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49AA" w:rsidRDefault="00EE6D95">
      <w:pPr>
        <w:pStyle w:val="Naslov1"/>
      </w:pPr>
      <w:r>
        <w:t>010 HRVATSKI SABOR</w:t>
      </w:r>
    </w:p>
    <w:p w:rsidR="00D849AA" w:rsidRDefault="00EE6D95">
      <w:pPr>
        <w:pStyle w:val="Naslov4"/>
      </w:pPr>
      <w:r>
        <w:t>Uvod</w:t>
      </w:r>
    </w:p>
    <w:p w:rsidR="00D849AA" w:rsidRDefault="00EE6D95">
      <w:pPr>
        <w:pStyle w:val="Normal3"/>
      </w:pPr>
      <w:r>
        <w:t xml:space="preserve">Razdjel 010 Hrvatski sabor organizacijski je klasificiran u tri (3) glave: Hrvatski sabor, Državno izborno povjerenstvo Republike Hrvatske te Povjerenstvo za odlučivanje o sukobu interesa.  </w:t>
      </w:r>
    </w:p>
    <w:p w:rsidR="00D849AA" w:rsidRDefault="00EE6D95">
      <w:pPr>
        <w:pStyle w:val="Normal3"/>
      </w:pPr>
      <w:r>
        <w:t>Najznačajniji poslovi i zadaci na razini razdjela obuhvaćaju obavljanje stručno administrativnih poslova za potrebe zastupnika Hrvatskoga sabora kao predstavničkog tijela građana i nositelja zakonodavne vlasti u Republici Hrvatskoj,  zakonitu, učinkovitu i transparentnu provedbu izbora te sprječavanje sukoba interesa.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Pr="00F64340" w:rsidRDefault="00EE6D95">
            <w:pPr>
              <w:pStyle w:val="CellColumn"/>
            </w:pPr>
            <w:r w:rsidRPr="00F64340">
              <w:t>01005 Hrvatski sabor</w:t>
            </w:r>
          </w:p>
        </w:tc>
        <w:tc>
          <w:tcPr>
            <w:tcW w:w="1486" w:type="dxa"/>
          </w:tcPr>
          <w:p w:rsidR="00D849AA" w:rsidRPr="00F64340" w:rsidRDefault="00EE6D95">
            <w:pPr>
              <w:rPr>
                <w:rFonts w:ascii="Arial" w:hAnsi="Arial" w:cs="Arial"/>
              </w:rPr>
            </w:pPr>
            <w:r w:rsidRPr="00F64340">
              <w:rPr>
                <w:rFonts w:ascii="Arial" w:hAnsi="Arial" w:cs="Arial"/>
              </w:rPr>
              <w:t>146.669.120</w:t>
            </w:r>
          </w:p>
        </w:tc>
        <w:tc>
          <w:tcPr>
            <w:tcW w:w="1486" w:type="dxa"/>
          </w:tcPr>
          <w:p w:rsidR="00D849AA" w:rsidRPr="00F64340" w:rsidRDefault="00EE6D95">
            <w:pPr>
              <w:rPr>
                <w:rFonts w:ascii="Arial" w:hAnsi="Arial" w:cs="Arial"/>
              </w:rPr>
            </w:pPr>
            <w:r w:rsidRPr="00F64340">
              <w:rPr>
                <w:rFonts w:ascii="Arial" w:hAnsi="Arial" w:cs="Arial"/>
              </w:rPr>
              <w:t>140.817.699</w:t>
            </w:r>
          </w:p>
        </w:tc>
        <w:tc>
          <w:tcPr>
            <w:tcW w:w="1486" w:type="dxa"/>
          </w:tcPr>
          <w:p w:rsidR="00D849AA" w:rsidRPr="00F64340" w:rsidRDefault="00EE6D95">
            <w:pPr>
              <w:rPr>
                <w:rFonts w:ascii="Arial" w:hAnsi="Arial" w:cs="Arial"/>
              </w:rPr>
            </w:pPr>
            <w:r w:rsidRPr="00F64340">
              <w:rPr>
                <w:rFonts w:ascii="Arial" w:hAnsi="Arial" w:cs="Arial"/>
              </w:rPr>
              <w:t>139.015.624</w:t>
            </w:r>
          </w:p>
        </w:tc>
        <w:tc>
          <w:tcPr>
            <w:tcW w:w="1486" w:type="dxa"/>
          </w:tcPr>
          <w:p w:rsidR="00D849AA" w:rsidRPr="00F64340" w:rsidRDefault="00EE6D95">
            <w:pPr>
              <w:rPr>
                <w:rFonts w:ascii="Arial" w:hAnsi="Arial" w:cs="Arial"/>
              </w:rPr>
            </w:pPr>
            <w:r w:rsidRPr="00F64340">
              <w:rPr>
                <w:rFonts w:ascii="Arial" w:hAnsi="Arial" w:cs="Arial"/>
              </w:rPr>
              <w:t>142.906.500</w:t>
            </w:r>
          </w:p>
        </w:tc>
        <w:tc>
          <w:tcPr>
            <w:tcW w:w="1486" w:type="dxa"/>
          </w:tcPr>
          <w:p w:rsidR="00D849AA" w:rsidRPr="00F64340" w:rsidRDefault="00EE6D95">
            <w:pPr>
              <w:rPr>
                <w:rFonts w:ascii="Arial" w:hAnsi="Arial" w:cs="Arial"/>
              </w:rPr>
            </w:pPr>
            <w:r w:rsidRPr="00F64340">
              <w:rPr>
                <w:rFonts w:ascii="Arial" w:hAnsi="Arial" w:cs="Arial"/>
              </w:rPr>
              <w:t>96,0</w:t>
            </w:r>
          </w:p>
        </w:tc>
      </w:tr>
      <w:tr w:rsidR="00D849AA">
        <w:trPr>
          <w:jc w:val="center"/>
        </w:trPr>
        <w:tc>
          <w:tcPr>
            <w:tcW w:w="1486" w:type="dxa"/>
          </w:tcPr>
          <w:p w:rsidR="00D849AA" w:rsidRPr="00F64340" w:rsidRDefault="00EE6D95">
            <w:pPr>
              <w:pStyle w:val="CellColumn"/>
            </w:pPr>
            <w:r w:rsidRPr="00F64340">
              <w:t>01015 Ured Povjerenstva za odlučivanje o sukobu interesa</w:t>
            </w:r>
          </w:p>
        </w:tc>
        <w:tc>
          <w:tcPr>
            <w:tcW w:w="1486" w:type="dxa"/>
          </w:tcPr>
          <w:p w:rsidR="00D849AA" w:rsidRPr="00F64340" w:rsidRDefault="00EE6D95">
            <w:pPr>
              <w:rPr>
                <w:rFonts w:ascii="Arial" w:hAnsi="Arial" w:cs="Arial"/>
              </w:rPr>
            </w:pPr>
            <w:r w:rsidRPr="00F64340">
              <w:rPr>
                <w:rFonts w:ascii="Arial" w:hAnsi="Arial" w:cs="Arial"/>
              </w:rPr>
              <w:t>627.289</w:t>
            </w:r>
          </w:p>
        </w:tc>
        <w:tc>
          <w:tcPr>
            <w:tcW w:w="1486" w:type="dxa"/>
          </w:tcPr>
          <w:p w:rsidR="00D849AA" w:rsidRPr="00F64340" w:rsidRDefault="00EE6D95">
            <w:pPr>
              <w:rPr>
                <w:rFonts w:ascii="Arial" w:hAnsi="Arial" w:cs="Arial"/>
              </w:rPr>
            </w:pPr>
            <w:r w:rsidRPr="00F64340">
              <w:rPr>
                <w:rFonts w:ascii="Arial" w:hAnsi="Arial" w:cs="Arial"/>
              </w:rPr>
              <w:t>00</w:t>
            </w:r>
          </w:p>
        </w:tc>
        <w:tc>
          <w:tcPr>
            <w:tcW w:w="1486" w:type="dxa"/>
          </w:tcPr>
          <w:p w:rsidR="00D849AA" w:rsidRPr="00F64340" w:rsidRDefault="00EE6D95">
            <w:pPr>
              <w:rPr>
                <w:rFonts w:ascii="Arial" w:hAnsi="Arial" w:cs="Arial"/>
              </w:rPr>
            </w:pPr>
            <w:r w:rsidRPr="00F64340">
              <w:rPr>
                <w:rFonts w:ascii="Arial" w:hAnsi="Arial" w:cs="Arial"/>
              </w:rPr>
              <w:t>00</w:t>
            </w:r>
          </w:p>
        </w:tc>
        <w:tc>
          <w:tcPr>
            <w:tcW w:w="1486" w:type="dxa"/>
          </w:tcPr>
          <w:p w:rsidR="00D849AA" w:rsidRPr="00F64340" w:rsidRDefault="00EE6D95">
            <w:pPr>
              <w:rPr>
                <w:rFonts w:ascii="Arial" w:hAnsi="Arial" w:cs="Arial"/>
              </w:rPr>
            </w:pPr>
            <w:r w:rsidRPr="00F64340">
              <w:rPr>
                <w:rFonts w:ascii="Arial" w:hAnsi="Arial" w:cs="Arial"/>
              </w:rPr>
              <w:t>00</w:t>
            </w:r>
          </w:p>
        </w:tc>
        <w:tc>
          <w:tcPr>
            <w:tcW w:w="1486" w:type="dxa"/>
          </w:tcPr>
          <w:p w:rsidR="00D849AA" w:rsidRPr="00F64340" w:rsidRDefault="00EE6D95">
            <w:pPr>
              <w:rPr>
                <w:rFonts w:ascii="Arial" w:hAnsi="Arial" w:cs="Arial"/>
              </w:rPr>
            </w:pPr>
            <w:r w:rsidRPr="00F64340">
              <w:rPr>
                <w:rFonts w:ascii="Arial" w:hAnsi="Arial" w:cs="Arial"/>
              </w:rPr>
              <w:t>0,0</w:t>
            </w:r>
          </w:p>
        </w:tc>
      </w:tr>
      <w:tr w:rsidR="00D849AA">
        <w:trPr>
          <w:jc w:val="center"/>
        </w:trPr>
        <w:tc>
          <w:tcPr>
            <w:tcW w:w="1486" w:type="dxa"/>
          </w:tcPr>
          <w:p w:rsidR="00D849AA" w:rsidRPr="00F64340" w:rsidRDefault="00EE6D95">
            <w:pPr>
              <w:pStyle w:val="CellColumn"/>
            </w:pPr>
            <w:r w:rsidRPr="00F64340">
              <w:t>01020 Državno izborno povjerenstvo Republike Hrvatske</w:t>
            </w:r>
          </w:p>
        </w:tc>
        <w:tc>
          <w:tcPr>
            <w:tcW w:w="1486" w:type="dxa"/>
          </w:tcPr>
          <w:p w:rsidR="00D849AA" w:rsidRPr="00F64340" w:rsidRDefault="00EE6D95">
            <w:pPr>
              <w:rPr>
                <w:rFonts w:ascii="Arial" w:hAnsi="Arial" w:cs="Arial"/>
              </w:rPr>
            </w:pPr>
            <w:r w:rsidRPr="00F64340">
              <w:rPr>
                <w:rFonts w:ascii="Arial" w:hAnsi="Arial" w:cs="Arial"/>
              </w:rPr>
              <w:t>103.181.000</w:t>
            </w:r>
          </w:p>
        </w:tc>
        <w:tc>
          <w:tcPr>
            <w:tcW w:w="1486" w:type="dxa"/>
          </w:tcPr>
          <w:p w:rsidR="00D849AA" w:rsidRPr="00F64340" w:rsidRDefault="00EE6D95">
            <w:pPr>
              <w:rPr>
                <w:rFonts w:ascii="Arial" w:hAnsi="Arial" w:cs="Arial"/>
              </w:rPr>
            </w:pPr>
            <w:r w:rsidRPr="00F64340">
              <w:rPr>
                <w:rFonts w:ascii="Arial" w:hAnsi="Arial" w:cs="Arial"/>
              </w:rPr>
              <w:t>78.518.000</w:t>
            </w:r>
          </w:p>
        </w:tc>
        <w:tc>
          <w:tcPr>
            <w:tcW w:w="1486" w:type="dxa"/>
          </w:tcPr>
          <w:p w:rsidR="00D849AA" w:rsidRPr="00F64340" w:rsidRDefault="00EE6D95">
            <w:pPr>
              <w:rPr>
                <w:rFonts w:ascii="Arial" w:hAnsi="Arial" w:cs="Arial"/>
              </w:rPr>
            </w:pPr>
            <w:r w:rsidRPr="00F64340">
              <w:rPr>
                <w:rFonts w:ascii="Arial" w:hAnsi="Arial" w:cs="Arial"/>
              </w:rPr>
              <w:t>179.780.000</w:t>
            </w:r>
          </w:p>
        </w:tc>
        <w:tc>
          <w:tcPr>
            <w:tcW w:w="1486" w:type="dxa"/>
          </w:tcPr>
          <w:p w:rsidR="00D849AA" w:rsidRPr="00F64340" w:rsidRDefault="00EE6D95">
            <w:pPr>
              <w:rPr>
                <w:rFonts w:ascii="Arial" w:hAnsi="Arial" w:cs="Arial"/>
              </w:rPr>
            </w:pPr>
            <w:r w:rsidRPr="00F64340">
              <w:rPr>
                <w:rFonts w:ascii="Arial" w:hAnsi="Arial" w:cs="Arial"/>
              </w:rPr>
              <w:t>31.098.000</w:t>
            </w:r>
          </w:p>
        </w:tc>
        <w:tc>
          <w:tcPr>
            <w:tcW w:w="1486" w:type="dxa"/>
          </w:tcPr>
          <w:p w:rsidR="00D849AA" w:rsidRPr="00F64340" w:rsidRDefault="00EE6D95">
            <w:pPr>
              <w:rPr>
                <w:rFonts w:ascii="Arial" w:hAnsi="Arial" w:cs="Arial"/>
              </w:rPr>
            </w:pPr>
            <w:r w:rsidRPr="00F64340">
              <w:rPr>
                <w:rFonts w:ascii="Arial" w:hAnsi="Arial" w:cs="Arial"/>
              </w:rPr>
              <w:t>76,1</w:t>
            </w:r>
          </w:p>
        </w:tc>
      </w:tr>
      <w:tr w:rsidR="00D849AA">
        <w:trPr>
          <w:jc w:val="center"/>
        </w:trPr>
        <w:tc>
          <w:tcPr>
            <w:tcW w:w="1486" w:type="dxa"/>
          </w:tcPr>
          <w:p w:rsidR="00D849AA" w:rsidRPr="00F64340" w:rsidRDefault="00EE6D95">
            <w:pPr>
              <w:pStyle w:val="CellColumn"/>
            </w:pPr>
            <w:r w:rsidRPr="00F64340">
              <w:t>01025 Povjerenstvo za odlučivanje o sukobu interesa</w:t>
            </w:r>
          </w:p>
        </w:tc>
        <w:tc>
          <w:tcPr>
            <w:tcW w:w="1486" w:type="dxa"/>
          </w:tcPr>
          <w:p w:rsidR="00D849AA" w:rsidRPr="00F64340" w:rsidRDefault="00EE6D95">
            <w:pPr>
              <w:rPr>
                <w:rFonts w:ascii="Arial" w:hAnsi="Arial" w:cs="Arial"/>
              </w:rPr>
            </w:pPr>
            <w:r w:rsidRPr="00F64340">
              <w:rPr>
                <w:rFonts w:ascii="Arial" w:hAnsi="Arial" w:cs="Arial"/>
              </w:rPr>
              <w:t>5.550.711</w:t>
            </w:r>
          </w:p>
        </w:tc>
        <w:tc>
          <w:tcPr>
            <w:tcW w:w="1486" w:type="dxa"/>
          </w:tcPr>
          <w:p w:rsidR="00D849AA" w:rsidRPr="00F64340" w:rsidRDefault="00EE6D95">
            <w:pPr>
              <w:rPr>
                <w:rFonts w:ascii="Arial" w:hAnsi="Arial" w:cs="Arial"/>
              </w:rPr>
            </w:pPr>
            <w:r w:rsidRPr="00F64340">
              <w:rPr>
                <w:rFonts w:ascii="Arial" w:hAnsi="Arial" w:cs="Arial"/>
              </w:rPr>
              <w:t>5.881.000</w:t>
            </w:r>
          </w:p>
        </w:tc>
        <w:tc>
          <w:tcPr>
            <w:tcW w:w="1486" w:type="dxa"/>
          </w:tcPr>
          <w:p w:rsidR="00D849AA" w:rsidRPr="00F64340" w:rsidRDefault="00EE6D95">
            <w:pPr>
              <w:rPr>
                <w:rFonts w:ascii="Arial" w:hAnsi="Arial" w:cs="Arial"/>
              </w:rPr>
            </w:pPr>
            <w:r w:rsidRPr="00F64340">
              <w:rPr>
                <w:rFonts w:ascii="Arial" w:hAnsi="Arial" w:cs="Arial"/>
              </w:rPr>
              <w:t>5.714.000</w:t>
            </w:r>
          </w:p>
        </w:tc>
        <w:tc>
          <w:tcPr>
            <w:tcW w:w="1486" w:type="dxa"/>
          </w:tcPr>
          <w:p w:rsidR="00D849AA" w:rsidRPr="00F64340" w:rsidRDefault="00EE6D95">
            <w:pPr>
              <w:rPr>
                <w:rFonts w:ascii="Arial" w:hAnsi="Arial" w:cs="Arial"/>
              </w:rPr>
            </w:pPr>
            <w:r w:rsidRPr="00F64340">
              <w:rPr>
                <w:rFonts w:ascii="Arial" w:hAnsi="Arial" w:cs="Arial"/>
              </w:rPr>
              <w:t>5.737.000</w:t>
            </w:r>
          </w:p>
        </w:tc>
        <w:tc>
          <w:tcPr>
            <w:tcW w:w="1486" w:type="dxa"/>
          </w:tcPr>
          <w:p w:rsidR="00D849AA" w:rsidRPr="00F64340" w:rsidRDefault="00EE6D95">
            <w:pPr>
              <w:rPr>
                <w:rFonts w:ascii="Arial" w:hAnsi="Arial" w:cs="Arial"/>
              </w:rPr>
            </w:pPr>
            <w:r w:rsidRPr="00F64340">
              <w:rPr>
                <w:rFonts w:ascii="Arial" w:hAnsi="Arial" w:cs="Arial"/>
              </w:rPr>
              <w:t>106,0</w:t>
            </w:r>
          </w:p>
        </w:tc>
      </w:tr>
      <w:tr w:rsidR="00D849AA">
        <w:trPr>
          <w:jc w:val="center"/>
        </w:trPr>
        <w:tc>
          <w:tcPr>
            <w:tcW w:w="1486" w:type="dxa"/>
            <w:shd w:val="clear" w:color="auto" w:fill="B5C0D8"/>
          </w:tcPr>
          <w:p w:rsidR="00D849AA" w:rsidRPr="00F64340" w:rsidRDefault="00EE6D95">
            <w:pPr>
              <w:pStyle w:val="CellColumn"/>
            </w:pPr>
            <w:r w:rsidRPr="00F64340">
              <w:t>Ukupno 010</w:t>
            </w:r>
          </w:p>
        </w:tc>
        <w:tc>
          <w:tcPr>
            <w:tcW w:w="1486" w:type="dxa"/>
            <w:shd w:val="clear" w:color="auto" w:fill="B5C0D8"/>
          </w:tcPr>
          <w:p w:rsidR="00D849AA" w:rsidRPr="00F64340" w:rsidRDefault="00EE6D95">
            <w:pPr>
              <w:rPr>
                <w:rFonts w:ascii="Arial" w:hAnsi="Arial" w:cs="Arial"/>
              </w:rPr>
            </w:pPr>
            <w:r w:rsidRPr="00F64340">
              <w:rPr>
                <w:rFonts w:ascii="Arial" w:hAnsi="Arial" w:cs="Arial"/>
              </w:rPr>
              <w:t>256.028.120</w:t>
            </w:r>
          </w:p>
        </w:tc>
        <w:tc>
          <w:tcPr>
            <w:tcW w:w="1486" w:type="dxa"/>
            <w:shd w:val="clear" w:color="auto" w:fill="B5C0D8"/>
          </w:tcPr>
          <w:p w:rsidR="00D849AA" w:rsidRPr="00F64340" w:rsidRDefault="00EE6D95">
            <w:pPr>
              <w:rPr>
                <w:rFonts w:ascii="Arial" w:hAnsi="Arial" w:cs="Arial"/>
              </w:rPr>
            </w:pPr>
            <w:r w:rsidRPr="00F64340">
              <w:rPr>
                <w:rFonts w:ascii="Arial" w:hAnsi="Arial" w:cs="Arial"/>
              </w:rPr>
              <w:t>225.216.699</w:t>
            </w:r>
          </w:p>
        </w:tc>
        <w:tc>
          <w:tcPr>
            <w:tcW w:w="1486" w:type="dxa"/>
            <w:shd w:val="clear" w:color="auto" w:fill="B5C0D8"/>
          </w:tcPr>
          <w:p w:rsidR="00D849AA" w:rsidRPr="00F64340" w:rsidRDefault="00EE6D95">
            <w:pPr>
              <w:rPr>
                <w:rFonts w:ascii="Arial" w:hAnsi="Arial" w:cs="Arial"/>
              </w:rPr>
            </w:pPr>
            <w:r w:rsidRPr="00F64340">
              <w:rPr>
                <w:rFonts w:ascii="Arial" w:hAnsi="Arial" w:cs="Arial"/>
              </w:rPr>
              <w:t>324.509.624</w:t>
            </w:r>
          </w:p>
        </w:tc>
        <w:tc>
          <w:tcPr>
            <w:tcW w:w="1486" w:type="dxa"/>
            <w:shd w:val="clear" w:color="auto" w:fill="B5C0D8"/>
          </w:tcPr>
          <w:p w:rsidR="00D849AA" w:rsidRPr="00F64340" w:rsidRDefault="00EE6D95">
            <w:pPr>
              <w:rPr>
                <w:rFonts w:ascii="Arial" w:hAnsi="Arial" w:cs="Arial"/>
              </w:rPr>
            </w:pPr>
            <w:r w:rsidRPr="00F64340">
              <w:rPr>
                <w:rFonts w:ascii="Arial" w:hAnsi="Arial" w:cs="Arial"/>
              </w:rPr>
              <w:t>179.741.500</w:t>
            </w:r>
          </w:p>
        </w:tc>
        <w:tc>
          <w:tcPr>
            <w:tcW w:w="1486" w:type="dxa"/>
            <w:shd w:val="clear" w:color="auto" w:fill="B5C0D8"/>
          </w:tcPr>
          <w:p w:rsidR="00D849AA" w:rsidRPr="00F64340" w:rsidRDefault="00EE6D95">
            <w:pPr>
              <w:rPr>
                <w:rFonts w:ascii="Arial" w:hAnsi="Arial" w:cs="Arial"/>
              </w:rPr>
            </w:pPr>
            <w:r w:rsidRPr="00F64340">
              <w:rPr>
                <w:rFonts w:ascii="Arial" w:hAnsi="Arial" w:cs="Arial"/>
              </w:rPr>
              <w:t>88,0</w:t>
            </w:r>
          </w:p>
        </w:tc>
      </w:tr>
    </w:tbl>
    <w:p w:rsidR="00D849AA" w:rsidRDefault="00D849AA">
      <w:pPr>
        <w:jc w:val="left"/>
      </w:pPr>
    </w:p>
    <w:p w:rsidR="00D849AA" w:rsidRDefault="00EE6D95">
      <w:pPr>
        <w:pStyle w:val="Naslov2"/>
      </w:pPr>
      <w:r>
        <w:t>01005 Hrvatski sabor</w:t>
      </w:r>
    </w:p>
    <w:p w:rsidR="00D849AA" w:rsidRDefault="00EE6D95">
      <w:pPr>
        <w:pStyle w:val="Naslov4"/>
      </w:pPr>
      <w:r>
        <w:t>Uvod</w:t>
      </w:r>
    </w:p>
    <w:p w:rsidR="00D849AA" w:rsidRDefault="00EE6D95">
      <w:pPr>
        <w:pStyle w:val="Normal3"/>
      </w:pPr>
      <w:r>
        <w:t xml:space="preserve">Hrvatski sabor je predstavničko tijelo građana i nositelj zakonodavne vlasti u Republici Hrvatskoj. U ostvarivanju svojih Ustavnih zadaća Hrvatski sabor redovito zasjeda između 15. siječnja i 15. srpnja te između 15. rujna i 15. prosinca, a može, na zahtjev Predsjednika Republike, Vlade Republike Hrvatske ili većine zastupnika, zasjedati i izvanredno što se redovito dešava sazivanjem sjednice nakon 15. srpnja odnosno 15. prosinca. </w:t>
      </w:r>
    </w:p>
    <w:p w:rsidR="00D849AA" w:rsidRDefault="00EE6D95">
      <w:pPr>
        <w:pStyle w:val="Normal3"/>
      </w:pPr>
      <w:r>
        <w:lastRenderedPageBreak/>
        <w:t xml:space="preserve">Aktualni, sedmi saziv Hrvatskoga sabora konstituiran je 22. prosinca 2011. godine na temelju rezultata izbora za zastupnike u Hrvatski sabor, održanih 04. prosinca 2011. godine u dvanaest izbornih jedinica. Na temelju glasova građana u Hrvatski sabor je izabran 151 zastupnik. </w:t>
      </w:r>
    </w:p>
    <w:p w:rsidR="00D849AA" w:rsidRDefault="00EE6D95">
      <w:pPr>
        <w:pStyle w:val="Normal3"/>
      </w:pPr>
      <w:r>
        <w:t xml:space="preserve">Unutarnje ustrojstvo Hrvatskoga sabora određeno je Poslovnikom. Prema Poslovniku, Sabor ima predsjednika i dva do pet potpredsjednika koji zajedno čine Predsjedništvo. Na poziv predsjednika Sabora, u radu Predsjedništva sudjeluje i tajnik Sabora.  </w:t>
      </w:r>
    </w:p>
    <w:p w:rsidR="00D849AA" w:rsidRDefault="00EE6D95">
      <w:pPr>
        <w:pStyle w:val="Normal3"/>
      </w:pPr>
      <w:r>
        <w:t xml:space="preserve">Tajnika Sabora imenuje i razrješuje Sabor. Tajnik donosi Pravilnik o unutarnjem redu, odgovoran je za obavljanje poslova stručne službe, osigurava financijska sredstva za rad Sabora i stručne službe, a obavlja i druge poslove propisane Poslovnikom za koje je odgovoran Saboru. Tajnika i zamjenika tajnika imenuje Sabor na rok od četiri godine. Radna tijela su važan segment zakonodavnog rada.  </w:t>
      </w:r>
    </w:p>
    <w:p w:rsidR="00D849AA" w:rsidRDefault="00EE6D95">
      <w:pPr>
        <w:pStyle w:val="Normal3"/>
      </w:pPr>
      <w:r>
        <w:t xml:space="preserve">Saborski Poslovnik propisuje da su radna tijela odbori i povjerenstva, poimenično ih navodi, kao i djelokrug njihova rada.  </w:t>
      </w:r>
    </w:p>
    <w:p w:rsidR="00D849AA" w:rsidRDefault="00EE6D95">
      <w:pPr>
        <w:pStyle w:val="Normal3"/>
      </w:pPr>
      <w:r>
        <w:t xml:space="preserve">Poslovnik i zastupnicima propisuje prava i dužnosti. Prema Poslovniku, zastupnici sudjeluju u radu plenarne sjednice, podnose prijedloge i postavljaju pitanja, upućuju pitanja predsjedniku i članovima Vlade, sudjeluju u radu sjednica radnih tijela, a prihvaćaju i izbore koje im odlukama odredi Sabor. Zastupnici mogu osnivati klubove pod uvjetima koje propisuje Poslovnik. Predsjednici klubova zastupnika s Predsjedništvom raspravljaju o dnevnom redu predstojeće sjednice Sabora i drugim važnim pitanjima za rad Sabora.  </w:t>
      </w:r>
    </w:p>
    <w:p w:rsidR="00D849AA" w:rsidRDefault="00EE6D95">
      <w:pPr>
        <w:pStyle w:val="Normal3"/>
      </w:pPr>
      <w:r>
        <w:t xml:space="preserve">Sabor osniva stručnu službu za obavljanje stručnih, administrativnih, sigurnosnih, tehničkih i drugih poslova. Rad Stručne službe Sabora usmjerava i usklađuje tajnik Sabora i odgovoran je za njezin rad.  </w:t>
      </w:r>
    </w:p>
    <w:p w:rsidR="00D849AA" w:rsidRDefault="00EE6D95">
      <w:pPr>
        <w:pStyle w:val="Normal3"/>
      </w:pPr>
      <w:r>
        <w:t xml:space="preserve">Poslove Stručne službe obavljaju službenici razvrstani u unutarnje ustrojstvene jedinice u: </w:t>
      </w:r>
    </w:p>
    <w:p w:rsidR="00D849AA" w:rsidRDefault="00EE6D95">
      <w:pPr>
        <w:pStyle w:val="Normal3"/>
      </w:pPr>
      <w:r>
        <w:t xml:space="preserve">- Tajništvu Sabora </w:t>
      </w:r>
    </w:p>
    <w:p w:rsidR="00D849AA" w:rsidRDefault="00EE6D95">
      <w:pPr>
        <w:pStyle w:val="Normal3"/>
      </w:pPr>
      <w:r>
        <w:t xml:space="preserve">- Uredu predsjednika Sabora </w:t>
      </w:r>
    </w:p>
    <w:p w:rsidR="00D849AA" w:rsidRDefault="00EE6D95">
      <w:pPr>
        <w:pStyle w:val="Normal3"/>
      </w:pPr>
      <w:r>
        <w:t xml:space="preserve">- Uredima potpredsjednika Sabora </w:t>
      </w:r>
    </w:p>
    <w:p w:rsidR="00D849AA" w:rsidRDefault="00EE6D95">
      <w:pPr>
        <w:pStyle w:val="Normal3"/>
      </w:pPr>
      <w:r>
        <w:t xml:space="preserve">- Uredu za protokol Sabora i </w:t>
      </w:r>
    </w:p>
    <w:p w:rsidR="00D849AA" w:rsidRDefault="00EE6D95">
      <w:pPr>
        <w:pStyle w:val="Normal3"/>
      </w:pPr>
      <w:r>
        <w:t xml:space="preserve">- Uredu za međunarodne i europske poslove. </w:t>
      </w:r>
    </w:p>
    <w:p w:rsidR="00D849AA" w:rsidRDefault="00EE6D95">
      <w:pPr>
        <w:pStyle w:val="Normal3"/>
      </w:pPr>
      <w:r>
        <w:t xml:space="preserve">Tajništvo Sabora poslove i zadaće obavlja putem sljedećih zasebnih jedinica: </w:t>
      </w:r>
    </w:p>
    <w:p w:rsidR="00D849AA" w:rsidRDefault="00EE6D95">
      <w:pPr>
        <w:pStyle w:val="Normal3"/>
      </w:pPr>
      <w:r>
        <w:t xml:space="preserve">- Ureda tajnika Sabora </w:t>
      </w:r>
    </w:p>
    <w:p w:rsidR="00D849AA" w:rsidRDefault="00EE6D95">
      <w:pPr>
        <w:pStyle w:val="Normal3"/>
      </w:pPr>
      <w:r>
        <w:t xml:space="preserve">- Službe radnih tijela  </w:t>
      </w:r>
    </w:p>
    <w:p w:rsidR="00D849AA" w:rsidRDefault="00EE6D95">
      <w:pPr>
        <w:pStyle w:val="Normal3"/>
      </w:pPr>
      <w:r>
        <w:t xml:space="preserve">- Službi klubova zastupnika </w:t>
      </w:r>
    </w:p>
    <w:p w:rsidR="00D849AA" w:rsidRDefault="00EE6D95">
      <w:pPr>
        <w:pStyle w:val="Normal3"/>
      </w:pPr>
      <w:r>
        <w:t xml:space="preserve">- Službe za pripremu i obradu sjednica Sabora </w:t>
      </w:r>
    </w:p>
    <w:p w:rsidR="00D849AA" w:rsidRDefault="00EE6D95">
      <w:pPr>
        <w:pStyle w:val="Normal3"/>
      </w:pPr>
      <w:r>
        <w:t xml:space="preserve">- Službe za pripremu akata Sabora za objavu </w:t>
      </w:r>
    </w:p>
    <w:p w:rsidR="00D849AA" w:rsidRDefault="00EE6D95">
      <w:pPr>
        <w:pStyle w:val="Normal3"/>
      </w:pPr>
      <w:r>
        <w:t xml:space="preserve">- Službe za pravne poslove i ljudske potencijale </w:t>
      </w:r>
    </w:p>
    <w:p w:rsidR="00D849AA" w:rsidRDefault="00EE6D95">
      <w:pPr>
        <w:pStyle w:val="Normal3"/>
      </w:pPr>
      <w:r>
        <w:t xml:space="preserve">- Službe za medije </w:t>
      </w:r>
    </w:p>
    <w:p w:rsidR="00D849AA" w:rsidRDefault="00EE6D95">
      <w:pPr>
        <w:pStyle w:val="Normal3"/>
      </w:pPr>
      <w:r>
        <w:t xml:space="preserve">- Službe za građane </w:t>
      </w:r>
    </w:p>
    <w:p w:rsidR="00D849AA" w:rsidRDefault="00EE6D95">
      <w:pPr>
        <w:pStyle w:val="Normal3"/>
      </w:pPr>
      <w:r>
        <w:t xml:space="preserve">- Informacijsko-dokumentacijske službe, istraživanja i mrežnih informacija </w:t>
      </w:r>
    </w:p>
    <w:p w:rsidR="00D849AA" w:rsidRDefault="00EE6D95">
      <w:pPr>
        <w:pStyle w:val="Normal3"/>
      </w:pPr>
      <w:r>
        <w:t xml:space="preserve">- Knjižnice </w:t>
      </w:r>
    </w:p>
    <w:p w:rsidR="00D849AA" w:rsidRDefault="00EE6D95">
      <w:pPr>
        <w:pStyle w:val="Normal3"/>
      </w:pPr>
      <w:r>
        <w:t xml:space="preserve">- Službe za opće poslove </w:t>
      </w:r>
    </w:p>
    <w:p w:rsidR="00D849AA" w:rsidRDefault="00EE6D95">
      <w:pPr>
        <w:pStyle w:val="Normal3"/>
      </w:pPr>
      <w:r>
        <w:t xml:space="preserve">- Straže.  </w:t>
      </w:r>
    </w:p>
    <w:p w:rsidR="00D849AA" w:rsidRDefault="00EE6D95">
      <w:pPr>
        <w:pStyle w:val="Normal3"/>
      </w:pPr>
      <w:r>
        <w:lastRenderedPageBreak/>
        <w:t>Tajništvo Hrvatskoga sabora obavlja zadaće koje se odnose na: stručne administrativne i sigurnosne poslove u pripremi i organiziranju sjednica Sabora, pripremi i objavi donesenih zakona, odluka i zaključaka Sabora, praćenju izvršavanja zaključaka Sabora, rad izaslanstava Sabora, poslove za zastupnike i klubove zastupnika, poslove iz djelokruga radno-pravnih odnosa, poslove u svezi s obavješćivanjem javnosti o radu Sabora i njegovih radnih tijela, materijalno i financijsko poslovanje Sabora, poslove u svezi s tiskanjem, otpremom, arhiviranjem dokumentacije i akata Sabora te poslova nadzora ulaska u zgrade Sabora.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F64340" w:rsidRDefault="00D849AA">
            <w:pPr>
              <w:pStyle w:val="CellHeader"/>
            </w:pPr>
          </w:p>
        </w:tc>
        <w:tc>
          <w:tcPr>
            <w:tcW w:w="1486" w:type="dxa"/>
            <w:shd w:val="clear" w:color="auto" w:fill="B5C0D8"/>
          </w:tcPr>
          <w:p w:rsidR="00D849AA" w:rsidRPr="00F64340" w:rsidRDefault="00EE6D95">
            <w:pPr>
              <w:pStyle w:val="CellHeader"/>
            </w:pPr>
            <w:r w:rsidRPr="00F64340">
              <w:t>Plan 2013.</w:t>
            </w:r>
          </w:p>
        </w:tc>
        <w:tc>
          <w:tcPr>
            <w:tcW w:w="1486" w:type="dxa"/>
            <w:shd w:val="clear" w:color="auto" w:fill="B5C0D8"/>
          </w:tcPr>
          <w:p w:rsidR="00D849AA" w:rsidRPr="00F64340" w:rsidRDefault="00EE6D95">
            <w:pPr>
              <w:pStyle w:val="CellHeader"/>
            </w:pPr>
            <w:r w:rsidRPr="00F64340">
              <w:t>Plan 2014.</w:t>
            </w:r>
          </w:p>
        </w:tc>
        <w:tc>
          <w:tcPr>
            <w:tcW w:w="1486" w:type="dxa"/>
            <w:shd w:val="clear" w:color="auto" w:fill="B5C0D8"/>
          </w:tcPr>
          <w:p w:rsidR="00D849AA" w:rsidRPr="00F64340" w:rsidRDefault="00EE6D95">
            <w:pPr>
              <w:pStyle w:val="CellHeader"/>
            </w:pPr>
            <w:r w:rsidRPr="00F64340">
              <w:t>Plan 2015.</w:t>
            </w:r>
          </w:p>
        </w:tc>
        <w:tc>
          <w:tcPr>
            <w:tcW w:w="1486" w:type="dxa"/>
            <w:shd w:val="clear" w:color="auto" w:fill="B5C0D8"/>
          </w:tcPr>
          <w:p w:rsidR="00D849AA" w:rsidRPr="00F64340" w:rsidRDefault="00EE6D95">
            <w:pPr>
              <w:pStyle w:val="CellHeader"/>
            </w:pPr>
            <w:r w:rsidRPr="00F64340">
              <w:t>Plan 2016.</w:t>
            </w:r>
          </w:p>
        </w:tc>
        <w:tc>
          <w:tcPr>
            <w:tcW w:w="1486" w:type="dxa"/>
            <w:shd w:val="clear" w:color="auto" w:fill="B5C0D8"/>
          </w:tcPr>
          <w:p w:rsidR="00D849AA" w:rsidRPr="00F64340" w:rsidRDefault="00EE6D95">
            <w:pPr>
              <w:pStyle w:val="CellHeader"/>
            </w:pPr>
            <w:r w:rsidRPr="00F64340">
              <w:t>Indeks 2014/2013</w:t>
            </w:r>
          </w:p>
        </w:tc>
      </w:tr>
      <w:tr w:rsidR="00D849AA">
        <w:trPr>
          <w:jc w:val="center"/>
        </w:trPr>
        <w:tc>
          <w:tcPr>
            <w:tcW w:w="1486" w:type="dxa"/>
          </w:tcPr>
          <w:p w:rsidR="00D849AA" w:rsidRPr="00F64340" w:rsidRDefault="00EE6D95">
            <w:pPr>
              <w:pStyle w:val="CellColumn"/>
            </w:pPr>
            <w:r w:rsidRPr="00F64340">
              <w:t>01005</w:t>
            </w:r>
          </w:p>
        </w:tc>
        <w:tc>
          <w:tcPr>
            <w:tcW w:w="1486" w:type="dxa"/>
          </w:tcPr>
          <w:p w:rsidR="00D849AA" w:rsidRPr="00F64340" w:rsidRDefault="00EE6D95">
            <w:pPr>
              <w:rPr>
                <w:rFonts w:ascii="Arial" w:hAnsi="Arial" w:cs="Arial"/>
              </w:rPr>
            </w:pPr>
            <w:r w:rsidRPr="00F64340">
              <w:rPr>
                <w:rFonts w:ascii="Arial" w:hAnsi="Arial" w:cs="Arial"/>
              </w:rPr>
              <w:t>146.669.120</w:t>
            </w:r>
          </w:p>
        </w:tc>
        <w:tc>
          <w:tcPr>
            <w:tcW w:w="1486" w:type="dxa"/>
          </w:tcPr>
          <w:p w:rsidR="00D849AA" w:rsidRPr="00F64340" w:rsidRDefault="00EE6D95">
            <w:pPr>
              <w:rPr>
                <w:rFonts w:ascii="Arial" w:hAnsi="Arial" w:cs="Arial"/>
              </w:rPr>
            </w:pPr>
            <w:r w:rsidRPr="00F64340">
              <w:rPr>
                <w:rFonts w:ascii="Arial" w:hAnsi="Arial" w:cs="Arial"/>
              </w:rPr>
              <w:t>140.817.699</w:t>
            </w:r>
          </w:p>
        </w:tc>
        <w:tc>
          <w:tcPr>
            <w:tcW w:w="1486" w:type="dxa"/>
          </w:tcPr>
          <w:p w:rsidR="00D849AA" w:rsidRPr="00F64340" w:rsidRDefault="00EE6D95">
            <w:pPr>
              <w:rPr>
                <w:rFonts w:ascii="Arial" w:hAnsi="Arial" w:cs="Arial"/>
              </w:rPr>
            </w:pPr>
            <w:r w:rsidRPr="00F64340">
              <w:rPr>
                <w:rFonts w:ascii="Arial" w:hAnsi="Arial" w:cs="Arial"/>
              </w:rPr>
              <w:t>139.015.624</w:t>
            </w:r>
          </w:p>
        </w:tc>
        <w:tc>
          <w:tcPr>
            <w:tcW w:w="1486" w:type="dxa"/>
          </w:tcPr>
          <w:p w:rsidR="00D849AA" w:rsidRPr="00F64340" w:rsidRDefault="00EE6D95">
            <w:pPr>
              <w:rPr>
                <w:rFonts w:ascii="Arial" w:hAnsi="Arial" w:cs="Arial"/>
              </w:rPr>
            </w:pPr>
            <w:r w:rsidRPr="00F64340">
              <w:rPr>
                <w:rFonts w:ascii="Arial" w:hAnsi="Arial" w:cs="Arial"/>
              </w:rPr>
              <w:t>142.906.500</w:t>
            </w:r>
          </w:p>
        </w:tc>
        <w:tc>
          <w:tcPr>
            <w:tcW w:w="1486" w:type="dxa"/>
          </w:tcPr>
          <w:p w:rsidR="00D849AA" w:rsidRPr="00F64340" w:rsidRDefault="00EE6D95">
            <w:pPr>
              <w:rPr>
                <w:rFonts w:ascii="Arial" w:hAnsi="Arial" w:cs="Arial"/>
              </w:rPr>
            </w:pPr>
            <w:r w:rsidRPr="00F64340">
              <w:rPr>
                <w:rFonts w:ascii="Arial" w:hAnsi="Arial" w:cs="Arial"/>
              </w:rPr>
              <w:t>96,0</w:t>
            </w:r>
          </w:p>
        </w:tc>
      </w:tr>
    </w:tbl>
    <w:p w:rsidR="00D849AA" w:rsidRDefault="00D849AA">
      <w:pPr>
        <w:jc w:val="left"/>
      </w:pPr>
    </w:p>
    <w:p w:rsidR="00D849AA" w:rsidRDefault="00EE6D95">
      <w:pPr>
        <w:pStyle w:val="Naslov4"/>
      </w:pPr>
      <w:r>
        <w:t>OBRAZLOŽENJE PROGRAMA</w:t>
      </w:r>
    </w:p>
    <w:p w:rsidR="00D849AA" w:rsidRDefault="00EE6D95">
      <w:pPr>
        <w:pStyle w:val="Naslov5"/>
      </w:pPr>
      <w:r>
        <w:t>2101 PROVOĐENJE ZAKONODAVNE VLASTI</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F64340" w:rsidRDefault="00D849AA">
            <w:pPr>
              <w:pStyle w:val="CellHeader"/>
            </w:pPr>
          </w:p>
        </w:tc>
        <w:tc>
          <w:tcPr>
            <w:tcW w:w="1486" w:type="dxa"/>
            <w:shd w:val="clear" w:color="auto" w:fill="B5C0D8"/>
          </w:tcPr>
          <w:p w:rsidR="00D849AA" w:rsidRPr="00F64340" w:rsidRDefault="00EE6D95">
            <w:pPr>
              <w:pStyle w:val="CellHeader"/>
            </w:pPr>
            <w:r w:rsidRPr="00F64340">
              <w:t>Plan 2013.</w:t>
            </w:r>
          </w:p>
        </w:tc>
        <w:tc>
          <w:tcPr>
            <w:tcW w:w="1486" w:type="dxa"/>
            <w:shd w:val="clear" w:color="auto" w:fill="B5C0D8"/>
          </w:tcPr>
          <w:p w:rsidR="00D849AA" w:rsidRPr="00F64340" w:rsidRDefault="00EE6D95">
            <w:pPr>
              <w:pStyle w:val="CellHeader"/>
            </w:pPr>
            <w:r w:rsidRPr="00F64340">
              <w:t>Plan 2014.</w:t>
            </w:r>
          </w:p>
        </w:tc>
        <w:tc>
          <w:tcPr>
            <w:tcW w:w="1486" w:type="dxa"/>
            <w:shd w:val="clear" w:color="auto" w:fill="B5C0D8"/>
          </w:tcPr>
          <w:p w:rsidR="00D849AA" w:rsidRPr="00F64340" w:rsidRDefault="00EE6D95">
            <w:pPr>
              <w:pStyle w:val="CellHeader"/>
            </w:pPr>
            <w:r w:rsidRPr="00F64340">
              <w:t>Plan 2015.</w:t>
            </w:r>
          </w:p>
        </w:tc>
        <w:tc>
          <w:tcPr>
            <w:tcW w:w="1486" w:type="dxa"/>
            <w:shd w:val="clear" w:color="auto" w:fill="B5C0D8"/>
          </w:tcPr>
          <w:p w:rsidR="00D849AA" w:rsidRPr="00F64340" w:rsidRDefault="00EE6D95">
            <w:pPr>
              <w:pStyle w:val="CellHeader"/>
            </w:pPr>
            <w:r w:rsidRPr="00F64340">
              <w:t>Plan 2016.</w:t>
            </w:r>
          </w:p>
        </w:tc>
        <w:tc>
          <w:tcPr>
            <w:tcW w:w="1486" w:type="dxa"/>
            <w:shd w:val="clear" w:color="auto" w:fill="B5C0D8"/>
          </w:tcPr>
          <w:p w:rsidR="00D849AA" w:rsidRPr="00F64340" w:rsidRDefault="00EE6D95">
            <w:pPr>
              <w:pStyle w:val="CellHeader"/>
            </w:pPr>
            <w:r w:rsidRPr="00F64340">
              <w:t>Indeks 2014/2013</w:t>
            </w:r>
          </w:p>
        </w:tc>
      </w:tr>
      <w:tr w:rsidR="00D849AA">
        <w:trPr>
          <w:jc w:val="center"/>
        </w:trPr>
        <w:tc>
          <w:tcPr>
            <w:tcW w:w="1486" w:type="dxa"/>
          </w:tcPr>
          <w:p w:rsidR="00D849AA" w:rsidRPr="00F64340" w:rsidRDefault="00EE6D95">
            <w:pPr>
              <w:pStyle w:val="CellColumn"/>
            </w:pPr>
            <w:r w:rsidRPr="00F64340">
              <w:t>2101</w:t>
            </w:r>
          </w:p>
        </w:tc>
        <w:tc>
          <w:tcPr>
            <w:tcW w:w="1486" w:type="dxa"/>
          </w:tcPr>
          <w:p w:rsidR="00D849AA" w:rsidRPr="00F64340" w:rsidRDefault="00EE6D95">
            <w:pPr>
              <w:rPr>
                <w:rFonts w:ascii="Arial" w:hAnsi="Arial" w:cs="Arial"/>
              </w:rPr>
            </w:pPr>
            <w:r w:rsidRPr="00F64340">
              <w:rPr>
                <w:rFonts w:ascii="Arial" w:hAnsi="Arial" w:cs="Arial"/>
              </w:rPr>
              <w:t>146.669.120</w:t>
            </w:r>
          </w:p>
        </w:tc>
        <w:tc>
          <w:tcPr>
            <w:tcW w:w="1486" w:type="dxa"/>
          </w:tcPr>
          <w:p w:rsidR="00D849AA" w:rsidRPr="00F64340" w:rsidRDefault="00EE6D95">
            <w:pPr>
              <w:rPr>
                <w:rFonts w:ascii="Arial" w:hAnsi="Arial" w:cs="Arial"/>
              </w:rPr>
            </w:pPr>
            <w:r w:rsidRPr="00F64340">
              <w:rPr>
                <w:rFonts w:ascii="Arial" w:hAnsi="Arial" w:cs="Arial"/>
              </w:rPr>
              <w:t>140.817.699</w:t>
            </w:r>
          </w:p>
        </w:tc>
        <w:tc>
          <w:tcPr>
            <w:tcW w:w="1486" w:type="dxa"/>
          </w:tcPr>
          <w:p w:rsidR="00D849AA" w:rsidRPr="00F64340" w:rsidRDefault="00EE6D95">
            <w:pPr>
              <w:rPr>
                <w:rFonts w:ascii="Arial" w:hAnsi="Arial" w:cs="Arial"/>
              </w:rPr>
            </w:pPr>
            <w:r w:rsidRPr="00F64340">
              <w:rPr>
                <w:rFonts w:ascii="Arial" w:hAnsi="Arial" w:cs="Arial"/>
              </w:rPr>
              <w:t>139.015.624</w:t>
            </w:r>
          </w:p>
        </w:tc>
        <w:tc>
          <w:tcPr>
            <w:tcW w:w="1486" w:type="dxa"/>
          </w:tcPr>
          <w:p w:rsidR="00D849AA" w:rsidRPr="00F64340" w:rsidRDefault="00EE6D95">
            <w:pPr>
              <w:rPr>
                <w:rFonts w:ascii="Arial" w:hAnsi="Arial" w:cs="Arial"/>
              </w:rPr>
            </w:pPr>
            <w:r w:rsidRPr="00F64340">
              <w:rPr>
                <w:rFonts w:ascii="Arial" w:hAnsi="Arial" w:cs="Arial"/>
              </w:rPr>
              <w:t>142.906.500</w:t>
            </w:r>
          </w:p>
        </w:tc>
        <w:tc>
          <w:tcPr>
            <w:tcW w:w="1486" w:type="dxa"/>
          </w:tcPr>
          <w:p w:rsidR="00D849AA" w:rsidRPr="00F64340" w:rsidRDefault="00EE6D95">
            <w:pPr>
              <w:rPr>
                <w:rFonts w:ascii="Arial" w:hAnsi="Arial" w:cs="Arial"/>
              </w:rPr>
            </w:pPr>
            <w:r w:rsidRPr="00F64340">
              <w:rPr>
                <w:rFonts w:ascii="Arial" w:hAnsi="Arial" w:cs="Arial"/>
              </w:rPr>
              <w:t>96,0</w:t>
            </w:r>
          </w:p>
        </w:tc>
      </w:tr>
    </w:tbl>
    <w:p w:rsidR="00D849AA" w:rsidRDefault="00D849AA">
      <w:pPr>
        <w:jc w:val="left"/>
      </w:pPr>
    </w:p>
    <w:p w:rsidR="00D849AA" w:rsidRDefault="00EE6D95">
      <w:pPr>
        <w:pStyle w:val="Naslov6"/>
      </w:pPr>
      <w:r>
        <w:t>Opis programa</w:t>
      </w:r>
    </w:p>
    <w:p w:rsidR="00D849AA" w:rsidRDefault="00EE6D95">
      <w:pPr>
        <w:pStyle w:val="Normal5"/>
      </w:pPr>
      <w:r>
        <w:t xml:space="preserve">Na temelju prava i ovlaštenja utvrđenih Ustavom, Hrvatski sabor ima sljedeće ovlasti: </w:t>
      </w:r>
    </w:p>
    <w:p w:rsidR="00D849AA" w:rsidRDefault="00EE6D95">
      <w:pPr>
        <w:pStyle w:val="Normal5"/>
      </w:pPr>
      <w:r>
        <w:t xml:space="preserve">– odlučuje o donošenju i promjeni Ustava,  </w:t>
      </w:r>
    </w:p>
    <w:p w:rsidR="00D849AA" w:rsidRDefault="00EE6D95">
      <w:pPr>
        <w:pStyle w:val="Normal5"/>
      </w:pPr>
      <w:r>
        <w:t xml:space="preserve">– donosi zakone,  </w:t>
      </w:r>
    </w:p>
    <w:p w:rsidR="00D849AA" w:rsidRDefault="00EE6D95">
      <w:pPr>
        <w:pStyle w:val="Normal5"/>
      </w:pPr>
      <w:r>
        <w:t xml:space="preserve">– donosi državni proračun,  </w:t>
      </w:r>
    </w:p>
    <w:p w:rsidR="00D849AA" w:rsidRDefault="00EE6D95">
      <w:pPr>
        <w:pStyle w:val="Normal5"/>
      </w:pPr>
      <w:r>
        <w:t xml:space="preserve">– odlučuje o ratu i miru,  </w:t>
      </w:r>
    </w:p>
    <w:p w:rsidR="00D849AA" w:rsidRDefault="00EE6D95">
      <w:pPr>
        <w:pStyle w:val="Normal5"/>
      </w:pPr>
      <w:r>
        <w:t xml:space="preserve">– donosi akte kojima izražava politiku Hrvatskoga sabora,  </w:t>
      </w:r>
    </w:p>
    <w:p w:rsidR="00D849AA" w:rsidRDefault="00EE6D95">
      <w:pPr>
        <w:pStyle w:val="Normal5"/>
      </w:pPr>
      <w:r>
        <w:t xml:space="preserve">– donosi Strategiju nacionalne sigurnosti i Strategiju obrane Republike Hrvatske,  </w:t>
      </w:r>
    </w:p>
    <w:p w:rsidR="00D849AA" w:rsidRDefault="00EE6D95">
      <w:pPr>
        <w:pStyle w:val="Normal5"/>
      </w:pPr>
      <w:r>
        <w:t xml:space="preserve">– odlučuje o promjeni granica Republike Hrvatske,  </w:t>
      </w:r>
    </w:p>
    <w:p w:rsidR="00D849AA" w:rsidRDefault="00EE6D95">
      <w:pPr>
        <w:pStyle w:val="Normal5"/>
      </w:pPr>
      <w:r>
        <w:t xml:space="preserve">– raspisuje referendum,  </w:t>
      </w:r>
    </w:p>
    <w:p w:rsidR="00D849AA" w:rsidRDefault="00EE6D95">
      <w:pPr>
        <w:pStyle w:val="Normal5"/>
      </w:pPr>
      <w:r>
        <w:t xml:space="preserve">– obavlja izbore, imenovanja i razrješenja, u skladu s Ustavom i zakonom,  </w:t>
      </w:r>
    </w:p>
    <w:p w:rsidR="00D849AA" w:rsidRDefault="00EE6D95">
      <w:pPr>
        <w:pStyle w:val="Normal5"/>
      </w:pPr>
      <w:r>
        <w:t xml:space="preserve">– nadzire rad Vlade Republike Hrvatske i drugih nositelja jav¬nih dužnosti odgovornih Hrvatskom saboru, u skladu s Ustavom i zakonom,  </w:t>
      </w:r>
    </w:p>
    <w:p w:rsidR="00D849AA" w:rsidRDefault="00EE6D95">
      <w:pPr>
        <w:pStyle w:val="Normal5"/>
      </w:pPr>
      <w:r>
        <w:t xml:space="preserve">– daje amnestiju za kaznena djela,  </w:t>
      </w:r>
    </w:p>
    <w:p w:rsidR="00D849AA" w:rsidRDefault="00EE6D95">
      <w:pPr>
        <w:pStyle w:val="Normal5"/>
      </w:pPr>
      <w:r>
        <w:t>– obavlja druge poslove utvrđene Ustavom.</w:t>
      </w:r>
    </w:p>
    <w:p w:rsidR="00D849AA" w:rsidRDefault="00EE6D95">
      <w:pPr>
        <w:pStyle w:val="Naslov6"/>
      </w:pPr>
      <w:r>
        <w:t>Zakonske i druge pravne osnove</w:t>
      </w:r>
    </w:p>
    <w:p w:rsidR="00D849AA" w:rsidRDefault="00EE6D95">
      <w:pPr>
        <w:pStyle w:val="Normal5"/>
      </w:pPr>
      <w:r>
        <w:t xml:space="preserve">Ustav Republike Hrvatske </w:t>
      </w:r>
    </w:p>
    <w:p w:rsidR="00D849AA" w:rsidRDefault="00EE6D95">
      <w:pPr>
        <w:pStyle w:val="Normal5"/>
      </w:pPr>
      <w:r>
        <w:t xml:space="preserve">Ustavni zakon o Ustavnom sudu Republike Hrvatske </w:t>
      </w:r>
    </w:p>
    <w:p w:rsidR="00D849AA" w:rsidRDefault="00EE6D95">
      <w:pPr>
        <w:pStyle w:val="Normal5"/>
      </w:pPr>
      <w:r>
        <w:t xml:space="preserve">Ustavni zakon o pravima nacionalnih manjina </w:t>
      </w:r>
    </w:p>
    <w:p w:rsidR="00D849AA" w:rsidRDefault="00EE6D95">
      <w:pPr>
        <w:pStyle w:val="Normal5"/>
      </w:pPr>
      <w:r>
        <w:lastRenderedPageBreak/>
        <w:t xml:space="preserve">Zakon o izborima zastupnika u Hrvatski sabor  </w:t>
      </w:r>
    </w:p>
    <w:p w:rsidR="00D849AA" w:rsidRDefault="00EE6D95">
      <w:pPr>
        <w:pStyle w:val="Normal5"/>
      </w:pPr>
      <w:r>
        <w:t xml:space="preserve">Zakon o izbornim jedinicama </w:t>
      </w:r>
    </w:p>
    <w:p w:rsidR="00D849AA" w:rsidRDefault="00EE6D95">
      <w:pPr>
        <w:pStyle w:val="Normal5"/>
      </w:pPr>
      <w:r>
        <w:t xml:space="preserve">Zakon o političkim strankama </w:t>
      </w:r>
    </w:p>
    <w:p w:rsidR="00D849AA" w:rsidRDefault="00EE6D95">
      <w:pPr>
        <w:pStyle w:val="Normal5"/>
      </w:pPr>
      <w:r>
        <w:t xml:space="preserve">Zakon o financiranju političkih aktivnosti i izborne promidžbe </w:t>
      </w:r>
    </w:p>
    <w:p w:rsidR="00D849AA" w:rsidRDefault="00EE6D95">
      <w:pPr>
        <w:pStyle w:val="Normal5"/>
      </w:pPr>
      <w:r>
        <w:t xml:space="preserve">Zakon o izborima zastupnika iz Republike Hrvatske u Europski parlament </w:t>
      </w:r>
    </w:p>
    <w:p w:rsidR="00D849AA" w:rsidRDefault="00EE6D95">
      <w:pPr>
        <w:pStyle w:val="Normal5"/>
      </w:pPr>
      <w:r>
        <w:t xml:space="preserve">Zakon o suradnji Hrvatskoga sabora i Vlade Republike Hrvatske u europskim poslovima </w:t>
      </w:r>
    </w:p>
    <w:p w:rsidR="00D849AA" w:rsidRDefault="00EE6D95">
      <w:pPr>
        <w:pStyle w:val="Normal5"/>
      </w:pPr>
      <w:r>
        <w:t xml:space="preserve">Poslovnik Hrvatskoga sabora </w:t>
      </w:r>
    </w:p>
    <w:p w:rsidR="00D849AA" w:rsidRDefault="00EE6D95">
      <w:pPr>
        <w:pStyle w:val="Normal5"/>
      </w:pPr>
      <w:r>
        <w:t xml:space="preserve">Odluka o Stručnoj službi Hrvatskoga sabora </w:t>
      </w:r>
    </w:p>
    <w:p w:rsidR="00D849AA" w:rsidRDefault="00EE6D95">
      <w:pPr>
        <w:pStyle w:val="Normal5"/>
      </w:pPr>
      <w:r>
        <w:t xml:space="preserve">Pravilnik o javnosti rada Hrvatskoga sabora i radnih tijela </w:t>
      </w:r>
    </w:p>
    <w:p w:rsidR="00D849AA" w:rsidRDefault="00EE6D95">
      <w:pPr>
        <w:pStyle w:val="Normal5"/>
      </w:pPr>
      <w:r>
        <w:t xml:space="preserve">Etički kodeks državnih službenika </w:t>
      </w:r>
    </w:p>
    <w:p w:rsidR="00D849AA" w:rsidRDefault="00EE6D95">
      <w:pPr>
        <w:pStyle w:val="Normal5"/>
      </w:pPr>
      <w:r>
        <w:t>Kolektivni ugovor za državne službenike i namještenike</w:t>
      </w:r>
    </w:p>
    <w:p w:rsidR="00D849AA" w:rsidRDefault="00EE6D95">
      <w:pPr>
        <w:pStyle w:val="Naslov5"/>
      </w:pPr>
      <w:r>
        <w:t>Procjena i ishodište potrebnih sredstava za značajnije aktivnosti/projekte</w:t>
      </w:r>
    </w:p>
    <w:p w:rsidR="00D849AA" w:rsidRDefault="00EE6D95">
      <w:pPr>
        <w:pStyle w:val="Naslov6"/>
      </w:pPr>
      <w:r>
        <w:t>A501000 ADMINISTRACIJA I UPRAVLJANJE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A501000</w:t>
            </w:r>
          </w:p>
        </w:tc>
        <w:tc>
          <w:tcPr>
            <w:tcW w:w="1486" w:type="dxa"/>
          </w:tcPr>
          <w:p w:rsidR="00D849AA" w:rsidRDefault="00EE6D95">
            <w:r>
              <w:t>140.105.120</w:t>
            </w:r>
          </w:p>
        </w:tc>
        <w:tc>
          <w:tcPr>
            <w:tcW w:w="1486" w:type="dxa"/>
          </w:tcPr>
          <w:p w:rsidR="00D849AA" w:rsidRDefault="00EE6D95">
            <w:r>
              <w:t>138.654.317</w:t>
            </w:r>
          </w:p>
        </w:tc>
        <w:tc>
          <w:tcPr>
            <w:tcW w:w="1486" w:type="dxa"/>
          </w:tcPr>
          <w:p w:rsidR="00D849AA" w:rsidRDefault="00EE6D95">
            <w:r>
              <w:t>137.102.000</w:t>
            </w:r>
          </w:p>
        </w:tc>
        <w:tc>
          <w:tcPr>
            <w:tcW w:w="1486" w:type="dxa"/>
          </w:tcPr>
          <w:p w:rsidR="00D849AA" w:rsidRDefault="00EE6D95">
            <w:r>
              <w:t>140.993.000</w:t>
            </w:r>
          </w:p>
        </w:tc>
        <w:tc>
          <w:tcPr>
            <w:tcW w:w="1486" w:type="dxa"/>
          </w:tcPr>
          <w:p w:rsidR="00D849AA" w:rsidRDefault="00EE6D95">
            <w:r>
              <w:t>99,0</w:t>
            </w:r>
          </w:p>
        </w:tc>
      </w:tr>
    </w:tbl>
    <w:p w:rsidR="00D849AA" w:rsidRDefault="00D849AA">
      <w:pPr>
        <w:jc w:val="left"/>
      </w:pPr>
    </w:p>
    <w:p w:rsidR="00D849AA" w:rsidRDefault="00EE6D95">
      <w:pPr>
        <w:pStyle w:val="Normal6"/>
      </w:pPr>
      <w:r>
        <w:t xml:space="preserve">Kroz aktivnost A501000 Administracija i upravljanje planirana su sredstva za podmirenje osnovnih potreba za normalno funkcioniranje Hrvatskoga sabora u obavljanju stručnih administrativnih i sigurnosnih poslova u pripremi i organiziranju sjednica Sabora, pripremi i objavi donesenih zakona, odluka i zaključaka Sabora, praćenju izvršavanja zaključaka Sabora, radu izaslanstava Sabora, poslova za zastupnike i klubove zastupnika, poslova iz djelokruga radno-pravnih odnosa, poslova u vezi s obavješćivanjem javnosti o radu Sabora i njegovih radnih tijela, materijalnog i financijskog poslovanja Sabora, poslova u svezi s tiskanjem, otpremom, arhiviranjem dokumentacije i akata Sabora te poslova nadzora ulaska  u zgrade Sabora.  </w:t>
      </w:r>
    </w:p>
    <w:p w:rsidR="00D849AA" w:rsidRDefault="00EE6D95">
      <w:pPr>
        <w:pStyle w:val="Normal6"/>
      </w:pPr>
      <w:r>
        <w:t xml:space="preserve">U srpnju ove godine Hrvatski sabor je postao nacionalnim parlamentom države članice Europske unije, što je položaj koji donosi nova prava i obveze. Jačanjem uloge nacionalnih parlamenata Europska unija nastoji prevladati demokratski deficit nastao zbog percepcije udaljavanja Europske unije od svojih građana. Nacionalni parlamenti stoga, osim što kroz različite nacionalne modele nadziru djelovanje svojih vlada u institucijama Europske unije, izravno sudjeluju u obavljanju europskih poslova provjerom poštovanja načela supsidijarnosti u nacrtima zakonodavnih akata i zakonodavnim aktima Europske unije, raspravom o izmjenama temeljnih ugovora Europske unije, odlučivanjem o primjeni klauzule premošćivanja te uključivanjem u politički dijalog s institucijama Europske unije. Sukladno novim obvezama Hrvatski sabor je izradio Zakon o suradnji Hrvatskoga sabora i Vlade Republike Hrvatske u europskim poslovima te novi saborski Poslovnik.  </w:t>
      </w:r>
    </w:p>
    <w:p w:rsidR="00D849AA" w:rsidRDefault="00EE6D95">
      <w:pPr>
        <w:pStyle w:val="Normal6"/>
      </w:pPr>
      <w:r>
        <w:t xml:space="preserve">Hrvatski sabor, sukladno Ustavu Republike Hrvatske, predstavničko je tijelo građana i nositelj zakonodavne vlasti u Republici Hrvatskoj. Navedeno ustavno određenje Hrvatskog sabora determinira i njegovu osnovnu zakonodavnu djelatnost koja se do 1. srpnja 2013. odnosila isključivo na nacionalno zakonodavstvo. Ulaskom Republike Hrvatske u Europsku uniju, a temeljem Lisabonskog ugovora te pratećih Protokola, znatno su se promijenile nadležnosti Hrvatskoga sabora. Stoga će Hrvatski sabor u narednom </w:t>
      </w:r>
      <w:r>
        <w:lastRenderedPageBreak/>
        <w:t xml:space="preserve">trogodišnjem razdoblju nastaviti obavljati i sljedeće poslove: praćenje i nadziranje rada Vlade u institucijama Europske unije, razmatranje dokumenata Europske unije i stajališta Republike Hrvatske o kojima Sabor može donijeti zaključak, nadziranje poštovanja načela supsidijarnosti, odlučivanje o primjeni klauzule premošćivanja, sudjelovanje u postupku predlaganja kandidata Republike Hrvatske za institucije i tijela Europske unije, sudjelovanje u postupcima revizije temeljnih ugovora Europske unije u skladu s člankom 48. Ugovora o Europskoj uniji, sudjelovanje u ocjeni mehanizama za primjenu politika Unije u okviru slobode, sigurnosti i pravde u skladu s člankom 70. Ugovora o funkcioniranju Europske unije, sudjelovanje u političkom praćenju rada Europola i ocjeni aktivnosti Eurojusta u skladu s člancima 85. i 88. Ugovora o funkcioniranju Europske unije, sudjelovanje u međuparlamentarnoj suradnji nacionalnih parlamenata i u suradnji s Europskim parlamentom u skladu s Protokolom o ulozi nacionalnih parlamenata u Europskoj uniji te praćenje i nadziranje Vlade u osiguravanju održivosti reformi i provedbi svih obveza proisteklih iz pregovora s Europskom unijom te dosljednoj primjeni pravne stečevine Europske unije. </w:t>
      </w:r>
    </w:p>
    <w:p w:rsidR="00D849AA" w:rsidRDefault="00EE6D95">
      <w:pPr>
        <w:pStyle w:val="Normal6"/>
      </w:pPr>
      <w:r>
        <w:t>Kao što je vidljivo iz navedenog, položaj nacionalnog parlamenta države članice Europske unije donosi nove obveze koje će u budućem razdoblju zahtijevati kontinuirano jačanje kapaciteta Hrvatskoga sabora, kako kadrovskih tako i tehnoloških, a u cilju ne samo smislenog, već i aktivnog  funkcioniranja Republike Hrvatske u Europskoj uniji. Parlamentarna diplomacija ostaje važan dio zastupničke aktivnosti i nakon pristupanja Republike Hrvatske Europskoj uniji. Potonje će zahtijevati veći angažman zastupnika Hrvatskoga sabora zbog sudjelovanja u parlamentarnoj dimenziji Europske unije, kako u organizaciji Europskog parlamenta tako i u organizaciji nacionalnih parlamenata zemalja članica. Osim navedenog, ne smije se zanemariti aktivnost Hrvatskoga sabora u drugim međunarodnim organizacijama i tijelima, a ista se provodi putem stalnih izaslanstava Hrvatskoga sabora (Izvršni odbor Nacionalne grupe Hrvatskoga sabora pri Interparlamentarnoj uniji, Izaslanstvo Hrvatskoga sabora u Parlamentarnoj skupštini Mediterana, Izaslanstvo Hrvatskoga sabora u Parlamentarnoj skupštini NATO-a, Izaslanstvo Hrvatskoga sabora u Parlamentarnoj skupštini Vijeća Europe, Izaslanstvo Hrvatskoga sabora u Parlamentarnoj dimenziji Srednjoeuropske inicijative,  Izaslanstvo Hrvatskoga sabora u Parlamentarnoj skupštini OESS-a, Izaslanstvo Hrvatskoga sabora u Parlamentarnoj skupštini Unije za Mediteran). Kako je međuparlamentarna suradnja, koja se u najvećem dijelu odvija na međunarodnim konferencijama i sastancima, obveza Hrvatskoga sabora, a izaslanstva dio organizacijske strukture Sabora, bilo je potrebno osigurati sredstva za njihov rad.</w:t>
      </w:r>
    </w:p>
    <w:p w:rsidR="00D849AA" w:rsidRDefault="00EE6D95">
      <w:pPr>
        <w:pStyle w:val="Naslov2"/>
      </w:pPr>
      <w:r>
        <w:t>01020 Državno izborno povjerenstvo Republike Hrvatske</w:t>
      </w:r>
    </w:p>
    <w:p w:rsidR="00D849AA" w:rsidRDefault="00EE6D95">
      <w:pPr>
        <w:pStyle w:val="Naslov4"/>
      </w:pPr>
      <w:r>
        <w:t>Uvod</w:t>
      </w:r>
    </w:p>
    <w:p w:rsidR="00D849AA" w:rsidRDefault="00EE6D95">
      <w:pPr>
        <w:pStyle w:val="Normal3"/>
      </w:pPr>
      <w:r>
        <w:t xml:space="preserve">Državno izborno povjerenstvo Republike Hrvatske (u daljnjem tekstu: Povjerenstvo) obavlja poslove iz svog djelokruga u skladu sa Zakonom o Državnom izbornom povjerenstvu te zakonima koji uređuju izbor zastupnika u Hrvatski sabor, izbor predsjednika Republike Hrvatske, izbor članova u Europski parlament iz Republike Hrvatske, lokalnih izbora (izbor članova predstavničkih tijela jedinica lokalne i područne (regionalne) samouprave, izbor općinskih načelnika, gradonačelnika, župana te njihovih zamjenika i izbor zamjenika općinskih načelnika, gradonačelnika i župana iz reda pripadnika nacionalnih manjina te iz reda pripadnika hrvatskog naroda), izbor članova vijeća i predstavnika nacionalnih manjina u jedinicama lokalne i područne (regionalne) samouprave te provedbu državnog, lokalnog i savjetodavnog referenduma. </w:t>
      </w:r>
    </w:p>
    <w:p w:rsidR="00F64340" w:rsidRDefault="00F64340">
      <w:pPr>
        <w:pStyle w:val="Normal3"/>
      </w:pPr>
    </w:p>
    <w:p w:rsidR="00F64340" w:rsidRDefault="00F64340">
      <w:pPr>
        <w:pStyle w:val="Normal3"/>
      </w:pPr>
    </w:p>
    <w:p w:rsidR="00D849AA" w:rsidRDefault="00EE6D95">
      <w:pPr>
        <w:pStyle w:val="Normal3"/>
      </w:pPr>
      <w:r>
        <w:lastRenderedPageBreak/>
        <w:t xml:space="preserve">Pored prethodno navedenih poslova, Povjerenstvo obavlja i sljedeće poslove: </w:t>
      </w:r>
    </w:p>
    <w:p w:rsidR="00D849AA" w:rsidRDefault="00EE6D95">
      <w:pPr>
        <w:pStyle w:val="Normal3"/>
      </w:pPr>
      <w:r>
        <w:t xml:space="preserve">– daje mišljenja za dogradnju i unapređivanje izbornog zakonodavstva te zakonodavstva koje regulira pitanje referenduma, </w:t>
      </w:r>
    </w:p>
    <w:p w:rsidR="00D849AA" w:rsidRDefault="00EE6D95">
      <w:pPr>
        <w:pStyle w:val="Normal3"/>
      </w:pPr>
      <w:r>
        <w:t xml:space="preserve">– imenuje članove županijskih izbornih povjerenstava i gradskoga izbornog povjerenstva Grada Zagreba, </w:t>
      </w:r>
    </w:p>
    <w:p w:rsidR="00D849AA" w:rsidRDefault="00EE6D95">
      <w:pPr>
        <w:pStyle w:val="Normal3"/>
      </w:pPr>
      <w:r>
        <w:t xml:space="preserve">– provodi edukaciju članova izbornih povjerenstava i povjerenstava za provedbu referenduma u jedinicama lokalne i područne (regionalne) samouprave, </w:t>
      </w:r>
    </w:p>
    <w:p w:rsidR="00D849AA" w:rsidRDefault="00EE6D95">
      <w:pPr>
        <w:pStyle w:val="Normal3"/>
      </w:pPr>
      <w:r>
        <w:t xml:space="preserve">– informira građane o provedbi izbora te mogućnosti ostvarenja i zaštite biračkog prava u izbornom postupku, </w:t>
      </w:r>
    </w:p>
    <w:p w:rsidR="00D849AA" w:rsidRDefault="00EE6D95">
      <w:pPr>
        <w:pStyle w:val="Normal3"/>
      </w:pPr>
      <w:r>
        <w:t xml:space="preserve">– određuje način arhiviranja i objavljivanja materijala o provedenim izborima i referendumu, </w:t>
      </w:r>
    </w:p>
    <w:p w:rsidR="00D849AA" w:rsidRDefault="00EE6D95">
      <w:pPr>
        <w:pStyle w:val="Normal3"/>
      </w:pPr>
      <w:r>
        <w:t xml:space="preserve">– objavljuje periodične, stručne publikacije vezano uz izborni sustav, provedbu izbora i praksu, </w:t>
      </w:r>
    </w:p>
    <w:p w:rsidR="00D849AA" w:rsidRDefault="00EE6D95">
      <w:pPr>
        <w:pStyle w:val="Normal3"/>
      </w:pPr>
      <w:r>
        <w:t xml:space="preserve">– podnosi izvješća nadležnim tijelima o provedbi izbora i referenduma, </w:t>
      </w:r>
    </w:p>
    <w:p w:rsidR="00D849AA" w:rsidRDefault="00EE6D95">
      <w:pPr>
        <w:pStyle w:val="Normal3"/>
      </w:pPr>
      <w:r>
        <w:t xml:space="preserve">- utvrđuje organizaciju stručne službe Povjerenstva, izabire tajnika Povjerenstva i njegova zamjenika, </w:t>
      </w:r>
    </w:p>
    <w:p w:rsidR="00D849AA" w:rsidRDefault="00EE6D95">
      <w:pPr>
        <w:pStyle w:val="Normal3"/>
      </w:pPr>
      <w:r>
        <w:t xml:space="preserve">– ostvaruje suradnju s organizacijama u zemlji te s međunarodnim organizacijama i institucijama u domeni izbornog zakonodavstva i izbora uopće, </w:t>
      </w:r>
    </w:p>
    <w:p w:rsidR="00D849AA" w:rsidRDefault="00EE6D95">
      <w:pPr>
        <w:pStyle w:val="Normal3"/>
      </w:pPr>
      <w:r>
        <w:t>– podnosi Hrvatskom saboru izvješće o provedenim izborima i referendumu u roku od 60 dana od dana objave službenih rezultata izbora.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rsidRPr="00F64340">
        <w:trPr>
          <w:jc w:val="center"/>
        </w:trPr>
        <w:tc>
          <w:tcPr>
            <w:tcW w:w="1486" w:type="dxa"/>
            <w:shd w:val="clear" w:color="auto" w:fill="B5C0D8"/>
          </w:tcPr>
          <w:p w:rsidR="00D849AA" w:rsidRPr="00F64340" w:rsidRDefault="00D849AA">
            <w:pPr>
              <w:pStyle w:val="CellHeader"/>
            </w:pPr>
          </w:p>
        </w:tc>
        <w:tc>
          <w:tcPr>
            <w:tcW w:w="1486" w:type="dxa"/>
            <w:shd w:val="clear" w:color="auto" w:fill="B5C0D8"/>
          </w:tcPr>
          <w:p w:rsidR="00D849AA" w:rsidRPr="00F64340" w:rsidRDefault="00EE6D95">
            <w:pPr>
              <w:pStyle w:val="CellHeader"/>
            </w:pPr>
            <w:r w:rsidRPr="00F64340">
              <w:t>Plan 2013.</w:t>
            </w:r>
          </w:p>
        </w:tc>
        <w:tc>
          <w:tcPr>
            <w:tcW w:w="1486" w:type="dxa"/>
            <w:shd w:val="clear" w:color="auto" w:fill="B5C0D8"/>
          </w:tcPr>
          <w:p w:rsidR="00D849AA" w:rsidRPr="00F64340" w:rsidRDefault="00EE6D95">
            <w:pPr>
              <w:pStyle w:val="CellHeader"/>
            </w:pPr>
            <w:r w:rsidRPr="00F64340">
              <w:t>Plan 2014.</w:t>
            </w:r>
          </w:p>
        </w:tc>
        <w:tc>
          <w:tcPr>
            <w:tcW w:w="1486" w:type="dxa"/>
            <w:shd w:val="clear" w:color="auto" w:fill="B5C0D8"/>
          </w:tcPr>
          <w:p w:rsidR="00D849AA" w:rsidRPr="00F64340" w:rsidRDefault="00EE6D95">
            <w:pPr>
              <w:pStyle w:val="CellHeader"/>
            </w:pPr>
            <w:r w:rsidRPr="00F64340">
              <w:t>Plan 2015.</w:t>
            </w:r>
          </w:p>
        </w:tc>
        <w:tc>
          <w:tcPr>
            <w:tcW w:w="1486" w:type="dxa"/>
            <w:shd w:val="clear" w:color="auto" w:fill="B5C0D8"/>
          </w:tcPr>
          <w:p w:rsidR="00D849AA" w:rsidRPr="00F64340" w:rsidRDefault="00EE6D95">
            <w:pPr>
              <w:pStyle w:val="CellHeader"/>
            </w:pPr>
            <w:r w:rsidRPr="00F64340">
              <w:t>Plan 2016.</w:t>
            </w:r>
          </w:p>
        </w:tc>
        <w:tc>
          <w:tcPr>
            <w:tcW w:w="1486" w:type="dxa"/>
            <w:shd w:val="clear" w:color="auto" w:fill="B5C0D8"/>
          </w:tcPr>
          <w:p w:rsidR="00D849AA" w:rsidRPr="00F64340" w:rsidRDefault="00EE6D95">
            <w:pPr>
              <w:pStyle w:val="CellHeader"/>
            </w:pPr>
            <w:r w:rsidRPr="00F64340">
              <w:t>Indeks 2014/2013</w:t>
            </w:r>
          </w:p>
        </w:tc>
      </w:tr>
      <w:tr w:rsidR="00D849AA" w:rsidRPr="00F64340">
        <w:trPr>
          <w:jc w:val="center"/>
        </w:trPr>
        <w:tc>
          <w:tcPr>
            <w:tcW w:w="1486" w:type="dxa"/>
          </w:tcPr>
          <w:p w:rsidR="00D849AA" w:rsidRPr="00F64340" w:rsidRDefault="00EE6D95">
            <w:pPr>
              <w:pStyle w:val="CellColumn"/>
            </w:pPr>
            <w:r w:rsidRPr="00F64340">
              <w:t>01020</w:t>
            </w:r>
          </w:p>
        </w:tc>
        <w:tc>
          <w:tcPr>
            <w:tcW w:w="1486" w:type="dxa"/>
          </w:tcPr>
          <w:p w:rsidR="00D849AA" w:rsidRPr="00F64340" w:rsidRDefault="00EE6D95">
            <w:pPr>
              <w:rPr>
                <w:rFonts w:ascii="Arial" w:hAnsi="Arial" w:cs="Arial"/>
              </w:rPr>
            </w:pPr>
            <w:r w:rsidRPr="00F64340">
              <w:rPr>
                <w:rFonts w:ascii="Arial" w:hAnsi="Arial" w:cs="Arial"/>
              </w:rPr>
              <w:t>103.181.000</w:t>
            </w:r>
          </w:p>
        </w:tc>
        <w:tc>
          <w:tcPr>
            <w:tcW w:w="1486" w:type="dxa"/>
          </w:tcPr>
          <w:p w:rsidR="00D849AA" w:rsidRPr="00F64340" w:rsidRDefault="00EE6D95">
            <w:pPr>
              <w:rPr>
                <w:rFonts w:ascii="Arial" w:hAnsi="Arial" w:cs="Arial"/>
              </w:rPr>
            </w:pPr>
            <w:r w:rsidRPr="00F64340">
              <w:rPr>
                <w:rFonts w:ascii="Arial" w:hAnsi="Arial" w:cs="Arial"/>
              </w:rPr>
              <w:t>78.518.000</w:t>
            </w:r>
          </w:p>
        </w:tc>
        <w:tc>
          <w:tcPr>
            <w:tcW w:w="1486" w:type="dxa"/>
          </w:tcPr>
          <w:p w:rsidR="00D849AA" w:rsidRPr="00F64340" w:rsidRDefault="00EE6D95">
            <w:pPr>
              <w:rPr>
                <w:rFonts w:ascii="Arial" w:hAnsi="Arial" w:cs="Arial"/>
              </w:rPr>
            </w:pPr>
            <w:r w:rsidRPr="00F64340">
              <w:rPr>
                <w:rFonts w:ascii="Arial" w:hAnsi="Arial" w:cs="Arial"/>
              </w:rPr>
              <w:t>179.780.000</w:t>
            </w:r>
          </w:p>
        </w:tc>
        <w:tc>
          <w:tcPr>
            <w:tcW w:w="1486" w:type="dxa"/>
          </w:tcPr>
          <w:p w:rsidR="00D849AA" w:rsidRPr="00F64340" w:rsidRDefault="00EE6D95">
            <w:pPr>
              <w:rPr>
                <w:rFonts w:ascii="Arial" w:hAnsi="Arial" w:cs="Arial"/>
              </w:rPr>
            </w:pPr>
            <w:r w:rsidRPr="00F64340">
              <w:rPr>
                <w:rFonts w:ascii="Arial" w:hAnsi="Arial" w:cs="Arial"/>
              </w:rPr>
              <w:t>31.098.000</w:t>
            </w:r>
          </w:p>
        </w:tc>
        <w:tc>
          <w:tcPr>
            <w:tcW w:w="1486" w:type="dxa"/>
          </w:tcPr>
          <w:p w:rsidR="00D849AA" w:rsidRPr="00F64340" w:rsidRDefault="00EE6D95">
            <w:pPr>
              <w:rPr>
                <w:rFonts w:ascii="Arial" w:hAnsi="Arial" w:cs="Arial"/>
              </w:rPr>
            </w:pPr>
            <w:r w:rsidRPr="00F64340">
              <w:rPr>
                <w:rFonts w:ascii="Arial" w:hAnsi="Arial" w:cs="Arial"/>
              </w:rPr>
              <w:t>76,1</w:t>
            </w:r>
          </w:p>
        </w:tc>
      </w:tr>
    </w:tbl>
    <w:p w:rsidR="00D849AA" w:rsidRDefault="00D849AA">
      <w:pPr>
        <w:jc w:val="left"/>
      </w:pPr>
    </w:p>
    <w:p w:rsidR="00D849AA" w:rsidRDefault="00EE6D95">
      <w:pPr>
        <w:pStyle w:val="Naslov4"/>
      </w:pPr>
      <w:r>
        <w:t>OBRAZLOŽENJE PROGRAMA</w:t>
      </w:r>
    </w:p>
    <w:p w:rsidR="00D849AA" w:rsidRDefault="00EE6D95">
      <w:pPr>
        <w:pStyle w:val="Naslov5"/>
      </w:pPr>
      <w:r>
        <w:t>2103 PROVEDBA IZBORA I REFERENDUMA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2103</w:t>
            </w:r>
          </w:p>
        </w:tc>
        <w:tc>
          <w:tcPr>
            <w:tcW w:w="1486" w:type="dxa"/>
          </w:tcPr>
          <w:p w:rsidR="00D849AA" w:rsidRDefault="00EE6D95">
            <w:r>
              <w:t>103.181.000</w:t>
            </w:r>
          </w:p>
        </w:tc>
        <w:tc>
          <w:tcPr>
            <w:tcW w:w="1486" w:type="dxa"/>
          </w:tcPr>
          <w:p w:rsidR="00D849AA" w:rsidRDefault="00EE6D95">
            <w:r>
              <w:t>78.518.000</w:t>
            </w:r>
          </w:p>
        </w:tc>
        <w:tc>
          <w:tcPr>
            <w:tcW w:w="1486" w:type="dxa"/>
          </w:tcPr>
          <w:p w:rsidR="00D849AA" w:rsidRDefault="00EE6D95">
            <w:r>
              <w:t>179.780.000</w:t>
            </w:r>
          </w:p>
        </w:tc>
        <w:tc>
          <w:tcPr>
            <w:tcW w:w="1486" w:type="dxa"/>
          </w:tcPr>
          <w:p w:rsidR="00D849AA" w:rsidRDefault="00EE6D95">
            <w:r>
              <w:t>31.098.000</w:t>
            </w:r>
          </w:p>
        </w:tc>
        <w:tc>
          <w:tcPr>
            <w:tcW w:w="1486" w:type="dxa"/>
          </w:tcPr>
          <w:p w:rsidR="00D849AA" w:rsidRDefault="00EE6D95">
            <w:r>
              <w:t>76,1</w:t>
            </w:r>
          </w:p>
        </w:tc>
      </w:tr>
    </w:tbl>
    <w:p w:rsidR="00D849AA" w:rsidRDefault="00D849AA">
      <w:pPr>
        <w:jc w:val="left"/>
      </w:pPr>
    </w:p>
    <w:p w:rsidR="00D849AA" w:rsidRDefault="00EE6D95">
      <w:pPr>
        <w:pStyle w:val="Naslov6"/>
      </w:pPr>
      <w:r>
        <w:t>Opis programa</w:t>
      </w:r>
    </w:p>
    <w:p w:rsidR="00D849AA" w:rsidRDefault="00EE6D95">
      <w:pPr>
        <w:pStyle w:val="Normal5"/>
      </w:pPr>
      <w:r>
        <w:t xml:space="preserve">Provedba izbora za zastupnike u Hrvatski sabor, izbora za predsjednika Republike Hrvatske, izbora članova u Europski parlament iz Republike Hrvatske, lokalnih izbora (izbora članova predstavničkih tijela jedinica lokalne i područne (regionalne) samouprave, izbora općinskih načelnika, gradonačelnika, župana te njihovih zamjenika,  i izbora zamjenika općinskih načelnika, gradonačelnika i župana iz reda pripadnika nacionalnih manjina te iz reda pripadnika hrvatskog naroda), izbora za članove vijeća i predstavnika nacionalnih manjina u jedinicama lokalne i područne (regionalne) samouprave te provedba državnog, lokalnog i savjetodavnog referenduma. </w:t>
      </w:r>
    </w:p>
    <w:p w:rsidR="00D849AA" w:rsidRDefault="00EE6D95">
      <w:pPr>
        <w:pStyle w:val="Normal5"/>
      </w:pPr>
      <w:r>
        <w:t>U 2014. godini održati će se redovni izbori za članove u Europski parlament iz Republike Hrvatske, te redovni izbori za predsjednika Republike Hrvatske.</w:t>
      </w:r>
    </w:p>
    <w:p w:rsidR="00D849AA" w:rsidRDefault="00EE6D95">
      <w:pPr>
        <w:pStyle w:val="Naslov6"/>
      </w:pPr>
      <w:r>
        <w:lastRenderedPageBreak/>
        <w:t>Zakonske i druge pravne osnove</w:t>
      </w:r>
    </w:p>
    <w:p w:rsidR="00D849AA" w:rsidRDefault="00EE6D95">
      <w:pPr>
        <w:pStyle w:val="Normal5"/>
      </w:pPr>
      <w:r>
        <w:t xml:space="preserve">Zakon o Državnom izbornom povjerenstvu </w:t>
      </w:r>
    </w:p>
    <w:p w:rsidR="00D849AA" w:rsidRDefault="00EE6D95">
      <w:pPr>
        <w:pStyle w:val="Normal5"/>
      </w:pPr>
      <w:r>
        <w:t xml:space="preserve">Zakon o izborima zastupnika u Hrvatski sabor </w:t>
      </w:r>
    </w:p>
    <w:p w:rsidR="00D849AA" w:rsidRDefault="00EE6D95">
      <w:pPr>
        <w:pStyle w:val="Normal5"/>
      </w:pPr>
      <w:r>
        <w:t xml:space="preserve">Zakon o izboru predsjednika Republike Hrvatske </w:t>
      </w:r>
    </w:p>
    <w:p w:rsidR="00D849AA" w:rsidRDefault="00EE6D95">
      <w:pPr>
        <w:pStyle w:val="Normal5"/>
      </w:pPr>
      <w:r>
        <w:t xml:space="preserve">Zakon o lokalnim izborima </w:t>
      </w:r>
    </w:p>
    <w:p w:rsidR="00D849AA" w:rsidRDefault="00EE6D95">
      <w:pPr>
        <w:pStyle w:val="Normal5"/>
      </w:pPr>
      <w:r>
        <w:t xml:space="preserve">Zakon o lokalnoj i područnoj (regionalnoj) samoupravi </w:t>
      </w:r>
    </w:p>
    <w:p w:rsidR="00D849AA" w:rsidRDefault="00EE6D95">
      <w:pPr>
        <w:pStyle w:val="Normal5"/>
      </w:pPr>
      <w:r>
        <w:t xml:space="preserve">Zakon o referendumu i drugim oblicima osobnog sudjelovanja u obavljanju državne vlasti i lokalne i područne (regionalne) samouprave </w:t>
      </w:r>
    </w:p>
    <w:p w:rsidR="00D849AA" w:rsidRDefault="00EE6D95">
      <w:pPr>
        <w:pStyle w:val="Normal5"/>
      </w:pPr>
      <w:r>
        <w:t xml:space="preserve">Zakon o izboru članova u Europski parlament iz Republike Hrvatske  </w:t>
      </w:r>
    </w:p>
    <w:p w:rsidR="00D849AA" w:rsidRDefault="00EE6D95">
      <w:pPr>
        <w:pStyle w:val="Normal5"/>
      </w:pPr>
      <w:r>
        <w:t>Zakon o financiranju političkih aktivnosti i izborne promidžbe</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Cilj 1. Zakonito, učinkovito i transparentno provedeni izbori i referendum, dostupni svim biračima sa pravovremenim i točnim rezultatima</w:t>
      </w:r>
    </w:p>
    <w:p w:rsidR="00D849AA" w:rsidRDefault="00EE6D95">
      <w:pPr>
        <w:pStyle w:val="Normal6"/>
      </w:pPr>
      <w:r>
        <w:t xml:space="preserve">Državno izborno povjerenstvo na svim izborima ima zakonski propisane ovlasti u pripremi i provedbi izbora, a organizirana i učinkovita priprema izbora, jedan je od glavnih preduvjeta transparentno provedenih izbora. </w:t>
      </w:r>
    </w:p>
    <w:p w:rsidR="00D849AA" w:rsidRDefault="00EE6D95">
      <w:pPr>
        <w:pStyle w:val="Normal6"/>
      </w:pPr>
      <w:r>
        <w:t xml:space="preserve">Tijekom pripreme i provedbe izbora Povjerenstvo: </w:t>
      </w:r>
    </w:p>
    <w:p w:rsidR="00D849AA" w:rsidRDefault="00EE6D95">
      <w:pPr>
        <w:pStyle w:val="Normal6"/>
      </w:pPr>
      <w:r>
        <w:t xml:space="preserve">- imenuje članove izbornih povjerenstava, sukladno zakonskim odredbama </w:t>
      </w:r>
    </w:p>
    <w:p w:rsidR="00D849AA" w:rsidRDefault="00EE6D95">
      <w:pPr>
        <w:pStyle w:val="Normal6"/>
      </w:pPr>
      <w:r>
        <w:t xml:space="preserve">- utvrđuje obvezatne upute za rad izbornih povjerenstava i biračkih odbora </w:t>
      </w:r>
    </w:p>
    <w:p w:rsidR="00D849AA" w:rsidRDefault="00EE6D95">
      <w:pPr>
        <w:pStyle w:val="Normal6"/>
      </w:pPr>
      <w:r>
        <w:t xml:space="preserve">- određuje biračka mjesta i imenuje biračke odbore u hrvatskim diplomatsko konzularnim predstavništvima </w:t>
      </w:r>
    </w:p>
    <w:p w:rsidR="00D849AA" w:rsidRDefault="00EE6D95">
      <w:pPr>
        <w:pStyle w:val="Normal6"/>
      </w:pPr>
      <w:r>
        <w:t xml:space="preserve">- propisuje obrasce u postupku pripreme i provedbe izbora </w:t>
      </w:r>
    </w:p>
    <w:p w:rsidR="00D849AA" w:rsidRDefault="00EE6D95">
      <w:pPr>
        <w:pStyle w:val="Normal6"/>
      </w:pPr>
      <w:r>
        <w:t xml:space="preserve">- nadzire rad izbornih povjerenstava </w:t>
      </w:r>
    </w:p>
    <w:p w:rsidR="00D849AA" w:rsidRDefault="00EE6D95">
      <w:pPr>
        <w:pStyle w:val="Normal6"/>
      </w:pPr>
      <w:r>
        <w:t xml:space="preserve">- nadzire pravilnost izborne promidžbe </w:t>
      </w:r>
    </w:p>
    <w:p w:rsidR="00D849AA" w:rsidRDefault="00EE6D95">
      <w:pPr>
        <w:pStyle w:val="Normal6"/>
      </w:pPr>
      <w:r>
        <w:t xml:space="preserve">- provodi nadzor financiranja izborne promidžbe </w:t>
      </w:r>
    </w:p>
    <w:p w:rsidR="00D849AA" w:rsidRDefault="00EE6D95">
      <w:pPr>
        <w:pStyle w:val="Normal6"/>
      </w:pPr>
      <w:r>
        <w:t xml:space="preserve">- objavljuje rezultate izbora. </w:t>
      </w:r>
    </w:p>
    <w:p w:rsidR="00D849AA" w:rsidRDefault="00EE6D95">
      <w:pPr>
        <w:pStyle w:val="Normal6"/>
      </w:pPr>
      <w:r>
        <w:t xml:space="preserve">Dostupnost glasovanja je preduvjet dobro provedenih izbora. Visoki standard vezano uz dostupnost glasovanja koji je postignut na posljednjim izborima, održat će se i na idućim izborima, a u dogovoru i suradnji sa nižim izbornim tijelima Povjerenstvo će analizirati mrežu biračkih mjesta u Republici Hrvatskoj, vodeći računa o dosadašnjim pozitivnim rješenjima, te ju, po potrebi, prilagođavati potrebama birača. </w:t>
      </w:r>
    </w:p>
    <w:p w:rsidR="00D849AA" w:rsidRDefault="00EE6D95">
      <w:pPr>
        <w:pStyle w:val="Normal6"/>
      </w:pPr>
      <w:r>
        <w:t>Cjelovita informatička podrška provedbi izbora, kako bi se rezultati izbora obradili na najbolji mogući način primjenom jedinstvene aplikacije te s najvećim stupnjem informacijske sigurnosti, nužan je preduvjet pravovremenih i točnih izbornih rezultata.</w:t>
      </w:r>
    </w:p>
    <w:p w:rsidR="00D849AA" w:rsidRDefault="00EE6D95">
      <w:pPr>
        <w:pStyle w:val="Naslov7"/>
      </w:pPr>
      <w:r>
        <w:t>Cilj 2. Podizanje razine učinkovitosti izbornih procesa te jačanje povjerenja u izborni sustav</w:t>
      </w:r>
    </w:p>
    <w:p w:rsidR="00D849AA" w:rsidRDefault="00EE6D95">
      <w:pPr>
        <w:pStyle w:val="Normal6"/>
      </w:pPr>
      <w:r>
        <w:t xml:space="preserve">Na podizanje razine učinkovitosti izbornih procesa utjecat će se mišljenjima za dogradnju i izmjenu izbornog zakonodavstva nakon detaljne analize poslije svakih provedenih izbora, edukacijom i informiranjem svih sudionika izbornog procesa, a posebice članova </w:t>
      </w:r>
      <w:r>
        <w:lastRenderedPageBreak/>
        <w:t>izbornih tijela. Na jačanje povjerenja u izborni sustav utjecat će se transparentnošću cjelovite informatičke podrške kako državnih tako i lokalnih izbora.</w:t>
      </w:r>
    </w:p>
    <w:p w:rsidR="00D849AA" w:rsidRDefault="00EE6D95">
      <w:pPr>
        <w:pStyle w:val="Naslov7"/>
      </w:pPr>
      <w:r>
        <w:t xml:space="preserve">Cilj 3. Provedba nadzora nad financijskim poslovanjem političkih stranaka, nezavisnih zastupnika, članova predstavničkih tijela jedinica lokalne i područne (regionalne) samouprave izabranih s liste grupe birača, nezavisnih lista, odnosno lista grupa birača i kandidata </w:t>
      </w:r>
    </w:p>
    <w:p w:rsidR="00D849AA" w:rsidRDefault="00EE6D95">
      <w:pPr>
        <w:pStyle w:val="Normal6"/>
      </w:pPr>
      <w:r>
        <w:t>Na temelju Zakona o financiranju političkih aktivnosti i izborne promidžbe, Državno izborno povjerenstvo nadzire godišnje financijsko poslovanje i godišnje financijske izvještaje političkih stranaka, nezavisnih zastupnika, članova predstavničkih tijela jedinica lokalne i područne (regionalne) samouprave izabranih s liste grupe birača, nezavisnih lista, odnosno lista grupa birača i kandidata.</w:t>
      </w:r>
    </w:p>
    <w:p w:rsidR="00D849AA" w:rsidRDefault="00EE6D95">
      <w:pPr>
        <w:pStyle w:val="Naslov7"/>
      </w:pPr>
      <w:r>
        <w:t xml:space="preserve">Cilj 4. Provedba nadzora financiranja izborne promidžbe </w:t>
      </w:r>
    </w:p>
    <w:p w:rsidR="00D849AA" w:rsidRDefault="00EE6D95">
      <w:pPr>
        <w:pStyle w:val="Normal6"/>
      </w:pPr>
      <w:r>
        <w:t>U suradnji sa nadležnim izbornim povjerenstvima, Državno izborno povjerenstvo poštuje odredbe Zakona o financiranju političkih aktivnosti i izborne promidžbe koje se odnose na izbornu promidžbu, financijske račune koji se odnose na financiranje izborne promidžbe, prikupljanje donacija i troškove izborne promidžbe, izvještavanje o financiranju izborne promidžbe te ostale aktivnosti vezane uz financiranje izborne promidžbe političkih stranaka, nezavisnih lista i kandidata.</w:t>
      </w:r>
    </w:p>
    <w:p w:rsidR="00D849AA" w:rsidRDefault="00EE6D95">
      <w:pPr>
        <w:pStyle w:val="Naslov5"/>
      </w:pPr>
      <w:r>
        <w:t>Procjena i ishodište potrebnih sredstava za značajnije aktivnosti/projekte</w:t>
      </w:r>
    </w:p>
    <w:p w:rsidR="00D849AA" w:rsidRDefault="00EE6D95">
      <w:pPr>
        <w:pStyle w:val="Naslov6"/>
      </w:pPr>
      <w:r>
        <w:t>A501002 PROVEDBA IZBORA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rsidRPr="00F64340">
        <w:trPr>
          <w:jc w:val="center"/>
        </w:trPr>
        <w:tc>
          <w:tcPr>
            <w:tcW w:w="1486" w:type="dxa"/>
            <w:shd w:val="clear" w:color="auto" w:fill="B5C0D8"/>
          </w:tcPr>
          <w:p w:rsidR="00D849AA" w:rsidRPr="00F64340" w:rsidRDefault="00EE6D95">
            <w:pPr>
              <w:pStyle w:val="CellHeader"/>
            </w:pPr>
            <w:r w:rsidRPr="00F64340">
              <w:t>Naziv aktivnosti</w:t>
            </w:r>
          </w:p>
        </w:tc>
        <w:tc>
          <w:tcPr>
            <w:tcW w:w="1486" w:type="dxa"/>
            <w:shd w:val="clear" w:color="auto" w:fill="B5C0D8"/>
          </w:tcPr>
          <w:p w:rsidR="00D849AA" w:rsidRPr="00F64340" w:rsidRDefault="00EE6D95">
            <w:pPr>
              <w:pStyle w:val="CellHeader"/>
            </w:pPr>
            <w:r w:rsidRPr="00F64340">
              <w:t>Plan 2013.</w:t>
            </w:r>
          </w:p>
        </w:tc>
        <w:tc>
          <w:tcPr>
            <w:tcW w:w="1486" w:type="dxa"/>
            <w:shd w:val="clear" w:color="auto" w:fill="B5C0D8"/>
          </w:tcPr>
          <w:p w:rsidR="00D849AA" w:rsidRPr="00F64340" w:rsidRDefault="00EE6D95">
            <w:pPr>
              <w:pStyle w:val="CellHeader"/>
            </w:pPr>
            <w:r w:rsidRPr="00F64340">
              <w:t>Plan 2014.</w:t>
            </w:r>
          </w:p>
        </w:tc>
        <w:tc>
          <w:tcPr>
            <w:tcW w:w="1486" w:type="dxa"/>
            <w:shd w:val="clear" w:color="auto" w:fill="B5C0D8"/>
          </w:tcPr>
          <w:p w:rsidR="00D849AA" w:rsidRPr="00F64340" w:rsidRDefault="00EE6D95">
            <w:pPr>
              <w:pStyle w:val="CellHeader"/>
            </w:pPr>
            <w:r w:rsidRPr="00F64340">
              <w:t>Plan 2015.</w:t>
            </w:r>
          </w:p>
        </w:tc>
        <w:tc>
          <w:tcPr>
            <w:tcW w:w="1486" w:type="dxa"/>
            <w:shd w:val="clear" w:color="auto" w:fill="B5C0D8"/>
          </w:tcPr>
          <w:p w:rsidR="00D849AA" w:rsidRPr="00F64340" w:rsidRDefault="00EE6D95">
            <w:pPr>
              <w:pStyle w:val="CellHeader"/>
            </w:pPr>
            <w:r w:rsidRPr="00F64340">
              <w:t>Plan 2016.</w:t>
            </w:r>
          </w:p>
        </w:tc>
        <w:tc>
          <w:tcPr>
            <w:tcW w:w="1486" w:type="dxa"/>
            <w:shd w:val="clear" w:color="auto" w:fill="B5C0D8"/>
          </w:tcPr>
          <w:p w:rsidR="00D849AA" w:rsidRPr="00F64340" w:rsidRDefault="00EE6D95">
            <w:pPr>
              <w:pStyle w:val="CellHeader"/>
            </w:pPr>
            <w:r w:rsidRPr="00F64340">
              <w:t>Indeks 2014/2013</w:t>
            </w:r>
          </w:p>
        </w:tc>
      </w:tr>
      <w:tr w:rsidR="00D849AA" w:rsidRPr="00F64340">
        <w:trPr>
          <w:jc w:val="center"/>
        </w:trPr>
        <w:tc>
          <w:tcPr>
            <w:tcW w:w="1486" w:type="dxa"/>
          </w:tcPr>
          <w:p w:rsidR="00D849AA" w:rsidRPr="00F64340" w:rsidRDefault="00EE6D95">
            <w:pPr>
              <w:pStyle w:val="CellColumn"/>
            </w:pPr>
            <w:r w:rsidRPr="00F64340">
              <w:t>A501002</w:t>
            </w:r>
          </w:p>
        </w:tc>
        <w:tc>
          <w:tcPr>
            <w:tcW w:w="1486" w:type="dxa"/>
          </w:tcPr>
          <w:p w:rsidR="00D849AA" w:rsidRPr="00F64340" w:rsidRDefault="00EE6D95">
            <w:pPr>
              <w:rPr>
                <w:rFonts w:ascii="Arial" w:hAnsi="Arial" w:cs="Arial"/>
              </w:rPr>
            </w:pPr>
            <w:r w:rsidRPr="00F64340">
              <w:rPr>
                <w:rFonts w:ascii="Arial" w:hAnsi="Arial" w:cs="Arial"/>
              </w:rPr>
              <w:t>95.566.500</w:t>
            </w:r>
          </w:p>
        </w:tc>
        <w:tc>
          <w:tcPr>
            <w:tcW w:w="1486" w:type="dxa"/>
          </w:tcPr>
          <w:p w:rsidR="00D849AA" w:rsidRPr="00F64340" w:rsidRDefault="00EE6D95">
            <w:pPr>
              <w:rPr>
                <w:rFonts w:ascii="Arial" w:hAnsi="Arial" w:cs="Arial"/>
              </w:rPr>
            </w:pPr>
            <w:r w:rsidRPr="00F64340">
              <w:rPr>
                <w:rFonts w:ascii="Arial" w:hAnsi="Arial" w:cs="Arial"/>
              </w:rPr>
              <w:t>70.668.600</w:t>
            </w:r>
          </w:p>
        </w:tc>
        <w:tc>
          <w:tcPr>
            <w:tcW w:w="1486" w:type="dxa"/>
          </w:tcPr>
          <w:p w:rsidR="00D849AA" w:rsidRPr="00F64340" w:rsidRDefault="00EE6D95">
            <w:pPr>
              <w:rPr>
                <w:rFonts w:ascii="Arial" w:hAnsi="Arial" w:cs="Arial"/>
              </w:rPr>
            </w:pPr>
            <w:r w:rsidRPr="00F64340">
              <w:rPr>
                <w:rFonts w:ascii="Arial" w:hAnsi="Arial" w:cs="Arial"/>
              </w:rPr>
              <w:t>173.407.600</w:t>
            </w:r>
          </w:p>
        </w:tc>
        <w:tc>
          <w:tcPr>
            <w:tcW w:w="1486" w:type="dxa"/>
          </w:tcPr>
          <w:p w:rsidR="00D849AA" w:rsidRPr="00F64340" w:rsidRDefault="00EE6D95">
            <w:pPr>
              <w:rPr>
                <w:rFonts w:ascii="Arial" w:hAnsi="Arial" w:cs="Arial"/>
              </w:rPr>
            </w:pPr>
            <w:r w:rsidRPr="00F64340">
              <w:rPr>
                <w:rFonts w:ascii="Arial" w:hAnsi="Arial" w:cs="Arial"/>
              </w:rPr>
              <w:t>24.904.600</w:t>
            </w:r>
          </w:p>
        </w:tc>
        <w:tc>
          <w:tcPr>
            <w:tcW w:w="1486" w:type="dxa"/>
          </w:tcPr>
          <w:p w:rsidR="00D849AA" w:rsidRPr="00F64340" w:rsidRDefault="00EE6D95">
            <w:pPr>
              <w:rPr>
                <w:rFonts w:ascii="Arial" w:hAnsi="Arial" w:cs="Arial"/>
              </w:rPr>
            </w:pPr>
            <w:r w:rsidRPr="00F64340">
              <w:rPr>
                <w:rFonts w:ascii="Arial" w:hAnsi="Arial" w:cs="Arial"/>
              </w:rPr>
              <w:t>73,9</w:t>
            </w:r>
          </w:p>
        </w:tc>
      </w:tr>
    </w:tbl>
    <w:p w:rsidR="00D849AA" w:rsidRPr="00F64340" w:rsidRDefault="00D849AA">
      <w:pPr>
        <w:jc w:val="left"/>
        <w:rPr>
          <w:rFonts w:ascii="Arial" w:hAnsi="Arial" w:cs="Arial"/>
        </w:rPr>
      </w:pPr>
    </w:p>
    <w:p w:rsidR="00D849AA" w:rsidRDefault="00EE6D95">
      <w:pPr>
        <w:pStyle w:val="Normal6"/>
      </w:pPr>
      <w:r>
        <w:t>Tijekom 2014. godine provesti će se redovni izbori za članove u Europski parlament iz Republike Hrvatske, te redovni izbori za predsjednika Republike Hrvatske.</w:t>
      </w:r>
    </w:p>
    <w:p w:rsidR="00D849AA" w:rsidRDefault="00D849AA">
      <w:pPr>
        <w:jc w:val="left"/>
      </w:pPr>
    </w:p>
    <w:p w:rsidR="00D849AA" w:rsidRDefault="00EE6D95">
      <w:pPr>
        <w:pStyle w:val="Naslov6"/>
      </w:pPr>
      <w:r>
        <w:t>A501039 IPA 2010 FFRAC - JAČANJE SUSTAVA NADZORA FINANCIRANJA POLITIČKIH AKTIVNOSTI I NADZORA IZBORNE PROMIDŽBE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F64340" w:rsidRDefault="00EE6D95">
            <w:pPr>
              <w:pStyle w:val="CellHeader"/>
            </w:pPr>
            <w:r w:rsidRPr="00F64340">
              <w:t>Naziv aktivnosti</w:t>
            </w:r>
          </w:p>
        </w:tc>
        <w:tc>
          <w:tcPr>
            <w:tcW w:w="1486" w:type="dxa"/>
            <w:shd w:val="clear" w:color="auto" w:fill="B5C0D8"/>
          </w:tcPr>
          <w:p w:rsidR="00D849AA" w:rsidRPr="00F64340" w:rsidRDefault="00EE6D95">
            <w:pPr>
              <w:pStyle w:val="CellHeader"/>
            </w:pPr>
            <w:r w:rsidRPr="00F64340">
              <w:t>Plan 2013.</w:t>
            </w:r>
          </w:p>
        </w:tc>
        <w:tc>
          <w:tcPr>
            <w:tcW w:w="1486" w:type="dxa"/>
            <w:shd w:val="clear" w:color="auto" w:fill="B5C0D8"/>
          </w:tcPr>
          <w:p w:rsidR="00D849AA" w:rsidRPr="00F64340" w:rsidRDefault="00EE6D95">
            <w:pPr>
              <w:pStyle w:val="CellHeader"/>
            </w:pPr>
            <w:r w:rsidRPr="00F64340">
              <w:t>Plan 2014.</w:t>
            </w:r>
          </w:p>
        </w:tc>
        <w:tc>
          <w:tcPr>
            <w:tcW w:w="1486" w:type="dxa"/>
            <w:shd w:val="clear" w:color="auto" w:fill="B5C0D8"/>
          </w:tcPr>
          <w:p w:rsidR="00D849AA" w:rsidRPr="00F64340" w:rsidRDefault="00EE6D95">
            <w:pPr>
              <w:pStyle w:val="CellHeader"/>
            </w:pPr>
            <w:r w:rsidRPr="00F64340">
              <w:t>Plan 2015.</w:t>
            </w:r>
          </w:p>
        </w:tc>
        <w:tc>
          <w:tcPr>
            <w:tcW w:w="1486" w:type="dxa"/>
            <w:shd w:val="clear" w:color="auto" w:fill="B5C0D8"/>
          </w:tcPr>
          <w:p w:rsidR="00D849AA" w:rsidRPr="00F64340" w:rsidRDefault="00EE6D95">
            <w:pPr>
              <w:pStyle w:val="CellHeader"/>
            </w:pPr>
            <w:r w:rsidRPr="00F64340">
              <w:t>Plan 2016.</w:t>
            </w:r>
          </w:p>
        </w:tc>
        <w:tc>
          <w:tcPr>
            <w:tcW w:w="1486" w:type="dxa"/>
            <w:shd w:val="clear" w:color="auto" w:fill="B5C0D8"/>
          </w:tcPr>
          <w:p w:rsidR="00D849AA" w:rsidRPr="00F64340" w:rsidRDefault="00EE6D95">
            <w:pPr>
              <w:pStyle w:val="CellHeader"/>
            </w:pPr>
            <w:r w:rsidRPr="00F64340">
              <w:t>Indeks 2014/2013</w:t>
            </w:r>
          </w:p>
        </w:tc>
      </w:tr>
      <w:tr w:rsidR="00D849AA">
        <w:trPr>
          <w:jc w:val="center"/>
        </w:trPr>
        <w:tc>
          <w:tcPr>
            <w:tcW w:w="1486" w:type="dxa"/>
          </w:tcPr>
          <w:p w:rsidR="00D849AA" w:rsidRPr="00F64340" w:rsidRDefault="00EE6D95">
            <w:pPr>
              <w:pStyle w:val="CellColumn"/>
            </w:pPr>
            <w:r w:rsidRPr="00F64340">
              <w:t>A501039</w:t>
            </w:r>
          </w:p>
        </w:tc>
        <w:tc>
          <w:tcPr>
            <w:tcW w:w="1486" w:type="dxa"/>
          </w:tcPr>
          <w:p w:rsidR="00D849AA" w:rsidRPr="00F64340" w:rsidRDefault="00EE6D95">
            <w:pPr>
              <w:rPr>
                <w:rFonts w:ascii="Arial" w:hAnsi="Arial" w:cs="Arial"/>
              </w:rPr>
            </w:pPr>
            <w:r w:rsidRPr="00F64340">
              <w:rPr>
                <w:rFonts w:ascii="Arial" w:hAnsi="Arial" w:cs="Arial"/>
              </w:rPr>
              <w:t>00</w:t>
            </w:r>
          </w:p>
        </w:tc>
        <w:tc>
          <w:tcPr>
            <w:tcW w:w="1486" w:type="dxa"/>
          </w:tcPr>
          <w:p w:rsidR="00D849AA" w:rsidRPr="00F64340" w:rsidRDefault="00EE6D95">
            <w:pPr>
              <w:rPr>
                <w:rFonts w:ascii="Arial" w:hAnsi="Arial" w:cs="Arial"/>
              </w:rPr>
            </w:pPr>
            <w:r w:rsidRPr="00F64340">
              <w:rPr>
                <w:rFonts w:ascii="Arial" w:hAnsi="Arial" w:cs="Arial"/>
              </w:rPr>
              <w:t>1.425.000</w:t>
            </w:r>
          </w:p>
        </w:tc>
        <w:tc>
          <w:tcPr>
            <w:tcW w:w="1486" w:type="dxa"/>
          </w:tcPr>
          <w:p w:rsidR="00D849AA" w:rsidRPr="00F64340" w:rsidRDefault="00EE6D95">
            <w:pPr>
              <w:rPr>
                <w:rFonts w:ascii="Arial" w:hAnsi="Arial" w:cs="Arial"/>
              </w:rPr>
            </w:pPr>
            <w:r w:rsidRPr="00F64340">
              <w:rPr>
                <w:rFonts w:ascii="Arial" w:hAnsi="Arial" w:cs="Arial"/>
              </w:rPr>
              <w:t>00</w:t>
            </w:r>
          </w:p>
        </w:tc>
        <w:tc>
          <w:tcPr>
            <w:tcW w:w="1486" w:type="dxa"/>
          </w:tcPr>
          <w:p w:rsidR="00D849AA" w:rsidRPr="00F64340" w:rsidRDefault="00EE6D95">
            <w:pPr>
              <w:rPr>
                <w:rFonts w:ascii="Arial" w:hAnsi="Arial" w:cs="Arial"/>
              </w:rPr>
            </w:pPr>
            <w:r w:rsidRPr="00F64340">
              <w:rPr>
                <w:rFonts w:ascii="Arial" w:hAnsi="Arial" w:cs="Arial"/>
              </w:rPr>
              <w:t>00</w:t>
            </w:r>
          </w:p>
        </w:tc>
        <w:tc>
          <w:tcPr>
            <w:tcW w:w="1486" w:type="dxa"/>
          </w:tcPr>
          <w:p w:rsidR="00D849AA" w:rsidRPr="00F64340" w:rsidRDefault="00EE6D95">
            <w:pPr>
              <w:rPr>
                <w:rFonts w:ascii="Arial" w:hAnsi="Arial" w:cs="Arial"/>
              </w:rPr>
            </w:pPr>
            <w:r w:rsidRPr="00F64340">
              <w:rPr>
                <w:rFonts w:ascii="Arial" w:hAnsi="Arial" w:cs="Arial"/>
              </w:rPr>
              <w:t>0,0</w:t>
            </w:r>
          </w:p>
        </w:tc>
      </w:tr>
    </w:tbl>
    <w:p w:rsidR="00D849AA" w:rsidRDefault="00D849AA">
      <w:pPr>
        <w:jc w:val="left"/>
      </w:pPr>
    </w:p>
    <w:p w:rsidR="00D849AA" w:rsidRDefault="00EE6D95">
      <w:pPr>
        <w:pStyle w:val="Normal6"/>
      </w:pPr>
      <w:r>
        <w:t>Državno izborno povjerenstvo je nositelj projekta Twinning Light Project Fiche, programa IPA 2010, pod nazivom Strengthening the System of Supervision of Political Acitivities and Electoral Campaign Financing. Projekt će započeti u drugom kvartalu 2014. godine.</w:t>
      </w:r>
    </w:p>
    <w:p w:rsidR="00D849AA" w:rsidRDefault="00EE6D95">
      <w:pPr>
        <w:pStyle w:val="Naslov2"/>
      </w:pPr>
      <w:r>
        <w:lastRenderedPageBreak/>
        <w:t>01025 Povjerenstvo za odlučivanje o sukobu interesa</w:t>
      </w:r>
    </w:p>
    <w:p w:rsidR="00D849AA" w:rsidRDefault="00EE6D95">
      <w:pPr>
        <w:pStyle w:val="Naslov4"/>
      </w:pPr>
      <w:r>
        <w:t>Uvod</w:t>
      </w:r>
    </w:p>
    <w:p w:rsidR="00D849AA" w:rsidRDefault="00EE6D95">
      <w:pPr>
        <w:pStyle w:val="Normal3"/>
      </w:pPr>
      <w:r>
        <w:t xml:space="preserve">Zakonom o sprječavanju sukoba interesa („Narodne novine“ broj 26/11., 12/12., 126/12. i 48/13. – pročišćeni tekst Zakona ) je uređeno sprječavanje sukoba interesa između privatnog i javnog interesa u obnašanju javnih dužnosti, utvrđeni su obveznici postupanja prema odredbama ovog Zakona, obveze dužnosnika o podnošenju izvješća o imovinskom stanju, uređen je postupak provjere podataka iz podnesenih izvješća o imovinskom stanju dužnosnika, trajanje obveza i brojna ograničenja u poslovanjima dužnosnika nakon prestanka obavljanja javne dužnosti, zatim izbor, sastav i nadležnost Povjerenstva za odlučivanje o sukobu interesa te uređen postupak pred Povjerenstvom i Zakonom predviđene sankcije koje Povjerenstvo može izreći u  slučajevima povrede odredbi ovog Zakona. </w:t>
      </w:r>
    </w:p>
    <w:p w:rsidR="00D849AA" w:rsidRDefault="00EE6D95">
      <w:pPr>
        <w:pStyle w:val="Normal3"/>
      </w:pPr>
      <w:r>
        <w:t xml:space="preserve">Radi provedbe ovog Zakona osnovano je Povjerenstvo za odlučivanje o sukobu interesa, kao  stalno, neovisno i samostalno državno tijelo koje obavlja poslove iz djelokruga rada i nadležnosti određenih ovim Zakonom.  </w:t>
      </w:r>
    </w:p>
    <w:p w:rsidR="00D849AA" w:rsidRDefault="00EE6D95">
      <w:pPr>
        <w:pStyle w:val="Normal3"/>
      </w:pPr>
      <w:r>
        <w:t xml:space="preserve">Nadležnosti Povjerenstva su slijedeće: </w:t>
      </w:r>
    </w:p>
    <w:p w:rsidR="00D849AA" w:rsidRDefault="00EE6D95">
      <w:pPr>
        <w:pStyle w:val="Normal3"/>
      </w:pPr>
      <w:r>
        <w:t xml:space="preserve">- pokretanje postupaka sukoba interesa i donošenje odluka o tome  dali određeno djelovanje ili propust dužnosnika predstavlja povredu odredbi ovog Zakona, </w:t>
      </w:r>
    </w:p>
    <w:p w:rsidR="00D849AA" w:rsidRDefault="00EE6D95">
      <w:pPr>
        <w:pStyle w:val="Normal3"/>
      </w:pPr>
      <w:r>
        <w:t xml:space="preserve">- davanje mišljenja na zahtjev dužnosnika kada su u dvojbi je li neko njihovo ponašanje u skladu s načelima javnih dužnosti, </w:t>
      </w:r>
    </w:p>
    <w:p w:rsidR="00D849AA" w:rsidRDefault="00EE6D95">
      <w:pPr>
        <w:pStyle w:val="Normal3"/>
      </w:pPr>
      <w:r>
        <w:t xml:space="preserve">- propisivanje i utvrđivanje sadržaja obrazaca imovinske kartice, </w:t>
      </w:r>
    </w:p>
    <w:p w:rsidR="00D849AA" w:rsidRDefault="00EE6D95">
      <w:pPr>
        <w:pStyle w:val="Normal3"/>
      </w:pPr>
      <w:r>
        <w:t xml:space="preserve">- ustrojavanje Registra dužnosnika radi primjene pojedinih odredbi Zakona, </w:t>
      </w:r>
    </w:p>
    <w:p w:rsidR="00D849AA" w:rsidRDefault="00EE6D95">
      <w:pPr>
        <w:pStyle w:val="Normal3"/>
      </w:pPr>
      <w:r>
        <w:t xml:space="preserve">- donošenje podzakonskih akata vezanih za provedbu ovog Zakona, </w:t>
      </w:r>
    </w:p>
    <w:p w:rsidR="00D849AA" w:rsidRDefault="00EE6D95">
      <w:pPr>
        <w:pStyle w:val="Normal3"/>
      </w:pPr>
      <w:r>
        <w:t xml:space="preserve">- izrada smjernica i uputa dužnosnicima u svrhu učinkovitog sprječavanja sukoba interesa, </w:t>
      </w:r>
    </w:p>
    <w:p w:rsidR="00D849AA" w:rsidRDefault="00EE6D95">
      <w:pPr>
        <w:pStyle w:val="Normal3"/>
      </w:pPr>
      <w:r>
        <w:t xml:space="preserve">- provođenje edukacija dužnosnika u pitanjima sukoba interesa i podnošenja izvješća o imovinskom stanju, </w:t>
      </w:r>
    </w:p>
    <w:p w:rsidR="00D849AA" w:rsidRDefault="00EE6D95">
      <w:pPr>
        <w:pStyle w:val="Normal3"/>
      </w:pPr>
      <w:r>
        <w:t xml:space="preserve">- suradnja s nadležnim tijelima u svrhu provedbe ovog Zakona, </w:t>
      </w:r>
    </w:p>
    <w:p w:rsidR="00D849AA" w:rsidRDefault="00EE6D95">
      <w:pPr>
        <w:pStyle w:val="Normal3"/>
      </w:pPr>
      <w:r>
        <w:t xml:space="preserve">- suradnja s nevladinim organizacijama, </w:t>
      </w:r>
    </w:p>
    <w:p w:rsidR="00D849AA" w:rsidRDefault="00EE6D95">
      <w:pPr>
        <w:pStyle w:val="Normal3"/>
      </w:pPr>
      <w:r>
        <w:t xml:space="preserve">- ostvarivanje međunarodne suradnje sa sličnim tijelima u području sprječavanja sukoba interesa, </w:t>
      </w:r>
    </w:p>
    <w:p w:rsidR="00D849AA" w:rsidRDefault="00EE6D95">
      <w:pPr>
        <w:pStyle w:val="Normal3"/>
      </w:pPr>
      <w:r>
        <w:t xml:space="preserve">- obavljanje drugih poslova određenih ovim Zakonom. </w:t>
      </w:r>
    </w:p>
    <w:p w:rsidR="00D849AA" w:rsidRDefault="00EE6D95">
      <w:pPr>
        <w:pStyle w:val="Normal3"/>
      </w:pPr>
      <w:r>
        <w:t xml:space="preserve">Povjerenstvo ima stručnu službu - Ured Povjerenstva koji obavlja sve stručne, administrativne i tehničke poslove za Povjerenstvo. Radom Ureda povjerenstva rukovodi predstojnik Ureda.  </w:t>
      </w:r>
    </w:p>
    <w:p w:rsidR="00D849AA" w:rsidRDefault="00EE6D95">
      <w:pPr>
        <w:pStyle w:val="Normal3"/>
      </w:pPr>
      <w:r>
        <w:t xml:space="preserve">Stručni poslovi obuhvaćaju vođenje upisnika i evidencija; prikupljanje i obradu podataka; prikupljanje i pripremu  materijala u pisanom i elektroničkom obliku za sjednice te stručne i radne sastanke Povjerenstva; sudjelovanje u pripremi i provođenju programa edukacije; stručnu obradu predmeta; izradu pisanih odluka, mišljenja, zaključaka, priopćenja, očitovanja, izviješća, zapisnika i ostalih dopisa; praćenje i usklađivanje donesenih odluka s praksom Povjerenstva; praćenje propisa i temeljnih pravila i standarda koji su izgrađeni u specijaliziranom području sprječavanja sukoba interesa; održavanje i unapređivanje informatičkog sustava; unapređenje informatičkih rješenja; poslove prijama stranaka i komuniciranje s javnošću. </w:t>
      </w:r>
    </w:p>
    <w:p w:rsidR="00D849AA" w:rsidRDefault="00EE6D95">
      <w:pPr>
        <w:pStyle w:val="Normal3"/>
      </w:pPr>
      <w:r>
        <w:t xml:space="preserve">Administrativni poslovi obuhvaćaju vođenje knjiga ulazne i izlazne pošte; vođenje ostalih urudžbenih knjiga; poslove upisa podataka u upisnike i očevidnike; zaprimanje, sortiranje, klasificiranje, pohranjivanje i čuvanje dokumentacije, kao i ostale opće administrativne poslove koji se odnose na uredsko poslovanje. </w:t>
      </w:r>
    </w:p>
    <w:p w:rsidR="00D849AA" w:rsidRDefault="00EE6D95">
      <w:pPr>
        <w:pStyle w:val="Normal3"/>
      </w:pPr>
      <w:r>
        <w:lastRenderedPageBreak/>
        <w:t>Tehnički poslovi obuhvaćaju daktilografske poslove; poslove upravljanja telefonskim pozivima; poslove utvrđivanja potreba nabave i rasporeda opreme i uredskog materijala; vođenje brige o urednom funkcioniranju tehničke i druge opreme Ureda;  poslove otpreme i dostavljanja pošte, kao i ostale tehničke poslove koji se odnose na uredsko poslovanje.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F64340" w:rsidRDefault="00D849AA">
            <w:pPr>
              <w:pStyle w:val="CellHeader"/>
            </w:pPr>
          </w:p>
        </w:tc>
        <w:tc>
          <w:tcPr>
            <w:tcW w:w="1486" w:type="dxa"/>
            <w:shd w:val="clear" w:color="auto" w:fill="B5C0D8"/>
          </w:tcPr>
          <w:p w:rsidR="00D849AA" w:rsidRPr="00F64340" w:rsidRDefault="00EE6D95">
            <w:pPr>
              <w:pStyle w:val="CellHeader"/>
            </w:pPr>
            <w:r w:rsidRPr="00F64340">
              <w:t>Plan 2013.</w:t>
            </w:r>
          </w:p>
        </w:tc>
        <w:tc>
          <w:tcPr>
            <w:tcW w:w="1486" w:type="dxa"/>
            <w:shd w:val="clear" w:color="auto" w:fill="B5C0D8"/>
          </w:tcPr>
          <w:p w:rsidR="00D849AA" w:rsidRPr="00F64340" w:rsidRDefault="00EE6D95">
            <w:pPr>
              <w:pStyle w:val="CellHeader"/>
            </w:pPr>
            <w:r w:rsidRPr="00F64340">
              <w:t>Plan 2014.</w:t>
            </w:r>
          </w:p>
        </w:tc>
        <w:tc>
          <w:tcPr>
            <w:tcW w:w="1486" w:type="dxa"/>
            <w:shd w:val="clear" w:color="auto" w:fill="B5C0D8"/>
          </w:tcPr>
          <w:p w:rsidR="00D849AA" w:rsidRPr="00F64340" w:rsidRDefault="00EE6D95">
            <w:pPr>
              <w:pStyle w:val="CellHeader"/>
            </w:pPr>
            <w:r w:rsidRPr="00F64340">
              <w:t>Plan 2015.</w:t>
            </w:r>
          </w:p>
        </w:tc>
        <w:tc>
          <w:tcPr>
            <w:tcW w:w="1486" w:type="dxa"/>
            <w:shd w:val="clear" w:color="auto" w:fill="B5C0D8"/>
          </w:tcPr>
          <w:p w:rsidR="00D849AA" w:rsidRPr="00F64340" w:rsidRDefault="00EE6D95">
            <w:pPr>
              <w:pStyle w:val="CellHeader"/>
            </w:pPr>
            <w:r w:rsidRPr="00F64340">
              <w:t>Plan 2016.</w:t>
            </w:r>
          </w:p>
        </w:tc>
        <w:tc>
          <w:tcPr>
            <w:tcW w:w="1486" w:type="dxa"/>
            <w:shd w:val="clear" w:color="auto" w:fill="B5C0D8"/>
          </w:tcPr>
          <w:p w:rsidR="00D849AA" w:rsidRPr="00F64340" w:rsidRDefault="00EE6D95">
            <w:pPr>
              <w:pStyle w:val="CellHeader"/>
            </w:pPr>
            <w:r w:rsidRPr="00F64340">
              <w:t>Indeks 2014/2013</w:t>
            </w:r>
          </w:p>
        </w:tc>
      </w:tr>
      <w:tr w:rsidR="00D849AA">
        <w:trPr>
          <w:jc w:val="center"/>
        </w:trPr>
        <w:tc>
          <w:tcPr>
            <w:tcW w:w="1486" w:type="dxa"/>
          </w:tcPr>
          <w:p w:rsidR="00D849AA" w:rsidRPr="00F64340" w:rsidRDefault="00EE6D95">
            <w:pPr>
              <w:pStyle w:val="CellColumn"/>
            </w:pPr>
            <w:r w:rsidRPr="00F64340">
              <w:t>01025</w:t>
            </w:r>
          </w:p>
        </w:tc>
        <w:tc>
          <w:tcPr>
            <w:tcW w:w="1486" w:type="dxa"/>
          </w:tcPr>
          <w:p w:rsidR="00D849AA" w:rsidRPr="00F64340" w:rsidRDefault="00EE6D95">
            <w:pPr>
              <w:rPr>
                <w:rFonts w:ascii="Arial" w:hAnsi="Arial" w:cs="Arial"/>
              </w:rPr>
            </w:pPr>
            <w:r w:rsidRPr="00F64340">
              <w:rPr>
                <w:rFonts w:ascii="Arial" w:hAnsi="Arial" w:cs="Arial"/>
              </w:rPr>
              <w:t>5.550.711</w:t>
            </w:r>
          </w:p>
        </w:tc>
        <w:tc>
          <w:tcPr>
            <w:tcW w:w="1486" w:type="dxa"/>
          </w:tcPr>
          <w:p w:rsidR="00D849AA" w:rsidRPr="00F64340" w:rsidRDefault="00EE6D95">
            <w:pPr>
              <w:rPr>
                <w:rFonts w:ascii="Arial" w:hAnsi="Arial" w:cs="Arial"/>
              </w:rPr>
            </w:pPr>
            <w:r w:rsidRPr="00F64340">
              <w:rPr>
                <w:rFonts w:ascii="Arial" w:hAnsi="Arial" w:cs="Arial"/>
              </w:rPr>
              <w:t>5.881.000</w:t>
            </w:r>
          </w:p>
        </w:tc>
        <w:tc>
          <w:tcPr>
            <w:tcW w:w="1486" w:type="dxa"/>
          </w:tcPr>
          <w:p w:rsidR="00D849AA" w:rsidRPr="00F64340" w:rsidRDefault="00EE6D95">
            <w:pPr>
              <w:rPr>
                <w:rFonts w:ascii="Arial" w:hAnsi="Arial" w:cs="Arial"/>
              </w:rPr>
            </w:pPr>
            <w:r w:rsidRPr="00F64340">
              <w:rPr>
                <w:rFonts w:ascii="Arial" w:hAnsi="Arial" w:cs="Arial"/>
              </w:rPr>
              <w:t>5.714.000</w:t>
            </w:r>
          </w:p>
        </w:tc>
        <w:tc>
          <w:tcPr>
            <w:tcW w:w="1486" w:type="dxa"/>
          </w:tcPr>
          <w:p w:rsidR="00D849AA" w:rsidRPr="00F64340" w:rsidRDefault="00EE6D95">
            <w:pPr>
              <w:rPr>
                <w:rFonts w:ascii="Arial" w:hAnsi="Arial" w:cs="Arial"/>
              </w:rPr>
            </w:pPr>
            <w:r w:rsidRPr="00F64340">
              <w:rPr>
                <w:rFonts w:ascii="Arial" w:hAnsi="Arial" w:cs="Arial"/>
              </w:rPr>
              <w:t>5.737.000</w:t>
            </w:r>
          </w:p>
        </w:tc>
        <w:tc>
          <w:tcPr>
            <w:tcW w:w="1486" w:type="dxa"/>
          </w:tcPr>
          <w:p w:rsidR="00D849AA" w:rsidRPr="00F64340" w:rsidRDefault="00EE6D95">
            <w:pPr>
              <w:rPr>
                <w:rFonts w:ascii="Arial" w:hAnsi="Arial" w:cs="Arial"/>
              </w:rPr>
            </w:pPr>
            <w:r w:rsidRPr="00F64340">
              <w:rPr>
                <w:rFonts w:ascii="Arial" w:hAnsi="Arial" w:cs="Arial"/>
              </w:rPr>
              <w:t>106,0</w:t>
            </w:r>
          </w:p>
        </w:tc>
      </w:tr>
    </w:tbl>
    <w:p w:rsidR="00D849AA" w:rsidRDefault="00D849AA">
      <w:pPr>
        <w:jc w:val="left"/>
      </w:pPr>
    </w:p>
    <w:p w:rsidR="00D849AA" w:rsidRDefault="00EE6D95">
      <w:pPr>
        <w:pStyle w:val="Naslov4"/>
      </w:pPr>
      <w:r>
        <w:t>OBRAZLOŽENJE PROGRAMA</w:t>
      </w:r>
    </w:p>
    <w:p w:rsidR="00D849AA" w:rsidRDefault="00EE6D95">
      <w:pPr>
        <w:pStyle w:val="Naslov5"/>
      </w:pPr>
      <w:r>
        <w:t>2120 ODLUČIVANJE O SUKOBU INTERESA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F64340" w:rsidRDefault="00D849AA">
            <w:pPr>
              <w:pStyle w:val="CellHeader"/>
            </w:pPr>
          </w:p>
        </w:tc>
        <w:tc>
          <w:tcPr>
            <w:tcW w:w="1486" w:type="dxa"/>
            <w:shd w:val="clear" w:color="auto" w:fill="B5C0D8"/>
          </w:tcPr>
          <w:p w:rsidR="00D849AA" w:rsidRPr="00F64340" w:rsidRDefault="00EE6D95">
            <w:pPr>
              <w:pStyle w:val="CellHeader"/>
            </w:pPr>
            <w:r w:rsidRPr="00F64340">
              <w:t>Plan 2013.</w:t>
            </w:r>
          </w:p>
        </w:tc>
        <w:tc>
          <w:tcPr>
            <w:tcW w:w="1486" w:type="dxa"/>
            <w:shd w:val="clear" w:color="auto" w:fill="B5C0D8"/>
          </w:tcPr>
          <w:p w:rsidR="00D849AA" w:rsidRPr="00F64340" w:rsidRDefault="00EE6D95">
            <w:pPr>
              <w:pStyle w:val="CellHeader"/>
            </w:pPr>
            <w:r w:rsidRPr="00F64340">
              <w:t>Plan 2014.</w:t>
            </w:r>
          </w:p>
        </w:tc>
        <w:tc>
          <w:tcPr>
            <w:tcW w:w="1486" w:type="dxa"/>
            <w:shd w:val="clear" w:color="auto" w:fill="B5C0D8"/>
          </w:tcPr>
          <w:p w:rsidR="00D849AA" w:rsidRPr="00F64340" w:rsidRDefault="00EE6D95">
            <w:pPr>
              <w:pStyle w:val="CellHeader"/>
            </w:pPr>
            <w:r w:rsidRPr="00F64340">
              <w:t>Plan 2015.</w:t>
            </w:r>
          </w:p>
        </w:tc>
        <w:tc>
          <w:tcPr>
            <w:tcW w:w="1486" w:type="dxa"/>
            <w:shd w:val="clear" w:color="auto" w:fill="B5C0D8"/>
          </w:tcPr>
          <w:p w:rsidR="00D849AA" w:rsidRPr="00F64340" w:rsidRDefault="00EE6D95">
            <w:pPr>
              <w:pStyle w:val="CellHeader"/>
            </w:pPr>
            <w:r w:rsidRPr="00F64340">
              <w:t>Plan 2016.</w:t>
            </w:r>
          </w:p>
        </w:tc>
        <w:tc>
          <w:tcPr>
            <w:tcW w:w="1486" w:type="dxa"/>
            <w:shd w:val="clear" w:color="auto" w:fill="B5C0D8"/>
          </w:tcPr>
          <w:p w:rsidR="00D849AA" w:rsidRPr="00F64340" w:rsidRDefault="00EE6D95">
            <w:pPr>
              <w:pStyle w:val="CellHeader"/>
            </w:pPr>
            <w:r w:rsidRPr="00F64340">
              <w:t>Indeks 2014/2013</w:t>
            </w:r>
          </w:p>
        </w:tc>
      </w:tr>
      <w:tr w:rsidR="00D849AA">
        <w:trPr>
          <w:jc w:val="center"/>
        </w:trPr>
        <w:tc>
          <w:tcPr>
            <w:tcW w:w="1486" w:type="dxa"/>
          </w:tcPr>
          <w:p w:rsidR="00D849AA" w:rsidRPr="00F64340" w:rsidRDefault="00EE6D95">
            <w:pPr>
              <w:pStyle w:val="CellColumn"/>
            </w:pPr>
            <w:r w:rsidRPr="00F64340">
              <w:t>2120</w:t>
            </w:r>
          </w:p>
        </w:tc>
        <w:tc>
          <w:tcPr>
            <w:tcW w:w="1486" w:type="dxa"/>
          </w:tcPr>
          <w:p w:rsidR="00D849AA" w:rsidRPr="00F64340" w:rsidRDefault="00EE6D95">
            <w:pPr>
              <w:rPr>
                <w:rFonts w:ascii="Arial" w:hAnsi="Arial" w:cs="Arial"/>
              </w:rPr>
            </w:pPr>
            <w:r w:rsidRPr="00F64340">
              <w:rPr>
                <w:rFonts w:ascii="Arial" w:hAnsi="Arial" w:cs="Arial"/>
              </w:rPr>
              <w:t>5.550.711</w:t>
            </w:r>
          </w:p>
        </w:tc>
        <w:tc>
          <w:tcPr>
            <w:tcW w:w="1486" w:type="dxa"/>
          </w:tcPr>
          <w:p w:rsidR="00D849AA" w:rsidRPr="00F64340" w:rsidRDefault="00EE6D95">
            <w:pPr>
              <w:rPr>
                <w:rFonts w:ascii="Arial" w:hAnsi="Arial" w:cs="Arial"/>
              </w:rPr>
            </w:pPr>
            <w:r w:rsidRPr="00F64340">
              <w:rPr>
                <w:rFonts w:ascii="Arial" w:hAnsi="Arial" w:cs="Arial"/>
              </w:rPr>
              <w:t>5.881.000</w:t>
            </w:r>
          </w:p>
        </w:tc>
        <w:tc>
          <w:tcPr>
            <w:tcW w:w="1486" w:type="dxa"/>
          </w:tcPr>
          <w:p w:rsidR="00D849AA" w:rsidRPr="00F64340" w:rsidRDefault="00EE6D95">
            <w:pPr>
              <w:rPr>
                <w:rFonts w:ascii="Arial" w:hAnsi="Arial" w:cs="Arial"/>
              </w:rPr>
            </w:pPr>
            <w:r w:rsidRPr="00F64340">
              <w:rPr>
                <w:rFonts w:ascii="Arial" w:hAnsi="Arial" w:cs="Arial"/>
              </w:rPr>
              <w:t>5.714.000</w:t>
            </w:r>
          </w:p>
        </w:tc>
        <w:tc>
          <w:tcPr>
            <w:tcW w:w="1486" w:type="dxa"/>
          </w:tcPr>
          <w:p w:rsidR="00D849AA" w:rsidRPr="00F64340" w:rsidRDefault="00EE6D95">
            <w:pPr>
              <w:rPr>
                <w:rFonts w:ascii="Arial" w:hAnsi="Arial" w:cs="Arial"/>
              </w:rPr>
            </w:pPr>
            <w:r w:rsidRPr="00F64340">
              <w:rPr>
                <w:rFonts w:ascii="Arial" w:hAnsi="Arial" w:cs="Arial"/>
              </w:rPr>
              <w:t>5.737.000</w:t>
            </w:r>
          </w:p>
        </w:tc>
        <w:tc>
          <w:tcPr>
            <w:tcW w:w="1486" w:type="dxa"/>
          </w:tcPr>
          <w:p w:rsidR="00D849AA" w:rsidRPr="00F64340" w:rsidRDefault="00EE6D95">
            <w:pPr>
              <w:rPr>
                <w:rFonts w:ascii="Arial" w:hAnsi="Arial" w:cs="Arial"/>
              </w:rPr>
            </w:pPr>
            <w:r w:rsidRPr="00F64340">
              <w:rPr>
                <w:rFonts w:ascii="Arial" w:hAnsi="Arial" w:cs="Arial"/>
              </w:rPr>
              <w:t>106,0</w:t>
            </w:r>
          </w:p>
        </w:tc>
      </w:tr>
    </w:tbl>
    <w:p w:rsidR="00D849AA" w:rsidRDefault="00D849AA">
      <w:pPr>
        <w:jc w:val="left"/>
      </w:pPr>
    </w:p>
    <w:p w:rsidR="00D849AA" w:rsidRDefault="00EE6D95">
      <w:pPr>
        <w:pStyle w:val="Naslov6"/>
      </w:pPr>
      <w:r>
        <w:t>Opis programa</w:t>
      </w:r>
    </w:p>
    <w:p w:rsidR="00D849AA" w:rsidRDefault="00EE6D95">
      <w:pPr>
        <w:pStyle w:val="Normal5"/>
      </w:pPr>
      <w:r>
        <w:t xml:space="preserve">Svrha Zakona o sprječavanju sukoba interesa je sprječavanje sukoba interesa u obnašanju javnih dužnosti, sprjačavanju privatnih utjecaja na donošenje odluka u obnašanju javnih dužnosti, jačanje integriteta, objektivnosti, nepristranosti i transparentnosti u obnašanju javnih dužnosti te jačanje povjerenja građana u tijela javne vlasti. </w:t>
      </w:r>
    </w:p>
    <w:p w:rsidR="00D849AA" w:rsidRDefault="00EE6D95">
      <w:pPr>
        <w:pStyle w:val="Normal5"/>
      </w:pPr>
      <w:r>
        <w:t xml:space="preserve">Sukob interesa, kako ga Zakon definira, postoji kada su privatni interesi dužnosnika u suprotnosti s javnim interesom, a posebice kada: </w:t>
      </w:r>
    </w:p>
    <w:p w:rsidR="00D849AA" w:rsidRDefault="00EE6D95">
      <w:pPr>
        <w:pStyle w:val="Normal5"/>
      </w:pPr>
      <w:r>
        <w:t xml:space="preserve">- privatni interes dužnosnika utječe na njegovu nepristranost u obavljanju javne dužnosti  ili </w:t>
      </w:r>
    </w:p>
    <w:p w:rsidR="00D849AA" w:rsidRDefault="00EE6D95">
      <w:pPr>
        <w:pStyle w:val="Normal5"/>
      </w:pPr>
      <w:r>
        <w:t xml:space="preserve">- se osnovano može smatrati da privatni interes dužnosnika utječe na njegovu nepristranost u  obavljanju javne dužnosti ili </w:t>
      </w:r>
    </w:p>
    <w:p w:rsidR="00D849AA" w:rsidRDefault="00EE6D95">
      <w:pPr>
        <w:pStyle w:val="Normal5"/>
      </w:pPr>
      <w:r>
        <w:t xml:space="preserve">- privatni interes dužnosnika može utjecati na njegovu nepristranost u obavljanju javne dužnosti. </w:t>
      </w:r>
    </w:p>
    <w:p w:rsidR="00D849AA" w:rsidRDefault="00EE6D95">
      <w:pPr>
        <w:pStyle w:val="Normal5"/>
      </w:pPr>
      <w:r>
        <w:t xml:space="preserve">Dužnosnici u obnašanju javnih dužnosti moraju postupati časno, pošteno, savjesno, odgovorno i nepristrano čuvajući vlastitu vjerodostojnost i dostojanstvo povjerene im dužnosti te povjerenje građana. </w:t>
      </w:r>
    </w:p>
    <w:p w:rsidR="00D849AA" w:rsidRDefault="00EE6D95">
      <w:pPr>
        <w:pStyle w:val="Normal5"/>
      </w:pPr>
      <w:r>
        <w:t xml:space="preserve">Nakon izbora ili imenovanja na javnu dužnost, dužnosnik je dužan urediti svoje privatne poslove kako bi se spriječio predvidljivi sukob interesa i zaštitio javni interes. </w:t>
      </w:r>
    </w:p>
    <w:p w:rsidR="00D849AA" w:rsidRDefault="00EE6D95">
      <w:pPr>
        <w:pStyle w:val="Normal5"/>
      </w:pPr>
      <w:r>
        <w:t xml:space="preserve">Povjerenstvo imajući ulogu preventivnog djelovanja čini sve kroz različite upute, smjernice i mišljenja da spriječi predvidljivi ili potencijalni sukob interesa i time tako djeluje proaktivno. </w:t>
      </w:r>
    </w:p>
    <w:p w:rsidR="00D849AA" w:rsidRDefault="00EE6D95">
      <w:pPr>
        <w:pStyle w:val="Normal5"/>
      </w:pPr>
      <w:r>
        <w:t xml:space="preserve">Dužnosnici su obvezni na početku i na kraju mandata, kao i za vrijeme svoga mandata, ako dođe do promjene njihovog imovnog stanja, dostaviti Povjerenstvu izvješće o svom imovnom stanju, čiji se podaci o imovini javno objavljuju te provjeravaju u posebnom postupku verifikacije podataka. </w:t>
      </w:r>
    </w:p>
    <w:p w:rsidR="00F64340" w:rsidRDefault="00F64340">
      <w:pPr>
        <w:pStyle w:val="Normal5"/>
      </w:pPr>
    </w:p>
    <w:p w:rsidR="00D849AA" w:rsidRDefault="00EE6D95">
      <w:pPr>
        <w:pStyle w:val="Normal5"/>
      </w:pPr>
      <w:r>
        <w:lastRenderedPageBreak/>
        <w:t xml:space="preserve">Nakon što Povjerenstvo utvrdi povredu pojedinih odredbi Zakona može dužnosnicima izreći slijedeće sankcije: </w:t>
      </w:r>
    </w:p>
    <w:p w:rsidR="00D849AA" w:rsidRDefault="00EE6D95">
      <w:pPr>
        <w:pStyle w:val="Normal5"/>
      </w:pPr>
      <w:r>
        <w:t xml:space="preserve">- opomenu, </w:t>
      </w:r>
    </w:p>
    <w:p w:rsidR="00D849AA" w:rsidRDefault="00EE6D95">
      <w:pPr>
        <w:pStyle w:val="Normal5"/>
      </w:pPr>
      <w:r>
        <w:t xml:space="preserve">- obustavu isplate dijela neto mjesečne plaće i </w:t>
      </w:r>
    </w:p>
    <w:p w:rsidR="00D849AA" w:rsidRDefault="00EE6D95">
      <w:pPr>
        <w:pStyle w:val="Normal5"/>
      </w:pPr>
      <w:r>
        <w:t xml:space="preserve">- javno objavljivanje odluke Povjerenstva na trošak dužnosnika. </w:t>
      </w:r>
    </w:p>
    <w:p w:rsidR="00D849AA" w:rsidRDefault="00EE6D95">
      <w:pPr>
        <w:pStyle w:val="Normal5"/>
      </w:pPr>
      <w:r>
        <w:t>Protiv odluke Povjerenstva može se pokrenuti upravni spor pred Upravnim sudom Republike Hrvatske.</w:t>
      </w:r>
    </w:p>
    <w:p w:rsidR="00D849AA" w:rsidRDefault="00EE6D95">
      <w:pPr>
        <w:pStyle w:val="Naslov6"/>
      </w:pPr>
      <w:r>
        <w:t>Zakonske i druge pravne osnove</w:t>
      </w:r>
    </w:p>
    <w:p w:rsidR="00D849AA" w:rsidRDefault="00EE6D95">
      <w:pPr>
        <w:pStyle w:val="Normal5"/>
      </w:pPr>
      <w:r>
        <w:t xml:space="preserve">Zakon o sprječavanju sukoba interesa </w:t>
      </w:r>
    </w:p>
    <w:p w:rsidR="00D849AA" w:rsidRDefault="00EE6D95">
      <w:pPr>
        <w:pStyle w:val="Normal5"/>
      </w:pPr>
      <w:r>
        <w:t xml:space="preserve">Pravilnik o načinu rada i odlučivanja Povjerenstva za odlučivanje o sukobu interesa </w:t>
      </w:r>
    </w:p>
    <w:p w:rsidR="00D849AA" w:rsidRDefault="00EE6D95">
      <w:pPr>
        <w:pStyle w:val="Normal5"/>
      </w:pPr>
      <w:r>
        <w:t>Pravilnik o unutarnjem ustrojstvu Ureda povjerenstva za odlučivanje o sukobu interesa</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Cilj 1. Povećanje kapaciteta kvalitetnog upravljanja sukobom interesa od strane dužnosnika, kako na državnoj, tako na regionalnoj i lokalnoj razini; kao i podizanje razine svijesti i interesa građana za prepoznavanje različitih oblika problematike sukoba interesa</w:t>
      </w:r>
    </w:p>
    <w:p w:rsidR="00D849AA" w:rsidRDefault="00EE6D95">
      <w:pPr>
        <w:pStyle w:val="Normal6"/>
      </w:pPr>
      <w:r>
        <w:t xml:space="preserve">U svrhu realizacije gore navedenoga, a s ciljem uvida javnosti tko se sve smatra dužnosnikom u smislu Zakona o sprječavanju sukoba interesa, potrebno je ustrojiti sljedeće registre:  </w:t>
      </w:r>
    </w:p>
    <w:p w:rsidR="00D849AA" w:rsidRDefault="00EE6D95">
      <w:pPr>
        <w:pStyle w:val="Normal6"/>
      </w:pPr>
      <w:r>
        <w:t xml:space="preserve">1. Zajednički Registar svih dužnosnika (registar imovinskih kartica dužnosnika)  </w:t>
      </w:r>
    </w:p>
    <w:p w:rsidR="00D849AA" w:rsidRDefault="00EE6D95">
      <w:pPr>
        <w:pStyle w:val="Normal6"/>
      </w:pPr>
      <w:r>
        <w:t xml:space="preserve">2. Zaseban Registar dužnosnika koje kao dužnosnike imenuje ili potvrđuje Hrvatski sabor </w:t>
      </w:r>
    </w:p>
    <w:p w:rsidR="00D849AA" w:rsidRDefault="00EE6D95">
      <w:pPr>
        <w:pStyle w:val="Normal6"/>
      </w:pPr>
      <w:r>
        <w:t xml:space="preserve">3. Zaseban Registar dužnosnika koje imenuje Vlada Republike Hrvatske </w:t>
      </w:r>
    </w:p>
    <w:p w:rsidR="00D849AA" w:rsidRDefault="00EE6D95">
      <w:pPr>
        <w:pStyle w:val="Normal6"/>
      </w:pPr>
      <w:r>
        <w:t xml:space="preserve">4. Zaseban Registar dužnosnika koje imenuje Predsjednik Republike Hrvatske </w:t>
      </w:r>
    </w:p>
    <w:p w:rsidR="00D849AA" w:rsidRDefault="00EE6D95">
      <w:pPr>
        <w:pStyle w:val="Normal6"/>
      </w:pPr>
      <w:r>
        <w:t xml:space="preserve">5. Zaseban Registar rukovodećih državnih službenika koje imenuje Vlada RH </w:t>
      </w:r>
    </w:p>
    <w:p w:rsidR="00D849AA" w:rsidRDefault="00EE6D95">
      <w:pPr>
        <w:pStyle w:val="Normal6"/>
      </w:pPr>
      <w:r>
        <w:t xml:space="preserve">6. Registar ustanova i izvanproračunskih fondova koje su od posebnog državnog interesa ili od posebnog interesa za jedinicu lokalne, odnosno područne (regionalne) samouprave </w:t>
      </w:r>
    </w:p>
    <w:p w:rsidR="00D849AA" w:rsidRDefault="00EE6D95">
      <w:pPr>
        <w:pStyle w:val="Normal6"/>
      </w:pPr>
      <w:r>
        <w:t xml:space="preserve">7. Registar trgovačkih društava u kojima Republika Hrvatska ima dionice ili udjele u vlasništvu </w:t>
      </w:r>
    </w:p>
    <w:p w:rsidR="00D849AA" w:rsidRDefault="00EE6D95">
      <w:pPr>
        <w:pStyle w:val="Normal6"/>
      </w:pPr>
      <w:r>
        <w:t xml:space="preserve">8. Registar neprofitnih udruga i zaklada </w:t>
      </w:r>
    </w:p>
    <w:p w:rsidR="00D849AA" w:rsidRDefault="00EE6D95">
      <w:pPr>
        <w:pStyle w:val="Normal6"/>
      </w:pPr>
      <w:r>
        <w:t xml:space="preserve">9. Registar poslovnih subjekata koji podliježu ograničenjima u poslovanju s tijelima javne vlasti </w:t>
      </w:r>
    </w:p>
    <w:p w:rsidR="00D849AA" w:rsidRDefault="00EE6D95">
      <w:pPr>
        <w:pStyle w:val="Normal6"/>
      </w:pPr>
      <w:r>
        <w:t xml:space="preserve">Svrha ustrojavanja Registara je povezivanje i usporedba podataka koje ti Registri sadrže sa dobivenim rezultatima u postupku provjere podatka iz podnesenih izviješća o imovinskom stanju dužnosnika, kao i s bazama podataka drugih nadležnih tijela.  </w:t>
      </w:r>
    </w:p>
    <w:p w:rsidR="00D849AA" w:rsidRDefault="00EE6D95">
      <w:pPr>
        <w:pStyle w:val="Normal6"/>
      </w:pPr>
      <w:r>
        <w:t xml:space="preserve">Ovako ustrojeni i povezani Registri povećat će učinkovitost, analitičnost i transparentnost rada Povjerenstva što će dovesti do jačanja pravnog i institucionalnog okvira za učinkovito i sustavno suzbijanje korupcije te do povećanja povjerenja građana u tijela javne vlasti. </w:t>
      </w:r>
    </w:p>
    <w:p w:rsidR="00F64340" w:rsidRDefault="00F64340">
      <w:pPr>
        <w:pStyle w:val="Normal6"/>
      </w:pPr>
    </w:p>
    <w:p w:rsidR="00D849AA" w:rsidRDefault="00EE6D95">
      <w:pPr>
        <w:pStyle w:val="Normal6"/>
      </w:pPr>
      <w:r>
        <w:lastRenderedPageBreak/>
        <w:t xml:space="preserve">Osim ustrojavanja navedenih Registara, Povjerenstvo ima za cilj: </w:t>
      </w:r>
    </w:p>
    <w:p w:rsidR="00D849AA" w:rsidRDefault="00EE6D95">
      <w:pPr>
        <w:pStyle w:val="Normal6"/>
      </w:pPr>
      <w:r>
        <w:t xml:space="preserve">- sustavno provođenje edukacija državnih, regionalnih i lokalnih dužnosnika i službenika na temu sprječavanja sukoba interesa; </w:t>
      </w:r>
    </w:p>
    <w:p w:rsidR="00D849AA" w:rsidRDefault="00EE6D95">
      <w:pPr>
        <w:pStyle w:val="Normal6"/>
      </w:pPr>
      <w:r>
        <w:t xml:space="preserve">- provođenje promotivnih aktivnosti sa svrhom upoznavanja javnosti o radu i djelovanju Povjerenstva za odlučivanje o sukobu interesa. </w:t>
      </w:r>
    </w:p>
    <w:p w:rsidR="00D849AA" w:rsidRDefault="00EE6D95">
      <w:pPr>
        <w:pStyle w:val="Normal6"/>
      </w:pPr>
      <w:r>
        <w:t xml:space="preserve">Provođenje navedenih ciljeva kroz gore navedene mjere je i obveza koju je Povjerenstvo, kao profesionalno i samostalno tijelo, preuzelo u Akcijskom planu uz strategiju suzbijanja korupcije. </w:t>
      </w:r>
    </w:p>
    <w:p w:rsidR="00D849AA" w:rsidRDefault="00EE6D95">
      <w:pPr>
        <w:pStyle w:val="Normal6"/>
      </w:pPr>
      <w:r>
        <w:t>Osnovni pokazatelj uspješnosti provedbe promotivnih i edukativnih programa će biti podizanje kapaciteta zainteresirane javnosti u kontroli i praćenju društveno odgovornog ponašanja dužnosnika u smislu njihovog kvalitetnog upravljanja potencijalnim sukobom interesa uz istovremeno jačanje integriteta, odgovornosti i transparentnosti u radu tijela državne vlasti.</w:t>
      </w:r>
    </w:p>
    <w:p w:rsidR="00D849AA" w:rsidRDefault="00EE6D95">
      <w:pPr>
        <w:pStyle w:val="Naslov5"/>
      </w:pPr>
      <w:r>
        <w:t>Procjena i ishodište potrebnih sredstava za značajnije aktivnosti/projekte</w:t>
      </w:r>
    </w:p>
    <w:p w:rsidR="00D849AA" w:rsidRDefault="00EE6D95">
      <w:pPr>
        <w:pStyle w:val="Naslov6"/>
      </w:pPr>
      <w:r>
        <w:t>A868001 ADMINISTRACIJA I UPRAVLJANJE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F64340" w:rsidRDefault="00EE6D95">
            <w:pPr>
              <w:pStyle w:val="CellHeader"/>
            </w:pPr>
            <w:r w:rsidRPr="00F64340">
              <w:t>Naziv aktivnosti</w:t>
            </w:r>
          </w:p>
        </w:tc>
        <w:tc>
          <w:tcPr>
            <w:tcW w:w="1486" w:type="dxa"/>
            <w:shd w:val="clear" w:color="auto" w:fill="B5C0D8"/>
          </w:tcPr>
          <w:p w:rsidR="00D849AA" w:rsidRPr="00F64340" w:rsidRDefault="00EE6D95">
            <w:pPr>
              <w:pStyle w:val="CellHeader"/>
            </w:pPr>
            <w:r w:rsidRPr="00F64340">
              <w:t>Plan 2013.</w:t>
            </w:r>
          </w:p>
        </w:tc>
        <w:tc>
          <w:tcPr>
            <w:tcW w:w="1486" w:type="dxa"/>
            <w:shd w:val="clear" w:color="auto" w:fill="B5C0D8"/>
          </w:tcPr>
          <w:p w:rsidR="00D849AA" w:rsidRPr="00F64340" w:rsidRDefault="00EE6D95">
            <w:pPr>
              <w:pStyle w:val="CellHeader"/>
            </w:pPr>
            <w:r w:rsidRPr="00F64340">
              <w:t>Plan 2014.</w:t>
            </w:r>
          </w:p>
        </w:tc>
        <w:tc>
          <w:tcPr>
            <w:tcW w:w="1486" w:type="dxa"/>
            <w:shd w:val="clear" w:color="auto" w:fill="B5C0D8"/>
          </w:tcPr>
          <w:p w:rsidR="00D849AA" w:rsidRPr="00F64340" w:rsidRDefault="00EE6D95">
            <w:pPr>
              <w:pStyle w:val="CellHeader"/>
            </w:pPr>
            <w:r w:rsidRPr="00F64340">
              <w:t>Plan 2015.</w:t>
            </w:r>
          </w:p>
        </w:tc>
        <w:tc>
          <w:tcPr>
            <w:tcW w:w="1486" w:type="dxa"/>
            <w:shd w:val="clear" w:color="auto" w:fill="B5C0D8"/>
          </w:tcPr>
          <w:p w:rsidR="00D849AA" w:rsidRPr="00F64340" w:rsidRDefault="00EE6D95">
            <w:pPr>
              <w:pStyle w:val="CellHeader"/>
            </w:pPr>
            <w:r w:rsidRPr="00F64340">
              <w:t>Plan 2016.</w:t>
            </w:r>
          </w:p>
        </w:tc>
        <w:tc>
          <w:tcPr>
            <w:tcW w:w="1486" w:type="dxa"/>
            <w:shd w:val="clear" w:color="auto" w:fill="B5C0D8"/>
          </w:tcPr>
          <w:p w:rsidR="00D849AA" w:rsidRPr="00F64340" w:rsidRDefault="00EE6D95">
            <w:pPr>
              <w:pStyle w:val="CellHeader"/>
            </w:pPr>
            <w:r w:rsidRPr="00F64340">
              <w:t>Indeks 2014/2013</w:t>
            </w:r>
          </w:p>
        </w:tc>
      </w:tr>
      <w:tr w:rsidR="00D849AA">
        <w:trPr>
          <w:jc w:val="center"/>
        </w:trPr>
        <w:tc>
          <w:tcPr>
            <w:tcW w:w="1486" w:type="dxa"/>
          </w:tcPr>
          <w:p w:rsidR="00D849AA" w:rsidRPr="00F64340" w:rsidRDefault="00EE6D95">
            <w:pPr>
              <w:pStyle w:val="CellColumn"/>
            </w:pPr>
            <w:r w:rsidRPr="00F64340">
              <w:t>A868001</w:t>
            </w:r>
          </w:p>
        </w:tc>
        <w:tc>
          <w:tcPr>
            <w:tcW w:w="1486" w:type="dxa"/>
          </w:tcPr>
          <w:p w:rsidR="00D849AA" w:rsidRPr="00F64340" w:rsidRDefault="00EE6D95">
            <w:pPr>
              <w:rPr>
                <w:rFonts w:ascii="Arial" w:hAnsi="Arial" w:cs="Arial"/>
              </w:rPr>
            </w:pPr>
            <w:r w:rsidRPr="00F64340">
              <w:rPr>
                <w:rFonts w:ascii="Arial" w:hAnsi="Arial" w:cs="Arial"/>
              </w:rPr>
              <w:t>5.506.530</w:t>
            </w:r>
          </w:p>
        </w:tc>
        <w:tc>
          <w:tcPr>
            <w:tcW w:w="1486" w:type="dxa"/>
          </w:tcPr>
          <w:p w:rsidR="00D849AA" w:rsidRPr="00F64340" w:rsidRDefault="00EE6D95">
            <w:pPr>
              <w:rPr>
                <w:rFonts w:ascii="Arial" w:hAnsi="Arial" w:cs="Arial"/>
              </w:rPr>
            </w:pPr>
            <w:r w:rsidRPr="00F64340">
              <w:rPr>
                <w:rFonts w:ascii="Arial" w:hAnsi="Arial" w:cs="Arial"/>
              </w:rPr>
              <w:t>5.521.000</w:t>
            </w:r>
          </w:p>
        </w:tc>
        <w:tc>
          <w:tcPr>
            <w:tcW w:w="1486" w:type="dxa"/>
          </w:tcPr>
          <w:p w:rsidR="00D849AA" w:rsidRPr="00F64340" w:rsidRDefault="00EE6D95">
            <w:pPr>
              <w:rPr>
                <w:rFonts w:ascii="Arial" w:hAnsi="Arial" w:cs="Arial"/>
              </w:rPr>
            </w:pPr>
            <w:r w:rsidRPr="00F64340">
              <w:rPr>
                <w:rFonts w:ascii="Arial" w:hAnsi="Arial" w:cs="Arial"/>
              </w:rPr>
              <w:t>5.614.000</w:t>
            </w:r>
          </w:p>
        </w:tc>
        <w:tc>
          <w:tcPr>
            <w:tcW w:w="1486" w:type="dxa"/>
          </w:tcPr>
          <w:p w:rsidR="00D849AA" w:rsidRPr="00F64340" w:rsidRDefault="00EE6D95">
            <w:pPr>
              <w:rPr>
                <w:rFonts w:ascii="Arial" w:hAnsi="Arial" w:cs="Arial"/>
              </w:rPr>
            </w:pPr>
            <w:r w:rsidRPr="00F64340">
              <w:rPr>
                <w:rFonts w:ascii="Arial" w:hAnsi="Arial" w:cs="Arial"/>
              </w:rPr>
              <w:t>5.637.000</w:t>
            </w:r>
          </w:p>
        </w:tc>
        <w:tc>
          <w:tcPr>
            <w:tcW w:w="1486" w:type="dxa"/>
          </w:tcPr>
          <w:p w:rsidR="00D849AA" w:rsidRPr="00F64340" w:rsidRDefault="00EE6D95">
            <w:pPr>
              <w:rPr>
                <w:rFonts w:ascii="Arial" w:hAnsi="Arial" w:cs="Arial"/>
              </w:rPr>
            </w:pPr>
            <w:r w:rsidRPr="00F64340">
              <w:rPr>
                <w:rFonts w:ascii="Arial" w:hAnsi="Arial" w:cs="Arial"/>
              </w:rPr>
              <w:t>100,3</w:t>
            </w:r>
          </w:p>
        </w:tc>
      </w:tr>
    </w:tbl>
    <w:p w:rsidR="00D849AA" w:rsidRDefault="00D849AA">
      <w:pPr>
        <w:jc w:val="left"/>
      </w:pPr>
    </w:p>
    <w:p w:rsidR="00D849AA" w:rsidRDefault="00EE6D95">
      <w:pPr>
        <w:pStyle w:val="Normal6"/>
      </w:pPr>
      <w:r>
        <w:t xml:space="preserve">Povjerenstvo za odlučivanje o sukobu interesa u narednom trogodišnjem razdoblju želi ojačati svoje stručne, administrativne i tehničke kapacitete kako bi u potpunosti ispunilo svoje zakonom utvrđene zadaće kao profesionalno, samostalno i neovisno tijelo te opravdalo svoju društvenu ulogu i očekivanja javnosti i građana. </w:t>
      </w:r>
    </w:p>
    <w:p w:rsidR="00D849AA" w:rsidRDefault="00EE6D95">
      <w:pPr>
        <w:pStyle w:val="Normal6"/>
      </w:pPr>
      <w:r>
        <w:t xml:space="preserve">Povjerenstvo se sastoji od predsjednika i četiri člana Povjerenstva. Ured povjerenstva, kao stručna služba Povjerenstva, trenutno je popunjen sa 10 državnih službenika. </w:t>
      </w:r>
    </w:p>
    <w:p w:rsidR="00D849AA" w:rsidRDefault="00EE6D95">
      <w:pPr>
        <w:pStyle w:val="Normal6"/>
      </w:pPr>
      <w:r>
        <w:t xml:space="preserve">Zbog povećanog opsega posla, a u cilju osiguranja nesmetanog funkcioniranja, Povjerenstvo je u prijedlogu svog financijskog plana za slijedeće trogodišnje razdoblje planiralo prijam 3 savjetnika u Uredu povjerenstva. Za prijam jednog savjetnika u Uredu Povjerenstva, dana 2. listopada 2013. godine raspisan je javni natječaj, dok bi prijam preostalo dvoje savjetnika u Uredu Povjerenstva  bio realiziran u travnju 2014. godine. </w:t>
      </w:r>
    </w:p>
    <w:p w:rsidR="00D849AA" w:rsidRDefault="00EE6D95">
      <w:pPr>
        <w:pStyle w:val="Normal6"/>
      </w:pPr>
      <w:r>
        <w:t xml:space="preserve">Sukladno zakonskoj obvezi redovitog provodenja edukacije dužnosnika u pitanjima sukoba interesa i davanja smjernica i uputa dužnosnicima u svrhu učinkovitog sprječavanja sukoba interesa, Povjerenstvo je u narednom periodu planiralo ojačati ukupne stručne kapacitete te provesti sustavnu stručnu edukaciju. Ova edukacija planirana je u vidu stručnih seminara u zemlji i inozemstvu, studijskih posjeta radi stjecanja znanja i razmjene iskustava, sudjelovanja na stručnim konferencijama, okruglim stolovima i panel raspravama, sudjelovanja u pojedinim projektima od interesa za rad Povjerenstva, intenziviranja suradnje sa sličnim tijelima u drugim zemljama, te formiranja stručne knjižnice. </w:t>
      </w:r>
    </w:p>
    <w:p w:rsidR="00D849AA" w:rsidRDefault="00EE6D95">
      <w:pPr>
        <w:pStyle w:val="Normal6"/>
      </w:pPr>
      <w:r>
        <w:t>S ciljem podizanja razine znanja i svijesti o važnosti dobrog upravljanja problematikom sukoba interesa, planira se povećanje aktivnosti Povjerenstva koje će se realizirati kroz medijske kampanje, publikacije, stručne konferencije, seminare, okrugle stolove i panel rasprave te provođenje istraživanja i anketa vezanih za područje sukoba interesa.</w:t>
      </w:r>
    </w:p>
    <w:p w:rsidR="00D849AA" w:rsidRDefault="00EE6D95">
      <w:pPr>
        <w:pStyle w:val="Naslov6"/>
      </w:pPr>
      <w:r>
        <w:lastRenderedPageBreak/>
        <w:t>K868002 INFORMATIZACIJA POVJERENSTVA ZA ODLUČIVANJE O SUKOBU INTERESA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K868002</w:t>
            </w:r>
          </w:p>
        </w:tc>
        <w:tc>
          <w:tcPr>
            <w:tcW w:w="1486" w:type="dxa"/>
          </w:tcPr>
          <w:p w:rsidR="00D849AA" w:rsidRDefault="00EE6D95">
            <w:r>
              <w:t>44.181</w:t>
            </w:r>
          </w:p>
        </w:tc>
        <w:tc>
          <w:tcPr>
            <w:tcW w:w="1486" w:type="dxa"/>
          </w:tcPr>
          <w:p w:rsidR="00D849AA" w:rsidRDefault="00EE6D95">
            <w:r>
              <w:t>360.000</w:t>
            </w:r>
          </w:p>
        </w:tc>
        <w:tc>
          <w:tcPr>
            <w:tcW w:w="1486" w:type="dxa"/>
          </w:tcPr>
          <w:p w:rsidR="00D849AA" w:rsidRDefault="00EE6D95">
            <w:r>
              <w:t>100.000</w:t>
            </w:r>
          </w:p>
        </w:tc>
        <w:tc>
          <w:tcPr>
            <w:tcW w:w="1486" w:type="dxa"/>
          </w:tcPr>
          <w:p w:rsidR="00D849AA" w:rsidRDefault="00EE6D95">
            <w:r>
              <w:t>100.000</w:t>
            </w:r>
          </w:p>
        </w:tc>
        <w:tc>
          <w:tcPr>
            <w:tcW w:w="1486" w:type="dxa"/>
          </w:tcPr>
          <w:p w:rsidR="00D849AA" w:rsidRDefault="00EE6D95">
            <w:r>
              <w:t>814,8</w:t>
            </w:r>
          </w:p>
        </w:tc>
      </w:tr>
    </w:tbl>
    <w:p w:rsidR="00D849AA" w:rsidRDefault="00D849AA">
      <w:pPr>
        <w:jc w:val="left"/>
      </w:pPr>
    </w:p>
    <w:p w:rsidR="00D849AA" w:rsidRDefault="00EE6D95">
      <w:pPr>
        <w:pStyle w:val="Normal6"/>
      </w:pPr>
      <w:r>
        <w:t xml:space="preserve">Zbog neadekvatnosti postojećeg informatičkog sustava Povjerenstva, uključujući i web usluge, u planu je provedba projekta informatizacije Povjerenstva u vidu formiranja neovisne zatvorene informatičke mreže čime bi se stvorio siguran i stabilan informatički sustav.  </w:t>
      </w:r>
    </w:p>
    <w:p w:rsidR="00D849AA" w:rsidRDefault="00EE6D95">
      <w:pPr>
        <w:pStyle w:val="Normal6"/>
      </w:pPr>
      <w:r>
        <w:t xml:space="preserve">Specifičan rad Povjerenstva zahtjeva razvoj i izradu potpuno novog računalnog programa koji bi za bazu imao tehničke komponente s maksimalnom rezistencijom na hardverske kvarove. Novi računalni program trebao bi biti kvalitetna podloga i alat za rad Povjerenstva koji bi omogućavao provjeru i analizu podataka iz imovinskih kartica uz istovremenu mogućnost pretraživanja po više parametara.  </w:t>
      </w:r>
    </w:p>
    <w:p w:rsidR="00D849AA" w:rsidRDefault="00EE6D95">
      <w:pPr>
        <w:pStyle w:val="Normal6"/>
      </w:pPr>
      <w:r>
        <w:t>U tom smislu planirana je nabava nove informatičke opreme i programskih rješenja za računalnu evidenciju i pohranu imovinskih kartica („ E-imovinska kartica“), kao i evidenciju i pohranu svih izrađenih akata i ustrojenih registara čime bi se objedinilo cjelokupno poslovanje Povjerenstva.</w:t>
      </w:r>
    </w:p>
    <w:p w:rsidR="00D849AA" w:rsidRDefault="00EE6D95">
      <w:pPr>
        <w:pStyle w:val="Naslov1"/>
      </w:pPr>
      <w:r>
        <w:lastRenderedPageBreak/>
        <w:t>013 URED PREDSJEDNIKA REPUBLIKE HRVATSKE PO PRESTANKU OBNAŠANJA DUŽNOSTI</w:t>
      </w:r>
    </w:p>
    <w:p w:rsidR="00D849AA" w:rsidRDefault="00EE6D95">
      <w:pPr>
        <w:pStyle w:val="Naslov4"/>
      </w:pPr>
      <w:r>
        <w:t>Uvod</w:t>
      </w:r>
    </w:p>
    <w:p w:rsidR="00D849AA" w:rsidRDefault="00EE6D95">
      <w:pPr>
        <w:pStyle w:val="Normal3"/>
      </w:pPr>
      <w:r>
        <w:t>Sukladno Zakonu o posebnim pravima predsjednika Republike Hrvatske po prestan</w:t>
      </w:r>
      <w:r w:rsidR="00F64340">
        <w:t>ku obnašanja dužnosti (Narodne n</w:t>
      </w:r>
      <w:r>
        <w:t xml:space="preserve">ovine, </w:t>
      </w:r>
      <w:r w:rsidR="00F64340">
        <w:t xml:space="preserve">broj </w:t>
      </w:r>
      <w:r>
        <w:t>105/2004) te Uredbi o Uredu predsjednika Republike Hrvatske po prestan</w:t>
      </w:r>
      <w:r w:rsidR="00F64340">
        <w:t>ku obnašanja dužnosti (Narodne n</w:t>
      </w:r>
      <w:r>
        <w:t xml:space="preserve">ovine, </w:t>
      </w:r>
      <w:r w:rsidR="00F64340">
        <w:t xml:space="preserve">broj </w:t>
      </w:r>
      <w:r>
        <w:t xml:space="preserve">134/2009) osnovan je Ured predsjednika Republike Hrvatske po prestanku obnašanja dužnosti. </w:t>
      </w:r>
    </w:p>
    <w:p w:rsidR="00D849AA" w:rsidRDefault="00EE6D95">
      <w:pPr>
        <w:pStyle w:val="Normal3"/>
      </w:pPr>
      <w:r>
        <w:t>Ured kao stručna služba, obavlja službeničke, administrativne i ostale poslove isključivo za potrebe bivšeg Predsjednika.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F64340" w:rsidRDefault="00D849AA">
            <w:pPr>
              <w:pStyle w:val="CellHeader"/>
            </w:pPr>
          </w:p>
        </w:tc>
        <w:tc>
          <w:tcPr>
            <w:tcW w:w="1486" w:type="dxa"/>
            <w:shd w:val="clear" w:color="auto" w:fill="B5C0D8"/>
          </w:tcPr>
          <w:p w:rsidR="00D849AA" w:rsidRPr="00F64340" w:rsidRDefault="00EE6D95">
            <w:pPr>
              <w:pStyle w:val="CellHeader"/>
            </w:pPr>
            <w:r w:rsidRPr="00F64340">
              <w:t>Plan 2013.</w:t>
            </w:r>
          </w:p>
        </w:tc>
        <w:tc>
          <w:tcPr>
            <w:tcW w:w="1486" w:type="dxa"/>
            <w:shd w:val="clear" w:color="auto" w:fill="B5C0D8"/>
          </w:tcPr>
          <w:p w:rsidR="00D849AA" w:rsidRPr="00F64340" w:rsidRDefault="00EE6D95">
            <w:pPr>
              <w:pStyle w:val="CellHeader"/>
            </w:pPr>
            <w:r w:rsidRPr="00F64340">
              <w:t>Plan 2014.</w:t>
            </w:r>
          </w:p>
        </w:tc>
        <w:tc>
          <w:tcPr>
            <w:tcW w:w="1486" w:type="dxa"/>
            <w:shd w:val="clear" w:color="auto" w:fill="B5C0D8"/>
          </w:tcPr>
          <w:p w:rsidR="00D849AA" w:rsidRPr="00F64340" w:rsidRDefault="00EE6D95">
            <w:pPr>
              <w:pStyle w:val="CellHeader"/>
            </w:pPr>
            <w:r w:rsidRPr="00F64340">
              <w:t>Plan 2015.</w:t>
            </w:r>
          </w:p>
        </w:tc>
        <w:tc>
          <w:tcPr>
            <w:tcW w:w="1486" w:type="dxa"/>
            <w:shd w:val="clear" w:color="auto" w:fill="B5C0D8"/>
          </w:tcPr>
          <w:p w:rsidR="00D849AA" w:rsidRPr="00F64340" w:rsidRDefault="00EE6D95">
            <w:pPr>
              <w:pStyle w:val="CellHeader"/>
            </w:pPr>
            <w:r w:rsidRPr="00F64340">
              <w:t>Plan 2016.</w:t>
            </w:r>
          </w:p>
        </w:tc>
        <w:tc>
          <w:tcPr>
            <w:tcW w:w="1486" w:type="dxa"/>
            <w:shd w:val="clear" w:color="auto" w:fill="B5C0D8"/>
          </w:tcPr>
          <w:p w:rsidR="00D849AA" w:rsidRPr="00F64340" w:rsidRDefault="00EE6D95">
            <w:pPr>
              <w:pStyle w:val="CellHeader"/>
            </w:pPr>
            <w:r w:rsidRPr="00F64340">
              <w:t>Indeks 2014/2013</w:t>
            </w:r>
          </w:p>
        </w:tc>
      </w:tr>
      <w:tr w:rsidR="00D849AA">
        <w:trPr>
          <w:jc w:val="center"/>
        </w:trPr>
        <w:tc>
          <w:tcPr>
            <w:tcW w:w="1486" w:type="dxa"/>
          </w:tcPr>
          <w:p w:rsidR="00D849AA" w:rsidRPr="00F64340" w:rsidRDefault="00EE6D95">
            <w:pPr>
              <w:pStyle w:val="CellColumn"/>
            </w:pPr>
            <w:r w:rsidRPr="00F64340">
              <w:t>01305 Ured predsjednika Republike Hrvatske po prestanku obnašanja dužnosti</w:t>
            </w:r>
          </w:p>
        </w:tc>
        <w:tc>
          <w:tcPr>
            <w:tcW w:w="1486" w:type="dxa"/>
          </w:tcPr>
          <w:p w:rsidR="00D849AA" w:rsidRPr="00F64340" w:rsidRDefault="00EE6D95">
            <w:pPr>
              <w:rPr>
                <w:rFonts w:ascii="Arial" w:hAnsi="Arial" w:cs="Arial"/>
              </w:rPr>
            </w:pPr>
            <w:r w:rsidRPr="00F64340">
              <w:rPr>
                <w:rFonts w:ascii="Arial" w:hAnsi="Arial" w:cs="Arial"/>
              </w:rPr>
              <w:t>947.995</w:t>
            </w:r>
          </w:p>
        </w:tc>
        <w:tc>
          <w:tcPr>
            <w:tcW w:w="1486" w:type="dxa"/>
          </w:tcPr>
          <w:p w:rsidR="00D849AA" w:rsidRPr="00F64340" w:rsidRDefault="00EE6D95">
            <w:pPr>
              <w:rPr>
                <w:rFonts w:ascii="Arial" w:hAnsi="Arial" w:cs="Arial"/>
              </w:rPr>
            </w:pPr>
            <w:r w:rsidRPr="00F64340">
              <w:rPr>
                <w:rFonts w:ascii="Arial" w:hAnsi="Arial" w:cs="Arial"/>
              </w:rPr>
              <w:t>910.002</w:t>
            </w:r>
          </w:p>
        </w:tc>
        <w:tc>
          <w:tcPr>
            <w:tcW w:w="1486" w:type="dxa"/>
          </w:tcPr>
          <w:p w:rsidR="00D849AA" w:rsidRPr="00F64340" w:rsidRDefault="00EE6D95">
            <w:pPr>
              <w:rPr>
                <w:rFonts w:ascii="Arial" w:hAnsi="Arial" w:cs="Arial"/>
              </w:rPr>
            </w:pPr>
            <w:r w:rsidRPr="00F64340">
              <w:rPr>
                <w:rFonts w:ascii="Arial" w:hAnsi="Arial" w:cs="Arial"/>
              </w:rPr>
              <w:t>921.631</w:t>
            </w:r>
          </w:p>
        </w:tc>
        <w:tc>
          <w:tcPr>
            <w:tcW w:w="1486" w:type="dxa"/>
          </w:tcPr>
          <w:p w:rsidR="00D849AA" w:rsidRPr="00F64340" w:rsidRDefault="00EE6D95">
            <w:pPr>
              <w:rPr>
                <w:rFonts w:ascii="Arial" w:hAnsi="Arial" w:cs="Arial"/>
              </w:rPr>
            </w:pPr>
            <w:r w:rsidRPr="00F64340">
              <w:rPr>
                <w:rFonts w:ascii="Arial" w:hAnsi="Arial" w:cs="Arial"/>
              </w:rPr>
              <w:t>924.053</w:t>
            </w:r>
          </w:p>
        </w:tc>
        <w:tc>
          <w:tcPr>
            <w:tcW w:w="1486" w:type="dxa"/>
          </w:tcPr>
          <w:p w:rsidR="00D849AA" w:rsidRPr="00F64340" w:rsidRDefault="00EE6D95">
            <w:pPr>
              <w:rPr>
                <w:rFonts w:ascii="Arial" w:hAnsi="Arial" w:cs="Arial"/>
              </w:rPr>
            </w:pPr>
            <w:r w:rsidRPr="00F64340">
              <w:rPr>
                <w:rFonts w:ascii="Arial" w:hAnsi="Arial" w:cs="Arial"/>
              </w:rPr>
              <w:t>96,0</w:t>
            </w:r>
          </w:p>
        </w:tc>
      </w:tr>
      <w:tr w:rsidR="00D849AA">
        <w:trPr>
          <w:jc w:val="center"/>
        </w:trPr>
        <w:tc>
          <w:tcPr>
            <w:tcW w:w="1486" w:type="dxa"/>
            <w:shd w:val="clear" w:color="auto" w:fill="B5C0D8"/>
          </w:tcPr>
          <w:p w:rsidR="00D849AA" w:rsidRPr="00F64340" w:rsidRDefault="00EE6D95">
            <w:pPr>
              <w:pStyle w:val="CellColumn"/>
            </w:pPr>
            <w:r w:rsidRPr="00F64340">
              <w:t>Ukupno 013</w:t>
            </w:r>
          </w:p>
        </w:tc>
        <w:tc>
          <w:tcPr>
            <w:tcW w:w="1486" w:type="dxa"/>
            <w:shd w:val="clear" w:color="auto" w:fill="B5C0D8"/>
          </w:tcPr>
          <w:p w:rsidR="00D849AA" w:rsidRPr="00F64340" w:rsidRDefault="00EE6D95">
            <w:pPr>
              <w:rPr>
                <w:rFonts w:ascii="Arial" w:hAnsi="Arial" w:cs="Arial"/>
              </w:rPr>
            </w:pPr>
            <w:r w:rsidRPr="00F64340">
              <w:rPr>
                <w:rFonts w:ascii="Arial" w:hAnsi="Arial" w:cs="Arial"/>
              </w:rPr>
              <w:t>947.995</w:t>
            </w:r>
          </w:p>
        </w:tc>
        <w:tc>
          <w:tcPr>
            <w:tcW w:w="1486" w:type="dxa"/>
            <w:shd w:val="clear" w:color="auto" w:fill="B5C0D8"/>
          </w:tcPr>
          <w:p w:rsidR="00D849AA" w:rsidRPr="00F64340" w:rsidRDefault="00EE6D95">
            <w:pPr>
              <w:rPr>
                <w:rFonts w:ascii="Arial" w:hAnsi="Arial" w:cs="Arial"/>
              </w:rPr>
            </w:pPr>
            <w:r w:rsidRPr="00F64340">
              <w:rPr>
                <w:rFonts w:ascii="Arial" w:hAnsi="Arial" w:cs="Arial"/>
              </w:rPr>
              <w:t>910.002</w:t>
            </w:r>
          </w:p>
        </w:tc>
        <w:tc>
          <w:tcPr>
            <w:tcW w:w="1486" w:type="dxa"/>
            <w:shd w:val="clear" w:color="auto" w:fill="B5C0D8"/>
          </w:tcPr>
          <w:p w:rsidR="00D849AA" w:rsidRPr="00F64340" w:rsidRDefault="00EE6D95">
            <w:pPr>
              <w:rPr>
                <w:rFonts w:ascii="Arial" w:hAnsi="Arial" w:cs="Arial"/>
              </w:rPr>
            </w:pPr>
            <w:r w:rsidRPr="00F64340">
              <w:rPr>
                <w:rFonts w:ascii="Arial" w:hAnsi="Arial" w:cs="Arial"/>
              </w:rPr>
              <w:t>921.631</w:t>
            </w:r>
          </w:p>
        </w:tc>
        <w:tc>
          <w:tcPr>
            <w:tcW w:w="1486" w:type="dxa"/>
            <w:shd w:val="clear" w:color="auto" w:fill="B5C0D8"/>
          </w:tcPr>
          <w:p w:rsidR="00D849AA" w:rsidRPr="00F64340" w:rsidRDefault="00EE6D95">
            <w:pPr>
              <w:rPr>
                <w:rFonts w:ascii="Arial" w:hAnsi="Arial" w:cs="Arial"/>
              </w:rPr>
            </w:pPr>
            <w:r w:rsidRPr="00F64340">
              <w:rPr>
                <w:rFonts w:ascii="Arial" w:hAnsi="Arial" w:cs="Arial"/>
              </w:rPr>
              <w:t>924.053</w:t>
            </w:r>
          </w:p>
        </w:tc>
        <w:tc>
          <w:tcPr>
            <w:tcW w:w="1486" w:type="dxa"/>
            <w:shd w:val="clear" w:color="auto" w:fill="B5C0D8"/>
          </w:tcPr>
          <w:p w:rsidR="00D849AA" w:rsidRPr="00F64340" w:rsidRDefault="00EE6D95">
            <w:pPr>
              <w:rPr>
                <w:rFonts w:ascii="Arial" w:hAnsi="Arial" w:cs="Arial"/>
              </w:rPr>
            </w:pPr>
            <w:r w:rsidRPr="00F64340">
              <w:rPr>
                <w:rFonts w:ascii="Arial" w:hAnsi="Arial" w:cs="Arial"/>
              </w:rPr>
              <w:t>96,0</w:t>
            </w:r>
          </w:p>
        </w:tc>
      </w:tr>
    </w:tbl>
    <w:p w:rsidR="00D849AA" w:rsidRDefault="00D849AA">
      <w:pPr>
        <w:jc w:val="left"/>
      </w:pPr>
    </w:p>
    <w:p w:rsidR="00F64340" w:rsidRDefault="00F64340" w:rsidP="00F64340">
      <w:pPr>
        <w:pStyle w:val="Naslov4"/>
      </w:pPr>
      <w:r>
        <w:t>OBRAZLOŽENJE PROGRAMA</w:t>
      </w:r>
    </w:p>
    <w:p w:rsidR="00D849AA" w:rsidRDefault="00EE6D95">
      <w:pPr>
        <w:pStyle w:val="Naslov5"/>
      </w:pPr>
      <w:r>
        <w:t>2105 DJELOVANJE PREDSJEDNIKA REPUBLIKE HRVATSKE PO PRESTANKU OBNAŠANJA DUŽNOSTI</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F64340" w:rsidRDefault="00D849AA">
            <w:pPr>
              <w:pStyle w:val="CellHeader"/>
            </w:pPr>
          </w:p>
        </w:tc>
        <w:tc>
          <w:tcPr>
            <w:tcW w:w="1486" w:type="dxa"/>
            <w:shd w:val="clear" w:color="auto" w:fill="B5C0D8"/>
          </w:tcPr>
          <w:p w:rsidR="00D849AA" w:rsidRPr="00F64340" w:rsidRDefault="00EE6D95">
            <w:pPr>
              <w:pStyle w:val="CellHeader"/>
            </w:pPr>
            <w:r w:rsidRPr="00F64340">
              <w:t>Plan 2013.</w:t>
            </w:r>
          </w:p>
        </w:tc>
        <w:tc>
          <w:tcPr>
            <w:tcW w:w="1486" w:type="dxa"/>
            <w:shd w:val="clear" w:color="auto" w:fill="B5C0D8"/>
          </w:tcPr>
          <w:p w:rsidR="00D849AA" w:rsidRPr="00F64340" w:rsidRDefault="00EE6D95">
            <w:pPr>
              <w:pStyle w:val="CellHeader"/>
            </w:pPr>
            <w:r w:rsidRPr="00F64340">
              <w:t>Plan 2014.</w:t>
            </w:r>
          </w:p>
        </w:tc>
        <w:tc>
          <w:tcPr>
            <w:tcW w:w="1486" w:type="dxa"/>
            <w:shd w:val="clear" w:color="auto" w:fill="B5C0D8"/>
          </w:tcPr>
          <w:p w:rsidR="00D849AA" w:rsidRPr="00F64340" w:rsidRDefault="00EE6D95">
            <w:pPr>
              <w:pStyle w:val="CellHeader"/>
            </w:pPr>
            <w:r w:rsidRPr="00F64340">
              <w:t>Plan 2015.</w:t>
            </w:r>
          </w:p>
        </w:tc>
        <w:tc>
          <w:tcPr>
            <w:tcW w:w="1486" w:type="dxa"/>
            <w:shd w:val="clear" w:color="auto" w:fill="B5C0D8"/>
          </w:tcPr>
          <w:p w:rsidR="00D849AA" w:rsidRPr="00F64340" w:rsidRDefault="00EE6D95">
            <w:pPr>
              <w:pStyle w:val="CellHeader"/>
            </w:pPr>
            <w:r w:rsidRPr="00F64340">
              <w:t>Plan 2016.</w:t>
            </w:r>
          </w:p>
        </w:tc>
        <w:tc>
          <w:tcPr>
            <w:tcW w:w="1486" w:type="dxa"/>
            <w:shd w:val="clear" w:color="auto" w:fill="B5C0D8"/>
          </w:tcPr>
          <w:p w:rsidR="00D849AA" w:rsidRPr="00F64340" w:rsidRDefault="00EE6D95">
            <w:pPr>
              <w:pStyle w:val="CellHeader"/>
            </w:pPr>
            <w:r w:rsidRPr="00F64340">
              <w:t>Indeks 2014/2013</w:t>
            </w:r>
          </w:p>
        </w:tc>
      </w:tr>
      <w:tr w:rsidR="00D849AA">
        <w:trPr>
          <w:jc w:val="center"/>
        </w:trPr>
        <w:tc>
          <w:tcPr>
            <w:tcW w:w="1486" w:type="dxa"/>
          </w:tcPr>
          <w:p w:rsidR="00D849AA" w:rsidRPr="00F64340" w:rsidRDefault="00EE6D95">
            <w:pPr>
              <w:pStyle w:val="CellColumn"/>
            </w:pPr>
            <w:r w:rsidRPr="00F64340">
              <w:t>2105</w:t>
            </w:r>
          </w:p>
        </w:tc>
        <w:tc>
          <w:tcPr>
            <w:tcW w:w="1486" w:type="dxa"/>
          </w:tcPr>
          <w:p w:rsidR="00D849AA" w:rsidRPr="00F64340" w:rsidRDefault="00EE6D95">
            <w:pPr>
              <w:rPr>
                <w:rFonts w:ascii="Arial" w:hAnsi="Arial" w:cs="Arial"/>
              </w:rPr>
            </w:pPr>
            <w:r w:rsidRPr="00F64340">
              <w:rPr>
                <w:rFonts w:ascii="Arial" w:hAnsi="Arial" w:cs="Arial"/>
              </w:rPr>
              <w:t>947.995</w:t>
            </w:r>
          </w:p>
        </w:tc>
        <w:tc>
          <w:tcPr>
            <w:tcW w:w="1486" w:type="dxa"/>
          </w:tcPr>
          <w:p w:rsidR="00D849AA" w:rsidRPr="00F64340" w:rsidRDefault="00EE6D95">
            <w:pPr>
              <w:rPr>
                <w:rFonts w:ascii="Arial" w:hAnsi="Arial" w:cs="Arial"/>
              </w:rPr>
            </w:pPr>
            <w:r w:rsidRPr="00F64340">
              <w:rPr>
                <w:rFonts w:ascii="Arial" w:hAnsi="Arial" w:cs="Arial"/>
              </w:rPr>
              <w:t>910.002</w:t>
            </w:r>
          </w:p>
        </w:tc>
        <w:tc>
          <w:tcPr>
            <w:tcW w:w="1486" w:type="dxa"/>
          </w:tcPr>
          <w:p w:rsidR="00D849AA" w:rsidRPr="00F64340" w:rsidRDefault="00EE6D95">
            <w:pPr>
              <w:rPr>
                <w:rFonts w:ascii="Arial" w:hAnsi="Arial" w:cs="Arial"/>
              </w:rPr>
            </w:pPr>
            <w:r w:rsidRPr="00F64340">
              <w:rPr>
                <w:rFonts w:ascii="Arial" w:hAnsi="Arial" w:cs="Arial"/>
              </w:rPr>
              <w:t>921.631</w:t>
            </w:r>
          </w:p>
        </w:tc>
        <w:tc>
          <w:tcPr>
            <w:tcW w:w="1486" w:type="dxa"/>
          </w:tcPr>
          <w:p w:rsidR="00D849AA" w:rsidRPr="00F64340" w:rsidRDefault="00EE6D95">
            <w:pPr>
              <w:rPr>
                <w:rFonts w:ascii="Arial" w:hAnsi="Arial" w:cs="Arial"/>
              </w:rPr>
            </w:pPr>
            <w:r w:rsidRPr="00F64340">
              <w:rPr>
                <w:rFonts w:ascii="Arial" w:hAnsi="Arial" w:cs="Arial"/>
              </w:rPr>
              <w:t>924.053</w:t>
            </w:r>
          </w:p>
        </w:tc>
        <w:tc>
          <w:tcPr>
            <w:tcW w:w="1486" w:type="dxa"/>
          </w:tcPr>
          <w:p w:rsidR="00D849AA" w:rsidRPr="00F64340" w:rsidRDefault="00EE6D95">
            <w:pPr>
              <w:rPr>
                <w:rFonts w:ascii="Arial" w:hAnsi="Arial" w:cs="Arial"/>
              </w:rPr>
            </w:pPr>
            <w:r w:rsidRPr="00F64340">
              <w:rPr>
                <w:rFonts w:ascii="Arial" w:hAnsi="Arial" w:cs="Arial"/>
              </w:rPr>
              <w:t>96,0</w:t>
            </w:r>
          </w:p>
        </w:tc>
      </w:tr>
    </w:tbl>
    <w:p w:rsidR="00D849AA" w:rsidRDefault="00D849AA">
      <w:pPr>
        <w:jc w:val="left"/>
      </w:pPr>
    </w:p>
    <w:p w:rsidR="00D849AA" w:rsidRDefault="00EE6D95">
      <w:pPr>
        <w:pStyle w:val="Naslov6"/>
      </w:pPr>
      <w:r>
        <w:t>Opis programa</w:t>
      </w:r>
    </w:p>
    <w:p w:rsidR="00D849AA" w:rsidRDefault="00EE6D95">
      <w:pPr>
        <w:pStyle w:val="Normal5"/>
      </w:pPr>
      <w:r>
        <w:t>Obavljanjem službeničkih, administrativnih i ostalih poslova isključivo za potrebe Predsjednika osigurava se kontinuirano, promišljeno i nesmetano djelovanje Predsjednika Republike Hrvatske po prestanku obnašanja dužnosti u predstavljanju i zastupanju interesa Republike Hrvatske u zemlji i inozemstvu.</w:t>
      </w:r>
    </w:p>
    <w:p w:rsidR="00D849AA" w:rsidRDefault="00EE6D95">
      <w:pPr>
        <w:pStyle w:val="Naslov6"/>
      </w:pPr>
      <w:r>
        <w:t>Zakonske i druge pravne osnove</w:t>
      </w:r>
    </w:p>
    <w:p w:rsidR="00D849AA" w:rsidRDefault="00EE6D95">
      <w:pPr>
        <w:pStyle w:val="Normal5"/>
      </w:pPr>
      <w:r>
        <w:t>Zakon o pravima predsjednika Republike Hrvatske po prestanku obnašanja dužnosti (Narodne Novine, 105/2004)</w:t>
      </w:r>
    </w:p>
    <w:p w:rsidR="00D849AA" w:rsidRDefault="00EE6D95">
      <w:pPr>
        <w:pStyle w:val="Naslov6"/>
      </w:pPr>
      <w:r>
        <w:lastRenderedPageBreak/>
        <w:t>Ciljevi provedbe programa u razdoblju 2014.-2016. i pokazatelji uspješnosti kojima će se mjeriti ostvarenje tih ciljeva</w:t>
      </w:r>
    </w:p>
    <w:p w:rsidR="00D849AA" w:rsidRDefault="00EE6D95">
      <w:pPr>
        <w:pStyle w:val="Naslov7"/>
      </w:pPr>
      <w:r>
        <w:t>Cilj 1. Predstavljanje i zastupanje interesa RH u zemlji i inozemstvu</w:t>
      </w:r>
    </w:p>
    <w:p w:rsidR="00D849AA" w:rsidRDefault="00EE6D95">
      <w:pPr>
        <w:pStyle w:val="Normal6"/>
      </w:pPr>
      <w:r>
        <w:t xml:space="preserve">Omogućavanje bivšem predsjedniku Republike da nastavi s korištenjem svojih razgranatih kontakata širom svijeta, kao i s aktivnošću u Hrvatskoj, kako bi pomogao promicanju ugleda Republike Hrvatske u međunarodnoj zajednici, jačanju onih temelja na kojima je Hrvatska gradila politiku što ju je dovela do članstva u EU, te sudjelovao – u sklopu objektivnih mogućnosti i potreba – u iznalaženju odgovora što ih pred Republiku Hrvatsku postavlja članstvo u Europskoj uniji, kao i nastavio davati doprinos prodoru hrvatskoga gospodarstva na strana tržišta, kao i privlačenju stranih investicija u Hrvatsku. </w:t>
      </w:r>
    </w:p>
    <w:p w:rsidR="00D849AA" w:rsidRDefault="00EE6D95">
      <w:pPr>
        <w:pStyle w:val="Normal6"/>
      </w:pPr>
      <w:r>
        <w:t xml:space="preserve">Omogućavanje bivšem predsjedniku Republike da javnim zastupanjem stanovišta koja su mu u 10 godina predsjedničkog mandata donijela zamjetni ugled u svijetu, nastavi – gradeći na tome ugledu - aktivno raditi na promicanju slike o Republici Hrvatskoj, kao o demokratskoj državi, privrženoj uspostavljanju vladavine prava i borbi protiv korupcije, te poštivanju i ostvarivanju ljudskih prava, uključujući prava manjina. </w:t>
      </w:r>
    </w:p>
    <w:p w:rsidR="00D849AA" w:rsidRDefault="00EE6D95">
      <w:pPr>
        <w:pStyle w:val="Normal6"/>
      </w:pPr>
      <w:r>
        <w:t>Omogućavanje bivšem predsjedniku Republike da se u funkciji ostvarivanja gore navedenih ciljeva odaziva pozivima na međunarodne skupove i na razgovore sa stranim državnicima, te da u Hrvatskoj bude domaćin političarima iz svijeta, a osobito gospodarskim izaslanstvima iz raznih zemalja, kao i da održava aktivne kontakte s diplomatskim zborom u Republici Hrvatskoj.</w:t>
      </w:r>
    </w:p>
    <w:p w:rsidR="00D849AA" w:rsidRDefault="00EE6D95">
      <w:pPr>
        <w:pStyle w:val="Naslov5"/>
      </w:pPr>
      <w:r>
        <w:t>Procjena i ishodište potrebnih sredstava za značajnije aktivnosti/projekte</w:t>
      </w:r>
    </w:p>
    <w:p w:rsidR="00D849AA" w:rsidRDefault="00EE6D95">
      <w:pPr>
        <w:pStyle w:val="Naslov6"/>
      </w:pPr>
      <w:r>
        <w:t>A845001 ADMINISTRACIJA I UPRAVLJANJE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F64340" w:rsidRDefault="00EE6D95">
            <w:pPr>
              <w:pStyle w:val="CellHeader"/>
            </w:pPr>
            <w:r w:rsidRPr="00F64340">
              <w:t>Naziv aktivnosti</w:t>
            </w:r>
          </w:p>
        </w:tc>
        <w:tc>
          <w:tcPr>
            <w:tcW w:w="1486" w:type="dxa"/>
            <w:shd w:val="clear" w:color="auto" w:fill="B5C0D8"/>
          </w:tcPr>
          <w:p w:rsidR="00D849AA" w:rsidRPr="00F64340" w:rsidRDefault="00EE6D95">
            <w:pPr>
              <w:pStyle w:val="CellHeader"/>
            </w:pPr>
            <w:r w:rsidRPr="00F64340">
              <w:t>Plan 2013.</w:t>
            </w:r>
          </w:p>
        </w:tc>
        <w:tc>
          <w:tcPr>
            <w:tcW w:w="1486" w:type="dxa"/>
            <w:shd w:val="clear" w:color="auto" w:fill="B5C0D8"/>
          </w:tcPr>
          <w:p w:rsidR="00D849AA" w:rsidRPr="00F64340" w:rsidRDefault="00EE6D95">
            <w:pPr>
              <w:pStyle w:val="CellHeader"/>
            </w:pPr>
            <w:r w:rsidRPr="00F64340">
              <w:t>Plan 2014.</w:t>
            </w:r>
          </w:p>
        </w:tc>
        <w:tc>
          <w:tcPr>
            <w:tcW w:w="1486" w:type="dxa"/>
            <w:shd w:val="clear" w:color="auto" w:fill="B5C0D8"/>
          </w:tcPr>
          <w:p w:rsidR="00D849AA" w:rsidRPr="00F64340" w:rsidRDefault="00EE6D95">
            <w:pPr>
              <w:pStyle w:val="CellHeader"/>
            </w:pPr>
            <w:r w:rsidRPr="00F64340">
              <w:t>Plan 2015.</w:t>
            </w:r>
          </w:p>
        </w:tc>
        <w:tc>
          <w:tcPr>
            <w:tcW w:w="1486" w:type="dxa"/>
            <w:shd w:val="clear" w:color="auto" w:fill="B5C0D8"/>
          </w:tcPr>
          <w:p w:rsidR="00D849AA" w:rsidRPr="00F64340" w:rsidRDefault="00EE6D95">
            <w:pPr>
              <w:pStyle w:val="CellHeader"/>
            </w:pPr>
            <w:r w:rsidRPr="00F64340">
              <w:t>Plan 2016.</w:t>
            </w:r>
          </w:p>
        </w:tc>
        <w:tc>
          <w:tcPr>
            <w:tcW w:w="1486" w:type="dxa"/>
            <w:shd w:val="clear" w:color="auto" w:fill="B5C0D8"/>
          </w:tcPr>
          <w:p w:rsidR="00D849AA" w:rsidRPr="00F64340" w:rsidRDefault="00EE6D95">
            <w:pPr>
              <w:pStyle w:val="CellHeader"/>
            </w:pPr>
            <w:r w:rsidRPr="00F64340">
              <w:t>Indeks 2014/2013</w:t>
            </w:r>
          </w:p>
        </w:tc>
      </w:tr>
      <w:tr w:rsidR="00D849AA">
        <w:trPr>
          <w:jc w:val="center"/>
        </w:trPr>
        <w:tc>
          <w:tcPr>
            <w:tcW w:w="1486" w:type="dxa"/>
          </w:tcPr>
          <w:p w:rsidR="00D849AA" w:rsidRPr="00F64340" w:rsidRDefault="00EE6D95">
            <w:pPr>
              <w:pStyle w:val="CellColumn"/>
            </w:pPr>
            <w:r w:rsidRPr="00F64340">
              <w:t>A845001</w:t>
            </w:r>
          </w:p>
        </w:tc>
        <w:tc>
          <w:tcPr>
            <w:tcW w:w="1486" w:type="dxa"/>
          </w:tcPr>
          <w:p w:rsidR="00D849AA" w:rsidRPr="00F64340" w:rsidRDefault="00EE6D95">
            <w:pPr>
              <w:rPr>
                <w:rFonts w:ascii="Arial" w:hAnsi="Arial" w:cs="Arial"/>
              </w:rPr>
            </w:pPr>
            <w:r w:rsidRPr="00F64340">
              <w:rPr>
                <w:rFonts w:ascii="Arial" w:hAnsi="Arial" w:cs="Arial"/>
              </w:rPr>
              <w:t>936.995</w:t>
            </w:r>
          </w:p>
        </w:tc>
        <w:tc>
          <w:tcPr>
            <w:tcW w:w="1486" w:type="dxa"/>
          </w:tcPr>
          <w:p w:rsidR="00D849AA" w:rsidRPr="00F64340" w:rsidRDefault="00EE6D95">
            <w:pPr>
              <w:rPr>
                <w:rFonts w:ascii="Arial" w:hAnsi="Arial" w:cs="Arial"/>
              </w:rPr>
            </w:pPr>
            <w:r w:rsidRPr="00F64340">
              <w:rPr>
                <w:rFonts w:ascii="Arial" w:hAnsi="Arial" w:cs="Arial"/>
              </w:rPr>
              <w:t>893.002</w:t>
            </w:r>
          </w:p>
        </w:tc>
        <w:tc>
          <w:tcPr>
            <w:tcW w:w="1486" w:type="dxa"/>
          </w:tcPr>
          <w:p w:rsidR="00D849AA" w:rsidRPr="00F64340" w:rsidRDefault="00EE6D95">
            <w:pPr>
              <w:rPr>
                <w:rFonts w:ascii="Arial" w:hAnsi="Arial" w:cs="Arial"/>
              </w:rPr>
            </w:pPr>
            <w:r w:rsidRPr="00F64340">
              <w:rPr>
                <w:rFonts w:ascii="Arial" w:hAnsi="Arial" w:cs="Arial"/>
              </w:rPr>
              <w:t>904.631</w:t>
            </w:r>
          </w:p>
        </w:tc>
        <w:tc>
          <w:tcPr>
            <w:tcW w:w="1486" w:type="dxa"/>
          </w:tcPr>
          <w:p w:rsidR="00D849AA" w:rsidRPr="00F64340" w:rsidRDefault="00EE6D95">
            <w:pPr>
              <w:rPr>
                <w:rFonts w:ascii="Arial" w:hAnsi="Arial" w:cs="Arial"/>
              </w:rPr>
            </w:pPr>
            <w:r w:rsidRPr="00F64340">
              <w:rPr>
                <w:rFonts w:ascii="Arial" w:hAnsi="Arial" w:cs="Arial"/>
              </w:rPr>
              <w:t>907.053</w:t>
            </w:r>
          </w:p>
        </w:tc>
        <w:tc>
          <w:tcPr>
            <w:tcW w:w="1486" w:type="dxa"/>
          </w:tcPr>
          <w:p w:rsidR="00D849AA" w:rsidRPr="00F64340" w:rsidRDefault="00EE6D95">
            <w:pPr>
              <w:rPr>
                <w:rFonts w:ascii="Arial" w:hAnsi="Arial" w:cs="Arial"/>
              </w:rPr>
            </w:pPr>
            <w:r w:rsidRPr="00F64340">
              <w:rPr>
                <w:rFonts w:ascii="Arial" w:hAnsi="Arial" w:cs="Arial"/>
              </w:rPr>
              <w:t>95,3</w:t>
            </w:r>
          </w:p>
        </w:tc>
      </w:tr>
    </w:tbl>
    <w:p w:rsidR="00D849AA" w:rsidRDefault="00D849AA">
      <w:pPr>
        <w:jc w:val="left"/>
      </w:pPr>
    </w:p>
    <w:p w:rsidR="00D849AA" w:rsidRDefault="00EE6D95">
      <w:pPr>
        <w:pStyle w:val="Normal6"/>
      </w:pPr>
      <w:r>
        <w:t>Kroz aktivnost A845001 Administracija i upravljanje planirana su sredstva za podmirenje osnovnih potreba za normalno funkcioniranje Ureda (aktivnosti predsjednika posebno na području vanjske politike).</w:t>
      </w:r>
    </w:p>
    <w:p w:rsidR="00D849AA" w:rsidRDefault="00EE6D95">
      <w:pPr>
        <w:pStyle w:val="Naslov1"/>
      </w:pPr>
      <w:r>
        <w:lastRenderedPageBreak/>
        <w:t>015 URED PREDSJEDNIKA REPUBLIKE HRVATSKE</w:t>
      </w:r>
    </w:p>
    <w:p w:rsidR="00D849AA" w:rsidRDefault="00EE6D95">
      <w:pPr>
        <w:pStyle w:val="Naslov4"/>
      </w:pPr>
      <w:r>
        <w:t>Uvod</w:t>
      </w:r>
    </w:p>
    <w:p w:rsidR="00D849AA" w:rsidRDefault="00EE6D95">
      <w:pPr>
        <w:pStyle w:val="Normal3"/>
      </w:pPr>
      <w:r>
        <w:t xml:space="preserve">Ured predsjednika Republike Hrvatske obnaša savjetodavne, administrativne, stručne i druge poslove pripreme i provođenja odluka i akata koje donosi predsjednik Republike Hrvatske te skrbi o provođenju drugih Ustavom i zakonima utvrđenih ovlasti i obveza predsjednika.  </w:t>
      </w:r>
    </w:p>
    <w:p w:rsidR="00D849AA" w:rsidRDefault="00EE6D95">
      <w:pPr>
        <w:pStyle w:val="Normal3"/>
      </w:pPr>
      <w:r>
        <w:t xml:space="preserve">Odredbom članka 107. Ustava Republike Hrvatske („Narodne novine“ 85/10 - pročišćeni tekst) propisano je da predsjedniku Republike u obavljanju njegovih dužnosti pomažu savjetodavna tijela te da se savjetodavni, stručni i drugi poslovi obavljaju u Uredu predsjednika Republike Hrvatske. Ured predsjednika Republike Hrvatske ustrojen je Odlukom o Uredu predsjednika Republike Hrvatske («Narodne novine», broj 80/00, 06/04, 54/05, 30/10 i 107/11). Istom su uređene zadaće i osnove ustrojstva Ureda osnovanog Odlukom o osnivanju Ureda predsjednika Republike Hrvatske (“Narodne novine”, broj 5/91). </w:t>
      </w:r>
    </w:p>
    <w:p w:rsidR="00D849AA" w:rsidRDefault="00EE6D95">
      <w:pPr>
        <w:pStyle w:val="Normal3"/>
      </w:pPr>
      <w:r>
        <w:t xml:space="preserve">Prema Odluci o Uredu predsjednika Republike Hrvatske Ured obnaša savjetodavne, administrativne, stručne i druge poslove u pripremi i skrbi oko priprema i provođenja odluka i akata koje donosi predsjednik Republike Hrvatske te u obavljanju drugih njegovih Ustavom i zakonima utvrđenih ovlasti i obveza.  </w:t>
      </w:r>
    </w:p>
    <w:p w:rsidR="00D849AA" w:rsidRDefault="00EE6D95">
      <w:pPr>
        <w:pStyle w:val="Normal3"/>
      </w:pPr>
      <w:r>
        <w:t xml:space="preserve">Ovlasti predsjednika Republike utvrđene su ustavnim odredbama te nizom posebnih zakona. Prema odredbi članka 94. Ustava predsjednik Republike Hrvatske predstavlja i zastupa Republiku Hrvatsku u zemlji i inozemstvu, brine se za redovito i usklađeno djelovanje te za stabilnost državne vlasti i odgovara za obranu neovisnosti i teritorijalne cjelovitosti Republike Hrvatske, raspisuje izbore za Hrvatski sabor i saziva ga na prvo zasjedanje, raspisuje referendum u skladu s Ustavom, povjerava mandat za sastavljanje Vlade osobi koja uživa povjerenje većine svih zastupnika u Hrvatskom saboru, daje pomilovanja u skladu s odredbama Zakona o pomilovanjima te dodjeljuje odlikovanja i priznanja određena zakonom (članak 98. Ustava) temeljem Zakona o odlikovanjima i priznanjima Republike Hrvatske. </w:t>
      </w:r>
    </w:p>
    <w:p w:rsidR="00D849AA" w:rsidRDefault="00EE6D95">
      <w:pPr>
        <w:pStyle w:val="Normal3"/>
      </w:pPr>
      <w:r>
        <w:t xml:space="preserve">Nadalje, prema odredbi članka 99. Ustava Predsjednik Republike i Vlada Republike Hrvatske surađuju u oblikovanju i provođenju vanjske politike, a Predsjednik Republike, na prijedlog Vlade i uz supotpis predsjednika Vlade, odlučuje o osnivanju diplomatskih misija i konzularnih ureda Republike Hrvatske u inozemstvu te na prijedlog Vlade i uz mišljenje nadležnog odbora Hrvatskoga sabora, donosi odluku o postavljanju i opozivu šefova diplomatskih misija Republike Hrvatske u inozemstvu, uz prethodni supotpis predsjednika Vlade Republike Hrvatske, prima vjerodajnice i opozivna pisma inozemnih šefova diplomatskih misija. Također, nadležnosti Predsjednika Republike u oblasti vanjske politike utvrđene su i odredbama Zakona o vanjskim poslovima. </w:t>
      </w:r>
    </w:p>
    <w:p w:rsidR="00D849AA" w:rsidRDefault="00EE6D95">
      <w:pPr>
        <w:pStyle w:val="Normal3"/>
      </w:pPr>
      <w:r>
        <w:t xml:space="preserve">Predsjednik Republike vrhovni je zapovjednik oružanih snaga Republike Hrvatske, te imenuje i razrješuje vojne zapovjednike, u skladu sa zakonom (članak 100. Ustava), a pojedinačne ovlasti utvrđene su i odredbama Zakona o službi u Oružanim snagama Republike Hrvatske te odredbama Zakona o obrani. </w:t>
      </w:r>
    </w:p>
    <w:p w:rsidR="00D849AA" w:rsidRDefault="00EE6D95">
      <w:pPr>
        <w:pStyle w:val="Normal3"/>
      </w:pPr>
      <w:r>
        <w:t xml:space="preserve">Prema članku 103. Ustava Predsjednik Republike i Vlada Republike Hrvatske, u skladu s Ustavom i zakonom, surađuju u usmjeravanju rada sigurnosnih službi, a imenovanje čelnika sigurnosnih službi, uz prethodno pribavljeno mišljenje nadležnog odbora  Hrvatskoga sabora, supotpisuju Predsjednik Republike i predsjednik Vlade Republike Hrvatske. Temeljem Zakona o sigurnosno-obavještajnom sustavu Republike Hrvatske Predsjednik Republike  obavlja i druga imenovanja te daje suglasnost na odgovarajuće akte sigurnosnih službi. </w:t>
      </w:r>
    </w:p>
    <w:p w:rsidR="00D849AA" w:rsidRDefault="00EE6D95">
      <w:pPr>
        <w:pStyle w:val="Normal3"/>
      </w:pPr>
      <w:r>
        <w:t xml:space="preserve">Prema članku 104. Ustava Predsjednik Republike, na prijedlog Vlade i uz supotpis predsjednika Vlade, može raspustiti Hrvatski sabor, Predsjednik Republike donosi rješenje o imenovanju predsjednika Vlade uz supotpis predsjednika Hrvatskog sabora (članak 110. Ustava), te predlaže </w:t>
      </w:r>
      <w:r>
        <w:lastRenderedPageBreak/>
        <w:t>imenovanje predsjednika Vrhovnog suda Republike Hrvatske, uz prethodno mišljenje Opće sjednice Vrhovnog suda Republike Hrvatske i mjerodavnog odbora (članak 119. Ustava).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F64340" w:rsidRDefault="00D849AA">
            <w:pPr>
              <w:pStyle w:val="CellHeader"/>
            </w:pPr>
          </w:p>
        </w:tc>
        <w:tc>
          <w:tcPr>
            <w:tcW w:w="1486" w:type="dxa"/>
            <w:shd w:val="clear" w:color="auto" w:fill="B5C0D8"/>
          </w:tcPr>
          <w:p w:rsidR="00D849AA" w:rsidRPr="00F64340" w:rsidRDefault="00EE6D95">
            <w:pPr>
              <w:pStyle w:val="CellHeader"/>
            </w:pPr>
            <w:r w:rsidRPr="00F64340">
              <w:t>Plan 2013.</w:t>
            </w:r>
          </w:p>
        </w:tc>
        <w:tc>
          <w:tcPr>
            <w:tcW w:w="1486" w:type="dxa"/>
            <w:shd w:val="clear" w:color="auto" w:fill="B5C0D8"/>
          </w:tcPr>
          <w:p w:rsidR="00D849AA" w:rsidRPr="00F64340" w:rsidRDefault="00EE6D95">
            <w:pPr>
              <w:pStyle w:val="CellHeader"/>
            </w:pPr>
            <w:r w:rsidRPr="00F64340">
              <w:t>Plan 2014.</w:t>
            </w:r>
          </w:p>
        </w:tc>
        <w:tc>
          <w:tcPr>
            <w:tcW w:w="1486" w:type="dxa"/>
            <w:shd w:val="clear" w:color="auto" w:fill="B5C0D8"/>
          </w:tcPr>
          <w:p w:rsidR="00D849AA" w:rsidRPr="00F64340" w:rsidRDefault="00EE6D95">
            <w:pPr>
              <w:pStyle w:val="CellHeader"/>
            </w:pPr>
            <w:r w:rsidRPr="00F64340">
              <w:t>Plan 2015.</w:t>
            </w:r>
          </w:p>
        </w:tc>
        <w:tc>
          <w:tcPr>
            <w:tcW w:w="1486" w:type="dxa"/>
            <w:shd w:val="clear" w:color="auto" w:fill="B5C0D8"/>
          </w:tcPr>
          <w:p w:rsidR="00D849AA" w:rsidRPr="00F64340" w:rsidRDefault="00EE6D95">
            <w:pPr>
              <w:pStyle w:val="CellHeader"/>
            </w:pPr>
            <w:r w:rsidRPr="00F64340">
              <w:t>Plan 2016.</w:t>
            </w:r>
          </w:p>
        </w:tc>
        <w:tc>
          <w:tcPr>
            <w:tcW w:w="1486" w:type="dxa"/>
            <w:shd w:val="clear" w:color="auto" w:fill="B5C0D8"/>
          </w:tcPr>
          <w:p w:rsidR="00D849AA" w:rsidRPr="00F64340" w:rsidRDefault="00EE6D95">
            <w:pPr>
              <w:pStyle w:val="CellHeader"/>
            </w:pPr>
            <w:r w:rsidRPr="00F64340">
              <w:t>Indeks 2014/2013</w:t>
            </w:r>
          </w:p>
        </w:tc>
      </w:tr>
      <w:tr w:rsidR="00D849AA">
        <w:trPr>
          <w:jc w:val="center"/>
        </w:trPr>
        <w:tc>
          <w:tcPr>
            <w:tcW w:w="1486" w:type="dxa"/>
          </w:tcPr>
          <w:p w:rsidR="00D849AA" w:rsidRPr="00F64340" w:rsidRDefault="00EE6D95">
            <w:pPr>
              <w:pStyle w:val="CellColumn"/>
            </w:pPr>
            <w:r w:rsidRPr="00F64340">
              <w:t>01505 Ured Predsjednika Republike Hrvatske</w:t>
            </w:r>
          </w:p>
        </w:tc>
        <w:tc>
          <w:tcPr>
            <w:tcW w:w="1486" w:type="dxa"/>
          </w:tcPr>
          <w:p w:rsidR="00D849AA" w:rsidRPr="00F64340" w:rsidRDefault="00EE6D95">
            <w:pPr>
              <w:rPr>
                <w:rFonts w:ascii="Arial" w:hAnsi="Arial" w:cs="Arial"/>
              </w:rPr>
            </w:pPr>
            <w:r w:rsidRPr="00F64340">
              <w:rPr>
                <w:rFonts w:ascii="Arial" w:hAnsi="Arial" w:cs="Arial"/>
              </w:rPr>
              <w:t>45.719.698</w:t>
            </w:r>
          </w:p>
        </w:tc>
        <w:tc>
          <w:tcPr>
            <w:tcW w:w="1486" w:type="dxa"/>
          </w:tcPr>
          <w:p w:rsidR="00D849AA" w:rsidRPr="00F64340" w:rsidRDefault="00EE6D95">
            <w:pPr>
              <w:rPr>
                <w:rFonts w:ascii="Arial" w:hAnsi="Arial" w:cs="Arial"/>
              </w:rPr>
            </w:pPr>
            <w:r w:rsidRPr="00F64340">
              <w:rPr>
                <w:rFonts w:ascii="Arial" w:hAnsi="Arial" w:cs="Arial"/>
              </w:rPr>
              <w:t>43.903.377</w:t>
            </w:r>
          </w:p>
        </w:tc>
        <w:tc>
          <w:tcPr>
            <w:tcW w:w="1486" w:type="dxa"/>
          </w:tcPr>
          <w:p w:rsidR="00D849AA" w:rsidRPr="00F64340" w:rsidRDefault="00EE6D95">
            <w:pPr>
              <w:rPr>
                <w:rFonts w:ascii="Arial" w:hAnsi="Arial" w:cs="Arial"/>
              </w:rPr>
            </w:pPr>
            <w:r w:rsidRPr="00F64340">
              <w:rPr>
                <w:rFonts w:ascii="Arial" w:hAnsi="Arial" w:cs="Arial"/>
              </w:rPr>
              <w:t>45.107.500</w:t>
            </w:r>
          </w:p>
        </w:tc>
        <w:tc>
          <w:tcPr>
            <w:tcW w:w="1486" w:type="dxa"/>
          </w:tcPr>
          <w:p w:rsidR="00D849AA" w:rsidRPr="00F64340" w:rsidRDefault="00EE6D95">
            <w:pPr>
              <w:rPr>
                <w:rFonts w:ascii="Arial" w:hAnsi="Arial" w:cs="Arial"/>
              </w:rPr>
            </w:pPr>
            <w:r w:rsidRPr="00F64340">
              <w:rPr>
                <w:rFonts w:ascii="Arial" w:hAnsi="Arial" w:cs="Arial"/>
              </w:rPr>
              <w:t>45.656.500</w:t>
            </w:r>
          </w:p>
        </w:tc>
        <w:tc>
          <w:tcPr>
            <w:tcW w:w="1486" w:type="dxa"/>
          </w:tcPr>
          <w:p w:rsidR="00D849AA" w:rsidRPr="00F64340" w:rsidRDefault="00EE6D95">
            <w:pPr>
              <w:rPr>
                <w:rFonts w:ascii="Arial" w:hAnsi="Arial" w:cs="Arial"/>
              </w:rPr>
            </w:pPr>
            <w:r w:rsidRPr="00F64340">
              <w:rPr>
                <w:rFonts w:ascii="Arial" w:hAnsi="Arial" w:cs="Arial"/>
              </w:rPr>
              <w:t>96,0</w:t>
            </w:r>
          </w:p>
        </w:tc>
      </w:tr>
      <w:tr w:rsidR="00D849AA">
        <w:trPr>
          <w:jc w:val="center"/>
        </w:trPr>
        <w:tc>
          <w:tcPr>
            <w:tcW w:w="1486" w:type="dxa"/>
            <w:shd w:val="clear" w:color="auto" w:fill="B5C0D8"/>
          </w:tcPr>
          <w:p w:rsidR="00D849AA" w:rsidRPr="00F64340" w:rsidRDefault="00EE6D95">
            <w:pPr>
              <w:pStyle w:val="CellColumn"/>
            </w:pPr>
            <w:r w:rsidRPr="00F64340">
              <w:t>Ukupno 015</w:t>
            </w:r>
          </w:p>
        </w:tc>
        <w:tc>
          <w:tcPr>
            <w:tcW w:w="1486" w:type="dxa"/>
            <w:shd w:val="clear" w:color="auto" w:fill="B5C0D8"/>
          </w:tcPr>
          <w:p w:rsidR="00D849AA" w:rsidRPr="00F64340" w:rsidRDefault="00EE6D95">
            <w:pPr>
              <w:rPr>
                <w:rFonts w:ascii="Arial" w:hAnsi="Arial" w:cs="Arial"/>
              </w:rPr>
            </w:pPr>
            <w:r w:rsidRPr="00F64340">
              <w:rPr>
                <w:rFonts w:ascii="Arial" w:hAnsi="Arial" w:cs="Arial"/>
              </w:rPr>
              <w:t>45.719.698</w:t>
            </w:r>
          </w:p>
        </w:tc>
        <w:tc>
          <w:tcPr>
            <w:tcW w:w="1486" w:type="dxa"/>
            <w:shd w:val="clear" w:color="auto" w:fill="B5C0D8"/>
          </w:tcPr>
          <w:p w:rsidR="00D849AA" w:rsidRPr="00F64340" w:rsidRDefault="00EE6D95">
            <w:pPr>
              <w:rPr>
                <w:rFonts w:ascii="Arial" w:hAnsi="Arial" w:cs="Arial"/>
              </w:rPr>
            </w:pPr>
            <w:r w:rsidRPr="00F64340">
              <w:rPr>
                <w:rFonts w:ascii="Arial" w:hAnsi="Arial" w:cs="Arial"/>
              </w:rPr>
              <w:t>43.903.377</w:t>
            </w:r>
          </w:p>
        </w:tc>
        <w:tc>
          <w:tcPr>
            <w:tcW w:w="1486" w:type="dxa"/>
            <w:shd w:val="clear" w:color="auto" w:fill="B5C0D8"/>
          </w:tcPr>
          <w:p w:rsidR="00D849AA" w:rsidRPr="00F64340" w:rsidRDefault="00EE6D95">
            <w:pPr>
              <w:rPr>
                <w:rFonts w:ascii="Arial" w:hAnsi="Arial" w:cs="Arial"/>
              </w:rPr>
            </w:pPr>
            <w:r w:rsidRPr="00F64340">
              <w:rPr>
                <w:rFonts w:ascii="Arial" w:hAnsi="Arial" w:cs="Arial"/>
              </w:rPr>
              <w:t>45.107.500</w:t>
            </w:r>
          </w:p>
        </w:tc>
        <w:tc>
          <w:tcPr>
            <w:tcW w:w="1486" w:type="dxa"/>
            <w:shd w:val="clear" w:color="auto" w:fill="B5C0D8"/>
          </w:tcPr>
          <w:p w:rsidR="00D849AA" w:rsidRPr="00F64340" w:rsidRDefault="00EE6D95">
            <w:pPr>
              <w:rPr>
                <w:rFonts w:ascii="Arial" w:hAnsi="Arial" w:cs="Arial"/>
              </w:rPr>
            </w:pPr>
            <w:r w:rsidRPr="00F64340">
              <w:rPr>
                <w:rFonts w:ascii="Arial" w:hAnsi="Arial" w:cs="Arial"/>
              </w:rPr>
              <w:t>45.656.500</w:t>
            </w:r>
          </w:p>
        </w:tc>
        <w:tc>
          <w:tcPr>
            <w:tcW w:w="1486" w:type="dxa"/>
            <w:shd w:val="clear" w:color="auto" w:fill="B5C0D8"/>
          </w:tcPr>
          <w:p w:rsidR="00D849AA" w:rsidRPr="00F64340" w:rsidRDefault="00EE6D95">
            <w:pPr>
              <w:rPr>
                <w:rFonts w:ascii="Arial" w:hAnsi="Arial" w:cs="Arial"/>
              </w:rPr>
            </w:pPr>
            <w:r w:rsidRPr="00F64340">
              <w:rPr>
                <w:rFonts w:ascii="Arial" w:hAnsi="Arial" w:cs="Arial"/>
              </w:rPr>
              <w:t>96,0</w:t>
            </w:r>
          </w:p>
        </w:tc>
      </w:tr>
    </w:tbl>
    <w:p w:rsidR="00D849AA" w:rsidRDefault="00F64340" w:rsidP="00F64340">
      <w:pPr>
        <w:pStyle w:val="Naslov4"/>
      </w:pPr>
      <w:r>
        <w:t>OBRAZLOŽENJE PROGRAMA</w:t>
      </w:r>
    </w:p>
    <w:p w:rsidR="00D849AA" w:rsidRDefault="00EE6D95">
      <w:pPr>
        <w:pStyle w:val="Naslov5"/>
      </w:pPr>
      <w:r>
        <w:t>2104 DJELOVANJE PREDSJEDNIKA REPUBLIKE HRVATSKE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F64340" w:rsidRDefault="00D849AA">
            <w:pPr>
              <w:pStyle w:val="CellHeader"/>
            </w:pPr>
          </w:p>
        </w:tc>
        <w:tc>
          <w:tcPr>
            <w:tcW w:w="1486" w:type="dxa"/>
            <w:shd w:val="clear" w:color="auto" w:fill="B5C0D8"/>
          </w:tcPr>
          <w:p w:rsidR="00D849AA" w:rsidRPr="00F64340" w:rsidRDefault="00EE6D95">
            <w:pPr>
              <w:pStyle w:val="CellHeader"/>
            </w:pPr>
            <w:r w:rsidRPr="00F64340">
              <w:t>Plan 2013.</w:t>
            </w:r>
          </w:p>
        </w:tc>
        <w:tc>
          <w:tcPr>
            <w:tcW w:w="1486" w:type="dxa"/>
            <w:shd w:val="clear" w:color="auto" w:fill="B5C0D8"/>
          </w:tcPr>
          <w:p w:rsidR="00D849AA" w:rsidRPr="00F64340" w:rsidRDefault="00EE6D95">
            <w:pPr>
              <w:pStyle w:val="CellHeader"/>
            </w:pPr>
            <w:r w:rsidRPr="00F64340">
              <w:t>Plan 2014.</w:t>
            </w:r>
          </w:p>
        </w:tc>
        <w:tc>
          <w:tcPr>
            <w:tcW w:w="1486" w:type="dxa"/>
            <w:shd w:val="clear" w:color="auto" w:fill="B5C0D8"/>
          </w:tcPr>
          <w:p w:rsidR="00D849AA" w:rsidRPr="00F64340" w:rsidRDefault="00EE6D95">
            <w:pPr>
              <w:pStyle w:val="CellHeader"/>
            </w:pPr>
            <w:r w:rsidRPr="00F64340">
              <w:t>Plan 2015.</w:t>
            </w:r>
          </w:p>
        </w:tc>
        <w:tc>
          <w:tcPr>
            <w:tcW w:w="1486" w:type="dxa"/>
            <w:shd w:val="clear" w:color="auto" w:fill="B5C0D8"/>
          </w:tcPr>
          <w:p w:rsidR="00D849AA" w:rsidRPr="00F64340" w:rsidRDefault="00EE6D95">
            <w:pPr>
              <w:pStyle w:val="CellHeader"/>
            </w:pPr>
            <w:r w:rsidRPr="00F64340">
              <w:t>Plan 2016.</w:t>
            </w:r>
          </w:p>
        </w:tc>
        <w:tc>
          <w:tcPr>
            <w:tcW w:w="1486" w:type="dxa"/>
            <w:shd w:val="clear" w:color="auto" w:fill="B5C0D8"/>
          </w:tcPr>
          <w:p w:rsidR="00D849AA" w:rsidRPr="00F64340" w:rsidRDefault="00EE6D95">
            <w:pPr>
              <w:pStyle w:val="CellHeader"/>
            </w:pPr>
            <w:r w:rsidRPr="00F64340">
              <w:t>Indeks 2014/2013</w:t>
            </w:r>
          </w:p>
        </w:tc>
      </w:tr>
      <w:tr w:rsidR="00D849AA">
        <w:trPr>
          <w:jc w:val="center"/>
        </w:trPr>
        <w:tc>
          <w:tcPr>
            <w:tcW w:w="1486" w:type="dxa"/>
          </w:tcPr>
          <w:p w:rsidR="00D849AA" w:rsidRPr="00F64340" w:rsidRDefault="00EE6D95">
            <w:pPr>
              <w:pStyle w:val="CellColumn"/>
            </w:pPr>
            <w:r w:rsidRPr="00F64340">
              <w:t>2104</w:t>
            </w:r>
          </w:p>
        </w:tc>
        <w:tc>
          <w:tcPr>
            <w:tcW w:w="1486" w:type="dxa"/>
          </w:tcPr>
          <w:p w:rsidR="00D849AA" w:rsidRPr="00F64340" w:rsidRDefault="00EE6D95">
            <w:pPr>
              <w:rPr>
                <w:rFonts w:ascii="Arial" w:hAnsi="Arial" w:cs="Arial"/>
              </w:rPr>
            </w:pPr>
            <w:r w:rsidRPr="00F64340">
              <w:rPr>
                <w:rFonts w:ascii="Arial" w:hAnsi="Arial" w:cs="Arial"/>
              </w:rPr>
              <w:t>45.719.698</w:t>
            </w:r>
          </w:p>
        </w:tc>
        <w:tc>
          <w:tcPr>
            <w:tcW w:w="1486" w:type="dxa"/>
          </w:tcPr>
          <w:p w:rsidR="00D849AA" w:rsidRPr="00F64340" w:rsidRDefault="00EE6D95">
            <w:pPr>
              <w:rPr>
                <w:rFonts w:ascii="Arial" w:hAnsi="Arial" w:cs="Arial"/>
              </w:rPr>
            </w:pPr>
            <w:r w:rsidRPr="00F64340">
              <w:rPr>
                <w:rFonts w:ascii="Arial" w:hAnsi="Arial" w:cs="Arial"/>
              </w:rPr>
              <w:t>43.903.377</w:t>
            </w:r>
          </w:p>
        </w:tc>
        <w:tc>
          <w:tcPr>
            <w:tcW w:w="1486" w:type="dxa"/>
          </w:tcPr>
          <w:p w:rsidR="00D849AA" w:rsidRPr="00F64340" w:rsidRDefault="00EE6D95">
            <w:pPr>
              <w:rPr>
                <w:rFonts w:ascii="Arial" w:hAnsi="Arial" w:cs="Arial"/>
              </w:rPr>
            </w:pPr>
            <w:r w:rsidRPr="00F64340">
              <w:rPr>
                <w:rFonts w:ascii="Arial" w:hAnsi="Arial" w:cs="Arial"/>
              </w:rPr>
              <w:t>45.107.500</w:t>
            </w:r>
          </w:p>
        </w:tc>
        <w:tc>
          <w:tcPr>
            <w:tcW w:w="1486" w:type="dxa"/>
          </w:tcPr>
          <w:p w:rsidR="00D849AA" w:rsidRPr="00F64340" w:rsidRDefault="00EE6D95">
            <w:pPr>
              <w:rPr>
                <w:rFonts w:ascii="Arial" w:hAnsi="Arial" w:cs="Arial"/>
              </w:rPr>
            </w:pPr>
            <w:r w:rsidRPr="00F64340">
              <w:rPr>
                <w:rFonts w:ascii="Arial" w:hAnsi="Arial" w:cs="Arial"/>
              </w:rPr>
              <w:t>45.656.500</w:t>
            </w:r>
          </w:p>
        </w:tc>
        <w:tc>
          <w:tcPr>
            <w:tcW w:w="1486" w:type="dxa"/>
          </w:tcPr>
          <w:p w:rsidR="00D849AA" w:rsidRPr="00F64340" w:rsidRDefault="00EE6D95">
            <w:pPr>
              <w:rPr>
                <w:rFonts w:ascii="Arial" w:hAnsi="Arial" w:cs="Arial"/>
              </w:rPr>
            </w:pPr>
            <w:r w:rsidRPr="00F64340">
              <w:rPr>
                <w:rFonts w:ascii="Arial" w:hAnsi="Arial" w:cs="Arial"/>
              </w:rPr>
              <w:t>96,0</w:t>
            </w:r>
          </w:p>
        </w:tc>
      </w:tr>
    </w:tbl>
    <w:p w:rsidR="00D849AA" w:rsidRDefault="00D849AA">
      <w:pPr>
        <w:jc w:val="left"/>
      </w:pPr>
    </w:p>
    <w:p w:rsidR="00D849AA" w:rsidRDefault="00EE6D95">
      <w:pPr>
        <w:pStyle w:val="Naslov6"/>
      </w:pPr>
      <w:r>
        <w:t>Opis programa</w:t>
      </w:r>
    </w:p>
    <w:p w:rsidR="00D849AA" w:rsidRDefault="00EE6D95">
      <w:pPr>
        <w:pStyle w:val="Normal5"/>
      </w:pPr>
      <w:r>
        <w:t>Predsjednik Republike Hrvatske predstavlja i zastupa Republiku Hrvatsku u zemlji i inozemstvu, brine se za redovito i usklađeno djelovanje te za stabilnost državne vlasti, odgovara za obranu neovisnosti i teritorijalne cjelovitosti Republike Hrvatske, raspisuje izbore za Hrvatski sabor i saziva ga na prvo zasjedanje, raspisuje referendum u skladu s Ustavom, povjerava mandat za sastavljanje Vlade osobi koja uživa povjerenje većine svih zastupnika u Hrvatskom saboru, daje pomilovanja, dodjeljuje odlikovanja i priznanja određena zakonom te obavlja druge dužnosti određene Ustavom.</w:t>
      </w:r>
    </w:p>
    <w:p w:rsidR="00D849AA" w:rsidRDefault="00EE6D95">
      <w:pPr>
        <w:pStyle w:val="Naslov6"/>
      </w:pPr>
      <w:r>
        <w:t>Zakonske i druge pravne osnove</w:t>
      </w:r>
    </w:p>
    <w:p w:rsidR="00D849AA" w:rsidRDefault="00EE6D95">
      <w:pPr>
        <w:pStyle w:val="Normal5"/>
      </w:pPr>
      <w:r>
        <w:t xml:space="preserve">Ustav Republike Hrvatske  </w:t>
      </w:r>
    </w:p>
    <w:p w:rsidR="00D849AA" w:rsidRDefault="00EE6D95">
      <w:pPr>
        <w:pStyle w:val="Normal5"/>
      </w:pPr>
      <w:r>
        <w:t xml:space="preserve">Odluka o Uredu predsjednika Republike Hrvatske </w:t>
      </w:r>
    </w:p>
    <w:p w:rsidR="00D849AA" w:rsidRDefault="00EE6D95">
      <w:pPr>
        <w:pStyle w:val="Normal5"/>
      </w:pPr>
      <w:r>
        <w:t xml:space="preserve">Odluka o osnivanju Ureda predsjednika Republike Hrvatske </w:t>
      </w:r>
    </w:p>
    <w:p w:rsidR="00D849AA" w:rsidRDefault="00EE6D95">
      <w:pPr>
        <w:pStyle w:val="Normal5"/>
      </w:pPr>
      <w:r>
        <w:t xml:space="preserve">Zakon o vanjskim poslovima </w:t>
      </w:r>
    </w:p>
    <w:p w:rsidR="00D849AA" w:rsidRDefault="00EE6D95">
      <w:pPr>
        <w:pStyle w:val="Normal5"/>
      </w:pPr>
      <w:r>
        <w:t xml:space="preserve">Zakon o oružanim snagama Republike Hrvatske </w:t>
      </w:r>
    </w:p>
    <w:p w:rsidR="00D849AA" w:rsidRDefault="00EE6D95">
      <w:pPr>
        <w:pStyle w:val="Normal5"/>
      </w:pPr>
      <w:r>
        <w:t xml:space="preserve">Zakon o obrani </w:t>
      </w:r>
    </w:p>
    <w:p w:rsidR="00D849AA" w:rsidRDefault="00EE6D95">
      <w:pPr>
        <w:pStyle w:val="Normal5"/>
      </w:pPr>
      <w:r>
        <w:t xml:space="preserve">Zakon o sigurnosno-obavještajnom sustavu Republike Hrvatske </w:t>
      </w:r>
    </w:p>
    <w:p w:rsidR="00D849AA" w:rsidRDefault="00EE6D95">
      <w:pPr>
        <w:pStyle w:val="Normal5"/>
      </w:pPr>
      <w:r>
        <w:t xml:space="preserve">Zakon o odlikovanjima i priznanjima Republike Hrvatske </w:t>
      </w:r>
    </w:p>
    <w:p w:rsidR="00D849AA" w:rsidRDefault="00EE6D95">
      <w:pPr>
        <w:pStyle w:val="Normal5"/>
      </w:pPr>
      <w:r>
        <w:t xml:space="preserve">Zakon o pomilovanju. </w:t>
      </w:r>
    </w:p>
    <w:p w:rsidR="00D849AA" w:rsidRDefault="00EE6D95">
      <w:pPr>
        <w:pStyle w:val="Normal5"/>
      </w:pPr>
      <w:r>
        <w:t xml:space="preserve">Ustavni zakon o Ustavnom sudu Republike Hrvatske  </w:t>
      </w:r>
    </w:p>
    <w:p w:rsidR="00D849AA" w:rsidRDefault="00EE6D95">
      <w:pPr>
        <w:pStyle w:val="Normal5"/>
      </w:pPr>
      <w:r>
        <w:t xml:space="preserve">Zakon o izborima zastupnika u Hrvatski sabor  </w:t>
      </w:r>
    </w:p>
    <w:p w:rsidR="00D849AA" w:rsidRDefault="00EE6D95">
      <w:pPr>
        <w:pStyle w:val="Normal5"/>
      </w:pPr>
      <w:r>
        <w:t xml:space="preserve">Zakon o izborima zastupnika iz Republike Hrvatske u Europski parlament  </w:t>
      </w:r>
    </w:p>
    <w:p w:rsidR="00D849AA" w:rsidRDefault="00EE6D95">
      <w:pPr>
        <w:pStyle w:val="Normal5"/>
      </w:pPr>
      <w:r>
        <w:t xml:space="preserve">Zakon o sklapanju i izvršavanju međunarodnih ugovora  </w:t>
      </w:r>
    </w:p>
    <w:p w:rsidR="00D849AA" w:rsidRDefault="00EE6D95">
      <w:pPr>
        <w:pStyle w:val="Normal5"/>
      </w:pPr>
      <w:r>
        <w:lastRenderedPageBreak/>
        <w:t xml:space="preserve">Zakon o Vladi Republike Hrvatske   </w:t>
      </w:r>
    </w:p>
    <w:p w:rsidR="00D849AA" w:rsidRDefault="00EE6D95">
      <w:pPr>
        <w:pStyle w:val="Normal5"/>
      </w:pPr>
      <w:r>
        <w:t xml:space="preserve">Zakon o sudovima  </w:t>
      </w:r>
    </w:p>
    <w:p w:rsidR="00D849AA" w:rsidRDefault="00EE6D95">
      <w:pPr>
        <w:pStyle w:val="Normal5"/>
      </w:pPr>
      <w:r>
        <w:t xml:space="preserve">Zakon o sudjelovanju pripadnika Oružanih snaga Republike Hrvatske, policije, civilne zaštite te državnih službenika i namještenika u mirovnim operacijama i drugim aktivnostima u inozemstvu  </w:t>
      </w:r>
    </w:p>
    <w:p w:rsidR="00D849AA" w:rsidRDefault="00EE6D95">
      <w:pPr>
        <w:pStyle w:val="Normal5"/>
      </w:pPr>
      <w:r>
        <w:t>Zakon o pravima iz mirovinskog osiguranja djelatnih vojnih osoba, policijskih službenika i ovlaštenih službenih osoba</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Cilj 1. Učinkovita koordinacija u pružanju potpore predsjedniku Republike</w:t>
      </w:r>
    </w:p>
    <w:p w:rsidR="00D849AA" w:rsidRDefault="00EE6D95">
      <w:pPr>
        <w:pStyle w:val="Normal6"/>
      </w:pPr>
      <w:r>
        <w:t>Sukladno navedenom programu, Ured predsjednika Republike Hrvatske će u narednom razdoblju nastaviti obnašati poslove koji su navedeni u Uvodu, a koji su temeljem Ustava i zakonima stavljeni u nadležnost predsjednika Republike Hrvatske.</w:t>
      </w:r>
    </w:p>
    <w:p w:rsidR="00D849AA" w:rsidRDefault="00EE6D95">
      <w:pPr>
        <w:pStyle w:val="Naslov5"/>
      </w:pPr>
      <w:r>
        <w:t>Procjena i ishodište potrebnih sredstava za značajnije aktivnosti/projekte</w:t>
      </w:r>
    </w:p>
    <w:p w:rsidR="00D849AA" w:rsidRDefault="00EE6D95">
      <w:pPr>
        <w:pStyle w:val="Naslov6"/>
      </w:pPr>
      <w:r>
        <w:t>A504000 ADMINISTRACIJA I UPRAVLJANJE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F64340" w:rsidRDefault="00EE6D95">
            <w:pPr>
              <w:pStyle w:val="CellHeader"/>
            </w:pPr>
            <w:r w:rsidRPr="00F64340">
              <w:t>Naziv aktivnosti</w:t>
            </w:r>
          </w:p>
        </w:tc>
        <w:tc>
          <w:tcPr>
            <w:tcW w:w="1486" w:type="dxa"/>
            <w:shd w:val="clear" w:color="auto" w:fill="B5C0D8"/>
          </w:tcPr>
          <w:p w:rsidR="00D849AA" w:rsidRPr="00F64340" w:rsidRDefault="00EE6D95">
            <w:pPr>
              <w:pStyle w:val="CellHeader"/>
            </w:pPr>
            <w:r w:rsidRPr="00F64340">
              <w:t>Plan 2013.</w:t>
            </w:r>
          </w:p>
        </w:tc>
        <w:tc>
          <w:tcPr>
            <w:tcW w:w="1486" w:type="dxa"/>
            <w:shd w:val="clear" w:color="auto" w:fill="B5C0D8"/>
          </w:tcPr>
          <w:p w:rsidR="00D849AA" w:rsidRPr="00F64340" w:rsidRDefault="00EE6D95">
            <w:pPr>
              <w:pStyle w:val="CellHeader"/>
            </w:pPr>
            <w:r w:rsidRPr="00F64340">
              <w:t>Plan 2014.</w:t>
            </w:r>
          </w:p>
        </w:tc>
        <w:tc>
          <w:tcPr>
            <w:tcW w:w="1486" w:type="dxa"/>
            <w:shd w:val="clear" w:color="auto" w:fill="B5C0D8"/>
          </w:tcPr>
          <w:p w:rsidR="00D849AA" w:rsidRPr="00F64340" w:rsidRDefault="00EE6D95">
            <w:pPr>
              <w:pStyle w:val="CellHeader"/>
            </w:pPr>
            <w:r w:rsidRPr="00F64340">
              <w:t>Plan 2015.</w:t>
            </w:r>
          </w:p>
        </w:tc>
        <w:tc>
          <w:tcPr>
            <w:tcW w:w="1486" w:type="dxa"/>
            <w:shd w:val="clear" w:color="auto" w:fill="B5C0D8"/>
          </w:tcPr>
          <w:p w:rsidR="00D849AA" w:rsidRPr="00F64340" w:rsidRDefault="00EE6D95">
            <w:pPr>
              <w:pStyle w:val="CellHeader"/>
            </w:pPr>
            <w:r w:rsidRPr="00F64340">
              <w:t>Plan 2016.</w:t>
            </w:r>
          </w:p>
        </w:tc>
        <w:tc>
          <w:tcPr>
            <w:tcW w:w="1486" w:type="dxa"/>
            <w:shd w:val="clear" w:color="auto" w:fill="B5C0D8"/>
          </w:tcPr>
          <w:p w:rsidR="00D849AA" w:rsidRPr="00F64340" w:rsidRDefault="00EE6D95">
            <w:pPr>
              <w:pStyle w:val="CellHeader"/>
            </w:pPr>
            <w:r w:rsidRPr="00F64340">
              <w:t>Indeks 2014/2013</w:t>
            </w:r>
          </w:p>
        </w:tc>
      </w:tr>
      <w:tr w:rsidR="00D849AA">
        <w:trPr>
          <w:jc w:val="center"/>
        </w:trPr>
        <w:tc>
          <w:tcPr>
            <w:tcW w:w="1486" w:type="dxa"/>
          </w:tcPr>
          <w:p w:rsidR="00D849AA" w:rsidRPr="00F64340" w:rsidRDefault="00EE6D95">
            <w:pPr>
              <w:pStyle w:val="CellColumn"/>
            </w:pPr>
            <w:r w:rsidRPr="00F64340">
              <w:t>A504000</w:t>
            </w:r>
          </w:p>
        </w:tc>
        <w:tc>
          <w:tcPr>
            <w:tcW w:w="1486" w:type="dxa"/>
          </w:tcPr>
          <w:p w:rsidR="00D849AA" w:rsidRPr="00F64340" w:rsidRDefault="00EE6D95">
            <w:pPr>
              <w:rPr>
                <w:rFonts w:ascii="Arial" w:hAnsi="Arial" w:cs="Arial"/>
              </w:rPr>
            </w:pPr>
            <w:r w:rsidRPr="00F64340">
              <w:rPr>
                <w:rFonts w:ascii="Arial" w:hAnsi="Arial" w:cs="Arial"/>
              </w:rPr>
              <w:t>35.593.698</w:t>
            </w:r>
          </w:p>
        </w:tc>
        <w:tc>
          <w:tcPr>
            <w:tcW w:w="1486" w:type="dxa"/>
          </w:tcPr>
          <w:p w:rsidR="00D849AA" w:rsidRPr="00F64340" w:rsidRDefault="00EE6D95">
            <w:pPr>
              <w:rPr>
                <w:rFonts w:ascii="Arial" w:hAnsi="Arial" w:cs="Arial"/>
              </w:rPr>
            </w:pPr>
            <w:r w:rsidRPr="00F64340">
              <w:rPr>
                <w:rFonts w:ascii="Arial" w:hAnsi="Arial" w:cs="Arial"/>
              </w:rPr>
              <w:t>33.965.377</w:t>
            </w:r>
          </w:p>
        </w:tc>
        <w:tc>
          <w:tcPr>
            <w:tcW w:w="1486" w:type="dxa"/>
          </w:tcPr>
          <w:p w:rsidR="00D849AA" w:rsidRPr="00F64340" w:rsidRDefault="00EE6D95">
            <w:pPr>
              <w:rPr>
                <w:rFonts w:ascii="Arial" w:hAnsi="Arial" w:cs="Arial"/>
              </w:rPr>
            </w:pPr>
            <w:r w:rsidRPr="00F64340">
              <w:rPr>
                <w:rFonts w:ascii="Arial" w:hAnsi="Arial" w:cs="Arial"/>
              </w:rPr>
              <w:t>33.327.500</w:t>
            </w:r>
          </w:p>
        </w:tc>
        <w:tc>
          <w:tcPr>
            <w:tcW w:w="1486" w:type="dxa"/>
          </w:tcPr>
          <w:p w:rsidR="00D849AA" w:rsidRPr="00F64340" w:rsidRDefault="00EE6D95">
            <w:pPr>
              <w:rPr>
                <w:rFonts w:ascii="Arial" w:hAnsi="Arial" w:cs="Arial"/>
              </w:rPr>
            </w:pPr>
            <w:r w:rsidRPr="00F64340">
              <w:rPr>
                <w:rFonts w:ascii="Arial" w:hAnsi="Arial" w:cs="Arial"/>
              </w:rPr>
              <w:t>33.856.500</w:t>
            </w:r>
          </w:p>
        </w:tc>
        <w:tc>
          <w:tcPr>
            <w:tcW w:w="1486" w:type="dxa"/>
          </w:tcPr>
          <w:p w:rsidR="00D849AA" w:rsidRPr="00F64340" w:rsidRDefault="00EE6D95">
            <w:pPr>
              <w:rPr>
                <w:rFonts w:ascii="Arial" w:hAnsi="Arial" w:cs="Arial"/>
              </w:rPr>
            </w:pPr>
            <w:r w:rsidRPr="00F64340">
              <w:rPr>
                <w:rFonts w:ascii="Arial" w:hAnsi="Arial" w:cs="Arial"/>
              </w:rPr>
              <w:t>95,4</w:t>
            </w:r>
          </w:p>
        </w:tc>
      </w:tr>
    </w:tbl>
    <w:p w:rsidR="00D849AA" w:rsidRDefault="00D849AA">
      <w:pPr>
        <w:jc w:val="left"/>
      </w:pPr>
    </w:p>
    <w:p w:rsidR="00D849AA" w:rsidRDefault="00EE6D95">
      <w:pPr>
        <w:pStyle w:val="Normal6"/>
      </w:pPr>
      <w:r>
        <w:t>Kroz aktivnost A504000 Administracija i upravljanje planirana su sredstva za podmirenje osnovnih potreba za normalno funkcioniranje Ureda predsjednika Republike Hrvatske u obnašanju savjetodavnih, administrativnih, stručnih i drugih poslova pripreme i provođenja odluka i akata koje donosi predsjednik Republike Hrvatske.</w:t>
      </w:r>
    </w:p>
    <w:p w:rsidR="00D849AA" w:rsidRDefault="00EE6D95">
      <w:pPr>
        <w:pStyle w:val="Naslov6"/>
      </w:pPr>
      <w:r>
        <w:t>A504001 TEHNIČKI I POMOĆNI POSLOVI UREDA PREDSJEDNIKA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F64340" w:rsidRDefault="00EE6D95">
            <w:pPr>
              <w:pStyle w:val="CellHeader"/>
            </w:pPr>
            <w:r w:rsidRPr="00F64340">
              <w:t>Naziv aktivnosti</w:t>
            </w:r>
          </w:p>
        </w:tc>
        <w:tc>
          <w:tcPr>
            <w:tcW w:w="1486" w:type="dxa"/>
            <w:shd w:val="clear" w:color="auto" w:fill="B5C0D8"/>
          </w:tcPr>
          <w:p w:rsidR="00D849AA" w:rsidRPr="00F64340" w:rsidRDefault="00EE6D95">
            <w:pPr>
              <w:pStyle w:val="CellHeader"/>
            </w:pPr>
            <w:r w:rsidRPr="00F64340">
              <w:t>Plan 2013.</w:t>
            </w:r>
          </w:p>
        </w:tc>
        <w:tc>
          <w:tcPr>
            <w:tcW w:w="1486" w:type="dxa"/>
            <w:shd w:val="clear" w:color="auto" w:fill="B5C0D8"/>
          </w:tcPr>
          <w:p w:rsidR="00D849AA" w:rsidRPr="00F64340" w:rsidRDefault="00EE6D95">
            <w:pPr>
              <w:pStyle w:val="CellHeader"/>
            </w:pPr>
            <w:r w:rsidRPr="00F64340">
              <w:t>Plan 2014.</w:t>
            </w:r>
          </w:p>
        </w:tc>
        <w:tc>
          <w:tcPr>
            <w:tcW w:w="1486" w:type="dxa"/>
            <w:shd w:val="clear" w:color="auto" w:fill="B5C0D8"/>
          </w:tcPr>
          <w:p w:rsidR="00D849AA" w:rsidRPr="00F64340" w:rsidRDefault="00EE6D95">
            <w:pPr>
              <w:pStyle w:val="CellHeader"/>
            </w:pPr>
            <w:r w:rsidRPr="00F64340">
              <w:t>Plan 2015.</w:t>
            </w:r>
          </w:p>
        </w:tc>
        <w:tc>
          <w:tcPr>
            <w:tcW w:w="1486" w:type="dxa"/>
            <w:shd w:val="clear" w:color="auto" w:fill="B5C0D8"/>
          </w:tcPr>
          <w:p w:rsidR="00D849AA" w:rsidRPr="00F64340" w:rsidRDefault="00EE6D95">
            <w:pPr>
              <w:pStyle w:val="CellHeader"/>
            </w:pPr>
            <w:r w:rsidRPr="00F64340">
              <w:t>Plan 2016.</w:t>
            </w:r>
          </w:p>
        </w:tc>
        <w:tc>
          <w:tcPr>
            <w:tcW w:w="1486" w:type="dxa"/>
            <w:shd w:val="clear" w:color="auto" w:fill="B5C0D8"/>
          </w:tcPr>
          <w:p w:rsidR="00D849AA" w:rsidRPr="00F64340" w:rsidRDefault="00EE6D95">
            <w:pPr>
              <w:pStyle w:val="CellHeader"/>
            </w:pPr>
            <w:r w:rsidRPr="00F64340">
              <w:t>Indeks 2014/2013</w:t>
            </w:r>
          </w:p>
        </w:tc>
      </w:tr>
      <w:tr w:rsidR="00D849AA">
        <w:trPr>
          <w:jc w:val="center"/>
        </w:trPr>
        <w:tc>
          <w:tcPr>
            <w:tcW w:w="1486" w:type="dxa"/>
          </w:tcPr>
          <w:p w:rsidR="00D849AA" w:rsidRPr="00F64340" w:rsidRDefault="00EE6D95">
            <w:pPr>
              <w:pStyle w:val="CellColumn"/>
            </w:pPr>
            <w:r w:rsidRPr="00F64340">
              <w:t>A504001</w:t>
            </w:r>
          </w:p>
        </w:tc>
        <w:tc>
          <w:tcPr>
            <w:tcW w:w="1486" w:type="dxa"/>
          </w:tcPr>
          <w:p w:rsidR="00D849AA" w:rsidRPr="00F64340" w:rsidRDefault="00EE6D95">
            <w:pPr>
              <w:rPr>
                <w:rFonts w:ascii="Arial" w:hAnsi="Arial" w:cs="Arial"/>
              </w:rPr>
            </w:pPr>
            <w:r w:rsidRPr="00F64340">
              <w:rPr>
                <w:rFonts w:ascii="Arial" w:hAnsi="Arial" w:cs="Arial"/>
              </w:rPr>
              <w:t>9.164.000</w:t>
            </w:r>
          </w:p>
        </w:tc>
        <w:tc>
          <w:tcPr>
            <w:tcW w:w="1486" w:type="dxa"/>
          </w:tcPr>
          <w:p w:rsidR="00D849AA" w:rsidRPr="00F64340" w:rsidRDefault="00EE6D95">
            <w:pPr>
              <w:rPr>
                <w:rFonts w:ascii="Arial" w:hAnsi="Arial" w:cs="Arial"/>
              </w:rPr>
            </w:pPr>
            <w:r w:rsidRPr="00F64340">
              <w:rPr>
                <w:rFonts w:ascii="Arial" w:hAnsi="Arial" w:cs="Arial"/>
              </w:rPr>
              <w:t>9.146.500</w:t>
            </w:r>
          </w:p>
        </w:tc>
        <w:tc>
          <w:tcPr>
            <w:tcW w:w="1486" w:type="dxa"/>
          </w:tcPr>
          <w:p w:rsidR="00D849AA" w:rsidRPr="00F64340" w:rsidRDefault="00EE6D95">
            <w:pPr>
              <w:rPr>
                <w:rFonts w:ascii="Arial" w:hAnsi="Arial" w:cs="Arial"/>
              </w:rPr>
            </w:pPr>
            <w:r w:rsidRPr="00F64340">
              <w:rPr>
                <w:rFonts w:ascii="Arial" w:hAnsi="Arial" w:cs="Arial"/>
              </w:rPr>
              <w:t>10.988.500</w:t>
            </w:r>
          </w:p>
        </w:tc>
        <w:tc>
          <w:tcPr>
            <w:tcW w:w="1486" w:type="dxa"/>
          </w:tcPr>
          <w:p w:rsidR="00D849AA" w:rsidRPr="00F64340" w:rsidRDefault="00EE6D95">
            <w:pPr>
              <w:rPr>
                <w:rFonts w:ascii="Arial" w:hAnsi="Arial" w:cs="Arial"/>
              </w:rPr>
            </w:pPr>
            <w:r w:rsidRPr="00F64340">
              <w:rPr>
                <w:rFonts w:ascii="Arial" w:hAnsi="Arial" w:cs="Arial"/>
              </w:rPr>
              <w:t>11.008.500</w:t>
            </w:r>
          </w:p>
        </w:tc>
        <w:tc>
          <w:tcPr>
            <w:tcW w:w="1486" w:type="dxa"/>
          </w:tcPr>
          <w:p w:rsidR="00D849AA" w:rsidRPr="00F64340" w:rsidRDefault="00EE6D95">
            <w:pPr>
              <w:rPr>
                <w:rFonts w:ascii="Arial" w:hAnsi="Arial" w:cs="Arial"/>
              </w:rPr>
            </w:pPr>
            <w:r w:rsidRPr="00F64340">
              <w:rPr>
                <w:rFonts w:ascii="Arial" w:hAnsi="Arial" w:cs="Arial"/>
              </w:rPr>
              <w:t>99,8</w:t>
            </w:r>
          </w:p>
        </w:tc>
      </w:tr>
    </w:tbl>
    <w:p w:rsidR="00D849AA" w:rsidRDefault="00D849AA">
      <w:pPr>
        <w:jc w:val="left"/>
      </w:pPr>
    </w:p>
    <w:p w:rsidR="00D849AA" w:rsidRDefault="00EE6D95">
      <w:pPr>
        <w:pStyle w:val="Normal6"/>
      </w:pPr>
      <w:r>
        <w:t>Kroz aktivnost A504001 Tehnički i pomoćni poslovi Ureda predsjednika planirana su sredstva za obavljanje tehničkih, pomoćnih i drugih stručnih poslova koji se odnose na opremanje i uređenje Ureda, izradu planova i projekcija godišnjih investicijskih projekata, obavljanje poslova tekućeg i investicijskog održavanja objekata i uredskih prostora kojima upravlja Ured, vođenje zbirke umjetnina u vlasništvu Ureda te umjetnina posuđenih od galerija, muzeja, umjetnika, vođenje dokumentacije o objektima i imovini o kojoj skrbi Ured, poslove održavanja zelenih površina, instalacija, interijera.</w:t>
      </w:r>
    </w:p>
    <w:p w:rsidR="00D849AA" w:rsidRDefault="00EE6D95">
      <w:pPr>
        <w:pStyle w:val="Naslov1"/>
      </w:pPr>
      <w:r>
        <w:lastRenderedPageBreak/>
        <w:t>017 USTAVNI SUD REPUBLIKE HRVATSKE</w:t>
      </w:r>
    </w:p>
    <w:p w:rsidR="00D849AA" w:rsidRDefault="00EE6D95">
      <w:pPr>
        <w:pStyle w:val="Naslov4"/>
      </w:pPr>
      <w:r>
        <w:t>Uvod</w:t>
      </w:r>
    </w:p>
    <w:p w:rsidR="00D849AA" w:rsidRDefault="00EE6D95">
      <w:pPr>
        <w:pStyle w:val="Normal3"/>
      </w:pPr>
      <w:r>
        <w:t xml:space="preserve">USRH najviše je ustavno tijelo čija je osnovna djelatnost usmjerena na osiguravanje ustavnog poretka i vladavinu prava s naročitim naglaskom na zaštitu ljudskih prava i temeljnih sloboda građana sukladno odredbama Ustava Republike Hrvatske. </w:t>
      </w:r>
    </w:p>
    <w:p w:rsidR="00D849AA" w:rsidRDefault="00EE6D95">
      <w:pPr>
        <w:pStyle w:val="Normal3"/>
      </w:pPr>
      <w:r>
        <w:t xml:space="preserve">Osnovni cilj ustavnog sudovanja jest njegov doprinos u razvitku načela vladavine prava i pravne sigurnosti kroz kontrolu ustavnosti zakona koje donosi Hrvatski sabor, a posebno u zaštiti statusnih prava građana u području radnih odnosa, prava vlasništva i socijalne sigurnosti. </w:t>
      </w:r>
    </w:p>
    <w:p w:rsidR="00D849AA" w:rsidRDefault="00EE6D95">
      <w:pPr>
        <w:pStyle w:val="Normal3"/>
      </w:pPr>
      <w:r>
        <w:t xml:space="preserve">Zaštitu svojih ljudskih prava i temeljnih sloboda građani Republike Hrvatske mogu zatražiti pred USRH institutom ustavne tužbe. Ustavnom tužbom građani mogu pokrenuti postupak ocjene ustavnosti u slučaju kad im je pojedinačnim aktom na državnoj ili lokalnoj (regionalnoj) razini ili aktom pravne osobe s javnim ovlastima povrijeđeno neko od ustavnih prava ili sloboda zajamčenih Ustavom Republike Hrvatske. </w:t>
      </w:r>
    </w:p>
    <w:p w:rsidR="00D849AA" w:rsidRDefault="00EE6D95">
      <w:pPr>
        <w:pStyle w:val="Normal3"/>
      </w:pPr>
      <w:r>
        <w:t xml:space="preserve">Položaj i nadležnost USRH propisani su člancima 128. i 129. Ustava RH. Zbog svojih ovlasti da nadzire zakonodavnu, izvršnu i sudbenu vlast, uvjetno rečeno, USRH predstavlja "međuvlast" u trodiobi vlasti. Samim tim, ne pripada tijelima državne vlasti, već je zasebno ustavno tijelo, samostalno i neovisno o ostalim tijelima državne vlasti. Postupci pred USRH i način izvršavanja zadaća u Republici Hrvatskoj utvrđeni su Ustavnim zakonom o Ustavnom sudu Republike Hrvatske koji ima snagu samog Ustava Republike Hrvatske. </w:t>
      </w:r>
    </w:p>
    <w:p w:rsidR="00D849AA" w:rsidRDefault="00EE6D95">
      <w:pPr>
        <w:pStyle w:val="Normal3"/>
      </w:pPr>
      <w:r>
        <w:t xml:space="preserve">Djelatnost USRH financira se isključivo sredstvima Državnog proračuna. Planirana sredstva za financiranje programa u 2014. godini na razini razdjela iznose ukupno 28.602.241,00 kuna što je 92,98% osiguranih sredstava u 2013. godini. Izdaci za zaposlene bilježe smanjenje za 4,48% u odnosu na 2013. godinu s obzirom da su sredstva za isplatu plaća planirana bez neizabranog ustavnog suca. Odgođeno je i zapošljavanje jednog ustavnosudskog savjetnika bez obzira što Ustavni sud kontinuirano bilježi povećanje broja predmeta te je primijenjena mjera zamrzavanja povećanja koeficijenata nižim ustavnosudskim savjetnicima prema razmjernoj vrijednosti koeficijenta radnih mjesta ustavnosudskih savjetnika.  </w:t>
      </w:r>
    </w:p>
    <w:p w:rsidR="00D849AA" w:rsidRDefault="00EE6D95">
      <w:pPr>
        <w:pStyle w:val="Normal3"/>
      </w:pPr>
      <w:r>
        <w:t>Rashodi poslovanja planirani su u visini 5.989.639,00 kuna što predstavlja smanjenje od 15,52% u odnosu na 2013. godinu u skladu s kontinuiranim provođenjem mjera štednje. U okviru rashoda poslovanja financira se "hladni pogon" kao što je uredski materijal, energija, telekomunikacijske i poštanske usluge te tekuće i investicijsko održavanje 3876,33 m2  poslovnog prostora. Posebno ističemo sljedeće zakonske obveze: Zakon o zaštiti na radu, Pravilnik o izradi procjene opasnosti i Zakon o zaštiti od požara. Temeljem navedenog u obvezi smo izvršavati redovite servisne preglede i ispitivanja sustava tehničke zaštite, vatrodojave i plinodetekcije. Redovno se ulaže u osuvremenjivanje informatičke opreme i održavanje programske podrške (računalnih programa) potrebne za nesmetano obavljanje djelatnosti.</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F64340" w:rsidRDefault="00D849AA">
            <w:pPr>
              <w:pStyle w:val="CellHeader"/>
            </w:pPr>
          </w:p>
        </w:tc>
        <w:tc>
          <w:tcPr>
            <w:tcW w:w="1486" w:type="dxa"/>
            <w:shd w:val="clear" w:color="auto" w:fill="B5C0D8"/>
          </w:tcPr>
          <w:p w:rsidR="00D849AA" w:rsidRPr="00F64340" w:rsidRDefault="00EE6D95">
            <w:pPr>
              <w:pStyle w:val="CellHeader"/>
            </w:pPr>
            <w:r w:rsidRPr="00F64340">
              <w:t>Plan 2013.</w:t>
            </w:r>
          </w:p>
        </w:tc>
        <w:tc>
          <w:tcPr>
            <w:tcW w:w="1486" w:type="dxa"/>
            <w:shd w:val="clear" w:color="auto" w:fill="B5C0D8"/>
          </w:tcPr>
          <w:p w:rsidR="00D849AA" w:rsidRPr="00F64340" w:rsidRDefault="00EE6D95">
            <w:pPr>
              <w:pStyle w:val="CellHeader"/>
            </w:pPr>
            <w:r w:rsidRPr="00F64340">
              <w:t>Plan 2014.</w:t>
            </w:r>
          </w:p>
        </w:tc>
        <w:tc>
          <w:tcPr>
            <w:tcW w:w="1486" w:type="dxa"/>
            <w:shd w:val="clear" w:color="auto" w:fill="B5C0D8"/>
          </w:tcPr>
          <w:p w:rsidR="00D849AA" w:rsidRPr="00F64340" w:rsidRDefault="00EE6D95">
            <w:pPr>
              <w:pStyle w:val="CellHeader"/>
            </w:pPr>
            <w:r w:rsidRPr="00F64340">
              <w:t>Plan 2015.</w:t>
            </w:r>
          </w:p>
        </w:tc>
        <w:tc>
          <w:tcPr>
            <w:tcW w:w="1486" w:type="dxa"/>
            <w:shd w:val="clear" w:color="auto" w:fill="B5C0D8"/>
          </w:tcPr>
          <w:p w:rsidR="00D849AA" w:rsidRPr="00F64340" w:rsidRDefault="00EE6D95">
            <w:pPr>
              <w:pStyle w:val="CellHeader"/>
            </w:pPr>
            <w:r w:rsidRPr="00F64340">
              <w:t>Plan 2016.</w:t>
            </w:r>
          </w:p>
        </w:tc>
        <w:tc>
          <w:tcPr>
            <w:tcW w:w="1486" w:type="dxa"/>
            <w:shd w:val="clear" w:color="auto" w:fill="B5C0D8"/>
          </w:tcPr>
          <w:p w:rsidR="00D849AA" w:rsidRPr="00F64340" w:rsidRDefault="00EE6D95">
            <w:pPr>
              <w:pStyle w:val="CellHeader"/>
            </w:pPr>
            <w:r w:rsidRPr="00F64340">
              <w:t>Indeks 2014/2013</w:t>
            </w:r>
          </w:p>
        </w:tc>
      </w:tr>
      <w:tr w:rsidR="00D849AA">
        <w:trPr>
          <w:jc w:val="center"/>
        </w:trPr>
        <w:tc>
          <w:tcPr>
            <w:tcW w:w="1486" w:type="dxa"/>
          </w:tcPr>
          <w:p w:rsidR="00D849AA" w:rsidRPr="00F64340" w:rsidRDefault="00EE6D95">
            <w:pPr>
              <w:pStyle w:val="CellColumn"/>
            </w:pPr>
            <w:r w:rsidRPr="00F64340">
              <w:t>01705 Ustavni sud Republike Hrvatske</w:t>
            </w:r>
          </w:p>
        </w:tc>
        <w:tc>
          <w:tcPr>
            <w:tcW w:w="1486" w:type="dxa"/>
          </w:tcPr>
          <w:p w:rsidR="00D849AA" w:rsidRPr="00F64340" w:rsidRDefault="00EE6D95">
            <w:pPr>
              <w:rPr>
                <w:rFonts w:ascii="Arial" w:hAnsi="Arial" w:cs="Arial"/>
              </w:rPr>
            </w:pPr>
            <w:r w:rsidRPr="00F64340">
              <w:rPr>
                <w:rFonts w:ascii="Arial" w:hAnsi="Arial" w:cs="Arial"/>
              </w:rPr>
              <w:t>30.763.258</w:t>
            </w:r>
          </w:p>
        </w:tc>
        <w:tc>
          <w:tcPr>
            <w:tcW w:w="1486" w:type="dxa"/>
          </w:tcPr>
          <w:p w:rsidR="00D849AA" w:rsidRPr="00F64340" w:rsidRDefault="00EE6D95">
            <w:pPr>
              <w:rPr>
                <w:rFonts w:ascii="Arial" w:hAnsi="Arial" w:cs="Arial"/>
              </w:rPr>
            </w:pPr>
            <w:r w:rsidRPr="00F64340">
              <w:rPr>
                <w:rFonts w:ascii="Arial" w:hAnsi="Arial" w:cs="Arial"/>
              </w:rPr>
              <w:t>28.602.241</w:t>
            </w:r>
          </w:p>
        </w:tc>
        <w:tc>
          <w:tcPr>
            <w:tcW w:w="1486" w:type="dxa"/>
          </w:tcPr>
          <w:p w:rsidR="00D849AA" w:rsidRPr="00F64340" w:rsidRDefault="00EE6D95">
            <w:pPr>
              <w:rPr>
                <w:rFonts w:ascii="Arial" w:hAnsi="Arial" w:cs="Arial"/>
              </w:rPr>
            </w:pPr>
            <w:r w:rsidRPr="00F64340">
              <w:rPr>
                <w:rFonts w:ascii="Arial" w:hAnsi="Arial" w:cs="Arial"/>
              </w:rPr>
              <w:t>30.099.778</w:t>
            </w:r>
          </w:p>
        </w:tc>
        <w:tc>
          <w:tcPr>
            <w:tcW w:w="1486" w:type="dxa"/>
          </w:tcPr>
          <w:p w:rsidR="00D849AA" w:rsidRPr="00F64340" w:rsidRDefault="00EE6D95">
            <w:pPr>
              <w:rPr>
                <w:rFonts w:ascii="Arial" w:hAnsi="Arial" w:cs="Arial"/>
              </w:rPr>
            </w:pPr>
            <w:r w:rsidRPr="00F64340">
              <w:rPr>
                <w:rFonts w:ascii="Arial" w:hAnsi="Arial" w:cs="Arial"/>
              </w:rPr>
              <w:t>30.236.616</w:t>
            </w:r>
          </w:p>
        </w:tc>
        <w:tc>
          <w:tcPr>
            <w:tcW w:w="1486" w:type="dxa"/>
          </w:tcPr>
          <w:p w:rsidR="00D849AA" w:rsidRPr="00F64340" w:rsidRDefault="00EE6D95">
            <w:pPr>
              <w:rPr>
                <w:rFonts w:ascii="Arial" w:hAnsi="Arial" w:cs="Arial"/>
              </w:rPr>
            </w:pPr>
            <w:r w:rsidRPr="00F64340">
              <w:rPr>
                <w:rFonts w:ascii="Arial" w:hAnsi="Arial" w:cs="Arial"/>
              </w:rPr>
              <w:t>93,0</w:t>
            </w:r>
          </w:p>
        </w:tc>
      </w:tr>
      <w:tr w:rsidR="00D849AA">
        <w:trPr>
          <w:jc w:val="center"/>
        </w:trPr>
        <w:tc>
          <w:tcPr>
            <w:tcW w:w="1486" w:type="dxa"/>
            <w:shd w:val="clear" w:color="auto" w:fill="B5C0D8"/>
          </w:tcPr>
          <w:p w:rsidR="00D849AA" w:rsidRPr="00F64340" w:rsidRDefault="00EE6D95">
            <w:pPr>
              <w:pStyle w:val="CellColumn"/>
            </w:pPr>
            <w:r w:rsidRPr="00F64340">
              <w:t>Ukupno 017</w:t>
            </w:r>
          </w:p>
        </w:tc>
        <w:tc>
          <w:tcPr>
            <w:tcW w:w="1486" w:type="dxa"/>
            <w:shd w:val="clear" w:color="auto" w:fill="B5C0D8"/>
          </w:tcPr>
          <w:p w:rsidR="00D849AA" w:rsidRPr="00F64340" w:rsidRDefault="00EE6D95">
            <w:pPr>
              <w:rPr>
                <w:rFonts w:ascii="Arial" w:hAnsi="Arial" w:cs="Arial"/>
              </w:rPr>
            </w:pPr>
            <w:r w:rsidRPr="00F64340">
              <w:rPr>
                <w:rFonts w:ascii="Arial" w:hAnsi="Arial" w:cs="Arial"/>
              </w:rPr>
              <w:t>30.763.258</w:t>
            </w:r>
          </w:p>
        </w:tc>
        <w:tc>
          <w:tcPr>
            <w:tcW w:w="1486" w:type="dxa"/>
            <w:shd w:val="clear" w:color="auto" w:fill="B5C0D8"/>
          </w:tcPr>
          <w:p w:rsidR="00D849AA" w:rsidRPr="00F64340" w:rsidRDefault="00EE6D95">
            <w:pPr>
              <w:rPr>
                <w:rFonts w:ascii="Arial" w:hAnsi="Arial" w:cs="Arial"/>
              </w:rPr>
            </w:pPr>
            <w:r w:rsidRPr="00F64340">
              <w:rPr>
                <w:rFonts w:ascii="Arial" w:hAnsi="Arial" w:cs="Arial"/>
              </w:rPr>
              <w:t>28.602.241</w:t>
            </w:r>
          </w:p>
        </w:tc>
        <w:tc>
          <w:tcPr>
            <w:tcW w:w="1486" w:type="dxa"/>
            <w:shd w:val="clear" w:color="auto" w:fill="B5C0D8"/>
          </w:tcPr>
          <w:p w:rsidR="00D849AA" w:rsidRPr="00F64340" w:rsidRDefault="00EE6D95">
            <w:pPr>
              <w:rPr>
                <w:rFonts w:ascii="Arial" w:hAnsi="Arial" w:cs="Arial"/>
              </w:rPr>
            </w:pPr>
            <w:r w:rsidRPr="00F64340">
              <w:rPr>
                <w:rFonts w:ascii="Arial" w:hAnsi="Arial" w:cs="Arial"/>
              </w:rPr>
              <w:t>30.099.778</w:t>
            </w:r>
          </w:p>
        </w:tc>
        <w:tc>
          <w:tcPr>
            <w:tcW w:w="1486" w:type="dxa"/>
            <w:shd w:val="clear" w:color="auto" w:fill="B5C0D8"/>
          </w:tcPr>
          <w:p w:rsidR="00D849AA" w:rsidRPr="00F64340" w:rsidRDefault="00EE6D95">
            <w:pPr>
              <w:rPr>
                <w:rFonts w:ascii="Arial" w:hAnsi="Arial" w:cs="Arial"/>
              </w:rPr>
            </w:pPr>
            <w:r w:rsidRPr="00F64340">
              <w:rPr>
                <w:rFonts w:ascii="Arial" w:hAnsi="Arial" w:cs="Arial"/>
              </w:rPr>
              <w:t>30.236.616</w:t>
            </w:r>
          </w:p>
        </w:tc>
        <w:tc>
          <w:tcPr>
            <w:tcW w:w="1486" w:type="dxa"/>
            <w:shd w:val="clear" w:color="auto" w:fill="B5C0D8"/>
          </w:tcPr>
          <w:p w:rsidR="00D849AA" w:rsidRPr="00F64340" w:rsidRDefault="00EE6D95">
            <w:pPr>
              <w:rPr>
                <w:rFonts w:ascii="Arial" w:hAnsi="Arial" w:cs="Arial"/>
              </w:rPr>
            </w:pPr>
            <w:r w:rsidRPr="00F64340">
              <w:rPr>
                <w:rFonts w:ascii="Arial" w:hAnsi="Arial" w:cs="Arial"/>
              </w:rPr>
              <w:t>93,0</w:t>
            </w:r>
          </w:p>
        </w:tc>
      </w:tr>
    </w:tbl>
    <w:p w:rsidR="00D849AA" w:rsidRDefault="00D849AA">
      <w:pPr>
        <w:jc w:val="left"/>
      </w:pPr>
    </w:p>
    <w:p w:rsidR="00F64340" w:rsidRDefault="00F64340" w:rsidP="00F64340">
      <w:pPr>
        <w:pStyle w:val="Naslov4"/>
      </w:pPr>
      <w:r>
        <w:lastRenderedPageBreak/>
        <w:t>OBRAZLOŽENJE PROGRAMA</w:t>
      </w:r>
    </w:p>
    <w:p w:rsidR="00D849AA" w:rsidRDefault="00EE6D95">
      <w:pPr>
        <w:pStyle w:val="Naslov5"/>
      </w:pPr>
      <w:r>
        <w:t>2106 DJELOVANJE USTAVNOG SUDA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rsidRPr="00F64340">
        <w:trPr>
          <w:jc w:val="center"/>
        </w:trPr>
        <w:tc>
          <w:tcPr>
            <w:tcW w:w="1486" w:type="dxa"/>
            <w:shd w:val="clear" w:color="auto" w:fill="B5C0D8"/>
          </w:tcPr>
          <w:p w:rsidR="00D849AA" w:rsidRPr="00F64340" w:rsidRDefault="00D849AA">
            <w:pPr>
              <w:pStyle w:val="CellHeader"/>
            </w:pPr>
          </w:p>
        </w:tc>
        <w:tc>
          <w:tcPr>
            <w:tcW w:w="1486" w:type="dxa"/>
            <w:shd w:val="clear" w:color="auto" w:fill="B5C0D8"/>
          </w:tcPr>
          <w:p w:rsidR="00D849AA" w:rsidRPr="00F64340" w:rsidRDefault="00EE6D95">
            <w:pPr>
              <w:pStyle w:val="CellHeader"/>
            </w:pPr>
            <w:r w:rsidRPr="00F64340">
              <w:t>Plan 2013.</w:t>
            </w:r>
          </w:p>
        </w:tc>
        <w:tc>
          <w:tcPr>
            <w:tcW w:w="1486" w:type="dxa"/>
            <w:shd w:val="clear" w:color="auto" w:fill="B5C0D8"/>
          </w:tcPr>
          <w:p w:rsidR="00D849AA" w:rsidRPr="00F64340" w:rsidRDefault="00EE6D95">
            <w:pPr>
              <w:pStyle w:val="CellHeader"/>
            </w:pPr>
            <w:r w:rsidRPr="00F64340">
              <w:t>Plan 2014.</w:t>
            </w:r>
          </w:p>
        </w:tc>
        <w:tc>
          <w:tcPr>
            <w:tcW w:w="1486" w:type="dxa"/>
            <w:shd w:val="clear" w:color="auto" w:fill="B5C0D8"/>
          </w:tcPr>
          <w:p w:rsidR="00D849AA" w:rsidRPr="00F64340" w:rsidRDefault="00EE6D95">
            <w:pPr>
              <w:pStyle w:val="CellHeader"/>
            </w:pPr>
            <w:r w:rsidRPr="00F64340">
              <w:t>Plan 2015.</w:t>
            </w:r>
          </w:p>
        </w:tc>
        <w:tc>
          <w:tcPr>
            <w:tcW w:w="1486" w:type="dxa"/>
            <w:shd w:val="clear" w:color="auto" w:fill="B5C0D8"/>
          </w:tcPr>
          <w:p w:rsidR="00D849AA" w:rsidRPr="00F64340" w:rsidRDefault="00EE6D95">
            <w:pPr>
              <w:pStyle w:val="CellHeader"/>
            </w:pPr>
            <w:r w:rsidRPr="00F64340">
              <w:t>Plan 2016.</w:t>
            </w:r>
          </w:p>
        </w:tc>
        <w:tc>
          <w:tcPr>
            <w:tcW w:w="1486" w:type="dxa"/>
            <w:shd w:val="clear" w:color="auto" w:fill="B5C0D8"/>
          </w:tcPr>
          <w:p w:rsidR="00D849AA" w:rsidRPr="00F64340" w:rsidRDefault="00EE6D95">
            <w:pPr>
              <w:pStyle w:val="CellHeader"/>
            </w:pPr>
            <w:r w:rsidRPr="00F64340">
              <w:t>Indeks 2014/2013</w:t>
            </w:r>
          </w:p>
        </w:tc>
      </w:tr>
      <w:tr w:rsidR="00D849AA" w:rsidRPr="00F64340">
        <w:trPr>
          <w:jc w:val="center"/>
        </w:trPr>
        <w:tc>
          <w:tcPr>
            <w:tcW w:w="1486" w:type="dxa"/>
          </w:tcPr>
          <w:p w:rsidR="00D849AA" w:rsidRPr="00F64340" w:rsidRDefault="00EE6D95">
            <w:pPr>
              <w:pStyle w:val="CellColumn"/>
            </w:pPr>
            <w:r w:rsidRPr="00F64340">
              <w:t>2106</w:t>
            </w:r>
          </w:p>
        </w:tc>
        <w:tc>
          <w:tcPr>
            <w:tcW w:w="1486" w:type="dxa"/>
          </w:tcPr>
          <w:p w:rsidR="00D849AA" w:rsidRPr="00F64340" w:rsidRDefault="00EE6D95">
            <w:pPr>
              <w:rPr>
                <w:rFonts w:ascii="Arial" w:hAnsi="Arial" w:cs="Arial"/>
              </w:rPr>
            </w:pPr>
            <w:r w:rsidRPr="00F64340">
              <w:rPr>
                <w:rFonts w:ascii="Arial" w:hAnsi="Arial" w:cs="Arial"/>
              </w:rPr>
              <w:t>30.763.258</w:t>
            </w:r>
          </w:p>
        </w:tc>
        <w:tc>
          <w:tcPr>
            <w:tcW w:w="1486" w:type="dxa"/>
          </w:tcPr>
          <w:p w:rsidR="00D849AA" w:rsidRPr="00F64340" w:rsidRDefault="00EE6D95">
            <w:pPr>
              <w:rPr>
                <w:rFonts w:ascii="Arial" w:hAnsi="Arial" w:cs="Arial"/>
              </w:rPr>
            </w:pPr>
            <w:r w:rsidRPr="00F64340">
              <w:rPr>
                <w:rFonts w:ascii="Arial" w:hAnsi="Arial" w:cs="Arial"/>
              </w:rPr>
              <w:t>28.602.241</w:t>
            </w:r>
          </w:p>
        </w:tc>
        <w:tc>
          <w:tcPr>
            <w:tcW w:w="1486" w:type="dxa"/>
          </w:tcPr>
          <w:p w:rsidR="00D849AA" w:rsidRPr="00F64340" w:rsidRDefault="00EE6D95">
            <w:pPr>
              <w:rPr>
                <w:rFonts w:ascii="Arial" w:hAnsi="Arial" w:cs="Arial"/>
              </w:rPr>
            </w:pPr>
            <w:r w:rsidRPr="00F64340">
              <w:rPr>
                <w:rFonts w:ascii="Arial" w:hAnsi="Arial" w:cs="Arial"/>
              </w:rPr>
              <w:t>30.099.778</w:t>
            </w:r>
          </w:p>
        </w:tc>
        <w:tc>
          <w:tcPr>
            <w:tcW w:w="1486" w:type="dxa"/>
          </w:tcPr>
          <w:p w:rsidR="00D849AA" w:rsidRPr="00F64340" w:rsidRDefault="00EE6D95">
            <w:pPr>
              <w:rPr>
                <w:rFonts w:ascii="Arial" w:hAnsi="Arial" w:cs="Arial"/>
              </w:rPr>
            </w:pPr>
            <w:r w:rsidRPr="00F64340">
              <w:rPr>
                <w:rFonts w:ascii="Arial" w:hAnsi="Arial" w:cs="Arial"/>
              </w:rPr>
              <w:t>30.236.616</w:t>
            </w:r>
          </w:p>
        </w:tc>
        <w:tc>
          <w:tcPr>
            <w:tcW w:w="1486" w:type="dxa"/>
          </w:tcPr>
          <w:p w:rsidR="00D849AA" w:rsidRPr="00F64340" w:rsidRDefault="00EE6D95">
            <w:pPr>
              <w:rPr>
                <w:rFonts w:ascii="Arial" w:hAnsi="Arial" w:cs="Arial"/>
              </w:rPr>
            </w:pPr>
            <w:r w:rsidRPr="00F64340">
              <w:rPr>
                <w:rFonts w:ascii="Arial" w:hAnsi="Arial" w:cs="Arial"/>
              </w:rPr>
              <w:t>93,0</w:t>
            </w:r>
          </w:p>
        </w:tc>
      </w:tr>
    </w:tbl>
    <w:p w:rsidR="00D849AA" w:rsidRPr="00F64340" w:rsidRDefault="00D849AA">
      <w:pPr>
        <w:jc w:val="left"/>
        <w:rPr>
          <w:rFonts w:ascii="Arial" w:hAnsi="Arial" w:cs="Arial"/>
        </w:rPr>
      </w:pPr>
    </w:p>
    <w:p w:rsidR="00D849AA" w:rsidRDefault="00EE6D95">
      <w:pPr>
        <w:pStyle w:val="Naslov6"/>
      </w:pPr>
      <w:r>
        <w:t>Opis programa</w:t>
      </w:r>
    </w:p>
    <w:p w:rsidR="00D849AA" w:rsidRDefault="00EE6D95">
      <w:pPr>
        <w:pStyle w:val="Normal5"/>
      </w:pPr>
      <w:r>
        <w:t xml:space="preserve">USRH kroz svoj program usmjerava aktivnosti prema pozicioniranju u nacionalnom ustavnom poretku u skladu s položajem koji mu priznaje Ustav, čime će se ojačati uloga samog ustavnog sudovanja u zemlji, te njegovo pozicioniranje na međunarodnom planu. </w:t>
      </w:r>
    </w:p>
    <w:p w:rsidR="00D849AA" w:rsidRDefault="00EE6D95">
      <w:pPr>
        <w:pStyle w:val="Normal5"/>
      </w:pPr>
      <w:r>
        <w:t xml:space="preserve">Ustavnom sudu potrebno je "vratiti" njegov Ustavom određeni položaj. Pravilnom normativnom regulacijom smanjiti broj zaprimljenih predmeta na racionalnu mjeru koja odgovara zadaćama i položaju Ustavnog suda. Važno je također uskladiti postupanje u pojedinim pitanjima s onima Europskog suda za ljudska prava u Strasbourgu u okviru Ustavnom dopuštenih granica. </w:t>
      </w:r>
    </w:p>
    <w:p w:rsidR="00D849AA" w:rsidRDefault="00EE6D95">
      <w:pPr>
        <w:pStyle w:val="Normal5"/>
      </w:pPr>
      <w:r>
        <w:t xml:space="preserve">Program će se realizirati kroz sljedeće ciljeve: </w:t>
      </w:r>
    </w:p>
    <w:p w:rsidR="00D849AA" w:rsidRDefault="00EE6D95">
      <w:pPr>
        <w:pStyle w:val="Normal5"/>
      </w:pPr>
      <w:r>
        <w:t xml:space="preserve">1. Unaprjeđenje prakse Ustavnog suda, </w:t>
      </w:r>
    </w:p>
    <w:p w:rsidR="00D849AA" w:rsidRDefault="00EE6D95">
      <w:pPr>
        <w:pStyle w:val="Normal5"/>
      </w:pPr>
      <w:r>
        <w:t xml:space="preserve">2. Unaprjeđenje međunarodne suradnje Ustavnog suda i njegovo pozicioniranje na međunarodnom planu, </w:t>
      </w:r>
    </w:p>
    <w:p w:rsidR="00D849AA" w:rsidRDefault="00EE6D95">
      <w:pPr>
        <w:pStyle w:val="Normal5"/>
      </w:pPr>
      <w:r>
        <w:t>3. Otvaranje Ustavnog suda javnosti i podizanje informiranosti građana o značenju i ulozi ustavnog sudovanja.</w:t>
      </w:r>
    </w:p>
    <w:p w:rsidR="00D849AA" w:rsidRDefault="00EE6D95">
      <w:pPr>
        <w:pStyle w:val="Naslov6"/>
      </w:pPr>
      <w:r>
        <w:t>Zakonske i druge pravne osnove</w:t>
      </w:r>
    </w:p>
    <w:p w:rsidR="00E85C61" w:rsidRDefault="00E85C61">
      <w:pPr>
        <w:pStyle w:val="Normal5"/>
      </w:pPr>
      <w:r>
        <w:t>Ustav Republike Hrvatske (Narodne novine, broj</w:t>
      </w:r>
      <w:r w:rsidR="00EE6D95">
        <w:t xml:space="preserve"> 59/90, 135/97</w:t>
      </w:r>
      <w:r>
        <w:t>, 113/00, 28/01</w:t>
      </w:r>
      <w:r w:rsidR="00EE6D95">
        <w:t xml:space="preserve"> i 76/10</w:t>
      </w:r>
      <w:r>
        <w:t>)</w:t>
      </w:r>
      <w:r w:rsidR="00EE6D95">
        <w:t xml:space="preserve"> </w:t>
      </w:r>
    </w:p>
    <w:p w:rsidR="00D849AA" w:rsidRDefault="00EE6D95">
      <w:pPr>
        <w:pStyle w:val="Normal5"/>
      </w:pPr>
      <w:r>
        <w:t>Ustavni zakon o U</w:t>
      </w:r>
      <w:r w:rsidR="00E85C61">
        <w:t>stavnom sudu Republike Hrvatske</w:t>
      </w:r>
      <w:r>
        <w:t xml:space="preserve"> </w:t>
      </w:r>
      <w:r w:rsidR="00E85C61">
        <w:t>(Narodne novine, broj 99/99, 29/02,</w:t>
      </w:r>
      <w:r>
        <w:t xml:space="preserve"> 49/02-pročišćeni tekst</w:t>
      </w:r>
      <w:r w:rsidR="00E85C61">
        <w:t>)</w:t>
      </w:r>
      <w:r>
        <w:t>.</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Cilj 1. Unaprjeđenje prakse Ustavnog suda</w:t>
      </w:r>
    </w:p>
    <w:p w:rsidR="00D849AA" w:rsidRDefault="00EE6D95">
      <w:pPr>
        <w:pStyle w:val="Normal6"/>
      </w:pPr>
      <w:r>
        <w:t xml:space="preserve">Unapređenje ustavnosudske sudske prakse pridonosi ostvarenju načela pravne države te povećava povjerenje u njezine institucije odnosno konkretno u Ustavni sud. Kroz praksu Ustavnog suda u pravnom se poretku osiguravaj  legalitet, pravna sigurnost, poštovanje ljudskih prava, jednakost pred zakonom i zabrana arbitrarnosti i  diskriminacije. Trenutno postoje nedostaci u nadležnostima Ustavnog suda zbog čega pojedinci  dobivaju zaštitu pred EU sudom za ljudska prava, ali ne i pred Ustavnim sudom RH.  </w:t>
      </w:r>
    </w:p>
    <w:p w:rsidR="00D849AA" w:rsidRDefault="00EE6D95">
      <w:pPr>
        <w:pStyle w:val="Normal6"/>
      </w:pPr>
      <w:r>
        <w:t>Unaprjeđenje sudske prakse ima i važan preventivan učinak, jer djeluje na smanjenje nastanka različitih vrsta sporova, ali i na opće unaprjeđenje i poboljšanje kvalitete zakona i drugih pravnih propisa, kao i povećanje stupnja unutarnje pravne konzistentnosti cjelokupnog pravnog poretka Republike Hrvatske.</w:t>
      </w:r>
    </w:p>
    <w:p w:rsidR="00D849AA" w:rsidRDefault="00EE6D95">
      <w:pPr>
        <w:pStyle w:val="Naslov7"/>
      </w:pPr>
      <w:r>
        <w:lastRenderedPageBreak/>
        <w:t>Cilj 2. Unaprjeđenje međunarodne suradnje Ustavnog suda i njegovo pozicioniranje na međunarodnom planu</w:t>
      </w:r>
    </w:p>
    <w:p w:rsidR="00D849AA" w:rsidRDefault="00EE6D95">
      <w:pPr>
        <w:pStyle w:val="Normal6"/>
      </w:pPr>
      <w:r>
        <w:t>Europska perspektiva hrvatskog ustavnog sudovanja neposredno i izravno ovisi o intenzitetu i načinu predstavljanja uloge, djelovanja i rezultata rada Ustavnog suda u međunarodnoj zajednici. Organiziranjem međunarodnih stručnih skupova, organiziranjem međudržavnih posjeta delegacija ustavnih sudova drugih država te radnih (općih ili tematskih) i društvenih sastanaka s njihovim predstavnicima te aktivnim sudjelovanjem na skupovima u organizaciji drugih ustavnih sudova i/ili različitih međunarodnih organizacija ili sudišta, Ustavni sud stječe priliku prezentirati praksu i dostignuća hrvatskog ustavnog sudovanja i cjelokupnog pravnog sustava. Osim što time bogati svoja iskustva i unaprjeđuje praksu, Ustavni sud, a time i Republika Hrvatska, istodobno se pozicioniraju na međunarodnom planu kao moderne europske demokratske institucije.</w:t>
      </w:r>
    </w:p>
    <w:p w:rsidR="00D849AA" w:rsidRDefault="00EE6D95">
      <w:pPr>
        <w:pStyle w:val="Naslov7"/>
      </w:pPr>
      <w:r>
        <w:t>Cilj 3. Otvaranje Ustavnog suda javnosti i podizanje svijesti građana o značenju i ulozi ustavnog sudovanja</w:t>
      </w:r>
    </w:p>
    <w:p w:rsidR="00D849AA" w:rsidRDefault="00EE6D95">
      <w:pPr>
        <w:pStyle w:val="Normal6"/>
      </w:pPr>
      <w:r>
        <w:t>Jedna od primarnih zadaća u djelovanju Suda je stvaranje povjerenja građanstva u zaštitu njihovih temeljnih sloboda i prava utvrđenih Ustavom Republike Hrvatske. Pretpostavka za to je pravilna percepcija u javnosti o ustavnom sudovanju: građani moraju biti informirani o načinima ostvarenja i zaštite svojih ustavnih prava. To, između ostalog, znači da moraju biti upoznati s time što trebaju i mogu očekivati od Ustavnog suda, a što ne. U tom smislu, osim o procesnopravnim pitanjima, oni moraju biti informirani i o načinu i uvjetima rada u Ustavnom sudu kao i o svim aktivnostima koje on poduzima radi obavljanja svojih ustavom propisanih nadležnosti i zadaća.</w:t>
      </w:r>
    </w:p>
    <w:p w:rsidR="00D849AA" w:rsidRDefault="00EE6D95">
      <w:pPr>
        <w:pStyle w:val="Naslov5"/>
      </w:pPr>
      <w:r>
        <w:t>Procjena i ishodište potrebnih sredstava za značajnije aktivnosti/projekte</w:t>
      </w:r>
    </w:p>
    <w:p w:rsidR="00D849AA" w:rsidRDefault="00EE6D95">
      <w:pPr>
        <w:pStyle w:val="Naslov6"/>
      </w:pPr>
      <w:r>
        <w:t>A506000 ADMINISTRACIJA I UPRAVLJANJE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rsidRPr="00E85C61">
        <w:trPr>
          <w:jc w:val="center"/>
        </w:trPr>
        <w:tc>
          <w:tcPr>
            <w:tcW w:w="1486" w:type="dxa"/>
            <w:shd w:val="clear" w:color="auto" w:fill="B5C0D8"/>
          </w:tcPr>
          <w:p w:rsidR="00D849AA" w:rsidRPr="00E85C61" w:rsidRDefault="00EE6D95">
            <w:pPr>
              <w:pStyle w:val="CellHeader"/>
            </w:pPr>
            <w:r w:rsidRPr="00E85C61">
              <w:t>Naziv aktivnosti</w:t>
            </w:r>
          </w:p>
        </w:tc>
        <w:tc>
          <w:tcPr>
            <w:tcW w:w="1486" w:type="dxa"/>
            <w:shd w:val="clear" w:color="auto" w:fill="B5C0D8"/>
          </w:tcPr>
          <w:p w:rsidR="00D849AA" w:rsidRPr="00E85C61" w:rsidRDefault="00EE6D95">
            <w:pPr>
              <w:pStyle w:val="CellHeader"/>
            </w:pPr>
            <w:r w:rsidRPr="00E85C61">
              <w:t>Plan 2013.</w:t>
            </w:r>
          </w:p>
        </w:tc>
        <w:tc>
          <w:tcPr>
            <w:tcW w:w="1486" w:type="dxa"/>
            <w:shd w:val="clear" w:color="auto" w:fill="B5C0D8"/>
          </w:tcPr>
          <w:p w:rsidR="00D849AA" w:rsidRPr="00E85C61" w:rsidRDefault="00EE6D95">
            <w:pPr>
              <w:pStyle w:val="CellHeader"/>
            </w:pPr>
            <w:r w:rsidRPr="00E85C61">
              <w:t>Plan 2014.</w:t>
            </w:r>
          </w:p>
        </w:tc>
        <w:tc>
          <w:tcPr>
            <w:tcW w:w="1486" w:type="dxa"/>
            <w:shd w:val="clear" w:color="auto" w:fill="B5C0D8"/>
          </w:tcPr>
          <w:p w:rsidR="00D849AA" w:rsidRPr="00E85C61" w:rsidRDefault="00EE6D95">
            <w:pPr>
              <w:pStyle w:val="CellHeader"/>
            </w:pPr>
            <w:r w:rsidRPr="00E85C61">
              <w:t>Plan 2015.</w:t>
            </w:r>
          </w:p>
        </w:tc>
        <w:tc>
          <w:tcPr>
            <w:tcW w:w="1486" w:type="dxa"/>
            <w:shd w:val="clear" w:color="auto" w:fill="B5C0D8"/>
          </w:tcPr>
          <w:p w:rsidR="00D849AA" w:rsidRPr="00E85C61" w:rsidRDefault="00EE6D95">
            <w:pPr>
              <w:pStyle w:val="CellHeader"/>
            </w:pPr>
            <w:r w:rsidRPr="00E85C61">
              <w:t>Plan 2016.</w:t>
            </w:r>
          </w:p>
        </w:tc>
        <w:tc>
          <w:tcPr>
            <w:tcW w:w="1486" w:type="dxa"/>
            <w:shd w:val="clear" w:color="auto" w:fill="B5C0D8"/>
          </w:tcPr>
          <w:p w:rsidR="00D849AA" w:rsidRPr="00E85C61" w:rsidRDefault="00EE6D95">
            <w:pPr>
              <w:pStyle w:val="CellHeader"/>
            </w:pPr>
            <w:r w:rsidRPr="00E85C61">
              <w:t>Indeks 2014/2013</w:t>
            </w:r>
          </w:p>
        </w:tc>
      </w:tr>
      <w:tr w:rsidR="00D849AA" w:rsidRPr="00E85C61">
        <w:trPr>
          <w:jc w:val="center"/>
        </w:trPr>
        <w:tc>
          <w:tcPr>
            <w:tcW w:w="1486" w:type="dxa"/>
          </w:tcPr>
          <w:p w:rsidR="00D849AA" w:rsidRPr="00E85C61" w:rsidRDefault="00EE6D95">
            <w:pPr>
              <w:pStyle w:val="CellColumn"/>
            </w:pPr>
            <w:r w:rsidRPr="00E85C61">
              <w:t>A506000</w:t>
            </w:r>
          </w:p>
        </w:tc>
        <w:tc>
          <w:tcPr>
            <w:tcW w:w="1486" w:type="dxa"/>
          </w:tcPr>
          <w:p w:rsidR="00D849AA" w:rsidRPr="00E85C61" w:rsidRDefault="00EE6D95">
            <w:pPr>
              <w:rPr>
                <w:rFonts w:ascii="Arial" w:hAnsi="Arial" w:cs="Arial"/>
              </w:rPr>
            </w:pPr>
            <w:r w:rsidRPr="00E85C61">
              <w:rPr>
                <w:rFonts w:ascii="Arial" w:hAnsi="Arial" w:cs="Arial"/>
              </w:rPr>
              <w:t>28.495.858</w:t>
            </w:r>
          </w:p>
        </w:tc>
        <w:tc>
          <w:tcPr>
            <w:tcW w:w="1486" w:type="dxa"/>
          </w:tcPr>
          <w:p w:rsidR="00D849AA" w:rsidRPr="00E85C61" w:rsidRDefault="00EE6D95">
            <w:pPr>
              <w:rPr>
                <w:rFonts w:ascii="Arial" w:hAnsi="Arial" w:cs="Arial"/>
              </w:rPr>
            </w:pPr>
            <w:r w:rsidRPr="00E85C61">
              <w:rPr>
                <w:rFonts w:ascii="Arial" w:hAnsi="Arial" w:cs="Arial"/>
              </w:rPr>
              <w:t>26.835.641</w:t>
            </w:r>
          </w:p>
        </w:tc>
        <w:tc>
          <w:tcPr>
            <w:tcW w:w="1486" w:type="dxa"/>
          </w:tcPr>
          <w:p w:rsidR="00D849AA" w:rsidRPr="00E85C61" w:rsidRDefault="00EE6D95">
            <w:pPr>
              <w:rPr>
                <w:rFonts w:ascii="Arial" w:hAnsi="Arial" w:cs="Arial"/>
              </w:rPr>
            </w:pPr>
            <w:r w:rsidRPr="00E85C61">
              <w:rPr>
                <w:rFonts w:ascii="Arial" w:hAnsi="Arial" w:cs="Arial"/>
              </w:rPr>
              <w:t>28.124.778</w:t>
            </w:r>
          </w:p>
        </w:tc>
        <w:tc>
          <w:tcPr>
            <w:tcW w:w="1486" w:type="dxa"/>
          </w:tcPr>
          <w:p w:rsidR="00D849AA" w:rsidRPr="00E85C61" w:rsidRDefault="00EE6D95">
            <w:pPr>
              <w:rPr>
                <w:rFonts w:ascii="Arial" w:hAnsi="Arial" w:cs="Arial"/>
              </w:rPr>
            </w:pPr>
            <w:r w:rsidRPr="00E85C61">
              <w:rPr>
                <w:rFonts w:ascii="Arial" w:hAnsi="Arial" w:cs="Arial"/>
              </w:rPr>
              <w:t>28.261.616</w:t>
            </w:r>
          </w:p>
        </w:tc>
        <w:tc>
          <w:tcPr>
            <w:tcW w:w="1486" w:type="dxa"/>
          </w:tcPr>
          <w:p w:rsidR="00D849AA" w:rsidRPr="00E85C61" w:rsidRDefault="00EE6D95">
            <w:pPr>
              <w:rPr>
                <w:rFonts w:ascii="Arial" w:hAnsi="Arial" w:cs="Arial"/>
              </w:rPr>
            </w:pPr>
            <w:r w:rsidRPr="00E85C61">
              <w:rPr>
                <w:rFonts w:ascii="Arial" w:hAnsi="Arial" w:cs="Arial"/>
              </w:rPr>
              <w:t>94,2</w:t>
            </w:r>
          </w:p>
        </w:tc>
      </w:tr>
    </w:tbl>
    <w:p w:rsidR="00D849AA" w:rsidRPr="00E85C61" w:rsidRDefault="00D849AA">
      <w:pPr>
        <w:jc w:val="left"/>
        <w:rPr>
          <w:rFonts w:ascii="Arial" w:hAnsi="Arial" w:cs="Arial"/>
        </w:rPr>
      </w:pPr>
    </w:p>
    <w:p w:rsidR="00D849AA" w:rsidRDefault="00EE6D95">
      <w:pPr>
        <w:pStyle w:val="Normal6"/>
      </w:pPr>
      <w:r>
        <w:t xml:space="preserve">Kroz aktivnost Administracije i upravljanja financira se najveći dio temeljne djelatnosti Ustavnog suda, a to je zaštita ustavnosti i zakonitosti, zaštita ljudskih prava te temeljnih sloboda zajamčenih Ustavom Republike Hrvatske. Za tu namjenu u 2014. godini planiran je iznos 26.835.641,00 kuna što predstavlja 93,82% ukupnog proračuna Ustavnog suda. </w:t>
      </w:r>
    </w:p>
    <w:p w:rsidR="00D849AA" w:rsidRDefault="00EE6D95">
      <w:pPr>
        <w:pStyle w:val="Normal6"/>
      </w:pPr>
      <w:r>
        <w:t xml:space="preserve">Unutar ove aktivnosti odvija se najveći dio djelatnosti Ustavnog suda: </w:t>
      </w:r>
    </w:p>
    <w:p w:rsidR="00D849AA" w:rsidRDefault="00EE6D95">
      <w:pPr>
        <w:pStyle w:val="Normal6"/>
      </w:pPr>
      <w:r>
        <w:t xml:space="preserve">- klasifikacija podnesaka i praćenje ostvarenja rezultata organizacijom preliminarnog ispitivanja osnovanosti ustavnih tužbi, skraćivanjem obrazloženja odluka bez utjecaja na njihovu kvalitetu i izrada analiza na temelju prikupljenih statistički obrađenih podataka; </w:t>
      </w:r>
    </w:p>
    <w:p w:rsidR="00D849AA" w:rsidRDefault="00EE6D95">
      <w:pPr>
        <w:pStyle w:val="Normal6"/>
      </w:pPr>
      <w:r>
        <w:t xml:space="preserve">- organiziranje širih stručnih rasprava o ulozi ustavnog sudovanja u Republici Hrvatskoj i o potrebi promjene Glave V Ustava i donošenja novog Ustavnog zakona o Ustavnom sudu Republike Hrvatske; </w:t>
      </w:r>
    </w:p>
    <w:p w:rsidR="00D849AA" w:rsidRDefault="00EE6D95">
      <w:pPr>
        <w:pStyle w:val="Normal6"/>
      </w:pPr>
      <w:r>
        <w:t xml:space="preserve">- što češće istupanje sudaca Ustavnog suda u javnosti (putem konferencija za tisak, na znanstvenim i stručnim skupovima u zemlji, putem intervjua u medijima); </w:t>
      </w:r>
    </w:p>
    <w:p w:rsidR="00D849AA" w:rsidRDefault="00EE6D95">
      <w:pPr>
        <w:pStyle w:val="Normal6"/>
      </w:pPr>
      <w:r>
        <w:t xml:space="preserve">- prikupljanje i sistematizacija ustavnosudske prakse o stajalištima vezanim uz ustavnosudsku kontrolu zakona i drugih propisa; </w:t>
      </w:r>
    </w:p>
    <w:p w:rsidR="00D849AA" w:rsidRDefault="00EE6D95">
      <w:pPr>
        <w:pStyle w:val="Normal6"/>
      </w:pPr>
      <w:r>
        <w:lastRenderedPageBreak/>
        <w:t xml:space="preserve">- poboljšanje tehnoloških i materijalnih uvjeta rada, te osiguranje permanentnog obrazovanja i stručnog usavršavanja zaposlenika; </w:t>
      </w:r>
    </w:p>
    <w:p w:rsidR="00D849AA" w:rsidRDefault="00EE6D95">
      <w:pPr>
        <w:pStyle w:val="Normal6"/>
      </w:pPr>
      <w:r>
        <w:t>- unaprjeđenje mjerila za uspješnost rada izradom i praćenje godišnjih izvješća o postignutim rezultatima rada.</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E85C61" w:rsidRDefault="00EE6D95">
            <w:pPr>
              <w:rPr>
                <w:rFonts w:ascii="Arial" w:hAnsi="Arial" w:cs="Arial"/>
              </w:rPr>
            </w:pPr>
            <w:r w:rsidRPr="00E85C61">
              <w:rPr>
                <w:rFonts w:ascii="Arial" w:hAnsi="Arial" w:cs="Arial"/>
              </w:rPr>
              <w:t>Pokazatelj rezultata</w:t>
            </w:r>
          </w:p>
        </w:tc>
        <w:tc>
          <w:tcPr>
            <w:tcW w:w="1114" w:type="dxa"/>
            <w:shd w:val="clear" w:color="auto" w:fill="B5C0D8"/>
          </w:tcPr>
          <w:p w:rsidR="00D849AA" w:rsidRPr="00E85C61" w:rsidRDefault="00EE6D95">
            <w:pPr>
              <w:pStyle w:val="CellHeader"/>
            </w:pPr>
            <w:r w:rsidRPr="00E85C61">
              <w:t>Jedinica</w:t>
            </w:r>
          </w:p>
        </w:tc>
        <w:tc>
          <w:tcPr>
            <w:tcW w:w="1114" w:type="dxa"/>
            <w:shd w:val="clear" w:color="auto" w:fill="B5C0D8"/>
          </w:tcPr>
          <w:p w:rsidR="00D849AA" w:rsidRPr="00E85C61" w:rsidRDefault="00EE6D95">
            <w:pPr>
              <w:pStyle w:val="CellHeader"/>
            </w:pPr>
            <w:r w:rsidRPr="00E85C61">
              <w:t>Polazna vrijednost</w:t>
            </w:r>
          </w:p>
        </w:tc>
        <w:tc>
          <w:tcPr>
            <w:tcW w:w="1486" w:type="dxa"/>
            <w:shd w:val="clear" w:color="auto" w:fill="B5C0D8"/>
          </w:tcPr>
          <w:p w:rsidR="00D849AA" w:rsidRPr="00E85C61" w:rsidRDefault="00EE6D95">
            <w:pPr>
              <w:pStyle w:val="CellHeader"/>
            </w:pPr>
            <w:r w:rsidRPr="00E85C61">
              <w:t>Ciljana vrijednost (2014.)</w:t>
            </w:r>
          </w:p>
        </w:tc>
        <w:tc>
          <w:tcPr>
            <w:tcW w:w="1486" w:type="dxa"/>
            <w:shd w:val="clear" w:color="auto" w:fill="B5C0D8"/>
          </w:tcPr>
          <w:p w:rsidR="00D849AA" w:rsidRPr="00E85C61" w:rsidRDefault="00EE6D95">
            <w:pPr>
              <w:pStyle w:val="CellHeader"/>
            </w:pPr>
            <w:r w:rsidRPr="00E85C61">
              <w:t>Ciljana vrijednost (2015.)</w:t>
            </w:r>
          </w:p>
        </w:tc>
        <w:tc>
          <w:tcPr>
            <w:tcW w:w="1486" w:type="dxa"/>
            <w:shd w:val="clear" w:color="auto" w:fill="B5C0D8"/>
          </w:tcPr>
          <w:p w:rsidR="00D849AA" w:rsidRPr="00E85C61" w:rsidRDefault="00EE6D95">
            <w:pPr>
              <w:pStyle w:val="CellHeader"/>
            </w:pPr>
            <w:r w:rsidRPr="00E85C61">
              <w:t>Ciljana vrijednost (2016.)</w:t>
            </w:r>
          </w:p>
        </w:tc>
      </w:tr>
      <w:tr w:rsidR="00D849AA">
        <w:trPr>
          <w:jc w:val="center"/>
        </w:trPr>
        <w:tc>
          <w:tcPr>
            <w:tcW w:w="2229" w:type="dxa"/>
          </w:tcPr>
          <w:p w:rsidR="00D849AA" w:rsidRPr="00E85C61" w:rsidRDefault="00EE6D95">
            <w:pPr>
              <w:pStyle w:val="CellColumn"/>
            </w:pPr>
            <w:r w:rsidRPr="00E85C61">
              <w:t>Broj objavljenih znanstvenih i stručnih radova te izrađenih stručnih materijala</w:t>
            </w:r>
          </w:p>
        </w:tc>
        <w:tc>
          <w:tcPr>
            <w:tcW w:w="1114" w:type="dxa"/>
          </w:tcPr>
          <w:p w:rsidR="00D849AA" w:rsidRPr="00E85C61" w:rsidRDefault="00EE6D95">
            <w:pPr>
              <w:rPr>
                <w:rFonts w:ascii="Arial" w:hAnsi="Arial" w:cs="Arial"/>
              </w:rPr>
            </w:pPr>
            <w:r w:rsidRPr="00E85C61">
              <w:rPr>
                <w:rFonts w:ascii="Arial" w:hAnsi="Arial" w:cs="Arial"/>
              </w:rPr>
              <w:t>broj</w:t>
            </w:r>
          </w:p>
        </w:tc>
        <w:tc>
          <w:tcPr>
            <w:tcW w:w="1114" w:type="dxa"/>
          </w:tcPr>
          <w:p w:rsidR="00D849AA" w:rsidRPr="00E85C61" w:rsidRDefault="00EE6D95">
            <w:pPr>
              <w:rPr>
                <w:rFonts w:ascii="Arial" w:hAnsi="Arial" w:cs="Arial"/>
              </w:rPr>
            </w:pPr>
            <w:r w:rsidRPr="00E85C61">
              <w:rPr>
                <w:rFonts w:ascii="Arial" w:hAnsi="Arial" w:cs="Arial"/>
              </w:rPr>
              <w:t>15</w:t>
            </w:r>
          </w:p>
        </w:tc>
        <w:tc>
          <w:tcPr>
            <w:tcW w:w="1486" w:type="dxa"/>
          </w:tcPr>
          <w:p w:rsidR="00D849AA" w:rsidRPr="00E85C61" w:rsidRDefault="00EE6D95">
            <w:pPr>
              <w:rPr>
                <w:rFonts w:ascii="Arial" w:hAnsi="Arial" w:cs="Arial"/>
              </w:rPr>
            </w:pPr>
            <w:r w:rsidRPr="00E85C61">
              <w:rPr>
                <w:rFonts w:ascii="Arial" w:hAnsi="Arial" w:cs="Arial"/>
              </w:rPr>
              <w:t>120</w:t>
            </w:r>
          </w:p>
        </w:tc>
        <w:tc>
          <w:tcPr>
            <w:tcW w:w="1486" w:type="dxa"/>
          </w:tcPr>
          <w:p w:rsidR="00D849AA" w:rsidRPr="00E85C61" w:rsidRDefault="00EE6D95">
            <w:pPr>
              <w:rPr>
                <w:rFonts w:ascii="Arial" w:hAnsi="Arial" w:cs="Arial"/>
              </w:rPr>
            </w:pPr>
            <w:r w:rsidRPr="00E85C61">
              <w:rPr>
                <w:rFonts w:ascii="Arial" w:hAnsi="Arial" w:cs="Arial"/>
              </w:rPr>
              <w:t>150</w:t>
            </w:r>
          </w:p>
        </w:tc>
        <w:tc>
          <w:tcPr>
            <w:tcW w:w="1486" w:type="dxa"/>
          </w:tcPr>
          <w:p w:rsidR="00D849AA" w:rsidRPr="00E85C61" w:rsidRDefault="00EE6D95">
            <w:pPr>
              <w:rPr>
                <w:rFonts w:ascii="Arial" w:hAnsi="Arial" w:cs="Arial"/>
              </w:rPr>
            </w:pPr>
            <w:r w:rsidRPr="00E85C61">
              <w:rPr>
                <w:rFonts w:ascii="Arial" w:hAnsi="Arial" w:cs="Arial"/>
              </w:rPr>
              <w:t>180</w:t>
            </w:r>
          </w:p>
        </w:tc>
      </w:tr>
      <w:tr w:rsidR="00D849AA">
        <w:trPr>
          <w:jc w:val="center"/>
        </w:trPr>
        <w:tc>
          <w:tcPr>
            <w:tcW w:w="2229" w:type="dxa"/>
          </w:tcPr>
          <w:p w:rsidR="00D849AA" w:rsidRPr="00E85C61" w:rsidRDefault="00EE6D95">
            <w:pPr>
              <w:pStyle w:val="CellColumn"/>
            </w:pPr>
            <w:r w:rsidRPr="00E85C61">
              <w:t>Broj neriješenih predmeta starijih od tri godine</w:t>
            </w:r>
          </w:p>
        </w:tc>
        <w:tc>
          <w:tcPr>
            <w:tcW w:w="1114" w:type="dxa"/>
          </w:tcPr>
          <w:p w:rsidR="00D849AA" w:rsidRPr="00E85C61" w:rsidRDefault="00EE6D95">
            <w:pPr>
              <w:rPr>
                <w:rFonts w:ascii="Arial" w:hAnsi="Arial" w:cs="Arial"/>
              </w:rPr>
            </w:pPr>
            <w:r w:rsidRPr="00E85C61">
              <w:rPr>
                <w:rFonts w:ascii="Arial" w:hAnsi="Arial" w:cs="Arial"/>
              </w:rPr>
              <w:t>broj</w:t>
            </w:r>
          </w:p>
        </w:tc>
        <w:tc>
          <w:tcPr>
            <w:tcW w:w="1114" w:type="dxa"/>
          </w:tcPr>
          <w:p w:rsidR="00D849AA" w:rsidRPr="00E85C61" w:rsidRDefault="00EE6D95">
            <w:pPr>
              <w:rPr>
                <w:rFonts w:ascii="Arial" w:hAnsi="Arial" w:cs="Arial"/>
              </w:rPr>
            </w:pPr>
            <w:r w:rsidRPr="00E85C61">
              <w:rPr>
                <w:rFonts w:ascii="Arial" w:hAnsi="Arial" w:cs="Arial"/>
              </w:rPr>
              <w:t>907</w:t>
            </w:r>
          </w:p>
        </w:tc>
        <w:tc>
          <w:tcPr>
            <w:tcW w:w="1486" w:type="dxa"/>
          </w:tcPr>
          <w:p w:rsidR="00D849AA" w:rsidRPr="00E85C61" w:rsidRDefault="00EE6D95">
            <w:pPr>
              <w:rPr>
                <w:rFonts w:ascii="Arial" w:hAnsi="Arial" w:cs="Arial"/>
              </w:rPr>
            </w:pPr>
            <w:r w:rsidRPr="00E85C61">
              <w:rPr>
                <w:rFonts w:ascii="Arial" w:hAnsi="Arial" w:cs="Arial"/>
              </w:rPr>
              <w:t>500</w:t>
            </w:r>
          </w:p>
        </w:tc>
        <w:tc>
          <w:tcPr>
            <w:tcW w:w="1486" w:type="dxa"/>
          </w:tcPr>
          <w:p w:rsidR="00D849AA" w:rsidRPr="00E85C61" w:rsidRDefault="00EE6D95">
            <w:pPr>
              <w:rPr>
                <w:rFonts w:ascii="Arial" w:hAnsi="Arial" w:cs="Arial"/>
              </w:rPr>
            </w:pPr>
            <w:r w:rsidRPr="00E85C61">
              <w:rPr>
                <w:rFonts w:ascii="Arial" w:hAnsi="Arial" w:cs="Arial"/>
              </w:rPr>
              <w:t>450</w:t>
            </w:r>
          </w:p>
        </w:tc>
        <w:tc>
          <w:tcPr>
            <w:tcW w:w="1486" w:type="dxa"/>
          </w:tcPr>
          <w:p w:rsidR="00D849AA" w:rsidRPr="00E85C61" w:rsidRDefault="00EE6D95">
            <w:pPr>
              <w:rPr>
                <w:rFonts w:ascii="Arial" w:hAnsi="Arial" w:cs="Arial"/>
              </w:rPr>
            </w:pPr>
            <w:r w:rsidRPr="00E85C61">
              <w:rPr>
                <w:rFonts w:ascii="Arial" w:hAnsi="Arial" w:cs="Arial"/>
              </w:rPr>
              <w:t>400</w:t>
            </w:r>
          </w:p>
        </w:tc>
      </w:tr>
      <w:tr w:rsidR="00D849AA">
        <w:trPr>
          <w:jc w:val="center"/>
        </w:trPr>
        <w:tc>
          <w:tcPr>
            <w:tcW w:w="2229" w:type="dxa"/>
          </w:tcPr>
          <w:p w:rsidR="00D849AA" w:rsidRPr="00E85C61" w:rsidRDefault="00EE6D95">
            <w:pPr>
              <w:pStyle w:val="CellColumn"/>
            </w:pPr>
            <w:r w:rsidRPr="00E85C61">
              <w:t>Broj zaposlenika koji su sudjelovali na znanstvenim i stručnim savjetovanjima i programima</w:t>
            </w:r>
          </w:p>
        </w:tc>
        <w:tc>
          <w:tcPr>
            <w:tcW w:w="1114" w:type="dxa"/>
          </w:tcPr>
          <w:p w:rsidR="00D849AA" w:rsidRPr="00E85C61" w:rsidRDefault="00EE6D95">
            <w:pPr>
              <w:rPr>
                <w:rFonts w:ascii="Arial" w:hAnsi="Arial" w:cs="Arial"/>
              </w:rPr>
            </w:pPr>
            <w:r w:rsidRPr="00E85C61">
              <w:rPr>
                <w:rFonts w:ascii="Arial" w:hAnsi="Arial" w:cs="Arial"/>
              </w:rPr>
              <w:t>broj</w:t>
            </w:r>
          </w:p>
        </w:tc>
        <w:tc>
          <w:tcPr>
            <w:tcW w:w="1114" w:type="dxa"/>
          </w:tcPr>
          <w:p w:rsidR="00D849AA" w:rsidRPr="00E85C61" w:rsidRDefault="00EE6D95">
            <w:pPr>
              <w:rPr>
                <w:rFonts w:ascii="Arial" w:hAnsi="Arial" w:cs="Arial"/>
              </w:rPr>
            </w:pPr>
            <w:r w:rsidRPr="00E85C61">
              <w:rPr>
                <w:rFonts w:ascii="Arial" w:hAnsi="Arial" w:cs="Arial"/>
              </w:rPr>
              <w:t>20</w:t>
            </w:r>
          </w:p>
        </w:tc>
        <w:tc>
          <w:tcPr>
            <w:tcW w:w="1486" w:type="dxa"/>
          </w:tcPr>
          <w:p w:rsidR="00D849AA" w:rsidRPr="00E85C61" w:rsidRDefault="00EE6D95">
            <w:pPr>
              <w:rPr>
                <w:rFonts w:ascii="Arial" w:hAnsi="Arial" w:cs="Arial"/>
              </w:rPr>
            </w:pPr>
            <w:r w:rsidRPr="00E85C61">
              <w:rPr>
                <w:rFonts w:ascii="Arial" w:hAnsi="Arial" w:cs="Arial"/>
              </w:rPr>
              <w:t>120</w:t>
            </w:r>
          </w:p>
        </w:tc>
        <w:tc>
          <w:tcPr>
            <w:tcW w:w="1486" w:type="dxa"/>
          </w:tcPr>
          <w:p w:rsidR="00D849AA" w:rsidRPr="00E85C61" w:rsidRDefault="00EE6D95">
            <w:pPr>
              <w:rPr>
                <w:rFonts w:ascii="Arial" w:hAnsi="Arial" w:cs="Arial"/>
              </w:rPr>
            </w:pPr>
            <w:r w:rsidRPr="00E85C61">
              <w:rPr>
                <w:rFonts w:ascii="Arial" w:hAnsi="Arial" w:cs="Arial"/>
              </w:rPr>
              <w:t>140</w:t>
            </w:r>
          </w:p>
        </w:tc>
        <w:tc>
          <w:tcPr>
            <w:tcW w:w="1486" w:type="dxa"/>
          </w:tcPr>
          <w:p w:rsidR="00D849AA" w:rsidRPr="00E85C61" w:rsidRDefault="00EE6D95">
            <w:pPr>
              <w:rPr>
                <w:rFonts w:ascii="Arial" w:hAnsi="Arial" w:cs="Arial"/>
              </w:rPr>
            </w:pPr>
            <w:r w:rsidRPr="00E85C61">
              <w:rPr>
                <w:rFonts w:ascii="Arial" w:hAnsi="Arial" w:cs="Arial"/>
              </w:rPr>
              <w:t>160</w:t>
            </w:r>
          </w:p>
        </w:tc>
      </w:tr>
    </w:tbl>
    <w:p w:rsidR="00D849AA" w:rsidRDefault="00D849AA">
      <w:pPr>
        <w:jc w:val="left"/>
      </w:pPr>
    </w:p>
    <w:p w:rsidR="00D849AA" w:rsidRDefault="00EE6D95">
      <w:pPr>
        <w:pStyle w:val="Naslov6"/>
      </w:pPr>
      <w:r>
        <w:t>A506037 MEĐUNARODNA SURADNJA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E85C61" w:rsidRDefault="00EE6D95">
            <w:pPr>
              <w:pStyle w:val="CellHeader"/>
            </w:pPr>
            <w:r w:rsidRPr="00E85C61">
              <w:t>Naziv aktivnosti</w:t>
            </w:r>
          </w:p>
        </w:tc>
        <w:tc>
          <w:tcPr>
            <w:tcW w:w="1486" w:type="dxa"/>
            <w:shd w:val="clear" w:color="auto" w:fill="B5C0D8"/>
          </w:tcPr>
          <w:p w:rsidR="00D849AA" w:rsidRPr="00E85C61" w:rsidRDefault="00EE6D95">
            <w:pPr>
              <w:pStyle w:val="CellHeader"/>
            </w:pPr>
            <w:r w:rsidRPr="00E85C61">
              <w:t>Plan 2013.</w:t>
            </w:r>
          </w:p>
        </w:tc>
        <w:tc>
          <w:tcPr>
            <w:tcW w:w="1486" w:type="dxa"/>
            <w:shd w:val="clear" w:color="auto" w:fill="B5C0D8"/>
          </w:tcPr>
          <w:p w:rsidR="00D849AA" w:rsidRPr="00E85C61" w:rsidRDefault="00EE6D95">
            <w:pPr>
              <w:pStyle w:val="CellHeader"/>
            </w:pPr>
            <w:r w:rsidRPr="00E85C61">
              <w:t>Plan 2014.</w:t>
            </w:r>
          </w:p>
        </w:tc>
        <w:tc>
          <w:tcPr>
            <w:tcW w:w="1486" w:type="dxa"/>
            <w:shd w:val="clear" w:color="auto" w:fill="B5C0D8"/>
          </w:tcPr>
          <w:p w:rsidR="00D849AA" w:rsidRPr="00E85C61" w:rsidRDefault="00EE6D95">
            <w:pPr>
              <w:pStyle w:val="CellHeader"/>
            </w:pPr>
            <w:r w:rsidRPr="00E85C61">
              <w:t>Plan 2015.</w:t>
            </w:r>
          </w:p>
        </w:tc>
        <w:tc>
          <w:tcPr>
            <w:tcW w:w="1486" w:type="dxa"/>
            <w:shd w:val="clear" w:color="auto" w:fill="B5C0D8"/>
          </w:tcPr>
          <w:p w:rsidR="00D849AA" w:rsidRPr="00E85C61" w:rsidRDefault="00EE6D95">
            <w:pPr>
              <w:pStyle w:val="CellHeader"/>
            </w:pPr>
            <w:r w:rsidRPr="00E85C61">
              <w:t>Plan 2016.</w:t>
            </w:r>
          </w:p>
        </w:tc>
        <w:tc>
          <w:tcPr>
            <w:tcW w:w="1486" w:type="dxa"/>
            <w:shd w:val="clear" w:color="auto" w:fill="B5C0D8"/>
          </w:tcPr>
          <w:p w:rsidR="00D849AA" w:rsidRPr="00E85C61" w:rsidRDefault="00EE6D95">
            <w:pPr>
              <w:pStyle w:val="CellHeader"/>
            </w:pPr>
            <w:r w:rsidRPr="00E85C61">
              <w:t>Indeks 2014/2013</w:t>
            </w:r>
          </w:p>
        </w:tc>
      </w:tr>
      <w:tr w:rsidR="00D849AA">
        <w:trPr>
          <w:jc w:val="center"/>
        </w:trPr>
        <w:tc>
          <w:tcPr>
            <w:tcW w:w="1486" w:type="dxa"/>
          </w:tcPr>
          <w:p w:rsidR="00D849AA" w:rsidRPr="00E85C61" w:rsidRDefault="00EE6D95">
            <w:pPr>
              <w:pStyle w:val="CellColumn"/>
            </w:pPr>
            <w:r w:rsidRPr="00E85C61">
              <w:t>A506037</w:t>
            </w:r>
          </w:p>
        </w:tc>
        <w:tc>
          <w:tcPr>
            <w:tcW w:w="1486" w:type="dxa"/>
          </w:tcPr>
          <w:p w:rsidR="00D849AA" w:rsidRPr="00E85C61" w:rsidRDefault="00EE6D95">
            <w:pPr>
              <w:rPr>
                <w:rFonts w:ascii="Arial" w:hAnsi="Arial" w:cs="Arial"/>
              </w:rPr>
            </w:pPr>
            <w:r w:rsidRPr="00E85C61">
              <w:rPr>
                <w:rFonts w:ascii="Arial" w:hAnsi="Arial" w:cs="Arial"/>
              </w:rPr>
              <w:t>730.000</w:t>
            </w:r>
          </w:p>
        </w:tc>
        <w:tc>
          <w:tcPr>
            <w:tcW w:w="1486" w:type="dxa"/>
          </w:tcPr>
          <w:p w:rsidR="00D849AA" w:rsidRPr="00E85C61" w:rsidRDefault="00EE6D95">
            <w:pPr>
              <w:rPr>
                <w:rFonts w:ascii="Arial" w:hAnsi="Arial" w:cs="Arial"/>
              </w:rPr>
            </w:pPr>
            <w:r w:rsidRPr="00E85C61">
              <w:rPr>
                <w:rFonts w:ascii="Arial" w:hAnsi="Arial" w:cs="Arial"/>
              </w:rPr>
              <w:t>590.000</w:t>
            </w:r>
          </w:p>
        </w:tc>
        <w:tc>
          <w:tcPr>
            <w:tcW w:w="1486" w:type="dxa"/>
          </w:tcPr>
          <w:p w:rsidR="00D849AA" w:rsidRPr="00E85C61" w:rsidRDefault="00EE6D95">
            <w:pPr>
              <w:rPr>
                <w:rFonts w:ascii="Arial" w:hAnsi="Arial" w:cs="Arial"/>
              </w:rPr>
            </w:pPr>
            <w:r w:rsidRPr="00E85C61">
              <w:rPr>
                <w:rFonts w:ascii="Arial" w:hAnsi="Arial" w:cs="Arial"/>
              </w:rPr>
              <w:t>510.000</w:t>
            </w:r>
          </w:p>
        </w:tc>
        <w:tc>
          <w:tcPr>
            <w:tcW w:w="1486" w:type="dxa"/>
          </w:tcPr>
          <w:p w:rsidR="00D849AA" w:rsidRPr="00E85C61" w:rsidRDefault="00EE6D95">
            <w:pPr>
              <w:rPr>
                <w:rFonts w:ascii="Arial" w:hAnsi="Arial" w:cs="Arial"/>
              </w:rPr>
            </w:pPr>
            <w:r w:rsidRPr="00E85C61">
              <w:rPr>
                <w:rFonts w:ascii="Arial" w:hAnsi="Arial" w:cs="Arial"/>
              </w:rPr>
              <w:t>510.000</w:t>
            </w:r>
          </w:p>
        </w:tc>
        <w:tc>
          <w:tcPr>
            <w:tcW w:w="1486" w:type="dxa"/>
          </w:tcPr>
          <w:p w:rsidR="00D849AA" w:rsidRPr="00E85C61" w:rsidRDefault="00EE6D95">
            <w:pPr>
              <w:rPr>
                <w:rFonts w:ascii="Arial" w:hAnsi="Arial" w:cs="Arial"/>
              </w:rPr>
            </w:pPr>
            <w:r w:rsidRPr="00E85C61">
              <w:rPr>
                <w:rFonts w:ascii="Arial" w:hAnsi="Arial" w:cs="Arial"/>
              </w:rPr>
              <w:t>80,8</w:t>
            </w:r>
          </w:p>
        </w:tc>
      </w:tr>
    </w:tbl>
    <w:p w:rsidR="00D849AA" w:rsidRDefault="00D849AA">
      <w:pPr>
        <w:jc w:val="left"/>
      </w:pPr>
    </w:p>
    <w:p w:rsidR="00D849AA" w:rsidRDefault="00EE6D95">
      <w:pPr>
        <w:pStyle w:val="Normal6"/>
      </w:pPr>
      <w:r>
        <w:t xml:space="preserve">Jedna od temeljnih zadaća Ustavnog suda u okviru međunarodne suradnje je i praćenje i prilagodba nacionalnog zakonodavstva na području zaštite ljudskih prava i temeljnih sloboda sa pravnim stečevinama ostalih zemalja članica Europske unije. U tom kontekstu nameće se potreba nužne suradnje s europskim, pa i izvaneuropskim institucijama radi razmjene iskustava i usavršavanja vladavine prava na spomenutom području. </w:t>
      </w:r>
    </w:p>
    <w:p w:rsidR="00D849AA" w:rsidRDefault="00EE6D95">
      <w:pPr>
        <w:pStyle w:val="Normal6"/>
      </w:pPr>
      <w:r>
        <w:t xml:space="preserve">Za aktivnosti na području međunarodne suradnje u 2014. godini izdvojiti će se iznos od 590.000,00 kuna što predstavlja udio od 2,06% ukupnog proračuna Ustavnog suda. </w:t>
      </w:r>
    </w:p>
    <w:p w:rsidR="00D849AA" w:rsidRDefault="00EE6D95">
      <w:pPr>
        <w:pStyle w:val="Normal6"/>
      </w:pPr>
      <w:r>
        <w:t xml:space="preserve">Unutar ove aktivnosti planira se sljedeće: </w:t>
      </w:r>
    </w:p>
    <w:p w:rsidR="00D849AA" w:rsidRDefault="00EE6D95">
      <w:pPr>
        <w:pStyle w:val="Normal6"/>
      </w:pPr>
      <w:r>
        <w:t xml:space="preserve">- aktivno sudjelovanje u radu Komisije za demokraciju putem prava (Venecijanske </w:t>
      </w:r>
    </w:p>
    <w:p w:rsidR="00D849AA" w:rsidRDefault="00EE6D95">
      <w:pPr>
        <w:pStyle w:val="Normal6"/>
      </w:pPr>
      <w:r>
        <w:t xml:space="preserve">komisije) Vijeća Europe čiji je USRH punopravni član od 1996. godine i sudjeluje na radnim sastancima na kojima se raspravljaju problemi ustavnog sudovanja u zemljama članicama, te priprema redovita izvješća i članke o hrvatskom ustavnom sudovanju i ustavnosudskoj praksi za Bulletin on Constitutional Case-Law, službenu publikaciju Venecijanske komisije; </w:t>
      </w:r>
    </w:p>
    <w:p w:rsidR="00D849AA" w:rsidRDefault="00EE6D95">
      <w:pPr>
        <w:pStyle w:val="Normal6"/>
      </w:pPr>
      <w:r>
        <w:t xml:space="preserve">- aktivno sudjelovanje u radu sukladno članstvima u Konferenciji europskih i Konferenciji svjetskih ustavnih sudova; </w:t>
      </w:r>
    </w:p>
    <w:p w:rsidR="00D849AA" w:rsidRDefault="00EE6D95">
      <w:pPr>
        <w:pStyle w:val="Normal6"/>
      </w:pPr>
      <w:r>
        <w:lastRenderedPageBreak/>
        <w:t xml:space="preserve">- redovito održavanje bilateralnih i multilateralnih radnih susreta s ustavnim sudovima drugih država i to u ulozi domaćina ili gosta, a u svrhu suradnje i razmjene iskustava što je temelj razvitka moderne ustavnosudske prakse; </w:t>
      </w:r>
    </w:p>
    <w:p w:rsidR="00D849AA" w:rsidRDefault="00EE6D95">
      <w:pPr>
        <w:pStyle w:val="Normal6"/>
      </w:pPr>
      <w:r>
        <w:t xml:space="preserve">- pomoć zemljama u razvoju koje se nalaze na popisu Odbora za razvojnu pomoć OECD-a (Crna gora, Srbija, Bosna i Hercegovina i Makedonija), ali i Kosovo i Tunis, s obzirom da je Republika Hrvatska poprimila obilježje zemlje donatora ulaskom u Europsku uniju; </w:t>
      </w:r>
    </w:p>
    <w:p w:rsidR="00D849AA" w:rsidRDefault="00EE6D95">
      <w:pPr>
        <w:pStyle w:val="Normal6"/>
      </w:pPr>
      <w:r>
        <w:t>- periodični radni posjeti Ustavnog suda Republike Hrvatske Europskom sudu za ljudska prava u Strasbourgu s obzirom da je ratifikacijom Konvencije za zaštitu ljudskih prava i temeljnih sloboda ona postala dio unutarnjeg pravnog poretka Republike Hrvatske 1997. godine, čime je ujedno prihvaćena jurisdikcija navedenog suda za odlučivanje o zahtjevima protiv Republike Hrvatske zbog povrede prava zajamčenih Konvencijom.</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E85C61" w:rsidRDefault="00EE6D95">
            <w:pPr>
              <w:rPr>
                <w:rFonts w:ascii="Arial" w:hAnsi="Arial" w:cs="Arial"/>
              </w:rPr>
            </w:pPr>
            <w:r w:rsidRPr="00E85C61">
              <w:rPr>
                <w:rFonts w:ascii="Arial" w:hAnsi="Arial" w:cs="Arial"/>
              </w:rPr>
              <w:t>Pokazatelj rezultata</w:t>
            </w:r>
          </w:p>
        </w:tc>
        <w:tc>
          <w:tcPr>
            <w:tcW w:w="1114" w:type="dxa"/>
            <w:shd w:val="clear" w:color="auto" w:fill="B5C0D8"/>
          </w:tcPr>
          <w:p w:rsidR="00D849AA" w:rsidRPr="00E85C61" w:rsidRDefault="00EE6D95">
            <w:pPr>
              <w:pStyle w:val="CellHeader"/>
            </w:pPr>
            <w:r w:rsidRPr="00E85C61">
              <w:t>Jedinica</w:t>
            </w:r>
          </w:p>
        </w:tc>
        <w:tc>
          <w:tcPr>
            <w:tcW w:w="1114" w:type="dxa"/>
            <w:shd w:val="clear" w:color="auto" w:fill="B5C0D8"/>
          </w:tcPr>
          <w:p w:rsidR="00D849AA" w:rsidRPr="00E85C61" w:rsidRDefault="00EE6D95">
            <w:pPr>
              <w:pStyle w:val="CellHeader"/>
            </w:pPr>
            <w:r w:rsidRPr="00E85C61">
              <w:t>Polazna vrijednost</w:t>
            </w:r>
          </w:p>
        </w:tc>
        <w:tc>
          <w:tcPr>
            <w:tcW w:w="1486" w:type="dxa"/>
            <w:shd w:val="clear" w:color="auto" w:fill="B5C0D8"/>
          </w:tcPr>
          <w:p w:rsidR="00D849AA" w:rsidRPr="00E85C61" w:rsidRDefault="00EE6D95">
            <w:pPr>
              <w:pStyle w:val="CellHeader"/>
            </w:pPr>
            <w:r w:rsidRPr="00E85C61">
              <w:t>Ciljana vrijednost (2014.)</w:t>
            </w:r>
          </w:p>
        </w:tc>
        <w:tc>
          <w:tcPr>
            <w:tcW w:w="1486" w:type="dxa"/>
            <w:shd w:val="clear" w:color="auto" w:fill="B5C0D8"/>
          </w:tcPr>
          <w:p w:rsidR="00D849AA" w:rsidRPr="00E85C61" w:rsidRDefault="00EE6D95">
            <w:pPr>
              <w:pStyle w:val="CellHeader"/>
            </w:pPr>
            <w:r w:rsidRPr="00E85C61">
              <w:t>Ciljana vrijednost (2015.)</w:t>
            </w:r>
          </w:p>
        </w:tc>
        <w:tc>
          <w:tcPr>
            <w:tcW w:w="1486" w:type="dxa"/>
            <w:shd w:val="clear" w:color="auto" w:fill="B5C0D8"/>
          </w:tcPr>
          <w:p w:rsidR="00D849AA" w:rsidRPr="00E85C61" w:rsidRDefault="00EE6D95">
            <w:pPr>
              <w:pStyle w:val="CellHeader"/>
            </w:pPr>
            <w:r w:rsidRPr="00E85C61">
              <w:t>Ciljana vrijednost (2016.)</w:t>
            </w:r>
          </w:p>
        </w:tc>
      </w:tr>
      <w:tr w:rsidR="00D849AA">
        <w:trPr>
          <w:jc w:val="center"/>
        </w:trPr>
        <w:tc>
          <w:tcPr>
            <w:tcW w:w="2229" w:type="dxa"/>
          </w:tcPr>
          <w:p w:rsidR="00D849AA" w:rsidRPr="00E85C61" w:rsidRDefault="00EE6D95">
            <w:pPr>
              <w:pStyle w:val="CellColumn"/>
            </w:pPr>
            <w:r w:rsidRPr="00E85C61">
              <w:t>Broj sastanaka Venecijanske komisije na kojima su sudjelovali predstavnici Ustavnog suda</w:t>
            </w:r>
          </w:p>
        </w:tc>
        <w:tc>
          <w:tcPr>
            <w:tcW w:w="1114" w:type="dxa"/>
          </w:tcPr>
          <w:p w:rsidR="00D849AA" w:rsidRPr="00E85C61" w:rsidRDefault="00EE6D95">
            <w:pPr>
              <w:rPr>
                <w:rFonts w:ascii="Arial" w:hAnsi="Arial" w:cs="Arial"/>
              </w:rPr>
            </w:pPr>
            <w:r w:rsidRPr="00E85C61">
              <w:rPr>
                <w:rFonts w:ascii="Arial" w:hAnsi="Arial" w:cs="Arial"/>
              </w:rPr>
              <w:t>broj</w:t>
            </w:r>
          </w:p>
        </w:tc>
        <w:tc>
          <w:tcPr>
            <w:tcW w:w="1114" w:type="dxa"/>
          </w:tcPr>
          <w:p w:rsidR="00D849AA" w:rsidRPr="00E85C61" w:rsidRDefault="00EE6D95">
            <w:pPr>
              <w:rPr>
                <w:rFonts w:ascii="Arial" w:hAnsi="Arial" w:cs="Arial"/>
              </w:rPr>
            </w:pPr>
            <w:r w:rsidRPr="00E85C61">
              <w:rPr>
                <w:rFonts w:ascii="Arial" w:hAnsi="Arial" w:cs="Arial"/>
              </w:rPr>
              <w:t>3</w:t>
            </w:r>
          </w:p>
        </w:tc>
        <w:tc>
          <w:tcPr>
            <w:tcW w:w="1486" w:type="dxa"/>
          </w:tcPr>
          <w:p w:rsidR="00D849AA" w:rsidRPr="00E85C61" w:rsidRDefault="00EE6D95">
            <w:pPr>
              <w:rPr>
                <w:rFonts w:ascii="Arial" w:hAnsi="Arial" w:cs="Arial"/>
              </w:rPr>
            </w:pPr>
            <w:r w:rsidRPr="00E85C61">
              <w:rPr>
                <w:rFonts w:ascii="Arial" w:hAnsi="Arial" w:cs="Arial"/>
              </w:rPr>
              <w:t>15</w:t>
            </w:r>
          </w:p>
        </w:tc>
        <w:tc>
          <w:tcPr>
            <w:tcW w:w="1486" w:type="dxa"/>
          </w:tcPr>
          <w:p w:rsidR="00D849AA" w:rsidRPr="00E85C61" w:rsidRDefault="00EE6D95">
            <w:pPr>
              <w:rPr>
                <w:rFonts w:ascii="Arial" w:hAnsi="Arial" w:cs="Arial"/>
              </w:rPr>
            </w:pPr>
            <w:r w:rsidRPr="00E85C61">
              <w:rPr>
                <w:rFonts w:ascii="Arial" w:hAnsi="Arial" w:cs="Arial"/>
              </w:rPr>
              <w:t>17</w:t>
            </w:r>
          </w:p>
        </w:tc>
        <w:tc>
          <w:tcPr>
            <w:tcW w:w="1486" w:type="dxa"/>
          </w:tcPr>
          <w:p w:rsidR="00D849AA" w:rsidRPr="00E85C61" w:rsidRDefault="00EE6D95">
            <w:pPr>
              <w:rPr>
                <w:rFonts w:ascii="Arial" w:hAnsi="Arial" w:cs="Arial"/>
              </w:rPr>
            </w:pPr>
            <w:r w:rsidRPr="00E85C61">
              <w:rPr>
                <w:rFonts w:ascii="Arial" w:hAnsi="Arial" w:cs="Arial"/>
              </w:rPr>
              <w:t>19</w:t>
            </w:r>
          </w:p>
        </w:tc>
      </w:tr>
      <w:tr w:rsidR="00D849AA">
        <w:trPr>
          <w:jc w:val="center"/>
        </w:trPr>
        <w:tc>
          <w:tcPr>
            <w:tcW w:w="2229" w:type="dxa"/>
          </w:tcPr>
          <w:p w:rsidR="00D849AA" w:rsidRPr="00E85C61" w:rsidRDefault="00EE6D95">
            <w:pPr>
              <w:pStyle w:val="CellColumn"/>
            </w:pPr>
            <w:r w:rsidRPr="00E85C61">
              <w:t>Broj izlaganja predstavnika Ustavnog suda na znanstvenim i stručnim međunarodnim skupovima u zemlji i inozemstvu</w:t>
            </w:r>
          </w:p>
        </w:tc>
        <w:tc>
          <w:tcPr>
            <w:tcW w:w="1114" w:type="dxa"/>
          </w:tcPr>
          <w:p w:rsidR="00D849AA" w:rsidRPr="00E85C61" w:rsidRDefault="00EE6D95">
            <w:pPr>
              <w:rPr>
                <w:rFonts w:ascii="Arial" w:hAnsi="Arial" w:cs="Arial"/>
              </w:rPr>
            </w:pPr>
            <w:r w:rsidRPr="00E85C61">
              <w:rPr>
                <w:rFonts w:ascii="Arial" w:hAnsi="Arial" w:cs="Arial"/>
              </w:rPr>
              <w:t>broj</w:t>
            </w:r>
          </w:p>
        </w:tc>
        <w:tc>
          <w:tcPr>
            <w:tcW w:w="1114" w:type="dxa"/>
          </w:tcPr>
          <w:p w:rsidR="00D849AA" w:rsidRPr="00E85C61" w:rsidRDefault="00EE6D95">
            <w:pPr>
              <w:rPr>
                <w:rFonts w:ascii="Arial" w:hAnsi="Arial" w:cs="Arial"/>
              </w:rPr>
            </w:pPr>
            <w:r w:rsidRPr="00E85C61">
              <w:rPr>
                <w:rFonts w:ascii="Arial" w:hAnsi="Arial" w:cs="Arial"/>
              </w:rPr>
              <w:t>3</w:t>
            </w:r>
          </w:p>
        </w:tc>
        <w:tc>
          <w:tcPr>
            <w:tcW w:w="1486" w:type="dxa"/>
          </w:tcPr>
          <w:p w:rsidR="00D849AA" w:rsidRPr="00E85C61" w:rsidRDefault="00EE6D95">
            <w:pPr>
              <w:rPr>
                <w:rFonts w:ascii="Arial" w:hAnsi="Arial" w:cs="Arial"/>
              </w:rPr>
            </w:pPr>
            <w:r w:rsidRPr="00E85C61">
              <w:rPr>
                <w:rFonts w:ascii="Arial" w:hAnsi="Arial" w:cs="Arial"/>
              </w:rPr>
              <w:t>30</w:t>
            </w:r>
          </w:p>
        </w:tc>
        <w:tc>
          <w:tcPr>
            <w:tcW w:w="1486" w:type="dxa"/>
          </w:tcPr>
          <w:p w:rsidR="00D849AA" w:rsidRPr="00E85C61" w:rsidRDefault="00EE6D95">
            <w:pPr>
              <w:rPr>
                <w:rFonts w:ascii="Arial" w:hAnsi="Arial" w:cs="Arial"/>
              </w:rPr>
            </w:pPr>
            <w:r w:rsidRPr="00E85C61">
              <w:rPr>
                <w:rFonts w:ascii="Arial" w:hAnsi="Arial" w:cs="Arial"/>
              </w:rPr>
              <w:t>35</w:t>
            </w:r>
          </w:p>
        </w:tc>
        <w:tc>
          <w:tcPr>
            <w:tcW w:w="1486" w:type="dxa"/>
          </w:tcPr>
          <w:p w:rsidR="00D849AA" w:rsidRPr="00E85C61" w:rsidRDefault="00EE6D95">
            <w:pPr>
              <w:rPr>
                <w:rFonts w:ascii="Arial" w:hAnsi="Arial" w:cs="Arial"/>
              </w:rPr>
            </w:pPr>
            <w:r w:rsidRPr="00E85C61">
              <w:rPr>
                <w:rFonts w:ascii="Arial" w:hAnsi="Arial" w:cs="Arial"/>
              </w:rPr>
              <w:t>40</w:t>
            </w:r>
          </w:p>
        </w:tc>
      </w:tr>
      <w:tr w:rsidR="00D849AA">
        <w:trPr>
          <w:jc w:val="center"/>
        </w:trPr>
        <w:tc>
          <w:tcPr>
            <w:tcW w:w="2229" w:type="dxa"/>
          </w:tcPr>
          <w:p w:rsidR="00D849AA" w:rsidRPr="00E85C61" w:rsidRDefault="00EE6D95">
            <w:pPr>
              <w:pStyle w:val="CellColumn"/>
            </w:pPr>
            <w:r w:rsidRPr="00E85C61">
              <w:t>Broj bilateralnih i multilateralnih radnih susreta s ustavnim sudovima drugih država</w:t>
            </w:r>
          </w:p>
        </w:tc>
        <w:tc>
          <w:tcPr>
            <w:tcW w:w="1114" w:type="dxa"/>
          </w:tcPr>
          <w:p w:rsidR="00D849AA" w:rsidRPr="00E85C61" w:rsidRDefault="00EE6D95">
            <w:pPr>
              <w:rPr>
                <w:rFonts w:ascii="Arial" w:hAnsi="Arial" w:cs="Arial"/>
              </w:rPr>
            </w:pPr>
            <w:r w:rsidRPr="00E85C61">
              <w:rPr>
                <w:rFonts w:ascii="Arial" w:hAnsi="Arial" w:cs="Arial"/>
              </w:rPr>
              <w:t>broj</w:t>
            </w:r>
          </w:p>
        </w:tc>
        <w:tc>
          <w:tcPr>
            <w:tcW w:w="1114" w:type="dxa"/>
          </w:tcPr>
          <w:p w:rsidR="00D849AA" w:rsidRPr="00E85C61" w:rsidRDefault="00EE6D95">
            <w:pPr>
              <w:rPr>
                <w:rFonts w:ascii="Arial" w:hAnsi="Arial" w:cs="Arial"/>
              </w:rPr>
            </w:pPr>
            <w:r w:rsidRPr="00E85C61">
              <w:rPr>
                <w:rFonts w:ascii="Arial" w:hAnsi="Arial" w:cs="Arial"/>
              </w:rPr>
              <w:t>4</w:t>
            </w:r>
          </w:p>
        </w:tc>
        <w:tc>
          <w:tcPr>
            <w:tcW w:w="1486" w:type="dxa"/>
          </w:tcPr>
          <w:p w:rsidR="00D849AA" w:rsidRPr="00E85C61" w:rsidRDefault="00EE6D95">
            <w:pPr>
              <w:rPr>
                <w:rFonts w:ascii="Arial" w:hAnsi="Arial" w:cs="Arial"/>
              </w:rPr>
            </w:pPr>
            <w:r w:rsidRPr="00E85C61">
              <w:rPr>
                <w:rFonts w:ascii="Arial" w:hAnsi="Arial" w:cs="Arial"/>
              </w:rPr>
              <w:t>25</w:t>
            </w:r>
          </w:p>
        </w:tc>
        <w:tc>
          <w:tcPr>
            <w:tcW w:w="1486" w:type="dxa"/>
          </w:tcPr>
          <w:p w:rsidR="00D849AA" w:rsidRPr="00E85C61" w:rsidRDefault="00EE6D95">
            <w:pPr>
              <w:rPr>
                <w:rFonts w:ascii="Arial" w:hAnsi="Arial" w:cs="Arial"/>
              </w:rPr>
            </w:pPr>
            <w:r w:rsidRPr="00E85C61">
              <w:rPr>
                <w:rFonts w:ascii="Arial" w:hAnsi="Arial" w:cs="Arial"/>
              </w:rPr>
              <w:t>30</w:t>
            </w:r>
          </w:p>
        </w:tc>
        <w:tc>
          <w:tcPr>
            <w:tcW w:w="1486" w:type="dxa"/>
          </w:tcPr>
          <w:p w:rsidR="00D849AA" w:rsidRPr="00E85C61" w:rsidRDefault="00EE6D95">
            <w:pPr>
              <w:rPr>
                <w:rFonts w:ascii="Arial" w:hAnsi="Arial" w:cs="Arial"/>
              </w:rPr>
            </w:pPr>
            <w:r w:rsidRPr="00E85C61">
              <w:rPr>
                <w:rFonts w:ascii="Arial" w:hAnsi="Arial" w:cs="Arial"/>
              </w:rPr>
              <w:t>35</w:t>
            </w:r>
          </w:p>
        </w:tc>
      </w:tr>
    </w:tbl>
    <w:p w:rsidR="00D849AA" w:rsidRDefault="00D849AA">
      <w:pPr>
        <w:jc w:val="left"/>
      </w:pPr>
    </w:p>
    <w:p w:rsidR="00D849AA" w:rsidRDefault="00EE6D95">
      <w:pPr>
        <w:pStyle w:val="Naslov6"/>
      </w:pPr>
      <w:r>
        <w:t>A506039 OTVARANJE USTAVNOG SUDA JAVNOSTI</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E85C61" w:rsidRDefault="00EE6D95">
            <w:pPr>
              <w:pStyle w:val="CellHeader"/>
            </w:pPr>
            <w:r w:rsidRPr="00E85C61">
              <w:t>Naziv aktivnosti</w:t>
            </w:r>
          </w:p>
        </w:tc>
        <w:tc>
          <w:tcPr>
            <w:tcW w:w="1486" w:type="dxa"/>
            <w:shd w:val="clear" w:color="auto" w:fill="B5C0D8"/>
          </w:tcPr>
          <w:p w:rsidR="00D849AA" w:rsidRPr="00E85C61" w:rsidRDefault="00EE6D95">
            <w:pPr>
              <w:pStyle w:val="CellHeader"/>
            </w:pPr>
            <w:r w:rsidRPr="00E85C61">
              <w:t>Plan 2013.</w:t>
            </w:r>
          </w:p>
        </w:tc>
        <w:tc>
          <w:tcPr>
            <w:tcW w:w="1486" w:type="dxa"/>
            <w:shd w:val="clear" w:color="auto" w:fill="B5C0D8"/>
          </w:tcPr>
          <w:p w:rsidR="00D849AA" w:rsidRPr="00E85C61" w:rsidRDefault="00EE6D95">
            <w:pPr>
              <w:pStyle w:val="CellHeader"/>
            </w:pPr>
            <w:r w:rsidRPr="00E85C61">
              <w:t>Plan 2014.</w:t>
            </w:r>
          </w:p>
        </w:tc>
        <w:tc>
          <w:tcPr>
            <w:tcW w:w="1486" w:type="dxa"/>
            <w:shd w:val="clear" w:color="auto" w:fill="B5C0D8"/>
          </w:tcPr>
          <w:p w:rsidR="00D849AA" w:rsidRPr="00E85C61" w:rsidRDefault="00EE6D95">
            <w:pPr>
              <w:pStyle w:val="CellHeader"/>
            </w:pPr>
            <w:r w:rsidRPr="00E85C61">
              <w:t>Plan 2015.</w:t>
            </w:r>
          </w:p>
        </w:tc>
        <w:tc>
          <w:tcPr>
            <w:tcW w:w="1486" w:type="dxa"/>
            <w:shd w:val="clear" w:color="auto" w:fill="B5C0D8"/>
          </w:tcPr>
          <w:p w:rsidR="00D849AA" w:rsidRPr="00E85C61" w:rsidRDefault="00EE6D95">
            <w:pPr>
              <w:pStyle w:val="CellHeader"/>
            </w:pPr>
            <w:r w:rsidRPr="00E85C61">
              <w:t>Plan 2016.</w:t>
            </w:r>
          </w:p>
        </w:tc>
        <w:tc>
          <w:tcPr>
            <w:tcW w:w="1486" w:type="dxa"/>
            <w:shd w:val="clear" w:color="auto" w:fill="B5C0D8"/>
          </w:tcPr>
          <w:p w:rsidR="00D849AA" w:rsidRPr="00E85C61" w:rsidRDefault="00EE6D95">
            <w:pPr>
              <w:pStyle w:val="CellHeader"/>
            </w:pPr>
            <w:r w:rsidRPr="00E85C61">
              <w:t>Indeks 2014/2013</w:t>
            </w:r>
          </w:p>
        </w:tc>
      </w:tr>
      <w:tr w:rsidR="00D849AA">
        <w:trPr>
          <w:jc w:val="center"/>
        </w:trPr>
        <w:tc>
          <w:tcPr>
            <w:tcW w:w="1486" w:type="dxa"/>
          </w:tcPr>
          <w:p w:rsidR="00D849AA" w:rsidRPr="00E85C61" w:rsidRDefault="00EE6D95">
            <w:pPr>
              <w:pStyle w:val="CellColumn"/>
            </w:pPr>
            <w:r w:rsidRPr="00E85C61">
              <w:t>A506039</w:t>
            </w:r>
          </w:p>
        </w:tc>
        <w:tc>
          <w:tcPr>
            <w:tcW w:w="1486" w:type="dxa"/>
          </w:tcPr>
          <w:p w:rsidR="00D849AA" w:rsidRPr="00E85C61" w:rsidRDefault="00EE6D95">
            <w:pPr>
              <w:rPr>
                <w:rFonts w:ascii="Arial" w:hAnsi="Arial" w:cs="Arial"/>
              </w:rPr>
            </w:pPr>
            <w:r w:rsidRPr="00E85C61">
              <w:rPr>
                <w:rFonts w:ascii="Arial" w:hAnsi="Arial" w:cs="Arial"/>
              </w:rPr>
              <w:t>450.000</w:t>
            </w:r>
          </w:p>
        </w:tc>
        <w:tc>
          <w:tcPr>
            <w:tcW w:w="1486" w:type="dxa"/>
          </w:tcPr>
          <w:p w:rsidR="00D849AA" w:rsidRPr="00E85C61" w:rsidRDefault="00EE6D95">
            <w:pPr>
              <w:rPr>
                <w:rFonts w:ascii="Arial" w:hAnsi="Arial" w:cs="Arial"/>
              </w:rPr>
            </w:pPr>
            <w:r w:rsidRPr="00E85C61">
              <w:rPr>
                <w:rFonts w:ascii="Arial" w:hAnsi="Arial" w:cs="Arial"/>
              </w:rPr>
              <w:t>177.000</w:t>
            </w:r>
          </w:p>
        </w:tc>
        <w:tc>
          <w:tcPr>
            <w:tcW w:w="1486" w:type="dxa"/>
          </w:tcPr>
          <w:p w:rsidR="00D849AA" w:rsidRPr="00E85C61" w:rsidRDefault="00EE6D95">
            <w:pPr>
              <w:rPr>
                <w:rFonts w:ascii="Arial" w:hAnsi="Arial" w:cs="Arial"/>
              </w:rPr>
            </w:pPr>
            <w:r w:rsidRPr="00E85C61">
              <w:rPr>
                <w:rFonts w:ascii="Arial" w:hAnsi="Arial" w:cs="Arial"/>
              </w:rPr>
              <w:t>377.000</w:t>
            </w:r>
          </w:p>
        </w:tc>
        <w:tc>
          <w:tcPr>
            <w:tcW w:w="1486" w:type="dxa"/>
          </w:tcPr>
          <w:p w:rsidR="00D849AA" w:rsidRPr="00E85C61" w:rsidRDefault="00EE6D95">
            <w:pPr>
              <w:rPr>
                <w:rFonts w:ascii="Arial" w:hAnsi="Arial" w:cs="Arial"/>
              </w:rPr>
            </w:pPr>
            <w:r w:rsidRPr="00E85C61">
              <w:rPr>
                <w:rFonts w:ascii="Arial" w:hAnsi="Arial" w:cs="Arial"/>
              </w:rPr>
              <w:t>377.000</w:t>
            </w:r>
          </w:p>
        </w:tc>
        <w:tc>
          <w:tcPr>
            <w:tcW w:w="1486" w:type="dxa"/>
          </w:tcPr>
          <w:p w:rsidR="00D849AA" w:rsidRPr="00E85C61" w:rsidRDefault="00EE6D95">
            <w:pPr>
              <w:rPr>
                <w:rFonts w:ascii="Arial" w:hAnsi="Arial" w:cs="Arial"/>
              </w:rPr>
            </w:pPr>
            <w:r w:rsidRPr="00E85C61">
              <w:rPr>
                <w:rFonts w:ascii="Arial" w:hAnsi="Arial" w:cs="Arial"/>
              </w:rPr>
              <w:t>39,3</w:t>
            </w:r>
          </w:p>
        </w:tc>
      </w:tr>
    </w:tbl>
    <w:p w:rsidR="00D849AA" w:rsidRDefault="00D849AA">
      <w:pPr>
        <w:jc w:val="left"/>
      </w:pPr>
    </w:p>
    <w:p w:rsidR="00D849AA" w:rsidRDefault="00EE6D95">
      <w:pPr>
        <w:pStyle w:val="Normal6"/>
      </w:pPr>
      <w:r>
        <w:t xml:space="preserve">Za ovu aktivnost u 2014. godini planirano je 177.000,00 kuna, što sudjeluje sa 0,62% u ukupnom proračunu Suda.  </w:t>
      </w:r>
    </w:p>
    <w:p w:rsidR="00D849AA" w:rsidRDefault="00EE6D95">
      <w:pPr>
        <w:pStyle w:val="Normal6"/>
      </w:pPr>
      <w:r>
        <w:t xml:space="preserve">Materijalni troškovi planirani u okviru ove aktivnosti obuhvaćaju usluge prijevoda odluka Ustavnog suda RH. Usluge prijevoda su neophodne zbog dostupnosti sistematizirane i objavljene ustavnosudske prakse u Zborniku Ustavnog suda i na službenoj internetskoj stranici. Sve važne informacije prevode se na engleski jezik, a jednako tako prevode se sa </w:t>
      </w:r>
      <w:r>
        <w:lastRenderedPageBreak/>
        <w:t>stranih jezika i objavljuju na internetskoj stranici važni materijali Europskog suda za ljudska prava u Strasbourgu, Europskog suda pravde u Luxembourgu i drugih relevantnih stranih institucija.</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E85C61" w:rsidRDefault="00EE6D95">
            <w:pPr>
              <w:rPr>
                <w:rFonts w:ascii="Arial" w:hAnsi="Arial" w:cs="Arial"/>
              </w:rPr>
            </w:pPr>
            <w:r w:rsidRPr="00E85C61">
              <w:rPr>
                <w:rFonts w:ascii="Arial" w:hAnsi="Arial" w:cs="Arial"/>
              </w:rPr>
              <w:t>Pokazatelj rezultata</w:t>
            </w:r>
          </w:p>
        </w:tc>
        <w:tc>
          <w:tcPr>
            <w:tcW w:w="1114" w:type="dxa"/>
            <w:shd w:val="clear" w:color="auto" w:fill="B5C0D8"/>
          </w:tcPr>
          <w:p w:rsidR="00D849AA" w:rsidRPr="00E85C61" w:rsidRDefault="00EE6D95">
            <w:pPr>
              <w:pStyle w:val="CellHeader"/>
            </w:pPr>
            <w:r w:rsidRPr="00E85C61">
              <w:t>Jedinica</w:t>
            </w:r>
          </w:p>
        </w:tc>
        <w:tc>
          <w:tcPr>
            <w:tcW w:w="1114" w:type="dxa"/>
            <w:shd w:val="clear" w:color="auto" w:fill="B5C0D8"/>
          </w:tcPr>
          <w:p w:rsidR="00D849AA" w:rsidRPr="00E85C61" w:rsidRDefault="00EE6D95">
            <w:pPr>
              <w:pStyle w:val="CellHeader"/>
            </w:pPr>
            <w:r w:rsidRPr="00E85C61">
              <w:t>Polazna vrijednost</w:t>
            </w:r>
          </w:p>
        </w:tc>
        <w:tc>
          <w:tcPr>
            <w:tcW w:w="1486" w:type="dxa"/>
            <w:shd w:val="clear" w:color="auto" w:fill="B5C0D8"/>
          </w:tcPr>
          <w:p w:rsidR="00D849AA" w:rsidRPr="00E85C61" w:rsidRDefault="00EE6D95">
            <w:pPr>
              <w:pStyle w:val="CellHeader"/>
            </w:pPr>
            <w:r w:rsidRPr="00E85C61">
              <w:t>Ciljana vrijednost (2014.)</w:t>
            </w:r>
          </w:p>
        </w:tc>
        <w:tc>
          <w:tcPr>
            <w:tcW w:w="1486" w:type="dxa"/>
            <w:shd w:val="clear" w:color="auto" w:fill="B5C0D8"/>
          </w:tcPr>
          <w:p w:rsidR="00D849AA" w:rsidRPr="00E85C61" w:rsidRDefault="00EE6D95">
            <w:pPr>
              <w:pStyle w:val="CellHeader"/>
            </w:pPr>
            <w:r w:rsidRPr="00E85C61">
              <w:t>Ciljana vrijednost (2015.)</w:t>
            </w:r>
          </w:p>
        </w:tc>
        <w:tc>
          <w:tcPr>
            <w:tcW w:w="1486" w:type="dxa"/>
            <w:shd w:val="clear" w:color="auto" w:fill="B5C0D8"/>
          </w:tcPr>
          <w:p w:rsidR="00D849AA" w:rsidRPr="00E85C61" w:rsidRDefault="00EE6D95">
            <w:pPr>
              <w:pStyle w:val="CellHeader"/>
            </w:pPr>
            <w:r w:rsidRPr="00E85C61">
              <w:t>Ciljana vrijednost (2016.)</w:t>
            </w:r>
          </w:p>
        </w:tc>
      </w:tr>
      <w:tr w:rsidR="00D849AA">
        <w:trPr>
          <w:jc w:val="center"/>
        </w:trPr>
        <w:tc>
          <w:tcPr>
            <w:tcW w:w="2229" w:type="dxa"/>
          </w:tcPr>
          <w:p w:rsidR="00D849AA" w:rsidRPr="00E85C61" w:rsidRDefault="00EE6D95">
            <w:pPr>
              <w:pStyle w:val="CellColumn"/>
            </w:pPr>
            <w:r w:rsidRPr="00E85C61">
              <w:t>Broj održanih konferencija, intervjua i predavanja</w:t>
            </w:r>
          </w:p>
        </w:tc>
        <w:tc>
          <w:tcPr>
            <w:tcW w:w="1114" w:type="dxa"/>
          </w:tcPr>
          <w:p w:rsidR="00D849AA" w:rsidRPr="00E85C61" w:rsidRDefault="00EE6D95">
            <w:pPr>
              <w:rPr>
                <w:rFonts w:ascii="Arial" w:hAnsi="Arial" w:cs="Arial"/>
              </w:rPr>
            </w:pPr>
            <w:r w:rsidRPr="00E85C61">
              <w:rPr>
                <w:rFonts w:ascii="Arial" w:hAnsi="Arial" w:cs="Arial"/>
              </w:rPr>
              <w:t>broj</w:t>
            </w:r>
          </w:p>
        </w:tc>
        <w:tc>
          <w:tcPr>
            <w:tcW w:w="1114" w:type="dxa"/>
          </w:tcPr>
          <w:p w:rsidR="00D849AA" w:rsidRPr="00E85C61" w:rsidRDefault="00EE6D95">
            <w:pPr>
              <w:rPr>
                <w:rFonts w:ascii="Arial" w:hAnsi="Arial" w:cs="Arial"/>
              </w:rPr>
            </w:pPr>
            <w:r w:rsidRPr="00E85C61">
              <w:rPr>
                <w:rFonts w:ascii="Arial" w:hAnsi="Arial" w:cs="Arial"/>
              </w:rPr>
              <w:t>6</w:t>
            </w:r>
          </w:p>
        </w:tc>
        <w:tc>
          <w:tcPr>
            <w:tcW w:w="1486" w:type="dxa"/>
          </w:tcPr>
          <w:p w:rsidR="00D849AA" w:rsidRPr="00E85C61" w:rsidRDefault="00EE6D95">
            <w:pPr>
              <w:rPr>
                <w:rFonts w:ascii="Arial" w:hAnsi="Arial" w:cs="Arial"/>
              </w:rPr>
            </w:pPr>
            <w:r w:rsidRPr="00E85C61">
              <w:rPr>
                <w:rFonts w:ascii="Arial" w:hAnsi="Arial" w:cs="Arial"/>
              </w:rPr>
              <w:t>25</w:t>
            </w:r>
          </w:p>
        </w:tc>
        <w:tc>
          <w:tcPr>
            <w:tcW w:w="1486" w:type="dxa"/>
          </w:tcPr>
          <w:p w:rsidR="00D849AA" w:rsidRPr="00E85C61" w:rsidRDefault="00EE6D95">
            <w:pPr>
              <w:rPr>
                <w:rFonts w:ascii="Arial" w:hAnsi="Arial" w:cs="Arial"/>
              </w:rPr>
            </w:pPr>
            <w:r w:rsidRPr="00E85C61">
              <w:rPr>
                <w:rFonts w:ascii="Arial" w:hAnsi="Arial" w:cs="Arial"/>
              </w:rPr>
              <w:t>30</w:t>
            </w:r>
          </w:p>
        </w:tc>
        <w:tc>
          <w:tcPr>
            <w:tcW w:w="1486" w:type="dxa"/>
          </w:tcPr>
          <w:p w:rsidR="00D849AA" w:rsidRPr="00E85C61" w:rsidRDefault="00EE6D95">
            <w:pPr>
              <w:rPr>
                <w:rFonts w:ascii="Arial" w:hAnsi="Arial" w:cs="Arial"/>
              </w:rPr>
            </w:pPr>
            <w:r w:rsidRPr="00E85C61">
              <w:rPr>
                <w:rFonts w:ascii="Arial" w:hAnsi="Arial" w:cs="Arial"/>
              </w:rPr>
              <w:t>32</w:t>
            </w:r>
          </w:p>
        </w:tc>
      </w:tr>
      <w:tr w:rsidR="00D849AA">
        <w:trPr>
          <w:jc w:val="center"/>
        </w:trPr>
        <w:tc>
          <w:tcPr>
            <w:tcW w:w="2229" w:type="dxa"/>
          </w:tcPr>
          <w:p w:rsidR="00D849AA" w:rsidRPr="00E85C61" w:rsidRDefault="00EE6D95">
            <w:pPr>
              <w:pStyle w:val="CellColumn"/>
            </w:pPr>
            <w:r w:rsidRPr="00E85C61">
              <w:t>Broj posjeta službenim web-internetskim stranicama u zemlji i inozemstvu</w:t>
            </w:r>
          </w:p>
        </w:tc>
        <w:tc>
          <w:tcPr>
            <w:tcW w:w="1114" w:type="dxa"/>
          </w:tcPr>
          <w:p w:rsidR="00D849AA" w:rsidRPr="00E85C61" w:rsidRDefault="00EE6D95">
            <w:pPr>
              <w:rPr>
                <w:rFonts w:ascii="Arial" w:hAnsi="Arial" w:cs="Arial"/>
              </w:rPr>
            </w:pPr>
            <w:r w:rsidRPr="00E85C61">
              <w:rPr>
                <w:rFonts w:ascii="Arial" w:hAnsi="Arial" w:cs="Arial"/>
              </w:rPr>
              <w:t>broj</w:t>
            </w:r>
          </w:p>
        </w:tc>
        <w:tc>
          <w:tcPr>
            <w:tcW w:w="1114" w:type="dxa"/>
          </w:tcPr>
          <w:p w:rsidR="00D849AA" w:rsidRPr="00E85C61" w:rsidRDefault="00EE6D95">
            <w:pPr>
              <w:rPr>
                <w:rFonts w:ascii="Arial" w:hAnsi="Arial" w:cs="Arial"/>
              </w:rPr>
            </w:pPr>
            <w:r w:rsidRPr="00E85C61">
              <w:rPr>
                <w:rFonts w:ascii="Arial" w:hAnsi="Arial" w:cs="Arial"/>
              </w:rPr>
              <w:t>32500</w:t>
            </w:r>
          </w:p>
        </w:tc>
        <w:tc>
          <w:tcPr>
            <w:tcW w:w="1486" w:type="dxa"/>
          </w:tcPr>
          <w:p w:rsidR="00D849AA" w:rsidRPr="00E85C61" w:rsidRDefault="00EE6D95">
            <w:pPr>
              <w:rPr>
                <w:rFonts w:ascii="Arial" w:hAnsi="Arial" w:cs="Arial"/>
              </w:rPr>
            </w:pPr>
            <w:r w:rsidRPr="00E85C61">
              <w:rPr>
                <w:rFonts w:ascii="Arial" w:hAnsi="Arial" w:cs="Arial"/>
              </w:rPr>
              <w:t>250000</w:t>
            </w:r>
          </w:p>
        </w:tc>
        <w:tc>
          <w:tcPr>
            <w:tcW w:w="1486" w:type="dxa"/>
          </w:tcPr>
          <w:p w:rsidR="00D849AA" w:rsidRPr="00E85C61" w:rsidRDefault="00EE6D95">
            <w:pPr>
              <w:rPr>
                <w:rFonts w:ascii="Arial" w:hAnsi="Arial" w:cs="Arial"/>
              </w:rPr>
            </w:pPr>
            <w:r w:rsidRPr="00E85C61">
              <w:rPr>
                <w:rFonts w:ascii="Arial" w:hAnsi="Arial" w:cs="Arial"/>
              </w:rPr>
              <w:t>300000</w:t>
            </w:r>
          </w:p>
        </w:tc>
        <w:tc>
          <w:tcPr>
            <w:tcW w:w="1486" w:type="dxa"/>
          </w:tcPr>
          <w:p w:rsidR="00D849AA" w:rsidRPr="00E85C61" w:rsidRDefault="00EE6D95">
            <w:pPr>
              <w:rPr>
                <w:rFonts w:ascii="Arial" w:hAnsi="Arial" w:cs="Arial"/>
              </w:rPr>
            </w:pPr>
            <w:r w:rsidRPr="00E85C61">
              <w:rPr>
                <w:rFonts w:ascii="Arial" w:hAnsi="Arial" w:cs="Arial"/>
              </w:rPr>
              <w:t>350000</w:t>
            </w:r>
          </w:p>
        </w:tc>
      </w:tr>
    </w:tbl>
    <w:p w:rsidR="00D849AA" w:rsidRDefault="00D849AA">
      <w:pPr>
        <w:jc w:val="left"/>
      </w:pPr>
    </w:p>
    <w:p w:rsidR="00D849AA" w:rsidRDefault="00EE6D95">
      <w:pPr>
        <w:pStyle w:val="Naslov1"/>
      </w:pPr>
      <w:r>
        <w:lastRenderedPageBreak/>
        <w:t>018 AGENCIJA ZA ZAŠTITU TRŽIŠNOG NATJECANJA</w:t>
      </w:r>
    </w:p>
    <w:p w:rsidR="00D849AA" w:rsidRDefault="00EE6D95">
      <w:pPr>
        <w:pStyle w:val="Naslov4"/>
      </w:pPr>
      <w:r>
        <w:t>Uvod</w:t>
      </w:r>
    </w:p>
    <w:p w:rsidR="00D849AA" w:rsidRDefault="00EE6D95">
      <w:pPr>
        <w:pStyle w:val="Normal3"/>
      </w:pPr>
      <w:r>
        <w:t xml:space="preserve">Agencija za zaštitu tržišnog natjecanja (dalje u tekstu: Agencija) je pravna osoba s javnim ovlastima osnovana odlukom Hrvatskog sabora, koja obavlja upravne i stručne poslove zaštite tržišnog natjecanja sukladno Zakonu o zaštiti tržišnog natjecanja te poslove odobravanja, nadzora provedbe i povrata državnih potpora sukladno Zakonu o državnim potporama. </w:t>
      </w:r>
    </w:p>
    <w:p w:rsidR="00D849AA" w:rsidRDefault="00EE6D95">
      <w:pPr>
        <w:pStyle w:val="Normal3"/>
      </w:pPr>
      <w:r>
        <w:t xml:space="preserve">Republika Hrvatska ulaskom u EU postala je dio jedinstvenog unutarnjeg tržišta Europske unije te je Agencija dobila nove ovlasti na području pravne stečevine iz područja zaštite tržišnog natjecanja. Naime, članstvom u EU, u postupcima utvrđivanja zabranjenih sporazuma između poduzetnika i zlouporabe vladajućeg položaja, potrebno je osigurati da se, uz nacionalno zakonodavstvo, u Republici Hrvatskoj izravno primjenjuje pravo EU odnosno članci 101. i 102. Ugovora o funkcioniranju EU (dalje: UFEU) kada je riječ postupanjima poduzetnika koji imaju učinak na trgovinu između Republike Hrvatske i država članica EU. Tako je Agencija postala dio regulatornog sustava EU, odnosno tijelo koje je uz nacionalne propise nadležno i za primjenu članaka 101. i 102. UFEU u Republici Hrvatskoj. </w:t>
      </w:r>
    </w:p>
    <w:p w:rsidR="00D849AA" w:rsidRDefault="00EE6D95">
      <w:pPr>
        <w:pStyle w:val="Normal3"/>
      </w:pPr>
      <w:r>
        <w:t xml:space="preserve">Dakle, Agencija će provoditi nacionalne propise o tržišnom natjecanju s ciljem onemogućavanja protupravnih djelovanja poduzetnika, a osobito onima koji imaju najznačajnije negativne učinke na tržišno natjecanje, te na mijenjanje ponašanja poduzetnika i usklađivanje toga ponašanja s propisima o zaštiti tržišnog natjecanja, daljnji razvoj i potpuno usvajanje kulture tržišnog natjecanja na svim razinama, te pripremu na promjene sustava državnih potpora i suradnju s tijelima i institucijama EU koje donosi članstvo u Europskoj uniji. </w:t>
      </w:r>
    </w:p>
    <w:p w:rsidR="00D849AA" w:rsidRDefault="00EE6D95">
      <w:pPr>
        <w:pStyle w:val="Normal3"/>
      </w:pPr>
      <w:r>
        <w:t xml:space="preserve">Nadalje, u odnosu na djelokrug Agencije, treba imati u vidu da je sukladno Zakonu o financijskim institucijama, od 1. srpnja 2013. ova Agencija od Hrvatske narodne banke preuzela kontrolu tržišnog natjecanja i u bankarskom sektoru, što također zahtijeva odgovarajuća sredstva i naravno pripreme u smislu edukacije i upoznavanja sa specifičnom problematikom ovog sektora.  </w:t>
      </w:r>
    </w:p>
    <w:p w:rsidR="00D849AA" w:rsidRDefault="00EE6D95">
      <w:pPr>
        <w:pStyle w:val="Normal3"/>
      </w:pPr>
      <w:r>
        <w:t xml:space="preserve">Radi uspješne provedbe programa i ciljeva koji se  planiraju postići u razdoblju 2014.-2016. godine Agencija je izradila prijedlog financijskog plana u kojem su ukupni rashodi za 2014. godinu  planirani u iznosu od 15.415.678 kuna. Iz izvora 1 Općih prihoda i primitaka planirano je sukladno utvrđenom limitu 14.123.678 kuna i iz izvora 5 Pomoći planirano je 1.292.000 kuna.  </w:t>
      </w:r>
    </w:p>
    <w:p w:rsidR="00D849AA" w:rsidRDefault="00EE6D95">
      <w:pPr>
        <w:pStyle w:val="Normal3"/>
      </w:pPr>
      <w:r>
        <w:t xml:space="preserve">Rashodi za rad Agencije iz izvora 1 Općih prihoda i primitaka u 2014. godini povećani su u odnosu na planirane za 2013. godinu za 8 % . Povećanje rashoda odnosi se najvećim dijelom na rashode za zaposlene koje proizlazi iz obveze osiguranja financijskih sredstava za naknadu plaće dužnosnika tj. članova Vijeća Agencije, koji temeljem prava proizašlih iz Zakona, u razdoblju nakon isteka mandata imaju pravo na plaću sukladno zakonskim odredbama. Povećanje rashoda potrebno je također radi povećanih troškova komunalnih usluga i usluga energije, kao i radi osiguranja sredstava za nacionalno učešće pri provedbi Projekta financiranog iz EU sredstava.  </w:t>
      </w:r>
    </w:p>
    <w:p w:rsidR="00D849AA" w:rsidRDefault="00EE6D95">
      <w:pPr>
        <w:pStyle w:val="Normal3"/>
      </w:pPr>
      <w:r>
        <w:t>Rashodi iz izvora sredstava Pomoći u 2014. godini planirani su za  Projekt Pomoći iz Programa IPA 2011. Riječ je o kratkoročnom twinning ugovoru usmjerenom na pomoć Agenciji u ocjeni prijedloga projekata strukturnih fondova s aspekta pravila o državnim potporama.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E85C61" w:rsidRDefault="00D849AA">
            <w:pPr>
              <w:pStyle w:val="CellHeader"/>
            </w:pPr>
          </w:p>
        </w:tc>
        <w:tc>
          <w:tcPr>
            <w:tcW w:w="1486" w:type="dxa"/>
            <w:shd w:val="clear" w:color="auto" w:fill="B5C0D8"/>
          </w:tcPr>
          <w:p w:rsidR="00D849AA" w:rsidRPr="00E85C61" w:rsidRDefault="00EE6D95">
            <w:pPr>
              <w:pStyle w:val="CellHeader"/>
            </w:pPr>
            <w:r w:rsidRPr="00E85C61">
              <w:t>Plan 2013.</w:t>
            </w:r>
          </w:p>
        </w:tc>
        <w:tc>
          <w:tcPr>
            <w:tcW w:w="1486" w:type="dxa"/>
            <w:shd w:val="clear" w:color="auto" w:fill="B5C0D8"/>
          </w:tcPr>
          <w:p w:rsidR="00D849AA" w:rsidRPr="00E85C61" w:rsidRDefault="00EE6D95">
            <w:pPr>
              <w:pStyle w:val="CellHeader"/>
            </w:pPr>
            <w:r w:rsidRPr="00E85C61">
              <w:t>Plan 2014.</w:t>
            </w:r>
          </w:p>
        </w:tc>
        <w:tc>
          <w:tcPr>
            <w:tcW w:w="1486" w:type="dxa"/>
            <w:shd w:val="clear" w:color="auto" w:fill="B5C0D8"/>
          </w:tcPr>
          <w:p w:rsidR="00D849AA" w:rsidRPr="00E85C61" w:rsidRDefault="00EE6D95">
            <w:pPr>
              <w:pStyle w:val="CellHeader"/>
            </w:pPr>
            <w:r w:rsidRPr="00E85C61">
              <w:t>Plan 2015.</w:t>
            </w:r>
          </w:p>
        </w:tc>
        <w:tc>
          <w:tcPr>
            <w:tcW w:w="1486" w:type="dxa"/>
            <w:shd w:val="clear" w:color="auto" w:fill="B5C0D8"/>
          </w:tcPr>
          <w:p w:rsidR="00D849AA" w:rsidRPr="00E85C61" w:rsidRDefault="00EE6D95">
            <w:pPr>
              <w:pStyle w:val="CellHeader"/>
            </w:pPr>
            <w:r w:rsidRPr="00E85C61">
              <w:t>Plan 2016.</w:t>
            </w:r>
          </w:p>
        </w:tc>
        <w:tc>
          <w:tcPr>
            <w:tcW w:w="1486" w:type="dxa"/>
            <w:shd w:val="clear" w:color="auto" w:fill="B5C0D8"/>
          </w:tcPr>
          <w:p w:rsidR="00D849AA" w:rsidRPr="00E85C61" w:rsidRDefault="00EE6D95">
            <w:pPr>
              <w:pStyle w:val="CellHeader"/>
            </w:pPr>
            <w:r w:rsidRPr="00E85C61">
              <w:t>Indeks 2014/2013</w:t>
            </w:r>
          </w:p>
        </w:tc>
      </w:tr>
      <w:tr w:rsidR="00D849AA">
        <w:trPr>
          <w:jc w:val="center"/>
        </w:trPr>
        <w:tc>
          <w:tcPr>
            <w:tcW w:w="1486" w:type="dxa"/>
          </w:tcPr>
          <w:p w:rsidR="00D849AA" w:rsidRPr="00E85C61" w:rsidRDefault="00EE6D95">
            <w:pPr>
              <w:pStyle w:val="CellColumn"/>
            </w:pPr>
            <w:r w:rsidRPr="00E85C61">
              <w:t xml:space="preserve">01805 Agencija za zaštitu tržišnog </w:t>
            </w:r>
            <w:r w:rsidRPr="00E85C61">
              <w:lastRenderedPageBreak/>
              <w:t>natjecanja</w:t>
            </w:r>
          </w:p>
        </w:tc>
        <w:tc>
          <w:tcPr>
            <w:tcW w:w="1486" w:type="dxa"/>
          </w:tcPr>
          <w:p w:rsidR="00D849AA" w:rsidRPr="00E85C61" w:rsidRDefault="00EE6D95">
            <w:pPr>
              <w:rPr>
                <w:rFonts w:ascii="Arial" w:hAnsi="Arial" w:cs="Arial"/>
              </w:rPr>
            </w:pPr>
            <w:r w:rsidRPr="00E85C61">
              <w:rPr>
                <w:rFonts w:ascii="Arial" w:hAnsi="Arial" w:cs="Arial"/>
              </w:rPr>
              <w:lastRenderedPageBreak/>
              <w:t>13.055.600</w:t>
            </w:r>
          </w:p>
        </w:tc>
        <w:tc>
          <w:tcPr>
            <w:tcW w:w="1486" w:type="dxa"/>
          </w:tcPr>
          <w:p w:rsidR="00D849AA" w:rsidRPr="00E85C61" w:rsidRDefault="00EE6D95">
            <w:pPr>
              <w:rPr>
                <w:rFonts w:ascii="Arial" w:hAnsi="Arial" w:cs="Arial"/>
              </w:rPr>
            </w:pPr>
            <w:r w:rsidRPr="00E85C61">
              <w:rPr>
                <w:rFonts w:ascii="Arial" w:hAnsi="Arial" w:cs="Arial"/>
              </w:rPr>
              <w:t>15.415.678</w:t>
            </w:r>
          </w:p>
        </w:tc>
        <w:tc>
          <w:tcPr>
            <w:tcW w:w="1486" w:type="dxa"/>
          </w:tcPr>
          <w:p w:rsidR="00D849AA" w:rsidRPr="00E85C61" w:rsidRDefault="00EE6D95">
            <w:pPr>
              <w:rPr>
                <w:rFonts w:ascii="Arial" w:hAnsi="Arial" w:cs="Arial"/>
              </w:rPr>
            </w:pPr>
            <w:r w:rsidRPr="00E85C61">
              <w:rPr>
                <w:rFonts w:ascii="Arial" w:hAnsi="Arial" w:cs="Arial"/>
              </w:rPr>
              <w:t>13.690.867</w:t>
            </w:r>
          </w:p>
        </w:tc>
        <w:tc>
          <w:tcPr>
            <w:tcW w:w="1486" w:type="dxa"/>
          </w:tcPr>
          <w:p w:rsidR="00D849AA" w:rsidRPr="00E85C61" w:rsidRDefault="00EE6D95">
            <w:pPr>
              <w:rPr>
                <w:rFonts w:ascii="Arial" w:hAnsi="Arial" w:cs="Arial"/>
              </w:rPr>
            </w:pPr>
            <w:r w:rsidRPr="00E85C61">
              <w:rPr>
                <w:rFonts w:ascii="Arial" w:hAnsi="Arial" w:cs="Arial"/>
              </w:rPr>
              <w:t>13.741.504</w:t>
            </w:r>
          </w:p>
        </w:tc>
        <w:tc>
          <w:tcPr>
            <w:tcW w:w="1486" w:type="dxa"/>
          </w:tcPr>
          <w:p w:rsidR="00D849AA" w:rsidRPr="00E85C61" w:rsidRDefault="00EE6D95">
            <w:pPr>
              <w:rPr>
                <w:rFonts w:ascii="Arial" w:hAnsi="Arial" w:cs="Arial"/>
              </w:rPr>
            </w:pPr>
            <w:r w:rsidRPr="00E85C61">
              <w:rPr>
                <w:rFonts w:ascii="Arial" w:hAnsi="Arial" w:cs="Arial"/>
              </w:rPr>
              <w:t>118,1</w:t>
            </w:r>
          </w:p>
        </w:tc>
      </w:tr>
      <w:tr w:rsidR="00D849AA">
        <w:trPr>
          <w:jc w:val="center"/>
        </w:trPr>
        <w:tc>
          <w:tcPr>
            <w:tcW w:w="1486" w:type="dxa"/>
            <w:shd w:val="clear" w:color="auto" w:fill="B5C0D8"/>
          </w:tcPr>
          <w:p w:rsidR="00D849AA" w:rsidRPr="00E85C61" w:rsidRDefault="00EE6D95">
            <w:pPr>
              <w:pStyle w:val="CellColumn"/>
            </w:pPr>
            <w:r w:rsidRPr="00E85C61">
              <w:lastRenderedPageBreak/>
              <w:t>Ukupno 018</w:t>
            </w:r>
          </w:p>
        </w:tc>
        <w:tc>
          <w:tcPr>
            <w:tcW w:w="1486" w:type="dxa"/>
            <w:shd w:val="clear" w:color="auto" w:fill="B5C0D8"/>
          </w:tcPr>
          <w:p w:rsidR="00D849AA" w:rsidRPr="00E85C61" w:rsidRDefault="00EE6D95">
            <w:pPr>
              <w:rPr>
                <w:rFonts w:ascii="Arial" w:hAnsi="Arial" w:cs="Arial"/>
              </w:rPr>
            </w:pPr>
            <w:r w:rsidRPr="00E85C61">
              <w:rPr>
                <w:rFonts w:ascii="Arial" w:hAnsi="Arial" w:cs="Arial"/>
              </w:rPr>
              <w:t>13.055.600</w:t>
            </w:r>
          </w:p>
        </w:tc>
        <w:tc>
          <w:tcPr>
            <w:tcW w:w="1486" w:type="dxa"/>
            <w:shd w:val="clear" w:color="auto" w:fill="B5C0D8"/>
          </w:tcPr>
          <w:p w:rsidR="00D849AA" w:rsidRPr="00E85C61" w:rsidRDefault="00EE6D95">
            <w:pPr>
              <w:rPr>
                <w:rFonts w:ascii="Arial" w:hAnsi="Arial" w:cs="Arial"/>
              </w:rPr>
            </w:pPr>
            <w:r w:rsidRPr="00E85C61">
              <w:rPr>
                <w:rFonts w:ascii="Arial" w:hAnsi="Arial" w:cs="Arial"/>
              </w:rPr>
              <w:t>15.415.678</w:t>
            </w:r>
          </w:p>
        </w:tc>
        <w:tc>
          <w:tcPr>
            <w:tcW w:w="1486" w:type="dxa"/>
            <w:shd w:val="clear" w:color="auto" w:fill="B5C0D8"/>
          </w:tcPr>
          <w:p w:rsidR="00D849AA" w:rsidRPr="00E85C61" w:rsidRDefault="00EE6D95">
            <w:pPr>
              <w:rPr>
                <w:rFonts w:ascii="Arial" w:hAnsi="Arial" w:cs="Arial"/>
              </w:rPr>
            </w:pPr>
            <w:r w:rsidRPr="00E85C61">
              <w:rPr>
                <w:rFonts w:ascii="Arial" w:hAnsi="Arial" w:cs="Arial"/>
              </w:rPr>
              <w:t>13.690.867</w:t>
            </w:r>
          </w:p>
        </w:tc>
        <w:tc>
          <w:tcPr>
            <w:tcW w:w="1486" w:type="dxa"/>
            <w:shd w:val="clear" w:color="auto" w:fill="B5C0D8"/>
          </w:tcPr>
          <w:p w:rsidR="00D849AA" w:rsidRPr="00E85C61" w:rsidRDefault="00EE6D95">
            <w:pPr>
              <w:rPr>
                <w:rFonts w:ascii="Arial" w:hAnsi="Arial" w:cs="Arial"/>
              </w:rPr>
            </w:pPr>
            <w:r w:rsidRPr="00E85C61">
              <w:rPr>
                <w:rFonts w:ascii="Arial" w:hAnsi="Arial" w:cs="Arial"/>
              </w:rPr>
              <w:t>13.741.504</w:t>
            </w:r>
          </w:p>
        </w:tc>
        <w:tc>
          <w:tcPr>
            <w:tcW w:w="1486" w:type="dxa"/>
            <w:shd w:val="clear" w:color="auto" w:fill="B5C0D8"/>
          </w:tcPr>
          <w:p w:rsidR="00D849AA" w:rsidRPr="00E85C61" w:rsidRDefault="00EE6D95">
            <w:pPr>
              <w:rPr>
                <w:rFonts w:ascii="Arial" w:hAnsi="Arial" w:cs="Arial"/>
              </w:rPr>
            </w:pPr>
            <w:r w:rsidRPr="00E85C61">
              <w:rPr>
                <w:rFonts w:ascii="Arial" w:hAnsi="Arial" w:cs="Arial"/>
              </w:rPr>
              <w:t>118,1</w:t>
            </w:r>
          </w:p>
        </w:tc>
      </w:tr>
    </w:tbl>
    <w:p w:rsidR="00D849AA" w:rsidRDefault="00D849AA">
      <w:pPr>
        <w:jc w:val="left"/>
      </w:pPr>
    </w:p>
    <w:p w:rsidR="00D849AA" w:rsidRDefault="00EE6D95">
      <w:pPr>
        <w:pStyle w:val="Naslov2"/>
      </w:pPr>
      <w:r>
        <w:t>01805 Agencija za zaštitu tržišnog natjecanja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01805</w:t>
            </w:r>
          </w:p>
        </w:tc>
        <w:tc>
          <w:tcPr>
            <w:tcW w:w="1486" w:type="dxa"/>
          </w:tcPr>
          <w:p w:rsidR="00D849AA" w:rsidRDefault="00EE6D95">
            <w:r>
              <w:t>13.055.600</w:t>
            </w:r>
          </w:p>
        </w:tc>
        <w:tc>
          <w:tcPr>
            <w:tcW w:w="1486" w:type="dxa"/>
          </w:tcPr>
          <w:p w:rsidR="00D849AA" w:rsidRDefault="00EE6D95">
            <w:r>
              <w:t>15.415.678</w:t>
            </w:r>
          </w:p>
        </w:tc>
        <w:tc>
          <w:tcPr>
            <w:tcW w:w="1486" w:type="dxa"/>
          </w:tcPr>
          <w:p w:rsidR="00D849AA" w:rsidRDefault="00EE6D95">
            <w:r>
              <w:t>13.690.867</w:t>
            </w:r>
          </w:p>
        </w:tc>
        <w:tc>
          <w:tcPr>
            <w:tcW w:w="1486" w:type="dxa"/>
          </w:tcPr>
          <w:p w:rsidR="00D849AA" w:rsidRDefault="00EE6D95">
            <w:r>
              <w:t>13.741.504</w:t>
            </w:r>
          </w:p>
        </w:tc>
        <w:tc>
          <w:tcPr>
            <w:tcW w:w="1486" w:type="dxa"/>
          </w:tcPr>
          <w:p w:rsidR="00D849AA" w:rsidRDefault="00EE6D95">
            <w:r>
              <w:t>118,1</w:t>
            </w:r>
          </w:p>
        </w:tc>
      </w:tr>
    </w:tbl>
    <w:p w:rsidR="00D849AA" w:rsidRDefault="00D849AA">
      <w:pPr>
        <w:jc w:val="left"/>
      </w:pPr>
    </w:p>
    <w:p w:rsidR="00D849AA" w:rsidRDefault="00EE6D95">
      <w:pPr>
        <w:pStyle w:val="Naslov4"/>
      </w:pPr>
      <w:r>
        <w:t>OBRAZLOŽENJE PROGRAMA</w:t>
      </w:r>
    </w:p>
    <w:p w:rsidR="00D849AA" w:rsidRDefault="00EE6D95">
      <w:pPr>
        <w:pStyle w:val="Naslov5"/>
      </w:pPr>
      <w:r>
        <w:t>3212 ZAŠTITA TRŽIŠNOG NATJECANJA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3212</w:t>
            </w:r>
          </w:p>
        </w:tc>
        <w:tc>
          <w:tcPr>
            <w:tcW w:w="1486" w:type="dxa"/>
          </w:tcPr>
          <w:p w:rsidR="00D849AA" w:rsidRDefault="00EE6D95">
            <w:r>
              <w:t>13.055.600</w:t>
            </w:r>
          </w:p>
        </w:tc>
        <w:tc>
          <w:tcPr>
            <w:tcW w:w="1486" w:type="dxa"/>
          </w:tcPr>
          <w:p w:rsidR="00D849AA" w:rsidRDefault="00EE6D95">
            <w:r>
              <w:t>15.415.678</w:t>
            </w:r>
          </w:p>
        </w:tc>
        <w:tc>
          <w:tcPr>
            <w:tcW w:w="1486" w:type="dxa"/>
          </w:tcPr>
          <w:p w:rsidR="00D849AA" w:rsidRDefault="00EE6D95">
            <w:r>
              <w:t>13.690.867</w:t>
            </w:r>
          </w:p>
        </w:tc>
        <w:tc>
          <w:tcPr>
            <w:tcW w:w="1486" w:type="dxa"/>
          </w:tcPr>
          <w:p w:rsidR="00D849AA" w:rsidRDefault="00EE6D95">
            <w:r>
              <w:t>13.741.504</w:t>
            </w:r>
          </w:p>
        </w:tc>
        <w:tc>
          <w:tcPr>
            <w:tcW w:w="1486" w:type="dxa"/>
          </w:tcPr>
          <w:p w:rsidR="00D849AA" w:rsidRDefault="00EE6D95">
            <w:r>
              <w:t>118,1</w:t>
            </w:r>
          </w:p>
        </w:tc>
      </w:tr>
    </w:tbl>
    <w:p w:rsidR="00D849AA" w:rsidRDefault="00D849AA">
      <w:pPr>
        <w:jc w:val="left"/>
      </w:pPr>
    </w:p>
    <w:p w:rsidR="00D849AA" w:rsidRDefault="00EE6D95">
      <w:pPr>
        <w:pStyle w:val="Naslov6"/>
      </w:pPr>
      <w:r>
        <w:t>Opis programa</w:t>
      </w:r>
    </w:p>
    <w:p w:rsidR="00D849AA" w:rsidRDefault="00EE6D95" w:rsidP="00E85C61">
      <w:pPr>
        <w:pStyle w:val="Normal5"/>
      </w:pPr>
      <w:r>
        <w:t xml:space="preserve">Programom Zaštite tržišnog natjecanja  nastoji se  osigurati suvremen pristup provedbi sustava mjera zaštite tržišnog natjecanja koji će omogućiti jačanje učinkovitog tržišnog natjecanja u Republici Hrvatskoj i olakšati integraciju njezinog tržišta na jedinstveno tržište EU. Riječ je o pristupu usmjerenom na preventivna djelovanja i prekidanje svih oblika djelovanja poduzetnika i države koji narušavaju tržišno natjecanje i protivne su interesima potrošača i poreznih obveznika. </w:t>
      </w:r>
    </w:p>
    <w:p w:rsidR="00D849AA" w:rsidRDefault="00EE6D95">
      <w:pPr>
        <w:pStyle w:val="Normal5"/>
      </w:pPr>
      <w:r>
        <w:t>Agencija će provoditi nacionalne propise o tržišnom natjecanju s ciljem onemogućavanja protupravnih djelovanja poduzetnika, a osobito onima koji imaju najznačajnije negativne učinke na tržišno natjecanje, te na mijenjanje ponašanja poduzetnika i usklađivanje toga ponašanja s propisima o zaštiti tržišnog natjecanja, daljnji razvoj i potpuno usvajanje kulture tržišnog natjecanja na svim razinama, te pripremu na promjene sustava državnih potpora i suradnju s tijelima i institucijama EU koje donosi članstvo u Europskoj uniji.</w:t>
      </w:r>
    </w:p>
    <w:p w:rsidR="00D849AA" w:rsidRDefault="00EE6D95">
      <w:pPr>
        <w:pStyle w:val="Naslov6"/>
      </w:pPr>
      <w:r>
        <w:t>Zakonske i druge pravne osnove</w:t>
      </w:r>
    </w:p>
    <w:p w:rsidR="00D849AA" w:rsidRDefault="00EE6D95">
      <w:pPr>
        <w:pStyle w:val="Normal5"/>
      </w:pPr>
      <w:r>
        <w:t xml:space="preserve">Zakonodavni okvir u području zaštite tržišnog natjecanja predstavlja Zakon o zaštiti tržišnog natjecanja ("Narodne novine", broj 79/09), Zakon o izmjenama i dopunama Zakona o zaštiti tržišnog natjecanja («Narodne novine», broj 80/2013) u primjeni od 1. srpnja 2013. godine, te ostali podzakonski akti neophodni za njihovu provedbu. </w:t>
      </w:r>
    </w:p>
    <w:p w:rsidR="00D849AA" w:rsidRDefault="00EE6D95">
      <w:pPr>
        <w:pStyle w:val="Normal5"/>
      </w:pPr>
      <w:r>
        <w:t>Postojeća zakonska osnova nadalje uključuje Zakon o državnim potporama (Narodne novine, broj 72/2013), no prije svega članci 107.,108. i 109. Ugovora o funkcioniranju Europske Unije i čitav zakonodavni okvir iz pravne stečevine.</w:t>
      </w:r>
    </w:p>
    <w:p w:rsidR="00D849AA" w:rsidRDefault="00EE6D95">
      <w:pPr>
        <w:pStyle w:val="Naslov6"/>
      </w:pPr>
      <w:r>
        <w:lastRenderedPageBreak/>
        <w:t>Ciljevi provedbe programa u razdoblju 2014.-2016. i pokazatelji uspješnosti kojima će se mjeriti ostvarenje tih ciljeva</w:t>
      </w:r>
    </w:p>
    <w:p w:rsidR="00D849AA" w:rsidRDefault="00EE6D95">
      <w:pPr>
        <w:pStyle w:val="Naslov7"/>
      </w:pPr>
      <w:r>
        <w:t>Cilj 1. Stvaranje uvjeta za učinkovito tržišno natjecanje na hrvatskom tržištu i integriranje u sustav zaštite tržišnog natjecanja na unutarnjem tržištu EU</w:t>
      </w:r>
    </w:p>
    <w:p w:rsidR="00D849AA" w:rsidRDefault="00EE6D95">
      <w:pPr>
        <w:pStyle w:val="Normal6"/>
      </w:pPr>
      <w:r>
        <w:t xml:space="preserve">Za ostvarivanje općeg cilja Agencije za zaštitu tržišnog natjecanja u suvremenom pristupu provedbi mjera zaštite tržišnog natjecanja u obliku preventivnog djelovanja i prekida svih oblika djelovanja poduzetnika koji narušavaju tržišno natjecanje i nanose štetu potrošačima, potrebno je stvoriti uvjete za učinkovito tržišno natjecanje na hrvatskom tržištu. Praksa razvijenih tržišnih gospodarstava pokazuje da su pravo i politika zaštite tržišnog natjecanja snažan instrument koji osigurava ekonomsku učinkovitost i gospodarski rast. Ovo iz razloga što se tim instrumentom potiče, pa i prisiljava poduzetnike da kontinuirano rade na jačanju svoje konkurentnosti kao jedinom sigurnom načinu postizanja tržišnog uspjeha. Poduzetnici to mogu postići samo ako se unaprijed pripremaju na promjene u okruženju i stalno im se prilagođavaju. </w:t>
      </w:r>
    </w:p>
    <w:p w:rsidR="00D849AA" w:rsidRDefault="00EE6D95">
      <w:pPr>
        <w:pStyle w:val="Normal6"/>
      </w:pPr>
      <w:r>
        <w:t xml:space="preserve">Sustav zaštite tržišnog natjecanja na unutarnjem tržištu EU-a, kojeg je Agencija postala dio 1. srpnja 2013., podrazumijeva paralelnu nadležnost između Europske komisije, tijela za zaštitu tržišnog natjecanja država članica EU, nadležnih europskih sudova (Suda EU i Općeg suda) i nacionalnih sudova u državama članicama EU u primjeni pravne stečevine iz područja prava zaštite tržišnog natjecanja, sukladno Uredbi Vijeća (EZ) br. 1/2003 od 16. prosinca 2002. o provedbi pravila o tržišnom natjecanju utvrđenim u člancima 81. i 82. Ugovora o osnivanju Europske zajednice (SL L 001, 04/01/2003). Sukladno ovoj Uredbi, kako bi se osigurala učinkovita i dosljedna primjena spomenutih pravila o zaštiti tržišnog natjecanja, Europska komisija i nacionalna tijela uspostavili su Mrežu tijela za zaštitu tržišnog natjecanja (ECN). ECN mreža je forum za raspravljanje i suradnju tijela za zaštitu tržišnog natjecanja država članica u primjeni i provedbi pravila o tržišnom natjecanju koja vrijede u Europskoj uniji, te kao takva predstavlja temelj za stvaranje opće, zajedničke kulture tržišnog natjecanja. Suradnja koju promiče ECN ostvaruje se kroz zajednički rad u različitim radnim skupinama i sektorskim podskupinama koje čine predstavnici Europske komisije i agencija za tržišno natjecanje svih država članica EU gdje se očituje stvarno značenje „mreže“: postoji stalna razmjena ideja, konstruktivne rasprave i razvoj zajedničkih stajališta i praktičnih rješenja. </w:t>
      </w:r>
    </w:p>
    <w:p w:rsidR="00D849AA" w:rsidRDefault="00EE6D95">
      <w:pPr>
        <w:pStyle w:val="Normal6"/>
      </w:pPr>
      <w:r>
        <w:t xml:space="preserve">Primjena spomenute Uredbe konkretno za Agenciju znači da će se u pojedinim postupcima određivati kada nadležnost ima Europska komisija i nacionalna tijela za zaštitu tržišnog natjecanja drugih država članica, kada hrvatska Agencija postupajući u javnom interesu, a kada nadležni nacionalni sudovi (trgovački sudovi) u slučaju privatno-pravnih sporova za utvrđenje povrede prava tržišnog natjecanja odnosno u sporovima za naknadu štete zbog povrede članaka 101. i 102. UFEU. Drugim riječima, suradnja Agencije s Europskom komisijom i nadležnim tijelima država članica unutar ECN mreže, od 1. srpnja 2013. postala je njezina obveza. </w:t>
      </w:r>
    </w:p>
    <w:p w:rsidR="00D849AA" w:rsidRDefault="00EE6D95">
      <w:pPr>
        <w:pStyle w:val="Normal6"/>
      </w:pPr>
      <w:r>
        <w:t xml:space="preserve">Ta se suradnja ostvaruje se kroz sudjelovanje predstavnika Agencije na sastancima raznih savjetodavnih odbora, kao i na sastancima radnih skupina i podskupina u okviru ECN-a. Na taj će način Agencija biti aktivno uključena u proces odlučivanja na EU razini. </w:t>
      </w:r>
    </w:p>
    <w:p w:rsidR="00D849AA" w:rsidRDefault="00EE6D95">
      <w:pPr>
        <w:pStyle w:val="Normal6"/>
      </w:pPr>
      <w:r>
        <w:t xml:space="preserve">Uz navedeno, neophodno je kontinuirano pratiti i usvajati EU zakonodavstvo u ovom području, koje se neprekidno razvija i unapređuje. U tom smislu, Agencija jača aktivnosti na provedbi zakona i propisa s područja zaštite tržišnog natjecanja kako bismo ojačali tržišno natjecanje u Hrvatskoj i hrvatske poduzetnike odvratili od kršenja tih propisa, a u slučajevima kada se radi o teškim povredama propisa, odgovarajuće kaznili za protutržišno ponašanje. Ne manje važno je podnošenje inicijativa i poticanje reformi kojima je cilj liberalizacija onih tržišta koja su još uvijek, silom zakona, drugih propisa ili prakse zatvorena za konkurenciju ili ona postoji samo „na papiru“.  </w:t>
      </w:r>
    </w:p>
    <w:p w:rsidR="00D849AA" w:rsidRDefault="00EE6D95">
      <w:pPr>
        <w:pStyle w:val="Normal6"/>
      </w:pPr>
      <w:r>
        <w:lastRenderedPageBreak/>
        <w:t>Agencija uz provedbu konkretnih postupaka i preventivnog djelovanja, aktivno promiče i ukazuje na potrebu jačanja tržišnog natjecanja i njegovog uvođenja u djelatnosti i gospodarske sektore u kojima je zakonima, drugim propisima ili djelovanjem interesnih udruga tržišno natjecanje još uvijek u cijelosti ili djelomično isključeno.</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E85C61" w:rsidRDefault="00EE6D95">
            <w:pPr>
              <w:rPr>
                <w:rFonts w:ascii="Arial" w:hAnsi="Arial" w:cs="Arial"/>
              </w:rPr>
            </w:pPr>
            <w:r w:rsidRPr="00E85C61">
              <w:rPr>
                <w:rFonts w:ascii="Arial" w:hAnsi="Arial" w:cs="Arial"/>
              </w:rPr>
              <w:t>Pokazatelj učinka</w:t>
            </w:r>
          </w:p>
        </w:tc>
        <w:tc>
          <w:tcPr>
            <w:tcW w:w="1114" w:type="dxa"/>
            <w:shd w:val="clear" w:color="auto" w:fill="B5C0D8"/>
          </w:tcPr>
          <w:p w:rsidR="00D849AA" w:rsidRPr="00E85C61" w:rsidRDefault="00EE6D95">
            <w:pPr>
              <w:pStyle w:val="CellHeader"/>
            </w:pPr>
            <w:r w:rsidRPr="00E85C61">
              <w:t>Jedinica</w:t>
            </w:r>
          </w:p>
        </w:tc>
        <w:tc>
          <w:tcPr>
            <w:tcW w:w="1114" w:type="dxa"/>
            <w:shd w:val="clear" w:color="auto" w:fill="B5C0D8"/>
          </w:tcPr>
          <w:p w:rsidR="00D849AA" w:rsidRPr="00E85C61" w:rsidRDefault="00EE6D95">
            <w:pPr>
              <w:pStyle w:val="CellHeader"/>
            </w:pPr>
            <w:r w:rsidRPr="00E85C61">
              <w:t>Polazna vrijednost</w:t>
            </w:r>
          </w:p>
        </w:tc>
        <w:tc>
          <w:tcPr>
            <w:tcW w:w="1486" w:type="dxa"/>
            <w:shd w:val="clear" w:color="auto" w:fill="B5C0D8"/>
          </w:tcPr>
          <w:p w:rsidR="00D849AA" w:rsidRPr="00E85C61" w:rsidRDefault="00EE6D95">
            <w:pPr>
              <w:pStyle w:val="CellHeader"/>
            </w:pPr>
            <w:r w:rsidRPr="00E85C61">
              <w:t>Ciljana vrijednost (2014.)</w:t>
            </w:r>
          </w:p>
        </w:tc>
        <w:tc>
          <w:tcPr>
            <w:tcW w:w="1486" w:type="dxa"/>
            <w:shd w:val="clear" w:color="auto" w:fill="B5C0D8"/>
          </w:tcPr>
          <w:p w:rsidR="00D849AA" w:rsidRPr="00E85C61" w:rsidRDefault="00EE6D95">
            <w:pPr>
              <w:pStyle w:val="CellHeader"/>
            </w:pPr>
            <w:r w:rsidRPr="00E85C61">
              <w:t>Ciljana vrijednost (2015.)</w:t>
            </w:r>
          </w:p>
        </w:tc>
        <w:tc>
          <w:tcPr>
            <w:tcW w:w="1486" w:type="dxa"/>
            <w:shd w:val="clear" w:color="auto" w:fill="B5C0D8"/>
          </w:tcPr>
          <w:p w:rsidR="00D849AA" w:rsidRPr="00E85C61" w:rsidRDefault="00EE6D95">
            <w:pPr>
              <w:pStyle w:val="CellHeader"/>
            </w:pPr>
            <w:r w:rsidRPr="00E85C61">
              <w:t>Ciljana vrijednost (2016.)</w:t>
            </w:r>
          </w:p>
        </w:tc>
      </w:tr>
      <w:tr w:rsidR="00D849AA">
        <w:trPr>
          <w:jc w:val="center"/>
        </w:trPr>
        <w:tc>
          <w:tcPr>
            <w:tcW w:w="2229" w:type="dxa"/>
          </w:tcPr>
          <w:p w:rsidR="00D849AA" w:rsidRPr="00E85C61" w:rsidRDefault="00EE6D95">
            <w:pPr>
              <w:pStyle w:val="CellColumn"/>
            </w:pPr>
            <w:r w:rsidRPr="00E85C61">
              <w:t>Povećanje broja donesenih odluka</w:t>
            </w:r>
          </w:p>
        </w:tc>
        <w:tc>
          <w:tcPr>
            <w:tcW w:w="1114" w:type="dxa"/>
          </w:tcPr>
          <w:p w:rsidR="00D849AA" w:rsidRPr="00E85C61" w:rsidRDefault="00EE6D95">
            <w:pPr>
              <w:rPr>
                <w:rFonts w:ascii="Arial" w:hAnsi="Arial" w:cs="Arial"/>
              </w:rPr>
            </w:pPr>
            <w:r w:rsidRPr="00E85C61">
              <w:rPr>
                <w:rFonts w:ascii="Arial" w:hAnsi="Arial" w:cs="Arial"/>
              </w:rPr>
              <w:t>broj</w:t>
            </w:r>
          </w:p>
        </w:tc>
        <w:tc>
          <w:tcPr>
            <w:tcW w:w="1114" w:type="dxa"/>
          </w:tcPr>
          <w:p w:rsidR="00D849AA" w:rsidRPr="00E85C61" w:rsidRDefault="00EE6D95">
            <w:pPr>
              <w:rPr>
                <w:rFonts w:ascii="Arial" w:hAnsi="Arial" w:cs="Arial"/>
              </w:rPr>
            </w:pPr>
            <w:r w:rsidRPr="00E85C61">
              <w:rPr>
                <w:rFonts w:ascii="Arial" w:hAnsi="Arial" w:cs="Arial"/>
              </w:rPr>
              <w:t>106</w:t>
            </w:r>
          </w:p>
        </w:tc>
        <w:tc>
          <w:tcPr>
            <w:tcW w:w="1486" w:type="dxa"/>
          </w:tcPr>
          <w:p w:rsidR="00D849AA" w:rsidRPr="00E85C61" w:rsidRDefault="00EE6D95">
            <w:pPr>
              <w:rPr>
                <w:rFonts w:ascii="Arial" w:hAnsi="Arial" w:cs="Arial"/>
              </w:rPr>
            </w:pPr>
            <w:r w:rsidRPr="00E85C61">
              <w:rPr>
                <w:rFonts w:ascii="Arial" w:hAnsi="Arial" w:cs="Arial"/>
              </w:rPr>
              <w:t>108</w:t>
            </w:r>
          </w:p>
        </w:tc>
        <w:tc>
          <w:tcPr>
            <w:tcW w:w="1486" w:type="dxa"/>
          </w:tcPr>
          <w:p w:rsidR="00D849AA" w:rsidRPr="00E85C61" w:rsidRDefault="00EE6D95">
            <w:pPr>
              <w:rPr>
                <w:rFonts w:ascii="Arial" w:hAnsi="Arial" w:cs="Arial"/>
              </w:rPr>
            </w:pPr>
            <w:r w:rsidRPr="00E85C61">
              <w:rPr>
                <w:rFonts w:ascii="Arial" w:hAnsi="Arial" w:cs="Arial"/>
              </w:rPr>
              <w:t>110</w:t>
            </w:r>
          </w:p>
        </w:tc>
        <w:tc>
          <w:tcPr>
            <w:tcW w:w="1486" w:type="dxa"/>
          </w:tcPr>
          <w:p w:rsidR="00D849AA" w:rsidRPr="00E85C61" w:rsidRDefault="00EE6D95">
            <w:pPr>
              <w:rPr>
                <w:rFonts w:ascii="Arial" w:hAnsi="Arial" w:cs="Arial"/>
              </w:rPr>
            </w:pPr>
            <w:r w:rsidRPr="00E85C61">
              <w:rPr>
                <w:rFonts w:ascii="Arial" w:hAnsi="Arial" w:cs="Arial"/>
              </w:rPr>
              <w:t>112</w:t>
            </w:r>
          </w:p>
        </w:tc>
      </w:tr>
      <w:tr w:rsidR="00D849AA">
        <w:trPr>
          <w:jc w:val="center"/>
        </w:trPr>
        <w:tc>
          <w:tcPr>
            <w:tcW w:w="2229" w:type="dxa"/>
          </w:tcPr>
          <w:p w:rsidR="00D849AA" w:rsidRPr="00E85C61" w:rsidRDefault="00EE6D95">
            <w:pPr>
              <w:pStyle w:val="CellColumn"/>
            </w:pPr>
            <w:r w:rsidRPr="00E85C61">
              <w:t>Povećanje broja danih stručnih mišljenja</w:t>
            </w:r>
          </w:p>
        </w:tc>
        <w:tc>
          <w:tcPr>
            <w:tcW w:w="1114" w:type="dxa"/>
          </w:tcPr>
          <w:p w:rsidR="00D849AA" w:rsidRPr="00E85C61" w:rsidRDefault="00EE6D95">
            <w:pPr>
              <w:rPr>
                <w:rFonts w:ascii="Arial" w:hAnsi="Arial" w:cs="Arial"/>
              </w:rPr>
            </w:pPr>
            <w:r w:rsidRPr="00E85C61">
              <w:rPr>
                <w:rFonts w:ascii="Arial" w:hAnsi="Arial" w:cs="Arial"/>
              </w:rPr>
              <w:t>broj</w:t>
            </w:r>
          </w:p>
        </w:tc>
        <w:tc>
          <w:tcPr>
            <w:tcW w:w="1114" w:type="dxa"/>
          </w:tcPr>
          <w:p w:rsidR="00D849AA" w:rsidRPr="00E85C61" w:rsidRDefault="00EE6D95">
            <w:pPr>
              <w:rPr>
                <w:rFonts w:ascii="Arial" w:hAnsi="Arial" w:cs="Arial"/>
              </w:rPr>
            </w:pPr>
            <w:r w:rsidRPr="00E85C61">
              <w:rPr>
                <w:rFonts w:ascii="Arial" w:hAnsi="Arial" w:cs="Arial"/>
              </w:rPr>
              <w:t>49</w:t>
            </w:r>
          </w:p>
        </w:tc>
        <w:tc>
          <w:tcPr>
            <w:tcW w:w="1486" w:type="dxa"/>
          </w:tcPr>
          <w:p w:rsidR="00D849AA" w:rsidRPr="00E85C61" w:rsidRDefault="00EE6D95">
            <w:pPr>
              <w:rPr>
                <w:rFonts w:ascii="Arial" w:hAnsi="Arial" w:cs="Arial"/>
              </w:rPr>
            </w:pPr>
            <w:r w:rsidRPr="00E85C61">
              <w:rPr>
                <w:rFonts w:ascii="Arial" w:hAnsi="Arial" w:cs="Arial"/>
              </w:rPr>
              <w:t>50</w:t>
            </w:r>
          </w:p>
        </w:tc>
        <w:tc>
          <w:tcPr>
            <w:tcW w:w="1486" w:type="dxa"/>
          </w:tcPr>
          <w:p w:rsidR="00D849AA" w:rsidRPr="00E85C61" w:rsidRDefault="00EE6D95">
            <w:pPr>
              <w:rPr>
                <w:rFonts w:ascii="Arial" w:hAnsi="Arial" w:cs="Arial"/>
              </w:rPr>
            </w:pPr>
            <w:r w:rsidRPr="00E85C61">
              <w:rPr>
                <w:rFonts w:ascii="Arial" w:hAnsi="Arial" w:cs="Arial"/>
              </w:rPr>
              <w:t>51</w:t>
            </w:r>
          </w:p>
        </w:tc>
        <w:tc>
          <w:tcPr>
            <w:tcW w:w="1486" w:type="dxa"/>
          </w:tcPr>
          <w:p w:rsidR="00D849AA" w:rsidRPr="00E85C61" w:rsidRDefault="00EE6D95">
            <w:pPr>
              <w:rPr>
                <w:rFonts w:ascii="Arial" w:hAnsi="Arial" w:cs="Arial"/>
              </w:rPr>
            </w:pPr>
            <w:r w:rsidRPr="00E85C61">
              <w:rPr>
                <w:rFonts w:ascii="Arial" w:hAnsi="Arial" w:cs="Arial"/>
              </w:rPr>
              <w:t>52</w:t>
            </w:r>
          </w:p>
        </w:tc>
      </w:tr>
      <w:tr w:rsidR="00D849AA">
        <w:trPr>
          <w:jc w:val="center"/>
        </w:trPr>
        <w:tc>
          <w:tcPr>
            <w:tcW w:w="2229" w:type="dxa"/>
          </w:tcPr>
          <w:p w:rsidR="00D849AA" w:rsidRPr="00E85C61" w:rsidRDefault="00EE6D95">
            <w:pPr>
              <w:pStyle w:val="CellColumn"/>
            </w:pPr>
            <w:r w:rsidRPr="00E85C61">
              <w:t>Povećanje prisutnosti predstavnika AZTN-a</w:t>
            </w:r>
          </w:p>
        </w:tc>
        <w:tc>
          <w:tcPr>
            <w:tcW w:w="1114" w:type="dxa"/>
          </w:tcPr>
          <w:p w:rsidR="00D849AA" w:rsidRPr="00E85C61" w:rsidRDefault="00EE6D95">
            <w:pPr>
              <w:rPr>
                <w:rFonts w:ascii="Arial" w:hAnsi="Arial" w:cs="Arial"/>
              </w:rPr>
            </w:pPr>
            <w:r w:rsidRPr="00E85C61">
              <w:rPr>
                <w:rFonts w:ascii="Arial" w:hAnsi="Arial" w:cs="Arial"/>
              </w:rPr>
              <w:t>broj</w:t>
            </w:r>
          </w:p>
        </w:tc>
        <w:tc>
          <w:tcPr>
            <w:tcW w:w="1114" w:type="dxa"/>
          </w:tcPr>
          <w:p w:rsidR="00D849AA" w:rsidRPr="00E85C61" w:rsidRDefault="00EE6D95">
            <w:pPr>
              <w:rPr>
                <w:rFonts w:ascii="Arial" w:hAnsi="Arial" w:cs="Arial"/>
              </w:rPr>
            </w:pPr>
            <w:r w:rsidRPr="00E85C61">
              <w:rPr>
                <w:rFonts w:ascii="Arial" w:hAnsi="Arial" w:cs="Arial"/>
              </w:rPr>
              <w:t>10</w:t>
            </w:r>
          </w:p>
        </w:tc>
        <w:tc>
          <w:tcPr>
            <w:tcW w:w="1486" w:type="dxa"/>
          </w:tcPr>
          <w:p w:rsidR="00D849AA" w:rsidRPr="00E85C61" w:rsidRDefault="00EE6D95">
            <w:pPr>
              <w:rPr>
                <w:rFonts w:ascii="Arial" w:hAnsi="Arial" w:cs="Arial"/>
              </w:rPr>
            </w:pPr>
            <w:r w:rsidRPr="00E85C61">
              <w:rPr>
                <w:rFonts w:ascii="Arial" w:hAnsi="Arial" w:cs="Arial"/>
              </w:rPr>
              <w:t>15</w:t>
            </w:r>
          </w:p>
        </w:tc>
        <w:tc>
          <w:tcPr>
            <w:tcW w:w="1486" w:type="dxa"/>
          </w:tcPr>
          <w:p w:rsidR="00D849AA" w:rsidRPr="00E85C61" w:rsidRDefault="00EE6D95">
            <w:pPr>
              <w:rPr>
                <w:rFonts w:ascii="Arial" w:hAnsi="Arial" w:cs="Arial"/>
              </w:rPr>
            </w:pPr>
            <w:r w:rsidRPr="00E85C61">
              <w:rPr>
                <w:rFonts w:ascii="Arial" w:hAnsi="Arial" w:cs="Arial"/>
              </w:rPr>
              <w:t>20</w:t>
            </w:r>
          </w:p>
        </w:tc>
        <w:tc>
          <w:tcPr>
            <w:tcW w:w="1486" w:type="dxa"/>
          </w:tcPr>
          <w:p w:rsidR="00D849AA" w:rsidRPr="00E85C61" w:rsidRDefault="00EE6D95">
            <w:pPr>
              <w:rPr>
                <w:rFonts w:ascii="Arial" w:hAnsi="Arial" w:cs="Arial"/>
              </w:rPr>
            </w:pPr>
            <w:r w:rsidRPr="00E85C61">
              <w:rPr>
                <w:rFonts w:ascii="Arial" w:hAnsi="Arial" w:cs="Arial"/>
              </w:rPr>
              <w:t>25</w:t>
            </w:r>
          </w:p>
        </w:tc>
      </w:tr>
      <w:tr w:rsidR="00D849AA">
        <w:trPr>
          <w:jc w:val="center"/>
        </w:trPr>
        <w:tc>
          <w:tcPr>
            <w:tcW w:w="2229" w:type="dxa"/>
          </w:tcPr>
          <w:p w:rsidR="00D849AA" w:rsidRPr="00E85C61" w:rsidRDefault="00EE6D95">
            <w:pPr>
              <w:pStyle w:val="CellColumn"/>
            </w:pPr>
            <w:r w:rsidRPr="00E85C61">
              <w:t>Povećanje prisutnosti predstavnika AZTN-a</w:t>
            </w:r>
          </w:p>
        </w:tc>
        <w:tc>
          <w:tcPr>
            <w:tcW w:w="1114" w:type="dxa"/>
          </w:tcPr>
          <w:p w:rsidR="00D849AA" w:rsidRPr="00E85C61" w:rsidRDefault="00EE6D95">
            <w:pPr>
              <w:rPr>
                <w:rFonts w:ascii="Arial" w:hAnsi="Arial" w:cs="Arial"/>
              </w:rPr>
            </w:pPr>
            <w:r w:rsidRPr="00E85C61">
              <w:rPr>
                <w:rFonts w:ascii="Arial" w:hAnsi="Arial" w:cs="Arial"/>
              </w:rPr>
              <w:t>broj</w:t>
            </w:r>
          </w:p>
        </w:tc>
        <w:tc>
          <w:tcPr>
            <w:tcW w:w="1114" w:type="dxa"/>
          </w:tcPr>
          <w:p w:rsidR="00D849AA" w:rsidRPr="00E85C61" w:rsidRDefault="00EE6D95">
            <w:pPr>
              <w:rPr>
                <w:rFonts w:ascii="Arial" w:hAnsi="Arial" w:cs="Arial"/>
              </w:rPr>
            </w:pPr>
            <w:r w:rsidRPr="00E85C61">
              <w:rPr>
                <w:rFonts w:ascii="Arial" w:hAnsi="Arial" w:cs="Arial"/>
              </w:rPr>
              <w:t>5</w:t>
            </w:r>
          </w:p>
        </w:tc>
        <w:tc>
          <w:tcPr>
            <w:tcW w:w="1486" w:type="dxa"/>
          </w:tcPr>
          <w:p w:rsidR="00D849AA" w:rsidRPr="00E85C61" w:rsidRDefault="00EE6D95">
            <w:pPr>
              <w:rPr>
                <w:rFonts w:ascii="Arial" w:hAnsi="Arial" w:cs="Arial"/>
              </w:rPr>
            </w:pPr>
            <w:r w:rsidRPr="00E85C61">
              <w:rPr>
                <w:rFonts w:ascii="Arial" w:hAnsi="Arial" w:cs="Arial"/>
              </w:rPr>
              <w:t>8</w:t>
            </w:r>
          </w:p>
        </w:tc>
        <w:tc>
          <w:tcPr>
            <w:tcW w:w="1486" w:type="dxa"/>
          </w:tcPr>
          <w:p w:rsidR="00D849AA" w:rsidRPr="00E85C61" w:rsidRDefault="00EE6D95">
            <w:pPr>
              <w:rPr>
                <w:rFonts w:ascii="Arial" w:hAnsi="Arial" w:cs="Arial"/>
              </w:rPr>
            </w:pPr>
            <w:r w:rsidRPr="00E85C61">
              <w:rPr>
                <w:rFonts w:ascii="Arial" w:hAnsi="Arial" w:cs="Arial"/>
              </w:rPr>
              <w:t>11</w:t>
            </w:r>
          </w:p>
        </w:tc>
        <w:tc>
          <w:tcPr>
            <w:tcW w:w="1486" w:type="dxa"/>
          </w:tcPr>
          <w:p w:rsidR="00D849AA" w:rsidRPr="00E85C61" w:rsidRDefault="00EE6D95">
            <w:pPr>
              <w:rPr>
                <w:rFonts w:ascii="Arial" w:hAnsi="Arial" w:cs="Arial"/>
              </w:rPr>
            </w:pPr>
            <w:r w:rsidRPr="00E85C61">
              <w:rPr>
                <w:rFonts w:ascii="Arial" w:hAnsi="Arial" w:cs="Arial"/>
              </w:rPr>
              <w:t>14</w:t>
            </w:r>
          </w:p>
        </w:tc>
      </w:tr>
    </w:tbl>
    <w:p w:rsidR="00D849AA" w:rsidRDefault="00D849AA">
      <w:pPr>
        <w:jc w:val="left"/>
      </w:pPr>
    </w:p>
    <w:p w:rsidR="00D849AA" w:rsidRDefault="00EE6D95">
      <w:pPr>
        <w:pStyle w:val="Naslov7"/>
      </w:pPr>
      <w:r>
        <w:t>Cilj 2. Uloga Agencije u sustavu državnih potpora nakon pristupanja u EU</w:t>
      </w:r>
    </w:p>
    <w:p w:rsidR="00D849AA" w:rsidRDefault="00EE6D95">
      <w:pPr>
        <w:pStyle w:val="Normal6"/>
      </w:pPr>
      <w:r>
        <w:t xml:space="preserve">Nakon pristupanja Republike Hrvatske u Europsku uniju, sustav državnih potpora u potpunosti je određen pravnom stečevinom Europske unije, odnosno sustavom državnih potpora Europske unije. S obzirom da politika državnih potpora Republike Hrvatske treba slijediti politiku državnih potpora Europske unije, u nadležnosti Vlade Republike Hrvatske je da oblikuje politiku državnih potpora Republike Hrvatske određujući njome prioritetne ciljeve i svrhu učinkovitog korištenja sredstava državnog proračuna te da donosi Smjernice politike državnih potpora za trogodišnje razdoblje.  </w:t>
      </w:r>
    </w:p>
    <w:p w:rsidR="00D849AA" w:rsidRDefault="00EE6D95">
      <w:pPr>
        <w:pStyle w:val="Normal6"/>
      </w:pPr>
      <w:r>
        <w:t xml:space="preserve">Od 1. srpnja 2013. nadležnost Agencije u svezi odobravanja, nadziranja i povrata državnih potpora prenešena je na Europsku komisiju, a Agencija je ovlaštena davati prethodna mišljenja na prijedloge državnih potpora te ih službeno prijaviti (notificirati) Europskoj komisiji radi odobravanja. Tu njezina uloga dobiva na još većem značaju. </w:t>
      </w:r>
    </w:p>
    <w:p w:rsidR="00D849AA" w:rsidRDefault="00EE6D95">
      <w:pPr>
        <w:pStyle w:val="Normal6"/>
      </w:pPr>
      <w:r>
        <w:t xml:space="preserve">Sukladno novim propisima koji eksplicite uređuju nadležnost Agencije su i: davanje mišljenja na prijedloge državnih potpora izuzete od obveze prijave Europskoj komisiji i obavještavanje Europske komisije o tome, davanje mišljenja na prijedloge propisa koji se odnose na državne potpore, provođenje edukacije i usavršavanja davatelja i/ili korisnika državnih potpora te pružanje stručne pomoći u pripremi programa državnih potpora i pojedinačnih državnih potpora, te prikupljanje, obrada i evidencija podataka o dodijeljenim potporama i izvješćivanje Europske komisije o istim na godišnjoj razini. </w:t>
      </w:r>
    </w:p>
    <w:p w:rsidR="00D849AA" w:rsidRDefault="00EE6D95">
      <w:pPr>
        <w:pStyle w:val="Normal6"/>
      </w:pPr>
      <w:r>
        <w:t xml:space="preserve">Stoga u ostvarivanju svojih zadataka Agencija još više jača savjetodavnu ulogu svih sudionika u sustavu državnih potpora provođenjem edukacije i usavršavanja davatelja i/ili korisnika državnih potpora, odnosno pružanjem stručne pomoći radi ispravne primjene i razumijevanja propisa i pravila o državnim potporama, te pripreme prijedloga državnih potpora i akata koji predstavljaju pravnu osnovu za donošenje programa državnih potpora. </w:t>
      </w:r>
    </w:p>
    <w:p w:rsidR="00D849AA" w:rsidRDefault="00EE6D95">
      <w:pPr>
        <w:pStyle w:val="Normal6"/>
      </w:pPr>
      <w:r>
        <w:t xml:space="preserve">Agencija izvješćuje Europsku komisiju o dodijeljenim državnim potporama na godišnjoj razini, sukladno posebnim propisima. </w:t>
      </w:r>
    </w:p>
    <w:p w:rsidR="00D849AA" w:rsidRDefault="00EE6D95">
      <w:pPr>
        <w:pStyle w:val="Normal6"/>
      </w:pPr>
      <w:r>
        <w:lastRenderedPageBreak/>
        <w:t>Također, intenziviran je rad na davanjima mišljenja na prijedloge državnih potpora i na propise koji se odnose na državne potpore, zatim prikupljanje, obrađivanje i evidentiranje podataka o dodijeljenim potporama i izvješćivanje Europske komisije o istim, te pružanje stručne pomoći davateljima potpora u pripremi programa potpora i pojedinačnih potpora te provođenje edukacije i usavršavanja davatelja i korisnika potpora.</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rsidRPr="00E85C61">
        <w:trPr>
          <w:jc w:val="center"/>
        </w:trPr>
        <w:tc>
          <w:tcPr>
            <w:tcW w:w="2229" w:type="dxa"/>
            <w:shd w:val="clear" w:color="auto" w:fill="B5C0D8"/>
          </w:tcPr>
          <w:p w:rsidR="00D849AA" w:rsidRPr="00E85C61" w:rsidRDefault="00EE6D95">
            <w:pPr>
              <w:rPr>
                <w:rFonts w:ascii="Arial" w:hAnsi="Arial" w:cs="Arial"/>
              </w:rPr>
            </w:pPr>
            <w:r w:rsidRPr="00E85C61">
              <w:rPr>
                <w:rFonts w:ascii="Arial" w:hAnsi="Arial" w:cs="Arial"/>
              </w:rPr>
              <w:t>Pokazatelj učinka</w:t>
            </w:r>
          </w:p>
        </w:tc>
        <w:tc>
          <w:tcPr>
            <w:tcW w:w="1114" w:type="dxa"/>
            <w:shd w:val="clear" w:color="auto" w:fill="B5C0D8"/>
          </w:tcPr>
          <w:p w:rsidR="00D849AA" w:rsidRPr="00E85C61" w:rsidRDefault="00EE6D95">
            <w:pPr>
              <w:pStyle w:val="CellHeader"/>
            </w:pPr>
            <w:r w:rsidRPr="00E85C61">
              <w:t>Jedinica</w:t>
            </w:r>
          </w:p>
        </w:tc>
        <w:tc>
          <w:tcPr>
            <w:tcW w:w="1114" w:type="dxa"/>
            <w:shd w:val="clear" w:color="auto" w:fill="B5C0D8"/>
          </w:tcPr>
          <w:p w:rsidR="00D849AA" w:rsidRPr="00E85C61" w:rsidRDefault="00EE6D95">
            <w:pPr>
              <w:pStyle w:val="CellHeader"/>
            </w:pPr>
            <w:r w:rsidRPr="00E85C61">
              <w:t>Polazna vrijednost</w:t>
            </w:r>
          </w:p>
        </w:tc>
        <w:tc>
          <w:tcPr>
            <w:tcW w:w="1486" w:type="dxa"/>
            <w:shd w:val="clear" w:color="auto" w:fill="B5C0D8"/>
          </w:tcPr>
          <w:p w:rsidR="00D849AA" w:rsidRPr="00E85C61" w:rsidRDefault="00EE6D95">
            <w:pPr>
              <w:pStyle w:val="CellHeader"/>
            </w:pPr>
            <w:r w:rsidRPr="00E85C61">
              <w:t>Ciljana vrijednost (2014.)</w:t>
            </w:r>
          </w:p>
        </w:tc>
        <w:tc>
          <w:tcPr>
            <w:tcW w:w="1486" w:type="dxa"/>
            <w:shd w:val="clear" w:color="auto" w:fill="B5C0D8"/>
          </w:tcPr>
          <w:p w:rsidR="00D849AA" w:rsidRPr="00E85C61" w:rsidRDefault="00EE6D95">
            <w:pPr>
              <w:pStyle w:val="CellHeader"/>
            </w:pPr>
            <w:r w:rsidRPr="00E85C61">
              <w:t>Ciljana vrijednost (2015.)</w:t>
            </w:r>
          </w:p>
        </w:tc>
        <w:tc>
          <w:tcPr>
            <w:tcW w:w="1486" w:type="dxa"/>
            <w:shd w:val="clear" w:color="auto" w:fill="B5C0D8"/>
          </w:tcPr>
          <w:p w:rsidR="00D849AA" w:rsidRPr="00E85C61" w:rsidRDefault="00EE6D95">
            <w:pPr>
              <w:pStyle w:val="CellHeader"/>
            </w:pPr>
            <w:r w:rsidRPr="00E85C61">
              <w:t>Ciljana vrijednost (2016.)</w:t>
            </w:r>
          </w:p>
        </w:tc>
      </w:tr>
      <w:tr w:rsidR="00D849AA" w:rsidRPr="00E85C61">
        <w:trPr>
          <w:jc w:val="center"/>
        </w:trPr>
        <w:tc>
          <w:tcPr>
            <w:tcW w:w="2229" w:type="dxa"/>
          </w:tcPr>
          <w:p w:rsidR="00D849AA" w:rsidRPr="00E85C61" w:rsidRDefault="00EE6D95">
            <w:pPr>
              <w:pStyle w:val="CellColumn"/>
            </w:pPr>
            <w:r w:rsidRPr="00E85C61">
              <w:t>Povećanje broja odobrenih državnih potpora na prijavljene potpore</w:t>
            </w:r>
          </w:p>
        </w:tc>
        <w:tc>
          <w:tcPr>
            <w:tcW w:w="1114" w:type="dxa"/>
          </w:tcPr>
          <w:p w:rsidR="00D849AA" w:rsidRPr="00E85C61" w:rsidRDefault="00EE6D95">
            <w:pPr>
              <w:rPr>
                <w:rFonts w:ascii="Arial" w:hAnsi="Arial" w:cs="Arial"/>
              </w:rPr>
            </w:pPr>
            <w:r w:rsidRPr="00E85C61">
              <w:rPr>
                <w:rFonts w:ascii="Arial" w:hAnsi="Arial" w:cs="Arial"/>
              </w:rPr>
              <w:t>%</w:t>
            </w:r>
          </w:p>
        </w:tc>
        <w:tc>
          <w:tcPr>
            <w:tcW w:w="1114" w:type="dxa"/>
          </w:tcPr>
          <w:p w:rsidR="00D849AA" w:rsidRPr="00E85C61" w:rsidRDefault="00EE6D95">
            <w:pPr>
              <w:rPr>
                <w:rFonts w:ascii="Arial" w:hAnsi="Arial" w:cs="Arial"/>
              </w:rPr>
            </w:pPr>
            <w:r w:rsidRPr="00E85C61">
              <w:rPr>
                <w:rFonts w:ascii="Arial" w:hAnsi="Arial" w:cs="Arial"/>
              </w:rPr>
              <w:t>90</w:t>
            </w:r>
          </w:p>
        </w:tc>
        <w:tc>
          <w:tcPr>
            <w:tcW w:w="1486" w:type="dxa"/>
          </w:tcPr>
          <w:p w:rsidR="00D849AA" w:rsidRPr="00E85C61" w:rsidRDefault="00EE6D95">
            <w:pPr>
              <w:rPr>
                <w:rFonts w:ascii="Arial" w:hAnsi="Arial" w:cs="Arial"/>
              </w:rPr>
            </w:pPr>
            <w:r w:rsidRPr="00E85C61">
              <w:rPr>
                <w:rFonts w:ascii="Arial" w:hAnsi="Arial" w:cs="Arial"/>
              </w:rPr>
              <w:t>95</w:t>
            </w:r>
          </w:p>
        </w:tc>
        <w:tc>
          <w:tcPr>
            <w:tcW w:w="1486" w:type="dxa"/>
          </w:tcPr>
          <w:p w:rsidR="00D849AA" w:rsidRPr="00E85C61" w:rsidRDefault="00EE6D95">
            <w:pPr>
              <w:rPr>
                <w:rFonts w:ascii="Arial" w:hAnsi="Arial" w:cs="Arial"/>
              </w:rPr>
            </w:pPr>
            <w:r w:rsidRPr="00E85C61">
              <w:rPr>
                <w:rFonts w:ascii="Arial" w:hAnsi="Arial" w:cs="Arial"/>
              </w:rPr>
              <w:t>100</w:t>
            </w:r>
          </w:p>
        </w:tc>
        <w:tc>
          <w:tcPr>
            <w:tcW w:w="1486" w:type="dxa"/>
          </w:tcPr>
          <w:p w:rsidR="00D849AA" w:rsidRPr="00E85C61" w:rsidRDefault="00EE6D95">
            <w:pPr>
              <w:rPr>
                <w:rFonts w:ascii="Arial" w:hAnsi="Arial" w:cs="Arial"/>
              </w:rPr>
            </w:pPr>
            <w:r w:rsidRPr="00E85C61">
              <w:rPr>
                <w:rFonts w:ascii="Arial" w:hAnsi="Arial" w:cs="Arial"/>
              </w:rPr>
              <w:t>100</w:t>
            </w:r>
          </w:p>
        </w:tc>
      </w:tr>
      <w:tr w:rsidR="00D849AA" w:rsidRPr="00E85C61">
        <w:trPr>
          <w:jc w:val="center"/>
        </w:trPr>
        <w:tc>
          <w:tcPr>
            <w:tcW w:w="2229" w:type="dxa"/>
          </w:tcPr>
          <w:p w:rsidR="00D849AA" w:rsidRPr="00E85C61" w:rsidRDefault="00EE6D95">
            <w:pPr>
              <w:pStyle w:val="CellColumn"/>
            </w:pPr>
            <w:r w:rsidRPr="00E85C61">
              <w:t>Smanjenje iznosa potpora u BDP-u</w:t>
            </w:r>
          </w:p>
        </w:tc>
        <w:tc>
          <w:tcPr>
            <w:tcW w:w="1114" w:type="dxa"/>
          </w:tcPr>
          <w:p w:rsidR="00D849AA" w:rsidRPr="00E85C61" w:rsidRDefault="00EE6D95">
            <w:pPr>
              <w:rPr>
                <w:rFonts w:ascii="Arial" w:hAnsi="Arial" w:cs="Arial"/>
              </w:rPr>
            </w:pPr>
            <w:r w:rsidRPr="00E85C61">
              <w:rPr>
                <w:rFonts w:ascii="Arial" w:hAnsi="Arial" w:cs="Arial"/>
              </w:rPr>
              <w:t>%</w:t>
            </w:r>
          </w:p>
        </w:tc>
        <w:tc>
          <w:tcPr>
            <w:tcW w:w="1114" w:type="dxa"/>
          </w:tcPr>
          <w:p w:rsidR="00D849AA" w:rsidRPr="00E85C61" w:rsidRDefault="00EE6D95">
            <w:pPr>
              <w:rPr>
                <w:rFonts w:ascii="Arial" w:hAnsi="Arial" w:cs="Arial"/>
              </w:rPr>
            </w:pPr>
            <w:r w:rsidRPr="00E85C61">
              <w:rPr>
                <w:rFonts w:ascii="Arial" w:hAnsi="Arial" w:cs="Arial"/>
              </w:rPr>
              <w:t>1,46</w:t>
            </w:r>
          </w:p>
        </w:tc>
        <w:tc>
          <w:tcPr>
            <w:tcW w:w="1486" w:type="dxa"/>
          </w:tcPr>
          <w:p w:rsidR="00D849AA" w:rsidRPr="00E85C61" w:rsidRDefault="00EE6D95">
            <w:pPr>
              <w:rPr>
                <w:rFonts w:ascii="Arial" w:hAnsi="Arial" w:cs="Arial"/>
              </w:rPr>
            </w:pPr>
            <w:r w:rsidRPr="00E85C61">
              <w:rPr>
                <w:rFonts w:ascii="Arial" w:hAnsi="Arial" w:cs="Arial"/>
              </w:rPr>
              <w:t>1,26</w:t>
            </w:r>
          </w:p>
        </w:tc>
        <w:tc>
          <w:tcPr>
            <w:tcW w:w="1486" w:type="dxa"/>
          </w:tcPr>
          <w:p w:rsidR="00D849AA" w:rsidRPr="00E85C61" w:rsidRDefault="00EE6D95">
            <w:pPr>
              <w:rPr>
                <w:rFonts w:ascii="Arial" w:hAnsi="Arial" w:cs="Arial"/>
              </w:rPr>
            </w:pPr>
            <w:r w:rsidRPr="00E85C61">
              <w:rPr>
                <w:rFonts w:ascii="Arial" w:hAnsi="Arial" w:cs="Arial"/>
              </w:rPr>
              <w:t>1</w:t>
            </w:r>
          </w:p>
        </w:tc>
        <w:tc>
          <w:tcPr>
            <w:tcW w:w="1486" w:type="dxa"/>
          </w:tcPr>
          <w:p w:rsidR="00D849AA" w:rsidRPr="00E85C61" w:rsidRDefault="00EE6D95">
            <w:pPr>
              <w:rPr>
                <w:rFonts w:ascii="Arial" w:hAnsi="Arial" w:cs="Arial"/>
              </w:rPr>
            </w:pPr>
            <w:r w:rsidRPr="00E85C61">
              <w:rPr>
                <w:rFonts w:ascii="Arial" w:hAnsi="Arial" w:cs="Arial"/>
              </w:rPr>
              <w:t>0,9</w:t>
            </w:r>
          </w:p>
        </w:tc>
      </w:tr>
    </w:tbl>
    <w:p w:rsidR="00D849AA" w:rsidRPr="00E85C61" w:rsidRDefault="00D849AA">
      <w:pPr>
        <w:jc w:val="left"/>
        <w:rPr>
          <w:rFonts w:ascii="Arial" w:hAnsi="Arial" w:cs="Arial"/>
        </w:rPr>
      </w:pPr>
    </w:p>
    <w:p w:rsidR="00D849AA" w:rsidRDefault="00EE6D95">
      <w:pPr>
        <w:pStyle w:val="Naslov7"/>
      </w:pPr>
      <w:r>
        <w:t>Cilj 3. Promicanje svijesti – jačanje kulture tržišnog natjecanja</w:t>
      </w:r>
    </w:p>
    <w:p w:rsidR="00D849AA" w:rsidRDefault="00EE6D95">
      <w:pPr>
        <w:pStyle w:val="Normal6"/>
      </w:pPr>
      <w:r>
        <w:t xml:space="preserve">Promicanje prava i politike tržišnog natjecanja te razvoj i širenje kulture tržišnog natjecanja u središtu su aktivnosti Agencije sa svrhom postizanja općeg cilja. Navedeno obuhvaća podizanje svijesti o učincima tržišnog natjecanja na rast konkurentnosti nacionalnog gospodarstva, uključujući i upoznavanje s prednostima koje tržišno natjecanje donosi potrošačima. Isto tako kultura tržišnog natjecanja podrazumijeva doprinos stvaranju i usklađenosti zakonodavnog okvira koji će poticati konkurentno okruženje za razvitak poduzetništva i služiti općem interesu. Zadaća Agencije je i praćenje postojećih propisa kako bi se osigurala njihova usklađenost s načelima prava i politike tržišnog natjecanja, a o uočenim nepravilnostima Agencija može ukazati hrvatskoj Vladi ili drugim tijelima javne vlasti.  </w:t>
      </w:r>
    </w:p>
    <w:p w:rsidR="00D849AA" w:rsidRDefault="00EE6D95">
      <w:pPr>
        <w:pStyle w:val="Normal6"/>
      </w:pPr>
      <w:r>
        <w:t xml:space="preserve">Konkretno, Agencija donosi stručna mišljenja o sukladnosti važećih zakona i drugih propisa s propisima o zaštiti tržišnog natjecanja, donosi mišljenja kojima se promiče znanje o tržišnom natjecanju, odnosno podiže razina svijesti i informiranosti o ulozi politike i prava tržišnog natjecanja te donosi mišljenja i stručne stavove o rješenjima i razvoju komparativne prakse iz područja prava i politike tržišnog natjecanja. </w:t>
      </w:r>
    </w:p>
    <w:p w:rsidR="00D849AA" w:rsidRDefault="00EE6D95">
      <w:pPr>
        <w:pStyle w:val="Normal6"/>
      </w:pPr>
      <w:r>
        <w:t xml:space="preserve">Cilj analize propisa, kako nacrta tako i važećih propisa, je prevencija odnosno smanjenje mogućnosti donošenja propisa kojima se svjesno ili nesvjesno narušava tržišno natjecanje na štetu potrošača i ukupne konkurentnosti hrvatskog gospodarstva.  Istodobno, time se unaprijed smanjuje potreba za ex post postupanjima Agencije kao i broj subjekata kojima se nanosi šteta ograničavanjem tržišnog natjecanja.  </w:t>
      </w:r>
    </w:p>
    <w:p w:rsidR="00D849AA" w:rsidRDefault="00EE6D95">
      <w:pPr>
        <w:pStyle w:val="Normal6"/>
      </w:pPr>
      <w:r>
        <w:t xml:space="preserve">Dodatno, inicijativama i očitovanjima koje upućuje Vladi RH, ministarstvima ili drugim regulatorima i institucijama, čak i poduzetnicima, Agencija ukazuje na mogućnosti negativnih učinaka propisa i regulatornog okruženja na tržišno natjecanje.  </w:t>
      </w:r>
    </w:p>
    <w:p w:rsidR="00D849AA" w:rsidRDefault="00EE6D95">
      <w:pPr>
        <w:pStyle w:val="Normal6"/>
      </w:pPr>
      <w:r>
        <w:t xml:space="preserve">U ostvarenju cilja razvoja kulture tržišnog natjecanja Agencija na službenoj internetskoj stranici: www.aztn.hr objavljuje svoje odluke i mišljenja. Također, redovito objavljuje priopćenja sa sjednica Vijeća, odgovara na pitanja novinara i surađuje s medijima, tiska brošure itd. Agencija djeluje i preventivno ukazujući na moguće učinke koje mogu imati pojedini potezi i ponašanja poduzetnika na tržištu.  </w:t>
      </w:r>
    </w:p>
    <w:p w:rsidR="00D849AA" w:rsidRDefault="00EE6D95">
      <w:pPr>
        <w:pStyle w:val="Normal6"/>
      </w:pPr>
      <w:r>
        <w:lastRenderedPageBreak/>
        <w:t>Također, stupanjem na snagu Zakona o procjeni učinka propisa («Narodne novine», broj 90/11) i Uredbe o provedbi postupka procjene učinaka propisa («Narodne novine», broj 66/12), Agencija je nadležna za davanjem mišljenja o učinku propisa na tržišno natjecanje.</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E85C61" w:rsidRDefault="00EE6D95">
            <w:pPr>
              <w:rPr>
                <w:rFonts w:ascii="Arial" w:hAnsi="Arial" w:cs="Arial"/>
              </w:rPr>
            </w:pPr>
            <w:r w:rsidRPr="00E85C61">
              <w:rPr>
                <w:rFonts w:ascii="Arial" w:hAnsi="Arial" w:cs="Arial"/>
              </w:rPr>
              <w:t>Pokazatelj učinka</w:t>
            </w:r>
          </w:p>
        </w:tc>
        <w:tc>
          <w:tcPr>
            <w:tcW w:w="1114" w:type="dxa"/>
            <w:shd w:val="clear" w:color="auto" w:fill="B5C0D8"/>
          </w:tcPr>
          <w:p w:rsidR="00D849AA" w:rsidRPr="00E85C61" w:rsidRDefault="00EE6D95">
            <w:pPr>
              <w:pStyle w:val="CellHeader"/>
            </w:pPr>
            <w:r w:rsidRPr="00E85C61">
              <w:t>Jedinica</w:t>
            </w:r>
          </w:p>
        </w:tc>
        <w:tc>
          <w:tcPr>
            <w:tcW w:w="1114" w:type="dxa"/>
            <w:shd w:val="clear" w:color="auto" w:fill="B5C0D8"/>
          </w:tcPr>
          <w:p w:rsidR="00D849AA" w:rsidRPr="00E85C61" w:rsidRDefault="00EE6D95">
            <w:pPr>
              <w:pStyle w:val="CellHeader"/>
            </w:pPr>
            <w:r w:rsidRPr="00E85C61">
              <w:t>Polazna vrijednost</w:t>
            </w:r>
          </w:p>
        </w:tc>
        <w:tc>
          <w:tcPr>
            <w:tcW w:w="1486" w:type="dxa"/>
            <w:shd w:val="clear" w:color="auto" w:fill="B5C0D8"/>
          </w:tcPr>
          <w:p w:rsidR="00D849AA" w:rsidRPr="00E85C61" w:rsidRDefault="00EE6D95">
            <w:pPr>
              <w:pStyle w:val="CellHeader"/>
            </w:pPr>
            <w:r w:rsidRPr="00E85C61">
              <w:t>Ciljana vrijednost (2014.)</w:t>
            </w:r>
          </w:p>
        </w:tc>
        <w:tc>
          <w:tcPr>
            <w:tcW w:w="1486" w:type="dxa"/>
            <w:shd w:val="clear" w:color="auto" w:fill="B5C0D8"/>
          </w:tcPr>
          <w:p w:rsidR="00D849AA" w:rsidRPr="00E85C61" w:rsidRDefault="00EE6D95">
            <w:pPr>
              <w:pStyle w:val="CellHeader"/>
            </w:pPr>
            <w:r w:rsidRPr="00E85C61">
              <w:t>Ciljana vrijednost (2015.)</w:t>
            </w:r>
          </w:p>
        </w:tc>
        <w:tc>
          <w:tcPr>
            <w:tcW w:w="1486" w:type="dxa"/>
            <w:shd w:val="clear" w:color="auto" w:fill="B5C0D8"/>
          </w:tcPr>
          <w:p w:rsidR="00D849AA" w:rsidRPr="00E85C61" w:rsidRDefault="00EE6D95">
            <w:pPr>
              <w:pStyle w:val="CellHeader"/>
            </w:pPr>
            <w:r w:rsidRPr="00E85C61">
              <w:t>Ciljana vrijednost (2016.)</w:t>
            </w:r>
          </w:p>
        </w:tc>
      </w:tr>
      <w:tr w:rsidR="00D849AA">
        <w:trPr>
          <w:jc w:val="center"/>
        </w:trPr>
        <w:tc>
          <w:tcPr>
            <w:tcW w:w="2229" w:type="dxa"/>
          </w:tcPr>
          <w:p w:rsidR="00D849AA" w:rsidRPr="00E85C61" w:rsidRDefault="00EE6D95">
            <w:pPr>
              <w:pStyle w:val="CellColumn"/>
            </w:pPr>
            <w:r w:rsidRPr="00E85C61">
              <w:t>Povećanje broja objavljenih odluka Agencije</w:t>
            </w:r>
          </w:p>
        </w:tc>
        <w:tc>
          <w:tcPr>
            <w:tcW w:w="1114" w:type="dxa"/>
          </w:tcPr>
          <w:p w:rsidR="00D849AA" w:rsidRPr="00E85C61" w:rsidRDefault="00EE6D95">
            <w:pPr>
              <w:rPr>
                <w:rFonts w:ascii="Arial" w:hAnsi="Arial" w:cs="Arial"/>
              </w:rPr>
            </w:pPr>
            <w:r w:rsidRPr="00E85C61">
              <w:rPr>
                <w:rFonts w:ascii="Arial" w:hAnsi="Arial" w:cs="Arial"/>
              </w:rPr>
              <w:t>broj</w:t>
            </w:r>
          </w:p>
        </w:tc>
        <w:tc>
          <w:tcPr>
            <w:tcW w:w="1114" w:type="dxa"/>
          </w:tcPr>
          <w:p w:rsidR="00D849AA" w:rsidRPr="00E85C61" w:rsidRDefault="00EE6D95">
            <w:pPr>
              <w:rPr>
                <w:rFonts w:ascii="Arial" w:hAnsi="Arial" w:cs="Arial"/>
              </w:rPr>
            </w:pPr>
            <w:r w:rsidRPr="00E85C61">
              <w:rPr>
                <w:rFonts w:ascii="Arial" w:hAnsi="Arial" w:cs="Arial"/>
              </w:rPr>
              <w:t>122</w:t>
            </w:r>
          </w:p>
        </w:tc>
        <w:tc>
          <w:tcPr>
            <w:tcW w:w="1486" w:type="dxa"/>
          </w:tcPr>
          <w:p w:rsidR="00D849AA" w:rsidRPr="00E85C61" w:rsidRDefault="00EE6D95">
            <w:pPr>
              <w:rPr>
                <w:rFonts w:ascii="Arial" w:hAnsi="Arial" w:cs="Arial"/>
              </w:rPr>
            </w:pPr>
            <w:r w:rsidRPr="00E85C61">
              <w:rPr>
                <w:rFonts w:ascii="Arial" w:hAnsi="Arial" w:cs="Arial"/>
              </w:rPr>
              <w:t>124</w:t>
            </w:r>
          </w:p>
        </w:tc>
        <w:tc>
          <w:tcPr>
            <w:tcW w:w="1486" w:type="dxa"/>
          </w:tcPr>
          <w:p w:rsidR="00D849AA" w:rsidRPr="00E85C61" w:rsidRDefault="00EE6D95">
            <w:pPr>
              <w:rPr>
                <w:rFonts w:ascii="Arial" w:hAnsi="Arial" w:cs="Arial"/>
              </w:rPr>
            </w:pPr>
            <w:r w:rsidRPr="00E85C61">
              <w:rPr>
                <w:rFonts w:ascii="Arial" w:hAnsi="Arial" w:cs="Arial"/>
              </w:rPr>
              <w:t>126</w:t>
            </w:r>
          </w:p>
        </w:tc>
        <w:tc>
          <w:tcPr>
            <w:tcW w:w="1486" w:type="dxa"/>
          </w:tcPr>
          <w:p w:rsidR="00D849AA" w:rsidRPr="00E85C61" w:rsidRDefault="00EE6D95">
            <w:pPr>
              <w:rPr>
                <w:rFonts w:ascii="Arial" w:hAnsi="Arial" w:cs="Arial"/>
              </w:rPr>
            </w:pPr>
            <w:r w:rsidRPr="00E85C61">
              <w:rPr>
                <w:rFonts w:ascii="Arial" w:hAnsi="Arial" w:cs="Arial"/>
              </w:rPr>
              <w:t>128</w:t>
            </w:r>
          </w:p>
        </w:tc>
      </w:tr>
      <w:tr w:rsidR="00D849AA">
        <w:trPr>
          <w:jc w:val="center"/>
        </w:trPr>
        <w:tc>
          <w:tcPr>
            <w:tcW w:w="2229" w:type="dxa"/>
          </w:tcPr>
          <w:p w:rsidR="00D849AA" w:rsidRPr="00E85C61" w:rsidRDefault="00EE6D95">
            <w:pPr>
              <w:pStyle w:val="CellColumn"/>
            </w:pPr>
            <w:r w:rsidRPr="00E85C61">
              <w:t>Povećanje broja održanih bilateralnih susreta</w:t>
            </w:r>
          </w:p>
        </w:tc>
        <w:tc>
          <w:tcPr>
            <w:tcW w:w="1114" w:type="dxa"/>
          </w:tcPr>
          <w:p w:rsidR="00D849AA" w:rsidRPr="00E85C61" w:rsidRDefault="00EE6D95">
            <w:pPr>
              <w:rPr>
                <w:rFonts w:ascii="Arial" w:hAnsi="Arial" w:cs="Arial"/>
              </w:rPr>
            </w:pPr>
            <w:r w:rsidRPr="00E85C61">
              <w:rPr>
                <w:rFonts w:ascii="Arial" w:hAnsi="Arial" w:cs="Arial"/>
              </w:rPr>
              <w:t>broj</w:t>
            </w:r>
          </w:p>
        </w:tc>
        <w:tc>
          <w:tcPr>
            <w:tcW w:w="1114" w:type="dxa"/>
          </w:tcPr>
          <w:p w:rsidR="00D849AA" w:rsidRPr="00E85C61" w:rsidRDefault="00EE6D95">
            <w:pPr>
              <w:rPr>
                <w:rFonts w:ascii="Arial" w:hAnsi="Arial" w:cs="Arial"/>
              </w:rPr>
            </w:pPr>
            <w:r w:rsidRPr="00E85C61">
              <w:rPr>
                <w:rFonts w:ascii="Arial" w:hAnsi="Arial" w:cs="Arial"/>
              </w:rPr>
              <w:t>10</w:t>
            </w:r>
          </w:p>
        </w:tc>
        <w:tc>
          <w:tcPr>
            <w:tcW w:w="1486" w:type="dxa"/>
          </w:tcPr>
          <w:p w:rsidR="00D849AA" w:rsidRPr="00E85C61" w:rsidRDefault="00EE6D95">
            <w:pPr>
              <w:rPr>
                <w:rFonts w:ascii="Arial" w:hAnsi="Arial" w:cs="Arial"/>
              </w:rPr>
            </w:pPr>
            <w:r w:rsidRPr="00E85C61">
              <w:rPr>
                <w:rFonts w:ascii="Arial" w:hAnsi="Arial" w:cs="Arial"/>
              </w:rPr>
              <w:t>12</w:t>
            </w:r>
          </w:p>
        </w:tc>
        <w:tc>
          <w:tcPr>
            <w:tcW w:w="1486" w:type="dxa"/>
          </w:tcPr>
          <w:p w:rsidR="00D849AA" w:rsidRPr="00E85C61" w:rsidRDefault="00EE6D95">
            <w:pPr>
              <w:rPr>
                <w:rFonts w:ascii="Arial" w:hAnsi="Arial" w:cs="Arial"/>
              </w:rPr>
            </w:pPr>
            <w:r w:rsidRPr="00E85C61">
              <w:rPr>
                <w:rFonts w:ascii="Arial" w:hAnsi="Arial" w:cs="Arial"/>
              </w:rPr>
              <w:t>15</w:t>
            </w:r>
          </w:p>
        </w:tc>
        <w:tc>
          <w:tcPr>
            <w:tcW w:w="1486" w:type="dxa"/>
          </w:tcPr>
          <w:p w:rsidR="00D849AA" w:rsidRPr="00E85C61" w:rsidRDefault="00EE6D95">
            <w:pPr>
              <w:rPr>
                <w:rFonts w:ascii="Arial" w:hAnsi="Arial" w:cs="Arial"/>
              </w:rPr>
            </w:pPr>
            <w:r w:rsidRPr="00E85C61">
              <w:rPr>
                <w:rFonts w:ascii="Arial" w:hAnsi="Arial" w:cs="Arial"/>
              </w:rPr>
              <w:t>17</w:t>
            </w:r>
          </w:p>
        </w:tc>
      </w:tr>
    </w:tbl>
    <w:p w:rsidR="00D849AA" w:rsidRDefault="00D849AA">
      <w:pPr>
        <w:jc w:val="left"/>
      </w:pPr>
    </w:p>
    <w:p w:rsidR="00D849AA" w:rsidRDefault="00EE6D95">
      <w:pPr>
        <w:pStyle w:val="Naslov5"/>
      </w:pPr>
      <w:r>
        <w:t>Procjena i ishodište potrebnih sredstava za značajnije aktivnosti/projekte</w:t>
      </w:r>
    </w:p>
    <w:p w:rsidR="00D849AA" w:rsidRDefault="00EE6D95">
      <w:pPr>
        <w:pStyle w:val="Naslov6"/>
      </w:pPr>
      <w:r>
        <w:t>A507008 ADMINISTRACIJA I UPRAVLJANJE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rsidRPr="00E85C61">
        <w:trPr>
          <w:jc w:val="center"/>
        </w:trPr>
        <w:tc>
          <w:tcPr>
            <w:tcW w:w="1486" w:type="dxa"/>
            <w:shd w:val="clear" w:color="auto" w:fill="B5C0D8"/>
          </w:tcPr>
          <w:p w:rsidR="00D849AA" w:rsidRPr="00E85C61" w:rsidRDefault="00EE6D95">
            <w:pPr>
              <w:pStyle w:val="CellHeader"/>
            </w:pPr>
            <w:r w:rsidRPr="00E85C61">
              <w:t>Naziv aktivnosti</w:t>
            </w:r>
          </w:p>
        </w:tc>
        <w:tc>
          <w:tcPr>
            <w:tcW w:w="1486" w:type="dxa"/>
            <w:shd w:val="clear" w:color="auto" w:fill="B5C0D8"/>
          </w:tcPr>
          <w:p w:rsidR="00D849AA" w:rsidRPr="00E85C61" w:rsidRDefault="00EE6D95">
            <w:pPr>
              <w:pStyle w:val="CellHeader"/>
            </w:pPr>
            <w:r w:rsidRPr="00E85C61">
              <w:t>Plan 2013.</w:t>
            </w:r>
          </w:p>
        </w:tc>
        <w:tc>
          <w:tcPr>
            <w:tcW w:w="1486" w:type="dxa"/>
            <w:shd w:val="clear" w:color="auto" w:fill="B5C0D8"/>
          </w:tcPr>
          <w:p w:rsidR="00D849AA" w:rsidRPr="00E85C61" w:rsidRDefault="00EE6D95">
            <w:pPr>
              <w:pStyle w:val="CellHeader"/>
            </w:pPr>
            <w:r w:rsidRPr="00E85C61">
              <w:t>Plan 2014.</w:t>
            </w:r>
          </w:p>
        </w:tc>
        <w:tc>
          <w:tcPr>
            <w:tcW w:w="1486" w:type="dxa"/>
            <w:shd w:val="clear" w:color="auto" w:fill="B5C0D8"/>
          </w:tcPr>
          <w:p w:rsidR="00D849AA" w:rsidRPr="00E85C61" w:rsidRDefault="00EE6D95">
            <w:pPr>
              <w:pStyle w:val="CellHeader"/>
            </w:pPr>
            <w:r w:rsidRPr="00E85C61">
              <w:t>Plan 2015.</w:t>
            </w:r>
          </w:p>
        </w:tc>
        <w:tc>
          <w:tcPr>
            <w:tcW w:w="1486" w:type="dxa"/>
            <w:shd w:val="clear" w:color="auto" w:fill="B5C0D8"/>
          </w:tcPr>
          <w:p w:rsidR="00D849AA" w:rsidRPr="00E85C61" w:rsidRDefault="00EE6D95">
            <w:pPr>
              <w:pStyle w:val="CellHeader"/>
            </w:pPr>
            <w:r w:rsidRPr="00E85C61">
              <w:t>Plan 2016.</w:t>
            </w:r>
          </w:p>
        </w:tc>
        <w:tc>
          <w:tcPr>
            <w:tcW w:w="1486" w:type="dxa"/>
            <w:shd w:val="clear" w:color="auto" w:fill="B5C0D8"/>
          </w:tcPr>
          <w:p w:rsidR="00D849AA" w:rsidRPr="00E85C61" w:rsidRDefault="00EE6D95">
            <w:pPr>
              <w:pStyle w:val="CellHeader"/>
            </w:pPr>
            <w:r w:rsidRPr="00E85C61">
              <w:t>Indeks 2014/2013</w:t>
            </w:r>
          </w:p>
        </w:tc>
      </w:tr>
      <w:tr w:rsidR="00D849AA" w:rsidRPr="00E85C61">
        <w:trPr>
          <w:jc w:val="center"/>
        </w:trPr>
        <w:tc>
          <w:tcPr>
            <w:tcW w:w="1486" w:type="dxa"/>
          </w:tcPr>
          <w:p w:rsidR="00D849AA" w:rsidRPr="00E85C61" w:rsidRDefault="00EE6D95">
            <w:pPr>
              <w:pStyle w:val="CellColumn"/>
            </w:pPr>
            <w:r w:rsidRPr="00E85C61">
              <w:t>A507008</w:t>
            </w:r>
          </w:p>
        </w:tc>
        <w:tc>
          <w:tcPr>
            <w:tcW w:w="1486" w:type="dxa"/>
          </w:tcPr>
          <w:p w:rsidR="00D849AA" w:rsidRPr="00E85C61" w:rsidRDefault="00EE6D95">
            <w:pPr>
              <w:rPr>
                <w:rFonts w:ascii="Arial" w:hAnsi="Arial" w:cs="Arial"/>
              </w:rPr>
            </w:pPr>
            <w:r w:rsidRPr="00E85C61">
              <w:rPr>
                <w:rFonts w:ascii="Arial" w:hAnsi="Arial" w:cs="Arial"/>
              </w:rPr>
              <w:t>12.844.890</w:t>
            </w:r>
          </w:p>
        </w:tc>
        <w:tc>
          <w:tcPr>
            <w:tcW w:w="1486" w:type="dxa"/>
          </w:tcPr>
          <w:p w:rsidR="00D849AA" w:rsidRPr="00E85C61" w:rsidRDefault="00EE6D95">
            <w:pPr>
              <w:rPr>
                <w:rFonts w:ascii="Arial" w:hAnsi="Arial" w:cs="Arial"/>
              </w:rPr>
            </w:pPr>
            <w:r w:rsidRPr="00E85C61">
              <w:rPr>
                <w:rFonts w:ascii="Arial" w:hAnsi="Arial" w:cs="Arial"/>
              </w:rPr>
              <w:t>13.680.123</w:t>
            </w:r>
          </w:p>
        </w:tc>
        <w:tc>
          <w:tcPr>
            <w:tcW w:w="1486" w:type="dxa"/>
          </w:tcPr>
          <w:p w:rsidR="00D849AA" w:rsidRPr="00E85C61" w:rsidRDefault="00EE6D95">
            <w:pPr>
              <w:rPr>
                <w:rFonts w:ascii="Arial" w:hAnsi="Arial" w:cs="Arial"/>
              </w:rPr>
            </w:pPr>
            <w:r w:rsidRPr="00E85C61">
              <w:rPr>
                <w:rFonts w:ascii="Arial" w:hAnsi="Arial" w:cs="Arial"/>
              </w:rPr>
              <w:t>13.400.867</w:t>
            </w:r>
          </w:p>
        </w:tc>
        <w:tc>
          <w:tcPr>
            <w:tcW w:w="1486" w:type="dxa"/>
          </w:tcPr>
          <w:p w:rsidR="00D849AA" w:rsidRPr="00E85C61" w:rsidRDefault="00EE6D95">
            <w:pPr>
              <w:rPr>
                <w:rFonts w:ascii="Arial" w:hAnsi="Arial" w:cs="Arial"/>
              </w:rPr>
            </w:pPr>
            <w:r w:rsidRPr="00E85C61">
              <w:rPr>
                <w:rFonts w:ascii="Arial" w:hAnsi="Arial" w:cs="Arial"/>
              </w:rPr>
              <w:t>13.451.504</w:t>
            </w:r>
          </w:p>
        </w:tc>
        <w:tc>
          <w:tcPr>
            <w:tcW w:w="1486" w:type="dxa"/>
          </w:tcPr>
          <w:p w:rsidR="00D849AA" w:rsidRPr="00E85C61" w:rsidRDefault="00EE6D95">
            <w:pPr>
              <w:rPr>
                <w:rFonts w:ascii="Arial" w:hAnsi="Arial" w:cs="Arial"/>
              </w:rPr>
            </w:pPr>
            <w:r w:rsidRPr="00E85C61">
              <w:rPr>
                <w:rFonts w:ascii="Arial" w:hAnsi="Arial" w:cs="Arial"/>
              </w:rPr>
              <w:t>106,5</w:t>
            </w:r>
          </w:p>
        </w:tc>
      </w:tr>
    </w:tbl>
    <w:p w:rsidR="00D849AA" w:rsidRPr="00E85C61" w:rsidRDefault="00D849AA">
      <w:pPr>
        <w:jc w:val="left"/>
        <w:rPr>
          <w:rFonts w:ascii="Arial" w:hAnsi="Arial" w:cs="Arial"/>
        </w:rPr>
      </w:pPr>
    </w:p>
    <w:p w:rsidR="00D849AA" w:rsidRDefault="00EE6D95">
      <w:pPr>
        <w:pStyle w:val="Normal6"/>
      </w:pPr>
      <w:r>
        <w:t xml:space="preserve">U ovoj aktivnosti sadržano je 97% svih rashoda potrebnih za rad Agencije. U rashode su uključeni izdaci za zaposlene, svi materijalni izdaci osim dijela izdataka za računalne usluge, financijski rashodi i rashodi za nabavu dijela nefinancijske imovine. Ukupni rashodi za aktivnost povećani su  u odnosu na 2013. godinu za 7%.  </w:t>
      </w:r>
    </w:p>
    <w:p w:rsidR="00D849AA" w:rsidRDefault="00EE6D95" w:rsidP="00E85C61">
      <w:pPr>
        <w:pStyle w:val="Normal6"/>
      </w:pPr>
      <w:r>
        <w:t xml:space="preserve">Rashodi za zaposlene planirani su za 53 zaposlenika (48 radnika i 5 članova Vijeća), te dodatno uvećani za isplate članovima Vijeća kojima je prestao mandat a koji nakon isteka mandata ostvaruju pravo na naknadu plaće sukladno zakonskim odredbama. Administrativno jačanje Agencije u narednoj godini realizirati će se kroz dodatnu edukaciju i stručno osposobljavanje radnika uz možebitno zapošljavanje dva nova zaposlenika ovisno o raspoloživim sredstvima. S obzirom na složenost poslova Agencije kvalifikacijska struktura zaposlenika je visoka, jer od 48 radnika samo su dva sa srednjom stručnom spremom, tri sa višom stručnom spremom, a devet zaposlenika su doktori odnosno magistri znanosti. Svi ostali zaposlenici imaju visoku stručnu spremu, te zadovoljene dodatne uvjete za pojedino radno mjesto.  </w:t>
      </w:r>
    </w:p>
    <w:p w:rsidR="00D849AA" w:rsidRDefault="00EE6D95">
      <w:pPr>
        <w:pStyle w:val="Normal6"/>
      </w:pPr>
      <w:r>
        <w:t xml:space="preserve">Polazeći od navedene složenosti poslova Agencije, sukladno članku 35. Zakona o zaštiti tržišnog natjecanja, radnici stručne službe – diplomirani pravnici s položenim pravosudnim ispitom vode postupke koji su u nadležnosti Agencije, a odluke donosi Vijeće. Dodatni uvjeti za radnike stručne službe, koji izriču upravno-kaznene mjere, nalažu da na tim poslovima mogu raditi samo oni djelatnici koji imaju najmanje 4 godine radnog staža u struci nakon položenog pravosudnog ispita. Stoga od 20 pravnika u Agenciji, 18 pravnika ima položen pravosudni ispit, dok se 2 radnice trenutno aktivno pripremaju za polaganje istog.  </w:t>
      </w:r>
    </w:p>
    <w:p w:rsidR="00D849AA" w:rsidRDefault="00EE6D95">
      <w:pPr>
        <w:pStyle w:val="Normal6"/>
      </w:pPr>
      <w:r>
        <w:t xml:space="preserve"> </w:t>
      </w:r>
    </w:p>
    <w:p w:rsidR="00D849AA" w:rsidRDefault="00EE6D95">
      <w:pPr>
        <w:pStyle w:val="Normal6"/>
      </w:pPr>
      <w:r>
        <w:lastRenderedPageBreak/>
        <w:t xml:space="preserve">Također, pravnici Agencije s položenim pravosudnim ispitom zastupaju Agenciju na Visokom upravnom sudu RH u upravnim sporovima pokrenutim protiv odluka Agencije. </w:t>
      </w:r>
    </w:p>
    <w:p w:rsidR="00D849AA" w:rsidRDefault="00EE6D95" w:rsidP="00E85C61">
      <w:pPr>
        <w:pStyle w:val="Normal6"/>
      </w:pPr>
      <w:r>
        <w:t xml:space="preserve">Radnici Agencije, kao ni članovi Vijeća, ne mogu biti članovi uprava ili nadzornih odbora te upravnih vijeća poduzetnika ili biti u članstvima bilo kojih drugih oblika interesnog udruživanja. S obzirom na važnost ekonomske analize i poznavanja financijskih propisa i izvješća, od ekonomista u Agenciji se dodatno zahtijeva, ili polaganje ispita za revizora, ili odgovarajući znanstveni studij. Stoga Agencija ima 4 interna revizora. </w:t>
      </w:r>
    </w:p>
    <w:p w:rsidR="00D849AA" w:rsidRDefault="00EE6D95" w:rsidP="00E85C61">
      <w:pPr>
        <w:pStyle w:val="Normal6"/>
      </w:pPr>
      <w:r>
        <w:t xml:space="preserve">U svojim internim aktima donesenim temeljem Zakona o zaštiti tržišnog natjecanja i Statuta Agencije, utvrđeni su nazivi radnih mjesta i koeficijenti za plaće zaposlenika koji se obračunavaju na propisanu proračunsku osnovicu, a sukladno navedenim zakonskim uvjetima za obavljanje poslova u Agenciji odnosno složenosti poslova svakog radnog mjesta, uz uvažavanje preporuka EK vezano uz potrebne prioritete u radu Agencije (borba protiv kartela, kontrola državnih potpora, EU poslovi i projekti), pa su za ta radna mjesta određeni i nešto viši koeficijenti od ostalih u Agenciji.  </w:t>
      </w:r>
    </w:p>
    <w:p w:rsidR="00D849AA" w:rsidRDefault="00EE6D95" w:rsidP="00E85C61">
      <w:pPr>
        <w:pStyle w:val="Normal6"/>
      </w:pPr>
      <w:r>
        <w:t xml:space="preserve">Na ostala materijalna prava zaposlenika Agencije se sukladno internim aktima Agencije primjenjuje Kolektivni ugovor za državne službenike i namještenike.  </w:t>
      </w:r>
    </w:p>
    <w:p w:rsidR="00D849AA" w:rsidRDefault="00EE6D95">
      <w:pPr>
        <w:pStyle w:val="Normal6"/>
      </w:pPr>
      <w:r>
        <w:t xml:space="preserve">Materijalni rashodi povećani su za su za 3% u odnosu na plan 2013. godinu. Iako Agencija kontinuirano poduzima aktivnosti s ciljem smanjivanja materijalnih rashoda,  na određeni dio tih rashoda, osobito onaj koji se odnosi na povećane troškove energije, komunalnih usluga, poštanskih usluga, usluga tekućeg i investicijskog održavanja  i slično, teško može značajnije utjecati. Radi povećanja cijena energenata potrebno je povećati sredstva za komunalne usluge čija je visina povećana u tijeku 2013. godine Odlukom Povjerenstva koje upravlja poslovnim prostorom u kojem je Agencija smještena. Također je potrebno povećanje na stavci električne energije kao i usluga tekućeg i investicijskog održavanja s obzirom na starost opreme, posebice za službena vozila koja su stara 10 i 15 godina. Također, sjecanjem članstva u  EU ova Agencija, sukladno pravnoj stečevini EU, dakle po sili propisa, postala je članica Europske mreže tijela za zaštitu tržišnog natjecanja država članica (ECN) te je potrebno predvidjeti sredstva za sudjelovanje predstavnika Agencije u radu radnih skupina i tijela te mreže.     </w:t>
      </w:r>
    </w:p>
    <w:p w:rsidR="00D849AA" w:rsidRDefault="00EE6D95">
      <w:pPr>
        <w:pStyle w:val="Normal6"/>
      </w:pPr>
      <w:r>
        <w:t>Najveću stavku u materijalnim troškovima ove aktivnosti (44%) čine sredstva za najam prostora  za koji je u 2014. godini planiran isti iznos kao i za 2013. godinu (1.320.000 kuna). Budući da ugovor o najmu poslovnog prostora s tvrtkom Croatia airlines d.d. ističe koncem 2013. godine, Agencija je uputila zahtjev Agenciji za upravljanje državnom imovinom za osiguranje ogovarajućeg poslovnog prostora pod povoljnijim uvjetima ali je od Agencije dobila odgovor da trenutno nema odgovarajućeg raspoloživog prostora.</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E85C61" w:rsidRDefault="00EE6D95">
            <w:pPr>
              <w:rPr>
                <w:rFonts w:ascii="Arial" w:hAnsi="Arial" w:cs="Arial"/>
              </w:rPr>
            </w:pPr>
            <w:r w:rsidRPr="00E85C61">
              <w:rPr>
                <w:rFonts w:ascii="Arial" w:hAnsi="Arial" w:cs="Arial"/>
              </w:rPr>
              <w:t>Pokazatelj rezultata</w:t>
            </w:r>
          </w:p>
        </w:tc>
        <w:tc>
          <w:tcPr>
            <w:tcW w:w="1114" w:type="dxa"/>
            <w:shd w:val="clear" w:color="auto" w:fill="B5C0D8"/>
          </w:tcPr>
          <w:p w:rsidR="00D849AA" w:rsidRPr="00E85C61" w:rsidRDefault="00EE6D95">
            <w:pPr>
              <w:pStyle w:val="CellHeader"/>
            </w:pPr>
            <w:r w:rsidRPr="00E85C61">
              <w:t>Jedinica</w:t>
            </w:r>
          </w:p>
        </w:tc>
        <w:tc>
          <w:tcPr>
            <w:tcW w:w="1114" w:type="dxa"/>
            <w:shd w:val="clear" w:color="auto" w:fill="B5C0D8"/>
          </w:tcPr>
          <w:p w:rsidR="00D849AA" w:rsidRPr="00E85C61" w:rsidRDefault="00EE6D95">
            <w:pPr>
              <w:pStyle w:val="CellHeader"/>
            </w:pPr>
            <w:r w:rsidRPr="00E85C61">
              <w:t>Polazna vrijednost</w:t>
            </w:r>
          </w:p>
        </w:tc>
        <w:tc>
          <w:tcPr>
            <w:tcW w:w="1486" w:type="dxa"/>
            <w:shd w:val="clear" w:color="auto" w:fill="B5C0D8"/>
          </w:tcPr>
          <w:p w:rsidR="00D849AA" w:rsidRPr="00E85C61" w:rsidRDefault="00EE6D95">
            <w:pPr>
              <w:pStyle w:val="CellHeader"/>
            </w:pPr>
            <w:r w:rsidRPr="00E85C61">
              <w:t>Ciljana vrijednost (2014.)</w:t>
            </w:r>
          </w:p>
        </w:tc>
        <w:tc>
          <w:tcPr>
            <w:tcW w:w="1486" w:type="dxa"/>
            <w:shd w:val="clear" w:color="auto" w:fill="B5C0D8"/>
          </w:tcPr>
          <w:p w:rsidR="00D849AA" w:rsidRPr="00E85C61" w:rsidRDefault="00EE6D95">
            <w:pPr>
              <w:pStyle w:val="CellHeader"/>
            </w:pPr>
            <w:r w:rsidRPr="00E85C61">
              <w:t>Ciljana vrijednost (2015.)</w:t>
            </w:r>
          </w:p>
        </w:tc>
        <w:tc>
          <w:tcPr>
            <w:tcW w:w="1486" w:type="dxa"/>
            <w:shd w:val="clear" w:color="auto" w:fill="B5C0D8"/>
          </w:tcPr>
          <w:p w:rsidR="00D849AA" w:rsidRPr="00E85C61" w:rsidRDefault="00EE6D95">
            <w:pPr>
              <w:pStyle w:val="CellHeader"/>
            </w:pPr>
            <w:r w:rsidRPr="00E85C61">
              <w:t>Ciljana vrijednost (2016.)</w:t>
            </w:r>
          </w:p>
        </w:tc>
      </w:tr>
      <w:tr w:rsidR="00D849AA">
        <w:trPr>
          <w:jc w:val="center"/>
        </w:trPr>
        <w:tc>
          <w:tcPr>
            <w:tcW w:w="2229" w:type="dxa"/>
          </w:tcPr>
          <w:p w:rsidR="00D849AA" w:rsidRPr="00E85C61" w:rsidRDefault="00EE6D95">
            <w:pPr>
              <w:pStyle w:val="CellColumn"/>
            </w:pPr>
            <w:r w:rsidRPr="00E85C61">
              <w:t>Povećanje broja donesenih odluka i mišljenja Agencije na području tržišnog natjecanja</w:t>
            </w:r>
          </w:p>
        </w:tc>
        <w:tc>
          <w:tcPr>
            <w:tcW w:w="1114" w:type="dxa"/>
          </w:tcPr>
          <w:p w:rsidR="00D849AA" w:rsidRPr="00E85C61" w:rsidRDefault="00EE6D95">
            <w:pPr>
              <w:rPr>
                <w:rFonts w:ascii="Arial" w:hAnsi="Arial" w:cs="Arial"/>
              </w:rPr>
            </w:pPr>
            <w:r w:rsidRPr="00E85C61">
              <w:rPr>
                <w:rFonts w:ascii="Arial" w:hAnsi="Arial" w:cs="Arial"/>
              </w:rPr>
              <w:t>broj</w:t>
            </w:r>
          </w:p>
        </w:tc>
        <w:tc>
          <w:tcPr>
            <w:tcW w:w="1114" w:type="dxa"/>
          </w:tcPr>
          <w:p w:rsidR="00D849AA" w:rsidRPr="00E85C61" w:rsidRDefault="00EE6D95">
            <w:pPr>
              <w:rPr>
                <w:rFonts w:ascii="Arial" w:hAnsi="Arial" w:cs="Arial"/>
              </w:rPr>
            </w:pPr>
            <w:r w:rsidRPr="00E85C61">
              <w:rPr>
                <w:rFonts w:ascii="Arial" w:hAnsi="Arial" w:cs="Arial"/>
              </w:rPr>
              <w:t>155</w:t>
            </w:r>
          </w:p>
        </w:tc>
        <w:tc>
          <w:tcPr>
            <w:tcW w:w="1486" w:type="dxa"/>
          </w:tcPr>
          <w:p w:rsidR="00D849AA" w:rsidRPr="00E85C61" w:rsidRDefault="00EE6D95">
            <w:pPr>
              <w:rPr>
                <w:rFonts w:ascii="Arial" w:hAnsi="Arial" w:cs="Arial"/>
              </w:rPr>
            </w:pPr>
            <w:r w:rsidRPr="00E85C61">
              <w:rPr>
                <w:rFonts w:ascii="Arial" w:hAnsi="Arial" w:cs="Arial"/>
              </w:rPr>
              <w:t>158</w:t>
            </w:r>
          </w:p>
        </w:tc>
        <w:tc>
          <w:tcPr>
            <w:tcW w:w="1486" w:type="dxa"/>
          </w:tcPr>
          <w:p w:rsidR="00D849AA" w:rsidRPr="00E85C61" w:rsidRDefault="00EE6D95">
            <w:pPr>
              <w:rPr>
                <w:rFonts w:ascii="Arial" w:hAnsi="Arial" w:cs="Arial"/>
              </w:rPr>
            </w:pPr>
            <w:r w:rsidRPr="00E85C61">
              <w:rPr>
                <w:rFonts w:ascii="Arial" w:hAnsi="Arial" w:cs="Arial"/>
              </w:rPr>
              <w:t>161</w:t>
            </w:r>
          </w:p>
        </w:tc>
        <w:tc>
          <w:tcPr>
            <w:tcW w:w="1486" w:type="dxa"/>
          </w:tcPr>
          <w:p w:rsidR="00D849AA" w:rsidRPr="00E85C61" w:rsidRDefault="00EE6D95">
            <w:pPr>
              <w:rPr>
                <w:rFonts w:ascii="Arial" w:hAnsi="Arial" w:cs="Arial"/>
              </w:rPr>
            </w:pPr>
            <w:r w:rsidRPr="00E85C61">
              <w:rPr>
                <w:rFonts w:ascii="Arial" w:hAnsi="Arial" w:cs="Arial"/>
              </w:rPr>
              <w:t>164</w:t>
            </w:r>
          </w:p>
        </w:tc>
      </w:tr>
      <w:tr w:rsidR="00D849AA">
        <w:trPr>
          <w:jc w:val="center"/>
        </w:trPr>
        <w:tc>
          <w:tcPr>
            <w:tcW w:w="2229" w:type="dxa"/>
          </w:tcPr>
          <w:p w:rsidR="00D849AA" w:rsidRPr="00E85C61" w:rsidRDefault="00EE6D95">
            <w:pPr>
              <w:pStyle w:val="CellColumn"/>
            </w:pPr>
            <w:r w:rsidRPr="00E85C61">
              <w:t>Omjer prijavljenih i odobrenih državnih potpora</w:t>
            </w:r>
          </w:p>
        </w:tc>
        <w:tc>
          <w:tcPr>
            <w:tcW w:w="1114" w:type="dxa"/>
          </w:tcPr>
          <w:p w:rsidR="00D849AA" w:rsidRPr="00E85C61" w:rsidRDefault="00EE6D95">
            <w:pPr>
              <w:rPr>
                <w:rFonts w:ascii="Arial" w:hAnsi="Arial" w:cs="Arial"/>
              </w:rPr>
            </w:pPr>
            <w:r w:rsidRPr="00E85C61">
              <w:rPr>
                <w:rFonts w:ascii="Arial" w:hAnsi="Arial" w:cs="Arial"/>
              </w:rPr>
              <w:t>%</w:t>
            </w:r>
          </w:p>
        </w:tc>
        <w:tc>
          <w:tcPr>
            <w:tcW w:w="1114" w:type="dxa"/>
          </w:tcPr>
          <w:p w:rsidR="00D849AA" w:rsidRPr="00E85C61" w:rsidRDefault="00EE6D95">
            <w:pPr>
              <w:rPr>
                <w:rFonts w:ascii="Arial" w:hAnsi="Arial" w:cs="Arial"/>
              </w:rPr>
            </w:pPr>
            <w:r w:rsidRPr="00E85C61">
              <w:rPr>
                <w:rFonts w:ascii="Arial" w:hAnsi="Arial" w:cs="Arial"/>
              </w:rPr>
              <w:t>90</w:t>
            </w:r>
          </w:p>
        </w:tc>
        <w:tc>
          <w:tcPr>
            <w:tcW w:w="1486" w:type="dxa"/>
          </w:tcPr>
          <w:p w:rsidR="00D849AA" w:rsidRPr="00E85C61" w:rsidRDefault="00EE6D95">
            <w:pPr>
              <w:rPr>
                <w:rFonts w:ascii="Arial" w:hAnsi="Arial" w:cs="Arial"/>
              </w:rPr>
            </w:pPr>
            <w:r w:rsidRPr="00E85C61">
              <w:rPr>
                <w:rFonts w:ascii="Arial" w:hAnsi="Arial" w:cs="Arial"/>
              </w:rPr>
              <w:t>95</w:t>
            </w:r>
          </w:p>
        </w:tc>
        <w:tc>
          <w:tcPr>
            <w:tcW w:w="1486" w:type="dxa"/>
          </w:tcPr>
          <w:p w:rsidR="00D849AA" w:rsidRPr="00E85C61" w:rsidRDefault="00EE6D95">
            <w:pPr>
              <w:rPr>
                <w:rFonts w:ascii="Arial" w:hAnsi="Arial" w:cs="Arial"/>
              </w:rPr>
            </w:pPr>
            <w:r w:rsidRPr="00E85C61">
              <w:rPr>
                <w:rFonts w:ascii="Arial" w:hAnsi="Arial" w:cs="Arial"/>
              </w:rPr>
              <w:t>100</w:t>
            </w:r>
          </w:p>
        </w:tc>
        <w:tc>
          <w:tcPr>
            <w:tcW w:w="1486" w:type="dxa"/>
          </w:tcPr>
          <w:p w:rsidR="00D849AA" w:rsidRPr="00E85C61" w:rsidRDefault="00EE6D95">
            <w:pPr>
              <w:rPr>
                <w:rFonts w:ascii="Arial" w:hAnsi="Arial" w:cs="Arial"/>
              </w:rPr>
            </w:pPr>
            <w:r w:rsidRPr="00E85C61">
              <w:rPr>
                <w:rFonts w:ascii="Arial" w:hAnsi="Arial" w:cs="Arial"/>
              </w:rPr>
              <w:t>100</w:t>
            </w:r>
          </w:p>
        </w:tc>
      </w:tr>
      <w:tr w:rsidR="00D849AA">
        <w:trPr>
          <w:jc w:val="center"/>
        </w:trPr>
        <w:tc>
          <w:tcPr>
            <w:tcW w:w="2229" w:type="dxa"/>
          </w:tcPr>
          <w:p w:rsidR="00D849AA" w:rsidRPr="00E85C61" w:rsidRDefault="00EE6D95">
            <w:pPr>
              <w:pStyle w:val="CellColumn"/>
            </w:pPr>
            <w:r w:rsidRPr="00E85C61">
              <w:t xml:space="preserve">Povećanje broja objavljenih odluka iz </w:t>
            </w:r>
            <w:r w:rsidRPr="00E85C61">
              <w:lastRenderedPageBreak/>
              <w:t>nadležnosti Agencije i broja održanih bilateralnih susreta</w:t>
            </w:r>
          </w:p>
        </w:tc>
        <w:tc>
          <w:tcPr>
            <w:tcW w:w="1114" w:type="dxa"/>
          </w:tcPr>
          <w:p w:rsidR="00D849AA" w:rsidRPr="00E85C61" w:rsidRDefault="00EE6D95">
            <w:pPr>
              <w:rPr>
                <w:rFonts w:ascii="Arial" w:hAnsi="Arial" w:cs="Arial"/>
              </w:rPr>
            </w:pPr>
            <w:r w:rsidRPr="00E85C61">
              <w:rPr>
                <w:rFonts w:ascii="Arial" w:hAnsi="Arial" w:cs="Arial"/>
              </w:rPr>
              <w:lastRenderedPageBreak/>
              <w:t>broj</w:t>
            </w:r>
          </w:p>
        </w:tc>
        <w:tc>
          <w:tcPr>
            <w:tcW w:w="1114" w:type="dxa"/>
          </w:tcPr>
          <w:p w:rsidR="00D849AA" w:rsidRPr="00E85C61" w:rsidRDefault="00EE6D95">
            <w:pPr>
              <w:rPr>
                <w:rFonts w:ascii="Arial" w:hAnsi="Arial" w:cs="Arial"/>
              </w:rPr>
            </w:pPr>
            <w:r w:rsidRPr="00E85C61">
              <w:rPr>
                <w:rFonts w:ascii="Arial" w:hAnsi="Arial" w:cs="Arial"/>
              </w:rPr>
              <w:t>132</w:t>
            </w:r>
          </w:p>
        </w:tc>
        <w:tc>
          <w:tcPr>
            <w:tcW w:w="1486" w:type="dxa"/>
          </w:tcPr>
          <w:p w:rsidR="00D849AA" w:rsidRPr="00E85C61" w:rsidRDefault="00EE6D95">
            <w:pPr>
              <w:rPr>
                <w:rFonts w:ascii="Arial" w:hAnsi="Arial" w:cs="Arial"/>
              </w:rPr>
            </w:pPr>
            <w:r w:rsidRPr="00E85C61">
              <w:rPr>
                <w:rFonts w:ascii="Arial" w:hAnsi="Arial" w:cs="Arial"/>
              </w:rPr>
              <w:t>136</w:t>
            </w:r>
          </w:p>
        </w:tc>
        <w:tc>
          <w:tcPr>
            <w:tcW w:w="1486" w:type="dxa"/>
          </w:tcPr>
          <w:p w:rsidR="00D849AA" w:rsidRPr="00E85C61" w:rsidRDefault="00EE6D95">
            <w:pPr>
              <w:rPr>
                <w:rFonts w:ascii="Arial" w:hAnsi="Arial" w:cs="Arial"/>
              </w:rPr>
            </w:pPr>
            <w:r w:rsidRPr="00E85C61">
              <w:rPr>
                <w:rFonts w:ascii="Arial" w:hAnsi="Arial" w:cs="Arial"/>
              </w:rPr>
              <w:t>141</w:t>
            </w:r>
          </w:p>
        </w:tc>
        <w:tc>
          <w:tcPr>
            <w:tcW w:w="1486" w:type="dxa"/>
          </w:tcPr>
          <w:p w:rsidR="00D849AA" w:rsidRPr="00E85C61" w:rsidRDefault="00EE6D95">
            <w:pPr>
              <w:rPr>
                <w:rFonts w:ascii="Arial" w:hAnsi="Arial" w:cs="Arial"/>
              </w:rPr>
            </w:pPr>
            <w:r w:rsidRPr="00E85C61">
              <w:rPr>
                <w:rFonts w:ascii="Arial" w:hAnsi="Arial" w:cs="Arial"/>
              </w:rPr>
              <w:t>145</w:t>
            </w:r>
          </w:p>
        </w:tc>
      </w:tr>
    </w:tbl>
    <w:p w:rsidR="00535A65" w:rsidRPr="00535A65" w:rsidRDefault="00535A65" w:rsidP="00535A65">
      <w:pPr>
        <w:keepNext/>
        <w:keepLines/>
        <w:pageBreakBefore/>
        <w:pBdr>
          <w:top w:val="single" w:sz="4" w:space="1" w:color="auto"/>
          <w:bottom w:val="single" w:sz="4" w:space="1" w:color="auto"/>
        </w:pBdr>
        <w:shd w:val="clear" w:color="auto" w:fill="E6E6E6"/>
        <w:ind w:left="658" w:hanging="658"/>
        <w:jc w:val="left"/>
        <w:outlineLvl w:val="0"/>
        <w:rPr>
          <w:b/>
          <w:spacing w:val="20"/>
          <w:sz w:val="32"/>
          <w:szCs w:val="32"/>
        </w:rPr>
      </w:pPr>
      <w:r w:rsidRPr="00535A65">
        <w:rPr>
          <w:b/>
          <w:spacing w:val="20"/>
          <w:sz w:val="32"/>
          <w:szCs w:val="32"/>
        </w:rPr>
        <w:lastRenderedPageBreak/>
        <w:t>020 VLADA REPUBLIKE HRVATSKE</w:t>
      </w:r>
    </w:p>
    <w:p w:rsidR="00535A65" w:rsidRPr="00535A65" w:rsidRDefault="00535A65" w:rsidP="00535A65">
      <w:pPr>
        <w:keepNext/>
        <w:keepLines/>
        <w:pBdr>
          <w:top w:val="single" w:sz="4" w:space="1" w:color="auto"/>
          <w:bottom w:val="single" w:sz="4" w:space="1" w:color="auto"/>
        </w:pBdr>
        <w:overflowPunct/>
        <w:autoSpaceDE/>
        <w:autoSpaceDN/>
        <w:adjustRightInd/>
        <w:spacing w:before="360"/>
        <w:ind w:left="658" w:hanging="301"/>
        <w:jc w:val="left"/>
        <w:textAlignment w:val="auto"/>
        <w:outlineLvl w:val="3"/>
        <w:rPr>
          <w:b/>
          <w:bCs/>
          <w:sz w:val="28"/>
          <w:szCs w:val="28"/>
        </w:rPr>
      </w:pPr>
      <w:r w:rsidRPr="00535A65">
        <w:rPr>
          <w:b/>
          <w:bCs/>
          <w:sz w:val="28"/>
          <w:szCs w:val="28"/>
        </w:rPr>
        <w:t>Uvod</w:t>
      </w:r>
    </w:p>
    <w:p w:rsidR="00535A65" w:rsidRPr="00535A65" w:rsidRDefault="00535A65" w:rsidP="00535A65">
      <w:pPr>
        <w:ind w:left="360"/>
      </w:pPr>
      <w:r w:rsidRPr="00535A65">
        <w:t xml:space="preserve">Najznačajniji poslovi i zadaci na razini razdjela obuhvaćaju obavljanje administrativnih, analitičkih, informatičkih, informativnih, protokolarnih, savjetodavnih, stručnih i upravno-pravnih poslova kojima se osigurava redovito funkcioniranje Vlade Republike Hrvatske kao nositelja izvršne vlasti, sukladno Ustavu Republike Hrvatske i zakonima, te realizacija specifičnih vladinih programa i strategija usmjerenih na poboljšanje okruženja za razvoj civilnog društva, kvalitetnu obranu interesa Republike Hrvatske u postupcima pred Europskim sudom za ljudska prava te Odborom ministara Vijeća Europe, unapređenje kulturne autonomije nacionalnih manjina, poboljšanje procesa donošenja akata Vlade Republike Hrvatske, unapređenje cjelokupnog sustava zaštite i promicanja ljudskih prava i prava nacionalnih manjina u Republici Hrvatskoj, suzbijanje zlouporabe droga, uklanjanje spolne diskriminacije i stvaranje uvjeta za stvarnu ravnopravnost muškaraca i žena u društvu, osiguranje dostupnosti pod jednakim uvjetima i nepristrano javnoj službenoj dokumentaciji i informacijama Republike Hrvatske svim korisnicima. </w:t>
      </w:r>
    </w:p>
    <w:p w:rsidR="00535A65" w:rsidRPr="00535A65" w:rsidRDefault="00535A65" w:rsidP="00535A65">
      <w:pPr>
        <w:ind w:left="360"/>
      </w:pPr>
      <w:r w:rsidRPr="00535A65">
        <w:t xml:space="preserve">Razdjel 020 Vlada Republike Hrvatske čine sljedeći uredi:  </w:t>
      </w:r>
    </w:p>
    <w:p w:rsidR="00535A65" w:rsidRPr="00535A65" w:rsidRDefault="00535A65" w:rsidP="00535A65">
      <w:pPr>
        <w:ind w:left="360"/>
      </w:pPr>
      <w:r w:rsidRPr="00535A65">
        <w:t>Vlada Republike Hrvatske, Ured predsjednika Vlade Republike Hrvatske, Ured za udruge, Ured zastupnika Republike Hrvatske pred Europskim sudom za ljudska prava, Stručna služba Savjeta za nacionalne manjine, Ured za zakonodavstvo, Ured za opće poslove Hrvatskoga sabora i Vlade Republike Hrvatske, Ured za protokol, Ured Vlade Republike Hrvatske za unutarnju reviziju, Direkcija za korištenje službenih zrakoplova, Ured za ljudska prava i prava nacionalnih manjina, Ured za suzbijanje zlouporabe droga, Ured Komisije za odnose s vjerskim zajednicama, Ured za ravnopravnost spolova, Digitalni informacijsko-dokumentacijski ured, Ured za razminiranje.</w:t>
      </w:r>
    </w:p>
    <w:tbl>
      <w:tblPr>
        <w:tblStyle w:val="Reetkatablice1"/>
        <w:tblW w:w="0" w:type="auto"/>
        <w:jc w:val="center"/>
        <w:tblLook w:val="04A0" w:firstRow="1" w:lastRow="0" w:firstColumn="1" w:lastColumn="0" w:noHBand="0" w:noVBand="1"/>
      </w:tblPr>
      <w:tblGrid>
        <w:gridCol w:w="1639"/>
        <w:gridCol w:w="1486"/>
        <w:gridCol w:w="1486"/>
        <w:gridCol w:w="1486"/>
        <w:gridCol w:w="1486"/>
        <w:gridCol w:w="1486"/>
      </w:tblGrid>
      <w:tr w:rsidR="00535A65" w:rsidRPr="00535A65" w:rsidTr="00535A65">
        <w:trPr>
          <w:jc w:val="center"/>
        </w:trPr>
        <w:tc>
          <w:tcPr>
            <w:tcW w:w="1639" w:type="dxa"/>
            <w:shd w:val="clear" w:color="auto" w:fill="B5C0D8"/>
          </w:tcPr>
          <w:p w:rsidR="00535A65" w:rsidRPr="00E85C61" w:rsidRDefault="00535A65" w:rsidP="00535A65">
            <w:pPr>
              <w:rPr>
                <w:rFonts w:ascii="Arial" w:hAnsi="Arial" w:cs="Arial"/>
                <w:bCs/>
              </w:rPr>
            </w:pPr>
          </w:p>
        </w:tc>
        <w:tc>
          <w:tcPr>
            <w:tcW w:w="1486" w:type="dxa"/>
            <w:shd w:val="clear" w:color="auto" w:fill="B5C0D8"/>
          </w:tcPr>
          <w:p w:rsidR="00535A65" w:rsidRPr="00E85C61" w:rsidRDefault="00535A65" w:rsidP="00535A65">
            <w:pPr>
              <w:rPr>
                <w:rFonts w:ascii="Arial" w:hAnsi="Arial" w:cs="Arial"/>
                <w:bCs/>
              </w:rPr>
            </w:pPr>
            <w:r w:rsidRPr="00E85C61">
              <w:rPr>
                <w:rFonts w:ascii="Arial" w:hAnsi="Arial" w:cs="Arial"/>
                <w:bCs/>
              </w:rPr>
              <w:t>Plan 2013.</w:t>
            </w:r>
          </w:p>
        </w:tc>
        <w:tc>
          <w:tcPr>
            <w:tcW w:w="1486" w:type="dxa"/>
            <w:shd w:val="clear" w:color="auto" w:fill="B5C0D8"/>
          </w:tcPr>
          <w:p w:rsidR="00535A65" w:rsidRPr="00E85C61" w:rsidRDefault="00535A65" w:rsidP="00535A65">
            <w:pPr>
              <w:rPr>
                <w:rFonts w:ascii="Arial" w:hAnsi="Arial" w:cs="Arial"/>
                <w:bCs/>
              </w:rPr>
            </w:pPr>
            <w:r w:rsidRPr="00E85C61">
              <w:rPr>
                <w:rFonts w:ascii="Arial" w:hAnsi="Arial" w:cs="Arial"/>
                <w:bCs/>
              </w:rPr>
              <w:t>Plan 2014.</w:t>
            </w:r>
          </w:p>
        </w:tc>
        <w:tc>
          <w:tcPr>
            <w:tcW w:w="1486" w:type="dxa"/>
            <w:shd w:val="clear" w:color="auto" w:fill="B5C0D8"/>
          </w:tcPr>
          <w:p w:rsidR="00535A65" w:rsidRPr="00E85C61" w:rsidRDefault="00535A65" w:rsidP="00535A65">
            <w:pPr>
              <w:rPr>
                <w:rFonts w:ascii="Arial" w:hAnsi="Arial" w:cs="Arial"/>
                <w:bCs/>
              </w:rPr>
            </w:pPr>
            <w:r w:rsidRPr="00E85C61">
              <w:rPr>
                <w:rFonts w:ascii="Arial" w:hAnsi="Arial" w:cs="Arial"/>
                <w:bCs/>
              </w:rPr>
              <w:t>Plan 2015.</w:t>
            </w:r>
          </w:p>
        </w:tc>
        <w:tc>
          <w:tcPr>
            <w:tcW w:w="1486" w:type="dxa"/>
            <w:shd w:val="clear" w:color="auto" w:fill="B5C0D8"/>
          </w:tcPr>
          <w:p w:rsidR="00535A65" w:rsidRPr="00E85C61" w:rsidRDefault="00535A65" w:rsidP="00535A65">
            <w:pPr>
              <w:rPr>
                <w:rFonts w:ascii="Arial" w:hAnsi="Arial" w:cs="Arial"/>
                <w:bCs/>
              </w:rPr>
            </w:pPr>
            <w:r w:rsidRPr="00E85C61">
              <w:rPr>
                <w:rFonts w:ascii="Arial" w:hAnsi="Arial" w:cs="Arial"/>
                <w:bCs/>
              </w:rPr>
              <w:t>Plan 2016.</w:t>
            </w:r>
          </w:p>
        </w:tc>
        <w:tc>
          <w:tcPr>
            <w:tcW w:w="1486" w:type="dxa"/>
            <w:shd w:val="clear" w:color="auto" w:fill="B5C0D8"/>
          </w:tcPr>
          <w:p w:rsidR="00535A65" w:rsidRPr="00E85C61" w:rsidRDefault="00535A65" w:rsidP="00535A65">
            <w:pPr>
              <w:rPr>
                <w:rFonts w:ascii="Arial" w:hAnsi="Arial" w:cs="Arial"/>
                <w:bCs/>
              </w:rPr>
            </w:pPr>
            <w:r w:rsidRPr="00E85C61">
              <w:rPr>
                <w:rFonts w:ascii="Arial" w:hAnsi="Arial" w:cs="Arial"/>
                <w:bCs/>
              </w:rPr>
              <w:t>Indeks 2014/2013</w:t>
            </w:r>
          </w:p>
        </w:tc>
      </w:tr>
      <w:tr w:rsidR="00535A65" w:rsidRPr="00535A65" w:rsidTr="00535A65">
        <w:trPr>
          <w:jc w:val="center"/>
        </w:trPr>
        <w:tc>
          <w:tcPr>
            <w:tcW w:w="1639" w:type="dxa"/>
          </w:tcPr>
          <w:p w:rsidR="00535A65" w:rsidRPr="00E85C61" w:rsidRDefault="00535A65" w:rsidP="00535A65">
            <w:pPr>
              <w:rPr>
                <w:rFonts w:ascii="Arial" w:hAnsi="Arial" w:cs="Arial"/>
                <w:bCs/>
              </w:rPr>
            </w:pPr>
            <w:r w:rsidRPr="00E85C61">
              <w:rPr>
                <w:rFonts w:ascii="Arial" w:hAnsi="Arial" w:cs="Arial"/>
                <w:bCs/>
              </w:rPr>
              <w:t>02005 Vlada Republike Hrvatske</w:t>
            </w:r>
          </w:p>
        </w:tc>
        <w:tc>
          <w:tcPr>
            <w:tcW w:w="1486" w:type="dxa"/>
          </w:tcPr>
          <w:p w:rsidR="00535A65" w:rsidRPr="00E85C61" w:rsidRDefault="00535A65" w:rsidP="00535A65">
            <w:pPr>
              <w:rPr>
                <w:rFonts w:ascii="Arial" w:hAnsi="Arial" w:cs="Arial"/>
              </w:rPr>
            </w:pPr>
            <w:r w:rsidRPr="00E85C61">
              <w:rPr>
                <w:rFonts w:ascii="Arial" w:hAnsi="Arial" w:cs="Arial"/>
              </w:rPr>
              <w:t>31.684.840</w:t>
            </w:r>
          </w:p>
        </w:tc>
        <w:tc>
          <w:tcPr>
            <w:tcW w:w="1486" w:type="dxa"/>
          </w:tcPr>
          <w:p w:rsidR="00535A65" w:rsidRPr="00E85C61" w:rsidRDefault="00535A65" w:rsidP="00535A65">
            <w:pPr>
              <w:rPr>
                <w:rFonts w:ascii="Arial" w:hAnsi="Arial" w:cs="Arial"/>
              </w:rPr>
            </w:pPr>
            <w:r w:rsidRPr="00E85C61">
              <w:rPr>
                <w:rFonts w:ascii="Arial" w:hAnsi="Arial" w:cs="Arial"/>
              </w:rPr>
              <w:t>27.584.000</w:t>
            </w:r>
          </w:p>
        </w:tc>
        <w:tc>
          <w:tcPr>
            <w:tcW w:w="1486" w:type="dxa"/>
          </w:tcPr>
          <w:p w:rsidR="00535A65" w:rsidRPr="00E85C61" w:rsidRDefault="00535A65" w:rsidP="00535A65">
            <w:pPr>
              <w:rPr>
                <w:rFonts w:ascii="Arial" w:hAnsi="Arial" w:cs="Arial"/>
              </w:rPr>
            </w:pPr>
            <w:r w:rsidRPr="00E85C61">
              <w:rPr>
                <w:rFonts w:ascii="Arial" w:hAnsi="Arial" w:cs="Arial"/>
              </w:rPr>
              <w:t>27.977.500</w:t>
            </w:r>
          </w:p>
        </w:tc>
        <w:tc>
          <w:tcPr>
            <w:tcW w:w="1486" w:type="dxa"/>
          </w:tcPr>
          <w:p w:rsidR="00535A65" w:rsidRPr="00E85C61" w:rsidRDefault="00535A65" w:rsidP="00535A65">
            <w:pPr>
              <w:rPr>
                <w:rFonts w:ascii="Arial" w:hAnsi="Arial" w:cs="Arial"/>
              </w:rPr>
            </w:pPr>
            <w:r w:rsidRPr="00E85C61">
              <w:rPr>
                <w:rFonts w:ascii="Arial" w:hAnsi="Arial" w:cs="Arial"/>
              </w:rPr>
              <w:t>30.276.000</w:t>
            </w:r>
          </w:p>
        </w:tc>
        <w:tc>
          <w:tcPr>
            <w:tcW w:w="1486" w:type="dxa"/>
          </w:tcPr>
          <w:p w:rsidR="00535A65" w:rsidRPr="00E85C61" w:rsidRDefault="00535A65" w:rsidP="00535A65">
            <w:pPr>
              <w:rPr>
                <w:rFonts w:ascii="Arial" w:hAnsi="Arial" w:cs="Arial"/>
              </w:rPr>
            </w:pPr>
            <w:r w:rsidRPr="00E85C61">
              <w:rPr>
                <w:rFonts w:ascii="Arial" w:hAnsi="Arial" w:cs="Arial"/>
              </w:rPr>
              <w:t>87,1</w:t>
            </w:r>
          </w:p>
        </w:tc>
      </w:tr>
      <w:tr w:rsidR="00535A65" w:rsidRPr="00535A65" w:rsidTr="00535A65">
        <w:trPr>
          <w:jc w:val="center"/>
        </w:trPr>
        <w:tc>
          <w:tcPr>
            <w:tcW w:w="1639" w:type="dxa"/>
          </w:tcPr>
          <w:p w:rsidR="00535A65" w:rsidRPr="00E85C61" w:rsidRDefault="00535A65" w:rsidP="00535A65">
            <w:pPr>
              <w:rPr>
                <w:rFonts w:ascii="Arial" w:hAnsi="Arial" w:cs="Arial"/>
                <w:bCs/>
              </w:rPr>
            </w:pPr>
            <w:r w:rsidRPr="00E85C61">
              <w:rPr>
                <w:rFonts w:ascii="Arial" w:hAnsi="Arial" w:cs="Arial"/>
                <w:bCs/>
              </w:rPr>
              <w:t>02006 Ured predsjednika Vlade Republike Hrvatske</w:t>
            </w:r>
          </w:p>
        </w:tc>
        <w:tc>
          <w:tcPr>
            <w:tcW w:w="1486" w:type="dxa"/>
          </w:tcPr>
          <w:p w:rsidR="00535A65" w:rsidRPr="00E85C61" w:rsidRDefault="00535A65" w:rsidP="00535A65">
            <w:pPr>
              <w:rPr>
                <w:rFonts w:ascii="Arial" w:hAnsi="Arial" w:cs="Arial"/>
              </w:rPr>
            </w:pPr>
            <w:r w:rsidRPr="00E85C61">
              <w:rPr>
                <w:rFonts w:ascii="Arial" w:hAnsi="Arial" w:cs="Arial"/>
              </w:rPr>
              <w:t>13.859.000</w:t>
            </w:r>
          </w:p>
        </w:tc>
        <w:tc>
          <w:tcPr>
            <w:tcW w:w="1486" w:type="dxa"/>
          </w:tcPr>
          <w:p w:rsidR="00535A65" w:rsidRPr="00E85C61" w:rsidRDefault="00535A65" w:rsidP="00535A65">
            <w:pPr>
              <w:rPr>
                <w:rFonts w:ascii="Arial" w:hAnsi="Arial" w:cs="Arial"/>
              </w:rPr>
            </w:pPr>
            <w:r w:rsidRPr="00E85C61">
              <w:rPr>
                <w:rFonts w:ascii="Arial" w:hAnsi="Arial" w:cs="Arial"/>
              </w:rPr>
              <w:t>9.780.000</w:t>
            </w:r>
          </w:p>
        </w:tc>
        <w:tc>
          <w:tcPr>
            <w:tcW w:w="1486" w:type="dxa"/>
          </w:tcPr>
          <w:p w:rsidR="00535A65" w:rsidRPr="00E85C61" w:rsidRDefault="00535A65" w:rsidP="00535A65">
            <w:pPr>
              <w:rPr>
                <w:rFonts w:ascii="Arial" w:hAnsi="Arial" w:cs="Arial"/>
              </w:rPr>
            </w:pPr>
            <w:r w:rsidRPr="00E85C61">
              <w:rPr>
                <w:rFonts w:ascii="Arial" w:hAnsi="Arial" w:cs="Arial"/>
              </w:rPr>
              <w:t>9.690.000</w:t>
            </w:r>
          </w:p>
        </w:tc>
        <w:tc>
          <w:tcPr>
            <w:tcW w:w="1486" w:type="dxa"/>
          </w:tcPr>
          <w:p w:rsidR="00535A65" w:rsidRPr="00E85C61" w:rsidRDefault="00535A65" w:rsidP="00535A65">
            <w:pPr>
              <w:rPr>
                <w:rFonts w:ascii="Arial" w:hAnsi="Arial" w:cs="Arial"/>
              </w:rPr>
            </w:pPr>
            <w:r w:rsidRPr="00E85C61">
              <w:rPr>
                <w:rFonts w:ascii="Arial" w:hAnsi="Arial" w:cs="Arial"/>
              </w:rPr>
              <w:t>10.540.000</w:t>
            </w:r>
          </w:p>
        </w:tc>
        <w:tc>
          <w:tcPr>
            <w:tcW w:w="1486" w:type="dxa"/>
          </w:tcPr>
          <w:p w:rsidR="00535A65" w:rsidRPr="00E85C61" w:rsidRDefault="00535A65" w:rsidP="00535A65">
            <w:pPr>
              <w:rPr>
                <w:rFonts w:ascii="Arial" w:hAnsi="Arial" w:cs="Arial"/>
              </w:rPr>
            </w:pPr>
            <w:r w:rsidRPr="00E85C61">
              <w:rPr>
                <w:rFonts w:ascii="Arial" w:hAnsi="Arial" w:cs="Arial"/>
              </w:rPr>
              <w:t>70,6</w:t>
            </w:r>
          </w:p>
        </w:tc>
      </w:tr>
      <w:tr w:rsidR="00535A65" w:rsidRPr="00535A65" w:rsidTr="00535A65">
        <w:trPr>
          <w:jc w:val="center"/>
        </w:trPr>
        <w:tc>
          <w:tcPr>
            <w:tcW w:w="1639" w:type="dxa"/>
          </w:tcPr>
          <w:p w:rsidR="00535A65" w:rsidRPr="00E85C61" w:rsidRDefault="00535A65" w:rsidP="00535A65">
            <w:pPr>
              <w:rPr>
                <w:rFonts w:ascii="Arial" w:hAnsi="Arial" w:cs="Arial"/>
                <w:bCs/>
              </w:rPr>
            </w:pPr>
            <w:r w:rsidRPr="00E85C61">
              <w:rPr>
                <w:rFonts w:ascii="Arial" w:hAnsi="Arial" w:cs="Arial"/>
                <w:bCs/>
              </w:rPr>
              <w:t>02010 Ured za udruge</w:t>
            </w:r>
          </w:p>
        </w:tc>
        <w:tc>
          <w:tcPr>
            <w:tcW w:w="1486" w:type="dxa"/>
          </w:tcPr>
          <w:p w:rsidR="00535A65" w:rsidRPr="00E85C61" w:rsidRDefault="00535A65" w:rsidP="00535A65">
            <w:pPr>
              <w:rPr>
                <w:rFonts w:ascii="Arial" w:hAnsi="Arial" w:cs="Arial"/>
              </w:rPr>
            </w:pPr>
            <w:r w:rsidRPr="00E85C61">
              <w:rPr>
                <w:rFonts w:ascii="Arial" w:hAnsi="Arial" w:cs="Arial"/>
              </w:rPr>
              <w:t>77.497.081</w:t>
            </w:r>
          </w:p>
        </w:tc>
        <w:tc>
          <w:tcPr>
            <w:tcW w:w="1486" w:type="dxa"/>
          </w:tcPr>
          <w:p w:rsidR="00535A65" w:rsidRPr="00E85C61" w:rsidRDefault="00535A65" w:rsidP="00535A65">
            <w:pPr>
              <w:rPr>
                <w:rFonts w:ascii="Arial" w:hAnsi="Arial" w:cs="Arial"/>
              </w:rPr>
            </w:pPr>
            <w:r w:rsidRPr="00E85C61">
              <w:rPr>
                <w:rFonts w:ascii="Arial" w:hAnsi="Arial" w:cs="Arial"/>
              </w:rPr>
              <w:t>128.196.652</w:t>
            </w:r>
          </w:p>
        </w:tc>
        <w:tc>
          <w:tcPr>
            <w:tcW w:w="1486" w:type="dxa"/>
          </w:tcPr>
          <w:p w:rsidR="00535A65" w:rsidRPr="00E85C61" w:rsidRDefault="00535A65" w:rsidP="00535A65">
            <w:pPr>
              <w:rPr>
                <w:rFonts w:ascii="Arial" w:hAnsi="Arial" w:cs="Arial"/>
              </w:rPr>
            </w:pPr>
            <w:r w:rsidRPr="00E85C61">
              <w:rPr>
                <w:rFonts w:ascii="Arial" w:hAnsi="Arial" w:cs="Arial"/>
              </w:rPr>
              <w:t>116.718.234</w:t>
            </w:r>
          </w:p>
        </w:tc>
        <w:tc>
          <w:tcPr>
            <w:tcW w:w="1486" w:type="dxa"/>
          </w:tcPr>
          <w:p w:rsidR="00535A65" w:rsidRPr="00E85C61" w:rsidRDefault="00535A65" w:rsidP="00535A65">
            <w:pPr>
              <w:rPr>
                <w:rFonts w:ascii="Arial" w:hAnsi="Arial" w:cs="Arial"/>
              </w:rPr>
            </w:pPr>
            <w:r w:rsidRPr="00E85C61">
              <w:rPr>
                <w:rFonts w:ascii="Arial" w:hAnsi="Arial" w:cs="Arial"/>
              </w:rPr>
              <w:t>71.248.897</w:t>
            </w:r>
          </w:p>
        </w:tc>
        <w:tc>
          <w:tcPr>
            <w:tcW w:w="1486" w:type="dxa"/>
          </w:tcPr>
          <w:p w:rsidR="00535A65" w:rsidRPr="00E85C61" w:rsidRDefault="00535A65" w:rsidP="00535A65">
            <w:pPr>
              <w:rPr>
                <w:rFonts w:ascii="Arial" w:hAnsi="Arial" w:cs="Arial"/>
              </w:rPr>
            </w:pPr>
            <w:r w:rsidRPr="00E85C61">
              <w:rPr>
                <w:rFonts w:ascii="Arial" w:hAnsi="Arial" w:cs="Arial"/>
              </w:rPr>
              <w:t>165,4</w:t>
            </w:r>
          </w:p>
        </w:tc>
      </w:tr>
      <w:tr w:rsidR="00535A65" w:rsidRPr="00535A65" w:rsidTr="00535A65">
        <w:trPr>
          <w:jc w:val="center"/>
        </w:trPr>
        <w:tc>
          <w:tcPr>
            <w:tcW w:w="1639" w:type="dxa"/>
          </w:tcPr>
          <w:p w:rsidR="00535A65" w:rsidRPr="00E85C61" w:rsidRDefault="00535A65" w:rsidP="00535A65">
            <w:pPr>
              <w:rPr>
                <w:rFonts w:ascii="Arial" w:hAnsi="Arial" w:cs="Arial"/>
                <w:bCs/>
              </w:rPr>
            </w:pPr>
            <w:r w:rsidRPr="00E85C61">
              <w:rPr>
                <w:rFonts w:ascii="Arial" w:hAnsi="Arial" w:cs="Arial"/>
                <w:bCs/>
              </w:rPr>
              <w:t>02015 Ured zastupnika Republike Hrvatske pred Europskim sudom za ljudska prava</w:t>
            </w:r>
          </w:p>
        </w:tc>
        <w:tc>
          <w:tcPr>
            <w:tcW w:w="1486" w:type="dxa"/>
          </w:tcPr>
          <w:p w:rsidR="00535A65" w:rsidRPr="00E85C61" w:rsidRDefault="00535A65" w:rsidP="00535A65">
            <w:pPr>
              <w:rPr>
                <w:rFonts w:ascii="Arial" w:hAnsi="Arial" w:cs="Arial"/>
              </w:rPr>
            </w:pPr>
            <w:r w:rsidRPr="00E85C61">
              <w:rPr>
                <w:rFonts w:ascii="Arial" w:hAnsi="Arial" w:cs="Arial"/>
              </w:rPr>
              <w:t>3.808.000</w:t>
            </w:r>
          </w:p>
        </w:tc>
        <w:tc>
          <w:tcPr>
            <w:tcW w:w="1486" w:type="dxa"/>
          </w:tcPr>
          <w:p w:rsidR="00535A65" w:rsidRPr="00E85C61" w:rsidRDefault="00535A65" w:rsidP="00535A65">
            <w:pPr>
              <w:rPr>
                <w:rFonts w:ascii="Arial" w:hAnsi="Arial" w:cs="Arial"/>
              </w:rPr>
            </w:pPr>
            <w:r w:rsidRPr="00E85C61">
              <w:rPr>
                <w:rFonts w:ascii="Arial" w:hAnsi="Arial" w:cs="Arial"/>
              </w:rPr>
              <w:t>6.143.800</w:t>
            </w:r>
          </w:p>
        </w:tc>
        <w:tc>
          <w:tcPr>
            <w:tcW w:w="1486" w:type="dxa"/>
          </w:tcPr>
          <w:p w:rsidR="00535A65" w:rsidRPr="00E85C61" w:rsidRDefault="00535A65" w:rsidP="00535A65">
            <w:pPr>
              <w:rPr>
                <w:rFonts w:ascii="Arial" w:hAnsi="Arial" w:cs="Arial"/>
              </w:rPr>
            </w:pPr>
            <w:r w:rsidRPr="00E85C61">
              <w:rPr>
                <w:rFonts w:ascii="Arial" w:hAnsi="Arial" w:cs="Arial"/>
              </w:rPr>
              <w:t>8.147.800</w:t>
            </w:r>
          </w:p>
        </w:tc>
        <w:tc>
          <w:tcPr>
            <w:tcW w:w="1486" w:type="dxa"/>
          </w:tcPr>
          <w:p w:rsidR="00535A65" w:rsidRPr="00E85C61" w:rsidRDefault="00535A65" w:rsidP="00535A65">
            <w:pPr>
              <w:rPr>
                <w:rFonts w:ascii="Arial" w:hAnsi="Arial" w:cs="Arial"/>
              </w:rPr>
            </w:pPr>
            <w:r w:rsidRPr="00E85C61">
              <w:rPr>
                <w:rFonts w:ascii="Arial" w:hAnsi="Arial" w:cs="Arial"/>
              </w:rPr>
              <w:t>8.158.800</w:t>
            </w:r>
          </w:p>
        </w:tc>
        <w:tc>
          <w:tcPr>
            <w:tcW w:w="1486" w:type="dxa"/>
          </w:tcPr>
          <w:p w:rsidR="00535A65" w:rsidRPr="00E85C61" w:rsidRDefault="00535A65" w:rsidP="00535A65">
            <w:pPr>
              <w:rPr>
                <w:rFonts w:ascii="Arial" w:hAnsi="Arial" w:cs="Arial"/>
              </w:rPr>
            </w:pPr>
            <w:r w:rsidRPr="00E85C61">
              <w:rPr>
                <w:rFonts w:ascii="Arial" w:hAnsi="Arial" w:cs="Arial"/>
              </w:rPr>
              <w:t>161,3</w:t>
            </w:r>
          </w:p>
        </w:tc>
      </w:tr>
      <w:tr w:rsidR="00535A65" w:rsidRPr="00535A65" w:rsidTr="00535A65">
        <w:trPr>
          <w:jc w:val="center"/>
        </w:trPr>
        <w:tc>
          <w:tcPr>
            <w:tcW w:w="1639" w:type="dxa"/>
          </w:tcPr>
          <w:p w:rsidR="00535A65" w:rsidRPr="00E85C61" w:rsidRDefault="00535A65" w:rsidP="00535A65">
            <w:pPr>
              <w:rPr>
                <w:rFonts w:ascii="Arial" w:hAnsi="Arial" w:cs="Arial"/>
                <w:bCs/>
              </w:rPr>
            </w:pPr>
            <w:r w:rsidRPr="00E85C61">
              <w:rPr>
                <w:rFonts w:ascii="Arial" w:hAnsi="Arial" w:cs="Arial"/>
                <w:bCs/>
              </w:rPr>
              <w:t>02021 Stručna služba Savjeta za nacionalne manjine</w:t>
            </w:r>
          </w:p>
        </w:tc>
        <w:tc>
          <w:tcPr>
            <w:tcW w:w="1486" w:type="dxa"/>
          </w:tcPr>
          <w:p w:rsidR="00535A65" w:rsidRPr="00E85C61" w:rsidRDefault="00535A65" w:rsidP="00535A65">
            <w:pPr>
              <w:rPr>
                <w:rFonts w:ascii="Arial" w:hAnsi="Arial" w:cs="Arial"/>
              </w:rPr>
            </w:pPr>
            <w:r w:rsidRPr="00E85C61">
              <w:rPr>
                <w:rFonts w:ascii="Arial" w:hAnsi="Arial" w:cs="Arial"/>
              </w:rPr>
              <w:t>40.450.500</w:t>
            </w:r>
          </w:p>
        </w:tc>
        <w:tc>
          <w:tcPr>
            <w:tcW w:w="1486" w:type="dxa"/>
          </w:tcPr>
          <w:p w:rsidR="00535A65" w:rsidRPr="00E85C61" w:rsidRDefault="00535A65" w:rsidP="00535A65">
            <w:pPr>
              <w:rPr>
                <w:rFonts w:ascii="Arial" w:hAnsi="Arial" w:cs="Arial"/>
              </w:rPr>
            </w:pPr>
            <w:r w:rsidRPr="00E85C61">
              <w:rPr>
                <w:rFonts w:ascii="Arial" w:hAnsi="Arial" w:cs="Arial"/>
              </w:rPr>
              <w:t>37.953.760</w:t>
            </w:r>
          </w:p>
        </w:tc>
        <w:tc>
          <w:tcPr>
            <w:tcW w:w="1486" w:type="dxa"/>
          </w:tcPr>
          <w:p w:rsidR="00535A65" w:rsidRPr="00E85C61" w:rsidRDefault="00535A65" w:rsidP="00535A65">
            <w:pPr>
              <w:rPr>
                <w:rFonts w:ascii="Arial" w:hAnsi="Arial" w:cs="Arial"/>
              </w:rPr>
            </w:pPr>
            <w:r w:rsidRPr="00E85C61">
              <w:rPr>
                <w:rFonts w:ascii="Arial" w:hAnsi="Arial" w:cs="Arial"/>
              </w:rPr>
              <w:t>39.668.260</w:t>
            </w:r>
          </w:p>
        </w:tc>
        <w:tc>
          <w:tcPr>
            <w:tcW w:w="1486" w:type="dxa"/>
          </w:tcPr>
          <w:p w:rsidR="00535A65" w:rsidRPr="00E85C61" w:rsidRDefault="00535A65" w:rsidP="00535A65">
            <w:pPr>
              <w:rPr>
                <w:rFonts w:ascii="Arial" w:hAnsi="Arial" w:cs="Arial"/>
              </w:rPr>
            </w:pPr>
            <w:r w:rsidRPr="00E85C61">
              <w:rPr>
                <w:rFonts w:ascii="Arial" w:hAnsi="Arial" w:cs="Arial"/>
              </w:rPr>
              <w:t>41.136.260</w:t>
            </w:r>
          </w:p>
        </w:tc>
        <w:tc>
          <w:tcPr>
            <w:tcW w:w="1486" w:type="dxa"/>
          </w:tcPr>
          <w:p w:rsidR="00535A65" w:rsidRPr="00E85C61" w:rsidRDefault="00535A65" w:rsidP="00535A65">
            <w:pPr>
              <w:rPr>
                <w:rFonts w:ascii="Arial" w:hAnsi="Arial" w:cs="Arial"/>
              </w:rPr>
            </w:pPr>
            <w:r w:rsidRPr="00E85C61">
              <w:rPr>
                <w:rFonts w:ascii="Arial" w:hAnsi="Arial" w:cs="Arial"/>
              </w:rPr>
              <w:t>93,8</w:t>
            </w:r>
          </w:p>
        </w:tc>
      </w:tr>
      <w:tr w:rsidR="00535A65" w:rsidRPr="00535A65" w:rsidTr="00AA0B4F">
        <w:trPr>
          <w:jc w:val="center"/>
        </w:trPr>
        <w:tc>
          <w:tcPr>
            <w:tcW w:w="1639" w:type="dxa"/>
          </w:tcPr>
          <w:p w:rsidR="00535A65" w:rsidRPr="00E85C61" w:rsidRDefault="00535A65" w:rsidP="00535A65">
            <w:pPr>
              <w:rPr>
                <w:rFonts w:ascii="Arial" w:hAnsi="Arial" w:cs="Arial"/>
                <w:bCs/>
              </w:rPr>
            </w:pPr>
            <w:r w:rsidRPr="00E85C61">
              <w:rPr>
                <w:rFonts w:ascii="Arial" w:hAnsi="Arial" w:cs="Arial"/>
                <w:bCs/>
              </w:rPr>
              <w:lastRenderedPageBreak/>
              <w:t>02030 Ured za zakonodavstvo</w:t>
            </w:r>
          </w:p>
        </w:tc>
        <w:tc>
          <w:tcPr>
            <w:tcW w:w="1486" w:type="dxa"/>
          </w:tcPr>
          <w:p w:rsidR="00535A65" w:rsidRPr="00E85C61" w:rsidRDefault="00535A65" w:rsidP="00535A65">
            <w:pPr>
              <w:rPr>
                <w:rFonts w:ascii="Arial" w:hAnsi="Arial" w:cs="Arial"/>
              </w:rPr>
            </w:pPr>
            <w:r w:rsidRPr="00E85C61">
              <w:rPr>
                <w:rFonts w:ascii="Arial" w:hAnsi="Arial" w:cs="Arial"/>
              </w:rPr>
              <w:t>5.106.500</w:t>
            </w:r>
          </w:p>
        </w:tc>
        <w:tc>
          <w:tcPr>
            <w:tcW w:w="1486" w:type="dxa"/>
          </w:tcPr>
          <w:p w:rsidR="00535A65" w:rsidRPr="00E85C61" w:rsidRDefault="00535A65" w:rsidP="00535A65">
            <w:pPr>
              <w:rPr>
                <w:rFonts w:ascii="Arial" w:hAnsi="Arial" w:cs="Arial"/>
              </w:rPr>
            </w:pPr>
            <w:r w:rsidRPr="00E85C61">
              <w:rPr>
                <w:rFonts w:ascii="Arial" w:hAnsi="Arial" w:cs="Arial"/>
              </w:rPr>
              <w:t>5.249.550</w:t>
            </w:r>
          </w:p>
        </w:tc>
        <w:tc>
          <w:tcPr>
            <w:tcW w:w="1486" w:type="dxa"/>
          </w:tcPr>
          <w:p w:rsidR="00535A65" w:rsidRPr="00E85C61" w:rsidRDefault="00535A65" w:rsidP="00535A65">
            <w:pPr>
              <w:rPr>
                <w:rFonts w:ascii="Arial" w:hAnsi="Arial" w:cs="Arial"/>
              </w:rPr>
            </w:pPr>
            <w:r w:rsidRPr="00E85C61">
              <w:rPr>
                <w:rFonts w:ascii="Arial" w:hAnsi="Arial" w:cs="Arial"/>
              </w:rPr>
              <w:t>3.865.550</w:t>
            </w:r>
          </w:p>
        </w:tc>
        <w:tc>
          <w:tcPr>
            <w:tcW w:w="1486" w:type="dxa"/>
          </w:tcPr>
          <w:p w:rsidR="00535A65" w:rsidRPr="00E85C61" w:rsidRDefault="00535A65" w:rsidP="00535A65">
            <w:pPr>
              <w:rPr>
                <w:rFonts w:ascii="Arial" w:hAnsi="Arial" w:cs="Arial"/>
              </w:rPr>
            </w:pPr>
            <w:r w:rsidRPr="00E85C61">
              <w:rPr>
                <w:rFonts w:ascii="Arial" w:hAnsi="Arial" w:cs="Arial"/>
              </w:rPr>
              <w:t>3.884.050</w:t>
            </w:r>
          </w:p>
        </w:tc>
        <w:tc>
          <w:tcPr>
            <w:tcW w:w="1486" w:type="dxa"/>
          </w:tcPr>
          <w:p w:rsidR="00535A65" w:rsidRPr="00E85C61" w:rsidRDefault="00535A65" w:rsidP="00535A65">
            <w:pPr>
              <w:rPr>
                <w:rFonts w:ascii="Arial" w:hAnsi="Arial" w:cs="Arial"/>
              </w:rPr>
            </w:pPr>
            <w:r w:rsidRPr="00E85C61">
              <w:rPr>
                <w:rFonts w:ascii="Arial" w:hAnsi="Arial" w:cs="Arial"/>
              </w:rPr>
              <w:t>102,8</w:t>
            </w:r>
          </w:p>
        </w:tc>
      </w:tr>
      <w:tr w:rsidR="00535A65" w:rsidRPr="00535A65" w:rsidTr="00AA0B4F">
        <w:trPr>
          <w:jc w:val="center"/>
        </w:trPr>
        <w:tc>
          <w:tcPr>
            <w:tcW w:w="1639" w:type="dxa"/>
          </w:tcPr>
          <w:p w:rsidR="00535A65" w:rsidRPr="00E85C61" w:rsidRDefault="00535A65" w:rsidP="00535A65">
            <w:pPr>
              <w:rPr>
                <w:rFonts w:ascii="Arial" w:hAnsi="Arial" w:cs="Arial"/>
                <w:bCs/>
              </w:rPr>
            </w:pPr>
            <w:r w:rsidRPr="00E85C61">
              <w:rPr>
                <w:rFonts w:ascii="Arial" w:hAnsi="Arial" w:cs="Arial"/>
                <w:bCs/>
              </w:rPr>
              <w:t>02035 Ured za opće poslove Hrvatskoga sabora i Vlade Republike Hrvatske</w:t>
            </w:r>
          </w:p>
        </w:tc>
        <w:tc>
          <w:tcPr>
            <w:tcW w:w="1486" w:type="dxa"/>
          </w:tcPr>
          <w:p w:rsidR="00535A65" w:rsidRPr="00E85C61" w:rsidRDefault="00535A65" w:rsidP="00535A65">
            <w:pPr>
              <w:rPr>
                <w:rFonts w:ascii="Arial" w:hAnsi="Arial" w:cs="Arial"/>
              </w:rPr>
            </w:pPr>
            <w:r w:rsidRPr="00E85C61">
              <w:rPr>
                <w:rFonts w:ascii="Arial" w:hAnsi="Arial" w:cs="Arial"/>
              </w:rPr>
              <w:t>37.069.732</w:t>
            </w:r>
          </w:p>
        </w:tc>
        <w:tc>
          <w:tcPr>
            <w:tcW w:w="1486" w:type="dxa"/>
          </w:tcPr>
          <w:p w:rsidR="00535A65" w:rsidRPr="00E85C61" w:rsidRDefault="00535A65" w:rsidP="00535A65">
            <w:pPr>
              <w:rPr>
                <w:rFonts w:ascii="Arial" w:hAnsi="Arial" w:cs="Arial"/>
              </w:rPr>
            </w:pPr>
            <w:r w:rsidRPr="00E85C61">
              <w:rPr>
                <w:rFonts w:ascii="Arial" w:hAnsi="Arial" w:cs="Arial"/>
              </w:rPr>
              <w:t>38.196.868</w:t>
            </w:r>
          </w:p>
        </w:tc>
        <w:tc>
          <w:tcPr>
            <w:tcW w:w="1486" w:type="dxa"/>
          </w:tcPr>
          <w:p w:rsidR="00535A65" w:rsidRPr="00E85C61" w:rsidRDefault="00535A65" w:rsidP="00535A65">
            <w:pPr>
              <w:rPr>
                <w:rFonts w:ascii="Arial" w:hAnsi="Arial" w:cs="Arial"/>
              </w:rPr>
            </w:pPr>
            <w:r w:rsidRPr="00E85C61">
              <w:rPr>
                <w:rFonts w:ascii="Arial" w:hAnsi="Arial" w:cs="Arial"/>
              </w:rPr>
              <w:t>38.551.288</w:t>
            </w:r>
          </w:p>
        </w:tc>
        <w:tc>
          <w:tcPr>
            <w:tcW w:w="1486" w:type="dxa"/>
          </w:tcPr>
          <w:p w:rsidR="00535A65" w:rsidRPr="00E85C61" w:rsidRDefault="00535A65" w:rsidP="00535A65">
            <w:pPr>
              <w:rPr>
                <w:rFonts w:ascii="Arial" w:hAnsi="Arial" w:cs="Arial"/>
              </w:rPr>
            </w:pPr>
            <w:r w:rsidRPr="00E85C61">
              <w:rPr>
                <w:rFonts w:ascii="Arial" w:hAnsi="Arial" w:cs="Arial"/>
              </w:rPr>
              <w:t>38.634.689</w:t>
            </w:r>
          </w:p>
        </w:tc>
        <w:tc>
          <w:tcPr>
            <w:tcW w:w="1486" w:type="dxa"/>
          </w:tcPr>
          <w:p w:rsidR="00535A65" w:rsidRPr="00E85C61" w:rsidRDefault="00535A65" w:rsidP="00535A65">
            <w:pPr>
              <w:rPr>
                <w:rFonts w:ascii="Arial" w:hAnsi="Arial" w:cs="Arial"/>
              </w:rPr>
            </w:pPr>
            <w:r w:rsidRPr="00E85C61">
              <w:rPr>
                <w:rFonts w:ascii="Arial" w:hAnsi="Arial" w:cs="Arial"/>
              </w:rPr>
              <w:t>103,0</w:t>
            </w:r>
          </w:p>
        </w:tc>
      </w:tr>
      <w:tr w:rsidR="00535A65" w:rsidRPr="00535A65" w:rsidTr="00AA0B4F">
        <w:trPr>
          <w:jc w:val="center"/>
        </w:trPr>
        <w:tc>
          <w:tcPr>
            <w:tcW w:w="1639" w:type="dxa"/>
          </w:tcPr>
          <w:p w:rsidR="00535A65" w:rsidRPr="00E85C61" w:rsidRDefault="00535A65" w:rsidP="00535A65">
            <w:pPr>
              <w:rPr>
                <w:rFonts w:ascii="Arial" w:hAnsi="Arial" w:cs="Arial"/>
                <w:bCs/>
              </w:rPr>
            </w:pPr>
            <w:r w:rsidRPr="00E85C61">
              <w:rPr>
                <w:rFonts w:ascii="Arial" w:hAnsi="Arial" w:cs="Arial"/>
                <w:bCs/>
              </w:rPr>
              <w:t>02042 Ured za protokol</w:t>
            </w:r>
          </w:p>
        </w:tc>
        <w:tc>
          <w:tcPr>
            <w:tcW w:w="1486" w:type="dxa"/>
          </w:tcPr>
          <w:p w:rsidR="00535A65" w:rsidRPr="00E85C61" w:rsidRDefault="00535A65" w:rsidP="00535A65">
            <w:pPr>
              <w:rPr>
                <w:rFonts w:ascii="Arial" w:hAnsi="Arial" w:cs="Arial"/>
              </w:rPr>
            </w:pPr>
            <w:r w:rsidRPr="00E85C61">
              <w:rPr>
                <w:rFonts w:ascii="Arial" w:hAnsi="Arial" w:cs="Arial"/>
              </w:rPr>
              <w:t>1.645.310</w:t>
            </w:r>
          </w:p>
        </w:tc>
        <w:tc>
          <w:tcPr>
            <w:tcW w:w="1486" w:type="dxa"/>
          </w:tcPr>
          <w:p w:rsidR="00535A65" w:rsidRPr="00E85C61" w:rsidRDefault="00535A65" w:rsidP="00535A65">
            <w:pPr>
              <w:rPr>
                <w:rFonts w:ascii="Arial" w:hAnsi="Arial" w:cs="Arial"/>
              </w:rPr>
            </w:pPr>
            <w:r w:rsidRPr="00E85C61">
              <w:rPr>
                <w:rFonts w:ascii="Arial" w:hAnsi="Arial" w:cs="Arial"/>
              </w:rPr>
              <w:t>1.500.550</w:t>
            </w:r>
          </w:p>
        </w:tc>
        <w:tc>
          <w:tcPr>
            <w:tcW w:w="1486" w:type="dxa"/>
          </w:tcPr>
          <w:p w:rsidR="00535A65" w:rsidRPr="00E85C61" w:rsidRDefault="00535A65" w:rsidP="00535A65">
            <w:pPr>
              <w:rPr>
                <w:rFonts w:ascii="Arial" w:hAnsi="Arial" w:cs="Arial"/>
              </w:rPr>
            </w:pPr>
            <w:r w:rsidRPr="00E85C61">
              <w:rPr>
                <w:rFonts w:ascii="Arial" w:hAnsi="Arial" w:cs="Arial"/>
              </w:rPr>
              <w:t>1.506.550</w:t>
            </w:r>
          </w:p>
        </w:tc>
        <w:tc>
          <w:tcPr>
            <w:tcW w:w="1486" w:type="dxa"/>
          </w:tcPr>
          <w:p w:rsidR="00535A65" w:rsidRPr="00E85C61" w:rsidRDefault="00535A65" w:rsidP="00535A65">
            <w:pPr>
              <w:rPr>
                <w:rFonts w:ascii="Arial" w:hAnsi="Arial" w:cs="Arial"/>
              </w:rPr>
            </w:pPr>
            <w:r w:rsidRPr="00E85C61">
              <w:rPr>
                <w:rFonts w:ascii="Arial" w:hAnsi="Arial" w:cs="Arial"/>
              </w:rPr>
              <w:t>1.510.550</w:t>
            </w:r>
          </w:p>
        </w:tc>
        <w:tc>
          <w:tcPr>
            <w:tcW w:w="1486" w:type="dxa"/>
          </w:tcPr>
          <w:p w:rsidR="00535A65" w:rsidRPr="00E85C61" w:rsidRDefault="00535A65" w:rsidP="00535A65">
            <w:pPr>
              <w:rPr>
                <w:rFonts w:ascii="Arial" w:hAnsi="Arial" w:cs="Arial"/>
              </w:rPr>
            </w:pPr>
            <w:r w:rsidRPr="00E85C61">
              <w:rPr>
                <w:rFonts w:ascii="Arial" w:hAnsi="Arial" w:cs="Arial"/>
              </w:rPr>
              <w:t>91,2</w:t>
            </w:r>
          </w:p>
        </w:tc>
      </w:tr>
      <w:tr w:rsidR="00535A65" w:rsidRPr="00535A65" w:rsidTr="00AA0B4F">
        <w:trPr>
          <w:jc w:val="center"/>
        </w:trPr>
        <w:tc>
          <w:tcPr>
            <w:tcW w:w="1639" w:type="dxa"/>
          </w:tcPr>
          <w:p w:rsidR="00535A65" w:rsidRPr="00E85C61" w:rsidRDefault="00535A65" w:rsidP="00535A65">
            <w:pPr>
              <w:rPr>
                <w:rFonts w:ascii="Arial" w:hAnsi="Arial" w:cs="Arial"/>
                <w:bCs/>
              </w:rPr>
            </w:pPr>
            <w:r w:rsidRPr="00E85C61">
              <w:rPr>
                <w:rFonts w:ascii="Arial" w:hAnsi="Arial" w:cs="Arial"/>
                <w:bCs/>
              </w:rPr>
              <w:t>02044 Ured Vlade Republike Hrvatske za unutarnju reviziju</w:t>
            </w:r>
          </w:p>
        </w:tc>
        <w:tc>
          <w:tcPr>
            <w:tcW w:w="1486" w:type="dxa"/>
          </w:tcPr>
          <w:p w:rsidR="00535A65" w:rsidRPr="00E85C61" w:rsidRDefault="00535A65" w:rsidP="00535A65">
            <w:pPr>
              <w:rPr>
                <w:rFonts w:ascii="Arial" w:hAnsi="Arial" w:cs="Arial"/>
              </w:rPr>
            </w:pPr>
            <w:r w:rsidRPr="00E85C61">
              <w:rPr>
                <w:rFonts w:ascii="Arial" w:hAnsi="Arial" w:cs="Arial"/>
              </w:rPr>
              <w:t>1.952.100</w:t>
            </w:r>
          </w:p>
        </w:tc>
        <w:tc>
          <w:tcPr>
            <w:tcW w:w="1486" w:type="dxa"/>
          </w:tcPr>
          <w:p w:rsidR="00535A65" w:rsidRPr="00E85C61" w:rsidRDefault="00535A65" w:rsidP="00535A65">
            <w:pPr>
              <w:rPr>
                <w:rFonts w:ascii="Arial" w:hAnsi="Arial" w:cs="Arial"/>
              </w:rPr>
            </w:pPr>
            <w:r w:rsidRPr="00E85C61">
              <w:rPr>
                <w:rFonts w:ascii="Arial" w:hAnsi="Arial" w:cs="Arial"/>
              </w:rPr>
              <w:t>1.920.600</w:t>
            </w:r>
          </w:p>
        </w:tc>
        <w:tc>
          <w:tcPr>
            <w:tcW w:w="1486" w:type="dxa"/>
          </w:tcPr>
          <w:p w:rsidR="00535A65" w:rsidRPr="00E85C61" w:rsidRDefault="00535A65" w:rsidP="00535A65">
            <w:pPr>
              <w:rPr>
                <w:rFonts w:ascii="Arial" w:hAnsi="Arial" w:cs="Arial"/>
              </w:rPr>
            </w:pPr>
            <w:r w:rsidRPr="00E85C61">
              <w:rPr>
                <w:rFonts w:ascii="Arial" w:hAnsi="Arial" w:cs="Arial"/>
              </w:rPr>
              <w:t>2.094.100</w:t>
            </w:r>
          </w:p>
        </w:tc>
        <w:tc>
          <w:tcPr>
            <w:tcW w:w="1486" w:type="dxa"/>
          </w:tcPr>
          <w:p w:rsidR="00535A65" w:rsidRPr="00E85C61" w:rsidRDefault="00535A65" w:rsidP="00535A65">
            <w:pPr>
              <w:rPr>
                <w:rFonts w:ascii="Arial" w:hAnsi="Arial" w:cs="Arial"/>
              </w:rPr>
            </w:pPr>
            <w:r w:rsidRPr="00E85C61">
              <w:rPr>
                <w:rFonts w:ascii="Arial" w:hAnsi="Arial" w:cs="Arial"/>
              </w:rPr>
              <w:t>2.101.100</w:t>
            </w:r>
          </w:p>
        </w:tc>
        <w:tc>
          <w:tcPr>
            <w:tcW w:w="1486" w:type="dxa"/>
          </w:tcPr>
          <w:p w:rsidR="00535A65" w:rsidRPr="00E85C61" w:rsidRDefault="00535A65" w:rsidP="00535A65">
            <w:pPr>
              <w:rPr>
                <w:rFonts w:ascii="Arial" w:hAnsi="Arial" w:cs="Arial"/>
              </w:rPr>
            </w:pPr>
            <w:r w:rsidRPr="00E85C61">
              <w:rPr>
                <w:rFonts w:ascii="Arial" w:hAnsi="Arial" w:cs="Arial"/>
              </w:rPr>
              <w:t>98,4</w:t>
            </w:r>
          </w:p>
        </w:tc>
      </w:tr>
      <w:tr w:rsidR="00535A65" w:rsidRPr="00535A65" w:rsidTr="00AA0B4F">
        <w:trPr>
          <w:jc w:val="center"/>
        </w:trPr>
        <w:tc>
          <w:tcPr>
            <w:tcW w:w="1639" w:type="dxa"/>
          </w:tcPr>
          <w:p w:rsidR="00535A65" w:rsidRPr="00E85C61" w:rsidRDefault="00535A65" w:rsidP="00535A65">
            <w:pPr>
              <w:rPr>
                <w:rFonts w:ascii="Arial" w:hAnsi="Arial" w:cs="Arial"/>
                <w:bCs/>
              </w:rPr>
            </w:pPr>
            <w:r w:rsidRPr="00E85C61">
              <w:rPr>
                <w:rFonts w:ascii="Arial" w:hAnsi="Arial" w:cs="Arial"/>
                <w:bCs/>
              </w:rPr>
              <w:t>02046 Direkcija za korištenje službenih zrakoplova</w:t>
            </w:r>
          </w:p>
        </w:tc>
        <w:tc>
          <w:tcPr>
            <w:tcW w:w="1486" w:type="dxa"/>
          </w:tcPr>
          <w:p w:rsidR="00535A65" w:rsidRPr="00E85C61" w:rsidRDefault="00535A65" w:rsidP="00535A65">
            <w:pPr>
              <w:rPr>
                <w:rFonts w:ascii="Arial" w:hAnsi="Arial" w:cs="Arial"/>
              </w:rPr>
            </w:pPr>
            <w:r w:rsidRPr="00E85C61">
              <w:rPr>
                <w:rFonts w:ascii="Arial" w:hAnsi="Arial" w:cs="Arial"/>
              </w:rPr>
              <w:t>6.554.000</w:t>
            </w:r>
          </w:p>
        </w:tc>
        <w:tc>
          <w:tcPr>
            <w:tcW w:w="1486" w:type="dxa"/>
          </w:tcPr>
          <w:p w:rsidR="00535A65" w:rsidRPr="00E85C61" w:rsidRDefault="00535A65" w:rsidP="00535A65">
            <w:pPr>
              <w:rPr>
                <w:rFonts w:ascii="Arial" w:hAnsi="Arial" w:cs="Arial"/>
              </w:rPr>
            </w:pPr>
            <w:r w:rsidRPr="00E85C61">
              <w:rPr>
                <w:rFonts w:ascii="Arial" w:hAnsi="Arial" w:cs="Arial"/>
              </w:rPr>
              <w:t>11.883.000</w:t>
            </w:r>
          </w:p>
        </w:tc>
        <w:tc>
          <w:tcPr>
            <w:tcW w:w="1486" w:type="dxa"/>
          </w:tcPr>
          <w:p w:rsidR="00535A65" w:rsidRPr="00E85C61" w:rsidRDefault="00535A65" w:rsidP="00535A65">
            <w:pPr>
              <w:rPr>
                <w:rFonts w:ascii="Arial" w:hAnsi="Arial" w:cs="Arial"/>
              </w:rPr>
            </w:pPr>
            <w:r w:rsidRPr="00E85C61">
              <w:rPr>
                <w:rFonts w:ascii="Arial" w:hAnsi="Arial" w:cs="Arial"/>
              </w:rPr>
              <w:t>13.785.000</w:t>
            </w:r>
          </w:p>
        </w:tc>
        <w:tc>
          <w:tcPr>
            <w:tcW w:w="1486" w:type="dxa"/>
          </w:tcPr>
          <w:p w:rsidR="00535A65" w:rsidRPr="00E85C61" w:rsidRDefault="00535A65" w:rsidP="00535A65">
            <w:pPr>
              <w:rPr>
                <w:rFonts w:ascii="Arial" w:hAnsi="Arial" w:cs="Arial"/>
              </w:rPr>
            </w:pPr>
            <w:r w:rsidRPr="00E85C61">
              <w:rPr>
                <w:rFonts w:ascii="Arial" w:hAnsi="Arial" w:cs="Arial"/>
              </w:rPr>
              <w:t>13.811.500</w:t>
            </w:r>
          </w:p>
        </w:tc>
        <w:tc>
          <w:tcPr>
            <w:tcW w:w="1486" w:type="dxa"/>
          </w:tcPr>
          <w:p w:rsidR="00535A65" w:rsidRPr="00E85C61" w:rsidRDefault="00535A65" w:rsidP="00535A65">
            <w:pPr>
              <w:rPr>
                <w:rFonts w:ascii="Arial" w:hAnsi="Arial" w:cs="Arial"/>
              </w:rPr>
            </w:pPr>
            <w:r w:rsidRPr="00E85C61">
              <w:rPr>
                <w:rFonts w:ascii="Arial" w:hAnsi="Arial" w:cs="Arial"/>
              </w:rPr>
              <w:t>181,3</w:t>
            </w:r>
          </w:p>
        </w:tc>
      </w:tr>
      <w:tr w:rsidR="00535A65" w:rsidRPr="00535A65" w:rsidTr="00AA0B4F">
        <w:trPr>
          <w:jc w:val="center"/>
        </w:trPr>
        <w:tc>
          <w:tcPr>
            <w:tcW w:w="1639" w:type="dxa"/>
          </w:tcPr>
          <w:p w:rsidR="00535A65" w:rsidRPr="00E85C61" w:rsidRDefault="00535A65" w:rsidP="00535A65">
            <w:pPr>
              <w:rPr>
                <w:rFonts w:ascii="Arial" w:hAnsi="Arial" w:cs="Arial"/>
                <w:bCs/>
              </w:rPr>
            </w:pPr>
            <w:r w:rsidRPr="00E85C61">
              <w:rPr>
                <w:rFonts w:ascii="Arial" w:hAnsi="Arial" w:cs="Arial"/>
                <w:bCs/>
              </w:rPr>
              <w:t>02087 Ured za ljudska prava i prava nacionalnih manjina</w:t>
            </w:r>
          </w:p>
        </w:tc>
        <w:tc>
          <w:tcPr>
            <w:tcW w:w="1486" w:type="dxa"/>
          </w:tcPr>
          <w:p w:rsidR="00535A65" w:rsidRPr="00E85C61" w:rsidRDefault="00535A65" w:rsidP="00535A65">
            <w:pPr>
              <w:rPr>
                <w:rFonts w:ascii="Arial" w:hAnsi="Arial" w:cs="Arial"/>
              </w:rPr>
            </w:pPr>
            <w:r w:rsidRPr="00E85C61">
              <w:rPr>
                <w:rFonts w:ascii="Arial" w:hAnsi="Arial" w:cs="Arial"/>
              </w:rPr>
              <w:t>26.056.200</w:t>
            </w:r>
          </w:p>
        </w:tc>
        <w:tc>
          <w:tcPr>
            <w:tcW w:w="1486" w:type="dxa"/>
          </w:tcPr>
          <w:p w:rsidR="00535A65" w:rsidRPr="00E85C61" w:rsidRDefault="00535A65" w:rsidP="00535A65">
            <w:pPr>
              <w:rPr>
                <w:rFonts w:ascii="Arial" w:hAnsi="Arial" w:cs="Arial"/>
              </w:rPr>
            </w:pPr>
            <w:r w:rsidRPr="00E85C61">
              <w:rPr>
                <w:rFonts w:ascii="Arial" w:hAnsi="Arial" w:cs="Arial"/>
              </w:rPr>
              <w:t>23.081.600</w:t>
            </w:r>
          </w:p>
        </w:tc>
        <w:tc>
          <w:tcPr>
            <w:tcW w:w="1486" w:type="dxa"/>
          </w:tcPr>
          <w:p w:rsidR="00535A65" w:rsidRPr="00E85C61" w:rsidRDefault="00535A65" w:rsidP="00535A65">
            <w:pPr>
              <w:rPr>
                <w:rFonts w:ascii="Arial" w:hAnsi="Arial" w:cs="Arial"/>
              </w:rPr>
            </w:pPr>
            <w:r w:rsidRPr="00E85C61">
              <w:rPr>
                <w:rFonts w:ascii="Arial" w:hAnsi="Arial" w:cs="Arial"/>
              </w:rPr>
              <w:t>26.327.500</w:t>
            </w:r>
          </w:p>
        </w:tc>
        <w:tc>
          <w:tcPr>
            <w:tcW w:w="1486" w:type="dxa"/>
          </w:tcPr>
          <w:p w:rsidR="00535A65" w:rsidRPr="00E85C61" w:rsidRDefault="00535A65" w:rsidP="00535A65">
            <w:pPr>
              <w:rPr>
                <w:rFonts w:ascii="Arial" w:hAnsi="Arial" w:cs="Arial"/>
              </w:rPr>
            </w:pPr>
            <w:r w:rsidRPr="00E85C61">
              <w:rPr>
                <w:rFonts w:ascii="Arial" w:hAnsi="Arial" w:cs="Arial"/>
              </w:rPr>
              <w:t>24.644.500</w:t>
            </w:r>
          </w:p>
        </w:tc>
        <w:tc>
          <w:tcPr>
            <w:tcW w:w="1486" w:type="dxa"/>
          </w:tcPr>
          <w:p w:rsidR="00535A65" w:rsidRPr="00E85C61" w:rsidRDefault="00535A65" w:rsidP="00535A65">
            <w:pPr>
              <w:rPr>
                <w:rFonts w:ascii="Arial" w:hAnsi="Arial" w:cs="Arial"/>
              </w:rPr>
            </w:pPr>
            <w:r w:rsidRPr="00E85C61">
              <w:rPr>
                <w:rFonts w:ascii="Arial" w:hAnsi="Arial" w:cs="Arial"/>
              </w:rPr>
              <w:t>88,6</w:t>
            </w:r>
          </w:p>
        </w:tc>
      </w:tr>
      <w:tr w:rsidR="00535A65" w:rsidRPr="00535A65" w:rsidTr="00AA0B4F">
        <w:trPr>
          <w:jc w:val="center"/>
        </w:trPr>
        <w:tc>
          <w:tcPr>
            <w:tcW w:w="1639" w:type="dxa"/>
          </w:tcPr>
          <w:p w:rsidR="00535A65" w:rsidRPr="00E85C61" w:rsidRDefault="00535A65" w:rsidP="00535A65">
            <w:pPr>
              <w:rPr>
                <w:rFonts w:ascii="Arial" w:hAnsi="Arial" w:cs="Arial"/>
                <w:bCs/>
              </w:rPr>
            </w:pPr>
            <w:r w:rsidRPr="00E85C61">
              <w:rPr>
                <w:rFonts w:ascii="Arial" w:hAnsi="Arial" w:cs="Arial"/>
                <w:bCs/>
              </w:rPr>
              <w:t>02090 Ured za suzbijanje zlouporabe droga</w:t>
            </w:r>
          </w:p>
        </w:tc>
        <w:tc>
          <w:tcPr>
            <w:tcW w:w="1486" w:type="dxa"/>
          </w:tcPr>
          <w:p w:rsidR="00535A65" w:rsidRPr="00E85C61" w:rsidRDefault="00535A65" w:rsidP="00535A65">
            <w:pPr>
              <w:rPr>
                <w:rFonts w:ascii="Arial" w:hAnsi="Arial" w:cs="Arial"/>
              </w:rPr>
            </w:pPr>
            <w:r w:rsidRPr="00E85C61">
              <w:rPr>
                <w:rFonts w:ascii="Arial" w:hAnsi="Arial" w:cs="Arial"/>
              </w:rPr>
              <w:t>4.529.023</w:t>
            </w:r>
          </w:p>
        </w:tc>
        <w:tc>
          <w:tcPr>
            <w:tcW w:w="1486" w:type="dxa"/>
          </w:tcPr>
          <w:p w:rsidR="00535A65" w:rsidRPr="00E85C61" w:rsidRDefault="00535A65" w:rsidP="00535A65">
            <w:pPr>
              <w:rPr>
                <w:rFonts w:ascii="Arial" w:hAnsi="Arial" w:cs="Arial"/>
              </w:rPr>
            </w:pPr>
            <w:r w:rsidRPr="00E85C61">
              <w:rPr>
                <w:rFonts w:ascii="Arial" w:hAnsi="Arial" w:cs="Arial"/>
              </w:rPr>
              <w:t>5.358.033</w:t>
            </w:r>
          </w:p>
        </w:tc>
        <w:tc>
          <w:tcPr>
            <w:tcW w:w="1486" w:type="dxa"/>
          </w:tcPr>
          <w:p w:rsidR="00535A65" w:rsidRPr="00E85C61" w:rsidRDefault="00535A65" w:rsidP="00535A65">
            <w:pPr>
              <w:rPr>
                <w:rFonts w:ascii="Arial" w:hAnsi="Arial" w:cs="Arial"/>
              </w:rPr>
            </w:pPr>
            <w:r w:rsidRPr="00E85C61">
              <w:rPr>
                <w:rFonts w:ascii="Arial" w:hAnsi="Arial" w:cs="Arial"/>
              </w:rPr>
              <w:t>5.407.740</w:t>
            </w:r>
          </w:p>
        </w:tc>
        <w:tc>
          <w:tcPr>
            <w:tcW w:w="1486" w:type="dxa"/>
          </w:tcPr>
          <w:p w:rsidR="00535A65" w:rsidRPr="00E85C61" w:rsidRDefault="00535A65" w:rsidP="00535A65">
            <w:pPr>
              <w:rPr>
                <w:rFonts w:ascii="Arial" w:hAnsi="Arial" w:cs="Arial"/>
              </w:rPr>
            </w:pPr>
            <w:r w:rsidRPr="00E85C61">
              <w:rPr>
                <w:rFonts w:ascii="Arial" w:hAnsi="Arial" w:cs="Arial"/>
              </w:rPr>
              <w:t>5.464.827</w:t>
            </w:r>
          </w:p>
        </w:tc>
        <w:tc>
          <w:tcPr>
            <w:tcW w:w="1486" w:type="dxa"/>
          </w:tcPr>
          <w:p w:rsidR="00535A65" w:rsidRPr="00E85C61" w:rsidRDefault="00535A65" w:rsidP="00535A65">
            <w:pPr>
              <w:rPr>
                <w:rFonts w:ascii="Arial" w:hAnsi="Arial" w:cs="Arial"/>
              </w:rPr>
            </w:pPr>
            <w:r w:rsidRPr="00E85C61">
              <w:rPr>
                <w:rFonts w:ascii="Arial" w:hAnsi="Arial" w:cs="Arial"/>
              </w:rPr>
              <w:t>118,3</w:t>
            </w:r>
          </w:p>
        </w:tc>
      </w:tr>
      <w:tr w:rsidR="00535A65" w:rsidRPr="00535A65" w:rsidTr="00AA0B4F">
        <w:trPr>
          <w:jc w:val="center"/>
        </w:trPr>
        <w:tc>
          <w:tcPr>
            <w:tcW w:w="1639" w:type="dxa"/>
          </w:tcPr>
          <w:p w:rsidR="00535A65" w:rsidRPr="00E85C61" w:rsidRDefault="00535A65" w:rsidP="00535A65">
            <w:pPr>
              <w:rPr>
                <w:rFonts w:ascii="Arial" w:hAnsi="Arial" w:cs="Arial"/>
                <w:bCs/>
              </w:rPr>
            </w:pPr>
            <w:r w:rsidRPr="00E85C61">
              <w:rPr>
                <w:rFonts w:ascii="Arial" w:hAnsi="Arial" w:cs="Arial"/>
                <w:bCs/>
              </w:rPr>
              <w:t>02091 Ured Komisije za odnose s vjerskim zajednicama</w:t>
            </w:r>
          </w:p>
        </w:tc>
        <w:tc>
          <w:tcPr>
            <w:tcW w:w="1486" w:type="dxa"/>
          </w:tcPr>
          <w:p w:rsidR="00535A65" w:rsidRPr="00E85C61" w:rsidRDefault="00535A65" w:rsidP="00535A65">
            <w:pPr>
              <w:rPr>
                <w:rFonts w:ascii="Arial" w:hAnsi="Arial" w:cs="Arial"/>
              </w:rPr>
            </w:pPr>
            <w:r w:rsidRPr="00E85C61">
              <w:rPr>
                <w:rFonts w:ascii="Arial" w:hAnsi="Arial" w:cs="Arial"/>
              </w:rPr>
              <w:t>00</w:t>
            </w:r>
          </w:p>
        </w:tc>
        <w:tc>
          <w:tcPr>
            <w:tcW w:w="1486" w:type="dxa"/>
          </w:tcPr>
          <w:p w:rsidR="00535A65" w:rsidRPr="00E85C61" w:rsidRDefault="00535A65" w:rsidP="00535A65">
            <w:pPr>
              <w:rPr>
                <w:rFonts w:ascii="Arial" w:hAnsi="Arial" w:cs="Arial"/>
              </w:rPr>
            </w:pPr>
            <w:r w:rsidRPr="00E85C61">
              <w:rPr>
                <w:rFonts w:ascii="Arial" w:hAnsi="Arial" w:cs="Arial"/>
              </w:rPr>
              <w:t>701.700</w:t>
            </w:r>
          </w:p>
        </w:tc>
        <w:tc>
          <w:tcPr>
            <w:tcW w:w="1486" w:type="dxa"/>
          </w:tcPr>
          <w:p w:rsidR="00535A65" w:rsidRPr="00E85C61" w:rsidRDefault="00535A65" w:rsidP="00535A65">
            <w:pPr>
              <w:rPr>
                <w:rFonts w:ascii="Arial" w:hAnsi="Arial" w:cs="Arial"/>
              </w:rPr>
            </w:pPr>
            <w:r w:rsidRPr="00E85C61">
              <w:rPr>
                <w:rFonts w:ascii="Arial" w:hAnsi="Arial" w:cs="Arial"/>
              </w:rPr>
              <w:t>808.980</w:t>
            </w:r>
          </w:p>
        </w:tc>
        <w:tc>
          <w:tcPr>
            <w:tcW w:w="1486" w:type="dxa"/>
          </w:tcPr>
          <w:p w:rsidR="00535A65" w:rsidRPr="00E85C61" w:rsidRDefault="00535A65" w:rsidP="00535A65">
            <w:pPr>
              <w:rPr>
                <w:rFonts w:ascii="Arial" w:hAnsi="Arial" w:cs="Arial"/>
              </w:rPr>
            </w:pPr>
            <w:r w:rsidRPr="00E85C61">
              <w:rPr>
                <w:rFonts w:ascii="Arial" w:hAnsi="Arial" w:cs="Arial"/>
              </w:rPr>
              <w:t>810.980</w:t>
            </w:r>
          </w:p>
        </w:tc>
        <w:tc>
          <w:tcPr>
            <w:tcW w:w="1486" w:type="dxa"/>
          </w:tcPr>
          <w:p w:rsidR="00535A65" w:rsidRPr="00E85C61" w:rsidRDefault="00535A65" w:rsidP="00535A65">
            <w:pPr>
              <w:rPr>
                <w:rFonts w:ascii="Arial" w:hAnsi="Arial" w:cs="Arial"/>
              </w:rPr>
            </w:pPr>
            <w:r w:rsidRPr="00E85C61">
              <w:rPr>
                <w:rFonts w:ascii="Arial" w:hAnsi="Arial" w:cs="Arial"/>
              </w:rPr>
              <w:t>0,0</w:t>
            </w:r>
          </w:p>
        </w:tc>
      </w:tr>
      <w:tr w:rsidR="00535A65" w:rsidRPr="00535A65" w:rsidTr="00AA0B4F">
        <w:trPr>
          <w:jc w:val="center"/>
        </w:trPr>
        <w:tc>
          <w:tcPr>
            <w:tcW w:w="1639" w:type="dxa"/>
          </w:tcPr>
          <w:p w:rsidR="00535A65" w:rsidRPr="00E85C61" w:rsidRDefault="00535A65" w:rsidP="00535A65">
            <w:pPr>
              <w:rPr>
                <w:rFonts w:ascii="Arial" w:hAnsi="Arial" w:cs="Arial"/>
                <w:bCs/>
              </w:rPr>
            </w:pPr>
            <w:r w:rsidRPr="00E85C61">
              <w:rPr>
                <w:rFonts w:ascii="Arial" w:hAnsi="Arial" w:cs="Arial"/>
                <w:bCs/>
              </w:rPr>
              <w:t>02092 Ured za ravnopravnost spolova</w:t>
            </w:r>
          </w:p>
        </w:tc>
        <w:tc>
          <w:tcPr>
            <w:tcW w:w="1486" w:type="dxa"/>
          </w:tcPr>
          <w:p w:rsidR="00535A65" w:rsidRPr="00E85C61" w:rsidRDefault="00535A65" w:rsidP="00535A65">
            <w:pPr>
              <w:rPr>
                <w:rFonts w:ascii="Arial" w:hAnsi="Arial" w:cs="Arial"/>
              </w:rPr>
            </w:pPr>
            <w:r w:rsidRPr="00E85C61">
              <w:rPr>
                <w:rFonts w:ascii="Arial" w:hAnsi="Arial" w:cs="Arial"/>
              </w:rPr>
              <w:t>1.979.000</w:t>
            </w:r>
          </w:p>
        </w:tc>
        <w:tc>
          <w:tcPr>
            <w:tcW w:w="1486" w:type="dxa"/>
          </w:tcPr>
          <w:p w:rsidR="00535A65" w:rsidRPr="00E85C61" w:rsidRDefault="00535A65" w:rsidP="00535A65">
            <w:pPr>
              <w:rPr>
                <w:rFonts w:ascii="Arial" w:hAnsi="Arial" w:cs="Arial"/>
              </w:rPr>
            </w:pPr>
            <w:r w:rsidRPr="00E85C61">
              <w:rPr>
                <w:rFonts w:ascii="Arial" w:hAnsi="Arial" w:cs="Arial"/>
              </w:rPr>
              <w:t>6.080.640</w:t>
            </w:r>
          </w:p>
        </w:tc>
        <w:tc>
          <w:tcPr>
            <w:tcW w:w="1486" w:type="dxa"/>
          </w:tcPr>
          <w:p w:rsidR="00535A65" w:rsidRPr="00E85C61" w:rsidRDefault="00535A65" w:rsidP="00535A65">
            <w:pPr>
              <w:rPr>
                <w:rFonts w:ascii="Arial" w:hAnsi="Arial" w:cs="Arial"/>
              </w:rPr>
            </w:pPr>
            <w:r w:rsidRPr="00E85C61">
              <w:rPr>
                <w:rFonts w:ascii="Arial" w:hAnsi="Arial" w:cs="Arial"/>
              </w:rPr>
              <w:t>3.700.113</w:t>
            </w:r>
          </w:p>
        </w:tc>
        <w:tc>
          <w:tcPr>
            <w:tcW w:w="1486" w:type="dxa"/>
          </w:tcPr>
          <w:p w:rsidR="00535A65" w:rsidRPr="00E85C61" w:rsidRDefault="00535A65" w:rsidP="00535A65">
            <w:pPr>
              <w:rPr>
                <w:rFonts w:ascii="Arial" w:hAnsi="Arial" w:cs="Arial"/>
              </w:rPr>
            </w:pPr>
            <w:r w:rsidRPr="00E85C61">
              <w:rPr>
                <w:rFonts w:ascii="Arial" w:hAnsi="Arial" w:cs="Arial"/>
              </w:rPr>
              <w:t>2.022.400</w:t>
            </w:r>
          </w:p>
        </w:tc>
        <w:tc>
          <w:tcPr>
            <w:tcW w:w="1486" w:type="dxa"/>
          </w:tcPr>
          <w:p w:rsidR="00535A65" w:rsidRPr="00E85C61" w:rsidRDefault="00535A65" w:rsidP="00535A65">
            <w:pPr>
              <w:rPr>
                <w:rFonts w:ascii="Arial" w:hAnsi="Arial" w:cs="Arial"/>
              </w:rPr>
            </w:pPr>
            <w:r w:rsidRPr="00E85C61">
              <w:rPr>
                <w:rFonts w:ascii="Arial" w:hAnsi="Arial" w:cs="Arial"/>
              </w:rPr>
              <w:t>307,2</w:t>
            </w:r>
          </w:p>
        </w:tc>
      </w:tr>
      <w:tr w:rsidR="00535A65" w:rsidRPr="00535A65" w:rsidTr="00AA0B4F">
        <w:trPr>
          <w:jc w:val="center"/>
        </w:trPr>
        <w:tc>
          <w:tcPr>
            <w:tcW w:w="1639" w:type="dxa"/>
          </w:tcPr>
          <w:p w:rsidR="00535A65" w:rsidRPr="00E85C61" w:rsidRDefault="00535A65" w:rsidP="00535A65">
            <w:pPr>
              <w:rPr>
                <w:rFonts w:ascii="Arial" w:hAnsi="Arial" w:cs="Arial"/>
                <w:bCs/>
              </w:rPr>
            </w:pPr>
            <w:r w:rsidRPr="00E85C61">
              <w:rPr>
                <w:rFonts w:ascii="Arial" w:hAnsi="Arial" w:cs="Arial"/>
                <w:bCs/>
              </w:rPr>
              <w:t>02097 Digitalni informacijsko-dokumentacijski ured</w:t>
            </w:r>
          </w:p>
        </w:tc>
        <w:tc>
          <w:tcPr>
            <w:tcW w:w="1486" w:type="dxa"/>
          </w:tcPr>
          <w:p w:rsidR="00535A65" w:rsidRPr="00E85C61" w:rsidRDefault="00535A65" w:rsidP="00535A65">
            <w:pPr>
              <w:rPr>
                <w:rFonts w:ascii="Arial" w:hAnsi="Arial" w:cs="Arial"/>
              </w:rPr>
            </w:pPr>
            <w:r w:rsidRPr="00E85C61">
              <w:rPr>
                <w:rFonts w:ascii="Arial" w:hAnsi="Arial" w:cs="Arial"/>
              </w:rPr>
              <w:t>00</w:t>
            </w:r>
          </w:p>
        </w:tc>
        <w:tc>
          <w:tcPr>
            <w:tcW w:w="1486" w:type="dxa"/>
          </w:tcPr>
          <w:p w:rsidR="00535A65" w:rsidRPr="00E85C61" w:rsidRDefault="00535A65" w:rsidP="00535A65">
            <w:pPr>
              <w:rPr>
                <w:rFonts w:ascii="Arial" w:hAnsi="Arial" w:cs="Arial"/>
              </w:rPr>
            </w:pPr>
            <w:r w:rsidRPr="00E85C61">
              <w:rPr>
                <w:rFonts w:ascii="Arial" w:hAnsi="Arial" w:cs="Arial"/>
              </w:rPr>
              <w:t>5.003.850</w:t>
            </w:r>
          </w:p>
        </w:tc>
        <w:tc>
          <w:tcPr>
            <w:tcW w:w="1486" w:type="dxa"/>
          </w:tcPr>
          <w:p w:rsidR="00535A65" w:rsidRPr="00E85C61" w:rsidRDefault="00535A65" w:rsidP="00535A65">
            <w:pPr>
              <w:rPr>
                <w:rFonts w:ascii="Arial" w:hAnsi="Arial" w:cs="Arial"/>
              </w:rPr>
            </w:pPr>
            <w:r w:rsidRPr="00E85C61">
              <w:rPr>
                <w:rFonts w:ascii="Arial" w:hAnsi="Arial" w:cs="Arial"/>
              </w:rPr>
              <w:t>5.048.990</w:t>
            </w:r>
          </w:p>
        </w:tc>
        <w:tc>
          <w:tcPr>
            <w:tcW w:w="1486" w:type="dxa"/>
          </w:tcPr>
          <w:p w:rsidR="00535A65" w:rsidRPr="00E85C61" w:rsidRDefault="00535A65" w:rsidP="00535A65">
            <w:pPr>
              <w:rPr>
                <w:rFonts w:ascii="Arial" w:hAnsi="Arial" w:cs="Arial"/>
              </w:rPr>
            </w:pPr>
            <w:r w:rsidRPr="00E85C61">
              <w:rPr>
                <w:rFonts w:ascii="Arial" w:hAnsi="Arial" w:cs="Arial"/>
              </w:rPr>
              <w:t>5.049.760</w:t>
            </w:r>
          </w:p>
        </w:tc>
        <w:tc>
          <w:tcPr>
            <w:tcW w:w="1486" w:type="dxa"/>
          </w:tcPr>
          <w:p w:rsidR="00535A65" w:rsidRPr="00E85C61" w:rsidRDefault="00535A65" w:rsidP="00535A65">
            <w:pPr>
              <w:rPr>
                <w:rFonts w:ascii="Arial" w:hAnsi="Arial" w:cs="Arial"/>
              </w:rPr>
            </w:pPr>
            <w:r w:rsidRPr="00E85C61">
              <w:rPr>
                <w:rFonts w:ascii="Arial" w:hAnsi="Arial" w:cs="Arial"/>
              </w:rPr>
              <w:t>0,0</w:t>
            </w:r>
          </w:p>
        </w:tc>
      </w:tr>
      <w:tr w:rsidR="00535A65" w:rsidRPr="00535A65" w:rsidTr="00AA0B4F">
        <w:trPr>
          <w:jc w:val="center"/>
        </w:trPr>
        <w:tc>
          <w:tcPr>
            <w:tcW w:w="1639" w:type="dxa"/>
          </w:tcPr>
          <w:p w:rsidR="00535A65" w:rsidRPr="00E85C61" w:rsidRDefault="00535A65" w:rsidP="00535A65">
            <w:pPr>
              <w:rPr>
                <w:rFonts w:ascii="Arial" w:hAnsi="Arial" w:cs="Arial"/>
                <w:bCs/>
              </w:rPr>
            </w:pPr>
            <w:r w:rsidRPr="00E85C61">
              <w:rPr>
                <w:rFonts w:ascii="Arial" w:hAnsi="Arial" w:cs="Arial"/>
                <w:bCs/>
              </w:rPr>
              <w:t>02099 Ured za razminiranje</w:t>
            </w:r>
          </w:p>
        </w:tc>
        <w:tc>
          <w:tcPr>
            <w:tcW w:w="1486" w:type="dxa"/>
          </w:tcPr>
          <w:p w:rsidR="00535A65" w:rsidRPr="00E85C61" w:rsidRDefault="00535A65" w:rsidP="00535A65">
            <w:pPr>
              <w:rPr>
                <w:rFonts w:ascii="Arial" w:hAnsi="Arial" w:cs="Arial"/>
              </w:rPr>
            </w:pPr>
            <w:r w:rsidRPr="00E85C61">
              <w:rPr>
                <w:rFonts w:ascii="Arial" w:hAnsi="Arial" w:cs="Arial"/>
              </w:rPr>
              <w:t>1.407.550</w:t>
            </w:r>
          </w:p>
        </w:tc>
        <w:tc>
          <w:tcPr>
            <w:tcW w:w="1486" w:type="dxa"/>
          </w:tcPr>
          <w:p w:rsidR="00535A65" w:rsidRPr="00E85C61" w:rsidRDefault="00535A65" w:rsidP="00535A65">
            <w:pPr>
              <w:rPr>
                <w:rFonts w:ascii="Arial" w:hAnsi="Arial" w:cs="Arial"/>
              </w:rPr>
            </w:pPr>
            <w:r w:rsidRPr="00E85C61">
              <w:rPr>
                <w:rFonts w:ascii="Arial" w:hAnsi="Arial" w:cs="Arial"/>
              </w:rPr>
              <w:t>1.386.100</w:t>
            </w:r>
          </w:p>
        </w:tc>
        <w:tc>
          <w:tcPr>
            <w:tcW w:w="1486" w:type="dxa"/>
          </w:tcPr>
          <w:p w:rsidR="00535A65" w:rsidRPr="00E85C61" w:rsidRDefault="00535A65" w:rsidP="00535A65">
            <w:pPr>
              <w:rPr>
                <w:rFonts w:ascii="Arial" w:hAnsi="Arial" w:cs="Arial"/>
              </w:rPr>
            </w:pPr>
            <w:r w:rsidRPr="00E85C61">
              <w:rPr>
                <w:rFonts w:ascii="Arial" w:hAnsi="Arial" w:cs="Arial"/>
              </w:rPr>
              <w:t>1.425.600</w:t>
            </w:r>
          </w:p>
        </w:tc>
        <w:tc>
          <w:tcPr>
            <w:tcW w:w="1486" w:type="dxa"/>
          </w:tcPr>
          <w:p w:rsidR="00535A65" w:rsidRPr="00E85C61" w:rsidRDefault="00535A65" w:rsidP="00535A65">
            <w:pPr>
              <w:rPr>
                <w:rFonts w:ascii="Arial" w:hAnsi="Arial" w:cs="Arial"/>
              </w:rPr>
            </w:pPr>
            <w:r w:rsidRPr="00E85C61">
              <w:rPr>
                <w:rFonts w:ascii="Arial" w:hAnsi="Arial" w:cs="Arial"/>
              </w:rPr>
              <w:t>1.382.600</w:t>
            </w:r>
          </w:p>
        </w:tc>
        <w:tc>
          <w:tcPr>
            <w:tcW w:w="1486" w:type="dxa"/>
          </w:tcPr>
          <w:p w:rsidR="00535A65" w:rsidRPr="00E85C61" w:rsidRDefault="00535A65" w:rsidP="00535A65">
            <w:pPr>
              <w:rPr>
                <w:rFonts w:ascii="Arial" w:hAnsi="Arial" w:cs="Arial"/>
              </w:rPr>
            </w:pPr>
            <w:r w:rsidRPr="00E85C61">
              <w:rPr>
                <w:rFonts w:ascii="Arial" w:hAnsi="Arial" w:cs="Arial"/>
              </w:rPr>
              <w:t>98,5</w:t>
            </w:r>
          </w:p>
        </w:tc>
      </w:tr>
      <w:tr w:rsidR="00535A65" w:rsidRPr="00535A65" w:rsidTr="00AA0B4F">
        <w:trPr>
          <w:jc w:val="center"/>
        </w:trPr>
        <w:tc>
          <w:tcPr>
            <w:tcW w:w="1639" w:type="dxa"/>
            <w:shd w:val="clear" w:color="auto" w:fill="B5C0D8"/>
          </w:tcPr>
          <w:p w:rsidR="00535A65" w:rsidRPr="00E85C61" w:rsidRDefault="00535A65" w:rsidP="00535A65">
            <w:pPr>
              <w:rPr>
                <w:rFonts w:ascii="Arial" w:hAnsi="Arial" w:cs="Arial"/>
                <w:bCs/>
              </w:rPr>
            </w:pPr>
            <w:r w:rsidRPr="00E85C61">
              <w:rPr>
                <w:rFonts w:ascii="Arial" w:hAnsi="Arial" w:cs="Arial"/>
                <w:bCs/>
              </w:rPr>
              <w:t>Ukupno 020</w:t>
            </w:r>
          </w:p>
        </w:tc>
        <w:tc>
          <w:tcPr>
            <w:tcW w:w="1486" w:type="dxa"/>
            <w:shd w:val="clear" w:color="auto" w:fill="B5C0D8"/>
          </w:tcPr>
          <w:p w:rsidR="00535A65" w:rsidRPr="00E85C61" w:rsidRDefault="00535A65" w:rsidP="00535A65">
            <w:pPr>
              <w:rPr>
                <w:rFonts w:ascii="Arial" w:hAnsi="Arial" w:cs="Arial"/>
              </w:rPr>
            </w:pPr>
            <w:r w:rsidRPr="00E85C61">
              <w:rPr>
                <w:rFonts w:ascii="Arial" w:hAnsi="Arial" w:cs="Arial"/>
              </w:rPr>
              <w:t>253.598.836</w:t>
            </w:r>
          </w:p>
        </w:tc>
        <w:tc>
          <w:tcPr>
            <w:tcW w:w="1486" w:type="dxa"/>
            <w:shd w:val="clear" w:color="auto" w:fill="B5C0D8"/>
          </w:tcPr>
          <w:p w:rsidR="00535A65" w:rsidRPr="00E85C61" w:rsidRDefault="00535A65" w:rsidP="00535A65">
            <w:pPr>
              <w:rPr>
                <w:rFonts w:ascii="Arial" w:hAnsi="Arial" w:cs="Arial"/>
              </w:rPr>
            </w:pPr>
            <w:r w:rsidRPr="00E85C61">
              <w:rPr>
                <w:rFonts w:ascii="Arial" w:hAnsi="Arial" w:cs="Arial"/>
              </w:rPr>
              <w:t>310.020.703</w:t>
            </w:r>
          </w:p>
        </w:tc>
        <w:tc>
          <w:tcPr>
            <w:tcW w:w="1486" w:type="dxa"/>
            <w:shd w:val="clear" w:color="auto" w:fill="B5C0D8"/>
          </w:tcPr>
          <w:p w:rsidR="00535A65" w:rsidRPr="00E85C61" w:rsidRDefault="00535A65" w:rsidP="00535A65">
            <w:pPr>
              <w:rPr>
                <w:rFonts w:ascii="Arial" w:hAnsi="Arial" w:cs="Arial"/>
              </w:rPr>
            </w:pPr>
            <w:r w:rsidRPr="00E85C61">
              <w:rPr>
                <w:rFonts w:ascii="Arial" w:hAnsi="Arial" w:cs="Arial"/>
              </w:rPr>
              <w:t>304.723.205</w:t>
            </w:r>
          </w:p>
        </w:tc>
        <w:tc>
          <w:tcPr>
            <w:tcW w:w="1486" w:type="dxa"/>
            <w:shd w:val="clear" w:color="auto" w:fill="B5C0D8"/>
          </w:tcPr>
          <w:p w:rsidR="00535A65" w:rsidRPr="00E85C61" w:rsidRDefault="00535A65" w:rsidP="00535A65">
            <w:pPr>
              <w:rPr>
                <w:rFonts w:ascii="Arial" w:hAnsi="Arial" w:cs="Arial"/>
              </w:rPr>
            </w:pPr>
            <w:r w:rsidRPr="00E85C61">
              <w:rPr>
                <w:rFonts w:ascii="Arial" w:hAnsi="Arial" w:cs="Arial"/>
              </w:rPr>
              <w:t>260.676.913</w:t>
            </w:r>
          </w:p>
        </w:tc>
        <w:tc>
          <w:tcPr>
            <w:tcW w:w="1486" w:type="dxa"/>
            <w:shd w:val="clear" w:color="auto" w:fill="B5C0D8"/>
          </w:tcPr>
          <w:p w:rsidR="00535A65" w:rsidRPr="00E85C61" w:rsidRDefault="00535A65" w:rsidP="00535A65">
            <w:pPr>
              <w:rPr>
                <w:rFonts w:ascii="Arial" w:hAnsi="Arial" w:cs="Arial"/>
              </w:rPr>
            </w:pPr>
            <w:r w:rsidRPr="00E85C61">
              <w:rPr>
                <w:rFonts w:ascii="Arial" w:hAnsi="Arial" w:cs="Arial"/>
              </w:rPr>
              <w:t>122,2</w:t>
            </w:r>
          </w:p>
        </w:tc>
      </w:tr>
    </w:tbl>
    <w:p w:rsidR="00D849AA" w:rsidRDefault="00EE6D95">
      <w:pPr>
        <w:pStyle w:val="Naslov2"/>
      </w:pPr>
      <w:r>
        <w:lastRenderedPageBreak/>
        <w:t>02005 Vlada Republike Hrvatske</w:t>
      </w:r>
    </w:p>
    <w:p w:rsidR="00D849AA" w:rsidRDefault="00EE6D95">
      <w:pPr>
        <w:pStyle w:val="Naslov4"/>
      </w:pPr>
      <w:r>
        <w:t>Uvod</w:t>
      </w:r>
    </w:p>
    <w:p w:rsidR="00D849AA" w:rsidRDefault="00EE6D95">
      <w:pPr>
        <w:pStyle w:val="Normal3"/>
      </w:pPr>
      <w:r>
        <w:t xml:space="preserve">Sukladno Poslovniku Vlade Republike Hrvatske te Zakonu o Vladi Republike Hrvatske ustrojava se proračunska glava 05 Vlada Republike Hrvatske kojom upravlja glavna tajnica. U Glavnom tajništvu ustrojavaju se: Ured glavne tajnice, Ured potpredsjednika Vlade koji nije čelnik ministarstva, uredi radnih tijela Vlade, Služba razvoja i održavanja tehničkih sustava Vlade, Služba za uredsko poslovanje, Služba za opće poslove.  </w:t>
      </w:r>
    </w:p>
    <w:p w:rsidR="00D849AA" w:rsidRDefault="00EE6D95">
      <w:pPr>
        <w:pStyle w:val="Normal3"/>
      </w:pPr>
      <w:r>
        <w:t>Glavno tajništvo Vlade Republike Hrvatske obavlja stručne, analitičke, upravno-pravne, administrativne, opće, tehničke, pomoćne i informatičke poslove za potrebe Vlade, te potpredsjednika i članova Vlade. Za Ured predsjednika Vlade Republike Hrvatske, Glavno tajništvo obavlja opće, tehničke, pomoćne i informatičke poslove.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E85C61" w:rsidRDefault="00D849AA">
            <w:pPr>
              <w:pStyle w:val="CellHeader"/>
            </w:pPr>
          </w:p>
        </w:tc>
        <w:tc>
          <w:tcPr>
            <w:tcW w:w="1486" w:type="dxa"/>
            <w:shd w:val="clear" w:color="auto" w:fill="B5C0D8"/>
          </w:tcPr>
          <w:p w:rsidR="00D849AA" w:rsidRPr="00E85C61" w:rsidRDefault="00EE6D95">
            <w:pPr>
              <w:pStyle w:val="CellHeader"/>
            </w:pPr>
            <w:r w:rsidRPr="00E85C61">
              <w:t>Plan 2013.</w:t>
            </w:r>
          </w:p>
        </w:tc>
        <w:tc>
          <w:tcPr>
            <w:tcW w:w="1486" w:type="dxa"/>
            <w:shd w:val="clear" w:color="auto" w:fill="B5C0D8"/>
          </w:tcPr>
          <w:p w:rsidR="00D849AA" w:rsidRPr="00E85C61" w:rsidRDefault="00EE6D95">
            <w:pPr>
              <w:pStyle w:val="CellHeader"/>
            </w:pPr>
            <w:r w:rsidRPr="00E85C61">
              <w:t>Plan 2014.</w:t>
            </w:r>
          </w:p>
        </w:tc>
        <w:tc>
          <w:tcPr>
            <w:tcW w:w="1486" w:type="dxa"/>
            <w:shd w:val="clear" w:color="auto" w:fill="B5C0D8"/>
          </w:tcPr>
          <w:p w:rsidR="00D849AA" w:rsidRPr="00E85C61" w:rsidRDefault="00EE6D95">
            <w:pPr>
              <w:pStyle w:val="CellHeader"/>
            </w:pPr>
            <w:r w:rsidRPr="00E85C61">
              <w:t>Plan 2015.</w:t>
            </w:r>
          </w:p>
        </w:tc>
        <w:tc>
          <w:tcPr>
            <w:tcW w:w="1486" w:type="dxa"/>
            <w:shd w:val="clear" w:color="auto" w:fill="B5C0D8"/>
          </w:tcPr>
          <w:p w:rsidR="00D849AA" w:rsidRPr="00E85C61" w:rsidRDefault="00EE6D95">
            <w:pPr>
              <w:pStyle w:val="CellHeader"/>
            </w:pPr>
            <w:r w:rsidRPr="00E85C61">
              <w:t>Plan 2016.</w:t>
            </w:r>
          </w:p>
        </w:tc>
        <w:tc>
          <w:tcPr>
            <w:tcW w:w="1486" w:type="dxa"/>
            <w:shd w:val="clear" w:color="auto" w:fill="B5C0D8"/>
          </w:tcPr>
          <w:p w:rsidR="00D849AA" w:rsidRPr="00E85C61" w:rsidRDefault="00EE6D95">
            <w:pPr>
              <w:pStyle w:val="CellHeader"/>
            </w:pPr>
            <w:r w:rsidRPr="00E85C61">
              <w:t>Indeks 2014/2013</w:t>
            </w:r>
          </w:p>
        </w:tc>
      </w:tr>
      <w:tr w:rsidR="00D849AA">
        <w:trPr>
          <w:jc w:val="center"/>
        </w:trPr>
        <w:tc>
          <w:tcPr>
            <w:tcW w:w="1486" w:type="dxa"/>
          </w:tcPr>
          <w:p w:rsidR="00D849AA" w:rsidRPr="00E85C61" w:rsidRDefault="00EE6D95">
            <w:pPr>
              <w:pStyle w:val="CellColumn"/>
            </w:pPr>
            <w:r w:rsidRPr="00E85C61">
              <w:t>02005</w:t>
            </w:r>
          </w:p>
        </w:tc>
        <w:tc>
          <w:tcPr>
            <w:tcW w:w="1486" w:type="dxa"/>
          </w:tcPr>
          <w:p w:rsidR="00D849AA" w:rsidRPr="00E85C61" w:rsidRDefault="00EE6D95">
            <w:pPr>
              <w:rPr>
                <w:rFonts w:ascii="Arial" w:hAnsi="Arial" w:cs="Arial"/>
              </w:rPr>
            </w:pPr>
            <w:r w:rsidRPr="00E85C61">
              <w:rPr>
                <w:rFonts w:ascii="Arial" w:hAnsi="Arial" w:cs="Arial"/>
              </w:rPr>
              <w:t>31.684.840</w:t>
            </w:r>
          </w:p>
        </w:tc>
        <w:tc>
          <w:tcPr>
            <w:tcW w:w="1486" w:type="dxa"/>
          </w:tcPr>
          <w:p w:rsidR="00D849AA" w:rsidRPr="00E85C61" w:rsidRDefault="00EE6D95">
            <w:pPr>
              <w:rPr>
                <w:rFonts w:ascii="Arial" w:hAnsi="Arial" w:cs="Arial"/>
              </w:rPr>
            </w:pPr>
            <w:r w:rsidRPr="00E85C61">
              <w:rPr>
                <w:rFonts w:ascii="Arial" w:hAnsi="Arial" w:cs="Arial"/>
              </w:rPr>
              <w:t>27.584.000</w:t>
            </w:r>
          </w:p>
        </w:tc>
        <w:tc>
          <w:tcPr>
            <w:tcW w:w="1486" w:type="dxa"/>
          </w:tcPr>
          <w:p w:rsidR="00D849AA" w:rsidRPr="00E85C61" w:rsidRDefault="00EE6D95">
            <w:pPr>
              <w:rPr>
                <w:rFonts w:ascii="Arial" w:hAnsi="Arial" w:cs="Arial"/>
              </w:rPr>
            </w:pPr>
            <w:r w:rsidRPr="00E85C61">
              <w:rPr>
                <w:rFonts w:ascii="Arial" w:hAnsi="Arial" w:cs="Arial"/>
              </w:rPr>
              <w:t>27.977.500</w:t>
            </w:r>
          </w:p>
        </w:tc>
        <w:tc>
          <w:tcPr>
            <w:tcW w:w="1486" w:type="dxa"/>
          </w:tcPr>
          <w:p w:rsidR="00D849AA" w:rsidRPr="00E85C61" w:rsidRDefault="00EE6D95">
            <w:pPr>
              <w:rPr>
                <w:rFonts w:ascii="Arial" w:hAnsi="Arial" w:cs="Arial"/>
              </w:rPr>
            </w:pPr>
            <w:r w:rsidRPr="00E85C61">
              <w:rPr>
                <w:rFonts w:ascii="Arial" w:hAnsi="Arial" w:cs="Arial"/>
              </w:rPr>
              <w:t>30.276.000</w:t>
            </w:r>
          </w:p>
        </w:tc>
        <w:tc>
          <w:tcPr>
            <w:tcW w:w="1486" w:type="dxa"/>
          </w:tcPr>
          <w:p w:rsidR="00D849AA" w:rsidRPr="00E85C61" w:rsidRDefault="00EE6D95">
            <w:pPr>
              <w:rPr>
                <w:rFonts w:ascii="Arial" w:hAnsi="Arial" w:cs="Arial"/>
              </w:rPr>
            </w:pPr>
            <w:r w:rsidRPr="00E85C61">
              <w:rPr>
                <w:rFonts w:ascii="Arial" w:hAnsi="Arial" w:cs="Arial"/>
              </w:rPr>
              <w:t>87,1</w:t>
            </w:r>
          </w:p>
        </w:tc>
      </w:tr>
    </w:tbl>
    <w:p w:rsidR="00D849AA" w:rsidRDefault="00D849AA">
      <w:pPr>
        <w:jc w:val="left"/>
      </w:pPr>
    </w:p>
    <w:p w:rsidR="00D849AA" w:rsidRDefault="00EE6D95">
      <w:pPr>
        <w:pStyle w:val="Naslov4"/>
      </w:pPr>
      <w:r>
        <w:t>OBRAZLOŽENJE PROGRAMA</w:t>
      </w:r>
    </w:p>
    <w:p w:rsidR="00D849AA" w:rsidRDefault="00EE6D95">
      <w:pPr>
        <w:pStyle w:val="Naslov5"/>
      </w:pPr>
      <w:r>
        <w:t>2107 PRUŽANJE PODRŠKE RADU VLADE REPUBLIKE HRVATSKE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E85C61" w:rsidRDefault="00D849AA">
            <w:pPr>
              <w:pStyle w:val="CellHeader"/>
            </w:pPr>
          </w:p>
        </w:tc>
        <w:tc>
          <w:tcPr>
            <w:tcW w:w="1486" w:type="dxa"/>
            <w:shd w:val="clear" w:color="auto" w:fill="B5C0D8"/>
          </w:tcPr>
          <w:p w:rsidR="00D849AA" w:rsidRPr="00E85C61" w:rsidRDefault="00EE6D95">
            <w:pPr>
              <w:pStyle w:val="CellHeader"/>
            </w:pPr>
            <w:r w:rsidRPr="00E85C61">
              <w:t>Plan 2013.</w:t>
            </w:r>
          </w:p>
        </w:tc>
        <w:tc>
          <w:tcPr>
            <w:tcW w:w="1486" w:type="dxa"/>
            <w:shd w:val="clear" w:color="auto" w:fill="B5C0D8"/>
          </w:tcPr>
          <w:p w:rsidR="00D849AA" w:rsidRPr="00E85C61" w:rsidRDefault="00EE6D95">
            <w:pPr>
              <w:pStyle w:val="CellHeader"/>
            </w:pPr>
            <w:r w:rsidRPr="00E85C61">
              <w:t>Plan 2014.</w:t>
            </w:r>
          </w:p>
        </w:tc>
        <w:tc>
          <w:tcPr>
            <w:tcW w:w="1486" w:type="dxa"/>
            <w:shd w:val="clear" w:color="auto" w:fill="B5C0D8"/>
          </w:tcPr>
          <w:p w:rsidR="00D849AA" w:rsidRPr="00E85C61" w:rsidRDefault="00EE6D95">
            <w:pPr>
              <w:pStyle w:val="CellHeader"/>
            </w:pPr>
            <w:r w:rsidRPr="00E85C61">
              <w:t>Plan 2015.</w:t>
            </w:r>
          </w:p>
        </w:tc>
        <w:tc>
          <w:tcPr>
            <w:tcW w:w="1486" w:type="dxa"/>
            <w:shd w:val="clear" w:color="auto" w:fill="B5C0D8"/>
          </w:tcPr>
          <w:p w:rsidR="00D849AA" w:rsidRPr="00E85C61" w:rsidRDefault="00EE6D95">
            <w:pPr>
              <w:pStyle w:val="CellHeader"/>
            </w:pPr>
            <w:r w:rsidRPr="00E85C61">
              <w:t>Plan 2016.</w:t>
            </w:r>
          </w:p>
        </w:tc>
        <w:tc>
          <w:tcPr>
            <w:tcW w:w="1486" w:type="dxa"/>
            <w:shd w:val="clear" w:color="auto" w:fill="B5C0D8"/>
          </w:tcPr>
          <w:p w:rsidR="00D849AA" w:rsidRPr="00E85C61" w:rsidRDefault="00EE6D95">
            <w:pPr>
              <w:pStyle w:val="CellHeader"/>
            </w:pPr>
            <w:r w:rsidRPr="00E85C61">
              <w:t>Indeks 2014/2013</w:t>
            </w:r>
          </w:p>
        </w:tc>
      </w:tr>
      <w:tr w:rsidR="00D849AA">
        <w:trPr>
          <w:jc w:val="center"/>
        </w:trPr>
        <w:tc>
          <w:tcPr>
            <w:tcW w:w="1486" w:type="dxa"/>
          </w:tcPr>
          <w:p w:rsidR="00D849AA" w:rsidRPr="00E85C61" w:rsidRDefault="00EE6D95">
            <w:pPr>
              <w:pStyle w:val="CellColumn"/>
            </w:pPr>
            <w:r w:rsidRPr="00E85C61">
              <w:t>2107</w:t>
            </w:r>
          </w:p>
        </w:tc>
        <w:tc>
          <w:tcPr>
            <w:tcW w:w="1486" w:type="dxa"/>
          </w:tcPr>
          <w:p w:rsidR="00D849AA" w:rsidRPr="00E85C61" w:rsidRDefault="00EE6D95">
            <w:pPr>
              <w:rPr>
                <w:rFonts w:ascii="Arial" w:hAnsi="Arial" w:cs="Arial"/>
              </w:rPr>
            </w:pPr>
            <w:r w:rsidRPr="00E85C61">
              <w:rPr>
                <w:rFonts w:ascii="Arial" w:hAnsi="Arial" w:cs="Arial"/>
              </w:rPr>
              <w:t>31.684.840</w:t>
            </w:r>
          </w:p>
        </w:tc>
        <w:tc>
          <w:tcPr>
            <w:tcW w:w="1486" w:type="dxa"/>
          </w:tcPr>
          <w:p w:rsidR="00D849AA" w:rsidRPr="00E85C61" w:rsidRDefault="00EE6D95">
            <w:pPr>
              <w:rPr>
                <w:rFonts w:ascii="Arial" w:hAnsi="Arial" w:cs="Arial"/>
              </w:rPr>
            </w:pPr>
            <w:r w:rsidRPr="00E85C61">
              <w:rPr>
                <w:rFonts w:ascii="Arial" w:hAnsi="Arial" w:cs="Arial"/>
              </w:rPr>
              <w:t>27.584.000</w:t>
            </w:r>
          </w:p>
        </w:tc>
        <w:tc>
          <w:tcPr>
            <w:tcW w:w="1486" w:type="dxa"/>
          </w:tcPr>
          <w:p w:rsidR="00D849AA" w:rsidRPr="00E85C61" w:rsidRDefault="00EE6D95">
            <w:pPr>
              <w:rPr>
                <w:rFonts w:ascii="Arial" w:hAnsi="Arial" w:cs="Arial"/>
              </w:rPr>
            </w:pPr>
            <w:r w:rsidRPr="00E85C61">
              <w:rPr>
                <w:rFonts w:ascii="Arial" w:hAnsi="Arial" w:cs="Arial"/>
              </w:rPr>
              <w:t>27.977.500</w:t>
            </w:r>
          </w:p>
        </w:tc>
        <w:tc>
          <w:tcPr>
            <w:tcW w:w="1486" w:type="dxa"/>
          </w:tcPr>
          <w:p w:rsidR="00D849AA" w:rsidRPr="00E85C61" w:rsidRDefault="00EE6D95">
            <w:pPr>
              <w:rPr>
                <w:rFonts w:ascii="Arial" w:hAnsi="Arial" w:cs="Arial"/>
              </w:rPr>
            </w:pPr>
            <w:r w:rsidRPr="00E85C61">
              <w:rPr>
                <w:rFonts w:ascii="Arial" w:hAnsi="Arial" w:cs="Arial"/>
              </w:rPr>
              <w:t>30.276.000</w:t>
            </w:r>
          </w:p>
        </w:tc>
        <w:tc>
          <w:tcPr>
            <w:tcW w:w="1486" w:type="dxa"/>
          </w:tcPr>
          <w:p w:rsidR="00D849AA" w:rsidRPr="00E85C61" w:rsidRDefault="00EE6D95">
            <w:pPr>
              <w:rPr>
                <w:rFonts w:ascii="Arial" w:hAnsi="Arial" w:cs="Arial"/>
              </w:rPr>
            </w:pPr>
            <w:r w:rsidRPr="00E85C61">
              <w:rPr>
                <w:rFonts w:ascii="Arial" w:hAnsi="Arial" w:cs="Arial"/>
              </w:rPr>
              <w:t>87,1</w:t>
            </w:r>
          </w:p>
        </w:tc>
      </w:tr>
    </w:tbl>
    <w:p w:rsidR="00D849AA" w:rsidRDefault="00D849AA">
      <w:pPr>
        <w:jc w:val="left"/>
      </w:pPr>
    </w:p>
    <w:p w:rsidR="00D849AA" w:rsidRDefault="00EE6D95">
      <w:pPr>
        <w:pStyle w:val="Naslov6"/>
      </w:pPr>
      <w:r>
        <w:t>Opis programa</w:t>
      </w:r>
    </w:p>
    <w:p w:rsidR="00D849AA" w:rsidRDefault="00EE6D95">
      <w:pPr>
        <w:pStyle w:val="Normal5"/>
      </w:pPr>
      <w:r>
        <w:t>Pružanje podrške radu Vlade Republike Hrvatske od strane Glavnog tajništva podrazumijeva obavljanje stručnih, analitičkih, upravno-pravnih, administrativnih i informatičkih poslova; stručnu i administrativno-tehničku pripremu materijala za raspravu i odlučivanje na sjednicama stručnih radnih skupina i radnih tijela Vlade, Užeg kabineta Vlade i sjednicama Vlade; sazivanje i održavanje sjednica stručnih radnih skupina i radnih tijela Vlade te sjednica Vlade; praćenje tijeka sjednica stručnih radnih skupina i radnih tijela Vlade i sjednica Vlade; izradu zaključaka i stajališta stručnih radnih skupina i radnih tijela Vlade; izradu i otpremanje akata koje donosi Vlada; brigu o objavljivanju akata Vlade; izradu zapisnika sa sjednica Vlade; brigu o izvršavanju obveza Vlade prema Hrvatskome saboru, te administrativne, opće, tehničke i pomoćne poslove.</w:t>
      </w:r>
    </w:p>
    <w:p w:rsidR="00D849AA" w:rsidRDefault="00EE6D95">
      <w:pPr>
        <w:pStyle w:val="Naslov6"/>
      </w:pPr>
      <w:r>
        <w:t>Zakonske i druge pravne osnove</w:t>
      </w:r>
    </w:p>
    <w:p w:rsidR="00D849AA" w:rsidRDefault="00EE6D95">
      <w:pPr>
        <w:pStyle w:val="Normal5"/>
      </w:pPr>
      <w:r>
        <w:t>Glavno tajništvo obavlja poslove u skladu sa Zakonom o Vladi Republike Hrvatske i Poslovnikom Vlade Republike Hrvatske, u skladu sa zaključcima i drugim aktima Vlade Republike Hrvatske, te po uputama predsjednika, potpredsjednika i glavne tajnice Vlade.</w:t>
      </w:r>
    </w:p>
    <w:p w:rsidR="00D849AA" w:rsidRDefault="00EE6D95">
      <w:pPr>
        <w:pStyle w:val="Naslov6"/>
      </w:pPr>
      <w:r>
        <w:lastRenderedPageBreak/>
        <w:t>Ciljevi provedbe programa u razdoblju 2014.-2016. i pokazatelji uspješnosti kojima će se mjeriti ostvarenje tih ciljeva</w:t>
      </w:r>
    </w:p>
    <w:p w:rsidR="00D849AA" w:rsidRDefault="00EE6D95">
      <w:pPr>
        <w:pStyle w:val="Naslov7"/>
      </w:pPr>
      <w:r>
        <w:t>Cilj 1. Kontinuitet i poboljšanje efikasnosti Vlade Republike Hrvatske</w:t>
      </w:r>
    </w:p>
    <w:p w:rsidR="00D849AA" w:rsidRDefault="00EE6D95">
      <w:pPr>
        <w:pStyle w:val="Normal6"/>
      </w:pPr>
      <w:r>
        <w:t>Koordinacijom rada stručnih radnih skupina i radnih tijela Vlade osigurava se kontinuirano funkcioniranje te poboljšava efikasnosti Vlade Republike Hrvatske kao nositelja izvršne vlasti, sukladno Ustavu Republike Hrvatske i zakonima.</w:t>
      </w:r>
    </w:p>
    <w:p w:rsidR="00D849AA" w:rsidRDefault="00EE6D95">
      <w:pPr>
        <w:pStyle w:val="Naslov5"/>
      </w:pPr>
      <w:r>
        <w:t>Procjena i ishodište potrebnih sredstava za značajnije aktivnosti/projekte</w:t>
      </w:r>
    </w:p>
    <w:p w:rsidR="00D849AA" w:rsidRDefault="00EE6D95">
      <w:pPr>
        <w:pStyle w:val="Naslov6"/>
      </w:pPr>
      <w:r>
        <w:t>A508000 ADMINISTRACIJA I UPRAVLJANJE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E85C61" w:rsidRDefault="00EE6D95">
            <w:pPr>
              <w:pStyle w:val="CellHeader"/>
            </w:pPr>
            <w:r w:rsidRPr="00E85C61">
              <w:t>Naziv aktivnosti</w:t>
            </w:r>
          </w:p>
        </w:tc>
        <w:tc>
          <w:tcPr>
            <w:tcW w:w="1486" w:type="dxa"/>
            <w:shd w:val="clear" w:color="auto" w:fill="B5C0D8"/>
          </w:tcPr>
          <w:p w:rsidR="00D849AA" w:rsidRPr="00E85C61" w:rsidRDefault="00EE6D95">
            <w:pPr>
              <w:pStyle w:val="CellHeader"/>
            </w:pPr>
            <w:r w:rsidRPr="00E85C61">
              <w:t>Plan 2013.</w:t>
            </w:r>
          </w:p>
        </w:tc>
        <w:tc>
          <w:tcPr>
            <w:tcW w:w="1486" w:type="dxa"/>
            <w:shd w:val="clear" w:color="auto" w:fill="B5C0D8"/>
          </w:tcPr>
          <w:p w:rsidR="00D849AA" w:rsidRPr="00E85C61" w:rsidRDefault="00EE6D95">
            <w:pPr>
              <w:pStyle w:val="CellHeader"/>
            </w:pPr>
            <w:r w:rsidRPr="00E85C61">
              <w:t>Plan 2014.</w:t>
            </w:r>
          </w:p>
        </w:tc>
        <w:tc>
          <w:tcPr>
            <w:tcW w:w="1486" w:type="dxa"/>
            <w:shd w:val="clear" w:color="auto" w:fill="B5C0D8"/>
          </w:tcPr>
          <w:p w:rsidR="00D849AA" w:rsidRPr="00E85C61" w:rsidRDefault="00EE6D95">
            <w:pPr>
              <w:pStyle w:val="CellHeader"/>
            </w:pPr>
            <w:r w:rsidRPr="00E85C61">
              <w:t>Plan 2015.</w:t>
            </w:r>
          </w:p>
        </w:tc>
        <w:tc>
          <w:tcPr>
            <w:tcW w:w="1486" w:type="dxa"/>
            <w:shd w:val="clear" w:color="auto" w:fill="B5C0D8"/>
          </w:tcPr>
          <w:p w:rsidR="00D849AA" w:rsidRPr="00E85C61" w:rsidRDefault="00EE6D95">
            <w:pPr>
              <w:pStyle w:val="CellHeader"/>
            </w:pPr>
            <w:r w:rsidRPr="00E85C61">
              <w:t>Plan 2016.</w:t>
            </w:r>
          </w:p>
        </w:tc>
        <w:tc>
          <w:tcPr>
            <w:tcW w:w="1486" w:type="dxa"/>
            <w:shd w:val="clear" w:color="auto" w:fill="B5C0D8"/>
          </w:tcPr>
          <w:p w:rsidR="00D849AA" w:rsidRPr="00E85C61" w:rsidRDefault="00EE6D95">
            <w:pPr>
              <w:pStyle w:val="CellHeader"/>
            </w:pPr>
            <w:r w:rsidRPr="00E85C61">
              <w:t>Indeks 2014/2013</w:t>
            </w:r>
          </w:p>
        </w:tc>
      </w:tr>
      <w:tr w:rsidR="00D849AA">
        <w:trPr>
          <w:jc w:val="center"/>
        </w:trPr>
        <w:tc>
          <w:tcPr>
            <w:tcW w:w="1486" w:type="dxa"/>
          </w:tcPr>
          <w:p w:rsidR="00D849AA" w:rsidRPr="00E85C61" w:rsidRDefault="00EE6D95">
            <w:pPr>
              <w:pStyle w:val="CellColumn"/>
            </w:pPr>
            <w:r w:rsidRPr="00E85C61">
              <w:t>A508000</w:t>
            </w:r>
          </w:p>
        </w:tc>
        <w:tc>
          <w:tcPr>
            <w:tcW w:w="1486" w:type="dxa"/>
          </w:tcPr>
          <w:p w:rsidR="00D849AA" w:rsidRPr="00E85C61" w:rsidRDefault="00EE6D95">
            <w:pPr>
              <w:rPr>
                <w:rFonts w:ascii="Arial" w:hAnsi="Arial" w:cs="Arial"/>
              </w:rPr>
            </w:pPr>
            <w:r w:rsidRPr="00E85C61">
              <w:rPr>
                <w:rFonts w:ascii="Arial" w:hAnsi="Arial" w:cs="Arial"/>
              </w:rPr>
              <w:t>22.892.840</w:t>
            </w:r>
          </w:p>
        </w:tc>
        <w:tc>
          <w:tcPr>
            <w:tcW w:w="1486" w:type="dxa"/>
          </w:tcPr>
          <w:p w:rsidR="00D849AA" w:rsidRPr="00E85C61" w:rsidRDefault="00EE6D95">
            <w:pPr>
              <w:rPr>
                <w:rFonts w:ascii="Arial" w:hAnsi="Arial" w:cs="Arial"/>
              </w:rPr>
            </w:pPr>
            <w:r w:rsidRPr="00E85C61">
              <w:rPr>
                <w:rFonts w:ascii="Arial" w:hAnsi="Arial" w:cs="Arial"/>
              </w:rPr>
              <w:t>18.287.000</w:t>
            </w:r>
          </w:p>
        </w:tc>
        <w:tc>
          <w:tcPr>
            <w:tcW w:w="1486" w:type="dxa"/>
          </w:tcPr>
          <w:p w:rsidR="00D849AA" w:rsidRPr="00E85C61" w:rsidRDefault="00EE6D95">
            <w:pPr>
              <w:rPr>
                <w:rFonts w:ascii="Arial" w:hAnsi="Arial" w:cs="Arial"/>
              </w:rPr>
            </w:pPr>
            <w:r w:rsidRPr="00E85C61">
              <w:rPr>
                <w:rFonts w:ascii="Arial" w:hAnsi="Arial" w:cs="Arial"/>
              </w:rPr>
              <w:t>18.954.000</w:t>
            </w:r>
          </w:p>
        </w:tc>
        <w:tc>
          <w:tcPr>
            <w:tcW w:w="1486" w:type="dxa"/>
          </w:tcPr>
          <w:p w:rsidR="00D849AA" w:rsidRPr="00E85C61" w:rsidRDefault="00EE6D95">
            <w:pPr>
              <w:rPr>
                <w:rFonts w:ascii="Arial" w:hAnsi="Arial" w:cs="Arial"/>
              </w:rPr>
            </w:pPr>
            <w:r w:rsidRPr="00E85C61">
              <w:rPr>
                <w:rFonts w:ascii="Arial" w:hAnsi="Arial" w:cs="Arial"/>
              </w:rPr>
              <w:t>21.492.000</w:t>
            </w:r>
          </w:p>
        </w:tc>
        <w:tc>
          <w:tcPr>
            <w:tcW w:w="1486" w:type="dxa"/>
          </w:tcPr>
          <w:p w:rsidR="00D849AA" w:rsidRPr="00E85C61" w:rsidRDefault="00EE6D95">
            <w:pPr>
              <w:rPr>
                <w:rFonts w:ascii="Arial" w:hAnsi="Arial" w:cs="Arial"/>
              </w:rPr>
            </w:pPr>
            <w:r w:rsidRPr="00E85C61">
              <w:rPr>
                <w:rFonts w:ascii="Arial" w:hAnsi="Arial" w:cs="Arial"/>
              </w:rPr>
              <w:t>79,9</w:t>
            </w:r>
          </w:p>
        </w:tc>
      </w:tr>
    </w:tbl>
    <w:p w:rsidR="00D849AA" w:rsidRDefault="00D849AA">
      <w:pPr>
        <w:jc w:val="left"/>
      </w:pPr>
    </w:p>
    <w:p w:rsidR="00D849AA" w:rsidRDefault="00EE6D95">
      <w:pPr>
        <w:pStyle w:val="Normal6"/>
      </w:pPr>
      <w:r>
        <w:t>Kroz aktivnost A508000 Administracija i upravljanje Glavno tajništvo obavlja struč</w:t>
      </w:r>
      <w:r w:rsidR="00E85C61">
        <w:t xml:space="preserve">ne, analitičke, upravno-pravne, </w:t>
      </w:r>
      <w:r>
        <w:t xml:space="preserve">administrativne i informatičke poslove; stručnu i administrativno-tehničku pripremu materijala za raspravu i odlučivanje na sjednicama stručnih radnih skupina i radnih tijela Vlade, Užeg kabineta Vlade i sjednicama Vlade; sazivanje i održavanje sjednica stručnih radnih skupina i radnih tijela Vlade te sjednica Vlade; praćenje tijeka sjednica stručnih radnih skupina i radnih tijela Vlade i sjednica Vlade; izradu zaključaka i stajališta stručnih radnih skupina i radnih tijela Vlade; izradu i otpremanje akata koje donosi Vlada; brigu o objavljivanju akata Vlade; izradu zapisnika sa sjednica Vlade; brigu o izvršavanju obveza Vlade prema Hrvatskome saboru, te administrativne, opće, tehničke i pomoćne poslove. </w:t>
      </w:r>
    </w:p>
    <w:p w:rsidR="00D849AA" w:rsidRDefault="00EE6D95">
      <w:pPr>
        <w:pStyle w:val="Normal6"/>
      </w:pPr>
      <w:r>
        <w:t>Također u okviru navedene aktivnosti podmiruje troškove službenih putovanja predsjednika Vlade Republike Hrvatske, snosi udio u ukupnim troškovima korištenja usluga zračnog prijevoza Direkcije za korištenje službenih zrakoplova sukladno članku 3. Uredbe o Direkciji za korištenje službenih zrakoplova (Narodne novine, 54/2013), brine o održavanju zgrade Banski dvori, podmiruje fiksne režijske troškove zgrade u kojoj su, osim Vlade Republike Hrvatske, smješteni i Vladini uredi, brine o nabavi uredske opreme potrebne za učinkovito servisiranje Vlade Republike Hrvatske.</w:t>
      </w:r>
    </w:p>
    <w:p w:rsidR="00D849AA" w:rsidRDefault="00EE6D95">
      <w:pPr>
        <w:pStyle w:val="Naslov6"/>
      </w:pPr>
      <w:r>
        <w:t>A508015 NAKNADE ZASLUŽNIM OSOBAMA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E85C61" w:rsidRDefault="00EE6D95">
            <w:pPr>
              <w:pStyle w:val="CellHeader"/>
            </w:pPr>
            <w:r w:rsidRPr="00E85C61">
              <w:t>Naziv aktivnosti</w:t>
            </w:r>
          </w:p>
        </w:tc>
        <w:tc>
          <w:tcPr>
            <w:tcW w:w="1486" w:type="dxa"/>
            <w:shd w:val="clear" w:color="auto" w:fill="B5C0D8"/>
          </w:tcPr>
          <w:p w:rsidR="00D849AA" w:rsidRPr="00E85C61" w:rsidRDefault="00EE6D95">
            <w:pPr>
              <w:pStyle w:val="CellHeader"/>
            </w:pPr>
            <w:r w:rsidRPr="00E85C61">
              <w:t>Plan 2013.</w:t>
            </w:r>
          </w:p>
        </w:tc>
        <w:tc>
          <w:tcPr>
            <w:tcW w:w="1486" w:type="dxa"/>
            <w:shd w:val="clear" w:color="auto" w:fill="B5C0D8"/>
          </w:tcPr>
          <w:p w:rsidR="00D849AA" w:rsidRPr="00E85C61" w:rsidRDefault="00EE6D95">
            <w:pPr>
              <w:pStyle w:val="CellHeader"/>
            </w:pPr>
            <w:r w:rsidRPr="00E85C61">
              <w:t>Plan 2014.</w:t>
            </w:r>
          </w:p>
        </w:tc>
        <w:tc>
          <w:tcPr>
            <w:tcW w:w="1486" w:type="dxa"/>
            <w:shd w:val="clear" w:color="auto" w:fill="B5C0D8"/>
          </w:tcPr>
          <w:p w:rsidR="00D849AA" w:rsidRPr="00E85C61" w:rsidRDefault="00EE6D95">
            <w:pPr>
              <w:pStyle w:val="CellHeader"/>
            </w:pPr>
            <w:r w:rsidRPr="00E85C61">
              <w:t>Plan 2015.</w:t>
            </w:r>
          </w:p>
        </w:tc>
        <w:tc>
          <w:tcPr>
            <w:tcW w:w="1486" w:type="dxa"/>
            <w:shd w:val="clear" w:color="auto" w:fill="B5C0D8"/>
          </w:tcPr>
          <w:p w:rsidR="00D849AA" w:rsidRPr="00E85C61" w:rsidRDefault="00EE6D95">
            <w:pPr>
              <w:pStyle w:val="CellHeader"/>
            </w:pPr>
            <w:r w:rsidRPr="00E85C61">
              <w:t>Plan 2016.</w:t>
            </w:r>
          </w:p>
        </w:tc>
        <w:tc>
          <w:tcPr>
            <w:tcW w:w="1486" w:type="dxa"/>
            <w:shd w:val="clear" w:color="auto" w:fill="B5C0D8"/>
          </w:tcPr>
          <w:p w:rsidR="00D849AA" w:rsidRPr="00E85C61" w:rsidRDefault="00EE6D95">
            <w:pPr>
              <w:pStyle w:val="CellHeader"/>
            </w:pPr>
            <w:r w:rsidRPr="00E85C61">
              <w:t>Indeks 2014/2013</w:t>
            </w:r>
          </w:p>
        </w:tc>
      </w:tr>
      <w:tr w:rsidR="00D849AA">
        <w:trPr>
          <w:jc w:val="center"/>
        </w:trPr>
        <w:tc>
          <w:tcPr>
            <w:tcW w:w="1486" w:type="dxa"/>
          </w:tcPr>
          <w:p w:rsidR="00D849AA" w:rsidRPr="00E85C61" w:rsidRDefault="00EE6D95">
            <w:pPr>
              <w:pStyle w:val="CellColumn"/>
            </w:pPr>
            <w:r w:rsidRPr="00E85C61">
              <w:t>A508015</w:t>
            </w:r>
          </w:p>
        </w:tc>
        <w:tc>
          <w:tcPr>
            <w:tcW w:w="1486" w:type="dxa"/>
          </w:tcPr>
          <w:p w:rsidR="00D849AA" w:rsidRPr="00E85C61" w:rsidRDefault="00EE6D95">
            <w:pPr>
              <w:rPr>
                <w:rFonts w:ascii="Arial" w:hAnsi="Arial" w:cs="Arial"/>
              </w:rPr>
            </w:pPr>
            <w:r w:rsidRPr="00E85C61">
              <w:rPr>
                <w:rFonts w:ascii="Arial" w:hAnsi="Arial" w:cs="Arial"/>
              </w:rPr>
              <w:t>7.435.000</w:t>
            </w:r>
          </w:p>
        </w:tc>
        <w:tc>
          <w:tcPr>
            <w:tcW w:w="1486" w:type="dxa"/>
          </w:tcPr>
          <w:p w:rsidR="00D849AA" w:rsidRPr="00E85C61" w:rsidRDefault="00EE6D95">
            <w:pPr>
              <w:rPr>
                <w:rFonts w:ascii="Arial" w:hAnsi="Arial" w:cs="Arial"/>
              </w:rPr>
            </w:pPr>
            <w:r w:rsidRPr="00E85C61">
              <w:rPr>
                <w:rFonts w:ascii="Arial" w:hAnsi="Arial" w:cs="Arial"/>
              </w:rPr>
              <w:t>7.435.000</w:t>
            </w:r>
          </w:p>
        </w:tc>
        <w:tc>
          <w:tcPr>
            <w:tcW w:w="1486" w:type="dxa"/>
          </w:tcPr>
          <w:p w:rsidR="00D849AA" w:rsidRPr="00E85C61" w:rsidRDefault="00EE6D95">
            <w:pPr>
              <w:rPr>
                <w:rFonts w:ascii="Arial" w:hAnsi="Arial" w:cs="Arial"/>
              </w:rPr>
            </w:pPr>
            <w:r w:rsidRPr="00E85C61">
              <w:rPr>
                <w:rFonts w:ascii="Arial" w:hAnsi="Arial" w:cs="Arial"/>
              </w:rPr>
              <w:t>7.441.500</w:t>
            </w:r>
          </w:p>
        </w:tc>
        <w:tc>
          <w:tcPr>
            <w:tcW w:w="1486" w:type="dxa"/>
          </w:tcPr>
          <w:p w:rsidR="00D849AA" w:rsidRPr="00E85C61" w:rsidRDefault="00EE6D95">
            <w:pPr>
              <w:rPr>
                <w:rFonts w:ascii="Arial" w:hAnsi="Arial" w:cs="Arial"/>
              </w:rPr>
            </w:pPr>
            <w:r w:rsidRPr="00E85C61">
              <w:rPr>
                <w:rFonts w:ascii="Arial" w:hAnsi="Arial" w:cs="Arial"/>
              </w:rPr>
              <w:t>7.452.000</w:t>
            </w:r>
          </w:p>
        </w:tc>
        <w:tc>
          <w:tcPr>
            <w:tcW w:w="1486" w:type="dxa"/>
          </w:tcPr>
          <w:p w:rsidR="00D849AA" w:rsidRPr="00E85C61" w:rsidRDefault="00EE6D95">
            <w:pPr>
              <w:rPr>
                <w:rFonts w:ascii="Arial" w:hAnsi="Arial" w:cs="Arial"/>
              </w:rPr>
            </w:pPr>
            <w:r w:rsidRPr="00E85C61">
              <w:rPr>
                <w:rFonts w:ascii="Arial" w:hAnsi="Arial" w:cs="Arial"/>
              </w:rPr>
              <w:t>100,0</w:t>
            </w:r>
          </w:p>
        </w:tc>
      </w:tr>
    </w:tbl>
    <w:p w:rsidR="00D849AA" w:rsidRDefault="00D849AA">
      <w:pPr>
        <w:jc w:val="left"/>
      </w:pPr>
    </w:p>
    <w:p w:rsidR="00D849AA" w:rsidRDefault="00EE6D95">
      <w:pPr>
        <w:pStyle w:val="Normal6"/>
      </w:pPr>
      <w:r>
        <w:t>U okviru aktivnosti A508015 Naknade zaslužnim osobama planirana su sredstva za isplatu stalnih novčanih nadoknada zaslužnim osobama. Na temelju članka 26. Poslovnika Vlade Republike Hrvatske sukladno Zakonu o dodjeljivanju stalnih novčanih naknada zaslužnim osobama, Administrativna komisija Vlade Republike Hrvatske donosi Odluku o načinu isplate stalnih novčanih nadoknada zaslužnim osobama. Isplata stalne novčane nadoknade vrši se na temelju rješenja Administrativne komisije Vlade Republike Hrvatske po kategorijama u mjesečnim iznosima. Trenutno ima 770 korisnika stalne novčane nadoknade.</w:t>
      </w:r>
    </w:p>
    <w:p w:rsidR="00D849AA" w:rsidRDefault="00EE6D95">
      <w:pPr>
        <w:pStyle w:val="Naslov2"/>
      </w:pPr>
      <w:r>
        <w:lastRenderedPageBreak/>
        <w:t>02006 Ured predsjednika Vlade Republike Hrvatske</w:t>
      </w:r>
    </w:p>
    <w:p w:rsidR="00D849AA" w:rsidRDefault="00EE6D95">
      <w:pPr>
        <w:pStyle w:val="Naslov4"/>
      </w:pPr>
      <w:r>
        <w:t>Uvod</w:t>
      </w:r>
    </w:p>
    <w:p w:rsidR="00D849AA" w:rsidRDefault="00EE6D95">
      <w:pPr>
        <w:pStyle w:val="Normal3"/>
      </w:pPr>
      <w:r>
        <w:t xml:space="preserve">Sukladno Ustavu Republike Hrvatske i Zakonu o Vladi Republike Hrvatske, Ured predsjednika Vlade Republike Hrvatske obavlja savjetodavne, analitičke, stručne i administrativne poslove za potrebe predsjednika Vlade Republike Hrvatske, a osobito poslove: </w:t>
      </w:r>
    </w:p>
    <w:p w:rsidR="00D849AA" w:rsidRDefault="00EE6D95">
      <w:pPr>
        <w:pStyle w:val="Normal3"/>
      </w:pPr>
      <w:r>
        <w:t xml:space="preserve">– sustavnog praćenja, razmatranja i utvrđivanja stanja u pojedinom području radi izrade stručnih mišljenja i studija, </w:t>
      </w:r>
    </w:p>
    <w:p w:rsidR="00D849AA" w:rsidRDefault="00EE6D95">
      <w:pPr>
        <w:pStyle w:val="Normal3"/>
      </w:pPr>
      <w:r>
        <w:t xml:space="preserve">– izrade strateških razvojnih planova i analiza, </w:t>
      </w:r>
    </w:p>
    <w:p w:rsidR="00D849AA" w:rsidRDefault="00EE6D95">
      <w:pPr>
        <w:pStyle w:val="Normal3"/>
      </w:pPr>
      <w:r>
        <w:t xml:space="preserve">– pripreme prijedloga pojedinih projekata iz programa Vlade Republike Hrvatske i usklađivanja njihove provedbe, </w:t>
      </w:r>
    </w:p>
    <w:p w:rsidR="00D849AA" w:rsidRDefault="00EE6D95">
      <w:pPr>
        <w:pStyle w:val="Normal3"/>
      </w:pPr>
      <w:r>
        <w:t xml:space="preserve">– stručne obrade i pripreme materijala potrebnih za sudjelovanje predsjednika Vlade Republike Hrvatske u radu Užega kabineta Vlade Republike Hrvatske, Vlade Republike Hrvatske i Hrvatskoga sabora, </w:t>
      </w:r>
    </w:p>
    <w:p w:rsidR="00D849AA" w:rsidRDefault="00EE6D95">
      <w:pPr>
        <w:pStyle w:val="Normal3"/>
      </w:pPr>
      <w:r>
        <w:t xml:space="preserve">– izrade materijala potrebnih za sudjelovanje predsjednika Vlade Republike Hrvatske na radnim, konzultativnim i koordinativnim sastancima, </w:t>
      </w:r>
    </w:p>
    <w:p w:rsidR="00D849AA" w:rsidRDefault="00EE6D95">
      <w:pPr>
        <w:pStyle w:val="Normal3"/>
      </w:pPr>
      <w:r>
        <w:t xml:space="preserve">– koordinacije između Vlade Republike Hrvatske i Hrvatskoga sabora, </w:t>
      </w:r>
    </w:p>
    <w:p w:rsidR="00D849AA" w:rsidRDefault="00EE6D95">
      <w:pPr>
        <w:pStyle w:val="Normal3"/>
      </w:pPr>
      <w:r>
        <w:t xml:space="preserve">– sudjelovanja, u suradnji s Glavnim tajništvom Vlade Republike Hrvatske, u pripremi i sazivanju sjednica Užega kabineta i savjeta predsjednika Vlade Republike Hrvatske, </w:t>
      </w:r>
    </w:p>
    <w:p w:rsidR="00D849AA" w:rsidRDefault="00EE6D95">
      <w:pPr>
        <w:pStyle w:val="Normal3"/>
      </w:pPr>
      <w:r>
        <w:t xml:space="preserve">– provedbe pripremnih aktivnosti potrebnih za imenovanje posebnih savjetnika predsjednika Vlade Republike Hrvatske, odnosno za osnivanje savjeta predsjednika Vlade Republike Hrvatske i imenovanje članova savjeta iz članka 23. Zakona o Vladi Republike Hrvatske, </w:t>
      </w:r>
    </w:p>
    <w:p w:rsidR="00D849AA" w:rsidRDefault="00EE6D95">
      <w:pPr>
        <w:pStyle w:val="Normal3"/>
      </w:pPr>
      <w:r>
        <w:t xml:space="preserve">– usklađivanja rada ureda Vlade Republike Hrvatske iz članka 27. Zakona o Vladi Republike Hrvatske, </w:t>
      </w:r>
    </w:p>
    <w:p w:rsidR="00D849AA" w:rsidRDefault="00EE6D95">
      <w:pPr>
        <w:pStyle w:val="Normal3"/>
      </w:pPr>
      <w:r>
        <w:t xml:space="preserve">– stručne pripreme i organizacije posjeta predsjednika Vlade Republike Hrvatske u zemlji i inozemstvu, </w:t>
      </w:r>
    </w:p>
    <w:p w:rsidR="00D849AA" w:rsidRDefault="00EE6D95">
      <w:pPr>
        <w:pStyle w:val="Normal3"/>
      </w:pPr>
      <w:r>
        <w:t xml:space="preserve">– druge poslove po nalogu predsjednika Vlade Republike Hrvatske. </w:t>
      </w:r>
    </w:p>
    <w:p w:rsidR="00D849AA" w:rsidRDefault="00EE6D95">
      <w:pPr>
        <w:pStyle w:val="Normal3"/>
      </w:pPr>
      <w:r>
        <w:t xml:space="preserve">U Uredu predsjednika Vlade Republike Hrvatske se obavljaju i poslovi izvješćivanja javnosti o politici i aktivnostima Vlade Republike Hrvatske – predsjednika i potpredsjednika Vlade Republike Hrvatske, upoznavanja Vlade Republike Hrvatske o sadržaju i stajalištima medija i javnosti, poslovi izravne komunikacije s građanima, koordiniranja komunikacijskih aktivnosti ministarstava i državnih ureda, vođenja dokumentacije koja se odnosi na priopćenja za javnost, poslovi akreditacije novinara i drugi poslovi s tim u vezi, te se obavljaju drugi poslovi koje Uredu povjeri predsjednik Vlade Republike Hrvatske. </w:t>
      </w:r>
    </w:p>
    <w:p w:rsidR="00D849AA" w:rsidRDefault="00EE6D95">
      <w:pPr>
        <w:pStyle w:val="Normal3"/>
      </w:pPr>
      <w:r>
        <w:t xml:space="preserve">Za obavljanje gore navedenih poslova, u Uredu se ustrojavaju sljedeće unutarnje ustrojstvene jedinice: </w:t>
      </w:r>
    </w:p>
    <w:p w:rsidR="00D849AA" w:rsidRDefault="00EE6D95">
      <w:pPr>
        <w:pStyle w:val="Normal3"/>
      </w:pPr>
      <w:r>
        <w:t xml:space="preserve"> - Služba za koordinaciju rada savjetnika predsjednika Vlade i savjetnika u Uredu </w:t>
      </w:r>
    </w:p>
    <w:p w:rsidR="00D849AA" w:rsidRDefault="00EE6D95">
      <w:pPr>
        <w:pStyle w:val="Normal3"/>
      </w:pPr>
      <w:r>
        <w:tab/>
        <w:t xml:space="preserve">- Odjel za koordinaciju rada savjetnika predsjednika Vlade </w:t>
      </w:r>
    </w:p>
    <w:p w:rsidR="00D849AA" w:rsidRDefault="00EE6D95">
      <w:pPr>
        <w:pStyle w:val="Normal3"/>
      </w:pPr>
      <w:r>
        <w:tab/>
        <w:t xml:space="preserve">- Odjel za koordinaciju rada savjetnika u Uredu </w:t>
      </w:r>
    </w:p>
    <w:p w:rsidR="00D849AA" w:rsidRDefault="00EE6D95">
      <w:pPr>
        <w:pStyle w:val="Normal3"/>
      </w:pPr>
      <w:r>
        <w:t xml:space="preserve"> - Služba za odnose s javnošću </w:t>
      </w:r>
    </w:p>
    <w:p w:rsidR="00D849AA" w:rsidRDefault="00EE6D95">
      <w:pPr>
        <w:pStyle w:val="Normal3"/>
      </w:pPr>
      <w:r>
        <w:tab/>
        <w:t xml:space="preserve">- Odjel za medije </w:t>
      </w:r>
    </w:p>
    <w:p w:rsidR="00D849AA" w:rsidRDefault="00EE6D95">
      <w:pPr>
        <w:pStyle w:val="Normal3"/>
      </w:pPr>
      <w:r>
        <w:tab/>
        <w:t xml:space="preserve">- Odjel za on-line komunikaciju </w:t>
      </w:r>
    </w:p>
    <w:p w:rsidR="00D849AA" w:rsidRDefault="00EE6D95">
      <w:pPr>
        <w:pStyle w:val="Normal3"/>
      </w:pPr>
      <w:r>
        <w:tab/>
        <w:t xml:space="preserve">- Odjel za analitiku </w:t>
      </w:r>
    </w:p>
    <w:p w:rsidR="00D849AA" w:rsidRDefault="00EE6D95">
      <w:pPr>
        <w:pStyle w:val="Normal3"/>
      </w:pPr>
      <w:r>
        <w:lastRenderedPageBreak/>
        <w:t xml:space="preserve"> - Odjel za građane </w:t>
      </w:r>
    </w:p>
    <w:p w:rsidR="00D849AA" w:rsidRDefault="00EE6D95">
      <w:pPr>
        <w:pStyle w:val="Normal3"/>
      </w:pPr>
      <w:r>
        <w:t xml:space="preserve"> - Odjel općih, administrativnih i organizacijskih poslova za potrebe predsjednika Vlade.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02006</w:t>
            </w:r>
          </w:p>
        </w:tc>
        <w:tc>
          <w:tcPr>
            <w:tcW w:w="1486" w:type="dxa"/>
          </w:tcPr>
          <w:p w:rsidR="00D849AA" w:rsidRDefault="00EE6D95">
            <w:r>
              <w:t>13.859.000</w:t>
            </w:r>
          </w:p>
        </w:tc>
        <w:tc>
          <w:tcPr>
            <w:tcW w:w="1486" w:type="dxa"/>
          </w:tcPr>
          <w:p w:rsidR="00D849AA" w:rsidRDefault="00EE6D95">
            <w:r>
              <w:t>9.780.000</w:t>
            </w:r>
          </w:p>
        </w:tc>
        <w:tc>
          <w:tcPr>
            <w:tcW w:w="1486" w:type="dxa"/>
          </w:tcPr>
          <w:p w:rsidR="00D849AA" w:rsidRDefault="00EE6D95">
            <w:r>
              <w:t>9.690.000</w:t>
            </w:r>
          </w:p>
        </w:tc>
        <w:tc>
          <w:tcPr>
            <w:tcW w:w="1486" w:type="dxa"/>
          </w:tcPr>
          <w:p w:rsidR="00D849AA" w:rsidRDefault="00EE6D95">
            <w:r>
              <w:t>10.540.000</w:t>
            </w:r>
          </w:p>
        </w:tc>
        <w:tc>
          <w:tcPr>
            <w:tcW w:w="1486" w:type="dxa"/>
          </w:tcPr>
          <w:p w:rsidR="00D849AA" w:rsidRDefault="00EE6D95">
            <w:r>
              <w:t>70,6</w:t>
            </w:r>
          </w:p>
        </w:tc>
      </w:tr>
    </w:tbl>
    <w:p w:rsidR="00D849AA" w:rsidRDefault="00D849AA">
      <w:pPr>
        <w:jc w:val="left"/>
      </w:pPr>
    </w:p>
    <w:p w:rsidR="00D849AA" w:rsidRDefault="00EE6D95">
      <w:pPr>
        <w:pStyle w:val="Naslov4"/>
      </w:pPr>
      <w:r>
        <w:t>OBRAZLOŽENJE PROGRAMA</w:t>
      </w:r>
    </w:p>
    <w:p w:rsidR="00D849AA" w:rsidRDefault="00EE6D95">
      <w:pPr>
        <w:pStyle w:val="Naslov5"/>
      </w:pPr>
      <w:r>
        <w:t>2107 PRUŽANJE PODRŠKE RADU VLADE REPUBLIKE HRVATSKE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2107</w:t>
            </w:r>
          </w:p>
        </w:tc>
        <w:tc>
          <w:tcPr>
            <w:tcW w:w="1486" w:type="dxa"/>
          </w:tcPr>
          <w:p w:rsidR="00D849AA" w:rsidRDefault="00EE6D95">
            <w:r>
              <w:t>13.859.000</w:t>
            </w:r>
          </w:p>
        </w:tc>
        <w:tc>
          <w:tcPr>
            <w:tcW w:w="1486" w:type="dxa"/>
          </w:tcPr>
          <w:p w:rsidR="00D849AA" w:rsidRDefault="00EE6D95">
            <w:r>
              <w:t>9.780.000</w:t>
            </w:r>
          </w:p>
        </w:tc>
        <w:tc>
          <w:tcPr>
            <w:tcW w:w="1486" w:type="dxa"/>
          </w:tcPr>
          <w:p w:rsidR="00D849AA" w:rsidRDefault="00EE6D95">
            <w:r>
              <w:t>9.690.000</w:t>
            </w:r>
          </w:p>
        </w:tc>
        <w:tc>
          <w:tcPr>
            <w:tcW w:w="1486" w:type="dxa"/>
          </w:tcPr>
          <w:p w:rsidR="00D849AA" w:rsidRDefault="00EE6D95">
            <w:r>
              <w:t>10.540.000</w:t>
            </w:r>
          </w:p>
        </w:tc>
        <w:tc>
          <w:tcPr>
            <w:tcW w:w="1486" w:type="dxa"/>
          </w:tcPr>
          <w:p w:rsidR="00D849AA" w:rsidRDefault="00EE6D95">
            <w:r>
              <w:t>70,6</w:t>
            </w:r>
          </w:p>
        </w:tc>
      </w:tr>
    </w:tbl>
    <w:p w:rsidR="00D849AA" w:rsidRDefault="00D849AA">
      <w:pPr>
        <w:jc w:val="left"/>
      </w:pPr>
    </w:p>
    <w:p w:rsidR="00D849AA" w:rsidRDefault="00EE6D95">
      <w:pPr>
        <w:pStyle w:val="Naslov6"/>
      </w:pPr>
      <w:r>
        <w:t>Opis programa</w:t>
      </w:r>
    </w:p>
    <w:p w:rsidR="00D849AA" w:rsidRDefault="00EE6D95" w:rsidP="00CC4FF4">
      <w:pPr>
        <w:pStyle w:val="Normal5"/>
      </w:pPr>
      <w:r>
        <w:t>Pružanje podrške radu Vlade Republike Hrvatske od strane Ureda predsjednika Vlade Republike Hrvatske podrazumijeva pripremu stručnih i analitičkih materijala potrebnih za sudjelovanje predsjednika Vlade Republike Hrvatske u radu Užeg kabineta Vlade Republike Hrvatske, Vlade Republike Hrvatske i Hrvatskoga sabora, koordinaciju između Vlade Republike Hrvatske i Hrvatskog sabora, sazivanje i pripremu sjednica Užeg kabineta i savjeta predsjednika Vlade Republike Hrvatske u suradnji s Glavnim tajništvom Vlade Republike Hrvatske, te druge poslove po nalogu predsjednika Vlade Republike Hrvatske.</w:t>
      </w:r>
    </w:p>
    <w:p w:rsidR="00CC4FF4" w:rsidRDefault="00CC4FF4" w:rsidP="00CC4FF4">
      <w:pPr>
        <w:pStyle w:val="Normal5"/>
      </w:pP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Cilj 1. Kontinuitet i poboljšanje efikasnosti Vlade Republike Hrvatske</w:t>
      </w:r>
    </w:p>
    <w:p w:rsidR="00D849AA" w:rsidRDefault="00EE6D95">
      <w:pPr>
        <w:pStyle w:val="Normal6"/>
      </w:pPr>
      <w:r>
        <w:t>Obavljanjem savjetodavnih, analitičkih, stručnih i administrativnih poslova za potrebe predsjednika Vlade Republike Hrvatske osigurava se kontinuirano funkcioniranje Vlade Republike Hrvatske odnosno omogućuje se uključivanje predsjednika Vlade Republike Hrvatske u rad Vlade Republike Hrvatske.</w:t>
      </w:r>
    </w:p>
    <w:p w:rsidR="00D849AA" w:rsidRDefault="00EE6D95">
      <w:pPr>
        <w:pStyle w:val="Naslov2"/>
      </w:pPr>
      <w:r>
        <w:t>02010 Ured za udruge</w:t>
      </w:r>
    </w:p>
    <w:p w:rsidR="00D849AA" w:rsidRDefault="00EE6D95">
      <w:pPr>
        <w:pStyle w:val="Naslov4"/>
      </w:pPr>
      <w:r>
        <w:t>Uvod</w:t>
      </w:r>
    </w:p>
    <w:p w:rsidR="00D849AA" w:rsidRDefault="00EE6D95">
      <w:pPr>
        <w:pStyle w:val="Normal3"/>
      </w:pPr>
      <w:r>
        <w:t xml:space="preserve">Prema važećoj Uredbi o Uredu za udruge, Ured koordinira rad tijela državne uprave na području razvoja suradnje i savjetovanja s udrugama i ostalim organizacijama civilnoga društva u donošenju, provedbi i vrednovanju javnih politika, sustavno prati i unaprjeđuje standarde za financiranje projekata i programa udruga iz državnog proračuna i drugih javnih izvora, izrađuje učinkovit sustav praćenja i evaluacije financiranih projekata i programa udruga, te priprema i provodi projekte i programe Europske unije za potporu razvoju civilnoga društva. </w:t>
      </w:r>
    </w:p>
    <w:p w:rsidR="00D849AA" w:rsidRDefault="00EE6D95">
      <w:pPr>
        <w:pStyle w:val="Normal3"/>
      </w:pPr>
      <w:r>
        <w:lastRenderedPageBreak/>
        <w:t xml:space="preserve">Ured za udruge jedini je Vladin Ured s kontinuitetom višegodišnjeg korištenja EU projekata. Osim već započetih i planiranih projekata iz 1. komponente IPA programa (IPA 2008, 2009, 2010, 2011, 2012-13), Ured je korisnička institucija za projekte iz programa IPA IV. komponenta (IPA 2012-13) koji su u završnoj fazi ugovaranja, kao i za korištenje projekata za prvo razdoblje provedbe strukturnih fondova (Europskog socijalnog fonda). Ured je od 2007. godine ujedno nadležan i za provedbu programa Zajednice Europa za građane kojim su otvorene dodatne mogućnosti za financiranje projekata organizacija civilnog društva u Hrvatskoj. </w:t>
      </w:r>
    </w:p>
    <w:p w:rsidR="00D849AA" w:rsidRDefault="00EE6D95">
      <w:pPr>
        <w:pStyle w:val="Normal3"/>
      </w:pPr>
      <w:r>
        <w:t xml:space="preserve">U svrhu osiguranja učinkovite provedbe EU projekata u nadležnosti Ureda, Ured ujedno provodi program sufinanciranja EU projekata organizacijama civilnog društva. </w:t>
      </w:r>
    </w:p>
    <w:p w:rsidR="00D849AA" w:rsidRDefault="00EE6D95">
      <w:pPr>
        <w:pStyle w:val="Normal3"/>
      </w:pPr>
      <w:r>
        <w:t xml:space="preserve">U skladu s Kodeksom pozitivne prakse, standarda i mjerila za ostvarivanje financijske potpore programima i projektima udruga kojeg je Hrvatski sabor usvojio u veljači 2007. godine, Ured radi na poboljšanju standarda za financiranje programa udruga iz državnog proračuna. </w:t>
      </w:r>
    </w:p>
    <w:p w:rsidR="00D849AA" w:rsidRDefault="00EE6D95">
      <w:pPr>
        <w:pStyle w:val="Normal3"/>
      </w:pPr>
      <w:r>
        <w:t>Ured za Udruge Vlade Republike Hrvatske, izradio je Prijedlog proračuna za razdoblje 2014.-2016., imajući u vidu naprijed navedene zadaće i poslove, ali i nove obveze koje proistječu iz pristupanja Europskoj uniji.</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CC4FF4" w:rsidRDefault="00D849AA">
            <w:pPr>
              <w:pStyle w:val="CellHeader"/>
            </w:pPr>
          </w:p>
        </w:tc>
        <w:tc>
          <w:tcPr>
            <w:tcW w:w="1486" w:type="dxa"/>
            <w:shd w:val="clear" w:color="auto" w:fill="B5C0D8"/>
          </w:tcPr>
          <w:p w:rsidR="00D849AA" w:rsidRPr="00CC4FF4" w:rsidRDefault="00EE6D95">
            <w:pPr>
              <w:pStyle w:val="CellHeader"/>
            </w:pPr>
            <w:r w:rsidRPr="00CC4FF4">
              <w:t>Plan 2013.</w:t>
            </w:r>
          </w:p>
        </w:tc>
        <w:tc>
          <w:tcPr>
            <w:tcW w:w="1486" w:type="dxa"/>
            <w:shd w:val="clear" w:color="auto" w:fill="B5C0D8"/>
          </w:tcPr>
          <w:p w:rsidR="00D849AA" w:rsidRPr="00CC4FF4" w:rsidRDefault="00EE6D95">
            <w:pPr>
              <w:pStyle w:val="CellHeader"/>
            </w:pPr>
            <w:r w:rsidRPr="00CC4FF4">
              <w:t>Plan 2014.</w:t>
            </w:r>
          </w:p>
        </w:tc>
        <w:tc>
          <w:tcPr>
            <w:tcW w:w="1486" w:type="dxa"/>
            <w:shd w:val="clear" w:color="auto" w:fill="B5C0D8"/>
          </w:tcPr>
          <w:p w:rsidR="00D849AA" w:rsidRPr="00CC4FF4" w:rsidRDefault="00EE6D95">
            <w:pPr>
              <w:pStyle w:val="CellHeader"/>
            </w:pPr>
            <w:r w:rsidRPr="00CC4FF4">
              <w:t>Plan 2015.</w:t>
            </w:r>
          </w:p>
        </w:tc>
        <w:tc>
          <w:tcPr>
            <w:tcW w:w="1486" w:type="dxa"/>
            <w:shd w:val="clear" w:color="auto" w:fill="B5C0D8"/>
          </w:tcPr>
          <w:p w:rsidR="00D849AA" w:rsidRPr="00CC4FF4" w:rsidRDefault="00EE6D95">
            <w:pPr>
              <w:pStyle w:val="CellHeader"/>
            </w:pPr>
            <w:r w:rsidRPr="00CC4FF4">
              <w:t>Plan 2016.</w:t>
            </w:r>
          </w:p>
        </w:tc>
        <w:tc>
          <w:tcPr>
            <w:tcW w:w="1486" w:type="dxa"/>
            <w:shd w:val="clear" w:color="auto" w:fill="B5C0D8"/>
          </w:tcPr>
          <w:p w:rsidR="00D849AA" w:rsidRPr="00CC4FF4" w:rsidRDefault="00EE6D95">
            <w:pPr>
              <w:pStyle w:val="CellHeader"/>
            </w:pPr>
            <w:r w:rsidRPr="00CC4FF4">
              <w:t>Indeks 2014/2013</w:t>
            </w:r>
          </w:p>
        </w:tc>
      </w:tr>
      <w:tr w:rsidR="00D849AA">
        <w:trPr>
          <w:jc w:val="center"/>
        </w:trPr>
        <w:tc>
          <w:tcPr>
            <w:tcW w:w="1486" w:type="dxa"/>
          </w:tcPr>
          <w:p w:rsidR="00D849AA" w:rsidRPr="00CC4FF4" w:rsidRDefault="00EE6D95">
            <w:pPr>
              <w:pStyle w:val="CellColumn"/>
            </w:pPr>
            <w:r w:rsidRPr="00CC4FF4">
              <w:t>02010</w:t>
            </w:r>
          </w:p>
        </w:tc>
        <w:tc>
          <w:tcPr>
            <w:tcW w:w="1486" w:type="dxa"/>
          </w:tcPr>
          <w:p w:rsidR="00D849AA" w:rsidRPr="00CC4FF4" w:rsidRDefault="00EE6D95">
            <w:pPr>
              <w:rPr>
                <w:rFonts w:ascii="Arial" w:hAnsi="Arial" w:cs="Arial"/>
              </w:rPr>
            </w:pPr>
            <w:r w:rsidRPr="00CC4FF4">
              <w:rPr>
                <w:rFonts w:ascii="Arial" w:hAnsi="Arial" w:cs="Arial"/>
              </w:rPr>
              <w:t>77.497.081</w:t>
            </w:r>
          </w:p>
        </w:tc>
        <w:tc>
          <w:tcPr>
            <w:tcW w:w="1486" w:type="dxa"/>
          </w:tcPr>
          <w:p w:rsidR="00D849AA" w:rsidRPr="00CC4FF4" w:rsidRDefault="00EE6D95">
            <w:pPr>
              <w:rPr>
                <w:rFonts w:ascii="Arial" w:hAnsi="Arial" w:cs="Arial"/>
              </w:rPr>
            </w:pPr>
            <w:r w:rsidRPr="00CC4FF4">
              <w:rPr>
                <w:rFonts w:ascii="Arial" w:hAnsi="Arial" w:cs="Arial"/>
              </w:rPr>
              <w:t>128.196.652</w:t>
            </w:r>
          </w:p>
        </w:tc>
        <w:tc>
          <w:tcPr>
            <w:tcW w:w="1486" w:type="dxa"/>
          </w:tcPr>
          <w:p w:rsidR="00D849AA" w:rsidRPr="00CC4FF4" w:rsidRDefault="00EE6D95">
            <w:pPr>
              <w:rPr>
                <w:rFonts w:ascii="Arial" w:hAnsi="Arial" w:cs="Arial"/>
              </w:rPr>
            </w:pPr>
            <w:r w:rsidRPr="00CC4FF4">
              <w:rPr>
                <w:rFonts w:ascii="Arial" w:hAnsi="Arial" w:cs="Arial"/>
              </w:rPr>
              <w:t>116.718.234</w:t>
            </w:r>
          </w:p>
        </w:tc>
        <w:tc>
          <w:tcPr>
            <w:tcW w:w="1486" w:type="dxa"/>
          </w:tcPr>
          <w:p w:rsidR="00D849AA" w:rsidRPr="00CC4FF4" w:rsidRDefault="00EE6D95">
            <w:pPr>
              <w:rPr>
                <w:rFonts w:ascii="Arial" w:hAnsi="Arial" w:cs="Arial"/>
              </w:rPr>
            </w:pPr>
            <w:r w:rsidRPr="00CC4FF4">
              <w:rPr>
                <w:rFonts w:ascii="Arial" w:hAnsi="Arial" w:cs="Arial"/>
              </w:rPr>
              <w:t>71.248.897</w:t>
            </w:r>
          </w:p>
        </w:tc>
        <w:tc>
          <w:tcPr>
            <w:tcW w:w="1486" w:type="dxa"/>
          </w:tcPr>
          <w:p w:rsidR="00D849AA" w:rsidRPr="00CC4FF4" w:rsidRDefault="00EE6D95">
            <w:pPr>
              <w:rPr>
                <w:rFonts w:ascii="Arial" w:hAnsi="Arial" w:cs="Arial"/>
              </w:rPr>
            </w:pPr>
            <w:r w:rsidRPr="00CC4FF4">
              <w:rPr>
                <w:rFonts w:ascii="Arial" w:hAnsi="Arial" w:cs="Arial"/>
              </w:rPr>
              <w:t>165,4</w:t>
            </w:r>
          </w:p>
        </w:tc>
      </w:tr>
    </w:tbl>
    <w:p w:rsidR="00D849AA" w:rsidRDefault="00D849AA">
      <w:pPr>
        <w:jc w:val="left"/>
      </w:pPr>
    </w:p>
    <w:p w:rsidR="00D849AA" w:rsidRDefault="00EE6D95">
      <w:pPr>
        <w:pStyle w:val="Naslov4"/>
      </w:pPr>
      <w:r>
        <w:t>OBRAZLOŽENJE PROGRAMA</w:t>
      </w:r>
    </w:p>
    <w:p w:rsidR="00D849AA" w:rsidRDefault="00EE6D95">
      <w:pPr>
        <w:pStyle w:val="Naslov5"/>
      </w:pPr>
      <w:r>
        <w:t>2108 RAZVOJ CIVILNOG DRUŠTVA I SURADNJA S NEVLADINIM ORGANIZACIJAMA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CC4FF4" w:rsidRDefault="00D849AA">
            <w:pPr>
              <w:pStyle w:val="CellHeader"/>
            </w:pPr>
          </w:p>
        </w:tc>
        <w:tc>
          <w:tcPr>
            <w:tcW w:w="1486" w:type="dxa"/>
            <w:shd w:val="clear" w:color="auto" w:fill="B5C0D8"/>
          </w:tcPr>
          <w:p w:rsidR="00D849AA" w:rsidRPr="00CC4FF4" w:rsidRDefault="00EE6D95">
            <w:pPr>
              <w:pStyle w:val="CellHeader"/>
            </w:pPr>
            <w:r w:rsidRPr="00CC4FF4">
              <w:t>Plan 2013.</w:t>
            </w:r>
          </w:p>
        </w:tc>
        <w:tc>
          <w:tcPr>
            <w:tcW w:w="1486" w:type="dxa"/>
            <w:shd w:val="clear" w:color="auto" w:fill="B5C0D8"/>
          </w:tcPr>
          <w:p w:rsidR="00D849AA" w:rsidRPr="00CC4FF4" w:rsidRDefault="00EE6D95">
            <w:pPr>
              <w:pStyle w:val="CellHeader"/>
            </w:pPr>
            <w:r w:rsidRPr="00CC4FF4">
              <w:t>Plan 2014.</w:t>
            </w:r>
          </w:p>
        </w:tc>
        <w:tc>
          <w:tcPr>
            <w:tcW w:w="1486" w:type="dxa"/>
            <w:shd w:val="clear" w:color="auto" w:fill="B5C0D8"/>
          </w:tcPr>
          <w:p w:rsidR="00D849AA" w:rsidRPr="00CC4FF4" w:rsidRDefault="00EE6D95">
            <w:pPr>
              <w:pStyle w:val="CellHeader"/>
            </w:pPr>
            <w:r w:rsidRPr="00CC4FF4">
              <w:t>Plan 2015.</w:t>
            </w:r>
          </w:p>
        </w:tc>
        <w:tc>
          <w:tcPr>
            <w:tcW w:w="1486" w:type="dxa"/>
            <w:shd w:val="clear" w:color="auto" w:fill="B5C0D8"/>
          </w:tcPr>
          <w:p w:rsidR="00D849AA" w:rsidRPr="00CC4FF4" w:rsidRDefault="00EE6D95">
            <w:pPr>
              <w:pStyle w:val="CellHeader"/>
            </w:pPr>
            <w:r w:rsidRPr="00CC4FF4">
              <w:t>Plan 2016.</w:t>
            </w:r>
          </w:p>
        </w:tc>
        <w:tc>
          <w:tcPr>
            <w:tcW w:w="1486" w:type="dxa"/>
            <w:shd w:val="clear" w:color="auto" w:fill="B5C0D8"/>
          </w:tcPr>
          <w:p w:rsidR="00D849AA" w:rsidRPr="00CC4FF4" w:rsidRDefault="00EE6D95">
            <w:pPr>
              <w:pStyle w:val="CellHeader"/>
            </w:pPr>
            <w:r w:rsidRPr="00CC4FF4">
              <w:t>Indeks 2014/2013</w:t>
            </w:r>
          </w:p>
        </w:tc>
      </w:tr>
      <w:tr w:rsidR="00D849AA">
        <w:trPr>
          <w:jc w:val="center"/>
        </w:trPr>
        <w:tc>
          <w:tcPr>
            <w:tcW w:w="1486" w:type="dxa"/>
          </w:tcPr>
          <w:p w:rsidR="00D849AA" w:rsidRPr="00CC4FF4" w:rsidRDefault="00EE6D95">
            <w:pPr>
              <w:pStyle w:val="CellColumn"/>
            </w:pPr>
            <w:r w:rsidRPr="00CC4FF4">
              <w:t>2108</w:t>
            </w:r>
          </w:p>
        </w:tc>
        <w:tc>
          <w:tcPr>
            <w:tcW w:w="1486" w:type="dxa"/>
          </w:tcPr>
          <w:p w:rsidR="00D849AA" w:rsidRPr="00CC4FF4" w:rsidRDefault="00EE6D95">
            <w:pPr>
              <w:rPr>
                <w:rFonts w:ascii="Arial" w:hAnsi="Arial" w:cs="Arial"/>
              </w:rPr>
            </w:pPr>
            <w:r w:rsidRPr="00CC4FF4">
              <w:rPr>
                <w:rFonts w:ascii="Arial" w:hAnsi="Arial" w:cs="Arial"/>
              </w:rPr>
              <w:t>77.497.081</w:t>
            </w:r>
          </w:p>
        </w:tc>
        <w:tc>
          <w:tcPr>
            <w:tcW w:w="1486" w:type="dxa"/>
          </w:tcPr>
          <w:p w:rsidR="00D849AA" w:rsidRPr="00CC4FF4" w:rsidRDefault="00EE6D95">
            <w:pPr>
              <w:rPr>
                <w:rFonts w:ascii="Arial" w:hAnsi="Arial" w:cs="Arial"/>
              </w:rPr>
            </w:pPr>
            <w:r w:rsidRPr="00CC4FF4">
              <w:rPr>
                <w:rFonts w:ascii="Arial" w:hAnsi="Arial" w:cs="Arial"/>
              </w:rPr>
              <w:t>128.196.652</w:t>
            </w:r>
          </w:p>
        </w:tc>
        <w:tc>
          <w:tcPr>
            <w:tcW w:w="1486" w:type="dxa"/>
          </w:tcPr>
          <w:p w:rsidR="00D849AA" w:rsidRPr="00CC4FF4" w:rsidRDefault="00EE6D95">
            <w:pPr>
              <w:rPr>
                <w:rFonts w:ascii="Arial" w:hAnsi="Arial" w:cs="Arial"/>
              </w:rPr>
            </w:pPr>
            <w:r w:rsidRPr="00CC4FF4">
              <w:rPr>
                <w:rFonts w:ascii="Arial" w:hAnsi="Arial" w:cs="Arial"/>
              </w:rPr>
              <w:t>116.718.234</w:t>
            </w:r>
          </w:p>
        </w:tc>
        <w:tc>
          <w:tcPr>
            <w:tcW w:w="1486" w:type="dxa"/>
          </w:tcPr>
          <w:p w:rsidR="00D849AA" w:rsidRPr="00CC4FF4" w:rsidRDefault="00EE6D95">
            <w:pPr>
              <w:rPr>
                <w:rFonts w:ascii="Arial" w:hAnsi="Arial" w:cs="Arial"/>
              </w:rPr>
            </w:pPr>
            <w:r w:rsidRPr="00CC4FF4">
              <w:rPr>
                <w:rFonts w:ascii="Arial" w:hAnsi="Arial" w:cs="Arial"/>
              </w:rPr>
              <w:t>71.248.897</w:t>
            </w:r>
          </w:p>
        </w:tc>
        <w:tc>
          <w:tcPr>
            <w:tcW w:w="1486" w:type="dxa"/>
          </w:tcPr>
          <w:p w:rsidR="00D849AA" w:rsidRPr="00CC4FF4" w:rsidRDefault="00EE6D95">
            <w:pPr>
              <w:rPr>
                <w:rFonts w:ascii="Arial" w:hAnsi="Arial" w:cs="Arial"/>
              </w:rPr>
            </w:pPr>
            <w:r w:rsidRPr="00CC4FF4">
              <w:rPr>
                <w:rFonts w:ascii="Arial" w:hAnsi="Arial" w:cs="Arial"/>
              </w:rPr>
              <w:t>165,4</w:t>
            </w:r>
          </w:p>
        </w:tc>
      </w:tr>
    </w:tbl>
    <w:p w:rsidR="00D849AA" w:rsidRDefault="00D849AA">
      <w:pPr>
        <w:jc w:val="left"/>
      </w:pPr>
    </w:p>
    <w:p w:rsidR="00D849AA" w:rsidRDefault="00EE6D95">
      <w:pPr>
        <w:pStyle w:val="Naslov6"/>
      </w:pPr>
      <w:r>
        <w:t>Opis programa</w:t>
      </w:r>
    </w:p>
    <w:p w:rsidR="00D849AA" w:rsidRDefault="00EE6D95">
      <w:pPr>
        <w:pStyle w:val="Normal5"/>
      </w:pPr>
      <w:r>
        <w:t>Program P 2108 Razvoj civilnog društva i suradnja s nevladinim organizacijama uklapa se u program Vlade za razdoblje 2011.-2015. koji se oslanja na koncept suradnje tijela državne uprave s građanima i civilnim društvom čime se želi otvoriti novi prostor zajedničkoga djelovanja u stvaranju, provođenju i nadzoru politika koje su od izravnoga interesa za građane. Dio je to šireg programa jačanja, stabilizacije i daljnje demokratizacije političkog sustava RH u kojemu civilno društvo, udruge odnosno organizacije civilnoga društva imaju važnu ulogu. Stvaranje poticajnog okruženja za razvoj civilnog društva iziskuje osiguranje održive potpore projektima i programima udruga i drugih organizacija civilnog društva kao ključnih čimbenika pluralizma, učinkovite zaštite temeljnih prava i sloboda te aktivnog demokratskog građanstva. Kroz ovaj program, Ured za udruge, kao tijelo zaduženo za suradnju s udrugama odnosno organizacijama civilnog društva, djelovat će u smjeru učinkovitije koordinacije rada tijela državne uprave na području razvoja, suradnje i savjetovanja s udrugama i ostalim organizacijama civilnog društva, kao i na provođenju učinkovitog praćenja i evaluacije financiranih projekata i programa udruga, te provođenja projekata i programa Europske unije za potrebu razvoja civilnog društva.</w:t>
      </w:r>
    </w:p>
    <w:p w:rsidR="00D849AA" w:rsidRDefault="00EE6D95">
      <w:pPr>
        <w:pStyle w:val="Naslov6"/>
      </w:pPr>
      <w:r>
        <w:lastRenderedPageBreak/>
        <w:t>Zakonske i druge pravne osnove</w:t>
      </w:r>
    </w:p>
    <w:p w:rsidR="00D849AA" w:rsidRDefault="00EE6D95">
      <w:pPr>
        <w:pStyle w:val="Normal5"/>
      </w:pPr>
      <w:r>
        <w:t>Zadaće i obveze Ureda za udruge Vlade RH proizlaze iz Programa Vlade za razdoblje 2011.-2015., Uredbe o Uredu za udruge, Nacionalne strategije stvaranja poticajnog okruženja za razvoj civilnog društva od 2012. do 2016., Strategije suzbijanja korupcije i Akcijskog plana njezine provedbe, Akcijskog plana za provedbu inicijative Partnerstvo za otvorenu vlast i niza drugih nacionalnih programa i strategija u kojima je Ured za udruge nositelj provedbe pojedinih mjera. Strateško planiranje i praćenje provedbe projekata financiranih iz sredstava EU provode se na temelju memoranduma o razumijevanju i godišnjih financijskih ugovora potpisanih između Europske unije i Republike Hrvatske. U kontekstu uloge Ureda u osiguranju sredstava za potporu razvoju civilnog društva iz pretpristupnih i strukturnih fondova Europske unije, važno je spomenuti Uredbu o tijelima u sustavu upravljanja i kontrole korištenja strukturnih instrumenata Europske unije u Republici Hrvatskoj (NN 97/2012) te Zakon o uspostavi institucionalnog okvira za korištenje strukturnih instrumenata Europske unije u Republici Hrvatskoj (NN 78/2012).</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 xml:space="preserve">Cilj 1. Poboljšanje okruženja za razvoj civilnog društva </w:t>
      </w:r>
    </w:p>
    <w:p w:rsidR="00D849AA" w:rsidRDefault="00EE6D95">
      <w:pPr>
        <w:pStyle w:val="Normal6"/>
      </w:pPr>
      <w:r>
        <w:t xml:space="preserve">Postojeća praksa suradnje državnih tijela s udrugama još uvijek nije u potpunosti  integrirani sustav koji bi trebao omogućiti kvalitetnu podlogu za stvaranje poticajnog okruženja za razvoj civilnog društva, učinkovito praćenje rezultata financiranih projekata udruga iz javnih izvora, uspješno uključivanje udruga u korištenje sredstava iz strukturnih fondova i programa Unije te, u konačnici, uspješno suočavanje s izazovom višerazinskog upravljanja europskim javnim politikama. </w:t>
      </w:r>
    </w:p>
    <w:p w:rsidR="00D849AA" w:rsidRDefault="00EE6D95">
      <w:pPr>
        <w:pStyle w:val="Normal6"/>
      </w:pPr>
      <w:r>
        <w:t>Suradnja Vlade i tijela državne uprave s udrugama i ostalim organizacijama civilnog društva značajno će se unaprijediti na svim razinama boljom koordinacijom i sustavnim praćenjem provedbe Nacionalne strategije stvaranja poticajnog okruženja za razvoj civilnog društva, jačanjem sposobnosti udruga za učinkovito korištenje raspoloživih fondova Europske unije za potporu razvoju civilnoga društva, poboljšanjem standarda za dodjelu, praćenje i vrednovanje financijskih potpora projektima i programima udruga iz državnog proračuna i drugih javnih izvora, kao i dodatnim razvojem suradnje i savjetovanja s udrugama i ostalim predstavnicima zainteresirane javnosti u donošenju i provedbi javnih politika posebno imajući u vidu provedbu mjera i aktivnosti iz Akcijskog plana za provedbu globalne inicijative Partnerstvo za otvorenu vlast u Republici Hrvatskoj.</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rsidRPr="00CC4FF4">
        <w:trPr>
          <w:jc w:val="center"/>
        </w:trPr>
        <w:tc>
          <w:tcPr>
            <w:tcW w:w="2229" w:type="dxa"/>
            <w:shd w:val="clear" w:color="auto" w:fill="B5C0D8"/>
          </w:tcPr>
          <w:p w:rsidR="00D849AA" w:rsidRPr="00CC4FF4" w:rsidRDefault="00EE6D95">
            <w:pPr>
              <w:rPr>
                <w:rFonts w:ascii="Arial" w:hAnsi="Arial" w:cs="Arial"/>
              </w:rPr>
            </w:pPr>
            <w:r w:rsidRPr="00CC4FF4">
              <w:rPr>
                <w:rFonts w:ascii="Arial" w:hAnsi="Arial" w:cs="Arial"/>
              </w:rPr>
              <w:t>Pokazatelj učinka</w:t>
            </w:r>
          </w:p>
        </w:tc>
        <w:tc>
          <w:tcPr>
            <w:tcW w:w="1114" w:type="dxa"/>
            <w:shd w:val="clear" w:color="auto" w:fill="B5C0D8"/>
          </w:tcPr>
          <w:p w:rsidR="00D849AA" w:rsidRPr="00CC4FF4" w:rsidRDefault="00EE6D95">
            <w:pPr>
              <w:pStyle w:val="CellHeader"/>
            </w:pPr>
            <w:r w:rsidRPr="00CC4FF4">
              <w:t>Jedinica</w:t>
            </w:r>
          </w:p>
        </w:tc>
        <w:tc>
          <w:tcPr>
            <w:tcW w:w="1114" w:type="dxa"/>
            <w:shd w:val="clear" w:color="auto" w:fill="B5C0D8"/>
          </w:tcPr>
          <w:p w:rsidR="00D849AA" w:rsidRPr="00CC4FF4" w:rsidRDefault="00EE6D95">
            <w:pPr>
              <w:pStyle w:val="CellHeader"/>
            </w:pPr>
            <w:r w:rsidRPr="00CC4FF4">
              <w:t>Polazna vrijednost</w:t>
            </w:r>
          </w:p>
        </w:tc>
        <w:tc>
          <w:tcPr>
            <w:tcW w:w="1486" w:type="dxa"/>
            <w:shd w:val="clear" w:color="auto" w:fill="B5C0D8"/>
          </w:tcPr>
          <w:p w:rsidR="00D849AA" w:rsidRPr="00CC4FF4" w:rsidRDefault="00EE6D95">
            <w:pPr>
              <w:pStyle w:val="CellHeader"/>
            </w:pPr>
            <w:r w:rsidRPr="00CC4FF4">
              <w:t>Ciljana vrijednost (2014.)</w:t>
            </w:r>
          </w:p>
        </w:tc>
        <w:tc>
          <w:tcPr>
            <w:tcW w:w="1486" w:type="dxa"/>
            <w:shd w:val="clear" w:color="auto" w:fill="B5C0D8"/>
          </w:tcPr>
          <w:p w:rsidR="00D849AA" w:rsidRPr="00CC4FF4" w:rsidRDefault="00EE6D95">
            <w:pPr>
              <w:pStyle w:val="CellHeader"/>
            </w:pPr>
            <w:r w:rsidRPr="00CC4FF4">
              <w:t>Ciljana vrijednost (2015.)</w:t>
            </w:r>
          </w:p>
        </w:tc>
        <w:tc>
          <w:tcPr>
            <w:tcW w:w="1486" w:type="dxa"/>
            <w:shd w:val="clear" w:color="auto" w:fill="B5C0D8"/>
          </w:tcPr>
          <w:p w:rsidR="00D849AA" w:rsidRPr="00CC4FF4" w:rsidRDefault="00EE6D95">
            <w:pPr>
              <w:pStyle w:val="CellHeader"/>
            </w:pPr>
            <w:r w:rsidRPr="00CC4FF4">
              <w:t>Ciljana vrijednost (2016.)</w:t>
            </w:r>
          </w:p>
        </w:tc>
      </w:tr>
      <w:tr w:rsidR="00D849AA" w:rsidRPr="00CC4FF4">
        <w:trPr>
          <w:jc w:val="center"/>
        </w:trPr>
        <w:tc>
          <w:tcPr>
            <w:tcW w:w="2229" w:type="dxa"/>
          </w:tcPr>
          <w:p w:rsidR="00D849AA" w:rsidRPr="00CC4FF4" w:rsidRDefault="00EE6D95">
            <w:pPr>
              <w:pStyle w:val="CellColumn"/>
            </w:pPr>
            <w:r w:rsidRPr="00CC4FF4">
              <w:t>Postotak poboljšanja preduvjeta za stvaranje poticajnog okruženja za razvoj civilnog društva (provedba strateških mjera te jačanje sposobnosti državnih tijela i udruga u nizu utvrđenih područja)</w:t>
            </w:r>
          </w:p>
        </w:tc>
        <w:tc>
          <w:tcPr>
            <w:tcW w:w="1114" w:type="dxa"/>
          </w:tcPr>
          <w:p w:rsidR="00D849AA" w:rsidRPr="00CC4FF4" w:rsidRDefault="00EE6D95">
            <w:pPr>
              <w:rPr>
                <w:rFonts w:ascii="Arial" w:hAnsi="Arial" w:cs="Arial"/>
              </w:rPr>
            </w:pPr>
            <w:r w:rsidRPr="00CC4FF4">
              <w:rPr>
                <w:rFonts w:ascii="Arial" w:hAnsi="Arial" w:cs="Arial"/>
              </w:rPr>
              <w:t>%</w:t>
            </w:r>
          </w:p>
        </w:tc>
        <w:tc>
          <w:tcPr>
            <w:tcW w:w="1114" w:type="dxa"/>
          </w:tcPr>
          <w:p w:rsidR="00D849AA" w:rsidRPr="00CC4FF4" w:rsidRDefault="00EE6D95">
            <w:pPr>
              <w:rPr>
                <w:rFonts w:ascii="Arial" w:hAnsi="Arial" w:cs="Arial"/>
              </w:rPr>
            </w:pPr>
            <w:r w:rsidRPr="00CC4FF4">
              <w:rPr>
                <w:rFonts w:ascii="Arial" w:hAnsi="Arial" w:cs="Arial"/>
              </w:rPr>
              <w:t>50</w:t>
            </w:r>
          </w:p>
        </w:tc>
        <w:tc>
          <w:tcPr>
            <w:tcW w:w="1486" w:type="dxa"/>
          </w:tcPr>
          <w:p w:rsidR="00D849AA" w:rsidRPr="00CC4FF4" w:rsidRDefault="00EE6D95">
            <w:pPr>
              <w:rPr>
                <w:rFonts w:ascii="Arial" w:hAnsi="Arial" w:cs="Arial"/>
              </w:rPr>
            </w:pPr>
            <w:r w:rsidRPr="00CC4FF4">
              <w:rPr>
                <w:rFonts w:ascii="Arial" w:hAnsi="Arial" w:cs="Arial"/>
              </w:rPr>
              <w:t>70</w:t>
            </w:r>
          </w:p>
        </w:tc>
        <w:tc>
          <w:tcPr>
            <w:tcW w:w="1486" w:type="dxa"/>
          </w:tcPr>
          <w:p w:rsidR="00D849AA" w:rsidRPr="00CC4FF4" w:rsidRDefault="00EE6D95">
            <w:pPr>
              <w:rPr>
                <w:rFonts w:ascii="Arial" w:hAnsi="Arial" w:cs="Arial"/>
              </w:rPr>
            </w:pPr>
            <w:r w:rsidRPr="00CC4FF4">
              <w:rPr>
                <w:rFonts w:ascii="Arial" w:hAnsi="Arial" w:cs="Arial"/>
              </w:rPr>
              <w:t>90</w:t>
            </w:r>
          </w:p>
        </w:tc>
        <w:tc>
          <w:tcPr>
            <w:tcW w:w="1486" w:type="dxa"/>
          </w:tcPr>
          <w:p w:rsidR="00D849AA" w:rsidRPr="00CC4FF4" w:rsidRDefault="00EE6D95">
            <w:pPr>
              <w:rPr>
                <w:rFonts w:ascii="Arial" w:hAnsi="Arial" w:cs="Arial"/>
              </w:rPr>
            </w:pPr>
            <w:r w:rsidRPr="00CC4FF4">
              <w:rPr>
                <w:rFonts w:ascii="Arial" w:hAnsi="Arial" w:cs="Arial"/>
              </w:rPr>
              <w:t>100</w:t>
            </w:r>
          </w:p>
        </w:tc>
      </w:tr>
    </w:tbl>
    <w:p w:rsidR="00D849AA" w:rsidRDefault="00D849AA">
      <w:pPr>
        <w:jc w:val="left"/>
      </w:pPr>
    </w:p>
    <w:p w:rsidR="00D849AA" w:rsidRDefault="00EE6D95">
      <w:pPr>
        <w:pStyle w:val="Naslov7"/>
      </w:pPr>
      <w:r>
        <w:t>Cilj 2. Povećati broj udruga koje provode projekte financirane iz fondova EU</w:t>
      </w:r>
    </w:p>
    <w:p w:rsidR="00D849AA" w:rsidRDefault="00EE6D95">
      <w:pPr>
        <w:pStyle w:val="Normal6"/>
      </w:pPr>
      <w:r>
        <w:t xml:space="preserve">Ured za udruge, kao jedinica za provedbu projekata EU namijenjenih organizacijama civilnoga društva, u prethodnom je razdoblju programirao natječaje za bespovratna sredstva u okviru CARDS i PHARE programa te Instrumenta pretpristupne pomoći – IPA I. komponente - Pomoć u tranziciji i izgradnja institucija. Navedeni natječaji bili su usmjereni jačanju kapaciteta organizacija civilnog društva za pristupanje Hrvatske EU, odnosno pružanju potpore organizacijama civilnoga društva u razvoju, provedbi i praćenju provedbe javnih politika i politika vezanih uz pravnu stečevinu. Tako je do sada potpisano 90 ugovora o dodjeli bespovratnih sredstava, ukupne vrijednosti 13,225 milijuna Eura.  </w:t>
      </w:r>
    </w:p>
    <w:p w:rsidR="00D849AA" w:rsidRDefault="00EE6D95">
      <w:pPr>
        <w:pStyle w:val="Normal6"/>
      </w:pPr>
      <w:r>
        <w:t xml:space="preserve">U proteklom razdoblju iz programa pretpristupne pomoći EU financirano je oko stotinu projekata i programa udruga. Još je uvijek izrazito prisutan problem nedovoljne informiranosti i neodgovarajućih sposobnosti udruga za pripremu i provedbu projekata financiranih iz postojećih pretpristupnih programa i programa Unije koji su udrugama u RH dostupni u pretpristupnom razdoblju, što je znakovito u smislu osposobljenosti udruga za korištenje budućih strukturnih fondova EU. U sljedećem razdoblju planira se nastaviti s aktivnostima informiranja i izobrazbe udruga za učinkovito korištenje fondova EU usmjerenih potpori razvoja civilnog društva. Obzirom na nedavno pristupanje Republike Hrvatske Europskoj uniji, te intenzivan rad na akreditaciji za strukturne fondovi, koji bi u 2014. godini trebali biti dostupni za korištenje, a znatno izdašniji od onih koji su dosad bili na raspolaganju organizacijama civilnoga društva iz RH, očekuje se značajno povećanje broja udruga koje provode projekte financirane iz fondova EU i, slijedom toga povećanje broja zaposlenih na provedbi projekata udruga financiranih iz fondova EU. </w:t>
      </w:r>
    </w:p>
    <w:p w:rsidR="00D849AA" w:rsidRDefault="00EE6D95">
      <w:pPr>
        <w:pStyle w:val="Normal6"/>
      </w:pPr>
      <w:r>
        <w:t xml:space="preserve">Ured za udruge će u narednom razdoblju, uz programiranje i provedbu projekata u okviru Komponente I IPA programa, sudjelovati u provedbi IPA IV. komponente – Razvoj ljudskih potencijala, odnosno Europskog socijalnog fonda, pri čemu će natječaji za bespovratna sredstva biti usmjereni jačanju uloge organizacija civilnog društva za društveno-ekonomski rast i demokratski razvoj.  </w:t>
      </w:r>
    </w:p>
    <w:p w:rsidR="00D849AA" w:rsidRDefault="00EE6D95">
      <w:pPr>
        <w:pStyle w:val="Normal6"/>
      </w:pPr>
      <w:r>
        <w:t xml:space="preserve">Dva natječaja za bespovratna sredstva u okviru IPA I. komponente (za programsko razdoblje 2011.) su u fazi ugovaranja, a još dva će biti raspisana u 2014. godini (2012./2013.). Tri natječaja za bespovratna sredstva u okviru IPA IV. komponente (programsko razdoblje 2012./prva pol. 2013.) su u fazi ugovaranja, a dva natječaja iz Europskog socijalnog fonda (programsko razdoblje druga pol. 2013.) će biti raspisana u 2014. godini. Predviđen EU udio u vrijednostima navedenih natječaja je 13.135.000 eura.   </w:t>
      </w:r>
    </w:p>
    <w:p w:rsidR="00D849AA" w:rsidRDefault="00EE6D95">
      <w:pPr>
        <w:pStyle w:val="Normal6"/>
      </w:pPr>
      <w:r>
        <w:t>U razdoblju od 2014. do 2016. očekuje se najmanje 50 postotno povećanje broja udruga koje provode projekte financirane iz fondova EU te najmanje 50 postotno povećanje broja zaposlenih na provedbi projekata udruga financiranih iz fondova EU.</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rsidRPr="00CC4FF4">
        <w:trPr>
          <w:jc w:val="center"/>
        </w:trPr>
        <w:tc>
          <w:tcPr>
            <w:tcW w:w="2229" w:type="dxa"/>
            <w:shd w:val="clear" w:color="auto" w:fill="B5C0D8"/>
          </w:tcPr>
          <w:p w:rsidR="00D849AA" w:rsidRPr="00CC4FF4" w:rsidRDefault="00EE6D95">
            <w:pPr>
              <w:rPr>
                <w:rFonts w:ascii="Arial" w:hAnsi="Arial" w:cs="Arial"/>
              </w:rPr>
            </w:pPr>
            <w:r w:rsidRPr="00CC4FF4">
              <w:rPr>
                <w:rFonts w:ascii="Arial" w:hAnsi="Arial" w:cs="Arial"/>
              </w:rPr>
              <w:t>Pokazatelj učinka</w:t>
            </w:r>
          </w:p>
        </w:tc>
        <w:tc>
          <w:tcPr>
            <w:tcW w:w="1114" w:type="dxa"/>
            <w:shd w:val="clear" w:color="auto" w:fill="B5C0D8"/>
          </w:tcPr>
          <w:p w:rsidR="00D849AA" w:rsidRPr="00CC4FF4" w:rsidRDefault="00EE6D95">
            <w:pPr>
              <w:pStyle w:val="CellHeader"/>
            </w:pPr>
            <w:r w:rsidRPr="00CC4FF4">
              <w:t>Jedinica</w:t>
            </w:r>
          </w:p>
        </w:tc>
        <w:tc>
          <w:tcPr>
            <w:tcW w:w="1114" w:type="dxa"/>
            <w:shd w:val="clear" w:color="auto" w:fill="B5C0D8"/>
          </w:tcPr>
          <w:p w:rsidR="00D849AA" w:rsidRPr="00CC4FF4" w:rsidRDefault="00EE6D95">
            <w:pPr>
              <w:pStyle w:val="CellHeader"/>
            </w:pPr>
            <w:r w:rsidRPr="00CC4FF4">
              <w:t>Polazna vrijednost</w:t>
            </w:r>
          </w:p>
        </w:tc>
        <w:tc>
          <w:tcPr>
            <w:tcW w:w="1486" w:type="dxa"/>
            <w:shd w:val="clear" w:color="auto" w:fill="B5C0D8"/>
          </w:tcPr>
          <w:p w:rsidR="00D849AA" w:rsidRPr="00CC4FF4" w:rsidRDefault="00EE6D95">
            <w:pPr>
              <w:pStyle w:val="CellHeader"/>
            </w:pPr>
            <w:r w:rsidRPr="00CC4FF4">
              <w:t>Ciljana vrijednost (2014.)</w:t>
            </w:r>
          </w:p>
        </w:tc>
        <w:tc>
          <w:tcPr>
            <w:tcW w:w="1486" w:type="dxa"/>
            <w:shd w:val="clear" w:color="auto" w:fill="B5C0D8"/>
          </w:tcPr>
          <w:p w:rsidR="00D849AA" w:rsidRPr="00CC4FF4" w:rsidRDefault="00EE6D95">
            <w:pPr>
              <w:pStyle w:val="CellHeader"/>
            </w:pPr>
            <w:r w:rsidRPr="00CC4FF4">
              <w:t>Ciljana vrijednost (2015.)</w:t>
            </w:r>
          </w:p>
        </w:tc>
        <w:tc>
          <w:tcPr>
            <w:tcW w:w="1486" w:type="dxa"/>
            <w:shd w:val="clear" w:color="auto" w:fill="B5C0D8"/>
          </w:tcPr>
          <w:p w:rsidR="00D849AA" w:rsidRPr="00CC4FF4" w:rsidRDefault="00EE6D95">
            <w:pPr>
              <w:pStyle w:val="CellHeader"/>
            </w:pPr>
            <w:r w:rsidRPr="00CC4FF4">
              <w:t>Ciljana vrijednost (2016.)</w:t>
            </w:r>
          </w:p>
        </w:tc>
      </w:tr>
      <w:tr w:rsidR="00D849AA" w:rsidRPr="00CC4FF4">
        <w:trPr>
          <w:jc w:val="center"/>
        </w:trPr>
        <w:tc>
          <w:tcPr>
            <w:tcW w:w="2229" w:type="dxa"/>
          </w:tcPr>
          <w:p w:rsidR="00D849AA" w:rsidRPr="00CC4FF4" w:rsidRDefault="00EE6D95">
            <w:pPr>
              <w:pStyle w:val="CellColumn"/>
            </w:pPr>
            <w:r w:rsidRPr="00CC4FF4">
              <w:t xml:space="preserve">Povećanje broja </w:t>
            </w:r>
          </w:p>
          <w:p w:rsidR="00D849AA" w:rsidRPr="00CC4FF4" w:rsidRDefault="00EE6D95">
            <w:pPr>
              <w:pStyle w:val="CellColumn"/>
            </w:pPr>
            <w:r w:rsidRPr="00CC4FF4">
              <w:t xml:space="preserve">udruga uključenih u korištenje sredstava EU za potporu razvoju </w:t>
            </w:r>
          </w:p>
          <w:p w:rsidR="00D849AA" w:rsidRPr="00CC4FF4" w:rsidRDefault="00EE6D95">
            <w:pPr>
              <w:pStyle w:val="CellColumn"/>
            </w:pPr>
            <w:r w:rsidRPr="00CC4FF4">
              <w:t>civilnog društva</w:t>
            </w:r>
          </w:p>
        </w:tc>
        <w:tc>
          <w:tcPr>
            <w:tcW w:w="1114" w:type="dxa"/>
          </w:tcPr>
          <w:p w:rsidR="00D849AA" w:rsidRPr="00CC4FF4" w:rsidRDefault="00EE6D95">
            <w:pPr>
              <w:rPr>
                <w:rFonts w:ascii="Arial" w:hAnsi="Arial" w:cs="Arial"/>
              </w:rPr>
            </w:pPr>
            <w:r w:rsidRPr="00CC4FF4">
              <w:rPr>
                <w:rFonts w:ascii="Arial" w:hAnsi="Arial" w:cs="Arial"/>
              </w:rPr>
              <w:t>broj</w:t>
            </w:r>
          </w:p>
        </w:tc>
        <w:tc>
          <w:tcPr>
            <w:tcW w:w="1114" w:type="dxa"/>
          </w:tcPr>
          <w:p w:rsidR="00D849AA" w:rsidRPr="00CC4FF4" w:rsidRDefault="00EE6D95">
            <w:pPr>
              <w:rPr>
                <w:rFonts w:ascii="Arial" w:hAnsi="Arial" w:cs="Arial"/>
              </w:rPr>
            </w:pPr>
            <w:r w:rsidRPr="00CC4FF4">
              <w:rPr>
                <w:rFonts w:ascii="Arial" w:hAnsi="Arial" w:cs="Arial"/>
              </w:rPr>
              <w:t>200</w:t>
            </w:r>
          </w:p>
        </w:tc>
        <w:tc>
          <w:tcPr>
            <w:tcW w:w="1486" w:type="dxa"/>
          </w:tcPr>
          <w:p w:rsidR="00D849AA" w:rsidRPr="00CC4FF4" w:rsidRDefault="00EE6D95">
            <w:pPr>
              <w:rPr>
                <w:rFonts w:ascii="Arial" w:hAnsi="Arial" w:cs="Arial"/>
              </w:rPr>
            </w:pPr>
            <w:r w:rsidRPr="00CC4FF4">
              <w:rPr>
                <w:rFonts w:ascii="Arial" w:hAnsi="Arial" w:cs="Arial"/>
              </w:rPr>
              <w:t>230</w:t>
            </w:r>
          </w:p>
        </w:tc>
        <w:tc>
          <w:tcPr>
            <w:tcW w:w="1486" w:type="dxa"/>
          </w:tcPr>
          <w:p w:rsidR="00D849AA" w:rsidRPr="00CC4FF4" w:rsidRDefault="00EE6D95">
            <w:pPr>
              <w:rPr>
                <w:rFonts w:ascii="Arial" w:hAnsi="Arial" w:cs="Arial"/>
              </w:rPr>
            </w:pPr>
            <w:r w:rsidRPr="00CC4FF4">
              <w:rPr>
                <w:rFonts w:ascii="Arial" w:hAnsi="Arial" w:cs="Arial"/>
              </w:rPr>
              <w:t>260</w:t>
            </w:r>
          </w:p>
        </w:tc>
        <w:tc>
          <w:tcPr>
            <w:tcW w:w="1486" w:type="dxa"/>
          </w:tcPr>
          <w:p w:rsidR="00D849AA" w:rsidRPr="00CC4FF4" w:rsidRDefault="00EE6D95">
            <w:pPr>
              <w:rPr>
                <w:rFonts w:ascii="Arial" w:hAnsi="Arial" w:cs="Arial"/>
              </w:rPr>
            </w:pPr>
            <w:r w:rsidRPr="00CC4FF4">
              <w:rPr>
                <w:rFonts w:ascii="Arial" w:hAnsi="Arial" w:cs="Arial"/>
              </w:rPr>
              <w:t>300</w:t>
            </w:r>
          </w:p>
        </w:tc>
      </w:tr>
    </w:tbl>
    <w:p w:rsidR="00D849AA" w:rsidRDefault="00D849AA">
      <w:pPr>
        <w:jc w:val="left"/>
      </w:pPr>
    </w:p>
    <w:p w:rsidR="00D849AA" w:rsidRDefault="00EE6D95">
      <w:pPr>
        <w:pStyle w:val="Naslov5"/>
      </w:pPr>
      <w:r>
        <w:t>Procjena i ishodište potrebnih sredstava za značajnije aktivnosti/projekte</w:t>
      </w:r>
    </w:p>
    <w:p w:rsidR="00D849AA" w:rsidRDefault="00EE6D95">
      <w:pPr>
        <w:pStyle w:val="Naslov6"/>
      </w:pPr>
      <w:r>
        <w:t>A509000 ADMINISTRACIJA I UPRAVLJANJE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CC4FF4" w:rsidRDefault="00EE6D95">
            <w:pPr>
              <w:pStyle w:val="CellHeader"/>
            </w:pPr>
            <w:r w:rsidRPr="00CC4FF4">
              <w:t>Naziv aktivnosti</w:t>
            </w:r>
          </w:p>
        </w:tc>
        <w:tc>
          <w:tcPr>
            <w:tcW w:w="1486" w:type="dxa"/>
            <w:shd w:val="clear" w:color="auto" w:fill="B5C0D8"/>
          </w:tcPr>
          <w:p w:rsidR="00D849AA" w:rsidRPr="00CC4FF4" w:rsidRDefault="00EE6D95">
            <w:pPr>
              <w:pStyle w:val="CellHeader"/>
            </w:pPr>
            <w:r w:rsidRPr="00CC4FF4">
              <w:t>Plan 2013.</w:t>
            </w:r>
          </w:p>
        </w:tc>
        <w:tc>
          <w:tcPr>
            <w:tcW w:w="1486" w:type="dxa"/>
            <w:shd w:val="clear" w:color="auto" w:fill="B5C0D8"/>
          </w:tcPr>
          <w:p w:rsidR="00D849AA" w:rsidRPr="00CC4FF4" w:rsidRDefault="00EE6D95">
            <w:pPr>
              <w:pStyle w:val="CellHeader"/>
            </w:pPr>
            <w:r w:rsidRPr="00CC4FF4">
              <w:t>Plan 2014.</w:t>
            </w:r>
          </w:p>
        </w:tc>
        <w:tc>
          <w:tcPr>
            <w:tcW w:w="1486" w:type="dxa"/>
            <w:shd w:val="clear" w:color="auto" w:fill="B5C0D8"/>
          </w:tcPr>
          <w:p w:rsidR="00D849AA" w:rsidRPr="00CC4FF4" w:rsidRDefault="00EE6D95">
            <w:pPr>
              <w:pStyle w:val="CellHeader"/>
            </w:pPr>
            <w:r w:rsidRPr="00CC4FF4">
              <w:t>Plan 2015.</w:t>
            </w:r>
          </w:p>
        </w:tc>
        <w:tc>
          <w:tcPr>
            <w:tcW w:w="1486" w:type="dxa"/>
            <w:shd w:val="clear" w:color="auto" w:fill="B5C0D8"/>
          </w:tcPr>
          <w:p w:rsidR="00D849AA" w:rsidRPr="00CC4FF4" w:rsidRDefault="00EE6D95">
            <w:pPr>
              <w:pStyle w:val="CellHeader"/>
            </w:pPr>
            <w:r w:rsidRPr="00CC4FF4">
              <w:t>Plan 2016.</w:t>
            </w:r>
          </w:p>
        </w:tc>
        <w:tc>
          <w:tcPr>
            <w:tcW w:w="1486" w:type="dxa"/>
            <w:shd w:val="clear" w:color="auto" w:fill="B5C0D8"/>
          </w:tcPr>
          <w:p w:rsidR="00D849AA" w:rsidRPr="00CC4FF4" w:rsidRDefault="00EE6D95">
            <w:pPr>
              <w:pStyle w:val="CellHeader"/>
            </w:pPr>
            <w:r w:rsidRPr="00CC4FF4">
              <w:t>Indeks 2014/2013</w:t>
            </w:r>
          </w:p>
        </w:tc>
      </w:tr>
      <w:tr w:rsidR="00D849AA">
        <w:trPr>
          <w:jc w:val="center"/>
        </w:trPr>
        <w:tc>
          <w:tcPr>
            <w:tcW w:w="1486" w:type="dxa"/>
          </w:tcPr>
          <w:p w:rsidR="00D849AA" w:rsidRPr="00CC4FF4" w:rsidRDefault="00EE6D95">
            <w:pPr>
              <w:pStyle w:val="CellColumn"/>
            </w:pPr>
            <w:r w:rsidRPr="00CC4FF4">
              <w:t>A509000</w:t>
            </w:r>
          </w:p>
        </w:tc>
        <w:tc>
          <w:tcPr>
            <w:tcW w:w="1486" w:type="dxa"/>
          </w:tcPr>
          <w:p w:rsidR="00D849AA" w:rsidRPr="00CC4FF4" w:rsidRDefault="00EE6D95">
            <w:pPr>
              <w:rPr>
                <w:rFonts w:ascii="Arial" w:hAnsi="Arial" w:cs="Arial"/>
              </w:rPr>
            </w:pPr>
            <w:r w:rsidRPr="00CC4FF4">
              <w:rPr>
                <w:rFonts w:ascii="Arial" w:hAnsi="Arial" w:cs="Arial"/>
              </w:rPr>
              <w:t>4.813.500</w:t>
            </w:r>
          </w:p>
        </w:tc>
        <w:tc>
          <w:tcPr>
            <w:tcW w:w="1486" w:type="dxa"/>
          </w:tcPr>
          <w:p w:rsidR="00D849AA" w:rsidRPr="00CC4FF4" w:rsidRDefault="00EE6D95">
            <w:pPr>
              <w:rPr>
                <w:rFonts w:ascii="Arial" w:hAnsi="Arial" w:cs="Arial"/>
              </w:rPr>
            </w:pPr>
            <w:r w:rsidRPr="00CC4FF4">
              <w:rPr>
                <w:rFonts w:ascii="Arial" w:hAnsi="Arial" w:cs="Arial"/>
              </w:rPr>
              <w:t>4.874.000</w:t>
            </w:r>
          </w:p>
        </w:tc>
        <w:tc>
          <w:tcPr>
            <w:tcW w:w="1486" w:type="dxa"/>
          </w:tcPr>
          <w:p w:rsidR="00D849AA" w:rsidRPr="00CC4FF4" w:rsidRDefault="00EE6D95">
            <w:pPr>
              <w:rPr>
                <w:rFonts w:ascii="Arial" w:hAnsi="Arial" w:cs="Arial"/>
              </w:rPr>
            </w:pPr>
            <w:r w:rsidRPr="00CC4FF4">
              <w:rPr>
                <w:rFonts w:ascii="Arial" w:hAnsi="Arial" w:cs="Arial"/>
              </w:rPr>
              <w:t>5.039.740</w:t>
            </w:r>
          </w:p>
        </w:tc>
        <w:tc>
          <w:tcPr>
            <w:tcW w:w="1486" w:type="dxa"/>
          </w:tcPr>
          <w:p w:rsidR="00D849AA" w:rsidRPr="00CC4FF4" w:rsidRDefault="00EE6D95">
            <w:pPr>
              <w:rPr>
                <w:rFonts w:ascii="Arial" w:hAnsi="Arial" w:cs="Arial"/>
              </w:rPr>
            </w:pPr>
            <w:r w:rsidRPr="00CC4FF4">
              <w:rPr>
                <w:rFonts w:ascii="Arial" w:hAnsi="Arial" w:cs="Arial"/>
              </w:rPr>
              <w:t>5.057.740</w:t>
            </w:r>
          </w:p>
        </w:tc>
        <w:tc>
          <w:tcPr>
            <w:tcW w:w="1486" w:type="dxa"/>
          </w:tcPr>
          <w:p w:rsidR="00D849AA" w:rsidRPr="00CC4FF4" w:rsidRDefault="00EE6D95">
            <w:pPr>
              <w:rPr>
                <w:rFonts w:ascii="Arial" w:hAnsi="Arial" w:cs="Arial"/>
              </w:rPr>
            </w:pPr>
            <w:r w:rsidRPr="00CC4FF4">
              <w:rPr>
                <w:rFonts w:ascii="Arial" w:hAnsi="Arial" w:cs="Arial"/>
              </w:rPr>
              <w:t>101,2</w:t>
            </w:r>
          </w:p>
        </w:tc>
      </w:tr>
    </w:tbl>
    <w:p w:rsidR="00D849AA" w:rsidRDefault="00D849AA">
      <w:pPr>
        <w:jc w:val="left"/>
      </w:pPr>
    </w:p>
    <w:p w:rsidR="00D849AA" w:rsidRDefault="00EE6D95">
      <w:pPr>
        <w:pStyle w:val="Normal6"/>
      </w:pPr>
      <w:r>
        <w:t>Planirana sredstva iz Državnog proračuna</w:t>
      </w:r>
      <w:r w:rsidR="00CC4FF4">
        <w:t xml:space="preserve"> za 2014.-2016. na aktivnosti A</w:t>
      </w:r>
      <w:r>
        <w:t xml:space="preserve">509000 Administracija i upravljanje usklađena su sa zahtjevima Nacionalne strategije stvaranja poticajnog okruženja za razvoj civilnog društva od 2012. do 2016. i učinkovite provedbe EU projekata u nadležnosti Ureda, kao sastavnici akreditirane strukture za korištenje EU fondova. Sukladno analizama radne opterećenosti djelatnika Ureda za udruge, usuglašenima sa službama Europske komisije, Ured je povećao broj zaposlenih sa postojećih 14 na 19 osoba u 2013. godini, te planira zaposliti 4 dodatne osobe u 2014. godini, sukladno postojećoj Sistematizaciji radnih mjesta i potrebama posla. </w:t>
      </w:r>
    </w:p>
    <w:p w:rsidR="00D849AA" w:rsidRDefault="00EE6D95">
      <w:pPr>
        <w:pStyle w:val="Normal6"/>
      </w:pPr>
      <w:r>
        <w:t xml:space="preserve">Učinkovitija i odgovornija dodjela financijskih potpora za projekte i programe udruga podrazumijeva postojanje dovoljnog broja službenika na svim razinama, dobro upućenih u sve faze postupka dodjele, praćenja i vrednovanja financijskih potpora. Službenici koji rade na poslovima dodjele financijskih potpora projektima i programima udruga nemaju dovoljno kapaciteta za odgovarajuće praćenje provedbe projekata, a imajući u vidu visoka izdvajanja iz javnih izvora za financiranje udruga, nužno je dodatno povećati broj educiranih službenika na svim razinama u sljedećem trogodišnjem razdoblju. Također, intenzivno se radi na ujednačavanju postupaka dodjele bespovratnih sredstava iz nacionalnih javnih izvora i fondova Europske unije, prvenstveno putem izrade Zakona o udrugama i Uredbe o računovodstvu neprofitnih organizacija koje će uskoro stupiti na snagu.  </w:t>
      </w:r>
    </w:p>
    <w:p w:rsidR="00D849AA" w:rsidRDefault="00EE6D95">
      <w:pPr>
        <w:pStyle w:val="Normal6"/>
      </w:pPr>
      <w:r>
        <w:t xml:space="preserve">Broj obrazovanih službenika na svim razinama o standardima dodjele, praćenja i vrednovanja financijskih potpora za projekte i programe udruga iz javnih izvora povećat će se do 2016. sa sadašnjih 130 na najmanje 280 na nacionalnoj i lokalnim razinama. </w:t>
      </w:r>
    </w:p>
    <w:p w:rsidR="00D849AA" w:rsidRDefault="00EE6D95">
      <w:pPr>
        <w:pStyle w:val="Normal6"/>
      </w:pPr>
      <w:r>
        <w:t xml:space="preserve">Nakon što je početkom 2012. uspostavljen jedinstven informacijski sustav (Potpora_plus) koji treba omogućiti bolju razmjenu podataka i koordinaciju državnih tijela koja financiraju projekte i programe udruga iz državnog proračuna i drugih javnih izvora, očekuje se smanjenje prostora za brojna preklapanja i neusklađenosti u postupanju preko dvadeset državnih tijela i javnih institucija na nacionalnoj razini koja dodjeljuju financijske potpore iz državnog proračuna (putem prosječno 70 natječaja godišnje). Očekuje se također da će primjena jedinstvenog informacijskog sustava omogućiti i kvalitetnu evaluaciju / vrednovanje rezultata oko 6000 projekata udruga i drugih organizacija civilnoga društva, koliko ih se prosječno financira godišnje iz javnih izvora na nacionalnoj razini.  </w:t>
      </w:r>
    </w:p>
    <w:p w:rsidR="00D849AA" w:rsidRDefault="00EE6D95">
      <w:pPr>
        <w:pStyle w:val="Normal6"/>
      </w:pPr>
      <w:r>
        <w:t xml:space="preserve">Očekuje se da će uspostava potpune informatizacije sustava financiranja projekata i programa udruga iz državnog proračuna u svakom državnom tijelu koje financira projekte i programe udruga iz državnog proračuna imati direktnog utjecaja na djelotvorno financiranje projekata i programa i njihovo usklađivanje sa zahtjevima nacionalnog sufinanciranja projekata koji će se podupirati iz strukturnih fondova EU, u sljedećem trogodišnjem razdoblju. </w:t>
      </w:r>
    </w:p>
    <w:p w:rsidR="00D849AA" w:rsidRDefault="00EE6D95">
      <w:pPr>
        <w:pStyle w:val="Normal6"/>
      </w:pPr>
      <w:r>
        <w:t xml:space="preserve">Sa dosadašnjih četiri, do 2016. će se uvesti potpuna informatizacija postupaka dodjele bespovratnih financijskih sredstava za svih 23 davatelja na nacionalnoj razini, kao podloga </w:t>
      </w:r>
      <w:r>
        <w:lastRenderedPageBreak/>
        <w:t xml:space="preserve">za djelotvornu koordinaciju postupaka financiranja među svim davateljima bespovratnih financijskih sredstava udrugama u Hrvatskoj iz svih domaćih i inozemnih izvora, uključujući i fondove Europske unije. </w:t>
      </w:r>
    </w:p>
    <w:p w:rsidR="00D849AA" w:rsidRDefault="00EE6D95">
      <w:pPr>
        <w:pStyle w:val="Normal6"/>
      </w:pPr>
      <w:r>
        <w:t>Isto tako, očekuje se da će u slijedećem trogodišnjem razdoblju i veći broj jedinica lokalne i područne samouprave (županije i gradovi) početi koristiti informacijski sustav Potpora_plus za dodjelu financijskih potpora udrugama na lokalnim razinama.</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CC4FF4" w:rsidRDefault="00EE6D95">
            <w:pPr>
              <w:rPr>
                <w:rFonts w:ascii="Arial" w:hAnsi="Arial" w:cs="Arial"/>
              </w:rPr>
            </w:pPr>
            <w:r w:rsidRPr="00CC4FF4">
              <w:rPr>
                <w:rFonts w:ascii="Arial" w:hAnsi="Arial" w:cs="Arial"/>
              </w:rPr>
              <w:t>Pokazatelj rezultata</w:t>
            </w:r>
          </w:p>
        </w:tc>
        <w:tc>
          <w:tcPr>
            <w:tcW w:w="1114" w:type="dxa"/>
            <w:shd w:val="clear" w:color="auto" w:fill="B5C0D8"/>
          </w:tcPr>
          <w:p w:rsidR="00D849AA" w:rsidRPr="00CC4FF4" w:rsidRDefault="00EE6D95">
            <w:pPr>
              <w:pStyle w:val="CellHeader"/>
            </w:pPr>
            <w:r w:rsidRPr="00CC4FF4">
              <w:t>Jedinica</w:t>
            </w:r>
          </w:p>
        </w:tc>
        <w:tc>
          <w:tcPr>
            <w:tcW w:w="1114" w:type="dxa"/>
            <w:shd w:val="clear" w:color="auto" w:fill="B5C0D8"/>
          </w:tcPr>
          <w:p w:rsidR="00D849AA" w:rsidRPr="00CC4FF4" w:rsidRDefault="00EE6D95">
            <w:pPr>
              <w:pStyle w:val="CellHeader"/>
            </w:pPr>
            <w:r w:rsidRPr="00CC4FF4">
              <w:t>Polazna vrijednost</w:t>
            </w:r>
          </w:p>
        </w:tc>
        <w:tc>
          <w:tcPr>
            <w:tcW w:w="1486" w:type="dxa"/>
            <w:shd w:val="clear" w:color="auto" w:fill="B5C0D8"/>
          </w:tcPr>
          <w:p w:rsidR="00D849AA" w:rsidRPr="00CC4FF4" w:rsidRDefault="00EE6D95">
            <w:pPr>
              <w:pStyle w:val="CellHeader"/>
            </w:pPr>
            <w:r w:rsidRPr="00CC4FF4">
              <w:t>Ciljana vrijednost (2014.)</w:t>
            </w:r>
          </w:p>
        </w:tc>
        <w:tc>
          <w:tcPr>
            <w:tcW w:w="1486" w:type="dxa"/>
            <w:shd w:val="clear" w:color="auto" w:fill="B5C0D8"/>
          </w:tcPr>
          <w:p w:rsidR="00D849AA" w:rsidRPr="00CC4FF4" w:rsidRDefault="00EE6D95">
            <w:pPr>
              <w:pStyle w:val="CellHeader"/>
            </w:pPr>
            <w:r w:rsidRPr="00CC4FF4">
              <w:t>Ciljana vrijednost (2015.)</w:t>
            </w:r>
          </w:p>
        </w:tc>
        <w:tc>
          <w:tcPr>
            <w:tcW w:w="1486" w:type="dxa"/>
            <w:shd w:val="clear" w:color="auto" w:fill="B5C0D8"/>
          </w:tcPr>
          <w:p w:rsidR="00D849AA" w:rsidRPr="00CC4FF4" w:rsidRDefault="00EE6D95">
            <w:pPr>
              <w:pStyle w:val="CellHeader"/>
            </w:pPr>
            <w:r w:rsidRPr="00CC4FF4">
              <w:t>Ciljana vrijednost (2016.)</w:t>
            </w:r>
          </w:p>
        </w:tc>
      </w:tr>
      <w:tr w:rsidR="00D849AA">
        <w:trPr>
          <w:jc w:val="center"/>
        </w:trPr>
        <w:tc>
          <w:tcPr>
            <w:tcW w:w="2229" w:type="dxa"/>
          </w:tcPr>
          <w:p w:rsidR="00D849AA" w:rsidRPr="00CC4FF4" w:rsidRDefault="00EE6D95">
            <w:pPr>
              <w:pStyle w:val="CellColumn"/>
            </w:pPr>
            <w:r w:rsidRPr="00CC4FF4">
              <w:t>Povećanje ukupnog broja djelatnika Ureda radi smanjenja radne opterećenosti djelatnika uključenih u provedbu projekata EU</w:t>
            </w:r>
          </w:p>
        </w:tc>
        <w:tc>
          <w:tcPr>
            <w:tcW w:w="1114" w:type="dxa"/>
          </w:tcPr>
          <w:p w:rsidR="00D849AA" w:rsidRPr="00CC4FF4" w:rsidRDefault="00EE6D95">
            <w:pPr>
              <w:rPr>
                <w:rFonts w:ascii="Arial" w:hAnsi="Arial" w:cs="Arial"/>
              </w:rPr>
            </w:pPr>
            <w:r w:rsidRPr="00CC4FF4">
              <w:rPr>
                <w:rFonts w:ascii="Arial" w:hAnsi="Arial" w:cs="Arial"/>
              </w:rPr>
              <w:t>broj</w:t>
            </w:r>
          </w:p>
        </w:tc>
        <w:tc>
          <w:tcPr>
            <w:tcW w:w="1114" w:type="dxa"/>
          </w:tcPr>
          <w:p w:rsidR="00D849AA" w:rsidRPr="00CC4FF4" w:rsidRDefault="00EE6D95">
            <w:pPr>
              <w:rPr>
                <w:rFonts w:ascii="Arial" w:hAnsi="Arial" w:cs="Arial"/>
              </w:rPr>
            </w:pPr>
            <w:r w:rsidRPr="00CC4FF4">
              <w:rPr>
                <w:rFonts w:ascii="Arial" w:hAnsi="Arial" w:cs="Arial"/>
              </w:rPr>
              <w:t>19</w:t>
            </w:r>
          </w:p>
        </w:tc>
        <w:tc>
          <w:tcPr>
            <w:tcW w:w="1486" w:type="dxa"/>
          </w:tcPr>
          <w:p w:rsidR="00D849AA" w:rsidRPr="00CC4FF4" w:rsidRDefault="00EE6D95">
            <w:pPr>
              <w:rPr>
                <w:rFonts w:ascii="Arial" w:hAnsi="Arial" w:cs="Arial"/>
              </w:rPr>
            </w:pPr>
            <w:r w:rsidRPr="00CC4FF4">
              <w:rPr>
                <w:rFonts w:ascii="Arial" w:hAnsi="Arial" w:cs="Arial"/>
              </w:rPr>
              <w:t>23</w:t>
            </w:r>
          </w:p>
        </w:tc>
        <w:tc>
          <w:tcPr>
            <w:tcW w:w="1486" w:type="dxa"/>
          </w:tcPr>
          <w:p w:rsidR="00D849AA" w:rsidRPr="00CC4FF4" w:rsidRDefault="00EE6D95">
            <w:pPr>
              <w:rPr>
                <w:rFonts w:ascii="Arial" w:hAnsi="Arial" w:cs="Arial"/>
              </w:rPr>
            </w:pPr>
            <w:r w:rsidRPr="00CC4FF4">
              <w:rPr>
                <w:rFonts w:ascii="Arial" w:hAnsi="Arial" w:cs="Arial"/>
              </w:rPr>
              <w:t>23</w:t>
            </w:r>
          </w:p>
        </w:tc>
        <w:tc>
          <w:tcPr>
            <w:tcW w:w="1486" w:type="dxa"/>
          </w:tcPr>
          <w:p w:rsidR="00D849AA" w:rsidRPr="00CC4FF4" w:rsidRDefault="00EE6D95">
            <w:pPr>
              <w:rPr>
                <w:rFonts w:ascii="Arial" w:hAnsi="Arial" w:cs="Arial"/>
              </w:rPr>
            </w:pPr>
            <w:r w:rsidRPr="00CC4FF4">
              <w:rPr>
                <w:rFonts w:ascii="Arial" w:hAnsi="Arial" w:cs="Arial"/>
              </w:rPr>
              <w:t>23</w:t>
            </w:r>
          </w:p>
        </w:tc>
      </w:tr>
      <w:tr w:rsidR="00D849AA">
        <w:trPr>
          <w:jc w:val="center"/>
        </w:trPr>
        <w:tc>
          <w:tcPr>
            <w:tcW w:w="2229" w:type="dxa"/>
          </w:tcPr>
          <w:p w:rsidR="00D849AA" w:rsidRPr="00CC4FF4" w:rsidRDefault="00EE6D95">
            <w:pPr>
              <w:pStyle w:val="CellColumn"/>
            </w:pPr>
            <w:r w:rsidRPr="00CC4FF4">
              <w:t>Povećan broj educiranih službenika o standardima financiranja udruge iz javnih izvora</w:t>
            </w:r>
          </w:p>
        </w:tc>
        <w:tc>
          <w:tcPr>
            <w:tcW w:w="1114" w:type="dxa"/>
          </w:tcPr>
          <w:p w:rsidR="00D849AA" w:rsidRPr="00CC4FF4" w:rsidRDefault="00EE6D95">
            <w:pPr>
              <w:rPr>
                <w:rFonts w:ascii="Arial" w:hAnsi="Arial" w:cs="Arial"/>
              </w:rPr>
            </w:pPr>
            <w:r w:rsidRPr="00CC4FF4">
              <w:rPr>
                <w:rFonts w:ascii="Arial" w:hAnsi="Arial" w:cs="Arial"/>
              </w:rPr>
              <w:t>broj</w:t>
            </w:r>
          </w:p>
        </w:tc>
        <w:tc>
          <w:tcPr>
            <w:tcW w:w="1114" w:type="dxa"/>
          </w:tcPr>
          <w:p w:rsidR="00D849AA" w:rsidRPr="00CC4FF4" w:rsidRDefault="00EE6D95">
            <w:pPr>
              <w:rPr>
                <w:rFonts w:ascii="Arial" w:hAnsi="Arial" w:cs="Arial"/>
              </w:rPr>
            </w:pPr>
            <w:r w:rsidRPr="00CC4FF4">
              <w:rPr>
                <w:rFonts w:ascii="Arial" w:hAnsi="Arial" w:cs="Arial"/>
              </w:rPr>
              <w:t>130</w:t>
            </w:r>
          </w:p>
        </w:tc>
        <w:tc>
          <w:tcPr>
            <w:tcW w:w="1486" w:type="dxa"/>
          </w:tcPr>
          <w:p w:rsidR="00D849AA" w:rsidRPr="00CC4FF4" w:rsidRDefault="00EE6D95">
            <w:pPr>
              <w:rPr>
                <w:rFonts w:ascii="Arial" w:hAnsi="Arial" w:cs="Arial"/>
              </w:rPr>
            </w:pPr>
            <w:r w:rsidRPr="00CC4FF4">
              <w:rPr>
                <w:rFonts w:ascii="Arial" w:hAnsi="Arial" w:cs="Arial"/>
              </w:rPr>
              <w:t>180</w:t>
            </w:r>
          </w:p>
        </w:tc>
        <w:tc>
          <w:tcPr>
            <w:tcW w:w="1486" w:type="dxa"/>
          </w:tcPr>
          <w:p w:rsidR="00D849AA" w:rsidRPr="00CC4FF4" w:rsidRDefault="00EE6D95">
            <w:pPr>
              <w:rPr>
                <w:rFonts w:ascii="Arial" w:hAnsi="Arial" w:cs="Arial"/>
              </w:rPr>
            </w:pPr>
            <w:r w:rsidRPr="00CC4FF4">
              <w:rPr>
                <w:rFonts w:ascii="Arial" w:hAnsi="Arial" w:cs="Arial"/>
              </w:rPr>
              <w:t>230</w:t>
            </w:r>
          </w:p>
        </w:tc>
        <w:tc>
          <w:tcPr>
            <w:tcW w:w="1486" w:type="dxa"/>
          </w:tcPr>
          <w:p w:rsidR="00D849AA" w:rsidRPr="00CC4FF4" w:rsidRDefault="00EE6D95">
            <w:pPr>
              <w:rPr>
                <w:rFonts w:ascii="Arial" w:hAnsi="Arial" w:cs="Arial"/>
              </w:rPr>
            </w:pPr>
            <w:r w:rsidRPr="00CC4FF4">
              <w:rPr>
                <w:rFonts w:ascii="Arial" w:hAnsi="Arial" w:cs="Arial"/>
              </w:rPr>
              <w:t>280</w:t>
            </w:r>
          </w:p>
        </w:tc>
      </w:tr>
      <w:tr w:rsidR="00D849AA">
        <w:trPr>
          <w:jc w:val="center"/>
        </w:trPr>
        <w:tc>
          <w:tcPr>
            <w:tcW w:w="2229" w:type="dxa"/>
          </w:tcPr>
          <w:p w:rsidR="00D849AA" w:rsidRPr="00CC4FF4" w:rsidRDefault="00EE6D95">
            <w:pPr>
              <w:pStyle w:val="CellColumn"/>
            </w:pPr>
            <w:r w:rsidRPr="00CC4FF4">
              <w:t>Povećan broj državnih tijela koja koriste zajednički informatički sustav dodjele financijskih potpora</w:t>
            </w:r>
          </w:p>
        </w:tc>
        <w:tc>
          <w:tcPr>
            <w:tcW w:w="1114" w:type="dxa"/>
          </w:tcPr>
          <w:p w:rsidR="00D849AA" w:rsidRPr="00CC4FF4" w:rsidRDefault="00EE6D95">
            <w:pPr>
              <w:rPr>
                <w:rFonts w:ascii="Arial" w:hAnsi="Arial" w:cs="Arial"/>
              </w:rPr>
            </w:pPr>
            <w:r w:rsidRPr="00CC4FF4">
              <w:rPr>
                <w:rFonts w:ascii="Arial" w:hAnsi="Arial" w:cs="Arial"/>
              </w:rPr>
              <w:t>broj</w:t>
            </w:r>
          </w:p>
        </w:tc>
        <w:tc>
          <w:tcPr>
            <w:tcW w:w="1114" w:type="dxa"/>
          </w:tcPr>
          <w:p w:rsidR="00D849AA" w:rsidRPr="00CC4FF4" w:rsidRDefault="00EE6D95">
            <w:pPr>
              <w:rPr>
                <w:rFonts w:ascii="Arial" w:hAnsi="Arial" w:cs="Arial"/>
              </w:rPr>
            </w:pPr>
            <w:r w:rsidRPr="00CC4FF4">
              <w:rPr>
                <w:rFonts w:ascii="Arial" w:hAnsi="Arial" w:cs="Arial"/>
              </w:rPr>
              <w:t>16</w:t>
            </w:r>
          </w:p>
        </w:tc>
        <w:tc>
          <w:tcPr>
            <w:tcW w:w="1486" w:type="dxa"/>
          </w:tcPr>
          <w:p w:rsidR="00D849AA" w:rsidRPr="00CC4FF4" w:rsidRDefault="00EE6D95">
            <w:pPr>
              <w:rPr>
                <w:rFonts w:ascii="Arial" w:hAnsi="Arial" w:cs="Arial"/>
              </w:rPr>
            </w:pPr>
            <w:r w:rsidRPr="00CC4FF4">
              <w:rPr>
                <w:rFonts w:ascii="Arial" w:hAnsi="Arial" w:cs="Arial"/>
              </w:rPr>
              <w:t>20</w:t>
            </w:r>
          </w:p>
        </w:tc>
        <w:tc>
          <w:tcPr>
            <w:tcW w:w="1486" w:type="dxa"/>
          </w:tcPr>
          <w:p w:rsidR="00D849AA" w:rsidRPr="00CC4FF4" w:rsidRDefault="00EE6D95">
            <w:pPr>
              <w:rPr>
                <w:rFonts w:ascii="Arial" w:hAnsi="Arial" w:cs="Arial"/>
              </w:rPr>
            </w:pPr>
            <w:r w:rsidRPr="00CC4FF4">
              <w:rPr>
                <w:rFonts w:ascii="Arial" w:hAnsi="Arial" w:cs="Arial"/>
              </w:rPr>
              <w:t>23</w:t>
            </w:r>
          </w:p>
        </w:tc>
        <w:tc>
          <w:tcPr>
            <w:tcW w:w="1486" w:type="dxa"/>
          </w:tcPr>
          <w:p w:rsidR="00D849AA" w:rsidRPr="00CC4FF4" w:rsidRDefault="00EE6D95">
            <w:pPr>
              <w:rPr>
                <w:rFonts w:ascii="Arial" w:hAnsi="Arial" w:cs="Arial"/>
              </w:rPr>
            </w:pPr>
            <w:r w:rsidRPr="00CC4FF4">
              <w:rPr>
                <w:rFonts w:ascii="Arial" w:hAnsi="Arial" w:cs="Arial"/>
              </w:rPr>
              <w:t>23</w:t>
            </w:r>
          </w:p>
        </w:tc>
      </w:tr>
    </w:tbl>
    <w:p w:rsidR="00D849AA" w:rsidRDefault="00D849AA">
      <w:pPr>
        <w:jc w:val="left"/>
      </w:pPr>
    </w:p>
    <w:p w:rsidR="00D849AA" w:rsidRDefault="00EE6D95">
      <w:pPr>
        <w:pStyle w:val="Naslov6"/>
      </w:pPr>
      <w:r>
        <w:t>A509014 NACIONALNA ZAKLADA ZA RAZVOJ CIVILNOG DRUŠTVA - UDRUGE ZA RAZVOJ ZAJEDNICE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CC4FF4" w:rsidRDefault="00EE6D95">
            <w:pPr>
              <w:pStyle w:val="CellHeader"/>
            </w:pPr>
            <w:r w:rsidRPr="00CC4FF4">
              <w:t>Naziv aktivnosti</w:t>
            </w:r>
          </w:p>
        </w:tc>
        <w:tc>
          <w:tcPr>
            <w:tcW w:w="1486" w:type="dxa"/>
            <w:shd w:val="clear" w:color="auto" w:fill="B5C0D8"/>
          </w:tcPr>
          <w:p w:rsidR="00D849AA" w:rsidRPr="00CC4FF4" w:rsidRDefault="00EE6D95">
            <w:pPr>
              <w:pStyle w:val="CellHeader"/>
            </w:pPr>
            <w:r w:rsidRPr="00CC4FF4">
              <w:t>Plan 2013.</w:t>
            </w:r>
          </w:p>
        </w:tc>
        <w:tc>
          <w:tcPr>
            <w:tcW w:w="1486" w:type="dxa"/>
            <w:shd w:val="clear" w:color="auto" w:fill="B5C0D8"/>
          </w:tcPr>
          <w:p w:rsidR="00D849AA" w:rsidRPr="00CC4FF4" w:rsidRDefault="00EE6D95">
            <w:pPr>
              <w:pStyle w:val="CellHeader"/>
            </w:pPr>
            <w:r w:rsidRPr="00CC4FF4">
              <w:t>Plan 2014.</w:t>
            </w:r>
          </w:p>
        </w:tc>
        <w:tc>
          <w:tcPr>
            <w:tcW w:w="1486" w:type="dxa"/>
            <w:shd w:val="clear" w:color="auto" w:fill="B5C0D8"/>
          </w:tcPr>
          <w:p w:rsidR="00D849AA" w:rsidRPr="00CC4FF4" w:rsidRDefault="00EE6D95">
            <w:pPr>
              <w:pStyle w:val="CellHeader"/>
            </w:pPr>
            <w:r w:rsidRPr="00CC4FF4">
              <w:t>Plan 2015.</w:t>
            </w:r>
          </w:p>
        </w:tc>
        <w:tc>
          <w:tcPr>
            <w:tcW w:w="1486" w:type="dxa"/>
            <w:shd w:val="clear" w:color="auto" w:fill="B5C0D8"/>
          </w:tcPr>
          <w:p w:rsidR="00D849AA" w:rsidRPr="00CC4FF4" w:rsidRDefault="00EE6D95">
            <w:pPr>
              <w:pStyle w:val="CellHeader"/>
            </w:pPr>
            <w:r w:rsidRPr="00CC4FF4">
              <w:t>Plan 2016.</w:t>
            </w:r>
          </w:p>
        </w:tc>
        <w:tc>
          <w:tcPr>
            <w:tcW w:w="1486" w:type="dxa"/>
            <w:shd w:val="clear" w:color="auto" w:fill="B5C0D8"/>
          </w:tcPr>
          <w:p w:rsidR="00D849AA" w:rsidRPr="00CC4FF4" w:rsidRDefault="00EE6D95">
            <w:pPr>
              <w:pStyle w:val="CellHeader"/>
            </w:pPr>
            <w:r w:rsidRPr="00CC4FF4">
              <w:t>Indeks 2014/2013</w:t>
            </w:r>
          </w:p>
        </w:tc>
      </w:tr>
      <w:tr w:rsidR="00D849AA">
        <w:trPr>
          <w:jc w:val="center"/>
        </w:trPr>
        <w:tc>
          <w:tcPr>
            <w:tcW w:w="1486" w:type="dxa"/>
          </w:tcPr>
          <w:p w:rsidR="00D849AA" w:rsidRPr="00CC4FF4" w:rsidRDefault="00EE6D95">
            <w:pPr>
              <w:pStyle w:val="CellColumn"/>
            </w:pPr>
            <w:r w:rsidRPr="00CC4FF4">
              <w:t>A509014</w:t>
            </w:r>
          </w:p>
        </w:tc>
        <w:tc>
          <w:tcPr>
            <w:tcW w:w="1486" w:type="dxa"/>
          </w:tcPr>
          <w:p w:rsidR="00D849AA" w:rsidRPr="00CC4FF4" w:rsidRDefault="00EE6D95">
            <w:pPr>
              <w:rPr>
                <w:rFonts w:ascii="Arial" w:hAnsi="Arial" w:cs="Arial"/>
              </w:rPr>
            </w:pPr>
            <w:r w:rsidRPr="00CC4FF4">
              <w:rPr>
                <w:rFonts w:ascii="Arial" w:hAnsi="Arial" w:cs="Arial"/>
              </w:rPr>
              <w:t>37.444.414</w:t>
            </w:r>
          </w:p>
        </w:tc>
        <w:tc>
          <w:tcPr>
            <w:tcW w:w="1486" w:type="dxa"/>
          </w:tcPr>
          <w:p w:rsidR="00D849AA" w:rsidRPr="00CC4FF4" w:rsidRDefault="00EE6D95">
            <w:pPr>
              <w:rPr>
                <w:rFonts w:ascii="Arial" w:hAnsi="Arial" w:cs="Arial"/>
              </w:rPr>
            </w:pPr>
            <w:r w:rsidRPr="00CC4FF4">
              <w:rPr>
                <w:rFonts w:ascii="Arial" w:hAnsi="Arial" w:cs="Arial"/>
              </w:rPr>
              <w:t>46.954.703</w:t>
            </w:r>
          </w:p>
        </w:tc>
        <w:tc>
          <w:tcPr>
            <w:tcW w:w="1486" w:type="dxa"/>
          </w:tcPr>
          <w:p w:rsidR="00D849AA" w:rsidRPr="00CC4FF4" w:rsidRDefault="00EE6D95">
            <w:pPr>
              <w:rPr>
                <w:rFonts w:ascii="Arial" w:hAnsi="Arial" w:cs="Arial"/>
              </w:rPr>
            </w:pPr>
            <w:r w:rsidRPr="00CC4FF4">
              <w:rPr>
                <w:rFonts w:ascii="Arial" w:hAnsi="Arial" w:cs="Arial"/>
              </w:rPr>
              <w:t>48.565.249</w:t>
            </w:r>
          </w:p>
        </w:tc>
        <w:tc>
          <w:tcPr>
            <w:tcW w:w="1486" w:type="dxa"/>
          </w:tcPr>
          <w:p w:rsidR="00D849AA" w:rsidRPr="00CC4FF4" w:rsidRDefault="00EE6D95">
            <w:pPr>
              <w:rPr>
                <w:rFonts w:ascii="Arial" w:hAnsi="Arial" w:cs="Arial"/>
              </w:rPr>
            </w:pPr>
            <w:r w:rsidRPr="00CC4FF4">
              <w:rPr>
                <w:rFonts w:ascii="Arial" w:hAnsi="Arial" w:cs="Arial"/>
              </w:rPr>
              <w:t>50.138.764</w:t>
            </w:r>
          </w:p>
        </w:tc>
        <w:tc>
          <w:tcPr>
            <w:tcW w:w="1486" w:type="dxa"/>
          </w:tcPr>
          <w:p w:rsidR="00D849AA" w:rsidRPr="00CC4FF4" w:rsidRDefault="00EE6D95">
            <w:pPr>
              <w:rPr>
                <w:rFonts w:ascii="Arial" w:hAnsi="Arial" w:cs="Arial"/>
              </w:rPr>
            </w:pPr>
            <w:r w:rsidRPr="00CC4FF4">
              <w:rPr>
                <w:rFonts w:ascii="Arial" w:hAnsi="Arial" w:cs="Arial"/>
              </w:rPr>
              <w:t>125,4</w:t>
            </w:r>
          </w:p>
        </w:tc>
      </w:tr>
    </w:tbl>
    <w:p w:rsidR="00D849AA" w:rsidRDefault="00D849AA">
      <w:pPr>
        <w:jc w:val="left"/>
      </w:pPr>
    </w:p>
    <w:p w:rsidR="00D849AA" w:rsidRDefault="00EE6D95">
      <w:pPr>
        <w:pStyle w:val="Normal6"/>
      </w:pPr>
      <w:r>
        <w:t>Kroz sredstva koja se osiguravaju putem Nacionalne zaklade za razvoj civilnog društva u sljedećem trogodišnjem razdoblju nastavit će se s programima podrške stabilizacije djelovanja i održivosti organizacija civilnoga društva, pogotovo na područjima demokratizacije i zaštite ljudskih prava. U tom smislu očekuje se svake godine povećanje broja održivih projekata koje provode udruge uz potporu Nacionalne zaklade za razvoj civilnog društva, sa sadašnjih 110 na 500 u 2016.</w:t>
      </w:r>
    </w:p>
    <w:p w:rsidR="00CC4FF4" w:rsidRDefault="00CC4FF4">
      <w:pPr>
        <w:pStyle w:val="Naslov8"/>
        <w:jc w:val="left"/>
      </w:pP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CC4FF4" w:rsidRDefault="00EE6D95">
            <w:pPr>
              <w:rPr>
                <w:rFonts w:ascii="Arial" w:hAnsi="Arial" w:cs="Arial"/>
              </w:rPr>
            </w:pPr>
            <w:r w:rsidRPr="00CC4FF4">
              <w:rPr>
                <w:rFonts w:ascii="Arial" w:hAnsi="Arial" w:cs="Arial"/>
              </w:rPr>
              <w:t>Pokazatelj rezultata</w:t>
            </w:r>
          </w:p>
        </w:tc>
        <w:tc>
          <w:tcPr>
            <w:tcW w:w="1114" w:type="dxa"/>
            <w:shd w:val="clear" w:color="auto" w:fill="B5C0D8"/>
          </w:tcPr>
          <w:p w:rsidR="00D849AA" w:rsidRPr="00CC4FF4" w:rsidRDefault="00EE6D95">
            <w:pPr>
              <w:pStyle w:val="CellHeader"/>
            </w:pPr>
            <w:r w:rsidRPr="00CC4FF4">
              <w:t>Jedinica</w:t>
            </w:r>
          </w:p>
        </w:tc>
        <w:tc>
          <w:tcPr>
            <w:tcW w:w="1114" w:type="dxa"/>
            <w:shd w:val="clear" w:color="auto" w:fill="B5C0D8"/>
          </w:tcPr>
          <w:p w:rsidR="00D849AA" w:rsidRPr="00CC4FF4" w:rsidRDefault="00EE6D95">
            <w:pPr>
              <w:pStyle w:val="CellHeader"/>
            </w:pPr>
            <w:r w:rsidRPr="00CC4FF4">
              <w:t>Polazna vrijednost</w:t>
            </w:r>
          </w:p>
        </w:tc>
        <w:tc>
          <w:tcPr>
            <w:tcW w:w="1486" w:type="dxa"/>
            <w:shd w:val="clear" w:color="auto" w:fill="B5C0D8"/>
          </w:tcPr>
          <w:p w:rsidR="00D849AA" w:rsidRPr="00CC4FF4" w:rsidRDefault="00EE6D95">
            <w:pPr>
              <w:pStyle w:val="CellHeader"/>
            </w:pPr>
            <w:r w:rsidRPr="00CC4FF4">
              <w:t xml:space="preserve">Ciljana vrijednost </w:t>
            </w:r>
            <w:r w:rsidRPr="00CC4FF4">
              <w:lastRenderedPageBreak/>
              <w:t>(2014.)</w:t>
            </w:r>
          </w:p>
        </w:tc>
        <w:tc>
          <w:tcPr>
            <w:tcW w:w="1486" w:type="dxa"/>
            <w:shd w:val="clear" w:color="auto" w:fill="B5C0D8"/>
          </w:tcPr>
          <w:p w:rsidR="00D849AA" w:rsidRPr="00CC4FF4" w:rsidRDefault="00EE6D95">
            <w:pPr>
              <w:pStyle w:val="CellHeader"/>
            </w:pPr>
            <w:r w:rsidRPr="00CC4FF4">
              <w:lastRenderedPageBreak/>
              <w:t xml:space="preserve">Ciljana vrijednost </w:t>
            </w:r>
            <w:r w:rsidRPr="00CC4FF4">
              <w:lastRenderedPageBreak/>
              <w:t>(2015.)</w:t>
            </w:r>
          </w:p>
        </w:tc>
        <w:tc>
          <w:tcPr>
            <w:tcW w:w="1486" w:type="dxa"/>
            <w:shd w:val="clear" w:color="auto" w:fill="B5C0D8"/>
          </w:tcPr>
          <w:p w:rsidR="00D849AA" w:rsidRPr="00CC4FF4" w:rsidRDefault="00EE6D95">
            <w:pPr>
              <w:pStyle w:val="CellHeader"/>
            </w:pPr>
            <w:r w:rsidRPr="00CC4FF4">
              <w:lastRenderedPageBreak/>
              <w:t xml:space="preserve">Ciljana vrijednost </w:t>
            </w:r>
            <w:r w:rsidRPr="00CC4FF4">
              <w:lastRenderedPageBreak/>
              <w:t>(2016.)</w:t>
            </w:r>
          </w:p>
        </w:tc>
      </w:tr>
      <w:tr w:rsidR="00D849AA">
        <w:trPr>
          <w:jc w:val="center"/>
        </w:trPr>
        <w:tc>
          <w:tcPr>
            <w:tcW w:w="2229" w:type="dxa"/>
          </w:tcPr>
          <w:p w:rsidR="00D849AA" w:rsidRPr="00CC4FF4" w:rsidRDefault="00EE6D95">
            <w:pPr>
              <w:pStyle w:val="CellColumn"/>
            </w:pPr>
            <w:r w:rsidRPr="00CC4FF4">
              <w:lastRenderedPageBreak/>
              <w:t>Povećan broj održivih projekata koje provode udruge uz potporu Nacionalne zaklade za razvoj civilnog društva</w:t>
            </w:r>
          </w:p>
        </w:tc>
        <w:tc>
          <w:tcPr>
            <w:tcW w:w="1114" w:type="dxa"/>
          </w:tcPr>
          <w:p w:rsidR="00D849AA" w:rsidRPr="00CC4FF4" w:rsidRDefault="00EE6D95">
            <w:pPr>
              <w:rPr>
                <w:rFonts w:ascii="Arial" w:hAnsi="Arial" w:cs="Arial"/>
              </w:rPr>
            </w:pPr>
            <w:r w:rsidRPr="00CC4FF4">
              <w:rPr>
                <w:rFonts w:ascii="Arial" w:hAnsi="Arial" w:cs="Arial"/>
              </w:rPr>
              <w:t>broj</w:t>
            </w:r>
          </w:p>
        </w:tc>
        <w:tc>
          <w:tcPr>
            <w:tcW w:w="1114" w:type="dxa"/>
          </w:tcPr>
          <w:p w:rsidR="00D849AA" w:rsidRPr="00CC4FF4" w:rsidRDefault="00EE6D95">
            <w:pPr>
              <w:rPr>
                <w:rFonts w:ascii="Arial" w:hAnsi="Arial" w:cs="Arial"/>
              </w:rPr>
            </w:pPr>
            <w:r w:rsidRPr="00CC4FF4">
              <w:rPr>
                <w:rFonts w:ascii="Arial" w:hAnsi="Arial" w:cs="Arial"/>
              </w:rPr>
              <w:t>110</w:t>
            </w:r>
          </w:p>
        </w:tc>
        <w:tc>
          <w:tcPr>
            <w:tcW w:w="1486" w:type="dxa"/>
          </w:tcPr>
          <w:p w:rsidR="00D849AA" w:rsidRPr="00CC4FF4" w:rsidRDefault="00EE6D95">
            <w:pPr>
              <w:rPr>
                <w:rFonts w:ascii="Arial" w:hAnsi="Arial" w:cs="Arial"/>
              </w:rPr>
            </w:pPr>
            <w:r w:rsidRPr="00CC4FF4">
              <w:rPr>
                <w:rFonts w:ascii="Arial" w:hAnsi="Arial" w:cs="Arial"/>
              </w:rPr>
              <w:t>230</w:t>
            </w:r>
          </w:p>
        </w:tc>
        <w:tc>
          <w:tcPr>
            <w:tcW w:w="1486" w:type="dxa"/>
          </w:tcPr>
          <w:p w:rsidR="00D849AA" w:rsidRPr="00CC4FF4" w:rsidRDefault="00EE6D95">
            <w:pPr>
              <w:rPr>
                <w:rFonts w:ascii="Arial" w:hAnsi="Arial" w:cs="Arial"/>
              </w:rPr>
            </w:pPr>
            <w:r w:rsidRPr="00CC4FF4">
              <w:rPr>
                <w:rFonts w:ascii="Arial" w:hAnsi="Arial" w:cs="Arial"/>
              </w:rPr>
              <w:t>360</w:t>
            </w:r>
          </w:p>
        </w:tc>
        <w:tc>
          <w:tcPr>
            <w:tcW w:w="1486" w:type="dxa"/>
          </w:tcPr>
          <w:p w:rsidR="00D849AA" w:rsidRPr="00CC4FF4" w:rsidRDefault="00EE6D95">
            <w:pPr>
              <w:rPr>
                <w:rFonts w:ascii="Arial" w:hAnsi="Arial" w:cs="Arial"/>
              </w:rPr>
            </w:pPr>
            <w:r w:rsidRPr="00CC4FF4">
              <w:rPr>
                <w:rFonts w:ascii="Arial" w:hAnsi="Arial" w:cs="Arial"/>
              </w:rPr>
              <w:t>500</w:t>
            </w:r>
          </w:p>
        </w:tc>
      </w:tr>
    </w:tbl>
    <w:p w:rsidR="00D849AA" w:rsidRDefault="00D849AA">
      <w:pPr>
        <w:jc w:val="left"/>
      </w:pPr>
    </w:p>
    <w:p w:rsidR="00D849AA" w:rsidRDefault="00EE6D95">
      <w:pPr>
        <w:pStyle w:val="Naslov6"/>
      </w:pPr>
      <w:r>
        <w:t>A509024 PROVEDBA NACIONALNE STRATEGIJE STVARANJA POTICAJNOG OKRUŽENJA ZA RAZVOJ CIVILNOG DRUŠTVA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CC4FF4" w:rsidRDefault="00EE6D95">
            <w:pPr>
              <w:pStyle w:val="CellHeader"/>
            </w:pPr>
            <w:r w:rsidRPr="00CC4FF4">
              <w:t>Naziv aktivnosti</w:t>
            </w:r>
          </w:p>
        </w:tc>
        <w:tc>
          <w:tcPr>
            <w:tcW w:w="1486" w:type="dxa"/>
            <w:shd w:val="clear" w:color="auto" w:fill="B5C0D8"/>
          </w:tcPr>
          <w:p w:rsidR="00D849AA" w:rsidRPr="00CC4FF4" w:rsidRDefault="00EE6D95">
            <w:pPr>
              <w:pStyle w:val="CellHeader"/>
            </w:pPr>
            <w:r w:rsidRPr="00CC4FF4">
              <w:t>Plan 2013.</w:t>
            </w:r>
          </w:p>
        </w:tc>
        <w:tc>
          <w:tcPr>
            <w:tcW w:w="1486" w:type="dxa"/>
            <w:shd w:val="clear" w:color="auto" w:fill="B5C0D8"/>
          </w:tcPr>
          <w:p w:rsidR="00D849AA" w:rsidRPr="00CC4FF4" w:rsidRDefault="00EE6D95">
            <w:pPr>
              <w:pStyle w:val="CellHeader"/>
            </w:pPr>
            <w:r w:rsidRPr="00CC4FF4">
              <w:t>Plan 2014.</w:t>
            </w:r>
          </w:p>
        </w:tc>
        <w:tc>
          <w:tcPr>
            <w:tcW w:w="1486" w:type="dxa"/>
            <w:shd w:val="clear" w:color="auto" w:fill="B5C0D8"/>
          </w:tcPr>
          <w:p w:rsidR="00D849AA" w:rsidRPr="00CC4FF4" w:rsidRDefault="00EE6D95">
            <w:pPr>
              <w:pStyle w:val="CellHeader"/>
            </w:pPr>
            <w:r w:rsidRPr="00CC4FF4">
              <w:t>Plan 2015.</w:t>
            </w:r>
          </w:p>
        </w:tc>
        <w:tc>
          <w:tcPr>
            <w:tcW w:w="1486" w:type="dxa"/>
            <w:shd w:val="clear" w:color="auto" w:fill="B5C0D8"/>
          </w:tcPr>
          <w:p w:rsidR="00D849AA" w:rsidRPr="00CC4FF4" w:rsidRDefault="00EE6D95">
            <w:pPr>
              <w:pStyle w:val="CellHeader"/>
            </w:pPr>
            <w:r w:rsidRPr="00CC4FF4">
              <w:t>Plan 2016.</w:t>
            </w:r>
          </w:p>
        </w:tc>
        <w:tc>
          <w:tcPr>
            <w:tcW w:w="1486" w:type="dxa"/>
            <w:shd w:val="clear" w:color="auto" w:fill="B5C0D8"/>
          </w:tcPr>
          <w:p w:rsidR="00D849AA" w:rsidRPr="00CC4FF4" w:rsidRDefault="00EE6D95">
            <w:pPr>
              <w:pStyle w:val="CellHeader"/>
            </w:pPr>
            <w:r w:rsidRPr="00CC4FF4">
              <w:t>Indeks 2014/2013</w:t>
            </w:r>
          </w:p>
        </w:tc>
      </w:tr>
      <w:tr w:rsidR="00D849AA">
        <w:trPr>
          <w:jc w:val="center"/>
        </w:trPr>
        <w:tc>
          <w:tcPr>
            <w:tcW w:w="1486" w:type="dxa"/>
          </w:tcPr>
          <w:p w:rsidR="00D849AA" w:rsidRPr="00CC4FF4" w:rsidRDefault="00EE6D95">
            <w:pPr>
              <w:pStyle w:val="CellColumn"/>
            </w:pPr>
            <w:r w:rsidRPr="00CC4FF4">
              <w:t>A509024</w:t>
            </w:r>
          </w:p>
        </w:tc>
        <w:tc>
          <w:tcPr>
            <w:tcW w:w="1486" w:type="dxa"/>
          </w:tcPr>
          <w:p w:rsidR="00D849AA" w:rsidRPr="00CC4FF4" w:rsidRDefault="00EE6D95">
            <w:pPr>
              <w:rPr>
                <w:rFonts w:ascii="Arial" w:hAnsi="Arial" w:cs="Arial"/>
              </w:rPr>
            </w:pPr>
            <w:r w:rsidRPr="00CC4FF4">
              <w:rPr>
                <w:rFonts w:ascii="Arial" w:hAnsi="Arial" w:cs="Arial"/>
              </w:rPr>
              <w:t>90.000</w:t>
            </w:r>
          </w:p>
        </w:tc>
        <w:tc>
          <w:tcPr>
            <w:tcW w:w="1486" w:type="dxa"/>
          </w:tcPr>
          <w:p w:rsidR="00D849AA" w:rsidRPr="00CC4FF4" w:rsidRDefault="00EE6D95">
            <w:pPr>
              <w:rPr>
                <w:rFonts w:ascii="Arial" w:hAnsi="Arial" w:cs="Arial"/>
              </w:rPr>
            </w:pPr>
            <w:r w:rsidRPr="00CC4FF4">
              <w:rPr>
                <w:rFonts w:ascii="Arial" w:hAnsi="Arial" w:cs="Arial"/>
              </w:rPr>
              <w:t>90.000</w:t>
            </w:r>
          </w:p>
        </w:tc>
        <w:tc>
          <w:tcPr>
            <w:tcW w:w="1486" w:type="dxa"/>
          </w:tcPr>
          <w:p w:rsidR="00D849AA" w:rsidRPr="00CC4FF4" w:rsidRDefault="00EE6D95">
            <w:pPr>
              <w:rPr>
                <w:rFonts w:ascii="Arial" w:hAnsi="Arial" w:cs="Arial"/>
              </w:rPr>
            </w:pPr>
            <w:r w:rsidRPr="00CC4FF4">
              <w:rPr>
                <w:rFonts w:ascii="Arial" w:hAnsi="Arial" w:cs="Arial"/>
              </w:rPr>
              <w:t>90.000</w:t>
            </w:r>
          </w:p>
        </w:tc>
        <w:tc>
          <w:tcPr>
            <w:tcW w:w="1486" w:type="dxa"/>
          </w:tcPr>
          <w:p w:rsidR="00D849AA" w:rsidRPr="00CC4FF4" w:rsidRDefault="00EE6D95">
            <w:pPr>
              <w:rPr>
                <w:rFonts w:ascii="Arial" w:hAnsi="Arial" w:cs="Arial"/>
              </w:rPr>
            </w:pPr>
            <w:r w:rsidRPr="00CC4FF4">
              <w:rPr>
                <w:rFonts w:ascii="Arial" w:hAnsi="Arial" w:cs="Arial"/>
              </w:rPr>
              <w:t>90.000</w:t>
            </w:r>
          </w:p>
        </w:tc>
        <w:tc>
          <w:tcPr>
            <w:tcW w:w="1486" w:type="dxa"/>
          </w:tcPr>
          <w:p w:rsidR="00D849AA" w:rsidRPr="00CC4FF4" w:rsidRDefault="00EE6D95">
            <w:pPr>
              <w:rPr>
                <w:rFonts w:ascii="Arial" w:hAnsi="Arial" w:cs="Arial"/>
              </w:rPr>
            </w:pPr>
            <w:r w:rsidRPr="00CC4FF4">
              <w:rPr>
                <w:rFonts w:ascii="Arial" w:hAnsi="Arial" w:cs="Arial"/>
              </w:rPr>
              <w:t>100,0</w:t>
            </w:r>
          </w:p>
        </w:tc>
      </w:tr>
    </w:tbl>
    <w:p w:rsidR="00D849AA" w:rsidRDefault="00D849AA">
      <w:pPr>
        <w:jc w:val="left"/>
      </w:pPr>
    </w:p>
    <w:p w:rsidR="00D849AA" w:rsidRDefault="00EE6D95">
      <w:pPr>
        <w:pStyle w:val="Normal6"/>
      </w:pPr>
      <w:r>
        <w:t xml:space="preserve">Provedba Nacionalne strategije stvaranja poticajnog okruženja za razvoj civilnog društva iziskuje još kvalitetniju koordinaciju i praćenje putem redovitog izvještavanja, jačanja svijesti i informiranja javnosti. Kako bi se kvalitetnije mogao pratiti uspjeh u provedbi Strategije, sukladno zaključku Vlade, nova Nacionalna strategija stvaranja poticajnog okruženja za razvoj civilnog društva za novo petogodišnje razdoblje 2012. – 2016. sadržava nastavak provedbe dosadašnjih mjera trajnog karaktera, ali obuhvaća i nove mjere. U Strategiji su jasno definirani izvršitelji, rokovi, izvori sredstava za provedbu mjera kao i indikatori za praćenje  izvršenja. Donoseći Nacionalnu strategiju Vlada je odlučila da će izvješće o provedbi razmatrati svake dvije godine, a po potrebi i češće. Za potrebe praćenja provedbe Nacionalne strategije Ured za udruge je kreirao posebnu internetsku platformu kao inovativan pristup praćenju i izvještavanju provedbe strateškog dokumenta, koja na jednostavan i pregledan način omogućuje praćenje i izvještavanje o provedbi Strategije u stvarnom vremenu na načelima transparentnosti i otvorenosti za komentare i suradnju, kako bi se nositelje i sunositelje mjera i aktivnosti potaknulo na ažurno i učinkovito provođenje, a širu javnost i medije zainteresiralo za aktivnije uključivanje u praćenje provedbe Nacionalne strategije. Bazirano na internetskoj platformi na godišnjoj razini izrađivat će se detaljna izvješća s preciznim pokazateljima uspješnosti, te će se vrednovati provedba Nacionalne strategije na dvogodišnjoj razini. Pored toga održavati će se sastanci s koordinatorima za provedbu mjera i aktivnosti iz Nacionalne strategije, imenovanim u pojedinim nadležnim tijelima, a sve s ciljem povećanja postotka uspješno provedenih mjera. Do 2016. godine izradit će se tri izvješća o napretku u provedbi i dva evaluacijska izvješća o provedbi Strategije, održati najmanje dvije sjednice Povjerenstva za praćenje provedbe Nacionalne strategije godišnje, te povećati postotak uspješno provedenih mjera i aktivnosti. </w:t>
      </w:r>
    </w:p>
    <w:p w:rsidR="00D849AA" w:rsidRDefault="00EE6D95">
      <w:pPr>
        <w:pStyle w:val="Normal6"/>
      </w:pPr>
      <w:r>
        <w:t xml:space="preserve">Sami postupci suradnje i savjetovanje s udrugama i ostalim organizacijama civilnog društva u donošenju i provedbi javnih politika trebaju biti poboljšani među državnim tijelima na svim razinama, u skladu sa standardima koji vrijede na razini EU. Izobrazba je jedan od najboljih načina jačanja svijesti o novim modelima savjetovanja s udrugama i ostalim dionicima zainteresirane javnosti u postupcima donošenja zakona, drugih propisa i akata. </w:t>
      </w:r>
    </w:p>
    <w:p w:rsidR="00D849AA" w:rsidRDefault="00EE6D95">
      <w:pPr>
        <w:pStyle w:val="Normal6"/>
      </w:pPr>
      <w:r>
        <w:t xml:space="preserve">Tijekom provedbe Nacionalne strategije stvaranja poticajnog okruženja za razvoj civilnog društva i Akcijskog plana uz Strategiju suzbijanja korupcije, uočen je nedostatak znanja državnih i lokalnih službenika o prednostima, tehnikama i metodama uključivanja udruga u donošenje i provedbu novih zakona, propisa i drugih akata. Imajući u vidu odredbe </w:t>
      </w:r>
      <w:r>
        <w:lastRenderedPageBreak/>
        <w:t xml:space="preserve">Kodeksa savjetovanja sa zainteresiranom javnošću u postupcima donošenja zakona, drugih propisa i akata te Smjernica za primjenu Kodeksa, kao i činjenicu da su u svim tijelima državne uprave i Vladinim uredima imenovani koordinatori za savjetovanje te da je Ured za udruge započeo sa njihovom kontinuiranom izobrazbom, očekuje se da će se u sljedećem trogodišnjem razdoblju broj osoba koje će proći planirane aktivnosti izobrazbe o standardima i metodama savjetovanja značajno povećati. </w:t>
      </w:r>
    </w:p>
    <w:p w:rsidR="00D849AA" w:rsidRDefault="00EE6D95">
      <w:pPr>
        <w:pStyle w:val="Normal6"/>
      </w:pPr>
      <w:r>
        <w:t>Broj obrazovanih službenika na svim razinama o standardima savjetovanja s udrugama i ostalim dionicima zainteresirane javnosti u donošenju i provedbi novih programa, zakona i drugih akata povećat će se sa sadašnjih 80 na 250 do 2016. godine, uključujući i službenike na lokalnim razinama vlasti.</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CC4FF4" w:rsidRDefault="00EE6D95">
            <w:pPr>
              <w:rPr>
                <w:rFonts w:ascii="Arial" w:hAnsi="Arial" w:cs="Arial"/>
              </w:rPr>
            </w:pPr>
            <w:r w:rsidRPr="00CC4FF4">
              <w:rPr>
                <w:rFonts w:ascii="Arial" w:hAnsi="Arial" w:cs="Arial"/>
              </w:rPr>
              <w:t>Pokazatelj rezultata</w:t>
            </w:r>
          </w:p>
        </w:tc>
        <w:tc>
          <w:tcPr>
            <w:tcW w:w="1114" w:type="dxa"/>
            <w:shd w:val="clear" w:color="auto" w:fill="B5C0D8"/>
          </w:tcPr>
          <w:p w:rsidR="00D849AA" w:rsidRPr="00CC4FF4" w:rsidRDefault="00EE6D95">
            <w:pPr>
              <w:pStyle w:val="CellHeader"/>
            </w:pPr>
            <w:r w:rsidRPr="00CC4FF4">
              <w:t>Jedinica</w:t>
            </w:r>
          </w:p>
        </w:tc>
        <w:tc>
          <w:tcPr>
            <w:tcW w:w="1114" w:type="dxa"/>
            <w:shd w:val="clear" w:color="auto" w:fill="B5C0D8"/>
          </w:tcPr>
          <w:p w:rsidR="00D849AA" w:rsidRPr="00CC4FF4" w:rsidRDefault="00EE6D95">
            <w:pPr>
              <w:pStyle w:val="CellHeader"/>
            </w:pPr>
            <w:r w:rsidRPr="00CC4FF4">
              <w:t>Polazna vrijednost</w:t>
            </w:r>
          </w:p>
        </w:tc>
        <w:tc>
          <w:tcPr>
            <w:tcW w:w="1486" w:type="dxa"/>
            <w:shd w:val="clear" w:color="auto" w:fill="B5C0D8"/>
          </w:tcPr>
          <w:p w:rsidR="00D849AA" w:rsidRPr="00CC4FF4" w:rsidRDefault="00EE6D95">
            <w:pPr>
              <w:pStyle w:val="CellHeader"/>
            </w:pPr>
            <w:r w:rsidRPr="00CC4FF4">
              <w:t>Ciljana vrijednost (2014.)</w:t>
            </w:r>
          </w:p>
        </w:tc>
        <w:tc>
          <w:tcPr>
            <w:tcW w:w="1486" w:type="dxa"/>
            <w:shd w:val="clear" w:color="auto" w:fill="B5C0D8"/>
          </w:tcPr>
          <w:p w:rsidR="00D849AA" w:rsidRPr="00CC4FF4" w:rsidRDefault="00EE6D95">
            <w:pPr>
              <w:pStyle w:val="CellHeader"/>
            </w:pPr>
            <w:r w:rsidRPr="00CC4FF4">
              <w:t>Ciljana vrijednost (2015.)</w:t>
            </w:r>
          </w:p>
        </w:tc>
        <w:tc>
          <w:tcPr>
            <w:tcW w:w="1486" w:type="dxa"/>
            <w:shd w:val="clear" w:color="auto" w:fill="B5C0D8"/>
          </w:tcPr>
          <w:p w:rsidR="00D849AA" w:rsidRPr="00CC4FF4" w:rsidRDefault="00EE6D95">
            <w:pPr>
              <w:pStyle w:val="CellHeader"/>
            </w:pPr>
            <w:r w:rsidRPr="00CC4FF4">
              <w:t>Ciljana vrijednost (2016.)</w:t>
            </w:r>
          </w:p>
        </w:tc>
      </w:tr>
      <w:tr w:rsidR="00D849AA">
        <w:trPr>
          <w:jc w:val="center"/>
        </w:trPr>
        <w:tc>
          <w:tcPr>
            <w:tcW w:w="2229" w:type="dxa"/>
          </w:tcPr>
          <w:p w:rsidR="00D849AA" w:rsidRPr="00CC4FF4" w:rsidRDefault="00EE6D95">
            <w:pPr>
              <w:pStyle w:val="CellColumn"/>
            </w:pPr>
            <w:r w:rsidRPr="00CC4FF4">
              <w:t>Povećan broj obrazovanih službenika na svim razinama o standardima savjetovanja s organizacijama civilnog društva</w:t>
            </w:r>
          </w:p>
        </w:tc>
        <w:tc>
          <w:tcPr>
            <w:tcW w:w="1114" w:type="dxa"/>
          </w:tcPr>
          <w:p w:rsidR="00D849AA" w:rsidRPr="00CC4FF4" w:rsidRDefault="00EE6D95">
            <w:pPr>
              <w:rPr>
                <w:rFonts w:ascii="Arial" w:hAnsi="Arial" w:cs="Arial"/>
              </w:rPr>
            </w:pPr>
            <w:r w:rsidRPr="00CC4FF4">
              <w:rPr>
                <w:rFonts w:ascii="Arial" w:hAnsi="Arial" w:cs="Arial"/>
              </w:rPr>
              <w:t>broj</w:t>
            </w:r>
          </w:p>
        </w:tc>
        <w:tc>
          <w:tcPr>
            <w:tcW w:w="1114" w:type="dxa"/>
          </w:tcPr>
          <w:p w:rsidR="00D849AA" w:rsidRPr="00CC4FF4" w:rsidRDefault="00EE6D95">
            <w:pPr>
              <w:rPr>
                <w:rFonts w:ascii="Arial" w:hAnsi="Arial" w:cs="Arial"/>
              </w:rPr>
            </w:pPr>
            <w:r w:rsidRPr="00CC4FF4">
              <w:rPr>
                <w:rFonts w:ascii="Arial" w:hAnsi="Arial" w:cs="Arial"/>
              </w:rPr>
              <w:t>80</w:t>
            </w:r>
          </w:p>
        </w:tc>
        <w:tc>
          <w:tcPr>
            <w:tcW w:w="1486" w:type="dxa"/>
          </w:tcPr>
          <w:p w:rsidR="00D849AA" w:rsidRPr="00CC4FF4" w:rsidRDefault="00EE6D95">
            <w:pPr>
              <w:rPr>
                <w:rFonts w:ascii="Arial" w:hAnsi="Arial" w:cs="Arial"/>
              </w:rPr>
            </w:pPr>
            <w:r w:rsidRPr="00CC4FF4">
              <w:rPr>
                <w:rFonts w:ascii="Arial" w:hAnsi="Arial" w:cs="Arial"/>
              </w:rPr>
              <w:t>140</w:t>
            </w:r>
          </w:p>
        </w:tc>
        <w:tc>
          <w:tcPr>
            <w:tcW w:w="1486" w:type="dxa"/>
          </w:tcPr>
          <w:p w:rsidR="00D849AA" w:rsidRPr="00CC4FF4" w:rsidRDefault="00EE6D95">
            <w:pPr>
              <w:rPr>
                <w:rFonts w:ascii="Arial" w:hAnsi="Arial" w:cs="Arial"/>
              </w:rPr>
            </w:pPr>
            <w:r w:rsidRPr="00CC4FF4">
              <w:rPr>
                <w:rFonts w:ascii="Arial" w:hAnsi="Arial" w:cs="Arial"/>
              </w:rPr>
              <w:t>200</w:t>
            </w:r>
          </w:p>
        </w:tc>
        <w:tc>
          <w:tcPr>
            <w:tcW w:w="1486" w:type="dxa"/>
          </w:tcPr>
          <w:p w:rsidR="00D849AA" w:rsidRPr="00CC4FF4" w:rsidRDefault="00EE6D95">
            <w:pPr>
              <w:rPr>
                <w:rFonts w:ascii="Arial" w:hAnsi="Arial" w:cs="Arial"/>
              </w:rPr>
            </w:pPr>
            <w:r w:rsidRPr="00CC4FF4">
              <w:rPr>
                <w:rFonts w:ascii="Arial" w:hAnsi="Arial" w:cs="Arial"/>
              </w:rPr>
              <w:t>250</w:t>
            </w:r>
          </w:p>
        </w:tc>
      </w:tr>
    </w:tbl>
    <w:p w:rsidR="00D849AA" w:rsidRDefault="00D849AA">
      <w:pPr>
        <w:jc w:val="left"/>
      </w:pPr>
    </w:p>
    <w:p w:rsidR="00D849AA" w:rsidRDefault="00D849AA">
      <w:pPr>
        <w:jc w:val="left"/>
      </w:pPr>
    </w:p>
    <w:p w:rsidR="00D849AA" w:rsidRDefault="00EE6D95">
      <w:pPr>
        <w:pStyle w:val="Naslov6"/>
      </w:pPr>
      <w:r>
        <w:t>A509030 SAVJET ZA RAZVOJ CIVILNOG DRUŠTVA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A509030</w:t>
            </w:r>
          </w:p>
        </w:tc>
        <w:tc>
          <w:tcPr>
            <w:tcW w:w="1486" w:type="dxa"/>
          </w:tcPr>
          <w:p w:rsidR="00D849AA" w:rsidRDefault="00EE6D95">
            <w:r>
              <w:t>60.000</w:t>
            </w:r>
          </w:p>
        </w:tc>
        <w:tc>
          <w:tcPr>
            <w:tcW w:w="1486" w:type="dxa"/>
          </w:tcPr>
          <w:p w:rsidR="00D849AA" w:rsidRDefault="00EE6D95">
            <w:r>
              <w:t>30.000</w:t>
            </w:r>
          </w:p>
        </w:tc>
        <w:tc>
          <w:tcPr>
            <w:tcW w:w="1486" w:type="dxa"/>
          </w:tcPr>
          <w:p w:rsidR="00D849AA" w:rsidRDefault="00EE6D95">
            <w:r>
              <w:t>30.000</w:t>
            </w:r>
          </w:p>
        </w:tc>
        <w:tc>
          <w:tcPr>
            <w:tcW w:w="1486" w:type="dxa"/>
          </w:tcPr>
          <w:p w:rsidR="00D849AA" w:rsidRDefault="00EE6D95">
            <w:r>
              <w:t>30.000</w:t>
            </w:r>
          </w:p>
        </w:tc>
        <w:tc>
          <w:tcPr>
            <w:tcW w:w="1486" w:type="dxa"/>
          </w:tcPr>
          <w:p w:rsidR="00D849AA" w:rsidRDefault="00EE6D95">
            <w:r>
              <w:t>50,0</w:t>
            </w:r>
          </w:p>
        </w:tc>
      </w:tr>
    </w:tbl>
    <w:p w:rsidR="00D849AA" w:rsidRDefault="00D849AA">
      <w:pPr>
        <w:jc w:val="left"/>
      </w:pPr>
    </w:p>
    <w:p w:rsidR="00CC4FF4" w:rsidRDefault="00EE6D95" w:rsidP="00CC4FF4">
      <w:pPr>
        <w:pStyle w:val="Normal6"/>
      </w:pPr>
      <w:r>
        <w:t>Savjet za razvoj civilnoga društva je savjetodavno tijelo Vlade Republike Hrvatske koje djeluje na razvoju suradnje Vlade Republike Hrvatske i organizacija civilnoga društva u Republici Hrvatskoj na provođenju Nacionalne strategije stvaranja poticajnog okruženja za razvoj civilnoga društva, razvoju filantropije, socijalnog kapitala, partnerskih odnosa i međusektorske suradnje. Tijela državne uprave i uredi Vlade Republike Hrvatske obvezni su, putem Ureda za udruge, dostavljati Savjetu cjelovite informacije o svojim odlukama o financiranju udruga i drugih organizacija civilnoga društva u Republici Hrvatskoj za prethodnu proračunsku godinu. Savjet jednom godišnje podnosi Vladi Republike Hrvatske izvješće o svome radu.</w:t>
      </w:r>
    </w:p>
    <w:p w:rsidR="00CC4FF4" w:rsidRDefault="00CC4FF4" w:rsidP="00CC4FF4">
      <w:pPr>
        <w:pStyle w:val="Normal6"/>
      </w:pPr>
    </w:p>
    <w:p w:rsidR="00D849AA" w:rsidRDefault="00EE6D95">
      <w:pPr>
        <w:pStyle w:val="Naslov6"/>
      </w:pPr>
      <w:r>
        <w:t>A509042 PROVEDBA NACIONALNOG PROGRAMA SUZBIJANJA KORUPCIJE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CC4FF4" w:rsidRDefault="00EE6D95">
            <w:pPr>
              <w:pStyle w:val="CellHeader"/>
            </w:pPr>
            <w:r w:rsidRPr="00CC4FF4">
              <w:t>Naziv aktivnosti</w:t>
            </w:r>
          </w:p>
        </w:tc>
        <w:tc>
          <w:tcPr>
            <w:tcW w:w="1486" w:type="dxa"/>
            <w:shd w:val="clear" w:color="auto" w:fill="B5C0D8"/>
          </w:tcPr>
          <w:p w:rsidR="00D849AA" w:rsidRPr="00CC4FF4" w:rsidRDefault="00EE6D95">
            <w:pPr>
              <w:pStyle w:val="CellHeader"/>
            </w:pPr>
            <w:r w:rsidRPr="00CC4FF4">
              <w:t>Plan 2013.</w:t>
            </w:r>
          </w:p>
        </w:tc>
        <w:tc>
          <w:tcPr>
            <w:tcW w:w="1486" w:type="dxa"/>
            <w:shd w:val="clear" w:color="auto" w:fill="B5C0D8"/>
          </w:tcPr>
          <w:p w:rsidR="00D849AA" w:rsidRPr="00CC4FF4" w:rsidRDefault="00EE6D95">
            <w:pPr>
              <w:pStyle w:val="CellHeader"/>
            </w:pPr>
            <w:r w:rsidRPr="00CC4FF4">
              <w:t>Plan 2014.</w:t>
            </w:r>
          </w:p>
        </w:tc>
        <w:tc>
          <w:tcPr>
            <w:tcW w:w="1486" w:type="dxa"/>
            <w:shd w:val="clear" w:color="auto" w:fill="B5C0D8"/>
          </w:tcPr>
          <w:p w:rsidR="00D849AA" w:rsidRPr="00CC4FF4" w:rsidRDefault="00EE6D95">
            <w:pPr>
              <w:pStyle w:val="CellHeader"/>
            </w:pPr>
            <w:r w:rsidRPr="00CC4FF4">
              <w:t>Plan 2015.</w:t>
            </w:r>
          </w:p>
        </w:tc>
        <w:tc>
          <w:tcPr>
            <w:tcW w:w="1486" w:type="dxa"/>
            <w:shd w:val="clear" w:color="auto" w:fill="B5C0D8"/>
          </w:tcPr>
          <w:p w:rsidR="00D849AA" w:rsidRPr="00CC4FF4" w:rsidRDefault="00EE6D95">
            <w:pPr>
              <w:pStyle w:val="CellHeader"/>
            </w:pPr>
            <w:r w:rsidRPr="00CC4FF4">
              <w:t>Plan 2016.</w:t>
            </w:r>
          </w:p>
        </w:tc>
        <w:tc>
          <w:tcPr>
            <w:tcW w:w="1486" w:type="dxa"/>
            <w:shd w:val="clear" w:color="auto" w:fill="B5C0D8"/>
          </w:tcPr>
          <w:p w:rsidR="00D849AA" w:rsidRPr="00CC4FF4" w:rsidRDefault="00EE6D95">
            <w:pPr>
              <w:pStyle w:val="CellHeader"/>
            </w:pPr>
            <w:r w:rsidRPr="00CC4FF4">
              <w:t>Indeks 2014/2013</w:t>
            </w:r>
          </w:p>
        </w:tc>
      </w:tr>
      <w:tr w:rsidR="00D849AA">
        <w:trPr>
          <w:jc w:val="center"/>
        </w:trPr>
        <w:tc>
          <w:tcPr>
            <w:tcW w:w="1486" w:type="dxa"/>
          </w:tcPr>
          <w:p w:rsidR="00D849AA" w:rsidRPr="00CC4FF4" w:rsidRDefault="00EE6D95">
            <w:pPr>
              <w:pStyle w:val="CellColumn"/>
            </w:pPr>
            <w:r w:rsidRPr="00CC4FF4">
              <w:t>A509042</w:t>
            </w:r>
          </w:p>
        </w:tc>
        <w:tc>
          <w:tcPr>
            <w:tcW w:w="1486" w:type="dxa"/>
          </w:tcPr>
          <w:p w:rsidR="00D849AA" w:rsidRPr="00CC4FF4" w:rsidRDefault="00EE6D95">
            <w:pPr>
              <w:rPr>
                <w:rFonts w:ascii="Arial" w:hAnsi="Arial" w:cs="Arial"/>
              </w:rPr>
            </w:pPr>
            <w:r w:rsidRPr="00CC4FF4">
              <w:rPr>
                <w:rFonts w:ascii="Arial" w:hAnsi="Arial" w:cs="Arial"/>
              </w:rPr>
              <w:t>90.000</w:t>
            </w:r>
          </w:p>
        </w:tc>
        <w:tc>
          <w:tcPr>
            <w:tcW w:w="1486" w:type="dxa"/>
          </w:tcPr>
          <w:p w:rsidR="00D849AA" w:rsidRPr="00CC4FF4" w:rsidRDefault="00EE6D95">
            <w:pPr>
              <w:rPr>
                <w:rFonts w:ascii="Arial" w:hAnsi="Arial" w:cs="Arial"/>
              </w:rPr>
            </w:pPr>
            <w:r w:rsidRPr="00CC4FF4">
              <w:rPr>
                <w:rFonts w:ascii="Arial" w:hAnsi="Arial" w:cs="Arial"/>
              </w:rPr>
              <w:t>50.000</w:t>
            </w:r>
          </w:p>
        </w:tc>
        <w:tc>
          <w:tcPr>
            <w:tcW w:w="1486" w:type="dxa"/>
          </w:tcPr>
          <w:p w:rsidR="00D849AA" w:rsidRPr="00CC4FF4" w:rsidRDefault="00EE6D95">
            <w:pPr>
              <w:rPr>
                <w:rFonts w:ascii="Arial" w:hAnsi="Arial" w:cs="Arial"/>
              </w:rPr>
            </w:pPr>
            <w:r w:rsidRPr="00CC4FF4">
              <w:rPr>
                <w:rFonts w:ascii="Arial" w:hAnsi="Arial" w:cs="Arial"/>
              </w:rPr>
              <w:t>50.000</w:t>
            </w:r>
          </w:p>
        </w:tc>
        <w:tc>
          <w:tcPr>
            <w:tcW w:w="1486" w:type="dxa"/>
          </w:tcPr>
          <w:p w:rsidR="00D849AA" w:rsidRPr="00CC4FF4" w:rsidRDefault="00EE6D95">
            <w:pPr>
              <w:rPr>
                <w:rFonts w:ascii="Arial" w:hAnsi="Arial" w:cs="Arial"/>
              </w:rPr>
            </w:pPr>
            <w:r w:rsidRPr="00CC4FF4">
              <w:rPr>
                <w:rFonts w:ascii="Arial" w:hAnsi="Arial" w:cs="Arial"/>
              </w:rPr>
              <w:t>50.000</w:t>
            </w:r>
          </w:p>
        </w:tc>
        <w:tc>
          <w:tcPr>
            <w:tcW w:w="1486" w:type="dxa"/>
          </w:tcPr>
          <w:p w:rsidR="00D849AA" w:rsidRPr="00CC4FF4" w:rsidRDefault="00EE6D95">
            <w:pPr>
              <w:rPr>
                <w:rFonts w:ascii="Arial" w:hAnsi="Arial" w:cs="Arial"/>
              </w:rPr>
            </w:pPr>
            <w:r w:rsidRPr="00CC4FF4">
              <w:rPr>
                <w:rFonts w:ascii="Arial" w:hAnsi="Arial" w:cs="Arial"/>
              </w:rPr>
              <w:t>55,6</w:t>
            </w:r>
          </w:p>
        </w:tc>
      </w:tr>
    </w:tbl>
    <w:p w:rsidR="00D849AA" w:rsidRDefault="00EE6D95">
      <w:pPr>
        <w:pStyle w:val="Normal6"/>
      </w:pPr>
      <w:r>
        <w:lastRenderedPageBreak/>
        <w:t>Ured za udruge nadležan je za provedbu pet mjera iz akcijskog plana uz Strategiju suzbijanja korupcije koje se između ostalog odnose na odnose na uvođenje i vođenje zajedničkog informacijskog sustava  za sva tijela državne uprave za koordinaciju dodjele bespovratnih sredstava iz javnih izvora organizacijama civilnoga društva koja provode programe i projekte od općeg/javnog dobra, na provođenje programa izobrazbe dužnosnika i službenika na državnoj i lokalnoj razini za učinkovitu suradnju s civilnim društvom u oblikovanju i provedbi javnih politika te uređivanje načela i postupaka transparentne i učinkovite dodjele bespovratnih sredstava iz javnih izvora, te sponzorstava i donacija javnih poduzeća udrugama i drugim neprofitnim organizacijama.</w:t>
      </w:r>
    </w:p>
    <w:p w:rsidR="00D849AA" w:rsidRDefault="00EE6D95">
      <w:pPr>
        <w:pStyle w:val="Naslov6"/>
      </w:pPr>
      <w:r>
        <w:t>A509044 KONTAKT TOČKA ZA PROGRAM EUROPA ZA GRAĐANE (EU-ECP)</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CC4FF4" w:rsidRDefault="00EE6D95">
            <w:pPr>
              <w:pStyle w:val="CellHeader"/>
            </w:pPr>
            <w:r w:rsidRPr="00CC4FF4">
              <w:t>Naziv aktivnosti</w:t>
            </w:r>
          </w:p>
        </w:tc>
        <w:tc>
          <w:tcPr>
            <w:tcW w:w="1486" w:type="dxa"/>
            <w:shd w:val="clear" w:color="auto" w:fill="B5C0D8"/>
          </w:tcPr>
          <w:p w:rsidR="00D849AA" w:rsidRPr="00CC4FF4" w:rsidRDefault="00EE6D95">
            <w:pPr>
              <w:pStyle w:val="CellHeader"/>
            </w:pPr>
            <w:r w:rsidRPr="00CC4FF4">
              <w:t>Plan 2013.</w:t>
            </w:r>
          </w:p>
        </w:tc>
        <w:tc>
          <w:tcPr>
            <w:tcW w:w="1486" w:type="dxa"/>
            <w:shd w:val="clear" w:color="auto" w:fill="B5C0D8"/>
          </w:tcPr>
          <w:p w:rsidR="00D849AA" w:rsidRPr="00CC4FF4" w:rsidRDefault="00EE6D95">
            <w:pPr>
              <w:pStyle w:val="CellHeader"/>
            </w:pPr>
            <w:r w:rsidRPr="00CC4FF4">
              <w:t>Plan 2014.</w:t>
            </w:r>
          </w:p>
        </w:tc>
        <w:tc>
          <w:tcPr>
            <w:tcW w:w="1486" w:type="dxa"/>
            <w:shd w:val="clear" w:color="auto" w:fill="B5C0D8"/>
          </w:tcPr>
          <w:p w:rsidR="00D849AA" w:rsidRPr="00CC4FF4" w:rsidRDefault="00EE6D95">
            <w:pPr>
              <w:pStyle w:val="CellHeader"/>
            </w:pPr>
            <w:r w:rsidRPr="00CC4FF4">
              <w:t>Plan 2015.</w:t>
            </w:r>
          </w:p>
        </w:tc>
        <w:tc>
          <w:tcPr>
            <w:tcW w:w="1486" w:type="dxa"/>
            <w:shd w:val="clear" w:color="auto" w:fill="B5C0D8"/>
          </w:tcPr>
          <w:p w:rsidR="00D849AA" w:rsidRPr="00CC4FF4" w:rsidRDefault="00EE6D95">
            <w:pPr>
              <w:pStyle w:val="CellHeader"/>
            </w:pPr>
            <w:r w:rsidRPr="00CC4FF4">
              <w:t>Plan 2016.</w:t>
            </w:r>
          </w:p>
        </w:tc>
        <w:tc>
          <w:tcPr>
            <w:tcW w:w="1486" w:type="dxa"/>
            <w:shd w:val="clear" w:color="auto" w:fill="B5C0D8"/>
          </w:tcPr>
          <w:p w:rsidR="00D849AA" w:rsidRPr="00CC4FF4" w:rsidRDefault="00EE6D95">
            <w:pPr>
              <w:pStyle w:val="CellHeader"/>
            </w:pPr>
            <w:r w:rsidRPr="00CC4FF4">
              <w:t>Indeks 2014/2013</w:t>
            </w:r>
          </w:p>
        </w:tc>
      </w:tr>
      <w:tr w:rsidR="00D849AA">
        <w:trPr>
          <w:jc w:val="center"/>
        </w:trPr>
        <w:tc>
          <w:tcPr>
            <w:tcW w:w="1486" w:type="dxa"/>
          </w:tcPr>
          <w:p w:rsidR="00D849AA" w:rsidRPr="00CC4FF4" w:rsidRDefault="00EE6D95">
            <w:pPr>
              <w:pStyle w:val="CellColumn"/>
            </w:pPr>
            <w:r w:rsidRPr="00CC4FF4">
              <w:t>A509044</w:t>
            </w:r>
          </w:p>
        </w:tc>
        <w:tc>
          <w:tcPr>
            <w:tcW w:w="1486" w:type="dxa"/>
          </w:tcPr>
          <w:p w:rsidR="00D849AA" w:rsidRPr="00CC4FF4" w:rsidRDefault="00EE6D95">
            <w:pPr>
              <w:rPr>
                <w:rFonts w:ascii="Arial" w:hAnsi="Arial" w:cs="Arial"/>
              </w:rPr>
            </w:pPr>
            <w:r w:rsidRPr="00CC4FF4">
              <w:rPr>
                <w:rFonts w:ascii="Arial" w:hAnsi="Arial" w:cs="Arial"/>
              </w:rPr>
              <w:t>150.000</w:t>
            </w:r>
          </w:p>
        </w:tc>
        <w:tc>
          <w:tcPr>
            <w:tcW w:w="1486" w:type="dxa"/>
          </w:tcPr>
          <w:p w:rsidR="00D849AA" w:rsidRPr="00CC4FF4" w:rsidRDefault="00EE6D95">
            <w:pPr>
              <w:rPr>
                <w:rFonts w:ascii="Arial" w:hAnsi="Arial" w:cs="Arial"/>
              </w:rPr>
            </w:pPr>
            <w:r w:rsidRPr="00CC4FF4">
              <w:rPr>
                <w:rFonts w:ascii="Arial" w:hAnsi="Arial" w:cs="Arial"/>
              </w:rPr>
              <w:t>322.240</w:t>
            </w:r>
          </w:p>
        </w:tc>
        <w:tc>
          <w:tcPr>
            <w:tcW w:w="1486" w:type="dxa"/>
          </w:tcPr>
          <w:p w:rsidR="00D849AA" w:rsidRPr="00CC4FF4" w:rsidRDefault="00EE6D95">
            <w:pPr>
              <w:rPr>
                <w:rFonts w:ascii="Arial" w:hAnsi="Arial" w:cs="Arial"/>
              </w:rPr>
            </w:pPr>
            <w:r w:rsidRPr="00CC4FF4">
              <w:rPr>
                <w:rFonts w:ascii="Arial" w:hAnsi="Arial" w:cs="Arial"/>
              </w:rPr>
              <w:t>150.000</w:t>
            </w:r>
          </w:p>
        </w:tc>
        <w:tc>
          <w:tcPr>
            <w:tcW w:w="1486" w:type="dxa"/>
          </w:tcPr>
          <w:p w:rsidR="00D849AA" w:rsidRPr="00CC4FF4" w:rsidRDefault="00EE6D95">
            <w:pPr>
              <w:rPr>
                <w:rFonts w:ascii="Arial" w:hAnsi="Arial" w:cs="Arial"/>
              </w:rPr>
            </w:pPr>
            <w:r w:rsidRPr="00CC4FF4">
              <w:rPr>
                <w:rFonts w:ascii="Arial" w:hAnsi="Arial" w:cs="Arial"/>
              </w:rPr>
              <w:t>150.000</w:t>
            </w:r>
          </w:p>
        </w:tc>
        <w:tc>
          <w:tcPr>
            <w:tcW w:w="1486" w:type="dxa"/>
          </w:tcPr>
          <w:p w:rsidR="00D849AA" w:rsidRPr="00CC4FF4" w:rsidRDefault="00EE6D95">
            <w:pPr>
              <w:rPr>
                <w:rFonts w:ascii="Arial" w:hAnsi="Arial" w:cs="Arial"/>
              </w:rPr>
            </w:pPr>
            <w:r w:rsidRPr="00CC4FF4">
              <w:rPr>
                <w:rFonts w:ascii="Arial" w:hAnsi="Arial" w:cs="Arial"/>
              </w:rPr>
              <w:t>214,8</w:t>
            </w:r>
          </w:p>
        </w:tc>
      </w:tr>
    </w:tbl>
    <w:p w:rsidR="00D849AA" w:rsidRDefault="00D849AA">
      <w:pPr>
        <w:jc w:val="left"/>
      </w:pPr>
    </w:p>
    <w:p w:rsidR="00D849AA" w:rsidRDefault="00EE6D95">
      <w:pPr>
        <w:pStyle w:val="Normal6"/>
      </w:pPr>
      <w:r>
        <w:t xml:space="preserve">Ured za udruge djeluje kao Kontakt točka Europske komisije za program Europa za građane te u tom svojstvu provodi aktivnosti informiranja i izobrazbe potencijalnih podnositelja projektnih prijedloga iz čitave Hrvatske. U svrhu povećanja iskorištenosti raspoloživih sredstava u sklopu tog Programa Unije Europa za građane, nastavit će se s aktivnostima informiranja i izobrazbe u sljedećem trogodišnjem razdoblju, čime će se povećati broj obrazovanih osoba o uvjetima prijave na natječaje tog Programa. </w:t>
      </w:r>
    </w:p>
    <w:p w:rsidR="00D849AA" w:rsidRDefault="00EE6D95">
      <w:pPr>
        <w:pStyle w:val="Normal6"/>
      </w:pPr>
      <w:r>
        <w:t>Povećat će se broj obrazovanih osoba o uvjetima prijave na natječaje programa Europa za građane na način da svake godine od 2014. do 2016. najmanje 150 dodatnih osoba bude educirano o uvjetima prijave na natječaje Programa. Također, predviđen broj javnih događanja u programu Europa za građane u razdoblju od 2014. do 2016. ostaje najmanje 10 javnih događanja (radionica, seminara).</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rsidRPr="00CC4FF4">
        <w:trPr>
          <w:jc w:val="center"/>
        </w:trPr>
        <w:tc>
          <w:tcPr>
            <w:tcW w:w="2229" w:type="dxa"/>
            <w:shd w:val="clear" w:color="auto" w:fill="B5C0D8"/>
          </w:tcPr>
          <w:p w:rsidR="00D849AA" w:rsidRPr="00CC4FF4" w:rsidRDefault="00EE6D95">
            <w:pPr>
              <w:rPr>
                <w:rFonts w:ascii="Arial" w:hAnsi="Arial" w:cs="Arial"/>
              </w:rPr>
            </w:pPr>
            <w:r w:rsidRPr="00CC4FF4">
              <w:rPr>
                <w:rFonts w:ascii="Arial" w:hAnsi="Arial" w:cs="Arial"/>
              </w:rPr>
              <w:t>Pokazatelj rezultata</w:t>
            </w:r>
          </w:p>
        </w:tc>
        <w:tc>
          <w:tcPr>
            <w:tcW w:w="1114" w:type="dxa"/>
            <w:shd w:val="clear" w:color="auto" w:fill="B5C0D8"/>
          </w:tcPr>
          <w:p w:rsidR="00D849AA" w:rsidRPr="00CC4FF4" w:rsidRDefault="00EE6D95">
            <w:pPr>
              <w:pStyle w:val="CellHeader"/>
            </w:pPr>
            <w:r w:rsidRPr="00CC4FF4">
              <w:t>Jedinica</w:t>
            </w:r>
          </w:p>
        </w:tc>
        <w:tc>
          <w:tcPr>
            <w:tcW w:w="1114" w:type="dxa"/>
            <w:shd w:val="clear" w:color="auto" w:fill="B5C0D8"/>
          </w:tcPr>
          <w:p w:rsidR="00D849AA" w:rsidRPr="00CC4FF4" w:rsidRDefault="00EE6D95">
            <w:pPr>
              <w:pStyle w:val="CellHeader"/>
            </w:pPr>
            <w:r w:rsidRPr="00CC4FF4">
              <w:t>Polazna vrijednost</w:t>
            </w:r>
          </w:p>
        </w:tc>
        <w:tc>
          <w:tcPr>
            <w:tcW w:w="1486" w:type="dxa"/>
            <w:shd w:val="clear" w:color="auto" w:fill="B5C0D8"/>
          </w:tcPr>
          <w:p w:rsidR="00D849AA" w:rsidRPr="00CC4FF4" w:rsidRDefault="00EE6D95">
            <w:pPr>
              <w:pStyle w:val="CellHeader"/>
            </w:pPr>
            <w:r w:rsidRPr="00CC4FF4">
              <w:t>Ciljana vrijednost (2014.)</w:t>
            </w:r>
          </w:p>
        </w:tc>
        <w:tc>
          <w:tcPr>
            <w:tcW w:w="1486" w:type="dxa"/>
            <w:shd w:val="clear" w:color="auto" w:fill="B5C0D8"/>
          </w:tcPr>
          <w:p w:rsidR="00D849AA" w:rsidRPr="00CC4FF4" w:rsidRDefault="00EE6D95">
            <w:pPr>
              <w:pStyle w:val="CellHeader"/>
            </w:pPr>
            <w:r w:rsidRPr="00CC4FF4">
              <w:t>Ciljana vrijednost (2015.)</w:t>
            </w:r>
          </w:p>
        </w:tc>
        <w:tc>
          <w:tcPr>
            <w:tcW w:w="1486" w:type="dxa"/>
            <w:shd w:val="clear" w:color="auto" w:fill="B5C0D8"/>
          </w:tcPr>
          <w:p w:rsidR="00D849AA" w:rsidRPr="00CC4FF4" w:rsidRDefault="00EE6D95">
            <w:pPr>
              <w:pStyle w:val="CellHeader"/>
            </w:pPr>
            <w:r w:rsidRPr="00CC4FF4">
              <w:t>Ciljana vrijednost (2016.)</w:t>
            </w:r>
          </w:p>
        </w:tc>
      </w:tr>
      <w:tr w:rsidR="00D849AA" w:rsidRPr="00CC4FF4">
        <w:trPr>
          <w:jc w:val="center"/>
        </w:trPr>
        <w:tc>
          <w:tcPr>
            <w:tcW w:w="2229" w:type="dxa"/>
          </w:tcPr>
          <w:p w:rsidR="00D849AA" w:rsidRPr="00CC4FF4" w:rsidRDefault="00EE6D95">
            <w:pPr>
              <w:pStyle w:val="CellColumn"/>
            </w:pPr>
            <w:r w:rsidRPr="00CC4FF4">
              <w:t>Povećan broj obrazovanih osoba o uvjetima prijave na natječaje programa</w:t>
            </w:r>
          </w:p>
        </w:tc>
        <w:tc>
          <w:tcPr>
            <w:tcW w:w="1114" w:type="dxa"/>
          </w:tcPr>
          <w:p w:rsidR="00D849AA" w:rsidRPr="00CC4FF4" w:rsidRDefault="00EE6D95">
            <w:pPr>
              <w:rPr>
                <w:rFonts w:ascii="Arial" w:hAnsi="Arial" w:cs="Arial"/>
              </w:rPr>
            </w:pPr>
            <w:r w:rsidRPr="00CC4FF4">
              <w:rPr>
                <w:rFonts w:ascii="Arial" w:hAnsi="Arial" w:cs="Arial"/>
              </w:rPr>
              <w:t>broj</w:t>
            </w:r>
          </w:p>
        </w:tc>
        <w:tc>
          <w:tcPr>
            <w:tcW w:w="1114" w:type="dxa"/>
          </w:tcPr>
          <w:p w:rsidR="00D849AA" w:rsidRPr="00CC4FF4" w:rsidRDefault="00EE6D95">
            <w:pPr>
              <w:rPr>
                <w:rFonts w:ascii="Arial" w:hAnsi="Arial" w:cs="Arial"/>
              </w:rPr>
            </w:pPr>
            <w:r w:rsidRPr="00CC4FF4">
              <w:rPr>
                <w:rFonts w:ascii="Arial" w:hAnsi="Arial" w:cs="Arial"/>
              </w:rPr>
              <w:t>300</w:t>
            </w:r>
          </w:p>
        </w:tc>
        <w:tc>
          <w:tcPr>
            <w:tcW w:w="1486" w:type="dxa"/>
          </w:tcPr>
          <w:p w:rsidR="00D849AA" w:rsidRPr="00CC4FF4" w:rsidRDefault="00EE6D95">
            <w:pPr>
              <w:rPr>
                <w:rFonts w:ascii="Arial" w:hAnsi="Arial" w:cs="Arial"/>
              </w:rPr>
            </w:pPr>
            <w:r w:rsidRPr="00CC4FF4">
              <w:rPr>
                <w:rFonts w:ascii="Arial" w:hAnsi="Arial" w:cs="Arial"/>
              </w:rPr>
              <w:t>450</w:t>
            </w:r>
          </w:p>
        </w:tc>
        <w:tc>
          <w:tcPr>
            <w:tcW w:w="1486" w:type="dxa"/>
          </w:tcPr>
          <w:p w:rsidR="00D849AA" w:rsidRPr="00CC4FF4" w:rsidRDefault="00EE6D95">
            <w:pPr>
              <w:rPr>
                <w:rFonts w:ascii="Arial" w:hAnsi="Arial" w:cs="Arial"/>
              </w:rPr>
            </w:pPr>
            <w:r w:rsidRPr="00CC4FF4">
              <w:rPr>
                <w:rFonts w:ascii="Arial" w:hAnsi="Arial" w:cs="Arial"/>
              </w:rPr>
              <w:t>600</w:t>
            </w:r>
          </w:p>
        </w:tc>
        <w:tc>
          <w:tcPr>
            <w:tcW w:w="1486" w:type="dxa"/>
          </w:tcPr>
          <w:p w:rsidR="00D849AA" w:rsidRPr="00CC4FF4" w:rsidRDefault="00EE6D95">
            <w:pPr>
              <w:rPr>
                <w:rFonts w:ascii="Arial" w:hAnsi="Arial" w:cs="Arial"/>
              </w:rPr>
            </w:pPr>
            <w:r w:rsidRPr="00CC4FF4">
              <w:rPr>
                <w:rFonts w:ascii="Arial" w:hAnsi="Arial" w:cs="Arial"/>
              </w:rPr>
              <w:t>750</w:t>
            </w:r>
          </w:p>
        </w:tc>
      </w:tr>
      <w:tr w:rsidR="00D849AA" w:rsidRPr="00CC4FF4">
        <w:trPr>
          <w:jc w:val="center"/>
        </w:trPr>
        <w:tc>
          <w:tcPr>
            <w:tcW w:w="2229" w:type="dxa"/>
          </w:tcPr>
          <w:p w:rsidR="00D849AA" w:rsidRPr="00CC4FF4" w:rsidRDefault="00EE6D95">
            <w:pPr>
              <w:pStyle w:val="CellColumn"/>
            </w:pPr>
            <w:r w:rsidRPr="00CC4FF4">
              <w:t>Povećani broj javnih događanja o natječajima iz programa Europa za građane</w:t>
            </w:r>
          </w:p>
        </w:tc>
        <w:tc>
          <w:tcPr>
            <w:tcW w:w="1114" w:type="dxa"/>
          </w:tcPr>
          <w:p w:rsidR="00D849AA" w:rsidRPr="00CC4FF4" w:rsidRDefault="00EE6D95">
            <w:pPr>
              <w:rPr>
                <w:rFonts w:ascii="Arial" w:hAnsi="Arial" w:cs="Arial"/>
              </w:rPr>
            </w:pPr>
            <w:r w:rsidRPr="00CC4FF4">
              <w:rPr>
                <w:rFonts w:ascii="Arial" w:hAnsi="Arial" w:cs="Arial"/>
              </w:rPr>
              <w:t>broj</w:t>
            </w:r>
          </w:p>
        </w:tc>
        <w:tc>
          <w:tcPr>
            <w:tcW w:w="1114" w:type="dxa"/>
          </w:tcPr>
          <w:p w:rsidR="00D849AA" w:rsidRPr="00CC4FF4" w:rsidRDefault="00EE6D95">
            <w:pPr>
              <w:rPr>
                <w:rFonts w:ascii="Arial" w:hAnsi="Arial" w:cs="Arial"/>
              </w:rPr>
            </w:pPr>
            <w:r w:rsidRPr="00CC4FF4">
              <w:rPr>
                <w:rFonts w:ascii="Arial" w:hAnsi="Arial" w:cs="Arial"/>
              </w:rPr>
              <w:t>20</w:t>
            </w:r>
          </w:p>
        </w:tc>
        <w:tc>
          <w:tcPr>
            <w:tcW w:w="1486" w:type="dxa"/>
          </w:tcPr>
          <w:p w:rsidR="00D849AA" w:rsidRPr="00CC4FF4" w:rsidRDefault="00EE6D95">
            <w:pPr>
              <w:rPr>
                <w:rFonts w:ascii="Arial" w:hAnsi="Arial" w:cs="Arial"/>
              </w:rPr>
            </w:pPr>
            <w:r w:rsidRPr="00CC4FF4">
              <w:rPr>
                <w:rFonts w:ascii="Arial" w:hAnsi="Arial" w:cs="Arial"/>
              </w:rPr>
              <w:t>30</w:t>
            </w:r>
          </w:p>
        </w:tc>
        <w:tc>
          <w:tcPr>
            <w:tcW w:w="1486" w:type="dxa"/>
          </w:tcPr>
          <w:p w:rsidR="00D849AA" w:rsidRPr="00CC4FF4" w:rsidRDefault="00EE6D95">
            <w:pPr>
              <w:rPr>
                <w:rFonts w:ascii="Arial" w:hAnsi="Arial" w:cs="Arial"/>
              </w:rPr>
            </w:pPr>
            <w:r w:rsidRPr="00CC4FF4">
              <w:rPr>
                <w:rFonts w:ascii="Arial" w:hAnsi="Arial" w:cs="Arial"/>
              </w:rPr>
              <w:t>40</w:t>
            </w:r>
          </w:p>
        </w:tc>
        <w:tc>
          <w:tcPr>
            <w:tcW w:w="1486" w:type="dxa"/>
          </w:tcPr>
          <w:p w:rsidR="00D849AA" w:rsidRPr="00CC4FF4" w:rsidRDefault="00EE6D95">
            <w:pPr>
              <w:rPr>
                <w:rFonts w:ascii="Arial" w:hAnsi="Arial" w:cs="Arial"/>
              </w:rPr>
            </w:pPr>
            <w:r w:rsidRPr="00CC4FF4">
              <w:rPr>
                <w:rFonts w:ascii="Arial" w:hAnsi="Arial" w:cs="Arial"/>
              </w:rPr>
              <w:t>50</w:t>
            </w:r>
          </w:p>
        </w:tc>
      </w:tr>
    </w:tbl>
    <w:p w:rsidR="00D849AA" w:rsidRDefault="00EE6D95">
      <w:pPr>
        <w:pStyle w:val="Naslov6"/>
      </w:pPr>
      <w:r>
        <w:t>A509045 IPA 2008 - JAČANJE KAPACITETA SEKTORA CIVILNOG DRUŠTVA ZA PRAĆENJE PRIMJENE EUROPSKE PRAVNE STEČEVINE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CC4FF4" w:rsidRDefault="00EE6D95">
            <w:pPr>
              <w:pStyle w:val="CellHeader"/>
            </w:pPr>
            <w:r w:rsidRPr="00CC4FF4">
              <w:t>Naziv aktivnosti</w:t>
            </w:r>
          </w:p>
        </w:tc>
        <w:tc>
          <w:tcPr>
            <w:tcW w:w="1486" w:type="dxa"/>
            <w:shd w:val="clear" w:color="auto" w:fill="B5C0D8"/>
          </w:tcPr>
          <w:p w:rsidR="00D849AA" w:rsidRPr="00CC4FF4" w:rsidRDefault="00EE6D95">
            <w:pPr>
              <w:pStyle w:val="CellHeader"/>
            </w:pPr>
            <w:r w:rsidRPr="00CC4FF4">
              <w:t>Plan 2013.</w:t>
            </w:r>
          </w:p>
        </w:tc>
        <w:tc>
          <w:tcPr>
            <w:tcW w:w="1486" w:type="dxa"/>
            <w:shd w:val="clear" w:color="auto" w:fill="B5C0D8"/>
          </w:tcPr>
          <w:p w:rsidR="00D849AA" w:rsidRPr="00CC4FF4" w:rsidRDefault="00EE6D95">
            <w:pPr>
              <w:pStyle w:val="CellHeader"/>
            </w:pPr>
            <w:r w:rsidRPr="00CC4FF4">
              <w:t>Plan 2014.</w:t>
            </w:r>
          </w:p>
        </w:tc>
        <w:tc>
          <w:tcPr>
            <w:tcW w:w="1486" w:type="dxa"/>
            <w:shd w:val="clear" w:color="auto" w:fill="B5C0D8"/>
          </w:tcPr>
          <w:p w:rsidR="00D849AA" w:rsidRPr="00CC4FF4" w:rsidRDefault="00EE6D95">
            <w:pPr>
              <w:pStyle w:val="CellHeader"/>
            </w:pPr>
            <w:r w:rsidRPr="00CC4FF4">
              <w:t>Plan 2015.</w:t>
            </w:r>
          </w:p>
        </w:tc>
        <w:tc>
          <w:tcPr>
            <w:tcW w:w="1486" w:type="dxa"/>
            <w:shd w:val="clear" w:color="auto" w:fill="B5C0D8"/>
          </w:tcPr>
          <w:p w:rsidR="00D849AA" w:rsidRPr="00CC4FF4" w:rsidRDefault="00EE6D95">
            <w:pPr>
              <w:pStyle w:val="CellHeader"/>
            </w:pPr>
            <w:r w:rsidRPr="00CC4FF4">
              <w:t>Plan 2016.</w:t>
            </w:r>
          </w:p>
        </w:tc>
        <w:tc>
          <w:tcPr>
            <w:tcW w:w="1486" w:type="dxa"/>
            <w:shd w:val="clear" w:color="auto" w:fill="B5C0D8"/>
          </w:tcPr>
          <w:p w:rsidR="00D849AA" w:rsidRPr="00CC4FF4" w:rsidRDefault="00EE6D95">
            <w:pPr>
              <w:pStyle w:val="CellHeader"/>
            </w:pPr>
            <w:r w:rsidRPr="00CC4FF4">
              <w:t>Indeks 2014/2013</w:t>
            </w:r>
          </w:p>
        </w:tc>
      </w:tr>
      <w:tr w:rsidR="00D849AA">
        <w:trPr>
          <w:jc w:val="center"/>
        </w:trPr>
        <w:tc>
          <w:tcPr>
            <w:tcW w:w="1486" w:type="dxa"/>
          </w:tcPr>
          <w:p w:rsidR="00D849AA" w:rsidRPr="00CC4FF4" w:rsidRDefault="00EE6D95">
            <w:pPr>
              <w:pStyle w:val="CellColumn"/>
            </w:pPr>
            <w:r w:rsidRPr="00CC4FF4">
              <w:t>A509045</w:t>
            </w:r>
          </w:p>
        </w:tc>
        <w:tc>
          <w:tcPr>
            <w:tcW w:w="1486" w:type="dxa"/>
          </w:tcPr>
          <w:p w:rsidR="00D849AA" w:rsidRPr="00CC4FF4" w:rsidRDefault="00EE6D95">
            <w:pPr>
              <w:rPr>
                <w:rFonts w:ascii="Arial" w:hAnsi="Arial" w:cs="Arial"/>
              </w:rPr>
            </w:pPr>
            <w:r w:rsidRPr="00CC4FF4">
              <w:rPr>
                <w:rFonts w:ascii="Arial" w:hAnsi="Arial" w:cs="Arial"/>
              </w:rPr>
              <w:t>4.767.959</w:t>
            </w:r>
          </w:p>
        </w:tc>
        <w:tc>
          <w:tcPr>
            <w:tcW w:w="1486" w:type="dxa"/>
          </w:tcPr>
          <w:p w:rsidR="00D849AA" w:rsidRPr="00CC4FF4" w:rsidRDefault="00EE6D95">
            <w:pPr>
              <w:rPr>
                <w:rFonts w:ascii="Arial" w:hAnsi="Arial" w:cs="Arial"/>
              </w:rPr>
            </w:pPr>
            <w:r w:rsidRPr="00CC4FF4">
              <w:rPr>
                <w:rFonts w:ascii="Arial" w:hAnsi="Arial" w:cs="Arial"/>
              </w:rPr>
              <w:t>2.090.820</w:t>
            </w:r>
          </w:p>
        </w:tc>
        <w:tc>
          <w:tcPr>
            <w:tcW w:w="1486" w:type="dxa"/>
          </w:tcPr>
          <w:p w:rsidR="00D849AA" w:rsidRPr="00CC4FF4" w:rsidRDefault="00EE6D95">
            <w:pPr>
              <w:rPr>
                <w:rFonts w:ascii="Arial" w:hAnsi="Arial" w:cs="Arial"/>
              </w:rPr>
            </w:pPr>
            <w:r w:rsidRPr="00CC4FF4">
              <w:rPr>
                <w:rFonts w:ascii="Arial" w:hAnsi="Arial" w:cs="Arial"/>
              </w:rPr>
              <w:t>00</w:t>
            </w:r>
          </w:p>
        </w:tc>
        <w:tc>
          <w:tcPr>
            <w:tcW w:w="1486" w:type="dxa"/>
          </w:tcPr>
          <w:p w:rsidR="00D849AA" w:rsidRPr="00CC4FF4" w:rsidRDefault="00EE6D95">
            <w:pPr>
              <w:rPr>
                <w:rFonts w:ascii="Arial" w:hAnsi="Arial" w:cs="Arial"/>
              </w:rPr>
            </w:pPr>
            <w:r w:rsidRPr="00CC4FF4">
              <w:rPr>
                <w:rFonts w:ascii="Arial" w:hAnsi="Arial" w:cs="Arial"/>
              </w:rPr>
              <w:t>00</w:t>
            </w:r>
          </w:p>
        </w:tc>
        <w:tc>
          <w:tcPr>
            <w:tcW w:w="1486" w:type="dxa"/>
          </w:tcPr>
          <w:p w:rsidR="00D849AA" w:rsidRPr="00CC4FF4" w:rsidRDefault="00EE6D95">
            <w:pPr>
              <w:rPr>
                <w:rFonts w:ascii="Arial" w:hAnsi="Arial" w:cs="Arial"/>
              </w:rPr>
            </w:pPr>
            <w:r w:rsidRPr="00CC4FF4">
              <w:rPr>
                <w:rFonts w:ascii="Arial" w:hAnsi="Arial" w:cs="Arial"/>
              </w:rPr>
              <w:t>43,8</w:t>
            </w:r>
          </w:p>
        </w:tc>
      </w:tr>
    </w:tbl>
    <w:p w:rsidR="00D849AA" w:rsidRDefault="00EE6D95">
      <w:pPr>
        <w:pStyle w:val="Normal6"/>
      </w:pPr>
      <w:r>
        <w:lastRenderedPageBreak/>
        <w:t>U sklopu programa IPA 2008 (I. komponenta) provode se 3 sheme bespovratnih sredstva u područjima suzbijanja diskriminacije, sprječavanja korupcije te zaštite okoliša i održivog razvoja. Ured za udruge u provedbi ovog programa djeluje kao Korisnička institucija, a u sklopu decentraliziranog modela provedbe programa Europske unije.</w:t>
      </w:r>
    </w:p>
    <w:p w:rsidR="00D849AA" w:rsidRDefault="00EE6D95">
      <w:pPr>
        <w:pStyle w:val="Naslov6"/>
      </w:pPr>
      <w:r>
        <w:t>A509047 IPA 2009 - JAČANJE ODRŽIVOSTI I RAZVOJ ORGANIZACIJA CIVILNOGA DRUŠTVA (OCD-a) KAO PRO-AKTIVNIH DRUŠTVENIH DIONIKA PRI PROVEDBI PRAVNE STEČEVINE EU</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CC4FF4" w:rsidRDefault="00EE6D95">
            <w:pPr>
              <w:pStyle w:val="CellHeader"/>
            </w:pPr>
            <w:r w:rsidRPr="00CC4FF4">
              <w:t>Naziv aktivnosti</w:t>
            </w:r>
          </w:p>
        </w:tc>
        <w:tc>
          <w:tcPr>
            <w:tcW w:w="1486" w:type="dxa"/>
            <w:shd w:val="clear" w:color="auto" w:fill="B5C0D8"/>
          </w:tcPr>
          <w:p w:rsidR="00D849AA" w:rsidRPr="00CC4FF4" w:rsidRDefault="00EE6D95">
            <w:pPr>
              <w:pStyle w:val="CellHeader"/>
            </w:pPr>
            <w:r w:rsidRPr="00CC4FF4">
              <w:t>Plan 2013.</w:t>
            </w:r>
          </w:p>
        </w:tc>
        <w:tc>
          <w:tcPr>
            <w:tcW w:w="1486" w:type="dxa"/>
            <w:shd w:val="clear" w:color="auto" w:fill="B5C0D8"/>
          </w:tcPr>
          <w:p w:rsidR="00D849AA" w:rsidRPr="00CC4FF4" w:rsidRDefault="00EE6D95">
            <w:pPr>
              <w:pStyle w:val="CellHeader"/>
            </w:pPr>
            <w:r w:rsidRPr="00CC4FF4">
              <w:t>Plan 2014.</w:t>
            </w:r>
          </w:p>
        </w:tc>
        <w:tc>
          <w:tcPr>
            <w:tcW w:w="1486" w:type="dxa"/>
            <w:shd w:val="clear" w:color="auto" w:fill="B5C0D8"/>
          </w:tcPr>
          <w:p w:rsidR="00D849AA" w:rsidRPr="00CC4FF4" w:rsidRDefault="00EE6D95">
            <w:pPr>
              <w:pStyle w:val="CellHeader"/>
            </w:pPr>
            <w:r w:rsidRPr="00CC4FF4">
              <w:t>Plan 2015.</w:t>
            </w:r>
          </w:p>
        </w:tc>
        <w:tc>
          <w:tcPr>
            <w:tcW w:w="1486" w:type="dxa"/>
            <w:shd w:val="clear" w:color="auto" w:fill="B5C0D8"/>
          </w:tcPr>
          <w:p w:rsidR="00D849AA" w:rsidRPr="00CC4FF4" w:rsidRDefault="00EE6D95">
            <w:pPr>
              <w:pStyle w:val="CellHeader"/>
            </w:pPr>
            <w:r w:rsidRPr="00CC4FF4">
              <w:t>Plan 2016.</w:t>
            </w:r>
          </w:p>
        </w:tc>
        <w:tc>
          <w:tcPr>
            <w:tcW w:w="1486" w:type="dxa"/>
            <w:shd w:val="clear" w:color="auto" w:fill="B5C0D8"/>
          </w:tcPr>
          <w:p w:rsidR="00D849AA" w:rsidRPr="00CC4FF4" w:rsidRDefault="00EE6D95">
            <w:pPr>
              <w:pStyle w:val="CellHeader"/>
            </w:pPr>
            <w:r w:rsidRPr="00CC4FF4">
              <w:t>Indeks 2014/2013</w:t>
            </w:r>
          </w:p>
        </w:tc>
      </w:tr>
      <w:tr w:rsidR="00D849AA">
        <w:trPr>
          <w:jc w:val="center"/>
        </w:trPr>
        <w:tc>
          <w:tcPr>
            <w:tcW w:w="1486" w:type="dxa"/>
          </w:tcPr>
          <w:p w:rsidR="00D849AA" w:rsidRPr="00CC4FF4" w:rsidRDefault="00EE6D95">
            <w:pPr>
              <w:pStyle w:val="CellColumn"/>
            </w:pPr>
            <w:r w:rsidRPr="00CC4FF4">
              <w:t>A509047</w:t>
            </w:r>
          </w:p>
        </w:tc>
        <w:tc>
          <w:tcPr>
            <w:tcW w:w="1486" w:type="dxa"/>
          </w:tcPr>
          <w:p w:rsidR="00D849AA" w:rsidRPr="00CC4FF4" w:rsidRDefault="00EE6D95">
            <w:pPr>
              <w:rPr>
                <w:rFonts w:ascii="Arial" w:hAnsi="Arial" w:cs="Arial"/>
              </w:rPr>
            </w:pPr>
            <w:r w:rsidRPr="00CC4FF4">
              <w:rPr>
                <w:rFonts w:ascii="Arial" w:hAnsi="Arial" w:cs="Arial"/>
              </w:rPr>
              <w:t>7.650.000</w:t>
            </w:r>
          </w:p>
        </w:tc>
        <w:tc>
          <w:tcPr>
            <w:tcW w:w="1486" w:type="dxa"/>
          </w:tcPr>
          <w:p w:rsidR="00D849AA" w:rsidRPr="00CC4FF4" w:rsidRDefault="00EE6D95">
            <w:pPr>
              <w:rPr>
                <w:rFonts w:ascii="Arial" w:hAnsi="Arial" w:cs="Arial"/>
              </w:rPr>
            </w:pPr>
            <w:r w:rsidRPr="00CC4FF4">
              <w:rPr>
                <w:rFonts w:ascii="Arial" w:hAnsi="Arial" w:cs="Arial"/>
              </w:rPr>
              <w:t>4.142.960</w:t>
            </w:r>
          </w:p>
        </w:tc>
        <w:tc>
          <w:tcPr>
            <w:tcW w:w="1486" w:type="dxa"/>
          </w:tcPr>
          <w:p w:rsidR="00D849AA" w:rsidRPr="00CC4FF4" w:rsidRDefault="00EE6D95">
            <w:pPr>
              <w:rPr>
                <w:rFonts w:ascii="Arial" w:hAnsi="Arial" w:cs="Arial"/>
              </w:rPr>
            </w:pPr>
            <w:r w:rsidRPr="00CC4FF4">
              <w:rPr>
                <w:rFonts w:ascii="Arial" w:hAnsi="Arial" w:cs="Arial"/>
              </w:rPr>
              <w:t>00</w:t>
            </w:r>
          </w:p>
        </w:tc>
        <w:tc>
          <w:tcPr>
            <w:tcW w:w="1486" w:type="dxa"/>
          </w:tcPr>
          <w:p w:rsidR="00D849AA" w:rsidRPr="00CC4FF4" w:rsidRDefault="00EE6D95">
            <w:pPr>
              <w:rPr>
                <w:rFonts w:ascii="Arial" w:hAnsi="Arial" w:cs="Arial"/>
              </w:rPr>
            </w:pPr>
            <w:r w:rsidRPr="00CC4FF4">
              <w:rPr>
                <w:rFonts w:ascii="Arial" w:hAnsi="Arial" w:cs="Arial"/>
              </w:rPr>
              <w:t>00</w:t>
            </w:r>
          </w:p>
        </w:tc>
        <w:tc>
          <w:tcPr>
            <w:tcW w:w="1486" w:type="dxa"/>
          </w:tcPr>
          <w:p w:rsidR="00D849AA" w:rsidRPr="00CC4FF4" w:rsidRDefault="00EE6D95">
            <w:pPr>
              <w:rPr>
                <w:rFonts w:ascii="Arial" w:hAnsi="Arial" w:cs="Arial"/>
              </w:rPr>
            </w:pPr>
            <w:r w:rsidRPr="00CC4FF4">
              <w:rPr>
                <w:rFonts w:ascii="Arial" w:hAnsi="Arial" w:cs="Arial"/>
              </w:rPr>
              <w:t>54,2</w:t>
            </w:r>
          </w:p>
        </w:tc>
      </w:tr>
    </w:tbl>
    <w:p w:rsidR="00D849AA" w:rsidRDefault="00D849AA">
      <w:pPr>
        <w:jc w:val="left"/>
      </w:pPr>
    </w:p>
    <w:p w:rsidR="00D849AA" w:rsidRDefault="00EE6D95">
      <w:pPr>
        <w:pStyle w:val="Normal6"/>
      </w:pPr>
      <w:r>
        <w:t>U sklopu programa IPA 2009 (I. komponenta) u provedbi su 2 sheme bespovratnih sredstva u područjima demokratizacije i ljudskih prava i pružanja socijalnih usluga. Ured za udruge u provedbi ovog programa djeluje kao Korisnička institucija, a u sklopu decentraliziranog modela provedbe programa Europske unije.</w:t>
      </w:r>
    </w:p>
    <w:p w:rsidR="00D849AA" w:rsidRDefault="00EE6D95">
      <w:pPr>
        <w:pStyle w:val="Naslov6"/>
      </w:pPr>
      <w:r>
        <w:t>A509048 IPA 2010 - JAČANJE RAZVOJA ORGANIZACIJA CIVILNOG DRUŠTVA (OCD-a) U PODRUČJU JAVNOG ZAGOVARANJA I PRUŽANJA SOCIJALNIH USLUGA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CC4FF4" w:rsidRDefault="00EE6D95">
            <w:pPr>
              <w:pStyle w:val="CellHeader"/>
            </w:pPr>
            <w:r w:rsidRPr="00CC4FF4">
              <w:t>Naziv aktivnosti</w:t>
            </w:r>
          </w:p>
        </w:tc>
        <w:tc>
          <w:tcPr>
            <w:tcW w:w="1486" w:type="dxa"/>
            <w:shd w:val="clear" w:color="auto" w:fill="B5C0D8"/>
          </w:tcPr>
          <w:p w:rsidR="00D849AA" w:rsidRPr="00CC4FF4" w:rsidRDefault="00EE6D95">
            <w:pPr>
              <w:pStyle w:val="CellHeader"/>
            </w:pPr>
            <w:r w:rsidRPr="00CC4FF4">
              <w:t>Plan 2013.</w:t>
            </w:r>
          </w:p>
        </w:tc>
        <w:tc>
          <w:tcPr>
            <w:tcW w:w="1486" w:type="dxa"/>
            <w:shd w:val="clear" w:color="auto" w:fill="B5C0D8"/>
          </w:tcPr>
          <w:p w:rsidR="00D849AA" w:rsidRPr="00CC4FF4" w:rsidRDefault="00EE6D95">
            <w:pPr>
              <w:pStyle w:val="CellHeader"/>
            </w:pPr>
            <w:r w:rsidRPr="00CC4FF4">
              <w:t>Plan 2014.</w:t>
            </w:r>
          </w:p>
        </w:tc>
        <w:tc>
          <w:tcPr>
            <w:tcW w:w="1486" w:type="dxa"/>
            <w:shd w:val="clear" w:color="auto" w:fill="B5C0D8"/>
          </w:tcPr>
          <w:p w:rsidR="00D849AA" w:rsidRPr="00CC4FF4" w:rsidRDefault="00EE6D95">
            <w:pPr>
              <w:pStyle w:val="CellHeader"/>
            </w:pPr>
            <w:r w:rsidRPr="00CC4FF4">
              <w:t>Plan 2015.</w:t>
            </w:r>
          </w:p>
        </w:tc>
        <w:tc>
          <w:tcPr>
            <w:tcW w:w="1486" w:type="dxa"/>
            <w:shd w:val="clear" w:color="auto" w:fill="B5C0D8"/>
          </w:tcPr>
          <w:p w:rsidR="00D849AA" w:rsidRPr="00CC4FF4" w:rsidRDefault="00EE6D95">
            <w:pPr>
              <w:pStyle w:val="CellHeader"/>
            </w:pPr>
            <w:r w:rsidRPr="00CC4FF4">
              <w:t>Plan 2016.</w:t>
            </w:r>
          </w:p>
        </w:tc>
        <w:tc>
          <w:tcPr>
            <w:tcW w:w="1486" w:type="dxa"/>
            <w:shd w:val="clear" w:color="auto" w:fill="B5C0D8"/>
          </w:tcPr>
          <w:p w:rsidR="00D849AA" w:rsidRPr="00CC4FF4" w:rsidRDefault="00EE6D95">
            <w:pPr>
              <w:pStyle w:val="CellHeader"/>
            </w:pPr>
            <w:r w:rsidRPr="00CC4FF4">
              <w:t>Indeks 2014/2013</w:t>
            </w:r>
          </w:p>
        </w:tc>
      </w:tr>
      <w:tr w:rsidR="00D849AA">
        <w:trPr>
          <w:jc w:val="center"/>
        </w:trPr>
        <w:tc>
          <w:tcPr>
            <w:tcW w:w="1486" w:type="dxa"/>
          </w:tcPr>
          <w:p w:rsidR="00D849AA" w:rsidRPr="00CC4FF4" w:rsidRDefault="00EE6D95">
            <w:pPr>
              <w:pStyle w:val="CellColumn"/>
            </w:pPr>
            <w:r w:rsidRPr="00CC4FF4">
              <w:t>A509048</w:t>
            </w:r>
          </w:p>
        </w:tc>
        <w:tc>
          <w:tcPr>
            <w:tcW w:w="1486" w:type="dxa"/>
          </w:tcPr>
          <w:p w:rsidR="00D849AA" w:rsidRPr="00CC4FF4" w:rsidRDefault="00EE6D95">
            <w:pPr>
              <w:rPr>
                <w:rFonts w:ascii="Arial" w:hAnsi="Arial" w:cs="Arial"/>
              </w:rPr>
            </w:pPr>
            <w:r w:rsidRPr="00CC4FF4">
              <w:rPr>
                <w:rFonts w:ascii="Arial" w:hAnsi="Arial" w:cs="Arial"/>
              </w:rPr>
              <w:t>8.100.000</w:t>
            </w:r>
          </w:p>
        </w:tc>
        <w:tc>
          <w:tcPr>
            <w:tcW w:w="1486" w:type="dxa"/>
          </w:tcPr>
          <w:p w:rsidR="00D849AA" w:rsidRPr="00CC4FF4" w:rsidRDefault="00EE6D95">
            <w:pPr>
              <w:rPr>
                <w:rFonts w:ascii="Arial" w:hAnsi="Arial" w:cs="Arial"/>
              </w:rPr>
            </w:pPr>
            <w:r w:rsidRPr="00CC4FF4">
              <w:rPr>
                <w:rFonts w:ascii="Arial" w:hAnsi="Arial" w:cs="Arial"/>
              </w:rPr>
              <w:t>15.538.800</w:t>
            </w:r>
          </w:p>
        </w:tc>
        <w:tc>
          <w:tcPr>
            <w:tcW w:w="1486" w:type="dxa"/>
          </w:tcPr>
          <w:p w:rsidR="00D849AA" w:rsidRPr="00CC4FF4" w:rsidRDefault="00EE6D95">
            <w:pPr>
              <w:rPr>
                <w:rFonts w:ascii="Arial" w:hAnsi="Arial" w:cs="Arial"/>
              </w:rPr>
            </w:pPr>
            <w:r w:rsidRPr="00CC4FF4">
              <w:rPr>
                <w:rFonts w:ascii="Arial" w:hAnsi="Arial" w:cs="Arial"/>
              </w:rPr>
              <w:t>1.250.000</w:t>
            </w:r>
          </w:p>
        </w:tc>
        <w:tc>
          <w:tcPr>
            <w:tcW w:w="1486" w:type="dxa"/>
          </w:tcPr>
          <w:p w:rsidR="00D849AA" w:rsidRPr="00CC4FF4" w:rsidRDefault="00EE6D95">
            <w:pPr>
              <w:rPr>
                <w:rFonts w:ascii="Arial" w:hAnsi="Arial" w:cs="Arial"/>
              </w:rPr>
            </w:pPr>
            <w:r w:rsidRPr="00CC4FF4">
              <w:rPr>
                <w:rFonts w:ascii="Arial" w:hAnsi="Arial" w:cs="Arial"/>
              </w:rPr>
              <w:t>00</w:t>
            </w:r>
          </w:p>
        </w:tc>
        <w:tc>
          <w:tcPr>
            <w:tcW w:w="1486" w:type="dxa"/>
          </w:tcPr>
          <w:p w:rsidR="00D849AA" w:rsidRPr="00CC4FF4" w:rsidRDefault="00EE6D95">
            <w:pPr>
              <w:rPr>
                <w:rFonts w:ascii="Arial" w:hAnsi="Arial" w:cs="Arial"/>
              </w:rPr>
            </w:pPr>
            <w:r w:rsidRPr="00CC4FF4">
              <w:rPr>
                <w:rFonts w:ascii="Arial" w:hAnsi="Arial" w:cs="Arial"/>
              </w:rPr>
              <w:t>191,8</w:t>
            </w:r>
          </w:p>
        </w:tc>
      </w:tr>
    </w:tbl>
    <w:p w:rsidR="00D849AA" w:rsidRDefault="00D849AA">
      <w:pPr>
        <w:jc w:val="left"/>
      </w:pPr>
    </w:p>
    <w:p w:rsidR="00D849AA" w:rsidRDefault="00EE6D95">
      <w:pPr>
        <w:pStyle w:val="Normal6"/>
      </w:pPr>
      <w:r>
        <w:t>U sklopu programa IPA 2010 (I. komponenta) ugovoreno su 4 sheme bespovratnih sredstva u područjima suzbijanja diskriminacije, sprječavanja korupcije, nasilja mladih i volonterstva, te zaštite okoliša i održivog razvoja. 14 projekata je u fazi provedbe, dok je u planu ugovaranje dodatnih 12 projekata (koji su prošli evaluaciju i nazale se na listi čekanja) u 2014. godini. Ured za udruge u provedbi ovog programa djeluje kao Korisnička institucija, a u sklopu decentraliziranog modela provedbe programa Europske unije.</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CC4FF4" w:rsidRDefault="00EE6D95">
            <w:pPr>
              <w:rPr>
                <w:rFonts w:ascii="Arial" w:hAnsi="Arial" w:cs="Arial"/>
              </w:rPr>
            </w:pPr>
            <w:r w:rsidRPr="00CC4FF4">
              <w:rPr>
                <w:rFonts w:ascii="Arial" w:hAnsi="Arial" w:cs="Arial"/>
              </w:rPr>
              <w:t>Pokazatelj rezultata</w:t>
            </w:r>
          </w:p>
        </w:tc>
        <w:tc>
          <w:tcPr>
            <w:tcW w:w="1114" w:type="dxa"/>
            <w:shd w:val="clear" w:color="auto" w:fill="B5C0D8"/>
          </w:tcPr>
          <w:p w:rsidR="00D849AA" w:rsidRPr="00CC4FF4" w:rsidRDefault="00EE6D95">
            <w:pPr>
              <w:pStyle w:val="CellHeader"/>
            </w:pPr>
            <w:r w:rsidRPr="00CC4FF4">
              <w:t>Jedinica</w:t>
            </w:r>
          </w:p>
        </w:tc>
        <w:tc>
          <w:tcPr>
            <w:tcW w:w="1114" w:type="dxa"/>
            <w:shd w:val="clear" w:color="auto" w:fill="B5C0D8"/>
          </w:tcPr>
          <w:p w:rsidR="00D849AA" w:rsidRPr="00CC4FF4" w:rsidRDefault="00EE6D95">
            <w:pPr>
              <w:pStyle w:val="CellHeader"/>
            </w:pPr>
            <w:r w:rsidRPr="00CC4FF4">
              <w:t>Polazna vrijednost</w:t>
            </w:r>
          </w:p>
        </w:tc>
        <w:tc>
          <w:tcPr>
            <w:tcW w:w="1486" w:type="dxa"/>
            <w:shd w:val="clear" w:color="auto" w:fill="B5C0D8"/>
          </w:tcPr>
          <w:p w:rsidR="00D849AA" w:rsidRPr="00CC4FF4" w:rsidRDefault="00EE6D95">
            <w:pPr>
              <w:pStyle w:val="CellHeader"/>
            </w:pPr>
            <w:r w:rsidRPr="00CC4FF4">
              <w:t>Ciljana vrijednost (2014.)</w:t>
            </w:r>
          </w:p>
        </w:tc>
        <w:tc>
          <w:tcPr>
            <w:tcW w:w="1486" w:type="dxa"/>
            <w:shd w:val="clear" w:color="auto" w:fill="B5C0D8"/>
          </w:tcPr>
          <w:p w:rsidR="00D849AA" w:rsidRPr="00CC4FF4" w:rsidRDefault="00EE6D95">
            <w:pPr>
              <w:pStyle w:val="CellHeader"/>
            </w:pPr>
            <w:r w:rsidRPr="00CC4FF4">
              <w:t>Ciljana vrijednost (2015.)</w:t>
            </w:r>
          </w:p>
        </w:tc>
        <w:tc>
          <w:tcPr>
            <w:tcW w:w="1486" w:type="dxa"/>
            <w:shd w:val="clear" w:color="auto" w:fill="B5C0D8"/>
          </w:tcPr>
          <w:p w:rsidR="00D849AA" w:rsidRPr="00CC4FF4" w:rsidRDefault="00EE6D95">
            <w:pPr>
              <w:pStyle w:val="CellHeader"/>
            </w:pPr>
            <w:r w:rsidRPr="00CC4FF4">
              <w:t>Ciljana vrijednost (2016.)</w:t>
            </w:r>
          </w:p>
        </w:tc>
      </w:tr>
      <w:tr w:rsidR="00D849AA">
        <w:trPr>
          <w:jc w:val="center"/>
        </w:trPr>
        <w:tc>
          <w:tcPr>
            <w:tcW w:w="2229" w:type="dxa"/>
          </w:tcPr>
          <w:p w:rsidR="00D849AA" w:rsidRPr="00CC4FF4" w:rsidRDefault="00EE6D95">
            <w:pPr>
              <w:pStyle w:val="CellColumn"/>
            </w:pPr>
            <w:r w:rsidRPr="00CC4FF4">
              <w:t>Povećan broj zaposlenih na projektima udruga financiranih iz fondova EU</w:t>
            </w:r>
          </w:p>
        </w:tc>
        <w:tc>
          <w:tcPr>
            <w:tcW w:w="1114" w:type="dxa"/>
          </w:tcPr>
          <w:p w:rsidR="00D849AA" w:rsidRPr="00CC4FF4" w:rsidRDefault="00EE6D95">
            <w:pPr>
              <w:rPr>
                <w:rFonts w:ascii="Arial" w:hAnsi="Arial" w:cs="Arial"/>
              </w:rPr>
            </w:pPr>
            <w:r w:rsidRPr="00CC4FF4">
              <w:rPr>
                <w:rFonts w:ascii="Arial" w:hAnsi="Arial" w:cs="Arial"/>
              </w:rPr>
              <w:t>broj</w:t>
            </w:r>
          </w:p>
        </w:tc>
        <w:tc>
          <w:tcPr>
            <w:tcW w:w="1114" w:type="dxa"/>
          </w:tcPr>
          <w:p w:rsidR="00D849AA" w:rsidRPr="00CC4FF4" w:rsidRDefault="00EE6D95">
            <w:pPr>
              <w:rPr>
                <w:rFonts w:ascii="Arial" w:hAnsi="Arial" w:cs="Arial"/>
              </w:rPr>
            </w:pPr>
            <w:r w:rsidRPr="00CC4FF4">
              <w:rPr>
                <w:rFonts w:ascii="Arial" w:hAnsi="Arial" w:cs="Arial"/>
              </w:rPr>
              <w:t>140</w:t>
            </w:r>
          </w:p>
        </w:tc>
        <w:tc>
          <w:tcPr>
            <w:tcW w:w="1486" w:type="dxa"/>
          </w:tcPr>
          <w:p w:rsidR="00D849AA" w:rsidRPr="00CC4FF4" w:rsidRDefault="00EE6D95">
            <w:pPr>
              <w:rPr>
                <w:rFonts w:ascii="Arial" w:hAnsi="Arial" w:cs="Arial"/>
              </w:rPr>
            </w:pPr>
            <w:r w:rsidRPr="00CC4FF4">
              <w:rPr>
                <w:rFonts w:ascii="Arial" w:hAnsi="Arial" w:cs="Arial"/>
              </w:rPr>
              <w:t>152</w:t>
            </w:r>
          </w:p>
        </w:tc>
        <w:tc>
          <w:tcPr>
            <w:tcW w:w="1486" w:type="dxa"/>
          </w:tcPr>
          <w:p w:rsidR="00D849AA" w:rsidRPr="00CC4FF4" w:rsidRDefault="00EE6D95">
            <w:pPr>
              <w:rPr>
                <w:rFonts w:ascii="Arial" w:hAnsi="Arial" w:cs="Arial"/>
              </w:rPr>
            </w:pPr>
            <w:r w:rsidRPr="00CC4FF4">
              <w:rPr>
                <w:rFonts w:ascii="Arial" w:hAnsi="Arial" w:cs="Arial"/>
              </w:rPr>
              <w:t>164</w:t>
            </w:r>
          </w:p>
        </w:tc>
        <w:tc>
          <w:tcPr>
            <w:tcW w:w="1486" w:type="dxa"/>
          </w:tcPr>
          <w:p w:rsidR="00D849AA" w:rsidRPr="00CC4FF4" w:rsidRDefault="00EE6D95">
            <w:pPr>
              <w:rPr>
                <w:rFonts w:ascii="Arial" w:hAnsi="Arial" w:cs="Arial"/>
              </w:rPr>
            </w:pPr>
            <w:r w:rsidRPr="00CC4FF4">
              <w:rPr>
                <w:rFonts w:ascii="Arial" w:hAnsi="Arial" w:cs="Arial"/>
              </w:rPr>
              <w:t>176</w:t>
            </w:r>
          </w:p>
        </w:tc>
      </w:tr>
    </w:tbl>
    <w:p w:rsidR="00D849AA" w:rsidRDefault="00EE6D95">
      <w:pPr>
        <w:pStyle w:val="Naslov6"/>
      </w:pPr>
      <w:r>
        <w:t>A509051 SUFINANCIRANJE EU PROJEKATA ORGANIZACIJAMA CIVILNOG DRUŠTVA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CC4FF4" w:rsidRDefault="00EE6D95">
            <w:pPr>
              <w:pStyle w:val="CellHeader"/>
            </w:pPr>
            <w:r w:rsidRPr="00CC4FF4">
              <w:t>Naziv aktivnosti</w:t>
            </w:r>
          </w:p>
        </w:tc>
        <w:tc>
          <w:tcPr>
            <w:tcW w:w="1486" w:type="dxa"/>
            <w:shd w:val="clear" w:color="auto" w:fill="B5C0D8"/>
          </w:tcPr>
          <w:p w:rsidR="00D849AA" w:rsidRPr="00CC4FF4" w:rsidRDefault="00EE6D95">
            <w:pPr>
              <w:pStyle w:val="CellHeader"/>
            </w:pPr>
            <w:r w:rsidRPr="00CC4FF4">
              <w:t>Plan 2013.</w:t>
            </w:r>
          </w:p>
        </w:tc>
        <w:tc>
          <w:tcPr>
            <w:tcW w:w="1486" w:type="dxa"/>
            <w:shd w:val="clear" w:color="auto" w:fill="B5C0D8"/>
          </w:tcPr>
          <w:p w:rsidR="00D849AA" w:rsidRPr="00CC4FF4" w:rsidRDefault="00EE6D95">
            <w:pPr>
              <w:pStyle w:val="CellHeader"/>
            </w:pPr>
            <w:r w:rsidRPr="00CC4FF4">
              <w:t>Plan 2014.</w:t>
            </w:r>
          </w:p>
        </w:tc>
        <w:tc>
          <w:tcPr>
            <w:tcW w:w="1486" w:type="dxa"/>
            <w:shd w:val="clear" w:color="auto" w:fill="B5C0D8"/>
          </w:tcPr>
          <w:p w:rsidR="00D849AA" w:rsidRPr="00CC4FF4" w:rsidRDefault="00EE6D95">
            <w:pPr>
              <w:pStyle w:val="CellHeader"/>
            </w:pPr>
            <w:r w:rsidRPr="00CC4FF4">
              <w:t>Plan 2015.</w:t>
            </w:r>
          </w:p>
        </w:tc>
        <w:tc>
          <w:tcPr>
            <w:tcW w:w="1486" w:type="dxa"/>
            <w:shd w:val="clear" w:color="auto" w:fill="B5C0D8"/>
          </w:tcPr>
          <w:p w:rsidR="00D849AA" w:rsidRPr="00CC4FF4" w:rsidRDefault="00EE6D95">
            <w:pPr>
              <w:pStyle w:val="CellHeader"/>
            </w:pPr>
            <w:r w:rsidRPr="00CC4FF4">
              <w:t>Plan 2016.</w:t>
            </w:r>
          </w:p>
        </w:tc>
        <w:tc>
          <w:tcPr>
            <w:tcW w:w="1486" w:type="dxa"/>
            <w:shd w:val="clear" w:color="auto" w:fill="B5C0D8"/>
          </w:tcPr>
          <w:p w:rsidR="00D849AA" w:rsidRPr="00CC4FF4" w:rsidRDefault="00EE6D95">
            <w:pPr>
              <w:pStyle w:val="CellHeader"/>
            </w:pPr>
            <w:r w:rsidRPr="00CC4FF4">
              <w:t>Indeks 2014/2013</w:t>
            </w:r>
          </w:p>
        </w:tc>
      </w:tr>
      <w:tr w:rsidR="00D849AA">
        <w:trPr>
          <w:jc w:val="center"/>
        </w:trPr>
        <w:tc>
          <w:tcPr>
            <w:tcW w:w="1486" w:type="dxa"/>
          </w:tcPr>
          <w:p w:rsidR="00D849AA" w:rsidRPr="00CC4FF4" w:rsidRDefault="00EE6D95">
            <w:pPr>
              <w:pStyle w:val="CellColumn"/>
            </w:pPr>
            <w:r w:rsidRPr="00CC4FF4">
              <w:lastRenderedPageBreak/>
              <w:t>A509051</w:t>
            </w:r>
          </w:p>
        </w:tc>
        <w:tc>
          <w:tcPr>
            <w:tcW w:w="1486" w:type="dxa"/>
          </w:tcPr>
          <w:p w:rsidR="00D849AA" w:rsidRPr="00CC4FF4" w:rsidRDefault="00EE6D95">
            <w:pPr>
              <w:rPr>
                <w:rFonts w:ascii="Arial" w:hAnsi="Arial" w:cs="Arial"/>
              </w:rPr>
            </w:pPr>
            <w:r w:rsidRPr="00CC4FF4">
              <w:rPr>
                <w:rFonts w:ascii="Arial" w:hAnsi="Arial" w:cs="Arial"/>
              </w:rPr>
              <w:t>5.491.505</w:t>
            </w:r>
          </w:p>
        </w:tc>
        <w:tc>
          <w:tcPr>
            <w:tcW w:w="1486" w:type="dxa"/>
          </w:tcPr>
          <w:p w:rsidR="00D849AA" w:rsidRPr="00CC4FF4" w:rsidRDefault="00EE6D95">
            <w:pPr>
              <w:rPr>
                <w:rFonts w:ascii="Arial" w:hAnsi="Arial" w:cs="Arial"/>
              </w:rPr>
            </w:pPr>
            <w:r w:rsidRPr="00CC4FF4">
              <w:rPr>
                <w:rFonts w:ascii="Arial" w:hAnsi="Arial" w:cs="Arial"/>
              </w:rPr>
              <w:t>4.954.989</w:t>
            </w:r>
          </w:p>
        </w:tc>
        <w:tc>
          <w:tcPr>
            <w:tcW w:w="1486" w:type="dxa"/>
          </w:tcPr>
          <w:p w:rsidR="00D849AA" w:rsidRPr="00CC4FF4" w:rsidRDefault="00EE6D95">
            <w:pPr>
              <w:rPr>
                <w:rFonts w:ascii="Arial" w:hAnsi="Arial" w:cs="Arial"/>
              </w:rPr>
            </w:pPr>
            <w:r w:rsidRPr="00CC4FF4">
              <w:rPr>
                <w:rFonts w:ascii="Arial" w:hAnsi="Arial" w:cs="Arial"/>
              </w:rPr>
              <w:t>5.124.945</w:t>
            </w:r>
          </w:p>
        </w:tc>
        <w:tc>
          <w:tcPr>
            <w:tcW w:w="1486" w:type="dxa"/>
          </w:tcPr>
          <w:p w:rsidR="00D849AA" w:rsidRPr="00CC4FF4" w:rsidRDefault="00EE6D95">
            <w:pPr>
              <w:rPr>
                <w:rFonts w:ascii="Arial" w:hAnsi="Arial" w:cs="Arial"/>
              </w:rPr>
            </w:pPr>
            <w:r w:rsidRPr="00CC4FF4">
              <w:rPr>
                <w:rFonts w:ascii="Arial" w:hAnsi="Arial" w:cs="Arial"/>
              </w:rPr>
              <w:t>5.290.993</w:t>
            </w:r>
          </w:p>
        </w:tc>
        <w:tc>
          <w:tcPr>
            <w:tcW w:w="1486" w:type="dxa"/>
          </w:tcPr>
          <w:p w:rsidR="00D849AA" w:rsidRPr="00CC4FF4" w:rsidRDefault="00EE6D95">
            <w:pPr>
              <w:rPr>
                <w:rFonts w:ascii="Arial" w:hAnsi="Arial" w:cs="Arial"/>
              </w:rPr>
            </w:pPr>
            <w:r w:rsidRPr="00CC4FF4">
              <w:rPr>
                <w:rFonts w:ascii="Arial" w:hAnsi="Arial" w:cs="Arial"/>
              </w:rPr>
              <w:t>90,2</w:t>
            </w:r>
          </w:p>
        </w:tc>
      </w:tr>
    </w:tbl>
    <w:p w:rsidR="00D849AA" w:rsidRDefault="00D849AA">
      <w:pPr>
        <w:jc w:val="left"/>
      </w:pPr>
    </w:p>
    <w:p w:rsidR="00D849AA" w:rsidRDefault="00EE6D95">
      <w:pPr>
        <w:pStyle w:val="Normal6"/>
      </w:pPr>
      <w:r>
        <w:t>Programom sufinanciranja EU projekata organizacijama civilnog društva osigurava se održivost provedbe projekata odobrenih u sklopu programa IPA te programa Unije u kojima sudjeluje Republika Hrvatska.  S obzirom da je nemogućnost osiguranja sredstava za sufinanciranje EU projekata dosad bio jedan od najvećih izazova i prepreka uspješnom povlačenju fondova EU za sektor civilnog društva, ovim programom bi se trebala uvelike poboljšati učinkovitost korištenja i provedbe EU projekata organizacija civilnog društva. Na temelju Pravila za sufinanciranje projekata organizacija civilnoga društva ugovorenih u okviru programa Europske unije za 2014. godinu koja će utvrditi Ured za udruge, iz dijela prihoda od igara na sreću sufinancirat će se projekti organizacija civilnoga društva ugovoreni u okviru programa Europske unije kako bi se korisnicima tih sredstava olakšalo zatvaranje financijskih konstrukcija njihovih projekata u dijelu koji se odnosi na njihov obvezni vlastiti doprinos. Očekuje se stalno povećanje broja organizacija civilnoga društva koje koriste sredstva iz ovog programa te samim tim i proširenje kruga organizacija koje uspješno provode EU projekte u Republici Hrvatskoj.</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CC4FF4" w:rsidRDefault="00EE6D95">
            <w:pPr>
              <w:rPr>
                <w:rFonts w:ascii="Arial" w:hAnsi="Arial" w:cs="Arial"/>
              </w:rPr>
            </w:pPr>
            <w:r w:rsidRPr="00CC4FF4">
              <w:rPr>
                <w:rFonts w:ascii="Arial" w:hAnsi="Arial" w:cs="Arial"/>
              </w:rPr>
              <w:t>Pokazatelj rezultata</w:t>
            </w:r>
          </w:p>
        </w:tc>
        <w:tc>
          <w:tcPr>
            <w:tcW w:w="1114" w:type="dxa"/>
            <w:shd w:val="clear" w:color="auto" w:fill="B5C0D8"/>
          </w:tcPr>
          <w:p w:rsidR="00D849AA" w:rsidRPr="00CC4FF4" w:rsidRDefault="00EE6D95">
            <w:pPr>
              <w:pStyle w:val="CellHeader"/>
            </w:pPr>
            <w:r w:rsidRPr="00CC4FF4">
              <w:t>Jedinica</w:t>
            </w:r>
          </w:p>
        </w:tc>
        <w:tc>
          <w:tcPr>
            <w:tcW w:w="1114" w:type="dxa"/>
            <w:shd w:val="clear" w:color="auto" w:fill="B5C0D8"/>
          </w:tcPr>
          <w:p w:rsidR="00D849AA" w:rsidRPr="00CC4FF4" w:rsidRDefault="00EE6D95">
            <w:pPr>
              <w:pStyle w:val="CellHeader"/>
            </w:pPr>
            <w:r w:rsidRPr="00CC4FF4">
              <w:t>Polazna vrijednost</w:t>
            </w:r>
          </w:p>
        </w:tc>
        <w:tc>
          <w:tcPr>
            <w:tcW w:w="1486" w:type="dxa"/>
            <w:shd w:val="clear" w:color="auto" w:fill="B5C0D8"/>
          </w:tcPr>
          <w:p w:rsidR="00D849AA" w:rsidRPr="00CC4FF4" w:rsidRDefault="00EE6D95">
            <w:pPr>
              <w:pStyle w:val="CellHeader"/>
            </w:pPr>
            <w:r w:rsidRPr="00CC4FF4">
              <w:t>Ciljana vrijednost (2014.)</w:t>
            </w:r>
          </w:p>
        </w:tc>
        <w:tc>
          <w:tcPr>
            <w:tcW w:w="1486" w:type="dxa"/>
            <w:shd w:val="clear" w:color="auto" w:fill="B5C0D8"/>
          </w:tcPr>
          <w:p w:rsidR="00D849AA" w:rsidRPr="00CC4FF4" w:rsidRDefault="00EE6D95">
            <w:pPr>
              <w:pStyle w:val="CellHeader"/>
            </w:pPr>
            <w:r w:rsidRPr="00CC4FF4">
              <w:t>Ciljana vrijednost (2015.)</w:t>
            </w:r>
          </w:p>
        </w:tc>
        <w:tc>
          <w:tcPr>
            <w:tcW w:w="1486" w:type="dxa"/>
            <w:shd w:val="clear" w:color="auto" w:fill="B5C0D8"/>
          </w:tcPr>
          <w:p w:rsidR="00D849AA" w:rsidRPr="00CC4FF4" w:rsidRDefault="00EE6D95">
            <w:pPr>
              <w:pStyle w:val="CellHeader"/>
            </w:pPr>
            <w:r w:rsidRPr="00CC4FF4">
              <w:t>Ciljana vrijednost (2016.)</w:t>
            </w:r>
          </w:p>
        </w:tc>
      </w:tr>
      <w:tr w:rsidR="00D849AA">
        <w:trPr>
          <w:jc w:val="center"/>
        </w:trPr>
        <w:tc>
          <w:tcPr>
            <w:tcW w:w="2229" w:type="dxa"/>
          </w:tcPr>
          <w:p w:rsidR="00D849AA" w:rsidRPr="00CC4FF4" w:rsidRDefault="00EE6D95">
            <w:pPr>
              <w:pStyle w:val="CellColumn"/>
            </w:pPr>
            <w:r w:rsidRPr="00CC4FF4">
              <w:t>Povećan broj organizacija civilnoga društva -  korisnica programa sufinanciranja vlastitog obveznog doprinosa u provedbi EU projekata (iz dijela prihoda od igara na sreću)</w:t>
            </w:r>
          </w:p>
        </w:tc>
        <w:tc>
          <w:tcPr>
            <w:tcW w:w="1114" w:type="dxa"/>
          </w:tcPr>
          <w:p w:rsidR="00D849AA" w:rsidRPr="00CC4FF4" w:rsidRDefault="00EE6D95">
            <w:pPr>
              <w:rPr>
                <w:rFonts w:ascii="Arial" w:hAnsi="Arial" w:cs="Arial"/>
              </w:rPr>
            </w:pPr>
            <w:r w:rsidRPr="00CC4FF4">
              <w:rPr>
                <w:rFonts w:ascii="Arial" w:hAnsi="Arial" w:cs="Arial"/>
              </w:rPr>
              <w:t>broj</w:t>
            </w:r>
          </w:p>
        </w:tc>
        <w:tc>
          <w:tcPr>
            <w:tcW w:w="1114" w:type="dxa"/>
          </w:tcPr>
          <w:p w:rsidR="00D849AA" w:rsidRPr="00CC4FF4" w:rsidRDefault="00EE6D95">
            <w:pPr>
              <w:rPr>
                <w:rFonts w:ascii="Arial" w:hAnsi="Arial" w:cs="Arial"/>
              </w:rPr>
            </w:pPr>
            <w:r w:rsidRPr="00CC4FF4">
              <w:rPr>
                <w:rFonts w:ascii="Arial" w:hAnsi="Arial" w:cs="Arial"/>
              </w:rPr>
              <w:t>130</w:t>
            </w:r>
          </w:p>
        </w:tc>
        <w:tc>
          <w:tcPr>
            <w:tcW w:w="1486" w:type="dxa"/>
          </w:tcPr>
          <w:p w:rsidR="00D849AA" w:rsidRPr="00CC4FF4" w:rsidRDefault="00EE6D95">
            <w:pPr>
              <w:rPr>
                <w:rFonts w:ascii="Arial" w:hAnsi="Arial" w:cs="Arial"/>
              </w:rPr>
            </w:pPr>
            <w:r w:rsidRPr="00CC4FF4">
              <w:rPr>
                <w:rFonts w:ascii="Arial" w:hAnsi="Arial" w:cs="Arial"/>
              </w:rPr>
              <w:t>140</w:t>
            </w:r>
          </w:p>
        </w:tc>
        <w:tc>
          <w:tcPr>
            <w:tcW w:w="1486" w:type="dxa"/>
          </w:tcPr>
          <w:p w:rsidR="00D849AA" w:rsidRPr="00CC4FF4" w:rsidRDefault="00EE6D95">
            <w:pPr>
              <w:rPr>
                <w:rFonts w:ascii="Arial" w:hAnsi="Arial" w:cs="Arial"/>
              </w:rPr>
            </w:pPr>
            <w:r w:rsidRPr="00CC4FF4">
              <w:rPr>
                <w:rFonts w:ascii="Arial" w:hAnsi="Arial" w:cs="Arial"/>
              </w:rPr>
              <w:t>150</w:t>
            </w:r>
          </w:p>
        </w:tc>
        <w:tc>
          <w:tcPr>
            <w:tcW w:w="1486" w:type="dxa"/>
          </w:tcPr>
          <w:p w:rsidR="00D849AA" w:rsidRPr="00CC4FF4" w:rsidRDefault="00EE6D95">
            <w:pPr>
              <w:rPr>
                <w:rFonts w:ascii="Arial" w:hAnsi="Arial" w:cs="Arial"/>
              </w:rPr>
            </w:pPr>
            <w:r w:rsidRPr="00CC4FF4">
              <w:rPr>
                <w:rFonts w:ascii="Arial" w:hAnsi="Arial" w:cs="Arial"/>
              </w:rPr>
              <w:t>160</w:t>
            </w:r>
          </w:p>
        </w:tc>
      </w:tr>
    </w:tbl>
    <w:p w:rsidR="00D849AA" w:rsidRDefault="00D849AA">
      <w:pPr>
        <w:jc w:val="left"/>
      </w:pPr>
    </w:p>
    <w:p w:rsidR="00D849AA" w:rsidRDefault="00EE6D95">
      <w:pPr>
        <w:pStyle w:val="Naslov6"/>
      </w:pPr>
      <w:r>
        <w:t>A509062 MEĐUNARODNA RAZVOJNA SURADNJA - POTPORA RAZVOJU CIVILNOG DRUŠTVA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CC4FF4" w:rsidRDefault="00EE6D95">
            <w:pPr>
              <w:pStyle w:val="CellHeader"/>
            </w:pPr>
            <w:r w:rsidRPr="00CC4FF4">
              <w:t>Naziv aktivnosti</w:t>
            </w:r>
          </w:p>
        </w:tc>
        <w:tc>
          <w:tcPr>
            <w:tcW w:w="1486" w:type="dxa"/>
            <w:shd w:val="clear" w:color="auto" w:fill="B5C0D8"/>
          </w:tcPr>
          <w:p w:rsidR="00D849AA" w:rsidRPr="00CC4FF4" w:rsidRDefault="00EE6D95">
            <w:pPr>
              <w:pStyle w:val="CellHeader"/>
            </w:pPr>
            <w:r w:rsidRPr="00CC4FF4">
              <w:t>Plan 2013.</w:t>
            </w:r>
          </w:p>
        </w:tc>
        <w:tc>
          <w:tcPr>
            <w:tcW w:w="1486" w:type="dxa"/>
            <w:shd w:val="clear" w:color="auto" w:fill="B5C0D8"/>
          </w:tcPr>
          <w:p w:rsidR="00D849AA" w:rsidRPr="00CC4FF4" w:rsidRDefault="00EE6D95">
            <w:pPr>
              <w:pStyle w:val="CellHeader"/>
            </w:pPr>
            <w:r w:rsidRPr="00CC4FF4">
              <w:t>Plan 2014.</w:t>
            </w:r>
          </w:p>
        </w:tc>
        <w:tc>
          <w:tcPr>
            <w:tcW w:w="1486" w:type="dxa"/>
            <w:shd w:val="clear" w:color="auto" w:fill="B5C0D8"/>
          </w:tcPr>
          <w:p w:rsidR="00D849AA" w:rsidRPr="00CC4FF4" w:rsidRDefault="00EE6D95">
            <w:pPr>
              <w:pStyle w:val="CellHeader"/>
            </w:pPr>
            <w:r w:rsidRPr="00CC4FF4">
              <w:t>Plan 2015.</w:t>
            </w:r>
          </w:p>
        </w:tc>
        <w:tc>
          <w:tcPr>
            <w:tcW w:w="1486" w:type="dxa"/>
            <w:shd w:val="clear" w:color="auto" w:fill="B5C0D8"/>
          </w:tcPr>
          <w:p w:rsidR="00D849AA" w:rsidRPr="00CC4FF4" w:rsidRDefault="00EE6D95">
            <w:pPr>
              <w:pStyle w:val="CellHeader"/>
            </w:pPr>
            <w:r w:rsidRPr="00CC4FF4">
              <w:t>Plan 2016.</w:t>
            </w:r>
          </w:p>
        </w:tc>
        <w:tc>
          <w:tcPr>
            <w:tcW w:w="1486" w:type="dxa"/>
            <w:shd w:val="clear" w:color="auto" w:fill="B5C0D8"/>
          </w:tcPr>
          <w:p w:rsidR="00D849AA" w:rsidRPr="00CC4FF4" w:rsidRDefault="00EE6D95">
            <w:pPr>
              <w:pStyle w:val="CellHeader"/>
            </w:pPr>
            <w:r w:rsidRPr="00CC4FF4">
              <w:t>Indeks 2014/2013</w:t>
            </w:r>
          </w:p>
        </w:tc>
      </w:tr>
      <w:tr w:rsidR="00D849AA">
        <w:trPr>
          <w:jc w:val="center"/>
        </w:trPr>
        <w:tc>
          <w:tcPr>
            <w:tcW w:w="1486" w:type="dxa"/>
          </w:tcPr>
          <w:p w:rsidR="00D849AA" w:rsidRPr="00CC4FF4" w:rsidRDefault="00EE6D95">
            <w:pPr>
              <w:pStyle w:val="CellColumn"/>
            </w:pPr>
            <w:r w:rsidRPr="00CC4FF4">
              <w:t>A509062</w:t>
            </w:r>
          </w:p>
        </w:tc>
        <w:tc>
          <w:tcPr>
            <w:tcW w:w="1486" w:type="dxa"/>
          </w:tcPr>
          <w:p w:rsidR="00D849AA" w:rsidRPr="00CC4FF4" w:rsidRDefault="00EE6D95">
            <w:pPr>
              <w:rPr>
                <w:rFonts w:ascii="Arial" w:hAnsi="Arial" w:cs="Arial"/>
              </w:rPr>
            </w:pPr>
            <w:r w:rsidRPr="00CC4FF4">
              <w:rPr>
                <w:rFonts w:ascii="Arial" w:hAnsi="Arial" w:cs="Arial"/>
              </w:rPr>
              <w:t>50.000</w:t>
            </w:r>
          </w:p>
        </w:tc>
        <w:tc>
          <w:tcPr>
            <w:tcW w:w="1486" w:type="dxa"/>
          </w:tcPr>
          <w:p w:rsidR="00D849AA" w:rsidRPr="00CC4FF4" w:rsidRDefault="00EE6D95">
            <w:pPr>
              <w:rPr>
                <w:rFonts w:ascii="Arial" w:hAnsi="Arial" w:cs="Arial"/>
              </w:rPr>
            </w:pPr>
            <w:r w:rsidRPr="00CC4FF4">
              <w:rPr>
                <w:rFonts w:ascii="Arial" w:hAnsi="Arial" w:cs="Arial"/>
              </w:rPr>
              <w:t>360.000</w:t>
            </w:r>
          </w:p>
        </w:tc>
        <w:tc>
          <w:tcPr>
            <w:tcW w:w="1486" w:type="dxa"/>
          </w:tcPr>
          <w:p w:rsidR="00D849AA" w:rsidRPr="00CC4FF4" w:rsidRDefault="00EE6D95">
            <w:pPr>
              <w:rPr>
                <w:rFonts w:ascii="Arial" w:hAnsi="Arial" w:cs="Arial"/>
              </w:rPr>
            </w:pPr>
            <w:r w:rsidRPr="00CC4FF4">
              <w:rPr>
                <w:rFonts w:ascii="Arial" w:hAnsi="Arial" w:cs="Arial"/>
              </w:rPr>
              <w:t>235.000</w:t>
            </w:r>
          </w:p>
        </w:tc>
        <w:tc>
          <w:tcPr>
            <w:tcW w:w="1486" w:type="dxa"/>
          </w:tcPr>
          <w:p w:rsidR="00D849AA" w:rsidRPr="00CC4FF4" w:rsidRDefault="00EE6D95">
            <w:pPr>
              <w:rPr>
                <w:rFonts w:ascii="Arial" w:hAnsi="Arial" w:cs="Arial"/>
              </w:rPr>
            </w:pPr>
            <w:r w:rsidRPr="00CC4FF4">
              <w:rPr>
                <w:rFonts w:ascii="Arial" w:hAnsi="Arial" w:cs="Arial"/>
              </w:rPr>
              <w:t>235.000</w:t>
            </w:r>
          </w:p>
        </w:tc>
        <w:tc>
          <w:tcPr>
            <w:tcW w:w="1486" w:type="dxa"/>
          </w:tcPr>
          <w:p w:rsidR="00D849AA" w:rsidRPr="00CC4FF4" w:rsidRDefault="00EE6D95">
            <w:pPr>
              <w:rPr>
                <w:rFonts w:ascii="Arial" w:hAnsi="Arial" w:cs="Arial"/>
              </w:rPr>
            </w:pPr>
            <w:r w:rsidRPr="00CC4FF4">
              <w:rPr>
                <w:rFonts w:ascii="Arial" w:hAnsi="Arial" w:cs="Arial"/>
              </w:rPr>
              <w:t>720,0</w:t>
            </w:r>
          </w:p>
        </w:tc>
      </w:tr>
    </w:tbl>
    <w:p w:rsidR="00D849AA" w:rsidRDefault="00D849AA">
      <w:pPr>
        <w:jc w:val="left"/>
      </w:pPr>
    </w:p>
    <w:p w:rsidR="00D849AA" w:rsidRDefault="00EE6D95" w:rsidP="00CC4FF4">
      <w:pPr>
        <w:pStyle w:val="Normal6"/>
      </w:pPr>
      <w:r>
        <w:t>U okviru poticanja regionalne i međunarodne suradnje na području razvoja civilnog društva, Ured za udruge provodi aktivnosti u okviru razmjene iskustava u promicanju načela dobre prakse normativnih, institucionalnih i provedbenih mjera vezanih uz razvoj civilnog društva, te sudjeluje i organizira edukativne aktivnosti, podršku, te susrete s delegacijama s područja južnog Mediterana, s ciljem prijenosa iskustva i dobrih praksi za stvaranje poticajnog okruženja za razvoj civilnog društva te  s područja jugoistočne Europe također u području programiranja i provedbe projekata financiranih iz EU fondova.</w:t>
      </w:r>
    </w:p>
    <w:p w:rsidR="00D849AA" w:rsidRDefault="00EE6D95">
      <w:pPr>
        <w:pStyle w:val="Naslov6"/>
      </w:pPr>
      <w:r>
        <w:lastRenderedPageBreak/>
        <w:t>A509065 DANI OTVORENIH VRATA UDRUGA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CC4FF4" w:rsidRDefault="00EE6D95">
            <w:pPr>
              <w:pStyle w:val="CellHeader"/>
            </w:pPr>
            <w:r w:rsidRPr="00CC4FF4">
              <w:t>Naziv aktivnosti</w:t>
            </w:r>
          </w:p>
        </w:tc>
        <w:tc>
          <w:tcPr>
            <w:tcW w:w="1486" w:type="dxa"/>
            <w:shd w:val="clear" w:color="auto" w:fill="B5C0D8"/>
          </w:tcPr>
          <w:p w:rsidR="00D849AA" w:rsidRPr="00CC4FF4" w:rsidRDefault="00EE6D95">
            <w:pPr>
              <w:pStyle w:val="CellHeader"/>
            </w:pPr>
            <w:r w:rsidRPr="00CC4FF4">
              <w:t>Plan 2013.</w:t>
            </w:r>
          </w:p>
        </w:tc>
        <w:tc>
          <w:tcPr>
            <w:tcW w:w="1486" w:type="dxa"/>
            <w:shd w:val="clear" w:color="auto" w:fill="B5C0D8"/>
          </w:tcPr>
          <w:p w:rsidR="00D849AA" w:rsidRPr="00CC4FF4" w:rsidRDefault="00EE6D95">
            <w:pPr>
              <w:pStyle w:val="CellHeader"/>
            </w:pPr>
            <w:r w:rsidRPr="00CC4FF4">
              <w:t>Plan 2014.</w:t>
            </w:r>
          </w:p>
        </w:tc>
        <w:tc>
          <w:tcPr>
            <w:tcW w:w="1486" w:type="dxa"/>
            <w:shd w:val="clear" w:color="auto" w:fill="B5C0D8"/>
          </w:tcPr>
          <w:p w:rsidR="00D849AA" w:rsidRPr="00CC4FF4" w:rsidRDefault="00EE6D95">
            <w:pPr>
              <w:pStyle w:val="CellHeader"/>
            </w:pPr>
            <w:r w:rsidRPr="00CC4FF4">
              <w:t>Plan 2015.</w:t>
            </w:r>
          </w:p>
        </w:tc>
        <w:tc>
          <w:tcPr>
            <w:tcW w:w="1486" w:type="dxa"/>
            <w:shd w:val="clear" w:color="auto" w:fill="B5C0D8"/>
          </w:tcPr>
          <w:p w:rsidR="00D849AA" w:rsidRPr="00CC4FF4" w:rsidRDefault="00EE6D95">
            <w:pPr>
              <w:pStyle w:val="CellHeader"/>
            </w:pPr>
            <w:r w:rsidRPr="00CC4FF4">
              <w:t>Plan 2016.</w:t>
            </w:r>
          </w:p>
        </w:tc>
        <w:tc>
          <w:tcPr>
            <w:tcW w:w="1486" w:type="dxa"/>
            <w:shd w:val="clear" w:color="auto" w:fill="B5C0D8"/>
          </w:tcPr>
          <w:p w:rsidR="00D849AA" w:rsidRPr="00CC4FF4" w:rsidRDefault="00EE6D95">
            <w:pPr>
              <w:pStyle w:val="CellHeader"/>
            </w:pPr>
            <w:r w:rsidRPr="00CC4FF4">
              <w:t>Indeks 2014/2013</w:t>
            </w:r>
          </w:p>
        </w:tc>
      </w:tr>
      <w:tr w:rsidR="00D849AA">
        <w:trPr>
          <w:jc w:val="center"/>
        </w:trPr>
        <w:tc>
          <w:tcPr>
            <w:tcW w:w="1486" w:type="dxa"/>
          </w:tcPr>
          <w:p w:rsidR="00D849AA" w:rsidRPr="00CC4FF4" w:rsidRDefault="00EE6D95">
            <w:pPr>
              <w:pStyle w:val="CellColumn"/>
            </w:pPr>
            <w:r w:rsidRPr="00CC4FF4">
              <w:t>A509065</w:t>
            </w:r>
          </w:p>
        </w:tc>
        <w:tc>
          <w:tcPr>
            <w:tcW w:w="1486" w:type="dxa"/>
          </w:tcPr>
          <w:p w:rsidR="00D849AA" w:rsidRPr="00CC4FF4" w:rsidRDefault="00EE6D95">
            <w:pPr>
              <w:rPr>
                <w:rFonts w:ascii="Arial" w:hAnsi="Arial" w:cs="Arial"/>
              </w:rPr>
            </w:pPr>
            <w:r w:rsidRPr="00CC4FF4">
              <w:rPr>
                <w:rFonts w:ascii="Arial" w:hAnsi="Arial" w:cs="Arial"/>
              </w:rPr>
              <w:t>00</w:t>
            </w:r>
          </w:p>
        </w:tc>
        <w:tc>
          <w:tcPr>
            <w:tcW w:w="1486" w:type="dxa"/>
          </w:tcPr>
          <w:p w:rsidR="00D849AA" w:rsidRPr="00CC4FF4" w:rsidRDefault="00EE6D95">
            <w:pPr>
              <w:rPr>
                <w:rFonts w:ascii="Arial" w:hAnsi="Arial" w:cs="Arial"/>
              </w:rPr>
            </w:pPr>
            <w:r w:rsidRPr="00CC4FF4">
              <w:rPr>
                <w:rFonts w:ascii="Arial" w:hAnsi="Arial" w:cs="Arial"/>
              </w:rPr>
              <w:t>240.000</w:t>
            </w:r>
          </w:p>
        </w:tc>
        <w:tc>
          <w:tcPr>
            <w:tcW w:w="1486" w:type="dxa"/>
          </w:tcPr>
          <w:p w:rsidR="00D849AA" w:rsidRPr="00CC4FF4" w:rsidRDefault="00EE6D95">
            <w:pPr>
              <w:rPr>
                <w:rFonts w:ascii="Arial" w:hAnsi="Arial" w:cs="Arial"/>
              </w:rPr>
            </w:pPr>
            <w:r w:rsidRPr="00CC4FF4">
              <w:rPr>
                <w:rFonts w:ascii="Arial" w:hAnsi="Arial" w:cs="Arial"/>
              </w:rPr>
              <w:t>240.000</w:t>
            </w:r>
          </w:p>
        </w:tc>
        <w:tc>
          <w:tcPr>
            <w:tcW w:w="1486" w:type="dxa"/>
          </w:tcPr>
          <w:p w:rsidR="00D849AA" w:rsidRPr="00CC4FF4" w:rsidRDefault="00EE6D95">
            <w:pPr>
              <w:rPr>
                <w:rFonts w:ascii="Arial" w:hAnsi="Arial" w:cs="Arial"/>
              </w:rPr>
            </w:pPr>
            <w:r w:rsidRPr="00CC4FF4">
              <w:rPr>
                <w:rFonts w:ascii="Arial" w:hAnsi="Arial" w:cs="Arial"/>
              </w:rPr>
              <w:t>240.000</w:t>
            </w:r>
          </w:p>
        </w:tc>
        <w:tc>
          <w:tcPr>
            <w:tcW w:w="1486" w:type="dxa"/>
          </w:tcPr>
          <w:p w:rsidR="00D849AA" w:rsidRPr="00CC4FF4" w:rsidRDefault="00EE6D95">
            <w:pPr>
              <w:rPr>
                <w:rFonts w:ascii="Arial" w:hAnsi="Arial" w:cs="Arial"/>
              </w:rPr>
            </w:pPr>
            <w:r w:rsidRPr="00CC4FF4">
              <w:rPr>
                <w:rFonts w:ascii="Arial" w:hAnsi="Arial" w:cs="Arial"/>
              </w:rPr>
              <w:t>0,0</w:t>
            </w:r>
          </w:p>
        </w:tc>
      </w:tr>
    </w:tbl>
    <w:p w:rsidR="00D849AA" w:rsidRDefault="00D849AA">
      <w:pPr>
        <w:jc w:val="left"/>
      </w:pPr>
    </w:p>
    <w:p w:rsidR="00D849AA" w:rsidRDefault="00EE6D95">
      <w:pPr>
        <w:pStyle w:val="Normal6"/>
      </w:pPr>
      <w:r>
        <w:t>Nova aktivnost uvedena je zbog uočene važnosti održavanja Dana otvorenih vrata udruga kao manifestacije koja se održava na godišnjoj razini u cijeloj Hrvatskoj s ciljem informiranja javnosti o radu udruga u lokalnoj i široj zajednici.</w:t>
      </w:r>
    </w:p>
    <w:p w:rsidR="00D849AA" w:rsidRDefault="00EE6D95">
      <w:pPr>
        <w:pStyle w:val="Naslov6"/>
      </w:pPr>
      <w:r>
        <w:t>A509066 OP RAZVOJ LJUDSKIH POTENCIJALA, PRIORITET 4 I 5</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CC4FF4" w:rsidRDefault="00EE6D95">
            <w:pPr>
              <w:pStyle w:val="CellHeader"/>
            </w:pPr>
            <w:r w:rsidRPr="00CC4FF4">
              <w:t>Naziv aktivnosti</w:t>
            </w:r>
          </w:p>
        </w:tc>
        <w:tc>
          <w:tcPr>
            <w:tcW w:w="1486" w:type="dxa"/>
            <w:shd w:val="clear" w:color="auto" w:fill="B5C0D8"/>
          </w:tcPr>
          <w:p w:rsidR="00D849AA" w:rsidRPr="00CC4FF4" w:rsidRDefault="00EE6D95">
            <w:pPr>
              <w:pStyle w:val="CellHeader"/>
            </w:pPr>
            <w:r w:rsidRPr="00CC4FF4">
              <w:t>Plan 2013.</w:t>
            </w:r>
          </w:p>
        </w:tc>
        <w:tc>
          <w:tcPr>
            <w:tcW w:w="1486" w:type="dxa"/>
            <w:shd w:val="clear" w:color="auto" w:fill="B5C0D8"/>
          </w:tcPr>
          <w:p w:rsidR="00D849AA" w:rsidRPr="00CC4FF4" w:rsidRDefault="00EE6D95">
            <w:pPr>
              <w:pStyle w:val="CellHeader"/>
            </w:pPr>
            <w:r w:rsidRPr="00CC4FF4">
              <w:t>Plan 2014.</w:t>
            </w:r>
          </w:p>
        </w:tc>
        <w:tc>
          <w:tcPr>
            <w:tcW w:w="1486" w:type="dxa"/>
            <w:shd w:val="clear" w:color="auto" w:fill="B5C0D8"/>
          </w:tcPr>
          <w:p w:rsidR="00D849AA" w:rsidRPr="00CC4FF4" w:rsidRDefault="00EE6D95">
            <w:pPr>
              <w:pStyle w:val="CellHeader"/>
            </w:pPr>
            <w:r w:rsidRPr="00CC4FF4">
              <w:t>Plan 2015.</w:t>
            </w:r>
          </w:p>
        </w:tc>
        <w:tc>
          <w:tcPr>
            <w:tcW w:w="1486" w:type="dxa"/>
            <w:shd w:val="clear" w:color="auto" w:fill="B5C0D8"/>
          </w:tcPr>
          <w:p w:rsidR="00D849AA" w:rsidRPr="00CC4FF4" w:rsidRDefault="00EE6D95">
            <w:pPr>
              <w:pStyle w:val="CellHeader"/>
            </w:pPr>
            <w:r w:rsidRPr="00CC4FF4">
              <w:t>Plan 2016.</w:t>
            </w:r>
          </w:p>
        </w:tc>
        <w:tc>
          <w:tcPr>
            <w:tcW w:w="1486" w:type="dxa"/>
            <w:shd w:val="clear" w:color="auto" w:fill="B5C0D8"/>
          </w:tcPr>
          <w:p w:rsidR="00D849AA" w:rsidRPr="00CC4FF4" w:rsidRDefault="00EE6D95">
            <w:pPr>
              <w:pStyle w:val="CellHeader"/>
            </w:pPr>
            <w:r w:rsidRPr="00CC4FF4">
              <w:t>Indeks 2014/2013</w:t>
            </w:r>
          </w:p>
        </w:tc>
      </w:tr>
      <w:tr w:rsidR="00D849AA">
        <w:trPr>
          <w:jc w:val="center"/>
        </w:trPr>
        <w:tc>
          <w:tcPr>
            <w:tcW w:w="1486" w:type="dxa"/>
          </w:tcPr>
          <w:p w:rsidR="00D849AA" w:rsidRPr="00CC4FF4" w:rsidRDefault="00EE6D95">
            <w:pPr>
              <w:pStyle w:val="CellColumn"/>
            </w:pPr>
            <w:r w:rsidRPr="00CC4FF4">
              <w:t>A509066</w:t>
            </w:r>
          </w:p>
        </w:tc>
        <w:tc>
          <w:tcPr>
            <w:tcW w:w="1486" w:type="dxa"/>
          </w:tcPr>
          <w:p w:rsidR="00D849AA" w:rsidRPr="00CC4FF4" w:rsidRDefault="00EE6D95">
            <w:pPr>
              <w:rPr>
                <w:rFonts w:ascii="Arial" w:hAnsi="Arial" w:cs="Arial"/>
              </w:rPr>
            </w:pPr>
            <w:r w:rsidRPr="00CC4FF4">
              <w:rPr>
                <w:rFonts w:ascii="Arial" w:hAnsi="Arial" w:cs="Arial"/>
              </w:rPr>
              <w:t>00</w:t>
            </w:r>
          </w:p>
        </w:tc>
        <w:tc>
          <w:tcPr>
            <w:tcW w:w="1486" w:type="dxa"/>
          </w:tcPr>
          <w:p w:rsidR="00D849AA" w:rsidRPr="00CC4FF4" w:rsidRDefault="00EE6D95">
            <w:pPr>
              <w:rPr>
                <w:rFonts w:ascii="Arial" w:hAnsi="Arial" w:cs="Arial"/>
              </w:rPr>
            </w:pPr>
            <w:r w:rsidRPr="00CC4FF4">
              <w:rPr>
                <w:rFonts w:ascii="Arial" w:hAnsi="Arial" w:cs="Arial"/>
              </w:rPr>
              <w:t>30.586.000</w:t>
            </w:r>
          </w:p>
        </w:tc>
        <w:tc>
          <w:tcPr>
            <w:tcW w:w="1486" w:type="dxa"/>
          </w:tcPr>
          <w:p w:rsidR="00D849AA" w:rsidRPr="00CC4FF4" w:rsidRDefault="00EE6D95">
            <w:pPr>
              <w:rPr>
                <w:rFonts w:ascii="Arial" w:hAnsi="Arial" w:cs="Arial"/>
              </w:rPr>
            </w:pPr>
            <w:r w:rsidRPr="00CC4FF4">
              <w:rPr>
                <w:rFonts w:ascii="Arial" w:hAnsi="Arial" w:cs="Arial"/>
              </w:rPr>
              <w:t>23.988.300</w:t>
            </w:r>
          </w:p>
        </w:tc>
        <w:tc>
          <w:tcPr>
            <w:tcW w:w="1486" w:type="dxa"/>
          </w:tcPr>
          <w:p w:rsidR="00D849AA" w:rsidRPr="00CC4FF4" w:rsidRDefault="00EE6D95">
            <w:pPr>
              <w:rPr>
                <w:rFonts w:ascii="Arial" w:hAnsi="Arial" w:cs="Arial"/>
              </w:rPr>
            </w:pPr>
            <w:r w:rsidRPr="00CC4FF4">
              <w:rPr>
                <w:rFonts w:ascii="Arial" w:hAnsi="Arial" w:cs="Arial"/>
              </w:rPr>
              <w:t>3.036.400</w:t>
            </w:r>
          </w:p>
        </w:tc>
        <w:tc>
          <w:tcPr>
            <w:tcW w:w="1486" w:type="dxa"/>
          </w:tcPr>
          <w:p w:rsidR="00D849AA" w:rsidRPr="00CC4FF4" w:rsidRDefault="00EE6D95">
            <w:pPr>
              <w:rPr>
                <w:rFonts w:ascii="Arial" w:hAnsi="Arial" w:cs="Arial"/>
              </w:rPr>
            </w:pPr>
            <w:r w:rsidRPr="00CC4FF4">
              <w:rPr>
                <w:rFonts w:ascii="Arial" w:hAnsi="Arial" w:cs="Arial"/>
              </w:rPr>
              <w:t>0,0</w:t>
            </w:r>
          </w:p>
        </w:tc>
      </w:tr>
    </w:tbl>
    <w:p w:rsidR="00D849AA" w:rsidRDefault="00D849AA">
      <w:pPr>
        <w:jc w:val="left"/>
      </w:pPr>
    </w:p>
    <w:p w:rsidR="00D849AA" w:rsidRDefault="00EE6D95">
      <w:pPr>
        <w:pStyle w:val="Normal6"/>
      </w:pPr>
      <w:r>
        <w:t>U sklopu provedbe projekata u okviru IV. komponente programa IPA, za institucije uključene u operativnu strukturu za provedbu tog programa, predviđena su sredstva u sklopu tehničke pomoći pomoću kojih su se financirale redovne aktivnosti operativne strukture. Ured za udruge kao dio spomenute operativne strukture ima pravo na korištenje tih sredstava. Od 2014. IPA IV programi prelaze u Operativni program Razvoj ljudskih potencijala, prioritet 4 i prioritet 5, za koji je otvorena nova aktivnost na kojoj se nalaze svi planirani troškovi Ureda za udruge i Nacionalne zaklade za razvoj civilnog društva u okviru ovoga programa.</w:t>
      </w:r>
    </w:p>
    <w:p w:rsidR="00D849AA" w:rsidRDefault="00EE6D95">
      <w:pPr>
        <w:pStyle w:val="Naslov2"/>
      </w:pPr>
      <w:r>
        <w:t>02015 Ured zastupnika Republike Hrvatske pred Europskim sudom za ljudska prava</w:t>
      </w:r>
    </w:p>
    <w:p w:rsidR="00D849AA" w:rsidRDefault="00EE6D95">
      <w:pPr>
        <w:pStyle w:val="Naslov4"/>
      </w:pPr>
      <w:r>
        <w:t>Uvod</w:t>
      </w:r>
    </w:p>
    <w:p w:rsidR="00D849AA" w:rsidRDefault="00EE6D95">
      <w:pPr>
        <w:pStyle w:val="Normal3"/>
      </w:pPr>
      <w:r>
        <w:t xml:space="preserve">Ured zastupnika RH pred Europskim sudom za ljudska prava je stručna služba Vlade RH, u kojoj se obavljaju svi poslovi vezani za zastupanje, odnosno obranu državnih interesa u sudskim postupcima protiv RH pred Europskim sudom za ljudska prava u Strasbourgu, koordinira izvršenje presuda Europskog suda za ljudska prava u Hrvatskoj, te širi znanje o Konvenciji i sudskoj praksi Suda. </w:t>
      </w:r>
    </w:p>
    <w:p w:rsidR="00D849AA" w:rsidRDefault="00EE6D95">
      <w:pPr>
        <w:pStyle w:val="Normal3"/>
      </w:pPr>
      <w:r>
        <w:t xml:space="preserve">U vezi sa zastupanjem Republike Hrvatske pred Europskim sudom za ljudska prava i drugim tijelima Vijeća Europe u Uredu se obavljaju sljedeći poslovi: </w:t>
      </w:r>
    </w:p>
    <w:p w:rsidR="00D849AA" w:rsidRDefault="00EE6D95">
      <w:pPr>
        <w:pStyle w:val="Normal3"/>
      </w:pPr>
      <w:r>
        <w:t xml:space="preserve">– poslovi pripreme svih očitovanja države u postupcima pred Europskim sudom za ljudska prava </w:t>
      </w:r>
    </w:p>
    <w:p w:rsidR="00D849AA" w:rsidRDefault="00EE6D95">
      <w:pPr>
        <w:pStyle w:val="Normal3"/>
      </w:pPr>
      <w:r>
        <w:t xml:space="preserve">– poslovi pripreme i sudjelovanja na usmenim ročištima pred Europskim sudom za ljudska prava </w:t>
      </w:r>
    </w:p>
    <w:p w:rsidR="00D849AA" w:rsidRDefault="00EE6D95">
      <w:pPr>
        <w:pStyle w:val="Normal3"/>
      </w:pPr>
      <w:r>
        <w:t xml:space="preserve">– poslovi pripreme i sudjelovanja u koordiniranju izvršenja presuda i odluka Europskog suda za ljudska prava </w:t>
      </w:r>
    </w:p>
    <w:p w:rsidR="00D849AA" w:rsidRDefault="00EE6D95">
      <w:pPr>
        <w:pStyle w:val="Normal3"/>
      </w:pPr>
      <w:r>
        <w:t xml:space="preserve">– poslovi pripreme i sudjelovanja na sastancima Odbora ministara Vijeća Europe o izvršenju presuda Europskog suda za ljudska prava </w:t>
      </w:r>
    </w:p>
    <w:p w:rsidR="00D849AA" w:rsidRDefault="00EE6D95">
      <w:pPr>
        <w:pStyle w:val="Normal3"/>
      </w:pPr>
      <w:r>
        <w:t xml:space="preserve">– poslovi pripreme mišljenja o usklađenosti hrvatskih propisa s Konvencijom i sudskom praksom Europskog suda za ljudska prava </w:t>
      </w:r>
    </w:p>
    <w:p w:rsidR="00D849AA" w:rsidRDefault="00EE6D95">
      <w:pPr>
        <w:pStyle w:val="Normal3"/>
      </w:pPr>
      <w:r>
        <w:t xml:space="preserve">– te poslovi usmjereni na upoznavanje države s Konvencijom i sudskom praksom Europskog suda. </w:t>
      </w:r>
    </w:p>
    <w:p w:rsidR="00D849AA" w:rsidRDefault="00EE6D95">
      <w:pPr>
        <w:pStyle w:val="Normal3"/>
      </w:pPr>
      <w:r>
        <w:lastRenderedPageBreak/>
        <w:t xml:space="preserve">U obavljanju povjerenih poslova zastupnik je ovlašten: </w:t>
      </w:r>
    </w:p>
    <w:p w:rsidR="00D849AA" w:rsidRDefault="00EE6D95">
      <w:pPr>
        <w:pStyle w:val="Normal3"/>
      </w:pPr>
      <w:r>
        <w:t xml:space="preserve">– zastupati Republiku Hrvatsku u svim postupcima pred Europskim sudom za ljudska prava </w:t>
      </w:r>
    </w:p>
    <w:p w:rsidR="00D849AA" w:rsidRDefault="00EE6D95">
      <w:pPr>
        <w:pStyle w:val="Normal3"/>
      </w:pPr>
      <w:r>
        <w:t xml:space="preserve">– koordinirati izvršenja presuda i odluka Europskog suda za ljudska prava u Republici Hrvatskoj </w:t>
      </w:r>
    </w:p>
    <w:p w:rsidR="00D849AA" w:rsidRDefault="00EE6D95">
      <w:pPr>
        <w:pStyle w:val="Normal3"/>
      </w:pPr>
      <w:r>
        <w:t xml:space="preserve">– predstavljati Republiku Hrvatsku u postupku nadzora izvršenja pred Odborom ministara Vijeća Europe </w:t>
      </w:r>
    </w:p>
    <w:p w:rsidR="00D849AA" w:rsidRDefault="00EE6D95">
      <w:pPr>
        <w:pStyle w:val="Normal3"/>
      </w:pPr>
      <w:r>
        <w:t xml:space="preserve">– davati mišljenje o usklađenosti hrvatskih propisa s Konvencijom za zaštitu ljudskih prava i temeljnih sloboda (u daljnjem tekstu: Konvencija) i sudskom praksom Europskog suda za ljudska prava </w:t>
      </w:r>
    </w:p>
    <w:p w:rsidR="00D849AA" w:rsidRDefault="00EE6D95">
      <w:pPr>
        <w:pStyle w:val="Normal3"/>
      </w:pPr>
      <w:r>
        <w:t xml:space="preserve">– pregovarati sa strankama koje sudjeluju u postupku pred Europskim sudom za ljudska prava u svrhu postizanja prijateljskog rješenja spora sukladno članku 39. Konvencije </w:t>
      </w:r>
    </w:p>
    <w:p w:rsidR="00D849AA" w:rsidRDefault="00EE6D95">
      <w:pPr>
        <w:pStyle w:val="Normal3"/>
      </w:pPr>
      <w:r>
        <w:t xml:space="preserve">– pratiti razvoj sudske prakse Europskog suda za ljudska prava i upoznavati sve grane vlasti s istom kao i s razvojem Konvencije, te pratiti razvoj sudske prakse sudova Europske unije i drugih međunarodnih tijela u području ljudskih prava </w:t>
      </w:r>
    </w:p>
    <w:p w:rsidR="00D849AA" w:rsidRDefault="00EE6D95">
      <w:pPr>
        <w:pStyle w:val="Normal3"/>
      </w:pPr>
      <w:r>
        <w:t xml:space="preserve">– sudjelovati u postupcima izrade nacrta prijedloga zakona radi usklađivanja s Konvencijom i sudskom praksom Europskog suda za ljudska prava </w:t>
      </w:r>
    </w:p>
    <w:p w:rsidR="00D849AA" w:rsidRDefault="00EE6D95">
      <w:pPr>
        <w:pStyle w:val="Normal3"/>
      </w:pPr>
      <w:r>
        <w:t xml:space="preserve">– predstavljati Republiku Hrvatsku u stručnim tijelima Vijeća Europe vezanim za rad Europskog suda za ljudska prava, te u drugim tijelima vezanim za razvoj Konvencije i konvencijskog prava. </w:t>
      </w:r>
    </w:p>
    <w:p w:rsidR="00D849AA" w:rsidRDefault="00EE6D95">
      <w:pPr>
        <w:pStyle w:val="Normal3"/>
      </w:pPr>
      <w:r>
        <w:t xml:space="preserve">Zastupnik je središnja točka u Republici Hrvatskoj kojoj Europski sud za ljudska prava dostavlja prijedloge za izdavanje privremenih mjera protiv Republike Hrvatske. </w:t>
      </w:r>
    </w:p>
    <w:p w:rsidR="00D849AA" w:rsidRDefault="00EE6D95">
      <w:pPr>
        <w:pStyle w:val="Normal3"/>
      </w:pPr>
      <w:r>
        <w:t>Ured zastupnika jedan je od mehanizama zaštite ljudskih prava u RH koji svojim aktivnostima utječe na jačanje zaštite ljudskih prava i temeljnih sloboda građana u Republici Hrvatskoj i na smanjenje broja tužbi protiv države pred Europskim sudom za ljudska prava, a time i smanjenja financijskih izdataka države zbog kršenja ljudskih prava njezinih tijela.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02015</w:t>
            </w:r>
          </w:p>
        </w:tc>
        <w:tc>
          <w:tcPr>
            <w:tcW w:w="1486" w:type="dxa"/>
          </w:tcPr>
          <w:p w:rsidR="00D849AA" w:rsidRDefault="00EE6D95">
            <w:r>
              <w:t>3.808.000</w:t>
            </w:r>
          </w:p>
        </w:tc>
        <w:tc>
          <w:tcPr>
            <w:tcW w:w="1486" w:type="dxa"/>
          </w:tcPr>
          <w:p w:rsidR="00D849AA" w:rsidRDefault="00EE6D95">
            <w:r>
              <w:t>6.143.800</w:t>
            </w:r>
          </w:p>
        </w:tc>
        <w:tc>
          <w:tcPr>
            <w:tcW w:w="1486" w:type="dxa"/>
          </w:tcPr>
          <w:p w:rsidR="00D849AA" w:rsidRDefault="00EE6D95">
            <w:r>
              <w:t>8.147.800</w:t>
            </w:r>
          </w:p>
        </w:tc>
        <w:tc>
          <w:tcPr>
            <w:tcW w:w="1486" w:type="dxa"/>
          </w:tcPr>
          <w:p w:rsidR="00D849AA" w:rsidRDefault="00EE6D95">
            <w:r>
              <w:t>8.158.800</w:t>
            </w:r>
          </w:p>
        </w:tc>
        <w:tc>
          <w:tcPr>
            <w:tcW w:w="1486" w:type="dxa"/>
          </w:tcPr>
          <w:p w:rsidR="00D849AA" w:rsidRDefault="00EE6D95">
            <w:r>
              <w:t>161,3</w:t>
            </w:r>
          </w:p>
        </w:tc>
      </w:tr>
    </w:tbl>
    <w:p w:rsidR="00D849AA" w:rsidRDefault="00D849AA">
      <w:pPr>
        <w:jc w:val="left"/>
      </w:pPr>
    </w:p>
    <w:p w:rsidR="00D849AA" w:rsidRDefault="00EE6D95">
      <w:pPr>
        <w:pStyle w:val="Naslov4"/>
      </w:pPr>
      <w:r>
        <w:t>OBRAZLOŽENJE PROGRAMA</w:t>
      </w:r>
    </w:p>
    <w:p w:rsidR="00D849AA" w:rsidRDefault="00EE6D95">
      <w:pPr>
        <w:pStyle w:val="Naslov5"/>
      </w:pPr>
      <w:r>
        <w:t>2119 ZASTUPANJE REPUBLIKE HRVATSKE PRED EUROPSKIM SUDOM ZA LJUDSKA PRAVA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CC4FF4" w:rsidRDefault="00D849AA">
            <w:pPr>
              <w:pStyle w:val="CellHeader"/>
            </w:pPr>
          </w:p>
        </w:tc>
        <w:tc>
          <w:tcPr>
            <w:tcW w:w="1486" w:type="dxa"/>
            <w:shd w:val="clear" w:color="auto" w:fill="B5C0D8"/>
          </w:tcPr>
          <w:p w:rsidR="00D849AA" w:rsidRPr="00CC4FF4" w:rsidRDefault="00EE6D95">
            <w:pPr>
              <w:pStyle w:val="CellHeader"/>
            </w:pPr>
            <w:r w:rsidRPr="00CC4FF4">
              <w:t>Plan 2013.</w:t>
            </w:r>
          </w:p>
        </w:tc>
        <w:tc>
          <w:tcPr>
            <w:tcW w:w="1486" w:type="dxa"/>
            <w:shd w:val="clear" w:color="auto" w:fill="B5C0D8"/>
          </w:tcPr>
          <w:p w:rsidR="00D849AA" w:rsidRPr="00CC4FF4" w:rsidRDefault="00EE6D95">
            <w:pPr>
              <w:pStyle w:val="CellHeader"/>
            </w:pPr>
            <w:r w:rsidRPr="00CC4FF4">
              <w:t>Plan 2014.</w:t>
            </w:r>
          </w:p>
        </w:tc>
        <w:tc>
          <w:tcPr>
            <w:tcW w:w="1486" w:type="dxa"/>
            <w:shd w:val="clear" w:color="auto" w:fill="B5C0D8"/>
          </w:tcPr>
          <w:p w:rsidR="00D849AA" w:rsidRPr="00CC4FF4" w:rsidRDefault="00EE6D95">
            <w:pPr>
              <w:pStyle w:val="CellHeader"/>
            </w:pPr>
            <w:r w:rsidRPr="00CC4FF4">
              <w:t>Plan 2015.</w:t>
            </w:r>
          </w:p>
        </w:tc>
        <w:tc>
          <w:tcPr>
            <w:tcW w:w="1486" w:type="dxa"/>
            <w:shd w:val="clear" w:color="auto" w:fill="B5C0D8"/>
          </w:tcPr>
          <w:p w:rsidR="00D849AA" w:rsidRPr="00CC4FF4" w:rsidRDefault="00EE6D95">
            <w:pPr>
              <w:pStyle w:val="CellHeader"/>
            </w:pPr>
            <w:r w:rsidRPr="00CC4FF4">
              <w:t>Plan 2016.</w:t>
            </w:r>
          </w:p>
        </w:tc>
        <w:tc>
          <w:tcPr>
            <w:tcW w:w="1486" w:type="dxa"/>
            <w:shd w:val="clear" w:color="auto" w:fill="B5C0D8"/>
          </w:tcPr>
          <w:p w:rsidR="00D849AA" w:rsidRPr="00CC4FF4" w:rsidRDefault="00EE6D95">
            <w:pPr>
              <w:pStyle w:val="CellHeader"/>
            </w:pPr>
            <w:r w:rsidRPr="00CC4FF4">
              <w:t>Indeks 2014/2013</w:t>
            </w:r>
          </w:p>
        </w:tc>
      </w:tr>
      <w:tr w:rsidR="00D849AA">
        <w:trPr>
          <w:jc w:val="center"/>
        </w:trPr>
        <w:tc>
          <w:tcPr>
            <w:tcW w:w="1486" w:type="dxa"/>
          </w:tcPr>
          <w:p w:rsidR="00D849AA" w:rsidRPr="00CC4FF4" w:rsidRDefault="00EE6D95">
            <w:pPr>
              <w:pStyle w:val="CellColumn"/>
            </w:pPr>
            <w:r w:rsidRPr="00CC4FF4">
              <w:t>2119</w:t>
            </w:r>
          </w:p>
        </w:tc>
        <w:tc>
          <w:tcPr>
            <w:tcW w:w="1486" w:type="dxa"/>
          </w:tcPr>
          <w:p w:rsidR="00D849AA" w:rsidRPr="00CC4FF4" w:rsidRDefault="00EE6D95">
            <w:pPr>
              <w:rPr>
                <w:rFonts w:ascii="Arial" w:hAnsi="Arial" w:cs="Arial"/>
              </w:rPr>
            </w:pPr>
            <w:r w:rsidRPr="00CC4FF4">
              <w:rPr>
                <w:rFonts w:ascii="Arial" w:hAnsi="Arial" w:cs="Arial"/>
              </w:rPr>
              <w:t>3.808.000</w:t>
            </w:r>
          </w:p>
        </w:tc>
        <w:tc>
          <w:tcPr>
            <w:tcW w:w="1486" w:type="dxa"/>
          </w:tcPr>
          <w:p w:rsidR="00D849AA" w:rsidRPr="00CC4FF4" w:rsidRDefault="00EE6D95">
            <w:pPr>
              <w:rPr>
                <w:rFonts w:ascii="Arial" w:hAnsi="Arial" w:cs="Arial"/>
              </w:rPr>
            </w:pPr>
            <w:r w:rsidRPr="00CC4FF4">
              <w:rPr>
                <w:rFonts w:ascii="Arial" w:hAnsi="Arial" w:cs="Arial"/>
              </w:rPr>
              <w:t>6.143.800</w:t>
            </w:r>
          </w:p>
        </w:tc>
        <w:tc>
          <w:tcPr>
            <w:tcW w:w="1486" w:type="dxa"/>
          </w:tcPr>
          <w:p w:rsidR="00D849AA" w:rsidRPr="00CC4FF4" w:rsidRDefault="00EE6D95">
            <w:pPr>
              <w:rPr>
                <w:rFonts w:ascii="Arial" w:hAnsi="Arial" w:cs="Arial"/>
              </w:rPr>
            </w:pPr>
            <w:r w:rsidRPr="00CC4FF4">
              <w:rPr>
                <w:rFonts w:ascii="Arial" w:hAnsi="Arial" w:cs="Arial"/>
              </w:rPr>
              <w:t>8.147.800</w:t>
            </w:r>
          </w:p>
        </w:tc>
        <w:tc>
          <w:tcPr>
            <w:tcW w:w="1486" w:type="dxa"/>
          </w:tcPr>
          <w:p w:rsidR="00D849AA" w:rsidRPr="00CC4FF4" w:rsidRDefault="00EE6D95">
            <w:pPr>
              <w:rPr>
                <w:rFonts w:ascii="Arial" w:hAnsi="Arial" w:cs="Arial"/>
              </w:rPr>
            </w:pPr>
            <w:r w:rsidRPr="00CC4FF4">
              <w:rPr>
                <w:rFonts w:ascii="Arial" w:hAnsi="Arial" w:cs="Arial"/>
              </w:rPr>
              <w:t>8.158.800</w:t>
            </w:r>
          </w:p>
        </w:tc>
        <w:tc>
          <w:tcPr>
            <w:tcW w:w="1486" w:type="dxa"/>
          </w:tcPr>
          <w:p w:rsidR="00D849AA" w:rsidRPr="00CC4FF4" w:rsidRDefault="00EE6D95">
            <w:pPr>
              <w:rPr>
                <w:rFonts w:ascii="Arial" w:hAnsi="Arial" w:cs="Arial"/>
              </w:rPr>
            </w:pPr>
            <w:r w:rsidRPr="00CC4FF4">
              <w:rPr>
                <w:rFonts w:ascii="Arial" w:hAnsi="Arial" w:cs="Arial"/>
              </w:rPr>
              <w:t>161,3</w:t>
            </w:r>
          </w:p>
        </w:tc>
      </w:tr>
    </w:tbl>
    <w:p w:rsidR="00D849AA" w:rsidRDefault="00D849AA">
      <w:pPr>
        <w:jc w:val="left"/>
      </w:pPr>
    </w:p>
    <w:p w:rsidR="00D849AA" w:rsidRDefault="00EE6D95">
      <w:pPr>
        <w:pStyle w:val="Naslov6"/>
      </w:pPr>
      <w:r>
        <w:t>Opis programa</w:t>
      </w:r>
    </w:p>
    <w:p w:rsidR="00D849AA" w:rsidRDefault="00EE6D95">
      <w:pPr>
        <w:pStyle w:val="Normal5"/>
      </w:pPr>
      <w:r>
        <w:t xml:space="preserve">Broj zahtjeva (tužbi) protiv Republike Hrvatske pred Europskim sudom za ljudska prava u velikom je porastu. Posljedično stalno raste i broj novih tužbi koje Ured kao odvjetnik države pred Europskim sudom dobiva od tog Suda. Na temelju tužbi započinju sudski postupci protiv </w:t>
      </w:r>
      <w:r>
        <w:lastRenderedPageBreak/>
        <w:t xml:space="preserve">Republike Hrvatske u kojima Ured zastupnika brani postupanja ili propuštanja tijela države vlasti (zakonodavne, sudbene, izvršne, Ustavnog suda RH) svih razina odlučivanja.  </w:t>
      </w:r>
    </w:p>
    <w:p w:rsidR="00D849AA" w:rsidRDefault="00EE6D95">
      <w:pPr>
        <w:pStyle w:val="Normal5"/>
      </w:pPr>
      <w:r>
        <w:t xml:space="preserve">Do najvećeg porasta novih predmeta došlo je upravo tekuće 2013. g. (samo do sada porast za 100 %).  </w:t>
      </w:r>
    </w:p>
    <w:p w:rsidR="00D849AA" w:rsidRDefault="00EE6D95">
      <w:pPr>
        <w:pStyle w:val="Normal5"/>
      </w:pPr>
      <w:r>
        <w:t>2009.</w:t>
      </w:r>
      <w:r>
        <w:tab/>
        <w:t>2010.</w:t>
      </w:r>
      <w:r>
        <w:tab/>
        <w:t>2011.</w:t>
      </w:r>
      <w:r>
        <w:tab/>
        <w:t>2012.</w:t>
      </w:r>
      <w:r>
        <w:tab/>
        <w:t xml:space="preserve">do 28.10.2013. </w:t>
      </w:r>
    </w:p>
    <w:p w:rsidR="00D849AA" w:rsidRDefault="00EE6D95">
      <w:pPr>
        <w:pStyle w:val="Normal5"/>
      </w:pPr>
      <w:r>
        <w:t>52</w:t>
      </w:r>
      <w:r>
        <w:tab/>
        <w:t>55</w:t>
      </w:r>
      <w:r>
        <w:tab/>
        <w:t>65</w:t>
      </w:r>
      <w:r>
        <w:tab/>
        <w:t>60</w:t>
      </w:r>
      <w:r>
        <w:tab/>
        <w:t xml:space="preserve">118 </w:t>
      </w:r>
    </w:p>
    <w:p w:rsidR="00D849AA" w:rsidRDefault="00EE6D95">
      <w:pPr>
        <w:pStyle w:val="Normal5"/>
      </w:pPr>
      <w:r>
        <w:t xml:space="preserve">Uz nove predmete u radu se nalaze i predmeti iz prethodnih godina jer Sud u prosjeku jedan predmet rješava 2 - 3 godine. Iz prethodnih razdoblja u radu Ureda se nalazi dodatnih 56 predmeta. Sud će nastaviti slati Uredu nove tužbe do kraja godine. Ured ima zaposlena svega 3 djelatnika na poslovima pripreme očitovanja i podnesaka države Sudu i zastupanja pred Sudom, što je apsolutno premali broj za kvalitetno obavljanje ovih poslova.    </w:t>
      </w:r>
    </w:p>
    <w:p w:rsidR="00D849AA" w:rsidRDefault="00EE6D95">
      <w:pPr>
        <w:pStyle w:val="Normal5"/>
      </w:pPr>
      <w:r>
        <w:t xml:space="preserve">Ured zastupnika nadležan je za koordiniranje izvršenja presuda i odluka Europskog suda za ljudska prava u svim predmetima protiv Republike Hrvatske. S obzirom na stalno rastući broj predmeta, i broj presuda i odluka Suda čije izvršenje Ured treba koordinirati, se stalno povećava. U postupku koordiniranja izvršenja u radu Ureda nalazi se 123 presude i 22 odluke Suda, ukupno 145 predmeta. U porastu je broj tzv. „starih“ predmeta izvršenja, odnosno presuda koje država nije izvršila dulje od 5 godina jer njihovo izvršenje zahtijeva poduzimanje opsežnih mjera na više različitih područja ili veća izdvajanja iz državnog proračuna. Učinkovito i potpuno izvršenje presuda i odluka Suda prevenira nove postupke protiv države pred Sudom, posebice one u repetitivnim predmetima.     </w:t>
      </w:r>
    </w:p>
    <w:p w:rsidR="00D849AA" w:rsidRDefault="00EE6D95" w:rsidP="00CC4FF4">
      <w:pPr>
        <w:pStyle w:val="Normal5"/>
      </w:pPr>
      <w:r>
        <w:t xml:space="preserve">Ured ima zaposlena 3 djelatnika na poslovima izvršenja, što je trenutno dovoljan broj djelatnika ukoliko se u postupak izvršenja aktivno uključe i državna tijela uslijed čijeg postupanja ili propuštanja je došlo do povreda ljudskih prava građanima. To je omogućeno osnivanjem Savjeta za izvršenje presuda i odluka Europskog suda za ljudska prava, međuresornog tijela pri Uredu zastupnika, koji bi trebao definirati i provesti opsežne mjere izvršenja koje uključuju više državnih tijela iz više grana vlasti.         </w:t>
      </w:r>
    </w:p>
    <w:p w:rsidR="00D849AA" w:rsidRDefault="00EE6D95" w:rsidP="00CC4FF4">
      <w:pPr>
        <w:pStyle w:val="Normal5"/>
      </w:pPr>
      <w:r>
        <w:t xml:space="preserve">Nakon zapošljavanja 1 djelatnice, Ured je od 01. listopada 2013. započeo s organizacijom poslova usklađivanja prijedloga zakona s Konvencijom za zaštitu ljudskih prava i temeljnih sloboda. Ovaj segment rada Ureda utječe na rano preveniranje određenog broja postupaka protiv Republike Hrvatske pred Sudom koji se vode zbog samog sadržaja pravne norme koja nije usklađena s Konvencijom. Ured će sudjelovati u izradi zakona i provjeravati usklađenost nacrta zakona sa konvencijskim pravom prije dostavljanja Hrvatskom saboru.  </w:t>
      </w:r>
    </w:p>
    <w:p w:rsidR="00D849AA" w:rsidRDefault="00EE6D95" w:rsidP="00CC4FF4">
      <w:pPr>
        <w:pStyle w:val="Normal5"/>
      </w:pPr>
      <w:r>
        <w:t xml:space="preserve">S obzirom da Ured zastupnika RH djeluje kao odvjetnički ured države koji svakodnevno brani državne interese pred ovim stalnim međunarodnim sudom i uz to obavlja poslove i zadatke usmjerene na sprječavanje novih postupaka protiv države pred Europskim sudom, a da se svi segmenti rada Ureda naglo povećavaju i šire, državni proračun bi trebao odgovarajuće pratiti navedena povećanja.  </w:t>
      </w:r>
    </w:p>
    <w:p w:rsidR="00D849AA" w:rsidRDefault="00EE6D95">
      <w:pPr>
        <w:pStyle w:val="Normal5"/>
      </w:pPr>
      <w:r>
        <w:t>Kvalitetno i učinkovito obavljanje poslova u nadležnosti Ureda zastupnika RH važno je za smanjenje opterećenja državnog proračuna (veći uspjeh u zastupanju države pred Europskim sudom za ljudska prava ogleda se u smanjenju iznosa pravičnih naknada koje Europski sud za ljudska prava dosuđuje podnositeljima u slučajevima kada utvrdi povredu Konvencije) i za osiguranje poštivanja ljudskih prava kao jednog od strateških ciljeva Vlade Republike Hrvatske, prema njenom Programu.</w:t>
      </w:r>
    </w:p>
    <w:p w:rsidR="00D849AA" w:rsidRDefault="00EE6D95">
      <w:pPr>
        <w:pStyle w:val="Naslov6"/>
      </w:pPr>
      <w:r>
        <w:t>Zakonske i druge pravne osnove</w:t>
      </w:r>
    </w:p>
    <w:p w:rsidR="00D849AA" w:rsidRDefault="00EE6D95">
      <w:pPr>
        <w:pStyle w:val="Normal5"/>
      </w:pPr>
      <w:r>
        <w:t xml:space="preserve">Ustav RH (NN, 56/90, 135/97, 8/98, 113/00, 124/00, 28/01, 41/01, 55/01, 76/10 i 85/10)  </w:t>
      </w:r>
    </w:p>
    <w:p w:rsidR="00D849AA" w:rsidRDefault="00EE6D95">
      <w:pPr>
        <w:pStyle w:val="Normal5"/>
      </w:pPr>
      <w:r>
        <w:t xml:space="preserve">Zakon o Vladi Republike Hrvatske (NN, 150/2011) </w:t>
      </w:r>
    </w:p>
    <w:p w:rsidR="00D849AA" w:rsidRDefault="00EE6D95">
      <w:pPr>
        <w:pStyle w:val="Normal5"/>
      </w:pPr>
      <w:r>
        <w:lastRenderedPageBreak/>
        <w:t xml:space="preserve">Zakon o potvrđivanju Konvencije za zaštitu ljudskih prava i temeljnih sloboda i Protokola br. 1., 4., 6., 7. i 11. uz Konvenciju za zaštitu ljudskih prava i temeljnih sloboda (NN-MU, 18/1997) </w:t>
      </w:r>
    </w:p>
    <w:p w:rsidR="00D849AA" w:rsidRDefault="00EE6D95">
      <w:pPr>
        <w:pStyle w:val="Normal5"/>
      </w:pPr>
      <w:r>
        <w:t xml:space="preserve">Konvencija za zaštitu ljudskih prava i temeljnih sloboda i protokoli br. 1, 4, 6 i 7. uz Konvenciju (pročišćeni tekst) (NN-MU, 6/1999) </w:t>
      </w:r>
    </w:p>
    <w:p w:rsidR="00D849AA" w:rsidRDefault="00EE6D95">
      <w:pPr>
        <w:pStyle w:val="Normal5"/>
      </w:pPr>
      <w:r>
        <w:t xml:space="preserve">Ispravak Konvencije za zaštitu ljudskih prava i temeljnih sloboda te Protokola br. 1, protokola br. 4, Protokola br. 6 i Protokola br. 7 (NN-MU, 8/1999) </w:t>
      </w:r>
    </w:p>
    <w:p w:rsidR="00D849AA" w:rsidRDefault="00EE6D95">
      <w:pPr>
        <w:pStyle w:val="Normal5"/>
      </w:pPr>
      <w:r>
        <w:t xml:space="preserve">Objava o stupanju na snagu Protokola br. 14 uz Konvenciju za zaštitu ljudskih prava i temeljnih sloboda, o izmjeni nadzornog sustava Konvencije (NN-MU, 2/2010) </w:t>
      </w:r>
    </w:p>
    <w:p w:rsidR="00D849AA" w:rsidRDefault="00EE6D95">
      <w:pPr>
        <w:pStyle w:val="Normal5"/>
      </w:pPr>
      <w:r>
        <w:t xml:space="preserve">Uredba o Uredu zastupnika Republike Hrvatske pred Europskim sudom za ljudska prava (NN, 18/12) </w:t>
      </w:r>
    </w:p>
    <w:p w:rsidR="00D849AA" w:rsidRDefault="00EE6D95">
      <w:pPr>
        <w:pStyle w:val="Normal5"/>
      </w:pPr>
      <w:r>
        <w:t xml:space="preserve">Poslovnik Europskog suda za ljudska prava  </w:t>
      </w:r>
    </w:p>
    <w:p w:rsidR="00D849AA" w:rsidRDefault="00EE6D95">
      <w:pPr>
        <w:pStyle w:val="Normal5"/>
      </w:pPr>
      <w:r>
        <w:t>Strategija Vladinih programa za razdoblje 2013. do 2015.</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 xml:space="preserve">Cilj 1. Kvalitetna obrana interesa Republike Hrvatske u postupcima pred Europskim sudom za ljudska prava, te Odborom ministara Vijeća Europe i smanjenje broja tužbi protiv Republike Hrvatske pred Europskim sudom za ljudska prava </w:t>
      </w:r>
    </w:p>
    <w:p w:rsidR="00D849AA" w:rsidRDefault="00EE6D95">
      <w:pPr>
        <w:pStyle w:val="Normal6"/>
      </w:pPr>
      <w:r>
        <w:t xml:space="preserve">Kvalitetna obrana hrvatskih interesa, a to su interesi zaštite ljudskih prava građana i zaštite hrvatskih tijela vlasti kad primjenjuju konvencijsko pravo, ovisi o poznavanju i pravilnoj primjeni konvencijskog prava svih tijela i grana vlasti i visokih predstavnika vlasti, kao i o usklađenosti hrvatskih propisa (Ustava, zakona i svih podzakonskih akata) s konvencijskim pravom, te o dostatnom broju specijaliziranih pravnika u Uredu zastupnika RH pred ESLJP.    </w:t>
      </w:r>
    </w:p>
    <w:p w:rsidR="00D849AA" w:rsidRDefault="00EE6D95">
      <w:pPr>
        <w:pStyle w:val="Normal6"/>
      </w:pPr>
      <w:r>
        <w:t xml:space="preserve">Hrvatska tijela nisu uopće ili u dovoljnoj mjeri upoznata s konvencijskim pravom, niti ga primjenjuju. To dovodi do stalnog povećanja broja tužbi protiv države pred Europskim sudom i broja presuda u kojima Europski sud utvrđuje povrede raznih ljudskih prava i sloboda zajamčenih Konvencijom. To dovodi i do teškog i dugotrajnog izvršenja presuda i odluka Suda. Građani i pravne osobe tuže RH najčešće zbog rada pravosudnih tijela (sudova, uključujući Ustavni sud RH i državnog odvjetništva, te zbog rada tijela izvršne vlasti).  </w:t>
      </w:r>
    </w:p>
    <w:p w:rsidR="00D849AA" w:rsidRDefault="00EE6D95">
      <w:pPr>
        <w:pStyle w:val="Normal6"/>
      </w:pPr>
      <w:r>
        <w:t xml:space="preserve">Kvalitetnu obranu državi mogu omogućiti vrlo kvalitetni pravni stručnjaci, specijalisti međunarodnog prava o ljudskim pravima koji rade isključivo za državu na tri različita područja, pred Europskim sudom, pred Odborom ministara, te u državi.   </w:t>
      </w:r>
    </w:p>
    <w:p w:rsidR="00D849AA" w:rsidRDefault="00EE6D95">
      <w:pPr>
        <w:pStyle w:val="Normal6"/>
      </w:pPr>
      <w:r>
        <w:t>Postojanje Ureda omogućuje državi da na jednom mjestu koncentrira sve poslove zastupanja u svim predmetima koji se odnose na povrede Konvencije, može brzo i učinkovito izvršavati presude Europskog suda jer se cijeli proces izvršenja koordinira iz Ureda koji surađuje s Odborom ministara, tijelom VE koji nadzire izvršenje svake presude i odluke Suda, pod uvjetom da sva tijela surađuju s uredom, da s tog mjesta širi znanje o konvencijskom pravu u hrvatski pravni poredak radi sprječavanja nastajanja novih povreda koje generiraju nove tužbe protiv države.</w:t>
      </w:r>
    </w:p>
    <w:p w:rsidR="00D849AA" w:rsidRDefault="00EE6D95">
      <w:pPr>
        <w:pStyle w:val="Naslov5"/>
      </w:pPr>
      <w:r>
        <w:lastRenderedPageBreak/>
        <w:t>Procjena i ishodište potrebnih sredstava za značajnije aktivnosti/projekte</w:t>
      </w:r>
    </w:p>
    <w:p w:rsidR="00D849AA" w:rsidRDefault="00EE6D95">
      <w:pPr>
        <w:pStyle w:val="Naslov6"/>
      </w:pPr>
      <w:r>
        <w:t>A860006 ZASTUPANJE REPUBLIKE HRVATSKE PRED EUROPSKIM SUDOM ZA LJUDSKA PRAVA I IZVRŠENJE PRESUDA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CC4FF4" w:rsidRDefault="00EE6D95">
            <w:pPr>
              <w:pStyle w:val="CellHeader"/>
            </w:pPr>
            <w:r w:rsidRPr="00CC4FF4">
              <w:t>Naziv aktivnosti</w:t>
            </w:r>
          </w:p>
        </w:tc>
        <w:tc>
          <w:tcPr>
            <w:tcW w:w="1486" w:type="dxa"/>
            <w:shd w:val="clear" w:color="auto" w:fill="B5C0D8"/>
          </w:tcPr>
          <w:p w:rsidR="00D849AA" w:rsidRPr="00CC4FF4" w:rsidRDefault="00EE6D95">
            <w:pPr>
              <w:pStyle w:val="CellHeader"/>
            </w:pPr>
            <w:r w:rsidRPr="00CC4FF4">
              <w:t>Plan 2013.</w:t>
            </w:r>
          </w:p>
        </w:tc>
        <w:tc>
          <w:tcPr>
            <w:tcW w:w="1486" w:type="dxa"/>
            <w:shd w:val="clear" w:color="auto" w:fill="B5C0D8"/>
          </w:tcPr>
          <w:p w:rsidR="00D849AA" w:rsidRPr="00CC4FF4" w:rsidRDefault="00EE6D95">
            <w:pPr>
              <w:pStyle w:val="CellHeader"/>
            </w:pPr>
            <w:r w:rsidRPr="00CC4FF4">
              <w:t>Plan 2014.</w:t>
            </w:r>
          </w:p>
        </w:tc>
        <w:tc>
          <w:tcPr>
            <w:tcW w:w="1486" w:type="dxa"/>
            <w:shd w:val="clear" w:color="auto" w:fill="B5C0D8"/>
          </w:tcPr>
          <w:p w:rsidR="00D849AA" w:rsidRPr="00CC4FF4" w:rsidRDefault="00EE6D95">
            <w:pPr>
              <w:pStyle w:val="CellHeader"/>
            </w:pPr>
            <w:r w:rsidRPr="00CC4FF4">
              <w:t>Plan 2015.</w:t>
            </w:r>
          </w:p>
        </w:tc>
        <w:tc>
          <w:tcPr>
            <w:tcW w:w="1486" w:type="dxa"/>
            <w:shd w:val="clear" w:color="auto" w:fill="B5C0D8"/>
          </w:tcPr>
          <w:p w:rsidR="00D849AA" w:rsidRPr="00CC4FF4" w:rsidRDefault="00EE6D95">
            <w:pPr>
              <w:pStyle w:val="CellHeader"/>
            </w:pPr>
            <w:r w:rsidRPr="00CC4FF4">
              <w:t>Plan 2016.</w:t>
            </w:r>
          </w:p>
        </w:tc>
        <w:tc>
          <w:tcPr>
            <w:tcW w:w="1486" w:type="dxa"/>
            <w:shd w:val="clear" w:color="auto" w:fill="B5C0D8"/>
          </w:tcPr>
          <w:p w:rsidR="00D849AA" w:rsidRPr="00CC4FF4" w:rsidRDefault="00EE6D95">
            <w:pPr>
              <w:pStyle w:val="CellHeader"/>
            </w:pPr>
            <w:r w:rsidRPr="00CC4FF4">
              <w:t>Indeks 2014/2013</w:t>
            </w:r>
          </w:p>
        </w:tc>
      </w:tr>
      <w:tr w:rsidR="00D849AA">
        <w:trPr>
          <w:jc w:val="center"/>
        </w:trPr>
        <w:tc>
          <w:tcPr>
            <w:tcW w:w="1486" w:type="dxa"/>
          </w:tcPr>
          <w:p w:rsidR="00D849AA" w:rsidRPr="00CC4FF4" w:rsidRDefault="00EE6D95">
            <w:pPr>
              <w:pStyle w:val="CellColumn"/>
            </w:pPr>
            <w:r w:rsidRPr="00CC4FF4">
              <w:t>A860006</w:t>
            </w:r>
          </w:p>
        </w:tc>
        <w:tc>
          <w:tcPr>
            <w:tcW w:w="1486" w:type="dxa"/>
          </w:tcPr>
          <w:p w:rsidR="00D849AA" w:rsidRPr="00CC4FF4" w:rsidRDefault="00EE6D95">
            <w:pPr>
              <w:rPr>
                <w:rFonts w:ascii="Arial" w:hAnsi="Arial" w:cs="Arial"/>
              </w:rPr>
            </w:pPr>
            <w:r w:rsidRPr="00CC4FF4">
              <w:rPr>
                <w:rFonts w:ascii="Arial" w:hAnsi="Arial" w:cs="Arial"/>
              </w:rPr>
              <w:t>1.102.500</w:t>
            </w:r>
          </w:p>
        </w:tc>
        <w:tc>
          <w:tcPr>
            <w:tcW w:w="1486" w:type="dxa"/>
          </w:tcPr>
          <w:p w:rsidR="00D849AA" w:rsidRPr="00CC4FF4" w:rsidRDefault="00EE6D95">
            <w:pPr>
              <w:rPr>
                <w:rFonts w:ascii="Arial" w:hAnsi="Arial" w:cs="Arial"/>
              </w:rPr>
            </w:pPr>
            <w:r w:rsidRPr="00CC4FF4">
              <w:rPr>
                <w:rFonts w:ascii="Arial" w:hAnsi="Arial" w:cs="Arial"/>
              </w:rPr>
              <w:t>3.571.000</w:t>
            </w:r>
          </w:p>
        </w:tc>
        <w:tc>
          <w:tcPr>
            <w:tcW w:w="1486" w:type="dxa"/>
          </w:tcPr>
          <w:p w:rsidR="00D849AA" w:rsidRPr="00CC4FF4" w:rsidRDefault="00EE6D95">
            <w:pPr>
              <w:rPr>
                <w:rFonts w:ascii="Arial" w:hAnsi="Arial" w:cs="Arial"/>
              </w:rPr>
            </w:pPr>
            <w:r w:rsidRPr="00CC4FF4">
              <w:rPr>
                <w:rFonts w:ascii="Arial" w:hAnsi="Arial" w:cs="Arial"/>
              </w:rPr>
              <w:t>5.571.000</w:t>
            </w:r>
          </w:p>
        </w:tc>
        <w:tc>
          <w:tcPr>
            <w:tcW w:w="1486" w:type="dxa"/>
          </w:tcPr>
          <w:p w:rsidR="00D849AA" w:rsidRPr="00CC4FF4" w:rsidRDefault="00EE6D95">
            <w:pPr>
              <w:rPr>
                <w:rFonts w:ascii="Arial" w:hAnsi="Arial" w:cs="Arial"/>
              </w:rPr>
            </w:pPr>
            <w:r w:rsidRPr="00CC4FF4">
              <w:rPr>
                <w:rFonts w:ascii="Arial" w:hAnsi="Arial" w:cs="Arial"/>
              </w:rPr>
              <w:t>5.571.000</w:t>
            </w:r>
          </w:p>
        </w:tc>
        <w:tc>
          <w:tcPr>
            <w:tcW w:w="1486" w:type="dxa"/>
          </w:tcPr>
          <w:p w:rsidR="00D849AA" w:rsidRPr="00CC4FF4" w:rsidRDefault="00EE6D95">
            <w:pPr>
              <w:rPr>
                <w:rFonts w:ascii="Arial" w:hAnsi="Arial" w:cs="Arial"/>
              </w:rPr>
            </w:pPr>
            <w:r w:rsidRPr="00CC4FF4">
              <w:rPr>
                <w:rFonts w:ascii="Arial" w:hAnsi="Arial" w:cs="Arial"/>
              </w:rPr>
              <w:t>323,9</w:t>
            </w:r>
          </w:p>
        </w:tc>
      </w:tr>
    </w:tbl>
    <w:p w:rsidR="00D849AA" w:rsidRDefault="00D849AA">
      <w:pPr>
        <w:jc w:val="left"/>
      </w:pPr>
    </w:p>
    <w:p w:rsidR="00D849AA" w:rsidRDefault="00EE6D95" w:rsidP="00CC4FF4">
      <w:pPr>
        <w:pStyle w:val="Normal6"/>
      </w:pPr>
      <w:r>
        <w:t xml:space="preserve">Aktivnost zastupanja u svakom pojedinom predmetu uključuje sljedeće poslove koje obavljaju djelatnici Ureda zastupnika: analizu svakog zahtjeva (tužbe) podnositelja i činjenica definiranih od strane Suda na temelju dokumentacije podnositelja dostavljene Sudu; prikupljanje svih dokumenata, najčešće preslika cjelokupnih spisa od raznih tijela vlasti (sudova, državnog odvjetništva, upravnih tijela, javnih ustanova, izvršnih tijela itd.) radi utvrđenja točnog i potpunog činjeničnog stanja svakog predmeta; utvrđivanje točnog i potpunog činjeničnog stanja predmeta pred Sudom na temelju dostavljene dokumentacije; izradu nacrta dijela očitovanja države Sudu koji se odnosi na Izjavu države o činjenicama predmeta; definiranje relevantnog hrvatskog prava (svih propisa), te hrvatske sudske i upravne prakse; izradu nacrta dijela očitovanja države koje se odnosi na Relevantno domaće pravo i praksu; proučavanje i analizu sudske prakse Europskog suda za ljudska prava koja se odnosi na procesne elemente svake povrede ljudskih prava ili temeljnih sloboda koje je utužio podnositelj, te sudske prakse koja se odnosi na meritum svake utužene povrede; analizu dopuštenosti zahtjeva (tužbe) protiv Hrvatske, odnosno provođenje tzv. testa dopuštenosti (admissibility test) za svaku utuženu povredu ljudskog prava ili temeljne slobode zajamčene Konvencijom u svakom predmetu (utvrđivanje postojanja ili nepostojanja formalnih pretpostavki za dopuštenost zahtjeva pred Sudom); izradu nacrta dijela očitovanja države koje se odnosi na Formalne pretpostavke za dopuštenost zahtjeva pred Sudom; analizu usklađenosti domaćih propisa koji su bili primijenjeni u konkretnom predmetu, te utvrđivanje usklađenosti načina postupanja ili propuštanja državnih tijela u predmetu podnositelja u Hrvatskoj sa konvencijskim standardima i sa praksom Suda; dodatnu analizu sudske prakse drugih međunarodnih sudova, ili parasudskih tijela ukoliko ne postoji praksa Europskog suda ili je ona nepovoljna za državu, ili se postupak ne vodi pred Europskim sudom, već pred drugim međunarodnim parasudskim tijelom (npr. analiza prakse Suda EU Luxembourg, Međunarodnog suda pravde, Međunarodnog kaznenog suda, UN Odbora za ljudska prava, Odbora socijalne povelje itd.); izradu nacrta dijela očitovanja države koji se odnosi na meritum predmeta, odnosno na Materijalne uvjete za dopuštenost zahtjeva pred Sudom; objedinjavanje svih dijelova nacrta očitovanja države, i izradu završnog očitovanja države (tzv. odgovora na tužbu) u svakom predmetu pred Sudom, najvažnijeg pisanog dokumenta države u svakom predmetu pred Sudom; izradu svih ostalih podneska upućenih Sudu tijekom postupaka na engleskom jeziku koji je službeni jezik Suda; komunikaciju i izradu podnesaka, te traženje informacija od nadležnih tijela u Hrvatskoj; obavještavanje Vlade i resornih ministara o tijeku postupka u određenim predmetima; kontrolu prijevoda i završna lektura svakog očitovanja upućenih Sudu.   </w:t>
      </w:r>
    </w:p>
    <w:p w:rsidR="00D849AA" w:rsidRDefault="00EE6D95" w:rsidP="00CC4FF4">
      <w:pPr>
        <w:pStyle w:val="Normal6"/>
      </w:pPr>
      <w:r>
        <w:t xml:space="preserve">U zastupanje ulaze i poslovi koji čine dio priprema za samo određene predmete i drugi poslovi: analiza predmeta radi utvrđivanja je li podoban za predlaganje nagodbe, odnosno za predlaganje prijateljskog rješenja spora; izrada nacrta prijedloga nagodbi između podnositelja i države, koji zastupnica upućuje na suglasnost resornim tijelima i Vladi RH (nakon analize i utvrđenja opravdanosti sklapanja nagodbe); komunikacija sa Sudom u postupku sklapanja nagodbe sa podnositeljem; izrada nacrta zahtjeva za preispitivanje određene presude vijeća Suda (tzv. refferal request) pred velikim vijećem Suda, kad se utvrdi postojanje razloga za podnošenje zahtjeva; priprema predmeta (izrada novog </w:t>
      </w:r>
      <w:r>
        <w:lastRenderedPageBreak/>
        <w:t xml:space="preserve">očitovanja države, govora pred Sudom, priprema za odgovore na pitanja sudaca) za veliko vijeće Suda; zastupanje države na usmenim ročištima velikog vijeća Suda; rad po zahtjevima Suda za izdavanje privremene mjere (zastupnik je i središnja točka u državi kojoj Sud dostavlja zahtjeve za izdavanje privremene mjere. Po dostavi zahtjeva zastupnica mora u roku od 48 sati prikupiti od državnih tijela sve potrebne informacije o njihovim radnjama ili propuštanjima u povodu predmeta pred Sudom, te izraditi očitovanje države i dostaviti Sudu); zastupanje države na redovnim sastancima zastupnika sa Sudom; redovna komunikacija i suradnja sa tajnikom Vijeća Europe zaduženog za hrvatske predmete i tajnikom Suda, kao i s pravnicima u Vijeću Europe; rad u stručnim tijelima Vijeća Europe u svrhu razvoja konvencijskog sustava zaštite ljudskih prava.  </w:t>
      </w:r>
    </w:p>
    <w:p w:rsidR="00D849AA" w:rsidRDefault="00EE6D95" w:rsidP="00CC4FF4">
      <w:pPr>
        <w:pStyle w:val="Normal6"/>
      </w:pPr>
      <w:r>
        <w:t xml:space="preserve">Aktivnost koordiniranja izvršenja presuda i odluka Europskog suda uključuje sljedeće poslove koji se obavljaju u Uredu zastupnika: obavještavanje svih državnih tijela o presudi; kontrola prijevoda i lektura svake presude/odluke o nedopuštenosti Suda, izrada pravne analize svake presude/odluke o nedopuštenosti Suda; diseminacija svake presude i odluke Suda i obavještavanje o uzrocima utvrđenih povreda i o posljedicama presude svim tijelima koja su doprinijela kršenju ljudskih prava kada je Sud utvrdio kršenje, odnosno koja su postupala sukladno Konvenciji u slučaju kada nije došlo do kršenja ljudskih prava; koordinacija sa UZOP Vlade i Sabora radi plaćanja pravične novčane naknade i praćenje plaćanja iste; stalna komunikacija i koordinacija rada sa državnim tijelima koja trebaju osmisliti i provesti mjere za izvršenje svake presude Suda; stalno nadgledanje izvršenja individualnih mjera po presudama Suda (npr. u slučaju duljine trajanja apeliranje na domaće sudove da završe postupke, praćenje ponavljanja postupaka po presudama Suda, apeliranje na ministarstva i druga tijela državne vlasti) i općih mjera; upoznavanje pravosudnih, upravnih, izvršenih tijela sa obvezama u izvršenju (međuresorni sastanci), te prikupljanje informacija radi izrade akcijskih planova/ izvješća o načinima kako će RH izvršiti presudu ili odluku Suda; izrada akcijskog plana/izvješća države u izvršenju određene presude/odluke Suda i dostava istog OM VE; redovno obavještavanje Odbora ministara VE o napretku u provođenju mjera izvršenja; obrana aktivnosti koje je država poduzela u izvršenju presuda, te rad u Odboru ministarskih zastupnika Vijeća Europe (DH) u okviru kojeg se razmatraju izvršenja svake pojedine presude ili skupine presuda protiv država, te konsenzusom ili glasovanjem usvajaju rezolucije o izvršenju.      </w:t>
      </w:r>
    </w:p>
    <w:p w:rsidR="00D849AA" w:rsidRDefault="00EE6D95">
      <w:pPr>
        <w:pStyle w:val="Normal6"/>
      </w:pPr>
      <w:r>
        <w:t>Aktivnosti usklađivanja zakonodavstva s konvencijskim pravom i širenja znanja o konvencijskom pravu obuhvaćaju: usklađivanje novih zakona i zakona koji prolaze izmjene i dopune s konvencijskim pravom, odnosno sudskom praksom Europskog suda za ljudska prava; praćenje hrvatske sudske i upravne prakse kroz predmete u Uredu zastupnika i ukazivanje nadležnim pravosudnim i upravnim tijelima na potrebu usklađivanja svojih postupaka i odluka s konvencijskim pravom; uključivanje pravnika specijalista iz Ureda u radne skupine za donošenje novih ili izmjene i dopune zakona radi rane kontrole prijedloga nacrta sa Konvencijom; priprema i objavljivanje najvažnijih presuda i odluka Europskog suda u odnosu na RH u Narodnim novinama; izrada i objavljivanje sentenci iz najvažnijih presuda i odluka Europskog suda u odnosu na druge države na web stranici Ureda; periodične sastanke i seminare s najvišim tijelima vlasti, posebice pravosudne i upoznavanje s greškama radi sprječavanja ponavljajućih (repetitivnih) predmeta pred Europskim sudom; izradu obrazovnih materijala za učenje o Konvenciji i sudskoj praksi Suda na temelju iskustva iz hrvatskih predmeta; periodično publiciranje izbora sudske prakse Europskog suda, kao i drugih međunarodnih tijela s područja ljudskih prava, a sve to u svrhu boljeg poznavanja konvencijskog prava i sprječavanja novih tužbi protiv RH pred Sudom.</w:t>
      </w:r>
    </w:p>
    <w:p w:rsidR="00D849AA" w:rsidRDefault="00EE6D95">
      <w:pPr>
        <w:pStyle w:val="Naslov2"/>
      </w:pPr>
      <w:r>
        <w:lastRenderedPageBreak/>
        <w:t>02021 Stručna služba Savjeta za nacionalne manjine</w:t>
      </w:r>
    </w:p>
    <w:p w:rsidR="00D849AA" w:rsidRDefault="00EE6D95">
      <w:pPr>
        <w:pStyle w:val="Naslov4"/>
      </w:pPr>
      <w:r>
        <w:t>Uvod</w:t>
      </w:r>
    </w:p>
    <w:p w:rsidR="00D849AA" w:rsidRDefault="00EE6D95">
      <w:pPr>
        <w:pStyle w:val="Normal3"/>
      </w:pPr>
      <w:r>
        <w:t>Savjet za nacionalne manjine u cilju ostvarivanja i zaštite prava i sloboda nacionalnih manjina u Republici Hrvatskoj propisanim Ustavnim zakonom o pravima nacionalnih manjina, osigurava sredstva iz Državnog proračuna Republike Hrvatske za potpore udrugama i ustanovama nacionalnih manjina za ostvarivanje programa kulturne autonomije nacionalnih manjina i to za programe informiranja i izdavaštva, kulturnog amaterizma, kulturnih manifestacija, programa koji proizlaze iz bilateralnih sporazuma, programa stvaranja pretpostavki za ostvarivanje kulturne autonomije nacionalnih manjina, te zajedničke programe koja organizira Savjet za nacionalne manjine.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CC4FF4" w:rsidRDefault="00D849AA">
            <w:pPr>
              <w:pStyle w:val="CellHeader"/>
            </w:pPr>
          </w:p>
        </w:tc>
        <w:tc>
          <w:tcPr>
            <w:tcW w:w="1486" w:type="dxa"/>
            <w:shd w:val="clear" w:color="auto" w:fill="B5C0D8"/>
          </w:tcPr>
          <w:p w:rsidR="00D849AA" w:rsidRPr="00CC4FF4" w:rsidRDefault="00EE6D95">
            <w:pPr>
              <w:pStyle w:val="CellHeader"/>
            </w:pPr>
            <w:r w:rsidRPr="00CC4FF4">
              <w:t>Plan 2013.</w:t>
            </w:r>
          </w:p>
        </w:tc>
        <w:tc>
          <w:tcPr>
            <w:tcW w:w="1486" w:type="dxa"/>
            <w:shd w:val="clear" w:color="auto" w:fill="B5C0D8"/>
          </w:tcPr>
          <w:p w:rsidR="00D849AA" w:rsidRPr="00CC4FF4" w:rsidRDefault="00EE6D95">
            <w:pPr>
              <w:pStyle w:val="CellHeader"/>
            </w:pPr>
            <w:r w:rsidRPr="00CC4FF4">
              <w:t>Plan 2014.</w:t>
            </w:r>
          </w:p>
        </w:tc>
        <w:tc>
          <w:tcPr>
            <w:tcW w:w="1486" w:type="dxa"/>
            <w:shd w:val="clear" w:color="auto" w:fill="B5C0D8"/>
          </w:tcPr>
          <w:p w:rsidR="00D849AA" w:rsidRPr="00CC4FF4" w:rsidRDefault="00EE6D95">
            <w:pPr>
              <w:pStyle w:val="CellHeader"/>
            </w:pPr>
            <w:r w:rsidRPr="00CC4FF4">
              <w:t>Plan 2015.</w:t>
            </w:r>
          </w:p>
        </w:tc>
        <w:tc>
          <w:tcPr>
            <w:tcW w:w="1486" w:type="dxa"/>
            <w:shd w:val="clear" w:color="auto" w:fill="B5C0D8"/>
          </w:tcPr>
          <w:p w:rsidR="00D849AA" w:rsidRPr="00CC4FF4" w:rsidRDefault="00EE6D95">
            <w:pPr>
              <w:pStyle w:val="CellHeader"/>
            </w:pPr>
            <w:r w:rsidRPr="00CC4FF4">
              <w:t>Plan 2016.</w:t>
            </w:r>
          </w:p>
        </w:tc>
        <w:tc>
          <w:tcPr>
            <w:tcW w:w="1486" w:type="dxa"/>
            <w:shd w:val="clear" w:color="auto" w:fill="B5C0D8"/>
          </w:tcPr>
          <w:p w:rsidR="00D849AA" w:rsidRPr="00CC4FF4" w:rsidRDefault="00EE6D95">
            <w:pPr>
              <w:pStyle w:val="CellHeader"/>
            </w:pPr>
            <w:r w:rsidRPr="00CC4FF4">
              <w:t>Indeks 2014/2013</w:t>
            </w:r>
          </w:p>
        </w:tc>
      </w:tr>
      <w:tr w:rsidR="00D849AA">
        <w:trPr>
          <w:jc w:val="center"/>
        </w:trPr>
        <w:tc>
          <w:tcPr>
            <w:tcW w:w="1486" w:type="dxa"/>
          </w:tcPr>
          <w:p w:rsidR="00D849AA" w:rsidRPr="00CC4FF4" w:rsidRDefault="00EE6D95">
            <w:pPr>
              <w:pStyle w:val="CellColumn"/>
            </w:pPr>
            <w:r w:rsidRPr="00CC4FF4">
              <w:t>02021</w:t>
            </w:r>
          </w:p>
        </w:tc>
        <w:tc>
          <w:tcPr>
            <w:tcW w:w="1486" w:type="dxa"/>
          </w:tcPr>
          <w:p w:rsidR="00D849AA" w:rsidRPr="00CC4FF4" w:rsidRDefault="00EE6D95">
            <w:pPr>
              <w:rPr>
                <w:rFonts w:ascii="Arial" w:hAnsi="Arial" w:cs="Arial"/>
              </w:rPr>
            </w:pPr>
            <w:r w:rsidRPr="00CC4FF4">
              <w:rPr>
                <w:rFonts w:ascii="Arial" w:hAnsi="Arial" w:cs="Arial"/>
              </w:rPr>
              <w:t>40.450.500</w:t>
            </w:r>
          </w:p>
        </w:tc>
        <w:tc>
          <w:tcPr>
            <w:tcW w:w="1486" w:type="dxa"/>
          </w:tcPr>
          <w:p w:rsidR="00D849AA" w:rsidRPr="00CC4FF4" w:rsidRDefault="00EE6D95">
            <w:pPr>
              <w:rPr>
                <w:rFonts w:ascii="Arial" w:hAnsi="Arial" w:cs="Arial"/>
              </w:rPr>
            </w:pPr>
            <w:r w:rsidRPr="00CC4FF4">
              <w:rPr>
                <w:rFonts w:ascii="Arial" w:hAnsi="Arial" w:cs="Arial"/>
              </w:rPr>
              <w:t>37.953.760</w:t>
            </w:r>
          </w:p>
        </w:tc>
        <w:tc>
          <w:tcPr>
            <w:tcW w:w="1486" w:type="dxa"/>
          </w:tcPr>
          <w:p w:rsidR="00D849AA" w:rsidRPr="00CC4FF4" w:rsidRDefault="00EE6D95">
            <w:pPr>
              <w:rPr>
                <w:rFonts w:ascii="Arial" w:hAnsi="Arial" w:cs="Arial"/>
              </w:rPr>
            </w:pPr>
            <w:r w:rsidRPr="00CC4FF4">
              <w:rPr>
                <w:rFonts w:ascii="Arial" w:hAnsi="Arial" w:cs="Arial"/>
              </w:rPr>
              <w:t>39.668.260</w:t>
            </w:r>
          </w:p>
        </w:tc>
        <w:tc>
          <w:tcPr>
            <w:tcW w:w="1486" w:type="dxa"/>
          </w:tcPr>
          <w:p w:rsidR="00D849AA" w:rsidRPr="00CC4FF4" w:rsidRDefault="00EE6D95">
            <w:pPr>
              <w:rPr>
                <w:rFonts w:ascii="Arial" w:hAnsi="Arial" w:cs="Arial"/>
              </w:rPr>
            </w:pPr>
            <w:r w:rsidRPr="00CC4FF4">
              <w:rPr>
                <w:rFonts w:ascii="Arial" w:hAnsi="Arial" w:cs="Arial"/>
              </w:rPr>
              <w:t>41.136.260</w:t>
            </w:r>
          </w:p>
        </w:tc>
        <w:tc>
          <w:tcPr>
            <w:tcW w:w="1486" w:type="dxa"/>
          </w:tcPr>
          <w:p w:rsidR="00D849AA" w:rsidRPr="00CC4FF4" w:rsidRDefault="00EE6D95">
            <w:pPr>
              <w:rPr>
                <w:rFonts w:ascii="Arial" w:hAnsi="Arial" w:cs="Arial"/>
              </w:rPr>
            </w:pPr>
            <w:r w:rsidRPr="00CC4FF4">
              <w:rPr>
                <w:rFonts w:ascii="Arial" w:hAnsi="Arial" w:cs="Arial"/>
              </w:rPr>
              <w:t>93,8</w:t>
            </w:r>
          </w:p>
        </w:tc>
      </w:tr>
    </w:tbl>
    <w:p w:rsidR="00D849AA" w:rsidRDefault="00D849AA">
      <w:pPr>
        <w:jc w:val="left"/>
      </w:pPr>
    </w:p>
    <w:p w:rsidR="00D849AA" w:rsidRDefault="00EE6D95">
      <w:pPr>
        <w:pStyle w:val="Naslov4"/>
      </w:pPr>
      <w:r>
        <w:t>OBRAZLOŽENJE PROGRAMA</w:t>
      </w:r>
    </w:p>
    <w:p w:rsidR="00D849AA" w:rsidRDefault="00EE6D95">
      <w:pPr>
        <w:pStyle w:val="Naslov5"/>
      </w:pPr>
      <w:r>
        <w:t>2109 ZAŠTITA PRAVA NACIONALNIH MANJINA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CC4FF4" w:rsidRDefault="00D849AA">
            <w:pPr>
              <w:pStyle w:val="CellHeader"/>
            </w:pPr>
          </w:p>
        </w:tc>
        <w:tc>
          <w:tcPr>
            <w:tcW w:w="1486" w:type="dxa"/>
            <w:shd w:val="clear" w:color="auto" w:fill="B5C0D8"/>
          </w:tcPr>
          <w:p w:rsidR="00D849AA" w:rsidRPr="00CC4FF4" w:rsidRDefault="00EE6D95">
            <w:pPr>
              <w:pStyle w:val="CellHeader"/>
            </w:pPr>
            <w:r w:rsidRPr="00CC4FF4">
              <w:t>Plan 2013.</w:t>
            </w:r>
          </w:p>
        </w:tc>
        <w:tc>
          <w:tcPr>
            <w:tcW w:w="1486" w:type="dxa"/>
            <w:shd w:val="clear" w:color="auto" w:fill="B5C0D8"/>
          </w:tcPr>
          <w:p w:rsidR="00D849AA" w:rsidRPr="00CC4FF4" w:rsidRDefault="00EE6D95">
            <w:pPr>
              <w:pStyle w:val="CellHeader"/>
            </w:pPr>
            <w:r w:rsidRPr="00CC4FF4">
              <w:t>Plan 2014.</w:t>
            </w:r>
          </w:p>
        </w:tc>
        <w:tc>
          <w:tcPr>
            <w:tcW w:w="1486" w:type="dxa"/>
            <w:shd w:val="clear" w:color="auto" w:fill="B5C0D8"/>
          </w:tcPr>
          <w:p w:rsidR="00D849AA" w:rsidRPr="00CC4FF4" w:rsidRDefault="00EE6D95">
            <w:pPr>
              <w:pStyle w:val="CellHeader"/>
            </w:pPr>
            <w:r w:rsidRPr="00CC4FF4">
              <w:t>Plan 2015.</w:t>
            </w:r>
          </w:p>
        </w:tc>
        <w:tc>
          <w:tcPr>
            <w:tcW w:w="1486" w:type="dxa"/>
            <w:shd w:val="clear" w:color="auto" w:fill="B5C0D8"/>
          </w:tcPr>
          <w:p w:rsidR="00D849AA" w:rsidRPr="00CC4FF4" w:rsidRDefault="00EE6D95">
            <w:pPr>
              <w:pStyle w:val="CellHeader"/>
            </w:pPr>
            <w:r w:rsidRPr="00CC4FF4">
              <w:t>Plan 2016.</w:t>
            </w:r>
          </w:p>
        </w:tc>
        <w:tc>
          <w:tcPr>
            <w:tcW w:w="1486" w:type="dxa"/>
            <w:shd w:val="clear" w:color="auto" w:fill="B5C0D8"/>
          </w:tcPr>
          <w:p w:rsidR="00D849AA" w:rsidRPr="00CC4FF4" w:rsidRDefault="00EE6D95">
            <w:pPr>
              <w:pStyle w:val="CellHeader"/>
            </w:pPr>
            <w:r w:rsidRPr="00CC4FF4">
              <w:t>Indeks 2014/2013</w:t>
            </w:r>
          </w:p>
        </w:tc>
      </w:tr>
      <w:tr w:rsidR="00D849AA">
        <w:trPr>
          <w:jc w:val="center"/>
        </w:trPr>
        <w:tc>
          <w:tcPr>
            <w:tcW w:w="1486" w:type="dxa"/>
          </w:tcPr>
          <w:p w:rsidR="00D849AA" w:rsidRPr="00CC4FF4" w:rsidRDefault="00EE6D95">
            <w:pPr>
              <w:pStyle w:val="CellColumn"/>
            </w:pPr>
            <w:r w:rsidRPr="00CC4FF4">
              <w:t>2109</w:t>
            </w:r>
          </w:p>
        </w:tc>
        <w:tc>
          <w:tcPr>
            <w:tcW w:w="1486" w:type="dxa"/>
          </w:tcPr>
          <w:p w:rsidR="00D849AA" w:rsidRPr="00CC4FF4" w:rsidRDefault="00EE6D95">
            <w:pPr>
              <w:rPr>
                <w:rFonts w:ascii="Arial" w:hAnsi="Arial" w:cs="Arial"/>
              </w:rPr>
            </w:pPr>
            <w:r w:rsidRPr="00CC4FF4">
              <w:rPr>
                <w:rFonts w:ascii="Arial" w:hAnsi="Arial" w:cs="Arial"/>
              </w:rPr>
              <w:t>40.450.500</w:t>
            </w:r>
          </w:p>
        </w:tc>
        <w:tc>
          <w:tcPr>
            <w:tcW w:w="1486" w:type="dxa"/>
          </w:tcPr>
          <w:p w:rsidR="00D849AA" w:rsidRPr="00CC4FF4" w:rsidRDefault="00EE6D95">
            <w:pPr>
              <w:rPr>
                <w:rFonts w:ascii="Arial" w:hAnsi="Arial" w:cs="Arial"/>
              </w:rPr>
            </w:pPr>
            <w:r w:rsidRPr="00CC4FF4">
              <w:rPr>
                <w:rFonts w:ascii="Arial" w:hAnsi="Arial" w:cs="Arial"/>
              </w:rPr>
              <w:t>37.953.760</w:t>
            </w:r>
          </w:p>
        </w:tc>
        <w:tc>
          <w:tcPr>
            <w:tcW w:w="1486" w:type="dxa"/>
          </w:tcPr>
          <w:p w:rsidR="00D849AA" w:rsidRPr="00CC4FF4" w:rsidRDefault="00EE6D95">
            <w:pPr>
              <w:rPr>
                <w:rFonts w:ascii="Arial" w:hAnsi="Arial" w:cs="Arial"/>
              </w:rPr>
            </w:pPr>
            <w:r w:rsidRPr="00CC4FF4">
              <w:rPr>
                <w:rFonts w:ascii="Arial" w:hAnsi="Arial" w:cs="Arial"/>
              </w:rPr>
              <w:t>39.668.260</w:t>
            </w:r>
          </w:p>
        </w:tc>
        <w:tc>
          <w:tcPr>
            <w:tcW w:w="1486" w:type="dxa"/>
          </w:tcPr>
          <w:p w:rsidR="00D849AA" w:rsidRPr="00CC4FF4" w:rsidRDefault="00EE6D95">
            <w:pPr>
              <w:rPr>
                <w:rFonts w:ascii="Arial" w:hAnsi="Arial" w:cs="Arial"/>
              </w:rPr>
            </w:pPr>
            <w:r w:rsidRPr="00CC4FF4">
              <w:rPr>
                <w:rFonts w:ascii="Arial" w:hAnsi="Arial" w:cs="Arial"/>
              </w:rPr>
              <w:t>41.136.260</w:t>
            </w:r>
          </w:p>
        </w:tc>
        <w:tc>
          <w:tcPr>
            <w:tcW w:w="1486" w:type="dxa"/>
          </w:tcPr>
          <w:p w:rsidR="00D849AA" w:rsidRPr="00CC4FF4" w:rsidRDefault="00EE6D95">
            <w:pPr>
              <w:rPr>
                <w:rFonts w:ascii="Arial" w:hAnsi="Arial" w:cs="Arial"/>
              </w:rPr>
            </w:pPr>
            <w:r w:rsidRPr="00CC4FF4">
              <w:rPr>
                <w:rFonts w:ascii="Arial" w:hAnsi="Arial" w:cs="Arial"/>
              </w:rPr>
              <w:t>93,8</w:t>
            </w:r>
          </w:p>
        </w:tc>
      </w:tr>
    </w:tbl>
    <w:p w:rsidR="00D849AA" w:rsidRDefault="00D849AA">
      <w:pPr>
        <w:jc w:val="left"/>
      </w:pPr>
    </w:p>
    <w:p w:rsidR="00D849AA" w:rsidRDefault="00EE6D95">
      <w:pPr>
        <w:pStyle w:val="Naslov6"/>
      </w:pPr>
      <w:r>
        <w:t>Opis programa</w:t>
      </w:r>
    </w:p>
    <w:p w:rsidR="00D849AA" w:rsidRDefault="00EE6D95">
      <w:pPr>
        <w:pStyle w:val="Normal5"/>
      </w:pPr>
      <w:r>
        <w:t xml:space="preserve">Savjet za nacionalne manjine osigurava sredstva iz Državnog proračuna za sufinanciranje programa udruga i ustanova nacionalnih manjina. </w:t>
      </w:r>
    </w:p>
    <w:p w:rsidR="00D849AA" w:rsidRDefault="00EE6D95">
      <w:pPr>
        <w:pStyle w:val="Normal5"/>
      </w:pPr>
      <w:r>
        <w:t xml:space="preserve">Dodijeljena sredstva odnose se na potrebe 17 nacionalnih manjina i njihovih oko 80 udruga ne računajući ogranke (preko 250) u Republici Hrvatskoj. </w:t>
      </w:r>
    </w:p>
    <w:p w:rsidR="00D849AA" w:rsidRDefault="00EE6D95">
      <w:pPr>
        <w:pStyle w:val="Normal5"/>
      </w:pPr>
      <w:r>
        <w:t xml:space="preserve">Savjet za nacionalne manjine raspisuje jednom godišnje Javni poziv udrugama i ustanovama nacionalnih manjina za potpore čime se potiče ostvarivanje kulturne autonomije u područjima: informiranja, izdavaštva, kulturnog amaterizma, kulturnih manifestacija, kao i ostvarivanje bilateralnih sporazuma i stvaranje pretpostavki za ostvarivanje kulturne autonomije. </w:t>
      </w:r>
    </w:p>
    <w:p w:rsidR="00D849AA" w:rsidRDefault="00EE6D95">
      <w:pPr>
        <w:pStyle w:val="Normal5"/>
      </w:pPr>
      <w:r>
        <w:t xml:space="preserve">Predloženi iznosi sredstava, koja se u Državnom proračunu osiguravaju za potrebe nacionalnih manjina, temelji se na analizi programa udruga i ustanova nacionalnih manjina, koja kontinuirano pokazuje pozitivni razvitak, te pozitivne učinke, vezane za integraciju nacionalnih manjina u hrvatsko društvo, sa svojim identitetom, te daljnji napredak  razine financijske discipline i odgovornost za dobivena sredstva. </w:t>
      </w:r>
    </w:p>
    <w:p w:rsidR="00D849AA" w:rsidRDefault="00EE6D95">
      <w:pPr>
        <w:pStyle w:val="Normal5"/>
      </w:pPr>
      <w:r>
        <w:t xml:space="preserve">Poticanjem rada udruga i ustanova nacionalnih manjina upućuje da se putem ostvarivanja programa kulturne autonomije kao krajnji rezultat vidno i značajno poboljšava položaj nacionalnih manjina u Republici Hrvatskoj, sukladno politici Vlade Republike Hrvatske i provedbi Akcijskog plana za provedbu Ustavnog zakona o pravima nacionalnih manjina. </w:t>
      </w:r>
    </w:p>
    <w:p w:rsidR="00D849AA" w:rsidRDefault="00EE6D95">
      <w:pPr>
        <w:pStyle w:val="Normal5"/>
      </w:pPr>
      <w:r>
        <w:lastRenderedPageBreak/>
        <w:t xml:space="preserve">Kroz naredno trogodišnje razdoblje, Savjet za nacionalne manjine će: </w:t>
      </w:r>
    </w:p>
    <w:p w:rsidR="00D849AA" w:rsidRDefault="00EE6D95">
      <w:pPr>
        <w:pStyle w:val="Normal5"/>
      </w:pPr>
      <w:r>
        <w:t xml:space="preserve">- surađivati u pitanjima od interesa za nacionalne manjine u Republici Hrvatskoj s nadležnim tijelima međunarodnih organizacija i institucija koje se bave pitanjima nacionalnih manjina, kao i s nadležnim tijelima matičnih država pripadnika nacionalnih manjina u Republici Hrvatskoj </w:t>
      </w:r>
    </w:p>
    <w:p w:rsidR="00D849AA" w:rsidRDefault="00EE6D95">
      <w:pPr>
        <w:pStyle w:val="Normal5"/>
      </w:pPr>
      <w:r>
        <w:t xml:space="preserve">- predlagati poduzimanje gospodarskih, socijalnih i drugih mjera na područjima tradicionalno ili u znatnijem broju nastanjenim pripadnicima nacionalnih manjina kako bi se očuvalo njihovo postojanje na tim područjima </w:t>
      </w:r>
    </w:p>
    <w:p w:rsidR="00D849AA" w:rsidRDefault="00EE6D95">
      <w:pPr>
        <w:pStyle w:val="Normal5"/>
      </w:pPr>
      <w:r>
        <w:t xml:space="preserve">- analizirati učinke ostvarivanja pojedinih prava pripadnika nacionalnih manjina u školstvu, dvojezičnosti, informiranja, korištenju simbola i ostale probleme u ostvarivanju prava pripadnika nacionalnih manjina </w:t>
      </w:r>
    </w:p>
    <w:p w:rsidR="00D849AA" w:rsidRDefault="00EE6D95">
      <w:pPr>
        <w:pStyle w:val="Normal5"/>
      </w:pPr>
      <w:r>
        <w:t xml:space="preserve">- davati suglasnost na odluke koordinacija vijeća nacionalnih manjina jedinica područne (regionalne) samouprave o odlukama o znamenju i simbolima nacionalnih manjina i načinu obilježavanja praznika nacionalnih manjina </w:t>
      </w:r>
    </w:p>
    <w:p w:rsidR="00D849AA" w:rsidRDefault="00EE6D95">
      <w:pPr>
        <w:pStyle w:val="Normal5"/>
      </w:pPr>
      <w:r>
        <w:t>- davati mišljenja, prijedloge, analizirati programe javnih radiopostaja i javne televizije namijenjenih nacionalnim manjinama, o zastupljenosti pitanja namijenjenih nacionalnim manjinama u programima javnih radiopostaja i javne televizije i drugim sredstvima priopćavanja.</w:t>
      </w:r>
    </w:p>
    <w:p w:rsidR="00D849AA" w:rsidRDefault="00EE6D95">
      <w:pPr>
        <w:pStyle w:val="Naslov6"/>
      </w:pPr>
      <w:r>
        <w:t>Zakonske i druge pravne osnove</w:t>
      </w:r>
    </w:p>
    <w:p w:rsidR="00D849AA" w:rsidRDefault="00EE6D95">
      <w:pPr>
        <w:pStyle w:val="Normal5"/>
      </w:pPr>
      <w:r>
        <w:t xml:space="preserve">Savjet za nacionalne manjine sukladno čl. 35. st. 4 Ustavnog zakona o pravima nacionalnih manjina (NN, 155/02) raspoređuje sredstva koja se  državnom proračunu Republike Hrvatske osiguravaju za potrebe nacionalnih manjina u Republici Hrvatskoj. </w:t>
      </w:r>
    </w:p>
    <w:p w:rsidR="00D849AA" w:rsidRDefault="00EE6D95">
      <w:pPr>
        <w:pStyle w:val="Normal5"/>
      </w:pPr>
      <w:r>
        <w:t xml:space="preserve">Rad Savjeta je određen Statutom Savjeta za nacionalne manjine (NN.106/2003) i Uredbom o Stručnoj službi Savjeta za nacionalne manjine (77/2003,130/2006,76/2011 i 79/2012). </w:t>
      </w:r>
    </w:p>
    <w:p w:rsidR="00D849AA" w:rsidRDefault="00EE6D95">
      <w:pPr>
        <w:pStyle w:val="Normal5"/>
      </w:pPr>
      <w:r>
        <w:t>Za dodjelu potpora  za programe udruga i ustanovama nacionalnih manjina donešeni su Kriteriji za utvrđivanje financijske potpore za programe nevladinih udruga i ustanova nacionalnih manjina (NN. 129/09 i 70/2011), a za praćenje izvršenja programa Metodologija praćenja ostvarivanja programa nevladinih udruga i ustanova nacionalnih manjina (NN. 129/09 i 70/2011).</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Cilj 1. Ostvarivanje i unapređivanje prava nacionalnih manjina za kulturnom autonomijom</w:t>
      </w:r>
    </w:p>
    <w:p w:rsidR="00D849AA" w:rsidRDefault="00EE6D95">
      <w:pPr>
        <w:pStyle w:val="Normal6"/>
      </w:pPr>
      <w:r>
        <w:t>Ostvarivanje i unapređivanje prava nacionalnih manjina za kulturnom autonomijom omogućuje stvaranje uvjeta i poticanje prava nacionalnih manjina na jednakost pred zakonom, nediskriminaciju, te unapređivanje položaja nacionalnih manjina, kao i uključivanje predstavnika nacionalnih manjina u javni i politički život Republike Hrvatske, kao relevantnih partnera, promicanjem tolerancije i suživota nacionalnih manjina. Navedeni cilj je u suglasnosti sa Ustavnim zakonom o pravima nacionalnih manjina i drugih zakona i propisa kojima su regulirana prava pripadnika nacionalnih manjina kao i Akcijskog plana Vlade Republike Hrvatske za provedbu Ustavnog zakona o pravima nacionalnih manjina. U cilju ostvarivanja manjinskih prava i sloboda Savjet će surađivati s nadležnim državnim tijelima i tijelima jedinica samouprave, predstavnicima, vijećima i koordinacijama vijeća nacionalnih manjina, udrugama nacionalnih manjina i pravnim osobama koje obavljaju djelatnosti od interesa za nacionalne manjine, međunarodnim organizacijama i institucijama koje se bave pitanjima nacionalnih manjina, te tijelima matičnih država pripadnika nacionalnih manjina u Republici Hrvatskoj.</w:t>
      </w:r>
    </w:p>
    <w:p w:rsidR="00D849AA" w:rsidRDefault="00EE6D95">
      <w:pPr>
        <w:pStyle w:val="Naslov8"/>
        <w:jc w:val="left"/>
      </w:pPr>
      <w:r>
        <w:lastRenderedPageBreak/>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CC4FF4" w:rsidRDefault="00EE6D95">
            <w:pPr>
              <w:rPr>
                <w:rFonts w:ascii="Arial" w:hAnsi="Arial" w:cs="Arial"/>
              </w:rPr>
            </w:pPr>
            <w:r w:rsidRPr="00CC4FF4">
              <w:rPr>
                <w:rFonts w:ascii="Arial" w:hAnsi="Arial" w:cs="Arial"/>
              </w:rPr>
              <w:t>Pokazatelj učinka</w:t>
            </w:r>
          </w:p>
        </w:tc>
        <w:tc>
          <w:tcPr>
            <w:tcW w:w="1114" w:type="dxa"/>
            <w:shd w:val="clear" w:color="auto" w:fill="B5C0D8"/>
          </w:tcPr>
          <w:p w:rsidR="00D849AA" w:rsidRPr="00CC4FF4" w:rsidRDefault="00EE6D95">
            <w:pPr>
              <w:pStyle w:val="CellHeader"/>
            </w:pPr>
            <w:r w:rsidRPr="00CC4FF4">
              <w:t>Jedinica</w:t>
            </w:r>
          </w:p>
        </w:tc>
        <w:tc>
          <w:tcPr>
            <w:tcW w:w="1114" w:type="dxa"/>
            <w:shd w:val="clear" w:color="auto" w:fill="B5C0D8"/>
          </w:tcPr>
          <w:p w:rsidR="00D849AA" w:rsidRPr="00CC4FF4" w:rsidRDefault="00EE6D95">
            <w:pPr>
              <w:pStyle w:val="CellHeader"/>
            </w:pPr>
            <w:r w:rsidRPr="00CC4FF4">
              <w:t>Polazna vrijednost</w:t>
            </w:r>
          </w:p>
        </w:tc>
        <w:tc>
          <w:tcPr>
            <w:tcW w:w="1486" w:type="dxa"/>
            <w:shd w:val="clear" w:color="auto" w:fill="B5C0D8"/>
          </w:tcPr>
          <w:p w:rsidR="00D849AA" w:rsidRPr="00CC4FF4" w:rsidRDefault="00EE6D95">
            <w:pPr>
              <w:pStyle w:val="CellHeader"/>
            </w:pPr>
            <w:r w:rsidRPr="00CC4FF4">
              <w:t>Ciljana vrijednost (2014.)</w:t>
            </w:r>
          </w:p>
        </w:tc>
        <w:tc>
          <w:tcPr>
            <w:tcW w:w="1486" w:type="dxa"/>
            <w:shd w:val="clear" w:color="auto" w:fill="B5C0D8"/>
          </w:tcPr>
          <w:p w:rsidR="00D849AA" w:rsidRPr="00CC4FF4" w:rsidRDefault="00EE6D95">
            <w:pPr>
              <w:pStyle w:val="CellHeader"/>
            </w:pPr>
            <w:r w:rsidRPr="00CC4FF4">
              <w:t>Ciljana vrijednost (2015.)</w:t>
            </w:r>
          </w:p>
        </w:tc>
        <w:tc>
          <w:tcPr>
            <w:tcW w:w="1486" w:type="dxa"/>
            <w:shd w:val="clear" w:color="auto" w:fill="B5C0D8"/>
          </w:tcPr>
          <w:p w:rsidR="00D849AA" w:rsidRPr="00CC4FF4" w:rsidRDefault="00EE6D95">
            <w:pPr>
              <w:pStyle w:val="CellHeader"/>
            </w:pPr>
            <w:r w:rsidRPr="00CC4FF4">
              <w:t>Ciljana vrijednost (2016.)</w:t>
            </w:r>
          </w:p>
        </w:tc>
      </w:tr>
      <w:tr w:rsidR="00D849AA">
        <w:trPr>
          <w:jc w:val="center"/>
        </w:trPr>
        <w:tc>
          <w:tcPr>
            <w:tcW w:w="2229" w:type="dxa"/>
          </w:tcPr>
          <w:p w:rsidR="00D849AA" w:rsidRPr="00CC4FF4" w:rsidRDefault="00EE6D95">
            <w:pPr>
              <w:pStyle w:val="CellColumn"/>
            </w:pPr>
            <w:r w:rsidRPr="00CC4FF4">
              <w:t>Unapređenje praćenja namjenskog utroška sredstava iz državnog proračuna</w:t>
            </w:r>
          </w:p>
        </w:tc>
        <w:tc>
          <w:tcPr>
            <w:tcW w:w="1114" w:type="dxa"/>
          </w:tcPr>
          <w:p w:rsidR="00D849AA" w:rsidRPr="00CC4FF4" w:rsidRDefault="00EE6D95">
            <w:pPr>
              <w:rPr>
                <w:rFonts w:ascii="Arial" w:hAnsi="Arial" w:cs="Arial"/>
              </w:rPr>
            </w:pPr>
            <w:r w:rsidRPr="00CC4FF4">
              <w:rPr>
                <w:rFonts w:ascii="Arial" w:hAnsi="Arial" w:cs="Arial"/>
              </w:rPr>
              <w:t>%</w:t>
            </w:r>
          </w:p>
        </w:tc>
        <w:tc>
          <w:tcPr>
            <w:tcW w:w="1114" w:type="dxa"/>
          </w:tcPr>
          <w:p w:rsidR="00D849AA" w:rsidRPr="00CC4FF4" w:rsidRDefault="00EE6D95">
            <w:pPr>
              <w:rPr>
                <w:rFonts w:ascii="Arial" w:hAnsi="Arial" w:cs="Arial"/>
              </w:rPr>
            </w:pPr>
            <w:r w:rsidRPr="00CC4FF4">
              <w:rPr>
                <w:rFonts w:ascii="Arial" w:hAnsi="Arial" w:cs="Arial"/>
              </w:rPr>
              <w:t>75</w:t>
            </w:r>
          </w:p>
        </w:tc>
        <w:tc>
          <w:tcPr>
            <w:tcW w:w="1486" w:type="dxa"/>
          </w:tcPr>
          <w:p w:rsidR="00D849AA" w:rsidRPr="00CC4FF4" w:rsidRDefault="00EE6D95">
            <w:pPr>
              <w:rPr>
                <w:rFonts w:ascii="Arial" w:hAnsi="Arial" w:cs="Arial"/>
              </w:rPr>
            </w:pPr>
            <w:r w:rsidRPr="00CC4FF4">
              <w:rPr>
                <w:rFonts w:ascii="Arial" w:hAnsi="Arial" w:cs="Arial"/>
              </w:rPr>
              <w:t>80</w:t>
            </w:r>
          </w:p>
        </w:tc>
        <w:tc>
          <w:tcPr>
            <w:tcW w:w="1486" w:type="dxa"/>
          </w:tcPr>
          <w:p w:rsidR="00D849AA" w:rsidRPr="00CC4FF4" w:rsidRDefault="00EE6D95">
            <w:pPr>
              <w:rPr>
                <w:rFonts w:ascii="Arial" w:hAnsi="Arial" w:cs="Arial"/>
              </w:rPr>
            </w:pPr>
            <w:r w:rsidRPr="00CC4FF4">
              <w:rPr>
                <w:rFonts w:ascii="Arial" w:hAnsi="Arial" w:cs="Arial"/>
              </w:rPr>
              <w:t>83</w:t>
            </w:r>
          </w:p>
        </w:tc>
        <w:tc>
          <w:tcPr>
            <w:tcW w:w="1486" w:type="dxa"/>
          </w:tcPr>
          <w:p w:rsidR="00D849AA" w:rsidRPr="00CC4FF4" w:rsidRDefault="00EE6D95">
            <w:pPr>
              <w:rPr>
                <w:rFonts w:ascii="Arial" w:hAnsi="Arial" w:cs="Arial"/>
              </w:rPr>
            </w:pPr>
            <w:r w:rsidRPr="00CC4FF4">
              <w:rPr>
                <w:rFonts w:ascii="Arial" w:hAnsi="Arial" w:cs="Arial"/>
              </w:rPr>
              <w:t>85</w:t>
            </w:r>
          </w:p>
        </w:tc>
      </w:tr>
    </w:tbl>
    <w:p w:rsidR="00D849AA" w:rsidRDefault="00D849AA">
      <w:pPr>
        <w:jc w:val="left"/>
      </w:pPr>
    </w:p>
    <w:p w:rsidR="00D849AA" w:rsidRDefault="00EE6D95">
      <w:pPr>
        <w:pStyle w:val="Naslov5"/>
      </w:pPr>
      <w:r>
        <w:t>Procjena i ishodište potrebnih sredstava za značajnije aktivnosti/projekte</w:t>
      </w:r>
    </w:p>
    <w:p w:rsidR="00D849AA" w:rsidRDefault="00EE6D95">
      <w:pPr>
        <w:pStyle w:val="Naslov6"/>
      </w:pPr>
      <w:r>
        <w:t>A732003 POTPORE ZA PROGRAME OSTVARIVANJA KULTURNE AUTONOMIJE NACIONALNIH MANJINA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CC4FF4" w:rsidRDefault="00EE6D95">
            <w:pPr>
              <w:pStyle w:val="CellHeader"/>
            </w:pPr>
            <w:r w:rsidRPr="00CC4FF4">
              <w:t>Naziv aktivnosti</w:t>
            </w:r>
          </w:p>
        </w:tc>
        <w:tc>
          <w:tcPr>
            <w:tcW w:w="1486" w:type="dxa"/>
            <w:shd w:val="clear" w:color="auto" w:fill="B5C0D8"/>
          </w:tcPr>
          <w:p w:rsidR="00D849AA" w:rsidRPr="00CC4FF4" w:rsidRDefault="00EE6D95">
            <w:pPr>
              <w:pStyle w:val="CellHeader"/>
            </w:pPr>
            <w:r w:rsidRPr="00CC4FF4">
              <w:t>Plan 2013.</w:t>
            </w:r>
          </w:p>
        </w:tc>
        <w:tc>
          <w:tcPr>
            <w:tcW w:w="1486" w:type="dxa"/>
            <w:shd w:val="clear" w:color="auto" w:fill="B5C0D8"/>
          </w:tcPr>
          <w:p w:rsidR="00D849AA" w:rsidRPr="00CC4FF4" w:rsidRDefault="00EE6D95">
            <w:pPr>
              <w:pStyle w:val="CellHeader"/>
            </w:pPr>
            <w:r w:rsidRPr="00CC4FF4">
              <w:t>Plan 2014.</w:t>
            </w:r>
          </w:p>
        </w:tc>
        <w:tc>
          <w:tcPr>
            <w:tcW w:w="1486" w:type="dxa"/>
            <w:shd w:val="clear" w:color="auto" w:fill="B5C0D8"/>
          </w:tcPr>
          <w:p w:rsidR="00D849AA" w:rsidRPr="00CC4FF4" w:rsidRDefault="00EE6D95">
            <w:pPr>
              <w:pStyle w:val="CellHeader"/>
            </w:pPr>
            <w:r w:rsidRPr="00CC4FF4">
              <w:t>Plan 2015.</w:t>
            </w:r>
          </w:p>
        </w:tc>
        <w:tc>
          <w:tcPr>
            <w:tcW w:w="1486" w:type="dxa"/>
            <w:shd w:val="clear" w:color="auto" w:fill="B5C0D8"/>
          </w:tcPr>
          <w:p w:rsidR="00D849AA" w:rsidRPr="00CC4FF4" w:rsidRDefault="00EE6D95">
            <w:pPr>
              <w:pStyle w:val="CellHeader"/>
            </w:pPr>
            <w:r w:rsidRPr="00CC4FF4">
              <w:t>Plan 2016.</w:t>
            </w:r>
          </w:p>
        </w:tc>
        <w:tc>
          <w:tcPr>
            <w:tcW w:w="1486" w:type="dxa"/>
            <w:shd w:val="clear" w:color="auto" w:fill="B5C0D8"/>
          </w:tcPr>
          <w:p w:rsidR="00D849AA" w:rsidRPr="00CC4FF4" w:rsidRDefault="00EE6D95">
            <w:pPr>
              <w:pStyle w:val="CellHeader"/>
            </w:pPr>
            <w:r w:rsidRPr="00CC4FF4">
              <w:t>Indeks 2014/2013</w:t>
            </w:r>
          </w:p>
        </w:tc>
      </w:tr>
      <w:tr w:rsidR="00D849AA">
        <w:trPr>
          <w:jc w:val="center"/>
        </w:trPr>
        <w:tc>
          <w:tcPr>
            <w:tcW w:w="1486" w:type="dxa"/>
          </w:tcPr>
          <w:p w:rsidR="00D849AA" w:rsidRPr="00CC4FF4" w:rsidRDefault="00EE6D95">
            <w:pPr>
              <w:pStyle w:val="CellColumn"/>
            </w:pPr>
            <w:r w:rsidRPr="00CC4FF4">
              <w:t>A732003</w:t>
            </w:r>
          </w:p>
        </w:tc>
        <w:tc>
          <w:tcPr>
            <w:tcW w:w="1486" w:type="dxa"/>
          </w:tcPr>
          <w:p w:rsidR="00D849AA" w:rsidRPr="00CC4FF4" w:rsidRDefault="00EE6D95">
            <w:pPr>
              <w:rPr>
                <w:rFonts w:ascii="Arial" w:hAnsi="Arial" w:cs="Arial"/>
              </w:rPr>
            </w:pPr>
            <w:r w:rsidRPr="00CC4FF4">
              <w:rPr>
                <w:rFonts w:ascii="Arial" w:hAnsi="Arial" w:cs="Arial"/>
              </w:rPr>
              <w:t>38.708.240</w:t>
            </w:r>
          </w:p>
        </w:tc>
        <w:tc>
          <w:tcPr>
            <w:tcW w:w="1486" w:type="dxa"/>
          </w:tcPr>
          <w:p w:rsidR="00D849AA" w:rsidRPr="00CC4FF4" w:rsidRDefault="00EE6D95">
            <w:pPr>
              <w:rPr>
                <w:rFonts w:ascii="Arial" w:hAnsi="Arial" w:cs="Arial"/>
              </w:rPr>
            </w:pPr>
            <w:r w:rsidRPr="00CC4FF4">
              <w:rPr>
                <w:rFonts w:ascii="Arial" w:hAnsi="Arial" w:cs="Arial"/>
              </w:rPr>
              <w:t>36.358.000</w:t>
            </w:r>
          </w:p>
        </w:tc>
        <w:tc>
          <w:tcPr>
            <w:tcW w:w="1486" w:type="dxa"/>
          </w:tcPr>
          <w:p w:rsidR="00D849AA" w:rsidRPr="00CC4FF4" w:rsidRDefault="00EE6D95">
            <w:pPr>
              <w:rPr>
                <w:rFonts w:ascii="Arial" w:hAnsi="Arial" w:cs="Arial"/>
              </w:rPr>
            </w:pPr>
            <w:r w:rsidRPr="00CC4FF4">
              <w:rPr>
                <w:rFonts w:ascii="Arial" w:hAnsi="Arial" w:cs="Arial"/>
              </w:rPr>
              <w:t>37.815.000</w:t>
            </w:r>
          </w:p>
        </w:tc>
        <w:tc>
          <w:tcPr>
            <w:tcW w:w="1486" w:type="dxa"/>
          </w:tcPr>
          <w:p w:rsidR="00D849AA" w:rsidRPr="00CC4FF4" w:rsidRDefault="00EE6D95">
            <w:pPr>
              <w:rPr>
                <w:rFonts w:ascii="Arial" w:hAnsi="Arial" w:cs="Arial"/>
              </w:rPr>
            </w:pPr>
            <w:r w:rsidRPr="00CC4FF4">
              <w:rPr>
                <w:rFonts w:ascii="Arial" w:hAnsi="Arial" w:cs="Arial"/>
              </w:rPr>
              <w:t>39.315.000</w:t>
            </w:r>
          </w:p>
        </w:tc>
        <w:tc>
          <w:tcPr>
            <w:tcW w:w="1486" w:type="dxa"/>
          </w:tcPr>
          <w:p w:rsidR="00D849AA" w:rsidRPr="00CC4FF4" w:rsidRDefault="00EE6D95">
            <w:pPr>
              <w:rPr>
                <w:rFonts w:ascii="Arial" w:hAnsi="Arial" w:cs="Arial"/>
              </w:rPr>
            </w:pPr>
            <w:r w:rsidRPr="00CC4FF4">
              <w:rPr>
                <w:rFonts w:ascii="Arial" w:hAnsi="Arial" w:cs="Arial"/>
              </w:rPr>
              <w:t>93,9</w:t>
            </w:r>
          </w:p>
        </w:tc>
      </w:tr>
    </w:tbl>
    <w:p w:rsidR="00D849AA" w:rsidRDefault="00D849AA">
      <w:pPr>
        <w:jc w:val="left"/>
      </w:pPr>
    </w:p>
    <w:p w:rsidR="00D849AA" w:rsidRDefault="00EE6D95">
      <w:pPr>
        <w:pStyle w:val="Normal6"/>
      </w:pPr>
      <w:r>
        <w:t xml:space="preserve">Savjet za nacionalne manjine daje potpore za područja informiranja, izdavaštva, kulturnog amaterizma, kulturnih manifestacija, kao i ostvarivanje bilateralnih sporazuma i stvaranje pretpostavki za ostvarivanje kulturne autonomije. </w:t>
      </w:r>
    </w:p>
    <w:p w:rsidR="00D849AA" w:rsidRDefault="00EE6D95">
      <w:pPr>
        <w:pStyle w:val="Normal6"/>
      </w:pPr>
      <w:r>
        <w:t xml:space="preserve">Savjet za nacionalne manjine nastavit će: </w:t>
      </w:r>
    </w:p>
    <w:p w:rsidR="00D849AA" w:rsidRDefault="00EE6D95">
      <w:pPr>
        <w:pStyle w:val="Normal6"/>
      </w:pPr>
      <w:r>
        <w:t xml:space="preserve">- poticati i pružati financijsku potporu za ostvarivanje, razvoj, unapređivanje i povećanje kulturnih i informativno-izdavačkih programa udruga i ustanova, koje artikuliraju većinu djelatnosti manjinskih zajednica, te izražavaju potrebu za očuvanjem etničkog, kulturnog i jezičnog identiteta, a istovremeno znače doprinos kulturnom, društvenom i gospodarskom razvitku Republike Hrvatske, te njihovoj integraciji u hrvatsko društvo, vodeći računa o broju pripadnika nacionalnih manjina, broju članova udruga i ustanova koje okupljaju, dužini djelovanja, te dosadašnjem radu </w:t>
      </w:r>
    </w:p>
    <w:p w:rsidR="00D849AA" w:rsidRDefault="00EE6D95">
      <w:pPr>
        <w:pStyle w:val="Normal6"/>
      </w:pPr>
      <w:r>
        <w:t xml:space="preserve">- održavati i podizati dostignutu razinu ostvarivanja etničkih prava koja su značajna za pripadnike nacionalnih manjina </w:t>
      </w:r>
    </w:p>
    <w:p w:rsidR="00D849AA" w:rsidRDefault="00EE6D95">
      <w:pPr>
        <w:pStyle w:val="Normal6"/>
      </w:pPr>
      <w:r>
        <w:t xml:space="preserve">- poklanjati posebnu pozornost kulturnom amaterizmu i ustanovama kulture zbog njihove važnosti u očuvanju etničkog identiteta </w:t>
      </w:r>
    </w:p>
    <w:p w:rsidR="00D849AA" w:rsidRDefault="00EE6D95">
      <w:pPr>
        <w:pStyle w:val="Normal6"/>
      </w:pPr>
      <w:r>
        <w:t xml:space="preserve">- podupirati programe koji doprinose unapređivanju tolerancije i uspostavljanju multietničkog i multikulturalnog povjerenja </w:t>
      </w:r>
    </w:p>
    <w:p w:rsidR="00D849AA" w:rsidRDefault="00EE6D95">
      <w:pPr>
        <w:pStyle w:val="Normal6"/>
      </w:pPr>
      <w:r>
        <w:t xml:space="preserve">- provoditi zaključke i odredbe ugovora i sporazuma o zaštiti prava nacionalnih manjina kojih je potpisnik Republika Hrvatska. </w:t>
      </w:r>
    </w:p>
    <w:p w:rsidR="00D849AA" w:rsidRDefault="00EE6D95">
      <w:pPr>
        <w:pStyle w:val="Normal6"/>
      </w:pPr>
      <w:r>
        <w:t xml:space="preserve">Davanje potpore udrugama i ustanovama nacionalnih manjina za gore navedene programe nastoji se poboljšati i unaprijediti očuvanje etničkog, kulturnog i jezičnog identiteta pripadnika nacionalnih manjina na njihovom jeziku i pismu. </w:t>
      </w:r>
    </w:p>
    <w:p w:rsidR="00D849AA" w:rsidRDefault="00EE6D95">
      <w:pPr>
        <w:pStyle w:val="Normal6"/>
      </w:pPr>
      <w:r>
        <w:t>Odobrene potpore se doznačuju udrugama i ustanovama nacionalnih manjina kontinuirano tijekom cijele godine, jedanput mjesečno.</w:t>
      </w:r>
    </w:p>
    <w:p w:rsidR="00CC4FF4" w:rsidRDefault="00CC4FF4">
      <w:pPr>
        <w:pStyle w:val="Naslov8"/>
        <w:jc w:val="left"/>
      </w:pPr>
    </w:p>
    <w:p w:rsidR="00CC4FF4" w:rsidRDefault="00CC4FF4">
      <w:pPr>
        <w:pStyle w:val="Naslov8"/>
        <w:jc w:val="left"/>
      </w:pPr>
    </w:p>
    <w:p w:rsidR="00D849AA" w:rsidRDefault="00EE6D95">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CC4FF4" w:rsidRDefault="00EE6D95">
            <w:pPr>
              <w:rPr>
                <w:rFonts w:ascii="Arial" w:hAnsi="Arial" w:cs="Arial"/>
              </w:rPr>
            </w:pPr>
            <w:r w:rsidRPr="00CC4FF4">
              <w:rPr>
                <w:rFonts w:ascii="Arial" w:hAnsi="Arial" w:cs="Arial"/>
              </w:rPr>
              <w:t>Pokazatelj rezultata</w:t>
            </w:r>
          </w:p>
        </w:tc>
        <w:tc>
          <w:tcPr>
            <w:tcW w:w="1114" w:type="dxa"/>
            <w:shd w:val="clear" w:color="auto" w:fill="B5C0D8"/>
          </w:tcPr>
          <w:p w:rsidR="00D849AA" w:rsidRPr="00CC4FF4" w:rsidRDefault="00EE6D95">
            <w:pPr>
              <w:pStyle w:val="CellHeader"/>
            </w:pPr>
            <w:r w:rsidRPr="00CC4FF4">
              <w:t>Jedinica</w:t>
            </w:r>
          </w:p>
        </w:tc>
        <w:tc>
          <w:tcPr>
            <w:tcW w:w="1114" w:type="dxa"/>
            <w:shd w:val="clear" w:color="auto" w:fill="B5C0D8"/>
          </w:tcPr>
          <w:p w:rsidR="00D849AA" w:rsidRPr="00CC4FF4" w:rsidRDefault="00EE6D95">
            <w:pPr>
              <w:pStyle w:val="CellHeader"/>
            </w:pPr>
            <w:r w:rsidRPr="00CC4FF4">
              <w:t>Polazna vrijednost</w:t>
            </w:r>
          </w:p>
        </w:tc>
        <w:tc>
          <w:tcPr>
            <w:tcW w:w="1486" w:type="dxa"/>
            <w:shd w:val="clear" w:color="auto" w:fill="B5C0D8"/>
          </w:tcPr>
          <w:p w:rsidR="00D849AA" w:rsidRPr="00CC4FF4" w:rsidRDefault="00EE6D95">
            <w:pPr>
              <w:pStyle w:val="CellHeader"/>
            </w:pPr>
            <w:r w:rsidRPr="00CC4FF4">
              <w:t>Ciljana vrijednost (2014.)</w:t>
            </w:r>
          </w:p>
        </w:tc>
        <w:tc>
          <w:tcPr>
            <w:tcW w:w="1486" w:type="dxa"/>
            <w:shd w:val="clear" w:color="auto" w:fill="B5C0D8"/>
          </w:tcPr>
          <w:p w:rsidR="00D849AA" w:rsidRPr="00CC4FF4" w:rsidRDefault="00EE6D95">
            <w:pPr>
              <w:pStyle w:val="CellHeader"/>
            </w:pPr>
            <w:r w:rsidRPr="00CC4FF4">
              <w:t>Ciljana vrijednost (2015.)</w:t>
            </w:r>
          </w:p>
        </w:tc>
        <w:tc>
          <w:tcPr>
            <w:tcW w:w="1486" w:type="dxa"/>
            <w:shd w:val="clear" w:color="auto" w:fill="B5C0D8"/>
          </w:tcPr>
          <w:p w:rsidR="00D849AA" w:rsidRPr="00CC4FF4" w:rsidRDefault="00EE6D95">
            <w:pPr>
              <w:pStyle w:val="CellHeader"/>
            </w:pPr>
            <w:r w:rsidRPr="00CC4FF4">
              <w:t>Ciljana vrijednost (2016.)</w:t>
            </w:r>
          </w:p>
        </w:tc>
      </w:tr>
      <w:tr w:rsidR="00D849AA">
        <w:trPr>
          <w:jc w:val="center"/>
        </w:trPr>
        <w:tc>
          <w:tcPr>
            <w:tcW w:w="2229" w:type="dxa"/>
          </w:tcPr>
          <w:p w:rsidR="00D849AA" w:rsidRPr="00CC4FF4" w:rsidRDefault="00EE6D95">
            <w:pPr>
              <w:pStyle w:val="CellColumn"/>
            </w:pPr>
            <w:r w:rsidRPr="00CC4FF4">
              <w:t>Povećanje broja terenskih kontrola</w:t>
            </w:r>
          </w:p>
        </w:tc>
        <w:tc>
          <w:tcPr>
            <w:tcW w:w="1114" w:type="dxa"/>
          </w:tcPr>
          <w:p w:rsidR="00D849AA" w:rsidRPr="00CC4FF4" w:rsidRDefault="00EE6D95">
            <w:pPr>
              <w:rPr>
                <w:rFonts w:ascii="Arial" w:hAnsi="Arial" w:cs="Arial"/>
              </w:rPr>
            </w:pPr>
            <w:r w:rsidRPr="00CC4FF4">
              <w:rPr>
                <w:rFonts w:ascii="Arial" w:hAnsi="Arial" w:cs="Arial"/>
              </w:rPr>
              <w:t>broj</w:t>
            </w:r>
          </w:p>
        </w:tc>
        <w:tc>
          <w:tcPr>
            <w:tcW w:w="1114" w:type="dxa"/>
          </w:tcPr>
          <w:p w:rsidR="00D849AA" w:rsidRPr="00CC4FF4" w:rsidRDefault="00EE6D95">
            <w:pPr>
              <w:rPr>
                <w:rFonts w:ascii="Arial" w:hAnsi="Arial" w:cs="Arial"/>
              </w:rPr>
            </w:pPr>
            <w:r w:rsidRPr="00CC4FF4">
              <w:rPr>
                <w:rFonts w:ascii="Arial" w:hAnsi="Arial" w:cs="Arial"/>
              </w:rPr>
              <w:t>15</w:t>
            </w:r>
          </w:p>
        </w:tc>
        <w:tc>
          <w:tcPr>
            <w:tcW w:w="1486" w:type="dxa"/>
          </w:tcPr>
          <w:p w:rsidR="00D849AA" w:rsidRPr="00CC4FF4" w:rsidRDefault="00EE6D95">
            <w:pPr>
              <w:rPr>
                <w:rFonts w:ascii="Arial" w:hAnsi="Arial" w:cs="Arial"/>
              </w:rPr>
            </w:pPr>
            <w:r w:rsidRPr="00CC4FF4">
              <w:rPr>
                <w:rFonts w:ascii="Arial" w:hAnsi="Arial" w:cs="Arial"/>
              </w:rPr>
              <w:t>18</w:t>
            </w:r>
          </w:p>
        </w:tc>
        <w:tc>
          <w:tcPr>
            <w:tcW w:w="1486" w:type="dxa"/>
          </w:tcPr>
          <w:p w:rsidR="00D849AA" w:rsidRPr="00CC4FF4" w:rsidRDefault="00EE6D95">
            <w:pPr>
              <w:rPr>
                <w:rFonts w:ascii="Arial" w:hAnsi="Arial" w:cs="Arial"/>
              </w:rPr>
            </w:pPr>
            <w:r w:rsidRPr="00CC4FF4">
              <w:rPr>
                <w:rFonts w:ascii="Arial" w:hAnsi="Arial" w:cs="Arial"/>
              </w:rPr>
              <w:t>22</w:t>
            </w:r>
          </w:p>
        </w:tc>
        <w:tc>
          <w:tcPr>
            <w:tcW w:w="1486" w:type="dxa"/>
          </w:tcPr>
          <w:p w:rsidR="00D849AA" w:rsidRPr="00CC4FF4" w:rsidRDefault="00EE6D95">
            <w:pPr>
              <w:rPr>
                <w:rFonts w:ascii="Arial" w:hAnsi="Arial" w:cs="Arial"/>
              </w:rPr>
            </w:pPr>
            <w:r w:rsidRPr="00CC4FF4">
              <w:rPr>
                <w:rFonts w:ascii="Arial" w:hAnsi="Arial" w:cs="Arial"/>
              </w:rPr>
              <w:t>25</w:t>
            </w:r>
          </w:p>
        </w:tc>
      </w:tr>
    </w:tbl>
    <w:p w:rsidR="00D849AA" w:rsidRDefault="00D849AA">
      <w:pPr>
        <w:jc w:val="left"/>
      </w:pPr>
    </w:p>
    <w:p w:rsidR="00D849AA" w:rsidRDefault="00EE6D95">
      <w:pPr>
        <w:pStyle w:val="Naslov2"/>
      </w:pPr>
      <w:r>
        <w:t>02030 Ured za zakonodavstvo</w:t>
      </w:r>
    </w:p>
    <w:p w:rsidR="00D849AA" w:rsidRDefault="00EE6D95">
      <w:pPr>
        <w:pStyle w:val="Naslov4"/>
      </w:pPr>
      <w:r>
        <w:t>Uvod</w:t>
      </w:r>
    </w:p>
    <w:p w:rsidR="00D849AA" w:rsidRDefault="00EE6D95">
      <w:pPr>
        <w:pStyle w:val="Normal3"/>
      </w:pPr>
      <w:r>
        <w:t xml:space="preserve">Djelokrug i unutarnje ustrojstvo Ureda za zakonodavstvo Vlade Republike Hrvatske propisani su Zakonom o Vladi Republike Hrvatske („Narodne novine“ br. 150/11), Poslovnikom Vlade Republike Hrvatske ("Narodne novine" br. 154/11, 121/12), Zakonom o procjeni učinaka propisa ("Narodne novine" br. 90/11), te Uredbom o postupku procjene učinaka propisa ("Narodne novine" br. 66/12). </w:t>
      </w:r>
    </w:p>
    <w:p w:rsidR="00D849AA" w:rsidRDefault="00EE6D95">
      <w:pPr>
        <w:pStyle w:val="Normal3"/>
      </w:pPr>
      <w:r>
        <w:t xml:space="preserve">Prema članku 27. Zakona o Vladi Republike Hrvatske, Vlada za obavljanje stručnih poslova osniva Ured za zakonodavstvo, a nadležnost i način rada Ureda Vlade detaljnije se uređuju uredbom Vlade.  </w:t>
      </w:r>
    </w:p>
    <w:p w:rsidR="00D849AA" w:rsidRDefault="00EE6D95">
      <w:pPr>
        <w:pStyle w:val="Normal3"/>
      </w:pPr>
      <w:r>
        <w:t xml:space="preserve">Djelokrugom Ureda za zakonodavstvo obuhvaćeni su svi poslovi koje je ovaj Ured do sada obavljao u skladu sa ranije važećim Zakonom o Vladi Republike Hrvatske kao i poslovi koji su ovom Uredu stavljeni u djelokrug Zakonom o procjeni učinaka propisa kao posebnim zakonom, te Uredbom o postupku procjene učinaka propisa. </w:t>
      </w:r>
    </w:p>
    <w:p w:rsidR="00D849AA" w:rsidRDefault="00EE6D95">
      <w:pPr>
        <w:pStyle w:val="Normal3"/>
      </w:pPr>
      <w:r>
        <w:t xml:space="preserve">Djelokrug Ureda usklađen je i sa novim Poslovnikom Vlade Republike Hrvatske te su djelokrugom Ureda obuhvaćeni i svi poslovi koji se sada izrijekom Poslovnikom Vlade Republike Hrvatske navode i stavljanju u djelokrug Ureda.    </w:t>
      </w:r>
    </w:p>
    <w:p w:rsidR="00D849AA" w:rsidRDefault="00EE6D95">
      <w:pPr>
        <w:pStyle w:val="Normal3"/>
      </w:pPr>
      <w:r>
        <w:t xml:space="preserve">Unutarnja organizacijska struktura Ureda u cijelosti je strukturirana sukladno Uredbi o načelima za unutarnje ustrojstvo tijela državne uprave („Narodne novine“ broj 154/11) i načelima na kojima se prema članku 4. Uredbe treba temeljiti unutarnje ustrojstvo tijela državne uprave i stručnih službi Vlade, a to su: načelo racionalizacije; načelo funkcionalnosti; načelo vertikalne i horizontalne povezanosti; načelo harmonizacije temeljnih elemenata unutarnjeg ustrojstva; načelo fleksibilnosti unutarnjeg ustrojstva i načelo dostupnosti. </w:t>
      </w:r>
    </w:p>
    <w:p w:rsidR="00D849AA" w:rsidRDefault="00EE6D95">
      <w:pPr>
        <w:pStyle w:val="Normal3"/>
      </w:pPr>
      <w:r>
        <w:t xml:space="preserve">Vodeći se spomenutim načelima za unutarnje ustrojstvo tijela državne uprave, a posebice razlozima funkcionalnosti i fleksibilnosti u obavljanju specifičnih stručnih poslova za Vladu u okviru propisanog djelokruga ovog Ureda, predloženo je novo unutarnje ustrojstvo Ureda koje se naslanja na unutarnje ustrojstvo Glavnog tajništva i odgovara potrebama usklađenog rada ovog Ureda, Glavnog tajništva Vlade i stalnih radnih tijela Vlade, Koordinacije za unutarnju i vanjsku politiku, Koordinacije za društvene djelatnosti i ljudska prava, Koordinacije za regionalni razvoj i fondove Europske unije i Koordinacije za gospodarstvo. </w:t>
      </w:r>
    </w:p>
    <w:p w:rsidR="00D849AA" w:rsidRDefault="00EE6D95">
      <w:pPr>
        <w:pStyle w:val="Normal3"/>
      </w:pPr>
      <w:r>
        <w:t xml:space="preserve">Za učinkovito obavljanje poslova iz djelokruga Ureda ustrojene su sljedeće jedinice:  </w:t>
      </w:r>
    </w:p>
    <w:p w:rsidR="00D849AA" w:rsidRDefault="00EE6D95">
      <w:pPr>
        <w:pStyle w:val="Normal3"/>
      </w:pPr>
      <w:r>
        <w:t xml:space="preserve">- Jedinica za zakonodavne poslove iz područja gospodarstva; </w:t>
      </w:r>
    </w:p>
    <w:p w:rsidR="00D849AA" w:rsidRDefault="00EE6D95">
      <w:pPr>
        <w:pStyle w:val="Normal3"/>
      </w:pPr>
      <w:r>
        <w:t xml:space="preserve">- Jedinica za zakonodavne poslove iz područja unutarnje i vanjske politike, društvenih djelatnosti i ljudskih prava; </w:t>
      </w:r>
    </w:p>
    <w:p w:rsidR="00D849AA" w:rsidRDefault="00EE6D95">
      <w:pPr>
        <w:pStyle w:val="Normal3"/>
      </w:pPr>
      <w:r>
        <w:t xml:space="preserve">- Jedinica za zakonodavne poslove iz područja regionalnog razvoja i fondova Europske unije, za sustav i koordinaciju procjene učinaka propisa, te poslove Europske unije  </w:t>
      </w:r>
    </w:p>
    <w:p w:rsidR="00D849AA" w:rsidRDefault="00EE6D95">
      <w:pPr>
        <w:pStyle w:val="Normal3"/>
      </w:pPr>
      <w:r>
        <w:lastRenderedPageBreak/>
        <w:t xml:space="preserve">- Jedinica za objavu zakona i drugih propisa u „Narodnim novinama“ – službenom listu Republike Hrvatske. </w:t>
      </w:r>
    </w:p>
    <w:p w:rsidR="00D849AA" w:rsidRDefault="00EE6D95">
      <w:pPr>
        <w:pStyle w:val="Normal3"/>
      </w:pPr>
      <w:r>
        <w:t xml:space="preserve">Stupanjem na snagu posebnog Zakona o procjeni učinaka propisa ("Narodne novine" br. 90/11) te Uredbe o provedbi postupka procjene učinaka propisa ("Narodne novine" br. 66/12), Ured za zakonodavstvo je postao nadležan za koordinaciju i izradu dokumenata iz članka 8. i 9. Zakona o procjeni učinaka propisa, za davanje suglasnosti na Prijedlog iskaza i za izradu provedbenog propisa koji se donosi na temelju ovoga Zakona. </w:t>
      </w:r>
    </w:p>
    <w:p w:rsidR="00D849AA" w:rsidRDefault="00EE6D95">
      <w:pPr>
        <w:pStyle w:val="Normal3"/>
      </w:pPr>
      <w:r>
        <w:t xml:space="preserve">Ured za zakonodavstvo nadležan je i za obavljanje poslova stručnog osposobljavanja i usavršavanja u području procjene učinaka propisa i području izrade propisa, za davanje mišljenja i izradu potrebnih akata, radi postizanja pravne i pojmovne koherentnosti hrvatskog zakonodavstva, kao i za davanje mišljenja i izradu potrebnih akata, radi pravnog i pojmovnog usuglašavanja hrvatskog zakonodavstva sa standardima Europske unije, na zahtjev Stručnog nositelja izrade propisa, za izradu Nomotehničkih smjernica kao podloge za izradu pravnih propisa. Nomotehničke smjernice, na prijedlog Ureda za zakonodavstvo, donosi Vlada Republike Hrvatske odlukom. U nadležnosti Ureda za zakonodavstvo su i drugi poslovi vezani za sustav učinaka propisa koji su uređeni posebnim propisima kojima se uređuje djelokrug Vlade Republike Hrvatske i djelokrug Ureda za zakonodavstvo. </w:t>
      </w:r>
    </w:p>
    <w:p w:rsidR="00D849AA" w:rsidRDefault="00EE6D95">
      <w:pPr>
        <w:pStyle w:val="Normal3"/>
      </w:pPr>
      <w:r>
        <w:t xml:space="preserve">Poboljšanje procesa donošenja odluka Vlade Republike Hrvatske ostvaruje se stručnim i pravovremenim postupanjem Ureda, praćenjem procesa usklađivanja zakona i drugih propisa s pravnom stečevinom EU i međunarodnim dokumentima, koordiniranjem poslova prikupljanja, evidentiranja, obrađivanja i analiziranja podataka o procjeni učinka propisa u suradnji s nadležnim ministarstvima, izradom mišljenja i prijedloga nacrta mjera za daljnji razvoj i unaprjeđenje sustava, podizanjem razine kvalitete prijedloga akata te stručnom edukacijom i jačanjem kapaciteta Ureda. </w:t>
      </w:r>
    </w:p>
    <w:p w:rsidR="00D849AA" w:rsidRDefault="00EE6D95">
      <w:pPr>
        <w:pStyle w:val="Normal3"/>
      </w:pPr>
      <w:r>
        <w:t xml:space="preserve">Od studenog 2009. godine Ured za zakonodavstvo nadležan je za razvoj sustava procjene učinka propisa, te koordinaciju procesa u suradnji s nadležnim ministarstvima. Sva ministarstva imenovala su minimalno po jednog koordinatora vezano za procjenu učinaka propisa koji kontinuirano sudjeluju u uspostavi i razvoju sustava procjene učinka propisa u Republici Hrvatskoj. </w:t>
      </w:r>
    </w:p>
    <w:p w:rsidR="00D849AA" w:rsidRDefault="00EE6D95">
      <w:pPr>
        <w:pStyle w:val="Normal3"/>
      </w:pPr>
      <w:r>
        <w:t xml:space="preserve">Zakonodavni okvir koji je nastao iz projekta IPA 2007 pružit će kvalitetnu podlogu za jačanje i daljnji razvoj zakonodavstva u Republici Hrvatskoj u području procjene učinaka propisa.  </w:t>
      </w:r>
    </w:p>
    <w:p w:rsidR="00D849AA" w:rsidRDefault="00EE6D95">
      <w:pPr>
        <w:pStyle w:val="Normal3"/>
      </w:pPr>
      <w:r>
        <w:t xml:space="preserve">Vlada Republike Hrvatske donijela je na svojoj 68. sjednici, održanoj 20. prosinca 2012. godine, Strategiju procjene učinaka propisa za razdoblje od 2013. do 2015. godine i Akcijski plan procjene učinaka propisa za istoimeno razdoblje. Odluka Vlade Republike Hrvatske o donošenju naprijed navedenih akata objavljena je u "Narodnim novinama", br. 146 iz 2012. godine. </w:t>
      </w:r>
    </w:p>
    <w:p w:rsidR="00D849AA" w:rsidRDefault="00EE6D95">
      <w:pPr>
        <w:pStyle w:val="Normal3"/>
      </w:pPr>
      <w:r>
        <w:t xml:space="preserve">Slijedom članka 8. Zakona o procjeni učinaka propisa (NN 90/11) Vlada Republike Hrvatske, na prijedlog Ureda za zakonodavstvo, donosi Strategiju i Akcijski plan za razdoblje od tri godine.  </w:t>
      </w:r>
    </w:p>
    <w:p w:rsidR="00D849AA" w:rsidRDefault="00EE6D95">
      <w:pPr>
        <w:pStyle w:val="Normal3"/>
      </w:pPr>
      <w:r>
        <w:t xml:space="preserve">Strategijom se dugoročno usmjerava razvoj procjene učinaka propisa u Republici Hrvatskoj i njegova provedivost, ciljevi, poboljšanje kvalitete propisa i razvoj administrativnih kapaciteta. Ovaj strateški dokument predstavlja strateško usmjerenje Vlade Republike Hrvatske prema povećanju kvalitete zakonodavstva u Republici Hrvatskoj. Strateški dokument osnova je za dugoročno usmjeravanje razvoja procjene učinaka propisa i jamstvo provedbe, ostvarenja ciljeva te poboljšanja kvalitete zakonodavstva.  </w:t>
      </w:r>
    </w:p>
    <w:p w:rsidR="00D849AA" w:rsidRDefault="00EE6D95">
      <w:pPr>
        <w:pStyle w:val="Normal3"/>
      </w:pPr>
      <w:r>
        <w:t xml:space="preserve">Strategijom procjene učinaka propisa, Vlada Republike Hrvatske postavlja strateško usmjerenje razvoja procjene učinaka propisa određujući viziju, misiju i četiri prioritetna cilja kako slijedi:  </w:t>
      </w:r>
    </w:p>
    <w:p w:rsidR="00D849AA" w:rsidRDefault="00EE6D95">
      <w:pPr>
        <w:pStyle w:val="Normal3"/>
      </w:pPr>
      <w:r>
        <w:t xml:space="preserve">Vizija - kroz sustav procjene učinaka propisa osigurati razvoj boljeg i kvalitetnijeg zakonodavstva tako da novo zakonodavstvo postiže zadane ciljeve uz niske troškove i bez nepotrebnih prepreka. </w:t>
      </w:r>
    </w:p>
    <w:p w:rsidR="00D849AA" w:rsidRDefault="00EE6D95">
      <w:pPr>
        <w:pStyle w:val="Normal3"/>
      </w:pPr>
      <w:r>
        <w:lastRenderedPageBreak/>
        <w:t xml:space="preserve">Misija - osigurati razvoj učinkovitog i samostalnog sustava procjene učinaka propisa kroz aktivnu ulogu svih odgovornih tijela za sustav procjene učinaka propisa uz sudjelovanje ostalih tijela državne uprave te zainteresiranih dionika. </w:t>
      </w:r>
    </w:p>
    <w:p w:rsidR="00D849AA" w:rsidRDefault="00EE6D95">
      <w:pPr>
        <w:pStyle w:val="Normal3"/>
      </w:pPr>
      <w:r>
        <w:t xml:space="preserve">Prioritetni ciljevi:  </w:t>
      </w:r>
    </w:p>
    <w:p w:rsidR="00D849AA" w:rsidRDefault="00EE6D95">
      <w:pPr>
        <w:pStyle w:val="Normal3"/>
      </w:pPr>
      <w:r>
        <w:t xml:space="preserve">- osigurati provođenje postupka procjene učinaka propisa u skladu sa propisima kojima se uređuje procjena učinaka propisa </w:t>
      </w:r>
    </w:p>
    <w:p w:rsidR="00D849AA" w:rsidRDefault="00EE6D95">
      <w:pPr>
        <w:pStyle w:val="Normal3"/>
      </w:pPr>
      <w:r>
        <w:t xml:space="preserve">- osigurati pravodobno informiranje i sudjelovanje dionika te zainteresirane javnosti u sustavu procjene učinaka propisa </w:t>
      </w:r>
    </w:p>
    <w:p w:rsidR="00D849AA" w:rsidRDefault="00EE6D95">
      <w:pPr>
        <w:pStyle w:val="Normal3"/>
      </w:pPr>
      <w:r>
        <w:t xml:space="preserve">- razvijati dobru praksu provedbe procjene učinaka propisa i provoditi stručno osposobljavanje državnih službenika i drugih osoba u području procjene učinaka propisa </w:t>
      </w:r>
    </w:p>
    <w:p w:rsidR="00D849AA" w:rsidRDefault="00EE6D95">
      <w:pPr>
        <w:pStyle w:val="Normal3"/>
      </w:pPr>
      <w:r>
        <w:t xml:space="preserve">- osigurati aktivnu provedbu akcijskog plana kako bi se osiguralo strateško usmjerenje uz korektivne mjere po potrebi.  </w:t>
      </w:r>
    </w:p>
    <w:p w:rsidR="00D849AA" w:rsidRDefault="00EE6D95">
      <w:pPr>
        <w:pStyle w:val="Normal3"/>
      </w:pPr>
      <w:r>
        <w:t xml:space="preserve">Akcijskim planom, u razdoblju od tri godine, obuhvaćaju se jednogodišnje aktivnosti za postizanje prioritetnih ciljeva. Akcijski plan određuje prioritetne mjere i aktivnosti na razvoju procjene učinaka propisa, način provedbe mjera, rokove izvršavanja, nositelje provedbe, procjenu sredstava potrebnih za provedbu aktivnosti predviđenih Akcijskim planom.  </w:t>
      </w:r>
    </w:p>
    <w:p w:rsidR="00D849AA" w:rsidRDefault="00EE6D95">
      <w:pPr>
        <w:pStyle w:val="Normal3"/>
      </w:pPr>
      <w:r>
        <w:t xml:space="preserve">Svi naprijed navedeni strateški dokumenti pripremljeni su u suradnji s ovlaštenim predstavnicima ministarstava i konzultantima SIGMA-e (Inicijativom EU i OECD-a). </w:t>
      </w:r>
    </w:p>
    <w:p w:rsidR="00D849AA" w:rsidRDefault="00EE6D95">
      <w:pPr>
        <w:pStyle w:val="Normal3"/>
      </w:pPr>
      <w:r>
        <w:t xml:space="preserve">U ožujku 2010. godine Delegacija EU u Zagrebu odobrila je twinning projekt „Razvoj sustava procjene učinka propisa“ iz IPA 2007 pretpristupnog fonda. Delegacija EU objavila je 9. ožujka 2010. g. natječaj za izbor twinning partnera, te je Twinning ugovor broj HR/2007/IB/FI/02 potpisan 11. studenoga 2010. godine. Ukupna ugovorena vrijednost ovog projekta iznosila je 1.100.000 EUR. Twinning projekt provodio se uz pomoć tvrtke (ovlaštenog tijela) Northern Ireland Co-operation Overseas - NI-CO i Ministarstva pravosuđa Republike Estonije (twinning partner zemlje članice).  </w:t>
      </w:r>
    </w:p>
    <w:p w:rsidR="00D849AA" w:rsidRDefault="00EE6D95">
      <w:pPr>
        <w:pStyle w:val="Normal3"/>
      </w:pPr>
      <w:r>
        <w:t xml:space="preserve">Twinning projekt uspješno je završen 12. srpnja 2012. godine unutar kojeg je Ured za zakonodavstvo razvio i uspostavio zakonodavni okvir, te ojačao kapacitete za procjenu učinaka propisa.  </w:t>
      </w:r>
    </w:p>
    <w:p w:rsidR="00D849AA" w:rsidRDefault="00EE6D95">
      <w:pPr>
        <w:pStyle w:val="Normal3"/>
      </w:pPr>
      <w:r>
        <w:t xml:space="preserve">Postignuti rezultati projekta IPA 2007 kroz I Komponentu razvoj zakonodavnog okvira su: Zakon o procjeni učinaka propisa ("Narodne novine" br. 90/11), Uredba o provedbi postupka procjene učinaka propisa ("Narodne novine" br. 66/12), Strategija procjene učinaka propisa za razdoblje od 2013. do 2015. godine i Akcijski plan procjene učinaka propisa za istoimeno razdoblje ("Narodne novine" br. 146/12), te tri vrste smjernica: smjernice za Ured za zakonodavstvo, smjernice za državne službenike, te smjernice za dionike kao kvalitetna podrška metodologiji procjene učinaka propisa.  </w:t>
      </w:r>
    </w:p>
    <w:p w:rsidR="00D849AA" w:rsidRDefault="00EE6D95">
      <w:pPr>
        <w:pStyle w:val="Normal3"/>
      </w:pPr>
      <w:r>
        <w:t xml:space="preserve">U sklopu II Komponente IPA 2007 razvoj administrativnih kapaciteta za provedbu procjene učinaka propisa ojačani su administrativni kapaciteti tijela državne uprave, putem seminara, radionica i pilot projekata. </w:t>
      </w:r>
    </w:p>
    <w:p w:rsidR="00D849AA" w:rsidRDefault="00EE6D95">
      <w:pPr>
        <w:pStyle w:val="Normal3"/>
      </w:pPr>
      <w:r>
        <w:t xml:space="preserve">U sklopu II Komponente twinning projekta IPA 2007 "Razvoj sustava procjene učinaka propisa" provedena su ukupno četiri pilot projekta izrade procjene učinaka propisa. U pilot projektima sudjelovali su Ministarstvo socijalne politike i mladih, Ministarstvo zaštite okoliša i prirode, Ministarstvo pravosuđa i Ministarstvo branitelja.  </w:t>
      </w:r>
    </w:p>
    <w:p w:rsidR="00D849AA" w:rsidRDefault="00EE6D95">
      <w:pPr>
        <w:pStyle w:val="Normal3"/>
      </w:pPr>
      <w:r>
        <w:t xml:space="preserve">Naprijed navedeni pilot projekti rezultat su višemjesečnog napornog rada službenika ministarstava, kratkoročnih stručnjaka iz administracije zemalja twinning partnera Ujedinjenog Kraljevstva, Estonije te državnih službenika Ureda za zakonodavstvo.  </w:t>
      </w:r>
    </w:p>
    <w:p w:rsidR="00D849AA" w:rsidRDefault="00EE6D95">
      <w:pPr>
        <w:pStyle w:val="Normal3"/>
      </w:pPr>
      <w:r>
        <w:t xml:space="preserve">Tako su u Ministarstvu socijalne politike i mladih analizirali problematiku udomiteljstva, dok je Ministarstvo pravosuđa razmatralo problematiku osobnog stečaja potrošača. Ministarstvo zaštite okoliša i prirode bavilo se usklađivanjem zakonodavstva s novim pravilima EU o načinima </w:t>
      </w:r>
      <w:r>
        <w:lastRenderedPageBreak/>
        <w:t xml:space="preserve">trgovanja emisijskim jedinicama stakleničkih plinova, dok je Ministarstvo branitelja posvetilo pažnju problematici stambenog zbrinjavanja hrvatskih branitelja.  </w:t>
      </w:r>
    </w:p>
    <w:p w:rsidR="00D849AA" w:rsidRDefault="00EE6D95">
      <w:pPr>
        <w:pStyle w:val="Normal3"/>
      </w:pPr>
      <w:r>
        <w:t>Kroz III Komponentu IPA 2007 izrađena je Komunikacijska strategija za podizanje javne svijesti o procjeni učinaka propisa.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CC4FF4" w:rsidRDefault="00D849AA">
            <w:pPr>
              <w:pStyle w:val="CellHeader"/>
            </w:pPr>
          </w:p>
        </w:tc>
        <w:tc>
          <w:tcPr>
            <w:tcW w:w="1486" w:type="dxa"/>
            <w:shd w:val="clear" w:color="auto" w:fill="B5C0D8"/>
          </w:tcPr>
          <w:p w:rsidR="00D849AA" w:rsidRPr="00CC4FF4" w:rsidRDefault="00EE6D95">
            <w:pPr>
              <w:pStyle w:val="CellHeader"/>
            </w:pPr>
            <w:r w:rsidRPr="00CC4FF4">
              <w:t>Plan 2013.</w:t>
            </w:r>
          </w:p>
        </w:tc>
        <w:tc>
          <w:tcPr>
            <w:tcW w:w="1486" w:type="dxa"/>
            <w:shd w:val="clear" w:color="auto" w:fill="B5C0D8"/>
          </w:tcPr>
          <w:p w:rsidR="00D849AA" w:rsidRPr="00CC4FF4" w:rsidRDefault="00EE6D95">
            <w:pPr>
              <w:pStyle w:val="CellHeader"/>
            </w:pPr>
            <w:r w:rsidRPr="00CC4FF4">
              <w:t>Plan 2014.</w:t>
            </w:r>
          </w:p>
        </w:tc>
        <w:tc>
          <w:tcPr>
            <w:tcW w:w="1486" w:type="dxa"/>
            <w:shd w:val="clear" w:color="auto" w:fill="B5C0D8"/>
          </w:tcPr>
          <w:p w:rsidR="00D849AA" w:rsidRPr="00CC4FF4" w:rsidRDefault="00EE6D95">
            <w:pPr>
              <w:pStyle w:val="CellHeader"/>
            </w:pPr>
            <w:r w:rsidRPr="00CC4FF4">
              <w:t>Plan 2015.</w:t>
            </w:r>
          </w:p>
        </w:tc>
        <w:tc>
          <w:tcPr>
            <w:tcW w:w="1486" w:type="dxa"/>
            <w:shd w:val="clear" w:color="auto" w:fill="B5C0D8"/>
          </w:tcPr>
          <w:p w:rsidR="00D849AA" w:rsidRPr="00CC4FF4" w:rsidRDefault="00EE6D95">
            <w:pPr>
              <w:pStyle w:val="CellHeader"/>
            </w:pPr>
            <w:r w:rsidRPr="00CC4FF4">
              <w:t>Plan 2016.</w:t>
            </w:r>
          </w:p>
        </w:tc>
        <w:tc>
          <w:tcPr>
            <w:tcW w:w="1486" w:type="dxa"/>
            <w:shd w:val="clear" w:color="auto" w:fill="B5C0D8"/>
          </w:tcPr>
          <w:p w:rsidR="00D849AA" w:rsidRPr="00CC4FF4" w:rsidRDefault="00EE6D95">
            <w:pPr>
              <w:pStyle w:val="CellHeader"/>
            </w:pPr>
            <w:r w:rsidRPr="00CC4FF4">
              <w:t>Indeks 2014/2013</w:t>
            </w:r>
          </w:p>
        </w:tc>
      </w:tr>
      <w:tr w:rsidR="00D849AA">
        <w:trPr>
          <w:jc w:val="center"/>
        </w:trPr>
        <w:tc>
          <w:tcPr>
            <w:tcW w:w="1486" w:type="dxa"/>
          </w:tcPr>
          <w:p w:rsidR="00D849AA" w:rsidRPr="00CC4FF4" w:rsidRDefault="00EE6D95">
            <w:pPr>
              <w:pStyle w:val="CellColumn"/>
            </w:pPr>
            <w:r w:rsidRPr="00CC4FF4">
              <w:t>02030</w:t>
            </w:r>
          </w:p>
        </w:tc>
        <w:tc>
          <w:tcPr>
            <w:tcW w:w="1486" w:type="dxa"/>
          </w:tcPr>
          <w:p w:rsidR="00D849AA" w:rsidRPr="00CC4FF4" w:rsidRDefault="00EE6D95">
            <w:pPr>
              <w:rPr>
                <w:rFonts w:ascii="Arial" w:hAnsi="Arial" w:cs="Arial"/>
              </w:rPr>
            </w:pPr>
            <w:r w:rsidRPr="00CC4FF4">
              <w:rPr>
                <w:rFonts w:ascii="Arial" w:hAnsi="Arial" w:cs="Arial"/>
              </w:rPr>
              <w:t>5.106.500</w:t>
            </w:r>
          </w:p>
        </w:tc>
        <w:tc>
          <w:tcPr>
            <w:tcW w:w="1486" w:type="dxa"/>
          </w:tcPr>
          <w:p w:rsidR="00D849AA" w:rsidRPr="00CC4FF4" w:rsidRDefault="00EE6D95">
            <w:pPr>
              <w:rPr>
                <w:rFonts w:ascii="Arial" w:hAnsi="Arial" w:cs="Arial"/>
              </w:rPr>
            </w:pPr>
            <w:r w:rsidRPr="00CC4FF4">
              <w:rPr>
                <w:rFonts w:ascii="Arial" w:hAnsi="Arial" w:cs="Arial"/>
              </w:rPr>
              <w:t>5.249.550</w:t>
            </w:r>
          </w:p>
        </w:tc>
        <w:tc>
          <w:tcPr>
            <w:tcW w:w="1486" w:type="dxa"/>
          </w:tcPr>
          <w:p w:rsidR="00D849AA" w:rsidRPr="00CC4FF4" w:rsidRDefault="00EE6D95">
            <w:pPr>
              <w:rPr>
                <w:rFonts w:ascii="Arial" w:hAnsi="Arial" w:cs="Arial"/>
              </w:rPr>
            </w:pPr>
            <w:r w:rsidRPr="00CC4FF4">
              <w:rPr>
                <w:rFonts w:ascii="Arial" w:hAnsi="Arial" w:cs="Arial"/>
              </w:rPr>
              <w:t>3.865.550</w:t>
            </w:r>
          </w:p>
        </w:tc>
        <w:tc>
          <w:tcPr>
            <w:tcW w:w="1486" w:type="dxa"/>
          </w:tcPr>
          <w:p w:rsidR="00D849AA" w:rsidRPr="00CC4FF4" w:rsidRDefault="00EE6D95">
            <w:pPr>
              <w:rPr>
                <w:rFonts w:ascii="Arial" w:hAnsi="Arial" w:cs="Arial"/>
              </w:rPr>
            </w:pPr>
            <w:r w:rsidRPr="00CC4FF4">
              <w:rPr>
                <w:rFonts w:ascii="Arial" w:hAnsi="Arial" w:cs="Arial"/>
              </w:rPr>
              <w:t>3.884.050</w:t>
            </w:r>
          </w:p>
        </w:tc>
        <w:tc>
          <w:tcPr>
            <w:tcW w:w="1486" w:type="dxa"/>
          </w:tcPr>
          <w:p w:rsidR="00D849AA" w:rsidRPr="00CC4FF4" w:rsidRDefault="00EE6D95">
            <w:pPr>
              <w:rPr>
                <w:rFonts w:ascii="Arial" w:hAnsi="Arial" w:cs="Arial"/>
              </w:rPr>
            </w:pPr>
            <w:r w:rsidRPr="00CC4FF4">
              <w:rPr>
                <w:rFonts w:ascii="Arial" w:hAnsi="Arial" w:cs="Arial"/>
              </w:rPr>
              <w:t>102,8</w:t>
            </w:r>
          </w:p>
        </w:tc>
      </w:tr>
    </w:tbl>
    <w:p w:rsidR="00D849AA" w:rsidRDefault="00D849AA">
      <w:pPr>
        <w:jc w:val="left"/>
      </w:pPr>
    </w:p>
    <w:p w:rsidR="00D849AA" w:rsidRDefault="00EE6D95">
      <w:pPr>
        <w:pStyle w:val="Naslov4"/>
      </w:pPr>
      <w:r>
        <w:t>OBRAZLOŽENJE PROGRAMA</w:t>
      </w:r>
    </w:p>
    <w:p w:rsidR="00D849AA" w:rsidRDefault="00EE6D95">
      <w:pPr>
        <w:pStyle w:val="Naslov5"/>
      </w:pPr>
      <w:r>
        <w:t>2404 USKLAĐIVANJE PRAVNIH AKATA S PRAVNIM PORETKOM REPUBLIKE HRVATSKE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CC4FF4" w:rsidRDefault="00D849AA">
            <w:pPr>
              <w:pStyle w:val="CellHeader"/>
            </w:pPr>
          </w:p>
        </w:tc>
        <w:tc>
          <w:tcPr>
            <w:tcW w:w="1486" w:type="dxa"/>
            <w:shd w:val="clear" w:color="auto" w:fill="B5C0D8"/>
          </w:tcPr>
          <w:p w:rsidR="00D849AA" w:rsidRPr="00CC4FF4" w:rsidRDefault="00EE6D95">
            <w:pPr>
              <w:pStyle w:val="CellHeader"/>
            </w:pPr>
            <w:r w:rsidRPr="00CC4FF4">
              <w:t>Plan 2013.</w:t>
            </w:r>
          </w:p>
        </w:tc>
        <w:tc>
          <w:tcPr>
            <w:tcW w:w="1486" w:type="dxa"/>
            <w:shd w:val="clear" w:color="auto" w:fill="B5C0D8"/>
          </w:tcPr>
          <w:p w:rsidR="00D849AA" w:rsidRPr="00CC4FF4" w:rsidRDefault="00EE6D95">
            <w:pPr>
              <w:pStyle w:val="CellHeader"/>
            </w:pPr>
            <w:r w:rsidRPr="00CC4FF4">
              <w:t>Plan 2014.</w:t>
            </w:r>
          </w:p>
        </w:tc>
        <w:tc>
          <w:tcPr>
            <w:tcW w:w="1486" w:type="dxa"/>
            <w:shd w:val="clear" w:color="auto" w:fill="B5C0D8"/>
          </w:tcPr>
          <w:p w:rsidR="00D849AA" w:rsidRPr="00CC4FF4" w:rsidRDefault="00EE6D95">
            <w:pPr>
              <w:pStyle w:val="CellHeader"/>
            </w:pPr>
            <w:r w:rsidRPr="00CC4FF4">
              <w:t>Plan 2015.</w:t>
            </w:r>
          </w:p>
        </w:tc>
        <w:tc>
          <w:tcPr>
            <w:tcW w:w="1486" w:type="dxa"/>
            <w:shd w:val="clear" w:color="auto" w:fill="B5C0D8"/>
          </w:tcPr>
          <w:p w:rsidR="00D849AA" w:rsidRPr="00CC4FF4" w:rsidRDefault="00EE6D95">
            <w:pPr>
              <w:pStyle w:val="CellHeader"/>
            </w:pPr>
            <w:r w:rsidRPr="00CC4FF4">
              <w:t>Plan 2016.</w:t>
            </w:r>
          </w:p>
        </w:tc>
        <w:tc>
          <w:tcPr>
            <w:tcW w:w="1486" w:type="dxa"/>
            <w:shd w:val="clear" w:color="auto" w:fill="B5C0D8"/>
          </w:tcPr>
          <w:p w:rsidR="00D849AA" w:rsidRPr="00CC4FF4" w:rsidRDefault="00EE6D95">
            <w:pPr>
              <w:pStyle w:val="CellHeader"/>
            </w:pPr>
            <w:r w:rsidRPr="00CC4FF4">
              <w:t>Indeks 2014/2013</w:t>
            </w:r>
          </w:p>
        </w:tc>
      </w:tr>
      <w:tr w:rsidR="00D849AA">
        <w:trPr>
          <w:jc w:val="center"/>
        </w:trPr>
        <w:tc>
          <w:tcPr>
            <w:tcW w:w="1486" w:type="dxa"/>
          </w:tcPr>
          <w:p w:rsidR="00D849AA" w:rsidRPr="00CC4FF4" w:rsidRDefault="00EE6D95">
            <w:pPr>
              <w:pStyle w:val="CellColumn"/>
            </w:pPr>
            <w:r w:rsidRPr="00CC4FF4">
              <w:t>2404</w:t>
            </w:r>
          </w:p>
        </w:tc>
        <w:tc>
          <w:tcPr>
            <w:tcW w:w="1486" w:type="dxa"/>
          </w:tcPr>
          <w:p w:rsidR="00D849AA" w:rsidRPr="00CC4FF4" w:rsidRDefault="00EE6D95">
            <w:pPr>
              <w:rPr>
                <w:rFonts w:ascii="Arial" w:hAnsi="Arial" w:cs="Arial"/>
              </w:rPr>
            </w:pPr>
            <w:r w:rsidRPr="00CC4FF4">
              <w:rPr>
                <w:rFonts w:ascii="Arial" w:hAnsi="Arial" w:cs="Arial"/>
              </w:rPr>
              <w:t>5.106.500</w:t>
            </w:r>
          </w:p>
        </w:tc>
        <w:tc>
          <w:tcPr>
            <w:tcW w:w="1486" w:type="dxa"/>
          </w:tcPr>
          <w:p w:rsidR="00D849AA" w:rsidRPr="00CC4FF4" w:rsidRDefault="00EE6D95">
            <w:pPr>
              <w:rPr>
                <w:rFonts w:ascii="Arial" w:hAnsi="Arial" w:cs="Arial"/>
              </w:rPr>
            </w:pPr>
            <w:r w:rsidRPr="00CC4FF4">
              <w:rPr>
                <w:rFonts w:ascii="Arial" w:hAnsi="Arial" w:cs="Arial"/>
              </w:rPr>
              <w:t>5.249.550</w:t>
            </w:r>
          </w:p>
        </w:tc>
        <w:tc>
          <w:tcPr>
            <w:tcW w:w="1486" w:type="dxa"/>
          </w:tcPr>
          <w:p w:rsidR="00D849AA" w:rsidRPr="00CC4FF4" w:rsidRDefault="00EE6D95">
            <w:pPr>
              <w:rPr>
                <w:rFonts w:ascii="Arial" w:hAnsi="Arial" w:cs="Arial"/>
              </w:rPr>
            </w:pPr>
            <w:r w:rsidRPr="00CC4FF4">
              <w:rPr>
                <w:rFonts w:ascii="Arial" w:hAnsi="Arial" w:cs="Arial"/>
              </w:rPr>
              <w:t>3.865.550</w:t>
            </w:r>
          </w:p>
        </w:tc>
        <w:tc>
          <w:tcPr>
            <w:tcW w:w="1486" w:type="dxa"/>
          </w:tcPr>
          <w:p w:rsidR="00D849AA" w:rsidRPr="00CC4FF4" w:rsidRDefault="00EE6D95">
            <w:pPr>
              <w:rPr>
                <w:rFonts w:ascii="Arial" w:hAnsi="Arial" w:cs="Arial"/>
              </w:rPr>
            </w:pPr>
            <w:r w:rsidRPr="00CC4FF4">
              <w:rPr>
                <w:rFonts w:ascii="Arial" w:hAnsi="Arial" w:cs="Arial"/>
              </w:rPr>
              <w:t>3.884.050</w:t>
            </w:r>
          </w:p>
        </w:tc>
        <w:tc>
          <w:tcPr>
            <w:tcW w:w="1486" w:type="dxa"/>
          </w:tcPr>
          <w:p w:rsidR="00D849AA" w:rsidRPr="00CC4FF4" w:rsidRDefault="00EE6D95">
            <w:pPr>
              <w:rPr>
                <w:rFonts w:ascii="Arial" w:hAnsi="Arial" w:cs="Arial"/>
              </w:rPr>
            </w:pPr>
            <w:r w:rsidRPr="00CC4FF4">
              <w:rPr>
                <w:rFonts w:ascii="Arial" w:hAnsi="Arial" w:cs="Arial"/>
              </w:rPr>
              <w:t>102,8</w:t>
            </w:r>
          </w:p>
        </w:tc>
      </w:tr>
    </w:tbl>
    <w:p w:rsidR="00D849AA" w:rsidRDefault="00D849AA">
      <w:pPr>
        <w:jc w:val="left"/>
      </w:pPr>
    </w:p>
    <w:p w:rsidR="00D849AA" w:rsidRDefault="00EE6D95">
      <w:pPr>
        <w:pStyle w:val="Naslov6"/>
      </w:pPr>
      <w:r>
        <w:t>Opis programa</w:t>
      </w:r>
    </w:p>
    <w:p w:rsidR="00D849AA" w:rsidRDefault="00EE6D95">
      <w:pPr>
        <w:pStyle w:val="Normal5"/>
      </w:pPr>
      <w:r>
        <w:t xml:space="preserve">Ured za zakonodavstvo obavlja sljedeće poslove i zadatke: </w:t>
      </w:r>
    </w:p>
    <w:p w:rsidR="00D849AA" w:rsidRDefault="00EE6D95">
      <w:pPr>
        <w:pStyle w:val="Normal5"/>
      </w:pPr>
      <w:r>
        <w:t xml:space="preserve">- daje mišljenja o usklađenosti prijedloga zakona, konačnih prijedloga zakona, propisa i akata iz djelokruga Vlade s Ustavom Republike Hrvatske i  pravnim poretkom Republike Hrvatske, uvažavajući pri tome  pravne propise odnosno pravni sustav Europske unije </w:t>
      </w:r>
    </w:p>
    <w:p w:rsidR="00D849AA" w:rsidRDefault="00EE6D95">
      <w:pPr>
        <w:pStyle w:val="Normal5"/>
      </w:pPr>
      <w:r>
        <w:t xml:space="preserve">- daje mišljenja na uredbe i druge propise, upravne akte, akte poslovanja i druge akte koje donosi Vlada, odnosno koje Vlada predlaže Hrvatskom saboru, a u vezi njihove usklađenosti sa zakonom i pravnim sustavom </w:t>
      </w:r>
    </w:p>
    <w:p w:rsidR="00D849AA" w:rsidRDefault="00EE6D95">
      <w:pPr>
        <w:pStyle w:val="Normal5"/>
      </w:pPr>
      <w:r>
        <w:t xml:space="preserve">- sudjeluje u pravilnom oblikovanju pravnih odredbi u zakonima i drugim propisima i/ili aktima koje donosi odnosno predlaže Vlada, i odgovoran je za pravilnu primjenu nomotehnike </w:t>
      </w:r>
    </w:p>
    <w:p w:rsidR="00D849AA" w:rsidRDefault="00EE6D95">
      <w:pPr>
        <w:pStyle w:val="Normal5"/>
      </w:pPr>
      <w:r>
        <w:t xml:space="preserve">- priprema i izrađuje prijedloge zakona odnosno prijedloge drugih propisa i akata po nalogu Vlade </w:t>
      </w:r>
    </w:p>
    <w:p w:rsidR="00D849AA" w:rsidRDefault="00EE6D95">
      <w:pPr>
        <w:pStyle w:val="Normal5"/>
      </w:pPr>
      <w:r>
        <w:t xml:space="preserve">- obavlja odgovarajuće normativne preinake i ispravke u prijedlogu zakona, drugog propisa i/ili akta, sukladno zaduženju Vlade i u suradnji s tijelom državne uprave koje je stručni nositelj izrade predloženog propisa odnosno akta </w:t>
      </w:r>
    </w:p>
    <w:p w:rsidR="00D849AA" w:rsidRDefault="00EE6D95">
      <w:pPr>
        <w:pStyle w:val="Normal5"/>
      </w:pPr>
      <w:r>
        <w:t xml:space="preserve">- daje stručna mišljenja središnjim tijelima državne uprave u vezi s primjenom zakona i drugih propisa nakon prethodno iznesenog stajališta nadležnog tijela </w:t>
      </w:r>
    </w:p>
    <w:p w:rsidR="00D849AA" w:rsidRDefault="00EE6D95">
      <w:pPr>
        <w:pStyle w:val="Normal5"/>
      </w:pPr>
      <w:r>
        <w:t xml:space="preserve">- pruža po potrebi stručnu pomoć  Uredu predsjednika Vlade o pitanjima iz njegovog djelokruga </w:t>
      </w:r>
    </w:p>
    <w:p w:rsidR="00D849AA" w:rsidRDefault="00EE6D95">
      <w:pPr>
        <w:pStyle w:val="Normal5"/>
      </w:pPr>
      <w:r>
        <w:t xml:space="preserve">- sudjeluje u radu stalnih radnih tijela Vlade i njihovim stručnim radnim skupinama u skladu s Poslovnikom Vlade </w:t>
      </w:r>
    </w:p>
    <w:p w:rsidR="00D849AA" w:rsidRDefault="00EE6D95">
      <w:pPr>
        <w:pStyle w:val="Normal5"/>
      </w:pPr>
      <w:r>
        <w:t xml:space="preserve">- priprema objavu i daje na objavu zakone i druge propise u „Narodnim novinama“ - službenom listu Republike Hrvatske, brine o njihovoj pravodobnoj objavi, te priprema ispravke tiskarskih pogrešaka </w:t>
      </w:r>
    </w:p>
    <w:p w:rsidR="00D849AA" w:rsidRDefault="00EE6D95">
      <w:pPr>
        <w:pStyle w:val="Normal5"/>
      </w:pPr>
      <w:r>
        <w:lastRenderedPageBreak/>
        <w:t xml:space="preserve">- razmatra pitanja razvoja pravnog sustava u suradnji s resornim ministarstvima te pitanja ustavnosti i zakonitosti </w:t>
      </w:r>
    </w:p>
    <w:p w:rsidR="00D849AA" w:rsidRDefault="00EE6D95">
      <w:pPr>
        <w:pStyle w:val="Normal5"/>
      </w:pPr>
      <w:r>
        <w:t xml:space="preserve">- izrađuje i predlaže Vladi na usvajanje Nomotehničke smjernice kao podlogu za izradu pravnih propisa </w:t>
      </w:r>
    </w:p>
    <w:p w:rsidR="00D849AA" w:rsidRDefault="00EE6D95">
      <w:pPr>
        <w:pStyle w:val="Normal5"/>
      </w:pPr>
      <w:r>
        <w:t xml:space="preserve">- sudjeluje u pripremi odgovora na tužbe u postupcima u kojima je tužena strana Vlada, na temelju prethodno pripremljenog nacrta odgovora resornog tijela državne uprave </w:t>
      </w:r>
    </w:p>
    <w:p w:rsidR="00D849AA" w:rsidRDefault="00EE6D95">
      <w:pPr>
        <w:pStyle w:val="Normal5"/>
      </w:pPr>
      <w:r>
        <w:t xml:space="preserve">- koordinira izradu i prati provedbu Godišnjeg plana normativnih aktivnosti, sukladno zakonu kojim se uređuje procjena učinaka propisa </w:t>
      </w:r>
    </w:p>
    <w:p w:rsidR="00D849AA" w:rsidRDefault="00EE6D95">
      <w:pPr>
        <w:pStyle w:val="Normal5"/>
      </w:pPr>
      <w:r>
        <w:t xml:space="preserve">- koordinira propisani sustav procjene učinaka propisa i izvršava poslove koji su stavljeni Uredu u djelokrug zakonom kojim se uređuje procjena učinaka propisa </w:t>
      </w:r>
    </w:p>
    <w:p w:rsidR="00D849AA" w:rsidRDefault="00EE6D95">
      <w:pPr>
        <w:pStyle w:val="Normal5"/>
      </w:pPr>
      <w:r>
        <w:t xml:space="preserve">- sudjeluje u uspostavi, održavanju i razvoju pravnog internetskog portala „e-propisi“, koji sadrži bazu podataka  važećih zakonskih i podzakonskih propisa </w:t>
      </w:r>
    </w:p>
    <w:p w:rsidR="00D849AA" w:rsidRDefault="00EE6D95">
      <w:pPr>
        <w:pStyle w:val="Normal5"/>
      </w:pPr>
      <w:r>
        <w:t xml:space="preserve">- sudjeluje u pripremi i provedbi projekata financiranih iz fondova Europske unije i projekata drugih međunarodnih organizacija, vezano uz djelokrug Ureda </w:t>
      </w:r>
    </w:p>
    <w:p w:rsidR="00D849AA" w:rsidRDefault="00EE6D95">
      <w:pPr>
        <w:pStyle w:val="Normal5"/>
      </w:pPr>
      <w:r>
        <w:t xml:space="preserve">- uspostavlja, provodi i razvija međunarodnu suradnju sa tijelima Europske unije, drugim međunarodnim tijelima i srodnim institucijama sukladno djelokrugu Ureda </w:t>
      </w:r>
    </w:p>
    <w:p w:rsidR="00D849AA" w:rsidRDefault="00EE6D95">
      <w:pPr>
        <w:pStyle w:val="Normal5"/>
      </w:pPr>
      <w:r>
        <w:t xml:space="preserve">- priprema i provodi programe stručnog osposobljavanja i usavršavanja državnih službenika i drugih korisnika u području procjene učinaka propisa i u području izrade propisa </w:t>
      </w:r>
    </w:p>
    <w:p w:rsidR="00D849AA" w:rsidRDefault="00EE6D95">
      <w:pPr>
        <w:pStyle w:val="Normal5"/>
      </w:pPr>
      <w:r>
        <w:t xml:space="preserve">- sudjeluje u pravnom i pojmovnom usuglašavanju hrvatskog zakonodavstva sa standardima Europske unije, u suradnji sa stručnim nositeljima izrade propisa  </w:t>
      </w:r>
    </w:p>
    <w:p w:rsidR="00D849AA" w:rsidRDefault="00EE6D95">
      <w:pPr>
        <w:pStyle w:val="Normal5"/>
      </w:pPr>
      <w:r>
        <w:t xml:space="preserve">- obavlja i druge poslove u skladu sa zakonom kojim se uređuje procjena učinaka propisa.  </w:t>
      </w:r>
    </w:p>
    <w:p w:rsidR="00D849AA" w:rsidRDefault="00EE6D95">
      <w:pPr>
        <w:pStyle w:val="Normal5"/>
      </w:pPr>
      <w:r>
        <w:t>Pored gore navedenih poslova u Uredu se obavljaju i poslovi pripreme podataka vezano za financijsko-materijalno poslovanje Ureda i njihove dostave nadležnim tijelima za pripremu izvješća i izradu Državnog proračuna, poslovi pripreme i obrade izvješća koja su relevantna za praćenje unutarnjih procesa i rad unutarnje revizije te  stručni i administrativni poslovi za potrebe rada Ureda i za potrebe pravodobne objave zakona i drugih propisa u „Narodnim novinama“- službenom listu Republike Hrvatske.</w:t>
      </w:r>
    </w:p>
    <w:p w:rsidR="00D849AA" w:rsidRDefault="00EE6D95">
      <w:pPr>
        <w:pStyle w:val="Naslov6"/>
      </w:pPr>
      <w:r>
        <w:t>Zakonske i druge pravne osnove</w:t>
      </w:r>
    </w:p>
    <w:p w:rsidR="00D849AA" w:rsidRDefault="00EE6D95">
      <w:pPr>
        <w:pStyle w:val="Normal5"/>
      </w:pPr>
      <w:r>
        <w:t xml:space="preserve">Zakonska osnova za provedbu navedenog programa uspostavljena je temeljem Ustava i Međunarodnih ugovora. Vezano za daljnji razvoj u području procjene učinaka propisa odobren je projektni sažetak 11. listopada 2013. godine od strane Europske komisije u Bruxellesu. Projekt je vrijedan cca 225.000 EUR, IPA 2011 FFRAC - Jačanje kapaciteta za provedbu Strategije procjene učinaka propisa za razdoblje od 2013. – 2015. godine. Svrha projekta je ojačati kapacitete Ureda za zakonodavstvo i tijela državne uprave za provedbu procjene učinaka propisa u zakonodavnom postupku. Projekt je usmjeren na jačanje kapaciteta za analizu ekonomskih učinaka, financijsko fiskalnih učinaka, socijalnih učinaka, učinaka na zaštitu okoliša u pripremi propisa. Projekt je usmjeren na učinkovitiju provedbu Zakona o procjeni učinaka propisa, Uredbe o provedbi postupka procjene učinaka propisa, te prateće Strategije procjene učinaka propisa za razdoblje od 2013. do 2015. godine i Akcijskog plana procjene učinaka propisa za razdoblje od 2013. do 2015. godine. </w:t>
      </w:r>
    </w:p>
    <w:p w:rsidR="00D849AA" w:rsidRDefault="00EE6D95">
      <w:pPr>
        <w:pStyle w:val="Normal5"/>
      </w:pPr>
      <w:r>
        <w:t xml:space="preserve">Odobreni projektni sažetak sastoji se od III komponente: </w:t>
      </w:r>
    </w:p>
    <w:p w:rsidR="00D849AA" w:rsidRDefault="00EE6D95">
      <w:pPr>
        <w:pStyle w:val="Normal5"/>
      </w:pPr>
      <w:r>
        <w:t xml:space="preserve">I Komponenta - jačanje i daljnji razvoj metodološkog alata za procjenu učinaka propisa; </w:t>
      </w:r>
    </w:p>
    <w:p w:rsidR="00D849AA" w:rsidRDefault="00EE6D95">
      <w:pPr>
        <w:pStyle w:val="Normal5"/>
      </w:pPr>
      <w:r>
        <w:t xml:space="preserve">II Komponenta - jačanje administrativnih kapaciteta Ureda za zakonodavstvo i jačanje administrativnih kapaciteta ministarstava za provedbu procjene učinaka propisa; </w:t>
      </w:r>
    </w:p>
    <w:p w:rsidR="00D849AA" w:rsidRDefault="00EE6D95">
      <w:pPr>
        <w:pStyle w:val="Normal5"/>
      </w:pPr>
      <w:r>
        <w:t xml:space="preserve">III Komponenta - daljnji razvoj komunikacijskih alata za kvalitetnije i konkretnije uključivanje dionika u procjenu učinaka propisa. </w:t>
      </w:r>
    </w:p>
    <w:p w:rsidR="00D849AA" w:rsidRDefault="00EE6D95">
      <w:pPr>
        <w:pStyle w:val="Normal5"/>
      </w:pPr>
      <w:r>
        <w:lastRenderedPageBreak/>
        <w:t>Implementacija projekta je planirana za II kvartal 2014. godine, očekivano vrijeme trajanja projekta je 9 mjeseci, TW light, uz nacionalno sufinanciranje od 5 % od ukupnog iznosa projekta.</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 xml:space="preserve">Cilj 1. Učinkovita koordinacija i provedba specifičnih Vladinih programa i strategija kroz poboljšanje procesa donošenja akata Vlade Republike Hrvatske </w:t>
      </w:r>
    </w:p>
    <w:p w:rsidR="00D849AA" w:rsidRDefault="00EE6D95">
      <w:pPr>
        <w:pStyle w:val="Normal6"/>
      </w:pPr>
      <w:r>
        <w:t>Učinkovitu koordinaciju i provedbu specifičnih Vladinih programa omogućit će poboljšanje procesa donošenja akata Vlade Republike Hrvatske uz kvalitetnu izradu procjene učinaka propisa, kontinuirana izobrazba stručnog kadra i jačanje kapaciteta Ureda, te kontinuirana koordinacija i suradnja s različitim tijelima državne uprave pri donošenju novih propisa. Poboljšanje procesa donošenja akata Vlade Republike Hrvatske omogućit će uključenost svih sudionika društva (interesnih skupina, osjetljivih skupina, javnosti i zainteresirane javnosti) u procesu donošenja prijedloga nacrta propisa.</w:t>
      </w:r>
    </w:p>
    <w:p w:rsidR="00D849AA" w:rsidRDefault="00EE6D95">
      <w:pPr>
        <w:pStyle w:val="Naslov5"/>
      </w:pPr>
      <w:r>
        <w:t>Procjena i ishodište potrebnih sredstava za značajnije aktivnosti/projekte</w:t>
      </w:r>
    </w:p>
    <w:p w:rsidR="00D849AA" w:rsidRDefault="00EE6D95">
      <w:pPr>
        <w:pStyle w:val="Naslov6"/>
      </w:pPr>
      <w:r>
        <w:t>A514000 ADMINISTRACIJA I UPRAVLJANJE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CC4FF4" w:rsidRDefault="00EE6D95">
            <w:pPr>
              <w:pStyle w:val="CellHeader"/>
            </w:pPr>
            <w:r w:rsidRPr="00CC4FF4">
              <w:t>Naziv aktivnosti</w:t>
            </w:r>
          </w:p>
        </w:tc>
        <w:tc>
          <w:tcPr>
            <w:tcW w:w="1486" w:type="dxa"/>
            <w:shd w:val="clear" w:color="auto" w:fill="B5C0D8"/>
          </w:tcPr>
          <w:p w:rsidR="00D849AA" w:rsidRPr="00CC4FF4" w:rsidRDefault="00EE6D95">
            <w:pPr>
              <w:pStyle w:val="CellHeader"/>
            </w:pPr>
            <w:r w:rsidRPr="00CC4FF4">
              <w:t>Plan 2013.</w:t>
            </w:r>
          </w:p>
        </w:tc>
        <w:tc>
          <w:tcPr>
            <w:tcW w:w="1486" w:type="dxa"/>
            <w:shd w:val="clear" w:color="auto" w:fill="B5C0D8"/>
          </w:tcPr>
          <w:p w:rsidR="00D849AA" w:rsidRPr="00CC4FF4" w:rsidRDefault="00EE6D95">
            <w:pPr>
              <w:pStyle w:val="CellHeader"/>
            </w:pPr>
            <w:r w:rsidRPr="00CC4FF4">
              <w:t>Plan 2014.</w:t>
            </w:r>
          </w:p>
        </w:tc>
        <w:tc>
          <w:tcPr>
            <w:tcW w:w="1486" w:type="dxa"/>
            <w:shd w:val="clear" w:color="auto" w:fill="B5C0D8"/>
          </w:tcPr>
          <w:p w:rsidR="00D849AA" w:rsidRPr="00CC4FF4" w:rsidRDefault="00EE6D95">
            <w:pPr>
              <w:pStyle w:val="CellHeader"/>
            </w:pPr>
            <w:r w:rsidRPr="00CC4FF4">
              <w:t>Plan 2015.</w:t>
            </w:r>
          </w:p>
        </w:tc>
        <w:tc>
          <w:tcPr>
            <w:tcW w:w="1486" w:type="dxa"/>
            <w:shd w:val="clear" w:color="auto" w:fill="B5C0D8"/>
          </w:tcPr>
          <w:p w:rsidR="00D849AA" w:rsidRPr="00CC4FF4" w:rsidRDefault="00EE6D95">
            <w:pPr>
              <w:pStyle w:val="CellHeader"/>
            </w:pPr>
            <w:r w:rsidRPr="00CC4FF4">
              <w:t>Plan 2016.</w:t>
            </w:r>
          </w:p>
        </w:tc>
        <w:tc>
          <w:tcPr>
            <w:tcW w:w="1486" w:type="dxa"/>
            <w:shd w:val="clear" w:color="auto" w:fill="B5C0D8"/>
          </w:tcPr>
          <w:p w:rsidR="00D849AA" w:rsidRPr="00CC4FF4" w:rsidRDefault="00EE6D95">
            <w:pPr>
              <w:pStyle w:val="CellHeader"/>
            </w:pPr>
            <w:r w:rsidRPr="00CC4FF4">
              <w:t>Indeks 2014/2013</w:t>
            </w:r>
          </w:p>
        </w:tc>
      </w:tr>
      <w:tr w:rsidR="00D849AA">
        <w:trPr>
          <w:jc w:val="center"/>
        </w:trPr>
        <w:tc>
          <w:tcPr>
            <w:tcW w:w="1486" w:type="dxa"/>
          </w:tcPr>
          <w:p w:rsidR="00D849AA" w:rsidRPr="00CC4FF4" w:rsidRDefault="00EE6D95">
            <w:pPr>
              <w:pStyle w:val="CellColumn"/>
            </w:pPr>
            <w:r w:rsidRPr="00CC4FF4">
              <w:t>A514000</w:t>
            </w:r>
          </w:p>
        </w:tc>
        <w:tc>
          <w:tcPr>
            <w:tcW w:w="1486" w:type="dxa"/>
          </w:tcPr>
          <w:p w:rsidR="00D849AA" w:rsidRPr="00CC4FF4" w:rsidRDefault="00EE6D95">
            <w:pPr>
              <w:rPr>
                <w:rFonts w:ascii="Arial" w:hAnsi="Arial" w:cs="Arial"/>
              </w:rPr>
            </w:pPr>
            <w:r w:rsidRPr="00CC4FF4">
              <w:rPr>
                <w:rFonts w:ascii="Arial" w:hAnsi="Arial" w:cs="Arial"/>
              </w:rPr>
              <w:t>3.668.000</w:t>
            </w:r>
          </w:p>
        </w:tc>
        <w:tc>
          <w:tcPr>
            <w:tcW w:w="1486" w:type="dxa"/>
          </w:tcPr>
          <w:p w:rsidR="00D849AA" w:rsidRPr="00CC4FF4" w:rsidRDefault="00EE6D95">
            <w:pPr>
              <w:rPr>
                <w:rFonts w:ascii="Arial" w:hAnsi="Arial" w:cs="Arial"/>
              </w:rPr>
            </w:pPr>
            <w:r w:rsidRPr="00CC4FF4">
              <w:rPr>
                <w:rFonts w:ascii="Arial" w:hAnsi="Arial" w:cs="Arial"/>
              </w:rPr>
              <w:t>3.785.050</w:t>
            </w:r>
          </w:p>
        </w:tc>
        <w:tc>
          <w:tcPr>
            <w:tcW w:w="1486" w:type="dxa"/>
          </w:tcPr>
          <w:p w:rsidR="00D849AA" w:rsidRPr="00CC4FF4" w:rsidRDefault="00EE6D95">
            <w:pPr>
              <w:rPr>
                <w:rFonts w:ascii="Arial" w:hAnsi="Arial" w:cs="Arial"/>
              </w:rPr>
            </w:pPr>
            <w:r w:rsidRPr="00CC4FF4">
              <w:rPr>
                <w:rFonts w:ascii="Arial" w:hAnsi="Arial" w:cs="Arial"/>
              </w:rPr>
              <w:t>3.818.550</w:t>
            </w:r>
          </w:p>
        </w:tc>
        <w:tc>
          <w:tcPr>
            <w:tcW w:w="1486" w:type="dxa"/>
          </w:tcPr>
          <w:p w:rsidR="00D849AA" w:rsidRPr="00CC4FF4" w:rsidRDefault="00EE6D95">
            <w:pPr>
              <w:rPr>
                <w:rFonts w:ascii="Arial" w:hAnsi="Arial" w:cs="Arial"/>
              </w:rPr>
            </w:pPr>
            <w:r w:rsidRPr="00CC4FF4">
              <w:rPr>
                <w:rFonts w:ascii="Arial" w:hAnsi="Arial" w:cs="Arial"/>
              </w:rPr>
              <w:t>3.837.050</w:t>
            </w:r>
          </w:p>
        </w:tc>
        <w:tc>
          <w:tcPr>
            <w:tcW w:w="1486" w:type="dxa"/>
          </w:tcPr>
          <w:p w:rsidR="00D849AA" w:rsidRPr="00CC4FF4" w:rsidRDefault="00EE6D95">
            <w:pPr>
              <w:rPr>
                <w:rFonts w:ascii="Arial" w:hAnsi="Arial" w:cs="Arial"/>
              </w:rPr>
            </w:pPr>
            <w:r w:rsidRPr="00CC4FF4">
              <w:rPr>
                <w:rFonts w:ascii="Arial" w:hAnsi="Arial" w:cs="Arial"/>
              </w:rPr>
              <w:t>103,2</w:t>
            </w:r>
          </w:p>
        </w:tc>
      </w:tr>
    </w:tbl>
    <w:p w:rsidR="00D849AA" w:rsidRDefault="00D849AA">
      <w:pPr>
        <w:jc w:val="left"/>
      </w:pPr>
    </w:p>
    <w:p w:rsidR="00D849AA" w:rsidRDefault="00EE6D95">
      <w:pPr>
        <w:pStyle w:val="Normal6"/>
      </w:pPr>
      <w:r>
        <w:t xml:space="preserve">Tijekom 2014.g. Ured će u sklopu aktivnosti Administracija i upravljanje obavljati sljedeće redovite poslove kao što su: davanje mišljenja o usklađenosti prijedloga zakona, konačnih prijedloga zakona, propisa i akata iz djelokruga Vlade s Ustavom Republike Hrvatske i pravnim poretkom Republike Hrvatske, uvažavajući pri tome pravne propise odnosno pravni sustav Europske unije, davanje mišljenja na uredbe i druge propise, upravne akte, akte poslovanja i druge akte koje donosi Vlada, odnosno koje Vlada predlaže Hrvatskom saboru, a u vezi njihove usklađenosti sa zakonom i pravnim sustavom, sudjelovanje u pravilnom oblikovanju pravnih odredbi u zakonima i drugim propisima i/ili aktima koje donosi odnosno predlaže Vlada, pripremanje i izrada prijedloga zakona odnosno prijedloga drugih propisa i akata po nalogu Vlade, obavljanje odgovarajuće normativne preinake i ispravke u prijedlogu zakona, drugog propisa i/ili akta, sukladno zaduženju Vlade i u suradnji s tijelom državne uprave koje je stručni nositelj izrade predloženog propisa odnosno akta, davanje stručnih mišljenja središnjim tijelima državne uprave u vezi s primjenom zakona i drugih propisa nakon prethodno iznesenog stajališta nadležnog tijela, pružanje po potrebi stručne pomoć Uredu predsjednika Vlade o pitanjima iz njegovog djelokruga, sudjelovanje u radu stalnih radnih tijela Vlade i njihovim stručnim radnim skupinama u skladu s Poslovnikom Vlade. </w:t>
      </w:r>
    </w:p>
    <w:p w:rsidR="00D849AA" w:rsidRDefault="00EE6D95">
      <w:pPr>
        <w:pStyle w:val="Normal6"/>
      </w:pPr>
      <w:r>
        <w:t>Tijekom 2014. godine Ured za zakonodavstvo unaprijedit će svoj rad u uvjetima članstva u EU sa aspekta zakonodavnih aktivnosti preuzimanjem metodologije, znanja i iskustva Uradnog lista Republike Slovenije, te uspostavom e-Službenog lista kao jedinog vjerodostojnog Službenog lista.</w:t>
      </w:r>
    </w:p>
    <w:p w:rsidR="00D849AA" w:rsidRDefault="00EE6D95">
      <w:pPr>
        <w:pStyle w:val="Naslov6"/>
      </w:pPr>
      <w:r>
        <w:lastRenderedPageBreak/>
        <w:t>A514015 IPA I 2012 - PODRŠKA PROVEDBI SUSTAVA PROCJENE UČINKA PROPISA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CC4FF4" w:rsidRDefault="00EE6D95">
            <w:pPr>
              <w:pStyle w:val="CellHeader"/>
            </w:pPr>
            <w:r w:rsidRPr="00CC4FF4">
              <w:t>Naziv aktivnosti</w:t>
            </w:r>
          </w:p>
        </w:tc>
        <w:tc>
          <w:tcPr>
            <w:tcW w:w="1486" w:type="dxa"/>
            <w:shd w:val="clear" w:color="auto" w:fill="B5C0D8"/>
          </w:tcPr>
          <w:p w:rsidR="00D849AA" w:rsidRPr="00CC4FF4" w:rsidRDefault="00EE6D95">
            <w:pPr>
              <w:pStyle w:val="CellHeader"/>
            </w:pPr>
            <w:r w:rsidRPr="00CC4FF4">
              <w:t>Plan 2013.</w:t>
            </w:r>
          </w:p>
        </w:tc>
        <w:tc>
          <w:tcPr>
            <w:tcW w:w="1486" w:type="dxa"/>
            <w:shd w:val="clear" w:color="auto" w:fill="B5C0D8"/>
          </w:tcPr>
          <w:p w:rsidR="00D849AA" w:rsidRPr="00CC4FF4" w:rsidRDefault="00EE6D95">
            <w:pPr>
              <w:pStyle w:val="CellHeader"/>
            </w:pPr>
            <w:r w:rsidRPr="00CC4FF4">
              <w:t>Plan 2014.</w:t>
            </w:r>
          </w:p>
        </w:tc>
        <w:tc>
          <w:tcPr>
            <w:tcW w:w="1486" w:type="dxa"/>
            <w:shd w:val="clear" w:color="auto" w:fill="B5C0D8"/>
          </w:tcPr>
          <w:p w:rsidR="00D849AA" w:rsidRPr="00CC4FF4" w:rsidRDefault="00EE6D95">
            <w:pPr>
              <w:pStyle w:val="CellHeader"/>
            </w:pPr>
            <w:r w:rsidRPr="00CC4FF4">
              <w:t>Plan 2015.</w:t>
            </w:r>
          </w:p>
        </w:tc>
        <w:tc>
          <w:tcPr>
            <w:tcW w:w="1486" w:type="dxa"/>
            <w:shd w:val="clear" w:color="auto" w:fill="B5C0D8"/>
          </w:tcPr>
          <w:p w:rsidR="00D849AA" w:rsidRPr="00CC4FF4" w:rsidRDefault="00EE6D95">
            <w:pPr>
              <w:pStyle w:val="CellHeader"/>
            </w:pPr>
            <w:r w:rsidRPr="00CC4FF4">
              <w:t>Plan 2016.</w:t>
            </w:r>
          </w:p>
        </w:tc>
        <w:tc>
          <w:tcPr>
            <w:tcW w:w="1486" w:type="dxa"/>
            <w:shd w:val="clear" w:color="auto" w:fill="B5C0D8"/>
          </w:tcPr>
          <w:p w:rsidR="00D849AA" w:rsidRPr="00CC4FF4" w:rsidRDefault="00EE6D95">
            <w:pPr>
              <w:pStyle w:val="CellHeader"/>
            </w:pPr>
            <w:r w:rsidRPr="00CC4FF4">
              <w:t>Indeks 2014/2013</w:t>
            </w:r>
          </w:p>
        </w:tc>
      </w:tr>
      <w:tr w:rsidR="00D849AA">
        <w:trPr>
          <w:jc w:val="center"/>
        </w:trPr>
        <w:tc>
          <w:tcPr>
            <w:tcW w:w="1486" w:type="dxa"/>
          </w:tcPr>
          <w:p w:rsidR="00D849AA" w:rsidRPr="00CC4FF4" w:rsidRDefault="00EE6D95">
            <w:pPr>
              <w:pStyle w:val="CellColumn"/>
            </w:pPr>
            <w:r w:rsidRPr="00CC4FF4">
              <w:t>A514015</w:t>
            </w:r>
          </w:p>
        </w:tc>
        <w:tc>
          <w:tcPr>
            <w:tcW w:w="1486" w:type="dxa"/>
          </w:tcPr>
          <w:p w:rsidR="00D849AA" w:rsidRPr="00CC4FF4" w:rsidRDefault="00EE6D95">
            <w:pPr>
              <w:rPr>
                <w:rFonts w:ascii="Arial" w:hAnsi="Arial" w:cs="Arial"/>
              </w:rPr>
            </w:pPr>
            <w:r w:rsidRPr="00CC4FF4">
              <w:rPr>
                <w:rFonts w:ascii="Arial" w:hAnsi="Arial" w:cs="Arial"/>
              </w:rPr>
              <w:t>1.417.500</w:t>
            </w:r>
          </w:p>
        </w:tc>
        <w:tc>
          <w:tcPr>
            <w:tcW w:w="1486" w:type="dxa"/>
          </w:tcPr>
          <w:p w:rsidR="00D849AA" w:rsidRPr="00CC4FF4" w:rsidRDefault="00EE6D95">
            <w:pPr>
              <w:rPr>
                <w:rFonts w:ascii="Arial" w:hAnsi="Arial" w:cs="Arial"/>
              </w:rPr>
            </w:pPr>
            <w:r w:rsidRPr="00CC4FF4">
              <w:rPr>
                <w:rFonts w:ascii="Arial" w:hAnsi="Arial" w:cs="Arial"/>
              </w:rPr>
              <w:t>1.417.500</w:t>
            </w:r>
          </w:p>
        </w:tc>
        <w:tc>
          <w:tcPr>
            <w:tcW w:w="1486" w:type="dxa"/>
          </w:tcPr>
          <w:p w:rsidR="00D849AA" w:rsidRPr="00CC4FF4" w:rsidRDefault="00EE6D95">
            <w:pPr>
              <w:rPr>
                <w:rFonts w:ascii="Arial" w:hAnsi="Arial" w:cs="Arial"/>
              </w:rPr>
            </w:pPr>
            <w:r w:rsidRPr="00CC4FF4">
              <w:rPr>
                <w:rFonts w:ascii="Arial" w:hAnsi="Arial" w:cs="Arial"/>
              </w:rPr>
              <w:t>00</w:t>
            </w:r>
          </w:p>
        </w:tc>
        <w:tc>
          <w:tcPr>
            <w:tcW w:w="1486" w:type="dxa"/>
          </w:tcPr>
          <w:p w:rsidR="00D849AA" w:rsidRPr="00CC4FF4" w:rsidRDefault="00EE6D95">
            <w:pPr>
              <w:rPr>
                <w:rFonts w:ascii="Arial" w:hAnsi="Arial" w:cs="Arial"/>
              </w:rPr>
            </w:pPr>
            <w:r w:rsidRPr="00CC4FF4">
              <w:rPr>
                <w:rFonts w:ascii="Arial" w:hAnsi="Arial" w:cs="Arial"/>
              </w:rPr>
              <w:t>00</w:t>
            </w:r>
          </w:p>
        </w:tc>
        <w:tc>
          <w:tcPr>
            <w:tcW w:w="1486" w:type="dxa"/>
          </w:tcPr>
          <w:p w:rsidR="00D849AA" w:rsidRPr="00CC4FF4" w:rsidRDefault="00EE6D95">
            <w:pPr>
              <w:rPr>
                <w:rFonts w:ascii="Arial" w:hAnsi="Arial" w:cs="Arial"/>
              </w:rPr>
            </w:pPr>
            <w:r w:rsidRPr="00CC4FF4">
              <w:rPr>
                <w:rFonts w:ascii="Arial" w:hAnsi="Arial" w:cs="Arial"/>
              </w:rPr>
              <w:t>100,0</w:t>
            </w:r>
          </w:p>
        </w:tc>
      </w:tr>
    </w:tbl>
    <w:p w:rsidR="00D849AA" w:rsidRDefault="00D849AA">
      <w:pPr>
        <w:jc w:val="left"/>
      </w:pPr>
    </w:p>
    <w:p w:rsidR="00D849AA" w:rsidRDefault="00EE6D95">
      <w:pPr>
        <w:pStyle w:val="Normal6"/>
      </w:pPr>
      <w:r>
        <w:t xml:space="preserve">Vezano za daljnji razvoj u području procjene učinaka propisa odobren je projektni sažetak 11. listopada 2013. godine od strane Europske komisije u Bruxellesu. Projekt je vrijedan cca 225.000 EUR, IPA 2011 FFRAC - Jačanje kapaciteta za provedbu Strategije procjene učinaka propisa za razdoblje od 2013. – 2015. godine. Svrha projekta je ojačati kapacitete Ureda za zakonodavstvo i tijela državne uprave za provedbu procjene učinaka propisa u zakonodavnom postupku. Projekt je usmjeren na jačanje kapaciteta za analizu ekonomskih učinaka, financijsko fiskalnih učinaka, socijalnih učinaka, učinaka na zaštitu okoliša u pripremi propisa. Projekt je usmjeren na učinkovitiju provedbu Zakona o procjeni učinaka propisa, Uredbe o provedbi postupka procjene učinaka propisa, te prateće Strategije procjene učinaka propisa za razdoblje od 2013. do 2015. godine i Akcijskog plana procjene učinaka propisa za razdoblje od 2013. do 2015. godine. </w:t>
      </w:r>
    </w:p>
    <w:p w:rsidR="00D849AA" w:rsidRDefault="00EE6D95">
      <w:pPr>
        <w:pStyle w:val="Normal6"/>
      </w:pPr>
      <w:r>
        <w:t xml:space="preserve">Odobreni projektni sažetak sastoji se od III komponente: </w:t>
      </w:r>
    </w:p>
    <w:p w:rsidR="00D849AA" w:rsidRDefault="00EE6D95">
      <w:pPr>
        <w:pStyle w:val="Normal6"/>
      </w:pPr>
      <w:r>
        <w:t xml:space="preserve">I Komponenta  - jačanje i daljnji razvoj metodološkog alata za procjenu učinaka propisa </w:t>
      </w:r>
    </w:p>
    <w:p w:rsidR="00D849AA" w:rsidRDefault="00EE6D95">
      <w:pPr>
        <w:pStyle w:val="Normal6"/>
      </w:pPr>
      <w:r>
        <w:t xml:space="preserve">II Komponenta  - jačanje administrativnih kapaciteta Ureda za zakonodavstvo i jačanje administrativnih kapaciteta ministarstava za provedbu procjene učinaka propisa </w:t>
      </w:r>
    </w:p>
    <w:p w:rsidR="00D849AA" w:rsidRDefault="00EE6D95">
      <w:pPr>
        <w:pStyle w:val="Normal6"/>
      </w:pPr>
      <w:r>
        <w:t xml:space="preserve">III Komponenta - daljnji razvoj komunikacijskih alata za kvalitetnije i konkretnije uključivanje dionika u procjenu učinaka propisa. </w:t>
      </w:r>
    </w:p>
    <w:p w:rsidR="00D849AA" w:rsidRDefault="00EE6D95">
      <w:pPr>
        <w:pStyle w:val="Normal6"/>
      </w:pPr>
      <w:r>
        <w:t xml:space="preserve">Implementacija projekta je planirana za II kvartal 2014. godine, očekivano vrijeme trajanja projekta je 9 mjeseci, TW light, uz nacionalno sufinanciranje od 5 % od ukupnog iznosa projekta. </w:t>
      </w:r>
    </w:p>
    <w:p w:rsidR="00D849AA" w:rsidRDefault="00EE6D95">
      <w:pPr>
        <w:pStyle w:val="Normal6"/>
      </w:pPr>
      <w:r>
        <w:t xml:space="preserve">Slijedom članka 9. Zakona o procjeni učinaka propisa (NN 90/11) Vlada Republike Hrvatske, na prijedlog Ureda za zakonodavstvo, u zadnjem tromjesečju 2013. godine usvojila je Godišnji plan normativnih aktivnosti za 2014. godinu.  </w:t>
      </w:r>
    </w:p>
    <w:p w:rsidR="00D849AA" w:rsidRDefault="00EE6D95">
      <w:pPr>
        <w:pStyle w:val="Normal6"/>
      </w:pPr>
      <w:r>
        <w:t xml:space="preserve">Prijedlog Godišnjeg plana normativnih aktivnosti izrađen je sukladno dostavljenim Prijedlozima planova propisa središnjih tijela državne uprave u razdoblju od rujna do prosinca 2013. godine. Svi Prijedlozi plana propisa bili su objavljeni na internetskim stranicama stručnih nositelja radi informiranja javnosti u trajanju od najmanje 15 dana te su usuglašeni s Uredom za zakonodavstvo koji je, kao koordinator sustava procjene učinaka propisa u Republici Hrvatskoj, objedinio Prijedloge planova propisa u jedinstveni dokument pod nazivom Godišnji plan normativnih aktivnosti.  </w:t>
      </w:r>
    </w:p>
    <w:p w:rsidR="00D849AA" w:rsidRDefault="00EE6D95">
      <w:pPr>
        <w:pStyle w:val="Normal6"/>
      </w:pPr>
      <w:r>
        <w:t xml:space="preserve">Godišnji plan normativnih aktivnosti sadrži:  </w:t>
      </w:r>
    </w:p>
    <w:p w:rsidR="00D849AA" w:rsidRDefault="00EE6D95">
      <w:pPr>
        <w:pStyle w:val="Normal6"/>
      </w:pPr>
      <w:r>
        <w:t xml:space="preserve">– Plan normativnih aktivnosti u području hrvatskog zakonodavstva, koji obuhvaća normativne aktivnosti na nacionalnoj razini  i  </w:t>
      </w:r>
    </w:p>
    <w:p w:rsidR="00D849AA" w:rsidRDefault="00EE6D95">
      <w:pPr>
        <w:pStyle w:val="Normal6"/>
      </w:pPr>
      <w:r>
        <w:t xml:space="preserve">– Plan normativnih aktivnosti vezano za postupak procjene učinaka propisa, koji obuhvaća planirane postupke procjene učinaka propisa, čije je donošenje predviđeno u Planu normativnih aktivnosti u području hrvatskog zakonodavstva te u Planu usklađivanja zakonodavstva Republike Hrvatske s pravnom stečevinom Europske unije.  </w:t>
      </w:r>
    </w:p>
    <w:p w:rsidR="00D849AA" w:rsidRDefault="00EE6D95">
      <w:pPr>
        <w:pStyle w:val="Normal6"/>
      </w:pPr>
      <w:r>
        <w:t xml:space="preserve">Podaci u Godišnjem planu normativnih aktivnosti iskazuju se po aktivnostima planiranim u tromjesečnim razdobljima.  </w:t>
      </w:r>
    </w:p>
    <w:p w:rsidR="00D849AA" w:rsidRDefault="00EE6D95">
      <w:pPr>
        <w:pStyle w:val="Normal6"/>
      </w:pPr>
      <w:r>
        <w:lastRenderedPageBreak/>
        <w:t xml:space="preserve">Propisi koji se usklađuju s pravnom stečevinom Europske unije, a Prethodnom procjenom utvrđeno je da ne podliježu postupku procjene učinaka propisa, nisu sadržani u Prijedlogu Godišnjeg plana normativnih aktivnosti, već u Planu usklađivanja zakonodavstva s pravnom stečevinom EU.  </w:t>
      </w:r>
    </w:p>
    <w:p w:rsidR="00D849AA" w:rsidRDefault="00EE6D95">
      <w:pPr>
        <w:pStyle w:val="Normal6"/>
      </w:pPr>
      <w:r>
        <w:t xml:space="preserve">Za sve zakone koji se ne nalaze u Godišnjem planu normativnih aktivnosti, a tijekom godine se ukaže potreba za njihovim donošenjem, stručni nositelji izrade propisa obvezni su provesti Prethodnu procjenu vezano za taj zakon. Ovisno o rezultatima Prethodne procjene potrebno je provesti i postupak procjene učinaka propisa. </w:t>
      </w:r>
    </w:p>
    <w:p w:rsidR="00D849AA" w:rsidRDefault="00EE6D95">
      <w:pPr>
        <w:pStyle w:val="Normal6"/>
      </w:pPr>
      <w:r>
        <w:t xml:space="preserve">Ured za zakonodavstvo nadležan je za obavljanje poslova stručnog osposobljavanja i usavršavanja u području procjene učinaka propisa i području izrade propisa, za davanje mišljenja i izradu potrebnih akata, radi postizanja pravne i pojmovne koherentnosti hrvatskog zakonodavstva, kao i za davanje mišljenja i izradu potrebnih akata, radi pravnog i pojmovnog usuglašavanja hrvatskog zakonodavstva sa standardima Europske unije, na zahtjev Stručnog nositelja izrade propisa, za izradu Nomotehničkih smjernica kao podloge za izradu pravnih propisa. Nomotehničke smjernice, na prijedlog Ureda za zakonodavstvo, donosi Vlada Republike Hrvatske odlukom.  </w:t>
      </w:r>
    </w:p>
    <w:p w:rsidR="00D849AA" w:rsidRDefault="00EE6D95">
      <w:pPr>
        <w:pStyle w:val="Normal6"/>
      </w:pPr>
      <w:r>
        <w:t xml:space="preserve">Ured za zakonodavstvo provest će tijekom 2014.godine stručno osposobljavanje i usavršavanje državnih službenika i drugih osoba u području procjene učinaka propisa i javnih politika sukladno članku 26. Zakona o procjeni učinaka propisa. Tijekom 2014. godine u planu je održavanje stručnih radionica, seminara, javnih tribina, panel rasprava, te konferencija u suradnji sa Državnom školom za javnu upravu, te daljnje razvijanje i jačanje administrativnih kapaciteta u sklopu novog projekta IPA 2011 FFRAC. </w:t>
      </w:r>
    </w:p>
    <w:p w:rsidR="00D849AA" w:rsidRDefault="00EE6D95">
      <w:pPr>
        <w:pStyle w:val="Normal6"/>
      </w:pPr>
      <w:r>
        <w:t xml:space="preserve">Tijekom i po završetku projekta IPA 2007 I Komponenta RIAS, Ured je uspostavio međunarodnu suradnju sa tijelima Europske unije te drugim međunarodnim tijelima i srodnim institucijama sukladno djelokrugu Ureda.  </w:t>
      </w:r>
    </w:p>
    <w:p w:rsidR="00D849AA" w:rsidRDefault="00EE6D95">
      <w:pPr>
        <w:pStyle w:val="Normal6"/>
      </w:pPr>
      <w:r>
        <w:t xml:space="preserve">Ured za zakonodavstvo Vlade Republike Hrvatske je obvezan osigurati odgovarajuće administrativne kapacitete sukladno naprijed navedenom Zakonu, nadležan je za koordinaciju procjene učinaka propisa te obavljanje tih poslova. Temeljem navedenog Zakona propisan je i novi djelokrug poslova, šireg opsega i veće složenosti, kojeg obavlja Ured. </w:t>
      </w:r>
    </w:p>
    <w:p w:rsidR="00D849AA" w:rsidRDefault="00EE6D95">
      <w:pPr>
        <w:pStyle w:val="Normal6"/>
      </w:pPr>
      <w:r>
        <w:t xml:space="preserve">Uspješnim provođenjem projekta IPA 2007 I Komponenta RIAS te provođenjem novog projekta IPA 2011 FFRAC u suradnji sa Europskom unijom, Ured za zakonodavstvo doprinijet će prije svega jačanju nacionalnih administrativnih kapaciteta kroz edukaciju, unapređenje rada, bolje horizontalno i vertikalno povezivanje i koordinaciju tijela državne uprave. Tako postignuta veća stručnost, funkcionalnost, otvorenost i sposobnost državne administracije predstavlja veće jamstvo i sigurnost za svladavanje brojnih zadaća i izazova koji stoje pred Republikom Hrvatskom kao ravnopravnom članicom Europske unije. </w:t>
      </w:r>
    </w:p>
    <w:p w:rsidR="00D849AA" w:rsidRDefault="00EE6D95">
      <w:pPr>
        <w:pStyle w:val="Normal6"/>
      </w:pPr>
      <w:r>
        <w:t xml:space="preserve">Tijekom 2014. godine unaprijedit će se rad Ureda kroz pripremu dokumenata potrebnih za sudjelovanje nacionalnih predstavnika za rad u radnim skupinama i odborima Vijeća Europske unije.  </w:t>
      </w:r>
    </w:p>
    <w:p w:rsidR="00D849AA" w:rsidRDefault="00EE6D95">
      <w:pPr>
        <w:pStyle w:val="Normal6"/>
      </w:pPr>
      <w:r>
        <w:t xml:space="preserve">Kako bi se dobila stvarna slika o koristima i troškovima usklađivanja hrvatskog zakonodavstva sa pravnom stečevinom Europske unije razdoblje koje je pred nama tijekom 2014. godine očekuje se usvajanje cijelog niza zakonodavnih akata, te možda i izrada procjene učinka propisa na određena poglavlja pregovora, kao i povećanje zakonodavnih aktivnosti, kompleksnosti nacionalnog i europskog zakonodavstva. </w:t>
      </w:r>
    </w:p>
    <w:p w:rsidR="00D849AA" w:rsidRDefault="00EE6D95">
      <w:pPr>
        <w:pStyle w:val="Normal6"/>
      </w:pPr>
      <w:r>
        <w:t xml:space="preserve">Kako bi pokazatelji uspješnosti kojima se mjeri ostvarenje učinkovitosti i provedbe specifičnih Vladinih programa i strategija kroz poboljšanje procesa donošenja akata Vlade Republike Hrvatske bili što reprezentativniji cilj Ureda za zakonodavstvo je održati razinu kvalitete i tijekom 2014. godine, te realizirati sve aktivnosti koje proizlaze iz Strategije </w:t>
      </w:r>
      <w:r>
        <w:lastRenderedPageBreak/>
        <w:t>procjene učinaka propisa za razdoblje od 2013.-2015. i Akcijskog plana procjene učinaka propisa za razdoblje od 2013.-2015. godine.</w:t>
      </w:r>
    </w:p>
    <w:p w:rsidR="00D849AA" w:rsidRDefault="00EE6D95">
      <w:pPr>
        <w:pStyle w:val="Naslov2"/>
      </w:pPr>
      <w:r>
        <w:t>02035 Ured za opće poslove Hrvatskoga sabora i Vlade Republike Hrvatske</w:t>
      </w:r>
    </w:p>
    <w:p w:rsidR="00D849AA" w:rsidRDefault="00EE6D95">
      <w:pPr>
        <w:pStyle w:val="Naslov4"/>
      </w:pPr>
      <w:r>
        <w:t>Uvod</w:t>
      </w:r>
    </w:p>
    <w:p w:rsidR="00D849AA" w:rsidRDefault="00EE6D95">
      <w:pPr>
        <w:pStyle w:val="Normal3"/>
      </w:pPr>
      <w:r>
        <w:t xml:space="preserve">Ured je zajednička stručna služba Hrvatskoga sabora, Vlade Republike Hrvatske, Ureda predsjednika Republike Hrvatske, ureda Vlade Republike Hrvatske, Direkcije za korištenje službenih zrakoplova Vlade Republike Hrvatske, Državnog izbornog povjerenstva i Ureda predsjednika Republike Hrvatske po prestanku obnašanja dužnosti (u daljnjem tekstu: državna tijela), koja u okviru svog djelokruga obavlja odgovarajuće stručne pravne poslove, poslove upravljanja ljudskim potencijalima, poslove pisarnice i pismohrane, financijsko-računovodstvene poslove, poslove financijskog planiranja, pripreme, kontrole i izvršenja proračuna, poslove javne nabave, poslove tehničkog održavanja informatičke, telekomunikacijske i elektroničke opreme i uređaja te poslove sigurnosti informacijskog sustava, administrativne, opće i tehničke poslove.  </w:t>
      </w:r>
    </w:p>
    <w:p w:rsidR="00D849AA" w:rsidRDefault="00EE6D95">
      <w:pPr>
        <w:pStyle w:val="Normal3"/>
      </w:pPr>
      <w:r>
        <w:t xml:space="preserve">Za obavljanje poslova iz djelokruga Ureda, u Uredu se ustrojavaju sljedeće unutarnje ustrojstvene jedinice: </w:t>
      </w:r>
    </w:p>
    <w:p w:rsidR="00D849AA" w:rsidRDefault="00EE6D95">
      <w:pPr>
        <w:pStyle w:val="Normal3"/>
      </w:pPr>
      <w:r>
        <w:t xml:space="preserve">1. Služba za upravljanje ljudskim potencijalima, pravne poslove, poslove pisarnice i pismohrane </w:t>
      </w:r>
    </w:p>
    <w:p w:rsidR="00D849AA" w:rsidRDefault="00EE6D95">
      <w:pPr>
        <w:pStyle w:val="Normal3"/>
      </w:pPr>
      <w:r>
        <w:t xml:space="preserve">1.1. Odjel za upravljanje ljudskim potencijalima i pravne poslove </w:t>
      </w:r>
    </w:p>
    <w:p w:rsidR="00D849AA" w:rsidRDefault="00EE6D95">
      <w:pPr>
        <w:pStyle w:val="Normal3"/>
      </w:pPr>
      <w:r>
        <w:t xml:space="preserve">1.2. Odjel za poslove pisarnice i pismohrane </w:t>
      </w:r>
    </w:p>
    <w:p w:rsidR="00D849AA" w:rsidRDefault="00EE6D95">
      <w:pPr>
        <w:pStyle w:val="Normal3"/>
      </w:pPr>
      <w:r>
        <w:t xml:space="preserve">2. Služba za proračun </w:t>
      </w:r>
    </w:p>
    <w:p w:rsidR="00D849AA" w:rsidRDefault="00EE6D95">
      <w:pPr>
        <w:pStyle w:val="Normal3"/>
      </w:pPr>
      <w:r>
        <w:t xml:space="preserve">3. Služba za računovodstvo </w:t>
      </w:r>
    </w:p>
    <w:p w:rsidR="00D849AA" w:rsidRDefault="00EE6D95">
      <w:pPr>
        <w:pStyle w:val="Normal3"/>
      </w:pPr>
      <w:r>
        <w:t xml:space="preserve">3.1. Odjel za financijsko-materijalno knjigovodstvo, osobne rashode i devizna plaćanja </w:t>
      </w:r>
    </w:p>
    <w:p w:rsidR="00D849AA" w:rsidRDefault="00EE6D95">
      <w:pPr>
        <w:pStyle w:val="Normal3"/>
      </w:pPr>
      <w:r>
        <w:t xml:space="preserve">3.2. Odjel za vođenje očevidnika, rukovanje imovinom, inventarom i umjetninama </w:t>
      </w:r>
    </w:p>
    <w:p w:rsidR="00D849AA" w:rsidRDefault="00EE6D95">
      <w:pPr>
        <w:pStyle w:val="Normal3"/>
      </w:pPr>
      <w:r>
        <w:t xml:space="preserve">4. Služba za nabavu </w:t>
      </w:r>
    </w:p>
    <w:p w:rsidR="00D849AA" w:rsidRDefault="00EE6D95">
      <w:pPr>
        <w:pStyle w:val="Normal3"/>
      </w:pPr>
      <w:r>
        <w:t xml:space="preserve">5. Služba za telekomunikacije, informatiku i praćenje rada sjednica Hrvatskoga sabora </w:t>
      </w:r>
    </w:p>
    <w:p w:rsidR="00D849AA" w:rsidRDefault="00EE6D95">
      <w:pPr>
        <w:pStyle w:val="Normal3"/>
      </w:pPr>
      <w:r>
        <w:t xml:space="preserve">5.1. Odjel za telekomunikacije i praćenje rada sjednica Hrvatskoga sabora </w:t>
      </w:r>
    </w:p>
    <w:p w:rsidR="00D849AA" w:rsidRDefault="00EE6D95">
      <w:pPr>
        <w:pStyle w:val="Normal3"/>
      </w:pPr>
      <w:r>
        <w:t xml:space="preserve">5.1.1. Pododsjek praćenja rada sjednica Hrvatskoga sabora </w:t>
      </w:r>
    </w:p>
    <w:p w:rsidR="00D849AA" w:rsidRDefault="00EE6D95">
      <w:pPr>
        <w:pStyle w:val="Normal3"/>
      </w:pPr>
      <w:r>
        <w:t xml:space="preserve">5.1.2. Pododsjek za obavljanje poslova tiskare i knjigovežnice </w:t>
      </w:r>
    </w:p>
    <w:p w:rsidR="00D849AA" w:rsidRDefault="00EE6D95">
      <w:pPr>
        <w:pStyle w:val="Normal3"/>
      </w:pPr>
      <w:r>
        <w:t xml:space="preserve">5.2. Odjel za informatiku </w:t>
      </w:r>
    </w:p>
    <w:p w:rsidR="00D849AA" w:rsidRDefault="00EE6D95">
      <w:pPr>
        <w:pStyle w:val="Normal3"/>
      </w:pPr>
      <w:r>
        <w:t xml:space="preserve">6. Služba za opće i tehničke poslove </w:t>
      </w:r>
    </w:p>
    <w:p w:rsidR="00D849AA" w:rsidRDefault="00EE6D95">
      <w:pPr>
        <w:pStyle w:val="Normal3"/>
      </w:pPr>
      <w:r>
        <w:t xml:space="preserve">6.1. Pododsjek investicijskog i tekućeg održavanja </w:t>
      </w:r>
    </w:p>
    <w:p w:rsidR="00D849AA" w:rsidRDefault="00EE6D95">
      <w:pPr>
        <w:pStyle w:val="Normal3"/>
      </w:pPr>
      <w:r>
        <w:t xml:space="preserve">6.2. Pododsjek prehrane za potrebe Hrvatskoga sabora </w:t>
      </w:r>
    </w:p>
    <w:p w:rsidR="00D849AA" w:rsidRDefault="00EE6D95">
      <w:pPr>
        <w:pStyle w:val="Normal3"/>
      </w:pPr>
      <w:r>
        <w:t xml:space="preserve">6.2.1. Odjeljak kuharstva </w:t>
      </w:r>
    </w:p>
    <w:p w:rsidR="00D849AA" w:rsidRDefault="00EE6D95">
      <w:pPr>
        <w:pStyle w:val="Normal3"/>
      </w:pPr>
      <w:r>
        <w:t xml:space="preserve">6.2.2. Odjeljak posluživanja </w:t>
      </w:r>
    </w:p>
    <w:p w:rsidR="00D849AA" w:rsidRDefault="00EE6D95">
      <w:pPr>
        <w:pStyle w:val="Normal3"/>
      </w:pPr>
      <w:r>
        <w:t xml:space="preserve">6.3. Pododsjek prehrane za potrebe Vlade Republike Hrvatske i Vladinih ureda </w:t>
      </w:r>
    </w:p>
    <w:p w:rsidR="00D849AA" w:rsidRDefault="00EE6D95">
      <w:pPr>
        <w:pStyle w:val="Normal3"/>
      </w:pPr>
      <w:r>
        <w:t xml:space="preserve">6.3.1. Odjeljak kuharstva </w:t>
      </w:r>
    </w:p>
    <w:p w:rsidR="00D849AA" w:rsidRDefault="00EE6D95">
      <w:pPr>
        <w:pStyle w:val="Normal3"/>
      </w:pPr>
      <w:r>
        <w:t xml:space="preserve">6.3.2. Odjeljak posluživanja </w:t>
      </w:r>
    </w:p>
    <w:p w:rsidR="00D849AA" w:rsidRDefault="00EE6D95">
      <w:pPr>
        <w:pStyle w:val="Normal3"/>
      </w:pPr>
      <w:r>
        <w:t>6.4. Pododsjek autoservisa.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CC4FF4" w:rsidRDefault="00D849AA">
            <w:pPr>
              <w:pStyle w:val="CellHeader"/>
            </w:pPr>
          </w:p>
        </w:tc>
        <w:tc>
          <w:tcPr>
            <w:tcW w:w="1486" w:type="dxa"/>
            <w:shd w:val="clear" w:color="auto" w:fill="B5C0D8"/>
          </w:tcPr>
          <w:p w:rsidR="00D849AA" w:rsidRPr="00CC4FF4" w:rsidRDefault="00EE6D95">
            <w:pPr>
              <w:pStyle w:val="CellHeader"/>
            </w:pPr>
            <w:r w:rsidRPr="00CC4FF4">
              <w:t>Plan 2013.</w:t>
            </w:r>
          </w:p>
        </w:tc>
        <w:tc>
          <w:tcPr>
            <w:tcW w:w="1486" w:type="dxa"/>
            <w:shd w:val="clear" w:color="auto" w:fill="B5C0D8"/>
          </w:tcPr>
          <w:p w:rsidR="00D849AA" w:rsidRPr="00CC4FF4" w:rsidRDefault="00EE6D95">
            <w:pPr>
              <w:pStyle w:val="CellHeader"/>
            </w:pPr>
            <w:r w:rsidRPr="00CC4FF4">
              <w:t>Plan 2014.</w:t>
            </w:r>
          </w:p>
        </w:tc>
        <w:tc>
          <w:tcPr>
            <w:tcW w:w="1486" w:type="dxa"/>
            <w:shd w:val="clear" w:color="auto" w:fill="B5C0D8"/>
          </w:tcPr>
          <w:p w:rsidR="00D849AA" w:rsidRPr="00CC4FF4" w:rsidRDefault="00EE6D95">
            <w:pPr>
              <w:pStyle w:val="CellHeader"/>
            </w:pPr>
            <w:r w:rsidRPr="00CC4FF4">
              <w:t>Plan 2015.</w:t>
            </w:r>
          </w:p>
        </w:tc>
        <w:tc>
          <w:tcPr>
            <w:tcW w:w="1486" w:type="dxa"/>
            <w:shd w:val="clear" w:color="auto" w:fill="B5C0D8"/>
          </w:tcPr>
          <w:p w:rsidR="00D849AA" w:rsidRPr="00CC4FF4" w:rsidRDefault="00EE6D95">
            <w:pPr>
              <w:pStyle w:val="CellHeader"/>
            </w:pPr>
            <w:r w:rsidRPr="00CC4FF4">
              <w:t>Plan 2016.</w:t>
            </w:r>
          </w:p>
        </w:tc>
        <w:tc>
          <w:tcPr>
            <w:tcW w:w="1486" w:type="dxa"/>
            <w:shd w:val="clear" w:color="auto" w:fill="B5C0D8"/>
          </w:tcPr>
          <w:p w:rsidR="00D849AA" w:rsidRPr="00CC4FF4" w:rsidRDefault="00EE6D95">
            <w:pPr>
              <w:pStyle w:val="CellHeader"/>
            </w:pPr>
            <w:r w:rsidRPr="00CC4FF4">
              <w:t>Indeks 2014/2013</w:t>
            </w:r>
          </w:p>
        </w:tc>
      </w:tr>
      <w:tr w:rsidR="00D849AA">
        <w:trPr>
          <w:jc w:val="center"/>
        </w:trPr>
        <w:tc>
          <w:tcPr>
            <w:tcW w:w="1486" w:type="dxa"/>
          </w:tcPr>
          <w:p w:rsidR="00D849AA" w:rsidRPr="00CC4FF4" w:rsidRDefault="00EE6D95">
            <w:pPr>
              <w:pStyle w:val="CellColumn"/>
            </w:pPr>
            <w:r w:rsidRPr="00CC4FF4">
              <w:t>02035</w:t>
            </w:r>
          </w:p>
        </w:tc>
        <w:tc>
          <w:tcPr>
            <w:tcW w:w="1486" w:type="dxa"/>
          </w:tcPr>
          <w:p w:rsidR="00D849AA" w:rsidRPr="00CC4FF4" w:rsidRDefault="00EE6D95">
            <w:pPr>
              <w:rPr>
                <w:rFonts w:ascii="Arial" w:hAnsi="Arial" w:cs="Arial"/>
              </w:rPr>
            </w:pPr>
            <w:r w:rsidRPr="00CC4FF4">
              <w:rPr>
                <w:rFonts w:ascii="Arial" w:hAnsi="Arial" w:cs="Arial"/>
              </w:rPr>
              <w:t>37.069.732</w:t>
            </w:r>
          </w:p>
        </w:tc>
        <w:tc>
          <w:tcPr>
            <w:tcW w:w="1486" w:type="dxa"/>
          </w:tcPr>
          <w:p w:rsidR="00D849AA" w:rsidRPr="00CC4FF4" w:rsidRDefault="00EE6D95">
            <w:pPr>
              <w:rPr>
                <w:rFonts w:ascii="Arial" w:hAnsi="Arial" w:cs="Arial"/>
              </w:rPr>
            </w:pPr>
            <w:r w:rsidRPr="00CC4FF4">
              <w:rPr>
                <w:rFonts w:ascii="Arial" w:hAnsi="Arial" w:cs="Arial"/>
              </w:rPr>
              <w:t>38.196.868</w:t>
            </w:r>
          </w:p>
        </w:tc>
        <w:tc>
          <w:tcPr>
            <w:tcW w:w="1486" w:type="dxa"/>
          </w:tcPr>
          <w:p w:rsidR="00D849AA" w:rsidRPr="00CC4FF4" w:rsidRDefault="00EE6D95">
            <w:pPr>
              <w:rPr>
                <w:rFonts w:ascii="Arial" w:hAnsi="Arial" w:cs="Arial"/>
              </w:rPr>
            </w:pPr>
            <w:r w:rsidRPr="00CC4FF4">
              <w:rPr>
                <w:rFonts w:ascii="Arial" w:hAnsi="Arial" w:cs="Arial"/>
              </w:rPr>
              <w:t>38.551.288</w:t>
            </w:r>
          </w:p>
        </w:tc>
        <w:tc>
          <w:tcPr>
            <w:tcW w:w="1486" w:type="dxa"/>
          </w:tcPr>
          <w:p w:rsidR="00D849AA" w:rsidRPr="00CC4FF4" w:rsidRDefault="00EE6D95">
            <w:pPr>
              <w:rPr>
                <w:rFonts w:ascii="Arial" w:hAnsi="Arial" w:cs="Arial"/>
              </w:rPr>
            </w:pPr>
            <w:r w:rsidRPr="00CC4FF4">
              <w:rPr>
                <w:rFonts w:ascii="Arial" w:hAnsi="Arial" w:cs="Arial"/>
              </w:rPr>
              <w:t>38.634.689</w:t>
            </w:r>
          </w:p>
        </w:tc>
        <w:tc>
          <w:tcPr>
            <w:tcW w:w="1486" w:type="dxa"/>
          </w:tcPr>
          <w:p w:rsidR="00D849AA" w:rsidRPr="00CC4FF4" w:rsidRDefault="00EE6D95">
            <w:pPr>
              <w:rPr>
                <w:rFonts w:ascii="Arial" w:hAnsi="Arial" w:cs="Arial"/>
              </w:rPr>
            </w:pPr>
            <w:r w:rsidRPr="00CC4FF4">
              <w:rPr>
                <w:rFonts w:ascii="Arial" w:hAnsi="Arial" w:cs="Arial"/>
              </w:rPr>
              <w:t>103,0</w:t>
            </w:r>
          </w:p>
        </w:tc>
      </w:tr>
    </w:tbl>
    <w:p w:rsidR="00D849AA" w:rsidRDefault="00D849AA">
      <w:pPr>
        <w:jc w:val="left"/>
      </w:pPr>
    </w:p>
    <w:p w:rsidR="00D849AA" w:rsidRDefault="00EE6D95">
      <w:pPr>
        <w:pStyle w:val="Naslov4"/>
      </w:pPr>
      <w:r>
        <w:t>OBRAZLOŽENJE PROGRAMA</w:t>
      </w:r>
    </w:p>
    <w:p w:rsidR="00D849AA" w:rsidRDefault="00EE6D95">
      <w:pPr>
        <w:pStyle w:val="Naslov5"/>
      </w:pPr>
      <w:r>
        <w:t>2110 OPĆI POSLOVI ZA POTREBE HRVATSKOG SABORA I VLADE REPUBLIKE HRVATSKE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CC4FF4" w:rsidRDefault="00D849AA">
            <w:pPr>
              <w:pStyle w:val="CellHeader"/>
            </w:pPr>
          </w:p>
        </w:tc>
        <w:tc>
          <w:tcPr>
            <w:tcW w:w="1486" w:type="dxa"/>
            <w:shd w:val="clear" w:color="auto" w:fill="B5C0D8"/>
          </w:tcPr>
          <w:p w:rsidR="00D849AA" w:rsidRPr="00CC4FF4" w:rsidRDefault="00EE6D95">
            <w:pPr>
              <w:pStyle w:val="CellHeader"/>
            </w:pPr>
            <w:r w:rsidRPr="00CC4FF4">
              <w:t>Plan 2013.</w:t>
            </w:r>
          </w:p>
        </w:tc>
        <w:tc>
          <w:tcPr>
            <w:tcW w:w="1486" w:type="dxa"/>
            <w:shd w:val="clear" w:color="auto" w:fill="B5C0D8"/>
          </w:tcPr>
          <w:p w:rsidR="00D849AA" w:rsidRPr="00CC4FF4" w:rsidRDefault="00EE6D95">
            <w:pPr>
              <w:pStyle w:val="CellHeader"/>
            </w:pPr>
            <w:r w:rsidRPr="00CC4FF4">
              <w:t>Plan 2014.</w:t>
            </w:r>
          </w:p>
        </w:tc>
        <w:tc>
          <w:tcPr>
            <w:tcW w:w="1486" w:type="dxa"/>
            <w:shd w:val="clear" w:color="auto" w:fill="B5C0D8"/>
          </w:tcPr>
          <w:p w:rsidR="00D849AA" w:rsidRPr="00CC4FF4" w:rsidRDefault="00EE6D95">
            <w:pPr>
              <w:pStyle w:val="CellHeader"/>
            </w:pPr>
            <w:r w:rsidRPr="00CC4FF4">
              <w:t>Plan 2015.</w:t>
            </w:r>
          </w:p>
        </w:tc>
        <w:tc>
          <w:tcPr>
            <w:tcW w:w="1486" w:type="dxa"/>
            <w:shd w:val="clear" w:color="auto" w:fill="B5C0D8"/>
          </w:tcPr>
          <w:p w:rsidR="00D849AA" w:rsidRPr="00CC4FF4" w:rsidRDefault="00EE6D95">
            <w:pPr>
              <w:pStyle w:val="CellHeader"/>
            </w:pPr>
            <w:r w:rsidRPr="00CC4FF4">
              <w:t>Plan 2016.</w:t>
            </w:r>
          </w:p>
        </w:tc>
        <w:tc>
          <w:tcPr>
            <w:tcW w:w="1486" w:type="dxa"/>
            <w:shd w:val="clear" w:color="auto" w:fill="B5C0D8"/>
          </w:tcPr>
          <w:p w:rsidR="00D849AA" w:rsidRPr="00CC4FF4" w:rsidRDefault="00EE6D95">
            <w:pPr>
              <w:pStyle w:val="CellHeader"/>
            </w:pPr>
            <w:r w:rsidRPr="00CC4FF4">
              <w:t>Indeks 2014/2013</w:t>
            </w:r>
          </w:p>
        </w:tc>
      </w:tr>
      <w:tr w:rsidR="00D849AA">
        <w:trPr>
          <w:jc w:val="center"/>
        </w:trPr>
        <w:tc>
          <w:tcPr>
            <w:tcW w:w="1486" w:type="dxa"/>
          </w:tcPr>
          <w:p w:rsidR="00D849AA" w:rsidRPr="00CC4FF4" w:rsidRDefault="00EE6D95">
            <w:pPr>
              <w:pStyle w:val="CellColumn"/>
            </w:pPr>
            <w:r w:rsidRPr="00CC4FF4">
              <w:t>2110</w:t>
            </w:r>
          </w:p>
        </w:tc>
        <w:tc>
          <w:tcPr>
            <w:tcW w:w="1486" w:type="dxa"/>
          </w:tcPr>
          <w:p w:rsidR="00D849AA" w:rsidRPr="00CC4FF4" w:rsidRDefault="00EE6D95">
            <w:pPr>
              <w:rPr>
                <w:rFonts w:ascii="Arial" w:hAnsi="Arial" w:cs="Arial"/>
              </w:rPr>
            </w:pPr>
            <w:r w:rsidRPr="00CC4FF4">
              <w:rPr>
                <w:rFonts w:ascii="Arial" w:hAnsi="Arial" w:cs="Arial"/>
              </w:rPr>
              <w:t>37.069.732</w:t>
            </w:r>
          </w:p>
        </w:tc>
        <w:tc>
          <w:tcPr>
            <w:tcW w:w="1486" w:type="dxa"/>
          </w:tcPr>
          <w:p w:rsidR="00D849AA" w:rsidRPr="00CC4FF4" w:rsidRDefault="00EE6D95">
            <w:pPr>
              <w:rPr>
                <w:rFonts w:ascii="Arial" w:hAnsi="Arial" w:cs="Arial"/>
              </w:rPr>
            </w:pPr>
            <w:r w:rsidRPr="00CC4FF4">
              <w:rPr>
                <w:rFonts w:ascii="Arial" w:hAnsi="Arial" w:cs="Arial"/>
              </w:rPr>
              <w:t>38.196.868</w:t>
            </w:r>
          </w:p>
        </w:tc>
        <w:tc>
          <w:tcPr>
            <w:tcW w:w="1486" w:type="dxa"/>
          </w:tcPr>
          <w:p w:rsidR="00D849AA" w:rsidRPr="00CC4FF4" w:rsidRDefault="00EE6D95">
            <w:pPr>
              <w:rPr>
                <w:rFonts w:ascii="Arial" w:hAnsi="Arial" w:cs="Arial"/>
              </w:rPr>
            </w:pPr>
            <w:r w:rsidRPr="00CC4FF4">
              <w:rPr>
                <w:rFonts w:ascii="Arial" w:hAnsi="Arial" w:cs="Arial"/>
              </w:rPr>
              <w:t>38.551.288</w:t>
            </w:r>
          </w:p>
        </w:tc>
        <w:tc>
          <w:tcPr>
            <w:tcW w:w="1486" w:type="dxa"/>
          </w:tcPr>
          <w:p w:rsidR="00D849AA" w:rsidRPr="00CC4FF4" w:rsidRDefault="00EE6D95">
            <w:pPr>
              <w:rPr>
                <w:rFonts w:ascii="Arial" w:hAnsi="Arial" w:cs="Arial"/>
              </w:rPr>
            </w:pPr>
            <w:r w:rsidRPr="00CC4FF4">
              <w:rPr>
                <w:rFonts w:ascii="Arial" w:hAnsi="Arial" w:cs="Arial"/>
              </w:rPr>
              <w:t>38.634.689</w:t>
            </w:r>
          </w:p>
        </w:tc>
        <w:tc>
          <w:tcPr>
            <w:tcW w:w="1486" w:type="dxa"/>
          </w:tcPr>
          <w:p w:rsidR="00D849AA" w:rsidRPr="00CC4FF4" w:rsidRDefault="00EE6D95">
            <w:pPr>
              <w:rPr>
                <w:rFonts w:ascii="Arial" w:hAnsi="Arial" w:cs="Arial"/>
              </w:rPr>
            </w:pPr>
            <w:r w:rsidRPr="00CC4FF4">
              <w:rPr>
                <w:rFonts w:ascii="Arial" w:hAnsi="Arial" w:cs="Arial"/>
              </w:rPr>
              <w:t>103,0</w:t>
            </w:r>
          </w:p>
        </w:tc>
      </w:tr>
    </w:tbl>
    <w:p w:rsidR="00D849AA" w:rsidRDefault="00D849AA">
      <w:pPr>
        <w:jc w:val="left"/>
      </w:pPr>
    </w:p>
    <w:p w:rsidR="00D849AA" w:rsidRDefault="00EE6D95">
      <w:pPr>
        <w:pStyle w:val="Naslov6"/>
      </w:pPr>
      <w:r>
        <w:t>Opis programa</w:t>
      </w:r>
    </w:p>
    <w:p w:rsidR="00D849AA" w:rsidRDefault="00EE6D95">
      <w:pPr>
        <w:pStyle w:val="Normal5"/>
      </w:pPr>
      <w:r>
        <w:t xml:space="preserve">Pod navedenim programom podrazumijeva se obavljanje slijedećih poslova: </w:t>
      </w:r>
    </w:p>
    <w:p w:rsidR="00D849AA" w:rsidRDefault="00EE6D95">
      <w:pPr>
        <w:pStyle w:val="Normal5"/>
      </w:pPr>
      <w:r>
        <w:t xml:space="preserve"> - poslovi upravljanja ljudskim potencijalima, poslovi u svezi radno-pravnog statusa državnih službenika i namještenika, pravni poslovi u okviru djelokruga Ureda te poslovi vođenja osobnog očevidnika i registra državnih službenika i namještenika </w:t>
      </w:r>
    </w:p>
    <w:p w:rsidR="00D849AA" w:rsidRDefault="00EE6D95">
      <w:pPr>
        <w:pStyle w:val="Normal5"/>
      </w:pPr>
      <w:r>
        <w:t xml:space="preserve"> - poslovi vođenja urudžbenog zapisnika, prijema i otpreme pošte, poslovi pismohrane </w:t>
      </w:r>
    </w:p>
    <w:p w:rsidR="00D849AA" w:rsidRDefault="00EE6D95">
      <w:pPr>
        <w:pStyle w:val="Normal5"/>
      </w:pPr>
      <w:r>
        <w:t xml:space="preserve"> - poslovi financijskog planiranja pripreme, kontrole i izvršenja proračuna </w:t>
      </w:r>
    </w:p>
    <w:p w:rsidR="00D849AA" w:rsidRDefault="00EE6D95">
      <w:pPr>
        <w:pStyle w:val="Normal5"/>
      </w:pPr>
      <w:r>
        <w:t xml:space="preserve"> - financijsko-računovodstveni poslovi, poslovi rukovanja inventarom, opremom i umjetninama te vođenje o tome odgovarajućih očevidnika </w:t>
      </w:r>
    </w:p>
    <w:p w:rsidR="00D849AA" w:rsidRDefault="00EE6D95">
      <w:pPr>
        <w:pStyle w:val="Normal5"/>
      </w:pPr>
      <w:r>
        <w:t xml:space="preserve"> - poslovi javne nabave sukladno Zakonu o javnoj nabavi, poslovi skladištenja i distribucije uredskog pribora, potrošnog materijala i tiska </w:t>
      </w:r>
    </w:p>
    <w:p w:rsidR="00D849AA" w:rsidRDefault="00EE6D95">
      <w:pPr>
        <w:pStyle w:val="Normal5"/>
      </w:pPr>
      <w:r>
        <w:t xml:space="preserve"> - poslovi tehničkog održavanja informatičke, elektroničke i uredske opreme i uređaja te poslovi sigurnosti informacijskih sustava </w:t>
      </w:r>
    </w:p>
    <w:p w:rsidR="00D849AA" w:rsidRDefault="00EE6D95">
      <w:pPr>
        <w:pStyle w:val="Normal5"/>
      </w:pPr>
      <w:r>
        <w:t xml:space="preserve"> - stručno-tehnički poslovi, poslovi investicijskog i tekućeg održavanja poslovnih zgrada te drugih objekata i uredskih prostora o kojima skrbi Ured, poslovi pružanja ugostiteljskih usluga u internim restoranima i buffetima te poslovi održavanja i čišćenja poslovnog i drugog prostora, poslovi održavanja zelenila te poslove autoservisa.</w:t>
      </w:r>
    </w:p>
    <w:p w:rsidR="00D849AA" w:rsidRDefault="00EE6D95">
      <w:pPr>
        <w:pStyle w:val="Naslov6"/>
      </w:pPr>
      <w:r>
        <w:t>Zakonske i druge pravne osnove</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Cilj 1. Dobro gospodarenje imovinom i sredstvima</w:t>
      </w:r>
    </w:p>
    <w:p w:rsidR="00D849AA" w:rsidRDefault="00EE6D95">
      <w:pPr>
        <w:pStyle w:val="Normal6"/>
      </w:pPr>
      <w:r>
        <w:t xml:space="preserve">Obavljanjem stručnih pravnih poslova, poslova upravljanja ljudskim potencijalima, poslova pisarnice i pismohrane, financijsko-računovodstvenih poslova, poslova financijskog planiranja, pripreme, kontrole i izvršenja proračuna, poslova javne nabave, poslova tehničkog održavanja informatičke, telekomunikacijske i elektroničke opreme i uređaja te poslova sigurnosti informacijskog sustava, administrativnih, općih i tehničkih </w:t>
      </w:r>
      <w:r>
        <w:lastRenderedPageBreak/>
        <w:t>poslova  osigurava se kontinuirano funkcioniranje ureda o čijem poslovanju kao zajednička služba skrbi Ured za opće poslove Hrvatskoga sabora i Vlade Republike Hrvatske. Pored navedenih poslova bitna je i kontinuirana analiza troškova koja ukazuje na nepravilnosti rada pojedinih ureda te doprinosi boljem raspolaganju odobrenih proračunskih sredstava i kvalitetnijem donošenju odluka.</w:t>
      </w:r>
    </w:p>
    <w:p w:rsidR="00D849AA" w:rsidRDefault="00EE6D95">
      <w:pPr>
        <w:pStyle w:val="Naslov2"/>
      </w:pPr>
      <w:r>
        <w:t>02042 Ured za protokol</w:t>
      </w:r>
    </w:p>
    <w:p w:rsidR="00D849AA" w:rsidRDefault="00EE6D95">
      <w:pPr>
        <w:pStyle w:val="Naslov4"/>
      </w:pPr>
      <w:r>
        <w:t>Uvod</w:t>
      </w:r>
    </w:p>
    <w:p w:rsidR="00D849AA" w:rsidRDefault="00EE6D95">
      <w:pPr>
        <w:pStyle w:val="Normal3"/>
      </w:pPr>
      <w:r>
        <w:t>Ured obavlja ceremonijalne, stručne, organizacijske i tehničke poslove protokola za potrebe Vlade, predsjednika Vlade i potpredsjednike Vlade. Priprema i provodi aktivnosti vezane uz službene posjete i putovanja predsjednika Vlade i potpredsjednike Vlade.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CC4FF4" w:rsidRDefault="00D849AA">
            <w:pPr>
              <w:pStyle w:val="CellHeader"/>
            </w:pPr>
          </w:p>
        </w:tc>
        <w:tc>
          <w:tcPr>
            <w:tcW w:w="1486" w:type="dxa"/>
            <w:shd w:val="clear" w:color="auto" w:fill="B5C0D8"/>
          </w:tcPr>
          <w:p w:rsidR="00D849AA" w:rsidRPr="00CC4FF4" w:rsidRDefault="00EE6D95">
            <w:pPr>
              <w:pStyle w:val="CellHeader"/>
            </w:pPr>
            <w:r w:rsidRPr="00CC4FF4">
              <w:t>Plan 2013.</w:t>
            </w:r>
          </w:p>
        </w:tc>
        <w:tc>
          <w:tcPr>
            <w:tcW w:w="1486" w:type="dxa"/>
            <w:shd w:val="clear" w:color="auto" w:fill="B5C0D8"/>
          </w:tcPr>
          <w:p w:rsidR="00D849AA" w:rsidRPr="00CC4FF4" w:rsidRDefault="00EE6D95">
            <w:pPr>
              <w:pStyle w:val="CellHeader"/>
            </w:pPr>
            <w:r w:rsidRPr="00CC4FF4">
              <w:t>Plan 2014.</w:t>
            </w:r>
          </w:p>
        </w:tc>
        <w:tc>
          <w:tcPr>
            <w:tcW w:w="1486" w:type="dxa"/>
            <w:shd w:val="clear" w:color="auto" w:fill="B5C0D8"/>
          </w:tcPr>
          <w:p w:rsidR="00D849AA" w:rsidRPr="00CC4FF4" w:rsidRDefault="00EE6D95">
            <w:pPr>
              <w:pStyle w:val="CellHeader"/>
            </w:pPr>
            <w:r w:rsidRPr="00CC4FF4">
              <w:t>Plan 2015.</w:t>
            </w:r>
          </w:p>
        </w:tc>
        <w:tc>
          <w:tcPr>
            <w:tcW w:w="1486" w:type="dxa"/>
            <w:shd w:val="clear" w:color="auto" w:fill="B5C0D8"/>
          </w:tcPr>
          <w:p w:rsidR="00D849AA" w:rsidRPr="00CC4FF4" w:rsidRDefault="00EE6D95">
            <w:pPr>
              <w:pStyle w:val="CellHeader"/>
            </w:pPr>
            <w:r w:rsidRPr="00CC4FF4">
              <w:t>Plan 2016.</w:t>
            </w:r>
          </w:p>
        </w:tc>
        <w:tc>
          <w:tcPr>
            <w:tcW w:w="1486" w:type="dxa"/>
            <w:shd w:val="clear" w:color="auto" w:fill="B5C0D8"/>
          </w:tcPr>
          <w:p w:rsidR="00D849AA" w:rsidRPr="00CC4FF4" w:rsidRDefault="00EE6D95">
            <w:pPr>
              <w:pStyle w:val="CellHeader"/>
            </w:pPr>
            <w:r w:rsidRPr="00CC4FF4">
              <w:t>Indeks 2014/2013</w:t>
            </w:r>
          </w:p>
        </w:tc>
      </w:tr>
      <w:tr w:rsidR="00D849AA">
        <w:trPr>
          <w:jc w:val="center"/>
        </w:trPr>
        <w:tc>
          <w:tcPr>
            <w:tcW w:w="1486" w:type="dxa"/>
          </w:tcPr>
          <w:p w:rsidR="00D849AA" w:rsidRPr="00CC4FF4" w:rsidRDefault="00EE6D95">
            <w:pPr>
              <w:pStyle w:val="CellColumn"/>
            </w:pPr>
            <w:r w:rsidRPr="00CC4FF4">
              <w:t>02042</w:t>
            </w:r>
          </w:p>
        </w:tc>
        <w:tc>
          <w:tcPr>
            <w:tcW w:w="1486" w:type="dxa"/>
          </w:tcPr>
          <w:p w:rsidR="00D849AA" w:rsidRPr="00CC4FF4" w:rsidRDefault="00EE6D95">
            <w:pPr>
              <w:rPr>
                <w:rFonts w:ascii="Arial" w:hAnsi="Arial" w:cs="Arial"/>
              </w:rPr>
            </w:pPr>
            <w:r w:rsidRPr="00CC4FF4">
              <w:rPr>
                <w:rFonts w:ascii="Arial" w:hAnsi="Arial" w:cs="Arial"/>
              </w:rPr>
              <w:t>1.645.310</w:t>
            </w:r>
          </w:p>
        </w:tc>
        <w:tc>
          <w:tcPr>
            <w:tcW w:w="1486" w:type="dxa"/>
          </w:tcPr>
          <w:p w:rsidR="00D849AA" w:rsidRPr="00CC4FF4" w:rsidRDefault="00EE6D95">
            <w:pPr>
              <w:rPr>
                <w:rFonts w:ascii="Arial" w:hAnsi="Arial" w:cs="Arial"/>
              </w:rPr>
            </w:pPr>
            <w:r w:rsidRPr="00CC4FF4">
              <w:rPr>
                <w:rFonts w:ascii="Arial" w:hAnsi="Arial" w:cs="Arial"/>
              </w:rPr>
              <w:t>1.500.550</w:t>
            </w:r>
          </w:p>
        </w:tc>
        <w:tc>
          <w:tcPr>
            <w:tcW w:w="1486" w:type="dxa"/>
          </w:tcPr>
          <w:p w:rsidR="00D849AA" w:rsidRPr="00CC4FF4" w:rsidRDefault="00EE6D95">
            <w:pPr>
              <w:rPr>
                <w:rFonts w:ascii="Arial" w:hAnsi="Arial" w:cs="Arial"/>
              </w:rPr>
            </w:pPr>
            <w:r w:rsidRPr="00CC4FF4">
              <w:rPr>
                <w:rFonts w:ascii="Arial" w:hAnsi="Arial" w:cs="Arial"/>
              </w:rPr>
              <w:t>1.506.550</w:t>
            </w:r>
          </w:p>
        </w:tc>
        <w:tc>
          <w:tcPr>
            <w:tcW w:w="1486" w:type="dxa"/>
          </w:tcPr>
          <w:p w:rsidR="00D849AA" w:rsidRPr="00CC4FF4" w:rsidRDefault="00EE6D95">
            <w:pPr>
              <w:rPr>
                <w:rFonts w:ascii="Arial" w:hAnsi="Arial" w:cs="Arial"/>
              </w:rPr>
            </w:pPr>
            <w:r w:rsidRPr="00CC4FF4">
              <w:rPr>
                <w:rFonts w:ascii="Arial" w:hAnsi="Arial" w:cs="Arial"/>
              </w:rPr>
              <w:t>1.510.550</w:t>
            </w:r>
          </w:p>
        </w:tc>
        <w:tc>
          <w:tcPr>
            <w:tcW w:w="1486" w:type="dxa"/>
          </w:tcPr>
          <w:p w:rsidR="00D849AA" w:rsidRPr="00CC4FF4" w:rsidRDefault="00EE6D95">
            <w:pPr>
              <w:rPr>
                <w:rFonts w:ascii="Arial" w:hAnsi="Arial" w:cs="Arial"/>
              </w:rPr>
            </w:pPr>
            <w:r w:rsidRPr="00CC4FF4">
              <w:rPr>
                <w:rFonts w:ascii="Arial" w:hAnsi="Arial" w:cs="Arial"/>
              </w:rPr>
              <w:t>91,2</w:t>
            </w:r>
          </w:p>
        </w:tc>
      </w:tr>
    </w:tbl>
    <w:p w:rsidR="00D849AA" w:rsidRDefault="00D849AA">
      <w:pPr>
        <w:jc w:val="left"/>
      </w:pPr>
    </w:p>
    <w:p w:rsidR="00D849AA" w:rsidRDefault="00EE6D95">
      <w:pPr>
        <w:pStyle w:val="Naslov4"/>
      </w:pPr>
      <w:r>
        <w:t>OBRAZLOŽENJE PROGRAMA</w:t>
      </w:r>
    </w:p>
    <w:p w:rsidR="00D849AA" w:rsidRDefault="00EE6D95">
      <w:pPr>
        <w:pStyle w:val="Naslov5"/>
      </w:pPr>
      <w:r>
        <w:t>2107 PRUŽANJE PODRŠKE RADU VLADE REPUBLIKE HRVATSKE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CC4FF4" w:rsidRDefault="00D849AA">
            <w:pPr>
              <w:pStyle w:val="CellHeader"/>
            </w:pPr>
          </w:p>
        </w:tc>
        <w:tc>
          <w:tcPr>
            <w:tcW w:w="1486" w:type="dxa"/>
            <w:shd w:val="clear" w:color="auto" w:fill="B5C0D8"/>
          </w:tcPr>
          <w:p w:rsidR="00D849AA" w:rsidRPr="00CC4FF4" w:rsidRDefault="00EE6D95">
            <w:pPr>
              <w:pStyle w:val="CellHeader"/>
            </w:pPr>
            <w:r w:rsidRPr="00CC4FF4">
              <w:t>Plan 2013.</w:t>
            </w:r>
          </w:p>
        </w:tc>
        <w:tc>
          <w:tcPr>
            <w:tcW w:w="1486" w:type="dxa"/>
            <w:shd w:val="clear" w:color="auto" w:fill="B5C0D8"/>
          </w:tcPr>
          <w:p w:rsidR="00D849AA" w:rsidRPr="00CC4FF4" w:rsidRDefault="00EE6D95">
            <w:pPr>
              <w:pStyle w:val="CellHeader"/>
            </w:pPr>
            <w:r w:rsidRPr="00CC4FF4">
              <w:t>Plan 2014.</w:t>
            </w:r>
          </w:p>
        </w:tc>
        <w:tc>
          <w:tcPr>
            <w:tcW w:w="1486" w:type="dxa"/>
            <w:shd w:val="clear" w:color="auto" w:fill="B5C0D8"/>
          </w:tcPr>
          <w:p w:rsidR="00D849AA" w:rsidRPr="00CC4FF4" w:rsidRDefault="00EE6D95">
            <w:pPr>
              <w:pStyle w:val="CellHeader"/>
            </w:pPr>
            <w:r w:rsidRPr="00CC4FF4">
              <w:t>Plan 2015.</w:t>
            </w:r>
          </w:p>
        </w:tc>
        <w:tc>
          <w:tcPr>
            <w:tcW w:w="1486" w:type="dxa"/>
            <w:shd w:val="clear" w:color="auto" w:fill="B5C0D8"/>
          </w:tcPr>
          <w:p w:rsidR="00D849AA" w:rsidRPr="00CC4FF4" w:rsidRDefault="00EE6D95">
            <w:pPr>
              <w:pStyle w:val="CellHeader"/>
            </w:pPr>
            <w:r w:rsidRPr="00CC4FF4">
              <w:t>Plan 2016.</w:t>
            </w:r>
          </w:p>
        </w:tc>
        <w:tc>
          <w:tcPr>
            <w:tcW w:w="1486" w:type="dxa"/>
            <w:shd w:val="clear" w:color="auto" w:fill="B5C0D8"/>
          </w:tcPr>
          <w:p w:rsidR="00D849AA" w:rsidRPr="00CC4FF4" w:rsidRDefault="00EE6D95">
            <w:pPr>
              <w:pStyle w:val="CellHeader"/>
            </w:pPr>
            <w:r w:rsidRPr="00CC4FF4">
              <w:t>Indeks 2014/2013</w:t>
            </w:r>
          </w:p>
        </w:tc>
      </w:tr>
      <w:tr w:rsidR="00D849AA">
        <w:trPr>
          <w:jc w:val="center"/>
        </w:trPr>
        <w:tc>
          <w:tcPr>
            <w:tcW w:w="1486" w:type="dxa"/>
          </w:tcPr>
          <w:p w:rsidR="00D849AA" w:rsidRPr="00CC4FF4" w:rsidRDefault="00EE6D95">
            <w:pPr>
              <w:pStyle w:val="CellColumn"/>
            </w:pPr>
            <w:r w:rsidRPr="00CC4FF4">
              <w:t>2107</w:t>
            </w:r>
          </w:p>
        </w:tc>
        <w:tc>
          <w:tcPr>
            <w:tcW w:w="1486" w:type="dxa"/>
          </w:tcPr>
          <w:p w:rsidR="00D849AA" w:rsidRPr="00CC4FF4" w:rsidRDefault="00EE6D95">
            <w:pPr>
              <w:rPr>
                <w:rFonts w:ascii="Arial" w:hAnsi="Arial" w:cs="Arial"/>
              </w:rPr>
            </w:pPr>
            <w:r w:rsidRPr="00CC4FF4">
              <w:rPr>
                <w:rFonts w:ascii="Arial" w:hAnsi="Arial" w:cs="Arial"/>
              </w:rPr>
              <w:t>1.645.310</w:t>
            </w:r>
          </w:p>
        </w:tc>
        <w:tc>
          <w:tcPr>
            <w:tcW w:w="1486" w:type="dxa"/>
          </w:tcPr>
          <w:p w:rsidR="00D849AA" w:rsidRPr="00CC4FF4" w:rsidRDefault="00EE6D95">
            <w:pPr>
              <w:rPr>
                <w:rFonts w:ascii="Arial" w:hAnsi="Arial" w:cs="Arial"/>
              </w:rPr>
            </w:pPr>
            <w:r w:rsidRPr="00CC4FF4">
              <w:rPr>
                <w:rFonts w:ascii="Arial" w:hAnsi="Arial" w:cs="Arial"/>
              </w:rPr>
              <w:t>1.500.550</w:t>
            </w:r>
          </w:p>
        </w:tc>
        <w:tc>
          <w:tcPr>
            <w:tcW w:w="1486" w:type="dxa"/>
          </w:tcPr>
          <w:p w:rsidR="00D849AA" w:rsidRPr="00CC4FF4" w:rsidRDefault="00EE6D95">
            <w:pPr>
              <w:rPr>
                <w:rFonts w:ascii="Arial" w:hAnsi="Arial" w:cs="Arial"/>
              </w:rPr>
            </w:pPr>
            <w:r w:rsidRPr="00CC4FF4">
              <w:rPr>
                <w:rFonts w:ascii="Arial" w:hAnsi="Arial" w:cs="Arial"/>
              </w:rPr>
              <w:t>1.506.550</w:t>
            </w:r>
          </w:p>
        </w:tc>
        <w:tc>
          <w:tcPr>
            <w:tcW w:w="1486" w:type="dxa"/>
          </w:tcPr>
          <w:p w:rsidR="00D849AA" w:rsidRPr="00CC4FF4" w:rsidRDefault="00EE6D95">
            <w:pPr>
              <w:rPr>
                <w:rFonts w:ascii="Arial" w:hAnsi="Arial" w:cs="Arial"/>
              </w:rPr>
            </w:pPr>
            <w:r w:rsidRPr="00CC4FF4">
              <w:rPr>
                <w:rFonts w:ascii="Arial" w:hAnsi="Arial" w:cs="Arial"/>
              </w:rPr>
              <w:t>1.510.550</w:t>
            </w:r>
          </w:p>
        </w:tc>
        <w:tc>
          <w:tcPr>
            <w:tcW w:w="1486" w:type="dxa"/>
          </w:tcPr>
          <w:p w:rsidR="00D849AA" w:rsidRPr="00CC4FF4" w:rsidRDefault="00EE6D95">
            <w:pPr>
              <w:rPr>
                <w:rFonts w:ascii="Arial" w:hAnsi="Arial" w:cs="Arial"/>
              </w:rPr>
            </w:pPr>
            <w:r w:rsidRPr="00CC4FF4">
              <w:rPr>
                <w:rFonts w:ascii="Arial" w:hAnsi="Arial" w:cs="Arial"/>
              </w:rPr>
              <w:t>91,2</w:t>
            </w:r>
          </w:p>
        </w:tc>
      </w:tr>
    </w:tbl>
    <w:p w:rsidR="00D849AA" w:rsidRDefault="00D849AA">
      <w:pPr>
        <w:jc w:val="left"/>
      </w:pPr>
    </w:p>
    <w:p w:rsidR="00D849AA" w:rsidRDefault="00EE6D95">
      <w:pPr>
        <w:pStyle w:val="Naslov6"/>
      </w:pPr>
      <w:r>
        <w:t>Opis programa</w:t>
      </w:r>
    </w:p>
    <w:p w:rsidR="00D849AA" w:rsidRDefault="00EE6D95">
      <w:pPr>
        <w:pStyle w:val="Normal5"/>
      </w:pPr>
      <w:r>
        <w:t xml:space="preserve">Pružanje podrške radu Vlade Republike Hrvatske od strane Ureda za protokol podrazumijeva obavljanje ceremonijalnih, stručnih, organizacijskih i tehničkih poslova protokola za potrebe Vlade, predsjednika Vlade i potpredsjednike Vlade. Ured također priprema i provodi aktivnosti vezane uz službene posjete i putovanja predsjednika Vlade i potpredsjednike Vlade; vodi evidenciju o troškovima putovanja; priprema i provodi aktivnosti vezane uz službene i radne posjete stranih dužnosnika predsjedniku Vlade i potpredsjednicima Vlade; sudjeluje u pripremi i provođenju svečanosti, obljetnica i svih drugih protokolarnih događanja od značaja za Republiku Hrvatsku u kojoj sudjeluje predsjednik Vlade, potpredsjednici Vlade i članovi Vlade bilo u Vladi, Zagrebu ili na drugim lokacijama u Republici Hrvatskoj; predlaže i skrbi o poklonima za strane i domaće susrete predsjednika Vlade i potpredsjednike Vlade; vodi evidenciju o uručenim poklonima; vodi evidenciju o izvršenim programima. </w:t>
      </w:r>
    </w:p>
    <w:p w:rsidR="00D849AA" w:rsidRDefault="00EE6D95">
      <w:pPr>
        <w:pStyle w:val="Normal5"/>
      </w:pPr>
      <w:r>
        <w:t>Ured u obavljanju svojih poslova ostvaruje suradnju i koordinaciju s odgovarajućim službama za protokol Predsjednika Republike Hrvatske, Hrvatskoga sabora i Ministarstva vanjskih i europskih poslova.</w:t>
      </w:r>
    </w:p>
    <w:p w:rsidR="00D849AA" w:rsidRDefault="00EE6D95" w:rsidP="00CC4FF4">
      <w:pPr>
        <w:pStyle w:val="Naslov6"/>
        <w:ind w:left="0"/>
      </w:pPr>
      <w:r>
        <w:lastRenderedPageBreak/>
        <w:t>Ciljevi provedbe programa u razdoblju 2014.-2016. i pokazatelji uspješnosti kojima će se mjeriti ostvarenje tih ciljeva</w:t>
      </w:r>
    </w:p>
    <w:p w:rsidR="00D849AA" w:rsidRDefault="00EE6D95">
      <w:pPr>
        <w:pStyle w:val="Naslov7"/>
      </w:pPr>
      <w:r>
        <w:t>Cilj 1. Kontinuitet i poboljšanje efikasnosti Vlade Republike Hrvatske</w:t>
      </w:r>
    </w:p>
    <w:p w:rsidR="00D849AA" w:rsidRDefault="00EE6D95">
      <w:pPr>
        <w:pStyle w:val="Normal6"/>
      </w:pPr>
      <w:r>
        <w:t>Obavljanjem ceremonijalnih, stručnih, organizacijskih i tehničkih poslova za potrebe Vlade Republike Hrvatske, predsjednika Vlade Republike Hrvatske te potpredsjednika Vlade Republike Hrvatske osigurava se kontinuirano funkcioniranje Vlade Republike Hrvatske kao nositelja izvršne vlasti, sukladno Ustavu Republike Hrvatske i zakonima.</w:t>
      </w:r>
    </w:p>
    <w:p w:rsidR="00D849AA" w:rsidRDefault="00EE6D95">
      <w:pPr>
        <w:pStyle w:val="Naslov5"/>
      </w:pPr>
      <w:r>
        <w:t>Procjena i ishodište potrebnih sredstava za značajnije aktivnosti/projekte</w:t>
      </w:r>
    </w:p>
    <w:p w:rsidR="00D849AA" w:rsidRDefault="00EE6D95">
      <w:pPr>
        <w:pStyle w:val="Naslov2"/>
      </w:pPr>
      <w:r>
        <w:t>02044 Ured Vlade Republike Hrvatske za unutarnju reviziju</w:t>
      </w:r>
    </w:p>
    <w:p w:rsidR="00D849AA" w:rsidRDefault="00EE6D95">
      <w:pPr>
        <w:pStyle w:val="Naslov4"/>
      </w:pPr>
      <w:r>
        <w:t>Uvod</w:t>
      </w:r>
    </w:p>
    <w:p w:rsidR="00D849AA" w:rsidRDefault="00EE6D95">
      <w:pPr>
        <w:pStyle w:val="Normal3"/>
      </w:pPr>
      <w:r>
        <w:t>Ured Vlade Republike Hrvatske za unutarnju reviziju kao zajednička jedinica za unutarnju reviziju ureda i drugih stručnih službi Vlade obavlja poslove unutarnje revizije sustava poslovanja te programa i projekata koje financira Europska unija temeljem strateškog i godišnjeg plana unutarnje revizije, te posebne revizije na zahtjev predsjednika Vlade, čelnika revidiranih subjekata i nacionalnog dužnosnika za ovjeravanje. Ured obavlja poslove unutarnje revizije i kod proračunskih korisnika državnog proračuna koji nisu uspostavili unutarnju reviziju sukladno zakonu kojim se uređuje sustav unutarnjih financijskih kontrola u javnom sektoru.</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CC4FF4" w:rsidRDefault="00D849AA">
            <w:pPr>
              <w:pStyle w:val="CellHeader"/>
            </w:pPr>
          </w:p>
        </w:tc>
        <w:tc>
          <w:tcPr>
            <w:tcW w:w="1486" w:type="dxa"/>
            <w:shd w:val="clear" w:color="auto" w:fill="B5C0D8"/>
          </w:tcPr>
          <w:p w:rsidR="00D849AA" w:rsidRPr="00CC4FF4" w:rsidRDefault="00EE6D95">
            <w:pPr>
              <w:pStyle w:val="CellHeader"/>
            </w:pPr>
            <w:r w:rsidRPr="00CC4FF4">
              <w:t>Plan 2013.</w:t>
            </w:r>
          </w:p>
        </w:tc>
        <w:tc>
          <w:tcPr>
            <w:tcW w:w="1486" w:type="dxa"/>
            <w:shd w:val="clear" w:color="auto" w:fill="B5C0D8"/>
          </w:tcPr>
          <w:p w:rsidR="00D849AA" w:rsidRPr="00CC4FF4" w:rsidRDefault="00EE6D95">
            <w:pPr>
              <w:pStyle w:val="CellHeader"/>
            </w:pPr>
            <w:r w:rsidRPr="00CC4FF4">
              <w:t>Plan 2014.</w:t>
            </w:r>
          </w:p>
        </w:tc>
        <w:tc>
          <w:tcPr>
            <w:tcW w:w="1486" w:type="dxa"/>
            <w:shd w:val="clear" w:color="auto" w:fill="B5C0D8"/>
          </w:tcPr>
          <w:p w:rsidR="00D849AA" w:rsidRPr="00CC4FF4" w:rsidRDefault="00EE6D95">
            <w:pPr>
              <w:pStyle w:val="CellHeader"/>
            </w:pPr>
            <w:r w:rsidRPr="00CC4FF4">
              <w:t>Plan 2015.</w:t>
            </w:r>
          </w:p>
        </w:tc>
        <w:tc>
          <w:tcPr>
            <w:tcW w:w="1486" w:type="dxa"/>
            <w:shd w:val="clear" w:color="auto" w:fill="B5C0D8"/>
          </w:tcPr>
          <w:p w:rsidR="00D849AA" w:rsidRPr="00CC4FF4" w:rsidRDefault="00EE6D95">
            <w:pPr>
              <w:pStyle w:val="CellHeader"/>
            </w:pPr>
            <w:r w:rsidRPr="00CC4FF4">
              <w:t>Plan 2016.</w:t>
            </w:r>
          </w:p>
        </w:tc>
        <w:tc>
          <w:tcPr>
            <w:tcW w:w="1486" w:type="dxa"/>
            <w:shd w:val="clear" w:color="auto" w:fill="B5C0D8"/>
          </w:tcPr>
          <w:p w:rsidR="00D849AA" w:rsidRPr="00CC4FF4" w:rsidRDefault="00EE6D95">
            <w:pPr>
              <w:pStyle w:val="CellHeader"/>
            </w:pPr>
            <w:r w:rsidRPr="00CC4FF4">
              <w:t>Indeks 2014/2013</w:t>
            </w:r>
          </w:p>
        </w:tc>
      </w:tr>
      <w:tr w:rsidR="00D849AA">
        <w:trPr>
          <w:jc w:val="center"/>
        </w:trPr>
        <w:tc>
          <w:tcPr>
            <w:tcW w:w="1486" w:type="dxa"/>
          </w:tcPr>
          <w:p w:rsidR="00D849AA" w:rsidRPr="00CC4FF4" w:rsidRDefault="00EE6D95">
            <w:pPr>
              <w:pStyle w:val="CellColumn"/>
            </w:pPr>
            <w:r w:rsidRPr="00CC4FF4">
              <w:t>02044</w:t>
            </w:r>
          </w:p>
        </w:tc>
        <w:tc>
          <w:tcPr>
            <w:tcW w:w="1486" w:type="dxa"/>
          </w:tcPr>
          <w:p w:rsidR="00D849AA" w:rsidRPr="00CC4FF4" w:rsidRDefault="00EE6D95">
            <w:pPr>
              <w:rPr>
                <w:rFonts w:ascii="Arial" w:hAnsi="Arial" w:cs="Arial"/>
              </w:rPr>
            </w:pPr>
            <w:r w:rsidRPr="00CC4FF4">
              <w:rPr>
                <w:rFonts w:ascii="Arial" w:hAnsi="Arial" w:cs="Arial"/>
              </w:rPr>
              <w:t>1.952.100</w:t>
            </w:r>
          </w:p>
        </w:tc>
        <w:tc>
          <w:tcPr>
            <w:tcW w:w="1486" w:type="dxa"/>
          </w:tcPr>
          <w:p w:rsidR="00D849AA" w:rsidRPr="00CC4FF4" w:rsidRDefault="00EE6D95">
            <w:pPr>
              <w:rPr>
                <w:rFonts w:ascii="Arial" w:hAnsi="Arial" w:cs="Arial"/>
              </w:rPr>
            </w:pPr>
            <w:r w:rsidRPr="00CC4FF4">
              <w:rPr>
                <w:rFonts w:ascii="Arial" w:hAnsi="Arial" w:cs="Arial"/>
              </w:rPr>
              <w:t>1.920.600</w:t>
            </w:r>
          </w:p>
        </w:tc>
        <w:tc>
          <w:tcPr>
            <w:tcW w:w="1486" w:type="dxa"/>
          </w:tcPr>
          <w:p w:rsidR="00D849AA" w:rsidRPr="00CC4FF4" w:rsidRDefault="00EE6D95">
            <w:pPr>
              <w:rPr>
                <w:rFonts w:ascii="Arial" w:hAnsi="Arial" w:cs="Arial"/>
              </w:rPr>
            </w:pPr>
            <w:r w:rsidRPr="00CC4FF4">
              <w:rPr>
                <w:rFonts w:ascii="Arial" w:hAnsi="Arial" w:cs="Arial"/>
              </w:rPr>
              <w:t>2.094.100</w:t>
            </w:r>
          </w:p>
        </w:tc>
        <w:tc>
          <w:tcPr>
            <w:tcW w:w="1486" w:type="dxa"/>
          </w:tcPr>
          <w:p w:rsidR="00D849AA" w:rsidRPr="00CC4FF4" w:rsidRDefault="00EE6D95">
            <w:pPr>
              <w:rPr>
                <w:rFonts w:ascii="Arial" w:hAnsi="Arial" w:cs="Arial"/>
              </w:rPr>
            </w:pPr>
            <w:r w:rsidRPr="00CC4FF4">
              <w:rPr>
                <w:rFonts w:ascii="Arial" w:hAnsi="Arial" w:cs="Arial"/>
              </w:rPr>
              <w:t>2.101.100</w:t>
            </w:r>
          </w:p>
        </w:tc>
        <w:tc>
          <w:tcPr>
            <w:tcW w:w="1486" w:type="dxa"/>
          </w:tcPr>
          <w:p w:rsidR="00D849AA" w:rsidRPr="00CC4FF4" w:rsidRDefault="00EE6D95">
            <w:pPr>
              <w:rPr>
                <w:rFonts w:ascii="Arial" w:hAnsi="Arial" w:cs="Arial"/>
              </w:rPr>
            </w:pPr>
            <w:r w:rsidRPr="00CC4FF4">
              <w:rPr>
                <w:rFonts w:ascii="Arial" w:hAnsi="Arial" w:cs="Arial"/>
              </w:rPr>
              <w:t>98,4</w:t>
            </w:r>
          </w:p>
        </w:tc>
      </w:tr>
    </w:tbl>
    <w:p w:rsidR="00D849AA" w:rsidRDefault="00D849AA">
      <w:pPr>
        <w:jc w:val="left"/>
      </w:pPr>
    </w:p>
    <w:p w:rsidR="00D849AA" w:rsidRDefault="00EE6D95">
      <w:pPr>
        <w:pStyle w:val="Naslov4"/>
      </w:pPr>
      <w:r>
        <w:t>OBRAZLOŽENJE PROGRAMA</w:t>
      </w:r>
    </w:p>
    <w:p w:rsidR="00D849AA" w:rsidRDefault="00EE6D95">
      <w:pPr>
        <w:pStyle w:val="Naslov5"/>
      </w:pPr>
      <w:r>
        <w:t>2107 PRUŽANJE PODRŠKE RADU VLADE REPUBLIKE HRVATSKE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CC4FF4" w:rsidRDefault="00D849AA">
            <w:pPr>
              <w:pStyle w:val="CellHeader"/>
            </w:pPr>
          </w:p>
        </w:tc>
        <w:tc>
          <w:tcPr>
            <w:tcW w:w="1486" w:type="dxa"/>
            <w:shd w:val="clear" w:color="auto" w:fill="B5C0D8"/>
          </w:tcPr>
          <w:p w:rsidR="00D849AA" w:rsidRPr="00CC4FF4" w:rsidRDefault="00EE6D95">
            <w:pPr>
              <w:pStyle w:val="CellHeader"/>
            </w:pPr>
            <w:r w:rsidRPr="00CC4FF4">
              <w:t>Plan 2013.</w:t>
            </w:r>
          </w:p>
        </w:tc>
        <w:tc>
          <w:tcPr>
            <w:tcW w:w="1486" w:type="dxa"/>
            <w:shd w:val="clear" w:color="auto" w:fill="B5C0D8"/>
          </w:tcPr>
          <w:p w:rsidR="00D849AA" w:rsidRPr="00CC4FF4" w:rsidRDefault="00EE6D95">
            <w:pPr>
              <w:pStyle w:val="CellHeader"/>
            </w:pPr>
            <w:r w:rsidRPr="00CC4FF4">
              <w:t>Plan 2014.</w:t>
            </w:r>
          </w:p>
        </w:tc>
        <w:tc>
          <w:tcPr>
            <w:tcW w:w="1486" w:type="dxa"/>
            <w:shd w:val="clear" w:color="auto" w:fill="B5C0D8"/>
          </w:tcPr>
          <w:p w:rsidR="00D849AA" w:rsidRPr="00CC4FF4" w:rsidRDefault="00EE6D95">
            <w:pPr>
              <w:pStyle w:val="CellHeader"/>
            </w:pPr>
            <w:r w:rsidRPr="00CC4FF4">
              <w:t>Plan 2015.</w:t>
            </w:r>
          </w:p>
        </w:tc>
        <w:tc>
          <w:tcPr>
            <w:tcW w:w="1486" w:type="dxa"/>
            <w:shd w:val="clear" w:color="auto" w:fill="B5C0D8"/>
          </w:tcPr>
          <w:p w:rsidR="00D849AA" w:rsidRPr="00CC4FF4" w:rsidRDefault="00EE6D95">
            <w:pPr>
              <w:pStyle w:val="CellHeader"/>
            </w:pPr>
            <w:r w:rsidRPr="00CC4FF4">
              <w:t>Plan 2016.</w:t>
            </w:r>
          </w:p>
        </w:tc>
        <w:tc>
          <w:tcPr>
            <w:tcW w:w="1486" w:type="dxa"/>
            <w:shd w:val="clear" w:color="auto" w:fill="B5C0D8"/>
          </w:tcPr>
          <w:p w:rsidR="00D849AA" w:rsidRPr="00CC4FF4" w:rsidRDefault="00EE6D95">
            <w:pPr>
              <w:pStyle w:val="CellHeader"/>
            </w:pPr>
            <w:r w:rsidRPr="00CC4FF4">
              <w:t>Indeks 2014/2013</w:t>
            </w:r>
          </w:p>
        </w:tc>
      </w:tr>
      <w:tr w:rsidR="00D849AA">
        <w:trPr>
          <w:jc w:val="center"/>
        </w:trPr>
        <w:tc>
          <w:tcPr>
            <w:tcW w:w="1486" w:type="dxa"/>
          </w:tcPr>
          <w:p w:rsidR="00D849AA" w:rsidRPr="00CC4FF4" w:rsidRDefault="00EE6D95">
            <w:pPr>
              <w:pStyle w:val="CellColumn"/>
            </w:pPr>
            <w:r w:rsidRPr="00CC4FF4">
              <w:t>2107</w:t>
            </w:r>
          </w:p>
        </w:tc>
        <w:tc>
          <w:tcPr>
            <w:tcW w:w="1486" w:type="dxa"/>
          </w:tcPr>
          <w:p w:rsidR="00D849AA" w:rsidRPr="00CC4FF4" w:rsidRDefault="00EE6D95">
            <w:pPr>
              <w:rPr>
                <w:rFonts w:ascii="Arial" w:hAnsi="Arial" w:cs="Arial"/>
              </w:rPr>
            </w:pPr>
            <w:r w:rsidRPr="00CC4FF4">
              <w:rPr>
                <w:rFonts w:ascii="Arial" w:hAnsi="Arial" w:cs="Arial"/>
              </w:rPr>
              <w:t>1.952.100</w:t>
            </w:r>
          </w:p>
        </w:tc>
        <w:tc>
          <w:tcPr>
            <w:tcW w:w="1486" w:type="dxa"/>
          </w:tcPr>
          <w:p w:rsidR="00D849AA" w:rsidRPr="00CC4FF4" w:rsidRDefault="00EE6D95">
            <w:pPr>
              <w:rPr>
                <w:rFonts w:ascii="Arial" w:hAnsi="Arial" w:cs="Arial"/>
              </w:rPr>
            </w:pPr>
            <w:r w:rsidRPr="00CC4FF4">
              <w:rPr>
                <w:rFonts w:ascii="Arial" w:hAnsi="Arial" w:cs="Arial"/>
              </w:rPr>
              <w:t>1.920.600</w:t>
            </w:r>
          </w:p>
        </w:tc>
        <w:tc>
          <w:tcPr>
            <w:tcW w:w="1486" w:type="dxa"/>
          </w:tcPr>
          <w:p w:rsidR="00D849AA" w:rsidRPr="00CC4FF4" w:rsidRDefault="00EE6D95">
            <w:pPr>
              <w:rPr>
                <w:rFonts w:ascii="Arial" w:hAnsi="Arial" w:cs="Arial"/>
              </w:rPr>
            </w:pPr>
            <w:r w:rsidRPr="00CC4FF4">
              <w:rPr>
                <w:rFonts w:ascii="Arial" w:hAnsi="Arial" w:cs="Arial"/>
              </w:rPr>
              <w:t>2.094.100</w:t>
            </w:r>
          </w:p>
        </w:tc>
        <w:tc>
          <w:tcPr>
            <w:tcW w:w="1486" w:type="dxa"/>
          </w:tcPr>
          <w:p w:rsidR="00D849AA" w:rsidRPr="00CC4FF4" w:rsidRDefault="00EE6D95">
            <w:pPr>
              <w:rPr>
                <w:rFonts w:ascii="Arial" w:hAnsi="Arial" w:cs="Arial"/>
              </w:rPr>
            </w:pPr>
            <w:r w:rsidRPr="00CC4FF4">
              <w:rPr>
                <w:rFonts w:ascii="Arial" w:hAnsi="Arial" w:cs="Arial"/>
              </w:rPr>
              <w:t>2.101.100</w:t>
            </w:r>
          </w:p>
        </w:tc>
        <w:tc>
          <w:tcPr>
            <w:tcW w:w="1486" w:type="dxa"/>
          </w:tcPr>
          <w:p w:rsidR="00D849AA" w:rsidRPr="00CC4FF4" w:rsidRDefault="00EE6D95">
            <w:pPr>
              <w:rPr>
                <w:rFonts w:ascii="Arial" w:hAnsi="Arial" w:cs="Arial"/>
              </w:rPr>
            </w:pPr>
            <w:r w:rsidRPr="00CC4FF4">
              <w:rPr>
                <w:rFonts w:ascii="Arial" w:hAnsi="Arial" w:cs="Arial"/>
              </w:rPr>
              <w:t>98,4</w:t>
            </w:r>
          </w:p>
        </w:tc>
      </w:tr>
    </w:tbl>
    <w:p w:rsidR="00D849AA" w:rsidRDefault="00EE6D95">
      <w:pPr>
        <w:pStyle w:val="Naslov6"/>
      </w:pPr>
      <w:r>
        <w:t>Opis programa</w:t>
      </w:r>
    </w:p>
    <w:p w:rsidR="00D849AA" w:rsidRDefault="00EE6D95">
      <w:pPr>
        <w:pStyle w:val="Normal5"/>
      </w:pPr>
      <w:r>
        <w:t xml:space="preserve">Pružanje podrške radu Vlade Republike Hrvatske Ured planira osigurati kontinuiranim obavljanjem unutarnje revizije sustava poslovanja te unutarnje revizije programa i projekata koje financira Europska unija. Kao neovisna djelatnost, unutarnja revizija procjenjivat će sustave unutarnjih kontrola koje su uspostavili revidirani subjekti, analizirati i ocjenjivati njihove poslovne funkcije i poslovne procese, dati objektivno stručno mišljenje o sustavima i procesima i savjete u svrhu poboljšanja poslovanja. Temeljem konačnih izvješća o obavljenim unutarnjim revizijama pratit će provedbu danih/prihvaćenih preporuka, pratiti i osigurati kvalitetu provođenja unutarnje revizije, izrađivati godišnja izvješća te mišljenja o sustavu </w:t>
      </w:r>
      <w:r>
        <w:lastRenderedPageBreak/>
        <w:t>financijskog upravljanja i kontrola koja su sastavni dio Izjave o fiskalnoj odgovornosti revidiranih subjekata. Svojim radom upozoravat će na nepravilnosti i  neusklađenosti sa zakonima i drugim propisima i na taj način pomagati revidiranim subjektima u pronalaženju mjera za unapređenje poslovanja s ciljem dodavanja vrijednosti i poboljšanja cjelokupnog poslovanja.</w:t>
      </w:r>
    </w:p>
    <w:p w:rsidR="00D849AA" w:rsidRDefault="00EE6D95">
      <w:pPr>
        <w:pStyle w:val="Naslov6"/>
      </w:pPr>
      <w:r>
        <w:t>Zakonske i druge pravne osnove</w:t>
      </w:r>
    </w:p>
    <w:p w:rsidR="00D849AA" w:rsidRDefault="00EE6D95">
      <w:pPr>
        <w:pStyle w:val="Normal5"/>
      </w:pPr>
      <w:r>
        <w:t xml:space="preserve">Zakon o sustavu unutarnjih financijskih kontrola u javnom sektoru („Narodne novine“ 141/2006) </w:t>
      </w:r>
    </w:p>
    <w:p w:rsidR="00D849AA" w:rsidRDefault="00EE6D95">
      <w:pPr>
        <w:pStyle w:val="Normal5"/>
      </w:pPr>
      <w:r>
        <w:t xml:space="preserve">Zakon o fiskalnoj odgovornosti („Narodne novine“ 139/2010) </w:t>
      </w:r>
    </w:p>
    <w:p w:rsidR="00D849AA" w:rsidRDefault="00EE6D95">
      <w:pPr>
        <w:pStyle w:val="Normal5"/>
      </w:pPr>
      <w:r>
        <w:t xml:space="preserve">Uredba o Uredu Vlade Republike Hrvatske za unutarnju reviziju („Narodne novine“ 39/2012) </w:t>
      </w:r>
    </w:p>
    <w:p w:rsidR="00D849AA" w:rsidRDefault="00EE6D95">
      <w:pPr>
        <w:pStyle w:val="Normal5"/>
      </w:pPr>
      <w:r>
        <w:t xml:space="preserve">Uredba o sastavljanju i predaji Izjave o fiskalnoj odgovornosti i izvještaja o primjeni fiskalnih pravila („Narodne novine“ 78/2011, 106/2012 i 130/2013) </w:t>
      </w:r>
    </w:p>
    <w:p w:rsidR="00D849AA" w:rsidRDefault="00EE6D95">
      <w:pPr>
        <w:pStyle w:val="Normal5"/>
      </w:pPr>
      <w:r>
        <w:t xml:space="preserve">Pravilnik o unutarnjoj reviziji korisnika proračuna („Narodne novine“96/2013)  </w:t>
      </w:r>
    </w:p>
    <w:p w:rsidR="00D849AA" w:rsidRDefault="00EE6D95">
      <w:pPr>
        <w:pStyle w:val="Normal5"/>
      </w:pPr>
      <w:r>
        <w:t>Pravilnik o provedbi financijskog upravljanja i kontrola u javnom sektoru („Narodne novine“ 130/2011)</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Cilj 1. Povećanje efikasnosti i ekonomičnosti poslovanja ureda i stručnih službi Vlade Republike Hrvatske</w:t>
      </w:r>
    </w:p>
    <w:p w:rsidR="00D849AA" w:rsidRDefault="00EE6D95">
      <w:pPr>
        <w:pStyle w:val="Normal6"/>
      </w:pPr>
      <w:r>
        <w:t xml:space="preserve">Postizanje navedenog cilja namjerava se osigurati obavljanjem poslova unutarnje revizije, analizom i utvrđivanjem ostvarivanja cjelovitih zadaća i funkcija ureda i stručnih službi i to na temelju procjena sustava unutarnjih kontrola. </w:t>
      </w:r>
    </w:p>
    <w:p w:rsidR="00D849AA" w:rsidRDefault="00EE6D95">
      <w:pPr>
        <w:pStyle w:val="Normal6"/>
      </w:pPr>
      <w:r>
        <w:t xml:space="preserve">Ured planira povećati broj obavljenih unutarnjih revizija za koja su izrađena konačna izvješća što namjerava postići što racionalnijim korištenjem vlastitih potencijala kao i osnaživanjem suradnje i komunikacije s revidiranim subjektima. Za uočene slabosti i nedostatke Ured će revidiranim subjektima dati preporuke za njihovo otklanjanje na temelju kojih će oni izraditi plan njihove provedbe koji uključuje rokove provedbe i osobe koje su odgovorne za provedbu. Praćenjem provedbe danih preporuka utvrdit će se jesu li one provedene ili ne, čime se utječe na ostvarenje cilja. </w:t>
      </w:r>
    </w:p>
    <w:p w:rsidR="00D849AA" w:rsidRDefault="00EE6D95">
      <w:pPr>
        <w:pStyle w:val="Normal6"/>
      </w:pPr>
      <w:r>
        <w:t>Na taj način Ured će pružiti podršku uredima i stručnim službama u ostvarenju ciljeva kroz primjenu sustavnog i disciplinarnog pristupa vrednovanju i poboljšanju djelotvornosti procesa upravljanja rizicima, kontrola i gospodarenja.</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CC4FF4" w:rsidRDefault="00EE6D95">
            <w:pPr>
              <w:rPr>
                <w:rFonts w:ascii="Arial" w:hAnsi="Arial" w:cs="Arial"/>
              </w:rPr>
            </w:pPr>
            <w:r w:rsidRPr="00CC4FF4">
              <w:rPr>
                <w:rFonts w:ascii="Arial" w:hAnsi="Arial" w:cs="Arial"/>
              </w:rPr>
              <w:t>Pokazatelj učinka</w:t>
            </w:r>
          </w:p>
        </w:tc>
        <w:tc>
          <w:tcPr>
            <w:tcW w:w="1114" w:type="dxa"/>
            <w:shd w:val="clear" w:color="auto" w:fill="B5C0D8"/>
          </w:tcPr>
          <w:p w:rsidR="00D849AA" w:rsidRPr="00CC4FF4" w:rsidRDefault="00EE6D95">
            <w:pPr>
              <w:pStyle w:val="CellHeader"/>
            </w:pPr>
            <w:r w:rsidRPr="00CC4FF4">
              <w:t>Jedinica</w:t>
            </w:r>
          </w:p>
        </w:tc>
        <w:tc>
          <w:tcPr>
            <w:tcW w:w="1114" w:type="dxa"/>
            <w:shd w:val="clear" w:color="auto" w:fill="B5C0D8"/>
          </w:tcPr>
          <w:p w:rsidR="00D849AA" w:rsidRPr="00CC4FF4" w:rsidRDefault="00EE6D95">
            <w:pPr>
              <w:pStyle w:val="CellHeader"/>
            </w:pPr>
            <w:r w:rsidRPr="00CC4FF4">
              <w:t>Polazna vrijednost</w:t>
            </w:r>
          </w:p>
        </w:tc>
        <w:tc>
          <w:tcPr>
            <w:tcW w:w="1486" w:type="dxa"/>
            <w:shd w:val="clear" w:color="auto" w:fill="B5C0D8"/>
          </w:tcPr>
          <w:p w:rsidR="00D849AA" w:rsidRPr="00CC4FF4" w:rsidRDefault="00EE6D95">
            <w:pPr>
              <w:pStyle w:val="CellHeader"/>
            </w:pPr>
            <w:r w:rsidRPr="00CC4FF4">
              <w:t>Ciljana vrijednost (2014.)</w:t>
            </w:r>
          </w:p>
        </w:tc>
        <w:tc>
          <w:tcPr>
            <w:tcW w:w="1486" w:type="dxa"/>
            <w:shd w:val="clear" w:color="auto" w:fill="B5C0D8"/>
          </w:tcPr>
          <w:p w:rsidR="00D849AA" w:rsidRPr="00CC4FF4" w:rsidRDefault="00EE6D95">
            <w:pPr>
              <w:pStyle w:val="CellHeader"/>
            </w:pPr>
            <w:r w:rsidRPr="00CC4FF4">
              <w:t>Ciljana vrijednost (2015.)</w:t>
            </w:r>
          </w:p>
        </w:tc>
        <w:tc>
          <w:tcPr>
            <w:tcW w:w="1486" w:type="dxa"/>
            <w:shd w:val="clear" w:color="auto" w:fill="B5C0D8"/>
          </w:tcPr>
          <w:p w:rsidR="00D849AA" w:rsidRPr="00CC4FF4" w:rsidRDefault="00EE6D95">
            <w:pPr>
              <w:pStyle w:val="CellHeader"/>
            </w:pPr>
            <w:r w:rsidRPr="00CC4FF4">
              <w:t>Ciljana vrijednost (2016.)</w:t>
            </w:r>
          </w:p>
        </w:tc>
      </w:tr>
      <w:tr w:rsidR="00D849AA">
        <w:trPr>
          <w:jc w:val="center"/>
        </w:trPr>
        <w:tc>
          <w:tcPr>
            <w:tcW w:w="2229" w:type="dxa"/>
          </w:tcPr>
          <w:p w:rsidR="00D849AA" w:rsidRPr="00CC4FF4" w:rsidRDefault="00EE6D95">
            <w:pPr>
              <w:pStyle w:val="CellColumn"/>
            </w:pPr>
            <w:r w:rsidRPr="00CC4FF4">
              <w:t>Postotak standardizacije uspostavljenih unutarnjih kontrola pisanim pravilima i načelima, postupcima i drugim mjerama u uredima i stručnim službama Vlade</w:t>
            </w:r>
          </w:p>
        </w:tc>
        <w:tc>
          <w:tcPr>
            <w:tcW w:w="1114" w:type="dxa"/>
          </w:tcPr>
          <w:p w:rsidR="00D849AA" w:rsidRPr="00CC4FF4" w:rsidRDefault="00EE6D95">
            <w:pPr>
              <w:rPr>
                <w:rFonts w:ascii="Arial" w:hAnsi="Arial" w:cs="Arial"/>
              </w:rPr>
            </w:pPr>
            <w:r w:rsidRPr="00CC4FF4">
              <w:rPr>
                <w:rFonts w:ascii="Arial" w:hAnsi="Arial" w:cs="Arial"/>
              </w:rPr>
              <w:t>%</w:t>
            </w:r>
          </w:p>
        </w:tc>
        <w:tc>
          <w:tcPr>
            <w:tcW w:w="1114" w:type="dxa"/>
          </w:tcPr>
          <w:p w:rsidR="00D849AA" w:rsidRPr="00CC4FF4" w:rsidRDefault="00EE6D95">
            <w:pPr>
              <w:rPr>
                <w:rFonts w:ascii="Arial" w:hAnsi="Arial" w:cs="Arial"/>
              </w:rPr>
            </w:pPr>
            <w:r w:rsidRPr="00CC4FF4">
              <w:rPr>
                <w:rFonts w:ascii="Arial" w:hAnsi="Arial" w:cs="Arial"/>
              </w:rPr>
              <w:t>16</w:t>
            </w:r>
          </w:p>
        </w:tc>
        <w:tc>
          <w:tcPr>
            <w:tcW w:w="1486" w:type="dxa"/>
          </w:tcPr>
          <w:p w:rsidR="00D849AA" w:rsidRPr="00CC4FF4" w:rsidRDefault="00EE6D95">
            <w:pPr>
              <w:rPr>
                <w:rFonts w:ascii="Arial" w:hAnsi="Arial" w:cs="Arial"/>
              </w:rPr>
            </w:pPr>
            <w:r w:rsidRPr="00CC4FF4">
              <w:rPr>
                <w:rFonts w:ascii="Arial" w:hAnsi="Arial" w:cs="Arial"/>
              </w:rPr>
              <w:t>18</w:t>
            </w:r>
          </w:p>
        </w:tc>
        <w:tc>
          <w:tcPr>
            <w:tcW w:w="1486" w:type="dxa"/>
          </w:tcPr>
          <w:p w:rsidR="00D849AA" w:rsidRPr="00CC4FF4" w:rsidRDefault="00EE6D95">
            <w:pPr>
              <w:rPr>
                <w:rFonts w:ascii="Arial" w:hAnsi="Arial" w:cs="Arial"/>
              </w:rPr>
            </w:pPr>
            <w:r w:rsidRPr="00CC4FF4">
              <w:rPr>
                <w:rFonts w:ascii="Arial" w:hAnsi="Arial" w:cs="Arial"/>
              </w:rPr>
              <w:t>20</w:t>
            </w:r>
          </w:p>
        </w:tc>
        <w:tc>
          <w:tcPr>
            <w:tcW w:w="1486" w:type="dxa"/>
          </w:tcPr>
          <w:p w:rsidR="00D849AA" w:rsidRPr="00CC4FF4" w:rsidRDefault="00EE6D95">
            <w:pPr>
              <w:rPr>
                <w:rFonts w:ascii="Arial" w:hAnsi="Arial" w:cs="Arial"/>
              </w:rPr>
            </w:pPr>
            <w:r w:rsidRPr="00CC4FF4">
              <w:rPr>
                <w:rFonts w:ascii="Arial" w:hAnsi="Arial" w:cs="Arial"/>
              </w:rPr>
              <w:t>22</w:t>
            </w:r>
          </w:p>
        </w:tc>
      </w:tr>
    </w:tbl>
    <w:p w:rsidR="00D849AA" w:rsidRDefault="00EE6D95">
      <w:pPr>
        <w:pStyle w:val="Naslov5"/>
      </w:pPr>
      <w:r>
        <w:lastRenderedPageBreak/>
        <w:t>Procjena i ishodište potrebnih sredstava za značajnije aktivnosti/projekte</w:t>
      </w:r>
    </w:p>
    <w:p w:rsidR="00D849AA" w:rsidRDefault="00EE6D95">
      <w:pPr>
        <w:pStyle w:val="Naslov6"/>
      </w:pPr>
      <w:r>
        <w:t>A687000 ADMINISTRACIJA I UPRAVLJANJE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CC4FF4" w:rsidRDefault="00EE6D95">
            <w:pPr>
              <w:pStyle w:val="CellHeader"/>
            </w:pPr>
            <w:r w:rsidRPr="00CC4FF4">
              <w:t>Naziv aktivnosti</w:t>
            </w:r>
          </w:p>
        </w:tc>
        <w:tc>
          <w:tcPr>
            <w:tcW w:w="1486" w:type="dxa"/>
            <w:shd w:val="clear" w:color="auto" w:fill="B5C0D8"/>
          </w:tcPr>
          <w:p w:rsidR="00D849AA" w:rsidRPr="00CC4FF4" w:rsidRDefault="00EE6D95">
            <w:pPr>
              <w:pStyle w:val="CellHeader"/>
            </w:pPr>
            <w:r w:rsidRPr="00CC4FF4">
              <w:t>Plan 2013.</w:t>
            </w:r>
          </w:p>
        </w:tc>
        <w:tc>
          <w:tcPr>
            <w:tcW w:w="1486" w:type="dxa"/>
            <w:shd w:val="clear" w:color="auto" w:fill="B5C0D8"/>
          </w:tcPr>
          <w:p w:rsidR="00D849AA" w:rsidRPr="00CC4FF4" w:rsidRDefault="00EE6D95">
            <w:pPr>
              <w:pStyle w:val="CellHeader"/>
            </w:pPr>
            <w:r w:rsidRPr="00CC4FF4">
              <w:t>Plan 2014.</w:t>
            </w:r>
          </w:p>
        </w:tc>
        <w:tc>
          <w:tcPr>
            <w:tcW w:w="1486" w:type="dxa"/>
            <w:shd w:val="clear" w:color="auto" w:fill="B5C0D8"/>
          </w:tcPr>
          <w:p w:rsidR="00D849AA" w:rsidRPr="00CC4FF4" w:rsidRDefault="00EE6D95">
            <w:pPr>
              <w:pStyle w:val="CellHeader"/>
            </w:pPr>
            <w:r w:rsidRPr="00CC4FF4">
              <w:t>Plan 2015.</w:t>
            </w:r>
          </w:p>
        </w:tc>
        <w:tc>
          <w:tcPr>
            <w:tcW w:w="1486" w:type="dxa"/>
            <w:shd w:val="clear" w:color="auto" w:fill="B5C0D8"/>
          </w:tcPr>
          <w:p w:rsidR="00D849AA" w:rsidRPr="00CC4FF4" w:rsidRDefault="00EE6D95">
            <w:pPr>
              <w:pStyle w:val="CellHeader"/>
            </w:pPr>
            <w:r w:rsidRPr="00CC4FF4">
              <w:t>Plan 2016.</w:t>
            </w:r>
          </w:p>
        </w:tc>
        <w:tc>
          <w:tcPr>
            <w:tcW w:w="1486" w:type="dxa"/>
            <w:shd w:val="clear" w:color="auto" w:fill="B5C0D8"/>
          </w:tcPr>
          <w:p w:rsidR="00D849AA" w:rsidRPr="00CC4FF4" w:rsidRDefault="00EE6D95">
            <w:pPr>
              <w:pStyle w:val="CellHeader"/>
            </w:pPr>
            <w:r w:rsidRPr="00CC4FF4">
              <w:t>Indeks 2014/2013</w:t>
            </w:r>
          </w:p>
        </w:tc>
      </w:tr>
      <w:tr w:rsidR="00D849AA">
        <w:trPr>
          <w:jc w:val="center"/>
        </w:trPr>
        <w:tc>
          <w:tcPr>
            <w:tcW w:w="1486" w:type="dxa"/>
          </w:tcPr>
          <w:p w:rsidR="00D849AA" w:rsidRPr="00CC4FF4" w:rsidRDefault="00EE6D95">
            <w:pPr>
              <w:pStyle w:val="CellColumn"/>
            </w:pPr>
            <w:r w:rsidRPr="00CC4FF4">
              <w:t>A687000</w:t>
            </w:r>
          </w:p>
        </w:tc>
        <w:tc>
          <w:tcPr>
            <w:tcW w:w="1486" w:type="dxa"/>
          </w:tcPr>
          <w:p w:rsidR="00D849AA" w:rsidRPr="00CC4FF4" w:rsidRDefault="00EE6D95">
            <w:pPr>
              <w:rPr>
                <w:rFonts w:ascii="Arial" w:hAnsi="Arial" w:cs="Arial"/>
              </w:rPr>
            </w:pPr>
            <w:r w:rsidRPr="00CC4FF4">
              <w:rPr>
                <w:rFonts w:ascii="Arial" w:hAnsi="Arial" w:cs="Arial"/>
              </w:rPr>
              <w:t>1.930.600</w:t>
            </w:r>
          </w:p>
        </w:tc>
        <w:tc>
          <w:tcPr>
            <w:tcW w:w="1486" w:type="dxa"/>
          </w:tcPr>
          <w:p w:rsidR="00D849AA" w:rsidRPr="00CC4FF4" w:rsidRDefault="00EE6D95">
            <w:pPr>
              <w:rPr>
                <w:rFonts w:ascii="Arial" w:hAnsi="Arial" w:cs="Arial"/>
              </w:rPr>
            </w:pPr>
            <w:r w:rsidRPr="00CC4FF4">
              <w:rPr>
                <w:rFonts w:ascii="Arial" w:hAnsi="Arial" w:cs="Arial"/>
              </w:rPr>
              <w:t>1.880.600</w:t>
            </w:r>
          </w:p>
        </w:tc>
        <w:tc>
          <w:tcPr>
            <w:tcW w:w="1486" w:type="dxa"/>
          </w:tcPr>
          <w:p w:rsidR="00D849AA" w:rsidRPr="00CC4FF4" w:rsidRDefault="00EE6D95">
            <w:pPr>
              <w:rPr>
                <w:rFonts w:ascii="Arial" w:hAnsi="Arial" w:cs="Arial"/>
              </w:rPr>
            </w:pPr>
            <w:r w:rsidRPr="00CC4FF4">
              <w:rPr>
                <w:rFonts w:ascii="Arial" w:hAnsi="Arial" w:cs="Arial"/>
              </w:rPr>
              <w:t>2.054.100</w:t>
            </w:r>
          </w:p>
        </w:tc>
        <w:tc>
          <w:tcPr>
            <w:tcW w:w="1486" w:type="dxa"/>
          </w:tcPr>
          <w:p w:rsidR="00D849AA" w:rsidRPr="00CC4FF4" w:rsidRDefault="00EE6D95">
            <w:pPr>
              <w:rPr>
                <w:rFonts w:ascii="Arial" w:hAnsi="Arial" w:cs="Arial"/>
              </w:rPr>
            </w:pPr>
            <w:r w:rsidRPr="00CC4FF4">
              <w:rPr>
                <w:rFonts w:ascii="Arial" w:hAnsi="Arial" w:cs="Arial"/>
              </w:rPr>
              <w:t>2.061.100</w:t>
            </w:r>
          </w:p>
        </w:tc>
        <w:tc>
          <w:tcPr>
            <w:tcW w:w="1486" w:type="dxa"/>
          </w:tcPr>
          <w:p w:rsidR="00D849AA" w:rsidRPr="00CC4FF4" w:rsidRDefault="00EE6D95">
            <w:pPr>
              <w:rPr>
                <w:rFonts w:ascii="Arial" w:hAnsi="Arial" w:cs="Arial"/>
              </w:rPr>
            </w:pPr>
            <w:r w:rsidRPr="00CC4FF4">
              <w:rPr>
                <w:rFonts w:ascii="Arial" w:hAnsi="Arial" w:cs="Arial"/>
              </w:rPr>
              <w:t>97,4</w:t>
            </w:r>
          </w:p>
        </w:tc>
      </w:tr>
    </w:tbl>
    <w:p w:rsidR="00D849AA" w:rsidRDefault="00D849AA">
      <w:pPr>
        <w:jc w:val="left"/>
      </w:pPr>
    </w:p>
    <w:p w:rsidR="00D849AA" w:rsidRDefault="00EE6D95">
      <w:pPr>
        <w:pStyle w:val="Normal6"/>
      </w:pPr>
      <w:r>
        <w:t>Aktivnost Administracija i upravljanje odnosi se na jedinu djelatnost koju ovaj Ured, kao zajednička jedinica za unutarnju reviziju Vlade može obavljati, a to su poslovi unutarnje revizije prvenstveno ureda i stručnih službi Vlade.</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CC4FF4" w:rsidRDefault="00EE6D95">
            <w:pPr>
              <w:rPr>
                <w:rFonts w:ascii="Arial" w:hAnsi="Arial" w:cs="Arial"/>
              </w:rPr>
            </w:pPr>
            <w:r w:rsidRPr="00CC4FF4">
              <w:rPr>
                <w:rFonts w:ascii="Arial" w:hAnsi="Arial" w:cs="Arial"/>
              </w:rPr>
              <w:t>Pokazatelj rezultata</w:t>
            </w:r>
          </w:p>
        </w:tc>
        <w:tc>
          <w:tcPr>
            <w:tcW w:w="1114" w:type="dxa"/>
            <w:shd w:val="clear" w:color="auto" w:fill="B5C0D8"/>
          </w:tcPr>
          <w:p w:rsidR="00D849AA" w:rsidRPr="00CC4FF4" w:rsidRDefault="00EE6D95">
            <w:pPr>
              <w:pStyle w:val="CellHeader"/>
            </w:pPr>
            <w:r w:rsidRPr="00CC4FF4">
              <w:t>Jedinica</w:t>
            </w:r>
          </w:p>
        </w:tc>
        <w:tc>
          <w:tcPr>
            <w:tcW w:w="1114" w:type="dxa"/>
            <w:shd w:val="clear" w:color="auto" w:fill="B5C0D8"/>
          </w:tcPr>
          <w:p w:rsidR="00D849AA" w:rsidRPr="00CC4FF4" w:rsidRDefault="00EE6D95">
            <w:pPr>
              <w:pStyle w:val="CellHeader"/>
            </w:pPr>
            <w:r w:rsidRPr="00CC4FF4">
              <w:t>Polazna vrijednost</w:t>
            </w:r>
          </w:p>
        </w:tc>
        <w:tc>
          <w:tcPr>
            <w:tcW w:w="1486" w:type="dxa"/>
            <w:shd w:val="clear" w:color="auto" w:fill="B5C0D8"/>
          </w:tcPr>
          <w:p w:rsidR="00D849AA" w:rsidRPr="00CC4FF4" w:rsidRDefault="00EE6D95">
            <w:pPr>
              <w:pStyle w:val="CellHeader"/>
            </w:pPr>
            <w:r w:rsidRPr="00CC4FF4">
              <w:t>Ciljana vrijednost (2014.)</w:t>
            </w:r>
          </w:p>
        </w:tc>
        <w:tc>
          <w:tcPr>
            <w:tcW w:w="1486" w:type="dxa"/>
            <w:shd w:val="clear" w:color="auto" w:fill="B5C0D8"/>
          </w:tcPr>
          <w:p w:rsidR="00D849AA" w:rsidRPr="00CC4FF4" w:rsidRDefault="00EE6D95">
            <w:pPr>
              <w:pStyle w:val="CellHeader"/>
            </w:pPr>
            <w:r w:rsidRPr="00CC4FF4">
              <w:t>Ciljana vrijednost (2015.)</w:t>
            </w:r>
          </w:p>
        </w:tc>
        <w:tc>
          <w:tcPr>
            <w:tcW w:w="1486" w:type="dxa"/>
            <w:shd w:val="clear" w:color="auto" w:fill="B5C0D8"/>
          </w:tcPr>
          <w:p w:rsidR="00D849AA" w:rsidRPr="00CC4FF4" w:rsidRDefault="00EE6D95">
            <w:pPr>
              <w:pStyle w:val="CellHeader"/>
            </w:pPr>
            <w:r w:rsidRPr="00CC4FF4">
              <w:t>Ciljana vrijednost (2016.)</w:t>
            </w:r>
          </w:p>
        </w:tc>
      </w:tr>
      <w:tr w:rsidR="00D849AA">
        <w:trPr>
          <w:jc w:val="center"/>
        </w:trPr>
        <w:tc>
          <w:tcPr>
            <w:tcW w:w="2229" w:type="dxa"/>
          </w:tcPr>
          <w:p w:rsidR="00D849AA" w:rsidRPr="00CC4FF4" w:rsidRDefault="00EE6D95">
            <w:pPr>
              <w:pStyle w:val="CellColumn"/>
            </w:pPr>
            <w:r w:rsidRPr="00CC4FF4">
              <w:t>Postotak broja obavljenih unutarnjih revizija za koja su izrađena konačna izvješća u odnosu na broj unutarnjih revizija planiranih godišnjim planom</w:t>
            </w:r>
          </w:p>
        </w:tc>
        <w:tc>
          <w:tcPr>
            <w:tcW w:w="1114" w:type="dxa"/>
          </w:tcPr>
          <w:p w:rsidR="00D849AA" w:rsidRPr="00CC4FF4" w:rsidRDefault="00EE6D95">
            <w:pPr>
              <w:rPr>
                <w:rFonts w:ascii="Arial" w:hAnsi="Arial" w:cs="Arial"/>
              </w:rPr>
            </w:pPr>
            <w:r w:rsidRPr="00CC4FF4">
              <w:rPr>
                <w:rFonts w:ascii="Arial" w:hAnsi="Arial" w:cs="Arial"/>
              </w:rPr>
              <w:t>%</w:t>
            </w:r>
          </w:p>
        </w:tc>
        <w:tc>
          <w:tcPr>
            <w:tcW w:w="1114" w:type="dxa"/>
          </w:tcPr>
          <w:p w:rsidR="00D849AA" w:rsidRPr="00CC4FF4" w:rsidRDefault="00EE6D95">
            <w:pPr>
              <w:rPr>
                <w:rFonts w:ascii="Arial" w:hAnsi="Arial" w:cs="Arial"/>
              </w:rPr>
            </w:pPr>
            <w:r w:rsidRPr="00CC4FF4">
              <w:rPr>
                <w:rFonts w:ascii="Arial" w:hAnsi="Arial" w:cs="Arial"/>
              </w:rPr>
              <w:t>88</w:t>
            </w:r>
          </w:p>
        </w:tc>
        <w:tc>
          <w:tcPr>
            <w:tcW w:w="1486" w:type="dxa"/>
          </w:tcPr>
          <w:p w:rsidR="00D849AA" w:rsidRPr="00CC4FF4" w:rsidRDefault="00EE6D95">
            <w:pPr>
              <w:rPr>
                <w:rFonts w:ascii="Arial" w:hAnsi="Arial" w:cs="Arial"/>
              </w:rPr>
            </w:pPr>
            <w:r w:rsidRPr="00CC4FF4">
              <w:rPr>
                <w:rFonts w:ascii="Arial" w:hAnsi="Arial" w:cs="Arial"/>
              </w:rPr>
              <w:t>89</w:t>
            </w:r>
          </w:p>
        </w:tc>
        <w:tc>
          <w:tcPr>
            <w:tcW w:w="1486" w:type="dxa"/>
          </w:tcPr>
          <w:p w:rsidR="00D849AA" w:rsidRPr="00CC4FF4" w:rsidRDefault="00EE6D95">
            <w:pPr>
              <w:rPr>
                <w:rFonts w:ascii="Arial" w:hAnsi="Arial" w:cs="Arial"/>
              </w:rPr>
            </w:pPr>
            <w:r w:rsidRPr="00CC4FF4">
              <w:rPr>
                <w:rFonts w:ascii="Arial" w:hAnsi="Arial" w:cs="Arial"/>
              </w:rPr>
              <w:t>90</w:t>
            </w:r>
          </w:p>
        </w:tc>
        <w:tc>
          <w:tcPr>
            <w:tcW w:w="1486" w:type="dxa"/>
          </w:tcPr>
          <w:p w:rsidR="00D849AA" w:rsidRPr="00CC4FF4" w:rsidRDefault="00EE6D95">
            <w:pPr>
              <w:rPr>
                <w:rFonts w:ascii="Arial" w:hAnsi="Arial" w:cs="Arial"/>
              </w:rPr>
            </w:pPr>
            <w:r w:rsidRPr="00CC4FF4">
              <w:rPr>
                <w:rFonts w:ascii="Arial" w:hAnsi="Arial" w:cs="Arial"/>
              </w:rPr>
              <w:t>91</w:t>
            </w:r>
          </w:p>
        </w:tc>
      </w:tr>
      <w:tr w:rsidR="00D849AA">
        <w:trPr>
          <w:jc w:val="center"/>
        </w:trPr>
        <w:tc>
          <w:tcPr>
            <w:tcW w:w="2229" w:type="dxa"/>
          </w:tcPr>
          <w:p w:rsidR="00D849AA" w:rsidRPr="00CC4FF4" w:rsidRDefault="00EE6D95">
            <w:pPr>
              <w:pStyle w:val="CellColumn"/>
            </w:pPr>
            <w:r w:rsidRPr="00CC4FF4">
              <w:t>Postotak broja preporuka danih u revizorskim izvješćima (preporuke čija se provedba planira u tekućoj godini) u odnosu na broj provedenih preporuka</w:t>
            </w:r>
          </w:p>
        </w:tc>
        <w:tc>
          <w:tcPr>
            <w:tcW w:w="1114" w:type="dxa"/>
          </w:tcPr>
          <w:p w:rsidR="00D849AA" w:rsidRPr="00CC4FF4" w:rsidRDefault="00EE6D95">
            <w:pPr>
              <w:rPr>
                <w:rFonts w:ascii="Arial" w:hAnsi="Arial" w:cs="Arial"/>
              </w:rPr>
            </w:pPr>
            <w:r w:rsidRPr="00CC4FF4">
              <w:rPr>
                <w:rFonts w:ascii="Arial" w:hAnsi="Arial" w:cs="Arial"/>
              </w:rPr>
              <w:t>%</w:t>
            </w:r>
          </w:p>
        </w:tc>
        <w:tc>
          <w:tcPr>
            <w:tcW w:w="1114" w:type="dxa"/>
          </w:tcPr>
          <w:p w:rsidR="00D849AA" w:rsidRPr="00CC4FF4" w:rsidRDefault="00EE6D95">
            <w:pPr>
              <w:rPr>
                <w:rFonts w:ascii="Arial" w:hAnsi="Arial" w:cs="Arial"/>
              </w:rPr>
            </w:pPr>
            <w:r w:rsidRPr="00CC4FF4">
              <w:rPr>
                <w:rFonts w:ascii="Arial" w:hAnsi="Arial" w:cs="Arial"/>
              </w:rPr>
              <w:t>45</w:t>
            </w:r>
          </w:p>
        </w:tc>
        <w:tc>
          <w:tcPr>
            <w:tcW w:w="1486" w:type="dxa"/>
          </w:tcPr>
          <w:p w:rsidR="00D849AA" w:rsidRPr="00CC4FF4" w:rsidRDefault="00EE6D95">
            <w:pPr>
              <w:rPr>
                <w:rFonts w:ascii="Arial" w:hAnsi="Arial" w:cs="Arial"/>
              </w:rPr>
            </w:pPr>
            <w:r w:rsidRPr="00CC4FF4">
              <w:rPr>
                <w:rFonts w:ascii="Arial" w:hAnsi="Arial" w:cs="Arial"/>
              </w:rPr>
              <w:t>50</w:t>
            </w:r>
          </w:p>
        </w:tc>
        <w:tc>
          <w:tcPr>
            <w:tcW w:w="1486" w:type="dxa"/>
          </w:tcPr>
          <w:p w:rsidR="00D849AA" w:rsidRPr="00CC4FF4" w:rsidRDefault="00EE6D95">
            <w:pPr>
              <w:rPr>
                <w:rFonts w:ascii="Arial" w:hAnsi="Arial" w:cs="Arial"/>
              </w:rPr>
            </w:pPr>
            <w:r w:rsidRPr="00CC4FF4">
              <w:rPr>
                <w:rFonts w:ascii="Arial" w:hAnsi="Arial" w:cs="Arial"/>
              </w:rPr>
              <w:t>55</w:t>
            </w:r>
          </w:p>
        </w:tc>
        <w:tc>
          <w:tcPr>
            <w:tcW w:w="1486" w:type="dxa"/>
          </w:tcPr>
          <w:p w:rsidR="00D849AA" w:rsidRPr="00CC4FF4" w:rsidRDefault="00EE6D95">
            <w:pPr>
              <w:rPr>
                <w:rFonts w:ascii="Arial" w:hAnsi="Arial" w:cs="Arial"/>
              </w:rPr>
            </w:pPr>
            <w:r w:rsidRPr="00CC4FF4">
              <w:rPr>
                <w:rFonts w:ascii="Arial" w:hAnsi="Arial" w:cs="Arial"/>
              </w:rPr>
              <w:t>60</w:t>
            </w:r>
          </w:p>
        </w:tc>
      </w:tr>
    </w:tbl>
    <w:p w:rsidR="00D849AA" w:rsidRDefault="00D849AA">
      <w:pPr>
        <w:jc w:val="left"/>
      </w:pPr>
    </w:p>
    <w:p w:rsidR="00D849AA" w:rsidRDefault="00EE6D95">
      <w:pPr>
        <w:pStyle w:val="Naslov2"/>
      </w:pPr>
      <w:r>
        <w:t>02046 Direkcija za korištenje službenih zrakoplova</w:t>
      </w:r>
    </w:p>
    <w:p w:rsidR="00D849AA" w:rsidRDefault="00EE6D95">
      <w:pPr>
        <w:pStyle w:val="Naslov4"/>
      </w:pPr>
      <w:r>
        <w:t>Uvod</w:t>
      </w:r>
    </w:p>
    <w:p w:rsidR="00D849AA" w:rsidRDefault="00EE6D95">
      <w:pPr>
        <w:pStyle w:val="Normal3"/>
      </w:pPr>
      <w:r>
        <w:t>Direkcija za korištenje službenih zrakoplova (u daljnjem tekstu Direkcija) je stručna služba Vlade Republike Hrvatske za obavljanje zračnog prijevoza za potrebe tijela državne vlasti Republike Hrvatske.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CC4FF4" w:rsidRDefault="00D849AA">
            <w:pPr>
              <w:pStyle w:val="CellHeader"/>
            </w:pPr>
          </w:p>
        </w:tc>
        <w:tc>
          <w:tcPr>
            <w:tcW w:w="1486" w:type="dxa"/>
            <w:shd w:val="clear" w:color="auto" w:fill="B5C0D8"/>
          </w:tcPr>
          <w:p w:rsidR="00D849AA" w:rsidRPr="00CC4FF4" w:rsidRDefault="00EE6D95">
            <w:pPr>
              <w:pStyle w:val="CellHeader"/>
            </w:pPr>
            <w:r w:rsidRPr="00CC4FF4">
              <w:t>Plan 2013.</w:t>
            </w:r>
          </w:p>
        </w:tc>
        <w:tc>
          <w:tcPr>
            <w:tcW w:w="1486" w:type="dxa"/>
            <w:shd w:val="clear" w:color="auto" w:fill="B5C0D8"/>
          </w:tcPr>
          <w:p w:rsidR="00D849AA" w:rsidRPr="00CC4FF4" w:rsidRDefault="00EE6D95">
            <w:pPr>
              <w:pStyle w:val="CellHeader"/>
            </w:pPr>
            <w:r w:rsidRPr="00CC4FF4">
              <w:t>Plan 2014.</w:t>
            </w:r>
          </w:p>
        </w:tc>
        <w:tc>
          <w:tcPr>
            <w:tcW w:w="1486" w:type="dxa"/>
            <w:shd w:val="clear" w:color="auto" w:fill="B5C0D8"/>
          </w:tcPr>
          <w:p w:rsidR="00D849AA" w:rsidRPr="00CC4FF4" w:rsidRDefault="00EE6D95">
            <w:pPr>
              <w:pStyle w:val="CellHeader"/>
            </w:pPr>
            <w:r w:rsidRPr="00CC4FF4">
              <w:t>Plan 2015.</w:t>
            </w:r>
          </w:p>
        </w:tc>
        <w:tc>
          <w:tcPr>
            <w:tcW w:w="1486" w:type="dxa"/>
            <w:shd w:val="clear" w:color="auto" w:fill="B5C0D8"/>
          </w:tcPr>
          <w:p w:rsidR="00D849AA" w:rsidRPr="00CC4FF4" w:rsidRDefault="00EE6D95">
            <w:pPr>
              <w:pStyle w:val="CellHeader"/>
            </w:pPr>
            <w:r w:rsidRPr="00CC4FF4">
              <w:t>Plan 2016.</w:t>
            </w:r>
          </w:p>
        </w:tc>
        <w:tc>
          <w:tcPr>
            <w:tcW w:w="1486" w:type="dxa"/>
            <w:shd w:val="clear" w:color="auto" w:fill="B5C0D8"/>
          </w:tcPr>
          <w:p w:rsidR="00D849AA" w:rsidRPr="00CC4FF4" w:rsidRDefault="00EE6D95">
            <w:pPr>
              <w:pStyle w:val="CellHeader"/>
            </w:pPr>
            <w:r w:rsidRPr="00CC4FF4">
              <w:t>Indeks 2014/2013</w:t>
            </w:r>
          </w:p>
        </w:tc>
      </w:tr>
      <w:tr w:rsidR="00D849AA">
        <w:trPr>
          <w:jc w:val="center"/>
        </w:trPr>
        <w:tc>
          <w:tcPr>
            <w:tcW w:w="1486" w:type="dxa"/>
          </w:tcPr>
          <w:p w:rsidR="00D849AA" w:rsidRPr="00CC4FF4" w:rsidRDefault="00EE6D95">
            <w:pPr>
              <w:pStyle w:val="CellColumn"/>
            </w:pPr>
            <w:r w:rsidRPr="00CC4FF4">
              <w:t>02046</w:t>
            </w:r>
          </w:p>
        </w:tc>
        <w:tc>
          <w:tcPr>
            <w:tcW w:w="1486" w:type="dxa"/>
          </w:tcPr>
          <w:p w:rsidR="00D849AA" w:rsidRPr="00CC4FF4" w:rsidRDefault="00EE6D95">
            <w:pPr>
              <w:rPr>
                <w:rFonts w:ascii="Arial" w:hAnsi="Arial" w:cs="Arial"/>
              </w:rPr>
            </w:pPr>
            <w:r w:rsidRPr="00CC4FF4">
              <w:rPr>
                <w:rFonts w:ascii="Arial" w:hAnsi="Arial" w:cs="Arial"/>
              </w:rPr>
              <w:t>6.554.000</w:t>
            </w:r>
          </w:p>
        </w:tc>
        <w:tc>
          <w:tcPr>
            <w:tcW w:w="1486" w:type="dxa"/>
          </w:tcPr>
          <w:p w:rsidR="00D849AA" w:rsidRPr="00CC4FF4" w:rsidRDefault="00EE6D95">
            <w:pPr>
              <w:rPr>
                <w:rFonts w:ascii="Arial" w:hAnsi="Arial" w:cs="Arial"/>
              </w:rPr>
            </w:pPr>
            <w:r w:rsidRPr="00CC4FF4">
              <w:rPr>
                <w:rFonts w:ascii="Arial" w:hAnsi="Arial" w:cs="Arial"/>
              </w:rPr>
              <w:t>11.883.000</w:t>
            </w:r>
          </w:p>
        </w:tc>
        <w:tc>
          <w:tcPr>
            <w:tcW w:w="1486" w:type="dxa"/>
          </w:tcPr>
          <w:p w:rsidR="00D849AA" w:rsidRPr="00CC4FF4" w:rsidRDefault="00EE6D95">
            <w:pPr>
              <w:rPr>
                <w:rFonts w:ascii="Arial" w:hAnsi="Arial" w:cs="Arial"/>
              </w:rPr>
            </w:pPr>
            <w:r w:rsidRPr="00CC4FF4">
              <w:rPr>
                <w:rFonts w:ascii="Arial" w:hAnsi="Arial" w:cs="Arial"/>
              </w:rPr>
              <w:t>13.785.000</w:t>
            </w:r>
          </w:p>
        </w:tc>
        <w:tc>
          <w:tcPr>
            <w:tcW w:w="1486" w:type="dxa"/>
          </w:tcPr>
          <w:p w:rsidR="00D849AA" w:rsidRPr="00CC4FF4" w:rsidRDefault="00EE6D95">
            <w:pPr>
              <w:rPr>
                <w:rFonts w:ascii="Arial" w:hAnsi="Arial" w:cs="Arial"/>
              </w:rPr>
            </w:pPr>
            <w:r w:rsidRPr="00CC4FF4">
              <w:rPr>
                <w:rFonts w:ascii="Arial" w:hAnsi="Arial" w:cs="Arial"/>
              </w:rPr>
              <w:t>13.811.500</w:t>
            </w:r>
          </w:p>
        </w:tc>
        <w:tc>
          <w:tcPr>
            <w:tcW w:w="1486" w:type="dxa"/>
          </w:tcPr>
          <w:p w:rsidR="00D849AA" w:rsidRPr="00CC4FF4" w:rsidRDefault="00EE6D95">
            <w:pPr>
              <w:rPr>
                <w:rFonts w:ascii="Arial" w:hAnsi="Arial" w:cs="Arial"/>
              </w:rPr>
            </w:pPr>
            <w:r w:rsidRPr="00CC4FF4">
              <w:rPr>
                <w:rFonts w:ascii="Arial" w:hAnsi="Arial" w:cs="Arial"/>
              </w:rPr>
              <w:t>181,3</w:t>
            </w:r>
          </w:p>
        </w:tc>
      </w:tr>
    </w:tbl>
    <w:p w:rsidR="00D849AA" w:rsidRDefault="00D849AA">
      <w:pPr>
        <w:jc w:val="left"/>
      </w:pPr>
    </w:p>
    <w:p w:rsidR="00D849AA" w:rsidRDefault="00EE6D95">
      <w:pPr>
        <w:pStyle w:val="Naslov4"/>
      </w:pPr>
      <w:r>
        <w:lastRenderedPageBreak/>
        <w:t>OBRAZLOŽENJE PROGRAMA</w:t>
      </w:r>
    </w:p>
    <w:p w:rsidR="00D849AA" w:rsidRDefault="00EE6D95">
      <w:pPr>
        <w:pStyle w:val="Naslov5"/>
      </w:pPr>
      <w:r>
        <w:t>2406 ZRAČNI PRIJEVOZ ZA TIJELA DRŽAVNE VLASTI</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rsidRPr="00CC4FF4">
        <w:trPr>
          <w:jc w:val="center"/>
        </w:trPr>
        <w:tc>
          <w:tcPr>
            <w:tcW w:w="1486" w:type="dxa"/>
            <w:shd w:val="clear" w:color="auto" w:fill="B5C0D8"/>
          </w:tcPr>
          <w:p w:rsidR="00D849AA" w:rsidRPr="00CC4FF4" w:rsidRDefault="00D849AA">
            <w:pPr>
              <w:pStyle w:val="CellHeader"/>
            </w:pPr>
          </w:p>
        </w:tc>
        <w:tc>
          <w:tcPr>
            <w:tcW w:w="1486" w:type="dxa"/>
            <w:shd w:val="clear" w:color="auto" w:fill="B5C0D8"/>
          </w:tcPr>
          <w:p w:rsidR="00D849AA" w:rsidRPr="00CC4FF4" w:rsidRDefault="00EE6D95">
            <w:pPr>
              <w:pStyle w:val="CellHeader"/>
            </w:pPr>
            <w:r w:rsidRPr="00CC4FF4">
              <w:t>Plan 2013.</w:t>
            </w:r>
          </w:p>
        </w:tc>
        <w:tc>
          <w:tcPr>
            <w:tcW w:w="1486" w:type="dxa"/>
            <w:shd w:val="clear" w:color="auto" w:fill="B5C0D8"/>
          </w:tcPr>
          <w:p w:rsidR="00D849AA" w:rsidRPr="00CC4FF4" w:rsidRDefault="00EE6D95">
            <w:pPr>
              <w:pStyle w:val="CellHeader"/>
            </w:pPr>
            <w:r w:rsidRPr="00CC4FF4">
              <w:t>Plan 2014.</w:t>
            </w:r>
          </w:p>
        </w:tc>
        <w:tc>
          <w:tcPr>
            <w:tcW w:w="1486" w:type="dxa"/>
            <w:shd w:val="clear" w:color="auto" w:fill="B5C0D8"/>
          </w:tcPr>
          <w:p w:rsidR="00D849AA" w:rsidRPr="00CC4FF4" w:rsidRDefault="00EE6D95">
            <w:pPr>
              <w:pStyle w:val="CellHeader"/>
            </w:pPr>
            <w:r w:rsidRPr="00CC4FF4">
              <w:t>Plan 2015.</w:t>
            </w:r>
          </w:p>
        </w:tc>
        <w:tc>
          <w:tcPr>
            <w:tcW w:w="1486" w:type="dxa"/>
            <w:shd w:val="clear" w:color="auto" w:fill="B5C0D8"/>
          </w:tcPr>
          <w:p w:rsidR="00D849AA" w:rsidRPr="00CC4FF4" w:rsidRDefault="00EE6D95">
            <w:pPr>
              <w:pStyle w:val="CellHeader"/>
            </w:pPr>
            <w:r w:rsidRPr="00CC4FF4">
              <w:t>Plan 2016.</w:t>
            </w:r>
          </w:p>
        </w:tc>
        <w:tc>
          <w:tcPr>
            <w:tcW w:w="1486" w:type="dxa"/>
            <w:shd w:val="clear" w:color="auto" w:fill="B5C0D8"/>
          </w:tcPr>
          <w:p w:rsidR="00D849AA" w:rsidRPr="00CC4FF4" w:rsidRDefault="00EE6D95">
            <w:pPr>
              <w:pStyle w:val="CellHeader"/>
            </w:pPr>
            <w:r w:rsidRPr="00CC4FF4">
              <w:t>Indeks 2014/2013</w:t>
            </w:r>
          </w:p>
        </w:tc>
      </w:tr>
      <w:tr w:rsidR="00D849AA" w:rsidRPr="00CC4FF4">
        <w:trPr>
          <w:jc w:val="center"/>
        </w:trPr>
        <w:tc>
          <w:tcPr>
            <w:tcW w:w="1486" w:type="dxa"/>
          </w:tcPr>
          <w:p w:rsidR="00D849AA" w:rsidRPr="00CC4FF4" w:rsidRDefault="00EE6D95">
            <w:pPr>
              <w:pStyle w:val="CellColumn"/>
            </w:pPr>
            <w:r w:rsidRPr="00CC4FF4">
              <w:t>2406</w:t>
            </w:r>
          </w:p>
        </w:tc>
        <w:tc>
          <w:tcPr>
            <w:tcW w:w="1486" w:type="dxa"/>
          </w:tcPr>
          <w:p w:rsidR="00D849AA" w:rsidRPr="00CC4FF4" w:rsidRDefault="00EE6D95">
            <w:pPr>
              <w:rPr>
                <w:rFonts w:ascii="Arial" w:hAnsi="Arial" w:cs="Arial"/>
              </w:rPr>
            </w:pPr>
            <w:r w:rsidRPr="00CC4FF4">
              <w:rPr>
                <w:rFonts w:ascii="Arial" w:hAnsi="Arial" w:cs="Arial"/>
              </w:rPr>
              <w:t>6.554.000</w:t>
            </w:r>
          </w:p>
        </w:tc>
        <w:tc>
          <w:tcPr>
            <w:tcW w:w="1486" w:type="dxa"/>
          </w:tcPr>
          <w:p w:rsidR="00D849AA" w:rsidRPr="00CC4FF4" w:rsidRDefault="00EE6D95">
            <w:pPr>
              <w:rPr>
                <w:rFonts w:ascii="Arial" w:hAnsi="Arial" w:cs="Arial"/>
              </w:rPr>
            </w:pPr>
            <w:r w:rsidRPr="00CC4FF4">
              <w:rPr>
                <w:rFonts w:ascii="Arial" w:hAnsi="Arial" w:cs="Arial"/>
              </w:rPr>
              <w:t>11.883.000</w:t>
            </w:r>
          </w:p>
        </w:tc>
        <w:tc>
          <w:tcPr>
            <w:tcW w:w="1486" w:type="dxa"/>
          </w:tcPr>
          <w:p w:rsidR="00D849AA" w:rsidRPr="00CC4FF4" w:rsidRDefault="00EE6D95">
            <w:pPr>
              <w:rPr>
                <w:rFonts w:ascii="Arial" w:hAnsi="Arial" w:cs="Arial"/>
              </w:rPr>
            </w:pPr>
            <w:r w:rsidRPr="00CC4FF4">
              <w:rPr>
                <w:rFonts w:ascii="Arial" w:hAnsi="Arial" w:cs="Arial"/>
              </w:rPr>
              <w:t>13.785.000</w:t>
            </w:r>
          </w:p>
        </w:tc>
        <w:tc>
          <w:tcPr>
            <w:tcW w:w="1486" w:type="dxa"/>
          </w:tcPr>
          <w:p w:rsidR="00D849AA" w:rsidRPr="00CC4FF4" w:rsidRDefault="00EE6D95">
            <w:pPr>
              <w:rPr>
                <w:rFonts w:ascii="Arial" w:hAnsi="Arial" w:cs="Arial"/>
              </w:rPr>
            </w:pPr>
            <w:r w:rsidRPr="00CC4FF4">
              <w:rPr>
                <w:rFonts w:ascii="Arial" w:hAnsi="Arial" w:cs="Arial"/>
              </w:rPr>
              <w:t>13.811.500</w:t>
            </w:r>
          </w:p>
        </w:tc>
        <w:tc>
          <w:tcPr>
            <w:tcW w:w="1486" w:type="dxa"/>
          </w:tcPr>
          <w:p w:rsidR="00D849AA" w:rsidRPr="00CC4FF4" w:rsidRDefault="00EE6D95">
            <w:pPr>
              <w:rPr>
                <w:rFonts w:ascii="Arial" w:hAnsi="Arial" w:cs="Arial"/>
              </w:rPr>
            </w:pPr>
            <w:r w:rsidRPr="00CC4FF4">
              <w:rPr>
                <w:rFonts w:ascii="Arial" w:hAnsi="Arial" w:cs="Arial"/>
              </w:rPr>
              <w:t>181,3</w:t>
            </w:r>
          </w:p>
        </w:tc>
      </w:tr>
    </w:tbl>
    <w:p w:rsidR="00D849AA" w:rsidRPr="00CC4FF4" w:rsidRDefault="00D849AA">
      <w:pPr>
        <w:jc w:val="left"/>
        <w:rPr>
          <w:rFonts w:ascii="Arial" w:hAnsi="Arial" w:cs="Arial"/>
        </w:rPr>
      </w:pPr>
    </w:p>
    <w:p w:rsidR="00D849AA" w:rsidRDefault="00EE6D95">
      <w:pPr>
        <w:pStyle w:val="Naslov6"/>
      </w:pPr>
      <w:r>
        <w:t>Opis programa</w:t>
      </w:r>
    </w:p>
    <w:p w:rsidR="00D849AA" w:rsidRDefault="00EE6D95">
      <w:pPr>
        <w:pStyle w:val="Normal5"/>
      </w:pPr>
      <w:r>
        <w:t xml:space="preserve">Direkcija u okviru osnovnog programa ima obvezu redovnog i kvalitetnog održavanja zrakoplova. Zahtjevi visoko postavljenih zakonskih normi u Europi i svijetu obvezuju nas kao operatera zrakoplova na puno poštivanje istih, odnosno vrlo su bitan segment sigurnosti kod zračnog prijevoza VIP putnika. </w:t>
      </w:r>
    </w:p>
    <w:p w:rsidR="00D849AA" w:rsidRDefault="00EE6D95">
      <w:pPr>
        <w:pStyle w:val="Normal5"/>
      </w:pPr>
      <w:r>
        <w:t xml:space="preserve">Sustav održavanja zrakoplova dizajniran je na način da zahtijeva preglede, servise i popravke izvan Republike Hrvatske, što znači i povećanje investicija za izvršenu uslugu i ugradnju materijala, odnosno originalnih dijelova jer u slučaju bilo kakvog odstupanja od zadanih elemenata gubi se pravo na plovidbenost i osiguranje. </w:t>
      </w:r>
    </w:p>
    <w:p w:rsidR="00D849AA" w:rsidRDefault="00EE6D95">
      <w:pPr>
        <w:pStyle w:val="Normal5"/>
      </w:pPr>
      <w:r>
        <w:t xml:space="preserve">Sukladno Uredbi o Direkciji za korištenje službenih zrakoplova (NN 54/13) sredstva za obavljanje usluga zračnog prijevoza osiguravaju se u državnom proračunu na pozicijama onih tijela državne vlasti koja koriste usluge zračnog prijevoza koje obavlja Direkcija razmjerno udjelu koji tijela državne vlasti imaju u korištenju usluga zračnog prijevoza Direkcije. Kako bi osiguravanje sredstava za potrebe Direkcije bilo što transparentnije i izvršavanje obaveza Direkcije prema dobavljačima i pružateljima usluga bilo unutar zakonski predviđenog roka, proračunom za slijedeće trogodišnje razdoblje predviđeno je da se direktni troškovi leta osiguravaju na pozicijama tijela državne vlasti koja koriste usluge zračnog prijevoza koje obavlja Direkcija, dok se ostali troškovi osiguravaju iz proračuna Direkcije. </w:t>
      </w:r>
    </w:p>
    <w:p w:rsidR="00D849AA" w:rsidRDefault="00EE6D95">
      <w:pPr>
        <w:pStyle w:val="Normal5"/>
      </w:pPr>
      <w:r>
        <w:t>Za sigurno i kvalitetno odvijanje letova vrlo je važan stručno osposobljen kadar koji se permanentno usavršava u skladu s zahtjevnim normama na europskom i svjetskom nivou. U slučaju nepoštivanja postavljenih normi moguće je prizemljenje zrakoplova od strane CAA (Civil Aviation Authority) odnosno zabrana letenja u europskom i svjetskom zračnom prostoru, te plaćanje vrlo visokih kazni.</w:t>
      </w:r>
    </w:p>
    <w:p w:rsidR="00D849AA" w:rsidRDefault="00EE6D95">
      <w:pPr>
        <w:pStyle w:val="Naslov6"/>
      </w:pPr>
      <w:r>
        <w:t>Zakonske i druge pravne osnove</w:t>
      </w:r>
    </w:p>
    <w:p w:rsidR="00D849AA" w:rsidRDefault="00EE6D95">
      <w:pPr>
        <w:pStyle w:val="Normal5"/>
      </w:pPr>
      <w:r>
        <w:t xml:space="preserve">Zakon o Vladi RH </w:t>
      </w:r>
    </w:p>
    <w:p w:rsidR="00D849AA" w:rsidRDefault="00EE6D95">
      <w:pPr>
        <w:pStyle w:val="Normal5"/>
      </w:pPr>
      <w:r>
        <w:t xml:space="preserve">Zakon o sustavu državne uprave </w:t>
      </w:r>
    </w:p>
    <w:p w:rsidR="00D849AA" w:rsidRDefault="00EE6D95">
      <w:pPr>
        <w:pStyle w:val="Normal5"/>
      </w:pPr>
      <w:r>
        <w:t xml:space="preserve">Uredba o načelima  za unutarnje ustrojstvo tijela državne uprave </w:t>
      </w:r>
    </w:p>
    <w:p w:rsidR="00D849AA" w:rsidRDefault="00EE6D95">
      <w:pPr>
        <w:pStyle w:val="Normal5"/>
      </w:pPr>
      <w:r>
        <w:t>Uredba o Direkciji za korištenje službenih zrakoplova</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Cilj 1. Sigurnost i kvaliteta letova</w:t>
      </w:r>
    </w:p>
    <w:p w:rsidR="00D849AA" w:rsidRDefault="00EE6D95">
      <w:pPr>
        <w:pStyle w:val="Normal6"/>
      </w:pPr>
      <w:r>
        <w:t>Prvenstveni cilj Direkcije je sigurnost i kvaliteta letova, a da bi se isti realizirao pored tehnički ispravnog i redovno održavanog zrakoplova važno je i konstantno usavršavanje stručnog osoblja posade zrakoplova.</w:t>
      </w:r>
    </w:p>
    <w:p w:rsidR="00D849AA" w:rsidRDefault="00EE6D95">
      <w:pPr>
        <w:pStyle w:val="Naslov2"/>
      </w:pPr>
      <w:r>
        <w:lastRenderedPageBreak/>
        <w:t>02087 Ured za ljudska prava i prava nacionalnih manjina</w:t>
      </w:r>
    </w:p>
    <w:p w:rsidR="00D849AA" w:rsidRDefault="00EE6D95">
      <w:pPr>
        <w:pStyle w:val="Naslov4"/>
      </w:pPr>
      <w:r>
        <w:t>Uvod</w:t>
      </w:r>
    </w:p>
    <w:p w:rsidR="00D849AA" w:rsidRDefault="00EE6D95">
      <w:pPr>
        <w:pStyle w:val="Normal3"/>
      </w:pPr>
      <w:r>
        <w:t xml:space="preserve">Ured za ljudska prava i prava nacionalnih manjina osnovan je Zakonom o Vladi Republike Hrvatske (NN 150/11). Uredbom o Uredu za ljudska prava i prava nacionalnih manjina (NN 42/2012) Ured je stručna služba Vlade Republike Hrvatske za obavljanje stručnih poslova u vezi s ostvarivanjem utvrđenih politika zaštite i promicanja ljudskih prava i prava nacionalnih manjina u Republici Hrvatskoj. </w:t>
      </w:r>
    </w:p>
    <w:p w:rsidR="00D849AA" w:rsidRDefault="00EE6D95">
      <w:pPr>
        <w:pStyle w:val="Normal3"/>
      </w:pPr>
      <w:r>
        <w:t xml:space="preserve"> Unutar Ureda za ljudska prava i prava nacionalnih manjina ustrojene su sljedeće unutarnje ustrojstvene jedinice: Jedinica za suzbijanje trgovanja ljudima i poslove međunarodne suradnje; Jedinica za praćenje provedbe Nacionalnog programa zaštite i promicanja ljudskih prava i preporuka pučkog pravobranitelja, te suradnju s organizacijama civilnoga društva; Jedinica za provedbu nacionalnih programa i projekata za nacionalne manjine i Jedinica za izradu i provedbu politika i strategija za nacionalne manjine. Ured:  </w:t>
      </w:r>
    </w:p>
    <w:p w:rsidR="00D849AA" w:rsidRDefault="00EE6D95">
      <w:pPr>
        <w:pStyle w:val="Normal3"/>
      </w:pPr>
      <w:r>
        <w:t xml:space="preserve">-razmatra stanje pojedinih ljudskih prava i prava nacionalnih manjina u Republici Hrvatskoj i sukladnost domaćeg zakonodavstva s odredbama Ustava Republike Hrvatske i Ustavnog zakona o pravima nacionalnih manjina, kao i s međunarodnim instrumentima iz područja ljudskih prava i područja suzbijanja trgovanja ljudima, te predlaže mjere za ostvarivanje tih prava; </w:t>
      </w:r>
    </w:p>
    <w:p w:rsidR="00D849AA" w:rsidRDefault="00EE6D95">
      <w:pPr>
        <w:pStyle w:val="Normal3"/>
      </w:pPr>
      <w:r>
        <w:t xml:space="preserve">-surađuje s nadležnim ministarstvima i drugim tijelima državne uprave te drugim institucijama, surađuje s tijelima lokalne i područne (regionalne) samouprave, pučkim pravobraniteljem i Savjetom za nacionalne manjine; </w:t>
      </w:r>
    </w:p>
    <w:p w:rsidR="00D849AA" w:rsidRDefault="00EE6D95">
      <w:pPr>
        <w:pStyle w:val="Normal3"/>
      </w:pPr>
      <w:r>
        <w:t xml:space="preserve">-prati provođenje Ustavnog zakona o pravima nacionalnih manjina i Akcijskog plana za provođenje Ustavnog zakona o pravima nacionalnih manjina te koordinira izradu izvješća o provedbi navedenih akata; </w:t>
      </w:r>
    </w:p>
    <w:p w:rsidR="00D849AA" w:rsidRDefault="00EE6D95">
      <w:pPr>
        <w:pStyle w:val="Normal3"/>
      </w:pPr>
      <w:r>
        <w:t xml:space="preserve">-izrađuje, prati provedbu i koordinira izradu izvješća o provedbi Nacionalnog programa zaštite i promicanja ljudskih prava, Nacionalnog plana za borbu protiv diskriminacije, Nacionalnog plana suzbijanja trgovanja ljudima, Nacionalne strategije za uključivanje Roma za razdoblje 2013.-2020., Akcijskog plana za integraciju te Akcijskog plana za provedbu Nacionalne strategije za uključivanje Roma 2013.-2020, za razdoblje 2013.-2015.; </w:t>
      </w:r>
    </w:p>
    <w:p w:rsidR="00D849AA" w:rsidRDefault="00EE6D95">
      <w:pPr>
        <w:pStyle w:val="Normal3"/>
      </w:pPr>
      <w:r>
        <w:t xml:space="preserve">-prati provedbu Okvirne konvencije Vijeća Europe za zaštitu nacionalnih manjina te koordinira izradu izvješća o njenoj provedbi; </w:t>
      </w:r>
    </w:p>
    <w:p w:rsidR="00D849AA" w:rsidRDefault="00EE6D95">
      <w:pPr>
        <w:pStyle w:val="Normal3"/>
      </w:pPr>
      <w:r>
        <w:t xml:space="preserve">-prati ostvarivanje prava vijeća i predstavnika nacionalnih manjina te prati suradnju udruga i ustanova nacionalnih manjina s institucijama u njihovim matičnim državama; </w:t>
      </w:r>
    </w:p>
    <w:p w:rsidR="00D849AA" w:rsidRDefault="00EE6D95">
      <w:pPr>
        <w:pStyle w:val="Normal3"/>
      </w:pPr>
      <w:r>
        <w:t xml:space="preserve">-prati provedbu preporuka iz godišnjih izvješća pučkog pravobranitelja, i to: izvješća o radu, izvješća o pojavama diskriminacije i izvješća o obavljanju poslova Nacionalnog preventivnog mehanizma za sprječavanje mučenja i drugih okrutnih, neljudskih ili ponižavajućih postupaka ili kažnjavanja; </w:t>
      </w:r>
    </w:p>
    <w:p w:rsidR="00D849AA" w:rsidRDefault="00EE6D95">
      <w:pPr>
        <w:pStyle w:val="Normal3"/>
      </w:pPr>
      <w:r>
        <w:t xml:space="preserve">-je središnje tijelo za prikupljanje i objavu podataka o zločinima iz mržnje, suradnju s organizacijama civilnoga društva i međunarodnim organizacijama, te daje pravna očitovanja na predstavke građana upućene Uredu; </w:t>
      </w:r>
    </w:p>
    <w:p w:rsidR="00D849AA" w:rsidRDefault="00EE6D95">
      <w:pPr>
        <w:pStyle w:val="Normal3"/>
      </w:pPr>
      <w:r>
        <w:t xml:space="preserve">-surađuje s međunarodnom zajednicom i međunarodnim regionalnim organizacijama u svrhu poboljšanja nacionalnih standarda zaštite i promicanja ljudskih prava i prava nacionalnih manjina; </w:t>
      </w:r>
    </w:p>
    <w:p w:rsidR="00D849AA" w:rsidRDefault="00EE6D95">
      <w:pPr>
        <w:pStyle w:val="Normal3"/>
      </w:pPr>
      <w:r>
        <w:t xml:space="preserve">-prati međunarodne dokumente, priprema mišljenja i stručne analize u vezi s primjenom međunarodnih dokumenata u ostvarivanju zaštite i promicanja ljudskih prava i prava pripadnika nacionalnih manjina; </w:t>
      </w:r>
    </w:p>
    <w:p w:rsidR="00D849AA" w:rsidRDefault="00EE6D95">
      <w:pPr>
        <w:pStyle w:val="Normal3"/>
      </w:pPr>
      <w:r>
        <w:t xml:space="preserve">-je tijelo ovlašteno za suradnju s Organizacijom za europsku sigurnost i suradnju te drugim međunarodnim organizacijama, vezano uz pitanja zločina iz mržnje; </w:t>
      </w:r>
    </w:p>
    <w:p w:rsidR="00D849AA" w:rsidRDefault="00EE6D95">
      <w:pPr>
        <w:pStyle w:val="Normal3"/>
      </w:pPr>
      <w:r>
        <w:lastRenderedPageBreak/>
        <w:t xml:space="preserve">-provodi projekte i programe Europske unije iz svoga djelokruga; </w:t>
      </w:r>
    </w:p>
    <w:p w:rsidR="00D849AA" w:rsidRDefault="00EE6D95">
      <w:pPr>
        <w:pStyle w:val="Normal3"/>
      </w:pPr>
      <w:r>
        <w:t>-obavlja i druge poslove povjerene od strane Vlade Republike Hrvatske u okviru djelokruga Ureda.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CC4FF4" w:rsidRDefault="00D849AA">
            <w:pPr>
              <w:pStyle w:val="CellHeader"/>
            </w:pPr>
          </w:p>
        </w:tc>
        <w:tc>
          <w:tcPr>
            <w:tcW w:w="1486" w:type="dxa"/>
            <w:shd w:val="clear" w:color="auto" w:fill="B5C0D8"/>
          </w:tcPr>
          <w:p w:rsidR="00D849AA" w:rsidRPr="00CC4FF4" w:rsidRDefault="00EE6D95">
            <w:pPr>
              <w:pStyle w:val="CellHeader"/>
            </w:pPr>
            <w:r w:rsidRPr="00CC4FF4">
              <w:t>Plan 2013.</w:t>
            </w:r>
          </w:p>
        </w:tc>
        <w:tc>
          <w:tcPr>
            <w:tcW w:w="1486" w:type="dxa"/>
            <w:shd w:val="clear" w:color="auto" w:fill="B5C0D8"/>
          </w:tcPr>
          <w:p w:rsidR="00D849AA" w:rsidRPr="00CC4FF4" w:rsidRDefault="00EE6D95">
            <w:pPr>
              <w:pStyle w:val="CellHeader"/>
            </w:pPr>
            <w:r w:rsidRPr="00CC4FF4">
              <w:t>Plan 2014.</w:t>
            </w:r>
          </w:p>
        </w:tc>
        <w:tc>
          <w:tcPr>
            <w:tcW w:w="1486" w:type="dxa"/>
            <w:shd w:val="clear" w:color="auto" w:fill="B5C0D8"/>
          </w:tcPr>
          <w:p w:rsidR="00D849AA" w:rsidRPr="00CC4FF4" w:rsidRDefault="00EE6D95">
            <w:pPr>
              <w:pStyle w:val="CellHeader"/>
            </w:pPr>
            <w:r w:rsidRPr="00CC4FF4">
              <w:t>Plan 2015.</w:t>
            </w:r>
          </w:p>
        </w:tc>
        <w:tc>
          <w:tcPr>
            <w:tcW w:w="1486" w:type="dxa"/>
            <w:shd w:val="clear" w:color="auto" w:fill="B5C0D8"/>
          </w:tcPr>
          <w:p w:rsidR="00D849AA" w:rsidRPr="00CC4FF4" w:rsidRDefault="00EE6D95">
            <w:pPr>
              <w:pStyle w:val="CellHeader"/>
            </w:pPr>
            <w:r w:rsidRPr="00CC4FF4">
              <w:t>Plan 2016.</w:t>
            </w:r>
          </w:p>
        </w:tc>
        <w:tc>
          <w:tcPr>
            <w:tcW w:w="1486" w:type="dxa"/>
            <w:shd w:val="clear" w:color="auto" w:fill="B5C0D8"/>
          </w:tcPr>
          <w:p w:rsidR="00D849AA" w:rsidRPr="00CC4FF4" w:rsidRDefault="00EE6D95">
            <w:pPr>
              <w:pStyle w:val="CellHeader"/>
            </w:pPr>
            <w:r w:rsidRPr="00CC4FF4">
              <w:t>Indeks 2014/2013</w:t>
            </w:r>
          </w:p>
        </w:tc>
      </w:tr>
      <w:tr w:rsidR="00D849AA">
        <w:trPr>
          <w:jc w:val="center"/>
        </w:trPr>
        <w:tc>
          <w:tcPr>
            <w:tcW w:w="1486" w:type="dxa"/>
          </w:tcPr>
          <w:p w:rsidR="00D849AA" w:rsidRPr="00CC4FF4" w:rsidRDefault="00EE6D95">
            <w:pPr>
              <w:pStyle w:val="CellColumn"/>
            </w:pPr>
            <w:r w:rsidRPr="00CC4FF4">
              <w:t>02087</w:t>
            </w:r>
          </w:p>
        </w:tc>
        <w:tc>
          <w:tcPr>
            <w:tcW w:w="1486" w:type="dxa"/>
          </w:tcPr>
          <w:p w:rsidR="00D849AA" w:rsidRPr="00CC4FF4" w:rsidRDefault="00EE6D95">
            <w:pPr>
              <w:rPr>
                <w:rFonts w:ascii="Arial" w:hAnsi="Arial" w:cs="Arial"/>
              </w:rPr>
            </w:pPr>
            <w:r w:rsidRPr="00CC4FF4">
              <w:rPr>
                <w:rFonts w:ascii="Arial" w:hAnsi="Arial" w:cs="Arial"/>
              </w:rPr>
              <w:t>26.056.200</w:t>
            </w:r>
          </w:p>
        </w:tc>
        <w:tc>
          <w:tcPr>
            <w:tcW w:w="1486" w:type="dxa"/>
          </w:tcPr>
          <w:p w:rsidR="00D849AA" w:rsidRPr="00CC4FF4" w:rsidRDefault="00EE6D95">
            <w:pPr>
              <w:rPr>
                <w:rFonts w:ascii="Arial" w:hAnsi="Arial" w:cs="Arial"/>
              </w:rPr>
            </w:pPr>
            <w:r w:rsidRPr="00CC4FF4">
              <w:rPr>
                <w:rFonts w:ascii="Arial" w:hAnsi="Arial" w:cs="Arial"/>
              </w:rPr>
              <w:t>23.081.600</w:t>
            </w:r>
          </w:p>
        </w:tc>
        <w:tc>
          <w:tcPr>
            <w:tcW w:w="1486" w:type="dxa"/>
          </w:tcPr>
          <w:p w:rsidR="00D849AA" w:rsidRPr="00CC4FF4" w:rsidRDefault="00EE6D95">
            <w:pPr>
              <w:rPr>
                <w:rFonts w:ascii="Arial" w:hAnsi="Arial" w:cs="Arial"/>
              </w:rPr>
            </w:pPr>
            <w:r w:rsidRPr="00CC4FF4">
              <w:rPr>
                <w:rFonts w:ascii="Arial" w:hAnsi="Arial" w:cs="Arial"/>
              </w:rPr>
              <w:t>26.327.500</w:t>
            </w:r>
          </w:p>
        </w:tc>
        <w:tc>
          <w:tcPr>
            <w:tcW w:w="1486" w:type="dxa"/>
          </w:tcPr>
          <w:p w:rsidR="00D849AA" w:rsidRPr="00CC4FF4" w:rsidRDefault="00EE6D95">
            <w:pPr>
              <w:rPr>
                <w:rFonts w:ascii="Arial" w:hAnsi="Arial" w:cs="Arial"/>
              </w:rPr>
            </w:pPr>
            <w:r w:rsidRPr="00CC4FF4">
              <w:rPr>
                <w:rFonts w:ascii="Arial" w:hAnsi="Arial" w:cs="Arial"/>
              </w:rPr>
              <w:t>24.644.500</w:t>
            </w:r>
          </w:p>
        </w:tc>
        <w:tc>
          <w:tcPr>
            <w:tcW w:w="1486" w:type="dxa"/>
          </w:tcPr>
          <w:p w:rsidR="00D849AA" w:rsidRPr="00CC4FF4" w:rsidRDefault="00EE6D95">
            <w:pPr>
              <w:rPr>
                <w:rFonts w:ascii="Arial" w:hAnsi="Arial" w:cs="Arial"/>
              </w:rPr>
            </w:pPr>
            <w:r w:rsidRPr="00CC4FF4">
              <w:rPr>
                <w:rFonts w:ascii="Arial" w:hAnsi="Arial" w:cs="Arial"/>
              </w:rPr>
              <w:t>88,6</w:t>
            </w:r>
          </w:p>
        </w:tc>
      </w:tr>
    </w:tbl>
    <w:p w:rsidR="00D849AA" w:rsidRDefault="00D849AA">
      <w:pPr>
        <w:jc w:val="left"/>
      </w:pPr>
    </w:p>
    <w:p w:rsidR="00D849AA" w:rsidRDefault="00EE6D95">
      <w:pPr>
        <w:pStyle w:val="Naslov4"/>
      </w:pPr>
      <w:r>
        <w:t>OBRAZLOŽENJE PROGRAMA</w:t>
      </w:r>
    </w:p>
    <w:p w:rsidR="00D849AA" w:rsidRDefault="00EE6D95">
      <w:pPr>
        <w:pStyle w:val="Naslov5"/>
      </w:pPr>
      <w:r>
        <w:t>2109 ZAŠTITA PRAVA NACIONALNIH MANJINA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CC4FF4" w:rsidRDefault="00D849AA">
            <w:pPr>
              <w:pStyle w:val="CellHeader"/>
            </w:pPr>
          </w:p>
        </w:tc>
        <w:tc>
          <w:tcPr>
            <w:tcW w:w="1486" w:type="dxa"/>
            <w:shd w:val="clear" w:color="auto" w:fill="B5C0D8"/>
          </w:tcPr>
          <w:p w:rsidR="00D849AA" w:rsidRPr="00CC4FF4" w:rsidRDefault="00EE6D95">
            <w:pPr>
              <w:pStyle w:val="CellHeader"/>
            </w:pPr>
            <w:r w:rsidRPr="00CC4FF4">
              <w:t>Plan 2013.</w:t>
            </w:r>
          </w:p>
        </w:tc>
        <w:tc>
          <w:tcPr>
            <w:tcW w:w="1486" w:type="dxa"/>
            <w:shd w:val="clear" w:color="auto" w:fill="B5C0D8"/>
          </w:tcPr>
          <w:p w:rsidR="00D849AA" w:rsidRPr="00CC4FF4" w:rsidRDefault="00EE6D95">
            <w:pPr>
              <w:pStyle w:val="CellHeader"/>
            </w:pPr>
            <w:r w:rsidRPr="00CC4FF4">
              <w:t>Plan 2014.</w:t>
            </w:r>
          </w:p>
        </w:tc>
        <w:tc>
          <w:tcPr>
            <w:tcW w:w="1486" w:type="dxa"/>
            <w:shd w:val="clear" w:color="auto" w:fill="B5C0D8"/>
          </w:tcPr>
          <w:p w:rsidR="00D849AA" w:rsidRPr="00CC4FF4" w:rsidRDefault="00EE6D95">
            <w:pPr>
              <w:pStyle w:val="CellHeader"/>
            </w:pPr>
            <w:r w:rsidRPr="00CC4FF4">
              <w:t>Plan 2015.</w:t>
            </w:r>
          </w:p>
        </w:tc>
        <w:tc>
          <w:tcPr>
            <w:tcW w:w="1486" w:type="dxa"/>
            <w:shd w:val="clear" w:color="auto" w:fill="B5C0D8"/>
          </w:tcPr>
          <w:p w:rsidR="00D849AA" w:rsidRPr="00CC4FF4" w:rsidRDefault="00EE6D95">
            <w:pPr>
              <w:pStyle w:val="CellHeader"/>
            </w:pPr>
            <w:r w:rsidRPr="00CC4FF4">
              <w:t>Plan 2016.</w:t>
            </w:r>
          </w:p>
        </w:tc>
        <w:tc>
          <w:tcPr>
            <w:tcW w:w="1486" w:type="dxa"/>
            <w:shd w:val="clear" w:color="auto" w:fill="B5C0D8"/>
          </w:tcPr>
          <w:p w:rsidR="00D849AA" w:rsidRPr="00CC4FF4" w:rsidRDefault="00EE6D95">
            <w:pPr>
              <w:pStyle w:val="CellHeader"/>
            </w:pPr>
            <w:r w:rsidRPr="00CC4FF4">
              <w:t>Indeks 2014/2013</w:t>
            </w:r>
          </w:p>
        </w:tc>
      </w:tr>
      <w:tr w:rsidR="00D849AA">
        <w:trPr>
          <w:jc w:val="center"/>
        </w:trPr>
        <w:tc>
          <w:tcPr>
            <w:tcW w:w="1486" w:type="dxa"/>
          </w:tcPr>
          <w:p w:rsidR="00D849AA" w:rsidRPr="00CC4FF4" w:rsidRDefault="00EE6D95">
            <w:pPr>
              <w:pStyle w:val="CellColumn"/>
            </w:pPr>
            <w:r w:rsidRPr="00CC4FF4">
              <w:t>2109</w:t>
            </w:r>
          </w:p>
        </w:tc>
        <w:tc>
          <w:tcPr>
            <w:tcW w:w="1486" w:type="dxa"/>
          </w:tcPr>
          <w:p w:rsidR="00D849AA" w:rsidRPr="00CC4FF4" w:rsidRDefault="00EE6D95">
            <w:pPr>
              <w:rPr>
                <w:rFonts w:ascii="Arial" w:hAnsi="Arial" w:cs="Arial"/>
              </w:rPr>
            </w:pPr>
            <w:r w:rsidRPr="00CC4FF4">
              <w:rPr>
                <w:rFonts w:ascii="Arial" w:hAnsi="Arial" w:cs="Arial"/>
              </w:rPr>
              <w:t>19.327.100</w:t>
            </w:r>
          </w:p>
        </w:tc>
        <w:tc>
          <w:tcPr>
            <w:tcW w:w="1486" w:type="dxa"/>
          </w:tcPr>
          <w:p w:rsidR="00D849AA" w:rsidRPr="00CC4FF4" w:rsidRDefault="00EE6D95">
            <w:pPr>
              <w:rPr>
                <w:rFonts w:ascii="Arial" w:hAnsi="Arial" w:cs="Arial"/>
              </w:rPr>
            </w:pPr>
            <w:r w:rsidRPr="00CC4FF4">
              <w:rPr>
                <w:rFonts w:ascii="Arial" w:hAnsi="Arial" w:cs="Arial"/>
              </w:rPr>
              <w:t>16.748.000</w:t>
            </w:r>
          </w:p>
        </w:tc>
        <w:tc>
          <w:tcPr>
            <w:tcW w:w="1486" w:type="dxa"/>
          </w:tcPr>
          <w:p w:rsidR="00D849AA" w:rsidRPr="00CC4FF4" w:rsidRDefault="00EE6D95">
            <w:pPr>
              <w:rPr>
                <w:rFonts w:ascii="Arial" w:hAnsi="Arial" w:cs="Arial"/>
              </w:rPr>
            </w:pPr>
            <w:r w:rsidRPr="00CC4FF4">
              <w:rPr>
                <w:rFonts w:ascii="Arial" w:hAnsi="Arial" w:cs="Arial"/>
              </w:rPr>
              <w:t>21.015.500</w:t>
            </w:r>
          </w:p>
        </w:tc>
        <w:tc>
          <w:tcPr>
            <w:tcW w:w="1486" w:type="dxa"/>
          </w:tcPr>
          <w:p w:rsidR="00D849AA" w:rsidRPr="00CC4FF4" w:rsidRDefault="00EE6D95">
            <w:pPr>
              <w:rPr>
                <w:rFonts w:ascii="Arial" w:hAnsi="Arial" w:cs="Arial"/>
              </w:rPr>
            </w:pPr>
            <w:r w:rsidRPr="00CC4FF4">
              <w:rPr>
                <w:rFonts w:ascii="Arial" w:hAnsi="Arial" w:cs="Arial"/>
              </w:rPr>
              <w:t>19.748.000</w:t>
            </w:r>
          </w:p>
        </w:tc>
        <w:tc>
          <w:tcPr>
            <w:tcW w:w="1486" w:type="dxa"/>
          </w:tcPr>
          <w:p w:rsidR="00D849AA" w:rsidRPr="00CC4FF4" w:rsidRDefault="00EE6D95">
            <w:pPr>
              <w:rPr>
                <w:rFonts w:ascii="Arial" w:hAnsi="Arial" w:cs="Arial"/>
              </w:rPr>
            </w:pPr>
            <w:r w:rsidRPr="00CC4FF4">
              <w:rPr>
                <w:rFonts w:ascii="Arial" w:hAnsi="Arial" w:cs="Arial"/>
              </w:rPr>
              <w:t>86,6</w:t>
            </w:r>
          </w:p>
        </w:tc>
      </w:tr>
    </w:tbl>
    <w:p w:rsidR="00D849AA" w:rsidRDefault="00EE6D95">
      <w:pPr>
        <w:pStyle w:val="Naslov6"/>
      </w:pPr>
      <w:r>
        <w:t>Opis programa</w:t>
      </w:r>
    </w:p>
    <w:p w:rsidR="00D849AA" w:rsidRDefault="00EE6D95">
      <w:pPr>
        <w:pStyle w:val="Normal5"/>
      </w:pPr>
      <w:r>
        <w:t xml:space="preserve">U okviru programa 2109  Zaštita prava nacionalnih manjina Ured za ljudska prava i prava nacionalnih manjina Vlade Republike Hrvatske koordinira i nadzire provedbu  Ustavnog zakona o pravima nacionalnih manjina i Akcijskog plana za provedbu Ustavnog zakona o pravima nacionalnih manjina,  Nacionalne strategije za uključivanje Roma 2013.-2020. godine i Akcijskog plana za provedbu Nacionalne strategije za uključivanje Roma 2013.-2015. godine. Ured je tajništvo  Povjerenstva za praćenje provedbe Nacionalne strategije za uključivanje Roma 2013.-2020 godine. </w:t>
      </w:r>
    </w:p>
    <w:p w:rsidR="00D849AA" w:rsidRDefault="00EE6D95">
      <w:pPr>
        <w:pStyle w:val="Normal5"/>
      </w:pPr>
      <w:r>
        <w:t xml:space="preserve"> U cilju provedbe Ustavnog zakona o pravima nacionalnih manjina Ured kontinuirano organizira seminare o educiranju i osposobljavanju vijeća i predstavnika nacionalnih manjina. </w:t>
      </w:r>
    </w:p>
    <w:p w:rsidR="00D849AA" w:rsidRDefault="00EE6D95">
      <w:pPr>
        <w:pStyle w:val="Normal5"/>
      </w:pPr>
      <w:r>
        <w:t>Za unaprjeđenje prava nacionalnih manjina posebno je važna provedba međunarodnih dokumenata kojih je Republika Hrvatska stranka, prije svega Okvirne konvencije za zaštitu nacionalnih manjina. Ured koordinira izradu izvješća o provedbi tog međunarodnog dokumenta. Ured će početkom 2014. godine podnijeti Vijeću Europe četvrto izvješće RH o provedbi Okvirne konvencije za zaštitu nacionalnih manjina.</w:t>
      </w:r>
    </w:p>
    <w:p w:rsidR="00D849AA" w:rsidRDefault="00EE6D95">
      <w:pPr>
        <w:pStyle w:val="Naslov6"/>
      </w:pPr>
      <w:r>
        <w:t>Zakonske i druge pravne osnove</w:t>
      </w:r>
    </w:p>
    <w:p w:rsidR="00D849AA" w:rsidRDefault="00EE6D95">
      <w:pPr>
        <w:pStyle w:val="Normal5"/>
      </w:pPr>
      <w:r>
        <w:t xml:space="preserve">Pripadnicima svih nacionalnih manjina jamči se sloboda izražavanja nacionalne pripadnosti, slobodno služenje svojim jezikom i pismom i kulturna autonomija. Za provođenje ostvarivanja utvrđene politike ravnopravnosti nacionalnih manjina  zakonska osnova su: </w:t>
      </w:r>
    </w:p>
    <w:p w:rsidR="00D849AA" w:rsidRDefault="00EE6D95">
      <w:pPr>
        <w:pStyle w:val="Normal5"/>
      </w:pPr>
      <w:r>
        <w:t xml:space="preserve">Ustav Republike Hrvatske, Ustavni zakon o pravima nacionalnih manjina, Zakon o odgoju i obrazovanju na jeziku i pismu nacionalnih manjina, Zakon o uporabi jezika i pisma nacionalnih manjina, Zakon o izboru zastupnika u Hrvatski sabor, Zakon o izboru predstavničkih tijela jedinica lokalne i područne (regionalne) samouprave, Zakon o sudovima, Zakon o državnom odvjetništvu, Zakon o suzbijanju diskriminacije. </w:t>
      </w:r>
    </w:p>
    <w:p w:rsidR="00D849AA" w:rsidRDefault="00EE6D95">
      <w:pPr>
        <w:pStyle w:val="Normal5"/>
      </w:pPr>
      <w:r>
        <w:t xml:space="preserve">Također  zadaće i obveze Ureda za ljudska prava i prava nacionalnih manjina proizlaze i iz Nacionalne strategije za uključivanje Roma za razdoblje 2013.-2020. i Akcijskog plana za provedbu Nacionalne strategije za uključivanje Roma 2015.-2020. </w:t>
      </w:r>
    </w:p>
    <w:p w:rsidR="00D849AA" w:rsidRDefault="00EE6D95">
      <w:pPr>
        <w:pStyle w:val="Normal5"/>
      </w:pPr>
      <w:r>
        <w:lastRenderedPageBreak/>
        <w:t xml:space="preserve">Strateško planiranje i praćenje provedbe  projekata financiranih iz sredstava EU provode se na temelju financijskih ugovora potpisanih između Europske unije i Republike Hrvatske i Operativnog sporazuma potpisanog između Ureda za ljudska prava i prava nacionalnih manjina i Središnje agencije za financiranje i ugovaranje programa i projekata Europske unije. </w:t>
      </w:r>
    </w:p>
    <w:p w:rsidR="00D849AA" w:rsidRDefault="00EE6D95">
      <w:pPr>
        <w:pStyle w:val="Normal5"/>
      </w:pPr>
      <w:r>
        <w:t>Zakonske i druge pravne osnove za provođenje programa proizlaze i iz Zakona o Vladi Republike Hrvatske, Uredbe o Uredu za ljudska prava i prava nacionalnih manjina, Zakona o sustavu državne uprave, Uredbe o načelima za unutarnje ustrojstvo tijela državne uprave i Kodeksa savjetovanja sa zainteresiranom javnošću u postupcima donošenja zakona, drugih propisa i akata.</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 xml:space="preserve">Cilj 1. Unapređenje cjelokupnog sustava zaštite i promicanja prava nacionalnih manjina u Republici Hrvatskoj </w:t>
      </w:r>
    </w:p>
    <w:p w:rsidR="00D849AA" w:rsidRDefault="00EE6D95">
      <w:pPr>
        <w:pStyle w:val="Normal6"/>
      </w:pPr>
      <w:r>
        <w:t xml:space="preserve">Republika Hrvatska opredijeljena je za omogućivanje ostvarivanja prava svih nacionalnih manjina koje u njoj žive. Osigurane su zakonske pretpostavke za punu primjenu Ustavnog zakona o pravima nacionalnih manjina, a daljnjim unaprjeđenjem i zaštitom prava pripadnika nacionalnih manjina omogućit će se potpuna integracija nacionalnih manjina u hrvatsko društvo. Etnička i multikulturna raznolikost i duh razumijevanja, uvažavanja i tolerancije doprinosit će promicanju razvoja Republike Hrvatske kao demokratske države. </w:t>
      </w:r>
    </w:p>
    <w:p w:rsidR="00D849AA" w:rsidRDefault="00EE6D95">
      <w:pPr>
        <w:pStyle w:val="Normal6"/>
      </w:pPr>
      <w:r>
        <w:t xml:space="preserve">U cilju ostvarivanja manjinskih prava i sloboda Ured za ljudska prava i prava nacionalnih manjina surađuje s nadležnim državnim tijelima i tijelima jedinica samouprave, predstavnicima, vijećima i koordinacijama vijeća nacionalnih manjina, udrugama nacionalnih manjina i pravnim osobama koje obavljaju djelatnosti od interesa za nacionalne manjine, međunarodnim organizacijama i institucijama koje se bave pitanjima nacionalnih manjina, te tijelima matičnih država pripadnika nacionalnih manjina u Republici Hrvatskoj. </w:t>
      </w:r>
    </w:p>
    <w:p w:rsidR="00D849AA" w:rsidRDefault="00EE6D95">
      <w:pPr>
        <w:pStyle w:val="Normal6"/>
      </w:pPr>
      <w:r>
        <w:t xml:space="preserve">Ured za ljudska prava i prava nacionalnih manjina nastavit će aktivnosti na provedbi Ustavnog zakona o pravima nacionalnih manjina u okviru svog djelokruga. Dosad je najveći napredak postignut na području kulturne autonomije nacionalnih manjina, informiranja, izdavaštva, ostvarivanja vjerskih prava, te sudjelovanja nacionalnih manjina u procesu odlučivanja na području lokalne i područne (regionalne) samouprave.  </w:t>
      </w:r>
    </w:p>
    <w:p w:rsidR="00D849AA" w:rsidRDefault="00EE6D95">
      <w:pPr>
        <w:pStyle w:val="Normal6"/>
      </w:pPr>
      <w:r>
        <w:t xml:space="preserve">Međutim, zastupljenost vijeća nacionalnih manjina u tijelima lokalne i područne (regionalne) samouprave nije ravnomjerno raspoređena zbog neujednačenosti u razvoju pojedinih područja. Također, kako bi se postigla cjelovita primjena Ustavnog zakona o pravima nacionalnih manjina, uložit će se dodatni napori u ostvarivanju prava na pristup medijima, osigurati zastupljenost pripadnika nacionalnih manjina u jedinicama lokalne i područne (regionalne) samouprave i u tijelima državne uprave i pravosudnim tijelima, te osigurati službenu upotrebu jezika i pisma svim pripadnicima nacionalnih manjina. </w:t>
      </w:r>
    </w:p>
    <w:p w:rsidR="00D849AA" w:rsidRDefault="00EE6D95">
      <w:pPr>
        <w:pStyle w:val="Normal6"/>
      </w:pPr>
      <w:r>
        <w:t xml:space="preserve">Osobita pozornost posvećuje se punoj integraciji i socijalnom uključivanju pripadnika romske nacionalne manjine (Nacionalna strategija za uključivanje Roma, za razdoblje od 2013. do 2020. i Akcijski plan za provedbu Nacionalne strategije za uključivanje Roma, za razdoblje 2013.-2015.). Temeljni problemi i mjerila identificirani su u tim dokumentima, a intenzivirat će se aktivnosti iz područja obrazovanja, zapošljavanja, zdravstvene zaštite, te stanovanja.  </w:t>
      </w:r>
    </w:p>
    <w:p w:rsidR="00D849AA" w:rsidRDefault="00EE6D95">
      <w:pPr>
        <w:pStyle w:val="Normal6"/>
      </w:pPr>
      <w:r>
        <w:t xml:space="preserve">Od 1. srpnja 2012. do 30. lipnja 2013. godine Republika Hrvatska  je predsjedavala Desetljećem za uključivanje Roma 2005. - 2015., te i u narednom razdoblju nastavlja provoditi aktivnosti na području Desetljeća na međunarodnoj razini.  </w:t>
      </w:r>
    </w:p>
    <w:p w:rsidR="00D849AA" w:rsidRDefault="00EE6D95">
      <w:pPr>
        <w:pStyle w:val="Normal6"/>
      </w:pPr>
      <w:r>
        <w:lastRenderedPageBreak/>
        <w:t>Ured za ljudska prava i prava nacionalnih manjina korisnik je projekata financiranih iz pretpristupnih fondova Europske unije koji su usmjereni na rješavanje ključnih problema iz područja ljudskih prava i prava nacionalnih manjina. Projekti kojih je Ured korisnik su sljedeći: IPA I 2008 „Projekt potpore Romima, faza III“; IPA I 2009 „Uspostava cjelovitog sustava zaštite od diskriminacije“ (u suradnji s Pučkim pravobraniteljem), IPA 2010 FFRAC „Jačanje sustava identifikacije žrtava trgovanja ljudima“, IPA 2011 FFRAC „Djeca u pokretu: Razvijanje institucionalnog okvira za pomoć i zaštitu djece bez pratnje u Republici Hrvatskoj“ te IPA I 2012-2013 „Potpora nacionalnim manjinama na lokalnoj razini“.</w:t>
      </w:r>
    </w:p>
    <w:p w:rsidR="00D849AA" w:rsidRDefault="00EE6D95">
      <w:pPr>
        <w:pStyle w:val="Naslov5"/>
      </w:pPr>
      <w:r>
        <w:t>Procjena i ishodište potrebnih sredstava za značajnije aktivnosti/projekte</w:t>
      </w:r>
    </w:p>
    <w:p w:rsidR="00D849AA" w:rsidRDefault="00EE6D95">
      <w:pPr>
        <w:pStyle w:val="Naslov6"/>
      </w:pPr>
      <w:r>
        <w:t>A513002 PROGRAMI ZA NACIONALNE MANJINE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CC4FF4" w:rsidRDefault="00EE6D95">
            <w:pPr>
              <w:pStyle w:val="CellHeader"/>
            </w:pPr>
            <w:r w:rsidRPr="00CC4FF4">
              <w:t>Naziv aktivnosti</w:t>
            </w:r>
          </w:p>
        </w:tc>
        <w:tc>
          <w:tcPr>
            <w:tcW w:w="1486" w:type="dxa"/>
            <w:shd w:val="clear" w:color="auto" w:fill="B5C0D8"/>
          </w:tcPr>
          <w:p w:rsidR="00D849AA" w:rsidRPr="00CC4FF4" w:rsidRDefault="00EE6D95">
            <w:pPr>
              <w:pStyle w:val="CellHeader"/>
            </w:pPr>
            <w:r w:rsidRPr="00CC4FF4">
              <w:t>Plan 2013.</w:t>
            </w:r>
          </w:p>
        </w:tc>
        <w:tc>
          <w:tcPr>
            <w:tcW w:w="1486" w:type="dxa"/>
            <w:shd w:val="clear" w:color="auto" w:fill="B5C0D8"/>
          </w:tcPr>
          <w:p w:rsidR="00D849AA" w:rsidRPr="00CC4FF4" w:rsidRDefault="00EE6D95">
            <w:pPr>
              <w:pStyle w:val="CellHeader"/>
            </w:pPr>
            <w:r w:rsidRPr="00CC4FF4">
              <w:t>Plan 2014.</w:t>
            </w:r>
          </w:p>
        </w:tc>
        <w:tc>
          <w:tcPr>
            <w:tcW w:w="1486" w:type="dxa"/>
            <w:shd w:val="clear" w:color="auto" w:fill="B5C0D8"/>
          </w:tcPr>
          <w:p w:rsidR="00D849AA" w:rsidRPr="00CC4FF4" w:rsidRDefault="00EE6D95">
            <w:pPr>
              <w:pStyle w:val="CellHeader"/>
            </w:pPr>
            <w:r w:rsidRPr="00CC4FF4">
              <w:t>Plan 2015.</w:t>
            </w:r>
          </w:p>
        </w:tc>
        <w:tc>
          <w:tcPr>
            <w:tcW w:w="1486" w:type="dxa"/>
            <w:shd w:val="clear" w:color="auto" w:fill="B5C0D8"/>
          </w:tcPr>
          <w:p w:rsidR="00D849AA" w:rsidRPr="00CC4FF4" w:rsidRDefault="00EE6D95">
            <w:pPr>
              <w:pStyle w:val="CellHeader"/>
            </w:pPr>
            <w:r w:rsidRPr="00CC4FF4">
              <w:t>Plan 2016.</w:t>
            </w:r>
          </w:p>
        </w:tc>
        <w:tc>
          <w:tcPr>
            <w:tcW w:w="1486" w:type="dxa"/>
            <w:shd w:val="clear" w:color="auto" w:fill="B5C0D8"/>
          </w:tcPr>
          <w:p w:rsidR="00D849AA" w:rsidRPr="00CC4FF4" w:rsidRDefault="00EE6D95">
            <w:pPr>
              <w:pStyle w:val="CellHeader"/>
            </w:pPr>
            <w:r w:rsidRPr="00CC4FF4">
              <w:t>Indeks 2014/2013</w:t>
            </w:r>
          </w:p>
        </w:tc>
      </w:tr>
      <w:tr w:rsidR="00D849AA">
        <w:trPr>
          <w:jc w:val="center"/>
        </w:trPr>
        <w:tc>
          <w:tcPr>
            <w:tcW w:w="1486" w:type="dxa"/>
          </w:tcPr>
          <w:p w:rsidR="00D849AA" w:rsidRPr="00CC4FF4" w:rsidRDefault="00EE6D95">
            <w:pPr>
              <w:pStyle w:val="CellColumn"/>
            </w:pPr>
            <w:r w:rsidRPr="00CC4FF4">
              <w:t>A513002</w:t>
            </w:r>
          </w:p>
        </w:tc>
        <w:tc>
          <w:tcPr>
            <w:tcW w:w="1486" w:type="dxa"/>
          </w:tcPr>
          <w:p w:rsidR="00D849AA" w:rsidRPr="00CC4FF4" w:rsidRDefault="00EE6D95">
            <w:pPr>
              <w:rPr>
                <w:rFonts w:ascii="Arial" w:hAnsi="Arial" w:cs="Arial"/>
              </w:rPr>
            </w:pPr>
            <w:r w:rsidRPr="00CC4FF4">
              <w:rPr>
                <w:rFonts w:ascii="Arial" w:hAnsi="Arial" w:cs="Arial"/>
              </w:rPr>
              <w:t>485.000</w:t>
            </w:r>
          </w:p>
        </w:tc>
        <w:tc>
          <w:tcPr>
            <w:tcW w:w="1486" w:type="dxa"/>
          </w:tcPr>
          <w:p w:rsidR="00D849AA" w:rsidRPr="00CC4FF4" w:rsidRDefault="00EE6D95">
            <w:pPr>
              <w:rPr>
                <w:rFonts w:ascii="Arial" w:hAnsi="Arial" w:cs="Arial"/>
              </w:rPr>
            </w:pPr>
            <w:r w:rsidRPr="00CC4FF4">
              <w:rPr>
                <w:rFonts w:ascii="Arial" w:hAnsi="Arial" w:cs="Arial"/>
              </w:rPr>
              <w:t>448.000</w:t>
            </w:r>
          </w:p>
        </w:tc>
        <w:tc>
          <w:tcPr>
            <w:tcW w:w="1486" w:type="dxa"/>
          </w:tcPr>
          <w:p w:rsidR="00D849AA" w:rsidRPr="00CC4FF4" w:rsidRDefault="00EE6D95">
            <w:pPr>
              <w:rPr>
                <w:rFonts w:ascii="Arial" w:hAnsi="Arial" w:cs="Arial"/>
              </w:rPr>
            </w:pPr>
            <w:r w:rsidRPr="00CC4FF4">
              <w:rPr>
                <w:rFonts w:ascii="Arial" w:hAnsi="Arial" w:cs="Arial"/>
              </w:rPr>
              <w:t>498.000</w:t>
            </w:r>
          </w:p>
        </w:tc>
        <w:tc>
          <w:tcPr>
            <w:tcW w:w="1486" w:type="dxa"/>
          </w:tcPr>
          <w:p w:rsidR="00D849AA" w:rsidRPr="00CC4FF4" w:rsidRDefault="00EE6D95">
            <w:pPr>
              <w:rPr>
                <w:rFonts w:ascii="Arial" w:hAnsi="Arial" w:cs="Arial"/>
              </w:rPr>
            </w:pPr>
            <w:r w:rsidRPr="00CC4FF4">
              <w:rPr>
                <w:rFonts w:ascii="Arial" w:hAnsi="Arial" w:cs="Arial"/>
              </w:rPr>
              <w:t>498.000</w:t>
            </w:r>
          </w:p>
        </w:tc>
        <w:tc>
          <w:tcPr>
            <w:tcW w:w="1486" w:type="dxa"/>
          </w:tcPr>
          <w:p w:rsidR="00D849AA" w:rsidRPr="00CC4FF4" w:rsidRDefault="00EE6D95">
            <w:pPr>
              <w:rPr>
                <w:rFonts w:ascii="Arial" w:hAnsi="Arial" w:cs="Arial"/>
              </w:rPr>
            </w:pPr>
            <w:r w:rsidRPr="00CC4FF4">
              <w:rPr>
                <w:rFonts w:ascii="Arial" w:hAnsi="Arial" w:cs="Arial"/>
              </w:rPr>
              <w:t>92,4</w:t>
            </w:r>
          </w:p>
        </w:tc>
      </w:tr>
    </w:tbl>
    <w:p w:rsidR="00D849AA" w:rsidRDefault="00D849AA">
      <w:pPr>
        <w:jc w:val="left"/>
      </w:pPr>
    </w:p>
    <w:p w:rsidR="00D849AA" w:rsidRDefault="00EE6D95">
      <w:pPr>
        <w:pStyle w:val="Normal6"/>
      </w:pPr>
      <w:r>
        <w:t>Za pripadnike nacionalnih manjina važno je njihovo sudjelovanje u procesu odlučivanja. U cilju provedbe Ustavnog zakona o pravima nacionalnih manjina i Akcijskog plana za provedbu Ustavnog zakona Ured kontinuirano organizira seminare o vijećima i predstavnicima nacionalnih manjina. Vijeća i predstavnici nacionalnih manjina kao savjetodavna  tijela  imaju prava i ovlasti predlagati tijelima jedinice samouprave mjere za unapređivanje položaja nacionalne manjine u državi ili na nekom njenom području, uključujući davanje prijedloga općih akata kojima se uređuju pitanja od značaja za nacionalnu manjinu tijelima koja ih donose; isticati kandidate za dužnosti u tijelima državne uprave i tijelima lokalnih jedinica; biti obaviješteni o svakom pitanju o kome će raspravljati radna tijela predstavničkog tijela lokalne jedinice a tiče se položaja nacionalne manjine; davati mišljenja i prijedloge na programe radijskih i televizijskih postaja na lokalnoj i regionalnoj razini namijenjene nacionalnim manjinama ili na programe koji se odnose na manjinska pitanja. Ured kontinuirano radi na educiranju vijeća i predstavnika nacionalnih manjina organizirajući seminare o njihovom osposobljavanju te boljoj i učinkovitijoj suradnji s predstavnicima tijela jedinica lokalne i područne samouprave. Sukladno Akcijskom planu za provedbu Ustavnog zakona  Ured će izdvojiti sredstva za vijeća i predstavnike  nacionalnih manjina koji djeluju na području jedinica slabije ekonomske razvijenosti.</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rsidRPr="00CC4FF4">
        <w:trPr>
          <w:jc w:val="center"/>
        </w:trPr>
        <w:tc>
          <w:tcPr>
            <w:tcW w:w="2229" w:type="dxa"/>
            <w:shd w:val="clear" w:color="auto" w:fill="B5C0D8"/>
          </w:tcPr>
          <w:p w:rsidR="00D849AA" w:rsidRPr="00CC4FF4" w:rsidRDefault="00EE6D95">
            <w:pPr>
              <w:rPr>
                <w:rFonts w:ascii="Arial" w:hAnsi="Arial" w:cs="Arial"/>
              </w:rPr>
            </w:pPr>
            <w:r w:rsidRPr="00CC4FF4">
              <w:rPr>
                <w:rFonts w:ascii="Arial" w:hAnsi="Arial" w:cs="Arial"/>
              </w:rPr>
              <w:t>Pokazatelj rezultata</w:t>
            </w:r>
          </w:p>
        </w:tc>
        <w:tc>
          <w:tcPr>
            <w:tcW w:w="1114" w:type="dxa"/>
            <w:shd w:val="clear" w:color="auto" w:fill="B5C0D8"/>
          </w:tcPr>
          <w:p w:rsidR="00D849AA" w:rsidRPr="00CC4FF4" w:rsidRDefault="00EE6D95">
            <w:pPr>
              <w:pStyle w:val="CellHeader"/>
            </w:pPr>
            <w:r w:rsidRPr="00CC4FF4">
              <w:t>Jedinica</w:t>
            </w:r>
          </w:p>
        </w:tc>
        <w:tc>
          <w:tcPr>
            <w:tcW w:w="1114" w:type="dxa"/>
            <w:shd w:val="clear" w:color="auto" w:fill="B5C0D8"/>
          </w:tcPr>
          <w:p w:rsidR="00D849AA" w:rsidRPr="00CC4FF4" w:rsidRDefault="00EE6D95">
            <w:pPr>
              <w:pStyle w:val="CellHeader"/>
            </w:pPr>
            <w:r w:rsidRPr="00CC4FF4">
              <w:t>Polazna vrijednost</w:t>
            </w:r>
          </w:p>
        </w:tc>
        <w:tc>
          <w:tcPr>
            <w:tcW w:w="1486" w:type="dxa"/>
            <w:shd w:val="clear" w:color="auto" w:fill="B5C0D8"/>
          </w:tcPr>
          <w:p w:rsidR="00D849AA" w:rsidRPr="00CC4FF4" w:rsidRDefault="00EE6D95">
            <w:pPr>
              <w:pStyle w:val="CellHeader"/>
            </w:pPr>
            <w:r w:rsidRPr="00CC4FF4">
              <w:t>Ciljana vrijednost (2014.)</w:t>
            </w:r>
          </w:p>
        </w:tc>
        <w:tc>
          <w:tcPr>
            <w:tcW w:w="1486" w:type="dxa"/>
            <w:shd w:val="clear" w:color="auto" w:fill="B5C0D8"/>
          </w:tcPr>
          <w:p w:rsidR="00D849AA" w:rsidRPr="00CC4FF4" w:rsidRDefault="00EE6D95">
            <w:pPr>
              <w:pStyle w:val="CellHeader"/>
            </w:pPr>
            <w:r w:rsidRPr="00CC4FF4">
              <w:t>Ciljana vrijednost (2015.)</w:t>
            </w:r>
          </w:p>
        </w:tc>
        <w:tc>
          <w:tcPr>
            <w:tcW w:w="1486" w:type="dxa"/>
            <w:shd w:val="clear" w:color="auto" w:fill="B5C0D8"/>
          </w:tcPr>
          <w:p w:rsidR="00D849AA" w:rsidRPr="00CC4FF4" w:rsidRDefault="00EE6D95">
            <w:pPr>
              <w:pStyle w:val="CellHeader"/>
            </w:pPr>
            <w:r w:rsidRPr="00CC4FF4">
              <w:t>Ciljana vrijednost (2016.)</w:t>
            </w:r>
          </w:p>
        </w:tc>
      </w:tr>
      <w:tr w:rsidR="00D849AA" w:rsidRPr="00CC4FF4">
        <w:trPr>
          <w:jc w:val="center"/>
        </w:trPr>
        <w:tc>
          <w:tcPr>
            <w:tcW w:w="2229" w:type="dxa"/>
          </w:tcPr>
          <w:p w:rsidR="00D849AA" w:rsidRPr="00CC4FF4" w:rsidRDefault="00EE6D95">
            <w:pPr>
              <w:pStyle w:val="CellColumn"/>
            </w:pPr>
            <w:r w:rsidRPr="00CC4FF4">
              <w:t>Broj održanih seminara za vijeća i predstavnike nacionalnih  manjina</w:t>
            </w:r>
          </w:p>
        </w:tc>
        <w:tc>
          <w:tcPr>
            <w:tcW w:w="1114" w:type="dxa"/>
          </w:tcPr>
          <w:p w:rsidR="00D849AA" w:rsidRPr="00CC4FF4" w:rsidRDefault="00EE6D95">
            <w:pPr>
              <w:rPr>
                <w:rFonts w:ascii="Arial" w:hAnsi="Arial" w:cs="Arial"/>
              </w:rPr>
            </w:pPr>
            <w:r w:rsidRPr="00CC4FF4">
              <w:rPr>
                <w:rFonts w:ascii="Arial" w:hAnsi="Arial" w:cs="Arial"/>
              </w:rPr>
              <w:t>broj</w:t>
            </w:r>
          </w:p>
        </w:tc>
        <w:tc>
          <w:tcPr>
            <w:tcW w:w="1114" w:type="dxa"/>
          </w:tcPr>
          <w:p w:rsidR="00D849AA" w:rsidRPr="00CC4FF4" w:rsidRDefault="00EE6D95">
            <w:pPr>
              <w:rPr>
                <w:rFonts w:ascii="Arial" w:hAnsi="Arial" w:cs="Arial"/>
              </w:rPr>
            </w:pPr>
            <w:r w:rsidRPr="00CC4FF4">
              <w:rPr>
                <w:rFonts w:ascii="Arial" w:hAnsi="Arial" w:cs="Arial"/>
              </w:rPr>
              <w:t>6</w:t>
            </w:r>
          </w:p>
        </w:tc>
        <w:tc>
          <w:tcPr>
            <w:tcW w:w="1486" w:type="dxa"/>
          </w:tcPr>
          <w:p w:rsidR="00D849AA" w:rsidRPr="00CC4FF4" w:rsidRDefault="00EE6D95">
            <w:pPr>
              <w:rPr>
                <w:rFonts w:ascii="Arial" w:hAnsi="Arial" w:cs="Arial"/>
              </w:rPr>
            </w:pPr>
            <w:r w:rsidRPr="00CC4FF4">
              <w:rPr>
                <w:rFonts w:ascii="Arial" w:hAnsi="Arial" w:cs="Arial"/>
              </w:rPr>
              <w:t>9</w:t>
            </w:r>
          </w:p>
        </w:tc>
        <w:tc>
          <w:tcPr>
            <w:tcW w:w="1486" w:type="dxa"/>
          </w:tcPr>
          <w:p w:rsidR="00D849AA" w:rsidRPr="00CC4FF4" w:rsidRDefault="00EE6D95">
            <w:pPr>
              <w:rPr>
                <w:rFonts w:ascii="Arial" w:hAnsi="Arial" w:cs="Arial"/>
              </w:rPr>
            </w:pPr>
            <w:r w:rsidRPr="00CC4FF4">
              <w:rPr>
                <w:rFonts w:ascii="Arial" w:hAnsi="Arial" w:cs="Arial"/>
              </w:rPr>
              <w:t>12</w:t>
            </w:r>
          </w:p>
        </w:tc>
        <w:tc>
          <w:tcPr>
            <w:tcW w:w="1486" w:type="dxa"/>
          </w:tcPr>
          <w:p w:rsidR="00D849AA" w:rsidRPr="00CC4FF4" w:rsidRDefault="00EE6D95">
            <w:pPr>
              <w:rPr>
                <w:rFonts w:ascii="Arial" w:hAnsi="Arial" w:cs="Arial"/>
              </w:rPr>
            </w:pPr>
            <w:r w:rsidRPr="00CC4FF4">
              <w:rPr>
                <w:rFonts w:ascii="Arial" w:hAnsi="Arial" w:cs="Arial"/>
              </w:rPr>
              <w:t>15</w:t>
            </w:r>
          </w:p>
        </w:tc>
      </w:tr>
      <w:tr w:rsidR="00D849AA" w:rsidRPr="00CC4FF4">
        <w:trPr>
          <w:jc w:val="center"/>
        </w:trPr>
        <w:tc>
          <w:tcPr>
            <w:tcW w:w="2229" w:type="dxa"/>
          </w:tcPr>
          <w:p w:rsidR="00D849AA" w:rsidRPr="00CC4FF4" w:rsidRDefault="00EE6D95">
            <w:pPr>
              <w:pStyle w:val="CellColumn"/>
            </w:pPr>
            <w:r w:rsidRPr="00CC4FF4">
              <w:t>Broj sudionika na seminarima za vijeća i predstavnika nacionalnih manjina</w:t>
            </w:r>
          </w:p>
        </w:tc>
        <w:tc>
          <w:tcPr>
            <w:tcW w:w="1114" w:type="dxa"/>
          </w:tcPr>
          <w:p w:rsidR="00D849AA" w:rsidRPr="00CC4FF4" w:rsidRDefault="00EE6D95">
            <w:pPr>
              <w:rPr>
                <w:rFonts w:ascii="Arial" w:hAnsi="Arial" w:cs="Arial"/>
              </w:rPr>
            </w:pPr>
            <w:r w:rsidRPr="00CC4FF4">
              <w:rPr>
                <w:rFonts w:ascii="Arial" w:hAnsi="Arial" w:cs="Arial"/>
              </w:rPr>
              <w:t>broj</w:t>
            </w:r>
          </w:p>
        </w:tc>
        <w:tc>
          <w:tcPr>
            <w:tcW w:w="1114" w:type="dxa"/>
          </w:tcPr>
          <w:p w:rsidR="00D849AA" w:rsidRPr="00CC4FF4" w:rsidRDefault="00EE6D95">
            <w:pPr>
              <w:rPr>
                <w:rFonts w:ascii="Arial" w:hAnsi="Arial" w:cs="Arial"/>
              </w:rPr>
            </w:pPr>
            <w:r w:rsidRPr="00CC4FF4">
              <w:rPr>
                <w:rFonts w:ascii="Arial" w:hAnsi="Arial" w:cs="Arial"/>
              </w:rPr>
              <w:t>120</w:t>
            </w:r>
          </w:p>
        </w:tc>
        <w:tc>
          <w:tcPr>
            <w:tcW w:w="1486" w:type="dxa"/>
          </w:tcPr>
          <w:p w:rsidR="00D849AA" w:rsidRPr="00CC4FF4" w:rsidRDefault="00EE6D95">
            <w:pPr>
              <w:rPr>
                <w:rFonts w:ascii="Arial" w:hAnsi="Arial" w:cs="Arial"/>
              </w:rPr>
            </w:pPr>
            <w:r w:rsidRPr="00CC4FF4">
              <w:rPr>
                <w:rFonts w:ascii="Arial" w:hAnsi="Arial" w:cs="Arial"/>
              </w:rPr>
              <w:t>160</w:t>
            </w:r>
          </w:p>
        </w:tc>
        <w:tc>
          <w:tcPr>
            <w:tcW w:w="1486" w:type="dxa"/>
          </w:tcPr>
          <w:p w:rsidR="00D849AA" w:rsidRPr="00CC4FF4" w:rsidRDefault="00EE6D95">
            <w:pPr>
              <w:rPr>
                <w:rFonts w:ascii="Arial" w:hAnsi="Arial" w:cs="Arial"/>
              </w:rPr>
            </w:pPr>
            <w:r w:rsidRPr="00CC4FF4">
              <w:rPr>
                <w:rFonts w:ascii="Arial" w:hAnsi="Arial" w:cs="Arial"/>
              </w:rPr>
              <w:t>200</w:t>
            </w:r>
          </w:p>
        </w:tc>
        <w:tc>
          <w:tcPr>
            <w:tcW w:w="1486" w:type="dxa"/>
          </w:tcPr>
          <w:p w:rsidR="00D849AA" w:rsidRPr="00CC4FF4" w:rsidRDefault="00EE6D95">
            <w:pPr>
              <w:rPr>
                <w:rFonts w:ascii="Arial" w:hAnsi="Arial" w:cs="Arial"/>
              </w:rPr>
            </w:pPr>
            <w:r w:rsidRPr="00CC4FF4">
              <w:rPr>
                <w:rFonts w:ascii="Arial" w:hAnsi="Arial" w:cs="Arial"/>
              </w:rPr>
              <w:t>260</w:t>
            </w:r>
          </w:p>
        </w:tc>
      </w:tr>
    </w:tbl>
    <w:p w:rsidR="00D849AA" w:rsidRPr="00CC4FF4" w:rsidRDefault="00D849AA">
      <w:pPr>
        <w:jc w:val="left"/>
        <w:rPr>
          <w:rFonts w:ascii="Arial" w:hAnsi="Arial" w:cs="Arial"/>
        </w:rPr>
      </w:pPr>
    </w:p>
    <w:p w:rsidR="00D849AA" w:rsidRDefault="00EE6D95">
      <w:pPr>
        <w:pStyle w:val="Naslov6"/>
      </w:pPr>
      <w:r>
        <w:lastRenderedPageBreak/>
        <w:t>A513023 IPA 2008 - PROJEKT POTPORE ROMIMA, FAZA III</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CC4FF4" w:rsidRDefault="00EE6D95">
            <w:pPr>
              <w:pStyle w:val="CellHeader"/>
            </w:pPr>
            <w:r w:rsidRPr="00CC4FF4">
              <w:t>Naziv aktivnosti</w:t>
            </w:r>
          </w:p>
        </w:tc>
        <w:tc>
          <w:tcPr>
            <w:tcW w:w="1486" w:type="dxa"/>
            <w:shd w:val="clear" w:color="auto" w:fill="B5C0D8"/>
          </w:tcPr>
          <w:p w:rsidR="00D849AA" w:rsidRPr="00CC4FF4" w:rsidRDefault="00EE6D95">
            <w:pPr>
              <w:pStyle w:val="CellHeader"/>
            </w:pPr>
            <w:r w:rsidRPr="00CC4FF4">
              <w:t>Plan 2013.</w:t>
            </w:r>
          </w:p>
        </w:tc>
        <w:tc>
          <w:tcPr>
            <w:tcW w:w="1486" w:type="dxa"/>
            <w:shd w:val="clear" w:color="auto" w:fill="B5C0D8"/>
          </w:tcPr>
          <w:p w:rsidR="00D849AA" w:rsidRPr="00CC4FF4" w:rsidRDefault="00EE6D95">
            <w:pPr>
              <w:pStyle w:val="CellHeader"/>
            </w:pPr>
            <w:r w:rsidRPr="00CC4FF4">
              <w:t>Plan 2014.</w:t>
            </w:r>
          </w:p>
        </w:tc>
        <w:tc>
          <w:tcPr>
            <w:tcW w:w="1486" w:type="dxa"/>
            <w:shd w:val="clear" w:color="auto" w:fill="B5C0D8"/>
          </w:tcPr>
          <w:p w:rsidR="00D849AA" w:rsidRPr="00CC4FF4" w:rsidRDefault="00EE6D95">
            <w:pPr>
              <w:pStyle w:val="CellHeader"/>
            </w:pPr>
            <w:r w:rsidRPr="00CC4FF4">
              <w:t>Plan 2015.</w:t>
            </w:r>
          </w:p>
        </w:tc>
        <w:tc>
          <w:tcPr>
            <w:tcW w:w="1486" w:type="dxa"/>
            <w:shd w:val="clear" w:color="auto" w:fill="B5C0D8"/>
          </w:tcPr>
          <w:p w:rsidR="00D849AA" w:rsidRPr="00CC4FF4" w:rsidRDefault="00EE6D95">
            <w:pPr>
              <w:pStyle w:val="CellHeader"/>
            </w:pPr>
            <w:r w:rsidRPr="00CC4FF4">
              <w:t>Plan 2016.</w:t>
            </w:r>
          </w:p>
        </w:tc>
        <w:tc>
          <w:tcPr>
            <w:tcW w:w="1486" w:type="dxa"/>
            <w:shd w:val="clear" w:color="auto" w:fill="B5C0D8"/>
          </w:tcPr>
          <w:p w:rsidR="00D849AA" w:rsidRPr="00CC4FF4" w:rsidRDefault="00EE6D95">
            <w:pPr>
              <w:pStyle w:val="CellHeader"/>
            </w:pPr>
            <w:r w:rsidRPr="00CC4FF4">
              <w:t>Indeks 2014/2013</w:t>
            </w:r>
          </w:p>
        </w:tc>
      </w:tr>
      <w:tr w:rsidR="00D849AA">
        <w:trPr>
          <w:jc w:val="center"/>
        </w:trPr>
        <w:tc>
          <w:tcPr>
            <w:tcW w:w="1486" w:type="dxa"/>
          </w:tcPr>
          <w:p w:rsidR="00D849AA" w:rsidRPr="00CC4FF4" w:rsidRDefault="00EE6D95">
            <w:pPr>
              <w:pStyle w:val="CellColumn"/>
            </w:pPr>
            <w:r w:rsidRPr="00CC4FF4">
              <w:t>A513023</w:t>
            </w:r>
          </w:p>
        </w:tc>
        <w:tc>
          <w:tcPr>
            <w:tcW w:w="1486" w:type="dxa"/>
          </w:tcPr>
          <w:p w:rsidR="00D849AA" w:rsidRPr="00CC4FF4" w:rsidRDefault="00EE6D95">
            <w:pPr>
              <w:rPr>
                <w:rFonts w:ascii="Arial" w:hAnsi="Arial" w:cs="Arial"/>
              </w:rPr>
            </w:pPr>
            <w:r w:rsidRPr="00CC4FF4">
              <w:rPr>
                <w:rFonts w:ascii="Arial" w:hAnsi="Arial" w:cs="Arial"/>
              </w:rPr>
              <w:t>4.605.000</w:t>
            </w:r>
          </w:p>
        </w:tc>
        <w:tc>
          <w:tcPr>
            <w:tcW w:w="1486" w:type="dxa"/>
          </w:tcPr>
          <w:p w:rsidR="00D849AA" w:rsidRPr="00CC4FF4" w:rsidRDefault="00EE6D95">
            <w:pPr>
              <w:rPr>
                <w:rFonts w:ascii="Arial" w:hAnsi="Arial" w:cs="Arial"/>
              </w:rPr>
            </w:pPr>
            <w:r w:rsidRPr="00CC4FF4">
              <w:rPr>
                <w:rFonts w:ascii="Arial" w:hAnsi="Arial" w:cs="Arial"/>
              </w:rPr>
              <w:t>2.825.000</w:t>
            </w:r>
          </w:p>
        </w:tc>
        <w:tc>
          <w:tcPr>
            <w:tcW w:w="1486" w:type="dxa"/>
          </w:tcPr>
          <w:p w:rsidR="00D849AA" w:rsidRPr="00CC4FF4" w:rsidRDefault="00EE6D95">
            <w:pPr>
              <w:rPr>
                <w:rFonts w:ascii="Arial" w:hAnsi="Arial" w:cs="Arial"/>
              </w:rPr>
            </w:pPr>
            <w:r w:rsidRPr="00CC4FF4">
              <w:rPr>
                <w:rFonts w:ascii="Arial" w:hAnsi="Arial" w:cs="Arial"/>
              </w:rPr>
              <w:t>00</w:t>
            </w:r>
          </w:p>
        </w:tc>
        <w:tc>
          <w:tcPr>
            <w:tcW w:w="1486" w:type="dxa"/>
          </w:tcPr>
          <w:p w:rsidR="00D849AA" w:rsidRPr="00CC4FF4" w:rsidRDefault="00EE6D95">
            <w:pPr>
              <w:rPr>
                <w:rFonts w:ascii="Arial" w:hAnsi="Arial" w:cs="Arial"/>
              </w:rPr>
            </w:pPr>
            <w:r w:rsidRPr="00CC4FF4">
              <w:rPr>
                <w:rFonts w:ascii="Arial" w:hAnsi="Arial" w:cs="Arial"/>
              </w:rPr>
              <w:t>00</w:t>
            </w:r>
          </w:p>
        </w:tc>
        <w:tc>
          <w:tcPr>
            <w:tcW w:w="1486" w:type="dxa"/>
          </w:tcPr>
          <w:p w:rsidR="00D849AA" w:rsidRPr="00CC4FF4" w:rsidRDefault="00EE6D95">
            <w:pPr>
              <w:rPr>
                <w:rFonts w:ascii="Arial" w:hAnsi="Arial" w:cs="Arial"/>
              </w:rPr>
            </w:pPr>
            <w:r w:rsidRPr="00CC4FF4">
              <w:rPr>
                <w:rFonts w:ascii="Arial" w:hAnsi="Arial" w:cs="Arial"/>
              </w:rPr>
              <w:t>61,3</w:t>
            </w:r>
          </w:p>
        </w:tc>
      </w:tr>
    </w:tbl>
    <w:p w:rsidR="00D849AA" w:rsidRDefault="00D849AA">
      <w:pPr>
        <w:jc w:val="left"/>
      </w:pPr>
    </w:p>
    <w:p w:rsidR="00D849AA" w:rsidRDefault="00EE6D95">
      <w:pPr>
        <w:pStyle w:val="Normal6"/>
      </w:pPr>
      <w:r>
        <w:t>Uz potporu sredstava iz državnog proračuna te sredstvima iz donacije Europske komisije  (program IPA I 2008) na području Međimurske županije uređuju se lokacije naseljene Romima u cilju potpunije stambene integracije pripadnika  romske nacionalne manjine koji su živjeli u ilegalnim naseljima. U okviru „Projekta potpore Romima –faza III, IPA I 2008 program, uređuje se kompletna infrastruktura u dva romska naselja u Međimurskoj županiji -Orehovica i Mursko Središće (Sitnice).</w:t>
      </w:r>
    </w:p>
    <w:p w:rsidR="00D849AA" w:rsidRDefault="00EE6D95">
      <w:pPr>
        <w:pStyle w:val="Naslov6"/>
      </w:pPr>
      <w:r>
        <w:t>A513030 PROGRAMI ZA ROME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rsidRPr="00CC4FF4">
        <w:trPr>
          <w:jc w:val="center"/>
        </w:trPr>
        <w:tc>
          <w:tcPr>
            <w:tcW w:w="1486" w:type="dxa"/>
            <w:shd w:val="clear" w:color="auto" w:fill="B5C0D8"/>
          </w:tcPr>
          <w:p w:rsidR="00D849AA" w:rsidRPr="00CC4FF4" w:rsidRDefault="00EE6D95">
            <w:pPr>
              <w:pStyle w:val="CellHeader"/>
            </w:pPr>
            <w:r w:rsidRPr="00CC4FF4">
              <w:t>Naziv aktivnosti</w:t>
            </w:r>
          </w:p>
        </w:tc>
        <w:tc>
          <w:tcPr>
            <w:tcW w:w="1486" w:type="dxa"/>
            <w:shd w:val="clear" w:color="auto" w:fill="B5C0D8"/>
          </w:tcPr>
          <w:p w:rsidR="00D849AA" w:rsidRPr="00CC4FF4" w:rsidRDefault="00EE6D95">
            <w:pPr>
              <w:pStyle w:val="CellHeader"/>
            </w:pPr>
            <w:r w:rsidRPr="00CC4FF4">
              <w:t>Plan 2013.</w:t>
            </w:r>
          </w:p>
        </w:tc>
        <w:tc>
          <w:tcPr>
            <w:tcW w:w="1486" w:type="dxa"/>
            <w:shd w:val="clear" w:color="auto" w:fill="B5C0D8"/>
          </w:tcPr>
          <w:p w:rsidR="00D849AA" w:rsidRPr="00CC4FF4" w:rsidRDefault="00EE6D95">
            <w:pPr>
              <w:pStyle w:val="CellHeader"/>
            </w:pPr>
            <w:r w:rsidRPr="00CC4FF4">
              <w:t>Plan 2014.</w:t>
            </w:r>
          </w:p>
        </w:tc>
        <w:tc>
          <w:tcPr>
            <w:tcW w:w="1486" w:type="dxa"/>
            <w:shd w:val="clear" w:color="auto" w:fill="B5C0D8"/>
          </w:tcPr>
          <w:p w:rsidR="00D849AA" w:rsidRPr="00CC4FF4" w:rsidRDefault="00EE6D95">
            <w:pPr>
              <w:pStyle w:val="CellHeader"/>
            </w:pPr>
            <w:r w:rsidRPr="00CC4FF4">
              <w:t>Plan 2015.</w:t>
            </w:r>
          </w:p>
        </w:tc>
        <w:tc>
          <w:tcPr>
            <w:tcW w:w="1486" w:type="dxa"/>
            <w:shd w:val="clear" w:color="auto" w:fill="B5C0D8"/>
          </w:tcPr>
          <w:p w:rsidR="00D849AA" w:rsidRPr="00CC4FF4" w:rsidRDefault="00EE6D95">
            <w:pPr>
              <w:pStyle w:val="CellHeader"/>
            </w:pPr>
            <w:r w:rsidRPr="00CC4FF4">
              <w:t>Plan 2016.</w:t>
            </w:r>
          </w:p>
        </w:tc>
        <w:tc>
          <w:tcPr>
            <w:tcW w:w="1486" w:type="dxa"/>
            <w:shd w:val="clear" w:color="auto" w:fill="B5C0D8"/>
          </w:tcPr>
          <w:p w:rsidR="00D849AA" w:rsidRPr="00CC4FF4" w:rsidRDefault="00EE6D95">
            <w:pPr>
              <w:pStyle w:val="CellHeader"/>
            </w:pPr>
            <w:r w:rsidRPr="00CC4FF4">
              <w:t>Indeks 2014/2013</w:t>
            </w:r>
          </w:p>
        </w:tc>
      </w:tr>
      <w:tr w:rsidR="00D849AA" w:rsidRPr="00CC4FF4">
        <w:trPr>
          <w:jc w:val="center"/>
        </w:trPr>
        <w:tc>
          <w:tcPr>
            <w:tcW w:w="1486" w:type="dxa"/>
          </w:tcPr>
          <w:p w:rsidR="00D849AA" w:rsidRPr="00CC4FF4" w:rsidRDefault="00EE6D95">
            <w:pPr>
              <w:pStyle w:val="CellColumn"/>
            </w:pPr>
            <w:r w:rsidRPr="00CC4FF4">
              <w:t>A513030</w:t>
            </w:r>
          </w:p>
        </w:tc>
        <w:tc>
          <w:tcPr>
            <w:tcW w:w="1486" w:type="dxa"/>
          </w:tcPr>
          <w:p w:rsidR="00D849AA" w:rsidRPr="00CC4FF4" w:rsidRDefault="00EE6D95">
            <w:pPr>
              <w:rPr>
                <w:rFonts w:ascii="Arial" w:hAnsi="Arial" w:cs="Arial"/>
              </w:rPr>
            </w:pPr>
            <w:r w:rsidRPr="00CC4FF4">
              <w:rPr>
                <w:rFonts w:ascii="Arial" w:hAnsi="Arial" w:cs="Arial"/>
              </w:rPr>
              <w:t>2.537.100</w:t>
            </w:r>
          </w:p>
        </w:tc>
        <w:tc>
          <w:tcPr>
            <w:tcW w:w="1486" w:type="dxa"/>
          </w:tcPr>
          <w:p w:rsidR="00D849AA" w:rsidRPr="00CC4FF4" w:rsidRDefault="00EE6D95">
            <w:pPr>
              <w:rPr>
                <w:rFonts w:ascii="Arial" w:hAnsi="Arial" w:cs="Arial"/>
              </w:rPr>
            </w:pPr>
            <w:r w:rsidRPr="00CC4FF4">
              <w:rPr>
                <w:rFonts w:ascii="Arial" w:hAnsi="Arial" w:cs="Arial"/>
              </w:rPr>
              <w:t>1.115.000</w:t>
            </w:r>
          </w:p>
        </w:tc>
        <w:tc>
          <w:tcPr>
            <w:tcW w:w="1486" w:type="dxa"/>
          </w:tcPr>
          <w:p w:rsidR="00D849AA" w:rsidRPr="00CC4FF4" w:rsidRDefault="00EE6D95">
            <w:pPr>
              <w:rPr>
                <w:rFonts w:ascii="Arial" w:hAnsi="Arial" w:cs="Arial"/>
              </w:rPr>
            </w:pPr>
            <w:r w:rsidRPr="00CC4FF4">
              <w:rPr>
                <w:rFonts w:ascii="Arial" w:hAnsi="Arial" w:cs="Arial"/>
              </w:rPr>
              <w:t>1.265.000</w:t>
            </w:r>
          </w:p>
        </w:tc>
        <w:tc>
          <w:tcPr>
            <w:tcW w:w="1486" w:type="dxa"/>
          </w:tcPr>
          <w:p w:rsidR="00D849AA" w:rsidRPr="00CC4FF4" w:rsidRDefault="00EE6D95">
            <w:pPr>
              <w:rPr>
                <w:rFonts w:ascii="Arial" w:hAnsi="Arial" w:cs="Arial"/>
              </w:rPr>
            </w:pPr>
            <w:r w:rsidRPr="00CC4FF4">
              <w:rPr>
                <w:rFonts w:ascii="Arial" w:hAnsi="Arial" w:cs="Arial"/>
              </w:rPr>
              <w:t>1.265.000</w:t>
            </w:r>
          </w:p>
        </w:tc>
        <w:tc>
          <w:tcPr>
            <w:tcW w:w="1486" w:type="dxa"/>
          </w:tcPr>
          <w:p w:rsidR="00D849AA" w:rsidRPr="00CC4FF4" w:rsidRDefault="00EE6D95">
            <w:pPr>
              <w:rPr>
                <w:rFonts w:ascii="Arial" w:hAnsi="Arial" w:cs="Arial"/>
              </w:rPr>
            </w:pPr>
            <w:r w:rsidRPr="00CC4FF4">
              <w:rPr>
                <w:rFonts w:ascii="Arial" w:hAnsi="Arial" w:cs="Arial"/>
              </w:rPr>
              <w:t>43,9</w:t>
            </w:r>
          </w:p>
        </w:tc>
      </w:tr>
    </w:tbl>
    <w:p w:rsidR="00D849AA" w:rsidRPr="00CC4FF4" w:rsidRDefault="00D849AA">
      <w:pPr>
        <w:jc w:val="left"/>
        <w:rPr>
          <w:rFonts w:ascii="Arial" w:hAnsi="Arial" w:cs="Arial"/>
        </w:rPr>
      </w:pPr>
    </w:p>
    <w:p w:rsidR="00D849AA" w:rsidRDefault="00EE6D95">
      <w:pPr>
        <w:pStyle w:val="Normal6"/>
      </w:pPr>
      <w:r>
        <w:t xml:space="preserve">Vlada Republike Hrvatske donijela je novu Nacionalnu strategiju za uključivanje Roma za razdoblje 2013.-2020. godine u cilju poboljšanja položaja romske nacionalne manjine kojim se na sustavan način pripadnicima romske nacionalne manjine nastoje osigurati poboljšani uvjeti života u više područja. Nova Nacionalna strategija  usklađena je s temeljnim strateškim i programskim dokumentima EU, Europa 2020 i Okvir EU za nacionalne strategije integracije Roma do 2020. Opći cilj ovog novog dokumenta usmjeren je na poboljšanje položaja romske nacionalne manjine u Republici Hrvatskoj smanjivanjem višedimenzionalnog socio-ekonomskog jaza između romske i neromske populacije u cilju postizanja sveobuhvatnog uključivanja Roma u sve segmente društva što će se postići podizanjem razine općeg i ciljanog obrazovanja, poboljšanjem ekonomskog i zdravstvenog statusa, te poboljšanjem društvenog položaja Roma, uključujući statusna pitanja, zdravstvo, socijalnu skrb, stanovanje i prostorno uređenje, obrazovanje, zapošljavanje, suzbijanje diskriminacije, očuvanje tradicijske kulture, zaštita obitelji, materinstva i mladeži te uključivanje u društveni i politički život.  </w:t>
      </w:r>
    </w:p>
    <w:p w:rsidR="00D849AA" w:rsidRDefault="00EE6D95">
      <w:pPr>
        <w:pStyle w:val="Normal6"/>
      </w:pPr>
      <w:r>
        <w:t xml:space="preserve">U cilju provedbe navedenog dokumenta Vlada je donijela Akcijski plan za provedbu Nacionalne strategije za uključivanje Roma 2013.-2015. Ured provodi aktivnosti u vezi s provedbom mjera Akcijskog plana za provedbu navedene Strategije za trogodišnje razdoblje. </w:t>
      </w:r>
    </w:p>
    <w:p w:rsidR="00CC4FF4" w:rsidRDefault="00EE6D95" w:rsidP="00CC4FF4">
      <w:pPr>
        <w:pStyle w:val="Normal6"/>
      </w:pPr>
      <w:r>
        <w:t>Sukladno Odluci Vlade Republike Hrvatske osnovano je Povjerenstvo za praćenje provedbe Nacionalne strategije za uključivanje Roma. Zadaće Povjerenstva su sustavno praćenje i koordiniranje provedbe Nacionalne strategije za Rome, predlaganje mjera za unaprjeđenje provođenja Strategije, izrada preporuka, mišljenja, stručnih analiza i obrazloženja u svezi s provedbom Strategije, predlaganje izmjena i dopuna Strategije, praćenje rasporeda sredstava za provođenje mjera Strategije za Rome koja se izdvajaju iz državnog proračuna, te raspodjela financijskih sredstava za rješavanje problema i poboljšanje uvjeta života pripadnika romske nacionalne manjine.</w:t>
      </w:r>
    </w:p>
    <w:p w:rsidR="00CC4FF4" w:rsidRDefault="00CC4FF4" w:rsidP="00CC4FF4">
      <w:pPr>
        <w:pStyle w:val="Normal6"/>
      </w:pPr>
    </w:p>
    <w:p w:rsidR="00D849AA" w:rsidRDefault="00EE6D95">
      <w:pPr>
        <w:pStyle w:val="Naslov6"/>
      </w:pPr>
      <w:r>
        <w:lastRenderedPageBreak/>
        <w:t>A513031 ZAJEDNIČKO VIJEĆE OPĆINA, VUKOVAR</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CC4FF4" w:rsidRDefault="00EE6D95">
            <w:pPr>
              <w:pStyle w:val="CellHeader"/>
            </w:pPr>
            <w:r w:rsidRPr="00CC4FF4">
              <w:t>Naziv aktivnosti</w:t>
            </w:r>
          </w:p>
        </w:tc>
        <w:tc>
          <w:tcPr>
            <w:tcW w:w="1486" w:type="dxa"/>
            <w:shd w:val="clear" w:color="auto" w:fill="B5C0D8"/>
          </w:tcPr>
          <w:p w:rsidR="00D849AA" w:rsidRPr="00CC4FF4" w:rsidRDefault="00EE6D95">
            <w:pPr>
              <w:pStyle w:val="CellHeader"/>
            </w:pPr>
            <w:r w:rsidRPr="00CC4FF4">
              <w:t>Plan 2013.</w:t>
            </w:r>
          </w:p>
        </w:tc>
        <w:tc>
          <w:tcPr>
            <w:tcW w:w="1486" w:type="dxa"/>
            <w:shd w:val="clear" w:color="auto" w:fill="B5C0D8"/>
          </w:tcPr>
          <w:p w:rsidR="00D849AA" w:rsidRPr="00CC4FF4" w:rsidRDefault="00EE6D95">
            <w:pPr>
              <w:pStyle w:val="CellHeader"/>
            </w:pPr>
            <w:r w:rsidRPr="00CC4FF4">
              <w:t>Plan 2014.</w:t>
            </w:r>
          </w:p>
        </w:tc>
        <w:tc>
          <w:tcPr>
            <w:tcW w:w="1486" w:type="dxa"/>
            <w:shd w:val="clear" w:color="auto" w:fill="B5C0D8"/>
          </w:tcPr>
          <w:p w:rsidR="00D849AA" w:rsidRPr="00CC4FF4" w:rsidRDefault="00EE6D95">
            <w:pPr>
              <w:pStyle w:val="CellHeader"/>
            </w:pPr>
            <w:r w:rsidRPr="00CC4FF4">
              <w:t>Plan 2015.</w:t>
            </w:r>
          </w:p>
        </w:tc>
        <w:tc>
          <w:tcPr>
            <w:tcW w:w="1486" w:type="dxa"/>
            <w:shd w:val="clear" w:color="auto" w:fill="B5C0D8"/>
          </w:tcPr>
          <w:p w:rsidR="00D849AA" w:rsidRPr="00CC4FF4" w:rsidRDefault="00EE6D95">
            <w:pPr>
              <w:pStyle w:val="CellHeader"/>
            </w:pPr>
            <w:r w:rsidRPr="00CC4FF4">
              <w:t>Plan 2016.</w:t>
            </w:r>
          </w:p>
        </w:tc>
        <w:tc>
          <w:tcPr>
            <w:tcW w:w="1486" w:type="dxa"/>
            <w:shd w:val="clear" w:color="auto" w:fill="B5C0D8"/>
          </w:tcPr>
          <w:p w:rsidR="00D849AA" w:rsidRPr="00CC4FF4" w:rsidRDefault="00EE6D95">
            <w:pPr>
              <w:pStyle w:val="CellHeader"/>
            </w:pPr>
            <w:r w:rsidRPr="00CC4FF4">
              <w:t>Indeks 2014/2013</w:t>
            </w:r>
          </w:p>
        </w:tc>
      </w:tr>
      <w:tr w:rsidR="00D849AA">
        <w:trPr>
          <w:jc w:val="center"/>
        </w:trPr>
        <w:tc>
          <w:tcPr>
            <w:tcW w:w="1486" w:type="dxa"/>
          </w:tcPr>
          <w:p w:rsidR="00D849AA" w:rsidRPr="00CC4FF4" w:rsidRDefault="00EE6D95">
            <w:pPr>
              <w:pStyle w:val="CellColumn"/>
            </w:pPr>
            <w:r w:rsidRPr="00CC4FF4">
              <w:t>A513031</w:t>
            </w:r>
          </w:p>
        </w:tc>
        <w:tc>
          <w:tcPr>
            <w:tcW w:w="1486" w:type="dxa"/>
          </w:tcPr>
          <w:p w:rsidR="00D849AA" w:rsidRPr="00CC4FF4" w:rsidRDefault="00EE6D95">
            <w:pPr>
              <w:rPr>
                <w:rFonts w:ascii="Arial" w:hAnsi="Arial" w:cs="Arial"/>
              </w:rPr>
            </w:pPr>
            <w:r w:rsidRPr="00CC4FF4">
              <w:rPr>
                <w:rFonts w:ascii="Arial" w:hAnsi="Arial" w:cs="Arial"/>
              </w:rPr>
              <w:t>1.500.000</w:t>
            </w:r>
          </w:p>
        </w:tc>
        <w:tc>
          <w:tcPr>
            <w:tcW w:w="1486" w:type="dxa"/>
          </w:tcPr>
          <w:p w:rsidR="00D849AA" w:rsidRPr="00CC4FF4" w:rsidRDefault="00EE6D95">
            <w:pPr>
              <w:rPr>
                <w:rFonts w:ascii="Arial" w:hAnsi="Arial" w:cs="Arial"/>
              </w:rPr>
            </w:pPr>
            <w:r w:rsidRPr="00CC4FF4">
              <w:rPr>
                <w:rFonts w:ascii="Arial" w:hAnsi="Arial" w:cs="Arial"/>
              </w:rPr>
              <w:t>1.500.000</w:t>
            </w:r>
          </w:p>
        </w:tc>
        <w:tc>
          <w:tcPr>
            <w:tcW w:w="1486" w:type="dxa"/>
          </w:tcPr>
          <w:p w:rsidR="00D849AA" w:rsidRPr="00CC4FF4" w:rsidRDefault="00EE6D95">
            <w:pPr>
              <w:rPr>
                <w:rFonts w:ascii="Arial" w:hAnsi="Arial" w:cs="Arial"/>
              </w:rPr>
            </w:pPr>
            <w:r w:rsidRPr="00CC4FF4">
              <w:rPr>
                <w:rFonts w:ascii="Arial" w:hAnsi="Arial" w:cs="Arial"/>
              </w:rPr>
              <w:t>1.500.000</w:t>
            </w:r>
          </w:p>
        </w:tc>
        <w:tc>
          <w:tcPr>
            <w:tcW w:w="1486" w:type="dxa"/>
          </w:tcPr>
          <w:p w:rsidR="00D849AA" w:rsidRPr="00CC4FF4" w:rsidRDefault="00EE6D95">
            <w:pPr>
              <w:rPr>
                <w:rFonts w:ascii="Arial" w:hAnsi="Arial" w:cs="Arial"/>
              </w:rPr>
            </w:pPr>
            <w:r w:rsidRPr="00CC4FF4">
              <w:rPr>
                <w:rFonts w:ascii="Arial" w:hAnsi="Arial" w:cs="Arial"/>
              </w:rPr>
              <w:t>1.500.000</w:t>
            </w:r>
          </w:p>
        </w:tc>
        <w:tc>
          <w:tcPr>
            <w:tcW w:w="1486" w:type="dxa"/>
          </w:tcPr>
          <w:p w:rsidR="00D849AA" w:rsidRPr="00CC4FF4" w:rsidRDefault="00EE6D95">
            <w:pPr>
              <w:rPr>
                <w:rFonts w:ascii="Arial" w:hAnsi="Arial" w:cs="Arial"/>
              </w:rPr>
            </w:pPr>
            <w:r w:rsidRPr="00CC4FF4">
              <w:rPr>
                <w:rFonts w:ascii="Arial" w:hAnsi="Arial" w:cs="Arial"/>
              </w:rPr>
              <w:t>100,0</w:t>
            </w:r>
          </w:p>
        </w:tc>
      </w:tr>
    </w:tbl>
    <w:p w:rsidR="00D849AA" w:rsidRDefault="00D849AA">
      <w:pPr>
        <w:jc w:val="left"/>
      </w:pPr>
    </w:p>
    <w:p w:rsidR="00D849AA" w:rsidRDefault="00EE6D95">
      <w:pPr>
        <w:pStyle w:val="Normal6"/>
      </w:pPr>
      <w:r>
        <w:t>U cilju izgradnje građanskog povjerenja putem dijaloga kroz institucije sustava u Državnom proračunu Republike Hrvatske za 2014. godinu na poziciji Ureda planirana su sredstva u iznosu od 1.500.000 kuna za rad Zajedničkog vijeća općina  iz Vukovara,  udruge srpske nacionalne manjine koja usklađuje interese srpske nacionalne manjine na području Vukovarsko-srijemske i Osječko-baranjske županije.</w:t>
      </w:r>
    </w:p>
    <w:p w:rsidR="00D849AA" w:rsidRDefault="00EE6D95">
      <w:pPr>
        <w:pStyle w:val="Naslov6"/>
      </w:pPr>
      <w:r>
        <w:t>A513034 SRPSKO NARODNO VIJEĆE - NACIONALNA KOORDINACIJA VIJEĆA SRPSKE NACIONALNE ZAJEDNICE U REPUBLICI HRVATSKOJ, ZAGREB</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rsidRPr="00CC4FF4">
        <w:trPr>
          <w:jc w:val="center"/>
        </w:trPr>
        <w:tc>
          <w:tcPr>
            <w:tcW w:w="1486" w:type="dxa"/>
            <w:shd w:val="clear" w:color="auto" w:fill="B5C0D8"/>
          </w:tcPr>
          <w:p w:rsidR="00D849AA" w:rsidRPr="00CC4FF4" w:rsidRDefault="00EE6D95">
            <w:pPr>
              <w:pStyle w:val="CellHeader"/>
            </w:pPr>
            <w:r w:rsidRPr="00CC4FF4">
              <w:t>Naziv aktivnosti</w:t>
            </w:r>
          </w:p>
        </w:tc>
        <w:tc>
          <w:tcPr>
            <w:tcW w:w="1486" w:type="dxa"/>
            <w:shd w:val="clear" w:color="auto" w:fill="B5C0D8"/>
          </w:tcPr>
          <w:p w:rsidR="00D849AA" w:rsidRPr="00CC4FF4" w:rsidRDefault="00EE6D95">
            <w:pPr>
              <w:pStyle w:val="CellHeader"/>
            </w:pPr>
            <w:r w:rsidRPr="00CC4FF4">
              <w:t>Plan 2013.</w:t>
            </w:r>
          </w:p>
        </w:tc>
        <w:tc>
          <w:tcPr>
            <w:tcW w:w="1486" w:type="dxa"/>
            <w:shd w:val="clear" w:color="auto" w:fill="B5C0D8"/>
          </w:tcPr>
          <w:p w:rsidR="00D849AA" w:rsidRPr="00CC4FF4" w:rsidRDefault="00EE6D95">
            <w:pPr>
              <w:pStyle w:val="CellHeader"/>
            </w:pPr>
            <w:r w:rsidRPr="00CC4FF4">
              <w:t>Plan 2014.</w:t>
            </w:r>
          </w:p>
        </w:tc>
        <w:tc>
          <w:tcPr>
            <w:tcW w:w="1486" w:type="dxa"/>
            <w:shd w:val="clear" w:color="auto" w:fill="B5C0D8"/>
          </w:tcPr>
          <w:p w:rsidR="00D849AA" w:rsidRPr="00CC4FF4" w:rsidRDefault="00EE6D95">
            <w:pPr>
              <w:pStyle w:val="CellHeader"/>
            </w:pPr>
            <w:r w:rsidRPr="00CC4FF4">
              <w:t>Plan 2015.</w:t>
            </w:r>
          </w:p>
        </w:tc>
        <w:tc>
          <w:tcPr>
            <w:tcW w:w="1486" w:type="dxa"/>
            <w:shd w:val="clear" w:color="auto" w:fill="B5C0D8"/>
          </w:tcPr>
          <w:p w:rsidR="00D849AA" w:rsidRPr="00CC4FF4" w:rsidRDefault="00EE6D95">
            <w:pPr>
              <w:pStyle w:val="CellHeader"/>
            </w:pPr>
            <w:r w:rsidRPr="00CC4FF4">
              <w:t>Plan 2016.</w:t>
            </w:r>
          </w:p>
        </w:tc>
        <w:tc>
          <w:tcPr>
            <w:tcW w:w="1486" w:type="dxa"/>
            <w:shd w:val="clear" w:color="auto" w:fill="B5C0D8"/>
          </w:tcPr>
          <w:p w:rsidR="00D849AA" w:rsidRPr="00CC4FF4" w:rsidRDefault="00EE6D95">
            <w:pPr>
              <w:pStyle w:val="CellHeader"/>
            </w:pPr>
            <w:r w:rsidRPr="00CC4FF4">
              <w:t>Indeks 2014/2013</w:t>
            </w:r>
          </w:p>
        </w:tc>
      </w:tr>
      <w:tr w:rsidR="00D849AA" w:rsidRPr="00CC4FF4">
        <w:trPr>
          <w:jc w:val="center"/>
        </w:trPr>
        <w:tc>
          <w:tcPr>
            <w:tcW w:w="1486" w:type="dxa"/>
          </w:tcPr>
          <w:p w:rsidR="00D849AA" w:rsidRPr="00CC4FF4" w:rsidRDefault="00EE6D95">
            <w:pPr>
              <w:pStyle w:val="CellColumn"/>
            </w:pPr>
            <w:r w:rsidRPr="00CC4FF4">
              <w:t>A513034</w:t>
            </w:r>
          </w:p>
        </w:tc>
        <w:tc>
          <w:tcPr>
            <w:tcW w:w="1486" w:type="dxa"/>
          </w:tcPr>
          <w:p w:rsidR="00D849AA" w:rsidRPr="00CC4FF4" w:rsidRDefault="00EE6D95">
            <w:pPr>
              <w:rPr>
                <w:rFonts w:ascii="Arial" w:hAnsi="Arial" w:cs="Arial"/>
              </w:rPr>
            </w:pPr>
            <w:r w:rsidRPr="00CC4FF4">
              <w:rPr>
                <w:rFonts w:ascii="Arial" w:hAnsi="Arial" w:cs="Arial"/>
              </w:rPr>
              <w:t>7.500.000</w:t>
            </w:r>
          </w:p>
        </w:tc>
        <w:tc>
          <w:tcPr>
            <w:tcW w:w="1486" w:type="dxa"/>
          </w:tcPr>
          <w:p w:rsidR="00D849AA" w:rsidRPr="00CC4FF4" w:rsidRDefault="00EE6D95">
            <w:pPr>
              <w:rPr>
                <w:rFonts w:ascii="Arial" w:hAnsi="Arial" w:cs="Arial"/>
              </w:rPr>
            </w:pPr>
            <w:r w:rsidRPr="00CC4FF4">
              <w:rPr>
                <w:rFonts w:ascii="Arial" w:hAnsi="Arial" w:cs="Arial"/>
              </w:rPr>
              <w:t>7.500.000</w:t>
            </w:r>
          </w:p>
        </w:tc>
        <w:tc>
          <w:tcPr>
            <w:tcW w:w="1486" w:type="dxa"/>
          </w:tcPr>
          <w:p w:rsidR="00D849AA" w:rsidRPr="00CC4FF4" w:rsidRDefault="00EE6D95">
            <w:pPr>
              <w:rPr>
                <w:rFonts w:ascii="Arial" w:hAnsi="Arial" w:cs="Arial"/>
              </w:rPr>
            </w:pPr>
            <w:r w:rsidRPr="00CC4FF4">
              <w:rPr>
                <w:rFonts w:ascii="Arial" w:hAnsi="Arial" w:cs="Arial"/>
              </w:rPr>
              <w:t>7.500.000</w:t>
            </w:r>
          </w:p>
        </w:tc>
        <w:tc>
          <w:tcPr>
            <w:tcW w:w="1486" w:type="dxa"/>
          </w:tcPr>
          <w:p w:rsidR="00D849AA" w:rsidRPr="00CC4FF4" w:rsidRDefault="00EE6D95">
            <w:pPr>
              <w:rPr>
                <w:rFonts w:ascii="Arial" w:hAnsi="Arial" w:cs="Arial"/>
              </w:rPr>
            </w:pPr>
            <w:r w:rsidRPr="00CC4FF4">
              <w:rPr>
                <w:rFonts w:ascii="Arial" w:hAnsi="Arial" w:cs="Arial"/>
              </w:rPr>
              <w:t>7.500.000</w:t>
            </w:r>
          </w:p>
        </w:tc>
        <w:tc>
          <w:tcPr>
            <w:tcW w:w="1486" w:type="dxa"/>
          </w:tcPr>
          <w:p w:rsidR="00D849AA" w:rsidRPr="00CC4FF4" w:rsidRDefault="00EE6D95">
            <w:pPr>
              <w:rPr>
                <w:rFonts w:ascii="Arial" w:hAnsi="Arial" w:cs="Arial"/>
              </w:rPr>
            </w:pPr>
            <w:r w:rsidRPr="00CC4FF4">
              <w:rPr>
                <w:rFonts w:ascii="Arial" w:hAnsi="Arial" w:cs="Arial"/>
              </w:rPr>
              <w:t>100,0</w:t>
            </w:r>
          </w:p>
        </w:tc>
      </w:tr>
    </w:tbl>
    <w:p w:rsidR="00D849AA" w:rsidRPr="00CC4FF4" w:rsidRDefault="00D849AA">
      <w:pPr>
        <w:jc w:val="left"/>
        <w:rPr>
          <w:rFonts w:ascii="Arial" w:hAnsi="Arial" w:cs="Arial"/>
        </w:rPr>
      </w:pPr>
    </w:p>
    <w:p w:rsidR="00D849AA" w:rsidRDefault="00EE6D95">
      <w:pPr>
        <w:pStyle w:val="Normal6"/>
      </w:pPr>
      <w:r>
        <w:t>Srpsko narodno vijeće - nacionalna koordinacija vijeća srpske nacionalne zajednice u Republici Hrvatskoj, Zagreb udruga je srpske nacionalne manjine koja u cilju zaštite i unaprjeđenja nacionalnog kulturnog, jezičnog i vjerskog identiteta  koordinira i usklađuje  interese srpske nacionalne manjine na području Republike Hrvatske. Vijeće je utemeljeno na vrijednostima demokracije, civilnog društva, tolerancije i multikulturalnosti. Pored toga jedan od ciljeva Vijeća je i stvaranje uvjeta za rad postojećih i osnivanje i razvoj novih organizacija i institucija od interesa za Srbe na području Republike Hrvatske.</w:t>
      </w:r>
    </w:p>
    <w:p w:rsidR="00D849AA" w:rsidRDefault="00EE6D95">
      <w:pPr>
        <w:pStyle w:val="Naslov6"/>
      </w:pPr>
      <w:r>
        <w:t>A513035 ROMSKO NACIONALNO VIJEĆE, ZAGREB</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CC4FF4" w:rsidRDefault="00EE6D95">
            <w:pPr>
              <w:pStyle w:val="CellHeader"/>
            </w:pPr>
            <w:r w:rsidRPr="00CC4FF4">
              <w:t>Naziv aktivnosti</w:t>
            </w:r>
          </w:p>
        </w:tc>
        <w:tc>
          <w:tcPr>
            <w:tcW w:w="1486" w:type="dxa"/>
            <w:shd w:val="clear" w:color="auto" w:fill="B5C0D8"/>
          </w:tcPr>
          <w:p w:rsidR="00D849AA" w:rsidRPr="00CC4FF4" w:rsidRDefault="00EE6D95">
            <w:pPr>
              <w:pStyle w:val="CellHeader"/>
            </w:pPr>
            <w:r w:rsidRPr="00CC4FF4">
              <w:t>Plan 2013.</w:t>
            </w:r>
          </w:p>
        </w:tc>
        <w:tc>
          <w:tcPr>
            <w:tcW w:w="1486" w:type="dxa"/>
            <w:shd w:val="clear" w:color="auto" w:fill="B5C0D8"/>
          </w:tcPr>
          <w:p w:rsidR="00D849AA" w:rsidRPr="00CC4FF4" w:rsidRDefault="00EE6D95">
            <w:pPr>
              <w:pStyle w:val="CellHeader"/>
            </w:pPr>
            <w:r w:rsidRPr="00CC4FF4">
              <w:t>Plan 2014.</w:t>
            </w:r>
          </w:p>
        </w:tc>
        <w:tc>
          <w:tcPr>
            <w:tcW w:w="1486" w:type="dxa"/>
            <w:shd w:val="clear" w:color="auto" w:fill="B5C0D8"/>
          </w:tcPr>
          <w:p w:rsidR="00D849AA" w:rsidRPr="00CC4FF4" w:rsidRDefault="00EE6D95">
            <w:pPr>
              <w:pStyle w:val="CellHeader"/>
            </w:pPr>
            <w:r w:rsidRPr="00CC4FF4">
              <w:t>Plan 2015.</w:t>
            </w:r>
          </w:p>
        </w:tc>
        <w:tc>
          <w:tcPr>
            <w:tcW w:w="1486" w:type="dxa"/>
            <w:shd w:val="clear" w:color="auto" w:fill="B5C0D8"/>
          </w:tcPr>
          <w:p w:rsidR="00D849AA" w:rsidRPr="00CC4FF4" w:rsidRDefault="00EE6D95">
            <w:pPr>
              <w:pStyle w:val="CellHeader"/>
            </w:pPr>
            <w:r w:rsidRPr="00CC4FF4">
              <w:t>Plan 2016.</w:t>
            </w:r>
          </w:p>
        </w:tc>
        <w:tc>
          <w:tcPr>
            <w:tcW w:w="1486" w:type="dxa"/>
            <w:shd w:val="clear" w:color="auto" w:fill="B5C0D8"/>
          </w:tcPr>
          <w:p w:rsidR="00D849AA" w:rsidRPr="00CC4FF4" w:rsidRDefault="00EE6D95">
            <w:pPr>
              <w:pStyle w:val="CellHeader"/>
            </w:pPr>
            <w:r w:rsidRPr="00CC4FF4">
              <w:t>Indeks 2014/2013</w:t>
            </w:r>
          </w:p>
        </w:tc>
      </w:tr>
      <w:tr w:rsidR="00D849AA">
        <w:trPr>
          <w:jc w:val="center"/>
        </w:trPr>
        <w:tc>
          <w:tcPr>
            <w:tcW w:w="1486" w:type="dxa"/>
          </w:tcPr>
          <w:p w:rsidR="00D849AA" w:rsidRPr="00CC4FF4" w:rsidRDefault="00EE6D95">
            <w:pPr>
              <w:pStyle w:val="CellColumn"/>
            </w:pPr>
            <w:r w:rsidRPr="00CC4FF4">
              <w:t>A513035</w:t>
            </w:r>
          </w:p>
        </w:tc>
        <w:tc>
          <w:tcPr>
            <w:tcW w:w="1486" w:type="dxa"/>
          </w:tcPr>
          <w:p w:rsidR="00D849AA" w:rsidRPr="00CC4FF4" w:rsidRDefault="00EE6D95">
            <w:pPr>
              <w:rPr>
                <w:rFonts w:ascii="Arial" w:hAnsi="Arial" w:cs="Arial"/>
              </w:rPr>
            </w:pPr>
            <w:r w:rsidRPr="00CC4FF4">
              <w:rPr>
                <w:rFonts w:ascii="Arial" w:hAnsi="Arial" w:cs="Arial"/>
              </w:rPr>
              <w:t>1.500.000</w:t>
            </w:r>
          </w:p>
        </w:tc>
        <w:tc>
          <w:tcPr>
            <w:tcW w:w="1486" w:type="dxa"/>
          </w:tcPr>
          <w:p w:rsidR="00D849AA" w:rsidRPr="00CC4FF4" w:rsidRDefault="00EE6D95">
            <w:pPr>
              <w:rPr>
                <w:rFonts w:ascii="Arial" w:hAnsi="Arial" w:cs="Arial"/>
              </w:rPr>
            </w:pPr>
            <w:r w:rsidRPr="00CC4FF4">
              <w:rPr>
                <w:rFonts w:ascii="Arial" w:hAnsi="Arial" w:cs="Arial"/>
              </w:rPr>
              <w:t>1.500.000</w:t>
            </w:r>
          </w:p>
        </w:tc>
        <w:tc>
          <w:tcPr>
            <w:tcW w:w="1486" w:type="dxa"/>
          </w:tcPr>
          <w:p w:rsidR="00D849AA" w:rsidRPr="00CC4FF4" w:rsidRDefault="00EE6D95">
            <w:pPr>
              <w:rPr>
                <w:rFonts w:ascii="Arial" w:hAnsi="Arial" w:cs="Arial"/>
              </w:rPr>
            </w:pPr>
            <w:r w:rsidRPr="00CC4FF4">
              <w:rPr>
                <w:rFonts w:ascii="Arial" w:hAnsi="Arial" w:cs="Arial"/>
              </w:rPr>
              <w:t>1.500.000</w:t>
            </w:r>
          </w:p>
        </w:tc>
        <w:tc>
          <w:tcPr>
            <w:tcW w:w="1486" w:type="dxa"/>
          </w:tcPr>
          <w:p w:rsidR="00D849AA" w:rsidRPr="00CC4FF4" w:rsidRDefault="00EE6D95">
            <w:pPr>
              <w:rPr>
                <w:rFonts w:ascii="Arial" w:hAnsi="Arial" w:cs="Arial"/>
              </w:rPr>
            </w:pPr>
            <w:r w:rsidRPr="00CC4FF4">
              <w:rPr>
                <w:rFonts w:ascii="Arial" w:hAnsi="Arial" w:cs="Arial"/>
              </w:rPr>
              <w:t>1.500.000</w:t>
            </w:r>
          </w:p>
        </w:tc>
        <w:tc>
          <w:tcPr>
            <w:tcW w:w="1486" w:type="dxa"/>
          </w:tcPr>
          <w:p w:rsidR="00D849AA" w:rsidRPr="00CC4FF4" w:rsidRDefault="00EE6D95">
            <w:pPr>
              <w:rPr>
                <w:rFonts w:ascii="Arial" w:hAnsi="Arial" w:cs="Arial"/>
              </w:rPr>
            </w:pPr>
            <w:r w:rsidRPr="00CC4FF4">
              <w:rPr>
                <w:rFonts w:ascii="Arial" w:hAnsi="Arial" w:cs="Arial"/>
              </w:rPr>
              <w:t>100,0</w:t>
            </w:r>
          </w:p>
        </w:tc>
      </w:tr>
    </w:tbl>
    <w:p w:rsidR="00D849AA" w:rsidRDefault="00D849AA">
      <w:pPr>
        <w:jc w:val="left"/>
      </w:pPr>
    </w:p>
    <w:p w:rsidR="00D849AA" w:rsidRDefault="00EE6D95">
      <w:pPr>
        <w:pStyle w:val="Normal6"/>
      </w:pPr>
      <w:r>
        <w:t>Romsko nacionalno vijeće, Zagreb udruga je romske nacionalne manjine koja djeluje na području Republike Hrvatske i predstavlja interese romske nacionalne manjine. Ciljevi Udruge su afirmacija i integracija romske nacionalne manjine u hrvatsko društvo. Pored toga udruga provodi aktivnosti u cilju podrške osnivanju, djelovanju, povezivanju i razmjeni iskustava s organizacijama i institucijama nacionalnih manjina u RH, te zagovaranje i pružanje partnerstva svim lokalnim, regionalnim, nacionalnim i međunarodnim inicijativama čije se aktivnosti dotiču aktivnosti Vijeća.</w:t>
      </w:r>
    </w:p>
    <w:p w:rsidR="00D849AA" w:rsidRDefault="00EE6D95">
      <w:pPr>
        <w:pStyle w:val="Naslov6"/>
      </w:pPr>
      <w:r>
        <w:t>A513036 SAVEZ MAĐARSKIH UDRUGA, BELI MANASTIR</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rsidRPr="00CC4FF4">
        <w:trPr>
          <w:jc w:val="center"/>
        </w:trPr>
        <w:tc>
          <w:tcPr>
            <w:tcW w:w="1486" w:type="dxa"/>
            <w:shd w:val="clear" w:color="auto" w:fill="B5C0D8"/>
          </w:tcPr>
          <w:p w:rsidR="00D849AA" w:rsidRPr="00CC4FF4" w:rsidRDefault="00EE6D95">
            <w:pPr>
              <w:pStyle w:val="CellHeader"/>
            </w:pPr>
            <w:r w:rsidRPr="00CC4FF4">
              <w:t>Naziv aktivnosti</w:t>
            </w:r>
          </w:p>
        </w:tc>
        <w:tc>
          <w:tcPr>
            <w:tcW w:w="1486" w:type="dxa"/>
            <w:shd w:val="clear" w:color="auto" w:fill="B5C0D8"/>
          </w:tcPr>
          <w:p w:rsidR="00D849AA" w:rsidRPr="00CC4FF4" w:rsidRDefault="00EE6D95">
            <w:pPr>
              <w:pStyle w:val="CellHeader"/>
            </w:pPr>
            <w:r w:rsidRPr="00CC4FF4">
              <w:t>Plan 2013.</w:t>
            </w:r>
          </w:p>
        </w:tc>
        <w:tc>
          <w:tcPr>
            <w:tcW w:w="1486" w:type="dxa"/>
            <w:shd w:val="clear" w:color="auto" w:fill="B5C0D8"/>
          </w:tcPr>
          <w:p w:rsidR="00D849AA" w:rsidRPr="00CC4FF4" w:rsidRDefault="00EE6D95">
            <w:pPr>
              <w:pStyle w:val="CellHeader"/>
            </w:pPr>
            <w:r w:rsidRPr="00CC4FF4">
              <w:t>Plan 2014.</w:t>
            </w:r>
          </w:p>
        </w:tc>
        <w:tc>
          <w:tcPr>
            <w:tcW w:w="1486" w:type="dxa"/>
            <w:shd w:val="clear" w:color="auto" w:fill="B5C0D8"/>
          </w:tcPr>
          <w:p w:rsidR="00D849AA" w:rsidRPr="00CC4FF4" w:rsidRDefault="00EE6D95">
            <w:pPr>
              <w:pStyle w:val="CellHeader"/>
            </w:pPr>
            <w:r w:rsidRPr="00CC4FF4">
              <w:t>Plan 2015.</w:t>
            </w:r>
          </w:p>
        </w:tc>
        <w:tc>
          <w:tcPr>
            <w:tcW w:w="1486" w:type="dxa"/>
            <w:shd w:val="clear" w:color="auto" w:fill="B5C0D8"/>
          </w:tcPr>
          <w:p w:rsidR="00D849AA" w:rsidRPr="00CC4FF4" w:rsidRDefault="00EE6D95">
            <w:pPr>
              <w:pStyle w:val="CellHeader"/>
            </w:pPr>
            <w:r w:rsidRPr="00CC4FF4">
              <w:t>Plan 2016.</w:t>
            </w:r>
          </w:p>
        </w:tc>
        <w:tc>
          <w:tcPr>
            <w:tcW w:w="1486" w:type="dxa"/>
            <w:shd w:val="clear" w:color="auto" w:fill="B5C0D8"/>
          </w:tcPr>
          <w:p w:rsidR="00D849AA" w:rsidRPr="00CC4FF4" w:rsidRDefault="00EE6D95">
            <w:pPr>
              <w:pStyle w:val="CellHeader"/>
            </w:pPr>
            <w:r w:rsidRPr="00CC4FF4">
              <w:t>Indeks 2014/2013</w:t>
            </w:r>
          </w:p>
        </w:tc>
      </w:tr>
      <w:tr w:rsidR="00D849AA" w:rsidRPr="00CC4FF4">
        <w:trPr>
          <w:jc w:val="center"/>
        </w:trPr>
        <w:tc>
          <w:tcPr>
            <w:tcW w:w="1486" w:type="dxa"/>
          </w:tcPr>
          <w:p w:rsidR="00D849AA" w:rsidRPr="00CC4FF4" w:rsidRDefault="00EE6D95">
            <w:pPr>
              <w:pStyle w:val="CellColumn"/>
            </w:pPr>
            <w:r w:rsidRPr="00CC4FF4">
              <w:t>A513036</w:t>
            </w:r>
          </w:p>
        </w:tc>
        <w:tc>
          <w:tcPr>
            <w:tcW w:w="1486" w:type="dxa"/>
          </w:tcPr>
          <w:p w:rsidR="00D849AA" w:rsidRPr="00CC4FF4" w:rsidRDefault="00EE6D95">
            <w:pPr>
              <w:rPr>
                <w:rFonts w:ascii="Arial" w:hAnsi="Arial" w:cs="Arial"/>
              </w:rPr>
            </w:pPr>
            <w:r w:rsidRPr="00CC4FF4">
              <w:rPr>
                <w:rFonts w:ascii="Arial" w:hAnsi="Arial" w:cs="Arial"/>
              </w:rPr>
              <w:t>1.200.000</w:t>
            </w:r>
          </w:p>
        </w:tc>
        <w:tc>
          <w:tcPr>
            <w:tcW w:w="1486" w:type="dxa"/>
          </w:tcPr>
          <w:p w:rsidR="00D849AA" w:rsidRPr="00CC4FF4" w:rsidRDefault="00EE6D95">
            <w:pPr>
              <w:rPr>
                <w:rFonts w:ascii="Arial" w:hAnsi="Arial" w:cs="Arial"/>
              </w:rPr>
            </w:pPr>
            <w:r w:rsidRPr="00CC4FF4">
              <w:rPr>
                <w:rFonts w:ascii="Arial" w:hAnsi="Arial" w:cs="Arial"/>
              </w:rPr>
              <w:t>1.200.000</w:t>
            </w:r>
          </w:p>
        </w:tc>
        <w:tc>
          <w:tcPr>
            <w:tcW w:w="1486" w:type="dxa"/>
          </w:tcPr>
          <w:p w:rsidR="00D849AA" w:rsidRPr="00CC4FF4" w:rsidRDefault="00EE6D95">
            <w:pPr>
              <w:rPr>
                <w:rFonts w:ascii="Arial" w:hAnsi="Arial" w:cs="Arial"/>
              </w:rPr>
            </w:pPr>
            <w:r w:rsidRPr="00CC4FF4">
              <w:rPr>
                <w:rFonts w:ascii="Arial" w:hAnsi="Arial" w:cs="Arial"/>
              </w:rPr>
              <w:t>1.200.000</w:t>
            </w:r>
          </w:p>
        </w:tc>
        <w:tc>
          <w:tcPr>
            <w:tcW w:w="1486" w:type="dxa"/>
          </w:tcPr>
          <w:p w:rsidR="00D849AA" w:rsidRPr="00CC4FF4" w:rsidRDefault="00EE6D95">
            <w:pPr>
              <w:rPr>
                <w:rFonts w:ascii="Arial" w:hAnsi="Arial" w:cs="Arial"/>
              </w:rPr>
            </w:pPr>
            <w:r w:rsidRPr="00CC4FF4">
              <w:rPr>
                <w:rFonts w:ascii="Arial" w:hAnsi="Arial" w:cs="Arial"/>
              </w:rPr>
              <w:t>1.200.000</w:t>
            </w:r>
          </w:p>
        </w:tc>
        <w:tc>
          <w:tcPr>
            <w:tcW w:w="1486" w:type="dxa"/>
          </w:tcPr>
          <w:p w:rsidR="00D849AA" w:rsidRPr="00CC4FF4" w:rsidRDefault="00EE6D95">
            <w:pPr>
              <w:rPr>
                <w:rFonts w:ascii="Arial" w:hAnsi="Arial" w:cs="Arial"/>
              </w:rPr>
            </w:pPr>
            <w:r w:rsidRPr="00CC4FF4">
              <w:rPr>
                <w:rFonts w:ascii="Arial" w:hAnsi="Arial" w:cs="Arial"/>
              </w:rPr>
              <w:t>100,0</w:t>
            </w:r>
          </w:p>
        </w:tc>
      </w:tr>
    </w:tbl>
    <w:p w:rsidR="00D849AA" w:rsidRPr="00CC4FF4" w:rsidRDefault="00D849AA">
      <w:pPr>
        <w:jc w:val="left"/>
        <w:rPr>
          <w:rFonts w:ascii="Arial" w:hAnsi="Arial" w:cs="Arial"/>
        </w:rPr>
      </w:pPr>
    </w:p>
    <w:p w:rsidR="00D849AA" w:rsidRDefault="00EE6D95">
      <w:pPr>
        <w:pStyle w:val="Normal6"/>
      </w:pPr>
      <w:r>
        <w:lastRenderedPageBreak/>
        <w:t>Savez mađarskih udruga, Beli Manastir krovna je organizacija mađarske nacionalne manjine   koja predstavlja interese mađarske nacionalne manjine u Republici Hrvatskoj. Putem brojnih kulturnih društava, zajednica i udruga ostvaruje programe informiranja, izdavaštva, kulturnog amaterizma i kulturnih manifestacija kao i program koji proizlazi iz bilateralnog sporazuma između Republike Hrvatske i Mađarske u cilju njegovanja i razvijanja kulturnog nacionalnog i vjerskog identiteta mađarske nacionalne manjine u Republici Hrvatskoj.</w:t>
      </w:r>
    </w:p>
    <w:p w:rsidR="00D849AA" w:rsidRDefault="00EE6D95">
      <w:pPr>
        <w:pStyle w:val="Naslov6"/>
      </w:pPr>
      <w:r>
        <w:t>A513041 PROVEDBA NACIONALNE STRATEGIJE ZA UKLJUČIVANJE ROMA 2013-2020</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CC4FF4" w:rsidRDefault="00EE6D95">
            <w:pPr>
              <w:pStyle w:val="CellHeader"/>
            </w:pPr>
            <w:r w:rsidRPr="00CC4FF4">
              <w:t>Naziv aktivnosti</w:t>
            </w:r>
          </w:p>
        </w:tc>
        <w:tc>
          <w:tcPr>
            <w:tcW w:w="1486" w:type="dxa"/>
            <w:shd w:val="clear" w:color="auto" w:fill="B5C0D8"/>
          </w:tcPr>
          <w:p w:rsidR="00D849AA" w:rsidRPr="00CC4FF4" w:rsidRDefault="00EE6D95">
            <w:pPr>
              <w:pStyle w:val="CellHeader"/>
            </w:pPr>
            <w:r w:rsidRPr="00CC4FF4">
              <w:t>Plan 2013.</w:t>
            </w:r>
          </w:p>
        </w:tc>
        <w:tc>
          <w:tcPr>
            <w:tcW w:w="1486" w:type="dxa"/>
            <w:shd w:val="clear" w:color="auto" w:fill="B5C0D8"/>
          </w:tcPr>
          <w:p w:rsidR="00D849AA" w:rsidRPr="00CC4FF4" w:rsidRDefault="00EE6D95">
            <w:pPr>
              <w:pStyle w:val="CellHeader"/>
            </w:pPr>
            <w:r w:rsidRPr="00CC4FF4">
              <w:t>Plan 2014.</w:t>
            </w:r>
          </w:p>
        </w:tc>
        <w:tc>
          <w:tcPr>
            <w:tcW w:w="1486" w:type="dxa"/>
            <w:shd w:val="clear" w:color="auto" w:fill="B5C0D8"/>
          </w:tcPr>
          <w:p w:rsidR="00D849AA" w:rsidRPr="00CC4FF4" w:rsidRDefault="00EE6D95">
            <w:pPr>
              <w:pStyle w:val="CellHeader"/>
            </w:pPr>
            <w:r w:rsidRPr="00CC4FF4">
              <w:t>Plan 2015.</w:t>
            </w:r>
          </w:p>
        </w:tc>
        <w:tc>
          <w:tcPr>
            <w:tcW w:w="1486" w:type="dxa"/>
            <w:shd w:val="clear" w:color="auto" w:fill="B5C0D8"/>
          </w:tcPr>
          <w:p w:rsidR="00D849AA" w:rsidRPr="00CC4FF4" w:rsidRDefault="00EE6D95">
            <w:pPr>
              <w:pStyle w:val="CellHeader"/>
            </w:pPr>
            <w:r w:rsidRPr="00CC4FF4">
              <w:t>Plan 2016.</w:t>
            </w:r>
          </w:p>
        </w:tc>
        <w:tc>
          <w:tcPr>
            <w:tcW w:w="1486" w:type="dxa"/>
            <w:shd w:val="clear" w:color="auto" w:fill="B5C0D8"/>
          </w:tcPr>
          <w:p w:rsidR="00D849AA" w:rsidRPr="00CC4FF4" w:rsidRDefault="00EE6D95">
            <w:pPr>
              <w:pStyle w:val="CellHeader"/>
            </w:pPr>
            <w:r w:rsidRPr="00CC4FF4">
              <w:t>Indeks 2014/2013</w:t>
            </w:r>
          </w:p>
        </w:tc>
      </w:tr>
      <w:tr w:rsidR="00D849AA">
        <w:trPr>
          <w:jc w:val="center"/>
        </w:trPr>
        <w:tc>
          <w:tcPr>
            <w:tcW w:w="1486" w:type="dxa"/>
          </w:tcPr>
          <w:p w:rsidR="00D849AA" w:rsidRPr="00CC4FF4" w:rsidRDefault="00EE6D95">
            <w:pPr>
              <w:pStyle w:val="CellColumn"/>
            </w:pPr>
            <w:r w:rsidRPr="00CC4FF4">
              <w:t>A513041</w:t>
            </w:r>
          </w:p>
        </w:tc>
        <w:tc>
          <w:tcPr>
            <w:tcW w:w="1486" w:type="dxa"/>
          </w:tcPr>
          <w:p w:rsidR="00D849AA" w:rsidRPr="00CC4FF4" w:rsidRDefault="00EE6D95">
            <w:pPr>
              <w:rPr>
                <w:rFonts w:ascii="Arial" w:hAnsi="Arial" w:cs="Arial"/>
              </w:rPr>
            </w:pPr>
            <w:r w:rsidRPr="00CC4FF4">
              <w:rPr>
                <w:rFonts w:ascii="Arial" w:hAnsi="Arial" w:cs="Arial"/>
              </w:rPr>
              <w:t>00</w:t>
            </w:r>
          </w:p>
        </w:tc>
        <w:tc>
          <w:tcPr>
            <w:tcW w:w="1486" w:type="dxa"/>
          </w:tcPr>
          <w:p w:rsidR="00D849AA" w:rsidRPr="00CC4FF4" w:rsidRDefault="00EE6D95">
            <w:pPr>
              <w:rPr>
                <w:rFonts w:ascii="Arial" w:hAnsi="Arial" w:cs="Arial"/>
              </w:rPr>
            </w:pPr>
            <w:r w:rsidRPr="00CC4FF4">
              <w:rPr>
                <w:rFonts w:ascii="Arial" w:hAnsi="Arial" w:cs="Arial"/>
              </w:rPr>
              <w:t>420.000</w:t>
            </w:r>
          </w:p>
        </w:tc>
        <w:tc>
          <w:tcPr>
            <w:tcW w:w="1486" w:type="dxa"/>
          </w:tcPr>
          <w:p w:rsidR="00D849AA" w:rsidRPr="00CC4FF4" w:rsidRDefault="00EE6D95">
            <w:pPr>
              <w:rPr>
                <w:rFonts w:ascii="Arial" w:hAnsi="Arial" w:cs="Arial"/>
              </w:rPr>
            </w:pPr>
            <w:r w:rsidRPr="00CC4FF4">
              <w:rPr>
                <w:rFonts w:ascii="Arial" w:hAnsi="Arial" w:cs="Arial"/>
              </w:rPr>
              <w:t>420.000</w:t>
            </w:r>
          </w:p>
        </w:tc>
        <w:tc>
          <w:tcPr>
            <w:tcW w:w="1486" w:type="dxa"/>
          </w:tcPr>
          <w:p w:rsidR="00D849AA" w:rsidRPr="00CC4FF4" w:rsidRDefault="00EE6D95">
            <w:pPr>
              <w:rPr>
                <w:rFonts w:ascii="Arial" w:hAnsi="Arial" w:cs="Arial"/>
              </w:rPr>
            </w:pPr>
            <w:r w:rsidRPr="00CC4FF4">
              <w:rPr>
                <w:rFonts w:ascii="Arial" w:hAnsi="Arial" w:cs="Arial"/>
              </w:rPr>
              <w:t>420.000</w:t>
            </w:r>
          </w:p>
        </w:tc>
        <w:tc>
          <w:tcPr>
            <w:tcW w:w="1486" w:type="dxa"/>
          </w:tcPr>
          <w:p w:rsidR="00D849AA" w:rsidRPr="00CC4FF4" w:rsidRDefault="00EE6D95">
            <w:pPr>
              <w:rPr>
                <w:rFonts w:ascii="Arial" w:hAnsi="Arial" w:cs="Arial"/>
              </w:rPr>
            </w:pPr>
            <w:r w:rsidRPr="00CC4FF4">
              <w:rPr>
                <w:rFonts w:ascii="Arial" w:hAnsi="Arial" w:cs="Arial"/>
              </w:rPr>
              <w:t>0,0</w:t>
            </w:r>
          </w:p>
        </w:tc>
      </w:tr>
    </w:tbl>
    <w:p w:rsidR="00D849AA" w:rsidRDefault="00D849AA">
      <w:pPr>
        <w:jc w:val="left"/>
      </w:pPr>
    </w:p>
    <w:p w:rsidR="00D849AA" w:rsidRDefault="00EE6D95">
      <w:pPr>
        <w:pStyle w:val="Normal6"/>
      </w:pPr>
      <w:r>
        <w:t>Nacionalnu strategiju za uključivanje Roma, za razdoblje 2013.-2020. donijela je Vlada Republike Hrvatske u studenom 2012. godine i bila je jedna od mjera u provedbi preostalih obveza Republike Hrvatske u pristupanju Europskoj uniji. Strategija pruža glavni strateški okvir djelovanja u vezi s poboljšanjem položaja pripadnika romske nacionalne manjine i ističe 8 prioritetnih politika: Obrazovanje, Zapošljavanje i uključivanje u gospodarski život, Zdravstvena zaštita, Socijalna skrb, Prostorno uređenje, stanovanje i zaštita okoliša, Uključivanje u društveni i kulturni život, Statusna rješenja, suzbijanje diskriminacije i pomoć u ostvarivanju prava za romsku nacionalnu manjinu i Unaprjeđenje prikupljanja statističkih podataka. Vlada je donijela i Akcijski plan za provedbu Nacionalne strategije za uključivanje Roma, za razdoblje 2013.-2015., izradu kojeg je koordinirao Ured, kojim se detaljnije razrađuju prioritetna područja Strategije te mjere, nositelji, rokovi i financijska sredstva potrebna za provedbu pojedinih mjera.</w:t>
      </w:r>
    </w:p>
    <w:p w:rsidR="00CC4FF4" w:rsidRDefault="00CC4FF4" w:rsidP="00CC4FF4">
      <w:pPr>
        <w:pStyle w:val="Naslov4"/>
      </w:pPr>
      <w:r>
        <w:t>OBRAZLOŽENJE PROGRAMA</w:t>
      </w:r>
    </w:p>
    <w:p w:rsidR="00D849AA" w:rsidRDefault="00EE6D95" w:rsidP="00CC4FF4">
      <w:pPr>
        <w:pStyle w:val="Naslov5"/>
        <w:ind w:left="0" w:firstLine="357"/>
      </w:pPr>
      <w:r>
        <w:t>2111 PROMICANJE LJUDSKIH PRAVA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rsidRPr="00CC4FF4">
        <w:trPr>
          <w:jc w:val="center"/>
        </w:trPr>
        <w:tc>
          <w:tcPr>
            <w:tcW w:w="1486" w:type="dxa"/>
            <w:shd w:val="clear" w:color="auto" w:fill="B5C0D8"/>
          </w:tcPr>
          <w:p w:rsidR="00D849AA" w:rsidRPr="00CC4FF4" w:rsidRDefault="00D849AA">
            <w:pPr>
              <w:pStyle w:val="CellHeader"/>
            </w:pPr>
          </w:p>
        </w:tc>
        <w:tc>
          <w:tcPr>
            <w:tcW w:w="1486" w:type="dxa"/>
            <w:shd w:val="clear" w:color="auto" w:fill="B5C0D8"/>
          </w:tcPr>
          <w:p w:rsidR="00D849AA" w:rsidRPr="00CC4FF4" w:rsidRDefault="00EE6D95">
            <w:pPr>
              <w:pStyle w:val="CellHeader"/>
            </w:pPr>
            <w:r w:rsidRPr="00CC4FF4">
              <w:t>Plan 2013.</w:t>
            </w:r>
          </w:p>
        </w:tc>
        <w:tc>
          <w:tcPr>
            <w:tcW w:w="1486" w:type="dxa"/>
            <w:shd w:val="clear" w:color="auto" w:fill="B5C0D8"/>
          </w:tcPr>
          <w:p w:rsidR="00D849AA" w:rsidRPr="00CC4FF4" w:rsidRDefault="00EE6D95">
            <w:pPr>
              <w:pStyle w:val="CellHeader"/>
            </w:pPr>
            <w:r w:rsidRPr="00CC4FF4">
              <w:t>Plan 2014.</w:t>
            </w:r>
          </w:p>
        </w:tc>
        <w:tc>
          <w:tcPr>
            <w:tcW w:w="1486" w:type="dxa"/>
            <w:shd w:val="clear" w:color="auto" w:fill="B5C0D8"/>
          </w:tcPr>
          <w:p w:rsidR="00D849AA" w:rsidRPr="00CC4FF4" w:rsidRDefault="00EE6D95">
            <w:pPr>
              <w:pStyle w:val="CellHeader"/>
            </w:pPr>
            <w:r w:rsidRPr="00CC4FF4">
              <w:t>Plan 2015.</w:t>
            </w:r>
          </w:p>
        </w:tc>
        <w:tc>
          <w:tcPr>
            <w:tcW w:w="1486" w:type="dxa"/>
            <w:shd w:val="clear" w:color="auto" w:fill="B5C0D8"/>
          </w:tcPr>
          <w:p w:rsidR="00D849AA" w:rsidRPr="00CC4FF4" w:rsidRDefault="00EE6D95">
            <w:pPr>
              <w:pStyle w:val="CellHeader"/>
            </w:pPr>
            <w:r w:rsidRPr="00CC4FF4">
              <w:t>Plan 2016.</w:t>
            </w:r>
          </w:p>
        </w:tc>
        <w:tc>
          <w:tcPr>
            <w:tcW w:w="1486" w:type="dxa"/>
            <w:shd w:val="clear" w:color="auto" w:fill="B5C0D8"/>
          </w:tcPr>
          <w:p w:rsidR="00D849AA" w:rsidRPr="00CC4FF4" w:rsidRDefault="00EE6D95">
            <w:pPr>
              <w:pStyle w:val="CellHeader"/>
            </w:pPr>
            <w:r w:rsidRPr="00CC4FF4">
              <w:t>Indeks 2014/2013</w:t>
            </w:r>
          </w:p>
        </w:tc>
      </w:tr>
      <w:tr w:rsidR="00D849AA" w:rsidRPr="00CC4FF4">
        <w:trPr>
          <w:jc w:val="center"/>
        </w:trPr>
        <w:tc>
          <w:tcPr>
            <w:tcW w:w="1486" w:type="dxa"/>
          </w:tcPr>
          <w:p w:rsidR="00D849AA" w:rsidRPr="00CC4FF4" w:rsidRDefault="00EE6D95">
            <w:pPr>
              <w:pStyle w:val="CellColumn"/>
            </w:pPr>
            <w:r w:rsidRPr="00CC4FF4">
              <w:t>2111</w:t>
            </w:r>
          </w:p>
        </w:tc>
        <w:tc>
          <w:tcPr>
            <w:tcW w:w="1486" w:type="dxa"/>
          </w:tcPr>
          <w:p w:rsidR="00D849AA" w:rsidRPr="00CC4FF4" w:rsidRDefault="00EE6D95">
            <w:pPr>
              <w:rPr>
                <w:rFonts w:ascii="Arial" w:hAnsi="Arial" w:cs="Arial"/>
              </w:rPr>
            </w:pPr>
            <w:r w:rsidRPr="00CC4FF4">
              <w:rPr>
                <w:rFonts w:ascii="Arial" w:hAnsi="Arial" w:cs="Arial"/>
              </w:rPr>
              <w:t>6.729.100</w:t>
            </w:r>
          </w:p>
        </w:tc>
        <w:tc>
          <w:tcPr>
            <w:tcW w:w="1486" w:type="dxa"/>
          </w:tcPr>
          <w:p w:rsidR="00D849AA" w:rsidRPr="00CC4FF4" w:rsidRDefault="00EE6D95">
            <w:pPr>
              <w:rPr>
                <w:rFonts w:ascii="Arial" w:hAnsi="Arial" w:cs="Arial"/>
              </w:rPr>
            </w:pPr>
            <w:r w:rsidRPr="00CC4FF4">
              <w:rPr>
                <w:rFonts w:ascii="Arial" w:hAnsi="Arial" w:cs="Arial"/>
              </w:rPr>
              <w:t>6.333.600</w:t>
            </w:r>
          </w:p>
        </w:tc>
        <w:tc>
          <w:tcPr>
            <w:tcW w:w="1486" w:type="dxa"/>
          </w:tcPr>
          <w:p w:rsidR="00D849AA" w:rsidRPr="00CC4FF4" w:rsidRDefault="00EE6D95">
            <w:pPr>
              <w:rPr>
                <w:rFonts w:ascii="Arial" w:hAnsi="Arial" w:cs="Arial"/>
              </w:rPr>
            </w:pPr>
            <w:r w:rsidRPr="00CC4FF4">
              <w:rPr>
                <w:rFonts w:ascii="Arial" w:hAnsi="Arial" w:cs="Arial"/>
              </w:rPr>
              <w:t>5.312.000</w:t>
            </w:r>
          </w:p>
        </w:tc>
        <w:tc>
          <w:tcPr>
            <w:tcW w:w="1486" w:type="dxa"/>
          </w:tcPr>
          <w:p w:rsidR="00D849AA" w:rsidRPr="00CC4FF4" w:rsidRDefault="00EE6D95">
            <w:pPr>
              <w:rPr>
                <w:rFonts w:ascii="Arial" w:hAnsi="Arial" w:cs="Arial"/>
              </w:rPr>
            </w:pPr>
            <w:r w:rsidRPr="00CC4FF4">
              <w:rPr>
                <w:rFonts w:ascii="Arial" w:hAnsi="Arial" w:cs="Arial"/>
              </w:rPr>
              <w:t>4.896.500</w:t>
            </w:r>
          </w:p>
        </w:tc>
        <w:tc>
          <w:tcPr>
            <w:tcW w:w="1486" w:type="dxa"/>
          </w:tcPr>
          <w:p w:rsidR="00D849AA" w:rsidRPr="00CC4FF4" w:rsidRDefault="00EE6D95">
            <w:pPr>
              <w:rPr>
                <w:rFonts w:ascii="Arial" w:hAnsi="Arial" w:cs="Arial"/>
              </w:rPr>
            </w:pPr>
            <w:r w:rsidRPr="00CC4FF4">
              <w:rPr>
                <w:rFonts w:ascii="Arial" w:hAnsi="Arial" w:cs="Arial"/>
              </w:rPr>
              <w:t>94,1</w:t>
            </w:r>
          </w:p>
        </w:tc>
      </w:tr>
    </w:tbl>
    <w:p w:rsidR="00D849AA" w:rsidRPr="00CC4FF4" w:rsidRDefault="00D849AA">
      <w:pPr>
        <w:jc w:val="left"/>
        <w:rPr>
          <w:rFonts w:ascii="Arial" w:hAnsi="Arial" w:cs="Arial"/>
        </w:rPr>
      </w:pPr>
    </w:p>
    <w:p w:rsidR="00D849AA" w:rsidRDefault="00EE6D95">
      <w:pPr>
        <w:pStyle w:val="Naslov6"/>
      </w:pPr>
      <w:r>
        <w:t>Opis programa</w:t>
      </w:r>
    </w:p>
    <w:p w:rsidR="00D849AA" w:rsidRDefault="00EE6D95">
      <w:pPr>
        <w:pStyle w:val="Normal5"/>
      </w:pPr>
      <w:r>
        <w:t xml:space="preserve">U okviru programa 2111 Promicanje ljudskih prava, Ured za ljudska prava i prava nacionalnih manjina koordinira i nadzire provođenje Nacionalnog programa zaštite i promicanja ljudskih prava, Nacionalnog plana za borbu protiv diskriminacije i pridružene mu Akcijske planove, Nacionalnog plana suzbijanja trgovanja ljudima i Akcijskog plana za integraciju stranaca. Ured je tajništvo Nacionalnog odbora za suzbijanje trgovanja ljudima i Povjerenstva za  ljudska prava.  </w:t>
      </w:r>
    </w:p>
    <w:p w:rsidR="00D849AA" w:rsidRDefault="00EE6D95">
      <w:pPr>
        <w:pStyle w:val="Normal5"/>
      </w:pPr>
      <w:r>
        <w:t xml:space="preserve">Ured koordinira i pruža stručnu podršku županijskim koordinacijama za ljudska prava te organizira niz okruglih stolova i seminara u cilju promocije i zaštite ljudskih prava i prava nacionalnih manjina. U cilju promocije i zaštite ljudskih prava Ured svake godine organizira proslavu Međunarodnog dana ljudskih prava i Europskog dana suzbijanja trgovanja ljudima.  </w:t>
      </w:r>
    </w:p>
    <w:p w:rsidR="00D849AA" w:rsidRDefault="00EE6D95">
      <w:pPr>
        <w:pStyle w:val="Normal5"/>
      </w:pPr>
      <w:r>
        <w:lastRenderedPageBreak/>
        <w:t xml:space="preserve">Također, u cilju jačanja sustava zaštite ljudskih prava Ured za ljudska prava i prava nacionalnih manjina prati preporuke Pučkog pravobranitelja te osigurava njihovu provedbu. </w:t>
      </w:r>
    </w:p>
    <w:p w:rsidR="00D849AA" w:rsidRDefault="00EE6D95">
      <w:pPr>
        <w:pStyle w:val="Normal5"/>
      </w:pPr>
      <w:r>
        <w:t xml:space="preserve">Nadalje, Ured je središnje tijelo za prikupljanje i objavu podataka o zločinima iz mržnje, suradnju s organizacijama civilnoga društava i međunarodnim organizacijama. Ured po potrebi organizira preventivne kampanje radi osvješćivanja javnosti i sprečavanja širenja zločina iz mržnje, koordinira radom Radne skupine za praćenje zločina iz mržnje te potiče međuinstitucionalnu suradnju u sustavu praćenja zločina iz mržnje. Ured je tijelo ovlašteno za suradnju s Organizacijom za europsku sigurnost i suradnju, te drugim međunarodnim organizacijama, vezano uz pitanja zločina iz mržnje.  </w:t>
      </w:r>
    </w:p>
    <w:p w:rsidR="00D849AA" w:rsidRDefault="00EE6D95">
      <w:pPr>
        <w:pStyle w:val="Normal5"/>
      </w:pPr>
      <w:r>
        <w:t xml:space="preserve">Nadalje, Ured za ljudska prava kontakt je tijelo za četvrtu komponentu Programa unije za zapošljavanje i socijalnu solidarnost – PROGRESS Anti-diskriminacija. </w:t>
      </w:r>
    </w:p>
    <w:p w:rsidR="00D849AA" w:rsidRDefault="00EE6D95">
      <w:pPr>
        <w:pStyle w:val="Normal5"/>
      </w:pPr>
      <w:r>
        <w:t>Ured za ljudska osigurava podršku organizacijama civilnog društva aktivnim u području zaštite i promicanja ljudskih prava.</w:t>
      </w:r>
    </w:p>
    <w:p w:rsidR="00D849AA" w:rsidRDefault="00EE6D95">
      <w:pPr>
        <w:pStyle w:val="Naslov6"/>
      </w:pPr>
      <w:r>
        <w:t>Zakonske i druge pravne osnove</w:t>
      </w:r>
    </w:p>
    <w:p w:rsidR="00D849AA" w:rsidRDefault="00EE6D95">
      <w:pPr>
        <w:pStyle w:val="Normal5"/>
      </w:pPr>
      <w:r>
        <w:t xml:space="preserve">Zakon o Vladi Republike Hrvatske (NN 150/11),  Uredba o Uredu za ljudska prava i prava nacionalnih manjina (NN 42/2012), Zakon o sustavu državne uprave, Uredba o načelima za unutarnje ustrojstvo tijela državne uprave, Zakon o udrugama, Zakon o suzbijanju diskriminacije, Nacionalni plan za suzbijanje trgovanja ljudima 2012. – 2015., Nacionalni plan za borbu protiv diskriminacije 2008. – 2013., Memorandum o razumijevanju između Republike Hrvatske i Europske zajednice o sudjelovanju u programima zajednice, Kodeks pozitivne prakse, standarda i mjerila za ostvarivanje financijske potpore programima i projektima udruga i Kodeks savjetovanja sa zainteresiranom javnošću u postupcima donošenja zakona, drugih propisa i akata. </w:t>
      </w:r>
    </w:p>
    <w:p w:rsidR="00D849AA" w:rsidRDefault="00EE6D95">
      <w:pPr>
        <w:pStyle w:val="Normal5"/>
      </w:pPr>
      <w:r>
        <w:t>Strateško planiranje i praćenje provedbe projekata financiranih iz sredstava EU provode se na temelju financijskih ugovora potpisanih između Europske unije i Republike Hrvatske i Operativnog sporazuma potpisanog između Ureda za ljudska prava i prava nacionalnih manjina i Središnje agencije za financiranje i ugovaranje programa i projekata Europske unije.</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 xml:space="preserve">Cilj 1. Unapređenje cjelokupnog sustava zaštite i promicanja ljudskih prava u Republici Hrvatskoj </w:t>
      </w:r>
    </w:p>
    <w:p w:rsidR="00CC4FF4" w:rsidRDefault="00EE6D95" w:rsidP="00CC4FF4">
      <w:pPr>
        <w:pStyle w:val="Normal6"/>
      </w:pPr>
      <w:r>
        <w:t>Ured kontinuirano radi na zaštiti, promicanju i unapređenju ljudskih prava i prava nacionalnih manjina u Republici Hrvatskoj, posebice onih područja koja iziskuju prioritetno rješavanje postojećih problema; podizanju javne svijesti o važnosti poznavanja i ostvarivanja ljudskih prava i prava nacionalnih manjina; unaprjeđivanju suradnje u sustavu tijela Republike Hrvatske za zaštitu i promicanje ljudskih prava i prava nacionalnih manjina; jačanju sustava obrazovanja za ljudska prava i prava nacionalnih manjina; stvaranju uvjeta za kvalitetnu suradnju s organizacijama civilnoga društva na području ljudskih prava i prava nacionalnih manjina.</w:t>
      </w:r>
    </w:p>
    <w:p w:rsidR="00CC4FF4" w:rsidRDefault="00CC4FF4" w:rsidP="00CC4FF4">
      <w:pPr>
        <w:pStyle w:val="Normal6"/>
      </w:pPr>
    </w:p>
    <w:p w:rsidR="00CC4FF4" w:rsidRDefault="00CC4FF4" w:rsidP="00CC4FF4">
      <w:pPr>
        <w:pStyle w:val="Normal6"/>
      </w:pPr>
    </w:p>
    <w:p w:rsidR="00D849AA" w:rsidRDefault="00EE6D95">
      <w:pPr>
        <w:pStyle w:val="Naslov5"/>
      </w:pPr>
      <w:r>
        <w:lastRenderedPageBreak/>
        <w:t>Procjena i ishodište potrebnih sredstava za značajnije aktivnosti/projekte</w:t>
      </w:r>
    </w:p>
    <w:p w:rsidR="00D849AA" w:rsidRDefault="00EE6D95">
      <w:pPr>
        <w:pStyle w:val="Naslov6"/>
      </w:pPr>
      <w:r>
        <w:t>A513028 IPA 2010 FFRAC - JAČANJE SUSTAVA IDENTIFIKACIJE ŽRTAVA TRGOVANJA LJUDIMA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CC4FF4" w:rsidRDefault="00EE6D95">
            <w:pPr>
              <w:pStyle w:val="CellHeader"/>
            </w:pPr>
            <w:r w:rsidRPr="00CC4FF4">
              <w:t>Naziv aktivnosti</w:t>
            </w:r>
          </w:p>
        </w:tc>
        <w:tc>
          <w:tcPr>
            <w:tcW w:w="1486" w:type="dxa"/>
            <w:shd w:val="clear" w:color="auto" w:fill="B5C0D8"/>
          </w:tcPr>
          <w:p w:rsidR="00D849AA" w:rsidRPr="00CC4FF4" w:rsidRDefault="00EE6D95">
            <w:pPr>
              <w:pStyle w:val="CellHeader"/>
            </w:pPr>
            <w:r w:rsidRPr="00CC4FF4">
              <w:t>Plan 2013.</w:t>
            </w:r>
          </w:p>
        </w:tc>
        <w:tc>
          <w:tcPr>
            <w:tcW w:w="1486" w:type="dxa"/>
            <w:shd w:val="clear" w:color="auto" w:fill="B5C0D8"/>
          </w:tcPr>
          <w:p w:rsidR="00D849AA" w:rsidRPr="00CC4FF4" w:rsidRDefault="00EE6D95">
            <w:pPr>
              <w:pStyle w:val="CellHeader"/>
            </w:pPr>
            <w:r w:rsidRPr="00CC4FF4">
              <w:t>Plan 2014.</w:t>
            </w:r>
          </w:p>
        </w:tc>
        <w:tc>
          <w:tcPr>
            <w:tcW w:w="1486" w:type="dxa"/>
            <w:shd w:val="clear" w:color="auto" w:fill="B5C0D8"/>
          </w:tcPr>
          <w:p w:rsidR="00D849AA" w:rsidRPr="00CC4FF4" w:rsidRDefault="00EE6D95">
            <w:pPr>
              <w:pStyle w:val="CellHeader"/>
            </w:pPr>
            <w:r w:rsidRPr="00CC4FF4">
              <w:t>Plan 2015.</w:t>
            </w:r>
          </w:p>
        </w:tc>
        <w:tc>
          <w:tcPr>
            <w:tcW w:w="1486" w:type="dxa"/>
            <w:shd w:val="clear" w:color="auto" w:fill="B5C0D8"/>
          </w:tcPr>
          <w:p w:rsidR="00D849AA" w:rsidRPr="00CC4FF4" w:rsidRDefault="00EE6D95">
            <w:pPr>
              <w:pStyle w:val="CellHeader"/>
            </w:pPr>
            <w:r w:rsidRPr="00CC4FF4">
              <w:t>Plan 2016.</w:t>
            </w:r>
          </w:p>
        </w:tc>
        <w:tc>
          <w:tcPr>
            <w:tcW w:w="1486" w:type="dxa"/>
            <w:shd w:val="clear" w:color="auto" w:fill="B5C0D8"/>
          </w:tcPr>
          <w:p w:rsidR="00D849AA" w:rsidRPr="00CC4FF4" w:rsidRDefault="00EE6D95">
            <w:pPr>
              <w:pStyle w:val="CellHeader"/>
            </w:pPr>
            <w:r w:rsidRPr="00CC4FF4">
              <w:t>Indeks 2014/2013</w:t>
            </w:r>
          </w:p>
        </w:tc>
      </w:tr>
      <w:tr w:rsidR="00D849AA">
        <w:trPr>
          <w:jc w:val="center"/>
        </w:trPr>
        <w:tc>
          <w:tcPr>
            <w:tcW w:w="1486" w:type="dxa"/>
          </w:tcPr>
          <w:p w:rsidR="00D849AA" w:rsidRPr="00CC4FF4" w:rsidRDefault="00EE6D95">
            <w:pPr>
              <w:pStyle w:val="CellColumn"/>
            </w:pPr>
            <w:r w:rsidRPr="00CC4FF4">
              <w:t>A513028</w:t>
            </w:r>
          </w:p>
        </w:tc>
        <w:tc>
          <w:tcPr>
            <w:tcW w:w="1486" w:type="dxa"/>
          </w:tcPr>
          <w:p w:rsidR="00D849AA" w:rsidRPr="00CC4FF4" w:rsidRDefault="00EE6D95">
            <w:pPr>
              <w:rPr>
                <w:rFonts w:ascii="Arial" w:hAnsi="Arial" w:cs="Arial"/>
              </w:rPr>
            </w:pPr>
            <w:r w:rsidRPr="00CC4FF4">
              <w:rPr>
                <w:rFonts w:ascii="Arial" w:hAnsi="Arial" w:cs="Arial"/>
              </w:rPr>
              <w:t>300.000</w:t>
            </w:r>
          </w:p>
        </w:tc>
        <w:tc>
          <w:tcPr>
            <w:tcW w:w="1486" w:type="dxa"/>
          </w:tcPr>
          <w:p w:rsidR="00D849AA" w:rsidRPr="00CC4FF4" w:rsidRDefault="00EE6D95">
            <w:pPr>
              <w:rPr>
                <w:rFonts w:ascii="Arial" w:hAnsi="Arial" w:cs="Arial"/>
              </w:rPr>
            </w:pPr>
            <w:r w:rsidRPr="00CC4FF4">
              <w:rPr>
                <w:rFonts w:ascii="Arial" w:hAnsi="Arial" w:cs="Arial"/>
              </w:rPr>
              <w:t>300.000</w:t>
            </w:r>
          </w:p>
        </w:tc>
        <w:tc>
          <w:tcPr>
            <w:tcW w:w="1486" w:type="dxa"/>
          </w:tcPr>
          <w:p w:rsidR="00D849AA" w:rsidRPr="00CC4FF4" w:rsidRDefault="00EE6D95">
            <w:pPr>
              <w:rPr>
                <w:rFonts w:ascii="Arial" w:hAnsi="Arial" w:cs="Arial"/>
              </w:rPr>
            </w:pPr>
            <w:r w:rsidRPr="00CC4FF4">
              <w:rPr>
                <w:rFonts w:ascii="Arial" w:hAnsi="Arial" w:cs="Arial"/>
              </w:rPr>
              <w:t>00</w:t>
            </w:r>
          </w:p>
        </w:tc>
        <w:tc>
          <w:tcPr>
            <w:tcW w:w="1486" w:type="dxa"/>
          </w:tcPr>
          <w:p w:rsidR="00D849AA" w:rsidRPr="00CC4FF4" w:rsidRDefault="00EE6D95">
            <w:pPr>
              <w:rPr>
                <w:rFonts w:ascii="Arial" w:hAnsi="Arial" w:cs="Arial"/>
              </w:rPr>
            </w:pPr>
            <w:r w:rsidRPr="00CC4FF4">
              <w:rPr>
                <w:rFonts w:ascii="Arial" w:hAnsi="Arial" w:cs="Arial"/>
              </w:rPr>
              <w:t>00</w:t>
            </w:r>
          </w:p>
        </w:tc>
        <w:tc>
          <w:tcPr>
            <w:tcW w:w="1486" w:type="dxa"/>
          </w:tcPr>
          <w:p w:rsidR="00D849AA" w:rsidRPr="00CC4FF4" w:rsidRDefault="00EE6D95">
            <w:pPr>
              <w:rPr>
                <w:rFonts w:ascii="Arial" w:hAnsi="Arial" w:cs="Arial"/>
              </w:rPr>
            </w:pPr>
            <w:r w:rsidRPr="00CC4FF4">
              <w:rPr>
                <w:rFonts w:ascii="Arial" w:hAnsi="Arial" w:cs="Arial"/>
              </w:rPr>
              <w:t>100,0</w:t>
            </w:r>
          </w:p>
        </w:tc>
      </w:tr>
    </w:tbl>
    <w:p w:rsidR="00D849AA" w:rsidRDefault="00D849AA">
      <w:pPr>
        <w:jc w:val="left"/>
      </w:pPr>
    </w:p>
    <w:p w:rsidR="00D849AA" w:rsidRDefault="00EE6D95">
      <w:pPr>
        <w:pStyle w:val="Normal6"/>
      </w:pPr>
      <w:r>
        <w:t>Glavni cilj projekta je poboljšanje kapaciteta ključnih dionika u borbi protiv trgovanja ljudima podizanjem razine zaštite žrtava trgovanja ljudima u Republici Hrvatskoj u skladu sa standardima EU. Svrha projekta je pružanje potpore procesu identifikacije žrtava trgovanja ljudima, s posebnim naglaskom na prisilnu prostituciju i prisilan rad. Svrha projekta u potpunosti je usklađena s prioritetima borbe protiv trgovanja ljudima u RH kako su definirani u glavnim strateškim dokumentima.</w:t>
      </w:r>
    </w:p>
    <w:p w:rsidR="00D849AA" w:rsidRDefault="00EE6D95">
      <w:pPr>
        <w:pStyle w:val="Naslov6"/>
      </w:pPr>
      <w:r>
        <w:t>A513033 IPA 2011 FFRAC - DJECA BEZ PRATNJE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CC4FF4" w:rsidRDefault="00EE6D95">
            <w:pPr>
              <w:pStyle w:val="CellHeader"/>
            </w:pPr>
            <w:r w:rsidRPr="00CC4FF4">
              <w:t>Naziv aktivnosti</w:t>
            </w:r>
          </w:p>
        </w:tc>
        <w:tc>
          <w:tcPr>
            <w:tcW w:w="1486" w:type="dxa"/>
            <w:shd w:val="clear" w:color="auto" w:fill="B5C0D8"/>
          </w:tcPr>
          <w:p w:rsidR="00D849AA" w:rsidRPr="00CC4FF4" w:rsidRDefault="00EE6D95">
            <w:pPr>
              <w:pStyle w:val="CellHeader"/>
            </w:pPr>
            <w:r w:rsidRPr="00CC4FF4">
              <w:t>Plan 2013.</w:t>
            </w:r>
          </w:p>
        </w:tc>
        <w:tc>
          <w:tcPr>
            <w:tcW w:w="1486" w:type="dxa"/>
            <w:shd w:val="clear" w:color="auto" w:fill="B5C0D8"/>
          </w:tcPr>
          <w:p w:rsidR="00D849AA" w:rsidRPr="00CC4FF4" w:rsidRDefault="00EE6D95">
            <w:pPr>
              <w:pStyle w:val="CellHeader"/>
            </w:pPr>
            <w:r w:rsidRPr="00CC4FF4">
              <w:t>Plan 2014.</w:t>
            </w:r>
          </w:p>
        </w:tc>
        <w:tc>
          <w:tcPr>
            <w:tcW w:w="1486" w:type="dxa"/>
            <w:shd w:val="clear" w:color="auto" w:fill="B5C0D8"/>
          </w:tcPr>
          <w:p w:rsidR="00D849AA" w:rsidRPr="00CC4FF4" w:rsidRDefault="00EE6D95">
            <w:pPr>
              <w:pStyle w:val="CellHeader"/>
            </w:pPr>
            <w:r w:rsidRPr="00CC4FF4">
              <w:t>Plan 2015.</w:t>
            </w:r>
          </w:p>
        </w:tc>
        <w:tc>
          <w:tcPr>
            <w:tcW w:w="1486" w:type="dxa"/>
            <w:shd w:val="clear" w:color="auto" w:fill="B5C0D8"/>
          </w:tcPr>
          <w:p w:rsidR="00D849AA" w:rsidRPr="00CC4FF4" w:rsidRDefault="00EE6D95">
            <w:pPr>
              <w:pStyle w:val="CellHeader"/>
            </w:pPr>
            <w:r w:rsidRPr="00CC4FF4">
              <w:t>Plan 2016.</w:t>
            </w:r>
          </w:p>
        </w:tc>
        <w:tc>
          <w:tcPr>
            <w:tcW w:w="1486" w:type="dxa"/>
            <w:shd w:val="clear" w:color="auto" w:fill="B5C0D8"/>
          </w:tcPr>
          <w:p w:rsidR="00D849AA" w:rsidRPr="00CC4FF4" w:rsidRDefault="00EE6D95">
            <w:pPr>
              <w:pStyle w:val="CellHeader"/>
            </w:pPr>
            <w:r w:rsidRPr="00CC4FF4">
              <w:t>Indeks 2014/2013</w:t>
            </w:r>
          </w:p>
        </w:tc>
      </w:tr>
      <w:tr w:rsidR="00D849AA">
        <w:trPr>
          <w:jc w:val="center"/>
        </w:trPr>
        <w:tc>
          <w:tcPr>
            <w:tcW w:w="1486" w:type="dxa"/>
          </w:tcPr>
          <w:p w:rsidR="00D849AA" w:rsidRPr="00CC4FF4" w:rsidRDefault="00EE6D95">
            <w:pPr>
              <w:pStyle w:val="CellColumn"/>
            </w:pPr>
            <w:r w:rsidRPr="00CC4FF4">
              <w:t>A513033</w:t>
            </w:r>
          </w:p>
        </w:tc>
        <w:tc>
          <w:tcPr>
            <w:tcW w:w="1486" w:type="dxa"/>
          </w:tcPr>
          <w:p w:rsidR="00D849AA" w:rsidRPr="00CC4FF4" w:rsidRDefault="00EE6D95">
            <w:pPr>
              <w:rPr>
                <w:rFonts w:ascii="Arial" w:hAnsi="Arial" w:cs="Arial"/>
              </w:rPr>
            </w:pPr>
            <w:r w:rsidRPr="00CC4FF4">
              <w:rPr>
                <w:rFonts w:ascii="Arial" w:hAnsi="Arial" w:cs="Arial"/>
              </w:rPr>
              <w:t>1.133.600</w:t>
            </w:r>
          </w:p>
        </w:tc>
        <w:tc>
          <w:tcPr>
            <w:tcW w:w="1486" w:type="dxa"/>
          </w:tcPr>
          <w:p w:rsidR="00D849AA" w:rsidRPr="00CC4FF4" w:rsidRDefault="00EE6D95">
            <w:pPr>
              <w:rPr>
                <w:rFonts w:ascii="Arial" w:hAnsi="Arial" w:cs="Arial"/>
              </w:rPr>
            </w:pPr>
            <w:r w:rsidRPr="00CC4FF4">
              <w:rPr>
                <w:rFonts w:ascii="Arial" w:hAnsi="Arial" w:cs="Arial"/>
              </w:rPr>
              <w:t>1.133.600</w:t>
            </w:r>
          </w:p>
        </w:tc>
        <w:tc>
          <w:tcPr>
            <w:tcW w:w="1486" w:type="dxa"/>
          </w:tcPr>
          <w:p w:rsidR="00D849AA" w:rsidRPr="00CC4FF4" w:rsidRDefault="00EE6D95">
            <w:pPr>
              <w:rPr>
                <w:rFonts w:ascii="Arial" w:hAnsi="Arial" w:cs="Arial"/>
              </w:rPr>
            </w:pPr>
            <w:r w:rsidRPr="00CC4FF4">
              <w:rPr>
                <w:rFonts w:ascii="Arial" w:hAnsi="Arial" w:cs="Arial"/>
              </w:rPr>
              <w:t>283.500</w:t>
            </w:r>
          </w:p>
        </w:tc>
        <w:tc>
          <w:tcPr>
            <w:tcW w:w="1486" w:type="dxa"/>
          </w:tcPr>
          <w:p w:rsidR="00D849AA" w:rsidRPr="00CC4FF4" w:rsidRDefault="00EE6D95">
            <w:pPr>
              <w:rPr>
                <w:rFonts w:ascii="Arial" w:hAnsi="Arial" w:cs="Arial"/>
              </w:rPr>
            </w:pPr>
            <w:r w:rsidRPr="00CC4FF4">
              <w:rPr>
                <w:rFonts w:ascii="Arial" w:hAnsi="Arial" w:cs="Arial"/>
              </w:rPr>
              <w:t>00</w:t>
            </w:r>
          </w:p>
        </w:tc>
        <w:tc>
          <w:tcPr>
            <w:tcW w:w="1486" w:type="dxa"/>
          </w:tcPr>
          <w:p w:rsidR="00D849AA" w:rsidRPr="00CC4FF4" w:rsidRDefault="00EE6D95">
            <w:pPr>
              <w:rPr>
                <w:rFonts w:ascii="Arial" w:hAnsi="Arial" w:cs="Arial"/>
              </w:rPr>
            </w:pPr>
            <w:r w:rsidRPr="00CC4FF4">
              <w:rPr>
                <w:rFonts w:ascii="Arial" w:hAnsi="Arial" w:cs="Arial"/>
              </w:rPr>
              <w:t>100,0</w:t>
            </w:r>
          </w:p>
        </w:tc>
      </w:tr>
    </w:tbl>
    <w:p w:rsidR="00D849AA" w:rsidRDefault="00D849AA">
      <w:pPr>
        <w:jc w:val="left"/>
      </w:pPr>
    </w:p>
    <w:p w:rsidR="00D849AA" w:rsidRDefault="00EE6D95">
      <w:pPr>
        <w:pStyle w:val="Normal6"/>
      </w:pPr>
      <w:r>
        <w:t>Projekt IPA 2011 ”Djeca u pokretu: razvoj institucionalnog okvira za pomoć i zaštitu djece bez pratnje u Republici Hrvatskoj” (‘Children on the Move: Developing Institutional Framework for Assisting and Protecting the Unaccompanied Foreign Minors in the Republic of Croatia’). Projekt je predviđen u trajanju od 6 mjeseci, a svrha projekta je podizanje svijesti o položaju djece bez pratnje i doprinos u nastojanjima relevantnih nacionalnih institucija da uspostave sustavne i usklađene aktivnosti radi unaprjeđenja identifikacije, pomoći i zaštite djece bez pratnje primjenom EU standarda i UN-ove dobre prakse. Glavne aktivnosti u projektu usmjerene su na izradu Protokola o postupanju nadležnih tijela i organizacija u pogledu identificiranja, pružanja pomoći i zaštite djece bez pratnje, te sustavna edukacija svih relevantnih dionika, tj. stručnjaka radi unaprjeđenja učinkovitosti sveukupnog sustava.</w:t>
      </w:r>
    </w:p>
    <w:p w:rsidR="00D849AA" w:rsidRDefault="00EE6D95">
      <w:pPr>
        <w:pStyle w:val="Naslov6"/>
      </w:pPr>
      <w:r>
        <w:t>A513039 PROVEDBA MIGRACIJSKE POLITIKE 2013-2015</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CC4FF4" w:rsidRDefault="00EE6D95">
            <w:pPr>
              <w:pStyle w:val="CellHeader"/>
            </w:pPr>
            <w:r w:rsidRPr="00CC4FF4">
              <w:t>Naziv aktivnosti</w:t>
            </w:r>
          </w:p>
        </w:tc>
        <w:tc>
          <w:tcPr>
            <w:tcW w:w="1486" w:type="dxa"/>
            <w:shd w:val="clear" w:color="auto" w:fill="B5C0D8"/>
          </w:tcPr>
          <w:p w:rsidR="00D849AA" w:rsidRPr="00CC4FF4" w:rsidRDefault="00EE6D95">
            <w:pPr>
              <w:pStyle w:val="CellHeader"/>
            </w:pPr>
            <w:r w:rsidRPr="00CC4FF4">
              <w:t>Plan 2013.</w:t>
            </w:r>
          </w:p>
        </w:tc>
        <w:tc>
          <w:tcPr>
            <w:tcW w:w="1486" w:type="dxa"/>
            <w:shd w:val="clear" w:color="auto" w:fill="B5C0D8"/>
          </w:tcPr>
          <w:p w:rsidR="00D849AA" w:rsidRPr="00CC4FF4" w:rsidRDefault="00EE6D95">
            <w:pPr>
              <w:pStyle w:val="CellHeader"/>
            </w:pPr>
            <w:r w:rsidRPr="00CC4FF4">
              <w:t>Plan 2014.</w:t>
            </w:r>
          </w:p>
        </w:tc>
        <w:tc>
          <w:tcPr>
            <w:tcW w:w="1486" w:type="dxa"/>
            <w:shd w:val="clear" w:color="auto" w:fill="B5C0D8"/>
          </w:tcPr>
          <w:p w:rsidR="00D849AA" w:rsidRPr="00CC4FF4" w:rsidRDefault="00EE6D95">
            <w:pPr>
              <w:pStyle w:val="CellHeader"/>
            </w:pPr>
            <w:r w:rsidRPr="00CC4FF4">
              <w:t>Plan 2015.</w:t>
            </w:r>
          </w:p>
        </w:tc>
        <w:tc>
          <w:tcPr>
            <w:tcW w:w="1486" w:type="dxa"/>
            <w:shd w:val="clear" w:color="auto" w:fill="B5C0D8"/>
          </w:tcPr>
          <w:p w:rsidR="00D849AA" w:rsidRPr="00CC4FF4" w:rsidRDefault="00EE6D95">
            <w:pPr>
              <w:pStyle w:val="CellHeader"/>
            </w:pPr>
            <w:r w:rsidRPr="00CC4FF4">
              <w:t>Plan 2016.</w:t>
            </w:r>
          </w:p>
        </w:tc>
        <w:tc>
          <w:tcPr>
            <w:tcW w:w="1486" w:type="dxa"/>
            <w:shd w:val="clear" w:color="auto" w:fill="B5C0D8"/>
          </w:tcPr>
          <w:p w:rsidR="00D849AA" w:rsidRPr="00CC4FF4" w:rsidRDefault="00EE6D95">
            <w:pPr>
              <w:pStyle w:val="CellHeader"/>
            </w:pPr>
            <w:r w:rsidRPr="00CC4FF4">
              <w:t>Indeks 2014/2013</w:t>
            </w:r>
          </w:p>
        </w:tc>
      </w:tr>
      <w:tr w:rsidR="00D849AA">
        <w:trPr>
          <w:jc w:val="center"/>
        </w:trPr>
        <w:tc>
          <w:tcPr>
            <w:tcW w:w="1486" w:type="dxa"/>
          </w:tcPr>
          <w:p w:rsidR="00D849AA" w:rsidRPr="00CC4FF4" w:rsidRDefault="00EE6D95">
            <w:pPr>
              <w:pStyle w:val="CellColumn"/>
            </w:pPr>
            <w:r w:rsidRPr="00CC4FF4">
              <w:t>A513039</w:t>
            </w:r>
          </w:p>
        </w:tc>
        <w:tc>
          <w:tcPr>
            <w:tcW w:w="1486" w:type="dxa"/>
          </w:tcPr>
          <w:p w:rsidR="00D849AA" w:rsidRPr="00CC4FF4" w:rsidRDefault="00EE6D95">
            <w:pPr>
              <w:rPr>
                <w:rFonts w:ascii="Arial" w:hAnsi="Arial" w:cs="Arial"/>
              </w:rPr>
            </w:pPr>
            <w:r w:rsidRPr="00CC4FF4">
              <w:rPr>
                <w:rFonts w:ascii="Arial" w:hAnsi="Arial" w:cs="Arial"/>
              </w:rPr>
              <w:t>00</w:t>
            </w:r>
          </w:p>
        </w:tc>
        <w:tc>
          <w:tcPr>
            <w:tcW w:w="1486" w:type="dxa"/>
          </w:tcPr>
          <w:p w:rsidR="00D849AA" w:rsidRPr="00CC4FF4" w:rsidRDefault="00EE6D95">
            <w:pPr>
              <w:rPr>
                <w:rFonts w:ascii="Arial" w:hAnsi="Arial" w:cs="Arial"/>
              </w:rPr>
            </w:pPr>
            <w:r w:rsidRPr="00CC4FF4">
              <w:rPr>
                <w:rFonts w:ascii="Arial" w:hAnsi="Arial" w:cs="Arial"/>
              </w:rPr>
              <w:t>100.000</w:t>
            </w:r>
          </w:p>
        </w:tc>
        <w:tc>
          <w:tcPr>
            <w:tcW w:w="1486" w:type="dxa"/>
          </w:tcPr>
          <w:p w:rsidR="00D849AA" w:rsidRPr="00CC4FF4" w:rsidRDefault="00EE6D95">
            <w:pPr>
              <w:rPr>
                <w:rFonts w:ascii="Arial" w:hAnsi="Arial" w:cs="Arial"/>
              </w:rPr>
            </w:pPr>
            <w:r w:rsidRPr="00CC4FF4">
              <w:rPr>
                <w:rFonts w:ascii="Arial" w:hAnsi="Arial" w:cs="Arial"/>
              </w:rPr>
              <w:t>100.000</w:t>
            </w:r>
          </w:p>
        </w:tc>
        <w:tc>
          <w:tcPr>
            <w:tcW w:w="1486" w:type="dxa"/>
          </w:tcPr>
          <w:p w:rsidR="00D849AA" w:rsidRPr="00CC4FF4" w:rsidRDefault="00EE6D95">
            <w:pPr>
              <w:rPr>
                <w:rFonts w:ascii="Arial" w:hAnsi="Arial" w:cs="Arial"/>
              </w:rPr>
            </w:pPr>
            <w:r w:rsidRPr="00CC4FF4">
              <w:rPr>
                <w:rFonts w:ascii="Arial" w:hAnsi="Arial" w:cs="Arial"/>
              </w:rPr>
              <w:t>00</w:t>
            </w:r>
          </w:p>
        </w:tc>
        <w:tc>
          <w:tcPr>
            <w:tcW w:w="1486" w:type="dxa"/>
          </w:tcPr>
          <w:p w:rsidR="00D849AA" w:rsidRPr="00CC4FF4" w:rsidRDefault="00EE6D95">
            <w:pPr>
              <w:rPr>
                <w:rFonts w:ascii="Arial" w:hAnsi="Arial" w:cs="Arial"/>
              </w:rPr>
            </w:pPr>
            <w:r w:rsidRPr="00CC4FF4">
              <w:rPr>
                <w:rFonts w:ascii="Arial" w:hAnsi="Arial" w:cs="Arial"/>
              </w:rPr>
              <w:t>0,0</w:t>
            </w:r>
          </w:p>
        </w:tc>
      </w:tr>
    </w:tbl>
    <w:p w:rsidR="00D849AA" w:rsidRDefault="00D849AA">
      <w:pPr>
        <w:jc w:val="left"/>
      </w:pPr>
    </w:p>
    <w:p w:rsidR="00D849AA" w:rsidRDefault="00EE6D95">
      <w:pPr>
        <w:pStyle w:val="Normal6"/>
      </w:pPr>
      <w:r>
        <w:t>Vlada Republike Hrvatske donijela je Migracijsku politiku za razdoblje od 2013.-2015. godine. Sukladno mjeri 5.3. Migracijske politike donesen je Akcijski plan za uklanjanje prepreka u ostvarivanju pojedinih prava u području integracije stranaca za razdoblje od 2013. do 2015. godine. Nositelj navedene mjere je Ured za ljudska prava i prava nacionalnih manjina Vlade Republike Hrvatske, sa ciljem uspješne provedbe integracije stranaca u hrvatsko društvo.</w:t>
      </w:r>
    </w:p>
    <w:p w:rsidR="00D849AA" w:rsidRDefault="00EE6D95">
      <w:pPr>
        <w:pStyle w:val="Naslov6"/>
      </w:pPr>
      <w:r>
        <w:lastRenderedPageBreak/>
        <w:t>A513040 PROVEDBA NACIONALNOG PROGRAMA ZAŠTITE I PROMICANJA LJUDSKIH PRAVA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CC4FF4" w:rsidRDefault="00EE6D95">
            <w:pPr>
              <w:pStyle w:val="CellHeader"/>
            </w:pPr>
            <w:r w:rsidRPr="00CC4FF4">
              <w:t>Naziv aktivnosti</w:t>
            </w:r>
          </w:p>
        </w:tc>
        <w:tc>
          <w:tcPr>
            <w:tcW w:w="1486" w:type="dxa"/>
            <w:shd w:val="clear" w:color="auto" w:fill="B5C0D8"/>
          </w:tcPr>
          <w:p w:rsidR="00D849AA" w:rsidRPr="00CC4FF4" w:rsidRDefault="00EE6D95">
            <w:pPr>
              <w:pStyle w:val="CellHeader"/>
            </w:pPr>
            <w:r w:rsidRPr="00CC4FF4">
              <w:t>Plan 2013.</w:t>
            </w:r>
          </w:p>
        </w:tc>
        <w:tc>
          <w:tcPr>
            <w:tcW w:w="1486" w:type="dxa"/>
            <w:shd w:val="clear" w:color="auto" w:fill="B5C0D8"/>
          </w:tcPr>
          <w:p w:rsidR="00D849AA" w:rsidRPr="00CC4FF4" w:rsidRDefault="00EE6D95">
            <w:pPr>
              <w:pStyle w:val="CellHeader"/>
            </w:pPr>
            <w:r w:rsidRPr="00CC4FF4">
              <w:t>Plan 2014.</w:t>
            </w:r>
          </w:p>
        </w:tc>
        <w:tc>
          <w:tcPr>
            <w:tcW w:w="1486" w:type="dxa"/>
            <w:shd w:val="clear" w:color="auto" w:fill="B5C0D8"/>
          </w:tcPr>
          <w:p w:rsidR="00D849AA" w:rsidRPr="00CC4FF4" w:rsidRDefault="00EE6D95">
            <w:pPr>
              <w:pStyle w:val="CellHeader"/>
            </w:pPr>
            <w:r w:rsidRPr="00CC4FF4">
              <w:t>Plan 2015.</w:t>
            </w:r>
          </w:p>
        </w:tc>
        <w:tc>
          <w:tcPr>
            <w:tcW w:w="1486" w:type="dxa"/>
            <w:shd w:val="clear" w:color="auto" w:fill="B5C0D8"/>
          </w:tcPr>
          <w:p w:rsidR="00D849AA" w:rsidRPr="00CC4FF4" w:rsidRDefault="00EE6D95">
            <w:pPr>
              <w:pStyle w:val="CellHeader"/>
            </w:pPr>
            <w:r w:rsidRPr="00CC4FF4">
              <w:t>Plan 2016.</w:t>
            </w:r>
          </w:p>
        </w:tc>
        <w:tc>
          <w:tcPr>
            <w:tcW w:w="1486" w:type="dxa"/>
            <w:shd w:val="clear" w:color="auto" w:fill="B5C0D8"/>
          </w:tcPr>
          <w:p w:rsidR="00D849AA" w:rsidRPr="00CC4FF4" w:rsidRDefault="00EE6D95">
            <w:pPr>
              <w:pStyle w:val="CellHeader"/>
            </w:pPr>
            <w:r w:rsidRPr="00CC4FF4">
              <w:t>Indeks 2014/2013</w:t>
            </w:r>
          </w:p>
        </w:tc>
      </w:tr>
      <w:tr w:rsidR="00D849AA">
        <w:trPr>
          <w:jc w:val="center"/>
        </w:trPr>
        <w:tc>
          <w:tcPr>
            <w:tcW w:w="1486" w:type="dxa"/>
          </w:tcPr>
          <w:p w:rsidR="00D849AA" w:rsidRPr="00CC4FF4" w:rsidRDefault="00EE6D95">
            <w:pPr>
              <w:pStyle w:val="CellColumn"/>
            </w:pPr>
            <w:r w:rsidRPr="00CC4FF4">
              <w:t>A513040</w:t>
            </w:r>
          </w:p>
        </w:tc>
        <w:tc>
          <w:tcPr>
            <w:tcW w:w="1486" w:type="dxa"/>
          </w:tcPr>
          <w:p w:rsidR="00D849AA" w:rsidRPr="00CC4FF4" w:rsidRDefault="00EE6D95">
            <w:pPr>
              <w:rPr>
                <w:rFonts w:ascii="Arial" w:hAnsi="Arial" w:cs="Arial"/>
              </w:rPr>
            </w:pPr>
            <w:r w:rsidRPr="00CC4FF4">
              <w:rPr>
                <w:rFonts w:ascii="Arial" w:hAnsi="Arial" w:cs="Arial"/>
              </w:rPr>
              <w:t>00</w:t>
            </w:r>
          </w:p>
        </w:tc>
        <w:tc>
          <w:tcPr>
            <w:tcW w:w="1486" w:type="dxa"/>
          </w:tcPr>
          <w:p w:rsidR="00D849AA" w:rsidRPr="00CC4FF4" w:rsidRDefault="00EE6D95">
            <w:pPr>
              <w:rPr>
                <w:rFonts w:ascii="Arial" w:hAnsi="Arial" w:cs="Arial"/>
              </w:rPr>
            </w:pPr>
            <w:r w:rsidRPr="00CC4FF4">
              <w:rPr>
                <w:rFonts w:ascii="Arial" w:hAnsi="Arial" w:cs="Arial"/>
              </w:rPr>
              <w:t>245.000</w:t>
            </w:r>
          </w:p>
        </w:tc>
        <w:tc>
          <w:tcPr>
            <w:tcW w:w="1486" w:type="dxa"/>
          </w:tcPr>
          <w:p w:rsidR="00D849AA" w:rsidRPr="00CC4FF4" w:rsidRDefault="00EE6D95">
            <w:pPr>
              <w:rPr>
                <w:rFonts w:ascii="Arial" w:hAnsi="Arial" w:cs="Arial"/>
              </w:rPr>
            </w:pPr>
            <w:r w:rsidRPr="00CC4FF4">
              <w:rPr>
                <w:rFonts w:ascii="Arial" w:hAnsi="Arial" w:cs="Arial"/>
              </w:rPr>
              <w:t>245.000</w:t>
            </w:r>
          </w:p>
        </w:tc>
        <w:tc>
          <w:tcPr>
            <w:tcW w:w="1486" w:type="dxa"/>
          </w:tcPr>
          <w:p w:rsidR="00D849AA" w:rsidRPr="00CC4FF4" w:rsidRDefault="00EE6D95">
            <w:pPr>
              <w:rPr>
                <w:rFonts w:ascii="Arial" w:hAnsi="Arial" w:cs="Arial"/>
              </w:rPr>
            </w:pPr>
            <w:r w:rsidRPr="00CC4FF4">
              <w:rPr>
                <w:rFonts w:ascii="Arial" w:hAnsi="Arial" w:cs="Arial"/>
              </w:rPr>
              <w:t>245.000</w:t>
            </w:r>
          </w:p>
        </w:tc>
        <w:tc>
          <w:tcPr>
            <w:tcW w:w="1486" w:type="dxa"/>
          </w:tcPr>
          <w:p w:rsidR="00D849AA" w:rsidRPr="00CC4FF4" w:rsidRDefault="00EE6D95">
            <w:pPr>
              <w:rPr>
                <w:rFonts w:ascii="Arial" w:hAnsi="Arial" w:cs="Arial"/>
              </w:rPr>
            </w:pPr>
            <w:r w:rsidRPr="00CC4FF4">
              <w:rPr>
                <w:rFonts w:ascii="Arial" w:hAnsi="Arial" w:cs="Arial"/>
              </w:rPr>
              <w:t>0,0</w:t>
            </w:r>
          </w:p>
        </w:tc>
      </w:tr>
    </w:tbl>
    <w:p w:rsidR="00D849AA" w:rsidRDefault="00D849AA">
      <w:pPr>
        <w:jc w:val="left"/>
      </w:pPr>
    </w:p>
    <w:p w:rsidR="00D849AA" w:rsidRDefault="00EE6D95">
      <w:pPr>
        <w:pStyle w:val="Normal6"/>
      </w:pPr>
      <w:r>
        <w:t>Vlada Republike Hrvatske donijela je novi Nacionalni program zaštite i promicanja ljudskih prava za razdoblje od 2013. do 2016. godine. Isti predstavlja strateški dokument Vlade Republike Hrvatske, donošenje kojeg proizlazi iz obveza koje je Republike Hrvatska preuzela slijedom preporuka Bečke deklaracije (1993.) Ujedinjenih naroda o izradi nacionalnih planova djelovanja u zaštiti ljudskih prava. U okviru dokumenta utvrđena su prioritetna područja na lokalnoj, nacionalnoj, regionalnoj i međunarodnoj razini u cilju zaštite, promicanja i unaprjeđenja ljudskih prava u Republici Hrvatskoj, kao i u svrhu podizanja javne svijesti o važnosti poznavanja i ostvarivanja ljudskih prava. Nacionalni program čini šest poglavlja u okviru kojeg je definirano 30 područja kao što su ravnopravnost spolova, suzbijanje rasne i druge diskriminacije, prava nacionalnih manjina, nestale osobe u RH, prava aktivnih sudionika i stradalnika Domovinskog rata, pravo na besplatnu pravnu pomoć, sloboda medija, pravo na pristup informacijama, pravo na zaštitu osobnih podataka, vjerska prava i slobode, zaštita prava i dostojanstva radnika, posebna zaštita obitelji, zaštita prava djece, zaštita prava mladih, zaštita prava osoba s invaliditetom i drugi. Izradu izvješća o provedbi mjera iz navedenog dokumenta koordinira Ured.</w:t>
      </w:r>
    </w:p>
    <w:p w:rsidR="00D849AA" w:rsidRDefault="00EE6D95">
      <w:pPr>
        <w:pStyle w:val="Naslov6"/>
      </w:pPr>
      <w:r>
        <w:t>A681022 DJELOVANJE NEVLADINIH UDRUGA U PODRUČJU ZAŠTITE, PROMICANJA I POŠTIVANJA LJUDSKIH PRAVA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CC4FF4" w:rsidRDefault="00EE6D95">
            <w:pPr>
              <w:pStyle w:val="CellHeader"/>
            </w:pPr>
            <w:r w:rsidRPr="00CC4FF4">
              <w:t>Naziv aktivnosti</w:t>
            </w:r>
          </w:p>
        </w:tc>
        <w:tc>
          <w:tcPr>
            <w:tcW w:w="1486" w:type="dxa"/>
            <w:shd w:val="clear" w:color="auto" w:fill="B5C0D8"/>
          </w:tcPr>
          <w:p w:rsidR="00D849AA" w:rsidRPr="00CC4FF4" w:rsidRDefault="00EE6D95">
            <w:pPr>
              <w:pStyle w:val="CellHeader"/>
            </w:pPr>
            <w:r w:rsidRPr="00CC4FF4">
              <w:t>Plan 2013.</w:t>
            </w:r>
          </w:p>
        </w:tc>
        <w:tc>
          <w:tcPr>
            <w:tcW w:w="1486" w:type="dxa"/>
            <w:shd w:val="clear" w:color="auto" w:fill="B5C0D8"/>
          </w:tcPr>
          <w:p w:rsidR="00D849AA" w:rsidRPr="00CC4FF4" w:rsidRDefault="00EE6D95">
            <w:pPr>
              <w:pStyle w:val="CellHeader"/>
            </w:pPr>
            <w:r w:rsidRPr="00CC4FF4">
              <w:t>Plan 2014.</w:t>
            </w:r>
          </w:p>
        </w:tc>
        <w:tc>
          <w:tcPr>
            <w:tcW w:w="1486" w:type="dxa"/>
            <w:shd w:val="clear" w:color="auto" w:fill="B5C0D8"/>
          </w:tcPr>
          <w:p w:rsidR="00D849AA" w:rsidRPr="00CC4FF4" w:rsidRDefault="00EE6D95">
            <w:pPr>
              <w:pStyle w:val="CellHeader"/>
            </w:pPr>
            <w:r w:rsidRPr="00CC4FF4">
              <w:t>Plan 2015.</w:t>
            </w:r>
          </w:p>
        </w:tc>
        <w:tc>
          <w:tcPr>
            <w:tcW w:w="1486" w:type="dxa"/>
            <w:shd w:val="clear" w:color="auto" w:fill="B5C0D8"/>
          </w:tcPr>
          <w:p w:rsidR="00D849AA" w:rsidRPr="00CC4FF4" w:rsidRDefault="00EE6D95">
            <w:pPr>
              <w:pStyle w:val="CellHeader"/>
            </w:pPr>
            <w:r w:rsidRPr="00CC4FF4">
              <w:t>Plan 2016.</w:t>
            </w:r>
          </w:p>
        </w:tc>
        <w:tc>
          <w:tcPr>
            <w:tcW w:w="1486" w:type="dxa"/>
            <w:shd w:val="clear" w:color="auto" w:fill="B5C0D8"/>
          </w:tcPr>
          <w:p w:rsidR="00D849AA" w:rsidRPr="00CC4FF4" w:rsidRDefault="00EE6D95">
            <w:pPr>
              <w:pStyle w:val="CellHeader"/>
            </w:pPr>
            <w:r w:rsidRPr="00CC4FF4">
              <w:t>Indeks 2014/2013</w:t>
            </w:r>
          </w:p>
        </w:tc>
      </w:tr>
      <w:tr w:rsidR="00D849AA">
        <w:trPr>
          <w:jc w:val="center"/>
        </w:trPr>
        <w:tc>
          <w:tcPr>
            <w:tcW w:w="1486" w:type="dxa"/>
          </w:tcPr>
          <w:p w:rsidR="00D849AA" w:rsidRPr="00CC4FF4" w:rsidRDefault="00EE6D95">
            <w:pPr>
              <w:pStyle w:val="CellColumn"/>
            </w:pPr>
            <w:r w:rsidRPr="00CC4FF4">
              <w:t>A681022</w:t>
            </w:r>
          </w:p>
        </w:tc>
        <w:tc>
          <w:tcPr>
            <w:tcW w:w="1486" w:type="dxa"/>
          </w:tcPr>
          <w:p w:rsidR="00D849AA" w:rsidRPr="00CC4FF4" w:rsidRDefault="00EE6D95">
            <w:pPr>
              <w:rPr>
                <w:rFonts w:ascii="Arial" w:hAnsi="Arial" w:cs="Arial"/>
              </w:rPr>
            </w:pPr>
            <w:r w:rsidRPr="00CC4FF4">
              <w:rPr>
                <w:rFonts w:ascii="Arial" w:hAnsi="Arial" w:cs="Arial"/>
              </w:rPr>
              <w:t>960.000</w:t>
            </w:r>
          </w:p>
        </w:tc>
        <w:tc>
          <w:tcPr>
            <w:tcW w:w="1486" w:type="dxa"/>
          </w:tcPr>
          <w:p w:rsidR="00D849AA" w:rsidRPr="00CC4FF4" w:rsidRDefault="00EE6D95">
            <w:pPr>
              <w:rPr>
                <w:rFonts w:ascii="Arial" w:hAnsi="Arial" w:cs="Arial"/>
              </w:rPr>
            </w:pPr>
            <w:r w:rsidRPr="00CC4FF4">
              <w:rPr>
                <w:rFonts w:ascii="Arial" w:hAnsi="Arial" w:cs="Arial"/>
              </w:rPr>
              <w:t>710.000</w:t>
            </w:r>
          </w:p>
        </w:tc>
        <w:tc>
          <w:tcPr>
            <w:tcW w:w="1486" w:type="dxa"/>
          </w:tcPr>
          <w:p w:rsidR="00D849AA" w:rsidRPr="00CC4FF4" w:rsidRDefault="00EE6D95">
            <w:pPr>
              <w:rPr>
                <w:rFonts w:ascii="Arial" w:hAnsi="Arial" w:cs="Arial"/>
              </w:rPr>
            </w:pPr>
            <w:r w:rsidRPr="00CC4FF4">
              <w:rPr>
                <w:rFonts w:ascii="Arial" w:hAnsi="Arial" w:cs="Arial"/>
              </w:rPr>
              <w:t>960.000</w:t>
            </w:r>
          </w:p>
        </w:tc>
        <w:tc>
          <w:tcPr>
            <w:tcW w:w="1486" w:type="dxa"/>
          </w:tcPr>
          <w:p w:rsidR="00D849AA" w:rsidRPr="00CC4FF4" w:rsidRDefault="00EE6D95">
            <w:pPr>
              <w:rPr>
                <w:rFonts w:ascii="Arial" w:hAnsi="Arial" w:cs="Arial"/>
              </w:rPr>
            </w:pPr>
            <w:r w:rsidRPr="00CC4FF4">
              <w:rPr>
                <w:rFonts w:ascii="Arial" w:hAnsi="Arial" w:cs="Arial"/>
              </w:rPr>
              <w:t>960.000</w:t>
            </w:r>
          </w:p>
        </w:tc>
        <w:tc>
          <w:tcPr>
            <w:tcW w:w="1486" w:type="dxa"/>
          </w:tcPr>
          <w:p w:rsidR="00D849AA" w:rsidRPr="00CC4FF4" w:rsidRDefault="00EE6D95">
            <w:pPr>
              <w:rPr>
                <w:rFonts w:ascii="Arial" w:hAnsi="Arial" w:cs="Arial"/>
              </w:rPr>
            </w:pPr>
            <w:r w:rsidRPr="00CC4FF4">
              <w:rPr>
                <w:rFonts w:ascii="Arial" w:hAnsi="Arial" w:cs="Arial"/>
              </w:rPr>
              <w:t>74,0</w:t>
            </w:r>
          </w:p>
        </w:tc>
      </w:tr>
    </w:tbl>
    <w:p w:rsidR="00D849AA" w:rsidRDefault="00D849AA">
      <w:pPr>
        <w:jc w:val="left"/>
      </w:pPr>
    </w:p>
    <w:p w:rsidR="00D849AA" w:rsidRDefault="00EE6D95">
      <w:pPr>
        <w:pStyle w:val="Normal6"/>
      </w:pPr>
      <w:r>
        <w:t>Suradnja s civilnim društvom jedna od prioritetnih aktivnosti Vlade Republike Hrvatske. Također, ova obveza proizlazi iz Nacionalnog programa zaštite i promicanja ljudskih prava 2008-2011 (5. Cilj: Pružiti potporu razvoju kapaciteta organizacija civilnog društva koje se bave zaštitom i promocijom ljudskih prava sustavan pristup financijskim sredstvima, 5.1 Mjera: Osigurati organizacijama civilnog društva koje se bave zaštitom i promocijom ljudskih prava sustavan pristup financijskim sredstvima, Nositelj: Ured za ljudska prava i prava nacionalnih manjina, Ured za udruge u suradnji sa Savjetom za razvoj civilnog društva, Nacionalna zaklada za razvoj civilnog društva, rok: 2008. – 2011.). Posljedično, suradnja Ureda za ljudska prava i prava nacionalnih manjina s organizacijama civilnoga društva provodi se kroz savjetovanje i konzultacije s predstavnicima civilnoga sektora prilikom izrade nacionalnih programa Vlade iz različitih područja ljudskih prava i donošenja novih ili izmjena postojećih zakona, financiranje programa i projekata udruga i poticanje i podupiranje samoorganiziranja i dobrovoljnog djelovanja građana i građanki usmjerenog dobrobiti zajednice.</w:t>
      </w:r>
    </w:p>
    <w:p w:rsidR="00CC4FF4" w:rsidRDefault="00CC4FF4">
      <w:pPr>
        <w:pStyle w:val="Normal6"/>
      </w:pPr>
    </w:p>
    <w:p w:rsidR="00D849AA" w:rsidRDefault="00EE6D95">
      <w:pPr>
        <w:pStyle w:val="Naslov6"/>
      </w:pPr>
      <w:r>
        <w:lastRenderedPageBreak/>
        <w:t>A681023 PROVEDBA NACIONALNOG PLANA ZA SUZBIJANJE TRGOVANJA LJUDIMA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rsidRPr="00CC4FF4">
        <w:trPr>
          <w:jc w:val="center"/>
        </w:trPr>
        <w:tc>
          <w:tcPr>
            <w:tcW w:w="1486" w:type="dxa"/>
            <w:shd w:val="clear" w:color="auto" w:fill="B5C0D8"/>
          </w:tcPr>
          <w:p w:rsidR="00D849AA" w:rsidRPr="00CC4FF4" w:rsidRDefault="00EE6D95">
            <w:pPr>
              <w:pStyle w:val="CellHeader"/>
            </w:pPr>
            <w:r w:rsidRPr="00CC4FF4">
              <w:t>Naziv aktivnosti</w:t>
            </w:r>
          </w:p>
        </w:tc>
        <w:tc>
          <w:tcPr>
            <w:tcW w:w="1486" w:type="dxa"/>
            <w:shd w:val="clear" w:color="auto" w:fill="B5C0D8"/>
          </w:tcPr>
          <w:p w:rsidR="00D849AA" w:rsidRPr="00CC4FF4" w:rsidRDefault="00EE6D95">
            <w:pPr>
              <w:pStyle w:val="CellHeader"/>
            </w:pPr>
            <w:r w:rsidRPr="00CC4FF4">
              <w:t>Plan 2013.</w:t>
            </w:r>
          </w:p>
        </w:tc>
        <w:tc>
          <w:tcPr>
            <w:tcW w:w="1486" w:type="dxa"/>
            <w:shd w:val="clear" w:color="auto" w:fill="B5C0D8"/>
          </w:tcPr>
          <w:p w:rsidR="00D849AA" w:rsidRPr="00CC4FF4" w:rsidRDefault="00EE6D95">
            <w:pPr>
              <w:pStyle w:val="CellHeader"/>
            </w:pPr>
            <w:r w:rsidRPr="00CC4FF4">
              <w:t>Plan 2014.</w:t>
            </w:r>
          </w:p>
        </w:tc>
        <w:tc>
          <w:tcPr>
            <w:tcW w:w="1486" w:type="dxa"/>
            <w:shd w:val="clear" w:color="auto" w:fill="B5C0D8"/>
          </w:tcPr>
          <w:p w:rsidR="00D849AA" w:rsidRPr="00CC4FF4" w:rsidRDefault="00EE6D95">
            <w:pPr>
              <w:pStyle w:val="CellHeader"/>
            </w:pPr>
            <w:r w:rsidRPr="00CC4FF4">
              <w:t>Plan 2015.</w:t>
            </w:r>
          </w:p>
        </w:tc>
        <w:tc>
          <w:tcPr>
            <w:tcW w:w="1486" w:type="dxa"/>
            <w:shd w:val="clear" w:color="auto" w:fill="B5C0D8"/>
          </w:tcPr>
          <w:p w:rsidR="00D849AA" w:rsidRPr="00CC4FF4" w:rsidRDefault="00EE6D95">
            <w:pPr>
              <w:pStyle w:val="CellHeader"/>
            </w:pPr>
            <w:r w:rsidRPr="00CC4FF4">
              <w:t>Plan 2016.</w:t>
            </w:r>
          </w:p>
        </w:tc>
        <w:tc>
          <w:tcPr>
            <w:tcW w:w="1486" w:type="dxa"/>
            <w:shd w:val="clear" w:color="auto" w:fill="B5C0D8"/>
          </w:tcPr>
          <w:p w:rsidR="00D849AA" w:rsidRPr="00CC4FF4" w:rsidRDefault="00EE6D95">
            <w:pPr>
              <w:pStyle w:val="CellHeader"/>
            </w:pPr>
            <w:r w:rsidRPr="00CC4FF4">
              <w:t>Indeks 2014/2013</w:t>
            </w:r>
          </w:p>
        </w:tc>
      </w:tr>
      <w:tr w:rsidR="00D849AA" w:rsidRPr="00CC4FF4">
        <w:trPr>
          <w:jc w:val="center"/>
        </w:trPr>
        <w:tc>
          <w:tcPr>
            <w:tcW w:w="1486" w:type="dxa"/>
          </w:tcPr>
          <w:p w:rsidR="00D849AA" w:rsidRPr="00CC4FF4" w:rsidRDefault="00EE6D95">
            <w:pPr>
              <w:pStyle w:val="CellColumn"/>
            </w:pPr>
            <w:r w:rsidRPr="00CC4FF4">
              <w:t>A681023</w:t>
            </w:r>
          </w:p>
        </w:tc>
        <w:tc>
          <w:tcPr>
            <w:tcW w:w="1486" w:type="dxa"/>
          </w:tcPr>
          <w:p w:rsidR="00D849AA" w:rsidRPr="00CC4FF4" w:rsidRDefault="00EE6D95">
            <w:pPr>
              <w:rPr>
                <w:rFonts w:ascii="Arial" w:hAnsi="Arial" w:cs="Arial"/>
              </w:rPr>
            </w:pPr>
            <w:r w:rsidRPr="00CC4FF4">
              <w:rPr>
                <w:rFonts w:ascii="Arial" w:hAnsi="Arial" w:cs="Arial"/>
              </w:rPr>
              <w:t>184.500</w:t>
            </w:r>
          </w:p>
        </w:tc>
        <w:tc>
          <w:tcPr>
            <w:tcW w:w="1486" w:type="dxa"/>
          </w:tcPr>
          <w:p w:rsidR="00D849AA" w:rsidRPr="00CC4FF4" w:rsidRDefault="00EE6D95">
            <w:pPr>
              <w:rPr>
                <w:rFonts w:ascii="Arial" w:hAnsi="Arial" w:cs="Arial"/>
              </w:rPr>
            </w:pPr>
            <w:r w:rsidRPr="00CC4FF4">
              <w:rPr>
                <w:rFonts w:ascii="Arial" w:hAnsi="Arial" w:cs="Arial"/>
              </w:rPr>
              <w:t>185.500</w:t>
            </w:r>
          </w:p>
        </w:tc>
        <w:tc>
          <w:tcPr>
            <w:tcW w:w="1486" w:type="dxa"/>
          </w:tcPr>
          <w:p w:rsidR="00D849AA" w:rsidRPr="00CC4FF4" w:rsidRDefault="00EE6D95">
            <w:pPr>
              <w:rPr>
                <w:rFonts w:ascii="Arial" w:hAnsi="Arial" w:cs="Arial"/>
              </w:rPr>
            </w:pPr>
            <w:r w:rsidRPr="00CC4FF4">
              <w:rPr>
                <w:rFonts w:ascii="Arial" w:hAnsi="Arial" w:cs="Arial"/>
              </w:rPr>
              <w:t>185.500</w:t>
            </w:r>
          </w:p>
        </w:tc>
        <w:tc>
          <w:tcPr>
            <w:tcW w:w="1486" w:type="dxa"/>
          </w:tcPr>
          <w:p w:rsidR="00D849AA" w:rsidRPr="00CC4FF4" w:rsidRDefault="00EE6D95">
            <w:pPr>
              <w:rPr>
                <w:rFonts w:ascii="Arial" w:hAnsi="Arial" w:cs="Arial"/>
              </w:rPr>
            </w:pPr>
            <w:r w:rsidRPr="00CC4FF4">
              <w:rPr>
                <w:rFonts w:ascii="Arial" w:hAnsi="Arial" w:cs="Arial"/>
              </w:rPr>
              <w:t>185.500</w:t>
            </w:r>
          </w:p>
        </w:tc>
        <w:tc>
          <w:tcPr>
            <w:tcW w:w="1486" w:type="dxa"/>
          </w:tcPr>
          <w:p w:rsidR="00D849AA" w:rsidRPr="00CC4FF4" w:rsidRDefault="00EE6D95">
            <w:pPr>
              <w:rPr>
                <w:rFonts w:ascii="Arial" w:hAnsi="Arial" w:cs="Arial"/>
              </w:rPr>
            </w:pPr>
            <w:r w:rsidRPr="00CC4FF4">
              <w:rPr>
                <w:rFonts w:ascii="Arial" w:hAnsi="Arial" w:cs="Arial"/>
              </w:rPr>
              <w:t>100,5</w:t>
            </w:r>
          </w:p>
        </w:tc>
      </w:tr>
    </w:tbl>
    <w:p w:rsidR="00D849AA" w:rsidRPr="00CC4FF4" w:rsidRDefault="00D849AA">
      <w:pPr>
        <w:jc w:val="left"/>
        <w:rPr>
          <w:rFonts w:ascii="Arial" w:hAnsi="Arial" w:cs="Arial"/>
        </w:rPr>
      </w:pPr>
    </w:p>
    <w:p w:rsidR="00D849AA" w:rsidRDefault="00EE6D95">
      <w:pPr>
        <w:pStyle w:val="Normal6"/>
      </w:pPr>
      <w:r>
        <w:t xml:space="preserve">Od potpisivanja Konvencije UN-a, a u svrhu usklađivanja sa obvezama preuzetim potpisivanjem navedenih međunarodnih dokumenata, u Republici Hrvatskoj započela je izgradnja cjelovitog sustava suzbijanja trgovanja ljudima. Vlada Republike Hrvatske je sredinom 2002. godine osnovala Nacionalni odbor za suzbijanje trgovanja ljudima, kao međuresorno tijelo u kojem su imenovani predstavnici svih relevantnih tijela državne uprave, međunarodnih organizacija i nevladinih udruga. Nacionalni odbor zadužen je za donošenje programa i planova na području suzbijanja trgovanja ljudima te predlaže najvažnije političke smjernice na ovom području. </w:t>
      </w:r>
    </w:p>
    <w:p w:rsidR="00D849AA" w:rsidRDefault="00EE6D95">
      <w:pPr>
        <w:pStyle w:val="Normal6"/>
      </w:pPr>
      <w:r>
        <w:t xml:space="preserve">Kao krovno nacionalno savjetodavno tijelo na ovom području, Nacionalni odbor od svog osnivanja aktivno radi na osmišljavanju strategije suzbijanja trgovanja ljudima u Republici Hrvatskoj. </w:t>
      </w:r>
    </w:p>
    <w:p w:rsidR="00D849AA" w:rsidRDefault="00EE6D95">
      <w:pPr>
        <w:pStyle w:val="Normal6"/>
      </w:pPr>
      <w:r>
        <w:t>Ravnatelj Ureda za ljudska prava i prava nacionalnih manjina, nacionalni je koordinator za suzbijanje trgovanja ljudima, te stoga i sam Ured mora vrlo često prisustvovati svim važnijim okruglim stolovima, seminarima, tribinama, konferencijama i ostalim važnim događajima na području Republike Hrvatske, ali i u inozemstvu, vezano uz problematiku trgovanja ljudima. Također, Ured za ljudska prava i prava nacionalnih manjina svake godine svečano obilježava Europski dan suzbijanja trgovanja ljudima, 18. listopada. Ured za ljudska prava kao tajništvo Nacionalnog odbora za suzbijanje trgovanja ljudima koordinira i nadzire provedbu Nacionalnog plana za suzbijanje trgovanja ljudima.</w:t>
      </w:r>
    </w:p>
    <w:p w:rsidR="00D849AA" w:rsidRDefault="00EE6D95">
      <w:pPr>
        <w:pStyle w:val="Naslov2"/>
      </w:pPr>
      <w:r>
        <w:t>02090 Ured za suzbijanje zlouporabe droga</w:t>
      </w:r>
    </w:p>
    <w:p w:rsidR="00D849AA" w:rsidRDefault="00EE6D95">
      <w:pPr>
        <w:pStyle w:val="Naslov4"/>
      </w:pPr>
      <w:r>
        <w:t>Uvod</w:t>
      </w:r>
    </w:p>
    <w:p w:rsidR="00D849AA" w:rsidRDefault="00EE6D95">
      <w:pPr>
        <w:pStyle w:val="Normal3"/>
      </w:pPr>
      <w:r>
        <w:t xml:space="preserve">Na temelju Zakona o suzbijanju zlouporabe droga i Uredbe o Uredu za suzbijanje zlouporabe droga zadaće Ureda su da sustavno prati pojave, razmatra pitanja i obavlja druge poslove u vezi s primjenom Zakona o suzbijanju zlouporabe droga te provedbom Nacionalne strategije i Akcijskog plana suzbijanja zlouporabe droga, vodi nacionalni informacijski sustav o drogama radi objave prikup¬¬ljenih, objektivnih, usporedivih i pouzdanih podataka o drogama, provodi edukacije i istraživa¬¬nja vezana uz problematiku ovisnosti o drogama i zlouporabu  droga, osmiš¬-ljava, koordinira i provodi obrazovnu i medijsku kampa¬¬nju, surađuje s međunarodnim tijelima, ustanovama, udrugama i pravnim i fizičkim osobama te obavlja i druge poslove na području suzbijanja zlouporabe droga koje mu povjeri Vlada Republike Hrvatske.  </w:t>
      </w:r>
    </w:p>
    <w:p w:rsidR="00D849AA" w:rsidRDefault="00EE6D95">
      <w:pPr>
        <w:pStyle w:val="Normal3"/>
      </w:pPr>
      <w:r>
        <w:t>Opravdanost plana rashoda Ureda u financijskom planu za 2014.-2016. temelji se na potrebi provedbe aktivnosti usmjerenih na suzbijanje zlouporabe droga koje za cilj imaju provođenje zakonodavstva, mjera prevencije, edukacije, liječenja i odvikavanja od ovisnosti, resocijalizacije kao i koordinaciju i nadzor nad izvršavanjem posebnih programa mjera za suzbijanje zlouporabe droga te pomoći nositeljima aktivnosti na državnoj, lokalnoj, regionalnoj razini, kao i nevladinim organizacijama u vidu sufinanciranja programa koji su umjereni na otklanjanje uzroka i posljedica zlouporabe droga na kvalitetu života ljudi, a posebice programa prevencije, resocijalizacije i tretmana.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A8412B" w:rsidRDefault="00D849AA">
            <w:pPr>
              <w:pStyle w:val="CellHeader"/>
            </w:pPr>
          </w:p>
        </w:tc>
        <w:tc>
          <w:tcPr>
            <w:tcW w:w="1486" w:type="dxa"/>
            <w:shd w:val="clear" w:color="auto" w:fill="B5C0D8"/>
          </w:tcPr>
          <w:p w:rsidR="00D849AA" w:rsidRPr="00A8412B" w:rsidRDefault="00EE6D95">
            <w:pPr>
              <w:pStyle w:val="CellHeader"/>
            </w:pPr>
            <w:r w:rsidRPr="00A8412B">
              <w:t>Plan 2013.</w:t>
            </w:r>
          </w:p>
        </w:tc>
        <w:tc>
          <w:tcPr>
            <w:tcW w:w="1486" w:type="dxa"/>
            <w:shd w:val="clear" w:color="auto" w:fill="B5C0D8"/>
          </w:tcPr>
          <w:p w:rsidR="00D849AA" w:rsidRPr="00A8412B" w:rsidRDefault="00EE6D95">
            <w:pPr>
              <w:pStyle w:val="CellHeader"/>
            </w:pPr>
            <w:r w:rsidRPr="00A8412B">
              <w:t>Plan 2014.</w:t>
            </w:r>
          </w:p>
        </w:tc>
        <w:tc>
          <w:tcPr>
            <w:tcW w:w="1486" w:type="dxa"/>
            <w:shd w:val="clear" w:color="auto" w:fill="B5C0D8"/>
          </w:tcPr>
          <w:p w:rsidR="00D849AA" w:rsidRPr="00A8412B" w:rsidRDefault="00EE6D95">
            <w:pPr>
              <w:pStyle w:val="CellHeader"/>
            </w:pPr>
            <w:r w:rsidRPr="00A8412B">
              <w:t>Plan 2015.</w:t>
            </w:r>
          </w:p>
        </w:tc>
        <w:tc>
          <w:tcPr>
            <w:tcW w:w="1486" w:type="dxa"/>
            <w:shd w:val="clear" w:color="auto" w:fill="B5C0D8"/>
          </w:tcPr>
          <w:p w:rsidR="00D849AA" w:rsidRPr="00A8412B" w:rsidRDefault="00EE6D95">
            <w:pPr>
              <w:pStyle w:val="CellHeader"/>
            </w:pPr>
            <w:r w:rsidRPr="00A8412B">
              <w:t>Plan 2016.</w:t>
            </w:r>
          </w:p>
        </w:tc>
        <w:tc>
          <w:tcPr>
            <w:tcW w:w="1486" w:type="dxa"/>
            <w:shd w:val="clear" w:color="auto" w:fill="B5C0D8"/>
          </w:tcPr>
          <w:p w:rsidR="00D849AA" w:rsidRPr="00A8412B" w:rsidRDefault="00EE6D95">
            <w:pPr>
              <w:pStyle w:val="CellHeader"/>
            </w:pPr>
            <w:r w:rsidRPr="00A8412B">
              <w:t>Indeks 2014/2013</w:t>
            </w:r>
          </w:p>
        </w:tc>
      </w:tr>
      <w:tr w:rsidR="00D849AA">
        <w:trPr>
          <w:jc w:val="center"/>
        </w:trPr>
        <w:tc>
          <w:tcPr>
            <w:tcW w:w="1486" w:type="dxa"/>
          </w:tcPr>
          <w:p w:rsidR="00D849AA" w:rsidRPr="00A8412B" w:rsidRDefault="00EE6D95">
            <w:pPr>
              <w:pStyle w:val="CellColumn"/>
            </w:pPr>
            <w:r w:rsidRPr="00A8412B">
              <w:t>02090</w:t>
            </w:r>
          </w:p>
        </w:tc>
        <w:tc>
          <w:tcPr>
            <w:tcW w:w="1486" w:type="dxa"/>
          </w:tcPr>
          <w:p w:rsidR="00D849AA" w:rsidRPr="00A8412B" w:rsidRDefault="00EE6D95">
            <w:pPr>
              <w:rPr>
                <w:rFonts w:ascii="Arial" w:hAnsi="Arial" w:cs="Arial"/>
              </w:rPr>
            </w:pPr>
            <w:r w:rsidRPr="00A8412B">
              <w:rPr>
                <w:rFonts w:ascii="Arial" w:hAnsi="Arial" w:cs="Arial"/>
              </w:rPr>
              <w:t>4.529.023</w:t>
            </w:r>
          </w:p>
        </w:tc>
        <w:tc>
          <w:tcPr>
            <w:tcW w:w="1486" w:type="dxa"/>
          </w:tcPr>
          <w:p w:rsidR="00D849AA" w:rsidRPr="00A8412B" w:rsidRDefault="00EE6D95">
            <w:pPr>
              <w:rPr>
                <w:rFonts w:ascii="Arial" w:hAnsi="Arial" w:cs="Arial"/>
              </w:rPr>
            </w:pPr>
            <w:r w:rsidRPr="00A8412B">
              <w:rPr>
                <w:rFonts w:ascii="Arial" w:hAnsi="Arial" w:cs="Arial"/>
              </w:rPr>
              <w:t>5.358.033</w:t>
            </w:r>
          </w:p>
        </w:tc>
        <w:tc>
          <w:tcPr>
            <w:tcW w:w="1486" w:type="dxa"/>
          </w:tcPr>
          <w:p w:rsidR="00D849AA" w:rsidRPr="00A8412B" w:rsidRDefault="00EE6D95">
            <w:pPr>
              <w:rPr>
                <w:rFonts w:ascii="Arial" w:hAnsi="Arial" w:cs="Arial"/>
              </w:rPr>
            </w:pPr>
            <w:r w:rsidRPr="00A8412B">
              <w:rPr>
                <w:rFonts w:ascii="Arial" w:hAnsi="Arial" w:cs="Arial"/>
              </w:rPr>
              <w:t>5.407.740</w:t>
            </w:r>
          </w:p>
        </w:tc>
        <w:tc>
          <w:tcPr>
            <w:tcW w:w="1486" w:type="dxa"/>
          </w:tcPr>
          <w:p w:rsidR="00D849AA" w:rsidRPr="00A8412B" w:rsidRDefault="00EE6D95">
            <w:pPr>
              <w:rPr>
                <w:rFonts w:ascii="Arial" w:hAnsi="Arial" w:cs="Arial"/>
              </w:rPr>
            </w:pPr>
            <w:r w:rsidRPr="00A8412B">
              <w:rPr>
                <w:rFonts w:ascii="Arial" w:hAnsi="Arial" w:cs="Arial"/>
              </w:rPr>
              <w:t>5.464.827</w:t>
            </w:r>
          </w:p>
        </w:tc>
        <w:tc>
          <w:tcPr>
            <w:tcW w:w="1486" w:type="dxa"/>
          </w:tcPr>
          <w:p w:rsidR="00D849AA" w:rsidRPr="00A8412B" w:rsidRDefault="00EE6D95">
            <w:pPr>
              <w:rPr>
                <w:rFonts w:ascii="Arial" w:hAnsi="Arial" w:cs="Arial"/>
              </w:rPr>
            </w:pPr>
            <w:r w:rsidRPr="00A8412B">
              <w:rPr>
                <w:rFonts w:ascii="Arial" w:hAnsi="Arial" w:cs="Arial"/>
              </w:rPr>
              <w:t>118,3</w:t>
            </w:r>
          </w:p>
        </w:tc>
      </w:tr>
    </w:tbl>
    <w:p w:rsidR="00D849AA" w:rsidRDefault="00D849AA">
      <w:pPr>
        <w:jc w:val="left"/>
      </w:pPr>
    </w:p>
    <w:p w:rsidR="00D849AA" w:rsidRDefault="00EE6D95">
      <w:pPr>
        <w:pStyle w:val="Naslov4"/>
      </w:pPr>
      <w:r>
        <w:t>OBRAZLOŽENJE PROGRAMA</w:t>
      </w:r>
    </w:p>
    <w:p w:rsidR="00D849AA" w:rsidRDefault="00EE6D95">
      <w:pPr>
        <w:pStyle w:val="Naslov5"/>
      </w:pPr>
      <w:r>
        <w:t>3607 SUZBIJANJE ZLOUPORABE DROGA I OVISNOSTI</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3607</w:t>
            </w:r>
          </w:p>
        </w:tc>
        <w:tc>
          <w:tcPr>
            <w:tcW w:w="1486" w:type="dxa"/>
          </w:tcPr>
          <w:p w:rsidR="00D849AA" w:rsidRDefault="00EE6D95">
            <w:r>
              <w:t>4.529.023</w:t>
            </w:r>
          </w:p>
        </w:tc>
        <w:tc>
          <w:tcPr>
            <w:tcW w:w="1486" w:type="dxa"/>
          </w:tcPr>
          <w:p w:rsidR="00D849AA" w:rsidRDefault="00EE6D95">
            <w:r>
              <w:t>5.358.033</w:t>
            </w:r>
          </w:p>
        </w:tc>
        <w:tc>
          <w:tcPr>
            <w:tcW w:w="1486" w:type="dxa"/>
          </w:tcPr>
          <w:p w:rsidR="00D849AA" w:rsidRDefault="00EE6D95">
            <w:r>
              <w:t>5.407.740</w:t>
            </w:r>
          </w:p>
        </w:tc>
        <w:tc>
          <w:tcPr>
            <w:tcW w:w="1486" w:type="dxa"/>
          </w:tcPr>
          <w:p w:rsidR="00D849AA" w:rsidRDefault="00EE6D95">
            <w:r>
              <w:t>5.464.827</w:t>
            </w:r>
          </w:p>
        </w:tc>
        <w:tc>
          <w:tcPr>
            <w:tcW w:w="1486" w:type="dxa"/>
          </w:tcPr>
          <w:p w:rsidR="00D849AA" w:rsidRDefault="00EE6D95">
            <w:r>
              <w:t>118,3</w:t>
            </w:r>
          </w:p>
        </w:tc>
      </w:tr>
    </w:tbl>
    <w:p w:rsidR="00D849AA" w:rsidRDefault="00D849AA">
      <w:pPr>
        <w:jc w:val="left"/>
      </w:pPr>
    </w:p>
    <w:p w:rsidR="00D849AA" w:rsidRDefault="00EE6D95">
      <w:pPr>
        <w:pStyle w:val="Naslov6"/>
      </w:pPr>
      <w:r>
        <w:t>Opis programa</w:t>
      </w:r>
    </w:p>
    <w:p w:rsidR="00D849AA" w:rsidRDefault="00EE6D95">
      <w:pPr>
        <w:pStyle w:val="Normal5"/>
      </w:pPr>
      <w:r>
        <w:t>Ovaj program ima za cilj povećanu učinkovitost i koordiniranost sustava suzbijanja zlouporabe droga, smanjenje broja ovisnika, smanjene potražnje droga na ilegalnom narko tržištu, veći broj zapljena droga, bolju informiranost javnosti o utjecaju i štetnosti droga, bolju organiziranost nacionalnog sustava praćenja, prikupljanja, analiziranja i razmjene podataka vezanih uz droge i ovisnosti o drogama, utvrđenu metodologiju prikupljanja podataka o drogama, bolesti ovisnosti i posljedicama zlouporabe droga, educiranost svih subjekata uključenih u sustav borbe protiv ovisnosti, međuresorsku i međunarodnu razmjenu informacija, a osobito jačanje suradnje s organizacijama civilnog društva. Provedba navedenog programa temelji se na posebnom cilju Strategije Vladinih programa za razdoblje od 2014-2016., 5.3. Zaštita javnozdravstvenog interesa.</w:t>
      </w:r>
    </w:p>
    <w:p w:rsidR="00D849AA" w:rsidRDefault="00EE6D95">
      <w:pPr>
        <w:pStyle w:val="Naslov6"/>
      </w:pPr>
      <w:r>
        <w:t>Zakonske i druge pravne osnove</w:t>
      </w:r>
    </w:p>
    <w:p w:rsidR="00D849AA" w:rsidRDefault="00EE6D95">
      <w:pPr>
        <w:pStyle w:val="Normal5"/>
      </w:pPr>
      <w:r>
        <w:t xml:space="preserve">Zakon o suzbijanju zlouporabe droga  </w:t>
      </w:r>
    </w:p>
    <w:p w:rsidR="00D849AA" w:rsidRDefault="00EE6D95">
      <w:pPr>
        <w:pStyle w:val="Normal5"/>
      </w:pPr>
      <w:r>
        <w:t xml:space="preserve">Uredba o Uredu za suzbijanje zlouporabe droga </w:t>
      </w:r>
    </w:p>
    <w:p w:rsidR="00D849AA" w:rsidRDefault="00EE6D95">
      <w:pPr>
        <w:pStyle w:val="Normal5"/>
      </w:pPr>
      <w:r>
        <w:t xml:space="preserve">Nacionalna strategija suzbijanja zlouporabe droga u Republici Hrvatskoj </w:t>
      </w:r>
    </w:p>
    <w:p w:rsidR="00D849AA" w:rsidRDefault="00EE6D95">
      <w:pPr>
        <w:pStyle w:val="Normal5"/>
      </w:pPr>
      <w:r>
        <w:t>Akcijski plan suzbijanja zlouporabe droga</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Cilj 1. Suzbijanje zlouporabe droga i uspostava integriranog nacionalnog informacijskog sustava za droge</w:t>
      </w:r>
    </w:p>
    <w:p w:rsidR="00D849AA" w:rsidRDefault="00EE6D95">
      <w:pPr>
        <w:pStyle w:val="Normal6"/>
      </w:pPr>
      <w:r>
        <w:t xml:space="preserve">Kroz kontinuiranu koordinaciju i suradnju s mjerodavnim tijelima državne uprave i jedinicama lokalne i područne (regionalne) samouprave na područjima provedbe preventivnih programa, organiziranja konferencija, edukacija, seminara i radionica za subjekte uključene u sustav suzbijanja zlouporabe droga, provedbe medijske kampanje borbe protiv ovisnosti o drogama, regionalne i međunarodne suradnje po pitanjima sprječavanja nelegalne trgovine drogama i zlouporabe droga, Ured će i dalje unaprjeđivati koordinaciju i suradnju, vršiti evaluaciju kvalitete i učinkovitosti izvršenih mjera i aktivnosti Nacionalne strategije i Akcijskog plana suzbijanja zlouporabe droga i utroška financijskih sredstava za njihovu provedbu. Postignuti rezultati analizirat će se i prikazati </w:t>
      </w:r>
      <w:r>
        <w:lastRenderedPageBreak/>
        <w:t xml:space="preserve">u okviru izvješća o provedbi Nacionalne strategije i Akcijskog plana suzbijanja zlouporabe droga i putem izvješćivanja o stanju zlouporabe droga u Republici Hrvatskoj nadležnih međunarodnih organizacija.  </w:t>
      </w:r>
    </w:p>
    <w:p w:rsidR="00D849AA" w:rsidRDefault="00EE6D95">
      <w:pPr>
        <w:pStyle w:val="Normal6"/>
      </w:pPr>
      <w:r>
        <w:t>Radi aktiviranja nacionalnog informacijskog sustava, u suradnji sa svim tijelima i subjektima uključenim u sustav suzbijanja zlouporabe droga unaprijedit će se identifikacija i metodološka ocjena svih izvora statističkih podataka, uskladiti statistički sustav sa standardima Europske unije, prilagoditi sustavi statističkog izvještavanja, razviti istraživački protokoli, organizirati edukacije za poboljšanje kvalitete dijagnosticiranja i istraživanja na lokalnoj razini, stvoriti mreža razmjene informacija među pojedinim tijelima državne uprave, kao i između tijela lokalne uprave.</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A8412B" w:rsidRDefault="00EE6D95">
            <w:pPr>
              <w:rPr>
                <w:rFonts w:ascii="Arial" w:hAnsi="Arial" w:cs="Arial"/>
              </w:rPr>
            </w:pPr>
            <w:r w:rsidRPr="00A8412B">
              <w:rPr>
                <w:rFonts w:ascii="Arial" w:hAnsi="Arial" w:cs="Arial"/>
              </w:rPr>
              <w:t>Pokazatelj učinka</w:t>
            </w:r>
          </w:p>
        </w:tc>
        <w:tc>
          <w:tcPr>
            <w:tcW w:w="1114" w:type="dxa"/>
            <w:shd w:val="clear" w:color="auto" w:fill="B5C0D8"/>
          </w:tcPr>
          <w:p w:rsidR="00D849AA" w:rsidRPr="00A8412B" w:rsidRDefault="00EE6D95">
            <w:pPr>
              <w:pStyle w:val="CellHeader"/>
            </w:pPr>
            <w:r w:rsidRPr="00A8412B">
              <w:t>Jedinica</w:t>
            </w:r>
          </w:p>
        </w:tc>
        <w:tc>
          <w:tcPr>
            <w:tcW w:w="1114" w:type="dxa"/>
            <w:shd w:val="clear" w:color="auto" w:fill="B5C0D8"/>
          </w:tcPr>
          <w:p w:rsidR="00D849AA" w:rsidRPr="00A8412B" w:rsidRDefault="00EE6D95">
            <w:pPr>
              <w:pStyle w:val="CellHeader"/>
            </w:pPr>
            <w:r w:rsidRPr="00A8412B">
              <w:t>Polazna vrijednost</w:t>
            </w:r>
          </w:p>
        </w:tc>
        <w:tc>
          <w:tcPr>
            <w:tcW w:w="1486" w:type="dxa"/>
            <w:shd w:val="clear" w:color="auto" w:fill="B5C0D8"/>
          </w:tcPr>
          <w:p w:rsidR="00D849AA" w:rsidRPr="00A8412B" w:rsidRDefault="00EE6D95">
            <w:pPr>
              <w:pStyle w:val="CellHeader"/>
            </w:pPr>
            <w:r w:rsidRPr="00A8412B">
              <w:t>Ciljana vrijednost (2014.)</w:t>
            </w:r>
          </w:p>
        </w:tc>
        <w:tc>
          <w:tcPr>
            <w:tcW w:w="1486" w:type="dxa"/>
            <w:shd w:val="clear" w:color="auto" w:fill="B5C0D8"/>
          </w:tcPr>
          <w:p w:rsidR="00D849AA" w:rsidRPr="00A8412B" w:rsidRDefault="00EE6D95">
            <w:pPr>
              <w:pStyle w:val="CellHeader"/>
            </w:pPr>
            <w:r w:rsidRPr="00A8412B">
              <w:t>Ciljana vrijednost (2015.)</w:t>
            </w:r>
          </w:p>
        </w:tc>
        <w:tc>
          <w:tcPr>
            <w:tcW w:w="1486" w:type="dxa"/>
            <w:shd w:val="clear" w:color="auto" w:fill="B5C0D8"/>
          </w:tcPr>
          <w:p w:rsidR="00D849AA" w:rsidRPr="00A8412B" w:rsidRDefault="00EE6D95">
            <w:pPr>
              <w:pStyle w:val="CellHeader"/>
            </w:pPr>
            <w:r w:rsidRPr="00A8412B">
              <w:t>Ciljana vrijednost (2016.)</w:t>
            </w:r>
          </w:p>
        </w:tc>
      </w:tr>
      <w:tr w:rsidR="00D849AA">
        <w:trPr>
          <w:jc w:val="center"/>
        </w:trPr>
        <w:tc>
          <w:tcPr>
            <w:tcW w:w="2229" w:type="dxa"/>
          </w:tcPr>
          <w:p w:rsidR="00D849AA" w:rsidRPr="00A8412B" w:rsidRDefault="00EE6D95">
            <w:pPr>
              <w:pStyle w:val="CellColumn"/>
            </w:pPr>
            <w:r w:rsidRPr="00A8412B">
              <w:t>Postotak mjera koje su poduzete radi smanjenja potražnje i ponude droga i usklađene među nositeljima na nacionalnoj i lokalnoj razini</w:t>
            </w:r>
          </w:p>
        </w:tc>
        <w:tc>
          <w:tcPr>
            <w:tcW w:w="1114" w:type="dxa"/>
          </w:tcPr>
          <w:p w:rsidR="00D849AA" w:rsidRPr="00A8412B" w:rsidRDefault="00EE6D95">
            <w:pPr>
              <w:rPr>
                <w:rFonts w:ascii="Arial" w:hAnsi="Arial" w:cs="Arial"/>
              </w:rPr>
            </w:pPr>
            <w:r w:rsidRPr="00A8412B">
              <w:rPr>
                <w:rFonts w:ascii="Arial" w:hAnsi="Arial" w:cs="Arial"/>
              </w:rPr>
              <w:t>%</w:t>
            </w:r>
          </w:p>
        </w:tc>
        <w:tc>
          <w:tcPr>
            <w:tcW w:w="1114" w:type="dxa"/>
          </w:tcPr>
          <w:p w:rsidR="00D849AA" w:rsidRPr="00A8412B" w:rsidRDefault="00EE6D95">
            <w:pPr>
              <w:rPr>
                <w:rFonts w:ascii="Arial" w:hAnsi="Arial" w:cs="Arial"/>
              </w:rPr>
            </w:pPr>
            <w:r w:rsidRPr="00A8412B">
              <w:rPr>
                <w:rFonts w:ascii="Arial" w:hAnsi="Arial" w:cs="Arial"/>
              </w:rPr>
              <w:t>44</w:t>
            </w:r>
          </w:p>
        </w:tc>
        <w:tc>
          <w:tcPr>
            <w:tcW w:w="1486" w:type="dxa"/>
          </w:tcPr>
          <w:p w:rsidR="00D849AA" w:rsidRPr="00A8412B" w:rsidRDefault="00EE6D95">
            <w:pPr>
              <w:rPr>
                <w:rFonts w:ascii="Arial" w:hAnsi="Arial" w:cs="Arial"/>
              </w:rPr>
            </w:pPr>
            <w:r w:rsidRPr="00A8412B">
              <w:rPr>
                <w:rFonts w:ascii="Arial" w:hAnsi="Arial" w:cs="Arial"/>
              </w:rPr>
              <w:t>46</w:t>
            </w:r>
          </w:p>
        </w:tc>
        <w:tc>
          <w:tcPr>
            <w:tcW w:w="1486" w:type="dxa"/>
          </w:tcPr>
          <w:p w:rsidR="00D849AA" w:rsidRPr="00A8412B" w:rsidRDefault="00EE6D95">
            <w:pPr>
              <w:rPr>
                <w:rFonts w:ascii="Arial" w:hAnsi="Arial" w:cs="Arial"/>
              </w:rPr>
            </w:pPr>
            <w:r w:rsidRPr="00A8412B">
              <w:rPr>
                <w:rFonts w:ascii="Arial" w:hAnsi="Arial" w:cs="Arial"/>
              </w:rPr>
              <w:t>48</w:t>
            </w:r>
          </w:p>
        </w:tc>
        <w:tc>
          <w:tcPr>
            <w:tcW w:w="1486" w:type="dxa"/>
          </w:tcPr>
          <w:p w:rsidR="00D849AA" w:rsidRPr="00A8412B" w:rsidRDefault="00EE6D95">
            <w:pPr>
              <w:rPr>
                <w:rFonts w:ascii="Arial" w:hAnsi="Arial" w:cs="Arial"/>
              </w:rPr>
            </w:pPr>
            <w:r w:rsidRPr="00A8412B">
              <w:rPr>
                <w:rFonts w:ascii="Arial" w:hAnsi="Arial" w:cs="Arial"/>
              </w:rPr>
              <w:t>50</w:t>
            </w:r>
          </w:p>
        </w:tc>
      </w:tr>
    </w:tbl>
    <w:p w:rsidR="00D849AA" w:rsidRDefault="00D849AA">
      <w:pPr>
        <w:jc w:val="left"/>
      </w:pPr>
    </w:p>
    <w:p w:rsidR="00D849AA" w:rsidRDefault="00EE6D95">
      <w:pPr>
        <w:pStyle w:val="Naslov5"/>
      </w:pPr>
      <w:r>
        <w:t>Procjena i ishodište potrebnih sredstava za značajnije aktivnosti/projekte</w:t>
      </w:r>
    </w:p>
    <w:p w:rsidR="00D849AA" w:rsidRDefault="00EE6D95">
      <w:pPr>
        <w:pStyle w:val="Naslov6"/>
      </w:pPr>
      <w:r>
        <w:t>A530001 PROVEDBA NACIONALNE STRATEGIJE I AKCIJSKOG PLANA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A8412B" w:rsidRDefault="00EE6D95">
            <w:pPr>
              <w:pStyle w:val="CellHeader"/>
            </w:pPr>
            <w:r w:rsidRPr="00A8412B">
              <w:t>Naziv aktivnosti</w:t>
            </w:r>
          </w:p>
        </w:tc>
        <w:tc>
          <w:tcPr>
            <w:tcW w:w="1486" w:type="dxa"/>
            <w:shd w:val="clear" w:color="auto" w:fill="B5C0D8"/>
          </w:tcPr>
          <w:p w:rsidR="00D849AA" w:rsidRPr="00A8412B" w:rsidRDefault="00EE6D95">
            <w:pPr>
              <w:pStyle w:val="CellHeader"/>
            </w:pPr>
            <w:r w:rsidRPr="00A8412B">
              <w:t>Plan 2013.</w:t>
            </w:r>
          </w:p>
        </w:tc>
        <w:tc>
          <w:tcPr>
            <w:tcW w:w="1486" w:type="dxa"/>
            <w:shd w:val="clear" w:color="auto" w:fill="B5C0D8"/>
          </w:tcPr>
          <w:p w:rsidR="00D849AA" w:rsidRPr="00A8412B" w:rsidRDefault="00EE6D95">
            <w:pPr>
              <w:pStyle w:val="CellHeader"/>
            </w:pPr>
            <w:r w:rsidRPr="00A8412B">
              <w:t>Plan 2014.</w:t>
            </w:r>
          </w:p>
        </w:tc>
        <w:tc>
          <w:tcPr>
            <w:tcW w:w="1486" w:type="dxa"/>
            <w:shd w:val="clear" w:color="auto" w:fill="B5C0D8"/>
          </w:tcPr>
          <w:p w:rsidR="00D849AA" w:rsidRPr="00A8412B" w:rsidRDefault="00EE6D95">
            <w:pPr>
              <w:pStyle w:val="CellHeader"/>
            </w:pPr>
            <w:r w:rsidRPr="00A8412B">
              <w:t>Plan 2015.</w:t>
            </w:r>
          </w:p>
        </w:tc>
        <w:tc>
          <w:tcPr>
            <w:tcW w:w="1486" w:type="dxa"/>
            <w:shd w:val="clear" w:color="auto" w:fill="B5C0D8"/>
          </w:tcPr>
          <w:p w:rsidR="00D849AA" w:rsidRPr="00A8412B" w:rsidRDefault="00EE6D95">
            <w:pPr>
              <w:pStyle w:val="CellHeader"/>
            </w:pPr>
            <w:r w:rsidRPr="00A8412B">
              <w:t>Plan 2016.</w:t>
            </w:r>
          </w:p>
        </w:tc>
        <w:tc>
          <w:tcPr>
            <w:tcW w:w="1486" w:type="dxa"/>
            <w:shd w:val="clear" w:color="auto" w:fill="B5C0D8"/>
          </w:tcPr>
          <w:p w:rsidR="00D849AA" w:rsidRPr="00A8412B" w:rsidRDefault="00EE6D95">
            <w:pPr>
              <w:pStyle w:val="CellHeader"/>
            </w:pPr>
            <w:r w:rsidRPr="00A8412B">
              <w:t>Indeks 2014/2013</w:t>
            </w:r>
          </w:p>
        </w:tc>
      </w:tr>
      <w:tr w:rsidR="00D849AA">
        <w:trPr>
          <w:jc w:val="center"/>
        </w:trPr>
        <w:tc>
          <w:tcPr>
            <w:tcW w:w="1486" w:type="dxa"/>
          </w:tcPr>
          <w:p w:rsidR="00D849AA" w:rsidRPr="00A8412B" w:rsidRDefault="00EE6D95">
            <w:pPr>
              <w:pStyle w:val="CellColumn"/>
            </w:pPr>
            <w:r w:rsidRPr="00A8412B">
              <w:t>A530001</w:t>
            </w:r>
          </w:p>
        </w:tc>
        <w:tc>
          <w:tcPr>
            <w:tcW w:w="1486" w:type="dxa"/>
          </w:tcPr>
          <w:p w:rsidR="00D849AA" w:rsidRPr="00A8412B" w:rsidRDefault="00EE6D95">
            <w:pPr>
              <w:rPr>
                <w:rFonts w:ascii="Arial" w:hAnsi="Arial" w:cs="Arial"/>
              </w:rPr>
            </w:pPr>
            <w:r w:rsidRPr="00A8412B">
              <w:rPr>
                <w:rFonts w:ascii="Arial" w:hAnsi="Arial" w:cs="Arial"/>
              </w:rPr>
              <w:t>229.500</w:t>
            </w:r>
          </w:p>
        </w:tc>
        <w:tc>
          <w:tcPr>
            <w:tcW w:w="1486" w:type="dxa"/>
          </w:tcPr>
          <w:p w:rsidR="00D849AA" w:rsidRPr="00A8412B" w:rsidRDefault="00EE6D95">
            <w:pPr>
              <w:rPr>
                <w:rFonts w:ascii="Arial" w:hAnsi="Arial" w:cs="Arial"/>
              </w:rPr>
            </w:pPr>
            <w:r w:rsidRPr="00A8412B">
              <w:rPr>
                <w:rFonts w:ascii="Arial" w:hAnsi="Arial" w:cs="Arial"/>
              </w:rPr>
              <w:t>374.000</w:t>
            </w:r>
          </w:p>
        </w:tc>
        <w:tc>
          <w:tcPr>
            <w:tcW w:w="1486" w:type="dxa"/>
          </w:tcPr>
          <w:p w:rsidR="00D849AA" w:rsidRPr="00A8412B" w:rsidRDefault="00EE6D95">
            <w:pPr>
              <w:rPr>
                <w:rFonts w:ascii="Arial" w:hAnsi="Arial" w:cs="Arial"/>
              </w:rPr>
            </w:pPr>
            <w:r w:rsidRPr="00A8412B">
              <w:rPr>
                <w:rFonts w:ascii="Arial" w:hAnsi="Arial" w:cs="Arial"/>
              </w:rPr>
              <w:t>429.000</w:t>
            </w:r>
          </w:p>
        </w:tc>
        <w:tc>
          <w:tcPr>
            <w:tcW w:w="1486" w:type="dxa"/>
          </w:tcPr>
          <w:p w:rsidR="00D849AA" w:rsidRPr="00A8412B" w:rsidRDefault="00EE6D95">
            <w:pPr>
              <w:rPr>
                <w:rFonts w:ascii="Arial" w:hAnsi="Arial" w:cs="Arial"/>
              </w:rPr>
            </w:pPr>
            <w:r w:rsidRPr="00A8412B">
              <w:rPr>
                <w:rFonts w:ascii="Arial" w:hAnsi="Arial" w:cs="Arial"/>
              </w:rPr>
              <w:t>429.000</w:t>
            </w:r>
          </w:p>
        </w:tc>
        <w:tc>
          <w:tcPr>
            <w:tcW w:w="1486" w:type="dxa"/>
          </w:tcPr>
          <w:p w:rsidR="00D849AA" w:rsidRPr="00A8412B" w:rsidRDefault="00EE6D95">
            <w:pPr>
              <w:rPr>
                <w:rFonts w:ascii="Arial" w:hAnsi="Arial" w:cs="Arial"/>
              </w:rPr>
            </w:pPr>
            <w:r w:rsidRPr="00A8412B">
              <w:rPr>
                <w:rFonts w:ascii="Arial" w:hAnsi="Arial" w:cs="Arial"/>
              </w:rPr>
              <w:t>163,0</w:t>
            </w:r>
          </w:p>
        </w:tc>
      </w:tr>
    </w:tbl>
    <w:p w:rsidR="00D849AA" w:rsidRDefault="00D849AA">
      <w:pPr>
        <w:jc w:val="left"/>
      </w:pPr>
    </w:p>
    <w:p w:rsidR="00D849AA" w:rsidRDefault="00EE6D95">
      <w:pPr>
        <w:pStyle w:val="Normal6"/>
      </w:pPr>
      <w:r>
        <w:t xml:space="preserve">Posljednjih se godina povećala ponuda droga, koja je postala raznovrsnija uslijed pojave tzv. novih droga, što je dovelo do veće dostupnosti droga i povećanog trenda konzumiranja istih osobito među mladima. Rezultati prvog nacionalnog istraživanja zlouporabe droga u općoj populaciji Republike Hrvatske provedenog tijekom 2011. pokazuju kako je u ukupnom uzorku ispitanika (15-64 g.) životna prevalencija uporabe bilo koje ilegalne droge 16.0%. Također, svake godine bilježi se značajan broj ovisnika o drogama registriranih u sustavu za bolnički i ambulantni tretman, broj prijava za djela povezana s zlouporabom droga, te broj smrtnih slučajeva povezanih s konzumiranjem droga. Iako je provedba aktivnosti Nacionalne strategije i Akcijskog plana suzbijanja zlouporabe droga u bitnome utjecala na stabilan trend epidemiološkog stanja ovisnosti o drogama u Hrvatskoj, situacija vezana za kriminalitet i zlouporabu droga i dalje je složena. Putem nacionalne politike na području droga, a u okviru zdravstvenog, socijalnog, odgojno-obrazovnog i represivnog sustava, potrebno je sustavno provoditi različite programe koji su usmjereni sprječavanju zlouporabe droga među djecom i mladima, smanjenju zdravstvenih i socijalnih rizika vezanih za zlouporabu droga te smanjenju dostupnosti droga i organiziranog kriminaliteta droga na svim razinama. </w:t>
      </w:r>
    </w:p>
    <w:p w:rsidR="00D849AA" w:rsidRDefault="00EE6D95">
      <w:pPr>
        <w:pStyle w:val="Normal6"/>
      </w:pPr>
      <w:r>
        <w:lastRenderedPageBreak/>
        <w:t>Zbog toga je važno slijediti uravnoteženi i multidisciplinarni pristup smanjenja ponude i smanjenja potražnje, te uložiti dodatne napore u implementaciju programa  smanjenja potražnje droga s ciljem postizanja ravnomjernog rasporeda resursa i učinkovitog djelovanja na zdravstvene i socijalne posljedice zlouporabe droga.</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A8412B" w:rsidRDefault="00EE6D95">
            <w:pPr>
              <w:rPr>
                <w:rFonts w:ascii="Arial" w:hAnsi="Arial" w:cs="Arial"/>
              </w:rPr>
            </w:pPr>
            <w:r w:rsidRPr="00A8412B">
              <w:rPr>
                <w:rFonts w:ascii="Arial" w:hAnsi="Arial" w:cs="Arial"/>
              </w:rPr>
              <w:t>Pokazatelj rezultata</w:t>
            </w:r>
          </w:p>
        </w:tc>
        <w:tc>
          <w:tcPr>
            <w:tcW w:w="1114" w:type="dxa"/>
            <w:shd w:val="clear" w:color="auto" w:fill="B5C0D8"/>
          </w:tcPr>
          <w:p w:rsidR="00D849AA" w:rsidRPr="00A8412B" w:rsidRDefault="00EE6D95">
            <w:pPr>
              <w:pStyle w:val="CellHeader"/>
            </w:pPr>
            <w:r w:rsidRPr="00A8412B">
              <w:t>Jedinica</w:t>
            </w:r>
          </w:p>
        </w:tc>
        <w:tc>
          <w:tcPr>
            <w:tcW w:w="1114" w:type="dxa"/>
            <w:shd w:val="clear" w:color="auto" w:fill="B5C0D8"/>
          </w:tcPr>
          <w:p w:rsidR="00D849AA" w:rsidRPr="00A8412B" w:rsidRDefault="00EE6D95">
            <w:pPr>
              <w:pStyle w:val="CellHeader"/>
            </w:pPr>
            <w:r w:rsidRPr="00A8412B">
              <w:t>Polazna vrijednost</w:t>
            </w:r>
          </w:p>
        </w:tc>
        <w:tc>
          <w:tcPr>
            <w:tcW w:w="1486" w:type="dxa"/>
            <w:shd w:val="clear" w:color="auto" w:fill="B5C0D8"/>
          </w:tcPr>
          <w:p w:rsidR="00D849AA" w:rsidRPr="00A8412B" w:rsidRDefault="00EE6D95">
            <w:pPr>
              <w:pStyle w:val="CellHeader"/>
            </w:pPr>
            <w:r w:rsidRPr="00A8412B">
              <w:t>Ciljana vrijednost (2014.)</w:t>
            </w:r>
          </w:p>
        </w:tc>
        <w:tc>
          <w:tcPr>
            <w:tcW w:w="1486" w:type="dxa"/>
            <w:shd w:val="clear" w:color="auto" w:fill="B5C0D8"/>
          </w:tcPr>
          <w:p w:rsidR="00D849AA" w:rsidRPr="00A8412B" w:rsidRDefault="00EE6D95">
            <w:pPr>
              <w:pStyle w:val="CellHeader"/>
            </w:pPr>
            <w:r w:rsidRPr="00A8412B">
              <w:t>Ciljana vrijednost (2015.)</w:t>
            </w:r>
          </w:p>
        </w:tc>
        <w:tc>
          <w:tcPr>
            <w:tcW w:w="1486" w:type="dxa"/>
            <w:shd w:val="clear" w:color="auto" w:fill="B5C0D8"/>
          </w:tcPr>
          <w:p w:rsidR="00D849AA" w:rsidRPr="00A8412B" w:rsidRDefault="00EE6D95">
            <w:pPr>
              <w:pStyle w:val="CellHeader"/>
            </w:pPr>
            <w:r w:rsidRPr="00A8412B">
              <w:t>Ciljana vrijednost (2016.)</w:t>
            </w:r>
          </w:p>
        </w:tc>
      </w:tr>
      <w:tr w:rsidR="00D849AA">
        <w:trPr>
          <w:jc w:val="center"/>
        </w:trPr>
        <w:tc>
          <w:tcPr>
            <w:tcW w:w="2229" w:type="dxa"/>
          </w:tcPr>
          <w:p w:rsidR="00D849AA" w:rsidRPr="00A8412B" w:rsidRDefault="00EE6D95">
            <w:pPr>
              <w:pStyle w:val="CellColumn"/>
            </w:pPr>
            <w:r w:rsidRPr="00A8412B">
              <w:t>Povećanje broja edukacija za subjekte uključene u sustav suzbijanja zlouporabe droga u odnosu na prethodnu godinu</w:t>
            </w:r>
          </w:p>
        </w:tc>
        <w:tc>
          <w:tcPr>
            <w:tcW w:w="1114" w:type="dxa"/>
          </w:tcPr>
          <w:p w:rsidR="00D849AA" w:rsidRPr="00A8412B" w:rsidRDefault="00EE6D95">
            <w:pPr>
              <w:rPr>
                <w:rFonts w:ascii="Arial" w:hAnsi="Arial" w:cs="Arial"/>
              </w:rPr>
            </w:pPr>
            <w:r w:rsidRPr="00A8412B">
              <w:rPr>
                <w:rFonts w:ascii="Arial" w:hAnsi="Arial" w:cs="Arial"/>
              </w:rPr>
              <w:t>broj</w:t>
            </w:r>
          </w:p>
        </w:tc>
        <w:tc>
          <w:tcPr>
            <w:tcW w:w="1114" w:type="dxa"/>
          </w:tcPr>
          <w:p w:rsidR="00D849AA" w:rsidRPr="00A8412B" w:rsidRDefault="00EE6D95">
            <w:pPr>
              <w:rPr>
                <w:rFonts w:ascii="Arial" w:hAnsi="Arial" w:cs="Arial"/>
              </w:rPr>
            </w:pPr>
            <w:r w:rsidRPr="00A8412B">
              <w:rPr>
                <w:rFonts w:ascii="Arial" w:hAnsi="Arial" w:cs="Arial"/>
              </w:rPr>
              <w:t>29</w:t>
            </w:r>
          </w:p>
        </w:tc>
        <w:tc>
          <w:tcPr>
            <w:tcW w:w="1486" w:type="dxa"/>
          </w:tcPr>
          <w:p w:rsidR="00D849AA" w:rsidRPr="00A8412B" w:rsidRDefault="00EE6D95">
            <w:pPr>
              <w:rPr>
                <w:rFonts w:ascii="Arial" w:hAnsi="Arial" w:cs="Arial"/>
              </w:rPr>
            </w:pPr>
            <w:r w:rsidRPr="00A8412B">
              <w:rPr>
                <w:rFonts w:ascii="Arial" w:hAnsi="Arial" w:cs="Arial"/>
              </w:rPr>
              <w:t>35</w:t>
            </w:r>
          </w:p>
        </w:tc>
        <w:tc>
          <w:tcPr>
            <w:tcW w:w="1486" w:type="dxa"/>
          </w:tcPr>
          <w:p w:rsidR="00D849AA" w:rsidRPr="00A8412B" w:rsidRDefault="00EE6D95">
            <w:pPr>
              <w:rPr>
                <w:rFonts w:ascii="Arial" w:hAnsi="Arial" w:cs="Arial"/>
              </w:rPr>
            </w:pPr>
            <w:r w:rsidRPr="00A8412B">
              <w:rPr>
                <w:rFonts w:ascii="Arial" w:hAnsi="Arial" w:cs="Arial"/>
              </w:rPr>
              <w:t>40</w:t>
            </w:r>
          </w:p>
        </w:tc>
        <w:tc>
          <w:tcPr>
            <w:tcW w:w="1486" w:type="dxa"/>
          </w:tcPr>
          <w:p w:rsidR="00D849AA" w:rsidRPr="00A8412B" w:rsidRDefault="00EE6D95">
            <w:pPr>
              <w:rPr>
                <w:rFonts w:ascii="Arial" w:hAnsi="Arial" w:cs="Arial"/>
              </w:rPr>
            </w:pPr>
            <w:r w:rsidRPr="00A8412B">
              <w:rPr>
                <w:rFonts w:ascii="Arial" w:hAnsi="Arial" w:cs="Arial"/>
              </w:rPr>
              <w:t>45</w:t>
            </w:r>
          </w:p>
        </w:tc>
      </w:tr>
      <w:tr w:rsidR="00D849AA">
        <w:trPr>
          <w:jc w:val="center"/>
        </w:trPr>
        <w:tc>
          <w:tcPr>
            <w:tcW w:w="2229" w:type="dxa"/>
          </w:tcPr>
          <w:p w:rsidR="00D849AA" w:rsidRPr="00A8412B" w:rsidRDefault="00EE6D95">
            <w:pPr>
              <w:pStyle w:val="CellColumn"/>
            </w:pPr>
            <w:r w:rsidRPr="00A8412B">
              <w:t>Povećanje broja projekata i programa udruga i terapijskih zajednica u odnosu na prethodnu godinu</w:t>
            </w:r>
          </w:p>
        </w:tc>
        <w:tc>
          <w:tcPr>
            <w:tcW w:w="1114" w:type="dxa"/>
          </w:tcPr>
          <w:p w:rsidR="00D849AA" w:rsidRPr="00A8412B" w:rsidRDefault="00EE6D95">
            <w:pPr>
              <w:rPr>
                <w:rFonts w:ascii="Arial" w:hAnsi="Arial" w:cs="Arial"/>
              </w:rPr>
            </w:pPr>
            <w:r w:rsidRPr="00A8412B">
              <w:rPr>
                <w:rFonts w:ascii="Arial" w:hAnsi="Arial" w:cs="Arial"/>
              </w:rPr>
              <w:t>broj</w:t>
            </w:r>
          </w:p>
        </w:tc>
        <w:tc>
          <w:tcPr>
            <w:tcW w:w="1114" w:type="dxa"/>
          </w:tcPr>
          <w:p w:rsidR="00D849AA" w:rsidRPr="00A8412B" w:rsidRDefault="00EE6D95">
            <w:pPr>
              <w:rPr>
                <w:rFonts w:ascii="Arial" w:hAnsi="Arial" w:cs="Arial"/>
              </w:rPr>
            </w:pPr>
            <w:r w:rsidRPr="00A8412B">
              <w:rPr>
                <w:rFonts w:ascii="Arial" w:hAnsi="Arial" w:cs="Arial"/>
              </w:rPr>
              <w:t>50</w:t>
            </w:r>
          </w:p>
        </w:tc>
        <w:tc>
          <w:tcPr>
            <w:tcW w:w="1486" w:type="dxa"/>
          </w:tcPr>
          <w:p w:rsidR="00D849AA" w:rsidRPr="00A8412B" w:rsidRDefault="00EE6D95">
            <w:pPr>
              <w:rPr>
                <w:rFonts w:ascii="Arial" w:hAnsi="Arial" w:cs="Arial"/>
              </w:rPr>
            </w:pPr>
            <w:r w:rsidRPr="00A8412B">
              <w:rPr>
                <w:rFonts w:ascii="Arial" w:hAnsi="Arial" w:cs="Arial"/>
              </w:rPr>
              <w:t>75</w:t>
            </w:r>
          </w:p>
        </w:tc>
        <w:tc>
          <w:tcPr>
            <w:tcW w:w="1486" w:type="dxa"/>
          </w:tcPr>
          <w:p w:rsidR="00D849AA" w:rsidRPr="00A8412B" w:rsidRDefault="00EE6D95">
            <w:pPr>
              <w:rPr>
                <w:rFonts w:ascii="Arial" w:hAnsi="Arial" w:cs="Arial"/>
              </w:rPr>
            </w:pPr>
            <w:r w:rsidRPr="00A8412B">
              <w:rPr>
                <w:rFonts w:ascii="Arial" w:hAnsi="Arial" w:cs="Arial"/>
              </w:rPr>
              <w:t>100</w:t>
            </w:r>
          </w:p>
        </w:tc>
        <w:tc>
          <w:tcPr>
            <w:tcW w:w="1486" w:type="dxa"/>
          </w:tcPr>
          <w:p w:rsidR="00D849AA" w:rsidRPr="00A8412B" w:rsidRDefault="00EE6D95">
            <w:pPr>
              <w:rPr>
                <w:rFonts w:ascii="Arial" w:hAnsi="Arial" w:cs="Arial"/>
              </w:rPr>
            </w:pPr>
            <w:r w:rsidRPr="00A8412B">
              <w:rPr>
                <w:rFonts w:ascii="Arial" w:hAnsi="Arial" w:cs="Arial"/>
              </w:rPr>
              <w:t>125</w:t>
            </w:r>
          </w:p>
        </w:tc>
      </w:tr>
      <w:tr w:rsidR="00D849AA">
        <w:trPr>
          <w:jc w:val="center"/>
        </w:trPr>
        <w:tc>
          <w:tcPr>
            <w:tcW w:w="2229" w:type="dxa"/>
          </w:tcPr>
          <w:p w:rsidR="00D849AA" w:rsidRPr="00A8412B" w:rsidRDefault="00EE6D95">
            <w:pPr>
              <w:pStyle w:val="CellColumn"/>
            </w:pPr>
            <w:r w:rsidRPr="00A8412B">
              <w:t>Povećanje broja ovisnika uključenih u proces resocijalizacije u odnosu na prethodnu godinu</w:t>
            </w:r>
          </w:p>
        </w:tc>
        <w:tc>
          <w:tcPr>
            <w:tcW w:w="1114" w:type="dxa"/>
          </w:tcPr>
          <w:p w:rsidR="00D849AA" w:rsidRPr="00A8412B" w:rsidRDefault="00EE6D95">
            <w:pPr>
              <w:rPr>
                <w:rFonts w:ascii="Arial" w:hAnsi="Arial" w:cs="Arial"/>
              </w:rPr>
            </w:pPr>
            <w:r w:rsidRPr="00A8412B">
              <w:rPr>
                <w:rFonts w:ascii="Arial" w:hAnsi="Arial" w:cs="Arial"/>
              </w:rPr>
              <w:t>broj</w:t>
            </w:r>
          </w:p>
        </w:tc>
        <w:tc>
          <w:tcPr>
            <w:tcW w:w="1114" w:type="dxa"/>
          </w:tcPr>
          <w:p w:rsidR="00D849AA" w:rsidRPr="00A8412B" w:rsidRDefault="00EE6D95">
            <w:pPr>
              <w:rPr>
                <w:rFonts w:ascii="Arial" w:hAnsi="Arial" w:cs="Arial"/>
              </w:rPr>
            </w:pPr>
            <w:r w:rsidRPr="00A8412B">
              <w:rPr>
                <w:rFonts w:ascii="Arial" w:hAnsi="Arial" w:cs="Arial"/>
              </w:rPr>
              <w:t>333</w:t>
            </w:r>
          </w:p>
        </w:tc>
        <w:tc>
          <w:tcPr>
            <w:tcW w:w="1486" w:type="dxa"/>
          </w:tcPr>
          <w:p w:rsidR="00D849AA" w:rsidRPr="00A8412B" w:rsidRDefault="00EE6D95">
            <w:pPr>
              <w:rPr>
                <w:rFonts w:ascii="Arial" w:hAnsi="Arial" w:cs="Arial"/>
              </w:rPr>
            </w:pPr>
            <w:r w:rsidRPr="00A8412B">
              <w:rPr>
                <w:rFonts w:ascii="Arial" w:hAnsi="Arial" w:cs="Arial"/>
              </w:rPr>
              <w:t>360</w:t>
            </w:r>
          </w:p>
        </w:tc>
        <w:tc>
          <w:tcPr>
            <w:tcW w:w="1486" w:type="dxa"/>
          </w:tcPr>
          <w:p w:rsidR="00D849AA" w:rsidRPr="00A8412B" w:rsidRDefault="00EE6D95">
            <w:pPr>
              <w:rPr>
                <w:rFonts w:ascii="Arial" w:hAnsi="Arial" w:cs="Arial"/>
              </w:rPr>
            </w:pPr>
            <w:r w:rsidRPr="00A8412B">
              <w:rPr>
                <w:rFonts w:ascii="Arial" w:hAnsi="Arial" w:cs="Arial"/>
              </w:rPr>
              <w:t>390</w:t>
            </w:r>
          </w:p>
        </w:tc>
        <w:tc>
          <w:tcPr>
            <w:tcW w:w="1486" w:type="dxa"/>
          </w:tcPr>
          <w:p w:rsidR="00D849AA" w:rsidRPr="00A8412B" w:rsidRDefault="00EE6D95">
            <w:pPr>
              <w:rPr>
                <w:rFonts w:ascii="Arial" w:hAnsi="Arial" w:cs="Arial"/>
              </w:rPr>
            </w:pPr>
            <w:r w:rsidRPr="00A8412B">
              <w:rPr>
                <w:rFonts w:ascii="Arial" w:hAnsi="Arial" w:cs="Arial"/>
              </w:rPr>
              <w:t>420</w:t>
            </w:r>
          </w:p>
        </w:tc>
      </w:tr>
    </w:tbl>
    <w:p w:rsidR="00D849AA" w:rsidRDefault="00D849AA">
      <w:pPr>
        <w:jc w:val="left"/>
      </w:pPr>
    </w:p>
    <w:p w:rsidR="00D849AA" w:rsidRDefault="00EE6D95">
      <w:pPr>
        <w:pStyle w:val="Naslov6"/>
      </w:pPr>
      <w:r>
        <w:t>A530020 NACIONALNA INFORMACIJSKA JEDINICA ZA DROGE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A530020</w:t>
            </w:r>
          </w:p>
        </w:tc>
        <w:tc>
          <w:tcPr>
            <w:tcW w:w="1486" w:type="dxa"/>
          </w:tcPr>
          <w:p w:rsidR="00D849AA" w:rsidRDefault="00EE6D95">
            <w:r>
              <w:t>806.000</w:t>
            </w:r>
          </w:p>
        </w:tc>
        <w:tc>
          <w:tcPr>
            <w:tcW w:w="1486" w:type="dxa"/>
          </w:tcPr>
          <w:p w:rsidR="00D849AA" w:rsidRDefault="00EE6D95">
            <w:r>
              <w:t>1.352.000</w:t>
            </w:r>
          </w:p>
        </w:tc>
        <w:tc>
          <w:tcPr>
            <w:tcW w:w="1486" w:type="dxa"/>
          </w:tcPr>
          <w:p w:rsidR="00D849AA" w:rsidRDefault="00EE6D95">
            <w:r>
              <w:t>1.352.000</w:t>
            </w:r>
          </w:p>
        </w:tc>
        <w:tc>
          <w:tcPr>
            <w:tcW w:w="1486" w:type="dxa"/>
          </w:tcPr>
          <w:p w:rsidR="00D849AA" w:rsidRDefault="00EE6D95">
            <w:r>
              <w:t>1.352.000</w:t>
            </w:r>
          </w:p>
        </w:tc>
        <w:tc>
          <w:tcPr>
            <w:tcW w:w="1486" w:type="dxa"/>
          </w:tcPr>
          <w:p w:rsidR="00D849AA" w:rsidRDefault="00EE6D95">
            <w:r>
              <w:t>167,7</w:t>
            </w:r>
          </w:p>
        </w:tc>
      </w:tr>
    </w:tbl>
    <w:p w:rsidR="00D849AA" w:rsidRDefault="00D849AA">
      <w:pPr>
        <w:jc w:val="left"/>
      </w:pPr>
    </w:p>
    <w:p w:rsidR="00D849AA" w:rsidRDefault="00EE6D95">
      <w:pPr>
        <w:pStyle w:val="Normal6"/>
      </w:pPr>
      <w:r>
        <w:t xml:space="preserve">Ured kao tijelo zaduženo za koordinaciju aktivnosti suzbijanja zlouporabe droga na nacionalnom i međunarodnom nivou, nacionalno je koordinativno tijelo za suradnju sa Europskim centrom za praćenje droga i ovisnosti o drogama (EMCDDA) te je zadužen za sustavno praćenje pojava i prikupljanje relevantnih podataka od nadležnih institucija. Dužan je na redovnoj osnovi izvještavati nacionalne i europske strukture o pojavnim trendovima i stanju problematike droga u Republici Hrvatskoj. U cilju usklađivanja nacionalnog informacijskog sustava za droge s pravnom stečevinom Europske unije, tijekom posljednjih godina poduzet je niz aktivnosti usmjerenih na uspostavu okvira za punu suradnju s EMCDDA-om. U svibnju 2013. stupio je na snagu Zakon o potvrđivanju Sporazum između Republike Hrvatske i Europske unije o sudjelovanju Republike Hrvatske u radu Europskog centra za praćenje droga i ovisnosti o drogama (EMCDDA), (NN – Međunarodni ugovori broj 3/2013). Navedenim je Republika Hrvatska postala i službena članica EMCDDA, a Ured za suzbijanje zlouporabe droga kao nacionalna kontaktna točka te EU agencije dužan je preuzeti sve obveze koje proizlaze iz članstva. Slijedom navedenog, EMCDDA će Uredu svake godine dodijeliti grant sredstva kako bi navedene obveze mogao što lakše provoditi.  </w:t>
      </w:r>
    </w:p>
    <w:p w:rsidR="00D849AA" w:rsidRDefault="00EE6D95">
      <w:pPr>
        <w:pStyle w:val="Normal6"/>
      </w:pPr>
      <w:r>
        <w:lastRenderedPageBreak/>
        <w:t xml:space="preserve">Da bi mjere poduzete radi suzbijanja zlouporabe droga bile primjereno i učinkovito usklađene, nužno je osigurati funkcionalni koordinacijski sustav s ciljem stvaranja jedinstvenog sustava za borbu protiv ovisnosti u Republici Hrvatskoj i uspostaviti operativni nacionalni informacijskog sustav koji osigurava prikupljanje objektivnih i usporedivih informacija o drogama i ovisnosti o drogama te njihovim posljedicama na društvo. </w:t>
      </w:r>
    </w:p>
    <w:p w:rsidR="00D849AA" w:rsidRDefault="00EE6D95">
      <w:pPr>
        <w:pStyle w:val="Normal6"/>
      </w:pPr>
      <w:r>
        <w:t xml:space="preserve">Putem aktivnosti uspostave integriranog nacionalnog informacijskog sustava za droge, unaprijedit će se metodologija prikupljanja i usporedba statističkih podataka o drogama što će omogućiti kreiranje i provedbu nacionalne politike o drogama utemeljene na objektivnim potrebama. Kroz uspostavu nacionalnog sustava za droge operacionalizirat će se Nacionalna informacijska jedinca za droge na način da će ista moći udovoljavati EU standardima te ispunjavati preuzete obveze prema Europskim centrom za praćenje droga i ovisnosti o drogama (EMCDDA). </w:t>
      </w:r>
    </w:p>
    <w:p w:rsidR="00D849AA" w:rsidRDefault="00EE6D95">
      <w:pPr>
        <w:pStyle w:val="Normal6"/>
      </w:pPr>
      <w:r>
        <w:t>Provedba navedenih aktivnosti rezultirat će većim brojem edukacija, većim brojem kvalitetnih projekata koji se provode od strane organizacija civilnog društva, većim brojem provedenih istraživanja vezanih za područje problematike ovisnosti i zlouporabe droga te povećan broj podataka o drogama, bolesti ovisnosti i posljedicama zlouporabe droga koji su usporedivi s europskim podacima u odnosu na prethodnu godinu.</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rsidRPr="00A8412B">
        <w:trPr>
          <w:jc w:val="center"/>
        </w:trPr>
        <w:tc>
          <w:tcPr>
            <w:tcW w:w="2229" w:type="dxa"/>
            <w:shd w:val="clear" w:color="auto" w:fill="B5C0D8"/>
          </w:tcPr>
          <w:p w:rsidR="00D849AA" w:rsidRPr="00A8412B" w:rsidRDefault="00EE6D95">
            <w:pPr>
              <w:rPr>
                <w:rFonts w:ascii="Arial" w:hAnsi="Arial" w:cs="Arial"/>
              </w:rPr>
            </w:pPr>
            <w:r w:rsidRPr="00A8412B">
              <w:rPr>
                <w:rFonts w:ascii="Arial" w:hAnsi="Arial" w:cs="Arial"/>
              </w:rPr>
              <w:t>Pokazatelj rezultata</w:t>
            </w:r>
          </w:p>
        </w:tc>
        <w:tc>
          <w:tcPr>
            <w:tcW w:w="1114" w:type="dxa"/>
            <w:shd w:val="clear" w:color="auto" w:fill="B5C0D8"/>
          </w:tcPr>
          <w:p w:rsidR="00D849AA" w:rsidRPr="00A8412B" w:rsidRDefault="00EE6D95">
            <w:pPr>
              <w:pStyle w:val="CellHeader"/>
            </w:pPr>
            <w:r w:rsidRPr="00A8412B">
              <w:t>Jedinica</w:t>
            </w:r>
          </w:p>
        </w:tc>
        <w:tc>
          <w:tcPr>
            <w:tcW w:w="1114" w:type="dxa"/>
            <w:shd w:val="clear" w:color="auto" w:fill="B5C0D8"/>
          </w:tcPr>
          <w:p w:rsidR="00D849AA" w:rsidRPr="00A8412B" w:rsidRDefault="00EE6D95">
            <w:pPr>
              <w:pStyle w:val="CellHeader"/>
            </w:pPr>
            <w:r w:rsidRPr="00A8412B">
              <w:t>Polazna vrijednost</w:t>
            </w:r>
          </w:p>
        </w:tc>
        <w:tc>
          <w:tcPr>
            <w:tcW w:w="1486" w:type="dxa"/>
            <w:shd w:val="clear" w:color="auto" w:fill="B5C0D8"/>
          </w:tcPr>
          <w:p w:rsidR="00D849AA" w:rsidRPr="00A8412B" w:rsidRDefault="00EE6D95">
            <w:pPr>
              <w:pStyle w:val="CellHeader"/>
            </w:pPr>
            <w:r w:rsidRPr="00A8412B">
              <w:t>Ciljana vrijednost (2014.)</w:t>
            </w:r>
          </w:p>
        </w:tc>
        <w:tc>
          <w:tcPr>
            <w:tcW w:w="1486" w:type="dxa"/>
            <w:shd w:val="clear" w:color="auto" w:fill="B5C0D8"/>
          </w:tcPr>
          <w:p w:rsidR="00D849AA" w:rsidRPr="00A8412B" w:rsidRDefault="00EE6D95">
            <w:pPr>
              <w:pStyle w:val="CellHeader"/>
            </w:pPr>
            <w:r w:rsidRPr="00A8412B">
              <w:t>Ciljana vrijednost (2015.)</w:t>
            </w:r>
          </w:p>
        </w:tc>
        <w:tc>
          <w:tcPr>
            <w:tcW w:w="1486" w:type="dxa"/>
            <w:shd w:val="clear" w:color="auto" w:fill="B5C0D8"/>
          </w:tcPr>
          <w:p w:rsidR="00D849AA" w:rsidRPr="00A8412B" w:rsidRDefault="00EE6D95">
            <w:pPr>
              <w:pStyle w:val="CellHeader"/>
            </w:pPr>
            <w:r w:rsidRPr="00A8412B">
              <w:t>Ciljana vrijednost (2016.)</w:t>
            </w:r>
          </w:p>
        </w:tc>
      </w:tr>
      <w:tr w:rsidR="00D849AA" w:rsidRPr="00A8412B">
        <w:trPr>
          <w:jc w:val="center"/>
        </w:trPr>
        <w:tc>
          <w:tcPr>
            <w:tcW w:w="2229" w:type="dxa"/>
          </w:tcPr>
          <w:p w:rsidR="00D849AA" w:rsidRPr="00A8412B" w:rsidRDefault="00EE6D95">
            <w:pPr>
              <w:pStyle w:val="CellColumn"/>
            </w:pPr>
            <w:r w:rsidRPr="00A8412B">
              <w:t>Povećanje broja podataka o drogama, bolesti ovisnosti i posljedicama zlouporabe droga koji su usporedivi s europskim podacima u odnosu na prethodnu godinu</w:t>
            </w:r>
          </w:p>
        </w:tc>
        <w:tc>
          <w:tcPr>
            <w:tcW w:w="1114" w:type="dxa"/>
          </w:tcPr>
          <w:p w:rsidR="00D849AA" w:rsidRPr="00A8412B" w:rsidRDefault="00EE6D95">
            <w:pPr>
              <w:rPr>
                <w:rFonts w:ascii="Arial" w:hAnsi="Arial" w:cs="Arial"/>
              </w:rPr>
            </w:pPr>
            <w:r w:rsidRPr="00A8412B">
              <w:rPr>
                <w:rFonts w:ascii="Arial" w:hAnsi="Arial" w:cs="Arial"/>
              </w:rPr>
              <w:t>broj</w:t>
            </w:r>
          </w:p>
        </w:tc>
        <w:tc>
          <w:tcPr>
            <w:tcW w:w="1114" w:type="dxa"/>
          </w:tcPr>
          <w:p w:rsidR="00D849AA" w:rsidRPr="00A8412B" w:rsidRDefault="00EE6D95">
            <w:pPr>
              <w:rPr>
                <w:rFonts w:ascii="Arial" w:hAnsi="Arial" w:cs="Arial"/>
              </w:rPr>
            </w:pPr>
            <w:r w:rsidRPr="00A8412B">
              <w:rPr>
                <w:rFonts w:ascii="Arial" w:hAnsi="Arial" w:cs="Arial"/>
              </w:rPr>
              <w:t>8</w:t>
            </w:r>
          </w:p>
        </w:tc>
        <w:tc>
          <w:tcPr>
            <w:tcW w:w="1486" w:type="dxa"/>
          </w:tcPr>
          <w:p w:rsidR="00D849AA" w:rsidRPr="00A8412B" w:rsidRDefault="00EE6D95">
            <w:pPr>
              <w:rPr>
                <w:rFonts w:ascii="Arial" w:hAnsi="Arial" w:cs="Arial"/>
              </w:rPr>
            </w:pPr>
            <w:r w:rsidRPr="00A8412B">
              <w:rPr>
                <w:rFonts w:ascii="Arial" w:hAnsi="Arial" w:cs="Arial"/>
              </w:rPr>
              <w:t>10</w:t>
            </w:r>
          </w:p>
        </w:tc>
        <w:tc>
          <w:tcPr>
            <w:tcW w:w="1486" w:type="dxa"/>
          </w:tcPr>
          <w:p w:rsidR="00D849AA" w:rsidRPr="00A8412B" w:rsidRDefault="00EE6D95">
            <w:pPr>
              <w:rPr>
                <w:rFonts w:ascii="Arial" w:hAnsi="Arial" w:cs="Arial"/>
              </w:rPr>
            </w:pPr>
            <w:r w:rsidRPr="00A8412B">
              <w:rPr>
                <w:rFonts w:ascii="Arial" w:hAnsi="Arial" w:cs="Arial"/>
              </w:rPr>
              <w:t>12</w:t>
            </w:r>
          </w:p>
        </w:tc>
        <w:tc>
          <w:tcPr>
            <w:tcW w:w="1486" w:type="dxa"/>
          </w:tcPr>
          <w:p w:rsidR="00D849AA" w:rsidRPr="00A8412B" w:rsidRDefault="00EE6D95">
            <w:pPr>
              <w:rPr>
                <w:rFonts w:ascii="Arial" w:hAnsi="Arial" w:cs="Arial"/>
              </w:rPr>
            </w:pPr>
            <w:r w:rsidRPr="00A8412B">
              <w:rPr>
                <w:rFonts w:ascii="Arial" w:hAnsi="Arial" w:cs="Arial"/>
              </w:rPr>
              <w:t>14</w:t>
            </w:r>
          </w:p>
        </w:tc>
      </w:tr>
      <w:tr w:rsidR="00D849AA" w:rsidRPr="00A8412B">
        <w:trPr>
          <w:jc w:val="center"/>
        </w:trPr>
        <w:tc>
          <w:tcPr>
            <w:tcW w:w="2229" w:type="dxa"/>
          </w:tcPr>
          <w:p w:rsidR="00D849AA" w:rsidRPr="00A8412B" w:rsidRDefault="00EE6D95">
            <w:pPr>
              <w:pStyle w:val="CellColumn"/>
            </w:pPr>
            <w:r w:rsidRPr="00A8412B">
              <w:t>Povećanje broja izvješća i programa koja su unesena u Informatičku bazu</w:t>
            </w:r>
          </w:p>
        </w:tc>
        <w:tc>
          <w:tcPr>
            <w:tcW w:w="1114" w:type="dxa"/>
          </w:tcPr>
          <w:p w:rsidR="00D849AA" w:rsidRPr="00A8412B" w:rsidRDefault="00EE6D95">
            <w:pPr>
              <w:rPr>
                <w:rFonts w:ascii="Arial" w:hAnsi="Arial" w:cs="Arial"/>
              </w:rPr>
            </w:pPr>
            <w:r w:rsidRPr="00A8412B">
              <w:rPr>
                <w:rFonts w:ascii="Arial" w:hAnsi="Arial" w:cs="Arial"/>
              </w:rPr>
              <w:t>broj</w:t>
            </w:r>
          </w:p>
        </w:tc>
        <w:tc>
          <w:tcPr>
            <w:tcW w:w="1114" w:type="dxa"/>
          </w:tcPr>
          <w:p w:rsidR="00D849AA" w:rsidRPr="00A8412B" w:rsidRDefault="00EE6D95">
            <w:pPr>
              <w:rPr>
                <w:rFonts w:ascii="Arial" w:hAnsi="Arial" w:cs="Arial"/>
              </w:rPr>
            </w:pPr>
            <w:r w:rsidRPr="00A8412B">
              <w:rPr>
                <w:rFonts w:ascii="Arial" w:hAnsi="Arial" w:cs="Arial"/>
              </w:rPr>
              <w:t>0</w:t>
            </w:r>
          </w:p>
        </w:tc>
        <w:tc>
          <w:tcPr>
            <w:tcW w:w="1486" w:type="dxa"/>
          </w:tcPr>
          <w:p w:rsidR="00D849AA" w:rsidRPr="00A8412B" w:rsidRDefault="00EE6D95">
            <w:pPr>
              <w:rPr>
                <w:rFonts w:ascii="Arial" w:hAnsi="Arial" w:cs="Arial"/>
              </w:rPr>
            </w:pPr>
            <w:r w:rsidRPr="00A8412B">
              <w:rPr>
                <w:rFonts w:ascii="Arial" w:hAnsi="Arial" w:cs="Arial"/>
              </w:rPr>
              <w:t>20</w:t>
            </w:r>
          </w:p>
        </w:tc>
        <w:tc>
          <w:tcPr>
            <w:tcW w:w="1486" w:type="dxa"/>
          </w:tcPr>
          <w:p w:rsidR="00D849AA" w:rsidRPr="00A8412B" w:rsidRDefault="00EE6D95">
            <w:pPr>
              <w:rPr>
                <w:rFonts w:ascii="Arial" w:hAnsi="Arial" w:cs="Arial"/>
              </w:rPr>
            </w:pPr>
            <w:r w:rsidRPr="00A8412B">
              <w:rPr>
                <w:rFonts w:ascii="Arial" w:hAnsi="Arial" w:cs="Arial"/>
              </w:rPr>
              <w:t>30</w:t>
            </w:r>
          </w:p>
        </w:tc>
        <w:tc>
          <w:tcPr>
            <w:tcW w:w="1486" w:type="dxa"/>
          </w:tcPr>
          <w:p w:rsidR="00D849AA" w:rsidRPr="00A8412B" w:rsidRDefault="00EE6D95">
            <w:pPr>
              <w:rPr>
                <w:rFonts w:ascii="Arial" w:hAnsi="Arial" w:cs="Arial"/>
              </w:rPr>
            </w:pPr>
            <w:r w:rsidRPr="00A8412B">
              <w:rPr>
                <w:rFonts w:ascii="Arial" w:hAnsi="Arial" w:cs="Arial"/>
              </w:rPr>
              <w:t>40</w:t>
            </w:r>
          </w:p>
        </w:tc>
      </w:tr>
      <w:tr w:rsidR="00D849AA" w:rsidRPr="00A8412B">
        <w:trPr>
          <w:jc w:val="center"/>
        </w:trPr>
        <w:tc>
          <w:tcPr>
            <w:tcW w:w="2229" w:type="dxa"/>
          </w:tcPr>
          <w:p w:rsidR="00D849AA" w:rsidRPr="00A8412B" w:rsidRDefault="00EE6D95">
            <w:pPr>
              <w:pStyle w:val="CellColumn"/>
            </w:pPr>
            <w:r w:rsidRPr="00A8412B">
              <w:t>Povećanje broja projekata koji ispunjavaju kriterije EDDRA kvalitete</w:t>
            </w:r>
          </w:p>
        </w:tc>
        <w:tc>
          <w:tcPr>
            <w:tcW w:w="1114" w:type="dxa"/>
          </w:tcPr>
          <w:p w:rsidR="00D849AA" w:rsidRPr="00A8412B" w:rsidRDefault="00EE6D95">
            <w:pPr>
              <w:rPr>
                <w:rFonts w:ascii="Arial" w:hAnsi="Arial" w:cs="Arial"/>
              </w:rPr>
            </w:pPr>
            <w:r w:rsidRPr="00A8412B">
              <w:rPr>
                <w:rFonts w:ascii="Arial" w:hAnsi="Arial" w:cs="Arial"/>
              </w:rPr>
              <w:t>broj</w:t>
            </w:r>
          </w:p>
        </w:tc>
        <w:tc>
          <w:tcPr>
            <w:tcW w:w="1114" w:type="dxa"/>
          </w:tcPr>
          <w:p w:rsidR="00D849AA" w:rsidRPr="00A8412B" w:rsidRDefault="00EE6D95">
            <w:pPr>
              <w:rPr>
                <w:rFonts w:ascii="Arial" w:hAnsi="Arial" w:cs="Arial"/>
              </w:rPr>
            </w:pPr>
            <w:r w:rsidRPr="00A8412B">
              <w:rPr>
                <w:rFonts w:ascii="Arial" w:hAnsi="Arial" w:cs="Arial"/>
              </w:rPr>
              <w:t>1</w:t>
            </w:r>
          </w:p>
        </w:tc>
        <w:tc>
          <w:tcPr>
            <w:tcW w:w="1486" w:type="dxa"/>
          </w:tcPr>
          <w:p w:rsidR="00D849AA" w:rsidRPr="00A8412B" w:rsidRDefault="00EE6D95">
            <w:pPr>
              <w:rPr>
                <w:rFonts w:ascii="Arial" w:hAnsi="Arial" w:cs="Arial"/>
              </w:rPr>
            </w:pPr>
            <w:r w:rsidRPr="00A8412B">
              <w:rPr>
                <w:rFonts w:ascii="Arial" w:hAnsi="Arial" w:cs="Arial"/>
              </w:rPr>
              <w:t>3</w:t>
            </w:r>
          </w:p>
        </w:tc>
        <w:tc>
          <w:tcPr>
            <w:tcW w:w="1486" w:type="dxa"/>
          </w:tcPr>
          <w:p w:rsidR="00D849AA" w:rsidRPr="00A8412B" w:rsidRDefault="00EE6D95">
            <w:pPr>
              <w:rPr>
                <w:rFonts w:ascii="Arial" w:hAnsi="Arial" w:cs="Arial"/>
              </w:rPr>
            </w:pPr>
            <w:r w:rsidRPr="00A8412B">
              <w:rPr>
                <w:rFonts w:ascii="Arial" w:hAnsi="Arial" w:cs="Arial"/>
              </w:rPr>
              <w:t>5</w:t>
            </w:r>
          </w:p>
        </w:tc>
        <w:tc>
          <w:tcPr>
            <w:tcW w:w="1486" w:type="dxa"/>
          </w:tcPr>
          <w:p w:rsidR="00D849AA" w:rsidRPr="00A8412B" w:rsidRDefault="00EE6D95">
            <w:pPr>
              <w:rPr>
                <w:rFonts w:ascii="Arial" w:hAnsi="Arial" w:cs="Arial"/>
              </w:rPr>
            </w:pPr>
            <w:r w:rsidRPr="00A8412B">
              <w:rPr>
                <w:rFonts w:ascii="Arial" w:hAnsi="Arial" w:cs="Arial"/>
              </w:rPr>
              <w:t>7</w:t>
            </w:r>
          </w:p>
        </w:tc>
      </w:tr>
      <w:tr w:rsidR="00D849AA" w:rsidRPr="00A8412B">
        <w:trPr>
          <w:jc w:val="center"/>
        </w:trPr>
        <w:tc>
          <w:tcPr>
            <w:tcW w:w="2229" w:type="dxa"/>
          </w:tcPr>
          <w:p w:rsidR="00D849AA" w:rsidRPr="00A8412B" w:rsidRDefault="00EE6D95">
            <w:pPr>
              <w:pStyle w:val="CellColumn"/>
            </w:pPr>
            <w:r w:rsidRPr="00A8412B">
              <w:t>Povećanje broja prikupljenih i proslijeđenih informacija o novim drogama koje su otkrivene putem sustava ranog upozoravanja</w:t>
            </w:r>
          </w:p>
        </w:tc>
        <w:tc>
          <w:tcPr>
            <w:tcW w:w="1114" w:type="dxa"/>
          </w:tcPr>
          <w:p w:rsidR="00D849AA" w:rsidRPr="00A8412B" w:rsidRDefault="00EE6D95">
            <w:pPr>
              <w:rPr>
                <w:rFonts w:ascii="Arial" w:hAnsi="Arial" w:cs="Arial"/>
              </w:rPr>
            </w:pPr>
            <w:r w:rsidRPr="00A8412B">
              <w:rPr>
                <w:rFonts w:ascii="Arial" w:hAnsi="Arial" w:cs="Arial"/>
              </w:rPr>
              <w:t>broj</w:t>
            </w:r>
          </w:p>
        </w:tc>
        <w:tc>
          <w:tcPr>
            <w:tcW w:w="1114" w:type="dxa"/>
          </w:tcPr>
          <w:p w:rsidR="00D849AA" w:rsidRPr="00A8412B" w:rsidRDefault="00EE6D95">
            <w:pPr>
              <w:rPr>
                <w:rFonts w:ascii="Arial" w:hAnsi="Arial" w:cs="Arial"/>
              </w:rPr>
            </w:pPr>
            <w:r w:rsidRPr="00A8412B">
              <w:rPr>
                <w:rFonts w:ascii="Arial" w:hAnsi="Arial" w:cs="Arial"/>
              </w:rPr>
              <w:t>20</w:t>
            </w:r>
          </w:p>
        </w:tc>
        <w:tc>
          <w:tcPr>
            <w:tcW w:w="1486" w:type="dxa"/>
          </w:tcPr>
          <w:p w:rsidR="00D849AA" w:rsidRPr="00A8412B" w:rsidRDefault="00EE6D95">
            <w:pPr>
              <w:rPr>
                <w:rFonts w:ascii="Arial" w:hAnsi="Arial" w:cs="Arial"/>
              </w:rPr>
            </w:pPr>
            <w:r w:rsidRPr="00A8412B">
              <w:rPr>
                <w:rFonts w:ascii="Arial" w:hAnsi="Arial" w:cs="Arial"/>
              </w:rPr>
              <w:t>25</w:t>
            </w:r>
          </w:p>
        </w:tc>
        <w:tc>
          <w:tcPr>
            <w:tcW w:w="1486" w:type="dxa"/>
          </w:tcPr>
          <w:p w:rsidR="00D849AA" w:rsidRPr="00A8412B" w:rsidRDefault="00EE6D95">
            <w:pPr>
              <w:rPr>
                <w:rFonts w:ascii="Arial" w:hAnsi="Arial" w:cs="Arial"/>
              </w:rPr>
            </w:pPr>
            <w:r w:rsidRPr="00A8412B">
              <w:rPr>
                <w:rFonts w:ascii="Arial" w:hAnsi="Arial" w:cs="Arial"/>
              </w:rPr>
              <w:t>30</w:t>
            </w:r>
          </w:p>
        </w:tc>
        <w:tc>
          <w:tcPr>
            <w:tcW w:w="1486" w:type="dxa"/>
          </w:tcPr>
          <w:p w:rsidR="00D849AA" w:rsidRPr="00A8412B" w:rsidRDefault="00EE6D95">
            <w:pPr>
              <w:rPr>
                <w:rFonts w:ascii="Arial" w:hAnsi="Arial" w:cs="Arial"/>
              </w:rPr>
            </w:pPr>
            <w:r w:rsidRPr="00A8412B">
              <w:rPr>
                <w:rFonts w:ascii="Arial" w:hAnsi="Arial" w:cs="Arial"/>
              </w:rPr>
              <w:t>35</w:t>
            </w:r>
          </w:p>
        </w:tc>
      </w:tr>
      <w:tr w:rsidR="00D849AA" w:rsidRPr="00A8412B">
        <w:trPr>
          <w:jc w:val="center"/>
        </w:trPr>
        <w:tc>
          <w:tcPr>
            <w:tcW w:w="2229" w:type="dxa"/>
          </w:tcPr>
          <w:p w:rsidR="00D849AA" w:rsidRPr="00A8412B" w:rsidRDefault="00EE6D95">
            <w:pPr>
              <w:pStyle w:val="CellColumn"/>
            </w:pPr>
            <w:r w:rsidRPr="00A8412B">
              <w:t xml:space="preserve">Povećanje broja provedenih istraživanja vezanih za </w:t>
            </w:r>
            <w:r w:rsidRPr="00A8412B">
              <w:lastRenderedPageBreak/>
              <w:t>područje problematike ovisnosti i zlouporabe droga</w:t>
            </w:r>
          </w:p>
        </w:tc>
        <w:tc>
          <w:tcPr>
            <w:tcW w:w="1114" w:type="dxa"/>
          </w:tcPr>
          <w:p w:rsidR="00D849AA" w:rsidRPr="00A8412B" w:rsidRDefault="00EE6D95">
            <w:pPr>
              <w:rPr>
                <w:rFonts w:ascii="Arial" w:hAnsi="Arial" w:cs="Arial"/>
              </w:rPr>
            </w:pPr>
            <w:r w:rsidRPr="00A8412B">
              <w:rPr>
                <w:rFonts w:ascii="Arial" w:hAnsi="Arial" w:cs="Arial"/>
              </w:rPr>
              <w:lastRenderedPageBreak/>
              <w:t>broj</w:t>
            </w:r>
          </w:p>
        </w:tc>
        <w:tc>
          <w:tcPr>
            <w:tcW w:w="1114" w:type="dxa"/>
          </w:tcPr>
          <w:p w:rsidR="00D849AA" w:rsidRPr="00A8412B" w:rsidRDefault="00EE6D95">
            <w:pPr>
              <w:rPr>
                <w:rFonts w:ascii="Arial" w:hAnsi="Arial" w:cs="Arial"/>
              </w:rPr>
            </w:pPr>
            <w:r w:rsidRPr="00A8412B">
              <w:rPr>
                <w:rFonts w:ascii="Arial" w:hAnsi="Arial" w:cs="Arial"/>
              </w:rPr>
              <w:t>7</w:t>
            </w:r>
          </w:p>
        </w:tc>
        <w:tc>
          <w:tcPr>
            <w:tcW w:w="1486" w:type="dxa"/>
          </w:tcPr>
          <w:p w:rsidR="00D849AA" w:rsidRPr="00A8412B" w:rsidRDefault="00EE6D95">
            <w:pPr>
              <w:rPr>
                <w:rFonts w:ascii="Arial" w:hAnsi="Arial" w:cs="Arial"/>
              </w:rPr>
            </w:pPr>
            <w:r w:rsidRPr="00A8412B">
              <w:rPr>
                <w:rFonts w:ascii="Arial" w:hAnsi="Arial" w:cs="Arial"/>
              </w:rPr>
              <w:t>8</w:t>
            </w:r>
          </w:p>
        </w:tc>
        <w:tc>
          <w:tcPr>
            <w:tcW w:w="1486" w:type="dxa"/>
          </w:tcPr>
          <w:p w:rsidR="00D849AA" w:rsidRPr="00A8412B" w:rsidRDefault="00EE6D95">
            <w:pPr>
              <w:rPr>
                <w:rFonts w:ascii="Arial" w:hAnsi="Arial" w:cs="Arial"/>
              </w:rPr>
            </w:pPr>
            <w:r w:rsidRPr="00A8412B">
              <w:rPr>
                <w:rFonts w:ascii="Arial" w:hAnsi="Arial" w:cs="Arial"/>
              </w:rPr>
              <w:t>9</w:t>
            </w:r>
          </w:p>
        </w:tc>
        <w:tc>
          <w:tcPr>
            <w:tcW w:w="1486" w:type="dxa"/>
          </w:tcPr>
          <w:p w:rsidR="00D849AA" w:rsidRPr="00A8412B" w:rsidRDefault="00EE6D95">
            <w:pPr>
              <w:rPr>
                <w:rFonts w:ascii="Arial" w:hAnsi="Arial" w:cs="Arial"/>
              </w:rPr>
            </w:pPr>
            <w:r w:rsidRPr="00A8412B">
              <w:rPr>
                <w:rFonts w:ascii="Arial" w:hAnsi="Arial" w:cs="Arial"/>
              </w:rPr>
              <w:t>10</w:t>
            </w:r>
          </w:p>
        </w:tc>
      </w:tr>
    </w:tbl>
    <w:p w:rsidR="00D849AA" w:rsidRPr="00A8412B" w:rsidRDefault="00D849AA">
      <w:pPr>
        <w:jc w:val="left"/>
        <w:rPr>
          <w:rFonts w:ascii="Arial" w:hAnsi="Arial" w:cs="Arial"/>
        </w:rPr>
      </w:pPr>
    </w:p>
    <w:p w:rsidR="00D849AA" w:rsidRDefault="00EE6D95">
      <w:pPr>
        <w:pStyle w:val="Naslov6"/>
      </w:pPr>
      <w:r>
        <w:t>A530026 INOVATIVNI PROGRAMI U PODRUČJU PREVENCIJE I RESOCIJALIZACIJE OVISNIKA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A8412B" w:rsidRDefault="00EE6D95">
            <w:pPr>
              <w:pStyle w:val="CellHeader"/>
            </w:pPr>
            <w:r w:rsidRPr="00A8412B">
              <w:t>Naziv aktivnosti</w:t>
            </w:r>
          </w:p>
        </w:tc>
        <w:tc>
          <w:tcPr>
            <w:tcW w:w="1486" w:type="dxa"/>
            <w:shd w:val="clear" w:color="auto" w:fill="B5C0D8"/>
          </w:tcPr>
          <w:p w:rsidR="00D849AA" w:rsidRPr="00A8412B" w:rsidRDefault="00EE6D95">
            <w:pPr>
              <w:pStyle w:val="CellHeader"/>
            </w:pPr>
            <w:r w:rsidRPr="00A8412B">
              <w:t>Plan 2013.</w:t>
            </w:r>
          </w:p>
        </w:tc>
        <w:tc>
          <w:tcPr>
            <w:tcW w:w="1486" w:type="dxa"/>
            <w:shd w:val="clear" w:color="auto" w:fill="B5C0D8"/>
          </w:tcPr>
          <w:p w:rsidR="00D849AA" w:rsidRPr="00A8412B" w:rsidRDefault="00EE6D95">
            <w:pPr>
              <w:pStyle w:val="CellHeader"/>
            </w:pPr>
            <w:r w:rsidRPr="00A8412B">
              <w:t>Plan 2014.</w:t>
            </w:r>
          </w:p>
        </w:tc>
        <w:tc>
          <w:tcPr>
            <w:tcW w:w="1486" w:type="dxa"/>
            <w:shd w:val="clear" w:color="auto" w:fill="B5C0D8"/>
          </w:tcPr>
          <w:p w:rsidR="00D849AA" w:rsidRPr="00A8412B" w:rsidRDefault="00EE6D95">
            <w:pPr>
              <w:pStyle w:val="CellHeader"/>
            </w:pPr>
            <w:r w:rsidRPr="00A8412B">
              <w:t>Plan 2015.</w:t>
            </w:r>
          </w:p>
        </w:tc>
        <w:tc>
          <w:tcPr>
            <w:tcW w:w="1486" w:type="dxa"/>
            <w:shd w:val="clear" w:color="auto" w:fill="B5C0D8"/>
          </w:tcPr>
          <w:p w:rsidR="00D849AA" w:rsidRPr="00A8412B" w:rsidRDefault="00EE6D95">
            <w:pPr>
              <w:pStyle w:val="CellHeader"/>
            </w:pPr>
            <w:r w:rsidRPr="00A8412B">
              <w:t>Plan 2016.</w:t>
            </w:r>
          </w:p>
        </w:tc>
        <w:tc>
          <w:tcPr>
            <w:tcW w:w="1486" w:type="dxa"/>
            <w:shd w:val="clear" w:color="auto" w:fill="B5C0D8"/>
          </w:tcPr>
          <w:p w:rsidR="00D849AA" w:rsidRPr="00A8412B" w:rsidRDefault="00EE6D95">
            <w:pPr>
              <w:pStyle w:val="CellHeader"/>
            </w:pPr>
            <w:r w:rsidRPr="00A8412B">
              <w:t>Indeks 2014/2013</w:t>
            </w:r>
          </w:p>
        </w:tc>
      </w:tr>
      <w:tr w:rsidR="00D849AA">
        <w:trPr>
          <w:jc w:val="center"/>
        </w:trPr>
        <w:tc>
          <w:tcPr>
            <w:tcW w:w="1486" w:type="dxa"/>
          </w:tcPr>
          <w:p w:rsidR="00D849AA" w:rsidRPr="00A8412B" w:rsidRDefault="00EE6D95">
            <w:pPr>
              <w:pStyle w:val="CellColumn"/>
            </w:pPr>
            <w:r w:rsidRPr="00A8412B">
              <w:t>A530026</w:t>
            </w:r>
          </w:p>
        </w:tc>
        <w:tc>
          <w:tcPr>
            <w:tcW w:w="1486" w:type="dxa"/>
          </w:tcPr>
          <w:p w:rsidR="00D849AA" w:rsidRPr="00A8412B" w:rsidRDefault="00EE6D95">
            <w:pPr>
              <w:rPr>
                <w:rFonts w:ascii="Arial" w:hAnsi="Arial" w:cs="Arial"/>
              </w:rPr>
            </w:pPr>
            <w:r w:rsidRPr="00A8412B">
              <w:rPr>
                <w:rFonts w:ascii="Arial" w:hAnsi="Arial" w:cs="Arial"/>
              </w:rPr>
              <w:t>997.648</w:t>
            </w:r>
          </w:p>
        </w:tc>
        <w:tc>
          <w:tcPr>
            <w:tcW w:w="1486" w:type="dxa"/>
          </w:tcPr>
          <w:p w:rsidR="00D849AA" w:rsidRPr="00A8412B" w:rsidRDefault="00EE6D95">
            <w:pPr>
              <w:rPr>
                <w:rFonts w:ascii="Arial" w:hAnsi="Arial" w:cs="Arial"/>
              </w:rPr>
            </w:pPr>
            <w:r w:rsidRPr="00A8412B">
              <w:rPr>
                <w:rFonts w:ascii="Arial" w:hAnsi="Arial" w:cs="Arial"/>
              </w:rPr>
              <w:t>1.420.033</w:t>
            </w:r>
          </w:p>
        </w:tc>
        <w:tc>
          <w:tcPr>
            <w:tcW w:w="1486" w:type="dxa"/>
          </w:tcPr>
          <w:p w:rsidR="00D849AA" w:rsidRPr="00A8412B" w:rsidRDefault="00EE6D95">
            <w:pPr>
              <w:rPr>
                <w:rFonts w:ascii="Arial" w:hAnsi="Arial" w:cs="Arial"/>
              </w:rPr>
            </w:pPr>
            <w:r w:rsidRPr="00A8412B">
              <w:rPr>
                <w:rFonts w:ascii="Arial" w:hAnsi="Arial" w:cs="Arial"/>
              </w:rPr>
              <w:t>1.468.740</w:t>
            </w:r>
          </w:p>
        </w:tc>
        <w:tc>
          <w:tcPr>
            <w:tcW w:w="1486" w:type="dxa"/>
          </w:tcPr>
          <w:p w:rsidR="00D849AA" w:rsidRPr="00A8412B" w:rsidRDefault="00EE6D95">
            <w:pPr>
              <w:rPr>
                <w:rFonts w:ascii="Arial" w:hAnsi="Arial" w:cs="Arial"/>
              </w:rPr>
            </w:pPr>
            <w:r w:rsidRPr="00A8412B">
              <w:rPr>
                <w:rFonts w:ascii="Arial" w:hAnsi="Arial" w:cs="Arial"/>
              </w:rPr>
              <w:t>1.516.327</w:t>
            </w:r>
          </w:p>
        </w:tc>
        <w:tc>
          <w:tcPr>
            <w:tcW w:w="1486" w:type="dxa"/>
          </w:tcPr>
          <w:p w:rsidR="00D849AA" w:rsidRPr="00A8412B" w:rsidRDefault="00EE6D95">
            <w:pPr>
              <w:rPr>
                <w:rFonts w:ascii="Arial" w:hAnsi="Arial" w:cs="Arial"/>
              </w:rPr>
            </w:pPr>
            <w:r w:rsidRPr="00A8412B">
              <w:rPr>
                <w:rFonts w:ascii="Arial" w:hAnsi="Arial" w:cs="Arial"/>
              </w:rPr>
              <w:t>142,3</w:t>
            </w:r>
          </w:p>
        </w:tc>
      </w:tr>
    </w:tbl>
    <w:p w:rsidR="00D849AA" w:rsidRDefault="00D849AA">
      <w:pPr>
        <w:jc w:val="left"/>
      </w:pPr>
    </w:p>
    <w:p w:rsidR="00D849AA" w:rsidRDefault="00EE6D95">
      <w:pPr>
        <w:pStyle w:val="Normal6"/>
      </w:pPr>
      <w:r>
        <w:t>Temeljem analize problema iz djelokruga rada Ureda  te prioritetnih sektorskih problema koji se u 2014. planiraju rješavati u suradnji s udrugama/organizacijama civilnog društva putem natječaja, javnih poziva i javnih potreba utvrđenih zakonom, u prijedlogu Uredbe o kriterijima za utvrđivanje korisnika o načinu raspodjele dijela prihoda od igara na sreću za 2014. 7,98% dijela prihoda od igara na sreću raspodijeli Uredu za potrebe financiranja inovativnih programa u području prevencije ovisnosti i resocijalizacije ovisnika. Iz navedenih sredstava putem javnog natječaja financirat će se programi prevencije ovisnosti, odnosno programi resocijalizacije ovisnika.</w:t>
      </w:r>
    </w:p>
    <w:p w:rsidR="00D849AA" w:rsidRDefault="00EE6D95">
      <w:pPr>
        <w:pStyle w:val="Naslov2"/>
      </w:pPr>
      <w:r>
        <w:t>02091 Ured Komisije za odnose s vjerskim zajednicama</w:t>
      </w:r>
    </w:p>
    <w:p w:rsidR="00D849AA" w:rsidRDefault="00EE6D95">
      <w:pPr>
        <w:pStyle w:val="Naslov4"/>
      </w:pPr>
      <w:r>
        <w:t>Uvod</w:t>
      </w:r>
    </w:p>
    <w:p w:rsidR="00D849AA" w:rsidRDefault="00EE6D95">
      <w:pPr>
        <w:pStyle w:val="Normal3"/>
      </w:pPr>
      <w:r>
        <w:t>Ured obavlja stručne poslove vezane uz odnose s vjerskim zajednicama, a osobito: priprema i u ime predsjednika Komisije saziva sjednice Komisije; priprema i saziva sjednice mješovitih povjerenstava i komisija, obavlja stručne poslove u vezi s ostvarivanjem utvrđene politike zaštite prava vjerskih zajednica u Republici Hrvatskoj; surađuje s nadležnim ministarstvima i drugim tijelima državne uprave, kao i drugim institucijama, u radu na ostvarivanju prava vjerskih zajednica; prati međunarodne dokumente, priprema mišljenja i stručne analize u vezi s ostvarivanjem prava vjerskih zajednica, a koje su potrebne za rad Komisije; vodi evidenciju o vjerskim blagdanima vjerskih zajednica u Republici Hrvatskoj, te u ime Vlade Republike Hrvatske i Komisije upućuje prigodne čestitke; vodi poslove o izvršavanju financijskih obveza Republike Hrvatske utvrđenih Državnim proračunom Republike Hrvatske; obavlja i druge poslove koje mu povjeri Vlada i Komisija.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A8412B" w:rsidRDefault="00D849AA">
            <w:pPr>
              <w:pStyle w:val="CellHeader"/>
            </w:pPr>
          </w:p>
        </w:tc>
        <w:tc>
          <w:tcPr>
            <w:tcW w:w="1486" w:type="dxa"/>
            <w:shd w:val="clear" w:color="auto" w:fill="B5C0D8"/>
          </w:tcPr>
          <w:p w:rsidR="00D849AA" w:rsidRPr="00A8412B" w:rsidRDefault="00EE6D95">
            <w:pPr>
              <w:pStyle w:val="CellHeader"/>
            </w:pPr>
            <w:r w:rsidRPr="00A8412B">
              <w:t>Plan 2013.</w:t>
            </w:r>
          </w:p>
        </w:tc>
        <w:tc>
          <w:tcPr>
            <w:tcW w:w="1486" w:type="dxa"/>
            <w:shd w:val="clear" w:color="auto" w:fill="B5C0D8"/>
          </w:tcPr>
          <w:p w:rsidR="00D849AA" w:rsidRPr="00A8412B" w:rsidRDefault="00EE6D95">
            <w:pPr>
              <w:pStyle w:val="CellHeader"/>
            </w:pPr>
            <w:r w:rsidRPr="00A8412B">
              <w:t>Plan 2014.</w:t>
            </w:r>
          </w:p>
        </w:tc>
        <w:tc>
          <w:tcPr>
            <w:tcW w:w="1486" w:type="dxa"/>
            <w:shd w:val="clear" w:color="auto" w:fill="B5C0D8"/>
          </w:tcPr>
          <w:p w:rsidR="00D849AA" w:rsidRPr="00A8412B" w:rsidRDefault="00EE6D95">
            <w:pPr>
              <w:pStyle w:val="CellHeader"/>
            </w:pPr>
            <w:r w:rsidRPr="00A8412B">
              <w:t>Plan 2015.</w:t>
            </w:r>
          </w:p>
        </w:tc>
        <w:tc>
          <w:tcPr>
            <w:tcW w:w="1486" w:type="dxa"/>
            <w:shd w:val="clear" w:color="auto" w:fill="B5C0D8"/>
          </w:tcPr>
          <w:p w:rsidR="00D849AA" w:rsidRPr="00A8412B" w:rsidRDefault="00EE6D95">
            <w:pPr>
              <w:pStyle w:val="CellHeader"/>
            </w:pPr>
            <w:r w:rsidRPr="00A8412B">
              <w:t>Plan 2016.</w:t>
            </w:r>
          </w:p>
        </w:tc>
        <w:tc>
          <w:tcPr>
            <w:tcW w:w="1486" w:type="dxa"/>
            <w:shd w:val="clear" w:color="auto" w:fill="B5C0D8"/>
          </w:tcPr>
          <w:p w:rsidR="00D849AA" w:rsidRPr="00A8412B" w:rsidRDefault="00EE6D95">
            <w:pPr>
              <w:pStyle w:val="CellHeader"/>
            </w:pPr>
            <w:r w:rsidRPr="00A8412B">
              <w:t>Indeks 2014/2013</w:t>
            </w:r>
          </w:p>
        </w:tc>
      </w:tr>
      <w:tr w:rsidR="00D849AA">
        <w:trPr>
          <w:jc w:val="center"/>
        </w:trPr>
        <w:tc>
          <w:tcPr>
            <w:tcW w:w="1486" w:type="dxa"/>
          </w:tcPr>
          <w:p w:rsidR="00D849AA" w:rsidRPr="00A8412B" w:rsidRDefault="00EE6D95">
            <w:pPr>
              <w:pStyle w:val="CellColumn"/>
            </w:pPr>
            <w:r w:rsidRPr="00A8412B">
              <w:t>02091</w:t>
            </w:r>
          </w:p>
        </w:tc>
        <w:tc>
          <w:tcPr>
            <w:tcW w:w="1486" w:type="dxa"/>
          </w:tcPr>
          <w:p w:rsidR="00D849AA" w:rsidRPr="00A8412B" w:rsidRDefault="00EE6D95">
            <w:pPr>
              <w:rPr>
                <w:rFonts w:ascii="Arial" w:hAnsi="Arial" w:cs="Arial"/>
              </w:rPr>
            </w:pPr>
            <w:r w:rsidRPr="00A8412B">
              <w:rPr>
                <w:rFonts w:ascii="Arial" w:hAnsi="Arial" w:cs="Arial"/>
              </w:rPr>
              <w:t>00</w:t>
            </w:r>
          </w:p>
        </w:tc>
        <w:tc>
          <w:tcPr>
            <w:tcW w:w="1486" w:type="dxa"/>
          </w:tcPr>
          <w:p w:rsidR="00D849AA" w:rsidRPr="00A8412B" w:rsidRDefault="00EE6D95">
            <w:pPr>
              <w:rPr>
                <w:rFonts w:ascii="Arial" w:hAnsi="Arial" w:cs="Arial"/>
              </w:rPr>
            </w:pPr>
            <w:r w:rsidRPr="00A8412B">
              <w:rPr>
                <w:rFonts w:ascii="Arial" w:hAnsi="Arial" w:cs="Arial"/>
              </w:rPr>
              <w:t>701.700</w:t>
            </w:r>
          </w:p>
        </w:tc>
        <w:tc>
          <w:tcPr>
            <w:tcW w:w="1486" w:type="dxa"/>
          </w:tcPr>
          <w:p w:rsidR="00D849AA" w:rsidRPr="00A8412B" w:rsidRDefault="00EE6D95">
            <w:pPr>
              <w:rPr>
                <w:rFonts w:ascii="Arial" w:hAnsi="Arial" w:cs="Arial"/>
              </w:rPr>
            </w:pPr>
            <w:r w:rsidRPr="00A8412B">
              <w:rPr>
                <w:rFonts w:ascii="Arial" w:hAnsi="Arial" w:cs="Arial"/>
              </w:rPr>
              <w:t>808.980</w:t>
            </w:r>
          </w:p>
        </w:tc>
        <w:tc>
          <w:tcPr>
            <w:tcW w:w="1486" w:type="dxa"/>
          </w:tcPr>
          <w:p w:rsidR="00D849AA" w:rsidRPr="00A8412B" w:rsidRDefault="00EE6D95">
            <w:pPr>
              <w:rPr>
                <w:rFonts w:ascii="Arial" w:hAnsi="Arial" w:cs="Arial"/>
              </w:rPr>
            </w:pPr>
            <w:r w:rsidRPr="00A8412B">
              <w:rPr>
                <w:rFonts w:ascii="Arial" w:hAnsi="Arial" w:cs="Arial"/>
              </w:rPr>
              <w:t>810.980</w:t>
            </w:r>
          </w:p>
        </w:tc>
        <w:tc>
          <w:tcPr>
            <w:tcW w:w="1486" w:type="dxa"/>
          </w:tcPr>
          <w:p w:rsidR="00D849AA" w:rsidRPr="00A8412B" w:rsidRDefault="00EE6D95">
            <w:pPr>
              <w:rPr>
                <w:rFonts w:ascii="Arial" w:hAnsi="Arial" w:cs="Arial"/>
              </w:rPr>
            </w:pPr>
            <w:r w:rsidRPr="00A8412B">
              <w:rPr>
                <w:rFonts w:ascii="Arial" w:hAnsi="Arial" w:cs="Arial"/>
              </w:rPr>
              <w:t>0,0</w:t>
            </w:r>
          </w:p>
        </w:tc>
      </w:tr>
    </w:tbl>
    <w:p w:rsidR="00D849AA" w:rsidRDefault="00D849AA">
      <w:pPr>
        <w:jc w:val="left"/>
      </w:pPr>
    </w:p>
    <w:p w:rsidR="00A8412B" w:rsidRDefault="00A8412B">
      <w:pPr>
        <w:jc w:val="left"/>
      </w:pPr>
    </w:p>
    <w:p w:rsidR="00D849AA" w:rsidRDefault="00EE6D95">
      <w:pPr>
        <w:pStyle w:val="Naslov4"/>
      </w:pPr>
      <w:r>
        <w:lastRenderedPageBreak/>
        <w:t>OBRAZLOŽENJE PROGRAMA</w:t>
      </w:r>
    </w:p>
    <w:p w:rsidR="00D849AA" w:rsidRDefault="00EE6D95">
      <w:pPr>
        <w:pStyle w:val="Naslov5"/>
      </w:pPr>
      <w:r>
        <w:t>3916 ODNOSI REPUBLIKE HRVATSKE I VJERSKIH ZAJEDNICA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A8412B" w:rsidRDefault="00D849AA">
            <w:pPr>
              <w:pStyle w:val="CellHeader"/>
            </w:pPr>
          </w:p>
        </w:tc>
        <w:tc>
          <w:tcPr>
            <w:tcW w:w="1486" w:type="dxa"/>
            <w:shd w:val="clear" w:color="auto" w:fill="B5C0D8"/>
          </w:tcPr>
          <w:p w:rsidR="00D849AA" w:rsidRPr="00A8412B" w:rsidRDefault="00EE6D95">
            <w:pPr>
              <w:pStyle w:val="CellHeader"/>
            </w:pPr>
            <w:r w:rsidRPr="00A8412B">
              <w:t>Plan 2013.</w:t>
            </w:r>
          </w:p>
        </w:tc>
        <w:tc>
          <w:tcPr>
            <w:tcW w:w="1486" w:type="dxa"/>
            <w:shd w:val="clear" w:color="auto" w:fill="B5C0D8"/>
          </w:tcPr>
          <w:p w:rsidR="00D849AA" w:rsidRPr="00A8412B" w:rsidRDefault="00EE6D95">
            <w:pPr>
              <w:pStyle w:val="CellHeader"/>
            </w:pPr>
            <w:r w:rsidRPr="00A8412B">
              <w:t>Plan 2014.</w:t>
            </w:r>
          </w:p>
        </w:tc>
        <w:tc>
          <w:tcPr>
            <w:tcW w:w="1486" w:type="dxa"/>
            <w:shd w:val="clear" w:color="auto" w:fill="B5C0D8"/>
          </w:tcPr>
          <w:p w:rsidR="00D849AA" w:rsidRPr="00A8412B" w:rsidRDefault="00EE6D95">
            <w:pPr>
              <w:pStyle w:val="CellHeader"/>
            </w:pPr>
            <w:r w:rsidRPr="00A8412B">
              <w:t>Plan 2015.</w:t>
            </w:r>
          </w:p>
        </w:tc>
        <w:tc>
          <w:tcPr>
            <w:tcW w:w="1486" w:type="dxa"/>
            <w:shd w:val="clear" w:color="auto" w:fill="B5C0D8"/>
          </w:tcPr>
          <w:p w:rsidR="00D849AA" w:rsidRPr="00A8412B" w:rsidRDefault="00EE6D95">
            <w:pPr>
              <w:pStyle w:val="CellHeader"/>
            </w:pPr>
            <w:r w:rsidRPr="00A8412B">
              <w:t>Plan 2016.</w:t>
            </w:r>
          </w:p>
        </w:tc>
        <w:tc>
          <w:tcPr>
            <w:tcW w:w="1486" w:type="dxa"/>
            <w:shd w:val="clear" w:color="auto" w:fill="B5C0D8"/>
          </w:tcPr>
          <w:p w:rsidR="00D849AA" w:rsidRPr="00A8412B" w:rsidRDefault="00EE6D95">
            <w:pPr>
              <w:pStyle w:val="CellHeader"/>
            </w:pPr>
            <w:r w:rsidRPr="00A8412B">
              <w:t>Indeks 2014/2013</w:t>
            </w:r>
          </w:p>
        </w:tc>
      </w:tr>
      <w:tr w:rsidR="00D849AA">
        <w:trPr>
          <w:jc w:val="center"/>
        </w:trPr>
        <w:tc>
          <w:tcPr>
            <w:tcW w:w="1486" w:type="dxa"/>
          </w:tcPr>
          <w:p w:rsidR="00D849AA" w:rsidRPr="00A8412B" w:rsidRDefault="00EE6D95">
            <w:pPr>
              <w:pStyle w:val="CellColumn"/>
            </w:pPr>
            <w:r w:rsidRPr="00A8412B">
              <w:t>3916</w:t>
            </w:r>
          </w:p>
        </w:tc>
        <w:tc>
          <w:tcPr>
            <w:tcW w:w="1486" w:type="dxa"/>
          </w:tcPr>
          <w:p w:rsidR="00D849AA" w:rsidRPr="00A8412B" w:rsidRDefault="00EE6D95">
            <w:pPr>
              <w:rPr>
                <w:rFonts w:ascii="Arial" w:hAnsi="Arial" w:cs="Arial"/>
              </w:rPr>
            </w:pPr>
            <w:r w:rsidRPr="00A8412B">
              <w:rPr>
                <w:rFonts w:ascii="Arial" w:hAnsi="Arial" w:cs="Arial"/>
              </w:rPr>
              <w:t>00</w:t>
            </w:r>
          </w:p>
        </w:tc>
        <w:tc>
          <w:tcPr>
            <w:tcW w:w="1486" w:type="dxa"/>
          </w:tcPr>
          <w:p w:rsidR="00D849AA" w:rsidRPr="00A8412B" w:rsidRDefault="00EE6D95">
            <w:pPr>
              <w:rPr>
                <w:rFonts w:ascii="Arial" w:hAnsi="Arial" w:cs="Arial"/>
              </w:rPr>
            </w:pPr>
            <w:r w:rsidRPr="00A8412B">
              <w:rPr>
                <w:rFonts w:ascii="Arial" w:hAnsi="Arial" w:cs="Arial"/>
              </w:rPr>
              <w:t>701.700</w:t>
            </w:r>
          </w:p>
        </w:tc>
        <w:tc>
          <w:tcPr>
            <w:tcW w:w="1486" w:type="dxa"/>
          </w:tcPr>
          <w:p w:rsidR="00D849AA" w:rsidRPr="00A8412B" w:rsidRDefault="00EE6D95">
            <w:pPr>
              <w:rPr>
                <w:rFonts w:ascii="Arial" w:hAnsi="Arial" w:cs="Arial"/>
              </w:rPr>
            </w:pPr>
            <w:r w:rsidRPr="00A8412B">
              <w:rPr>
                <w:rFonts w:ascii="Arial" w:hAnsi="Arial" w:cs="Arial"/>
              </w:rPr>
              <w:t>808.980</w:t>
            </w:r>
          </w:p>
        </w:tc>
        <w:tc>
          <w:tcPr>
            <w:tcW w:w="1486" w:type="dxa"/>
          </w:tcPr>
          <w:p w:rsidR="00D849AA" w:rsidRPr="00A8412B" w:rsidRDefault="00EE6D95">
            <w:pPr>
              <w:rPr>
                <w:rFonts w:ascii="Arial" w:hAnsi="Arial" w:cs="Arial"/>
              </w:rPr>
            </w:pPr>
            <w:r w:rsidRPr="00A8412B">
              <w:rPr>
                <w:rFonts w:ascii="Arial" w:hAnsi="Arial" w:cs="Arial"/>
              </w:rPr>
              <w:t>810.980</w:t>
            </w:r>
          </w:p>
        </w:tc>
        <w:tc>
          <w:tcPr>
            <w:tcW w:w="1486" w:type="dxa"/>
          </w:tcPr>
          <w:p w:rsidR="00D849AA" w:rsidRPr="00A8412B" w:rsidRDefault="00EE6D95">
            <w:pPr>
              <w:rPr>
                <w:rFonts w:ascii="Arial" w:hAnsi="Arial" w:cs="Arial"/>
              </w:rPr>
            </w:pPr>
            <w:r w:rsidRPr="00A8412B">
              <w:rPr>
                <w:rFonts w:ascii="Arial" w:hAnsi="Arial" w:cs="Arial"/>
              </w:rPr>
              <w:t>0,0</w:t>
            </w:r>
          </w:p>
        </w:tc>
      </w:tr>
    </w:tbl>
    <w:p w:rsidR="00D849AA" w:rsidRDefault="00D849AA">
      <w:pPr>
        <w:jc w:val="left"/>
      </w:pPr>
    </w:p>
    <w:p w:rsidR="00D849AA" w:rsidRDefault="00EE6D95">
      <w:pPr>
        <w:pStyle w:val="Naslov6"/>
      </w:pPr>
      <w:r>
        <w:t>Zakonske i druge pravne osnove</w:t>
      </w:r>
    </w:p>
    <w:p w:rsidR="00D849AA" w:rsidRDefault="00EE6D95">
      <w:pPr>
        <w:pStyle w:val="Normal5"/>
      </w:pPr>
      <w:r>
        <w:t>Komisija se u svom djelovanju oslanja na Zakon o pravnom položaju vjerskih zajednica („Narodne novine“ broj 83/02),  te na Uredbu o osnivanju Komisije za odnose s vjerskim zajednicama i Ureda Komisije za odnose s vjerskim zajednicama („Narodne novine“ broj 126/2013 )</w:t>
      </w:r>
    </w:p>
    <w:p w:rsidR="00D849AA" w:rsidRDefault="00EE6D95">
      <w:pPr>
        <w:pStyle w:val="Naslov2"/>
      </w:pPr>
      <w:r>
        <w:t>02092 Ured za ravnopravnost spolova</w:t>
      </w:r>
    </w:p>
    <w:p w:rsidR="00D849AA" w:rsidRDefault="00EE6D95">
      <w:pPr>
        <w:pStyle w:val="Naslov4"/>
      </w:pPr>
      <w:r>
        <w:t>Uvod</w:t>
      </w:r>
    </w:p>
    <w:p w:rsidR="00D849AA" w:rsidRDefault="00EE6D95">
      <w:pPr>
        <w:pStyle w:val="Normal3"/>
      </w:pPr>
      <w:r>
        <w:t xml:space="preserve">Vladin Ured za ravnopravnost spolova osnovan je 2004. godine kao stručna služba Vlade RH kojoj su djelokrug rada i zadaće propisani Zakonom o ravnopravnosti spolova (NN114/03, i NN 82/08). </w:t>
      </w:r>
    </w:p>
    <w:p w:rsidR="00D849AA" w:rsidRDefault="00EE6D95">
      <w:pPr>
        <w:pStyle w:val="Normal3"/>
      </w:pPr>
      <w:r>
        <w:t xml:space="preserve">Djelokrug rada Ureda za ravnopravnost  spolova u narednom će periodu, sukladno Zakonu o ravnopravnosti  spolova uključiti : </w:t>
      </w:r>
    </w:p>
    <w:p w:rsidR="00D849AA" w:rsidRDefault="00EE6D95">
      <w:pPr>
        <w:pStyle w:val="Normal3"/>
      </w:pPr>
      <w:r>
        <w:t xml:space="preserve">- praćenje primjene Zakona o ravnopravnosti spolova  </w:t>
      </w:r>
    </w:p>
    <w:p w:rsidR="00D849AA" w:rsidRDefault="00EE6D95">
      <w:pPr>
        <w:pStyle w:val="Normal3"/>
      </w:pPr>
      <w:r>
        <w:t xml:space="preserve">- praćenje, koordinaciju i nadzor nad provedbom Nacionalne politike za ravnopravnost spolova za razdoblje od 2011. do 2015. godine, praćenje  i analizu izvršenja mjera te poticanje nositelja mjera na njihovu učinkovitu i pravovremenu  provedbu u svim kritičnim područjima; </w:t>
      </w:r>
    </w:p>
    <w:p w:rsidR="00D849AA" w:rsidRDefault="00EE6D95">
      <w:pPr>
        <w:pStyle w:val="Normal3"/>
      </w:pPr>
      <w:r>
        <w:t xml:space="preserve">- izradu nove Nacionalne politike za ravnopravnost spolova za razdoblje od 2016. godine  </w:t>
      </w:r>
    </w:p>
    <w:p w:rsidR="00D849AA" w:rsidRDefault="00EE6D95">
      <w:pPr>
        <w:pStyle w:val="Normal3"/>
      </w:pPr>
      <w:r>
        <w:t xml:space="preserve">- organizaciju kampanja, okruglih stolova, konferencija, seminara, u cilju osvještavanja javnosti o potrebi promjene stavova i unaprjeđivanja postojećih praksi u navedenom području </w:t>
      </w:r>
    </w:p>
    <w:p w:rsidR="00D849AA" w:rsidRDefault="00EE6D95">
      <w:pPr>
        <w:pStyle w:val="Normal3"/>
      </w:pPr>
      <w:r>
        <w:t xml:space="preserve">- suradnju s udrugama kroz ciljane projekte te kroz podršku javnim događanjima i potporu udrugama u organizaciji različitih javnih događanja (konferencije, tribine, okrugli stolovi, seminari); </w:t>
      </w:r>
    </w:p>
    <w:p w:rsidR="00D849AA" w:rsidRDefault="00EE6D95">
      <w:pPr>
        <w:pStyle w:val="Normal3"/>
      </w:pPr>
      <w:r>
        <w:t xml:space="preserve">- provedbu ciljanih znanstvenih istraživanja u cilju prikupljanja relevantnih podataka, stvaranja baze podataka i procjene napretka u kritičnim područjima </w:t>
      </w:r>
    </w:p>
    <w:p w:rsidR="00D849AA" w:rsidRDefault="00EE6D95">
      <w:pPr>
        <w:pStyle w:val="Normal3"/>
      </w:pPr>
      <w:r>
        <w:t xml:space="preserve">- praćenje i provedbu obveza prema međunarodnim dokumentima (UN Konvencije o uklanjanju svih oblika diskriminacije žena, Milenijskih razvojnih ciljeva, Pekinške deklaracije i Platforme za djelovanje, Pakta o građanskim i političkim pravima, i dr.) te upoznavanje javnosti s međunarodnim, europskim i nacionalnim  dokumentima iz područja ravnopravnosti spolova, (prevođenje međunarodnih dokumenata, tiskanje i distribucija publikacija, redovito ažuriranje internetske stranice Ureda); </w:t>
      </w:r>
    </w:p>
    <w:p w:rsidR="00D849AA" w:rsidRDefault="00EE6D95">
      <w:pPr>
        <w:pStyle w:val="Normal3"/>
      </w:pPr>
      <w:r>
        <w:t xml:space="preserve">- poticanje na provedbu posebnih mjera definiranih u Zakonu o ravnopravnosti spolova, a osobito praćenje izrade, donošenja i provedbe  planova djelovanja za promicanje ravnopravnosti spolova u svim tijelima državne uprave i pravnim osobama u pretežitom vlasništvu države; </w:t>
      </w:r>
    </w:p>
    <w:p w:rsidR="00D849AA" w:rsidRDefault="00EE6D95">
      <w:pPr>
        <w:pStyle w:val="Normal3"/>
      </w:pPr>
      <w:r>
        <w:lastRenderedPageBreak/>
        <w:t xml:space="preserve">- edukaciju državnih službenika/ca za uvođenje načela ravnopravnosti  spolova u državnu upravu. </w:t>
      </w:r>
    </w:p>
    <w:p w:rsidR="00D849AA" w:rsidRDefault="00EE6D95">
      <w:pPr>
        <w:pStyle w:val="Normal3"/>
      </w:pPr>
      <w:r>
        <w:t>Od velike je važnosti da se u narednom trogodišnjem razdoblju prati provedba Zakona o ravnopravnosti spolova (NN 82/08) kojim se zabranjuju različiti oblici spolne diskriminacije te da se državna uprava i lokalna samouprava  upoznaju s njegovim sadržajem. U svrhu uklanjanja još uvijek prisutne neravnopravnosti spolova, potrebno je da sva tijela u cijelosti provode mjere u svim kritičnim područjima na koja se odnosi Nacionalna politika za ravnopravnost spolova,  uz osnaživanje nacionalnih mehanizama za promicanje ravnopravnosti spolova na nacionalnoj i lokalnoj razini.</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rsidRPr="00A8412B">
        <w:trPr>
          <w:jc w:val="center"/>
        </w:trPr>
        <w:tc>
          <w:tcPr>
            <w:tcW w:w="1486" w:type="dxa"/>
            <w:shd w:val="clear" w:color="auto" w:fill="B5C0D8"/>
          </w:tcPr>
          <w:p w:rsidR="00D849AA" w:rsidRPr="00A8412B" w:rsidRDefault="00D849AA">
            <w:pPr>
              <w:pStyle w:val="CellHeader"/>
            </w:pPr>
          </w:p>
        </w:tc>
        <w:tc>
          <w:tcPr>
            <w:tcW w:w="1486" w:type="dxa"/>
            <w:shd w:val="clear" w:color="auto" w:fill="B5C0D8"/>
          </w:tcPr>
          <w:p w:rsidR="00D849AA" w:rsidRPr="00A8412B" w:rsidRDefault="00EE6D95">
            <w:pPr>
              <w:pStyle w:val="CellHeader"/>
            </w:pPr>
            <w:r w:rsidRPr="00A8412B">
              <w:t>Plan 2013.</w:t>
            </w:r>
          </w:p>
        </w:tc>
        <w:tc>
          <w:tcPr>
            <w:tcW w:w="1486" w:type="dxa"/>
            <w:shd w:val="clear" w:color="auto" w:fill="B5C0D8"/>
          </w:tcPr>
          <w:p w:rsidR="00D849AA" w:rsidRPr="00A8412B" w:rsidRDefault="00EE6D95">
            <w:pPr>
              <w:pStyle w:val="CellHeader"/>
            </w:pPr>
            <w:r w:rsidRPr="00A8412B">
              <w:t>Plan 2014.</w:t>
            </w:r>
          </w:p>
        </w:tc>
        <w:tc>
          <w:tcPr>
            <w:tcW w:w="1486" w:type="dxa"/>
            <w:shd w:val="clear" w:color="auto" w:fill="B5C0D8"/>
          </w:tcPr>
          <w:p w:rsidR="00D849AA" w:rsidRPr="00A8412B" w:rsidRDefault="00EE6D95">
            <w:pPr>
              <w:pStyle w:val="CellHeader"/>
            </w:pPr>
            <w:r w:rsidRPr="00A8412B">
              <w:t>Plan 2015.</w:t>
            </w:r>
          </w:p>
        </w:tc>
        <w:tc>
          <w:tcPr>
            <w:tcW w:w="1486" w:type="dxa"/>
            <w:shd w:val="clear" w:color="auto" w:fill="B5C0D8"/>
          </w:tcPr>
          <w:p w:rsidR="00D849AA" w:rsidRPr="00A8412B" w:rsidRDefault="00EE6D95">
            <w:pPr>
              <w:pStyle w:val="CellHeader"/>
            </w:pPr>
            <w:r w:rsidRPr="00A8412B">
              <w:t>Plan 2016.</w:t>
            </w:r>
          </w:p>
        </w:tc>
        <w:tc>
          <w:tcPr>
            <w:tcW w:w="1486" w:type="dxa"/>
            <w:shd w:val="clear" w:color="auto" w:fill="B5C0D8"/>
          </w:tcPr>
          <w:p w:rsidR="00D849AA" w:rsidRPr="00A8412B" w:rsidRDefault="00EE6D95">
            <w:pPr>
              <w:pStyle w:val="CellHeader"/>
            </w:pPr>
            <w:r w:rsidRPr="00A8412B">
              <w:t>Indeks 2014/2013</w:t>
            </w:r>
          </w:p>
        </w:tc>
      </w:tr>
      <w:tr w:rsidR="00D849AA" w:rsidRPr="00A8412B">
        <w:trPr>
          <w:jc w:val="center"/>
        </w:trPr>
        <w:tc>
          <w:tcPr>
            <w:tcW w:w="1486" w:type="dxa"/>
          </w:tcPr>
          <w:p w:rsidR="00D849AA" w:rsidRPr="00A8412B" w:rsidRDefault="00EE6D95">
            <w:pPr>
              <w:pStyle w:val="CellColumn"/>
            </w:pPr>
            <w:r w:rsidRPr="00A8412B">
              <w:t>02092</w:t>
            </w:r>
          </w:p>
        </w:tc>
        <w:tc>
          <w:tcPr>
            <w:tcW w:w="1486" w:type="dxa"/>
          </w:tcPr>
          <w:p w:rsidR="00D849AA" w:rsidRPr="00A8412B" w:rsidRDefault="00EE6D95">
            <w:pPr>
              <w:rPr>
                <w:rFonts w:ascii="Arial" w:hAnsi="Arial" w:cs="Arial"/>
              </w:rPr>
            </w:pPr>
            <w:r w:rsidRPr="00A8412B">
              <w:rPr>
                <w:rFonts w:ascii="Arial" w:hAnsi="Arial" w:cs="Arial"/>
              </w:rPr>
              <w:t>1.979.000</w:t>
            </w:r>
          </w:p>
        </w:tc>
        <w:tc>
          <w:tcPr>
            <w:tcW w:w="1486" w:type="dxa"/>
          </w:tcPr>
          <w:p w:rsidR="00D849AA" w:rsidRPr="00A8412B" w:rsidRDefault="00EE6D95">
            <w:pPr>
              <w:rPr>
                <w:rFonts w:ascii="Arial" w:hAnsi="Arial" w:cs="Arial"/>
              </w:rPr>
            </w:pPr>
            <w:r w:rsidRPr="00A8412B">
              <w:rPr>
                <w:rFonts w:ascii="Arial" w:hAnsi="Arial" w:cs="Arial"/>
              </w:rPr>
              <w:t>6.080.640</w:t>
            </w:r>
          </w:p>
        </w:tc>
        <w:tc>
          <w:tcPr>
            <w:tcW w:w="1486" w:type="dxa"/>
          </w:tcPr>
          <w:p w:rsidR="00D849AA" w:rsidRPr="00A8412B" w:rsidRDefault="00EE6D95">
            <w:pPr>
              <w:rPr>
                <w:rFonts w:ascii="Arial" w:hAnsi="Arial" w:cs="Arial"/>
              </w:rPr>
            </w:pPr>
            <w:r w:rsidRPr="00A8412B">
              <w:rPr>
                <w:rFonts w:ascii="Arial" w:hAnsi="Arial" w:cs="Arial"/>
              </w:rPr>
              <w:t>3.700.113</w:t>
            </w:r>
          </w:p>
        </w:tc>
        <w:tc>
          <w:tcPr>
            <w:tcW w:w="1486" w:type="dxa"/>
          </w:tcPr>
          <w:p w:rsidR="00D849AA" w:rsidRPr="00A8412B" w:rsidRDefault="00EE6D95">
            <w:pPr>
              <w:rPr>
                <w:rFonts w:ascii="Arial" w:hAnsi="Arial" w:cs="Arial"/>
              </w:rPr>
            </w:pPr>
            <w:r w:rsidRPr="00A8412B">
              <w:rPr>
                <w:rFonts w:ascii="Arial" w:hAnsi="Arial" w:cs="Arial"/>
              </w:rPr>
              <w:t>2.022.400</w:t>
            </w:r>
          </w:p>
        </w:tc>
        <w:tc>
          <w:tcPr>
            <w:tcW w:w="1486" w:type="dxa"/>
          </w:tcPr>
          <w:p w:rsidR="00D849AA" w:rsidRPr="00A8412B" w:rsidRDefault="00EE6D95">
            <w:pPr>
              <w:rPr>
                <w:rFonts w:ascii="Arial" w:hAnsi="Arial" w:cs="Arial"/>
              </w:rPr>
            </w:pPr>
            <w:r w:rsidRPr="00A8412B">
              <w:rPr>
                <w:rFonts w:ascii="Arial" w:hAnsi="Arial" w:cs="Arial"/>
              </w:rPr>
              <w:t>307,2</w:t>
            </w:r>
          </w:p>
        </w:tc>
      </w:tr>
    </w:tbl>
    <w:p w:rsidR="00D849AA" w:rsidRPr="00A8412B" w:rsidRDefault="00D849AA">
      <w:pPr>
        <w:jc w:val="left"/>
        <w:rPr>
          <w:rFonts w:ascii="Arial" w:hAnsi="Arial" w:cs="Arial"/>
        </w:rPr>
      </w:pPr>
    </w:p>
    <w:p w:rsidR="00D849AA" w:rsidRDefault="00EE6D95">
      <w:pPr>
        <w:pStyle w:val="Naslov4"/>
      </w:pPr>
      <w:r>
        <w:t>OBRAZLOŽENJE PROGRAMA</w:t>
      </w:r>
    </w:p>
    <w:p w:rsidR="00D849AA" w:rsidRDefault="00EE6D95">
      <w:pPr>
        <w:pStyle w:val="Naslov5"/>
      </w:pPr>
      <w:r>
        <w:t>2113 PROMICANJE RAVNOPRAVNOSTI SPOLOVA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A8412B" w:rsidRDefault="00D849AA">
            <w:pPr>
              <w:pStyle w:val="CellHeader"/>
            </w:pPr>
          </w:p>
        </w:tc>
        <w:tc>
          <w:tcPr>
            <w:tcW w:w="1486" w:type="dxa"/>
            <w:shd w:val="clear" w:color="auto" w:fill="B5C0D8"/>
          </w:tcPr>
          <w:p w:rsidR="00D849AA" w:rsidRPr="00A8412B" w:rsidRDefault="00EE6D95">
            <w:pPr>
              <w:pStyle w:val="CellHeader"/>
            </w:pPr>
            <w:r w:rsidRPr="00A8412B">
              <w:t>Plan 2013.</w:t>
            </w:r>
          </w:p>
        </w:tc>
        <w:tc>
          <w:tcPr>
            <w:tcW w:w="1486" w:type="dxa"/>
            <w:shd w:val="clear" w:color="auto" w:fill="B5C0D8"/>
          </w:tcPr>
          <w:p w:rsidR="00D849AA" w:rsidRPr="00A8412B" w:rsidRDefault="00EE6D95">
            <w:pPr>
              <w:pStyle w:val="CellHeader"/>
            </w:pPr>
            <w:r w:rsidRPr="00A8412B">
              <w:t>Plan 2014.</w:t>
            </w:r>
          </w:p>
        </w:tc>
        <w:tc>
          <w:tcPr>
            <w:tcW w:w="1486" w:type="dxa"/>
            <w:shd w:val="clear" w:color="auto" w:fill="B5C0D8"/>
          </w:tcPr>
          <w:p w:rsidR="00D849AA" w:rsidRPr="00A8412B" w:rsidRDefault="00EE6D95">
            <w:pPr>
              <w:pStyle w:val="CellHeader"/>
            </w:pPr>
            <w:r w:rsidRPr="00A8412B">
              <w:t>Plan 2015.</w:t>
            </w:r>
          </w:p>
        </w:tc>
        <w:tc>
          <w:tcPr>
            <w:tcW w:w="1486" w:type="dxa"/>
            <w:shd w:val="clear" w:color="auto" w:fill="B5C0D8"/>
          </w:tcPr>
          <w:p w:rsidR="00D849AA" w:rsidRPr="00A8412B" w:rsidRDefault="00EE6D95">
            <w:pPr>
              <w:pStyle w:val="CellHeader"/>
            </w:pPr>
            <w:r w:rsidRPr="00A8412B">
              <w:t>Plan 2016.</w:t>
            </w:r>
          </w:p>
        </w:tc>
        <w:tc>
          <w:tcPr>
            <w:tcW w:w="1486" w:type="dxa"/>
            <w:shd w:val="clear" w:color="auto" w:fill="B5C0D8"/>
          </w:tcPr>
          <w:p w:rsidR="00D849AA" w:rsidRPr="00A8412B" w:rsidRDefault="00EE6D95">
            <w:pPr>
              <w:pStyle w:val="CellHeader"/>
            </w:pPr>
            <w:r w:rsidRPr="00A8412B">
              <w:t>Indeks 2014/2013</w:t>
            </w:r>
          </w:p>
        </w:tc>
      </w:tr>
      <w:tr w:rsidR="00D849AA">
        <w:trPr>
          <w:jc w:val="center"/>
        </w:trPr>
        <w:tc>
          <w:tcPr>
            <w:tcW w:w="1486" w:type="dxa"/>
          </w:tcPr>
          <w:p w:rsidR="00D849AA" w:rsidRPr="00A8412B" w:rsidRDefault="00EE6D95">
            <w:pPr>
              <w:pStyle w:val="CellColumn"/>
            </w:pPr>
            <w:r w:rsidRPr="00A8412B">
              <w:t>2113</w:t>
            </w:r>
          </w:p>
        </w:tc>
        <w:tc>
          <w:tcPr>
            <w:tcW w:w="1486" w:type="dxa"/>
          </w:tcPr>
          <w:p w:rsidR="00D849AA" w:rsidRPr="00A8412B" w:rsidRDefault="00EE6D95">
            <w:pPr>
              <w:rPr>
                <w:rFonts w:ascii="Arial" w:hAnsi="Arial" w:cs="Arial"/>
              </w:rPr>
            </w:pPr>
            <w:r w:rsidRPr="00A8412B">
              <w:rPr>
                <w:rFonts w:ascii="Arial" w:hAnsi="Arial" w:cs="Arial"/>
              </w:rPr>
              <w:t>1.979.000</w:t>
            </w:r>
          </w:p>
        </w:tc>
        <w:tc>
          <w:tcPr>
            <w:tcW w:w="1486" w:type="dxa"/>
          </w:tcPr>
          <w:p w:rsidR="00D849AA" w:rsidRPr="00A8412B" w:rsidRDefault="00EE6D95">
            <w:pPr>
              <w:rPr>
                <w:rFonts w:ascii="Arial" w:hAnsi="Arial" w:cs="Arial"/>
              </w:rPr>
            </w:pPr>
            <w:r w:rsidRPr="00A8412B">
              <w:rPr>
                <w:rFonts w:ascii="Arial" w:hAnsi="Arial" w:cs="Arial"/>
              </w:rPr>
              <w:t>6.080.640</w:t>
            </w:r>
          </w:p>
        </w:tc>
        <w:tc>
          <w:tcPr>
            <w:tcW w:w="1486" w:type="dxa"/>
          </w:tcPr>
          <w:p w:rsidR="00D849AA" w:rsidRPr="00A8412B" w:rsidRDefault="00EE6D95">
            <w:pPr>
              <w:rPr>
                <w:rFonts w:ascii="Arial" w:hAnsi="Arial" w:cs="Arial"/>
              </w:rPr>
            </w:pPr>
            <w:r w:rsidRPr="00A8412B">
              <w:rPr>
                <w:rFonts w:ascii="Arial" w:hAnsi="Arial" w:cs="Arial"/>
              </w:rPr>
              <w:t>3.700.113</w:t>
            </w:r>
          </w:p>
        </w:tc>
        <w:tc>
          <w:tcPr>
            <w:tcW w:w="1486" w:type="dxa"/>
          </w:tcPr>
          <w:p w:rsidR="00D849AA" w:rsidRPr="00A8412B" w:rsidRDefault="00EE6D95">
            <w:pPr>
              <w:rPr>
                <w:rFonts w:ascii="Arial" w:hAnsi="Arial" w:cs="Arial"/>
              </w:rPr>
            </w:pPr>
            <w:r w:rsidRPr="00A8412B">
              <w:rPr>
                <w:rFonts w:ascii="Arial" w:hAnsi="Arial" w:cs="Arial"/>
              </w:rPr>
              <w:t>2.022.400</w:t>
            </w:r>
          </w:p>
        </w:tc>
        <w:tc>
          <w:tcPr>
            <w:tcW w:w="1486" w:type="dxa"/>
          </w:tcPr>
          <w:p w:rsidR="00D849AA" w:rsidRPr="00A8412B" w:rsidRDefault="00EE6D95">
            <w:pPr>
              <w:rPr>
                <w:rFonts w:ascii="Arial" w:hAnsi="Arial" w:cs="Arial"/>
              </w:rPr>
            </w:pPr>
            <w:r w:rsidRPr="00A8412B">
              <w:rPr>
                <w:rFonts w:ascii="Arial" w:hAnsi="Arial" w:cs="Arial"/>
              </w:rPr>
              <w:t>307,2</w:t>
            </w:r>
          </w:p>
        </w:tc>
      </w:tr>
    </w:tbl>
    <w:p w:rsidR="00D849AA" w:rsidRDefault="00D849AA">
      <w:pPr>
        <w:jc w:val="left"/>
      </w:pPr>
    </w:p>
    <w:p w:rsidR="00D849AA" w:rsidRDefault="00EE6D95">
      <w:pPr>
        <w:pStyle w:val="Naslov6"/>
      </w:pPr>
      <w:r>
        <w:t>Opis programa</w:t>
      </w:r>
    </w:p>
    <w:p w:rsidR="00D849AA" w:rsidRDefault="00EE6D95">
      <w:pPr>
        <w:pStyle w:val="Normal5"/>
      </w:pPr>
      <w:r>
        <w:t xml:space="preserve">Dosadašnja istraživanja i statistički pokazatelji upućuju na činjenicu da spolna diskriminacija još uvijek postoji u različitim područjima privatnog i javnog života, da nisu uklonjeni određeni tradicionalni rodni stereotipi i predrasude te da se nedovoljno sankcionira kršenje odredbi zakona koji reguliraju ovo područje. Nadalje, istraživanja pokazuju da iako svijest građana o neravnopravnosti spolova raste, javnost još uvijek ne prepoznaje diskriminaciju u mnogim područjima javnog i privatnog života, osobito na području tržišta rada, političkom djelovanju  i obiteljskim odnosima, a tek manji broj građana zna da postoje zakoni kojima se mogu zaštiti od diskriminacije na osnovu spola.   </w:t>
      </w:r>
    </w:p>
    <w:p w:rsidR="00D849AA" w:rsidRDefault="00EE6D95">
      <w:pPr>
        <w:pStyle w:val="Normal5"/>
      </w:pPr>
      <w:r>
        <w:t xml:space="preserve">Iako Ured za ravnopravnost spolova kontinuirano provodi niz aktivnosti kojima se utječe na prepoznavanje neravnopravnosti, jača svijest građana o potrebi uklanjanja stereotipa i utjecanja na stvaranje jednakih mogućnosti u društvu, u narednom će periodu naglasak biti na kontinuiranom podizanju razine informiranosti građana o Zakonu o ravnopravnosti spolova i mehanizmima zaštite građana od diskriminacije kroz okrugle stolove, seminare, javne kampanje, tiskanje i distribuciju relevantnih publikacija te ciljane projekte u suradnji s udrugama.    </w:t>
      </w:r>
    </w:p>
    <w:p w:rsidR="00D849AA" w:rsidRDefault="00EE6D95">
      <w:pPr>
        <w:pStyle w:val="Normal5"/>
      </w:pPr>
      <w:r>
        <w:t xml:space="preserve">Ured je zadužen za izradu i praćenje provedbe mjera Nacionalne politike za ravnopravnost spolova te će u tom smislu biti potrebno surađivati s nositeljima mjera, provesti određena znanstvena istraživanja i procijeniti utjecaj predmetnog strateškog dokumenta.   </w:t>
      </w:r>
    </w:p>
    <w:p w:rsidR="00D849AA" w:rsidRDefault="00EE6D95">
      <w:pPr>
        <w:pStyle w:val="Normal5"/>
      </w:pPr>
      <w:r>
        <w:t xml:space="preserve">Budući da je Ured nositelj i sunositelj niza mjera navedenih u drugim nacionalnim strategijama i programima (primjerice Nacionalna strategija izjednačavanja mogućnosti za osobe s invaliditetom 2007.-2015., Nacionalna strategija zaštite od nasilja u obitelji 2011.-2016., Nacionalni program zaštite i promicanja ljudskih prava  Nacionalna populacijska politika) potrebno je zasebno planirati određeni broj aktivnosti kojima se provode navedene </w:t>
      </w:r>
      <w:r>
        <w:lastRenderedPageBreak/>
        <w:t xml:space="preserve">mjere. Osobitu pozornost u narednom periodu Ured će usmjeriti na realizaciju Nacionalne strategije zaštite od nasilja u obitelji za razdoblje od 2011. do 2016. godine. </w:t>
      </w:r>
    </w:p>
    <w:p w:rsidR="00D849AA" w:rsidRDefault="00EE6D95">
      <w:pPr>
        <w:pStyle w:val="Normal5"/>
      </w:pPr>
      <w:r>
        <w:t>Premda su mnoge mjere Nacionalne politike za promicanje ravnopravnosti spolova usklađene s obvezama koje proizlaze iz međunarodnih sporazuma, čitav niz aktivnosti potrebno je zasebno planirati u cilju ostvarenja ciljeva Europske komisije, Europskog parlamenta i Vijeća EU. Sudjelovanjem u različitim radnim tijelima i odborima, Ured je preuzeo obvezu aktivnog doprinosa politici ravnopravnosti spolova u Europskoj uniji te je potrebno planirati niz aktivnosti povezanih s ovim obvezama.</w:t>
      </w:r>
    </w:p>
    <w:p w:rsidR="00D849AA" w:rsidRDefault="00EE6D95">
      <w:pPr>
        <w:pStyle w:val="Naslov6"/>
      </w:pPr>
      <w:r>
        <w:t>Zakonske i druge pravne osnove</w:t>
      </w:r>
    </w:p>
    <w:p w:rsidR="00D849AA" w:rsidRDefault="00EE6D95">
      <w:pPr>
        <w:pStyle w:val="Normal5"/>
      </w:pPr>
      <w:r>
        <w:t xml:space="preserve">Zakonom o ravnopravnosti  spolova (NN 82/08), člankom 18. definiran je djelokrug i zadaće Ureda za ravnopravnost spolova i sva područja zabrane diskriminacije na osnovi spola te način uklanjanja postojećih nejednakosti na tržištu rada, obrazovanju, medijima itd. te se definiraju obveze različitih dionika u cilju uklanjanja diskriminacije.  </w:t>
      </w:r>
    </w:p>
    <w:p w:rsidR="00D849AA" w:rsidRDefault="00EE6D95">
      <w:pPr>
        <w:pStyle w:val="Normal5"/>
      </w:pPr>
      <w:r>
        <w:t>U narednom periodu očekuje se i provedba mjera Nacionalne politike za ravnopravnost  spolova za razdoblje od 2011. do 2015. godine kojom se doprinosi uklanjanju još uvijek prisutne diskriminacije u području ljudskih prava žena, obrazovanju, tržištu rada, u procesima odlučivanja i zdravstvenoj zaštiti. U cilju podrške realizaciji mjera kojima se utječe na promjene u navedenim kritičnim područjima biti će potrebno dodatno ojačati nacionalne mehanizme za ravnopravnost  spolova na nacionalnoj (Ured za ravnopravnost spolova i koordinatore/ice za ravnopravnost spolova u tijelima državne uprave) i lokalnim razinama (županijska povjerenstva za ravnopravnost spolova).   Edukacija o ravnopravnosti spolova bit će nužan preduvjet učinkovite provedbe antidiskriminacijskog zakonodavstva i nacionalne strategije.</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Cilj 1. Uklanjanje spolne diskriminacije i stvaranje uvjeta za stvarnu ravnopravnost muškaraca i žena u društvu</w:t>
      </w:r>
    </w:p>
    <w:p w:rsidR="00D849AA" w:rsidRDefault="00EE6D95">
      <w:pPr>
        <w:pStyle w:val="Normal6"/>
      </w:pPr>
      <w:r>
        <w:t>Ovaj cilj bit će moguće postići dugoročno kroz osvještavanje javnosti o još uvijek prisutnim stereotipima, predrasudama, oblicima diskriminacije i zakonskim mehanizmima zaštite te jačanjem svijesti o potrebi utjecaja na promjene, kroz podizanje razine znanja i stručnosti djelatnika/ca državne uprave i sudstva u primjeni odredbi antidiskriminacijskog zakonodavstva te unaprjeđivanjem sustava prikupljanja podataka i nadzora nad provedbom nacionalnih i velikog broja međunarodnih obveza.</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rsidRPr="00A8412B">
        <w:trPr>
          <w:jc w:val="center"/>
        </w:trPr>
        <w:tc>
          <w:tcPr>
            <w:tcW w:w="2229" w:type="dxa"/>
            <w:shd w:val="clear" w:color="auto" w:fill="B5C0D8"/>
          </w:tcPr>
          <w:p w:rsidR="00D849AA" w:rsidRPr="00A8412B" w:rsidRDefault="00EE6D95">
            <w:pPr>
              <w:rPr>
                <w:rFonts w:ascii="Arial" w:hAnsi="Arial" w:cs="Arial"/>
              </w:rPr>
            </w:pPr>
            <w:r w:rsidRPr="00A8412B">
              <w:rPr>
                <w:rFonts w:ascii="Arial" w:hAnsi="Arial" w:cs="Arial"/>
              </w:rPr>
              <w:t>Pokazatelj učinka</w:t>
            </w:r>
          </w:p>
        </w:tc>
        <w:tc>
          <w:tcPr>
            <w:tcW w:w="1114" w:type="dxa"/>
            <w:shd w:val="clear" w:color="auto" w:fill="B5C0D8"/>
          </w:tcPr>
          <w:p w:rsidR="00D849AA" w:rsidRPr="00A8412B" w:rsidRDefault="00EE6D95">
            <w:pPr>
              <w:pStyle w:val="CellHeader"/>
            </w:pPr>
            <w:r w:rsidRPr="00A8412B">
              <w:t>Jedinica</w:t>
            </w:r>
          </w:p>
        </w:tc>
        <w:tc>
          <w:tcPr>
            <w:tcW w:w="1114" w:type="dxa"/>
            <w:shd w:val="clear" w:color="auto" w:fill="B5C0D8"/>
          </w:tcPr>
          <w:p w:rsidR="00D849AA" w:rsidRPr="00A8412B" w:rsidRDefault="00EE6D95">
            <w:pPr>
              <w:pStyle w:val="CellHeader"/>
            </w:pPr>
            <w:r w:rsidRPr="00A8412B">
              <w:t>Polazna vrijednost</w:t>
            </w:r>
          </w:p>
        </w:tc>
        <w:tc>
          <w:tcPr>
            <w:tcW w:w="1486" w:type="dxa"/>
            <w:shd w:val="clear" w:color="auto" w:fill="B5C0D8"/>
          </w:tcPr>
          <w:p w:rsidR="00D849AA" w:rsidRPr="00A8412B" w:rsidRDefault="00EE6D95">
            <w:pPr>
              <w:pStyle w:val="CellHeader"/>
            </w:pPr>
            <w:r w:rsidRPr="00A8412B">
              <w:t>Ciljana vrijednost (2014.)</w:t>
            </w:r>
          </w:p>
        </w:tc>
        <w:tc>
          <w:tcPr>
            <w:tcW w:w="1486" w:type="dxa"/>
            <w:shd w:val="clear" w:color="auto" w:fill="B5C0D8"/>
          </w:tcPr>
          <w:p w:rsidR="00D849AA" w:rsidRPr="00A8412B" w:rsidRDefault="00EE6D95">
            <w:pPr>
              <w:pStyle w:val="CellHeader"/>
            </w:pPr>
            <w:r w:rsidRPr="00A8412B">
              <w:t>Ciljana vrijednost (2015.)</w:t>
            </w:r>
          </w:p>
        </w:tc>
        <w:tc>
          <w:tcPr>
            <w:tcW w:w="1486" w:type="dxa"/>
            <w:shd w:val="clear" w:color="auto" w:fill="B5C0D8"/>
          </w:tcPr>
          <w:p w:rsidR="00D849AA" w:rsidRPr="00A8412B" w:rsidRDefault="00EE6D95">
            <w:pPr>
              <w:pStyle w:val="CellHeader"/>
            </w:pPr>
            <w:r w:rsidRPr="00A8412B">
              <w:t>Ciljana vrijednost (2016.)</w:t>
            </w:r>
          </w:p>
        </w:tc>
      </w:tr>
      <w:tr w:rsidR="00D849AA" w:rsidRPr="00A8412B">
        <w:trPr>
          <w:jc w:val="center"/>
        </w:trPr>
        <w:tc>
          <w:tcPr>
            <w:tcW w:w="2229" w:type="dxa"/>
          </w:tcPr>
          <w:p w:rsidR="00D849AA" w:rsidRPr="00A8412B" w:rsidRDefault="00EE6D95">
            <w:pPr>
              <w:pStyle w:val="CellColumn"/>
            </w:pPr>
            <w:r w:rsidRPr="00A8412B">
              <w:t>Javnost percipira napredak u ravnopravnosti spolova i zaštiti od diskriminacije temeljem spola</w:t>
            </w:r>
          </w:p>
        </w:tc>
        <w:tc>
          <w:tcPr>
            <w:tcW w:w="1114" w:type="dxa"/>
          </w:tcPr>
          <w:p w:rsidR="00D849AA" w:rsidRPr="00A8412B" w:rsidRDefault="00EE6D95">
            <w:pPr>
              <w:rPr>
                <w:rFonts w:ascii="Arial" w:hAnsi="Arial" w:cs="Arial"/>
              </w:rPr>
            </w:pPr>
            <w:r w:rsidRPr="00A8412B">
              <w:rPr>
                <w:rFonts w:ascii="Arial" w:hAnsi="Arial" w:cs="Arial"/>
              </w:rPr>
              <w:t>%</w:t>
            </w:r>
          </w:p>
        </w:tc>
        <w:tc>
          <w:tcPr>
            <w:tcW w:w="1114" w:type="dxa"/>
          </w:tcPr>
          <w:p w:rsidR="00D849AA" w:rsidRPr="00A8412B" w:rsidRDefault="00EE6D95">
            <w:pPr>
              <w:rPr>
                <w:rFonts w:ascii="Arial" w:hAnsi="Arial" w:cs="Arial"/>
              </w:rPr>
            </w:pPr>
            <w:r w:rsidRPr="00A8412B">
              <w:rPr>
                <w:rFonts w:ascii="Arial" w:hAnsi="Arial" w:cs="Arial"/>
              </w:rPr>
              <w:t>62</w:t>
            </w:r>
          </w:p>
        </w:tc>
        <w:tc>
          <w:tcPr>
            <w:tcW w:w="1486" w:type="dxa"/>
          </w:tcPr>
          <w:p w:rsidR="00D849AA" w:rsidRPr="00A8412B" w:rsidRDefault="00EE6D95">
            <w:pPr>
              <w:rPr>
                <w:rFonts w:ascii="Arial" w:hAnsi="Arial" w:cs="Arial"/>
              </w:rPr>
            </w:pPr>
            <w:r w:rsidRPr="00A8412B">
              <w:rPr>
                <w:rFonts w:ascii="Arial" w:hAnsi="Arial" w:cs="Arial"/>
              </w:rPr>
              <w:t>65</w:t>
            </w:r>
          </w:p>
        </w:tc>
        <w:tc>
          <w:tcPr>
            <w:tcW w:w="1486" w:type="dxa"/>
          </w:tcPr>
          <w:p w:rsidR="00D849AA" w:rsidRPr="00A8412B" w:rsidRDefault="00EE6D95">
            <w:pPr>
              <w:rPr>
                <w:rFonts w:ascii="Arial" w:hAnsi="Arial" w:cs="Arial"/>
              </w:rPr>
            </w:pPr>
            <w:r w:rsidRPr="00A8412B">
              <w:rPr>
                <w:rFonts w:ascii="Arial" w:hAnsi="Arial" w:cs="Arial"/>
              </w:rPr>
              <w:t>70</w:t>
            </w:r>
          </w:p>
        </w:tc>
        <w:tc>
          <w:tcPr>
            <w:tcW w:w="1486" w:type="dxa"/>
          </w:tcPr>
          <w:p w:rsidR="00D849AA" w:rsidRPr="00A8412B" w:rsidRDefault="00EE6D95">
            <w:pPr>
              <w:rPr>
                <w:rFonts w:ascii="Arial" w:hAnsi="Arial" w:cs="Arial"/>
              </w:rPr>
            </w:pPr>
            <w:r w:rsidRPr="00A8412B">
              <w:rPr>
                <w:rFonts w:ascii="Arial" w:hAnsi="Arial" w:cs="Arial"/>
              </w:rPr>
              <w:t>80</w:t>
            </w:r>
          </w:p>
        </w:tc>
      </w:tr>
    </w:tbl>
    <w:p w:rsidR="00D849AA" w:rsidRPr="00A8412B" w:rsidRDefault="00D849AA">
      <w:pPr>
        <w:jc w:val="left"/>
        <w:rPr>
          <w:rFonts w:ascii="Arial" w:hAnsi="Arial" w:cs="Arial"/>
        </w:rPr>
      </w:pPr>
    </w:p>
    <w:p w:rsidR="00D849AA" w:rsidRDefault="00EE6D95">
      <w:pPr>
        <w:pStyle w:val="Naslov5"/>
      </w:pPr>
      <w:r>
        <w:lastRenderedPageBreak/>
        <w:t>Procjena i ishodište potrebnih sredstava za značajnije aktivnosti/projekte</w:t>
      </w:r>
    </w:p>
    <w:p w:rsidR="00D849AA" w:rsidRDefault="00EE6D95">
      <w:pPr>
        <w:pStyle w:val="Naslov6"/>
      </w:pPr>
      <w:r>
        <w:t>A532009 PROVEDBA ZAKONA O RAVNOPRAVNOSTI SPOLOVA I NACIONALNE POLITIKE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A8412B" w:rsidRDefault="00EE6D95">
            <w:pPr>
              <w:pStyle w:val="CellHeader"/>
            </w:pPr>
            <w:r w:rsidRPr="00A8412B">
              <w:t>Naziv aktivnosti</w:t>
            </w:r>
          </w:p>
        </w:tc>
        <w:tc>
          <w:tcPr>
            <w:tcW w:w="1486" w:type="dxa"/>
            <w:shd w:val="clear" w:color="auto" w:fill="B5C0D8"/>
          </w:tcPr>
          <w:p w:rsidR="00D849AA" w:rsidRPr="00A8412B" w:rsidRDefault="00EE6D95">
            <w:pPr>
              <w:pStyle w:val="CellHeader"/>
            </w:pPr>
            <w:r w:rsidRPr="00A8412B">
              <w:t>Plan 2013.</w:t>
            </w:r>
          </w:p>
        </w:tc>
        <w:tc>
          <w:tcPr>
            <w:tcW w:w="1486" w:type="dxa"/>
            <w:shd w:val="clear" w:color="auto" w:fill="B5C0D8"/>
          </w:tcPr>
          <w:p w:rsidR="00D849AA" w:rsidRPr="00A8412B" w:rsidRDefault="00EE6D95">
            <w:pPr>
              <w:pStyle w:val="CellHeader"/>
            </w:pPr>
            <w:r w:rsidRPr="00A8412B">
              <w:t>Plan 2014.</w:t>
            </w:r>
          </w:p>
        </w:tc>
        <w:tc>
          <w:tcPr>
            <w:tcW w:w="1486" w:type="dxa"/>
            <w:shd w:val="clear" w:color="auto" w:fill="B5C0D8"/>
          </w:tcPr>
          <w:p w:rsidR="00D849AA" w:rsidRPr="00A8412B" w:rsidRDefault="00EE6D95">
            <w:pPr>
              <w:pStyle w:val="CellHeader"/>
            </w:pPr>
            <w:r w:rsidRPr="00A8412B">
              <w:t>Plan 2015.</w:t>
            </w:r>
          </w:p>
        </w:tc>
        <w:tc>
          <w:tcPr>
            <w:tcW w:w="1486" w:type="dxa"/>
            <w:shd w:val="clear" w:color="auto" w:fill="B5C0D8"/>
          </w:tcPr>
          <w:p w:rsidR="00D849AA" w:rsidRPr="00A8412B" w:rsidRDefault="00EE6D95">
            <w:pPr>
              <w:pStyle w:val="CellHeader"/>
            </w:pPr>
            <w:r w:rsidRPr="00A8412B">
              <w:t>Plan 2016.</w:t>
            </w:r>
          </w:p>
        </w:tc>
        <w:tc>
          <w:tcPr>
            <w:tcW w:w="1486" w:type="dxa"/>
            <w:shd w:val="clear" w:color="auto" w:fill="B5C0D8"/>
          </w:tcPr>
          <w:p w:rsidR="00D849AA" w:rsidRPr="00A8412B" w:rsidRDefault="00EE6D95">
            <w:pPr>
              <w:pStyle w:val="CellHeader"/>
            </w:pPr>
            <w:r w:rsidRPr="00A8412B">
              <w:t>Indeks 2014/2013</w:t>
            </w:r>
          </w:p>
        </w:tc>
      </w:tr>
      <w:tr w:rsidR="00D849AA">
        <w:trPr>
          <w:jc w:val="center"/>
        </w:trPr>
        <w:tc>
          <w:tcPr>
            <w:tcW w:w="1486" w:type="dxa"/>
          </w:tcPr>
          <w:p w:rsidR="00D849AA" w:rsidRPr="00A8412B" w:rsidRDefault="00EE6D95">
            <w:pPr>
              <w:pStyle w:val="CellColumn"/>
            </w:pPr>
            <w:r w:rsidRPr="00A8412B">
              <w:t>A532009</w:t>
            </w:r>
          </w:p>
        </w:tc>
        <w:tc>
          <w:tcPr>
            <w:tcW w:w="1486" w:type="dxa"/>
          </w:tcPr>
          <w:p w:rsidR="00D849AA" w:rsidRPr="00A8412B" w:rsidRDefault="00EE6D95">
            <w:pPr>
              <w:rPr>
                <w:rFonts w:ascii="Arial" w:hAnsi="Arial" w:cs="Arial"/>
              </w:rPr>
            </w:pPr>
            <w:r w:rsidRPr="00A8412B">
              <w:rPr>
                <w:rFonts w:ascii="Arial" w:hAnsi="Arial" w:cs="Arial"/>
              </w:rPr>
              <w:t>587.700</w:t>
            </w:r>
          </w:p>
        </w:tc>
        <w:tc>
          <w:tcPr>
            <w:tcW w:w="1486" w:type="dxa"/>
          </w:tcPr>
          <w:p w:rsidR="00D849AA" w:rsidRPr="00A8412B" w:rsidRDefault="00EE6D95">
            <w:pPr>
              <w:rPr>
                <w:rFonts w:ascii="Arial" w:hAnsi="Arial" w:cs="Arial"/>
              </w:rPr>
            </w:pPr>
            <w:r w:rsidRPr="00A8412B">
              <w:rPr>
                <w:rFonts w:ascii="Arial" w:hAnsi="Arial" w:cs="Arial"/>
              </w:rPr>
              <w:t>465.000</w:t>
            </w:r>
          </w:p>
        </w:tc>
        <w:tc>
          <w:tcPr>
            <w:tcW w:w="1486" w:type="dxa"/>
          </w:tcPr>
          <w:p w:rsidR="00D849AA" w:rsidRPr="00A8412B" w:rsidRDefault="00EE6D95">
            <w:pPr>
              <w:rPr>
                <w:rFonts w:ascii="Arial" w:hAnsi="Arial" w:cs="Arial"/>
              </w:rPr>
            </w:pPr>
            <w:r w:rsidRPr="00A8412B">
              <w:rPr>
                <w:rFonts w:ascii="Arial" w:hAnsi="Arial" w:cs="Arial"/>
              </w:rPr>
              <w:t>560.000</w:t>
            </w:r>
          </w:p>
        </w:tc>
        <w:tc>
          <w:tcPr>
            <w:tcW w:w="1486" w:type="dxa"/>
          </w:tcPr>
          <w:p w:rsidR="00D849AA" w:rsidRPr="00A8412B" w:rsidRDefault="00EE6D95">
            <w:pPr>
              <w:rPr>
                <w:rFonts w:ascii="Arial" w:hAnsi="Arial" w:cs="Arial"/>
              </w:rPr>
            </w:pPr>
            <w:r w:rsidRPr="00A8412B">
              <w:rPr>
                <w:rFonts w:ascii="Arial" w:hAnsi="Arial" w:cs="Arial"/>
              </w:rPr>
              <w:t>560.000</w:t>
            </w:r>
          </w:p>
        </w:tc>
        <w:tc>
          <w:tcPr>
            <w:tcW w:w="1486" w:type="dxa"/>
          </w:tcPr>
          <w:p w:rsidR="00D849AA" w:rsidRPr="00A8412B" w:rsidRDefault="00EE6D95">
            <w:pPr>
              <w:rPr>
                <w:rFonts w:ascii="Arial" w:hAnsi="Arial" w:cs="Arial"/>
              </w:rPr>
            </w:pPr>
            <w:r w:rsidRPr="00A8412B">
              <w:rPr>
                <w:rFonts w:ascii="Arial" w:hAnsi="Arial" w:cs="Arial"/>
              </w:rPr>
              <w:t>79,1</w:t>
            </w:r>
          </w:p>
        </w:tc>
      </w:tr>
    </w:tbl>
    <w:p w:rsidR="00D849AA" w:rsidRDefault="00D849AA">
      <w:pPr>
        <w:jc w:val="left"/>
      </w:pPr>
    </w:p>
    <w:p w:rsidR="00D849AA" w:rsidRDefault="00EE6D95">
      <w:pPr>
        <w:pStyle w:val="Normal6"/>
      </w:pPr>
      <w:r>
        <w:t xml:space="preserve">Istraživanja pokazuju da iako svijest građana o neravnopravnosti spolova raste, javnost još uvijek ne prepoznaje diskriminaciju u mnogim područjima javnog i privatnog života, osobito na području tržišta rada, političkom djelovanju  i obiteljskim odnosima, a tek manji broj građana zna da postoje zakoni kojima se mogu zaštiti od diskriminacije na osnovu spola. Znanstveno istraživanje provedeno 2009. godine pokazalo je da građani/ke najviše neravnopravnosti temeljene na spolu  uočavaju u obitelji i na tržištu rada.  Tako primjerice tek niskih 35% žena smatra da žena ne treba snositi glavni teret brige o djeci, čime se potvrđuje da još nisu stvoreni uvjeti za raspodjelu obiteljskih obveza na oba spola i nisu otvorene mogućnosti za veću participaciju žena na tržištu rada i u političkom djelovanju. Nadalje, istraživanje iz 2009. godine pokazalo je da  postoji razlika u stavovima žena i muškaraca o ženama na rukovodećim pozicijama. Smanjenje razlike u stavovima muškaraca i žena o biranju žena na rukovodeće pozicije cilj je kojem se teži kroz provedbu aktivnosti osvještavanja javnosti.  </w:t>
      </w:r>
    </w:p>
    <w:p w:rsidR="00D849AA" w:rsidRDefault="00EE6D95">
      <w:pPr>
        <w:pStyle w:val="Normal6"/>
      </w:pPr>
      <w:r>
        <w:t xml:space="preserve">Iako bi broj prijava za spolnu diskriminaciju trebao ukazivati na razinu osviještenosti javnosti,  razinu poznavanja zakonskih mehanizama zaštite te povjerenje u sustav zaštite,  broj prijava za spolnu diskriminaciju na sudovima je zanemariv, a nema ni pravomoćnih presuda. S većom razinom osviještenosti i poznavanja mehanizama zaštite očekuje se da raste i broj prijava na sudovima.  </w:t>
      </w:r>
    </w:p>
    <w:p w:rsidR="00D849AA" w:rsidRDefault="00EE6D95">
      <w:pPr>
        <w:pStyle w:val="Normal6"/>
      </w:pPr>
      <w:r>
        <w:t xml:space="preserve">U narednom će periodu naglasak biti na kontinuiranom podizanju razine informiranosti građana o Zakonu o ravnopravnosti spolova, edukaciji državne uprave, i edukaciji nacionalnih mehanizama za ravnopravnost spolova o primjeni antidiskriminacijskog zakonodavstva.  </w:t>
      </w:r>
    </w:p>
    <w:p w:rsidR="00D849AA" w:rsidRDefault="00EE6D95">
      <w:pPr>
        <w:pStyle w:val="Normal6"/>
      </w:pPr>
      <w:r>
        <w:t>Ured je zadužen za izradu i praćenje provedbe mjera Nacionalne politike za ravnopravnost spolova te će u tom smislu biti potrebno izraditi izvještaje o njenoj provedbi, surađivati s nositeljima mjera te provesti evaluaciju kako bi se utvrdio utjecaj predmetnog strateškog dokumenta.  Pri tome se očekuje učinkovita provedba zaduženja svih nositelja mjera, izvještavanje o uspješnosti provedbe pojedinačnih mjera i konačna evaluacija  učinkovitosti sveukupne strategije kojom se unaprjeđuje stanje u društvu u području ravnopravnosti spolova. Tijekom 2015. godine potrebno je pripremiti izradu nove strategije za period od 2016. do 2020. godine</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462"/>
        <w:gridCol w:w="1128"/>
        <w:gridCol w:w="1486"/>
        <w:gridCol w:w="1486"/>
        <w:gridCol w:w="1486"/>
      </w:tblGrid>
      <w:tr w:rsidR="00D849AA">
        <w:trPr>
          <w:jc w:val="center"/>
        </w:trPr>
        <w:tc>
          <w:tcPr>
            <w:tcW w:w="2229" w:type="dxa"/>
            <w:shd w:val="clear" w:color="auto" w:fill="B5C0D8"/>
          </w:tcPr>
          <w:p w:rsidR="00D849AA" w:rsidRPr="00A8412B" w:rsidRDefault="00EE6D95">
            <w:pPr>
              <w:rPr>
                <w:rFonts w:ascii="Arial" w:hAnsi="Arial" w:cs="Arial"/>
              </w:rPr>
            </w:pPr>
            <w:r w:rsidRPr="00A8412B">
              <w:rPr>
                <w:rFonts w:ascii="Arial" w:hAnsi="Arial" w:cs="Arial"/>
              </w:rPr>
              <w:t>Pokazatelj rezultata</w:t>
            </w:r>
          </w:p>
        </w:tc>
        <w:tc>
          <w:tcPr>
            <w:tcW w:w="1114" w:type="dxa"/>
            <w:shd w:val="clear" w:color="auto" w:fill="B5C0D8"/>
          </w:tcPr>
          <w:p w:rsidR="00D849AA" w:rsidRPr="00A8412B" w:rsidRDefault="00EE6D95">
            <w:pPr>
              <w:pStyle w:val="CellHeader"/>
            </w:pPr>
            <w:r w:rsidRPr="00A8412B">
              <w:t>Jedinica</w:t>
            </w:r>
          </w:p>
        </w:tc>
        <w:tc>
          <w:tcPr>
            <w:tcW w:w="1114" w:type="dxa"/>
            <w:shd w:val="clear" w:color="auto" w:fill="B5C0D8"/>
          </w:tcPr>
          <w:p w:rsidR="00D849AA" w:rsidRPr="00A8412B" w:rsidRDefault="00EE6D95">
            <w:pPr>
              <w:pStyle w:val="CellHeader"/>
            </w:pPr>
            <w:r w:rsidRPr="00A8412B">
              <w:t>Polazna vrijednost</w:t>
            </w:r>
          </w:p>
        </w:tc>
        <w:tc>
          <w:tcPr>
            <w:tcW w:w="1486" w:type="dxa"/>
            <w:shd w:val="clear" w:color="auto" w:fill="B5C0D8"/>
          </w:tcPr>
          <w:p w:rsidR="00D849AA" w:rsidRPr="00A8412B" w:rsidRDefault="00EE6D95">
            <w:pPr>
              <w:pStyle w:val="CellHeader"/>
            </w:pPr>
            <w:r w:rsidRPr="00A8412B">
              <w:t>Ciljana vrijednost (2014.)</w:t>
            </w:r>
          </w:p>
        </w:tc>
        <w:tc>
          <w:tcPr>
            <w:tcW w:w="1486" w:type="dxa"/>
            <w:shd w:val="clear" w:color="auto" w:fill="B5C0D8"/>
          </w:tcPr>
          <w:p w:rsidR="00D849AA" w:rsidRPr="00A8412B" w:rsidRDefault="00EE6D95">
            <w:pPr>
              <w:pStyle w:val="CellHeader"/>
            </w:pPr>
            <w:r w:rsidRPr="00A8412B">
              <w:t>Ciljana vrijednost (2015.)</w:t>
            </w:r>
          </w:p>
        </w:tc>
        <w:tc>
          <w:tcPr>
            <w:tcW w:w="1486" w:type="dxa"/>
            <w:shd w:val="clear" w:color="auto" w:fill="B5C0D8"/>
          </w:tcPr>
          <w:p w:rsidR="00D849AA" w:rsidRPr="00A8412B" w:rsidRDefault="00EE6D95">
            <w:pPr>
              <w:pStyle w:val="CellHeader"/>
            </w:pPr>
            <w:r w:rsidRPr="00A8412B">
              <w:t>Ciljana vrijednost (2016.)</w:t>
            </w:r>
          </w:p>
        </w:tc>
      </w:tr>
      <w:tr w:rsidR="00D849AA">
        <w:trPr>
          <w:jc w:val="center"/>
        </w:trPr>
        <w:tc>
          <w:tcPr>
            <w:tcW w:w="2229" w:type="dxa"/>
          </w:tcPr>
          <w:p w:rsidR="00D849AA" w:rsidRPr="00A8412B" w:rsidRDefault="00EE6D95">
            <w:pPr>
              <w:pStyle w:val="CellColumn"/>
            </w:pPr>
            <w:r w:rsidRPr="00A8412B">
              <w:t>Veća osviještenost javnosti o spolnoj neravnopravnosti</w:t>
            </w:r>
          </w:p>
        </w:tc>
        <w:tc>
          <w:tcPr>
            <w:tcW w:w="1114" w:type="dxa"/>
          </w:tcPr>
          <w:p w:rsidR="00D849AA" w:rsidRPr="00A8412B" w:rsidRDefault="00EE6D95">
            <w:pPr>
              <w:rPr>
                <w:rFonts w:ascii="Arial" w:hAnsi="Arial" w:cs="Arial"/>
              </w:rPr>
            </w:pPr>
            <w:r w:rsidRPr="00A8412B">
              <w:rPr>
                <w:rFonts w:ascii="Arial" w:hAnsi="Arial" w:cs="Arial"/>
              </w:rPr>
              <w:t>%</w:t>
            </w:r>
          </w:p>
        </w:tc>
        <w:tc>
          <w:tcPr>
            <w:tcW w:w="1114" w:type="dxa"/>
          </w:tcPr>
          <w:p w:rsidR="00D849AA" w:rsidRPr="00A8412B" w:rsidRDefault="00EE6D95">
            <w:pPr>
              <w:rPr>
                <w:rFonts w:ascii="Arial" w:hAnsi="Arial" w:cs="Arial"/>
              </w:rPr>
            </w:pPr>
            <w:r w:rsidRPr="00A8412B">
              <w:rPr>
                <w:rFonts w:ascii="Arial" w:hAnsi="Arial" w:cs="Arial"/>
              </w:rPr>
              <w:t xml:space="preserve">a) 50% žena smatra da žena ne treba snositi </w:t>
            </w:r>
            <w:r w:rsidRPr="00A8412B">
              <w:rPr>
                <w:rFonts w:ascii="Arial" w:hAnsi="Arial" w:cs="Arial"/>
              </w:rPr>
              <w:lastRenderedPageBreak/>
              <w:t xml:space="preserve">glavni teret brige o djeci </w:t>
            </w:r>
          </w:p>
          <w:p w:rsidR="00D849AA" w:rsidRPr="00A8412B" w:rsidRDefault="00EE6D95">
            <w:pPr>
              <w:rPr>
                <w:rFonts w:ascii="Arial" w:hAnsi="Arial" w:cs="Arial"/>
              </w:rPr>
            </w:pPr>
            <w:r w:rsidRPr="00A8412B">
              <w:rPr>
                <w:rFonts w:ascii="Arial" w:hAnsi="Arial" w:cs="Arial"/>
              </w:rPr>
              <w:t xml:space="preserve"> </w:t>
            </w:r>
          </w:p>
          <w:p w:rsidR="00D849AA" w:rsidRPr="00A8412B" w:rsidRDefault="00EE6D95">
            <w:pPr>
              <w:rPr>
                <w:rFonts w:ascii="Arial" w:hAnsi="Arial" w:cs="Arial"/>
              </w:rPr>
            </w:pPr>
            <w:r w:rsidRPr="00A8412B">
              <w:rPr>
                <w:rFonts w:ascii="Arial" w:hAnsi="Arial" w:cs="Arial"/>
              </w:rPr>
              <w:t>b) smanjenje razlike u stavovima</w:t>
            </w:r>
          </w:p>
        </w:tc>
        <w:tc>
          <w:tcPr>
            <w:tcW w:w="1486" w:type="dxa"/>
          </w:tcPr>
          <w:p w:rsidR="00D849AA" w:rsidRPr="00A8412B" w:rsidRDefault="00EE6D95">
            <w:pPr>
              <w:rPr>
                <w:rFonts w:ascii="Arial" w:hAnsi="Arial" w:cs="Arial"/>
              </w:rPr>
            </w:pPr>
            <w:r w:rsidRPr="00A8412B">
              <w:rPr>
                <w:rFonts w:ascii="Arial" w:hAnsi="Arial" w:cs="Arial"/>
              </w:rPr>
              <w:lastRenderedPageBreak/>
              <w:t>a) 55%</w:t>
            </w:r>
          </w:p>
        </w:tc>
        <w:tc>
          <w:tcPr>
            <w:tcW w:w="1486" w:type="dxa"/>
          </w:tcPr>
          <w:p w:rsidR="00D849AA" w:rsidRPr="00A8412B" w:rsidRDefault="00EE6D95">
            <w:pPr>
              <w:rPr>
                <w:rFonts w:ascii="Arial" w:hAnsi="Arial" w:cs="Arial"/>
              </w:rPr>
            </w:pPr>
            <w:r w:rsidRPr="00A8412B">
              <w:rPr>
                <w:rFonts w:ascii="Arial" w:hAnsi="Arial" w:cs="Arial"/>
              </w:rPr>
              <w:t>a) 58%</w:t>
            </w:r>
          </w:p>
        </w:tc>
        <w:tc>
          <w:tcPr>
            <w:tcW w:w="1486" w:type="dxa"/>
          </w:tcPr>
          <w:p w:rsidR="00D849AA" w:rsidRPr="00A8412B" w:rsidRDefault="00EE6D95">
            <w:pPr>
              <w:rPr>
                <w:rFonts w:ascii="Arial" w:hAnsi="Arial" w:cs="Arial"/>
              </w:rPr>
            </w:pPr>
            <w:r w:rsidRPr="00A8412B">
              <w:rPr>
                <w:rFonts w:ascii="Arial" w:hAnsi="Arial" w:cs="Arial"/>
              </w:rPr>
              <w:t xml:space="preserve">a) 65% </w:t>
            </w:r>
          </w:p>
          <w:p w:rsidR="00D849AA" w:rsidRPr="00A8412B" w:rsidRDefault="00EE6D95">
            <w:pPr>
              <w:rPr>
                <w:rFonts w:ascii="Arial" w:hAnsi="Arial" w:cs="Arial"/>
              </w:rPr>
            </w:pPr>
            <w:r w:rsidRPr="00A8412B">
              <w:rPr>
                <w:rFonts w:ascii="Arial" w:hAnsi="Arial" w:cs="Arial"/>
              </w:rPr>
              <w:t xml:space="preserve">b) razlika od 3% između žena i muškaraca u stavovima o </w:t>
            </w:r>
            <w:r w:rsidRPr="00A8412B">
              <w:rPr>
                <w:rFonts w:ascii="Arial" w:hAnsi="Arial" w:cs="Arial"/>
              </w:rPr>
              <w:lastRenderedPageBreak/>
              <w:t>političkoj participaciji žena</w:t>
            </w:r>
          </w:p>
        </w:tc>
      </w:tr>
      <w:tr w:rsidR="00D849AA">
        <w:trPr>
          <w:jc w:val="center"/>
        </w:trPr>
        <w:tc>
          <w:tcPr>
            <w:tcW w:w="2229" w:type="dxa"/>
          </w:tcPr>
          <w:p w:rsidR="00D849AA" w:rsidRPr="00A8412B" w:rsidRDefault="00EE6D95">
            <w:pPr>
              <w:pStyle w:val="CellColumn"/>
            </w:pPr>
            <w:r w:rsidRPr="00A8412B">
              <w:lastRenderedPageBreak/>
              <w:t>Veći broj prijava za spolnu diskriminaciju pri nadležnim tijelima</w:t>
            </w:r>
          </w:p>
        </w:tc>
        <w:tc>
          <w:tcPr>
            <w:tcW w:w="1114" w:type="dxa"/>
          </w:tcPr>
          <w:p w:rsidR="00D849AA" w:rsidRPr="00A8412B" w:rsidRDefault="00EE6D95">
            <w:pPr>
              <w:rPr>
                <w:rFonts w:ascii="Arial" w:hAnsi="Arial" w:cs="Arial"/>
              </w:rPr>
            </w:pPr>
            <w:r w:rsidRPr="00A8412B">
              <w:rPr>
                <w:rFonts w:ascii="Arial" w:hAnsi="Arial" w:cs="Arial"/>
              </w:rPr>
              <w:t>broj</w:t>
            </w:r>
          </w:p>
        </w:tc>
        <w:tc>
          <w:tcPr>
            <w:tcW w:w="1114" w:type="dxa"/>
          </w:tcPr>
          <w:p w:rsidR="00D849AA" w:rsidRPr="00A8412B" w:rsidRDefault="00EE6D95">
            <w:pPr>
              <w:rPr>
                <w:rFonts w:ascii="Arial" w:hAnsi="Arial" w:cs="Arial"/>
              </w:rPr>
            </w:pPr>
            <w:r w:rsidRPr="00A8412B">
              <w:rPr>
                <w:rFonts w:ascii="Arial" w:hAnsi="Arial" w:cs="Arial"/>
              </w:rPr>
              <w:t>18</w:t>
            </w:r>
          </w:p>
        </w:tc>
        <w:tc>
          <w:tcPr>
            <w:tcW w:w="1486" w:type="dxa"/>
          </w:tcPr>
          <w:p w:rsidR="00D849AA" w:rsidRPr="00A8412B" w:rsidRDefault="00EE6D95">
            <w:pPr>
              <w:rPr>
                <w:rFonts w:ascii="Arial" w:hAnsi="Arial" w:cs="Arial"/>
              </w:rPr>
            </w:pPr>
            <w:r w:rsidRPr="00A8412B">
              <w:rPr>
                <w:rFonts w:ascii="Arial" w:hAnsi="Arial" w:cs="Arial"/>
              </w:rPr>
              <w:t>40</w:t>
            </w:r>
          </w:p>
        </w:tc>
        <w:tc>
          <w:tcPr>
            <w:tcW w:w="1486" w:type="dxa"/>
          </w:tcPr>
          <w:p w:rsidR="00D849AA" w:rsidRPr="00A8412B" w:rsidRDefault="00EE6D95">
            <w:pPr>
              <w:rPr>
                <w:rFonts w:ascii="Arial" w:hAnsi="Arial" w:cs="Arial"/>
              </w:rPr>
            </w:pPr>
            <w:r w:rsidRPr="00A8412B">
              <w:rPr>
                <w:rFonts w:ascii="Arial" w:hAnsi="Arial" w:cs="Arial"/>
              </w:rPr>
              <w:t>50</w:t>
            </w:r>
          </w:p>
        </w:tc>
        <w:tc>
          <w:tcPr>
            <w:tcW w:w="1486" w:type="dxa"/>
          </w:tcPr>
          <w:p w:rsidR="00D849AA" w:rsidRPr="00A8412B" w:rsidRDefault="00EE6D95">
            <w:pPr>
              <w:rPr>
                <w:rFonts w:ascii="Arial" w:hAnsi="Arial" w:cs="Arial"/>
              </w:rPr>
            </w:pPr>
            <w:r w:rsidRPr="00A8412B">
              <w:rPr>
                <w:rFonts w:ascii="Arial" w:hAnsi="Arial" w:cs="Arial"/>
              </w:rPr>
              <w:t>60</w:t>
            </w:r>
          </w:p>
        </w:tc>
      </w:tr>
      <w:tr w:rsidR="00D849AA">
        <w:trPr>
          <w:jc w:val="center"/>
        </w:trPr>
        <w:tc>
          <w:tcPr>
            <w:tcW w:w="2229" w:type="dxa"/>
          </w:tcPr>
          <w:p w:rsidR="00D849AA" w:rsidRPr="00A8412B" w:rsidRDefault="00EE6D95">
            <w:pPr>
              <w:pStyle w:val="CellColumn"/>
            </w:pPr>
            <w:r w:rsidRPr="00A8412B">
              <w:t xml:space="preserve">Učinkovitost 20 ministarstava i 20 ureda državne uprave u županijama u provedbi „Planova djelovanja za promicanje i uspostavljanje ravnopravnosti </w:t>
            </w:r>
          </w:p>
          <w:p w:rsidR="00D849AA" w:rsidRPr="00A8412B" w:rsidRDefault="00EE6D95">
            <w:pPr>
              <w:pStyle w:val="CellColumn"/>
            </w:pPr>
            <w:r w:rsidRPr="00A8412B">
              <w:t>spolova“, Zakona i Nacionalne politike za ravnopravnost spolova</w:t>
            </w:r>
          </w:p>
        </w:tc>
        <w:tc>
          <w:tcPr>
            <w:tcW w:w="1114" w:type="dxa"/>
          </w:tcPr>
          <w:p w:rsidR="00D849AA" w:rsidRPr="00A8412B" w:rsidRDefault="00EE6D95">
            <w:pPr>
              <w:rPr>
                <w:rFonts w:ascii="Arial" w:hAnsi="Arial" w:cs="Arial"/>
              </w:rPr>
            </w:pPr>
            <w:r w:rsidRPr="00A8412B">
              <w:rPr>
                <w:rFonts w:ascii="Arial" w:hAnsi="Arial" w:cs="Arial"/>
              </w:rPr>
              <w:t xml:space="preserve">Prosječni indeks izvršenja svih TDU </w:t>
            </w:r>
          </w:p>
          <w:p w:rsidR="00D849AA" w:rsidRPr="00A8412B" w:rsidRDefault="00EE6D95">
            <w:pPr>
              <w:rPr>
                <w:rFonts w:ascii="Arial" w:hAnsi="Arial" w:cs="Arial"/>
              </w:rPr>
            </w:pPr>
            <w:r w:rsidRPr="00A8412B">
              <w:rPr>
                <w:rFonts w:ascii="Arial" w:hAnsi="Arial" w:cs="Arial"/>
              </w:rPr>
              <w:t>%</w:t>
            </w:r>
          </w:p>
        </w:tc>
        <w:tc>
          <w:tcPr>
            <w:tcW w:w="1114" w:type="dxa"/>
          </w:tcPr>
          <w:p w:rsidR="00D849AA" w:rsidRPr="00A8412B" w:rsidRDefault="00EE6D95">
            <w:pPr>
              <w:rPr>
                <w:rFonts w:ascii="Arial" w:hAnsi="Arial" w:cs="Arial"/>
              </w:rPr>
            </w:pPr>
            <w:r w:rsidRPr="00A8412B">
              <w:rPr>
                <w:rFonts w:ascii="Arial" w:hAnsi="Arial" w:cs="Arial"/>
              </w:rPr>
              <w:t>30%</w:t>
            </w:r>
          </w:p>
        </w:tc>
        <w:tc>
          <w:tcPr>
            <w:tcW w:w="1486" w:type="dxa"/>
          </w:tcPr>
          <w:p w:rsidR="00D849AA" w:rsidRPr="00A8412B" w:rsidRDefault="00EE6D95">
            <w:pPr>
              <w:rPr>
                <w:rFonts w:ascii="Arial" w:hAnsi="Arial" w:cs="Arial"/>
              </w:rPr>
            </w:pPr>
            <w:r w:rsidRPr="00A8412B">
              <w:rPr>
                <w:rFonts w:ascii="Arial" w:hAnsi="Arial" w:cs="Arial"/>
              </w:rPr>
              <w:t>50%</w:t>
            </w:r>
          </w:p>
        </w:tc>
        <w:tc>
          <w:tcPr>
            <w:tcW w:w="1486" w:type="dxa"/>
          </w:tcPr>
          <w:p w:rsidR="00D849AA" w:rsidRPr="00A8412B" w:rsidRDefault="00EE6D95">
            <w:pPr>
              <w:rPr>
                <w:rFonts w:ascii="Arial" w:hAnsi="Arial" w:cs="Arial"/>
              </w:rPr>
            </w:pPr>
            <w:r w:rsidRPr="00A8412B">
              <w:rPr>
                <w:rFonts w:ascii="Arial" w:hAnsi="Arial" w:cs="Arial"/>
              </w:rPr>
              <w:t>60%</w:t>
            </w:r>
          </w:p>
        </w:tc>
        <w:tc>
          <w:tcPr>
            <w:tcW w:w="1486" w:type="dxa"/>
          </w:tcPr>
          <w:p w:rsidR="00D849AA" w:rsidRPr="00A8412B" w:rsidRDefault="00EE6D95">
            <w:pPr>
              <w:rPr>
                <w:rFonts w:ascii="Arial" w:hAnsi="Arial" w:cs="Arial"/>
              </w:rPr>
            </w:pPr>
            <w:r w:rsidRPr="00A8412B">
              <w:rPr>
                <w:rFonts w:ascii="Arial" w:hAnsi="Arial" w:cs="Arial"/>
              </w:rPr>
              <w:t>80%</w:t>
            </w:r>
          </w:p>
        </w:tc>
      </w:tr>
      <w:tr w:rsidR="00D849AA">
        <w:trPr>
          <w:jc w:val="center"/>
        </w:trPr>
        <w:tc>
          <w:tcPr>
            <w:tcW w:w="2229" w:type="dxa"/>
          </w:tcPr>
          <w:p w:rsidR="00D849AA" w:rsidRPr="00A8412B" w:rsidRDefault="00EE6D95">
            <w:pPr>
              <w:pStyle w:val="CellColumn"/>
            </w:pPr>
            <w:r w:rsidRPr="00A8412B">
              <w:t>Uspješnost 20 Županijskih povjerenstva i Povjerenstva Grada Zagreba za ravnopravnost spolova u provedbi Akcijskih planova</w:t>
            </w:r>
          </w:p>
        </w:tc>
        <w:tc>
          <w:tcPr>
            <w:tcW w:w="1114" w:type="dxa"/>
          </w:tcPr>
          <w:p w:rsidR="00D849AA" w:rsidRPr="00A8412B" w:rsidRDefault="00EE6D95">
            <w:pPr>
              <w:rPr>
                <w:rFonts w:ascii="Arial" w:hAnsi="Arial" w:cs="Arial"/>
              </w:rPr>
            </w:pPr>
            <w:r w:rsidRPr="00A8412B">
              <w:rPr>
                <w:rFonts w:ascii="Arial" w:hAnsi="Arial" w:cs="Arial"/>
              </w:rPr>
              <w:t>broj uspješnih povjerenstava</w:t>
            </w:r>
          </w:p>
        </w:tc>
        <w:tc>
          <w:tcPr>
            <w:tcW w:w="1114" w:type="dxa"/>
          </w:tcPr>
          <w:p w:rsidR="00D849AA" w:rsidRPr="00A8412B" w:rsidRDefault="00EE6D95">
            <w:pPr>
              <w:rPr>
                <w:rFonts w:ascii="Arial" w:hAnsi="Arial" w:cs="Arial"/>
              </w:rPr>
            </w:pPr>
            <w:r w:rsidRPr="00A8412B">
              <w:rPr>
                <w:rFonts w:ascii="Arial" w:hAnsi="Arial" w:cs="Arial"/>
              </w:rPr>
              <w:t>3</w:t>
            </w:r>
          </w:p>
        </w:tc>
        <w:tc>
          <w:tcPr>
            <w:tcW w:w="1486" w:type="dxa"/>
          </w:tcPr>
          <w:p w:rsidR="00D849AA" w:rsidRPr="00A8412B" w:rsidRDefault="00EE6D95">
            <w:pPr>
              <w:rPr>
                <w:rFonts w:ascii="Arial" w:hAnsi="Arial" w:cs="Arial"/>
              </w:rPr>
            </w:pPr>
            <w:r w:rsidRPr="00A8412B">
              <w:rPr>
                <w:rFonts w:ascii="Arial" w:hAnsi="Arial" w:cs="Arial"/>
              </w:rPr>
              <w:t>6</w:t>
            </w:r>
          </w:p>
        </w:tc>
        <w:tc>
          <w:tcPr>
            <w:tcW w:w="1486" w:type="dxa"/>
          </w:tcPr>
          <w:p w:rsidR="00D849AA" w:rsidRPr="00A8412B" w:rsidRDefault="00EE6D95">
            <w:pPr>
              <w:rPr>
                <w:rFonts w:ascii="Arial" w:hAnsi="Arial" w:cs="Arial"/>
              </w:rPr>
            </w:pPr>
            <w:r w:rsidRPr="00A8412B">
              <w:rPr>
                <w:rFonts w:ascii="Arial" w:hAnsi="Arial" w:cs="Arial"/>
              </w:rPr>
              <w:t>12</w:t>
            </w:r>
          </w:p>
        </w:tc>
        <w:tc>
          <w:tcPr>
            <w:tcW w:w="1486" w:type="dxa"/>
          </w:tcPr>
          <w:p w:rsidR="00D849AA" w:rsidRPr="00A8412B" w:rsidRDefault="00EE6D95">
            <w:pPr>
              <w:rPr>
                <w:rFonts w:ascii="Arial" w:hAnsi="Arial" w:cs="Arial"/>
              </w:rPr>
            </w:pPr>
            <w:r w:rsidRPr="00A8412B">
              <w:rPr>
                <w:rFonts w:ascii="Arial" w:hAnsi="Arial" w:cs="Arial"/>
              </w:rPr>
              <w:t>17</w:t>
            </w:r>
          </w:p>
        </w:tc>
      </w:tr>
    </w:tbl>
    <w:p w:rsidR="00D849AA" w:rsidRDefault="00D849AA">
      <w:pPr>
        <w:jc w:val="left"/>
      </w:pPr>
    </w:p>
    <w:p w:rsidR="00D849AA" w:rsidRDefault="00EE6D95">
      <w:pPr>
        <w:pStyle w:val="Naslov6"/>
      </w:pPr>
      <w:r>
        <w:t>A532012 PROVEDBA PROGRAMA ZAJEDNICE PROGRESS</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A8412B" w:rsidRDefault="00EE6D95">
            <w:pPr>
              <w:pStyle w:val="CellHeader"/>
            </w:pPr>
            <w:r w:rsidRPr="00A8412B">
              <w:t>Naziv aktivnosti</w:t>
            </w:r>
          </w:p>
        </w:tc>
        <w:tc>
          <w:tcPr>
            <w:tcW w:w="1486" w:type="dxa"/>
            <w:shd w:val="clear" w:color="auto" w:fill="B5C0D8"/>
          </w:tcPr>
          <w:p w:rsidR="00D849AA" w:rsidRPr="00A8412B" w:rsidRDefault="00EE6D95">
            <w:pPr>
              <w:pStyle w:val="CellHeader"/>
            </w:pPr>
            <w:r w:rsidRPr="00A8412B">
              <w:t>Plan 2013.</w:t>
            </w:r>
          </w:p>
        </w:tc>
        <w:tc>
          <w:tcPr>
            <w:tcW w:w="1486" w:type="dxa"/>
            <w:shd w:val="clear" w:color="auto" w:fill="B5C0D8"/>
          </w:tcPr>
          <w:p w:rsidR="00D849AA" w:rsidRPr="00A8412B" w:rsidRDefault="00EE6D95">
            <w:pPr>
              <w:pStyle w:val="CellHeader"/>
            </w:pPr>
            <w:r w:rsidRPr="00A8412B">
              <w:t>Plan 2014.</w:t>
            </w:r>
          </w:p>
        </w:tc>
        <w:tc>
          <w:tcPr>
            <w:tcW w:w="1486" w:type="dxa"/>
            <w:shd w:val="clear" w:color="auto" w:fill="B5C0D8"/>
          </w:tcPr>
          <w:p w:rsidR="00D849AA" w:rsidRPr="00A8412B" w:rsidRDefault="00EE6D95">
            <w:pPr>
              <w:pStyle w:val="CellHeader"/>
            </w:pPr>
            <w:r w:rsidRPr="00A8412B">
              <w:t>Plan 2015.</w:t>
            </w:r>
          </w:p>
        </w:tc>
        <w:tc>
          <w:tcPr>
            <w:tcW w:w="1486" w:type="dxa"/>
            <w:shd w:val="clear" w:color="auto" w:fill="B5C0D8"/>
          </w:tcPr>
          <w:p w:rsidR="00D849AA" w:rsidRPr="00A8412B" w:rsidRDefault="00EE6D95">
            <w:pPr>
              <w:pStyle w:val="CellHeader"/>
            </w:pPr>
            <w:r w:rsidRPr="00A8412B">
              <w:t>Plan 2016.</w:t>
            </w:r>
          </w:p>
        </w:tc>
        <w:tc>
          <w:tcPr>
            <w:tcW w:w="1486" w:type="dxa"/>
            <w:shd w:val="clear" w:color="auto" w:fill="B5C0D8"/>
          </w:tcPr>
          <w:p w:rsidR="00D849AA" w:rsidRPr="00A8412B" w:rsidRDefault="00EE6D95">
            <w:pPr>
              <w:pStyle w:val="CellHeader"/>
            </w:pPr>
            <w:r w:rsidRPr="00A8412B">
              <w:t>Indeks 2014/2013</w:t>
            </w:r>
          </w:p>
        </w:tc>
      </w:tr>
      <w:tr w:rsidR="00D849AA">
        <w:trPr>
          <w:jc w:val="center"/>
        </w:trPr>
        <w:tc>
          <w:tcPr>
            <w:tcW w:w="1486" w:type="dxa"/>
          </w:tcPr>
          <w:p w:rsidR="00D849AA" w:rsidRPr="00A8412B" w:rsidRDefault="00EE6D95">
            <w:pPr>
              <w:pStyle w:val="CellColumn"/>
            </w:pPr>
            <w:r w:rsidRPr="00A8412B">
              <w:t>A532012</w:t>
            </w:r>
          </w:p>
        </w:tc>
        <w:tc>
          <w:tcPr>
            <w:tcW w:w="1486" w:type="dxa"/>
          </w:tcPr>
          <w:p w:rsidR="00D849AA" w:rsidRPr="00A8412B" w:rsidRDefault="00EE6D95">
            <w:pPr>
              <w:rPr>
                <w:rFonts w:ascii="Arial" w:hAnsi="Arial" w:cs="Arial"/>
              </w:rPr>
            </w:pPr>
            <w:r w:rsidRPr="00A8412B">
              <w:rPr>
                <w:rFonts w:ascii="Arial" w:hAnsi="Arial" w:cs="Arial"/>
              </w:rPr>
              <w:t>10.000</w:t>
            </w:r>
          </w:p>
        </w:tc>
        <w:tc>
          <w:tcPr>
            <w:tcW w:w="1486" w:type="dxa"/>
          </w:tcPr>
          <w:p w:rsidR="00D849AA" w:rsidRPr="00A8412B" w:rsidRDefault="00EE6D95">
            <w:pPr>
              <w:rPr>
                <w:rFonts w:ascii="Arial" w:hAnsi="Arial" w:cs="Arial"/>
              </w:rPr>
            </w:pPr>
            <w:r w:rsidRPr="00A8412B">
              <w:rPr>
                <w:rFonts w:ascii="Arial" w:hAnsi="Arial" w:cs="Arial"/>
              </w:rPr>
              <w:t>801.740</w:t>
            </w:r>
          </w:p>
        </w:tc>
        <w:tc>
          <w:tcPr>
            <w:tcW w:w="1486" w:type="dxa"/>
          </w:tcPr>
          <w:p w:rsidR="00D849AA" w:rsidRPr="00A8412B" w:rsidRDefault="00EE6D95">
            <w:pPr>
              <w:rPr>
                <w:rFonts w:ascii="Arial" w:hAnsi="Arial" w:cs="Arial"/>
              </w:rPr>
            </w:pPr>
            <w:r w:rsidRPr="00A8412B">
              <w:rPr>
                <w:rFonts w:ascii="Arial" w:hAnsi="Arial" w:cs="Arial"/>
              </w:rPr>
              <w:t>543.713</w:t>
            </w:r>
          </w:p>
        </w:tc>
        <w:tc>
          <w:tcPr>
            <w:tcW w:w="1486" w:type="dxa"/>
          </w:tcPr>
          <w:p w:rsidR="00D849AA" w:rsidRPr="00A8412B" w:rsidRDefault="00EE6D95">
            <w:pPr>
              <w:rPr>
                <w:rFonts w:ascii="Arial" w:hAnsi="Arial" w:cs="Arial"/>
              </w:rPr>
            </w:pPr>
            <w:r w:rsidRPr="00A8412B">
              <w:rPr>
                <w:rFonts w:ascii="Arial" w:hAnsi="Arial" w:cs="Arial"/>
              </w:rPr>
              <w:t>10.000</w:t>
            </w:r>
          </w:p>
        </w:tc>
        <w:tc>
          <w:tcPr>
            <w:tcW w:w="1486" w:type="dxa"/>
          </w:tcPr>
          <w:p w:rsidR="00D849AA" w:rsidRPr="00A8412B" w:rsidRDefault="00EE6D95">
            <w:pPr>
              <w:rPr>
                <w:rFonts w:ascii="Arial" w:hAnsi="Arial" w:cs="Arial"/>
              </w:rPr>
            </w:pPr>
            <w:r w:rsidRPr="00A8412B">
              <w:rPr>
                <w:rFonts w:ascii="Arial" w:hAnsi="Arial" w:cs="Arial"/>
              </w:rPr>
              <w:t>8017,4</w:t>
            </w:r>
          </w:p>
        </w:tc>
      </w:tr>
    </w:tbl>
    <w:p w:rsidR="00D849AA" w:rsidRDefault="00D849AA">
      <w:pPr>
        <w:jc w:val="left"/>
      </w:pPr>
    </w:p>
    <w:p w:rsidR="00D849AA" w:rsidRDefault="00EE6D95">
      <w:pPr>
        <w:pStyle w:val="Normal6"/>
      </w:pPr>
      <w:r>
        <w:t>Ured je aplicirao na raspisani natječaj Europske komisije projektom pod naslovom „Moj glas protiv nasilja“ kojem je cilj suzbijanje nasilja nad ženama s posebnim naglaskom na seksualno nasilje i nasilje u vezama mladih. Trajanje projekta je 24 mjeseca, a uz Ured za ravnopravnost spolova u projektu sudjeluju kao partneri dvije udruge. U sklopu projekta provest će se čitav niz aktivnosti osvještavanja javnosti o nasilju i diskriminaciji.</w:t>
      </w:r>
    </w:p>
    <w:p w:rsidR="00A8412B" w:rsidRDefault="00A8412B">
      <w:pPr>
        <w:pStyle w:val="Normal6"/>
      </w:pPr>
    </w:p>
    <w:p w:rsidR="00D849AA" w:rsidRDefault="00EE6D95">
      <w:pPr>
        <w:pStyle w:val="Naslov6"/>
      </w:pPr>
      <w:r>
        <w:lastRenderedPageBreak/>
        <w:t>A532017 JAČANJE KAPACITETA ZA USPOSTAVLJANJE RAVNOPRAVNOSTI SPOLOVA - TRANSITION FACILITY INSTRUMENT EU POMOĆI</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A8412B" w:rsidRDefault="00EE6D95">
            <w:pPr>
              <w:pStyle w:val="CellHeader"/>
            </w:pPr>
            <w:r w:rsidRPr="00A8412B">
              <w:t>Naziv aktivnosti</w:t>
            </w:r>
          </w:p>
        </w:tc>
        <w:tc>
          <w:tcPr>
            <w:tcW w:w="1486" w:type="dxa"/>
            <w:shd w:val="clear" w:color="auto" w:fill="B5C0D8"/>
          </w:tcPr>
          <w:p w:rsidR="00D849AA" w:rsidRPr="00A8412B" w:rsidRDefault="00EE6D95">
            <w:pPr>
              <w:pStyle w:val="CellHeader"/>
            </w:pPr>
            <w:r w:rsidRPr="00A8412B">
              <w:t>Plan 2013.</w:t>
            </w:r>
          </w:p>
        </w:tc>
        <w:tc>
          <w:tcPr>
            <w:tcW w:w="1486" w:type="dxa"/>
            <w:shd w:val="clear" w:color="auto" w:fill="B5C0D8"/>
          </w:tcPr>
          <w:p w:rsidR="00D849AA" w:rsidRPr="00A8412B" w:rsidRDefault="00EE6D95">
            <w:pPr>
              <w:pStyle w:val="CellHeader"/>
            </w:pPr>
            <w:r w:rsidRPr="00A8412B">
              <w:t>Plan 2014.</w:t>
            </w:r>
          </w:p>
        </w:tc>
        <w:tc>
          <w:tcPr>
            <w:tcW w:w="1486" w:type="dxa"/>
            <w:shd w:val="clear" w:color="auto" w:fill="B5C0D8"/>
          </w:tcPr>
          <w:p w:rsidR="00D849AA" w:rsidRPr="00A8412B" w:rsidRDefault="00EE6D95">
            <w:pPr>
              <w:pStyle w:val="CellHeader"/>
            </w:pPr>
            <w:r w:rsidRPr="00A8412B">
              <w:t>Plan 2015.</w:t>
            </w:r>
          </w:p>
        </w:tc>
        <w:tc>
          <w:tcPr>
            <w:tcW w:w="1486" w:type="dxa"/>
            <w:shd w:val="clear" w:color="auto" w:fill="B5C0D8"/>
          </w:tcPr>
          <w:p w:rsidR="00D849AA" w:rsidRPr="00A8412B" w:rsidRDefault="00EE6D95">
            <w:pPr>
              <w:pStyle w:val="CellHeader"/>
            </w:pPr>
            <w:r w:rsidRPr="00A8412B">
              <w:t>Plan 2016.</w:t>
            </w:r>
          </w:p>
        </w:tc>
        <w:tc>
          <w:tcPr>
            <w:tcW w:w="1486" w:type="dxa"/>
            <w:shd w:val="clear" w:color="auto" w:fill="B5C0D8"/>
          </w:tcPr>
          <w:p w:rsidR="00D849AA" w:rsidRPr="00A8412B" w:rsidRDefault="00EE6D95">
            <w:pPr>
              <w:pStyle w:val="CellHeader"/>
            </w:pPr>
            <w:r w:rsidRPr="00A8412B">
              <w:t>Indeks 2014/2013</w:t>
            </w:r>
          </w:p>
        </w:tc>
      </w:tr>
      <w:tr w:rsidR="00D849AA">
        <w:trPr>
          <w:jc w:val="center"/>
        </w:trPr>
        <w:tc>
          <w:tcPr>
            <w:tcW w:w="1486" w:type="dxa"/>
          </w:tcPr>
          <w:p w:rsidR="00D849AA" w:rsidRPr="00A8412B" w:rsidRDefault="00EE6D95">
            <w:pPr>
              <w:pStyle w:val="CellColumn"/>
            </w:pPr>
            <w:r w:rsidRPr="00A8412B">
              <w:t>A532017</w:t>
            </w:r>
          </w:p>
        </w:tc>
        <w:tc>
          <w:tcPr>
            <w:tcW w:w="1486" w:type="dxa"/>
          </w:tcPr>
          <w:p w:rsidR="00D849AA" w:rsidRPr="00A8412B" w:rsidRDefault="00EE6D95">
            <w:pPr>
              <w:rPr>
                <w:rFonts w:ascii="Arial" w:hAnsi="Arial" w:cs="Arial"/>
              </w:rPr>
            </w:pPr>
            <w:r w:rsidRPr="00A8412B">
              <w:rPr>
                <w:rFonts w:ascii="Arial" w:hAnsi="Arial" w:cs="Arial"/>
              </w:rPr>
              <w:t>00</w:t>
            </w:r>
          </w:p>
        </w:tc>
        <w:tc>
          <w:tcPr>
            <w:tcW w:w="1486" w:type="dxa"/>
          </w:tcPr>
          <w:p w:rsidR="00D849AA" w:rsidRPr="00A8412B" w:rsidRDefault="00EE6D95">
            <w:pPr>
              <w:rPr>
                <w:rFonts w:ascii="Arial" w:hAnsi="Arial" w:cs="Arial"/>
              </w:rPr>
            </w:pPr>
            <w:r w:rsidRPr="00A8412B">
              <w:rPr>
                <w:rFonts w:ascii="Arial" w:hAnsi="Arial" w:cs="Arial"/>
              </w:rPr>
              <w:t>3.352.500</w:t>
            </w:r>
          </w:p>
        </w:tc>
        <w:tc>
          <w:tcPr>
            <w:tcW w:w="1486" w:type="dxa"/>
          </w:tcPr>
          <w:p w:rsidR="00D849AA" w:rsidRPr="00A8412B" w:rsidRDefault="00EE6D95">
            <w:pPr>
              <w:rPr>
                <w:rFonts w:ascii="Arial" w:hAnsi="Arial" w:cs="Arial"/>
              </w:rPr>
            </w:pPr>
            <w:r w:rsidRPr="00A8412B">
              <w:rPr>
                <w:rFonts w:ascii="Arial" w:hAnsi="Arial" w:cs="Arial"/>
              </w:rPr>
              <w:t>1.147.500</w:t>
            </w:r>
          </w:p>
        </w:tc>
        <w:tc>
          <w:tcPr>
            <w:tcW w:w="1486" w:type="dxa"/>
          </w:tcPr>
          <w:p w:rsidR="00D849AA" w:rsidRPr="00A8412B" w:rsidRDefault="00EE6D95">
            <w:pPr>
              <w:rPr>
                <w:rFonts w:ascii="Arial" w:hAnsi="Arial" w:cs="Arial"/>
              </w:rPr>
            </w:pPr>
            <w:r w:rsidRPr="00A8412B">
              <w:rPr>
                <w:rFonts w:ascii="Arial" w:hAnsi="Arial" w:cs="Arial"/>
              </w:rPr>
              <w:t>00</w:t>
            </w:r>
          </w:p>
        </w:tc>
        <w:tc>
          <w:tcPr>
            <w:tcW w:w="1486" w:type="dxa"/>
          </w:tcPr>
          <w:p w:rsidR="00D849AA" w:rsidRPr="00A8412B" w:rsidRDefault="00EE6D95">
            <w:pPr>
              <w:rPr>
                <w:rFonts w:ascii="Arial" w:hAnsi="Arial" w:cs="Arial"/>
              </w:rPr>
            </w:pPr>
            <w:r w:rsidRPr="00A8412B">
              <w:rPr>
                <w:rFonts w:ascii="Arial" w:hAnsi="Arial" w:cs="Arial"/>
              </w:rPr>
              <w:t>0,0</w:t>
            </w:r>
          </w:p>
        </w:tc>
      </w:tr>
    </w:tbl>
    <w:p w:rsidR="00D849AA" w:rsidRDefault="00D849AA">
      <w:pPr>
        <w:jc w:val="left"/>
      </w:pPr>
    </w:p>
    <w:p w:rsidR="00D849AA" w:rsidRDefault="00EE6D95">
      <w:pPr>
        <w:pStyle w:val="Normal6"/>
      </w:pPr>
      <w:r>
        <w:t>Ured je aplicirao prema Europskoj komisiji za projekt osnaživanja i educiranja ključnih dionika za uspostavljanje ravnopravnosti spolova u okviri Prijelaznog instrumenta pomoći koji je na raspolaganju Hrvatskoj u periodu od 1.7. do 31.12. 2013. Očekuje se da se kroz projekt educira i osnaži koordinatore za ravnopravnost spolova u tijelima državne uprave, suce i sudske djelatnike, te senzibilizira političke stranke za pitanja ravnopravnosti spolova.</w:t>
      </w:r>
    </w:p>
    <w:p w:rsidR="00D849AA" w:rsidRDefault="00EE6D95">
      <w:pPr>
        <w:pStyle w:val="Naslov2"/>
      </w:pPr>
      <w:r>
        <w:t>02097 Digitalni informacijsko-dokumentacijski ured</w:t>
      </w:r>
    </w:p>
    <w:p w:rsidR="00D849AA" w:rsidRDefault="00EE6D95">
      <w:pPr>
        <w:pStyle w:val="Naslov4"/>
      </w:pPr>
      <w:r>
        <w:t>Uvod</w:t>
      </w:r>
    </w:p>
    <w:p w:rsidR="00D849AA" w:rsidRDefault="00EE6D95">
      <w:pPr>
        <w:pStyle w:val="Normal3"/>
      </w:pPr>
      <w:r>
        <w:t xml:space="preserve">Digitalni informacijsko-dokumentacijski ured je stručna služba Vlade Republike Hrvatske nadležna za obavljanje informacijsko-dokumentacijskih poslova.  </w:t>
      </w:r>
    </w:p>
    <w:p w:rsidR="00D849AA" w:rsidRDefault="00EE6D95">
      <w:pPr>
        <w:pStyle w:val="Normal3"/>
      </w:pPr>
      <w:r>
        <w:t xml:space="preserve">Ured osigurava jedinstvenu i trajnu dostupnost javnih službenih dokumenata i informacija Republike Hrvatske radi informiranja i ponovne uporabe. Dostupnost i ponovnu uporabu Ured osigurava svim korisnicima pod jednakim uvjetima i nepristrano. </w:t>
      </w:r>
    </w:p>
    <w:p w:rsidR="00D849AA" w:rsidRDefault="00EE6D95">
      <w:pPr>
        <w:pStyle w:val="Normal3"/>
      </w:pPr>
      <w:r>
        <w:t xml:space="preserve">Radi ostvarenja uvjeta za informiranje i ponovnu uporabu dokumenata i informacija, Ured obavlja stručne, analitičke, savjetodavne, koordinacijske i administrativne poslove: Koordinira i prati dostavljanje dokumenata te izgrađuje i vodi Središnji katalog službenih dokumenata Republike Hrvatske; izgrađuje i vodi i druge baze podataka o tijelima javne vlasti i političkim strankama; oblikuje i održava portal za prikaz i ponovnu uporabu službenih informacija i dokumentacije te sudjeluje u pripremi sadržaja Središnjeg državnog portala; sudjeluje u izgradnji informacijske infrastrukture tijela javne vlasti izgradnjom dokumentacijskih alata za područje službenih informacija, oblikovanjem kriterija i preporuka za prikupljanje i razmjenu dokumenata te sudjelovanjem u izgradnji programa za prihvat, obradu i diseminaciju javnih službenih informacija i dokumentacije; prezentacijama, radionicama i predavanjima širi stručno znanje i korištenje vlastitih informacijskih servisa te sudjeluje u programima stručnog osposobljavanja i usavršavanja državnih službenika i drugih korisnika u području informacijsko-dokumentacijske djelatnosti. </w:t>
      </w:r>
    </w:p>
    <w:p w:rsidR="00D849AA" w:rsidRDefault="00EE6D95" w:rsidP="00A8412B">
      <w:pPr>
        <w:pStyle w:val="Normal3"/>
      </w:pPr>
      <w:r>
        <w:t xml:space="preserve">Ured nastavlja djelatnost Hrvatske informacijsko-dokumentacijske referalne agencije. </w:t>
      </w:r>
    </w:p>
    <w:p w:rsidR="00D849AA" w:rsidRDefault="00EE6D95" w:rsidP="00A8412B">
      <w:pPr>
        <w:pStyle w:val="Normal3"/>
      </w:pPr>
      <w:r>
        <w:t xml:space="preserve">U 2014. godini Digitalni informacijsko-dokumentacijski ured će obavljati poslove u okviru svoje redovne djelatnosti koji proizlaze iz zakonskih odredbi i Uredbe te time sudjelovati u realizaciji Programa Vlade Republike Hrvatske za mandat 2011.-2015.  </w:t>
      </w:r>
    </w:p>
    <w:p w:rsidR="00D849AA" w:rsidRDefault="00EE6D95">
      <w:pPr>
        <w:pStyle w:val="Normal3"/>
      </w:pPr>
      <w:r>
        <w:t>Zadaci su planirani na način da se u najvećoj mogućoj mjeri mogu obaviti kroz redovni rad zaposlenih i u okvirima njihovih stručnih i iskustvenih potencijala te postojeće tehničko-tehnološke infrastrukture. Rezultati obavljenih poslova doprinijet će transparentnosti rada tijela javne vlasti i ostvarenju zajamčenog prava svim građanima na slobodan pristup službenim informacijama, razvoju informatizacije tijela javne vlasti i povećanju kvalitete usluga građanima od strane tijela javne vlasti.</w:t>
      </w:r>
    </w:p>
    <w:p w:rsidR="00A8412B" w:rsidRDefault="00A8412B">
      <w:pPr>
        <w:pStyle w:val="Normal3"/>
      </w:pP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A8412B" w:rsidRDefault="00D849AA">
            <w:pPr>
              <w:pStyle w:val="CellHeader"/>
            </w:pPr>
          </w:p>
        </w:tc>
        <w:tc>
          <w:tcPr>
            <w:tcW w:w="1486" w:type="dxa"/>
            <w:shd w:val="clear" w:color="auto" w:fill="B5C0D8"/>
          </w:tcPr>
          <w:p w:rsidR="00D849AA" w:rsidRPr="00A8412B" w:rsidRDefault="00EE6D95">
            <w:pPr>
              <w:pStyle w:val="CellHeader"/>
            </w:pPr>
            <w:r w:rsidRPr="00A8412B">
              <w:t>Plan 2013.</w:t>
            </w:r>
          </w:p>
        </w:tc>
        <w:tc>
          <w:tcPr>
            <w:tcW w:w="1486" w:type="dxa"/>
            <w:shd w:val="clear" w:color="auto" w:fill="B5C0D8"/>
          </w:tcPr>
          <w:p w:rsidR="00D849AA" w:rsidRPr="00A8412B" w:rsidRDefault="00EE6D95">
            <w:pPr>
              <w:pStyle w:val="CellHeader"/>
            </w:pPr>
            <w:r w:rsidRPr="00A8412B">
              <w:t>Plan 2014.</w:t>
            </w:r>
          </w:p>
        </w:tc>
        <w:tc>
          <w:tcPr>
            <w:tcW w:w="1486" w:type="dxa"/>
            <w:shd w:val="clear" w:color="auto" w:fill="B5C0D8"/>
          </w:tcPr>
          <w:p w:rsidR="00D849AA" w:rsidRPr="00A8412B" w:rsidRDefault="00EE6D95">
            <w:pPr>
              <w:pStyle w:val="CellHeader"/>
            </w:pPr>
            <w:r w:rsidRPr="00A8412B">
              <w:t>Plan 2015.</w:t>
            </w:r>
          </w:p>
        </w:tc>
        <w:tc>
          <w:tcPr>
            <w:tcW w:w="1486" w:type="dxa"/>
            <w:shd w:val="clear" w:color="auto" w:fill="B5C0D8"/>
          </w:tcPr>
          <w:p w:rsidR="00D849AA" w:rsidRPr="00A8412B" w:rsidRDefault="00EE6D95">
            <w:pPr>
              <w:pStyle w:val="CellHeader"/>
            </w:pPr>
            <w:r w:rsidRPr="00A8412B">
              <w:t>Plan 2016.</w:t>
            </w:r>
          </w:p>
        </w:tc>
        <w:tc>
          <w:tcPr>
            <w:tcW w:w="1486" w:type="dxa"/>
            <w:shd w:val="clear" w:color="auto" w:fill="B5C0D8"/>
          </w:tcPr>
          <w:p w:rsidR="00D849AA" w:rsidRPr="00A8412B" w:rsidRDefault="00EE6D95">
            <w:pPr>
              <w:pStyle w:val="CellHeader"/>
            </w:pPr>
            <w:r w:rsidRPr="00A8412B">
              <w:t>Indeks 2014/2013</w:t>
            </w:r>
          </w:p>
        </w:tc>
      </w:tr>
      <w:tr w:rsidR="00D849AA">
        <w:trPr>
          <w:jc w:val="center"/>
        </w:trPr>
        <w:tc>
          <w:tcPr>
            <w:tcW w:w="1486" w:type="dxa"/>
          </w:tcPr>
          <w:p w:rsidR="00D849AA" w:rsidRPr="00A8412B" w:rsidRDefault="00EE6D95">
            <w:pPr>
              <w:pStyle w:val="CellColumn"/>
            </w:pPr>
            <w:r w:rsidRPr="00A8412B">
              <w:t>02097</w:t>
            </w:r>
          </w:p>
        </w:tc>
        <w:tc>
          <w:tcPr>
            <w:tcW w:w="1486" w:type="dxa"/>
          </w:tcPr>
          <w:p w:rsidR="00D849AA" w:rsidRPr="00A8412B" w:rsidRDefault="00EE6D95">
            <w:pPr>
              <w:rPr>
                <w:rFonts w:ascii="Arial" w:hAnsi="Arial" w:cs="Arial"/>
              </w:rPr>
            </w:pPr>
            <w:r w:rsidRPr="00A8412B">
              <w:rPr>
                <w:rFonts w:ascii="Arial" w:hAnsi="Arial" w:cs="Arial"/>
              </w:rPr>
              <w:t>00</w:t>
            </w:r>
          </w:p>
        </w:tc>
        <w:tc>
          <w:tcPr>
            <w:tcW w:w="1486" w:type="dxa"/>
          </w:tcPr>
          <w:p w:rsidR="00D849AA" w:rsidRPr="00A8412B" w:rsidRDefault="00EE6D95">
            <w:pPr>
              <w:rPr>
                <w:rFonts w:ascii="Arial" w:hAnsi="Arial" w:cs="Arial"/>
              </w:rPr>
            </w:pPr>
            <w:r w:rsidRPr="00A8412B">
              <w:rPr>
                <w:rFonts w:ascii="Arial" w:hAnsi="Arial" w:cs="Arial"/>
              </w:rPr>
              <w:t>5.003.850</w:t>
            </w:r>
          </w:p>
        </w:tc>
        <w:tc>
          <w:tcPr>
            <w:tcW w:w="1486" w:type="dxa"/>
          </w:tcPr>
          <w:p w:rsidR="00D849AA" w:rsidRPr="00A8412B" w:rsidRDefault="00EE6D95">
            <w:pPr>
              <w:rPr>
                <w:rFonts w:ascii="Arial" w:hAnsi="Arial" w:cs="Arial"/>
              </w:rPr>
            </w:pPr>
            <w:r w:rsidRPr="00A8412B">
              <w:rPr>
                <w:rFonts w:ascii="Arial" w:hAnsi="Arial" w:cs="Arial"/>
              </w:rPr>
              <w:t>5.048.990</w:t>
            </w:r>
          </w:p>
        </w:tc>
        <w:tc>
          <w:tcPr>
            <w:tcW w:w="1486" w:type="dxa"/>
          </w:tcPr>
          <w:p w:rsidR="00D849AA" w:rsidRPr="00A8412B" w:rsidRDefault="00EE6D95">
            <w:pPr>
              <w:rPr>
                <w:rFonts w:ascii="Arial" w:hAnsi="Arial" w:cs="Arial"/>
              </w:rPr>
            </w:pPr>
            <w:r w:rsidRPr="00A8412B">
              <w:rPr>
                <w:rFonts w:ascii="Arial" w:hAnsi="Arial" w:cs="Arial"/>
              </w:rPr>
              <w:t>5.049.760</w:t>
            </w:r>
          </w:p>
        </w:tc>
        <w:tc>
          <w:tcPr>
            <w:tcW w:w="1486" w:type="dxa"/>
          </w:tcPr>
          <w:p w:rsidR="00D849AA" w:rsidRPr="00A8412B" w:rsidRDefault="00EE6D95">
            <w:pPr>
              <w:rPr>
                <w:rFonts w:ascii="Arial" w:hAnsi="Arial" w:cs="Arial"/>
              </w:rPr>
            </w:pPr>
            <w:r w:rsidRPr="00A8412B">
              <w:rPr>
                <w:rFonts w:ascii="Arial" w:hAnsi="Arial" w:cs="Arial"/>
              </w:rPr>
              <w:t>0,0</w:t>
            </w:r>
          </w:p>
        </w:tc>
      </w:tr>
    </w:tbl>
    <w:p w:rsidR="00D849AA" w:rsidRDefault="00D849AA">
      <w:pPr>
        <w:jc w:val="left"/>
      </w:pPr>
    </w:p>
    <w:p w:rsidR="00D849AA" w:rsidRDefault="00EE6D95">
      <w:pPr>
        <w:pStyle w:val="Naslov4"/>
      </w:pPr>
      <w:r>
        <w:t>OBRAZLOŽENJE PROGRAMA</w:t>
      </w:r>
    </w:p>
    <w:p w:rsidR="00D849AA" w:rsidRDefault="00EE6D95">
      <w:pPr>
        <w:pStyle w:val="Naslov5"/>
      </w:pPr>
      <w:r>
        <w:t>2413 INFORMACIJSKI SUSTAV JAVNE SLUŽBENE DOKUMENTACIJE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A8412B" w:rsidRDefault="00D849AA">
            <w:pPr>
              <w:pStyle w:val="CellHeader"/>
            </w:pPr>
          </w:p>
        </w:tc>
        <w:tc>
          <w:tcPr>
            <w:tcW w:w="1486" w:type="dxa"/>
            <w:shd w:val="clear" w:color="auto" w:fill="B5C0D8"/>
          </w:tcPr>
          <w:p w:rsidR="00D849AA" w:rsidRPr="00A8412B" w:rsidRDefault="00EE6D95">
            <w:pPr>
              <w:pStyle w:val="CellHeader"/>
            </w:pPr>
            <w:r w:rsidRPr="00A8412B">
              <w:t>Plan 2013.</w:t>
            </w:r>
          </w:p>
        </w:tc>
        <w:tc>
          <w:tcPr>
            <w:tcW w:w="1486" w:type="dxa"/>
            <w:shd w:val="clear" w:color="auto" w:fill="B5C0D8"/>
          </w:tcPr>
          <w:p w:rsidR="00D849AA" w:rsidRPr="00A8412B" w:rsidRDefault="00EE6D95">
            <w:pPr>
              <w:pStyle w:val="CellHeader"/>
            </w:pPr>
            <w:r w:rsidRPr="00A8412B">
              <w:t>Plan 2014.</w:t>
            </w:r>
          </w:p>
        </w:tc>
        <w:tc>
          <w:tcPr>
            <w:tcW w:w="1486" w:type="dxa"/>
            <w:shd w:val="clear" w:color="auto" w:fill="B5C0D8"/>
          </w:tcPr>
          <w:p w:rsidR="00D849AA" w:rsidRPr="00A8412B" w:rsidRDefault="00EE6D95">
            <w:pPr>
              <w:pStyle w:val="CellHeader"/>
            </w:pPr>
            <w:r w:rsidRPr="00A8412B">
              <w:t>Plan 2015.</w:t>
            </w:r>
          </w:p>
        </w:tc>
        <w:tc>
          <w:tcPr>
            <w:tcW w:w="1486" w:type="dxa"/>
            <w:shd w:val="clear" w:color="auto" w:fill="B5C0D8"/>
          </w:tcPr>
          <w:p w:rsidR="00D849AA" w:rsidRPr="00A8412B" w:rsidRDefault="00EE6D95">
            <w:pPr>
              <w:pStyle w:val="CellHeader"/>
            </w:pPr>
            <w:r w:rsidRPr="00A8412B">
              <w:t>Plan 2016.</w:t>
            </w:r>
          </w:p>
        </w:tc>
        <w:tc>
          <w:tcPr>
            <w:tcW w:w="1486" w:type="dxa"/>
            <w:shd w:val="clear" w:color="auto" w:fill="B5C0D8"/>
          </w:tcPr>
          <w:p w:rsidR="00D849AA" w:rsidRPr="00A8412B" w:rsidRDefault="00EE6D95">
            <w:pPr>
              <w:pStyle w:val="CellHeader"/>
            </w:pPr>
            <w:r w:rsidRPr="00A8412B">
              <w:t>Indeks 2014/2013</w:t>
            </w:r>
          </w:p>
        </w:tc>
      </w:tr>
      <w:tr w:rsidR="00D849AA">
        <w:trPr>
          <w:jc w:val="center"/>
        </w:trPr>
        <w:tc>
          <w:tcPr>
            <w:tcW w:w="1486" w:type="dxa"/>
          </w:tcPr>
          <w:p w:rsidR="00D849AA" w:rsidRPr="00A8412B" w:rsidRDefault="00EE6D95">
            <w:pPr>
              <w:pStyle w:val="CellColumn"/>
            </w:pPr>
            <w:r w:rsidRPr="00A8412B">
              <w:t>2413</w:t>
            </w:r>
          </w:p>
        </w:tc>
        <w:tc>
          <w:tcPr>
            <w:tcW w:w="1486" w:type="dxa"/>
          </w:tcPr>
          <w:p w:rsidR="00D849AA" w:rsidRPr="00A8412B" w:rsidRDefault="00EE6D95">
            <w:pPr>
              <w:rPr>
                <w:rFonts w:ascii="Arial" w:hAnsi="Arial" w:cs="Arial"/>
              </w:rPr>
            </w:pPr>
            <w:r w:rsidRPr="00A8412B">
              <w:rPr>
                <w:rFonts w:ascii="Arial" w:hAnsi="Arial" w:cs="Arial"/>
              </w:rPr>
              <w:t>00</w:t>
            </w:r>
          </w:p>
        </w:tc>
        <w:tc>
          <w:tcPr>
            <w:tcW w:w="1486" w:type="dxa"/>
          </w:tcPr>
          <w:p w:rsidR="00D849AA" w:rsidRPr="00A8412B" w:rsidRDefault="00EE6D95">
            <w:pPr>
              <w:rPr>
                <w:rFonts w:ascii="Arial" w:hAnsi="Arial" w:cs="Arial"/>
              </w:rPr>
            </w:pPr>
            <w:r w:rsidRPr="00A8412B">
              <w:rPr>
                <w:rFonts w:ascii="Arial" w:hAnsi="Arial" w:cs="Arial"/>
              </w:rPr>
              <w:t>5.003.850</w:t>
            </w:r>
          </w:p>
        </w:tc>
        <w:tc>
          <w:tcPr>
            <w:tcW w:w="1486" w:type="dxa"/>
          </w:tcPr>
          <w:p w:rsidR="00D849AA" w:rsidRPr="00A8412B" w:rsidRDefault="00EE6D95">
            <w:pPr>
              <w:rPr>
                <w:rFonts w:ascii="Arial" w:hAnsi="Arial" w:cs="Arial"/>
              </w:rPr>
            </w:pPr>
            <w:r w:rsidRPr="00A8412B">
              <w:rPr>
                <w:rFonts w:ascii="Arial" w:hAnsi="Arial" w:cs="Arial"/>
              </w:rPr>
              <w:t>5.048.990</w:t>
            </w:r>
          </w:p>
        </w:tc>
        <w:tc>
          <w:tcPr>
            <w:tcW w:w="1486" w:type="dxa"/>
          </w:tcPr>
          <w:p w:rsidR="00D849AA" w:rsidRPr="00A8412B" w:rsidRDefault="00EE6D95">
            <w:pPr>
              <w:rPr>
                <w:rFonts w:ascii="Arial" w:hAnsi="Arial" w:cs="Arial"/>
              </w:rPr>
            </w:pPr>
            <w:r w:rsidRPr="00A8412B">
              <w:rPr>
                <w:rFonts w:ascii="Arial" w:hAnsi="Arial" w:cs="Arial"/>
              </w:rPr>
              <w:t>5.049.760</w:t>
            </w:r>
          </w:p>
        </w:tc>
        <w:tc>
          <w:tcPr>
            <w:tcW w:w="1486" w:type="dxa"/>
          </w:tcPr>
          <w:p w:rsidR="00D849AA" w:rsidRPr="00A8412B" w:rsidRDefault="00EE6D95">
            <w:pPr>
              <w:rPr>
                <w:rFonts w:ascii="Arial" w:hAnsi="Arial" w:cs="Arial"/>
              </w:rPr>
            </w:pPr>
            <w:r w:rsidRPr="00A8412B">
              <w:rPr>
                <w:rFonts w:ascii="Arial" w:hAnsi="Arial" w:cs="Arial"/>
              </w:rPr>
              <w:t>0,0</w:t>
            </w:r>
          </w:p>
        </w:tc>
      </w:tr>
    </w:tbl>
    <w:p w:rsidR="00D849AA" w:rsidRDefault="00D849AA">
      <w:pPr>
        <w:jc w:val="left"/>
      </w:pPr>
    </w:p>
    <w:p w:rsidR="00D849AA" w:rsidRDefault="00EE6D95">
      <w:pPr>
        <w:pStyle w:val="Naslov6"/>
      </w:pPr>
      <w:r>
        <w:t>Opis programa</w:t>
      </w:r>
    </w:p>
    <w:p w:rsidR="00D849AA" w:rsidRDefault="00EE6D95" w:rsidP="00A8412B">
      <w:pPr>
        <w:pStyle w:val="Normal5"/>
      </w:pPr>
      <w:r>
        <w:t xml:space="preserve">Program predstavlja skup svih aktivnosti u sklopu informacijsko-dokumentacijske djelatnosti Digitalnoga informacijsko-dokumentacijskog ureda koje predstavljaju cjelovit sustav koji obuhvaća prikupljanje, obradu, pohranu, diseminaciju javnih službenih informacija i dokumentacije Republike Hrvatske i izradu dokumentacijskih alata u službi izgradnje javne službene informacijske infrastrukture koja se temelji na suvremenoj tehnologiji i međunarodno utvrđenim normama. Realizacija aktivnosti dovodi do ostvarenja cilja Ureda odnosno, osiguravanja dostupnosti javne službene dokumentacije pod jednakim uvjetima i nepristrano svim korisnicima. </w:t>
      </w:r>
    </w:p>
    <w:p w:rsidR="00D849AA" w:rsidRDefault="00EE6D95">
      <w:pPr>
        <w:pStyle w:val="Normal5"/>
      </w:pPr>
      <w:r>
        <w:t>Cilj programa Ureda, odnosno jedan od pokazatelja ostvarenja toga cilja određen kao Vođenje Središnjega kataloga službenih dokumenata Republike Hrvatske kao mjesta trajnog pristupa službenim dokumentima radi informiranja i ponovne uporabe, dio je Strategije Vladinih programa za razdoblje 2014.-2016. u sklopu Općeg cilja 10. Jačanje pravne države i vladavine prava, odnosno Posebnoga cilja 10.3. Kompetentna i djelotvorna javna uprava.</w:t>
      </w:r>
    </w:p>
    <w:p w:rsidR="00D849AA" w:rsidRDefault="00EE6D95">
      <w:pPr>
        <w:pStyle w:val="Naslov6"/>
      </w:pPr>
      <w:r>
        <w:t>Zakonske i druge pravne osnove</w:t>
      </w:r>
    </w:p>
    <w:p w:rsidR="00D849AA" w:rsidRDefault="00EE6D95">
      <w:pPr>
        <w:pStyle w:val="Normal5"/>
      </w:pPr>
      <w:r>
        <w:t>Uredba o Digitalnom informacijsko-dokumentacijskom uredu (NN 066/2013), Zakon o Vladi (NN 150/2011), Zakon o pravu na pristup informacijama (NN 025/2013), Program Vlade Republike Hrvatske za mandat 2011. - 2015., Strategija Vladinih programa za razdoblje 2014. - 2016., Zakon o financiranju političkih aktivnosti i izborne promidžbe (NN 024/2011, 061/2011, 027/2013, 048/2013), Zakon o knjižnicama, (NN 105/1997, 005/1998, 104/2000, 069/2009).</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 xml:space="preserve">Cilj 1. Osigurati dostupnost pod jednakim uvjetima i nepristrano javnoj službenoj dokumentaciji i informacijama Republike Hrvatske svim korisnicima. </w:t>
      </w:r>
    </w:p>
    <w:p w:rsidR="00D849AA" w:rsidRDefault="00EE6D95">
      <w:pPr>
        <w:pStyle w:val="Normal6"/>
      </w:pPr>
      <w:r>
        <w:t xml:space="preserve">Osiguravanjem dostupnosti, pod jednakim uvjetima i nepristrano, javnoj službenoj dokumentaciji i informacijama Republike Hrvatske, Ured doprinosi transparentnosti rada tijela javne vlasti i ostvarenju zajamčenog prava svim građanima na slobodan pristup službenim informacijama. </w:t>
      </w:r>
    </w:p>
    <w:p w:rsidR="00D849AA" w:rsidRDefault="00EE6D95">
      <w:pPr>
        <w:pStyle w:val="Normal6"/>
      </w:pPr>
      <w:r>
        <w:lastRenderedPageBreak/>
        <w:t xml:space="preserve">Izgradnja Središnjega kataloga službenih dokumenata Republike Hrvatske, omogućuje uspješnu i trajnu dostupnost javnih službenih dokumenata i informacija o tijelima javne vlasti. </w:t>
      </w:r>
    </w:p>
    <w:p w:rsidR="00D849AA" w:rsidRDefault="00EE6D95">
      <w:pPr>
        <w:pStyle w:val="Normal6"/>
      </w:pPr>
      <w:r>
        <w:t xml:space="preserve">U svrhu organizacije podataka kroz Središnji katalog te brzog i ciljanog pretraživanja podatkovnih baza i zbirke javne službene dokumentacije, Ured izgrađuje i održava jedinstveni nacionalni dokumentacijski pojmovni sustav za usklađenu sadržajnu obradu službenih informacijskih izvora čiju okosnicu predstavlja hrvatsko izdanje Pojmovnika Eurovoc Europske unije. </w:t>
      </w:r>
    </w:p>
    <w:p w:rsidR="00D849AA" w:rsidRDefault="00EE6D95">
      <w:pPr>
        <w:pStyle w:val="Normal6"/>
      </w:pPr>
      <w:r>
        <w:t xml:space="preserve">Najširu javnu dostupnost prikupljenoj, obrađenoj i arhiviranoj službenoj dokumentaciji i informacijama, Ured osigurava organiziranjem sadržaja na vlastitom portalu javne službene dokumentacije i sudjelovanjem u izgradnji drugih državnih portala (Središnji državni portal, portal Moja uprava i dr.). Drugi vidovi diseminacije informacija su: besplatno distribuiranje adresara i drugih tiskanih i elektroničkih izdanja, letaka i brošura; napisi u stručnim izdanjima i javnim medijima; nastupi na seminarima, konferencijama i drugim stručnim skupovima te održavanje edukacijskih programa (predavanja, radionice, prezentacije) u Uredu i drugim institucijama te pripremanje odgovora na individualne upite korisnika. </w:t>
      </w:r>
    </w:p>
    <w:p w:rsidR="00D849AA" w:rsidRDefault="00EE6D95">
      <w:pPr>
        <w:pStyle w:val="Normal6"/>
      </w:pPr>
      <w:r>
        <w:t xml:space="preserve">Dostupnost je omogućena svim korisnicima: zaposlenima u tijelima javne vlasti, od Hrvatskoga sabora i Vlade Republike Hrvatske do jedinica lokalne i područne (regionalne) samouprave, gospodarstvenicima, akademskoj zajednici, nevladinim udrugama i svim ostalim pravnim i fizičkim osobama, kako iz zemlje tako i inozemstva. </w:t>
      </w:r>
    </w:p>
    <w:p w:rsidR="00D849AA" w:rsidRDefault="00EE6D95">
      <w:pPr>
        <w:pStyle w:val="Normal6"/>
      </w:pPr>
      <w:r>
        <w:t>Težište djelatnosti u razdoblju 2014.-2016. godina bit će usmjereno na dogradnju zakonskog, tehnološkog, organizacijskog i normativnog okvira prikupljanja i obrade podataka te povećanje opsega sadržaja i dodavanje novih funkcionalnosti alatima za organizaciju i pretraživanje podataka na portalu Ureda uz aktivno sudjelovanje u sadržajima drugih državnih portala te održavanje postojećih edukacijskih i promidžbenih sadržaja.</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A8412B" w:rsidRDefault="00EE6D95">
            <w:pPr>
              <w:rPr>
                <w:rFonts w:ascii="Arial" w:hAnsi="Arial" w:cs="Arial"/>
              </w:rPr>
            </w:pPr>
            <w:r w:rsidRPr="00A8412B">
              <w:rPr>
                <w:rFonts w:ascii="Arial" w:hAnsi="Arial" w:cs="Arial"/>
              </w:rPr>
              <w:t>Pokazatelj učinka</w:t>
            </w:r>
          </w:p>
        </w:tc>
        <w:tc>
          <w:tcPr>
            <w:tcW w:w="1114" w:type="dxa"/>
            <w:shd w:val="clear" w:color="auto" w:fill="B5C0D8"/>
          </w:tcPr>
          <w:p w:rsidR="00D849AA" w:rsidRPr="00A8412B" w:rsidRDefault="00EE6D95">
            <w:pPr>
              <w:pStyle w:val="CellHeader"/>
            </w:pPr>
            <w:r w:rsidRPr="00A8412B">
              <w:t>Jedinica</w:t>
            </w:r>
          </w:p>
        </w:tc>
        <w:tc>
          <w:tcPr>
            <w:tcW w:w="1114" w:type="dxa"/>
            <w:shd w:val="clear" w:color="auto" w:fill="B5C0D8"/>
          </w:tcPr>
          <w:p w:rsidR="00D849AA" w:rsidRPr="00A8412B" w:rsidRDefault="00EE6D95">
            <w:pPr>
              <w:pStyle w:val="CellHeader"/>
            </w:pPr>
            <w:r w:rsidRPr="00A8412B">
              <w:t>Polazna vrijednost</w:t>
            </w:r>
          </w:p>
        </w:tc>
        <w:tc>
          <w:tcPr>
            <w:tcW w:w="1486" w:type="dxa"/>
            <w:shd w:val="clear" w:color="auto" w:fill="B5C0D8"/>
          </w:tcPr>
          <w:p w:rsidR="00D849AA" w:rsidRPr="00A8412B" w:rsidRDefault="00EE6D95">
            <w:pPr>
              <w:pStyle w:val="CellHeader"/>
            </w:pPr>
            <w:r w:rsidRPr="00A8412B">
              <w:t>Ciljana vrijednost (2014.)</w:t>
            </w:r>
          </w:p>
        </w:tc>
        <w:tc>
          <w:tcPr>
            <w:tcW w:w="1486" w:type="dxa"/>
            <w:shd w:val="clear" w:color="auto" w:fill="B5C0D8"/>
          </w:tcPr>
          <w:p w:rsidR="00D849AA" w:rsidRPr="00A8412B" w:rsidRDefault="00EE6D95">
            <w:pPr>
              <w:pStyle w:val="CellHeader"/>
            </w:pPr>
            <w:r w:rsidRPr="00A8412B">
              <w:t>Ciljana vrijednost (2015.)</w:t>
            </w:r>
          </w:p>
        </w:tc>
        <w:tc>
          <w:tcPr>
            <w:tcW w:w="1486" w:type="dxa"/>
            <w:shd w:val="clear" w:color="auto" w:fill="B5C0D8"/>
          </w:tcPr>
          <w:p w:rsidR="00D849AA" w:rsidRPr="00A8412B" w:rsidRDefault="00EE6D95">
            <w:pPr>
              <w:pStyle w:val="CellHeader"/>
            </w:pPr>
            <w:r w:rsidRPr="00A8412B">
              <w:t>Ciljana vrijednost (2016.)</w:t>
            </w:r>
          </w:p>
        </w:tc>
      </w:tr>
      <w:tr w:rsidR="00D849AA">
        <w:trPr>
          <w:jc w:val="center"/>
        </w:trPr>
        <w:tc>
          <w:tcPr>
            <w:tcW w:w="2229" w:type="dxa"/>
          </w:tcPr>
          <w:p w:rsidR="00D849AA" w:rsidRPr="00A8412B" w:rsidRDefault="00EE6D95">
            <w:pPr>
              <w:pStyle w:val="CellColumn"/>
            </w:pPr>
            <w:r w:rsidRPr="00A8412B">
              <w:t>Unaprijeđen sustav za prikupljanje, obradu, arhiviranje i prezentaciju javne službene dokumentacije Republike Hrvatske</w:t>
            </w:r>
          </w:p>
        </w:tc>
        <w:tc>
          <w:tcPr>
            <w:tcW w:w="1114" w:type="dxa"/>
          </w:tcPr>
          <w:p w:rsidR="00D849AA" w:rsidRPr="00A8412B" w:rsidRDefault="00EE6D95">
            <w:pPr>
              <w:rPr>
                <w:rFonts w:ascii="Arial" w:hAnsi="Arial" w:cs="Arial"/>
              </w:rPr>
            </w:pPr>
            <w:r w:rsidRPr="00A8412B">
              <w:rPr>
                <w:rFonts w:ascii="Arial" w:hAnsi="Arial" w:cs="Arial"/>
              </w:rPr>
              <w:t>%</w:t>
            </w:r>
          </w:p>
        </w:tc>
        <w:tc>
          <w:tcPr>
            <w:tcW w:w="1114" w:type="dxa"/>
          </w:tcPr>
          <w:p w:rsidR="00D849AA" w:rsidRPr="00A8412B" w:rsidRDefault="00EE6D95">
            <w:pPr>
              <w:rPr>
                <w:rFonts w:ascii="Arial" w:hAnsi="Arial" w:cs="Arial"/>
              </w:rPr>
            </w:pPr>
            <w:r w:rsidRPr="00A8412B">
              <w:rPr>
                <w:rFonts w:ascii="Arial" w:hAnsi="Arial" w:cs="Arial"/>
              </w:rPr>
              <w:t>60</w:t>
            </w:r>
          </w:p>
        </w:tc>
        <w:tc>
          <w:tcPr>
            <w:tcW w:w="1486" w:type="dxa"/>
          </w:tcPr>
          <w:p w:rsidR="00D849AA" w:rsidRPr="00A8412B" w:rsidRDefault="00EE6D95">
            <w:pPr>
              <w:rPr>
                <w:rFonts w:ascii="Arial" w:hAnsi="Arial" w:cs="Arial"/>
              </w:rPr>
            </w:pPr>
            <w:r w:rsidRPr="00A8412B">
              <w:rPr>
                <w:rFonts w:ascii="Arial" w:hAnsi="Arial" w:cs="Arial"/>
              </w:rPr>
              <w:t>10</w:t>
            </w:r>
          </w:p>
        </w:tc>
        <w:tc>
          <w:tcPr>
            <w:tcW w:w="1486" w:type="dxa"/>
          </w:tcPr>
          <w:p w:rsidR="00D849AA" w:rsidRPr="00A8412B" w:rsidRDefault="00EE6D95">
            <w:pPr>
              <w:rPr>
                <w:rFonts w:ascii="Arial" w:hAnsi="Arial" w:cs="Arial"/>
              </w:rPr>
            </w:pPr>
            <w:r w:rsidRPr="00A8412B">
              <w:rPr>
                <w:rFonts w:ascii="Arial" w:hAnsi="Arial" w:cs="Arial"/>
              </w:rPr>
              <w:t>10</w:t>
            </w:r>
          </w:p>
        </w:tc>
        <w:tc>
          <w:tcPr>
            <w:tcW w:w="1486" w:type="dxa"/>
          </w:tcPr>
          <w:p w:rsidR="00D849AA" w:rsidRPr="00A8412B" w:rsidRDefault="00EE6D95">
            <w:pPr>
              <w:rPr>
                <w:rFonts w:ascii="Arial" w:hAnsi="Arial" w:cs="Arial"/>
              </w:rPr>
            </w:pPr>
            <w:r w:rsidRPr="00A8412B">
              <w:rPr>
                <w:rFonts w:ascii="Arial" w:hAnsi="Arial" w:cs="Arial"/>
              </w:rPr>
              <w:t>10</w:t>
            </w:r>
          </w:p>
        </w:tc>
      </w:tr>
    </w:tbl>
    <w:p w:rsidR="00D849AA" w:rsidRDefault="00D849AA">
      <w:pPr>
        <w:jc w:val="left"/>
      </w:pPr>
    </w:p>
    <w:p w:rsidR="00D849AA" w:rsidRDefault="00EE6D95">
      <w:pPr>
        <w:pStyle w:val="Naslov5"/>
      </w:pPr>
      <w:r>
        <w:t>Procjena i ishodište potrebnih sredstava za značajnije aktivnosti/projekte</w:t>
      </w:r>
    </w:p>
    <w:p w:rsidR="00D849AA" w:rsidRDefault="00EE6D95">
      <w:pPr>
        <w:pStyle w:val="Naslov6"/>
      </w:pPr>
      <w:r>
        <w:t>A871002 PRIKUPLJANJE, OBRADA I DISEMINACIJA SLUŽBENE DOKUMENTACIJE I PODATAKA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A8412B" w:rsidRDefault="00EE6D95">
            <w:pPr>
              <w:pStyle w:val="CellHeader"/>
            </w:pPr>
            <w:r w:rsidRPr="00A8412B">
              <w:t>Naziv aktivnosti</w:t>
            </w:r>
          </w:p>
        </w:tc>
        <w:tc>
          <w:tcPr>
            <w:tcW w:w="1486" w:type="dxa"/>
            <w:shd w:val="clear" w:color="auto" w:fill="B5C0D8"/>
          </w:tcPr>
          <w:p w:rsidR="00D849AA" w:rsidRPr="00A8412B" w:rsidRDefault="00EE6D95">
            <w:pPr>
              <w:pStyle w:val="CellHeader"/>
            </w:pPr>
            <w:r w:rsidRPr="00A8412B">
              <w:t>Plan 2013.</w:t>
            </w:r>
          </w:p>
        </w:tc>
        <w:tc>
          <w:tcPr>
            <w:tcW w:w="1486" w:type="dxa"/>
            <w:shd w:val="clear" w:color="auto" w:fill="B5C0D8"/>
          </w:tcPr>
          <w:p w:rsidR="00D849AA" w:rsidRPr="00A8412B" w:rsidRDefault="00EE6D95">
            <w:pPr>
              <w:pStyle w:val="CellHeader"/>
            </w:pPr>
            <w:r w:rsidRPr="00A8412B">
              <w:t>Plan 2014.</w:t>
            </w:r>
          </w:p>
        </w:tc>
        <w:tc>
          <w:tcPr>
            <w:tcW w:w="1486" w:type="dxa"/>
            <w:shd w:val="clear" w:color="auto" w:fill="B5C0D8"/>
          </w:tcPr>
          <w:p w:rsidR="00D849AA" w:rsidRPr="00A8412B" w:rsidRDefault="00EE6D95">
            <w:pPr>
              <w:pStyle w:val="CellHeader"/>
            </w:pPr>
            <w:r w:rsidRPr="00A8412B">
              <w:t>Plan 2015.</w:t>
            </w:r>
          </w:p>
        </w:tc>
        <w:tc>
          <w:tcPr>
            <w:tcW w:w="1486" w:type="dxa"/>
            <w:shd w:val="clear" w:color="auto" w:fill="B5C0D8"/>
          </w:tcPr>
          <w:p w:rsidR="00D849AA" w:rsidRPr="00A8412B" w:rsidRDefault="00EE6D95">
            <w:pPr>
              <w:pStyle w:val="CellHeader"/>
            </w:pPr>
            <w:r w:rsidRPr="00A8412B">
              <w:t>Plan 2016.</w:t>
            </w:r>
          </w:p>
        </w:tc>
        <w:tc>
          <w:tcPr>
            <w:tcW w:w="1486" w:type="dxa"/>
            <w:shd w:val="clear" w:color="auto" w:fill="B5C0D8"/>
          </w:tcPr>
          <w:p w:rsidR="00D849AA" w:rsidRPr="00A8412B" w:rsidRDefault="00EE6D95">
            <w:pPr>
              <w:pStyle w:val="CellHeader"/>
            </w:pPr>
            <w:r w:rsidRPr="00A8412B">
              <w:t>Indeks 2014/2013</w:t>
            </w:r>
          </w:p>
        </w:tc>
      </w:tr>
      <w:tr w:rsidR="00D849AA">
        <w:trPr>
          <w:jc w:val="center"/>
        </w:trPr>
        <w:tc>
          <w:tcPr>
            <w:tcW w:w="1486" w:type="dxa"/>
          </w:tcPr>
          <w:p w:rsidR="00D849AA" w:rsidRPr="00A8412B" w:rsidRDefault="00EE6D95">
            <w:pPr>
              <w:pStyle w:val="CellColumn"/>
            </w:pPr>
            <w:r w:rsidRPr="00A8412B">
              <w:t>A871002</w:t>
            </w:r>
          </w:p>
        </w:tc>
        <w:tc>
          <w:tcPr>
            <w:tcW w:w="1486" w:type="dxa"/>
          </w:tcPr>
          <w:p w:rsidR="00D849AA" w:rsidRPr="00A8412B" w:rsidRDefault="00EE6D95">
            <w:pPr>
              <w:rPr>
                <w:rFonts w:ascii="Arial" w:hAnsi="Arial" w:cs="Arial"/>
              </w:rPr>
            </w:pPr>
            <w:r w:rsidRPr="00A8412B">
              <w:rPr>
                <w:rFonts w:ascii="Arial" w:hAnsi="Arial" w:cs="Arial"/>
              </w:rPr>
              <w:t>00</w:t>
            </w:r>
          </w:p>
        </w:tc>
        <w:tc>
          <w:tcPr>
            <w:tcW w:w="1486" w:type="dxa"/>
          </w:tcPr>
          <w:p w:rsidR="00D849AA" w:rsidRPr="00A8412B" w:rsidRDefault="00EE6D95">
            <w:pPr>
              <w:rPr>
                <w:rFonts w:ascii="Arial" w:hAnsi="Arial" w:cs="Arial"/>
              </w:rPr>
            </w:pPr>
            <w:r w:rsidRPr="00A8412B">
              <w:rPr>
                <w:rFonts w:ascii="Arial" w:hAnsi="Arial" w:cs="Arial"/>
              </w:rPr>
              <w:t>541.700</w:t>
            </w:r>
          </w:p>
        </w:tc>
        <w:tc>
          <w:tcPr>
            <w:tcW w:w="1486" w:type="dxa"/>
          </w:tcPr>
          <w:p w:rsidR="00D849AA" w:rsidRPr="00A8412B" w:rsidRDefault="00EE6D95">
            <w:pPr>
              <w:rPr>
                <w:rFonts w:ascii="Arial" w:hAnsi="Arial" w:cs="Arial"/>
              </w:rPr>
            </w:pPr>
            <w:r w:rsidRPr="00A8412B">
              <w:rPr>
                <w:rFonts w:ascii="Arial" w:hAnsi="Arial" w:cs="Arial"/>
              </w:rPr>
              <w:t>541.700</w:t>
            </w:r>
          </w:p>
        </w:tc>
        <w:tc>
          <w:tcPr>
            <w:tcW w:w="1486" w:type="dxa"/>
          </w:tcPr>
          <w:p w:rsidR="00D849AA" w:rsidRPr="00A8412B" w:rsidRDefault="00EE6D95">
            <w:pPr>
              <w:rPr>
                <w:rFonts w:ascii="Arial" w:hAnsi="Arial" w:cs="Arial"/>
              </w:rPr>
            </w:pPr>
            <w:r w:rsidRPr="00A8412B">
              <w:rPr>
                <w:rFonts w:ascii="Arial" w:hAnsi="Arial" w:cs="Arial"/>
              </w:rPr>
              <w:t>541.700</w:t>
            </w:r>
          </w:p>
        </w:tc>
        <w:tc>
          <w:tcPr>
            <w:tcW w:w="1486" w:type="dxa"/>
          </w:tcPr>
          <w:p w:rsidR="00D849AA" w:rsidRPr="00A8412B" w:rsidRDefault="00EE6D95">
            <w:pPr>
              <w:rPr>
                <w:rFonts w:ascii="Arial" w:hAnsi="Arial" w:cs="Arial"/>
              </w:rPr>
            </w:pPr>
            <w:r w:rsidRPr="00A8412B">
              <w:rPr>
                <w:rFonts w:ascii="Arial" w:hAnsi="Arial" w:cs="Arial"/>
              </w:rPr>
              <w:t>0,0</w:t>
            </w:r>
          </w:p>
        </w:tc>
      </w:tr>
    </w:tbl>
    <w:p w:rsidR="00D849AA" w:rsidRDefault="00D849AA">
      <w:pPr>
        <w:jc w:val="left"/>
      </w:pPr>
    </w:p>
    <w:p w:rsidR="00D849AA" w:rsidRDefault="00EE6D95">
      <w:pPr>
        <w:pStyle w:val="Normal6"/>
      </w:pPr>
      <w:r>
        <w:t xml:space="preserve">Za vođenje Središnjeg kataloga službenih dokumenata Republike Hrvatske temeljem Zakona o pravu na pristup informacijama, zadužen je Ured, kao pravni slijednik Hrvatske informacijsko-dokumentacijske referalne agencije - Hidre. </w:t>
      </w:r>
    </w:p>
    <w:p w:rsidR="00D849AA" w:rsidRDefault="00EE6D95">
      <w:pPr>
        <w:pStyle w:val="Normal6"/>
      </w:pPr>
      <w:r>
        <w:t xml:space="preserve">U svrhu povećanja opsega sadržaja Središnjeg kataloga, Ured će osnažiti komunikaciju s tijelima javne vlasti radi ažurne dostave Zakonom propisanih dokumenata. </w:t>
      </w:r>
    </w:p>
    <w:p w:rsidR="00D849AA" w:rsidRDefault="00EE6D95">
      <w:pPr>
        <w:pStyle w:val="Normal6"/>
      </w:pPr>
      <w:r>
        <w:t xml:space="preserve">Radi cjelovitosti zbirke u podlozi Središnjeg kataloga, vjerodostojnosti dokumenata i oblika koji omogućuje automatiziranu obradu koja će štedjeti vrijeme i omogućiti veću učinkovitost i pravovremenu informiranost javnosti, Ured će pokrenuti postupak uspostave Registra javne službene dokumentacije. </w:t>
      </w:r>
    </w:p>
    <w:p w:rsidR="00D849AA" w:rsidRDefault="00EE6D95">
      <w:pPr>
        <w:pStyle w:val="Normal6"/>
      </w:pPr>
      <w:r>
        <w:t xml:space="preserve">U razdoblju 2014.-2016. godina Ured će poduzimati aktivnosti za osiguranje adekvatnog pravnog temelja za uspostavu Registra javne službene dokumentacije. U tu svrhu izradit će prijedlog nacrta akta o uspostavi Registra kao i ostale provedbene akte potrebne za cjelovito upravljanje dokumentacijom. Temeljem odredbi propisa za uspostavu i rad Registra javne službene dokumentacije te rada i iskustva dobivenih u izgradnji i primjeni sustava za slanje/preuzimanje elektroničkih dokumenata, Ured će izraditi projektnu dokumentaciju za izgradnju programskoga sustava za vođenje Registra.  </w:t>
      </w:r>
    </w:p>
    <w:p w:rsidR="00D849AA" w:rsidRDefault="00EE6D95">
      <w:pPr>
        <w:pStyle w:val="Normal6"/>
      </w:pPr>
      <w:r>
        <w:t xml:space="preserve">Dokumentacijski normativni alat za sadržajnu obradu službene dokumentacije Republike Hrvatske koja ulazi u Središnji katalog je Pojmovnik Eurovoc kojega Hidra od 2000. godine, temeljem neekskluzivne licence Ureda za službene publikacije Europskih zajednica, preuzima, koordinira prevođenje, dopunjuje hrvatskim dodatkom, objavljuje te omogućuje njegovo preuzimanje i korištenje u tijelima javne vlasti. Prijevod na hrvatski jezik najnovije verzije sastavni je dio i višejezičnog izdanja na portalu Europske unije. </w:t>
      </w:r>
    </w:p>
    <w:p w:rsidR="00D849AA" w:rsidRDefault="00EE6D95">
      <w:pPr>
        <w:pStyle w:val="Normal6"/>
      </w:pPr>
      <w:r>
        <w:t xml:space="preserve">Ulaskom Republike Hrvatske u EU mijenja se postupak izrade nove višejezične verzije. Ured će uspostaviti novi način komunikacije u izgradnji Pojmovnika Eurovoc s Uredom za službene publikacije EU: predlagati izmjene i dopune, preuzeti inačicu Pojmovnika na hrvatskome jeziku sačinjenu u Uredu za službene publikacije EU, revidirati prijevod i implementirati ga zajedno s Hrvatskim dodatkom u svoju normativnu bazu podataka te objaviti na portalu Ureda. Ured će sustavno implementirati nove verzije hrvatskoga izdanja Pojmovnika Eurovoc u normativnu bazu Knjižnice Hrvatskoga sabora i druga zainteresirana državna tijela. </w:t>
      </w:r>
    </w:p>
    <w:p w:rsidR="00D849AA" w:rsidRDefault="00EE6D95">
      <w:pPr>
        <w:pStyle w:val="Normal6"/>
      </w:pPr>
      <w:r>
        <w:t xml:space="preserve">Objavljivanjem sadržaja na internetskim stranicama Ureda omogućuje se najšira dostupnost službenoj dokumentaciji i informacijama Republike Hrvatske, normativnim i jezičnim alatima te ostalim informacijama i uslugama. Izdavanjem godišnjih kataloga i adresara, koji se najvećim dijelom šalju tijelima javne vlasti, promovira se korištenje službene dokumentacije i pomaže u radu u službama tijela javne vlasti. Diseminacija informacija objavom na elektroničkom mediju kroz Središnji katalog službenih dokumenata Republike Hrvatske i distribucijom na papirnom mediju najznačajnija je aktivnost Ureda koja doprinosi transparentnosti rada tijela javne vlasti i informiranosti građana kao preduvjeta njihovog aktivnog uključivanja u proces odlučivanja o javnim politikama. </w:t>
      </w:r>
    </w:p>
    <w:p w:rsidR="00D849AA" w:rsidRDefault="00EE6D95">
      <w:pPr>
        <w:pStyle w:val="Normal6"/>
      </w:pPr>
      <w:r>
        <w:t xml:space="preserve">Na portalu Ureda uz glavnu temu, Središnji katalog službenih dokumenata Republike Hrvatske, sadržaji su razvrstani u dodatne teme: HR vodič, Tko je što, Pojmovnik Eurovoc i Političke stranke. Pretraživanje sadržaja omogućeno je preglednicima i tražilicama. Pretraživanje zbirke pravnih propisa Republike Hrvatske i zbirke Glasila lokalne i područne samouprave, dijelovima Središnjega kataloga, omogućeno je tražilicama koje pretražuju metapodatke i tekstove.  </w:t>
      </w:r>
    </w:p>
    <w:p w:rsidR="00D849AA" w:rsidRDefault="00EE6D95">
      <w:pPr>
        <w:pStyle w:val="Normal6"/>
      </w:pPr>
      <w:r>
        <w:t xml:space="preserve">U tiskanom i elektroničkom izdanju periodično izlazi: Republika Hrvatska - Mali vodič, i Političke stranke u Republici Hrvatskoj. </w:t>
      </w:r>
    </w:p>
    <w:p w:rsidR="00D849AA" w:rsidRDefault="00EE6D95">
      <w:pPr>
        <w:pStyle w:val="Normal6"/>
      </w:pPr>
      <w:r>
        <w:lastRenderedPageBreak/>
        <w:t xml:space="preserve">U 2014. godini reorganizirat će se sučelje portala Ureda i uvesti nova tema sukladno potrebama koje će proizlaziti iz uključivanja Republike Hrvatske u Europsku uniju. </w:t>
      </w:r>
    </w:p>
    <w:p w:rsidR="00D849AA" w:rsidRDefault="00EE6D95">
      <w:pPr>
        <w:pStyle w:val="Normal6"/>
      </w:pPr>
      <w:r>
        <w:t xml:space="preserve">Dostupnost javne službene dokumentacije i informacija tijela javne vlasti Republike Hrvatske koje Ured prikuplja, obrađuje i pohranjuje, osigurana je i kroz službene internetske stranice srodnih tematskih projekata i portala čime se sadržajno upotpunjuju ti portali te ujedno širi krug korisnika proizvoda i usluga Ureda, odnosno pomaže informiranosti građana. </w:t>
      </w:r>
    </w:p>
    <w:p w:rsidR="00D849AA" w:rsidRDefault="00EE6D95">
      <w:pPr>
        <w:pStyle w:val="Normal6"/>
      </w:pPr>
      <w:r>
        <w:t xml:space="preserve">Podaci o tijelima javne vlasti iz teme portala HR vodič i podteme Pravni propisi Republike Hrvatske dostupni su na portalu Moja uprava, a Središnji katalog službenih dokumenata te dokumentacija političkih stranaka Republike Hrvatske na portalu projekta Kulturna baština Republike Hrvatske Ministarstva kulture. </w:t>
      </w:r>
    </w:p>
    <w:p w:rsidR="00D849AA" w:rsidRDefault="00EE6D95">
      <w:pPr>
        <w:pStyle w:val="Normal6"/>
      </w:pPr>
      <w:r>
        <w:t xml:space="preserve">Izgradnjom Središnjeg državnog portala, Središnji katalog službenih dokumenata kojeg održava Ured, postat će dijelom njegovog sadržaja. </w:t>
      </w:r>
    </w:p>
    <w:p w:rsidR="00D849AA" w:rsidRDefault="00EE6D95">
      <w:pPr>
        <w:pStyle w:val="Normal6"/>
      </w:pPr>
      <w:r>
        <w:t xml:space="preserve">Tematskim povećanjem sadržaja portala Ureda u razdoblju 2014.-2016. godina, Ured će predložiti i nove sadržaje za Središnji državni portal. </w:t>
      </w:r>
    </w:p>
    <w:p w:rsidR="00D849AA" w:rsidRDefault="00EE6D95">
      <w:pPr>
        <w:pStyle w:val="Normal6"/>
      </w:pPr>
      <w:r>
        <w:t xml:space="preserve">Ured daje svoj doprinos stručnom osposobljavanju i usavršavanju državnih i javnih službenika i ostalih zainteresiranih korisnika održavanjem seminara, radionica, konzultacija, predavanja i prezentacija s temama iz područja dostupnosti javnih službenih informacijskih izvora, postupaka standardizirane obrade, izrade specijaliziranih normativnih datoteka te srodnih područja. Prezentacijom edukacijskih sadržaja u sklopu programa institucija koje organiziraju stalnu izobrazbu državnih i javnih službenika, Ured sudjeluje u organiziranom i sustavnom širenju znanja iz područja informacijsko-dokumentacijske djelatnosti u tijelima javne vlasti i krugu stručne zajednice te promiče korištenje službene dokumentacije i informacija. </w:t>
      </w:r>
    </w:p>
    <w:p w:rsidR="00D849AA" w:rsidRDefault="00EE6D95">
      <w:pPr>
        <w:pStyle w:val="Normal6"/>
      </w:pPr>
      <w:r>
        <w:t xml:space="preserve">U Državnoj školi za javnu upravu održava se radionica Novi oblici komunikacije s građanima, a u Centru za stalno stručno usavršavanje knjižničara pri Nacionalnoj i sveučilišnoj knjižnici edukacijski program Pravo na pristup informacijama i e-demokracija. U organizaciji Diplomatske akademije Ured permanentno sudjeluje u pripremama za odlazak na rad u hrvatske diplomatske misije, upoznavanjem polaznika sa službenim informacijskim izvorima te mogućnostima njihovog korištenja.  </w:t>
      </w:r>
    </w:p>
    <w:p w:rsidR="00D849AA" w:rsidRDefault="00EE6D95">
      <w:pPr>
        <w:pStyle w:val="Normal6"/>
      </w:pPr>
      <w:r>
        <w:t>U razdoblju 2014. - 2016. godina cilj je Ureda održavanje postojećeg broja radionica, seminara i predavanja sa sadržajem iz djelokruga svog rada.</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317"/>
        <w:gridCol w:w="1114"/>
        <w:gridCol w:w="1486"/>
        <w:gridCol w:w="1486"/>
        <w:gridCol w:w="1486"/>
      </w:tblGrid>
      <w:tr w:rsidR="00D849AA">
        <w:trPr>
          <w:jc w:val="center"/>
        </w:trPr>
        <w:tc>
          <w:tcPr>
            <w:tcW w:w="2229" w:type="dxa"/>
            <w:shd w:val="clear" w:color="auto" w:fill="B5C0D8"/>
          </w:tcPr>
          <w:p w:rsidR="00D849AA" w:rsidRPr="00A8412B" w:rsidRDefault="00EE6D95">
            <w:pPr>
              <w:rPr>
                <w:rFonts w:ascii="Arial" w:hAnsi="Arial" w:cs="Arial"/>
              </w:rPr>
            </w:pPr>
            <w:r w:rsidRPr="00A8412B">
              <w:rPr>
                <w:rFonts w:ascii="Arial" w:hAnsi="Arial" w:cs="Arial"/>
              </w:rPr>
              <w:t>Pokazatelj rezultata</w:t>
            </w:r>
          </w:p>
        </w:tc>
        <w:tc>
          <w:tcPr>
            <w:tcW w:w="1114" w:type="dxa"/>
            <w:shd w:val="clear" w:color="auto" w:fill="B5C0D8"/>
          </w:tcPr>
          <w:p w:rsidR="00D849AA" w:rsidRPr="00A8412B" w:rsidRDefault="00EE6D95">
            <w:pPr>
              <w:pStyle w:val="CellHeader"/>
            </w:pPr>
            <w:r w:rsidRPr="00A8412B">
              <w:t>Jedinica</w:t>
            </w:r>
          </w:p>
        </w:tc>
        <w:tc>
          <w:tcPr>
            <w:tcW w:w="1114" w:type="dxa"/>
            <w:shd w:val="clear" w:color="auto" w:fill="B5C0D8"/>
          </w:tcPr>
          <w:p w:rsidR="00D849AA" w:rsidRPr="00A8412B" w:rsidRDefault="00EE6D95">
            <w:pPr>
              <w:pStyle w:val="CellHeader"/>
            </w:pPr>
            <w:r w:rsidRPr="00A8412B">
              <w:t>Polazna vrijednost</w:t>
            </w:r>
          </w:p>
        </w:tc>
        <w:tc>
          <w:tcPr>
            <w:tcW w:w="1486" w:type="dxa"/>
            <w:shd w:val="clear" w:color="auto" w:fill="B5C0D8"/>
          </w:tcPr>
          <w:p w:rsidR="00D849AA" w:rsidRPr="00A8412B" w:rsidRDefault="00EE6D95">
            <w:pPr>
              <w:pStyle w:val="CellHeader"/>
            </w:pPr>
            <w:r w:rsidRPr="00A8412B">
              <w:t>Ciljana vrijednost (2014.)</w:t>
            </w:r>
          </w:p>
        </w:tc>
        <w:tc>
          <w:tcPr>
            <w:tcW w:w="1486" w:type="dxa"/>
            <w:shd w:val="clear" w:color="auto" w:fill="B5C0D8"/>
          </w:tcPr>
          <w:p w:rsidR="00D849AA" w:rsidRPr="00A8412B" w:rsidRDefault="00EE6D95">
            <w:pPr>
              <w:pStyle w:val="CellHeader"/>
            </w:pPr>
            <w:r w:rsidRPr="00A8412B">
              <w:t>Ciljana vrijednost (2015.)</w:t>
            </w:r>
          </w:p>
        </w:tc>
        <w:tc>
          <w:tcPr>
            <w:tcW w:w="1486" w:type="dxa"/>
            <w:shd w:val="clear" w:color="auto" w:fill="B5C0D8"/>
          </w:tcPr>
          <w:p w:rsidR="00D849AA" w:rsidRPr="00A8412B" w:rsidRDefault="00EE6D95">
            <w:pPr>
              <w:pStyle w:val="CellHeader"/>
            </w:pPr>
            <w:r w:rsidRPr="00A8412B">
              <w:t>Ciljana vrijednost (2016.)</w:t>
            </w:r>
          </w:p>
        </w:tc>
      </w:tr>
      <w:tr w:rsidR="00D849AA">
        <w:trPr>
          <w:jc w:val="center"/>
        </w:trPr>
        <w:tc>
          <w:tcPr>
            <w:tcW w:w="2229" w:type="dxa"/>
          </w:tcPr>
          <w:p w:rsidR="00D849AA" w:rsidRPr="00A8412B" w:rsidRDefault="00EE6D95">
            <w:pPr>
              <w:pStyle w:val="CellColumn"/>
            </w:pPr>
            <w:r w:rsidRPr="00A8412B">
              <w:t>Povećan sadržaj Središnjeg kataloga službenih dokumenata RH</w:t>
            </w:r>
          </w:p>
        </w:tc>
        <w:tc>
          <w:tcPr>
            <w:tcW w:w="1114" w:type="dxa"/>
          </w:tcPr>
          <w:p w:rsidR="00D849AA" w:rsidRPr="00A8412B" w:rsidRDefault="00EE6D95">
            <w:pPr>
              <w:rPr>
                <w:rFonts w:ascii="Arial" w:hAnsi="Arial" w:cs="Arial"/>
              </w:rPr>
            </w:pPr>
            <w:r w:rsidRPr="00A8412B">
              <w:rPr>
                <w:rFonts w:ascii="Arial" w:hAnsi="Arial" w:cs="Arial"/>
              </w:rPr>
              <w:t>Broj dokumenata</w:t>
            </w:r>
          </w:p>
        </w:tc>
        <w:tc>
          <w:tcPr>
            <w:tcW w:w="1114" w:type="dxa"/>
          </w:tcPr>
          <w:p w:rsidR="00D849AA" w:rsidRPr="00A8412B" w:rsidRDefault="00EE6D95">
            <w:pPr>
              <w:rPr>
                <w:rFonts w:ascii="Arial" w:hAnsi="Arial" w:cs="Arial"/>
              </w:rPr>
            </w:pPr>
            <w:r w:rsidRPr="00A8412B">
              <w:rPr>
                <w:rFonts w:ascii="Arial" w:hAnsi="Arial" w:cs="Arial"/>
              </w:rPr>
              <w:t>120.000</w:t>
            </w:r>
          </w:p>
        </w:tc>
        <w:tc>
          <w:tcPr>
            <w:tcW w:w="1486" w:type="dxa"/>
          </w:tcPr>
          <w:p w:rsidR="00D849AA" w:rsidRPr="00A8412B" w:rsidRDefault="00EE6D95">
            <w:pPr>
              <w:rPr>
                <w:rFonts w:ascii="Arial" w:hAnsi="Arial" w:cs="Arial"/>
              </w:rPr>
            </w:pPr>
            <w:r w:rsidRPr="00A8412B">
              <w:rPr>
                <w:rFonts w:ascii="Arial" w:hAnsi="Arial" w:cs="Arial"/>
              </w:rPr>
              <w:t>135.000</w:t>
            </w:r>
          </w:p>
        </w:tc>
        <w:tc>
          <w:tcPr>
            <w:tcW w:w="1486" w:type="dxa"/>
          </w:tcPr>
          <w:p w:rsidR="00D849AA" w:rsidRPr="00A8412B" w:rsidRDefault="00EE6D95">
            <w:pPr>
              <w:rPr>
                <w:rFonts w:ascii="Arial" w:hAnsi="Arial" w:cs="Arial"/>
              </w:rPr>
            </w:pPr>
            <w:r w:rsidRPr="00A8412B">
              <w:rPr>
                <w:rFonts w:ascii="Arial" w:hAnsi="Arial" w:cs="Arial"/>
              </w:rPr>
              <w:t>140.000</w:t>
            </w:r>
          </w:p>
        </w:tc>
        <w:tc>
          <w:tcPr>
            <w:tcW w:w="1486" w:type="dxa"/>
          </w:tcPr>
          <w:p w:rsidR="00D849AA" w:rsidRPr="00A8412B" w:rsidRDefault="00EE6D95">
            <w:pPr>
              <w:rPr>
                <w:rFonts w:ascii="Arial" w:hAnsi="Arial" w:cs="Arial"/>
              </w:rPr>
            </w:pPr>
            <w:r w:rsidRPr="00A8412B">
              <w:rPr>
                <w:rFonts w:ascii="Arial" w:hAnsi="Arial" w:cs="Arial"/>
              </w:rPr>
              <w:t>143.000</w:t>
            </w:r>
          </w:p>
        </w:tc>
      </w:tr>
      <w:tr w:rsidR="00D849AA">
        <w:trPr>
          <w:jc w:val="center"/>
        </w:trPr>
        <w:tc>
          <w:tcPr>
            <w:tcW w:w="2229" w:type="dxa"/>
          </w:tcPr>
          <w:p w:rsidR="00D849AA" w:rsidRPr="00A8412B" w:rsidRDefault="00EE6D95">
            <w:pPr>
              <w:pStyle w:val="CellColumn"/>
            </w:pPr>
            <w:r w:rsidRPr="00A8412B">
              <w:t>Povećana dinamika i kvaliteta komunikacije s tijelima javne vlasti u svrhu održavanja Središnjeg kataloga</w:t>
            </w:r>
          </w:p>
        </w:tc>
        <w:tc>
          <w:tcPr>
            <w:tcW w:w="1114" w:type="dxa"/>
          </w:tcPr>
          <w:p w:rsidR="00D849AA" w:rsidRPr="00A8412B" w:rsidRDefault="00EE6D95">
            <w:pPr>
              <w:rPr>
                <w:rFonts w:ascii="Arial" w:hAnsi="Arial" w:cs="Arial"/>
              </w:rPr>
            </w:pPr>
            <w:r w:rsidRPr="00A8412B">
              <w:rPr>
                <w:rFonts w:ascii="Arial" w:hAnsi="Arial" w:cs="Arial"/>
              </w:rPr>
              <w:t>Broj tijela</w:t>
            </w:r>
          </w:p>
        </w:tc>
        <w:tc>
          <w:tcPr>
            <w:tcW w:w="1114" w:type="dxa"/>
          </w:tcPr>
          <w:p w:rsidR="00D849AA" w:rsidRPr="00A8412B" w:rsidRDefault="00EE6D95">
            <w:pPr>
              <w:rPr>
                <w:rFonts w:ascii="Arial" w:hAnsi="Arial" w:cs="Arial"/>
              </w:rPr>
            </w:pPr>
            <w:r w:rsidRPr="00A8412B">
              <w:rPr>
                <w:rFonts w:ascii="Arial" w:hAnsi="Arial" w:cs="Arial"/>
              </w:rPr>
              <w:t>1200</w:t>
            </w:r>
          </w:p>
        </w:tc>
        <w:tc>
          <w:tcPr>
            <w:tcW w:w="1486" w:type="dxa"/>
          </w:tcPr>
          <w:p w:rsidR="00D849AA" w:rsidRPr="00A8412B" w:rsidRDefault="00EE6D95">
            <w:pPr>
              <w:rPr>
                <w:rFonts w:ascii="Arial" w:hAnsi="Arial" w:cs="Arial"/>
              </w:rPr>
            </w:pPr>
            <w:r w:rsidRPr="00A8412B">
              <w:rPr>
                <w:rFonts w:ascii="Arial" w:hAnsi="Arial" w:cs="Arial"/>
              </w:rPr>
              <w:t>1400</w:t>
            </w:r>
          </w:p>
        </w:tc>
        <w:tc>
          <w:tcPr>
            <w:tcW w:w="1486" w:type="dxa"/>
          </w:tcPr>
          <w:p w:rsidR="00D849AA" w:rsidRPr="00A8412B" w:rsidRDefault="00EE6D95">
            <w:pPr>
              <w:rPr>
                <w:rFonts w:ascii="Arial" w:hAnsi="Arial" w:cs="Arial"/>
              </w:rPr>
            </w:pPr>
            <w:r w:rsidRPr="00A8412B">
              <w:rPr>
                <w:rFonts w:ascii="Arial" w:hAnsi="Arial" w:cs="Arial"/>
              </w:rPr>
              <w:t>1600</w:t>
            </w:r>
          </w:p>
        </w:tc>
        <w:tc>
          <w:tcPr>
            <w:tcW w:w="1486" w:type="dxa"/>
          </w:tcPr>
          <w:p w:rsidR="00D849AA" w:rsidRPr="00A8412B" w:rsidRDefault="00EE6D95">
            <w:pPr>
              <w:rPr>
                <w:rFonts w:ascii="Arial" w:hAnsi="Arial" w:cs="Arial"/>
              </w:rPr>
            </w:pPr>
            <w:r w:rsidRPr="00A8412B">
              <w:rPr>
                <w:rFonts w:ascii="Arial" w:hAnsi="Arial" w:cs="Arial"/>
              </w:rPr>
              <w:t>1800</w:t>
            </w:r>
          </w:p>
        </w:tc>
      </w:tr>
      <w:tr w:rsidR="00D849AA">
        <w:trPr>
          <w:jc w:val="center"/>
        </w:trPr>
        <w:tc>
          <w:tcPr>
            <w:tcW w:w="2229" w:type="dxa"/>
          </w:tcPr>
          <w:p w:rsidR="00D849AA" w:rsidRPr="00A8412B" w:rsidRDefault="00EE6D95">
            <w:pPr>
              <w:pStyle w:val="CellColumn"/>
            </w:pPr>
            <w:r w:rsidRPr="00A8412B">
              <w:t xml:space="preserve">Prevedena i implementirana nova verzija (verzija nakon </w:t>
            </w:r>
            <w:r w:rsidRPr="00A8412B">
              <w:lastRenderedPageBreak/>
              <w:t>verzije 4.4) Pojmovnika Eurovoc u normativnu bazu podataka</w:t>
            </w:r>
          </w:p>
        </w:tc>
        <w:tc>
          <w:tcPr>
            <w:tcW w:w="1114" w:type="dxa"/>
          </w:tcPr>
          <w:p w:rsidR="00D849AA" w:rsidRPr="00A8412B" w:rsidRDefault="00EE6D95">
            <w:pPr>
              <w:rPr>
                <w:rFonts w:ascii="Arial" w:hAnsi="Arial" w:cs="Arial"/>
              </w:rPr>
            </w:pPr>
            <w:r w:rsidRPr="00A8412B">
              <w:rPr>
                <w:rFonts w:ascii="Arial" w:hAnsi="Arial" w:cs="Arial"/>
              </w:rPr>
              <w:lastRenderedPageBreak/>
              <w:t>%</w:t>
            </w:r>
          </w:p>
        </w:tc>
        <w:tc>
          <w:tcPr>
            <w:tcW w:w="1114" w:type="dxa"/>
          </w:tcPr>
          <w:p w:rsidR="00D849AA" w:rsidRPr="00A8412B" w:rsidRDefault="00EE6D95">
            <w:pPr>
              <w:rPr>
                <w:rFonts w:ascii="Arial" w:hAnsi="Arial" w:cs="Arial"/>
              </w:rPr>
            </w:pPr>
            <w:r w:rsidRPr="00A8412B">
              <w:rPr>
                <w:rFonts w:ascii="Arial" w:hAnsi="Arial" w:cs="Arial"/>
              </w:rPr>
              <w:t>0</w:t>
            </w:r>
          </w:p>
        </w:tc>
        <w:tc>
          <w:tcPr>
            <w:tcW w:w="1486" w:type="dxa"/>
          </w:tcPr>
          <w:p w:rsidR="00D849AA" w:rsidRPr="00A8412B" w:rsidRDefault="00EE6D95">
            <w:pPr>
              <w:rPr>
                <w:rFonts w:ascii="Arial" w:hAnsi="Arial" w:cs="Arial"/>
              </w:rPr>
            </w:pPr>
            <w:r w:rsidRPr="00A8412B">
              <w:rPr>
                <w:rFonts w:ascii="Arial" w:hAnsi="Arial" w:cs="Arial"/>
              </w:rPr>
              <w:t>10</w:t>
            </w:r>
          </w:p>
        </w:tc>
        <w:tc>
          <w:tcPr>
            <w:tcW w:w="1486" w:type="dxa"/>
          </w:tcPr>
          <w:p w:rsidR="00D849AA" w:rsidRPr="00A8412B" w:rsidRDefault="00EE6D95">
            <w:pPr>
              <w:rPr>
                <w:rFonts w:ascii="Arial" w:hAnsi="Arial" w:cs="Arial"/>
              </w:rPr>
            </w:pPr>
            <w:r w:rsidRPr="00A8412B">
              <w:rPr>
                <w:rFonts w:ascii="Arial" w:hAnsi="Arial" w:cs="Arial"/>
              </w:rPr>
              <w:t>90</w:t>
            </w:r>
          </w:p>
        </w:tc>
        <w:tc>
          <w:tcPr>
            <w:tcW w:w="1486" w:type="dxa"/>
          </w:tcPr>
          <w:p w:rsidR="00D849AA" w:rsidRPr="00A8412B" w:rsidRDefault="00EE6D95">
            <w:pPr>
              <w:rPr>
                <w:rFonts w:ascii="Arial" w:hAnsi="Arial" w:cs="Arial"/>
              </w:rPr>
            </w:pPr>
            <w:r w:rsidRPr="00A8412B">
              <w:rPr>
                <w:rFonts w:ascii="Arial" w:hAnsi="Arial" w:cs="Arial"/>
              </w:rPr>
              <w:t>0</w:t>
            </w:r>
          </w:p>
        </w:tc>
      </w:tr>
      <w:tr w:rsidR="00D849AA">
        <w:trPr>
          <w:jc w:val="center"/>
        </w:trPr>
        <w:tc>
          <w:tcPr>
            <w:tcW w:w="2229" w:type="dxa"/>
          </w:tcPr>
          <w:p w:rsidR="00D849AA" w:rsidRPr="00A8412B" w:rsidRDefault="00EE6D95">
            <w:pPr>
              <w:pStyle w:val="CellColumn"/>
              <w:rPr>
                <w:szCs w:val="20"/>
              </w:rPr>
            </w:pPr>
            <w:r w:rsidRPr="00A8412B">
              <w:rPr>
                <w:szCs w:val="20"/>
              </w:rPr>
              <w:lastRenderedPageBreak/>
              <w:t>Elektronička objava prijevoda najnovije verzije Pojmovnika Eurovoc</w:t>
            </w:r>
          </w:p>
        </w:tc>
        <w:tc>
          <w:tcPr>
            <w:tcW w:w="1114" w:type="dxa"/>
          </w:tcPr>
          <w:p w:rsidR="00D849AA" w:rsidRPr="00A8412B" w:rsidRDefault="00EE6D95">
            <w:pPr>
              <w:rPr>
                <w:rFonts w:ascii="Arial" w:hAnsi="Arial" w:cs="Arial"/>
              </w:rPr>
            </w:pPr>
            <w:r w:rsidRPr="00A8412B">
              <w:rPr>
                <w:rFonts w:ascii="Arial" w:hAnsi="Arial" w:cs="Arial"/>
              </w:rPr>
              <w:t>%</w:t>
            </w:r>
          </w:p>
        </w:tc>
        <w:tc>
          <w:tcPr>
            <w:tcW w:w="1114" w:type="dxa"/>
          </w:tcPr>
          <w:p w:rsidR="00D849AA" w:rsidRPr="00A8412B" w:rsidRDefault="00EE6D95">
            <w:pPr>
              <w:rPr>
                <w:rFonts w:ascii="Arial" w:hAnsi="Arial" w:cs="Arial"/>
              </w:rPr>
            </w:pPr>
            <w:r w:rsidRPr="00A8412B">
              <w:rPr>
                <w:rFonts w:ascii="Arial" w:hAnsi="Arial" w:cs="Arial"/>
              </w:rPr>
              <w:t>0</w:t>
            </w:r>
          </w:p>
        </w:tc>
        <w:tc>
          <w:tcPr>
            <w:tcW w:w="1486" w:type="dxa"/>
          </w:tcPr>
          <w:p w:rsidR="00D849AA" w:rsidRPr="00A8412B" w:rsidRDefault="00EE6D95">
            <w:pPr>
              <w:rPr>
                <w:rFonts w:ascii="Arial" w:hAnsi="Arial" w:cs="Arial"/>
              </w:rPr>
            </w:pPr>
            <w:r w:rsidRPr="00A8412B">
              <w:rPr>
                <w:rFonts w:ascii="Arial" w:hAnsi="Arial" w:cs="Arial"/>
              </w:rPr>
              <w:t>0</w:t>
            </w:r>
          </w:p>
        </w:tc>
        <w:tc>
          <w:tcPr>
            <w:tcW w:w="1486" w:type="dxa"/>
          </w:tcPr>
          <w:p w:rsidR="00D849AA" w:rsidRPr="00A8412B" w:rsidRDefault="00EE6D95">
            <w:pPr>
              <w:rPr>
                <w:rFonts w:ascii="Arial" w:hAnsi="Arial" w:cs="Arial"/>
              </w:rPr>
            </w:pPr>
            <w:r w:rsidRPr="00A8412B">
              <w:rPr>
                <w:rFonts w:ascii="Arial" w:hAnsi="Arial" w:cs="Arial"/>
              </w:rPr>
              <w:t>100</w:t>
            </w:r>
          </w:p>
        </w:tc>
        <w:tc>
          <w:tcPr>
            <w:tcW w:w="1486" w:type="dxa"/>
          </w:tcPr>
          <w:p w:rsidR="00D849AA" w:rsidRPr="00A8412B" w:rsidRDefault="00EE6D95">
            <w:pPr>
              <w:rPr>
                <w:rFonts w:ascii="Arial" w:hAnsi="Arial" w:cs="Arial"/>
              </w:rPr>
            </w:pPr>
            <w:r w:rsidRPr="00A8412B">
              <w:rPr>
                <w:rFonts w:ascii="Arial" w:hAnsi="Arial" w:cs="Arial"/>
              </w:rPr>
              <w:t>0</w:t>
            </w:r>
          </w:p>
        </w:tc>
      </w:tr>
      <w:tr w:rsidR="00D849AA">
        <w:trPr>
          <w:jc w:val="center"/>
        </w:trPr>
        <w:tc>
          <w:tcPr>
            <w:tcW w:w="2229" w:type="dxa"/>
          </w:tcPr>
          <w:p w:rsidR="00D849AA" w:rsidRPr="00A8412B" w:rsidRDefault="00EE6D95">
            <w:pPr>
              <w:pStyle w:val="CellColumn"/>
              <w:rPr>
                <w:szCs w:val="20"/>
              </w:rPr>
            </w:pPr>
            <w:r w:rsidRPr="00A8412B">
              <w:rPr>
                <w:szCs w:val="20"/>
              </w:rPr>
              <w:t>Nacrt prijedloga propisa o Registru javne službene dokumentacije RH (sadržaju, načinu rada i postupanju s dokumentima)</w:t>
            </w:r>
          </w:p>
        </w:tc>
        <w:tc>
          <w:tcPr>
            <w:tcW w:w="1114" w:type="dxa"/>
          </w:tcPr>
          <w:p w:rsidR="00D849AA" w:rsidRPr="00A8412B" w:rsidRDefault="00EE6D95">
            <w:pPr>
              <w:rPr>
                <w:rFonts w:ascii="Arial" w:hAnsi="Arial" w:cs="Arial"/>
              </w:rPr>
            </w:pPr>
            <w:r w:rsidRPr="00A8412B">
              <w:rPr>
                <w:rFonts w:ascii="Arial" w:hAnsi="Arial" w:cs="Arial"/>
              </w:rPr>
              <w:t>%</w:t>
            </w:r>
          </w:p>
        </w:tc>
        <w:tc>
          <w:tcPr>
            <w:tcW w:w="1114" w:type="dxa"/>
          </w:tcPr>
          <w:p w:rsidR="00D849AA" w:rsidRPr="00A8412B" w:rsidRDefault="00EE6D95">
            <w:pPr>
              <w:rPr>
                <w:rFonts w:ascii="Arial" w:hAnsi="Arial" w:cs="Arial"/>
              </w:rPr>
            </w:pPr>
            <w:r w:rsidRPr="00A8412B">
              <w:rPr>
                <w:rFonts w:ascii="Arial" w:hAnsi="Arial" w:cs="Arial"/>
              </w:rPr>
              <w:t>0</w:t>
            </w:r>
          </w:p>
        </w:tc>
        <w:tc>
          <w:tcPr>
            <w:tcW w:w="1486" w:type="dxa"/>
          </w:tcPr>
          <w:p w:rsidR="00D849AA" w:rsidRPr="00A8412B" w:rsidRDefault="00EE6D95">
            <w:pPr>
              <w:rPr>
                <w:rFonts w:ascii="Arial" w:hAnsi="Arial" w:cs="Arial"/>
              </w:rPr>
            </w:pPr>
            <w:r w:rsidRPr="00A8412B">
              <w:rPr>
                <w:rFonts w:ascii="Arial" w:hAnsi="Arial" w:cs="Arial"/>
              </w:rPr>
              <w:t>20</w:t>
            </w:r>
          </w:p>
        </w:tc>
        <w:tc>
          <w:tcPr>
            <w:tcW w:w="1486" w:type="dxa"/>
          </w:tcPr>
          <w:p w:rsidR="00D849AA" w:rsidRPr="00A8412B" w:rsidRDefault="00EE6D95">
            <w:pPr>
              <w:rPr>
                <w:rFonts w:ascii="Arial" w:hAnsi="Arial" w:cs="Arial"/>
              </w:rPr>
            </w:pPr>
            <w:r w:rsidRPr="00A8412B">
              <w:rPr>
                <w:rFonts w:ascii="Arial" w:hAnsi="Arial" w:cs="Arial"/>
              </w:rPr>
              <w:t>50</w:t>
            </w:r>
          </w:p>
        </w:tc>
        <w:tc>
          <w:tcPr>
            <w:tcW w:w="1486" w:type="dxa"/>
          </w:tcPr>
          <w:p w:rsidR="00D849AA" w:rsidRPr="00A8412B" w:rsidRDefault="00EE6D95">
            <w:pPr>
              <w:rPr>
                <w:rFonts w:ascii="Arial" w:hAnsi="Arial" w:cs="Arial"/>
              </w:rPr>
            </w:pPr>
            <w:r w:rsidRPr="00A8412B">
              <w:rPr>
                <w:rFonts w:ascii="Arial" w:hAnsi="Arial" w:cs="Arial"/>
              </w:rPr>
              <w:t>30</w:t>
            </w:r>
          </w:p>
        </w:tc>
      </w:tr>
      <w:tr w:rsidR="00D849AA">
        <w:trPr>
          <w:jc w:val="center"/>
        </w:trPr>
        <w:tc>
          <w:tcPr>
            <w:tcW w:w="2229" w:type="dxa"/>
          </w:tcPr>
          <w:p w:rsidR="00D849AA" w:rsidRPr="00A8412B" w:rsidRDefault="00EE6D95">
            <w:pPr>
              <w:pStyle w:val="CellColumn"/>
              <w:rPr>
                <w:szCs w:val="20"/>
              </w:rPr>
            </w:pPr>
            <w:r w:rsidRPr="00A8412B">
              <w:rPr>
                <w:szCs w:val="20"/>
              </w:rPr>
              <w:t>Projekt uspostave Registra javne službene dokumentacije RH</w:t>
            </w:r>
          </w:p>
        </w:tc>
        <w:tc>
          <w:tcPr>
            <w:tcW w:w="1114" w:type="dxa"/>
          </w:tcPr>
          <w:p w:rsidR="00D849AA" w:rsidRPr="00A8412B" w:rsidRDefault="00EE6D95">
            <w:pPr>
              <w:rPr>
                <w:rFonts w:ascii="Arial" w:hAnsi="Arial" w:cs="Arial"/>
              </w:rPr>
            </w:pPr>
            <w:r w:rsidRPr="00A8412B">
              <w:rPr>
                <w:rFonts w:ascii="Arial" w:hAnsi="Arial" w:cs="Arial"/>
              </w:rPr>
              <w:t>%</w:t>
            </w:r>
          </w:p>
        </w:tc>
        <w:tc>
          <w:tcPr>
            <w:tcW w:w="1114" w:type="dxa"/>
          </w:tcPr>
          <w:p w:rsidR="00D849AA" w:rsidRPr="00A8412B" w:rsidRDefault="00EE6D95">
            <w:pPr>
              <w:rPr>
                <w:rFonts w:ascii="Arial" w:hAnsi="Arial" w:cs="Arial"/>
              </w:rPr>
            </w:pPr>
            <w:r w:rsidRPr="00A8412B">
              <w:rPr>
                <w:rFonts w:ascii="Arial" w:hAnsi="Arial" w:cs="Arial"/>
              </w:rPr>
              <w:t>0</w:t>
            </w:r>
          </w:p>
        </w:tc>
        <w:tc>
          <w:tcPr>
            <w:tcW w:w="1486" w:type="dxa"/>
          </w:tcPr>
          <w:p w:rsidR="00D849AA" w:rsidRPr="00A8412B" w:rsidRDefault="00EE6D95">
            <w:pPr>
              <w:rPr>
                <w:rFonts w:ascii="Arial" w:hAnsi="Arial" w:cs="Arial"/>
              </w:rPr>
            </w:pPr>
            <w:r w:rsidRPr="00A8412B">
              <w:rPr>
                <w:rFonts w:ascii="Arial" w:hAnsi="Arial" w:cs="Arial"/>
              </w:rPr>
              <w:t>10</w:t>
            </w:r>
          </w:p>
        </w:tc>
        <w:tc>
          <w:tcPr>
            <w:tcW w:w="1486" w:type="dxa"/>
          </w:tcPr>
          <w:p w:rsidR="00D849AA" w:rsidRPr="00A8412B" w:rsidRDefault="00EE6D95">
            <w:pPr>
              <w:rPr>
                <w:rFonts w:ascii="Arial" w:hAnsi="Arial" w:cs="Arial"/>
              </w:rPr>
            </w:pPr>
            <w:r w:rsidRPr="00A8412B">
              <w:rPr>
                <w:rFonts w:ascii="Arial" w:hAnsi="Arial" w:cs="Arial"/>
              </w:rPr>
              <w:t>80</w:t>
            </w:r>
          </w:p>
        </w:tc>
        <w:tc>
          <w:tcPr>
            <w:tcW w:w="1486" w:type="dxa"/>
          </w:tcPr>
          <w:p w:rsidR="00D849AA" w:rsidRPr="00A8412B" w:rsidRDefault="00EE6D95">
            <w:pPr>
              <w:rPr>
                <w:rFonts w:ascii="Arial" w:hAnsi="Arial" w:cs="Arial"/>
              </w:rPr>
            </w:pPr>
            <w:r w:rsidRPr="00A8412B">
              <w:rPr>
                <w:rFonts w:ascii="Arial" w:hAnsi="Arial" w:cs="Arial"/>
              </w:rPr>
              <w:t>10</w:t>
            </w:r>
          </w:p>
        </w:tc>
      </w:tr>
      <w:tr w:rsidR="00D849AA">
        <w:trPr>
          <w:jc w:val="center"/>
        </w:trPr>
        <w:tc>
          <w:tcPr>
            <w:tcW w:w="2229" w:type="dxa"/>
          </w:tcPr>
          <w:p w:rsidR="00D849AA" w:rsidRPr="00A8412B" w:rsidRDefault="00EE6D95">
            <w:pPr>
              <w:pStyle w:val="CellColumn"/>
              <w:rPr>
                <w:szCs w:val="20"/>
              </w:rPr>
            </w:pPr>
            <w:r w:rsidRPr="00A8412B">
              <w:rPr>
                <w:szCs w:val="20"/>
              </w:rPr>
              <w:t>Nove teme i usluge na portalu Ureda</w:t>
            </w:r>
          </w:p>
        </w:tc>
        <w:tc>
          <w:tcPr>
            <w:tcW w:w="1114" w:type="dxa"/>
          </w:tcPr>
          <w:p w:rsidR="00D849AA" w:rsidRPr="00A8412B" w:rsidRDefault="00EE6D95">
            <w:pPr>
              <w:rPr>
                <w:rFonts w:ascii="Arial" w:hAnsi="Arial" w:cs="Arial"/>
              </w:rPr>
            </w:pPr>
            <w:r w:rsidRPr="00A8412B">
              <w:rPr>
                <w:rFonts w:ascii="Arial" w:hAnsi="Arial" w:cs="Arial"/>
              </w:rPr>
              <w:t>broj</w:t>
            </w:r>
          </w:p>
        </w:tc>
        <w:tc>
          <w:tcPr>
            <w:tcW w:w="1114" w:type="dxa"/>
          </w:tcPr>
          <w:p w:rsidR="00D849AA" w:rsidRPr="00A8412B" w:rsidRDefault="00EE6D95">
            <w:pPr>
              <w:rPr>
                <w:rFonts w:ascii="Arial" w:hAnsi="Arial" w:cs="Arial"/>
              </w:rPr>
            </w:pPr>
            <w:r w:rsidRPr="00A8412B">
              <w:rPr>
                <w:rFonts w:ascii="Arial" w:hAnsi="Arial" w:cs="Arial"/>
              </w:rPr>
              <w:t>5</w:t>
            </w:r>
          </w:p>
        </w:tc>
        <w:tc>
          <w:tcPr>
            <w:tcW w:w="1486" w:type="dxa"/>
          </w:tcPr>
          <w:p w:rsidR="00D849AA" w:rsidRPr="00A8412B" w:rsidRDefault="00EE6D95">
            <w:pPr>
              <w:rPr>
                <w:rFonts w:ascii="Arial" w:hAnsi="Arial" w:cs="Arial"/>
              </w:rPr>
            </w:pPr>
            <w:r w:rsidRPr="00A8412B">
              <w:rPr>
                <w:rFonts w:ascii="Arial" w:hAnsi="Arial" w:cs="Arial"/>
              </w:rPr>
              <w:t>1</w:t>
            </w:r>
          </w:p>
        </w:tc>
        <w:tc>
          <w:tcPr>
            <w:tcW w:w="1486" w:type="dxa"/>
          </w:tcPr>
          <w:p w:rsidR="00D849AA" w:rsidRPr="00A8412B" w:rsidRDefault="00EE6D95">
            <w:pPr>
              <w:rPr>
                <w:rFonts w:ascii="Arial" w:hAnsi="Arial" w:cs="Arial"/>
              </w:rPr>
            </w:pPr>
            <w:r w:rsidRPr="00A8412B">
              <w:rPr>
                <w:rFonts w:ascii="Arial" w:hAnsi="Arial" w:cs="Arial"/>
              </w:rPr>
              <w:t>2</w:t>
            </w:r>
          </w:p>
        </w:tc>
        <w:tc>
          <w:tcPr>
            <w:tcW w:w="1486" w:type="dxa"/>
          </w:tcPr>
          <w:p w:rsidR="00D849AA" w:rsidRPr="00A8412B" w:rsidRDefault="00EE6D95">
            <w:pPr>
              <w:rPr>
                <w:rFonts w:ascii="Arial" w:hAnsi="Arial" w:cs="Arial"/>
              </w:rPr>
            </w:pPr>
            <w:r w:rsidRPr="00A8412B">
              <w:rPr>
                <w:rFonts w:ascii="Arial" w:hAnsi="Arial" w:cs="Arial"/>
              </w:rPr>
              <w:t>1</w:t>
            </w:r>
          </w:p>
        </w:tc>
      </w:tr>
      <w:tr w:rsidR="00D849AA">
        <w:trPr>
          <w:jc w:val="center"/>
        </w:trPr>
        <w:tc>
          <w:tcPr>
            <w:tcW w:w="2229" w:type="dxa"/>
          </w:tcPr>
          <w:p w:rsidR="00D849AA" w:rsidRPr="00A8412B" w:rsidRDefault="00EE6D95">
            <w:pPr>
              <w:pStyle w:val="CellColumn"/>
              <w:rPr>
                <w:szCs w:val="20"/>
              </w:rPr>
            </w:pPr>
            <w:r w:rsidRPr="00A8412B">
              <w:rPr>
                <w:szCs w:val="20"/>
              </w:rPr>
              <w:t>Dodatne funkcionalnosti na portalu Ureda</w:t>
            </w:r>
          </w:p>
        </w:tc>
        <w:tc>
          <w:tcPr>
            <w:tcW w:w="1114" w:type="dxa"/>
          </w:tcPr>
          <w:p w:rsidR="00D849AA" w:rsidRPr="00A8412B" w:rsidRDefault="00EE6D95">
            <w:pPr>
              <w:rPr>
                <w:rFonts w:ascii="Arial" w:hAnsi="Arial" w:cs="Arial"/>
              </w:rPr>
            </w:pPr>
            <w:r w:rsidRPr="00A8412B">
              <w:rPr>
                <w:rFonts w:ascii="Arial" w:hAnsi="Arial" w:cs="Arial"/>
              </w:rPr>
              <w:t>%</w:t>
            </w:r>
          </w:p>
        </w:tc>
        <w:tc>
          <w:tcPr>
            <w:tcW w:w="1114" w:type="dxa"/>
          </w:tcPr>
          <w:p w:rsidR="00D849AA" w:rsidRPr="00A8412B" w:rsidRDefault="00EE6D95">
            <w:pPr>
              <w:rPr>
                <w:rFonts w:ascii="Arial" w:hAnsi="Arial" w:cs="Arial"/>
              </w:rPr>
            </w:pPr>
            <w:r w:rsidRPr="00A8412B">
              <w:rPr>
                <w:rFonts w:ascii="Arial" w:hAnsi="Arial" w:cs="Arial"/>
              </w:rPr>
              <w:t>70</w:t>
            </w:r>
          </w:p>
        </w:tc>
        <w:tc>
          <w:tcPr>
            <w:tcW w:w="1486" w:type="dxa"/>
          </w:tcPr>
          <w:p w:rsidR="00D849AA" w:rsidRPr="00A8412B" w:rsidRDefault="00EE6D95">
            <w:pPr>
              <w:rPr>
                <w:rFonts w:ascii="Arial" w:hAnsi="Arial" w:cs="Arial"/>
              </w:rPr>
            </w:pPr>
            <w:r w:rsidRPr="00A8412B">
              <w:rPr>
                <w:rFonts w:ascii="Arial" w:hAnsi="Arial" w:cs="Arial"/>
              </w:rPr>
              <w:t>10</w:t>
            </w:r>
          </w:p>
        </w:tc>
        <w:tc>
          <w:tcPr>
            <w:tcW w:w="1486" w:type="dxa"/>
          </w:tcPr>
          <w:p w:rsidR="00D849AA" w:rsidRPr="00A8412B" w:rsidRDefault="00EE6D95">
            <w:pPr>
              <w:rPr>
                <w:rFonts w:ascii="Arial" w:hAnsi="Arial" w:cs="Arial"/>
              </w:rPr>
            </w:pPr>
            <w:r w:rsidRPr="00A8412B">
              <w:rPr>
                <w:rFonts w:ascii="Arial" w:hAnsi="Arial" w:cs="Arial"/>
              </w:rPr>
              <w:t>10</w:t>
            </w:r>
          </w:p>
        </w:tc>
        <w:tc>
          <w:tcPr>
            <w:tcW w:w="1486" w:type="dxa"/>
          </w:tcPr>
          <w:p w:rsidR="00D849AA" w:rsidRPr="00A8412B" w:rsidRDefault="00EE6D95">
            <w:pPr>
              <w:rPr>
                <w:rFonts w:ascii="Arial" w:hAnsi="Arial" w:cs="Arial"/>
              </w:rPr>
            </w:pPr>
            <w:r w:rsidRPr="00A8412B">
              <w:rPr>
                <w:rFonts w:ascii="Arial" w:hAnsi="Arial" w:cs="Arial"/>
              </w:rPr>
              <w:t>10</w:t>
            </w:r>
          </w:p>
        </w:tc>
      </w:tr>
      <w:tr w:rsidR="00D849AA">
        <w:trPr>
          <w:jc w:val="center"/>
        </w:trPr>
        <w:tc>
          <w:tcPr>
            <w:tcW w:w="2229" w:type="dxa"/>
          </w:tcPr>
          <w:p w:rsidR="00D849AA" w:rsidRPr="00A8412B" w:rsidRDefault="00EE6D95">
            <w:pPr>
              <w:pStyle w:val="CellColumn"/>
              <w:rPr>
                <w:szCs w:val="20"/>
              </w:rPr>
            </w:pPr>
            <w:r w:rsidRPr="00A8412B">
              <w:rPr>
                <w:szCs w:val="20"/>
              </w:rPr>
              <w:t>Pregled i broj objavljenih publikacija</w:t>
            </w:r>
          </w:p>
        </w:tc>
        <w:tc>
          <w:tcPr>
            <w:tcW w:w="1114" w:type="dxa"/>
          </w:tcPr>
          <w:p w:rsidR="00D849AA" w:rsidRPr="00A8412B" w:rsidRDefault="00EE6D95">
            <w:pPr>
              <w:rPr>
                <w:rFonts w:ascii="Arial" w:hAnsi="Arial" w:cs="Arial"/>
              </w:rPr>
            </w:pPr>
            <w:r w:rsidRPr="00A8412B">
              <w:rPr>
                <w:rFonts w:ascii="Arial" w:hAnsi="Arial" w:cs="Arial"/>
              </w:rPr>
              <w:t>broj</w:t>
            </w:r>
          </w:p>
        </w:tc>
        <w:tc>
          <w:tcPr>
            <w:tcW w:w="1114" w:type="dxa"/>
          </w:tcPr>
          <w:p w:rsidR="00D849AA" w:rsidRPr="00A8412B" w:rsidRDefault="00EE6D95">
            <w:pPr>
              <w:rPr>
                <w:rFonts w:ascii="Arial" w:hAnsi="Arial" w:cs="Arial"/>
              </w:rPr>
            </w:pPr>
            <w:r w:rsidRPr="00A8412B">
              <w:rPr>
                <w:rFonts w:ascii="Arial" w:hAnsi="Arial" w:cs="Arial"/>
              </w:rPr>
              <w:t>5</w:t>
            </w:r>
          </w:p>
        </w:tc>
        <w:tc>
          <w:tcPr>
            <w:tcW w:w="1486" w:type="dxa"/>
          </w:tcPr>
          <w:p w:rsidR="00D849AA" w:rsidRPr="00A8412B" w:rsidRDefault="00EE6D95">
            <w:pPr>
              <w:rPr>
                <w:rFonts w:ascii="Arial" w:hAnsi="Arial" w:cs="Arial"/>
              </w:rPr>
            </w:pPr>
            <w:r w:rsidRPr="00A8412B">
              <w:rPr>
                <w:rFonts w:ascii="Arial" w:hAnsi="Arial" w:cs="Arial"/>
              </w:rPr>
              <w:t>4</w:t>
            </w:r>
          </w:p>
        </w:tc>
        <w:tc>
          <w:tcPr>
            <w:tcW w:w="1486" w:type="dxa"/>
          </w:tcPr>
          <w:p w:rsidR="00D849AA" w:rsidRPr="00A8412B" w:rsidRDefault="00EE6D95">
            <w:pPr>
              <w:rPr>
                <w:rFonts w:ascii="Arial" w:hAnsi="Arial" w:cs="Arial"/>
              </w:rPr>
            </w:pPr>
            <w:r w:rsidRPr="00A8412B">
              <w:rPr>
                <w:rFonts w:ascii="Arial" w:hAnsi="Arial" w:cs="Arial"/>
              </w:rPr>
              <w:t>4</w:t>
            </w:r>
          </w:p>
        </w:tc>
        <w:tc>
          <w:tcPr>
            <w:tcW w:w="1486" w:type="dxa"/>
          </w:tcPr>
          <w:p w:rsidR="00D849AA" w:rsidRPr="00A8412B" w:rsidRDefault="00EE6D95">
            <w:pPr>
              <w:rPr>
                <w:rFonts w:ascii="Arial" w:hAnsi="Arial" w:cs="Arial"/>
              </w:rPr>
            </w:pPr>
            <w:r w:rsidRPr="00A8412B">
              <w:rPr>
                <w:rFonts w:ascii="Arial" w:hAnsi="Arial" w:cs="Arial"/>
              </w:rPr>
              <w:t>4</w:t>
            </w:r>
          </w:p>
        </w:tc>
      </w:tr>
      <w:tr w:rsidR="00D849AA">
        <w:trPr>
          <w:jc w:val="center"/>
        </w:trPr>
        <w:tc>
          <w:tcPr>
            <w:tcW w:w="2229" w:type="dxa"/>
          </w:tcPr>
          <w:p w:rsidR="00D849AA" w:rsidRPr="00A8412B" w:rsidRDefault="00EE6D95">
            <w:pPr>
              <w:pStyle w:val="CellColumn"/>
              <w:rPr>
                <w:szCs w:val="20"/>
              </w:rPr>
            </w:pPr>
            <w:r w:rsidRPr="00A8412B">
              <w:rPr>
                <w:szCs w:val="20"/>
              </w:rPr>
              <w:t xml:space="preserve">Sudjelovanje u projektu Središnji državni portal s temama: </w:t>
            </w:r>
          </w:p>
          <w:p w:rsidR="00D849AA" w:rsidRPr="00A8412B" w:rsidRDefault="00EE6D95">
            <w:pPr>
              <w:pStyle w:val="CellColumn"/>
              <w:rPr>
                <w:szCs w:val="20"/>
              </w:rPr>
            </w:pPr>
            <w:r w:rsidRPr="00A8412B">
              <w:rPr>
                <w:szCs w:val="20"/>
              </w:rPr>
              <w:t>-</w:t>
            </w:r>
            <w:r w:rsidRPr="00A8412B">
              <w:rPr>
                <w:szCs w:val="20"/>
              </w:rPr>
              <w:tab/>
              <w:t xml:space="preserve">Središnji katalog službenih dokumenata Republike Hrvatske </w:t>
            </w:r>
          </w:p>
          <w:p w:rsidR="00D849AA" w:rsidRPr="00A8412B" w:rsidRDefault="00EE6D95">
            <w:pPr>
              <w:pStyle w:val="CellColumn"/>
              <w:rPr>
                <w:szCs w:val="20"/>
              </w:rPr>
            </w:pPr>
            <w:r w:rsidRPr="00A8412B">
              <w:rPr>
                <w:szCs w:val="20"/>
              </w:rPr>
              <w:t>-</w:t>
            </w:r>
            <w:r w:rsidRPr="00A8412B">
              <w:rPr>
                <w:szCs w:val="20"/>
              </w:rPr>
              <w:tab/>
              <w:t xml:space="preserve">Adresar TJV </w:t>
            </w:r>
          </w:p>
          <w:p w:rsidR="00D849AA" w:rsidRPr="00A8412B" w:rsidRDefault="00EE6D95">
            <w:pPr>
              <w:pStyle w:val="CellColumn"/>
              <w:rPr>
                <w:szCs w:val="20"/>
              </w:rPr>
            </w:pPr>
            <w:r w:rsidRPr="00A8412B">
              <w:rPr>
                <w:szCs w:val="20"/>
              </w:rPr>
              <w:t>-</w:t>
            </w:r>
            <w:r w:rsidRPr="00A8412B">
              <w:rPr>
                <w:szCs w:val="20"/>
              </w:rPr>
              <w:tab/>
              <w:t>Novim temama i oblicima podataka sukladno razvoju Portala</w:t>
            </w:r>
          </w:p>
        </w:tc>
        <w:tc>
          <w:tcPr>
            <w:tcW w:w="1114" w:type="dxa"/>
          </w:tcPr>
          <w:p w:rsidR="00D849AA" w:rsidRPr="00A8412B" w:rsidRDefault="00EE6D95">
            <w:pPr>
              <w:rPr>
                <w:rFonts w:ascii="Arial" w:hAnsi="Arial" w:cs="Arial"/>
              </w:rPr>
            </w:pPr>
            <w:r w:rsidRPr="00A8412B">
              <w:rPr>
                <w:rFonts w:ascii="Arial" w:hAnsi="Arial" w:cs="Arial"/>
              </w:rPr>
              <w:t>broj tema</w:t>
            </w:r>
          </w:p>
        </w:tc>
        <w:tc>
          <w:tcPr>
            <w:tcW w:w="1114" w:type="dxa"/>
          </w:tcPr>
          <w:p w:rsidR="00D849AA" w:rsidRPr="00A8412B" w:rsidRDefault="00EE6D95">
            <w:pPr>
              <w:rPr>
                <w:rFonts w:ascii="Arial" w:hAnsi="Arial" w:cs="Arial"/>
              </w:rPr>
            </w:pPr>
            <w:r w:rsidRPr="00A8412B">
              <w:rPr>
                <w:rFonts w:ascii="Arial" w:hAnsi="Arial" w:cs="Arial"/>
              </w:rPr>
              <w:t>2</w:t>
            </w:r>
          </w:p>
        </w:tc>
        <w:tc>
          <w:tcPr>
            <w:tcW w:w="1486" w:type="dxa"/>
          </w:tcPr>
          <w:p w:rsidR="00D849AA" w:rsidRPr="00A8412B" w:rsidRDefault="00EE6D95">
            <w:pPr>
              <w:rPr>
                <w:rFonts w:ascii="Arial" w:hAnsi="Arial" w:cs="Arial"/>
              </w:rPr>
            </w:pPr>
            <w:r w:rsidRPr="00A8412B">
              <w:rPr>
                <w:rFonts w:ascii="Arial" w:hAnsi="Arial" w:cs="Arial"/>
              </w:rPr>
              <w:t>2</w:t>
            </w:r>
          </w:p>
        </w:tc>
        <w:tc>
          <w:tcPr>
            <w:tcW w:w="1486" w:type="dxa"/>
          </w:tcPr>
          <w:p w:rsidR="00D849AA" w:rsidRPr="00A8412B" w:rsidRDefault="00EE6D95">
            <w:pPr>
              <w:rPr>
                <w:rFonts w:ascii="Arial" w:hAnsi="Arial" w:cs="Arial"/>
              </w:rPr>
            </w:pPr>
            <w:r w:rsidRPr="00A8412B">
              <w:rPr>
                <w:rFonts w:ascii="Arial" w:hAnsi="Arial" w:cs="Arial"/>
              </w:rPr>
              <w:t>3</w:t>
            </w:r>
          </w:p>
        </w:tc>
        <w:tc>
          <w:tcPr>
            <w:tcW w:w="1486" w:type="dxa"/>
          </w:tcPr>
          <w:p w:rsidR="00D849AA" w:rsidRPr="00A8412B" w:rsidRDefault="00EE6D95">
            <w:pPr>
              <w:rPr>
                <w:rFonts w:ascii="Arial" w:hAnsi="Arial" w:cs="Arial"/>
              </w:rPr>
            </w:pPr>
            <w:r w:rsidRPr="00A8412B">
              <w:rPr>
                <w:rFonts w:ascii="Arial" w:hAnsi="Arial" w:cs="Arial"/>
              </w:rPr>
              <w:t>3</w:t>
            </w:r>
          </w:p>
        </w:tc>
      </w:tr>
      <w:tr w:rsidR="00D849AA">
        <w:trPr>
          <w:jc w:val="center"/>
        </w:trPr>
        <w:tc>
          <w:tcPr>
            <w:tcW w:w="2229" w:type="dxa"/>
          </w:tcPr>
          <w:p w:rsidR="00D849AA" w:rsidRPr="00A8412B" w:rsidRDefault="00EE6D95">
            <w:pPr>
              <w:pStyle w:val="CellColumn"/>
              <w:rPr>
                <w:szCs w:val="20"/>
              </w:rPr>
            </w:pPr>
            <w:r w:rsidRPr="00A8412B">
              <w:rPr>
                <w:szCs w:val="20"/>
              </w:rPr>
              <w:t xml:space="preserve">Sudjelovanje na portalu  Hrvatska kulturna baština s temama: </w:t>
            </w:r>
          </w:p>
          <w:p w:rsidR="00D849AA" w:rsidRPr="00A8412B" w:rsidRDefault="00A8412B">
            <w:pPr>
              <w:pStyle w:val="CellColumn"/>
              <w:rPr>
                <w:szCs w:val="20"/>
              </w:rPr>
            </w:pPr>
            <w:r>
              <w:rPr>
                <w:szCs w:val="20"/>
              </w:rPr>
              <w:t>-</w:t>
            </w:r>
            <w:r w:rsidR="00EE6D95" w:rsidRPr="00A8412B">
              <w:rPr>
                <w:szCs w:val="20"/>
              </w:rPr>
              <w:t xml:space="preserve">Središnji katalog službenih dokumenata Republike Hrvatske </w:t>
            </w:r>
          </w:p>
          <w:p w:rsidR="00D849AA" w:rsidRPr="00A8412B" w:rsidRDefault="00EE6D95">
            <w:pPr>
              <w:pStyle w:val="CellColumn"/>
              <w:rPr>
                <w:szCs w:val="20"/>
              </w:rPr>
            </w:pPr>
            <w:r w:rsidRPr="00A8412B">
              <w:rPr>
                <w:szCs w:val="20"/>
              </w:rPr>
              <w:t>-Dokumentacija političkih stranaka</w:t>
            </w:r>
          </w:p>
        </w:tc>
        <w:tc>
          <w:tcPr>
            <w:tcW w:w="1114" w:type="dxa"/>
          </w:tcPr>
          <w:p w:rsidR="00D849AA" w:rsidRPr="00A8412B" w:rsidRDefault="00EE6D95">
            <w:pPr>
              <w:rPr>
                <w:rFonts w:ascii="Arial" w:hAnsi="Arial" w:cs="Arial"/>
              </w:rPr>
            </w:pPr>
            <w:r w:rsidRPr="00A8412B">
              <w:rPr>
                <w:rFonts w:ascii="Arial" w:hAnsi="Arial" w:cs="Arial"/>
              </w:rPr>
              <w:t>broj tema</w:t>
            </w:r>
          </w:p>
        </w:tc>
        <w:tc>
          <w:tcPr>
            <w:tcW w:w="1114" w:type="dxa"/>
          </w:tcPr>
          <w:p w:rsidR="00D849AA" w:rsidRPr="00A8412B" w:rsidRDefault="00EE6D95">
            <w:pPr>
              <w:rPr>
                <w:rFonts w:ascii="Arial" w:hAnsi="Arial" w:cs="Arial"/>
              </w:rPr>
            </w:pPr>
            <w:r w:rsidRPr="00A8412B">
              <w:rPr>
                <w:rFonts w:ascii="Arial" w:hAnsi="Arial" w:cs="Arial"/>
              </w:rPr>
              <w:t>2</w:t>
            </w:r>
          </w:p>
        </w:tc>
        <w:tc>
          <w:tcPr>
            <w:tcW w:w="1486" w:type="dxa"/>
          </w:tcPr>
          <w:p w:rsidR="00D849AA" w:rsidRPr="00A8412B" w:rsidRDefault="00EE6D95">
            <w:pPr>
              <w:rPr>
                <w:rFonts w:ascii="Arial" w:hAnsi="Arial" w:cs="Arial"/>
              </w:rPr>
            </w:pPr>
            <w:r w:rsidRPr="00A8412B">
              <w:rPr>
                <w:rFonts w:ascii="Arial" w:hAnsi="Arial" w:cs="Arial"/>
              </w:rPr>
              <w:t>2</w:t>
            </w:r>
          </w:p>
        </w:tc>
        <w:tc>
          <w:tcPr>
            <w:tcW w:w="1486" w:type="dxa"/>
          </w:tcPr>
          <w:p w:rsidR="00D849AA" w:rsidRPr="00A8412B" w:rsidRDefault="00EE6D95">
            <w:pPr>
              <w:rPr>
                <w:rFonts w:ascii="Arial" w:hAnsi="Arial" w:cs="Arial"/>
              </w:rPr>
            </w:pPr>
            <w:r w:rsidRPr="00A8412B">
              <w:rPr>
                <w:rFonts w:ascii="Arial" w:hAnsi="Arial" w:cs="Arial"/>
              </w:rPr>
              <w:t>2</w:t>
            </w:r>
          </w:p>
        </w:tc>
        <w:tc>
          <w:tcPr>
            <w:tcW w:w="1486" w:type="dxa"/>
          </w:tcPr>
          <w:p w:rsidR="00D849AA" w:rsidRPr="00A8412B" w:rsidRDefault="00EE6D95">
            <w:pPr>
              <w:rPr>
                <w:rFonts w:ascii="Arial" w:hAnsi="Arial" w:cs="Arial"/>
              </w:rPr>
            </w:pPr>
            <w:r w:rsidRPr="00A8412B">
              <w:rPr>
                <w:rFonts w:ascii="Arial" w:hAnsi="Arial" w:cs="Arial"/>
              </w:rPr>
              <w:t>2</w:t>
            </w:r>
          </w:p>
        </w:tc>
      </w:tr>
      <w:tr w:rsidR="00D849AA">
        <w:trPr>
          <w:jc w:val="center"/>
        </w:trPr>
        <w:tc>
          <w:tcPr>
            <w:tcW w:w="2229" w:type="dxa"/>
          </w:tcPr>
          <w:p w:rsidR="00D849AA" w:rsidRPr="00A8412B" w:rsidRDefault="00EE6D95">
            <w:pPr>
              <w:pStyle w:val="CellColumn"/>
              <w:rPr>
                <w:szCs w:val="20"/>
              </w:rPr>
            </w:pPr>
            <w:r w:rsidRPr="00A8412B">
              <w:rPr>
                <w:szCs w:val="20"/>
              </w:rPr>
              <w:lastRenderedPageBreak/>
              <w:t>Broj radionica prihvaćenih programa u sklopu stalne izobrazbe javnih i državnih službenika koju organiziraju i provode tijela javne vlasti</w:t>
            </w:r>
          </w:p>
        </w:tc>
        <w:tc>
          <w:tcPr>
            <w:tcW w:w="1114" w:type="dxa"/>
          </w:tcPr>
          <w:p w:rsidR="00D849AA" w:rsidRPr="00A8412B" w:rsidRDefault="00EE6D95">
            <w:pPr>
              <w:rPr>
                <w:rFonts w:ascii="Arial" w:hAnsi="Arial" w:cs="Arial"/>
              </w:rPr>
            </w:pPr>
            <w:r w:rsidRPr="00A8412B">
              <w:rPr>
                <w:rFonts w:ascii="Arial" w:hAnsi="Arial" w:cs="Arial"/>
              </w:rPr>
              <w:t>broj</w:t>
            </w:r>
          </w:p>
        </w:tc>
        <w:tc>
          <w:tcPr>
            <w:tcW w:w="1114" w:type="dxa"/>
          </w:tcPr>
          <w:p w:rsidR="00D849AA" w:rsidRPr="00A8412B" w:rsidRDefault="00EE6D95">
            <w:pPr>
              <w:rPr>
                <w:rFonts w:ascii="Arial" w:hAnsi="Arial" w:cs="Arial"/>
              </w:rPr>
            </w:pPr>
            <w:r w:rsidRPr="00A8412B">
              <w:rPr>
                <w:rFonts w:ascii="Arial" w:hAnsi="Arial" w:cs="Arial"/>
              </w:rPr>
              <w:t>2</w:t>
            </w:r>
          </w:p>
        </w:tc>
        <w:tc>
          <w:tcPr>
            <w:tcW w:w="1486" w:type="dxa"/>
          </w:tcPr>
          <w:p w:rsidR="00D849AA" w:rsidRPr="00A8412B" w:rsidRDefault="00EE6D95">
            <w:pPr>
              <w:rPr>
                <w:rFonts w:ascii="Arial" w:hAnsi="Arial" w:cs="Arial"/>
              </w:rPr>
            </w:pPr>
            <w:r w:rsidRPr="00A8412B">
              <w:rPr>
                <w:rFonts w:ascii="Arial" w:hAnsi="Arial" w:cs="Arial"/>
              </w:rPr>
              <w:t>4</w:t>
            </w:r>
          </w:p>
        </w:tc>
        <w:tc>
          <w:tcPr>
            <w:tcW w:w="1486" w:type="dxa"/>
          </w:tcPr>
          <w:p w:rsidR="00D849AA" w:rsidRPr="00A8412B" w:rsidRDefault="00EE6D95">
            <w:pPr>
              <w:rPr>
                <w:rFonts w:ascii="Arial" w:hAnsi="Arial" w:cs="Arial"/>
              </w:rPr>
            </w:pPr>
            <w:r w:rsidRPr="00A8412B">
              <w:rPr>
                <w:rFonts w:ascii="Arial" w:hAnsi="Arial" w:cs="Arial"/>
              </w:rPr>
              <w:t>4</w:t>
            </w:r>
          </w:p>
        </w:tc>
        <w:tc>
          <w:tcPr>
            <w:tcW w:w="1486" w:type="dxa"/>
          </w:tcPr>
          <w:p w:rsidR="00D849AA" w:rsidRPr="00A8412B" w:rsidRDefault="00EE6D95">
            <w:pPr>
              <w:rPr>
                <w:rFonts w:ascii="Arial" w:hAnsi="Arial" w:cs="Arial"/>
              </w:rPr>
            </w:pPr>
            <w:r w:rsidRPr="00A8412B">
              <w:rPr>
                <w:rFonts w:ascii="Arial" w:hAnsi="Arial" w:cs="Arial"/>
              </w:rPr>
              <w:t>4</w:t>
            </w:r>
          </w:p>
        </w:tc>
      </w:tr>
      <w:tr w:rsidR="00D849AA">
        <w:trPr>
          <w:jc w:val="center"/>
        </w:trPr>
        <w:tc>
          <w:tcPr>
            <w:tcW w:w="2229" w:type="dxa"/>
          </w:tcPr>
          <w:p w:rsidR="00D849AA" w:rsidRPr="00A8412B" w:rsidRDefault="00EE6D95">
            <w:pPr>
              <w:pStyle w:val="CellColumn"/>
              <w:rPr>
                <w:szCs w:val="20"/>
              </w:rPr>
            </w:pPr>
            <w:r w:rsidRPr="00A8412B">
              <w:rPr>
                <w:szCs w:val="20"/>
              </w:rPr>
              <w:t>Pregled konzultantskih aktivnosti u sklopu priprema za odlazak u diplomatske misije</w:t>
            </w:r>
          </w:p>
        </w:tc>
        <w:tc>
          <w:tcPr>
            <w:tcW w:w="1114" w:type="dxa"/>
          </w:tcPr>
          <w:p w:rsidR="00D849AA" w:rsidRPr="00A8412B" w:rsidRDefault="00EE6D95">
            <w:pPr>
              <w:rPr>
                <w:rFonts w:ascii="Arial" w:hAnsi="Arial" w:cs="Arial"/>
              </w:rPr>
            </w:pPr>
            <w:r w:rsidRPr="00A8412B">
              <w:rPr>
                <w:rFonts w:ascii="Arial" w:hAnsi="Arial" w:cs="Arial"/>
              </w:rPr>
              <w:t>%</w:t>
            </w:r>
          </w:p>
        </w:tc>
        <w:tc>
          <w:tcPr>
            <w:tcW w:w="1114" w:type="dxa"/>
          </w:tcPr>
          <w:p w:rsidR="00D849AA" w:rsidRPr="00A8412B" w:rsidRDefault="00EE6D95">
            <w:pPr>
              <w:rPr>
                <w:rFonts w:ascii="Arial" w:hAnsi="Arial" w:cs="Arial"/>
              </w:rPr>
            </w:pPr>
            <w:r w:rsidRPr="00A8412B">
              <w:rPr>
                <w:rFonts w:ascii="Arial" w:hAnsi="Arial" w:cs="Arial"/>
              </w:rPr>
              <w:t>0</w:t>
            </w:r>
          </w:p>
        </w:tc>
        <w:tc>
          <w:tcPr>
            <w:tcW w:w="1486" w:type="dxa"/>
          </w:tcPr>
          <w:p w:rsidR="00D849AA" w:rsidRPr="00A8412B" w:rsidRDefault="00EE6D95">
            <w:pPr>
              <w:rPr>
                <w:rFonts w:ascii="Arial" w:hAnsi="Arial" w:cs="Arial"/>
              </w:rPr>
            </w:pPr>
            <w:r w:rsidRPr="00A8412B">
              <w:rPr>
                <w:rFonts w:ascii="Arial" w:hAnsi="Arial" w:cs="Arial"/>
              </w:rPr>
              <w:t>100</w:t>
            </w:r>
          </w:p>
        </w:tc>
        <w:tc>
          <w:tcPr>
            <w:tcW w:w="1486" w:type="dxa"/>
          </w:tcPr>
          <w:p w:rsidR="00D849AA" w:rsidRPr="00A8412B" w:rsidRDefault="00EE6D95">
            <w:pPr>
              <w:rPr>
                <w:rFonts w:ascii="Arial" w:hAnsi="Arial" w:cs="Arial"/>
              </w:rPr>
            </w:pPr>
            <w:r w:rsidRPr="00A8412B">
              <w:rPr>
                <w:rFonts w:ascii="Arial" w:hAnsi="Arial" w:cs="Arial"/>
              </w:rPr>
              <w:t>100</w:t>
            </w:r>
          </w:p>
        </w:tc>
        <w:tc>
          <w:tcPr>
            <w:tcW w:w="1486" w:type="dxa"/>
          </w:tcPr>
          <w:p w:rsidR="00D849AA" w:rsidRPr="00A8412B" w:rsidRDefault="00EE6D95">
            <w:pPr>
              <w:rPr>
                <w:rFonts w:ascii="Arial" w:hAnsi="Arial" w:cs="Arial"/>
              </w:rPr>
            </w:pPr>
            <w:r w:rsidRPr="00A8412B">
              <w:rPr>
                <w:rFonts w:ascii="Arial" w:hAnsi="Arial" w:cs="Arial"/>
              </w:rPr>
              <w:t>100</w:t>
            </w:r>
          </w:p>
        </w:tc>
      </w:tr>
      <w:tr w:rsidR="00D849AA">
        <w:trPr>
          <w:jc w:val="center"/>
        </w:trPr>
        <w:tc>
          <w:tcPr>
            <w:tcW w:w="2229" w:type="dxa"/>
          </w:tcPr>
          <w:p w:rsidR="00D849AA" w:rsidRPr="00A8412B" w:rsidRDefault="00EE6D95">
            <w:pPr>
              <w:pStyle w:val="CellColumn"/>
              <w:rPr>
                <w:szCs w:val="20"/>
              </w:rPr>
            </w:pPr>
            <w:r w:rsidRPr="00A8412B">
              <w:rPr>
                <w:szCs w:val="20"/>
              </w:rPr>
              <w:t>Broj prezentacija, radionica i predavanja za TJV  u organizaciji Ureda i na poziv</w:t>
            </w:r>
          </w:p>
        </w:tc>
        <w:tc>
          <w:tcPr>
            <w:tcW w:w="1114" w:type="dxa"/>
          </w:tcPr>
          <w:p w:rsidR="00D849AA" w:rsidRPr="00A8412B" w:rsidRDefault="00EE6D95">
            <w:pPr>
              <w:rPr>
                <w:rFonts w:ascii="Arial" w:hAnsi="Arial" w:cs="Arial"/>
              </w:rPr>
            </w:pPr>
            <w:r w:rsidRPr="00A8412B">
              <w:rPr>
                <w:rFonts w:ascii="Arial" w:hAnsi="Arial" w:cs="Arial"/>
              </w:rPr>
              <w:t>broj</w:t>
            </w:r>
          </w:p>
        </w:tc>
        <w:tc>
          <w:tcPr>
            <w:tcW w:w="1114" w:type="dxa"/>
          </w:tcPr>
          <w:p w:rsidR="00D849AA" w:rsidRPr="00A8412B" w:rsidRDefault="00EE6D95">
            <w:pPr>
              <w:rPr>
                <w:rFonts w:ascii="Arial" w:hAnsi="Arial" w:cs="Arial"/>
              </w:rPr>
            </w:pPr>
            <w:r w:rsidRPr="00A8412B">
              <w:rPr>
                <w:rFonts w:ascii="Arial" w:hAnsi="Arial" w:cs="Arial"/>
              </w:rPr>
              <w:t>0</w:t>
            </w:r>
          </w:p>
        </w:tc>
        <w:tc>
          <w:tcPr>
            <w:tcW w:w="1486" w:type="dxa"/>
          </w:tcPr>
          <w:p w:rsidR="00D849AA" w:rsidRPr="00A8412B" w:rsidRDefault="00EE6D95">
            <w:pPr>
              <w:rPr>
                <w:rFonts w:ascii="Arial" w:hAnsi="Arial" w:cs="Arial"/>
              </w:rPr>
            </w:pPr>
            <w:r w:rsidRPr="00A8412B">
              <w:rPr>
                <w:rFonts w:ascii="Arial" w:hAnsi="Arial" w:cs="Arial"/>
              </w:rPr>
              <w:t>30</w:t>
            </w:r>
          </w:p>
        </w:tc>
        <w:tc>
          <w:tcPr>
            <w:tcW w:w="1486" w:type="dxa"/>
          </w:tcPr>
          <w:p w:rsidR="00D849AA" w:rsidRPr="00A8412B" w:rsidRDefault="00EE6D95">
            <w:pPr>
              <w:rPr>
                <w:rFonts w:ascii="Arial" w:hAnsi="Arial" w:cs="Arial"/>
              </w:rPr>
            </w:pPr>
            <w:r w:rsidRPr="00A8412B">
              <w:rPr>
                <w:rFonts w:ascii="Arial" w:hAnsi="Arial" w:cs="Arial"/>
              </w:rPr>
              <w:t>30</w:t>
            </w:r>
          </w:p>
        </w:tc>
        <w:tc>
          <w:tcPr>
            <w:tcW w:w="1486" w:type="dxa"/>
          </w:tcPr>
          <w:p w:rsidR="00D849AA" w:rsidRPr="00A8412B" w:rsidRDefault="00EE6D95">
            <w:pPr>
              <w:rPr>
                <w:rFonts w:ascii="Arial" w:hAnsi="Arial" w:cs="Arial"/>
              </w:rPr>
            </w:pPr>
            <w:r w:rsidRPr="00A8412B">
              <w:rPr>
                <w:rFonts w:ascii="Arial" w:hAnsi="Arial" w:cs="Arial"/>
              </w:rPr>
              <w:t>30</w:t>
            </w:r>
          </w:p>
        </w:tc>
      </w:tr>
    </w:tbl>
    <w:p w:rsidR="00D849AA" w:rsidRDefault="00D849AA">
      <w:pPr>
        <w:jc w:val="left"/>
      </w:pPr>
    </w:p>
    <w:p w:rsidR="00D849AA" w:rsidRDefault="00EE6D95">
      <w:pPr>
        <w:pStyle w:val="Naslov6"/>
      </w:pPr>
      <w:r>
        <w:t>K871003 INFORMATIZACIJA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A8412B" w:rsidRDefault="00EE6D95">
            <w:pPr>
              <w:pStyle w:val="CellHeader"/>
            </w:pPr>
            <w:r w:rsidRPr="00A8412B">
              <w:t>Naziv aktivnosti</w:t>
            </w:r>
          </w:p>
        </w:tc>
        <w:tc>
          <w:tcPr>
            <w:tcW w:w="1486" w:type="dxa"/>
            <w:shd w:val="clear" w:color="auto" w:fill="B5C0D8"/>
          </w:tcPr>
          <w:p w:rsidR="00D849AA" w:rsidRPr="00A8412B" w:rsidRDefault="00EE6D95">
            <w:pPr>
              <w:pStyle w:val="CellHeader"/>
            </w:pPr>
            <w:r w:rsidRPr="00A8412B">
              <w:t>Plan 2013.</w:t>
            </w:r>
          </w:p>
        </w:tc>
        <w:tc>
          <w:tcPr>
            <w:tcW w:w="1486" w:type="dxa"/>
            <w:shd w:val="clear" w:color="auto" w:fill="B5C0D8"/>
          </w:tcPr>
          <w:p w:rsidR="00D849AA" w:rsidRPr="00A8412B" w:rsidRDefault="00EE6D95">
            <w:pPr>
              <w:pStyle w:val="CellHeader"/>
            </w:pPr>
            <w:r w:rsidRPr="00A8412B">
              <w:t>Plan 2014.</w:t>
            </w:r>
          </w:p>
        </w:tc>
        <w:tc>
          <w:tcPr>
            <w:tcW w:w="1486" w:type="dxa"/>
            <w:shd w:val="clear" w:color="auto" w:fill="B5C0D8"/>
          </w:tcPr>
          <w:p w:rsidR="00D849AA" w:rsidRPr="00A8412B" w:rsidRDefault="00EE6D95">
            <w:pPr>
              <w:pStyle w:val="CellHeader"/>
            </w:pPr>
            <w:r w:rsidRPr="00A8412B">
              <w:t>Plan 2015.</w:t>
            </w:r>
          </w:p>
        </w:tc>
        <w:tc>
          <w:tcPr>
            <w:tcW w:w="1486" w:type="dxa"/>
            <w:shd w:val="clear" w:color="auto" w:fill="B5C0D8"/>
          </w:tcPr>
          <w:p w:rsidR="00D849AA" w:rsidRPr="00A8412B" w:rsidRDefault="00EE6D95">
            <w:pPr>
              <w:pStyle w:val="CellHeader"/>
            </w:pPr>
            <w:r w:rsidRPr="00A8412B">
              <w:t>Plan 2016.</w:t>
            </w:r>
          </w:p>
        </w:tc>
        <w:tc>
          <w:tcPr>
            <w:tcW w:w="1486" w:type="dxa"/>
            <w:shd w:val="clear" w:color="auto" w:fill="B5C0D8"/>
          </w:tcPr>
          <w:p w:rsidR="00D849AA" w:rsidRPr="00A8412B" w:rsidRDefault="00EE6D95">
            <w:pPr>
              <w:pStyle w:val="CellHeader"/>
            </w:pPr>
            <w:r w:rsidRPr="00A8412B">
              <w:t>Indeks 2014/2013</w:t>
            </w:r>
          </w:p>
        </w:tc>
      </w:tr>
      <w:tr w:rsidR="00D849AA">
        <w:trPr>
          <w:jc w:val="center"/>
        </w:trPr>
        <w:tc>
          <w:tcPr>
            <w:tcW w:w="1486" w:type="dxa"/>
          </w:tcPr>
          <w:p w:rsidR="00D849AA" w:rsidRPr="00A8412B" w:rsidRDefault="00EE6D95">
            <w:pPr>
              <w:pStyle w:val="CellColumn"/>
            </w:pPr>
            <w:r w:rsidRPr="00A8412B">
              <w:t>K871003</w:t>
            </w:r>
          </w:p>
        </w:tc>
        <w:tc>
          <w:tcPr>
            <w:tcW w:w="1486" w:type="dxa"/>
          </w:tcPr>
          <w:p w:rsidR="00D849AA" w:rsidRPr="00A8412B" w:rsidRDefault="00EE6D95">
            <w:pPr>
              <w:rPr>
                <w:rFonts w:ascii="Arial" w:hAnsi="Arial" w:cs="Arial"/>
              </w:rPr>
            </w:pPr>
            <w:r w:rsidRPr="00A8412B">
              <w:rPr>
                <w:rFonts w:ascii="Arial" w:hAnsi="Arial" w:cs="Arial"/>
              </w:rPr>
              <w:t>00</w:t>
            </w:r>
          </w:p>
        </w:tc>
        <w:tc>
          <w:tcPr>
            <w:tcW w:w="1486" w:type="dxa"/>
          </w:tcPr>
          <w:p w:rsidR="00D849AA" w:rsidRPr="00A8412B" w:rsidRDefault="00EE6D95">
            <w:pPr>
              <w:rPr>
                <w:rFonts w:ascii="Arial" w:hAnsi="Arial" w:cs="Arial"/>
              </w:rPr>
            </w:pPr>
            <w:r w:rsidRPr="00A8412B">
              <w:rPr>
                <w:rFonts w:ascii="Arial" w:hAnsi="Arial" w:cs="Arial"/>
              </w:rPr>
              <w:t>100.350</w:t>
            </w:r>
          </w:p>
        </w:tc>
        <w:tc>
          <w:tcPr>
            <w:tcW w:w="1486" w:type="dxa"/>
          </w:tcPr>
          <w:p w:rsidR="00D849AA" w:rsidRPr="00A8412B" w:rsidRDefault="00EE6D95">
            <w:pPr>
              <w:rPr>
                <w:rFonts w:ascii="Arial" w:hAnsi="Arial" w:cs="Arial"/>
              </w:rPr>
            </w:pPr>
            <w:r w:rsidRPr="00A8412B">
              <w:rPr>
                <w:rFonts w:ascii="Arial" w:hAnsi="Arial" w:cs="Arial"/>
              </w:rPr>
              <w:t>100.350</w:t>
            </w:r>
          </w:p>
        </w:tc>
        <w:tc>
          <w:tcPr>
            <w:tcW w:w="1486" w:type="dxa"/>
          </w:tcPr>
          <w:p w:rsidR="00D849AA" w:rsidRPr="00A8412B" w:rsidRDefault="00EE6D95">
            <w:pPr>
              <w:rPr>
                <w:rFonts w:ascii="Arial" w:hAnsi="Arial" w:cs="Arial"/>
              </w:rPr>
            </w:pPr>
            <w:r w:rsidRPr="00A8412B">
              <w:rPr>
                <w:rFonts w:ascii="Arial" w:hAnsi="Arial" w:cs="Arial"/>
              </w:rPr>
              <w:t>126.800</w:t>
            </w:r>
          </w:p>
        </w:tc>
        <w:tc>
          <w:tcPr>
            <w:tcW w:w="1486" w:type="dxa"/>
          </w:tcPr>
          <w:p w:rsidR="00D849AA" w:rsidRPr="00A8412B" w:rsidRDefault="00EE6D95">
            <w:pPr>
              <w:rPr>
                <w:rFonts w:ascii="Arial" w:hAnsi="Arial" w:cs="Arial"/>
              </w:rPr>
            </w:pPr>
            <w:r w:rsidRPr="00A8412B">
              <w:rPr>
                <w:rFonts w:ascii="Arial" w:hAnsi="Arial" w:cs="Arial"/>
              </w:rPr>
              <w:t>0,0</w:t>
            </w:r>
          </w:p>
        </w:tc>
      </w:tr>
    </w:tbl>
    <w:p w:rsidR="00D849AA" w:rsidRDefault="00D849AA">
      <w:pPr>
        <w:jc w:val="left"/>
      </w:pPr>
    </w:p>
    <w:p w:rsidR="00D849AA" w:rsidRDefault="00EE6D95" w:rsidP="00A8412B">
      <w:pPr>
        <w:pStyle w:val="Normal6"/>
      </w:pPr>
      <w:r>
        <w:t xml:space="preserve">Komunikacijsko-računalna infrastruktura razvija se prema potrebama obrade i razmjene informacija nastojeći pratiti svjetski tehnički razvoj. Sva su radna mjesta opremljena računalom opremom potrebnom za obavljanje složenih radnih zadataka. Računala su povezana u računalnu mrežu i priključena na Internet. Lokalna računalna mreža radi s operacijskim sustavom Novell, a radne stanice su u Microsoft Windows okruženju. Pristup Internetu ostvaruje se kroz telekomunikacijsku mrežu METRONET.  </w:t>
      </w:r>
    </w:p>
    <w:p w:rsidR="00D849AA" w:rsidRDefault="00EE6D95" w:rsidP="00A8412B">
      <w:pPr>
        <w:pStyle w:val="Normal6"/>
      </w:pPr>
      <w:r>
        <w:t xml:space="preserve">Kontinuirano se radi na sigurnosti IT sustava, provodi se stalna zaštita instalacijom zaštitnih programa (Sophos, Gwava) te Backup kao dodatna sigurnosna mjera čuvanja kopija sadržaja na poslužitelju koji se obavlja tjedno. Nadograđuju se procedure za automatsku distribuciju operativnoga sustava i aplikacija na radne stanice. Omogućeno je udaljeno upravljanje radnim stanicama, uključujući prijenos datoteka i dijagnostiku u realnom vremenu. Automatizirana je evidencija hardverskih i softverskih komponenata radnih stanica za potrebe održavanja sustava. Razvija se standardno radno okruženje i primjenjuje automatizacija uspostave takvog okruženja upotrebom 'workstation imaginga'. Redovito se nadgledava ukupni IT sustav i nadograđuju svi standardni alati. </w:t>
      </w:r>
    </w:p>
    <w:p w:rsidR="00D849AA" w:rsidRDefault="00EE6D95" w:rsidP="00A8412B">
      <w:pPr>
        <w:pStyle w:val="Normal6"/>
      </w:pPr>
      <w:r>
        <w:t xml:space="preserve">Redovito se nadgledaju i održavaju programi za administriranje IT sustava Ureda na razini korištenja i organizacije diskovnoga prostora, aplikativnih programa, elektroničke pošte i pripadnih lista.  </w:t>
      </w:r>
    </w:p>
    <w:p w:rsidR="00D849AA" w:rsidRDefault="00EE6D95">
      <w:pPr>
        <w:pStyle w:val="Normal6"/>
      </w:pPr>
      <w:r>
        <w:t xml:space="preserve">U svrhu prikupljanja elektroničkih dokumenata za zbirku nad kojom je Središnji katalog, razvijen je program za automatsko prikupljanje i arhiviranje dokumenata (Sustav Arhiv mrežnih dokumenata – AMD) objavljenih na službenim internetskim stranicama tijela javne vlasti koji će biti funkcionalno dopunjen uspostavom programa za slanje/preuzimanje elektroničkih dokumenata. Sustav za slanje i preuzimanje elektroničkih dokumenata omogućit će stvarateljima javnih službenih dokumenata, </w:t>
      </w:r>
      <w:r>
        <w:lastRenderedPageBreak/>
        <w:t xml:space="preserve">tijelima javne vlasti, na jednostavan način kroz web sučelje učitavanje dokumenata u određenu i oblikovanu mapu na poslužitelju Ureda. </w:t>
      </w:r>
    </w:p>
    <w:p w:rsidR="00D849AA" w:rsidRDefault="00EE6D95">
      <w:pPr>
        <w:pStyle w:val="Normal6"/>
      </w:pPr>
      <w:r>
        <w:t xml:space="preserve">U razdoblju 2014.-2016. godina, u svrhu izgradnje sustava za slanje i preuzimanje elektroničkih dokumenata, Ured će nastaviti rad na projektu i osigurati IT podršku za slanje/preuzimanje elektroničkih dokumenata te doraditi protokol po kojem tijela javne vlasti dostavljaju elektroničke dokumente. Izgradnja sustava odvija se u fazama, od kojih, u navedenom razdoblju predstoje testiranje pilot verzije i uspostava cjelovitog sustava.  </w:t>
      </w:r>
    </w:p>
    <w:p w:rsidR="00D849AA" w:rsidRDefault="00EE6D95">
      <w:pPr>
        <w:pStyle w:val="Normal6"/>
      </w:pPr>
      <w:r>
        <w:t xml:space="preserve">Temeljem odredbi propisa za uspostavu i rad Registra javne službene dokumentacije te rada i iskustva dobivenih u izgradnji i primjeni sustava za slanje/preuzimanje elektroničkih dokumenata, Ured će tijekom 2016. godine izraditi projektnu dokumentaciju za izgradnju programskoga sustava za vođenje Registra.  </w:t>
      </w:r>
    </w:p>
    <w:p w:rsidR="00D849AA" w:rsidRDefault="00EE6D95">
      <w:pPr>
        <w:pStyle w:val="Normal6"/>
      </w:pPr>
      <w:r>
        <w:t xml:space="preserve">U svom poslovanju Ured koristi i računalni program CADIAL, Sustav za obradu, pretraživanje i prikaz digitalnih i digitaliziranih dokumenata DIGI, Sustav za održavanje portala Ureda te sustav za upravljanje poslovnim procesima i formalnom dokumentacijom koja je predmet uredskog poslovanja iCROSS. Svi sustavi i programi redovito se nadziru i nadograđuju dodatnim funkcionalnostima. </w:t>
      </w:r>
    </w:p>
    <w:p w:rsidR="00D849AA" w:rsidRDefault="00EE6D95">
      <w:pPr>
        <w:pStyle w:val="Normal6"/>
      </w:pPr>
      <w:r>
        <w:t>U 2014. godini izradit će se nova organizacija i vizualni identitet portala Ureda slijedom promjena koje proizlaze iz Uredbe o Digitalnom informacijsko-dokumentacijskom uredu.</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A8412B" w:rsidRDefault="00EE6D95">
            <w:pPr>
              <w:rPr>
                <w:rFonts w:ascii="Arial" w:hAnsi="Arial" w:cs="Arial"/>
              </w:rPr>
            </w:pPr>
            <w:r w:rsidRPr="00A8412B">
              <w:rPr>
                <w:rFonts w:ascii="Arial" w:hAnsi="Arial" w:cs="Arial"/>
              </w:rPr>
              <w:t>Pokazatelj rezultata</w:t>
            </w:r>
          </w:p>
        </w:tc>
        <w:tc>
          <w:tcPr>
            <w:tcW w:w="1114" w:type="dxa"/>
            <w:shd w:val="clear" w:color="auto" w:fill="B5C0D8"/>
          </w:tcPr>
          <w:p w:rsidR="00D849AA" w:rsidRPr="00A8412B" w:rsidRDefault="00EE6D95">
            <w:pPr>
              <w:pStyle w:val="CellHeader"/>
            </w:pPr>
            <w:r w:rsidRPr="00A8412B">
              <w:t>Jedinica</w:t>
            </w:r>
          </w:p>
        </w:tc>
        <w:tc>
          <w:tcPr>
            <w:tcW w:w="1114" w:type="dxa"/>
            <w:shd w:val="clear" w:color="auto" w:fill="B5C0D8"/>
          </w:tcPr>
          <w:p w:rsidR="00D849AA" w:rsidRPr="00A8412B" w:rsidRDefault="00EE6D95">
            <w:pPr>
              <w:pStyle w:val="CellHeader"/>
            </w:pPr>
            <w:r w:rsidRPr="00A8412B">
              <w:t>Polazna vrijednost</w:t>
            </w:r>
          </w:p>
        </w:tc>
        <w:tc>
          <w:tcPr>
            <w:tcW w:w="1486" w:type="dxa"/>
            <w:shd w:val="clear" w:color="auto" w:fill="B5C0D8"/>
          </w:tcPr>
          <w:p w:rsidR="00D849AA" w:rsidRPr="00A8412B" w:rsidRDefault="00EE6D95">
            <w:pPr>
              <w:pStyle w:val="CellHeader"/>
            </w:pPr>
            <w:r w:rsidRPr="00A8412B">
              <w:t>Ciljana vrijednost (2014.)</w:t>
            </w:r>
          </w:p>
        </w:tc>
        <w:tc>
          <w:tcPr>
            <w:tcW w:w="1486" w:type="dxa"/>
            <w:shd w:val="clear" w:color="auto" w:fill="B5C0D8"/>
          </w:tcPr>
          <w:p w:rsidR="00D849AA" w:rsidRPr="00A8412B" w:rsidRDefault="00EE6D95">
            <w:pPr>
              <w:pStyle w:val="CellHeader"/>
            </w:pPr>
            <w:r w:rsidRPr="00A8412B">
              <w:t>Ciljana vrijednost (2015.)</w:t>
            </w:r>
          </w:p>
        </w:tc>
        <w:tc>
          <w:tcPr>
            <w:tcW w:w="1486" w:type="dxa"/>
            <w:shd w:val="clear" w:color="auto" w:fill="B5C0D8"/>
          </w:tcPr>
          <w:p w:rsidR="00D849AA" w:rsidRPr="00A8412B" w:rsidRDefault="00EE6D95">
            <w:pPr>
              <w:pStyle w:val="CellHeader"/>
            </w:pPr>
            <w:r w:rsidRPr="00A8412B">
              <w:t>Ciljana vrijednost (2016.)</w:t>
            </w:r>
          </w:p>
        </w:tc>
      </w:tr>
      <w:tr w:rsidR="00D849AA">
        <w:trPr>
          <w:jc w:val="center"/>
        </w:trPr>
        <w:tc>
          <w:tcPr>
            <w:tcW w:w="2229" w:type="dxa"/>
          </w:tcPr>
          <w:p w:rsidR="00D849AA" w:rsidRPr="00A8412B" w:rsidRDefault="00EE6D95">
            <w:pPr>
              <w:pStyle w:val="CellColumn"/>
            </w:pPr>
            <w:r w:rsidRPr="00A8412B">
              <w:t>Osigurana IT podrška – uspostavljen sustav za slanje/preuzimanje elektroničkih dokumenata</w:t>
            </w:r>
          </w:p>
        </w:tc>
        <w:tc>
          <w:tcPr>
            <w:tcW w:w="1114" w:type="dxa"/>
          </w:tcPr>
          <w:p w:rsidR="00D849AA" w:rsidRPr="00A8412B" w:rsidRDefault="00EE6D95">
            <w:pPr>
              <w:rPr>
                <w:rFonts w:ascii="Arial" w:hAnsi="Arial" w:cs="Arial"/>
              </w:rPr>
            </w:pPr>
            <w:r w:rsidRPr="00A8412B">
              <w:rPr>
                <w:rFonts w:ascii="Arial" w:hAnsi="Arial" w:cs="Arial"/>
              </w:rPr>
              <w:t>%</w:t>
            </w:r>
          </w:p>
        </w:tc>
        <w:tc>
          <w:tcPr>
            <w:tcW w:w="1114" w:type="dxa"/>
          </w:tcPr>
          <w:p w:rsidR="00D849AA" w:rsidRPr="00A8412B" w:rsidRDefault="00EE6D95">
            <w:pPr>
              <w:rPr>
                <w:rFonts w:ascii="Arial" w:hAnsi="Arial" w:cs="Arial"/>
              </w:rPr>
            </w:pPr>
            <w:r w:rsidRPr="00A8412B">
              <w:rPr>
                <w:rFonts w:ascii="Arial" w:hAnsi="Arial" w:cs="Arial"/>
              </w:rPr>
              <w:t>40</w:t>
            </w:r>
          </w:p>
        </w:tc>
        <w:tc>
          <w:tcPr>
            <w:tcW w:w="1486" w:type="dxa"/>
          </w:tcPr>
          <w:p w:rsidR="00D849AA" w:rsidRPr="00A8412B" w:rsidRDefault="00EE6D95">
            <w:pPr>
              <w:rPr>
                <w:rFonts w:ascii="Arial" w:hAnsi="Arial" w:cs="Arial"/>
              </w:rPr>
            </w:pPr>
            <w:r w:rsidRPr="00A8412B">
              <w:rPr>
                <w:rFonts w:ascii="Arial" w:hAnsi="Arial" w:cs="Arial"/>
              </w:rPr>
              <w:t>30</w:t>
            </w:r>
          </w:p>
        </w:tc>
        <w:tc>
          <w:tcPr>
            <w:tcW w:w="1486" w:type="dxa"/>
          </w:tcPr>
          <w:p w:rsidR="00D849AA" w:rsidRPr="00A8412B" w:rsidRDefault="00EE6D95">
            <w:pPr>
              <w:rPr>
                <w:rFonts w:ascii="Arial" w:hAnsi="Arial" w:cs="Arial"/>
              </w:rPr>
            </w:pPr>
            <w:r w:rsidRPr="00A8412B">
              <w:rPr>
                <w:rFonts w:ascii="Arial" w:hAnsi="Arial" w:cs="Arial"/>
              </w:rPr>
              <w:t>20</w:t>
            </w:r>
          </w:p>
        </w:tc>
        <w:tc>
          <w:tcPr>
            <w:tcW w:w="1486" w:type="dxa"/>
          </w:tcPr>
          <w:p w:rsidR="00D849AA" w:rsidRPr="00A8412B" w:rsidRDefault="00EE6D95">
            <w:pPr>
              <w:rPr>
                <w:rFonts w:ascii="Arial" w:hAnsi="Arial" w:cs="Arial"/>
              </w:rPr>
            </w:pPr>
            <w:r w:rsidRPr="00A8412B">
              <w:rPr>
                <w:rFonts w:ascii="Arial" w:hAnsi="Arial" w:cs="Arial"/>
              </w:rPr>
              <w:t>10</w:t>
            </w:r>
          </w:p>
        </w:tc>
      </w:tr>
      <w:tr w:rsidR="00D849AA">
        <w:trPr>
          <w:jc w:val="center"/>
        </w:trPr>
        <w:tc>
          <w:tcPr>
            <w:tcW w:w="2229" w:type="dxa"/>
          </w:tcPr>
          <w:p w:rsidR="00D849AA" w:rsidRPr="00A8412B" w:rsidRDefault="00EE6D95">
            <w:pPr>
              <w:pStyle w:val="CellColumn"/>
            </w:pPr>
            <w:r w:rsidRPr="00A8412B">
              <w:t>Pilot program IT podrške za vođenje Registra javne službene dokumentacije RH</w:t>
            </w:r>
          </w:p>
        </w:tc>
        <w:tc>
          <w:tcPr>
            <w:tcW w:w="1114" w:type="dxa"/>
          </w:tcPr>
          <w:p w:rsidR="00D849AA" w:rsidRPr="00A8412B" w:rsidRDefault="00EE6D95">
            <w:pPr>
              <w:rPr>
                <w:rFonts w:ascii="Arial" w:hAnsi="Arial" w:cs="Arial"/>
              </w:rPr>
            </w:pPr>
            <w:r w:rsidRPr="00A8412B">
              <w:rPr>
                <w:rFonts w:ascii="Arial" w:hAnsi="Arial" w:cs="Arial"/>
              </w:rPr>
              <w:t>%</w:t>
            </w:r>
          </w:p>
        </w:tc>
        <w:tc>
          <w:tcPr>
            <w:tcW w:w="1114" w:type="dxa"/>
          </w:tcPr>
          <w:p w:rsidR="00D849AA" w:rsidRPr="00A8412B" w:rsidRDefault="00EE6D95">
            <w:pPr>
              <w:rPr>
                <w:rFonts w:ascii="Arial" w:hAnsi="Arial" w:cs="Arial"/>
              </w:rPr>
            </w:pPr>
            <w:r w:rsidRPr="00A8412B">
              <w:rPr>
                <w:rFonts w:ascii="Arial" w:hAnsi="Arial" w:cs="Arial"/>
              </w:rPr>
              <w:t>0</w:t>
            </w:r>
          </w:p>
        </w:tc>
        <w:tc>
          <w:tcPr>
            <w:tcW w:w="1486" w:type="dxa"/>
          </w:tcPr>
          <w:p w:rsidR="00D849AA" w:rsidRPr="00A8412B" w:rsidRDefault="00EE6D95">
            <w:pPr>
              <w:rPr>
                <w:rFonts w:ascii="Arial" w:hAnsi="Arial" w:cs="Arial"/>
              </w:rPr>
            </w:pPr>
            <w:r w:rsidRPr="00A8412B">
              <w:rPr>
                <w:rFonts w:ascii="Arial" w:hAnsi="Arial" w:cs="Arial"/>
              </w:rPr>
              <w:t>0</w:t>
            </w:r>
          </w:p>
        </w:tc>
        <w:tc>
          <w:tcPr>
            <w:tcW w:w="1486" w:type="dxa"/>
          </w:tcPr>
          <w:p w:rsidR="00D849AA" w:rsidRPr="00A8412B" w:rsidRDefault="00EE6D95">
            <w:pPr>
              <w:rPr>
                <w:rFonts w:ascii="Arial" w:hAnsi="Arial" w:cs="Arial"/>
              </w:rPr>
            </w:pPr>
            <w:r w:rsidRPr="00A8412B">
              <w:rPr>
                <w:rFonts w:ascii="Arial" w:hAnsi="Arial" w:cs="Arial"/>
              </w:rPr>
              <w:t>30</w:t>
            </w:r>
          </w:p>
        </w:tc>
        <w:tc>
          <w:tcPr>
            <w:tcW w:w="1486" w:type="dxa"/>
          </w:tcPr>
          <w:p w:rsidR="00D849AA" w:rsidRPr="00A8412B" w:rsidRDefault="00EE6D95">
            <w:pPr>
              <w:rPr>
                <w:rFonts w:ascii="Arial" w:hAnsi="Arial" w:cs="Arial"/>
              </w:rPr>
            </w:pPr>
            <w:r w:rsidRPr="00A8412B">
              <w:rPr>
                <w:rFonts w:ascii="Arial" w:hAnsi="Arial" w:cs="Arial"/>
              </w:rPr>
              <w:t>70</w:t>
            </w:r>
          </w:p>
        </w:tc>
      </w:tr>
    </w:tbl>
    <w:p w:rsidR="00D849AA" w:rsidRDefault="00D849AA">
      <w:pPr>
        <w:jc w:val="left"/>
      </w:pPr>
    </w:p>
    <w:p w:rsidR="00D849AA" w:rsidRDefault="00EE6D95">
      <w:pPr>
        <w:pStyle w:val="Naslov2"/>
      </w:pPr>
      <w:r>
        <w:t>02099 Ured za razminiranje</w:t>
      </w:r>
    </w:p>
    <w:p w:rsidR="00D849AA" w:rsidRDefault="00EE6D95">
      <w:pPr>
        <w:pStyle w:val="Naslov4"/>
      </w:pPr>
      <w:r>
        <w:t>Uvod</w:t>
      </w:r>
    </w:p>
    <w:p w:rsidR="00D849AA" w:rsidRDefault="00EE6D95">
      <w:pPr>
        <w:pStyle w:val="Normal3"/>
      </w:pPr>
      <w:r>
        <w:t xml:space="preserve">Ured za razminiranje osnovan je Uredbom o Uredu za razminiranje koju je Vlada Republike Hrvatske donijela na sjednici održanoj 16. veljače 2012. godine, a koja je stupila na snagu 22. veljače 2012. godine odnosno danom objave u ”Narodnim novinama”. </w:t>
      </w:r>
    </w:p>
    <w:p w:rsidR="00D849AA" w:rsidRDefault="00EE6D95">
      <w:pPr>
        <w:pStyle w:val="Normal3"/>
      </w:pPr>
      <w:r>
        <w:t xml:space="preserve">Ured za razminiranje u razdoblju 2014.-2016. godine planira obavljati sljedeće poslove i zadatke: </w:t>
      </w:r>
    </w:p>
    <w:p w:rsidR="00D849AA" w:rsidRDefault="00EE6D95">
      <w:pPr>
        <w:pStyle w:val="Normal3"/>
      </w:pPr>
      <w:r>
        <w:t xml:space="preserve">- predlagati unaprjeđenje i usklađivanje zakonskih, podzakonskih i drugih propisa kojima se uređuju pitanja humanitarnog razminiranja i protuminskog djelovanja s nacionalinim i međunarodnim propisima i dokumentima, </w:t>
      </w:r>
    </w:p>
    <w:p w:rsidR="00D849AA" w:rsidRDefault="00EE6D95">
      <w:pPr>
        <w:pStyle w:val="Normal3"/>
      </w:pPr>
      <w:r>
        <w:t xml:space="preserve">- surađivati u međuresornoj suradnji u području protuminskog djelovanja u Republici Hrvatskoj, </w:t>
      </w:r>
    </w:p>
    <w:p w:rsidR="00D849AA" w:rsidRDefault="00EE6D95">
      <w:pPr>
        <w:pStyle w:val="Normal3"/>
      </w:pPr>
      <w:r>
        <w:lastRenderedPageBreak/>
        <w:t xml:space="preserve">- surađivati s nadležnim tijelima u provedbi obaveza iz međunarodnih ugovora i konvencija o zabrani ili ograničenju uporabe određenih vrsta konvencionalnih oružja koja imaju neprihvatljiv humanitarni učinak, </w:t>
      </w:r>
    </w:p>
    <w:p w:rsidR="00D849AA" w:rsidRDefault="00EE6D95">
      <w:pPr>
        <w:pStyle w:val="Normal3"/>
      </w:pPr>
      <w:r>
        <w:t xml:space="preserve">- sudjelovati u izradi zakonskih, podzakonskih i drugih propisa kojima se sustavno uređuju pitanja pomoći osobama stradalim od minsko-eksplozivnih i neeksplodiranih ubojitih sredstava u Republici Hrvatskoj, </w:t>
      </w:r>
    </w:p>
    <w:p w:rsidR="00D849AA" w:rsidRDefault="00EE6D95">
      <w:pPr>
        <w:pStyle w:val="Normal3"/>
      </w:pPr>
      <w:r>
        <w:t xml:space="preserve">- obavljati poslove provedbe i praćenja projekata za korištenje sredstava fondova Europske unije i ostalih međunarodnih izvora financiranja na području protuminskog djelovanja, </w:t>
      </w:r>
    </w:p>
    <w:p w:rsidR="00D849AA" w:rsidRDefault="00EE6D95">
      <w:pPr>
        <w:pStyle w:val="Normal3"/>
      </w:pPr>
      <w:r>
        <w:t xml:space="preserve">- pratiti rad, aktivnost i djelovanje Hrvatskog centra za razminiranje, </w:t>
      </w:r>
    </w:p>
    <w:p w:rsidR="00D849AA" w:rsidRDefault="00EE6D95">
      <w:pPr>
        <w:pStyle w:val="Normal3"/>
      </w:pPr>
      <w:r>
        <w:t xml:space="preserve">- sustavno raditi na podizanju svijesti stanovništva o opasnosti od minsko-eksplozivnih sredstava kroz medijske kampanje i u izravnom kontaktu s građanima, </w:t>
      </w:r>
    </w:p>
    <w:p w:rsidR="00D849AA" w:rsidRDefault="00EE6D95">
      <w:pPr>
        <w:pStyle w:val="Normal3"/>
      </w:pPr>
      <w:r>
        <w:t xml:space="preserve">- poticati zaključivanje međudržavnih sporazuma o suradnji na području protuminskog djelovanja i humanitarnog razminaranja, </w:t>
      </w:r>
    </w:p>
    <w:p w:rsidR="00D849AA" w:rsidRDefault="00EE6D95">
      <w:pPr>
        <w:pStyle w:val="Normal3"/>
      </w:pPr>
      <w:r>
        <w:t>- pratiti i sudjelovati u poslovima koji se odnose na sudjelovanje Republike Hrvatske u radu tijela Europske unije na području protuminskog djelovanja.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A8412B" w:rsidRDefault="00D849AA">
            <w:pPr>
              <w:pStyle w:val="CellHeader"/>
            </w:pPr>
          </w:p>
        </w:tc>
        <w:tc>
          <w:tcPr>
            <w:tcW w:w="1486" w:type="dxa"/>
            <w:shd w:val="clear" w:color="auto" w:fill="B5C0D8"/>
          </w:tcPr>
          <w:p w:rsidR="00D849AA" w:rsidRPr="00A8412B" w:rsidRDefault="00EE6D95">
            <w:pPr>
              <w:pStyle w:val="CellHeader"/>
            </w:pPr>
            <w:r w:rsidRPr="00A8412B">
              <w:t>Plan 2013.</w:t>
            </w:r>
          </w:p>
        </w:tc>
        <w:tc>
          <w:tcPr>
            <w:tcW w:w="1486" w:type="dxa"/>
            <w:shd w:val="clear" w:color="auto" w:fill="B5C0D8"/>
          </w:tcPr>
          <w:p w:rsidR="00D849AA" w:rsidRPr="00A8412B" w:rsidRDefault="00EE6D95">
            <w:pPr>
              <w:pStyle w:val="CellHeader"/>
            </w:pPr>
            <w:r w:rsidRPr="00A8412B">
              <w:t>Plan 2014.</w:t>
            </w:r>
          </w:p>
        </w:tc>
        <w:tc>
          <w:tcPr>
            <w:tcW w:w="1486" w:type="dxa"/>
            <w:shd w:val="clear" w:color="auto" w:fill="B5C0D8"/>
          </w:tcPr>
          <w:p w:rsidR="00D849AA" w:rsidRPr="00A8412B" w:rsidRDefault="00EE6D95">
            <w:pPr>
              <w:pStyle w:val="CellHeader"/>
            </w:pPr>
            <w:r w:rsidRPr="00A8412B">
              <w:t>Plan 2015.</w:t>
            </w:r>
          </w:p>
        </w:tc>
        <w:tc>
          <w:tcPr>
            <w:tcW w:w="1486" w:type="dxa"/>
            <w:shd w:val="clear" w:color="auto" w:fill="B5C0D8"/>
          </w:tcPr>
          <w:p w:rsidR="00D849AA" w:rsidRPr="00A8412B" w:rsidRDefault="00EE6D95">
            <w:pPr>
              <w:pStyle w:val="CellHeader"/>
            </w:pPr>
            <w:r w:rsidRPr="00A8412B">
              <w:t>Plan 2016.</w:t>
            </w:r>
          </w:p>
        </w:tc>
        <w:tc>
          <w:tcPr>
            <w:tcW w:w="1486" w:type="dxa"/>
            <w:shd w:val="clear" w:color="auto" w:fill="B5C0D8"/>
          </w:tcPr>
          <w:p w:rsidR="00D849AA" w:rsidRPr="00A8412B" w:rsidRDefault="00EE6D95">
            <w:pPr>
              <w:pStyle w:val="CellHeader"/>
            </w:pPr>
            <w:r w:rsidRPr="00A8412B">
              <w:t>Indeks 2014/2013</w:t>
            </w:r>
          </w:p>
        </w:tc>
      </w:tr>
      <w:tr w:rsidR="00D849AA">
        <w:trPr>
          <w:jc w:val="center"/>
        </w:trPr>
        <w:tc>
          <w:tcPr>
            <w:tcW w:w="1486" w:type="dxa"/>
          </w:tcPr>
          <w:p w:rsidR="00D849AA" w:rsidRPr="00A8412B" w:rsidRDefault="00EE6D95">
            <w:pPr>
              <w:pStyle w:val="CellColumn"/>
            </w:pPr>
            <w:r w:rsidRPr="00A8412B">
              <w:t>02099</w:t>
            </w:r>
          </w:p>
        </w:tc>
        <w:tc>
          <w:tcPr>
            <w:tcW w:w="1486" w:type="dxa"/>
          </w:tcPr>
          <w:p w:rsidR="00D849AA" w:rsidRPr="00A8412B" w:rsidRDefault="00EE6D95">
            <w:pPr>
              <w:rPr>
                <w:rFonts w:ascii="Arial" w:hAnsi="Arial" w:cs="Arial"/>
              </w:rPr>
            </w:pPr>
            <w:r w:rsidRPr="00A8412B">
              <w:rPr>
                <w:rFonts w:ascii="Arial" w:hAnsi="Arial" w:cs="Arial"/>
              </w:rPr>
              <w:t>1.407.550</w:t>
            </w:r>
          </w:p>
        </w:tc>
        <w:tc>
          <w:tcPr>
            <w:tcW w:w="1486" w:type="dxa"/>
          </w:tcPr>
          <w:p w:rsidR="00D849AA" w:rsidRPr="00A8412B" w:rsidRDefault="00EE6D95">
            <w:pPr>
              <w:rPr>
                <w:rFonts w:ascii="Arial" w:hAnsi="Arial" w:cs="Arial"/>
              </w:rPr>
            </w:pPr>
            <w:r w:rsidRPr="00A8412B">
              <w:rPr>
                <w:rFonts w:ascii="Arial" w:hAnsi="Arial" w:cs="Arial"/>
              </w:rPr>
              <w:t>1.386.100</w:t>
            </w:r>
          </w:p>
        </w:tc>
        <w:tc>
          <w:tcPr>
            <w:tcW w:w="1486" w:type="dxa"/>
          </w:tcPr>
          <w:p w:rsidR="00D849AA" w:rsidRPr="00A8412B" w:rsidRDefault="00EE6D95">
            <w:pPr>
              <w:rPr>
                <w:rFonts w:ascii="Arial" w:hAnsi="Arial" w:cs="Arial"/>
              </w:rPr>
            </w:pPr>
            <w:r w:rsidRPr="00A8412B">
              <w:rPr>
                <w:rFonts w:ascii="Arial" w:hAnsi="Arial" w:cs="Arial"/>
              </w:rPr>
              <w:t>1.425.600</w:t>
            </w:r>
          </w:p>
        </w:tc>
        <w:tc>
          <w:tcPr>
            <w:tcW w:w="1486" w:type="dxa"/>
          </w:tcPr>
          <w:p w:rsidR="00D849AA" w:rsidRPr="00A8412B" w:rsidRDefault="00EE6D95">
            <w:pPr>
              <w:rPr>
                <w:rFonts w:ascii="Arial" w:hAnsi="Arial" w:cs="Arial"/>
              </w:rPr>
            </w:pPr>
            <w:r w:rsidRPr="00A8412B">
              <w:rPr>
                <w:rFonts w:ascii="Arial" w:hAnsi="Arial" w:cs="Arial"/>
              </w:rPr>
              <w:t>1.382.600</w:t>
            </w:r>
          </w:p>
        </w:tc>
        <w:tc>
          <w:tcPr>
            <w:tcW w:w="1486" w:type="dxa"/>
          </w:tcPr>
          <w:p w:rsidR="00D849AA" w:rsidRPr="00A8412B" w:rsidRDefault="00EE6D95">
            <w:pPr>
              <w:rPr>
                <w:rFonts w:ascii="Arial" w:hAnsi="Arial" w:cs="Arial"/>
              </w:rPr>
            </w:pPr>
            <w:r w:rsidRPr="00A8412B">
              <w:rPr>
                <w:rFonts w:ascii="Arial" w:hAnsi="Arial" w:cs="Arial"/>
              </w:rPr>
              <w:t>98,5</w:t>
            </w:r>
          </w:p>
        </w:tc>
      </w:tr>
    </w:tbl>
    <w:p w:rsidR="00D849AA" w:rsidRDefault="00D849AA">
      <w:pPr>
        <w:jc w:val="left"/>
      </w:pPr>
    </w:p>
    <w:p w:rsidR="00D849AA" w:rsidRDefault="00EE6D95">
      <w:pPr>
        <w:pStyle w:val="Naslov4"/>
      </w:pPr>
      <w:r>
        <w:t>OBRAZLOŽENJE PROGRAMA</w:t>
      </w:r>
    </w:p>
    <w:p w:rsidR="00D849AA" w:rsidRDefault="00EE6D95">
      <w:pPr>
        <w:pStyle w:val="Naslov5"/>
      </w:pPr>
      <w:r>
        <w:t>2605 RAZMINIRANJE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A8412B" w:rsidRDefault="00D849AA">
            <w:pPr>
              <w:pStyle w:val="CellHeader"/>
            </w:pPr>
          </w:p>
        </w:tc>
        <w:tc>
          <w:tcPr>
            <w:tcW w:w="1486" w:type="dxa"/>
            <w:shd w:val="clear" w:color="auto" w:fill="B5C0D8"/>
          </w:tcPr>
          <w:p w:rsidR="00D849AA" w:rsidRPr="00A8412B" w:rsidRDefault="00EE6D95">
            <w:pPr>
              <w:pStyle w:val="CellHeader"/>
            </w:pPr>
            <w:r w:rsidRPr="00A8412B">
              <w:t>Plan 2013.</w:t>
            </w:r>
          </w:p>
        </w:tc>
        <w:tc>
          <w:tcPr>
            <w:tcW w:w="1486" w:type="dxa"/>
            <w:shd w:val="clear" w:color="auto" w:fill="B5C0D8"/>
          </w:tcPr>
          <w:p w:rsidR="00D849AA" w:rsidRPr="00A8412B" w:rsidRDefault="00EE6D95">
            <w:pPr>
              <w:pStyle w:val="CellHeader"/>
            </w:pPr>
            <w:r w:rsidRPr="00A8412B">
              <w:t>Plan 2014.</w:t>
            </w:r>
          </w:p>
        </w:tc>
        <w:tc>
          <w:tcPr>
            <w:tcW w:w="1486" w:type="dxa"/>
            <w:shd w:val="clear" w:color="auto" w:fill="B5C0D8"/>
          </w:tcPr>
          <w:p w:rsidR="00D849AA" w:rsidRPr="00A8412B" w:rsidRDefault="00EE6D95">
            <w:pPr>
              <w:pStyle w:val="CellHeader"/>
            </w:pPr>
            <w:r w:rsidRPr="00A8412B">
              <w:t>Plan 2015.</w:t>
            </w:r>
          </w:p>
        </w:tc>
        <w:tc>
          <w:tcPr>
            <w:tcW w:w="1486" w:type="dxa"/>
            <w:shd w:val="clear" w:color="auto" w:fill="B5C0D8"/>
          </w:tcPr>
          <w:p w:rsidR="00D849AA" w:rsidRPr="00A8412B" w:rsidRDefault="00EE6D95">
            <w:pPr>
              <w:pStyle w:val="CellHeader"/>
            </w:pPr>
            <w:r w:rsidRPr="00A8412B">
              <w:t>Plan 2016.</w:t>
            </w:r>
          </w:p>
        </w:tc>
        <w:tc>
          <w:tcPr>
            <w:tcW w:w="1486" w:type="dxa"/>
            <w:shd w:val="clear" w:color="auto" w:fill="B5C0D8"/>
          </w:tcPr>
          <w:p w:rsidR="00D849AA" w:rsidRPr="00A8412B" w:rsidRDefault="00EE6D95">
            <w:pPr>
              <w:pStyle w:val="CellHeader"/>
            </w:pPr>
            <w:r w:rsidRPr="00A8412B">
              <w:t>Indeks 2014/2013</w:t>
            </w:r>
          </w:p>
        </w:tc>
      </w:tr>
      <w:tr w:rsidR="00D849AA">
        <w:trPr>
          <w:jc w:val="center"/>
        </w:trPr>
        <w:tc>
          <w:tcPr>
            <w:tcW w:w="1486" w:type="dxa"/>
          </w:tcPr>
          <w:p w:rsidR="00D849AA" w:rsidRPr="00A8412B" w:rsidRDefault="00EE6D95">
            <w:pPr>
              <w:pStyle w:val="CellColumn"/>
            </w:pPr>
            <w:r w:rsidRPr="00A8412B">
              <w:t>2605</w:t>
            </w:r>
          </w:p>
        </w:tc>
        <w:tc>
          <w:tcPr>
            <w:tcW w:w="1486" w:type="dxa"/>
          </w:tcPr>
          <w:p w:rsidR="00D849AA" w:rsidRPr="00A8412B" w:rsidRDefault="00EE6D95">
            <w:pPr>
              <w:rPr>
                <w:rFonts w:ascii="Arial" w:hAnsi="Arial" w:cs="Arial"/>
              </w:rPr>
            </w:pPr>
            <w:r w:rsidRPr="00A8412B">
              <w:rPr>
                <w:rFonts w:ascii="Arial" w:hAnsi="Arial" w:cs="Arial"/>
              </w:rPr>
              <w:t>1.407.550</w:t>
            </w:r>
          </w:p>
        </w:tc>
        <w:tc>
          <w:tcPr>
            <w:tcW w:w="1486" w:type="dxa"/>
          </w:tcPr>
          <w:p w:rsidR="00D849AA" w:rsidRPr="00A8412B" w:rsidRDefault="00EE6D95">
            <w:pPr>
              <w:rPr>
                <w:rFonts w:ascii="Arial" w:hAnsi="Arial" w:cs="Arial"/>
              </w:rPr>
            </w:pPr>
            <w:r w:rsidRPr="00A8412B">
              <w:rPr>
                <w:rFonts w:ascii="Arial" w:hAnsi="Arial" w:cs="Arial"/>
              </w:rPr>
              <w:t>1.386.100</w:t>
            </w:r>
          </w:p>
        </w:tc>
        <w:tc>
          <w:tcPr>
            <w:tcW w:w="1486" w:type="dxa"/>
          </w:tcPr>
          <w:p w:rsidR="00D849AA" w:rsidRPr="00A8412B" w:rsidRDefault="00EE6D95">
            <w:pPr>
              <w:rPr>
                <w:rFonts w:ascii="Arial" w:hAnsi="Arial" w:cs="Arial"/>
              </w:rPr>
            </w:pPr>
            <w:r w:rsidRPr="00A8412B">
              <w:rPr>
                <w:rFonts w:ascii="Arial" w:hAnsi="Arial" w:cs="Arial"/>
              </w:rPr>
              <w:t>1.425.600</w:t>
            </w:r>
          </w:p>
        </w:tc>
        <w:tc>
          <w:tcPr>
            <w:tcW w:w="1486" w:type="dxa"/>
          </w:tcPr>
          <w:p w:rsidR="00D849AA" w:rsidRPr="00A8412B" w:rsidRDefault="00EE6D95">
            <w:pPr>
              <w:rPr>
                <w:rFonts w:ascii="Arial" w:hAnsi="Arial" w:cs="Arial"/>
              </w:rPr>
            </w:pPr>
            <w:r w:rsidRPr="00A8412B">
              <w:rPr>
                <w:rFonts w:ascii="Arial" w:hAnsi="Arial" w:cs="Arial"/>
              </w:rPr>
              <w:t>1.382.600</w:t>
            </w:r>
          </w:p>
        </w:tc>
        <w:tc>
          <w:tcPr>
            <w:tcW w:w="1486" w:type="dxa"/>
          </w:tcPr>
          <w:p w:rsidR="00D849AA" w:rsidRPr="00A8412B" w:rsidRDefault="00EE6D95">
            <w:pPr>
              <w:rPr>
                <w:rFonts w:ascii="Arial" w:hAnsi="Arial" w:cs="Arial"/>
              </w:rPr>
            </w:pPr>
            <w:r w:rsidRPr="00A8412B">
              <w:rPr>
                <w:rFonts w:ascii="Arial" w:hAnsi="Arial" w:cs="Arial"/>
              </w:rPr>
              <w:t>98,5</w:t>
            </w:r>
          </w:p>
        </w:tc>
      </w:tr>
    </w:tbl>
    <w:p w:rsidR="00D849AA" w:rsidRDefault="00D849AA">
      <w:pPr>
        <w:jc w:val="left"/>
      </w:pPr>
    </w:p>
    <w:p w:rsidR="00D849AA" w:rsidRDefault="00EE6D95">
      <w:pPr>
        <w:pStyle w:val="Naslov6"/>
      </w:pPr>
      <w:r>
        <w:t>Opis programa</w:t>
      </w:r>
    </w:p>
    <w:p w:rsidR="00D849AA" w:rsidRDefault="00EE6D95">
      <w:pPr>
        <w:pStyle w:val="Normal5"/>
      </w:pPr>
      <w:r>
        <w:t>Programska osnova djelovanja Ureda postavljena je u vidu koordinativnog međuresornog djelovanja zbog potrebe bržeg i kvalitetnijeg djelovanja i rezultata državnih institucija na području razminiranja. Kroz ovaj program, učinkovitim i pravovremenim reagiranjem te stvaranjem potpore projektima razminiranja želi se posao dovršiti u planiranom roku odnosno vremenskom okviru zadanom Nacionalnim programom protuminskog djelovanja Republike Hrvatske 2009.-2019. godine.</w:t>
      </w:r>
    </w:p>
    <w:p w:rsidR="00D849AA" w:rsidRDefault="00EE6D95">
      <w:pPr>
        <w:pStyle w:val="Naslov6"/>
      </w:pPr>
      <w:r>
        <w:t>Zakonske i druge pravne osnove</w:t>
      </w:r>
    </w:p>
    <w:p w:rsidR="00D849AA" w:rsidRDefault="00EE6D95">
      <w:pPr>
        <w:pStyle w:val="Normal5"/>
      </w:pPr>
      <w:r>
        <w:t xml:space="preserve">Zakon o humanitarnom razminiranju  („Narodne novine“ broj 153/2005, 63/2007, 152/2008) </w:t>
      </w:r>
    </w:p>
    <w:p w:rsidR="00D849AA" w:rsidRDefault="00EE6D95">
      <w:pPr>
        <w:pStyle w:val="Normal5"/>
      </w:pPr>
      <w:r>
        <w:t xml:space="preserve">Uredba o Uredu za razminiranje  („Narodne novine“ broj 21/2012) </w:t>
      </w:r>
    </w:p>
    <w:p w:rsidR="00D849AA" w:rsidRDefault="00EE6D95">
      <w:pPr>
        <w:pStyle w:val="Normal5"/>
      </w:pPr>
      <w:r>
        <w:t>Nacionalni program protuminskog djelovanja Republike Hrvatske 2009.-2019. godine</w:t>
      </w:r>
    </w:p>
    <w:p w:rsidR="00D849AA" w:rsidRDefault="00EE6D95">
      <w:pPr>
        <w:pStyle w:val="Naslov6"/>
      </w:pPr>
      <w:r>
        <w:lastRenderedPageBreak/>
        <w:t>Ciljevi provedbe programa u razdoblju 2014.-2016. i pokazatelji uspješnosti kojima će se mjeriti ostvarenje tih ciljeva</w:t>
      </w:r>
    </w:p>
    <w:p w:rsidR="00D849AA" w:rsidRDefault="00EE6D95">
      <w:pPr>
        <w:pStyle w:val="Naslov7"/>
      </w:pPr>
      <w:r>
        <w:t xml:space="preserve">Cilj 1. Koordinacija i osiguravanje pretpostavki za učinkovito protuminsko djelovanje u Republici Hrvatskoj </w:t>
      </w:r>
    </w:p>
    <w:p w:rsidR="00D849AA" w:rsidRDefault="00EE6D95">
      <w:pPr>
        <w:pStyle w:val="Normal6"/>
      </w:pPr>
      <w:r>
        <w:t>Koordinacija i osiguravanje pretpostavki za učinkovito protuminsko djelovanje u Republici Hrvatskoj će u narednom trogodišnjem razdoblju biti omogućena kroz: unaprjeđivanje i usklađivanje zakonskih i podzakonskih propisa kojima se regulira područje protuminskog djelovanja; međuresornu suradnju u provedbi obveza iz međunarodnih konvencija o zabrani ili ograničenju uporabe određenih vrsta konvencionalnog oružja koja imaju neprihvatljiv humanitarni učinak; sustavan rad na podizanju svijesti stanovništva o opasnosti od minsko-eksplozivnih sredstava kroz medijske kampanje i u izravnom kontaktu s građanima.</w:t>
      </w:r>
    </w:p>
    <w:p w:rsidR="00D849AA" w:rsidRDefault="00EE6D95">
      <w:pPr>
        <w:pStyle w:val="Naslov5"/>
      </w:pPr>
      <w:r>
        <w:t>Procjena i ishodište potrebnih sredstava za značajnije aktivnosti/projekte</w:t>
      </w:r>
    </w:p>
    <w:p w:rsidR="00D849AA" w:rsidRDefault="00EE6D95">
      <w:pPr>
        <w:pStyle w:val="Naslov6"/>
      </w:pPr>
      <w:r>
        <w:t>A855001 ADMINISTRACIJA I UPRAVLJANJE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A8412B" w:rsidRDefault="00EE6D95">
            <w:pPr>
              <w:pStyle w:val="CellHeader"/>
            </w:pPr>
            <w:r w:rsidRPr="00A8412B">
              <w:t>Naziv aktivnosti</w:t>
            </w:r>
          </w:p>
        </w:tc>
        <w:tc>
          <w:tcPr>
            <w:tcW w:w="1486" w:type="dxa"/>
            <w:shd w:val="clear" w:color="auto" w:fill="B5C0D8"/>
          </w:tcPr>
          <w:p w:rsidR="00D849AA" w:rsidRPr="00A8412B" w:rsidRDefault="00EE6D95">
            <w:pPr>
              <w:pStyle w:val="CellHeader"/>
            </w:pPr>
            <w:r w:rsidRPr="00A8412B">
              <w:t>Plan 2013.</w:t>
            </w:r>
          </w:p>
        </w:tc>
        <w:tc>
          <w:tcPr>
            <w:tcW w:w="1486" w:type="dxa"/>
            <w:shd w:val="clear" w:color="auto" w:fill="B5C0D8"/>
          </w:tcPr>
          <w:p w:rsidR="00D849AA" w:rsidRPr="00A8412B" w:rsidRDefault="00EE6D95">
            <w:pPr>
              <w:pStyle w:val="CellHeader"/>
            </w:pPr>
            <w:r w:rsidRPr="00A8412B">
              <w:t>Plan 2014.</w:t>
            </w:r>
          </w:p>
        </w:tc>
        <w:tc>
          <w:tcPr>
            <w:tcW w:w="1486" w:type="dxa"/>
            <w:shd w:val="clear" w:color="auto" w:fill="B5C0D8"/>
          </w:tcPr>
          <w:p w:rsidR="00D849AA" w:rsidRPr="00A8412B" w:rsidRDefault="00EE6D95">
            <w:pPr>
              <w:pStyle w:val="CellHeader"/>
            </w:pPr>
            <w:r w:rsidRPr="00A8412B">
              <w:t>Plan 2015.</w:t>
            </w:r>
          </w:p>
        </w:tc>
        <w:tc>
          <w:tcPr>
            <w:tcW w:w="1486" w:type="dxa"/>
            <w:shd w:val="clear" w:color="auto" w:fill="B5C0D8"/>
          </w:tcPr>
          <w:p w:rsidR="00D849AA" w:rsidRPr="00A8412B" w:rsidRDefault="00EE6D95">
            <w:pPr>
              <w:pStyle w:val="CellHeader"/>
            </w:pPr>
            <w:r w:rsidRPr="00A8412B">
              <w:t>Plan 2016.</w:t>
            </w:r>
          </w:p>
        </w:tc>
        <w:tc>
          <w:tcPr>
            <w:tcW w:w="1486" w:type="dxa"/>
            <w:shd w:val="clear" w:color="auto" w:fill="B5C0D8"/>
          </w:tcPr>
          <w:p w:rsidR="00D849AA" w:rsidRPr="00A8412B" w:rsidRDefault="00EE6D95">
            <w:pPr>
              <w:pStyle w:val="CellHeader"/>
            </w:pPr>
            <w:r w:rsidRPr="00A8412B">
              <w:t>Indeks 2014/2013</w:t>
            </w:r>
          </w:p>
        </w:tc>
      </w:tr>
      <w:tr w:rsidR="00D849AA">
        <w:trPr>
          <w:jc w:val="center"/>
        </w:trPr>
        <w:tc>
          <w:tcPr>
            <w:tcW w:w="1486" w:type="dxa"/>
          </w:tcPr>
          <w:p w:rsidR="00D849AA" w:rsidRPr="00A8412B" w:rsidRDefault="00EE6D95">
            <w:pPr>
              <w:pStyle w:val="CellColumn"/>
            </w:pPr>
            <w:r w:rsidRPr="00A8412B">
              <w:t>A855001</w:t>
            </w:r>
          </w:p>
        </w:tc>
        <w:tc>
          <w:tcPr>
            <w:tcW w:w="1486" w:type="dxa"/>
          </w:tcPr>
          <w:p w:rsidR="00D849AA" w:rsidRPr="00A8412B" w:rsidRDefault="00EE6D95">
            <w:pPr>
              <w:rPr>
                <w:rFonts w:ascii="Arial" w:hAnsi="Arial" w:cs="Arial"/>
              </w:rPr>
            </w:pPr>
            <w:r w:rsidRPr="00A8412B">
              <w:rPr>
                <w:rFonts w:ascii="Arial" w:hAnsi="Arial" w:cs="Arial"/>
              </w:rPr>
              <w:t>1.392.550</w:t>
            </w:r>
          </w:p>
        </w:tc>
        <w:tc>
          <w:tcPr>
            <w:tcW w:w="1486" w:type="dxa"/>
          </w:tcPr>
          <w:p w:rsidR="00D849AA" w:rsidRPr="00A8412B" w:rsidRDefault="00EE6D95">
            <w:pPr>
              <w:rPr>
                <w:rFonts w:ascii="Arial" w:hAnsi="Arial" w:cs="Arial"/>
              </w:rPr>
            </w:pPr>
            <w:r w:rsidRPr="00A8412B">
              <w:rPr>
                <w:rFonts w:ascii="Arial" w:hAnsi="Arial" w:cs="Arial"/>
              </w:rPr>
              <w:t>1.364.100</w:t>
            </w:r>
          </w:p>
        </w:tc>
        <w:tc>
          <w:tcPr>
            <w:tcW w:w="1486" w:type="dxa"/>
          </w:tcPr>
          <w:p w:rsidR="00D849AA" w:rsidRPr="00A8412B" w:rsidRDefault="00EE6D95">
            <w:pPr>
              <w:rPr>
                <w:rFonts w:ascii="Arial" w:hAnsi="Arial" w:cs="Arial"/>
              </w:rPr>
            </w:pPr>
            <w:r w:rsidRPr="00A8412B">
              <w:rPr>
                <w:rFonts w:ascii="Arial" w:hAnsi="Arial" w:cs="Arial"/>
              </w:rPr>
              <w:t>1.404.600</w:t>
            </w:r>
          </w:p>
        </w:tc>
        <w:tc>
          <w:tcPr>
            <w:tcW w:w="1486" w:type="dxa"/>
          </w:tcPr>
          <w:p w:rsidR="00D849AA" w:rsidRPr="00A8412B" w:rsidRDefault="00EE6D95">
            <w:pPr>
              <w:rPr>
                <w:rFonts w:ascii="Arial" w:hAnsi="Arial" w:cs="Arial"/>
              </w:rPr>
            </w:pPr>
            <w:r w:rsidRPr="00A8412B">
              <w:rPr>
                <w:rFonts w:ascii="Arial" w:hAnsi="Arial" w:cs="Arial"/>
              </w:rPr>
              <w:t>1.362.600</w:t>
            </w:r>
          </w:p>
        </w:tc>
        <w:tc>
          <w:tcPr>
            <w:tcW w:w="1486" w:type="dxa"/>
          </w:tcPr>
          <w:p w:rsidR="00D849AA" w:rsidRPr="00A8412B" w:rsidRDefault="00EE6D95">
            <w:pPr>
              <w:rPr>
                <w:rFonts w:ascii="Arial" w:hAnsi="Arial" w:cs="Arial"/>
              </w:rPr>
            </w:pPr>
            <w:r w:rsidRPr="00A8412B">
              <w:rPr>
                <w:rFonts w:ascii="Arial" w:hAnsi="Arial" w:cs="Arial"/>
              </w:rPr>
              <w:t>98,0</w:t>
            </w:r>
          </w:p>
        </w:tc>
      </w:tr>
    </w:tbl>
    <w:p w:rsidR="00D849AA" w:rsidRDefault="00D849AA">
      <w:pPr>
        <w:jc w:val="left"/>
      </w:pPr>
    </w:p>
    <w:p w:rsidR="00D849AA" w:rsidRDefault="00EE6D95">
      <w:pPr>
        <w:pStyle w:val="Normal6"/>
      </w:pPr>
      <w:r>
        <w:t xml:space="preserve">Osim poslova navednih u Uvodu, Ured je uključen i u aktivnosti koje se odnose na različite aspekte protuminskog djelovanja u inozemstvu, a koje obuhvaćaju redovito sudjelovanje na sastancima i konferencijama humanitarno-sigurnosnih konvencija kojih je RH stranka (Konvencija o zabrani uporabe i korištenja protupješačkih mina (Ottawska konvencija), Konvencija o kazetnom streljivu (Konvencija iz Osla-CCM) i Konvencija o određenom konvencionalnom oružju (CCW), uključujući i njenih pet Protokola). </w:t>
      </w:r>
    </w:p>
    <w:p w:rsidR="00D849AA" w:rsidRDefault="00EE6D95">
      <w:pPr>
        <w:pStyle w:val="Normal6"/>
      </w:pPr>
      <w:r>
        <w:t xml:space="preserve">Ured također obavlja i poslove provedbe obaveza iz međunarodnih ugovora i konvencija o zabrani ili ograničenju uporabe određenih vrsta konvencionalnog oružja koja imaju neprihvatljiv humanitarni učinak na civilno stanovništvo i/ili vojne osobe te daje prijedloge za zabranu ili ograničavanje uporabe istih. Plaćanje obaveznih doprinosa RH (članarine) prema prethodno spomenutim međunarodnim režimima Ured preuzima od Ministarstva vanjskih i europskih poslova u koju svrhu se i planiraju sredstva na ovoj skupini rashoda. </w:t>
      </w:r>
    </w:p>
    <w:p w:rsidR="00D849AA" w:rsidRDefault="00EE6D95">
      <w:pPr>
        <w:pStyle w:val="Normal6"/>
      </w:pPr>
      <w:r>
        <w:t>U 2014. godini Ured planira pokrenut aktivnosti za izradu jedinstvene Baze podataka osoba stradalih od minsko-eksplozivnih sredstava te neeksplodiranih ubojnih sredstava.</w:t>
      </w:r>
    </w:p>
    <w:p w:rsidR="00D849AA" w:rsidRDefault="00EE6D95">
      <w:pPr>
        <w:pStyle w:val="Naslov1"/>
      </w:pPr>
      <w:r>
        <w:lastRenderedPageBreak/>
        <w:t>025 MINISTARSTVO FINANCIJA</w:t>
      </w:r>
    </w:p>
    <w:p w:rsidR="00D849AA" w:rsidRDefault="00EE6D95">
      <w:pPr>
        <w:pStyle w:val="Naslov4"/>
      </w:pPr>
      <w:r>
        <w:t>Uvod</w:t>
      </w:r>
    </w:p>
    <w:p w:rsidR="00D849AA" w:rsidRDefault="00EE6D95">
      <w:pPr>
        <w:pStyle w:val="Normal3"/>
      </w:pPr>
      <w:r>
        <w:t>Ministarstvo financija odgovorno je za pripremu i provođenje vladine fiskalne politike. Njegovi su ciljevi pridonositi stabilnom rastu gospodarstva, povećanju prosperiteta, te kvalitete života i zaposlenosti za sve hrvatske građane. Jedan od najvažnijih poslova Ministarstva je priprema državnog proračuna, te upravljanje proračunskim prihodima i rashodima, odnosno novcem poreznih obveznika. Ministarstvo financija obavlja upravne i druge poslove koji se odnose na: • analize i prognoze makroekonomskih kretanja koje su temelj za utvrđivanje ekonomske i fiskalne politike i izradu konsolidiranog proračuna države; • izradu osnova za financiranje javnih potreba i nacrt državnog proračuna i izvanproračunskih korisnika te lokalnih proračuna; • konsolidaciju proračuna, izradu prijedloga sustava financiranja javnih potreba i jedinica lokalne i područne (regionalne) samouprave; • izvršavanje državnog proračuna; • planiranje likvidnosti državnog proračuna; • upravlj</w:t>
      </w:r>
      <w:r w:rsidR="00A8412B">
        <w:t xml:space="preserve">anje financijskim tijekovima; • </w:t>
      </w:r>
      <w:r>
        <w:t>proračunski nadzor; •</w:t>
      </w:r>
      <w:r w:rsidR="00A8412B">
        <w:t xml:space="preserve"> </w:t>
      </w:r>
      <w:r>
        <w:t>razvoj sustava proračunskog računovodstva i financijskog izvještavanja, • vođenje glavne knjige državne riznice i sastavljanje konsolidiranih financijskih izvještaja proračuna Republike Hrvatske; • upravljanje proračunskim ulaganjima, izradu izvješća o kratkoročnim financijskim potrebama, praćenje bilance prihoda, rashoda i gotovinskih sredstava, registrira neposredne i uvjetne obveze po javnom dugu, ugovara kreditna zaduženja i provodi postupak izdavanja vrijednosnih papira na domaćem i inozemnom tržištu sukladno utvrđenom računu financiranja državnog proračuna, upravlja portfeljem javnog duga; • pripremu nacrta zakonskih i drugih propisa te osnove za vođenje pregovora iz područja financijskih odnosa s inozemstvom što proizlazi iz multilateralne i bilateralne te kreditne suradnje s međunarodnim i regionalnim financijskim institucijama, inozemnim vladama i poslovnim bankama; operativne poslove u vezi sa članstvom Republike Hrvatske u međunarodnim financijskim organizacijama; • prikupljanje i obradu podataka o štetama nastalim uslijed djelovanja elementarnih nepogoda; • vođenje registra koncesija; • razvoj, unapređenje i koordinaciju sustava politike koncesija; • davanje prijedloga i mjera za unapređenje sustava koncesija; • nadzor nad provedbom Zakona o koncesijama; • sudjeluje u procedurama i analizira prijedloge različitih koncesijskih i modela javno-privatnog partnerstva, davanje prijedloga i mišljenja na prijedloge ugovora o javno-privatnom partnerstvu s osnove proračunskih rizika, ocjene projekata i procjenu rizika u području javno-privatnog partnerstva iz djelokruga Ministarstva i u skladu s procedurama izrade i realizacije projekta javno-privatnog partnerstva, davanje prijedloga i mišljenja za poboljšanje i unapređenje sustava javno-privatnog partnerstva iz djelokruga Ministarstva; • praćenje poslovanja društava od posebnoga državnog interesa; • izradu analiza u postupcima restrukturiranja poduzeća; • praćenje i analizu državnih potpora, unapređenje sustava projiciranja i intenziteta dodjele državnih potpora; • izradu analiza i praćenje ekonomskih kretanja iz područja financijskog sustava, predlaganje i provođenje mjera za unapređenje sustava kreditnih institucija i osiguranja depozita, sustava osiguranja, sustava tržišta kapitala, investicijskih fondova i zaštite ulagatelja, platnih sustava i sustava nadzora financijskih institucija, nadzor financijskih institucija sukladno zakonskim ovlastima; • porezni sustav i poreznu politiku, carinski sustav i politiku carinske i izvancarinske zaštite, nadzor i inspekcijske poslove u području poreza, carina i drugih javnih prihoda, deviznog i vanjskotrgovinskog poslovanja, priređivanja igara na sreću i nagradnih igara; • poduzimanje mjera za sprječavanje pranja novca i financiranja terorizma; izgradnju i održavanje graničnih prijelaza. Ministarstvo obavlja upravne i stručne poslove koji se odnose na uspostavu i razvoj sustava unutarnjih financijskih kontrola u javnom sektoru, na državnoj i lokalnim razinama. Ministarstvo obavlja poslove financijskog upravljanja u okviru decentraliziranog sustava provedbe pomoći Europske zajednice u Republici Hrvatskoj. Ministarstvo obavlja i druge poslove koji su mu stavljeni u nadležnost posebnim zakonom.</w:t>
      </w:r>
    </w:p>
    <w:p w:rsidR="00BF0142" w:rsidRDefault="00BF0142">
      <w:pPr>
        <w:pStyle w:val="Normal3"/>
      </w:pPr>
    </w:p>
    <w:p w:rsidR="00BF0142" w:rsidRDefault="00BF0142">
      <w:pPr>
        <w:pStyle w:val="Normal3"/>
      </w:pPr>
    </w:p>
    <w:tbl>
      <w:tblPr>
        <w:tblStyle w:val="Reetkatablice"/>
        <w:tblW w:w="0" w:type="auto"/>
        <w:jc w:val="center"/>
        <w:tblLook w:val="04A0" w:firstRow="1" w:lastRow="0" w:firstColumn="1" w:lastColumn="0" w:noHBand="0" w:noVBand="1"/>
      </w:tblPr>
      <w:tblGrid>
        <w:gridCol w:w="1443"/>
        <w:gridCol w:w="1607"/>
        <w:gridCol w:w="1607"/>
        <w:gridCol w:w="1607"/>
        <w:gridCol w:w="1607"/>
        <w:gridCol w:w="1417"/>
      </w:tblGrid>
      <w:tr w:rsidR="00D849AA">
        <w:trPr>
          <w:jc w:val="center"/>
        </w:trPr>
        <w:tc>
          <w:tcPr>
            <w:tcW w:w="1486" w:type="dxa"/>
            <w:shd w:val="clear" w:color="auto" w:fill="B5C0D8"/>
          </w:tcPr>
          <w:p w:rsidR="00D849AA" w:rsidRPr="00A8412B" w:rsidRDefault="00D849AA">
            <w:pPr>
              <w:pStyle w:val="CellHeader"/>
            </w:pPr>
          </w:p>
        </w:tc>
        <w:tc>
          <w:tcPr>
            <w:tcW w:w="1486" w:type="dxa"/>
            <w:shd w:val="clear" w:color="auto" w:fill="B5C0D8"/>
          </w:tcPr>
          <w:p w:rsidR="00D849AA" w:rsidRPr="00A8412B" w:rsidRDefault="00EE6D95">
            <w:pPr>
              <w:pStyle w:val="CellHeader"/>
            </w:pPr>
            <w:r w:rsidRPr="00A8412B">
              <w:t>Plan 2013.</w:t>
            </w:r>
          </w:p>
        </w:tc>
        <w:tc>
          <w:tcPr>
            <w:tcW w:w="1486" w:type="dxa"/>
            <w:shd w:val="clear" w:color="auto" w:fill="B5C0D8"/>
          </w:tcPr>
          <w:p w:rsidR="00D849AA" w:rsidRPr="00A8412B" w:rsidRDefault="00EE6D95">
            <w:pPr>
              <w:pStyle w:val="CellHeader"/>
            </w:pPr>
            <w:r w:rsidRPr="00A8412B">
              <w:t>Plan 2014.</w:t>
            </w:r>
          </w:p>
        </w:tc>
        <w:tc>
          <w:tcPr>
            <w:tcW w:w="1486" w:type="dxa"/>
            <w:shd w:val="clear" w:color="auto" w:fill="B5C0D8"/>
          </w:tcPr>
          <w:p w:rsidR="00D849AA" w:rsidRPr="00A8412B" w:rsidRDefault="00EE6D95">
            <w:pPr>
              <w:pStyle w:val="CellHeader"/>
            </w:pPr>
            <w:r w:rsidRPr="00A8412B">
              <w:t>Plan 2015.</w:t>
            </w:r>
          </w:p>
        </w:tc>
        <w:tc>
          <w:tcPr>
            <w:tcW w:w="1486" w:type="dxa"/>
            <w:shd w:val="clear" w:color="auto" w:fill="B5C0D8"/>
          </w:tcPr>
          <w:p w:rsidR="00D849AA" w:rsidRPr="00A8412B" w:rsidRDefault="00EE6D95">
            <w:pPr>
              <w:pStyle w:val="CellHeader"/>
            </w:pPr>
            <w:r w:rsidRPr="00A8412B">
              <w:t>Plan 2016.</w:t>
            </w:r>
          </w:p>
        </w:tc>
        <w:tc>
          <w:tcPr>
            <w:tcW w:w="1486" w:type="dxa"/>
            <w:shd w:val="clear" w:color="auto" w:fill="B5C0D8"/>
          </w:tcPr>
          <w:p w:rsidR="00D849AA" w:rsidRPr="00A8412B" w:rsidRDefault="00EE6D95">
            <w:pPr>
              <w:pStyle w:val="CellHeader"/>
            </w:pPr>
            <w:r w:rsidRPr="00A8412B">
              <w:t>Indeks 2014/2013</w:t>
            </w:r>
          </w:p>
        </w:tc>
      </w:tr>
      <w:tr w:rsidR="00D849AA">
        <w:trPr>
          <w:jc w:val="center"/>
        </w:trPr>
        <w:tc>
          <w:tcPr>
            <w:tcW w:w="1486" w:type="dxa"/>
          </w:tcPr>
          <w:p w:rsidR="00D849AA" w:rsidRPr="00A8412B" w:rsidRDefault="00EE6D95">
            <w:pPr>
              <w:pStyle w:val="CellColumn"/>
            </w:pPr>
            <w:r w:rsidRPr="00A8412B">
              <w:t>02505 Ministarstvo financija</w:t>
            </w:r>
          </w:p>
        </w:tc>
        <w:tc>
          <w:tcPr>
            <w:tcW w:w="1486" w:type="dxa"/>
          </w:tcPr>
          <w:p w:rsidR="00D849AA" w:rsidRPr="00A8412B" w:rsidRDefault="00EE6D95">
            <w:pPr>
              <w:rPr>
                <w:rFonts w:ascii="Arial" w:hAnsi="Arial" w:cs="Arial"/>
              </w:rPr>
            </w:pPr>
            <w:r w:rsidRPr="00A8412B">
              <w:rPr>
                <w:rFonts w:ascii="Arial" w:hAnsi="Arial" w:cs="Arial"/>
              </w:rPr>
              <w:t>304.278.428</w:t>
            </w:r>
          </w:p>
        </w:tc>
        <w:tc>
          <w:tcPr>
            <w:tcW w:w="1486" w:type="dxa"/>
          </w:tcPr>
          <w:p w:rsidR="00D849AA" w:rsidRPr="00A8412B" w:rsidRDefault="00EE6D95">
            <w:pPr>
              <w:rPr>
                <w:rFonts w:ascii="Arial" w:hAnsi="Arial" w:cs="Arial"/>
              </w:rPr>
            </w:pPr>
            <w:r w:rsidRPr="00A8412B">
              <w:rPr>
                <w:rFonts w:ascii="Arial" w:hAnsi="Arial" w:cs="Arial"/>
              </w:rPr>
              <w:t>586.050.000</w:t>
            </w:r>
          </w:p>
        </w:tc>
        <w:tc>
          <w:tcPr>
            <w:tcW w:w="1486" w:type="dxa"/>
          </w:tcPr>
          <w:p w:rsidR="00D849AA" w:rsidRPr="00A8412B" w:rsidRDefault="00EE6D95">
            <w:pPr>
              <w:rPr>
                <w:rFonts w:ascii="Arial" w:hAnsi="Arial" w:cs="Arial"/>
              </w:rPr>
            </w:pPr>
            <w:r w:rsidRPr="00A8412B">
              <w:rPr>
                <w:rFonts w:ascii="Arial" w:hAnsi="Arial" w:cs="Arial"/>
              </w:rPr>
              <w:t>198.800.000</w:t>
            </w:r>
          </w:p>
        </w:tc>
        <w:tc>
          <w:tcPr>
            <w:tcW w:w="1486" w:type="dxa"/>
          </w:tcPr>
          <w:p w:rsidR="00D849AA" w:rsidRPr="00A8412B" w:rsidRDefault="00EE6D95">
            <w:pPr>
              <w:rPr>
                <w:rFonts w:ascii="Arial" w:hAnsi="Arial" w:cs="Arial"/>
              </w:rPr>
            </w:pPr>
            <w:r w:rsidRPr="00A8412B">
              <w:rPr>
                <w:rFonts w:ascii="Arial" w:hAnsi="Arial" w:cs="Arial"/>
              </w:rPr>
              <w:t>191.911.000</w:t>
            </w:r>
          </w:p>
        </w:tc>
        <w:tc>
          <w:tcPr>
            <w:tcW w:w="1486" w:type="dxa"/>
          </w:tcPr>
          <w:p w:rsidR="00D849AA" w:rsidRPr="00A8412B" w:rsidRDefault="00EE6D95">
            <w:pPr>
              <w:rPr>
                <w:rFonts w:ascii="Arial" w:hAnsi="Arial" w:cs="Arial"/>
              </w:rPr>
            </w:pPr>
            <w:r w:rsidRPr="00A8412B">
              <w:rPr>
                <w:rFonts w:ascii="Arial" w:hAnsi="Arial" w:cs="Arial"/>
              </w:rPr>
              <w:t>192,6</w:t>
            </w:r>
          </w:p>
        </w:tc>
      </w:tr>
      <w:tr w:rsidR="00D849AA">
        <w:trPr>
          <w:jc w:val="center"/>
        </w:trPr>
        <w:tc>
          <w:tcPr>
            <w:tcW w:w="1486" w:type="dxa"/>
          </w:tcPr>
          <w:p w:rsidR="00D849AA" w:rsidRPr="00A8412B" w:rsidRDefault="00EE6D95">
            <w:pPr>
              <w:pStyle w:val="CellColumn"/>
            </w:pPr>
            <w:r w:rsidRPr="00A8412B">
              <w:t>02506 Ministarstvo financija - ostali izdaci države</w:t>
            </w:r>
          </w:p>
        </w:tc>
        <w:tc>
          <w:tcPr>
            <w:tcW w:w="1486" w:type="dxa"/>
          </w:tcPr>
          <w:p w:rsidR="00D849AA" w:rsidRPr="00A8412B" w:rsidRDefault="00EE6D95">
            <w:pPr>
              <w:rPr>
                <w:rFonts w:ascii="Arial" w:hAnsi="Arial" w:cs="Arial"/>
              </w:rPr>
            </w:pPr>
            <w:r w:rsidRPr="00A8412B">
              <w:rPr>
                <w:rFonts w:ascii="Arial" w:hAnsi="Arial" w:cs="Arial"/>
              </w:rPr>
              <w:t>32.375.200.480</w:t>
            </w:r>
          </w:p>
        </w:tc>
        <w:tc>
          <w:tcPr>
            <w:tcW w:w="1486" w:type="dxa"/>
          </w:tcPr>
          <w:p w:rsidR="00D849AA" w:rsidRPr="00A8412B" w:rsidRDefault="00EE6D95">
            <w:pPr>
              <w:rPr>
                <w:rFonts w:ascii="Arial" w:hAnsi="Arial" w:cs="Arial"/>
              </w:rPr>
            </w:pPr>
            <w:r w:rsidRPr="00A8412B">
              <w:rPr>
                <w:rFonts w:ascii="Arial" w:hAnsi="Arial" w:cs="Arial"/>
              </w:rPr>
              <w:t>41.949.790.042</w:t>
            </w:r>
          </w:p>
        </w:tc>
        <w:tc>
          <w:tcPr>
            <w:tcW w:w="1486" w:type="dxa"/>
          </w:tcPr>
          <w:p w:rsidR="00D849AA" w:rsidRPr="00A8412B" w:rsidRDefault="00EE6D95">
            <w:pPr>
              <w:rPr>
                <w:rFonts w:ascii="Arial" w:hAnsi="Arial" w:cs="Arial"/>
              </w:rPr>
            </w:pPr>
            <w:r w:rsidRPr="00A8412B">
              <w:rPr>
                <w:rFonts w:ascii="Arial" w:hAnsi="Arial" w:cs="Arial"/>
              </w:rPr>
              <w:t>41.131.818.705</w:t>
            </w:r>
          </w:p>
        </w:tc>
        <w:tc>
          <w:tcPr>
            <w:tcW w:w="1486" w:type="dxa"/>
          </w:tcPr>
          <w:p w:rsidR="00D849AA" w:rsidRPr="00A8412B" w:rsidRDefault="00EE6D95">
            <w:pPr>
              <w:rPr>
                <w:rFonts w:ascii="Arial" w:hAnsi="Arial" w:cs="Arial"/>
              </w:rPr>
            </w:pPr>
            <w:r w:rsidRPr="00A8412B">
              <w:rPr>
                <w:rFonts w:ascii="Arial" w:hAnsi="Arial" w:cs="Arial"/>
              </w:rPr>
              <w:t>34.330.779.434</w:t>
            </w:r>
          </w:p>
        </w:tc>
        <w:tc>
          <w:tcPr>
            <w:tcW w:w="1486" w:type="dxa"/>
          </w:tcPr>
          <w:p w:rsidR="00D849AA" w:rsidRPr="00A8412B" w:rsidRDefault="00EE6D95">
            <w:pPr>
              <w:rPr>
                <w:rFonts w:ascii="Arial" w:hAnsi="Arial" w:cs="Arial"/>
              </w:rPr>
            </w:pPr>
            <w:r w:rsidRPr="00A8412B">
              <w:rPr>
                <w:rFonts w:ascii="Arial" w:hAnsi="Arial" w:cs="Arial"/>
              </w:rPr>
              <w:t>129,6</w:t>
            </w:r>
          </w:p>
        </w:tc>
      </w:tr>
      <w:tr w:rsidR="00D849AA">
        <w:trPr>
          <w:jc w:val="center"/>
        </w:trPr>
        <w:tc>
          <w:tcPr>
            <w:tcW w:w="1486" w:type="dxa"/>
          </w:tcPr>
          <w:p w:rsidR="00D849AA" w:rsidRPr="00A8412B" w:rsidRDefault="00EE6D95">
            <w:pPr>
              <w:pStyle w:val="CellColumn"/>
            </w:pPr>
            <w:r w:rsidRPr="00A8412B">
              <w:t>02510 Carinska uprava</w:t>
            </w:r>
          </w:p>
        </w:tc>
        <w:tc>
          <w:tcPr>
            <w:tcW w:w="1486" w:type="dxa"/>
          </w:tcPr>
          <w:p w:rsidR="00D849AA" w:rsidRPr="00A8412B" w:rsidRDefault="00EE6D95">
            <w:pPr>
              <w:rPr>
                <w:rFonts w:ascii="Arial" w:hAnsi="Arial" w:cs="Arial"/>
              </w:rPr>
            </w:pPr>
            <w:r w:rsidRPr="00A8412B">
              <w:rPr>
                <w:rFonts w:ascii="Arial" w:hAnsi="Arial" w:cs="Arial"/>
              </w:rPr>
              <w:t>571.142.276</w:t>
            </w:r>
          </w:p>
        </w:tc>
        <w:tc>
          <w:tcPr>
            <w:tcW w:w="1486" w:type="dxa"/>
          </w:tcPr>
          <w:p w:rsidR="00D849AA" w:rsidRPr="00A8412B" w:rsidRDefault="00EE6D95">
            <w:pPr>
              <w:rPr>
                <w:rFonts w:ascii="Arial" w:hAnsi="Arial" w:cs="Arial"/>
              </w:rPr>
            </w:pPr>
            <w:r w:rsidRPr="00A8412B">
              <w:rPr>
                <w:rFonts w:ascii="Arial" w:hAnsi="Arial" w:cs="Arial"/>
              </w:rPr>
              <w:t>649.280.760</w:t>
            </w:r>
          </w:p>
        </w:tc>
        <w:tc>
          <w:tcPr>
            <w:tcW w:w="1486" w:type="dxa"/>
          </w:tcPr>
          <w:p w:rsidR="00D849AA" w:rsidRPr="00A8412B" w:rsidRDefault="00EE6D95">
            <w:pPr>
              <w:rPr>
                <w:rFonts w:ascii="Arial" w:hAnsi="Arial" w:cs="Arial"/>
              </w:rPr>
            </w:pPr>
            <w:r w:rsidRPr="00A8412B">
              <w:rPr>
                <w:rFonts w:ascii="Arial" w:hAnsi="Arial" w:cs="Arial"/>
              </w:rPr>
              <w:t>635.494.680</w:t>
            </w:r>
          </w:p>
        </w:tc>
        <w:tc>
          <w:tcPr>
            <w:tcW w:w="1486" w:type="dxa"/>
          </w:tcPr>
          <w:p w:rsidR="00D849AA" w:rsidRPr="00A8412B" w:rsidRDefault="00EE6D95">
            <w:pPr>
              <w:rPr>
                <w:rFonts w:ascii="Arial" w:hAnsi="Arial" w:cs="Arial"/>
              </w:rPr>
            </w:pPr>
            <w:r w:rsidRPr="00A8412B">
              <w:rPr>
                <w:rFonts w:ascii="Arial" w:hAnsi="Arial" w:cs="Arial"/>
              </w:rPr>
              <w:t>634.125.520</w:t>
            </w:r>
          </w:p>
        </w:tc>
        <w:tc>
          <w:tcPr>
            <w:tcW w:w="1486" w:type="dxa"/>
          </w:tcPr>
          <w:p w:rsidR="00D849AA" w:rsidRPr="00A8412B" w:rsidRDefault="00EE6D95">
            <w:pPr>
              <w:rPr>
                <w:rFonts w:ascii="Arial" w:hAnsi="Arial" w:cs="Arial"/>
              </w:rPr>
            </w:pPr>
            <w:r w:rsidRPr="00A8412B">
              <w:rPr>
                <w:rFonts w:ascii="Arial" w:hAnsi="Arial" w:cs="Arial"/>
              </w:rPr>
              <w:t>113,7</w:t>
            </w:r>
          </w:p>
        </w:tc>
      </w:tr>
      <w:tr w:rsidR="00D849AA">
        <w:trPr>
          <w:jc w:val="center"/>
        </w:trPr>
        <w:tc>
          <w:tcPr>
            <w:tcW w:w="1486" w:type="dxa"/>
          </w:tcPr>
          <w:p w:rsidR="00D849AA" w:rsidRPr="00A8412B" w:rsidRDefault="00EE6D95">
            <w:pPr>
              <w:pStyle w:val="CellColumn"/>
            </w:pPr>
            <w:r w:rsidRPr="00A8412B">
              <w:t>02515 Porezna uprava</w:t>
            </w:r>
          </w:p>
        </w:tc>
        <w:tc>
          <w:tcPr>
            <w:tcW w:w="1486" w:type="dxa"/>
          </w:tcPr>
          <w:p w:rsidR="00D849AA" w:rsidRPr="00A8412B" w:rsidRDefault="00EE6D95">
            <w:pPr>
              <w:rPr>
                <w:rFonts w:ascii="Arial" w:hAnsi="Arial" w:cs="Arial"/>
              </w:rPr>
            </w:pPr>
            <w:r w:rsidRPr="00A8412B">
              <w:rPr>
                <w:rFonts w:ascii="Arial" w:hAnsi="Arial" w:cs="Arial"/>
              </w:rPr>
              <w:t>894.929.453</w:t>
            </w:r>
          </w:p>
        </w:tc>
        <w:tc>
          <w:tcPr>
            <w:tcW w:w="1486" w:type="dxa"/>
          </w:tcPr>
          <w:p w:rsidR="00D849AA" w:rsidRPr="00A8412B" w:rsidRDefault="00EE6D95">
            <w:pPr>
              <w:rPr>
                <w:rFonts w:ascii="Arial" w:hAnsi="Arial" w:cs="Arial"/>
              </w:rPr>
            </w:pPr>
            <w:r w:rsidRPr="00A8412B">
              <w:rPr>
                <w:rFonts w:ascii="Arial" w:hAnsi="Arial" w:cs="Arial"/>
              </w:rPr>
              <w:t>949.635.426</w:t>
            </w:r>
          </w:p>
        </w:tc>
        <w:tc>
          <w:tcPr>
            <w:tcW w:w="1486" w:type="dxa"/>
          </w:tcPr>
          <w:p w:rsidR="00D849AA" w:rsidRPr="00A8412B" w:rsidRDefault="00EE6D95">
            <w:pPr>
              <w:rPr>
                <w:rFonts w:ascii="Arial" w:hAnsi="Arial" w:cs="Arial"/>
              </w:rPr>
            </w:pPr>
            <w:r w:rsidRPr="00A8412B">
              <w:rPr>
                <w:rFonts w:ascii="Arial" w:hAnsi="Arial" w:cs="Arial"/>
              </w:rPr>
              <w:t>902.198.910</w:t>
            </w:r>
          </w:p>
        </w:tc>
        <w:tc>
          <w:tcPr>
            <w:tcW w:w="1486" w:type="dxa"/>
          </w:tcPr>
          <w:p w:rsidR="00D849AA" w:rsidRPr="00A8412B" w:rsidRDefault="00EE6D95">
            <w:pPr>
              <w:rPr>
                <w:rFonts w:ascii="Arial" w:hAnsi="Arial" w:cs="Arial"/>
              </w:rPr>
            </w:pPr>
            <w:r w:rsidRPr="00A8412B">
              <w:rPr>
                <w:rFonts w:ascii="Arial" w:hAnsi="Arial" w:cs="Arial"/>
              </w:rPr>
              <w:t>887.679.009</w:t>
            </w:r>
          </w:p>
        </w:tc>
        <w:tc>
          <w:tcPr>
            <w:tcW w:w="1486" w:type="dxa"/>
          </w:tcPr>
          <w:p w:rsidR="00D849AA" w:rsidRPr="00A8412B" w:rsidRDefault="00EE6D95">
            <w:pPr>
              <w:rPr>
                <w:rFonts w:ascii="Arial" w:hAnsi="Arial" w:cs="Arial"/>
              </w:rPr>
            </w:pPr>
            <w:r w:rsidRPr="00A8412B">
              <w:rPr>
                <w:rFonts w:ascii="Arial" w:hAnsi="Arial" w:cs="Arial"/>
              </w:rPr>
              <w:t>106,1</w:t>
            </w:r>
          </w:p>
        </w:tc>
      </w:tr>
      <w:tr w:rsidR="00D849AA">
        <w:trPr>
          <w:jc w:val="center"/>
        </w:trPr>
        <w:tc>
          <w:tcPr>
            <w:tcW w:w="1486" w:type="dxa"/>
          </w:tcPr>
          <w:p w:rsidR="00D849AA" w:rsidRPr="00A8412B" w:rsidRDefault="00EE6D95">
            <w:pPr>
              <w:pStyle w:val="CellColumn"/>
            </w:pPr>
            <w:r w:rsidRPr="00A8412B">
              <w:t>02540 Agencija za reviziju sustava provedbe programa Europske unije</w:t>
            </w:r>
          </w:p>
        </w:tc>
        <w:tc>
          <w:tcPr>
            <w:tcW w:w="1486" w:type="dxa"/>
          </w:tcPr>
          <w:p w:rsidR="00D849AA" w:rsidRPr="00A8412B" w:rsidRDefault="00EE6D95">
            <w:pPr>
              <w:rPr>
                <w:rFonts w:ascii="Arial" w:hAnsi="Arial" w:cs="Arial"/>
              </w:rPr>
            </w:pPr>
            <w:r w:rsidRPr="00A8412B">
              <w:rPr>
                <w:rFonts w:ascii="Arial" w:hAnsi="Arial" w:cs="Arial"/>
              </w:rPr>
              <w:t>11.254.230</w:t>
            </w:r>
          </w:p>
        </w:tc>
        <w:tc>
          <w:tcPr>
            <w:tcW w:w="1486" w:type="dxa"/>
          </w:tcPr>
          <w:p w:rsidR="00D849AA" w:rsidRPr="00A8412B" w:rsidRDefault="00EE6D95">
            <w:pPr>
              <w:rPr>
                <w:rFonts w:ascii="Arial" w:hAnsi="Arial" w:cs="Arial"/>
              </w:rPr>
            </w:pPr>
            <w:r w:rsidRPr="00A8412B">
              <w:rPr>
                <w:rFonts w:ascii="Arial" w:hAnsi="Arial" w:cs="Arial"/>
              </w:rPr>
              <w:t>13.831.000</w:t>
            </w:r>
          </w:p>
        </w:tc>
        <w:tc>
          <w:tcPr>
            <w:tcW w:w="1486" w:type="dxa"/>
          </w:tcPr>
          <w:p w:rsidR="00D849AA" w:rsidRPr="00A8412B" w:rsidRDefault="00EE6D95">
            <w:pPr>
              <w:rPr>
                <w:rFonts w:ascii="Arial" w:hAnsi="Arial" w:cs="Arial"/>
              </w:rPr>
            </w:pPr>
            <w:r w:rsidRPr="00A8412B">
              <w:rPr>
                <w:rFonts w:ascii="Arial" w:hAnsi="Arial" w:cs="Arial"/>
              </w:rPr>
              <w:t>11.159.000</w:t>
            </w:r>
          </w:p>
        </w:tc>
        <w:tc>
          <w:tcPr>
            <w:tcW w:w="1486" w:type="dxa"/>
          </w:tcPr>
          <w:p w:rsidR="00D849AA" w:rsidRPr="00A8412B" w:rsidRDefault="00EE6D95">
            <w:pPr>
              <w:rPr>
                <w:rFonts w:ascii="Arial" w:hAnsi="Arial" w:cs="Arial"/>
              </w:rPr>
            </w:pPr>
            <w:r w:rsidRPr="00A8412B">
              <w:rPr>
                <w:rFonts w:ascii="Arial" w:hAnsi="Arial" w:cs="Arial"/>
              </w:rPr>
              <w:t>11.344.000</w:t>
            </w:r>
          </w:p>
        </w:tc>
        <w:tc>
          <w:tcPr>
            <w:tcW w:w="1486" w:type="dxa"/>
          </w:tcPr>
          <w:p w:rsidR="00D849AA" w:rsidRPr="00A8412B" w:rsidRDefault="00EE6D95">
            <w:pPr>
              <w:rPr>
                <w:rFonts w:ascii="Arial" w:hAnsi="Arial" w:cs="Arial"/>
              </w:rPr>
            </w:pPr>
            <w:r w:rsidRPr="00A8412B">
              <w:rPr>
                <w:rFonts w:ascii="Arial" w:hAnsi="Arial" w:cs="Arial"/>
              </w:rPr>
              <w:t>122,9</w:t>
            </w:r>
          </w:p>
        </w:tc>
      </w:tr>
      <w:tr w:rsidR="00D849AA">
        <w:trPr>
          <w:jc w:val="center"/>
        </w:trPr>
        <w:tc>
          <w:tcPr>
            <w:tcW w:w="1486" w:type="dxa"/>
          </w:tcPr>
          <w:p w:rsidR="00D849AA" w:rsidRPr="00A8412B" w:rsidRDefault="00EE6D95">
            <w:pPr>
              <w:pStyle w:val="CellColumn"/>
            </w:pPr>
            <w:r w:rsidRPr="00A8412B">
              <w:t>02545 Fond za naknadu oduzete imovine</w:t>
            </w:r>
          </w:p>
        </w:tc>
        <w:tc>
          <w:tcPr>
            <w:tcW w:w="1486" w:type="dxa"/>
          </w:tcPr>
          <w:p w:rsidR="00D849AA" w:rsidRPr="00A8412B" w:rsidRDefault="00EE6D95">
            <w:pPr>
              <w:rPr>
                <w:rFonts w:ascii="Arial" w:hAnsi="Arial" w:cs="Arial"/>
              </w:rPr>
            </w:pPr>
            <w:r w:rsidRPr="00A8412B">
              <w:rPr>
                <w:rFonts w:ascii="Arial" w:hAnsi="Arial" w:cs="Arial"/>
              </w:rPr>
              <w:t>156.500.000</w:t>
            </w:r>
          </w:p>
        </w:tc>
        <w:tc>
          <w:tcPr>
            <w:tcW w:w="1486" w:type="dxa"/>
          </w:tcPr>
          <w:p w:rsidR="00D849AA" w:rsidRPr="00A8412B" w:rsidRDefault="00EE6D95">
            <w:pPr>
              <w:rPr>
                <w:rFonts w:ascii="Arial" w:hAnsi="Arial" w:cs="Arial"/>
              </w:rPr>
            </w:pPr>
            <w:r w:rsidRPr="00A8412B">
              <w:rPr>
                <w:rFonts w:ascii="Arial" w:hAnsi="Arial" w:cs="Arial"/>
              </w:rPr>
              <w:t>175.501.915</w:t>
            </w:r>
          </w:p>
        </w:tc>
        <w:tc>
          <w:tcPr>
            <w:tcW w:w="1486" w:type="dxa"/>
          </w:tcPr>
          <w:p w:rsidR="00D849AA" w:rsidRPr="00A8412B" w:rsidRDefault="00EE6D95">
            <w:pPr>
              <w:rPr>
                <w:rFonts w:ascii="Arial" w:hAnsi="Arial" w:cs="Arial"/>
              </w:rPr>
            </w:pPr>
            <w:r w:rsidRPr="00A8412B">
              <w:rPr>
                <w:rFonts w:ascii="Arial" w:hAnsi="Arial" w:cs="Arial"/>
              </w:rPr>
              <w:t>185.390.752</w:t>
            </w:r>
          </w:p>
        </w:tc>
        <w:tc>
          <w:tcPr>
            <w:tcW w:w="1486" w:type="dxa"/>
          </w:tcPr>
          <w:p w:rsidR="00D849AA" w:rsidRPr="00A8412B" w:rsidRDefault="00EE6D95">
            <w:pPr>
              <w:rPr>
                <w:rFonts w:ascii="Arial" w:hAnsi="Arial" w:cs="Arial"/>
              </w:rPr>
            </w:pPr>
            <w:r w:rsidRPr="00A8412B">
              <w:rPr>
                <w:rFonts w:ascii="Arial" w:hAnsi="Arial" w:cs="Arial"/>
              </w:rPr>
              <w:t>197.080.818</w:t>
            </w:r>
          </w:p>
        </w:tc>
        <w:tc>
          <w:tcPr>
            <w:tcW w:w="1486" w:type="dxa"/>
          </w:tcPr>
          <w:p w:rsidR="00D849AA" w:rsidRPr="00A8412B" w:rsidRDefault="00EE6D95">
            <w:pPr>
              <w:rPr>
                <w:rFonts w:ascii="Arial" w:hAnsi="Arial" w:cs="Arial"/>
              </w:rPr>
            </w:pPr>
            <w:r w:rsidRPr="00A8412B">
              <w:rPr>
                <w:rFonts w:ascii="Arial" w:hAnsi="Arial" w:cs="Arial"/>
              </w:rPr>
              <w:t>112,1</w:t>
            </w:r>
          </w:p>
        </w:tc>
      </w:tr>
      <w:tr w:rsidR="00D849AA">
        <w:trPr>
          <w:jc w:val="center"/>
        </w:trPr>
        <w:tc>
          <w:tcPr>
            <w:tcW w:w="1486" w:type="dxa"/>
            <w:shd w:val="clear" w:color="auto" w:fill="B5C0D8"/>
          </w:tcPr>
          <w:p w:rsidR="00D849AA" w:rsidRPr="00A8412B" w:rsidRDefault="00EE6D95">
            <w:pPr>
              <w:pStyle w:val="CellColumn"/>
            </w:pPr>
            <w:r w:rsidRPr="00A8412B">
              <w:t>Ukupno 025</w:t>
            </w:r>
          </w:p>
        </w:tc>
        <w:tc>
          <w:tcPr>
            <w:tcW w:w="1486" w:type="dxa"/>
            <w:shd w:val="clear" w:color="auto" w:fill="B5C0D8"/>
          </w:tcPr>
          <w:p w:rsidR="00D849AA" w:rsidRPr="00A8412B" w:rsidRDefault="00EE6D95">
            <w:pPr>
              <w:rPr>
                <w:rFonts w:ascii="Arial" w:hAnsi="Arial" w:cs="Arial"/>
              </w:rPr>
            </w:pPr>
            <w:r w:rsidRPr="00A8412B">
              <w:rPr>
                <w:rFonts w:ascii="Arial" w:hAnsi="Arial" w:cs="Arial"/>
              </w:rPr>
              <w:t>34.313.304.867</w:t>
            </w:r>
          </w:p>
        </w:tc>
        <w:tc>
          <w:tcPr>
            <w:tcW w:w="1486" w:type="dxa"/>
            <w:shd w:val="clear" w:color="auto" w:fill="B5C0D8"/>
          </w:tcPr>
          <w:p w:rsidR="00D849AA" w:rsidRPr="00A8412B" w:rsidRDefault="00EE6D95">
            <w:pPr>
              <w:rPr>
                <w:rFonts w:ascii="Arial" w:hAnsi="Arial" w:cs="Arial"/>
              </w:rPr>
            </w:pPr>
            <w:r w:rsidRPr="00A8412B">
              <w:rPr>
                <w:rFonts w:ascii="Arial" w:hAnsi="Arial" w:cs="Arial"/>
              </w:rPr>
              <w:t>44.324.089.143</w:t>
            </w:r>
          </w:p>
        </w:tc>
        <w:tc>
          <w:tcPr>
            <w:tcW w:w="1486" w:type="dxa"/>
            <w:shd w:val="clear" w:color="auto" w:fill="B5C0D8"/>
          </w:tcPr>
          <w:p w:rsidR="00D849AA" w:rsidRPr="00A8412B" w:rsidRDefault="00EE6D95">
            <w:pPr>
              <w:rPr>
                <w:rFonts w:ascii="Arial" w:hAnsi="Arial" w:cs="Arial"/>
              </w:rPr>
            </w:pPr>
            <w:r w:rsidRPr="00A8412B">
              <w:rPr>
                <w:rFonts w:ascii="Arial" w:hAnsi="Arial" w:cs="Arial"/>
              </w:rPr>
              <w:t>43.064.862.047</w:t>
            </w:r>
          </w:p>
        </w:tc>
        <w:tc>
          <w:tcPr>
            <w:tcW w:w="1486" w:type="dxa"/>
            <w:shd w:val="clear" w:color="auto" w:fill="B5C0D8"/>
          </w:tcPr>
          <w:p w:rsidR="00D849AA" w:rsidRPr="00A8412B" w:rsidRDefault="00EE6D95">
            <w:pPr>
              <w:rPr>
                <w:rFonts w:ascii="Arial" w:hAnsi="Arial" w:cs="Arial"/>
              </w:rPr>
            </w:pPr>
            <w:r w:rsidRPr="00A8412B">
              <w:rPr>
                <w:rFonts w:ascii="Arial" w:hAnsi="Arial" w:cs="Arial"/>
              </w:rPr>
              <w:t>36.252.919.781</w:t>
            </w:r>
          </w:p>
        </w:tc>
        <w:tc>
          <w:tcPr>
            <w:tcW w:w="1486" w:type="dxa"/>
            <w:shd w:val="clear" w:color="auto" w:fill="B5C0D8"/>
          </w:tcPr>
          <w:p w:rsidR="00D849AA" w:rsidRPr="00A8412B" w:rsidRDefault="00EE6D95">
            <w:pPr>
              <w:rPr>
                <w:rFonts w:ascii="Arial" w:hAnsi="Arial" w:cs="Arial"/>
              </w:rPr>
            </w:pPr>
            <w:r w:rsidRPr="00A8412B">
              <w:rPr>
                <w:rFonts w:ascii="Arial" w:hAnsi="Arial" w:cs="Arial"/>
              </w:rPr>
              <w:t>129,2</w:t>
            </w:r>
          </w:p>
        </w:tc>
      </w:tr>
    </w:tbl>
    <w:p w:rsidR="00D849AA" w:rsidRDefault="00D849AA">
      <w:pPr>
        <w:jc w:val="left"/>
      </w:pPr>
    </w:p>
    <w:p w:rsidR="00D849AA" w:rsidRDefault="00EE6D95">
      <w:pPr>
        <w:pStyle w:val="Naslov2"/>
      </w:pPr>
      <w:r>
        <w:t>02505 Ministarstvo financija</w:t>
      </w:r>
    </w:p>
    <w:p w:rsidR="00D849AA" w:rsidRDefault="00EE6D95">
      <w:pPr>
        <w:pStyle w:val="Naslov4"/>
      </w:pPr>
      <w:r>
        <w:t>Uvod</w:t>
      </w:r>
    </w:p>
    <w:p w:rsidR="00D849AA" w:rsidRDefault="00EE6D95">
      <w:pPr>
        <w:pStyle w:val="Normal3"/>
      </w:pPr>
      <w:r>
        <w:t>Unutar svog djelokruga Ministarstvo financija u užem smislu nadležno je za poslove koji se odnose na: analize i prognoze makroekonomskih kretanja; pripremu, konsolidaciju i izvršavanje državnog proračuna; upravljanje portfeljem javnog duga; suradnju s međunarodnim financijskim institucijama; praćenje kretanja i unapređenje financijskog sustava; razvoj, unapređenje i koordinaciju sustava politike koncesija; sprečavanje pranja novca i financijskog terorizma; nadzor i inspekcijske poslove u području poreza, carina i drugih javnih prihoda; devizno i vanjskotrgovinsko poslovanje; izgradnju i održavanje graničnih prijelaza; uspostavu i razvoj sustava unutarnjih financijskih kontrola u javnom sektoru na državnoj i lokalnim razinama; financijsko upravljanje u okviru decentraliziranog sustava provedbe pomoći Europske zajednice Hrvatskoj.</w:t>
      </w:r>
    </w:p>
    <w:p w:rsidR="00BF0142" w:rsidRDefault="00BF0142">
      <w:pPr>
        <w:pStyle w:val="Normal3"/>
      </w:pP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A8412B" w:rsidRDefault="00D849AA">
            <w:pPr>
              <w:pStyle w:val="CellHeader"/>
            </w:pPr>
          </w:p>
        </w:tc>
        <w:tc>
          <w:tcPr>
            <w:tcW w:w="1486" w:type="dxa"/>
            <w:shd w:val="clear" w:color="auto" w:fill="B5C0D8"/>
          </w:tcPr>
          <w:p w:rsidR="00D849AA" w:rsidRPr="00A8412B" w:rsidRDefault="00EE6D95">
            <w:pPr>
              <w:pStyle w:val="CellHeader"/>
            </w:pPr>
            <w:r w:rsidRPr="00A8412B">
              <w:t>Plan 2013.</w:t>
            </w:r>
          </w:p>
        </w:tc>
        <w:tc>
          <w:tcPr>
            <w:tcW w:w="1486" w:type="dxa"/>
            <w:shd w:val="clear" w:color="auto" w:fill="B5C0D8"/>
          </w:tcPr>
          <w:p w:rsidR="00D849AA" w:rsidRPr="00A8412B" w:rsidRDefault="00EE6D95">
            <w:pPr>
              <w:pStyle w:val="CellHeader"/>
            </w:pPr>
            <w:r w:rsidRPr="00A8412B">
              <w:t>Plan 2014.</w:t>
            </w:r>
          </w:p>
        </w:tc>
        <w:tc>
          <w:tcPr>
            <w:tcW w:w="1486" w:type="dxa"/>
            <w:shd w:val="clear" w:color="auto" w:fill="B5C0D8"/>
          </w:tcPr>
          <w:p w:rsidR="00D849AA" w:rsidRPr="00A8412B" w:rsidRDefault="00EE6D95">
            <w:pPr>
              <w:pStyle w:val="CellHeader"/>
            </w:pPr>
            <w:r w:rsidRPr="00A8412B">
              <w:t>Plan 2015.</w:t>
            </w:r>
          </w:p>
        </w:tc>
        <w:tc>
          <w:tcPr>
            <w:tcW w:w="1486" w:type="dxa"/>
            <w:shd w:val="clear" w:color="auto" w:fill="B5C0D8"/>
          </w:tcPr>
          <w:p w:rsidR="00D849AA" w:rsidRPr="00A8412B" w:rsidRDefault="00EE6D95">
            <w:pPr>
              <w:pStyle w:val="CellHeader"/>
            </w:pPr>
            <w:r w:rsidRPr="00A8412B">
              <w:t>Plan 2016.</w:t>
            </w:r>
          </w:p>
        </w:tc>
        <w:tc>
          <w:tcPr>
            <w:tcW w:w="1486" w:type="dxa"/>
            <w:shd w:val="clear" w:color="auto" w:fill="B5C0D8"/>
          </w:tcPr>
          <w:p w:rsidR="00D849AA" w:rsidRPr="00A8412B" w:rsidRDefault="00EE6D95">
            <w:pPr>
              <w:pStyle w:val="CellHeader"/>
            </w:pPr>
            <w:r w:rsidRPr="00A8412B">
              <w:t>Indeks 2014/2013</w:t>
            </w:r>
          </w:p>
        </w:tc>
      </w:tr>
      <w:tr w:rsidR="00D849AA">
        <w:trPr>
          <w:jc w:val="center"/>
        </w:trPr>
        <w:tc>
          <w:tcPr>
            <w:tcW w:w="1486" w:type="dxa"/>
          </w:tcPr>
          <w:p w:rsidR="00D849AA" w:rsidRPr="00A8412B" w:rsidRDefault="00EE6D95">
            <w:pPr>
              <w:pStyle w:val="CellColumn"/>
            </w:pPr>
            <w:r w:rsidRPr="00A8412B">
              <w:t>02505</w:t>
            </w:r>
          </w:p>
        </w:tc>
        <w:tc>
          <w:tcPr>
            <w:tcW w:w="1486" w:type="dxa"/>
          </w:tcPr>
          <w:p w:rsidR="00D849AA" w:rsidRPr="00A8412B" w:rsidRDefault="00EE6D95">
            <w:pPr>
              <w:rPr>
                <w:rFonts w:ascii="Arial" w:hAnsi="Arial" w:cs="Arial"/>
              </w:rPr>
            </w:pPr>
            <w:r w:rsidRPr="00A8412B">
              <w:rPr>
                <w:rFonts w:ascii="Arial" w:hAnsi="Arial" w:cs="Arial"/>
              </w:rPr>
              <w:t>304.278.428</w:t>
            </w:r>
          </w:p>
        </w:tc>
        <w:tc>
          <w:tcPr>
            <w:tcW w:w="1486" w:type="dxa"/>
          </w:tcPr>
          <w:p w:rsidR="00D849AA" w:rsidRPr="00A8412B" w:rsidRDefault="00EE6D95">
            <w:pPr>
              <w:rPr>
                <w:rFonts w:ascii="Arial" w:hAnsi="Arial" w:cs="Arial"/>
              </w:rPr>
            </w:pPr>
            <w:r w:rsidRPr="00A8412B">
              <w:rPr>
                <w:rFonts w:ascii="Arial" w:hAnsi="Arial" w:cs="Arial"/>
              </w:rPr>
              <w:t>586.050.000</w:t>
            </w:r>
          </w:p>
        </w:tc>
        <w:tc>
          <w:tcPr>
            <w:tcW w:w="1486" w:type="dxa"/>
          </w:tcPr>
          <w:p w:rsidR="00D849AA" w:rsidRPr="00A8412B" w:rsidRDefault="00EE6D95">
            <w:pPr>
              <w:rPr>
                <w:rFonts w:ascii="Arial" w:hAnsi="Arial" w:cs="Arial"/>
              </w:rPr>
            </w:pPr>
            <w:r w:rsidRPr="00A8412B">
              <w:rPr>
                <w:rFonts w:ascii="Arial" w:hAnsi="Arial" w:cs="Arial"/>
              </w:rPr>
              <w:t>198.800.000</w:t>
            </w:r>
          </w:p>
        </w:tc>
        <w:tc>
          <w:tcPr>
            <w:tcW w:w="1486" w:type="dxa"/>
          </w:tcPr>
          <w:p w:rsidR="00D849AA" w:rsidRPr="00A8412B" w:rsidRDefault="00EE6D95">
            <w:pPr>
              <w:rPr>
                <w:rFonts w:ascii="Arial" w:hAnsi="Arial" w:cs="Arial"/>
              </w:rPr>
            </w:pPr>
            <w:r w:rsidRPr="00A8412B">
              <w:rPr>
                <w:rFonts w:ascii="Arial" w:hAnsi="Arial" w:cs="Arial"/>
              </w:rPr>
              <w:t>191.911.000</w:t>
            </w:r>
          </w:p>
        </w:tc>
        <w:tc>
          <w:tcPr>
            <w:tcW w:w="1486" w:type="dxa"/>
          </w:tcPr>
          <w:p w:rsidR="00D849AA" w:rsidRPr="00A8412B" w:rsidRDefault="00EE6D95">
            <w:pPr>
              <w:rPr>
                <w:rFonts w:ascii="Arial" w:hAnsi="Arial" w:cs="Arial"/>
              </w:rPr>
            </w:pPr>
            <w:r w:rsidRPr="00A8412B">
              <w:rPr>
                <w:rFonts w:ascii="Arial" w:hAnsi="Arial" w:cs="Arial"/>
              </w:rPr>
              <w:t>192,6</w:t>
            </w:r>
          </w:p>
        </w:tc>
      </w:tr>
    </w:tbl>
    <w:p w:rsidR="00D849AA" w:rsidRDefault="00D849AA">
      <w:pPr>
        <w:jc w:val="left"/>
      </w:pPr>
    </w:p>
    <w:p w:rsidR="00D849AA" w:rsidRDefault="00EE6D95">
      <w:pPr>
        <w:pStyle w:val="Naslov4"/>
      </w:pPr>
      <w:r>
        <w:t>OBRAZLOŽENJE PROGRAMA</w:t>
      </w:r>
    </w:p>
    <w:p w:rsidR="00D849AA" w:rsidRDefault="00EE6D95">
      <w:pPr>
        <w:pStyle w:val="Naslov5"/>
      </w:pPr>
      <w:r>
        <w:t>2203 UPRAVLJANJE SUSTAVOM JAVNIH FINANCIJA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A8412B" w:rsidRDefault="00D849AA">
            <w:pPr>
              <w:pStyle w:val="CellHeader"/>
            </w:pPr>
          </w:p>
        </w:tc>
        <w:tc>
          <w:tcPr>
            <w:tcW w:w="1486" w:type="dxa"/>
            <w:shd w:val="clear" w:color="auto" w:fill="B5C0D8"/>
          </w:tcPr>
          <w:p w:rsidR="00D849AA" w:rsidRPr="00A8412B" w:rsidRDefault="00EE6D95">
            <w:pPr>
              <w:pStyle w:val="CellHeader"/>
            </w:pPr>
            <w:r w:rsidRPr="00A8412B">
              <w:t>Plan 2013.</w:t>
            </w:r>
          </w:p>
        </w:tc>
        <w:tc>
          <w:tcPr>
            <w:tcW w:w="1486" w:type="dxa"/>
            <w:shd w:val="clear" w:color="auto" w:fill="B5C0D8"/>
          </w:tcPr>
          <w:p w:rsidR="00D849AA" w:rsidRPr="00A8412B" w:rsidRDefault="00EE6D95">
            <w:pPr>
              <w:pStyle w:val="CellHeader"/>
            </w:pPr>
            <w:r w:rsidRPr="00A8412B">
              <w:t>Plan 2014.</w:t>
            </w:r>
          </w:p>
        </w:tc>
        <w:tc>
          <w:tcPr>
            <w:tcW w:w="1486" w:type="dxa"/>
            <w:shd w:val="clear" w:color="auto" w:fill="B5C0D8"/>
          </w:tcPr>
          <w:p w:rsidR="00D849AA" w:rsidRPr="00A8412B" w:rsidRDefault="00EE6D95">
            <w:pPr>
              <w:pStyle w:val="CellHeader"/>
            </w:pPr>
            <w:r w:rsidRPr="00A8412B">
              <w:t>Plan 2015.</w:t>
            </w:r>
          </w:p>
        </w:tc>
        <w:tc>
          <w:tcPr>
            <w:tcW w:w="1486" w:type="dxa"/>
            <w:shd w:val="clear" w:color="auto" w:fill="B5C0D8"/>
          </w:tcPr>
          <w:p w:rsidR="00D849AA" w:rsidRPr="00A8412B" w:rsidRDefault="00EE6D95">
            <w:pPr>
              <w:pStyle w:val="CellHeader"/>
            </w:pPr>
            <w:r w:rsidRPr="00A8412B">
              <w:t>Plan 2016.</w:t>
            </w:r>
          </w:p>
        </w:tc>
        <w:tc>
          <w:tcPr>
            <w:tcW w:w="1486" w:type="dxa"/>
            <w:shd w:val="clear" w:color="auto" w:fill="B5C0D8"/>
          </w:tcPr>
          <w:p w:rsidR="00D849AA" w:rsidRPr="00A8412B" w:rsidRDefault="00EE6D95">
            <w:pPr>
              <w:pStyle w:val="CellHeader"/>
            </w:pPr>
            <w:r w:rsidRPr="00A8412B">
              <w:t>Indeks 2014/2013</w:t>
            </w:r>
          </w:p>
        </w:tc>
      </w:tr>
      <w:tr w:rsidR="00D849AA">
        <w:trPr>
          <w:jc w:val="center"/>
        </w:trPr>
        <w:tc>
          <w:tcPr>
            <w:tcW w:w="1486" w:type="dxa"/>
          </w:tcPr>
          <w:p w:rsidR="00D849AA" w:rsidRPr="00A8412B" w:rsidRDefault="00EE6D95">
            <w:pPr>
              <w:pStyle w:val="CellColumn"/>
            </w:pPr>
            <w:r w:rsidRPr="00A8412B">
              <w:t>2203</w:t>
            </w:r>
          </w:p>
        </w:tc>
        <w:tc>
          <w:tcPr>
            <w:tcW w:w="1486" w:type="dxa"/>
          </w:tcPr>
          <w:p w:rsidR="00D849AA" w:rsidRPr="00A8412B" w:rsidRDefault="00EE6D95">
            <w:pPr>
              <w:rPr>
                <w:rFonts w:ascii="Arial" w:hAnsi="Arial" w:cs="Arial"/>
              </w:rPr>
            </w:pPr>
            <w:r w:rsidRPr="00A8412B">
              <w:rPr>
                <w:rFonts w:ascii="Arial" w:hAnsi="Arial" w:cs="Arial"/>
              </w:rPr>
              <w:t>131.548.428</w:t>
            </w:r>
          </w:p>
        </w:tc>
        <w:tc>
          <w:tcPr>
            <w:tcW w:w="1486" w:type="dxa"/>
          </w:tcPr>
          <w:p w:rsidR="00D849AA" w:rsidRPr="00A8412B" w:rsidRDefault="00EE6D95">
            <w:pPr>
              <w:rPr>
                <w:rFonts w:ascii="Arial" w:hAnsi="Arial" w:cs="Arial"/>
              </w:rPr>
            </w:pPr>
            <w:r w:rsidRPr="00A8412B">
              <w:rPr>
                <w:rFonts w:ascii="Arial" w:hAnsi="Arial" w:cs="Arial"/>
              </w:rPr>
              <w:t>133.100.000</w:t>
            </w:r>
          </w:p>
        </w:tc>
        <w:tc>
          <w:tcPr>
            <w:tcW w:w="1486" w:type="dxa"/>
          </w:tcPr>
          <w:p w:rsidR="00D849AA" w:rsidRPr="00A8412B" w:rsidRDefault="00EE6D95">
            <w:pPr>
              <w:rPr>
                <w:rFonts w:ascii="Arial" w:hAnsi="Arial" w:cs="Arial"/>
              </w:rPr>
            </w:pPr>
            <w:r w:rsidRPr="00A8412B">
              <w:rPr>
                <w:rFonts w:ascii="Arial" w:hAnsi="Arial" w:cs="Arial"/>
              </w:rPr>
              <w:t>124.850.000</w:t>
            </w:r>
          </w:p>
        </w:tc>
        <w:tc>
          <w:tcPr>
            <w:tcW w:w="1486" w:type="dxa"/>
          </w:tcPr>
          <w:p w:rsidR="00D849AA" w:rsidRPr="00A8412B" w:rsidRDefault="00EE6D95">
            <w:pPr>
              <w:rPr>
                <w:rFonts w:ascii="Arial" w:hAnsi="Arial" w:cs="Arial"/>
              </w:rPr>
            </w:pPr>
            <w:r w:rsidRPr="00A8412B">
              <w:rPr>
                <w:rFonts w:ascii="Arial" w:hAnsi="Arial" w:cs="Arial"/>
              </w:rPr>
              <w:t>125.461.000</w:t>
            </w:r>
          </w:p>
        </w:tc>
        <w:tc>
          <w:tcPr>
            <w:tcW w:w="1486" w:type="dxa"/>
          </w:tcPr>
          <w:p w:rsidR="00D849AA" w:rsidRPr="00A8412B" w:rsidRDefault="00EE6D95">
            <w:pPr>
              <w:rPr>
                <w:rFonts w:ascii="Arial" w:hAnsi="Arial" w:cs="Arial"/>
              </w:rPr>
            </w:pPr>
            <w:r w:rsidRPr="00A8412B">
              <w:rPr>
                <w:rFonts w:ascii="Arial" w:hAnsi="Arial" w:cs="Arial"/>
              </w:rPr>
              <w:t>101,2</w:t>
            </w:r>
          </w:p>
        </w:tc>
      </w:tr>
    </w:tbl>
    <w:p w:rsidR="00D849AA" w:rsidRDefault="00D849AA">
      <w:pPr>
        <w:jc w:val="left"/>
      </w:pPr>
    </w:p>
    <w:p w:rsidR="00D849AA" w:rsidRDefault="00EE6D95">
      <w:pPr>
        <w:pStyle w:val="Naslov6"/>
      </w:pPr>
      <w:r>
        <w:t>Opis programa</w:t>
      </w:r>
    </w:p>
    <w:p w:rsidR="00D849AA" w:rsidRDefault="00EE6D95">
      <w:pPr>
        <w:pStyle w:val="Normal5"/>
      </w:pPr>
      <w:r>
        <w:t>Cilj ovoga projekta je učinkovito upravljanje proračunskim sredstvima što će se postići kroz daljnje unaprjeđenje proračunskih procesa i sustava za upravljanje financijama proračunskih korisnika, fiskalnu konsolidaciju i učinkovito upravljanje javnim dugom, jačanje sustava unutarnjih financijskih kontrola i unutarnje revizije, razvojem makroekonomske statistike te jačanje kapaciteta za korištenje fondova Europske unije. Realizacija programa doprinijeti će ostvarenju ciljeva utvrđenih Strategijom Vladinih programa za razdoblje 2014.-2016.</w:t>
      </w:r>
    </w:p>
    <w:p w:rsidR="00D849AA" w:rsidRDefault="00EE6D95">
      <w:pPr>
        <w:pStyle w:val="Naslov6"/>
      </w:pPr>
      <w:r>
        <w:t>Zakonske i druge pravne osnove</w:t>
      </w:r>
    </w:p>
    <w:p w:rsidR="00A8412B" w:rsidRDefault="00EE6D95">
      <w:pPr>
        <w:pStyle w:val="Normal5"/>
      </w:pPr>
      <w:r>
        <w:t xml:space="preserve">Zakon o proračunu (Narodne novine, br. 87/08), </w:t>
      </w:r>
    </w:p>
    <w:p w:rsidR="00D849AA" w:rsidRDefault="00EE6D95">
      <w:pPr>
        <w:pStyle w:val="Normal5"/>
      </w:pPr>
      <w:r>
        <w:t>Strategija unapređenja i modernizacije procesa u sustavu državne riznice 2007.− 2011.</w:t>
      </w:r>
    </w:p>
    <w:p w:rsidR="00D849AA" w:rsidRDefault="00EE6D95">
      <w:pPr>
        <w:pStyle w:val="Naslov5"/>
      </w:pPr>
      <w:r>
        <w:t>Procjena i ishodište potrebnih sredstava za značajnije aktivnosti/projekte</w:t>
      </w:r>
    </w:p>
    <w:p w:rsidR="00D849AA" w:rsidRDefault="00EE6D95">
      <w:pPr>
        <w:pStyle w:val="Naslov6"/>
      </w:pPr>
      <w:r>
        <w:t>K113290 RAZVOJ SUSTAVA DRŽAVNE RIZNICE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rsidRPr="00A8412B">
        <w:trPr>
          <w:jc w:val="center"/>
        </w:trPr>
        <w:tc>
          <w:tcPr>
            <w:tcW w:w="1486" w:type="dxa"/>
            <w:shd w:val="clear" w:color="auto" w:fill="B5C0D8"/>
          </w:tcPr>
          <w:p w:rsidR="00D849AA" w:rsidRPr="00A8412B" w:rsidRDefault="00EE6D95">
            <w:pPr>
              <w:pStyle w:val="CellHeader"/>
            </w:pPr>
            <w:r w:rsidRPr="00A8412B">
              <w:t>Naziv aktivnosti</w:t>
            </w:r>
          </w:p>
        </w:tc>
        <w:tc>
          <w:tcPr>
            <w:tcW w:w="1486" w:type="dxa"/>
            <w:shd w:val="clear" w:color="auto" w:fill="B5C0D8"/>
          </w:tcPr>
          <w:p w:rsidR="00D849AA" w:rsidRPr="00A8412B" w:rsidRDefault="00EE6D95">
            <w:pPr>
              <w:pStyle w:val="CellHeader"/>
            </w:pPr>
            <w:r w:rsidRPr="00A8412B">
              <w:t>Plan 2013.</w:t>
            </w:r>
          </w:p>
        </w:tc>
        <w:tc>
          <w:tcPr>
            <w:tcW w:w="1486" w:type="dxa"/>
            <w:shd w:val="clear" w:color="auto" w:fill="B5C0D8"/>
          </w:tcPr>
          <w:p w:rsidR="00D849AA" w:rsidRPr="00A8412B" w:rsidRDefault="00EE6D95">
            <w:pPr>
              <w:pStyle w:val="CellHeader"/>
            </w:pPr>
            <w:r w:rsidRPr="00A8412B">
              <w:t>Plan 2014.</w:t>
            </w:r>
          </w:p>
        </w:tc>
        <w:tc>
          <w:tcPr>
            <w:tcW w:w="1486" w:type="dxa"/>
            <w:shd w:val="clear" w:color="auto" w:fill="B5C0D8"/>
          </w:tcPr>
          <w:p w:rsidR="00D849AA" w:rsidRPr="00A8412B" w:rsidRDefault="00EE6D95">
            <w:pPr>
              <w:pStyle w:val="CellHeader"/>
            </w:pPr>
            <w:r w:rsidRPr="00A8412B">
              <w:t>Plan 2015.</w:t>
            </w:r>
          </w:p>
        </w:tc>
        <w:tc>
          <w:tcPr>
            <w:tcW w:w="1486" w:type="dxa"/>
            <w:shd w:val="clear" w:color="auto" w:fill="B5C0D8"/>
          </w:tcPr>
          <w:p w:rsidR="00D849AA" w:rsidRPr="00A8412B" w:rsidRDefault="00EE6D95">
            <w:pPr>
              <w:pStyle w:val="CellHeader"/>
            </w:pPr>
            <w:r w:rsidRPr="00A8412B">
              <w:t>Plan 2016.</w:t>
            </w:r>
          </w:p>
        </w:tc>
        <w:tc>
          <w:tcPr>
            <w:tcW w:w="1486" w:type="dxa"/>
            <w:shd w:val="clear" w:color="auto" w:fill="B5C0D8"/>
          </w:tcPr>
          <w:p w:rsidR="00D849AA" w:rsidRPr="00A8412B" w:rsidRDefault="00EE6D95">
            <w:pPr>
              <w:pStyle w:val="CellHeader"/>
            </w:pPr>
            <w:r w:rsidRPr="00A8412B">
              <w:t>Indeks 2014/2013</w:t>
            </w:r>
          </w:p>
        </w:tc>
      </w:tr>
      <w:tr w:rsidR="00D849AA" w:rsidRPr="00A8412B">
        <w:trPr>
          <w:jc w:val="center"/>
        </w:trPr>
        <w:tc>
          <w:tcPr>
            <w:tcW w:w="1486" w:type="dxa"/>
          </w:tcPr>
          <w:p w:rsidR="00D849AA" w:rsidRPr="00A8412B" w:rsidRDefault="00EE6D95">
            <w:pPr>
              <w:pStyle w:val="CellColumn"/>
            </w:pPr>
            <w:r w:rsidRPr="00A8412B">
              <w:t>K113290</w:t>
            </w:r>
          </w:p>
        </w:tc>
        <w:tc>
          <w:tcPr>
            <w:tcW w:w="1486" w:type="dxa"/>
          </w:tcPr>
          <w:p w:rsidR="00D849AA" w:rsidRPr="00A8412B" w:rsidRDefault="00EE6D95">
            <w:pPr>
              <w:rPr>
                <w:rFonts w:ascii="Arial" w:hAnsi="Arial" w:cs="Arial"/>
              </w:rPr>
            </w:pPr>
            <w:r w:rsidRPr="00A8412B">
              <w:rPr>
                <w:rFonts w:ascii="Arial" w:hAnsi="Arial" w:cs="Arial"/>
              </w:rPr>
              <w:t>10.185.000</w:t>
            </w:r>
          </w:p>
        </w:tc>
        <w:tc>
          <w:tcPr>
            <w:tcW w:w="1486" w:type="dxa"/>
          </w:tcPr>
          <w:p w:rsidR="00D849AA" w:rsidRPr="00A8412B" w:rsidRDefault="00EE6D95">
            <w:pPr>
              <w:rPr>
                <w:rFonts w:ascii="Arial" w:hAnsi="Arial" w:cs="Arial"/>
              </w:rPr>
            </w:pPr>
            <w:r w:rsidRPr="00A8412B">
              <w:rPr>
                <w:rFonts w:ascii="Arial" w:hAnsi="Arial" w:cs="Arial"/>
              </w:rPr>
              <w:t>12.400.000</w:t>
            </w:r>
          </w:p>
        </w:tc>
        <w:tc>
          <w:tcPr>
            <w:tcW w:w="1486" w:type="dxa"/>
          </w:tcPr>
          <w:p w:rsidR="00D849AA" w:rsidRPr="00A8412B" w:rsidRDefault="00EE6D95">
            <w:pPr>
              <w:rPr>
                <w:rFonts w:ascii="Arial" w:hAnsi="Arial" w:cs="Arial"/>
              </w:rPr>
            </w:pPr>
            <w:r w:rsidRPr="00A8412B">
              <w:rPr>
                <w:rFonts w:ascii="Arial" w:hAnsi="Arial" w:cs="Arial"/>
              </w:rPr>
              <w:t>12.400.000</w:t>
            </w:r>
          </w:p>
        </w:tc>
        <w:tc>
          <w:tcPr>
            <w:tcW w:w="1486" w:type="dxa"/>
          </w:tcPr>
          <w:p w:rsidR="00D849AA" w:rsidRPr="00A8412B" w:rsidRDefault="00EE6D95">
            <w:pPr>
              <w:rPr>
                <w:rFonts w:ascii="Arial" w:hAnsi="Arial" w:cs="Arial"/>
              </w:rPr>
            </w:pPr>
            <w:r w:rsidRPr="00A8412B">
              <w:rPr>
                <w:rFonts w:ascii="Arial" w:hAnsi="Arial" w:cs="Arial"/>
              </w:rPr>
              <w:t>12.400.000</w:t>
            </w:r>
          </w:p>
        </w:tc>
        <w:tc>
          <w:tcPr>
            <w:tcW w:w="1486" w:type="dxa"/>
          </w:tcPr>
          <w:p w:rsidR="00D849AA" w:rsidRPr="00A8412B" w:rsidRDefault="00EE6D95">
            <w:pPr>
              <w:rPr>
                <w:rFonts w:ascii="Arial" w:hAnsi="Arial" w:cs="Arial"/>
              </w:rPr>
            </w:pPr>
            <w:r w:rsidRPr="00A8412B">
              <w:rPr>
                <w:rFonts w:ascii="Arial" w:hAnsi="Arial" w:cs="Arial"/>
              </w:rPr>
              <w:t>121,7</w:t>
            </w:r>
          </w:p>
        </w:tc>
      </w:tr>
    </w:tbl>
    <w:p w:rsidR="00D849AA" w:rsidRPr="00A8412B" w:rsidRDefault="00D849AA">
      <w:pPr>
        <w:jc w:val="left"/>
        <w:rPr>
          <w:rFonts w:ascii="Arial" w:hAnsi="Arial" w:cs="Arial"/>
        </w:rPr>
      </w:pPr>
    </w:p>
    <w:p w:rsidR="00D849AA" w:rsidRDefault="00EE6D95">
      <w:pPr>
        <w:pStyle w:val="Normal6"/>
      </w:pPr>
      <w:r>
        <w:t>U 2014. godini nastavit će se povezivanje informacijskih sustava za upravljanje financijama proračunskih korisnika sa središnjim informacijskim sustavom Državne riznice. Povezivanjem lokalnih FMIS sustava sa SAP sustavom Državne riznice omogućuje se razmjena elektroničkih dokumenata koji opisuju financijske transakcije proračuna (najave obaveza, ugovori, narudžbenice, fakture). Uvođenjem sustavne kontrole i transparentnosti u stvaranju proračunskih obveza kroz informacijski sustav poboljšat će se kontrola buduće potrošnje, kao temeljnog instrumenta upravljanja likvidnošću i održavanja odnosno smanjivanja javne potrošnje. Također, u narednom razdoblju nastavit će se rad na unapređenju platnog prometa s inozemstvom što podrazumijeva prijenos poslova platnog prometa s inozemstvom iz poslovnih banaka u Hrvatsku narodnu banku i izgradnju jedinstvenog deviznog računa. Izgradnja jedinstvenog deviznog računa u HNB-</w:t>
      </w:r>
      <w:r>
        <w:lastRenderedPageBreak/>
        <w:t>u podrazumijeva širenje obuhvata postojećeg deviznog računa otvorenog 2002. godine odnosno centralizaciju poslova deviznog platnog prometa na jednom mjestu.</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A8412B" w:rsidRDefault="00EE6D95">
            <w:pPr>
              <w:rPr>
                <w:rFonts w:ascii="Arial" w:hAnsi="Arial" w:cs="Arial"/>
              </w:rPr>
            </w:pPr>
            <w:r w:rsidRPr="00A8412B">
              <w:rPr>
                <w:rFonts w:ascii="Arial" w:hAnsi="Arial" w:cs="Arial"/>
              </w:rPr>
              <w:t>Pokazatelj rezultata</w:t>
            </w:r>
          </w:p>
        </w:tc>
        <w:tc>
          <w:tcPr>
            <w:tcW w:w="1114" w:type="dxa"/>
            <w:shd w:val="clear" w:color="auto" w:fill="B5C0D8"/>
          </w:tcPr>
          <w:p w:rsidR="00D849AA" w:rsidRPr="00A8412B" w:rsidRDefault="00EE6D95">
            <w:pPr>
              <w:pStyle w:val="CellHeader"/>
            </w:pPr>
            <w:r w:rsidRPr="00A8412B">
              <w:t>Jedinica</w:t>
            </w:r>
          </w:p>
        </w:tc>
        <w:tc>
          <w:tcPr>
            <w:tcW w:w="1114" w:type="dxa"/>
            <w:shd w:val="clear" w:color="auto" w:fill="B5C0D8"/>
          </w:tcPr>
          <w:p w:rsidR="00D849AA" w:rsidRPr="00A8412B" w:rsidRDefault="00EE6D95">
            <w:pPr>
              <w:pStyle w:val="CellHeader"/>
            </w:pPr>
            <w:r w:rsidRPr="00A8412B">
              <w:t>Polazna vrijednost</w:t>
            </w:r>
          </w:p>
        </w:tc>
        <w:tc>
          <w:tcPr>
            <w:tcW w:w="1486" w:type="dxa"/>
            <w:shd w:val="clear" w:color="auto" w:fill="B5C0D8"/>
          </w:tcPr>
          <w:p w:rsidR="00D849AA" w:rsidRPr="00A8412B" w:rsidRDefault="00EE6D95">
            <w:pPr>
              <w:pStyle w:val="CellHeader"/>
            </w:pPr>
            <w:r w:rsidRPr="00A8412B">
              <w:t>Ciljana vrijednost (2014.)</w:t>
            </w:r>
          </w:p>
        </w:tc>
        <w:tc>
          <w:tcPr>
            <w:tcW w:w="1486" w:type="dxa"/>
            <w:shd w:val="clear" w:color="auto" w:fill="B5C0D8"/>
          </w:tcPr>
          <w:p w:rsidR="00D849AA" w:rsidRPr="00A8412B" w:rsidRDefault="00EE6D95">
            <w:pPr>
              <w:pStyle w:val="CellHeader"/>
            </w:pPr>
            <w:r w:rsidRPr="00A8412B">
              <w:t>Ciljana vrijednost (2015.)</w:t>
            </w:r>
          </w:p>
        </w:tc>
        <w:tc>
          <w:tcPr>
            <w:tcW w:w="1486" w:type="dxa"/>
            <w:shd w:val="clear" w:color="auto" w:fill="B5C0D8"/>
          </w:tcPr>
          <w:p w:rsidR="00D849AA" w:rsidRPr="00A8412B" w:rsidRDefault="00EE6D95">
            <w:pPr>
              <w:pStyle w:val="CellHeader"/>
            </w:pPr>
            <w:r w:rsidRPr="00A8412B">
              <w:t>Ciljana vrijednost (2016.)</w:t>
            </w:r>
          </w:p>
        </w:tc>
      </w:tr>
      <w:tr w:rsidR="00D849AA">
        <w:trPr>
          <w:jc w:val="center"/>
        </w:trPr>
        <w:tc>
          <w:tcPr>
            <w:tcW w:w="2229" w:type="dxa"/>
          </w:tcPr>
          <w:p w:rsidR="00D849AA" w:rsidRPr="00A8412B" w:rsidRDefault="00EE6D95">
            <w:pPr>
              <w:pStyle w:val="CellColumn"/>
            </w:pPr>
            <w:r w:rsidRPr="00A8412B">
              <w:t xml:space="preserve">Povećanje broja uključenih  </w:t>
            </w:r>
          </w:p>
          <w:p w:rsidR="00D849AA" w:rsidRPr="00A8412B" w:rsidRDefault="00EE6D95">
            <w:pPr>
              <w:pStyle w:val="CellColumn"/>
            </w:pPr>
            <w:r w:rsidRPr="00A8412B">
              <w:t xml:space="preserve">tijela u jedinstveni informacijski sustav  </w:t>
            </w:r>
          </w:p>
          <w:p w:rsidR="00D849AA" w:rsidRPr="00A8412B" w:rsidRDefault="00EE6D95">
            <w:pPr>
              <w:pStyle w:val="CellColumn"/>
            </w:pPr>
            <w:r w:rsidRPr="00A8412B">
              <w:t>financijskog upravljanja (FMIS)</w:t>
            </w:r>
          </w:p>
        </w:tc>
        <w:tc>
          <w:tcPr>
            <w:tcW w:w="1114" w:type="dxa"/>
          </w:tcPr>
          <w:p w:rsidR="00D849AA" w:rsidRPr="00A8412B" w:rsidRDefault="00EE6D95">
            <w:pPr>
              <w:rPr>
                <w:rFonts w:ascii="Arial" w:hAnsi="Arial" w:cs="Arial"/>
              </w:rPr>
            </w:pPr>
            <w:r w:rsidRPr="00A8412B">
              <w:rPr>
                <w:rFonts w:ascii="Arial" w:hAnsi="Arial" w:cs="Arial"/>
              </w:rPr>
              <w:t>Broj</w:t>
            </w:r>
          </w:p>
        </w:tc>
        <w:tc>
          <w:tcPr>
            <w:tcW w:w="1114" w:type="dxa"/>
          </w:tcPr>
          <w:p w:rsidR="00D849AA" w:rsidRPr="00A8412B" w:rsidRDefault="00EE6D95">
            <w:pPr>
              <w:rPr>
                <w:rFonts w:ascii="Arial" w:hAnsi="Arial" w:cs="Arial"/>
              </w:rPr>
            </w:pPr>
            <w:r w:rsidRPr="00A8412B">
              <w:rPr>
                <w:rFonts w:ascii="Arial" w:hAnsi="Arial" w:cs="Arial"/>
              </w:rPr>
              <w:t>9</w:t>
            </w:r>
          </w:p>
        </w:tc>
        <w:tc>
          <w:tcPr>
            <w:tcW w:w="1486" w:type="dxa"/>
          </w:tcPr>
          <w:p w:rsidR="00D849AA" w:rsidRPr="00A8412B" w:rsidRDefault="00EE6D95">
            <w:pPr>
              <w:rPr>
                <w:rFonts w:ascii="Arial" w:hAnsi="Arial" w:cs="Arial"/>
              </w:rPr>
            </w:pPr>
            <w:r w:rsidRPr="00A8412B">
              <w:rPr>
                <w:rFonts w:ascii="Arial" w:hAnsi="Arial" w:cs="Arial"/>
              </w:rPr>
              <w:t>15</w:t>
            </w:r>
          </w:p>
        </w:tc>
        <w:tc>
          <w:tcPr>
            <w:tcW w:w="1486" w:type="dxa"/>
          </w:tcPr>
          <w:p w:rsidR="00D849AA" w:rsidRPr="00A8412B" w:rsidRDefault="00EE6D95">
            <w:pPr>
              <w:rPr>
                <w:rFonts w:ascii="Arial" w:hAnsi="Arial" w:cs="Arial"/>
              </w:rPr>
            </w:pPr>
            <w:r w:rsidRPr="00A8412B">
              <w:rPr>
                <w:rFonts w:ascii="Arial" w:hAnsi="Arial" w:cs="Arial"/>
              </w:rPr>
              <w:t>20</w:t>
            </w:r>
          </w:p>
        </w:tc>
        <w:tc>
          <w:tcPr>
            <w:tcW w:w="1486" w:type="dxa"/>
          </w:tcPr>
          <w:p w:rsidR="00D849AA" w:rsidRPr="00A8412B" w:rsidRDefault="00EE6D95">
            <w:pPr>
              <w:rPr>
                <w:rFonts w:ascii="Arial" w:hAnsi="Arial" w:cs="Arial"/>
              </w:rPr>
            </w:pPr>
            <w:r w:rsidRPr="00A8412B">
              <w:rPr>
                <w:rFonts w:ascii="Arial" w:hAnsi="Arial" w:cs="Arial"/>
              </w:rPr>
              <w:t>20</w:t>
            </w:r>
          </w:p>
        </w:tc>
      </w:tr>
    </w:tbl>
    <w:p w:rsidR="00D849AA" w:rsidRDefault="00D849AA">
      <w:pPr>
        <w:jc w:val="left"/>
      </w:pPr>
    </w:p>
    <w:p w:rsidR="00D849AA" w:rsidRDefault="00EE6D95">
      <w:pPr>
        <w:pStyle w:val="Naslov5"/>
      </w:pPr>
      <w:r>
        <w:t>2207 DJELATNOST CARINSKOG I POREZNOG SUSTAVA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rsidRPr="00A8412B">
        <w:trPr>
          <w:jc w:val="center"/>
        </w:trPr>
        <w:tc>
          <w:tcPr>
            <w:tcW w:w="1486" w:type="dxa"/>
            <w:shd w:val="clear" w:color="auto" w:fill="B5C0D8"/>
          </w:tcPr>
          <w:p w:rsidR="00D849AA" w:rsidRPr="00A8412B" w:rsidRDefault="00D849AA">
            <w:pPr>
              <w:pStyle w:val="CellHeader"/>
            </w:pPr>
          </w:p>
        </w:tc>
        <w:tc>
          <w:tcPr>
            <w:tcW w:w="1486" w:type="dxa"/>
            <w:shd w:val="clear" w:color="auto" w:fill="B5C0D8"/>
          </w:tcPr>
          <w:p w:rsidR="00D849AA" w:rsidRPr="00A8412B" w:rsidRDefault="00EE6D95">
            <w:pPr>
              <w:pStyle w:val="CellHeader"/>
            </w:pPr>
            <w:r w:rsidRPr="00A8412B">
              <w:t>Plan 2013.</w:t>
            </w:r>
          </w:p>
        </w:tc>
        <w:tc>
          <w:tcPr>
            <w:tcW w:w="1486" w:type="dxa"/>
            <w:shd w:val="clear" w:color="auto" w:fill="B5C0D8"/>
          </w:tcPr>
          <w:p w:rsidR="00D849AA" w:rsidRPr="00A8412B" w:rsidRDefault="00EE6D95">
            <w:pPr>
              <w:pStyle w:val="CellHeader"/>
            </w:pPr>
            <w:r w:rsidRPr="00A8412B">
              <w:t>Plan 2014.</w:t>
            </w:r>
          </w:p>
        </w:tc>
        <w:tc>
          <w:tcPr>
            <w:tcW w:w="1486" w:type="dxa"/>
            <w:shd w:val="clear" w:color="auto" w:fill="B5C0D8"/>
          </w:tcPr>
          <w:p w:rsidR="00D849AA" w:rsidRPr="00A8412B" w:rsidRDefault="00EE6D95">
            <w:pPr>
              <w:pStyle w:val="CellHeader"/>
            </w:pPr>
            <w:r w:rsidRPr="00A8412B">
              <w:t>Plan 2015.</w:t>
            </w:r>
          </w:p>
        </w:tc>
        <w:tc>
          <w:tcPr>
            <w:tcW w:w="1486" w:type="dxa"/>
            <w:shd w:val="clear" w:color="auto" w:fill="B5C0D8"/>
          </w:tcPr>
          <w:p w:rsidR="00D849AA" w:rsidRPr="00A8412B" w:rsidRDefault="00EE6D95">
            <w:pPr>
              <w:pStyle w:val="CellHeader"/>
            </w:pPr>
            <w:r w:rsidRPr="00A8412B">
              <w:t>Plan 2016.</w:t>
            </w:r>
          </w:p>
        </w:tc>
        <w:tc>
          <w:tcPr>
            <w:tcW w:w="1486" w:type="dxa"/>
            <w:shd w:val="clear" w:color="auto" w:fill="B5C0D8"/>
          </w:tcPr>
          <w:p w:rsidR="00D849AA" w:rsidRPr="00A8412B" w:rsidRDefault="00EE6D95">
            <w:pPr>
              <w:pStyle w:val="CellHeader"/>
            </w:pPr>
            <w:r w:rsidRPr="00A8412B">
              <w:t>Indeks 2014/2013</w:t>
            </w:r>
          </w:p>
        </w:tc>
      </w:tr>
      <w:tr w:rsidR="00D849AA" w:rsidRPr="00A8412B">
        <w:trPr>
          <w:jc w:val="center"/>
        </w:trPr>
        <w:tc>
          <w:tcPr>
            <w:tcW w:w="1486" w:type="dxa"/>
          </w:tcPr>
          <w:p w:rsidR="00D849AA" w:rsidRPr="00A8412B" w:rsidRDefault="00EE6D95">
            <w:pPr>
              <w:pStyle w:val="CellColumn"/>
            </w:pPr>
            <w:r w:rsidRPr="00A8412B">
              <w:t>2207</w:t>
            </w:r>
          </w:p>
        </w:tc>
        <w:tc>
          <w:tcPr>
            <w:tcW w:w="1486" w:type="dxa"/>
          </w:tcPr>
          <w:p w:rsidR="00D849AA" w:rsidRPr="00A8412B" w:rsidRDefault="00EE6D95">
            <w:pPr>
              <w:rPr>
                <w:rFonts w:ascii="Arial" w:hAnsi="Arial" w:cs="Arial"/>
              </w:rPr>
            </w:pPr>
            <w:r w:rsidRPr="00A8412B">
              <w:rPr>
                <w:rFonts w:ascii="Arial" w:hAnsi="Arial" w:cs="Arial"/>
              </w:rPr>
              <w:t>172.730.000</w:t>
            </w:r>
          </w:p>
        </w:tc>
        <w:tc>
          <w:tcPr>
            <w:tcW w:w="1486" w:type="dxa"/>
          </w:tcPr>
          <w:p w:rsidR="00D849AA" w:rsidRPr="00A8412B" w:rsidRDefault="00EE6D95">
            <w:pPr>
              <w:rPr>
                <w:rFonts w:ascii="Arial" w:hAnsi="Arial" w:cs="Arial"/>
              </w:rPr>
            </w:pPr>
            <w:r w:rsidRPr="00A8412B">
              <w:rPr>
                <w:rFonts w:ascii="Arial" w:hAnsi="Arial" w:cs="Arial"/>
              </w:rPr>
              <w:t>452.950.000</w:t>
            </w:r>
          </w:p>
        </w:tc>
        <w:tc>
          <w:tcPr>
            <w:tcW w:w="1486" w:type="dxa"/>
          </w:tcPr>
          <w:p w:rsidR="00D849AA" w:rsidRPr="00A8412B" w:rsidRDefault="00EE6D95">
            <w:pPr>
              <w:rPr>
                <w:rFonts w:ascii="Arial" w:hAnsi="Arial" w:cs="Arial"/>
              </w:rPr>
            </w:pPr>
            <w:r w:rsidRPr="00A8412B">
              <w:rPr>
                <w:rFonts w:ascii="Arial" w:hAnsi="Arial" w:cs="Arial"/>
              </w:rPr>
              <w:t>73.950.000</w:t>
            </w:r>
          </w:p>
        </w:tc>
        <w:tc>
          <w:tcPr>
            <w:tcW w:w="1486" w:type="dxa"/>
          </w:tcPr>
          <w:p w:rsidR="00D849AA" w:rsidRPr="00A8412B" w:rsidRDefault="00EE6D95">
            <w:pPr>
              <w:rPr>
                <w:rFonts w:ascii="Arial" w:hAnsi="Arial" w:cs="Arial"/>
              </w:rPr>
            </w:pPr>
            <w:r w:rsidRPr="00A8412B">
              <w:rPr>
                <w:rFonts w:ascii="Arial" w:hAnsi="Arial" w:cs="Arial"/>
              </w:rPr>
              <w:t>66.450.000</w:t>
            </w:r>
          </w:p>
        </w:tc>
        <w:tc>
          <w:tcPr>
            <w:tcW w:w="1486" w:type="dxa"/>
          </w:tcPr>
          <w:p w:rsidR="00D849AA" w:rsidRPr="00A8412B" w:rsidRDefault="00EE6D95">
            <w:pPr>
              <w:rPr>
                <w:rFonts w:ascii="Arial" w:hAnsi="Arial" w:cs="Arial"/>
              </w:rPr>
            </w:pPr>
            <w:r w:rsidRPr="00A8412B">
              <w:rPr>
                <w:rFonts w:ascii="Arial" w:hAnsi="Arial" w:cs="Arial"/>
              </w:rPr>
              <w:t>262,2</w:t>
            </w:r>
          </w:p>
        </w:tc>
      </w:tr>
    </w:tbl>
    <w:p w:rsidR="00D849AA" w:rsidRPr="00A8412B" w:rsidRDefault="00D849AA">
      <w:pPr>
        <w:jc w:val="left"/>
        <w:rPr>
          <w:rFonts w:ascii="Arial" w:hAnsi="Arial" w:cs="Arial"/>
        </w:rPr>
      </w:pPr>
    </w:p>
    <w:p w:rsidR="00D849AA" w:rsidRDefault="00EE6D95">
      <w:pPr>
        <w:pStyle w:val="Naslov6"/>
      </w:pPr>
      <w:r>
        <w:t>Opis programa</w:t>
      </w:r>
    </w:p>
    <w:p w:rsidR="00D849AA" w:rsidRDefault="00EE6D95">
      <w:pPr>
        <w:pStyle w:val="Normal5"/>
      </w:pPr>
      <w:r>
        <w:t>Program obuhvća poslove na izgradnji, opremanju te održavanju graničnih prijelaza. Glavni cilj programa je uspostava i održavanje kvalitetnog graničnog prometa sa susjednim državama, ostvarenjem kojega ovaj program pridonosi realizaciji posebnog cilja 1.3. Zaštita i sigurnost tržišta i društva kao i financijskih interesa u području carina, posebnih poreza i trošarina te olakšavanje trgovine.</w:t>
      </w:r>
    </w:p>
    <w:p w:rsidR="00D849AA" w:rsidRDefault="00EE6D95">
      <w:pPr>
        <w:pStyle w:val="Naslov6"/>
      </w:pPr>
      <w:r>
        <w:t>Zakonske i druge pravne osnove</w:t>
      </w:r>
    </w:p>
    <w:p w:rsidR="00D849AA" w:rsidRDefault="00EE6D95">
      <w:pPr>
        <w:pStyle w:val="Normal5"/>
      </w:pPr>
      <w:r>
        <w:t>Odluka o upravljanju imovinom na graničnim prijelazima (Narodne novine</w:t>
      </w:r>
      <w:r w:rsidR="00A8412B">
        <w:t>,</w:t>
      </w:r>
      <w:r>
        <w:t xml:space="preserve"> br</w:t>
      </w:r>
      <w:r w:rsidR="00A8412B">
        <w:t>oj</w:t>
      </w:r>
      <w:r>
        <w:t xml:space="preserve"> 15/95) </w:t>
      </w:r>
    </w:p>
    <w:p w:rsidR="00D849AA" w:rsidRDefault="00EE6D95">
      <w:pPr>
        <w:pStyle w:val="Normal5"/>
      </w:pPr>
      <w:r>
        <w:t>Strategija integriranog upravljanja granicom (Odluka Vlade RH od 11. travnja 2013.)</w:t>
      </w:r>
    </w:p>
    <w:p w:rsidR="00BF0142" w:rsidRDefault="00BF0142">
      <w:pPr>
        <w:pStyle w:val="Normal5"/>
      </w:pP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Cilj 1. Uspostava i održavanje kvalitetnog graničnog prometa sa susjednim državama</w:t>
      </w:r>
    </w:p>
    <w:p w:rsidR="00BF0142" w:rsidRDefault="00EE6D95" w:rsidP="00A8412B">
      <w:pPr>
        <w:pStyle w:val="Normal6"/>
      </w:pPr>
      <w:r>
        <w:t>Pristupanjem Republike Hrvatske Europskoj uniji stvorena je obveza izgradnje 40 graničnih prijelaza kao preduvjet za početak uvođenja Schengenskog režima na vanjskoj granici RH prema Srbiji, Bosni i Hercegovini i Crnoj Gori. Vlada RH donijela je Strategiju integriranog upravljanja granicom temeljem kojeg je donesen Akcijski plan za provedbu sustava upravljanja i kontrole za Schengenski režim. Pored toga potrebno je  kontinuirano i kvalitetno održavati granične prijelaze kako bi isti bili u funkciji sa što manje zastoja i što većim protokom roba i usluga.</w:t>
      </w:r>
    </w:p>
    <w:p w:rsidR="00D849AA" w:rsidRDefault="00EE6D95">
      <w:pPr>
        <w:pStyle w:val="Naslov8"/>
        <w:jc w:val="left"/>
      </w:pPr>
      <w:r>
        <w:lastRenderedPageBreak/>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A8412B" w:rsidRDefault="00EE6D95">
            <w:pPr>
              <w:rPr>
                <w:rFonts w:ascii="Arial" w:hAnsi="Arial" w:cs="Arial"/>
              </w:rPr>
            </w:pPr>
            <w:r w:rsidRPr="00A8412B">
              <w:rPr>
                <w:rFonts w:ascii="Arial" w:hAnsi="Arial" w:cs="Arial"/>
              </w:rPr>
              <w:t>Pokazatelj učinka</w:t>
            </w:r>
          </w:p>
        </w:tc>
        <w:tc>
          <w:tcPr>
            <w:tcW w:w="1114" w:type="dxa"/>
            <w:shd w:val="clear" w:color="auto" w:fill="B5C0D8"/>
          </w:tcPr>
          <w:p w:rsidR="00D849AA" w:rsidRPr="00A8412B" w:rsidRDefault="00EE6D95">
            <w:pPr>
              <w:pStyle w:val="CellHeader"/>
            </w:pPr>
            <w:r w:rsidRPr="00A8412B">
              <w:t>Jedinica</w:t>
            </w:r>
          </w:p>
        </w:tc>
        <w:tc>
          <w:tcPr>
            <w:tcW w:w="1114" w:type="dxa"/>
            <w:shd w:val="clear" w:color="auto" w:fill="B5C0D8"/>
          </w:tcPr>
          <w:p w:rsidR="00D849AA" w:rsidRPr="00A8412B" w:rsidRDefault="00EE6D95">
            <w:pPr>
              <w:pStyle w:val="CellHeader"/>
            </w:pPr>
            <w:r w:rsidRPr="00A8412B">
              <w:t>Polazna vrijednost</w:t>
            </w:r>
          </w:p>
        </w:tc>
        <w:tc>
          <w:tcPr>
            <w:tcW w:w="1486" w:type="dxa"/>
            <w:shd w:val="clear" w:color="auto" w:fill="B5C0D8"/>
          </w:tcPr>
          <w:p w:rsidR="00D849AA" w:rsidRPr="00A8412B" w:rsidRDefault="00EE6D95">
            <w:pPr>
              <w:pStyle w:val="CellHeader"/>
            </w:pPr>
            <w:r w:rsidRPr="00A8412B">
              <w:t>Ciljana vrijednost (2014.)</w:t>
            </w:r>
          </w:p>
        </w:tc>
        <w:tc>
          <w:tcPr>
            <w:tcW w:w="1486" w:type="dxa"/>
            <w:shd w:val="clear" w:color="auto" w:fill="B5C0D8"/>
          </w:tcPr>
          <w:p w:rsidR="00D849AA" w:rsidRPr="00A8412B" w:rsidRDefault="00EE6D95">
            <w:pPr>
              <w:pStyle w:val="CellHeader"/>
            </w:pPr>
            <w:r w:rsidRPr="00A8412B">
              <w:t>Ciljana vrijednost (2015.)</w:t>
            </w:r>
          </w:p>
        </w:tc>
        <w:tc>
          <w:tcPr>
            <w:tcW w:w="1486" w:type="dxa"/>
            <w:shd w:val="clear" w:color="auto" w:fill="B5C0D8"/>
          </w:tcPr>
          <w:p w:rsidR="00D849AA" w:rsidRPr="00A8412B" w:rsidRDefault="00EE6D95">
            <w:pPr>
              <w:pStyle w:val="CellHeader"/>
            </w:pPr>
            <w:r w:rsidRPr="00A8412B">
              <w:t>Ciljana vrijednost (2016.)</w:t>
            </w:r>
          </w:p>
        </w:tc>
      </w:tr>
      <w:tr w:rsidR="00D849AA">
        <w:trPr>
          <w:jc w:val="center"/>
        </w:trPr>
        <w:tc>
          <w:tcPr>
            <w:tcW w:w="2229" w:type="dxa"/>
          </w:tcPr>
          <w:p w:rsidR="00D849AA" w:rsidRPr="00A8412B" w:rsidRDefault="00EE6D95">
            <w:pPr>
              <w:pStyle w:val="CellColumn"/>
            </w:pPr>
            <w:r w:rsidRPr="00A8412B">
              <w:t>Povećanje protočnosti osoba i roba kao i poboljšanje uvjeta rada na graničnim prijelazima</w:t>
            </w:r>
          </w:p>
        </w:tc>
        <w:tc>
          <w:tcPr>
            <w:tcW w:w="1114" w:type="dxa"/>
          </w:tcPr>
          <w:p w:rsidR="00D849AA" w:rsidRPr="00A8412B" w:rsidRDefault="00EE6D95">
            <w:pPr>
              <w:rPr>
                <w:rFonts w:ascii="Arial" w:hAnsi="Arial" w:cs="Arial"/>
              </w:rPr>
            </w:pPr>
            <w:r w:rsidRPr="00A8412B">
              <w:rPr>
                <w:rFonts w:ascii="Arial" w:hAnsi="Arial" w:cs="Arial"/>
              </w:rPr>
              <w:t>broj</w:t>
            </w:r>
          </w:p>
        </w:tc>
        <w:tc>
          <w:tcPr>
            <w:tcW w:w="1114" w:type="dxa"/>
          </w:tcPr>
          <w:p w:rsidR="00D849AA" w:rsidRPr="00A8412B" w:rsidRDefault="00EE6D95">
            <w:pPr>
              <w:rPr>
                <w:rFonts w:ascii="Arial" w:hAnsi="Arial" w:cs="Arial"/>
              </w:rPr>
            </w:pPr>
            <w:r w:rsidRPr="00A8412B">
              <w:rPr>
                <w:rFonts w:ascii="Arial" w:hAnsi="Arial" w:cs="Arial"/>
              </w:rPr>
              <w:t>173</w:t>
            </w:r>
          </w:p>
        </w:tc>
        <w:tc>
          <w:tcPr>
            <w:tcW w:w="1486" w:type="dxa"/>
          </w:tcPr>
          <w:p w:rsidR="00D849AA" w:rsidRPr="00A8412B" w:rsidRDefault="00EE6D95">
            <w:pPr>
              <w:rPr>
                <w:rFonts w:ascii="Arial" w:hAnsi="Arial" w:cs="Arial"/>
              </w:rPr>
            </w:pPr>
            <w:r w:rsidRPr="00A8412B">
              <w:rPr>
                <w:rFonts w:ascii="Arial" w:hAnsi="Arial" w:cs="Arial"/>
              </w:rPr>
              <w:t>173</w:t>
            </w:r>
          </w:p>
        </w:tc>
        <w:tc>
          <w:tcPr>
            <w:tcW w:w="1486" w:type="dxa"/>
          </w:tcPr>
          <w:p w:rsidR="00D849AA" w:rsidRPr="00A8412B" w:rsidRDefault="00EE6D95">
            <w:pPr>
              <w:rPr>
                <w:rFonts w:ascii="Arial" w:hAnsi="Arial" w:cs="Arial"/>
              </w:rPr>
            </w:pPr>
            <w:r w:rsidRPr="00A8412B">
              <w:rPr>
                <w:rFonts w:ascii="Arial" w:hAnsi="Arial" w:cs="Arial"/>
              </w:rPr>
              <w:t>173</w:t>
            </w:r>
          </w:p>
        </w:tc>
        <w:tc>
          <w:tcPr>
            <w:tcW w:w="1486" w:type="dxa"/>
          </w:tcPr>
          <w:p w:rsidR="00D849AA" w:rsidRPr="00A8412B" w:rsidRDefault="00EE6D95">
            <w:pPr>
              <w:rPr>
                <w:rFonts w:ascii="Arial" w:hAnsi="Arial" w:cs="Arial"/>
              </w:rPr>
            </w:pPr>
            <w:r w:rsidRPr="00A8412B">
              <w:rPr>
                <w:rFonts w:ascii="Arial" w:hAnsi="Arial" w:cs="Arial"/>
              </w:rPr>
              <w:t>173</w:t>
            </w:r>
          </w:p>
        </w:tc>
      </w:tr>
    </w:tbl>
    <w:p w:rsidR="00D849AA" w:rsidRDefault="00D849AA">
      <w:pPr>
        <w:jc w:val="left"/>
      </w:pPr>
    </w:p>
    <w:p w:rsidR="00D849AA" w:rsidRDefault="00EE6D95">
      <w:pPr>
        <w:pStyle w:val="Naslov5"/>
      </w:pPr>
      <w:r>
        <w:t>Procjena i ishodište potrebnih sredstava za značajnije aktivnosti/projekte</w:t>
      </w:r>
    </w:p>
    <w:p w:rsidR="00D849AA" w:rsidRDefault="00EE6D95">
      <w:pPr>
        <w:pStyle w:val="Naslov6"/>
      </w:pPr>
      <w:r>
        <w:t>K538043 IZGRADNJA GRANIČNIH PRIJELAZA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A8412B" w:rsidRDefault="00EE6D95">
            <w:pPr>
              <w:pStyle w:val="CellHeader"/>
            </w:pPr>
            <w:r w:rsidRPr="00A8412B">
              <w:t>Naziv aktivnosti</w:t>
            </w:r>
          </w:p>
        </w:tc>
        <w:tc>
          <w:tcPr>
            <w:tcW w:w="1486" w:type="dxa"/>
            <w:shd w:val="clear" w:color="auto" w:fill="B5C0D8"/>
          </w:tcPr>
          <w:p w:rsidR="00D849AA" w:rsidRPr="00A8412B" w:rsidRDefault="00EE6D95">
            <w:pPr>
              <w:pStyle w:val="CellHeader"/>
            </w:pPr>
            <w:r w:rsidRPr="00A8412B">
              <w:t>Plan 2013.</w:t>
            </w:r>
          </w:p>
        </w:tc>
        <w:tc>
          <w:tcPr>
            <w:tcW w:w="1486" w:type="dxa"/>
            <w:shd w:val="clear" w:color="auto" w:fill="B5C0D8"/>
          </w:tcPr>
          <w:p w:rsidR="00D849AA" w:rsidRPr="00A8412B" w:rsidRDefault="00EE6D95">
            <w:pPr>
              <w:pStyle w:val="CellHeader"/>
            </w:pPr>
            <w:r w:rsidRPr="00A8412B">
              <w:t>Plan 2014.</w:t>
            </w:r>
          </w:p>
        </w:tc>
        <w:tc>
          <w:tcPr>
            <w:tcW w:w="1486" w:type="dxa"/>
            <w:shd w:val="clear" w:color="auto" w:fill="B5C0D8"/>
          </w:tcPr>
          <w:p w:rsidR="00D849AA" w:rsidRPr="00A8412B" w:rsidRDefault="00EE6D95">
            <w:pPr>
              <w:pStyle w:val="CellHeader"/>
            </w:pPr>
            <w:r w:rsidRPr="00A8412B">
              <w:t>Plan 2015.</w:t>
            </w:r>
          </w:p>
        </w:tc>
        <w:tc>
          <w:tcPr>
            <w:tcW w:w="1486" w:type="dxa"/>
            <w:shd w:val="clear" w:color="auto" w:fill="B5C0D8"/>
          </w:tcPr>
          <w:p w:rsidR="00D849AA" w:rsidRPr="00A8412B" w:rsidRDefault="00EE6D95">
            <w:pPr>
              <w:pStyle w:val="CellHeader"/>
            </w:pPr>
            <w:r w:rsidRPr="00A8412B">
              <w:t>Plan 2016.</w:t>
            </w:r>
          </w:p>
        </w:tc>
        <w:tc>
          <w:tcPr>
            <w:tcW w:w="1486" w:type="dxa"/>
            <w:shd w:val="clear" w:color="auto" w:fill="B5C0D8"/>
          </w:tcPr>
          <w:p w:rsidR="00D849AA" w:rsidRPr="00A8412B" w:rsidRDefault="00EE6D95">
            <w:pPr>
              <w:pStyle w:val="CellHeader"/>
            </w:pPr>
            <w:r w:rsidRPr="00A8412B">
              <w:t>Indeks 2014/2013</w:t>
            </w:r>
          </w:p>
        </w:tc>
      </w:tr>
      <w:tr w:rsidR="00D849AA">
        <w:trPr>
          <w:jc w:val="center"/>
        </w:trPr>
        <w:tc>
          <w:tcPr>
            <w:tcW w:w="1486" w:type="dxa"/>
          </w:tcPr>
          <w:p w:rsidR="00D849AA" w:rsidRPr="00A8412B" w:rsidRDefault="00EE6D95">
            <w:pPr>
              <w:pStyle w:val="CellColumn"/>
            </w:pPr>
            <w:r w:rsidRPr="00A8412B">
              <w:t>K538043</w:t>
            </w:r>
          </w:p>
        </w:tc>
        <w:tc>
          <w:tcPr>
            <w:tcW w:w="1486" w:type="dxa"/>
          </w:tcPr>
          <w:p w:rsidR="00D849AA" w:rsidRPr="00A8412B" w:rsidRDefault="00EE6D95">
            <w:pPr>
              <w:rPr>
                <w:rFonts w:ascii="Arial" w:hAnsi="Arial" w:cs="Arial"/>
              </w:rPr>
            </w:pPr>
            <w:r w:rsidRPr="00A8412B">
              <w:rPr>
                <w:rFonts w:ascii="Arial" w:hAnsi="Arial" w:cs="Arial"/>
              </w:rPr>
              <w:t>126.000.000</w:t>
            </w:r>
          </w:p>
        </w:tc>
        <w:tc>
          <w:tcPr>
            <w:tcW w:w="1486" w:type="dxa"/>
          </w:tcPr>
          <w:p w:rsidR="00D849AA" w:rsidRPr="00A8412B" w:rsidRDefault="00EE6D95">
            <w:pPr>
              <w:rPr>
                <w:rFonts w:ascii="Arial" w:hAnsi="Arial" w:cs="Arial"/>
              </w:rPr>
            </w:pPr>
            <w:r w:rsidRPr="00A8412B">
              <w:rPr>
                <w:rFonts w:ascii="Arial" w:hAnsi="Arial" w:cs="Arial"/>
              </w:rPr>
              <w:t>360.000.000</w:t>
            </w:r>
          </w:p>
        </w:tc>
        <w:tc>
          <w:tcPr>
            <w:tcW w:w="1486" w:type="dxa"/>
          </w:tcPr>
          <w:p w:rsidR="00D849AA" w:rsidRPr="00A8412B" w:rsidRDefault="00EE6D95">
            <w:pPr>
              <w:rPr>
                <w:rFonts w:ascii="Arial" w:hAnsi="Arial" w:cs="Arial"/>
              </w:rPr>
            </w:pPr>
            <w:r w:rsidRPr="00A8412B">
              <w:rPr>
                <w:rFonts w:ascii="Arial" w:hAnsi="Arial" w:cs="Arial"/>
              </w:rPr>
              <w:t>28.000.000</w:t>
            </w:r>
          </w:p>
        </w:tc>
        <w:tc>
          <w:tcPr>
            <w:tcW w:w="1486" w:type="dxa"/>
          </w:tcPr>
          <w:p w:rsidR="00D849AA" w:rsidRPr="00A8412B" w:rsidRDefault="00EE6D95">
            <w:pPr>
              <w:rPr>
                <w:rFonts w:ascii="Arial" w:hAnsi="Arial" w:cs="Arial"/>
              </w:rPr>
            </w:pPr>
            <w:r w:rsidRPr="00A8412B">
              <w:rPr>
                <w:rFonts w:ascii="Arial" w:hAnsi="Arial" w:cs="Arial"/>
              </w:rPr>
              <w:t>22.000.000</w:t>
            </w:r>
          </w:p>
        </w:tc>
        <w:tc>
          <w:tcPr>
            <w:tcW w:w="1486" w:type="dxa"/>
          </w:tcPr>
          <w:p w:rsidR="00D849AA" w:rsidRPr="00A8412B" w:rsidRDefault="00EE6D95">
            <w:pPr>
              <w:rPr>
                <w:rFonts w:ascii="Arial" w:hAnsi="Arial" w:cs="Arial"/>
              </w:rPr>
            </w:pPr>
            <w:r w:rsidRPr="00A8412B">
              <w:rPr>
                <w:rFonts w:ascii="Arial" w:hAnsi="Arial" w:cs="Arial"/>
              </w:rPr>
              <w:t>285,7</w:t>
            </w:r>
          </w:p>
        </w:tc>
      </w:tr>
    </w:tbl>
    <w:p w:rsidR="00D849AA" w:rsidRDefault="00D849AA">
      <w:pPr>
        <w:jc w:val="left"/>
      </w:pPr>
    </w:p>
    <w:p w:rsidR="00D849AA" w:rsidRDefault="00EE6D95">
      <w:pPr>
        <w:pStyle w:val="Normal6"/>
      </w:pPr>
      <w:r>
        <w:t xml:space="preserve">Sukladno odluci Vlade RH o Strategiji integriranog upravljanja granicom, temeljem kojeg je donesen Akcijski plan za provedbu sustava upravljanja i kontrole za Schengenski režim, Republika Hrvatska je u obvezi izgraditi 40 graničnih prijelaza kao preduvjet za početak uvođenja Schengenskog režima na vanjskoj granici Republike Hrvatske prema Srbiji, Bosni i Hercegovini i Crnoj Gori.  </w:t>
      </w:r>
    </w:p>
    <w:p w:rsidR="00D849AA" w:rsidRDefault="00EE6D95">
      <w:pPr>
        <w:pStyle w:val="Normal6"/>
      </w:pPr>
      <w:r>
        <w:t>Najznačajnija ulaganja koja uključuju projektiranje i izgradnju  obavljati će se na graničnim prijelazima prema Bosni i Hercegovini - Vinjani Donji, Županja,Kamensko, Slavonski Brod, Svilaj, Vinjani Gornji, Gornji Brgat te prema Srbiji - Tovarnik i Ilok.</w:t>
      </w:r>
    </w:p>
    <w:p w:rsidR="00BF0142" w:rsidRDefault="00BF0142">
      <w:pPr>
        <w:pStyle w:val="Normal6"/>
      </w:pP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A8412B" w:rsidRDefault="00EE6D95">
            <w:pPr>
              <w:rPr>
                <w:rFonts w:ascii="Arial" w:hAnsi="Arial" w:cs="Arial"/>
              </w:rPr>
            </w:pPr>
            <w:r w:rsidRPr="00A8412B">
              <w:rPr>
                <w:rFonts w:ascii="Arial" w:hAnsi="Arial" w:cs="Arial"/>
              </w:rPr>
              <w:t>Pokazatelj rezultata</w:t>
            </w:r>
          </w:p>
        </w:tc>
        <w:tc>
          <w:tcPr>
            <w:tcW w:w="1114" w:type="dxa"/>
            <w:shd w:val="clear" w:color="auto" w:fill="B5C0D8"/>
          </w:tcPr>
          <w:p w:rsidR="00D849AA" w:rsidRPr="00A8412B" w:rsidRDefault="00EE6D95">
            <w:pPr>
              <w:pStyle w:val="CellHeader"/>
            </w:pPr>
            <w:r w:rsidRPr="00A8412B">
              <w:t>Jedinica</w:t>
            </w:r>
          </w:p>
        </w:tc>
        <w:tc>
          <w:tcPr>
            <w:tcW w:w="1114" w:type="dxa"/>
            <w:shd w:val="clear" w:color="auto" w:fill="B5C0D8"/>
          </w:tcPr>
          <w:p w:rsidR="00D849AA" w:rsidRPr="00A8412B" w:rsidRDefault="00EE6D95">
            <w:pPr>
              <w:pStyle w:val="CellHeader"/>
            </w:pPr>
            <w:r w:rsidRPr="00A8412B">
              <w:t>Polazna vrijednost</w:t>
            </w:r>
          </w:p>
        </w:tc>
        <w:tc>
          <w:tcPr>
            <w:tcW w:w="1486" w:type="dxa"/>
            <w:shd w:val="clear" w:color="auto" w:fill="B5C0D8"/>
          </w:tcPr>
          <w:p w:rsidR="00D849AA" w:rsidRPr="00A8412B" w:rsidRDefault="00EE6D95">
            <w:pPr>
              <w:pStyle w:val="CellHeader"/>
            </w:pPr>
            <w:r w:rsidRPr="00A8412B">
              <w:t>Ciljana vrijednost (2014.)</w:t>
            </w:r>
          </w:p>
        </w:tc>
        <w:tc>
          <w:tcPr>
            <w:tcW w:w="1486" w:type="dxa"/>
            <w:shd w:val="clear" w:color="auto" w:fill="B5C0D8"/>
          </w:tcPr>
          <w:p w:rsidR="00D849AA" w:rsidRPr="00A8412B" w:rsidRDefault="00EE6D95">
            <w:pPr>
              <w:pStyle w:val="CellHeader"/>
            </w:pPr>
            <w:r w:rsidRPr="00A8412B">
              <w:t>Ciljana vrijednost (2015.)</w:t>
            </w:r>
          </w:p>
        </w:tc>
        <w:tc>
          <w:tcPr>
            <w:tcW w:w="1486" w:type="dxa"/>
            <w:shd w:val="clear" w:color="auto" w:fill="B5C0D8"/>
          </w:tcPr>
          <w:p w:rsidR="00D849AA" w:rsidRPr="00A8412B" w:rsidRDefault="00EE6D95">
            <w:pPr>
              <w:pStyle w:val="CellHeader"/>
            </w:pPr>
            <w:r w:rsidRPr="00A8412B">
              <w:t>Ciljana vrijednost (2016.)</w:t>
            </w:r>
          </w:p>
        </w:tc>
      </w:tr>
      <w:tr w:rsidR="00D849AA">
        <w:trPr>
          <w:jc w:val="center"/>
        </w:trPr>
        <w:tc>
          <w:tcPr>
            <w:tcW w:w="2229" w:type="dxa"/>
          </w:tcPr>
          <w:p w:rsidR="00D849AA" w:rsidRPr="00A8412B" w:rsidRDefault="00EE6D95">
            <w:pPr>
              <w:pStyle w:val="CellColumn"/>
            </w:pPr>
            <w:r w:rsidRPr="00A8412B">
              <w:t>Završetak radova na graničnim prijelazima</w:t>
            </w:r>
          </w:p>
        </w:tc>
        <w:tc>
          <w:tcPr>
            <w:tcW w:w="1114" w:type="dxa"/>
          </w:tcPr>
          <w:p w:rsidR="00D849AA" w:rsidRPr="00A8412B" w:rsidRDefault="00EE6D95">
            <w:pPr>
              <w:rPr>
                <w:rFonts w:ascii="Arial" w:hAnsi="Arial" w:cs="Arial"/>
              </w:rPr>
            </w:pPr>
            <w:r w:rsidRPr="00A8412B">
              <w:rPr>
                <w:rFonts w:ascii="Arial" w:hAnsi="Arial" w:cs="Arial"/>
              </w:rPr>
              <w:t>broj</w:t>
            </w:r>
          </w:p>
        </w:tc>
        <w:tc>
          <w:tcPr>
            <w:tcW w:w="1114" w:type="dxa"/>
          </w:tcPr>
          <w:p w:rsidR="00D849AA" w:rsidRPr="00A8412B" w:rsidRDefault="00EE6D95">
            <w:pPr>
              <w:rPr>
                <w:rFonts w:ascii="Arial" w:hAnsi="Arial" w:cs="Arial"/>
              </w:rPr>
            </w:pPr>
            <w:r w:rsidRPr="00A8412B">
              <w:rPr>
                <w:rFonts w:ascii="Arial" w:hAnsi="Arial" w:cs="Arial"/>
              </w:rPr>
              <w:t>0</w:t>
            </w:r>
          </w:p>
        </w:tc>
        <w:tc>
          <w:tcPr>
            <w:tcW w:w="1486" w:type="dxa"/>
          </w:tcPr>
          <w:p w:rsidR="00D849AA" w:rsidRPr="00A8412B" w:rsidRDefault="00EE6D95">
            <w:pPr>
              <w:rPr>
                <w:rFonts w:ascii="Arial" w:hAnsi="Arial" w:cs="Arial"/>
              </w:rPr>
            </w:pPr>
            <w:r w:rsidRPr="00A8412B">
              <w:rPr>
                <w:rFonts w:ascii="Arial" w:hAnsi="Arial" w:cs="Arial"/>
              </w:rPr>
              <w:t>40</w:t>
            </w:r>
          </w:p>
        </w:tc>
        <w:tc>
          <w:tcPr>
            <w:tcW w:w="1486" w:type="dxa"/>
          </w:tcPr>
          <w:p w:rsidR="00D849AA" w:rsidRPr="00A8412B" w:rsidRDefault="00D849AA">
            <w:pPr>
              <w:jc w:val="left"/>
              <w:rPr>
                <w:rFonts w:ascii="Arial" w:hAnsi="Arial" w:cs="Arial"/>
              </w:rPr>
            </w:pPr>
          </w:p>
        </w:tc>
        <w:tc>
          <w:tcPr>
            <w:tcW w:w="1486" w:type="dxa"/>
          </w:tcPr>
          <w:p w:rsidR="00D849AA" w:rsidRPr="00A8412B" w:rsidRDefault="00D849AA">
            <w:pPr>
              <w:jc w:val="left"/>
              <w:rPr>
                <w:rFonts w:ascii="Arial" w:hAnsi="Arial" w:cs="Arial"/>
              </w:rPr>
            </w:pPr>
          </w:p>
        </w:tc>
      </w:tr>
    </w:tbl>
    <w:p w:rsidR="00D849AA" w:rsidRDefault="00D849AA">
      <w:pPr>
        <w:jc w:val="left"/>
      </w:pPr>
    </w:p>
    <w:p w:rsidR="00D849AA" w:rsidRDefault="00EE6D95">
      <w:pPr>
        <w:pStyle w:val="Naslov2"/>
      </w:pPr>
      <w:r>
        <w:t>02506 Ministarstvo financija - ostali izdaci države</w:t>
      </w:r>
    </w:p>
    <w:p w:rsidR="00D849AA" w:rsidRDefault="00EE6D95">
      <w:pPr>
        <w:pStyle w:val="Naslov4"/>
      </w:pPr>
      <w:r>
        <w:t>Uvod</w:t>
      </w:r>
    </w:p>
    <w:p w:rsidR="00D849AA" w:rsidRDefault="00EE6D95">
      <w:pPr>
        <w:pStyle w:val="Normal3"/>
      </w:pPr>
      <w:r>
        <w:t xml:space="preserve">U razdjelu 025 – Ministarstvo financija ustanovljena je Glava 06 kao obračunska jedinica s ciljem jedinstvenog i transparentnog praćenja prvenstveno onih rashoda i izdataka koji se ne mogu povezati uz druge pojedinačne razdjele odnosno glave, već se odnose na više njih ili na Republiku </w:t>
      </w:r>
      <w:r>
        <w:lastRenderedPageBreak/>
        <w:t>Hrvatsku u cjelini. Ova Glava za razliku od ostalih u Državnom proračunu ne predstavlja organizacijsku cjelinu sa zaposlenim djelatnicima.</w:t>
      </w:r>
    </w:p>
    <w:tbl>
      <w:tblPr>
        <w:tblStyle w:val="Reetkatablice"/>
        <w:tblW w:w="0" w:type="auto"/>
        <w:jc w:val="center"/>
        <w:tblLook w:val="04A0" w:firstRow="1" w:lastRow="0" w:firstColumn="1" w:lastColumn="0" w:noHBand="0" w:noVBand="1"/>
      </w:tblPr>
      <w:tblGrid>
        <w:gridCol w:w="1409"/>
        <w:gridCol w:w="1607"/>
        <w:gridCol w:w="1607"/>
        <w:gridCol w:w="1607"/>
        <w:gridCol w:w="1607"/>
        <w:gridCol w:w="1451"/>
      </w:tblGrid>
      <w:tr w:rsidR="00D849AA">
        <w:trPr>
          <w:jc w:val="center"/>
        </w:trPr>
        <w:tc>
          <w:tcPr>
            <w:tcW w:w="1486" w:type="dxa"/>
            <w:shd w:val="clear" w:color="auto" w:fill="B5C0D8"/>
          </w:tcPr>
          <w:p w:rsidR="00D849AA" w:rsidRPr="00A8412B" w:rsidRDefault="00D849AA">
            <w:pPr>
              <w:pStyle w:val="CellHeader"/>
            </w:pPr>
          </w:p>
        </w:tc>
        <w:tc>
          <w:tcPr>
            <w:tcW w:w="1486" w:type="dxa"/>
            <w:shd w:val="clear" w:color="auto" w:fill="B5C0D8"/>
          </w:tcPr>
          <w:p w:rsidR="00D849AA" w:rsidRPr="00A8412B" w:rsidRDefault="00EE6D95">
            <w:pPr>
              <w:pStyle w:val="CellHeader"/>
            </w:pPr>
            <w:r w:rsidRPr="00A8412B">
              <w:t>Plan 2013.</w:t>
            </w:r>
          </w:p>
        </w:tc>
        <w:tc>
          <w:tcPr>
            <w:tcW w:w="1486" w:type="dxa"/>
            <w:shd w:val="clear" w:color="auto" w:fill="B5C0D8"/>
          </w:tcPr>
          <w:p w:rsidR="00D849AA" w:rsidRPr="00A8412B" w:rsidRDefault="00EE6D95">
            <w:pPr>
              <w:pStyle w:val="CellHeader"/>
            </w:pPr>
            <w:r w:rsidRPr="00A8412B">
              <w:t>Plan 2014.</w:t>
            </w:r>
          </w:p>
        </w:tc>
        <w:tc>
          <w:tcPr>
            <w:tcW w:w="1486" w:type="dxa"/>
            <w:shd w:val="clear" w:color="auto" w:fill="B5C0D8"/>
          </w:tcPr>
          <w:p w:rsidR="00D849AA" w:rsidRPr="00A8412B" w:rsidRDefault="00EE6D95">
            <w:pPr>
              <w:pStyle w:val="CellHeader"/>
            </w:pPr>
            <w:r w:rsidRPr="00A8412B">
              <w:t>Plan 2015.</w:t>
            </w:r>
          </w:p>
        </w:tc>
        <w:tc>
          <w:tcPr>
            <w:tcW w:w="1486" w:type="dxa"/>
            <w:shd w:val="clear" w:color="auto" w:fill="B5C0D8"/>
          </w:tcPr>
          <w:p w:rsidR="00D849AA" w:rsidRPr="00A8412B" w:rsidRDefault="00EE6D95">
            <w:pPr>
              <w:pStyle w:val="CellHeader"/>
            </w:pPr>
            <w:r w:rsidRPr="00A8412B">
              <w:t>Plan 2016.</w:t>
            </w:r>
          </w:p>
        </w:tc>
        <w:tc>
          <w:tcPr>
            <w:tcW w:w="1486" w:type="dxa"/>
            <w:shd w:val="clear" w:color="auto" w:fill="B5C0D8"/>
          </w:tcPr>
          <w:p w:rsidR="00D849AA" w:rsidRPr="00A8412B" w:rsidRDefault="00EE6D95">
            <w:pPr>
              <w:pStyle w:val="CellHeader"/>
            </w:pPr>
            <w:r w:rsidRPr="00A8412B">
              <w:t>Indeks 2014/2013</w:t>
            </w:r>
          </w:p>
        </w:tc>
      </w:tr>
      <w:tr w:rsidR="00D849AA">
        <w:trPr>
          <w:jc w:val="center"/>
        </w:trPr>
        <w:tc>
          <w:tcPr>
            <w:tcW w:w="1486" w:type="dxa"/>
          </w:tcPr>
          <w:p w:rsidR="00D849AA" w:rsidRPr="00A8412B" w:rsidRDefault="00EE6D95">
            <w:pPr>
              <w:pStyle w:val="CellColumn"/>
            </w:pPr>
            <w:r w:rsidRPr="00A8412B">
              <w:t>02506</w:t>
            </w:r>
          </w:p>
        </w:tc>
        <w:tc>
          <w:tcPr>
            <w:tcW w:w="1486" w:type="dxa"/>
          </w:tcPr>
          <w:p w:rsidR="00D849AA" w:rsidRPr="00A8412B" w:rsidRDefault="00EE6D95">
            <w:pPr>
              <w:rPr>
                <w:rFonts w:ascii="Arial" w:hAnsi="Arial" w:cs="Arial"/>
              </w:rPr>
            </w:pPr>
            <w:r w:rsidRPr="00A8412B">
              <w:rPr>
                <w:rFonts w:ascii="Arial" w:hAnsi="Arial" w:cs="Arial"/>
              </w:rPr>
              <w:t>32.375.200.480</w:t>
            </w:r>
          </w:p>
        </w:tc>
        <w:tc>
          <w:tcPr>
            <w:tcW w:w="1486" w:type="dxa"/>
          </w:tcPr>
          <w:p w:rsidR="00D849AA" w:rsidRPr="00A8412B" w:rsidRDefault="00EE6D95">
            <w:pPr>
              <w:rPr>
                <w:rFonts w:ascii="Arial" w:hAnsi="Arial" w:cs="Arial"/>
              </w:rPr>
            </w:pPr>
            <w:r w:rsidRPr="00A8412B">
              <w:rPr>
                <w:rFonts w:ascii="Arial" w:hAnsi="Arial" w:cs="Arial"/>
              </w:rPr>
              <w:t>41.949.790.042</w:t>
            </w:r>
          </w:p>
        </w:tc>
        <w:tc>
          <w:tcPr>
            <w:tcW w:w="1486" w:type="dxa"/>
          </w:tcPr>
          <w:p w:rsidR="00D849AA" w:rsidRPr="00A8412B" w:rsidRDefault="00EE6D95">
            <w:pPr>
              <w:rPr>
                <w:rFonts w:ascii="Arial" w:hAnsi="Arial" w:cs="Arial"/>
              </w:rPr>
            </w:pPr>
            <w:r w:rsidRPr="00A8412B">
              <w:rPr>
                <w:rFonts w:ascii="Arial" w:hAnsi="Arial" w:cs="Arial"/>
              </w:rPr>
              <w:t>41.131.818.705</w:t>
            </w:r>
          </w:p>
        </w:tc>
        <w:tc>
          <w:tcPr>
            <w:tcW w:w="1486" w:type="dxa"/>
          </w:tcPr>
          <w:p w:rsidR="00D849AA" w:rsidRPr="00A8412B" w:rsidRDefault="00EE6D95">
            <w:pPr>
              <w:rPr>
                <w:rFonts w:ascii="Arial" w:hAnsi="Arial" w:cs="Arial"/>
              </w:rPr>
            </w:pPr>
            <w:r w:rsidRPr="00A8412B">
              <w:rPr>
                <w:rFonts w:ascii="Arial" w:hAnsi="Arial" w:cs="Arial"/>
              </w:rPr>
              <w:t>34.330.779.434</w:t>
            </w:r>
          </w:p>
        </w:tc>
        <w:tc>
          <w:tcPr>
            <w:tcW w:w="1486" w:type="dxa"/>
          </w:tcPr>
          <w:p w:rsidR="00D849AA" w:rsidRPr="00A8412B" w:rsidRDefault="00EE6D95">
            <w:pPr>
              <w:rPr>
                <w:rFonts w:ascii="Arial" w:hAnsi="Arial" w:cs="Arial"/>
              </w:rPr>
            </w:pPr>
            <w:r w:rsidRPr="00A8412B">
              <w:rPr>
                <w:rFonts w:ascii="Arial" w:hAnsi="Arial" w:cs="Arial"/>
              </w:rPr>
              <w:t>129,6</w:t>
            </w:r>
          </w:p>
        </w:tc>
      </w:tr>
    </w:tbl>
    <w:p w:rsidR="00D849AA" w:rsidRDefault="00D849AA">
      <w:pPr>
        <w:jc w:val="left"/>
      </w:pPr>
    </w:p>
    <w:p w:rsidR="00D849AA" w:rsidRDefault="00EE6D95">
      <w:pPr>
        <w:pStyle w:val="Naslov4"/>
      </w:pPr>
      <w:r>
        <w:t>OBRAZLOŽENJE PROGRAMA</w:t>
      </w:r>
    </w:p>
    <w:p w:rsidR="00D849AA" w:rsidRDefault="00EE6D95">
      <w:pPr>
        <w:pStyle w:val="Naslov5"/>
      </w:pPr>
      <w:r>
        <w:t>2114 POTPORE POLITIČKIM STRANKAMA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A8412B" w:rsidRDefault="00D849AA">
            <w:pPr>
              <w:pStyle w:val="CellHeader"/>
            </w:pPr>
          </w:p>
        </w:tc>
        <w:tc>
          <w:tcPr>
            <w:tcW w:w="1486" w:type="dxa"/>
            <w:shd w:val="clear" w:color="auto" w:fill="B5C0D8"/>
          </w:tcPr>
          <w:p w:rsidR="00D849AA" w:rsidRPr="00A8412B" w:rsidRDefault="00EE6D95">
            <w:pPr>
              <w:pStyle w:val="CellHeader"/>
            </w:pPr>
            <w:r w:rsidRPr="00A8412B">
              <w:t>Plan 2013.</w:t>
            </w:r>
          </w:p>
        </w:tc>
        <w:tc>
          <w:tcPr>
            <w:tcW w:w="1486" w:type="dxa"/>
            <w:shd w:val="clear" w:color="auto" w:fill="B5C0D8"/>
          </w:tcPr>
          <w:p w:rsidR="00D849AA" w:rsidRPr="00A8412B" w:rsidRDefault="00EE6D95">
            <w:pPr>
              <w:pStyle w:val="CellHeader"/>
            </w:pPr>
            <w:r w:rsidRPr="00A8412B">
              <w:t>Plan 2014.</w:t>
            </w:r>
          </w:p>
        </w:tc>
        <w:tc>
          <w:tcPr>
            <w:tcW w:w="1486" w:type="dxa"/>
            <w:shd w:val="clear" w:color="auto" w:fill="B5C0D8"/>
          </w:tcPr>
          <w:p w:rsidR="00D849AA" w:rsidRPr="00A8412B" w:rsidRDefault="00EE6D95">
            <w:pPr>
              <w:pStyle w:val="CellHeader"/>
            </w:pPr>
            <w:r w:rsidRPr="00A8412B">
              <w:t>Plan 2015.</w:t>
            </w:r>
          </w:p>
        </w:tc>
        <w:tc>
          <w:tcPr>
            <w:tcW w:w="1486" w:type="dxa"/>
            <w:shd w:val="clear" w:color="auto" w:fill="B5C0D8"/>
          </w:tcPr>
          <w:p w:rsidR="00D849AA" w:rsidRPr="00A8412B" w:rsidRDefault="00EE6D95">
            <w:pPr>
              <w:pStyle w:val="CellHeader"/>
            </w:pPr>
            <w:r w:rsidRPr="00A8412B">
              <w:t>Plan 2016.</w:t>
            </w:r>
          </w:p>
        </w:tc>
        <w:tc>
          <w:tcPr>
            <w:tcW w:w="1486" w:type="dxa"/>
            <w:shd w:val="clear" w:color="auto" w:fill="B5C0D8"/>
          </w:tcPr>
          <w:p w:rsidR="00D849AA" w:rsidRPr="00A8412B" w:rsidRDefault="00EE6D95">
            <w:pPr>
              <w:pStyle w:val="CellHeader"/>
            </w:pPr>
            <w:r w:rsidRPr="00A8412B">
              <w:t>Indeks 2014/2013</w:t>
            </w:r>
          </w:p>
        </w:tc>
      </w:tr>
      <w:tr w:rsidR="00D849AA">
        <w:trPr>
          <w:jc w:val="center"/>
        </w:trPr>
        <w:tc>
          <w:tcPr>
            <w:tcW w:w="1486" w:type="dxa"/>
          </w:tcPr>
          <w:p w:rsidR="00D849AA" w:rsidRPr="00A8412B" w:rsidRDefault="00EE6D95">
            <w:pPr>
              <w:pStyle w:val="CellColumn"/>
            </w:pPr>
            <w:r w:rsidRPr="00A8412B">
              <w:t>2114</w:t>
            </w:r>
          </w:p>
        </w:tc>
        <w:tc>
          <w:tcPr>
            <w:tcW w:w="1486" w:type="dxa"/>
          </w:tcPr>
          <w:p w:rsidR="00D849AA" w:rsidRPr="00A8412B" w:rsidRDefault="00EE6D95">
            <w:pPr>
              <w:rPr>
                <w:rFonts w:ascii="Arial" w:hAnsi="Arial" w:cs="Arial"/>
              </w:rPr>
            </w:pPr>
            <w:r w:rsidRPr="00A8412B">
              <w:rPr>
                <w:rFonts w:ascii="Arial" w:hAnsi="Arial" w:cs="Arial"/>
              </w:rPr>
              <w:t>50.161.666</w:t>
            </w:r>
          </w:p>
        </w:tc>
        <w:tc>
          <w:tcPr>
            <w:tcW w:w="1486" w:type="dxa"/>
          </w:tcPr>
          <w:p w:rsidR="00D849AA" w:rsidRPr="00A8412B" w:rsidRDefault="00EE6D95">
            <w:pPr>
              <w:rPr>
                <w:rFonts w:ascii="Arial" w:hAnsi="Arial" w:cs="Arial"/>
              </w:rPr>
            </w:pPr>
            <w:r w:rsidRPr="00A8412B">
              <w:rPr>
                <w:rFonts w:ascii="Arial" w:hAnsi="Arial" w:cs="Arial"/>
              </w:rPr>
              <w:t>50.161.666</w:t>
            </w:r>
          </w:p>
        </w:tc>
        <w:tc>
          <w:tcPr>
            <w:tcW w:w="1486" w:type="dxa"/>
          </w:tcPr>
          <w:p w:rsidR="00D849AA" w:rsidRPr="00A8412B" w:rsidRDefault="00EE6D95">
            <w:pPr>
              <w:rPr>
                <w:rFonts w:ascii="Arial" w:hAnsi="Arial" w:cs="Arial"/>
              </w:rPr>
            </w:pPr>
            <w:r w:rsidRPr="00A8412B">
              <w:rPr>
                <w:rFonts w:ascii="Arial" w:hAnsi="Arial" w:cs="Arial"/>
              </w:rPr>
              <w:t>50.161.666</w:t>
            </w:r>
          </w:p>
        </w:tc>
        <w:tc>
          <w:tcPr>
            <w:tcW w:w="1486" w:type="dxa"/>
          </w:tcPr>
          <w:p w:rsidR="00D849AA" w:rsidRPr="00A8412B" w:rsidRDefault="00EE6D95">
            <w:pPr>
              <w:rPr>
                <w:rFonts w:ascii="Arial" w:hAnsi="Arial" w:cs="Arial"/>
              </w:rPr>
            </w:pPr>
            <w:r w:rsidRPr="00A8412B">
              <w:rPr>
                <w:rFonts w:ascii="Arial" w:hAnsi="Arial" w:cs="Arial"/>
              </w:rPr>
              <w:t>50.161.666</w:t>
            </w:r>
          </w:p>
        </w:tc>
        <w:tc>
          <w:tcPr>
            <w:tcW w:w="1486" w:type="dxa"/>
          </w:tcPr>
          <w:p w:rsidR="00D849AA" w:rsidRPr="00A8412B" w:rsidRDefault="00EE6D95">
            <w:pPr>
              <w:rPr>
                <w:rFonts w:ascii="Arial" w:hAnsi="Arial" w:cs="Arial"/>
              </w:rPr>
            </w:pPr>
            <w:r w:rsidRPr="00A8412B">
              <w:rPr>
                <w:rFonts w:ascii="Arial" w:hAnsi="Arial" w:cs="Arial"/>
              </w:rPr>
              <w:t>100,0</w:t>
            </w:r>
          </w:p>
        </w:tc>
      </w:tr>
    </w:tbl>
    <w:p w:rsidR="00D849AA" w:rsidRDefault="00D849AA">
      <w:pPr>
        <w:jc w:val="left"/>
      </w:pPr>
    </w:p>
    <w:p w:rsidR="00D849AA" w:rsidRDefault="00EE6D95">
      <w:pPr>
        <w:pStyle w:val="Naslov6"/>
      </w:pPr>
      <w:r>
        <w:t>Opis programa</w:t>
      </w:r>
    </w:p>
    <w:p w:rsidR="00D849AA" w:rsidRDefault="00EE6D95">
      <w:pPr>
        <w:pStyle w:val="Normal5"/>
      </w:pPr>
      <w:r>
        <w:t>Političke stranke se definiraju kao neprofitne udruge koje politički djeluju u skladu s ciljevima utvrđenim programom i statutom. One mogu stjecati prihode od članarina, dobrovoljnih priloga, izdavačke djelatnosti, prodaje propagandnog materijala, organizacije stranačkih manifestacija, od imovine u svojem vlasništvu, iz sredstava državnog proračuna te proračuna jedinica lokalne i područne (regionalne) samouprave. Ovaj program se povezuje s Općim ciljem 10. Jačanje pravne države i vladavine prava iz Strategije Vladinih programa za razdoblje 2014.-2016.</w:t>
      </w:r>
    </w:p>
    <w:p w:rsidR="00D849AA" w:rsidRDefault="00EE6D95">
      <w:pPr>
        <w:pStyle w:val="Naslov6"/>
      </w:pPr>
      <w:r>
        <w:t>Zakonske i druge pravne osnove</w:t>
      </w:r>
    </w:p>
    <w:p w:rsidR="00D849AA" w:rsidRDefault="00EE6D95">
      <w:pPr>
        <w:pStyle w:val="Normal5"/>
      </w:pPr>
      <w:r>
        <w:t>Zakon o financiranju političkih aktivnosti i izborne promidžbe (NN 24/11, 61/11 i 27/13).</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Cilj 1. Očuvanje demokratskog i višestranačkog sustava</w:t>
      </w:r>
    </w:p>
    <w:p w:rsidR="00D849AA" w:rsidRDefault="00EE6D95">
      <w:pPr>
        <w:pStyle w:val="Normal6"/>
      </w:pPr>
      <w:r>
        <w:t>Poticanjem osnivanja i rada političkih stranaka ostvaruje se demokratski i višestranački sustav, odnosno jedna od najviših ustavnih vrednota Republike Hrvatske.</w:t>
      </w:r>
    </w:p>
    <w:p w:rsidR="00D849AA" w:rsidRDefault="00EE6D95">
      <w:pPr>
        <w:pStyle w:val="Naslov5"/>
      </w:pPr>
      <w:r>
        <w:t>Procjena i ishodište potrebnih sredstava za značajnije aktivnosti/projekte</w:t>
      </w:r>
    </w:p>
    <w:p w:rsidR="00D849AA" w:rsidRDefault="00EE6D95">
      <w:pPr>
        <w:pStyle w:val="Naslov6"/>
      </w:pPr>
      <w:r>
        <w:t>A539232 POTPORE POLITIČKIM STRANKAMA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A8412B" w:rsidRDefault="00EE6D95">
            <w:pPr>
              <w:pStyle w:val="CellHeader"/>
            </w:pPr>
            <w:r w:rsidRPr="00A8412B">
              <w:t>Naziv aktivnosti</w:t>
            </w:r>
          </w:p>
        </w:tc>
        <w:tc>
          <w:tcPr>
            <w:tcW w:w="1486" w:type="dxa"/>
            <w:shd w:val="clear" w:color="auto" w:fill="B5C0D8"/>
          </w:tcPr>
          <w:p w:rsidR="00D849AA" w:rsidRPr="00A8412B" w:rsidRDefault="00EE6D95">
            <w:pPr>
              <w:pStyle w:val="CellHeader"/>
            </w:pPr>
            <w:r w:rsidRPr="00A8412B">
              <w:t>Plan 2013.</w:t>
            </w:r>
          </w:p>
        </w:tc>
        <w:tc>
          <w:tcPr>
            <w:tcW w:w="1486" w:type="dxa"/>
            <w:shd w:val="clear" w:color="auto" w:fill="B5C0D8"/>
          </w:tcPr>
          <w:p w:rsidR="00D849AA" w:rsidRPr="00A8412B" w:rsidRDefault="00EE6D95">
            <w:pPr>
              <w:pStyle w:val="CellHeader"/>
            </w:pPr>
            <w:r w:rsidRPr="00A8412B">
              <w:t>Plan 2014.</w:t>
            </w:r>
          </w:p>
        </w:tc>
        <w:tc>
          <w:tcPr>
            <w:tcW w:w="1486" w:type="dxa"/>
            <w:shd w:val="clear" w:color="auto" w:fill="B5C0D8"/>
          </w:tcPr>
          <w:p w:rsidR="00D849AA" w:rsidRPr="00A8412B" w:rsidRDefault="00EE6D95">
            <w:pPr>
              <w:pStyle w:val="CellHeader"/>
            </w:pPr>
            <w:r w:rsidRPr="00A8412B">
              <w:t>Plan 2015.</w:t>
            </w:r>
          </w:p>
        </w:tc>
        <w:tc>
          <w:tcPr>
            <w:tcW w:w="1486" w:type="dxa"/>
            <w:shd w:val="clear" w:color="auto" w:fill="B5C0D8"/>
          </w:tcPr>
          <w:p w:rsidR="00D849AA" w:rsidRPr="00A8412B" w:rsidRDefault="00EE6D95">
            <w:pPr>
              <w:pStyle w:val="CellHeader"/>
            </w:pPr>
            <w:r w:rsidRPr="00A8412B">
              <w:t>Plan 2016.</w:t>
            </w:r>
          </w:p>
        </w:tc>
        <w:tc>
          <w:tcPr>
            <w:tcW w:w="1486" w:type="dxa"/>
            <w:shd w:val="clear" w:color="auto" w:fill="B5C0D8"/>
          </w:tcPr>
          <w:p w:rsidR="00D849AA" w:rsidRPr="00A8412B" w:rsidRDefault="00EE6D95">
            <w:pPr>
              <w:pStyle w:val="CellHeader"/>
            </w:pPr>
            <w:r w:rsidRPr="00A8412B">
              <w:t>Indeks 2014/2013</w:t>
            </w:r>
          </w:p>
        </w:tc>
      </w:tr>
      <w:tr w:rsidR="00D849AA">
        <w:trPr>
          <w:jc w:val="center"/>
        </w:trPr>
        <w:tc>
          <w:tcPr>
            <w:tcW w:w="1486" w:type="dxa"/>
          </w:tcPr>
          <w:p w:rsidR="00D849AA" w:rsidRPr="00A8412B" w:rsidRDefault="00EE6D95">
            <w:pPr>
              <w:pStyle w:val="CellColumn"/>
            </w:pPr>
            <w:r w:rsidRPr="00A8412B">
              <w:t>A539232</w:t>
            </w:r>
          </w:p>
        </w:tc>
        <w:tc>
          <w:tcPr>
            <w:tcW w:w="1486" w:type="dxa"/>
          </w:tcPr>
          <w:p w:rsidR="00D849AA" w:rsidRPr="00A8412B" w:rsidRDefault="00EE6D95">
            <w:pPr>
              <w:rPr>
                <w:rFonts w:ascii="Arial" w:hAnsi="Arial" w:cs="Arial"/>
              </w:rPr>
            </w:pPr>
            <w:r w:rsidRPr="00A8412B">
              <w:rPr>
                <w:rFonts w:ascii="Arial" w:hAnsi="Arial" w:cs="Arial"/>
              </w:rPr>
              <w:t>50.161.666</w:t>
            </w:r>
          </w:p>
        </w:tc>
        <w:tc>
          <w:tcPr>
            <w:tcW w:w="1486" w:type="dxa"/>
          </w:tcPr>
          <w:p w:rsidR="00D849AA" w:rsidRPr="00A8412B" w:rsidRDefault="00EE6D95">
            <w:pPr>
              <w:rPr>
                <w:rFonts w:ascii="Arial" w:hAnsi="Arial" w:cs="Arial"/>
              </w:rPr>
            </w:pPr>
            <w:r w:rsidRPr="00A8412B">
              <w:rPr>
                <w:rFonts w:ascii="Arial" w:hAnsi="Arial" w:cs="Arial"/>
              </w:rPr>
              <w:t>50.161.666</w:t>
            </w:r>
          </w:p>
        </w:tc>
        <w:tc>
          <w:tcPr>
            <w:tcW w:w="1486" w:type="dxa"/>
          </w:tcPr>
          <w:p w:rsidR="00D849AA" w:rsidRPr="00A8412B" w:rsidRDefault="00EE6D95">
            <w:pPr>
              <w:rPr>
                <w:rFonts w:ascii="Arial" w:hAnsi="Arial" w:cs="Arial"/>
              </w:rPr>
            </w:pPr>
            <w:r w:rsidRPr="00A8412B">
              <w:rPr>
                <w:rFonts w:ascii="Arial" w:hAnsi="Arial" w:cs="Arial"/>
              </w:rPr>
              <w:t>50.161.666</w:t>
            </w:r>
          </w:p>
        </w:tc>
        <w:tc>
          <w:tcPr>
            <w:tcW w:w="1486" w:type="dxa"/>
          </w:tcPr>
          <w:p w:rsidR="00D849AA" w:rsidRPr="00A8412B" w:rsidRDefault="00EE6D95">
            <w:pPr>
              <w:rPr>
                <w:rFonts w:ascii="Arial" w:hAnsi="Arial" w:cs="Arial"/>
              </w:rPr>
            </w:pPr>
            <w:r w:rsidRPr="00A8412B">
              <w:rPr>
                <w:rFonts w:ascii="Arial" w:hAnsi="Arial" w:cs="Arial"/>
              </w:rPr>
              <w:t>50.161.666</w:t>
            </w:r>
          </w:p>
        </w:tc>
        <w:tc>
          <w:tcPr>
            <w:tcW w:w="1486" w:type="dxa"/>
          </w:tcPr>
          <w:p w:rsidR="00D849AA" w:rsidRPr="00A8412B" w:rsidRDefault="00EE6D95">
            <w:pPr>
              <w:rPr>
                <w:rFonts w:ascii="Arial" w:hAnsi="Arial" w:cs="Arial"/>
              </w:rPr>
            </w:pPr>
            <w:r w:rsidRPr="00A8412B">
              <w:rPr>
                <w:rFonts w:ascii="Arial" w:hAnsi="Arial" w:cs="Arial"/>
              </w:rPr>
              <w:t>100,0</w:t>
            </w:r>
          </w:p>
        </w:tc>
      </w:tr>
    </w:tbl>
    <w:p w:rsidR="00D849AA" w:rsidRDefault="00D849AA">
      <w:pPr>
        <w:jc w:val="left"/>
      </w:pPr>
    </w:p>
    <w:p w:rsidR="00D849AA" w:rsidRDefault="00EE6D95" w:rsidP="00BF0142">
      <w:pPr>
        <w:pStyle w:val="Normal6"/>
      </w:pPr>
      <w:r>
        <w:lastRenderedPageBreak/>
        <w:t xml:space="preserve">Pravo na redovito godišnje financiranje iz sredstava državnog proračuna imaju političke stranke koje imaju zastupnika u Hrvatskom saboru i nezavisni zastupnici koji su izabrani s nezavisnih lista.    </w:t>
      </w:r>
    </w:p>
    <w:p w:rsidR="00D849AA" w:rsidRDefault="00EE6D95">
      <w:pPr>
        <w:pStyle w:val="Normal6"/>
      </w:pPr>
      <w:r>
        <w:t>Člankom 3. Zakona o financiranju političkih aktivnosti i izborne promidžbe utvrđuju se sredstva za redovito godišnje financiranje političkih stranaka i nezavisnih zastupnika koja se trebaju osigurati u državnom proračunu Republike Hrvatske, u iznosu od 0,05% ostvarenih rashoda poslovanja iz prethodno objavljenog godišnjeg izvještaja o izvršenju proračuna.</w:t>
      </w:r>
    </w:p>
    <w:p w:rsidR="00D849AA" w:rsidRDefault="00EE6D95">
      <w:pPr>
        <w:pStyle w:val="Naslov5"/>
      </w:pPr>
      <w:r>
        <w:t>2202 MAKROEKONOMSKO PLANIRANJE I ISTRAŽIVANJE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rsidRPr="00A8412B">
        <w:trPr>
          <w:jc w:val="center"/>
        </w:trPr>
        <w:tc>
          <w:tcPr>
            <w:tcW w:w="1486" w:type="dxa"/>
            <w:shd w:val="clear" w:color="auto" w:fill="B5C0D8"/>
          </w:tcPr>
          <w:p w:rsidR="00D849AA" w:rsidRPr="00A8412B" w:rsidRDefault="00D849AA">
            <w:pPr>
              <w:pStyle w:val="CellHeader"/>
            </w:pPr>
          </w:p>
        </w:tc>
        <w:tc>
          <w:tcPr>
            <w:tcW w:w="1486" w:type="dxa"/>
            <w:shd w:val="clear" w:color="auto" w:fill="B5C0D8"/>
          </w:tcPr>
          <w:p w:rsidR="00D849AA" w:rsidRPr="00A8412B" w:rsidRDefault="00EE6D95">
            <w:pPr>
              <w:pStyle w:val="CellHeader"/>
            </w:pPr>
            <w:r w:rsidRPr="00A8412B">
              <w:t>Plan 2013.</w:t>
            </w:r>
          </w:p>
        </w:tc>
        <w:tc>
          <w:tcPr>
            <w:tcW w:w="1486" w:type="dxa"/>
            <w:shd w:val="clear" w:color="auto" w:fill="B5C0D8"/>
          </w:tcPr>
          <w:p w:rsidR="00D849AA" w:rsidRPr="00A8412B" w:rsidRDefault="00EE6D95">
            <w:pPr>
              <w:pStyle w:val="CellHeader"/>
            </w:pPr>
            <w:r w:rsidRPr="00A8412B">
              <w:t>Plan 2014.</w:t>
            </w:r>
          </w:p>
        </w:tc>
        <w:tc>
          <w:tcPr>
            <w:tcW w:w="1486" w:type="dxa"/>
            <w:shd w:val="clear" w:color="auto" w:fill="B5C0D8"/>
          </w:tcPr>
          <w:p w:rsidR="00D849AA" w:rsidRPr="00A8412B" w:rsidRDefault="00EE6D95">
            <w:pPr>
              <w:pStyle w:val="CellHeader"/>
            </w:pPr>
            <w:r w:rsidRPr="00A8412B">
              <w:t>Plan 2015.</w:t>
            </w:r>
          </w:p>
        </w:tc>
        <w:tc>
          <w:tcPr>
            <w:tcW w:w="1486" w:type="dxa"/>
            <w:shd w:val="clear" w:color="auto" w:fill="B5C0D8"/>
          </w:tcPr>
          <w:p w:rsidR="00D849AA" w:rsidRPr="00A8412B" w:rsidRDefault="00EE6D95">
            <w:pPr>
              <w:pStyle w:val="CellHeader"/>
            </w:pPr>
            <w:r w:rsidRPr="00A8412B">
              <w:t>Plan 2016.</w:t>
            </w:r>
          </w:p>
        </w:tc>
        <w:tc>
          <w:tcPr>
            <w:tcW w:w="1486" w:type="dxa"/>
            <w:shd w:val="clear" w:color="auto" w:fill="B5C0D8"/>
          </w:tcPr>
          <w:p w:rsidR="00D849AA" w:rsidRPr="00A8412B" w:rsidRDefault="00EE6D95">
            <w:pPr>
              <w:pStyle w:val="CellHeader"/>
            </w:pPr>
            <w:r w:rsidRPr="00A8412B">
              <w:t>Indeks 2014/2013</w:t>
            </w:r>
          </w:p>
        </w:tc>
      </w:tr>
      <w:tr w:rsidR="00D849AA" w:rsidRPr="00A8412B">
        <w:trPr>
          <w:jc w:val="center"/>
        </w:trPr>
        <w:tc>
          <w:tcPr>
            <w:tcW w:w="1486" w:type="dxa"/>
          </w:tcPr>
          <w:p w:rsidR="00D849AA" w:rsidRPr="00A8412B" w:rsidRDefault="00EE6D95">
            <w:pPr>
              <w:pStyle w:val="CellColumn"/>
            </w:pPr>
            <w:r w:rsidRPr="00A8412B">
              <w:t>2202</w:t>
            </w:r>
          </w:p>
        </w:tc>
        <w:tc>
          <w:tcPr>
            <w:tcW w:w="1486" w:type="dxa"/>
          </w:tcPr>
          <w:p w:rsidR="00D849AA" w:rsidRPr="00A8412B" w:rsidRDefault="00EE6D95">
            <w:pPr>
              <w:rPr>
                <w:rFonts w:ascii="Arial" w:hAnsi="Arial" w:cs="Arial"/>
              </w:rPr>
            </w:pPr>
            <w:r w:rsidRPr="00A8412B">
              <w:rPr>
                <w:rFonts w:ascii="Arial" w:hAnsi="Arial" w:cs="Arial"/>
              </w:rPr>
              <w:t>1.500.000</w:t>
            </w:r>
          </w:p>
        </w:tc>
        <w:tc>
          <w:tcPr>
            <w:tcW w:w="1486" w:type="dxa"/>
          </w:tcPr>
          <w:p w:rsidR="00D849AA" w:rsidRPr="00A8412B" w:rsidRDefault="00EE6D95">
            <w:pPr>
              <w:rPr>
                <w:rFonts w:ascii="Arial" w:hAnsi="Arial" w:cs="Arial"/>
              </w:rPr>
            </w:pPr>
            <w:r w:rsidRPr="00A8412B">
              <w:rPr>
                <w:rFonts w:ascii="Arial" w:hAnsi="Arial" w:cs="Arial"/>
              </w:rPr>
              <w:t>1.500.000</w:t>
            </w:r>
          </w:p>
        </w:tc>
        <w:tc>
          <w:tcPr>
            <w:tcW w:w="1486" w:type="dxa"/>
          </w:tcPr>
          <w:p w:rsidR="00D849AA" w:rsidRPr="00A8412B" w:rsidRDefault="00EE6D95">
            <w:pPr>
              <w:rPr>
                <w:rFonts w:ascii="Arial" w:hAnsi="Arial" w:cs="Arial"/>
              </w:rPr>
            </w:pPr>
            <w:r w:rsidRPr="00A8412B">
              <w:rPr>
                <w:rFonts w:ascii="Arial" w:hAnsi="Arial" w:cs="Arial"/>
              </w:rPr>
              <w:t>1.500.000</w:t>
            </w:r>
          </w:p>
        </w:tc>
        <w:tc>
          <w:tcPr>
            <w:tcW w:w="1486" w:type="dxa"/>
          </w:tcPr>
          <w:p w:rsidR="00D849AA" w:rsidRPr="00A8412B" w:rsidRDefault="00EE6D95">
            <w:pPr>
              <w:rPr>
                <w:rFonts w:ascii="Arial" w:hAnsi="Arial" w:cs="Arial"/>
              </w:rPr>
            </w:pPr>
            <w:r w:rsidRPr="00A8412B">
              <w:rPr>
                <w:rFonts w:ascii="Arial" w:hAnsi="Arial" w:cs="Arial"/>
              </w:rPr>
              <w:t>1.500.000</w:t>
            </w:r>
          </w:p>
        </w:tc>
        <w:tc>
          <w:tcPr>
            <w:tcW w:w="1486" w:type="dxa"/>
          </w:tcPr>
          <w:p w:rsidR="00D849AA" w:rsidRPr="00A8412B" w:rsidRDefault="00EE6D95">
            <w:pPr>
              <w:rPr>
                <w:rFonts w:ascii="Arial" w:hAnsi="Arial" w:cs="Arial"/>
              </w:rPr>
            </w:pPr>
            <w:r w:rsidRPr="00A8412B">
              <w:rPr>
                <w:rFonts w:ascii="Arial" w:hAnsi="Arial" w:cs="Arial"/>
              </w:rPr>
              <w:t>100,0</w:t>
            </w:r>
          </w:p>
        </w:tc>
      </w:tr>
    </w:tbl>
    <w:p w:rsidR="00D849AA" w:rsidRPr="00A8412B" w:rsidRDefault="00D849AA">
      <w:pPr>
        <w:jc w:val="left"/>
        <w:rPr>
          <w:rFonts w:ascii="Arial" w:hAnsi="Arial" w:cs="Arial"/>
        </w:rPr>
      </w:pPr>
    </w:p>
    <w:p w:rsidR="00D849AA" w:rsidRDefault="00EE6D95">
      <w:pPr>
        <w:pStyle w:val="Naslov6"/>
      </w:pPr>
      <w:r>
        <w:t>Opis programa</w:t>
      </w:r>
    </w:p>
    <w:p w:rsidR="00D849AA" w:rsidRDefault="00EE6D95">
      <w:pPr>
        <w:pStyle w:val="Normal5"/>
      </w:pPr>
      <w:r>
        <w:t>Program obuhvaća izradu Godišnjeg izvješća Ministarstva financija te izradu i drugih publikacija i analiza iz područja makroekonomije i fiskalne politike, poput Privrednih kretanja i ekonomske politike, koje su stalnog karaktera. Posebni dio ovog programa predstavlja izradu različitih studija i analitičkih osnova usmjerenih na iznalaženje rješenja ili analiziranje pojedinih ekonomskih postavki, kretanja, mogućih rješenja i slično a koje su od važnosti za provođenje fiskalne i ukupne ekonomske politike. U okviru ovog programa predviđa se i uvođenje informatičke podrške Zavodu za makroekonomske analize i planiranje, posebno u kontekstu izvora i stvaranja relevantnih baza podataka koje bi služile za izradu brzih i pouzdanih makroekonomskih i fiskalnih analiza i projekcija, kao i analiza vezanih uz EPC.</w:t>
      </w:r>
    </w:p>
    <w:p w:rsidR="00D849AA" w:rsidRDefault="00EE6D95">
      <w:pPr>
        <w:pStyle w:val="Naslov6"/>
      </w:pPr>
      <w:r>
        <w:t>Zakonske i druge pravne osnove</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Cilj 1. Izrada analiza iz područja makroekonomije i fiskalne politike</w:t>
      </w:r>
    </w:p>
    <w:p w:rsidR="00D849AA" w:rsidRDefault="00EE6D95">
      <w:pPr>
        <w:pStyle w:val="Normal6"/>
      </w:pPr>
      <w:r>
        <w:t>Izrada novih i unaprjeđenje postojećih baza podataka s vremenskim serijama nužno je za provođenje kvalitetnih analiza iz područja makroekonomije i fiskalne politike.</w:t>
      </w:r>
    </w:p>
    <w:p w:rsidR="00A8412B" w:rsidRDefault="00A8412B">
      <w:pPr>
        <w:pStyle w:val="Naslov5"/>
      </w:pPr>
    </w:p>
    <w:p w:rsidR="00A8412B" w:rsidRDefault="00A8412B" w:rsidP="00A8412B">
      <w:pPr>
        <w:pStyle w:val="Naslov4"/>
      </w:pPr>
      <w:r>
        <w:t>OBRAZLOŽENJE PROGRAMA</w:t>
      </w:r>
    </w:p>
    <w:p w:rsidR="00D849AA" w:rsidRDefault="00EE6D95">
      <w:pPr>
        <w:pStyle w:val="Naslov5"/>
      </w:pPr>
      <w:r>
        <w:t>2203 UPRAVLJANJE SUSTAVOM JAVNIH FINANCIJA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rsidRPr="00A8412B">
        <w:trPr>
          <w:jc w:val="center"/>
        </w:trPr>
        <w:tc>
          <w:tcPr>
            <w:tcW w:w="1486" w:type="dxa"/>
            <w:shd w:val="clear" w:color="auto" w:fill="B5C0D8"/>
          </w:tcPr>
          <w:p w:rsidR="00D849AA" w:rsidRPr="00A8412B" w:rsidRDefault="00D849AA">
            <w:pPr>
              <w:pStyle w:val="CellHeader"/>
            </w:pPr>
          </w:p>
        </w:tc>
        <w:tc>
          <w:tcPr>
            <w:tcW w:w="1486" w:type="dxa"/>
            <w:shd w:val="clear" w:color="auto" w:fill="B5C0D8"/>
          </w:tcPr>
          <w:p w:rsidR="00D849AA" w:rsidRPr="00A8412B" w:rsidRDefault="00EE6D95">
            <w:pPr>
              <w:pStyle w:val="CellHeader"/>
            </w:pPr>
            <w:r w:rsidRPr="00A8412B">
              <w:t>Plan 2013.</w:t>
            </w:r>
          </w:p>
        </w:tc>
        <w:tc>
          <w:tcPr>
            <w:tcW w:w="1486" w:type="dxa"/>
            <w:shd w:val="clear" w:color="auto" w:fill="B5C0D8"/>
          </w:tcPr>
          <w:p w:rsidR="00D849AA" w:rsidRPr="00A8412B" w:rsidRDefault="00EE6D95">
            <w:pPr>
              <w:pStyle w:val="CellHeader"/>
            </w:pPr>
            <w:r w:rsidRPr="00A8412B">
              <w:t>Plan 2014.</w:t>
            </w:r>
          </w:p>
        </w:tc>
        <w:tc>
          <w:tcPr>
            <w:tcW w:w="1486" w:type="dxa"/>
            <w:shd w:val="clear" w:color="auto" w:fill="B5C0D8"/>
          </w:tcPr>
          <w:p w:rsidR="00D849AA" w:rsidRPr="00A8412B" w:rsidRDefault="00EE6D95">
            <w:pPr>
              <w:pStyle w:val="CellHeader"/>
            </w:pPr>
            <w:r w:rsidRPr="00A8412B">
              <w:t>Plan 2015.</w:t>
            </w:r>
          </w:p>
        </w:tc>
        <w:tc>
          <w:tcPr>
            <w:tcW w:w="1486" w:type="dxa"/>
            <w:shd w:val="clear" w:color="auto" w:fill="B5C0D8"/>
          </w:tcPr>
          <w:p w:rsidR="00D849AA" w:rsidRPr="00A8412B" w:rsidRDefault="00EE6D95">
            <w:pPr>
              <w:pStyle w:val="CellHeader"/>
            </w:pPr>
            <w:r w:rsidRPr="00A8412B">
              <w:t>Plan 2016.</w:t>
            </w:r>
          </w:p>
        </w:tc>
        <w:tc>
          <w:tcPr>
            <w:tcW w:w="1486" w:type="dxa"/>
            <w:shd w:val="clear" w:color="auto" w:fill="B5C0D8"/>
          </w:tcPr>
          <w:p w:rsidR="00D849AA" w:rsidRPr="00A8412B" w:rsidRDefault="00EE6D95">
            <w:pPr>
              <w:pStyle w:val="CellHeader"/>
            </w:pPr>
            <w:r w:rsidRPr="00A8412B">
              <w:t>Indeks 2014/2013</w:t>
            </w:r>
          </w:p>
        </w:tc>
      </w:tr>
      <w:tr w:rsidR="00D849AA" w:rsidRPr="00A8412B">
        <w:trPr>
          <w:jc w:val="center"/>
        </w:trPr>
        <w:tc>
          <w:tcPr>
            <w:tcW w:w="1486" w:type="dxa"/>
          </w:tcPr>
          <w:p w:rsidR="00D849AA" w:rsidRPr="00A8412B" w:rsidRDefault="00EE6D95">
            <w:pPr>
              <w:pStyle w:val="CellColumn"/>
            </w:pPr>
            <w:r w:rsidRPr="00A8412B">
              <w:t>2203</w:t>
            </w:r>
          </w:p>
        </w:tc>
        <w:tc>
          <w:tcPr>
            <w:tcW w:w="1486" w:type="dxa"/>
          </w:tcPr>
          <w:p w:rsidR="00D849AA" w:rsidRPr="00A8412B" w:rsidRDefault="00EE6D95">
            <w:pPr>
              <w:rPr>
                <w:rFonts w:ascii="Arial" w:hAnsi="Arial" w:cs="Arial"/>
              </w:rPr>
            </w:pPr>
            <w:r w:rsidRPr="00A8412B">
              <w:rPr>
                <w:rFonts w:ascii="Arial" w:hAnsi="Arial" w:cs="Arial"/>
              </w:rPr>
              <w:t>236.800.000</w:t>
            </w:r>
          </w:p>
        </w:tc>
        <w:tc>
          <w:tcPr>
            <w:tcW w:w="1486" w:type="dxa"/>
          </w:tcPr>
          <w:p w:rsidR="00D849AA" w:rsidRPr="00A8412B" w:rsidRDefault="00EE6D95">
            <w:pPr>
              <w:rPr>
                <w:rFonts w:ascii="Arial" w:hAnsi="Arial" w:cs="Arial"/>
              </w:rPr>
            </w:pPr>
            <w:r w:rsidRPr="00A8412B">
              <w:rPr>
                <w:rFonts w:ascii="Arial" w:hAnsi="Arial" w:cs="Arial"/>
              </w:rPr>
              <w:t>239.925.000</w:t>
            </w:r>
          </w:p>
        </w:tc>
        <w:tc>
          <w:tcPr>
            <w:tcW w:w="1486" w:type="dxa"/>
          </w:tcPr>
          <w:p w:rsidR="00D849AA" w:rsidRPr="00A8412B" w:rsidRDefault="00EE6D95">
            <w:pPr>
              <w:rPr>
                <w:rFonts w:ascii="Arial" w:hAnsi="Arial" w:cs="Arial"/>
              </w:rPr>
            </w:pPr>
            <w:r w:rsidRPr="00A8412B">
              <w:rPr>
                <w:rFonts w:ascii="Arial" w:hAnsi="Arial" w:cs="Arial"/>
              </w:rPr>
              <w:t>200.200.000</w:t>
            </w:r>
          </w:p>
        </w:tc>
        <w:tc>
          <w:tcPr>
            <w:tcW w:w="1486" w:type="dxa"/>
          </w:tcPr>
          <w:p w:rsidR="00D849AA" w:rsidRPr="00A8412B" w:rsidRDefault="00EE6D95">
            <w:pPr>
              <w:rPr>
                <w:rFonts w:ascii="Arial" w:hAnsi="Arial" w:cs="Arial"/>
              </w:rPr>
            </w:pPr>
            <w:r w:rsidRPr="00A8412B">
              <w:rPr>
                <w:rFonts w:ascii="Arial" w:hAnsi="Arial" w:cs="Arial"/>
              </w:rPr>
              <w:t>200.200.000</w:t>
            </w:r>
          </w:p>
        </w:tc>
        <w:tc>
          <w:tcPr>
            <w:tcW w:w="1486" w:type="dxa"/>
          </w:tcPr>
          <w:p w:rsidR="00D849AA" w:rsidRPr="00A8412B" w:rsidRDefault="00EE6D95">
            <w:pPr>
              <w:rPr>
                <w:rFonts w:ascii="Arial" w:hAnsi="Arial" w:cs="Arial"/>
              </w:rPr>
            </w:pPr>
            <w:r w:rsidRPr="00A8412B">
              <w:rPr>
                <w:rFonts w:ascii="Arial" w:hAnsi="Arial" w:cs="Arial"/>
              </w:rPr>
              <w:t>101,3</w:t>
            </w:r>
          </w:p>
        </w:tc>
      </w:tr>
    </w:tbl>
    <w:p w:rsidR="00D849AA" w:rsidRPr="00A8412B" w:rsidRDefault="00D849AA">
      <w:pPr>
        <w:jc w:val="left"/>
        <w:rPr>
          <w:rFonts w:ascii="Arial" w:hAnsi="Arial" w:cs="Arial"/>
        </w:rPr>
      </w:pPr>
    </w:p>
    <w:p w:rsidR="00D849AA" w:rsidRDefault="00EE6D95">
      <w:pPr>
        <w:pStyle w:val="Naslov6"/>
      </w:pPr>
      <w:r>
        <w:lastRenderedPageBreak/>
        <w:t>Opis programa</w:t>
      </w:r>
    </w:p>
    <w:p w:rsidR="00D849AA" w:rsidRDefault="00EE6D95">
      <w:pPr>
        <w:pStyle w:val="Normal5"/>
      </w:pPr>
      <w:r>
        <w:t xml:space="preserve">Ovaj Program koji je već djelomično opisan u Glavi 05 Ministarstva financija, obuhvaća i  aktivnosti koje se odnose na podmirenje obveze RH prema institucijama koje obavljaju određene poslove i usluge u ime i za račun RH, a te obveze podmiruje Ministarstvo financija. Prvenstveno se to odnosi na obavljanje usluga platnog prometa i obrade podataka koje provodi Financijska agencija (FINA).     </w:t>
      </w:r>
    </w:p>
    <w:p w:rsidR="00D849AA" w:rsidRDefault="00EE6D95">
      <w:pPr>
        <w:pStyle w:val="Normal5"/>
      </w:pPr>
      <w:r>
        <w:t xml:space="preserve">Program obuhvaća i uspostavu i održavanje usluge centralnog obračuna plaća i upravljanja ljudskim resursima, a uslugu će obavljati također FINA u skladu s ranije potpisanim Ugovorom kojim je FINA obvezana obavljati usluge objedinjene informatičko-tehnološke podrške sustavu državne uprave i sustavu državnih i javnih financija. Korisnici sustava COP i HRM TDU su Vlada RH, sva tijela državne uprave i ostali korisnici državnog proračuna čiji se rashodi za zaposlene osiguravaju u proračunu. Program doprinosi ostvarenju općeg cilja 1. Makroekonomska i gospodarska stabilnost i posebnom cilju 1.1. Učinkovitije upravljanje javnim financijama.    </w:t>
      </w:r>
    </w:p>
    <w:p w:rsidR="00D849AA" w:rsidRDefault="00EE6D95">
      <w:pPr>
        <w:pStyle w:val="Normal5"/>
      </w:pPr>
      <w:r>
        <w:t>Sljedeća institucija po važnosti je Hrvatska banka za obnovu i razvitak koja je s Ministarstvom financija zaključila niz ugovora kojima je utvrđena obveza HBOR-a da u ime i za račun Ministarstva financija obavlja poslove realizacije određenih kreditnih poslova namijenjenih sektoru malog i srednjeg poduzetništva te vođenja Fonda sredstava za povlašteno financiranje po kreditnim programima.</w:t>
      </w:r>
    </w:p>
    <w:p w:rsidR="00D849AA" w:rsidRDefault="00EE6D95">
      <w:pPr>
        <w:pStyle w:val="Naslov6"/>
      </w:pPr>
      <w:r>
        <w:t>Zakonske i druge pravne osnove</w:t>
      </w:r>
    </w:p>
    <w:p w:rsidR="00D849AA" w:rsidRDefault="00EE6D95">
      <w:pPr>
        <w:pStyle w:val="Normal5"/>
      </w:pPr>
      <w:r>
        <w:t xml:space="preserve">- Ugovori  s FINA-om i HBOR-om o obavljanju poslova u ime i za račun Republike Hrvatske,    </w:t>
      </w:r>
    </w:p>
    <w:p w:rsidR="00D849AA" w:rsidRDefault="00EE6D95">
      <w:pPr>
        <w:pStyle w:val="Normal5"/>
      </w:pPr>
      <w:r>
        <w:t>- Odluka o uspostavi i održavanju usluge centraliziranog obračuna plaća i upravljanja ljudskim resursima za sva tijela državne uprave COP i HRM TDU</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Cilj 1. Pružiti informatičko-tehnološku podršku radu sustava državne riznice, sustavu prikupljanja javnih prihoda, REGOS-u i dr. te obaviti određene vrste poslova u ime i za račun RH uz naknadu</w:t>
      </w:r>
    </w:p>
    <w:p w:rsidR="00D849AA" w:rsidRDefault="00EE6D95">
      <w:pPr>
        <w:pStyle w:val="Naslov7"/>
      </w:pPr>
      <w:r>
        <w:t>Cilj 2. Uspostaviti i održavati centralno integrirani sustav s jedinstvenom središnjom bazom podataka</w:t>
      </w:r>
    </w:p>
    <w:p w:rsidR="00D849AA" w:rsidRDefault="00EE6D95">
      <w:pPr>
        <w:pStyle w:val="Naslov5"/>
      </w:pPr>
      <w:r>
        <w:t>Procjena i ishodište potrebnih sredstava za značajnije aktivnosti/projekte</w:t>
      </w:r>
    </w:p>
    <w:p w:rsidR="00D849AA" w:rsidRDefault="00EE6D95">
      <w:pPr>
        <w:pStyle w:val="Naslov6"/>
      </w:pPr>
      <w:r>
        <w:t>A538019 USPOSTAVA I ODRŽAVANJE USLUGE CENTRALNOG OBRAČUNA PLAĆA I UPRAVLJANJA LJUDSKIM RESURSIMA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F37627" w:rsidRDefault="00EE6D95">
            <w:pPr>
              <w:pStyle w:val="CellHeader"/>
            </w:pPr>
            <w:r w:rsidRPr="00F37627">
              <w:t>Naziv aktivnosti</w:t>
            </w:r>
          </w:p>
        </w:tc>
        <w:tc>
          <w:tcPr>
            <w:tcW w:w="1486" w:type="dxa"/>
            <w:shd w:val="clear" w:color="auto" w:fill="B5C0D8"/>
          </w:tcPr>
          <w:p w:rsidR="00D849AA" w:rsidRPr="00F37627" w:rsidRDefault="00EE6D95">
            <w:pPr>
              <w:pStyle w:val="CellHeader"/>
            </w:pPr>
            <w:r w:rsidRPr="00F37627">
              <w:t>Plan 2013.</w:t>
            </w:r>
          </w:p>
        </w:tc>
        <w:tc>
          <w:tcPr>
            <w:tcW w:w="1486" w:type="dxa"/>
            <w:shd w:val="clear" w:color="auto" w:fill="B5C0D8"/>
          </w:tcPr>
          <w:p w:rsidR="00D849AA" w:rsidRPr="00F37627" w:rsidRDefault="00EE6D95">
            <w:pPr>
              <w:pStyle w:val="CellHeader"/>
            </w:pPr>
            <w:r w:rsidRPr="00F37627">
              <w:t>Plan 2014.</w:t>
            </w:r>
          </w:p>
        </w:tc>
        <w:tc>
          <w:tcPr>
            <w:tcW w:w="1486" w:type="dxa"/>
            <w:shd w:val="clear" w:color="auto" w:fill="B5C0D8"/>
          </w:tcPr>
          <w:p w:rsidR="00D849AA" w:rsidRPr="00F37627" w:rsidRDefault="00EE6D95">
            <w:pPr>
              <w:pStyle w:val="CellHeader"/>
            </w:pPr>
            <w:r w:rsidRPr="00F37627">
              <w:t>Plan 2015.</w:t>
            </w:r>
          </w:p>
        </w:tc>
        <w:tc>
          <w:tcPr>
            <w:tcW w:w="1486" w:type="dxa"/>
            <w:shd w:val="clear" w:color="auto" w:fill="B5C0D8"/>
          </w:tcPr>
          <w:p w:rsidR="00D849AA" w:rsidRPr="00F37627" w:rsidRDefault="00EE6D95">
            <w:pPr>
              <w:pStyle w:val="CellHeader"/>
            </w:pPr>
            <w:r w:rsidRPr="00F37627">
              <w:t>Plan 2016.</w:t>
            </w:r>
          </w:p>
        </w:tc>
        <w:tc>
          <w:tcPr>
            <w:tcW w:w="1486" w:type="dxa"/>
            <w:shd w:val="clear" w:color="auto" w:fill="B5C0D8"/>
          </w:tcPr>
          <w:p w:rsidR="00D849AA" w:rsidRPr="00F37627" w:rsidRDefault="00EE6D95">
            <w:pPr>
              <w:pStyle w:val="CellHeader"/>
            </w:pPr>
            <w:r w:rsidRPr="00F37627">
              <w:t>Indeks 2014/2013</w:t>
            </w:r>
          </w:p>
        </w:tc>
      </w:tr>
      <w:tr w:rsidR="00D849AA">
        <w:trPr>
          <w:jc w:val="center"/>
        </w:trPr>
        <w:tc>
          <w:tcPr>
            <w:tcW w:w="1486" w:type="dxa"/>
          </w:tcPr>
          <w:p w:rsidR="00D849AA" w:rsidRPr="00F37627" w:rsidRDefault="00EE6D95">
            <w:pPr>
              <w:pStyle w:val="CellColumn"/>
            </w:pPr>
            <w:r w:rsidRPr="00F37627">
              <w:t>A538019</w:t>
            </w:r>
          </w:p>
        </w:tc>
        <w:tc>
          <w:tcPr>
            <w:tcW w:w="1486" w:type="dxa"/>
          </w:tcPr>
          <w:p w:rsidR="00D849AA" w:rsidRPr="00F37627" w:rsidRDefault="00EE6D95">
            <w:pPr>
              <w:rPr>
                <w:rFonts w:ascii="Arial" w:hAnsi="Arial" w:cs="Arial"/>
              </w:rPr>
            </w:pPr>
            <w:r w:rsidRPr="00F37627">
              <w:rPr>
                <w:rFonts w:ascii="Arial" w:hAnsi="Arial" w:cs="Arial"/>
              </w:rPr>
              <w:t>12.000.000</w:t>
            </w:r>
          </w:p>
        </w:tc>
        <w:tc>
          <w:tcPr>
            <w:tcW w:w="1486" w:type="dxa"/>
          </w:tcPr>
          <w:p w:rsidR="00D849AA" w:rsidRPr="00F37627" w:rsidRDefault="00EE6D95">
            <w:pPr>
              <w:rPr>
                <w:rFonts w:ascii="Arial" w:hAnsi="Arial" w:cs="Arial"/>
              </w:rPr>
            </w:pPr>
            <w:r w:rsidRPr="00F37627">
              <w:rPr>
                <w:rFonts w:ascii="Arial" w:hAnsi="Arial" w:cs="Arial"/>
              </w:rPr>
              <w:t>14.500.000</w:t>
            </w:r>
          </w:p>
        </w:tc>
        <w:tc>
          <w:tcPr>
            <w:tcW w:w="1486" w:type="dxa"/>
          </w:tcPr>
          <w:p w:rsidR="00D849AA" w:rsidRPr="00F37627" w:rsidRDefault="00EE6D95">
            <w:pPr>
              <w:rPr>
                <w:rFonts w:ascii="Arial" w:hAnsi="Arial" w:cs="Arial"/>
              </w:rPr>
            </w:pPr>
            <w:r w:rsidRPr="00F37627">
              <w:rPr>
                <w:rFonts w:ascii="Arial" w:hAnsi="Arial" w:cs="Arial"/>
              </w:rPr>
              <w:t>14.500.000</w:t>
            </w:r>
          </w:p>
        </w:tc>
        <w:tc>
          <w:tcPr>
            <w:tcW w:w="1486" w:type="dxa"/>
          </w:tcPr>
          <w:p w:rsidR="00D849AA" w:rsidRPr="00F37627" w:rsidRDefault="00EE6D95">
            <w:pPr>
              <w:rPr>
                <w:rFonts w:ascii="Arial" w:hAnsi="Arial" w:cs="Arial"/>
              </w:rPr>
            </w:pPr>
            <w:r w:rsidRPr="00F37627">
              <w:rPr>
                <w:rFonts w:ascii="Arial" w:hAnsi="Arial" w:cs="Arial"/>
              </w:rPr>
              <w:t>14.500.000</w:t>
            </w:r>
          </w:p>
        </w:tc>
        <w:tc>
          <w:tcPr>
            <w:tcW w:w="1486" w:type="dxa"/>
          </w:tcPr>
          <w:p w:rsidR="00D849AA" w:rsidRPr="00F37627" w:rsidRDefault="00EE6D95">
            <w:pPr>
              <w:rPr>
                <w:rFonts w:ascii="Arial" w:hAnsi="Arial" w:cs="Arial"/>
              </w:rPr>
            </w:pPr>
            <w:r w:rsidRPr="00F37627">
              <w:rPr>
                <w:rFonts w:ascii="Arial" w:hAnsi="Arial" w:cs="Arial"/>
              </w:rPr>
              <w:t>120,8</w:t>
            </w:r>
          </w:p>
        </w:tc>
      </w:tr>
    </w:tbl>
    <w:p w:rsidR="00D849AA" w:rsidRDefault="00D849AA">
      <w:pPr>
        <w:jc w:val="left"/>
      </w:pPr>
    </w:p>
    <w:p w:rsidR="00D849AA" w:rsidRDefault="00EE6D95">
      <w:pPr>
        <w:pStyle w:val="Normal6"/>
      </w:pPr>
      <w:r>
        <w:t xml:space="preserve">Uspostavom Registra zaposlenih u državnim i javnim službama koji na jednom mjestu objedinjuje podatke o državnim službenicima i namještenicima te službenicima i namještenicima u javnim službama ostvareni su preduvjeti za daljnju izgradnju sustava koji će omogućiti djelotvorno i učinkovito upravljanje ljudskim potencijalima u državnim </w:t>
      </w:r>
      <w:r>
        <w:lastRenderedPageBreak/>
        <w:t xml:space="preserve">i javnim službama, i centralizirani obračun plaća za javni sektor odnosno korisnike državnog proračuna čiji se rashodi za zaposlene osiguravaju u državnom proračunu.   </w:t>
      </w:r>
    </w:p>
    <w:p w:rsidR="00D849AA" w:rsidRDefault="00EE6D95">
      <w:pPr>
        <w:pStyle w:val="Normal6"/>
      </w:pPr>
      <w:r>
        <w:t>Struktura podataka u Registru obuhvaća podatke o institucijama, ustrojstvenim jedinicama, radnim mjestima, zaposlenicima (osobni podaci), uzdržavanim članovima, kompetencijama, ocjenama, prethodnim zaposlenjima, obvezama, postupcima i kaznama te vezanim dokumentima.</w:t>
      </w:r>
    </w:p>
    <w:p w:rsidR="00D849AA" w:rsidRDefault="00EE6D95">
      <w:pPr>
        <w:pStyle w:val="Naslov6"/>
      </w:pPr>
      <w:r>
        <w:t>A539161 USLUGE PLATNOG PROMETA I OBRADE PODATAKA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F37627" w:rsidRDefault="00EE6D95">
            <w:pPr>
              <w:pStyle w:val="CellHeader"/>
            </w:pPr>
            <w:r w:rsidRPr="00F37627">
              <w:t>Naziv aktivnosti</w:t>
            </w:r>
          </w:p>
        </w:tc>
        <w:tc>
          <w:tcPr>
            <w:tcW w:w="1486" w:type="dxa"/>
            <w:shd w:val="clear" w:color="auto" w:fill="B5C0D8"/>
          </w:tcPr>
          <w:p w:rsidR="00D849AA" w:rsidRPr="00F37627" w:rsidRDefault="00EE6D95">
            <w:pPr>
              <w:pStyle w:val="CellHeader"/>
            </w:pPr>
            <w:r w:rsidRPr="00F37627">
              <w:t>Plan 2013.</w:t>
            </w:r>
          </w:p>
        </w:tc>
        <w:tc>
          <w:tcPr>
            <w:tcW w:w="1486" w:type="dxa"/>
            <w:shd w:val="clear" w:color="auto" w:fill="B5C0D8"/>
          </w:tcPr>
          <w:p w:rsidR="00D849AA" w:rsidRPr="00F37627" w:rsidRDefault="00EE6D95">
            <w:pPr>
              <w:pStyle w:val="CellHeader"/>
            </w:pPr>
            <w:r w:rsidRPr="00F37627">
              <w:t>Plan 2014.</w:t>
            </w:r>
          </w:p>
        </w:tc>
        <w:tc>
          <w:tcPr>
            <w:tcW w:w="1486" w:type="dxa"/>
            <w:shd w:val="clear" w:color="auto" w:fill="B5C0D8"/>
          </w:tcPr>
          <w:p w:rsidR="00D849AA" w:rsidRPr="00F37627" w:rsidRDefault="00EE6D95">
            <w:pPr>
              <w:pStyle w:val="CellHeader"/>
            </w:pPr>
            <w:r w:rsidRPr="00F37627">
              <w:t>Plan 2015.</w:t>
            </w:r>
          </w:p>
        </w:tc>
        <w:tc>
          <w:tcPr>
            <w:tcW w:w="1486" w:type="dxa"/>
            <w:shd w:val="clear" w:color="auto" w:fill="B5C0D8"/>
          </w:tcPr>
          <w:p w:rsidR="00D849AA" w:rsidRPr="00F37627" w:rsidRDefault="00EE6D95">
            <w:pPr>
              <w:pStyle w:val="CellHeader"/>
            </w:pPr>
            <w:r w:rsidRPr="00F37627">
              <w:t>Plan 2016.</w:t>
            </w:r>
          </w:p>
        </w:tc>
        <w:tc>
          <w:tcPr>
            <w:tcW w:w="1486" w:type="dxa"/>
            <w:shd w:val="clear" w:color="auto" w:fill="B5C0D8"/>
          </w:tcPr>
          <w:p w:rsidR="00D849AA" w:rsidRPr="00F37627" w:rsidRDefault="00EE6D95">
            <w:pPr>
              <w:pStyle w:val="CellHeader"/>
            </w:pPr>
            <w:r w:rsidRPr="00F37627">
              <w:t>Indeks 2014/2013</w:t>
            </w:r>
          </w:p>
        </w:tc>
      </w:tr>
      <w:tr w:rsidR="00D849AA">
        <w:trPr>
          <w:jc w:val="center"/>
        </w:trPr>
        <w:tc>
          <w:tcPr>
            <w:tcW w:w="1486" w:type="dxa"/>
          </w:tcPr>
          <w:p w:rsidR="00D849AA" w:rsidRPr="00F37627" w:rsidRDefault="00EE6D95">
            <w:pPr>
              <w:pStyle w:val="CellColumn"/>
            </w:pPr>
            <w:r w:rsidRPr="00F37627">
              <w:t>A539161</w:t>
            </w:r>
          </w:p>
        </w:tc>
        <w:tc>
          <w:tcPr>
            <w:tcW w:w="1486" w:type="dxa"/>
          </w:tcPr>
          <w:p w:rsidR="00D849AA" w:rsidRPr="00F37627" w:rsidRDefault="00EE6D95">
            <w:pPr>
              <w:rPr>
                <w:rFonts w:ascii="Arial" w:hAnsi="Arial" w:cs="Arial"/>
              </w:rPr>
            </w:pPr>
            <w:r w:rsidRPr="00F37627">
              <w:rPr>
                <w:rFonts w:ascii="Arial" w:hAnsi="Arial" w:cs="Arial"/>
              </w:rPr>
              <w:t>172.500.000</w:t>
            </w:r>
          </w:p>
        </w:tc>
        <w:tc>
          <w:tcPr>
            <w:tcW w:w="1486" w:type="dxa"/>
          </w:tcPr>
          <w:p w:rsidR="00D849AA" w:rsidRPr="00F37627" w:rsidRDefault="00EE6D95">
            <w:pPr>
              <w:rPr>
                <w:rFonts w:ascii="Arial" w:hAnsi="Arial" w:cs="Arial"/>
              </w:rPr>
            </w:pPr>
            <w:r w:rsidRPr="00F37627">
              <w:rPr>
                <w:rFonts w:ascii="Arial" w:hAnsi="Arial" w:cs="Arial"/>
              </w:rPr>
              <w:t>172.500.000</w:t>
            </w:r>
          </w:p>
        </w:tc>
        <w:tc>
          <w:tcPr>
            <w:tcW w:w="1486" w:type="dxa"/>
          </w:tcPr>
          <w:p w:rsidR="00D849AA" w:rsidRPr="00F37627" w:rsidRDefault="00EE6D95">
            <w:pPr>
              <w:rPr>
                <w:rFonts w:ascii="Arial" w:hAnsi="Arial" w:cs="Arial"/>
              </w:rPr>
            </w:pPr>
            <w:r w:rsidRPr="00F37627">
              <w:rPr>
                <w:rFonts w:ascii="Arial" w:hAnsi="Arial" w:cs="Arial"/>
              </w:rPr>
              <w:t>172.500.000</w:t>
            </w:r>
          </w:p>
        </w:tc>
        <w:tc>
          <w:tcPr>
            <w:tcW w:w="1486" w:type="dxa"/>
          </w:tcPr>
          <w:p w:rsidR="00D849AA" w:rsidRPr="00F37627" w:rsidRDefault="00EE6D95">
            <w:pPr>
              <w:rPr>
                <w:rFonts w:ascii="Arial" w:hAnsi="Arial" w:cs="Arial"/>
              </w:rPr>
            </w:pPr>
            <w:r w:rsidRPr="00F37627">
              <w:rPr>
                <w:rFonts w:ascii="Arial" w:hAnsi="Arial" w:cs="Arial"/>
              </w:rPr>
              <w:t>172.500.000</w:t>
            </w:r>
          </w:p>
        </w:tc>
        <w:tc>
          <w:tcPr>
            <w:tcW w:w="1486" w:type="dxa"/>
          </w:tcPr>
          <w:p w:rsidR="00D849AA" w:rsidRPr="00F37627" w:rsidRDefault="00EE6D95">
            <w:pPr>
              <w:rPr>
                <w:rFonts w:ascii="Arial" w:hAnsi="Arial" w:cs="Arial"/>
              </w:rPr>
            </w:pPr>
            <w:r w:rsidRPr="00F37627">
              <w:rPr>
                <w:rFonts w:ascii="Arial" w:hAnsi="Arial" w:cs="Arial"/>
              </w:rPr>
              <w:t>100,0</w:t>
            </w:r>
          </w:p>
        </w:tc>
      </w:tr>
    </w:tbl>
    <w:p w:rsidR="00D849AA" w:rsidRDefault="00D849AA">
      <w:pPr>
        <w:jc w:val="left"/>
      </w:pPr>
    </w:p>
    <w:p w:rsidR="00D849AA" w:rsidRDefault="00EE6D95">
      <w:pPr>
        <w:pStyle w:val="Normal6"/>
      </w:pPr>
      <w:r>
        <w:t>Planirana sredstva po ovoj aktivnosti se odnose na usluge koje obavlja Financijska agencija (usluge platnog prometa i obavljanje poslova programske podrške sustavu nadzora potrošnje plinskog ulja za namjene u poljoprivredi, ribolovu i akvakulturi), Hrvatska narodna banka i HPB Invest.</w:t>
      </w:r>
    </w:p>
    <w:p w:rsidR="00D849AA" w:rsidRDefault="00EE6D95">
      <w:pPr>
        <w:pStyle w:val="Naslov6"/>
      </w:pPr>
      <w:r>
        <w:t>A539231 USLUGE BANAKA - NAKNADE HBOR-U</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F37627" w:rsidRDefault="00EE6D95">
            <w:pPr>
              <w:pStyle w:val="CellHeader"/>
            </w:pPr>
            <w:r w:rsidRPr="00F37627">
              <w:t>Naziv aktivnosti</w:t>
            </w:r>
          </w:p>
        </w:tc>
        <w:tc>
          <w:tcPr>
            <w:tcW w:w="1486" w:type="dxa"/>
            <w:shd w:val="clear" w:color="auto" w:fill="B5C0D8"/>
          </w:tcPr>
          <w:p w:rsidR="00D849AA" w:rsidRPr="00F37627" w:rsidRDefault="00EE6D95">
            <w:pPr>
              <w:pStyle w:val="CellHeader"/>
            </w:pPr>
            <w:r w:rsidRPr="00F37627">
              <w:t>Plan 2013.</w:t>
            </w:r>
          </w:p>
        </w:tc>
        <w:tc>
          <w:tcPr>
            <w:tcW w:w="1486" w:type="dxa"/>
            <w:shd w:val="clear" w:color="auto" w:fill="B5C0D8"/>
          </w:tcPr>
          <w:p w:rsidR="00D849AA" w:rsidRPr="00F37627" w:rsidRDefault="00EE6D95">
            <w:pPr>
              <w:pStyle w:val="CellHeader"/>
            </w:pPr>
            <w:r w:rsidRPr="00F37627">
              <w:t>Plan 2014.</w:t>
            </w:r>
          </w:p>
        </w:tc>
        <w:tc>
          <w:tcPr>
            <w:tcW w:w="1486" w:type="dxa"/>
            <w:shd w:val="clear" w:color="auto" w:fill="B5C0D8"/>
          </w:tcPr>
          <w:p w:rsidR="00D849AA" w:rsidRPr="00F37627" w:rsidRDefault="00EE6D95">
            <w:pPr>
              <w:pStyle w:val="CellHeader"/>
            </w:pPr>
            <w:r w:rsidRPr="00F37627">
              <w:t>Plan 2015.</w:t>
            </w:r>
          </w:p>
        </w:tc>
        <w:tc>
          <w:tcPr>
            <w:tcW w:w="1486" w:type="dxa"/>
            <w:shd w:val="clear" w:color="auto" w:fill="B5C0D8"/>
          </w:tcPr>
          <w:p w:rsidR="00D849AA" w:rsidRPr="00F37627" w:rsidRDefault="00EE6D95">
            <w:pPr>
              <w:pStyle w:val="CellHeader"/>
            </w:pPr>
            <w:r w:rsidRPr="00F37627">
              <w:t>Plan 2016.</w:t>
            </w:r>
          </w:p>
        </w:tc>
        <w:tc>
          <w:tcPr>
            <w:tcW w:w="1486" w:type="dxa"/>
            <w:shd w:val="clear" w:color="auto" w:fill="B5C0D8"/>
          </w:tcPr>
          <w:p w:rsidR="00D849AA" w:rsidRPr="00F37627" w:rsidRDefault="00EE6D95">
            <w:pPr>
              <w:pStyle w:val="CellHeader"/>
            </w:pPr>
            <w:r w:rsidRPr="00F37627">
              <w:t>Indeks 2014/2013</w:t>
            </w:r>
          </w:p>
        </w:tc>
      </w:tr>
      <w:tr w:rsidR="00D849AA">
        <w:trPr>
          <w:jc w:val="center"/>
        </w:trPr>
        <w:tc>
          <w:tcPr>
            <w:tcW w:w="1486" w:type="dxa"/>
          </w:tcPr>
          <w:p w:rsidR="00D849AA" w:rsidRPr="00F37627" w:rsidRDefault="00EE6D95">
            <w:pPr>
              <w:pStyle w:val="CellColumn"/>
            </w:pPr>
            <w:r w:rsidRPr="00F37627">
              <w:t>A539231</w:t>
            </w:r>
          </w:p>
        </w:tc>
        <w:tc>
          <w:tcPr>
            <w:tcW w:w="1486" w:type="dxa"/>
          </w:tcPr>
          <w:p w:rsidR="00D849AA" w:rsidRPr="00F37627" w:rsidRDefault="00EE6D95">
            <w:pPr>
              <w:rPr>
                <w:rFonts w:ascii="Arial" w:hAnsi="Arial" w:cs="Arial"/>
              </w:rPr>
            </w:pPr>
            <w:r w:rsidRPr="00F37627">
              <w:rPr>
                <w:rFonts w:ascii="Arial" w:hAnsi="Arial" w:cs="Arial"/>
              </w:rPr>
              <w:t>11.800.000</w:t>
            </w:r>
          </w:p>
        </w:tc>
        <w:tc>
          <w:tcPr>
            <w:tcW w:w="1486" w:type="dxa"/>
          </w:tcPr>
          <w:p w:rsidR="00D849AA" w:rsidRPr="00F37627" w:rsidRDefault="00EE6D95">
            <w:pPr>
              <w:rPr>
                <w:rFonts w:ascii="Arial" w:hAnsi="Arial" w:cs="Arial"/>
              </w:rPr>
            </w:pPr>
            <w:r w:rsidRPr="00F37627">
              <w:rPr>
                <w:rFonts w:ascii="Arial" w:hAnsi="Arial" w:cs="Arial"/>
              </w:rPr>
              <w:t>19.300.000</w:t>
            </w:r>
          </w:p>
        </w:tc>
        <w:tc>
          <w:tcPr>
            <w:tcW w:w="1486" w:type="dxa"/>
          </w:tcPr>
          <w:p w:rsidR="00D849AA" w:rsidRPr="00F37627" w:rsidRDefault="00EE6D95">
            <w:pPr>
              <w:rPr>
                <w:rFonts w:ascii="Arial" w:hAnsi="Arial" w:cs="Arial"/>
              </w:rPr>
            </w:pPr>
            <w:r w:rsidRPr="00F37627">
              <w:rPr>
                <w:rFonts w:ascii="Arial" w:hAnsi="Arial" w:cs="Arial"/>
              </w:rPr>
              <w:t>12.700.000</w:t>
            </w:r>
          </w:p>
        </w:tc>
        <w:tc>
          <w:tcPr>
            <w:tcW w:w="1486" w:type="dxa"/>
          </w:tcPr>
          <w:p w:rsidR="00D849AA" w:rsidRPr="00F37627" w:rsidRDefault="00EE6D95">
            <w:pPr>
              <w:rPr>
                <w:rFonts w:ascii="Arial" w:hAnsi="Arial" w:cs="Arial"/>
              </w:rPr>
            </w:pPr>
            <w:r w:rsidRPr="00F37627">
              <w:rPr>
                <w:rFonts w:ascii="Arial" w:hAnsi="Arial" w:cs="Arial"/>
              </w:rPr>
              <w:t>12.700.000</w:t>
            </w:r>
          </w:p>
        </w:tc>
        <w:tc>
          <w:tcPr>
            <w:tcW w:w="1486" w:type="dxa"/>
          </w:tcPr>
          <w:p w:rsidR="00D849AA" w:rsidRPr="00F37627" w:rsidRDefault="00EE6D95">
            <w:pPr>
              <w:rPr>
                <w:rFonts w:ascii="Arial" w:hAnsi="Arial" w:cs="Arial"/>
              </w:rPr>
            </w:pPr>
            <w:r w:rsidRPr="00F37627">
              <w:rPr>
                <w:rFonts w:ascii="Arial" w:hAnsi="Arial" w:cs="Arial"/>
              </w:rPr>
              <w:t>163,5</w:t>
            </w:r>
          </w:p>
        </w:tc>
      </w:tr>
    </w:tbl>
    <w:p w:rsidR="00D849AA" w:rsidRDefault="00D849AA">
      <w:pPr>
        <w:jc w:val="left"/>
      </w:pPr>
    </w:p>
    <w:p w:rsidR="00D849AA" w:rsidRDefault="00EE6D95">
      <w:pPr>
        <w:pStyle w:val="Normal6"/>
      </w:pPr>
      <w:r>
        <w:t xml:space="preserve">Planirana sredstva su namijenjena za podmirenje naknada za poslove koje obavlja HBOR za račun Vlade Republike Hrvatske temeljem zaključenog Ugovora o nalogu za obavljanje poslova osiguranja u ime i za račun RH od 04. ožujka 2008. godine, Ugovora u ime i za račun od 14. lipnja 1996. godine (Program zapošljavanja razvojačenih pripadnika HV-a), Ugovora u ime i za račun od 25. lipnja 1997. godine (Program kreditiranja poljodjelskih domaćinstava), Ugovora u ime i za račun od 09. lipnja 1998. godine (Program kreditiranja uzgoja i tova kvalitetne teladi u 1998. godini), Ugovora o otplati kredita po stanoobnovi i Ugovora o nalogu za obavljanje poslova ulaganja u Fondove za gospodarsku suradnju od 26. siječnja 2011. godine. </w:t>
      </w:r>
    </w:p>
    <w:p w:rsidR="00D849AA" w:rsidRDefault="00EE6D95">
      <w:pPr>
        <w:pStyle w:val="Normal6"/>
      </w:pPr>
      <w:r>
        <w:t>Također, planirana sredstva namijenjena su za podmirenje otpisa kredita za obnovu stambenih zgrada, stanova i gospodarskih objekata u ratom razrušenim područjima, sukladno Zakonu o obnovi (Narodne novine, br. 24/96, 54/96, 87/96, 57/2000, 38/2009, 45/2011 i 51/2013) i Naputku o načinu i postupku otpisa kredita za obnovu stambenih zgrada i stanova (Narodne novine, br. 88/96 i 3/2001).</w:t>
      </w:r>
    </w:p>
    <w:p w:rsidR="00F37627" w:rsidRDefault="00F37627">
      <w:pPr>
        <w:pStyle w:val="Normal6"/>
      </w:pPr>
    </w:p>
    <w:p w:rsidR="00F37627" w:rsidRDefault="00F37627" w:rsidP="00F37627">
      <w:pPr>
        <w:pStyle w:val="Naslov4"/>
      </w:pPr>
      <w:r>
        <w:t>OBRAZLOŽENJE PROGRAMA</w:t>
      </w:r>
    </w:p>
    <w:p w:rsidR="00D849AA" w:rsidRDefault="00EE6D95">
      <w:pPr>
        <w:pStyle w:val="Naslov5"/>
      </w:pPr>
      <w:r>
        <w:t>2204 FINANCIRANJE DECENTRALIZIRANIH FUNKCIJA</w:t>
      </w:r>
    </w:p>
    <w:tbl>
      <w:tblPr>
        <w:tblStyle w:val="Reetkatablice"/>
        <w:tblW w:w="0" w:type="auto"/>
        <w:jc w:val="center"/>
        <w:tblLook w:val="04A0" w:firstRow="1" w:lastRow="0" w:firstColumn="1" w:lastColumn="0" w:noHBand="0" w:noVBand="1"/>
      </w:tblPr>
      <w:tblGrid>
        <w:gridCol w:w="1486"/>
        <w:gridCol w:w="1496"/>
        <w:gridCol w:w="1496"/>
        <w:gridCol w:w="1496"/>
        <w:gridCol w:w="1496"/>
        <w:gridCol w:w="1486"/>
      </w:tblGrid>
      <w:tr w:rsidR="00D849AA">
        <w:trPr>
          <w:jc w:val="center"/>
        </w:trPr>
        <w:tc>
          <w:tcPr>
            <w:tcW w:w="1486" w:type="dxa"/>
            <w:shd w:val="clear" w:color="auto" w:fill="B5C0D8"/>
          </w:tcPr>
          <w:p w:rsidR="00D849AA" w:rsidRPr="00F37627" w:rsidRDefault="00D849AA">
            <w:pPr>
              <w:pStyle w:val="CellHeader"/>
            </w:pPr>
          </w:p>
        </w:tc>
        <w:tc>
          <w:tcPr>
            <w:tcW w:w="1486" w:type="dxa"/>
            <w:shd w:val="clear" w:color="auto" w:fill="B5C0D8"/>
          </w:tcPr>
          <w:p w:rsidR="00D849AA" w:rsidRPr="00F37627" w:rsidRDefault="00EE6D95">
            <w:pPr>
              <w:pStyle w:val="CellHeader"/>
            </w:pPr>
            <w:r w:rsidRPr="00F37627">
              <w:t>Plan 2013.</w:t>
            </w:r>
          </w:p>
        </w:tc>
        <w:tc>
          <w:tcPr>
            <w:tcW w:w="1486" w:type="dxa"/>
            <w:shd w:val="clear" w:color="auto" w:fill="B5C0D8"/>
          </w:tcPr>
          <w:p w:rsidR="00D849AA" w:rsidRPr="00F37627" w:rsidRDefault="00EE6D95">
            <w:pPr>
              <w:pStyle w:val="CellHeader"/>
            </w:pPr>
            <w:r w:rsidRPr="00F37627">
              <w:t>Plan 2014.</w:t>
            </w:r>
          </w:p>
        </w:tc>
        <w:tc>
          <w:tcPr>
            <w:tcW w:w="1486" w:type="dxa"/>
            <w:shd w:val="clear" w:color="auto" w:fill="B5C0D8"/>
          </w:tcPr>
          <w:p w:rsidR="00D849AA" w:rsidRPr="00F37627" w:rsidRDefault="00EE6D95">
            <w:pPr>
              <w:pStyle w:val="CellHeader"/>
            </w:pPr>
            <w:r w:rsidRPr="00F37627">
              <w:t>Plan 2015.</w:t>
            </w:r>
          </w:p>
        </w:tc>
        <w:tc>
          <w:tcPr>
            <w:tcW w:w="1486" w:type="dxa"/>
            <w:shd w:val="clear" w:color="auto" w:fill="B5C0D8"/>
          </w:tcPr>
          <w:p w:rsidR="00D849AA" w:rsidRPr="00F37627" w:rsidRDefault="00EE6D95">
            <w:pPr>
              <w:pStyle w:val="CellHeader"/>
            </w:pPr>
            <w:r w:rsidRPr="00F37627">
              <w:t>Plan 2016.</w:t>
            </w:r>
          </w:p>
        </w:tc>
        <w:tc>
          <w:tcPr>
            <w:tcW w:w="1486" w:type="dxa"/>
            <w:shd w:val="clear" w:color="auto" w:fill="B5C0D8"/>
          </w:tcPr>
          <w:p w:rsidR="00D849AA" w:rsidRPr="00F37627" w:rsidRDefault="00EE6D95">
            <w:pPr>
              <w:pStyle w:val="CellHeader"/>
            </w:pPr>
            <w:r w:rsidRPr="00F37627">
              <w:t>Indeks 2014/2013</w:t>
            </w:r>
          </w:p>
        </w:tc>
      </w:tr>
      <w:tr w:rsidR="00D849AA">
        <w:trPr>
          <w:jc w:val="center"/>
        </w:trPr>
        <w:tc>
          <w:tcPr>
            <w:tcW w:w="1486" w:type="dxa"/>
          </w:tcPr>
          <w:p w:rsidR="00D849AA" w:rsidRPr="00F37627" w:rsidRDefault="00EE6D95">
            <w:pPr>
              <w:pStyle w:val="CellColumn"/>
            </w:pPr>
            <w:r w:rsidRPr="00F37627">
              <w:t>2204</w:t>
            </w:r>
          </w:p>
        </w:tc>
        <w:tc>
          <w:tcPr>
            <w:tcW w:w="1486" w:type="dxa"/>
          </w:tcPr>
          <w:p w:rsidR="00D849AA" w:rsidRPr="00F37627" w:rsidRDefault="00EE6D95">
            <w:pPr>
              <w:rPr>
                <w:rFonts w:ascii="Arial" w:hAnsi="Arial" w:cs="Arial"/>
              </w:rPr>
            </w:pPr>
            <w:r w:rsidRPr="00F37627">
              <w:rPr>
                <w:rFonts w:ascii="Arial" w:hAnsi="Arial" w:cs="Arial"/>
              </w:rPr>
              <w:t>1.270.000.000</w:t>
            </w:r>
          </w:p>
        </w:tc>
        <w:tc>
          <w:tcPr>
            <w:tcW w:w="1486" w:type="dxa"/>
          </w:tcPr>
          <w:p w:rsidR="00D849AA" w:rsidRPr="00F37627" w:rsidRDefault="00EE6D95">
            <w:pPr>
              <w:rPr>
                <w:rFonts w:ascii="Arial" w:hAnsi="Arial" w:cs="Arial"/>
              </w:rPr>
            </w:pPr>
            <w:r w:rsidRPr="00F37627">
              <w:rPr>
                <w:rFonts w:ascii="Arial" w:hAnsi="Arial" w:cs="Arial"/>
              </w:rPr>
              <w:t>1.270.000.000</w:t>
            </w:r>
          </w:p>
        </w:tc>
        <w:tc>
          <w:tcPr>
            <w:tcW w:w="1486" w:type="dxa"/>
          </w:tcPr>
          <w:p w:rsidR="00D849AA" w:rsidRPr="00F37627" w:rsidRDefault="00EE6D95">
            <w:pPr>
              <w:rPr>
                <w:rFonts w:ascii="Arial" w:hAnsi="Arial" w:cs="Arial"/>
              </w:rPr>
            </w:pPr>
            <w:r w:rsidRPr="00F37627">
              <w:rPr>
                <w:rFonts w:ascii="Arial" w:hAnsi="Arial" w:cs="Arial"/>
              </w:rPr>
              <w:t>1.270.000.000</w:t>
            </w:r>
          </w:p>
        </w:tc>
        <w:tc>
          <w:tcPr>
            <w:tcW w:w="1486" w:type="dxa"/>
          </w:tcPr>
          <w:p w:rsidR="00D849AA" w:rsidRPr="00F37627" w:rsidRDefault="00EE6D95">
            <w:pPr>
              <w:rPr>
                <w:rFonts w:ascii="Arial" w:hAnsi="Arial" w:cs="Arial"/>
              </w:rPr>
            </w:pPr>
            <w:r w:rsidRPr="00F37627">
              <w:rPr>
                <w:rFonts w:ascii="Arial" w:hAnsi="Arial" w:cs="Arial"/>
              </w:rPr>
              <w:t>1.270.000.000</w:t>
            </w:r>
          </w:p>
        </w:tc>
        <w:tc>
          <w:tcPr>
            <w:tcW w:w="1486" w:type="dxa"/>
          </w:tcPr>
          <w:p w:rsidR="00D849AA" w:rsidRPr="00F37627" w:rsidRDefault="00EE6D95">
            <w:pPr>
              <w:rPr>
                <w:rFonts w:ascii="Arial" w:hAnsi="Arial" w:cs="Arial"/>
              </w:rPr>
            </w:pPr>
            <w:r w:rsidRPr="00F37627">
              <w:rPr>
                <w:rFonts w:ascii="Arial" w:hAnsi="Arial" w:cs="Arial"/>
              </w:rPr>
              <w:t>100,0</w:t>
            </w:r>
          </w:p>
        </w:tc>
      </w:tr>
    </w:tbl>
    <w:p w:rsidR="00D849AA" w:rsidRDefault="00EE6D95">
      <w:pPr>
        <w:pStyle w:val="Naslov6"/>
      </w:pPr>
      <w:r>
        <w:lastRenderedPageBreak/>
        <w:t>Opis programa</w:t>
      </w:r>
    </w:p>
    <w:p w:rsidR="00D849AA" w:rsidRDefault="00EE6D95">
      <w:pPr>
        <w:pStyle w:val="Normal5"/>
      </w:pPr>
      <w:r>
        <w:t xml:space="preserve">Decentralizirane funkcije su rashodi koji su posebnim zakonima za osnovno i srednje školstvo, socijalnu skrb, zdravstvo i vatrogastvo preneseni na jedinice lokalne i područne (regionalne) samouprave, a financiraju se iz dodatnog udjela poreza na dohodak i iz pomoći izravnanja za decentralizirane funkcije. Dodatni udio u porezu na dohodak propisan je Zakonom o financiranju jedinica lokalne i područne (regionalne) samouprave. Pomoći izravnanja za decentralizirane funkcije planiraju se u državnom proračunu Republike Hrvatske za pomoć jedinicama lokalne i područne (regionalne) samouprave (nositeljima financiranja preuzetih decentraliziranih funkcija) za financiranje decentraliziranih funkcija kada prihodi ostvareni iz dodatnog udjela u porezu na dohodak nisu dovoljni za financiranje minimalnih financijskih standarda.  </w:t>
      </w:r>
    </w:p>
    <w:p w:rsidR="00D849AA" w:rsidRDefault="00EE6D95">
      <w:pPr>
        <w:pStyle w:val="Normal5"/>
      </w:pPr>
      <w:r>
        <w:t>Uredbom Vlade RH utvrđuje se način izračuna iznosa pomoći izravnanja za decentralizirane funkcije jedinica lokalne i područne (regionalne) samouprave, iz državnog proračuna Republike Hrvatske za određenu godinu, prema posebnim zakonima i odlukama Vlade RH o kriterijima i mjerilima za osiguravanje minimalnog financijskog standarda javnih potreba u djelatnostima osnovnog i srednjeg školstva, zdravstva i socijalne skrbi te vatrogastva.</w:t>
      </w:r>
    </w:p>
    <w:p w:rsidR="00D849AA" w:rsidRDefault="00EE6D95">
      <w:pPr>
        <w:pStyle w:val="Naslov6"/>
      </w:pPr>
      <w:r>
        <w:t>Zakonske i druge pravne osnove</w:t>
      </w:r>
    </w:p>
    <w:p w:rsidR="00D849AA" w:rsidRDefault="00EE6D95">
      <w:pPr>
        <w:pStyle w:val="Normal5"/>
      </w:pPr>
      <w:r>
        <w:t xml:space="preserve">- članak 45.a i 45.b Zakona o financiranju jedinica lokalne i područne (regionalne) samouprave (Narodne novine, br. 117/93, 69/97, 33/00, 73/00, 127/00, 59/01, 107/01, 117/01, 150/02, 147/03, 132/06, 26/07 – Odluka Ustavnog suda Republike Hrvatske, 73/08 i 25/12),  </w:t>
      </w:r>
    </w:p>
    <w:p w:rsidR="00D849AA" w:rsidRDefault="00EE6D95">
      <w:pPr>
        <w:pStyle w:val="Normal5"/>
      </w:pPr>
      <w:r>
        <w:t xml:space="preserve">- uredba Vlade RH o načinu izračuna iznosa pomoći izravnanja za decentralizirane funkcije jedinica lokalne i područne (regionalne) samouprave za određenu godinu i  </w:t>
      </w:r>
    </w:p>
    <w:p w:rsidR="00D849AA" w:rsidRDefault="00EE6D95">
      <w:pPr>
        <w:pStyle w:val="Normal5"/>
      </w:pPr>
      <w:r>
        <w:t>- odluke Vlade RH o minimalnim financijskim standardima u djelatnostima osnovnog i srednjeg školstva, socijalne skrbi, zdravstva i vatrogastva za određenu godinu.</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Cilj 1. Osigurati redovno izvršavanje decentraliziranih funkcija županijama, Gradu Zagrebu, gradovima i općinama (korisnicima pomoći izravnanja) do visine sredstva (bilančnih prava) potrebnih za osiguravanje minimalnih financijskih standarda utvrđenih u odlukama o minimalnim standardima i uredbom Vlade RH za određenu godinu</w:t>
      </w:r>
    </w:p>
    <w:p w:rsidR="00D849AA" w:rsidRDefault="00EE6D95">
      <w:pPr>
        <w:pStyle w:val="Normal6"/>
      </w:pPr>
      <w:r>
        <w:t>Korisnici pomoći izravnanja ostvaruju pravo na sredstva iz državnog proračuna Republike Hrvatske ako iz dodatnog udjela poreza na dohodak, propisanog  Zakonom o financiranju jedinica lokalne i područne (regionalne) samouprave, ne ostvare sredstva do visine sredstava (bilančnih prava) potrebnih za osiguravanje minimalnih financijskih standarda u pojedinoj decentraliziranoj funkciji za određenu godinu, odnosno do iznosa prenesene obveze za decentralizirane funkcije utvrđenog odlukama Vlade RH o minimalnim financijskim standardima i navedene uredbe Vlade RH za određenu godinu.</w:t>
      </w:r>
    </w:p>
    <w:p w:rsidR="00F37627" w:rsidRDefault="00F37627">
      <w:pPr>
        <w:pStyle w:val="Normal6"/>
      </w:pPr>
    </w:p>
    <w:p w:rsidR="00F37627" w:rsidRDefault="00F37627" w:rsidP="00F37627">
      <w:pPr>
        <w:pStyle w:val="Naslov4"/>
      </w:pPr>
      <w:r>
        <w:lastRenderedPageBreak/>
        <w:t>OBRAZLOŽENJE PROGRAMA</w:t>
      </w:r>
    </w:p>
    <w:p w:rsidR="00D849AA" w:rsidRDefault="00EE6D95">
      <w:pPr>
        <w:pStyle w:val="Naslov5"/>
      </w:pPr>
      <w:r>
        <w:t>2205 POMOĆI LOKALNOJ I PODRUČNOJ (REGIONALNOJ) SAMOUPRAVI</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2205</w:t>
            </w:r>
          </w:p>
        </w:tc>
        <w:tc>
          <w:tcPr>
            <w:tcW w:w="1486" w:type="dxa"/>
          </w:tcPr>
          <w:p w:rsidR="00D849AA" w:rsidRDefault="00EE6D95">
            <w:r>
              <w:t>310.064.144</w:t>
            </w:r>
          </w:p>
        </w:tc>
        <w:tc>
          <w:tcPr>
            <w:tcW w:w="1486" w:type="dxa"/>
          </w:tcPr>
          <w:p w:rsidR="00D849AA" w:rsidRDefault="00EE6D95">
            <w:r>
              <w:t>309.981.944</w:t>
            </w:r>
          </w:p>
        </w:tc>
        <w:tc>
          <w:tcPr>
            <w:tcW w:w="1486" w:type="dxa"/>
          </w:tcPr>
          <w:p w:rsidR="00D849AA" w:rsidRDefault="00EE6D95">
            <w:r>
              <w:t>309.981.944</w:t>
            </w:r>
          </w:p>
        </w:tc>
        <w:tc>
          <w:tcPr>
            <w:tcW w:w="1486" w:type="dxa"/>
          </w:tcPr>
          <w:p w:rsidR="00D849AA" w:rsidRDefault="00EE6D95">
            <w:r>
              <w:t>310.843.759</w:t>
            </w:r>
          </w:p>
        </w:tc>
        <w:tc>
          <w:tcPr>
            <w:tcW w:w="1486" w:type="dxa"/>
          </w:tcPr>
          <w:p w:rsidR="00D849AA" w:rsidRDefault="00EE6D95">
            <w:r>
              <w:t>100,0</w:t>
            </w:r>
          </w:p>
        </w:tc>
      </w:tr>
    </w:tbl>
    <w:p w:rsidR="00D849AA" w:rsidRDefault="00D849AA">
      <w:pPr>
        <w:jc w:val="left"/>
      </w:pPr>
    </w:p>
    <w:p w:rsidR="00D849AA" w:rsidRDefault="00EE6D95">
      <w:pPr>
        <w:pStyle w:val="Naslov6"/>
      </w:pPr>
      <w:r>
        <w:t>Opis programa</w:t>
      </w:r>
    </w:p>
    <w:p w:rsidR="00D849AA" w:rsidRDefault="00EE6D95">
      <w:pPr>
        <w:pStyle w:val="Normal5"/>
      </w:pPr>
      <w:r>
        <w:t xml:space="preserve">Ovaj program se sastoji od dvije vrste pomoći jedinicama lokalne i područne (regionalne) samouprave:  </w:t>
      </w:r>
    </w:p>
    <w:p w:rsidR="00D849AA" w:rsidRPr="00F37627" w:rsidRDefault="00EE6D95">
      <w:pPr>
        <w:pStyle w:val="Normal5"/>
        <w:rPr>
          <w:b/>
        </w:rPr>
      </w:pPr>
      <w:r w:rsidRPr="00F37627">
        <w:rPr>
          <w:b/>
        </w:rPr>
        <w:t xml:space="preserve">1. Tekuće pomoći županijama te općinama i gradovima   </w:t>
      </w:r>
    </w:p>
    <w:p w:rsidR="00D849AA" w:rsidRDefault="00EE6D95">
      <w:pPr>
        <w:pStyle w:val="Normal5"/>
      </w:pPr>
      <w:r>
        <w:t xml:space="preserve">Tekuće pomoći županijama te općinama i gradovima odnose se na korekciju fiskalnog kapaciteta i poticanje ulaganja u razvojne programe županija te općina i gradova na područjima posebne državne skrbi (prve i druge skupine), što u konačnici pridonosi kvalitetnijem izvršavanju njihovih zakonom propisanih funkcija.  </w:t>
      </w:r>
    </w:p>
    <w:p w:rsidR="00D849AA" w:rsidRPr="00F37627" w:rsidRDefault="00EE6D95">
      <w:pPr>
        <w:pStyle w:val="Normal5"/>
        <w:rPr>
          <w:b/>
        </w:rPr>
      </w:pPr>
      <w:r w:rsidRPr="00F37627">
        <w:rPr>
          <w:b/>
        </w:rPr>
        <w:t xml:space="preserve">2. Pomoći područjima od posebnog državnog interesa  </w:t>
      </w:r>
    </w:p>
    <w:p w:rsidR="00D849AA" w:rsidRDefault="00EE6D95">
      <w:pPr>
        <w:pStyle w:val="Normal5"/>
      </w:pPr>
      <w:r>
        <w:t>Odredbama Zakona o izmjenama Zakona o financiranju jedinica lokalne i područne (regionalne) samouprave iz 2006. godine porez na dobit postao je isključivo prihod državnog proračuna. Da bi se nadoknadio gubitak prihoda od poreza na dobit koji je jedinica lokalne samouprave na područjima posebne državne skrbi i brdsko-planinskim područjima ostvarivala prije navedenih izmjena Zakona, predloženo je uvođenje pomoći tim jedinicama iz državnog proračuna u visini iznosa ostvarenih prihoda od poreza na dobit na njihovom području, s time da iznos tih pomoći u 2014. godini ovisi o indeksu razvijenosti jedinice lokalne samouprave.</w:t>
      </w:r>
    </w:p>
    <w:p w:rsidR="00BF0142" w:rsidRDefault="00BF0142">
      <w:pPr>
        <w:pStyle w:val="Normal5"/>
      </w:pPr>
    </w:p>
    <w:p w:rsidR="00D849AA" w:rsidRDefault="00EE6D95">
      <w:pPr>
        <w:pStyle w:val="Naslov6"/>
      </w:pPr>
      <w:r>
        <w:t>Zakonske i druge pravne osnove</w:t>
      </w:r>
    </w:p>
    <w:p w:rsidR="00D849AA" w:rsidRDefault="00EE6D95">
      <w:pPr>
        <w:pStyle w:val="Normal5"/>
      </w:pPr>
      <w:r>
        <w:t xml:space="preserve">- Zakon o financiranju jedinica lokalne i područne (regionalne) samouprave (Narodne novine, br. 117/93, 69/97, 33/00, 73/00, 127/00, 59/01, 107/01, 117/01, 150/02, 147/03, 132/06, 26/07 – Odluka Ustavnog suda Republike Hrvatske, 73/08 i 25/12),  </w:t>
      </w:r>
    </w:p>
    <w:p w:rsidR="00D849AA" w:rsidRDefault="00EE6D95">
      <w:pPr>
        <w:pStyle w:val="Normal5"/>
      </w:pPr>
      <w:r>
        <w:t xml:space="preserve">- Zakon o područjima posebne državne skrbi (Narodne novine, br. 86/08, 57/11 i 51/13), </w:t>
      </w:r>
    </w:p>
    <w:p w:rsidR="00D849AA" w:rsidRDefault="00EE6D95">
      <w:pPr>
        <w:pStyle w:val="Normal5"/>
      </w:pPr>
      <w:r>
        <w:t xml:space="preserve">- Zakon o brdsko-planinskim područjima (Narodne novine, br. 12/02, 32/02, 117/03, 42/05, 90/05 i 80/08),   </w:t>
      </w:r>
    </w:p>
    <w:p w:rsidR="00D849AA" w:rsidRDefault="00EE6D95">
      <w:pPr>
        <w:pStyle w:val="Normal5"/>
      </w:pPr>
      <w:r>
        <w:t xml:space="preserve">- Zakon o izvršavanju državnog proračuna Republike Hrvatske za određenu godinu i </w:t>
      </w:r>
    </w:p>
    <w:p w:rsidR="00D849AA" w:rsidRDefault="00EE6D95">
      <w:pPr>
        <w:pStyle w:val="Normal5"/>
      </w:pPr>
      <w:r>
        <w:t>- i drugi posebni propisi.</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Cilj 1. Korekcija fiskalnog kapaciteta i poticanje ulaganja u razvojne programe županija, gradova i općina</w:t>
      </w:r>
    </w:p>
    <w:p w:rsidR="00D849AA" w:rsidRDefault="00EE6D95">
      <w:pPr>
        <w:pStyle w:val="Normal6"/>
      </w:pPr>
      <w:r>
        <w:t xml:space="preserve">Visina iznosa sredstava pomoći županijama te općinama i gradovima na područjima posebne državne skrbi (prve i druge skupine) planirana je u iznosu koji odgovara razlici </w:t>
      </w:r>
      <w:r>
        <w:lastRenderedPageBreak/>
        <w:t>između iznosa pomoći sredstava izračunatih na temelju zakonom propisanih kriterija i procijenjenog iznosa povrata poreza na dohodak po godišnjoj prijavi građana na području te jedinice, a koji se umjesto te jedinice vraća na teret prihoda koji pripada državnom proračunu.</w:t>
      </w:r>
    </w:p>
    <w:p w:rsidR="00D849AA" w:rsidRDefault="00EE6D95">
      <w:pPr>
        <w:pStyle w:val="Naslov7"/>
      </w:pPr>
      <w:r>
        <w:t xml:space="preserve">Cilj 2. Jedinicama lokalne samouprave na područjima posebne državne skrbi i brdsko-planinskim područjima nadomjestiti izgubljene prihode od poreza na dobit ostvarene na njihovom području </w:t>
      </w:r>
    </w:p>
    <w:p w:rsidR="00D849AA" w:rsidRDefault="00EE6D95">
      <w:pPr>
        <w:pStyle w:val="Normal6"/>
      </w:pPr>
      <w:r>
        <w:t>Novom raspodjelom poreznih prihoda, sukladno odredbama Zakona o izmjenama Zakona o financiranju jedinica lokalne i područne (regionalne) samouprave iz 2006. godine, porez na dobit je postao u cijelosti prihod državnog proračuna. U namjeri da se jedinicama lokalne samouprave na područjima posebne državne skrbi i brdsko-planinskim područjima nadoknadi gubitak prihoda s te osnove, predloženo je uvođenje pomoći iz državnog proračuna tim jedinicama u iznosu ostvarenih prihoda od poreza na dobit na njihovom području ovisno o indeksu razvijenosti jedinice lokalne samouprave.</w:t>
      </w:r>
    </w:p>
    <w:p w:rsidR="00D849AA" w:rsidRDefault="00EE6D95">
      <w:pPr>
        <w:pStyle w:val="Naslov5"/>
      </w:pPr>
      <w:r>
        <w:t>Procjena i ishodište potrebnih sredstava za značajnije aktivnosti/projekte</w:t>
      </w:r>
    </w:p>
    <w:p w:rsidR="00D849AA" w:rsidRDefault="00EE6D95">
      <w:pPr>
        <w:pStyle w:val="Naslov6"/>
      </w:pPr>
      <w:r>
        <w:t>A557036 POMOĆI PODRUČJIMA OD POSEBNOG DRŽAVNOG INTERESA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rsidRPr="00F37627">
        <w:trPr>
          <w:jc w:val="center"/>
        </w:trPr>
        <w:tc>
          <w:tcPr>
            <w:tcW w:w="1486" w:type="dxa"/>
            <w:shd w:val="clear" w:color="auto" w:fill="B5C0D8"/>
          </w:tcPr>
          <w:p w:rsidR="00D849AA" w:rsidRPr="00F37627" w:rsidRDefault="00EE6D95">
            <w:pPr>
              <w:pStyle w:val="CellHeader"/>
            </w:pPr>
            <w:r w:rsidRPr="00F37627">
              <w:t>Naziv aktivnosti</w:t>
            </w:r>
          </w:p>
        </w:tc>
        <w:tc>
          <w:tcPr>
            <w:tcW w:w="1486" w:type="dxa"/>
            <w:shd w:val="clear" w:color="auto" w:fill="B5C0D8"/>
          </w:tcPr>
          <w:p w:rsidR="00D849AA" w:rsidRPr="00F37627" w:rsidRDefault="00EE6D95">
            <w:pPr>
              <w:pStyle w:val="CellHeader"/>
            </w:pPr>
            <w:r w:rsidRPr="00F37627">
              <w:t>Plan 2013.</w:t>
            </w:r>
          </w:p>
        </w:tc>
        <w:tc>
          <w:tcPr>
            <w:tcW w:w="1486" w:type="dxa"/>
            <w:shd w:val="clear" w:color="auto" w:fill="B5C0D8"/>
          </w:tcPr>
          <w:p w:rsidR="00D849AA" w:rsidRPr="00F37627" w:rsidRDefault="00EE6D95">
            <w:pPr>
              <w:pStyle w:val="CellHeader"/>
            </w:pPr>
            <w:r w:rsidRPr="00F37627">
              <w:t>Plan 2014.</w:t>
            </w:r>
          </w:p>
        </w:tc>
        <w:tc>
          <w:tcPr>
            <w:tcW w:w="1486" w:type="dxa"/>
            <w:shd w:val="clear" w:color="auto" w:fill="B5C0D8"/>
          </w:tcPr>
          <w:p w:rsidR="00D849AA" w:rsidRPr="00F37627" w:rsidRDefault="00EE6D95">
            <w:pPr>
              <w:pStyle w:val="CellHeader"/>
            </w:pPr>
            <w:r w:rsidRPr="00F37627">
              <w:t>Plan 2015.</w:t>
            </w:r>
          </w:p>
        </w:tc>
        <w:tc>
          <w:tcPr>
            <w:tcW w:w="1486" w:type="dxa"/>
            <w:shd w:val="clear" w:color="auto" w:fill="B5C0D8"/>
          </w:tcPr>
          <w:p w:rsidR="00D849AA" w:rsidRPr="00F37627" w:rsidRDefault="00EE6D95">
            <w:pPr>
              <w:pStyle w:val="CellHeader"/>
            </w:pPr>
            <w:r w:rsidRPr="00F37627">
              <w:t>Plan 2016.</w:t>
            </w:r>
          </w:p>
        </w:tc>
        <w:tc>
          <w:tcPr>
            <w:tcW w:w="1486" w:type="dxa"/>
            <w:shd w:val="clear" w:color="auto" w:fill="B5C0D8"/>
          </w:tcPr>
          <w:p w:rsidR="00D849AA" w:rsidRPr="00F37627" w:rsidRDefault="00EE6D95">
            <w:pPr>
              <w:pStyle w:val="CellHeader"/>
            </w:pPr>
            <w:r w:rsidRPr="00F37627">
              <w:t>Indeks 2014/2013</w:t>
            </w:r>
          </w:p>
        </w:tc>
      </w:tr>
      <w:tr w:rsidR="00D849AA" w:rsidRPr="00F37627">
        <w:trPr>
          <w:jc w:val="center"/>
        </w:trPr>
        <w:tc>
          <w:tcPr>
            <w:tcW w:w="1486" w:type="dxa"/>
          </w:tcPr>
          <w:p w:rsidR="00D849AA" w:rsidRPr="00F37627" w:rsidRDefault="00EE6D95">
            <w:pPr>
              <w:pStyle w:val="CellColumn"/>
            </w:pPr>
            <w:r w:rsidRPr="00F37627">
              <w:t>A557036</w:t>
            </w:r>
          </w:p>
        </w:tc>
        <w:tc>
          <w:tcPr>
            <w:tcW w:w="1486" w:type="dxa"/>
          </w:tcPr>
          <w:p w:rsidR="00D849AA" w:rsidRPr="00F37627" w:rsidRDefault="00EE6D95">
            <w:pPr>
              <w:rPr>
                <w:rFonts w:ascii="Arial" w:hAnsi="Arial" w:cs="Arial"/>
              </w:rPr>
            </w:pPr>
            <w:r w:rsidRPr="00F37627">
              <w:rPr>
                <w:rFonts w:ascii="Arial" w:hAnsi="Arial" w:cs="Arial"/>
              </w:rPr>
              <w:t>223.800.548</w:t>
            </w:r>
          </w:p>
        </w:tc>
        <w:tc>
          <w:tcPr>
            <w:tcW w:w="1486" w:type="dxa"/>
          </w:tcPr>
          <w:p w:rsidR="00D849AA" w:rsidRPr="00F37627" w:rsidRDefault="00EE6D95">
            <w:pPr>
              <w:rPr>
                <w:rFonts w:ascii="Arial" w:hAnsi="Arial" w:cs="Arial"/>
              </w:rPr>
            </w:pPr>
            <w:r w:rsidRPr="00F37627">
              <w:rPr>
                <w:rFonts w:ascii="Arial" w:hAnsi="Arial" w:cs="Arial"/>
              </w:rPr>
              <w:t>223.800.548</w:t>
            </w:r>
          </w:p>
        </w:tc>
        <w:tc>
          <w:tcPr>
            <w:tcW w:w="1486" w:type="dxa"/>
          </w:tcPr>
          <w:p w:rsidR="00D849AA" w:rsidRPr="00F37627" w:rsidRDefault="00EE6D95">
            <w:pPr>
              <w:rPr>
                <w:rFonts w:ascii="Arial" w:hAnsi="Arial" w:cs="Arial"/>
              </w:rPr>
            </w:pPr>
            <w:r w:rsidRPr="00F37627">
              <w:rPr>
                <w:rFonts w:ascii="Arial" w:hAnsi="Arial" w:cs="Arial"/>
              </w:rPr>
              <w:t>223.800.548</w:t>
            </w:r>
          </w:p>
        </w:tc>
        <w:tc>
          <w:tcPr>
            <w:tcW w:w="1486" w:type="dxa"/>
          </w:tcPr>
          <w:p w:rsidR="00D849AA" w:rsidRPr="00F37627" w:rsidRDefault="00EE6D95">
            <w:pPr>
              <w:rPr>
                <w:rFonts w:ascii="Arial" w:hAnsi="Arial" w:cs="Arial"/>
              </w:rPr>
            </w:pPr>
            <w:r w:rsidRPr="00F37627">
              <w:rPr>
                <w:rFonts w:ascii="Arial" w:hAnsi="Arial" w:cs="Arial"/>
              </w:rPr>
              <w:t>223.800.548</w:t>
            </w:r>
          </w:p>
        </w:tc>
        <w:tc>
          <w:tcPr>
            <w:tcW w:w="1486" w:type="dxa"/>
          </w:tcPr>
          <w:p w:rsidR="00D849AA" w:rsidRPr="00F37627" w:rsidRDefault="00EE6D95">
            <w:pPr>
              <w:rPr>
                <w:rFonts w:ascii="Arial" w:hAnsi="Arial" w:cs="Arial"/>
              </w:rPr>
            </w:pPr>
            <w:r w:rsidRPr="00F37627">
              <w:rPr>
                <w:rFonts w:ascii="Arial" w:hAnsi="Arial" w:cs="Arial"/>
              </w:rPr>
              <w:t>100,0</w:t>
            </w:r>
          </w:p>
        </w:tc>
      </w:tr>
    </w:tbl>
    <w:p w:rsidR="00D849AA" w:rsidRPr="00F37627" w:rsidRDefault="00D849AA">
      <w:pPr>
        <w:jc w:val="left"/>
        <w:rPr>
          <w:rFonts w:ascii="Arial" w:hAnsi="Arial" w:cs="Arial"/>
        </w:rPr>
      </w:pPr>
    </w:p>
    <w:p w:rsidR="00F37627" w:rsidRDefault="00EE6D95" w:rsidP="00F37627">
      <w:pPr>
        <w:pStyle w:val="Normal6"/>
      </w:pPr>
      <w:r>
        <w:t>Porezni prihodi s naslova poreza na dobit koji se ostvare na području jedinica lokalne samouprave koje imaju status područja posebne državne skrbi ili brdsko-planinskih područja, a koji prema odredbama Zakona o financiranju jedinica lokalne i područne (regionalne) samouprave pripadaju državnom proračunu, u 2014. godini će se tim jedinicama isplaćivati kao pomoć iz državnog proračuna uzimajući u obzir indeks razvijenosti jedinice lokalne samouprave sukladno posebnim propisima, odnosno sukladno odredbama Zakona o reginalnom razvoju Republike Hrvatske i sukladno odredbama Odluke Vlade RH o razvrstavanju jedinica lokalne i područne (regionalne) samouprave prema stupnju razvijenosti.</w:t>
      </w:r>
    </w:p>
    <w:p w:rsidR="00F37627" w:rsidRDefault="00F37627" w:rsidP="00F37627">
      <w:pPr>
        <w:pStyle w:val="Naslov4"/>
      </w:pPr>
      <w:r>
        <w:t>OBRAZLOŽENJE PROGRAMA</w:t>
      </w:r>
    </w:p>
    <w:p w:rsidR="00D849AA" w:rsidRDefault="00EE6D95">
      <w:pPr>
        <w:pStyle w:val="Naslov5"/>
      </w:pPr>
      <w:r>
        <w:t>2206 UPRAVLJANJE PRETPRISTUPNIM FONDOVIMA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F37627" w:rsidRDefault="00D849AA">
            <w:pPr>
              <w:pStyle w:val="CellHeader"/>
            </w:pPr>
          </w:p>
        </w:tc>
        <w:tc>
          <w:tcPr>
            <w:tcW w:w="1486" w:type="dxa"/>
            <w:shd w:val="clear" w:color="auto" w:fill="B5C0D8"/>
          </w:tcPr>
          <w:p w:rsidR="00D849AA" w:rsidRPr="00F37627" w:rsidRDefault="00EE6D95">
            <w:pPr>
              <w:pStyle w:val="CellHeader"/>
            </w:pPr>
            <w:r w:rsidRPr="00F37627">
              <w:t>Plan 2013.</w:t>
            </w:r>
          </w:p>
        </w:tc>
        <w:tc>
          <w:tcPr>
            <w:tcW w:w="1486" w:type="dxa"/>
            <w:shd w:val="clear" w:color="auto" w:fill="B5C0D8"/>
          </w:tcPr>
          <w:p w:rsidR="00D849AA" w:rsidRPr="00F37627" w:rsidRDefault="00EE6D95">
            <w:pPr>
              <w:pStyle w:val="CellHeader"/>
            </w:pPr>
            <w:r w:rsidRPr="00F37627">
              <w:t>Plan 2014.</w:t>
            </w:r>
          </w:p>
        </w:tc>
        <w:tc>
          <w:tcPr>
            <w:tcW w:w="1486" w:type="dxa"/>
            <w:shd w:val="clear" w:color="auto" w:fill="B5C0D8"/>
          </w:tcPr>
          <w:p w:rsidR="00D849AA" w:rsidRPr="00F37627" w:rsidRDefault="00EE6D95">
            <w:pPr>
              <w:pStyle w:val="CellHeader"/>
            </w:pPr>
            <w:r w:rsidRPr="00F37627">
              <w:t>Plan 2015.</w:t>
            </w:r>
          </w:p>
        </w:tc>
        <w:tc>
          <w:tcPr>
            <w:tcW w:w="1486" w:type="dxa"/>
            <w:shd w:val="clear" w:color="auto" w:fill="B5C0D8"/>
          </w:tcPr>
          <w:p w:rsidR="00D849AA" w:rsidRPr="00F37627" w:rsidRDefault="00EE6D95">
            <w:pPr>
              <w:pStyle w:val="CellHeader"/>
            </w:pPr>
            <w:r w:rsidRPr="00F37627">
              <w:t>Plan 2016.</w:t>
            </w:r>
          </w:p>
        </w:tc>
        <w:tc>
          <w:tcPr>
            <w:tcW w:w="1486" w:type="dxa"/>
            <w:shd w:val="clear" w:color="auto" w:fill="B5C0D8"/>
          </w:tcPr>
          <w:p w:rsidR="00D849AA" w:rsidRPr="00F37627" w:rsidRDefault="00EE6D95">
            <w:pPr>
              <w:pStyle w:val="CellHeader"/>
            </w:pPr>
            <w:r w:rsidRPr="00F37627">
              <w:t>Indeks 2014/2013</w:t>
            </w:r>
          </w:p>
        </w:tc>
      </w:tr>
      <w:tr w:rsidR="00D849AA">
        <w:trPr>
          <w:jc w:val="center"/>
        </w:trPr>
        <w:tc>
          <w:tcPr>
            <w:tcW w:w="1486" w:type="dxa"/>
          </w:tcPr>
          <w:p w:rsidR="00D849AA" w:rsidRPr="00F37627" w:rsidRDefault="00EE6D95">
            <w:pPr>
              <w:pStyle w:val="CellColumn"/>
            </w:pPr>
            <w:r w:rsidRPr="00F37627">
              <w:t>2206</w:t>
            </w:r>
          </w:p>
        </w:tc>
        <w:tc>
          <w:tcPr>
            <w:tcW w:w="1486" w:type="dxa"/>
          </w:tcPr>
          <w:p w:rsidR="00D849AA" w:rsidRPr="00F37627" w:rsidRDefault="00EE6D95">
            <w:pPr>
              <w:rPr>
                <w:rFonts w:ascii="Arial" w:hAnsi="Arial" w:cs="Arial"/>
              </w:rPr>
            </w:pPr>
            <w:r w:rsidRPr="00F37627">
              <w:rPr>
                <w:rFonts w:ascii="Arial" w:hAnsi="Arial" w:cs="Arial"/>
              </w:rPr>
              <w:t>103.833.300</w:t>
            </w:r>
          </w:p>
        </w:tc>
        <w:tc>
          <w:tcPr>
            <w:tcW w:w="1486" w:type="dxa"/>
          </w:tcPr>
          <w:p w:rsidR="00D849AA" w:rsidRPr="00F37627" w:rsidRDefault="00EE6D95">
            <w:pPr>
              <w:rPr>
                <w:rFonts w:ascii="Arial" w:hAnsi="Arial" w:cs="Arial"/>
              </w:rPr>
            </w:pPr>
            <w:r w:rsidRPr="00F37627">
              <w:rPr>
                <w:rFonts w:ascii="Arial" w:hAnsi="Arial" w:cs="Arial"/>
              </w:rPr>
              <w:t>83.821.231</w:t>
            </w:r>
          </w:p>
        </w:tc>
        <w:tc>
          <w:tcPr>
            <w:tcW w:w="1486" w:type="dxa"/>
          </w:tcPr>
          <w:p w:rsidR="00D849AA" w:rsidRPr="00F37627" w:rsidRDefault="00EE6D95">
            <w:pPr>
              <w:rPr>
                <w:rFonts w:ascii="Arial" w:hAnsi="Arial" w:cs="Arial"/>
              </w:rPr>
            </w:pPr>
            <w:r w:rsidRPr="00F37627">
              <w:rPr>
                <w:rFonts w:ascii="Arial" w:hAnsi="Arial" w:cs="Arial"/>
              </w:rPr>
              <w:t>7.779.250</w:t>
            </w:r>
          </w:p>
        </w:tc>
        <w:tc>
          <w:tcPr>
            <w:tcW w:w="1486" w:type="dxa"/>
          </w:tcPr>
          <w:p w:rsidR="00D849AA" w:rsidRPr="00F37627" w:rsidRDefault="00EE6D95">
            <w:pPr>
              <w:rPr>
                <w:rFonts w:ascii="Arial" w:hAnsi="Arial" w:cs="Arial"/>
              </w:rPr>
            </w:pPr>
            <w:r w:rsidRPr="00F37627">
              <w:rPr>
                <w:rFonts w:ascii="Arial" w:hAnsi="Arial" w:cs="Arial"/>
              </w:rPr>
              <w:t>8.100.000</w:t>
            </w:r>
          </w:p>
        </w:tc>
        <w:tc>
          <w:tcPr>
            <w:tcW w:w="1486" w:type="dxa"/>
          </w:tcPr>
          <w:p w:rsidR="00D849AA" w:rsidRPr="00F37627" w:rsidRDefault="00EE6D95">
            <w:pPr>
              <w:rPr>
                <w:rFonts w:ascii="Arial" w:hAnsi="Arial" w:cs="Arial"/>
              </w:rPr>
            </w:pPr>
            <w:r w:rsidRPr="00F37627">
              <w:rPr>
                <w:rFonts w:ascii="Arial" w:hAnsi="Arial" w:cs="Arial"/>
              </w:rPr>
              <w:t>80,7</w:t>
            </w:r>
          </w:p>
        </w:tc>
      </w:tr>
    </w:tbl>
    <w:p w:rsidR="00D849AA" w:rsidRDefault="00D849AA">
      <w:pPr>
        <w:jc w:val="left"/>
      </w:pPr>
    </w:p>
    <w:p w:rsidR="00D849AA" w:rsidRDefault="00EE6D95">
      <w:pPr>
        <w:pStyle w:val="Naslov6"/>
      </w:pPr>
      <w:r>
        <w:t>Opis programa</w:t>
      </w:r>
    </w:p>
    <w:p w:rsidR="00D849AA" w:rsidRDefault="00EE6D95">
      <w:pPr>
        <w:pStyle w:val="Normal5"/>
      </w:pPr>
      <w:r>
        <w:t xml:space="preserve">U procesu korištenja sredstava EU pomoći potrebno je osigurati njihovo zakonito trošenje kao i pružanje pomoći tijelima državne uprave i jedinicama lokalne samouprave u pripremi projektne dokumentacije. Program je povezan s posebnim ciljem 1.4. Jačanje kapaciteta za </w:t>
      </w:r>
      <w:r>
        <w:lastRenderedPageBreak/>
        <w:t>korištenje fondova Europske unije, a namijenjen je i za povrat nepravilno utrošenih sredstava iz fondova Europske unije.</w:t>
      </w:r>
    </w:p>
    <w:p w:rsidR="00D849AA" w:rsidRDefault="00EE6D95">
      <w:pPr>
        <w:pStyle w:val="Naslov6"/>
      </w:pPr>
      <w:r>
        <w:t>Zakonske i druge pravne osnove</w:t>
      </w:r>
    </w:p>
    <w:p w:rsidR="00D849AA" w:rsidRDefault="00EE6D95">
      <w:pPr>
        <w:pStyle w:val="Normal5"/>
      </w:pPr>
      <w:r>
        <w:t xml:space="preserve">Zakon o potvrđivanju Okvirnog sporazuma između Vlade Republike Hrvatske i Komisije europskih zajednica o pravilima za suradnju u svezi financijske pomoći Europske zajednice Republici Hrvatskoj u provedbi pomoći u okviru Instrumenta pretpristupne pomoći (IPA) (NN 10/07) i Financijski sporazumi po pojedinim IPA komponentama;  </w:t>
      </w:r>
    </w:p>
    <w:p w:rsidR="00D849AA" w:rsidRDefault="00EE6D95">
      <w:pPr>
        <w:pStyle w:val="Normal5"/>
      </w:pPr>
      <w:r>
        <w:t>Ugovor o financiranju između Republike Hrvatske i Europske investicijske banke za projekt sufinanciranja EU IPA ISPA 2007-2011 (NN, MU, br. 10/10)</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Cilj 1. Osigurati zakonitost i provedivost korištenja sredstava pomoći Europske unije</w:t>
      </w:r>
    </w:p>
    <w:p w:rsidR="00D849AA" w:rsidRDefault="00EE6D95">
      <w:pPr>
        <w:pStyle w:val="Naslov5"/>
      </w:pPr>
      <w:r>
        <w:t>Procjena i ishodište potrebnih sredstava za značajnije aktivnosti/projekte</w:t>
      </w:r>
    </w:p>
    <w:p w:rsidR="00D849AA" w:rsidRDefault="00EE6D95">
      <w:pPr>
        <w:pStyle w:val="Naslov6"/>
      </w:pPr>
      <w:r>
        <w:t>A818027 ZAJMOVI ZA SUFINANCIRANJE IPA PROJEKATA (EIB)</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F37627" w:rsidRDefault="00EE6D95">
            <w:pPr>
              <w:pStyle w:val="CellHeader"/>
            </w:pPr>
            <w:r w:rsidRPr="00F37627">
              <w:t>Naziv aktivnosti</w:t>
            </w:r>
          </w:p>
        </w:tc>
        <w:tc>
          <w:tcPr>
            <w:tcW w:w="1486" w:type="dxa"/>
            <w:shd w:val="clear" w:color="auto" w:fill="B5C0D8"/>
          </w:tcPr>
          <w:p w:rsidR="00D849AA" w:rsidRPr="00F37627" w:rsidRDefault="00EE6D95">
            <w:pPr>
              <w:pStyle w:val="CellHeader"/>
            </w:pPr>
            <w:r w:rsidRPr="00F37627">
              <w:t>Plan 2013.</w:t>
            </w:r>
          </w:p>
        </w:tc>
        <w:tc>
          <w:tcPr>
            <w:tcW w:w="1486" w:type="dxa"/>
            <w:shd w:val="clear" w:color="auto" w:fill="B5C0D8"/>
          </w:tcPr>
          <w:p w:rsidR="00D849AA" w:rsidRPr="00F37627" w:rsidRDefault="00EE6D95">
            <w:pPr>
              <w:pStyle w:val="CellHeader"/>
            </w:pPr>
            <w:r w:rsidRPr="00F37627">
              <w:t>Plan 2014.</w:t>
            </w:r>
          </w:p>
        </w:tc>
        <w:tc>
          <w:tcPr>
            <w:tcW w:w="1486" w:type="dxa"/>
            <w:shd w:val="clear" w:color="auto" w:fill="B5C0D8"/>
          </w:tcPr>
          <w:p w:rsidR="00D849AA" w:rsidRPr="00F37627" w:rsidRDefault="00EE6D95">
            <w:pPr>
              <w:pStyle w:val="CellHeader"/>
            </w:pPr>
            <w:r w:rsidRPr="00F37627">
              <w:t>Plan 2015.</w:t>
            </w:r>
          </w:p>
        </w:tc>
        <w:tc>
          <w:tcPr>
            <w:tcW w:w="1486" w:type="dxa"/>
            <w:shd w:val="clear" w:color="auto" w:fill="B5C0D8"/>
          </w:tcPr>
          <w:p w:rsidR="00D849AA" w:rsidRPr="00F37627" w:rsidRDefault="00EE6D95">
            <w:pPr>
              <w:pStyle w:val="CellHeader"/>
            </w:pPr>
            <w:r w:rsidRPr="00F37627">
              <w:t>Plan 2016.</w:t>
            </w:r>
          </w:p>
        </w:tc>
        <w:tc>
          <w:tcPr>
            <w:tcW w:w="1486" w:type="dxa"/>
            <w:shd w:val="clear" w:color="auto" w:fill="B5C0D8"/>
          </w:tcPr>
          <w:p w:rsidR="00D849AA" w:rsidRPr="00F37627" w:rsidRDefault="00EE6D95">
            <w:pPr>
              <w:pStyle w:val="CellHeader"/>
            </w:pPr>
            <w:r w:rsidRPr="00F37627">
              <w:t>Indeks 2014/2013</w:t>
            </w:r>
          </w:p>
        </w:tc>
      </w:tr>
      <w:tr w:rsidR="00D849AA">
        <w:trPr>
          <w:jc w:val="center"/>
        </w:trPr>
        <w:tc>
          <w:tcPr>
            <w:tcW w:w="1486" w:type="dxa"/>
          </w:tcPr>
          <w:p w:rsidR="00D849AA" w:rsidRPr="00F37627" w:rsidRDefault="00EE6D95">
            <w:pPr>
              <w:pStyle w:val="CellColumn"/>
            </w:pPr>
            <w:r w:rsidRPr="00F37627">
              <w:t>A818027</w:t>
            </w:r>
          </w:p>
        </w:tc>
        <w:tc>
          <w:tcPr>
            <w:tcW w:w="1486" w:type="dxa"/>
          </w:tcPr>
          <w:p w:rsidR="00D849AA" w:rsidRPr="00F37627" w:rsidRDefault="00EE6D95">
            <w:pPr>
              <w:rPr>
                <w:rFonts w:ascii="Arial" w:hAnsi="Arial" w:cs="Arial"/>
              </w:rPr>
            </w:pPr>
            <w:r w:rsidRPr="00F37627">
              <w:rPr>
                <w:rFonts w:ascii="Arial" w:hAnsi="Arial" w:cs="Arial"/>
              </w:rPr>
              <w:t>89.833.300</w:t>
            </w:r>
          </w:p>
        </w:tc>
        <w:tc>
          <w:tcPr>
            <w:tcW w:w="1486" w:type="dxa"/>
          </w:tcPr>
          <w:p w:rsidR="00D849AA" w:rsidRPr="00F37627" w:rsidRDefault="00EE6D95">
            <w:pPr>
              <w:rPr>
                <w:rFonts w:ascii="Arial" w:hAnsi="Arial" w:cs="Arial"/>
              </w:rPr>
            </w:pPr>
            <w:r w:rsidRPr="00F37627">
              <w:rPr>
                <w:rFonts w:ascii="Arial" w:hAnsi="Arial" w:cs="Arial"/>
              </w:rPr>
              <w:t>80.621.231</w:t>
            </w:r>
          </w:p>
        </w:tc>
        <w:tc>
          <w:tcPr>
            <w:tcW w:w="1486" w:type="dxa"/>
          </w:tcPr>
          <w:p w:rsidR="00D849AA" w:rsidRPr="00F37627" w:rsidRDefault="00EE6D95">
            <w:pPr>
              <w:rPr>
                <w:rFonts w:ascii="Arial" w:hAnsi="Arial" w:cs="Arial"/>
              </w:rPr>
            </w:pPr>
            <w:r w:rsidRPr="00F37627">
              <w:rPr>
                <w:rFonts w:ascii="Arial" w:hAnsi="Arial" w:cs="Arial"/>
              </w:rPr>
              <w:t>4.579.250</w:t>
            </w:r>
          </w:p>
        </w:tc>
        <w:tc>
          <w:tcPr>
            <w:tcW w:w="1486" w:type="dxa"/>
          </w:tcPr>
          <w:p w:rsidR="00D849AA" w:rsidRPr="00F37627" w:rsidRDefault="00EE6D95">
            <w:pPr>
              <w:rPr>
                <w:rFonts w:ascii="Arial" w:hAnsi="Arial" w:cs="Arial"/>
              </w:rPr>
            </w:pPr>
            <w:r w:rsidRPr="00F37627">
              <w:rPr>
                <w:rFonts w:ascii="Arial" w:hAnsi="Arial" w:cs="Arial"/>
              </w:rPr>
              <w:t>4.900.000</w:t>
            </w:r>
          </w:p>
        </w:tc>
        <w:tc>
          <w:tcPr>
            <w:tcW w:w="1486" w:type="dxa"/>
          </w:tcPr>
          <w:p w:rsidR="00D849AA" w:rsidRPr="00F37627" w:rsidRDefault="00EE6D95">
            <w:pPr>
              <w:rPr>
                <w:rFonts w:ascii="Arial" w:hAnsi="Arial" w:cs="Arial"/>
              </w:rPr>
            </w:pPr>
            <w:r w:rsidRPr="00F37627">
              <w:rPr>
                <w:rFonts w:ascii="Arial" w:hAnsi="Arial" w:cs="Arial"/>
              </w:rPr>
              <w:t>89,7</w:t>
            </w:r>
          </w:p>
        </w:tc>
      </w:tr>
    </w:tbl>
    <w:p w:rsidR="00D849AA" w:rsidRDefault="00D849AA">
      <w:pPr>
        <w:jc w:val="left"/>
      </w:pPr>
    </w:p>
    <w:p w:rsidR="00D849AA" w:rsidRDefault="00EE6D95">
      <w:pPr>
        <w:pStyle w:val="Normal6"/>
      </w:pPr>
      <w:r>
        <w:t>Prema Projektu sufinanciranja EU IPA ISPA 2007-2011, a u skladu s odredbama potpisanog Ugovora o financiranju između Republike Hrvatske i Europske investicijske banke, Ministarstvo financija je sklopilo ugovore o zajmu za sufinanciranje projekata s: Primorskom-goranskom županijom, Gradom Rijekom i Ekoplus d.o.o. Rijeka, trgovačkim društvom za gospodarenje otpadom za sufinanciranje izgradnje Županijskog centra za gospodarenjem otpadom Marišćina, s Istarska županija za sufinanciranje izgradnje Županijskog centra za gospodarenjem otpadom Kaštijun te s Gradom Šibenikom za sufinanciranje izgradnje Regionalnog centra za gospodarenjem otpadom Bikarac.</w:t>
      </w:r>
    </w:p>
    <w:p w:rsidR="00F37627" w:rsidRDefault="00F37627" w:rsidP="00F37627">
      <w:pPr>
        <w:pStyle w:val="Naslov4"/>
      </w:pPr>
      <w:r>
        <w:t>OBRAZLOŽENJE PROGRAMA</w:t>
      </w:r>
    </w:p>
    <w:p w:rsidR="00D849AA" w:rsidRDefault="00EE6D95">
      <w:pPr>
        <w:pStyle w:val="Naslov5"/>
      </w:pPr>
      <w:r>
        <w:t>2304 ČLANSTVO REPUBLIKE HRVATSKE U MEĐUNARODNIM FINANCIJSKIM INSTITUCIJAMA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F37627" w:rsidRDefault="00D849AA">
            <w:pPr>
              <w:pStyle w:val="CellHeader"/>
            </w:pPr>
          </w:p>
        </w:tc>
        <w:tc>
          <w:tcPr>
            <w:tcW w:w="1486" w:type="dxa"/>
            <w:shd w:val="clear" w:color="auto" w:fill="B5C0D8"/>
          </w:tcPr>
          <w:p w:rsidR="00D849AA" w:rsidRPr="00F37627" w:rsidRDefault="00EE6D95">
            <w:pPr>
              <w:pStyle w:val="CellHeader"/>
            </w:pPr>
            <w:r w:rsidRPr="00F37627">
              <w:t>Plan 2013.</w:t>
            </w:r>
          </w:p>
        </w:tc>
        <w:tc>
          <w:tcPr>
            <w:tcW w:w="1486" w:type="dxa"/>
            <w:shd w:val="clear" w:color="auto" w:fill="B5C0D8"/>
          </w:tcPr>
          <w:p w:rsidR="00D849AA" w:rsidRPr="00F37627" w:rsidRDefault="00EE6D95">
            <w:pPr>
              <w:pStyle w:val="CellHeader"/>
            </w:pPr>
            <w:r w:rsidRPr="00F37627">
              <w:t>Plan 2014.</w:t>
            </w:r>
          </w:p>
        </w:tc>
        <w:tc>
          <w:tcPr>
            <w:tcW w:w="1486" w:type="dxa"/>
            <w:shd w:val="clear" w:color="auto" w:fill="B5C0D8"/>
          </w:tcPr>
          <w:p w:rsidR="00D849AA" w:rsidRPr="00F37627" w:rsidRDefault="00EE6D95">
            <w:pPr>
              <w:pStyle w:val="CellHeader"/>
            </w:pPr>
            <w:r w:rsidRPr="00F37627">
              <w:t>Plan 2015.</w:t>
            </w:r>
          </w:p>
        </w:tc>
        <w:tc>
          <w:tcPr>
            <w:tcW w:w="1486" w:type="dxa"/>
            <w:shd w:val="clear" w:color="auto" w:fill="B5C0D8"/>
          </w:tcPr>
          <w:p w:rsidR="00D849AA" w:rsidRPr="00F37627" w:rsidRDefault="00EE6D95">
            <w:pPr>
              <w:pStyle w:val="CellHeader"/>
            </w:pPr>
            <w:r w:rsidRPr="00F37627">
              <w:t>Plan 2016.</w:t>
            </w:r>
          </w:p>
        </w:tc>
        <w:tc>
          <w:tcPr>
            <w:tcW w:w="1486" w:type="dxa"/>
            <w:shd w:val="clear" w:color="auto" w:fill="B5C0D8"/>
          </w:tcPr>
          <w:p w:rsidR="00D849AA" w:rsidRPr="00F37627" w:rsidRDefault="00EE6D95">
            <w:pPr>
              <w:pStyle w:val="CellHeader"/>
            </w:pPr>
            <w:r w:rsidRPr="00F37627">
              <w:t>Indeks 2014/2013</w:t>
            </w:r>
          </w:p>
        </w:tc>
      </w:tr>
      <w:tr w:rsidR="00D849AA">
        <w:trPr>
          <w:jc w:val="center"/>
        </w:trPr>
        <w:tc>
          <w:tcPr>
            <w:tcW w:w="1486" w:type="dxa"/>
          </w:tcPr>
          <w:p w:rsidR="00D849AA" w:rsidRPr="00F37627" w:rsidRDefault="00EE6D95">
            <w:pPr>
              <w:pStyle w:val="CellColumn"/>
            </w:pPr>
            <w:r w:rsidRPr="00F37627">
              <w:t>2304</w:t>
            </w:r>
          </w:p>
        </w:tc>
        <w:tc>
          <w:tcPr>
            <w:tcW w:w="1486" w:type="dxa"/>
          </w:tcPr>
          <w:p w:rsidR="00D849AA" w:rsidRPr="00F37627" w:rsidRDefault="00EE6D95">
            <w:pPr>
              <w:rPr>
                <w:rFonts w:ascii="Arial" w:hAnsi="Arial" w:cs="Arial"/>
              </w:rPr>
            </w:pPr>
            <w:r w:rsidRPr="00F37627">
              <w:rPr>
                <w:rFonts w:ascii="Arial" w:hAnsi="Arial" w:cs="Arial"/>
              </w:rPr>
              <w:t>211.404.044</w:t>
            </w:r>
          </w:p>
        </w:tc>
        <w:tc>
          <w:tcPr>
            <w:tcW w:w="1486" w:type="dxa"/>
          </w:tcPr>
          <w:p w:rsidR="00D849AA" w:rsidRPr="00F37627" w:rsidRDefault="00EE6D95">
            <w:pPr>
              <w:rPr>
                <w:rFonts w:ascii="Arial" w:hAnsi="Arial" w:cs="Arial"/>
              </w:rPr>
            </w:pPr>
            <w:r w:rsidRPr="00F37627">
              <w:rPr>
                <w:rFonts w:ascii="Arial" w:hAnsi="Arial" w:cs="Arial"/>
              </w:rPr>
              <w:t>211.012.532</w:t>
            </w:r>
          </w:p>
        </w:tc>
        <w:tc>
          <w:tcPr>
            <w:tcW w:w="1486" w:type="dxa"/>
          </w:tcPr>
          <w:p w:rsidR="00D849AA" w:rsidRPr="00F37627" w:rsidRDefault="00EE6D95">
            <w:pPr>
              <w:rPr>
                <w:rFonts w:ascii="Arial" w:hAnsi="Arial" w:cs="Arial"/>
              </w:rPr>
            </w:pPr>
            <w:r w:rsidRPr="00F37627">
              <w:rPr>
                <w:rFonts w:ascii="Arial" w:hAnsi="Arial" w:cs="Arial"/>
              </w:rPr>
              <w:t>203.431.487</w:t>
            </w:r>
          </w:p>
        </w:tc>
        <w:tc>
          <w:tcPr>
            <w:tcW w:w="1486" w:type="dxa"/>
          </w:tcPr>
          <w:p w:rsidR="00D849AA" w:rsidRPr="00F37627" w:rsidRDefault="00EE6D95">
            <w:pPr>
              <w:rPr>
                <w:rFonts w:ascii="Arial" w:hAnsi="Arial" w:cs="Arial"/>
              </w:rPr>
            </w:pPr>
            <w:r w:rsidRPr="00F37627">
              <w:rPr>
                <w:rFonts w:ascii="Arial" w:hAnsi="Arial" w:cs="Arial"/>
              </w:rPr>
              <w:t>394.501.928</w:t>
            </w:r>
          </w:p>
        </w:tc>
        <w:tc>
          <w:tcPr>
            <w:tcW w:w="1486" w:type="dxa"/>
          </w:tcPr>
          <w:p w:rsidR="00D849AA" w:rsidRPr="00F37627" w:rsidRDefault="00EE6D95">
            <w:pPr>
              <w:rPr>
                <w:rFonts w:ascii="Arial" w:hAnsi="Arial" w:cs="Arial"/>
              </w:rPr>
            </w:pPr>
            <w:r w:rsidRPr="00F37627">
              <w:rPr>
                <w:rFonts w:ascii="Arial" w:hAnsi="Arial" w:cs="Arial"/>
              </w:rPr>
              <w:t>99,8</w:t>
            </w:r>
          </w:p>
        </w:tc>
      </w:tr>
    </w:tbl>
    <w:p w:rsidR="00D849AA" w:rsidRDefault="00D849AA">
      <w:pPr>
        <w:jc w:val="left"/>
      </w:pPr>
    </w:p>
    <w:p w:rsidR="00D849AA" w:rsidRDefault="00EE6D95">
      <w:pPr>
        <w:pStyle w:val="Naslov6"/>
      </w:pPr>
      <w:r>
        <w:t>Opis programa</w:t>
      </w:r>
    </w:p>
    <w:p w:rsidR="00D849AA" w:rsidRDefault="00EE6D95">
      <w:pPr>
        <w:pStyle w:val="Normal5"/>
      </w:pPr>
      <w:r>
        <w:t xml:space="preserve">Hrvatski sabor donio je niz zakona, a Vlada Republike Hrvatske odluka, o članstvu u međunarodnim financijskim institucijama: Međunarodni monetarni fond (MMF), </w:t>
      </w:r>
      <w:r>
        <w:lastRenderedPageBreak/>
        <w:t>Međunarodna banka za obnovu i razvoj (IBRD), Međunarodna financijska korporacija (IFC), Agencija za multilateralno garantiranje investicija (MIGA), Međunarodno udruženje za razvoj (IDA), Međunarodni centar za rješavanje ulagačkih sporova (ICSID), Europska banka za obnovu i razvoj (EBRD), Inter-američka banka za razvoj (IDB), Razvojna banka Vijeća Europe (CEB), Europska investicijska Banka (EIB).</w:t>
      </w:r>
    </w:p>
    <w:p w:rsidR="00D849AA" w:rsidRDefault="00EE6D95">
      <w:pPr>
        <w:pStyle w:val="Naslov6"/>
      </w:pPr>
      <w:r>
        <w:t>Zakonske i druge pravne osnove</w:t>
      </w:r>
    </w:p>
    <w:p w:rsidR="00D849AA" w:rsidRDefault="00EE6D95">
      <w:pPr>
        <w:pStyle w:val="Normal5"/>
      </w:pPr>
      <w:r>
        <w:t xml:space="preserve">Sporazumi s međunarodnim financijskim institucijama i Sporazumi i Rezolucije/Odluke upravnih tijela međunarodnih financijskih institucija: Međunarodne banke za obnovu i razvoj, Inter-američke banke za razvoj, Europske investicijske banke (EIB) i Međunarodnog monetarnog fonda te Odluke/Uredba Vlade Republike Hrvatske.  </w:t>
      </w:r>
    </w:p>
    <w:p w:rsidR="00D849AA" w:rsidRDefault="00EE6D95">
      <w:pPr>
        <w:pStyle w:val="Normal5"/>
      </w:pPr>
      <w:r>
        <w:t xml:space="preserve">Planirana su sredstva za podmirenje obveza vezanih uz sudjelovanje Republike Hrvatske u:  </w:t>
      </w:r>
    </w:p>
    <w:p w:rsidR="00D849AA" w:rsidRDefault="00EE6D95">
      <w:pPr>
        <w:pStyle w:val="Normal5"/>
      </w:pPr>
      <w:r>
        <w:t>a)</w:t>
      </w:r>
      <w:r>
        <w:tab/>
        <w:t xml:space="preserve">općem povećanju kapitala IBRD-a, temeljem Odluke Vlade Republike Hrvatske objavljene u Narodnim novinama br. 34/2011;  </w:t>
      </w:r>
    </w:p>
    <w:p w:rsidR="00D849AA" w:rsidRDefault="00EE6D95">
      <w:pPr>
        <w:pStyle w:val="Normal5"/>
      </w:pPr>
      <w:r>
        <w:t>b)</w:t>
      </w:r>
      <w:r>
        <w:tab/>
        <w:t xml:space="preserve">u devetom općem povećanju kapitala IDB-a i dopuni sredstava Fonda za posebne operacije IDB-a, temeljem Odluke Vlade Republike Hrvatske objavljene u Narodnim novinama br. 16/2011;  </w:t>
      </w:r>
    </w:p>
    <w:p w:rsidR="00D849AA" w:rsidRDefault="00EE6D95">
      <w:pPr>
        <w:pStyle w:val="Normal5"/>
      </w:pPr>
      <w:r>
        <w:t>c)</w:t>
      </w:r>
      <w:r>
        <w:tab/>
        <w:t xml:space="preserve">kapitalu i rezervama EIB-a, temeljem Ugovora o pristupanju Republike Hrvatske Europskoj uniji, objavljenog u Narodnim novinama – Međunarodnim ugovorima br. 2/2012 te temeljem odluke Odbora guvernera EIB-a od 31.12.2012. i 01.07.2013., o općem povećanju kapitala EIB-a. </w:t>
      </w:r>
    </w:p>
    <w:p w:rsidR="00D849AA" w:rsidRDefault="00EE6D95">
      <w:pPr>
        <w:pStyle w:val="Normal5"/>
      </w:pPr>
      <w:r>
        <w:t>d)</w:t>
      </w:r>
      <w:r>
        <w:tab/>
        <w:t>povećanju kvote Republike Hrvatske u MMF-u, temeljem Uredbe Vlade Republike Hrvatske objavljene u Narodnim novinama br. 142/2011.</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Cilj 1. Jačati bilateralnu i multilateralnu suradnju Republike Hrvatske s međunarodnim tijelima i organizacijama te uredno  podmirivati preuzete obveze</w:t>
      </w:r>
    </w:p>
    <w:p w:rsidR="00D849AA" w:rsidRDefault="00EE6D95">
      <w:pPr>
        <w:pStyle w:val="Naslov7"/>
      </w:pPr>
      <w:r>
        <w:t>Cilj 2. Sudjelovati u radu i korištenju sredstava međunarodnih financijskih institucija kroz razne vrste projekata</w:t>
      </w:r>
    </w:p>
    <w:p w:rsidR="00D849AA" w:rsidRDefault="00EE6D95">
      <w:pPr>
        <w:pStyle w:val="Naslov5"/>
      </w:pPr>
      <w:r>
        <w:t>Procjena i ishodište potrebnih sredstava za značajnije aktivnosti/projekte</w:t>
      </w:r>
    </w:p>
    <w:p w:rsidR="00F37627" w:rsidRDefault="00F37627" w:rsidP="00F37627">
      <w:pPr>
        <w:pStyle w:val="Naslov4"/>
      </w:pPr>
      <w:r>
        <w:t>OBRAZLOŽENJE PROGRAMA</w:t>
      </w:r>
    </w:p>
    <w:p w:rsidR="00D849AA" w:rsidRDefault="00EE6D95">
      <w:pPr>
        <w:pStyle w:val="Naslov5"/>
      </w:pPr>
      <w:r>
        <w:t>2307 DOPRINOS REPUBLIKE HRVATSKE PRORAČUNU EUROPSKE UNIJE</w:t>
      </w:r>
    </w:p>
    <w:tbl>
      <w:tblPr>
        <w:tblStyle w:val="Reetkatablice"/>
        <w:tblW w:w="0" w:type="auto"/>
        <w:jc w:val="center"/>
        <w:tblLook w:val="04A0" w:firstRow="1" w:lastRow="0" w:firstColumn="1" w:lastColumn="0" w:noHBand="0" w:noVBand="1"/>
      </w:tblPr>
      <w:tblGrid>
        <w:gridCol w:w="1486"/>
        <w:gridCol w:w="1496"/>
        <w:gridCol w:w="1496"/>
        <w:gridCol w:w="1496"/>
        <w:gridCol w:w="1496"/>
        <w:gridCol w:w="1486"/>
      </w:tblGrid>
      <w:tr w:rsidR="00D849AA">
        <w:trPr>
          <w:jc w:val="center"/>
        </w:trPr>
        <w:tc>
          <w:tcPr>
            <w:tcW w:w="1486" w:type="dxa"/>
            <w:shd w:val="clear" w:color="auto" w:fill="B5C0D8"/>
          </w:tcPr>
          <w:p w:rsidR="00D849AA" w:rsidRPr="00F37627" w:rsidRDefault="00D849AA">
            <w:pPr>
              <w:pStyle w:val="CellHeader"/>
            </w:pPr>
          </w:p>
        </w:tc>
        <w:tc>
          <w:tcPr>
            <w:tcW w:w="1486" w:type="dxa"/>
            <w:shd w:val="clear" w:color="auto" w:fill="B5C0D8"/>
          </w:tcPr>
          <w:p w:rsidR="00D849AA" w:rsidRPr="00F37627" w:rsidRDefault="00EE6D95">
            <w:pPr>
              <w:pStyle w:val="CellHeader"/>
            </w:pPr>
            <w:r w:rsidRPr="00F37627">
              <w:t>Plan 2013.</w:t>
            </w:r>
          </w:p>
        </w:tc>
        <w:tc>
          <w:tcPr>
            <w:tcW w:w="1486" w:type="dxa"/>
            <w:shd w:val="clear" w:color="auto" w:fill="B5C0D8"/>
          </w:tcPr>
          <w:p w:rsidR="00D849AA" w:rsidRPr="00F37627" w:rsidRDefault="00EE6D95">
            <w:pPr>
              <w:pStyle w:val="CellHeader"/>
            </w:pPr>
            <w:r w:rsidRPr="00F37627">
              <w:t>Plan 2014.</w:t>
            </w:r>
          </w:p>
        </w:tc>
        <w:tc>
          <w:tcPr>
            <w:tcW w:w="1486" w:type="dxa"/>
            <w:shd w:val="clear" w:color="auto" w:fill="B5C0D8"/>
          </w:tcPr>
          <w:p w:rsidR="00D849AA" w:rsidRPr="00F37627" w:rsidRDefault="00EE6D95">
            <w:pPr>
              <w:pStyle w:val="CellHeader"/>
            </w:pPr>
            <w:r w:rsidRPr="00F37627">
              <w:t>Plan 2015.</w:t>
            </w:r>
          </w:p>
        </w:tc>
        <w:tc>
          <w:tcPr>
            <w:tcW w:w="1486" w:type="dxa"/>
            <w:shd w:val="clear" w:color="auto" w:fill="B5C0D8"/>
          </w:tcPr>
          <w:p w:rsidR="00D849AA" w:rsidRPr="00F37627" w:rsidRDefault="00EE6D95">
            <w:pPr>
              <w:pStyle w:val="CellHeader"/>
            </w:pPr>
            <w:r w:rsidRPr="00F37627">
              <w:t>Plan 2016.</w:t>
            </w:r>
          </w:p>
        </w:tc>
        <w:tc>
          <w:tcPr>
            <w:tcW w:w="1486" w:type="dxa"/>
            <w:shd w:val="clear" w:color="auto" w:fill="B5C0D8"/>
          </w:tcPr>
          <w:p w:rsidR="00D849AA" w:rsidRPr="00F37627" w:rsidRDefault="00EE6D95">
            <w:pPr>
              <w:pStyle w:val="CellHeader"/>
            </w:pPr>
            <w:r w:rsidRPr="00F37627">
              <w:t>Indeks 2014/2013</w:t>
            </w:r>
          </w:p>
        </w:tc>
      </w:tr>
      <w:tr w:rsidR="00D849AA">
        <w:trPr>
          <w:jc w:val="center"/>
        </w:trPr>
        <w:tc>
          <w:tcPr>
            <w:tcW w:w="1486" w:type="dxa"/>
          </w:tcPr>
          <w:p w:rsidR="00D849AA" w:rsidRPr="00F37627" w:rsidRDefault="00EE6D95">
            <w:pPr>
              <w:pStyle w:val="CellColumn"/>
            </w:pPr>
            <w:r w:rsidRPr="00F37627">
              <w:t>2307</w:t>
            </w:r>
          </w:p>
        </w:tc>
        <w:tc>
          <w:tcPr>
            <w:tcW w:w="1486" w:type="dxa"/>
          </w:tcPr>
          <w:p w:rsidR="00D849AA" w:rsidRPr="00F37627" w:rsidRDefault="00EE6D95">
            <w:pPr>
              <w:rPr>
                <w:rFonts w:ascii="Arial" w:hAnsi="Arial" w:cs="Arial"/>
              </w:rPr>
            </w:pPr>
            <w:r w:rsidRPr="00F37627">
              <w:rPr>
                <w:rFonts w:ascii="Arial" w:hAnsi="Arial" w:cs="Arial"/>
              </w:rPr>
              <w:t>1.741.232.343</w:t>
            </w:r>
          </w:p>
        </w:tc>
        <w:tc>
          <w:tcPr>
            <w:tcW w:w="1486" w:type="dxa"/>
          </w:tcPr>
          <w:p w:rsidR="00D849AA" w:rsidRPr="00F37627" w:rsidRDefault="00EE6D95">
            <w:pPr>
              <w:rPr>
                <w:rFonts w:ascii="Arial" w:hAnsi="Arial" w:cs="Arial"/>
              </w:rPr>
            </w:pPr>
            <w:r w:rsidRPr="00F37627">
              <w:rPr>
                <w:rFonts w:ascii="Arial" w:hAnsi="Arial" w:cs="Arial"/>
              </w:rPr>
              <w:t>3.605.749.558</w:t>
            </w:r>
          </w:p>
        </w:tc>
        <w:tc>
          <w:tcPr>
            <w:tcW w:w="1486" w:type="dxa"/>
          </w:tcPr>
          <w:p w:rsidR="00D849AA" w:rsidRPr="00F37627" w:rsidRDefault="00EE6D95">
            <w:pPr>
              <w:rPr>
                <w:rFonts w:ascii="Arial" w:hAnsi="Arial" w:cs="Arial"/>
              </w:rPr>
            </w:pPr>
            <w:r w:rsidRPr="00F37627">
              <w:rPr>
                <w:rFonts w:ascii="Arial" w:hAnsi="Arial" w:cs="Arial"/>
              </w:rPr>
              <w:t>3.762.061.446</w:t>
            </w:r>
          </w:p>
        </w:tc>
        <w:tc>
          <w:tcPr>
            <w:tcW w:w="1486" w:type="dxa"/>
          </w:tcPr>
          <w:p w:rsidR="00D849AA" w:rsidRPr="00F37627" w:rsidRDefault="00EE6D95">
            <w:pPr>
              <w:rPr>
                <w:rFonts w:ascii="Arial" w:hAnsi="Arial" w:cs="Arial"/>
              </w:rPr>
            </w:pPr>
            <w:r w:rsidRPr="00F37627">
              <w:rPr>
                <w:rFonts w:ascii="Arial" w:hAnsi="Arial" w:cs="Arial"/>
              </w:rPr>
              <w:t>3.830.123.816</w:t>
            </w:r>
          </w:p>
        </w:tc>
        <w:tc>
          <w:tcPr>
            <w:tcW w:w="1486" w:type="dxa"/>
          </w:tcPr>
          <w:p w:rsidR="00D849AA" w:rsidRPr="00F37627" w:rsidRDefault="00EE6D95">
            <w:pPr>
              <w:rPr>
                <w:rFonts w:ascii="Arial" w:hAnsi="Arial" w:cs="Arial"/>
              </w:rPr>
            </w:pPr>
            <w:r w:rsidRPr="00F37627">
              <w:rPr>
                <w:rFonts w:ascii="Arial" w:hAnsi="Arial" w:cs="Arial"/>
              </w:rPr>
              <w:t>207,1</w:t>
            </w:r>
          </w:p>
        </w:tc>
      </w:tr>
    </w:tbl>
    <w:p w:rsidR="00D849AA" w:rsidRDefault="00D849AA">
      <w:pPr>
        <w:jc w:val="left"/>
      </w:pPr>
    </w:p>
    <w:p w:rsidR="00D849AA" w:rsidRDefault="00EE6D95">
      <w:pPr>
        <w:pStyle w:val="Naslov6"/>
      </w:pPr>
      <w:r>
        <w:lastRenderedPageBreak/>
        <w:t>Opis programa</w:t>
      </w:r>
    </w:p>
    <w:p w:rsidR="00D849AA" w:rsidRDefault="00EE6D95">
      <w:pPr>
        <w:pStyle w:val="Normal5"/>
      </w:pPr>
      <w:r>
        <w:t>Ovaj program uključuje aktivnosti koje se odnose na doprinos Republike Hrvatske proračunu Europske unije na temelju vlastitih sredstava Europske unije. Naime, Republika Hrvatska, kao i sve ostale države članice Europske unije, obvezna je sudjelovati u financiranju proračuna Europske unije u skladu s pravnom stečevinom Europske unije o sustavu vlastitih sredstava.</w:t>
      </w:r>
    </w:p>
    <w:p w:rsidR="00D849AA" w:rsidRDefault="00EE6D95">
      <w:pPr>
        <w:pStyle w:val="Naslov6"/>
      </w:pPr>
      <w:r>
        <w:t>Zakonske i druge pravne osnove</w:t>
      </w:r>
    </w:p>
    <w:p w:rsidR="00D849AA" w:rsidRDefault="00EE6D95">
      <w:pPr>
        <w:pStyle w:val="Normal5"/>
      </w:pPr>
      <w:r>
        <w:t xml:space="preserve">Ugovor o pristupanju Republike Hrvatske Europskoj uniji  </w:t>
      </w:r>
    </w:p>
    <w:p w:rsidR="00D849AA" w:rsidRDefault="00EE6D95">
      <w:pPr>
        <w:pStyle w:val="Normal5"/>
      </w:pPr>
      <w:r>
        <w:t xml:space="preserve">Odluka Vijeća o sustavu vlastitih sredstava Europske unije (EZ, EURATOM) br. 2007/436. </w:t>
      </w:r>
    </w:p>
    <w:p w:rsidR="00D849AA" w:rsidRDefault="00EE6D95">
      <w:pPr>
        <w:pStyle w:val="Normal5"/>
      </w:pPr>
      <w:r>
        <w:t>Uredba Vijeća o provedbi sustava vlastitih sredstava Europske unije (EZ, EURATOM) br. 1150/2000.</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Cilj 1. Ispuniti financijske obveze iz članstva u Europskoj uniji</w:t>
      </w:r>
    </w:p>
    <w:p w:rsidR="00D849AA" w:rsidRDefault="00EE6D95">
      <w:pPr>
        <w:pStyle w:val="Naslov5"/>
      </w:pPr>
      <w:r>
        <w:t>Procjena i ishodište potrebnih sredstava za značajnije aktivnosti/projekte</w:t>
      </w:r>
    </w:p>
    <w:p w:rsidR="00F37627" w:rsidRDefault="00F37627" w:rsidP="00F37627">
      <w:pPr>
        <w:pStyle w:val="Naslov4"/>
      </w:pPr>
      <w:r>
        <w:t>OBRAZLOŽENJE PROGRAMA</w:t>
      </w:r>
    </w:p>
    <w:p w:rsidR="00D849AA" w:rsidRDefault="00EE6D95">
      <w:pPr>
        <w:pStyle w:val="Naslov5"/>
      </w:pPr>
      <w:r>
        <w:t>2403 PROVEDBA OSIGURANJA ZAPOSLENIH I IMOVINE PRORAČUNSKIH KORISNIKA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F37627" w:rsidRDefault="00D849AA">
            <w:pPr>
              <w:pStyle w:val="CellHeader"/>
            </w:pPr>
          </w:p>
        </w:tc>
        <w:tc>
          <w:tcPr>
            <w:tcW w:w="1486" w:type="dxa"/>
            <w:shd w:val="clear" w:color="auto" w:fill="B5C0D8"/>
          </w:tcPr>
          <w:p w:rsidR="00D849AA" w:rsidRPr="00F37627" w:rsidRDefault="00EE6D95">
            <w:pPr>
              <w:pStyle w:val="CellHeader"/>
            </w:pPr>
            <w:r w:rsidRPr="00F37627">
              <w:t>Plan 2013.</w:t>
            </w:r>
          </w:p>
        </w:tc>
        <w:tc>
          <w:tcPr>
            <w:tcW w:w="1486" w:type="dxa"/>
            <w:shd w:val="clear" w:color="auto" w:fill="B5C0D8"/>
          </w:tcPr>
          <w:p w:rsidR="00D849AA" w:rsidRPr="00F37627" w:rsidRDefault="00EE6D95">
            <w:pPr>
              <w:pStyle w:val="CellHeader"/>
            </w:pPr>
            <w:r w:rsidRPr="00F37627">
              <w:t>Plan 2014.</w:t>
            </w:r>
          </w:p>
        </w:tc>
        <w:tc>
          <w:tcPr>
            <w:tcW w:w="1486" w:type="dxa"/>
            <w:shd w:val="clear" w:color="auto" w:fill="B5C0D8"/>
          </w:tcPr>
          <w:p w:rsidR="00D849AA" w:rsidRPr="00F37627" w:rsidRDefault="00EE6D95">
            <w:pPr>
              <w:pStyle w:val="CellHeader"/>
            </w:pPr>
            <w:r w:rsidRPr="00F37627">
              <w:t>Plan 2015.</w:t>
            </w:r>
          </w:p>
        </w:tc>
        <w:tc>
          <w:tcPr>
            <w:tcW w:w="1486" w:type="dxa"/>
            <w:shd w:val="clear" w:color="auto" w:fill="B5C0D8"/>
          </w:tcPr>
          <w:p w:rsidR="00D849AA" w:rsidRPr="00F37627" w:rsidRDefault="00EE6D95">
            <w:pPr>
              <w:pStyle w:val="CellHeader"/>
            </w:pPr>
            <w:r w:rsidRPr="00F37627">
              <w:t>Plan 2016.</w:t>
            </w:r>
          </w:p>
        </w:tc>
        <w:tc>
          <w:tcPr>
            <w:tcW w:w="1486" w:type="dxa"/>
            <w:shd w:val="clear" w:color="auto" w:fill="B5C0D8"/>
          </w:tcPr>
          <w:p w:rsidR="00D849AA" w:rsidRPr="00F37627" w:rsidRDefault="00EE6D95">
            <w:pPr>
              <w:pStyle w:val="CellHeader"/>
            </w:pPr>
            <w:r w:rsidRPr="00F37627">
              <w:t>Indeks 2014/2013</w:t>
            </w:r>
          </w:p>
        </w:tc>
      </w:tr>
      <w:tr w:rsidR="00D849AA">
        <w:trPr>
          <w:jc w:val="center"/>
        </w:trPr>
        <w:tc>
          <w:tcPr>
            <w:tcW w:w="1486" w:type="dxa"/>
          </w:tcPr>
          <w:p w:rsidR="00D849AA" w:rsidRPr="00F37627" w:rsidRDefault="00EE6D95">
            <w:pPr>
              <w:pStyle w:val="CellColumn"/>
            </w:pPr>
            <w:r w:rsidRPr="00F37627">
              <w:t>2403</w:t>
            </w:r>
          </w:p>
        </w:tc>
        <w:tc>
          <w:tcPr>
            <w:tcW w:w="1486" w:type="dxa"/>
          </w:tcPr>
          <w:p w:rsidR="00D849AA" w:rsidRPr="00F37627" w:rsidRDefault="00EE6D95">
            <w:pPr>
              <w:rPr>
                <w:rFonts w:ascii="Arial" w:hAnsi="Arial" w:cs="Arial"/>
              </w:rPr>
            </w:pPr>
            <w:r w:rsidRPr="00F37627">
              <w:rPr>
                <w:rFonts w:ascii="Arial" w:hAnsi="Arial" w:cs="Arial"/>
              </w:rPr>
              <w:t>12.500.000</w:t>
            </w:r>
          </w:p>
        </w:tc>
        <w:tc>
          <w:tcPr>
            <w:tcW w:w="1486" w:type="dxa"/>
          </w:tcPr>
          <w:p w:rsidR="00D849AA" w:rsidRPr="00F37627" w:rsidRDefault="00EE6D95">
            <w:pPr>
              <w:rPr>
                <w:rFonts w:ascii="Arial" w:hAnsi="Arial" w:cs="Arial"/>
              </w:rPr>
            </w:pPr>
            <w:r w:rsidRPr="00F37627">
              <w:rPr>
                <w:rFonts w:ascii="Arial" w:hAnsi="Arial" w:cs="Arial"/>
              </w:rPr>
              <w:t>12.500.000</w:t>
            </w:r>
          </w:p>
        </w:tc>
        <w:tc>
          <w:tcPr>
            <w:tcW w:w="1486" w:type="dxa"/>
          </w:tcPr>
          <w:p w:rsidR="00D849AA" w:rsidRPr="00F37627" w:rsidRDefault="00EE6D95">
            <w:pPr>
              <w:rPr>
                <w:rFonts w:ascii="Arial" w:hAnsi="Arial" w:cs="Arial"/>
              </w:rPr>
            </w:pPr>
            <w:r w:rsidRPr="00F37627">
              <w:rPr>
                <w:rFonts w:ascii="Arial" w:hAnsi="Arial" w:cs="Arial"/>
              </w:rPr>
              <w:t>12.500.000</w:t>
            </w:r>
          </w:p>
        </w:tc>
        <w:tc>
          <w:tcPr>
            <w:tcW w:w="1486" w:type="dxa"/>
          </w:tcPr>
          <w:p w:rsidR="00D849AA" w:rsidRPr="00F37627" w:rsidRDefault="00EE6D95">
            <w:pPr>
              <w:rPr>
                <w:rFonts w:ascii="Arial" w:hAnsi="Arial" w:cs="Arial"/>
              </w:rPr>
            </w:pPr>
            <w:r w:rsidRPr="00F37627">
              <w:rPr>
                <w:rFonts w:ascii="Arial" w:hAnsi="Arial" w:cs="Arial"/>
              </w:rPr>
              <w:t>12.500.000</w:t>
            </w:r>
          </w:p>
        </w:tc>
        <w:tc>
          <w:tcPr>
            <w:tcW w:w="1486" w:type="dxa"/>
          </w:tcPr>
          <w:p w:rsidR="00D849AA" w:rsidRPr="00F37627" w:rsidRDefault="00EE6D95">
            <w:pPr>
              <w:rPr>
                <w:rFonts w:ascii="Arial" w:hAnsi="Arial" w:cs="Arial"/>
              </w:rPr>
            </w:pPr>
            <w:r w:rsidRPr="00F37627">
              <w:rPr>
                <w:rFonts w:ascii="Arial" w:hAnsi="Arial" w:cs="Arial"/>
              </w:rPr>
              <w:t>100,0</w:t>
            </w:r>
          </w:p>
        </w:tc>
      </w:tr>
    </w:tbl>
    <w:p w:rsidR="00D849AA" w:rsidRDefault="00D849AA">
      <w:pPr>
        <w:jc w:val="left"/>
      </w:pPr>
    </w:p>
    <w:p w:rsidR="00D849AA" w:rsidRDefault="00EE6D95">
      <w:pPr>
        <w:pStyle w:val="Naslov6"/>
      </w:pPr>
      <w:r>
        <w:t>Opis programa</w:t>
      </w:r>
    </w:p>
    <w:p w:rsidR="00D849AA" w:rsidRDefault="00EE6D95">
      <w:pPr>
        <w:pStyle w:val="Normal5"/>
      </w:pPr>
      <w:r>
        <w:t>Proračunskim korisnicima se osiguravaju sredstva sukladno propisima iz područja osiguranja. Također se u državnom proračunu osiguravaju sredstva za nadoknadu štete na neosiguranoj imovini (poslovne zgrade, uređaji, instalacije, oprema i dr.), a doznačavaju se korisnicima na njihov zahtjev.</w:t>
      </w:r>
    </w:p>
    <w:p w:rsidR="00D849AA" w:rsidRDefault="00EE6D95">
      <w:pPr>
        <w:pStyle w:val="Naslov6"/>
      </w:pPr>
      <w:r>
        <w:t>Zakonske i druge pravne osnove</w:t>
      </w:r>
    </w:p>
    <w:p w:rsidR="00D849AA" w:rsidRDefault="00EE6D95">
      <w:pPr>
        <w:pStyle w:val="Normal5"/>
      </w:pPr>
      <w:r>
        <w:t>Zakon o izvršavanju Državnog proračuna RH za proračunsku godinu i propisi iz područja osiguranja.</w:t>
      </w:r>
    </w:p>
    <w:p w:rsidR="00D849AA" w:rsidRDefault="00EE6D95">
      <w:pPr>
        <w:pStyle w:val="Naslov6"/>
      </w:pPr>
      <w:r>
        <w:lastRenderedPageBreak/>
        <w:t>Ciljevi provedbe programa u razdoblju 2014.-2016. i pokazatelji uspješnosti kojima će se mjeriti ostvarenje tih ciljeva</w:t>
      </w:r>
    </w:p>
    <w:p w:rsidR="00D849AA" w:rsidRDefault="00EE6D95">
      <w:pPr>
        <w:pStyle w:val="Naslov7"/>
      </w:pPr>
      <w:r>
        <w:t>Cilj 1. Osigurati državne službenike, namještenike i dužnosnike od posljedica nesretnog slučaja i podmiriti nastalu štetu na državnoj imovini</w:t>
      </w:r>
    </w:p>
    <w:p w:rsidR="00F37627" w:rsidRDefault="00F37627" w:rsidP="00F37627">
      <w:pPr>
        <w:pStyle w:val="Naslov4"/>
      </w:pPr>
      <w:r>
        <w:t>OBRAZLOŽENJE PROGRAMA</w:t>
      </w:r>
    </w:p>
    <w:p w:rsidR="00D849AA" w:rsidRDefault="00EE6D95">
      <w:pPr>
        <w:pStyle w:val="Naslov5"/>
      </w:pPr>
      <w:r>
        <w:t>2813 NAKNADE ZA ODUZETU IMOVINU I ISPLATE PO SUDSKIM RJEŠENJIMA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rsidRPr="00F37627">
        <w:trPr>
          <w:jc w:val="center"/>
        </w:trPr>
        <w:tc>
          <w:tcPr>
            <w:tcW w:w="1486" w:type="dxa"/>
            <w:shd w:val="clear" w:color="auto" w:fill="B5C0D8"/>
          </w:tcPr>
          <w:p w:rsidR="00D849AA" w:rsidRPr="00F37627" w:rsidRDefault="00D849AA">
            <w:pPr>
              <w:pStyle w:val="CellHeader"/>
            </w:pPr>
          </w:p>
        </w:tc>
        <w:tc>
          <w:tcPr>
            <w:tcW w:w="1486" w:type="dxa"/>
            <w:shd w:val="clear" w:color="auto" w:fill="B5C0D8"/>
          </w:tcPr>
          <w:p w:rsidR="00D849AA" w:rsidRPr="00F37627" w:rsidRDefault="00EE6D95">
            <w:pPr>
              <w:pStyle w:val="CellHeader"/>
            </w:pPr>
            <w:r w:rsidRPr="00F37627">
              <w:t>Plan 2013.</w:t>
            </w:r>
          </w:p>
        </w:tc>
        <w:tc>
          <w:tcPr>
            <w:tcW w:w="1486" w:type="dxa"/>
            <w:shd w:val="clear" w:color="auto" w:fill="B5C0D8"/>
          </w:tcPr>
          <w:p w:rsidR="00D849AA" w:rsidRPr="00F37627" w:rsidRDefault="00EE6D95">
            <w:pPr>
              <w:pStyle w:val="CellHeader"/>
            </w:pPr>
            <w:r w:rsidRPr="00F37627">
              <w:t>Plan 2014.</w:t>
            </w:r>
          </w:p>
        </w:tc>
        <w:tc>
          <w:tcPr>
            <w:tcW w:w="1486" w:type="dxa"/>
            <w:shd w:val="clear" w:color="auto" w:fill="B5C0D8"/>
          </w:tcPr>
          <w:p w:rsidR="00D849AA" w:rsidRPr="00F37627" w:rsidRDefault="00EE6D95">
            <w:pPr>
              <w:pStyle w:val="CellHeader"/>
            </w:pPr>
            <w:r w:rsidRPr="00F37627">
              <w:t>Plan 2015.</w:t>
            </w:r>
          </w:p>
        </w:tc>
        <w:tc>
          <w:tcPr>
            <w:tcW w:w="1486" w:type="dxa"/>
            <w:shd w:val="clear" w:color="auto" w:fill="B5C0D8"/>
          </w:tcPr>
          <w:p w:rsidR="00D849AA" w:rsidRPr="00F37627" w:rsidRDefault="00EE6D95">
            <w:pPr>
              <w:pStyle w:val="CellHeader"/>
            </w:pPr>
            <w:r w:rsidRPr="00F37627">
              <w:t>Plan 2016.</w:t>
            </w:r>
          </w:p>
        </w:tc>
        <w:tc>
          <w:tcPr>
            <w:tcW w:w="1486" w:type="dxa"/>
            <w:shd w:val="clear" w:color="auto" w:fill="B5C0D8"/>
          </w:tcPr>
          <w:p w:rsidR="00D849AA" w:rsidRPr="00F37627" w:rsidRDefault="00EE6D95">
            <w:pPr>
              <w:pStyle w:val="CellHeader"/>
            </w:pPr>
            <w:r w:rsidRPr="00F37627">
              <w:t>Indeks 2014/2013</w:t>
            </w:r>
          </w:p>
        </w:tc>
      </w:tr>
      <w:tr w:rsidR="00D849AA" w:rsidRPr="00F37627">
        <w:trPr>
          <w:jc w:val="center"/>
        </w:trPr>
        <w:tc>
          <w:tcPr>
            <w:tcW w:w="1486" w:type="dxa"/>
          </w:tcPr>
          <w:p w:rsidR="00D849AA" w:rsidRPr="00F37627" w:rsidRDefault="00EE6D95">
            <w:pPr>
              <w:pStyle w:val="CellColumn"/>
            </w:pPr>
            <w:r w:rsidRPr="00F37627">
              <w:t>2813</w:t>
            </w:r>
          </w:p>
        </w:tc>
        <w:tc>
          <w:tcPr>
            <w:tcW w:w="1486" w:type="dxa"/>
          </w:tcPr>
          <w:p w:rsidR="00D849AA" w:rsidRPr="00F37627" w:rsidRDefault="00EE6D95">
            <w:pPr>
              <w:rPr>
                <w:rFonts w:ascii="Arial" w:hAnsi="Arial" w:cs="Arial"/>
              </w:rPr>
            </w:pPr>
            <w:r w:rsidRPr="00F37627">
              <w:rPr>
                <w:rFonts w:ascii="Arial" w:hAnsi="Arial" w:cs="Arial"/>
              </w:rPr>
              <w:t>4.000.000</w:t>
            </w:r>
          </w:p>
        </w:tc>
        <w:tc>
          <w:tcPr>
            <w:tcW w:w="1486" w:type="dxa"/>
          </w:tcPr>
          <w:p w:rsidR="00D849AA" w:rsidRPr="00F37627" w:rsidRDefault="00EE6D95">
            <w:pPr>
              <w:rPr>
                <w:rFonts w:ascii="Arial" w:hAnsi="Arial" w:cs="Arial"/>
              </w:rPr>
            </w:pPr>
            <w:r w:rsidRPr="00F37627">
              <w:rPr>
                <w:rFonts w:ascii="Arial" w:hAnsi="Arial" w:cs="Arial"/>
              </w:rPr>
              <w:t>4.000.000</w:t>
            </w:r>
          </w:p>
        </w:tc>
        <w:tc>
          <w:tcPr>
            <w:tcW w:w="1486" w:type="dxa"/>
          </w:tcPr>
          <w:p w:rsidR="00D849AA" w:rsidRPr="00F37627" w:rsidRDefault="00EE6D95">
            <w:pPr>
              <w:rPr>
                <w:rFonts w:ascii="Arial" w:hAnsi="Arial" w:cs="Arial"/>
              </w:rPr>
            </w:pPr>
            <w:r w:rsidRPr="00F37627">
              <w:rPr>
                <w:rFonts w:ascii="Arial" w:hAnsi="Arial" w:cs="Arial"/>
              </w:rPr>
              <w:t>4.000.000</w:t>
            </w:r>
          </w:p>
        </w:tc>
        <w:tc>
          <w:tcPr>
            <w:tcW w:w="1486" w:type="dxa"/>
          </w:tcPr>
          <w:p w:rsidR="00D849AA" w:rsidRPr="00F37627" w:rsidRDefault="00EE6D95">
            <w:pPr>
              <w:rPr>
                <w:rFonts w:ascii="Arial" w:hAnsi="Arial" w:cs="Arial"/>
              </w:rPr>
            </w:pPr>
            <w:r w:rsidRPr="00F37627">
              <w:rPr>
                <w:rFonts w:ascii="Arial" w:hAnsi="Arial" w:cs="Arial"/>
              </w:rPr>
              <w:t>4.000.000</w:t>
            </w:r>
          </w:p>
        </w:tc>
        <w:tc>
          <w:tcPr>
            <w:tcW w:w="1486" w:type="dxa"/>
          </w:tcPr>
          <w:p w:rsidR="00D849AA" w:rsidRPr="00F37627" w:rsidRDefault="00EE6D95">
            <w:pPr>
              <w:rPr>
                <w:rFonts w:ascii="Arial" w:hAnsi="Arial" w:cs="Arial"/>
              </w:rPr>
            </w:pPr>
            <w:r w:rsidRPr="00F37627">
              <w:rPr>
                <w:rFonts w:ascii="Arial" w:hAnsi="Arial" w:cs="Arial"/>
              </w:rPr>
              <w:t>100,0</w:t>
            </w:r>
          </w:p>
        </w:tc>
      </w:tr>
    </w:tbl>
    <w:p w:rsidR="00D849AA" w:rsidRPr="00F37627" w:rsidRDefault="00D849AA">
      <w:pPr>
        <w:jc w:val="left"/>
        <w:rPr>
          <w:rFonts w:ascii="Arial" w:hAnsi="Arial" w:cs="Arial"/>
        </w:rPr>
      </w:pPr>
    </w:p>
    <w:p w:rsidR="00D849AA" w:rsidRDefault="00EE6D95">
      <w:pPr>
        <w:pStyle w:val="Naslov6"/>
      </w:pPr>
      <w:r>
        <w:t>Opis programa</w:t>
      </w:r>
    </w:p>
    <w:p w:rsidR="00D849AA" w:rsidRDefault="00EE6D95">
      <w:pPr>
        <w:pStyle w:val="Normal5"/>
      </w:pPr>
      <w:r>
        <w:t>U slučaju da je iz bilo kojeg razloga donesena presuda protiv Republike Hrvatske, s tog naslova slijede i isplate iz državnog proračuna, a pokrenuto je i niz postupaka izvansudskih nagodbi.</w:t>
      </w:r>
    </w:p>
    <w:p w:rsidR="00D849AA" w:rsidRDefault="00EE6D95">
      <w:pPr>
        <w:pStyle w:val="Naslov6"/>
      </w:pPr>
      <w:r>
        <w:t>Zakonske i druge pravne osnove</w:t>
      </w:r>
    </w:p>
    <w:p w:rsidR="00D849AA" w:rsidRDefault="00EE6D95">
      <w:pPr>
        <w:pStyle w:val="Normal5"/>
      </w:pPr>
      <w:r>
        <w:t>- Pravomoćne sudske presude, sudske i izvansudske nagodbe</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Cilj 1. Isplata sredstava za sklapanje sudskih i izvansudskih nagodbi temeljem pravomoćnih sudskih odluka, sudskih i izvansudskih nagodbi</w:t>
      </w:r>
    </w:p>
    <w:p w:rsidR="00D849AA" w:rsidRDefault="00EE6D95">
      <w:pPr>
        <w:pStyle w:val="Normal6"/>
      </w:pPr>
      <w:r>
        <w:t>Izbjegavanjem pravomoćnih sudskih odluka u mirnom postupku izbjegavaju se troškovi ovršnih postupaka te plaćanja zateznih kamata dok sklapanjem sudskih i izvansudskih nagodbi između države i javnih i državnih službenika izbjegavaju se dugi i skupi parnični postupci, nepotrebno opterećivanje sudova i državnog odvjetništva te se smanjuju ukupni troškovi parnica, ovrha i kamata.</w:t>
      </w:r>
    </w:p>
    <w:p w:rsidR="00F37627" w:rsidRDefault="00F37627" w:rsidP="00F37627">
      <w:pPr>
        <w:pStyle w:val="Naslov4"/>
      </w:pPr>
      <w:r>
        <w:t>OBRAZLOŽENJE PROGRAMA</w:t>
      </w:r>
    </w:p>
    <w:p w:rsidR="00D849AA" w:rsidRDefault="00EE6D95">
      <w:pPr>
        <w:pStyle w:val="Naslov5"/>
      </w:pPr>
      <w:r>
        <w:t>3210 KREDITNI I JAMSTVENI PROGRAMI U GOSPODARSTVU</w:t>
      </w:r>
    </w:p>
    <w:tbl>
      <w:tblPr>
        <w:tblStyle w:val="Reetkatablice"/>
        <w:tblW w:w="0" w:type="auto"/>
        <w:jc w:val="center"/>
        <w:tblLook w:val="04A0" w:firstRow="1" w:lastRow="0" w:firstColumn="1" w:lastColumn="0" w:noHBand="0" w:noVBand="1"/>
      </w:tblPr>
      <w:tblGrid>
        <w:gridCol w:w="1486"/>
        <w:gridCol w:w="1496"/>
        <w:gridCol w:w="1496"/>
        <w:gridCol w:w="1486"/>
        <w:gridCol w:w="1486"/>
        <w:gridCol w:w="1486"/>
      </w:tblGrid>
      <w:tr w:rsidR="00D849AA">
        <w:trPr>
          <w:jc w:val="center"/>
        </w:trPr>
        <w:tc>
          <w:tcPr>
            <w:tcW w:w="1486" w:type="dxa"/>
            <w:shd w:val="clear" w:color="auto" w:fill="B5C0D8"/>
          </w:tcPr>
          <w:p w:rsidR="00D849AA" w:rsidRPr="00F37627" w:rsidRDefault="00D849AA">
            <w:pPr>
              <w:pStyle w:val="CellHeader"/>
            </w:pPr>
          </w:p>
        </w:tc>
        <w:tc>
          <w:tcPr>
            <w:tcW w:w="1486" w:type="dxa"/>
            <w:shd w:val="clear" w:color="auto" w:fill="B5C0D8"/>
          </w:tcPr>
          <w:p w:rsidR="00D849AA" w:rsidRPr="00F37627" w:rsidRDefault="00EE6D95">
            <w:pPr>
              <w:pStyle w:val="CellHeader"/>
            </w:pPr>
            <w:r w:rsidRPr="00F37627">
              <w:t>Plan 2013.</w:t>
            </w:r>
          </w:p>
        </w:tc>
        <w:tc>
          <w:tcPr>
            <w:tcW w:w="1486" w:type="dxa"/>
            <w:shd w:val="clear" w:color="auto" w:fill="B5C0D8"/>
          </w:tcPr>
          <w:p w:rsidR="00D849AA" w:rsidRPr="00F37627" w:rsidRDefault="00EE6D95">
            <w:pPr>
              <w:pStyle w:val="CellHeader"/>
            </w:pPr>
            <w:r w:rsidRPr="00F37627">
              <w:t>Plan 2014.</w:t>
            </w:r>
          </w:p>
        </w:tc>
        <w:tc>
          <w:tcPr>
            <w:tcW w:w="1486" w:type="dxa"/>
            <w:shd w:val="clear" w:color="auto" w:fill="B5C0D8"/>
          </w:tcPr>
          <w:p w:rsidR="00D849AA" w:rsidRPr="00F37627" w:rsidRDefault="00EE6D95">
            <w:pPr>
              <w:pStyle w:val="CellHeader"/>
            </w:pPr>
            <w:r w:rsidRPr="00F37627">
              <w:t>Plan 2015.</w:t>
            </w:r>
          </w:p>
        </w:tc>
        <w:tc>
          <w:tcPr>
            <w:tcW w:w="1486" w:type="dxa"/>
            <w:shd w:val="clear" w:color="auto" w:fill="B5C0D8"/>
          </w:tcPr>
          <w:p w:rsidR="00D849AA" w:rsidRPr="00F37627" w:rsidRDefault="00EE6D95">
            <w:pPr>
              <w:pStyle w:val="CellHeader"/>
            </w:pPr>
            <w:r w:rsidRPr="00F37627">
              <w:t>Plan 2016.</w:t>
            </w:r>
          </w:p>
        </w:tc>
        <w:tc>
          <w:tcPr>
            <w:tcW w:w="1486" w:type="dxa"/>
            <w:shd w:val="clear" w:color="auto" w:fill="B5C0D8"/>
          </w:tcPr>
          <w:p w:rsidR="00D849AA" w:rsidRPr="00F37627" w:rsidRDefault="00EE6D95">
            <w:pPr>
              <w:pStyle w:val="CellHeader"/>
            </w:pPr>
            <w:r w:rsidRPr="00F37627">
              <w:t>Indeks 2014/2013</w:t>
            </w:r>
          </w:p>
        </w:tc>
      </w:tr>
      <w:tr w:rsidR="00D849AA">
        <w:trPr>
          <w:jc w:val="center"/>
        </w:trPr>
        <w:tc>
          <w:tcPr>
            <w:tcW w:w="1486" w:type="dxa"/>
          </w:tcPr>
          <w:p w:rsidR="00D849AA" w:rsidRPr="00F37627" w:rsidRDefault="00EE6D95">
            <w:pPr>
              <w:pStyle w:val="CellColumn"/>
            </w:pPr>
            <w:r w:rsidRPr="00F37627">
              <w:t>3210</w:t>
            </w:r>
          </w:p>
        </w:tc>
        <w:tc>
          <w:tcPr>
            <w:tcW w:w="1486" w:type="dxa"/>
          </w:tcPr>
          <w:p w:rsidR="00D849AA" w:rsidRPr="00F37627" w:rsidRDefault="00EE6D95">
            <w:pPr>
              <w:rPr>
                <w:rFonts w:ascii="Arial" w:hAnsi="Arial" w:cs="Arial"/>
              </w:rPr>
            </w:pPr>
            <w:r w:rsidRPr="00F37627">
              <w:rPr>
                <w:rFonts w:ascii="Arial" w:hAnsi="Arial" w:cs="Arial"/>
              </w:rPr>
              <w:t>1.322.075.000</w:t>
            </w:r>
          </w:p>
        </w:tc>
        <w:tc>
          <w:tcPr>
            <w:tcW w:w="1486" w:type="dxa"/>
          </w:tcPr>
          <w:p w:rsidR="00D849AA" w:rsidRPr="00F37627" w:rsidRDefault="00EE6D95">
            <w:pPr>
              <w:rPr>
                <w:rFonts w:ascii="Arial" w:hAnsi="Arial" w:cs="Arial"/>
              </w:rPr>
            </w:pPr>
            <w:r w:rsidRPr="00F37627">
              <w:rPr>
                <w:rFonts w:ascii="Arial" w:hAnsi="Arial" w:cs="Arial"/>
              </w:rPr>
              <w:t>1.484.000.000</w:t>
            </w:r>
          </w:p>
        </w:tc>
        <w:tc>
          <w:tcPr>
            <w:tcW w:w="1486" w:type="dxa"/>
          </w:tcPr>
          <w:p w:rsidR="00D849AA" w:rsidRPr="00F37627" w:rsidRDefault="00EE6D95">
            <w:pPr>
              <w:rPr>
                <w:rFonts w:ascii="Arial" w:hAnsi="Arial" w:cs="Arial"/>
              </w:rPr>
            </w:pPr>
            <w:r w:rsidRPr="00F37627">
              <w:rPr>
                <w:rFonts w:ascii="Arial" w:hAnsi="Arial" w:cs="Arial"/>
              </w:rPr>
              <w:t>976.900.000</w:t>
            </w:r>
          </w:p>
        </w:tc>
        <w:tc>
          <w:tcPr>
            <w:tcW w:w="1486" w:type="dxa"/>
          </w:tcPr>
          <w:p w:rsidR="00D849AA" w:rsidRPr="00F37627" w:rsidRDefault="00EE6D95">
            <w:pPr>
              <w:rPr>
                <w:rFonts w:ascii="Arial" w:hAnsi="Arial" w:cs="Arial"/>
              </w:rPr>
            </w:pPr>
            <w:r w:rsidRPr="00F37627">
              <w:rPr>
                <w:rFonts w:ascii="Arial" w:hAnsi="Arial" w:cs="Arial"/>
              </w:rPr>
              <w:t>894.000.000</w:t>
            </w:r>
          </w:p>
        </w:tc>
        <w:tc>
          <w:tcPr>
            <w:tcW w:w="1486" w:type="dxa"/>
          </w:tcPr>
          <w:p w:rsidR="00D849AA" w:rsidRPr="00F37627" w:rsidRDefault="00EE6D95">
            <w:pPr>
              <w:rPr>
                <w:rFonts w:ascii="Arial" w:hAnsi="Arial" w:cs="Arial"/>
              </w:rPr>
            </w:pPr>
            <w:r w:rsidRPr="00F37627">
              <w:rPr>
                <w:rFonts w:ascii="Arial" w:hAnsi="Arial" w:cs="Arial"/>
              </w:rPr>
              <w:t>112,2</w:t>
            </w:r>
          </w:p>
        </w:tc>
      </w:tr>
    </w:tbl>
    <w:p w:rsidR="00D849AA" w:rsidRDefault="00D849AA">
      <w:pPr>
        <w:jc w:val="left"/>
      </w:pPr>
    </w:p>
    <w:p w:rsidR="00D849AA" w:rsidRDefault="00EE6D95">
      <w:pPr>
        <w:pStyle w:val="Naslov6"/>
      </w:pPr>
      <w:r>
        <w:lastRenderedPageBreak/>
        <w:t>Opis programa</w:t>
      </w:r>
    </w:p>
    <w:p w:rsidR="00D849AA" w:rsidRDefault="00EE6D95">
      <w:pPr>
        <w:pStyle w:val="Normal5"/>
      </w:pPr>
      <w:r>
        <w:t>Program potiče razvoj konkurentnosti hrvatskog gospodarstva putem jačanja konkurentskih sposobnosti hrvatskih gospodarskih subjekata na hrvatskom i međunarodnom tržištu. Programom se provode aktivnosti kojima se razvija infrastruktura, jačaju postojeći i pokreću novi gospodarski subjekti, povećava izvoz, zadržavaju sadašnja i stvaraju nova radna mjesta te ostvaruje ravnomjeran gospodarski i društveni razvitak Republike Hrvatske. Zacrtani ciljevi programa ostvaruju se putem kreditiranja gospodarskih subjekata od strane HBOR-a po povoljnim uvjetima u odnosu na tržišne uvjete te jamstvenim programima.</w:t>
      </w:r>
    </w:p>
    <w:p w:rsidR="00D849AA" w:rsidRDefault="00EE6D95">
      <w:pPr>
        <w:pStyle w:val="Naslov6"/>
      </w:pPr>
      <w:r>
        <w:t>Zakonske i druge pravne osnove</w:t>
      </w:r>
    </w:p>
    <w:p w:rsidR="00D849AA" w:rsidRDefault="00EE6D95">
      <w:pPr>
        <w:pStyle w:val="Normal5"/>
      </w:pPr>
      <w:r>
        <w:t xml:space="preserve">Sukladno odredbama Zakona o Hrvatskoj banci za obnovu i razvitak (NN 138/06) temeljni kapital HBOR-a iznosi 7 milijardi kuna i uplaćuje ga Republika Hrvatska iz državnog proračuna.     </w:t>
      </w:r>
    </w:p>
    <w:p w:rsidR="00D849AA" w:rsidRDefault="00EE6D95">
      <w:pPr>
        <w:pStyle w:val="Normal5"/>
      </w:pPr>
      <w:r>
        <w:t>Potraživanja HBOR-a po kreditnim i jamstvenim programima u gospodarstvu temelje se na Ugovoru o nalogu za obavljanje poslova povlaštenog financiranja po kreditnim programima HBOR-a od 01. listopada 2006. godine, Dodatku I Ugovora o nalogu za obavljanje poslova povlaštenog financiranja po kreditnim programima HBOR-a od 02. svibnja 2007. godine, Dodatku II Ugovora o nalogu za obavljanje poslova povlaštenog financiranja po kreditnim programima HBOR-a od 01. veljače 2008. godine i Dodatku III Ugovora o nalogu za obavljanje poslova povlaštenog financiranja po kreditnim programima HBOR-a od 31. prosinca 2008. godine, izdanim jamstvima,  Uredbi Vlade Republike Hrvatske o osiguranju izvoza (NN 61/07) i Uredbi Vlade Republike Hrvatske o izmjenama i dopunama Uredbe o osiguranju izvoza (NN 92/08 i 79/10).</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Cilj 1. Povećanje konkurentnosti hrvatskih gospodarskih subjekata</w:t>
      </w:r>
    </w:p>
    <w:p w:rsidR="00D849AA" w:rsidRDefault="00EE6D95">
      <w:pPr>
        <w:pStyle w:val="Normal6"/>
      </w:pPr>
      <w:r>
        <w:t>Omogućavanjem financiranja hrvatskih gospodarskih subjekata po povoljnim uvjetima povećava se njihova konkurentnost na hrvatskom i međunarodnom tržištu. Veća konkurentnost gospodarskih subjekata pozitivno utječe na povećanje izvoza, zadržavanje sadašnjih i stvaranje novih radnih mjesta. Financiranje gospodarskih subjekata po povoljnim uvjetima realizira se kreditiranjem gospodarskih subjekata putem kreditnih programa HBOR-a i izdavanjem jamstava.</w:t>
      </w:r>
    </w:p>
    <w:p w:rsidR="00BF0142" w:rsidRDefault="00BF0142">
      <w:pPr>
        <w:pStyle w:val="Normal6"/>
      </w:pPr>
    </w:p>
    <w:p w:rsidR="00D849AA" w:rsidRDefault="00EE6D95">
      <w:pPr>
        <w:pStyle w:val="Naslov5"/>
      </w:pPr>
      <w:r>
        <w:t>Procjena i ishodište potrebnih sredstava za značajnije aktivnosti/projekte</w:t>
      </w:r>
    </w:p>
    <w:p w:rsidR="00D849AA" w:rsidRDefault="00EE6D95">
      <w:pPr>
        <w:pStyle w:val="Naslov6"/>
      </w:pPr>
      <w:r>
        <w:t>A539052 JAMSTVENA PRIČUVA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rsidRPr="00F37627">
        <w:trPr>
          <w:jc w:val="center"/>
        </w:trPr>
        <w:tc>
          <w:tcPr>
            <w:tcW w:w="1486" w:type="dxa"/>
            <w:shd w:val="clear" w:color="auto" w:fill="B5C0D8"/>
          </w:tcPr>
          <w:p w:rsidR="00D849AA" w:rsidRPr="00F37627" w:rsidRDefault="00EE6D95">
            <w:pPr>
              <w:pStyle w:val="CellHeader"/>
            </w:pPr>
            <w:r w:rsidRPr="00F37627">
              <w:t>Naziv aktivnosti</w:t>
            </w:r>
          </w:p>
        </w:tc>
        <w:tc>
          <w:tcPr>
            <w:tcW w:w="1486" w:type="dxa"/>
            <w:shd w:val="clear" w:color="auto" w:fill="B5C0D8"/>
          </w:tcPr>
          <w:p w:rsidR="00D849AA" w:rsidRPr="00F37627" w:rsidRDefault="00EE6D95">
            <w:pPr>
              <w:pStyle w:val="CellHeader"/>
            </w:pPr>
            <w:r w:rsidRPr="00F37627">
              <w:t>Plan 2013.</w:t>
            </w:r>
          </w:p>
        </w:tc>
        <w:tc>
          <w:tcPr>
            <w:tcW w:w="1486" w:type="dxa"/>
            <w:shd w:val="clear" w:color="auto" w:fill="B5C0D8"/>
          </w:tcPr>
          <w:p w:rsidR="00D849AA" w:rsidRPr="00F37627" w:rsidRDefault="00EE6D95">
            <w:pPr>
              <w:pStyle w:val="CellHeader"/>
            </w:pPr>
            <w:r w:rsidRPr="00F37627">
              <w:t>Plan 2014.</w:t>
            </w:r>
          </w:p>
        </w:tc>
        <w:tc>
          <w:tcPr>
            <w:tcW w:w="1486" w:type="dxa"/>
            <w:shd w:val="clear" w:color="auto" w:fill="B5C0D8"/>
          </w:tcPr>
          <w:p w:rsidR="00D849AA" w:rsidRPr="00F37627" w:rsidRDefault="00EE6D95">
            <w:pPr>
              <w:pStyle w:val="CellHeader"/>
            </w:pPr>
            <w:r w:rsidRPr="00F37627">
              <w:t>Plan 2015.</w:t>
            </w:r>
          </w:p>
        </w:tc>
        <w:tc>
          <w:tcPr>
            <w:tcW w:w="1486" w:type="dxa"/>
            <w:shd w:val="clear" w:color="auto" w:fill="B5C0D8"/>
          </w:tcPr>
          <w:p w:rsidR="00D849AA" w:rsidRPr="00F37627" w:rsidRDefault="00EE6D95">
            <w:pPr>
              <w:pStyle w:val="CellHeader"/>
            </w:pPr>
            <w:r w:rsidRPr="00F37627">
              <w:t>Plan 2016.</w:t>
            </w:r>
          </w:p>
        </w:tc>
        <w:tc>
          <w:tcPr>
            <w:tcW w:w="1486" w:type="dxa"/>
            <w:shd w:val="clear" w:color="auto" w:fill="B5C0D8"/>
          </w:tcPr>
          <w:p w:rsidR="00D849AA" w:rsidRPr="00F37627" w:rsidRDefault="00EE6D95">
            <w:pPr>
              <w:pStyle w:val="CellHeader"/>
            </w:pPr>
            <w:r w:rsidRPr="00F37627">
              <w:t>Indeks 2014/2013</w:t>
            </w:r>
          </w:p>
        </w:tc>
      </w:tr>
      <w:tr w:rsidR="00D849AA" w:rsidRPr="00F37627">
        <w:trPr>
          <w:jc w:val="center"/>
        </w:trPr>
        <w:tc>
          <w:tcPr>
            <w:tcW w:w="1486" w:type="dxa"/>
          </w:tcPr>
          <w:p w:rsidR="00D849AA" w:rsidRPr="00F37627" w:rsidRDefault="00EE6D95">
            <w:pPr>
              <w:pStyle w:val="CellColumn"/>
            </w:pPr>
            <w:r w:rsidRPr="00F37627">
              <w:t>A539052</w:t>
            </w:r>
          </w:p>
        </w:tc>
        <w:tc>
          <w:tcPr>
            <w:tcW w:w="1486" w:type="dxa"/>
          </w:tcPr>
          <w:p w:rsidR="00D849AA" w:rsidRPr="00F37627" w:rsidRDefault="00EE6D95">
            <w:pPr>
              <w:rPr>
                <w:rFonts w:ascii="Arial" w:hAnsi="Arial" w:cs="Arial"/>
              </w:rPr>
            </w:pPr>
            <w:r w:rsidRPr="00F37627">
              <w:rPr>
                <w:rFonts w:ascii="Arial" w:hAnsi="Arial" w:cs="Arial"/>
              </w:rPr>
              <w:t>472.000.000</w:t>
            </w:r>
          </w:p>
        </w:tc>
        <w:tc>
          <w:tcPr>
            <w:tcW w:w="1486" w:type="dxa"/>
          </w:tcPr>
          <w:p w:rsidR="00D849AA" w:rsidRPr="00F37627" w:rsidRDefault="00EE6D95">
            <w:pPr>
              <w:rPr>
                <w:rFonts w:ascii="Arial" w:hAnsi="Arial" w:cs="Arial"/>
              </w:rPr>
            </w:pPr>
            <w:r w:rsidRPr="00F37627">
              <w:rPr>
                <w:rFonts w:ascii="Arial" w:hAnsi="Arial" w:cs="Arial"/>
              </w:rPr>
              <w:t>434.000.000</w:t>
            </w:r>
          </w:p>
        </w:tc>
        <w:tc>
          <w:tcPr>
            <w:tcW w:w="1486" w:type="dxa"/>
          </w:tcPr>
          <w:p w:rsidR="00D849AA" w:rsidRPr="00F37627" w:rsidRDefault="00EE6D95">
            <w:pPr>
              <w:rPr>
                <w:rFonts w:ascii="Arial" w:hAnsi="Arial" w:cs="Arial"/>
              </w:rPr>
            </w:pPr>
            <w:r w:rsidRPr="00F37627">
              <w:rPr>
                <w:rFonts w:ascii="Arial" w:hAnsi="Arial" w:cs="Arial"/>
              </w:rPr>
              <w:t>434.000.000</w:t>
            </w:r>
          </w:p>
        </w:tc>
        <w:tc>
          <w:tcPr>
            <w:tcW w:w="1486" w:type="dxa"/>
          </w:tcPr>
          <w:p w:rsidR="00D849AA" w:rsidRPr="00F37627" w:rsidRDefault="00EE6D95">
            <w:pPr>
              <w:rPr>
                <w:rFonts w:ascii="Arial" w:hAnsi="Arial" w:cs="Arial"/>
              </w:rPr>
            </w:pPr>
            <w:r w:rsidRPr="00F37627">
              <w:rPr>
                <w:rFonts w:ascii="Arial" w:hAnsi="Arial" w:cs="Arial"/>
              </w:rPr>
              <w:t>434.000.000</w:t>
            </w:r>
          </w:p>
        </w:tc>
        <w:tc>
          <w:tcPr>
            <w:tcW w:w="1486" w:type="dxa"/>
          </w:tcPr>
          <w:p w:rsidR="00D849AA" w:rsidRPr="00F37627" w:rsidRDefault="00EE6D95">
            <w:pPr>
              <w:rPr>
                <w:rFonts w:ascii="Arial" w:hAnsi="Arial" w:cs="Arial"/>
              </w:rPr>
            </w:pPr>
            <w:r w:rsidRPr="00F37627">
              <w:rPr>
                <w:rFonts w:ascii="Arial" w:hAnsi="Arial" w:cs="Arial"/>
              </w:rPr>
              <w:t>91,9</w:t>
            </w:r>
          </w:p>
        </w:tc>
      </w:tr>
    </w:tbl>
    <w:p w:rsidR="00D849AA" w:rsidRPr="00F37627" w:rsidRDefault="00D849AA">
      <w:pPr>
        <w:jc w:val="left"/>
        <w:rPr>
          <w:rFonts w:ascii="Arial" w:hAnsi="Arial" w:cs="Arial"/>
        </w:rPr>
      </w:pPr>
    </w:p>
    <w:p w:rsidR="00D849AA" w:rsidRDefault="00EE6D95">
      <w:pPr>
        <w:pStyle w:val="Normal6"/>
      </w:pPr>
      <w:r>
        <w:t xml:space="preserve">Iznos jamstvene pričuve za financijska i činidbena državna jamstva utvrđuje se svake godine u Državnom proračunu Republike Hrvatske.  </w:t>
      </w:r>
    </w:p>
    <w:p w:rsidR="00D849AA" w:rsidRDefault="00EE6D95">
      <w:pPr>
        <w:pStyle w:val="Normal6"/>
      </w:pPr>
      <w:r>
        <w:t xml:space="preserve">Činidbena jamstva mogu se davati na temelju primljenih predujmova u novcu ili imovini  za infrastrukturne projekte (promet i veze, energetiku, zaštitu okoliša) ili nabavu zrakoplova na temelju dugoročnog ugovora o zakupu.  </w:t>
      </w:r>
    </w:p>
    <w:p w:rsidR="00D849AA" w:rsidRDefault="00EE6D95">
      <w:pPr>
        <w:pStyle w:val="Normal6"/>
      </w:pPr>
      <w:r>
        <w:lastRenderedPageBreak/>
        <w:t xml:space="preserve">Pri ocjeni zahtjeva za davanje državnog jamstva uzima se u obzir: ocjena razvojnog utjecaja na gospodarsku stabilnost te izvozni učinak; sposobnost povrata kredita; poslovanje bez gubitka te važnost u obnovi i stabilnosti razvoja određenog područja  </w:t>
      </w:r>
    </w:p>
    <w:p w:rsidR="00D849AA" w:rsidRDefault="00EE6D95">
      <w:pPr>
        <w:pStyle w:val="Normal6"/>
      </w:pPr>
      <w:r>
        <w:t xml:space="preserve">Izdana jamstva predstavljaju dio državne potpore za restrukturiranje.  </w:t>
      </w:r>
    </w:p>
    <w:p w:rsidR="00D849AA" w:rsidRDefault="00EE6D95">
      <w:pPr>
        <w:pStyle w:val="Normal6"/>
      </w:pPr>
      <w:r>
        <w:t>Prema provedenim analizama i izračunima, za očekivati je kako dio korisnika izdanih jamstava neće podmirivati svoje obveze po kreditima.</w:t>
      </w:r>
    </w:p>
    <w:p w:rsidR="00D849AA" w:rsidRDefault="00EE6D95">
      <w:pPr>
        <w:pStyle w:val="Naslov6"/>
      </w:pPr>
      <w:r>
        <w:t>A544001 PROGRAM POVLAŠTENOG FINANCIRANJA PO KREDITNIM PROGRAMIMA HBOR-A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F37627" w:rsidRDefault="00EE6D95">
            <w:pPr>
              <w:pStyle w:val="CellHeader"/>
            </w:pPr>
            <w:r w:rsidRPr="00F37627">
              <w:t>Naziv aktivnosti</w:t>
            </w:r>
          </w:p>
        </w:tc>
        <w:tc>
          <w:tcPr>
            <w:tcW w:w="1486" w:type="dxa"/>
            <w:shd w:val="clear" w:color="auto" w:fill="B5C0D8"/>
          </w:tcPr>
          <w:p w:rsidR="00D849AA" w:rsidRPr="00F37627" w:rsidRDefault="00EE6D95">
            <w:pPr>
              <w:pStyle w:val="CellHeader"/>
            </w:pPr>
            <w:r w:rsidRPr="00F37627">
              <w:t>Plan 2013.</w:t>
            </w:r>
          </w:p>
        </w:tc>
        <w:tc>
          <w:tcPr>
            <w:tcW w:w="1486" w:type="dxa"/>
            <w:shd w:val="clear" w:color="auto" w:fill="B5C0D8"/>
          </w:tcPr>
          <w:p w:rsidR="00D849AA" w:rsidRPr="00F37627" w:rsidRDefault="00EE6D95">
            <w:pPr>
              <w:pStyle w:val="CellHeader"/>
            </w:pPr>
            <w:r w:rsidRPr="00F37627">
              <w:t>Plan 2014.</w:t>
            </w:r>
          </w:p>
        </w:tc>
        <w:tc>
          <w:tcPr>
            <w:tcW w:w="1486" w:type="dxa"/>
            <w:shd w:val="clear" w:color="auto" w:fill="B5C0D8"/>
          </w:tcPr>
          <w:p w:rsidR="00D849AA" w:rsidRPr="00F37627" w:rsidRDefault="00EE6D95">
            <w:pPr>
              <w:pStyle w:val="CellHeader"/>
            </w:pPr>
            <w:r w:rsidRPr="00F37627">
              <w:t>Plan 2015.</w:t>
            </w:r>
          </w:p>
        </w:tc>
        <w:tc>
          <w:tcPr>
            <w:tcW w:w="1486" w:type="dxa"/>
            <w:shd w:val="clear" w:color="auto" w:fill="B5C0D8"/>
          </w:tcPr>
          <w:p w:rsidR="00D849AA" w:rsidRPr="00F37627" w:rsidRDefault="00EE6D95">
            <w:pPr>
              <w:pStyle w:val="CellHeader"/>
            </w:pPr>
            <w:r w:rsidRPr="00F37627">
              <w:t>Plan 2016.</w:t>
            </w:r>
          </w:p>
        </w:tc>
        <w:tc>
          <w:tcPr>
            <w:tcW w:w="1486" w:type="dxa"/>
            <w:shd w:val="clear" w:color="auto" w:fill="B5C0D8"/>
          </w:tcPr>
          <w:p w:rsidR="00D849AA" w:rsidRPr="00F37627" w:rsidRDefault="00EE6D95">
            <w:pPr>
              <w:pStyle w:val="CellHeader"/>
            </w:pPr>
            <w:r w:rsidRPr="00F37627">
              <w:t>Indeks 2014/2013</w:t>
            </w:r>
          </w:p>
        </w:tc>
      </w:tr>
      <w:tr w:rsidR="00D849AA">
        <w:trPr>
          <w:jc w:val="center"/>
        </w:trPr>
        <w:tc>
          <w:tcPr>
            <w:tcW w:w="1486" w:type="dxa"/>
          </w:tcPr>
          <w:p w:rsidR="00D849AA" w:rsidRPr="00F37627" w:rsidRDefault="00EE6D95">
            <w:pPr>
              <w:pStyle w:val="CellColumn"/>
            </w:pPr>
            <w:r w:rsidRPr="00F37627">
              <w:t>A544001</w:t>
            </w:r>
          </w:p>
        </w:tc>
        <w:tc>
          <w:tcPr>
            <w:tcW w:w="1486" w:type="dxa"/>
          </w:tcPr>
          <w:p w:rsidR="00D849AA" w:rsidRPr="00F37627" w:rsidRDefault="00EE6D95">
            <w:pPr>
              <w:rPr>
                <w:rFonts w:ascii="Arial" w:hAnsi="Arial" w:cs="Arial"/>
              </w:rPr>
            </w:pPr>
            <w:r w:rsidRPr="00F37627">
              <w:rPr>
                <w:rFonts w:ascii="Arial" w:hAnsi="Arial" w:cs="Arial"/>
              </w:rPr>
              <w:t>250.000.000</w:t>
            </w:r>
          </w:p>
        </w:tc>
        <w:tc>
          <w:tcPr>
            <w:tcW w:w="1486" w:type="dxa"/>
          </w:tcPr>
          <w:p w:rsidR="00D849AA" w:rsidRPr="00F37627" w:rsidRDefault="00EE6D95">
            <w:pPr>
              <w:rPr>
                <w:rFonts w:ascii="Arial" w:hAnsi="Arial" w:cs="Arial"/>
              </w:rPr>
            </w:pPr>
            <w:r w:rsidRPr="00F37627">
              <w:rPr>
                <w:rFonts w:ascii="Arial" w:hAnsi="Arial" w:cs="Arial"/>
              </w:rPr>
              <w:t>350.000.000</w:t>
            </w:r>
          </w:p>
        </w:tc>
        <w:tc>
          <w:tcPr>
            <w:tcW w:w="1486" w:type="dxa"/>
          </w:tcPr>
          <w:p w:rsidR="00D849AA" w:rsidRPr="00F37627" w:rsidRDefault="00EE6D95">
            <w:pPr>
              <w:rPr>
                <w:rFonts w:ascii="Arial" w:hAnsi="Arial" w:cs="Arial"/>
              </w:rPr>
            </w:pPr>
            <w:r w:rsidRPr="00F37627">
              <w:rPr>
                <w:rFonts w:ascii="Arial" w:hAnsi="Arial" w:cs="Arial"/>
              </w:rPr>
              <w:t>350.000.000</w:t>
            </w:r>
          </w:p>
        </w:tc>
        <w:tc>
          <w:tcPr>
            <w:tcW w:w="1486" w:type="dxa"/>
          </w:tcPr>
          <w:p w:rsidR="00D849AA" w:rsidRPr="00F37627" w:rsidRDefault="00EE6D95">
            <w:pPr>
              <w:rPr>
                <w:rFonts w:ascii="Arial" w:hAnsi="Arial" w:cs="Arial"/>
              </w:rPr>
            </w:pPr>
            <w:r w:rsidRPr="00F37627">
              <w:rPr>
                <w:rFonts w:ascii="Arial" w:hAnsi="Arial" w:cs="Arial"/>
              </w:rPr>
              <w:t>350.000.000</w:t>
            </w:r>
          </w:p>
        </w:tc>
        <w:tc>
          <w:tcPr>
            <w:tcW w:w="1486" w:type="dxa"/>
          </w:tcPr>
          <w:p w:rsidR="00D849AA" w:rsidRPr="00F37627" w:rsidRDefault="00EE6D95">
            <w:pPr>
              <w:rPr>
                <w:rFonts w:ascii="Arial" w:hAnsi="Arial" w:cs="Arial"/>
              </w:rPr>
            </w:pPr>
            <w:r w:rsidRPr="00F37627">
              <w:rPr>
                <w:rFonts w:ascii="Arial" w:hAnsi="Arial" w:cs="Arial"/>
              </w:rPr>
              <w:t>140,0</w:t>
            </w:r>
          </w:p>
        </w:tc>
      </w:tr>
    </w:tbl>
    <w:p w:rsidR="00D849AA" w:rsidRDefault="00D849AA">
      <w:pPr>
        <w:jc w:val="left"/>
      </w:pPr>
    </w:p>
    <w:p w:rsidR="00D849AA" w:rsidRDefault="00EE6D95">
      <w:pPr>
        <w:pStyle w:val="Normal6"/>
      </w:pPr>
      <w:r>
        <w:t xml:space="preserve">HBOR, u ime i za račun RH, vodi Fond sredstava za povlašteno financiranje po kreditnim programima HBOR-a kojim se iz sredstava državnog proračuna, namijenjenih za subvencioniranje kamatnih stopa, omogućava kreditiranje hrvatskog gospodarstva uz značajno sniženje kamatnih stopa.   </w:t>
      </w:r>
    </w:p>
    <w:p w:rsidR="00D849AA" w:rsidRDefault="00EE6D95">
      <w:pPr>
        <w:pStyle w:val="Normal6"/>
      </w:pPr>
      <w:r>
        <w:t xml:space="preserve">Ključni programi kreditiranja HBOR-a za poticanje ulaganja su na područjima od posebne državne skrbi, otocima i brdsko-planinskim područjima:    </w:t>
      </w:r>
    </w:p>
    <w:p w:rsidR="00D849AA" w:rsidRDefault="00EE6D95">
      <w:pPr>
        <w:pStyle w:val="Normal6"/>
      </w:pPr>
      <w:r>
        <w:t>-</w:t>
      </w:r>
      <w:r>
        <w:tab/>
        <w:t xml:space="preserve">Program kreditiranja poljoprivrede i malog gospodarstva na područjima posebne državne skrbi,   </w:t>
      </w:r>
    </w:p>
    <w:p w:rsidR="00D849AA" w:rsidRDefault="00EE6D95">
      <w:pPr>
        <w:pStyle w:val="Normal6"/>
      </w:pPr>
      <w:r>
        <w:t>-</w:t>
      </w:r>
      <w:r>
        <w:tab/>
        <w:t xml:space="preserve">Program kreditiranja razvitka malog i srednjeg poduzetništva,   </w:t>
      </w:r>
    </w:p>
    <w:p w:rsidR="00D849AA" w:rsidRDefault="00EE6D95">
      <w:pPr>
        <w:pStyle w:val="Normal6"/>
      </w:pPr>
      <w:r>
        <w:t>-</w:t>
      </w:r>
      <w:r>
        <w:tab/>
        <w:t xml:space="preserve">Program kreditiranja gospodarstva,   </w:t>
      </w:r>
    </w:p>
    <w:p w:rsidR="00D849AA" w:rsidRDefault="00EE6D95">
      <w:pPr>
        <w:pStyle w:val="Normal6"/>
      </w:pPr>
      <w:r>
        <w:t>-</w:t>
      </w:r>
      <w:r>
        <w:tab/>
        <w:t xml:space="preserve">Program kreditiranja turističkog sektora i   </w:t>
      </w:r>
    </w:p>
    <w:p w:rsidR="00D849AA" w:rsidRDefault="00EE6D95">
      <w:pPr>
        <w:pStyle w:val="Normal6"/>
      </w:pPr>
      <w:r>
        <w:t>-</w:t>
      </w:r>
      <w:r>
        <w:tab/>
        <w:t xml:space="preserve">Program kreditiranja komunalne infrastrukture.   </w:t>
      </w:r>
    </w:p>
    <w:p w:rsidR="00D849AA" w:rsidRDefault="00EE6D95">
      <w:pPr>
        <w:pStyle w:val="Normal6"/>
      </w:pPr>
      <w:r>
        <w:t xml:space="preserve">HBOR osobitu pažnju posvećuje i malim i srednjim poduzetnicima koji su dokazali uspješnost u poslovanju na hrvatskom i međunarodnom tržištu, kao i onima koji tek započinju svoje poduzetničke aktivnosti. Također, posebne djelatnosti kojima će se osigurati poticajni uvjeti kreditiranja bit će i nadalje turistička djelatnost, kao iznimno važna strateška grana hrvatskog gospodarstva te druge industrijske i uslužne djelatnosti.   </w:t>
      </w:r>
    </w:p>
    <w:p w:rsidR="00D849AA" w:rsidRDefault="00EE6D95">
      <w:pPr>
        <w:pStyle w:val="Normal6"/>
      </w:pPr>
      <w:r>
        <w:t xml:space="preserve">Pored navedenog, poticajnim uvjetima kreditiranja posebno će se poticati ulaganja u poljoprivredu kao i kreditiranje projekata kandidata za IPARD.    </w:t>
      </w:r>
    </w:p>
    <w:p w:rsidR="00D849AA" w:rsidRDefault="00EE6D95">
      <w:pPr>
        <w:pStyle w:val="Normal6"/>
      </w:pPr>
      <w:r>
        <w:t xml:space="preserve">U narednom trogodišnjem razdoblju prvenstveni je cilj poticajnim uvjetima kreditiranja, jačanje konkurentnosti gospodarskih subjekata. Isto se osigurava plasmanima HBOR-a koji su u skladu s Zakonom o državnim potporama osigurali gospodarskim subjektima niže kamatne stope, a temeljem programa za provedbu povlaštenog financiranja.    </w:t>
      </w:r>
    </w:p>
    <w:p w:rsidR="00D849AA" w:rsidRDefault="00EE6D95">
      <w:pPr>
        <w:pStyle w:val="Normal6"/>
      </w:pPr>
      <w:r>
        <w:t>Očekuje se kako će i nadalje HBOR uz pomoć programa poticajnih uvjeta kreditiranja pridonositi poboljšanju likvidnosti i konkurentnosti, uvođenju novih tehnologija i proizvoda, jačanju hrvatskog izvoza i očuvanju postojećih radnih mjesta te novom zapošljavanju.</w:t>
      </w:r>
    </w:p>
    <w:p w:rsidR="00F37627" w:rsidRDefault="00F37627">
      <w:pPr>
        <w:pStyle w:val="Normal6"/>
      </w:pPr>
    </w:p>
    <w:p w:rsidR="00D849AA" w:rsidRDefault="00EE6D95">
      <w:pPr>
        <w:pStyle w:val="Naslov6"/>
      </w:pPr>
      <w:r>
        <w:lastRenderedPageBreak/>
        <w:t>A544005 KREDITIRANJE (KROZ OSNIVAČKI KAPITAL HBOR-A) - POTICANJA IZVOZA, INFRASTRUKTURE I GOSPODARSKIH DJELATNOSTI TE MALOG I SREDNJEG PODUZETNIŠTVA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F37627" w:rsidRDefault="00EE6D95">
            <w:pPr>
              <w:pStyle w:val="CellHeader"/>
            </w:pPr>
            <w:r w:rsidRPr="00F37627">
              <w:t>Naziv aktivnosti</w:t>
            </w:r>
          </w:p>
        </w:tc>
        <w:tc>
          <w:tcPr>
            <w:tcW w:w="1486" w:type="dxa"/>
            <w:shd w:val="clear" w:color="auto" w:fill="B5C0D8"/>
          </w:tcPr>
          <w:p w:rsidR="00D849AA" w:rsidRPr="00F37627" w:rsidRDefault="00EE6D95">
            <w:pPr>
              <w:pStyle w:val="CellHeader"/>
            </w:pPr>
            <w:r w:rsidRPr="00F37627">
              <w:t>Plan 2013.</w:t>
            </w:r>
          </w:p>
        </w:tc>
        <w:tc>
          <w:tcPr>
            <w:tcW w:w="1486" w:type="dxa"/>
            <w:shd w:val="clear" w:color="auto" w:fill="B5C0D8"/>
          </w:tcPr>
          <w:p w:rsidR="00D849AA" w:rsidRPr="00F37627" w:rsidRDefault="00EE6D95">
            <w:pPr>
              <w:pStyle w:val="CellHeader"/>
            </w:pPr>
            <w:r w:rsidRPr="00F37627">
              <w:t>Plan 2014.</w:t>
            </w:r>
          </w:p>
        </w:tc>
        <w:tc>
          <w:tcPr>
            <w:tcW w:w="1486" w:type="dxa"/>
            <w:shd w:val="clear" w:color="auto" w:fill="B5C0D8"/>
          </w:tcPr>
          <w:p w:rsidR="00D849AA" w:rsidRPr="00F37627" w:rsidRDefault="00EE6D95">
            <w:pPr>
              <w:pStyle w:val="CellHeader"/>
            </w:pPr>
            <w:r w:rsidRPr="00F37627">
              <w:t>Plan 2015.</w:t>
            </w:r>
          </w:p>
        </w:tc>
        <w:tc>
          <w:tcPr>
            <w:tcW w:w="1486" w:type="dxa"/>
            <w:shd w:val="clear" w:color="auto" w:fill="B5C0D8"/>
          </w:tcPr>
          <w:p w:rsidR="00D849AA" w:rsidRPr="00F37627" w:rsidRDefault="00EE6D95">
            <w:pPr>
              <w:pStyle w:val="CellHeader"/>
            </w:pPr>
            <w:r w:rsidRPr="00F37627">
              <w:t>Plan 2016.</w:t>
            </w:r>
          </w:p>
        </w:tc>
        <w:tc>
          <w:tcPr>
            <w:tcW w:w="1486" w:type="dxa"/>
            <w:shd w:val="clear" w:color="auto" w:fill="B5C0D8"/>
          </w:tcPr>
          <w:p w:rsidR="00D849AA" w:rsidRPr="00F37627" w:rsidRDefault="00EE6D95">
            <w:pPr>
              <w:pStyle w:val="CellHeader"/>
            </w:pPr>
            <w:r w:rsidRPr="00F37627">
              <w:t>Indeks 2014/2013</w:t>
            </w:r>
          </w:p>
        </w:tc>
      </w:tr>
      <w:tr w:rsidR="00D849AA">
        <w:trPr>
          <w:jc w:val="center"/>
        </w:trPr>
        <w:tc>
          <w:tcPr>
            <w:tcW w:w="1486" w:type="dxa"/>
          </w:tcPr>
          <w:p w:rsidR="00D849AA" w:rsidRPr="00F37627" w:rsidRDefault="00EE6D95">
            <w:pPr>
              <w:pStyle w:val="CellColumn"/>
            </w:pPr>
            <w:r w:rsidRPr="00F37627">
              <w:t>A544005</w:t>
            </w:r>
          </w:p>
        </w:tc>
        <w:tc>
          <w:tcPr>
            <w:tcW w:w="1486" w:type="dxa"/>
          </w:tcPr>
          <w:p w:rsidR="00D849AA" w:rsidRPr="00F37627" w:rsidRDefault="00EE6D95">
            <w:pPr>
              <w:rPr>
                <w:rFonts w:ascii="Arial" w:hAnsi="Arial" w:cs="Arial"/>
              </w:rPr>
            </w:pPr>
            <w:r w:rsidRPr="00F37627">
              <w:rPr>
                <w:rFonts w:ascii="Arial" w:hAnsi="Arial" w:cs="Arial"/>
              </w:rPr>
              <w:t>600.000.000</w:t>
            </w:r>
          </w:p>
        </w:tc>
        <w:tc>
          <w:tcPr>
            <w:tcW w:w="1486" w:type="dxa"/>
          </w:tcPr>
          <w:p w:rsidR="00D849AA" w:rsidRPr="00F37627" w:rsidRDefault="00EE6D95">
            <w:pPr>
              <w:rPr>
                <w:rFonts w:ascii="Arial" w:hAnsi="Arial" w:cs="Arial"/>
              </w:rPr>
            </w:pPr>
            <w:r w:rsidRPr="00F37627">
              <w:rPr>
                <w:rFonts w:ascii="Arial" w:hAnsi="Arial" w:cs="Arial"/>
              </w:rPr>
              <w:t>600.000.000</w:t>
            </w:r>
          </w:p>
        </w:tc>
        <w:tc>
          <w:tcPr>
            <w:tcW w:w="1486" w:type="dxa"/>
          </w:tcPr>
          <w:p w:rsidR="00D849AA" w:rsidRPr="00F37627" w:rsidRDefault="00EE6D95">
            <w:pPr>
              <w:rPr>
                <w:rFonts w:ascii="Arial" w:hAnsi="Arial" w:cs="Arial"/>
              </w:rPr>
            </w:pPr>
            <w:r w:rsidRPr="00F37627">
              <w:rPr>
                <w:rFonts w:ascii="Arial" w:hAnsi="Arial" w:cs="Arial"/>
              </w:rPr>
              <w:t>182.900.000</w:t>
            </w:r>
          </w:p>
        </w:tc>
        <w:tc>
          <w:tcPr>
            <w:tcW w:w="1486" w:type="dxa"/>
          </w:tcPr>
          <w:p w:rsidR="00D849AA" w:rsidRPr="00F37627" w:rsidRDefault="00EE6D95">
            <w:pPr>
              <w:rPr>
                <w:rFonts w:ascii="Arial" w:hAnsi="Arial" w:cs="Arial"/>
              </w:rPr>
            </w:pPr>
            <w:r w:rsidRPr="00F37627">
              <w:rPr>
                <w:rFonts w:ascii="Arial" w:hAnsi="Arial" w:cs="Arial"/>
              </w:rPr>
              <w:t>100.000.000</w:t>
            </w:r>
          </w:p>
        </w:tc>
        <w:tc>
          <w:tcPr>
            <w:tcW w:w="1486" w:type="dxa"/>
          </w:tcPr>
          <w:p w:rsidR="00D849AA" w:rsidRPr="00F37627" w:rsidRDefault="00EE6D95">
            <w:pPr>
              <w:rPr>
                <w:rFonts w:ascii="Arial" w:hAnsi="Arial" w:cs="Arial"/>
              </w:rPr>
            </w:pPr>
            <w:r w:rsidRPr="00F37627">
              <w:rPr>
                <w:rFonts w:ascii="Arial" w:hAnsi="Arial" w:cs="Arial"/>
              </w:rPr>
              <w:t>100,0</w:t>
            </w:r>
          </w:p>
        </w:tc>
      </w:tr>
    </w:tbl>
    <w:p w:rsidR="00D849AA" w:rsidRDefault="00D849AA">
      <w:pPr>
        <w:jc w:val="left"/>
      </w:pPr>
    </w:p>
    <w:p w:rsidR="00D849AA" w:rsidRDefault="00EE6D95">
      <w:pPr>
        <w:pStyle w:val="Normal6"/>
      </w:pPr>
      <w:r>
        <w:t xml:space="preserve">Uplatama u osnivački kapital HBOR-a osiguravaju se sredstva potrebna za financiranje projekata koji pridonose rastu i razvoju hrvatskog gospodarstva i povoljnijem pozicioniranju hrvatskih gospodarskih subjekata na međunarodnom tržištu. Financiranje projekata se provodi kroz HBOR-ove programe kreditiranja poticanja izvoza, infrastrukture i gospodarskih djelatnosti te malog i srednjeg poduzetništva.   </w:t>
      </w:r>
    </w:p>
    <w:p w:rsidR="00D849AA" w:rsidRDefault="00EE6D95">
      <w:pPr>
        <w:pStyle w:val="Normal6"/>
      </w:pPr>
      <w:r>
        <w:t xml:space="preserve">U tijeku je i provedba Programa kreditiranja projekata kandidata za IPARD s ciljem kreditiranja projekata koji će se kandidirati za sufinanciranje sredstvima V. komponente Instrumenata za pretpristupnu pomoć – Ruralni razvoj – IPARD program.    </w:t>
      </w:r>
    </w:p>
    <w:p w:rsidR="00D849AA" w:rsidRDefault="00EE6D95">
      <w:pPr>
        <w:pStyle w:val="Normal6"/>
      </w:pPr>
      <w:r>
        <w:t xml:space="preserve">Aktivnosti HBOR-a koje se financiraju uplatom u osnivački kapital, a koje direktno utječu na  razvoj gospodarstva RH su sljedeće:   </w:t>
      </w:r>
    </w:p>
    <w:p w:rsidR="00D849AA" w:rsidRDefault="00EE6D95">
      <w:pPr>
        <w:pStyle w:val="Normal6"/>
      </w:pPr>
      <w:r>
        <w:t xml:space="preserve">Financiranje izvoza provodi se kroz:   </w:t>
      </w:r>
    </w:p>
    <w:p w:rsidR="00D849AA" w:rsidRDefault="00EE6D95">
      <w:pPr>
        <w:pStyle w:val="Normal6"/>
      </w:pPr>
      <w:r>
        <w:t xml:space="preserve">-Program kreditiranja pripreme i naplate izvoznih poslova,   </w:t>
      </w:r>
    </w:p>
    <w:p w:rsidR="00D849AA" w:rsidRDefault="00EE6D95">
      <w:pPr>
        <w:pStyle w:val="Normal6"/>
      </w:pPr>
      <w:r>
        <w:t xml:space="preserve">-Program kreditiranja kupaca/banaka u inozemstvu,   </w:t>
      </w:r>
    </w:p>
    <w:p w:rsidR="00D849AA" w:rsidRDefault="00EE6D95">
      <w:pPr>
        <w:pStyle w:val="Normal6"/>
      </w:pPr>
      <w:r>
        <w:t xml:space="preserve">-Program kreditiranja dobavljača kod izvoznih poslova,   </w:t>
      </w:r>
    </w:p>
    <w:p w:rsidR="00D849AA" w:rsidRDefault="00EE6D95">
      <w:pPr>
        <w:pStyle w:val="Normal6"/>
      </w:pPr>
      <w:r>
        <w:t xml:space="preserve">-Kreditne linije bankama inozemnih kupaca,   </w:t>
      </w:r>
    </w:p>
    <w:p w:rsidR="00D849AA" w:rsidRDefault="00EE6D95">
      <w:pPr>
        <w:pStyle w:val="Normal6"/>
      </w:pPr>
      <w:r>
        <w:t xml:space="preserve">-Program kreditiranja turističkog sektora i   </w:t>
      </w:r>
    </w:p>
    <w:p w:rsidR="00D849AA" w:rsidRDefault="00EE6D95">
      <w:pPr>
        <w:pStyle w:val="Normal6"/>
      </w:pPr>
      <w:r>
        <w:t xml:space="preserve">-Program kreditiranja priprema turističke sezone.   </w:t>
      </w:r>
    </w:p>
    <w:p w:rsidR="00D849AA" w:rsidRDefault="00EE6D95">
      <w:pPr>
        <w:pStyle w:val="Normal6"/>
      </w:pPr>
      <w:r>
        <w:t xml:space="preserve">Osim spomenutih programa, HBOR prati hrvatske izvoznike i kroz:   </w:t>
      </w:r>
    </w:p>
    <w:p w:rsidR="00D849AA" w:rsidRDefault="00EE6D95">
      <w:pPr>
        <w:pStyle w:val="Normal6"/>
      </w:pPr>
      <w:r>
        <w:t xml:space="preserve">-Program kreditiranja financijskog restrukturiranja i    </w:t>
      </w:r>
    </w:p>
    <w:p w:rsidR="00D849AA" w:rsidRDefault="00EE6D95">
      <w:pPr>
        <w:pStyle w:val="Normal6"/>
      </w:pPr>
      <w:r>
        <w:t xml:space="preserve">-Program kreditiranja gospodarstva.    </w:t>
      </w:r>
    </w:p>
    <w:p w:rsidR="00D849AA" w:rsidRDefault="00EE6D95">
      <w:pPr>
        <w:pStyle w:val="Normal6"/>
      </w:pPr>
      <w:r>
        <w:t xml:space="preserve">U procesu stvaranja hrvatskog izvoznog proizvoda, HBOR sudjeluje u svim segmentima – od pripreme proizvodnje do realizacije naplate izvoznog posla. Kako bi hrvatskim izvoznicima olakšao izlazak i opstanak na visoko konkurentnim inozemnim tržištima, HBOR putem svojih programa kreditiranja pruža mogućnost ulaganja u investicije, razvoj i proširenje proizvodnih kapaciteta.    </w:t>
      </w:r>
    </w:p>
    <w:p w:rsidR="00D849AA" w:rsidRDefault="00EE6D95">
      <w:pPr>
        <w:pStyle w:val="Normal6"/>
      </w:pPr>
      <w:r>
        <w:t xml:space="preserve">Financiranje projekata infrastrukture provodi se kroz programe kreditiranja komunalne infrastrukture te projekata zaštite okoliša, energetske učinkovitosti i obnovljivih izvora energije. Glavni cilj ovih projekata je razvoj infrastrukture koja je temelj razvoja gospodarstva, malog i srednjeg poduzetništva, turizma i poljoprivrede. Razvojem infrastrukture poboljšavaju se i ujednačavaju životni uvjeti kućanstava na cjelokupnom području RH. Podrškom projektima namijenjenih zaštiti okoliša, racionalnom korištenju prirodnih resursa te prilagodbi energetskog sektora RH, HBOR pridonosi usklađenju sa standardima Europske unije. Projektima zaštite okoliša, energetske učinkovitosti i obnovljivih izvora energije pokrenuto je ulaganje u zbrinjavanje otpada, pročišćavanje otpadnih voda i razvoj vodoopskrbe.   </w:t>
      </w:r>
    </w:p>
    <w:p w:rsidR="00D849AA" w:rsidRDefault="00EE6D95">
      <w:pPr>
        <w:pStyle w:val="Normal6"/>
      </w:pPr>
      <w:r>
        <w:t xml:space="preserve">Poticanje malog i srednjeg poduzetništva provodi se kreditiranjem obrta i malog gospodarstva, kao značajnog čimbenika gospodarskog razvitka RH. Mala i srednja </w:t>
      </w:r>
      <w:r>
        <w:lastRenderedPageBreak/>
        <w:t xml:space="preserve">trgovačka društva predstavljaju osnovu ubrzanog rasta gospodarstva i novog zapošljavanja. Kao i do sada, HBOR će i ubuduće značajan dio svoje kreditne aktivnosti usmjeravati u razvoj malog i srednjeg poduzetništva kroz:   </w:t>
      </w:r>
    </w:p>
    <w:p w:rsidR="00D849AA" w:rsidRDefault="00EE6D95">
      <w:pPr>
        <w:pStyle w:val="Normal6"/>
      </w:pPr>
      <w:r>
        <w:t xml:space="preserve">-Program kreditiranja financijskog restrukturiranja,   </w:t>
      </w:r>
    </w:p>
    <w:p w:rsidR="00D849AA" w:rsidRDefault="00EE6D95">
      <w:pPr>
        <w:pStyle w:val="Normal6"/>
      </w:pPr>
      <w:r>
        <w:t xml:space="preserve">-Program kreditiranja razvitka malog i srednjeg poduzetništva,   </w:t>
      </w:r>
    </w:p>
    <w:p w:rsidR="00D849AA" w:rsidRDefault="00EE6D95">
      <w:pPr>
        <w:pStyle w:val="Normal6"/>
      </w:pPr>
      <w:r>
        <w:t xml:space="preserve">-Program kreditiranja poduzetnika početnika,   </w:t>
      </w:r>
    </w:p>
    <w:p w:rsidR="00D849AA" w:rsidRDefault="00EE6D95">
      <w:pPr>
        <w:pStyle w:val="Normal6"/>
      </w:pPr>
      <w:r>
        <w:t xml:space="preserve">-Program kreditiranja poljoprivrede i malog gospodarstva na područjima posebne državne skrbi,   </w:t>
      </w:r>
    </w:p>
    <w:p w:rsidR="00D849AA" w:rsidRDefault="00EE6D95">
      <w:pPr>
        <w:pStyle w:val="Normal6"/>
      </w:pPr>
      <w:r>
        <w:t xml:space="preserve">-Program financiranja pronalazaka i   </w:t>
      </w:r>
    </w:p>
    <w:p w:rsidR="00D849AA" w:rsidRDefault="00EE6D95">
      <w:pPr>
        <w:pStyle w:val="Normal6"/>
      </w:pPr>
      <w:r>
        <w:t xml:space="preserve">-Program kreditiranja projekata kandidata za IPARD Mjeru 101 i 103, </w:t>
      </w:r>
    </w:p>
    <w:p w:rsidR="00D849AA" w:rsidRDefault="00EE6D95">
      <w:pPr>
        <w:pStyle w:val="Normal6"/>
      </w:pPr>
      <w:r>
        <w:t xml:space="preserve">-Program kreditiranja kandidata za IPARD Mjeru 302, </w:t>
      </w:r>
    </w:p>
    <w:p w:rsidR="00D849AA" w:rsidRDefault="00EE6D95">
      <w:pPr>
        <w:pStyle w:val="Normal6"/>
      </w:pPr>
      <w:r>
        <w:t xml:space="preserve">-Program kreditiranja pripreme poljoprivredne proizvodnje i </w:t>
      </w:r>
    </w:p>
    <w:p w:rsidR="00D849AA" w:rsidRDefault="00EE6D95">
      <w:pPr>
        <w:pStyle w:val="Normal6"/>
      </w:pPr>
      <w:r>
        <w:t xml:space="preserve">-Program kreditiranja ženskog poduzetništva. </w:t>
      </w:r>
    </w:p>
    <w:p w:rsidR="00D849AA" w:rsidRDefault="00EE6D95">
      <w:pPr>
        <w:pStyle w:val="Normal6"/>
      </w:pPr>
      <w:r>
        <w:t xml:space="preserve"> </w:t>
      </w:r>
    </w:p>
    <w:p w:rsidR="00D849AA" w:rsidRDefault="00EE6D95" w:rsidP="00F37627">
      <w:pPr>
        <w:pStyle w:val="Normal6"/>
      </w:pPr>
      <w:r>
        <w:t xml:space="preserve">Tijekom 2012. godine uveden je Program kreditiranja projekata kandidata IPA MSP darovnice. Cilj Programa je kreditiranje projekata kandidata programa za dodjelu bespovratnih sredstava iz pretpristupnog fonda IPA III C – Potpora povećanju konkurentnosti malog i srednjeg poduzetništva u RH. </w:t>
      </w:r>
    </w:p>
    <w:p w:rsidR="00D849AA" w:rsidRDefault="00EE6D95" w:rsidP="00F37627">
      <w:pPr>
        <w:pStyle w:val="Normal6"/>
      </w:pPr>
      <w:r>
        <w:t xml:space="preserve">Uzimajući u obzir dosadašnja iskustva izrađen je i poseban program Kreditiranje IPA-e (Program kreditiranja projekata kandidata za program IPA). Cilj Programa je kreditiranje projekata koji se kandidiraju za sufinanciranje sredstvima komponenti Instrumenata za pretpristupnu pomoć (IPA), a koji nisu obuhvaćeni postojećim programima kreditiranja HBOR-a (IPARD Mjere 101, 103, 301, 302 i IPA MSP darovnica). </w:t>
      </w:r>
    </w:p>
    <w:p w:rsidR="00D849AA" w:rsidRDefault="00EE6D95">
      <w:pPr>
        <w:pStyle w:val="Normal6"/>
      </w:pPr>
      <w:r>
        <w:t>Financiranje razvitka gospodarskih djelatnosti važan je program kreditiranja koji će se nastaviti provoditi i u narednom razdoblju od 2014. do 2016. godine kroz ponudu financiranja modernizacije proizvodnih kapaciteta, nabavku nove opreme te uvođenje novih tehnologija i proizvoda. U prosincu 2012. godine HBOR uvodi program Nova proizvodnja s ciljem poticanja ulaganja u nove tehnologije i certificiranje proizvoda i usluga kako bi se povećala konkurentnost domaćih proizvođača na domaćem tržištu te olakšala prilagodba ulaska na međunarodno tržište kroz zajedničke nastupe poduzetnika.</w:t>
      </w:r>
    </w:p>
    <w:p w:rsidR="00D849AA" w:rsidRDefault="00EE6D95">
      <w:pPr>
        <w:pStyle w:val="Naslov6"/>
      </w:pPr>
      <w:r>
        <w:t>A544011 OSIGURANJE IZVOZA - GARANTNI FOND</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F37627" w:rsidRDefault="00EE6D95">
            <w:pPr>
              <w:pStyle w:val="CellHeader"/>
            </w:pPr>
            <w:r w:rsidRPr="00F37627">
              <w:t>Naziv aktivnosti</w:t>
            </w:r>
          </w:p>
        </w:tc>
        <w:tc>
          <w:tcPr>
            <w:tcW w:w="1486" w:type="dxa"/>
            <w:shd w:val="clear" w:color="auto" w:fill="B5C0D8"/>
          </w:tcPr>
          <w:p w:rsidR="00D849AA" w:rsidRPr="00F37627" w:rsidRDefault="00EE6D95">
            <w:pPr>
              <w:pStyle w:val="CellHeader"/>
            </w:pPr>
            <w:r w:rsidRPr="00F37627">
              <w:t>Plan 2013.</w:t>
            </w:r>
          </w:p>
        </w:tc>
        <w:tc>
          <w:tcPr>
            <w:tcW w:w="1486" w:type="dxa"/>
            <w:shd w:val="clear" w:color="auto" w:fill="B5C0D8"/>
          </w:tcPr>
          <w:p w:rsidR="00D849AA" w:rsidRPr="00F37627" w:rsidRDefault="00EE6D95">
            <w:pPr>
              <w:pStyle w:val="CellHeader"/>
            </w:pPr>
            <w:r w:rsidRPr="00F37627">
              <w:t>Plan 2014.</w:t>
            </w:r>
          </w:p>
        </w:tc>
        <w:tc>
          <w:tcPr>
            <w:tcW w:w="1486" w:type="dxa"/>
            <w:shd w:val="clear" w:color="auto" w:fill="B5C0D8"/>
          </w:tcPr>
          <w:p w:rsidR="00D849AA" w:rsidRPr="00F37627" w:rsidRDefault="00EE6D95">
            <w:pPr>
              <w:pStyle w:val="CellHeader"/>
            </w:pPr>
            <w:r w:rsidRPr="00F37627">
              <w:t>Plan 2015.</w:t>
            </w:r>
          </w:p>
        </w:tc>
        <w:tc>
          <w:tcPr>
            <w:tcW w:w="1486" w:type="dxa"/>
            <w:shd w:val="clear" w:color="auto" w:fill="B5C0D8"/>
          </w:tcPr>
          <w:p w:rsidR="00D849AA" w:rsidRPr="00F37627" w:rsidRDefault="00EE6D95">
            <w:pPr>
              <w:pStyle w:val="CellHeader"/>
            </w:pPr>
            <w:r w:rsidRPr="00F37627">
              <w:t>Plan 2016.</w:t>
            </w:r>
          </w:p>
        </w:tc>
        <w:tc>
          <w:tcPr>
            <w:tcW w:w="1486" w:type="dxa"/>
            <w:shd w:val="clear" w:color="auto" w:fill="B5C0D8"/>
          </w:tcPr>
          <w:p w:rsidR="00D849AA" w:rsidRPr="00F37627" w:rsidRDefault="00EE6D95">
            <w:pPr>
              <w:pStyle w:val="CellHeader"/>
            </w:pPr>
            <w:r w:rsidRPr="00F37627">
              <w:t>Indeks 2014/2013</w:t>
            </w:r>
          </w:p>
        </w:tc>
      </w:tr>
      <w:tr w:rsidR="00D849AA">
        <w:trPr>
          <w:jc w:val="center"/>
        </w:trPr>
        <w:tc>
          <w:tcPr>
            <w:tcW w:w="1486" w:type="dxa"/>
          </w:tcPr>
          <w:p w:rsidR="00D849AA" w:rsidRPr="00F37627" w:rsidRDefault="00EE6D95">
            <w:pPr>
              <w:pStyle w:val="CellColumn"/>
            </w:pPr>
            <w:r w:rsidRPr="00F37627">
              <w:t>A544011</w:t>
            </w:r>
          </w:p>
        </w:tc>
        <w:tc>
          <w:tcPr>
            <w:tcW w:w="1486" w:type="dxa"/>
          </w:tcPr>
          <w:p w:rsidR="00D849AA" w:rsidRPr="00F37627" w:rsidRDefault="00EE6D95">
            <w:pPr>
              <w:rPr>
                <w:rFonts w:ascii="Arial" w:hAnsi="Arial" w:cs="Arial"/>
              </w:rPr>
            </w:pPr>
            <w:r w:rsidRPr="00F37627">
              <w:rPr>
                <w:rFonts w:ascii="Arial" w:hAnsi="Arial" w:cs="Arial"/>
              </w:rPr>
              <w:t>00</w:t>
            </w:r>
          </w:p>
        </w:tc>
        <w:tc>
          <w:tcPr>
            <w:tcW w:w="1486" w:type="dxa"/>
          </w:tcPr>
          <w:p w:rsidR="00D849AA" w:rsidRPr="00F37627" w:rsidRDefault="00EE6D95">
            <w:pPr>
              <w:rPr>
                <w:rFonts w:ascii="Arial" w:hAnsi="Arial" w:cs="Arial"/>
              </w:rPr>
            </w:pPr>
            <w:r w:rsidRPr="00F37627">
              <w:rPr>
                <w:rFonts w:ascii="Arial" w:hAnsi="Arial" w:cs="Arial"/>
              </w:rPr>
              <w:t>100.000.000</w:t>
            </w:r>
          </w:p>
        </w:tc>
        <w:tc>
          <w:tcPr>
            <w:tcW w:w="1486" w:type="dxa"/>
          </w:tcPr>
          <w:p w:rsidR="00D849AA" w:rsidRPr="00F37627" w:rsidRDefault="00EE6D95">
            <w:pPr>
              <w:rPr>
                <w:rFonts w:ascii="Arial" w:hAnsi="Arial" w:cs="Arial"/>
              </w:rPr>
            </w:pPr>
            <w:r w:rsidRPr="00F37627">
              <w:rPr>
                <w:rFonts w:ascii="Arial" w:hAnsi="Arial" w:cs="Arial"/>
              </w:rPr>
              <w:t>10.000.000</w:t>
            </w:r>
          </w:p>
        </w:tc>
        <w:tc>
          <w:tcPr>
            <w:tcW w:w="1486" w:type="dxa"/>
          </w:tcPr>
          <w:p w:rsidR="00D849AA" w:rsidRPr="00F37627" w:rsidRDefault="00EE6D95">
            <w:pPr>
              <w:rPr>
                <w:rFonts w:ascii="Arial" w:hAnsi="Arial" w:cs="Arial"/>
              </w:rPr>
            </w:pPr>
            <w:r w:rsidRPr="00F37627">
              <w:rPr>
                <w:rFonts w:ascii="Arial" w:hAnsi="Arial" w:cs="Arial"/>
              </w:rPr>
              <w:t>10.000.000</w:t>
            </w:r>
          </w:p>
        </w:tc>
        <w:tc>
          <w:tcPr>
            <w:tcW w:w="1486" w:type="dxa"/>
          </w:tcPr>
          <w:p w:rsidR="00D849AA" w:rsidRPr="00F37627" w:rsidRDefault="00EE6D95">
            <w:pPr>
              <w:rPr>
                <w:rFonts w:ascii="Arial" w:hAnsi="Arial" w:cs="Arial"/>
              </w:rPr>
            </w:pPr>
            <w:r w:rsidRPr="00F37627">
              <w:rPr>
                <w:rFonts w:ascii="Arial" w:hAnsi="Arial" w:cs="Arial"/>
              </w:rPr>
              <w:t>0,0</w:t>
            </w:r>
          </w:p>
        </w:tc>
      </w:tr>
    </w:tbl>
    <w:p w:rsidR="00D849AA" w:rsidRDefault="00D849AA">
      <w:pPr>
        <w:jc w:val="left"/>
      </w:pPr>
    </w:p>
    <w:p w:rsidR="00D849AA" w:rsidRDefault="00EE6D95">
      <w:pPr>
        <w:pStyle w:val="Normal6"/>
      </w:pPr>
      <w:r>
        <w:t xml:space="preserve">Poslove osiguranja izvoza, kao značajnu potporu hrvatskom gospodarstvu, HBOR provodi od 1998. godine te kroz program osiguranja izvoza pruža cjelovitu uslugu izvoznicima i bankama kojom se pokrivaju rizici u svim fazama izvoznog ciklusa - od pripreme roba i usluga za izvoz do konačne naplate izvoznog posla.  </w:t>
      </w:r>
    </w:p>
    <w:p w:rsidR="00D849AA" w:rsidRDefault="00EE6D95">
      <w:pPr>
        <w:pStyle w:val="Normal6"/>
      </w:pPr>
      <w:r>
        <w:t xml:space="preserve">Sredstva za obavljanje poslova osiguranja sukladno čl. 31. st. 2. Uredbe o osiguranju izvoza služe za isplatu odšteta, pokriće troškova sprječavanja nastanka štete i za pokriće ostalih troškova osiguratelja u provedbi osiguranja izvoza. U slučaju da je ukupni iznos odštete veći od ukupnog iznosa sredstava za obavljanje poslova osiguranja izvoza, RH dužna je prije dospijeća odštete, razliku iznosa uplatiti HBOR-u. </w:t>
      </w:r>
    </w:p>
    <w:p w:rsidR="00D849AA" w:rsidRDefault="00EE6D95">
      <w:pPr>
        <w:pStyle w:val="Normal6"/>
      </w:pPr>
      <w:r>
        <w:lastRenderedPageBreak/>
        <w:t xml:space="preserve">Ciljevi provedbe programa osiguranja izvoza su povećanje konkurentnosti hrvatskih gospodarstvenika, povećanje rasta hrvatskog izvoza i zaštita poslovnih subjekata od neplaćanja na inozemnom tržištu od komercijalnih i političkih rizika. </w:t>
      </w:r>
    </w:p>
    <w:p w:rsidR="00D849AA" w:rsidRDefault="00EE6D95">
      <w:pPr>
        <w:pStyle w:val="Normal6"/>
      </w:pPr>
      <w:r>
        <w:t xml:space="preserve">Program osiguranja izvoza će se realizirati putem postojećih HBOR-ovih programa osiguranja odnosno putem postojećih i novih zaključenih ugovora o osiguranju i reosiguranju kojima se u određenom udjelu preuzima dio rizika u pojedinom izvoznom poslu. Korisnici programa osiguranja izvoza su financijske institucije u RH ili inozemstvu (poslovne ili razvojne banke), društva koja se bave izvoznom djelatnošću i osiguravajuća društva koja se bave izvozno-kreditnim osiguranjem (npr. Hrvatsko kreditno osiguranje d.d.). </w:t>
      </w:r>
    </w:p>
    <w:p w:rsidR="00D849AA" w:rsidRDefault="00EE6D95">
      <w:pPr>
        <w:pStyle w:val="Normal6"/>
      </w:pPr>
      <w:r>
        <w:t xml:space="preserve">Na dan 30.06.2013. godine stanje Garantnog fonda iznosi 175,49 milijuna kuna. Uzevši u obzir HBOR-ovu ukupnu bruto izloženost koja na dan 30.06.2013. godine iznosi 1,80 milijardi kuna, udio Garantnog fonda u ukupnoj bruto izloženosti iznosi 9,74% , što je samo 1,74% više od minimalnog udjela Garantnog fonda u ukupnoj bruto izloženosti od 8%.  </w:t>
      </w:r>
    </w:p>
    <w:p w:rsidR="00D849AA" w:rsidRDefault="00EE6D95">
      <w:pPr>
        <w:pStyle w:val="Normal6"/>
      </w:pPr>
      <w:r>
        <w:t xml:space="preserve">Od početka obavljanja poslova osiguranja izvoza od 1998. godine do danas, ukupno je isplaćeno 99,7 milijuna kuna za 113 odštetnih zahtjeva. Trend isplate odšteta ima tendenciju rasta od 2012. godine. Navedeni trend je posljedica stanja u gospodarstvima na kojima hrvatski izvoznici plasiraju svoje proizvode i usluge.  </w:t>
      </w:r>
    </w:p>
    <w:p w:rsidR="00D849AA" w:rsidRDefault="00EE6D95">
      <w:pPr>
        <w:pStyle w:val="Normal6"/>
      </w:pPr>
      <w:r>
        <w:t xml:space="preserve">S obzirom na stanje rezervacija za identificirane rizike (potencijalne odštete) te stanje na svjetskim tržištima koja se nalaze u gospodarskoj krizi i posebice na tržištima na kojima posluju hrvatski izvoznici (Italija, BiH, Njemačka, Slovenija, Srbija) očekuje se uslijed mogućih isplata odšteta dodatno smanjenje stanja Garantnog fonda. </w:t>
      </w:r>
    </w:p>
    <w:p w:rsidR="00D849AA" w:rsidRDefault="00EE6D95">
      <w:pPr>
        <w:pStyle w:val="Normal6"/>
      </w:pPr>
      <w:r>
        <w:t xml:space="preserve">Sagledavši stanje hrvatskog gospodarstva u kojem se povećava broj stečajeva poslovnih subjekata te negativnih projekcija za izvozna tržišta hrvatskih izvoznika, što nosi povećanje komercijalnih i političkih rizika na koje izvoznici ne mogu utjecati, za očekivati je i povećanje broja odšteta što će dodatno utjecati na smanjenje sredstava u Garantnom fondu.  </w:t>
      </w:r>
    </w:p>
    <w:p w:rsidR="00D849AA" w:rsidRDefault="00EE6D95">
      <w:pPr>
        <w:pStyle w:val="Normal6"/>
      </w:pPr>
      <w:r>
        <w:t>Uslijed povećanih zahtjeva izvoznika i inicijative poduzetnika iz građevinskog sektora koji su zatražili veću podršku države u njihovim nastojanjima da se okrenu novim poslovima u inozemstvu, HBOR se kroz proizvod osiguranja činidbenih garancija u ime i za račun RH aktivnije uključio u pružanje podrške navedenim subjektima.</w:t>
      </w:r>
    </w:p>
    <w:p w:rsidR="00F37627" w:rsidRDefault="00F37627" w:rsidP="00F37627">
      <w:pPr>
        <w:pStyle w:val="Naslov4"/>
      </w:pPr>
      <w:r>
        <w:t>OBRAZLOŽENJE PROGRAMA</w:t>
      </w:r>
    </w:p>
    <w:p w:rsidR="00D849AA" w:rsidRDefault="00EE6D95">
      <w:pPr>
        <w:pStyle w:val="Naslov5"/>
      </w:pPr>
      <w:r>
        <w:t>3404 OBNOVA I RAZVITAK LOKALNE INFRASTRUKTURE I ZAŠTITA OKOLIŠA - MEIP</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F37627" w:rsidRDefault="00D849AA">
            <w:pPr>
              <w:pStyle w:val="CellHeader"/>
            </w:pPr>
          </w:p>
        </w:tc>
        <w:tc>
          <w:tcPr>
            <w:tcW w:w="1486" w:type="dxa"/>
            <w:shd w:val="clear" w:color="auto" w:fill="B5C0D8"/>
          </w:tcPr>
          <w:p w:rsidR="00D849AA" w:rsidRPr="00F37627" w:rsidRDefault="00EE6D95">
            <w:pPr>
              <w:pStyle w:val="CellHeader"/>
            </w:pPr>
            <w:r w:rsidRPr="00F37627">
              <w:t>Plan 2013.</w:t>
            </w:r>
          </w:p>
        </w:tc>
        <w:tc>
          <w:tcPr>
            <w:tcW w:w="1486" w:type="dxa"/>
            <w:shd w:val="clear" w:color="auto" w:fill="B5C0D8"/>
          </w:tcPr>
          <w:p w:rsidR="00D849AA" w:rsidRPr="00F37627" w:rsidRDefault="00EE6D95">
            <w:pPr>
              <w:pStyle w:val="CellHeader"/>
            </w:pPr>
            <w:r w:rsidRPr="00F37627">
              <w:t>Plan 2014.</w:t>
            </w:r>
          </w:p>
        </w:tc>
        <w:tc>
          <w:tcPr>
            <w:tcW w:w="1486" w:type="dxa"/>
            <w:shd w:val="clear" w:color="auto" w:fill="B5C0D8"/>
          </w:tcPr>
          <w:p w:rsidR="00D849AA" w:rsidRPr="00F37627" w:rsidRDefault="00EE6D95">
            <w:pPr>
              <w:pStyle w:val="CellHeader"/>
            </w:pPr>
            <w:r w:rsidRPr="00F37627">
              <w:t>Plan 2015.</w:t>
            </w:r>
          </w:p>
        </w:tc>
        <w:tc>
          <w:tcPr>
            <w:tcW w:w="1486" w:type="dxa"/>
            <w:shd w:val="clear" w:color="auto" w:fill="B5C0D8"/>
          </w:tcPr>
          <w:p w:rsidR="00D849AA" w:rsidRPr="00F37627" w:rsidRDefault="00EE6D95">
            <w:pPr>
              <w:pStyle w:val="CellHeader"/>
            </w:pPr>
            <w:r w:rsidRPr="00F37627">
              <w:t>Plan 2016.</w:t>
            </w:r>
          </w:p>
        </w:tc>
        <w:tc>
          <w:tcPr>
            <w:tcW w:w="1486" w:type="dxa"/>
            <w:shd w:val="clear" w:color="auto" w:fill="B5C0D8"/>
          </w:tcPr>
          <w:p w:rsidR="00D849AA" w:rsidRPr="00F37627" w:rsidRDefault="00EE6D95">
            <w:pPr>
              <w:pStyle w:val="CellHeader"/>
            </w:pPr>
            <w:r w:rsidRPr="00F37627">
              <w:t>Indeks 2014/2013</w:t>
            </w:r>
          </w:p>
        </w:tc>
      </w:tr>
      <w:tr w:rsidR="00D849AA">
        <w:trPr>
          <w:jc w:val="center"/>
        </w:trPr>
        <w:tc>
          <w:tcPr>
            <w:tcW w:w="1486" w:type="dxa"/>
          </w:tcPr>
          <w:p w:rsidR="00D849AA" w:rsidRPr="00F37627" w:rsidRDefault="00EE6D95">
            <w:pPr>
              <w:pStyle w:val="CellColumn"/>
            </w:pPr>
            <w:r w:rsidRPr="00F37627">
              <w:t>3404</w:t>
            </w:r>
          </w:p>
        </w:tc>
        <w:tc>
          <w:tcPr>
            <w:tcW w:w="1486" w:type="dxa"/>
          </w:tcPr>
          <w:p w:rsidR="00D849AA" w:rsidRPr="00F37627" w:rsidRDefault="00EE6D95">
            <w:pPr>
              <w:rPr>
                <w:rFonts w:ascii="Arial" w:hAnsi="Arial" w:cs="Arial"/>
              </w:rPr>
            </w:pPr>
            <w:r w:rsidRPr="00F37627">
              <w:rPr>
                <w:rFonts w:ascii="Arial" w:hAnsi="Arial" w:cs="Arial"/>
              </w:rPr>
              <w:t>20.000.000</w:t>
            </w:r>
          </w:p>
        </w:tc>
        <w:tc>
          <w:tcPr>
            <w:tcW w:w="1486" w:type="dxa"/>
          </w:tcPr>
          <w:p w:rsidR="00D849AA" w:rsidRPr="00F37627" w:rsidRDefault="00EE6D95">
            <w:pPr>
              <w:rPr>
                <w:rFonts w:ascii="Arial" w:hAnsi="Arial" w:cs="Arial"/>
              </w:rPr>
            </w:pPr>
            <w:r w:rsidRPr="00F37627">
              <w:rPr>
                <w:rFonts w:ascii="Arial" w:hAnsi="Arial" w:cs="Arial"/>
              </w:rPr>
              <w:t>20.000.000</w:t>
            </w:r>
          </w:p>
        </w:tc>
        <w:tc>
          <w:tcPr>
            <w:tcW w:w="1486" w:type="dxa"/>
          </w:tcPr>
          <w:p w:rsidR="00D849AA" w:rsidRPr="00F37627" w:rsidRDefault="00EE6D95">
            <w:pPr>
              <w:rPr>
                <w:rFonts w:ascii="Arial" w:hAnsi="Arial" w:cs="Arial"/>
              </w:rPr>
            </w:pPr>
            <w:r w:rsidRPr="00F37627">
              <w:rPr>
                <w:rFonts w:ascii="Arial" w:hAnsi="Arial" w:cs="Arial"/>
              </w:rPr>
              <w:t>20.000.000</w:t>
            </w:r>
          </w:p>
        </w:tc>
        <w:tc>
          <w:tcPr>
            <w:tcW w:w="1486" w:type="dxa"/>
          </w:tcPr>
          <w:p w:rsidR="00D849AA" w:rsidRPr="00F37627" w:rsidRDefault="00EE6D95">
            <w:pPr>
              <w:rPr>
                <w:rFonts w:ascii="Arial" w:hAnsi="Arial" w:cs="Arial"/>
              </w:rPr>
            </w:pPr>
            <w:r w:rsidRPr="00F37627">
              <w:rPr>
                <w:rFonts w:ascii="Arial" w:hAnsi="Arial" w:cs="Arial"/>
              </w:rPr>
              <w:t>15.000.000</w:t>
            </w:r>
          </w:p>
        </w:tc>
        <w:tc>
          <w:tcPr>
            <w:tcW w:w="1486" w:type="dxa"/>
          </w:tcPr>
          <w:p w:rsidR="00D849AA" w:rsidRPr="00F37627" w:rsidRDefault="00EE6D95">
            <w:pPr>
              <w:rPr>
                <w:rFonts w:ascii="Arial" w:hAnsi="Arial" w:cs="Arial"/>
              </w:rPr>
            </w:pPr>
            <w:r w:rsidRPr="00F37627">
              <w:rPr>
                <w:rFonts w:ascii="Arial" w:hAnsi="Arial" w:cs="Arial"/>
              </w:rPr>
              <w:t>100,0</w:t>
            </w:r>
          </w:p>
        </w:tc>
      </w:tr>
    </w:tbl>
    <w:p w:rsidR="00D849AA" w:rsidRDefault="00D849AA">
      <w:pPr>
        <w:jc w:val="left"/>
      </w:pPr>
    </w:p>
    <w:p w:rsidR="00D849AA" w:rsidRDefault="00EE6D95">
      <w:pPr>
        <w:pStyle w:val="Naslov6"/>
      </w:pPr>
      <w:r>
        <w:t>Opis programa</w:t>
      </w:r>
    </w:p>
    <w:p w:rsidR="00D849AA" w:rsidRDefault="00EE6D95">
      <w:pPr>
        <w:pStyle w:val="Normal5"/>
      </w:pPr>
      <w:r>
        <w:t xml:space="preserve">Program MEIP je važan zbog nastojanja Republike Hrvatske da se približi standardima zaštite okoliša Europske unije. Izgradnjom sustava zaštite voda i sustava za zbrinjavanje otpadnih voda zaštićuju se podzemne vode i omogućava pročišćavanje otpadnih i oborinskih voda.    </w:t>
      </w:r>
    </w:p>
    <w:p w:rsidR="00D849AA" w:rsidRDefault="00EE6D95">
      <w:pPr>
        <w:pStyle w:val="Normal5"/>
      </w:pPr>
      <w:r>
        <w:lastRenderedPageBreak/>
        <w:t xml:space="preserve">MEIP obuhvaća dva projekta:   </w:t>
      </w:r>
    </w:p>
    <w:p w:rsidR="00D849AA" w:rsidRDefault="00EE6D95">
      <w:pPr>
        <w:pStyle w:val="Normal5"/>
      </w:pPr>
      <w:r>
        <w:t xml:space="preserve">- Integralni projekt zaštite Kaštelanskog zaljeva – EKO projekt čiji je krajnji korisnik Vodovod i kanalizacija d.o.o. Split i obuhvaća šire područje gradova Splita, Solina, Kaštela i Trogira i   </w:t>
      </w:r>
    </w:p>
    <w:p w:rsidR="00D849AA" w:rsidRDefault="00EE6D95">
      <w:pPr>
        <w:pStyle w:val="Normal5"/>
      </w:pPr>
      <w:r>
        <w:t>- Projekt pročišćavanja i odvodnje otpadnih voda grada Pule – Projekt Pula čiji je krajnji korisnik Pula Herculanea d.o.o za obavljanje komunalnih usluga.</w:t>
      </w:r>
    </w:p>
    <w:p w:rsidR="00D849AA" w:rsidRDefault="00EE6D95">
      <w:pPr>
        <w:pStyle w:val="Naslov6"/>
      </w:pPr>
      <w:r>
        <w:t>Zakonske i druge pravne osnove</w:t>
      </w:r>
    </w:p>
    <w:p w:rsidR="00D849AA" w:rsidRDefault="00EE6D95">
      <w:pPr>
        <w:pStyle w:val="Normal5"/>
      </w:pPr>
      <w:r>
        <w:t xml:space="preserve">Program ulaganja u lokalnu infrastrukturu i zaštitu okoliša sufinancira se sredstvima osiguranim ugovorima o zajmu koje je HBOR zaključio s Europskom bankom za obnovu i razvoj (EBRD) i Međunarodnom bankom za obnovu i razvoj (IBRD). Sabor RH je donio zakone o potvrđivanju ugovora o jamstvu između RH i EBRD/IBRD, kojima jamči za obveze HBOR-a preuzete ugovorima o zajmu. Ugovorima o jamstvu RH je preuzela obvezu osigurati dodatna sredstva za podmirivanje izdataka MEIP-a. Program MEIP se dodatno financira i sredstvima Hrvatskih voda, komunalnih društava i sredstvima prikupljenim od naknade za razvoj.    </w:t>
      </w:r>
    </w:p>
    <w:p w:rsidR="00D849AA" w:rsidRDefault="00EE6D95">
      <w:pPr>
        <w:pStyle w:val="Normal5"/>
      </w:pPr>
      <w:r>
        <w:t>Program se provodi temeljem Ugovora o obavljanju poslova po nalogu broj 5100-MF-1/99 zaključen između Republike Hrvatske – Ministarstva financija i HBOR-a dana 4. veljače 1999. godine, Dodatka I Ugovora o obavljanju poslova po nalogu zaključen između Republike Hrvatske – Ministarstva financija i HBOR-a od 2. veljače 2000. godine, Dodatka II Ugovora o obavljanju poslova po nalogu zaključen između Republike Hrvatske – Ministarstva financija i HBOR-a od 18. srpnja 2002. godine, Dodatka III Ugovora o obavljanju poslova po nalogu zaključen između Republike Hrvatske – Ministarstva financija i HBOR-a od 26. lipnja 2006. godine, Dodatka IV Ugovora o obavljanju poslova po nalogu zaključen između Republike Hrvatske – Ministarstva financija i HBOR-a od 15. prosinca 2007. godine, Izvješća i zaključka Vlade RH o provedbi Integralnog ekološkog projekta zaštite Kaštelanskog zaljeva iz lipnja 2007. godine, Izvješća i zaključka Vlade RH o provedbi Integralnog ekološkog projekta zaštite Kaštelanskog zaljeva i Projekta odvodnje i pročišćavanja otpadnih voda grada Pule iz lipnja 2009. godine i Revidirani investicijski program (RIP 2010) Integralnog ekološkog projekta zaštite Kaštelanskog zaljeva.</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 xml:space="preserve">Cilj 1. Poboljšanje vodoopskrbnog sustava i smanjenje zagađenosti mora u Kaštelanskom i Pulskom zaljevu </w:t>
      </w:r>
    </w:p>
    <w:p w:rsidR="00D849AA" w:rsidRDefault="00EE6D95">
      <w:pPr>
        <w:pStyle w:val="Normal6"/>
      </w:pPr>
      <w:r>
        <w:t xml:space="preserve">Ciljevi EKO projekta su smanjiti zagađenost Kaštelanskog zaljeva sukladno standardima zaštite okoliša i poboljšati vodoopskrbu izgradnjom novih i proširenjem postojećih vodoopskrbnih kapaciteta.   </w:t>
      </w:r>
    </w:p>
    <w:p w:rsidR="00F37627" w:rsidRDefault="00EE6D95" w:rsidP="00F37627">
      <w:pPr>
        <w:pStyle w:val="Normal6"/>
      </w:pPr>
      <w:r>
        <w:t>Ciljevi Projekta Pula su smanjiti zagađenost Pulskog zaljeva, riješiti problem prikupljanja otpadnih i oborinskih voda koje onečišćuju pulsku luku i zaštititi bunar pitke vode vodoopskrbnog sustava Pule dogradnjom kanalizacijskog sustava.</w:t>
      </w:r>
    </w:p>
    <w:p w:rsidR="00F37627" w:rsidRDefault="00F37627" w:rsidP="00F37627">
      <w:pPr>
        <w:pStyle w:val="Normal6"/>
      </w:pPr>
    </w:p>
    <w:p w:rsidR="00D849AA" w:rsidRDefault="00EE6D95">
      <w:pPr>
        <w:pStyle w:val="Naslov5"/>
      </w:pPr>
      <w:r>
        <w:lastRenderedPageBreak/>
        <w:t>Procjena i ishodište potrebnih sredstava za značajnije aktivnosti/projekte</w:t>
      </w:r>
    </w:p>
    <w:p w:rsidR="00D849AA" w:rsidRDefault="00EE6D95">
      <w:pPr>
        <w:pStyle w:val="Naslov6"/>
      </w:pPr>
      <w:r>
        <w:t>A544002 PROGRAM MEIP - OBNOVA I RAZVITAK LOKALNE INFRASTRUKTURE I ZAŠTITA OKOLIŠA - (KREDIT EBRD I IBRD-UDIO RH)</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F37627" w:rsidRDefault="00EE6D95">
            <w:pPr>
              <w:pStyle w:val="CellHeader"/>
            </w:pPr>
            <w:r w:rsidRPr="00F37627">
              <w:t>Naziv aktivnosti</w:t>
            </w:r>
          </w:p>
        </w:tc>
        <w:tc>
          <w:tcPr>
            <w:tcW w:w="1486" w:type="dxa"/>
            <w:shd w:val="clear" w:color="auto" w:fill="B5C0D8"/>
          </w:tcPr>
          <w:p w:rsidR="00D849AA" w:rsidRPr="00F37627" w:rsidRDefault="00EE6D95">
            <w:pPr>
              <w:pStyle w:val="CellHeader"/>
            </w:pPr>
            <w:r w:rsidRPr="00F37627">
              <w:t>Plan 2013.</w:t>
            </w:r>
          </w:p>
        </w:tc>
        <w:tc>
          <w:tcPr>
            <w:tcW w:w="1486" w:type="dxa"/>
            <w:shd w:val="clear" w:color="auto" w:fill="B5C0D8"/>
          </w:tcPr>
          <w:p w:rsidR="00D849AA" w:rsidRPr="00F37627" w:rsidRDefault="00EE6D95">
            <w:pPr>
              <w:pStyle w:val="CellHeader"/>
            </w:pPr>
            <w:r w:rsidRPr="00F37627">
              <w:t>Plan 2014.</w:t>
            </w:r>
          </w:p>
        </w:tc>
        <w:tc>
          <w:tcPr>
            <w:tcW w:w="1486" w:type="dxa"/>
            <w:shd w:val="clear" w:color="auto" w:fill="B5C0D8"/>
          </w:tcPr>
          <w:p w:rsidR="00D849AA" w:rsidRPr="00F37627" w:rsidRDefault="00EE6D95">
            <w:pPr>
              <w:pStyle w:val="CellHeader"/>
            </w:pPr>
            <w:r w:rsidRPr="00F37627">
              <w:t>Plan 2015.</w:t>
            </w:r>
          </w:p>
        </w:tc>
        <w:tc>
          <w:tcPr>
            <w:tcW w:w="1486" w:type="dxa"/>
            <w:shd w:val="clear" w:color="auto" w:fill="B5C0D8"/>
          </w:tcPr>
          <w:p w:rsidR="00D849AA" w:rsidRPr="00F37627" w:rsidRDefault="00EE6D95">
            <w:pPr>
              <w:pStyle w:val="CellHeader"/>
            </w:pPr>
            <w:r w:rsidRPr="00F37627">
              <w:t>Plan 2016.</w:t>
            </w:r>
          </w:p>
        </w:tc>
        <w:tc>
          <w:tcPr>
            <w:tcW w:w="1486" w:type="dxa"/>
            <w:shd w:val="clear" w:color="auto" w:fill="B5C0D8"/>
          </w:tcPr>
          <w:p w:rsidR="00D849AA" w:rsidRPr="00F37627" w:rsidRDefault="00EE6D95">
            <w:pPr>
              <w:pStyle w:val="CellHeader"/>
            </w:pPr>
            <w:r w:rsidRPr="00F37627">
              <w:t>Indeks 2014/2013</w:t>
            </w:r>
          </w:p>
        </w:tc>
      </w:tr>
      <w:tr w:rsidR="00D849AA">
        <w:trPr>
          <w:jc w:val="center"/>
        </w:trPr>
        <w:tc>
          <w:tcPr>
            <w:tcW w:w="1486" w:type="dxa"/>
          </w:tcPr>
          <w:p w:rsidR="00D849AA" w:rsidRPr="00F37627" w:rsidRDefault="00EE6D95">
            <w:pPr>
              <w:pStyle w:val="CellColumn"/>
            </w:pPr>
            <w:r w:rsidRPr="00F37627">
              <w:t>A544002</w:t>
            </w:r>
          </w:p>
        </w:tc>
        <w:tc>
          <w:tcPr>
            <w:tcW w:w="1486" w:type="dxa"/>
          </w:tcPr>
          <w:p w:rsidR="00D849AA" w:rsidRPr="00F37627" w:rsidRDefault="00EE6D95">
            <w:pPr>
              <w:rPr>
                <w:rFonts w:ascii="Arial" w:hAnsi="Arial" w:cs="Arial"/>
              </w:rPr>
            </w:pPr>
            <w:r w:rsidRPr="00F37627">
              <w:rPr>
                <w:rFonts w:ascii="Arial" w:hAnsi="Arial" w:cs="Arial"/>
              </w:rPr>
              <w:t>20.000.000</w:t>
            </w:r>
          </w:p>
        </w:tc>
        <w:tc>
          <w:tcPr>
            <w:tcW w:w="1486" w:type="dxa"/>
          </w:tcPr>
          <w:p w:rsidR="00D849AA" w:rsidRPr="00F37627" w:rsidRDefault="00EE6D95">
            <w:pPr>
              <w:rPr>
                <w:rFonts w:ascii="Arial" w:hAnsi="Arial" w:cs="Arial"/>
              </w:rPr>
            </w:pPr>
            <w:r w:rsidRPr="00F37627">
              <w:rPr>
                <w:rFonts w:ascii="Arial" w:hAnsi="Arial" w:cs="Arial"/>
              </w:rPr>
              <w:t>20.000.000</w:t>
            </w:r>
          </w:p>
        </w:tc>
        <w:tc>
          <w:tcPr>
            <w:tcW w:w="1486" w:type="dxa"/>
          </w:tcPr>
          <w:p w:rsidR="00D849AA" w:rsidRPr="00F37627" w:rsidRDefault="00EE6D95">
            <w:pPr>
              <w:rPr>
                <w:rFonts w:ascii="Arial" w:hAnsi="Arial" w:cs="Arial"/>
              </w:rPr>
            </w:pPr>
            <w:r w:rsidRPr="00F37627">
              <w:rPr>
                <w:rFonts w:ascii="Arial" w:hAnsi="Arial" w:cs="Arial"/>
              </w:rPr>
              <w:t>20.000.000</w:t>
            </w:r>
          </w:p>
        </w:tc>
        <w:tc>
          <w:tcPr>
            <w:tcW w:w="1486" w:type="dxa"/>
          </w:tcPr>
          <w:p w:rsidR="00D849AA" w:rsidRPr="00F37627" w:rsidRDefault="00EE6D95">
            <w:pPr>
              <w:rPr>
                <w:rFonts w:ascii="Arial" w:hAnsi="Arial" w:cs="Arial"/>
              </w:rPr>
            </w:pPr>
            <w:r w:rsidRPr="00F37627">
              <w:rPr>
                <w:rFonts w:ascii="Arial" w:hAnsi="Arial" w:cs="Arial"/>
              </w:rPr>
              <w:t>15.000.000</w:t>
            </w:r>
          </w:p>
        </w:tc>
        <w:tc>
          <w:tcPr>
            <w:tcW w:w="1486" w:type="dxa"/>
          </w:tcPr>
          <w:p w:rsidR="00D849AA" w:rsidRPr="00F37627" w:rsidRDefault="00EE6D95">
            <w:pPr>
              <w:rPr>
                <w:rFonts w:ascii="Arial" w:hAnsi="Arial" w:cs="Arial"/>
              </w:rPr>
            </w:pPr>
            <w:r w:rsidRPr="00F37627">
              <w:rPr>
                <w:rFonts w:ascii="Arial" w:hAnsi="Arial" w:cs="Arial"/>
              </w:rPr>
              <w:t>100,0</w:t>
            </w:r>
          </w:p>
        </w:tc>
      </w:tr>
    </w:tbl>
    <w:p w:rsidR="00D849AA" w:rsidRDefault="00D849AA">
      <w:pPr>
        <w:jc w:val="left"/>
      </w:pPr>
    </w:p>
    <w:p w:rsidR="00D849AA" w:rsidRDefault="00EE6D95">
      <w:pPr>
        <w:pStyle w:val="Normal6"/>
      </w:pPr>
      <w:r>
        <w:t xml:space="preserve">U narednom trogodišnjem razdoblju neophodan je nastavak i završetak izgradnje započetih objekata koji su neophodni za funkcioniranje sustava odvodnje na području gradova Splita, Solina, Kaštela i Trogira.   </w:t>
      </w:r>
    </w:p>
    <w:p w:rsidR="00D849AA" w:rsidRDefault="00EE6D95">
      <w:pPr>
        <w:pStyle w:val="Normal6"/>
      </w:pPr>
      <w:r>
        <w:t xml:space="preserve">U cilju zaštite voda i mora od onečišćenja sustavno će se raditi na povećanju stupnja priključenosti stambenih i gospodarskih objekata na sustave javne odvodnje te na postizanju dobrog stanja površinskih i podzemnih voda praćenjem stanja kakvoće voda, izgradnjom, rekonstrukcijom i sanacijom sustava javne odvodnje i pročišćavanja otpadnih voda. Realizacijom MEIP-a ostvarit će se poboljšanje komunalnih usluga, ekonomski razvoj regije kroz stvaranje pretpostavki za razvoj turizma te približavanje standardima EU vezanim uz zaštitu okoliša.    </w:t>
      </w:r>
    </w:p>
    <w:p w:rsidR="00D849AA" w:rsidRDefault="00EE6D95">
      <w:pPr>
        <w:pStyle w:val="Normal6"/>
      </w:pPr>
      <w:r>
        <w:t xml:space="preserve">Do sada izgrađeni kanalizacijski sustav Split-Solin omogućio je prihvaćanje otpadnih voda koje su ranije odlazile u Kaštelanski zaljev. Nakon provedenih ispitivanja kakvoće mora utvrđeno je da more u istočnom dijelu zaljeva ulazi u kategoriju oligotrofnog ili čistog mora s većim ili manjim organskim opterećenjem i tendencijom daljnjeg smanjenja zagađenja. Kako još ima direktnih uljeva otpadnih voda u more zaljeva, završetkom izgradnje kanalizacijskog sustava znatno će se rasteretiti područje gradova Kaštela i Trogira (u razdoblju do 2016. godine). Ovaj sustav je u izgradnji, a neki ključni objekti su već izgrađeni: Centralni uređaj za pročišćavanje Divulje, Podmorski prijelaz Divulje-Čiovo, Podmorski ispust Čiovo, Hidrotehnički tunel Čiovo, Podsustav Kaštela i kopneni dio Podsustava Trogir. Također se radi na pojačanoj izgradnji sekundarne  mreže u Kaštelima i Trogiru kao i sanaciji i priključenju postojećih kanalizacijskih ispusta kako bi se do 2016. godine prikupio što veći broj korisnika sustava i time doprinijelo zaštiti zaljeva. U sljedećem razdoblju planirana je izgradnja i puštanje u rad sljedećih objekata:     </w:t>
      </w:r>
    </w:p>
    <w:p w:rsidR="00D849AA" w:rsidRDefault="00EE6D95">
      <w:pPr>
        <w:pStyle w:val="Normal6"/>
      </w:pPr>
      <w:r>
        <w:t>-</w:t>
      </w:r>
      <w:r>
        <w:tab/>
        <w:t xml:space="preserve">2014. godine: sanacija i priključenje na novi kanalizacijski sustav cca 40 postojećih kanalizacijskih ispusta, izgradnja cca. 13 km kanalizacijskih kolektora na području gradova Splita, Solina, Kaštela i Trogira, koji će se priključiti na već izgrađeni kanalizacijski sustav kako bi se omogućio veći stupanj priključenosti stambenih objekata. Otkup zemljišta za izgradnju prvog stupnja pročišćavanja na Uređaju za pročišćavanje Čiovo te otkup zemljišta za dogradnju drugog stupnja pročišćavanja Centralnog uređaja za pročišćavanje otpadnih voda Divulje. </w:t>
      </w:r>
    </w:p>
    <w:p w:rsidR="00D849AA" w:rsidRDefault="00EE6D95">
      <w:pPr>
        <w:pStyle w:val="Normal6"/>
      </w:pPr>
      <w:r>
        <w:t>-</w:t>
      </w:r>
      <w:r>
        <w:tab/>
        <w:t xml:space="preserve">2015. godine: građevinska rekonstrukcija i priključenje dodatnih 30 postojećih kanalizacijskih ispusta, izgradnja cca. 10 km kanalizacijskih kolektora na području Splita, Solina, Kaštela i Trogira. </w:t>
      </w:r>
    </w:p>
    <w:p w:rsidR="00D849AA" w:rsidRDefault="00EE6D95">
      <w:pPr>
        <w:pStyle w:val="Normal6"/>
      </w:pPr>
      <w:r>
        <w:t>-</w:t>
      </w:r>
      <w:r>
        <w:tab/>
        <w:t>2016. godine: izgradnja dodatnih cca. 10 km kanalizacijskih kolektora te puštanje u rad završenih objekata Optimalizacije.</w:t>
      </w:r>
    </w:p>
    <w:p w:rsidR="00F37627" w:rsidRDefault="00F37627">
      <w:pPr>
        <w:pStyle w:val="Normal6"/>
      </w:pPr>
    </w:p>
    <w:p w:rsidR="00F37627" w:rsidRDefault="00F37627" w:rsidP="00F37627">
      <w:pPr>
        <w:pStyle w:val="Naslov4"/>
      </w:pPr>
      <w:r>
        <w:lastRenderedPageBreak/>
        <w:t>OBRAZLOŽENJE PROGRAMA</w:t>
      </w:r>
    </w:p>
    <w:p w:rsidR="00D849AA" w:rsidRDefault="00EE6D95">
      <w:pPr>
        <w:pStyle w:val="Naslov5"/>
      </w:pPr>
      <w:r>
        <w:t>3506 POTICANJE STAMBENE ŠTEDNJE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F37627" w:rsidRDefault="00D849AA">
            <w:pPr>
              <w:pStyle w:val="CellHeader"/>
            </w:pPr>
          </w:p>
        </w:tc>
        <w:tc>
          <w:tcPr>
            <w:tcW w:w="1486" w:type="dxa"/>
            <w:shd w:val="clear" w:color="auto" w:fill="B5C0D8"/>
          </w:tcPr>
          <w:p w:rsidR="00D849AA" w:rsidRPr="00F37627" w:rsidRDefault="00EE6D95">
            <w:pPr>
              <w:pStyle w:val="CellHeader"/>
            </w:pPr>
            <w:r w:rsidRPr="00F37627">
              <w:t>Plan 2013.</w:t>
            </w:r>
          </w:p>
        </w:tc>
        <w:tc>
          <w:tcPr>
            <w:tcW w:w="1486" w:type="dxa"/>
            <w:shd w:val="clear" w:color="auto" w:fill="B5C0D8"/>
          </w:tcPr>
          <w:p w:rsidR="00D849AA" w:rsidRPr="00F37627" w:rsidRDefault="00EE6D95">
            <w:pPr>
              <w:pStyle w:val="CellHeader"/>
            </w:pPr>
            <w:r w:rsidRPr="00F37627">
              <w:t>Plan 2014.</w:t>
            </w:r>
          </w:p>
        </w:tc>
        <w:tc>
          <w:tcPr>
            <w:tcW w:w="1486" w:type="dxa"/>
            <w:shd w:val="clear" w:color="auto" w:fill="B5C0D8"/>
          </w:tcPr>
          <w:p w:rsidR="00D849AA" w:rsidRPr="00F37627" w:rsidRDefault="00EE6D95">
            <w:pPr>
              <w:pStyle w:val="CellHeader"/>
            </w:pPr>
            <w:r w:rsidRPr="00F37627">
              <w:t>Plan 2015.</w:t>
            </w:r>
          </w:p>
        </w:tc>
        <w:tc>
          <w:tcPr>
            <w:tcW w:w="1486" w:type="dxa"/>
            <w:shd w:val="clear" w:color="auto" w:fill="B5C0D8"/>
          </w:tcPr>
          <w:p w:rsidR="00D849AA" w:rsidRPr="00F37627" w:rsidRDefault="00EE6D95">
            <w:pPr>
              <w:pStyle w:val="CellHeader"/>
            </w:pPr>
            <w:r w:rsidRPr="00F37627">
              <w:t>Plan 2016.</w:t>
            </w:r>
          </w:p>
        </w:tc>
        <w:tc>
          <w:tcPr>
            <w:tcW w:w="1486" w:type="dxa"/>
            <w:shd w:val="clear" w:color="auto" w:fill="B5C0D8"/>
          </w:tcPr>
          <w:p w:rsidR="00D849AA" w:rsidRPr="00F37627" w:rsidRDefault="00EE6D95">
            <w:pPr>
              <w:pStyle w:val="CellHeader"/>
            </w:pPr>
            <w:r w:rsidRPr="00F37627">
              <w:t>Indeks 2014/2013</w:t>
            </w:r>
          </w:p>
        </w:tc>
      </w:tr>
      <w:tr w:rsidR="00D849AA">
        <w:trPr>
          <w:jc w:val="center"/>
        </w:trPr>
        <w:tc>
          <w:tcPr>
            <w:tcW w:w="1486" w:type="dxa"/>
          </w:tcPr>
          <w:p w:rsidR="00D849AA" w:rsidRPr="00F37627" w:rsidRDefault="00EE6D95">
            <w:pPr>
              <w:pStyle w:val="CellColumn"/>
            </w:pPr>
            <w:r w:rsidRPr="00F37627">
              <w:t>3506</w:t>
            </w:r>
          </w:p>
        </w:tc>
        <w:tc>
          <w:tcPr>
            <w:tcW w:w="1486" w:type="dxa"/>
          </w:tcPr>
          <w:p w:rsidR="00D849AA" w:rsidRPr="00F37627" w:rsidRDefault="00EE6D95">
            <w:pPr>
              <w:rPr>
                <w:rFonts w:ascii="Arial" w:hAnsi="Arial" w:cs="Arial"/>
              </w:rPr>
            </w:pPr>
            <w:r w:rsidRPr="00F37627">
              <w:rPr>
                <w:rFonts w:ascii="Arial" w:hAnsi="Arial" w:cs="Arial"/>
              </w:rPr>
              <w:t>191.539.000</w:t>
            </w:r>
          </w:p>
        </w:tc>
        <w:tc>
          <w:tcPr>
            <w:tcW w:w="1486" w:type="dxa"/>
          </w:tcPr>
          <w:p w:rsidR="00D849AA" w:rsidRPr="00F37627" w:rsidRDefault="00EE6D95">
            <w:pPr>
              <w:rPr>
                <w:rFonts w:ascii="Arial" w:hAnsi="Arial" w:cs="Arial"/>
              </w:rPr>
            </w:pPr>
            <w:r w:rsidRPr="00F37627">
              <w:rPr>
                <w:rFonts w:ascii="Arial" w:hAnsi="Arial" w:cs="Arial"/>
              </w:rPr>
              <w:t>200.200.000</w:t>
            </w:r>
          </w:p>
        </w:tc>
        <w:tc>
          <w:tcPr>
            <w:tcW w:w="1486" w:type="dxa"/>
          </w:tcPr>
          <w:p w:rsidR="00D849AA" w:rsidRPr="00F37627" w:rsidRDefault="00EE6D95">
            <w:pPr>
              <w:rPr>
                <w:rFonts w:ascii="Arial" w:hAnsi="Arial" w:cs="Arial"/>
              </w:rPr>
            </w:pPr>
            <w:r w:rsidRPr="00F37627">
              <w:rPr>
                <w:rFonts w:ascii="Arial" w:hAnsi="Arial" w:cs="Arial"/>
              </w:rPr>
              <w:t>138.784.000</w:t>
            </w:r>
          </w:p>
        </w:tc>
        <w:tc>
          <w:tcPr>
            <w:tcW w:w="1486" w:type="dxa"/>
          </w:tcPr>
          <w:p w:rsidR="00D849AA" w:rsidRPr="00F37627" w:rsidRDefault="00EE6D95">
            <w:pPr>
              <w:rPr>
                <w:rFonts w:ascii="Arial" w:hAnsi="Arial" w:cs="Arial"/>
              </w:rPr>
            </w:pPr>
            <w:r w:rsidRPr="00F37627">
              <w:rPr>
                <w:rFonts w:ascii="Arial" w:hAnsi="Arial" w:cs="Arial"/>
              </w:rPr>
              <w:t>00</w:t>
            </w:r>
          </w:p>
        </w:tc>
        <w:tc>
          <w:tcPr>
            <w:tcW w:w="1486" w:type="dxa"/>
          </w:tcPr>
          <w:p w:rsidR="00D849AA" w:rsidRPr="00F37627" w:rsidRDefault="00EE6D95">
            <w:pPr>
              <w:rPr>
                <w:rFonts w:ascii="Arial" w:hAnsi="Arial" w:cs="Arial"/>
              </w:rPr>
            </w:pPr>
            <w:r w:rsidRPr="00F37627">
              <w:rPr>
                <w:rFonts w:ascii="Arial" w:hAnsi="Arial" w:cs="Arial"/>
              </w:rPr>
              <w:t>104,5</w:t>
            </w:r>
          </w:p>
        </w:tc>
      </w:tr>
    </w:tbl>
    <w:p w:rsidR="00D849AA" w:rsidRDefault="00D849AA">
      <w:pPr>
        <w:jc w:val="left"/>
      </w:pPr>
    </w:p>
    <w:p w:rsidR="00D849AA" w:rsidRDefault="00EE6D95">
      <w:pPr>
        <w:pStyle w:val="Naslov6"/>
      </w:pPr>
      <w:r>
        <w:t>Opis programa</w:t>
      </w:r>
    </w:p>
    <w:p w:rsidR="00D849AA" w:rsidRDefault="00EE6D95">
      <w:pPr>
        <w:pStyle w:val="Normal5"/>
      </w:pPr>
      <w:r>
        <w:t xml:space="preserve">Prema Zakonu o stambenoj štednji i državnom poticanju stambene štednje, stambena štednja je posebna namjenska štednja radi rješavanja stambenih potreba građana odobravanjem kredita za stanogradnju hrvatskim državljanima uz financijsku potporu države.   </w:t>
      </w:r>
    </w:p>
    <w:p w:rsidR="00D849AA" w:rsidRDefault="00EE6D95">
      <w:pPr>
        <w:pStyle w:val="Normal5"/>
      </w:pPr>
      <w:r>
        <w:t xml:space="preserve">Državna poticajna sredstva odobravaju se stambenoj štedionici iz državnog proračuna Republike Hrvatske na osnovu dokumentiranih podataka o prikupljenoj stambenoj štednji u prethodnoj kalendarskoj godini.   </w:t>
      </w:r>
    </w:p>
    <w:p w:rsidR="00D849AA" w:rsidRDefault="00EE6D95">
      <w:pPr>
        <w:pStyle w:val="Normal5"/>
      </w:pPr>
      <w:r>
        <w:t>Stambenom štednjom obuhvaćeno je 2011. godine 802.389 stambenih štediša</w:t>
      </w:r>
      <w:r w:rsidR="007C564B">
        <w:t>,</w:t>
      </w:r>
      <w:r>
        <w:t xml:space="preserve"> odnosno ukupno</w:t>
      </w:r>
      <w:r w:rsidR="007C564B">
        <w:t xml:space="preserve"> </w:t>
      </w:r>
      <w:r>
        <w:t>415.475 računa stambene štedn</w:t>
      </w:r>
      <w:r w:rsidR="007C564B">
        <w:t>je za koje se postavlja zahtjev</w:t>
      </w:r>
      <w:r>
        <w:t xml:space="preserve"> za isplatu državnih poticajnih sredstava.</w:t>
      </w:r>
    </w:p>
    <w:p w:rsidR="00D849AA" w:rsidRDefault="00EE6D95">
      <w:pPr>
        <w:pStyle w:val="Naslov6"/>
      </w:pPr>
      <w:r>
        <w:t>Zakonske i druge pravne osnove</w:t>
      </w:r>
    </w:p>
    <w:p w:rsidR="00D849AA" w:rsidRDefault="00EE6D95">
      <w:pPr>
        <w:pStyle w:val="Normal5"/>
      </w:pPr>
      <w:r>
        <w:t>Zakon o stambenoj štednji i državnom poticanju stambene štednje (Narodne novine, broj 109/97, 117/97, 76/99, 10/2001, 92/2005, 21/2010 i 15/2013).</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Cilj 1. Podizanje kvalitete stanovanja svih građana Hrvatske</w:t>
      </w:r>
    </w:p>
    <w:p w:rsidR="00D849AA" w:rsidRDefault="00EE6D95">
      <w:pPr>
        <w:pStyle w:val="Normal6"/>
      </w:pPr>
      <w:r>
        <w:t xml:space="preserve">Radi rješavanja stambenih potreba građana odobravanjem kredita za stanogradnju Republika Hrvatska daje financijsku potporu hrvatskim državljanima, općinama i gradovima na području Republike Hrvatske.  </w:t>
      </w:r>
    </w:p>
    <w:p w:rsidR="00D849AA" w:rsidRDefault="00EE6D95">
      <w:pPr>
        <w:pStyle w:val="Normal6"/>
      </w:pPr>
      <w:r>
        <w:t xml:space="preserve">Zamjetan je kontinuirani porast broja stambenih štediša kojima su isplaćena poticajna sredstava iz državnog proračuna u razdoblju od 2005. do 2011. godine, od 601.533 stambenih štediša 2005. godine do 802.389 stambenih štediša 2011. godine. U 2013. godini isplaćen iznos državnih poicajnih sredstava za 2011. godinu iznosio je 198.304.494,36 </w:t>
      </w:r>
    </w:p>
    <w:p w:rsidR="00D849AA" w:rsidRDefault="00EE6D95">
      <w:pPr>
        <w:pStyle w:val="Normal6"/>
      </w:pPr>
      <w:r>
        <w:t>Također, izmjenama i dopunama Zakona o stambenoj štednji i državnom poticanju stambene štednje (Narodne novine, broj 15/2013) iznos državnih poticajnih sredstava smanjen je s dosadašnjih 15% na 10% od iznosa raspoložive stambene štednje uplaćene u godini za koju se isplaćuju državna poticajna sredstva.</w:t>
      </w:r>
    </w:p>
    <w:p w:rsidR="00F37627" w:rsidRDefault="00F37627">
      <w:pPr>
        <w:pStyle w:val="Normal6"/>
      </w:pPr>
    </w:p>
    <w:p w:rsidR="00F37627" w:rsidRDefault="00F37627" w:rsidP="00F37627">
      <w:pPr>
        <w:pStyle w:val="Naslov4"/>
      </w:pPr>
      <w:r>
        <w:lastRenderedPageBreak/>
        <w:t>OBRAZLOŽENJE PROGRAMA</w:t>
      </w:r>
    </w:p>
    <w:p w:rsidR="00D849AA" w:rsidRDefault="00EE6D95">
      <w:pPr>
        <w:pStyle w:val="Naslov5"/>
      </w:pPr>
      <w:r>
        <w:t>3913 POTPORE VJERSKIM ZAJEDNICAMA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3913</w:t>
            </w:r>
          </w:p>
        </w:tc>
        <w:tc>
          <w:tcPr>
            <w:tcW w:w="1486" w:type="dxa"/>
          </w:tcPr>
          <w:p w:rsidR="00D849AA" w:rsidRDefault="00EE6D95">
            <w:r>
              <w:t>375.888.576</w:t>
            </w:r>
          </w:p>
        </w:tc>
        <w:tc>
          <w:tcPr>
            <w:tcW w:w="1486" w:type="dxa"/>
          </w:tcPr>
          <w:p w:rsidR="00D849AA" w:rsidRDefault="00EE6D95">
            <w:r>
              <w:t>379.194.000</w:t>
            </w:r>
          </w:p>
        </w:tc>
        <w:tc>
          <w:tcPr>
            <w:tcW w:w="1486" w:type="dxa"/>
          </w:tcPr>
          <w:p w:rsidR="00D849AA" w:rsidRDefault="00EE6D95">
            <w:r>
              <w:t>369.194.000</w:t>
            </w:r>
          </w:p>
        </w:tc>
        <w:tc>
          <w:tcPr>
            <w:tcW w:w="1486" w:type="dxa"/>
          </w:tcPr>
          <w:p w:rsidR="00D849AA" w:rsidRDefault="00EE6D95">
            <w:r>
              <w:t>309.194.000</w:t>
            </w:r>
          </w:p>
        </w:tc>
        <w:tc>
          <w:tcPr>
            <w:tcW w:w="1486" w:type="dxa"/>
          </w:tcPr>
          <w:p w:rsidR="00D849AA" w:rsidRDefault="00EE6D95">
            <w:r>
              <w:t>100,9</w:t>
            </w:r>
          </w:p>
        </w:tc>
      </w:tr>
    </w:tbl>
    <w:p w:rsidR="00D849AA" w:rsidRDefault="00D849AA">
      <w:pPr>
        <w:jc w:val="left"/>
      </w:pPr>
    </w:p>
    <w:p w:rsidR="00D849AA" w:rsidRDefault="00EE6D95">
      <w:pPr>
        <w:pStyle w:val="Naslov6"/>
      </w:pPr>
      <w:r>
        <w:t>Opis programa</w:t>
      </w:r>
    </w:p>
    <w:p w:rsidR="00D849AA" w:rsidRDefault="00EE6D95">
      <w:pPr>
        <w:pStyle w:val="Normal5"/>
      </w:pPr>
      <w:r>
        <w:t>Program obuhvaća 3 aktivnosti koje se odnose na izvršavanje obveza po međunarodnom sporazumu između Svete Stolice i Republike Hrvatske i poticanja ostalih vjerskih zajednica. Člankom 2. stavak 2. i čl. 6. Zakona o potvrđivanju Ugovora između Svete Stolice i RH o gospodarskim pitanjima, a priznajući opće društveno vrijedan rad Katoličke Crkve u službi građana na kulturnom, odgojnom, društvenom i etičkom polju, Republika Hrvatska se obvezala godišnje osigurati Crkvi određen novčani iznos. Sredstva se koriste za uzdržavanje klera i drugih crkvenih službenika, za izgradnju i održavanje crkava i pastoralnih središta te za karitativnu djelatnost Katoličke Crkve. Ostale vjerske zajednice imaju pravo na sredstva iz državnog proračuna čija se godišnja visina određuje ovisno o vrsti i značaju njenih vjerskih objekata.</w:t>
      </w:r>
    </w:p>
    <w:p w:rsidR="00D849AA" w:rsidRDefault="00EE6D95">
      <w:pPr>
        <w:pStyle w:val="Naslov6"/>
      </w:pPr>
      <w:r>
        <w:t>Zakonske i druge pravne osnove</w:t>
      </w:r>
    </w:p>
    <w:p w:rsidR="00D849AA" w:rsidRDefault="00EE6D95">
      <w:pPr>
        <w:pStyle w:val="Normal5"/>
      </w:pPr>
      <w:r>
        <w:t xml:space="preserve">- Zakon o potvrđivanju Ugovora između Svete Stolice i Republike Hrvatske o pravnim pitanjima (NN-MU 3/97),   </w:t>
      </w:r>
    </w:p>
    <w:p w:rsidR="00D849AA" w:rsidRDefault="00EE6D95">
      <w:pPr>
        <w:pStyle w:val="Normal5"/>
      </w:pPr>
      <w:r>
        <w:t>- Zakon o pravnom položaju vjerskih zajednica (NN 83/2002).</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Cilj 1. Redovito izvršavanje obveza po Ugovoru između Svete Stolice i Republike Hrvatske i Zakonu o pravnom položaju vjerskih zajednica</w:t>
      </w:r>
    </w:p>
    <w:p w:rsidR="00D849AA" w:rsidRDefault="00EE6D95">
      <w:pPr>
        <w:pStyle w:val="Normal6"/>
      </w:pPr>
      <w:r>
        <w:t>Izvršavanjem obveza prema vjerskim zajednicama potiče se njihovo općekorisno djelovanje.</w:t>
      </w:r>
    </w:p>
    <w:p w:rsidR="00D849AA" w:rsidRDefault="00EE6D95">
      <w:pPr>
        <w:pStyle w:val="Naslov5"/>
      </w:pPr>
      <w:r>
        <w:t>Procjena i ishodište potrebnih sredstava za značajnije aktivnosti/projekte</w:t>
      </w:r>
    </w:p>
    <w:p w:rsidR="00D849AA" w:rsidRDefault="00EE6D95">
      <w:pPr>
        <w:pStyle w:val="Naslov6"/>
      </w:pPr>
      <w:r>
        <w:t>A539026 MEĐUNARODNI SPORAZUM - SVETA STOLICA I RH</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F37627" w:rsidRDefault="00EE6D95">
            <w:pPr>
              <w:pStyle w:val="CellHeader"/>
            </w:pPr>
            <w:r w:rsidRPr="00F37627">
              <w:t>Naziv aktivnosti</w:t>
            </w:r>
          </w:p>
        </w:tc>
        <w:tc>
          <w:tcPr>
            <w:tcW w:w="1486" w:type="dxa"/>
            <w:shd w:val="clear" w:color="auto" w:fill="B5C0D8"/>
          </w:tcPr>
          <w:p w:rsidR="00D849AA" w:rsidRPr="00F37627" w:rsidRDefault="00EE6D95">
            <w:pPr>
              <w:pStyle w:val="CellHeader"/>
            </w:pPr>
            <w:r w:rsidRPr="00F37627">
              <w:t>Plan 2013.</w:t>
            </w:r>
          </w:p>
        </w:tc>
        <w:tc>
          <w:tcPr>
            <w:tcW w:w="1486" w:type="dxa"/>
            <w:shd w:val="clear" w:color="auto" w:fill="B5C0D8"/>
          </w:tcPr>
          <w:p w:rsidR="00D849AA" w:rsidRPr="00F37627" w:rsidRDefault="00EE6D95">
            <w:pPr>
              <w:pStyle w:val="CellHeader"/>
            </w:pPr>
            <w:r w:rsidRPr="00F37627">
              <w:t>Plan 2014.</w:t>
            </w:r>
          </w:p>
        </w:tc>
        <w:tc>
          <w:tcPr>
            <w:tcW w:w="1486" w:type="dxa"/>
            <w:shd w:val="clear" w:color="auto" w:fill="B5C0D8"/>
          </w:tcPr>
          <w:p w:rsidR="00D849AA" w:rsidRPr="00F37627" w:rsidRDefault="00EE6D95">
            <w:pPr>
              <w:pStyle w:val="CellHeader"/>
            </w:pPr>
            <w:r w:rsidRPr="00F37627">
              <w:t>Plan 2015.</w:t>
            </w:r>
          </w:p>
        </w:tc>
        <w:tc>
          <w:tcPr>
            <w:tcW w:w="1486" w:type="dxa"/>
            <w:shd w:val="clear" w:color="auto" w:fill="B5C0D8"/>
          </w:tcPr>
          <w:p w:rsidR="00D849AA" w:rsidRPr="00F37627" w:rsidRDefault="00EE6D95">
            <w:pPr>
              <w:pStyle w:val="CellHeader"/>
            </w:pPr>
            <w:r w:rsidRPr="00F37627">
              <w:t>Plan 2016.</w:t>
            </w:r>
          </w:p>
        </w:tc>
        <w:tc>
          <w:tcPr>
            <w:tcW w:w="1486" w:type="dxa"/>
            <w:shd w:val="clear" w:color="auto" w:fill="B5C0D8"/>
          </w:tcPr>
          <w:p w:rsidR="00D849AA" w:rsidRPr="00F37627" w:rsidRDefault="00EE6D95">
            <w:pPr>
              <w:pStyle w:val="CellHeader"/>
            </w:pPr>
            <w:r w:rsidRPr="00F37627">
              <w:t>Indeks 2014/2013</w:t>
            </w:r>
          </w:p>
        </w:tc>
      </w:tr>
      <w:tr w:rsidR="00D849AA">
        <w:trPr>
          <w:jc w:val="center"/>
        </w:trPr>
        <w:tc>
          <w:tcPr>
            <w:tcW w:w="1486" w:type="dxa"/>
          </w:tcPr>
          <w:p w:rsidR="00D849AA" w:rsidRPr="00F37627" w:rsidRDefault="00EE6D95">
            <w:pPr>
              <w:pStyle w:val="CellColumn"/>
            </w:pPr>
            <w:r w:rsidRPr="00F37627">
              <w:t>A539026</w:t>
            </w:r>
          </w:p>
        </w:tc>
        <w:tc>
          <w:tcPr>
            <w:tcW w:w="1486" w:type="dxa"/>
          </w:tcPr>
          <w:p w:rsidR="00D849AA" w:rsidRPr="00F37627" w:rsidRDefault="00EE6D95">
            <w:pPr>
              <w:rPr>
                <w:rFonts w:ascii="Arial" w:hAnsi="Arial" w:cs="Arial"/>
              </w:rPr>
            </w:pPr>
            <w:r w:rsidRPr="00F37627">
              <w:rPr>
                <w:rFonts w:ascii="Arial" w:hAnsi="Arial" w:cs="Arial"/>
              </w:rPr>
              <w:t>288.888.576</w:t>
            </w:r>
          </w:p>
        </w:tc>
        <w:tc>
          <w:tcPr>
            <w:tcW w:w="1486" w:type="dxa"/>
          </w:tcPr>
          <w:p w:rsidR="00D849AA" w:rsidRPr="00F37627" w:rsidRDefault="00EE6D95">
            <w:pPr>
              <w:rPr>
                <w:rFonts w:ascii="Arial" w:hAnsi="Arial" w:cs="Arial"/>
              </w:rPr>
            </w:pPr>
            <w:r w:rsidRPr="00F37627">
              <w:rPr>
                <w:rFonts w:ascii="Arial" w:hAnsi="Arial" w:cs="Arial"/>
              </w:rPr>
              <w:t>292.194.000</w:t>
            </w:r>
          </w:p>
        </w:tc>
        <w:tc>
          <w:tcPr>
            <w:tcW w:w="1486" w:type="dxa"/>
          </w:tcPr>
          <w:p w:rsidR="00D849AA" w:rsidRPr="00F37627" w:rsidRDefault="00EE6D95">
            <w:pPr>
              <w:rPr>
                <w:rFonts w:ascii="Arial" w:hAnsi="Arial" w:cs="Arial"/>
              </w:rPr>
            </w:pPr>
            <w:r w:rsidRPr="00F37627">
              <w:rPr>
                <w:rFonts w:ascii="Arial" w:hAnsi="Arial" w:cs="Arial"/>
              </w:rPr>
              <w:t>292.194.000</w:t>
            </w:r>
          </w:p>
        </w:tc>
        <w:tc>
          <w:tcPr>
            <w:tcW w:w="1486" w:type="dxa"/>
          </w:tcPr>
          <w:p w:rsidR="00D849AA" w:rsidRPr="00F37627" w:rsidRDefault="00EE6D95">
            <w:pPr>
              <w:rPr>
                <w:rFonts w:ascii="Arial" w:hAnsi="Arial" w:cs="Arial"/>
              </w:rPr>
            </w:pPr>
            <w:r w:rsidRPr="00F37627">
              <w:rPr>
                <w:rFonts w:ascii="Arial" w:hAnsi="Arial" w:cs="Arial"/>
              </w:rPr>
              <w:t>292.194.000</w:t>
            </w:r>
          </w:p>
        </w:tc>
        <w:tc>
          <w:tcPr>
            <w:tcW w:w="1486" w:type="dxa"/>
          </w:tcPr>
          <w:p w:rsidR="00D849AA" w:rsidRPr="00F37627" w:rsidRDefault="00EE6D95">
            <w:pPr>
              <w:rPr>
                <w:rFonts w:ascii="Arial" w:hAnsi="Arial" w:cs="Arial"/>
              </w:rPr>
            </w:pPr>
            <w:r w:rsidRPr="00F37627">
              <w:rPr>
                <w:rFonts w:ascii="Arial" w:hAnsi="Arial" w:cs="Arial"/>
              </w:rPr>
              <w:t>101,1</w:t>
            </w:r>
          </w:p>
        </w:tc>
      </w:tr>
    </w:tbl>
    <w:p w:rsidR="00D849AA" w:rsidRDefault="00D849AA">
      <w:pPr>
        <w:jc w:val="left"/>
      </w:pPr>
    </w:p>
    <w:p w:rsidR="00D849AA" w:rsidRDefault="00EE6D95">
      <w:pPr>
        <w:pStyle w:val="Normal6"/>
      </w:pPr>
      <w:r>
        <w:t xml:space="preserve">Prema Ugovoru između Svete Stolice i Republike Hrvatske o gospodarskim pitanjima, Republika Hrvatska obvezala se davati Katoličkoj crkvi iz državnog proračuna novčana sredstva. Sredstva se odnose na troškove za  opće društveno vrijedan rad Katoličke crkve u službi građana na kulturnom, odgojnom, društveno i etičkom polju, troškove </w:t>
      </w:r>
      <w:r>
        <w:lastRenderedPageBreak/>
        <w:t>uzdržavanja klera i drugih crkvenih službenika, troškove izgradnje i uzdržavanje crkava i pastoralnih središta koja nisu u popisu spomenika kulture te doprinos za karitativnu djelatnost Katoličke Crkve. Sredstva se isplaćuju mjesečno u iznosu koji odgovara dvjema prosječnim bruto plaćama po zaposlenome u pravnim osobama Republike Hrvatske pomnoženim s brojem župa u Republici Hrvatskoj. Sredstva se doznačavaju temeljem Sporazuma o načinu izvršavanja određenih financijskih obveza Republike Hrvatske prema Katoličkoj Crkvi između Hrvatske biskupske konferencije i Ministarstva financija Republike Hrvatske.</w:t>
      </w:r>
    </w:p>
    <w:p w:rsidR="00D849AA" w:rsidRDefault="00EE6D95">
      <w:pPr>
        <w:pStyle w:val="Naslov6"/>
      </w:pPr>
      <w:r>
        <w:t>A539060 POTICAJI PREMA UGOVORIMA VLADE RH I VJERSKIH ZAJEDNICA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F37627" w:rsidRDefault="00EE6D95">
            <w:pPr>
              <w:pStyle w:val="CellHeader"/>
            </w:pPr>
            <w:r w:rsidRPr="00F37627">
              <w:t>Naziv aktivnosti</w:t>
            </w:r>
          </w:p>
        </w:tc>
        <w:tc>
          <w:tcPr>
            <w:tcW w:w="1486" w:type="dxa"/>
            <w:shd w:val="clear" w:color="auto" w:fill="B5C0D8"/>
          </w:tcPr>
          <w:p w:rsidR="00D849AA" w:rsidRPr="00F37627" w:rsidRDefault="00EE6D95">
            <w:pPr>
              <w:pStyle w:val="CellHeader"/>
            </w:pPr>
            <w:r w:rsidRPr="00F37627">
              <w:t>Plan 2013.</w:t>
            </w:r>
          </w:p>
        </w:tc>
        <w:tc>
          <w:tcPr>
            <w:tcW w:w="1486" w:type="dxa"/>
            <w:shd w:val="clear" w:color="auto" w:fill="B5C0D8"/>
          </w:tcPr>
          <w:p w:rsidR="00D849AA" w:rsidRPr="00F37627" w:rsidRDefault="00EE6D95">
            <w:pPr>
              <w:pStyle w:val="CellHeader"/>
            </w:pPr>
            <w:r w:rsidRPr="00F37627">
              <w:t>Plan 2014.</w:t>
            </w:r>
          </w:p>
        </w:tc>
        <w:tc>
          <w:tcPr>
            <w:tcW w:w="1486" w:type="dxa"/>
            <w:shd w:val="clear" w:color="auto" w:fill="B5C0D8"/>
          </w:tcPr>
          <w:p w:rsidR="00D849AA" w:rsidRPr="00F37627" w:rsidRDefault="00EE6D95">
            <w:pPr>
              <w:pStyle w:val="CellHeader"/>
            </w:pPr>
            <w:r w:rsidRPr="00F37627">
              <w:t>Plan 2015.</w:t>
            </w:r>
          </w:p>
        </w:tc>
        <w:tc>
          <w:tcPr>
            <w:tcW w:w="1486" w:type="dxa"/>
            <w:shd w:val="clear" w:color="auto" w:fill="B5C0D8"/>
          </w:tcPr>
          <w:p w:rsidR="00D849AA" w:rsidRPr="00F37627" w:rsidRDefault="00EE6D95">
            <w:pPr>
              <w:pStyle w:val="CellHeader"/>
            </w:pPr>
            <w:r w:rsidRPr="00F37627">
              <w:t>Plan 2016.</w:t>
            </w:r>
          </w:p>
        </w:tc>
        <w:tc>
          <w:tcPr>
            <w:tcW w:w="1486" w:type="dxa"/>
            <w:shd w:val="clear" w:color="auto" w:fill="B5C0D8"/>
          </w:tcPr>
          <w:p w:rsidR="00D849AA" w:rsidRPr="00F37627" w:rsidRDefault="00EE6D95">
            <w:pPr>
              <w:pStyle w:val="CellHeader"/>
            </w:pPr>
            <w:r w:rsidRPr="00F37627">
              <w:t>Indeks 2014/2013</w:t>
            </w:r>
          </w:p>
        </w:tc>
      </w:tr>
      <w:tr w:rsidR="00D849AA">
        <w:trPr>
          <w:jc w:val="center"/>
        </w:trPr>
        <w:tc>
          <w:tcPr>
            <w:tcW w:w="1486" w:type="dxa"/>
          </w:tcPr>
          <w:p w:rsidR="00D849AA" w:rsidRPr="00F37627" w:rsidRDefault="00EE6D95">
            <w:pPr>
              <w:pStyle w:val="CellColumn"/>
            </w:pPr>
            <w:r w:rsidRPr="00F37627">
              <w:t>A539060</w:t>
            </w:r>
          </w:p>
        </w:tc>
        <w:tc>
          <w:tcPr>
            <w:tcW w:w="1486" w:type="dxa"/>
          </w:tcPr>
          <w:p w:rsidR="00D849AA" w:rsidRPr="00F37627" w:rsidRDefault="00EE6D95">
            <w:pPr>
              <w:rPr>
                <w:rFonts w:ascii="Arial" w:hAnsi="Arial" w:cs="Arial"/>
              </w:rPr>
            </w:pPr>
            <w:r w:rsidRPr="00F37627">
              <w:rPr>
                <w:rFonts w:ascii="Arial" w:hAnsi="Arial" w:cs="Arial"/>
              </w:rPr>
              <w:t>17.000.000</w:t>
            </w:r>
          </w:p>
        </w:tc>
        <w:tc>
          <w:tcPr>
            <w:tcW w:w="1486" w:type="dxa"/>
          </w:tcPr>
          <w:p w:rsidR="00D849AA" w:rsidRPr="00F37627" w:rsidRDefault="00EE6D95">
            <w:pPr>
              <w:rPr>
                <w:rFonts w:ascii="Arial" w:hAnsi="Arial" w:cs="Arial"/>
              </w:rPr>
            </w:pPr>
            <w:r w:rsidRPr="00F37627">
              <w:rPr>
                <w:rFonts w:ascii="Arial" w:hAnsi="Arial" w:cs="Arial"/>
              </w:rPr>
              <w:t>17.000.000</w:t>
            </w:r>
          </w:p>
        </w:tc>
        <w:tc>
          <w:tcPr>
            <w:tcW w:w="1486" w:type="dxa"/>
          </w:tcPr>
          <w:p w:rsidR="00D849AA" w:rsidRPr="00F37627" w:rsidRDefault="00EE6D95">
            <w:pPr>
              <w:rPr>
                <w:rFonts w:ascii="Arial" w:hAnsi="Arial" w:cs="Arial"/>
              </w:rPr>
            </w:pPr>
            <w:r w:rsidRPr="00F37627">
              <w:rPr>
                <w:rFonts w:ascii="Arial" w:hAnsi="Arial" w:cs="Arial"/>
              </w:rPr>
              <w:t>17.000.000</w:t>
            </w:r>
          </w:p>
        </w:tc>
        <w:tc>
          <w:tcPr>
            <w:tcW w:w="1486" w:type="dxa"/>
          </w:tcPr>
          <w:p w:rsidR="00D849AA" w:rsidRPr="00F37627" w:rsidRDefault="00EE6D95">
            <w:pPr>
              <w:rPr>
                <w:rFonts w:ascii="Arial" w:hAnsi="Arial" w:cs="Arial"/>
              </w:rPr>
            </w:pPr>
            <w:r w:rsidRPr="00F37627">
              <w:rPr>
                <w:rFonts w:ascii="Arial" w:hAnsi="Arial" w:cs="Arial"/>
              </w:rPr>
              <w:t>17.000.000</w:t>
            </w:r>
          </w:p>
        </w:tc>
        <w:tc>
          <w:tcPr>
            <w:tcW w:w="1486" w:type="dxa"/>
          </w:tcPr>
          <w:p w:rsidR="00D849AA" w:rsidRPr="00F37627" w:rsidRDefault="00EE6D95">
            <w:pPr>
              <w:rPr>
                <w:rFonts w:ascii="Arial" w:hAnsi="Arial" w:cs="Arial"/>
              </w:rPr>
            </w:pPr>
            <w:r w:rsidRPr="00F37627">
              <w:rPr>
                <w:rFonts w:ascii="Arial" w:hAnsi="Arial" w:cs="Arial"/>
              </w:rPr>
              <w:t>100,0</w:t>
            </w:r>
          </w:p>
        </w:tc>
      </w:tr>
    </w:tbl>
    <w:p w:rsidR="00D849AA" w:rsidRDefault="00D849AA">
      <w:pPr>
        <w:jc w:val="left"/>
      </w:pPr>
    </w:p>
    <w:p w:rsidR="00D849AA" w:rsidRDefault="00EE6D95">
      <w:pPr>
        <w:pStyle w:val="Normal6"/>
      </w:pPr>
      <w:r>
        <w:t>Financijska sredstva isplaćuju se ostalim vjerskim zajednicama u Republici Hrvatskoj iz državnog proračuna temeljem: Ugovora o pitanjima od zajedničkog interesa (N/N broj 196/203) kojeg je Vlada Republike Hrvatske, Komisija za odnose s vjerskim zajednicama  potpisala s ostalim vjerskim zajednicama, Aneksa I. Ugovoru pod točkom V. 1. i 3. (N/N 141/204), Ugovora potpisanih 24. listopada 2008. i 06. listopada 2010. i Protokola s pozicije Ministarstva financija. U novčani iznos uključeni su troškovi za uzdržavanje svećenika i drugih vjerskih službenika, pastoralno djelovanje i dušobrižničku skrb, troškovi izgradnje i uzdržavanje crkava, crkvenih zgrada i vjerskih središta, koja nisu na popisu kulturnih dobara te doprinos za karitativnu djelatnost Crkve.</w:t>
      </w:r>
    </w:p>
    <w:p w:rsidR="00F37627" w:rsidRDefault="00F37627" w:rsidP="00F37627">
      <w:pPr>
        <w:pStyle w:val="Naslov4"/>
      </w:pPr>
      <w:r>
        <w:t>OBRAZLOŽENJE PROGRAMA</w:t>
      </w:r>
    </w:p>
    <w:p w:rsidR="00D849AA" w:rsidRDefault="00EE6D95">
      <w:pPr>
        <w:pStyle w:val="Naslov5"/>
      </w:pPr>
      <w:r>
        <w:t>4104 POTICAJI ZA ČLANOVE DOBROVOLJNIH MIROVINSKIH FONDOVA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F37627" w:rsidRDefault="00D849AA">
            <w:pPr>
              <w:pStyle w:val="CellHeader"/>
            </w:pPr>
          </w:p>
        </w:tc>
        <w:tc>
          <w:tcPr>
            <w:tcW w:w="1486" w:type="dxa"/>
            <w:shd w:val="clear" w:color="auto" w:fill="B5C0D8"/>
          </w:tcPr>
          <w:p w:rsidR="00D849AA" w:rsidRPr="00F37627" w:rsidRDefault="00EE6D95">
            <w:pPr>
              <w:pStyle w:val="CellHeader"/>
            </w:pPr>
            <w:r w:rsidRPr="00F37627">
              <w:t>Plan 2013.</w:t>
            </w:r>
          </w:p>
        </w:tc>
        <w:tc>
          <w:tcPr>
            <w:tcW w:w="1486" w:type="dxa"/>
            <w:shd w:val="clear" w:color="auto" w:fill="B5C0D8"/>
          </w:tcPr>
          <w:p w:rsidR="00D849AA" w:rsidRPr="00F37627" w:rsidRDefault="00EE6D95">
            <w:pPr>
              <w:pStyle w:val="CellHeader"/>
            </w:pPr>
            <w:r w:rsidRPr="00F37627">
              <w:t>Plan 2014.</w:t>
            </w:r>
          </w:p>
        </w:tc>
        <w:tc>
          <w:tcPr>
            <w:tcW w:w="1486" w:type="dxa"/>
            <w:shd w:val="clear" w:color="auto" w:fill="B5C0D8"/>
          </w:tcPr>
          <w:p w:rsidR="00D849AA" w:rsidRPr="00F37627" w:rsidRDefault="00EE6D95">
            <w:pPr>
              <w:pStyle w:val="CellHeader"/>
            </w:pPr>
            <w:r w:rsidRPr="00F37627">
              <w:t>Plan 2015.</w:t>
            </w:r>
          </w:p>
        </w:tc>
        <w:tc>
          <w:tcPr>
            <w:tcW w:w="1486" w:type="dxa"/>
            <w:shd w:val="clear" w:color="auto" w:fill="B5C0D8"/>
          </w:tcPr>
          <w:p w:rsidR="00D849AA" w:rsidRPr="00F37627" w:rsidRDefault="00EE6D95">
            <w:pPr>
              <w:pStyle w:val="CellHeader"/>
            </w:pPr>
            <w:r w:rsidRPr="00F37627">
              <w:t>Plan 2016.</w:t>
            </w:r>
          </w:p>
        </w:tc>
        <w:tc>
          <w:tcPr>
            <w:tcW w:w="1486" w:type="dxa"/>
            <w:shd w:val="clear" w:color="auto" w:fill="B5C0D8"/>
          </w:tcPr>
          <w:p w:rsidR="00D849AA" w:rsidRPr="00F37627" w:rsidRDefault="00EE6D95">
            <w:pPr>
              <w:pStyle w:val="CellHeader"/>
            </w:pPr>
            <w:r w:rsidRPr="00F37627">
              <w:t>Indeks 2014/2013</w:t>
            </w:r>
          </w:p>
        </w:tc>
      </w:tr>
      <w:tr w:rsidR="00D849AA">
        <w:trPr>
          <w:jc w:val="center"/>
        </w:trPr>
        <w:tc>
          <w:tcPr>
            <w:tcW w:w="1486" w:type="dxa"/>
          </w:tcPr>
          <w:p w:rsidR="00D849AA" w:rsidRPr="00F37627" w:rsidRDefault="00EE6D95">
            <w:pPr>
              <w:pStyle w:val="CellColumn"/>
            </w:pPr>
            <w:r w:rsidRPr="00F37627">
              <w:t>4104</w:t>
            </w:r>
          </w:p>
        </w:tc>
        <w:tc>
          <w:tcPr>
            <w:tcW w:w="1486" w:type="dxa"/>
          </w:tcPr>
          <w:p w:rsidR="00D849AA" w:rsidRPr="00F37627" w:rsidRDefault="00EE6D95">
            <w:pPr>
              <w:rPr>
                <w:rFonts w:ascii="Arial" w:hAnsi="Arial" w:cs="Arial"/>
              </w:rPr>
            </w:pPr>
            <w:r w:rsidRPr="00F37627">
              <w:rPr>
                <w:rFonts w:ascii="Arial" w:hAnsi="Arial" w:cs="Arial"/>
              </w:rPr>
              <w:t>40.656.838</w:t>
            </w:r>
          </w:p>
        </w:tc>
        <w:tc>
          <w:tcPr>
            <w:tcW w:w="1486" w:type="dxa"/>
          </w:tcPr>
          <w:p w:rsidR="00D849AA" w:rsidRPr="00F37627" w:rsidRDefault="00EE6D95">
            <w:pPr>
              <w:rPr>
                <w:rFonts w:ascii="Arial" w:hAnsi="Arial" w:cs="Arial"/>
              </w:rPr>
            </w:pPr>
            <w:r w:rsidRPr="00F37627">
              <w:rPr>
                <w:rFonts w:ascii="Arial" w:hAnsi="Arial" w:cs="Arial"/>
              </w:rPr>
              <w:t>47.426.019</w:t>
            </w:r>
          </w:p>
        </w:tc>
        <w:tc>
          <w:tcPr>
            <w:tcW w:w="1486" w:type="dxa"/>
          </w:tcPr>
          <w:p w:rsidR="00D849AA" w:rsidRPr="00F37627" w:rsidRDefault="00EE6D95">
            <w:pPr>
              <w:rPr>
                <w:rFonts w:ascii="Arial" w:hAnsi="Arial" w:cs="Arial"/>
              </w:rPr>
            </w:pPr>
            <w:r w:rsidRPr="00F37627">
              <w:rPr>
                <w:rFonts w:ascii="Arial" w:hAnsi="Arial" w:cs="Arial"/>
              </w:rPr>
              <w:t>50.397.698</w:t>
            </w:r>
          </w:p>
        </w:tc>
        <w:tc>
          <w:tcPr>
            <w:tcW w:w="1486" w:type="dxa"/>
          </w:tcPr>
          <w:p w:rsidR="00D849AA" w:rsidRPr="00F37627" w:rsidRDefault="00EE6D95">
            <w:pPr>
              <w:rPr>
                <w:rFonts w:ascii="Arial" w:hAnsi="Arial" w:cs="Arial"/>
              </w:rPr>
            </w:pPr>
            <w:r w:rsidRPr="00F37627">
              <w:rPr>
                <w:rFonts w:ascii="Arial" w:hAnsi="Arial" w:cs="Arial"/>
              </w:rPr>
              <w:t>52.834.013</w:t>
            </w:r>
          </w:p>
        </w:tc>
        <w:tc>
          <w:tcPr>
            <w:tcW w:w="1486" w:type="dxa"/>
          </w:tcPr>
          <w:p w:rsidR="00D849AA" w:rsidRPr="00F37627" w:rsidRDefault="00EE6D95">
            <w:pPr>
              <w:rPr>
                <w:rFonts w:ascii="Arial" w:hAnsi="Arial" w:cs="Arial"/>
              </w:rPr>
            </w:pPr>
            <w:r w:rsidRPr="00F37627">
              <w:rPr>
                <w:rFonts w:ascii="Arial" w:hAnsi="Arial" w:cs="Arial"/>
              </w:rPr>
              <w:t>116,6</w:t>
            </w:r>
          </w:p>
        </w:tc>
      </w:tr>
    </w:tbl>
    <w:p w:rsidR="00D849AA" w:rsidRDefault="00D849AA">
      <w:pPr>
        <w:jc w:val="left"/>
      </w:pPr>
    </w:p>
    <w:p w:rsidR="00D849AA" w:rsidRDefault="00EE6D95">
      <w:pPr>
        <w:pStyle w:val="Naslov6"/>
      </w:pPr>
      <w:r>
        <w:t>Opis programa</w:t>
      </w:r>
    </w:p>
    <w:p w:rsidR="00D849AA" w:rsidRDefault="00EE6D95">
      <w:pPr>
        <w:pStyle w:val="Normal5"/>
      </w:pPr>
      <w:r>
        <w:t>Program obuhvaća jednu aktivnost - Poticaje za članove dobrovoljnih mirovinskih fondova odnosno isplata subvencija. Dobrovoljnim mirovinskim osiguranjem na temelju individualne kapitalizirane štednje obuhvaćeno je u 2011. g. ukupno 108.167 osiguranika. Poticajna sredstva iz državnog proračuna za uplate u dobrovoljne mirovinske fondove u 2011. godini odobravaju se po stopi od 15%.</w:t>
      </w:r>
    </w:p>
    <w:p w:rsidR="00D849AA" w:rsidRDefault="00EE6D95">
      <w:pPr>
        <w:pStyle w:val="Naslov6"/>
      </w:pPr>
      <w:r>
        <w:t>Zakonske i druge pravne osnove</w:t>
      </w:r>
    </w:p>
    <w:p w:rsidR="00D849AA" w:rsidRDefault="00EE6D95">
      <w:pPr>
        <w:pStyle w:val="Normal5"/>
      </w:pPr>
      <w:r>
        <w:t>Zakon o obveznim i dobrovoljnim mirovinskim fondovima (Narodne novine, broj 49/99, 63/00, 103/03 , 177/04, 71/07, 124/10, 114/11 i 51/13).</w:t>
      </w:r>
    </w:p>
    <w:p w:rsidR="00D849AA" w:rsidRDefault="00EE6D95">
      <w:pPr>
        <w:pStyle w:val="Naslov6"/>
      </w:pPr>
      <w:r>
        <w:lastRenderedPageBreak/>
        <w:t>Ciljevi provedbe programa u razdoblju 2014.-2016. i pokazatelji uspješnosti kojima će se mjeriti ostvarenje tih ciljeva</w:t>
      </w:r>
    </w:p>
    <w:p w:rsidR="00D849AA" w:rsidRDefault="00EE6D95">
      <w:pPr>
        <w:pStyle w:val="Naslov7"/>
      </w:pPr>
      <w:r>
        <w:t>Cilj 1. Poticati razvoj sustava mirovinskog osiguranja</w:t>
      </w:r>
    </w:p>
    <w:p w:rsidR="00D849AA" w:rsidRDefault="00EE6D95">
      <w:pPr>
        <w:pStyle w:val="Normal6"/>
      </w:pPr>
      <w:r>
        <w:t xml:space="preserve">Uplatama subvencija članovima dobrovoljnih mirovinskih fondova potiče se  razvoj trećeg stupa mirovinskog osiguranja.   </w:t>
      </w:r>
    </w:p>
    <w:p w:rsidR="00D849AA" w:rsidRDefault="00EE6D95">
      <w:pPr>
        <w:pStyle w:val="Normal6"/>
      </w:pPr>
      <w:r>
        <w:t xml:space="preserve">Zamjetan je kontinuirani porast broja članova dobrovoljnih mirovinskih fondova kojima su isplaćena poticajna sredstava iz državnog proračuna u razdoblju od 2002. do 2011. godine, od 8.039 članova 2002. godine do 108.167 članova 2011. godine.   </w:t>
      </w:r>
    </w:p>
    <w:p w:rsidR="00D849AA" w:rsidRDefault="00EE6D95">
      <w:pPr>
        <w:pStyle w:val="Normal6"/>
      </w:pPr>
      <w:r>
        <w:t xml:space="preserve">Sukladno porastu broja članova, povećavao se i iznos isplaćenih državnih poticajnih sredstava od 2003. godine, kada je isplaćeno 5.697.495,28 kuna, do 2013. godine, kada je za 2011. isplaćeno 40.647.291,54 kuna.   </w:t>
      </w:r>
    </w:p>
    <w:p w:rsidR="00D849AA" w:rsidRDefault="00EE6D95">
      <w:pPr>
        <w:pStyle w:val="Normal6"/>
      </w:pPr>
      <w:r>
        <w:t>Navedeni podaci ukazuju na povećanje svijesti građana Republike Hrvatske o potrebi brige za vlastitu mirovinu kroz što ranije započinjanje izdvajanja novčanih sredstava na osobne račune u fondove III. mirovinskog stupa, a čemu u znatnoj mjeri pridonose i poticajna sredstva iz državnog proračuna.</w:t>
      </w:r>
    </w:p>
    <w:p w:rsidR="00F37627" w:rsidRDefault="00F37627" w:rsidP="00F37627">
      <w:pPr>
        <w:pStyle w:val="Naslov4"/>
      </w:pPr>
      <w:r>
        <w:t>OBRAZLOŽENJE PROGRAMA</w:t>
      </w:r>
    </w:p>
    <w:p w:rsidR="00D849AA" w:rsidRDefault="00EE6D95" w:rsidP="00F37627">
      <w:pPr>
        <w:pStyle w:val="Naslov5"/>
        <w:ind w:left="0" w:firstLine="357"/>
      </w:pPr>
      <w:r>
        <w:t>4201 SERVISIRANJE UNUTARNJEG DUGA</w:t>
      </w:r>
    </w:p>
    <w:tbl>
      <w:tblPr>
        <w:tblStyle w:val="Reetkatablice"/>
        <w:tblW w:w="0" w:type="auto"/>
        <w:jc w:val="center"/>
        <w:tblLook w:val="04A0" w:firstRow="1" w:lastRow="0" w:firstColumn="1" w:lastColumn="0" w:noHBand="0" w:noVBand="1"/>
      </w:tblPr>
      <w:tblGrid>
        <w:gridCol w:w="1406"/>
        <w:gridCol w:w="1607"/>
        <w:gridCol w:w="1607"/>
        <w:gridCol w:w="1607"/>
        <w:gridCol w:w="1607"/>
        <w:gridCol w:w="1454"/>
      </w:tblGrid>
      <w:tr w:rsidR="00D849AA">
        <w:trPr>
          <w:jc w:val="center"/>
        </w:trPr>
        <w:tc>
          <w:tcPr>
            <w:tcW w:w="1486" w:type="dxa"/>
            <w:shd w:val="clear" w:color="auto" w:fill="B5C0D8"/>
          </w:tcPr>
          <w:p w:rsidR="00D849AA" w:rsidRPr="00F37627" w:rsidRDefault="00D849AA">
            <w:pPr>
              <w:pStyle w:val="CellHeader"/>
            </w:pPr>
          </w:p>
        </w:tc>
        <w:tc>
          <w:tcPr>
            <w:tcW w:w="1486" w:type="dxa"/>
            <w:shd w:val="clear" w:color="auto" w:fill="B5C0D8"/>
          </w:tcPr>
          <w:p w:rsidR="00D849AA" w:rsidRPr="00F37627" w:rsidRDefault="00EE6D95">
            <w:pPr>
              <w:pStyle w:val="CellHeader"/>
            </w:pPr>
            <w:r w:rsidRPr="00F37627">
              <w:t>Plan 2013.</w:t>
            </w:r>
          </w:p>
        </w:tc>
        <w:tc>
          <w:tcPr>
            <w:tcW w:w="1486" w:type="dxa"/>
            <w:shd w:val="clear" w:color="auto" w:fill="B5C0D8"/>
          </w:tcPr>
          <w:p w:rsidR="00D849AA" w:rsidRPr="00F37627" w:rsidRDefault="00EE6D95">
            <w:pPr>
              <w:pStyle w:val="CellHeader"/>
            </w:pPr>
            <w:r w:rsidRPr="00F37627">
              <w:t>Plan 2014.</w:t>
            </w:r>
          </w:p>
        </w:tc>
        <w:tc>
          <w:tcPr>
            <w:tcW w:w="1486" w:type="dxa"/>
            <w:shd w:val="clear" w:color="auto" w:fill="B5C0D8"/>
          </w:tcPr>
          <w:p w:rsidR="00D849AA" w:rsidRPr="00F37627" w:rsidRDefault="00EE6D95">
            <w:pPr>
              <w:pStyle w:val="CellHeader"/>
            </w:pPr>
            <w:r w:rsidRPr="00F37627">
              <w:t>Plan 2015.</w:t>
            </w:r>
          </w:p>
        </w:tc>
        <w:tc>
          <w:tcPr>
            <w:tcW w:w="1486" w:type="dxa"/>
            <w:shd w:val="clear" w:color="auto" w:fill="B5C0D8"/>
          </w:tcPr>
          <w:p w:rsidR="00D849AA" w:rsidRPr="00F37627" w:rsidRDefault="00EE6D95">
            <w:pPr>
              <w:pStyle w:val="CellHeader"/>
            </w:pPr>
            <w:r w:rsidRPr="00F37627">
              <w:t>Plan 2016.</w:t>
            </w:r>
          </w:p>
        </w:tc>
        <w:tc>
          <w:tcPr>
            <w:tcW w:w="1486" w:type="dxa"/>
            <w:shd w:val="clear" w:color="auto" w:fill="B5C0D8"/>
          </w:tcPr>
          <w:p w:rsidR="00D849AA" w:rsidRPr="00F37627" w:rsidRDefault="00EE6D95">
            <w:pPr>
              <w:pStyle w:val="CellHeader"/>
            </w:pPr>
            <w:r w:rsidRPr="00F37627">
              <w:t>Indeks 2014/2013</w:t>
            </w:r>
          </w:p>
        </w:tc>
      </w:tr>
      <w:tr w:rsidR="00D849AA">
        <w:trPr>
          <w:jc w:val="center"/>
        </w:trPr>
        <w:tc>
          <w:tcPr>
            <w:tcW w:w="1486" w:type="dxa"/>
          </w:tcPr>
          <w:p w:rsidR="00D849AA" w:rsidRPr="00F37627" w:rsidRDefault="00EE6D95">
            <w:pPr>
              <w:pStyle w:val="CellColumn"/>
            </w:pPr>
            <w:r w:rsidRPr="00F37627">
              <w:t>4201</w:t>
            </w:r>
          </w:p>
        </w:tc>
        <w:tc>
          <w:tcPr>
            <w:tcW w:w="1486" w:type="dxa"/>
          </w:tcPr>
          <w:p w:rsidR="00D849AA" w:rsidRPr="00F37627" w:rsidRDefault="00EE6D95">
            <w:pPr>
              <w:rPr>
                <w:rFonts w:ascii="Arial" w:hAnsi="Arial" w:cs="Arial"/>
              </w:rPr>
            </w:pPr>
            <w:r w:rsidRPr="00F37627">
              <w:rPr>
                <w:rFonts w:ascii="Arial" w:hAnsi="Arial" w:cs="Arial"/>
              </w:rPr>
              <w:t>20.248.205.947</w:t>
            </w:r>
          </w:p>
        </w:tc>
        <w:tc>
          <w:tcPr>
            <w:tcW w:w="1486" w:type="dxa"/>
          </w:tcPr>
          <w:p w:rsidR="00D849AA" w:rsidRPr="00F37627" w:rsidRDefault="00EE6D95">
            <w:pPr>
              <w:rPr>
                <w:rFonts w:ascii="Arial" w:hAnsi="Arial" w:cs="Arial"/>
              </w:rPr>
            </w:pPr>
            <w:r w:rsidRPr="00F37627">
              <w:rPr>
                <w:rFonts w:ascii="Arial" w:hAnsi="Arial" w:cs="Arial"/>
              </w:rPr>
              <w:t>23.478.196.846</w:t>
            </w:r>
          </w:p>
        </w:tc>
        <w:tc>
          <w:tcPr>
            <w:tcW w:w="1486" w:type="dxa"/>
          </w:tcPr>
          <w:p w:rsidR="00D849AA" w:rsidRPr="00F37627" w:rsidRDefault="00EE6D95">
            <w:pPr>
              <w:rPr>
                <w:rFonts w:ascii="Arial" w:hAnsi="Arial" w:cs="Arial"/>
              </w:rPr>
            </w:pPr>
            <w:r w:rsidRPr="00F37627">
              <w:rPr>
                <w:rFonts w:ascii="Arial" w:hAnsi="Arial" w:cs="Arial"/>
              </w:rPr>
              <w:t>20.074.801.583</w:t>
            </w:r>
          </w:p>
        </w:tc>
        <w:tc>
          <w:tcPr>
            <w:tcW w:w="1486" w:type="dxa"/>
          </w:tcPr>
          <w:p w:rsidR="00D849AA" w:rsidRPr="00F37627" w:rsidRDefault="00EE6D95">
            <w:pPr>
              <w:rPr>
                <w:rFonts w:ascii="Arial" w:hAnsi="Arial" w:cs="Arial"/>
              </w:rPr>
            </w:pPr>
            <w:r w:rsidRPr="00F37627">
              <w:rPr>
                <w:rFonts w:ascii="Arial" w:hAnsi="Arial" w:cs="Arial"/>
              </w:rPr>
              <w:t>18.249.847.963</w:t>
            </w:r>
          </w:p>
        </w:tc>
        <w:tc>
          <w:tcPr>
            <w:tcW w:w="1486" w:type="dxa"/>
          </w:tcPr>
          <w:p w:rsidR="00D849AA" w:rsidRPr="00F37627" w:rsidRDefault="00EE6D95">
            <w:pPr>
              <w:rPr>
                <w:rFonts w:ascii="Arial" w:hAnsi="Arial" w:cs="Arial"/>
              </w:rPr>
            </w:pPr>
            <w:r w:rsidRPr="00F37627">
              <w:rPr>
                <w:rFonts w:ascii="Arial" w:hAnsi="Arial" w:cs="Arial"/>
              </w:rPr>
              <w:t>116,0</w:t>
            </w:r>
          </w:p>
        </w:tc>
      </w:tr>
    </w:tbl>
    <w:p w:rsidR="00D849AA" w:rsidRDefault="00D849AA">
      <w:pPr>
        <w:jc w:val="left"/>
      </w:pPr>
    </w:p>
    <w:p w:rsidR="00D849AA" w:rsidRDefault="00EE6D95">
      <w:pPr>
        <w:pStyle w:val="Naslov6"/>
      </w:pPr>
      <w:r>
        <w:t>Opis programa</w:t>
      </w:r>
    </w:p>
    <w:p w:rsidR="00D849AA" w:rsidRDefault="00EE6D95">
      <w:pPr>
        <w:pStyle w:val="Normal5"/>
      </w:pPr>
      <w:r>
        <w:t>Rashodi i izdaci po ovoj osnovi planirani su za servisiranje obveza po izdanim vrijednosnim papirima u zemlji, za servisiranje kreditnih obveza prema tuzemnim bankama, za servisiranje preuzetih obveza proisteklih temeljem sklopljenih ugovora i izdanih jamstava brodogradilištima, željeznicama, zdravstvu kao i za servisiranje obveza po kreditima sveučilištima.</w:t>
      </w:r>
    </w:p>
    <w:p w:rsidR="00D849AA" w:rsidRDefault="00EE6D95">
      <w:pPr>
        <w:pStyle w:val="Naslov6"/>
      </w:pPr>
      <w:r>
        <w:t>Zakonske i druge pravne osnove</w:t>
      </w:r>
    </w:p>
    <w:p w:rsidR="00D849AA" w:rsidRDefault="00EE6D95">
      <w:pPr>
        <w:pStyle w:val="Normal5"/>
      </w:pPr>
      <w:r>
        <w:t xml:space="preserve">- Zakon o izdavanju i prometu vrijednosnim papirima (NN 107/95, 142/98, 87/00);   </w:t>
      </w:r>
    </w:p>
    <w:p w:rsidR="00D849AA" w:rsidRDefault="00EE6D95">
      <w:pPr>
        <w:pStyle w:val="Normal5"/>
      </w:pPr>
      <w:r>
        <w:t xml:space="preserve">- Odluka o izdavanju obveznica RH uz plasman na domaćem tržištu kapitala u kunskoj protuvrijednosti iznosa od EUR 650.000.000,00 (10. veljače 2004.) </w:t>
      </w:r>
    </w:p>
    <w:p w:rsidR="00D849AA" w:rsidRDefault="00EE6D95">
      <w:pPr>
        <w:pStyle w:val="Normal5"/>
      </w:pPr>
      <w:r>
        <w:t xml:space="preserve">- Odluka o izdavanju obveznica RH uz plasmana na domaćem tržištu kapitala u kunskoj protuvrijednosti iznosa od EUR 500.000.000 (29. studenoga 2004.) </w:t>
      </w:r>
    </w:p>
    <w:p w:rsidR="00D849AA" w:rsidRDefault="00EE6D95">
      <w:pPr>
        <w:pStyle w:val="Normal5"/>
      </w:pPr>
      <w:r>
        <w:t xml:space="preserve">- Odluka o izdavanju obveznica RH uz plasmana na domaćem tržištu kapitala u kunskoj protuvrijednosti iznosa od EUR 350.000.000 (14. srpnja 2005.) </w:t>
      </w:r>
    </w:p>
    <w:p w:rsidR="00D849AA" w:rsidRDefault="00EE6D95">
      <w:pPr>
        <w:pStyle w:val="Normal5"/>
      </w:pPr>
      <w:r>
        <w:t xml:space="preserve">- Odluka o izdavanju obveznica RH uz plasmana na domaćem tržištu kapitala iznosa od HRK 5.500.000.000,00 (15. prosinca 2005.) </w:t>
      </w:r>
    </w:p>
    <w:p w:rsidR="00D849AA" w:rsidRDefault="00EE6D95">
      <w:pPr>
        <w:pStyle w:val="Normal5"/>
      </w:pPr>
      <w:r>
        <w:t xml:space="preserve">- Odluka o izdavanju obveznica RH uz plasmana na domaćem tržištu kapitala iznosa od HRK 5.500.000.000,00 (8. veljače 2007.) </w:t>
      </w:r>
    </w:p>
    <w:p w:rsidR="00D849AA" w:rsidRDefault="00EE6D95">
      <w:pPr>
        <w:pStyle w:val="Normal5"/>
      </w:pPr>
      <w:r>
        <w:lastRenderedPageBreak/>
        <w:t xml:space="preserve">- Odluka o izdavanju obveznica RH uz plasmana na domaćem tržištu kapitala iznosa od HRK 5.000.000.000,00 (5. ožujka 2010.) </w:t>
      </w:r>
    </w:p>
    <w:p w:rsidR="00D849AA" w:rsidRDefault="00EE6D95">
      <w:pPr>
        <w:pStyle w:val="Normal5"/>
      </w:pPr>
      <w:r>
        <w:t xml:space="preserve">- Odluka o izdavanju obveznica RH uz plasmana na domaćem tržištu kapitala u kunskoj protuvrijednosti iznosa od EUR 1.000.000.000 (5. ožujka 2010.) </w:t>
      </w:r>
    </w:p>
    <w:p w:rsidR="00D849AA" w:rsidRDefault="00EE6D95">
      <w:pPr>
        <w:pStyle w:val="Normal5"/>
      </w:pPr>
      <w:r>
        <w:t xml:space="preserve">- Odluka o izdavanju obveznica RH uz plasmana na domaćem tržištu kapitala iznosa od HRK 4.000.000.000,00 (25. studenoga 2010.) </w:t>
      </w:r>
    </w:p>
    <w:p w:rsidR="00D849AA" w:rsidRDefault="00EE6D95">
      <w:pPr>
        <w:pStyle w:val="Normal5"/>
      </w:pPr>
      <w:r>
        <w:t xml:space="preserve">- Odluka o izdavanju obveznica RH uz plasmana na domaćem tržištu kapitala iznosa od HRK 3.500.000.000,00 (22. srpnja 2011.) </w:t>
      </w:r>
    </w:p>
    <w:p w:rsidR="00D849AA" w:rsidRDefault="00EE6D95">
      <w:pPr>
        <w:pStyle w:val="Normal5"/>
      </w:pPr>
      <w:r>
        <w:t xml:space="preserve">- Odluka o izdavanju obveznica RH uz plasmana na domaćem tržištu kapitala u kunskoj protuvrijednosti iznosa od EUR 1.000.000.000 (22. srpnja 2011.) </w:t>
      </w:r>
    </w:p>
    <w:p w:rsidR="00D849AA" w:rsidRDefault="00EE6D95">
      <w:pPr>
        <w:pStyle w:val="Normal5"/>
      </w:pPr>
      <w:r>
        <w:t xml:space="preserve">- Odluka o izdavanju obveznica RH uz plasmana na domaćem tržištu kapitala iznosa od HRK 2.750.000.000,00 (10. srpnja 2013.) </w:t>
      </w:r>
    </w:p>
    <w:p w:rsidR="00D849AA" w:rsidRDefault="00EE6D95">
      <w:pPr>
        <w:pStyle w:val="Normal5"/>
      </w:pPr>
      <w:r>
        <w:t xml:space="preserve">- Odluka o izdavanju obveznica RH uz plasmana na domaćem tržištu kapitala u kunskoj protuvrijednosti iznosa od EUR 750.000.000 (10. srpnja 2013.) </w:t>
      </w:r>
    </w:p>
    <w:p w:rsidR="00D849AA" w:rsidRDefault="00EE6D95">
      <w:pPr>
        <w:pStyle w:val="Normal5"/>
      </w:pPr>
      <w:r>
        <w:t xml:space="preserve">Odluka o zaduživanju RH deviznim kreditom sindiciranim kod domaćih banaka u iznosu od EUR 500.000.000,00 (NN 39/05); </w:t>
      </w:r>
    </w:p>
    <w:p w:rsidR="00D849AA" w:rsidRDefault="00EE6D95">
      <w:pPr>
        <w:pStyle w:val="Normal5"/>
      </w:pPr>
      <w:r>
        <w:t xml:space="preserve">Odluka o zaduživanju RH deviznim kreditom sindiciranim kod domaćih banaka u iznosu od EUR 760.000.000,00 (NN 59/08); </w:t>
      </w:r>
    </w:p>
    <w:p w:rsidR="00D849AA" w:rsidRDefault="00EE6D95">
      <w:pPr>
        <w:pStyle w:val="Normal5"/>
      </w:pPr>
      <w:r>
        <w:t xml:space="preserve">Odluka o zaduživanju RH deviznim kreditom sindiciranim kod domaćih banaka u iznosu od EUR 750.000.000,00 (NN 18/09); </w:t>
      </w:r>
    </w:p>
    <w:p w:rsidR="00D849AA" w:rsidRDefault="00EE6D95">
      <w:pPr>
        <w:pStyle w:val="Normal5"/>
      </w:pPr>
      <w:r>
        <w:t>- Ugovori o zajmu za sveučilišta u Rijeci, Osijeku, Zagrebu, Splitu, Dubrovniku i Mostaru, s Privrednom bankom d.d. Zagreb, Zagrebačkom bankom d.d. Zagreb,  Erste &amp; Steiermarkische bank d.d. Rijeka, Hypo Alpe Adria bank d.d. Zagreb i HBOR-om Zakon o izvršavanju Državnog proračuna RH.</w:t>
      </w:r>
    </w:p>
    <w:p w:rsidR="00B515E1" w:rsidRDefault="00B515E1">
      <w:pPr>
        <w:pStyle w:val="Normal5"/>
      </w:pP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Cilj 1. Pravovremena otplata dospijeća obveza po zaduživanju na domaćem tržištu kapitala</w:t>
      </w:r>
    </w:p>
    <w:p w:rsidR="00D849AA" w:rsidRDefault="00EE6D95">
      <w:pPr>
        <w:pStyle w:val="Normal6"/>
      </w:pPr>
      <w:r>
        <w:t>Pravovremena otplata dospijeća obveza po zaduživanju na domaćem tržištu kapitala je u skladu je s prvim Općim ciljem iz Strategije Vladinih programa – Makroekonomska i gospodarska stabilnost te Posebnim ciljem 1.1. – Učinkovitije upravljanje javnim financijama.</w:t>
      </w:r>
    </w:p>
    <w:p w:rsidR="00F37627" w:rsidRDefault="00F37627" w:rsidP="00F37627">
      <w:pPr>
        <w:pStyle w:val="Naslov4"/>
      </w:pPr>
      <w:r>
        <w:t>OBRAZLOŽENJE PROGRAMA</w:t>
      </w:r>
    </w:p>
    <w:p w:rsidR="00D849AA" w:rsidRDefault="00EE6D95">
      <w:pPr>
        <w:pStyle w:val="Naslov5"/>
      </w:pPr>
      <w:r>
        <w:t>4202 SERVISIRANJE VANJSKOG DUGA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4202</w:t>
            </w:r>
          </w:p>
        </w:tc>
        <w:tc>
          <w:tcPr>
            <w:tcW w:w="1486" w:type="dxa"/>
          </w:tcPr>
          <w:p w:rsidR="00D849AA" w:rsidRDefault="00EE6D95">
            <w:r>
              <w:t>4.915.199.622</w:t>
            </w:r>
          </w:p>
        </w:tc>
        <w:tc>
          <w:tcPr>
            <w:tcW w:w="1486" w:type="dxa"/>
          </w:tcPr>
          <w:p w:rsidR="00D849AA" w:rsidRDefault="00EE6D95">
            <w:r>
              <w:t>10.332.096.246</w:t>
            </w:r>
          </w:p>
        </w:tc>
        <w:tc>
          <w:tcPr>
            <w:tcW w:w="1486" w:type="dxa"/>
          </w:tcPr>
          <w:p w:rsidR="00D849AA" w:rsidRDefault="00EE6D95">
            <w:r>
              <w:t>13.460.100.631</w:t>
            </w:r>
          </w:p>
        </w:tc>
        <w:tc>
          <w:tcPr>
            <w:tcW w:w="1486" w:type="dxa"/>
          </w:tcPr>
          <w:p w:rsidR="00D849AA" w:rsidRDefault="00EE6D95">
            <w:r>
              <w:t>8.507.947.289</w:t>
            </w:r>
          </w:p>
        </w:tc>
        <w:tc>
          <w:tcPr>
            <w:tcW w:w="1486" w:type="dxa"/>
          </w:tcPr>
          <w:p w:rsidR="00D849AA" w:rsidRDefault="00EE6D95">
            <w:r>
              <w:t>210,2</w:t>
            </w:r>
          </w:p>
        </w:tc>
      </w:tr>
    </w:tbl>
    <w:p w:rsidR="00D849AA" w:rsidRDefault="00D849AA">
      <w:pPr>
        <w:jc w:val="left"/>
      </w:pPr>
    </w:p>
    <w:p w:rsidR="00D849AA" w:rsidRDefault="00EE6D95">
      <w:pPr>
        <w:pStyle w:val="Naslov6"/>
      </w:pPr>
      <w:r>
        <w:lastRenderedPageBreak/>
        <w:t>Opis programa</w:t>
      </w:r>
    </w:p>
    <w:p w:rsidR="00D849AA" w:rsidRDefault="00EE6D95">
      <w:pPr>
        <w:pStyle w:val="Normal5"/>
      </w:pPr>
      <w:r>
        <w:t>Rashodi i izdaci po ovoj osnovi (za kamate i glavnice) planirani su prema podacima o dospijeću obveza po izdanim obveznicama na međunarodnom tržištu kapitala, za servisiranje obveza po kreditima inozemnih banaka, te za servisiranje obveza po zajmovima od međunarodnih financijskih institucija za projekte iz djelokruga EBRD-a, IBRD-a, EIB-a, CEB-a, EUROFIMA-e (za obnovu, rekonstrukciju  i izgradnju cesta, željeznica, reformu pravosuđa, zdravstveni sektor, obnovu i izgradnju škola, poljoprivredu, gospodarski oporavak područja posebne državne skrbi, hitne obnove prometa i razminiranja, zaštite od onečišćenja voda u priobalju, obnovu i zaštitu obalnih šuma). Također su ovom programu pridružene i aktivnosti troškovi i naknade povlačenja kredita i troškovi i naknade izdavanja vrijednosnih papira.</w:t>
      </w:r>
    </w:p>
    <w:p w:rsidR="00D849AA" w:rsidRDefault="00EE6D95">
      <w:pPr>
        <w:pStyle w:val="Naslov6"/>
      </w:pPr>
      <w:r>
        <w:t>Zakonske i druge pravne osnove</w:t>
      </w:r>
    </w:p>
    <w:p w:rsidR="00D849AA" w:rsidRDefault="00EE6D95">
      <w:pPr>
        <w:pStyle w:val="Normal5"/>
      </w:pPr>
      <w:r>
        <w:t xml:space="preserve">- Odluka o izdavanju euroobveznica RH u iznosu od EUR 500.000.000,00 (NN 48/04);  </w:t>
      </w:r>
    </w:p>
    <w:p w:rsidR="00D849AA" w:rsidRDefault="00EE6D95">
      <w:pPr>
        <w:pStyle w:val="Normal5"/>
      </w:pPr>
      <w:r>
        <w:t xml:space="preserve">- Odluka o izdavanju euroobveznica RH u iznosu od EUR 750.000.000,00 (NN 62/09)  </w:t>
      </w:r>
    </w:p>
    <w:p w:rsidR="00D849AA" w:rsidRDefault="00EE6D95">
      <w:pPr>
        <w:pStyle w:val="Normal5"/>
      </w:pPr>
      <w:r>
        <w:t xml:space="preserve">- Odluka o izdavanju euroobveznica RH u iznosu od USD 1.500.000.000,00 (NN 132/09);  </w:t>
      </w:r>
    </w:p>
    <w:p w:rsidR="00D849AA" w:rsidRDefault="00EE6D95">
      <w:pPr>
        <w:pStyle w:val="Normal5"/>
      </w:pPr>
      <w:r>
        <w:t xml:space="preserve">- Odluka o izdavanju euroobveznica RH u iznosu od USD 1.250.000.000,00 (NN 87/10);  </w:t>
      </w:r>
    </w:p>
    <w:p w:rsidR="00D849AA" w:rsidRDefault="00EE6D95">
      <w:pPr>
        <w:pStyle w:val="Normal5"/>
      </w:pPr>
      <w:r>
        <w:t xml:space="preserve">- Odluka o izdavanju euroobveznica RH u iznosu od USD 1.500.000.000,00 (NN 35/11);  </w:t>
      </w:r>
    </w:p>
    <w:p w:rsidR="00D849AA" w:rsidRDefault="00EE6D95">
      <w:pPr>
        <w:pStyle w:val="Normal5"/>
      </w:pPr>
      <w:r>
        <w:t xml:space="preserve">- Odluka o izdavanju euroobveznica RH u iznosu od EUR 750.000.000,00 (NN 77/11);  </w:t>
      </w:r>
    </w:p>
    <w:p w:rsidR="00D849AA" w:rsidRDefault="00EE6D95">
      <w:pPr>
        <w:pStyle w:val="Normal5"/>
      </w:pPr>
      <w:r>
        <w:t xml:space="preserve">- Odluka o izdavanju euroobveznica RH u iznosu od USD 1.500.000.000,00 (NN 49/12 ) ; </w:t>
      </w:r>
    </w:p>
    <w:p w:rsidR="00D849AA" w:rsidRDefault="00EE6D95">
      <w:pPr>
        <w:pStyle w:val="Normal5"/>
      </w:pPr>
      <w:r>
        <w:t xml:space="preserve">- Odluka o ozdavanju euroobveznica RH u iznosu od USD 1.500.000.000,00 (4. travnja 2013.) </w:t>
      </w:r>
    </w:p>
    <w:p w:rsidR="00D849AA" w:rsidRDefault="00EE6D95">
      <w:pPr>
        <w:pStyle w:val="Normal5"/>
      </w:pPr>
      <w:r>
        <w:t xml:space="preserve">Zakon o kreditnim poslovima s inozemstvom (NN 43/96);   </w:t>
      </w:r>
    </w:p>
    <w:p w:rsidR="00D849AA" w:rsidRDefault="00EE6D95">
      <w:pPr>
        <w:pStyle w:val="Normal5"/>
      </w:pPr>
      <w:r>
        <w:t xml:space="preserve">Zakon o potvrđivanju. okvirnog ugovora o zajmu između RH i Razvojne banke Zakon o potvrđivanju (ratifikaciji) Sporazuma o garanciji između RH i Međunarodne banke za obnovu i razvoj i Sporazuma o preuzimanju zajma između RH i Međunarodne banke (NN MU 7/94);   </w:t>
      </w:r>
    </w:p>
    <w:p w:rsidR="00D849AA" w:rsidRDefault="00EE6D95">
      <w:pPr>
        <w:pStyle w:val="Normal5"/>
      </w:pPr>
      <w:r>
        <w:t xml:space="preserve">Zakon o potvrđivanju (ratifikaciji) Sporazuma o zajmu za obnovu sklopljenog između RH i Međunarodne banke za obnovu i razvoj (NN MU 7/94);   </w:t>
      </w:r>
    </w:p>
    <w:p w:rsidR="00D849AA" w:rsidRDefault="00EE6D95">
      <w:pPr>
        <w:pStyle w:val="Normal5"/>
      </w:pPr>
      <w:r>
        <w:t xml:space="preserve">Zakon o potvrđivanju Sporazuma o zajmu za projekt sustava zračne plovidbe, između RH i Europske banke za obnovu i razvoj (NN MU 13/94);   </w:t>
      </w:r>
    </w:p>
    <w:p w:rsidR="00D849AA" w:rsidRDefault="00EE6D95">
      <w:pPr>
        <w:pStyle w:val="Normal5"/>
      </w:pPr>
      <w:r>
        <w:t xml:space="preserve">Zakon o potvrđivanju Sporazuma o zajmu za projekt obnove cesta, između RH i Europske banke za obnovu i razvoj, sklopljen 17.01.1995. Godine (NN MU 6/95); Zakon o potvrđivanju ugovora o kreditu za projekt u zdravstvu, između RH i Međunarodne banke za obnovu i razvoj, s ugovorom o projektu, između Međunarodne banke za obnovu i razvoj i Hrvatskog zavoda za zdravstveno osiguranje (NN MU 7/95);   </w:t>
      </w:r>
    </w:p>
    <w:p w:rsidR="00D849AA" w:rsidRDefault="00EE6D95">
      <w:pPr>
        <w:pStyle w:val="Normal5"/>
      </w:pPr>
      <w:r>
        <w:t xml:space="preserve">Zakon o potvrđivanju Sporazuma o zajmu za projekt cestovnog sektora, između RH i Međunarodne banke za obnovu i razvoj (NN MU8/95); Zakon o potvrđivanju sporazuma o zajmu za projekt tehničke pomoći, između RH i Međunarodne banke za obnovu i razvoj (NN MU 8/96);   </w:t>
      </w:r>
    </w:p>
    <w:p w:rsidR="00D849AA" w:rsidRDefault="00EE6D95">
      <w:pPr>
        <w:pStyle w:val="Normal5"/>
      </w:pPr>
      <w:r>
        <w:t xml:space="preserve">Zakon o potvrđivanju sporazuma o zajmu za projekt razvoja tržišta kapitala, između RH i Međunarodne banke za obnovu i razvoj (NN MU 9/96),   </w:t>
      </w:r>
    </w:p>
    <w:p w:rsidR="00D849AA" w:rsidRDefault="00EE6D95">
      <w:pPr>
        <w:pStyle w:val="Normal5"/>
      </w:pPr>
      <w:r>
        <w:t xml:space="preserve">Zakon o potvrđivanju sporazuma o zajmu za projekt razvoja službi za potporu obiteljskih poljoprivrednih gospodarstava, između RH i Međunarodne banke za obnovu i razvoj (NN MU 9/96);   </w:t>
      </w:r>
    </w:p>
    <w:p w:rsidR="00D849AA" w:rsidRDefault="00EE6D95">
      <w:pPr>
        <w:pStyle w:val="Normal5"/>
      </w:pPr>
      <w:r>
        <w:t xml:space="preserve">Zakon o potvrđivanju sporazuma o zajmu za projekt hitne obnove prometa i razminiranje, između RH i Međunarodne banke za obnovu i razvoj (NN MU 3/97);   </w:t>
      </w:r>
    </w:p>
    <w:p w:rsidR="00D849AA" w:rsidRDefault="00EE6D95">
      <w:pPr>
        <w:pStyle w:val="Normal5"/>
      </w:pPr>
      <w:r>
        <w:lastRenderedPageBreak/>
        <w:t xml:space="preserve">Zakon o potvrđivanju Ugovora o jamstvu RH za "Program investiranja u lokalnu infrastrukturu i zaštitu okoliša" između RH i Europske banke za obnovu i razvoj (NN MU 4/97);   </w:t>
      </w:r>
    </w:p>
    <w:p w:rsidR="00D849AA" w:rsidRDefault="00EE6D95">
      <w:pPr>
        <w:pStyle w:val="Normal5"/>
      </w:pPr>
      <w:r>
        <w:t xml:space="preserve">Zakon o potvrđivanju Ugovora o zajmu između RH i Međunarodne banke za obnovu i razvoj za projekt obnove i zaštite obalnih šuma, s projektnim ugovorom "Obnova i zaštita obalnih šuma", između Hrvatskih šuma i Međunarodne banke za obnovu i razvoj (NN MU 8/97);   </w:t>
      </w:r>
    </w:p>
    <w:p w:rsidR="00D849AA" w:rsidRDefault="00EE6D95">
      <w:pPr>
        <w:pStyle w:val="Normal5"/>
      </w:pPr>
      <w:r>
        <w:t xml:space="preserve">Zakon o potvrđivanju ugovora o zajmu za prilagodbu financijskog sektora i poduzeća između RH i Međunarodne banke za obnovu i razvoj (NN MU 17/97);   </w:t>
      </w:r>
    </w:p>
    <w:p w:rsidR="00D849AA" w:rsidRDefault="00EE6D95">
      <w:pPr>
        <w:pStyle w:val="Normal5"/>
      </w:pPr>
      <w:r>
        <w:t xml:space="preserve">Zakon o potvrđivanju ugovora o jamstvu za projekt oporavka investicija, između RH i Međunarodne banke za obnovu i razvoj (NN MU 3/98);   </w:t>
      </w:r>
    </w:p>
    <w:p w:rsidR="00D849AA" w:rsidRDefault="00EE6D95">
      <w:pPr>
        <w:pStyle w:val="Normal5"/>
      </w:pPr>
      <w:r>
        <w:t xml:space="preserve">Zakon o potvrđivanju sporazuma o zajmu za projekt veletržnice između RH i Europske banke za obnovu i razvoj (NN MU 7/98);   </w:t>
      </w:r>
    </w:p>
    <w:p w:rsidR="00D849AA" w:rsidRDefault="00EE6D95">
      <w:pPr>
        <w:pStyle w:val="Normal5"/>
      </w:pPr>
      <w:r>
        <w:t xml:space="preserve">Zakon o potvrđivanju Okvirnog ugovora o zajmu između Fonda Vijeća Europe za socijalni razvoj i RH za projekt 1279 (1998) - obnova škola u Istočnoj Slavoniji (NN MU 13/98); Zakon o potvrđivanju Okvirnog ugovora o zajmu između Fonda Vijeća Europe za socijalni razvoj i RH za projekt 1278 (1998) - obnova zdravstvene infrastrukture u Istočnoj Slavoniji (NN MU13/98);   </w:t>
      </w:r>
    </w:p>
    <w:p w:rsidR="00D849AA" w:rsidRDefault="00EE6D95">
      <w:pPr>
        <w:pStyle w:val="Normal5"/>
      </w:pPr>
      <w:r>
        <w:t xml:space="preserve">Zakon o potvrđivanju ugovora o zajmu između RH i Međunarodne banke za obnovu i razvoj za projekt obnove dijela područja (Istočne Slavonije, Baranje i Zapadnog Srijema) (NN MU 15/98);   </w:t>
      </w:r>
    </w:p>
    <w:p w:rsidR="00D849AA" w:rsidRDefault="00EE6D95">
      <w:pPr>
        <w:pStyle w:val="Normal5"/>
      </w:pPr>
      <w:r>
        <w:t xml:space="preserve">Zakon o potvrđivanju ugovora o jamstvu između RH i Europske banke za obnovu i razvoj za projekt obnove željezničkih lokomotiva (NN MU 4/99);   </w:t>
      </w:r>
    </w:p>
    <w:p w:rsidR="00D849AA" w:rsidRDefault="00EE6D95">
      <w:pPr>
        <w:pStyle w:val="Normal5"/>
      </w:pPr>
      <w:r>
        <w:t xml:space="preserve">Zakon o potvrđivanju ugovora o zajmu između RH i Međunarodne banke za obnovu i razvoj za projekt osuvremenjivanja i restrukturiranja željeznica (NN MU 4/99); Zakon o potvrđivanju Ugovora o zajmu između RH i Međunarodne banke za obnovu i razvoj za projekt tehničke pomoći u svezi s institucionalnim i zakonodavnim promjenama radi razvoja privatnog sektora (NN MU 8/99);   </w:t>
      </w:r>
    </w:p>
    <w:p w:rsidR="00D849AA" w:rsidRDefault="00EE6D95">
      <w:pPr>
        <w:pStyle w:val="Normal5"/>
      </w:pPr>
      <w:r>
        <w:t xml:space="preserve">Odluka o zaduživanju RH kod Chase Manhattan Bank (NN MU 61/99, 65/99);   </w:t>
      </w:r>
    </w:p>
    <w:p w:rsidR="00D849AA" w:rsidRDefault="00EE6D95">
      <w:pPr>
        <w:pStyle w:val="Normal5"/>
      </w:pPr>
      <w:r>
        <w:t xml:space="preserve">Vijeća Europe za obnovu škola (NN MU 7/01); Zakon o potvrđivanju okvirnog ugovora o zajmu između RH i Razvojne banke Vijeća Europe za projekt povratka prognanika i izbjeglica u RH - obnova i stambeno zbrinjavanje (NN MU 7/01); Zakon o potvrđivanju Ugovora o zajmu između RH i Međunarodne banke za obnovu i razvoj za projekt tehničke pomoći u vezi sa stečajevima (NN MU 14/01); Zakon o potvrđivanju Okvirnog ugovora o zajmu 1379 (2000) za obnovu franjevačkog samostana Male braće u Dubrovniku, između Razvojne banke Vijeća Europe i RH (NN MU 14/01);   </w:t>
      </w:r>
    </w:p>
    <w:p w:rsidR="00D849AA" w:rsidRDefault="00EE6D95">
      <w:pPr>
        <w:pStyle w:val="Normal5"/>
      </w:pPr>
      <w:r>
        <w:t xml:space="preserve">Zakon o potvrđivanju Ugovora o financiranju između Europske investicijske banke i Republike Hrvatske i HŽ-Hrvatskih željeznica, d.o.o. za obnovu željezničke pruge na V.c. koridoru (NN MU br. 2/02); Zakon o potvrđivanju Ugovora o zajmu za strukturnu prilagodbu, između Republike Hrvatske i Međunarodne banke za obnovu i razvoj (NN MU br. 2/02); Zakon o potvrđivanju Okvirnog ugovora o zajmu 1351 (1999) za obnovu zdravstvene infrastrukture, između Razvojne banke Vijeća Europe i Republike Hrvatske (NN MU br. 9/02);   </w:t>
      </w:r>
    </w:p>
    <w:p w:rsidR="00D849AA" w:rsidRDefault="00EE6D95">
      <w:pPr>
        <w:pStyle w:val="Normal5"/>
      </w:pPr>
      <w:r>
        <w:t xml:space="preserve">Zakon o potvrđivanju Okvirnog ugovora o zajmu 1419 (2001) za obnovu škole narodnog zdravlja „Andrija Štampar“ u Zagrebu i Međunarodnog centra za zdravstveni management „Andrija Štampar“ u Dubrovniku, između Razvojne banke Vijeća Europe i Republike Hrvatske (NN MU br. 10/02);   </w:t>
      </w:r>
    </w:p>
    <w:p w:rsidR="00D849AA" w:rsidRDefault="00EE6D95">
      <w:pPr>
        <w:pStyle w:val="Normal5"/>
      </w:pPr>
      <w:r>
        <w:t xml:space="preserve">Zakon o potvrđivanju Ugovora o zajmu između Republike Hrvatske i Međunarodne banke za obnovu i razvoj za Projekt ulaganja u mirovinski sustav (NN-MU br.2/2003); Zakon o </w:t>
      </w:r>
      <w:r>
        <w:lastRenderedPageBreak/>
        <w:t xml:space="preserve">potvrđivanju Ugovora o zajmu između Republike Hrvatske i Međunarodne banke za obnovu i razvoj za Projekt sređivanja zemljišnih knjiga i katastra (NN-MU br.2/2003);   </w:t>
      </w:r>
    </w:p>
    <w:p w:rsidR="00D849AA" w:rsidRDefault="00EE6D95">
      <w:pPr>
        <w:pStyle w:val="Normal5"/>
      </w:pPr>
      <w:r>
        <w:t xml:space="preserve">Zakon o potvrđivanju Ugovora o financiranju između Republike Hrvatske i Europske investicijske banke za projekt – Obnova komunalne infrastrukture na područjima od posebne državne skrbi (NN MU br. 16/03);   </w:t>
      </w:r>
    </w:p>
    <w:p w:rsidR="00D849AA" w:rsidRDefault="00EE6D95">
      <w:pPr>
        <w:pStyle w:val="Normal5"/>
      </w:pPr>
      <w:r>
        <w:t xml:space="preserve">Zakon o potvrđivanju Okvirnog ugovora o zajmu za projekt 1435 (2002) održivi povratak  prognanika i izbjeglica – povrat imovine i stambeno zbrinjavanje između Republike Hrvatske i Razvojne banke Vijeća Europe (NN MU br. 6/04);   </w:t>
      </w:r>
    </w:p>
    <w:p w:rsidR="00D849AA" w:rsidRDefault="00EE6D95">
      <w:pPr>
        <w:pStyle w:val="Normal5"/>
      </w:pPr>
      <w:r>
        <w:t xml:space="preserve">Ugovor o zajmu između Republike Hrvatske i Međunarodne banke za obnovu i razvoj za financiranje Projekta zaštite od onečišćenja voda u priobalnom području (NN – MU br. 11/04);   </w:t>
      </w:r>
    </w:p>
    <w:p w:rsidR="00D849AA" w:rsidRDefault="00EE6D95">
      <w:pPr>
        <w:pStyle w:val="Normal5"/>
      </w:pPr>
      <w:r>
        <w:t xml:space="preserve">Zakon o potvrđivanju Okvirnog ugovora o zajmu broj F/P 1456 (2003) za Projekt obnove i izgradnje školskih objekata u Republici Hrvatskoj, između Razvojne banke Vijeća Europe i Republike Hrvatske (NN MU br. 5/05);   </w:t>
      </w:r>
    </w:p>
    <w:p w:rsidR="00D849AA" w:rsidRDefault="00EE6D95">
      <w:pPr>
        <w:pStyle w:val="Normal5"/>
      </w:pPr>
      <w:r>
        <w:t xml:space="preserve">Zakon o potvrđivanju Okvirnog ugovora o zajmu broj F/P 1498 (2004) za Projekt izgradnje objekata komunalne i društvene infrastrukture na hrvatskim otocima, između Republike Hrvatske i Razvojne banke Vijeća Europe (NN MU br. 5/05);   </w:t>
      </w:r>
    </w:p>
    <w:p w:rsidR="00D849AA" w:rsidRDefault="00EE6D95">
      <w:pPr>
        <w:pStyle w:val="Normal5"/>
      </w:pPr>
      <w:r>
        <w:t xml:space="preserve">Zakon o potvrđivanju Ugovora o financiranju između Republike Hrvatske i Europske investicijske banke – Okvirni višesektorski zajam za komunalnu infrastrukturu za projekt „Integralni razvoj lokalne zajednice“ (NN MU br. 7/05);   </w:t>
      </w:r>
    </w:p>
    <w:p w:rsidR="00D849AA" w:rsidRDefault="00EE6D95">
      <w:pPr>
        <w:pStyle w:val="Normal5"/>
      </w:pPr>
      <w:r>
        <w:t xml:space="preserve">Programski zajam za prilagodbu (NN MU br. 12/05);   </w:t>
      </w:r>
    </w:p>
    <w:p w:rsidR="00D849AA" w:rsidRDefault="00EE6D95">
      <w:pPr>
        <w:pStyle w:val="Normal5"/>
      </w:pPr>
      <w:r>
        <w:t xml:space="preserve">Programski zajam za prilagodbu II (NN MU br. 7/07);   </w:t>
      </w:r>
    </w:p>
    <w:p w:rsidR="00D849AA" w:rsidRDefault="00EE6D95">
      <w:pPr>
        <w:pStyle w:val="Normal5"/>
      </w:pPr>
      <w:r>
        <w:t xml:space="preserve">Okvirni ugovor o zajmu broj:F/P 1576 (2006) W između Razvojne banke Vijeća Europe i Republike Hrvatske za Projekt financiranja zdravstvenih ustanova u Republici Hrvatskoj (NN MU br. 9/07);   </w:t>
      </w:r>
    </w:p>
    <w:p w:rsidR="00D849AA" w:rsidRDefault="00EE6D95">
      <w:pPr>
        <w:pStyle w:val="Normal5"/>
      </w:pPr>
      <w:r>
        <w:t xml:space="preserve">Zakon o potvrđivanju Ugovora o zajmu broj 7598 HR za Projekt unapređenja hitne medicinske pomoći i investicijskog planiranja u zdravstvu između Republike Hrvatske i Međunarodne banke za obnovu i razvoj (NN MU br. 12/08);   </w:t>
      </w:r>
    </w:p>
    <w:p w:rsidR="00D849AA" w:rsidRDefault="00EE6D95">
      <w:pPr>
        <w:pStyle w:val="Normal5"/>
      </w:pPr>
      <w:r>
        <w:t xml:space="preserve">Zakon o potvrđivanju Ugovora o zajmu između Republike Hrvatske i Međunarodne banke za obnovu i razvoj za Projekt zaštite od onečišćenja voda u priobalnom području 2 (NN MU br. 4/09);   </w:t>
      </w:r>
    </w:p>
    <w:p w:rsidR="00D849AA" w:rsidRDefault="00EE6D95">
      <w:pPr>
        <w:pStyle w:val="Normal5"/>
      </w:pPr>
      <w:r>
        <w:t>Zakon o izvršavanju Državnog proračuna RH za proračunsku godinu i Zakon o osiguranju (NN br 9/94 i 46/97i 151/05).</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Cilj 1. Pravovremena otplata dospijeća obveza po zaduživanju na vanjskom tržištu kapitala</w:t>
      </w:r>
    </w:p>
    <w:p w:rsidR="00D849AA" w:rsidRDefault="00EE6D95">
      <w:pPr>
        <w:pStyle w:val="Normal6"/>
      </w:pPr>
      <w:r>
        <w:t>Pravovremena otplata dospijeća obveza po zaduživanju na vanjskom tržištu kapitala proizašlih iz povlačenja zajmova i izdavanja vrijednosnih papira uz najniže moguće troškove, u skladu je s prvim Općim ciljem iz Strategije Vladinih programa – Makroekonomska i gospodarska stabilnost te Posebnim ciljem 1.1. – Učinkovitije upravljanje javnim financijama.</w:t>
      </w:r>
    </w:p>
    <w:p w:rsidR="00F37627" w:rsidRDefault="00F37627" w:rsidP="00F37627">
      <w:pPr>
        <w:pStyle w:val="Naslov4"/>
      </w:pPr>
      <w:r>
        <w:lastRenderedPageBreak/>
        <w:t>OBRAZLOŽENJE PROGRAMA</w:t>
      </w:r>
    </w:p>
    <w:p w:rsidR="00D849AA" w:rsidRDefault="00EE6D95">
      <w:pPr>
        <w:pStyle w:val="Naslov5"/>
      </w:pPr>
      <w:r>
        <w:t>4301 PRORAČUNSKA ZALIHA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4301</w:t>
            </w:r>
          </w:p>
        </w:tc>
        <w:tc>
          <w:tcPr>
            <w:tcW w:w="1486" w:type="dxa"/>
          </w:tcPr>
          <w:p w:rsidR="00D849AA" w:rsidRDefault="00EE6D95">
            <w:r>
              <w:t>200.000.000</w:t>
            </w:r>
          </w:p>
        </w:tc>
        <w:tc>
          <w:tcPr>
            <w:tcW w:w="1486" w:type="dxa"/>
          </w:tcPr>
          <w:p w:rsidR="00D849AA" w:rsidRDefault="00EE6D95">
            <w:r>
              <w:t>200.000.000</w:t>
            </w:r>
          </w:p>
        </w:tc>
        <w:tc>
          <w:tcPr>
            <w:tcW w:w="1486" w:type="dxa"/>
          </w:tcPr>
          <w:p w:rsidR="00D849AA" w:rsidRDefault="00EE6D95">
            <w:r>
              <w:t>200.000.000</w:t>
            </w:r>
          </w:p>
        </w:tc>
        <w:tc>
          <w:tcPr>
            <w:tcW w:w="1486" w:type="dxa"/>
          </w:tcPr>
          <w:p w:rsidR="00D849AA" w:rsidRDefault="00EE6D95">
            <w:r>
              <w:t>200.000.000</w:t>
            </w:r>
          </w:p>
        </w:tc>
        <w:tc>
          <w:tcPr>
            <w:tcW w:w="1486" w:type="dxa"/>
          </w:tcPr>
          <w:p w:rsidR="00D849AA" w:rsidRDefault="00EE6D95">
            <w:r>
              <w:t>100,0</w:t>
            </w:r>
          </w:p>
        </w:tc>
      </w:tr>
    </w:tbl>
    <w:p w:rsidR="00D849AA" w:rsidRDefault="00D849AA">
      <w:pPr>
        <w:jc w:val="left"/>
      </w:pPr>
    </w:p>
    <w:p w:rsidR="00D849AA" w:rsidRDefault="00EE6D95">
      <w:pPr>
        <w:pStyle w:val="Naslov6"/>
      </w:pPr>
      <w:r>
        <w:t>Opis programa</w:t>
      </w:r>
    </w:p>
    <w:p w:rsidR="00D849AA" w:rsidRDefault="00EE6D95">
      <w:pPr>
        <w:pStyle w:val="Normal5"/>
      </w:pPr>
      <w:r>
        <w:t xml:space="preserve">Zakonom o proračunu (NN 87/08 i 136/12), člancima 56. do 58. definira se pojam proračunske zalihe, utvrđuje visina i namjene za koje se koristi. To je financiranje nepredviđenih namjena za koje u proračunu nisu osigurana sredstva, nisu dostatno osigurana sredstva, ili ih pri planiranju proračuna nije bilo moguće predvidjeti.   </w:t>
      </w:r>
    </w:p>
    <w:p w:rsidR="00D849AA" w:rsidRDefault="00EE6D95">
      <w:pPr>
        <w:pStyle w:val="Normal5"/>
      </w:pPr>
      <w:r>
        <w:t xml:space="preserve">Sredstva proračunske zalihe mogu iznositi najviše 0,50% planiranih proračunskih prihoda bez primitaka.   </w:t>
      </w:r>
    </w:p>
    <w:p w:rsidR="00D849AA" w:rsidRDefault="00EE6D95">
      <w:pPr>
        <w:pStyle w:val="Normal5"/>
      </w:pPr>
      <w:r>
        <w:t>O korištenju sredstava proračunske zalihe odlučuje Vlada, predsjednik Vlade, odnosno ministar financija do iznosa utvrđenog u zakonu o izvršavanju Državnog proračuna RH za svaku proračunsku godinu. Ministar financija je obvezan svaki mjesec izvijestiti Vladu o korištenju proračunske zalihe.</w:t>
      </w:r>
    </w:p>
    <w:p w:rsidR="00D849AA" w:rsidRDefault="00EE6D95">
      <w:pPr>
        <w:pStyle w:val="Naslov6"/>
      </w:pPr>
      <w:r>
        <w:t>Zakonske i druge pravne osnove</w:t>
      </w:r>
    </w:p>
    <w:p w:rsidR="00D849AA" w:rsidRDefault="00EE6D95">
      <w:pPr>
        <w:pStyle w:val="Normal5"/>
      </w:pPr>
      <w:r>
        <w:t xml:space="preserve">- Zakon o proračunu (NN 87/08)  </w:t>
      </w:r>
    </w:p>
    <w:p w:rsidR="00D849AA" w:rsidRDefault="00EE6D95">
      <w:pPr>
        <w:pStyle w:val="Normal5"/>
      </w:pPr>
      <w:r>
        <w:t xml:space="preserve">- Zakon o izmjenama i dopunama Zakona o proračunu (NN 136/12) i </w:t>
      </w:r>
    </w:p>
    <w:p w:rsidR="00D849AA" w:rsidRDefault="00EE6D95">
      <w:pPr>
        <w:pStyle w:val="Normal5"/>
      </w:pPr>
      <w:r>
        <w:t>- Zakon o izvršavanju Državnog proračuna Republike Hrvatske za proračunsku godinu</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Cilj 1. Osigurati sredstva za financiranje nepredviđenih namjena ili izvanrednih događaja</w:t>
      </w:r>
    </w:p>
    <w:p w:rsidR="00D849AA" w:rsidRDefault="00EE6D95">
      <w:pPr>
        <w:pStyle w:val="Normal6"/>
      </w:pPr>
      <w:r>
        <w:t>Osigurati sredstva za financiranje nepredviđenih namjena za koje u proračunu nisu osigurana sredstva, nisu dostatno osigurana sredstva, ili ih pri planiranju proračuna nije bilo moguće predvidjeti.</w:t>
      </w:r>
    </w:p>
    <w:p w:rsidR="00F37627" w:rsidRDefault="00F37627" w:rsidP="00F37627">
      <w:pPr>
        <w:pStyle w:val="Naslov4"/>
      </w:pPr>
      <w:r>
        <w:t>OBRAZLOŽENJE PROGRAMA</w:t>
      </w:r>
    </w:p>
    <w:p w:rsidR="00D849AA" w:rsidRDefault="00EE6D95">
      <w:pPr>
        <w:pStyle w:val="Naslov5"/>
      </w:pPr>
      <w:r>
        <w:t>4303 OTKLANJANJE POSLJEDICA ELEMENTARNIH NEPOGODA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rsidRPr="00F37627">
        <w:trPr>
          <w:jc w:val="center"/>
        </w:trPr>
        <w:tc>
          <w:tcPr>
            <w:tcW w:w="1486" w:type="dxa"/>
            <w:shd w:val="clear" w:color="auto" w:fill="B5C0D8"/>
          </w:tcPr>
          <w:p w:rsidR="00D849AA" w:rsidRPr="00F37627" w:rsidRDefault="00D849AA">
            <w:pPr>
              <w:pStyle w:val="CellHeader"/>
            </w:pPr>
          </w:p>
        </w:tc>
        <w:tc>
          <w:tcPr>
            <w:tcW w:w="1486" w:type="dxa"/>
            <w:shd w:val="clear" w:color="auto" w:fill="B5C0D8"/>
          </w:tcPr>
          <w:p w:rsidR="00D849AA" w:rsidRPr="00F37627" w:rsidRDefault="00EE6D95">
            <w:pPr>
              <w:pStyle w:val="CellHeader"/>
            </w:pPr>
            <w:r w:rsidRPr="00F37627">
              <w:t>Plan 2013.</w:t>
            </w:r>
          </w:p>
        </w:tc>
        <w:tc>
          <w:tcPr>
            <w:tcW w:w="1486" w:type="dxa"/>
            <w:shd w:val="clear" w:color="auto" w:fill="B5C0D8"/>
          </w:tcPr>
          <w:p w:rsidR="00D849AA" w:rsidRPr="00F37627" w:rsidRDefault="00EE6D95">
            <w:pPr>
              <w:pStyle w:val="CellHeader"/>
            </w:pPr>
            <w:r w:rsidRPr="00F37627">
              <w:t>Plan 2014.</w:t>
            </w:r>
          </w:p>
        </w:tc>
        <w:tc>
          <w:tcPr>
            <w:tcW w:w="1486" w:type="dxa"/>
            <w:shd w:val="clear" w:color="auto" w:fill="B5C0D8"/>
          </w:tcPr>
          <w:p w:rsidR="00D849AA" w:rsidRPr="00F37627" w:rsidRDefault="00EE6D95">
            <w:pPr>
              <w:pStyle w:val="CellHeader"/>
            </w:pPr>
            <w:r w:rsidRPr="00F37627">
              <w:t>Plan 2015.</w:t>
            </w:r>
          </w:p>
        </w:tc>
        <w:tc>
          <w:tcPr>
            <w:tcW w:w="1486" w:type="dxa"/>
            <w:shd w:val="clear" w:color="auto" w:fill="B5C0D8"/>
          </w:tcPr>
          <w:p w:rsidR="00D849AA" w:rsidRPr="00F37627" w:rsidRDefault="00EE6D95">
            <w:pPr>
              <w:pStyle w:val="CellHeader"/>
            </w:pPr>
            <w:r w:rsidRPr="00F37627">
              <w:t>Plan 2016.</w:t>
            </w:r>
          </w:p>
        </w:tc>
        <w:tc>
          <w:tcPr>
            <w:tcW w:w="1486" w:type="dxa"/>
            <w:shd w:val="clear" w:color="auto" w:fill="B5C0D8"/>
          </w:tcPr>
          <w:p w:rsidR="00D849AA" w:rsidRPr="00F37627" w:rsidRDefault="00EE6D95">
            <w:pPr>
              <w:pStyle w:val="CellHeader"/>
            </w:pPr>
            <w:r w:rsidRPr="00F37627">
              <w:t>Indeks 2014/2013</w:t>
            </w:r>
          </w:p>
        </w:tc>
      </w:tr>
      <w:tr w:rsidR="00D849AA" w:rsidRPr="00F37627">
        <w:trPr>
          <w:jc w:val="center"/>
        </w:trPr>
        <w:tc>
          <w:tcPr>
            <w:tcW w:w="1486" w:type="dxa"/>
          </w:tcPr>
          <w:p w:rsidR="00D849AA" w:rsidRPr="00F37627" w:rsidRDefault="00EE6D95">
            <w:pPr>
              <w:pStyle w:val="CellColumn"/>
            </w:pPr>
            <w:r w:rsidRPr="00F37627">
              <w:t>4303</w:t>
            </w:r>
          </w:p>
        </w:tc>
        <w:tc>
          <w:tcPr>
            <w:tcW w:w="1486" w:type="dxa"/>
          </w:tcPr>
          <w:p w:rsidR="00D849AA" w:rsidRPr="00F37627" w:rsidRDefault="00EE6D95">
            <w:pPr>
              <w:rPr>
                <w:rFonts w:ascii="Arial" w:hAnsi="Arial" w:cs="Arial"/>
              </w:rPr>
            </w:pPr>
            <w:r w:rsidRPr="00F37627">
              <w:rPr>
                <w:rFonts w:ascii="Arial" w:hAnsi="Arial" w:cs="Arial"/>
              </w:rPr>
              <w:t>20.040.000</w:t>
            </w:r>
          </w:p>
        </w:tc>
        <w:tc>
          <w:tcPr>
            <w:tcW w:w="1486" w:type="dxa"/>
          </w:tcPr>
          <w:p w:rsidR="00D849AA" w:rsidRPr="00F37627" w:rsidRDefault="00EE6D95">
            <w:pPr>
              <w:rPr>
                <w:rFonts w:ascii="Arial" w:hAnsi="Arial" w:cs="Arial"/>
              </w:rPr>
            </w:pPr>
            <w:r w:rsidRPr="00F37627">
              <w:rPr>
                <w:rFonts w:ascii="Arial" w:hAnsi="Arial" w:cs="Arial"/>
              </w:rPr>
              <w:t>20.025.000</w:t>
            </w:r>
          </w:p>
        </w:tc>
        <w:tc>
          <w:tcPr>
            <w:tcW w:w="1486" w:type="dxa"/>
          </w:tcPr>
          <w:p w:rsidR="00D849AA" w:rsidRPr="00F37627" w:rsidRDefault="00EE6D95">
            <w:pPr>
              <w:rPr>
                <w:rFonts w:ascii="Arial" w:hAnsi="Arial" w:cs="Arial"/>
              </w:rPr>
            </w:pPr>
            <w:r w:rsidRPr="00F37627">
              <w:rPr>
                <w:rFonts w:ascii="Arial" w:hAnsi="Arial" w:cs="Arial"/>
              </w:rPr>
              <w:t>20.025.000</w:t>
            </w:r>
          </w:p>
        </w:tc>
        <w:tc>
          <w:tcPr>
            <w:tcW w:w="1486" w:type="dxa"/>
          </w:tcPr>
          <w:p w:rsidR="00D849AA" w:rsidRPr="00F37627" w:rsidRDefault="00EE6D95">
            <w:pPr>
              <w:rPr>
                <w:rFonts w:ascii="Arial" w:hAnsi="Arial" w:cs="Arial"/>
              </w:rPr>
            </w:pPr>
            <w:r w:rsidRPr="00F37627">
              <w:rPr>
                <w:rFonts w:ascii="Arial" w:hAnsi="Arial" w:cs="Arial"/>
              </w:rPr>
              <w:t>20.025.000</w:t>
            </w:r>
          </w:p>
        </w:tc>
        <w:tc>
          <w:tcPr>
            <w:tcW w:w="1486" w:type="dxa"/>
          </w:tcPr>
          <w:p w:rsidR="00D849AA" w:rsidRPr="00F37627" w:rsidRDefault="00EE6D95">
            <w:pPr>
              <w:rPr>
                <w:rFonts w:ascii="Arial" w:hAnsi="Arial" w:cs="Arial"/>
              </w:rPr>
            </w:pPr>
            <w:r w:rsidRPr="00F37627">
              <w:rPr>
                <w:rFonts w:ascii="Arial" w:hAnsi="Arial" w:cs="Arial"/>
              </w:rPr>
              <w:t>99,9</w:t>
            </w:r>
          </w:p>
        </w:tc>
      </w:tr>
    </w:tbl>
    <w:p w:rsidR="00D849AA" w:rsidRPr="00F37627" w:rsidRDefault="00D849AA">
      <w:pPr>
        <w:jc w:val="left"/>
        <w:rPr>
          <w:rFonts w:ascii="Arial" w:hAnsi="Arial" w:cs="Arial"/>
        </w:rPr>
      </w:pPr>
    </w:p>
    <w:p w:rsidR="00D849AA" w:rsidRDefault="00EE6D95">
      <w:pPr>
        <w:pStyle w:val="Naslov6"/>
      </w:pPr>
      <w:r>
        <w:lastRenderedPageBreak/>
        <w:t>Opis programa</w:t>
      </w:r>
    </w:p>
    <w:p w:rsidR="00D849AA" w:rsidRDefault="00EE6D95">
      <w:pPr>
        <w:pStyle w:val="Normal5"/>
      </w:pPr>
      <w:r>
        <w:t xml:space="preserve">Procjenu šteta od elementarnih nepogoda obavljaju općinska, gradska i županijska povjerenstva te zahtjev za pomoć iz državnog proračuna za otklanjanje posljedica tih šteta dostavljaju Državnom povjerenstvu sa sjedištem u Ministarstvu financija. Da bi se dobila pomoć, moraju biti zadovoljeni određeni uvjeti iz članka 31. Zakona o zaštiti od elementarnih nepogoda i Metodologije za procjenu štete od elementarnih nepogoda čija potvrđena vrijednost prelazi 20% vrijednost proračuna JLS. Prijedlog pomoći podnosi se Hrvatskom saboru na usvajanje odnosno Vladi Republike Hrvatske.   </w:t>
      </w:r>
    </w:p>
    <w:p w:rsidR="00D849AA" w:rsidRDefault="00EE6D95">
      <w:pPr>
        <w:pStyle w:val="Normal5"/>
      </w:pPr>
      <w:r>
        <w:t>Procjenu šteta od elementarnih nepogoda obavljaju općinska, gradska i županijska povjerenstva uz konačnu suglasnost Ministarstva poljoprivrede i Državnog povjerenstva. Zahtjevi za pomoć iz državnog proračuna za otklanjanje posljedica šteta dostavljaju se Državnom povjerenstvu u zakonom određenim rokovima. Državno povjerenstvo je samostalno Saborsko tijelo sa sjedištem u Ministarstvu financija.</w:t>
      </w:r>
    </w:p>
    <w:p w:rsidR="00D849AA" w:rsidRDefault="00EE6D95">
      <w:pPr>
        <w:pStyle w:val="Naslov6"/>
      </w:pPr>
      <w:r>
        <w:t>Zakonske i druge pravne osnove</w:t>
      </w:r>
    </w:p>
    <w:p w:rsidR="00D849AA" w:rsidRDefault="00EE6D95">
      <w:pPr>
        <w:pStyle w:val="Normal5"/>
      </w:pPr>
      <w:r>
        <w:t>Zakon o zaštiti o</w:t>
      </w:r>
      <w:r w:rsidR="00F37627">
        <w:t xml:space="preserve">d elementarnih nepogoda (Narodne novine, broj </w:t>
      </w:r>
      <w:r>
        <w:t>73/97) i Metodologija za procjenu št</w:t>
      </w:r>
      <w:r w:rsidR="00F37627">
        <w:t>ete od elementarnih nepogoda (Narodne novine, broj</w:t>
      </w:r>
      <w:r>
        <w:t xml:space="preserve"> 96/98) koja je sastavni dio navedenog Zakona.</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Cilj 1. Ublažiti i ukloniti izravne posljedice elementarnih nepogoda</w:t>
      </w:r>
    </w:p>
    <w:p w:rsidR="00B515E1" w:rsidRDefault="00EE6D95" w:rsidP="00F37627">
      <w:pPr>
        <w:pStyle w:val="Normal6"/>
      </w:pPr>
      <w:r>
        <w:t>Radi normalizacije života stanovništva, obnove pojedinih gospodarskih djelatnosti i/ili određenih javnih službi, potrebno je svake godine prema mogućnostima Proračuna, osigurati sredstva za uklanjanje p</w:t>
      </w:r>
      <w:r w:rsidR="00F37627">
        <w:t>osljedica elementarnih nepogoda.</w:t>
      </w:r>
    </w:p>
    <w:p w:rsidR="00B515E1" w:rsidRDefault="00B515E1" w:rsidP="00F37627">
      <w:pPr>
        <w:pStyle w:val="Normal6"/>
        <w:ind w:left="0"/>
      </w:pPr>
    </w:p>
    <w:p w:rsidR="00D849AA" w:rsidRDefault="00EE6D95">
      <w:pPr>
        <w:pStyle w:val="Naslov2"/>
      </w:pPr>
      <w:r>
        <w:t>02510 Carinska uprava</w:t>
      </w:r>
    </w:p>
    <w:p w:rsidR="00D849AA" w:rsidRDefault="00EE6D95">
      <w:pPr>
        <w:pStyle w:val="Naslov4"/>
      </w:pPr>
      <w:r>
        <w:t>Uvod</w:t>
      </w:r>
    </w:p>
    <w:p w:rsidR="00D849AA" w:rsidRDefault="00EE6D95">
      <w:pPr>
        <w:pStyle w:val="Normal3"/>
      </w:pPr>
      <w:r>
        <w:t xml:space="preserve">Carinska uprava je upravna organizacija u sastavu Ministarstva financija Republike Hrvatske koja je u cilju ostvarenja fiskalne i sigurnosne uloge odgovorna za primjenu carinskih, trošarinskih, poreznih i drugih propisa koji su u nadležnosti provođenja pa sukladno tome provodi propisane mjere i radnje u svrhu osiguranja zaštite i sigurnosti tržišta i društva, zaštite financijskih interesa (EU i nacionalnih) te stvaranja uvjeta za olakšavanje trgovine kao značajnog čimbenika za razvoj gospodarstva i konkurentnost gospodarskih subjekata. </w:t>
      </w:r>
    </w:p>
    <w:p w:rsidR="00D849AA" w:rsidRDefault="00EE6D95">
      <w:pPr>
        <w:pStyle w:val="Normal3"/>
      </w:pPr>
      <w:r>
        <w:t xml:space="preserve">Carinska uprava provodeći zakonom propisane poslove i primjenjujući ovlasti iz djelokruga rada na nacionalnom teritoriju i vanjskoj granici Europske unije ostvaruje svoju kako fiskalnu tako i sigurnosnu ulogu u konceptu funkcioniranja carinske službe na jedinstvenom carinskom području carinske unije. </w:t>
      </w:r>
    </w:p>
    <w:p w:rsidR="00D849AA" w:rsidRDefault="00EE6D95">
      <w:pPr>
        <w:pStyle w:val="Normal3"/>
      </w:pPr>
      <w:r>
        <w:t>U Carinskoj upravi ustrojeni su Središnji ured i četiri područna carinska ureda, i to u Zagrebu, Osijeku, Rijeci i Splitu.</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F37627" w:rsidRDefault="00D849AA">
            <w:pPr>
              <w:pStyle w:val="CellHeader"/>
            </w:pPr>
          </w:p>
        </w:tc>
        <w:tc>
          <w:tcPr>
            <w:tcW w:w="1486" w:type="dxa"/>
            <w:shd w:val="clear" w:color="auto" w:fill="B5C0D8"/>
          </w:tcPr>
          <w:p w:rsidR="00D849AA" w:rsidRPr="00F37627" w:rsidRDefault="00EE6D95">
            <w:pPr>
              <w:pStyle w:val="CellHeader"/>
            </w:pPr>
            <w:r w:rsidRPr="00F37627">
              <w:t>Plan 2013.</w:t>
            </w:r>
          </w:p>
        </w:tc>
        <w:tc>
          <w:tcPr>
            <w:tcW w:w="1486" w:type="dxa"/>
            <w:shd w:val="clear" w:color="auto" w:fill="B5C0D8"/>
          </w:tcPr>
          <w:p w:rsidR="00D849AA" w:rsidRPr="00F37627" w:rsidRDefault="00EE6D95">
            <w:pPr>
              <w:pStyle w:val="CellHeader"/>
            </w:pPr>
            <w:r w:rsidRPr="00F37627">
              <w:t>Plan 2014.</w:t>
            </w:r>
          </w:p>
        </w:tc>
        <w:tc>
          <w:tcPr>
            <w:tcW w:w="1486" w:type="dxa"/>
            <w:shd w:val="clear" w:color="auto" w:fill="B5C0D8"/>
          </w:tcPr>
          <w:p w:rsidR="00D849AA" w:rsidRPr="00F37627" w:rsidRDefault="00EE6D95">
            <w:pPr>
              <w:pStyle w:val="CellHeader"/>
            </w:pPr>
            <w:r w:rsidRPr="00F37627">
              <w:t>Plan 2015.</w:t>
            </w:r>
          </w:p>
        </w:tc>
        <w:tc>
          <w:tcPr>
            <w:tcW w:w="1486" w:type="dxa"/>
            <w:shd w:val="clear" w:color="auto" w:fill="B5C0D8"/>
          </w:tcPr>
          <w:p w:rsidR="00D849AA" w:rsidRPr="00F37627" w:rsidRDefault="00EE6D95">
            <w:pPr>
              <w:pStyle w:val="CellHeader"/>
            </w:pPr>
            <w:r w:rsidRPr="00F37627">
              <w:t>Plan 2016.</w:t>
            </w:r>
          </w:p>
        </w:tc>
        <w:tc>
          <w:tcPr>
            <w:tcW w:w="1486" w:type="dxa"/>
            <w:shd w:val="clear" w:color="auto" w:fill="B5C0D8"/>
          </w:tcPr>
          <w:p w:rsidR="00D849AA" w:rsidRPr="00F37627" w:rsidRDefault="00EE6D95">
            <w:pPr>
              <w:pStyle w:val="CellHeader"/>
            </w:pPr>
            <w:r w:rsidRPr="00F37627">
              <w:t>Indeks 2014/2013</w:t>
            </w:r>
          </w:p>
        </w:tc>
      </w:tr>
      <w:tr w:rsidR="00D849AA">
        <w:trPr>
          <w:jc w:val="center"/>
        </w:trPr>
        <w:tc>
          <w:tcPr>
            <w:tcW w:w="1486" w:type="dxa"/>
          </w:tcPr>
          <w:p w:rsidR="00D849AA" w:rsidRPr="00F37627" w:rsidRDefault="00EE6D95">
            <w:pPr>
              <w:pStyle w:val="CellColumn"/>
            </w:pPr>
            <w:r w:rsidRPr="00F37627">
              <w:t>02510</w:t>
            </w:r>
          </w:p>
        </w:tc>
        <w:tc>
          <w:tcPr>
            <w:tcW w:w="1486" w:type="dxa"/>
          </w:tcPr>
          <w:p w:rsidR="00D849AA" w:rsidRPr="00F37627" w:rsidRDefault="00EE6D95">
            <w:pPr>
              <w:rPr>
                <w:rFonts w:ascii="Arial" w:hAnsi="Arial" w:cs="Arial"/>
              </w:rPr>
            </w:pPr>
            <w:r w:rsidRPr="00F37627">
              <w:rPr>
                <w:rFonts w:ascii="Arial" w:hAnsi="Arial" w:cs="Arial"/>
              </w:rPr>
              <w:t>571.142.276</w:t>
            </w:r>
          </w:p>
        </w:tc>
        <w:tc>
          <w:tcPr>
            <w:tcW w:w="1486" w:type="dxa"/>
          </w:tcPr>
          <w:p w:rsidR="00D849AA" w:rsidRPr="00F37627" w:rsidRDefault="00EE6D95">
            <w:pPr>
              <w:rPr>
                <w:rFonts w:ascii="Arial" w:hAnsi="Arial" w:cs="Arial"/>
              </w:rPr>
            </w:pPr>
            <w:r w:rsidRPr="00F37627">
              <w:rPr>
                <w:rFonts w:ascii="Arial" w:hAnsi="Arial" w:cs="Arial"/>
              </w:rPr>
              <w:t>649.280.760</w:t>
            </w:r>
          </w:p>
        </w:tc>
        <w:tc>
          <w:tcPr>
            <w:tcW w:w="1486" w:type="dxa"/>
          </w:tcPr>
          <w:p w:rsidR="00D849AA" w:rsidRPr="00F37627" w:rsidRDefault="00EE6D95">
            <w:pPr>
              <w:rPr>
                <w:rFonts w:ascii="Arial" w:hAnsi="Arial" w:cs="Arial"/>
              </w:rPr>
            </w:pPr>
            <w:r w:rsidRPr="00F37627">
              <w:rPr>
                <w:rFonts w:ascii="Arial" w:hAnsi="Arial" w:cs="Arial"/>
              </w:rPr>
              <w:t>635.494.680</w:t>
            </w:r>
          </w:p>
        </w:tc>
        <w:tc>
          <w:tcPr>
            <w:tcW w:w="1486" w:type="dxa"/>
          </w:tcPr>
          <w:p w:rsidR="00D849AA" w:rsidRPr="00F37627" w:rsidRDefault="00EE6D95">
            <w:pPr>
              <w:rPr>
                <w:rFonts w:ascii="Arial" w:hAnsi="Arial" w:cs="Arial"/>
              </w:rPr>
            </w:pPr>
            <w:r w:rsidRPr="00F37627">
              <w:rPr>
                <w:rFonts w:ascii="Arial" w:hAnsi="Arial" w:cs="Arial"/>
              </w:rPr>
              <w:t>634.125.520</w:t>
            </w:r>
          </w:p>
        </w:tc>
        <w:tc>
          <w:tcPr>
            <w:tcW w:w="1486" w:type="dxa"/>
          </w:tcPr>
          <w:p w:rsidR="00D849AA" w:rsidRPr="00F37627" w:rsidRDefault="00EE6D95">
            <w:pPr>
              <w:rPr>
                <w:rFonts w:ascii="Arial" w:hAnsi="Arial" w:cs="Arial"/>
              </w:rPr>
            </w:pPr>
            <w:r w:rsidRPr="00F37627">
              <w:rPr>
                <w:rFonts w:ascii="Arial" w:hAnsi="Arial" w:cs="Arial"/>
              </w:rPr>
              <w:t>113,7</w:t>
            </w:r>
          </w:p>
        </w:tc>
      </w:tr>
    </w:tbl>
    <w:p w:rsidR="00D849AA" w:rsidRDefault="00EE6D95">
      <w:pPr>
        <w:pStyle w:val="Naslov4"/>
      </w:pPr>
      <w:r>
        <w:lastRenderedPageBreak/>
        <w:t>OBRAZLOŽENJE PROGRAMA</w:t>
      </w:r>
    </w:p>
    <w:p w:rsidR="00D849AA" w:rsidRDefault="00EE6D95">
      <w:pPr>
        <w:pStyle w:val="Naslov5"/>
      </w:pPr>
      <w:r>
        <w:t>2207 DJELATNOST CARINSKOG I POREZNOG SUSTAVA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F37627" w:rsidRDefault="00D849AA">
            <w:pPr>
              <w:pStyle w:val="CellHeader"/>
            </w:pPr>
          </w:p>
        </w:tc>
        <w:tc>
          <w:tcPr>
            <w:tcW w:w="1486" w:type="dxa"/>
            <w:shd w:val="clear" w:color="auto" w:fill="B5C0D8"/>
          </w:tcPr>
          <w:p w:rsidR="00D849AA" w:rsidRPr="00F37627" w:rsidRDefault="00EE6D95">
            <w:pPr>
              <w:pStyle w:val="CellHeader"/>
            </w:pPr>
            <w:r w:rsidRPr="00F37627">
              <w:t>Plan 2013.</w:t>
            </w:r>
          </w:p>
        </w:tc>
        <w:tc>
          <w:tcPr>
            <w:tcW w:w="1486" w:type="dxa"/>
            <w:shd w:val="clear" w:color="auto" w:fill="B5C0D8"/>
          </w:tcPr>
          <w:p w:rsidR="00D849AA" w:rsidRPr="00F37627" w:rsidRDefault="00EE6D95">
            <w:pPr>
              <w:pStyle w:val="CellHeader"/>
            </w:pPr>
            <w:r w:rsidRPr="00F37627">
              <w:t>Plan 2014.</w:t>
            </w:r>
          </w:p>
        </w:tc>
        <w:tc>
          <w:tcPr>
            <w:tcW w:w="1486" w:type="dxa"/>
            <w:shd w:val="clear" w:color="auto" w:fill="B5C0D8"/>
          </w:tcPr>
          <w:p w:rsidR="00D849AA" w:rsidRPr="00F37627" w:rsidRDefault="00EE6D95">
            <w:pPr>
              <w:pStyle w:val="CellHeader"/>
            </w:pPr>
            <w:r w:rsidRPr="00F37627">
              <w:t>Plan 2015.</w:t>
            </w:r>
          </w:p>
        </w:tc>
        <w:tc>
          <w:tcPr>
            <w:tcW w:w="1486" w:type="dxa"/>
            <w:shd w:val="clear" w:color="auto" w:fill="B5C0D8"/>
          </w:tcPr>
          <w:p w:rsidR="00D849AA" w:rsidRPr="00F37627" w:rsidRDefault="00EE6D95">
            <w:pPr>
              <w:pStyle w:val="CellHeader"/>
            </w:pPr>
            <w:r w:rsidRPr="00F37627">
              <w:t>Plan 2016.</w:t>
            </w:r>
          </w:p>
        </w:tc>
        <w:tc>
          <w:tcPr>
            <w:tcW w:w="1486" w:type="dxa"/>
            <w:shd w:val="clear" w:color="auto" w:fill="B5C0D8"/>
          </w:tcPr>
          <w:p w:rsidR="00D849AA" w:rsidRPr="00F37627" w:rsidRDefault="00EE6D95">
            <w:pPr>
              <w:pStyle w:val="CellHeader"/>
            </w:pPr>
            <w:r w:rsidRPr="00F37627">
              <w:t>Indeks 2014/2013</w:t>
            </w:r>
          </w:p>
        </w:tc>
      </w:tr>
      <w:tr w:rsidR="00D849AA">
        <w:trPr>
          <w:jc w:val="center"/>
        </w:trPr>
        <w:tc>
          <w:tcPr>
            <w:tcW w:w="1486" w:type="dxa"/>
          </w:tcPr>
          <w:p w:rsidR="00D849AA" w:rsidRPr="00F37627" w:rsidRDefault="00EE6D95">
            <w:pPr>
              <w:pStyle w:val="CellColumn"/>
            </w:pPr>
            <w:r w:rsidRPr="00F37627">
              <w:t>2207</w:t>
            </w:r>
          </w:p>
        </w:tc>
        <w:tc>
          <w:tcPr>
            <w:tcW w:w="1486" w:type="dxa"/>
          </w:tcPr>
          <w:p w:rsidR="00D849AA" w:rsidRPr="00F37627" w:rsidRDefault="00EE6D95">
            <w:pPr>
              <w:rPr>
                <w:rFonts w:ascii="Arial" w:hAnsi="Arial" w:cs="Arial"/>
              </w:rPr>
            </w:pPr>
            <w:r w:rsidRPr="00F37627">
              <w:rPr>
                <w:rFonts w:ascii="Arial" w:hAnsi="Arial" w:cs="Arial"/>
              </w:rPr>
              <w:t>571.142.276</w:t>
            </w:r>
          </w:p>
        </w:tc>
        <w:tc>
          <w:tcPr>
            <w:tcW w:w="1486" w:type="dxa"/>
          </w:tcPr>
          <w:p w:rsidR="00D849AA" w:rsidRPr="00F37627" w:rsidRDefault="00EE6D95">
            <w:pPr>
              <w:rPr>
                <w:rFonts w:ascii="Arial" w:hAnsi="Arial" w:cs="Arial"/>
              </w:rPr>
            </w:pPr>
            <w:r w:rsidRPr="00F37627">
              <w:rPr>
                <w:rFonts w:ascii="Arial" w:hAnsi="Arial" w:cs="Arial"/>
              </w:rPr>
              <w:t>649.280.760</w:t>
            </w:r>
          </w:p>
        </w:tc>
        <w:tc>
          <w:tcPr>
            <w:tcW w:w="1486" w:type="dxa"/>
          </w:tcPr>
          <w:p w:rsidR="00D849AA" w:rsidRPr="00F37627" w:rsidRDefault="00EE6D95">
            <w:pPr>
              <w:rPr>
                <w:rFonts w:ascii="Arial" w:hAnsi="Arial" w:cs="Arial"/>
              </w:rPr>
            </w:pPr>
            <w:r w:rsidRPr="00F37627">
              <w:rPr>
                <w:rFonts w:ascii="Arial" w:hAnsi="Arial" w:cs="Arial"/>
              </w:rPr>
              <w:t>635.494.680</w:t>
            </w:r>
          </w:p>
        </w:tc>
        <w:tc>
          <w:tcPr>
            <w:tcW w:w="1486" w:type="dxa"/>
          </w:tcPr>
          <w:p w:rsidR="00D849AA" w:rsidRPr="00F37627" w:rsidRDefault="00EE6D95">
            <w:pPr>
              <w:rPr>
                <w:rFonts w:ascii="Arial" w:hAnsi="Arial" w:cs="Arial"/>
              </w:rPr>
            </w:pPr>
            <w:r w:rsidRPr="00F37627">
              <w:rPr>
                <w:rFonts w:ascii="Arial" w:hAnsi="Arial" w:cs="Arial"/>
              </w:rPr>
              <w:t>634.125.520</w:t>
            </w:r>
          </w:p>
        </w:tc>
        <w:tc>
          <w:tcPr>
            <w:tcW w:w="1486" w:type="dxa"/>
          </w:tcPr>
          <w:p w:rsidR="00D849AA" w:rsidRPr="00F37627" w:rsidRDefault="00EE6D95">
            <w:pPr>
              <w:rPr>
                <w:rFonts w:ascii="Arial" w:hAnsi="Arial" w:cs="Arial"/>
              </w:rPr>
            </w:pPr>
            <w:r w:rsidRPr="00F37627">
              <w:rPr>
                <w:rFonts w:ascii="Arial" w:hAnsi="Arial" w:cs="Arial"/>
              </w:rPr>
              <w:t>113,7</w:t>
            </w:r>
          </w:p>
        </w:tc>
      </w:tr>
    </w:tbl>
    <w:p w:rsidR="00D849AA" w:rsidRDefault="00D849AA">
      <w:pPr>
        <w:jc w:val="left"/>
      </w:pPr>
    </w:p>
    <w:p w:rsidR="00D849AA" w:rsidRDefault="00EE6D95">
      <w:pPr>
        <w:pStyle w:val="Naslov6"/>
      </w:pPr>
      <w:r>
        <w:t>Opis programa</w:t>
      </w:r>
    </w:p>
    <w:p w:rsidR="00D849AA" w:rsidRDefault="00EE6D95">
      <w:pPr>
        <w:pStyle w:val="Normal5"/>
      </w:pPr>
      <w:r>
        <w:t xml:space="preserve">Carinska uprava kao upravna organizacije u sastavu Ministarstva financija usmjerena je na  provedbu učinkovitih mjera carinskog nadzora u svrhu osiguranja zaštite i sigurnost tržišta i društva, efikasno prikupljanje javnih prihoda kao i stvaranje najpovoljnijih uvjeta za razvoj gospodarstva i olakšavanje trgovine. Svrha Carinske uprave je jačanje administrativnih i operativnih kapaciteta za obavljanje zakonitog, učinkovitog, djelotvornog i ekonomičnog rada, te funkcioniranje kao takve u Europskoj uniji i carinskoj uniji. </w:t>
      </w:r>
    </w:p>
    <w:p w:rsidR="00D849AA" w:rsidRDefault="00EE6D95">
      <w:pPr>
        <w:pStyle w:val="Normal5"/>
      </w:pPr>
      <w:r>
        <w:t>Navedeno se planira postići kroz uspostavu djelotvornog sustava kojim se osigurava učinkovita naplata davanja provedbom ekonomičnih carinskih i trošarinskih postupaka te pojednostavnjenjem formalnosti lakšeg ostvarenja prava i efikasnijeg ispunjenja obveza carinskih i trošarinskih subjekata, a sve u cilju uspostave partnerskog odnosa s gospodarskim subjektima u ostvarenju njihovih zakonskih zadaća te djelotvornog postupanja carinske službe u kontroli kretanja roba i provedbi sigurnosnih mjera.</w:t>
      </w:r>
    </w:p>
    <w:p w:rsidR="00D849AA" w:rsidRDefault="00EE6D95">
      <w:pPr>
        <w:pStyle w:val="Naslov6"/>
      </w:pPr>
      <w:r>
        <w:t>Zakonske i druge pravne osnove</w:t>
      </w:r>
    </w:p>
    <w:p w:rsidR="00D849AA" w:rsidRDefault="00EE6D95">
      <w:pPr>
        <w:pStyle w:val="Normal5"/>
      </w:pPr>
      <w:r>
        <w:t>Hrvatski carinski i trošarinski sustav sa ulaskom Republike Hrvatske u Europsku uniju, temelji se na slijedećim pravnim osnovama: Carinskom zakoniku Zajednice te nizu carinskih propisa Europske unije, propisima Republike Hrvatske od kojih su najznačajniji Zakon o carinskoj službi, Zakon o provedbi carinskih propisa Europske unije i drugi carinski propisi, Zakon o trošarinama i drugi trošarinski propisi te propisi o posebnim porezima, kao i nizu međunarodnih bilateralnih i multilateralnih sporazuma.</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Cilj 1. Zaštita i sigurnost tržišta i društva kao i financijskih interesa u području carina, posebnih poreza i  trošarina te olakšavanje trgovine</w:t>
      </w:r>
    </w:p>
    <w:p w:rsidR="00D849AA" w:rsidRDefault="00EE6D95">
      <w:pPr>
        <w:pStyle w:val="Normal6"/>
      </w:pPr>
      <w:r>
        <w:t xml:space="preserve">Carinska uprava primjenom carinskih, trošarinskih i drugih propisa iz njene nadležnosti  na jedinstvenom carinskom području carinske unije, kao i jačanjem carinskog nadzora na vanjskoj granici, pridonosi sigurnosti prometa roba i općenito globalnih tijekova trgovine. </w:t>
      </w:r>
    </w:p>
    <w:p w:rsidR="00D849AA" w:rsidRDefault="00EE6D95">
      <w:pPr>
        <w:pStyle w:val="Normal6"/>
      </w:pPr>
      <w:r>
        <w:t xml:space="preserve">Carinska uprava pridonosi i društveno-gospodarskom razvitku ne samo kroz naplatu javnih davanja već i kroz olakšavanje trgovine.  S obzirom na  činjenicu da su gospodarstvo i međunarodni trgovinski odnosi temelj društveno-gospodarskog blagostanja, ali jednako tako i s obzirom na to da su gospodarski subjekti te carinsko područje i njegovo stanovništvo u uvjetima globalizacije i liberalizacije svjetske trgovine postali izloženi različitim prijetnjama, neosporna je potreba jačanja i stvaranja sustava koji zaštitno-sigurnosnu ulogu carinske službe postavlja na prioritetnu stratešku poziciju u svome djelovanju.  </w:t>
      </w:r>
    </w:p>
    <w:p w:rsidR="00D849AA" w:rsidRDefault="00EE6D95">
      <w:pPr>
        <w:pStyle w:val="Normal6"/>
      </w:pPr>
      <w:r>
        <w:lastRenderedPageBreak/>
        <w:t xml:space="preserve">Carinska uprava ostvarujući sve značajniju i aktivniju ulogu u olakšavanju trgovine i djelujući u okruženju partnerskih odnosa s gospodarskim subjektima realizira očekivanja da  gospodarski subjekti uključeni u carinsko poslovanje kroz učinkovite i ekonomične carinske postupke i pojednostavnjenje carinskih formalnosti, ostvaruju benefit pružanja brze i kvalitetne javne usluge. </w:t>
      </w:r>
    </w:p>
    <w:p w:rsidR="00D849AA" w:rsidRDefault="00EE6D95">
      <w:pPr>
        <w:pStyle w:val="Normal6"/>
      </w:pPr>
      <w:r>
        <w:t xml:space="preserve">Time pouzdani gospodarski subjekti postaju partneri carinskoj službi u ostvarenju njenih zakonskih zadaća, a djelotvorno postupanje carinske službe u kontroli kretanja roba i provedbi sigurnosnih mjera ne predstavlja prepreku odvijanju legitimne trgovine. </w:t>
      </w:r>
    </w:p>
    <w:p w:rsidR="00D849AA" w:rsidRDefault="00EE6D95">
      <w:pPr>
        <w:pStyle w:val="Normal6"/>
      </w:pPr>
      <w:r>
        <w:t xml:space="preserve">Stoga je provedbu carinskog postupanja potrebno unaprjeđivati i prilagođavati potrebama promicanja i ostvarivanja gospodarskog razvoja kroz olakšavanje trgovine i pojednostavnjenje carinskih procedura i bržim obavljanjem carinskih formalnosti te stvaranjem okruženja partnerskih odnosa s pouzdanim gospodarskim subjektima uz istodobno osiguranje provedbe primjerenih i učinkovitih mjera carinskog nadzora. </w:t>
      </w:r>
    </w:p>
    <w:p w:rsidR="00D849AA" w:rsidRDefault="00EE6D95">
      <w:pPr>
        <w:pStyle w:val="Normal6"/>
      </w:pPr>
      <w:r>
        <w:t xml:space="preserve">Nadalje, sukladno odredbama Zakona o carinskoj službi objavljenom u Narodnim novinama broj 68/13, a koji je stupio na snagu danom pristupanja Republike Hrvatske Europskoj uniji, uz redovne poslove koje Carinska uprava obavlja, u nadležnost carinske službe uvršteni su dodatni poslovi kao što su: utvrđivanje, stavljanje na raspolaganje i nadzor tradicionalnih vlastitih sredstva Europske unije iz carinskih davanja; nadzor nad provedbom propisa o zabrani i sprječavanju obavljanja neregistrirane djelatnosti te otkrivanje i sprječavanje svih oblika nedozvoljene i protuzakonite trgovine; nadzor nad unosom, iznosom, prekograničnim prometom te drugim kretanjem i gospodarenjem otpadom sukladno propisima koji uređuju gospodarenje otpadom; nadzor provedbe obveza proizvođača proizvoda u smislu propisa koji uređuju gospodarenje otpadom te naplata naknada za gospodarenje posebnim kategorijama otpada koje se obračunavaju i plaćaju te postupka posredovanja i trgovanja otpadom sukladno propisima koji uređuju gospodarenje otpadom; provedba carinskih mjera provjere uvoza tvari koje oštećuju ozonski sloj sukladno propisima o zaštiti zraka; nadzor u skladu s posebnim propisima ispunjavanja uvjeta za ostvarivanje prava na korištenje novčanih sredstava koji se isplaćuju iz državnog proračuna Republike Hrvatske, kao i novčanih sredstava koja korisnici izravno ili posredno ostvaruju primjenom oslobođenja ili izuzeća od plaćanja javnih davanja te sniženih visina i diferenciranih stopa javnih davanja; provjere zakonitosti postupanja s robom sukladno propisima o koncesijama; nadzor nad robom kojom se povrjeđuje pravo intelektualnog vlasništva; nadzor nad provedbom propisa o morskom i slatkovodnom ribarstvu na području ribolovnog mora i voda te u dijelu koji se odnosi na kretanje i promet riba i drugih morskih i vodenih organizama; nadzor kretanja, raspolaganja i prometa opasnih proizvoda i proizvoda čije je stavljanje na tržište zabranjeno ili ograničeno ili za koje je naređeno povlačenje s tržišta, odnosno proizvoda koji ne ispunjavaju propisane tehničke zahtjeve i predstavljaju ozbiljan rizik za zdravlje i sigurnost; provedba carinskih mjera provjere značajki proizvoda sukladno propisima o tehničkim zahtjevima za proizvode i ocjenjivanju sukladnosti i drugim propisima koji uređuju tehničke zahtjeve za proizvode; nadzor obavljanja prijevoza, dozvola i drugih isprava sukladno propisima o prijevozu u cestovnom prometu te osovinskog opterećenja, ukupne mase i dimenzija vozila u prometu na cestama sukladno propisima o sigurnosti prometa na cestama. </w:t>
      </w:r>
    </w:p>
    <w:p w:rsidR="00D849AA" w:rsidRDefault="00EE6D95">
      <w:pPr>
        <w:pStyle w:val="Normal6"/>
      </w:pPr>
      <w:r>
        <w:t xml:space="preserve">Uz postojeće načine ostvarenja postavljenog cilja, kao što su: osiguranje naplate i naplata proračunskih prihoda iz nadležnosti Carinske uprave; zaštita tržišta i društva kroz razvoj učinkovitog carinskog nadzora na cijelom području Republike Hrvatske, olakšavanje trgovine i stvaranje partnerstva s gospodarskim subjektima; prilagodba carinskom i trošarinskom sustavu Europske unije, unapređenje sustava oporezivanja posebnim porezima; te uspostava e-poslovanja; Carinska uprava je postavila i  nove načine ostvarenja postavljenog cilja. </w:t>
      </w:r>
    </w:p>
    <w:p w:rsidR="00D849AA" w:rsidRDefault="00EE6D95">
      <w:pPr>
        <w:pStyle w:val="Normal6"/>
      </w:pPr>
      <w:r>
        <w:lastRenderedPageBreak/>
        <w:t xml:space="preserve">Tako je primjerice cilj  ojačati i unaprijediti sustav upravljanja rizicima daljnjim razvojem aplikacija za unos, dokumentiranje i praćenje pravila rizika te uvođenje aplikacija za upravljanje sigurnosnim rizicima Zajednice. Na taj način osigurava se uspostava ravnoteže između kontrola i puštanja pošiljaka bez kontrole u cilju osiguranja brže protočnosti roba i olakšavanja trgovine. </w:t>
      </w:r>
    </w:p>
    <w:p w:rsidR="00D849AA" w:rsidRDefault="00EE6D95">
      <w:pPr>
        <w:pStyle w:val="Normal6"/>
      </w:pPr>
      <w:r>
        <w:t xml:space="preserve">Nadalje, pojednostavnjenje obavljanja carinskih formalnosti planira se postići temeljem definiranih kriterija odobravanja pojednostavnjenja provođenja carinskih procedura sukladno Carinskom zakoniku Zajednice odnosno pojednostavnjenja prilikom provedbe formalnosti u carinskim postupcima i postupanjima, što će imati za posljedicu ubrzanje i pojednostavnjenje obavljanja carinskih formalnosti te time smanjenje troškova poslovanja gospodarskih subjekata i jačanje njihove konkurentske sposobnosti. </w:t>
      </w:r>
    </w:p>
    <w:p w:rsidR="00D849AA" w:rsidRDefault="00EE6D95">
      <w:pPr>
        <w:pStyle w:val="Normal6"/>
      </w:pPr>
      <w:r>
        <w:t xml:space="preserve">Ulaskom Republike Hrvatske u Europsku uniju stvorila se naglašena potreba za provođenjem pojačanih nadzornih mjera svih područja iz carinske nadležnosti. Stoga se uvodi unapređenje metoda i procesa rada kroz informatizaciju procesa inspekcijskog nadzora i provjera te organizacijsko i tehničko unapređenje vezano uz jačanje mobilnih jedinica za provedbu operativnih akcija na području Republike Hrvatske, čime će se osigurati jednoobrazno provođenje procesa nadzora i provjera te izrada propisanih pratećih dokumenata, transparentan i trenutan prikaz rezultata inspekcijskog nadzora ili provjera u svrhu izvješćivanja te omogućiti provođenje većeg broja ciljanih nacionalnih i međunarodnih operativnih akcija.  </w:t>
      </w:r>
    </w:p>
    <w:p w:rsidR="00D849AA" w:rsidRDefault="00EE6D95">
      <w:pPr>
        <w:pStyle w:val="Normal6"/>
      </w:pPr>
      <w:r>
        <w:t>Prilagodba nacionalnog carinskog sustava u zakonodavnom smislu Carinskom zakoniku Zajednice, što podrazumijeva donošenje niza provedbenih propisa – zakona, pravilnika, naputaka i uputa kojim će se osigurati dosljedna i ujednačena primjena Carinskog zakonika Zajednice i njegovih odredbi te modernizaciju carinskih procedura i korištenje IT sustava u smislu olakšavanja trgovine i poslovanja s carinskim službama uz osiguranje sigurne razmjene roba unutar Europske unije. U svezi s navedenim pripremati će se stručne podloge za donošenje provedbenih propisa iz carinskog sustava, a temeljem carinskih propisa Europske unije, koji državama članicama daju ovlaštenja da nacionalnim zakonodavstvom reguliraju pojedina pitanja iz područja carinskih propisa čije uređenje nije u nadležnosti Europske unije, a sukladno dinamici zakonodavnog razvoja na razini tijela Europske unije što podrazumijeva donošenje i objavu relevantnih propisa Europske unije.</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F37627" w:rsidRDefault="00EE6D95">
            <w:pPr>
              <w:rPr>
                <w:rFonts w:ascii="Arial" w:hAnsi="Arial" w:cs="Arial"/>
              </w:rPr>
            </w:pPr>
            <w:r w:rsidRPr="00F37627">
              <w:rPr>
                <w:rFonts w:ascii="Arial" w:hAnsi="Arial" w:cs="Arial"/>
              </w:rPr>
              <w:t>Pokazatelj učinka</w:t>
            </w:r>
          </w:p>
        </w:tc>
        <w:tc>
          <w:tcPr>
            <w:tcW w:w="1114" w:type="dxa"/>
            <w:shd w:val="clear" w:color="auto" w:fill="B5C0D8"/>
          </w:tcPr>
          <w:p w:rsidR="00D849AA" w:rsidRPr="00F37627" w:rsidRDefault="00EE6D95">
            <w:pPr>
              <w:pStyle w:val="CellHeader"/>
            </w:pPr>
            <w:r w:rsidRPr="00F37627">
              <w:t>Jedinica</w:t>
            </w:r>
          </w:p>
        </w:tc>
        <w:tc>
          <w:tcPr>
            <w:tcW w:w="1114" w:type="dxa"/>
            <w:shd w:val="clear" w:color="auto" w:fill="B5C0D8"/>
          </w:tcPr>
          <w:p w:rsidR="00D849AA" w:rsidRPr="00F37627" w:rsidRDefault="00EE6D95">
            <w:pPr>
              <w:pStyle w:val="CellHeader"/>
            </w:pPr>
            <w:r w:rsidRPr="00F37627">
              <w:t>Polazna vrijednost</w:t>
            </w:r>
          </w:p>
        </w:tc>
        <w:tc>
          <w:tcPr>
            <w:tcW w:w="1486" w:type="dxa"/>
            <w:shd w:val="clear" w:color="auto" w:fill="B5C0D8"/>
          </w:tcPr>
          <w:p w:rsidR="00D849AA" w:rsidRPr="00F37627" w:rsidRDefault="00EE6D95">
            <w:pPr>
              <w:pStyle w:val="CellHeader"/>
            </w:pPr>
            <w:r w:rsidRPr="00F37627">
              <w:t>Ciljana vrijednost (2014.)</w:t>
            </w:r>
          </w:p>
        </w:tc>
        <w:tc>
          <w:tcPr>
            <w:tcW w:w="1486" w:type="dxa"/>
            <w:shd w:val="clear" w:color="auto" w:fill="B5C0D8"/>
          </w:tcPr>
          <w:p w:rsidR="00D849AA" w:rsidRPr="00F37627" w:rsidRDefault="00EE6D95">
            <w:pPr>
              <w:pStyle w:val="CellHeader"/>
            </w:pPr>
            <w:r w:rsidRPr="00F37627">
              <w:t>Ciljana vrijednost (2015.)</w:t>
            </w:r>
          </w:p>
        </w:tc>
        <w:tc>
          <w:tcPr>
            <w:tcW w:w="1486" w:type="dxa"/>
            <w:shd w:val="clear" w:color="auto" w:fill="B5C0D8"/>
          </w:tcPr>
          <w:p w:rsidR="00D849AA" w:rsidRPr="00F37627" w:rsidRDefault="00EE6D95">
            <w:pPr>
              <w:pStyle w:val="CellHeader"/>
            </w:pPr>
            <w:r w:rsidRPr="00F37627">
              <w:t>Ciljana vrijednost (2016.)</w:t>
            </w:r>
          </w:p>
        </w:tc>
      </w:tr>
      <w:tr w:rsidR="00D849AA">
        <w:trPr>
          <w:jc w:val="center"/>
        </w:trPr>
        <w:tc>
          <w:tcPr>
            <w:tcW w:w="2229" w:type="dxa"/>
          </w:tcPr>
          <w:p w:rsidR="00D849AA" w:rsidRPr="00F37627" w:rsidRDefault="00EE6D95">
            <w:pPr>
              <w:pStyle w:val="CellColumn"/>
            </w:pPr>
            <w:r w:rsidRPr="00F37627">
              <w:t>Osiguranje jednoobraznog načina provođenja carinskih formalnosti sukladno Carinskom zakoniku Unije</w:t>
            </w:r>
          </w:p>
        </w:tc>
        <w:tc>
          <w:tcPr>
            <w:tcW w:w="1114" w:type="dxa"/>
          </w:tcPr>
          <w:p w:rsidR="00D849AA" w:rsidRPr="00F37627" w:rsidRDefault="00EE6D95">
            <w:pPr>
              <w:rPr>
                <w:rFonts w:ascii="Arial" w:hAnsi="Arial" w:cs="Arial"/>
              </w:rPr>
            </w:pPr>
            <w:r w:rsidRPr="00F37627">
              <w:rPr>
                <w:rFonts w:ascii="Arial" w:hAnsi="Arial" w:cs="Arial"/>
              </w:rPr>
              <w:t>%</w:t>
            </w:r>
          </w:p>
        </w:tc>
        <w:tc>
          <w:tcPr>
            <w:tcW w:w="1114" w:type="dxa"/>
          </w:tcPr>
          <w:p w:rsidR="00D849AA" w:rsidRPr="00F37627" w:rsidRDefault="00EE6D95">
            <w:pPr>
              <w:rPr>
                <w:rFonts w:ascii="Arial" w:hAnsi="Arial" w:cs="Arial"/>
              </w:rPr>
            </w:pPr>
            <w:r w:rsidRPr="00F37627">
              <w:rPr>
                <w:rFonts w:ascii="Arial" w:hAnsi="Arial" w:cs="Arial"/>
              </w:rPr>
              <w:t>70</w:t>
            </w:r>
          </w:p>
        </w:tc>
        <w:tc>
          <w:tcPr>
            <w:tcW w:w="1486" w:type="dxa"/>
          </w:tcPr>
          <w:p w:rsidR="00D849AA" w:rsidRPr="00F37627" w:rsidRDefault="00EE6D95">
            <w:pPr>
              <w:rPr>
                <w:rFonts w:ascii="Arial" w:hAnsi="Arial" w:cs="Arial"/>
              </w:rPr>
            </w:pPr>
            <w:r w:rsidRPr="00F37627">
              <w:rPr>
                <w:rFonts w:ascii="Arial" w:hAnsi="Arial" w:cs="Arial"/>
              </w:rPr>
              <w:t>80</w:t>
            </w:r>
          </w:p>
        </w:tc>
        <w:tc>
          <w:tcPr>
            <w:tcW w:w="1486" w:type="dxa"/>
          </w:tcPr>
          <w:p w:rsidR="00D849AA" w:rsidRPr="00F37627" w:rsidRDefault="00EE6D95">
            <w:pPr>
              <w:rPr>
                <w:rFonts w:ascii="Arial" w:hAnsi="Arial" w:cs="Arial"/>
              </w:rPr>
            </w:pPr>
            <w:r w:rsidRPr="00F37627">
              <w:rPr>
                <w:rFonts w:ascii="Arial" w:hAnsi="Arial" w:cs="Arial"/>
              </w:rPr>
              <w:t>90</w:t>
            </w:r>
          </w:p>
        </w:tc>
        <w:tc>
          <w:tcPr>
            <w:tcW w:w="1486" w:type="dxa"/>
          </w:tcPr>
          <w:p w:rsidR="00D849AA" w:rsidRPr="00F37627" w:rsidRDefault="00EE6D95">
            <w:pPr>
              <w:rPr>
                <w:rFonts w:ascii="Arial" w:hAnsi="Arial" w:cs="Arial"/>
              </w:rPr>
            </w:pPr>
            <w:r w:rsidRPr="00F37627">
              <w:rPr>
                <w:rFonts w:ascii="Arial" w:hAnsi="Arial" w:cs="Arial"/>
              </w:rPr>
              <w:t>100</w:t>
            </w:r>
          </w:p>
        </w:tc>
      </w:tr>
    </w:tbl>
    <w:p w:rsidR="00F37627" w:rsidRDefault="00F37627">
      <w:pPr>
        <w:pStyle w:val="Naslov5"/>
      </w:pPr>
    </w:p>
    <w:p w:rsidR="00F37627" w:rsidRPr="00F37627" w:rsidRDefault="00F37627" w:rsidP="00F37627"/>
    <w:p w:rsidR="00D849AA" w:rsidRDefault="00EE6D95">
      <w:pPr>
        <w:pStyle w:val="Naslov5"/>
      </w:pPr>
      <w:r>
        <w:lastRenderedPageBreak/>
        <w:t>Procjena i ishodište potrebnih sredstava za značajnije aktivnosti/projekte</w:t>
      </w:r>
    </w:p>
    <w:p w:rsidR="00D849AA" w:rsidRDefault="00EE6D95">
      <w:pPr>
        <w:pStyle w:val="Naslov6"/>
      </w:pPr>
      <w:r>
        <w:t>A540000 ADMINISTRACIJA I UPRAVLJANJE CARINSKE UPRAVE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F37627" w:rsidRDefault="00EE6D95">
            <w:pPr>
              <w:pStyle w:val="CellHeader"/>
            </w:pPr>
            <w:r w:rsidRPr="00F37627">
              <w:t>Naziv aktivnosti</w:t>
            </w:r>
          </w:p>
        </w:tc>
        <w:tc>
          <w:tcPr>
            <w:tcW w:w="1486" w:type="dxa"/>
            <w:shd w:val="clear" w:color="auto" w:fill="B5C0D8"/>
          </w:tcPr>
          <w:p w:rsidR="00D849AA" w:rsidRPr="00F37627" w:rsidRDefault="00EE6D95">
            <w:pPr>
              <w:pStyle w:val="CellHeader"/>
            </w:pPr>
            <w:r w:rsidRPr="00F37627">
              <w:t>Plan 2013.</w:t>
            </w:r>
          </w:p>
        </w:tc>
        <w:tc>
          <w:tcPr>
            <w:tcW w:w="1486" w:type="dxa"/>
            <w:shd w:val="clear" w:color="auto" w:fill="B5C0D8"/>
          </w:tcPr>
          <w:p w:rsidR="00D849AA" w:rsidRPr="00F37627" w:rsidRDefault="00EE6D95">
            <w:pPr>
              <w:pStyle w:val="CellHeader"/>
            </w:pPr>
            <w:r w:rsidRPr="00F37627">
              <w:t>Plan 2014.</w:t>
            </w:r>
          </w:p>
        </w:tc>
        <w:tc>
          <w:tcPr>
            <w:tcW w:w="1486" w:type="dxa"/>
            <w:shd w:val="clear" w:color="auto" w:fill="B5C0D8"/>
          </w:tcPr>
          <w:p w:rsidR="00D849AA" w:rsidRPr="00F37627" w:rsidRDefault="00EE6D95">
            <w:pPr>
              <w:pStyle w:val="CellHeader"/>
            </w:pPr>
            <w:r w:rsidRPr="00F37627">
              <w:t>Plan 2015.</w:t>
            </w:r>
          </w:p>
        </w:tc>
        <w:tc>
          <w:tcPr>
            <w:tcW w:w="1486" w:type="dxa"/>
            <w:shd w:val="clear" w:color="auto" w:fill="B5C0D8"/>
          </w:tcPr>
          <w:p w:rsidR="00D849AA" w:rsidRPr="00F37627" w:rsidRDefault="00EE6D95">
            <w:pPr>
              <w:pStyle w:val="CellHeader"/>
            </w:pPr>
            <w:r w:rsidRPr="00F37627">
              <w:t>Plan 2016.</w:t>
            </w:r>
          </w:p>
        </w:tc>
        <w:tc>
          <w:tcPr>
            <w:tcW w:w="1486" w:type="dxa"/>
            <w:shd w:val="clear" w:color="auto" w:fill="B5C0D8"/>
          </w:tcPr>
          <w:p w:rsidR="00D849AA" w:rsidRPr="00F37627" w:rsidRDefault="00EE6D95">
            <w:pPr>
              <w:pStyle w:val="CellHeader"/>
            </w:pPr>
            <w:r w:rsidRPr="00F37627">
              <w:t>Indeks 2014/2013</w:t>
            </w:r>
          </w:p>
        </w:tc>
      </w:tr>
      <w:tr w:rsidR="00D849AA">
        <w:trPr>
          <w:jc w:val="center"/>
        </w:trPr>
        <w:tc>
          <w:tcPr>
            <w:tcW w:w="1486" w:type="dxa"/>
          </w:tcPr>
          <w:p w:rsidR="00D849AA" w:rsidRPr="00F37627" w:rsidRDefault="00EE6D95">
            <w:pPr>
              <w:pStyle w:val="CellColumn"/>
            </w:pPr>
            <w:r w:rsidRPr="00F37627">
              <w:t>A540000</w:t>
            </w:r>
          </w:p>
        </w:tc>
        <w:tc>
          <w:tcPr>
            <w:tcW w:w="1486" w:type="dxa"/>
          </w:tcPr>
          <w:p w:rsidR="00D849AA" w:rsidRPr="00F37627" w:rsidRDefault="00EE6D95">
            <w:pPr>
              <w:rPr>
                <w:rFonts w:ascii="Arial" w:hAnsi="Arial" w:cs="Arial"/>
              </w:rPr>
            </w:pPr>
            <w:r w:rsidRPr="00F37627">
              <w:rPr>
                <w:rFonts w:ascii="Arial" w:hAnsi="Arial" w:cs="Arial"/>
              </w:rPr>
              <w:t>430.142.034</w:t>
            </w:r>
          </w:p>
        </w:tc>
        <w:tc>
          <w:tcPr>
            <w:tcW w:w="1486" w:type="dxa"/>
          </w:tcPr>
          <w:p w:rsidR="00D849AA" w:rsidRPr="00F37627" w:rsidRDefault="00EE6D95">
            <w:pPr>
              <w:rPr>
                <w:rFonts w:ascii="Arial" w:hAnsi="Arial" w:cs="Arial"/>
              </w:rPr>
            </w:pPr>
            <w:r w:rsidRPr="00F37627">
              <w:rPr>
                <w:rFonts w:ascii="Arial" w:hAnsi="Arial" w:cs="Arial"/>
              </w:rPr>
              <w:t>461.025.260</w:t>
            </w:r>
          </w:p>
        </w:tc>
        <w:tc>
          <w:tcPr>
            <w:tcW w:w="1486" w:type="dxa"/>
          </w:tcPr>
          <w:p w:rsidR="00D849AA" w:rsidRPr="00F37627" w:rsidRDefault="00EE6D95">
            <w:pPr>
              <w:rPr>
                <w:rFonts w:ascii="Arial" w:hAnsi="Arial" w:cs="Arial"/>
              </w:rPr>
            </w:pPr>
            <w:r w:rsidRPr="00F37627">
              <w:rPr>
                <w:rFonts w:ascii="Arial" w:hAnsi="Arial" w:cs="Arial"/>
              </w:rPr>
              <w:t>459.041.680</w:t>
            </w:r>
          </w:p>
        </w:tc>
        <w:tc>
          <w:tcPr>
            <w:tcW w:w="1486" w:type="dxa"/>
          </w:tcPr>
          <w:p w:rsidR="00D849AA" w:rsidRPr="00F37627" w:rsidRDefault="00EE6D95">
            <w:pPr>
              <w:rPr>
                <w:rFonts w:ascii="Arial" w:hAnsi="Arial" w:cs="Arial"/>
              </w:rPr>
            </w:pPr>
            <w:r w:rsidRPr="00F37627">
              <w:rPr>
                <w:rFonts w:ascii="Arial" w:hAnsi="Arial" w:cs="Arial"/>
              </w:rPr>
              <w:t>470.100.520</w:t>
            </w:r>
          </w:p>
        </w:tc>
        <w:tc>
          <w:tcPr>
            <w:tcW w:w="1486" w:type="dxa"/>
          </w:tcPr>
          <w:p w:rsidR="00D849AA" w:rsidRPr="00F37627" w:rsidRDefault="00EE6D95">
            <w:pPr>
              <w:rPr>
                <w:rFonts w:ascii="Arial" w:hAnsi="Arial" w:cs="Arial"/>
              </w:rPr>
            </w:pPr>
            <w:r w:rsidRPr="00F37627">
              <w:rPr>
                <w:rFonts w:ascii="Arial" w:hAnsi="Arial" w:cs="Arial"/>
              </w:rPr>
              <w:t>107,2</w:t>
            </w:r>
          </w:p>
        </w:tc>
      </w:tr>
    </w:tbl>
    <w:p w:rsidR="00D849AA" w:rsidRDefault="00D849AA">
      <w:pPr>
        <w:jc w:val="left"/>
      </w:pPr>
    </w:p>
    <w:p w:rsidR="00D849AA" w:rsidRDefault="00EE6D95">
      <w:pPr>
        <w:pStyle w:val="Normal6"/>
      </w:pPr>
      <w:r>
        <w:t xml:space="preserve">Carinska uprava vrši poslove naplate prihoda državnog proračuna po osnovi carine, trošarina, posebnih poreza, poreza na dodanu vrijednost i drugih propisanih javnih davanja koja su joj stavljena u nadležnost.  </w:t>
      </w:r>
    </w:p>
    <w:p w:rsidR="00D849AA" w:rsidRDefault="00EE6D95">
      <w:pPr>
        <w:pStyle w:val="Normal6"/>
      </w:pPr>
      <w:r>
        <w:t xml:space="preserve">Uz navedene poslove, Carinska uprava provodi i poslove naknadne provjere obveznika carinskih, trošarinskih, poreznih i drugih davanja na području Republike Hrvatske što podrazumijeva kontrolu ispravnosti poslovnih knjiga, financijskih izvještaja, poslovne dokumentacije, utvrđivanje iznosa netočno obračunatih ili neplaćenih davanja i pripadajućih kamata, te utvrđivanje bilo kojih drugih vrsta nepravilnosti. Cilj naknadnih provjera je osigurati postupanje sukladno carinskim, trošarinskim, poreznim i drugim propisima od strane sudionika u postupcima koji su predmet carinske kontrole, a u svrhu jačanja fiskalne discipline te radi ostvarivanja odgovarajućeg priljeva sredstava u državni proračun. </w:t>
      </w:r>
    </w:p>
    <w:p w:rsidR="00D849AA" w:rsidRDefault="00EE6D95">
      <w:pPr>
        <w:pStyle w:val="Normal6"/>
      </w:pPr>
      <w:r>
        <w:t xml:space="preserve">U Carinskoj upravi trenutno je na snazi Uredba o izmjenama i dopunama Uredbe o unutarnjem ustrojstvu Ministarstva financija (Narodne novine broj 78/13) temeljem koje je po ulasku u Europsku uniju uspostavljena nova organizacijska struktura i prema kojoj je ustrojeno u Središnjem uredu 11 sektora, 35 službi i 38 odjela, dok je u 4 područna carinska ureda (umjesto dosadašnjih 7 carinarnica)  ustrojeno 90 službi, 28 odjela, 18 carinskih ureda te 10 graničnih carinskih ureda. Sa novim ustrojem carinske službe u odnosu na dosadašnje ustrojstvo ukupan broj ustrojstvenih jedinica u Središnjem uredu i područnim carinskim uredima je smanjen sa 378 na 234. </w:t>
      </w:r>
    </w:p>
    <w:p w:rsidR="00D849AA" w:rsidRDefault="00EE6D95">
      <w:pPr>
        <w:pStyle w:val="Normal6"/>
      </w:pPr>
      <w:r>
        <w:t xml:space="preserve">Isto tako osim smanjenja broja ustrojstvenih jedinica smanjen je broj sistematiziranih radnih mjesta sa 3928 na 3570 radnih mjesta što čini smanjenje sistematiziranih radnih mjesta za 358. </w:t>
      </w:r>
    </w:p>
    <w:p w:rsidR="00D849AA" w:rsidRDefault="00EE6D95">
      <w:pPr>
        <w:pStyle w:val="Normal6"/>
      </w:pPr>
      <w:r>
        <w:t xml:space="preserve">Naime, ulaskom Republike Hrvatske u Europsku uniju granica sa Slovenijom i Mađarskom postaje unutarnja granica na kojoj se ukida carinski nadzor, granica Republike Hrvatske sa Srbijom, Bosnom i Hercegovinom i Crnom Gorom postaje vanjska granica Europske unije, na kojoj je potrebno dodatno pojačati carinski nadzor kako bi se u potpunosti mogle izvršavati odgovorne zadaće koje carinska služba Republike Hrvatske preuzima ulaskom u Europsku uniju, a to su zaštita i sigurnost društva, ljudi, tržišta i financijskih interesa Republike Hrvatske i Europske unije uz istovremeno olakšavanje zakonite trgovine. </w:t>
      </w:r>
    </w:p>
    <w:p w:rsidR="00D849AA" w:rsidRDefault="00EE6D95">
      <w:pPr>
        <w:pStyle w:val="Normal6"/>
      </w:pPr>
      <w:r>
        <w:t xml:space="preserve">Stoga je jedna od osnovnih zadaća carinske službe Republike Hrvatske usmjerena na unaprjeđenje rada i funkcionalnosti graničnih carinskih ureda na vanjskim granicama Europske unije te jačanje njihovih administrativnih i operativnih kapaciteta, dodatno poboljšanje načina provedbe carinskih i trošarinskih kontrola osiguranjem zajedničke procjene i poduzimanjem zajedničkih aktivnosti u odnosu na procjenu rizičnosti trgovačkih društava, osoba, robe i prijevoza, i to na svim razinama, kao i općenito razvoj svih ostalih mehanizama učinkovitog nadzora prekograničnog prometa robe koja podliježe zabranama i ograničenjima te robe koja predstavlja prijetnju zdravlju i životu ljudi i općenito sigurnosti carinskog područja i društva u cjelini. </w:t>
      </w:r>
    </w:p>
    <w:p w:rsidR="00D849AA" w:rsidRDefault="00EE6D95">
      <w:pPr>
        <w:pStyle w:val="Normal6"/>
      </w:pPr>
      <w:r>
        <w:t xml:space="preserve">Kako bi se isto moglo kvalitetno realizirati potrebno je pojačati administrativne kapacitete na graničnim carinskim uredima koji su odlukom Vlade Republike Hrvatske određeni kao </w:t>
      </w:r>
      <w:r>
        <w:lastRenderedPageBreak/>
        <w:t xml:space="preserve">granični prijelazi sa svim inspekcijskim službama (BIP-border inspection point) i to na Graničnom carinskom uredu Bajakovo, Graničnom carinskom uredu Stara Gradiška, Graničnom carinskom uredu Metković, Graničnom carinskom uredu Karasovići te Graničnom carinskom uredu Luka Ploče na kojima se očekuje znatno povećanje robnog prometa iz trećih zemalja u Europsku uniju i dodatno carinjenje robe i povećanje prometa sa Bosnom i Hercegovinom. Isto tako zbog gradnje međunarodnog carinskog graničnog prijelaza i prometnog koridora 5C u Područnom carinskom uredu Osijek bit će potrebno zapošljavanje službenika srednje stručne spreme. </w:t>
      </w:r>
    </w:p>
    <w:p w:rsidR="00D849AA" w:rsidRDefault="00EE6D95">
      <w:pPr>
        <w:pStyle w:val="Normal6"/>
      </w:pPr>
      <w:r>
        <w:t xml:space="preserve">Iz navedenih razloga, za 2014. godinu Ministarstvo financija, Carinska uprava predlaže izvanredni prijem za 100 službenika i to: 20 službenika visoke stručne spreme, 10 službenika više stručne spreme i 70 službenika srednje stručne spreme. Nadalje, vezano uz provedbu reformske mjere – transformacija Državnog inspektorata, a vezano uz mjere utvrđene za smanjenje deficita Državnog proračuna Ministarstvo financija je jedno od ministarstava koja preuzimaju Državni inspektorat. Obzirom da je planirano da 345 službenika preuzme Carinska uprava, što čini 43% od ukupnog broja službenika Državnog inspektorata, s navedene osnove povećani su rashodi za zaposlene u iznosu 44.067.260,00 kn u 2014. godini, 45.569.680,00 kn u 2015. godini i 45.736.520,00 kn u 2016. godini. </w:t>
      </w:r>
    </w:p>
    <w:p w:rsidR="00D849AA" w:rsidRDefault="00EE6D95">
      <w:pPr>
        <w:pStyle w:val="Normal6"/>
      </w:pPr>
      <w:r>
        <w:t xml:space="preserve">Kod planiranja materijalnih rashoda iskazani su rashodi koji osiguravaju funkcioniranje carinske službe na jedinstvenom carinskom području Europske unije, te sve pretpostavke kako bi carinska služba djelotvorno i u potpunosti osigurala učinkovitu primjenu i provedbu carinskog, trošarinskog i poreznog sustava Europske unije i Republike Hrvatske.  </w:t>
      </w:r>
    </w:p>
    <w:p w:rsidR="00D849AA" w:rsidRDefault="00EE6D95">
      <w:pPr>
        <w:pStyle w:val="Normal6"/>
      </w:pPr>
      <w:r>
        <w:t xml:space="preserve">Također, iskazanim materijalnim rashodima osigurava se redovno poslovanje carinske službe kao i izvršenje dodatnih poslova koji proizlaze iz procesa prilagodbe uvjetima djelovanja u Europskoj uniji i općenito promijenjenom okruženju carinskog postupanja. </w:t>
      </w:r>
    </w:p>
    <w:p w:rsidR="00D849AA" w:rsidRDefault="00EE6D95">
      <w:pPr>
        <w:pStyle w:val="Normal6"/>
      </w:pPr>
      <w:r>
        <w:t xml:space="preserve">Navedeno podrazumijeva: primjenu sustava upravljanja zajedničkom europskom carinskom tarifom i kvotama (sustav TARIC i kvote, ITMS i drugi); primjenu zajedničke europske trgovinske i agrarne politike; primjenu sustava nadzora izvoznih poticaja u poljoprivredi; implementaciju sigurnosnih mjera u vezi s robom koja se unosi i/ili iznosi iz carinskog područja; razvoj potpuno novog sustava obrade JCD-a kompatibilnog svim složenim zahtjevima europskog carinskog zakonodavstva i primjenjivih propisa izvan carinskog sustava te u skladu sa svojstvima različitih posebnih sustava koji podržavaju proces carinjenja. Poslovi koji također proistječu iz procesa pristupanja Republike Hrvatske Europskoj uniji odnose se na: upravljanje sustavom tradicionalnih vlastitih sredstava Europske unije kojima se osigurava ispravni izračun, prognoze, obračun, prikupljanje, plaćanje i kontrola tradicionalnih vlastitih sredstava te izvješćivanje prema Europskoj uniji o primjeni pravila koja se odnose na tradicionalna vlastita sredstva u skladu s pravnom stečevinom; preuzimanje poslova INTRASTAT-a (prema uzoru na neke države članice Europske unije, u Republici Hrvatskoj poslove prikupljanja podataka za Intrastat - sustav prikupljanja podataka o robnoj razmjeni između zemalja članica Europske unije obavlja Carinska služba, s time da se prikupljeni podaci dostavljaju Državnom zavodu za statistiku koji je zadužen za njihovu obradu i diseminaciju); razvijanje sustava naknadnih kontrola i analize rizika; jačanje sustava trošarinskog nadzora kao važne komponente fiskalnog sustava Republike Hrvatske; punu primjenu proširenih ovlaštenja carinske službe radi učinkovite primjene carinskih i trošarinskih propisa uz svrhovito korištenje novonabavljene opreme i resursa (brodovi, službeni psi, rendgeni, druga operativna tehnika); izradu nacionalnog pravnog okvira carinskog i trošarinskog sustava za vrijeme nakon pristupanja Republike Hrvatske u punopravno članstvo Europske unije. </w:t>
      </w:r>
    </w:p>
    <w:p w:rsidR="00D849AA" w:rsidRDefault="00EE6D95">
      <w:pPr>
        <w:pStyle w:val="Normal6"/>
      </w:pPr>
      <w:r>
        <w:t xml:space="preserve">Također, ulaskom Republike Hrvatske u punopravno članstvo Europske unije 1. srpnja 2013. godine, nastala je potreba za provođenjem carinsko – sigurnosnih mjera nadzora kao i mjera usmjerenih ka suzbijanju sive ekonomije na cijelom teritoriju Republike Hrvatske sa druge strane. </w:t>
      </w:r>
    </w:p>
    <w:p w:rsidR="00D849AA" w:rsidRDefault="00EE6D95">
      <w:pPr>
        <w:pStyle w:val="Normal6"/>
      </w:pPr>
      <w:r>
        <w:lastRenderedPageBreak/>
        <w:t xml:space="preserve">Sukladno novom ustroju te novim poslovima koje Carinska uprava preuzima prema proširenju poslova sukladno odredbama Zakona o carinskoj službi, proizašla je potreba za povećanjem administrativnih kapaciteta Sektora za nadzor, kao ustrojstvene jedinice nositelja kontrolnih aktivnosti i to kroz povećanje broja carinskih službenika, a koji će biti adekvatno opremljeni i obučeni za provedbu zadaća koje su im stavljene u nadležnost. </w:t>
      </w:r>
    </w:p>
    <w:p w:rsidR="00D849AA" w:rsidRDefault="00EE6D95">
      <w:pPr>
        <w:pStyle w:val="Normal6"/>
      </w:pPr>
      <w:r>
        <w:t xml:space="preserve">Najveće pojačanje administrativnih kapaciteta nužno je u Službi za mobilne jedinice, stoga je dosadašnji broj od 150 ovlaštenih carinskih službenika u mobilnim jedinicama povećan na približno 300 ovlaštenih carinskih službenika iz čega je proizašla potreba za povećanjem kapaciteta za raspoređene službenike sa svom potrebnom uredskom opremom te vozilima, plovilima, službenim psima kao i drugom tehničkom opremom kojom se u svom radu koriste ovlašteni carinski službenici u mobilnim jedinicama. </w:t>
      </w:r>
    </w:p>
    <w:p w:rsidR="00D849AA" w:rsidRDefault="00EE6D95">
      <w:pPr>
        <w:pStyle w:val="Normal6"/>
      </w:pPr>
      <w:r>
        <w:t xml:space="preserve">Ovlašteni carinski službenici mobilnih jedinica ovlašteni su za nošenje vatrenog oružja i to na način kako je to propisano Pravilnikom o načinu nošenja i uporabi vatrenog oružja ovlaštenih carinskih službenika Ministarstva financija Carinske uprave  (NN 104/2010). U svezi s time potrebno je za nove ovlaštene carinske službenike u mobilnim jedinicama nabaviti adekvatnu opremu sukladno zakonskim i pod zakonskim propisima. </w:t>
      </w:r>
    </w:p>
    <w:p w:rsidR="00D849AA" w:rsidRDefault="00EE6D95">
      <w:pPr>
        <w:pStyle w:val="Normal6"/>
      </w:pPr>
      <w:r>
        <w:t xml:space="preserve">Planirana je nabava veće količine streljiva dio od kojeg će se koristiti za zakonski propisano godišnje gađanje za sve ovlaštene carinske službenike koji imaju pravo držanja i nošenja vatrenog oružja, dio će se iskoristiti za obuku novih službenika koji će biti raspoređeni na takva mjesta, a dio će se rasporediti na  službenike koji imaju pravo nositi vatreno oružje. </w:t>
      </w:r>
    </w:p>
    <w:p w:rsidR="00D849AA" w:rsidRDefault="00EE6D95">
      <w:pPr>
        <w:pStyle w:val="Normal6"/>
      </w:pPr>
      <w:r>
        <w:t xml:space="preserve">Nadalje, prema odredbama Zakona o carinskoj službi kao sredstvo prisile predviđen je i raspršivač s nadražujućom tvari (sprej) te je planirana nabava 250 komada sprejeva u 2014. godini.  </w:t>
      </w:r>
    </w:p>
    <w:p w:rsidR="00D849AA" w:rsidRDefault="00EE6D95">
      <w:pPr>
        <w:pStyle w:val="Normal6"/>
      </w:pPr>
      <w:r>
        <w:t xml:space="preserve">Najveći dio opreme, koju u svom radu koriste ovlašteni carinski službenici u mobilnim jedinicama, nabavljen je kroz EU fondove, te je istu potrebno održavati kako bi i nadalje služila svrsi za koju je nabavljena uzevši u obzir i to da će se zbog povećanja obujma poslova navedena oprema koristiti još  učestalije. </w:t>
      </w:r>
    </w:p>
    <w:p w:rsidR="00D849AA" w:rsidRDefault="00EE6D95">
      <w:pPr>
        <w:pStyle w:val="Normal6"/>
      </w:pPr>
      <w:r>
        <w:t xml:space="preserve">Veliki dio prijevoznih sredstava te detektora droga i eksploziva  nabavljen je kroz projekte IPA 2007, te je njihovo održavanje i korištenje podložno monitoringu Europske komisije iz čega proizlazi obvezujuće održavanje i korištenje. </w:t>
      </w:r>
    </w:p>
    <w:p w:rsidR="00D849AA" w:rsidRDefault="00EE6D95">
      <w:pPr>
        <w:pStyle w:val="Normal6"/>
      </w:pPr>
      <w:r>
        <w:t xml:space="preserve">Održavanje i servisiranje rendgen uređaja kako mobilnih tako i stacionarnih omogućuje njihovo dugoročnije korištenje i omogućuje sigurniji rad za ovlaštene carinske službenike koji koriste te uređaje. Neki od tih uređaja kao što su mobilni siluet skeneri koji se nalaze u Zagrebu, Rijeci i Osijeku su u upotrebi više desetaka godina i zahtijevaju veću brigu oko održavanja, ali još uvijek daju dobre rezultate te će se koristiti do nabave novih. </w:t>
      </w:r>
    </w:p>
    <w:p w:rsidR="00D849AA" w:rsidRDefault="00EE6D95">
      <w:pPr>
        <w:pStyle w:val="Normal6"/>
      </w:pPr>
      <w:r>
        <w:t xml:space="preserve">Portal monitor do sada je održavao donator Vlada SAD, međutim uskoro će Carinska uprava morati izdvojiti sredstva za njihovo održavanje što je predviđeno u 2015. godini. </w:t>
      </w:r>
    </w:p>
    <w:p w:rsidR="00D849AA" w:rsidRDefault="00EE6D95">
      <w:pPr>
        <w:pStyle w:val="Normal6"/>
      </w:pPr>
      <w:r>
        <w:t xml:space="preserve">Službeni psi za detekciju duhana pokazali su izuzetne rezultate u otkrivanju duhana i duhanskih prerađevina čime je spriječen veliki dio nelegalne trgovine. Vođenje brige o njihovoj kvalitetnoj ishrani, opremi te kvalitetnoj veterinarskoj skrbi neophodno je za njihovo kondicijsko i stručno uvježbavanje.   </w:t>
      </w:r>
    </w:p>
    <w:p w:rsidR="00D849AA" w:rsidRDefault="00EE6D95">
      <w:pPr>
        <w:pStyle w:val="Normal6"/>
      </w:pPr>
      <w:r>
        <w:t xml:space="preserve">Sektor za carinski laboratorij, djeluje kao jedna od ustrojstvenih jedinica unutar Ministarstva financija, Carinske uprave.  </w:t>
      </w:r>
    </w:p>
    <w:p w:rsidR="00D849AA" w:rsidRDefault="00EE6D95">
      <w:pPr>
        <w:pStyle w:val="Normal6"/>
      </w:pPr>
      <w:r>
        <w:t xml:space="preserve">Carinski laboratorij utemeljen je na poslovnoj strategiji carinske službe utvrđivanjem prirode, tarifne oznake, podrijetla i vrijednosti robe u cilju provedbe, naplate carinskih pristojbi i prikupljanja prihoda, trgovinske politike, kontrole poljoprivrednih proizvoda, trošarinskih i posebnih poreza, provjeri i kontroli carinskih prekršaja, sigurnosnih mjera i zaštite okoliša i građana.  </w:t>
      </w:r>
    </w:p>
    <w:p w:rsidR="00D849AA" w:rsidRDefault="00EE6D95">
      <w:pPr>
        <w:pStyle w:val="Normal6"/>
      </w:pPr>
      <w:r>
        <w:lastRenderedPageBreak/>
        <w:t xml:space="preserve">Osnovni poslovi koji se obavljaju u laboratoriju su poslovi obavljanja analiza (fizikalno-kemijskih, instrumentalnih analiza), praćenje i preuzimanje međunarodnih i europskih propisa i normi vezanih uz provođenje analitičkih metoda i instrumentalnih analiza, izdavanje nalaza u svrhu razvrstavanja robe u carinsku tarifu za potrebe carinske službe i drugih poslova. </w:t>
      </w:r>
    </w:p>
    <w:p w:rsidR="00D849AA" w:rsidRDefault="00EE6D95">
      <w:pPr>
        <w:pStyle w:val="Normal6"/>
      </w:pPr>
      <w:r>
        <w:t xml:space="preserve">Kroz program IPA 2007 Razvoj sustava carinskih laboratorija izvršen je razvoj carinskog laboratorija nabavom opreme za carinski laboratorij, te obukom službenika u skladu sa zahtjevima Europske unije, europskim propisima i normama, nacionalnim propisima, kako bi ulaskom u Europsku uniju laboratorij bio spreman vršiti analize za potrebe carinske službe i bio usklađen s ostalim carinskim laboratorijima Europske unije razvijajući „dobru laboratorijsku praksu“.  </w:t>
      </w:r>
    </w:p>
    <w:p w:rsidR="00D849AA" w:rsidRDefault="00EE6D95">
      <w:pPr>
        <w:pStyle w:val="Normal6"/>
      </w:pPr>
      <w:r>
        <w:t xml:space="preserve">Cilj carinskog laboratorija i poslovne strategije Carinske uprave je daljnji razvoj i provedba politike upravljanja laboratorijem usmjerenoj prema zajedničkoj strategiji europskih carinskih laboratorija radi postizanja kvalitete laboratorija, postupaka i radnih metoda u skladu sa zakonodavstvom, standardima i najboljim praksama Europske unije, suradnji s drugim carinskim laboratorijima i službenim nadležnim tijelima, razvoju programa osposobljavanja djelatnika carinskog laboratorija za maksimalno povećanje učinkovitosti laboratorijskih postupka.  </w:t>
      </w:r>
    </w:p>
    <w:p w:rsidR="00D849AA" w:rsidRDefault="00EE6D95">
      <w:pPr>
        <w:pStyle w:val="Normal6"/>
      </w:pPr>
      <w:r>
        <w:t xml:space="preserve">Cilj poslovne strategije je postizanje kvalitete u laboratoriju. U svrhu toga carinski laboratorij razvija, provodi i priprema se za postizanje kvalitete u okviru sustava za upravljanje kvalitetom utemeljenoj na međunarodno priznatoj normi za kvalitetu laboratorija ISO/IEC/ HRN EN ISO 17025:2007 (pokretanjem postupka akreditacije (certificiranja)). </w:t>
      </w:r>
    </w:p>
    <w:p w:rsidR="00D849AA" w:rsidRDefault="00EE6D95">
      <w:pPr>
        <w:pStyle w:val="Normal6"/>
      </w:pPr>
      <w:r>
        <w:t xml:space="preserve">Radi navedenih ciljeva i daljnje učinkovitosti, provedbe kvalitete rada laboratorija, funkcionalnosti i razvoja operativne sposobnosti potrebno je razvijati i vršiti kontinuirano unapređenje carinskog laboratorija u skladu s najboljom praksom Europske unije. </w:t>
      </w:r>
    </w:p>
    <w:p w:rsidR="00D849AA" w:rsidRDefault="00EE6D95">
      <w:pPr>
        <w:pStyle w:val="Normal6"/>
      </w:pPr>
      <w:r>
        <w:t xml:space="preserve">Kada je riječ o stručnom usavršavanju carinskih službenika, isto se provodi po specijalnostima sa ciljem da se stečena temeljna znanja iz struke kroz različite oblike obrazovnih aktivnosti kao što su seminari, radionice, tečajevi, praktična obuka i stručni sastanci kontinuirano unapređuju kako bi se osigurala profesionalnost, kompetentnost i kvaliteta rada. </w:t>
      </w:r>
    </w:p>
    <w:p w:rsidR="00D849AA" w:rsidRDefault="00EE6D95">
      <w:pPr>
        <w:pStyle w:val="Normal6"/>
      </w:pPr>
      <w:r>
        <w:t xml:space="preserve">Izobrazba službenika Carinske uprave provoditi će se sukladno potrebama i zahtjevima svih ustrojstvenih jedinica Carinske uprave, a prema utvrđenom Obrazovnom planu za 2014., 2015. i 2016. godinu. Carinski centar za obuku, u dijelu poslovnog prostora Policijske akademije MUP-a, raspolaže sa kabinetom i 5 učionica (površine 212 m2) te smještajnim kapacitetima (površine 2.100 m2). Isto tako, temeljna izobrazba službenika koji nemaju položen državni stručni ispit provodi se prema Programu obuke vježbenika i službenika primljenih u carinsku službu s radnim stažem duljim od vremena određenog za vježbenički staž bez položenog državnog ispita.  </w:t>
      </w:r>
    </w:p>
    <w:p w:rsidR="00D849AA" w:rsidRDefault="00EE6D95">
      <w:pPr>
        <w:pStyle w:val="Normal6"/>
      </w:pPr>
      <w:r>
        <w:t xml:space="preserve">Također, specifične vrste obuka nužne za osposobljavanje carinskih službenika za obavljanje poslova iz svog područja su primjerice edukacija za osposobljavanje za upravljanje službenom brodicom  koja obuhvaća  tečaj za upravljanje brodicom, tečaj iz temeljne sigurnosti na brodu,  tečaj za uporabu radara i tečaj za uporabu radiostanice. Kroz prethodni period pokazala se isplativost nabavke plovila za more te se ukazala potreba za dopunskim popunjavanjem članovima posade. U tu svrhu potrebno je educirati još po dva službenika po plovilu kojih za sada ima ukupno četiri ( Rijeka, Zadar, Split i Ploče). Isto tako, obzirom da je nabavljen kamion rendgen „Rapiscan“ kao i da se u radu koriste i drugi mobilni ili stacionarni uređaji sa izvorima ionizirajućeg zračenja, potrebno je obnavljati obuku iz poznavanja znanja za primjenu mjera zaštite pri radu sa izvorima ionizirajućeg zračenja, ali isto tako obučiti nove ovlaštene carinske službenike koji će koristiti takvu opremu. </w:t>
      </w:r>
    </w:p>
    <w:p w:rsidR="00D849AA" w:rsidRDefault="00EE6D95">
      <w:pPr>
        <w:pStyle w:val="Normal6"/>
      </w:pPr>
      <w:r>
        <w:lastRenderedPageBreak/>
        <w:t xml:space="preserve">Carinska uprava nije mijenjala svoju odoru od svojeg osnutka 1991. godine. Suvremeni svjetski trendovi razvoja novih tehnologija tehničkog tekstila, pametnih vlakana te  tkanina  za  specijalne  namjene,  omogućuju  i  ukazuju  na  nužnost  promjena  dijelova carinske odore i primjenu novih, poboljšanih materijala. S neprestanim sve većim razvojem generičkih tipova vlakana, novih tehnologija, omogućeno je poboljšanje dijelova carinske odore u cijelosti. Kao rezultati novih tehnologija, a samim time i dostupnost novih materijala poboljšanih tehničkih karakteristika neophodno je praćenje trendova na svjetskom tržištu vezanih za tehnologije primjenjive u specifičnostima obavljanja poslova carinskih službenika. </w:t>
      </w:r>
    </w:p>
    <w:p w:rsidR="00D849AA" w:rsidRDefault="00EE6D95">
      <w:pPr>
        <w:pStyle w:val="Normal6"/>
      </w:pPr>
      <w:r>
        <w:t xml:space="preserve">Carinska uprava obavlja svakodnevne radne zadaće, koje uključuju djelovanje u raznim, koliko predviđenim, toliko ponekad i nepredviđenim situacijama u širokom rasponu klimatskih uvjeta (vjetar, kiša, visoke/niske temperature), što nameće potrebu nošenja odore izrađene od visoko kvalitetnih materijala. </w:t>
      </w:r>
    </w:p>
    <w:p w:rsidR="00D849AA" w:rsidRDefault="00EE6D95">
      <w:pPr>
        <w:pStyle w:val="Normal6"/>
      </w:pPr>
      <w:r>
        <w:t xml:space="preserve">Zbog svega rečenog postoji opravdana potreba da se u okviru ovog Ministarstva započne sa razvojem poboljšanja carinske odore te je stoga u okviru Ministarstva financija izrađen nacrt Pravilnika o odorama carinskih službenika Ministarstva financija kao krovni dokument koji definira izgled carinske odore. </w:t>
      </w:r>
    </w:p>
    <w:p w:rsidR="00D849AA" w:rsidRDefault="00EE6D95">
      <w:pPr>
        <w:pStyle w:val="Normal6"/>
      </w:pPr>
      <w:r>
        <w:t>Na osnovu ovog Pravilnika sačinjeni su propisnici za pojedini dio odore kako bi se carinskim službenicima osigurala moderna, funkcionalna i sigurna carinska odora.</w:t>
      </w:r>
    </w:p>
    <w:p w:rsidR="00B515E1" w:rsidRDefault="00B515E1">
      <w:pPr>
        <w:pStyle w:val="Normal6"/>
      </w:pP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rsidRPr="00F37627">
        <w:trPr>
          <w:jc w:val="center"/>
        </w:trPr>
        <w:tc>
          <w:tcPr>
            <w:tcW w:w="2229" w:type="dxa"/>
            <w:shd w:val="clear" w:color="auto" w:fill="B5C0D8"/>
          </w:tcPr>
          <w:p w:rsidR="00D849AA" w:rsidRPr="00F37627" w:rsidRDefault="00EE6D95">
            <w:pPr>
              <w:rPr>
                <w:rFonts w:ascii="Arial" w:hAnsi="Arial" w:cs="Arial"/>
              </w:rPr>
            </w:pPr>
            <w:r w:rsidRPr="00F37627">
              <w:rPr>
                <w:rFonts w:ascii="Arial" w:hAnsi="Arial" w:cs="Arial"/>
              </w:rPr>
              <w:t>Pokazatelj rezultata</w:t>
            </w:r>
          </w:p>
        </w:tc>
        <w:tc>
          <w:tcPr>
            <w:tcW w:w="1114" w:type="dxa"/>
            <w:shd w:val="clear" w:color="auto" w:fill="B5C0D8"/>
          </w:tcPr>
          <w:p w:rsidR="00D849AA" w:rsidRPr="00F37627" w:rsidRDefault="00EE6D95">
            <w:pPr>
              <w:pStyle w:val="CellHeader"/>
            </w:pPr>
            <w:r w:rsidRPr="00F37627">
              <w:t>Jedinica</w:t>
            </w:r>
          </w:p>
        </w:tc>
        <w:tc>
          <w:tcPr>
            <w:tcW w:w="1114" w:type="dxa"/>
            <w:shd w:val="clear" w:color="auto" w:fill="B5C0D8"/>
          </w:tcPr>
          <w:p w:rsidR="00D849AA" w:rsidRPr="00F37627" w:rsidRDefault="00EE6D95">
            <w:pPr>
              <w:pStyle w:val="CellHeader"/>
            </w:pPr>
            <w:r w:rsidRPr="00F37627">
              <w:t>Polazna vrijednost</w:t>
            </w:r>
          </w:p>
        </w:tc>
        <w:tc>
          <w:tcPr>
            <w:tcW w:w="1486" w:type="dxa"/>
            <w:shd w:val="clear" w:color="auto" w:fill="B5C0D8"/>
          </w:tcPr>
          <w:p w:rsidR="00D849AA" w:rsidRPr="00F37627" w:rsidRDefault="00EE6D95">
            <w:pPr>
              <w:pStyle w:val="CellHeader"/>
            </w:pPr>
            <w:r w:rsidRPr="00F37627">
              <w:t>Ciljana vrijednost (2014.)</w:t>
            </w:r>
          </w:p>
        </w:tc>
        <w:tc>
          <w:tcPr>
            <w:tcW w:w="1486" w:type="dxa"/>
            <w:shd w:val="clear" w:color="auto" w:fill="B5C0D8"/>
          </w:tcPr>
          <w:p w:rsidR="00D849AA" w:rsidRPr="00F37627" w:rsidRDefault="00EE6D95">
            <w:pPr>
              <w:pStyle w:val="CellHeader"/>
            </w:pPr>
            <w:r w:rsidRPr="00F37627">
              <w:t>Ciljana vrijednost (2015.)</w:t>
            </w:r>
          </w:p>
        </w:tc>
        <w:tc>
          <w:tcPr>
            <w:tcW w:w="1486" w:type="dxa"/>
            <w:shd w:val="clear" w:color="auto" w:fill="B5C0D8"/>
          </w:tcPr>
          <w:p w:rsidR="00D849AA" w:rsidRPr="00F37627" w:rsidRDefault="00EE6D95">
            <w:pPr>
              <w:pStyle w:val="CellHeader"/>
            </w:pPr>
            <w:r w:rsidRPr="00F37627">
              <w:t>Ciljana vrijednost (2016.)</w:t>
            </w:r>
          </w:p>
        </w:tc>
      </w:tr>
      <w:tr w:rsidR="00D849AA" w:rsidRPr="00F37627">
        <w:trPr>
          <w:jc w:val="center"/>
        </w:trPr>
        <w:tc>
          <w:tcPr>
            <w:tcW w:w="2229" w:type="dxa"/>
          </w:tcPr>
          <w:p w:rsidR="00D849AA" w:rsidRPr="00F37627" w:rsidRDefault="00EE6D95">
            <w:pPr>
              <w:pStyle w:val="CellColumn"/>
            </w:pPr>
            <w:r w:rsidRPr="00F37627">
              <w:t>Odnos između broja deklaracija koje su selektirane za provjeru i broja utvrđenih nepravilnosti</w:t>
            </w:r>
          </w:p>
        </w:tc>
        <w:tc>
          <w:tcPr>
            <w:tcW w:w="1114" w:type="dxa"/>
          </w:tcPr>
          <w:p w:rsidR="00D849AA" w:rsidRPr="00F37627" w:rsidRDefault="00EE6D95">
            <w:pPr>
              <w:rPr>
                <w:rFonts w:ascii="Arial" w:hAnsi="Arial" w:cs="Arial"/>
              </w:rPr>
            </w:pPr>
            <w:r w:rsidRPr="00F37627">
              <w:rPr>
                <w:rFonts w:ascii="Arial" w:hAnsi="Arial" w:cs="Arial"/>
              </w:rPr>
              <w:t>%</w:t>
            </w:r>
          </w:p>
        </w:tc>
        <w:tc>
          <w:tcPr>
            <w:tcW w:w="1114" w:type="dxa"/>
          </w:tcPr>
          <w:p w:rsidR="00D849AA" w:rsidRPr="00F37627" w:rsidRDefault="00EE6D95">
            <w:pPr>
              <w:rPr>
                <w:rFonts w:ascii="Arial" w:hAnsi="Arial" w:cs="Arial"/>
              </w:rPr>
            </w:pPr>
            <w:r w:rsidRPr="00F37627">
              <w:rPr>
                <w:rFonts w:ascii="Arial" w:hAnsi="Arial" w:cs="Arial"/>
              </w:rPr>
              <w:t>32/3</w:t>
            </w:r>
          </w:p>
        </w:tc>
        <w:tc>
          <w:tcPr>
            <w:tcW w:w="1486" w:type="dxa"/>
          </w:tcPr>
          <w:p w:rsidR="00D849AA" w:rsidRPr="00F37627" w:rsidRDefault="00EE6D95">
            <w:pPr>
              <w:rPr>
                <w:rFonts w:ascii="Arial" w:hAnsi="Arial" w:cs="Arial"/>
              </w:rPr>
            </w:pPr>
            <w:r w:rsidRPr="00F37627">
              <w:rPr>
                <w:rFonts w:ascii="Arial" w:hAnsi="Arial" w:cs="Arial"/>
              </w:rPr>
              <w:t>30/4</w:t>
            </w:r>
          </w:p>
        </w:tc>
        <w:tc>
          <w:tcPr>
            <w:tcW w:w="1486" w:type="dxa"/>
          </w:tcPr>
          <w:p w:rsidR="00D849AA" w:rsidRPr="00F37627" w:rsidRDefault="00EE6D95">
            <w:pPr>
              <w:rPr>
                <w:rFonts w:ascii="Arial" w:hAnsi="Arial" w:cs="Arial"/>
              </w:rPr>
            </w:pPr>
            <w:r w:rsidRPr="00F37627">
              <w:rPr>
                <w:rFonts w:ascii="Arial" w:hAnsi="Arial" w:cs="Arial"/>
              </w:rPr>
              <w:t>28/5</w:t>
            </w:r>
          </w:p>
        </w:tc>
        <w:tc>
          <w:tcPr>
            <w:tcW w:w="1486" w:type="dxa"/>
          </w:tcPr>
          <w:p w:rsidR="00D849AA" w:rsidRPr="00F37627" w:rsidRDefault="00EE6D95">
            <w:pPr>
              <w:rPr>
                <w:rFonts w:ascii="Arial" w:hAnsi="Arial" w:cs="Arial"/>
              </w:rPr>
            </w:pPr>
            <w:r w:rsidRPr="00F37627">
              <w:rPr>
                <w:rFonts w:ascii="Arial" w:hAnsi="Arial" w:cs="Arial"/>
              </w:rPr>
              <w:t>26/6</w:t>
            </w:r>
          </w:p>
        </w:tc>
      </w:tr>
      <w:tr w:rsidR="00D849AA" w:rsidRPr="00F37627">
        <w:trPr>
          <w:jc w:val="center"/>
        </w:trPr>
        <w:tc>
          <w:tcPr>
            <w:tcW w:w="2229" w:type="dxa"/>
          </w:tcPr>
          <w:p w:rsidR="00D849AA" w:rsidRPr="00F37627" w:rsidRDefault="00EE6D95">
            <w:pPr>
              <w:pStyle w:val="CellColumn"/>
            </w:pPr>
            <w:r w:rsidRPr="00F37627">
              <w:t>Broj odobrenih povlaštenih statusa</w:t>
            </w:r>
          </w:p>
        </w:tc>
        <w:tc>
          <w:tcPr>
            <w:tcW w:w="1114" w:type="dxa"/>
          </w:tcPr>
          <w:p w:rsidR="00D849AA" w:rsidRPr="00F37627" w:rsidRDefault="00EE6D95">
            <w:pPr>
              <w:rPr>
                <w:rFonts w:ascii="Arial" w:hAnsi="Arial" w:cs="Arial"/>
              </w:rPr>
            </w:pPr>
            <w:r w:rsidRPr="00F37627">
              <w:rPr>
                <w:rFonts w:ascii="Arial" w:hAnsi="Arial" w:cs="Arial"/>
              </w:rPr>
              <w:t>Broj</w:t>
            </w:r>
          </w:p>
        </w:tc>
        <w:tc>
          <w:tcPr>
            <w:tcW w:w="1114" w:type="dxa"/>
          </w:tcPr>
          <w:p w:rsidR="00D849AA" w:rsidRPr="00F37627" w:rsidRDefault="00EE6D95">
            <w:pPr>
              <w:rPr>
                <w:rFonts w:ascii="Arial" w:hAnsi="Arial" w:cs="Arial"/>
              </w:rPr>
            </w:pPr>
            <w:r w:rsidRPr="00F37627">
              <w:rPr>
                <w:rFonts w:ascii="Arial" w:hAnsi="Arial" w:cs="Arial"/>
              </w:rPr>
              <w:t>292</w:t>
            </w:r>
          </w:p>
        </w:tc>
        <w:tc>
          <w:tcPr>
            <w:tcW w:w="1486" w:type="dxa"/>
          </w:tcPr>
          <w:p w:rsidR="00D849AA" w:rsidRPr="00F37627" w:rsidRDefault="00EE6D95">
            <w:pPr>
              <w:rPr>
                <w:rFonts w:ascii="Arial" w:hAnsi="Arial" w:cs="Arial"/>
              </w:rPr>
            </w:pPr>
            <w:r w:rsidRPr="00F37627">
              <w:rPr>
                <w:rFonts w:ascii="Arial" w:hAnsi="Arial" w:cs="Arial"/>
              </w:rPr>
              <w:t>350</w:t>
            </w:r>
          </w:p>
        </w:tc>
        <w:tc>
          <w:tcPr>
            <w:tcW w:w="1486" w:type="dxa"/>
          </w:tcPr>
          <w:p w:rsidR="00D849AA" w:rsidRPr="00F37627" w:rsidRDefault="00EE6D95">
            <w:pPr>
              <w:rPr>
                <w:rFonts w:ascii="Arial" w:hAnsi="Arial" w:cs="Arial"/>
              </w:rPr>
            </w:pPr>
            <w:r w:rsidRPr="00F37627">
              <w:rPr>
                <w:rFonts w:ascii="Arial" w:hAnsi="Arial" w:cs="Arial"/>
              </w:rPr>
              <w:t>400</w:t>
            </w:r>
          </w:p>
        </w:tc>
        <w:tc>
          <w:tcPr>
            <w:tcW w:w="1486" w:type="dxa"/>
          </w:tcPr>
          <w:p w:rsidR="00D849AA" w:rsidRPr="00F37627" w:rsidRDefault="00EE6D95">
            <w:pPr>
              <w:rPr>
                <w:rFonts w:ascii="Arial" w:hAnsi="Arial" w:cs="Arial"/>
              </w:rPr>
            </w:pPr>
            <w:r w:rsidRPr="00F37627">
              <w:rPr>
                <w:rFonts w:ascii="Arial" w:hAnsi="Arial" w:cs="Arial"/>
              </w:rPr>
              <w:t>450</w:t>
            </w:r>
          </w:p>
        </w:tc>
      </w:tr>
      <w:tr w:rsidR="00D849AA" w:rsidRPr="00F37627">
        <w:trPr>
          <w:jc w:val="center"/>
        </w:trPr>
        <w:tc>
          <w:tcPr>
            <w:tcW w:w="2229" w:type="dxa"/>
          </w:tcPr>
          <w:p w:rsidR="00D849AA" w:rsidRPr="00F37627" w:rsidRDefault="00EE6D95">
            <w:pPr>
              <w:pStyle w:val="CellColumn"/>
            </w:pPr>
            <w:r w:rsidRPr="00F37627">
              <w:t>Povećanje broja inspekcijskih nadzora i provjera</w:t>
            </w:r>
          </w:p>
        </w:tc>
        <w:tc>
          <w:tcPr>
            <w:tcW w:w="1114" w:type="dxa"/>
          </w:tcPr>
          <w:p w:rsidR="00D849AA" w:rsidRPr="00F37627" w:rsidRDefault="00EE6D95">
            <w:pPr>
              <w:rPr>
                <w:rFonts w:ascii="Arial" w:hAnsi="Arial" w:cs="Arial"/>
              </w:rPr>
            </w:pPr>
            <w:r w:rsidRPr="00F37627">
              <w:rPr>
                <w:rFonts w:ascii="Arial" w:hAnsi="Arial" w:cs="Arial"/>
              </w:rPr>
              <w:t>Broj</w:t>
            </w:r>
          </w:p>
        </w:tc>
        <w:tc>
          <w:tcPr>
            <w:tcW w:w="1114" w:type="dxa"/>
          </w:tcPr>
          <w:p w:rsidR="00D849AA" w:rsidRPr="00F37627" w:rsidRDefault="00EE6D95">
            <w:pPr>
              <w:rPr>
                <w:rFonts w:ascii="Arial" w:hAnsi="Arial" w:cs="Arial"/>
              </w:rPr>
            </w:pPr>
            <w:r w:rsidRPr="00F37627">
              <w:rPr>
                <w:rFonts w:ascii="Arial" w:hAnsi="Arial" w:cs="Arial"/>
              </w:rPr>
              <w:t>1800</w:t>
            </w:r>
          </w:p>
        </w:tc>
        <w:tc>
          <w:tcPr>
            <w:tcW w:w="1486" w:type="dxa"/>
          </w:tcPr>
          <w:p w:rsidR="00D849AA" w:rsidRPr="00F37627" w:rsidRDefault="00EE6D95">
            <w:pPr>
              <w:rPr>
                <w:rFonts w:ascii="Arial" w:hAnsi="Arial" w:cs="Arial"/>
              </w:rPr>
            </w:pPr>
            <w:r w:rsidRPr="00F37627">
              <w:rPr>
                <w:rFonts w:ascii="Arial" w:hAnsi="Arial" w:cs="Arial"/>
              </w:rPr>
              <w:t>1900</w:t>
            </w:r>
          </w:p>
        </w:tc>
        <w:tc>
          <w:tcPr>
            <w:tcW w:w="1486" w:type="dxa"/>
          </w:tcPr>
          <w:p w:rsidR="00D849AA" w:rsidRPr="00F37627" w:rsidRDefault="00EE6D95">
            <w:pPr>
              <w:rPr>
                <w:rFonts w:ascii="Arial" w:hAnsi="Arial" w:cs="Arial"/>
              </w:rPr>
            </w:pPr>
            <w:r w:rsidRPr="00F37627">
              <w:rPr>
                <w:rFonts w:ascii="Arial" w:hAnsi="Arial" w:cs="Arial"/>
              </w:rPr>
              <w:t>2000</w:t>
            </w:r>
          </w:p>
        </w:tc>
        <w:tc>
          <w:tcPr>
            <w:tcW w:w="1486" w:type="dxa"/>
          </w:tcPr>
          <w:p w:rsidR="00D849AA" w:rsidRPr="00F37627" w:rsidRDefault="00EE6D95">
            <w:pPr>
              <w:rPr>
                <w:rFonts w:ascii="Arial" w:hAnsi="Arial" w:cs="Arial"/>
              </w:rPr>
            </w:pPr>
            <w:r w:rsidRPr="00F37627">
              <w:rPr>
                <w:rFonts w:ascii="Arial" w:hAnsi="Arial" w:cs="Arial"/>
              </w:rPr>
              <w:t>2050</w:t>
            </w:r>
          </w:p>
        </w:tc>
      </w:tr>
      <w:tr w:rsidR="00D849AA" w:rsidRPr="00F37627">
        <w:trPr>
          <w:jc w:val="center"/>
        </w:trPr>
        <w:tc>
          <w:tcPr>
            <w:tcW w:w="2229" w:type="dxa"/>
          </w:tcPr>
          <w:p w:rsidR="00D849AA" w:rsidRPr="00F37627" w:rsidRDefault="00EE6D95">
            <w:pPr>
              <w:pStyle w:val="CellColumn"/>
            </w:pPr>
            <w:r w:rsidRPr="00F37627">
              <w:t>Broj provedenih akcija</w:t>
            </w:r>
          </w:p>
        </w:tc>
        <w:tc>
          <w:tcPr>
            <w:tcW w:w="1114" w:type="dxa"/>
          </w:tcPr>
          <w:p w:rsidR="00D849AA" w:rsidRPr="00F37627" w:rsidRDefault="00EE6D95">
            <w:pPr>
              <w:rPr>
                <w:rFonts w:ascii="Arial" w:hAnsi="Arial" w:cs="Arial"/>
              </w:rPr>
            </w:pPr>
            <w:r w:rsidRPr="00F37627">
              <w:rPr>
                <w:rFonts w:ascii="Arial" w:hAnsi="Arial" w:cs="Arial"/>
              </w:rPr>
              <w:t>Broj</w:t>
            </w:r>
          </w:p>
        </w:tc>
        <w:tc>
          <w:tcPr>
            <w:tcW w:w="1114" w:type="dxa"/>
          </w:tcPr>
          <w:p w:rsidR="00D849AA" w:rsidRPr="00F37627" w:rsidRDefault="00EE6D95">
            <w:pPr>
              <w:rPr>
                <w:rFonts w:ascii="Arial" w:hAnsi="Arial" w:cs="Arial"/>
              </w:rPr>
            </w:pPr>
            <w:r w:rsidRPr="00F37627">
              <w:rPr>
                <w:rFonts w:ascii="Arial" w:hAnsi="Arial" w:cs="Arial"/>
              </w:rPr>
              <w:t>5</w:t>
            </w:r>
          </w:p>
        </w:tc>
        <w:tc>
          <w:tcPr>
            <w:tcW w:w="1486" w:type="dxa"/>
          </w:tcPr>
          <w:p w:rsidR="00D849AA" w:rsidRPr="00F37627" w:rsidRDefault="00EE6D95">
            <w:pPr>
              <w:rPr>
                <w:rFonts w:ascii="Arial" w:hAnsi="Arial" w:cs="Arial"/>
              </w:rPr>
            </w:pPr>
            <w:r w:rsidRPr="00F37627">
              <w:rPr>
                <w:rFonts w:ascii="Arial" w:hAnsi="Arial" w:cs="Arial"/>
              </w:rPr>
              <w:t>10</w:t>
            </w:r>
          </w:p>
        </w:tc>
        <w:tc>
          <w:tcPr>
            <w:tcW w:w="1486" w:type="dxa"/>
          </w:tcPr>
          <w:p w:rsidR="00D849AA" w:rsidRPr="00F37627" w:rsidRDefault="00EE6D95">
            <w:pPr>
              <w:rPr>
                <w:rFonts w:ascii="Arial" w:hAnsi="Arial" w:cs="Arial"/>
              </w:rPr>
            </w:pPr>
            <w:r w:rsidRPr="00F37627">
              <w:rPr>
                <w:rFonts w:ascii="Arial" w:hAnsi="Arial" w:cs="Arial"/>
              </w:rPr>
              <w:t>15</w:t>
            </w:r>
          </w:p>
        </w:tc>
        <w:tc>
          <w:tcPr>
            <w:tcW w:w="1486" w:type="dxa"/>
          </w:tcPr>
          <w:p w:rsidR="00D849AA" w:rsidRPr="00F37627" w:rsidRDefault="00EE6D95">
            <w:pPr>
              <w:rPr>
                <w:rFonts w:ascii="Arial" w:hAnsi="Arial" w:cs="Arial"/>
              </w:rPr>
            </w:pPr>
            <w:r w:rsidRPr="00F37627">
              <w:rPr>
                <w:rFonts w:ascii="Arial" w:hAnsi="Arial" w:cs="Arial"/>
              </w:rPr>
              <w:t>20</w:t>
            </w:r>
          </w:p>
        </w:tc>
      </w:tr>
      <w:tr w:rsidR="00D849AA" w:rsidRPr="00F37627">
        <w:trPr>
          <w:jc w:val="center"/>
        </w:trPr>
        <w:tc>
          <w:tcPr>
            <w:tcW w:w="2229" w:type="dxa"/>
          </w:tcPr>
          <w:p w:rsidR="00D849AA" w:rsidRPr="00F37627" w:rsidRDefault="00EE6D95" w:rsidP="00F37627">
            <w:pPr>
              <w:pStyle w:val="CellColumn"/>
            </w:pPr>
            <w:r w:rsidRPr="00F37627">
              <w:t>Stvaranje</w:t>
            </w:r>
            <w:r w:rsidR="00F37627" w:rsidRPr="00F37627">
              <w:t xml:space="preserve"> </w:t>
            </w:r>
            <w:r w:rsidRPr="00F37627">
              <w:t>profesionalnih i educiranih carinskih službenika</w:t>
            </w:r>
          </w:p>
        </w:tc>
        <w:tc>
          <w:tcPr>
            <w:tcW w:w="1114" w:type="dxa"/>
          </w:tcPr>
          <w:p w:rsidR="00D849AA" w:rsidRPr="00F37627" w:rsidRDefault="00EE6D95">
            <w:pPr>
              <w:rPr>
                <w:rFonts w:ascii="Arial" w:hAnsi="Arial" w:cs="Arial"/>
              </w:rPr>
            </w:pPr>
            <w:r w:rsidRPr="00F37627">
              <w:rPr>
                <w:rFonts w:ascii="Arial" w:hAnsi="Arial" w:cs="Arial"/>
              </w:rPr>
              <w:t>Broj</w:t>
            </w:r>
          </w:p>
        </w:tc>
        <w:tc>
          <w:tcPr>
            <w:tcW w:w="1114" w:type="dxa"/>
          </w:tcPr>
          <w:p w:rsidR="00D849AA" w:rsidRPr="00F37627" w:rsidRDefault="00EE6D95">
            <w:pPr>
              <w:rPr>
                <w:rFonts w:ascii="Arial" w:hAnsi="Arial" w:cs="Arial"/>
              </w:rPr>
            </w:pPr>
            <w:r w:rsidRPr="00F37627">
              <w:rPr>
                <w:rFonts w:ascii="Arial" w:hAnsi="Arial" w:cs="Arial"/>
              </w:rPr>
              <w:t>100</w:t>
            </w:r>
          </w:p>
        </w:tc>
        <w:tc>
          <w:tcPr>
            <w:tcW w:w="1486" w:type="dxa"/>
          </w:tcPr>
          <w:p w:rsidR="00D849AA" w:rsidRPr="00F37627" w:rsidRDefault="00EE6D95">
            <w:pPr>
              <w:rPr>
                <w:rFonts w:ascii="Arial" w:hAnsi="Arial" w:cs="Arial"/>
              </w:rPr>
            </w:pPr>
            <w:r w:rsidRPr="00F37627">
              <w:rPr>
                <w:rFonts w:ascii="Arial" w:hAnsi="Arial" w:cs="Arial"/>
              </w:rPr>
              <w:t>120</w:t>
            </w:r>
          </w:p>
        </w:tc>
        <w:tc>
          <w:tcPr>
            <w:tcW w:w="1486" w:type="dxa"/>
          </w:tcPr>
          <w:p w:rsidR="00D849AA" w:rsidRPr="00F37627" w:rsidRDefault="00EE6D95">
            <w:pPr>
              <w:rPr>
                <w:rFonts w:ascii="Arial" w:hAnsi="Arial" w:cs="Arial"/>
              </w:rPr>
            </w:pPr>
            <w:r w:rsidRPr="00F37627">
              <w:rPr>
                <w:rFonts w:ascii="Arial" w:hAnsi="Arial" w:cs="Arial"/>
              </w:rPr>
              <w:t>120</w:t>
            </w:r>
          </w:p>
        </w:tc>
        <w:tc>
          <w:tcPr>
            <w:tcW w:w="1486" w:type="dxa"/>
          </w:tcPr>
          <w:p w:rsidR="00D849AA" w:rsidRPr="00F37627" w:rsidRDefault="00EE6D95">
            <w:pPr>
              <w:rPr>
                <w:rFonts w:ascii="Arial" w:hAnsi="Arial" w:cs="Arial"/>
              </w:rPr>
            </w:pPr>
            <w:r w:rsidRPr="00F37627">
              <w:rPr>
                <w:rFonts w:ascii="Arial" w:hAnsi="Arial" w:cs="Arial"/>
              </w:rPr>
              <w:t>120</w:t>
            </w:r>
          </w:p>
        </w:tc>
      </w:tr>
      <w:tr w:rsidR="00D849AA" w:rsidRPr="00F37627">
        <w:trPr>
          <w:jc w:val="center"/>
        </w:trPr>
        <w:tc>
          <w:tcPr>
            <w:tcW w:w="2229" w:type="dxa"/>
          </w:tcPr>
          <w:p w:rsidR="00D849AA" w:rsidRPr="00F37627" w:rsidRDefault="00EE6D95">
            <w:pPr>
              <w:pStyle w:val="CellColumn"/>
            </w:pPr>
            <w:r w:rsidRPr="00F37627">
              <w:t>Doneseni nacionalni zakonski i podzakonskih propisi za provedbu carinskih propisa EU</w:t>
            </w:r>
          </w:p>
        </w:tc>
        <w:tc>
          <w:tcPr>
            <w:tcW w:w="1114" w:type="dxa"/>
          </w:tcPr>
          <w:p w:rsidR="00D849AA" w:rsidRPr="00F37627" w:rsidRDefault="00EE6D95">
            <w:pPr>
              <w:rPr>
                <w:rFonts w:ascii="Arial" w:hAnsi="Arial" w:cs="Arial"/>
              </w:rPr>
            </w:pPr>
            <w:r w:rsidRPr="00F37627">
              <w:rPr>
                <w:rFonts w:ascii="Arial" w:hAnsi="Arial" w:cs="Arial"/>
              </w:rPr>
              <w:t>Broj</w:t>
            </w:r>
          </w:p>
        </w:tc>
        <w:tc>
          <w:tcPr>
            <w:tcW w:w="1114" w:type="dxa"/>
          </w:tcPr>
          <w:p w:rsidR="00D849AA" w:rsidRPr="00F37627" w:rsidRDefault="00EE6D95">
            <w:pPr>
              <w:rPr>
                <w:rFonts w:ascii="Arial" w:hAnsi="Arial" w:cs="Arial"/>
              </w:rPr>
            </w:pPr>
            <w:r w:rsidRPr="00F37627">
              <w:rPr>
                <w:rFonts w:ascii="Arial" w:hAnsi="Arial" w:cs="Arial"/>
              </w:rPr>
              <w:t>0</w:t>
            </w:r>
          </w:p>
        </w:tc>
        <w:tc>
          <w:tcPr>
            <w:tcW w:w="1486" w:type="dxa"/>
          </w:tcPr>
          <w:p w:rsidR="00D849AA" w:rsidRPr="00F37627" w:rsidRDefault="00EE6D95">
            <w:pPr>
              <w:rPr>
                <w:rFonts w:ascii="Arial" w:hAnsi="Arial" w:cs="Arial"/>
              </w:rPr>
            </w:pPr>
            <w:r w:rsidRPr="00F37627">
              <w:rPr>
                <w:rFonts w:ascii="Arial" w:hAnsi="Arial" w:cs="Arial"/>
              </w:rPr>
              <w:t>3</w:t>
            </w:r>
          </w:p>
        </w:tc>
        <w:tc>
          <w:tcPr>
            <w:tcW w:w="1486" w:type="dxa"/>
          </w:tcPr>
          <w:p w:rsidR="00D849AA" w:rsidRPr="00F37627" w:rsidRDefault="00EE6D95">
            <w:pPr>
              <w:rPr>
                <w:rFonts w:ascii="Arial" w:hAnsi="Arial" w:cs="Arial"/>
              </w:rPr>
            </w:pPr>
            <w:r w:rsidRPr="00F37627">
              <w:rPr>
                <w:rFonts w:ascii="Arial" w:hAnsi="Arial" w:cs="Arial"/>
              </w:rPr>
              <w:t>10</w:t>
            </w:r>
          </w:p>
        </w:tc>
        <w:tc>
          <w:tcPr>
            <w:tcW w:w="1486" w:type="dxa"/>
          </w:tcPr>
          <w:p w:rsidR="00D849AA" w:rsidRPr="00F37627" w:rsidRDefault="00EE6D95">
            <w:pPr>
              <w:rPr>
                <w:rFonts w:ascii="Arial" w:hAnsi="Arial" w:cs="Arial"/>
              </w:rPr>
            </w:pPr>
            <w:r w:rsidRPr="00F37627">
              <w:rPr>
                <w:rFonts w:ascii="Arial" w:hAnsi="Arial" w:cs="Arial"/>
              </w:rPr>
              <w:t>15</w:t>
            </w:r>
          </w:p>
        </w:tc>
      </w:tr>
    </w:tbl>
    <w:p w:rsidR="00D849AA" w:rsidRDefault="00D849AA">
      <w:pPr>
        <w:jc w:val="left"/>
      </w:pPr>
    </w:p>
    <w:p w:rsidR="00D849AA" w:rsidRDefault="00EE6D95">
      <w:pPr>
        <w:pStyle w:val="Naslov6"/>
      </w:pPr>
      <w:r>
        <w:lastRenderedPageBreak/>
        <w:t>A540005 ODRŽAVANJE INFORMACIJSKOG SUSTAVA CARINSKE UPRAVE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rsidRPr="00F37627">
        <w:trPr>
          <w:jc w:val="center"/>
        </w:trPr>
        <w:tc>
          <w:tcPr>
            <w:tcW w:w="1486" w:type="dxa"/>
            <w:shd w:val="clear" w:color="auto" w:fill="B5C0D8"/>
          </w:tcPr>
          <w:p w:rsidR="00D849AA" w:rsidRPr="00F37627" w:rsidRDefault="00EE6D95">
            <w:pPr>
              <w:pStyle w:val="CellHeader"/>
            </w:pPr>
            <w:r w:rsidRPr="00F37627">
              <w:t>Naziv aktivnosti</w:t>
            </w:r>
          </w:p>
        </w:tc>
        <w:tc>
          <w:tcPr>
            <w:tcW w:w="1486" w:type="dxa"/>
            <w:shd w:val="clear" w:color="auto" w:fill="B5C0D8"/>
          </w:tcPr>
          <w:p w:rsidR="00D849AA" w:rsidRPr="00F37627" w:rsidRDefault="00EE6D95">
            <w:pPr>
              <w:pStyle w:val="CellHeader"/>
            </w:pPr>
            <w:r w:rsidRPr="00F37627">
              <w:t>Plan 2013.</w:t>
            </w:r>
          </w:p>
        </w:tc>
        <w:tc>
          <w:tcPr>
            <w:tcW w:w="1486" w:type="dxa"/>
            <w:shd w:val="clear" w:color="auto" w:fill="B5C0D8"/>
          </w:tcPr>
          <w:p w:rsidR="00D849AA" w:rsidRPr="00F37627" w:rsidRDefault="00EE6D95">
            <w:pPr>
              <w:pStyle w:val="CellHeader"/>
            </w:pPr>
            <w:r w:rsidRPr="00F37627">
              <w:t>Plan 2014.</w:t>
            </w:r>
          </w:p>
        </w:tc>
        <w:tc>
          <w:tcPr>
            <w:tcW w:w="1486" w:type="dxa"/>
            <w:shd w:val="clear" w:color="auto" w:fill="B5C0D8"/>
          </w:tcPr>
          <w:p w:rsidR="00D849AA" w:rsidRPr="00F37627" w:rsidRDefault="00EE6D95">
            <w:pPr>
              <w:pStyle w:val="CellHeader"/>
            </w:pPr>
            <w:r w:rsidRPr="00F37627">
              <w:t>Plan 2015.</w:t>
            </w:r>
          </w:p>
        </w:tc>
        <w:tc>
          <w:tcPr>
            <w:tcW w:w="1486" w:type="dxa"/>
            <w:shd w:val="clear" w:color="auto" w:fill="B5C0D8"/>
          </w:tcPr>
          <w:p w:rsidR="00D849AA" w:rsidRPr="00F37627" w:rsidRDefault="00EE6D95">
            <w:pPr>
              <w:pStyle w:val="CellHeader"/>
            </w:pPr>
            <w:r w:rsidRPr="00F37627">
              <w:t>Plan 2016.</w:t>
            </w:r>
          </w:p>
        </w:tc>
        <w:tc>
          <w:tcPr>
            <w:tcW w:w="1486" w:type="dxa"/>
            <w:shd w:val="clear" w:color="auto" w:fill="B5C0D8"/>
          </w:tcPr>
          <w:p w:rsidR="00D849AA" w:rsidRPr="00F37627" w:rsidRDefault="00EE6D95">
            <w:pPr>
              <w:pStyle w:val="CellHeader"/>
            </w:pPr>
            <w:r w:rsidRPr="00F37627">
              <w:t>Indeks 2014/2013</w:t>
            </w:r>
          </w:p>
        </w:tc>
      </w:tr>
      <w:tr w:rsidR="00D849AA" w:rsidRPr="00F37627">
        <w:trPr>
          <w:jc w:val="center"/>
        </w:trPr>
        <w:tc>
          <w:tcPr>
            <w:tcW w:w="1486" w:type="dxa"/>
          </w:tcPr>
          <w:p w:rsidR="00D849AA" w:rsidRPr="00F37627" w:rsidRDefault="00EE6D95">
            <w:pPr>
              <w:pStyle w:val="CellColumn"/>
            </w:pPr>
            <w:r w:rsidRPr="00F37627">
              <w:t>A540005</w:t>
            </w:r>
          </w:p>
        </w:tc>
        <w:tc>
          <w:tcPr>
            <w:tcW w:w="1486" w:type="dxa"/>
          </w:tcPr>
          <w:p w:rsidR="00D849AA" w:rsidRPr="00F37627" w:rsidRDefault="00EE6D95">
            <w:pPr>
              <w:rPr>
                <w:rFonts w:ascii="Arial" w:hAnsi="Arial" w:cs="Arial"/>
              </w:rPr>
            </w:pPr>
            <w:r w:rsidRPr="00F37627">
              <w:rPr>
                <w:rFonts w:ascii="Arial" w:hAnsi="Arial" w:cs="Arial"/>
              </w:rPr>
              <w:t>123.691.344</w:t>
            </w:r>
          </w:p>
        </w:tc>
        <w:tc>
          <w:tcPr>
            <w:tcW w:w="1486" w:type="dxa"/>
          </w:tcPr>
          <w:p w:rsidR="00D849AA" w:rsidRPr="00F37627" w:rsidRDefault="00EE6D95">
            <w:pPr>
              <w:rPr>
                <w:rFonts w:ascii="Arial" w:hAnsi="Arial" w:cs="Arial"/>
              </w:rPr>
            </w:pPr>
            <w:r w:rsidRPr="00F37627">
              <w:rPr>
                <w:rFonts w:ascii="Arial" w:hAnsi="Arial" w:cs="Arial"/>
              </w:rPr>
              <w:t>157.042.000</w:t>
            </w:r>
          </w:p>
        </w:tc>
        <w:tc>
          <w:tcPr>
            <w:tcW w:w="1486" w:type="dxa"/>
          </w:tcPr>
          <w:p w:rsidR="00D849AA" w:rsidRPr="00F37627" w:rsidRDefault="00EE6D95">
            <w:pPr>
              <w:rPr>
                <w:rFonts w:ascii="Arial" w:hAnsi="Arial" w:cs="Arial"/>
              </w:rPr>
            </w:pPr>
            <w:r w:rsidRPr="00F37627">
              <w:rPr>
                <w:rFonts w:ascii="Arial" w:hAnsi="Arial" w:cs="Arial"/>
              </w:rPr>
              <w:t>164.940.000</w:t>
            </w:r>
          </w:p>
        </w:tc>
        <w:tc>
          <w:tcPr>
            <w:tcW w:w="1486" w:type="dxa"/>
          </w:tcPr>
          <w:p w:rsidR="00D849AA" w:rsidRPr="00F37627" w:rsidRDefault="00EE6D95">
            <w:pPr>
              <w:rPr>
                <w:rFonts w:ascii="Arial" w:hAnsi="Arial" w:cs="Arial"/>
              </w:rPr>
            </w:pPr>
            <w:r w:rsidRPr="00F37627">
              <w:rPr>
                <w:rFonts w:ascii="Arial" w:hAnsi="Arial" w:cs="Arial"/>
              </w:rPr>
              <w:t>155.841.000</w:t>
            </w:r>
          </w:p>
        </w:tc>
        <w:tc>
          <w:tcPr>
            <w:tcW w:w="1486" w:type="dxa"/>
          </w:tcPr>
          <w:p w:rsidR="00D849AA" w:rsidRPr="00F37627" w:rsidRDefault="00EE6D95">
            <w:pPr>
              <w:rPr>
                <w:rFonts w:ascii="Arial" w:hAnsi="Arial" w:cs="Arial"/>
              </w:rPr>
            </w:pPr>
            <w:r w:rsidRPr="00F37627">
              <w:rPr>
                <w:rFonts w:ascii="Arial" w:hAnsi="Arial" w:cs="Arial"/>
              </w:rPr>
              <w:t>127,0</w:t>
            </w:r>
          </w:p>
        </w:tc>
      </w:tr>
    </w:tbl>
    <w:p w:rsidR="00D849AA" w:rsidRPr="00F37627" w:rsidRDefault="00D849AA">
      <w:pPr>
        <w:jc w:val="left"/>
        <w:rPr>
          <w:rFonts w:ascii="Arial" w:hAnsi="Arial" w:cs="Arial"/>
        </w:rPr>
      </w:pPr>
    </w:p>
    <w:p w:rsidR="00D849AA" w:rsidRDefault="00EE6D95">
      <w:pPr>
        <w:pStyle w:val="Normal6"/>
      </w:pPr>
      <w:r>
        <w:t xml:space="preserve">Carinska uprava kao jedna od carinskih službi u Europskoj uniji i carinskoj uniji nedjeljivo je povezana s carinskim službama ostalih zemalja članica kroz siguran i integriran IT sustav koji osigurava interoperabilnost i interkonektivnost, koji omogućuje učinkovito i brže carinjenje te promet trošarinskih roba, smanjuje se administriranje, pridonosi se borbi protiv prijevara, organiziranog kriminala i terorizma, korupciji, zaštiti fiskalnih interesa, prava intelektualnog vlasništva, zaštiti zdravlja i okoliša uz istovremeno pojednostavnjenje carinskih procedura te smanjenje troškova gospodarstvenicima. Navedeno će se postići daljnjim kontinuiranim razvojem IT sustava kroz izgradnju servisno orijentirane arhitekture (SOA), odgovarajuće računalne i telekomunikacijske infrastrukture (ICT) informacijskog sustava Carinske uprave, te uspostavom odgovarajuće razine informacijske sigurnosti. </w:t>
      </w:r>
    </w:p>
    <w:p w:rsidR="00D849AA" w:rsidRDefault="00EE6D95">
      <w:pPr>
        <w:pStyle w:val="Normal6"/>
      </w:pPr>
      <w:r>
        <w:t xml:space="preserve">U okviru aktivnosti A540005 Održavanje informacijskog sustava Carinske uprave predviđa se daljnji razvoj i usklađivanje s EU specifikacijama za sustave: NCTS, EOS (EORI i AEO light), CS/RD i CS/MIS i CS/MISE, ECS, ICS, SEED, EMCS, a koji obuhvaća dodatni razvoj usklađivanja, testiranja usklađenosti i certificiranja, kao i poboljšanje/izmjene/dorade implementiranih funkcionalnosti. S tim u vezi nadogradnja ZIISC-a, a koji obuhvaća CCN/CSI, G2B, Help desk funkcionalnosti, te monitoring nad samim sustavom. Daljnji razvoj i nadogradnja Intrastat aplikacije, te aplikacije za evidenciju A i B računa. U odnosu na AIS daljnji razvoj i poboljšanje postojećih funkcionalnosti u odnosu na implementirane. Vezano uz područje trošarina i posebnih poreza daljnje usklađivanje aplikativnih podsustava s promjenama u legislativi, kao i poboljšanje postojećih implementiranih rješenja, te izgradnja izvještajnog sustava s tog područja. Prilagodba sustava bankovnih garancija EU sustavima, a koji koriste sustav upravljanja bankovnim garancijama. Vezano uz naplatu i knjigovodstvo daljnji razvoj funkcionalnosti aplikativnog podsustava uključujući prebacivanje svih funkcionalnosti sa stare baze podataka (IMS) na DB2 bazu podataka. Daljnji razvoj podsustava izvještavanja iz aplikativnih transakcijskih podsustava Informacijskog sustava Carinske uprave. Daljnji razvoj i unapređenje FMIS sustava, aplikacije za carinske prekršaje, aplikacije za carinski laboratorij. U odnosu na preuzimanje podataka od FINA-e daljnje unapređenje izvještajnog sustava za Plavi dizel. Također u odnosu na održavanje postojećeg sustava i nadograđenog sustava planira se i održavanje istog. </w:t>
      </w:r>
    </w:p>
    <w:p w:rsidR="00D849AA" w:rsidRDefault="00EE6D95">
      <w:pPr>
        <w:pStyle w:val="Normal6"/>
      </w:pPr>
      <w:r>
        <w:t xml:space="preserve">Nadalje, planira se daljnji razvoj i usklađivanje sustava ITMS s EU pravilima, uključujući održavanje; daljnji razvoj i nadogradnja postojećeg sustava upravljanjem rizikom s nadograđenim funkcionalnostima sustava s kojima se SAR povezuje, kao i daljnji razvoj funkcionalnosti samog SAR. </w:t>
      </w:r>
    </w:p>
    <w:p w:rsidR="00D849AA" w:rsidRDefault="00EE6D95">
      <w:pPr>
        <w:pStyle w:val="Normal6"/>
      </w:pPr>
      <w:r>
        <w:t xml:space="preserve">Vezano uz EU sustave važan aspekt odnosi se na sigurnost, te certificiranje nacionalnih aplikacija u pogledu usklađenosti s EU specifikacijama u odnosu na tehničke, funkcionalne i sigurnosne elemente. </w:t>
      </w:r>
    </w:p>
    <w:p w:rsidR="00D849AA" w:rsidRDefault="00EE6D95">
      <w:pPr>
        <w:pStyle w:val="Normal6"/>
      </w:pPr>
      <w:r>
        <w:t xml:space="preserve">U odnosu na pristupanje Republike Hrvatske Europskoj uniji potrebno je održavati web stranicu u skladu s EU praksom, te dostupnošću informacija sudionicima u carinskim i trošarinskim postupcima. </w:t>
      </w:r>
    </w:p>
    <w:p w:rsidR="00D849AA" w:rsidRDefault="00EE6D95">
      <w:pPr>
        <w:pStyle w:val="Normal6"/>
      </w:pPr>
      <w:r>
        <w:t xml:space="preserve">Implementacija e-pisarnice u niže ustrojstvene jedinice (područni carinski uredi i carinski uredi), te održavanje i razvoj novih funkcionalnosti. </w:t>
      </w:r>
    </w:p>
    <w:p w:rsidR="00D849AA" w:rsidRDefault="00EE6D95">
      <w:pPr>
        <w:pStyle w:val="Normal6"/>
      </w:pPr>
      <w:r>
        <w:lastRenderedPageBreak/>
        <w:t xml:space="preserve">Planira se implementacija POS uređaja na lokacije Carinske uprave i održavanje povezanosti s FINA-om; razvoj aplikativnog rješenja koji pokriva poslovne procese vezane uz inspekcijski nadzor, te održavanje istog; izgradnja aplikativnog rješenja kao podrška poslovnim procesima koji se odvijaju u carinskom laboratoriju. </w:t>
      </w:r>
    </w:p>
    <w:p w:rsidR="00D849AA" w:rsidRDefault="00EE6D95">
      <w:pPr>
        <w:pStyle w:val="Normal6"/>
      </w:pPr>
      <w:r>
        <w:t xml:space="preserve">Nadalje, u planu je razvoj daljnjih funkcionalnosti Intraneta i dostupnosti sadržaja; daljnja nadogradnja funkcionalnosti aplikacije za podršku poslovnih procesa Help deska i operativnog dežurstva, s planiranjem uključivanja i poslova ELO ureda; daljnje održavanje aplikacija vezanih uz QM, te eventualna nadogradnja sukladno poslovnim potrebama. </w:t>
      </w:r>
    </w:p>
    <w:p w:rsidR="00D849AA" w:rsidRDefault="00EE6D95">
      <w:pPr>
        <w:pStyle w:val="Normal6"/>
      </w:pPr>
      <w:r>
        <w:t xml:space="preserve">U stavci računalna oprema predviđena su osnovna sredstva vezano na nabavke za serversku infrastrukturu, uslijed ad hoc povećanja potrebnih serverskih i diskovnih kapaciteta. Potencijalno se kroz nove inicijative osjetila osnovna potreba za dodanim serverskim i diskovnim resursima na kojima će biti potrebno smjestiti sistemsku i aplikativnu podršku za nove inicijative. Pod novim inicijativama podrazumijevaju se dodatna aplikativna rješenja (podsustav pisarnice, dodatne aplikacije u okviru intraneta) koja će biti smještena na centralnoj komunikacijskoj lokaciji. Nabava računalne opreme planirana je i provodi se kroz IPA projekt, te se u 2014. planira zanavljanje računalne, printerske i MFU opreme, dok se nabavom iz proračunskih sredstava planiraju nadomjestiti dodatne potrebe Sektora za nadzor. </w:t>
      </w:r>
    </w:p>
    <w:p w:rsidR="00D849AA" w:rsidRDefault="00EE6D95">
      <w:pPr>
        <w:pStyle w:val="Normal6"/>
      </w:pPr>
      <w:r>
        <w:t xml:space="preserve">Analizom utroška hardware resursa za vmware, power i storage infrastrukturu vidljivo je da su pojedine komponente sustava 90 i više postotaka iskorištene te je nužno u narednom proračunskom razdoblju planirati sredstva za nabavku dodatnih serverskih i storage resursa. </w:t>
      </w:r>
    </w:p>
    <w:p w:rsidR="00D849AA" w:rsidRDefault="00EE6D95">
      <w:pPr>
        <w:pStyle w:val="Normal6"/>
      </w:pPr>
      <w:r>
        <w:t xml:space="preserve">IBM PureFlex nova blade tehnologija omogaćava skalabilnost, fleksibilnost i visoku hardware raspoloživost za intel i power servere te podržava rad sa svim hypervisorima (VMware, PowerVM, hyper-V). </w:t>
      </w:r>
    </w:p>
    <w:p w:rsidR="00D849AA" w:rsidRDefault="00EE6D95">
      <w:pPr>
        <w:pStyle w:val="Normal6"/>
      </w:pPr>
      <w:r>
        <w:t xml:space="preserve">Potrebna je i nabava IBM V7000 Unified storage-a za potrebe DFS, Citrix profile i Exchange mailbox-e, a u svrhu rasterećenja centralnog DS8800 storage-a koji bi se u budućnosti trebao koristiti isključivo za kritične carinske servise i aplikacije te virtualnu infrastrukturu. IBM V7000 Unified bi se također koristio za sve testne okoline i pilot projekte. IBM FlashRam 820 je storage komponenta čiji je zadatak onemogućiti u budućnosti bilo kakve probleme s storage performansama. Naime, na brzim FlashRam čipovima sve I/O operacije izvršavaju se stotine puta brže nego na klasičnim storage diskovima. Ova komponenta naročito će doći do izražaja za sve poslovne servise i transakcijske sustave kod kojih je udio write I/O operacija veći od 60%, kao što je npr. VDI. </w:t>
      </w:r>
    </w:p>
    <w:p w:rsidR="00D849AA" w:rsidRDefault="00EE6D95">
      <w:pPr>
        <w:pStyle w:val="Normal6"/>
      </w:pPr>
      <w:r>
        <w:t xml:space="preserve">Vezano uz nadogradnju SAN VDI infrastrukture, nadogradnja se odnosi samo na kupovinu SFP-ova za IBM bladecentre na kojima se nalazi postojeća VDI infrastruktura. Trenutno je na optičkim preklopnicima uključeno samo 12 vanjskih portova od ukupno 36. Zbog bolje propusnosti i skalabilnosti VDI optičke infrastrukture smatramo da je ova nadogradnja u budućnosti neophodna. </w:t>
      </w:r>
    </w:p>
    <w:p w:rsidR="00D849AA" w:rsidRDefault="00EE6D95">
      <w:pPr>
        <w:pStyle w:val="Normal6"/>
      </w:pPr>
      <w:r>
        <w:t xml:space="preserve">Zbog iznimno učestale i vrlo važne komunikacije sa centrima u Europskoj uniji i često održavanje konferencijskih poziva, predviđena su sredstva za opremanje jedne prostorije samo za održavanje konferencijskih poziva. Sredstva su predviđena za nabavu opreme za održavanje videokonferencija, koje su već uobičajene u komunikaciji sa Bruxellesom. </w:t>
      </w:r>
    </w:p>
    <w:p w:rsidR="00D849AA" w:rsidRDefault="00EE6D95">
      <w:pPr>
        <w:pStyle w:val="Normal6"/>
      </w:pPr>
      <w:r>
        <w:t xml:space="preserve">Vezano na uvođenje novog podsustava pisarnice, planirana su sredstva za nabavu skenera, barcode čitača i printera za barcode čitače. </w:t>
      </w:r>
    </w:p>
    <w:p w:rsidR="00D849AA" w:rsidRDefault="00EE6D95">
      <w:pPr>
        <w:pStyle w:val="Normal6"/>
      </w:pPr>
      <w:r>
        <w:t xml:space="preserve">U stavci komunikacijska oprema planirana su sredstva prije svega za relizaciju Wireless rješenja na BIP (Border Inspection Control) lokacijama, kao i Središnjem uredu, daljnji postupak zanavljanja mrežne opreme, povećanje razine sigurnosti te nabava IP telefona. </w:t>
      </w:r>
    </w:p>
    <w:p w:rsidR="00D849AA" w:rsidRDefault="00EE6D95">
      <w:pPr>
        <w:pStyle w:val="Normal6"/>
      </w:pPr>
      <w:r>
        <w:lastRenderedPageBreak/>
        <w:t xml:space="preserve">Sve veći broj tablet računala i pametnih telefona zahtjeva da sve veći broj poslovnih aplikacija bude raspoloživ upravo na tim uređajima. U kombinaciji s Wireless tehnologijom korisnici postaju potpuno mobilni u kompanijama, a posebice na mjestima poput graničnih prijelaza gdje je potrebno višestruko provjeravanje određenih podataka iz baze u trenutku kad zaposlenik obavlja određene radnje izvan standardnog radnog mjesta (za računalom). Osim navedenog, wireless tehnologija omogućava jednostavno i brzo dijeljenje mrežnih resursa na  vanjskim suradnicima na siguran i pouzdan način tj. bez potrebe rekonfiguracije fiksne infrastrukture. Na taj način bi se i vanjskim suradnicima (špediterima, gospodarskim subjektima) u određenoj formi i prema određenim uvjetima omogućio pristup uslugama Carinske uprave (neka forma "kiosk moda" na graničnim prijelazima), čime bi se gospodarskim subjektima olakšao pristup do usluga i servisa Carinske uprave.  </w:t>
      </w:r>
    </w:p>
    <w:p w:rsidR="00D849AA" w:rsidRDefault="00EE6D95">
      <w:pPr>
        <w:pStyle w:val="Normal6"/>
      </w:pPr>
      <w:r>
        <w:t xml:space="preserve">Uz pristup za zaposlene omogućen je i pristup za goste koji se može vremenski ograničiti te omogućiti pristup samo određenim točkama mreže – npr. na Internet.  </w:t>
      </w:r>
    </w:p>
    <w:p w:rsidR="00D849AA" w:rsidRDefault="00EE6D95">
      <w:pPr>
        <w:pStyle w:val="Normal6"/>
      </w:pPr>
      <w:r>
        <w:t xml:space="preserve">Planira se pokriti prostorije Središnjeg ureda te sljedeće granične prijelaze: Bajakovo, Nova sela, Gradiška, Karasovići, Aerodrom ZG i Neum (Zaton Doli). Na graničnim prijelazima će se koristiti i bežični IP telefoni, ukupno 10 komada.   </w:t>
      </w:r>
    </w:p>
    <w:p w:rsidR="00D849AA" w:rsidRDefault="00EE6D95">
      <w:pPr>
        <w:pStyle w:val="Normal6"/>
      </w:pPr>
      <w:r>
        <w:t xml:space="preserve">Za pokrivanje željenih lokacija sa bežičnom mrežom potrebno je 30 bežičnih pristupnih točaka. Isto tako, kako se radi o sigurnosno osjetljivom području pristupa, gdje je potrebno posebno obratiti pozornost na sigurnost informacijskog sustava, obzirom da se radi o graničnim područjima, planirana su sredstva vezano na sigurnost informacijskog sustava. </w:t>
      </w:r>
    </w:p>
    <w:p w:rsidR="00D849AA" w:rsidRDefault="00EE6D95">
      <w:pPr>
        <w:pStyle w:val="Normal6"/>
      </w:pPr>
      <w:r>
        <w:t xml:space="preserve">Nadalje vezano uz zanavljanje mrežne opreme obzirom da se je uslijed povećanih potreba resursa vezano na virtualizaciju, i kako bi se poboljšali uvjeti međukomunikacije između storage sustava, procijenjena je potreba povećanja kapaciteta i nadogradnja postojećih kapaciteta centralnih preklopnika na centralnoj komunikacijskoj lokaciji, te su planirana i predviđena sredstva za nabavu dodatnih optičkih modula. Ugradnjom modula povećala bi se propusnost na centralnim preklopnicima prema storage sustavima, i time poboljšao osjet rada u virtualnim okruženjima i podsustavima.  </w:t>
      </w:r>
    </w:p>
    <w:p w:rsidR="00D849AA" w:rsidRDefault="00EE6D95">
      <w:pPr>
        <w:pStyle w:val="Normal6"/>
      </w:pPr>
      <w:r>
        <w:t xml:space="preserve">Kako je veliki broj službenika Carinske uprave novim preustrojem, iz smjenskog rada na zapadnoj i sjevernoj granici agregiran u unutarnje carinske urede, te službenici sada rade u jednoj smjeni, veliki je pritisak za nabavom dodatne opreme i to prije svega IP telefona kako bi se pokrili nedostajući kapaciteti. Postojećom unutarnjom konsolidacijom opremljeni su novi uredi Odjela za Intrastat, kao i veliki carinski uredi ( Zagreb I i II i Krapina), Operativno komunikacijski centri prema regijama, mobilne jedinice Sektora za nadzor prema novima lokacijama i Središnji ured. Navedene ustrojstvene jedinice su opremljene unutarnjom konsolidacijom no konstantno prijavljuju daljnje potrebe za IP telefonima te su iz obrazloženog planirana dodatna sredstva za nabavu dodatnih uređaja. </w:t>
      </w:r>
    </w:p>
    <w:p w:rsidR="00D849AA" w:rsidRDefault="00EE6D95">
      <w:pPr>
        <w:pStyle w:val="Normal6"/>
      </w:pPr>
      <w:r>
        <w:t xml:space="preserve">Vezano na stavku nabava i održavanje SW licenci prije svega je naglasak na održavanju već postojećih kapaciteta licenci koje se koriste u Informacijskom sustavu Carinske uprave. Stoga bi se provodilo samo zanavljanje i produženje valjanosti licenci vezano na Citrix (virtualizacija aplikacija i računala), VMWare (virtualizacija servera), Xmedius Fax Server (slanje i primanje fax-a unutar mreže Carinske uprave, bez korištenje analognih linija). Nadalje biti će potrebno produžiti i valjanost Microsoft licenci (Windowsi, Office kao i Microsoft serveri). U navedenoj stavci očekuju se potencijalne uštede uslijed potpisivanja novog ugovora kao i promjena cijena i eventualno kapaciteta. </w:t>
      </w:r>
    </w:p>
    <w:p w:rsidR="00D849AA" w:rsidRDefault="00EE6D95">
      <w:pPr>
        <w:pStyle w:val="Normal6"/>
      </w:pPr>
      <w:r>
        <w:t xml:space="preserve">Povećana sredstava su planirana na stavkama TrendMicro (Antivirus i Antispam), Bluecoat i Ironport iz razloga povećanja kapaciteta na Virtualnoj korisničkoj infrastrukturi (virtualni desktopi i serveri). Obzirom da su provedbom nabava u 2013. godini nabavljani novi kapaciteti uređaja i licenci u ovom području u 2014. godini biti će potrebno obnoviti licence za nabavljene kapacitete. </w:t>
      </w:r>
    </w:p>
    <w:p w:rsidR="00D849AA" w:rsidRDefault="00EE6D95">
      <w:pPr>
        <w:pStyle w:val="Normal6"/>
      </w:pPr>
      <w:r>
        <w:lastRenderedPageBreak/>
        <w:t xml:space="preserve">Isto tako potrebno je planirati sredstva u stavci IBM (Tivoli, WebSphere, DB2, Maximo) za provedbu produženja valjanosti postojećih licenčnih prava. </w:t>
      </w:r>
    </w:p>
    <w:p w:rsidR="00D849AA" w:rsidRDefault="00EE6D95">
      <w:pPr>
        <w:pStyle w:val="Normal6"/>
      </w:pPr>
      <w:r>
        <w:t xml:space="preserve">Obzirom na izuzetnu poslovnu važnost ITMS sustava, predviđeno je da se tijekom 2014. godine počinje realizacija projekta u kojem će se svi elementi ITMS i MQ infrastrukture izgraditi s visokom raspoloživosti. Za to će biti potrebno kupiti dodatne IBM licence za MQ i WAS dok su AIX PowerHA licence već osigurane.  </w:t>
      </w:r>
    </w:p>
    <w:p w:rsidR="00D849AA" w:rsidRDefault="00EE6D95">
      <w:pPr>
        <w:pStyle w:val="Normal6"/>
      </w:pPr>
      <w:r>
        <w:t xml:space="preserve">Svi elementi Kontakt Centar infrastrukture u 2013. godini migrirani su i nalaze se na Cisco UCS hardwareu i VMware virtualnoj okolini. Obzirom na važnost sustava te potrebu za njegov brzi recovery u slučaju greške ili gubitka podataka, neophodno je nabaviti dodatne TSM licence kako bi se omogućio backup virtualnih servera na centralni TSM backup server. Nadalje, tijekom 2013. godine na VMware infrastrukturi kreirano je više važnih virtualnih servera koje je također potrebno adekvatno pohranjivati. </w:t>
      </w:r>
    </w:p>
    <w:p w:rsidR="00D849AA" w:rsidRDefault="00EE6D95">
      <w:pPr>
        <w:pStyle w:val="Normal6"/>
      </w:pPr>
      <w:r>
        <w:t xml:space="preserve">Pristupanjem Republike Hrvatske Europskoj uniji Carinska uprava treba u punoj funkcionalnosti uspostaviti sustav „Security &amp; Safety“ pa je nužno planirati i sredstva potrebna za njezin rad kao i nabavu posebnih analitičkih softvera. Također, potrebno je stalno usavršavanje sustava sukladno zahtjevima koje se postavljaju pred Carinsku upravu s obzirom na sigurnosni aspekt kontrole robe u svim vrstama prijevoza. </w:t>
      </w:r>
    </w:p>
    <w:p w:rsidR="00D849AA" w:rsidRDefault="00EE6D95">
      <w:pPr>
        <w:pStyle w:val="Normal6"/>
      </w:pPr>
      <w:r>
        <w:t xml:space="preserve">Povećanje je planirano za održavanje IBM storagea  iz razloga što u 2014. godini istječe garantni period DS8800 storage sustava čime će održavanje sustava, kvarove i popravke sustava biti potrebno planirati i ugovoriti unutarnjim resursima. DS8800 storage sustav je temeljni repozitorij za kritično važne aplikacije ITMS podsustava i rizik podsustava te je izuzetno važno kontinuirano voditi brigu o njegovoj dostupnosti i posljedično o održavanju. Isto tako je planirano održavanje HP EVA starog diskovnog podsustava.  </w:t>
      </w:r>
    </w:p>
    <w:p w:rsidR="00D849AA" w:rsidRDefault="00EE6D95">
      <w:pPr>
        <w:pStyle w:val="Normal6"/>
      </w:pPr>
      <w:r>
        <w:t xml:space="preserve">Planirana su sredstva za godišnje održavanje sistem sale vezano na dodatne radove potrebne izolacije, ali i konsolidacije komunikacijskih ormara i zavisnih podsustava.  </w:t>
      </w:r>
    </w:p>
    <w:p w:rsidR="00D849AA" w:rsidRDefault="00EE6D95">
      <w:pPr>
        <w:pStyle w:val="Normal6"/>
      </w:pPr>
      <w:r>
        <w:t xml:space="preserve">Planirana su sredstva za održavanje postojećih resursa klimatizacije i rezervnog napajanja na centralnoj i DR lokaciji. </w:t>
      </w:r>
    </w:p>
    <w:p w:rsidR="00D849AA" w:rsidRDefault="00EE6D95">
      <w:pPr>
        <w:pStyle w:val="Normal6"/>
      </w:pPr>
      <w:r>
        <w:t xml:space="preserve">Također, planirana su sredstva za korištenje i održavanje linkova (primarni i backup) za prijenos podataka i spajanje točaka mreže, lokacija Carinske uprave. </w:t>
      </w:r>
    </w:p>
    <w:p w:rsidR="00D849AA" w:rsidRDefault="00EE6D95">
      <w:pPr>
        <w:pStyle w:val="Normal6"/>
      </w:pPr>
      <w:r>
        <w:t>Isto tako, planirano je kontinuirano obrazovanje službenika i upoznavanje sa novim tehnologijama i projektnim metodama vođenja projekata. Obrazovanje sukladno ITIL metodologijama i procesima sa ciljem povećanja iskoristivosti i efikasnosti IT resursa.</w:t>
      </w:r>
    </w:p>
    <w:p w:rsidR="00B515E1" w:rsidRDefault="00B515E1">
      <w:pPr>
        <w:pStyle w:val="Normal6"/>
      </w:pP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F37627" w:rsidRDefault="00EE6D95">
            <w:pPr>
              <w:rPr>
                <w:rFonts w:ascii="Arial" w:hAnsi="Arial" w:cs="Arial"/>
              </w:rPr>
            </w:pPr>
            <w:r w:rsidRPr="00F37627">
              <w:rPr>
                <w:rFonts w:ascii="Arial" w:hAnsi="Arial" w:cs="Arial"/>
              </w:rPr>
              <w:t>Pokazatelj rezultata</w:t>
            </w:r>
          </w:p>
        </w:tc>
        <w:tc>
          <w:tcPr>
            <w:tcW w:w="1114" w:type="dxa"/>
            <w:shd w:val="clear" w:color="auto" w:fill="B5C0D8"/>
          </w:tcPr>
          <w:p w:rsidR="00D849AA" w:rsidRPr="00F37627" w:rsidRDefault="00EE6D95">
            <w:pPr>
              <w:pStyle w:val="CellHeader"/>
            </w:pPr>
            <w:r w:rsidRPr="00F37627">
              <w:t>Jedinica</w:t>
            </w:r>
          </w:p>
        </w:tc>
        <w:tc>
          <w:tcPr>
            <w:tcW w:w="1114" w:type="dxa"/>
            <w:shd w:val="clear" w:color="auto" w:fill="B5C0D8"/>
          </w:tcPr>
          <w:p w:rsidR="00D849AA" w:rsidRPr="00F37627" w:rsidRDefault="00EE6D95">
            <w:pPr>
              <w:pStyle w:val="CellHeader"/>
            </w:pPr>
            <w:r w:rsidRPr="00F37627">
              <w:t>Polazna vrijednost</w:t>
            </w:r>
          </w:p>
        </w:tc>
        <w:tc>
          <w:tcPr>
            <w:tcW w:w="1486" w:type="dxa"/>
            <w:shd w:val="clear" w:color="auto" w:fill="B5C0D8"/>
          </w:tcPr>
          <w:p w:rsidR="00D849AA" w:rsidRPr="00F37627" w:rsidRDefault="00EE6D95">
            <w:pPr>
              <w:pStyle w:val="CellHeader"/>
            </w:pPr>
            <w:r w:rsidRPr="00F37627">
              <w:t>Ciljana vrijednost (2014.)</w:t>
            </w:r>
          </w:p>
        </w:tc>
        <w:tc>
          <w:tcPr>
            <w:tcW w:w="1486" w:type="dxa"/>
            <w:shd w:val="clear" w:color="auto" w:fill="B5C0D8"/>
          </w:tcPr>
          <w:p w:rsidR="00D849AA" w:rsidRPr="00F37627" w:rsidRDefault="00EE6D95">
            <w:pPr>
              <w:pStyle w:val="CellHeader"/>
            </w:pPr>
            <w:r w:rsidRPr="00F37627">
              <w:t>Ciljana vrijednost (2015.)</w:t>
            </w:r>
          </w:p>
        </w:tc>
        <w:tc>
          <w:tcPr>
            <w:tcW w:w="1486" w:type="dxa"/>
            <w:shd w:val="clear" w:color="auto" w:fill="B5C0D8"/>
          </w:tcPr>
          <w:p w:rsidR="00D849AA" w:rsidRPr="00F37627" w:rsidRDefault="00EE6D95">
            <w:pPr>
              <w:pStyle w:val="CellHeader"/>
            </w:pPr>
            <w:r w:rsidRPr="00F37627">
              <w:t>Ciljana vrijednost (2016.)</w:t>
            </w:r>
          </w:p>
        </w:tc>
      </w:tr>
      <w:tr w:rsidR="00D849AA">
        <w:trPr>
          <w:jc w:val="center"/>
        </w:trPr>
        <w:tc>
          <w:tcPr>
            <w:tcW w:w="2229" w:type="dxa"/>
          </w:tcPr>
          <w:p w:rsidR="00D849AA" w:rsidRPr="00F37627" w:rsidRDefault="00EE6D95">
            <w:pPr>
              <w:pStyle w:val="CellColumn"/>
            </w:pPr>
            <w:r w:rsidRPr="00F37627">
              <w:t>Postotak predviđenih aplikacija</w:t>
            </w:r>
          </w:p>
        </w:tc>
        <w:tc>
          <w:tcPr>
            <w:tcW w:w="1114" w:type="dxa"/>
          </w:tcPr>
          <w:p w:rsidR="00D849AA" w:rsidRPr="00F37627" w:rsidRDefault="00EE6D95">
            <w:pPr>
              <w:rPr>
                <w:rFonts w:ascii="Arial" w:hAnsi="Arial" w:cs="Arial"/>
              </w:rPr>
            </w:pPr>
            <w:r w:rsidRPr="00F37627">
              <w:rPr>
                <w:rFonts w:ascii="Arial" w:hAnsi="Arial" w:cs="Arial"/>
              </w:rPr>
              <w:t>%</w:t>
            </w:r>
          </w:p>
        </w:tc>
        <w:tc>
          <w:tcPr>
            <w:tcW w:w="1114" w:type="dxa"/>
          </w:tcPr>
          <w:p w:rsidR="00D849AA" w:rsidRPr="00F37627" w:rsidRDefault="00EE6D95">
            <w:pPr>
              <w:rPr>
                <w:rFonts w:ascii="Arial" w:hAnsi="Arial" w:cs="Arial"/>
              </w:rPr>
            </w:pPr>
            <w:r w:rsidRPr="00F37627">
              <w:rPr>
                <w:rFonts w:ascii="Arial" w:hAnsi="Arial" w:cs="Arial"/>
              </w:rPr>
              <w:t>60</w:t>
            </w:r>
          </w:p>
        </w:tc>
        <w:tc>
          <w:tcPr>
            <w:tcW w:w="1486" w:type="dxa"/>
          </w:tcPr>
          <w:p w:rsidR="00D849AA" w:rsidRPr="00F37627" w:rsidRDefault="00EE6D95">
            <w:pPr>
              <w:rPr>
                <w:rFonts w:ascii="Arial" w:hAnsi="Arial" w:cs="Arial"/>
              </w:rPr>
            </w:pPr>
            <w:r w:rsidRPr="00F37627">
              <w:rPr>
                <w:rFonts w:ascii="Arial" w:hAnsi="Arial" w:cs="Arial"/>
              </w:rPr>
              <w:t>75</w:t>
            </w:r>
          </w:p>
        </w:tc>
        <w:tc>
          <w:tcPr>
            <w:tcW w:w="1486" w:type="dxa"/>
          </w:tcPr>
          <w:p w:rsidR="00D849AA" w:rsidRPr="00F37627" w:rsidRDefault="00EE6D95">
            <w:pPr>
              <w:rPr>
                <w:rFonts w:ascii="Arial" w:hAnsi="Arial" w:cs="Arial"/>
              </w:rPr>
            </w:pPr>
            <w:r w:rsidRPr="00F37627">
              <w:rPr>
                <w:rFonts w:ascii="Arial" w:hAnsi="Arial" w:cs="Arial"/>
              </w:rPr>
              <w:t>90</w:t>
            </w:r>
          </w:p>
        </w:tc>
        <w:tc>
          <w:tcPr>
            <w:tcW w:w="1486" w:type="dxa"/>
          </w:tcPr>
          <w:p w:rsidR="00D849AA" w:rsidRPr="00F37627" w:rsidRDefault="00EE6D95">
            <w:pPr>
              <w:rPr>
                <w:rFonts w:ascii="Arial" w:hAnsi="Arial" w:cs="Arial"/>
              </w:rPr>
            </w:pPr>
            <w:r w:rsidRPr="00F37627">
              <w:rPr>
                <w:rFonts w:ascii="Arial" w:hAnsi="Arial" w:cs="Arial"/>
              </w:rPr>
              <w:t>100</w:t>
            </w:r>
          </w:p>
        </w:tc>
      </w:tr>
      <w:tr w:rsidR="00D849AA">
        <w:trPr>
          <w:jc w:val="center"/>
        </w:trPr>
        <w:tc>
          <w:tcPr>
            <w:tcW w:w="2229" w:type="dxa"/>
          </w:tcPr>
          <w:p w:rsidR="00D849AA" w:rsidRPr="00F37627" w:rsidRDefault="00EE6D95">
            <w:pPr>
              <w:pStyle w:val="CellColumn"/>
            </w:pPr>
            <w:r w:rsidRPr="00F37627">
              <w:t>Razvijen IT sustav koji udovoljava nacionalnim i EU zahtjevima</w:t>
            </w:r>
          </w:p>
        </w:tc>
        <w:tc>
          <w:tcPr>
            <w:tcW w:w="1114" w:type="dxa"/>
          </w:tcPr>
          <w:p w:rsidR="00D849AA" w:rsidRPr="00F37627" w:rsidRDefault="00EE6D95">
            <w:pPr>
              <w:rPr>
                <w:rFonts w:ascii="Arial" w:hAnsi="Arial" w:cs="Arial"/>
              </w:rPr>
            </w:pPr>
            <w:r w:rsidRPr="00F37627">
              <w:rPr>
                <w:rFonts w:ascii="Arial" w:hAnsi="Arial" w:cs="Arial"/>
              </w:rPr>
              <w:t>%</w:t>
            </w:r>
          </w:p>
        </w:tc>
        <w:tc>
          <w:tcPr>
            <w:tcW w:w="1114" w:type="dxa"/>
          </w:tcPr>
          <w:p w:rsidR="00D849AA" w:rsidRPr="00F37627" w:rsidRDefault="00EE6D95">
            <w:pPr>
              <w:rPr>
                <w:rFonts w:ascii="Arial" w:hAnsi="Arial" w:cs="Arial"/>
              </w:rPr>
            </w:pPr>
            <w:r w:rsidRPr="00F37627">
              <w:rPr>
                <w:rFonts w:ascii="Arial" w:hAnsi="Arial" w:cs="Arial"/>
              </w:rPr>
              <w:t>60</w:t>
            </w:r>
          </w:p>
        </w:tc>
        <w:tc>
          <w:tcPr>
            <w:tcW w:w="1486" w:type="dxa"/>
          </w:tcPr>
          <w:p w:rsidR="00D849AA" w:rsidRPr="00F37627" w:rsidRDefault="00EE6D95">
            <w:pPr>
              <w:rPr>
                <w:rFonts w:ascii="Arial" w:hAnsi="Arial" w:cs="Arial"/>
              </w:rPr>
            </w:pPr>
            <w:r w:rsidRPr="00F37627">
              <w:rPr>
                <w:rFonts w:ascii="Arial" w:hAnsi="Arial" w:cs="Arial"/>
              </w:rPr>
              <w:t>75</w:t>
            </w:r>
          </w:p>
        </w:tc>
        <w:tc>
          <w:tcPr>
            <w:tcW w:w="1486" w:type="dxa"/>
          </w:tcPr>
          <w:p w:rsidR="00D849AA" w:rsidRPr="00F37627" w:rsidRDefault="00EE6D95">
            <w:pPr>
              <w:rPr>
                <w:rFonts w:ascii="Arial" w:hAnsi="Arial" w:cs="Arial"/>
              </w:rPr>
            </w:pPr>
            <w:r w:rsidRPr="00F37627">
              <w:rPr>
                <w:rFonts w:ascii="Arial" w:hAnsi="Arial" w:cs="Arial"/>
              </w:rPr>
              <w:t>90</w:t>
            </w:r>
          </w:p>
        </w:tc>
        <w:tc>
          <w:tcPr>
            <w:tcW w:w="1486" w:type="dxa"/>
          </w:tcPr>
          <w:p w:rsidR="00D849AA" w:rsidRPr="00F37627" w:rsidRDefault="00EE6D95">
            <w:pPr>
              <w:rPr>
                <w:rFonts w:ascii="Arial" w:hAnsi="Arial" w:cs="Arial"/>
              </w:rPr>
            </w:pPr>
            <w:r w:rsidRPr="00F37627">
              <w:rPr>
                <w:rFonts w:ascii="Arial" w:hAnsi="Arial" w:cs="Arial"/>
              </w:rPr>
              <w:t>100</w:t>
            </w:r>
          </w:p>
        </w:tc>
      </w:tr>
      <w:tr w:rsidR="00D849AA">
        <w:trPr>
          <w:jc w:val="center"/>
        </w:trPr>
        <w:tc>
          <w:tcPr>
            <w:tcW w:w="2229" w:type="dxa"/>
          </w:tcPr>
          <w:p w:rsidR="00D849AA" w:rsidRPr="00F37627" w:rsidRDefault="00EE6D95">
            <w:pPr>
              <w:pStyle w:val="CellColumn"/>
            </w:pPr>
            <w:r w:rsidRPr="00F37627">
              <w:t>Uspostavljena informacijska sigurnost</w:t>
            </w:r>
          </w:p>
        </w:tc>
        <w:tc>
          <w:tcPr>
            <w:tcW w:w="1114" w:type="dxa"/>
          </w:tcPr>
          <w:p w:rsidR="00D849AA" w:rsidRPr="00F37627" w:rsidRDefault="00EE6D95">
            <w:pPr>
              <w:rPr>
                <w:rFonts w:ascii="Arial" w:hAnsi="Arial" w:cs="Arial"/>
              </w:rPr>
            </w:pPr>
            <w:r w:rsidRPr="00F37627">
              <w:rPr>
                <w:rFonts w:ascii="Arial" w:hAnsi="Arial" w:cs="Arial"/>
              </w:rPr>
              <w:t>%</w:t>
            </w:r>
          </w:p>
        </w:tc>
        <w:tc>
          <w:tcPr>
            <w:tcW w:w="1114" w:type="dxa"/>
          </w:tcPr>
          <w:p w:rsidR="00D849AA" w:rsidRPr="00F37627" w:rsidRDefault="00EE6D95">
            <w:pPr>
              <w:rPr>
                <w:rFonts w:ascii="Arial" w:hAnsi="Arial" w:cs="Arial"/>
              </w:rPr>
            </w:pPr>
            <w:r w:rsidRPr="00F37627">
              <w:rPr>
                <w:rFonts w:ascii="Arial" w:hAnsi="Arial" w:cs="Arial"/>
              </w:rPr>
              <w:t>60</w:t>
            </w:r>
          </w:p>
        </w:tc>
        <w:tc>
          <w:tcPr>
            <w:tcW w:w="1486" w:type="dxa"/>
          </w:tcPr>
          <w:p w:rsidR="00D849AA" w:rsidRPr="00F37627" w:rsidRDefault="00EE6D95">
            <w:pPr>
              <w:rPr>
                <w:rFonts w:ascii="Arial" w:hAnsi="Arial" w:cs="Arial"/>
              </w:rPr>
            </w:pPr>
            <w:r w:rsidRPr="00F37627">
              <w:rPr>
                <w:rFonts w:ascii="Arial" w:hAnsi="Arial" w:cs="Arial"/>
              </w:rPr>
              <w:t>75</w:t>
            </w:r>
          </w:p>
        </w:tc>
        <w:tc>
          <w:tcPr>
            <w:tcW w:w="1486" w:type="dxa"/>
          </w:tcPr>
          <w:p w:rsidR="00D849AA" w:rsidRPr="00F37627" w:rsidRDefault="00EE6D95">
            <w:pPr>
              <w:rPr>
                <w:rFonts w:ascii="Arial" w:hAnsi="Arial" w:cs="Arial"/>
              </w:rPr>
            </w:pPr>
            <w:r w:rsidRPr="00F37627">
              <w:rPr>
                <w:rFonts w:ascii="Arial" w:hAnsi="Arial" w:cs="Arial"/>
              </w:rPr>
              <w:t>90</w:t>
            </w:r>
          </w:p>
        </w:tc>
        <w:tc>
          <w:tcPr>
            <w:tcW w:w="1486" w:type="dxa"/>
          </w:tcPr>
          <w:p w:rsidR="00D849AA" w:rsidRPr="00F37627" w:rsidRDefault="00EE6D95">
            <w:pPr>
              <w:rPr>
                <w:rFonts w:ascii="Arial" w:hAnsi="Arial" w:cs="Arial"/>
              </w:rPr>
            </w:pPr>
            <w:r w:rsidRPr="00F37627">
              <w:rPr>
                <w:rFonts w:ascii="Arial" w:hAnsi="Arial" w:cs="Arial"/>
              </w:rPr>
              <w:t>100</w:t>
            </w:r>
          </w:p>
        </w:tc>
      </w:tr>
    </w:tbl>
    <w:p w:rsidR="00D849AA" w:rsidRDefault="00EE6D95">
      <w:pPr>
        <w:pStyle w:val="Naslov6"/>
      </w:pPr>
      <w:r>
        <w:lastRenderedPageBreak/>
        <w:t>A540031 IPA 2011 - USKLAĐIVANJE SUSTAVA NAKNADNIH KONTROLA SA STANDARDIMA EU</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F37627" w:rsidRDefault="00EE6D95">
            <w:pPr>
              <w:pStyle w:val="CellHeader"/>
            </w:pPr>
            <w:r w:rsidRPr="00F37627">
              <w:t>Naziv aktivnosti</w:t>
            </w:r>
          </w:p>
        </w:tc>
        <w:tc>
          <w:tcPr>
            <w:tcW w:w="1486" w:type="dxa"/>
            <w:shd w:val="clear" w:color="auto" w:fill="B5C0D8"/>
          </w:tcPr>
          <w:p w:rsidR="00D849AA" w:rsidRPr="00F37627" w:rsidRDefault="00EE6D95">
            <w:pPr>
              <w:pStyle w:val="CellHeader"/>
            </w:pPr>
            <w:r w:rsidRPr="00F37627">
              <w:t>Plan 2013.</w:t>
            </w:r>
          </w:p>
        </w:tc>
        <w:tc>
          <w:tcPr>
            <w:tcW w:w="1486" w:type="dxa"/>
            <w:shd w:val="clear" w:color="auto" w:fill="B5C0D8"/>
          </w:tcPr>
          <w:p w:rsidR="00D849AA" w:rsidRPr="00F37627" w:rsidRDefault="00EE6D95">
            <w:pPr>
              <w:pStyle w:val="CellHeader"/>
            </w:pPr>
            <w:r w:rsidRPr="00F37627">
              <w:t>Plan 2014.</w:t>
            </w:r>
          </w:p>
        </w:tc>
        <w:tc>
          <w:tcPr>
            <w:tcW w:w="1486" w:type="dxa"/>
            <w:shd w:val="clear" w:color="auto" w:fill="B5C0D8"/>
          </w:tcPr>
          <w:p w:rsidR="00D849AA" w:rsidRPr="00F37627" w:rsidRDefault="00EE6D95">
            <w:pPr>
              <w:pStyle w:val="CellHeader"/>
            </w:pPr>
            <w:r w:rsidRPr="00F37627">
              <w:t>Plan 2015.</w:t>
            </w:r>
          </w:p>
        </w:tc>
        <w:tc>
          <w:tcPr>
            <w:tcW w:w="1486" w:type="dxa"/>
            <w:shd w:val="clear" w:color="auto" w:fill="B5C0D8"/>
          </w:tcPr>
          <w:p w:rsidR="00D849AA" w:rsidRPr="00F37627" w:rsidRDefault="00EE6D95">
            <w:pPr>
              <w:pStyle w:val="CellHeader"/>
            </w:pPr>
            <w:r w:rsidRPr="00F37627">
              <w:t>Plan 2016.</w:t>
            </w:r>
          </w:p>
        </w:tc>
        <w:tc>
          <w:tcPr>
            <w:tcW w:w="1486" w:type="dxa"/>
            <w:shd w:val="clear" w:color="auto" w:fill="B5C0D8"/>
          </w:tcPr>
          <w:p w:rsidR="00D849AA" w:rsidRPr="00F37627" w:rsidRDefault="00EE6D95">
            <w:pPr>
              <w:pStyle w:val="CellHeader"/>
            </w:pPr>
            <w:r w:rsidRPr="00F37627">
              <w:t>Indeks 2014/2013</w:t>
            </w:r>
          </w:p>
        </w:tc>
      </w:tr>
      <w:tr w:rsidR="00D849AA">
        <w:trPr>
          <w:jc w:val="center"/>
        </w:trPr>
        <w:tc>
          <w:tcPr>
            <w:tcW w:w="1486" w:type="dxa"/>
          </w:tcPr>
          <w:p w:rsidR="00D849AA" w:rsidRPr="00F37627" w:rsidRDefault="00EE6D95">
            <w:pPr>
              <w:pStyle w:val="CellColumn"/>
            </w:pPr>
            <w:r w:rsidRPr="00F37627">
              <w:t>A540031</w:t>
            </w:r>
          </w:p>
        </w:tc>
        <w:tc>
          <w:tcPr>
            <w:tcW w:w="1486" w:type="dxa"/>
          </w:tcPr>
          <w:p w:rsidR="00D849AA" w:rsidRPr="00F37627" w:rsidRDefault="00EE6D95">
            <w:pPr>
              <w:rPr>
                <w:rFonts w:ascii="Arial" w:hAnsi="Arial" w:cs="Arial"/>
              </w:rPr>
            </w:pPr>
            <w:r w:rsidRPr="00F37627">
              <w:rPr>
                <w:rFonts w:ascii="Arial" w:hAnsi="Arial" w:cs="Arial"/>
              </w:rPr>
              <w:t>1.205.867</w:t>
            </w:r>
          </w:p>
        </w:tc>
        <w:tc>
          <w:tcPr>
            <w:tcW w:w="1486" w:type="dxa"/>
          </w:tcPr>
          <w:p w:rsidR="00D849AA" w:rsidRPr="00F37627" w:rsidRDefault="00EE6D95">
            <w:pPr>
              <w:rPr>
                <w:rFonts w:ascii="Arial" w:hAnsi="Arial" w:cs="Arial"/>
              </w:rPr>
            </w:pPr>
            <w:r w:rsidRPr="00F37627">
              <w:rPr>
                <w:rFonts w:ascii="Arial" w:hAnsi="Arial" w:cs="Arial"/>
              </w:rPr>
              <w:t>1.518.000</w:t>
            </w:r>
          </w:p>
        </w:tc>
        <w:tc>
          <w:tcPr>
            <w:tcW w:w="1486" w:type="dxa"/>
          </w:tcPr>
          <w:p w:rsidR="00D849AA" w:rsidRPr="00F37627" w:rsidRDefault="00EE6D95">
            <w:pPr>
              <w:rPr>
                <w:rFonts w:ascii="Arial" w:hAnsi="Arial" w:cs="Arial"/>
              </w:rPr>
            </w:pPr>
            <w:r w:rsidRPr="00F37627">
              <w:rPr>
                <w:rFonts w:ascii="Arial" w:hAnsi="Arial" w:cs="Arial"/>
              </w:rPr>
              <w:t>00</w:t>
            </w:r>
          </w:p>
        </w:tc>
        <w:tc>
          <w:tcPr>
            <w:tcW w:w="1486" w:type="dxa"/>
          </w:tcPr>
          <w:p w:rsidR="00D849AA" w:rsidRPr="00F37627" w:rsidRDefault="00EE6D95">
            <w:pPr>
              <w:rPr>
                <w:rFonts w:ascii="Arial" w:hAnsi="Arial" w:cs="Arial"/>
              </w:rPr>
            </w:pPr>
            <w:r w:rsidRPr="00F37627">
              <w:rPr>
                <w:rFonts w:ascii="Arial" w:hAnsi="Arial" w:cs="Arial"/>
              </w:rPr>
              <w:t>00</w:t>
            </w:r>
          </w:p>
        </w:tc>
        <w:tc>
          <w:tcPr>
            <w:tcW w:w="1486" w:type="dxa"/>
          </w:tcPr>
          <w:p w:rsidR="00D849AA" w:rsidRPr="00F37627" w:rsidRDefault="00EE6D95">
            <w:pPr>
              <w:rPr>
                <w:rFonts w:ascii="Arial" w:hAnsi="Arial" w:cs="Arial"/>
              </w:rPr>
            </w:pPr>
            <w:r w:rsidRPr="00F37627">
              <w:rPr>
                <w:rFonts w:ascii="Arial" w:hAnsi="Arial" w:cs="Arial"/>
              </w:rPr>
              <w:t>125,9</w:t>
            </w:r>
          </w:p>
        </w:tc>
      </w:tr>
    </w:tbl>
    <w:p w:rsidR="00D849AA" w:rsidRDefault="00D849AA">
      <w:pPr>
        <w:jc w:val="left"/>
      </w:pPr>
    </w:p>
    <w:p w:rsidR="00D849AA" w:rsidRDefault="00EE6D95">
      <w:pPr>
        <w:pStyle w:val="Normal6"/>
      </w:pPr>
      <w:r>
        <w:t>Projekt IPA 2011 – Usklađivanje sustava naknadnih kontrola sa standardima EU (twinning) provodi se temeljem Uredbe o objavi Sporazuma o financiranju između Vlade Republike Hrvatske i Europske komisije u vezi s nacionalnim programom za Hrvatsku u sklopu programa IPA – komponenta »Pomoć u tranziciji i izgradnja institucija« za 2011. godinu (NN MU br. 14/2011). Svrha ovog projekta je usklađivanje sustava kontrola nakon carinjenja sa najboljom praksom zemalja članica Europske unije.</w:t>
      </w:r>
    </w:p>
    <w:p w:rsidR="00B515E1" w:rsidRDefault="00B515E1">
      <w:pPr>
        <w:pStyle w:val="Normal6"/>
      </w:pP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F37627" w:rsidRDefault="00EE6D95">
            <w:pPr>
              <w:rPr>
                <w:rFonts w:ascii="Arial" w:hAnsi="Arial" w:cs="Arial"/>
              </w:rPr>
            </w:pPr>
            <w:r w:rsidRPr="00F37627">
              <w:rPr>
                <w:rFonts w:ascii="Arial" w:hAnsi="Arial" w:cs="Arial"/>
              </w:rPr>
              <w:t>Pokazatelj rezultata</w:t>
            </w:r>
          </w:p>
        </w:tc>
        <w:tc>
          <w:tcPr>
            <w:tcW w:w="1114" w:type="dxa"/>
            <w:shd w:val="clear" w:color="auto" w:fill="B5C0D8"/>
          </w:tcPr>
          <w:p w:rsidR="00D849AA" w:rsidRPr="00F37627" w:rsidRDefault="00EE6D95">
            <w:pPr>
              <w:pStyle w:val="CellHeader"/>
            </w:pPr>
            <w:r w:rsidRPr="00F37627">
              <w:t>Jedinica</w:t>
            </w:r>
          </w:p>
        </w:tc>
        <w:tc>
          <w:tcPr>
            <w:tcW w:w="1114" w:type="dxa"/>
            <w:shd w:val="clear" w:color="auto" w:fill="B5C0D8"/>
          </w:tcPr>
          <w:p w:rsidR="00D849AA" w:rsidRPr="00F37627" w:rsidRDefault="00EE6D95">
            <w:pPr>
              <w:pStyle w:val="CellHeader"/>
            </w:pPr>
            <w:r w:rsidRPr="00F37627">
              <w:t>Polazna vrijednost</w:t>
            </w:r>
          </w:p>
        </w:tc>
        <w:tc>
          <w:tcPr>
            <w:tcW w:w="1486" w:type="dxa"/>
            <w:shd w:val="clear" w:color="auto" w:fill="B5C0D8"/>
          </w:tcPr>
          <w:p w:rsidR="00D849AA" w:rsidRPr="00F37627" w:rsidRDefault="00EE6D95">
            <w:pPr>
              <w:pStyle w:val="CellHeader"/>
            </w:pPr>
            <w:r w:rsidRPr="00F37627">
              <w:t>Ciljana vrijednost (2014.)</w:t>
            </w:r>
          </w:p>
        </w:tc>
        <w:tc>
          <w:tcPr>
            <w:tcW w:w="1486" w:type="dxa"/>
            <w:shd w:val="clear" w:color="auto" w:fill="B5C0D8"/>
          </w:tcPr>
          <w:p w:rsidR="00D849AA" w:rsidRPr="00F37627" w:rsidRDefault="00EE6D95">
            <w:pPr>
              <w:pStyle w:val="CellHeader"/>
            </w:pPr>
            <w:r w:rsidRPr="00F37627">
              <w:t>Ciljana vrijednost (2015.)</w:t>
            </w:r>
          </w:p>
        </w:tc>
        <w:tc>
          <w:tcPr>
            <w:tcW w:w="1486" w:type="dxa"/>
            <w:shd w:val="clear" w:color="auto" w:fill="B5C0D8"/>
          </w:tcPr>
          <w:p w:rsidR="00D849AA" w:rsidRPr="00F37627" w:rsidRDefault="00EE6D95">
            <w:pPr>
              <w:pStyle w:val="CellHeader"/>
            </w:pPr>
            <w:r w:rsidRPr="00F37627">
              <w:t>Ciljana vrijednost (2016.)</w:t>
            </w:r>
          </w:p>
        </w:tc>
      </w:tr>
      <w:tr w:rsidR="00D849AA">
        <w:trPr>
          <w:jc w:val="center"/>
        </w:trPr>
        <w:tc>
          <w:tcPr>
            <w:tcW w:w="2229" w:type="dxa"/>
          </w:tcPr>
          <w:p w:rsidR="00D849AA" w:rsidRPr="00F37627" w:rsidRDefault="00EE6D95">
            <w:pPr>
              <w:pStyle w:val="CellColumn"/>
            </w:pPr>
            <w:r w:rsidRPr="00F37627">
              <w:t>Povećanje broja inspekcijskih nadzora i provjera</w:t>
            </w:r>
          </w:p>
        </w:tc>
        <w:tc>
          <w:tcPr>
            <w:tcW w:w="1114" w:type="dxa"/>
          </w:tcPr>
          <w:p w:rsidR="00D849AA" w:rsidRPr="00F37627" w:rsidRDefault="00EE6D95">
            <w:pPr>
              <w:rPr>
                <w:rFonts w:ascii="Arial" w:hAnsi="Arial" w:cs="Arial"/>
              </w:rPr>
            </w:pPr>
            <w:r w:rsidRPr="00F37627">
              <w:rPr>
                <w:rFonts w:ascii="Arial" w:hAnsi="Arial" w:cs="Arial"/>
              </w:rPr>
              <w:t>Broj</w:t>
            </w:r>
          </w:p>
        </w:tc>
        <w:tc>
          <w:tcPr>
            <w:tcW w:w="1114" w:type="dxa"/>
          </w:tcPr>
          <w:p w:rsidR="00D849AA" w:rsidRPr="00F37627" w:rsidRDefault="00EE6D95">
            <w:pPr>
              <w:rPr>
                <w:rFonts w:ascii="Arial" w:hAnsi="Arial" w:cs="Arial"/>
              </w:rPr>
            </w:pPr>
            <w:r w:rsidRPr="00F37627">
              <w:rPr>
                <w:rFonts w:ascii="Arial" w:hAnsi="Arial" w:cs="Arial"/>
              </w:rPr>
              <w:t>1.800</w:t>
            </w:r>
          </w:p>
        </w:tc>
        <w:tc>
          <w:tcPr>
            <w:tcW w:w="1486" w:type="dxa"/>
          </w:tcPr>
          <w:p w:rsidR="00D849AA" w:rsidRPr="00F37627" w:rsidRDefault="00EE6D95">
            <w:pPr>
              <w:rPr>
                <w:rFonts w:ascii="Arial" w:hAnsi="Arial" w:cs="Arial"/>
              </w:rPr>
            </w:pPr>
            <w:r w:rsidRPr="00F37627">
              <w:rPr>
                <w:rFonts w:ascii="Arial" w:hAnsi="Arial" w:cs="Arial"/>
              </w:rPr>
              <w:t>1.900</w:t>
            </w:r>
          </w:p>
        </w:tc>
        <w:tc>
          <w:tcPr>
            <w:tcW w:w="1486" w:type="dxa"/>
          </w:tcPr>
          <w:p w:rsidR="00D849AA" w:rsidRPr="00F37627" w:rsidRDefault="00EE6D95">
            <w:pPr>
              <w:rPr>
                <w:rFonts w:ascii="Arial" w:hAnsi="Arial" w:cs="Arial"/>
              </w:rPr>
            </w:pPr>
            <w:r w:rsidRPr="00F37627">
              <w:rPr>
                <w:rFonts w:ascii="Arial" w:hAnsi="Arial" w:cs="Arial"/>
              </w:rPr>
              <w:t>2.000</w:t>
            </w:r>
          </w:p>
        </w:tc>
        <w:tc>
          <w:tcPr>
            <w:tcW w:w="1486" w:type="dxa"/>
          </w:tcPr>
          <w:p w:rsidR="00D849AA" w:rsidRPr="00F37627" w:rsidRDefault="00EE6D95">
            <w:pPr>
              <w:rPr>
                <w:rFonts w:ascii="Arial" w:hAnsi="Arial" w:cs="Arial"/>
              </w:rPr>
            </w:pPr>
            <w:r w:rsidRPr="00F37627">
              <w:rPr>
                <w:rFonts w:ascii="Arial" w:hAnsi="Arial" w:cs="Arial"/>
              </w:rPr>
              <w:t>2.050</w:t>
            </w:r>
          </w:p>
        </w:tc>
      </w:tr>
    </w:tbl>
    <w:p w:rsidR="00D849AA" w:rsidRDefault="00D849AA">
      <w:pPr>
        <w:jc w:val="left"/>
      </w:pPr>
    </w:p>
    <w:p w:rsidR="00D849AA" w:rsidRDefault="00EE6D95">
      <w:pPr>
        <w:pStyle w:val="Naslov6"/>
      </w:pPr>
      <w:r>
        <w:t>A540036 CUSTOMS 2020</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F37627" w:rsidRDefault="00EE6D95">
            <w:pPr>
              <w:pStyle w:val="CellHeader"/>
            </w:pPr>
            <w:r w:rsidRPr="00F37627">
              <w:t>Naziv aktivnosti</w:t>
            </w:r>
          </w:p>
        </w:tc>
        <w:tc>
          <w:tcPr>
            <w:tcW w:w="1486" w:type="dxa"/>
            <w:shd w:val="clear" w:color="auto" w:fill="B5C0D8"/>
          </w:tcPr>
          <w:p w:rsidR="00D849AA" w:rsidRPr="00F37627" w:rsidRDefault="00EE6D95">
            <w:pPr>
              <w:pStyle w:val="CellHeader"/>
            </w:pPr>
            <w:r w:rsidRPr="00F37627">
              <w:t>Plan 2013.</w:t>
            </w:r>
          </w:p>
        </w:tc>
        <w:tc>
          <w:tcPr>
            <w:tcW w:w="1486" w:type="dxa"/>
            <w:shd w:val="clear" w:color="auto" w:fill="B5C0D8"/>
          </w:tcPr>
          <w:p w:rsidR="00D849AA" w:rsidRPr="00F37627" w:rsidRDefault="00EE6D95">
            <w:pPr>
              <w:pStyle w:val="CellHeader"/>
            </w:pPr>
            <w:r w:rsidRPr="00F37627">
              <w:t>Plan 2014.</w:t>
            </w:r>
          </w:p>
        </w:tc>
        <w:tc>
          <w:tcPr>
            <w:tcW w:w="1486" w:type="dxa"/>
            <w:shd w:val="clear" w:color="auto" w:fill="B5C0D8"/>
          </w:tcPr>
          <w:p w:rsidR="00D849AA" w:rsidRPr="00F37627" w:rsidRDefault="00EE6D95">
            <w:pPr>
              <w:pStyle w:val="CellHeader"/>
            </w:pPr>
            <w:r w:rsidRPr="00F37627">
              <w:t>Plan 2015.</w:t>
            </w:r>
          </w:p>
        </w:tc>
        <w:tc>
          <w:tcPr>
            <w:tcW w:w="1486" w:type="dxa"/>
            <w:shd w:val="clear" w:color="auto" w:fill="B5C0D8"/>
          </w:tcPr>
          <w:p w:rsidR="00D849AA" w:rsidRPr="00F37627" w:rsidRDefault="00EE6D95">
            <w:pPr>
              <w:pStyle w:val="CellHeader"/>
            </w:pPr>
            <w:r w:rsidRPr="00F37627">
              <w:t>Plan 2016.</w:t>
            </w:r>
          </w:p>
        </w:tc>
        <w:tc>
          <w:tcPr>
            <w:tcW w:w="1486" w:type="dxa"/>
            <w:shd w:val="clear" w:color="auto" w:fill="B5C0D8"/>
          </w:tcPr>
          <w:p w:rsidR="00D849AA" w:rsidRPr="00F37627" w:rsidRDefault="00EE6D95">
            <w:pPr>
              <w:pStyle w:val="CellHeader"/>
            </w:pPr>
            <w:r w:rsidRPr="00F37627">
              <w:t>Indeks 2014/2013</w:t>
            </w:r>
          </w:p>
        </w:tc>
      </w:tr>
      <w:tr w:rsidR="00D849AA">
        <w:trPr>
          <w:jc w:val="center"/>
        </w:trPr>
        <w:tc>
          <w:tcPr>
            <w:tcW w:w="1486" w:type="dxa"/>
          </w:tcPr>
          <w:p w:rsidR="00D849AA" w:rsidRPr="00F37627" w:rsidRDefault="00EE6D95">
            <w:pPr>
              <w:pStyle w:val="CellColumn"/>
            </w:pPr>
            <w:r w:rsidRPr="00F37627">
              <w:t>A540036</w:t>
            </w:r>
          </w:p>
        </w:tc>
        <w:tc>
          <w:tcPr>
            <w:tcW w:w="1486" w:type="dxa"/>
          </w:tcPr>
          <w:p w:rsidR="00D849AA" w:rsidRPr="00F37627" w:rsidRDefault="00EE6D95">
            <w:pPr>
              <w:rPr>
                <w:rFonts w:ascii="Arial" w:hAnsi="Arial" w:cs="Arial"/>
              </w:rPr>
            </w:pPr>
            <w:r w:rsidRPr="00F37627">
              <w:rPr>
                <w:rFonts w:ascii="Arial" w:hAnsi="Arial" w:cs="Arial"/>
              </w:rPr>
              <w:t>00</w:t>
            </w:r>
          </w:p>
        </w:tc>
        <w:tc>
          <w:tcPr>
            <w:tcW w:w="1486" w:type="dxa"/>
          </w:tcPr>
          <w:p w:rsidR="00D849AA" w:rsidRPr="00F37627" w:rsidRDefault="00EE6D95">
            <w:pPr>
              <w:rPr>
                <w:rFonts w:ascii="Arial" w:hAnsi="Arial" w:cs="Arial"/>
              </w:rPr>
            </w:pPr>
            <w:r w:rsidRPr="00F37627">
              <w:rPr>
                <w:rFonts w:ascii="Arial" w:hAnsi="Arial" w:cs="Arial"/>
              </w:rPr>
              <w:t>608.000</w:t>
            </w:r>
          </w:p>
        </w:tc>
        <w:tc>
          <w:tcPr>
            <w:tcW w:w="1486" w:type="dxa"/>
          </w:tcPr>
          <w:p w:rsidR="00D849AA" w:rsidRPr="00F37627" w:rsidRDefault="00EE6D95">
            <w:pPr>
              <w:rPr>
                <w:rFonts w:ascii="Arial" w:hAnsi="Arial" w:cs="Arial"/>
              </w:rPr>
            </w:pPr>
            <w:r w:rsidRPr="00F37627">
              <w:rPr>
                <w:rFonts w:ascii="Arial" w:hAnsi="Arial" w:cs="Arial"/>
              </w:rPr>
              <w:t>00</w:t>
            </w:r>
          </w:p>
        </w:tc>
        <w:tc>
          <w:tcPr>
            <w:tcW w:w="1486" w:type="dxa"/>
          </w:tcPr>
          <w:p w:rsidR="00D849AA" w:rsidRPr="00F37627" w:rsidRDefault="00EE6D95">
            <w:pPr>
              <w:rPr>
                <w:rFonts w:ascii="Arial" w:hAnsi="Arial" w:cs="Arial"/>
              </w:rPr>
            </w:pPr>
            <w:r w:rsidRPr="00F37627">
              <w:rPr>
                <w:rFonts w:ascii="Arial" w:hAnsi="Arial" w:cs="Arial"/>
              </w:rPr>
              <w:t>00</w:t>
            </w:r>
          </w:p>
        </w:tc>
        <w:tc>
          <w:tcPr>
            <w:tcW w:w="1486" w:type="dxa"/>
          </w:tcPr>
          <w:p w:rsidR="00D849AA" w:rsidRPr="00F37627" w:rsidRDefault="00EE6D95">
            <w:pPr>
              <w:rPr>
                <w:rFonts w:ascii="Arial" w:hAnsi="Arial" w:cs="Arial"/>
              </w:rPr>
            </w:pPr>
            <w:r w:rsidRPr="00F37627">
              <w:rPr>
                <w:rFonts w:ascii="Arial" w:hAnsi="Arial" w:cs="Arial"/>
              </w:rPr>
              <w:t>0,0</w:t>
            </w:r>
          </w:p>
        </w:tc>
      </w:tr>
    </w:tbl>
    <w:p w:rsidR="00D849AA" w:rsidRDefault="00D849AA">
      <w:pPr>
        <w:jc w:val="left"/>
      </w:pPr>
    </w:p>
    <w:p w:rsidR="00D849AA" w:rsidRDefault="00EE6D95">
      <w:pPr>
        <w:pStyle w:val="Normal6"/>
      </w:pPr>
      <w:r>
        <w:t xml:space="preserve">Sukladno dodatku I. Memoranduma o razumijevanju između Republike Hrvatske i Europske komisije u pogledu sudjelovanja Republike Hrvatske u Programu Zajednice Customs 2007, koji je stupio na snagu 03. siječnja 2007. (NN MU br. 11/2006), a koji se primjenjuje i na Program Customs 2013,  Carinska uprava Republike Hrvatske sudjeluje u navedenom programu.  </w:t>
      </w:r>
    </w:p>
    <w:p w:rsidR="00D849AA" w:rsidRDefault="00EE6D95">
      <w:pPr>
        <w:pStyle w:val="Normal6"/>
      </w:pPr>
      <w:r>
        <w:t>Europska unija planira početkom 2014. godine donijeti novi sedmogodišnji program Customs 2020 te će se na osnovi njega potpisivati daljnje ugovore za bespovratno financiranje sredstava, namjena kojih je podmirivanje putnih troškova i troškova dnevnica za hrvatske predstavnike i stručnjake u svrhu sudjelovanja u radu odbora na koje se upućuju te drugih sastanaka vezanih uz provedbu Programa.</w:t>
      </w:r>
    </w:p>
    <w:p w:rsidR="00D849AA" w:rsidRDefault="00EE6D95">
      <w:pPr>
        <w:pStyle w:val="Naslov6"/>
      </w:pPr>
      <w:r>
        <w:t>K310009 MODERNIZACIJA I OPREMANJE CARINSKE UPRAVE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A5008D" w:rsidRDefault="00EE6D95">
            <w:pPr>
              <w:pStyle w:val="CellHeader"/>
            </w:pPr>
            <w:r w:rsidRPr="00A5008D">
              <w:t>Naziv aktivnosti</w:t>
            </w:r>
          </w:p>
        </w:tc>
        <w:tc>
          <w:tcPr>
            <w:tcW w:w="1486" w:type="dxa"/>
            <w:shd w:val="clear" w:color="auto" w:fill="B5C0D8"/>
          </w:tcPr>
          <w:p w:rsidR="00D849AA" w:rsidRPr="00A5008D" w:rsidRDefault="00EE6D95">
            <w:pPr>
              <w:pStyle w:val="CellHeader"/>
            </w:pPr>
            <w:r w:rsidRPr="00A5008D">
              <w:t>Plan 2013.</w:t>
            </w:r>
          </w:p>
        </w:tc>
        <w:tc>
          <w:tcPr>
            <w:tcW w:w="1486" w:type="dxa"/>
            <w:shd w:val="clear" w:color="auto" w:fill="B5C0D8"/>
          </w:tcPr>
          <w:p w:rsidR="00D849AA" w:rsidRPr="00A5008D" w:rsidRDefault="00EE6D95">
            <w:pPr>
              <w:pStyle w:val="CellHeader"/>
            </w:pPr>
            <w:r w:rsidRPr="00A5008D">
              <w:t>Plan 2014.</w:t>
            </w:r>
          </w:p>
        </w:tc>
        <w:tc>
          <w:tcPr>
            <w:tcW w:w="1486" w:type="dxa"/>
            <w:shd w:val="clear" w:color="auto" w:fill="B5C0D8"/>
          </w:tcPr>
          <w:p w:rsidR="00D849AA" w:rsidRPr="00A5008D" w:rsidRDefault="00EE6D95">
            <w:pPr>
              <w:pStyle w:val="CellHeader"/>
            </w:pPr>
            <w:r w:rsidRPr="00A5008D">
              <w:t>Plan 2015.</w:t>
            </w:r>
          </w:p>
        </w:tc>
        <w:tc>
          <w:tcPr>
            <w:tcW w:w="1486" w:type="dxa"/>
            <w:shd w:val="clear" w:color="auto" w:fill="B5C0D8"/>
          </w:tcPr>
          <w:p w:rsidR="00D849AA" w:rsidRPr="00A5008D" w:rsidRDefault="00EE6D95">
            <w:pPr>
              <w:pStyle w:val="CellHeader"/>
            </w:pPr>
            <w:r w:rsidRPr="00A5008D">
              <w:t>Plan 2016.</w:t>
            </w:r>
          </w:p>
        </w:tc>
        <w:tc>
          <w:tcPr>
            <w:tcW w:w="1486" w:type="dxa"/>
            <w:shd w:val="clear" w:color="auto" w:fill="B5C0D8"/>
          </w:tcPr>
          <w:p w:rsidR="00D849AA" w:rsidRPr="00A5008D" w:rsidRDefault="00EE6D95">
            <w:pPr>
              <w:pStyle w:val="CellHeader"/>
            </w:pPr>
            <w:r w:rsidRPr="00A5008D">
              <w:t>Indeks 2014/2013</w:t>
            </w:r>
          </w:p>
        </w:tc>
      </w:tr>
      <w:tr w:rsidR="00D849AA">
        <w:trPr>
          <w:jc w:val="center"/>
        </w:trPr>
        <w:tc>
          <w:tcPr>
            <w:tcW w:w="1486" w:type="dxa"/>
          </w:tcPr>
          <w:p w:rsidR="00D849AA" w:rsidRPr="00A5008D" w:rsidRDefault="00EE6D95">
            <w:pPr>
              <w:pStyle w:val="CellColumn"/>
            </w:pPr>
            <w:r w:rsidRPr="00A5008D">
              <w:t>K310009</w:t>
            </w:r>
          </w:p>
        </w:tc>
        <w:tc>
          <w:tcPr>
            <w:tcW w:w="1486" w:type="dxa"/>
          </w:tcPr>
          <w:p w:rsidR="00D849AA" w:rsidRPr="00A5008D" w:rsidRDefault="00EE6D95">
            <w:pPr>
              <w:rPr>
                <w:rFonts w:ascii="Arial" w:hAnsi="Arial" w:cs="Arial"/>
              </w:rPr>
            </w:pPr>
            <w:r w:rsidRPr="00A5008D">
              <w:rPr>
                <w:rFonts w:ascii="Arial" w:hAnsi="Arial" w:cs="Arial"/>
              </w:rPr>
              <w:t>6.107.831</w:t>
            </w:r>
          </w:p>
        </w:tc>
        <w:tc>
          <w:tcPr>
            <w:tcW w:w="1486" w:type="dxa"/>
          </w:tcPr>
          <w:p w:rsidR="00D849AA" w:rsidRPr="00A5008D" w:rsidRDefault="00EE6D95">
            <w:pPr>
              <w:rPr>
                <w:rFonts w:ascii="Arial" w:hAnsi="Arial" w:cs="Arial"/>
              </w:rPr>
            </w:pPr>
            <w:r w:rsidRPr="00A5008D">
              <w:rPr>
                <w:rFonts w:ascii="Arial" w:hAnsi="Arial" w:cs="Arial"/>
              </w:rPr>
              <w:t>10.826.500</w:t>
            </w:r>
          </w:p>
        </w:tc>
        <w:tc>
          <w:tcPr>
            <w:tcW w:w="1486" w:type="dxa"/>
          </w:tcPr>
          <w:p w:rsidR="00D849AA" w:rsidRPr="00A5008D" w:rsidRDefault="00EE6D95">
            <w:pPr>
              <w:rPr>
                <w:rFonts w:ascii="Arial" w:hAnsi="Arial" w:cs="Arial"/>
              </w:rPr>
            </w:pPr>
            <w:r w:rsidRPr="00A5008D">
              <w:rPr>
                <w:rFonts w:ascii="Arial" w:hAnsi="Arial" w:cs="Arial"/>
              </w:rPr>
              <w:t>8.719.000</w:t>
            </w:r>
          </w:p>
        </w:tc>
        <w:tc>
          <w:tcPr>
            <w:tcW w:w="1486" w:type="dxa"/>
          </w:tcPr>
          <w:p w:rsidR="00D849AA" w:rsidRPr="00A5008D" w:rsidRDefault="00EE6D95">
            <w:pPr>
              <w:rPr>
                <w:rFonts w:ascii="Arial" w:hAnsi="Arial" w:cs="Arial"/>
              </w:rPr>
            </w:pPr>
            <w:r w:rsidRPr="00A5008D">
              <w:rPr>
                <w:rFonts w:ascii="Arial" w:hAnsi="Arial" w:cs="Arial"/>
              </w:rPr>
              <w:t>5.390.000</w:t>
            </w:r>
          </w:p>
        </w:tc>
        <w:tc>
          <w:tcPr>
            <w:tcW w:w="1486" w:type="dxa"/>
          </w:tcPr>
          <w:p w:rsidR="00D849AA" w:rsidRPr="00A5008D" w:rsidRDefault="00EE6D95">
            <w:pPr>
              <w:rPr>
                <w:rFonts w:ascii="Arial" w:hAnsi="Arial" w:cs="Arial"/>
              </w:rPr>
            </w:pPr>
            <w:r w:rsidRPr="00A5008D">
              <w:rPr>
                <w:rFonts w:ascii="Arial" w:hAnsi="Arial" w:cs="Arial"/>
              </w:rPr>
              <w:t>177,2</w:t>
            </w:r>
          </w:p>
        </w:tc>
      </w:tr>
    </w:tbl>
    <w:p w:rsidR="00D849AA" w:rsidRDefault="00D849AA">
      <w:pPr>
        <w:jc w:val="left"/>
      </w:pPr>
    </w:p>
    <w:p w:rsidR="00D849AA" w:rsidRDefault="00EE6D95">
      <w:pPr>
        <w:pStyle w:val="Normal6"/>
      </w:pPr>
      <w:r>
        <w:lastRenderedPageBreak/>
        <w:t xml:space="preserve">U svrhu modernizacije Carinska uprava kontinuirano poduzima aktivnosti prema jačanju vlastitih administrativnih i operativnih kapaciteta.  </w:t>
      </w:r>
    </w:p>
    <w:p w:rsidR="00D849AA" w:rsidRDefault="00EE6D95">
      <w:pPr>
        <w:pStyle w:val="Normal6"/>
      </w:pPr>
      <w:r>
        <w:t xml:space="preserve">Nabava te kontinuirana modernizacija suvremene tehničke opreme važan je preduvjet za brže i efikasnije otkrivanje raznih tehnika i metoda krijumčarenja kao i veliko olakšanje u provedbi kvalitetnog nadzora. </w:t>
      </w:r>
    </w:p>
    <w:p w:rsidR="00D849AA" w:rsidRDefault="00EE6D95">
      <w:pPr>
        <w:pStyle w:val="Normal6"/>
      </w:pPr>
      <w:r>
        <w:t xml:space="preserve">S tog razloga, a u svrhu uspješnijeg suzbijanja i otkrivanja kršenja svih nezakonitih radnji vezanih za prekogranični kriminalitet, a time ujedno i učinkovitije prikupljanje proračunskih sredstava sa aspekta carina, trošarina i drugih javnih davanja te djelotvornije zaštite financijskih i sigurnosnih interesa u cjelini, bilo je potrebno povećati broj carinskih službenika koji će biti adekvatno obučeni za provedbu mjera nadzora te koji će uz pomoć odgovarajuće opreme provoditi mjere nadzora iz svoje nadležnosti. </w:t>
      </w:r>
    </w:p>
    <w:p w:rsidR="00D849AA" w:rsidRDefault="00EE6D95">
      <w:pPr>
        <w:pStyle w:val="Normal6"/>
      </w:pPr>
      <w:r>
        <w:t xml:space="preserve">Povećanje broja službenika nužno iziskuje opremanje ureda u kojima će isti boraviti i to adekvatnim uredskim namještajem poput ormara za čuvanje naoružanja, municije i drugih sredstava prisile s obzirom da su službenici carinskih mobilnih jedinica ovlašteni primjenjivati sredstva prisile. Zbog povećanja broja službenika koji su raspoređeni u mobilne jedinice planirana je nabava dodatne količine kratkog vatrenog oružja.  </w:t>
      </w:r>
    </w:p>
    <w:p w:rsidR="00D849AA" w:rsidRDefault="00EE6D95">
      <w:pPr>
        <w:pStyle w:val="Normal6"/>
      </w:pPr>
      <w:r>
        <w:t xml:space="preserve">Nadalje, kako na službena plovila Carinske uprave nisu tvornički ugrađeni uređaji za odmagljivanje stakala u nepovoljnim vremenskim uvjetima znatno je otežano upravljanje njima u takvim uvjetima naročito u proljetnim, jesenskim i zimskim uvjetima. Stoga je planirana nabava i ugradnja navedenih uređaja na sva četiri plovila. </w:t>
      </w:r>
    </w:p>
    <w:p w:rsidR="00D849AA" w:rsidRDefault="00EE6D95">
      <w:pPr>
        <w:pStyle w:val="Normal6"/>
      </w:pPr>
      <w:r>
        <w:t xml:space="preserve">S Ministarstvom unutarnjih poslova je potpisan ugovor o dodjeli slobodnih kanala TETRA komunikacijskog sistema te je stoga potrebno nabaviti i adekvatnu radio - komunikacijsku  opremu mobilnu i stacionarnu. Stacionirane radio – komunikacijske stanice predviđene su za postavljanje u Središnjem uredu (jedna) i još četiri u područnim carinskim uredima. Na njih se nadovezuju mobilne radio – komunikacijske stanice instalirane u vozilima i plovilima te ručne radio – komunikacijske stanice.  </w:t>
      </w:r>
    </w:p>
    <w:p w:rsidR="00D849AA" w:rsidRDefault="00EE6D95">
      <w:pPr>
        <w:pStyle w:val="Normal6"/>
      </w:pPr>
      <w:r>
        <w:t xml:space="preserve">Nadalje, u plan su uvrštene potrebe carinskog laboratorija za nabavom opreme neophodne za funkcioniranje kao i uvođenje sustava upravljanja prema zahtjevima normi HRN EN ISO/IEC 17025;2007. Laboratorijska oprema koja se planira nabaviti je: sigurnosni ormari za čuvanje naftnih derivata (za laboratorij i područne carinske urede), hladnjaci i zamrzivači za čuvanje uzoraka, ultrazvučna kupelj, vodene kupelji s kontroliranim sustavom za hlađenje, uređaj za oktanski broj, mikroskop s polarizirajućom svjetlošću, head spaces autosampler, grijač za viskozne uzorke, GC za bioetanol, refraktometar s kontroliranom temperaturom, autosampler za određivanje gustoće uzoraka, vaga za mjerenje na 5 decimala, set  alata za uzimanje uzoraka. </w:t>
      </w:r>
    </w:p>
    <w:p w:rsidR="00D849AA" w:rsidRDefault="00EE6D95">
      <w:pPr>
        <w:pStyle w:val="Normal6"/>
      </w:pPr>
      <w:r>
        <w:t xml:space="preserve">Za potrebe Područnog carinskog ureda Rijeka u 2014. godine u projekciju je uvrštena adaptacija 6. kata upravne zgrade Područnog carinskog ureda gdje se nalazio carinski laboratorij radi prenamjene u uredske prostorije, zatim sanacija postojećih sanitarija u upravnoj zgradi, te popravak vanjske aluminijske stolarije koja zbog starosti propušta oborinsku vodu.  </w:t>
      </w:r>
    </w:p>
    <w:p w:rsidR="00D849AA" w:rsidRDefault="00EE6D95">
      <w:pPr>
        <w:pStyle w:val="Normal6"/>
      </w:pPr>
      <w:r>
        <w:t xml:space="preserve">Također, potrebno je riješiti pitanje grijanja i hlađenja na pojedinim lokacijama u područnim carinskim uredima. </w:t>
      </w:r>
    </w:p>
    <w:p w:rsidR="00D849AA" w:rsidRDefault="00EE6D95">
      <w:pPr>
        <w:pStyle w:val="Normal6"/>
      </w:pPr>
      <w:r>
        <w:t xml:space="preserve">U rashode su uključeni i radovi u poslovnom prostoru u Puli, Vallelunga 2, koji se sastoji od tri objekta (operativne obale, veza za brodove, prostora za terminal za teretna vozila) ukupne površine od 1.900 m2.  </w:t>
      </w:r>
    </w:p>
    <w:p w:rsidR="00D849AA" w:rsidRDefault="00EE6D95">
      <w:pPr>
        <w:pStyle w:val="Normal6"/>
      </w:pPr>
      <w:r>
        <w:t>U Područnom carinskom uredu Osijek potrebna je adaptacija tavanskog prostora u uredski prostor  površine cca 500 m2.</w:t>
      </w:r>
    </w:p>
    <w:p w:rsidR="00B515E1" w:rsidRDefault="00B515E1">
      <w:pPr>
        <w:pStyle w:val="Normal6"/>
      </w:pPr>
    </w:p>
    <w:p w:rsidR="00A5008D" w:rsidRDefault="00A5008D">
      <w:pPr>
        <w:pStyle w:val="Normal6"/>
      </w:pPr>
    </w:p>
    <w:p w:rsidR="00D849AA" w:rsidRDefault="00EE6D95">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A5008D" w:rsidRDefault="00EE6D95">
            <w:pPr>
              <w:rPr>
                <w:rFonts w:ascii="Arial" w:hAnsi="Arial" w:cs="Arial"/>
              </w:rPr>
            </w:pPr>
            <w:r w:rsidRPr="00A5008D">
              <w:rPr>
                <w:rFonts w:ascii="Arial" w:hAnsi="Arial" w:cs="Arial"/>
              </w:rPr>
              <w:t>Pokazatelj rezultata</w:t>
            </w:r>
          </w:p>
        </w:tc>
        <w:tc>
          <w:tcPr>
            <w:tcW w:w="1114" w:type="dxa"/>
            <w:shd w:val="clear" w:color="auto" w:fill="B5C0D8"/>
          </w:tcPr>
          <w:p w:rsidR="00D849AA" w:rsidRPr="00A5008D" w:rsidRDefault="00EE6D95">
            <w:pPr>
              <w:pStyle w:val="CellHeader"/>
            </w:pPr>
            <w:r w:rsidRPr="00A5008D">
              <w:t>Jedinica</w:t>
            </w:r>
          </w:p>
        </w:tc>
        <w:tc>
          <w:tcPr>
            <w:tcW w:w="1114" w:type="dxa"/>
            <w:shd w:val="clear" w:color="auto" w:fill="B5C0D8"/>
          </w:tcPr>
          <w:p w:rsidR="00D849AA" w:rsidRPr="00A5008D" w:rsidRDefault="00EE6D95">
            <w:pPr>
              <w:pStyle w:val="CellHeader"/>
            </w:pPr>
            <w:r w:rsidRPr="00A5008D">
              <w:t>Polazna vrijednost</w:t>
            </w:r>
          </w:p>
        </w:tc>
        <w:tc>
          <w:tcPr>
            <w:tcW w:w="1486" w:type="dxa"/>
            <w:shd w:val="clear" w:color="auto" w:fill="B5C0D8"/>
          </w:tcPr>
          <w:p w:rsidR="00D849AA" w:rsidRPr="00A5008D" w:rsidRDefault="00EE6D95">
            <w:pPr>
              <w:pStyle w:val="CellHeader"/>
            </w:pPr>
            <w:r w:rsidRPr="00A5008D">
              <w:t>Ciljana vrijednost (2014.)</w:t>
            </w:r>
          </w:p>
        </w:tc>
        <w:tc>
          <w:tcPr>
            <w:tcW w:w="1486" w:type="dxa"/>
            <w:shd w:val="clear" w:color="auto" w:fill="B5C0D8"/>
          </w:tcPr>
          <w:p w:rsidR="00D849AA" w:rsidRPr="00A5008D" w:rsidRDefault="00EE6D95">
            <w:pPr>
              <w:pStyle w:val="CellHeader"/>
            </w:pPr>
            <w:r w:rsidRPr="00A5008D">
              <w:t>Ciljana vrijednost (2015.)</w:t>
            </w:r>
          </w:p>
        </w:tc>
        <w:tc>
          <w:tcPr>
            <w:tcW w:w="1486" w:type="dxa"/>
            <w:shd w:val="clear" w:color="auto" w:fill="B5C0D8"/>
          </w:tcPr>
          <w:p w:rsidR="00D849AA" w:rsidRPr="00A5008D" w:rsidRDefault="00EE6D95">
            <w:pPr>
              <w:pStyle w:val="CellHeader"/>
            </w:pPr>
            <w:r w:rsidRPr="00A5008D">
              <w:t>Ciljana vrijednost (2016.)</w:t>
            </w:r>
          </w:p>
        </w:tc>
      </w:tr>
      <w:tr w:rsidR="00D849AA">
        <w:trPr>
          <w:jc w:val="center"/>
        </w:trPr>
        <w:tc>
          <w:tcPr>
            <w:tcW w:w="2229" w:type="dxa"/>
          </w:tcPr>
          <w:p w:rsidR="00D849AA" w:rsidRPr="00A5008D" w:rsidRDefault="00EE6D95">
            <w:pPr>
              <w:pStyle w:val="CellColumn"/>
            </w:pPr>
            <w:r w:rsidRPr="00A5008D">
              <w:t>Broj provedenih akcija</w:t>
            </w:r>
          </w:p>
        </w:tc>
        <w:tc>
          <w:tcPr>
            <w:tcW w:w="1114" w:type="dxa"/>
          </w:tcPr>
          <w:p w:rsidR="00D849AA" w:rsidRPr="00A5008D" w:rsidRDefault="00EE6D95">
            <w:pPr>
              <w:rPr>
                <w:rFonts w:ascii="Arial" w:hAnsi="Arial" w:cs="Arial"/>
              </w:rPr>
            </w:pPr>
            <w:r w:rsidRPr="00A5008D">
              <w:rPr>
                <w:rFonts w:ascii="Arial" w:hAnsi="Arial" w:cs="Arial"/>
              </w:rPr>
              <w:t>Broj</w:t>
            </w:r>
          </w:p>
        </w:tc>
        <w:tc>
          <w:tcPr>
            <w:tcW w:w="1114" w:type="dxa"/>
          </w:tcPr>
          <w:p w:rsidR="00D849AA" w:rsidRPr="00A5008D" w:rsidRDefault="00EE6D95">
            <w:pPr>
              <w:rPr>
                <w:rFonts w:ascii="Arial" w:hAnsi="Arial" w:cs="Arial"/>
              </w:rPr>
            </w:pPr>
            <w:r w:rsidRPr="00A5008D">
              <w:rPr>
                <w:rFonts w:ascii="Arial" w:hAnsi="Arial" w:cs="Arial"/>
              </w:rPr>
              <w:t>5</w:t>
            </w:r>
          </w:p>
        </w:tc>
        <w:tc>
          <w:tcPr>
            <w:tcW w:w="1486" w:type="dxa"/>
          </w:tcPr>
          <w:p w:rsidR="00D849AA" w:rsidRPr="00A5008D" w:rsidRDefault="00EE6D95">
            <w:pPr>
              <w:rPr>
                <w:rFonts w:ascii="Arial" w:hAnsi="Arial" w:cs="Arial"/>
              </w:rPr>
            </w:pPr>
            <w:r w:rsidRPr="00A5008D">
              <w:rPr>
                <w:rFonts w:ascii="Arial" w:hAnsi="Arial" w:cs="Arial"/>
              </w:rPr>
              <w:t>10</w:t>
            </w:r>
          </w:p>
        </w:tc>
        <w:tc>
          <w:tcPr>
            <w:tcW w:w="1486" w:type="dxa"/>
          </w:tcPr>
          <w:p w:rsidR="00D849AA" w:rsidRPr="00A5008D" w:rsidRDefault="00EE6D95">
            <w:pPr>
              <w:rPr>
                <w:rFonts w:ascii="Arial" w:hAnsi="Arial" w:cs="Arial"/>
              </w:rPr>
            </w:pPr>
            <w:r w:rsidRPr="00A5008D">
              <w:rPr>
                <w:rFonts w:ascii="Arial" w:hAnsi="Arial" w:cs="Arial"/>
              </w:rPr>
              <w:t>15</w:t>
            </w:r>
          </w:p>
        </w:tc>
        <w:tc>
          <w:tcPr>
            <w:tcW w:w="1486" w:type="dxa"/>
          </w:tcPr>
          <w:p w:rsidR="00D849AA" w:rsidRPr="00A5008D" w:rsidRDefault="00EE6D95">
            <w:pPr>
              <w:rPr>
                <w:rFonts w:ascii="Arial" w:hAnsi="Arial" w:cs="Arial"/>
              </w:rPr>
            </w:pPr>
            <w:r w:rsidRPr="00A5008D">
              <w:rPr>
                <w:rFonts w:ascii="Arial" w:hAnsi="Arial" w:cs="Arial"/>
              </w:rPr>
              <w:t>20</w:t>
            </w:r>
          </w:p>
        </w:tc>
      </w:tr>
    </w:tbl>
    <w:p w:rsidR="00D849AA" w:rsidRDefault="00D849AA">
      <w:pPr>
        <w:jc w:val="left"/>
      </w:pPr>
    </w:p>
    <w:p w:rsidR="00D849AA" w:rsidRDefault="00EE6D95">
      <w:pPr>
        <w:pStyle w:val="Naslov6"/>
      </w:pPr>
      <w:r>
        <w:t>K540030 IPA 2012 - NABAVA IT OPREME ZA CARINSKU UPRAVU</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A5008D" w:rsidRDefault="00EE6D95">
            <w:pPr>
              <w:pStyle w:val="CellHeader"/>
            </w:pPr>
            <w:r w:rsidRPr="00A5008D">
              <w:t>Naziv aktivnosti</w:t>
            </w:r>
          </w:p>
        </w:tc>
        <w:tc>
          <w:tcPr>
            <w:tcW w:w="1486" w:type="dxa"/>
            <w:shd w:val="clear" w:color="auto" w:fill="B5C0D8"/>
          </w:tcPr>
          <w:p w:rsidR="00D849AA" w:rsidRPr="00A5008D" w:rsidRDefault="00EE6D95">
            <w:pPr>
              <w:pStyle w:val="CellHeader"/>
            </w:pPr>
            <w:r w:rsidRPr="00A5008D">
              <w:t>Plan 2013.</w:t>
            </w:r>
          </w:p>
        </w:tc>
        <w:tc>
          <w:tcPr>
            <w:tcW w:w="1486" w:type="dxa"/>
            <w:shd w:val="clear" w:color="auto" w:fill="B5C0D8"/>
          </w:tcPr>
          <w:p w:rsidR="00D849AA" w:rsidRPr="00A5008D" w:rsidRDefault="00EE6D95">
            <w:pPr>
              <w:pStyle w:val="CellHeader"/>
            </w:pPr>
            <w:r w:rsidRPr="00A5008D">
              <w:t>Plan 2014.</w:t>
            </w:r>
          </w:p>
        </w:tc>
        <w:tc>
          <w:tcPr>
            <w:tcW w:w="1486" w:type="dxa"/>
            <w:shd w:val="clear" w:color="auto" w:fill="B5C0D8"/>
          </w:tcPr>
          <w:p w:rsidR="00D849AA" w:rsidRPr="00A5008D" w:rsidRDefault="00EE6D95">
            <w:pPr>
              <w:pStyle w:val="CellHeader"/>
            </w:pPr>
            <w:r w:rsidRPr="00A5008D">
              <w:t>Plan 2015.</w:t>
            </w:r>
          </w:p>
        </w:tc>
        <w:tc>
          <w:tcPr>
            <w:tcW w:w="1486" w:type="dxa"/>
            <w:shd w:val="clear" w:color="auto" w:fill="B5C0D8"/>
          </w:tcPr>
          <w:p w:rsidR="00D849AA" w:rsidRPr="00A5008D" w:rsidRDefault="00EE6D95">
            <w:pPr>
              <w:pStyle w:val="CellHeader"/>
            </w:pPr>
            <w:r w:rsidRPr="00A5008D">
              <w:t>Plan 2016.</w:t>
            </w:r>
          </w:p>
        </w:tc>
        <w:tc>
          <w:tcPr>
            <w:tcW w:w="1486" w:type="dxa"/>
            <w:shd w:val="clear" w:color="auto" w:fill="B5C0D8"/>
          </w:tcPr>
          <w:p w:rsidR="00D849AA" w:rsidRPr="00A5008D" w:rsidRDefault="00EE6D95">
            <w:pPr>
              <w:pStyle w:val="CellHeader"/>
            </w:pPr>
            <w:r w:rsidRPr="00A5008D">
              <w:t>Indeks 2014/2013</w:t>
            </w:r>
          </w:p>
        </w:tc>
      </w:tr>
      <w:tr w:rsidR="00D849AA">
        <w:trPr>
          <w:jc w:val="center"/>
        </w:trPr>
        <w:tc>
          <w:tcPr>
            <w:tcW w:w="1486" w:type="dxa"/>
          </w:tcPr>
          <w:p w:rsidR="00D849AA" w:rsidRPr="00A5008D" w:rsidRDefault="00EE6D95">
            <w:pPr>
              <w:pStyle w:val="CellColumn"/>
            </w:pPr>
            <w:r w:rsidRPr="00A5008D">
              <w:t>K540030</w:t>
            </w:r>
          </w:p>
        </w:tc>
        <w:tc>
          <w:tcPr>
            <w:tcW w:w="1486" w:type="dxa"/>
          </w:tcPr>
          <w:p w:rsidR="00D849AA" w:rsidRPr="00A5008D" w:rsidRDefault="00EE6D95">
            <w:pPr>
              <w:rPr>
                <w:rFonts w:ascii="Arial" w:hAnsi="Arial" w:cs="Arial"/>
              </w:rPr>
            </w:pPr>
            <w:r w:rsidRPr="00A5008D">
              <w:rPr>
                <w:rFonts w:ascii="Arial" w:hAnsi="Arial" w:cs="Arial"/>
              </w:rPr>
              <w:t>9.576.000</w:t>
            </w:r>
          </w:p>
        </w:tc>
        <w:tc>
          <w:tcPr>
            <w:tcW w:w="1486" w:type="dxa"/>
          </w:tcPr>
          <w:p w:rsidR="00D849AA" w:rsidRPr="00A5008D" w:rsidRDefault="00EE6D95">
            <w:pPr>
              <w:rPr>
                <w:rFonts w:ascii="Arial" w:hAnsi="Arial" w:cs="Arial"/>
              </w:rPr>
            </w:pPr>
            <w:r w:rsidRPr="00A5008D">
              <w:rPr>
                <w:rFonts w:ascii="Arial" w:hAnsi="Arial" w:cs="Arial"/>
              </w:rPr>
              <w:t>12.049.000</w:t>
            </w:r>
          </w:p>
        </w:tc>
        <w:tc>
          <w:tcPr>
            <w:tcW w:w="1486" w:type="dxa"/>
          </w:tcPr>
          <w:p w:rsidR="00D849AA" w:rsidRPr="00A5008D" w:rsidRDefault="00EE6D95">
            <w:pPr>
              <w:rPr>
                <w:rFonts w:ascii="Arial" w:hAnsi="Arial" w:cs="Arial"/>
              </w:rPr>
            </w:pPr>
            <w:r w:rsidRPr="00A5008D">
              <w:rPr>
                <w:rFonts w:ascii="Arial" w:hAnsi="Arial" w:cs="Arial"/>
              </w:rPr>
              <w:t>00</w:t>
            </w:r>
          </w:p>
        </w:tc>
        <w:tc>
          <w:tcPr>
            <w:tcW w:w="1486" w:type="dxa"/>
          </w:tcPr>
          <w:p w:rsidR="00D849AA" w:rsidRPr="00A5008D" w:rsidRDefault="00EE6D95">
            <w:pPr>
              <w:rPr>
                <w:rFonts w:ascii="Arial" w:hAnsi="Arial" w:cs="Arial"/>
              </w:rPr>
            </w:pPr>
            <w:r w:rsidRPr="00A5008D">
              <w:rPr>
                <w:rFonts w:ascii="Arial" w:hAnsi="Arial" w:cs="Arial"/>
              </w:rPr>
              <w:t>00</w:t>
            </w:r>
          </w:p>
        </w:tc>
        <w:tc>
          <w:tcPr>
            <w:tcW w:w="1486" w:type="dxa"/>
          </w:tcPr>
          <w:p w:rsidR="00D849AA" w:rsidRPr="00A5008D" w:rsidRDefault="00EE6D95">
            <w:pPr>
              <w:rPr>
                <w:rFonts w:ascii="Arial" w:hAnsi="Arial" w:cs="Arial"/>
              </w:rPr>
            </w:pPr>
            <w:r w:rsidRPr="00A5008D">
              <w:rPr>
                <w:rFonts w:ascii="Arial" w:hAnsi="Arial" w:cs="Arial"/>
              </w:rPr>
              <w:t>125,8</w:t>
            </w:r>
          </w:p>
        </w:tc>
      </w:tr>
    </w:tbl>
    <w:p w:rsidR="00D849AA" w:rsidRDefault="00D849AA">
      <w:pPr>
        <w:jc w:val="left"/>
      </w:pPr>
    </w:p>
    <w:p w:rsidR="00D849AA" w:rsidRDefault="00EE6D95">
      <w:pPr>
        <w:pStyle w:val="Normal6"/>
      </w:pPr>
      <w:r>
        <w:t xml:space="preserve">Svrha projekta IPA 2012 Nabava IT opreme za Carinsku upravu je pružiti potporu Republici Hrvatskoj u ispunjavanju zahtjeva za pristup Europskoj uniji u poglavlju 29 Carinska unija i dijelu poglavlja 16 koje se odnosi na oporezivanje, osobito u pogledu učinkovite i djelotvorne provedbe carinskih IT sustava potrebnih za povezivanje s IT sustavima EU s ciljem da omogući razmjenu informacija između Europske komisije i  država članica Europske unije. </w:t>
      </w:r>
    </w:p>
    <w:p w:rsidR="00D849AA" w:rsidRDefault="00EE6D95">
      <w:pPr>
        <w:pStyle w:val="Normal6"/>
      </w:pPr>
      <w:r>
        <w:t>Navedeno će se postići nabavom informatičke i komunikacijske tehnologije (IT) opreme poput servera, osobnih računala, laptopa, tableta, multifunkcijskih uređaja, printera i dr. sa ciljem jačanja kapaciteta Carinske uprave neophodnih za ispunjavanje zahtjeva Europske unije u vezi izgradnje elektroničkih carinskih sustava, kako bi se olakšala provedba carinskih postupaka u skladu sa standardima Europske unije.</w:t>
      </w:r>
    </w:p>
    <w:p w:rsidR="00B515E1" w:rsidRDefault="00B515E1">
      <w:pPr>
        <w:pStyle w:val="Normal6"/>
      </w:pP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A5008D" w:rsidRDefault="00EE6D95">
            <w:pPr>
              <w:rPr>
                <w:rFonts w:ascii="Arial" w:hAnsi="Arial" w:cs="Arial"/>
              </w:rPr>
            </w:pPr>
            <w:r w:rsidRPr="00A5008D">
              <w:rPr>
                <w:rFonts w:ascii="Arial" w:hAnsi="Arial" w:cs="Arial"/>
              </w:rPr>
              <w:t>Pokazatelj rezultata</w:t>
            </w:r>
          </w:p>
        </w:tc>
        <w:tc>
          <w:tcPr>
            <w:tcW w:w="1114" w:type="dxa"/>
            <w:shd w:val="clear" w:color="auto" w:fill="B5C0D8"/>
          </w:tcPr>
          <w:p w:rsidR="00D849AA" w:rsidRPr="00A5008D" w:rsidRDefault="00EE6D95">
            <w:pPr>
              <w:pStyle w:val="CellHeader"/>
            </w:pPr>
            <w:r w:rsidRPr="00A5008D">
              <w:t>Jedinica</w:t>
            </w:r>
          </w:p>
        </w:tc>
        <w:tc>
          <w:tcPr>
            <w:tcW w:w="1114" w:type="dxa"/>
            <w:shd w:val="clear" w:color="auto" w:fill="B5C0D8"/>
          </w:tcPr>
          <w:p w:rsidR="00D849AA" w:rsidRPr="00A5008D" w:rsidRDefault="00EE6D95">
            <w:pPr>
              <w:pStyle w:val="CellHeader"/>
            </w:pPr>
            <w:r w:rsidRPr="00A5008D">
              <w:t>Polazna vrijednost</w:t>
            </w:r>
          </w:p>
        </w:tc>
        <w:tc>
          <w:tcPr>
            <w:tcW w:w="1486" w:type="dxa"/>
            <w:shd w:val="clear" w:color="auto" w:fill="B5C0D8"/>
          </w:tcPr>
          <w:p w:rsidR="00D849AA" w:rsidRPr="00A5008D" w:rsidRDefault="00EE6D95">
            <w:pPr>
              <w:pStyle w:val="CellHeader"/>
            </w:pPr>
            <w:r w:rsidRPr="00A5008D">
              <w:t>Ciljana vrijednost (2014.)</w:t>
            </w:r>
          </w:p>
        </w:tc>
        <w:tc>
          <w:tcPr>
            <w:tcW w:w="1486" w:type="dxa"/>
            <w:shd w:val="clear" w:color="auto" w:fill="B5C0D8"/>
          </w:tcPr>
          <w:p w:rsidR="00D849AA" w:rsidRPr="00A5008D" w:rsidRDefault="00EE6D95">
            <w:pPr>
              <w:pStyle w:val="CellHeader"/>
            </w:pPr>
            <w:r w:rsidRPr="00A5008D">
              <w:t>Ciljana vrijednost (2015.)</w:t>
            </w:r>
          </w:p>
        </w:tc>
        <w:tc>
          <w:tcPr>
            <w:tcW w:w="1486" w:type="dxa"/>
            <w:shd w:val="clear" w:color="auto" w:fill="B5C0D8"/>
          </w:tcPr>
          <w:p w:rsidR="00D849AA" w:rsidRPr="00A5008D" w:rsidRDefault="00EE6D95">
            <w:pPr>
              <w:pStyle w:val="CellHeader"/>
            </w:pPr>
            <w:r w:rsidRPr="00A5008D">
              <w:t>Ciljana vrijednost (2016.)</w:t>
            </w:r>
          </w:p>
        </w:tc>
      </w:tr>
      <w:tr w:rsidR="00D849AA">
        <w:trPr>
          <w:jc w:val="center"/>
        </w:trPr>
        <w:tc>
          <w:tcPr>
            <w:tcW w:w="2229" w:type="dxa"/>
          </w:tcPr>
          <w:p w:rsidR="00D849AA" w:rsidRPr="00A5008D" w:rsidRDefault="00EE6D95">
            <w:pPr>
              <w:pStyle w:val="CellColumn"/>
            </w:pPr>
            <w:r w:rsidRPr="00A5008D">
              <w:t>Razvijen IT sustav koji udovoljava nacionalnim i EU zahtjevima</w:t>
            </w:r>
          </w:p>
        </w:tc>
        <w:tc>
          <w:tcPr>
            <w:tcW w:w="1114" w:type="dxa"/>
          </w:tcPr>
          <w:p w:rsidR="00D849AA" w:rsidRPr="00A5008D" w:rsidRDefault="00EE6D95">
            <w:pPr>
              <w:rPr>
                <w:rFonts w:ascii="Arial" w:hAnsi="Arial" w:cs="Arial"/>
              </w:rPr>
            </w:pPr>
            <w:r w:rsidRPr="00A5008D">
              <w:rPr>
                <w:rFonts w:ascii="Arial" w:hAnsi="Arial" w:cs="Arial"/>
              </w:rPr>
              <w:t>%</w:t>
            </w:r>
          </w:p>
        </w:tc>
        <w:tc>
          <w:tcPr>
            <w:tcW w:w="1114" w:type="dxa"/>
          </w:tcPr>
          <w:p w:rsidR="00D849AA" w:rsidRPr="00A5008D" w:rsidRDefault="00EE6D95">
            <w:pPr>
              <w:rPr>
                <w:rFonts w:ascii="Arial" w:hAnsi="Arial" w:cs="Arial"/>
              </w:rPr>
            </w:pPr>
            <w:r w:rsidRPr="00A5008D">
              <w:rPr>
                <w:rFonts w:ascii="Arial" w:hAnsi="Arial" w:cs="Arial"/>
              </w:rPr>
              <w:t>60</w:t>
            </w:r>
          </w:p>
        </w:tc>
        <w:tc>
          <w:tcPr>
            <w:tcW w:w="1486" w:type="dxa"/>
          </w:tcPr>
          <w:p w:rsidR="00D849AA" w:rsidRPr="00A5008D" w:rsidRDefault="00EE6D95">
            <w:pPr>
              <w:rPr>
                <w:rFonts w:ascii="Arial" w:hAnsi="Arial" w:cs="Arial"/>
              </w:rPr>
            </w:pPr>
            <w:r w:rsidRPr="00A5008D">
              <w:rPr>
                <w:rFonts w:ascii="Arial" w:hAnsi="Arial" w:cs="Arial"/>
              </w:rPr>
              <w:t>75</w:t>
            </w:r>
          </w:p>
        </w:tc>
        <w:tc>
          <w:tcPr>
            <w:tcW w:w="1486" w:type="dxa"/>
          </w:tcPr>
          <w:p w:rsidR="00D849AA" w:rsidRPr="00A5008D" w:rsidRDefault="00EE6D95">
            <w:pPr>
              <w:rPr>
                <w:rFonts w:ascii="Arial" w:hAnsi="Arial" w:cs="Arial"/>
              </w:rPr>
            </w:pPr>
            <w:r w:rsidRPr="00A5008D">
              <w:rPr>
                <w:rFonts w:ascii="Arial" w:hAnsi="Arial" w:cs="Arial"/>
              </w:rPr>
              <w:t>90</w:t>
            </w:r>
          </w:p>
        </w:tc>
        <w:tc>
          <w:tcPr>
            <w:tcW w:w="1486" w:type="dxa"/>
          </w:tcPr>
          <w:p w:rsidR="00D849AA" w:rsidRPr="00A5008D" w:rsidRDefault="00EE6D95">
            <w:pPr>
              <w:rPr>
                <w:rFonts w:ascii="Arial" w:hAnsi="Arial" w:cs="Arial"/>
              </w:rPr>
            </w:pPr>
            <w:r w:rsidRPr="00A5008D">
              <w:rPr>
                <w:rFonts w:ascii="Arial" w:hAnsi="Arial" w:cs="Arial"/>
              </w:rPr>
              <w:t>100</w:t>
            </w:r>
          </w:p>
        </w:tc>
      </w:tr>
    </w:tbl>
    <w:p w:rsidR="00D849AA" w:rsidRDefault="00D849AA">
      <w:pPr>
        <w:jc w:val="left"/>
      </w:pPr>
    </w:p>
    <w:p w:rsidR="00D849AA" w:rsidRDefault="00EE6D95">
      <w:pPr>
        <w:pStyle w:val="Naslov6"/>
      </w:pPr>
      <w:r>
        <w:t>K540034 OBNOVA VOZNOG PARKA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A5008D" w:rsidRDefault="00EE6D95">
            <w:pPr>
              <w:pStyle w:val="CellHeader"/>
            </w:pPr>
            <w:r w:rsidRPr="00A5008D">
              <w:t>Naziv aktivnosti</w:t>
            </w:r>
          </w:p>
        </w:tc>
        <w:tc>
          <w:tcPr>
            <w:tcW w:w="1486" w:type="dxa"/>
            <w:shd w:val="clear" w:color="auto" w:fill="B5C0D8"/>
          </w:tcPr>
          <w:p w:rsidR="00D849AA" w:rsidRPr="00A5008D" w:rsidRDefault="00EE6D95">
            <w:pPr>
              <w:pStyle w:val="CellHeader"/>
            </w:pPr>
            <w:r w:rsidRPr="00A5008D">
              <w:t>Plan 2013.</w:t>
            </w:r>
          </w:p>
        </w:tc>
        <w:tc>
          <w:tcPr>
            <w:tcW w:w="1486" w:type="dxa"/>
            <w:shd w:val="clear" w:color="auto" w:fill="B5C0D8"/>
          </w:tcPr>
          <w:p w:rsidR="00D849AA" w:rsidRPr="00A5008D" w:rsidRDefault="00EE6D95">
            <w:pPr>
              <w:pStyle w:val="CellHeader"/>
            </w:pPr>
            <w:r w:rsidRPr="00A5008D">
              <w:t>Plan 2014.</w:t>
            </w:r>
          </w:p>
        </w:tc>
        <w:tc>
          <w:tcPr>
            <w:tcW w:w="1486" w:type="dxa"/>
            <w:shd w:val="clear" w:color="auto" w:fill="B5C0D8"/>
          </w:tcPr>
          <w:p w:rsidR="00D849AA" w:rsidRPr="00A5008D" w:rsidRDefault="00EE6D95">
            <w:pPr>
              <w:pStyle w:val="CellHeader"/>
            </w:pPr>
            <w:r w:rsidRPr="00A5008D">
              <w:t>Plan 2015.</w:t>
            </w:r>
          </w:p>
        </w:tc>
        <w:tc>
          <w:tcPr>
            <w:tcW w:w="1486" w:type="dxa"/>
            <w:shd w:val="clear" w:color="auto" w:fill="B5C0D8"/>
          </w:tcPr>
          <w:p w:rsidR="00D849AA" w:rsidRPr="00A5008D" w:rsidRDefault="00EE6D95">
            <w:pPr>
              <w:pStyle w:val="CellHeader"/>
            </w:pPr>
            <w:r w:rsidRPr="00A5008D">
              <w:t>Plan 2016.</w:t>
            </w:r>
          </w:p>
        </w:tc>
        <w:tc>
          <w:tcPr>
            <w:tcW w:w="1486" w:type="dxa"/>
            <w:shd w:val="clear" w:color="auto" w:fill="B5C0D8"/>
          </w:tcPr>
          <w:p w:rsidR="00D849AA" w:rsidRPr="00A5008D" w:rsidRDefault="00EE6D95">
            <w:pPr>
              <w:pStyle w:val="CellHeader"/>
            </w:pPr>
            <w:r w:rsidRPr="00A5008D">
              <w:t>Indeks 2014/2013</w:t>
            </w:r>
          </w:p>
        </w:tc>
      </w:tr>
      <w:tr w:rsidR="00D849AA">
        <w:trPr>
          <w:jc w:val="center"/>
        </w:trPr>
        <w:tc>
          <w:tcPr>
            <w:tcW w:w="1486" w:type="dxa"/>
          </w:tcPr>
          <w:p w:rsidR="00D849AA" w:rsidRPr="00A5008D" w:rsidRDefault="00EE6D95">
            <w:pPr>
              <w:pStyle w:val="CellColumn"/>
            </w:pPr>
            <w:r w:rsidRPr="00A5008D">
              <w:t>K540034</w:t>
            </w:r>
          </w:p>
        </w:tc>
        <w:tc>
          <w:tcPr>
            <w:tcW w:w="1486" w:type="dxa"/>
          </w:tcPr>
          <w:p w:rsidR="00D849AA" w:rsidRPr="00A5008D" w:rsidRDefault="00EE6D95">
            <w:pPr>
              <w:rPr>
                <w:rFonts w:ascii="Arial" w:hAnsi="Arial" w:cs="Arial"/>
              </w:rPr>
            </w:pPr>
            <w:r w:rsidRPr="00A5008D">
              <w:rPr>
                <w:rFonts w:ascii="Arial" w:hAnsi="Arial" w:cs="Arial"/>
              </w:rPr>
              <w:t>00</w:t>
            </w:r>
          </w:p>
        </w:tc>
        <w:tc>
          <w:tcPr>
            <w:tcW w:w="1486" w:type="dxa"/>
          </w:tcPr>
          <w:p w:rsidR="00D849AA" w:rsidRPr="00A5008D" w:rsidRDefault="00EE6D95">
            <w:pPr>
              <w:rPr>
                <w:rFonts w:ascii="Arial" w:hAnsi="Arial" w:cs="Arial"/>
              </w:rPr>
            </w:pPr>
            <w:r w:rsidRPr="00A5008D">
              <w:rPr>
                <w:rFonts w:ascii="Arial" w:hAnsi="Arial" w:cs="Arial"/>
              </w:rPr>
              <w:t>2.194.000</w:t>
            </w:r>
          </w:p>
        </w:tc>
        <w:tc>
          <w:tcPr>
            <w:tcW w:w="1486" w:type="dxa"/>
          </w:tcPr>
          <w:p w:rsidR="00D849AA" w:rsidRPr="00A5008D" w:rsidRDefault="00EE6D95">
            <w:pPr>
              <w:rPr>
                <w:rFonts w:ascii="Arial" w:hAnsi="Arial" w:cs="Arial"/>
              </w:rPr>
            </w:pPr>
            <w:r w:rsidRPr="00A5008D">
              <w:rPr>
                <w:rFonts w:ascii="Arial" w:hAnsi="Arial" w:cs="Arial"/>
              </w:rPr>
              <w:t>2.794.000</w:t>
            </w:r>
          </w:p>
        </w:tc>
        <w:tc>
          <w:tcPr>
            <w:tcW w:w="1486" w:type="dxa"/>
          </w:tcPr>
          <w:p w:rsidR="00D849AA" w:rsidRPr="00A5008D" w:rsidRDefault="00EE6D95">
            <w:pPr>
              <w:rPr>
                <w:rFonts w:ascii="Arial" w:hAnsi="Arial" w:cs="Arial"/>
              </w:rPr>
            </w:pPr>
            <w:r w:rsidRPr="00A5008D">
              <w:rPr>
                <w:rFonts w:ascii="Arial" w:hAnsi="Arial" w:cs="Arial"/>
              </w:rPr>
              <w:t>2.794.000</w:t>
            </w:r>
          </w:p>
        </w:tc>
        <w:tc>
          <w:tcPr>
            <w:tcW w:w="1486" w:type="dxa"/>
          </w:tcPr>
          <w:p w:rsidR="00D849AA" w:rsidRPr="00A5008D" w:rsidRDefault="00EE6D95">
            <w:pPr>
              <w:rPr>
                <w:rFonts w:ascii="Arial" w:hAnsi="Arial" w:cs="Arial"/>
              </w:rPr>
            </w:pPr>
            <w:r w:rsidRPr="00A5008D">
              <w:rPr>
                <w:rFonts w:ascii="Arial" w:hAnsi="Arial" w:cs="Arial"/>
              </w:rPr>
              <w:t>0,0</w:t>
            </w:r>
          </w:p>
        </w:tc>
      </w:tr>
    </w:tbl>
    <w:p w:rsidR="00D849AA" w:rsidRDefault="00D849AA">
      <w:pPr>
        <w:jc w:val="left"/>
      </w:pPr>
    </w:p>
    <w:p w:rsidR="00D849AA" w:rsidRDefault="00EE6D95">
      <w:pPr>
        <w:pStyle w:val="Normal6"/>
      </w:pPr>
      <w:r>
        <w:t xml:space="preserve">Kapitalnim projektom K540034 Obnova voznog parka predviđena je nabava službenih vozila sukladno potrebama Carinske uprave putem leasinga.  </w:t>
      </w:r>
    </w:p>
    <w:p w:rsidR="00D849AA" w:rsidRDefault="00EE6D95">
      <w:pPr>
        <w:pStyle w:val="Normal6"/>
      </w:pPr>
      <w:r>
        <w:lastRenderedPageBreak/>
        <w:t xml:space="preserve">Naime, Carinska uprava trenutno raspolaže sa 212 službenih vozila čija prosječna starosti iznosi 9,7 godina. Od navedenog broja, 54 vozila su nabavljena 2011. godine iz IPA programa.  </w:t>
      </w:r>
    </w:p>
    <w:p w:rsidR="00D849AA" w:rsidRDefault="00EE6D95">
      <w:pPr>
        <w:pStyle w:val="Normal6"/>
      </w:pPr>
      <w:r>
        <w:t xml:space="preserve">Troškovi održavanja s obzirom na starost vozila izuzetno su visoki.  </w:t>
      </w:r>
    </w:p>
    <w:p w:rsidR="00D849AA" w:rsidRDefault="00EE6D95">
      <w:pPr>
        <w:pStyle w:val="Normal6"/>
      </w:pPr>
      <w:r>
        <w:t xml:space="preserve">Prema proširenju ovlasti iz djelokruga rada Carinske službe temeljem novog Zakona o carinskoj službi proizlazi potreba za obnovom i proširenjem voznog parka. </w:t>
      </w:r>
    </w:p>
    <w:p w:rsidR="00D849AA" w:rsidRDefault="00EE6D95">
      <w:pPr>
        <w:pStyle w:val="Normal6"/>
      </w:pPr>
      <w:r>
        <w:t xml:space="preserve">Naime, obzirom da se na terenu pokazalo da mobilnim jedinicama nedostaje označenih i neoznačenih osobnih vozila te da se iako postoji dovoljan broj ovlaštenih carinskih službenika, često moraju odgađati akcije koje je bilo potrebno hitno odraditi i time se gubi kredibilitet same službe pred javnošću koja sve više shvaća ulogu carine u suzbijanju sive ekonomije, nužno je nabaviti po jedno civilno i jedno označeno vozilo za potrebe sedam Odjela za mobilne jedinice Sektora za nadzor.  </w:t>
      </w:r>
    </w:p>
    <w:p w:rsidR="00D849AA" w:rsidRDefault="00EE6D95">
      <w:pPr>
        <w:pStyle w:val="Normal6"/>
      </w:pPr>
      <w:r>
        <w:t xml:space="preserve">Nadalje, zbog starosti i velikog broja prijeđenih kilometara postojećih službenih vozila dodijeljenih na korištenje područnim carinskim uredima, postoji potreba za nabavom određenog broja novih vozila u svrhu obnove voznog parka.  </w:t>
      </w:r>
    </w:p>
    <w:p w:rsidR="00D849AA" w:rsidRDefault="00EE6D95">
      <w:pPr>
        <w:pStyle w:val="Normal6"/>
      </w:pPr>
      <w:r>
        <w:t xml:space="preserve">Prijevoz službenika Carinske uprave na određene granične prijelaze sa Republikom Srbijom te Bosnom i Hercegovinom je iznimno zahtjevan iz razloga što se dnevno za potrebe prijevoza djelatnika na posao i s posla prelazi 100-150 km u jednom smjeru, dva puta dnevno što iznosi ukupno  400-600 km dnevno. Pri tome se nabavom kombi vozila, u svrhu prijevoza službenika koji rade u smjenama na udaljenijim graničnim prijelazima, planira ostvariti značajne uštede na troškovima prijevoza. </w:t>
      </w:r>
    </w:p>
    <w:p w:rsidR="00D849AA" w:rsidRDefault="00EE6D95">
      <w:pPr>
        <w:pStyle w:val="Normal6"/>
      </w:pPr>
      <w:r>
        <w:t>Ujedno, planirana je i nabava vozila za potrebe Sektora za unutarnji nadzor  u cilju izvršavanja operativno-obavještajnih radnji područnih jedinica za borbu protiv korupcije i organiziranog kriminaliteta za četiri područna carinska ureda.</w:t>
      </w:r>
    </w:p>
    <w:p w:rsidR="00D849AA" w:rsidRDefault="00EE6D95">
      <w:pPr>
        <w:pStyle w:val="Naslov6"/>
      </w:pPr>
      <w:r>
        <w:t>T540033 IPA 2010 UVOĐENJE SUSTAVA OSIGURANJA KVALITETE ZA KONTROLU TROŠARINSKIH ROBA IZ PODRUČJA ZAJEDNIČKE POLJOPRIVREDNE POLITIKE ZA HRVATSKI CARINSKI LABORATORIJ</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A5008D" w:rsidRDefault="00EE6D95">
            <w:pPr>
              <w:pStyle w:val="CellHeader"/>
            </w:pPr>
            <w:r w:rsidRPr="00A5008D">
              <w:t>Naziv aktivnosti</w:t>
            </w:r>
          </w:p>
        </w:tc>
        <w:tc>
          <w:tcPr>
            <w:tcW w:w="1486" w:type="dxa"/>
            <w:shd w:val="clear" w:color="auto" w:fill="B5C0D8"/>
          </w:tcPr>
          <w:p w:rsidR="00D849AA" w:rsidRPr="00A5008D" w:rsidRDefault="00EE6D95">
            <w:pPr>
              <w:pStyle w:val="CellHeader"/>
            </w:pPr>
            <w:r w:rsidRPr="00A5008D">
              <w:t>Plan 2013.</w:t>
            </w:r>
          </w:p>
        </w:tc>
        <w:tc>
          <w:tcPr>
            <w:tcW w:w="1486" w:type="dxa"/>
            <w:shd w:val="clear" w:color="auto" w:fill="B5C0D8"/>
          </w:tcPr>
          <w:p w:rsidR="00D849AA" w:rsidRPr="00A5008D" w:rsidRDefault="00EE6D95">
            <w:pPr>
              <w:pStyle w:val="CellHeader"/>
            </w:pPr>
            <w:r w:rsidRPr="00A5008D">
              <w:t>Plan 2014.</w:t>
            </w:r>
          </w:p>
        </w:tc>
        <w:tc>
          <w:tcPr>
            <w:tcW w:w="1486" w:type="dxa"/>
            <w:shd w:val="clear" w:color="auto" w:fill="B5C0D8"/>
          </w:tcPr>
          <w:p w:rsidR="00D849AA" w:rsidRPr="00A5008D" w:rsidRDefault="00EE6D95">
            <w:pPr>
              <w:pStyle w:val="CellHeader"/>
            </w:pPr>
            <w:r w:rsidRPr="00A5008D">
              <w:t>Plan 2015.</w:t>
            </w:r>
          </w:p>
        </w:tc>
        <w:tc>
          <w:tcPr>
            <w:tcW w:w="1486" w:type="dxa"/>
            <w:shd w:val="clear" w:color="auto" w:fill="B5C0D8"/>
          </w:tcPr>
          <w:p w:rsidR="00D849AA" w:rsidRPr="00A5008D" w:rsidRDefault="00EE6D95">
            <w:pPr>
              <w:pStyle w:val="CellHeader"/>
            </w:pPr>
            <w:r w:rsidRPr="00A5008D">
              <w:t>Plan 2016.</w:t>
            </w:r>
          </w:p>
        </w:tc>
        <w:tc>
          <w:tcPr>
            <w:tcW w:w="1486" w:type="dxa"/>
            <w:shd w:val="clear" w:color="auto" w:fill="B5C0D8"/>
          </w:tcPr>
          <w:p w:rsidR="00D849AA" w:rsidRPr="00A5008D" w:rsidRDefault="00EE6D95">
            <w:pPr>
              <w:pStyle w:val="CellHeader"/>
            </w:pPr>
            <w:r w:rsidRPr="00A5008D">
              <w:t>Indeks 2014/2013</w:t>
            </w:r>
          </w:p>
        </w:tc>
      </w:tr>
      <w:tr w:rsidR="00D849AA">
        <w:trPr>
          <w:jc w:val="center"/>
        </w:trPr>
        <w:tc>
          <w:tcPr>
            <w:tcW w:w="1486" w:type="dxa"/>
          </w:tcPr>
          <w:p w:rsidR="00D849AA" w:rsidRPr="00A5008D" w:rsidRDefault="00EE6D95">
            <w:pPr>
              <w:pStyle w:val="CellColumn"/>
            </w:pPr>
            <w:r w:rsidRPr="00A5008D">
              <w:t>T540033</w:t>
            </w:r>
          </w:p>
        </w:tc>
        <w:tc>
          <w:tcPr>
            <w:tcW w:w="1486" w:type="dxa"/>
          </w:tcPr>
          <w:p w:rsidR="00D849AA" w:rsidRPr="00A5008D" w:rsidRDefault="00EE6D95">
            <w:pPr>
              <w:rPr>
                <w:rFonts w:ascii="Arial" w:hAnsi="Arial" w:cs="Arial"/>
              </w:rPr>
            </w:pPr>
            <w:r w:rsidRPr="00A5008D">
              <w:rPr>
                <w:rFonts w:ascii="Arial" w:hAnsi="Arial" w:cs="Arial"/>
              </w:rPr>
              <w:t>00</w:t>
            </w:r>
          </w:p>
        </w:tc>
        <w:tc>
          <w:tcPr>
            <w:tcW w:w="1486" w:type="dxa"/>
          </w:tcPr>
          <w:p w:rsidR="00D849AA" w:rsidRPr="00A5008D" w:rsidRDefault="00EE6D95">
            <w:pPr>
              <w:rPr>
                <w:rFonts w:ascii="Arial" w:hAnsi="Arial" w:cs="Arial"/>
              </w:rPr>
            </w:pPr>
            <w:r w:rsidRPr="00A5008D">
              <w:rPr>
                <w:rFonts w:ascii="Arial" w:hAnsi="Arial" w:cs="Arial"/>
              </w:rPr>
              <w:t>2.009.000</w:t>
            </w:r>
          </w:p>
        </w:tc>
        <w:tc>
          <w:tcPr>
            <w:tcW w:w="1486" w:type="dxa"/>
          </w:tcPr>
          <w:p w:rsidR="00D849AA" w:rsidRPr="00A5008D" w:rsidRDefault="00EE6D95">
            <w:pPr>
              <w:rPr>
                <w:rFonts w:ascii="Arial" w:hAnsi="Arial" w:cs="Arial"/>
              </w:rPr>
            </w:pPr>
            <w:r w:rsidRPr="00A5008D">
              <w:rPr>
                <w:rFonts w:ascii="Arial" w:hAnsi="Arial" w:cs="Arial"/>
              </w:rPr>
              <w:t>00</w:t>
            </w:r>
          </w:p>
        </w:tc>
        <w:tc>
          <w:tcPr>
            <w:tcW w:w="1486" w:type="dxa"/>
          </w:tcPr>
          <w:p w:rsidR="00D849AA" w:rsidRPr="00A5008D" w:rsidRDefault="00EE6D95">
            <w:pPr>
              <w:rPr>
                <w:rFonts w:ascii="Arial" w:hAnsi="Arial" w:cs="Arial"/>
              </w:rPr>
            </w:pPr>
            <w:r w:rsidRPr="00A5008D">
              <w:rPr>
                <w:rFonts w:ascii="Arial" w:hAnsi="Arial" w:cs="Arial"/>
              </w:rPr>
              <w:t>00</w:t>
            </w:r>
          </w:p>
        </w:tc>
        <w:tc>
          <w:tcPr>
            <w:tcW w:w="1486" w:type="dxa"/>
          </w:tcPr>
          <w:p w:rsidR="00D849AA" w:rsidRPr="00A5008D" w:rsidRDefault="00EE6D95">
            <w:pPr>
              <w:rPr>
                <w:rFonts w:ascii="Arial" w:hAnsi="Arial" w:cs="Arial"/>
              </w:rPr>
            </w:pPr>
            <w:r w:rsidRPr="00A5008D">
              <w:rPr>
                <w:rFonts w:ascii="Arial" w:hAnsi="Arial" w:cs="Arial"/>
              </w:rPr>
              <w:t>0,0</w:t>
            </w:r>
          </w:p>
        </w:tc>
      </w:tr>
    </w:tbl>
    <w:p w:rsidR="00D849AA" w:rsidRDefault="00D849AA">
      <w:pPr>
        <w:jc w:val="left"/>
      </w:pPr>
    </w:p>
    <w:p w:rsidR="00D849AA" w:rsidRDefault="00EE6D95">
      <w:pPr>
        <w:pStyle w:val="Normal6"/>
      </w:pPr>
      <w:r>
        <w:t>Svrha projekta je jačanje hrvatskog carinskog laboratorija u osiguranju kvalitete uvođenjem metoda nužnih za rad i obavljanje analiza u carinskom laboratoriju, ponajprije metoda koje se izravno odnose na zajedničku poljoprivrednu politiku Europske unije i trošarinsku robu, dakle na područja povezana s proračunskim prihodima Europske unije, zaštitom građana i sigurnošću tržišta. Ukupna vrijednost projekta je 250.000,00 EUR (225.000,00 EUR financira EU, dok 25.000,00 EUR iznosi nacionalno sufinanciranje). Predviđeno trajanje projekta je 8 mjeseci, a projekt je twinning light.</w:t>
      </w:r>
    </w:p>
    <w:p w:rsidR="00D849AA" w:rsidRDefault="00EE6D95">
      <w:pPr>
        <w:pStyle w:val="Naslov6"/>
      </w:pPr>
      <w:r>
        <w:t>T540035 IPA 2013 JAČANJE I USKLAĐIVANJE SUSTAVA POSLOVNOG IZVJEŠĆIVANJA MFCU S NAJBOLJOM PRAKSOM ZEMALJA ČLANICA EU</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rsidRPr="00A5008D">
        <w:trPr>
          <w:jc w:val="center"/>
        </w:trPr>
        <w:tc>
          <w:tcPr>
            <w:tcW w:w="1486" w:type="dxa"/>
            <w:shd w:val="clear" w:color="auto" w:fill="B5C0D8"/>
          </w:tcPr>
          <w:p w:rsidR="00D849AA" w:rsidRPr="00A5008D" w:rsidRDefault="00EE6D95">
            <w:pPr>
              <w:pStyle w:val="CellHeader"/>
            </w:pPr>
            <w:r w:rsidRPr="00A5008D">
              <w:t>Naziv aktivnosti</w:t>
            </w:r>
          </w:p>
        </w:tc>
        <w:tc>
          <w:tcPr>
            <w:tcW w:w="1486" w:type="dxa"/>
            <w:shd w:val="clear" w:color="auto" w:fill="B5C0D8"/>
          </w:tcPr>
          <w:p w:rsidR="00D849AA" w:rsidRPr="00A5008D" w:rsidRDefault="00EE6D95">
            <w:pPr>
              <w:pStyle w:val="CellHeader"/>
            </w:pPr>
            <w:r w:rsidRPr="00A5008D">
              <w:t>Plan 2013.</w:t>
            </w:r>
          </w:p>
        </w:tc>
        <w:tc>
          <w:tcPr>
            <w:tcW w:w="1486" w:type="dxa"/>
            <w:shd w:val="clear" w:color="auto" w:fill="B5C0D8"/>
          </w:tcPr>
          <w:p w:rsidR="00D849AA" w:rsidRPr="00A5008D" w:rsidRDefault="00EE6D95">
            <w:pPr>
              <w:pStyle w:val="CellHeader"/>
            </w:pPr>
            <w:r w:rsidRPr="00A5008D">
              <w:t>Plan 2014.</w:t>
            </w:r>
          </w:p>
        </w:tc>
        <w:tc>
          <w:tcPr>
            <w:tcW w:w="1486" w:type="dxa"/>
            <w:shd w:val="clear" w:color="auto" w:fill="B5C0D8"/>
          </w:tcPr>
          <w:p w:rsidR="00D849AA" w:rsidRPr="00A5008D" w:rsidRDefault="00EE6D95">
            <w:pPr>
              <w:pStyle w:val="CellHeader"/>
            </w:pPr>
            <w:r w:rsidRPr="00A5008D">
              <w:t>Plan 2015.</w:t>
            </w:r>
          </w:p>
        </w:tc>
        <w:tc>
          <w:tcPr>
            <w:tcW w:w="1486" w:type="dxa"/>
            <w:shd w:val="clear" w:color="auto" w:fill="B5C0D8"/>
          </w:tcPr>
          <w:p w:rsidR="00D849AA" w:rsidRPr="00A5008D" w:rsidRDefault="00EE6D95">
            <w:pPr>
              <w:pStyle w:val="CellHeader"/>
            </w:pPr>
            <w:r w:rsidRPr="00A5008D">
              <w:t>Plan 2016.</w:t>
            </w:r>
          </w:p>
        </w:tc>
        <w:tc>
          <w:tcPr>
            <w:tcW w:w="1486" w:type="dxa"/>
            <w:shd w:val="clear" w:color="auto" w:fill="B5C0D8"/>
          </w:tcPr>
          <w:p w:rsidR="00D849AA" w:rsidRPr="00A5008D" w:rsidRDefault="00EE6D95">
            <w:pPr>
              <w:pStyle w:val="CellHeader"/>
            </w:pPr>
            <w:r w:rsidRPr="00A5008D">
              <w:t>Indeks 2014/2013</w:t>
            </w:r>
          </w:p>
        </w:tc>
      </w:tr>
      <w:tr w:rsidR="00D849AA" w:rsidRPr="00A5008D">
        <w:trPr>
          <w:jc w:val="center"/>
        </w:trPr>
        <w:tc>
          <w:tcPr>
            <w:tcW w:w="1486" w:type="dxa"/>
          </w:tcPr>
          <w:p w:rsidR="00D849AA" w:rsidRPr="00A5008D" w:rsidRDefault="00EE6D95">
            <w:pPr>
              <w:pStyle w:val="CellColumn"/>
            </w:pPr>
            <w:r w:rsidRPr="00A5008D">
              <w:t>T540035</w:t>
            </w:r>
          </w:p>
        </w:tc>
        <w:tc>
          <w:tcPr>
            <w:tcW w:w="1486" w:type="dxa"/>
          </w:tcPr>
          <w:p w:rsidR="00D849AA" w:rsidRPr="00A5008D" w:rsidRDefault="00EE6D95">
            <w:pPr>
              <w:rPr>
                <w:rFonts w:ascii="Arial" w:hAnsi="Arial" w:cs="Arial"/>
              </w:rPr>
            </w:pPr>
            <w:r w:rsidRPr="00A5008D">
              <w:rPr>
                <w:rFonts w:ascii="Arial" w:hAnsi="Arial" w:cs="Arial"/>
              </w:rPr>
              <w:t>00</w:t>
            </w:r>
          </w:p>
        </w:tc>
        <w:tc>
          <w:tcPr>
            <w:tcW w:w="1486" w:type="dxa"/>
          </w:tcPr>
          <w:p w:rsidR="00D849AA" w:rsidRPr="00A5008D" w:rsidRDefault="00EE6D95">
            <w:pPr>
              <w:rPr>
                <w:rFonts w:ascii="Arial" w:hAnsi="Arial" w:cs="Arial"/>
              </w:rPr>
            </w:pPr>
            <w:r w:rsidRPr="00A5008D">
              <w:rPr>
                <w:rFonts w:ascii="Arial" w:hAnsi="Arial" w:cs="Arial"/>
              </w:rPr>
              <w:t>2.009.000</w:t>
            </w:r>
          </w:p>
        </w:tc>
        <w:tc>
          <w:tcPr>
            <w:tcW w:w="1486" w:type="dxa"/>
          </w:tcPr>
          <w:p w:rsidR="00D849AA" w:rsidRPr="00A5008D" w:rsidRDefault="00EE6D95">
            <w:pPr>
              <w:rPr>
                <w:rFonts w:ascii="Arial" w:hAnsi="Arial" w:cs="Arial"/>
              </w:rPr>
            </w:pPr>
            <w:r w:rsidRPr="00A5008D">
              <w:rPr>
                <w:rFonts w:ascii="Arial" w:hAnsi="Arial" w:cs="Arial"/>
              </w:rPr>
              <w:t>00</w:t>
            </w:r>
          </w:p>
        </w:tc>
        <w:tc>
          <w:tcPr>
            <w:tcW w:w="1486" w:type="dxa"/>
          </w:tcPr>
          <w:p w:rsidR="00D849AA" w:rsidRPr="00A5008D" w:rsidRDefault="00EE6D95">
            <w:pPr>
              <w:rPr>
                <w:rFonts w:ascii="Arial" w:hAnsi="Arial" w:cs="Arial"/>
              </w:rPr>
            </w:pPr>
            <w:r w:rsidRPr="00A5008D">
              <w:rPr>
                <w:rFonts w:ascii="Arial" w:hAnsi="Arial" w:cs="Arial"/>
              </w:rPr>
              <w:t>00</w:t>
            </w:r>
          </w:p>
        </w:tc>
        <w:tc>
          <w:tcPr>
            <w:tcW w:w="1486" w:type="dxa"/>
          </w:tcPr>
          <w:p w:rsidR="00D849AA" w:rsidRPr="00A5008D" w:rsidRDefault="00EE6D95">
            <w:pPr>
              <w:rPr>
                <w:rFonts w:ascii="Arial" w:hAnsi="Arial" w:cs="Arial"/>
              </w:rPr>
            </w:pPr>
            <w:r w:rsidRPr="00A5008D">
              <w:rPr>
                <w:rFonts w:ascii="Arial" w:hAnsi="Arial" w:cs="Arial"/>
              </w:rPr>
              <w:t>0,0</w:t>
            </w:r>
          </w:p>
        </w:tc>
      </w:tr>
    </w:tbl>
    <w:p w:rsidR="00D849AA" w:rsidRDefault="00D849AA">
      <w:pPr>
        <w:jc w:val="left"/>
      </w:pPr>
    </w:p>
    <w:p w:rsidR="00B515E1" w:rsidRDefault="00EE6D95" w:rsidP="00A5008D">
      <w:pPr>
        <w:pStyle w:val="Normal6"/>
      </w:pPr>
      <w:r>
        <w:t>Namjena ovog projekta je pomoć Carinskoj upravi u nastojanju da izgradi svoj sustav poslovnog izvješćivanja koji će služiti korisnicima u Carinskoj upravi u pronalaženju optimalnih poslovnih procesa, uspostavom kvalitetnog izvješćivanja i analize podataka, nadzoru uspostavljenih mjera te kvalitetnom mjerenju rezultata tih mjera, kao alata za provedbu međunarodnog i nacionalnog zakonodavstva i strategije Carinske uprave kroz primjenu najučinkovitijih metoda i rješenja u uspostavi sustava poslovnog izvješćivanja. Ukupna vrijednost projekta je 250.000,00 EUR (225.000,00 EUR financira Europska unija, dok 25.000,00 EUR iznosi nacionalno sufinanciranje). Riječ je o twinning projektu.</w:t>
      </w:r>
    </w:p>
    <w:p w:rsidR="00B515E1" w:rsidRDefault="00B515E1" w:rsidP="00B515E1">
      <w:pPr>
        <w:pStyle w:val="Normal6"/>
      </w:pPr>
    </w:p>
    <w:p w:rsidR="00B515E1" w:rsidRDefault="00B515E1" w:rsidP="00B515E1">
      <w:pPr>
        <w:pStyle w:val="Normal6"/>
      </w:pPr>
    </w:p>
    <w:p w:rsidR="00D849AA" w:rsidRDefault="00EE6D95">
      <w:pPr>
        <w:pStyle w:val="Naslov2"/>
      </w:pPr>
      <w:r>
        <w:t>02515 Porezna uprava</w:t>
      </w:r>
    </w:p>
    <w:p w:rsidR="00D849AA" w:rsidRDefault="00EE6D95">
      <w:pPr>
        <w:pStyle w:val="Naslov4"/>
      </w:pPr>
      <w:r>
        <w:t>Uvod</w:t>
      </w:r>
    </w:p>
    <w:p w:rsidR="00D849AA" w:rsidRDefault="00EE6D95">
      <w:pPr>
        <w:pStyle w:val="Normal3"/>
      </w:pPr>
      <w:r>
        <w:t xml:space="preserve">Temeljna zadaća Porezne uprave je primjena poreznih propisa i propisa o plaćanju obveznih doprinosa na načelima jednakosti i pravednosti, prikupljanje i obrađivanje podataka o utvrđenim i naplaćenim porezima i doprinosima,kreiranje porezne politike i propisa. </w:t>
      </w:r>
    </w:p>
    <w:p w:rsidR="00D849AA" w:rsidRDefault="00EE6D95">
      <w:pPr>
        <w:pStyle w:val="Normal3"/>
      </w:pPr>
      <w:r>
        <w:t xml:space="preserve"> Djelokrug rada Porezne uprave odnosi se na zaprimanje poreznih prijava , bilježenje poreznih obveza u poreznom knjigovodstvu , naplatu i povrat poreza; utvrđivanje pravodobnosti, zakonitosti i pravilnosti poreznih prijava; utvrđivanje porezne osnovice i porezne obveze; provođenje inspekcijskog nadzora,provođenje ovrhe radi naplate poreza; podnošenje prijave za pokretanje prekršajnog , prijestupovnog i kaznenog postupka ; vođenje prvostupanjskog prekršajnog postupka zbog povrede poreznih propisa ; davanje mišljenja o promjeni propisa u pojedinačnim predmetima ; međunarodna pravna pomoć u poreznim stvarima , praćenje primjene međunarodnih ugovora iz područja poreza ; davanje odobrenja i nadzor nad priređivanjem igara na sreću , zabavnih i nagradnih igara ; provođenje ovrhe radi naplate i drugih javnih davanja po zahtjevima tijela državne uprave.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rsidRPr="00A5008D">
        <w:trPr>
          <w:jc w:val="center"/>
        </w:trPr>
        <w:tc>
          <w:tcPr>
            <w:tcW w:w="1486" w:type="dxa"/>
            <w:shd w:val="clear" w:color="auto" w:fill="B5C0D8"/>
          </w:tcPr>
          <w:p w:rsidR="00D849AA" w:rsidRPr="00A5008D" w:rsidRDefault="00D849AA">
            <w:pPr>
              <w:pStyle w:val="CellHeader"/>
            </w:pPr>
          </w:p>
        </w:tc>
        <w:tc>
          <w:tcPr>
            <w:tcW w:w="1486" w:type="dxa"/>
            <w:shd w:val="clear" w:color="auto" w:fill="B5C0D8"/>
          </w:tcPr>
          <w:p w:rsidR="00D849AA" w:rsidRPr="00A5008D" w:rsidRDefault="00EE6D95">
            <w:pPr>
              <w:pStyle w:val="CellHeader"/>
            </w:pPr>
            <w:r w:rsidRPr="00A5008D">
              <w:t>Plan 2013.</w:t>
            </w:r>
          </w:p>
        </w:tc>
        <w:tc>
          <w:tcPr>
            <w:tcW w:w="1486" w:type="dxa"/>
            <w:shd w:val="clear" w:color="auto" w:fill="B5C0D8"/>
          </w:tcPr>
          <w:p w:rsidR="00D849AA" w:rsidRPr="00A5008D" w:rsidRDefault="00EE6D95">
            <w:pPr>
              <w:pStyle w:val="CellHeader"/>
            </w:pPr>
            <w:r w:rsidRPr="00A5008D">
              <w:t>Plan 2014.</w:t>
            </w:r>
          </w:p>
        </w:tc>
        <w:tc>
          <w:tcPr>
            <w:tcW w:w="1486" w:type="dxa"/>
            <w:shd w:val="clear" w:color="auto" w:fill="B5C0D8"/>
          </w:tcPr>
          <w:p w:rsidR="00D849AA" w:rsidRPr="00A5008D" w:rsidRDefault="00EE6D95">
            <w:pPr>
              <w:pStyle w:val="CellHeader"/>
            </w:pPr>
            <w:r w:rsidRPr="00A5008D">
              <w:t>Plan 2015.</w:t>
            </w:r>
          </w:p>
        </w:tc>
        <w:tc>
          <w:tcPr>
            <w:tcW w:w="1486" w:type="dxa"/>
            <w:shd w:val="clear" w:color="auto" w:fill="B5C0D8"/>
          </w:tcPr>
          <w:p w:rsidR="00D849AA" w:rsidRPr="00A5008D" w:rsidRDefault="00EE6D95">
            <w:pPr>
              <w:pStyle w:val="CellHeader"/>
            </w:pPr>
            <w:r w:rsidRPr="00A5008D">
              <w:t>Plan 2016.</w:t>
            </w:r>
          </w:p>
        </w:tc>
        <w:tc>
          <w:tcPr>
            <w:tcW w:w="1486" w:type="dxa"/>
            <w:shd w:val="clear" w:color="auto" w:fill="B5C0D8"/>
          </w:tcPr>
          <w:p w:rsidR="00D849AA" w:rsidRPr="00A5008D" w:rsidRDefault="00EE6D95">
            <w:pPr>
              <w:pStyle w:val="CellHeader"/>
            </w:pPr>
            <w:r w:rsidRPr="00A5008D">
              <w:t>Indeks 2014/2013</w:t>
            </w:r>
          </w:p>
        </w:tc>
      </w:tr>
      <w:tr w:rsidR="00D849AA" w:rsidRPr="00A5008D">
        <w:trPr>
          <w:jc w:val="center"/>
        </w:trPr>
        <w:tc>
          <w:tcPr>
            <w:tcW w:w="1486" w:type="dxa"/>
          </w:tcPr>
          <w:p w:rsidR="00D849AA" w:rsidRPr="00A5008D" w:rsidRDefault="00EE6D95">
            <w:pPr>
              <w:pStyle w:val="CellColumn"/>
            </w:pPr>
            <w:r w:rsidRPr="00A5008D">
              <w:t>02515</w:t>
            </w:r>
          </w:p>
        </w:tc>
        <w:tc>
          <w:tcPr>
            <w:tcW w:w="1486" w:type="dxa"/>
          </w:tcPr>
          <w:p w:rsidR="00D849AA" w:rsidRPr="00A5008D" w:rsidRDefault="00EE6D95">
            <w:pPr>
              <w:rPr>
                <w:rFonts w:ascii="Arial" w:hAnsi="Arial" w:cs="Arial"/>
              </w:rPr>
            </w:pPr>
            <w:r w:rsidRPr="00A5008D">
              <w:rPr>
                <w:rFonts w:ascii="Arial" w:hAnsi="Arial" w:cs="Arial"/>
              </w:rPr>
              <w:t>894.929.453</w:t>
            </w:r>
          </w:p>
        </w:tc>
        <w:tc>
          <w:tcPr>
            <w:tcW w:w="1486" w:type="dxa"/>
          </w:tcPr>
          <w:p w:rsidR="00D849AA" w:rsidRPr="00A5008D" w:rsidRDefault="00EE6D95">
            <w:pPr>
              <w:rPr>
                <w:rFonts w:ascii="Arial" w:hAnsi="Arial" w:cs="Arial"/>
              </w:rPr>
            </w:pPr>
            <w:r w:rsidRPr="00A5008D">
              <w:rPr>
                <w:rFonts w:ascii="Arial" w:hAnsi="Arial" w:cs="Arial"/>
              </w:rPr>
              <w:t>949.635.426</w:t>
            </w:r>
          </w:p>
        </w:tc>
        <w:tc>
          <w:tcPr>
            <w:tcW w:w="1486" w:type="dxa"/>
          </w:tcPr>
          <w:p w:rsidR="00D849AA" w:rsidRPr="00A5008D" w:rsidRDefault="00EE6D95">
            <w:pPr>
              <w:rPr>
                <w:rFonts w:ascii="Arial" w:hAnsi="Arial" w:cs="Arial"/>
              </w:rPr>
            </w:pPr>
            <w:r w:rsidRPr="00A5008D">
              <w:rPr>
                <w:rFonts w:ascii="Arial" w:hAnsi="Arial" w:cs="Arial"/>
              </w:rPr>
              <w:t>902.198.910</w:t>
            </w:r>
          </w:p>
        </w:tc>
        <w:tc>
          <w:tcPr>
            <w:tcW w:w="1486" w:type="dxa"/>
          </w:tcPr>
          <w:p w:rsidR="00D849AA" w:rsidRPr="00A5008D" w:rsidRDefault="00EE6D95">
            <w:pPr>
              <w:rPr>
                <w:rFonts w:ascii="Arial" w:hAnsi="Arial" w:cs="Arial"/>
              </w:rPr>
            </w:pPr>
            <w:r w:rsidRPr="00A5008D">
              <w:rPr>
                <w:rFonts w:ascii="Arial" w:hAnsi="Arial" w:cs="Arial"/>
              </w:rPr>
              <w:t>887.679.009</w:t>
            </w:r>
          </w:p>
        </w:tc>
        <w:tc>
          <w:tcPr>
            <w:tcW w:w="1486" w:type="dxa"/>
          </w:tcPr>
          <w:p w:rsidR="00D849AA" w:rsidRPr="00A5008D" w:rsidRDefault="00EE6D95">
            <w:pPr>
              <w:rPr>
                <w:rFonts w:ascii="Arial" w:hAnsi="Arial" w:cs="Arial"/>
              </w:rPr>
            </w:pPr>
            <w:r w:rsidRPr="00A5008D">
              <w:rPr>
                <w:rFonts w:ascii="Arial" w:hAnsi="Arial" w:cs="Arial"/>
              </w:rPr>
              <w:t>106,1</w:t>
            </w:r>
          </w:p>
        </w:tc>
      </w:tr>
    </w:tbl>
    <w:p w:rsidR="00D849AA" w:rsidRPr="00A5008D" w:rsidRDefault="00D849AA">
      <w:pPr>
        <w:jc w:val="left"/>
        <w:rPr>
          <w:rFonts w:ascii="Arial" w:hAnsi="Arial" w:cs="Arial"/>
        </w:rPr>
      </w:pPr>
    </w:p>
    <w:p w:rsidR="00D849AA" w:rsidRDefault="00EE6D95">
      <w:pPr>
        <w:pStyle w:val="Naslov4"/>
      </w:pPr>
      <w:r>
        <w:t>OBRAZLOŽENJE PROGRAMA</w:t>
      </w:r>
    </w:p>
    <w:p w:rsidR="00D849AA" w:rsidRDefault="00EE6D95">
      <w:pPr>
        <w:pStyle w:val="Naslov5"/>
      </w:pPr>
      <w:r>
        <w:t>2207 DJELATNOST CARINSKOG I POREZNOG SUSTAVA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A5008D" w:rsidRDefault="00D849AA">
            <w:pPr>
              <w:pStyle w:val="CellHeader"/>
            </w:pPr>
          </w:p>
        </w:tc>
        <w:tc>
          <w:tcPr>
            <w:tcW w:w="1486" w:type="dxa"/>
            <w:shd w:val="clear" w:color="auto" w:fill="B5C0D8"/>
          </w:tcPr>
          <w:p w:rsidR="00D849AA" w:rsidRPr="00A5008D" w:rsidRDefault="00EE6D95">
            <w:pPr>
              <w:pStyle w:val="CellHeader"/>
            </w:pPr>
            <w:r w:rsidRPr="00A5008D">
              <w:t>Plan 2013.</w:t>
            </w:r>
          </w:p>
        </w:tc>
        <w:tc>
          <w:tcPr>
            <w:tcW w:w="1486" w:type="dxa"/>
            <w:shd w:val="clear" w:color="auto" w:fill="B5C0D8"/>
          </w:tcPr>
          <w:p w:rsidR="00D849AA" w:rsidRPr="00A5008D" w:rsidRDefault="00EE6D95">
            <w:pPr>
              <w:pStyle w:val="CellHeader"/>
            </w:pPr>
            <w:r w:rsidRPr="00A5008D">
              <w:t>Plan 2014.</w:t>
            </w:r>
          </w:p>
        </w:tc>
        <w:tc>
          <w:tcPr>
            <w:tcW w:w="1486" w:type="dxa"/>
            <w:shd w:val="clear" w:color="auto" w:fill="B5C0D8"/>
          </w:tcPr>
          <w:p w:rsidR="00D849AA" w:rsidRPr="00A5008D" w:rsidRDefault="00EE6D95">
            <w:pPr>
              <w:pStyle w:val="CellHeader"/>
            </w:pPr>
            <w:r w:rsidRPr="00A5008D">
              <w:t>Plan 2015.</w:t>
            </w:r>
          </w:p>
        </w:tc>
        <w:tc>
          <w:tcPr>
            <w:tcW w:w="1486" w:type="dxa"/>
            <w:shd w:val="clear" w:color="auto" w:fill="B5C0D8"/>
          </w:tcPr>
          <w:p w:rsidR="00D849AA" w:rsidRPr="00A5008D" w:rsidRDefault="00EE6D95">
            <w:pPr>
              <w:pStyle w:val="CellHeader"/>
            </w:pPr>
            <w:r w:rsidRPr="00A5008D">
              <w:t>Plan 2016.</w:t>
            </w:r>
          </w:p>
        </w:tc>
        <w:tc>
          <w:tcPr>
            <w:tcW w:w="1486" w:type="dxa"/>
            <w:shd w:val="clear" w:color="auto" w:fill="B5C0D8"/>
          </w:tcPr>
          <w:p w:rsidR="00D849AA" w:rsidRPr="00A5008D" w:rsidRDefault="00EE6D95">
            <w:pPr>
              <w:pStyle w:val="CellHeader"/>
            </w:pPr>
            <w:r w:rsidRPr="00A5008D">
              <w:t>Indeks 2014/2013</w:t>
            </w:r>
          </w:p>
        </w:tc>
      </w:tr>
      <w:tr w:rsidR="00D849AA">
        <w:trPr>
          <w:jc w:val="center"/>
        </w:trPr>
        <w:tc>
          <w:tcPr>
            <w:tcW w:w="1486" w:type="dxa"/>
          </w:tcPr>
          <w:p w:rsidR="00D849AA" w:rsidRPr="00A5008D" w:rsidRDefault="00EE6D95">
            <w:pPr>
              <w:pStyle w:val="CellColumn"/>
            </w:pPr>
            <w:r w:rsidRPr="00A5008D">
              <w:t>2207</w:t>
            </w:r>
          </w:p>
        </w:tc>
        <w:tc>
          <w:tcPr>
            <w:tcW w:w="1486" w:type="dxa"/>
          </w:tcPr>
          <w:p w:rsidR="00D849AA" w:rsidRPr="00A5008D" w:rsidRDefault="00EE6D95">
            <w:pPr>
              <w:rPr>
                <w:rFonts w:ascii="Arial" w:hAnsi="Arial" w:cs="Arial"/>
              </w:rPr>
            </w:pPr>
            <w:r w:rsidRPr="00A5008D">
              <w:rPr>
                <w:rFonts w:ascii="Arial" w:hAnsi="Arial" w:cs="Arial"/>
              </w:rPr>
              <w:t>894.929.453</w:t>
            </w:r>
          </w:p>
        </w:tc>
        <w:tc>
          <w:tcPr>
            <w:tcW w:w="1486" w:type="dxa"/>
          </w:tcPr>
          <w:p w:rsidR="00D849AA" w:rsidRPr="00A5008D" w:rsidRDefault="00EE6D95">
            <w:pPr>
              <w:rPr>
                <w:rFonts w:ascii="Arial" w:hAnsi="Arial" w:cs="Arial"/>
              </w:rPr>
            </w:pPr>
            <w:r w:rsidRPr="00A5008D">
              <w:rPr>
                <w:rFonts w:ascii="Arial" w:hAnsi="Arial" w:cs="Arial"/>
              </w:rPr>
              <w:t>949.635.426</w:t>
            </w:r>
          </w:p>
        </w:tc>
        <w:tc>
          <w:tcPr>
            <w:tcW w:w="1486" w:type="dxa"/>
          </w:tcPr>
          <w:p w:rsidR="00D849AA" w:rsidRPr="00A5008D" w:rsidRDefault="00EE6D95">
            <w:pPr>
              <w:rPr>
                <w:rFonts w:ascii="Arial" w:hAnsi="Arial" w:cs="Arial"/>
              </w:rPr>
            </w:pPr>
            <w:r w:rsidRPr="00A5008D">
              <w:rPr>
                <w:rFonts w:ascii="Arial" w:hAnsi="Arial" w:cs="Arial"/>
              </w:rPr>
              <w:t>902.198.910</w:t>
            </w:r>
          </w:p>
        </w:tc>
        <w:tc>
          <w:tcPr>
            <w:tcW w:w="1486" w:type="dxa"/>
          </w:tcPr>
          <w:p w:rsidR="00D849AA" w:rsidRPr="00A5008D" w:rsidRDefault="00EE6D95">
            <w:pPr>
              <w:rPr>
                <w:rFonts w:ascii="Arial" w:hAnsi="Arial" w:cs="Arial"/>
              </w:rPr>
            </w:pPr>
            <w:r w:rsidRPr="00A5008D">
              <w:rPr>
                <w:rFonts w:ascii="Arial" w:hAnsi="Arial" w:cs="Arial"/>
              </w:rPr>
              <w:t>887.679.009</w:t>
            </w:r>
          </w:p>
        </w:tc>
        <w:tc>
          <w:tcPr>
            <w:tcW w:w="1486" w:type="dxa"/>
          </w:tcPr>
          <w:p w:rsidR="00D849AA" w:rsidRPr="00A5008D" w:rsidRDefault="00EE6D95">
            <w:pPr>
              <w:rPr>
                <w:rFonts w:ascii="Arial" w:hAnsi="Arial" w:cs="Arial"/>
              </w:rPr>
            </w:pPr>
            <w:r w:rsidRPr="00A5008D">
              <w:rPr>
                <w:rFonts w:ascii="Arial" w:hAnsi="Arial" w:cs="Arial"/>
              </w:rPr>
              <w:t>106,1</w:t>
            </w:r>
          </w:p>
        </w:tc>
      </w:tr>
    </w:tbl>
    <w:p w:rsidR="00D849AA" w:rsidRDefault="00D849AA">
      <w:pPr>
        <w:jc w:val="left"/>
      </w:pPr>
    </w:p>
    <w:p w:rsidR="00D849AA" w:rsidRDefault="00EE6D95">
      <w:pPr>
        <w:pStyle w:val="Naslov6"/>
      </w:pPr>
      <w:r>
        <w:lastRenderedPageBreak/>
        <w:t>Opis programa</w:t>
      </w:r>
    </w:p>
    <w:p w:rsidR="00D849AA" w:rsidRDefault="00EE6D95">
      <w:pPr>
        <w:pStyle w:val="Normal5"/>
      </w:pPr>
      <w:r>
        <w:t>Primjena poreznih propisa i propisa o plaćanju obveznih doprinosa u svrhu podmirenja javnih troškova u skladu s gospodarskim mogućnostima RH.</w:t>
      </w:r>
    </w:p>
    <w:p w:rsidR="00D849AA" w:rsidRDefault="00EE6D95">
      <w:pPr>
        <w:pStyle w:val="Naslov6"/>
      </w:pPr>
      <w:r>
        <w:t>Zakonske i druge pravne osnove</w:t>
      </w:r>
    </w:p>
    <w:p w:rsidR="00D849AA" w:rsidRDefault="00EE6D95">
      <w:pPr>
        <w:pStyle w:val="Normal5"/>
      </w:pPr>
      <w:r>
        <w:t xml:space="preserve">1. Zakon o ustrojstvu i djelokrugu ministarstava i drugih državnih organizacija </w:t>
      </w:r>
    </w:p>
    <w:p w:rsidR="00D849AA" w:rsidRDefault="00EE6D95">
      <w:pPr>
        <w:pStyle w:val="Normal5"/>
      </w:pPr>
      <w:r>
        <w:t xml:space="preserve">2. Zakon o proračunu </w:t>
      </w:r>
    </w:p>
    <w:p w:rsidR="00D849AA" w:rsidRDefault="00EE6D95">
      <w:pPr>
        <w:pStyle w:val="Normal5"/>
      </w:pPr>
      <w:r>
        <w:t xml:space="preserve">3. Zakon o izvršenju proračuna </w:t>
      </w:r>
    </w:p>
    <w:p w:rsidR="00D849AA" w:rsidRDefault="00EE6D95">
      <w:pPr>
        <w:pStyle w:val="Normal5"/>
      </w:pPr>
      <w:r>
        <w:t xml:space="preserve">4. Zakon o Poreznoj upravi </w:t>
      </w:r>
    </w:p>
    <w:p w:rsidR="00D849AA" w:rsidRDefault="00EE6D95">
      <w:pPr>
        <w:pStyle w:val="Normal5"/>
      </w:pPr>
      <w:r>
        <w:t>5. Zakon o osobnom identifikacijskom broju</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 xml:space="preserve">Cilj 1. Učinkovita i efikasna naplata poreznih prihoda </w:t>
      </w:r>
    </w:p>
    <w:p w:rsidR="00B515E1" w:rsidRDefault="00EE6D95" w:rsidP="00B515E1">
      <w:pPr>
        <w:pStyle w:val="Normal6"/>
      </w:pPr>
      <w:r>
        <w:t>Učinkovita i efikasna naplata poreznih prihoda podržana dobrom informatičkom opremom i sigurnim software-ima kao i učinkovitom službom nadzora.</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329"/>
        <w:gridCol w:w="1486"/>
        <w:gridCol w:w="1486"/>
        <w:gridCol w:w="1486"/>
      </w:tblGrid>
      <w:tr w:rsidR="00D849AA">
        <w:trPr>
          <w:jc w:val="center"/>
        </w:trPr>
        <w:tc>
          <w:tcPr>
            <w:tcW w:w="2229" w:type="dxa"/>
            <w:shd w:val="clear" w:color="auto" w:fill="B5C0D8"/>
          </w:tcPr>
          <w:p w:rsidR="00D849AA" w:rsidRPr="00A5008D" w:rsidRDefault="00EE6D95">
            <w:pPr>
              <w:rPr>
                <w:rFonts w:ascii="Arial" w:hAnsi="Arial" w:cs="Arial"/>
              </w:rPr>
            </w:pPr>
            <w:r w:rsidRPr="00A5008D">
              <w:rPr>
                <w:rFonts w:ascii="Arial" w:hAnsi="Arial" w:cs="Arial"/>
              </w:rPr>
              <w:t>Pokazatelj učinka</w:t>
            </w:r>
          </w:p>
        </w:tc>
        <w:tc>
          <w:tcPr>
            <w:tcW w:w="1114" w:type="dxa"/>
            <w:shd w:val="clear" w:color="auto" w:fill="B5C0D8"/>
          </w:tcPr>
          <w:p w:rsidR="00D849AA" w:rsidRPr="00A5008D" w:rsidRDefault="00EE6D95">
            <w:pPr>
              <w:pStyle w:val="CellHeader"/>
            </w:pPr>
            <w:r w:rsidRPr="00A5008D">
              <w:t>Jedinica</w:t>
            </w:r>
          </w:p>
        </w:tc>
        <w:tc>
          <w:tcPr>
            <w:tcW w:w="1114" w:type="dxa"/>
            <w:shd w:val="clear" w:color="auto" w:fill="B5C0D8"/>
          </w:tcPr>
          <w:p w:rsidR="00D849AA" w:rsidRPr="00A5008D" w:rsidRDefault="00EE6D95">
            <w:pPr>
              <w:pStyle w:val="CellHeader"/>
            </w:pPr>
            <w:r w:rsidRPr="00A5008D">
              <w:t>Polazna vrijednost</w:t>
            </w:r>
          </w:p>
        </w:tc>
        <w:tc>
          <w:tcPr>
            <w:tcW w:w="1486" w:type="dxa"/>
            <w:shd w:val="clear" w:color="auto" w:fill="B5C0D8"/>
          </w:tcPr>
          <w:p w:rsidR="00D849AA" w:rsidRPr="00A5008D" w:rsidRDefault="00EE6D95">
            <w:pPr>
              <w:pStyle w:val="CellHeader"/>
            </w:pPr>
            <w:r w:rsidRPr="00A5008D">
              <w:t>Ciljana vrijednost (2014.)</w:t>
            </w:r>
          </w:p>
        </w:tc>
        <w:tc>
          <w:tcPr>
            <w:tcW w:w="1486" w:type="dxa"/>
            <w:shd w:val="clear" w:color="auto" w:fill="B5C0D8"/>
          </w:tcPr>
          <w:p w:rsidR="00D849AA" w:rsidRPr="00A5008D" w:rsidRDefault="00EE6D95">
            <w:pPr>
              <w:pStyle w:val="CellHeader"/>
            </w:pPr>
            <w:r w:rsidRPr="00A5008D">
              <w:t>Ciljana vrijednost (2015.)</w:t>
            </w:r>
          </w:p>
        </w:tc>
        <w:tc>
          <w:tcPr>
            <w:tcW w:w="1486" w:type="dxa"/>
            <w:shd w:val="clear" w:color="auto" w:fill="B5C0D8"/>
          </w:tcPr>
          <w:p w:rsidR="00D849AA" w:rsidRPr="00A5008D" w:rsidRDefault="00EE6D95">
            <w:pPr>
              <w:pStyle w:val="CellHeader"/>
            </w:pPr>
            <w:r w:rsidRPr="00A5008D">
              <w:t>Ciljana vrijednost (2016.)</w:t>
            </w:r>
          </w:p>
        </w:tc>
      </w:tr>
      <w:tr w:rsidR="00D849AA">
        <w:trPr>
          <w:jc w:val="center"/>
        </w:trPr>
        <w:tc>
          <w:tcPr>
            <w:tcW w:w="2229" w:type="dxa"/>
          </w:tcPr>
          <w:p w:rsidR="00D849AA" w:rsidRPr="00A5008D" w:rsidRDefault="00EE6D95">
            <w:pPr>
              <w:pStyle w:val="CellColumn"/>
            </w:pPr>
            <w:r w:rsidRPr="00A5008D">
              <w:t>Podmirenost evidentiranih obveza</w:t>
            </w:r>
          </w:p>
        </w:tc>
        <w:tc>
          <w:tcPr>
            <w:tcW w:w="1114" w:type="dxa"/>
          </w:tcPr>
          <w:p w:rsidR="00D849AA" w:rsidRPr="00A5008D" w:rsidRDefault="00D849AA">
            <w:pPr>
              <w:jc w:val="left"/>
              <w:rPr>
                <w:rFonts w:ascii="Arial" w:hAnsi="Arial" w:cs="Arial"/>
              </w:rPr>
            </w:pPr>
          </w:p>
        </w:tc>
        <w:tc>
          <w:tcPr>
            <w:tcW w:w="1114" w:type="dxa"/>
          </w:tcPr>
          <w:p w:rsidR="00D849AA" w:rsidRPr="00A5008D" w:rsidRDefault="00EE6D95">
            <w:pPr>
              <w:rPr>
                <w:rFonts w:ascii="Arial" w:hAnsi="Arial" w:cs="Arial"/>
              </w:rPr>
            </w:pPr>
            <w:r w:rsidRPr="00A5008D">
              <w:rPr>
                <w:rFonts w:ascii="Arial" w:hAnsi="Arial" w:cs="Arial"/>
              </w:rPr>
              <w:t>894.929.453</w:t>
            </w:r>
          </w:p>
        </w:tc>
        <w:tc>
          <w:tcPr>
            <w:tcW w:w="1486" w:type="dxa"/>
          </w:tcPr>
          <w:p w:rsidR="00D849AA" w:rsidRPr="00A5008D" w:rsidRDefault="00EE6D95">
            <w:pPr>
              <w:rPr>
                <w:rFonts w:ascii="Arial" w:hAnsi="Arial" w:cs="Arial"/>
              </w:rPr>
            </w:pPr>
            <w:r w:rsidRPr="00A5008D">
              <w:rPr>
                <w:rFonts w:ascii="Arial" w:hAnsi="Arial" w:cs="Arial"/>
              </w:rPr>
              <w:t>949.635.426</w:t>
            </w:r>
          </w:p>
        </w:tc>
        <w:tc>
          <w:tcPr>
            <w:tcW w:w="1486" w:type="dxa"/>
          </w:tcPr>
          <w:p w:rsidR="00D849AA" w:rsidRPr="00A5008D" w:rsidRDefault="00EE6D95">
            <w:pPr>
              <w:rPr>
                <w:rFonts w:ascii="Arial" w:hAnsi="Arial" w:cs="Arial"/>
              </w:rPr>
            </w:pPr>
            <w:r w:rsidRPr="00A5008D">
              <w:rPr>
                <w:rFonts w:ascii="Arial" w:hAnsi="Arial" w:cs="Arial"/>
              </w:rPr>
              <w:t>902.198.910</w:t>
            </w:r>
          </w:p>
        </w:tc>
        <w:tc>
          <w:tcPr>
            <w:tcW w:w="1486" w:type="dxa"/>
          </w:tcPr>
          <w:p w:rsidR="00D849AA" w:rsidRPr="00A5008D" w:rsidRDefault="00EE6D95">
            <w:pPr>
              <w:rPr>
                <w:rFonts w:ascii="Arial" w:hAnsi="Arial" w:cs="Arial"/>
              </w:rPr>
            </w:pPr>
            <w:r w:rsidRPr="00A5008D">
              <w:rPr>
                <w:rFonts w:ascii="Arial" w:hAnsi="Arial" w:cs="Arial"/>
              </w:rPr>
              <w:t>887.679.009</w:t>
            </w:r>
          </w:p>
        </w:tc>
      </w:tr>
    </w:tbl>
    <w:p w:rsidR="00D849AA" w:rsidRDefault="00D849AA">
      <w:pPr>
        <w:jc w:val="left"/>
      </w:pPr>
    </w:p>
    <w:p w:rsidR="00D849AA" w:rsidRDefault="00EE6D95">
      <w:pPr>
        <w:pStyle w:val="Naslov5"/>
      </w:pPr>
      <w:r>
        <w:t>Procjena i ishodište potrebnih sredstava za značajnije aktivnosti/projekte</w:t>
      </w:r>
    </w:p>
    <w:p w:rsidR="00D849AA" w:rsidRDefault="00EE6D95">
      <w:pPr>
        <w:pStyle w:val="Naslov6"/>
      </w:pPr>
      <w:r>
        <w:t>K270160 INFORMATIZACIJA POREZNE UPRAVE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A5008D" w:rsidRDefault="00EE6D95">
            <w:pPr>
              <w:pStyle w:val="CellHeader"/>
            </w:pPr>
            <w:r w:rsidRPr="00A5008D">
              <w:t>Naziv aktivnosti</w:t>
            </w:r>
          </w:p>
        </w:tc>
        <w:tc>
          <w:tcPr>
            <w:tcW w:w="1486" w:type="dxa"/>
            <w:shd w:val="clear" w:color="auto" w:fill="B5C0D8"/>
          </w:tcPr>
          <w:p w:rsidR="00D849AA" w:rsidRPr="00A5008D" w:rsidRDefault="00EE6D95">
            <w:pPr>
              <w:pStyle w:val="CellHeader"/>
            </w:pPr>
            <w:r w:rsidRPr="00A5008D">
              <w:t>Plan 2013.</w:t>
            </w:r>
          </w:p>
        </w:tc>
        <w:tc>
          <w:tcPr>
            <w:tcW w:w="1486" w:type="dxa"/>
            <w:shd w:val="clear" w:color="auto" w:fill="B5C0D8"/>
          </w:tcPr>
          <w:p w:rsidR="00D849AA" w:rsidRPr="00A5008D" w:rsidRDefault="00EE6D95">
            <w:pPr>
              <w:pStyle w:val="CellHeader"/>
            </w:pPr>
            <w:r w:rsidRPr="00A5008D">
              <w:t>Plan 2014.</w:t>
            </w:r>
          </w:p>
        </w:tc>
        <w:tc>
          <w:tcPr>
            <w:tcW w:w="1486" w:type="dxa"/>
            <w:shd w:val="clear" w:color="auto" w:fill="B5C0D8"/>
          </w:tcPr>
          <w:p w:rsidR="00D849AA" w:rsidRPr="00A5008D" w:rsidRDefault="00EE6D95">
            <w:pPr>
              <w:pStyle w:val="CellHeader"/>
            </w:pPr>
            <w:r w:rsidRPr="00A5008D">
              <w:t>Plan 2015.</w:t>
            </w:r>
          </w:p>
        </w:tc>
        <w:tc>
          <w:tcPr>
            <w:tcW w:w="1486" w:type="dxa"/>
            <w:shd w:val="clear" w:color="auto" w:fill="B5C0D8"/>
          </w:tcPr>
          <w:p w:rsidR="00D849AA" w:rsidRPr="00A5008D" w:rsidRDefault="00EE6D95">
            <w:pPr>
              <w:pStyle w:val="CellHeader"/>
            </w:pPr>
            <w:r w:rsidRPr="00A5008D">
              <w:t>Plan 2016.</w:t>
            </w:r>
          </w:p>
        </w:tc>
        <w:tc>
          <w:tcPr>
            <w:tcW w:w="1486" w:type="dxa"/>
            <w:shd w:val="clear" w:color="auto" w:fill="B5C0D8"/>
          </w:tcPr>
          <w:p w:rsidR="00D849AA" w:rsidRPr="00A5008D" w:rsidRDefault="00EE6D95">
            <w:pPr>
              <w:pStyle w:val="CellHeader"/>
            </w:pPr>
            <w:r w:rsidRPr="00A5008D">
              <w:t>Indeks 2014/2013</w:t>
            </w:r>
          </w:p>
        </w:tc>
      </w:tr>
      <w:tr w:rsidR="00D849AA">
        <w:trPr>
          <w:jc w:val="center"/>
        </w:trPr>
        <w:tc>
          <w:tcPr>
            <w:tcW w:w="1486" w:type="dxa"/>
          </w:tcPr>
          <w:p w:rsidR="00D849AA" w:rsidRPr="00A5008D" w:rsidRDefault="00EE6D95">
            <w:pPr>
              <w:pStyle w:val="CellColumn"/>
            </w:pPr>
            <w:r w:rsidRPr="00A5008D">
              <w:t>K270160</w:t>
            </w:r>
          </w:p>
        </w:tc>
        <w:tc>
          <w:tcPr>
            <w:tcW w:w="1486" w:type="dxa"/>
          </w:tcPr>
          <w:p w:rsidR="00D849AA" w:rsidRPr="00A5008D" w:rsidRDefault="00EE6D95">
            <w:pPr>
              <w:rPr>
                <w:rFonts w:ascii="Arial" w:hAnsi="Arial" w:cs="Arial"/>
              </w:rPr>
            </w:pPr>
            <w:r w:rsidRPr="00A5008D">
              <w:rPr>
                <w:rFonts w:ascii="Arial" w:hAnsi="Arial" w:cs="Arial"/>
              </w:rPr>
              <w:t>31.800.000</w:t>
            </w:r>
          </w:p>
        </w:tc>
        <w:tc>
          <w:tcPr>
            <w:tcW w:w="1486" w:type="dxa"/>
          </w:tcPr>
          <w:p w:rsidR="00D849AA" w:rsidRPr="00A5008D" w:rsidRDefault="00EE6D95">
            <w:pPr>
              <w:rPr>
                <w:rFonts w:ascii="Arial" w:hAnsi="Arial" w:cs="Arial"/>
              </w:rPr>
            </w:pPr>
            <w:r w:rsidRPr="00A5008D">
              <w:rPr>
                <w:rFonts w:ascii="Arial" w:hAnsi="Arial" w:cs="Arial"/>
              </w:rPr>
              <w:t>18.296.325</w:t>
            </w:r>
          </w:p>
        </w:tc>
        <w:tc>
          <w:tcPr>
            <w:tcW w:w="1486" w:type="dxa"/>
          </w:tcPr>
          <w:p w:rsidR="00D849AA" w:rsidRPr="00A5008D" w:rsidRDefault="00EE6D95">
            <w:pPr>
              <w:rPr>
                <w:rFonts w:ascii="Arial" w:hAnsi="Arial" w:cs="Arial"/>
              </w:rPr>
            </w:pPr>
            <w:r w:rsidRPr="00A5008D">
              <w:rPr>
                <w:rFonts w:ascii="Arial" w:hAnsi="Arial" w:cs="Arial"/>
              </w:rPr>
              <w:t>10.650.000</w:t>
            </w:r>
          </w:p>
        </w:tc>
        <w:tc>
          <w:tcPr>
            <w:tcW w:w="1486" w:type="dxa"/>
          </w:tcPr>
          <w:p w:rsidR="00D849AA" w:rsidRPr="00A5008D" w:rsidRDefault="00EE6D95">
            <w:pPr>
              <w:rPr>
                <w:rFonts w:ascii="Arial" w:hAnsi="Arial" w:cs="Arial"/>
              </w:rPr>
            </w:pPr>
            <w:r w:rsidRPr="00A5008D">
              <w:rPr>
                <w:rFonts w:ascii="Arial" w:hAnsi="Arial" w:cs="Arial"/>
              </w:rPr>
              <w:t>10.650.000</w:t>
            </w:r>
          </w:p>
        </w:tc>
        <w:tc>
          <w:tcPr>
            <w:tcW w:w="1486" w:type="dxa"/>
          </w:tcPr>
          <w:p w:rsidR="00D849AA" w:rsidRPr="00A5008D" w:rsidRDefault="00EE6D95">
            <w:pPr>
              <w:rPr>
                <w:rFonts w:ascii="Arial" w:hAnsi="Arial" w:cs="Arial"/>
              </w:rPr>
            </w:pPr>
            <w:r w:rsidRPr="00A5008D">
              <w:rPr>
                <w:rFonts w:ascii="Arial" w:hAnsi="Arial" w:cs="Arial"/>
              </w:rPr>
              <w:t>57,5</w:t>
            </w:r>
          </w:p>
        </w:tc>
      </w:tr>
    </w:tbl>
    <w:p w:rsidR="00D849AA" w:rsidRDefault="00D849AA">
      <w:pPr>
        <w:jc w:val="left"/>
      </w:pPr>
    </w:p>
    <w:p w:rsidR="00B515E1" w:rsidRDefault="00EE6D95" w:rsidP="00B515E1">
      <w:pPr>
        <w:pStyle w:val="Normal6"/>
      </w:pPr>
      <w:r>
        <w:t>Osiguranje dobre informatičke opreme i sigurnih software-a s naglaskom na daljnje provođenje Zakona o fiskalizaciji i s naglaskom na razmjenu informacija u EU.</w:t>
      </w:r>
    </w:p>
    <w:p w:rsidR="00B515E1" w:rsidRDefault="00B515E1" w:rsidP="00B515E1">
      <w:pPr>
        <w:pStyle w:val="Normal6"/>
      </w:pPr>
    </w:p>
    <w:p w:rsidR="00D849AA" w:rsidRDefault="00EE6D95">
      <w:pPr>
        <w:pStyle w:val="Naslov6"/>
      </w:pPr>
      <w:r>
        <w:t>K541007 OBNOVA VOZNOG PARKA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A5008D" w:rsidRDefault="00EE6D95">
            <w:pPr>
              <w:pStyle w:val="CellHeader"/>
            </w:pPr>
            <w:r w:rsidRPr="00A5008D">
              <w:t>Naziv aktivnosti</w:t>
            </w:r>
          </w:p>
        </w:tc>
        <w:tc>
          <w:tcPr>
            <w:tcW w:w="1486" w:type="dxa"/>
            <w:shd w:val="clear" w:color="auto" w:fill="B5C0D8"/>
          </w:tcPr>
          <w:p w:rsidR="00D849AA" w:rsidRPr="00A5008D" w:rsidRDefault="00EE6D95">
            <w:pPr>
              <w:pStyle w:val="CellHeader"/>
            </w:pPr>
            <w:r w:rsidRPr="00A5008D">
              <w:t>Plan 2013.</w:t>
            </w:r>
          </w:p>
        </w:tc>
        <w:tc>
          <w:tcPr>
            <w:tcW w:w="1486" w:type="dxa"/>
            <w:shd w:val="clear" w:color="auto" w:fill="B5C0D8"/>
          </w:tcPr>
          <w:p w:rsidR="00D849AA" w:rsidRPr="00A5008D" w:rsidRDefault="00EE6D95">
            <w:pPr>
              <w:pStyle w:val="CellHeader"/>
            </w:pPr>
            <w:r w:rsidRPr="00A5008D">
              <w:t>Plan 2014.</w:t>
            </w:r>
          </w:p>
        </w:tc>
        <w:tc>
          <w:tcPr>
            <w:tcW w:w="1486" w:type="dxa"/>
            <w:shd w:val="clear" w:color="auto" w:fill="B5C0D8"/>
          </w:tcPr>
          <w:p w:rsidR="00D849AA" w:rsidRPr="00A5008D" w:rsidRDefault="00EE6D95">
            <w:pPr>
              <w:pStyle w:val="CellHeader"/>
            </w:pPr>
            <w:r w:rsidRPr="00A5008D">
              <w:t>Plan 2015.</w:t>
            </w:r>
          </w:p>
        </w:tc>
        <w:tc>
          <w:tcPr>
            <w:tcW w:w="1486" w:type="dxa"/>
            <w:shd w:val="clear" w:color="auto" w:fill="B5C0D8"/>
          </w:tcPr>
          <w:p w:rsidR="00D849AA" w:rsidRPr="00A5008D" w:rsidRDefault="00EE6D95">
            <w:pPr>
              <w:pStyle w:val="CellHeader"/>
            </w:pPr>
            <w:r w:rsidRPr="00A5008D">
              <w:t>Plan 2016.</w:t>
            </w:r>
          </w:p>
        </w:tc>
        <w:tc>
          <w:tcPr>
            <w:tcW w:w="1486" w:type="dxa"/>
            <w:shd w:val="clear" w:color="auto" w:fill="B5C0D8"/>
          </w:tcPr>
          <w:p w:rsidR="00D849AA" w:rsidRPr="00A5008D" w:rsidRDefault="00EE6D95">
            <w:pPr>
              <w:pStyle w:val="CellHeader"/>
            </w:pPr>
            <w:r w:rsidRPr="00A5008D">
              <w:t>Indeks 2014/2013</w:t>
            </w:r>
          </w:p>
        </w:tc>
      </w:tr>
      <w:tr w:rsidR="00D849AA">
        <w:trPr>
          <w:jc w:val="center"/>
        </w:trPr>
        <w:tc>
          <w:tcPr>
            <w:tcW w:w="1486" w:type="dxa"/>
          </w:tcPr>
          <w:p w:rsidR="00D849AA" w:rsidRPr="00A5008D" w:rsidRDefault="00EE6D95">
            <w:pPr>
              <w:pStyle w:val="CellColumn"/>
            </w:pPr>
            <w:r w:rsidRPr="00A5008D">
              <w:t>K541007</w:t>
            </w:r>
          </w:p>
        </w:tc>
        <w:tc>
          <w:tcPr>
            <w:tcW w:w="1486" w:type="dxa"/>
          </w:tcPr>
          <w:p w:rsidR="00D849AA" w:rsidRPr="00A5008D" w:rsidRDefault="00EE6D95">
            <w:pPr>
              <w:rPr>
                <w:rFonts w:ascii="Arial" w:hAnsi="Arial" w:cs="Arial"/>
              </w:rPr>
            </w:pPr>
            <w:r w:rsidRPr="00A5008D">
              <w:rPr>
                <w:rFonts w:ascii="Arial" w:hAnsi="Arial" w:cs="Arial"/>
              </w:rPr>
              <w:t>6.000.000</w:t>
            </w:r>
          </w:p>
        </w:tc>
        <w:tc>
          <w:tcPr>
            <w:tcW w:w="1486" w:type="dxa"/>
          </w:tcPr>
          <w:p w:rsidR="00D849AA" w:rsidRPr="00A5008D" w:rsidRDefault="00EE6D95">
            <w:pPr>
              <w:rPr>
                <w:rFonts w:ascii="Arial" w:hAnsi="Arial" w:cs="Arial"/>
              </w:rPr>
            </w:pPr>
            <w:r w:rsidRPr="00A5008D">
              <w:rPr>
                <w:rFonts w:ascii="Arial" w:hAnsi="Arial" w:cs="Arial"/>
              </w:rPr>
              <w:t>6.000.000</w:t>
            </w:r>
          </w:p>
        </w:tc>
        <w:tc>
          <w:tcPr>
            <w:tcW w:w="1486" w:type="dxa"/>
          </w:tcPr>
          <w:p w:rsidR="00D849AA" w:rsidRPr="00A5008D" w:rsidRDefault="00EE6D95">
            <w:pPr>
              <w:rPr>
                <w:rFonts w:ascii="Arial" w:hAnsi="Arial" w:cs="Arial"/>
              </w:rPr>
            </w:pPr>
            <w:r w:rsidRPr="00A5008D">
              <w:rPr>
                <w:rFonts w:ascii="Arial" w:hAnsi="Arial" w:cs="Arial"/>
              </w:rPr>
              <w:t>6.000.000</w:t>
            </w:r>
          </w:p>
        </w:tc>
        <w:tc>
          <w:tcPr>
            <w:tcW w:w="1486" w:type="dxa"/>
          </w:tcPr>
          <w:p w:rsidR="00D849AA" w:rsidRPr="00A5008D" w:rsidRDefault="00EE6D95">
            <w:pPr>
              <w:rPr>
                <w:rFonts w:ascii="Arial" w:hAnsi="Arial" w:cs="Arial"/>
              </w:rPr>
            </w:pPr>
            <w:r w:rsidRPr="00A5008D">
              <w:rPr>
                <w:rFonts w:ascii="Arial" w:hAnsi="Arial" w:cs="Arial"/>
              </w:rPr>
              <w:t>6.000.000</w:t>
            </w:r>
          </w:p>
        </w:tc>
        <w:tc>
          <w:tcPr>
            <w:tcW w:w="1486" w:type="dxa"/>
          </w:tcPr>
          <w:p w:rsidR="00D849AA" w:rsidRPr="00A5008D" w:rsidRDefault="00EE6D95">
            <w:pPr>
              <w:rPr>
                <w:rFonts w:ascii="Arial" w:hAnsi="Arial" w:cs="Arial"/>
              </w:rPr>
            </w:pPr>
            <w:r w:rsidRPr="00A5008D">
              <w:rPr>
                <w:rFonts w:ascii="Arial" w:hAnsi="Arial" w:cs="Arial"/>
              </w:rPr>
              <w:t>100,0</w:t>
            </w:r>
          </w:p>
        </w:tc>
      </w:tr>
    </w:tbl>
    <w:p w:rsidR="00D849AA" w:rsidRDefault="00D849AA">
      <w:pPr>
        <w:jc w:val="left"/>
      </w:pPr>
    </w:p>
    <w:p w:rsidR="00D849AA" w:rsidRDefault="00EE6D95">
      <w:pPr>
        <w:pStyle w:val="Normal6"/>
      </w:pPr>
      <w:r>
        <w:lastRenderedPageBreak/>
        <w:t>Osiguranje dobre komunikacije na terenu, osobito službe nadzora. Sukladno Zakonu o javnoj nabavi Porezna uprava obnavlja svoj vozni park novim automobilima.</w:t>
      </w:r>
    </w:p>
    <w:p w:rsidR="00B515E1" w:rsidRDefault="00B515E1">
      <w:pPr>
        <w:pStyle w:val="Normal6"/>
      </w:pPr>
    </w:p>
    <w:p w:rsidR="00D849AA" w:rsidRDefault="00D849AA">
      <w:pPr>
        <w:jc w:val="left"/>
      </w:pPr>
    </w:p>
    <w:p w:rsidR="00D849AA" w:rsidRDefault="00EE6D95">
      <w:pPr>
        <w:pStyle w:val="Naslov2"/>
      </w:pPr>
      <w:r>
        <w:t>02540 Agencija za reviziju sustava provedbe programa Europske unije</w:t>
      </w:r>
    </w:p>
    <w:p w:rsidR="00D849AA" w:rsidRDefault="00EE6D95">
      <w:pPr>
        <w:pStyle w:val="Naslov4"/>
      </w:pPr>
      <w:r>
        <w:t>Uvod</w:t>
      </w:r>
    </w:p>
    <w:p w:rsidR="00D849AA" w:rsidRDefault="00EE6D95" w:rsidP="00B515E1">
      <w:pPr>
        <w:pStyle w:val="Normal3"/>
      </w:pPr>
      <w:r>
        <w:t xml:space="preserve">Jedan od glavnih čimbenika unutar sustava za provedbu programa Europske unije je Tijelo za reviziju (eng. Audit Authority). U Republici Hrvatskoj, ulogu Tijela za reviziju ima Agencija za reviziju sustava provedbe programa Europske unije.   </w:t>
      </w:r>
    </w:p>
    <w:p w:rsidR="00D849AA" w:rsidRDefault="00EE6D95" w:rsidP="00B515E1">
      <w:pPr>
        <w:pStyle w:val="Normal3"/>
      </w:pPr>
      <w:r>
        <w:t xml:space="preserve">Agencija je funkcionalno neovisna od svih sudionika u sustavu upravljanja i kontrole sredstava pomoći EU. Svoje aktivnosti obavlja prema međunarodno prihvaćenim revizijskim standardima te je odgovorna za potvrđivanje djelotvornog i dobrog rada sustava upravljanja i kontrole, odnosno provodi ulogu vanjske revizije sredstava pomoći EU.  </w:t>
      </w:r>
    </w:p>
    <w:p w:rsidR="00D849AA" w:rsidRDefault="00EE6D95" w:rsidP="00B515E1">
      <w:pPr>
        <w:pStyle w:val="Normal3"/>
      </w:pPr>
      <w:r>
        <w:t xml:space="preserve">Djelatnost Agencije je revizija i ovjeravanje usklađenosti provedbe programa Europske unije u kojima su upravljanje i odgovornost preneseni na Republiku Hrvatsku s ciljevima, zadacima i postupcima utvrđenim međunarodno preuzetim obvezama Republike Hrvatske.  </w:t>
      </w:r>
    </w:p>
    <w:p w:rsidR="00D849AA" w:rsidRDefault="00EE6D95" w:rsidP="00B515E1">
      <w:pPr>
        <w:pStyle w:val="Normal3"/>
      </w:pPr>
      <w:r>
        <w:t xml:space="preserve">Poslovi revizije sustava provedbe programa Europske Unije, njihovo kvalitetno ustrojavanje i provođenje su izuzetno značajni i njihova provedba predstavlja dodanu vrijednost radu državne uprave.   </w:t>
      </w:r>
    </w:p>
    <w:p w:rsidR="00D849AA" w:rsidRDefault="00EE6D95">
      <w:pPr>
        <w:pStyle w:val="Normal3"/>
      </w:pPr>
      <w:r>
        <w:t>Planirana sredstva za 2014. veća su za  2.576.770,00 kn ili 23 % u odnosu na planirana sredstva u 2013. Navedeno povećanje  sredstava odnosi se prvenstveno na sredstva pomoći EU za twinning projekt IPA 2009 i IPA 2010 čija će plaćanja biti u 2013. godini</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A5008D" w:rsidRDefault="00D849AA">
            <w:pPr>
              <w:pStyle w:val="CellHeader"/>
            </w:pPr>
          </w:p>
        </w:tc>
        <w:tc>
          <w:tcPr>
            <w:tcW w:w="1486" w:type="dxa"/>
            <w:shd w:val="clear" w:color="auto" w:fill="B5C0D8"/>
          </w:tcPr>
          <w:p w:rsidR="00D849AA" w:rsidRPr="00A5008D" w:rsidRDefault="00EE6D95">
            <w:pPr>
              <w:pStyle w:val="CellHeader"/>
            </w:pPr>
            <w:r w:rsidRPr="00A5008D">
              <w:t>Plan 2013.</w:t>
            </w:r>
          </w:p>
        </w:tc>
        <w:tc>
          <w:tcPr>
            <w:tcW w:w="1486" w:type="dxa"/>
            <w:shd w:val="clear" w:color="auto" w:fill="B5C0D8"/>
          </w:tcPr>
          <w:p w:rsidR="00D849AA" w:rsidRPr="00A5008D" w:rsidRDefault="00EE6D95">
            <w:pPr>
              <w:pStyle w:val="CellHeader"/>
            </w:pPr>
            <w:r w:rsidRPr="00A5008D">
              <w:t>Plan 2014.</w:t>
            </w:r>
          </w:p>
        </w:tc>
        <w:tc>
          <w:tcPr>
            <w:tcW w:w="1486" w:type="dxa"/>
            <w:shd w:val="clear" w:color="auto" w:fill="B5C0D8"/>
          </w:tcPr>
          <w:p w:rsidR="00D849AA" w:rsidRPr="00A5008D" w:rsidRDefault="00EE6D95">
            <w:pPr>
              <w:pStyle w:val="CellHeader"/>
            </w:pPr>
            <w:r w:rsidRPr="00A5008D">
              <w:t>Plan 2015.</w:t>
            </w:r>
          </w:p>
        </w:tc>
        <w:tc>
          <w:tcPr>
            <w:tcW w:w="1486" w:type="dxa"/>
            <w:shd w:val="clear" w:color="auto" w:fill="B5C0D8"/>
          </w:tcPr>
          <w:p w:rsidR="00D849AA" w:rsidRPr="00A5008D" w:rsidRDefault="00EE6D95">
            <w:pPr>
              <w:pStyle w:val="CellHeader"/>
            </w:pPr>
            <w:r w:rsidRPr="00A5008D">
              <w:t>Plan 2016.</w:t>
            </w:r>
          </w:p>
        </w:tc>
        <w:tc>
          <w:tcPr>
            <w:tcW w:w="1486" w:type="dxa"/>
            <w:shd w:val="clear" w:color="auto" w:fill="B5C0D8"/>
          </w:tcPr>
          <w:p w:rsidR="00D849AA" w:rsidRPr="00A5008D" w:rsidRDefault="00EE6D95">
            <w:pPr>
              <w:pStyle w:val="CellHeader"/>
            </w:pPr>
            <w:r w:rsidRPr="00A5008D">
              <w:t>Indeks 2014/2013</w:t>
            </w:r>
          </w:p>
        </w:tc>
      </w:tr>
      <w:tr w:rsidR="00D849AA">
        <w:trPr>
          <w:jc w:val="center"/>
        </w:trPr>
        <w:tc>
          <w:tcPr>
            <w:tcW w:w="1486" w:type="dxa"/>
          </w:tcPr>
          <w:p w:rsidR="00D849AA" w:rsidRPr="00A5008D" w:rsidRDefault="00EE6D95">
            <w:pPr>
              <w:pStyle w:val="CellColumn"/>
            </w:pPr>
            <w:r w:rsidRPr="00A5008D">
              <w:t>02540</w:t>
            </w:r>
          </w:p>
        </w:tc>
        <w:tc>
          <w:tcPr>
            <w:tcW w:w="1486" w:type="dxa"/>
          </w:tcPr>
          <w:p w:rsidR="00D849AA" w:rsidRPr="00A5008D" w:rsidRDefault="00EE6D95">
            <w:pPr>
              <w:rPr>
                <w:rFonts w:ascii="Arial" w:hAnsi="Arial" w:cs="Arial"/>
              </w:rPr>
            </w:pPr>
            <w:r w:rsidRPr="00A5008D">
              <w:rPr>
                <w:rFonts w:ascii="Arial" w:hAnsi="Arial" w:cs="Arial"/>
              </w:rPr>
              <w:t>11.254.230</w:t>
            </w:r>
          </w:p>
        </w:tc>
        <w:tc>
          <w:tcPr>
            <w:tcW w:w="1486" w:type="dxa"/>
          </w:tcPr>
          <w:p w:rsidR="00D849AA" w:rsidRPr="00A5008D" w:rsidRDefault="00EE6D95">
            <w:pPr>
              <w:rPr>
                <w:rFonts w:ascii="Arial" w:hAnsi="Arial" w:cs="Arial"/>
              </w:rPr>
            </w:pPr>
            <w:r w:rsidRPr="00A5008D">
              <w:rPr>
                <w:rFonts w:ascii="Arial" w:hAnsi="Arial" w:cs="Arial"/>
              </w:rPr>
              <w:t>13.831.000</w:t>
            </w:r>
          </w:p>
        </w:tc>
        <w:tc>
          <w:tcPr>
            <w:tcW w:w="1486" w:type="dxa"/>
          </w:tcPr>
          <w:p w:rsidR="00D849AA" w:rsidRPr="00A5008D" w:rsidRDefault="00EE6D95">
            <w:pPr>
              <w:rPr>
                <w:rFonts w:ascii="Arial" w:hAnsi="Arial" w:cs="Arial"/>
              </w:rPr>
            </w:pPr>
            <w:r w:rsidRPr="00A5008D">
              <w:rPr>
                <w:rFonts w:ascii="Arial" w:hAnsi="Arial" w:cs="Arial"/>
              </w:rPr>
              <w:t>11.159.000</w:t>
            </w:r>
          </w:p>
        </w:tc>
        <w:tc>
          <w:tcPr>
            <w:tcW w:w="1486" w:type="dxa"/>
          </w:tcPr>
          <w:p w:rsidR="00D849AA" w:rsidRPr="00A5008D" w:rsidRDefault="00EE6D95">
            <w:pPr>
              <w:rPr>
                <w:rFonts w:ascii="Arial" w:hAnsi="Arial" w:cs="Arial"/>
              </w:rPr>
            </w:pPr>
            <w:r w:rsidRPr="00A5008D">
              <w:rPr>
                <w:rFonts w:ascii="Arial" w:hAnsi="Arial" w:cs="Arial"/>
              </w:rPr>
              <w:t>11.344.000</w:t>
            </w:r>
          </w:p>
        </w:tc>
        <w:tc>
          <w:tcPr>
            <w:tcW w:w="1486" w:type="dxa"/>
          </w:tcPr>
          <w:p w:rsidR="00D849AA" w:rsidRPr="00A5008D" w:rsidRDefault="00EE6D95">
            <w:pPr>
              <w:rPr>
                <w:rFonts w:ascii="Arial" w:hAnsi="Arial" w:cs="Arial"/>
              </w:rPr>
            </w:pPr>
            <w:r w:rsidRPr="00A5008D">
              <w:rPr>
                <w:rFonts w:ascii="Arial" w:hAnsi="Arial" w:cs="Arial"/>
              </w:rPr>
              <w:t>122,9</w:t>
            </w:r>
          </w:p>
        </w:tc>
      </w:tr>
    </w:tbl>
    <w:p w:rsidR="00D849AA" w:rsidRDefault="00D849AA">
      <w:pPr>
        <w:jc w:val="left"/>
      </w:pPr>
    </w:p>
    <w:p w:rsidR="00D849AA" w:rsidRDefault="00EE6D95">
      <w:pPr>
        <w:pStyle w:val="Naslov4"/>
      </w:pPr>
      <w:r>
        <w:t>OBRAZLOŽENJE PROGRAMA</w:t>
      </w:r>
    </w:p>
    <w:p w:rsidR="00D849AA" w:rsidRDefault="00EE6D95">
      <w:pPr>
        <w:pStyle w:val="Naslov5"/>
      </w:pPr>
      <w:r>
        <w:t>2206 UPRAVLJANJE PRETPRISTUPNIM FONDOVIMA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A5008D" w:rsidRDefault="00D849AA">
            <w:pPr>
              <w:pStyle w:val="CellHeader"/>
            </w:pPr>
          </w:p>
        </w:tc>
        <w:tc>
          <w:tcPr>
            <w:tcW w:w="1486" w:type="dxa"/>
            <w:shd w:val="clear" w:color="auto" w:fill="B5C0D8"/>
          </w:tcPr>
          <w:p w:rsidR="00D849AA" w:rsidRPr="00A5008D" w:rsidRDefault="00EE6D95">
            <w:pPr>
              <w:pStyle w:val="CellHeader"/>
            </w:pPr>
            <w:r w:rsidRPr="00A5008D">
              <w:t>Plan 2013.</w:t>
            </w:r>
          </w:p>
        </w:tc>
        <w:tc>
          <w:tcPr>
            <w:tcW w:w="1486" w:type="dxa"/>
            <w:shd w:val="clear" w:color="auto" w:fill="B5C0D8"/>
          </w:tcPr>
          <w:p w:rsidR="00D849AA" w:rsidRPr="00A5008D" w:rsidRDefault="00EE6D95">
            <w:pPr>
              <w:pStyle w:val="CellHeader"/>
            </w:pPr>
            <w:r w:rsidRPr="00A5008D">
              <w:t>Plan 2014.</w:t>
            </w:r>
          </w:p>
        </w:tc>
        <w:tc>
          <w:tcPr>
            <w:tcW w:w="1486" w:type="dxa"/>
            <w:shd w:val="clear" w:color="auto" w:fill="B5C0D8"/>
          </w:tcPr>
          <w:p w:rsidR="00D849AA" w:rsidRPr="00A5008D" w:rsidRDefault="00EE6D95">
            <w:pPr>
              <w:pStyle w:val="CellHeader"/>
            </w:pPr>
            <w:r w:rsidRPr="00A5008D">
              <w:t>Plan 2015.</w:t>
            </w:r>
          </w:p>
        </w:tc>
        <w:tc>
          <w:tcPr>
            <w:tcW w:w="1486" w:type="dxa"/>
            <w:shd w:val="clear" w:color="auto" w:fill="B5C0D8"/>
          </w:tcPr>
          <w:p w:rsidR="00D849AA" w:rsidRPr="00A5008D" w:rsidRDefault="00EE6D95">
            <w:pPr>
              <w:pStyle w:val="CellHeader"/>
            </w:pPr>
            <w:r w:rsidRPr="00A5008D">
              <w:t>Plan 2016.</w:t>
            </w:r>
          </w:p>
        </w:tc>
        <w:tc>
          <w:tcPr>
            <w:tcW w:w="1486" w:type="dxa"/>
            <w:shd w:val="clear" w:color="auto" w:fill="B5C0D8"/>
          </w:tcPr>
          <w:p w:rsidR="00D849AA" w:rsidRPr="00A5008D" w:rsidRDefault="00EE6D95">
            <w:pPr>
              <w:pStyle w:val="CellHeader"/>
            </w:pPr>
            <w:r w:rsidRPr="00A5008D">
              <w:t>Indeks 2014/2013</w:t>
            </w:r>
          </w:p>
        </w:tc>
      </w:tr>
      <w:tr w:rsidR="00D849AA">
        <w:trPr>
          <w:jc w:val="center"/>
        </w:trPr>
        <w:tc>
          <w:tcPr>
            <w:tcW w:w="1486" w:type="dxa"/>
          </w:tcPr>
          <w:p w:rsidR="00D849AA" w:rsidRPr="00A5008D" w:rsidRDefault="00EE6D95">
            <w:pPr>
              <w:pStyle w:val="CellColumn"/>
            </w:pPr>
            <w:r w:rsidRPr="00A5008D">
              <w:t>2206</w:t>
            </w:r>
          </w:p>
        </w:tc>
        <w:tc>
          <w:tcPr>
            <w:tcW w:w="1486" w:type="dxa"/>
          </w:tcPr>
          <w:p w:rsidR="00D849AA" w:rsidRPr="00A5008D" w:rsidRDefault="00EE6D95">
            <w:pPr>
              <w:rPr>
                <w:rFonts w:ascii="Arial" w:hAnsi="Arial" w:cs="Arial"/>
              </w:rPr>
            </w:pPr>
            <w:r w:rsidRPr="00A5008D">
              <w:rPr>
                <w:rFonts w:ascii="Arial" w:hAnsi="Arial" w:cs="Arial"/>
              </w:rPr>
              <w:t>11.254.230</w:t>
            </w:r>
          </w:p>
        </w:tc>
        <w:tc>
          <w:tcPr>
            <w:tcW w:w="1486" w:type="dxa"/>
          </w:tcPr>
          <w:p w:rsidR="00D849AA" w:rsidRPr="00A5008D" w:rsidRDefault="00EE6D95">
            <w:pPr>
              <w:rPr>
                <w:rFonts w:ascii="Arial" w:hAnsi="Arial" w:cs="Arial"/>
              </w:rPr>
            </w:pPr>
            <w:r w:rsidRPr="00A5008D">
              <w:rPr>
                <w:rFonts w:ascii="Arial" w:hAnsi="Arial" w:cs="Arial"/>
              </w:rPr>
              <w:t>13.831.000</w:t>
            </w:r>
          </w:p>
        </w:tc>
        <w:tc>
          <w:tcPr>
            <w:tcW w:w="1486" w:type="dxa"/>
          </w:tcPr>
          <w:p w:rsidR="00D849AA" w:rsidRPr="00A5008D" w:rsidRDefault="00EE6D95">
            <w:pPr>
              <w:rPr>
                <w:rFonts w:ascii="Arial" w:hAnsi="Arial" w:cs="Arial"/>
              </w:rPr>
            </w:pPr>
            <w:r w:rsidRPr="00A5008D">
              <w:rPr>
                <w:rFonts w:ascii="Arial" w:hAnsi="Arial" w:cs="Arial"/>
              </w:rPr>
              <w:t>11.159.000</w:t>
            </w:r>
          </w:p>
        </w:tc>
        <w:tc>
          <w:tcPr>
            <w:tcW w:w="1486" w:type="dxa"/>
          </w:tcPr>
          <w:p w:rsidR="00D849AA" w:rsidRPr="00A5008D" w:rsidRDefault="00EE6D95">
            <w:pPr>
              <w:rPr>
                <w:rFonts w:ascii="Arial" w:hAnsi="Arial" w:cs="Arial"/>
              </w:rPr>
            </w:pPr>
            <w:r w:rsidRPr="00A5008D">
              <w:rPr>
                <w:rFonts w:ascii="Arial" w:hAnsi="Arial" w:cs="Arial"/>
              </w:rPr>
              <w:t>11.344.000</w:t>
            </w:r>
          </w:p>
        </w:tc>
        <w:tc>
          <w:tcPr>
            <w:tcW w:w="1486" w:type="dxa"/>
          </w:tcPr>
          <w:p w:rsidR="00D849AA" w:rsidRPr="00A5008D" w:rsidRDefault="00EE6D95">
            <w:pPr>
              <w:rPr>
                <w:rFonts w:ascii="Arial" w:hAnsi="Arial" w:cs="Arial"/>
              </w:rPr>
            </w:pPr>
            <w:r w:rsidRPr="00A5008D">
              <w:rPr>
                <w:rFonts w:ascii="Arial" w:hAnsi="Arial" w:cs="Arial"/>
              </w:rPr>
              <w:t>122,9</w:t>
            </w:r>
          </w:p>
        </w:tc>
      </w:tr>
    </w:tbl>
    <w:p w:rsidR="00D849AA" w:rsidRDefault="00D849AA">
      <w:pPr>
        <w:jc w:val="left"/>
      </w:pPr>
    </w:p>
    <w:p w:rsidR="00D849AA" w:rsidRDefault="00EE6D95">
      <w:pPr>
        <w:pStyle w:val="Naslov6"/>
      </w:pPr>
      <w:r>
        <w:t>Opis programa</w:t>
      </w:r>
    </w:p>
    <w:p w:rsidR="00D849AA" w:rsidRDefault="00EE6D95" w:rsidP="00B515E1">
      <w:pPr>
        <w:pStyle w:val="Normal5"/>
      </w:pPr>
      <w:r>
        <w:t xml:space="preserve">Uloga i značaj revizije proizlaze iz potrebe kontinuiranog praćenja i procjene učinkovitosti sustava upravljanja, odnosno adekvatnosti i funkcionalnosti uspostavljenih kontrolnih </w:t>
      </w:r>
      <w:r>
        <w:lastRenderedPageBreak/>
        <w:t xml:space="preserve">mehanizama, ukazivanja na slabosti i poteškoće koje mogu nastati u sustavu te davanja preporuka za poboljšanje poslovanja. Stoga se ciljevi revizije u znatnoj mjeri isprepliću, jer i unutarnja i vanjska revizija imaju za cilj dati neovisno stručno mišljenje o sustavu i procesima te preporuke i savjete za njihovo poboljšanje i postizanje što veće učinkovitosti.  </w:t>
      </w:r>
    </w:p>
    <w:p w:rsidR="00D849AA" w:rsidRDefault="00EE6D95" w:rsidP="00B515E1">
      <w:pPr>
        <w:pStyle w:val="Normal5"/>
      </w:pPr>
      <w:r>
        <w:t xml:space="preserve">Vanjska revizija kao neovisno tijelo, uspostavljeno izvan sustava upravljanja i kontrola u funkciji je neovisne, vanjske procjene sustava upravljanja i kontrola u svim tijelima zaduženim za provedu programa EU. Godišnje izvješće o obavljenim revizijama podnosi se Europskoj komisiji, Nacionalnom dužnosniku za ovjeravanje i Dužnosniku nadležnom za akreditaciju. Vanjska revizija prilikom procjene sustava upravljanja i kontrola, između ostalog procjenjuje i rad unutarnje revizije kao sastavnog dijela cjelokupnog sustava upravljanja i kontrola. Također vanjska revizija u svom radu može se koristiti i radom unutarnje revizije, što međutim ne umanjuje njenu odgovornost za izraženo mišljenje o sustavima i procesima.  </w:t>
      </w:r>
    </w:p>
    <w:p w:rsidR="00D849AA" w:rsidRDefault="00EE6D95" w:rsidP="00B515E1">
      <w:pPr>
        <w:pStyle w:val="Normal5"/>
      </w:pPr>
      <w:r>
        <w:t xml:space="preserve">Glavni cilj Agencije je, kroz svoj rad i djelovanje, povećati djelotvornost i učinkovitost svih subjekata uključenih u upravljanje pretpristupnim fondovima, a također u skoroj budućnosti strukturnim i kohezijskim fondovima u Republici Hrvatskoj, osiguravajući odgovornost za ovjeravanje učinkovitog funkcioniranja sustava upravljanja i kontrola, u skladu s načelom dobrog financijskog upravljanja.  </w:t>
      </w:r>
    </w:p>
    <w:p w:rsidR="00D849AA" w:rsidRDefault="00EE6D95">
      <w:pPr>
        <w:pStyle w:val="Normal5"/>
      </w:pPr>
      <w:r>
        <w:t>Navedeni cilj Agencije je u bliskoj povezanosti s nekoliko općih ciljeva Vlade Republike Hrvatske, jer se uspostavljanjem odgovarajućeg sustava upravljanja i kontrola povećava iskoristivost pretpristupnih sredstava, što svakako utječe na makroekonomsku i gospodarsku stabilnost. Također, pravovremenim i pravilnim korištenjem sredstava iz EU fondova omogućiti će se stvaranje optimalnog ozračja za razvoj konkurentnog gospodarstva, ravnomjernog regionalnog razvoja, te stvaranje konkurentnog poljoprivredno-prehrambenog i ribarskog sektora.</w:t>
      </w:r>
    </w:p>
    <w:p w:rsidR="00D849AA" w:rsidRDefault="00EE6D95">
      <w:pPr>
        <w:pStyle w:val="Naslov6"/>
      </w:pPr>
      <w:r>
        <w:t>Zakonske i druge pravne osnove</w:t>
      </w:r>
    </w:p>
    <w:p w:rsidR="00D849AA" w:rsidRDefault="00EE6D95">
      <w:pPr>
        <w:pStyle w:val="Normal5"/>
      </w:pPr>
      <w:r>
        <w:t xml:space="preserve">Regulatorni okvir unutar kojeg se odvija provedba programa EU sastoji se od strateških i pravnih dokumenata, koji s jedne strane definiraju prioritete i iznose sredstava, a s druge strane pravila provođenja i provedbene sustave. Popis regulative, grupirane po navedenim kategorijama dajemo u nastavku: </w:t>
      </w:r>
    </w:p>
    <w:p w:rsidR="00D849AA" w:rsidRDefault="00EE6D95">
      <w:pPr>
        <w:pStyle w:val="Normal5"/>
      </w:pPr>
      <w:r>
        <w:t xml:space="preserve"> </w:t>
      </w:r>
    </w:p>
    <w:p w:rsidR="00D849AA" w:rsidRDefault="00EE6D95">
      <w:pPr>
        <w:pStyle w:val="Normal5"/>
      </w:pPr>
      <w:r>
        <w:t xml:space="preserve">Strateški dokumenti </w:t>
      </w:r>
    </w:p>
    <w:p w:rsidR="00D849AA" w:rsidRDefault="00EE6D95">
      <w:pPr>
        <w:pStyle w:val="Normal5"/>
      </w:pPr>
      <w:r>
        <w:t xml:space="preserve">- Strategija Europske komisije za proširenje </w:t>
      </w:r>
    </w:p>
    <w:p w:rsidR="00D849AA" w:rsidRDefault="00EE6D95">
      <w:pPr>
        <w:pStyle w:val="Normal5"/>
      </w:pPr>
      <w:r>
        <w:t xml:space="preserve">- Nacionalni program Republike Hrvatske za pridruživanje EU  </w:t>
      </w:r>
    </w:p>
    <w:p w:rsidR="00D849AA" w:rsidRDefault="00EE6D95">
      <w:pPr>
        <w:pStyle w:val="Normal5"/>
      </w:pPr>
      <w:r>
        <w:t xml:space="preserve">- Sporazum o stabilizaciji i pridruživanju i Pristupno partnerstvo  </w:t>
      </w:r>
    </w:p>
    <w:p w:rsidR="00D849AA" w:rsidRDefault="00EE6D95">
      <w:pPr>
        <w:pStyle w:val="Normal5"/>
      </w:pPr>
      <w:r>
        <w:t xml:space="preserve">- Strateški okvir Vlade RH za razvoj 2006. – 2013.  </w:t>
      </w:r>
    </w:p>
    <w:p w:rsidR="00D849AA" w:rsidRDefault="00EE6D95">
      <w:pPr>
        <w:pStyle w:val="Normal5"/>
      </w:pPr>
      <w:r>
        <w:t xml:space="preserve">- Višegodišnji IPA indikativni financijski okvir  </w:t>
      </w:r>
    </w:p>
    <w:p w:rsidR="00D849AA" w:rsidRDefault="00EE6D95">
      <w:pPr>
        <w:pStyle w:val="Normal5"/>
      </w:pPr>
      <w:r>
        <w:t xml:space="preserve">- Višegodišnji IPA indikativni planski dokument    </w:t>
      </w:r>
    </w:p>
    <w:p w:rsidR="00D849AA" w:rsidRDefault="00EE6D95">
      <w:pPr>
        <w:pStyle w:val="Normal5"/>
      </w:pPr>
      <w:r>
        <w:t xml:space="preserve"> </w:t>
      </w:r>
    </w:p>
    <w:p w:rsidR="00D849AA" w:rsidRDefault="00EE6D95">
      <w:pPr>
        <w:pStyle w:val="Normal5"/>
      </w:pPr>
      <w:r>
        <w:t xml:space="preserve">Pravna osnova za  uspostavu i provedbu sustava:     </w:t>
      </w:r>
    </w:p>
    <w:p w:rsidR="00D849AA" w:rsidRDefault="00EE6D95">
      <w:pPr>
        <w:pStyle w:val="Normal5"/>
      </w:pPr>
      <w:r>
        <w:t xml:space="preserve">- Uredba Vijeća (EZ) 1085/2006 od 17. srpnja 2006. godine kojom se uspostavlja Instrument pretpristupne pomoći (IPA)  </w:t>
      </w:r>
    </w:p>
    <w:p w:rsidR="00D849AA" w:rsidRDefault="00EE6D95">
      <w:pPr>
        <w:pStyle w:val="Normal5"/>
      </w:pPr>
      <w:r>
        <w:t xml:space="preserve">- Uredba komisije (EZ) 718/2007 od 12. lipnja 2007. godine o provedbi Uredbe Vijeća (EZ) 1085/2006 kojom se uspostavlja instrument pretpristupne pomoći (IPA)  </w:t>
      </w:r>
    </w:p>
    <w:p w:rsidR="00D849AA" w:rsidRDefault="00EE6D95">
      <w:pPr>
        <w:pStyle w:val="Normal5"/>
      </w:pPr>
      <w:r>
        <w:lastRenderedPageBreak/>
        <w:t xml:space="preserve">- Okvirni sporazum između Vlade Republike Hrvatske i Europske komisije o pravilima suradnje za financijsku pomoć Europske komisije Republici Hrvatskoj, u okviru provedbe pomoći po instrumentu pretpristupne pomoći (IPA) (NN međunarodni dio 10/07)  </w:t>
      </w:r>
    </w:p>
    <w:p w:rsidR="00D849AA" w:rsidRDefault="00EE6D95">
      <w:pPr>
        <w:pStyle w:val="Normal5"/>
      </w:pPr>
      <w:r>
        <w:t xml:space="preserve">- Sporazumi o financiranju između Europske komisije i Republike Hrvatske za komponentu III programa IPA (NN međunarodni ugovori 8/08) </w:t>
      </w:r>
    </w:p>
    <w:p w:rsidR="00D849AA" w:rsidRDefault="00EE6D95">
      <w:pPr>
        <w:pStyle w:val="Normal5"/>
      </w:pPr>
      <w:r>
        <w:t xml:space="preserve">- Sektorski sporazum između Europske komisije i Republike Hrvatske  </w:t>
      </w:r>
    </w:p>
    <w:p w:rsidR="00D849AA" w:rsidRDefault="00EE6D95">
      <w:pPr>
        <w:pStyle w:val="Normal5"/>
      </w:pPr>
      <w:r>
        <w:t xml:space="preserve">- Zakon o sustavu unutarnjih financijskih kontrola u javnom sektoru (NN 141/2006.) </w:t>
      </w:r>
    </w:p>
    <w:p w:rsidR="00D849AA" w:rsidRDefault="00EE6D95">
      <w:pPr>
        <w:pStyle w:val="Normal5"/>
      </w:pPr>
      <w:r>
        <w:t xml:space="preserve">- Zakon o uspostavi institucionalnog okvira za korištenje strukturnih instrumenata Europske unije u Republici Hrvatskoj (NN 78/2012.) </w:t>
      </w:r>
    </w:p>
    <w:p w:rsidR="00D849AA" w:rsidRDefault="00EE6D95">
      <w:pPr>
        <w:pStyle w:val="Normal5"/>
      </w:pPr>
      <w:r>
        <w:t>- Uredba o tijelima u sustavu upravljanja i kontrole korištenja strukturnih instrumenata Europske unije u Republici Hrvatskoj (NN 97/2012.)</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Cilj 1. Povećati djelotvornost i učinkovitost svih subjekata uključenih u upravljanje pretpristupnim fondovima</w:t>
      </w:r>
    </w:p>
    <w:p w:rsidR="00B515E1" w:rsidRPr="00B515E1" w:rsidRDefault="00B515E1" w:rsidP="00B515E1"/>
    <w:p w:rsidR="00D849AA" w:rsidRDefault="00EE6D95" w:rsidP="00B515E1">
      <w:pPr>
        <w:pStyle w:val="Normal6"/>
      </w:pPr>
      <w:r>
        <w:t xml:space="preserve">Navedeni cilj planiramo ostvariti kroz dva podcilja; </w:t>
      </w:r>
      <w:r>
        <w:tab/>
        <w:t xml:space="preserve"> </w:t>
      </w:r>
    </w:p>
    <w:p w:rsidR="00D849AA" w:rsidRDefault="00EE6D95" w:rsidP="00B515E1">
      <w:pPr>
        <w:pStyle w:val="Normal6"/>
      </w:pPr>
      <w:r>
        <w:t xml:space="preserve">Podcilj 1. Pravovremeno uočavanje rizika i poduzimanje aktivnosti za njihovo ublažavanje i uklanjanje Rizik je mogućnost nastanka događaja koji mogu nepovoljno utjecati na ostvarenje ciljeva. Upravljanje rizicima je neizostavni dio sustava upravljanja i korištenja sredstava pomoći Europske unije, a provodi se kroz identifikaciju, procjenu rizika, određivanje mjera, rokova i odgovornih osoba za otklanjanje rizika, kao i analiza rezultata poduzetih akcija za smanjenje odnosno otklanjanje rizika. Sva tijela koja upravljaju i koriste sredstva pomoći EU kontinuirano provode sveobuhvatnu analizu rizika u skladu s priručnicima.  </w:t>
      </w:r>
    </w:p>
    <w:p w:rsidR="00D849AA" w:rsidRDefault="00EE6D95">
      <w:pPr>
        <w:pStyle w:val="Normal6"/>
      </w:pPr>
      <w:r>
        <w:t xml:space="preserve">Jedan od osnovnih ciljeva revizije je preispitati, pregledati ili provjeriti sustave unutarnjih kontrola. Revizor će na terenu nastojati zadržati i prikupiti uvjerljive dokaze kako bi potvrdio da sustavi upravljanja i sustavi kontrola: </w:t>
      </w:r>
    </w:p>
    <w:p w:rsidR="00D849AA" w:rsidRDefault="00EE6D95">
      <w:pPr>
        <w:pStyle w:val="Normal6"/>
      </w:pPr>
      <w:r>
        <w:t xml:space="preserve">- funkcioniraju u skladu s propisima, </w:t>
      </w:r>
    </w:p>
    <w:p w:rsidR="00D849AA" w:rsidRDefault="00EE6D95">
      <w:pPr>
        <w:pStyle w:val="Normal6"/>
      </w:pPr>
      <w:r>
        <w:t xml:space="preserve">- osiguravaju usklađenost izdataka s propisima i </w:t>
      </w:r>
    </w:p>
    <w:p w:rsidR="00D849AA" w:rsidRDefault="00EE6D95" w:rsidP="00B515E1">
      <w:pPr>
        <w:pStyle w:val="Normal6"/>
      </w:pPr>
      <w:r>
        <w:t xml:space="preserve">- osiguravaju cjelovitost i transparentnost financijskih informacija.  </w:t>
      </w:r>
    </w:p>
    <w:p w:rsidR="00D849AA" w:rsidRDefault="00EE6D95" w:rsidP="00B515E1">
      <w:pPr>
        <w:pStyle w:val="Normal6"/>
      </w:pPr>
      <w:r>
        <w:t xml:space="preserve">Zadaća revizora je utvrditi pouzdanost sustava unutarnjih kontrola. To znači da se  revizori u slučajevima kad ocjene da je sustav unutarnjih kontrola dobro uspostavljen i da dobro funkcionira, mogu u većoj mjeri osloniti na postupke unutarnjih kontrola, i time smanjiti obujam revizijskih postupaka koje sami trebaju provesti.   </w:t>
      </w:r>
    </w:p>
    <w:p w:rsidR="00B515E1" w:rsidRDefault="00EE6D95" w:rsidP="00A5008D">
      <w:pPr>
        <w:pStyle w:val="Normal6"/>
      </w:pPr>
      <w:r>
        <w:t xml:space="preserve">U slučajevima kada sustavi unutarnjih kontrola nisu zadovoljavajući, revizori trebaju provesti opsežnije dokazne postupke i povećati uzorak s ciljem dobivanja točnijeg mišljenja o subjektu revizije. </w:t>
      </w:r>
    </w:p>
    <w:p w:rsidR="00D849AA" w:rsidRDefault="00EE6D95" w:rsidP="00A5008D">
      <w:pPr>
        <w:pStyle w:val="Normal6"/>
        <w:ind w:left="0"/>
      </w:pPr>
      <w:r>
        <w:t xml:space="preserve"> </w:t>
      </w:r>
    </w:p>
    <w:p w:rsidR="00D849AA" w:rsidRDefault="00EE6D95" w:rsidP="00B515E1">
      <w:pPr>
        <w:pStyle w:val="Normal6"/>
      </w:pPr>
      <w:r>
        <w:t xml:space="preserve">Podcilj 2. – Jačanje revizorskih kapaciteta Agencije, te povezivanje s unutarnjom revizijom  </w:t>
      </w:r>
    </w:p>
    <w:p w:rsidR="00D849AA" w:rsidRDefault="00EE6D95" w:rsidP="00B515E1">
      <w:pPr>
        <w:pStyle w:val="Normal6"/>
      </w:pPr>
      <w:r>
        <w:t xml:space="preserve">Agencija je mlada institucija koja je u četiri godine od 7 zaposlenika narasla na 36 zaposlenika, od čega su 31 revizora. Od 36 zaposlenika 34 ih je visoke stručne spreme, od kojih 4 magistra, te 2 zaposlenika srednje stručne spreme.   </w:t>
      </w:r>
    </w:p>
    <w:p w:rsidR="00D849AA" w:rsidRDefault="00EE6D95">
      <w:pPr>
        <w:pStyle w:val="Normal6"/>
      </w:pPr>
      <w:r>
        <w:lastRenderedPageBreak/>
        <w:t xml:space="preserve">Iz navedenog proizlazi da su najvažniji element Agencije ljudski potencijali, te je nužno osigurati pravovremeno zapošljavanje kvalitetnih kadrova i zadržavanje postojećih. </w:t>
      </w:r>
    </w:p>
    <w:p w:rsidR="00D849AA" w:rsidRDefault="00EE6D95">
      <w:pPr>
        <w:pStyle w:val="Normal6"/>
      </w:pPr>
      <w:r>
        <w:t xml:space="preserve">Od samog početka do danas na edukaciju i stručno usavršavanje uloženo je mnogo vremena i truda, s ciljem da se stekne odgovarajuće stručno znanje.  </w:t>
      </w:r>
    </w:p>
    <w:p w:rsidR="00D849AA" w:rsidRDefault="00EE6D95" w:rsidP="00B515E1">
      <w:pPr>
        <w:pStyle w:val="Normal6"/>
      </w:pPr>
      <w:r>
        <w:t xml:space="preserve">Zapošljavanje novih djelatnika, prvenstveno revizora, je neophodno jer bez njih nećemo biti u mogućnosti provesti sve zadaće koje su stavljene u našu nadležnost - prije svega izrada kvalitetnog godišnjeg revizijskog izvješća i godišnjeg revizijskog mišljenja.  </w:t>
      </w:r>
    </w:p>
    <w:p w:rsidR="00D849AA" w:rsidRDefault="00EE6D95" w:rsidP="00B515E1">
      <w:pPr>
        <w:pStyle w:val="Normal6"/>
      </w:pPr>
      <w:r>
        <w:t xml:space="preserve">Vanjska revizija prilikom procjene sustava upravljanja i kontrola, između ostalog procjenjuje i rad unutarnje revizije kao sastavnog dijela cjelokupnog sustava upravljanja i kontrola. Također Agencija se u svom radu može koristiti i radom unutarnje revizije, što međutim ne umanjuje njenu odgovornost za izraženo mišljenje o sustavima i procesima.  </w:t>
      </w:r>
    </w:p>
    <w:p w:rsidR="00D849AA" w:rsidRDefault="00EE6D95" w:rsidP="00B515E1">
      <w:pPr>
        <w:pStyle w:val="Normal6"/>
      </w:pPr>
      <w:r>
        <w:t xml:space="preserve">Odnos između unutarnje revizije u sustavu pretpristupnih fondova i Agencije proizlazi iz činjenice da i jedna i druga revizija obavljaju reviziju istog sustava. Međutim, s obzirom da se unutarnja revizija nalazi unutar sustava, odnosno u tijelima zaduženim za provedbu pretpristupnih programa EU, a Agencija, kao vanjska revizija izvan sustava ukazuju na razlike koje se očituju u djelokrugu njihova rada te u linijama izvješćivanja.  </w:t>
      </w:r>
    </w:p>
    <w:p w:rsidR="00D849AA" w:rsidRDefault="00EE6D95" w:rsidP="00B515E1">
      <w:pPr>
        <w:pStyle w:val="Normal6"/>
      </w:pPr>
      <w:r>
        <w:t xml:space="preserve">Unutarnja revizija uspostavljena unutar tijela zaduženih za provedbu programa EU provodi reviziju onog dijela sustava i procesa koji se odvijaju unutar tog tijela. Agencija kao neovisno tijelo, uspostavljeno izvan sustava upravljanja i kontrole u funkcije je neovisne, vanjske procjene sustava upravljanja i kontrole u svim tijelima zaduženim za provedbu programa EU. </w:t>
      </w:r>
    </w:p>
    <w:p w:rsidR="00D849AA" w:rsidRDefault="00EE6D95">
      <w:pPr>
        <w:pStyle w:val="Normal6"/>
      </w:pPr>
      <w:r>
        <w:t xml:space="preserve">U skladu s prethodno navedenim proizlazi međusobna povezanost unutarnje revizije i Agencije koja se očituje u sljedećem: </w:t>
      </w:r>
    </w:p>
    <w:p w:rsidR="00D849AA" w:rsidRDefault="00EE6D95">
      <w:pPr>
        <w:pStyle w:val="Normal6"/>
      </w:pPr>
      <w:r>
        <w:t xml:space="preserve">a) Agencija, prilikom procjene sustava upravljanja i kontrole, između ostalog procjenjuje, odnosno revidira i rad unutarnje revizije kao sastavnog dijela cjelokupnog sustava upravljanja i kontrola </w:t>
      </w:r>
    </w:p>
    <w:p w:rsidR="00D849AA" w:rsidRDefault="00EE6D95">
      <w:pPr>
        <w:pStyle w:val="Normal6"/>
      </w:pPr>
      <w:r>
        <w:t>b) Agencija se u svome radu može koristiti radom unutarnje revizije, što ne umanjuje njenu odgovornost za izraženo mišljenje.</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A5008D" w:rsidRDefault="00EE6D95">
            <w:pPr>
              <w:rPr>
                <w:rFonts w:ascii="Arial" w:hAnsi="Arial" w:cs="Arial"/>
              </w:rPr>
            </w:pPr>
            <w:r w:rsidRPr="00A5008D">
              <w:rPr>
                <w:rFonts w:ascii="Arial" w:hAnsi="Arial" w:cs="Arial"/>
              </w:rPr>
              <w:t>Pokazatelj učinka</w:t>
            </w:r>
          </w:p>
        </w:tc>
        <w:tc>
          <w:tcPr>
            <w:tcW w:w="1114" w:type="dxa"/>
            <w:shd w:val="clear" w:color="auto" w:fill="B5C0D8"/>
          </w:tcPr>
          <w:p w:rsidR="00D849AA" w:rsidRPr="00A5008D" w:rsidRDefault="00EE6D95">
            <w:pPr>
              <w:pStyle w:val="CellHeader"/>
            </w:pPr>
            <w:r w:rsidRPr="00A5008D">
              <w:t>Jedinica</w:t>
            </w:r>
          </w:p>
        </w:tc>
        <w:tc>
          <w:tcPr>
            <w:tcW w:w="1114" w:type="dxa"/>
            <w:shd w:val="clear" w:color="auto" w:fill="B5C0D8"/>
          </w:tcPr>
          <w:p w:rsidR="00D849AA" w:rsidRPr="00A5008D" w:rsidRDefault="00EE6D95">
            <w:pPr>
              <w:pStyle w:val="CellHeader"/>
            </w:pPr>
            <w:r w:rsidRPr="00A5008D">
              <w:t>Polazna vrijednost</w:t>
            </w:r>
          </w:p>
        </w:tc>
        <w:tc>
          <w:tcPr>
            <w:tcW w:w="1486" w:type="dxa"/>
            <w:shd w:val="clear" w:color="auto" w:fill="B5C0D8"/>
          </w:tcPr>
          <w:p w:rsidR="00D849AA" w:rsidRPr="00A5008D" w:rsidRDefault="00EE6D95">
            <w:pPr>
              <w:pStyle w:val="CellHeader"/>
            </w:pPr>
            <w:r w:rsidRPr="00A5008D">
              <w:t>Ciljana vrijednost (2014.)</w:t>
            </w:r>
          </w:p>
        </w:tc>
        <w:tc>
          <w:tcPr>
            <w:tcW w:w="1486" w:type="dxa"/>
            <w:shd w:val="clear" w:color="auto" w:fill="B5C0D8"/>
          </w:tcPr>
          <w:p w:rsidR="00D849AA" w:rsidRPr="00A5008D" w:rsidRDefault="00EE6D95">
            <w:pPr>
              <w:pStyle w:val="CellHeader"/>
            </w:pPr>
            <w:r w:rsidRPr="00A5008D">
              <w:t>Ciljana vrijednost (2015.)</w:t>
            </w:r>
          </w:p>
        </w:tc>
        <w:tc>
          <w:tcPr>
            <w:tcW w:w="1486" w:type="dxa"/>
            <w:shd w:val="clear" w:color="auto" w:fill="B5C0D8"/>
          </w:tcPr>
          <w:p w:rsidR="00D849AA" w:rsidRPr="00A5008D" w:rsidRDefault="00EE6D95">
            <w:pPr>
              <w:pStyle w:val="CellHeader"/>
            </w:pPr>
            <w:r w:rsidRPr="00A5008D">
              <w:t>Ciljana vrijednost (2016.)</w:t>
            </w:r>
          </w:p>
        </w:tc>
      </w:tr>
      <w:tr w:rsidR="00D849AA">
        <w:trPr>
          <w:jc w:val="center"/>
        </w:trPr>
        <w:tc>
          <w:tcPr>
            <w:tcW w:w="2229" w:type="dxa"/>
          </w:tcPr>
          <w:p w:rsidR="00D849AA" w:rsidRPr="00A5008D" w:rsidRDefault="00EE6D95">
            <w:pPr>
              <w:pStyle w:val="CellColumn"/>
            </w:pPr>
            <w:r w:rsidRPr="00A5008D">
              <w:t>postotak obavljenih revizija u odnosu na planirane revizije</w:t>
            </w:r>
          </w:p>
        </w:tc>
        <w:tc>
          <w:tcPr>
            <w:tcW w:w="1114" w:type="dxa"/>
          </w:tcPr>
          <w:p w:rsidR="00D849AA" w:rsidRPr="00A5008D" w:rsidRDefault="00EE6D95">
            <w:pPr>
              <w:rPr>
                <w:rFonts w:ascii="Arial" w:hAnsi="Arial" w:cs="Arial"/>
              </w:rPr>
            </w:pPr>
            <w:r w:rsidRPr="00A5008D">
              <w:rPr>
                <w:rFonts w:ascii="Arial" w:hAnsi="Arial" w:cs="Arial"/>
              </w:rPr>
              <w:t>postotak</w:t>
            </w:r>
          </w:p>
        </w:tc>
        <w:tc>
          <w:tcPr>
            <w:tcW w:w="1114" w:type="dxa"/>
          </w:tcPr>
          <w:p w:rsidR="00D849AA" w:rsidRPr="00A5008D" w:rsidRDefault="00EE6D95">
            <w:pPr>
              <w:rPr>
                <w:rFonts w:ascii="Arial" w:hAnsi="Arial" w:cs="Arial"/>
              </w:rPr>
            </w:pPr>
            <w:r w:rsidRPr="00A5008D">
              <w:rPr>
                <w:rFonts w:ascii="Arial" w:hAnsi="Arial" w:cs="Arial"/>
              </w:rPr>
              <w:t>88%</w:t>
            </w:r>
          </w:p>
        </w:tc>
        <w:tc>
          <w:tcPr>
            <w:tcW w:w="1486" w:type="dxa"/>
          </w:tcPr>
          <w:p w:rsidR="00D849AA" w:rsidRPr="00A5008D" w:rsidRDefault="00EE6D95">
            <w:pPr>
              <w:rPr>
                <w:rFonts w:ascii="Arial" w:hAnsi="Arial" w:cs="Arial"/>
              </w:rPr>
            </w:pPr>
            <w:r w:rsidRPr="00A5008D">
              <w:rPr>
                <w:rFonts w:ascii="Arial" w:hAnsi="Arial" w:cs="Arial"/>
              </w:rPr>
              <w:t>100%</w:t>
            </w:r>
          </w:p>
        </w:tc>
        <w:tc>
          <w:tcPr>
            <w:tcW w:w="1486" w:type="dxa"/>
          </w:tcPr>
          <w:p w:rsidR="00D849AA" w:rsidRPr="00A5008D" w:rsidRDefault="00EE6D95">
            <w:pPr>
              <w:rPr>
                <w:rFonts w:ascii="Arial" w:hAnsi="Arial" w:cs="Arial"/>
              </w:rPr>
            </w:pPr>
            <w:r w:rsidRPr="00A5008D">
              <w:rPr>
                <w:rFonts w:ascii="Arial" w:hAnsi="Arial" w:cs="Arial"/>
              </w:rPr>
              <w:t>100%</w:t>
            </w:r>
          </w:p>
        </w:tc>
        <w:tc>
          <w:tcPr>
            <w:tcW w:w="1486" w:type="dxa"/>
          </w:tcPr>
          <w:p w:rsidR="00D849AA" w:rsidRPr="00A5008D" w:rsidRDefault="00EE6D95">
            <w:pPr>
              <w:rPr>
                <w:rFonts w:ascii="Arial" w:hAnsi="Arial" w:cs="Arial"/>
              </w:rPr>
            </w:pPr>
            <w:r w:rsidRPr="00A5008D">
              <w:rPr>
                <w:rFonts w:ascii="Arial" w:hAnsi="Arial" w:cs="Arial"/>
              </w:rPr>
              <w:t>100%</w:t>
            </w:r>
          </w:p>
        </w:tc>
      </w:tr>
      <w:tr w:rsidR="00D849AA">
        <w:trPr>
          <w:jc w:val="center"/>
        </w:trPr>
        <w:tc>
          <w:tcPr>
            <w:tcW w:w="2229" w:type="dxa"/>
          </w:tcPr>
          <w:p w:rsidR="00D849AA" w:rsidRPr="00A5008D" w:rsidRDefault="00EE6D95">
            <w:pPr>
              <w:pStyle w:val="CellColumn"/>
            </w:pPr>
            <w:r w:rsidRPr="00A5008D">
              <w:t>postotak zaposlenih revizora u odnosu na sistematizirani broj revizora</w:t>
            </w:r>
          </w:p>
        </w:tc>
        <w:tc>
          <w:tcPr>
            <w:tcW w:w="1114" w:type="dxa"/>
          </w:tcPr>
          <w:p w:rsidR="00D849AA" w:rsidRPr="00A5008D" w:rsidRDefault="00EE6D95">
            <w:pPr>
              <w:rPr>
                <w:rFonts w:ascii="Arial" w:hAnsi="Arial" w:cs="Arial"/>
              </w:rPr>
            </w:pPr>
            <w:r w:rsidRPr="00A5008D">
              <w:rPr>
                <w:rFonts w:ascii="Arial" w:hAnsi="Arial" w:cs="Arial"/>
              </w:rPr>
              <w:t>postotak</w:t>
            </w:r>
          </w:p>
        </w:tc>
        <w:tc>
          <w:tcPr>
            <w:tcW w:w="1114" w:type="dxa"/>
          </w:tcPr>
          <w:p w:rsidR="00D849AA" w:rsidRPr="00A5008D" w:rsidRDefault="00EE6D95">
            <w:pPr>
              <w:rPr>
                <w:rFonts w:ascii="Arial" w:hAnsi="Arial" w:cs="Arial"/>
              </w:rPr>
            </w:pPr>
            <w:r w:rsidRPr="00A5008D">
              <w:rPr>
                <w:rFonts w:ascii="Arial" w:hAnsi="Arial" w:cs="Arial"/>
              </w:rPr>
              <w:t>75%</w:t>
            </w:r>
          </w:p>
        </w:tc>
        <w:tc>
          <w:tcPr>
            <w:tcW w:w="1486" w:type="dxa"/>
          </w:tcPr>
          <w:p w:rsidR="00D849AA" w:rsidRPr="00A5008D" w:rsidRDefault="00EE6D95">
            <w:pPr>
              <w:rPr>
                <w:rFonts w:ascii="Arial" w:hAnsi="Arial" w:cs="Arial"/>
              </w:rPr>
            </w:pPr>
            <w:r w:rsidRPr="00A5008D">
              <w:rPr>
                <w:rFonts w:ascii="Arial" w:hAnsi="Arial" w:cs="Arial"/>
              </w:rPr>
              <w:t>100%</w:t>
            </w:r>
          </w:p>
        </w:tc>
        <w:tc>
          <w:tcPr>
            <w:tcW w:w="1486" w:type="dxa"/>
          </w:tcPr>
          <w:p w:rsidR="00D849AA" w:rsidRPr="00A5008D" w:rsidRDefault="00EE6D95">
            <w:pPr>
              <w:rPr>
                <w:rFonts w:ascii="Arial" w:hAnsi="Arial" w:cs="Arial"/>
              </w:rPr>
            </w:pPr>
            <w:r w:rsidRPr="00A5008D">
              <w:rPr>
                <w:rFonts w:ascii="Arial" w:hAnsi="Arial" w:cs="Arial"/>
              </w:rPr>
              <w:t>100%</w:t>
            </w:r>
          </w:p>
        </w:tc>
        <w:tc>
          <w:tcPr>
            <w:tcW w:w="1486" w:type="dxa"/>
          </w:tcPr>
          <w:p w:rsidR="00D849AA" w:rsidRPr="00A5008D" w:rsidRDefault="00EE6D95">
            <w:pPr>
              <w:rPr>
                <w:rFonts w:ascii="Arial" w:hAnsi="Arial" w:cs="Arial"/>
              </w:rPr>
            </w:pPr>
            <w:r w:rsidRPr="00A5008D">
              <w:rPr>
                <w:rFonts w:ascii="Arial" w:hAnsi="Arial" w:cs="Arial"/>
              </w:rPr>
              <w:t>100%</w:t>
            </w:r>
          </w:p>
        </w:tc>
      </w:tr>
    </w:tbl>
    <w:p w:rsidR="00D849AA" w:rsidRDefault="00D849AA">
      <w:pPr>
        <w:jc w:val="left"/>
      </w:pPr>
    </w:p>
    <w:p w:rsidR="00D849AA" w:rsidRDefault="00EE6D95">
      <w:pPr>
        <w:pStyle w:val="Naslov5"/>
      </w:pPr>
      <w:r>
        <w:lastRenderedPageBreak/>
        <w:t>Procjena i ishodište potrebnih sredstava za značajnije aktivnosti/projekte</w:t>
      </w:r>
    </w:p>
    <w:p w:rsidR="00D849AA" w:rsidRDefault="00EE6D95">
      <w:pPr>
        <w:pStyle w:val="Naslov6"/>
      </w:pPr>
      <w:r>
        <w:t>A829002 ADMINISTRACIJA I UPRAVLJANJE AGENCIJE ZA REVIZIJU SUSTAVA PROVEDBE PROGRAMA EUROPSKE UNIJE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A5008D" w:rsidRDefault="00EE6D95">
            <w:pPr>
              <w:pStyle w:val="CellHeader"/>
            </w:pPr>
            <w:r w:rsidRPr="00A5008D">
              <w:t>Naziv aktivnosti</w:t>
            </w:r>
          </w:p>
        </w:tc>
        <w:tc>
          <w:tcPr>
            <w:tcW w:w="1486" w:type="dxa"/>
            <w:shd w:val="clear" w:color="auto" w:fill="B5C0D8"/>
          </w:tcPr>
          <w:p w:rsidR="00D849AA" w:rsidRPr="00A5008D" w:rsidRDefault="00EE6D95">
            <w:pPr>
              <w:pStyle w:val="CellHeader"/>
            </w:pPr>
            <w:r w:rsidRPr="00A5008D">
              <w:t>Plan 2013.</w:t>
            </w:r>
          </w:p>
        </w:tc>
        <w:tc>
          <w:tcPr>
            <w:tcW w:w="1486" w:type="dxa"/>
            <w:shd w:val="clear" w:color="auto" w:fill="B5C0D8"/>
          </w:tcPr>
          <w:p w:rsidR="00D849AA" w:rsidRPr="00A5008D" w:rsidRDefault="00EE6D95">
            <w:pPr>
              <w:pStyle w:val="CellHeader"/>
            </w:pPr>
            <w:r w:rsidRPr="00A5008D">
              <w:t>Plan 2014.</w:t>
            </w:r>
          </w:p>
        </w:tc>
        <w:tc>
          <w:tcPr>
            <w:tcW w:w="1486" w:type="dxa"/>
            <w:shd w:val="clear" w:color="auto" w:fill="B5C0D8"/>
          </w:tcPr>
          <w:p w:rsidR="00D849AA" w:rsidRPr="00A5008D" w:rsidRDefault="00EE6D95">
            <w:pPr>
              <w:pStyle w:val="CellHeader"/>
            </w:pPr>
            <w:r w:rsidRPr="00A5008D">
              <w:t>Plan 2015.</w:t>
            </w:r>
          </w:p>
        </w:tc>
        <w:tc>
          <w:tcPr>
            <w:tcW w:w="1486" w:type="dxa"/>
            <w:shd w:val="clear" w:color="auto" w:fill="B5C0D8"/>
          </w:tcPr>
          <w:p w:rsidR="00D849AA" w:rsidRPr="00A5008D" w:rsidRDefault="00EE6D95">
            <w:pPr>
              <w:pStyle w:val="CellHeader"/>
            </w:pPr>
            <w:r w:rsidRPr="00A5008D">
              <w:t>Plan 2016.</w:t>
            </w:r>
          </w:p>
        </w:tc>
        <w:tc>
          <w:tcPr>
            <w:tcW w:w="1486" w:type="dxa"/>
            <w:shd w:val="clear" w:color="auto" w:fill="B5C0D8"/>
          </w:tcPr>
          <w:p w:rsidR="00D849AA" w:rsidRPr="00A5008D" w:rsidRDefault="00EE6D95">
            <w:pPr>
              <w:pStyle w:val="CellHeader"/>
            </w:pPr>
            <w:r w:rsidRPr="00A5008D">
              <w:t>Indeks 2014/2013</w:t>
            </w:r>
          </w:p>
        </w:tc>
      </w:tr>
      <w:tr w:rsidR="00D849AA">
        <w:trPr>
          <w:jc w:val="center"/>
        </w:trPr>
        <w:tc>
          <w:tcPr>
            <w:tcW w:w="1486" w:type="dxa"/>
          </w:tcPr>
          <w:p w:rsidR="00D849AA" w:rsidRPr="00A5008D" w:rsidRDefault="00EE6D95">
            <w:pPr>
              <w:pStyle w:val="CellColumn"/>
            </w:pPr>
            <w:r w:rsidRPr="00A5008D">
              <w:t>A829002</w:t>
            </w:r>
          </w:p>
        </w:tc>
        <w:tc>
          <w:tcPr>
            <w:tcW w:w="1486" w:type="dxa"/>
          </w:tcPr>
          <w:p w:rsidR="00D849AA" w:rsidRPr="00A5008D" w:rsidRDefault="00EE6D95">
            <w:pPr>
              <w:rPr>
                <w:rFonts w:ascii="Arial" w:hAnsi="Arial" w:cs="Arial"/>
              </w:rPr>
            </w:pPr>
            <w:r w:rsidRPr="00A5008D">
              <w:rPr>
                <w:rFonts w:ascii="Arial" w:hAnsi="Arial" w:cs="Arial"/>
              </w:rPr>
              <w:t>8.842.300</w:t>
            </w:r>
          </w:p>
        </w:tc>
        <w:tc>
          <w:tcPr>
            <w:tcW w:w="1486" w:type="dxa"/>
          </w:tcPr>
          <w:p w:rsidR="00D849AA" w:rsidRPr="00A5008D" w:rsidRDefault="00EE6D95">
            <w:pPr>
              <w:rPr>
                <w:rFonts w:ascii="Arial" w:hAnsi="Arial" w:cs="Arial"/>
              </w:rPr>
            </w:pPr>
            <w:r w:rsidRPr="00A5008D">
              <w:rPr>
                <w:rFonts w:ascii="Arial" w:hAnsi="Arial" w:cs="Arial"/>
              </w:rPr>
              <w:t>10.629.000</w:t>
            </w:r>
          </w:p>
        </w:tc>
        <w:tc>
          <w:tcPr>
            <w:tcW w:w="1486" w:type="dxa"/>
          </w:tcPr>
          <w:p w:rsidR="00D849AA" w:rsidRPr="00A5008D" w:rsidRDefault="00EE6D95">
            <w:pPr>
              <w:rPr>
                <w:rFonts w:ascii="Arial" w:hAnsi="Arial" w:cs="Arial"/>
              </w:rPr>
            </w:pPr>
            <w:r w:rsidRPr="00A5008D">
              <w:rPr>
                <w:rFonts w:ascii="Arial" w:hAnsi="Arial" w:cs="Arial"/>
              </w:rPr>
              <w:t>10.749.000</w:t>
            </w:r>
          </w:p>
        </w:tc>
        <w:tc>
          <w:tcPr>
            <w:tcW w:w="1486" w:type="dxa"/>
          </w:tcPr>
          <w:p w:rsidR="00D849AA" w:rsidRPr="00A5008D" w:rsidRDefault="00EE6D95">
            <w:pPr>
              <w:rPr>
                <w:rFonts w:ascii="Arial" w:hAnsi="Arial" w:cs="Arial"/>
              </w:rPr>
            </w:pPr>
            <w:r w:rsidRPr="00A5008D">
              <w:rPr>
                <w:rFonts w:ascii="Arial" w:hAnsi="Arial" w:cs="Arial"/>
              </w:rPr>
              <w:t>10.904.000</w:t>
            </w:r>
          </w:p>
        </w:tc>
        <w:tc>
          <w:tcPr>
            <w:tcW w:w="1486" w:type="dxa"/>
          </w:tcPr>
          <w:p w:rsidR="00D849AA" w:rsidRPr="00A5008D" w:rsidRDefault="00EE6D95">
            <w:pPr>
              <w:rPr>
                <w:rFonts w:ascii="Arial" w:hAnsi="Arial" w:cs="Arial"/>
              </w:rPr>
            </w:pPr>
            <w:r w:rsidRPr="00A5008D">
              <w:rPr>
                <w:rFonts w:ascii="Arial" w:hAnsi="Arial" w:cs="Arial"/>
              </w:rPr>
              <w:t>120,2</w:t>
            </w:r>
          </w:p>
        </w:tc>
      </w:tr>
    </w:tbl>
    <w:p w:rsidR="00D849AA" w:rsidRDefault="00D849AA">
      <w:pPr>
        <w:jc w:val="left"/>
      </w:pPr>
    </w:p>
    <w:p w:rsidR="00D849AA" w:rsidRDefault="00EE6D95" w:rsidP="00B515E1">
      <w:pPr>
        <w:pStyle w:val="Normal6"/>
      </w:pPr>
      <w:r>
        <w:t xml:space="preserve">Djelatnost Agencije je revizija i ovjeravanje usklađenosti provedbe programa Europske unije u kojima su upravljanje i odgovornost preneseni na Republiku Hrvatsku s ciljevima, zadacima i postupcima utvrđenim međunarodno preuzetim obvezama Republike Hrvatske.  </w:t>
      </w:r>
    </w:p>
    <w:p w:rsidR="00D849AA" w:rsidRDefault="00EE6D95" w:rsidP="00B515E1">
      <w:pPr>
        <w:pStyle w:val="Normal6"/>
      </w:pPr>
      <w:r>
        <w:t xml:space="preserve">Revizori na terenu nastoje prikupiti uvjerljive dokaze kako bi potvrdili da sustavi upravljanja i sustavi kontrola funkcioniraju u skladu sa propisima, da osiguravaju usklađenost izdataka s propisima i da osiguravaju cjelovitost i transparentnost financijskih informacija. U slučajevima kada sustavi kontrola nisu zadovoljavajući, revizori trebaju provesti opsežnije postupke i povećati uzrok s ciljem dobivanja točnijeg mišljenja o subjektu revizije.  </w:t>
      </w:r>
    </w:p>
    <w:p w:rsidR="00D849AA" w:rsidRDefault="00EE6D95">
      <w:pPr>
        <w:pStyle w:val="Normal6"/>
      </w:pPr>
      <w:r>
        <w:t>Agencija je mlada institucija koja je u pet godina od 7 zaposlenika narasla na 36 zaposlenika, od čega su 31 revizora. Iz navedenog proizlazi da su najvažniji element Agencije ljudski potencijali te je nužno osigurati pravovremeno zapošljavanje kvalitetnih kadrova i zadržavanje postojećih.</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A5008D" w:rsidRDefault="00EE6D95">
            <w:pPr>
              <w:rPr>
                <w:rFonts w:ascii="Arial" w:hAnsi="Arial" w:cs="Arial"/>
              </w:rPr>
            </w:pPr>
            <w:r w:rsidRPr="00A5008D">
              <w:rPr>
                <w:rFonts w:ascii="Arial" w:hAnsi="Arial" w:cs="Arial"/>
              </w:rPr>
              <w:t>Pokazatelj rezultata</w:t>
            </w:r>
          </w:p>
        </w:tc>
        <w:tc>
          <w:tcPr>
            <w:tcW w:w="1114" w:type="dxa"/>
            <w:shd w:val="clear" w:color="auto" w:fill="B5C0D8"/>
          </w:tcPr>
          <w:p w:rsidR="00D849AA" w:rsidRPr="00A5008D" w:rsidRDefault="00EE6D95">
            <w:pPr>
              <w:pStyle w:val="CellHeader"/>
            </w:pPr>
            <w:r w:rsidRPr="00A5008D">
              <w:t>Jedinica</w:t>
            </w:r>
          </w:p>
        </w:tc>
        <w:tc>
          <w:tcPr>
            <w:tcW w:w="1114" w:type="dxa"/>
            <w:shd w:val="clear" w:color="auto" w:fill="B5C0D8"/>
          </w:tcPr>
          <w:p w:rsidR="00D849AA" w:rsidRPr="00A5008D" w:rsidRDefault="00EE6D95">
            <w:pPr>
              <w:pStyle w:val="CellHeader"/>
            </w:pPr>
            <w:r w:rsidRPr="00A5008D">
              <w:t>Polazna vrijednost</w:t>
            </w:r>
          </w:p>
        </w:tc>
        <w:tc>
          <w:tcPr>
            <w:tcW w:w="1486" w:type="dxa"/>
            <w:shd w:val="clear" w:color="auto" w:fill="B5C0D8"/>
          </w:tcPr>
          <w:p w:rsidR="00D849AA" w:rsidRPr="00A5008D" w:rsidRDefault="00EE6D95">
            <w:pPr>
              <w:pStyle w:val="CellHeader"/>
            </w:pPr>
            <w:r w:rsidRPr="00A5008D">
              <w:t>Ciljana vrijednost (2014.)</w:t>
            </w:r>
          </w:p>
        </w:tc>
        <w:tc>
          <w:tcPr>
            <w:tcW w:w="1486" w:type="dxa"/>
            <w:shd w:val="clear" w:color="auto" w:fill="B5C0D8"/>
          </w:tcPr>
          <w:p w:rsidR="00D849AA" w:rsidRPr="00A5008D" w:rsidRDefault="00EE6D95">
            <w:pPr>
              <w:pStyle w:val="CellHeader"/>
            </w:pPr>
            <w:r w:rsidRPr="00A5008D">
              <w:t>Ciljana vrijednost (2015.)</w:t>
            </w:r>
          </w:p>
        </w:tc>
        <w:tc>
          <w:tcPr>
            <w:tcW w:w="1486" w:type="dxa"/>
            <w:shd w:val="clear" w:color="auto" w:fill="B5C0D8"/>
          </w:tcPr>
          <w:p w:rsidR="00D849AA" w:rsidRPr="00A5008D" w:rsidRDefault="00EE6D95">
            <w:pPr>
              <w:pStyle w:val="CellHeader"/>
            </w:pPr>
            <w:r w:rsidRPr="00A5008D">
              <w:t>Ciljana vrijednost (2016.)</w:t>
            </w:r>
          </w:p>
        </w:tc>
      </w:tr>
      <w:tr w:rsidR="00D849AA">
        <w:trPr>
          <w:jc w:val="center"/>
        </w:trPr>
        <w:tc>
          <w:tcPr>
            <w:tcW w:w="2229" w:type="dxa"/>
          </w:tcPr>
          <w:p w:rsidR="00D849AA" w:rsidRPr="00A5008D" w:rsidRDefault="00EE6D95">
            <w:pPr>
              <w:pStyle w:val="CellColumn"/>
            </w:pPr>
            <w:r w:rsidRPr="00A5008D">
              <w:t>postotak sastavljenih dokumenata (planovi, izvješča, mišljenja) prema pravnoj regulativi i dostavljenih korisnicima u planiranim rokovima</w:t>
            </w:r>
          </w:p>
        </w:tc>
        <w:tc>
          <w:tcPr>
            <w:tcW w:w="1114" w:type="dxa"/>
          </w:tcPr>
          <w:p w:rsidR="00D849AA" w:rsidRPr="00A5008D" w:rsidRDefault="00EE6D95">
            <w:pPr>
              <w:rPr>
                <w:rFonts w:ascii="Arial" w:hAnsi="Arial" w:cs="Arial"/>
              </w:rPr>
            </w:pPr>
            <w:r w:rsidRPr="00A5008D">
              <w:rPr>
                <w:rFonts w:ascii="Arial" w:hAnsi="Arial" w:cs="Arial"/>
              </w:rPr>
              <w:t>postotak</w:t>
            </w:r>
          </w:p>
        </w:tc>
        <w:tc>
          <w:tcPr>
            <w:tcW w:w="1114" w:type="dxa"/>
          </w:tcPr>
          <w:p w:rsidR="00D849AA" w:rsidRPr="00A5008D" w:rsidRDefault="00EE6D95">
            <w:pPr>
              <w:rPr>
                <w:rFonts w:ascii="Arial" w:hAnsi="Arial" w:cs="Arial"/>
              </w:rPr>
            </w:pPr>
            <w:r w:rsidRPr="00A5008D">
              <w:rPr>
                <w:rFonts w:ascii="Arial" w:hAnsi="Arial" w:cs="Arial"/>
              </w:rPr>
              <w:t>100%</w:t>
            </w:r>
          </w:p>
        </w:tc>
        <w:tc>
          <w:tcPr>
            <w:tcW w:w="1486" w:type="dxa"/>
          </w:tcPr>
          <w:p w:rsidR="00D849AA" w:rsidRPr="00A5008D" w:rsidRDefault="00EE6D95">
            <w:pPr>
              <w:rPr>
                <w:rFonts w:ascii="Arial" w:hAnsi="Arial" w:cs="Arial"/>
              </w:rPr>
            </w:pPr>
            <w:r w:rsidRPr="00A5008D">
              <w:rPr>
                <w:rFonts w:ascii="Arial" w:hAnsi="Arial" w:cs="Arial"/>
              </w:rPr>
              <w:t>100%</w:t>
            </w:r>
          </w:p>
        </w:tc>
        <w:tc>
          <w:tcPr>
            <w:tcW w:w="1486" w:type="dxa"/>
          </w:tcPr>
          <w:p w:rsidR="00D849AA" w:rsidRPr="00A5008D" w:rsidRDefault="00EE6D95">
            <w:pPr>
              <w:rPr>
                <w:rFonts w:ascii="Arial" w:hAnsi="Arial" w:cs="Arial"/>
              </w:rPr>
            </w:pPr>
            <w:r w:rsidRPr="00A5008D">
              <w:rPr>
                <w:rFonts w:ascii="Arial" w:hAnsi="Arial" w:cs="Arial"/>
              </w:rPr>
              <w:t>100%</w:t>
            </w:r>
          </w:p>
        </w:tc>
        <w:tc>
          <w:tcPr>
            <w:tcW w:w="1486" w:type="dxa"/>
          </w:tcPr>
          <w:p w:rsidR="00D849AA" w:rsidRPr="00A5008D" w:rsidRDefault="00EE6D95">
            <w:pPr>
              <w:rPr>
                <w:rFonts w:ascii="Arial" w:hAnsi="Arial" w:cs="Arial"/>
              </w:rPr>
            </w:pPr>
            <w:r w:rsidRPr="00A5008D">
              <w:rPr>
                <w:rFonts w:ascii="Arial" w:hAnsi="Arial" w:cs="Arial"/>
              </w:rPr>
              <w:t>100%</w:t>
            </w:r>
          </w:p>
        </w:tc>
      </w:tr>
      <w:tr w:rsidR="00D849AA">
        <w:trPr>
          <w:jc w:val="center"/>
        </w:trPr>
        <w:tc>
          <w:tcPr>
            <w:tcW w:w="2229" w:type="dxa"/>
          </w:tcPr>
          <w:p w:rsidR="00D849AA" w:rsidRPr="00A5008D" w:rsidRDefault="00EE6D95">
            <w:pPr>
              <w:pStyle w:val="CellColumn"/>
            </w:pPr>
            <w:r w:rsidRPr="00A5008D">
              <w:t>postotak obavljenih revizija u toku jedne godine u odnosu na planirane revizije u toj godini</w:t>
            </w:r>
          </w:p>
        </w:tc>
        <w:tc>
          <w:tcPr>
            <w:tcW w:w="1114" w:type="dxa"/>
          </w:tcPr>
          <w:p w:rsidR="00D849AA" w:rsidRPr="00A5008D" w:rsidRDefault="00EE6D95">
            <w:pPr>
              <w:rPr>
                <w:rFonts w:ascii="Arial" w:hAnsi="Arial" w:cs="Arial"/>
              </w:rPr>
            </w:pPr>
            <w:r w:rsidRPr="00A5008D">
              <w:rPr>
                <w:rFonts w:ascii="Arial" w:hAnsi="Arial" w:cs="Arial"/>
              </w:rPr>
              <w:t>postotak</w:t>
            </w:r>
          </w:p>
        </w:tc>
        <w:tc>
          <w:tcPr>
            <w:tcW w:w="1114" w:type="dxa"/>
          </w:tcPr>
          <w:p w:rsidR="00D849AA" w:rsidRPr="00A5008D" w:rsidRDefault="00EE6D95">
            <w:pPr>
              <w:rPr>
                <w:rFonts w:ascii="Arial" w:hAnsi="Arial" w:cs="Arial"/>
              </w:rPr>
            </w:pPr>
            <w:r w:rsidRPr="00A5008D">
              <w:rPr>
                <w:rFonts w:ascii="Arial" w:hAnsi="Arial" w:cs="Arial"/>
              </w:rPr>
              <w:t>88%</w:t>
            </w:r>
          </w:p>
        </w:tc>
        <w:tc>
          <w:tcPr>
            <w:tcW w:w="1486" w:type="dxa"/>
          </w:tcPr>
          <w:p w:rsidR="00D849AA" w:rsidRPr="00A5008D" w:rsidRDefault="00EE6D95">
            <w:pPr>
              <w:rPr>
                <w:rFonts w:ascii="Arial" w:hAnsi="Arial" w:cs="Arial"/>
              </w:rPr>
            </w:pPr>
            <w:r w:rsidRPr="00A5008D">
              <w:rPr>
                <w:rFonts w:ascii="Arial" w:hAnsi="Arial" w:cs="Arial"/>
              </w:rPr>
              <w:t>100%</w:t>
            </w:r>
          </w:p>
        </w:tc>
        <w:tc>
          <w:tcPr>
            <w:tcW w:w="1486" w:type="dxa"/>
          </w:tcPr>
          <w:p w:rsidR="00D849AA" w:rsidRPr="00A5008D" w:rsidRDefault="00EE6D95">
            <w:pPr>
              <w:rPr>
                <w:rFonts w:ascii="Arial" w:hAnsi="Arial" w:cs="Arial"/>
              </w:rPr>
            </w:pPr>
            <w:r w:rsidRPr="00A5008D">
              <w:rPr>
                <w:rFonts w:ascii="Arial" w:hAnsi="Arial" w:cs="Arial"/>
              </w:rPr>
              <w:t>100%</w:t>
            </w:r>
          </w:p>
        </w:tc>
        <w:tc>
          <w:tcPr>
            <w:tcW w:w="1486" w:type="dxa"/>
          </w:tcPr>
          <w:p w:rsidR="00D849AA" w:rsidRPr="00A5008D" w:rsidRDefault="00EE6D95">
            <w:pPr>
              <w:rPr>
                <w:rFonts w:ascii="Arial" w:hAnsi="Arial" w:cs="Arial"/>
              </w:rPr>
            </w:pPr>
            <w:r w:rsidRPr="00A5008D">
              <w:rPr>
                <w:rFonts w:ascii="Arial" w:hAnsi="Arial" w:cs="Arial"/>
              </w:rPr>
              <w:t>100%</w:t>
            </w:r>
          </w:p>
        </w:tc>
      </w:tr>
      <w:tr w:rsidR="00D849AA">
        <w:trPr>
          <w:jc w:val="center"/>
        </w:trPr>
        <w:tc>
          <w:tcPr>
            <w:tcW w:w="2229" w:type="dxa"/>
          </w:tcPr>
          <w:p w:rsidR="00D849AA" w:rsidRPr="00A5008D" w:rsidRDefault="00EE6D95">
            <w:pPr>
              <w:pStyle w:val="CellColumn"/>
            </w:pPr>
            <w:r w:rsidRPr="00A5008D">
              <w:t>postotak zaposlenih revizora u odnosu na sistematizirani broj revizora</w:t>
            </w:r>
          </w:p>
        </w:tc>
        <w:tc>
          <w:tcPr>
            <w:tcW w:w="1114" w:type="dxa"/>
          </w:tcPr>
          <w:p w:rsidR="00D849AA" w:rsidRPr="00A5008D" w:rsidRDefault="00EE6D95">
            <w:pPr>
              <w:rPr>
                <w:rFonts w:ascii="Arial" w:hAnsi="Arial" w:cs="Arial"/>
              </w:rPr>
            </w:pPr>
            <w:r w:rsidRPr="00A5008D">
              <w:rPr>
                <w:rFonts w:ascii="Arial" w:hAnsi="Arial" w:cs="Arial"/>
              </w:rPr>
              <w:t>postotak</w:t>
            </w:r>
          </w:p>
        </w:tc>
        <w:tc>
          <w:tcPr>
            <w:tcW w:w="1114" w:type="dxa"/>
          </w:tcPr>
          <w:p w:rsidR="00D849AA" w:rsidRPr="00A5008D" w:rsidRDefault="00EE6D95">
            <w:pPr>
              <w:rPr>
                <w:rFonts w:ascii="Arial" w:hAnsi="Arial" w:cs="Arial"/>
              </w:rPr>
            </w:pPr>
            <w:r w:rsidRPr="00A5008D">
              <w:rPr>
                <w:rFonts w:ascii="Arial" w:hAnsi="Arial" w:cs="Arial"/>
              </w:rPr>
              <w:t>75%</w:t>
            </w:r>
          </w:p>
        </w:tc>
        <w:tc>
          <w:tcPr>
            <w:tcW w:w="1486" w:type="dxa"/>
          </w:tcPr>
          <w:p w:rsidR="00D849AA" w:rsidRPr="00A5008D" w:rsidRDefault="00EE6D95">
            <w:pPr>
              <w:rPr>
                <w:rFonts w:ascii="Arial" w:hAnsi="Arial" w:cs="Arial"/>
              </w:rPr>
            </w:pPr>
            <w:r w:rsidRPr="00A5008D">
              <w:rPr>
                <w:rFonts w:ascii="Arial" w:hAnsi="Arial" w:cs="Arial"/>
              </w:rPr>
              <w:t>100%</w:t>
            </w:r>
          </w:p>
        </w:tc>
        <w:tc>
          <w:tcPr>
            <w:tcW w:w="1486" w:type="dxa"/>
          </w:tcPr>
          <w:p w:rsidR="00D849AA" w:rsidRPr="00A5008D" w:rsidRDefault="00EE6D95">
            <w:pPr>
              <w:rPr>
                <w:rFonts w:ascii="Arial" w:hAnsi="Arial" w:cs="Arial"/>
              </w:rPr>
            </w:pPr>
            <w:r w:rsidRPr="00A5008D">
              <w:rPr>
                <w:rFonts w:ascii="Arial" w:hAnsi="Arial" w:cs="Arial"/>
              </w:rPr>
              <w:t>100%</w:t>
            </w:r>
          </w:p>
        </w:tc>
        <w:tc>
          <w:tcPr>
            <w:tcW w:w="1486" w:type="dxa"/>
          </w:tcPr>
          <w:p w:rsidR="00D849AA" w:rsidRPr="00A5008D" w:rsidRDefault="00EE6D95">
            <w:pPr>
              <w:rPr>
                <w:rFonts w:ascii="Arial" w:hAnsi="Arial" w:cs="Arial"/>
              </w:rPr>
            </w:pPr>
            <w:r w:rsidRPr="00A5008D">
              <w:rPr>
                <w:rFonts w:ascii="Arial" w:hAnsi="Arial" w:cs="Arial"/>
              </w:rPr>
              <w:t>100%</w:t>
            </w:r>
          </w:p>
        </w:tc>
      </w:tr>
    </w:tbl>
    <w:p w:rsidR="00D849AA" w:rsidRDefault="00D849AA">
      <w:pPr>
        <w:jc w:val="left"/>
      </w:pPr>
    </w:p>
    <w:p w:rsidR="00D849AA" w:rsidRDefault="00EE6D95">
      <w:pPr>
        <w:pStyle w:val="Naslov2"/>
      </w:pPr>
      <w:r>
        <w:lastRenderedPageBreak/>
        <w:t>02545 Fond za naknadu oduzete imovine</w:t>
      </w:r>
    </w:p>
    <w:p w:rsidR="00D849AA" w:rsidRDefault="00EE6D95">
      <w:pPr>
        <w:pStyle w:val="Naslov4"/>
      </w:pPr>
      <w:r>
        <w:t>Uvod</w:t>
      </w:r>
    </w:p>
    <w:p w:rsidR="00D849AA" w:rsidRDefault="00EE6D95">
      <w:pPr>
        <w:pStyle w:val="Normal3"/>
      </w:pPr>
      <w:r>
        <w:t>Fond za naknadu oduzete imovine (u daljnjem tekstu: Fond) osnovan je Zakonom o Fond</w:t>
      </w:r>
      <w:r w:rsidR="00A5008D">
        <w:t>u za naknadu oduzete imovine (Narodne novine, broj</w:t>
      </w:r>
      <w:r>
        <w:t xml:space="preserve"> 69/97, 105/99 i 64/00) i upisan u sudski registar dana 16. srpnja 1998. godine. </w:t>
      </w:r>
    </w:p>
    <w:p w:rsidR="00D849AA" w:rsidRDefault="00EE6D95">
      <w:pPr>
        <w:pStyle w:val="Normal3"/>
      </w:pPr>
      <w:r>
        <w:t xml:space="preserve">Fond je osnovan radi isplate naknade u novcu i obveznicama Republike Hrvatske kada je naknada u tim oblicima propisana Zakonom o naknadi za imovinu oduzetu za vrijeme jugoslavenske komunističke vladavine </w:t>
      </w:r>
      <w:r w:rsidR="00A5008D">
        <w:t>(Narodne novine, broj</w:t>
      </w:r>
      <w:r>
        <w:t xml:space="preserve"> 92/96, 29/99, 39/99, 92/99, 43/00, 131/00, 27/01, 65/01, 118/01, 80/02 i 81/02, u daljnjem tekstu: Zakon o naknadi). </w:t>
      </w:r>
    </w:p>
    <w:p w:rsidR="00D849AA" w:rsidRDefault="00EE6D95">
      <w:pPr>
        <w:pStyle w:val="Normal3"/>
      </w:pPr>
      <w:r>
        <w:t xml:space="preserve">Fond obavlja sljedeće poslove: </w:t>
      </w:r>
    </w:p>
    <w:p w:rsidR="00D849AA" w:rsidRDefault="00EE6D95">
      <w:pPr>
        <w:pStyle w:val="Normal3"/>
      </w:pPr>
      <w:r>
        <w:t xml:space="preserve">- isplaćuje naknadu u novcu i obveznicama ovlaštenicima naknade temeljem zaprimljenih  pravomoćnih rješenja o naknadi za oduzetu imovinu  </w:t>
      </w:r>
    </w:p>
    <w:p w:rsidR="00D849AA" w:rsidRDefault="00EE6D95">
      <w:pPr>
        <w:pStyle w:val="Normal3"/>
      </w:pPr>
      <w:r>
        <w:t xml:space="preserve">- prodaje nacionalizirane i konfiscirane stanove i to isključivo nositeljima stanarskog prava (najčešće na obročnu otplatu do 20 godina) te prikuplja sredstava ostvarena njihovom prodajom </w:t>
      </w:r>
    </w:p>
    <w:p w:rsidR="00D849AA" w:rsidRDefault="00EE6D95">
      <w:pPr>
        <w:pStyle w:val="Normal3"/>
      </w:pPr>
      <w:r>
        <w:t xml:space="preserve">- sudjeluje u upravnim postupcima u kojima, sukladno Zakonu o naknadi, Fond ima status stranke odnosno obveznika naknade </w:t>
      </w:r>
    </w:p>
    <w:p w:rsidR="00D849AA" w:rsidRDefault="00EE6D95">
      <w:pPr>
        <w:pStyle w:val="Normal3"/>
      </w:pPr>
      <w:r>
        <w:t xml:space="preserve">- sudjeluje u sudskim postupcima u kojima je ovaj Fond tuženik u parnicama koje se odnose na prodaju nacionaliziranih i konfisciranih stanova i na privremene mjere u svezi s istima </w:t>
      </w:r>
    </w:p>
    <w:p w:rsidR="00D849AA" w:rsidRDefault="00EE6D95">
      <w:pPr>
        <w:pStyle w:val="Normal3"/>
      </w:pPr>
      <w:r>
        <w:t>- sudjeluje u provedbi Ugovora između Svete Stolice i Republike Hrvatske o gospodarskim pitanjima.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A5008D" w:rsidRDefault="00D849AA">
            <w:pPr>
              <w:pStyle w:val="CellHeader"/>
            </w:pPr>
          </w:p>
        </w:tc>
        <w:tc>
          <w:tcPr>
            <w:tcW w:w="1486" w:type="dxa"/>
            <w:shd w:val="clear" w:color="auto" w:fill="B5C0D8"/>
          </w:tcPr>
          <w:p w:rsidR="00D849AA" w:rsidRPr="00A5008D" w:rsidRDefault="00EE6D95">
            <w:pPr>
              <w:pStyle w:val="CellHeader"/>
            </w:pPr>
            <w:r w:rsidRPr="00A5008D">
              <w:t>Plan 2013.</w:t>
            </w:r>
          </w:p>
        </w:tc>
        <w:tc>
          <w:tcPr>
            <w:tcW w:w="1486" w:type="dxa"/>
            <w:shd w:val="clear" w:color="auto" w:fill="B5C0D8"/>
          </w:tcPr>
          <w:p w:rsidR="00D849AA" w:rsidRPr="00A5008D" w:rsidRDefault="00EE6D95">
            <w:pPr>
              <w:pStyle w:val="CellHeader"/>
            </w:pPr>
            <w:r w:rsidRPr="00A5008D">
              <w:t>Plan 2014.</w:t>
            </w:r>
          </w:p>
        </w:tc>
        <w:tc>
          <w:tcPr>
            <w:tcW w:w="1486" w:type="dxa"/>
            <w:shd w:val="clear" w:color="auto" w:fill="B5C0D8"/>
          </w:tcPr>
          <w:p w:rsidR="00D849AA" w:rsidRPr="00A5008D" w:rsidRDefault="00EE6D95">
            <w:pPr>
              <w:pStyle w:val="CellHeader"/>
            </w:pPr>
            <w:r w:rsidRPr="00A5008D">
              <w:t>Plan 2015.</w:t>
            </w:r>
          </w:p>
        </w:tc>
        <w:tc>
          <w:tcPr>
            <w:tcW w:w="1486" w:type="dxa"/>
            <w:shd w:val="clear" w:color="auto" w:fill="B5C0D8"/>
          </w:tcPr>
          <w:p w:rsidR="00D849AA" w:rsidRPr="00A5008D" w:rsidRDefault="00EE6D95">
            <w:pPr>
              <w:pStyle w:val="CellHeader"/>
            </w:pPr>
            <w:r w:rsidRPr="00A5008D">
              <w:t>Plan 2016.</w:t>
            </w:r>
          </w:p>
        </w:tc>
        <w:tc>
          <w:tcPr>
            <w:tcW w:w="1486" w:type="dxa"/>
            <w:shd w:val="clear" w:color="auto" w:fill="B5C0D8"/>
          </w:tcPr>
          <w:p w:rsidR="00D849AA" w:rsidRPr="00A5008D" w:rsidRDefault="00EE6D95">
            <w:pPr>
              <w:pStyle w:val="CellHeader"/>
            </w:pPr>
            <w:r w:rsidRPr="00A5008D">
              <w:t>Indeks 2014/2013</w:t>
            </w:r>
          </w:p>
        </w:tc>
      </w:tr>
      <w:tr w:rsidR="00D849AA">
        <w:trPr>
          <w:jc w:val="center"/>
        </w:trPr>
        <w:tc>
          <w:tcPr>
            <w:tcW w:w="1486" w:type="dxa"/>
          </w:tcPr>
          <w:p w:rsidR="00D849AA" w:rsidRPr="00A5008D" w:rsidRDefault="00EE6D95">
            <w:pPr>
              <w:pStyle w:val="CellColumn"/>
            </w:pPr>
            <w:r w:rsidRPr="00A5008D">
              <w:t>02545</w:t>
            </w:r>
          </w:p>
        </w:tc>
        <w:tc>
          <w:tcPr>
            <w:tcW w:w="1486" w:type="dxa"/>
          </w:tcPr>
          <w:p w:rsidR="00D849AA" w:rsidRPr="00A5008D" w:rsidRDefault="00EE6D95">
            <w:pPr>
              <w:rPr>
                <w:rFonts w:ascii="Arial" w:hAnsi="Arial" w:cs="Arial"/>
              </w:rPr>
            </w:pPr>
            <w:r w:rsidRPr="00A5008D">
              <w:rPr>
                <w:rFonts w:ascii="Arial" w:hAnsi="Arial" w:cs="Arial"/>
              </w:rPr>
              <w:t>156.500.000</w:t>
            </w:r>
          </w:p>
        </w:tc>
        <w:tc>
          <w:tcPr>
            <w:tcW w:w="1486" w:type="dxa"/>
          </w:tcPr>
          <w:p w:rsidR="00D849AA" w:rsidRPr="00A5008D" w:rsidRDefault="00EE6D95">
            <w:pPr>
              <w:rPr>
                <w:rFonts w:ascii="Arial" w:hAnsi="Arial" w:cs="Arial"/>
              </w:rPr>
            </w:pPr>
            <w:r w:rsidRPr="00A5008D">
              <w:rPr>
                <w:rFonts w:ascii="Arial" w:hAnsi="Arial" w:cs="Arial"/>
              </w:rPr>
              <w:t>175.501.915</w:t>
            </w:r>
          </w:p>
        </w:tc>
        <w:tc>
          <w:tcPr>
            <w:tcW w:w="1486" w:type="dxa"/>
          </w:tcPr>
          <w:p w:rsidR="00D849AA" w:rsidRPr="00A5008D" w:rsidRDefault="00EE6D95">
            <w:pPr>
              <w:rPr>
                <w:rFonts w:ascii="Arial" w:hAnsi="Arial" w:cs="Arial"/>
              </w:rPr>
            </w:pPr>
            <w:r w:rsidRPr="00A5008D">
              <w:rPr>
                <w:rFonts w:ascii="Arial" w:hAnsi="Arial" w:cs="Arial"/>
              </w:rPr>
              <w:t>185.390.752</w:t>
            </w:r>
          </w:p>
        </w:tc>
        <w:tc>
          <w:tcPr>
            <w:tcW w:w="1486" w:type="dxa"/>
          </w:tcPr>
          <w:p w:rsidR="00D849AA" w:rsidRPr="00A5008D" w:rsidRDefault="00EE6D95">
            <w:pPr>
              <w:rPr>
                <w:rFonts w:ascii="Arial" w:hAnsi="Arial" w:cs="Arial"/>
              </w:rPr>
            </w:pPr>
            <w:r w:rsidRPr="00A5008D">
              <w:rPr>
                <w:rFonts w:ascii="Arial" w:hAnsi="Arial" w:cs="Arial"/>
              </w:rPr>
              <w:t>197.080.818</w:t>
            </w:r>
          </w:p>
        </w:tc>
        <w:tc>
          <w:tcPr>
            <w:tcW w:w="1486" w:type="dxa"/>
          </w:tcPr>
          <w:p w:rsidR="00D849AA" w:rsidRPr="00A5008D" w:rsidRDefault="00EE6D95">
            <w:pPr>
              <w:rPr>
                <w:rFonts w:ascii="Arial" w:hAnsi="Arial" w:cs="Arial"/>
              </w:rPr>
            </w:pPr>
            <w:r w:rsidRPr="00A5008D">
              <w:rPr>
                <w:rFonts w:ascii="Arial" w:hAnsi="Arial" w:cs="Arial"/>
              </w:rPr>
              <w:t>112,1</w:t>
            </w:r>
          </w:p>
        </w:tc>
      </w:tr>
    </w:tbl>
    <w:p w:rsidR="00D849AA" w:rsidRDefault="00D849AA">
      <w:pPr>
        <w:jc w:val="left"/>
      </w:pPr>
    </w:p>
    <w:p w:rsidR="00D849AA" w:rsidRDefault="00EE6D95">
      <w:pPr>
        <w:pStyle w:val="Naslov4"/>
      </w:pPr>
      <w:r>
        <w:t>OBRAZLOŽENJE PROGRAMA</w:t>
      </w:r>
    </w:p>
    <w:p w:rsidR="00D849AA" w:rsidRDefault="00EE6D95">
      <w:pPr>
        <w:pStyle w:val="Naslov5"/>
      </w:pPr>
      <w:r>
        <w:t>2813 NAKNADE ZA ODUZETU IMOVINU I ISPLATE PO SUDSKIM RJEŠENJIMA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A5008D" w:rsidRDefault="00D849AA">
            <w:pPr>
              <w:pStyle w:val="CellHeader"/>
            </w:pPr>
          </w:p>
        </w:tc>
        <w:tc>
          <w:tcPr>
            <w:tcW w:w="1486" w:type="dxa"/>
            <w:shd w:val="clear" w:color="auto" w:fill="B5C0D8"/>
          </w:tcPr>
          <w:p w:rsidR="00D849AA" w:rsidRPr="00A5008D" w:rsidRDefault="00EE6D95">
            <w:pPr>
              <w:pStyle w:val="CellHeader"/>
            </w:pPr>
            <w:r w:rsidRPr="00A5008D">
              <w:t>Plan 2013.</w:t>
            </w:r>
          </w:p>
        </w:tc>
        <w:tc>
          <w:tcPr>
            <w:tcW w:w="1486" w:type="dxa"/>
            <w:shd w:val="clear" w:color="auto" w:fill="B5C0D8"/>
          </w:tcPr>
          <w:p w:rsidR="00D849AA" w:rsidRPr="00A5008D" w:rsidRDefault="00EE6D95">
            <w:pPr>
              <w:pStyle w:val="CellHeader"/>
            </w:pPr>
            <w:r w:rsidRPr="00A5008D">
              <w:t>Plan 2014.</w:t>
            </w:r>
          </w:p>
        </w:tc>
        <w:tc>
          <w:tcPr>
            <w:tcW w:w="1486" w:type="dxa"/>
            <w:shd w:val="clear" w:color="auto" w:fill="B5C0D8"/>
          </w:tcPr>
          <w:p w:rsidR="00D849AA" w:rsidRPr="00A5008D" w:rsidRDefault="00EE6D95">
            <w:pPr>
              <w:pStyle w:val="CellHeader"/>
            </w:pPr>
            <w:r w:rsidRPr="00A5008D">
              <w:t>Plan 2015.</w:t>
            </w:r>
          </w:p>
        </w:tc>
        <w:tc>
          <w:tcPr>
            <w:tcW w:w="1486" w:type="dxa"/>
            <w:shd w:val="clear" w:color="auto" w:fill="B5C0D8"/>
          </w:tcPr>
          <w:p w:rsidR="00D849AA" w:rsidRPr="00A5008D" w:rsidRDefault="00EE6D95">
            <w:pPr>
              <w:pStyle w:val="CellHeader"/>
            </w:pPr>
            <w:r w:rsidRPr="00A5008D">
              <w:t>Plan 2016.</w:t>
            </w:r>
          </w:p>
        </w:tc>
        <w:tc>
          <w:tcPr>
            <w:tcW w:w="1486" w:type="dxa"/>
            <w:shd w:val="clear" w:color="auto" w:fill="B5C0D8"/>
          </w:tcPr>
          <w:p w:rsidR="00D849AA" w:rsidRPr="00A5008D" w:rsidRDefault="00EE6D95">
            <w:pPr>
              <w:pStyle w:val="CellHeader"/>
            </w:pPr>
            <w:r w:rsidRPr="00A5008D">
              <w:t>Indeks 2014/2013</w:t>
            </w:r>
          </w:p>
        </w:tc>
      </w:tr>
      <w:tr w:rsidR="00D849AA">
        <w:trPr>
          <w:jc w:val="center"/>
        </w:trPr>
        <w:tc>
          <w:tcPr>
            <w:tcW w:w="1486" w:type="dxa"/>
          </w:tcPr>
          <w:p w:rsidR="00D849AA" w:rsidRPr="00A5008D" w:rsidRDefault="00EE6D95">
            <w:pPr>
              <w:pStyle w:val="CellColumn"/>
            </w:pPr>
            <w:r w:rsidRPr="00A5008D">
              <w:t>2813</w:t>
            </w:r>
          </w:p>
        </w:tc>
        <w:tc>
          <w:tcPr>
            <w:tcW w:w="1486" w:type="dxa"/>
          </w:tcPr>
          <w:p w:rsidR="00D849AA" w:rsidRPr="00A5008D" w:rsidRDefault="00EE6D95">
            <w:pPr>
              <w:rPr>
                <w:rFonts w:ascii="Arial" w:hAnsi="Arial" w:cs="Arial"/>
              </w:rPr>
            </w:pPr>
            <w:r w:rsidRPr="00A5008D">
              <w:rPr>
                <w:rFonts w:ascii="Arial" w:hAnsi="Arial" w:cs="Arial"/>
              </w:rPr>
              <w:t>140.300.000</w:t>
            </w:r>
          </w:p>
        </w:tc>
        <w:tc>
          <w:tcPr>
            <w:tcW w:w="1486" w:type="dxa"/>
          </w:tcPr>
          <w:p w:rsidR="00D849AA" w:rsidRPr="00A5008D" w:rsidRDefault="00EE6D95">
            <w:pPr>
              <w:rPr>
                <w:rFonts w:ascii="Arial" w:hAnsi="Arial" w:cs="Arial"/>
              </w:rPr>
            </w:pPr>
            <w:r w:rsidRPr="00A5008D">
              <w:rPr>
                <w:rFonts w:ascii="Arial" w:hAnsi="Arial" w:cs="Arial"/>
              </w:rPr>
              <w:t>159.700.686</w:t>
            </w:r>
          </w:p>
        </w:tc>
        <w:tc>
          <w:tcPr>
            <w:tcW w:w="1486" w:type="dxa"/>
          </w:tcPr>
          <w:p w:rsidR="00D849AA" w:rsidRPr="00A5008D" w:rsidRDefault="00EE6D95">
            <w:pPr>
              <w:rPr>
                <w:rFonts w:ascii="Arial" w:hAnsi="Arial" w:cs="Arial"/>
              </w:rPr>
            </w:pPr>
            <w:r w:rsidRPr="00A5008D">
              <w:rPr>
                <w:rFonts w:ascii="Arial" w:hAnsi="Arial" w:cs="Arial"/>
              </w:rPr>
              <w:t>168.390.752</w:t>
            </w:r>
          </w:p>
        </w:tc>
        <w:tc>
          <w:tcPr>
            <w:tcW w:w="1486" w:type="dxa"/>
          </w:tcPr>
          <w:p w:rsidR="00D849AA" w:rsidRPr="00A5008D" w:rsidRDefault="00EE6D95">
            <w:pPr>
              <w:rPr>
                <w:rFonts w:ascii="Arial" w:hAnsi="Arial" w:cs="Arial"/>
              </w:rPr>
            </w:pPr>
            <w:r w:rsidRPr="00A5008D">
              <w:rPr>
                <w:rFonts w:ascii="Arial" w:hAnsi="Arial" w:cs="Arial"/>
              </w:rPr>
              <w:t>177.080.818</w:t>
            </w:r>
          </w:p>
        </w:tc>
        <w:tc>
          <w:tcPr>
            <w:tcW w:w="1486" w:type="dxa"/>
          </w:tcPr>
          <w:p w:rsidR="00D849AA" w:rsidRPr="00A5008D" w:rsidRDefault="00EE6D95">
            <w:pPr>
              <w:rPr>
                <w:rFonts w:ascii="Arial" w:hAnsi="Arial" w:cs="Arial"/>
              </w:rPr>
            </w:pPr>
            <w:r w:rsidRPr="00A5008D">
              <w:rPr>
                <w:rFonts w:ascii="Arial" w:hAnsi="Arial" w:cs="Arial"/>
              </w:rPr>
              <w:t>113,8</w:t>
            </w:r>
          </w:p>
        </w:tc>
      </w:tr>
    </w:tbl>
    <w:p w:rsidR="00D849AA" w:rsidRDefault="00D849AA">
      <w:pPr>
        <w:jc w:val="left"/>
      </w:pPr>
    </w:p>
    <w:p w:rsidR="00D849AA" w:rsidRDefault="00EE6D95">
      <w:pPr>
        <w:pStyle w:val="Naslov6"/>
      </w:pPr>
      <w:r>
        <w:t>Opis programa</w:t>
      </w:r>
    </w:p>
    <w:p w:rsidR="00D849AA" w:rsidRDefault="00EE6D95">
      <w:pPr>
        <w:pStyle w:val="Normal5"/>
      </w:pPr>
      <w:r>
        <w:t>Program obuhvaća aktivnosti uz poslovanje Fonda za naknadu oduzete imovine, isplatu naknade u novcu i obveznicama ovlaštenicima naknade temeljem zaprimljenih pravomoćnih rješenja o naknadi za oduzetu imovinu i isplatu polugodišnjih anuiteta do 1. srpnja 2019. godine po svim do sada izdanim serijama Globalne obveznice RH.</w:t>
      </w:r>
    </w:p>
    <w:p w:rsidR="00D849AA" w:rsidRDefault="00EE6D95">
      <w:pPr>
        <w:pStyle w:val="Naslov6"/>
      </w:pPr>
      <w:r>
        <w:lastRenderedPageBreak/>
        <w:t>Zakonske i druge pravne osnove</w:t>
      </w:r>
    </w:p>
    <w:p w:rsidR="00D849AA" w:rsidRDefault="00EE6D95">
      <w:pPr>
        <w:pStyle w:val="Normal5"/>
      </w:pPr>
      <w:r>
        <w:t xml:space="preserve">1. Zakon o naknadi za imovinu oduzetu za vrijeme jugoslavenske komunističke vladavine (NN 92/96, 29/99, 39/99, 92/99, 43/00, 131/00, 27/01, 65/01, 118/01, 80/02 i 81/02). </w:t>
      </w:r>
    </w:p>
    <w:p w:rsidR="00D849AA" w:rsidRDefault="00EE6D95">
      <w:pPr>
        <w:pStyle w:val="Normal5"/>
      </w:pPr>
      <w:r>
        <w:t xml:space="preserve">2. Zakon o Fondu za naknadu oduzete imovine (NN 69/97, 105/99 i 64/00).  </w:t>
      </w:r>
    </w:p>
    <w:p w:rsidR="00D849AA" w:rsidRDefault="00EE6D95">
      <w:pPr>
        <w:pStyle w:val="Normal5"/>
      </w:pPr>
      <w:r>
        <w:t xml:space="preserve">3. Pravilnik o mjerilima za utvrđivanje naknade za oduzeto građevinsko zemljište i poslovni prostor (NN 204/03 i 3/04)  </w:t>
      </w:r>
    </w:p>
    <w:p w:rsidR="00D849AA" w:rsidRDefault="00EE6D95">
      <w:pPr>
        <w:pStyle w:val="Normal5"/>
      </w:pPr>
      <w:r>
        <w:t xml:space="preserve">4. Pravilnik o mjerilima za utvrđivanje vrijednosti oduzetog poljoprivrednog zemljišta, šuma i šumskog zemljišta (NN 18/04) </w:t>
      </w:r>
    </w:p>
    <w:p w:rsidR="00D849AA" w:rsidRDefault="00EE6D95">
      <w:pPr>
        <w:pStyle w:val="Normal5"/>
      </w:pPr>
      <w:r>
        <w:t xml:space="preserve">5. Pravilnik o mjerilima za utvrđivanje vrijednosti stana (NN 66/98) </w:t>
      </w:r>
    </w:p>
    <w:p w:rsidR="00D849AA" w:rsidRDefault="00EE6D95">
      <w:pPr>
        <w:pStyle w:val="Normal5"/>
      </w:pPr>
      <w:r>
        <w:t xml:space="preserve">6. Pravilnik o mjerilima za utvrđivanje vrijednosti oduzetih brodova i brodica (NN 64/05) </w:t>
      </w:r>
    </w:p>
    <w:p w:rsidR="00D849AA" w:rsidRDefault="00EE6D95">
      <w:pPr>
        <w:pStyle w:val="Normal5"/>
      </w:pPr>
      <w:r>
        <w:t>7. Pravilnik o mjerilima za utvrđivanje vrijednosti pokretnina koje imaju kulturnu, umjetničku ili povijesnu vrijednost (NN 77/04)</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 xml:space="preserve">Cilj 1. Pravovremena isplata naknade u novcu i obveznicama Republike Hrvatske ovlaštenicima naknade prema odredbama Zakona i Pravilnika </w:t>
      </w:r>
    </w:p>
    <w:p w:rsidR="00D849AA" w:rsidRDefault="00EE6D95">
      <w:pPr>
        <w:pStyle w:val="Normal6"/>
      </w:pPr>
      <w:r>
        <w:t xml:space="preserve">Pravodobna isplata naknade u novcu i obveznicama ovlaštenicima naknade temeljem zaprimljenih  pravomoćnih rješenja o naknadi za oduzetu imovinu, prodaja nacionaliziranih i konfisciranih stanova bivšim nositeljima stanarskog prava odnosno zaštićenim najmoprimcima, te aktivno sudjelovanje u upravnim i sudskim postupcima vezanim uz naknadu oduzete imovine i otkup nacionaliziranih i konfisciranih stanova. </w:t>
      </w:r>
    </w:p>
    <w:p w:rsidR="00D849AA" w:rsidRDefault="00EE6D95">
      <w:pPr>
        <w:pStyle w:val="Normal6"/>
      </w:pPr>
      <w:r>
        <w:t xml:space="preserve">Aktivnim sudjelovanjem u upravnim i sudskim postupcima te ulaganjem pravnih lijekova, stalnim usavršavanjem baza podataka i pronalaženjem najboljih programskih rješenja, pravodobnim izvršavanjem svih svojih obveza, Fond ima viziju biti primjerna javna institucija u kojoj će se poslovi obavljati transparentno i u skladu s etičkim kodeksom na najvišoj profesionalnoj i ljudskoj razini. </w:t>
      </w:r>
    </w:p>
    <w:p w:rsidR="00D849AA" w:rsidRDefault="00EE6D95">
      <w:pPr>
        <w:pStyle w:val="Normal6"/>
      </w:pPr>
      <w:r>
        <w:t xml:space="preserve">Poslovni ciljevi Fonda za naknadu oduzete imovine: </w:t>
      </w:r>
    </w:p>
    <w:p w:rsidR="00D849AA" w:rsidRDefault="00EE6D95">
      <w:pPr>
        <w:pStyle w:val="Normal6"/>
      </w:pPr>
      <w:r>
        <w:t xml:space="preserve">1. Osigurati uvjete za praćenje i isplatu naknade u zakonom propisanim rokovima </w:t>
      </w:r>
    </w:p>
    <w:p w:rsidR="00D849AA" w:rsidRDefault="00EE6D95">
      <w:pPr>
        <w:pStyle w:val="Normal6"/>
      </w:pPr>
      <w:r>
        <w:t xml:space="preserve">2. Osigurati sigurnu informatičku podršku i pouzdanu pohranu podataka kako bi se spriječile zloporabe </w:t>
      </w:r>
    </w:p>
    <w:p w:rsidR="00D849AA" w:rsidRDefault="00EE6D95">
      <w:pPr>
        <w:pStyle w:val="Normal6"/>
      </w:pPr>
      <w:r>
        <w:t xml:space="preserve">3. Osigurati potrebnu razinu čuvanja tajnosti podataka </w:t>
      </w:r>
    </w:p>
    <w:p w:rsidR="00D849AA" w:rsidRDefault="00EE6D95">
      <w:pPr>
        <w:pStyle w:val="Normal6"/>
      </w:pPr>
      <w:r>
        <w:t xml:space="preserve">4. Osigurati zakonske, kadrovske i poslovne uvjete za preuzimanje većeg opsega posla </w:t>
      </w:r>
    </w:p>
    <w:p w:rsidR="00D849AA" w:rsidRDefault="00EE6D95">
      <w:pPr>
        <w:pStyle w:val="Normal6"/>
      </w:pPr>
      <w:r>
        <w:t xml:space="preserve">5. Osigurati zaštitu imovine </w:t>
      </w:r>
    </w:p>
    <w:p w:rsidR="00D849AA" w:rsidRDefault="00EE6D95">
      <w:pPr>
        <w:pStyle w:val="Normal6"/>
      </w:pPr>
      <w:r>
        <w:t xml:space="preserve">6. Unaprijediti ukupno poslovanje kroz stalno usavršavanje i izobrazbu radnika te implementaciju suvremenih informatičkih rješenja </w:t>
      </w:r>
    </w:p>
    <w:p w:rsidR="00D849AA" w:rsidRDefault="00EE6D95">
      <w:pPr>
        <w:pStyle w:val="Normal6"/>
      </w:pPr>
      <w:r>
        <w:t xml:space="preserve">7. Podići razinu kvalitete usluga strankama osiguranjem prava pristupa relevantnim podatcima te povećanjem učinkovitosti u svim segmentima poslovanja </w:t>
      </w:r>
    </w:p>
    <w:p w:rsidR="00D849AA" w:rsidRDefault="00EE6D95">
      <w:pPr>
        <w:pStyle w:val="Normal6"/>
      </w:pPr>
      <w:r>
        <w:t>8. Ustrojiti jedinstvenu centralnu evidenciju za naknadu i povrat imovine oduzete Katoličkoj crkvi te unaprijediti postojeće baze podataka</w:t>
      </w:r>
    </w:p>
    <w:p w:rsidR="00D849AA" w:rsidRDefault="00EE6D95">
      <w:pPr>
        <w:pStyle w:val="Naslov5"/>
      </w:pPr>
      <w:r>
        <w:lastRenderedPageBreak/>
        <w:t>Procjena i ishodište potrebnih sredstava za značajnije aktivnosti/projekte</w:t>
      </w:r>
    </w:p>
    <w:p w:rsidR="00D849AA" w:rsidRDefault="00EE6D95">
      <w:pPr>
        <w:pStyle w:val="Naslov6"/>
      </w:pPr>
      <w:r>
        <w:t>A873001 ADMINISTRACIJA I UPRAVLJANJE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rsidRPr="00A5008D">
        <w:trPr>
          <w:jc w:val="center"/>
        </w:trPr>
        <w:tc>
          <w:tcPr>
            <w:tcW w:w="1486" w:type="dxa"/>
            <w:shd w:val="clear" w:color="auto" w:fill="B5C0D8"/>
          </w:tcPr>
          <w:p w:rsidR="00D849AA" w:rsidRPr="00A5008D" w:rsidRDefault="00EE6D95">
            <w:pPr>
              <w:pStyle w:val="CellHeader"/>
            </w:pPr>
            <w:r w:rsidRPr="00A5008D">
              <w:t>Naziv aktivnosti</w:t>
            </w:r>
          </w:p>
        </w:tc>
        <w:tc>
          <w:tcPr>
            <w:tcW w:w="1486" w:type="dxa"/>
            <w:shd w:val="clear" w:color="auto" w:fill="B5C0D8"/>
          </w:tcPr>
          <w:p w:rsidR="00D849AA" w:rsidRPr="00A5008D" w:rsidRDefault="00EE6D95">
            <w:pPr>
              <w:pStyle w:val="CellHeader"/>
            </w:pPr>
            <w:r w:rsidRPr="00A5008D">
              <w:t>Plan 2013.</w:t>
            </w:r>
          </w:p>
        </w:tc>
        <w:tc>
          <w:tcPr>
            <w:tcW w:w="1486" w:type="dxa"/>
            <w:shd w:val="clear" w:color="auto" w:fill="B5C0D8"/>
          </w:tcPr>
          <w:p w:rsidR="00D849AA" w:rsidRPr="00A5008D" w:rsidRDefault="00EE6D95">
            <w:pPr>
              <w:pStyle w:val="CellHeader"/>
            </w:pPr>
            <w:r w:rsidRPr="00A5008D">
              <w:t>Plan 2014.</w:t>
            </w:r>
          </w:p>
        </w:tc>
        <w:tc>
          <w:tcPr>
            <w:tcW w:w="1486" w:type="dxa"/>
            <w:shd w:val="clear" w:color="auto" w:fill="B5C0D8"/>
          </w:tcPr>
          <w:p w:rsidR="00D849AA" w:rsidRPr="00A5008D" w:rsidRDefault="00EE6D95">
            <w:pPr>
              <w:pStyle w:val="CellHeader"/>
            </w:pPr>
            <w:r w:rsidRPr="00A5008D">
              <w:t>Plan 2015.</w:t>
            </w:r>
          </w:p>
        </w:tc>
        <w:tc>
          <w:tcPr>
            <w:tcW w:w="1486" w:type="dxa"/>
            <w:shd w:val="clear" w:color="auto" w:fill="B5C0D8"/>
          </w:tcPr>
          <w:p w:rsidR="00D849AA" w:rsidRPr="00A5008D" w:rsidRDefault="00EE6D95">
            <w:pPr>
              <w:pStyle w:val="CellHeader"/>
            </w:pPr>
            <w:r w:rsidRPr="00A5008D">
              <w:t>Plan 2016.</w:t>
            </w:r>
          </w:p>
        </w:tc>
        <w:tc>
          <w:tcPr>
            <w:tcW w:w="1486" w:type="dxa"/>
            <w:shd w:val="clear" w:color="auto" w:fill="B5C0D8"/>
          </w:tcPr>
          <w:p w:rsidR="00D849AA" w:rsidRPr="00A5008D" w:rsidRDefault="00EE6D95">
            <w:pPr>
              <w:pStyle w:val="CellHeader"/>
            </w:pPr>
            <w:r w:rsidRPr="00A5008D">
              <w:t>Indeks 2014/2013</w:t>
            </w:r>
          </w:p>
        </w:tc>
      </w:tr>
      <w:tr w:rsidR="00D849AA" w:rsidRPr="00A5008D">
        <w:trPr>
          <w:jc w:val="center"/>
        </w:trPr>
        <w:tc>
          <w:tcPr>
            <w:tcW w:w="1486" w:type="dxa"/>
          </w:tcPr>
          <w:p w:rsidR="00D849AA" w:rsidRPr="00A5008D" w:rsidRDefault="00EE6D95">
            <w:pPr>
              <w:pStyle w:val="CellColumn"/>
            </w:pPr>
            <w:r w:rsidRPr="00A5008D">
              <w:t>A873001</w:t>
            </w:r>
          </w:p>
        </w:tc>
        <w:tc>
          <w:tcPr>
            <w:tcW w:w="1486" w:type="dxa"/>
          </w:tcPr>
          <w:p w:rsidR="00D849AA" w:rsidRPr="00A5008D" w:rsidRDefault="00EE6D95">
            <w:pPr>
              <w:rPr>
                <w:rFonts w:ascii="Arial" w:hAnsi="Arial" w:cs="Arial"/>
              </w:rPr>
            </w:pPr>
            <w:r w:rsidRPr="00A5008D">
              <w:rPr>
                <w:rFonts w:ascii="Arial" w:hAnsi="Arial" w:cs="Arial"/>
              </w:rPr>
              <w:t>00</w:t>
            </w:r>
          </w:p>
        </w:tc>
        <w:tc>
          <w:tcPr>
            <w:tcW w:w="1486" w:type="dxa"/>
          </w:tcPr>
          <w:p w:rsidR="00D849AA" w:rsidRPr="00A5008D" w:rsidRDefault="00EE6D95">
            <w:pPr>
              <w:rPr>
                <w:rFonts w:ascii="Arial" w:hAnsi="Arial" w:cs="Arial"/>
              </w:rPr>
            </w:pPr>
            <w:r w:rsidRPr="00A5008D">
              <w:rPr>
                <w:rFonts w:ascii="Arial" w:hAnsi="Arial" w:cs="Arial"/>
              </w:rPr>
              <w:t>10.178.839</w:t>
            </w:r>
          </w:p>
        </w:tc>
        <w:tc>
          <w:tcPr>
            <w:tcW w:w="1486" w:type="dxa"/>
          </w:tcPr>
          <w:p w:rsidR="00D849AA" w:rsidRPr="00A5008D" w:rsidRDefault="00EE6D95">
            <w:pPr>
              <w:rPr>
                <w:rFonts w:ascii="Arial" w:hAnsi="Arial" w:cs="Arial"/>
              </w:rPr>
            </w:pPr>
            <w:r w:rsidRPr="00A5008D">
              <w:rPr>
                <w:rFonts w:ascii="Arial" w:hAnsi="Arial" w:cs="Arial"/>
              </w:rPr>
              <w:t>10.178.839</w:t>
            </w:r>
          </w:p>
        </w:tc>
        <w:tc>
          <w:tcPr>
            <w:tcW w:w="1486" w:type="dxa"/>
          </w:tcPr>
          <w:p w:rsidR="00D849AA" w:rsidRPr="00A5008D" w:rsidRDefault="00EE6D95">
            <w:pPr>
              <w:rPr>
                <w:rFonts w:ascii="Arial" w:hAnsi="Arial" w:cs="Arial"/>
              </w:rPr>
            </w:pPr>
            <w:r w:rsidRPr="00A5008D">
              <w:rPr>
                <w:rFonts w:ascii="Arial" w:hAnsi="Arial" w:cs="Arial"/>
              </w:rPr>
              <w:t>10.178.839</w:t>
            </w:r>
          </w:p>
        </w:tc>
        <w:tc>
          <w:tcPr>
            <w:tcW w:w="1486" w:type="dxa"/>
          </w:tcPr>
          <w:p w:rsidR="00D849AA" w:rsidRPr="00A5008D" w:rsidRDefault="00EE6D95">
            <w:pPr>
              <w:rPr>
                <w:rFonts w:ascii="Arial" w:hAnsi="Arial" w:cs="Arial"/>
              </w:rPr>
            </w:pPr>
            <w:r w:rsidRPr="00A5008D">
              <w:rPr>
                <w:rFonts w:ascii="Arial" w:hAnsi="Arial" w:cs="Arial"/>
              </w:rPr>
              <w:t>0,0</w:t>
            </w:r>
          </w:p>
        </w:tc>
      </w:tr>
    </w:tbl>
    <w:p w:rsidR="00D849AA" w:rsidRPr="00A5008D" w:rsidRDefault="00D849AA">
      <w:pPr>
        <w:jc w:val="left"/>
        <w:rPr>
          <w:rFonts w:ascii="Arial" w:hAnsi="Arial" w:cs="Arial"/>
        </w:rPr>
      </w:pPr>
    </w:p>
    <w:p w:rsidR="00D849AA" w:rsidRDefault="00EE6D95">
      <w:pPr>
        <w:pStyle w:val="Normal6"/>
      </w:pPr>
      <w:r>
        <w:t>Aktivnost ADMINISTRACIJA I UPRAVLJANJE sadrži ukupne rashode poslovanja. Uključuje rashode za zaposlene, materijalne rashode koji uključuju naknade troškova zaposlenima, rashode za materijal i energiju, rashode za usluge i ostale nespomenute rashode poslovanja, financijske rashode i rashode za nabavu nefinancijske imovine.</w:t>
      </w:r>
    </w:p>
    <w:p w:rsidR="00E2075F" w:rsidRDefault="00E2075F">
      <w:pPr>
        <w:pStyle w:val="Normal6"/>
      </w:pPr>
    </w:p>
    <w:p w:rsidR="00D849AA" w:rsidRDefault="00EE6D95">
      <w:pPr>
        <w:pStyle w:val="Naslov6"/>
      </w:pPr>
      <w:r>
        <w:t>T544013 ISPLATA NAKNADE ZA ODUZETU IMOVINU</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A5008D" w:rsidRDefault="00EE6D95">
            <w:pPr>
              <w:pStyle w:val="CellHeader"/>
            </w:pPr>
            <w:r w:rsidRPr="00A5008D">
              <w:t>Naziv aktivnosti</w:t>
            </w:r>
          </w:p>
        </w:tc>
        <w:tc>
          <w:tcPr>
            <w:tcW w:w="1486" w:type="dxa"/>
            <w:shd w:val="clear" w:color="auto" w:fill="B5C0D8"/>
          </w:tcPr>
          <w:p w:rsidR="00D849AA" w:rsidRPr="00A5008D" w:rsidRDefault="00EE6D95">
            <w:pPr>
              <w:pStyle w:val="CellHeader"/>
            </w:pPr>
            <w:r w:rsidRPr="00A5008D">
              <w:t>Plan 2013.</w:t>
            </w:r>
          </w:p>
        </w:tc>
        <w:tc>
          <w:tcPr>
            <w:tcW w:w="1486" w:type="dxa"/>
            <w:shd w:val="clear" w:color="auto" w:fill="B5C0D8"/>
          </w:tcPr>
          <w:p w:rsidR="00D849AA" w:rsidRPr="00A5008D" w:rsidRDefault="00EE6D95">
            <w:pPr>
              <w:pStyle w:val="CellHeader"/>
            </w:pPr>
            <w:r w:rsidRPr="00A5008D">
              <w:t>Plan 2014.</w:t>
            </w:r>
          </w:p>
        </w:tc>
        <w:tc>
          <w:tcPr>
            <w:tcW w:w="1486" w:type="dxa"/>
            <w:shd w:val="clear" w:color="auto" w:fill="B5C0D8"/>
          </w:tcPr>
          <w:p w:rsidR="00D849AA" w:rsidRPr="00A5008D" w:rsidRDefault="00EE6D95">
            <w:pPr>
              <w:pStyle w:val="CellHeader"/>
            </w:pPr>
            <w:r w:rsidRPr="00A5008D">
              <w:t>Plan 2015.</w:t>
            </w:r>
          </w:p>
        </w:tc>
        <w:tc>
          <w:tcPr>
            <w:tcW w:w="1486" w:type="dxa"/>
            <w:shd w:val="clear" w:color="auto" w:fill="B5C0D8"/>
          </w:tcPr>
          <w:p w:rsidR="00D849AA" w:rsidRPr="00A5008D" w:rsidRDefault="00EE6D95">
            <w:pPr>
              <w:pStyle w:val="CellHeader"/>
            </w:pPr>
            <w:r w:rsidRPr="00A5008D">
              <w:t>Plan 2016.</w:t>
            </w:r>
          </w:p>
        </w:tc>
        <w:tc>
          <w:tcPr>
            <w:tcW w:w="1486" w:type="dxa"/>
            <w:shd w:val="clear" w:color="auto" w:fill="B5C0D8"/>
          </w:tcPr>
          <w:p w:rsidR="00D849AA" w:rsidRPr="00A5008D" w:rsidRDefault="00EE6D95">
            <w:pPr>
              <w:pStyle w:val="CellHeader"/>
            </w:pPr>
            <w:r w:rsidRPr="00A5008D">
              <w:t>Indeks 2014/2013</w:t>
            </w:r>
          </w:p>
        </w:tc>
      </w:tr>
      <w:tr w:rsidR="00D849AA">
        <w:trPr>
          <w:jc w:val="center"/>
        </w:trPr>
        <w:tc>
          <w:tcPr>
            <w:tcW w:w="1486" w:type="dxa"/>
          </w:tcPr>
          <w:p w:rsidR="00D849AA" w:rsidRPr="00A5008D" w:rsidRDefault="00EE6D95">
            <w:pPr>
              <w:pStyle w:val="CellColumn"/>
            </w:pPr>
            <w:r w:rsidRPr="00A5008D">
              <w:t>T544013</w:t>
            </w:r>
          </w:p>
        </w:tc>
        <w:tc>
          <w:tcPr>
            <w:tcW w:w="1486" w:type="dxa"/>
          </w:tcPr>
          <w:p w:rsidR="00D849AA" w:rsidRPr="00A5008D" w:rsidRDefault="00EE6D95">
            <w:pPr>
              <w:rPr>
                <w:rFonts w:ascii="Arial" w:hAnsi="Arial" w:cs="Arial"/>
              </w:rPr>
            </w:pPr>
            <w:r w:rsidRPr="00A5008D">
              <w:rPr>
                <w:rFonts w:ascii="Arial" w:hAnsi="Arial" w:cs="Arial"/>
              </w:rPr>
              <w:t>140.300.000</w:t>
            </w:r>
          </w:p>
        </w:tc>
        <w:tc>
          <w:tcPr>
            <w:tcW w:w="1486" w:type="dxa"/>
          </w:tcPr>
          <w:p w:rsidR="00D849AA" w:rsidRPr="00A5008D" w:rsidRDefault="00EE6D95">
            <w:pPr>
              <w:rPr>
                <w:rFonts w:ascii="Arial" w:hAnsi="Arial" w:cs="Arial"/>
              </w:rPr>
            </w:pPr>
            <w:r w:rsidRPr="00A5008D">
              <w:rPr>
                <w:rFonts w:ascii="Arial" w:hAnsi="Arial" w:cs="Arial"/>
              </w:rPr>
              <w:t>149.521.847</w:t>
            </w:r>
          </w:p>
        </w:tc>
        <w:tc>
          <w:tcPr>
            <w:tcW w:w="1486" w:type="dxa"/>
          </w:tcPr>
          <w:p w:rsidR="00D849AA" w:rsidRPr="00A5008D" w:rsidRDefault="00EE6D95">
            <w:pPr>
              <w:rPr>
                <w:rFonts w:ascii="Arial" w:hAnsi="Arial" w:cs="Arial"/>
              </w:rPr>
            </w:pPr>
            <w:r w:rsidRPr="00A5008D">
              <w:rPr>
                <w:rFonts w:ascii="Arial" w:hAnsi="Arial" w:cs="Arial"/>
              </w:rPr>
              <w:t>158.211.913</w:t>
            </w:r>
          </w:p>
        </w:tc>
        <w:tc>
          <w:tcPr>
            <w:tcW w:w="1486" w:type="dxa"/>
          </w:tcPr>
          <w:p w:rsidR="00D849AA" w:rsidRPr="00A5008D" w:rsidRDefault="00EE6D95">
            <w:pPr>
              <w:rPr>
                <w:rFonts w:ascii="Arial" w:hAnsi="Arial" w:cs="Arial"/>
              </w:rPr>
            </w:pPr>
            <w:r w:rsidRPr="00A5008D">
              <w:rPr>
                <w:rFonts w:ascii="Arial" w:hAnsi="Arial" w:cs="Arial"/>
              </w:rPr>
              <w:t>166.901.979</w:t>
            </w:r>
          </w:p>
        </w:tc>
        <w:tc>
          <w:tcPr>
            <w:tcW w:w="1486" w:type="dxa"/>
          </w:tcPr>
          <w:p w:rsidR="00D849AA" w:rsidRPr="00A5008D" w:rsidRDefault="00EE6D95">
            <w:pPr>
              <w:rPr>
                <w:rFonts w:ascii="Arial" w:hAnsi="Arial" w:cs="Arial"/>
              </w:rPr>
            </w:pPr>
            <w:r w:rsidRPr="00A5008D">
              <w:rPr>
                <w:rFonts w:ascii="Arial" w:hAnsi="Arial" w:cs="Arial"/>
              </w:rPr>
              <w:t>106,6</w:t>
            </w:r>
          </w:p>
        </w:tc>
      </w:tr>
    </w:tbl>
    <w:p w:rsidR="00D849AA" w:rsidRDefault="00D849AA">
      <w:pPr>
        <w:jc w:val="left"/>
      </w:pPr>
    </w:p>
    <w:p w:rsidR="00D849AA" w:rsidRDefault="00EE6D95">
      <w:pPr>
        <w:pStyle w:val="Normal6"/>
      </w:pPr>
      <w:r>
        <w:t>Aktivnost obuhvaća isplatu naknade za oduzetu imovinu koja se isplaćuje za oduzete stanove, poslovne prostore, poljoprivredna zemljišta, šume i šumska zemljišta, brodove i brodice, kao i za građevinska zemljišta utvrđena je u obveznicama RH dok je iznimno za stanove utvrđena i isplata dijela naknade u novcu od 25%, koja se isplaćuje u roku 6 mjeseci od pravomoćnosti svakog zaprimljenog rješenja. Pored navedenoga, po Globalnoj obveznici RH, Fond ima obvezu isplatiti polugodišnje anuitete do 1. srpnja 2019. godine za do sada izdane serije A, B, C i D.</w:t>
      </w:r>
    </w:p>
    <w:p w:rsidR="00A5008D" w:rsidRDefault="00A5008D" w:rsidP="00A5008D">
      <w:pPr>
        <w:jc w:val="left"/>
      </w:pPr>
    </w:p>
    <w:p w:rsidR="00A5008D" w:rsidRDefault="00A5008D" w:rsidP="00A5008D">
      <w:pPr>
        <w:pStyle w:val="Naslov4"/>
      </w:pPr>
      <w:r>
        <w:t>OBRAZLOŽENJE PROGRAMA</w:t>
      </w:r>
    </w:p>
    <w:p w:rsidR="00D849AA" w:rsidRDefault="00EE6D95">
      <w:pPr>
        <w:pStyle w:val="Naslov5"/>
      </w:pPr>
      <w:r>
        <w:t>3913 POTPORE VJERSKIM ZAJEDNICAMA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rsidRPr="00A5008D">
        <w:trPr>
          <w:jc w:val="center"/>
        </w:trPr>
        <w:tc>
          <w:tcPr>
            <w:tcW w:w="1486" w:type="dxa"/>
            <w:shd w:val="clear" w:color="auto" w:fill="B5C0D8"/>
          </w:tcPr>
          <w:p w:rsidR="00D849AA" w:rsidRPr="00A5008D" w:rsidRDefault="00D849AA">
            <w:pPr>
              <w:pStyle w:val="CellHeader"/>
            </w:pPr>
          </w:p>
        </w:tc>
        <w:tc>
          <w:tcPr>
            <w:tcW w:w="1486" w:type="dxa"/>
            <w:shd w:val="clear" w:color="auto" w:fill="B5C0D8"/>
          </w:tcPr>
          <w:p w:rsidR="00D849AA" w:rsidRPr="00A5008D" w:rsidRDefault="00EE6D95">
            <w:pPr>
              <w:pStyle w:val="CellHeader"/>
            </w:pPr>
            <w:r w:rsidRPr="00A5008D">
              <w:t>Plan 2013.</w:t>
            </w:r>
          </w:p>
        </w:tc>
        <w:tc>
          <w:tcPr>
            <w:tcW w:w="1486" w:type="dxa"/>
            <w:shd w:val="clear" w:color="auto" w:fill="B5C0D8"/>
          </w:tcPr>
          <w:p w:rsidR="00D849AA" w:rsidRPr="00A5008D" w:rsidRDefault="00EE6D95">
            <w:pPr>
              <w:pStyle w:val="CellHeader"/>
            </w:pPr>
            <w:r w:rsidRPr="00A5008D">
              <w:t>Plan 2014.</w:t>
            </w:r>
          </w:p>
        </w:tc>
        <w:tc>
          <w:tcPr>
            <w:tcW w:w="1486" w:type="dxa"/>
            <w:shd w:val="clear" w:color="auto" w:fill="B5C0D8"/>
          </w:tcPr>
          <w:p w:rsidR="00D849AA" w:rsidRPr="00A5008D" w:rsidRDefault="00EE6D95">
            <w:pPr>
              <w:pStyle w:val="CellHeader"/>
            </w:pPr>
            <w:r w:rsidRPr="00A5008D">
              <w:t>Plan 2015.</w:t>
            </w:r>
          </w:p>
        </w:tc>
        <w:tc>
          <w:tcPr>
            <w:tcW w:w="1486" w:type="dxa"/>
            <w:shd w:val="clear" w:color="auto" w:fill="B5C0D8"/>
          </w:tcPr>
          <w:p w:rsidR="00D849AA" w:rsidRPr="00A5008D" w:rsidRDefault="00EE6D95">
            <w:pPr>
              <w:pStyle w:val="CellHeader"/>
            </w:pPr>
            <w:r w:rsidRPr="00A5008D">
              <w:t>Plan 2016.</w:t>
            </w:r>
          </w:p>
        </w:tc>
        <w:tc>
          <w:tcPr>
            <w:tcW w:w="1486" w:type="dxa"/>
            <w:shd w:val="clear" w:color="auto" w:fill="B5C0D8"/>
          </w:tcPr>
          <w:p w:rsidR="00D849AA" w:rsidRPr="00A5008D" w:rsidRDefault="00EE6D95">
            <w:pPr>
              <w:pStyle w:val="CellHeader"/>
            </w:pPr>
            <w:r w:rsidRPr="00A5008D">
              <w:t>Indeks 2014/2013</w:t>
            </w:r>
          </w:p>
        </w:tc>
      </w:tr>
      <w:tr w:rsidR="00D849AA" w:rsidRPr="00A5008D">
        <w:trPr>
          <w:jc w:val="center"/>
        </w:trPr>
        <w:tc>
          <w:tcPr>
            <w:tcW w:w="1486" w:type="dxa"/>
          </w:tcPr>
          <w:p w:rsidR="00D849AA" w:rsidRPr="00A5008D" w:rsidRDefault="00EE6D95">
            <w:pPr>
              <w:pStyle w:val="CellColumn"/>
            </w:pPr>
            <w:r w:rsidRPr="00A5008D">
              <w:t>3913</w:t>
            </w:r>
          </w:p>
        </w:tc>
        <w:tc>
          <w:tcPr>
            <w:tcW w:w="1486" w:type="dxa"/>
          </w:tcPr>
          <w:p w:rsidR="00D849AA" w:rsidRPr="00A5008D" w:rsidRDefault="00EE6D95">
            <w:pPr>
              <w:rPr>
                <w:rFonts w:ascii="Arial" w:hAnsi="Arial" w:cs="Arial"/>
              </w:rPr>
            </w:pPr>
            <w:r w:rsidRPr="00A5008D">
              <w:rPr>
                <w:rFonts w:ascii="Arial" w:hAnsi="Arial" w:cs="Arial"/>
              </w:rPr>
              <w:t>16.200.000</w:t>
            </w:r>
          </w:p>
        </w:tc>
        <w:tc>
          <w:tcPr>
            <w:tcW w:w="1486" w:type="dxa"/>
          </w:tcPr>
          <w:p w:rsidR="00D849AA" w:rsidRPr="00A5008D" w:rsidRDefault="00EE6D95">
            <w:pPr>
              <w:rPr>
                <w:rFonts w:ascii="Arial" w:hAnsi="Arial" w:cs="Arial"/>
              </w:rPr>
            </w:pPr>
            <w:r w:rsidRPr="00A5008D">
              <w:rPr>
                <w:rFonts w:ascii="Arial" w:hAnsi="Arial" w:cs="Arial"/>
              </w:rPr>
              <w:t>15.801.229</w:t>
            </w:r>
          </w:p>
        </w:tc>
        <w:tc>
          <w:tcPr>
            <w:tcW w:w="1486" w:type="dxa"/>
          </w:tcPr>
          <w:p w:rsidR="00D849AA" w:rsidRPr="00A5008D" w:rsidRDefault="00EE6D95">
            <w:pPr>
              <w:rPr>
                <w:rFonts w:ascii="Arial" w:hAnsi="Arial" w:cs="Arial"/>
              </w:rPr>
            </w:pPr>
            <w:r w:rsidRPr="00A5008D">
              <w:rPr>
                <w:rFonts w:ascii="Arial" w:hAnsi="Arial" w:cs="Arial"/>
              </w:rPr>
              <w:t>17.000.000</w:t>
            </w:r>
          </w:p>
        </w:tc>
        <w:tc>
          <w:tcPr>
            <w:tcW w:w="1486" w:type="dxa"/>
          </w:tcPr>
          <w:p w:rsidR="00D849AA" w:rsidRPr="00A5008D" w:rsidRDefault="00EE6D95">
            <w:pPr>
              <w:rPr>
                <w:rFonts w:ascii="Arial" w:hAnsi="Arial" w:cs="Arial"/>
              </w:rPr>
            </w:pPr>
            <w:r w:rsidRPr="00A5008D">
              <w:rPr>
                <w:rFonts w:ascii="Arial" w:hAnsi="Arial" w:cs="Arial"/>
              </w:rPr>
              <w:t>20.000.000</w:t>
            </w:r>
          </w:p>
        </w:tc>
        <w:tc>
          <w:tcPr>
            <w:tcW w:w="1486" w:type="dxa"/>
          </w:tcPr>
          <w:p w:rsidR="00D849AA" w:rsidRPr="00A5008D" w:rsidRDefault="00EE6D95">
            <w:pPr>
              <w:rPr>
                <w:rFonts w:ascii="Arial" w:hAnsi="Arial" w:cs="Arial"/>
              </w:rPr>
            </w:pPr>
            <w:r w:rsidRPr="00A5008D">
              <w:rPr>
                <w:rFonts w:ascii="Arial" w:hAnsi="Arial" w:cs="Arial"/>
              </w:rPr>
              <w:t>97,5</w:t>
            </w:r>
          </w:p>
        </w:tc>
      </w:tr>
    </w:tbl>
    <w:p w:rsidR="00D849AA" w:rsidRPr="00A5008D" w:rsidRDefault="00D849AA">
      <w:pPr>
        <w:jc w:val="left"/>
        <w:rPr>
          <w:rFonts w:ascii="Arial" w:hAnsi="Arial" w:cs="Arial"/>
        </w:rPr>
      </w:pPr>
    </w:p>
    <w:p w:rsidR="00D849AA" w:rsidRDefault="00EE6D95">
      <w:pPr>
        <w:pStyle w:val="Naslov6"/>
      </w:pPr>
      <w:r>
        <w:t>Opis programa</w:t>
      </w:r>
    </w:p>
    <w:p w:rsidR="00D849AA" w:rsidRDefault="00EE6D95">
      <w:pPr>
        <w:pStyle w:val="Normal5"/>
      </w:pPr>
      <w:r>
        <w:t>Program obuhvaća jednu aktivnost koja se odnosi na izvršavanje obveze po sklopljenom  Ugovoru između Svete Stolice i Republike Hrvatske o gospodarskim pitanjima. Temeljem članka 5. točke 3. navedenog Ugovora, a Odlukom Vlade Republike Hrvatske o utvrđivanju Fonda za naknadu oduzete imovine kao mjerodavnog tijela za primjenu Ugovora između Svete Stolice i Republike Hrvatske o gospodarskim pitanjima, Klasa: 018-05/99-01/04, Urbroj: 5030106-04-1 od 27. kolovoza 2004. godine, Fond je određen mjerodavnim tijelom za isplatu naknade.</w:t>
      </w:r>
    </w:p>
    <w:p w:rsidR="00D849AA" w:rsidRDefault="00EE6D95">
      <w:pPr>
        <w:pStyle w:val="Naslov6"/>
      </w:pPr>
      <w:r>
        <w:lastRenderedPageBreak/>
        <w:t>Zakonske i druge pravne osnove</w:t>
      </w:r>
    </w:p>
    <w:p w:rsidR="00D849AA" w:rsidRDefault="00EE6D95">
      <w:pPr>
        <w:pStyle w:val="Normal5"/>
      </w:pPr>
      <w:r>
        <w:t xml:space="preserve">1. Zakon o naknadi za imovinu oduzetu za vrijeme jugoslavenske komunističke vladavine (NN 92/96, 29/99, 39/99, 92/99, 43/00, 131/00, 27/01, 65/01, 118/01, 80/02 i 81/02). </w:t>
      </w:r>
    </w:p>
    <w:p w:rsidR="00D849AA" w:rsidRDefault="00EE6D95">
      <w:pPr>
        <w:pStyle w:val="Normal5"/>
      </w:pPr>
      <w:r>
        <w:t xml:space="preserve">2. Zakon o Fondu za naknadu oduzete imovine (NN 69/97, 105/99 i 64/00).  </w:t>
      </w:r>
    </w:p>
    <w:p w:rsidR="00D849AA" w:rsidRDefault="00EE6D95">
      <w:pPr>
        <w:pStyle w:val="Normal5"/>
      </w:pPr>
      <w:r>
        <w:t>3. Ugovor između Svete Stolice i Republike Hrvatske o gospodarskim pitanjima (NN, Međunarodni ugovori 18/98),</w:t>
      </w:r>
    </w:p>
    <w:p w:rsidR="00D849AA" w:rsidRDefault="00EE6D95">
      <w:pPr>
        <w:pStyle w:val="Naslov5"/>
      </w:pPr>
      <w:r>
        <w:t>Procjena i ishodište potrebnih sredstava za značajnije aktivnosti/projekte</w:t>
      </w:r>
    </w:p>
    <w:p w:rsidR="00D849AA" w:rsidRDefault="00EE6D95">
      <w:pPr>
        <w:pStyle w:val="Naslov6"/>
      </w:pPr>
      <w:r>
        <w:t>A539214 NAKNADA PRAVNIM OSOBAMA KATOLIČKE CRKVE ZA ODUZETU IMOVINU</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rsidRPr="00A5008D">
        <w:trPr>
          <w:jc w:val="center"/>
        </w:trPr>
        <w:tc>
          <w:tcPr>
            <w:tcW w:w="1486" w:type="dxa"/>
            <w:shd w:val="clear" w:color="auto" w:fill="B5C0D8"/>
          </w:tcPr>
          <w:p w:rsidR="00D849AA" w:rsidRPr="00A5008D" w:rsidRDefault="00EE6D95">
            <w:pPr>
              <w:pStyle w:val="CellHeader"/>
            </w:pPr>
            <w:r w:rsidRPr="00A5008D">
              <w:t>Naziv aktivnosti</w:t>
            </w:r>
          </w:p>
        </w:tc>
        <w:tc>
          <w:tcPr>
            <w:tcW w:w="1486" w:type="dxa"/>
            <w:shd w:val="clear" w:color="auto" w:fill="B5C0D8"/>
          </w:tcPr>
          <w:p w:rsidR="00D849AA" w:rsidRPr="00A5008D" w:rsidRDefault="00EE6D95">
            <w:pPr>
              <w:pStyle w:val="CellHeader"/>
            </w:pPr>
            <w:r w:rsidRPr="00A5008D">
              <w:t>Plan 2013.</w:t>
            </w:r>
          </w:p>
        </w:tc>
        <w:tc>
          <w:tcPr>
            <w:tcW w:w="1486" w:type="dxa"/>
            <w:shd w:val="clear" w:color="auto" w:fill="B5C0D8"/>
          </w:tcPr>
          <w:p w:rsidR="00D849AA" w:rsidRPr="00A5008D" w:rsidRDefault="00EE6D95">
            <w:pPr>
              <w:pStyle w:val="CellHeader"/>
            </w:pPr>
            <w:r w:rsidRPr="00A5008D">
              <w:t>Plan 2014.</w:t>
            </w:r>
          </w:p>
        </w:tc>
        <w:tc>
          <w:tcPr>
            <w:tcW w:w="1486" w:type="dxa"/>
            <w:shd w:val="clear" w:color="auto" w:fill="B5C0D8"/>
          </w:tcPr>
          <w:p w:rsidR="00D849AA" w:rsidRPr="00A5008D" w:rsidRDefault="00EE6D95">
            <w:pPr>
              <w:pStyle w:val="CellHeader"/>
            </w:pPr>
            <w:r w:rsidRPr="00A5008D">
              <w:t>Plan 2015.</w:t>
            </w:r>
          </w:p>
        </w:tc>
        <w:tc>
          <w:tcPr>
            <w:tcW w:w="1486" w:type="dxa"/>
            <w:shd w:val="clear" w:color="auto" w:fill="B5C0D8"/>
          </w:tcPr>
          <w:p w:rsidR="00D849AA" w:rsidRPr="00A5008D" w:rsidRDefault="00EE6D95">
            <w:pPr>
              <w:pStyle w:val="CellHeader"/>
            </w:pPr>
            <w:r w:rsidRPr="00A5008D">
              <w:t>Plan 2016.</w:t>
            </w:r>
          </w:p>
        </w:tc>
        <w:tc>
          <w:tcPr>
            <w:tcW w:w="1486" w:type="dxa"/>
            <w:shd w:val="clear" w:color="auto" w:fill="B5C0D8"/>
          </w:tcPr>
          <w:p w:rsidR="00D849AA" w:rsidRPr="00A5008D" w:rsidRDefault="00EE6D95">
            <w:pPr>
              <w:pStyle w:val="CellHeader"/>
            </w:pPr>
            <w:r w:rsidRPr="00A5008D">
              <w:t>Indeks 2014/2013</w:t>
            </w:r>
          </w:p>
        </w:tc>
      </w:tr>
      <w:tr w:rsidR="00D849AA" w:rsidRPr="00A5008D">
        <w:trPr>
          <w:jc w:val="center"/>
        </w:trPr>
        <w:tc>
          <w:tcPr>
            <w:tcW w:w="1486" w:type="dxa"/>
          </w:tcPr>
          <w:p w:rsidR="00D849AA" w:rsidRPr="00A5008D" w:rsidRDefault="00EE6D95">
            <w:pPr>
              <w:pStyle w:val="CellColumn"/>
            </w:pPr>
            <w:r w:rsidRPr="00A5008D">
              <w:t>A539214</w:t>
            </w:r>
          </w:p>
        </w:tc>
        <w:tc>
          <w:tcPr>
            <w:tcW w:w="1486" w:type="dxa"/>
          </w:tcPr>
          <w:p w:rsidR="00D849AA" w:rsidRPr="00A5008D" w:rsidRDefault="00EE6D95">
            <w:pPr>
              <w:rPr>
                <w:rFonts w:ascii="Arial" w:hAnsi="Arial" w:cs="Arial"/>
              </w:rPr>
            </w:pPr>
            <w:r w:rsidRPr="00A5008D">
              <w:rPr>
                <w:rFonts w:ascii="Arial" w:hAnsi="Arial" w:cs="Arial"/>
              </w:rPr>
              <w:t>16.200.000</w:t>
            </w:r>
          </w:p>
        </w:tc>
        <w:tc>
          <w:tcPr>
            <w:tcW w:w="1486" w:type="dxa"/>
          </w:tcPr>
          <w:p w:rsidR="00D849AA" w:rsidRPr="00A5008D" w:rsidRDefault="00EE6D95">
            <w:pPr>
              <w:rPr>
                <w:rFonts w:ascii="Arial" w:hAnsi="Arial" w:cs="Arial"/>
              </w:rPr>
            </w:pPr>
            <w:r w:rsidRPr="00A5008D">
              <w:rPr>
                <w:rFonts w:ascii="Arial" w:hAnsi="Arial" w:cs="Arial"/>
              </w:rPr>
              <w:t>15.801.229</w:t>
            </w:r>
          </w:p>
        </w:tc>
        <w:tc>
          <w:tcPr>
            <w:tcW w:w="1486" w:type="dxa"/>
          </w:tcPr>
          <w:p w:rsidR="00D849AA" w:rsidRPr="00A5008D" w:rsidRDefault="00EE6D95">
            <w:pPr>
              <w:rPr>
                <w:rFonts w:ascii="Arial" w:hAnsi="Arial" w:cs="Arial"/>
              </w:rPr>
            </w:pPr>
            <w:r w:rsidRPr="00A5008D">
              <w:rPr>
                <w:rFonts w:ascii="Arial" w:hAnsi="Arial" w:cs="Arial"/>
              </w:rPr>
              <w:t>17.000.000</w:t>
            </w:r>
          </w:p>
        </w:tc>
        <w:tc>
          <w:tcPr>
            <w:tcW w:w="1486" w:type="dxa"/>
          </w:tcPr>
          <w:p w:rsidR="00D849AA" w:rsidRPr="00A5008D" w:rsidRDefault="00EE6D95">
            <w:pPr>
              <w:rPr>
                <w:rFonts w:ascii="Arial" w:hAnsi="Arial" w:cs="Arial"/>
              </w:rPr>
            </w:pPr>
            <w:r w:rsidRPr="00A5008D">
              <w:rPr>
                <w:rFonts w:ascii="Arial" w:hAnsi="Arial" w:cs="Arial"/>
              </w:rPr>
              <w:t>20.000.000</w:t>
            </w:r>
          </w:p>
        </w:tc>
        <w:tc>
          <w:tcPr>
            <w:tcW w:w="1486" w:type="dxa"/>
          </w:tcPr>
          <w:p w:rsidR="00D849AA" w:rsidRPr="00A5008D" w:rsidRDefault="00EE6D95">
            <w:pPr>
              <w:rPr>
                <w:rFonts w:ascii="Arial" w:hAnsi="Arial" w:cs="Arial"/>
              </w:rPr>
            </w:pPr>
            <w:r w:rsidRPr="00A5008D">
              <w:rPr>
                <w:rFonts w:ascii="Arial" w:hAnsi="Arial" w:cs="Arial"/>
              </w:rPr>
              <w:t>97,5</w:t>
            </w:r>
          </w:p>
        </w:tc>
      </w:tr>
    </w:tbl>
    <w:p w:rsidR="00D849AA" w:rsidRPr="00A5008D" w:rsidRDefault="00D849AA">
      <w:pPr>
        <w:jc w:val="left"/>
        <w:rPr>
          <w:rFonts w:ascii="Arial" w:hAnsi="Arial" w:cs="Arial"/>
        </w:rPr>
      </w:pPr>
    </w:p>
    <w:p w:rsidR="00D849AA" w:rsidRDefault="00EE6D95">
      <w:pPr>
        <w:pStyle w:val="Normal6"/>
      </w:pPr>
      <w:r>
        <w:t>Sukladno Zaključku Mješovitog povjerenstva Vlade Republike Hrvatske i Hrvatske biskupske konferencije za izradu popisa imovine oduzete Katoličkoj crkvi za vrijeme jugoslavenske komunističke vladavine i za izradu prijedloga rješavanja problema te koordinaciju aktivnosti tijela državne uprave u poslovima povrata imovine, temeljem zaprimljenih pravomoćnih rješenja Fond za sada isplaćuje naknadu pravnim osobama Katoličke crkve samo za oduzete stanove.</w:t>
      </w:r>
    </w:p>
    <w:p w:rsidR="00D849AA" w:rsidRDefault="00EE6D95">
      <w:pPr>
        <w:pStyle w:val="Naslov1"/>
      </w:pPr>
      <w:r>
        <w:lastRenderedPageBreak/>
        <w:t>028 DRŽAVNI URED ZA SREDIŠNJU JAVNU NABAVU</w:t>
      </w:r>
    </w:p>
    <w:p w:rsidR="00D849AA" w:rsidRDefault="00EE6D95">
      <w:pPr>
        <w:pStyle w:val="Naslov4"/>
      </w:pPr>
      <w:r>
        <w:t>Uvod</w:t>
      </w:r>
    </w:p>
    <w:p w:rsidR="00D849AA" w:rsidRDefault="00EE6D95">
      <w:pPr>
        <w:pStyle w:val="Normal3"/>
      </w:pPr>
      <w:r>
        <w:t>Vlada Republike Hrvatske je na sjednici održanoj 22. prosinca 2011. godine donijela Zakon o ustrojstvu i djelokrugu ministarstva i drugih središnjih tijela državne uprave (Narodne novine, broj 150/11, 22/12), kojim se osniva Državni ured za središnju javnu nabavu (dalje u tekstu: Državni ured) te propisuje njegove nadležnosti.</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A5008D" w:rsidRDefault="00D849AA">
            <w:pPr>
              <w:pStyle w:val="CellHeader"/>
            </w:pPr>
          </w:p>
        </w:tc>
        <w:tc>
          <w:tcPr>
            <w:tcW w:w="1486" w:type="dxa"/>
            <w:shd w:val="clear" w:color="auto" w:fill="B5C0D8"/>
          </w:tcPr>
          <w:p w:rsidR="00D849AA" w:rsidRPr="00A5008D" w:rsidRDefault="00EE6D95">
            <w:pPr>
              <w:pStyle w:val="CellHeader"/>
            </w:pPr>
            <w:r w:rsidRPr="00A5008D">
              <w:t>Plan 2013.</w:t>
            </w:r>
          </w:p>
        </w:tc>
        <w:tc>
          <w:tcPr>
            <w:tcW w:w="1486" w:type="dxa"/>
            <w:shd w:val="clear" w:color="auto" w:fill="B5C0D8"/>
          </w:tcPr>
          <w:p w:rsidR="00D849AA" w:rsidRPr="00A5008D" w:rsidRDefault="00EE6D95">
            <w:pPr>
              <w:pStyle w:val="CellHeader"/>
            </w:pPr>
            <w:r w:rsidRPr="00A5008D">
              <w:t>Plan 2014.</w:t>
            </w:r>
          </w:p>
        </w:tc>
        <w:tc>
          <w:tcPr>
            <w:tcW w:w="1486" w:type="dxa"/>
            <w:shd w:val="clear" w:color="auto" w:fill="B5C0D8"/>
          </w:tcPr>
          <w:p w:rsidR="00D849AA" w:rsidRPr="00A5008D" w:rsidRDefault="00EE6D95">
            <w:pPr>
              <w:pStyle w:val="CellHeader"/>
            </w:pPr>
            <w:r w:rsidRPr="00A5008D">
              <w:t>Plan 2015.</w:t>
            </w:r>
          </w:p>
        </w:tc>
        <w:tc>
          <w:tcPr>
            <w:tcW w:w="1486" w:type="dxa"/>
            <w:shd w:val="clear" w:color="auto" w:fill="B5C0D8"/>
          </w:tcPr>
          <w:p w:rsidR="00D849AA" w:rsidRPr="00A5008D" w:rsidRDefault="00EE6D95">
            <w:pPr>
              <w:pStyle w:val="CellHeader"/>
            </w:pPr>
            <w:r w:rsidRPr="00A5008D">
              <w:t>Plan 2016.</w:t>
            </w:r>
          </w:p>
        </w:tc>
        <w:tc>
          <w:tcPr>
            <w:tcW w:w="1486" w:type="dxa"/>
            <w:shd w:val="clear" w:color="auto" w:fill="B5C0D8"/>
          </w:tcPr>
          <w:p w:rsidR="00D849AA" w:rsidRPr="00A5008D" w:rsidRDefault="00EE6D95">
            <w:pPr>
              <w:pStyle w:val="CellHeader"/>
            </w:pPr>
            <w:r w:rsidRPr="00A5008D">
              <w:t>Indeks 2014/2013</w:t>
            </w:r>
          </w:p>
        </w:tc>
      </w:tr>
      <w:tr w:rsidR="00D849AA">
        <w:trPr>
          <w:jc w:val="center"/>
        </w:trPr>
        <w:tc>
          <w:tcPr>
            <w:tcW w:w="1486" w:type="dxa"/>
          </w:tcPr>
          <w:p w:rsidR="00D849AA" w:rsidRPr="00A5008D" w:rsidRDefault="00EE6D95">
            <w:pPr>
              <w:pStyle w:val="CellColumn"/>
            </w:pPr>
            <w:r w:rsidRPr="00A5008D">
              <w:t>02805 Državni ured za središnju javnu nabavu</w:t>
            </w:r>
          </w:p>
        </w:tc>
        <w:tc>
          <w:tcPr>
            <w:tcW w:w="1486" w:type="dxa"/>
          </w:tcPr>
          <w:p w:rsidR="00D849AA" w:rsidRPr="00A5008D" w:rsidRDefault="00EE6D95">
            <w:pPr>
              <w:rPr>
                <w:rFonts w:ascii="Arial" w:hAnsi="Arial" w:cs="Arial"/>
              </w:rPr>
            </w:pPr>
            <w:r w:rsidRPr="00A5008D">
              <w:rPr>
                <w:rFonts w:ascii="Arial" w:hAnsi="Arial" w:cs="Arial"/>
              </w:rPr>
              <w:t>5.392.899</w:t>
            </w:r>
          </w:p>
        </w:tc>
        <w:tc>
          <w:tcPr>
            <w:tcW w:w="1486" w:type="dxa"/>
          </w:tcPr>
          <w:p w:rsidR="00D849AA" w:rsidRPr="00A5008D" w:rsidRDefault="00EE6D95">
            <w:pPr>
              <w:rPr>
                <w:rFonts w:ascii="Arial" w:hAnsi="Arial" w:cs="Arial"/>
              </w:rPr>
            </w:pPr>
            <w:r w:rsidRPr="00A5008D">
              <w:rPr>
                <w:rFonts w:ascii="Arial" w:hAnsi="Arial" w:cs="Arial"/>
              </w:rPr>
              <w:t>12.334.079</w:t>
            </w:r>
          </w:p>
        </w:tc>
        <w:tc>
          <w:tcPr>
            <w:tcW w:w="1486" w:type="dxa"/>
          </w:tcPr>
          <w:p w:rsidR="00D849AA" w:rsidRPr="00A5008D" w:rsidRDefault="00EE6D95">
            <w:pPr>
              <w:rPr>
                <w:rFonts w:ascii="Arial" w:hAnsi="Arial" w:cs="Arial"/>
              </w:rPr>
            </w:pPr>
            <w:r w:rsidRPr="00A5008D">
              <w:rPr>
                <w:rFonts w:ascii="Arial" w:hAnsi="Arial" w:cs="Arial"/>
              </w:rPr>
              <w:t>8.682.647</w:t>
            </w:r>
          </w:p>
        </w:tc>
        <w:tc>
          <w:tcPr>
            <w:tcW w:w="1486" w:type="dxa"/>
          </w:tcPr>
          <w:p w:rsidR="00D849AA" w:rsidRPr="00A5008D" w:rsidRDefault="00EE6D95">
            <w:pPr>
              <w:rPr>
                <w:rFonts w:ascii="Arial" w:hAnsi="Arial" w:cs="Arial"/>
              </w:rPr>
            </w:pPr>
            <w:r w:rsidRPr="00A5008D">
              <w:rPr>
                <w:rFonts w:ascii="Arial" w:hAnsi="Arial" w:cs="Arial"/>
              </w:rPr>
              <w:t>8.054.379</w:t>
            </w:r>
          </w:p>
        </w:tc>
        <w:tc>
          <w:tcPr>
            <w:tcW w:w="1486" w:type="dxa"/>
          </w:tcPr>
          <w:p w:rsidR="00D849AA" w:rsidRPr="00A5008D" w:rsidRDefault="00EE6D95">
            <w:pPr>
              <w:rPr>
                <w:rFonts w:ascii="Arial" w:hAnsi="Arial" w:cs="Arial"/>
              </w:rPr>
            </w:pPr>
            <w:r w:rsidRPr="00A5008D">
              <w:rPr>
                <w:rFonts w:ascii="Arial" w:hAnsi="Arial" w:cs="Arial"/>
              </w:rPr>
              <w:t>228,7</w:t>
            </w:r>
          </w:p>
        </w:tc>
      </w:tr>
      <w:tr w:rsidR="00D849AA">
        <w:trPr>
          <w:jc w:val="center"/>
        </w:trPr>
        <w:tc>
          <w:tcPr>
            <w:tcW w:w="1486" w:type="dxa"/>
            <w:shd w:val="clear" w:color="auto" w:fill="B5C0D8"/>
          </w:tcPr>
          <w:p w:rsidR="00D849AA" w:rsidRPr="00A5008D" w:rsidRDefault="00EE6D95">
            <w:pPr>
              <w:pStyle w:val="CellColumn"/>
            </w:pPr>
            <w:r w:rsidRPr="00A5008D">
              <w:t>Ukupno 028</w:t>
            </w:r>
          </w:p>
        </w:tc>
        <w:tc>
          <w:tcPr>
            <w:tcW w:w="1486" w:type="dxa"/>
            <w:shd w:val="clear" w:color="auto" w:fill="B5C0D8"/>
          </w:tcPr>
          <w:p w:rsidR="00D849AA" w:rsidRPr="00A5008D" w:rsidRDefault="00EE6D95">
            <w:pPr>
              <w:rPr>
                <w:rFonts w:ascii="Arial" w:hAnsi="Arial" w:cs="Arial"/>
              </w:rPr>
            </w:pPr>
            <w:r w:rsidRPr="00A5008D">
              <w:rPr>
                <w:rFonts w:ascii="Arial" w:hAnsi="Arial" w:cs="Arial"/>
              </w:rPr>
              <w:t>5.392.899</w:t>
            </w:r>
          </w:p>
        </w:tc>
        <w:tc>
          <w:tcPr>
            <w:tcW w:w="1486" w:type="dxa"/>
            <w:shd w:val="clear" w:color="auto" w:fill="B5C0D8"/>
          </w:tcPr>
          <w:p w:rsidR="00D849AA" w:rsidRPr="00A5008D" w:rsidRDefault="00EE6D95">
            <w:pPr>
              <w:rPr>
                <w:rFonts w:ascii="Arial" w:hAnsi="Arial" w:cs="Arial"/>
              </w:rPr>
            </w:pPr>
            <w:r w:rsidRPr="00A5008D">
              <w:rPr>
                <w:rFonts w:ascii="Arial" w:hAnsi="Arial" w:cs="Arial"/>
              </w:rPr>
              <w:t>12.334.079</w:t>
            </w:r>
          </w:p>
        </w:tc>
        <w:tc>
          <w:tcPr>
            <w:tcW w:w="1486" w:type="dxa"/>
            <w:shd w:val="clear" w:color="auto" w:fill="B5C0D8"/>
          </w:tcPr>
          <w:p w:rsidR="00D849AA" w:rsidRPr="00A5008D" w:rsidRDefault="00EE6D95">
            <w:pPr>
              <w:rPr>
                <w:rFonts w:ascii="Arial" w:hAnsi="Arial" w:cs="Arial"/>
              </w:rPr>
            </w:pPr>
            <w:r w:rsidRPr="00A5008D">
              <w:rPr>
                <w:rFonts w:ascii="Arial" w:hAnsi="Arial" w:cs="Arial"/>
              </w:rPr>
              <w:t>8.682.647</w:t>
            </w:r>
          </w:p>
        </w:tc>
        <w:tc>
          <w:tcPr>
            <w:tcW w:w="1486" w:type="dxa"/>
            <w:shd w:val="clear" w:color="auto" w:fill="B5C0D8"/>
          </w:tcPr>
          <w:p w:rsidR="00D849AA" w:rsidRPr="00A5008D" w:rsidRDefault="00EE6D95">
            <w:pPr>
              <w:rPr>
                <w:rFonts w:ascii="Arial" w:hAnsi="Arial" w:cs="Arial"/>
              </w:rPr>
            </w:pPr>
            <w:r w:rsidRPr="00A5008D">
              <w:rPr>
                <w:rFonts w:ascii="Arial" w:hAnsi="Arial" w:cs="Arial"/>
              </w:rPr>
              <w:t>8.054.379</w:t>
            </w:r>
          </w:p>
        </w:tc>
        <w:tc>
          <w:tcPr>
            <w:tcW w:w="1486" w:type="dxa"/>
            <w:shd w:val="clear" w:color="auto" w:fill="B5C0D8"/>
          </w:tcPr>
          <w:p w:rsidR="00D849AA" w:rsidRPr="00A5008D" w:rsidRDefault="00EE6D95">
            <w:pPr>
              <w:rPr>
                <w:rFonts w:ascii="Arial" w:hAnsi="Arial" w:cs="Arial"/>
              </w:rPr>
            </w:pPr>
            <w:r w:rsidRPr="00A5008D">
              <w:rPr>
                <w:rFonts w:ascii="Arial" w:hAnsi="Arial" w:cs="Arial"/>
              </w:rPr>
              <w:t>228,7</w:t>
            </w:r>
          </w:p>
        </w:tc>
      </w:tr>
    </w:tbl>
    <w:p w:rsidR="00D849AA" w:rsidRDefault="00D849AA">
      <w:pPr>
        <w:jc w:val="left"/>
      </w:pPr>
    </w:p>
    <w:p w:rsidR="00D849AA" w:rsidRDefault="00EE6D95">
      <w:pPr>
        <w:pStyle w:val="Naslov2"/>
      </w:pPr>
      <w:r>
        <w:t>02805 Državni ured za središnju javnu nabavu</w:t>
      </w:r>
    </w:p>
    <w:p w:rsidR="00D849AA" w:rsidRDefault="00EE6D95">
      <w:pPr>
        <w:pStyle w:val="Naslov4"/>
      </w:pPr>
      <w:r>
        <w:t>Uvod</w:t>
      </w:r>
    </w:p>
    <w:p w:rsidR="00D849AA" w:rsidRDefault="00EE6D95" w:rsidP="00A5008D">
      <w:pPr>
        <w:pStyle w:val="Normal3"/>
      </w:pPr>
      <w:r>
        <w:t xml:space="preserve">Državni ured za središnju javnu nabavu je središnje tijelo državne uprave koje obavlja poslove središnje javne nabave za središnja tijela tijela državne uprave, uz odgovornost prema poreznim obveznicima, državnom proračunu, obveznicima središnje nabave, te svim gospodarskim subjektima uključenim u javno-nabavno okruženje u cilju ostvarivanja ušteda u javnojpotrošnji, vodeći računa o optimalnom odnosu između kvalitete i cijene navbavljenih roba, radova i usluga, uvažavanju ekoloških i socijalno prihvatljivih načela, održive nabave te poticanju malog i srednjeg poduzetništva.  </w:t>
      </w:r>
    </w:p>
    <w:p w:rsidR="00D849AA" w:rsidRDefault="00EE6D95">
      <w:pPr>
        <w:pStyle w:val="Normal3"/>
      </w:pPr>
      <w:r>
        <w:t>Ured je naručitelj koji za središnja tijela državne uprave, Vladu RH, urede i stručne službe Vlade RH, obavlja središnju javnu nabavu roba i usluga (nabavne kategorije), koje utvrđuje Vlada Republike Hrvatske.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A5008D" w:rsidRDefault="00D849AA">
            <w:pPr>
              <w:pStyle w:val="CellHeader"/>
            </w:pPr>
          </w:p>
        </w:tc>
        <w:tc>
          <w:tcPr>
            <w:tcW w:w="1486" w:type="dxa"/>
            <w:shd w:val="clear" w:color="auto" w:fill="B5C0D8"/>
          </w:tcPr>
          <w:p w:rsidR="00D849AA" w:rsidRPr="00A5008D" w:rsidRDefault="00EE6D95">
            <w:pPr>
              <w:pStyle w:val="CellHeader"/>
            </w:pPr>
            <w:r w:rsidRPr="00A5008D">
              <w:t>Plan 2013.</w:t>
            </w:r>
          </w:p>
        </w:tc>
        <w:tc>
          <w:tcPr>
            <w:tcW w:w="1486" w:type="dxa"/>
            <w:shd w:val="clear" w:color="auto" w:fill="B5C0D8"/>
          </w:tcPr>
          <w:p w:rsidR="00D849AA" w:rsidRPr="00A5008D" w:rsidRDefault="00EE6D95">
            <w:pPr>
              <w:pStyle w:val="CellHeader"/>
            </w:pPr>
            <w:r w:rsidRPr="00A5008D">
              <w:t>Plan 2014.</w:t>
            </w:r>
          </w:p>
        </w:tc>
        <w:tc>
          <w:tcPr>
            <w:tcW w:w="1486" w:type="dxa"/>
            <w:shd w:val="clear" w:color="auto" w:fill="B5C0D8"/>
          </w:tcPr>
          <w:p w:rsidR="00D849AA" w:rsidRPr="00A5008D" w:rsidRDefault="00EE6D95">
            <w:pPr>
              <w:pStyle w:val="CellHeader"/>
            </w:pPr>
            <w:r w:rsidRPr="00A5008D">
              <w:t>Plan 2015.</w:t>
            </w:r>
          </w:p>
        </w:tc>
        <w:tc>
          <w:tcPr>
            <w:tcW w:w="1486" w:type="dxa"/>
            <w:shd w:val="clear" w:color="auto" w:fill="B5C0D8"/>
          </w:tcPr>
          <w:p w:rsidR="00D849AA" w:rsidRPr="00A5008D" w:rsidRDefault="00EE6D95">
            <w:pPr>
              <w:pStyle w:val="CellHeader"/>
            </w:pPr>
            <w:r w:rsidRPr="00A5008D">
              <w:t>Plan 2016.</w:t>
            </w:r>
          </w:p>
        </w:tc>
        <w:tc>
          <w:tcPr>
            <w:tcW w:w="1486" w:type="dxa"/>
            <w:shd w:val="clear" w:color="auto" w:fill="B5C0D8"/>
          </w:tcPr>
          <w:p w:rsidR="00D849AA" w:rsidRPr="00A5008D" w:rsidRDefault="00EE6D95">
            <w:pPr>
              <w:pStyle w:val="CellHeader"/>
            </w:pPr>
            <w:r w:rsidRPr="00A5008D">
              <w:t>Indeks 2014/2013</w:t>
            </w:r>
          </w:p>
        </w:tc>
      </w:tr>
      <w:tr w:rsidR="00D849AA">
        <w:trPr>
          <w:jc w:val="center"/>
        </w:trPr>
        <w:tc>
          <w:tcPr>
            <w:tcW w:w="1486" w:type="dxa"/>
          </w:tcPr>
          <w:p w:rsidR="00D849AA" w:rsidRPr="00A5008D" w:rsidRDefault="00EE6D95">
            <w:pPr>
              <w:pStyle w:val="CellColumn"/>
            </w:pPr>
            <w:r w:rsidRPr="00A5008D">
              <w:t>02805</w:t>
            </w:r>
          </w:p>
        </w:tc>
        <w:tc>
          <w:tcPr>
            <w:tcW w:w="1486" w:type="dxa"/>
          </w:tcPr>
          <w:p w:rsidR="00D849AA" w:rsidRPr="00A5008D" w:rsidRDefault="00EE6D95">
            <w:pPr>
              <w:rPr>
                <w:rFonts w:ascii="Arial" w:hAnsi="Arial" w:cs="Arial"/>
              </w:rPr>
            </w:pPr>
            <w:r w:rsidRPr="00A5008D">
              <w:rPr>
                <w:rFonts w:ascii="Arial" w:hAnsi="Arial" w:cs="Arial"/>
              </w:rPr>
              <w:t>5.392.899</w:t>
            </w:r>
          </w:p>
        </w:tc>
        <w:tc>
          <w:tcPr>
            <w:tcW w:w="1486" w:type="dxa"/>
          </w:tcPr>
          <w:p w:rsidR="00D849AA" w:rsidRPr="00A5008D" w:rsidRDefault="00EE6D95">
            <w:pPr>
              <w:rPr>
                <w:rFonts w:ascii="Arial" w:hAnsi="Arial" w:cs="Arial"/>
              </w:rPr>
            </w:pPr>
            <w:r w:rsidRPr="00A5008D">
              <w:rPr>
                <w:rFonts w:ascii="Arial" w:hAnsi="Arial" w:cs="Arial"/>
              </w:rPr>
              <w:t>12.334.079</w:t>
            </w:r>
          </w:p>
        </w:tc>
        <w:tc>
          <w:tcPr>
            <w:tcW w:w="1486" w:type="dxa"/>
          </w:tcPr>
          <w:p w:rsidR="00D849AA" w:rsidRPr="00A5008D" w:rsidRDefault="00EE6D95">
            <w:pPr>
              <w:rPr>
                <w:rFonts w:ascii="Arial" w:hAnsi="Arial" w:cs="Arial"/>
              </w:rPr>
            </w:pPr>
            <w:r w:rsidRPr="00A5008D">
              <w:rPr>
                <w:rFonts w:ascii="Arial" w:hAnsi="Arial" w:cs="Arial"/>
              </w:rPr>
              <w:t>8.682.647</w:t>
            </w:r>
          </w:p>
        </w:tc>
        <w:tc>
          <w:tcPr>
            <w:tcW w:w="1486" w:type="dxa"/>
          </w:tcPr>
          <w:p w:rsidR="00D849AA" w:rsidRPr="00A5008D" w:rsidRDefault="00EE6D95">
            <w:pPr>
              <w:rPr>
                <w:rFonts w:ascii="Arial" w:hAnsi="Arial" w:cs="Arial"/>
              </w:rPr>
            </w:pPr>
            <w:r w:rsidRPr="00A5008D">
              <w:rPr>
                <w:rFonts w:ascii="Arial" w:hAnsi="Arial" w:cs="Arial"/>
              </w:rPr>
              <w:t>8.054.379</w:t>
            </w:r>
          </w:p>
        </w:tc>
        <w:tc>
          <w:tcPr>
            <w:tcW w:w="1486" w:type="dxa"/>
          </w:tcPr>
          <w:p w:rsidR="00D849AA" w:rsidRPr="00A5008D" w:rsidRDefault="00EE6D95">
            <w:pPr>
              <w:rPr>
                <w:rFonts w:ascii="Arial" w:hAnsi="Arial" w:cs="Arial"/>
              </w:rPr>
            </w:pPr>
            <w:r w:rsidRPr="00A5008D">
              <w:rPr>
                <w:rFonts w:ascii="Arial" w:hAnsi="Arial" w:cs="Arial"/>
              </w:rPr>
              <w:t>228,7</w:t>
            </w:r>
          </w:p>
        </w:tc>
      </w:tr>
    </w:tbl>
    <w:p w:rsidR="00D849AA" w:rsidRDefault="00D849AA">
      <w:pPr>
        <w:jc w:val="left"/>
      </w:pPr>
    </w:p>
    <w:p w:rsidR="00D849AA" w:rsidRDefault="00EE6D95">
      <w:pPr>
        <w:pStyle w:val="Naslov4"/>
      </w:pPr>
      <w:r>
        <w:t>OBRAZLOŽENJE PROGRAMA</w:t>
      </w:r>
    </w:p>
    <w:p w:rsidR="00D849AA" w:rsidRDefault="00EE6D95">
      <w:pPr>
        <w:pStyle w:val="Naslov5"/>
      </w:pPr>
      <w:r>
        <w:t>2411 SREDIŠNJA JAVNA NABAVA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A5008D" w:rsidRDefault="00D849AA">
            <w:pPr>
              <w:pStyle w:val="CellHeader"/>
            </w:pPr>
          </w:p>
        </w:tc>
        <w:tc>
          <w:tcPr>
            <w:tcW w:w="1486" w:type="dxa"/>
            <w:shd w:val="clear" w:color="auto" w:fill="B5C0D8"/>
          </w:tcPr>
          <w:p w:rsidR="00D849AA" w:rsidRPr="00A5008D" w:rsidRDefault="00EE6D95">
            <w:pPr>
              <w:pStyle w:val="CellHeader"/>
            </w:pPr>
            <w:r w:rsidRPr="00A5008D">
              <w:t>Plan 2013.</w:t>
            </w:r>
          </w:p>
        </w:tc>
        <w:tc>
          <w:tcPr>
            <w:tcW w:w="1486" w:type="dxa"/>
            <w:shd w:val="clear" w:color="auto" w:fill="B5C0D8"/>
          </w:tcPr>
          <w:p w:rsidR="00D849AA" w:rsidRPr="00A5008D" w:rsidRDefault="00EE6D95">
            <w:pPr>
              <w:pStyle w:val="CellHeader"/>
            </w:pPr>
            <w:r w:rsidRPr="00A5008D">
              <w:t>Plan 2014.</w:t>
            </w:r>
          </w:p>
        </w:tc>
        <w:tc>
          <w:tcPr>
            <w:tcW w:w="1486" w:type="dxa"/>
            <w:shd w:val="clear" w:color="auto" w:fill="B5C0D8"/>
          </w:tcPr>
          <w:p w:rsidR="00D849AA" w:rsidRPr="00A5008D" w:rsidRDefault="00EE6D95">
            <w:pPr>
              <w:pStyle w:val="CellHeader"/>
            </w:pPr>
            <w:r w:rsidRPr="00A5008D">
              <w:t>Plan 2015.</w:t>
            </w:r>
          </w:p>
        </w:tc>
        <w:tc>
          <w:tcPr>
            <w:tcW w:w="1486" w:type="dxa"/>
            <w:shd w:val="clear" w:color="auto" w:fill="B5C0D8"/>
          </w:tcPr>
          <w:p w:rsidR="00D849AA" w:rsidRPr="00A5008D" w:rsidRDefault="00EE6D95">
            <w:pPr>
              <w:pStyle w:val="CellHeader"/>
            </w:pPr>
            <w:r w:rsidRPr="00A5008D">
              <w:t>Plan 2016.</w:t>
            </w:r>
          </w:p>
        </w:tc>
        <w:tc>
          <w:tcPr>
            <w:tcW w:w="1486" w:type="dxa"/>
            <w:shd w:val="clear" w:color="auto" w:fill="B5C0D8"/>
          </w:tcPr>
          <w:p w:rsidR="00D849AA" w:rsidRPr="00A5008D" w:rsidRDefault="00EE6D95">
            <w:pPr>
              <w:pStyle w:val="CellHeader"/>
            </w:pPr>
            <w:r w:rsidRPr="00A5008D">
              <w:t>Indeks 2014/2013</w:t>
            </w:r>
          </w:p>
        </w:tc>
      </w:tr>
      <w:tr w:rsidR="00D849AA">
        <w:trPr>
          <w:jc w:val="center"/>
        </w:trPr>
        <w:tc>
          <w:tcPr>
            <w:tcW w:w="1486" w:type="dxa"/>
          </w:tcPr>
          <w:p w:rsidR="00D849AA" w:rsidRPr="00A5008D" w:rsidRDefault="00EE6D95">
            <w:pPr>
              <w:pStyle w:val="CellColumn"/>
            </w:pPr>
            <w:r w:rsidRPr="00A5008D">
              <w:t>2411</w:t>
            </w:r>
          </w:p>
        </w:tc>
        <w:tc>
          <w:tcPr>
            <w:tcW w:w="1486" w:type="dxa"/>
          </w:tcPr>
          <w:p w:rsidR="00D849AA" w:rsidRPr="00A5008D" w:rsidRDefault="00EE6D95">
            <w:pPr>
              <w:rPr>
                <w:rFonts w:ascii="Arial" w:hAnsi="Arial" w:cs="Arial"/>
              </w:rPr>
            </w:pPr>
            <w:r w:rsidRPr="00A5008D">
              <w:rPr>
                <w:rFonts w:ascii="Arial" w:hAnsi="Arial" w:cs="Arial"/>
              </w:rPr>
              <w:t>5.392.899</w:t>
            </w:r>
          </w:p>
        </w:tc>
        <w:tc>
          <w:tcPr>
            <w:tcW w:w="1486" w:type="dxa"/>
          </w:tcPr>
          <w:p w:rsidR="00D849AA" w:rsidRPr="00A5008D" w:rsidRDefault="00EE6D95">
            <w:pPr>
              <w:rPr>
                <w:rFonts w:ascii="Arial" w:hAnsi="Arial" w:cs="Arial"/>
              </w:rPr>
            </w:pPr>
            <w:r w:rsidRPr="00A5008D">
              <w:rPr>
                <w:rFonts w:ascii="Arial" w:hAnsi="Arial" w:cs="Arial"/>
              </w:rPr>
              <w:t>12.334.079</w:t>
            </w:r>
          </w:p>
        </w:tc>
        <w:tc>
          <w:tcPr>
            <w:tcW w:w="1486" w:type="dxa"/>
          </w:tcPr>
          <w:p w:rsidR="00D849AA" w:rsidRPr="00A5008D" w:rsidRDefault="00EE6D95">
            <w:pPr>
              <w:rPr>
                <w:rFonts w:ascii="Arial" w:hAnsi="Arial" w:cs="Arial"/>
              </w:rPr>
            </w:pPr>
            <w:r w:rsidRPr="00A5008D">
              <w:rPr>
                <w:rFonts w:ascii="Arial" w:hAnsi="Arial" w:cs="Arial"/>
              </w:rPr>
              <w:t>8.682.647</w:t>
            </w:r>
          </w:p>
        </w:tc>
        <w:tc>
          <w:tcPr>
            <w:tcW w:w="1486" w:type="dxa"/>
          </w:tcPr>
          <w:p w:rsidR="00D849AA" w:rsidRPr="00A5008D" w:rsidRDefault="00EE6D95">
            <w:pPr>
              <w:rPr>
                <w:rFonts w:ascii="Arial" w:hAnsi="Arial" w:cs="Arial"/>
              </w:rPr>
            </w:pPr>
            <w:r w:rsidRPr="00A5008D">
              <w:rPr>
                <w:rFonts w:ascii="Arial" w:hAnsi="Arial" w:cs="Arial"/>
              </w:rPr>
              <w:t>8.054.379</w:t>
            </w:r>
          </w:p>
        </w:tc>
        <w:tc>
          <w:tcPr>
            <w:tcW w:w="1486" w:type="dxa"/>
          </w:tcPr>
          <w:p w:rsidR="00D849AA" w:rsidRPr="00A5008D" w:rsidRDefault="00EE6D95">
            <w:pPr>
              <w:rPr>
                <w:rFonts w:ascii="Arial" w:hAnsi="Arial" w:cs="Arial"/>
              </w:rPr>
            </w:pPr>
            <w:r w:rsidRPr="00A5008D">
              <w:rPr>
                <w:rFonts w:ascii="Arial" w:hAnsi="Arial" w:cs="Arial"/>
              </w:rPr>
              <w:t>228,7</w:t>
            </w:r>
          </w:p>
        </w:tc>
      </w:tr>
    </w:tbl>
    <w:p w:rsidR="00D849AA" w:rsidRDefault="00EE6D95">
      <w:pPr>
        <w:pStyle w:val="Naslov6"/>
      </w:pPr>
      <w:r>
        <w:lastRenderedPageBreak/>
        <w:t>Opis programa</w:t>
      </w:r>
    </w:p>
    <w:p w:rsidR="00D849AA" w:rsidRDefault="00EE6D95">
      <w:pPr>
        <w:pStyle w:val="Normal5"/>
      </w:pPr>
      <w:r>
        <w:t xml:space="preserve">Državni ured za središnju javnu nabavu je središnje tijelo državne uprave koje obavlja poslove središnje javne nabave za središnja tijela državne uprave, uz odgovornost prema poreznim obveznicima, državnom proračunu, obveznicima središnje nabave, te svim gospodarskim subjektima uključenim u javno-nabavno okruženje u cilju ostvarivanja ušteda u javnoj potrošnji, vodeći računa o optimalnom odnosu između kvalitete i cijene nabavljenih roba, radova i usluga, uvažavanju ekoloških i socijalno prihvatljivih načela, održive nabave te poticanju malog i srednjeg poduzetništva.  </w:t>
      </w:r>
    </w:p>
    <w:p w:rsidR="00D849AA" w:rsidRDefault="00EE6D95">
      <w:pPr>
        <w:pStyle w:val="Normal5"/>
      </w:pPr>
      <w:r>
        <w:t>Ured je naručitelj koji za središnja tijela državne uprave, Vladu RH, urede i stručne službe Vlade RH, obavlja središnju javnu nabavu roba i usluga (nabavne kategorije), koje utvrđuje Vlada Republike Hrvatske.</w:t>
      </w:r>
    </w:p>
    <w:p w:rsidR="00D849AA" w:rsidRDefault="00EE6D95">
      <w:pPr>
        <w:pStyle w:val="Naslov6"/>
      </w:pPr>
      <w:r>
        <w:t>Zakonske i druge pravne osnove</w:t>
      </w:r>
    </w:p>
    <w:p w:rsidR="00D849AA" w:rsidRDefault="00EE6D95">
      <w:pPr>
        <w:pStyle w:val="Normal5"/>
      </w:pPr>
      <w:r>
        <w:t xml:space="preserve">Zakon o ustrojstvu i djelokrugu ministarstva i drugih središnjih tijela državne uprave (Narodne novine, broj 150/11, 22/12) </w:t>
      </w:r>
    </w:p>
    <w:p w:rsidR="00D849AA" w:rsidRDefault="00EE6D95">
      <w:pPr>
        <w:pStyle w:val="Normal5"/>
      </w:pPr>
      <w:r>
        <w:t>Uredba o unutarnjem ustroju Državnog ureda (Narodne novine 31/12)</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 xml:space="preserve">Cilj 1. Daljnji razvoj suvremene nabavne funkcije na razini središnjih tijela državne uprave </w:t>
      </w:r>
    </w:p>
    <w:p w:rsidR="00D849AA" w:rsidRDefault="00EE6D95">
      <w:pPr>
        <w:pStyle w:val="Normal6"/>
      </w:pPr>
      <w:r>
        <w:t>Organizacijska raznolikost provođenja postupaka javne nabave te pomanjkanje kontrole trošenja proračunskog novca kod obveznika primjene Zakona o javnoj nabavi uvjetovali su nužnost uređivanja sustava središnje nabave na nacionalnoj razini, kako bi se na jednom mjestu nastavio razvoj suvremene nabavne funkcije za središnja tijela državne uprave. U narednom razdoblju planira se razvoj i modernizacija sustava, uz daljnje postizanje direktnih i indirektnih ušteda.</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A5008D" w:rsidRDefault="00EE6D95">
            <w:pPr>
              <w:rPr>
                <w:rFonts w:ascii="Arial" w:hAnsi="Arial" w:cs="Arial"/>
              </w:rPr>
            </w:pPr>
            <w:r w:rsidRPr="00A5008D">
              <w:rPr>
                <w:rFonts w:ascii="Arial" w:hAnsi="Arial" w:cs="Arial"/>
              </w:rPr>
              <w:t>Pokazatelj učinka</w:t>
            </w:r>
          </w:p>
        </w:tc>
        <w:tc>
          <w:tcPr>
            <w:tcW w:w="1114" w:type="dxa"/>
            <w:shd w:val="clear" w:color="auto" w:fill="B5C0D8"/>
          </w:tcPr>
          <w:p w:rsidR="00D849AA" w:rsidRPr="00A5008D" w:rsidRDefault="00EE6D95">
            <w:pPr>
              <w:pStyle w:val="CellHeader"/>
            </w:pPr>
            <w:r w:rsidRPr="00A5008D">
              <w:t>Jedinica</w:t>
            </w:r>
          </w:p>
        </w:tc>
        <w:tc>
          <w:tcPr>
            <w:tcW w:w="1114" w:type="dxa"/>
            <w:shd w:val="clear" w:color="auto" w:fill="B5C0D8"/>
          </w:tcPr>
          <w:p w:rsidR="00D849AA" w:rsidRPr="00A5008D" w:rsidRDefault="00EE6D95">
            <w:pPr>
              <w:pStyle w:val="CellHeader"/>
            </w:pPr>
            <w:r w:rsidRPr="00A5008D">
              <w:t>Polazna vrijednost</w:t>
            </w:r>
          </w:p>
        </w:tc>
        <w:tc>
          <w:tcPr>
            <w:tcW w:w="1486" w:type="dxa"/>
            <w:shd w:val="clear" w:color="auto" w:fill="B5C0D8"/>
          </w:tcPr>
          <w:p w:rsidR="00D849AA" w:rsidRPr="00A5008D" w:rsidRDefault="00EE6D95">
            <w:pPr>
              <w:pStyle w:val="CellHeader"/>
            </w:pPr>
            <w:r w:rsidRPr="00A5008D">
              <w:t>Ciljana vrijednost (2014.)</w:t>
            </w:r>
          </w:p>
        </w:tc>
        <w:tc>
          <w:tcPr>
            <w:tcW w:w="1486" w:type="dxa"/>
            <w:shd w:val="clear" w:color="auto" w:fill="B5C0D8"/>
          </w:tcPr>
          <w:p w:rsidR="00D849AA" w:rsidRPr="00A5008D" w:rsidRDefault="00EE6D95">
            <w:pPr>
              <w:pStyle w:val="CellHeader"/>
            </w:pPr>
            <w:r w:rsidRPr="00A5008D">
              <w:t>Ciljana vrijednost (2015.)</w:t>
            </w:r>
          </w:p>
        </w:tc>
        <w:tc>
          <w:tcPr>
            <w:tcW w:w="1486" w:type="dxa"/>
            <w:shd w:val="clear" w:color="auto" w:fill="B5C0D8"/>
          </w:tcPr>
          <w:p w:rsidR="00D849AA" w:rsidRPr="00A5008D" w:rsidRDefault="00EE6D95">
            <w:pPr>
              <w:pStyle w:val="CellHeader"/>
            </w:pPr>
            <w:r w:rsidRPr="00A5008D">
              <w:t>Ciljana vrijednost (2016.)</w:t>
            </w:r>
          </w:p>
        </w:tc>
      </w:tr>
      <w:tr w:rsidR="00D849AA">
        <w:trPr>
          <w:jc w:val="center"/>
        </w:trPr>
        <w:tc>
          <w:tcPr>
            <w:tcW w:w="2229" w:type="dxa"/>
          </w:tcPr>
          <w:p w:rsidR="00D849AA" w:rsidRPr="00A5008D" w:rsidRDefault="00EE6D95">
            <w:pPr>
              <w:pStyle w:val="CellColumn"/>
            </w:pPr>
            <w:r w:rsidRPr="00A5008D">
              <w:t>Postizanje direktnih ušteda kroz smanjenje ugovorenih jediničnih cijena te postizanje indirektnih ušteda</w:t>
            </w:r>
          </w:p>
        </w:tc>
        <w:tc>
          <w:tcPr>
            <w:tcW w:w="1114" w:type="dxa"/>
          </w:tcPr>
          <w:p w:rsidR="00D849AA" w:rsidRPr="00A5008D" w:rsidRDefault="00EE6D95">
            <w:pPr>
              <w:rPr>
                <w:rFonts w:ascii="Arial" w:hAnsi="Arial" w:cs="Arial"/>
              </w:rPr>
            </w:pPr>
            <w:r w:rsidRPr="00A5008D">
              <w:rPr>
                <w:rFonts w:ascii="Arial" w:hAnsi="Arial" w:cs="Arial"/>
              </w:rPr>
              <w:t>mil kn</w:t>
            </w:r>
          </w:p>
        </w:tc>
        <w:tc>
          <w:tcPr>
            <w:tcW w:w="1114" w:type="dxa"/>
          </w:tcPr>
          <w:p w:rsidR="00D849AA" w:rsidRPr="00A5008D" w:rsidRDefault="00EE6D95">
            <w:pPr>
              <w:rPr>
                <w:rFonts w:ascii="Arial" w:hAnsi="Arial" w:cs="Arial"/>
              </w:rPr>
            </w:pPr>
            <w:r w:rsidRPr="00A5008D">
              <w:rPr>
                <w:rFonts w:ascii="Arial" w:hAnsi="Arial" w:cs="Arial"/>
              </w:rPr>
              <w:t>152</w:t>
            </w:r>
          </w:p>
        </w:tc>
        <w:tc>
          <w:tcPr>
            <w:tcW w:w="1486" w:type="dxa"/>
          </w:tcPr>
          <w:p w:rsidR="00D849AA" w:rsidRPr="00A5008D" w:rsidRDefault="00EE6D95">
            <w:pPr>
              <w:rPr>
                <w:rFonts w:ascii="Arial" w:hAnsi="Arial" w:cs="Arial"/>
              </w:rPr>
            </w:pPr>
            <w:r w:rsidRPr="00A5008D">
              <w:rPr>
                <w:rFonts w:ascii="Arial" w:hAnsi="Arial" w:cs="Arial"/>
              </w:rPr>
              <w:t>230</w:t>
            </w:r>
          </w:p>
        </w:tc>
        <w:tc>
          <w:tcPr>
            <w:tcW w:w="1486" w:type="dxa"/>
          </w:tcPr>
          <w:p w:rsidR="00D849AA" w:rsidRPr="00A5008D" w:rsidRDefault="00EE6D95">
            <w:pPr>
              <w:rPr>
                <w:rFonts w:ascii="Arial" w:hAnsi="Arial" w:cs="Arial"/>
              </w:rPr>
            </w:pPr>
            <w:r w:rsidRPr="00A5008D">
              <w:rPr>
                <w:rFonts w:ascii="Arial" w:hAnsi="Arial" w:cs="Arial"/>
              </w:rPr>
              <w:t>320</w:t>
            </w:r>
          </w:p>
        </w:tc>
        <w:tc>
          <w:tcPr>
            <w:tcW w:w="1486" w:type="dxa"/>
          </w:tcPr>
          <w:p w:rsidR="00D849AA" w:rsidRPr="00A5008D" w:rsidRDefault="00EE6D95">
            <w:pPr>
              <w:rPr>
                <w:rFonts w:ascii="Arial" w:hAnsi="Arial" w:cs="Arial"/>
              </w:rPr>
            </w:pPr>
            <w:r w:rsidRPr="00A5008D">
              <w:rPr>
                <w:rFonts w:ascii="Arial" w:hAnsi="Arial" w:cs="Arial"/>
              </w:rPr>
              <w:t>450</w:t>
            </w:r>
          </w:p>
        </w:tc>
      </w:tr>
    </w:tbl>
    <w:p w:rsidR="00D849AA" w:rsidRDefault="00D849AA">
      <w:pPr>
        <w:jc w:val="left"/>
      </w:pPr>
    </w:p>
    <w:p w:rsidR="00D849AA" w:rsidRDefault="00EE6D95">
      <w:pPr>
        <w:pStyle w:val="Naslov5"/>
      </w:pPr>
      <w:r>
        <w:t>Procjena i ishodište potrebnih sredstava za značajnije aktivnosti/projekte</w:t>
      </w:r>
    </w:p>
    <w:p w:rsidR="00D849AA" w:rsidRDefault="00EE6D95">
      <w:pPr>
        <w:pStyle w:val="Naslov6"/>
      </w:pPr>
      <w:r>
        <w:t>A857001 ADMINISTRACIJA I UPRAVLJANJE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rsidRPr="00A5008D">
        <w:trPr>
          <w:jc w:val="center"/>
        </w:trPr>
        <w:tc>
          <w:tcPr>
            <w:tcW w:w="1486" w:type="dxa"/>
            <w:shd w:val="clear" w:color="auto" w:fill="B5C0D8"/>
          </w:tcPr>
          <w:p w:rsidR="00D849AA" w:rsidRPr="00A5008D" w:rsidRDefault="00EE6D95">
            <w:pPr>
              <w:pStyle w:val="CellHeader"/>
            </w:pPr>
            <w:r w:rsidRPr="00A5008D">
              <w:t>Naziv aktivnosti</w:t>
            </w:r>
          </w:p>
        </w:tc>
        <w:tc>
          <w:tcPr>
            <w:tcW w:w="1486" w:type="dxa"/>
            <w:shd w:val="clear" w:color="auto" w:fill="B5C0D8"/>
          </w:tcPr>
          <w:p w:rsidR="00D849AA" w:rsidRPr="00A5008D" w:rsidRDefault="00EE6D95">
            <w:pPr>
              <w:pStyle w:val="CellHeader"/>
            </w:pPr>
            <w:r w:rsidRPr="00A5008D">
              <w:t>Plan 2013.</w:t>
            </w:r>
          </w:p>
        </w:tc>
        <w:tc>
          <w:tcPr>
            <w:tcW w:w="1486" w:type="dxa"/>
            <w:shd w:val="clear" w:color="auto" w:fill="B5C0D8"/>
          </w:tcPr>
          <w:p w:rsidR="00D849AA" w:rsidRPr="00A5008D" w:rsidRDefault="00EE6D95">
            <w:pPr>
              <w:pStyle w:val="CellHeader"/>
            </w:pPr>
            <w:r w:rsidRPr="00A5008D">
              <w:t>Plan 2014.</w:t>
            </w:r>
          </w:p>
        </w:tc>
        <w:tc>
          <w:tcPr>
            <w:tcW w:w="1486" w:type="dxa"/>
            <w:shd w:val="clear" w:color="auto" w:fill="B5C0D8"/>
          </w:tcPr>
          <w:p w:rsidR="00D849AA" w:rsidRPr="00A5008D" w:rsidRDefault="00EE6D95">
            <w:pPr>
              <w:pStyle w:val="CellHeader"/>
            </w:pPr>
            <w:r w:rsidRPr="00A5008D">
              <w:t>Plan 2015.</w:t>
            </w:r>
          </w:p>
        </w:tc>
        <w:tc>
          <w:tcPr>
            <w:tcW w:w="1486" w:type="dxa"/>
            <w:shd w:val="clear" w:color="auto" w:fill="B5C0D8"/>
          </w:tcPr>
          <w:p w:rsidR="00D849AA" w:rsidRPr="00A5008D" w:rsidRDefault="00EE6D95">
            <w:pPr>
              <w:pStyle w:val="CellHeader"/>
            </w:pPr>
            <w:r w:rsidRPr="00A5008D">
              <w:t>Plan 2016.</w:t>
            </w:r>
          </w:p>
        </w:tc>
        <w:tc>
          <w:tcPr>
            <w:tcW w:w="1486" w:type="dxa"/>
            <w:shd w:val="clear" w:color="auto" w:fill="B5C0D8"/>
          </w:tcPr>
          <w:p w:rsidR="00D849AA" w:rsidRPr="00A5008D" w:rsidRDefault="00EE6D95">
            <w:pPr>
              <w:pStyle w:val="CellHeader"/>
            </w:pPr>
            <w:r w:rsidRPr="00A5008D">
              <w:t>Indeks 2014/2013</w:t>
            </w:r>
          </w:p>
        </w:tc>
      </w:tr>
      <w:tr w:rsidR="00D849AA" w:rsidRPr="00A5008D">
        <w:trPr>
          <w:jc w:val="center"/>
        </w:trPr>
        <w:tc>
          <w:tcPr>
            <w:tcW w:w="1486" w:type="dxa"/>
          </w:tcPr>
          <w:p w:rsidR="00D849AA" w:rsidRPr="00A5008D" w:rsidRDefault="00EE6D95">
            <w:pPr>
              <w:pStyle w:val="CellColumn"/>
            </w:pPr>
            <w:r w:rsidRPr="00A5008D">
              <w:t>A857001</w:t>
            </w:r>
          </w:p>
        </w:tc>
        <w:tc>
          <w:tcPr>
            <w:tcW w:w="1486" w:type="dxa"/>
          </w:tcPr>
          <w:p w:rsidR="00D849AA" w:rsidRPr="00A5008D" w:rsidRDefault="00EE6D95">
            <w:pPr>
              <w:rPr>
                <w:rFonts w:ascii="Arial" w:hAnsi="Arial" w:cs="Arial"/>
              </w:rPr>
            </w:pPr>
            <w:r w:rsidRPr="00A5008D">
              <w:rPr>
                <w:rFonts w:ascii="Arial" w:hAnsi="Arial" w:cs="Arial"/>
              </w:rPr>
              <w:t>5.292.899</w:t>
            </w:r>
          </w:p>
        </w:tc>
        <w:tc>
          <w:tcPr>
            <w:tcW w:w="1486" w:type="dxa"/>
          </w:tcPr>
          <w:p w:rsidR="00D849AA" w:rsidRPr="00A5008D" w:rsidRDefault="00EE6D95">
            <w:pPr>
              <w:rPr>
                <w:rFonts w:ascii="Arial" w:hAnsi="Arial" w:cs="Arial"/>
              </w:rPr>
            </w:pPr>
            <w:r w:rsidRPr="00A5008D">
              <w:rPr>
                <w:rFonts w:ascii="Arial" w:hAnsi="Arial" w:cs="Arial"/>
              </w:rPr>
              <w:t>6.106.079</w:t>
            </w:r>
          </w:p>
        </w:tc>
        <w:tc>
          <w:tcPr>
            <w:tcW w:w="1486" w:type="dxa"/>
          </w:tcPr>
          <w:p w:rsidR="00D849AA" w:rsidRPr="00A5008D" w:rsidRDefault="00EE6D95">
            <w:pPr>
              <w:rPr>
                <w:rFonts w:ascii="Arial" w:hAnsi="Arial" w:cs="Arial"/>
              </w:rPr>
            </w:pPr>
            <w:r w:rsidRPr="00A5008D">
              <w:rPr>
                <w:rFonts w:ascii="Arial" w:hAnsi="Arial" w:cs="Arial"/>
              </w:rPr>
              <w:t>6.302.647</w:t>
            </w:r>
          </w:p>
        </w:tc>
        <w:tc>
          <w:tcPr>
            <w:tcW w:w="1486" w:type="dxa"/>
          </w:tcPr>
          <w:p w:rsidR="00D849AA" w:rsidRPr="00A5008D" w:rsidRDefault="00EE6D95">
            <w:pPr>
              <w:rPr>
                <w:rFonts w:ascii="Arial" w:hAnsi="Arial" w:cs="Arial"/>
              </w:rPr>
            </w:pPr>
            <w:r w:rsidRPr="00A5008D">
              <w:rPr>
                <w:rFonts w:ascii="Arial" w:hAnsi="Arial" w:cs="Arial"/>
              </w:rPr>
              <w:t>6.474.379</w:t>
            </w:r>
          </w:p>
        </w:tc>
        <w:tc>
          <w:tcPr>
            <w:tcW w:w="1486" w:type="dxa"/>
          </w:tcPr>
          <w:p w:rsidR="00D849AA" w:rsidRPr="00A5008D" w:rsidRDefault="00EE6D95">
            <w:pPr>
              <w:rPr>
                <w:rFonts w:ascii="Arial" w:hAnsi="Arial" w:cs="Arial"/>
              </w:rPr>
            </w:pPr>
            <w:r w:rsidRPr="00A5008D">
              <w:rPr>
                <w:rFonts w:ascii="Arial" w:hAnsi="Arial" w:cs="Arial"/>
              </w:rPr>
              <w:t>115,4</w:t>
            </w:r>
          </w:p>
        </w:tc>
      </w:tr>
    </w:tbl>
    <w:p w:rsidR="00D849AA" w:rsidRPr="00A5008D" w:rsidRDefault="00D849AA">
      <w:pPr>
        <w:jc w:val="left"/>
        <w:rPr>
          <w:rFonts w:ascii="Arial" w:hAnsi="Arial" w:cs="Arial"/>
        </w:rPr>
      </w:pPr>
    </w:p>
    <w:p w:rsidR="00D849AA" w:rsidRDefault="00EE6D95">
      <w:pPr>
        <w:pStyle w:val="Normal6"/>
      </w:pPr>
      <w:r>
        <w:lastRenderedPageBreak/>
        <w:t>U okviru aktivnosti Administracija i upravljanje prijedlogom financijskog plana za razdoblje 2014 - 2016 godine predviđeni su rashodi za zaposlene te prateći materijalni i financijski rashodi neophodni za  redovnu djelatnost Državnog ureda, kao i uređenje i opremanje poslovnog prostora potrebnog za nesmetano obavljanje rada ureda.</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A5008D" w:rsidRDefault="00EE6D95">
            <w:pPr>
              <w:rPr>
                <w:rFonts w:ascii="Arial" w:hAnsi="Arial" w:cs="Arial"/>
              </w:rPr>
            </w:pPr>
            <w:r w:rsidRPr="00A5008D">
              <w:rPr>
                <w:rFonts w:ascii="Arial" w:hAnsi="Arial" w:cs="Arial"/>
              </w:rPr>
              <w:t>Pokazatelj rezultata</w:t>
            </w:r>
          </w:p>
        </w:tc>
        <w:tc>
          <w:tcPr>
            <w:tcW w:w="1114" w:type="dxa"/>
            <w:shd w:val="clear" w:color="auto" w:fill="B5C0D8"/>
          </w:tcPr>
          <w:p w:rsidR="00D849AA" w:rsidRPr="00A5008D" w:rsidRDefault="00EE6D95">
            <w:pPr>
              <w:pStyle w:val="CellHeader"/>
              <w:rPr>
                <w:szCs w:val="20"/>
              </w:rPr>
            </w:pPr>
            <w:r w:rsidRPr="00A5008D">
              <w:rPr>
                <w:szCs w:val="20"/>
              </w:rPr>
              <w:t>Jedinica</w:t>
            </w:r>
          </w:p>
        </w:tc>
        <w:tc>
          <w:tcPr>
            <w:tcW w:w="1114" w:type="dxa"/>
            <w:shd w:val="clear" w:color="auto" w:fill="B5C0D8"/>
          </w:tcPr>
          <w:p w:rsidR="00D849AA" w:rsidRPr="00A5008D" w:rsidRDefault="00EE6D95">
            <w:pPr>
              <w:pStyle w:val="CellHeader"/>
              <w:rPr>
                <w:szCs w:val="20"/>
              </w:rPr>
            </w:pPr>
            <w:r w:rsidRPr="00A5008D">
              <w:rPr>
                <w:szCs w:val="20"/>
              </w:rPr>
              <w:t>Polazna vrijednost</w:t>
            </w:r>
          </w:p>
        </w:tc>
        <w:tc>
          <w:tcPr>
            <w:tcW w:w="1486" w:type="dxa"/>
            <w:shd w:val="clear" w:color="auto" w:fill="B5C0D8"/>
          </w:tcPr>
          <w:p w:rsidR="00D849AA" w:rsidRPr="00A5008D" w:rsidRDefault="00EE6D95">
            <w:pPr>
              <w:pStyle w:val="CellHeader"/>
              <w:rPr>
                <w:szCs w:val="20"/>
              </w:rPr>
            </w:pPr>
            <w:r w:rsidRPr="00A5008D">
              <w:rPr>
                <w:szCs w:val="20"/>
              </w:rPr>
              <w:t>Ciljana vrijednost (2014.)</w:t>
            </w:r>
          </w:p>
        </w:tc>
        <w:tc>
          <w:tcPr>
            <w:tcW w:w="1486" w:type="dxa"/>
            <w:shd w:val="clear" w:color="auto" w:fill="B5C0D8"/>
          </w:tcPr>
          <w:p w:rsidR="00D849AA" w:rsidRPr="00A5008D" w:rsidRDefault="00EE6D95">
            <w:pPr>
              <w:pStyle w:val="CellHeader"/>
              <w:rPr>
                <w:szCs w:val="20"/>
              </w:rPr>
            </w:pPr>
            <w:r w:rsidRPr="00A5008D">
              <w:rPr>
                <w:szCs w:val="20"/>
              </w:rPr>
              <w:t>Ciljana vrijednost (2015.)</w:t>
            </w:r>
          </w:p>
        </w:tc>
        <w:tc>
          <w:tcPr>
            <w:tcW w:w="1486" w:type="dxa"/>
            <w:shd w:val="clear" w:color="auto" w:fill="B5C0D8"/>
          </w:tcPr>
          <w:p w:rsidR="00D849AA" w:rsidRPr="00A5008D" w:rsidRDefault="00EE6D95">
            <w:pPr>
              <w:pStyle w:val="CellHeader"/>
              <w:rPr>
                <w:szCs w:val="20"/>
              </w:rPr>
            </w:pPr>
            <w:r w:rsidRPr="00A5008D">
              <w:rPr>
                <w:szCs w:val="20"/>
              </w:rPr>
              <w:t>Ciljana vrijednost (2016.)</w:t>
            </w:r>
          </w:p>
        </w:tc>
      </w:tr>
      <w:tr w:rsidR="00D849AA">
        <w:trPr>
          <w:jc w:val="center"/>
        </w:trPr>
        <w:tc>
          <w:tcPr>
            <w:tcW w:w="2229" w:type="dxa"/>
          </w:tcPr>
          <w:p w:rsidR="00D849AA" w:rsidRPr="00A5008D" w:rsidRDefault="00EE6D95">
            <w:pPr>
              <w:pStyle w:val="CellColumn"/>
              <w:rPr>
                <w:szCs w:val="20"/>
              </w:rPr>
            </w:pPr>
            <w:r w:rsidRPr="00A5008D">
              <w:rPr>
                <w:szCs w:val="20"/>
              </w:rPr>
              <w:t>Definirani katalozi, naputci i sl. od strane tehničkih nositelja za pojedine nabavne kategorije</w:t>
            </w:r>
          </w:p>
        </w:tc>
        <w:tc>
          <w:tcPr>
            <w:tcW w:w="1114" w:type="dxa"/>
          </w:tcPr>
          <w:p w:rsidR="00D849AA" w:rsidRPr="00A5008D" w:rsidRDefault="00EE6D95">
            <w:pPr>
              <w:rPr>
                <w:rFonts w:ascii="Arial" w:hAnsi="Arial" w:cs="Arial"/>
              </w:rPr>
            </w:pPr>
            <w:r w:rsidRPr="00A5008D">
              <w:rPr>
                <w:rFonts w:ascii="Arial" w:hAnsi="Arial" w:cs="Arial"/>
              </w:rPr>
              <w:t>broj</w:t>
            </w:r>
          </w:p>
        </w:tc>
        <w:tc>
          <w:tcPr>
            <w:tcW w:w="1114" w:type="dxa"/>
          </w:tcPr>
          <w:p w:rsidR="00D849AA" w:rsidRPr="00A5008D" w:rsidRDefault="00EE6D95">
            <w:pPr>
              <w:rPr>
                <w:rFonts w:ascii="Arial" w:hAnsi="Arial" w:cs="Arial"/>
              </w:rPr>
            </w:pPr>
            <w:r w:rsidRPr="00A5008D">
              <w:rPr>
                <w:rFonts w:ascii="Arial" w:hAnsi="Arial" w:cs="Arial"/>
              </w:rPr>
              <w:t>1</w:t>
            </w:r>
          </w:p>
        </w:tc>
        <w:tc>
          <w:tcPr>
            <w:tcW w:w="1486" w:type="dxa"/>
          </w:tcPr>
          <w:p w:rsidR="00D849AA" w:rsidRPr="00A5008D" w:rsidRDefault="00EE6D95">
            <w:pPr>
              <w:rPr>
                <w:rFonts w:ascii="Arial" w:hAnsi="Arial" w:cs="Arial"/>
              </w:rPr>
            </w:pPr>
            <w:r w:rsidRPr="00A5008D">
              <w:rPr>
                <w:rFonts w:ascii="Arial" w:hAnsi="Arial" w:cs="Arial"/>
              </w:rPr>
              <w:t>4</w:t>
            </w:r>
          </w:p>
        </w:tc>
        <w:tc>
          <w:tcPr>
            <w:tcW w:w="1486" w:type="dxa"/>
          </w:tcPr>
          <w:p w:rsidR="00D849AA" w:rsidRPr="00A5008D" w:rsidRDefault="00EE6D95">
            <w:pPr>
              <w:rPr>
                <w:rFonts w:ascii="Arial" w:hAnsi="Arial" w:cs="Arial"/>
              </w:rPr>
            </w:pPr>
            <w:r w:rsidRPr="00A5008D">
              <w:rPr>
                <w:rFonts w:ascii="Arial" w:hAnsi="Arial" w:cs="Arial"/>
              </w:rPr>
              <w:t>2</w:t>
            </w:r>
          </w:p>
        </w:tc>
        <w:tc>
          <w:tcPr>
            <w:tcW w:w="1486" w:type="dxa"/>
          </w:tcPr>
          <w:p w:rsidR="00D849AA" w:rsidRPr="00A5008D" w:rsidRDefault="00EE6D95">
            <w:pPr>
              <w:rPr>
                <w:rFonts w:ascii="Arial" w:hAnsi="Arial" w:cs="Arial"/>
              </w:rPr>
            </w:pPr>
            <w:r w:rsidRPr="00A5008D">
              <w:rPr>
                <w:rFonts w:ascii="Arial" w:hAnsi="Arial" w:cs="Arial"/>
              </w:rPr>
              <w:t>1</w:t>
            </w:r>
          </w:p>
        </w:tc>
      </w:tr>
      <w:tr w:rsidR="00D849AA">
        <w:trPr>
          <w:jc w:val="center"/>
        </w:trPr>
        <w:tc>
          <w:tcPr>
            <w:tcW w:w="2229" w:type="dxa"/>
          </w:tcPr>
          <w:p w:rsidR="00D849AA" w:rsidRPr="00A5008D" w:rsidRDefault="00EE6D95">
            <w:pPr>
              <w:pStyle w:val="CellColumn"/>
              <w:rPr>
                <w:szCs w:val="20"/>
              </w:rPr>
            </w:pPr>
            <w:r w:rsidRPr="00A5008D">
              <w:rPr>
                <w:szCs w:val="20"/>
              </w:rPr>
              <w:t>Potpuno elektroničko poslovanje u svim procesima rada, od prikupljanja potreba preko provedbe samih postupka javne nabave do praćenja izvršenja ugovora</w:t>
            </w:r>
          </w:p>
        </w:tc>
        <w:tc>
          <w:tcPr>
            <w:tcW w:w="1114" w:type="dxa"/>
          </w:tcPr>
          <w:p w:rsidR="00D849AA" w:rsidRPr="00A5008D" w:rsidRDefault="00EE6D95">
            <w:pPr>
              <w:rPr>
                <w:rFonts w:ascii="Arial" w:hAnsi="Arial" w:cs="Arial"/>
              </w:rPr>
            </w:pPr>
            <w:r w:rsidRPr="00A5008D">
              <w:rPr>
                <w:rFonts w:ascii="Arial" w:hAnsi="Arial" w:cs="Arial"/>
              </w:rPr>
              <w:t>broj</w:t>
            </w:r>
          </w:p>
        </w:tc>
        <w:tc>
          <w:tcPr>
            <w:tcW w:w="1114" w:type="dxa"/>
          </w:tcPr>
          <w:p w:rsidR="00D849AA" w:rsidRPr="00A5008D" w:rsidRDefault="00EE6D95">
            <w:pPr>
              <w:rPr>
                <w:rFonts w:ascii="Arial" w:hAnsi="Arial" w:cs="Arial"/>
              </w:rPr>
            </w:pPr>
            <w:r w:rsidRPr="00A5008D">
              <w:rPr>
                <w:rFonts w:ascii="Arial" w:hAnsi="Arial" w:cs="Arial"/>
              </w:rPr>
              <w:t>0</w:t>
            </w:r>
          </w:p>
        </w:tc>
        <w:tc>
          <w:tcPr>
            <w:tcW w:w="1486" w:type="dxa"/>
          </w:tcPr>
          <w:p w:rsidR="00D849AA" w:rsidRPr="00A5008D" w:rsidRDefault="00EE6D95">
            <w:pPr>
              <w:rPr>
                <w:rFonts w:ascii="Arial" w:hAnsi="Arial" w:cs="Arial"/>
              </w:rPr>
            </w:pPr>
            <w:r w:rsidRPr="00A5008D">
              <w:rPr>
                <w:rFonts w:ascii="Arial" w:hAnsi="Arial" w:cs="Arial"/>
              </w:rPr>
              <w:t>1</w:t>
            </w:r>
          </w:p>
        </w:tc>
        <w:tc>
          <w:tcPr>
            <w:tcW w:w="1486" w:type="dxa"/>
          </w:tcPr>
          <w:p w:rsidR="00D849AA" w:rsidRPr="00A5008D" w:rsidRDefault="00EE6D95">
            <w:pPr>
              <w:rPr>
                <w:rFonts w:ascii="Arial" w:hAnsi="Arial" w:cs="Arial"/>
              </w:rPr>
            </w:pPr>
            <w:r w:rsidRPr="00A5008D">
              <w:rPr>
                <w:rFonts w:ascii="Arial" w:hAnsi="Arial" w:cs="Arial"/>
              </w:rPr>
              <w:t>1</w:t>
            </w:r>
          </w:p>
        </w:tc>
        <w:tc>
          <w:tcPr>
            <w:tcW w:w="1486" w:type="dxa"/>
          </w:tcPr>
          <w:p w:rsidR="00D849AA" w:rsidRPr="00A5008D" w:rsidRDefault="00EE6D95">
            <w:pPr>
              <w:rPr>
                <w:rFonts w:ascii="Arial" w:hAnsi="Arial" w:cs="Arial"/>
              </w:rPr>
            </w:pPr>
            <w:r w:rsidRPr="00A5008D">
              <w:rPr>
                <w:rFonts w:ascii="Arial" w:hAnsi="Arial" w:cs="Arial"/>
              </w:rPr>
              <w:t>1</w:t>
            </w:r>
          </w:p>
        </w:tc>
      </w:tr>
      <w:tr w:rsidR="00D849AA">
        <w:trPr>
          <w:jc w:val="center"/>
        </w:trPr>
        <w:tc>
          <w:tcPr>
            <w:tcW w:w="2229" w:type="dxa"/>
          </w:tcPr>
          <w:p w:rsidR="00D849AA" w:rsidRPr="00A5008D" w:rsidRDefault="00EE6D95">
            <w:pPr>
              <w:pStyle w:val="CellColumn"/>
              <w:rPr>
                <w:szCs w:val="20"/>
              </w:rPr>
            </w:pPr>
            <w:r w:rsidRPr="00A5008D">
              <w:rPr>
                <w:szCs w:val="20"/>
              </w:rPr>
              <w:t>Provođenje postupaka u kojima je kao kriterij odabira primijenjena ekonomski najpovoljnija ponuda</w:t>
            </w:r>
          </w:p>
        </w:tc>
        <w:tc>
          <w:tcPr>
            <w:tcW w:w="1114" w:type="dxa"/>
          </w:tcPr>
          <w:p w:rsidR="00D849AA" w:rsidRPr="00A5008D" w:rsidRDefault="00EE6D95">
            <w:pPr>
              <w:rPr>
                <w:rFonts w:ascii="Arial" w:hAnsi="Arial" w:cs="Arial"/>
              </w:rPr>
            </w:pPr>
            <w:r w:rsidRPr="00A5008D">
              <w:rPr>
                <w:rFonts w:ascii="Arial" w:hAnsi="Arial" w:cs="Arial"/>
              </w:rPr>
              <w:t>broj</w:t>
            </w:r>
          </w:p>
        </w:tc>
        <w:tc>
          <w:tcPr>
            <w:tcW w:w="1114" w:type="dxa"/>
          </w:tcPr>
          <w:p w:rsidR="00D849AA" w:rsidRPr="00A5008D" w:rsidRDefault="00EE6D95">
            <w:pPr>
              <w:rPr>
                <w:rFonts w:ascii="Arial" w:hAnsi="Arial" w:cs="Arial"/>
              </w:rPr>
            </w:pPr>
            <w:r w:rsidRPr="00A5008D">
              <w:rPr>
                <w:rFonts w:ascii="Arial" w:hAnsi="Arial" w:cs="Arial"/>
              </w:rPr>
              <w:t>1</w:t>
            </w:r>
          </w:p>
        </w:tc>
        <w:tc>
          <w:tcPr>
            <w:tcW w:w="1486" w:type="dxa"/>
          </w:tcPr>
          <w:p w:rsidR="00D849AA" w:rsidRPr="00A5008D" w:rsidRDefault="00EE6D95">
            <w:pPr>
              <w:rPr>
                <w:rFonts w:ascii="Arial" w:hAnsi="Arial" w:cs="Arial"/>
              </w:rPr>
            </w:pPr>
            <w:r w:rsidRPr="00A5008D">
              <w:rPr>
                <w:rFonts w:ascii="Arial" w:hAnsi="Arial" w:cs="Arial"/>
              </w:rPr>
              <w:t>3</w:t>
            </w:r>
          </w:p>
        </w:tc>
        <w:tc>
          <w:tcPr>
            <w:tcW w:w="1486" w:type="dxa"/>
          </w:tcPr>
          <w:p w:rsidR="00D849AA" w:rsidRPr="00A5008D" w:rsidRDefault="00EE6D95">
            <w:pPr>
              <w:rPr>
                <w:rFonts w:ascii="Arial" w:hAnsi="Arial" w:cs="Arial"/>
              </w:rPr>
            </w:pPr>
            <w:r w:rsidRPr="00A5008D">
              <w:rPr>
                <w:rFonts w:ascii="Arial" w:hAnsi="Arial" w:cs="Arial"/>
              </w:rPr>
              <w:t>5</w:t>
            </w:r>
          </w:p>
        </w:tc>
        <w:tc>
          <w:tcPr>
            <w:tcW w:w="1486" w:type="dxa"/>
          </w:tcPr>
          <w:p w:rsidR="00D849AA" w:rsidRPr="00A5008D" w:rsidRDefault="00EE6D95">
            <w:pPr>
              <w:rPr>
                <w:rFonts w:ascii="Arial" w:hAnsi="Arial" w:cs="Arial"/>
              </w:rPr>
            </w:pPr>
            <w:r w:rsidRPr="00A5008D">
              <w:rPr>
                <w:rFonts w:ascii="Arial" w:hAnsi="Arial" w:cs="Arial"/>
              </w:rPr>
              <w:t>2</w:t>
            </w:r>
          </w:p>
        </w:tc>
      </w:tr>
      <w:tr w:rsidR="00D849AA">
        <w:trPr>
          <w:jc w:val="center"/>
        </w:trPr>
        <w:tc>
          <w:tcPr>
            <w:tcW w:w="2229" w:type="dxa"/>
          </w:tcPr>
          <w:p w:rsidR="00D849AA" w:rsidRPr="00A5008D" w:rsidRDefault="00EE6D95">
            <w:pPr>
              <w:pStyle w:val="CellColumn"/>
              <w:rPr>
                <w:szCs w:val="20"/>
              </w:rPr>
            </w:pPr>
            <w:r w:rsidRPr="00A5008D">
              <w:rPr>
                <w:szCs w:val="20"/>
              </w:rPr>
              <w:t>Provođenje postupaka u kojima su primijenjena načela zelene (održive) javne nabave</w:t>
            </w:r>
          </w:p>
        </w:tc>
        <w:tc>
          <w:tcPr>
            <w:tcW w:w="1114" w:type="dxa"/>
          </w:tcPr>
          <w:p w:rsidR="00D849AA" w:rsidRPr="00A5008D" w:rsidRDefault="00EE6D95">
            <w:pPr>
              <w:rPr>
                <w:rFonts w:ascii="Arial" w:hAnsi="Arial" w:cs="Arial"/>
              </w:rPr>
            </w:pPr>
            <w:r w:rsidRPr="00A5008D">
              <w:rPr>
                <w:rFonts w:ascii="Arial" w:hAnsi="Arial" w:cs="Arial"/>
              </w:rPr>
              <w:t>broj</w:t>
            </w:r>
          </w:p>
        </w:tc>
        <w:tc>
          <w:tcPr>
            <w:tcW w:w="1114" w:type="dxa"/>
          </w:tcPr>
          <w:p w:rsidR="00D849AA" w:rsidRPr="00A5008D" w:rsidRDefault="00EE6D95">
            <w:pPr>
              <w:rPr>
                <w:rFonts w:ascii="Arial" w:hAnsi="Arial" w:cs="Arial"/>
              </w:rPr>
            </w:pPr>
            <w:r w:rsidRPr="00A5008D">
              <w:rPr>
                <w:rFonts w:ascii="Arial" w:hAnsi="Arial" w:cs="Arial"/>
              </w:rPr>
              <w:t>3</w:t>
            </w:r>
          </w:p>
        </w:tc>
        <w:tc>
          <w:tcPr>
            <w:tcW w:w="1486" w:type="dxa"/>
          </w:tcPr>
          <w:p w:rsidR="00D849AA" w:rsidRPr="00A5008D" w:rsidRDefault="00EE6D95">
            <w:pPr>
              <w:rPr>
                <w:rFonts w:ascii="Arial" w:hAnsi="Arial" w:cs="Arial"/>
              </w:rPr>
            </w:pPr>
            <w:r w:rsidRPr="00A5008D">
              <w:rPr>
                <w:rFonts w:ascii="Arial" w:hAnsi="Arial" w:cs="Arial"/>
              </w:rPr>
              <w:t>5</w:t>
            </w:r>
          </w:p>
        </w:tc>
        <w:tc>
          <w:tcPr>
            <w:tcW w:w="1486" w:type="dxa"/>
          </w:tcPr>
          <w:p w:rsidR="00D849AA" w:rsidRPr="00A5008D" w:rsidRDefault="00EE6D95">
            <w:pPr>
              <w:rPr>
                <w:rFonts w:ascii="Arial" w:hAnsi="Arial" w:cs="Arial"/>
              </w:rPr>
            </w:pPr>
            <w:r w:rsidRPr="00A5008D">
              <w:rPr>
                <w:rFonts w:ascii="Arial" w:hAnsi="Arial" w:cs="Arial"/>
              </w:rPr>
              <w:t>10</w:t>
            </w:r>
          </w:p>
        </w:tc>
        <w:tc>
          <w:tcPr>
            <w:tcW w:w="1486" w:type="dxa"/>
          </w:tcPr>
          <w:p w:rsidR="00D849AA" w:rsidRPr="00A5008D" w:rsidRDefault="00EE6D95">
            <w:pPr>
              <w:rPr>
                <w:rFonts w:ascii="Arial" w:hAnsi="Arial" w:cs="Arial"/>
              </w:rPr>
            </w:pPr>
            <w:r w:rsidRPr="00A5008D">
              <w:rPr>
                <w:rFonts w:ascii="Arial" w:hAnsi="Arial" w:cs="Arial"/>
              </w:rPr>
              <w:t>12</w:t>
            </w:r>
          </w:p>
        </w:tc>
      </w:tr>
      <w:tr w:rsidR="00D849AA">
        <w:trPr>
          <w:jc w:val="center"/>
        </w:trPr>
        <w:tc>
          <w:tcPr>
            <w:tcW w:w="2229" w:type="dxa"/>
          </w:tcPr>
          <w:p w:rsidR="00D849AA" w:rsidRPr="00A5008D" w:rsidRDefault="00EE6D95">
            <w:pPr>
              <w:pStyle w:val="CellColumn"/>
              <w:rPr>
                <w:szCs w:val="20"/>
              </w:rPr>
            </w:pPr>
            <w:r w:rsidRPr="00A5008D">
              <w:rPr>
                <w:szCs w:val="20"/>
              </w:rPr>
              <w:t>Dostupnost dokumentacije i izvadaka nacrta dokumentacije  na internetskoj stranici Ureda</w:t>
            </w:r>
          </w:p>
        </w:tc>
        <w:tc>
          <w:tcPr>
            <w:tcW w:w="1114" w:type="dxa"/>
          </w:tcPr>
          <w:p w:rsidR="00D849AA" w:rsidRPr="00A5008D" w:rsidRDefault="00EE6D95">
            <w:pPr>
              <w:rPr>
                <w:rFonts w:ascii="Arial" w:hAnsi="Arial" w:cs="Arial"/>
              </w:rPr>
            </w:pPr>
            <w:r w:rsidRPr="00A5008D">
              <w:rPr>
                <w:rFonts w:ascii="Arial" w:hAnsi="Arial" w:cs="Arial"/>
              </w:rPr>
              <w:t>broj</w:t>
            </w:r>
          </w:p>
        </w:tc>
        <w:tc>
          <w:tcPr>
            <w:tcW w:w="1114" w:type="dxa"/>
          </w:tcPr>
          <w:p w:rsidR="00D849AA" w:rsidRPr="00A5008D" w:rsidRDefault="00EE6D95">
            <w:pPr>
              <w:rPr>
                <w:rFonts w:ascii="Arial" w:hAnsi="Arial" w:cs="Arial"/>
              </w:rPr>
            </w:pPr>
            <w:r w:rsidRPr="00A5008D">
              <w:rPr>
                <w:rFonts w:ascii="Arial" w:hAnsi="Arial" w:cs="Arial"/>
              </w:rPr>
              <w:t>39</w:t>
            </w:r>
          </w:p>
        </w:tc>
        <w:tc>
          <w:tcPr>
            <w:tcW w:w="1486" w:type="dxa"/>
          </w:tcPr>
          <w:p w:rsidR="00D849AA" w:rsidRPr="00A5008D" w:rsidRDefault="00EE6D95">
            <w:pPr>
              <w:rPr>
                <w:rFonts w:ascii="Arial" w:hAnsi="Arial" w:cs="Arial"/>
              </w:rPr>
            </w:pPr>
            <w:r w:rsidRPr="00A5008D">
              <w:rPr>
                <w:rFonts w:ascii="Arial" w:hAnsi="Arial" w:cs="Arial"/>
              </w:rPr>
              <w:t>45</w:t>
            </w:r>
          </w:p>
        </w:tc>
        <w:tc>
          <w:tcPr>
            <w:tcW w:w="1486" w:type="dxa"/>
          </w:tcPr>
          <w:p w:rsidR="00D849AA" w:rsidRPr="00A5008D" w:rsidRDefault="00EE6D95">
            <w:pPr>
              <w:rPr>
                <w:rFonts w:ascii="Arial" w:hAnsi="Arial" w:cs="Arial"/>
              </w:rPr>
            </w:pPr>
            <w:r w:rsidRPr="00A5008D">
              <w:rPr>
                <w:rFonts w:ascii="Arial" w:hAnsi="Arial" w:cs="Arial"/>
              </w:rPr>
              <w:t>53</w:t>
            </w:r>
          </w:p>
        </w:tc>
        <w:tc>
          <w:tcPr>
            <w:tcW w:w="1486" w:type="dxa"/>
          </w:tcPr>
          <w:p w:rsidR="00D849AA" w:rsidRPr="00A5008D" w:rsidRDefault="00EE6D95">
            <w:pPr>
              <w:rPr>
                <w:rFonts w:ascii="Arial" w:hAnsi="Arial" w:cs="Arial"/>
              </w:rPr>
            </w:pPr>
            <w:r w:rsidRPr="00A5008D">
              <w:rPr>
                <w:rFonts w:ascii="Arial" w:hAnsi="Arial" w:cs="Arial"/>
              </w:rPr>
              <w:t>60</w:t>
            </w:r>
          </w:p>
        </w:tc>
      </w:tr>
      <w:tr w:rsidR="00D849AA">
        <w:trPr>
          <w:jc w:val="center"/>
        </w:trPr>
        <w:tc>
          <w:tcPr>
            <w:tcW w:w="2229" w:type="dxa"/>
          </w:tcPr>
          <w:p w:rsidR="00D849AA" w:rsidRPr="00A5008D" w:rsidRDefault="00EE6D95">
            <w:pPr>
              <w:pStyle w:val="CellColumn"/>
              <w:rPr>
                <w:szCs w:val="20"/>
              </w:rPr>
            </w:pPr>
            <w:r w:rsidRPr="00A5008D">
              <w:rPr>
                <w:szCs w:val="20"/>
              </w:rPr>
              <w:t>Održavanje tehničkih konzultacija</w:t>
            </w:r>
          </w:p>
        </w:tc>
        <w:tc>
          <w:tcPr>
            <w:tcW w:w="1114" w:type="dxa"/>
          </w:tcPr>
          <w:p w:rsidR="00D849AA" w:rsidRPr="00A5008D" w:rsidRDefault="00EE6D95">
            <w:pPr>
              <w:rPr>
                <w:rFonts w:ascii="Arial" w:hAnsi="Arial" w:cs="Arial"/>
              </w:rPr>
            </w:pPr>
            <w:r w:rsidRPr="00A5008D">
              <w:rPr>
                <w:rFonts w:ascii="Arial" w:hAnsi="Arial" w:cs="Arial"/>
              </w:rPr>
              <w:t>broj</w:t>
            </w:r>
          </w:p>
        </w:tc>
        <w:tc>
          <w:tcPr>
            <w:tcW w:w="1114" w:type="dxa"/>
          </w:tcPr>
          <w:p w:rsidR="00D849AA" w:rsidRPr="00A5008D" w:rsidRDefault="00EE6D95">
            <w:pPr>
              <w:rPr>
                <w:rFonts w:ascii="Arial" w:hAnsi="Arial" w:cs="Arial"/>
              </w:rPr>
            </w:pPr>
            <w:r w:rsidRPr="00A5008D">
              <w:rPr>
                <w:rFonts w:ascii="Arial" w:hAnsi="Arial" w:cs="Arial"/>
              </w:rPr>
              <w:t>5</w:t>
            </w:r>
          </w:p>
        </w:tc>
        <w:tc>
          <w:tcPr>
            <w:tcW w:w="1486" w:type="dxa"/>
          </w:tcPr>
          <w:p w:rsidR="00D849AA" w:rsidRPr="00A5008D" w:rsidRDefault="00EE6D95">
            <w:pPr>
              <w:rPr>
                <w:rFonts w:ascii="Arial" w:hAnsi="Arial" w:cs="Arial"/>
              </w:rPr>
            </w:pPr>
            <w:r w:rsidRPr="00A5008D">
              <w:rPr>
                <w:rFonts w:ascii="Arial" w:hAnsi="Arial" w:cs="Arial"/>
              </w:rPr>
              <w:t>10</w:t>
            </w:r>
          </w:p>
        </w:tc>
        <w:tc>
          <w:tcPr>
            <w:tcW w:w="1486" w:type="dxa"/>
          </w:tcPr>
          <w:p w:rsidR="00D849AA" w:rsidRPr="00A5008D" w:rsidRDefault="00EE6D95">
            <w:pPr>
              <w:rPr>
                <w:rFonts w:ascii="Arial" w:hAnsi="Arial" w:cs="Arial"/>
              </w:rPr>
            </w:pPr>
            <w:r w:rsidRPr="00A5008D">
              <w:rPr>
                <w:rFonts w:ascii="Arial" w:hAnsi="Arial" w:cs="Arial"/>
              </w:rPr>
              <w:t>12</w:t>
            </w:r>
          </w:p>
        </w:tc>
        <w:tc>
          <w:tcPr>
            <w:tcW w:w="1486" w:type="dxa"/>
          </w:tcPr>
          <w:p w:rsidR="00D849AA" w:rsidRPr="00A5008D" w:rsidRDefault="00EE6D95">
            <w:pPr>
              <w:rPr>
                <w:rFonts w:ascii="Arial" w:hAnsi="Arial" w:cs="Arial"/>
              </w:rPr>
            </w:pPr>
            <w:r w:rsidRPr="00A5008D">
              <w:rPr>
                <w:rFonts w:ascii="Arial" w:hAnsi="Arial" w:cs="Arial"/>
              </w:rPr>
              <w:t>15</w:t>
            </w:r>
          </w:p>
        </w:tc>
      </w:tr>
      <w:tr w:rsidR="00D849AA">
        <w:trPr>
          <w:jc w:val="center"/>
        </w:trPr>
        <w:tc>
          <w:tcPr>
            <w:tcW w:w="2229" w:type="dxa"/>
          </w:tcPr>
          <w:p w:rsidR="00D849AA" w:rsidRPr="00A5008D" w:rsidRDefault="00EE6D95">
            <w:pPr>
              <w:pStyle w:val="CellColumn"/>
              <w:rPr>
                <w:szCs w:val="20"/>
              </w:rPr>
            </w:pPr>
            <w:r w:rsidRPr="00A5008D">
              <w:rPr>
                <w:szCs w:val="20"/>
              </w:rPr>
              <w:t>Dijeljenje predmeta nabave po grupama (granama gospodarstva, strukovnim područjima, vrsti, količini i mjestu isporuke)</w:t>
            </w:r>
          </w:p>
        </w:tc>
        <w:tc>
          <w:tcPr>
            <w:tcW w:w="1114" w:type="dxa"/>
          </w:tcPr>
          <w:p w:rsidR="00D849AA" w:rsidRPr="00A5008D" w:rsidRDefault="00EE6D95">
            <w:pPr>
              <w:rPr>
                <w:rFonts w:ascii="Arial" w:hAnsi="Arial" w:cs="Arial"/>
              </w:rPr>
            </w:pPr>
            <w:r w:rsidRPr="00A5008D">
              <w:rPr>
                <w:rFonts w:ascii="Arial" w:hAnsi="Arial" w:cs="Arial"/>
              </w:rPr>
              <w:t>broj</w:t>
            </w:r>
          </w:p>
        </w:tc>
        <w:tc>
          <w:tcPr>
            <w:tcW w:w="1114" w:type="dxa"/>
          </w:tcPr>
          <w:p w:rsidR="00D849AA" w:rsidRPr="00A5008D" w:rsidRDefault="00EE6D95">
            <w:pPr>
              <w:rPr>
                <w:rFonts w:ascii="Arial" w:hAnsi="Arial" w:cs="Arial"/>
              </w:rPr>
            </w:pPr>
            <w:r w:rsidRPr="00A5008D">
              <w:rPr>
                <w:rFonts w:ascii="Arial" w:hAnsi="Arial" w:cs="Arial"/>
              </w:rPr>
              <w:t>5</w:t>
            </w:r>
          </w:p>
        </w:tc>
        <w:tc>
          <w:tcPr>
            <w:tcW w:w="1486" w:type="dxa"/>
          </w:tcPr>
          <w:p w:rsidR="00D849AA" w:rsidRPr="00A5008D" w:rsidRDefault="00EE6D95">
            <w:pPr>
              <w:rPr>
                <w:rFonts w:ascii="Arial" w:hAnsi="Arial" w:cs="Arial"/>
              </w:rPr>
            </w:pPr>
            <w:r w:rsidRPr="00A5008D">
              <w:rPr>
                <w:rFonts w:ascii="Arial" w:hAnsi="Arial" w:cs="Arial"/>
              </w:rPr>
              <w:t>20</w:t>
            </w:r>
          </w:p>
        </w:tc>
        <w:tc>
          <w:tcPr>
            <w:tcW w:w="1486" w:type="dxa"/>
          </w:tcPr>
          <w:p w:rsidR="00D849AA" w:rsidRPr="00A5008D" w:rsidRDefault="00EE6D95">
            <w:pPr>
              <w:rPr>
                <w:rFonts w:ascii="Arial" w:hAnsi="Arial" w:cs="Arial"/>
              </w:rPr>
            </w:pPr>
            <w:r w:rsidRPr="00A5008D">
              <w:rPr>
                <w:rFonts w:ascii="Arial" w:hAnsi="Arial" w:cs="Arial"/>
              </w:rPr>
              <w:t>27</w:t>
            </w:r>
          </w:p>
        </w:tc>
        <w:tc>
          <w:tcPr>
            <w:tcW w:w="1486" w:type="dxa"/>
          </w:tcPr>
          <w:p w:rsidR="00D849AA" w:rsidRPr="00A5008D" w:rsidRDefault="00EE6D95">
            <w:pPr>
              <w:rPr>
                <w:rFonts w:ascii="Arial" w:hAnsi="Arial" w:cs="Arial"/>
              </w:rPr>
            </w:pPr>
            <w:r w:rsidRPr="00A5008D">
              <w:rPr>
                <w:rFonts w:ascii="Arial" w:hAnsi="Arial" w:cs="Arial"/>
              </w:rPr>
              <w:t>30</w:t>
            </w:r>
          </w:p>
        </w:tc>
      </w:tr>
      <w:tr w:rsidR="00D849AA">
        <w:trPr>
          <w:jc w:val="center"/>
        </w:trPr>
        <w:tc>
          <w:tcPr>
            <w:tcW w:w="2229" w:type="dxa"/>
          </w:tcPr>
          <w:p w:rsidR="00D849AA" w:rsidRPr="00A5008D" w:rsidRDefault="00EE6D95">
            <w:pPr>
              <w:pStyle w:val="CellColumn"/>
              <w:rPr>
                <w:szCs w:val="20"/>
              </w:rPr>
            </w:pPr>
            <w:r w:rsidRPr="00A5008D">
              <w:rPr>
                <w:szCs w:val="20"/>
              </w:rPr>
              <w:t xml:space="preserve">Broj certifikata iz </w:t>
            </w:r>
            <w:r w:rsidRPr="00A5008D">
              <w:rPr>
                <w:szCs w:val="20"/>
              </w:rPr>
              <w:lastRenderedPageBreak/>
              <w:t>područja javne nabave</w:t>
            </w:r>
          </w:p>
        </w:tc>
        <w:tc>
          <w:tcPr>
            <w:tcW w:w="1114" w:type="dxa"/>
          </w:tcPr>
          <w:p w:rsidR="00D849AA" w:rsidRPr="00A5008D" w:rsidRDefault="00EE6D95">
            <w:pPr>
              <w:rPr>
                <w:rFonts w:ascii="Arial" w:hAnsi="Arial" w:cs="Arial"/>
              </w:rPr>
            </w:pPr>
            <w:r w:rsidRPr="00A5008D">
              <w:rPr>
                <w:rFonts w:ascii="Arial" w:hAnsi="Arial" w:cs="Arial"/>
              </w:rPr>
              <w:lastRenderedPageBreak/>
              <w:t>broj</w:t>
            </w:r>
          </w:p>
        </w:tc>
        <w:tc>
          <w:tcPr>
            <w:tcW w:w="1114" w:type="dxa"/>
          </w:tcPr>
          <w:p w:rsidR="00D849AA" w:rsidRPr="00A5008D" w:rsidRDefault="00EE6D95">
            <w:pPr>
              <w:rPr>
                <w:rFonts w:ascii="Arial" w:hAnsi="Arial" w:cs="Arial"/>
              </w:rPr>
            </w:pPr>
            <w:r w:rsidRPr="00A5008D">
              <w:rPr>
                <w:rFonts w:ascii="Arial" w:hAnsi="Arial" w:cs="Arial"/>
              </w:rPr>
              <w:t>16</w:t>
            </w:r>
          </w:p>
        </w:tc>
        <w:tc>
          <w:tcPr>
            <w:tcW w:w="1486" w:type="dxa"/>
          </w:tcPr>
          <w:p w:rsidR="00D849AA" w:rsidRPr="00A5008D" w:rsidRDefault="00EE6D95">
            <w:pPr>
              <w:rPr>
                <w:rFonts w:ascii="Arial" w:hAnsi="Arial" w:cs="Arial"/>
              </w:rPr>
            </w:pPr>
            <w:r w:rsidRPr="00A5008D">
              <w:rPr>
                <w:rFonts w:ascii="Arial" w:hAnsi="Arial" w:cs="Arial"/>
              </w:rPr>
              <w:t>20</w:t>
            </w:r>
          </w:p>
        </w:tc>
        <w:tc>
          <w:tcPr>
            <w:tcW w:w="1486" w:type="dxa"/>
          </w:tcPr>
          <w:p w:rsidR="00D849AA" w:rsidRPr="00A5008D" w:rsidRDefault="00EE6D95">
            <w:pPr>
              <w:rPr>
                <w:rFonts w:ascii="Arial" w:hAnsi="Arial" w:cs="Arial"/>
              </w:rPr>
            </w:pPr>
            <w:r w:rsidRPr="00A5008D">
              <w:rPr>
                <w:rFonts w:ascii="Arial" w:hAnsi="Arial" w:cs="Arial"/>
              </w:rPr>
              <w:t>25</w:t>
            </w:r>
          </w:p>
        </w:tc>
        <w:tc>
          <w:tcPr>
            <w:tcW w:w="1486" w:type="dxa"/>
          </w:tcPr>
          <w:p w:rsidR="00D849AA" w:rsidRPr="00A5008D" w:rsidRDefault="00EE6D95">
            <w:pPr>
              <w:rPr>
                <w:rFonts w:ascii="Arial" w:hAnsi="Arial" w:cs="Arial"/>
              </w:rPr>
            </w:pPr>
            <w:r w:rsidRPr="00A5008D">
              <w:rPr>
                <w:rFonts w:ascii="Arial" w:hAnsi="Arial" w:cs="Arial"/>
              </w:rPr>
              <w:t>35</w:t>
            </w:r>
          </w:p>
        </w:tc>
      </w:tr>
      <w:tr w:rsidR="00D849AA">
        <w:trPr>
          <w:jc w:val="center"/>
        </w:trPr>
        <w:tc>
          <w:tcPr>
            <w:tcW w:w="2229" w:type="dxa"/>
          </w:tcPr>
          <w:p w:rsidR="00D849AA" w:rsidRPr="00A5008D" w:rsidRDefault="00EE6D95">
            <w:pPr>
              <w:pStyle w:val="CellColumn"/>
              <w:rPr>
                <w:szCs w:val="20"/>
              </w:rPr>
            </w:pPr>
            <w:r w:rsidRPr="00A5008D">
              <w:rPr>
                <w:szCs w:val="20"/>
              </w:rPr>
              <w:lastRenderedPageBreak/>
              <w:t>Broj potvrda o pohađanju programa redovitog usavršavanja</w:t>
            </w:r>
          </w:p>
        </w:tc>
        <w:tc>
          <w:tcPr>
            <w:tcW w:w="1114" w:type="dxa"/>
          </w:tcPr>
          <w:p w:rsidR="00D849AA" w:rsidRPr="00A5008D" w:rsidRDefault="00EE6D95">
            <w:pPr>
              <w:rPr>
                <w:rFonts w:ascii="Arial" w:hAnsi="Arial" w:cs="Arial"/>
              </w:rPr>
            </w:pPr>
            <w:r w:rsidRPr="00A5008D">
              <w:rPr>
                <w:rFonts w:ascii="Arial" w:hAnsi="Arial" w:cs="Arial"/>
              </w:rPr>
              <w:t>broj</w:t>
            </w:r>
          </w:p>
        </w:tc>
        <w:tc>
          <w:tcPr>
            <w:tcW w:w="1114" w:type="dxa"/>
          </w:tcPr>
          <w:p w:rsidR="00D849AA" w:rsidRPr="00A5008D" w:rsidRDefault="00EE6D95">
            <w:pPr>
              <w:rPr>
                <w:rFonts w:ascii="Arial" w:hAnsi="Arial" w:cs="Arial"/>
              </w:rPr>
            </w:pPr>
            <w:r w:rsidRPr="00A5008D">
              <w:rPr>
                <w:rFonts w:ascii="Arial" w:hAnsi="Arial" w:cs="Arial"/>
              </w:rPr>
              <w:t>17</w:t>
            </w:r>
          </w:p>
        </w:tc>
        <w:tc>
          <w:tcPr>
            <w:tcW w:w="1486" w:type="dxa"/>
          </w:tcPr>
          <w:p w:rsidR="00D849AA" w:rsidRPr="00A5008D" w:rsidRDefault="00EE6D95">
            <w:pPr>
              <w:rPr>
                <w:rFonts w:ascii="Arial" w:hAnsi="Arial" w:cs="Arial"/>
              </w:rPr>
            </w:pPr>
            <w:r w:rsidRPr="00A5008D">
              <w:rPr>
                <w:rFonts w:ascii="Arial" w:hAnsi="Arial" w:cs="Arial"/>
              </w:rPr>
              <w:t>20</w:t>
            </w:r>
          </w:p>
        </w:tc>
        <w:tc>
          <w:tcPr>
            <w:tcW w:w="1486" w:type="dxa"/>
          </w:tcPr>
          <w:p w:rsidR="00D849AA" w:rsidRPr="00A5008D" w:rsidRDefault="00EE6D95">
            <w:pPr>
              <w:rPr>
                <w:rFonts w:ascii="Arial" w:hAnsi="Arial" w:cs="Arial"/>
              </w:rPr>
            </w:pPr>
            <w:r w:rsidRPr="00A5008D">
              <w:rPr>
                <w:rFonts w:ascii="Arial" w:hAnsi="Arial" w:cs="Arial"/>
              </w:rPr>
              <w:t>25</w:t>
            </w:r>
          </w:p>
        </w:tc>
        <w:tc>
          <w:tcPr>
            <w:tcW w:w="1486" w:type="dxa"/>
          </w:tcPr>
          <w:p w:rsidR="00D849AA" w:rsidRPr="00A5008D" w:rsidRDefault="00EE6D95">
            <w:pPr>
              <w:rPr>
                <w:rFonts w:ascii="Arial" w:hAnsi="Arial" w:cs="Arial"/>
              </w:rPr>
            </w:pPr>
            <w:r w:rsidRPr="00A5008D">
              <w:rPr>
                <w:rFonts w:ascii="Arial" w:hAnsi="Arial" w:cs="Arial"/>
              </w:rPr>
              <w:t>35</w:t>
            </w:r>
          </w:p>
        </w:tc>
      </w:tr>
      <w:tr w:rsidR="00D849AA">
        <w:trPr>
          <w:jc w:val="center"/>
        </w:trPr>
        <w:tc>
          <w:tcPr>
            <w:tcW w:w="2229" w:type="dxa"/>
          </w:tcPr>
          <w:p w:rsidR="00D849AA" w:rsidRPr="00A5008D" w:rsidRDefault="00EE6D95">
            <w:pPr>
              <w:pStyle w:val="CellColumn"/>
              <w:rPr>
                <w:szCs w:val="20"/>
              </w:rPr>
            </w:pPr>
            <w:r w:rsidRPr="00A5008D">
              <w:rPr>
                <w:szCs w:val="20"/>
              </w:rPr>
              <w:t>Broj dostavljenih e-ponuda</w:t>
            </w:r>
          </w:p>
        </w:tc>
        <w:tc>
          <w:tcPr>
            <w:tcW w:w="1114" w:type="dxa"/>
          </w:tcPr>
          <w:p w:rsidR="00D849AA" w:rsidRPr="00A5008D" w:rsidRDefault="00EE6D95">
            <w:pPr>
              <w:rPr>
                <w:rFonts w:ascii="Arial" w:hAnsi="Arial" w:cs="Arial"/>
              </w:rPr>
            </w:pPr>
            <w:r w:rsidRPr="00A5008D">
              <w:rPr>
                <w:rFonts w:ascii="Arial" w:hAnsi="Arial" w:cs="Arial"/>
              </w:rPr>
              <w:t>broj</w:t>
            </w:r>
          </w:p>
        </w:tc>
        <w:tc>
          <w:tcPr>
            <w:tcW w:w="1114" w:type="dxa"/>
          </w:tcPr>
          <w:p w:rsidR="00D849AA" w:rsidRPr="00A5008D" w:rsidRDefault="00EE6D95">
            <w:pPr>
              <w:rPr>
                <w:rFonts w:ascii="Arial" w:hAnsi="Arial" w:cs="Arial"/>
              </w:rPr>
            </w:pPr>
            <w:r w:rsidRPr="00A5008D">
              <w:rPr>
                <w:rFonts w:ascii="Arial" w:hAnsi="Arial" w:cs="Arial"/>
              </w:rPr>
              <w:t>0</w:t>
            </w:r>
          </w:p>
        </w:tc>
        <w:tc>
          <w:tcPr>
            <w:tcW w:w="1486" w:type="dxa"/>
          </w:tcPr>
          <w:p w:rsidR="00D849AA" w:rsidRPr="00A5008D" w:rsidRDefault="00EE6D95">
            <w:pPr>
              <w:rPr>
                <w:rFonts w:ascii="Arial" w:hAnsi="Arial" w:cs="Arial"/>
              </w:rPr>
            </w:pPr>
            <w:r w:rsidRPr="00A5008D">
              <w:rPr>
                <w:rFonts w:ascii="Arial" w:hAnsi="Arial" w:cs="Arial"/>
              </w:rPr>
              <w:t>25</w:t>
            </w:r>
          </w:p>
        </w:tc>
        <w:tc>
          <w:tcPr>
            <w:tcW w:w="1486" w:type="dxa"/>
          </w:tcPr>
          <w:p w:rsidR="00D849AA" w:rsidRPr="00A5008D" w:rsidRDefault="00EE6D95">
            <w:pPr>
              <w:rPr>
                <w:rFonts w:ascii="Arial" w:hAnsi="Arial" w:cs="Arial"/>
              </w:rPr>
            </w:pPr>
            <w:r w:rsidRPr="00A5008D">
              <w:rPr>
                <w:rFonts w:ascii="Arial" w:hAnsi="Arial" w:cs="Arial"/>
              </w:rPr>
              <w:t>40</w:t>
            </w:r>
          </w:p>
        </w:tc>
        <w:tc>
          <w:tcPr>
            <w:tcW w:w="1486" w:type="dxa"/>
          </w:tcPr>
          <w:p w:rsidR="00D849AA" w:rsidRPr="00A5008D" w:rsidRDefault="00EE6D95">
            <w:pPr>
              <w:rPr>
                <w:rFonts w:ascii="Arial" w:hAnsi="Arial" w:cs="Arial"/>
              </w:rPr>
            </w:pPr>
            <w:r w:rsidRPr="00A5008D">
              <w:rPr>
                <w:rFonts w:ascii="Arial" w:hAnsi="Arial" w:cs="Arial"/>
              </w:rPr>
              <w:t>60</w:t>
            </w:r>
          </w:p>
        </w:tc>
      </w:tr>
    </w:tbl>
    <w:p w:rsidR="00D849AA" w:rsidRDefault="00D849AA">
      <w:pPr>
        <w:jc w:val="left"/>
      </w:pPr>
    </w:p>
    <w:p w:rsidR="00D849AA" w:rsidRDefault="00EE6D95">
      <w:pPr>
        <w:pStyle w:val="Naslov6"/>
      </w:pPr>
      <w:r>
        <w:t>K857002 INFORMATIZACIJA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A5008D" w:rsidRDefault="00EE6D95">
            <w:pPr>
              <w:pStyle w:val="CellHeader"/>
            </w:pPr>
            <w:r w:rsidRPr="00A5008D">
              <w:t>Naziv aktivnosti</w:t>
            </w:r>
          </w:p>
        </w:tc>
        <w:tc>
          <w:tcPr>
            <w:tcW w:w="1486" w:type="dxa"/>
            <w:shd w:val="clear" w:color="auto" w:fill="B5C0D8"/>
          </w:tcPr>
          <w:p w:rsidR="00D849AA" w:rsidRPr="00A5008D" w:rsidRDefault="00EE6D95">
            <w:pPr>
              <w:pStyle w:val="CellHeader"/>
            </w:pPr>
            <w:r w:rsidRPr="00A5008D">
              <w:t>Plan 2013.</w:t>
            </w:r>
          </w:p>
        </w:tc>
        <w:tc>
          <w:tcPr>
            <w:tcW w:w="1486" w:type="dxa"/>
            <w:shd w:val="clear" w:color="auto" w:fill="B5C0D8"/>
          </w:tcPr>
          <w:p w:rsidR="00D849AA" w:rsidRPr="00A5008D" w:rsidRDefault="00EE6D95">
            <w:pPr>
              <w:pStyle w:val="CellHeader"/>
            </w:pPr>
            <w:r w:rsidRPr="00A5008D">
              <w:t>Plan 2014.</w:t>
            </w:r>
          </w:p>
        </w:tc>
        <w:tc>
          <w:tcPr>
            <w:tcW w:w="1486" w:type="dxa"/>
            <w:shd w:val="clear" w:color="auto" w:fill="B5C0D8"/>
          </w:tcPr>
          <w:p w:rsidR="00D849AA" w:rsidRPr="00A5008D" w:rsidRDefault="00EE6D95">
            <w:pPr>
              <w:pStyle w:val="CellHeader"/>
            </w:pPr>
            <w:r w:rsidRPr="00A5008D">
              <w:t>Plan 2015.</w:t>
            </w:r>
          </w:p>
        </w:tc>
        <w:tc>
          <w:tcPr>
            <w:tcW w:w="1486" w:type="dxa"/>
            <w:shd w:val="clear" w:color="auto" w:fill="B5C0D8"/>
          </w:tcPr>
          <w:p w:rsidR="00D849AA" w:rsidRPr="00A5008D" w:rsidRDefault="00EE6D95">
            <w:pPr>
              <w:pStyle w:val="CellHeader"/>
            </w:pPr>
            <w:r w:rsidRPr="00A5008D">
              <w:t>Plan 2016.</w:t>
            </w:r>
          </w:p>
        </w:tc>
        <w:tc>
          <w:tcPr>
            <w:tcW w:w="1486" w:type="dxa"/>
            <w:shd w:val="clear" w:color="auto" w:fill="B5C0D8"/>
          </w:tcPr>
          <w:p w:rsidR="00D849AA" w:rsidRPr="00A5008D" w:rsidRDefault="00EE6D95">
            <w:pPr>
              <w:pStyle w:val="CellHeader"/>
            </w:pPr>
            <w:r w:rsidRPr="00A5008D">
              <w:t>Indeks 2014/2013</w:t>
            </w:r>
          </w:p>
        </w:tc>
      </w:tr>
      <w:tr w:rsidR="00D849AA">
        <w:trPr>
          <w:jc w:val="center"/>
        </w:trPr>
        <w:tc>
          <w:tcPr>
            <w:tcW w:w="1486" w:type="dxa"/>
          </w:tcPr>
          <w:p w:rsidR="00D849AA" w:rsidRPr="00A5008D" w:rsidRDefault="00EE6D95">
            <w:pPr>
              <w:pStyle w:val="CellColumn"/>
            </w:pPr>
            <w:r w:rsidRPr="00A5008D">
              <w:t>K857002</w:t>
            </w:r>
          </w:p>
        </w:tc>
        <w:tc>
          <w:tcPr>
            <w:tcW w:w="1486" w:type="dxa"/>
          </w:tcPr>
          <w:p w:rsidR="00D849AA" w:rsidRPr="00A5008D" w:rsidRDefault="00EE6D95">
            <w:pPr>
              <w:rPr>
                <w:rFonts w:ascii="Arial" w:hAnsi="Arial" w:cs="Arial"/>
              </w:rPr>
            </w:pPr>
            <w:r w:rsidRPr="00A5008D">
              <w:rPr>
                <w:rFonts w:ascii="Arial" w:hAnsi="Arial" w:cs="Arial"/>
              </w:rPr>
              <w:t>100.000</w:t>
            </w:r>
          </w:p>
        </w:tc>
        <w:tc>
          <w:tcPr>
            <w:tcW w:w="1486" w:type="dxa"/>
          </w:tcPr>
          <w:p w:rsidR="00D849AA" w:rsidRPr="00A5008D" w:rsidRDefault="00EE6D95">
            <w:pPr>
              <w:rPr>
                <w:rFonts w:ascii="Arial" w:hAnsi="Arial" w:cs="Arial"/>
              </w:rPr>
            </w:pPr>
            <w:r w:rsidRPr="00A5008D">
              <w:rPr>
                <w:rFonts w:ascii="Arial" w:hAnsi="Arial" w:cs="Arial"/>
              </w:rPr>
              <w:t>228.000</w:t>
            </w:r>
          </w:p>
        </w:tc>
        <w:tc>
          <w:tcPr>
            <w:tcW w:w="1486" w:type="dxa"/>
          </w:tcPr>
          <w:p w:rsidR="00D849AA" w:rsidRPr="00A5008D" w:rsidRDefault="00EE6D95">
            <w:pPr>
              <w:rPr>
                <w:rFonts w:ascii="Arial" w:hAnsi="Arial" w:cs="Arial"/>
              </w:rPr>
            </w:pPr>
            <w:r w:rsidRPr="00A5008D">
              <w:rPr>
                <w:rFonts w:ascii="Arial" w:hAnsi="Arial" w:cs="Arial"/>
              </w:rPr>
              <w:t>180.000</w:t>
            </w:r>
          </w:p>
        </w:tc>
        <w:tc>
          <w:tcPr>
            <w:tcW w:w="1486" w:type="dxa"/>
          </w:tcPr>
          <w:p w:rsidR="00D849AA" w:rsidRPr="00A5008D" w:rsidRDefault="00EE6D95">
            <w:pPr>
              <w:rPr>
                <w:rFonts w:ascii="Arial" w:hAnsi="Arial" w:cs="Arial"/>
              </w:rPr>
            </w:pPr>
            <w:r w:rsidRPr="00A5008D">
              <w:rPr>
                <w:rFonts w:ascii="Arial" w:hAnsi="Arial" w:cs="Arial"/>
              </w:rPr>
              <w:t>180.000</w:t>
            </w:r>
          </w:p>
        </w:tc>
        <w:tc>
          <w:tcPr>
            <w:tcW w:w="1486" w:type="dxa"/>
          </w:tcPr>
          <w:p w:rsidR="00D849AA" w:rsidRPr="00A5008D" w:rsidRDefault="00EE6D95">
            <w:pPr>
              <w:rPr>
                <w:rFonts w:ascii="Arial" w:hAnsi="Arial" w:cs="Arial"/>
              </w:rPr>
            </w:pPr>
            <w:r w:rsidRPr="00A5008D">
              <w:rPr>
                <w:rFonts w:ascii="Arial" w:hAnsi="Arial" w:cs="Arial"/>
              </w:rPr>
              <w:t>228,0</w:t>
            </w:r>
          </w:p>
        </w:tc>
      </w:tr>
    </w:tbl>
    <w:p w:rsidR="00D849AA" w:rsidRDefault="00D849AA">
      <w:pPr>
        <w:jc w:val="left"/>
      </w:pPr>
    </w:p>
    <w:p w:rsidR="00D849AA" w:rsidRDefault="00EE6D95">
      <w:pPr>
        <w:pStyle w:val="Normal6"/>
      </w:pPr>
      <w:r>
        <w:t>U okviru projekta Informatizacija financijskog plana za razdoblje 2014 - 2016 godine predviđeni su rashodi za računala i računalnih licenci.</w:t>
      </w:r>
    </w:p>
    <w:p w:rsidR="00D849AA" w:rsidRDefault="00EE6D95">
      <w:pPr>
        <w:pStyle w:val="Naslov6"/>
      </w:pPr>
      <w:r>
        <w:t>K857004 INTEGRALNI INFORMATIČKI SUSTAV JAVNE NABAVE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A5008D" w:rsidRDefault="00EE6D95">
            <w:pPr>
              <w:pStyle w:val="CellHeader"/>
            </w:pPr>
            <w:r w:rsidRPr="00A5008D">
              <w:t>Naziv aktivnosti</w:t>
            </w:r>
          </w:p>
        </w:tc>
        <w:tc>
          <w:tcPr>
            <w:tcW w:w="1486" w:type="dxa"/>
            <w:shd w:val="clear" w:color="auto" w:fill="B5C0D8"/>
          </w:tcPr>
          <w:p w:rsidR="00D849AA" w:rsidRPr="00A5008D" w:rsidRDefault="00EE6D95">
            <w:pPr>
              <w:pStyle w:val="CellHeader"/>
            </w:pPr>
            <w:r w:rsidRPr="00A5008D">
              <w:t>Plan 2013.</w:t>
            </w:r>
          </w:p>
        </w:tc>
        <w:tc>
          <w:tcPr>
            <w:tcW w:w="1486" w:type="dxa"/>
            <w:shd w:val="clear" w:color="auto" w:fill="B5C0D8"/>
          </w:tcPr>
          <w:p w:rsidR="00D849AA" w:rsidRPr="00A5008D" w:rsidRDefault="00EE6D95">
            <w:pPr>
              <w:pStyle w:val="CellHeader"/>
            </w:pPr>
            <w:r w:rsidRPr="00A5008D">
              <w:t>Plan 2014.</w:t>
            </w:r>
          </w:p>
        </w:tc>
        <w:tc>
          <w:tcPr>
            <w:tcW w:w="1486" w:type="dxa"/>
            <w:shd w:val="clear" w:color="auto" w:fill="B5C0D8"/>
          </w:tcPr>
          <w:p w:rsidR="00D849AA" w:rsidRPr="00A5008D" w:rsidRDefault="00EE6D95">
            <w:pPr>
              <w:pStyle w:val="CellHeader"/>
            </w:pPr>
            <w:r w:rsidRPr="00A5008D">
              <w:t>Plan 2015.</w:t>
            </w:r>
          </w:p>
        </w:tc>
        <w:tc>
          <w:tcPr>
            <w:tcW w:w="1486" w:type="dxa"/>
            <w:shd w:val="clear" w:color="auto" w:fill="B5C0D8"/>
          </w:tcPr>
          <w:p w:rsidR="00D849AA" w:rsidRPr="00A5008D" w:rsidRDefault="00EE6D95">
            <w:pPr>
              <w:pStyle w:val="CellHeader"/>
            </w:pPr>
            <w:r w:rsidRPr="00A5008D">
              <w:t>Plan 2016.</w:t>
            </w:r>
          </w:p>
        </w:tc>
        <w:tc>
          <w:tcPr>
            <w:tcW w:w="1486" w:type="dxa"/>
            <w:shd w:val="clear" w:color="auto" w:fill="B5C0D8"/>
          </w:tcPr>
          <w:p w:rsidR="00D849AA" w:rsidRPr="00A5008D" w:rsidRDefault="00EE6D95">
            <w:pPr>
              <w:pStyle w:val="CellHeader"/>
            </w:pPr>
            <w:r w:rsidRPr="00A5008D">
              <w:t>Indeks 2014/2013</w:t>
            </w:r>
          </w:p>
        </w:tc>
      </w:tr>
      <w:tr w:rsidR="00D849AA">
        <w:trPr>
          <w:jc w:val="center"/>
        </w:trPr>
        <w:tc>
          <w:tcPr>
            <w:tcW w:w="1486" w:type="dxa"/>
          </w:tcPr>
          <w:p w:rsidR="00D849AA" w:rsidRPr="00A5008D" w:rsidRDefault="00EE6D95">
            <w:pPr>
              <w:pStyle w:val="CellColumn"/>
            </w:pPr>
            <w:r w:rsidRPr="00A5008D">
              <w:t>K857004</w:t>
            </w:r>
          </w:p>
        </w:tc>
        <w:tc>
          <w:tcPr>
            <w:tcW w:w="1486" w:type="dxa"/>
          </w:tcPr>
          <w:p w:rsidR="00D849AA" w:rsidRPr="00A5008D" w:rsidRDefault="00EE6D95">
            <w:pPr>
              <w:rPr>
                <w:rFonts w:ascii="Arial" w:hAnsi="Arial" w:cs="Arial"/>
              </w:rPr>
            </w:pPr>
            <w:r w:rsidRPr="00A5008D">
              <w:rPr>
                <w:rFonts w:ascii="Arial" w:hAnsi="Arial" w:cs="Arial"/>
              </w:rPr>
              <w:t>00</w:t>
            </w:r>
          </w:p>
        </w:tc>
        <w:tc>
          <w:tcPr>
            <w:tcW w:w="1486" w:type="dxa"/>
          </w:tcPr>
          <w:p w:rsidR="00D849AA" w:rsidRPr="00A5008D" w:rsidRDefault="00EE6D95">
            <w:pPr>
              <w:rPr>
                <w:rFonts w:ascii="Arial" w:hAnsi="Arial" w:cs="Arial"/>
              </w:rPr>
            </w:pPr>
            <w:r w:rsidRPr="00A5008D">
              <w:rPr>
                <w:rFonts w:ascii="Arial" w:hAnsi="Arial" w:cs="Arial"/>
              </w:rPr>
              <w:t>6.000.000</w:t>
            </w:r>
          </w:p>
        </w:tc>
        <w:tc>
          <w:tcPr>
            <w:tcW w:w="1486" w:type="dxa"/>
          </w:tcPr>
          <w:p w:rsidR="00D849AA" w:rsidRPr="00A5008D" w:rsidRDefault="00EE6D95">
            <w:pPr>
              <w:rPr>
                <w:rFonts w:ascii="Arial" w:hAnsi="Arial" w:cs="Arial"/>
              </w:rPr>
            </w:pPr>
            <w:r w:rsidRPr="00A5008D">
              <w:rPr>
                <w:rFonts w:ascii="Arial" w:hAnsi="Arial" w:cs="Arial"/>
              </w:rPr>
              <w:t>2.200.000</w:t>
            </w:r>
          </w:p>
        </w:tc>
        <w:tc>
          <w:tcPr>
            <w:tcW w:w="1486" w:type="dxa"/>
          </w:tcPr>
          <w:p w:rsidR="00D849AA" w:rsidRPr="00A5008D" w:rsidRDefault="00EE6D95">
            <w:pPr>
              <w:rPr>
                <w:rFonts w:ascii="Arial" w:hAnsi="Arial" w:cs="Arial"/>
              </w:rPr>
            </w:pPr>
            <w:r w:rsidRPr="00A5008D">
              <w:rPr>
                <w:rFonts w:ascii="Arial" w:hAnsi="Arial" w:cs="Arial"/>
              </w:rPr>
              <w:t>1.400.000</w:t>
            </w:r>
          </w:p>
        </w:tc>
        <w:tc>
          <w:tcPr>
            <w:tcW w:w="1486" w:type="dxa"/>
          </w:tcPr>
          <w:p w:rsidR="00D849AA" w:rsidRPr="00A5008D" w:rsidRDefault="00EE6D95">
            <w:pPr>
              <w:rPr>
                <w:rFonts w:ascii="Arial" w:hAnsi="Arial" w:cs="Arial"/>
              </w:rPr>
            </w:pPr>
            <w:r w:rsidRPr="00A5008D">
              <w:rPr>
                <w:rFonts w:ascii="Arial" w:hAnsi="Arial" w:cs="Arial"/>
              </w:rPr>
              <w:t>0,0</w:t>
            </w:r>
          </w:p>
        </w:tc>
      </w:tr>
    </w:tbl>
    <w:p w:rsidR="00D849AA" w:rsidRDefault="00D849AA">
      <w:pPr>
        <w:jc w:val="left"/>
      </w:pPr>
    </w:p>
    <w:p w:rsidR="00D849AA" w:rsidRDefault="00EE6D95">
      <w:pPr>
        <w:pStyle w:val="Normal6"/>
      </w:pPr>
      <w:r>
        <w:t xml:space="preserve">U okviru projekta Integralni informatički sustav javne nabave financijskog plana za razdoblje 2014 - 2016 godine predviđeni su rashodi za nabavu programskih rješenja potrebnih za provođenje postupaka javne nabave od agregiranja potreba do preciznog praćenja izvršenja i analiza postupaka, a uz uspostavu elektroničkih dražbi, elektroničke kupovine i on-line praćenja nabave. </w:t>
      </w:r>
    </w:p>
    <w:p w:rsidR="00D849AA" w:rsidRDefault="00EE6D95">
      <w:pPr>
        <w:pStyle w:val="Normal6"/>
      </w:pPr>
      <w:r>
        <w:t>Implementacija ovog projekta polazište je koje omogućava upravljanje troškovima i optimizaciju potrošnje proračunskog novca.</w:t>
      </w:r>
    </w:p>
    <w:p w:rsidR="00D849AA" w:rsidRDefault="00EE6D95">
      <w:pPr>
        <w:pStyle w:val="Naslov1"/>
      </w:pPr>
      <w:r>
        <w:lastRenderedPageBreak/>
        <w:t>029 DRŽAVNI URED ZA UPRAVLJANJE DRŽAVNOM IMOVINOM</w:t>
      </w:r>
    </w:p>
    <w:p w:rsidR="00D849AA" w:rsidRDefault="00EE6D95">
      <w:pPr>
        <w:pStyle w:val="Naslov4"/>
      </w:pPr>
      <w:r>
        <w:t>Uvod</w:t>
      </w:r>
    </w:p>
    <w:p w:rsidR="00D849AA" w:rsidRDefault="00EE6D95" w:rsidP="00A5008D">
      <w:pPr>
        <w:pStyle w:val="Normal3"/>
      </w:pPr>
      <w:r>
        <w:t xml:space="preserve">Državni ured za upravljanje državnom imovinom rukovodi se zadacima koji za njega proizlaze iz članka 13. Zakona o izmjenama i dopunama Zakona o ustrojstvu i djelokrugu ministarstava i drugih središnjih tijela državne uprave (NN 22/12), a organiziran je sukladno odredbama o Uredbi o unutarnjem ustrojstvu državnog ureda za upravljanje državnom imovinom (NN 118/13) i Pravilnikom u unutarnjem redu državnog ureda, odrednicama Strateškog plana državnog ureda za razdoblje 2014.-2016. te Zakonom o upravljanju i raspolaganju imovinom u vlasništvu Republike Hrvatske.  </w:t>
      </w:r>
    </w:p>
    <w:p w:rsidR="00D849AA" w:rsidRDefault="00EE6D95">
      <w:pPr>
        <w:pStyle w:val="Normal3"/>
      </w:pPr>
      <w:r>
        <w:t>U Državnom uredu je u 2013. godini Planom predviđeno zapošljavanje 49 državnih službenika i jednog državnog dužnosnika, a kadrovski je popunjen tek sa 7 državnih službenika i jednim državnim dužnosnikom, odnosno tek u studenom 2013. temeljem Zakona o upravljanju i raspolaganju imovinom u vlasništvu RH, raspoređeno je 54 državna službenika preuzetih od Agencije za upravljanje državnom imovinom.</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rsidRPr="00A5008D">
        <w:trPr>
          <w:jc w:val="center"/>
        </w:trPr>
        <w:tc>
          <w:tcPr>
            <w:tcW w:w="1486" w:type="dxa"/>
            <w:shd w:val="clear" w:color="auto" w:fill="B5C0D8"/>
          </w:tcPr>
          <w:p w:rsidR="00D849AA" w:rsidRPr="00A5008D" w:rsidRDefault="00D849AA">
            <w:pPr>
              <w:pStyle w:val="CellHeader"/>
            </w:pPr>
          </w:p>
        </w:tc>
        <w:tc>
          <w:tcPr>
            <w:tcW w:w="1486" w:type="dxa"/>
            <w:shd w:val="clear" w:color="auto" w:fill="B5C0D8"/>
          </w:tcPr>
          <w:p w:rsidR="00D849AA" w:rsidRPr="00A5008D" w:rsidRDefault="00EE6D95">
            <w:pPr>
              <w:pStyle w:val="CellHeader"/>
            </w:pPr>
            <w:r w:rsidRPr="00A5008D">
              <w:t>Plan 2013.</w:t>
            </w:r>
          </w:p>
        </w:tc>
        <w:tc>
          <w:tcPr>
            <w:tcW w:w="1486" w:type="dxa"/>
            <w:shd w:val="clear" w:color="auto" w:fill="B5C0D8"/>
          </w:tcPr>
          <w:p w:rsidR="00D849AA" w:rsidRPr="00A5008D" w:rsidRDefault="00EE6D95">
            <w:pPr>
              <w:pStyle w:val="CellHeader"/>
            </w:pPr>
            <w:r w:rsidRPr="00A5008D">
              <w:t>Plan 2014.</w:t>
            </w:r>
          </w:p>
        </w:tc>
        <w:tc>
          <w:tcPr>
            <w:tcW w:w="1486" w:type="dxa"/>
            <w:shd w:val="clear" w:color="auto" w:fill="B5C0D8"/>
          </w:tcPr>
          <w:p w:rsidR="00D849AA" w:rsidRPr="00A5008D" w:rsidRDefault="00EE6D95">
            <w:pPr>
              <w:pStyle w:val="CellHeader"/>
            </w:pPr>
            <w:r w:rsidRPr="00A5008D">
              <w:t>Plan 2015.</w:t>
            </w:r>
          </w:p>
        </w:tc>
        <w:tc>
          <w:tcPr>
            <w:tcW w:w="1486" w:type="dxa"/>
            <w:shd w:val="clear" w:color="auto" w:fill="B5C0D8"/>
          </w:tcPr>
          <w:p w:rsidR="00D849AA" w:rsidRPr="00A5008D" w:rsidRDefault="00EE6D95">
            <w:pPr>
              <w:pStyle w:val="CellHeader"/>
            </w:pPr>
            <w:r w:rsidRPr="00A5008D">
              <w:t>Plan 2016.</w:t>
            </w:r>
          </w:p>
        </w:tc>
        <w:tc>
          <w:tcPr>
            <w:tcW w:w="1486" w:type="dxa"/>
            <w:shd w:val="clear" w:color="auto" w:fill="B5C0D8"/>
          </w:tcPr>
          <w:p w:rsidR="00D849AA" w:rsidRPr="00A5008D" w:rsidRDefault="00EE6D95">
            <w:pPr>
              <w:pStyle w:val="CellHeader"/>
            </w:pPr>
            <w:r w:rsidRPr="00A5008D">
              <w:t>Indeks 2014/2013</w:t>
            </w:r>
          </w:p>
        </w:tc>
      </w:tr>
      <w:tr w:rsidR="00D849AA" w:rsidRPr="00A5008D">
        <w:trPr>
          <w:jc w:val="center"/>
        </w:trPr>
        <w:tc>
          <w:tcPr>
            <w:tcW w:w="1486" w:type="dxa"/>
          </w:tcPr>
          <w:p w:rsidR="00D849AA" w:rsidRPr="00A5008D" w:rsidRDefault="00EE6D95">
            <w:pPr>
              <w:pStyle w:val="CellColumn"/>
            </w:pPr>
            <w:r w:rsidRPr="00A5008D">
              <w:t>02905 Državni ured za upravljanje državnom imovinom</w:t>
            </w:r>
          </w:p>
        </w:tc>
        <w:tc>
          <w:tcPr>
            <w:tcW w:w="1486" w:type="dxa"/>
          </w:tcPr>
          <w:p w:rsidR="00D849AA" w:rsidRPr="00A5008D" w:rsidRDefault="00EE6D95">
            <w:pPr>
              <w:rPr>
                <w:rFonts w:ascii="Arial" w:hAnsi="Arial" w:cs="Arial"/>
              </w:rPr>
            </w:pPr>
            <w:r w:rsidRPr="00A5008D">
              <w:rPr>
                <w:rFonts w:ascii="Arial" w:hAnsi="Arial" w:cs="Arial"/>
              </w:rPr>
              <w:t>7.022.893</w:t>
            </w:r>
          </w:p>
        </w:tc>
        <w:tc>
          <w:tcPr>
            <w:tcW w:w="1486" w:type="dxa"/>
          </w:tcPr>
          <w:p w:rsidR="00D849AA" w:rsidRPr="00A5008D" w:rsidRDefault="00EE6D95">
            <w:pPr>
              <w:rPr>
                <w:rFonts w:ascii="Arial" w:hAnsi="Arial" w:cs="Arial"/>
              </w:rPr>
            </w:pPr>
            <w:r w:rsidRPr="00A5008D">
              <w:rPr>
                <w:rFonts w:ascii="Arial" w:hAnsi="Arial" w:cs="Arial"/>
              </w:rPr>
              <w:t>21.283.085</w:t>
            </w:r>
          </w:p>
        </w:tc>
        <w:tc>
          <w:tcPr>
            <w:tcW w:w="1486" w:type="dxa"/>
          </w:tcPr>
          <w:p w:rsidR="00D849AA" w:rsidRPr="00A5008D" w:rsidRDefault="00EE6D95">
            <w:pPr>
              <w:rPr>
                <w:rFonts w:ascii="Arial" w:hAnsi="Arial" w:cs="Arial"/>
              </w:rPr>
            </w:pPr>
            <w:r w:rsidRPr="00A5008D">
              <w:rPr>
                <w:rFonts w:ascii="Arial" w:hAnsi="Arial" w:cs="Arial"/>
              </w:rPr>
              <w:t>21.017.817</w:t>
            </w:r>
          </w:p>
        </w:tc>
        <w:tc>
          <w:tcPr>
            <w:tcW w:w="1486" w:type="dxa"/>
          </w:tcPr>
          <w:p w:rsidR="00D849AA" w:rsidRPr="00A5008D" w:rsidRDefault="00EE6D95">
            <w:pPr>
              <w:rPr>
                <w:rFonts w:ascii="Arial" w:hAnsi="Arial" w:cs="Arial"/>
              </w:rPr>
            </w:pPr>
            <w:r w:rsidRPr="00A5008D">
              <w:rPr>
                <w:rFonts w:ascii="Arial" w:hAnsi="Arial" w:cs="Arial"/>
              </w:rPr>
              <w:t>21.944.706</w:t>
            </w:r>
          </w:p>
        </w:tc>
        <w:tc>
          <w:tcPr>
            <w:tcW w:w="1486" w:type="dxa"/>
          </w:tcPr>
          <w:p w:rsidR="00D849AA" w:rsidRPr="00A5008D" w:rsidRDefault="00EE6D95">
            <w:pPr>
              <w:rPr>
                <w:rFonts w:ascii="Arial" w:hAnsi="Arial" w:cs="Arial"/>
              </w:rPr>
            </w:pPr>
            <w:r w:rsidRPr="00A5008D">
              <w:rPr>
                <w:rFonts w:ascii="Arial" w:hAnsi="Arial" w:cs="Arial"/>
              </w:rPr>
              <w:t>303,0</w:t>
            </w:r>
          </w:p>
        </w:tc>
      </w:tr>
      <w:tr w:rsidR="00D849AA" w:rsidRPr="00A5008D">
        <w:trPr>
          <w:jc w:val="center"/>
        </w:trPr>
        <w:tc>
          <w:tcPr>
            <w:tcW w:w="1486" w:type="dxa"/>
            <w:shd w:val="clear" w:color="auto" w:fill="B5C0D8"/>
          </w:tcPr>
          <w:p w:rsidR="00D849AA" w:rsidRPr="00A5008D" w:rsidRDefault="00EE6D95">
            <w:pPr>
              <w:pStyle w:val="CellColumn"/>
            </w:pPr>
            <w:r w:rsidRPr="00A5008D">
              <w:t>Ukupno 029</w:t>
            </w:r>
          </w:p>
        </w:tc>
        <w:tc>
          <w:tcPr>
            <w:tcW w:w="1486" w:type="dxa"/>
            <w:shd w:val="clear" w:color="auto" w:fill="B5C0D8"/>
          </w:tcPr>
          <w:p w:rsidR="00D849AA" w:rsidRPr="00A5008D" w:rsidRDefault="00EE6D95">
            <w:pPr>
              <w:rPr>
                <w:rFonts w:ascii="Arial" w:hAnsi="Arial" w:cs="Arial"/>
              </w:rPr>
            </w:pPr>
            <w:r w:rsidRPr="00A5008D">
              <w:rPr>
                <w:rFonts w:ascii="Arial" w:hAnsi="Arial" w:cs="Arial"/>
              </w:rPr>
              <w:t>7.022.893</w:t>
            </w:r>
          </w:p>
        </w:tc>
        <w:tc>
          <w:tcPr>
            <w:tcW w:w="1486" w:type="dxa"/>
            <w:shd w:val="clear" w:color="auto" w:fill="B5C0D8"/>
          </w:tcPr>
          <w:p w:rsidR="00D849AA" w:rsidRPr="00A5008D" w:rsidRDefault="00EE6D95">
            <w:pPr>
              <w:rPr>
                <w:rFonts w:ascii="Arial" w:hAnsi="Arial" w:cs="Arial"/>
              </w:rPr>
            </w:pPr>
            <w:r w:rsidRPr="00A5008D">
              <w:rPr>
                <w:rFonts w:ascii="Arial" w:hAnsi="Arial" w:cs="Arial"/>
              </w:rPr>
              <w:t>21.283.085</w:t>
            </w:r>
          </w:p>
        </w:tc>
        <w:tc>
          <w:tcPr>
            <w:tcW w:w="1486" w:type="dxa"/>
            <w:shd w:val="clear" w:color="auto" w:fill="B5C0D8"/>
          </w:tcPr>
          <w:p w:rsidR="00D849AA" w:rsidRPr="00A5008D" w:rsidRDefault="00EE6D95">
            <w:pPr>
              <w:rPr>
                <w:rFonts w:ascii="Arial" w:hAnsi="Arial" w:cs="Arial"/>
              </w:rPr>
            </w:pPr>
            <w:r w:rsidRPr="00A5008D">
              <w:rPr>
                <w:rFonts w:ascii="Arial" w:hAnsi="Arial" w:cs="Arial"/>
              </w:rPr>
              <w:t>21.017.817</w:t>
            </w:r>
          </w:p>
        </w:tc>
        <w:tc>
          <w:tcPr>
            <w:tcW w:w="1486" w:type="dxa"/>
            <w:shd w:val="clear" w:color="auto" w:fill="B5C0D8"/>
          </w:tcPr>
          <w:p w:rsidR="00D849AA" w:rsidRPr="00A5008D" w:rsidRDefault="00EE6D95">
            <w:pPr>
              <w:rPr>
                <w:rFonts w:ascii="Arial" w:hAnsi="Arial" w:cs="Arial"/>
              </w:rPr>
            </w:pPr>
            <w:r w:rsidRPr="00A5008D">
              <w:rPr>
                <w:rFonts w:ascii="Arial" w:hAnsi="Arial" w:cs="Arial"/>
              </w:rPr>
              <w:t>21.944.706</w:t>
            </w:r>
          </w:p>
        </w:tc>
        <w:tc>
          <w:tcPr>
            <w:tcW w:w="1486" w:type="dxa"/>
            <w:shd w:val="clear" w:color="auto" w:fill="B5C0D8"/>
          </w:tcPr>
          <w:p w:rsidR="00D849AA" w:rsidRPr="00A5008D" w:rsidRDefault="00EE6D95">
            <w:pPr>
              <w:rPr>
                <w:rFonts w:ascii="Arial" w:hAnsi="Arial" w:cs="Arial"/>
              </w:rPr>
            </w:pPr>
            <w:r w:rsidRPr="00A5008D">
              <w:rPr>
                <w:rFonts w:ascii="Arial" w:hAnsi="Arial" w:cs="Arial"/>
              </w:rPr>
              <w:t>303,0</w:t>
            </w:r>
          </w:p>
        </w:tc>
      </w:tr>
    </w:tbl>
    <w:p w:rsidR="00D849AA" w:rsidRDefault="00D849AA">
      <w:pPr>
        <w:jc w:val="left"/>
      </w:pPr>
    </w:p>
    <w:p w:rsidR="00D849AA" w:rsidRDefault="00EE6D95">
      <w:pPr>
        <w:pStyle w:val="Naslov2"/>
      </w:pPr>
      <w:r>
        <w:t>02905 Državni ured za upravljanje državnom imovinom</w:t>
      </w:r>
    </w:p>
    <w:p w:rsidR="00D849AA" w:rsidRDefault="00EE6D95">
      <w:pPr>
        <w:pStyle w:val="Naslov4"/>
      </w:pPr>
      <w:r>
        <w:t>Uvod</w:t>
      </w:r>
    </w:p>
    <w:p w:rsidR="00D849AA" w:rsidRDefault="00EE6D95">
      <w:pPr>
        <w:pStyle w:val="Normal3"/>
      </w:pPr>
      <w:r>
        <w:t xml:space="preserve">Osnovni zadaci Državnog ureda su: koordiniranje upravljanjem državnom imovinom u odnosu na središnja tijela državne uprave i druga tijela koji su imatelji, odnosno koji raspolažu državnom imovinom; koordiniranje i harmonizacija kriterija za upravljanje državnom imovinom; izrada Nacrta prijedloga strategije upravljanja državnom imovinom te izrada Prijedloga plana upravljanja državnom imovinom; izrada Izvješća o provedbi plana upravljanja državnom imovinom; Državni ured zajedno s nadležnim ministarstvima i drugim tijelima učestvuje u utvrđivanju smjernica za ostvarivanje vlasničke politike u trgovačkim društvima i drugim pravnim osobama koje su od strateškog i posebnog interesa za Republiku Hrvatsku; predlaže Vladi Republike Hrvatske donošenje odluke o utvrđivanju trgovačkih društava i drugih pravnih osoba od strateškog i posebnog interesa za Republiku Hrvatsku; daje mišljenje Vladi Republike Hrvatske o prijedlogu resornog ministra za imenovanje predstavnika vlasnika u skupštinama trgovačkih društava, predlaže kandidata za predsjednike skupština trgovačkih društava, kandidata za članove nadzornih i upravnih odbora, kandidate za članove i predsjednike uprava trgovačkih i drugih pravnih osoba od strateškog i posebnog interesa za Republiku Hrvatsku, kao i za trgovačka društva i druge pravne osobe koje su u većinskom vlasništvu Republike Hrvatske. </w:t>
      </w:r>
    </w:p>
    <w:p w:rsidR="00D849AA" w:rsidRDefault="00EE6D95">
      <w:pPr>
        <w:pStyle w:val="Normal3"/>
      </w:pPr>
      <w:r>
        <w:lastRenderedPageBreak/>
        <w:t xml:space="preserve">Pored navedenog, zadaća je Državnog ureda davati prethodnu suglasnost, prethodno mišljenje i mišljenje Agenciji za upravljanje državnom imovinom na imenovanja u skupštine, nadzorne odbore i uprave trgovačkih društava koje nisu od strateškog i posebnog interesa za Republiku Hrvatsku.  </w:t>
      </w:r>
    </w:p>
    <w:p w:rsidR="00D849AA" w:rsidRDefault="00EE6D95">
      <w:pPr>
        <w:pStyle w:val="Normal3"/>
      </w:pPr>
      <w:r>
        <w:t xml:space="preserve">Također, Državni ured daje mišljenje i suglasnosti i na predložene planove restrukturiranja trgovačkih društava s poteškoćama koja su u državnom vlasništvu te na stjecanje dionica, udjela i nekretnina u državnom vlasništvu; </w:t>
      </w:r>
    </w:p>
    <w:p w:rsidR="00D849AA" w:rsidRDefault="00EE6D95">
      <w:pPr>
        <w:pStyle w:val="Normal3"/>
      </w:pPr>
      <w:r>
        <w:t>Državni ured ima zadaću obavljati nadzor korištenja i upravljanja državnom imovinom u smislu zakona kojim se određuje upravljanje državnom imovinom, a u obvezi je obavljati i druge poslove koji su mu stavljeni u nadležnost odredbama posebnih zakona.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A5008D" w:rsidRDefault="00D849AA">
            <w:pPr>
              <w:pStyle w:val="CellHeader"/>
            </w:pPr>
          </w:p>
        </w:tc>
        <w:tc>
          <w:tcPr>
            <w:tcW w:w="1486" w:type="dxa"/>
            <w:shd w:val="clear" w:color="auto" w:fill="B5C0D8"/>
          </w:tcPr>
          <w:p w:rsidR="00D849AA" w:rsidRPr="00A5008D" w:rsidRDefault="00EE6D95">
            <w:pPr>
              <w:pStyle w:val="CellHeader"/>
            </w:pPr>
            <w:r w:rsidRPr="00A5008D">
              <w:t>Plan 2013.</w:t>
            </w:r>
          </w:p>
        </w:tc>
        <w:tc>
          <w:tcPr>
            <w:tcW w:w="1486" w:type="dxa"/>
            <w:shd w:val="clear" w:color="auto" w:fill="B5C0D8"/>
          </w:tcPr>
          <w:p w:rsidR="00D849AA" w:rsidRPr="00A5008D" w:rsidRDefault="00EE6D95">
            <w:pPr>
              <w:pStyle w:val="CellHeader"/>
            </w:pPr>
            <w:r w:rsidRPr="00A5008D">
              <w:t>Plan 2014.</w:t>
            </w:r>
          </w:p>
        </w:tc>
        <w:tc>
          <w:tcPr>
            <w:tcW w:w="1486" w:type="dxa"/>
            <w:shd w:val="clear" w:color="auto" w:fill="B5C0D8"/>
          </w:tcPr>
          <w:p w:rsidR="00D849AA" w:rsidRPr="00A5008D" w:rsidRDefault="00EE6D95">
            <w:pPr>
              <w:pStyle w:val="CellHeader"/>
            </w:pPr>
            <w:r w:rsidRPr="00A5008D">
              <w:t>Plan 2015.</w:t>
            </w:r>
          </w:p>
        </w:tc>
        <w:tc>
          <w:tcPr>
            <w:tcW w:w="1486" w:type="dxa"/>
            <w:shd w:val="clear" w:color="auto" w:fill="B5C0D8"/>
          </w:tcPr>
          <w:p w:rsidR="00D849AA" w:rsidRPr="00A5008D" w:rsidRDefault="00EE6D95">
            <w:pPr>
              <w:pStyle w:val="CellHeader"/>
            </w:pPr>
            <w:r w:rsidRPr="00A5008D">
              <w:t>Plan 2016.</w:t>
            </w:r>
          </w:p>
        </w:tc>
        <w:tc>
          <w:tcPr>
            <w:tcW w:w="1486" w:type="dxa"/>
            <w:shd w:val="clear" w:color="auto" w:fill="B5C0D8"/>
          </w:tcPr>
          <w:p w:rsidR="00D849AA" w:rsidRPr="00A5008D" w:rsidRDefault="00EE6D95">
            <w:pPr>
              <w:pStyle w:val="CellHeader"/>
            </w:pPr>
            <w:r w:rsidRPr="00A5008D">
              <w:t>Indeks 2014/2013</w:t>
            </w:r>
          </w:p>
        </w:tc>
      </w:tr>
      <w:tr w:rsidR="00D849AA">
        <w:trPr>
          <w:jc w:val="center"/>
        </w:trPr>
        <w:tc>
          <w:tcPr>
            <w:tcW w:w="1486" w:type="dxa"/>
          </w:tcPr>
          <w:p w:rsidR="00D849AA" w:rsidRPr="00A5008D" w:rsidRDefault="00EE6D95">
            <w:pPr>
              <w:pStyle w:val="CellColumn"/>
            </w:pPr>
            <w:r w:rsidRPr="00A5008D">
              <w:t>02905</w:t>
            </w:r>
          </w:p>
        </w:tc>
        <w:tc>
          <w:tcPr>
            <w:tcW w:w="1486" w:type="dxa"/>
          </w:tcPr>
          <w:p w:rsidR="00D849AA" w:rsidRPr="00A5008D" w:rsidRDefault="00EE6D95">
            <w:pPr>
              <w:rPr>
                <w:rFonts w:ascii="Arial" w:hAnsi="Arial" w:cs="Arial"/>
              </w:rPr>
            </w:pPr>
            <w:r w:rsidRPr="00A5008D">
              <w:rPr>
                <w:rFonts w:ascii="Arial" w:hAnsi="Arial" w:cs="Arial"/>
              </w:rPr>
              <w:t>7.022.893</w:t>
            </w:r>
          </w:p>
        </w:tc>
        <w:tc>
          <w:tcPr>
            <w:tcW w:w="1486" w:type="dxa"/>
          </w:tcPr>
          <w:p w:rsidR="00D849AA" w:rsidRPr="00A5008D" w:rsidRDefault="00EE6D95">
            <w:pPr>
              <w:rPr>
                <w:rFonts w:ascii="Arial" w:hAnsi="Arial" w:cs="Arial"/>
              </w:rPr>
            </w:pPr>
            <w:r w:rsidRPr="00A5008D">
              <w:rPr>
                <w:rFonts w:ascii="Arial" w:hAnsi="Arial" w:cs="Arial"/>
              </w:rPr>
              <w:t>21.283.085</w:t>
            </w:r>
          </w:p>
        </w:tc>
        <w:tc>
          <w:tcPr>
            <w:tcW w:w="1486" w:type="dxa"/>
          </w:tcPr>
          <w:p w:rsidR="00D849AA" w:rsidRPr="00A5008D" w:rsidRDefault="00EE6D95">
            <w:pPr>
              <w:rPr>
                <w:rFonts w:ascii="Arial" w:hAnsi="Arial" w:cs="Arial"/>
              </w:rPr>
            </w:pPr>
            <w:r w:rsidRPr="00A5008D">
              <w:rPr>
                <w:rFonts w:ascii="Arial" w:hAnsi="Arial" w:cs="Arial"/>
              </w:rPr>
              <w:t>21.017.817</w:t>
            </w:r>
          </w:p>
        </w:tc>
        <w:tc>
          <w:tcPr>
            <w:tcW w:w="1486" w:type="dxa"/>
          </w:tcPr>
          <w:p w:rsidR="00D849AA" w:rsidRPr="00A5008D" w:rsidRDefault="00EE6D95">
            <w:pPr>
              <w:rPr>
                <w:rFonts w:ascii="Arial" w:hAnsi="Arial" w:cs="Arial"/>
              </w:rPr>
            </w:pPr>
            <w:r w:rsidRPr="00A5008D">
              <w:rPr>
                <w:rFonts w:ascii="Arial" w:hAnsi="Arial" w:cs="Arial"/>
              </w:rPr>
              <w:t>21.944.706</w:t>
            </w:r>
          </w:p>
        </w:tc>
        <w:tc>
          <w:tcPr>
            <w:tcW w:w="1486" w:type="dxa"/>
          </w:tcPr>
          <w:p w:rsidR="00D849AA" w:rsidRPr="00A5008D" w:rsidRDefault="00EE6D95">
            <w:pPr>
              <w:rPr>
                <w:rFonts w:ascii="Arial" w:hAnsi="Arial" w:cs="Arial"/>
              </w:rPr>
            </w:pPr>
            <w:r w:rsidRPr="00A5008D">
              <w:rPr>
                <w:rFonts w:ascii="Arial" w:hAnsi="Arial" w:cs="Arial"/>
              </w:rPr>
              <w:t>303,0</w:t>
            </w:r>
          </w:p>
        </w:tc>
      </w:tr>
    </w:tbl>
    <w:p w:rsidR="00D849AA" w:rsidRDefault="00D849AA">
      <w:pPr>
        <w:jc w:val="left"/>
      </w:pPr>
    </w:p>
    <w:p w:rsidR="00D849AA" w:rsidRDefault="00EE6D95">
      <w:pPr>
        <w:pStyle w:val="Naslov4"/>
      </w:pPr>
      <w:r>
        <w:t>OBRAZLOŽENJE PROGRAMA</w:t>
      </w:r>
    </w:p>
    <w:p w:rsidR="00D849AA" w:rsidRDefault="00EE6D95">
      <w:pPr>
        <w:pStyle w:val="Naslov5"/>
      </w:pPr>
      <w:r>
        <w:t>2412 UPRAVLJANJE I KONTROLA DRŽAVNOM IMOVINOM</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A5008D" w:rsidRDefault="00D849AA">
            <w:pPr>
              <w:pStyle w:val="CellHeader"/>
            </w:pPr>
          </w:p>
        </w:tc>
        <w:tc>
          <w:tcPr>
            <w:tcW w:w="1486" w:type="dxa"/>
            <w:shd w:val="clear" w:color="auto" w:fill="B5C0D8"/>
          </w:tcPr>
          <w:p w:rsidR="00D849AA" w:rsidRPr="00A5008D" w:rsidRDefault="00EE6D95">
            <w:pPr>
              <w:pStyle w:val="CellHeader"/>
            </w:pPr>
            <w:r w:rsidRPr="00A5008D">
              <w:t>Plan 2013.</w:t>
            </w:r>
          </w:p>
        </w:tc>
        <w:tc>
          <w:tcPr>
            <w:tcW w:w="1486" w:type="dxa"/>
            <w:shd w:val="clear" w:color="auto" w:fill="B5C0D8"/>
          </w:tcPr>
          <w:p w:rsidR="00D849AA" w:rsidRPr="00A5008D" w:rsidRDefault="00EE6D95">
            <w:pPr>
              <w:pStyle w:val="CellHeader"/>
            </w:pPr>
            <w:r w:rsidRPr="00A5008D">
              <w:t>Plan 2014.</w:t>
            </w:r>
          </w:p>
        </w:tc>
        <w:tc>
          <w:tcPr>
            <w:tcW w:w="1486" w:type="dxa"/>
            <w:shd w:val="clear" w:color="auto" w:fill="B5C0D8"/>
          </w:tcPr>
          <w:p w:rsidR="00D849AA" w:rsidRPr="00A5008D" w:rsidRDefault="00EE6D95">
            <w:pPr>
              <w:pStyle w:val="CellHeader"/>
            </w:pPr>
            <w:r w:rsidRPr="00A5008D">
              <w:t>Plan 2015.</w:t>
            </w:r>
          </w:p>
        </w:tc>
        <w:tc>
          <w:tcPr>
            <w:tcW w:w="1486" w:type="dxa"/>
            <w:shd w:val="clear" w:color="auto" w:fill="B5C0D8"/>
          </w:tcPr>
          <w:p w:rsidR="00D849AA" w:rsidRPr="00A5008D" w:rsidRDefault="00EE6D95">
            <w:pPr>
              <w:pStyle w:val="CellHeader"/>
            </w:pPr>
            <w:r w:rsidRPr="00A5008D">
              <w:t>Plan 2016.</w:t>
            </w:r>
          </w:p>
        </w:tc>
        <w:tc>
          <w:tcPr>
            <w:tcW w:w="1486" w:type="dxa"/>
            <w:shd w:val="clear" w:color="auto" w:fill="B5C0D8"/>
          </w:tcPr>
          <w:p w:rsidR="00D849AA" w:rsidRPr="00A5008D" w:rsidRDefault="00EE6D95">
            <w:pPr>
              <w:pStyle w:val="CellHeader"/>
            </w:pPr>
            <w:r w:rsidRPr="00A5008D">
              <w:t>Indeks 2014/2013</w:t>
            </w:r>
          </w:p>
        </w:tc>
      </w:tr>
      <w:tr w:rsidR="00D849AA">
        <w:trPr>
          <w:jc w:val="center"/>
        </w:trPr>
        <w:tc>
          <w:tcPr>
            <w:tcW w:w="1486" w:type="dxa"/>
          </w:tcPr>
          <w:p w:rsidR="00D849AA" w:rsidRPr="00A5008D" w:rsidRDefault="00EE6D95">
            <w:pPr>
              <w:pStyle w:val="CellColumn"/>
            </w:pPr>
            <w:r w:rsidRPr="00A5008D">
              <w:t>2412</w:t>
            </w:r>
          </w:p>
        </w:tc>
        <w:tc>
          <w:tcPr>
            <w:tcW w:w="1486" w:type="dxa"/>
          </w:tcPr>
          <w:p w:rsidR="00D849AA" w:rsidRPr="00A5008D" w:rsidRDefault="00EE6D95">
            <w:pPr>
              <w:rPr>
                <w:rFonts w:ascii="Arial" w:hAnsi="Arial" w:cs="Arial"/>
              </w:rPr>
            </w:pPr>
            <w:r w:rsidRPr="00A5008D">
              <w:rPr>
                <w:rFonts w:ascii="Arial" w:hAnsi="Arial" w:cs="Arial"/>
              </w:rPr>
              <w:t>7.022.893</w:t>
            </w:r>
          </w:p>
        </w:tc>
        <w:tc>
          <w:tcPr>
            <w:tcW w:w="1486" w:type="dxa"/>
          </w:tcPr>
          <w:p w:rsidR="00D849AA" w:rsidRPr="00A5008D" w:rsidRDefault="00EE6D95">
            <w:pPr>
              <w:rPr>
                <w:rFonts w:ascii="Arial" w:hAnsi="Arial" w:cs="Arial"/>
              </w:rPr>
            </w:pPr>
            <w:r w:rsidRPr="00A5008D">
              <w:rPr>
                <w:rFonts w:ascii="Arial" w:hAnsi="Arial" w:cs="Arial"/>
              </w:rPr>
              <w:t>21.283.085</w:t>
            </w:r>
          </w:p>
        </w:tc>
        <w:tc>
          <w:tcPr>
            <w:tcW w:w="1486" w:type="dxa"/>
          </w:tcPr>
          <w:p w:rsidR="00D849AA" w:rsidRPr="00A5008D" w:rsidRDefault="00EE6D95">
            <w:pPr>
              <w:rPr>
                <w:rFonts w:ascii="Arial" w:hAnsi="Arial" w:cs="Arial"/>
              </w:rPr>
            </w:pPr>
            <w:r w:rsidRPr="00A5008D">
              <w:rPr>
                <w:rFonts w:ascii="Arial" w:hAnsi="Arial" w:cs="Arial"/>
              </w:rPr>
              <w:t>21.017.817</w:t>
            </w:r>
          </w:p>
        </w:tc>
        <w:tc>
          <w:tcPr>
            <w:tcW w:w="1486" w:type="dxa"/>
          </w:tcPr>
          <w:p w:rsidR="00D849AA" w:rsidRPr="00A5008D" w:rsidRDefault="00EE6D95">
            <w:pPr>
              <w:rPr>
                <w:rFonts w:ascii="Arial" w:hAnsi="Arial" w:cs="Arial"/>
              </w:rPr>
            </w:pPr>
            <w:r w:rsidRPr="00A5008D">
              <w:rPr>
                <w:rFonts w:ascii="Arial" w:hAnsi="Arial" w:cs="Arial"/>
              </w:rPr>
              <w:t>21.944.706</w:t>
            </w:r>
          </w:p>
        </w:tc>
        <w:tc>
          <w:tcPr>
            <w:tcW w:w="1486" w:type="dxa"/>
          </w:tcPr>
          <w:p w:rsidR="00D849AA" w:rsidRPr="00A5008D" w:rsidRDefault="00EE6D95">
            <w:pPr>
              <w:rPr>
                <w:rFonts w:ascii="Arial" w:hAnsi="Arial" w:cs="Arial"/>
              </w:rPr>
            </w:pPr>
            <w:r w:rsidRPr="00A5008D">
              <w:rPr>
                <w:rFonts w:ascii="Arial" w:hAnsi="Arial" w:cs="Arial"/>
              </w:rPr>
              <w:t>303,0</w:t>
            </w:r>
          </w:p>
        </w:tc>
      </w:tr>
    </w:tbl>
    <w:p w:rsidR="00D849AA" w:rsidRDefault="00D849AA">
      <w:pPr>
        <w:jc w:val="left"/>
      </w:pPr>
    </w:p>
    <w:p w:rsidR="00D849AA" w:rsidRDefault="00EE6D95">
      <w:pPr>
        <w:pStyle w:val="Naslov6"/>
      </w:pPr>
      <w:r>
        <w:t>Opis programa</w:t>
      </w:r>
    </w:p>
    <w:p w:rsidR="00D849AA" w:rsidRDefault="00EE6D95" w:rsidP="00A5008D">
      <w:pPr>
        <w:pStyle w:val="Normal5"/>
      </w:pPr>
      <w:r>
        <w:t xml:space="preserve">Efikasno upravljanje i raspolaganje državnom imovinom prtpostavlja učinkovitu državnu upravu i pronalaženje optimalnih riješenja koja će s jedne strane povećati odgovorno i racionalno upravljanje državnom imovinom, a time i državnim i javnim poduzećima, te tako generirati gospodarski rast, dok će s druge strane fizički, ekonomski i pravno štititi državnu imovinu.  </w:t>
      </w:r>
    </w:p>
    <w:p w:rsidR="00D849AA" w:rsidRDefault="00EE6D95">
      <w:pPr>
        <w:pStyle w:val="Normal5"/>
      </w:pPr>
      <w:r>
        <w:t>Državni ured organizacijski je postavljen kroz slijedeće ustrojstvene jedinice: Kabinet predstojnika državnog ureda; Glavno tajništvo; Sektor za strategiju, plan, analizu, koordinaciju i harmonizaciju kriterija, registar državne imovine, objavu odluka i nadzor nad upravljanjem i raspolaganjem državnom imovinom; Sektor za korporativno upravljanje trgovačkim društvima od strateškog i posebnog interesa za RH te Sektor upravljanja nekretninama, oduzetu imovinu, imovinsko pravne odnose s jedinicama lokalne samouprave i bivše vojne nekretnine (Uredba o unutarnjem ustrojstvu Državnog ureda za upravljanje državnom imovinom (NN 118/2013)).</w:t>
      </w:r>
    </w:p>
    <w:p w:rsidR="00D849AA" w:rsidRDefault="00EE6D95">
      <w:pPr>
        <w:pStyle w:val="Naslov6"/>
      </w:pPr>
      <w:r>
        <w:t>Zakonske i druge pravne osnove</w:t>
      </w:r>
    </w:p>
    <w:p w:rsidR="00D849AA" w:rsidRDefault="00EE6D95">
      <w:pPr>
        <w:pStyle w:val="Normal5"/>
      </w:pPr>
      <w:r>
        <w:t xml:space="preserve">Zakon o ustrojstvu i djelokrugu ministarstava i drugih središnjih tijela državne uprave; </w:t>
      </w:r>
    </w:p>
    <w:p w:rsidR="00D849AA" w:rsidRDefault="00EE6D95">
      <w:pPr>
        <w:pStyle w:val="Normal5"/>
      </w:pPr>
      <w:r>
        <w:t xml:space="preserve">Zakon o izmjenama i dopunama Zakona o ustrojstvu i djelokrugu ministarstava i drugih središnjih tijela državne uprave; </w:t>
      </w:r>
    </w:p>
    <w:p w:rsidR="00D849AA" w:rsidRDefault="00EE6D95">
      <w:pPr>
        <w:pStyle w:val="Normal5"/>
      </w:pPr>
      <w:r>
        <w:t xml:space="preserve">Zakon o upravljanju i raspolaganju imovinom u vlasništvu Republike Hrvatske; </w:t>
      </w:r>
    </w:p>
    <w:p w:rsidR="00D849AA" w:rsidRDefault="00EE6D95">
      <w:pPr>
        <w:pStyle w:val="Normal5"/>
      </w:pPr>
      <w:r>
        <w:t xml:space="preserve">Zakon o šumama; </w:t>
      </w:r>
    </w:p>
    <w:p w:rsidR="00D849AA" w:rsidRDefault="00EE6D95">
      <w:pPr>
        <w:pStyle w:val="Normal5"/>
      </w:pPr>
      <w:r>
        <w:lastRenderedPageBreak/>
        <w:t xml:space="preserve">Zakon o vodama; </w:t>
      </w:r>
    </w:p>
    <w:p w:rsidR="00D849AA" w:rsidRDefault="00EE6D95">
      <w:pPr>
        <w:pStyle w:val="Normal5"/>
      </w:pPr>
      <w:r>
        <w:t xml:space="preserve">Zakon o poljoprivrednom zemljištu; </w:t>
      </w:r>
    </w:p>
    <w:p w:rsidR="00D849AA" w:rsidRDefault="00EE6D95">
      <w:pPr>
        <w:pStyle w:val="Normal5"/>
      </w:pPr>
      <w:r>
        <w:t xml:space="preserve">Zakon o cestama; </w:t>
      </w:r>
    </w:p>
    <w:p w:rsidR="00D849AA" w:rsidRDefault="00EE6D95">
      <w:pPr>
        <w:pStyle w:val="Normal5"/>
      </w:pPr>
      <w:r>
        <w:t xml:space="preserve">Zakon o željeznicama; </w:t>
      </w:r>
    </w:p>
    <w:p w:rsidR="00D849AA" w:rsidRDefault="00EE6D95">
      <w:pPr>
        <w:pStyle w:val="Normal5"/>
      </w:pPr>
      <w:r>
        <w:t xml:space="preserve">Zakon o prostornom uređenju i gradnji; </w:t>
      </w:r>
    </w:p>
    <w:p w:rsidR="00D849AA" w:rsidRDefault="00EE6D95">
      <w:pPr>
        <w:pStyle w:val="Normal5"/>
      </w:pPr>
      <w:r>
        <w:t xml:space="preserve">Zakon o Vladi RH; </w:t>
      </w:r>
    </w:p>
    <w:p w:rsidR="00D849AA" w:rsidRDefault="00EE6D95">
      <w:pPr>
        <w:pStyle w:val="Normal5"/>
      </w:pPr>
      <w:r>
        <w:t xml:space="preserve">Zakon o komunalnom gospodarstvu; </w:t>
      </w:r>
    </w:p>
    <w:p w:rsidR="00D849AA" w:rsidRDefault="00EE6D95">
      <w:pPr>
        <w:pStyle w:val="Normal5"/>
      </w:pPr>
      <w:r>
        <w:t xml:space="preserve">Zakon o vlasništvu i drugim stvarnim pravima; </w:t>
      </w:r>
    </w:p>
    <w:p w:rsidR="00D849AA" w:rsidRDefault="00EE6D95">
      <w:pPr>
        <w:pStyle w:val="Normal5"/>
      </w:pPr>
      <w:r>
        <w:t xml:space="preserve">Uredba o kriterijima za predlaganje članova Uprava i Nadzornih odbora trgovačkih društava u vlasništvu države; </w:t>
      </w:r>
    </w:p>
    <w:p w:rsidR="00D849AA" w:rsidRDefault="00EE6D95">
      <w:pPr>
        <w:pStyle w:val="Normal5"/>
      </w:pPr>
      <w:r>
        <w:t xml:space="preserve">Izmjene i dopune Odluke o utvrđivanju plaća i drugih primanja predsjednika i članova uprava trgovačkih društava; </w:t>
      </w:r>
    </w:p>
    <w:p w:rsidR="00D849AA" w:rsidRDefault="00EE6D95">
      <w:pPr>
        <w:pStyle w:val="Normal5"/>
      </w:pPr>
      <w:r>
        <w:t xml:space="preserve">Uredba o unutarnjem ustrojstvu Državnog ureda za upravljanje državnom imovinom; </w:t>
      </w:r>
    </w:p>
    <w:p w:rsidR="00D849AA" w:rsidRDefault="00EE6D95">
      <w:pPr>
        <w:pStyle w:val="Normal5"/>
      </w:pPr>
      <w:r>
        <w:t xml:space="preserve">Odluka o utvrđivanju popisa trgovačkih društava i drugih pravnih osoba od strateškog i posebnog interesa za Republiku Hrvatsku; </w:t>
      </w:r>
    </w:p>
    <w:p w:rsidR="00D849AA" w:rsidRDefault="00EE6D95">
      <w:pPr>
        <w:pStyle w:val="Normal5"/>
      </w:pPr>
      <w:r>
        <w:t xml:space="preserve">Uredba o metodama procjene tržišne vrijednosti, naknade za osnivanje prava građenja i naknade za osnivanje prava služnosti na nekretninama u vlasništvu RH; </w:t>
      </w:r>
    </w:p>
    <w:p w:rsidR="00D849AA" w:rsidRDefault="00EE6D95">
      <w:pPr>
        <w:pStyle w:val="Normal5"/>
      </w:pPr>
      <w:r>
        <w:t xml:space="preserve">Uredba o mjerilima i kriterijima dodjele na korištenje nekretnina za potrebe tijela državne uprave ili drugih tijela korisnika državnog proračuna te drugih osoba; </w:t>
      </w:r>
    </w:p>
    <w:p w:rsidR="00D849AA" w:rsidRDefault="00EE6D95">
      <w:pPr>
        <w:pStyle w:val="Normal5"/>
      </w:pPr>
      <w:r>
        <w:t xml:space="preserve">Uredba o darovanju nekretnina u vlasništvu Republike Hrvatske; </w:t>
      </w:r>
    </w:p>
    <w:p w:rsidR="00D849AA" w:rsidRDefault="00EE6D95">
      <w:pPr>
        <w:pStyle w:val="Normal5"/>
      </w:pPr>
      <w:r>
        <w:t xml:space="preserve">Uredba o načinima raspolaganja nekretninama u vlasništvu Republike Hrvatske; </w:t>
      </w:r>
    </w:p>
    <w:p w:rsidR="00D849AA" w:rsidRDefault="00EE6D95">
      <w:pPr>
        <w:pStyle w:val="Normal5"/>
      </w:pPr>
      <w:r>
        <w:t xml:space="preserve">Odluka o prodaji stanova u vlasništvu RH kojima upravlja MORH; </w:t>
      </w:r>
    </w:p>
    <w:p w:rsidR="00D849AA" w:rsidRDefault="00EE6D95">
      <w:pPr>
        <w:pStyle w:val="Normal5"/>
      </w:pPr>
      <w:r>
        <w:t>Strateški plan državnog ureda za razdoblje 2014.-2016.</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Cilj 1. Kvaliteno upravljanje nekretninama u vlasništvu RH</w:t>
      </w:r>
    </w:p>
    <w:p w:rsidR="00D849AA" w:rsidRDefault="00EE6D95">
      <w:pPr>
        <w:pStyle w:val="Normal6"/>
      </w:pPr>
      <w:r>
        <w:t xml:space="preserve">Nekretnine u vlasništvu Republike Hrvatske prvorazredni su kapital koji treba staviti u funkciju i sačuvati za buduće generacije. Nekretnine u vlasništvu Republike Hrvatske bit će u budućnosti jedan od važnih resursa gospodarskog razvoja i moraju se odgovorno upotrebljavati. Oni koji upravljaju moraju osigurati da se postupci eventualne prodaje vode sukladno važećim zakonima, a da sve aktivnosti budu usmjerene tome da doprinose najboljim rezultatima za državu. Također, mora se dati važnost ekonomskoj utemeljenosti predloženih pravnih poslova s nekretninama. Svaka odluka o upravljanju nekretninama u vlasništvu Republike Hrvatske mora se temeljiti i na najvećem mogućem ekonomskom učinku. Radi zaštite dugoročnih interesa, Republika Hrvatska treba težiti da što veći udio nekretnina bude aktiviran kroz osnivanje prava građenja i prava služnosti što će omogućiti korištenje prema namjeni, povećati prihode proračuna, a predmetne nekretnine će nakon isteka ugovora s investitorom ostati u vlasništvu Republike Hrvatske. Uz mogućnost kod pojedinih slučajeva stjecanja vlasništva nakon osnivanja prava građenja. To će ujedno biti način sprečavanja zloupotrebe nekretnina i nezakonitog bogaćenja pojedinaca, onemogućavanja korupcije i osiguravanja maksimalne ekonomske koristi države. Nužno je ojačati sustav nadzora i utjecaja osnivača nad upravljanjem i raspolaganjem imovinom u vlasništvu tih ustanova kako bi  i u tom dijelu bio poznat opseg imovine. Nadalje, sve oblici imovine koje imaju u vlasništvu ustanove kojima je osnivač Republika Hrvatska ili </w:t>
      </w:r>
      <w:r>
        <w:lastRenderedPageBreak/>
        <w:t>jedinice lokalne i područne (regionalne) samouprave trebaju biti uneseni u Središnji registrar imovine u vlasništvu Republike Hrvatske što će doprinijeti borbi protiv korupcije i većoj transparentnosti, ali i osiguravanju bolje iskoristivosti tako evidentirane imovine. Jedan od glavnih zadataka u procesu upravljanja imovinom u vlasništvu Republike Hrvatske bit će i uspostava jedinstvenog sustava i kriterija u procjeni vrijednosti pojedinog oblika imovine u vlasništvu Republike Hrvatske, posebice nekretnina, kako bi se što transparentnije odredila njezina vrijednost.</w:t>
      </w:r>
    </w:p>
    <w:p w:rsidR="00D849AA" w:rsidRDefault="00EE6D95">
      <w:pPr>
        <w:pStyle w:val="Naslov7"/>
      </w:pPr>
      <w:r>
        <w:t>Cilj 2. Dovršiti privatizaciju i unaprijediti upravljanje trgovačkim društvima</w:t>
      </w:r>
    </w:p>
    <w:p w:rsidR="00D849AA" w:rsidRDefault="00EE6D95">
      <w:pPr>
        <w:pStyle w:val="Normal6"/>
      </w:pPr>
      <w:r>
        <w:t>Strategijom su utvrđena i imenovana trgovačka društva od strateškog značaja za RH i trgovačka društva u potpunom ili djelomičnom vlasništvu RH koja ne predstavljaju toliki značaj ili RH u njima nema značajnije udjele. Trgovačka društva od strateškog značaja za RH osim što pridonose općem dobru moraju sudjelovati u gospodarskom razvoju RH i doprinositi rastu BDP-a. Takva trgovačka društa trebaju ostati u vlasništvu RH. Odgovorno i učinkovito upravljanje tim društvima jedini je preduvjet iskorištavanja njihovog potencijala za daljnji razvoj gospodarstva. Strategijom je također predviđena privatizacija svih onih društava koja nisu od strateškog značaja i za koja se u narednom periodu treba dovršiti privatizacija. Odgovornost se osigurava propisivanjem ovlasti i dužnosti pojedinih nositelja funkcija upravljanja imovinom u vlasništvu Republike Hrvatske, nadzorom nad upravljanjem  imovinom u vlasništvu Republike Hrvatske, izvještavanjem o postignutim ciljevima i učincima upravljanja imovinom u vlasništvu Republike Hrvatske i poduzimanjem mjera protiv onih koji ne postupaju sukladno propisima.</w:t>
      </w:r>
    </w:p>
    <w:p w:rsidR="00D849AA" w:rsidRDefault="00EE6D95">
      <w:pPr>
        <w:pStyle w:val="Naslov7"/>
      </w:pPr>
      <w:r>
        <w:t>Cilj 3. Procijena, harmonizacija i prijedlog novih propisa</w:t>
      </w:r>
    </w:p>
    <w:p w:rsidR="00D849AA" w:rsidRDefault="00EE6D95">
      <w:pPr>
        <w:pStyle w:val="Normal6"/>
      </w:pPr>
      <w:r>
        <w:t xml:space="preserve">U svrhu izgradnje sustava integralnog upravljanja, potrebno je kontinuirano raditi na usuglašavanju svih zakona i propisa koji reguliraju ovu materiju. Harmoniziranje sustava imovine u vlasništvu Republike Hrvatske bit će jedan od trajnih zadataka Vlade Republike Hrvatske i Državnog ureda. Temeljena zakonska načela upravljanja imovinom u vlasništvu Republike Hrvatske, te ekonomska korist od imovine, sustavno će se promicati u aktivnostima korištenja svih oblika imovine u vlasništvu Republike Hrvatske i bit će od velikog značenja za usavršavanje sustava imovine u vlasništvu Republike Hrvatske. Izgradnjom institucionalnog okvira potrebno je konačno napustiti praksu zaostalu iz vremena društvenog vlasništva. U mnogim oblicima upravljanja nije učinjen odmak od te prakse, a posebno se mora posvetiti pažnja uspostavljanju učinkovitog upravljanja u svrhu ostvarivanja ekonomske koristi.  </w:t>
      </w:r>
    </w:p>
    <w:p w:rsidR="00D849AA" w:rsidRDefault="00EE6D95">
      <w:pPr>
        <w:pStyle w:val="Normal6"/>
      </w:pPr>
      <w:r>
        <w:t>Potrebno je uspostaviti takve normativne i provedbene instrumente na temelju kojih bi se osiguralo da, s jedne strane, neposredna odgovornost za cjelokupno upravljanje imovinom u vlasništvu Republike Hrvatske bude na Vladi Republike Hrvatske i Hrvatskom saboru, a da, s druge strane, Državno odvjetništvo, sukladno ustavnim ovlastima i dužnostima, osigura u najvećoj mogućoj mjeri zaštitu imovine i imovinskih interesa Republike Hrvatske.</w:t>
      </w:r>
    </w:p>
    <w:p w:rsidR="00D849AA" w:rsidRDefault="00EE6D95">
      <w:pPr>
        <w:pStyle w:val="Naslov7"/>
      </w:pPr>
      <w:r>
        <w:t>Cilj 4. Izraditi Informacijski sustav upravljanja državnom imovinom na bazi središnjeg registara imovine u vlasništvu RH s dodacima</w:t>
      </w:r>
    </w:p>
    <w:p w:rsidR="00D849AA" w:rsidRDefault="00EE6D95">
      <w:pPr>
        <w:pStyle w:val="Normal6"/>
      </w:pPr>
      <w:r>
        <w:t xml:space="preserve">Središnji registar imovine u vlasništvu Republike Hrvatske predstavlja sveobuhvatnu i cjelovitu evidenciju imovine u vlasništvu Republike Hrvatske i sastoji se od uređenog, standardiziranog, kontinuirano ažuriranog popisa imovine u vlasništvu Republike Hrvatske. Ustrojavanje tog registra je dugoročan, kontinuirani proces. Nakon uspostave Registra potrebno je razvijanje ostalih poslovnih procesa koji se nadovezuju i proizlaze iz poslova upravljanja imovinom, kao što su imovinsko-pravni poslovi, gospodarenje i </w:t>
      </w:r>
      <w:r>
        <w:lastRenderedPageBreak/>
        <w:t>upravljanje te analiza i izvješćivanje. Za učinkovito i uspješno upravljanje imovinom u vlasništvu Republike Hrvatske potrebno je izgraditi cijeloviti integralni informacijski sustav upravljanja državnom imovinom.</w:t>
      </w:r>
    </w:p>
    <w:p w:rsidR="00D849AA" w:rsidRDefault="00EE6D95">
      <w:pPr>
        <w:pStyle w:val="Naslov7"/>
      </w:pPr>
      <w:r>
        <w:t>Cilj 5. Izrada godišnjih planova upravljanja i raspolaganja imovinom</w:t>
      </w:r>
    </w:p>
    <w:p w:rsidR="00D849AA" w:rsidRDefault="00EE6D95">
      <w:pPr>
        <w:pStyle w:val="Normal6"/>
      </w:pPr>
      <w:r>
        <w:t>Državni ured ima zadaću pripremiti Godišnji nacrt Plana upravljanja državnom imovinom u kojem se definiraju operativni zadaci u upravljanju i raspolaganju državnom imovinom, te će biti pobrojane mjere za postizanje tih ciljeva. Godišnji plan mora osigurati ciljeve za svaki pojedinačni segment državne imovine i za svako trgovačko društvo koje je u Strategiji navedeno kao strateško, a za preostala društva mogu se postaviti zajednički ciljevi.</w:t>
      </w:r>
    </w:p>
    <w:p w:rsidR="00D849AA" w:rsidRDefault="00EE6D95">
      <w:pPr>
        <w:pStyle w:val="Naslov5"/>
      </w:pPr>
      <w:r>
        <w:t>Procjena i ishodište potrebnih sredstava za značajnije aktivnosti/projekte</w:t>
      </w:r>
    </w:p>
    <w:p w:rsidR="00D849AA" w:rsidRDefault="00EE6D95">
      <w:pPr>
        <w:pStyle w:val="Naslov6"/>
      </w:pPr>
      <w:r>
        <w:t>A861001 ADMINISTRACIJA I UPRAVLJANJE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A5008D" w:rsidRDefault="00EE6D95">
            <w:pPr>
              <w:pStyle w:val="CellHeader"/>
            </w:pPr>
            <w:r w:rsidRPr="00A5008D">
              <w:t>Naziv aktivnosti</w:t>
            </w:r>
          </w:p>
        </w:tc>
        <w:tc>
          <w:tcPr>
            <w:tcW w:w="1486" w:type="dxa"/>
            <w:shd w:val="clear" w:color="auto" w:fill="B5C0D8"/>
          </w:tcPr>
          <w:p w:rsidR="00D849AA" w:rsidRPr="00A5008D" w:rsidRDefault="00EE6D95">
            <w:pPr>
              <w:pStyle w:val="CellHeader"/>
            </w:pPr>
            <w:r w:rsidRPr="00A5008D">
              <w:t>Plan 2013.</w:t>
            </w:r>
          </w:p>
        </w:tc>
        <w:tc>
          <w:tcPr>
            <w:tcW w:w="1486" w:type="dxa"/>
            <w:shd w:val="clear" w:color="auto" w:fill="B5C0D8"/>
          </w:tcPr>
          <w:p w:rsidR="00D849AA" w:rsidRPr="00A5008D" w:rsidRDefault="00EE6D95">
            <w:pPr>
              <w:pStyle w:val="CellHeader"/>
            </w:pPr>
            <w:r w:rsidRPr="00A5008D">
              <w:t>Plan 2014.</w:t>
            </w:r>
          </w:p>
        </w:tc>
        <w:tc>
          <w:tcPr>
            <w:tcW w:w="1486" w:type="dxa"/>
            <w:shd w:val="clear" w:color="auto" w:fill="B5C0D8"/>
          </w:tcPr>
          <w:p w:rsidR="00D849AA" w:rsidRPr="00A5008D" w:rsidRDefault="00EE6D95">
            <w:pPr>
              <w:pStyle w:val="CellHeader"/>
            </w:pPr>
            <w:r w:rsidRPr="00A5008D">
              <w:t>Plan 2015.</w:t>
            </w:r>
          </w:p>
        </w:tc>
        <w:tc>
          <w:tcPr>
            <w:tcW w:w="1486" w:type="dxa"/>
            <w:shd w:val="clear" w:color="auto" w:fill="B5C0D8"/>
          </w:tcPr>
          <w:p w:rsidR="00D849AA" w:rsidRPr="00A5008D" w:rsidRDefault="00EE6D95">
            <w:pPr>
              <w:pStyle w:val="CellHeader"/>
            </w:pPr>
            <w:r w:rsidRPr="00A5008D">
              <w:t>Plan 2016.</w:t>
            </w:r>
          </w:p>
        </w:tc>
        <w:tc>
          <w:tcPr>
            <w:tcW w:w="1486" w:type="dxa"/>
            <w:shd w:val="clear" w:color="auto" w:fill="B5C0D8"/>
          </w:tcPr>
          <w:p w:rsidR="00D849AA" w:rsidRPr="00A5008D" w:rsidRDefault="00EE6D95">
            <w:pPr>
              <w:pStyle w:val="CellHeader"/>
            </w:pPr>
            <w:r w:rsidRPr="00A5008D">
              <w:t>Indeks 2014/2013</w:t>
            </w:r>
          </w:p>
        </w:tc>
      </w:tr>
      <w:tr w:rsidR="00D849AA">
        <w:trPr>
          <w:jc w:val="center"/>
        </w:trPr>
        <w:tc>
          <w:tcPr>
            <w:tcW w:w="1486" w:type="dxa"/>
          </w:tcPr>
          <w:p w:rsidR="00D849AA" w:rsidRPr="00A5008D" w:rsidRDefault="00EE6D95">
            <w:pPr>
              <w:pStyle w:val="CellColumn"/>
            </w:pPr>
            <w:r w:rsidRPr="00A5008D">
              <w:t>A861001</w:t>
            </w:r>
          </w:p>
        </w:tc>
        <w:tc>
          <w:tcPr>
            <w:tcW w:w="1486" w:type="dxa"/>
          </w:tcPr>
          <w:p w:rsidR="00D849AA" w:rsidRPr="00A5008D" w:rsidRDefault="00EE6D95">
            <w:pPr>
              <w:rPr>
                <w:rFonts w:ascii="Arial" w:hAnsi="Arial" w:cs="Arial"/>
              </w:rPr>
            </w:pPr>
            <w:r w:rsidRPr="00A5008D">
              <w:rPr>
                <w:rFonts w:ascii="Arial" w:hAnsi="Arial" w:cs="Arial"/>
              </w:rPr>
              <w:t>6.671.157</w:t>
            </w:r>
          </w:p>
        </w:tc>
        <w:tc>
          <w:tcPr>
            <w:tcW w:w="1486" w:type="dxa"/>
          </w:tcPr>
          <w:p w:rsidR="00D849AA" w:rsidRPr="00A5008D" w:rsidRDefault="00EE6D95">
            <w:pPr>
              <w:rPr>
                <w:rFonts w:ascii="Arial" w:hAnsi="Arial" w:cs="Arial"/>
              </w:rPr>
            </w:pPr>
            <w:r w:rsidRPr="00A5008D">
              <w:rPr>
                <w:rFonts w:ascii="Arial" w:hAnsi="Arial" w:cs="Arial"/>
              </w:rPr>
              <w:t>20.959.085</w:t>
            </w:r>
          </w:p>
        </w:tc>
        <w:tc>
          <w:tcPr>
            <w:tcW w:w="1486" w:type="dxa"/>
          </w:tcPr>
          <w:p w:rsidR="00D849AA" w:rsidRPr="00A5008D" w:rsidRDefault="00EE6D95">
            <w:pPr>
              <w:rPr>
                <w:rFonts w:ascii="Arial" w:hAnsi="Arial" w:cs="Arial"/>
              </w:rPr>
            </w:pPr>
            <w:r w:rsidRPr="00A5008D">
              <w:rPr>
                <w:rFonts w:ascii="Arial" w:hAnsi="Arial" w:cs="Arial"/>
              </w:rPr>
              <w:t>20.727.735</w:t>
            </w:r>
          </w:p>
        </w:tc>
        <w:tc>
          <w:tcPr>
            <w:tcW w:w="1486" w:type="dxa"/>
          </w:tcPr>
          <w:p w:rsidR="00D849AA" w:rsidRPr="00A5008D" w:rsidRDefault="00EE6D95">
            <w:pPr>
              <w:rPr>
                <w:rFonts w:ascii="Arial" w:hAnsi="Arial" w:cs="Arial"/>
              </w:rPr>
            </w:pPr>
            <w:r w:rsidRPr="00A5008D">
              <w:rPr>
                <w:rFonts w:ascii="Arial" w:hAnsi="Arial" w:cs="Arial"/>
              </w:rPr>
              <w:t>21.655.820</w:t>
            </w:r>
          </w:p>
        </w:tc>
        <w:tc>
          <w:tcPr>
            <w:tcW w:w="1486" w:type="dxa"/>
          </w:tcPr>
          <w:p w:rsidR="00D849AA" w:rsidRPr="00A5008D" w:rsidRDefault="00EE6D95">
            <w:pPr>
              <w:rPr>
                <w:rFonts w:ascii="Arial" w:hAnsi="Arial" w:cs="Arial"/>
              </w:rPr>
            </w:pPr>
            <w:r w:rsidRPr="00A5008D">
              <w:rPr>
                <w:rFonts w:ascii="Arial" w:hAnsi="Arial" w:cs="Arial"/>
              </w:rPr>
              <w:t>314,2</w:t>
            </w:r>
          </w:p>
        </w:tc>
      </w:tr>
    </w:tbl>
    <w:p w:rsidR="00D849AA" w:rsidRDefault="00D849AA">
      <w:pPr>
        <w:jc w:val="left"/>
      </w:pPr>
    </w:p>
    <w:p w:rsidR="00D849AA" w:rsidRDefault="00EE6D95">
      <w:pPr>
        <w:pStyle w:val="Normal6"/>
      </w:pPr>
      <w:r>
        <w:t>U ustrojstvenim jedinicama Državnog ureda planira se zaposliti, sukladno Uredbi Vlade o unutarnjem ustrojstvu državnog ureda, pored sada zaposlenih 8 i preuzetih 56 zaposlenika Agencije za upravljanje državnom imovinom, 14 državnih službenika. Zakonom o upravljanju i raspolaganju imovinom u vlasništvu Republike Hrvatske (NN 98/2013) Državni ured preuzeo je poslove koje je do gašenja obavljala Agencija za upravljanje državnom imovinom te su shodno tome planira povećanje izdataka.</w:t>
      </w:r>
    </w:p>
    <w:p w:rsidR="00D849AA" w:rsidRDefault="00EE6D95">
      <w:pPr>
        <w:pStyle w:val="Naslov6"/>
      </w:pPr>
      <w:r>
        <w:t>K861006 OPREMANJE UREDA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A5008D" w:rsidRDefault="00EE6D95">
            <w:pPr>
              <w:pStyle w:val="CellHeader"/>
            </w:pPr>
            <w:r w:rsidRPr="00A5008D">
              <w:t>Naziv aktivnosti</w:t>
            </w:r>
          </w:p>
        </w:tc>
        <w:tc>
          <w:tcPr>
            <w:tcW w:w="1486" w:type="dxa"/>
            <w:shd w:val="clear" w:color="auto" w:fill="B5C0D8"/>
          </w:tcPr>
          <w:p w:rsidR="00D849AA" w:rsidRPr="00A5008D" w:rsidRDefault="00EE6D95">
            <w:pPr>
              <w:pStyle w:val="CellHeader"/>
            </w:pPr>
            <w:r w:rsidRPr="00A5008D">
              <w:t>Plan 2013.</w:t>
            </w:r>
          </w:p>
        </w:tc>
        <w:tc>
          <w:tcPr>
            <w:tcW w:w="1486" w:type="dxa"/>
            <w:shd w:val="clear" w:color="auto" w:fill="B5C0D8"/>
          </w:tcPr>
          <w:p w:rsidR="00D849AA" w:rsidRPr="00A5008D" w:rsidRDefault="00EE6D95">
            <w:pPr>
              <w:pStyle w:val="CellHeader"/>
            </w:pPr>
            <w:r w:rsidRPr="00A5008D">
              <w:t>Plan 2014.</w:t>
            </w:r>
          </w:p>
        </w:tc>
        <w:tc>
          <w:tcPr>
            <w:tcW w:w="1486" w:type="dxa"/>
            <w:shd w:val="clear" w:color="auto" w:fill="B5C0D8"/>
          </w:tcPr>
          <w:p w:rsidR="00D849AA" w:rsidRPr="00A5008D" w:rsidRDefault="00EE6D95">
            <w:pPr>
              <w:pStyle w:val="CellHeader"/>
            </w:pPr>
            <w:r w:rsidRPr="00A5008D">
              <w:t>Plan 2015.</w:t>
            </w:r>
          </w:p>
        </w:tc>
        <w:tc>
          <w:tcPr>
            <w:tcW w:w="1486" w:type="dxa"/>
            <w:shd w:val="clear" w:color="auto" w:fill="B5C0D8"/>
          </w:tcPr>
          <w:p w:rsidR="00D849AA" w:rsidRPr="00A5008D" w:rsidRDefault="00EE6D95">
            <w:pPr>
              <w:pStyle w:val="CellHeader"/>
            </w:pPr>
            <w:r w:rsidRPr="00A5008D">
              <w:t>Plan 2016.</w:t>
            </w:r>
          </w:p>
        </w:tc>
        <w:tc>
          <w:tcPr>
            <w:tcW w:w="1486" w:type="dxa"/>
            <w:shd w:val="clear" w:color="auto" w:fill="B5C0D8"/>
          </w:tcPr>
          <w:p w:rsidR="00D849AA" w:rsidRPr="00A5008D" w:rsidRDefault="00EE6D95">
            <w:pPr>
              <w:pStyle w:val="CellHeader"/>
            </w:pPr>
            <w:r w:rsidRPr="00A5008D">
              <w:t>Indeks 2014/2013</w:t>
            </w:r>
          </w:p>
        </w:tc>
      </w:tr>
      <w:tr w:rsidR="00D849AA">
        <w:trPr>
          <w:jc w:val="center"/>
        </w:trPr>
        <w:tc>
          <w:tcPr>
            <w:tcW w:w="1486" w:type="dxa"/>
          </w:tcPr>
          <w:p w:rsidR="00D849AA" w:rsidRPr="00A5008D" w:rsidRDefault="00EE6D95">
            <w:pPr>
              <w:pStyle w:val="CellColumn"/>
            </w:pPr>
            <w:r w:rsidRPr="00A5008D">
              <w:t>K861006</w:t>
            </w:r>
          </w:p>
        </w:tc>
        <w:tc>
          <w:tcPr>
            <w:tcW w:w="1486" w:type="dxa"/>
          </w:tcPr>
          <w:p w:rsidR="00D849AA" w:rsidRPr="00A5008D" w:rsidRDefault="00EE6D95">
            <w:pPr>
              <w:rPr>
                <w:rFonts w:ascii="Arial" w:hAnsi="Arial" w:cs="Arial"/>
              </w:rPr>
            </w:pPr>
            <w:r w:rsidRPr="00A5008D">
              <w:rPr>
                <w:rFonts w:ascii="Arial" w:hAnsi="Arial" w:cs="Arial"/>
              </w:rPr>
              <w:t>89.136</w:t>
            </w:r>
          </w:p>
        </w:tc>
        <w:tc>
          <w:tcPr>
            <w:tcW w:w="1486" w:type="dxa"/>
          </w:tcPr>
          <w:p w:rsidR="00D849AA" w:rsidRPr="00A5008D" w:rsidRDefault="00EE6D95">
            <w:pPr>
              <w:rPr>
                <w:rFonts w:ascii="Arial" w:hAnsi="Arial" w:cs="Arial"/>
              </w:rPr>
            </w:pPr>
            <w:r w:rsidRPr="00A5008D">
              <w:rPr>
                <w:rFonts w:ascii="Arial" w:hAnsi="Arial" w:cs="Arial"/>
              </w:rPr>
              <w:t>220.000</w:t>
            </w:r>
          </w:p>
        </w:tc>
        <w:tc>
          <w:tcPr>
            <w:tcW w:w="1486" w:type="dxa"/>
          </w:tcPr>
          <w:p w:rsidR="00D849AA" w:rsidRPr="00A5008D" w:rsidRDefault="00EE6D95">
            <w:pPr>
              <w:rPr>
                <w:rFonts w:ascii="Arial" w:hAnsi="Arial" w:cs="Arial"/>
              </w:rPr>
            </w:pPr>
            <w:r w:rsidRPr="00A5008D">
              <w:rPr>
                <w:rFonts w:ascii="Arial" w:hAnsi="Arial" w:cs="Arial"/>
              </w:rPr>
              <w:t>196.681</w:t>
            </w:r>
          </w:p>
        </w:tc>
        <w:tc>
          <w:tcPr>
            <w:tcW w:w="1486" w:type="dxa"/>
          </w:tcPr>
          <w:p w:rsidR="00D849AA" w:rsidRPr="00A5008D" w:rsidRDefault="00EE6D95">
            <w:pPr>
              <w:rPr>
                <w:rFonts w:ascii="Arial" w:hAnsi="Arial" w:cs="Arial"/>
              </w:rPr>
            </w:pPr>
            <w:r w:rsidRPr="00A5008D">
              <w:rPr>
                <w:rFonts w:ascii="Arial" w:hAnsi="Arial" w:cs="Arial"/>
              </w:rPr>
              <w:t>191.171</w:t>
            </w:r>
          </w:p>
        </w:tc>
        <w:tc>
          <w:tcPr>
            <w:tcW w:w="1486" w:type="dxa"/>
          </w:tcPr>
          <w:p w:rsidR="00D849AA" w:rsidRPr="00A5008D" w:rsidRDefault="00EE6D95">
            <w:pPr>
              <w:rPr>
                <w:rFonts w:ascii="Arial" w:hAnsi="Arial" w:cs="Arial"/>
              </w:rPr>
            </w:pPr>
            <w:r w:rsidRPr="00A5008D">
              <w:rPr>
                <w:rFonts w:ascii="Arial" w:hAnsi="Arial" w:cs="Arial"/>
              </w:rPr>
              <w:t>246,8</w:t>
            </w:r>
          </w:p>
        </w:tc>
      </w:tr>
    </w:tbl>
    <w:p w:rsidR="00D849AA" w:rsidRDefault="00D849AA">
      <w:pPr>
        <w:jc w:val="left"/>
      </w:pPr>
    </w:p>
    <w:p w:rsidR="00D849AA" w:rsidRDefault="00EE6D95">
      <w:pPr>
        <w:pStyle w:val="Normal6"/>
      </w:pPr>
      <w:r>
        <w:t>Sredstvima u ovoj aktivnosti Državni ured planira opremiti radni prostor za nesmetan rad službenika s obzirom da ured nije raspolagao vlastitim namještajem te je dio uredskog namještaja u tijeku 2013. preuzeo od AUDIO-a , a dio rashodovanog uredskog namještaja od Ministarstva regionalnog razvoja i fondova Europske unije.</w:t>
      </w:r>
    </w:p>
    <w:p w:rsidR="00D849AA" w:rsidRDefault="00EE6D95">
      <w:pPr>
        <w:pStyle w:val="Naslov6"/>
      </w:pPr>
      <w:r>
        <w:t>K861007 INFORMATIZACIJA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A5008D" w:rsidRDefault="00EE6D95">
            <w:pPr>
              <w:pStyle w:val="CellHeader"/>
            </w:pPr>
            <w:r w:rsidRPr="00A5008D">
              <w:t>Naziv aktivnosti</w:t>
            </w:r>
          </w:p>
        </w:tc>
        <w:tc>
          <w:tcPr>
            <w:tcW w:w="1486" w:type="dxa"/>
            <w:shd w:val="clear" w:color="auto" w:fill="B5C0D8"/>
          </w:tcPr>
          <w:p w:rsidR="00D849AA" w:rsidRPr="00A5008D" w:rsidRDefault="00EE6D95">
            <w:pPr>
              <w:pStyle w:val="CellHeader"/>
            </w:pPr>
            <w:r w:rsidRPr="00A5008D">
              <w:t>Plan 2013.</w:t>
            </w:r>
          </w:p>
        </w:tc>
        <w:tc>
          <w:tcPr>
            <w:tcW w:w="1486" w:type="dxa"/>
            <w:shd w:val="clear" w:color="auto" w:fill="B5C0D8"/>
          </w:tcPr>
          <w:p w:rsidR="00D849AA" w:rsidRPr="00A5008D" w:rsidRDefault="00EE6D95">
            <w:pPr>
              <w:pStyle w:val="CellHeader"/>
            </w:pPr>
            <w:r w:rsidRPr="00A5008D">
              <w:t>Plan 2014.</w:t>
            </w:r>
          </w:p>
        </w:tc>
        <w:tc>
          <w:tcPr>
            <w:tcW w:w="1486" w:type="dxa"/>
            <w:shd w:val="clear" w:color="auto" w:fill="B5C0D8"/>
          </w:tcPr>
          <w:p w:rsidR="00D849AA" w:rsidRPr="00A5008D" w:rsidRDefault="00EE6D95">
            <w:pPr>
              <w:pStyle w:val="CellHeader"/>
            </w:pPr>
            <w:r w:rsidRPr="00A5008D">
              <w:t>Plan 2015.</w:t>
            </w:r>
          </w:p>
        </w:tc>
        <w:tc>
          <w:tcPr>
            <w:tcW w:w="1486" w:type="dxa"/>
            <w:shd w:val="clear" w:color="auto" w:fill="B5C0D8"/>
          </w:tcPr>
          <w:p w:rsidR="00D849AA" w:rsidRPr="00A5008D" w:rsidRDefault="00EE6D95">
            <w:pPr>
              <w:pStyle w:val="CellHeader"/>
            </w:pPr>
            <w:r w:rsidRPr="00A5008D">
              <w:t>Plan 2016.</w:t>
            </w:r>
          </w:p>
        </w:tc>
        <w:tc>
          <w:tcPr>
            <w:tcW w:w="1486" w:type="dxa"/>
            <w:shd w:val="clear" w:color="auto" w:fill="B5C0D8"/>
          </w:tcPr>
          <w:p w:rsidR="00D849AA" w:rsidRPr="00A5008D" w:rsidRDefault="00EE6D95">
            <w:pPr>
              <w:pStyle w:val="CellHeader"/>
            </w:pPr>
            <w:r w:rsidRPr="00A5008D">
              <w:t>Indeks 2014/2013</w:t>
            </w:r>
          </w:p>
        </w:tc>
      </w:tr>
      <w:tr w:rsidR="00D849AA">
        <w:trPr>
          <w:jc w:val="center"/>
        </w:trPr>
        <w:tc>
          <w:tcPr>
            <w:tcW w:w="1486" w:type="dxa"/>
          </w:tcPr>
          <w:p w:rsidR="00D849AA" w:rsidRPr="00A5008D" w:rsidRDefault="00EE6D95">
            <w:pPr>
              <w:pStyle w:val="CellColumn"/>
            </w:pPr>
            <w:r w:rsidRPr="00A5008D">
              <w:t>K861007</w:t>
            </w:r>
          </w:p>
        </w:tc>
        <w:tc>
          <w:tcPr>
            <w:tcW w:w="1486" w:type="dxa"/>
          </w:tcPr>
          <w:p w:rsidR="00D849AA" w:rsidRPr="00A5008D" w:rsidRDefault="00EE6D95">
            <w:pPr>
              <w:rPr>
                <w:rFonts w:ascii="Arial" w:hAnsi="Arial" w:cs="Arial"/>
              </w:rPr>
            </w:pPr>
            <w:r w:rsidRPr="00A5008D">
              <w:rPr>
                <w:rFonts w:ascii="Arial" w:hAnsi="Arial" w:cs="Arial"/>
              </w:rPr>
              <w:t>262.600</w:t>
            </w:r>
          </w:p>
        </w:tc>
        <w:tc>
          <w:tcPr>
            <w:tcW w:w="1486" w:type="dxa"/>
          </w:tcPr>
          <w:p w:rsidR="00D849AA" w:rsidRPr="00A5008D" w:rsidRDefault="00EE6D95">
            <w:pPr>
              <w:rPr>
                <w:rFonts w:ascii="Arial" w:hAnsi="Arial" w:cs="Arial"/>
              </w:rPr>
            </w:pPr>
            <w:r w:rsidRPr="00A5008D">
              <w:rPr>
                <w:rFonts w:ascii="Arial" w:hAnsi="Arial" w:cs="Arial"/>
              </w:rPr>
              <w:t>104.000</w:t>
            </w:r>
          </w:p>
        </w:tc>
        <w:tc>
          <w:tcPr>
            <w:tcW w:w="1486" w:type="dxa"/>
          </w:tcPr>
          <w:p w:rsidR="00D849AA" w:rsidRPr="00A5008D" w:rsidRDefault="00EE6D95">
            <w:pPr>
              <w:rPr>
                <w:rFonts w:ascii="Arial" w:hAnsi="Arial" w:cs="Arial"/>
              </w:rPr>
            </w:pPr>
            <w:r w:rsidRPr="00A5008D">
              <w:rPr>
                <w:rFonts w:ascii="Arial" w:hAnsi="Arial" w:cs="Arial"/>
              </w:rPr>
              <w:t>93.401</w:t>
            </w:r>
          </w:p>
        </w:tc>
        <w:tc>
          <w:tcPr>
            <w:tcW w:w="1486" w:type="dxa"/>
          </w:tcPr>
          <w:p w:rsidR="00D849AA" w:rsidRPr="00A5008D" w:rsidRDefault="00EE6D95">
            <w:pPr>
              <w:rPr>
                <w:rFonts w:ascii="Arial" w:hAnsi="Arial" w:cs="Arial"/>
              </w:rPr>
            </w:pPr>
            <w:r w:rsidRPr="00A5008D">
              <w:rPr>
                <w:rFonts w:ascii="Arial" w:hAnsi="Arial" w:cs="Arial"/>
              </w:rPr>
              <w:t>97.715</w:t>
            </w:r>
          </w:p>
        </w:tc>
        <w:tc>
          <w:tcPr>
            <w:tcW w:w="1486" w:type="dxa"/>
          </w:tcPr>
          <w:p w:rsidR="00D849AA" w:rsidRPr="00A5008D" w:rsidRDefault="00EE6D95">
            <w:pPr>
              <w:rPr>
                <w:rFonts w:ascii="Arial" w:hAnsi="Arial" w:cs="Arial"/>
              </w:rPr>
            </w:pPr>
            <w:r w:rsidRPr="00A5008D">
              <w:rPr>
                <w:rFonts w:ascii="Arial" w:hAnsi="Arial" w:cs="Arial"/>
              </w:rPr>
              <w:t>39,6</w:t>
            </w:r>
          </w:p>
        </w:tc>
      </w:tr>
    </w:tbl>
    <w:p w:rsidR="00D849AA" w:rsidRDefault="00D849AA">
      <w:pPr>
        <w:jc w:val="left"/>
      </w:pPr>
    </w:p>
    <w:p w:rsidR="00D849AA" w:rsidRDefault="00EE6D95">
      <w:pPr>
        <w:pStyle w:val="Normal6"/>
      </w:pPr>
      <w:r>
        <w:t>Državni ured za upravljanje državnom imovinom u razdoblju 2014.-2016. godine ne planira veću nabavu informatičke i telekomunikacijske opreme osim nabave licenci neophodnih za redovno poslovanje Ureda.</w:t>
      </w:r>
    </w:p>
    <w:p w:rsidR="00D849AA" w:rsidRDefault="00EE6D95">
      <w:pPr>
        <w:pStyle w:val="Naslov1"/>
      </w:pPr>
      <w:r>
        <w:lastRenderedPageBreak/>
        <w:t>030 MINISTARSTVO OBRANE</w:t>
      </w:r>
    </w:p>
    <w:p w:rsidR="00D849AA" w:rsidRDefault="00EE6D95">
      <w:pPr>
        <w:pStyle w:val="Naslov4"/>
      </w:pPr>
      <w:r>
        <w:t>Uvod</w:t>
      </w:r>
    </w:p>
    <w:p w:rsidR="00D849AA" w:rsidRDefault="00EE6D95">
      <w:pPr>
        <w:pStyle w:val="Normal3"/>
      </w:pPr>
      <w:r>
        <w:t>Ministarstvo obrane obavlja upravne i druge poslove koji se odnose na planiranje i razvoj sustava nacionalne i kolektivne obrane, te osigurava referentni okvir za planiranje vojnih sposobnosti. U sklopu Ministarstva ustrojen je Glavni stožer Oružanih snaga Republike Hrvatske (GS OS RH) kao združeno tijelo Oružanih snaga za zapovijedanje, pripremu i uporabu Oružanih snaga RH. Oružane snage Republike Hrvatske štite njezin suverenitet i neovisnost te brane njenu teritorijalnu cjelovitost. Ulaskom u NATO savez RH je dobila jamstvo kolektivne obrane i preuzela partnerske obveze da štiti zajedničke vrijednosti i interese te jača međunarodnu sigurnost i očuvanje mira, promovira međunarodnu suradnju i razvija demokraciju i vladavinu prava. Ulaskom u Europsku uniju (EU) Ministarstvo obrane se uključilo u sigurnosnu i obrambenu dimenziju EU-a, te u skladu s tim razvija svoje upravne i vojne sposobnosti.</w:t>
      </w:r>
    </w:p>
    <w:tbl>
      <w:tblPr>
        <w:tblStyle w:val="Reetkatablice"/>
        <w:tblW w:w="0" w:type="auto"/>
        <w:jc w:val="center"/>
        <w:tblLook w:val="04A0" w:firstRow="1" w:lastRow="0" w:firstColumn="1" w:lastColumn="0" w:noHBand="0" w:noVBand="1"/>
      </w:tblPr>
      <w:tblGrid>
        <w:gridCol w:w="1486"/>
        <w:gridCol w:w="1496"/>
        <w:gridCol w:w="1496"/>
        <w:gridCol w:w="1496"/>
        <w:gridCol w:w="1496"/>
        <w:gridCol w:w="1486"/>
      </w:tblGrid>
      <w:tr w:rsidR="00D849AA" w:rsidTr="00A5008D">
        <w:trPr>
          <w:jc w:val="center"/>
        </w:trPr>
        <w:tc>
          <w:tcPr>
            <w:tcW w:w="1486" w:type="dxa"/>
            <w:shd w:val="clear" w:color="auto" w:fill="B5C0D8"/>
          </w:tcPr>
          <w:p w:rsidR="00D849AA" w:rsidRPr="00A5008D" w:rsidRDefault="00D849AA">
            <w:pPr>
              <w:pStyle w:val="CellHeader"/>
            </w:pPr>
          </w:p>
        </w:tc>
        <w:tc>
          <w:tcPr>
            <w:tcW w:w="1496" w:type="dxa"/>
            <w:shd w:val="clear" w:color="auto" w:fill="B5C0D8"/>
          </w:tcPr>
          <w:p w:rsidR="00D849AA" w:rsidRPr="00A5008D" w:rsidRDefault="00EE6D95">
            <w:pPr>
              <w:pStyle w:val="CellHeader"/>
            </w:pPr>
            <w:r w:rsidRPr="00A5008D">
              <w:t>Plan 2013.</w:t>
            </w:r>
          </w:p>
        </w:tc>
        <w:tc>
          <w:tcPr>
            <w:tcW w:w="1496" w:type="dxa"/>
            <w:shd w:val="clear" w:color="auto" w:fill="B5C0D8"/>
          </w:tcPr>
          <w:p w:rsidR="00D849AA" w:rsidRPr="00A5008D" w:rsidRDefault="00EE6D95">
            <w:pPr>
              <w:pStyle w:val="CellHeader"/>
            </w:pPr>
            <w:r w:rsidRPr="00A5008D">
              <w:t>Plan 2014.</w:t>
            </w:r>
          </w:p>
        </w:tc>
        <w:tc>
          <w:tcPr>
            <w:tcW w:w="1496" w:type="dxa"/>
            <w:shd w:val="clear" w:color="auto" w:fill="B5C0D8"/>
          </w:tcPr>
          <w:p w:rsidR="00D849AA" w:rsidRPr="00A5008D" w:rsidRDefault="00EE6D95">
            <w:pPr>
              <w:pStyle w:val="CellHeader"/>
            </w:pPr>
            <w:r w:rsidRPr="00A5008D">
              <w:t>Plan 2015.</w:t>
            </w:r>
          </w:p>
        </w:tc>
        <w:tc>
          <w:tcPr>
            <w:tcW w:w="1496" w:type="dxa"/>
            <w:shd w:val="clear" w:color="auto" w:fill="B5C0D8"/>
          </w:tcPr>
          <w:p w:rsidR="00D849AA" w:rsidRPr="00A5008D" w:rsidRDefault="00EE6D95">
            <w:pPr>
              <w:pStyle w:val="CellHeader"/>
            </w:pPr>
            <w:r w:rsidRPr="00A5008D">
              <w:t>Plan 2016.</w:t>
            </w:r>
          </w:p>
        </w:tc>
        <w:tc>
          <w:tcPr>
            <w:tcW w:w="1486" w:type="dxa"/>
            <w:shd w:val="clear" w:color="auto" w:fill="B5C0D8"/>
          </w:tcPr>
          <w:p w:rsidR="00D849AA" w:rsidRPr="00A5008D" w:rsidRDefault="00EE6D95">
            <w:pPr>
              <w:pStyle w:val="CellHeader"/>
            </w:pPr>
            <w:r w:rsidRPr="00A5008D">
              <w:t>Indeks 2014/2013</w:t>
            </w:r>
          </w:p>
        </w:tc>
      </w:tr>
      <w:tr w:rsidR="00D849AA" w:rsidTr="00A5008D">
        <w:trPr>
          <w:jc w:val="center"/>
        </w:trPr>
        <w:tc>
          <w:tcPr>
            <w:tcW w:w="1486" w:type="dxa"/>
          </w:tcPr>
          <w:p w:rsidR="00D849AA" w:rsidRPr="00A5008D" w:rsidRDefault="00EE6D95">
            <w:pPr>
              <w:pStyle w:val="CellColumn"/>
            </w:pPr>
            <w:r w:rsidRPr="00A5008D">
              <w:t>03005 Ministarstvo obrane</w:t>
            </w:r>
          </w:p>
        </w:tc>
        <w:tc>
          <w:tcPr>
            <w:tcW w:w="1496" w:type="dxa"/>
          </w:tcPr>
          <w:p w:rsidR="00D849AA" w:rsidRPr="00A5008D" w:rsidRDefault="00EE6D95">
            <w:pPr>
              <w:rPr>
                <w:rFonts w:ascii="Arial" w:hAnsi="Arial" w:cs="Arial"/>
              </w:rPr>
            </w:pPr>
            <w:r w:rsidRPr="00A5008D">
              <w:rPr>
                <w:rFonts w:ascii="Arial" w:hAnsi="Arial" w:cs="Arial"/>
              </w:rPr>
              <w:t>4.656.330.750</w:t>
            </w:r>
          </w:p>
        </w:tc>
        <w:tc>
          <w:tcPr>
            <w:tcW w:w="1496" w:type="dxa"/>
          </w:tcPr>
          <w:p w:rsidR="00D849AA" w:rsidRPr="00A5008D" w:rsidRDefault="00EE6D95">
            <w:pPr>
              <w:rPr>
                <w:rFonts w:ascii="Arial" w:hAnsi="Arial" w:cs="Arial"/>
              </w:rPr>
            </w:pPr>
            <w:r w:rsidRPr="00A5008D">
              <w:rPr>
                <w:rFonts w:ascii="Arial" w:hAnsi="Arial" w:cs="Arial"/>
              </w:rPr>
              <w:t>4.520.469.671</w:t>
            </w:r>
          </w:p>
        </w:tc>
        <w:tc>
          <w:tcPr>
            <w:tcW w:w="1496" w:type="dxa"/>
          </w:tcPr>
          <w:p w:rsidR="00D849AA" w:rsidRPr="00A5008D" w:rsidRDefault="00EE6D95">
            <w:pPr>
              <w:rPr>
                <w:rFonts w:ascii="Arial" w:hAnsi="Arial" w:cs="Arial"/>
              </w:rPr>
            </w:pPr>
            <w:r w:rsidRPr="00A5008D">
              <w:rPr>
                <w:rFonts w:ascii="Arial" w:hAnsi="Arial" w:cs="Arial"/>
              </w:rPr>
              <w:t>4.433.224.000</w:t>
            </w:r>
          </w:p>
        </w:tc>
        <w:tc>
          <w:tcPr>
            <w:tcW w:w="1496" w:type="dxa"/>
          </w:tcPr>
          <w:p w:rsidR="00D849AA" w:rsidRPr="00A5008D" w:rsidRDefault="00EE6D95">
            <w:pPr>
              <w:rPr>
                <w:rFonts w:ascii="Arial" w:hAnsi="Arial" w:cs="Arial"/>
              </w:rPr>
            </w:pPr>
            <w:r w:rsidRPr="00A5008D">
              <w:rPr>
                <w:rFonts w:ascii="Arial" w:hAnsi="Arial" w:cs="Arial"/>
              </w:rPr>
              <w:t>4.414.210.000</w:t>
            </w:r>
          </w:p>
        </w:tc>
        <w:tc>
          <w:tcPr>
            <w:tcW w:w="1486" w:type="dxa"/>
          </w:tcPr>
          <w:p w:rsidR="00D849AA" w:rsidRPr="00A5008D" w:rsidRDefault="00EE6D95">
            <w:pPr>
              <w:rPr>
                <w:rFonts w:ascii="Arial" w:hAnsi="Arial" w:cs="Arial"/>
              </w:rPr>
            </w:pPr>
            <w:r w:rsidRPr="00A5008D">
              <w:rPr>
                <w:rFonts w:ascii="Arial" w:hAnsi="Arial" w:cs="Arial"/>
              </w:rPr>
              <w:t>97,1</w:t>
            </w:r>
          </w:p>
        </w:tc>
      </w:tr>
      <w:tr w:rsidR="00D849AA" w:rsidTr="00A5008D">
        <w:trPr>
          <w:jc w:val="center"/>
        </w:trPr>
        <w:tc>
          <w:tcPr>
            <w:tcW w:w="1486" w:type="dxa"/>
            <w:shd w:val="clear" w:color="auto" w:fill="B5C0D8"/>
          </w:tcPr>
          <w:p w:rsidR="00D849AA" w:rsidRPr="00A5008D" w:rsidRDefault="00EE6D95">
            <w:pPr>
              <w:pStyle w:val="CellColumn"/>
            </w:pPr>
            <w:r w:rsidRPr="00A5008D">
              <w:t>Ukupno 030</w:t>
            </w:r>
          </w:p>
        </w:tc>
        <w:tc>
          <w:tcPr>
            <w:tcW w:w="1496" w:type="dxa"/>
            <w:shd w:val="clear" w:color="auto" w:fill="B5C0D8"/>
          </w:tcPr>
          <w:p w:rsidR="00D849AA" w:rsidRPr="00A5008D" w:rsidRDefault="00EE6D95">
            <w:pPr>
              <w:rPr>
                <w:rFonts w:ascii="Arial" w:hAnsi="Arial" w:cs="Arial"/>
              </w:rPr>
            </w:pPr>
            <w:r w:rsidRPr="00A5008D">
              <w:rPr>
                <w:rFonts w:ascii="Arial" w:hAnsi="Arial" w:cs="Arial"/>
              </w:rPr>
              <w:t>4.656.330.750</w:t>
            </w:r>
          </w:p>
        </w:tc>
        <w:tc>
          <w:tcPr>
            <w:tcW w:w="1496" w:type="dxa"/>
            <w:shd w:val="clear" w:color="auto" w:fill="B5C0D8"/>
          </w:tcPr>
          <w:p w:rsidR="00D849AA" w:rsidRPr="00A5008D" w:rsidRDefault="00EE6D95">
            <w:pPr>
              <w:rPr>
                <w:rFonts w:ascii="Arial" w:hAnsi="Arial" w:cs="Arial"/>
              </w:rPr>
            </w:pPr>
            <w:r w:rsidRPr="00A5008D">
              <w:rPr>
                <w:rFonts w:ascii="Arial" w:hAnsi="Arial" w:cs="Arial"/>
              </w:rPr>
              <w:t>4.520.469.671</w:t>
            </w:r>
          </w:p>
        </w:tc>
        <w:tc>
          <w:tcPr>
            <w:tcW w:w="1496" w:type="dxa"/>
            <w:shd w:val="clear" w:color="auto" w:fill="B5C0D8"/>
          </w:tcPr>
          <w:p w:rsidR="00D849AA" w:rsidRPr="00A5008D" w:rsidRDefault="00EE6D95">
            <w:pPr>
              <w:rPr>
                <w:rFonts w:ascii="Arial" w:hAnsi="Arial" w:cs="Arial"/>
              </w:rPr>
            </w:pPr>
            <w:r w:rsidRPr="00A5008D">
              <w:rPr>
                <w:rFonts w:ascii="Arial" w:hAnsi="Arial" w:cs="Arial"/>
              </w:rPr>
              <w:t>4.433.224.000</w:t>
            </w:r>
          </w:p>
        </w:tc>
        <w:tc>
          <w:tcPr>
            <w:tcW w:w="1496" w:type="dxa"/>
            <w:shd w:val="clear" w:color="auto" w:fill="B5C0D8"/>
          </w:tcPr>
          <w:p w:rsidR="00D849AA" w:rsidRPr="00A5008D" w:rsidRDefault="00EE6D95">
            <w:pPr>
              <w:rPr>
                <w:rFonts w:ascii="Arial" w:hAnsi="Arial" w:cs="Arial"/>
              </w:rPr>
            </w:pPr>
            <w:r w:rsidRPr="00A5008D">
              <w:rPr>
                <w:rFonts w:ascii="Arial" w:hAnsi="Arial" w:cs="Arial"/>
              </w:rPr>
              <w:t>4.414.210.000</w:t>
            </w:r>
          </w:p>
        </w:tc>
        <w:tc>
          <w:tcPr>
            <w:tcW w:w="1486" w:type="dxa"/>
            <w:shd w:val="clear" w:color="auto" w:fill="B5C0D8"/>
          </w:tcPr>
          <w:p w:rsidR="00D849AA" w:rsidRPr="00A5008D" w:rsidRDefault="00EE6D95">
            <w:pPr>
              <w:rPr>
                <w:rFonts w:ascii="Arial" w:hAnsi="Arial" w:cs="Arial"/>
              </w:rPr>
            </w:pPr>
            <w:r w:rsidRPr="00A5008D">
              <w:rPr>
                <w:rFonts w:ascii="Arial" w:hAnsi="Arial" w:cs="Arial"/>
              </w:rPr>
              <w:t>97,1</w:t>
            </w:r>
          </w:p>
        </w:tc>
      </w:tr>
    </w:tbl>
    <w:p w:rsidR="00A5008D" w:rsidRDefault="00A5008D" w:rsidP="00A5008D">
      <w:pPr>
        <w:jc w:val="left"/>
      </w:pPr>
    </w:p>
    <w:p w:rsidR="00A5008D" w:rsidRDefault="00A5008D" w:rsidP="00A5008D">
      <w:pPr>
        <w:pStyle w:val="Naslov4"/>
      </w:pPr>
      <w:r>
        <w:t>OBRAZLOŽENJE PROGRAMA</w:t>
      </w:r>
    </w:p>
    <w:p w:rsidR="00D849AA" w:rsidRDefault="00EE6D95">
      <w:pPr>
        <w:pStyle w:val="Naslov5"/>
      </w:pPr>
      <w:r>
        <w:t>2504 OPREMANJE, MODERNIZACIJA I IZGRADNJA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A5008D" w:rsidRDefault="00D849AA">
            <w:pPr>
              <w:pStyle w:val="CellHeader"/>
            </w:pPr>
          </w:p>
        </w:tc>
        <w:tc>
          <w:tcPr>
            <w:tcW w:w="1486" w:type="dxa"/>
            <w:shd w:val="clear" w:color="auto" w:fill="B5C0D8"/>
          </w:tcPr>
          <w:p w:rsidR="00D849AA" w:rsidRPr="00A5008D" w:rsidRDefault="00EE6D95">
            <w:pPr>
              <w:pStyle w:val="CellHeader"/>
            </w:pPr>
            <w:r w:rsidRPr="00A5008D">
              <w:t>Plan 2013.</w:t>
            </w:r>
          </w:p>
        </w:tc>
        <w:tc>
          <w:tcPr>
            <w:tcW w:w="1486" w:type="dxa"/>
            <w:shd w:val="clear" w:color="auto" w:fill="B5C0D8"/>
          </w:tcPr>
          <w:p w:rsidR="00D849AA" w:rsidRPr="00A5008D" w:rsidRDefault="00EE6D95">
            <w:pPr>
              <w:pStyle w:val="CellHeader"/>
            </w:pPr>
            <w:r w:rsidRPr="00A5008D">
              <w:t>Plan 2014.</w:t>
            </w:r>
          </w:p>
        </w:tc>
        <w:tc>
          <w:tcPr>
            <w:tcW w:w="1486" w:type="dxa"/>
            <w:shd w:val="clear" w:color="auto" w:fill="B5C0D8"/>
          </w:tcPr>
          <w:p w:rsidR="00D849AA" w:rsidRPr="00A5008D" w:rsidRDefault="00EE6D95">
            <w:pPr>
              <w:pStyle w:val="CellHeader"/>
            </w:pPr>
            <w:r w:rsidRPr="00A5008D">
              <w:t>Plan 2015.</w:t>
            </w:r>
          </w:p>
        </w:tc>
        <w:tc>
          <w:tcPr>
            <w:tcW w:w="1486" w:type="dxa"/>
            <w:shd w:val="clear" w:color="auto" w:fill="B5C0D8"/>
          </w:tcPr>
          <w:p w:rsidR="00D849AA" w:rsidRPr="00A5008D" w:rsidRDefault="00EE6D95">
            <w:pPr>
              <w:pStyle w:val="CellHeader"/>
            </w:pPr>
            <w:r w:rsidRPr="00A5008D">
              <w:t>Plan 2016.</w:t>
            </w:r>
          </w:p>
        </w:tc>
        <w:tc>
          <w:tcPr>
            <w:tcW w:w="1486" w:type="dxa"/>
            <w:shd w:val="clear" w:color="auto" w:fill="B5C0D8"/>
          </w:tcPr>
          <w:p w:rsidR="00D849AA" w:rsidRPr="00A5008D" w:rsidRDefault="00EE6D95">
            <w:pPr>
              <w:pStyle w:val="CellHeader"/>
            </w:pPr>
            <w:r w:rsidRPr="00A5008D">
              <w:t>Indeks 2014/2013</w:t>
            </w:r>
          </w:p>
        </w:tc>
      </w:tr>
      <w:tr w:rsidR="00D849AA">
        <w:trPr>
          <w:jc w:val="center"/>
        </w:trPr>
        <w:tc>
          <w:tcPr>
            <w:tcW w:w="1486" w:type="dxa"/>
          </w:tcPr>
          <w:p w:rsidR="00D849AA" w:rsidRPr="00A5008D" w:rsidRDefault="00EE6D95">
            <w:pPr>
              <w:pStyle w:val="CellColumn"/>
            </w:pPr>
            <w:r w:rsidRPr="00A5008D">
              <w:t>2504</w:t>
            </w:r>
          </w:p>
        </w:tc>
        <w:tc>
          <w:tcPr>
            <w:tcW w:w="1486" w:type="dxa"/>
          </w:tcPr>
          <w:p w:rsidR="00D849AA" w:rsidRPr="00A5008D" w:rsidRDefault="00EE6D95">
            <w:pPr>
              <w:rPr>
                <w:rFonts w:ascii="Arial" w:hAnsi="Arial" w:cs="Arial"/>
              </w:rPr>
            </w:pPr>
            <w:r w:rsidRPr="00A5008D">
              <w:rPr>
                <w:rFonts w:ascii="Arial" w:hAnsi="Arial" w:cs="Arial"/>
              </w:rPr>
              <w:t>975.841.816</w:t>
            </w:r>
          </w:p>
        </w:tc>
        <w:tc>
          <w:tcPr>
            <w:tcW w:w="1486" w:type="dxa"/>
          </w:tcPr>
          <w:p w:rsidR="00D849AA" w:rsidRPr="00A5008D" w:rsidRDefault="00EE6D95">
            <w:pPr>
              <w:rPr>
                <w:rFonts w:ascii="Arial" w:hAnsi="Arial" w:cs="Arial"/>
              </w:rPr>
            </w:pPr>
            <w:r w:rsidRPr="00A5008D">
              <w:rPr>
                <w:rFonts w:ascii="Arial" w:hAnsi="Arial" w:cs="Arial"/>
              </w:rPr>
              <w:t>902.096.570</w:t>
            </w:r>
          </w:p>
        </w:tc>
        <w:tc>
          <w:tcPr>
            <w:tcW w:w="1486" w:type="dxa"/>
          </w:tcPr>
          <w:p w:rsidR="00D849AA" w:rsidRPr="00A5008D" w:rsidRDefault="00EE6D95">
            <w:pPr>
              <w:rPr>
                <w:rFonts w:ascii="Arial" w:hAnsi="Arial" w:cs="Arial"/>
              </w:rPr>
            </w:pPr>
            <w:r w:rsidRPr="00A5008D">
              <w:rPr>
                <w:rFonts w:ascii="Arial" w:hAnsi="Arial" w:cs="Arial"/>
              </w:rPr>
              <w:t>884.293.760</w:t>
            </w:r>
          </w:p>
        </w:tc>
        <w:tc>
          <w:tcPr>
            <w:tcW w:w="1486" w:type="dxa"/>
          </w:tcPr>
          <w:p w:rsidR="00D849AA" w:rsidRPr="00A5008D" w:rsidRDefault="00EE6D95">
            <w:pPr>
              <w:rPr>
                <w:rFonts w:ascii="Arial" w:hAnsi="Arial" w:cs="Arial"/>
              </w:rPr>
            </w:pPr>
            <w:r w:rsidRPr="00A5008D">
              <w:rPr>
                <w:rFonts w:ascii="Arial" w:hAnsi="Arial" w:cs="Arial"/>
              </w:rPr>
              <w:t>879.216.210</w:t>
            </w:r>
          </w:p>
        </w:tc>
        <w:tc>
          <w:tcPr>
            <w:tcW w:w="1486" w:type="dxa"/>
          </w:tcPr>
          <w:p w:rsidR="00D849AA" w:rsidRPr="00A5008D" w:rsidRDefault="00EE6D95">
            <w:pPr>
              <w:rPr>
                <w:rFonts w:ascii="Arial" w:hAnsi="Arial" w:cs="Arial"/>
              </w:rPr>
            </w:pPr>
            <w:r w:rsidRPr="00A5008D">
              <w:rPr>
                <w:rFonts w:ascii="Arial" w:hAnsi="Arial" w:cs="Arial"/>
              </w:rPr>
              <w:t>92,4</w:t>
            </w:r>
          </w:p>
        </w:tc>
      </w:tr>
    </w:tbl>
    <w:p w:rsidR="00D849AA" w:rsidRDefault="00D849AA">
      <w:pPr>
        <w:jc w:val="left"/>
      </w:pPr>
    </w:p>
    <w:p w:rsidR="00D849AA" w:rsidRDefault="00EE6D95">
      <w:pPr>
        <w:pStyle w:val="Naslov6"/>
      </w:pPr>
      <w:r>
        <w:t>Opis programa</w:t>
      </w:r>
    </w:p>
    <w:p w:rsidR="00D849AA" w:rsidRDefault="00EE6D95">
      <w:pPr>
        <w:pStyle w:val="Normal5"/>
      </w:pPr>
      <w:r>
        <w:t>Kako bi Oružane snage mogle ostvarivati svoje zadaće zaštite suvereniteta i teritorijalnog integriteta RH te izvršavati obveze sudjelovanja u potpori programima osiguranja mira i stabilnosti u svijetu, moraju biti opremljene modernom opremom i naoružanjem. Uz opremu, potrebno je adaptirati i održavati postojeće objekte i infrastrukturu kao i izgraditi potrebne vojne komplekse. Za redovno funkcioniranje ustrojstvenih jedinica Ministarstva obrane i Oružanih snaga potrebna je kontinuirana opskrba materijalnim sredstvima i uslugama (odjeća, obuća, energenti, prehrana i dr.) vodeći računa o pravodobnom i učinkovitom upravljanju zalihama kako bi se osigurao kontinuitet u opskrbi.</w:t>
      </w:r>
    </w:p>
    <w:p w:rsidR="00D849AA" w:rsidRDefault="00EE6D95">
      <w:pPr>
        <w:pStyle w:val="Naslov6"/>
      </w:pPr>
      <w:r>
        <w:t>Zakonske i druge pravne osnove</w:t>
      </w:r>
    </w:p>
    <w:p w:rsidR="00D849AA" w:rsidRDefault="00EE6D95">
      <w:pPr>
        <w:pStyle w:val="Normal5"/>
      </w:pPr>
      <w:r>
        <w:t>Zakon o obrani (NN</w:t>
      </w:r>
      <w:r w:rsidR="00A5008D">
        <w:t xml:space="preserve"> </w:t>
      </w:r>
      <w:r>
        <w:t xml:space="preserve">73/13), Zakon o službi u Oružanim snagama RH (NN 73/13), Dugoročni plan razvoja OS RH 2006. – 2015. (NN 81/06), Pravilnik o načinu materijalnog zbrinjavanja OS RH (NN 179/04 i 88/08), Zakon o prostornom uređenju i gradnji (NN 76/07, 38/09,  55/11, 90/11, 50/12 i 55/12), Zakon o građevnim proizvodima (NN 76/13), Zakon o zaštiti </w:t>
      </w:r>
      <w:r>
        <w:lastRenderedPageBreak/>
        <w:t>okoliša (NN 110/07), Zakon o zaštiti prirode (NN 70/05, 139/08 ,57/11), Zakon o zaštiti na radu (NN 59/96, 94/96, 114/03, 100/04, 86/08, 116/08, 75/09), Zakon o zaštiti od požara (NN 92/10), Zakon o održivom gospodarenju otpadom (NN 94/13), Zakon o vlasništvu i drugim stvarnim pravima  (NN 91/96).</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Cilj 1. Poboljšati materijalnu komponentu sposobnosti Oružanih snaga RH, izgraditi i modernizirati objekte i infrastrukturu</w:t>
      </w:r>
    </w:p>
    <w:p w:rsidR="00D849AA" w:rsidRDefault="00EE6D95">
      <w:pPr>
        <w:pStyle w:val="Normal6"/>
      </w:pPr>
      <w:r>
        <w:t xml:space="preserve">Za ostvarenje zadanih misija i zadaća Oružane snage moraju biti opremljene modernom opremom i naoružanjem. Uz opremu, potrebno je adaptirati i održavati postojeće objekte i infrastrukturu kao i izgraditi potrebne vojne komplekse. Izgradnjom potrebnih vojno-skladišnih objekata te održavanjem  postojećih objekata i infrastrukture postići će se planirani teritorijalni razmještaj snaga u vojnim objektima, povećat će se kvaliteta života i rada djelatnika te unaprijediti prioritetne sposobnosti Oružanih snaga. Navedene sposobnosti će se ostvarivati implementacijom ciljeva sposobnosti u skladu s NATO ciljevima sposobnosti (Capability Targets) u dijelu koji se odnosi na Republiku Hrvatsku. </w:t>
      </w:r>
    </w:p>
    <w:p w:rsidR="00D849AA" w:rsidRDefault="00EE6D95">
      <w:pPr>
        <w:pStyle w:val="Normal6"/>
      </w:pPr>
      <w:r>
        <w:t>Napomena: polazna vrijednost za 2013. nije iskazana u 2013. godini budući da je usvojen novi paket ciljeva sposobnosti 2014. - 2019.</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284"/>
        <w:gridCol w:w="1114"/>
        <w:gridCol w:w="1486"/>
        <w:gridCol w:w="1486"/>
        <w:gridCol w:w="1486"/>
      </w:tblGrid>
      <w:tr w:rsidR="00D849AA">
        <w:trPr>
          <w:jc w:val="center"/>
        </w:trPr>
        <w:tc>
          <w:tcPr>
            <w:tcW w:w="2229" w:type="dxa"/>
            <w:shd w:val="clear" w:color="auto" w:fill="B5C0D8"/>
          </w:tcPr>
          <w:p w:rsidR="00D849AA" w:rsidRPr="00A5008D" w:rsidRDefault="00EE6D95">
            <w:pPr>
              <w:rPr>
                <w:rFonts w:ascii="Arial" w:hAnsi="Arial" w:cs="Arial"/>
              </w:rPr>
            </w:pPr>
            <w:r w:rsidRPr="00A5008D">
              <w:rPr>
                <w:rFonts w:ascii="Arial" w:hAnsi="Arial" w:cs="Arial"/>
              </w:rPr>
              <w:t>Pokazatelj učinka</w:t>
            </w:r>
          </w:p>
        </w:tc>
        <w:tc>
          <w:tcPr>
            <w:tcW w:w="1114" w:type="dxa"/>
            <w:shd w:val="clear" w:color="auto" w:fill="B5C0D8"/>
          </w:tcPr>
          <w:p w:rsidR="00D849AA" w:rsidRPr="00A5008D" w:rsidRDefault="00EE6D95">
            <w:pPr>
              <w:pStyle w:val="CellHeader"/>
            </w:pPr>
            <w:r w:rsidRPr="00A5008D">
              <w:t>Jedinica</w:t>
            </w:r>
          </w:p>
        </w:tc>
        <w:tc>
          <w:tcPr>
            <w:tcW w:w="1114" w:type="dxa"/>
            <w:shd w:val="clear" w:color="auto" w:fill="B5C0D8"/>
          </w:tcPr>
          <w:p w:rsidR="00D849AA" w:rsidRPr="00A5008D" w:rsidRDefault="00EE6D95">
            <w:pPr>
              <w:pStyle w:val="CellHeader"/>
            </w:pPr>
            <w:r w:rsidRPr="00A5008D">
              <w:t>Polazna vrijednost</w:t>
            </w:r>
          </w:p>
        </w:tc>
        <w:tc>
          <w:tcPr>
            <w:tcW w:w="1486" w:type="dxa"/>
            <w:shd w:val="clear" w:color="auto" w:fill="B5C0D8"/>
          </w:tcPr>
          <w:p w:rsidR="00D849AA" w:rsidRPr="00A5008D" w:rsidRDefault="00EE6D95">
            <w:pPr>
              <w:pStyle w:val="CellHeader"/>
            </w:pPr>
            <w:r w:rsidRPr="00A5008D">
              <w:t>Ciljana vrijednost (2014.)</w:t>
            </w:r>
          </w:p>
        </w:tc>
        <w:tc>
          <w:tcPr>
            <w:tcW w:w="1486" w:type="dxa"/>
            <w:shd w:val="clear" w:color="auto" w:fill="B5C0D8"/>
          </w:tcPr>
          <w:p w:rsidR="00D849AA" w:rsidRPr="00A5008D" w:rsidRDefault="00EE6D95">
            <w:pPr>
              <w:pStyle w:val="CellHeader"/>
            </w:pPr>
            <w:r w:rsidRPr="00A5008D">
              <w:t>Ciljana vrijednost (2015.)</w:t>
            </w:r>
          </w:p>
        </w:tc>
        <w:tc>
          <w:tcPr>
            <w:tcW w:w="1486" w:type="dxa"/>
            <w:shd w:val="clear" w:color="auto" w:fill="B5C0D8"/>
          </w:tcPr>
          <w:p w:rsidR="00D849AA" w:rsidRPr="00A5008D" w:rsidRDefault="00EE6D95">
            <w:pPr>
              <w:pStyle w:val="CellHeader"/>
            </w:pPr>
            <w:r w:rsidRPr="00A5008D">
              <w:t>Ciljana vrijednost (2016.)</w:t>
            </w:r>
          </w:p>
        </w:tc>
      </w:tr>
      <w:tr w:rsidR="00D849AA">
        <w:trPr>
          <w:jc w:val="center"/>
        </w:trPr>
        <w:tc>
          <w:tcPr>
            <w:tcW w:w="2229" w:type="dxa"/>
          </w:tcPr>
          <w:p w:rsidR="00D849AA" w:rsidRPr="00A5008D" w:rsidRDefault="00EE6D95">
            <w:pPr>
              <w:pStyle w:val="CellColumn"/>
            </w:pPr>
            <w:r w:rsidRPr="00A5008D">
              <w:t>Podizanje razine sposobnosti postrojbi OS RH</w:t>
            </w:r>
          </w:p>
        </w:tc>
        <w:tc>
          <w:tcPr>
            <w:tcW w:w="1114" w:type="dxa"/>
          </w:tcPr>
          <w:p w:rsidR="00D849AA" w:rsidRPr="00A5008D" w:rsidRDefault="00EE6D95">
            <w:pPr>
              <w:rPr>
                <w:rFonts w:ascii="Arial" w:hAnsi="Arial" w:cs="Arial"/>
              </w:rPr>
            </w:pPr>
            <w:r w:rsidRPr="00A5008D">
              <w:rPr>
                <w:rFonts w:ascii="Arial" w:hAnsi="Arial" w:cs="Arial"/>
              </w:rPr>
              <w:t>Broj usvojenih ciljeva sposobnosti</w:t>
            </w:r>
          </w:p>
        </w:tc>
        <w:tc>
          <w:tcPr>
            <w:tcW w:w="1114" w:type="dxa"/>
          </w:tcPr>
          <w:p w:rsidR="00D849AA" w:rsidRPr="00A5008D" w:rsidRDefault="00EE6D95">
            <w:pPr>
              <w:rPr>
                <w:rFonts w:ascii="Arial" w:hAnsi="Arial" w:cs="Arial"/>
              </w:rPr>
            </w:pPr>
            <w:r w:rsidRPr="00A5008D">
              <w:rPr>
                <w:rFonts w:ascii="Arial" w:hAnsi="Arial" w:cs="Arial"/>
              </w:rPr>
              <w:t>-</w:t>
            </w:r>
          </w:p>
        </w:tc>
        <w:tc>
          <w:tcPr>
            <w:tcW w:w="1486" w:type="dxa"/>
          </w:tcPr>
          <w:p w:rsidR="00D849AA" w:rsidRPr="00A5008D" w:rsidRDefault="00EE6D95">
            <w:pPr>
              <w:rPr>
                <w:rFonts w:ascii="Arial" w:hAnsi="Arial" w:cs="Arial"/>
              </w:rPr>
            </w:pPr>
            <w:r w:rsidRPr="00A5008D">
              <w:rPr>
                <w:rFonts w:ascii="Arial" w:hAnsi="Arial" w:cs="Arial"/>
              </w:rPr>
              <w:t>17</w:t>
            </w:r>
          </w:p>
        </w:tc>
        <w:tc>
          <w:tcPr>
            <w:tcW w:w="1486" w:type="dxa"/>
          </w:tcPr>
          <w:p w:rsidR="00D849AA" w:rsidRPr="00A5008D" w:rsidRDefault="00EE6D95">
            <w:pPr>
              <w:rPr>
                <w:rFonts w:ascii="Arial" w:hAnsi="Arial" w:cs="Arial"/>
              </w:rPr>
            </w:pPr>
            <w:r w:rsidRPr="00A5008D">
              <w:rPr>
                <w:rFonts w:ascii="Arial" w:hAnsi="Arial" w:cs="Arial"/>
              </w:rPr>
              <w:t>21</w:t>
            </w:r>
          </w:p>
        </w:tc>
        <w:tc>
          <w:tcPr>
            <w:tcW w:w="1486" w:type="dxa"/>
          </w:tcPr>
          <w:p w:rsidR="00D849AA" w:rsidRPr="00A5008D" w:rsidRDefault="00EE6D95">
            <w:pPr>
              <w:rPr>
                <w:rFonts w:ascii="Arial" w:hAnsi="Arial" w:cs="Arial"/>
              </w:rPr>
            </w:pPr>
            <w:r w:rsidRPr="00A5008D">
              <w:rPr>
                <w:rFonts w:ascii="Arial" w:hAnsi="Arial" w:cs="Arial"/>
              </w:rPr>
              <w:t>24</w:t>
            </w:r>
          </w:p>
        </w:tc>
      </w:tr>
    </w:tbl>
    <w:p w:rsidR="00D849AA" w:rsidRDefault="00D849AA">
      <w:pPr>
        <w:jc w:val="left"/>
      </w:pPr>
    </w:p>
    <w:p w:rsidR="00D849AA" w:rsidRDefault="00EE6D95">
      <w:pPr>
        <w:pStyle w:val="Naslov5"/>
      </w:pPr>
      <w:r>
        <w:t>Procjena i ishodište potrebnih sredstava za značajnije aktivnosti/projekte</w:t>
      </w:r>
    </w:p>
    <w:p w:rsidR="00D849AA" w:rsidRDefault="00EE6D95">
      <w:pPr>
        <w:pStyle w:val="Naslov6"/>
      </w:pPr>
      <w:r>
        <w:t>A545042 OPREMANJE MATERIJALNO TEHNIČKIM SREDSTVIMA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A5008D" w:rsidRDefault="00EE6D95">
            <w:pPr>
              <w:pStyle w:val="CellHeader"/>
            </w:pPr>
            <w:r w:rsidRPr="00A5008D">
              <w:t>Naziv aktivnosti</w:t>
            </w:r>
          </w:p>
        </w:tc>
        <w:tc>
          <w:tcPr>
            <w:tcW w:w="1486" w:type="dxa"/>
            <w:shd w:val="clear" w:color="auto" w:fill="B5C0D8"/>
          </w:tcPr>
          <w:p w:rsidR="00D849AA" w:rsidRPr="00A5008D" w:rsidRDefault="00EE6D95">
            <w:pPr>
              <w:pStyle w:val="CellHeader"/>
            </w:pPr>
            <w:r w:rsidRPr="00A5008D">
              <w:t>Plan 2013.</w:t>
            </w:r>
          </w:p>
        </w:tc>
        <w:tc>
          <w:tcPr>
            <w:tcW w:w="1486" w:type="dxa"/>
            <w:shd w:val="clear" w:color="auto" w:fill="B5C0D8"/>
          </w:tcPr>
          <w:p w:rsidR="00D849AA" w:rsidRPr="00A5008D" w:rsidRDefault="00EE6D95">
            <w:pPr>
              <w:pStyle w:val="CellHeader"/>
            </w:pPr>
            <w:r w:rsidRPr="00A5008D">
              <w:t>Plan 2014.</w:t>
            </w:r>
          </w:p>
        </w:tc>
        <w:tc>
          <w:tcPr>
            <w:tcW w:w="1486" w:type="dxa"/>
            <w:shd w:val="clear" w:color="auto" w:fill="B5C0D8"/>
          </w:tcPr>
          <w:p w:rsidR="00D849AA" w:rsidRPr="00A5008D" w:rsidRDefault="00EE6D95">
            <w:pPr>
              <w:pStyle w:val="CellHeader"/>
            </w:pPr>
            <w:r w:rsidRPr="00A5008D">
              <w:t>Plan 2015.</w:t>
            </w:r>
          </w:p>
        </w:tc>
        <w:tc>
          <w:tcPr>
            <w:tcW w:w="1486" w:type="dxa"/>
            <w:shd w:val="clear" w:color="auto" w:fill="B5C0D8"/>
          </w:tcPr>
          <w:p w:rsidR="00D849AA" w:rsidRPr="00A5008D" w:rsidRDefault="00EE6D95">
            <w:pPr>
              <w:pStyle w:val="CellHeader"/>
            </w:pPr>
            <w:r w:rsidRPr="00A5008D">
              <w:t>Plan 2016.</w:t>
            </w:r>
          </w:p>
        </w:tc>
        <w:tc>
          <w:tcPr>
            <w:tcW w:w="1486" w:type="dxa"/>
            <w:shd w:val="clear" w:color="auto" w:fill="B5C0D8"/>
          </w:tcPr>
          <w:p w:rsidR="00D849AA" w:rsidRPr="00A5008D" w:rsidRDefault="00EE6D95">
            <w:pPr>
              <w:pStyle w:val="CellHeader"/>
            </w:pPr>
            <w:r w:rsidRPr="00A5008D">
              <w:t>Indeks 2014/2013</w:t>
            </w:r>
          </w:p>
        </w:tc>
      </w:tr>
      <w:tr w:rsidR="00D849AA">
        <w:trPr>
          <w:jc w:val="center"/>
        </w:trPr>
        <w:tc>
          <w:tcPr>
            <w:tcW w:w="1486" w:type="dxa"/>
          </w:tcPr>
          <w:p w:rsidR="00D849AA" w:rsidRPr="00A5008D" w:rsidRDefault="00EE6D95">
            <w:pPr>
              <w:pStyle w:val="CellColumn"/>
            </w:pPr>
            <w:r w:rsidRPr="00A5008D">
              <w:t>A545042</w:t>
            </w:r>
          </w:p>
        </w:tc>
        <w:tc>
          <w:tcPr>
            <w:tcW w:w="1486" w:type="dxa"/>
          </w:tcPr>
          <w:p w:rsidR="00D849AA" w:rsidRPr="00A5008D" w:rsidRDefault="00EE6D95">
            <w:pPr>
              <w:rPr>
                <w:rFonts w:ascii="Arial" w:hAnsi="Arial" w:cs="Arial"/>
              </w:rPr>
            </w:pPr>
            <w:r w:rsidRPr="00A5008D">
              <w:rPr>
                <w:rFonts w:ascii="Arial" w:hAnsi="Arial" w:cs="Arial"/>
              </w:rPr>
              <w:t>191.931.690</w:t>
            </w:r>
          </w:p>
        </w:tc>
        <w:tc>
          <w:tcPr>
            <w:tcW w:w="1486" w:type="dxa"/>
          </w:tcPr>
          <w:p w:rsidR="00D849AA" w:rsidRPr="00A5008D" w:rsidRDefault="00EE6D95">
            <w:pPr>
              <w:rPr>
                <w:rFonts w:ascii="Arial" w:hAnsi="Arial" w:cs="Arial"/>
              </w:rPr>
            </w:pPr>
            <w:r w:rsidRPr="00A5008D">
              <w:rPr>
                <w:rFonts w:ascii="Arial" w:hAnsi="Arial" w:cs="Arial"/>
              </w:rPr>
              <w:t>248.251.200</w:t>
            </w:r>
          </w:p>
        </w:tc>
        <w:tc>
          <w:tcPr>
            <w:tcW w:w="1486" w:type="dxa"/>
          </w:tcPr>
          <w:p w:rsidR="00D849AA" w:rsidRPr="00A5008D" w:rsidRDefault="00EE6D95">
            <w:pPr>
              <w:rPr>
                <w:rFonts w:ascii="Arial" w:hAnsi="Arial" w:cs="Arial"/>
              </w:rPr>
            </w:pPr>
            <w:r w:rsidRPr="00A5008D">
              <w:rPr>
                <w:rFonts w:ascii="Arial" w:hAnsi="Arial" w:cs="Arial"/>
              </w:rPr>
              <w:t>241.896.260</w:t>
            </w:r>
          </w:p>
        </w:tc>
        <w:tc>
          <w:tcPr>
            <w:tcW w:w="1486" w:type="dxa"/>
          </w:tcPr>
          <w:p w:rsidR="00D849AA" w:rsidRPr="00A5008D" w:rsidRDefault="00EE6D95">
            <w:pPr>
              <w:rPr>
                <w:rFonts w:ascii="Arial" w:hAnsi="Arial" w:cs="Arial"/>
              </w:rPr>
            </w:pPr>
            <w:r w:rsidRPr="00A5008D">
              <w:rPr>
                <w:rFonts w:ascii="Arial" w:hAnsi="Arial" w:cs="Arial"/>
              </w:rPr>
              <w:t>192.388.310</w:t>
            </w:r>
          </w:p>
        </w:tc>
        <w:tc>
          <w:tcPr>
            <w:tcW w:w="1486" w:type="dxa"/>
          </w:tcPr>
          <w:p w:rsidR="00D849AA" w:rsidRPr="00A5008D" w:rsidRDefault="00EE6D95">
            <w:pPr>
              <w:rPr>
                <w:rFonts w:ascii="Arial" w:hAnsi="Arial" w:cs="Arial"/>
              </w:rPr>
            </w:pPr>
            <w:r w:rsidRPr="00A5008D">
              <w:rPr>
                <w:rFonts w:ascii="Arial" w:hAnsi="Arial" w:cs="Arial"/>
              </w:rPr>
              <w:t>129,3</w:t>
            </w:r>
          </w:p>
        </w:tc>
      </w:tr>
    </w:tbl>
    <w:p w:rsidR="00D849AA" w:rsidRDefault="00D849AA">
      <w:pPr>
        <w:jc w:val="left"/>
      </w:pPr>
    </w:p>
    <w:p w:rsidR="00D849AA" w:rsidRDefault="00EE6D95">
      <w:pPr>
        <w:pStyle w:val="Normal6"/>
      </w:pPr>
      <w:r>
        <w:t>Potreba za opremanjem materijalno tehničkim sredstvima proizlazi iz postojećih i budućih misija i zadaća OS RH i preuzetih obveza u međunarodnoj obrambenoj suradnji. Opremanje materijalno tehničkim sredstvima obuhvaća nastavak modernizacije borbenog zrakoplova MiG-21, opremanje jurišnim puškama s dodatnom opremom, inženjerijskim sredstvima, RBK opremom, specijalnim alatima za održavanje borbenih tehničko-materijalnih sredstava i naoružanja, alatima i mjerno-dijagnostičkom opremom, opremom za taborovanje, pješačkim naoružanjem i pripadajućom opremom, zdravstvenom i ostalom uredskom opremom.</w:t>
      </w:r>
    </w:p>
    <w:p w:rsidR="00A5008D" w:rsidRDefault="00A5008D">
      <w:pPr>
        <w:pStyle w:val="Normal6"/>
      </w:pPr>
    </w:p>
    <w:p w:rsidR="00D849AA" w:rsidRDefault="00EE6D95">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A5008D" w:rsidRDefault="00EE6D95">
            <w:pPr>
              <w:rPr>
                <w:rFonts w:ascii="Arial" w:hAnsi="Arial" w:cs="Arial"/>
              </w:rPr>
            </w:pPr>
            <w:r w:rsidRPr="00A5008D">
              <w:rPr>
                <w:rFonts w:ascii="Arial" w:hAnsi="Arial" w:cs="Arial"/>
              </w:rPr>
              <w:t>Pokazatelj rezultata</w:t>
            </w:r>
          </w:p>
        </w:tc>
        <w:tc>
          <w:tcPr>
            <w:tcW w:w="1114" w:type="dxa"/>
            <w:shd w:val="clear" w:color="auto" w:fill="B5C0D8"/>
          </w:tcPr>
          <w:p w:rsidR="00D849AA" w:rsidRPr="00A5008D" w:rsidRDefault="00EE6D95">
            <w:pPr>
              <w:pStyle w:val="CellHeader"/>
            </w:pPr>
            <w:r w:rsidRPr="00A5008D">
              <w:t>Jedinica</w:t>
            </w:r>
          </w:p>
        </w:tc>
        <w:tc>
          <w:tcPr>
            <w:tcW w:w="1114" w:type="dxa"/>
            <w:shd w:val="clear" w:color="auto" w:fill="B5C0D8"/>
          </w:tcPr>
          <w:p w:rsidR="00D849AA" w:rsidRPr="00A5008D" w:rsidRDefault="00EE6D95">
            <w:pPr>
              <w:pStyle w:val="CellHeader"/>
            </w:pPr>
            <w:r w:rsidRPr="00A5008D">
              <w:t>Polazna vrijednost</w:t>
            </w:r>
          </w:p>
        </w:tc>
        <w:tc>
          <w:tcPr>
            <w:tcW w:w="1486" w:type="dxa"/>
            <w:shd w:val="clear" w:color="auto" w:fill="B5C0D8"/>
          </w:tcPr>
          <w:p w:rsidR="00D849AA" w:rsidRPr="00A5008D" w:rsidRDefault="00EE6D95">
            <w:pPr>
              <w:pStyle w:val="CellHeader"/>
            </w:pPr>
            <w:r w:rsidRPr="00A5008D">
              <w:t>Ciljana vrijednost (2014.)</w:t>
            </w:r>
          </w:p>
        </w:tc>
        <w:tc>
          <w:tcPr>
            <w:tcW w:w="1486" w:type="dxa"/>
            <w:shd w:val="clear" w:color="auto" w:fill="B5C0D8"/>
          </w:tcPr>
          <w:p w:rsidR="00D849AA" w:rsidRPr="00A5008D" w:rsidRDefault="00EE6D95">
            <w:pPr>
              <w:pStyle w:val="CellHeader"/>
            </w:pPr>
            <w:r w:rsidRPr="00A5008D">
              <w:t>Ciljana vrijednost (2015.)</w:t>
            </w:r>
          </w:p>
        </w:tc>
        <w:tc>
          <w:tcPr>
            <w:tcW w:w="1486" w:type="dxa"/>
            <w:shd w:val="clear" w:color="auto" w:fill="B5C0D8"/>
          </w:tcPr>
          <w:p w:rsidR="00D849AA" w:rsidRPr="00A5008D" w:rsidRDefault="00EE6D95">
            <w:pPr>
              <w:pStyle w:val="CellHeader"/>
            </w:pPr>
            <w:r w:rsidRPr="00A5008D">
              <w:t>Ciljana vrijednost (2016.)</w:t>
            </w:r>
          </w:p>
        </w:tc>
      </w:tr>
      <w:tr w:rsidR="00D849AA">
        <w:trPr>
          <w:jc w:val="center"/>
        </w:trPr>
        <w:tc>
          <w:tcPr>
            <w:tcW w:w="2229" w:type="dxa"/>
          </w:tcPr>
          <w:p w:rsidR="00D849AA" w:rsidRPr="00A5008D" w:rsidRDefault="00EE6D95">
            <w:pPr>
              <w:pStyle w:val="CellColumn"/>
            </w:pPr>
            <w:r w:rsidRPr="00A5008D">
              <w:t>Broj jurišnih pušaka predanih u OS RH</w:t>
            </w:r>
          </w:p>
        </w:tc>
        <w:tc>
          <w:tcPr>
            <w:tcW w:w="1114" w:type="dxa"/>
          </w:tcPr>
          <w:p w:rsidR="00D849AA" w:rsidRPr="00A5008D" w:rsidRDefault="00EE6D95">
            <w:pPr>
              <w:rPr>
                <w:rFonts w:ascii="Arial" w:hAnsi="Arial" w:cs="Arial"/>
              </w:rPr>
            </w:pPr>
            <w:r w:rsidRPr="00A5008D">
              <w:rPr>
                <w:rFonts w:ascii="Arial" w:hAnsi="Arial" w:cs="Arial"/>
              </w:rPr>
              <w:t>Kom</w:t>
            </w:r>
          </w:p>
        </w:tc>
        <w:tc>
          <w:tcPr>
            <w:tcW w:w="1114" w:type="dxa"/>
          </w:tcPr>
          <w:p w:rsidR="00D849AA" w:rsidRPr="00A5008D" w:rsidRDefault="00EE6D95">
            <w:pPr>
              <w:rPr>
                <w:rFonts w:ascii="Arial" w:hAnsi="Arial" w:cs="Arial"/>
              </w:rPr>
            </w:pPr>
            <w:r w:rsidRPr="00A5008D">
              <w:rPr>
                <w:rFonts w:ascii="Arial" w:hAnsi="Arial" w:cs="Arial"/>
              </w:rPr>
              <w:t>5000</w:t>
            </w:r>
          </w:p>
        </w:tc>
        <w:tc>
          <w:tcPr>
            <w:tcW w:w="1486" w:type="dxa"/>
          </w:tcPr>
          <w:p w:rsidR="00D849AA" w:rsidRPr="00A5008D" w:rsidRDefault="00EE6D95">
            <w:pPr>
              <w:rPr>
                <w:rFonts w:ascii="Arial" w:hAnsi="Arial" w:cs="Arial"/>
              </w:rPr>
            </w:pPr>
            <w:r w:rsidRPr="00A5008D">
              <w:rPr>
                <w:rFonts w:ascii="Arial" w:hAnsi="Arial" w:cs="Arial"/>
              </w:rPr>
              <w:t>7300</w:t>
            </w:r>
          </w:p>
        </w:tc>
        <w:tc>
          <w:tcPr>
            <w:tcW w:w="1486" w:type="dxa"/>
          </w:tcPr>
          <w:p w:rsidR="00D849AA" w:rsidRPr="00A5008D" w:rsidRDefault="00EE6D95">
            <w:pPr>
              <w:rPr>
                <w:rFonts w:ascii="Arial" w:hAnsi="Arial" w:cs="Arial"/>
              </w:rPr>
            </w:pPr>
            <w:r w:rsidRPr="00A5008D">
              <w:rPr>
                <w:rFonts w:ascii="Arial" w:hAnsi="Arial" w:cs="Arial"/>
              </w:rPr>
              <w:t>9600</w:t>
            </w:r>
          </w:p>
        </w:tc>
        <w:tc>
          <w:tcPr>
            <w:tcW w:w="1486" w:type="dxa"/>
          </w:tcPr>
          <w:p w:rsidR="00D849AA" w:rsidRPr="00A5008D" w:rsidRDefault="00EE6D95">
            <w:pPr>
              <w:rPr>
                <w:rFonts w:ascii="Arial" w:hAnsi="Arial" w:cs="Arial"/>
              </w:rPr>
            </w:pPr>
            <w:r w:rsidRPr="00A5008D">
              <w:rPr>
                <w:rFonts w:ascii="Arial" w:hAnsi="Arial" w:cs="Arial"/>
              </w:rPr>
              <w:t>10500</w:t>
            </w:r>
          </w:p>
        </w:tc>
      </w:tr>
      <w:tr w:rsidR="00D849AA">
        <w:trPr>
          <w:jc w:val="center"/>
        </w:trPr>
        <w:tc>
          <w:tcPr>
            <w:tcW w:w="2229" w:type="dxa"/>
          </w:tcPr>
          <w:p w:rsidR="00D849AA" w:rsidRPr="00A5008D" w:rsidRDefault="00EE6D95">
            <w:pPr>
              <w:pStyle w:val="CellColumn"/>
            </w:pPr>
            <w:r w:rsidRPr="00A5008D">
              <w:t>Remont i modernizacija borbenog aviona MIG-21</w:t>
            </w:r>
          </w:p>
        </w:tc>
        <w:tc>
          <w:tcPr>
            <w:tcW w:w="1114" w:type="dxa"/>
          </w:tcPr>
          <w:p w:rsidR="00D849AA" w:rsidRPr="00A5008D" w:rsidRDefault="00EE6D95">
            <w:pPr>
              <w:rPr>
                <w:rFonts w:ascii="Arial" w:hAnsi="Arial" w:cs="Arial"/>
              </w:rPr>
            </w:pPr>
            <w:r w:rsidRPr="00A5008D">
              <w:rPr>
                <w:rFonts w:ascii="Arial" w:hAnsi="Arial" w:cs="Arial"/>
              </w:rPr>
              <w:t>Kom</w:t>
            </w:r>
          </w:p>
        </w:tc>
        <w:tc>
          <w:tcPr>
            <w:tcW w:w="1114" w:type="dxa"/>
          </w:tcPr>
          <w:p w:rsidR="00D849AA" w:rsidRPr="00A5008D" w:rsidRDefault="00EE6D95">
            <w:pPr>
              <w:rPr>
                <w:rFonts w:ascii="Arial" w:hAnsi="Arial" w:cs="Arial"/>
              </w:rPr>
            </w:pPr>
            <w:r w:rsidRPr="00A5008D">
              <w:rPr>
                <w:rFonts w:ascii="Arial" w:hAnsi="Arial" w:cs="Arial"/>
              </w:rPr>
              <w:t>6</w:t>
            </w:r>
          </w:p>
        </w:tc>
        <w:tc>
          <w:tcPr>
            <w:tcW w:w="1486" w:type="dxa"/>
          </w:tcPr>
          <w:p w:rsidR="00D849AA" w:rsidRPr="00A5008D" w:rsidRDefault="00EE6D95">
            <w:pPr>
              <w:rPr>
                <w:rFonts w:ascii="Arial" w:hAnsi="Arial" w:cs="Arial"/>
              </w:rPr>
            </w:pPr>
            <w:r w:rsidRPr="00A5008D">
              <w:rPr>
                <w:rFonts w:ascii="Arial" w:hAnsi="Arial" w:cs="Arial"/>
              </w:rPr>
              <w:t>6</w:t>
            </w:r>
          </w:p>
        </w:tc>
        <w:tc>
          <w:tcPr>
            <w:tcW w:w="1486" w:type="dxa"/>
          </w:tcPr>
          <w:p w:rsidR="00D849AA" w:rsidRPr="00A5008D" w:rsidRDefault="00EE6D95">
            <w:pPr>
              <w:rPr>
                <w:rFonts w:ascii="Arial" w:hAnsi="Arial" w:cs="Arial"/>
              </w:rPr>
            </w:pPr>
            <w:r w:rsidRPr="00A5008D">
              <w:rPr>
                <w:rFonts w:ascii="Arial" w:hAnsi="Arial" w:cs="Arial"/>
              </w:rPr>
              <w:t>0</w:t>
            </w:r>
          </w:p>
        </w:tc>
        <w:tc>
          <w:tcPr>
            <w:tcW w:w="1486" w:type="dxa"/>
          </w:tcPr>
          <w:p w:rsidR="00D849AA" w:rsidRPr="00A5008D" w:rsidRDefault="00EE6D95">
            <w:pPr>
              <w:rPr>
                <w:rFonts w:ascii="Arial" w:hAnsi="Arial" w:cs="Arial"/>
              </w:rPr>
            </w:pPr>
            <w:r w:rsidRPr="00A5008D">
              <w:rPr>
                <w:rFonts w:ascii="Arial" w:hAnsi="Arial" w:cs="Arial"/>
              </w:rPr>
              <w:t>0</w:t>
            </w:r>
          </w:p>
        </w:tc>
      </w:tr>
    </w:tbl>
    <w:p w:rsidR="00D849AA" w:rsidRDefault="00D849AA">
      <w:pPr>
        <w:jc w:val="left"/>
      </w:pPr>
    </w:p>
    <w:p w:rsidR="00D849AA" w:rsidRDefault="00EE6D95">
      <w:pPr>
        <w:pStyle w:val="Naslov6"/>
      </w:pPr>
      <w:r>
        <w:t>A545049 OPSKRBA MATERIJALNIM SREDSTVIMA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A5008D" w:rsidRDefault="00EE6D95">
            <w:pPr>
              <w:pStyle w:val="CellHeader"/>
            </w:pPr>
            <w:r w:rsidRPr="00A5008D">
              <w:t>Naziv aktivnosti</w:t>
            </w:r>
          </w:p>
        </w:tc>
        <w:tc>
          <w:tcPr>
            <w:tcW w:w="1486" w:type="dxa"/>
            <w:shd w:val="clear" w:color="auto" w:fill="B5C0D8"/>
          </w:tcPr>
          <w:p w:rsidR="00D849AA" w:rsidRPr="00A5008D" w:rsidRDefault="00EE6D95">
            <w:pPr>
              <w:pStyle w:val="CellHeader"/>
            </w:pPr>
            <w:r w:rsidRPr="00A5008D">
              <w:t>Plan 2013.</w:t>
            </w:r>
          </w:p>
        </w:tc>
        <w:tc>
          <w:tcPr>
            <w:tcW w:w="1486" w:type="dxa"/>
            <w:shd w:val="clear" w:color="auto" w:fill="B5C0D8"/>
          </w:tcPr>
          <w:p w:rsidR="00D849AA" w:rsidRPr="00A5008D" w:rsidRDefault="00EE6D95">
            <w:pPr>
              <w:pStyle w:val="CellHeader"/>
            </w:pPr>
            <w:r w:rsidRPr="00A5008D">
              <w:t>Plan 2014.</w:t>
            </w:r>
          </w:p>
        </w:tc>
        <w:tc>
          <w:tcPr>
            <w:tcW w:w="1486" w:type="dxa"/>
            <w:shd w:val="clear" w:color="auto" w:fill="B5C0D8"/>
          </w:tcPr>
          <w:p w:rsidR="00D849AA" w:rsidRPr="00A5008D" w:rsidRDefault="00EE6D95">
            <w:pPr>
              <w:pStyle w:val="CellHeader"/>
            </w:pPr>
            <w:r w:rsidRPr="00A5008D">
              <w:t>Plan 2015.</w:t>
            </w:r>
          </w:p>
        </w:tc>
        <w:tc>
          <w:tcPr>
            <w:tcW w:w="1486" w:type="dxa"/>
            <w:shd w:val="clear" w:color="auto" w:fill="B5C0D8"/>
          </w:tcPr>
          <w:p w:rsidR="00D849AA" w:rsidRPr="00A5008D" w:rsidRDefault="00EE6D95">
            <w:pPr>
              <w:pStyle w:val="CellHeader"/>
            </w:pPr>
            <w:r w:rsidRPr="00A5008D">
              <w:t>Plan 2016.</w:t>
            </w:r>
          </w:p>
        </w:tc>
        <w:tc>
          <w:tcPr>
            <w:tcW w:w="1486" w:type="dxa"/>
            <w:shd w:val="clear" w:color="auto" w:fill="B5C0D8"/>
          </w:tcPr>
          <w:p w:rsidR="00D849AA" w:rsidRPr="00A5008D" w:rsidRDefault="00EE6D95">
            <w:pPr>
              <w:pStyle w:val="CellHeader"/>
            </w:pPr>
            <w:r w:rsidRPr="00A5008D">
              <w:t>Indeks 2014/2013</w:t>
            </w:r>
          </w:p>
        </w:tc>
      </w:tr>
      <w:tr w:rsidR="00D849AA">
        <w:trPr>
          <w:jc w:val="center"/>
        </w:trPr>
        <w:tc>
          <w:tcPr>
            <w:tcW w:w="1486" w:type="dxa"/>
          </w:tcPr>
          <w:p w:rsidR="00D849AA" w:rsidRPr="00A5008D" w:rsidRDefault="00EE6D95">
            <w:pPr>
              <w:pStyle w:val="CellColumn"/>
            </w:pPr>
            <w:r w:rsidRPr="00A5008D">
              <w:t>A545049</w:t>
            </w:r>
          </w:p>
        </w:tc>
        <w:tc>
          <w:tcPr>
            <w:tcW w:w="1486" w:type="dxa"/>
          </w:tcPr>
          <w:p w:rsidR="00D849AA" w:rsidRPr="00A5008D" w:rsidRDefault="00EE6D95">
            <w:pPr>
              <w:rPr>
                <w:rFonts w:ascii="Arial" w:hAnsi="Arial" w:cs="Arial"/>
              </w:rPr>
            </w:pPr>
            <w:r w:rsidRPr="00A5008D">
              <w:rPr>
                <w:rFonts w:ascii="Arial" w:hAnsi="Arial" w:cs="Arial"/>
              </w:rPr>
              <w:t>321.649.316</w:t>
            </w:r>
          </w:p>
        </w:tc>
        <w:tc>
          <w:tcPr>
            <w:tcW w:w="1486" w:type="dxa"/>
          </w:tcPr>
          <w:p w:rsidR="00D849AA" w:rsidRPr="00A5008D" w:rsidRDefault="00EE6D95">
            <w:pPr>
              <w:rPr>
                <w:rFonts w:ascii="Arial" w:hAnsi="Arial" w:cs="Arial"/>
              </w:rPr>
            </w:pPr>
            <w:r w:rsidRPr="00A5008D">
              <w:rPr>
                <w:rFonts w:ascii="Arial" w:hAnsi="Arial" w:cs="Arial"/>
              </w:rPr>
              <w:t>357.970.370</w:t>
            </w:r>
          </w:p>
        </w:tc>
        <w:tc>
          <w:tcPr>
            <w:tcW w:w="1486" w:type="dxa"/>
          </w:tcPr>
          <w:p w:rsidR="00D849AA" w:rsidRPr="00A5008D" w:rsidRDefault="00EE6D95">
            <w:pPr>
              <w:rPr>
                <w:rFonts w:ascii="Arial" w:hAnsi="Arial" w:cs="Arial"/>
              </w:rPr>
            </w:pPr>
            <w:r w:rsidRPr="00A5008D">
              <w:rPr>
                <w:rFonts w:ascii="Arial" w:hAnsi="Arial" w:cs="Arial"/>
              </w:rPr>
              <w:t>349.922.500</w:t>
            </w:r>
          </w:p>
        </w:tc>
        <w:tc>
          <w:tcPr>
            <w:tcW w:w="1486" w:type="dxa"/>
          </w:tcPr>
          <w:p w:rsidR="00D849AA" w:rsidRPr="00A5008D" w:rsidRDefault="00EE6D95">
            <w:pPr>
              <w:rPr>
                <w:rFonts w:ascii="Arial" w:hAnsi="Arial" w:cs="Arial"/>
              </w:rPr>
            </w:pPr>
            <w:r w:rsidRPr="00A5008D">
              <w:rPr>
                <w:rFonts w:ascii="Arial" w:hAnsi="Arial" w:cs="Arial"/>
              </w:rPr>
              <w:t>351.412.900</w:t>
            </w:r>
          </w:p>
        </w:tc>
        <w:tc>
          <w:tcPr>
            <w:tcW w:w="1486" w:type="dxa"/>
          </w:tcPr>
          <w:p w:rsidR="00D849AA" w:rsidRPr="00A5008D" w:rsidRDefault="00EE6D95">
            <w:pPr>
              <w:rPr>
                <w:rFonts w:ascii="Arial" w:hAnsi="Arial" w:cs="Arial"/>
              </w:rPr>
            </w:pPr>
            <w:r w:rsidRPr="00A5008D">
              <w:rPr>
                <w:rFonts w:ascii="Arial" w:hAnsi="Arial" w:cs="Arial"/>
              </w:rPr>
              <w:t>111,3</w:t>
            </w:r>
          </w:p>
        </w:tc>
      </w:tr>
    </w:tbl>
    <w:p w:rsidR="00D849AA" w:rsidRDefault="00D849AA">
      <w:pPr>
        <w:jc w:val="left"/>
      </w:pPr>
    </w:p>
    <w:p w:rsidR="00D849AA" w:rsidRDefault="00EE6D95">
      <w:pPr>
        <w:pStyle w:val="Normal6"/>
      </w:pPr>
      <w:r>
        <w:t>Kako bi se omogućio redoviti život i rad ustrojstvenih cjelina MORH-a i Oružanih snaga potrebno je osigurati kontinuiranu opskrbu sredstvima koja osiguravaju funkcioniranje i redovan život i rad, što uključuje prehranu, energente (pogonsko gorivo, električna energija, loživo ulje, drva), naknade za komunalne usluge, uredski materijal, materijal i sredstava za čišćenje te materijal za higijenske potrebe. Potrebno je osigurati komplete odjeće i obuće za pripadnike OS RH. Potrebno je osigurati pravodobno, plansko i učinkovito upravljanje zalihama te osigurati potrebni kontinuitet u opskrbi.</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rsidRPr="00A5008D">
        <w:trPr>
          <w:jc w:val="center"/>
        </w:trPr>
        <w:tc>
          <w:tcPr>
            <w:tcW w:w="2229" w:type="dxa"/>
            <w:shd w:val="clear" w:color="auto" w:fill="B5C0D8"/>
          </w:tcPr>
          <w:p w:rsidR="00D849AA" w:rsidRPr="00A5008D" w:rsidRDefault="00EE6D95">
            <w:pPr>
              <w:rPr>
                <w:rFonts w:ascii="Arial" w:hAnsi="Arial" w:cs="Arial"/>
              </w:rPr>
            </w:pPr>
            <w:r w:rsidRPr="00A5008D">
              <w:rPr>
                <w:rFonts w:ascii="Arial" w:hAnsi="Arial" w:cs="Arial"/>
              </w:rPr>
              <w:t>Pokazatelj rezultata</w:t>
            </w:r>
          </w:p>
        </w:tc>
        <w:tc>
          <w:tcPr>
            <w:tcW w:w="1114" w:type="dxa"/>
            <w:shd w:val="clear" w:color="auto" w:fill="B5C0D8"/>
          </w:tcPr>
          <w:p w:rsidR="00D849AA" w:rsidRPr="00A5008D" w:rsidRDefault="00EE6D95">
            <w:pPr>
              <w:pStyle w:val="CellHeader"/>
            </w:pPr>
            <w:r w:rsidRPr="00A5008D">
              <w:t>Jedinica</w:t>
            </w:r>
          </w:p>
        </w:tc>
        <w:tc>
          <w:tcPr>
            <w:tcW w:w="1114" w:type="dxa"/>
            <w:shd w:val="clear" w:color="auto" w:fill="B5C0D8"/>
          </w:tcPr>
          <w:p w:rsidR="00D849AA" w:rsidRPr="00A5008D" w:rsidRDefault="00EE6D95">
            <w:pPr>
              <w:pStyle w:val="CellHeader"/>
            </w:pPr>
            <w:r w:rsidRPr="00A5008D">
              <w:t>Polazna vrijednost</w:t>
            </w:r>
          </w:p>
        </w:tc>
        <w:tc>
          <w:tcPr>
            <w:tcW w:w="1486" w:type="dxa"/>
            <w:shd w:val="clear" w:color="auto" w:fill="B5C0D8"/>
          </w:tcPr>
          <w:p w:rsidR="00D849AA" w:rsidRPr="00A5008D" w:rsidRDefault="00EE6D95">
            <w:pPr>
              <w:pStyle w:val="CellHeader"/>
            </w:pPr>
            <w:r w:rsidRPr="00A5008D">
              <w:t>Ciljana vrijednost (2014.)</w:t>
            </w:r>
          </w:p>
        </w:tc>
        <w:tc>
          <w:tcPr>
            <w:tcW w:w="1486" w:type="dxa"/>
            <w:shd w:val="clear" w:color="auto" w:fill="B5C0D8"/>
          </w:tcPr>
          <w:p w:rsidR="00D849AA" w:rsidRPr="00A5008D" w:rsidRDefault="00EE6D95">
            <w:pPr>
              <w:pStyle w:val="CellHeader"/>
            </w:pPr>
            <w:r w:rsidRPr="00A5008D">
              <w:t>Ciljana vrijednost (2015.)</w:t>
            </w:r>
          </w:p>
        </w:tc>
        <w:tc>
          <w:tcPr>
            <w:tcW w:w="1486" w:type="dxa"/>
            <w:shd w:val="clear" w:color="auto" w:fill="B5C0D8"/>
          </w:tcPr>
          <w:p w:rsidR="00D849AA" w:rsidRPr="00A5008D" w:rsidRDefault="00EE6D95">
            <w:pPr>
              <w:pStyle w:val="CellHeader"/>
            </w:pPr>
            <w:r w:rsidRPr="00A5008D">
              <w:t>Ciljana vrijednost (2016.)</w:t>
            </w:r>
          </w:p>
        </w:tc>
      </w:tr>
      <w:tr w:rsidR="00D849AA" w:rsidRPr="00A5008D">
        <w:trPr>
          <w:jc w:val="center"/>
        </w:trPr>
        <w:tc>
          <w:tcPr>
            <w:tcW w:w="2229" w:type="dxa"/>
          </w:tcPr>
          <w:p w:rsidR="00D849AA" w:rsidRPr="00A5008D" w:rsidRDefault="00EE6D95">
            <w:pPr>
              <w:pStyle w:val="CellColumn"/>
            </w:pPr>
            <w:r w:rsidRPr="00A5008D">
              <w:t>Broj nabavljenih kompleta prikrivnih odora po godinama</w:t>
            </w:r>
          </w:p>
        </w:tc>
        <w:tc>
          <w:tcPr>
            <w:tcW w:w="1114" w:type="dxa"/>
          </w:tcPr>
          <w:p w:rsidR="00D849AA" w:rsidRPr="00A5008D" w:rsidRDefault="00EE6D95">
            <w:pPr>
              <w:rPr>
                <w:rFonts w:ascii="Arial" w:hAnsi="Arial" w:cs="Arial"/>
              </w:rPr>
            </w:pPr>
            <w:r w:rsidRPr="00A5008D">
              <w:rPr>
                <w:rFonts w:ascii="Arial" w:hAnsi="Arial" w:cs="Arial"/>
              </w:rPr>
              <w:t>Kom</w:t>
            </w:r>
          </w:p>
        </w:tc>
        <w:tc>
          <w:tcPr>
            <w:tcW w:w="1114" w:type="dxa"/>
          </w:tcPr>
          <w:p w:rsidR="00D849AA" w:rsidRPr="00A5008D" w:rsidRDefault="00EE6D95">
            <w:pPr>
              <w:rPr>
                <w:rFonts w:ascii="Arial" w:hAnsi="Arial" w:cs="Arial"/>
              </w:rPr>
            </w:pPr>
            <w:r w:rsidRPr="00A5008D">
              <w:rPr>
                <w:rFonts w:ascii="Arial" w:hAnsi="Arial" w:cs="Arial"/>
              </w:rPr>
              <w:t>5000</w:t>
            </w:r>
          </w:p>
        </w:tc>
        <w:tc>
          <w:tcPr>
            <w:tcW w:w="1486" w:type="dxa"/>
          </w:tcPr>
          <w:p w:rsidR="00D849AA" w:rsidRPr="00A5008D" w:rsidRDefault="00EE6D95">
            <w:pPr>
              <w:rPr>
                <w:rFonts w:ascii="Arial" w:hAnsi="Arial" w:cs="Arial"/>
              </w:rPr>
            </w:pPr>
            <w:r w:rsidRPr="00A5008D">
              <w:rPr>
                <w:rFonts w:ascii="Arial" w:hAnsi="Arial" w:cs="Arial"/>
              </w:rPr>
              <w:t>4500</w:t>
            </w:r>
          </w:p>
        </w:tc>
        <w:tc>
          <w:tcPr>
            <w:tcW w:w="1486" w:type="dxa"/>
          </w:tcPr>
          <w:p w:rsidR="00D849AA" w:rsidRPr="00A5008D" w:rsidRDefault="00EE6D95">
            <w:pPr>
              <w:rPr>
                <w:rFonts w:ascii="Arial" w:hAnsi="Arial" w:cs="Arial"/>
              </w:rPr>
            </w:pPr>
            <w:r w:rsidRPr="00A5008D">
              <w:rPr>
                <w:rFonts w:ascii="Arial" w:hAnsi="Arial" w:cs="Arial"/>
              </w:rPr>
              <w:t>4000</w:t>
            </w:r>
          </w:p>
        </w:tc>
        <w:tc>
          <w:tcPr>
            <w:tcW w:w="1486" w:type="dxa"/>
          </w:tcPr>
          <w:p w:rsidR="00D849AA" w:rsidRPr="00A5008D" w:rsidRDefault="00EE6D95">
            <w:pPr>
              <w:rPr>
                <w:rFonts w:ascii="Arial" w:hAnsi="Arial" w:cs="Arial"/>
              </w:rPr>
            </w:pPr>
            <w:r w:rsidRPr="00A5008D">
              <w:rPr>
                <w:rFonts w:ascii="Arial" w:hAnsi="Arial" w:cs="Arial"/>
              </w:rPr>
              <w:t>4000</w:t>
            </w:r>
          </w:p>
        </w:tc>
      </w:tr>
      <w:tr w:rsidR="00D849AA" w:rsidRPr="00A5008D">
        <w:trPr>
          <w:jc w:val="center"/>
        </w:trPr>
        <w:tc>
          <w:tcPr>
            <w:tcW w:w="2229" w:type="dxa"/>
          </w:tcPr>
          <w:p w:rsidR="00D849AA" w:rsidRPr="00A5008D" w:rsidRDefault="00EE6D95">
            <w:pPr>
              <w:pStyle w:val="CellColumn"/>
            </w:pPr>
            <w:r w:rsidRPr="00A5008D">
              <w:t>Broj nabavljenih kompleta službenih odora po godinama</w:t>
            </w:r>
          </w:p>
        </w:tc>
        <w:tc>
          <w:tcPr>
            <w:tcW w:w="1114" w:type="dxa"/>
          </w:tcPr>
          <w:p w:rsidR="00D849AA" w:rsidRPr="00A5008D" w:rsidRDefault="00EE6D95">
            <w:pPr>
              <w:rPr>
                <w:rFonts w:ascii="Arial" w:hAnsi="Arial" w:cs="Arial"/>
              </w:rPr>
            </w:pPr>
            <w:r w:rsidRPr="00A5008D">
              <w:rPr>
                <w:rFonts w:ascii="Arial" w:hAnsi="Arial" w:cs="Arial"/>
              </w:rPr>
              <w:t>Kom</w:t>
            </w:r>
          </w:p>
        </w:tc>
        <w:tc>
          <w:tcPr>
            <w:tcW w:w="1114" w:type="dxa"/>
          </w:tcPr>
          <w:p w:rsidR="00D849AA" w:rsidRPr="00A5008D" w:rsidRDefault="00EE6D95">
            <w:pPr>
              <w:rPr>
                <w:rFonts w:ascii="Arial" w:hAnsi="Arial" w:cs="Arial"/>
              </w:rPr>
            </w:pPr>
            <w:r w:rsidRPr="00A5008D">
              <w:rPr>
                <w:rFonts w:ascii="Arial" w:hAnsi="Arial" w:cs="Arial"/>
              </w:rPr>
              <w:t>1000</w:t>
            </w:r>
          </w:p>
        </w:tc>
        <w:tc>
          <w:tcPr>
            <w:tcW w:w="1486" w:type="dxa"/>
          </w:tcPr>
          <w:p w:rsidR="00D849AA" w:rsidRPr="00A5008D" w:rsidRDefault="00EE6D95">
            <w:pPr>
              <w:rPr>
                <w:rFonts w:ascii="Arial" w:hAnsi="Arial" w:cs="Arial"/>
              </w:rPr>
            </w:pPr>
            <w:r w:rsidRPr="00A5008D">
              <w:rPr>
                <w:rFonts w:ascii="Arial" w:hAnsi="Arial" w:cs="Arial"/>
              </w:rPr>
              <w:t>800</w:t>
            </w:r>
          </w:p>
        </w:tc>
        <w:tc>
          <w:tcPr>
            <w:tcW w:w="1486" w:type="dxa"/>
          </w:tcPr>
          <w:p w:rsidR="00D849AA" w:rsidRPr="00A5008D" w:rsidRDefault="00EE6D95">
            <w:pPr>
              <w:rPr>
                <w:rFonts w:ascii="Arial" w:hAnsi="Arial" w:cs="Arial"/>
              </w:rPr>
            </w:pPr>
            <w:r w:rsidRPr="00A5008D">
              <w:rPr>
                <w:rFonts w:ascii="Arial" w:hAnsi="Arial" w:cs="Arial"/>
              </w:rPr>
              <w:t>500</w:t>
            </w:r>
          </w:p>
        </w:tc>
        <w:tc>
          <w:tcPr>
            <w:tcW w:w="1486" w:type="dxa"/>
          </w:tcPr>
          <w:p w:rsidR="00D849AA" w:rsidRPr="00A5008D" w:rsidRDefault="00EE6D95">
            <w:pPr>
              <w:rPr>
                <w:rFonts w:ascii="Arial" w:hAnsi="Arial" w:cs="Arial"/>
              </w:rPr>
            </w:pPr>
            <w:r w:rsidRPr="00A5008D">
              <w:rPr>
                <w:rFonts w:ascii="Arial" w:hAnsi="Arial" w:cs="Arial"/>
              </w:rPr>
              <w:t>500</w:t>
            </w:r>
          </w:p>
        </w:tc>
      </w:tr>
    </w:tbl>
    <w:p w:rsidR="00D849AA" w:rsidRPr="00A5008D" w:rsidRDefault="00D849AA">
      <w:pPr>
        <w:jc w:val="left"/>
        <w:rPr>
          <w:rFonts w:ascii="Arial" w:hAnsi="Arial" w:cs="Arial"/>
        </w:rPr>
      </w:pPr>
    </w:p>
    <w:p w:rsidR="00D849AA" w:rsidRDefault="00EE6D95">
      <w:pPr>
        <w:pStyle w:val="Naslov6"/>
      </w:pPr>
      <w:r>
        <w:t>A545050 IZGRADNJA OBJEKATA I INFRASTRUKTURE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A5008D" w:rsidRDefault="00EE6D95">
            <w:pPr>
              <w:pStyle w:val="CellHeader"/>
            </w:pPr>
            <w:r w:rsidRPr="00A5008D">
              <w:t>Naziv aktivnosti</w:t>
            </w:r>
          </w:p>
        </w:tc>
        <w:tc>
          <w:tcPr>
            <w:tcW w:w="1486" w:type="dxa"/>
            <w:shd w:val="clear" w:color="auto" w:fill="B5C0D8"/>
          </w:tcPr>
          <w:p w:rsidR="00D849AA" w:rsidRPr="00A5008D" w:rsidRDefault="00EE6D95">
            <w:pPr>
              <w:pStyle w:val="CellHeader"/>
            </w:pPr>
            <w:r w:rsidRPr="00A5008D">
              <w:t>Plan 2013.</w:t>
            </w:r>
          </w:p>
        </w:tc>
        <w:tc>
          <w:tcPr>
            <w:tcW w:w="1486" w:type="dxa"/>
            <w:shd w:val="clear" w:color="auto" w:fill="B5C0D8"/>
          </w:tcPr>
          <w:p w:rsidR="00D849AA" w:rsidRPr="00A5008D" w:rsidRDefault="00EE6D95">
            <w:pPr>
              <w:pStyle w:val="CellHeader"/>
            </w:pPr>
            <w:r w:rsidRPr="00A5008D">
              <w:t>Plan 2014.</w:t>
            </w:r>
          </w:p>
        </w:tc>
        <w:tc>
          <w:tcPr>
            <w:tcW w:w="1486" w:type="dxa"/>
            <w:shd w:val="clear" w:color="auto" w:fill="B5C0D8"/>
          </w:tcPr>
          <w:p w:rsidR="00D849AA" w:rsidRPr="00A5008D" w:rsidRDefault="00EE6D95">
            <w:pPr>
              <w:pStyle w:val="CellHeader"/>
            </w:pPr>
            <w:r w:rsidRPr="00A5008D">
              <w:t>Plan 2015.</w:t>
            </w:r>
          </w:p>
        </w:tc>
        <w:tc>
          <w:tcPr>
            <w:tcW w:w="1486" w:type="dxa"/>
            <w:shd w:val="clear" w:color="auto" w:fill="B5C0D8"/>
          </w:tcPr>
          <w:p w:rsidR="00D849AA" w:rsidRPr="00A5008D" w:rsidRDefault="00EE6D95">
            <w:pPr>
              <w:pStyle w:val="CellHeader"/>
            </w:pPr>
            <w:r w:rsidRPr="00A5008D">
              <w:t>Plan 2016.</w:t>
            </w:r>
          </w:p>
        </w:tc>
        <w:tc>
          <w:tcPr>
            <w:tcW w:w="1486" w:type="dxa"/>
            <w:shd w:val="clear" w:color="auto" w:fill="B5C0D8"/>
          </w:tcPr>
          <w:p w:rsidR="00D849AA" w:rsidRPr="00A5008D" w:rsidRDefault="00EE6D95">
            <w:pPr>
              <w:pStyle w:val="CellHeader"/>
            </w:pPr>
            <w:r w:rsidRPr="00A5008D">
              <w:t>Indeks 2014/2013</w:t>
            </w:r>
          </w:p>
        </w:tc>
      </w:tr>
      <w:tr w:rsidR="00D849AA">
        <w:trPr>
          <w:jc w:val="center"/>
        </w:trPr>
        <w:tc>
          <w:tcPr>
            <w:tcW w:w="1486" w:type="dxa"/>
          </w:tcPr>
          <w:p w:rsidR="00D849AA" w:rsidRPr="00A5008D" w:rsidRDefault="00EE6D95">
            <w:pPr>
              <w:pStyle w:val="CellColumn"/>
            </w:pPr>
            <w:r w:rsidRPr="00A5008D">
              <w:t>A545050</w:t>
            </w:r>
          </w:p>
        </w:tc>
        <w:tc>
          <w:tcPr>
            <w:tcW w:w="1486" w:type="dxa"/>
          </w:tcPr>
          <w:p w:rsidR="00D849AA" w:rsidRPr="00A5008D" w:rsidRDefault="00EE6D95">
            <w:pPr>
              <w:rPr>
                <w:rFonts w:ascii="Arial" w:hAnsi="Arial" w:cs="Arial"/>
              </w:rPr>
            </w:pPr>
            <w:r w:rsidRPr="00A5008D">
              <w:rPr>
                <w:rFonts w:ascii="Arial" w:hAnsi="Arial" w:cs="Arial"/>
              </w:rPr>
              <w:t>46.500.000</w:t>
            </w:r>
          </w:p>
        </w:tc>
        <w:tc>
          <w:tcPr>
            <w:tcW w:w="1486" w:type="dxa"/>
          </w:tcPr>
          <w:p w:rsidR="00D849AA" w:rsidRPr="00A5008D" w:rsidRDefault="00EE6D95">
            <w:pPr>
              <w:rPr>
                <w:rFonts w:ascii="Arial" w:hAnsi="Arial" w:cs="Arial"/>
              </w:rPr>
            </w:pPr>
            <w:r w:rsidRPr="00A5008D">
              <w:rPr>
                <w:rFonts w:ascii="Arial" w:hAnsi="Arial" w:cs="Arial"/>
              </w:rPr>
              <w:t>50.900.000</w:t>
            </w:r>
          </w:p>
        </w:tc>
        <w:tc>
          <w:tcPr>
            <w:tcW w:w="1486" w:type="dxa"/>
          </w:tcPr>
          <w:p w:rsidR="00D849AA" w:rsidRPr="00A5008D" w:rsidRDefault="00EE6D95">
            <w:pPr>
              <w:rPr>
                <w:rFonts w:ascii="Arial" w:hAnsi="Arial" w:cs="Arial"/>
              </w:rPr>
            </w:pPr>
            <w:r w:rsidRPr="00A5008D">
              <w:rPr>
                <w:rFonts w:ascii="Arial" w:hAnsi="Arial" w:cs="Arial"/>
              </w:rPr>
              <w:t>31.100.000</w:t>
            </w:r>
          </w:p>
        </w:tc>
        <w:tc>
          <w:tcPr>
            <w:tcW w:w="1486" w:type="dxa"/>
          </w:tcPr>
          <w:p w:rsidR="00D849AA" w:rsidRPr="00A5008D" w:rsidRDefault="00EE6D95">
            <w:pPr>
              <w:rPr>
                <w:rFonts w:ascii="Arial" w:hAnsi="Arial" w:cs="Arial"/>
              </w:rPr>
            </w:pPr>
            <w:r w:rsidRPr="00A5008D">
              <w:rPr>
                <w:rFonts w:ascii="Arial" w:hAnsi="Arial" w:cs="Arial"/>
              </w:rPr>
              <w:t>30.800.000</w:t>
            </w:r>
          </w:p>
        </w:tc>
        <w:tc>
          <w:tcPr>
            <w:tcW w:w="1486" w:type="dxa"/>
          </w:tcPr>
          <w:p w:rsidR="00D849AA" w:rsidRPr="00A5008D" w:rsidRDefault="00EE6D95">
            <w:pPr>
              <w:rPr>
                <w:rFonts w:ascii="Arial" w:hAnsi="Arial" w:cs="Arial"/>
              </w:rPr>
            </w:pPr>
            <w:r w:rsidRPr="00A5008D">
              <w:rPr>
                <w:rFonts w:ascii="Arial" w:hAnsi="Arial" w:cs="Arial"/>
              </w:rPr>
              <w:t>109,5</w:t>
            </w:r>
          </w:p>
        </w:tc>
      </w:tr>
    </w:tbl>
    <w:p w:rsidR="00D849AA" w:rsidRDefault="00D849AA">
      <w:pPr>
        <w:jc w:val="left"/>
      </w:pPr>
    </w:p>
    <w:p w:rsidR="00D849AA" w:rsidRDefault="00EE6D95">
      <w:pPr>
        <w:pStyle w:val="Normal6"/>
      </w:pPr>
      <w:r>
        <w:lastRenderedPageBreak/>
        <w:t>Izgradnjom objekata i infrastrukture omogućit će se poboljšanje kvalitete prostora za život i rad djelatnika Ministarstva obrane i Oružanih snaga RH. Postizanjem planiranog teritorijalnog razmještaja snaga u vojnim objektima te izgradnjom dodatnih kapaciteta i nove prateće infrastrukture unaprijedit će se prioritetne sposobnosti Oružanih snaga. U kompleksu „Debela glava“ Slunj, koji sadrži tipske građevine za smještaj i čuvanje tvarne pričuve ubojnih sredstava, u razdoblju 2015. – 2016. planirana je izgradnja jednog objekta godišnje. U sklopu vojnog skladišnog kompleksa „Hrvatski ždral“ u Doljanima, potrebno je izgraditi dodatne skladišne kapacitete. U 2014. i 2015. godini izgradit će se dva objekta godišnje, a u 2016. godini jedan objekt. U vojarni  pukovnik „Predrag Matanović“ Petrinja planira se izgraditi ukupno pet blokova smještajnih objekata za smještaj satnijskih grupa gardijske mehanizirane brigade i zapovjedno-nastavni objekt te prateća infrastruktura. U razdoblju 2014.-2016. planira se izgradnja jednog smještajnog objekta godišnje.</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A5008D" w:rsidRDefault="00EE6D95">
            <w:pPr>
              <w:rPr>
                <w:rFonts w:ascii="Arial" w:hAnsi="Arial" w:cs="Arial"/>
              </w:rPr>
            </w:pPr>
            <w:r w:rsidRPr="00A5008D">
              <w:rPr>
                <w:rFonts w:ascii="Arial" w:hAnsi="Arial" w:cs="Arial"/>
              </w:rPr>
              <w:t>Pokazatelj rezultata</w:t>
            </w:r>
          </w:p>
        </w:tc>
        <w:tc>
          <w:tcPr>
            <w:tcW w:w="1114" w:type="dxa"/>
            <w:shd w:val="clear" w:color="auto" w:fill="B5C0D8"/>
          </w:tcPr>
          <w:p w:rsidR="00D849AA" w:rsidRPr="00A5008D" w:rsidRDefault="00EE6D95">
            <w:pPr>
              <w:pStyle w:val="CellHeader"/>
            </w:pPr>
            <w:r w:rsidRPr="00A5008D">
              <w:t>Jedinica</w:t>
            </w:r>
          </w:p>
        </w:tc>
        <w:tc>
          <w:tcPr>
            <w:tcW w:w="1114" w:type="dxa"/>
            <w:shd w:val="clear" w:color="auto" w:fill="B5C0D8"/>
          </w:tcPr>
          <w:p w:rsidR="00D849AA" w:rsidRPr="00A5008D" w:rsidRDefault="00EE6D95">
            <w:pPr>
              <w:pStyle w:val="CellHeader"/>
            </w:pPr>
            <w:r w:rsidRPr="00A5008D">
              <w:t>Polazna vrijednost</w:t>
            </w:r>
          </w:p>
        </w:tc>
        <w:tc>
          <w:tcPr>
            <w:tcW w:w="1486" w:type="dxa"/>
            <w:shd w:val="clear" w:color="auto" w:fill="B5C0D8"/>
          </w:tcPr>
          <w:p w:rsidR="00D849AA" w:rsidRPr="00A5008D" w:rsidRDefault="00EE6D95">
            <w:pPr>
              <w:pStyle w:val="CellHeader"/>
            </w:pPr>
            <w:r w:rsidRPr="00A5008D">
              <w:t>Ciljana vrijednost (2014.)</w:t>
            </w:r>
          </w:p>
        </w:tc>
        <w:tc>
          <w:tcPr>
            <w:tcW w:w="1486" w:type="dxa"/>
            <w:shd w:val="clear" w:color="auto" w:fill="B5C0D8"/>
          </w:tcPr>
          <w:p w:rsidR="00D849AA" w:rsidRPr="00A5008D" w:rsidRDefault="00EE6D95">
            <w:pPr>
              <w:pStyle w:val="CellHeader"/>
            </w:pPr>
            <w:r w:rsidRPr="00A5008D">
              <w:t>Ciljana vrijednost (2015.)</w:t>
            </w:r>
          </w:p>
        </w:tc>
        <w:tc>
          <w:tcPr>
            <w:tcW w:w="1486" w:type="dxa"/>
            <w:shd w:val="clear" w:color="auto" w:fill="B5C0D8"/>
          </w:tcPr>
          <w:p w:rsidR="00D849AA" w:rsidRPr="00A5008D" w:rsidRDefault="00EE6D95">
            <w:pPr>
              <w:pStyle w:val="CellHeader"/>
            </w:pPr>
            <w:r w:rsidRPr="00A5008D">
              <w:t>Ciljana vrijednost (2016.)</w:t>
            </w:r>
          </w:p>
        </w:tc>
      </w:tr>
      <w:tr w:rsidR="00D849AA">
        <w:trPr>
          <w:jc w:val="center"/>
        </w:trPr>
        <w:tc>
          <w:tcPr>
            <w:tcW w:w="2229" w:type="dxa"/>
          </w:tcPr>
          <w:p w:rsidR="00D849AA" w:rsidRPr="00A5008D" w:rsidRDefault="00EE6D95">
            <w:pPr>
              <w:pStyle w:val="CellColumn"/>
            </w:pPr>
            <w:r w:rsidRPr="00A5008D">
              <w:t>Broj izgrađenih objekata u kompleksu „Debela Glava“</w:t>
            </w:r>
          </w:p>
        </w:tc>
        <w:tc>
          <w:tcPr>
            <w:tcW w:w="1114" w:type="dxa"/>
          </w:tcPr>
          <w:p w:rsidR="00D849AA" w:rsidRPr="00A5008D" w:rsidRDefault="00EE6D95">
            <w:pPr>
              <w:rPr>
                <w:rFonts w:ascii="Arial" w:hAnsi="Arial" w:cs="Arial"/>
              </w:rPr>
            </w:pPr>
            <w:r w:rsidRPr="00A5008D">
              <w:rPr>
                <w:rFonts w:ascii="Arial" w:hAnsi="Arial" w:cs="Arial"/>
              </w:rPr>
              <w:t>Kom</w:t>
            </w:r>
          </w:p>
        </w:tc>
        <w:tc>
          <w:tcPr>
            <w:tcW w:w="1114" w:type="dxa"/>
          </w:tcPr>
          <w:p w:rsidR="00D849AA" w:rsidRPr="00A5008D" w:rsidRDefault="00EE6D95">
            <w:pPr>
              <w:rPr>
                <w:rFonts w:ascii="Arial" w:hAnsi="Arial" w:cs="Arial"/>
              </w:rPr>
            </w:pPr>
            <w:r w:rsidRPr="00A5008D">
              <w:rPr>
                <w:rFonts w:ascii="Arial" w:hAnsi="Arial" w:cs="Arial"/>
              </w:rPr>
              <w:t>0</w:t>
            </w:r>
          </w:p>
        </w:tc>
        <w:tc>
          <w:tcPr>
            <w:tcW w:w="1486" w:type="dxa"/>
          </w:tcPr>
          <w:p w:rsidR="00D849AA" w:rsidRPr="00A5008D" w:rsidRDefault="00EE6D95">
            <w:pPr>
              <w:rPr>
                <w:rFonts w:ascii="Arial" w:hAnsi="Arial" w:cs="Arial"/>
              </w:rPr>
            </w:pPr>
            <w:r w:rsidRPr="00A5008D">
              <w:rPr>
                <w:rFonts w:ascii="Arial" w:hAnsi="Arial" w:cs="Arial"/>
              </w:rPr>
              <w:t>0</w:t>
            </w:r>
          </w:p>
        </w:tc>
        <w:tc>
          <w:tcPr>
            <w:tcW w:w="1486" w:type="dxa"/>
          </w:tcPr>
          <w:p w:rsidR="00D849AA" w:rsidRPr="00A5008D" w:rsidRDefault="00EE6D95">
            <w:pPr>
              <w:rPr>
                <w:rFonts w:ascii="Arial" w:hAnsi="Arial" w:cs="Arial"/>
              </w:rPr>
            </w:pPr>
            <w:r w:rsidRPr="00A5008D">
              <w:rPr>
                <w:rFonts w:ascii="Arial" w:hAnsi="Arial" w:cs="Arial"/>
              </w:rPr>
              <w:t>1</w:t>
            </w:r>
          </w:p>
        </w:tc>
        <w:tc>
          <w:tcPr>
            <w:tcW w:w="1486" w:type="dxa"/>
          </w:tcPr>
          <w:p w:rsidR="00D849AA" w:rsidRPr="00A5008D" w:rsidRDefault="00EE6D95">
            <w:pPr>
              <w:rPr>
                <w:rFonts w:ascii="Arial" w:hAnsi="Arial" w:cs="Arial"/>
              </w:rPr>
            </w:pPr>
            <w:r w:rsidRPr="00A5008D">
              <w:rPr>
                <w:rFonts w:ascii="Arial" w:hAnsi="Arial" w:cs="Arial"/>
              </w:rPr>
              <w:t>2</w:t>
            </w:r>
          </w:p>
        </w:tc>
      </w:tr>
      <w:tr w:rsidR="00D849AA">
        <w:trPr>
          <w:jc w:val="center"/>
        </w:trPr>
        <w:tc>
          <w:tcPr>
            <w:tcW w:w="2229" w:type="dxa"/>
          </w:tcPr>
          <w:p w:rsidR="00D849AA" w:rsidRPr="00A5008D" w:rsidRDefault="00EE6D95">
            <w:pPr>
              <w:pStyle w:val="CellColumn"/>
            </w:pPr>
            <w:r w:rsidRPr="00A5008D">
              <w:t>Broj izgrađenih objekata u kompleksu „Hrvatski Ždral“ Doljani</w:t>
            </w:r>
          </w:p>
        </w:tc>
        <w:tc>
          <w:tcPr>
            <w:tcW w:w="1114" w:type="dxa"/>
          </w:tcPr>
          <w:p w:rsidR="00D849AA" w:rsidRPr="00A5008D" w:rsidRDefault="00EE6D95">
            <w:pPr>
              <w:rPr>
                <w:rFonts w:ascii="Arial" w:hAnsi="Arial" w:cs="Arial"/>
              </w:rPr>
            </w:pPr>
            <w:r w:rsidRPr="00A5008D">
              <w:rPr>
                <w:rFonts w:ascii="Arial" w:hAnsi="Arial" w:cs="Arial"/>
              </w:rPr>
              <w:t>Kom</w:t>
            </w:r>
          </w:p>
        </w:tc>
        <w:tc>
          <w:tcPr>
            <w:tcW w:w="1114" w:type="dxa"/>
          </w:tcPr>
          <w:p w:rsidR="00D849AA" w:rsidRPr="00A5008D" w:rsidRDefault="00EE6D95">
            <w:pPr>
              <w:rPr>
                <w:rFonts w:ascii="Arial" w:hAnsi="Arial" w:cs="Arial"/>
              </w:rPr>
            </w:pPr>
            <w:r w:rsidRPr="00A5008D">
              <w:rPr>
                <w:rFonts w:ascii="Arial" w:hAnsi="Arial" w:cs="Arial"/>
              </w:rPr>
              <w:t>0</w:t>
            </w:r>
          </w:p>
        </w:tc>
        <w:tc>
          <w:tcPr>
            <w:tcW w:w="1486" w:type="dxa"/>
          </w:tcPr>
          <w:p w:rsidR="00D849AA" w:rsidRPr="00A5008D" w:rsidRDefault="00EE6D95">
            <w:pPr>
              <w:rPr>
                <w:rFonts w:ascii="Arial" w:hAnsi="Arial" w:cs="Arial"/>
              </w:rPr>
            </w:pPr>
            <w:r w:rsidRPr="00A5008D">
              <w:rPr>
                <w:rFonts w:ascii="Arial" w:hAnsi="Arial" w:cs="Arial"/>
              </w:rPr>
              <w:t>2</w:t>
            </w:r>
          </w:p>
        </w:tc>
        <w:tc>
          <w:tcPr>
            <w:tcW w:w="1486" w:type="dxa"/>
          </w:tcPr>
          <w:p w:rsidR="00D849AA" w:rsidRPr="00A5008D" w:rsidRDefault="00EE6D95">
            <w:pPr>
              <w:rPr>
                <w:rFonts w:ascii="Arial" w:hAnsi="Arial" w:cs="Arial"/>
              </w:rPr>
            </w:pPr>
            <w:r w:rsidRPr="00A5008D">
              <w:rPr>
                <w:rFonts w:ascii="Arial" w:hAnsi="Arial" w:cs="Arial"/>
              </w:rPr>
              <w:t>4</w:t>
            </w:r>
          </w:p>
        </w:tc>
        <w:tc>
          <w:tcPr>
            <w:tcW w:w="1486" w:type="dxa"/>
          </w:tcPr>
          <w:p w:rsidR="00D849AA" w:rsidRPr="00A5008D" w:rsidRDefault="00EE6D95">
            <w:pPr>
              <w:rPr>
                <w:rFonts w:ascii="Arial" w:hAnsi="Arial" w:cs="Arial"/>
              </w:rPr>
            </w:pPr>
            <w:r w:rsidRPr="00A5008D">
              <w:rPr>
                <w:rFonts w:ascii="Arial" w:hAnsi="Arial" w:cs="Arial"/>
              </w:rPr>
              <w:t>6</w:t>
            </w:r>
          </w:p>
        </w:tc>
      </w:tr>
      <w:tr w:rsidR="00D849AA">
        <w:trPr>
          <w:jc w:val="center"/>
        </w:trPr>
        <w:tc>
          <w:tcPr>
            <w:tcW w:w="2229" w:type="dxa"/>
          </w:tcPr>
          <w:p w:rsidR="00D849AA" w:rsidRPr="00A5008D" w:rsidRDefault="00EE6D95">
            <w:pPr>
              <w:pStyle w:val="CellColumn"/>
            </w:pPr>
            <w:r w:rsidRPr="00A5008D">
              <w:t>Broj izgrađenih smještajnih objekata u vojarni ''pukovnik Predrag Matanović'' Petrinja</w:t>
            </w:r>
          </w:p>
        </w:tc>
        <w:tc>
          <w:tcPr>
            <w:tcW w:w="1114" w:type="dxa"/>
          </w:tcPr>
          <w:p w:rsidR="00D849AA" w:rsidRPr="00A5008D" w:rsidRDefault="00EE6D95">
            <w:pPr>
              <w:rPr>
                <w:rFonts w:ascii="Arial" w:hAnsi="Arial" w:cs="Arial"/>
              </w:rPr>
            </w:pPr>
            <w:r w:rsidRPr="00A5008D">
              <w:rPr>
                <w:rFonts w:ascii="Arial" w:hAnsi="Arial" w:cs="Arial"/>
              </w:rPr>
              <w:t>Kom</w:t>
            </w:r>
          </w:p>
        </w:tc>
        <w:tc>
          <w:tcPr>
            <w:tcW w:w="1114" w:type="dxa"/>
          </w:tcPr>
          <w:p w:rsidR="00D849AA" w:rsidRPr="00A5008D" w:rsidRDefault="00EE6D95">
            <w:pPr>
              <w:rPr>
                <w:rFonts w:ascii="Arial" w:hAnsi="Arial" w:cs="Arial"/>
              </w:rPr>
            </w:pPr>
            <w:r w:rsidRPr="00A5008D">
              <w:rPr>
                <w:rFonts w:ascii="Arial" w:hAnsi="Arial" w:cs="Arial"/>
              </w:rPr>
              <w:t>2</w:t>
            </w:r>
          </w:p>
        </w:tc>
        <w:tc>
          <w:tcPr>
            <w:tcW w:w="1486" w:type="dxa"/>
          </w:tcPr>
          <w:p w:rsidR="00D849AA" w:rsidRPr="00A5008D" w:rsidRDefault="00EE6D95">
            <w:pPr>
              <w:rPr>
                <w:rFonts w:ascii="Arial" w:hAnsi="Arial" w:cs="Arial"/>
              </w:rPr>
            </w:pPr>
            <w:r w:rsidRPr="00A5008D">
              <w:rPr>
                <w:rFonts w:ascii="Arial" w:hAnsi="Arial" w:cs="Arial"/>
              </w:rPr>
              <w:t>3</w:t>
            </w:r>
          </w:p>
        </w:tc>
        <w:tc>
          <w:tcPr>
            <w:tcW w:w="1486" w:type="dxa"/>
          </w:tcPr>
          <w:p w:rsidR="00D849AA" w:rsidRPr="00A5008D" w:rsidRDefault="00EE6D95">
            <w:pPr>
              <w:rPr>
                <w:rFonts w:ascii="Arial" w:hAnsi="Arial" w:cs="Arial"/>
              </w:rPr>
            </w:pPr>
            <w:r w:rsidRPr="00A5008D">
              <w:rPr>
                <w:rFonts w:ascii="Arial" w:hAnsi="Arial" w:cs="Arial"/>
              </w:rPr>
              <w:t>4</w:t>
            </w:r>
          </w:p>
        </w:tc>
        <w:tc>
          <w:tcPr>
            <w:tcW w:w="1486" w:type="dxa"/>
          </w:tcPr>
          <w:p w:rsidR="00D849AA" w:rsidRPr="00A5008D" w:rsidRDefault="00EE6D95">
            <w:pPr>
              <w:rPr>
                <w:rFonts w:ascii="Arial" w:hAnsi="Arial" w:cs="Arial"/>
              </w:rPr>
            </w:pPr>
            <w:r w:rsidRPr="00A5008D">
              <w:rPr>
                <w:rFonts w:ascii="Arial" w:hAnsi="Arial" w:cs="Arial"/>
              </w:rPr>
              <w:t>5</w:t>
            </w:r>
          </w:p>
        </w:tc>
      </w:tr>
    </w:tbl>
    <w:p w:rsidR="00D849AA" w:rsidRDefault="00D849AA">
      <w:pPr>
        <w:jc w:val="left"/>
      </w:pPr>
    </w:p>
    <w:p w:rsidR="00D849AA" w:rsidRDefault="00EE6D95">
      <w:pPr>
        <w:pStyle w:val="Naslov6"/>
      </w:pPr>
      <w:r>
        <w:t>A545051 INVESTICIJSKO ODRŽAVANJE OBJEKATA I INFRASTRUKTURE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A5008D" w:rsidRDefault="00EE6D95">
            <w:pPr>
              <w:pStyle w:val="CellHeader"/>
            </w:pPr>
            <w:r w:rsidRPr="00A5008D">
              <w:t>Naziv aktivnosti</w:t>
            </w:r>
          </w:p>
        </w:tc>
        <w:tc>
          <w:tcPr>
            <w:tcW w:w="1486" w:type="dxa"/>
            <w:shd w:val="clear" w:color="auto" w:fill="B5C0D8"/>
          </w:tcPr>
          <w:p w:rsidR="00D849AA" w:rsidRPr="00A5008D" w:rsidRDefault="00EE6D95">
            <w:pPr>
              <w:pStyle w:val="CellHeader"/>
            </w:pPr>
            <w:r w:rsidRPr="00A5008D">
              <w:t>Plan 2013.</w:t>
            </w:r>
          </w:p>
        </w:tc>
        <w:tc>
          <w:tcPr>
            <w:tcW w:w="1486" w:type="dxa"/>
            <w:shd w:val="clear" w:color="auto" w:fill="B5C0D8"/>
          </w:tcPr>
          <w:p w:rsidR="00D849AA" w:rsidRPr="00A5008D" w:rsidRDefault="00EE6D95">
            <w:pPr>
              <w:pStyle w:val="CellHeader"/>
            </w:pPr>
            <w:r w:rsidRPr="00A5008D">
              <w:t>Plan 2014.</w:t>
            </w:r>
          </w:p>
        </w:tc>
        <w:tc>
          <w:tcPr>
            <w:tcW w:w="1486" w:type="dxa"/>
            <w:shd w:val="clear" w:color="auto" w:fill="B5C0D8"/>
          </w:tcPr>
          <w:p w:rsidR="00D849AA" w:rsidRPr="00A5008D" w:rsidRDefault="00EE6D95">
            <w:pPr>
              <w:pStyle w:val="CellHeader"/>
            </w:pPr>
            <w:r w:rsidRPr="00A5008D">
              <w:t>Plan 2015.</w:t>
            </w:r>
          </w:p>
        </w:tc>
        <w:tc>
          <w:tcPr>
            <w:tcW w:w="1486" w:type="dxa"/>
            <w:shd w:val="clear" w:color="auto" w:fill="B5C0D8"/>
          </w:tcPr>
          <w:p w:rsidR="00D849AA" w:rsidRPr="00A5008D" w:rsidRDefault="00EE6D95">
            <w:pPr>
              <w:pStyle w:val="CellHeader"/>
            </w:pPr>
            <w:r w:rsidRPr="00A5008D">
              <w:t>Plan 2016.</w:t>
            </w:r>
          </w:p>
        </w:tc>
        <w:tc>
          <w:tcPr>
            <w:tcW w:w="1486" w:type="dxa"/>
            <w:shd w:val="clear" w:color="auto" w:fill="B5C0D8"/>
          </w:tcPr>
          <w:p w:rsidR="00D849AA" w:rsidRPr="00A5008D" w:rsidRDefault="00EE6D95">
            <w:pPr>
              <w:pStyle w:val="CellHeader"/>
            </w:pPr>
            <w:r w:rsidRPr="00A5008D">
              <w:t>Indeks 2014/2013</w:t>
            </w:r>
          </w:p>
        </w:tc>
      </w:tr>
      <w:tr w:rsidR="00D849AA">
        <w:trPr>
          <w:jc w:val="center"/>
        </w:trPr>
        <w:tc>
          <w:tcPr>
            <w:tcW w:w="1486" w:type="dxa"/>
          </w:tcPr>
          <w:p w:rsidR="00D849AA" w:rsidRPr="00A5008D" w:rsidRDefault="00EE6D95">
            <w:pPr>
              <w:pStyle w:val="CellColumn"/>
            </w:pPr>
            <w:r w:rsidRPr="00A5008D">
              <w:t>A545051</w:t>
            </w:r>
          </w:p>
        </w:tc>
        <w:tc>
          <w:tcPr>
            <w:tcW w:w="1486" w:type="dxa"/>
          </w:tcPr>
          <w:p w:rsidR="00D849AA" w:rsidRPr="00A5008D" w:rsidRDefault="00EE6D95">
            <w:pPr>
              <w:rPr>
                <w:rFonts w:ascii="Arial" w:hAnsi="Arial" w:cs="Arial"/>
              </w:rPr>
            </w:pPr>
            <w:r w:rsidRPr="00A5008D">
              <w:rPr>
                <w:rFonts w:ascii="Arial" w:hAnsi="Arial" w:cs="Arial"/>
              </w:rPr>
              <w:t>61.346.310</w:t>
            </w:r>
          </w:p>
        </w:tc>
        <w:tc>
          <w:tcPr>
            <w:tcW w:w="1486" w:type="dxa"/>
          </w:tcPr>
          <w:p w:rsidR="00D849AA" w:rsidRPr="00A5008D" w:rsidRDefault="00EE6D95">
            <w:pPr>
              <w:rPr>
                <w:rFonts w:ascii="Arial" w:hAnsi="Arial" w:cs="Arial"/>
              </w:rPr>
            </w:pPr>
            <w:r w:rsidRPr="00A5008D">
              <w:rPr>
                <w:rFonts w:ascii="Arial" w:hAnsi="Arial" w:cs="Arial"/>
              </w:rPr>
              <w:t>59.150.000</w:t>
            </w:r>
          </w:p>
        </w:tc>
        <w:tc>
          <w:tcPr>
            <w:tcW w:w="1486" w:type="dxa"/>
          </w:tcPr>
          <w:p w:rsidR="00D849AA" w:rsidRPr="00A5008D" w:rsidRDefault="00EE6D95">
            <w:pPr>
              <w:rPr>
                <w:rFonts w:ascii="Arial" w:hAnsi="Arial" w:cs="Arial"/>
              </w:rPr>
            </w:pPr>
            <w:r w:rsidRPr="00A5008D">
              <w:rPr>
                <w:rFonts w:ascii="Arial" w:hAnsi="Arial" w:cs="Arial"/>
              </w:rPr>
              <w:t>59.650.000</w:t>
            </w:r>
          </w:p>
        </w:tc>
        <w:tc>
          <w:tcPr>
            <w:tcW w:w="1486" w:type="dxa"/>
          </w:tcPr>
          <w:p w:rsidR="00D849AA" w:rsidRPr="00A5008D" w:rsidRDefault="00EE6D95">
            <w:pPr>
              <w:rPr>
                <w:rFonts w:ascii="Arial" w:hAnsi="Arial" w:cs="Arial"/>
              </w:rPr>
            </w:pPr>
            <w:r w:rsidRPr="00A5008D">
              <w:rPr>
                <w:rFonts w:ascii="Arial" w:hAnsi="Arial" w:cs="Arial"/>
              </w:rPr>
              <w:t>60.415.000</w:t>
            </w:r>
          </w:p>
        </w:tc>
        <w:tc>
          <w:tcPr>
            <w:tcW w:w="1486" w:type="dxa"/>
          </w:tcPr>
          <w:p w:rsidR="00D849AA" w:rsidRPr="00A5008D" w:rsidRDefault="00EE6D95">
            <w:pPr>
              <w:rPr>
                <w:rFonts w:ascii="Arial" w:hAnsi="Arial" w:cs="Arial"/>
              </w:rPr>
            </w:pPr>
            <w:r w:rsidRPr="00A5008D">
              <w:rPr>
                <w:rFonts w:ascii="Arial" w:hAnsi="Arial" w:cs="Arial"/>
              </w:rPr>
              <w:t>96,4</w:t>
            </w:r>
          </w:p>
        </w:tc>
      </w:tr>
    </w:tbl>
    <w:p w:rsidR="00D849AA" w:rsidRDefault="00D849AA">
      <w:pPr>
        <w:jc w:val="left"/>
      </w:pPr>
    </w:p>
    <w:p w:rsidR="00D849AA" w:rsidRDefault="00EE6D95">
      <w:pPr>
        <w:pStyle w:val="Normal6"/>
      </w:pPr>
      <w:r>
        <w:t>Investicijskim održavanjem, adaptacijom i rekonstrukcijom prostora za život i rad pripadnika Oružanih snaga i djelatnika Ministarstva obrane osigurat će se racionalno trošenje energije, zaštita okoliša i zaštita od požara te će se povećati ukupna kvaliteta življenja. U vojnim nekretninama na neperspektivnim lokacijama koje su predviđene za napuštanje, provodit će se samo najnužnije održavanje i podmirenje zakonskih obveza vezanih uz komunalne usluge i naknade.</w:t>
      </w:r>
    </w:p>
    <w:p w:rsidR="00A5008D" w:rsidRDefault="00A5008D">
      <w:pPr>
        <w:pStyle w:val="Normal6"/>
      </w:pPr>
    </w:p>
    <w:p w:rsidR="00A5008D" w:rsidRDefault="00A5008D">
      <w:pPr>
        <w:pStyle w:val="Normal6"/>
      </w:pPr>
    </w:p>
    <w:p w:rsidR="00A5008D" w:rsidRDefault="00A5008D">
      <w:pPr>
        <w:pStyle w:val="Normal6"/>
      </w:pPr>
    </w:p>
    <w:p w:rsidR="00A5008D" w:rsidRDefault="00A5008D">
      <w:pPr>
        <w:pStyle w:val="Normal6"/>
      </w:pPr>
    </w:p>
    <w:p w:rsidR="00D849AA" w:rsidRDefault="00EE6D95">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A5008D" w:rsidRDefault="00EE6D95">
            <w:pPr>
              <w:rPr>
                <w:rFonts w:ascii="Arial" w:hAnsi="Arial" w:cs="Arial"/>
              </w:rPr>
            </w:pPr>
            <w:r w:rsidRPr="00A5008D">
              <w:rPr>
                <w:rFonts w:ascii="Arial" w:hAnsi="Arial" w:cs="Arial"/>
              </w:rPr>
              <w:t>Pokazatelj rezultata</w:t>
            </w:r>
          </w:p>
        </w:tc>
        <w:tc>
          <w:tcPr>
            <w:tcW w:w="1114" w:type="dxa"/>
            <w:shd w:val="clear" w:color="auto" w:fill="B5C0D8"/>
          </w:tcPr>
          <w:p w:rsidR="00D849AA" w:rsidRPr="00A5008D" w:rsidRDefault="00EE6D95">
            <w:pPr>
              <w:pStyle w:val="CellHeader"/>
            </w:pPr>
            <w:r w:rsidRPr="00A5008D">
              <w:t>Jedinica</w:t>
            </w:r>
          </w:p>
        </w:tc>
        <w:tc>
          <w:tcPr>
            <w:tcW w:w="1114" w:type="dxa"/>
            <w:shd w:val="clear" w:color="auto" w:fill="B5C0D8"/>
          </w:tcPr>
          <w:p w:rsidR="00D849AA" w:rsidRPr="00A5008D" w:rsidRDefault="00EE6D95">
            <w:pPr>
              <w:pStyle w:val="CellHeader"/>
            </w:pPr>
            <w:r w:rsidRPr="00A5008D">
              <w:t>Polazna vrijednost</w:t>
            </w:r>
          </w:p>
        </w:tc>
        <w:tc>
          <w:tcPr>
            <w:tcW w:w="1486" w:type="dxa"/>
            <w:shd w:val="clear" w:color="auto" w:fill="B5C0D8"/>
          </w:tcPr>
          <w:p w:rsidR="00D849AA" w:rsidRPr="00A5008D" w:rsidRDefault="00EE6D95">
            <w:pPr>
              <w:pStyle w:val="CellHeader"/>
            </w:pPr>
            <w:r w:rsidRPr="00A5008D">
              <w:t>Ciljana vrijednost (2014.)</w:t>
            </w:r>
          </w:p>
        </w:tc>
        <w:tc>
          <w:tcPr>
            <w:tcW w:w="1486" w:type="dxa"/>
            <w:shd w:val="clear" w:color="auto" w:fill="B5C0D8"/>
          </w:tcPr>
          <w:p w:rsidR="00D849AA" w:rsidRPr="00A5008D" w:rsidRDefault="00EE6D95">
            <w:pPr>
              <w:pStyle w:val="CellHeader"/>
            </w:pPr>
            <w:r w:rsidRPr="00A5008D">
              <w:t>Ciljana vrijednost (2015.)</w:t>
            </w:r>
          </w:p>
        </w:tc>
        <w:tc>
          <w:tcPr>
            <w:tcW w:w="1486" w:type="dxa"/>
            <w:shd w:val="clear" w:color="auto" w:fill="B5C0D8"/>
          </w:tcPr>
          <w:p w:rsidR="00D849AA" w:rsidRPr="00A5008D" w:rsidRDefault="00EE6D95">
            <w:pPr>
              <w:pStyle w:val="CellHeader"/>
            </w:pPr>
            <w:r w:rsidRPr="00A5008D">
              <w:t>Ciljana vrijednost (2016.)</w:t>
            </w:r>
          </w:p>
        </w:tc>
      </w:tr>
      <w:tr w:rsidR="00D849AA">
        <w:trPr>
          <w:jc w:val="center"/>
        </w:trPr>
        <w:tc>
          <w:tcPr>
            <w:tcW w:w="2229" w:type="dxa"/>
          </w:tcPr>
          <w:p w:rsidR="00D849AA" w:rsidRPr="00A5008D" w:rsidRDefault="00EE6D95">
            <w:pPr>
              <w:pStyle w:val="CellColumn"/>
            </w:pPr>
            <w:r w:rsidRPr="00A5008D">
              <w:t>Broj adaptiranih objekata prema lokacijama</w:t>
            </w:r>
          </w:p>
        </w:tc>
        <w:tc>
          <w:tcPr>
            <w:tcW w:w="1114" w:type="dxa"/>
          </w:tcPr>
          <w:p w:rsidR="00D849AA" w:rsidRPr="00A5008D" w:rsidRDefault="00EE6D95">
            <w:pPr>
              <w:rPr>
                <w:rFonts w:ascii="Arial" w:hAnsi="Arial" w:cs="Arial"/>
              </w:rPr>
            </w:pPr>
            <w:r w:rsidRPr="00A5008D">
              <w:rPr>
                <w:rFonts w:ascii="Arial" w:hAnsi="Arial" w:cs="Arial"/>
              </w:rPr>
              <w:t>Kom</w:t>
            </w:r>
          </w:p>
        </w:tc>
        <w:tc>
          <w:tcPr>
            <w:tcW w:w="1114" w:type="dxa"/>
          </w:tcPr>
          <w:p w:rsidR="00D849AA" w:rsidRPr="00A5008D" w:rsidRDefault="00EE6D95">
            <w:pPr>
              <w:rPr>
                <w:rFonts w:ascii="Arial" w:hAnsi="Arial" w:cs="Arial"/>
              </w:rPr>
            </w:pPr>
            <w:r w:rsidRPr="00A5008D">
              <w:rPr>
                <w:rFonts w:ascii="Arial" w:hAnsi="Arial" w:cs="Arial"/>
              </w:rPr>
              <w:t>1</w:t>
            </w:r>
          </w:p>
        </w:tc>
        <w:tc>
          <w:tcPr>
            <w:tcW w:w="1486" w:type="dxa"/>
          </w:tcPr>
          <w:p w:rsidR="00D849AA" w:rsidRPr="00A5008D" w:rsidRDefault="00EE6D95">
            <w:pPr>
              <w:rPr>
                <w:rFonts w:ascii="Arial" w:hAnsi="Arial" w:cs="Arial"/>
              </w:rPr>
            </w:pPr>
            <w:r w:rsidRPr="00A5008D">
              <w:rPr>
                <w:rFonts w:ascii="Arial" w:hAnsi="Arial" w:cs="Arial"/>
              </w:rPr>
              <w:t>3</w:t>
            </w:r>
          </w:p>
        </w:tc>
        <w:tc>
          <w:tcPr>
            <w:tcW w:w="1486" w:type="dxa"/>
          </w:tcPr>
          <w:p w:rsidR="00D849AA" w:rsidRPr="00A5008D" w:rsidRDefault="00EE6D95">
            <w:pPr>
              <w:rPr>
                <w:rFonts w:ascii="Arial" w:hAnsi="Arial" w:cs="Arial"/>
              </w:rPr>
            </w:pPr>
            <w:r w:rsidRPr="00A5008D">
              <w:rPr>
                <w:rFonts w:ascii="Arial" w:hAnsi="Arial" w:cs="Arial"/>
              </w:rPr>
              <w:t>5</w:t>
            </w:r>
          </w:p>
        </w:tc>
        <w:tc>
          <w:tcPr>
            <w:tcW w:w="1486" w:type="dxa"/>
          </w:tcPr>
          <w:p w:rsidR="00D849AA" w:rsidRPr="00A5008D" w:rsidRDefault="00EE6D95">
            <w:pPr>
              <w:rPr>
                <w:rFonts w:ascii="Arial" w:hAnsi="Arial" w:cs="Arial"/>
              </w:rPr>
            </w:pPr>
            <w:r w:rsidRPr="00A5008D">
              <w:rPr>
                <w:rFonts w:ascii="Arial" w:hAnsi="Arial" w:cs="Arial"/>
              </w:rPr>
              <w:t>6</w:t>
            </w:r>
          </w:p>
        </w:tc>
      </w:tr>
    </w:tbl>
    <w:p w:rsidR="00D849AA" w:rsidRDefault="00D849AA">
      <w:pPr>
        <w:jc w:val="left"/>
      </w:pPr>
    </w:p>
    <w:p w:rsidR="00D849AA" w:rsidRDefault="00EE6D95">
      <w:pPr>
        <w:pStyle w:val="Naslov6"/>
      </w:pPr>
      <w:r>
        <w:t>K545043 BORBENO OKLOPNO VOZILO</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A5008D" w:rsidRDefault="00EE6D95">
            <w:pPr>
              <w:pStyle w:val="CellHeader"/>
            </w:pPr>
            <w:r w:rsidRPr="00A5008D">
              <w:t>Naziv aktivnosti</w:t>
            </w:r>
          </w:p>
        </w:tc>
        <w:tc>
          <w:tcPr>
            <w:tcW w:w="1486" w:type="dxa"/>
            <w:shd w:val="clear" w:color="auto" w:fill="B5C0D8"/>
          </w:tcPr>
          <w:p w:rsidR="00D849AA" w:rsidRPr="00A5008D" w:rsidRDefault="00EE6D95">
            <w:pPr>
              <w:pStyle w:val="CellHeader"/>
            </w:pPr>
            <w:r w:rsidRPr="00A5008D">
              <w:t>Plan 2013.</w:t>
            </w:r>
          </w:p>
        </w:tc>
        <w:tc>
          <w:tcPr>
            <w:tcW w:w="1486" w:type="dxa"/>
            <w:shd w:val="clear" w:color="auto" w:fill="B5C0D8"/>
          </w:tcPr>
          <w:p w:rsidR="00D849AA" w:rsidRPr="00A5008D" w:rsidRDefault="00EE6D95">
            <w:pPr>
              <w:pStyle w:val="CellHeader"/>
            </w:pPr>
            <w:r w:rsidRPr="00A5008D">
              <w:t>Plan 2014.</w:t>
            </w:r>
          </w:p>
        </w:tc>
        <w:tc>
          <w:tcPr>
            <w:tcW w:w="1486" w:type="dxa"/>
            <w:shd w:val="clear" w:color="auto" w:fill="B5C0D8"/>
          </w:tcPr>
          <w:p w:rsidR="00D849AA" w:rsidRPr="00A5008D" w:rsidRDefault="00EE6D95">
            <w:pPr>
              <w:pStyle w:val="CellHeader"/>
            </w:pPr>
            <w:r w:rsidRPr="00A5008D">
              <w:t>Plan 2015.</w:t>
            </w:r>
          </w:p>
        </w:tc>
        <w:tc>
          <w:tcPr>
            <w:tcW w:w="1486" w:type="dxa"/>
            <w:shd w:val="clear" w:color="auto" w:fill="B5C0D8"/>
          </w:tcPr>
          <w:p w:rsidR="00D849AA" w:rsidRPr="00A5008D" w:rsidRDefault="00EE6D95">
            <w:pPr>
              <w:pStyle w:val="CellHeader"/>
            </w:pPr>
            <w:r w:rsidRPr="00A5008D">
              <w:t>Plan 2016.</w:t>
            </w:r>
          </w:p>
        </w:tc>
        <w:tc>
          <w:tcPr>
            <w:tcW w:w="1486" w:type="dxa"/>
            <w:shd w:val="clear" w:color="auto" w:fill="B5C0D8"/>
          </w:tcPr>
          <w:p w:rsidR="00D849AA" w:rsidRPr="00A5008D" w:rsidRDefault="00EE6D95">
            <w:pPr>
              <w:pStyle w:val="CellHeader"/>
            </w:pPr>
            <w:r w:rsidRPr="00A5008D">
              <w:t>Indeks 2014/2013</w:t>
            </w:r>
          </w:p>
        </w:tc>
      </w:tr>
      <w:tr w:rsidR="00D849AA">
        <w:trPr>
          <w:jc w:val="center"/>
        </w:trPr>
        <w:tc>
          <w:tcPr>
            <w:tcW w:w="1486" w:type="dxa"/>
          </w:tcPr>
          <w:p w:rsidR="00D849AA" w:rsidRPr="00A5008D" w:rsidRDefault="00EE6D95">
            <w:pPr>
              <w:pStyle w:val="CellColumn"/>
            </w:pPr>
            <w:r w:rsidRPr="00A5008D">
              <w:t>K545043</w:t>
            </w:r>
          </w:p>
        </w:tc>
        <w:tc>
          <w:tcPr>
            <w:tcW w:w="1486" w:type="dxa"/>
          </w:tcPr>
          <w:p w:rsidR="00D849AA" w:rsidRPr="00A5008D" w:rsidRDefault="00EE6D95">
            <w:pPr>
              <w:rPr>
                <w:rFonts w:ascii="Arial" w:hAnsi="Arial" w:cs="Arial"/>
              </w:rPr>
            </w:pPr>
            <w:r w:rsidRPr="00A5008D">
              <w:rPr>
                <w:rFonts w:ascii="Arial" w:hAnsi="Arial" w:cs="Arial"/>
              </w:rPr>
              <w:t>318.299.000</w:t>
            </w:r>
          </w:p>
        </w:tc>
        <w:tc>
          <w:tcPr>
            <w:tcW w:w="1486" w:type="dxa"/>
          </w:tcPr>
          <w:p w:rsidR="00D849AA" w:rsidRPr="00A5008D" w:rsidRDefault="00EE6D95">
            <w:pPr>
              <w:rPr>
                <w:rFonts w:ascii="Arial" w:hAnsi="Arial" w:cs="Arial"/>
              </w:rPr>
            </w:pPr>
            <w:r w:rsidRPr="00A5008D">
              <w:rPr>
                <w:rFonts w:ascii="Arial" w:hAnsi="Arial" w:cs="Arial"/>
              </w:rPr>
              <w:t>123.000.000</w:t>
            </w:r>
          </w:p>
        </w:tc>
        <w:tc>
          <w:tcPr>
            <w:tcW w:w="1486" w:type="dxa"/>
          </w:tcPr>
          <w:p w:rsidR="00D849AA" w:rsidRPr="00A5008D" w:rsidRDefault="00EE6D95">
            <w:pPr>
              <w:rPr>
                <w:rFonts w:ascii="Arial" w:hAnsi="Arial" w:cs="Arial"/>
              </w:rPr>
            </w:pPr>
            <w:r w:rsidRPr="00A5008D">
              <w:rPr>
                <w:rFonts w:ascii="Arial" w:hAnsi="Arial" w:cs="Arial"/>
              </w:rPr>
              <w:t>125.000.000</w:t>
            </w:r>
          </w:p>
        </w:tc>
        <w:tc>
          <w:tcPr>
            <w:tcW w:w="1486" w:type="dxa"/>
          </w:tcPr>
          <w:p w:rsidR="00D849AA" w:rsidRPr="00A5008D" w:rsidRDefault="00EE6D95">
            <w:pPr>
              <w:rPr>
                <w:rFonts w:ascii="Arial" w:hAnsi="Arial" w:cs="Arial"/>
              </w:rPr>
            </w:pPr>
            <w:r w:rsidRPr="00A5008D">
              <w:rPr>
                <w:rFonts w:ascii="Arial" w:hAnsi="Arial" w:cs="Arial"/>
              </w:rPr>
              <w:t>125.000.000</w:t>
            </w:r>
          </w:p>
        </w:tc>
        <w:tc>
          <w:tcPr>
            <w:tcW w:w="1486" w:type="dxa"/>
          </w:tcPr>
          <w:p w:rsidR="00D849AA" w:rsidRPr="00A5008D" w:rsidRDefault="00EE6D95">
            <w:pPr>
              <w:rPr>
                <w:rFonts w:ascii="Arial" w:hAnsi="Arial" w:cs="Arial"/>
              </w:rPr>
            </w:pPr>
            <w:r w:rsidRPr="00A5008D">
              <w:rPr>
                <w:rFonts w:ascii="Arial" w:hAnsi="Arial" w:cs="Arial"/>
              </w:rPr>
              <w:t>38,6</w:t>
            </w:r>
          </w:p>
        </w:tc>
      </w:tr>
    </w:tbl>
    <w:p w:rsidR="00D849AA" w:rsidRDefault="00D849AA">
      <w:pPr>
        <w:jc w:val="left"/>
      </w:pPr>
    </w:p>
    <w:p w:rsidR="00D849AA" w:rsidRDefault="00EE6D95">
      <w:pPr>
        <w:pStyle w:val="Normal6"/>
      </w:pPr>
      <w:r>
        <w:t>Opremanjem postrojbi Oružanih snaga borbenim oklopnim vozilima poboljšat će se borbena spremnost i dostići postavljeni standardi interoperabilnosti s NATO-om te omogućiti postrojbama Hrvatske kopnene vojske (HKoV) sudjelovanje u NATO i UN operacijama, u skladu s preuzetim ciljevima snaga. Završetkom proizvodnje baznih borbeno oklopnih vozila nastavit će se opremanje tih vozila s raspoloživim naoružanjem i specijalnom opremom. U razdoblju 2014.-2016. planira se opremiti i predati na uporabu u Oružane snage Republike Hrvatske 126 vozila u 7 različitih verzija. Tijekom 2013. godine očekuje se završetak isporuke svih 126 baznih vozila te završno kompletiranje i predaja prvih 60 vozila. Tijekom 2014., 2015. i 2016. planira se opremanje s dodatnim količinama stanica DUOS-12,7 mm, stanicama DUOS 30 mm, VHF uređajima te završno kompletiranje i predaja ostalih 66 vozila.</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A5008D" w:rsidRDefault="00EE6D95">
            <w:pPr>
              <w:rPr>
                <w:rFonts w:ascii="Arial" w:hAnsi="Arial" w:cs="Arial"/>
              </w:rPr>
            </w:pPr>
            <w:r w:rsidRPr="00A5008D">
              <w:rPr>
                <w:rFonts w:ascii="Arial" w:hAnsi="Arial" w:cs="Arial"/>
              </w:rPr>
              <w:t>Pokazatelj rezultata</w:t>
            </w:r>
          </w:p>
        </w:tc>
        <w:tc>
          <w:tcPr>
            <w:tcW w:w="1114" w:type="dxa"/>
            <w:shd w:val="clear" w:color="auto" w:fill="B5C0D8"/>
          </w:tcPr>
          <w:p w:rsidR="00D849AA" w:rsidRPr="00A5008D" w:rsidRDefault="00EE6D95">
            <w:pPr>
              <w:pStyle w:val="CellHeader"/>
            </w:pPr>
            <w:r w:rsidRPr="00A5008D">
              <w:t>Jedinica</w:t>
            </w:r>
          </w:p>
        </w:tc>
        <w:tc>
          <w:tcPr>
            <w:tcW w:w="1114" w:type="dxa"/>
            <w:shd w:val="clear" w:color="auto" w:fill="B5C0D8"/>
          </w:tcPr>
          <w:p w:rsidR="00D849AA" w:rsidRPr="00A5008D" w:rsidRDefault="00EE6D95">
            <w:pPr>
              <w:pStyle w:val="CellHeader"/>
            </w:pPr>
            <w:r w:rsidRPr="00A5008D">
              <w:t>Polazna vrijednost</w:t>
            </w:r>
          </w:p>
        </w:tc>
        <w:tc>
          <w:tcPr>
            <w:tcW w:w="1486" w:type="dxa"/>
            <w:shd w:val="clear" w:color="auto" w:fill="B5C0D8"/>
          </w:tcPr>
          <w:p w:rsidR="00D849AA" w:rsidRPr="00A5008D" w:rsidRDefault="00EE6D95">
            <w:pPr>
              <w:pStyle w:val="CellHeader"/>
            </w:pPr>
            <w:r w:rsidRPr="00A5008D">
              <w:t>Ciljana vrijednost (2014.)</w:t>
            </w:r>
          </w:p>
        </w:tc>
        <w:tc>
          <w:tcPr>
            <w:tcW w:w="1486" w:type="dxa"/>
            <w:shd w:val="clear" w:color="auto" w:fill="B5C0D8"/>
          </w:tcPr>
          <w:p w:rsidR="00D849AA" w:rsidRPr="00A5008D" w:rsidRDefault="00EE6D95">
            <w:pPr>
              <w:pStyle w:val="CellHeader"/>
            </w:pPr>
            <w:r w:rsidRPr="00A5008D">
              <w:t>Ciljana vrijednost (2015.)</w:t>
            </w:r>
          </w:p>
        </w:tc>
        <w:tc>
          <w:tcPr>
            <w:tcW w:w="1486" w:type="dxa"/>
            <w:shd w:val="clear" w:color="auto" w:fill="B5C0D8"/>
          </w:tcPr>
          <w:p w:rsidR="00D849AA" w:rsidRPr="00A5008D" w:rsidRDefault="00EE6D95">
            <w:pPr>
              <w:pStyle w:val="CellHeader"/>
            </w:pPr>
            <w:r w:rsidRPr="00A5008D">
              <w:t>Ciljana vrijednost (2016.)</w:t>
            </w:r>
          </w:p>
        </w:tc>
      </w:tr>
      <w:tr w:rsidR="00D849AA">
        <w:trPr>
          <w:jc w:val="center"/>
        </w:trPr>
        <w:tc>
          <w:tcPr>
            <w:tcW w:w="2229" w:type="dxa"/>
          </w:tcPr>
          <w:p w:rsidR="00D849AA" w:rsidRPr="00A5008D" w:rsidRDefault="00EE6D95">
            <w:pPr>
              <w:pStyle w:val="CellColumn"/>
            </w:pPr>
            <w:r w:rsidRPr="00A5008D">
              <w:t>Broj borbenih vozila predanih u OS RH</w:t>
            </w:r>
          </w:p>
        </w:tc>
        <w:tc>
          <w:tcPr>
            <w:tcW w:w="1114" w:type="dxa"/>
          </w:tcPr>
          <w:p w:rsidR="00D849AA" w:rsidRPr="00A5008D" w:rsidRDefault="00EE6D95">
            <w:pPr>
              <w:rPr>
                <w:rFonts w:ascii="Arial" w:hAnsi="Arial" w:cs="Arial"/>
              </w:rPr>
            </w:pPr>
            <w:r w:rsidRPr="00A5008D">
              <w:rPr>
                <w:rFonts w:ascii="Arial" w:hAnsi="Arial" w:cs="Arial"/>
              </w:rPr>
              <w:t>Kom</w:t>
            </w:r>
          </w:p>
        </w:tc>
        <w:tc>
          <w:tcPr>
            <w:tcW w:w="1114" w:type="dxa"/>
          </w:tcPr>
          <w:p w:rsidR="00D849AA" w:rsidRPr="00A5008D" w:rsidRDefault="00EE6D95">
            <w:pPr>
              <w:rPr>
                <w:rFonts w:ascii="Arial" w:hAnsi="Arial" w:cs="Arial"/>
              </w:rPr>
            </w:pPr>
            <w:r w:rsidRPr="00A5008D">
              <w:rPr>
                <w:rFonts w:ascii="Arial" w:hAnsi="Arial" w:cs="Arial"/>
              </w:rPr>
              <w:t>60</w:t>
            </w:r>
          </w:p>
        </w:tc>
        <w:tc>
          <w:tcPr>
            <w:tcW w:w="1486" w:type="dxa"/>
          </w:tcPr>
          <w:p w:rsidR="00D849AA" w:rsidRPr="00A5008D" w:rsidRDefault="00EE6D95">
            <w:pPr>
              <w:rPr>
                <w:rFonts w:ascii="Arial" w:hAnsi="Arial" w:cs="Arial"/>
              </w:rPr>
            </w:pPr>
            <w:r w:rsidRPr="00A5008D">
              <w:rPr>
                <w:rFonts w:ascii="Arial" w:hAnsi="Arial" w:cs="Arial"/>
              </w:rPr>
              <w:t>86</w:t>
            </w:r>
          </w:p>
        </w:tc>
        <w:tc>
          <w:tcPr>
            <w:tcW w:w="1486" w:type="dxa"/>
          </w:tcPr>
          <w:p w:rsidR="00D849AA" w:rsidRPr="00A5008D" w:rsidRDefault="00EE6D95">
            <w:pPr>
              <w:rPr>
                <w:rFonts w:ascii="Arial" w:hAnsi="Arial" w:cs="Arial"/>
              </w:rPr>
            </w:pPr>
            <w:r w:rsidRPr="00A5008D">
              <w:rPr>
                <w:rFonts w:ascii="Arial" w:hAnsi="Arial" w:cs="Arial"/>
              </w:rPr>
              <w:t>122</w:t>
            </w:r>
          </w:p>
        </w:tc>
        <w:tc>
          <w:tcPr>
            <w:tcW w:w="1486" w:type="dxa"/>
          </w:tcPr>
          <w:p w:rsidR="00D849AA" w:rsidRPr="00A5008D" w:rsidRDefault="00EE6D95">
            <w:pPr>
              <w:rPr>
                <w:rFonts w:ascii="Arial" w:hAnsi="Arial" w:cs="Arial"/>
              </w:rPr>
            </w:pPr>
            <w:r w:rsidRPr="00A5008D">
              <w:rPr>
                <w:rFonts w:ascii="Arial" w:hAnsi="Arial" w:cs="Arial"/>
              </w:rPr>
              <w:t>126</w:t>
            </w:r>
          </w:p>
        </w:tc>
      </w:tr>
    </w:tbl>
    <w:p w:rsidR="00D849AA" w:rsidRDefault="00D849AA">
      <w:pPr>
        <w:jc w:val="left"/>
      </w:pPr>
    </w:p>
    <w:p w:rsidR="00D849AA" w:rsidRDefault="00EE6D95">
      <w:pPr>
        <w:pStyle w:val="Naslov6"/>
      </w:pPr>
      <w:r>
        <w:t>K545044 OBALNI OPHODNI BROD</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rsidRPr="00A5008D">
        <w:trPr>
          <w:jc w:val="center"/>
        </w:trPr>
        <w:tc>
          <w:tcPr>
            <w:tcW w:w="1486" w:type="dxa"/>
            <w:shd w:val="clear" w:color="auto" w:fill="B5C0D8"/>
          </w:tcPr>
          <w:p w:rsidR="00D849AA" w:rsidRPr="00A5008D" w:rsidRDefault="00EE6D95">
            <w:pPr>
              <w:pStyle w:val="CellHeader"/>
            </w:pPr>
            <w:r w:rsidRPr="00A5008D">
              <w:t>Naziv aktivnosti</w:t>
            </w:r>
          </w:p>
        </w:tc>
        <w:tc>
          <w:tcPr>
            <w:tcW w:w="1486" w:type="dxa"/>
            <w:shd w:val="clear" w:color="auto" w:fill="B5C0D8"/>
          </w:tcPr>
          <w:p w:rsidR="00D849AA" w:rsidRPr="00A5008D" w:rsidRDefault="00EE6D95">
            <w:pPr>
              <w:pStyle w:val="CellHeader"/>
            </w:pPr>
            <w:r w:rsidRPr="00A5008D">
              <w:t>Plan 2013.</w:t>
            </w:r>
          </w:p>
        </w:tc>
        <w:tc>
          <w:tcPr>
            <w:tcW w:w="1486" w:type="dxa"/>
            <w:shd w:val="clear" w:color="auto" w:fill="B5C0D8"/>
          </w:tcPr>
          <w:p w:rsidR="00D849AA" w:rsidRPr="00A5008D" w:rsidRDefault="00EE6D95">
            <w:pPr>
              <w:pStyle w:val="CellHeader"/>
            </w:pPr>
            <w:r w:rsidRPr="00A5008D">
              <w:t>Plan 2014.</w:t>
            </w:r>
          </w:p>
        </w:tc>
        <w:tc>
          <w:tcPr>
            <w:tcW w:w="1486" w:type="dxa"/>
            <w:shd w:val="clear" w:color="auto" w:fill="B5C0D8"/>
          </w:tcPr>
          <w:p w:rsidR="00D849AA" w:rsidRPr="00A5008D" w:rsidRDefault="00EE6D95">
            <w:pPr>
              <w:pStyle w:val="CellHeader"/>
            </w:pPr>
            <w:r w:rsidRPr="00A5008D">
              <w:t>Plan 2015.</w:t>
            </w:r>
          </w:p>
        </w:tc>
        <w:tc>
          <w:tcPr>
            <w:tcW w:w="1486" w:type="dxa"/>
            <w:shd w:val="clear" w:color="auto" w:fill="B5C0D8"/>
          </w:tcPr>
          <w:p w:rsidR="00D849AA" w:rsidRPr="00A5008D" w:rsidRDefault="00EE6D95">
            <w:pPr>
              <w:pStyle w:val="CellHeader"/>
            </w:pPr>
            <w:r w:rsidRPr="00A5008D">
              <w:t>Plan 2016.</w:t>
            </w:r>
          </w:p>
        </w:tc>
        <w:tc>
          <w:tcPr>
            <w:tcW w:w="1486" w:type="dxa"/>
            <w:shd w:val="clear" w:color="auto" w:fill="B5C0D8"/>
          </w:tcPr>
          <w:p w:rsidR="00D849AA" w:rsidRPr="00A5008D" w:rsidRDefault="00EE6D95">
            <w:pPr>
              <w:pStyle w:val="CellHeader"/>
            </w:pPr>
            <w:r w:rsidRPr="00A5008D">
              <w:t>Indeks 2014/2013</w:t>
            </w:r>
          </w:p>
        </w:tc>
      </w:tr>
      <w:tr w:rsidR="00D849AA" w:rsidRPr="00A5008D">
        <w:trPr>
          <w:jc w:val="center"/>
        </w:trPr>
        <w:tc>
          <w:tcPr>
            <w:tcW w:w="1486" w:type="dxa"/>
          </w:tcPr>
          <w:p w:rsidR="00D849AA" w:rsidRPr="00A5008D" w:rsidRDefault="00EE6D95">
            <w:pPr>
              <w:pStyle w:val="CellColumn"/>
            </w:pPr>
            <w:r w:rsidRPr="00A5008D">
              <w:t>K545044</w:t>
            </w:r>
          </w:p>
        </w:tc>
        <w:tc>
          <w:tcPr>
            <w:tcW w:w="1486" w:type="dxa"/>
          </w:tcPr>
          <w:p w:rsidR="00D849AA" w:rsidRPr="00A5008D" w:rsidRDefault="00EE6D95">
            <w:pPr>
              <w:rPr>
                <w:rFonts w:ascii="Arial" w:hAnsi="Arial" w:cs="Arial"/>
              </w:rPr>
            </w:pPr>
            <w:r w:rsidRPr="00A5008D">
              <w:rPr>
                <w:rFonts w:ascii="Arial" w:hAnsi="Arial" w:cs="Arial"/>
              </w:rPr>
              <w:t>34.005.500</w:t>
            </w:r>
          </w:p>
        </w:tc>
        <w:tc>
          <w:tcPr>
            <w:tcW w:w="1486" w:type="dxa"/>
          </w:tcPr>
          <w:p w:rsidR="00D849AA" w:rsidRPr="00A5008D" w:rsidRDefault="00EE6D95">
            <w:pPr>
              <w:rPr>
                <w:rFonts w:ascii="Arial" w:hAnsi="Arial" w:cs="Arial"/>
              </w:rPr>
            </w:pPr>
            <w:r w:rsidRPr="00A5008D">
              <w:rPr>
                <w:rFonts w:ascii="Arial" w:hAnsi="Arial" w:cs="Arial"/>
              </w:rPr>
              <w:t>60.500.000</w:t>
            </w:r>
          </w:p>
        </w:tc>
        <w:tc>
          <w:tcPr>
            <w:tcW w:w="1486" w:type="dxa"/>
          </w:tcPr>
          <w:p w:rsidR="00D849AA" w:rsidRPr="00A5008D" w:rsidRDefault="00EE6D95">
            <w:pPr>
              <w:rPr>
                <w:rFonts w:ascii="Arial" w:hAnsi="Arial" w:cs="Arial"/>
              </w:rPr>
            </w:pPr>
            <w:r w:rsidRPr="00A5008D">
              <w:rPr>
                <w:rFonts w:ascii="Arial" w:hAnsi="Arial" w:cs="Arial"/>
              </w:rPr>
              <w:t>74.400.000</w:t>
            </w:r>
          </w:p>
        </w:tc>
        <w:tc>
          <w:tcPr>
            <w:tcW w:w="1486" w:type="dxa"/>
          </w:tcPr>
          <w:p w:rsidR="00D849AA" w:rsidRPr="00A5008D" w:rsidRDefault="00EE6D95">
            <w:pPr>
              <w:rPr>
                <w:rFonts w:ascii="Arial" w:hAnsi="Arial" w:cs="Arial"/>
              </w:rPr>
            </w:pPr>
            <w:r w:rsidRPr="00A5008D">
              <w:rPr>
                <w:rFonts w:ascii="Arial" w:hAnsi="Arial" w:cs="Arial"/>
              </w:rPr>
              <w:t>119.200.000</w:t>
            </w:r>
          </w:p>
        </w:tc>
        <w:tc>
          <w:tcPr>
            <w:tcW w:w="1486" w:type="dxa"/>
          </w:tcPr>
          <w:p w:rsidR="00D849AA" w:rsidRPr="00A5008D" w:rsidRDefault="00EE6D95">
            <w:pPr>
              <w:rPr>
                <w:rFonts w:ascii="Arial" w:hAnsi="Arial" w:cs="Arial"/>
              </w:rPr>
            </w:pPr>
            <w:r w:rsidRPr="00A5008D">
              <w:rPr>
                <w:rFonts w:ascii="Arial" w:hAnsi="Arial" w:cs="Arial"/>
              </w:rPr>
              <w:t>177,9</w:t>
            </w:r>
          </w:p>
        </w:tc>
      </w:tr>
    </w:tbl>
    <w:p w:rsidR="00D849AA" w:rsidRPr="00A5008D" w:rsidRDefault="00D849AA">
      <w:pPr>
        <w:jc w:val="left"/>
        <w:rPr>
          <w:rFonts w:ascii="Arial" w:hAnsi="Arial" w:cs="Arial"/>
        </w:rPr>
      </w:pPr>
    </w:p>
    <w:p w:rsidR="00D849AA" w:rsidRDefault="00EE6D95">
      <w:pPr>
        <w:pStyle w:val="Normal6"/>
      </w:pPr>
      <w:r>
        <w:t xml:space="preserve">Opremanjem Obalne straže obalnim ophodnim brodovima poboljšat će se nadzor i zaštita prava i interesa RH na hrvatskom dijelu Jadranskog mora. U mirnodopskim uvjetima brodovi će nadzirati provedbu legislative RH na moru, pomagati drugim tijelima i stanovništvu u izvanrednim situacijama, provoditi akcije traganja i spašavanja sukladno Zakonu o obalnoj straži Republike Hrvatske. U 2014. godini planira se gradnja </w:t>
      </w:r>
      <w:r>
        <w:lastRenderedPageBreak/>
        <w:t>prototipnog broda i pri kraju godine porinuće. U 2015. godini planira se opremanje prototipnog broda, ispitivanja na vezu, pokusna i primopredajna plovidba, obučavanje posade za prototipna ispitivanja i provedba prototipnih ispitivanja. U 2016. godini porinut će se prvi brod iz serije te položiti kobilica za drugi brod iz serije.</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A5008D" w:rsidRDefault="00EE6D95">
            <w:pPr>
              <w:rPr>
                <w:rFonts w:ascii="Arial" w:hAnsi="Arial" w:cs="Arial"/>
              </w:rPr>
            </w:pPr>
            <w:r w:rsidRPr="00A5008D">
              <w:rPr>
                <w:rFonts w:ascii="Arial" w:hAnsi="Arial" w:cs="Arial"/>
              </w:rPr>
              <w:t>Pokazatelj rezultata</w:t>
            </w:r>
          </w:p>
        </w:tc>
        <w:tc>
          <w:tcPr>
            <w:tcW w:w="1114" w:type="dxa"/>
            <w:shd w:val="clear" w:color="auto" w:fill="B5C0D8"/>
          </w:tcPr>
          <w:p w:rsidR="00D849AA" w:rsidRPr="00A5008D" w:rsidRDefault="00EE6D95">
            <w:pPr>
              <w:pStyle w:val="CellHeader"/>
            </w:pPr>
            <w:r w:rsidRPr="00A5008D">
              <w:t>Jedinica</w:t>
            </w:r>
          </w:p>
        </w:tc>
        <w:tc>
          <w:tcPr>
            <w:tcW w:w="1114" w:type="dxa"/>
            <w:shd w:val="clear" w:color="auto" w:fill="B5C0D8"/>
          </w:tcPr>
          <w:p w:rsidR="00D849AA" w:rsidRPr="00A5008D" w:rsidRDefault="00EE6D95">
            <w:pPr>
              <w:pStyle w:val="CellHeader"/>
            </w:pPr>
            <w:r w:rsidRPr="00A5008D">
              <w:t>Polazna vrijednost</w:t>
            </w:r>
          </w:p>
        </w:tc>
        <w:tc>
          <w:tcPr>
            <w:tcW w:w="1486" w:type="dxa"/>
            <w:shd w:val="clear" w:color="auto" w:fill="B5C0D8"/>
          </w:tcPr>
          <w:p w:rsidR="00D849AA" w:rsidRPr="00A5008D" w:rsidRDefault="00EE6D95">
            <w:pPr>
              <w:pStyle w:val="CellHeader"/>
            </w:pPr>
            <w:r w:rsidRPr="00A5008D">
              <w:t>Ciljana vrijednost (2014.)</w:t>
            </w:r>
          </w:p>
        </w:tc>
        <w:tc>
          <w:tcPr>
            <w:tcW w:w="1486" w:type="dxa"/>
            <w:shd w:val="clear" w:color="auto" w:fill="B5C0D8"/>
          </w:tcPr>
          <w:p w:rsidR="00D849AA" w:rsidRPr="00A5008D" w:rsidRDefault="00EE6D95">
            <w:pPr>
              <w:pStyle w:val="CellHeader"/>
            </w:pPr>
            <w:r w:rsidRPr="00A5008D">
              <w:t>Ciljana vrijednost (2015.)</w:t>
            </w:r>
          </w:p>
        </w:tc>
        <w:tc>
          <w:tcPr>
            <w:tcW w:w="1486" w:type="dxa"/>
            <w:shd w:val="clear" w:color="auto" w:fill="B5C0D8"/>
          </w:tcPr>
          <w:p w:rsidR="00D849AA" w:rsidRPr="00A5008D" w:rsidRDefault="00EE6D95">
            <w:pPr>
              <w:pStyle w:val="CellHeader"/>
            </w:pPr>
            <w:r w:rsidRPr="00A5008D">
              <w:t>Ciljana vrijednost (2016.)</w:t>
            </w:r>
          </w:p>
        </w:tc>
      </w:tr>
      <w:tr w:rsidR="00D849AA">
        <w:trPr>
          <w:jc w:val="center"/>
        </w:trPr>
        <w:tc>
          <w:tcPr>
            <w:tcW w:w="2229" w:type="dxa"/>
          </w:tcPr>
          <w:p w:rsidR="00D849AA" w:rsidRPr="00A5008D" w:rsidRDefault="00EE6D95">
            <w:pPr>
              <w:pStyle w:val="CellColumn"/>
            </w:pPr>
            <w:r w:rsidRPr="00A5008D">
              <w:t>Broj obalnih ophodnih brodova predanih na operativnu uporabu u OS RH</w:t>
            </w:r>
          </w:p>
        </w:tc>
        <w:tc>
          <w:tcPr>
            <w:tcW w:w="1114" w:type="dxa"/>
          </w:tcPr>
          <w:p w:rsidR="00D849AA" w:rsidRPr="00A5008D" w:rsidRDefault="00EE6D95">
            <w:pPr>
              <w:rPr>
                <w:rFonts w:ascii="Arial" w:hAnsi="Arial" w:cs="Arial"/>
              </w:rPr>
            </w:pPr>
            <w:r w:rsidRPr="00A5008D">
              <w:rPr>
                <w:rFonts w:ascii="Arial" w:hAnsi="Arial" w:cs="Arial"/>
              </w:rPr>
              <w:t>Kom</w:t>
            </w:r>
          </w:p>
        </w:tc>
        <w:tc>
          <w:tcPr>
            <w:tcW w:w="1114" w:type="dxa"/>
          </w:tcPr>
          <w:p w:rsidR="00D849AA" w:rsidRPr="00A5008D" w:rsidRDefault="00EE6D95">
            <w:pPr>
              <w:rPr>
                <w:rFonts w:ascii="Arial" w:hAnsi="Arial" w:cs="Arial"/>
              </w:rPr>
            </w:pPr>
            <w:r w:rsidRPr="00A5008D">
              <w:rPr>
                <w:rFonts w:ascii="Arial" w:hAnsi="Arial" w:cs="Arial"/>
              </w:rPr>
              <w:t>0</w:t>
            </w:r>
          </w:p>
        </w:tc>
        <w:tc>
          <w:tcPr>
            <w:tcW w:w="1486" w:type="dxa"/>
          </w:tcPr>
          <w:p w:rsidR="00D849AA" w:rsidRPr="00A5008D" w:rsidRDefault="00EE6D95">
            <w:pPr>
              <w:rPr>
                <w:rFonts w:ascii="Arial" w:hAnsi="Arial" w:cs="Arial"/>
              </w:rPr>
            </w:pPr>
            <w:r w:rsidRPr="00A5008D">
              <w:rPr>
                <w:rFonts w:ascii="Arial" w:hAnsi="Arial" w:cs="Arial"/>
              </w:rPr>
              <w:t>0</w:t>
            </w:r>
          </w:p>
        </w:tc>
        <w:tc>
          <w:tcPr>
            <w:tcW w:w="1486" w:type="dxa"/>
          </w:tcPr>
          <w:p w:rsidR="00D849AA" w:rsidRPr="00A5008D" w:rsidRDefault="00EE6D95">
            <w:pPr>
              <w:rPr>
                <w:rFonts w:ascii="Arial" w:hAnsi="Arial" w:cs="Arial"/>
              </w:rPr>
            </w:pPr>
            <w:r w:rsidRPr="00A5008D">
              <w:rPr>
                <w:rFonts w:ascii="Arial" w:hAnsi="Arial" w:cs="Arial"/>
              </w:rPr>
              <w:t>1</w:t>
            </w:r>
          </w:p>
        </w:tc>
        <w:tc>
          <w:tcPr>
            <w:tcW w:w="1486" w:type="dxa"/>
          </w:tcPr>
          <w:p w:rsidR="00D849AA" w:rsidRPr="00A5008D" w:rsidRDefault="00EE6D95">
            <w:pPr>
              <w:rPr>
                <w:rFonts w:ascii="Arial" w:hAnsi="Arial" w:cs="Arial"/>
              </w:rPr>
            </w:pPr>
            <w:r w:rsidRPr="00A5008D">
              <w:rPr>
                <w:rFonts w:ascii="Arial" w:hAnsi="Arial" w:cs="Arial"/>
              </w:rPr>
              <w:t>2</w:t>
            </w:r>
          </w:p>
        </w:tc>
      </w:tr>
    </w:tbl>
    <w:p w:rsidR="00D849AA" w:rsidRDefault="00D849AA">
      <w:pPr>
        <w:jc w:val="left"/>
      </w:pPr>
    </w:p>
    <w:p w:rsidR="00D849AA" w:rsidRDefault="00EE6D95">
      <w:pPr>
        <w:pStyle w:val="Naslov6"/>
      </w:pPr>
      <w:r>
        <w:t>K545046 NATO INTEGRIRANI SUSTAV PROTUZRAČNE OBRANE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A5008D" w:rsidRDefault="00EE6D95">
            <w:pPr>
              <w:pStyle w:val="CellHeader"/>
            </w:pPr>
            <w:r w:rsidRPr="00A5008D">
              <w:t>Naziv aktivnosti</w:t>
            </w:r>
          </w:p>
        </w:tc>
        <w:tc>
          <w:tcPr>
            <w:tcW w:w="1486" w:type="dxa"/>
            <w:shd w:val="clear" w:color="auto" w:fill="B5C0D8"/>
          </w:tcPr>
          <w:p w:rsidR="00D849AA" w:rsidRPr="00A5008D" w:rsidRDefault="00EE6D95">
            <w:pPr>
              <w:pStyle w:val="CellHeader"/>
            </w:pPr>
            <w:r w:rsidRPr="00A5008D">
              <w:t>Plan 2013.</w:t>
            </w:r>
          </w:p>
        </w:tc>
        <w:tc>
          <w:tcPr>
            <w:tcW w:w="1486" w:type="dxa"/>
            <w:shd w:val="clear" w:color="auto" w:fill="B5C0D8"/>
          </w:tcPr>
          <w:p w:rsidR="00D849AA" w:rsidRPr="00A5008D" w:rsidRDefault="00EE6D95">
            <w:pPr>
              <w:pStyle w:val="CellHeader"/>
            </w:pPr>
            <w:r w:rsidRPr="00A5008D">
              <w:t>Plan 2014.</w:t>
            </w:r>
          </w:p>
        </w:tc>
        <w:tc>
          <w:tcPr>
            <w:tcW w:w="1486" w:type="dxa"/>
            <w:shd w:val="clear" w:color="auto" w:fill="B5C0D8"/>
          </w:tcPr>
          <w:p w:rsidR="00D849AA" w:rsidRPr="00A5008D" w:rsidRDefault="00EE6D95">
            <w:pPr>
              <w:pStyle w:val="CellHeader"/>
            </w:pPr>
            <w:r w:rsidRPr="00A5008D">
              <w:t>Plan 2015.</w:t>
            </w:r>
          </w:p>
        </w:tc>
        <w:tc>
          <w:tcPr>
            <w:tcW w:w="1486" w:type="dxa"/>
            <w:shd w:val="clear" w:color="auto" w:fill="B5C0D8"/>
          </w:tcPr>
          <w:p w:rsidR="00D849AA" w:rsidRPr="00A5008D" w:rsidRDefault="00EE6D95">
            <w:pPr>
              <w:pStyle w:val="CellHeader"/>
            </w:pPr>
            <w:r w:rsidRPr="00A5008D">
              <w:t>Plan 2016.</w:t>
            </w:r>
          </w:p>
        </w:tc>
        <w:tc>
          <w:tcPr>
            <w:tcW w:w="1486" w:type="dxa"/>
            <w:shd w:val="clear" w:color="auto" w:fill="B5C0D8"/>
          </w:tcPr>
          <w:p w:rsidR="00D849AA" w:rsidRPr="00A5008D" w:rsidRDefault="00EE6D95">
            <w:pPr>
              <w:pStyle w:val="CellHeader"/>
            </w:pPr>
            <w:r w:rsidRPr="00A5008D">
              <w:t>Indeks 2014/2013</w:t>
            </w:r>
          </w:p>
        </w:tc>
      </w:tr>
      <w:tr w:rsidR="00D849AA">
        <w:trPr>
          <w:jc w:val="center"/>
        </w:trPr>
        <w:tc>
          <w:tcPr>
            <w:tcW w:w="1486" w:type="dxa"/>
          </w:tcPr>
          <w:p w:rsidR="00D849AA" w:rsidRPr="00A5008D" w:rsidRDefault="00EE6D95">
            <w:pPr>
              <w:pStyle w:val="CellColumn"/>
            </w:pPr>
            <w:r w:rsidRPr="00A5008D">
              <w:t>K545046</w:t>
            </w:r>
          </w:p>
        </w:tc>
        <w:tc>
          <w:tcPr>
            <w:tcW w:w="1486" w:type="dxa"/>
          </w:tcPr>
          <w:p w:rsidR="00D849AA" w:rsidRPr="00A5008D" w:rsidRDefault="00EE6D95">
            <w:pPr>
              <w:rPr>
                <w:rFonts w:ascii="Arial" w:hAnsi="Arial" w:cs="Arial"/>
              </w:rPr>
            </w:pPr>
            <w:r w:rsidRPr="00A5008D">
              <w:rPr>
                <w:rFonts w:ascii="Arial" w:hAnsi="Arial" w:cs="Arial"/>
              </w:rPr>
              <w:t>2.000.000</w:t>
            </w:r>
          </w:p>
        </w:tc>
        <w:tc>
          <w:tcPr>
            <w:tcW w:w="1486" w:type="dxa"/>
          </w:tcPr>
          <w:p w:rsidR="00D849AA" w:rsidRPr="00A5008D" w:rsidRDefault="00EE6D95">
            <w:pPr>
              <w:rPr>
                <w:rFonts w:ascii="Arial" w:hAnsi="Arial" w:cs="Arial"/>
              </w:rPr>
            </w:pPr>
            <w:r w:rsidRPr="00A5008D">
              <w:rPr>
                <w:rFonts w:ascii="Arial" w:hAnsi="Arial" w:cs="Arial"/>
              </w:rPr>
              <w:t>2.000.000</w:t>
            </w:r>
          </w:p>
        </w:tc>
        <w:tc>
          <w:tcPr>
            <w:tcW w:w="1486" w:type="dxa"/>
          </w:tcPr>
          <w:p w:rsidR="00D849AA" w:rsidRPr="00A5008D" w:rsidRDefault="00EE6D95">
            <w:pPr>
              <w:rPr>
                <w:rFonts w:ascii="Arial" w:hAnsi="Arial" w:cs="Arial"/>
              </w:rPr>
            </w:pPr>
            <w:r w:rsidRPr="00A5008D">
              <w:rPr>
                <w:rFonts w:ascii="Arial" w:hAnsi="Arial" w:cs="Arial"/>
              </w:rPr>
              <w:t>2.000.000</w:t>
            </w:r>
          </w:p>
        </w:tc>
        <w:tc>
          <w:tcPr>
            <w:tcW w:w="1486" w:type="dxa"/>
          </w:tcPr>
          <w:p w:rsidR="00D849AA" w:rsidRPr="00A5008D" w:rsidRDefault="00EE6D95">
            <w:pPr>
              <w:rPr>
                <w:rFonts w:ascii="Arial" w:hAnsi="Arial" w:cs="Arial"/>
              </w:rPr>
            </w:pPr>
            <w:r w:rsidRPr="00A5008D">
              <w:rPr>
                <w:rFonts w:ascii="Arial" w:hAnsi="Arial" w:cs="Arial"/>
              </w:rPr>
              <w:t>00</w:t>
            </w:r>
          </w:p>
        </w:tc>
        <w:tc>
          <w:tcPr>
            <w:tcW w:w="1486" w:type="dxa"/>
          </w:tcPr>
          <w:p w:rsidR="00D849AA" w:rsidRPr="00A5008D" w:rsidRDefault="00EE6D95">
            <w:pPr>
              <w:rPr>
                <w:rFonts w:ascii="Arial" w:hAnsi="Arial" w:cs="Arial"/>
              </w:rPr>
            </w:pPr>
            <w:r w:rsidRPr="00A5008D">
              <w:rPr>
                <w:rFonts w:ascii="Arial" w:hAnsi="Arial" w:cs="Arial"/>
              </w:rPr>
              <w:t>100,0</w:t>
            </w:r>
          </w:p>
        </w:tc>
      </w:tr>
    </w:tbl>
    <w:p w:rsidR="00D849AA" w:rsidRDefault="00D849AA">
      <w:pPr>
        <w:jc w:val="left"/>
      </w:pPr>
    </w:p>
    <w:p w:rsidR="00D849AA" w:rsidRDefault="00EE6D95">
      <w:pPr>
        <w:pStyle w:val="Normal6"/>
      </w:pPr>
      <w:r>
        <w:t>Integracijom sustava protuzračne obrane Republike Hrvatske u NATO sustav osigurava se nadzor i zaštita zračnog prostora. Provedbom I faze projekta osigurane su početne operativne sposobnosti, a u nastavku će se osigurati puna operativna sposobnost. MORH osigurava komercijalnu opremu, graditeljsko uređenje lokacija, te obuku djelatnika u inozemstvu za rad na novoj opremi.</w:t>
      </w:r>
    </w:p>
    <w:p w:rsidR="00D849AA" w:rsidRDefault="00EE6D95">
      <w:pPr>
        <w:pStyle w:val="Naslov6"/>
      </w:pPr>
      <w:r>
        <w:t>K545047 MODERNIZACIJA RADARSKOG SUSTAVA ENHANCED PEREGRINE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A5008D" w:rsidRDefault="00EE6D95">
            <w:pPr>
              <w:pStyle w:val="CellHeader"/>
            </w:pPr>
            <w:r w:rsidRPr="00A5008D">
              <w:t>Naziv aktivnosti</w:t>
            </w:r>
          </w:p>
        </w:tc>
        <w:tc>
          <w:tcPr>
            <w:tcW w:w="1486" w:type="dxa"/>
            <w:shd w:val="clear" w:color="auto" w:fill="B5C0D8"/>
          </w:tcPr>
          <w:p w:rsidR="00D849AA" w:rsidRPr="00A5008D" w:rsidRDefault="00EE6D95">
            <w:pPr>
              <w:pStyle w:val="CellHeader"/>
            </w:pPr>
            <w:r w:rsidRPr="00A5008D">
              <w:t>Plan 2013.</w:t>
            </w:r>
          </w:p>
        </w:tc>
        <w:tc>
          <w:tcPr>
            <w:tcW w:w="1486" w:type="dxa"/>
            <w:shd w:val="clear" w:color="auto" w:fill="B5C0D8"/>
          </w:tcPr>
          <w:p w:rsidR="00D849AA" w:rsidRPr="00A5008D" w:rsidRDefault="00EE6D95">
            <w:pPr>
              <w:pStyle w:val="CellHeader"/>
            </w:pPr>
            <w:r w:rsidRPr="00A5008D">
              <w:t>Plan 2014.</w:t>
            </w:r>
          </w:p>
        </w:tc>
        <w:tc>
          <w:tcPr>
            <w:tcW w:w="1486" w:type="dxa"/>
            <w:shd w:val="clear" w:color="auto" w:fill="B5C0D8"/>
          </w:tcPr>
          <w:p w:rsidR="00D849AA" w:rsidRPr="00A5008D" w:rsidRDefault="00EE6D95">
            <w:pPr>
              <w:pStyle w:val="CellHeader"/>
            </w:pPr>
            <w:r w:rsidRPr="00A5008D">
              <w:t>Plan 2015.</w:t>
            </w:r>
          </w:p>
        </w:tc>
        <w:tc>
          <w:tcPr>
            <w:tcW w:w="1486" w:type="dxa"/>
            <w:shd w:val="clear" w:color="auto" w:fill="B5C0D8"/>
          </w:tcPr>
          <w:p w:rsidR="00D849AA" w:rsidRPr="00A5008D" w:rsidRDefault="00EE6D95">
            <w:pPr>
              <w:pStyle w:val="CellHeader"/>
            </w:pPr>
            <w:r w:rsidRPr="00A5008D">
              <w:t>Plan 2016.</w:t>
            </w:r>
          </w:p>
        </w:tc>
        <w:tc>
          <w:tcPr>
            <w:tcW w:w="1486" w:type="dxa"/>
            <w:shd w:val="clear" w:color="auto" w:fill="B5C0D8"/>
          </w:tcPr>
          <w:p w:rsidR="00D849AA" w:rsidRPr="00A5008D" w:rsidRDefault="00EE6D95">
            <w:pPr>
              <w:pStyle w:val="CellHeader"/>
            </w:pPr>
            <w:r w:rsidRPr="00A5008D">
              <w:t>Indeks 2014/2013</w:t>
            </w:r>
          </w:p>
        </w:tc>
      </w:tr>
      <w:tr w:rsidR="00D849AA">
        <w:trPr>
          <w:jc w:val="center"/>
        </w:trPr>
        <w:tc>
          <w:tcPr>
            <w:tcW w:w="1486" w:type="dxa"/>
          </w:tcPr>
          <w:p w:rsidR="00D849AA" w:rsidRPr="00A5008D" w:rsidRDefault="00EE6D95">
            <w:pPr>
              <w:pStyle w:val="CellColumn"/>
            </w:pPr>
            <w:r w:rsidRPr="00A5008D">
              <w:t>K545047</w:t>
            </w:r>
          </w:p>
        </w:tc>
        <w:tc>
          <w:tcPr>
            <w:tcW w:w="1486" w:type="dxa"/>
          </w:tcPr>
          <w:p w:rsidR="00D849AA" w:rsidRPr="00A5008D" w:rsidRDefault="00EE6D95">
            <w:pPr>
              <w:rPr>
                <w:rFonts w:ascii="Arial" w:hAnsi="Arial" w:cs="Arial"/>
              </w:rPr>
            </w:pPr>
            <w:r w:rsidRPr="00A5008D">
              <w:rPr>
                <w:rFonts w:ascii="Arial" w:hAnsi="Arial" w:cs="Arial"/>
              </w:rPr>
              <w:t>110.000</w:t>
            </w:r>
          </w:p>
        </w:tc>
        <w:tc>
          <w:tcPr>
            <w:tcW w:w="1486" w:type="dxa"/>
          </w:tcPr>
          <w:p w:rsidR="00D849AA" w:rsidRPr="00A5008D" w:rsidRDefault="00EE6D95">
            <w:pPr>
              <w:rPr>
                <w:rFonts w:ascii="Arial" w:hAnsi="Arial" w:cs="Arial"/>
              </w:rPr>
            </w:pPr>
            <w:r w:rsidRPr="00A5008D">
              <w:rPr>
                <w:rFonts w:ascii="Arial" w:hAnsi="Arial" w:cs="Arial"/>
              </w:rPr>
              <w:t>325.000</w:t>
            </w:r>
          </w:p>
        </w:tc>
        <w:tc>
          <w:tcPr>
            <w:tcW w:w="1486" w:type="dxa"/>
          </w:tcPr>
          <w:p w:rsidR="00D849AA" w:rsidRPr="00A5008D" w:rsidRDefault="00EE6D95">
            <w:pPr>
              <w:rPr>
                <w:rFonts w:ascii="Arial" w:hAnsi="Arial" w:cs="Arial"/>
              </w:rPr>
            </w:pPr>
            <w:r w:rsidRPr="00A5008D">
              <w:rPr>
                <w:rFonts w:ascii="Arial" w:hAnsi="Arial" w:cs="Arial"/>
              </w:rPr>
              <w:t>325.000</w:t>
            </w:r>
          </w:p>
        </w:tc>
        <w:tc>
          <w:tcPr>
            <w:tcW w:w="1486" w:type="dxa"/>
          </w:tcPr>
          <w:p w:rsidR="00D849AA" w:rsidRPr="00A5008D" w:rsidRDefault="00EE6D95">
            <w:pPr>
              <w:rPr>
                <w:rFonts w:ascii="Arial" w:hAnsi="Arial" w:cs="Arial"/>
              </w:rPr>
            </w:pPr>
            <w:r w:rsidRPr="00A5008D">
              <w:rPr>
                <w:rFonts w:ascii="Arial" w:hAnsi="Arial" w:cs="Arial"/>
              </w:rPr>
              <w:t>00</w:t>
            </w:r>
          </w:p>
        </w:tc>
        <w:tc>
          <w:tcPr>
            <w:tcW w:w="1486" w:type="dxa"/>
          </w:tcPr>
          <w:p w:rsidR="00D849AA" w:rsidRPr="00A5008D" w:rsidRDefault="00EE6D95">
            <w:pPr>
              <w:rPr>
                <w:rFonts w:ascii="Arial" w:hAnsi="Arial" w:cs="Arial"/>
              </w:rPr>
            </w:pPr>
            <w:r w:rsidRPr="00A5008D">
              <w:rPr>
                <w:rFonts w:ascii="Arial" w:hAnsi="Arial" w:cs="Arial"/>
              </w:rPr>
              <w:t>295,4</w:t>
            </w:r>
          </w:p>
        </w:tc>
      </w:tr>
    </w:tbl>
    <w:p w:rsidR="00D849AA" w:rsidRDefault="00D849AA">
      <w:pPr>
        <w:jc w:val="left"/>
      </w:pPr>
    </w:p>
    <w:p w:rsidR="00D849AA" w:rsidRDefault="00EE6D95">
      <w:pPr>
        <w:pStyle w:val="Normal6"/>
      </w:pPr>
      <w:r>
        <w:t>Modernizacijom radarskog sustava «Enhanced Peregrine» povećat će se sposobnost Hrvatske ratne mornarice za kontrolom Jadranskog mora, otoka i priobalja. Tako modernizirani sustav omogućit će pružanje podataka o stanju na Jadranskom moru i ostalim korisnicima unutar Oružanih snaga, Ministarstvu unutarnjih poslova i drugim državnim institucijama.</w:t>
      </w:r>
    </w:p>
    <w:p w:rsidR="00A5008D" w:rsidRDefault="00A5008D" w:rsidP="00A5008D">
      <w:pPr>
        <w:jc w:val="left"/>
      </w:pPr>
    </w:p>
    <w:p w:rsidR="00A5008D" w:rsidRDefault="00A5008D" w:rsidP="00A5008D">
      <w:pPr>
        <w:pStyle w:val="Naslov4"/>
      </w:pPr>
    </w:p>
    <w:p w:rsidR="00A5008D" w:rsidRDefault="00A5008D" w:rsidP="00A5008D">
      <w:pPr>
        <w:pStyle w:val="Naslov4"/>
      </w:pPr>
      <w:r>
        <w:t>OBRAZLOŽENJE PROGRAMA</w:t>
      </w:r>
    </w:p>
    <w:p w:rsidR="00D849AA" w:rsidRDefault="00EE6D95">
      <w:pPr>
        <w:pStyle w:val="Naslov5"/>
      </w:pPr>
      <w:r>
        <w:t>2505 UPRAVLJANJE I POTPORA OSOBLJU</w:t>
      </w:r>
    </w:p>
    <w:tbl>
      <w:tblPr>
        <w:tblStyle w:val="Reetkatablice"/>
        <w:tblW w:w="0" w:type="auto"/>
        <w:jc w:val="center"/>
        <w:tblLook w:val="04A0" w:firstRow="1" w:lastRow="0" w:firstColumn="1" w:lastColumn="0" w:noHBand="0" w:noVBand="1"/>
      </w:tblPr>
      <w:tblGrid>
        <w:gridCol w:w="1486"/>
        <w:gridCol w:w="1496"/>
        <w:gridCol w:w="1496"/>
        <w:gridCol w:w="1496"/>
        <w:gridCol w:w="1496"/>
        <w:gridCol w:w="1486"/>
      </w:tblGrid>
      <w:tr w:rsidR="00D849AA">
        <w:trPr>
          <w:jc w:val="center"/>
        </w:trPr>
        <w:tc>
          <w:tcPr>
            <w:tcW w:w="1486" w:type="dxa"/>
            <w:shd w:val="clear" w:color="auto" w:fill="B5C0D8"/>
          </w:tcPr>
          <w:p w:rsidR="00D849AA" w:rsidRPr="00A5008D" w:rsidRDefault="00D849AA">
            <w:pPr>
              <w:pStyle w:val="CellHeader"/>
            </w:pPr>
          </w:p>
        </w:tc>
        <w:tc>
          <w:tcPr>
            <w:tcW w:w="1486" w:type="dxa"/>
            <w:shd w:val="clear" w:color="auto" w:fill="B5C0D8"/>
          </w:tcPr>
          <w:p w:rsidR="00D849AA" w:rsidRPr="00A5008D" w:rsidRDefault="00EE6D95">
            <w:pPr>
              <w:pStyle w:val="CellHeader"/>
            </w:pPr>
            <w:r w:rsidRPr="00A5008D">
              <w:t>Plan 2013.</w:t>
            </w:r>
          </w:p>
        </w:tc>
        <w:tc>
          <w:tcPr>
            <w:tcW w:w="1486" w:type="dxa"/>
            <w:shd w:val="clear" w:color="auto" w:fill="B5C0D8"/>
          </w:tcPr>
          <w:p w:rsidR="00D849AA" w:rsidRPr="00A5008D" w:rsidRDefault="00EE6D95">
            <w:pPr>
              <w:pStyle w:val="CellHeader"/>
            </w:pPr>
            <w:r w:rsidRPr="00A5008D">
              <w:t>Plan 2014.</w:t>
            </w:r>
          </w:p>
        </w:tc>
        <w:tc>
          <w:tcPr>
            <w:tcW w:w="1486" w:type="dxa"/>
            <w:shd w:val="clear" w:color="auto" w:fill="B5C0D8"/>
          </w:tcPr>
          <w:p w:rsidR="00D849AA" w:rsidRPr="00A5008D" w:rsidRDefault="00EE6D95">
            <w:pPr>
              <w:pStyle w:val="CellHeader"/>
            </w:pPr>
            <w:r w:rsidRPr="00A5008D">
              <w:t>Plan 2015.</w:t>
            </w:r>
          </w:p>
        </w:tc>
        <w:tc>
          <w:tcPr>
            <w:tcW w:w="1486" w:type="dxa"/>
            <w:shd w:val="clear" w:color="auto" w:fill="B5C0D8"/>
          </w:tcPr>
          <w:p w:rsidR="00D849AA" w:rsidRPr="00A5008D" w:rsidRDefault="00EE6D95">
            <w:pPr>
              <w:pStyle w:val="CellHeader"/>
            </w:pPr>
            <w:r w:rsidRPr="00A5008D">
              <w:t>Plan 2016.</w:t>
            </w:r>
          </w:p>
        </w:tc>
        <w:tc>
          <w:tcPr>
            <w:tcW w:w="1486" w:type="dxa"/>
            <w:shd w:val="clear" w:color="auto" w:fill="B5C0D8"/>
          </w:tcPr>
          <w:p w:rsidR="00D849AA" w:rsidRPr="00A5008D" w:rsidRDefault="00EE6D95">
            <w:pPr>
              <w:pStyle w:val="CellHeader"/>
            </w:pPr>
            <w:r w:rsidRPr="00A5008D">
              <w:t>Indeks 2014/2013</w:t>
            </w:r>
          </w:p>
        </w:tc>
      </w:tr>
      <w:tr w:rsidR="00D849AA">
        <w:trPr>
          <w:jc w:val="center"/>
        </w:trPr>
        <w:tc>
          <w:tcPr>
            <w:tcW w:w="1486" w:type="dxa"/>
          </w:tcPr>
          <w:p w:rsidR="00D849AA" w:rsidRPr="00A5008D" w:rsidRDefault="00EE6D95">
            <w:pPr>
              <w:pStyle w:val="CellColumn"/>
            </w:pPr>
            <w:r w:rsidRPr="00A5008D">
              <w:t>2505</w:t>
            </w:r>
          </w:p>
        </w:tc>
        <w:tc>
          <w:tcPr>
            <w:tcW w:w="1486" w:type="dxa"/>
          </w:tcPr>
          <w:p w:rsidR="00D849AA" w:rsidRPr="00A5008D" w:rsidRDefault="00EE6D95">
            <w:pPr>
              <w:rPr>
                <w:rFonts w:ascii="Arial" w:hAnsi="Arial" w:cs="Arial"/>
              </w:rPr>
            </w:pPr>
            <w:r w:rsidRPr="00A5008D">
              <w:rPr>
                <w:rFonts w:ascii="Arial" w:hAnsi="Arial" w:cs="Arial"/>
              </w:rPr>
              <w:t>2.706.296.000</w:t>
            </w:r>
          </w:p>
        </w:tc>
        <w:tc>
          <w:tcPr>
            <w:tcW w:w="1486" w:type="dxa"/>
          </w:tcPr>
          <w:p w:rsidR="00D849AA" w:rsidRPr="00A5008D" w:rsidRDefault="00EE6D95">
            <w:pPr>
              <w:rPr>
                <w:rFonts w:ascii="Arial" w:hAnsi="Arial" w:cs="Arial"/>
              </w:rPr>
            </w:pPr>
            <w:r w:rsidRPr="00A5008D">
              <w:rPr>
                <w:rFonts w:ascii="Arial" w:hAnsi="Arial" w:cs="Arial"/>
              </w:rPr>
              <w:t>2.706.579.771</w:t>
            </w:r>
          </w:p>
        </w:tc>
        <w:tc>
          <w:tcPr>
            <w:tcW w:w="1486" w:type="dxa"/>
          </w:tcPr>
          <w:p w:rsidR="00D849AA" w:rsidRPr="00A5008D" w:rsidRDefault="00EE6D95">
            <w:pPr>
              <w:rPr>
                <w:rFonts w:ascii="Arial" w:hAnsi="Arial" w:cs="Arial"/>
              </w:rPr>
            </w:pPr>
            <w:r w:rsidRPr="00A5008D">
              <w:rPr>
                <w:rFonts w:ascii="Arial" w:hAnsi="Arial" w:cs="Arial"/>
              </w:rPr>
              <w:t>2.664.834.000</w:t>
            </w:r>
          </w:p>
        </w:tc>
        <w:tc>
          <w:tcPr>
            <w:tcW w:w="1486" w:type="dxa"/>
          </w:tcPr>
          <w:p w:rsidR="00D849AA" w:rsidRPr="00A5008D" w:rsidRDefault="00EE6D95">
            <w:pPr>
              <w:rPr>
                <w:rFonts w:ascii="Arial" w:hAnsi="Arial" w:cs="Arial"/>
              </w:rPr>
            </w:pPr>
            <w:r w:rsidRPr="00A5008D">
              <w:rPr>
                <w:rFonts w:ascii="Arial" w:hAnsi="Arial" w:cs="Arial"/>
              </w:rPr>
              <w:t>2.646.988.700</w:t>
            </w:r>
          </w:p>
        </w:tc>
        <w:tc>
          <w:tcPr>
            <w:tcW w:w="1486" w:type="dxa"/>
          </w:tcPr>
          <w:p w:rsidR="00D849AA" w:rsidRPr="00A5008D" w:rsidRDefault="00EE6D95">
            <w:pPr>
              <w:rPr>
                <w:rFonts w:ascii="Arial" w:hAnsi="Arial" w:cs="Arial"/>
              </w:rPr>
            </w:pPr>
            <w:r w:rsidRPr="00A5008D">
              <w:rPr>
                <w:rFonts w:ascii="Arial" w:hAnsi="Arial" w:cs="Arial"/>
              </w:rPr>
              <w:t>100,0</w:t>
            </w:r>
          </w:p>
        </w:tc>
      </w:tr>
    </w:tbl>
    <w:p w:rsidR="00D849AA" w:rsidRDefault="00D849AA">
      <w:pPr>
        <w:jc w:val="left"/>
      </w:pPr>
    </w:p>
    <w:p w:rsidR="00D849AA" w:rsidRDefault="00EE6D95">
      <w:pPr>
        <w:pStyle w:val="Naslov6"/>
      </w:pPr>
      <w:r>
        <w:t>Opis programa</w:t>
      </w:r>
    </w:p>
    <w:p w:rsidR="00D849AA" w:rsidRDefault="00EE6D95">
      <w:pPr>
        <w:pStyle w:val="Normal5"/>
      </w:pPr>
      <w:r>
        <w:t>U dinamičnom sigurnosnom okruženju, razvoj i održavanje vojnih sposobnosti zahtijeva promjene u strukturi osoblja, uvođenje novih kategorija osoblja odgovarajućeg profila te održavanje zadovoljavajuće dobne strukture. Kvalitetna organizacijska i personalna struktura preduvjet je za razvoj, unapređenje i održavanje obrambenih sposobnosti potrebnih za zaštitu suvereniteta i teritorijalnog integriteta RH, obrane RH i saveznika. Veličina i struktura Ministarstva obrane i Oružanih snaga RH mora biti primjerena sigurnosnim izazovima i proizlazi iz realne procjene prijetnji i rizika, postojećih i očekivanih misija i zadaća te preuzetih obveza u međunarodnim okvirima. Razvoj i održavanje vojnih sposobnosti zahtijeva promjene u strukturi osoblja, uvođenje novih kategorija osoblja te održavanje zadovoljavajuće dobne strukture. Cilj ovog programa je dostići zadovoljavajuću organizacijsku, obrazovnu i dobnu strukturu. Dostizanje ciljane organizacijske i personalne strukture postiže se planskim pribavljanjem osoblja kojem prethodi selekcija, izobrazbom i profesionalnim razvojem te planskim izdvajanjem i tranzicijom osoblja. Uspostavit će se učinkovit sustav potpore svim kategorijama osoblja u Ministarstvu obrane i Oružanim snagama Republike Hrvatske, s naglaskom na poboljšanje upravljanja osobljem i na razvoj Oružanih snaga Republike Hrvatske. Izdvajanjem neperspektivnog osoblja osigurava se protočnost osoblja u obrambenom sustavu i popravlja njegova dobna i kvalifikacijska struktura.</w:t>
      </w:r>
    </w:p>
    <w:p w:rsidR="00D849AA" w:rsidRDefault="00EE6D95">
      <w:pPr>
        <w:pStyle w:val="Naslov6"/>
      </w:pPr>
      <w:r>
        <w:t>Zakonske i druge pravne osnove</w:t>
      </w:r>
    </w:p>
    <w:p w:rsidR="00D849AA" w:rsidRDefault="00EE6D95">
      <w:pPr>
        <w:pStyle w:val="Normal5"/>
      </w:pPr>
      <w:r>
        <w:t>Zakon o obrani (NN 73/13), Zakon o službi u Oružanim snagama RH (NN 73/13), Zakon o državnim službenicima (NN 49/12 - pročišćeni tekst, 37/13 i 38/13), Zakon o registru zaposlenih u javnom sektoru (NN 34/11), Kolektivni ugovor za državne službenike i namještenike (NN 104/13), Dodatak I. Kolektivnom ugovoru za državne službenike i namještenike (NN 104/13), Dugoročni plan razvoja OS RH 2006.-2015. (NN 81/06), Uredba o vrijednosti koeficijenta osobnog čina za izračun plaće djelatnih vojnih osoba (NN 46/08 i 25/13), Pravilnik o dodatku na plaću i načinu isplate plaće (NN 50/08, 142/08, 118/09, 99/12 i 55/13), Uredba o utvrđivanju dužnosti djelatnih vojnih osoba na kojima se staž osiguranja računa s povećanim trajanjem i načinu računanja toga staža (NN 42/03 i 99/12), Pravilnik o dragovoljnom služenju vojnog roka (NN 70/08, 97/09, 135/10, 29/12 i 143/12), Pravilnik o utvrđivanju zdravstvene sposobnosti za vojnu službu (NN 127/10, 29/12, 31/12 i 45/12), Pravilnik o privlačenju, selekciji i odabiru za prijam u djelatnu vojnu službu (NN 97/08, 51/12), Pravilnik o načinu i uvjetima školovanja za potrebe Oružanih snaga na vojnim učilištima, školama u građanstvu i inozemstvu (NN 107/03), Odluka o načinu i uvjetima sklapanja ugovora o školovanju vojnih stipendista (NN 45/08), Uredba o oblicima, načinima i uvjetima izobrazbe državnih službenika (NN 10/07), Pravilnik o tranziciji i pripremi prelaska djelatnih vojnih osoba na rad izvan Oružanih snaga (NN 112/03).</w:t>
      </w:r>
    </w:p>
    <w:p w:rsidR="00D849AA" w:rsidRDefault="00EE6D95">
      <w:pPr>
        <w:pStyle w:val="Naslov6"/>
      </w:pPr>
      <w:r>
        <w:lastRenderedPageBreak/>
        <w:t>Ciljevi provedbe programa u razdoblju 2014.-2016. i pokazatelji uspješnosti kojima će se mjeriti ostvarenje tih ciljeva</w:t>
      </w:r>
    </w:p>
    <w:p w:rsidR="00D849AA" w:rsidRDefault="00EE6D95">
      <w:pPr>
        <w:pStyle w:val="Naslov7"/>
      </w:pPr>
      <w:r>
        <w:t xml:space="preserve">Cilj 1. Dostići ciljanu organizacijsku, obrazovnu i dobnu strukturu </w:t>
      </w:r>
    </w:p>
    <w:p w:rsidR="00D849AA" w:rsidRDefault="00EE6D95">
      <w:pPr>
        <w:pStyle w:val="Normal6"/>
      </w:pPr>
      <w:r>
        <w:t>Dostizanje ciljane organizacijske i personalne strukture Ministarstva obrane i Oružanih snaga RH postiže se planskim pribavljanjem osoblja, izobrazbom i profesionalnim razvojem te planskim izdvajanjem i tranzicijom osoblja. Uspostavit će se učinkovit sustav potpore svim kategorijama osoblja, s naglaskom na poboljšanje upravljanja osobljem i na razvoj Oružanih snaga. Veličina Oružanih snaga Republike Hrvatske mora biti primjerena sigurnosnim izazovima. Planirana veličina i struktura proizlazi iz realne procjene prijetnji i rizika, postojećih i anticipiranih misija i zadaća, preuzetih obveza u međunarodnim okvirima u skladu s financijskim mogućnostima. U dinamičnom sigurnosnom okruženju, razvoj i održavanje vojnih sposobnosti zahtijeva promjene u strukturi osoblja, uvođenje novih kategorija osoblja te održavanje zadovoljavajuće dobne strukture. Pridobiti osoblje odgovarajućeg profila s tržišta rada te zadržati kvalitetno osoblje jedan je od najvećih izazova Oružanih snaga Republike Hrvatske.</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A5008D" w:rsidRDefault="00EE6D95">
            <w:pPr>
              <w:rPr>
                <w:rFonts w:ascii="Arial" w:hAnsi="Arial" w:cs="Arial"/>
              </w:rPr>
            </w:pPr>
            <w:r w:rsidRPr="00A5008D">
              <w:rPr>
                <w:rFonts w:ascii="Arial" w:hAnsi="Arial" w:cs="Arial"/>
              </w:rPr>
              <w:t>Pokazatelj učinka</w:t>
            </w:r>
          </w:p>
        </w:tc>
        <w:tc>
          <w:tcPr>
            <w:tcW w:w="1114" w:type="dxa"/>
            <w:shd w:val="clear" w:color="auto" w:fill="B5C0D8"/>
          </w:tcPr>
          <w:p w:rsidR="00D849AA" w:rsidRPr="00A5008D" w:rsidRDefault="00EE6D95">
            <w:pPr>
              <w:pStyle w:val="CellHeader"/>
            </w:pPr>
            <w:r w:rsidRPr="00A5008D">
              <w:t>Jedinica</w:t>
            </w:r>
          </w:p>
        </w:tc>
        <w:tc>
          <w:tcPr>
            <w:tcW w:w="1114" w:type="dxa"/>
            <w:shd w:val="clear" w:color="auto" w:fill="B5C0D8"/>
          </w:tcPr>
          <w:p w:rsidR="00D849AA" w:rsidRPr="00A5008D" w:rsidRDefault="00EE6D95">
            <w:pPr>
              <w:pStyle w:val="CellHeader"/>
            </w:pPr>
            <w:r w:rsidRPr="00A5008D">
              <w:t>Polazna vrijednost</w:t>
            </w:r>
          </w:p>
        </w:tc>
        <w:tc>
          <w:tcPr>
            <w:tcW w:w="1486" w:type="dxa"/>
            <w:shd w:val="clear" w:color="auto" w:fill="B5C0D8"/>
          </w:tcPr>
          <w:p w:rsidR="00D849AA" w:rsidRPr="00A5008D" w:rsidRDefault="00EE6D95">
            <w:pPr>
              <w:pStyle w:val="CellHeader"/>
            </w:pPr>
            <w:r w:rsidRPr="00A5008D">
              <w:t>Ciljana vrijednost (2014.)</w:t>
            </w:r>
          </w:p>
        </w:tc>
        <w:tc>
          <w:tcPr>
            <w:tcW w:w="1486" w:type="dxa"/>
            <w:shd w:val="clear" w:color="auto" w:fill="B5C0D8"/>
          </w:tcPr>
          <w:p w:rsidR="00D849AA" w:rsidRPr="00A5008D" w:rsidRDefault="00EE6D95">
            <w:pPr>
              <w:pStyle w:val="CellHeader"/>
            </w:pPr>
            <w:r w:rsidRPr="00A5008D">
              <w:t>Ciljana vrijednost (2015.)</w:t>
            </w:r>
          </w:p>
        </w:tc>
        <w:tc>
          <w:tcPr>
            <w:tcW w:w="1486" w:type="dxa"/>
            <w:shd w:val="clear" w:color="auto" w:fill="B5C0D8"/>
          </w:tcPr>
          <w:p w:rsidR="00D849AA" w:rsidRPr="00A5008D" w:rsidRDefault="00EE6D95">
            <w:pPr>
              <w:pStyle w:val="CellHeader"/>
            </w:pPr>
            <w:r w:rsidRPr="00A5008D">
              <w:t>Ciljana vrijednost (2016.)</w:t>
            </w:r>
          </w:p>
        </w:tc>
      </w:tr>
      <w:tr w:rsidR="00D849AA">
        <w:trPr>
          <w:jc w:val="center"/>
        </w:trPr>
        <w:tc>
          <w:tcPr>
            <w:tcW w:w="2229" w:type="dxa"/>
          </w:tcPr>
          <w:p w:rsidR="00D849AA" w:rsidRPr="00A5008D" w:rsidRDefault="00EE6D95">
            <w:pPr>
              <w:pStyle w:val="CellColumn"/>
            </w:pPr>
            <w:r w:rsidRPr="00A5008D">
              <w:t>Postizanje ciljane organizacijske i personalne strukture</w:t>
            </w:r>
          </w:p>
        </w:tc>
        <w:tc>
          <w:tcPr>
            <w:tcW w:w="1114" w:type="dxa"/>
          </w:tcPr>
          <w:p w:rsidR="00D849AA" w:rsidRPr="00A5008D" w:rsidRDefault="00EE6D95">
            <w:pPr>
              <w:rPr>
                <w:rFonts w:ascii="Arial" w:hAnsi="Arial" w:cs="Arial"/>
              </w:rPr>
            </w:pPr>
            <w:r w:rsidRPr="00A5008D">
              <w:rPr>
                <w:rFonts w:ascii="Arial" w:hAnsi="Arial" w:cs="Arial"/>
              </w:rPr>
              <w:t>prosječna dob</w:t>
            </w:r>
          </w:p>
        </w:tc>
        <w:tc>
          <w:tcPr>
            <w:tcW w:w="1114" w:type="dxa"/>
          </w:tcPr>
          <w:p w:rsidR="00D849AA" w:rsidRPr="00A5008D" w:rsidRDefault="00EE6D95">
            <w:pPr>
              <w:rPr>
                <w:rFonts w:ascii="Arial" w:hAnsi="Arial" w:cs="Arial"/>
              </w:rPr>
            </w:pPr>
            <w:r w:rsidRPr="00A5008D">
              <w:rPr>
                <w:rFonts w:ascii="Arial" w:hAnsi="Arial" w:cs="Arial"/>
              </w:rPr>
              <w:t>40,52</w:t>
            </w:r>
          </w:p>
        </w:tc>
        <w:tc>
          <w:tcPr>
            <w:tcW w:w="1486" w:type="dxa"/>
          </w:tcPr>
          <w:p w:rsidR="00D849AA" w:rsidRPr="00A5008D" w:rsidRDefault="00EE6D95">
            <w:pPr>
              <w:rPr>
                <w:rFonts w:ascii="Arial" w:hAnsi="Arial" w:cs="Arial"/>
              </w:rPr>
            </w:pPr>
            <w:r w:rsidRPr="00A5008D">
              <w:rPr>
                <w:rFonts w:ascii="Arial" w:hAnsi="Arial" w:cs="Arial"/>
              </w:rPr>
              <w:t>40,51</w:t>
            </w:r>
          </w:p>
        </w:tc>
        <w:tc>
          <w:tcPr>
            <w:tcW w:w="1486" w:type="dxa"/>
          </w:tcPr>
          <w:p w:rsidR="00D849AA" w:rsidRPr="00A5008D" w:rsidRDefault="00EE6D95">
            <w:pPr>
              <w:rPr>
                <w:rFonts w:ascii="Arial" w:hAnsi="Arial" w:cs="Arial"/>
              </w:rPr>
            </w:pPr>
            <w:r w:rsidRPr="00A5008D">
              <w:rPr>
                <w:rFonts w:ascii="Arial" w:hAnsi="Arial" w:cs="Arial"/>
              </w:rPr>
              <w:t>40,50</w:t>
            </w:r>
          </w:p>
        </w:tc>
        <w:tc>
          <w:tcPr>
            <w:tcW w:w="1486" w:type="dxa"/>
          </w:tcPr>
          <w:p w:rsidR="00D849AA" w:rsidRPr="00A5008D" w:rsidRDefault="00EE6D95">
            <w:pPr>
              <w:rPr>
                <w:rFonts w:ascii="Arial" w:hAnsi="Arial" w:cs="Arial"/>
              </w:rPr>
            </w:pPr>
            <w:r w:rsidRPr="00A5008D">
              <w:rPr>
                <w:rFonts w:ascii="Arial" w:hAnsi="Arial" w:cs="Arial"/>
              </w:rPr>
              <w:t>40,00</w:t>
            </w:r>
          </w:p>
        </w:tc>
      </w:tr>
    </w:tbl>
    <w:p w:rsidR="00D849AA" w:rsidRDefault="00EE6D95">
      <w:pPr>
        <w:pStyle w:val="Naslov5"/>
      </w:pPr>
      <w:r>
        <w:t>Procjena i ishodište potrebnih sredstava za značajnije aktivnosti/projekte</w:t>
      </w:r>
    </w:p>
    <w:p w:rsidR="00D849AA" w:rsidRDefault="00EE6D95">
      <w:pPr>
        <w:pStyle w:val="Naslov6"/>
      </w:pPr>
      <w:r>
        <w:t>A545052 TROŠKOVI OSOBLJA I PERSONALNA POTPORA</w:t>
      </w:r>
    </w:p>
    <w:tbl>
      <w:tblPr>
        <w:tblStyle w:val="Reetkatablice"/>
        <w:tblW w:w="0" w:type="auto"/>
        <w:jc w:val="center"/>
        <w:tblLook w:val="04A0" w:firstRow="1" w:lastRow="0" w:firstColumn="1" w:lastColumn="0" w:noHBand="0" w:noVBand="1"/>
      </w:tblPr>
      <w:tblGrid>
        <w:gridCol w:w="1486"/>
        <w:gridCol w:w="1496"/>
        <w:gridCol w:w="1496"/>
        <w:gridCol w:w="1496"/>
        <w:gridCol w:w="1496"/>
        <w:gridCol w:w="1486"/>
      </w:tblGrid>
      <w:tr w:rsidR="00D849AA">
        <w:trPr>
          <w:jc w:val="center"/>
        </w:trPr>
        <w:tc>
          <w:tcPr>
            <w:tcW w:w="1486" w:type="dxa"/>
            <w:shd w:val="clear" w:color="auto" w:fill="B5C0D8"/>
          </w:tcPr>
          <w:p w:rsidR="00D849AA" w:rsidRPr="00DE6ACB" w:rsidRDefault="00EE6D95">
            <w:pPr>
              <w:pStyle w:val="CellHeader"/>
            </w:pPr>
            <w:r w:rsidRPr="00DE6ACB">
              <w:t>Naziv aktivnosti</w:t>
            </w:r>
          </w:p>
        </w:tc>
        <w:tc>
          <w:tcPr>
            <w:tcW w:w="1486" w:type="dxa"/>
            <w:shd w:val="clear" w:color="auto" w:fill="B5C0D8"/>
          </w:tcPr>
          <w:p w:rsidR="00D849AA" w:rsidRPr="00DE6ACB" w:rsidRDefault="00EE6D95">
            <w:pPr>
              <w:pStyle w:val="CellHeader"/>
            </w:pPr>
            <w:r w:rsidRPr="00DE6ACB">
              <w:t>Plan 2013.</w:t>
            </w:r>
          </w:p>
        </w:tc>
        <w:tc>
          <w:tcPr>
            <w:tcW w:w="1486" w:type="dxa"/>
            <w:shd w:val="clear" w:color="auto" w:fill="B5C0D8"/>
          </w:tcPr>
          <w:p w:rsidR="00D849AA" w:rsidRPr="00DE6ACB" w:rsidRDefault="00EE6D95">
            <w:pPr>
              <w:pStyle w:val="CellHeader"/>
            </w:pPr>
            <w:r w:rsidRPr="00DE6ACB">
              <w:t>Plan 2014.</w:t>
            </w:r>
          </w:p>
        </w:tc>
        <w:tc>
          <w:tcPr>
            <w:tcW w:w="1486" w:type="dxa"/>
            <w:shd w:val="clear" w:color="auto" w:fill="B5C0D8"/>
          </w:tcPr>
          <w:p w:rsidR="00D849AA" w:rsidRPr="00DE6ACB" w:rsidRDefault="00EE6D95">
            <w:pPr>
              <w:pStyle w:val="CellHeader"/>
            </w:pPr>
            <w:r w:rsidRPr="00DE6ACB">
              <w:t>Plan 2015.</w:t>
            </w:r>
          </w:p>
        </w:tc>
        <w:tc>
          <w:tcPr>
            <w:tcW w:w="1486" w:type="dxa"/>
            <w:shd w:val="clear" w:color="auto" w:fill="B5C0D8"/>
          </w:tcPr>
          <w:p w:rsidR="00D849AA" w:rsidRPr="00DE6ACB" w:rsidRDefault="00EE6D95">
            <w:pPr>
              <w:pStyle w:val="CellHeader"/>
            </w:pPr>
            <w:r w:rsidRPr="00DE6ACB">
              <w:t>Plan 2016.</w:t>
            </w:r>
          </w:p>
        </w:tc>
        <w:tc>
          <w:tcPr>
            <w:tcW w:w="1486" w:type="dxa"/>
            <w:shd w:val="clear" w:color="auto" w:fill="B5C0D8"/>
          </w:tcPr>
          <w:p w:rsidR="00D849AA" w:rsidRPr="00DE6ACB" w:rsidRDefault="00EE6D95">
            <w:pPr>
              <w:pStyle w:val="CellHeader"/>
            </w:pPr>
            <w:r w:rsidRPr="00DE6ACB">
              <w:t>Indeks 2014/2013</w:t>
            </w:r>
          </w:p>
        </w:tc>
      </w:tr>
      <w:tr w:rsidR="00D849AA">
        <w:trPr>
          <w:jc w:val="center"/>
        </w:trPr>
        <w:tc>
          <w:tcPr>
            <w:tcW w:w="1486" w:type="dxa"/>
          </w:tcPr>
          <w:p w:rsidR="00D849AA" w:rsidRPr="00DE6ACB" w:rsidRDefault="00EE6D95">
            <w:pPr>
              <w:pStyle w:val="CellColumn"/>
            </w:pPr>
            <w:r w:rsidRPr="00DE6ACB">
              <w:t>A545052</w:t>
            </w:r>
          </w:p>
        </w:tc>
        <w:tc>
          <w:tcPr>
            <w:tcW w:w="1486" w:type="dxa"/>
          </w:tcPr>
          <w:p w:rsidR="00D849AA" w:rsidRPr="00DE6ACB" w:rsidRDefault="00EE6D95">
            <w:pPr>
              <w:rPr>
                <w:rFonts w:ascii="Arial" w:hAnsi="Arial" w:cs="Arial"/>
              </w:rPr>
            </w:pPr>
            <w:r w:rsidRPr="00DE6ACB">
              <w:rPr>
                <w:rFonts w:ascii="Arial" w:hAnsi="Arial" w:cs="Arial"/>
              </w:rPr>
              <w:t>2.691.394.000</w:t>
            </w:r>
          </w:p>
        </w:tc>
        <w:tc>
          <w:tcPr>
            <w:tcW w:w="1486" w:type="dxa"/>
          </w:tcPr>
          <w:p w:rsidR="00D849AA" w:rsidRPr="00DE6ACB" w:rsidRDefault="00EE6D95">
            <w:pPr>
              <w:rPr>
                <w:rFonts w:ascii="Arial" w:hAnsi="Arial" w:cs="Arial"/>
              </w:rPr>
            </w:pPr>
            <w:r w:rsidRPr="00DE6ACB">
              <w:rPr>
                <w:rFonts w:ascii="Arial" w:hAnsi="Arial" w:cs="Arial"/>
              </w:rPr>
              <w:t>2.690.161.771</w:t>
            </w:r>
          </w:p>
        </w:tc>
        <w:tc>
          <w:tcPr>
            <w:tcW w:w="1486" w:type="dxa"/>
          </w:tcPr>
          <w:p w:rsidR="00D849AA" w:rsidRPr="00DE6ACB" w:rsidRDefault="00EE6D95">
            <w:pPr>
              <w:rPr>
                <w:rFonts w:ascii="Arial" w:hAnsi="Arial" w:cs="Arial"/>
              </w:rPr>
            </w:pPr>
            <w:r w:rsidRPr="00DE6ACB">
              <w:rPr>
                <w:rFonts w:ascii="Arial" w:hAnsi="Arial" w:cs="Arial"/>
              </w:rPr>
              <w:t>2.647.313.000</w:t>
            </w:r>
          </w:p>
        </w:tc>
        <w:tc>
          <w:tcPr>
            <w:tcW w:w="1486" w:type="dxa"/>
          </w:tcPr>
          <w:p w:rsidR="00D849AA" w:rsidRPr="00DE6ACB" w:rsidRDefault="00EE6D95">
            <w:pPr>
              <w:rPr>
                <w:rFonts w:ascii="Arial" w:hAnsi="Arial" w:cs="Arial"/>
              </w:rPr>
            </w:pPr>
            <w:r w:rsidRPr="00DE6ACB">
              <w:rPr>
                <w:rFonts w:ascii="Arial" w:hAnsi="Arial" w:cs="Arial"/>
              </w:rPr>
              <w:t>2.629.267.700</w:t>
            </w:r>
          </w:p>
        </w:tc>
        <w:tc>
          <w:tcPr>
            <w:tcW w:w="1486" w:type="dxa"/>
          </w:tcPr>
          <w:p w:rsidR="00D849AA" w:rsidRPr="00DE6ACB" w:rsidRDefault="00EE6D95">
            <w:pPr>
              <w:rPr>
                <w:rFonts w:ascii="Arial" w:hAnsi="Arial" w:cs="Arial"/>
              </w:rPr>
            </w:pPr>
            <w:r w:rsidRPr="00DE6ACB">
              <w:rPr>
                <w:rFonts w:ascii="Arial" w:hAnsi="Arial" w:cs="Arial"/>
              </w:rPr>
              <w:t>100,0</w:t>
            </w:r>
          </w:p>
        </w:tc>
      </w:tr>
    </w:tbl>
    <w:p w:rsidR="00D849AA" w:rsidRDefault="00D849AA">
      <w:pPr>
        <w:jc w:val="left"/>
      </w:pPr>
    </w:p>
    <w:p w:rsidR="00D849AA" w:rsidRDefault="00EE6D95">
      <w:pPr>
        <w:pStyle w:val="Normal6"/>
      </w:pPr>
      <w:r>
        <w:t>Aktivnost se ostvaruje kroz učinkoviti sustav potpore svim kategorijama zaposlenih u Ministarstvu obrane i Oružanim snagama Republike Hrvatske. Cilj aktivnosti je omogućiti nesmetano funkcioniranje sustava ljudskih resursa, koji svojom veličinom i strukturom moraju odgovoriti na realne procjene prijetnji, rizika, misija i zadaća te preuzetih obveza u međunarodnim okvirima. Troškovi osoblja obuhvaćaju plaće, doprinose, naknade i ostale rashode za zaposlene. Izdvajanjem neperspektivnog osoblja osigurava se protočnost osoblja u obrambenom sustavu i popravlja njegova dobna i kvalifikacijska struktura. Jedan od segmenata potpore i organizacijske kulture je i uspostava standarda dostojanstvenog izdvajanja, kao i institucionalne potpore u prijelazu iz vojne karijere u civilnu. Personalna potpora obuhvaća područja skrbi o obitelji, psihološke potpore, stambenog zbrinjavanja, zdravstvene skrbi. Obuhvaća i kineziološke aktivnosti vezane uz odmor, dopust i slobodno vrijeme, održavanje i unapređenje opće tjelesne i radne sposobnosti te poboljšanje motoričkih sposobnosti djelatnika Ministarstva obrane i pripadnika Oružanih snaga RH. Svrha personalne potpore je podizanje kvalitete življenja pojedinca koja izravno utječe na pribavljanje i zadržavanje kvalitetnog osoblja te profesionalni razvoj svih kategorija osoblja. Aktivnost obuhvaća i zaštitu zdravlja službenih životinja (pasa).</w:t>
      </w:r>
    </w:p>
    <w:p w:rsidR="00D849AA" w:rsidRDefault="00EE6D95">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DE6ACB" w:rsidRDefault="00EE6D95">
            <w:pPr>
              <w:rPr>
                <w:rFonts w:ascii="Arial" w:hAnsi="Arial" w:cs="Arial"/>
              </w:rPr>
            </w:pPr>
            <w:r w:rsidRPr="00DE6ACB">
              <w:rPr>
                <w:rFonts w:ascii="Arial" w:hAnsi="Arial" w:cs="Arial"/>
              </w:rPr>
              <w:t>Pokazatelj rezultata</w:t>
            </w:r>
          </w:p>
        </w:tc>
        <w:tc>
          <w:tcPr>
            <w:tcW w:w="1114" w:type="dxa"/>
            <w:shd w:val="clear" w:color="auto" w:fill="B5C0D8"/>
          </w:tcPr>
          <w:p w:rsidR="00D849AA" w:rsidRPr="00DE6ACB" w:rsidRDefault="00EE6D95">
            <w:pPr>
              <w:pStyle w:val="CellHeader"/>
            </w:pPr>
            <w:r w:rsidRPr="00DE6ACB">
              <w:t>Jedinica</w:t>
            </w:r>
          </w:p>
        </w:tc>
        <w:tc>
          <w:tcPr>
            <w:tcW w:w="1114" w:type="dxa"/>
            <w:shd w:val="clear" w:color="auto" w:fill="B5C0D8"/>
          </w:tcPr>
          <w:p w:rsidR="00D849AA" w:rsidRPr="00DE6ACB" w:rsidRDefault="00EE6D95">
            <w:pPr>
              <w:pStyle w:val="CellHeader"/>
            </w:pPr>
            <w:r w:rsidRPr="00DE6ACB">
              <w:t>Polazna vrijednost</w:t>
            </w:r>
          </w:p>
        </w:tc>
        <w:tc>
          <w:tcPr>
            <w:tcW w:w="1486" w:type="dxa"/>
            <w:shd w:val="clear" w:color="auto" w:fill="B5C0D8"/>
          </w:tcPr>
          <w:p w:rsidR="00D849AA" w:rsidRPr="00DE6ACB" w:rsidRDefault="00EE6D95">
            <w:pPr>
              <w:pStyle w:val="CellHeader"/>
            </w:pPr>
            <w:r w:rsidRPr="00DE6ACB">
              <w:t>Ciljana vrijednost (2014.)</w:t>
            </w:r>
          </w:p>
        </w:tc>
        <w:tc>
          <w:tcPr>
            <w:tcW w:w="1486" w:type="dxa"/>
            <w:shd w:val="clear" w:color="auto" w:fill="B5C0D8"/>
          </w:tcPr>
          <w:p w:rsidR="00D849AA" w:rsidRPr="00DE6ACB" w:rsidRDefault="00EE6D95">
            <w:pPr>
              <w:pStyle w:val="CellHeader"/>
            </w:pPr>
            <w:r w:rsidRPr="00DE6ACB">
              <w:t>Ciljana vrijednost (2015.)</w:t>
            </w:r>
          </w:p>
        </w:tc>
        <w:tc>
          <w:tcPr>
            <w:tcW w:w="1486" w:type="dxa"/>
            <w:shd w:val="clear" w:color="auto" w:fill="B5C0D8"/>
          </w:tcPr>
          <w:p w:rsidR="00D849AA" w:rsidRPr="00DE6ACB" w:rsidRDefault="00EE6D95">
            <w:pPr>
              <w:pStyle w:val="CellHeader"/>
            </w:pPr>
            <w:r w:rsidRPr="00DE6ACB">
              <w:t>Ciljana vrijednost (2016.)</w:t>
            </w:r>
          </w:p>
        </w:tc>
      </w:tr>
      <w:tr w:rsidR="00D849AA">
        <w:trPr>
          <w:jc w:val="center"/>
        </w:trPr>
        <w:tc>
          <w:tcPr>
            <w:tcW w:w="2229" w:type="dxa"/>
          </w:tcPr>
          <w:p w:rsidR="00D849AA" w:rsidRPr="00DE6ACB" w:rsidRDefault="00EE6D95">
            <w:pPr>
              <w:pStyle w:val="CellColumn"/>
            </w:pPr>
            <w:r w:rsidRPr="00DE6ACB">
              <w:t>Broj zaposlenih</w:t>
            </w:r>
          </w:p>
        </w:tc>
        <w:tc>
          <w:tcPr>
            <w:tcW w:w="1114" w:type="dxa"/>
          </w:tcPr>
          <w:p w:rsidR="00D849AA" w:rsidRPr="00DE6ACB" w:rsidRDefault="00EE6D95">
            <w:pPr>
              <w:rPr>
                <w:rFonts w:ascii="Arial" w:hAnsi="Arial" w:cs="Arial"/>
              </w:rPr>
            </w:pPr>
            <w:r w:rsidRPr="00DE6ACB">
              <w:rPr>
                <w:rFonts w:ascii="Arial" w:hAnsi="Arial" w:cs="Arial"/>
              </w:rPr>
              <w:t>Broj</w:t>
            </w:r>
          </w:p>
        </w:tc>
        <w:tc>
          <w:tcPr>
            <w:tcW w:w="1114" w:type="dxa"/>
          </w:tcPr>
          <w:p w:rsidR="00D849AA" w:rsidRPr="00DE6ACB" w:rsidRDefault="00EE6D95">
            <w:pPr>
              <w:rPr>
                <w:rFonts w:ascii="Arial" w:hAnsi="Arial" w:cs="Arial"/>
              </w:rPr>
            </w:pPr>
            <w:r w:rsidRPr="00DE6ACB">
              <w:rPr>
                <w:rFonts w:ascii="Arial" w:hAnsi="Arial" w:cs="Arial"/>
              </w:rPr>
              <w:t>19026</w:t>
            </w:r>
          </w:p>
        </w:tc>
        <w:tc>
          <w:tcPr>
            <w:tcW w:w="1486" w:type="dxa"/>
          </w:tcPr>
          <w:p w:rsidR="00D849AA" w:rsidRPr="00DE6ACB" w:rsidRDefault="00EE6D95">
            <w:pPr>
              <w:rPr>
                <w:rFonts w:ascii="Arial" w:hAnsi="Arial" w:cs="Arial"/>
              </w:rPr>
            </w:pPr>
            <w:r w:rsidRPr="00DE6ACB">
              <w:rPr>
                <w:rFonts w:ascii="Arial" w:hAnsi="Arial" w:cs="Arial"/>
              </w:rPr>
              <w:t>18536</w:t>
            </w:r>
          </w:p>
        </w:tc>
        <w:tc>
          <w:tcPr>
            <w:tcW w:w="1486" w:type="dxa"/>
          </w:tcPr>
          <w:p w:rsidR="00D849AA" w:rsidRPr="00DE6ACB" w:rsidRDefault="00EE6D95">
            <w:pPr>
              <w:rPr>
                <w:rFonts w:ascii="Arial" w:hAnsi="Arial" w:cs="Arial"/>
              </w:rPr>
            </w:pPr>
            <w:r w:rsidRPr="00DE6ACB">
              <w:rPr>
                <w:rFonts w:ascii="Arial" w:hAnsi="Arial" w:cs="Arial"/>
              </w:rPr>
              <w:t>17683</w:t>
            </w:r>
          </w:p>
        </w:tc>
        <w:tc>
          <w:tcPr>
            <w:tcW w:w="1486" w:type="dxa"/>
          </w:tcPr>
          <w:p w:rsidR="00D849AA" w:rsidRPr="00DE6ACB" w:rsidRDefault="00EE6D95">
            <w:pPr>
              <w:rPr>
                <w:rFonts w:ascii="Arial" w:hAnsi="Arial" w:cs="Arial"/>
              </w:rPr>
            </w:pPr>
            <w:r w:rsidRPr="00DE6ACB">
              <w:rPr>
                <w:rFonts w:ascii="Arial" w:hAnsi="Arial" w:cs="Arial"/>
              </w:rPr>
              <w:t>16827</w:t>
            </w:r>
          </w:p>
        </w:tc>
      </w:tr>
      <w:tr w:rsidR="00D849AA">
        <w:trPr>
          <w:jc w:val="center"/>
        </w:trPr>
        <w:tc>
          <w:tcPr>
            <w:tcW w:w="2229" w:type="dxa"/>
          </w:tcPr>
          <w:p w:rsidR="00D849AA" w:rsidRPr="00DE6ACB" w:rsidRDefault="00EE6D95">
            <w:pPr>
              <w:pStyle w:val="CellColumn"/>
            </w:pPr>
            <w:r w:rsidRPr="00DE6ACB">
              <w:t>Broj izdvojenih osoba iz sustava</w:t>
            </w:r>
          </w:p>
        </w:tc>
        <w:tc>
          <w:tcPr>
            <w:tcW w:w="1114" w:type="dxa"/>
          </w:tcPr>
          <w:p w:rsidR="00D849AA" w:rsidRPr="00DE6ACB" w:rsidRDefault="00EE6D95">
            <w:pPr>
              <w:rPr>
                <w:rFonts w:ascii="Arial" w:hAnsi="Arial" w:cs="Arial"/>
              </w:rPr>
            </w:pPr>
            <w:r w:rsidRPr="00DE6ACB">
              <w:rPr>
                <w:rFonts w:ascii="Arial" w:hAnsi="Arial" w:cs="Arial"/>
              </w:rPr>
              <w:t>Broj</w:t>
            </w:r>
          </w:p>
        </w:tc>
        <w:tc>
          <w:tcPr>
            <w:tcW w:w="1114" w:type="dxa"/>
          </w:tcPr>
          <w:p w:rsidR="00D849AA" w:rsidRPr="00DE6ACB" w:rsidRDefault="00EE6D95">
            <w:pPr>
              <w:rPr>
                <w:rFonts w:ascii="Arial" w:hAnsi="Arial" w:cs="Arial"/>
              </w:rPr>
            </w:pPr>
            <w:r w:rsidRPr="00DE6ACB">
              <w:rPr>
                <w:rFonts w:ascii="Arial" w:hAnsi="Arial" w:cs="Arial"/>
              </w:rPr>
              <w:t>688</w:t>
            </w:r>
          </w:p>
        </w:tc>
        <w:tc>
          <w:tcPr>
            <w:tcW w:w="1486" w:type="dxa"/>
          </w:tcPr>
          <w:p w:rsidR="00D849AA" w:rsidRPr="00DE6ACB" w:rsidRDefault="00EE6D95">
            <w:pPr>
              <w:rPr>
                <w:rFonts w:ascii="Arial" w:hAnsi="Arial" w:cs="Arial"/>
              </w:rPr>
            </w:pPr>
            <w:r w:rsidRPr="00DE6ACB">
              <w:rPr>
                <w:rFonts w:ascii="Arial" w:hAnsi="Arial" w:cs="Arial"/>
              </w:rPr>
              <w:t>1329</w:t>
            </w:r>
          </w:p>
        </w:tc>
        <w:tc>
          <w:tcPr>
            <w:tcW w:w="1486" w:type="dxa"/>
          </w:tcPr>
          <w:p w:rsidR="00D849AA" w:rsidRPr="00DE6ACB" w:rsidRDefault="00EE6D95">
            <w:pPr>
              <w:rPr>
                <w:rFonts w:ascii="Arial" w:hAnsi="Arial" w:cs="Arial"/>
              </w:rPr>
            </w:pPr>
            <w:r w:rsidRPr="00DE6ACB">
              <w:rPr>
                <w:rFonts w:ascii="Arial" w:hAnsi="Arial" w:cs="Arial"/>
              </w:rPr>
              <w:t>1224</w:t>
            </w:r>
          </w:p>
        </w:tc>
        <w:tc>
          <w:tcPr>
            <w:tcW w:w="1486" w:type="dxa"/>
          </w:tcPr>
          <w:p w:rsidR="00D849AA" w:rsidRPr="00DE6ACB" w:rsidRDefault="00EE6D95">
            <w:pPr>
              <w:rPr>
                <w:rFonts w:ascii="Arial" w:hAnsi="Arial" w:cs="Arial"/>
              </w:rPr>
            </w:pPr>
            <w:r w:rsidRPr="00DE6ACB">
              <w:rPr>
                <w:rFonts w:ascii="Arial" w:hAnsi="Arial" w:cs="Arial"/>
              </w:rPr>
              <w:t>1220</w:t>
            </w:r>
          </w:p>
        </w:tc>
      </w:tr>
      <w:tr w:rsidR="00D849AA">
        <w:trPr>
          <w:jc w:val="center"/>
        </w:trPr>
        <w:tc>
          <w:tcPr>
            <w:tcW w:w="2229" w:type="dxa"/>
          </w:tcPr>
          <w:p w:rsidR="00D849AA" w:rsidRPr="00DE6ACB" w:rsidRDefault="00EE6D95">
            <w:pPr>
              <w:pStyle w:val="CellColumn"/>
            </w:pPr>
            <w:r w:rsidRPr="00DE6ACB">
              <w:t>Broj zdravstvenih pregleda</w:t>
            </w:r>
          </w:p>
        </w:tc>
        <w:tc>
          <w:tcPr>
            <w:tcW w:w="1114" w:type="dxa"/>
          </w:tcPr>
          <w:p w:rsidR="00D849AA" w:rsidRPr="00DE6ACB" w:rsidRDefault="00EE6D95">
            <w:pPr>
              <w:rPr>
                <w:rFonts w:ascii="Arial" w:hAnsi="Arial" w:cs="Arial"/>
              </w:rPr>
            </w:pPr>
            <w:r w:rsidRPr="00DE6ACB">
              <w:rPr>
                <w:rFonts w:ascii="Arial" w:hAnsi="Arial" w:cs="Arial"/>
              </w:rPr>
              <w:t>Broj</w:t>
            </w:r>
          </w:p>
        </w:tc>
        <w:tc>
          <w:tcPr>
            <w:tcW w:w="1114" w:type="dxa"/>
          </w:tcPr>
          <w:p w:rsidR="00D849AA" w:rsidRPr="00DE6ACB" w:rsidRDefault="00EE6D95">
            <w:pPr>
              <w:rPr>
                <w:rFonts w:ascii="Arial" w:hAnsi="Arial" w:cs="Arial"/>
              </w:rPr>
            </w:pPr>
            <w:r w:rsidRPr="00DE6ACB">
              <w:rPr>
                <w:rFonts w:ascii="Arial" w:hAnsi="Arial" w:cs="Arial"/>
              </w:rPr>
              <w:t>4000</w:t>
            </w:r>
          </w:p>
        </w:tc>
        <w:tc>
          <w:tcPr>
            <w:tcW w:w="1486" w:type="dxa"/>
          </w:tcPr>
          <w:p w:rsidR="00D849AA" w:rsidRPr="00DE6ACB" w:rsidRDefault="00EE6D95">
            <w:pPr>
              <w:rPr>
                <w:rFonts w:ascii="Arial" w:hAnsi="Arial" w:cs="Arial"/>
              </w:rPr>
            </w:pPr>
            <w:r w:rsidRPr="00DE6ACB">
              <w:rPr>
                <w:rFonts w:ascii="Arial" w:hAnsi="Arial" w:cs="Arial"/>
              </w:rPr>
              <w:t>4000</w:t>
            </w:r>
          </w:p>
        </w:tc>
        <w:tc>
          <w:tcPr>
            <w:tcW w:w="1486" w:type="dxa"/>
          </w:tcPr>
          <w:p w:rsidR="00D849AA" w:rsidRPr="00DE6ACB" w:rsidRDefault="00EE6D95">
            <w:pPr>
              <w:rPr>
                <w:rFonts w:ascii="Arial" w:hAnsi="Arial" w:cs="Arial"/>
              </w:rPr>
            </w:pPr>
            <w:r w:rsidRPr="00DE6ACB">
              <w:rPr>
                <w:rFonts w:ascii="Arial" w:hAnsi="Arial" w:cs="Arial"/>
              </w:rPr>
              <w:t>4000</w:t>
            </w:r>
          </w:p>
        </w:tc>
        <w:tc>
          <w:tcPr>
            <w:tcW w:w="1486" w:type="dxa"/>
          </w:tcPr>
          <w:p w:rsidR="00D849AA" w:rsidRPr="00DE6ACB" w:rsidRDefault="00EE6D95">
            <w:pPr>
              <w:rPr>
                <w:rFonts w:ascii="Arial" w:hAnsi="Arial" w:cs="Arial"/>
              </w:rPr>
            </w:pPr>
            <w:r w:rsidRPr="00DE6ACB">
              <w:rPr>
                <w:rFonts w:ascii="Arial" w:hAnsi="Arial" w:cs="Arial"/>
              </w:rPr>
              <w:t>4000</w:t>
            </w:r>
          </w:p>
        </w:tc>
      </w:tr>
    </w:tbl>
    <w:p w:rsidR="00D849AA" w:rsidRDefault="00D849AA">
      <w:pPr>
        <w:jc w:val="left"/>
      </w:pPr>
    </w:p>
    <w:p w:rsidR="00D849AA" w:rsidRDefault="00EE6D95">
      <w:pPr>
        <w:pStyle w:val="Naslov6"/>
      </w:pPr>
      <w:r>
        <w:t>A545053 PRIBAVLJANJE OSOBLJA I IZOBRAZBA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DE6ACB" w:rsidRDefault="00EE6D95">
            <w:pPr>
              <w:pStyle w:val="CellHeader"/>
            </w:pPr>
            <w:r w:rsidRPr="00DE6ACB">
              <w:t>Naziv aktivnosti</w:t>
            </w:r>
          </w:p>
        </w:tc>
        <w:tc>
          <w:tcPr>
            <w:tcW w:w="1486" w:type="dxa"/>
            <w:shd w:val="clear" w:color="auto" w:fill="B5C0D8"/>
          </w:tcPr>
          <w:p w:rsidR="00D849AA" w:rsidRPr="00DE6ACB" w:rsidRDefault="00EE6D95">
            <w:pPr>
              <w:pStyle w:val="CellHeader"/>
            </w:pPr>
            <w:r w:rsidRPr="00DE6ACB">
              <w:t>Plan 2013.</w:t>
            </w:r>
          </w:p>
        </w:tc>
        <w:tc>
          <w:tcPr>
            <w:tcW w:w="1486" w:type="dxa"/>
            <w:shd w:val="clear" w:color="auto" w:fill="B5C0D8"/>
          </w:tcPr>
          <w:p w:rsidR="00D849AA" w:rsidRPr="00DE6ACB" w:rsidRDefault="00EE6D95">
            <w:pPr>
              <w:pStyle w:val="CellHeader"/>
            </w:pPr>
            <w:r w:rsidRPr="00DE6ACB">
              <w:t>Plan 2014.</w:t>
            </w:r>
          </w:p>
        </w:tc>
        <w:tc>
          <w:tcPr>
            <w:tcW w:w="1486" w:type="dxa"/>
            <w:shd w:val="clear" w:color="auto" w:fill="B5C0D8"/>
          </w:tcPr>
          <w:p w:rsidR="00D849AA" w:rsidRPr="00DE6ACB" w:rsidRDefault="00EE6D95">
            <w:pPr>
              <w:pStyle w:val="CellHeader"/>
            </w:pPr>
            <w:r w:rsidRPr="00DE6ACB">
              <w:t>Plan 2015.</w:t>
            </w:r>
          </w:p>
        </w:tc>
        <w:tc>
          <w:tcPr>
            <w:tcW w:w="1486" w:type="dxa"/>
            <w:shd w:val="clear" w:color="auto" w:fill="B5C0D8"/>
          </w:tcPr>
          <w:p w:rsidR="00D849AA" w:rsidRPr="00DE6ACB" w:rsidRDefault="00EE6D95">
            <w:pPr>
              <w:pStyle w:val="CellHeader"/>
            </w:pPr>
            <w:r w:rsidRPr="00DE6ACB">
              <w:t>Plan 2016.</w:t>
            </w:r>
          </w:p>
        </w:tc>
        <w:tc>
          <w:tcPr>
            <w:tcW w:w="1486" w:type="dxa"/>
            <w:shd w:val="clear" w:color="auto" w:fill="B5C0D8"/>
          </w:tcPr>
          <w:p w:rsidR="00D849AA" w:rsidRPr="00DE6ACB" w:rsidRDefault="00EE6D95">
            <w:pPr>
              <w:pStyle w:val="CellHeader"/>
            </w:pPr>
            <w:r w:rsidRPr="00DE6ACB">
              <w:t>Indeks 2014/2013</w:t>
            </w:r>
          </w:p>
        </w:tc>
      </w:tr>
      <w:tr w:rsidR="00D849AA">
        <w:trPr>
          <w:jc w:val="center"/>
        </w:trPr>
        <w:tc>
          <w:tcPr>
            <w:tcW w:w="1486" w:type="dxa"/>
          </w:tcPr>
          <w:p w:rsidR="00D849AA" w:rsidRPr="00DE6ACB" w:rsidRDefault="00EE6D95">
            <w:pPr>
              <w:pStyle w:val="CellColumn"/>
            </w:pPr>
            <w:r w:rsidRPr="00DE6ACB">
              <w:t>A545053</w:t>
            </w:r>
          </w:p>
        </w:tc>
        <w:tc>
          <w:tcPr>
            <w:tcW w:w="1486" w:type="dxa"/>
          </w:tcPr>
          <w:p w:rsidR="00D849AA" w:rsidRPr="00DE6ACB" w:rsidRDefault="00EE6D95">
            <w:pPr>
              <w:rPr>
                <w:rFonts w:ascii="Arial" w:hAnsi="Arial" w:cs="Arial"/>
              </w:rPr>
            </w:pPr>
            <w:r w:rsidRPr="00DE6ACB">
              <w:rPr>
                <w:rFonts w:ascii="Arial" w:hAnsi="Arial" w:cs="Arial"/>
              </w:rPr>
              <w:t>14.902.000</w:t>
            </w:r>
          </w:p>
        </w:tc>
        <w:tc>
          <w:tcPr>
            <w:tcW w:w="1486" w:type="dxa"/>
          </w:tcPr>
          <w:p w:rsidR="00D849AA" w:rsidRPr="00DE6ACB" w:rsidRDefault="00EE6D95">
            <w:pPr>
              <w:rPr>
                <w:rFonts w:ascii="Arial" w:hAnsi="Arial" w:cs="Arial"/>
              </w:rPr>
            </w:pPr>
            <w:r w:rsidRPr="00DE6ACB">
              <w:rPr>
                <w:rFonts w:ascii="Arial" w:hAnsi="Arial" w:cs="Arial"/>
              </w:rPr>
              <w:t>16.418.000</w:t>
            </w:r>
          </w:p>
        </w:tc>
        <w:tc>
          <w:tcPr>
            <w:tcW w:w="1486" w:type="dxa"/>
          </w:tcPr>
          <w:p w:rsidR="00D849AA" w:rsidRPr="00DE6ACB" w:rsidRDefault="00EE6D95">
            <w:pPr>
              <w:rPr>
                <w:rFonts w:ascii="Arial" w:hAnsi="Arial" w:cs="Arial"/>
              </w:rPr>
            </w:pPr>
            <w:r w:rsidRPr="00DE6ACB">
              <w:rPr>
                <w:rFonts w:ascii="Arial" w:hAnsi="Arial" w:cs="Arial"/>
              </w:rPr>
              <w:t>17.521.000</w:t>
            </w:r>
          </w:p>
        </w:tc>
        <w:tc>
          <w:tcPr>
            <w:tcW w:w="1486" w:type="dxa"/>
          </w:tcPr>
          <w:p w:rsidR="00D849AA" w:rsidRPr="00DE6ACB" w:rsidRDefault="00EE6D95">
            <w:pPr>
              <w:rPr>
                <w:rFonts w:ascii="Arial" w:hAnsi="Arial" w:cs="Arial"/>
              </w:rPr>
            </w:pPr>
            <w:r w:rsidRPr="00DE6ACB">
              <w:rPr>
                <w:rFonts w:ascii="Arial" w:hAnsi="Arial" w:cs="Arial"/>
              </w:rPr>
              <w:t>17.721.000</w:t>
            </w:r>
          </w:p>
        </w:tc>
        <w:tc>
          <w:tcPr>
            <w:tcW w:w="1486" w:type="dxa"/>
          </w:tcPr>
          <w:p w:rsidR="00D849AA" w:rsidRPr="00DE6ACB" w:rsidRDefault="00EE6D95">
            <w:pPr>
              <w:rPr>
                <w:rFonts w:ascii="Arial" w:hAnsi="Arial" w:cs="Arial"/>
              </w:rPr>
            </w:pPr>
            <w:r w:rsidRPr="00DE6ACB">
              <w:rPr>
                <w:rFonts w:ascii="Arial" w:hAnsi="Arial" w:cs="Arial"/>
              </w:rPr>
              <w:t>110,2</w:t>
            </w:r>
          </w:p>
        </w:tc>
      </w:tr>
    </w:tbl>
    <w:p w:rsidR="00D849AA" w:rsidRDefault="00D849AA">
      <w:pPr>
        <w:jc w:val="left"/>
      </w:pPr>
    </w:p>
    <w:p w:rsidR="00D849AA" w:rsidRDefault="00EE6D95">
      <w:pPr>
        <w:pStyle w:val="Normal6"/>
      </w:pPr>
      <w:r>
        <w:t>Pribavljanjem odgovarajućeg osoblja osigurava se poboljšanje dobne i kvalifikacijske strukture osoblja. Prijemu prethodi selekcija kandidata za dragovoljno služenje vojnog roka, selekcija kandidata za prijam u djelatnu vojnu službu i selekcija kandidata za prijam u državnu službu. Izobrazbom pripadnika Ministarstva obrane i Oružanih snaga RH zadovoljit će se potreba za stjecanjem zahtijevanih znanja, vještina i sposobnosti kompatibilnih zahtjevima članstva u EU i NATO-u, u zemlji, a dijelom i u inozemstvu. U narednom trogodišnjem razdoblju uspostavit će se preddiplomski sveučilišni studijski programi, u suradnji sa sveučilišnom zajednicom, a u okviru Hrvatskog vojnog učilišta. U akademskoj godini 2014./2015. započet će se s izvođenjem dva preddiplomska studijska programa „Vojno inženjerstvo“ i „Vojno vođenje i upravljanje“ koji će obuhvatiti dosadašnji program temeljne časničke izobrazbe te nastaviti s razvojem studijskog programa za potrebe Hrvatske ratne mornarice i Hrvatskog ratnog zrakoplovstva i protuzračne obrane.</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DE6ACB" w:rsidRDefault="00EE6D95">
            <w:pPr>
              <w:rPr>
                <w:rFonts w:ascii="Arial" w:hAnsi="Arial" w:cs="Arial"/>
              </w:rPr>
            </w:pPr>
            <w:r w:rsidRPr="00DE6ACB">
              <w:rPr>
                <w:rFonts w:ascii="Arial" w:hAnsi="Arial" w:cs="Arial"/>
              </w:rP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Pr="00DE6ACB" w:rsidRDefault="00EE6D95">
            <w:pPr>
              <w:pStyle w:val="CellColumn"/>
            </w:pPr>
            <w:r w:rsidRPr="00DE6ACB">
              <w:t>Broj osoba za upućivanje na dragovoljno služenje vojnog roka</w:t>
            </w:r>
          </w:p>
        </w:tc>
        <w:tc>
          <w:tcPr>
            <w:tcW w:w="1114" w:type="dxa"/>
          </w:tcPr>
          <w:p w:rsidR="00D849AA" w:rsidRDefault="00EE6D95">
            <w:r>
              <w:t>Broj</w:t>
            </w:r>
          </w:p>
        </w:tc>
        <w:tc>
          <w:tcPr>
            <w:tcW w:w="1114" w:type="dxa"/>
          </w:tcPr>
          <w:p w:rsidR="00D849AA" w:rsidRDefault="00EE6D95">
            <w:r>
              <w:t>800</w:t>
            </w:r>
          </w:p>
        </w:tc>
        <w:tc>
          <w:tcPr>
            <w:tcW w:w="1486" w:type="dxa"/>
          </w:tcPr>
          <w:p w:rsidR="00D849AA" w:rsidRDefault="00EE6D95">
            <w:r>
              <w:t>800</w:t>
            </w:r>
          </w:p>
        </w:tc>
        <w:tc>
          <w:tcPr>
            <w:tcW w:w="1486" w:type="dxa"/>
          </w:tcPr>
          <w:p w:rsidR="00D849AA" w:rsidRDefault="00EE6D95">
            <w:r>
              <w:t>800</w:t>
            </w:r>
          </w:p>
        </w:tc>
        <w:tc>
          <w:tcPr>
            <w:tcW w:w="1486" w:type="dxa"/>
          </w:tcPr>
          <w:p w:rsidR="00D849AA" w:rsidRDefault="00EE6D95">
            <w:r>
              <w:t>800</w:t>
            </w:r>
          </w:p>
        </w:tc>
      </w:tr>
      <w:tr w:rsidR="00D849AA">
        <w:trPr>
          <w:jc w:val="center"/>
        </w:trPr>
        <w:tc>
          <w:tcPr>
            <w:tcW w:w="2229" w:type="dxa"/>
          </w:tcPr>
          <w:p w:rsidR="00D849AA" w:rsidRPr="00DE6ACB" w:rsidRDefault="00EE6D95">
            <w:pPr>
              <w:pStyle w:val="CellColumn"/>
            </w:pPr>
            <w:r w:rsidRPr="00DE6ACB">
              <w:t>Broj pribavljenih osoba: vojnici, časnici i ugovorni pričuvnici</w:t>
            </w:r>
          </w:p>
        </w:tc>
        <w:tc>
          <w:tcPr>
            <w:tcW w:w="1114" w:type="dxa"/>
          </w:tcPr>
          <w:p w:rsidR="00D849AA" w:rsidRDefault="00EE6D95">
            <w:r>
              <w:t>Broj</w:t>
            </w:r>
          </w:p>
        </w:tc>
        <w:tc>
          <w:tcPr>
            <w:tcW w:w="1114" w:type="dxa"/>
          </w:tcPr>
          <w:p w:rsidR="00D849AA" w:rsidRDefault="00EE6D95">
            <w:r>
              <w:t>530</w:t>
            </w:r>
          </w:p>
        </w:tc>
        <w:tc>
          <w:tcPr>
            <w:tcW w:w="1486" w:type="dxa"/>
          </w:tcPr>
          <w:p w:rsidR="00D849AA" w:rsidRDefault="00EE6D95">
            <w:r>
              <w:t>1020</w:t>
            </w:r>
          </w:p>
        </w:tc>
        <w:tc>
          <w:tcPr>
            <w:tcW w:w="1486" w:type="dxa"/>
          </w:tcPr>
          <w:p w:rsidR="00D849AA" w:rsidRDefault="00EE6D95">
            <w:r>
              <w:t>530</w:t>
            </w:r>
          </w:p>
        </w:tc>
        <w:tc>
          <w:tcPr>
            <w:tcW w:w="1486" w:type="dxa"/>
          </w:tcPr>
          <w:p w:rsidR="00D849AA" w:rsidRDefault="00EE6D95">
            <w:r>
              <w:t>530</w:t>
            </w:r>
          </w:p>
        </w:tc>
      </w:tr>
      <w:tr w:rsidR="00D849AA">
        <w:trPr>
          <w:jc w:val="center"/>
        </w:trPr>
        <w:tc>
          <w:tcPr>
            <w:tcW w:w="2229" w:type="dxa"/>
          </w:tcPr>
          <w:p w:rsidR="00D849AA" w:rsidRPr="00DE6ACB" w:rsidRDefault="00EE6D95">
            <w:pPr>
              <w:pStyle w:val="CellColumn"/>
            </w:pPr>
            <w:r w:rsidRPr="00DE6ACB">
              <w:t>Broj polaznika izobrazbe</w:t>
            </w:r>
          </w:p>
        </w:tc>
        <w:tc>
          <w:tcPr>
            <w:tcW w:w="1114" w:type="dxa"/>
          </w:tcPr>
          <w:p w:rsidR="00D849AA" w:rsidRDefault="00EE6D95">
            <w:r>
              <w:t>Broj</w:t>
            </w:r>
          </w:p>
        </w:tc>
        <w:tc>
          <w:tcPr>
            <w:tcW w:w="1114" w:type="dxa"/>
          </w:tcPr>
          <w:p w:rsidR="00D849AA" w:rsidRDefault="00EE6D95">
            <w:r>
              <w:t>1000</w:t>
            </w:r>
          </w:p>
        </w:tc>
        <w:tc>
          <w:tcPr>
            <w:tcW w:w="1486" w:type="dxa"/>
          </w:tcPr>
          <w:p w:rsidR="00D849AA" w:rsidRDefault="00EE6D95">
            <w:r>
              <w:t>1000</w:t>
            </w:r>
          </w:p>
        </w:tc>
        <w:tc>
          <w:tcPr>
            <w:tcW w:w="1486" w:type="dxa"/>
          </w:tcPr>
          <w:p w:rsidR="00D849AA" w:rsidRDefault="00EE6D95">
            <w:r>
              <w:t>1000</w:t>
            </w:r>
          </w:p>
        </w:tc>
        <w:tc>
          <w:tcPr>
            <w:tcW w:w="1486" w:type="dxa"/>
          </w:tcPr>
          <w:p w:rsidR="00D849AA" w:rsidRDefault="00EE6D95">
            <w:r>
              <w:t>1000</w:t>
            </w:r>
          </w:p>
        </w:tc>
      </w:tr>
    </w:tbl>
    <w:p w:rsidR="00D849AA" w:rsidRDefault="00D849AA">
      <w:pPr>
        <w:jc w:val="left"/>
      </w:pPr>
    </w:p>
    <w:p w:rsidR="00DE6ACB" w:rsidRDefault="00DE6ACB" w:rsidP="00DE6ACB">
      <w:pPr>
        <w:pStyle w:val="Naslov4"/>
      </w:pPr>
      <w:r>
        <w:lastRenderedPageBreak/>
        <w:t>OBRAZLOŽENJE PROGRAMA</w:t>
      </w:r>
    </w:p>
    <w:p w:rsidR="00D849AA" w:rsidRDefault="00DE6ACB">
      <w:pPr>
        <w:pStyle w:val="Naslov5"/>
      </w:pPr>
      <w:r>
        <w:t>2</w:t>
      </w:r>
      <w:r w:rsidR="00EE6D95">
        <w:t>506 KOMUNIKACIJSKO-INFORMACIJSKI SUSTAVI I POTPORA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DE6ACB" w:rsidRDefault="00D849AA">
            <w:pPr>
              <w:pStyle w:val="CellHeader"/>
            </w:pPr>
          </w:p>
        </w:tc>
        <w:tc>
          <w:tcPr>
            <w:tcW w:w="1486" w:type="dxa"/>
            <w:shd w:val="clear" w:color="auto" w:fill="B5C0D8"/>
          </w:tcPr>
          <w:p w:rsidR="00D849AA" w:rsidRPr="00DE6ACB" w:rsidRDefault="00EE6D95">
            <w:pPr>
              <w:pStyle w:val="CellHeader"/>
            </w:pPr>
            <w:r w:rsidRPr="00DE6ACB">
              <w:t>Plan 2013.</w:t>
            </w:r>
          </w:p>
        </w:tc>
        <w:tc>
          <w:tcPr>
            <w:tcW w:w="1486" w:type="dxa"/>
            <w:shd w:val="clear" w:color="auto" w:fill="B5C0D8"/>
          </w:tcPr>
          <w:p w:rsidR="00D849AA" w:rsidRPr="00DE6ACB" w:rsidRDefault="00EE6D95">
            <w:pPr>
              <w:pStyle w:val="CellHeader"/>
            </w:pPr>
            <w:r w:rsidRPr="00DE6ACB">
              <w:t>Plan 2014.</w:t>
            </w:r>
          </w:p>
        </w:tc>
        <w:tc>
          <w:tcPr>
            <w:tcW w:w="1486" w:type="dxa"/>
            <w:shd w:val="clear" w:color="auto" w:fill="B5C0D8"/>
          </w:tcPr>
          <w:p w:rsidR="00D849AA" w:rsidRPr="00DE6ACB" w:rsidRDefault="00EE6D95">
            <w:pPr>
              <w:pStyle w:val="CellHeader"/>
            </w:pPr>
            <w:r w:rsidRPr="00DE6ACB">
              <w:t>Plan 2015.</w:t>
            </w:r>
          </w:p>
        </w:tc>
        <w:tc>
          <w:tcPr>
            <w:tcW w:w="1486" w:type="dxa"/>
            <w:shd w:val="clear" w:color="auto" w:fill="B5C0D8"/>
          </w:tcPr>
          <w:p w:rsidR="00D849AA" w:rsidRPr="00DE6ACB" w:rsidRDefault="00EE6D95">
            <w:pPr>
              <w:pStyle w:val="CellHeader"/>
            </w:pPr>
            <w:r w:rsidRPr="00DE6ACB">
              <w:t>Plan 2016.</w:t>
            </w:r>
          </w:p>
        </w:tc>
        <w:tc>
          <w:tcPr>
            <w:tcW w:w="1486" w:type="dxa"/>
            <w:shd w:val="clear" w:color="auto" w:fill="B5C0D8"/>
          </w:tcPr>
          <w:p w:rsidR="00D849AA" w:rsidRPr="00DE6ACB" w:rsidRDefault="00EE6D95">
            <w:pPr>
              <w:pStyle w:val="CellHeader"/>
            </w:pPr>
            <w:r w:rsidRPr="00DE6ACB">
              <w:t>Indeks 2014/2013</w:t>
            </w:r>
          </w:p>
        </w:tc>
      </w:tr>
      <w:tr w:rsidR="00D849AA">
        <w:trPr>
          <w:jc w:val="center"/>
        </w:trPr>
        <w:tc>
          <w:tcPr>
            <w:tcW w:w="1486" w:type="dxa"/>
          </w:tcPr>
          <w:p w:rsidR="00D849AA" w:rsidRPr="00DE6ACB" w:rsidRDefault="00EE6D95">
            <w:pPr>
              <w:pStyle w:val="CellColumn"/>
            </w:pPr>
            <w:r w:rsidRPr="00DE6ACB">
              <w:t>2506</w:t>
            </w:r>
          </w:p>
        </w:tc>
        <w:tc>
          <w:tcPr>
            <w:tcW w:w="1486" w:type="dxa"/>
          </w:tcPr>
          <w:p w:rsidR="00D849AA" w:rsidRPr="00DE6ACB" w:rsidRDefault="00EE6D95">
            <w:pPr>
              <w:rPr>
                <w:rFonts w:ascii="Arial" w:hAnsi="Arial" w:cs="Arial"/>
              </w:rPr>
            </w:pPr>
            <w:r w:rsidRPr="00DE6ACB">
              <w:rPr>
                <w:rFonts w:ascii="Arial" w:hAnsi="Arial" w:cs="Arial"/>
              </w:rPr>
              <w:t>218.811.544</w:t>
            </w:r>
          </w:p>
        </w:tc>
        <w:tc>
          <w:tcPr>
            <w:tcW w:w="1486" w:type="dxa"/>
          </w:tcPr>
          <w:p w:rsidR="00D849AA" w:rsidRPr="00DE6ACB" w:rsidRDefault="00EE6D95">
            <w:pPr>
              <w:rPr>
                <w:rFonts w:ascii="Arial" w:hAnsi="Arial" w:cs="Arial"/>
              </w:rPr>
            </w:pPr>
            <w:r w:rsidRPr="00DE6ACB">
              <w:rPr>
                <w:rFonts w:ascii="Arial" w:hAnsi="Arial" w:cs="Arial"/>
              </w:rPr>
              <w:t>242.758.200</w:t>
            </w:r>
          </w:p>
        </w:tc>
        <w:tc>
          <w:tcPr>
            <w:tcW w:w="1486" w:type="dxa"/>
          </w:tcPr>
          <w:p w:rsidR="00D849AA" w:rsidRPr="00DE6ACB" w:rsidRDefault="00EE6D95">
            <w:pPr>
              <w:rPr>
                <w:rFonts w:ascii="Arial" w:hAnsi="Arial" w:cs="Arial"/>
              </w:rPr>
            </w:pPr>
            <w:r w:rsidRPr="00DE6ACB">
              <w:rPr>
                <w:rFonts w:ascii="Arial" w:hAnsi="Arial" w:cs="Arial"/>
              </w:rPr>
              <w:t>240.002.200</w:t>
            </w:r>
          </w:p>
        </w:tc>
        <w:tc>
          <w:tcPr>
            <w:tcW w:w="1486" w:type="dxa"/>
          </w:tcPr>
          <w:p w:rsidR="00D849AA" w:rsidRPr="00DE6ACB" w:rsidRDefault="00EE6D95">
            <w:pPr>
              <w:rPr>
                <w:rFonts w:ascii="Arial" w:hAnsi="Arial" w:cs="Arial"/>
              </w:rPr>
            </w:pPr>
            <w:r w:rsidRPr="00DE6ACB">
              <w:rPr>
                <w:rFonts w:ascii="Arial" w:hAnsi="Arial" w:cs="Arial"/>
              </w:rPr>
              <w:t>240.070.500</w:t>
            </w:r>
          </w:p>
        </w:tc>
        <w:tc>
          <w:tcPr>
            <w:tcW w:w="1486" w:type="dxa"/>
          </w:tcPr>
          <w:p w:rsidR="00D849AA" w:rsidRPr="00DE6ACB" w:rsidRDefault="00EE6D95">
            <w:pPr>
              <w:rPr>
                <w:rFonts w:ascii="Arial" w:hAnsi="Arial" w:cs="Arial"/>
              </w:rPr>
            </w:pPr>
            <w:r w:rsidRPr="00DE6ACB">
              <w:rPr>
                <w:rFonts w:ascii="Arial" w:hAnsi="Arial" w:cs="Arial"/>
              </w:rPr>
              <w:t>110,9</w:t>
            </w:r>
          </w:p>
        </w:tc>
      </w:tr>
    </w:tbl>
    <w:p w:rsidR="00D849AA" w:rsidRDefault="00D849AA">
      <w:pPr>
        <w:jc w:val="left"/>
      </w:pPr>
    </w:p>
    <w:p w:rsidR="00D849AA" w:rsidRDefault="00EE6D95">
      <w:pPr>
        <w:pStyle w:val="Naslov6"/>
      </w:pPr>
      <w:r>
        <w:t>Opis programa</w:t>
      </w:r>
    </w:p>
    <w:p w:rsidR="00D849AA" w:rsidRDefault="00EE6D95">
      <w:pPr>
        <w:pStyle w:val="Normal5"/>
      </w:pPr>
      <w:r>
        <w:t>Planskim opremanjem, modernizacijom i održavanjem komunikacijsko-informacijskih sustava, te osiguranjem potrebnih komunikacijsko-informacijskih usluga osigurat će se funkcionalni komunikacijsko-informacijski sustav. Nadalje, osigurat će se i opća potpora u učinkovitom funkcioniranju Ministarstva obrane kroz administrativnu i sigurnosnu potporu, izdavačku djelatnost te ostvarivanje duhovne skrbi djelatnika.</w:t>
      </w:r>
    </w:p>
    <w:p w:rsidR="00D849AA" w:rsidRDefault="00EE6D95">
      <w:pPr>
        <w:pStyle w:val="Naslov6"/>
      </w:pPr>
      <w:r>
        <w:t>Zakonske i druge pravne osnove</w:t>
      </w:r>
    </w:p>
    <w:p w:rsidR="00D849AA" w:rsidRDefault="00EE6D95">
      <w:pPr>
        <w:pStyle w:val="Normal5"/>
      </w:pPr>
      <w:r>
        <w:t>Zakon o obrani (NN 73/13), Zakon o službi u OS RH (NN 73/13), Dugoročni plan razvoja OS RH 2006. – 2015. (NN 81/06), Pravilnik o načinu materijalnog zbrinjavanja Oružanih snaga RH (NN 179/04 i 88/08)</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Cilj 1. Konsolidirati komunikacijsko-informacijski sustav i osigurati učinkovitu opću potporu</w:t>
      </w:r>
    </w:p>
    <w:p w:rsidR="00D849AA" w:rsidRDefault="00EE6D95">
      <w:pPr>
        <w:pStyle w:val="Normal6"/>
      </w:pPr>
      <w:r>
        <w:t>Konsolidacijom komunikacijsko-informacijskog sustava osigurat će se unapređenje učinkovitosti informacijskih sustava uz potrebnu modernizaciju, promjenu aplikativnih rješenja, realizaciju deklariranih ciljeva snaga i uspostavu nove organizacijske komunikacijsko-informacijske strukture. U provedbi cilja potrebno je osigurati potporu u funkcioniranju Ministarstva obrane te primjenu standarda i protokola kojima se osigurava učinkovito ispunjavanje operativnih zahtjeva na nacionalnoj razini, prema NATO-u te interoperabilnost</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362"/>
        <w:gridCol w:w="1114"/>
        <w:gridCol w:w="1486"/>
        <w:gridCol w:w="1486"/>
        <w:gridCol w:w="1486"/>
      </w:tblGrid>
      <w:tr w:rsidR="00D849AA">
        <w:trPr>
          <w:jc w:val="center"/>
        </w:trPr>
        <w:tc>
          <w:tcPr>
            <w:tcW w:w="2229" w:type="dxa"/>
            <w:shd w:val="clear" w:color="auto" w:fill="B5C0D8"/>
          </w:tcPr>
          <w:p w:rsidR="00D849AA" w:rsidRPr="00DE6ACB" w:rsidRDefault="00EE6D95">
            <w:pPr>
              <w:rPr>
                <w:rFonts w:ascii="Arial" w:hAnsi="Arial" w:cs="Arial"/>
              </w:rPr>
            </w:pPr>
            <w:r w:rsidRPr="00DE6ACB">
              <w:rPr>
                <w:rFonts w:ascii="Arial" w:hAnsi="Arial" w:cs="Arial"/>
              </w:rPr>
              <w:t>Pokazatelj učinka</w:t>
            </w:r>
          </w:p>
        </w:tc>
        <w:tc>
          <w:tcPr>
            <w:tcW w:w="1114" w:type="dxa"/>
            <w:shd w:val="clear" w:color="auto" w:fill="B5C0D8"/>
          </w:tcPr>
          <w:p w:rsidR="00D849AA" w:rsidRPr="00DE6ACB" w:rsidRDefault="00EE6D95">
            <w:pPr>
              <w:pStyle w:val="CellHeader"/>
            </w:pPr>
            <w:r w:rsidRPr="00DE6ACB">
              <w:t>Jedinica</w:t>
            </w:r>
          </w:p>
        </w:tc>
        <w:tc>
          <w:tcPr>
            <w:tcW w:w="1114" w:type="dxa"/>
            <w:shd w:val="clear" w:color="auto" w:fill="B5C0D8"/>
          </w:tcPr>
          <w:p w:rsidR="00D849AA" w:rsidRPr="00DE6ACB" w:rsidRDefault="00EE6D95">
            <w:pPr>
              <w:pStyle w:val="CellHeader"/>
            </w:pPr>
            <w:r w:rsidRPr="00DE6ACB">
              <w:t>Polazna vrijednost</w:t>
            </w:r>
          </w:p>
        </w:tc>
        <w:tc>
          <w:tcPr>
            <w:tcW w:w="1486" w:type="dxa"/>
            <w:shd w:val="clear" w:color="auto" w:fill="B5C0D8"/>
          </w:tcPr>
          <w:p w:rsidR="00D849AA" w:rsidRPr="00DE6ACB" w:rsidRDefault="00EE6D95">
            <w:pPr>
              <w:pStyle w:val="CellHeader"/>
            </w:pPr>
            <w:r w:rsidRPr="00DE6ACB">
              <w:t>Ciljana vrijednost (2014.)</w:t>
            </w:r>
          </w:p>
        </w:tc>
        <w:tc>
          <w:tcPr>
            <w:tcW w:w="1486" w:type="dxa"/>
            <w:shd w:val="clear" w:color="auto" w:fill="B5C0D8"/>
          </w:tcPr>
          <w:p w:rsidR="00D849AA" w:rsidRPr="00DE6ACB" w:rsidRDefault="00EE6D95">
            <w:pPr>
              <w:pStyle w:val="CellHeader"/>
            </w:pPr>
            <w:r w:rsidRPr="00DE6ACB">
              <w:t>Ciljana vrijednost (2015.)</w:t>
            </w:r>
          </w:p>
        </w:tc>
        <w:tc>
          <w:tcPr>
            <w:tcW w:w="1486" w:type="dxa"/>
            <w:shd w:val="clear" w:color="auto" w:fill="B5C0D8"/>
          </w:tcPr>
          <w:p w:rsidR="00D849AA" w:rsidRPr="00DE6ACB" w:rsidRDefault="00EE6D95">
            <w:pPr>
              <w:pStyle w:val="CellHeader"/>
            </w:pPr>
            <w:r w:rsidRPr="00DE6ACB">
              <w:t>Ciljana vrijednost (2016.)</w:t>
            </w:r>
          </w:p>
        </w:tc>
      </w:tr>
      <w:tr w:rsidR="00D849AA">
        <w:trPr>
          <w:jc w:val="center"/>
        </w:trPr>
        <w:tc>
          <w:tcPr>
            <w:tcW w:w="2229" w:type="dxa"/>
          </w:tcPr>
          <w:p w:rsidR="00D849AA" w:rsidRPr="00DE6ACB" w:rsidRDefault="00EE6D95">
            <w:pPr>
              <w:pStyle w:val="CellColumn"/>
            </w:pPr>
            <w:r w:rsidRPr="00DE6ACB">
              <w:t>Ostvarenje ciljane funkcionalnosti komunikacijsko-informacijskog sustava i osiguranje učinkovite opće potpore</w:t>
            </w:r>
          </w:p>
        </w:tc>
        <w:tc>
          <w:tcPr>
            <w:tcW w:w="1114" w:type="dxa"/>
          </w:tcPr>
          <w:p w:rsidR="00D849AA" w:rsidRPr="00DE6ACB" w:rsidRDefault="00EE6D95">
            <w:pPr>
              <w:rPr>
                <w:rFonts w:ascii="Arial" w:hAnsi="Arial" w:cs="Arial"/>
              </w:rPr>
            </w:pPr>
            <w:r w:rsidRPr="00DE6ACB">
              <w:rPr>
                <w:rFonts w:ascii="Arial" w:hAnsi="Arial" w:cs="Arial"/>
              </w:rPr>
              <w:t>% konsolidacije</w:t>
            </w:r>
          </w:p>
        </w:tc>
        <w:tc>
          <w:tcPr>
            <w:tcW w:w="1114" w:type="dxa"/>
          </w:tcPr>
          <w:p w:rsidR="00D849AA" w:rsidRPr="00DE6ACB" w:rsidRDefault="00EE6D95">
            <w:pPr>
              <w:rPr>
                <w:rFonts w:ascii="Arial" w:hAnsi="Arial" w:cs="Arial"/>
              </w:rPr>
            </w:pPr>
            <w:r w:rsidRPr="00DE6ACB">
              <w:rPr>
                <w:rFonts w:ascii="Arial" w:hAnsi="Arial" w:cs="Arial"/>
              </w:rPr>
              <w:t>30%</w:t>
            </w:r>
          </w:p>
        </w:tc>
        <w:tc>
          <w:tcPr>
            <w:tcW w:w="1486" w:type="dxa"/>
          </w:tcPr>
          <w:p w:rsidR="00D849AA" w:rsidRPr="00DE6ACB" w:rsidRDefault="00EE6D95">
            <w:pPr>
              <w:rPr>
                <w:rFonts w:ascii="Arial" w:hAnsi="Arial" w:cs="Arial"/>
              </w:rPr>
            </w:pPr>
            <w:r w:rsidRPr="00DE6ACB">
              <w:rPr>
                <w:rFonts w:ascii="Arial" w:hAnsi="Arial" w:cs="Arial"/>
              </w:rPr>
              <w:t>45%</w:t>
            </w:r>
          </w:p>
        </w:tc>
        <w:tc>
          <w:tcPr>
            <w:tcW w:w="1486" w:type="dxa"/>
          </w:tcPr>
          <w:p w:rsidR="00D849AA" w:rsidRPr="00DE6ACB" w:rsidRDefault="00EE6D95">
            <w:pPr>
              <w:rPr>
                <w:rFonts w:ascii="Arial" w:hAnsi="Arial" w:cs="Arial"/>
              </w:rPr>
            </w:pPr>
            <w:r w:rsidRPr="00DE6ACB">
              <w:rPr>
                <w:rFonts w:ascii="Arial" w:hAnsi="Arial" w:cs="Arial"/>
              </w:rPr>
              <w:t>50%</w:t>
            </w:r>
          </w:p>
        </w:tc>
        <w:tc>
          <w:tcPr>
            <w:tcW w:w="1486" w:type="dxa"/>
          </w:tcPr>
          <w:p w:rsidR="00D849AA" w:rsidRPr="00DE6ACB" w:rsidRDefault="00EE6D95">
            <w:pPr>
              <w:rPr>
                <w:rFonts w:ascii="Arial" w:hAnsi="Arial" w:cs="Arial"/>
              </w:rPr>
            </w:pPr>
            <w:r w:rsidRPr="00DE6ACB">
              <w:rPr>
                <w:rFonts w:ascii="Arial" w:hAnsi="Arial" w:cs="Arial"/>
              </w:rPr>
              <w:t>55%</w:t>
            </w:r>
          </w:p>
        </w:tc>
      </w:tr>
    </w:tbl>
    <w:p w:rsidR="00D849AA" w:rsidRDefault="00D849AA">
      <w:pPr>
        <w:jc w:val="left"/>
      </w:pPr>
    </w:p>
    <w:p w:rsidR="00D849AA" w:rsidRDefault="00EE6D95">
      <w:pPr>
        <w:pStyle w:val="Naslov5"/>
      </w:pPr>
      <w:r>
        <w:lastRenderedPageBreak/>
        <w:t>Procjena i ishodište potrebnih sredstava za značajnije aktivnosti/projekte</w:t>
      </w:r>
    </w:p>
    <w:p w:rsidR="00D849AA" w:rsidRDefault="00EE6D95">
      <w:pPr>
        <w:pStyle w:val="Naslov6"/>
      </w:pPr>
      <w:r>
        <w:t>A545054 OPREMANJE I MODERNIZACIJA KOMUNIKACIJSKO-INFORMACIJSKIM SUSTAVIMA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DE6ACB" w:rsidRDefault="00EE6D95">
            <w:pPr>
              <w:pStyle w:val="CellHeader"/>
            </w:pPr>
            <w:r w:rsidRPr="00DE6ACB">
              <w:t>Naziv aktivnosti</w:t>
            </w:r>
          </w:p>
        </w:tc>
        <w:tc>
          <w:tcPr>
            <w:tcW w:w="1486" w:type="dxa"/>
            <w:shd w:val="clear" w:color="auto" w:fill="B5C0D8"/>
          </w:tcPr>
          <w:p w:rsidR="00D849AA" w:rsidRPr="00DE6ACB" w:rsidRDefault="00EE6D95">
            <w:pPr>
              <w:pStyle w:val="CellHeader"/>
            </w:pPr>
            <w:r w:rsidRPr="00DE6ACB">
              <w:t>Plan 2013.</w:t>
            </w:r>
          </w:p>
        </w:tc>
        <w:tc>
          <w:tcPr>
            <w:tcW w:w="1486" w:type="dxa"/>
            <w:shd w:val="clear" w:color="auto" w:fill="B5C0D8"/>
          </w:tcPr>
          <w:p w:rsidR="00D849AA" w:rsidRPr="00DE6ACB" w:rsidRDefault="00EE6D95">
            <w:pPr>
              <w:pStyle w:val="CellHeader"/>
            </w:pPr>
            <w:r w:rsidRPr="00DE6ACB">
              <w:t>Plan 2014.</w:t>
            </w:r>
          </w:p>
        </w:tc>
        <w:tc>
          <w:tcPr>
            <w:tcW w:w="1486" w:type="dxa"/>
            <w:shd w:val="clear" w:color="auto" w:fill="B5C0D8"/>
          </w:tcPr>
          <w:p w:rsidR="00D849AA" w:rsidRPr="00DE6ACB" w:rsidRDefault="00EE6D95">
            <w:pPr>
              <w:pStyle w:val="CellHeader"/>
            </w:pPr>
            <w:r w:rsidRPr="00DE6ACB">
              <w:t>Plan 2015.</w:t>
            </w:r>
          </w:p>
        </w:tc>
        <w:tc>
          <w:tcPr>
            <w:tcW w:w="1486" w:type="dxa"/>
            <w:shd w:val="clear" w:color="auto" w:fill="B5C0D8"/>
          </w:tcPr>
          <w:p w:rsidR="00D849AA" w:rsidRPr="00DE6ACB" w:rsidRDefault="00EE6D95">
            <w:pPr>
              <w:pStyle w:val="CellHeader"/>
            </w:pPr>
            <w:r w:rsidRPr="00DE6ACB">
              <w:t>Plan 2016.</w:t>
            </w:r>
          </w:p>
        </w:tc>
        <w:tc>
          <w:tcPr>
            <w:tcW w:w="1486" w:type="dxa"/>
            <w:shd w:val="clear" w:color="auto" w:fill="B5C0D8"/>
          </w:tcPr>
          <w:p w:rsidR="00D849AA" w:rsidRPr="00DE6ACB" w:rsidRDefault="00EE6D95">
            <w:pPr>
              <w:pStyle w:val="CellHeader"/>
            </w:pPr>
            <w:r w:rsidRPr="00DE6ACB">
              <w:t>Indeks 2014/2013</w:t>
            </w:r>
          </w:p>
        </w:tc>
      </w:tr>
      <w:tr w:rsidR="00D849AA">
        <w:trPr>
          <w:jc w:val="center"/>
        </w:trPr>
        <w:tc>
          <w:tcPr>
            <w:tcW w:w="1486" w:type="dxa"/>
          </w:tcPr>
          <w:p w:rsidR="00D849AA" w:rsidRPr="00DE6ACB" w:rsidRDefault="00EE6D95">
            <w:pPr>
              <w:pStyle w:val="CellColumn"/>
            </w:pPr>
            <w:r w:rsidRPr="00DE6ACB">
              <w:t>A545054</w:t>
            </w:r>
          </w:p>
        </w:tc>
        <w:tc>
          <w:tcPr>
            <w:tcW w:w="1486" w:type="dxa"/>
          </w:tcPr>
          <w:p w:rsidR="00D849AA" w:rsidRPr="00DE6ACB" w:rsidRDefault="00EE6D95">
            <w:pPr>
              <w:rPr>
                <w:rFonts w:ascii="Arial" w:hAnsi="Arial" w:cs="Arial"/>
              </w:rPr>
            </w:pPr>
            <w:r w:rsidRPr="00DE6ACB">
              <w:rPr>
                <w:rFonts w:ascii="Arial" w:hAnsi="Arial" w:cs="Arial"/>
              </w:rPr>
              <w:t>41.958.600</w:t>
            </w:r>
          </w:p>
        </w:tc>
        <w:tc>
          <w:tcPr>
            <w:tcW w:w="1486" w:type="dxa"/>
          </w:tcPr>
          <w:p w:rsidR="00D849AA" w:rsidRPr="00DE6ACB" w:rsidRDefault="00EE6D95">
            <w:pPr>
              <w:rPr>
                <w:rFonts w:ascii="Arial" w:hAnsi="Arial" w:cs="Arial"/>
              </w:rPr>
            </w:pPr>
            <w:r w:rsidRPr="00DE6ACB">
              <w:rPr>
                <w:rFonts w:ascii="Arial" w:hAnsi="Arial" w:cs="Arial"/>
              </w:rPr>
              <w:t>42.849.900</w:t>
            </w:r>
          </w:p>
        </w:tc>
        <w:tc>
          <w:tcPr>
            <w:tcW w:w="1486" w:type="dxa"/>
          </w:tcPr>
          <w:p w:rsidR="00D849AA" w:rsidRPr="00DE6ACB" w:rsidRDefault="00EE6D95">
            <w:pPr>
              <w:rPr>
                <w:rFonts w:ascii="Arial" w:hAnsi="Arial" w:cs="Arial"/>
              </w:rPr>
            </w:pPr>
            <w:r w:rsidRPr="00DE6ACB">
              <w:rPr>
                <w:rFonts w:ascii="Arial" w:hAnsi="Arial" w:cs="Arial"/>
              </w:rPr>
              <w:t>39.637.700</w:t>
            </w:r>
          </w:p>
        </w:tc>
        <w:tc>
          <w:tcPr>
            <w:tcW w:w="1486" w:type="dxa"/>
          </w:tcPr>
          <w:p w:rsidR="00D849AA" w:rsidRPr="00DE6ACB" w:rsidRDefault="00EE6D95">
            <w:pPr>
              <w:rPr>
                <w:rFonts w:ascii="Arial" w:hAnsi="Arial" w:cs="Arial"/>
              </w:rPr>
            </w:pPr>
            <w:r w:rsidRPr="00DE6ACB">
              <w:rPr>
                <w:rFonts w:ascii="Arial" w:hAnsi="Arial" w:cs="Arial"/>
              </w:rPr>
              <w:t>41.637.100</w:t>
            </w:r>
          </w:p>
        </w:tc>
        <w:tc>
          <w:tcPr>
            <w:tcW w:w="1486" w:type="dxa"/>
          </w:tcPr>
          <w:p w:rsidR="00D849AA" w:rsidRPr="00DE6ACB" w:rsidRDefault="00EE6D95">
            <w:pPr>
              <w:rPr>
                <w:rFonts w:ascii="Arial" w:hAnsi="Arial" w:cs="Arial"/>
              </w:rPr>
            </w:pPr>
            <w:r w:rsidRPr="00DE6ACB">
              <w:rPr>
                <w:rFonts w:ascii="Arial" w:hAnsi="Arial" w:cs="Arial"/>
              </w:rPr>
              <w:t>102,1</w:t>
            </w:r>
          </w:p>
        </w:tc>
      </w:tr>
    </w:tbl>
    <w:p w:rsidR="00D849AA" w:rsidRDefault="00D849AA">
      <w:pPr>
        <w:jc w:val="left"/>
      </w:pPr>
    </w:p>
    <w:p w:rsidR="00D849AA" w:rsidRDefault="00EE6D95">
      <w:pPr>
        <w:pStyle w:val="Normal6"/>
      </w:pPr>
      <w:r>
        <w:t>Opremanjem i modernizacijom komunikacijsko-informacijskog sustava uspostavlja se integrirani i cjeloviti način upravljanja najvažnijim obrambenim resursima (ljudski, materijalni, financijski). Aktivnost će se realizirati opremanjem i modernizacijom vojne informacijsko-komunikacijske opreme, razvojem informacijskih sustava, opremanjem programskom podrškom (nabava licenci), opremanjem i modernizacijom računalne, mrežne i komunikacijske opreme.</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DE6ACB" w:rsidRDefault="00EE6D95">
            <w:pPr>
              <w:rPr>
                <w:rFonts w:ascii="Arial" w:hAnsi="Arial" w:cs="Arial"/>
              </w:rPr>
            </w:pPr>
            <w:r w:rsidRPr="00DE6ACB">
              <w:rPr>
                <w:rFonts w:ascii="Arial" w:hAnsi="Arial" w:cs="Arial"/>
              </w:rPr>
              <w:t>Pokazatelj rezultata</w:t>
            </w:r>
          </w:p>
        </w:tc>
        <w:tc>
          <w:tcPr>
            <w:tcW w:w="1114" w:type="dxa"/>
            <w:shd w:val="clear" w:color="auto" w:fill="B5C0D8"/>
          </w:tcPr>
          <w:p w:rsidR="00D849AA" w:rsidRPr="00DE6ACB" w:rsidRDefault="00EE6D95">
            <w:pPr>
              <w:pStyle w:val="CellHeader"/>
            </w:pPr>
            <w:r w:rsidRPr="00DE6ACB">
              <w:t>Jedinica</w:t>
            </w:r>
          </w:p>
        </w:tc>
        <w:tc>
          <w:tcPr>
            <w:tcW w:w="1114" w:type="dxa"/>
            <w:shd w:val="clear" w:color="auto" w:fill="B5C0D8"/>
          </w:tcPr>
          <w:p w:rsidR="00D849AA" w:rsidRPr="00DE6ACB" w:rsidRDefault="00EE6D95">
            <w:pPr>
              <w:pStyle w:val="CellHeader"/>
            </w:pPr>
            <w:r w:rsidRPr="00DE6ACB">
              <w:t>Polazna vrijednost</w:t>
            </w:r>
          </w:p>
        </w:tc>
        <w:tc>
          <w:tcPr>
            <w:tcW w:w="1486" w:type="dxa"/>
            <w:shd w:val="clear" w:color="auto" w:fill="B5C0D8"/>
          </w:tcPr>
          <w:p w:rsidR="00D849AA" w:rsidRPr="00DE6ACB" w:rsidRDefault="00EE6D95">
            <w:pPr>
              <w:pStyle w:val="CellHeader"/>
            </w:pPr>
            <w:r w:rsidRPr="00DE6ACB">
              <w:t>Ciljana vrijednost (2014.)</w:t>
            </w:r>
          </w:p>
        </w:tc>
        <w:tc>
          <w:tcPr>
            <w:tcW w:w="1486" w:type="dxa"/>
            <w:shd w:val="clear" w:color="auto" w:fill="B5C0D8"/>
          </w:tcPr>
          <w:p w:rsidR="00D849AA" w:rsidRPr="00DE6ACB" w:rsidRDefault="00EE6D95">
            <w:pPr>
              <w:pStyle w:val="CellHeader"/>
            </w:pPr>
            <w:r w:rsidRPr="00DE6ACB">
              <w:t>Ciljana vrijednost (2015.)</w:t>
            </w:r>
          </w:p>
        </w:tc>
        <w:tc>
          <w:tcPr>
            <w:tcW w:w="1486" w:type="dxa"/>
            <w:shd w:val="clear" w:color="auto" w:fill="B5C0D8"/>
          </w:tcPr>
          <w:p w:rsidR="00D849AA" w:rsidRPr="00DE6ACB" w:rsidRDefault="00EE6D95">
            <w:pPr>
              <w:pStyle w:val="CellHeader"/>
            </w:pPr>
            <w:r w:rsidRPr="00DE6ACB">
              <w:t>Ciljana vrijednost (2016.)</w:t>
            </w:r>
          </w:p>
        </w:tc>
      </w:tr>
      <w:tr w:rsidR="00D849AA">
        <w:trPr>
          <w:jc w:val="center"/>
        </w:trPr>
        <w:tc>
          <w:tcPr>
            <w:tcW w:w="2229" w:type="dxa"/>
          </w:tcPr>
          <w:p w:rsidR="00D849AA" w:rsidRPr="00DE6ACB" w:rsidRDefault="00EE6D95">
            <w:pPr>
              <w:pStyle w:val="CellColumn"/>
            </w:pPr>
            <w:r w:rsidRPr="00DE6ACB">
              <w:t>Broj novih informatiziranih poslovnih modula</w:t>
            </w:r>
          </w:p>
        </w:tc>
        <w:tc>
          <w:tcPr>
            <w:tcW w:w="1114" w:type="dxa"/>
          </w:tcPr>
          <w:p w:rsidR="00D849AA" w:rsidRPr="00DE6ACB" w:rsidRDefault="00EE6D95">
            <w:pPr>
              <w:rPr>
                <w:rFonts w:ascii="Arial" w:hAnsi="Arial" w:cs="Arial"/>
              </w:rPr>
            </w:pPr>
            <w:r w:rsidRPr="00DE6ACB">
              <w:rPr>
                <w:rFonts w:ascii="Arial" w:hAnsi="Arial" w:cs="Arial"/>
              </w:rPr>
              <w:t>Kom</w:t>
            </w:r>
          </w:p>
        </w:tc>
        <w:tc>
          <w:tcPr>
            <w:tcW w:w="1114" w:type="dxa"/>
          </w:tcPr>
          <w:p w:rsidR="00D849AA" w:rsidRPr="00DE6ACB" w:rsidRDefault="00EE6D95">
            <w:pPr>
              <w:rPr>
                <w:rFonts w:ascii="Arial" w:hAnsi="Arial" w:cs="Arial"/>
              </w:rPr>
            </w:pPr>
            <w:r w:rsidRPr="00DE6ACB">
              <w:rPr>
                <w:rFonts w:ascii="Arial" w:hAnsi="Arial" w:cs="Arial"/>
              </w:rPr>
              <w:t>8</w:t>
            </w:r>
          </w:p>
        </w:tc>
        <w:tc>
          <w:tcPr>
            <w:tcW w:w="1486" w:type="dxa"/>
          </w:tcPr>
          <w:p w:rsidR="00D849AA" w:rsidRPr="00DE6ACB" w:rsidRDefault="00EE6D95">
            <w:pPr>
              <w:rPr>
                <w:rFonts w:ascii="Arial" w:hAnsi="Arial" w:cs="Arial"/>
              </w:rPr>
            </w:pPr>
            <w:r w:rsidRPr="00DE6ACB">
              <w:rPr>
                <w:rFonts w:ascii="Arial" w:hAnsi="Arial" w:cs="Arial"/>
              </w:rPr>
              <w:t>10</w:t>
            </w:r>
          </w:p>
        </w:tc>
        <w:tc>
          <w:tcPr>
            <w:tcW w:w="1486" w:type="dxa"/>
          </w:tcPr>
          <w:p w:rsidR="00D849AA" w:rsidRPr="00DE6ACB" w:rsidRDefault="00EE6D95">
            <w:pPr>
              <w:rPr>
                <w:rFonts w:ascii="Arial" w:hAnsi="Arial" w:cs="Arial"/>
              </w:rPr>
            </w:pPr>
            <w:r w:rsidRPr="00DE6ACB">
              <w:rPr>
                <w:rFonts w:ascii="Arial" w:hAnsi="Arial" w:cs="Arial"/>
              </w:rPr>
              <w:t>11</w:t>
            </w:r>
          </w:p>
        </w:tc>
        <w:tc>
          <w:tcPr>
            <w:tcW w:w="1486" w:type="dxa"/>
          </w:tcPr>
          <w:p w:rsidR="00D849AA" w:rsidRPr="00DE6ACB" w:rsidRDefault="00EE6D95">
            <w:pPr>
              <w:rPr>
                <w:rFonts w:ascii="Arial" w:hAnsi="Arial" w:cs="Arial"/>
              </w:rPr>
            </w:pPr>
            <w:r w:rsidRPr="00DE6ACB">
              <w:rPr>
                <w:rFonts w:ascii="Arial" w:hAnsi="Arial" w:cs="Arial"/>
              </w:rPr>
              <w:t>12</w:t>
            </w:r>
          </w:p>
        </w:tc>
      </w:tr>
      <w:tr w:rsidR="00D849AA">
        <w:trPr>
          <w:jc w:val="center"/>
        </w:trPr>
        <w:tc>
          <w:tcPr>
            <w:tcW w:w="2229" w:type="dxa"/>
          </w:tcPr>
          <w:p w:rsidR="00D849AA" w:rsidRPr="00DE6ACB" w:rsidRDefault="00EE6D95">
            <w:pPr>
              <w:pStyle w:val="CellColumn"/>
            </w:pPr>
            <w:r w:rsidRPr="00DE6ACB">
              <w:t>Broj nabavljenih korisničkih računala</w:t>
            </w:r>
          </w:p>
        </w:tc>
        <w:tc>
          <w:tcPr>
            <w:tcW w:w="1114" w:type="dxa"/>
          </w:tcPr>
          <w:p w:rsidR="00D849AA" w:rsidRPr="00DE6ACB" w:rsidRDefault="00EE6D95">
            <w:pPr>
              <w:rPr>
                <w:rFonts w:ascii="Arial" w:hAnsi="Arial" w:cs="Arial"/>
              </w:rPr>
            </w:pPr>
            <w:r w:rsidRPr="00DE6ACB">
              <w:rPr>
                <w:rFonts w:ascii="Arial" w:hAnsi="Arial" w:cs="Arial"/>
              </w:rPr>
              <w:t>Kom</w:t>
            </w:r>
          </w:p>
        </w:tc>
        <w:tc>
          <w:tcPr>
            <w:tcW w:w="1114" w:type="dxa"/>
          </w:tcPr>
          <w:p w:rsidR="00D849AA" w:rsidRPr="00DE6ACB" w:rsidRDefault="00EE6D95">
            <w:pPr>
              <w:rPr>
                <w:rFonts w:ascii="Arial" w:hAnsi="Arial" w:cs="Arial"/>
              </w:rPr>
            </w:pPr>
            <w:r w:rsidRPr="00DE6ACB">
              <w:rPr>
                <w:rFonts w:ascii="Arial" w:hAnsi="Arial" w:cs="Arial"/>
              </w:rPr>
              <w:t>1400</w:t>
            </w:r>
          </w:p>
        </w:tc>
        <w:tc>
          <w:tcPr>
            <w:tcW w:w="1486" w:type="dxa"/>
          </w:tcPr>
          <w:p w:rsidR="00D849AA" w:rsidRPr="00DE6ACB" w:rsidRDefault="00EE6D95">
            <w:pPr>
              <w:rPr>
                <w:rFonts w:ascii="Arial" w:hAnsi="Arial" w:cs="Arial"/>
              </w:rPr>
            </w:pPr>
            <w:r w:rsidRPr="00DE6ACB">
              <w:rPr>
                <w:rFonts w:ascii="Arial" w:hAnsi="Arial" w:cs="Arial"/>
              </w:rPr>
              <w:t>600</w:t>
            </w:r>
          </w:p>
        </w:tc>
        <w:tc>
          <w:tcPr>
            <w:tcW w:w="1486" w:type="dxa"/>
          </w:tcPr>
          <w:p w:rsidR="00D849AA" w:rsidRPr="00DE6ACB" w:rsidRDefault="00EE6D95">
            <w:pPr>
              <w:rPr>
                <w:rFonts w:ascii="Arial" w:hAnsi="Arial" w:cs="Arial"/>
              </w:rPr>
            </w:pPr>
            <w:r w:rsidRPr="00DE6ACB">
              <w:rPr>
                <w:rFonts w:ascii="Arial" w:hAnsi="Arial" w:cs="Arial"/>
              </w:rPr>
              <w:t>600</w:t>
            </w:r>
          </w:p>
        </w:tc>
        <w:tc>
          <w:tcPr>
            <w:tcW w:w="1486" w:type="dxa"/>
          </w:tcPr>
          <w:p w:rsidR="00D849AA" w:rsidRPr="00DE6ACB" w:rsidRDefault="00EE6D95">
            <w:pPr>
              <w:rPr>
                <w:rFonts w:ascii="Arial" w:hAnsi="Arial" w:cs="Arial"/>
              </w:rPr>
            </w:pPr>
            <w:r w:rsidRPr="00DE6ACB">
              <w:rPr>
                <w:rFonts w:ascii="Arial" w:hAnsi="Arial" w:cs="Arial"/>
              </w:rPr>
              <w:t>600</w:t>
            </w:r>
          </w:p>
        </w:tc>
      </w:tr>
      <w:tr w:rsidR="00D849AA">
        <w:trPr>
          <w:jc w:val="center"/>
        </w:trPr>
        <w:tc>
          <w:tcPr>
            <w:tcW w:w="2229" w:type="dxa"/>
          </w:tcPr>
          <w:p w:rsidR="00D849AA" w:rsidRPr="00DE6ACB" w:rsidRDefault="00EE6D95">
            <w:pPr>
              <w:pStyle w:val="CellColumn"/>
            </w:pPr>
            <w:r w:rsidRPr="00DE6ACB">
              <w:t>Broj nabavljenih vojnih komunikacijskih uređaja</w:t>
            </w:r>
          </w:p>
        </w:tc>
        <w:tc>
          <w:tcPr>
            <w:tcW w:w="1114" w:type="dxa"/>
          </w:tcPr>
          <w:p w:rsidR="00D849AA" w:rsidRPr="00DE6ACB" w:rsidRDefault="00EE6D95">
            <w:pPr>
              <w:rPr>
                <w:rFonts w:ascii="Arial" w:hAnsi="Arial" w:cs="Arial"/>
              </w:rPr>
            </w:pPr>
            <w:r w:rsidRPr="00DE6ACB">
              <w:rPr>
                <w:rFonts w:ascii="Arial" w:hAnsi="Arial" w:cs="Arial"/>
              </w:rPr>
              <w:t>Kom</w:t>
            </w:r>
          </w:p>
        </w:tc>
        <w:tc>
          <w:tcPr>
            <w:tcW w:w="1114" w:type="dxa"/>
          </w:tcPr>
          <w:p w:rsidR="00D849AA" w:rsidRPr="00DE6ACB" w:rsidRDefault="00EE6D95">
            <w:pPr>
              <w:rPr>
                <w:rFonts w:ascii="Arial" w:hAnsi="Arial" w:cs="Arial"/>
              </w:rPr>
            </w:pPr>
            <w:r w:rsidRPr="00DE6ACB">
              <w:rPr>
                <w:rFonts w:ascii="Arial" w:hAnsi="Arial" w:cs="Arial"/>
              </w:rPr>
              <w:t>400</w:t>
            </w:r>
          </w:p>
        </w:tc>
        <w:tc>
          <w:tcPr>
            <w:tcW w:w="1486" w:type="dxa"/>
          </w:tcPr>
          <w:p w:rsidR="00D849AA" w:rsidRPr="00DE6ACB" w:rsidRDefault="00EE6D95">
            <w:pPr>
              <w:rPr>
                <w:rFonts w:ascii="Arial" w:hAnsi="Arial" w:cs="Arial"/>
              </w:rPr>
            </w:pPr>
            <w:r w:rsidRPr="00DE6ACB">
              <w:rPr>
                <w:rFonts w:ascii="Arial" w:hAnsi="Arial" w:cs="Arial"/>
              </w:rPr>
              <w:t>450</w:t>
            </w:r>
          </w:p>
        </w:tc>
        <w:tc>
          <w:tcPr>
            <w:tcW w:w="1486" w:type="dxa"/>
          </w:tcPr>
          <w:p w:rsidR="00D849AA" w:rsidRPr="00DE6ACB" w:rsidRDefault="00EE6D95">
            <w:pPr>
              <w:rPr>
                <w:rFonts w:ascii="Arial" w:hAnsi="Arial" w:cs="Arial"/>
              </w:rPr>
            </w:pPr>
            <w:r w:rsidRPr="00DE6ACB">
              <w:rPr>
                <w:rFonts w:ascii="Arial" w:hAnsi="Arial" w:cs="Arial"/>
              </w:rPr>
              <w:t>500</w:t>
            </w:r>
          </w:p>
        </w:tc>
        <w:tc>
          <w:tcPr>
            <w:tcW w:w="1486" w:type="dxa"/>
          </w:tcPr>
          <w:p w:rsidR="00D849AA" w:rsidRPr="00DE6ACB" w:rsidRDefault="00EE6D95">
            <w:pPr>
              <w:rPr>
                <w:rFonts w:ascii="Arial" w:hAnsi="Arial" w:cs="Arial"/>
              </w:rPr>
            </w:pPr>
            <w:r w:rsidRPr="00DE6ACB">
              <w:rPr>
                <w:rFonts w:ascii="Arial" w:hAnsi="Arial" w:cs="Arial"/>
              </w:rPr>
              <w:t>550</w:t>
            </w:r>
          </w:p>
        </w:tc>
      </w:tr>
    </w:tbl>
    <w:p w:rsidR="00D849AA" w:rsidRDefault="00D849AA">
      <w:pPr>
        <w:jc w:val="left"/>
      </w:pPr>
    </w:p>
    <w:p w:rsidR="00D849AA" w:rsidRDefault="00EE6D95">
      <w:pPr>
        <w:pStyle w:val="Naslov6"/>
      </w:pPr>
      <w:r>
        <w:t>A545055 ODRŽAVANJE KOMUNIKACIJSKO-INFORMACIJSKIH SUSTAVA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DE6ACB" w:rsidRDefault="00EE6D95">
            <w:pPr>
              <w:pStyle w:val="CellHeader"/>
            </w:pPr>
            <w:r w:rsidRPr="00DE6ACB">
              <w:t>Naziv aktivnosti</w:t>
            </w:r>
          </w:p>
        </w:tc>
        <w:tc>
          <w:tcPr>
            <w:tcW w:w="1486" w:type="dxa"/>
            <w:shd w:val="clear" w:color="auto" w:fill="B5C0D8"/>
          </w:tcPr>
          <w:p w:rsidR="00D849AA" w:rsidRPr="00DE6ACB" w:rsidRDefault="00EE6D95">
            <w:pPr>
              <w:pStyle w:val="CellHeader"/>
            </w:pPr>
            <w:r w:rsidRPr="00DE6ACB">
              <w:t>Plan 2013.</w:t>
            </w:r>
          </w:p>
        </w:tc>
        <w:tc>
          <w:tcPr>
            <w:tcW w:w="1486" w:type="dxa"/>
            <w:shd w:val="clear" w:color="auto" w:fill="B5C0D8"/>
          </w:tcPr>
          <w:p w:rsidR="00D849AA" w:rsidRPr="00DE6ACB" w:rsidRDefault="00EE6D95">
            <w:pPr>
              <w:pStyle w:val="CellHeader"/>
            </w:pPr>
            <w:r w:rsidRPr="00DE6ACB">
              <w:t>Plan 2014.</w:t>
            </w:r>
          </w:p>
        </w:tc>
        <w:tc>
          <w:tcPr>
            <w:tcW w:w="1486" w:type="dxa"/>
            <w:shd w:val="clear" w:color="auto" w:fill="B5C0D8"/>
          </w:tcPr>
          <w:p w:rsidR="00D849AA" w:rsidRPr="00DE6ACB" w:rsidRDefault="00EE6D95">
            <w:pPr>
              <w:pStyle w:val="CellHeader"/>
            </w:pPr>
            <w:r w:rsidRPr="00DE6ACB">
              <w:t>Plan 2015.</w:t>
            </w:r>
          </w:p>
        </w:tc>
        <w:tc>
          <w:tcPr>
            <w:tcW w:w="1486" w:type="dxa"/>
            <w:shd w:val="clear" w:color="auto" w:fill="B5C0D8"/>
          </w:tcPr>
          <w:p w:rsidR="00D849AA" w:rsidRPr="00DE6ACB" w:rsidRDefault="00EE6D95">
            <w:pPr>
              <w:pStyle w:val="CellHeader"/>
            </w:pPr>
            <w:r w:rsidRPr="00DE6ACB">
              <w:t>Plan 2016.</w:t>
            </w:r>
          </w:p>
        </w:tc>
        <w:tc>
          <w:tcPr>
            <w:tcW w:w="1486" w:type="dxa"/>
            <w:shd w:val="clear" w:color="auto" w:fill="B5C0D8"/>
          </w:tcPr>
          <w:p w:rsidR="00D849AA" w:rsidRPr="00DE6ACB" w:rsidRDefault="00EE6D95">
            <w:pPr>
              <w:pStyle w:val="CellHeader"/>
            </w:pPr>
            <w:r w:rsidRPr="00DE6ACB">
              <w:t>Indeks 2014/2013</w:t>
            </w:r>
          </w:p>
        </w:tc>
      </w:tr>
      <w:tr w:rsidR="00D849AA">
        <w:trPr>
          <w:jc w:val="center"/>
        </w:trPr>
        <w:tc>
          <w:tcPr>
            <w:tcW w:w="1486" w:type="dxa"/>
          </w:tcPr>
          <w:p w:rsidR="00D849AA" w:rsidRPr="00DE6ACB" w:rsidRDefault="00EE6D95">
            <w:pPr>
              <w:pStyle w:val="CellColumn"/>
            </w:pPr>
            <w:r w:rsidRPr="00DE6ACB">
              <w:t>A545055</w:t>
            </w:r>
          </w:p>
        </w:tc>
        <w:tc>
          <w:tcPr>
            <w:tcW w:w="1486" w:type="dxa"/>
          </w:tcPr>
          <w:p w:rsidR="00D849AA" w:rsidRPr="00DE6ACB" w:rsidRDefault="00EE6D95">
            <w:pPr>
              <w:rPr>
                <w:rFonts w:ascii="Arial" w:hAnsi="Arial" w:cs="Arial"/>
              </w:rPr>
            </w:pPr>
            <w:r w:rsidRPr="00DE6ACB">
              <w:rPr>
                <w:rFonts w:ascii="Arial" w:hAnsi="Arial" w:cs="Arial"/>
              </w:rPr>
              <w:t>33.011.400</w:t>
            </w:r>
          </w:p>
        </w:tc>
        <w:tc>
          <w:tcPr>
            <w:tcW w:w="1486" w:type="dxa"/>
          </w:tcPr>
          <w:p w:rsidR="00D849AA" w:rsidRPr="00DE6ACB" w:rsidRDefault="00EE6D95">
            <w:pPr>
              <w:rPr>
                <w:rFonts w:ascii="Arial" w:hAnsi="Arial" w:cs="Arial"/>
              </w:rPr>
            </w:pPr>
            <w:r w:rsidRPr="00DE6ACB">
              <w:rPr>
                <w:rFonts w:ascii="Arial" w:hAnsi="Arial" w:cs="Arial"/>
              </w:rPr>
              <w:t>32.529.800</w:t>
            </w:r>
          </w:p>
        </w:tc>
        <w:tc>
          <w:tcPr>
            <w:tcW w:w="1486" w:type="dxa"/>
          </w:tcPr>
          <w:p w:rsidR="00D849AA" w:rsidRPr="00DE6ACB" w:rsidRDefault="00EE6D95">
            <w:pPr>
              <w:rPr>
                <w:rFonts w:ascii="Arial" w:hAnsi="Arial" w:cs="Arial"/>
              </w:rPr>
            </w:pPr>
            <w:r w:rsidRPr="00DE6ACB">
              <w:rPr>
                <w:rFonts w:ascii="Arial" w:hAnsi="Arial" w:cs="Arial"/>
              </w:rPr>
              <w:t>31.231.800</w:t>
            </w:r>
          </w:p>
        </w:tc>
        <w:tc>
          <w:tcPr>
            <w:tcW w:w="1486" w:type="dxa"/>
          </w:tcPr>
          <w:p w:rsidR="00D849AA" w:rsidRPr="00DE6ACB" w:rsidRDefault="00EE6D95">
            <w:pPr>
              <w:rPr>
                <w:rFonts w:ascii="Arial" w:hAnsi="Arial" w:cs="Arial"/>
              </w:rPr>
            </w:pPr>
            <w:r w:rsidRPr="00DE6ACB">
              <w:rPr>
                <w:rFonts w:ascii="Arial" w:hAnsi="Arial" w:cs="Arial"/>
              </w:rPr>
              <w:t>31.226.300</w:t>
            </w:r>
          </w:p>
        </w:tc>
        <w:tc>
          <w:tcPr>
            <w:tcW w:w="1486" w:type="dxa"/>
          </w:tcPr>
          <w:p w:rsidR="00D849AA" w:rsidRPr="00DE6ACB" w:rsidRDefault="00EE6D95">
            <w:pPr>
              <w:rPr>
                <w:rFonts w:ascii="Arial" w:hAnsi="Arial" w:cs="Arial"/>
              </w:rPr>
            </w:pPr>
            <w:r w:rsidRPr="00DE6ACB">
              <w:rPr>
                <w:rFonts w:ascii="Arial" w:hAnsi="Arial" w:cs="Arial"/>
              </w:rPr>
              <w:t>98,5</w:t>
            </w:r>
          </w:p>
        </w:tc>
      </w:tr>
    </w:tbl>
    <w:p w:rsidR="00D849AA" w:rsidRDefault="00D849AA">
      <w:pPr>
        <w:jc w:val="left"/>
      </w:pPr>
    </w:p>
    <w:p w:rsidR="00D849AA" w:rsidRDefault="00EE6D95">
      <w:pPr>
        <w:pStyle w:val="Normal6"/>
      </w:pPr>
      <w:r>
        <w:t>Održavanjem komunikacijsko-informacijskih sustava osiguravaju se mjere i sredstva za održavanje funkcionalnosti komunikacijsko-informacijskih sustava na uporabi u Ministarstvu obrane i Oružanih snaga RH. Aktivnost će se realizirati zakupom i korištenjem telefonskih i srodnih usluga, održavanjem računala i računalne opreme, održavanjem računalnog softvera i komunikacijske opreme.</w:t>
      </w:r>
    </w:p>
    <w:p w:rsidR="00DE6ACB" w:rsidRDefault="00DE6ACB">
      <w:pPr>
        <w:pStyle w:val="Normal6"/>
      </w:pPr>
    </w:p>
    <w:p w:rsidR="00DE6ACB" w:rsidRDefault="00DE6ACB">
      <w:pPr>
        <w:pStyle w:val="Normal6"/>
      </w:pPr>
    </w:p>
    <w:p w:rsidR="00DE6ACB" w:rsidRDefault="00DE6ACB">
      <w:pPr>
        <w:pStyle w:val="Normal6"/>
      </w:pPr>
    </w:p>
    <w:p w:rsidR="00DE6ACB" w:rsidRDefault="00DE6ACB">
      <w:pPr>
        <w:pStyle w:val="Normal6"/>
      </w:pPr>
    </w:p>
    <w:p w:rsidR="00D849AA" w:rsidRDefault="00EE6D95">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DE6ACB" w:rsidRDefault="00EE6D95">
            <w:pPr>
              <w:rPr>
                <w:rFonts w:ascii="Arial" w:hAnsi="Arial" w:cs="Arial"/>
              </w:rPr>
            </w:pPr>
            <w:r w:rsidRPr="00DE6ACB">
              <w:rPr>
                <w:rFonts w:ascii="Arial" w:hAnsi="Arial" w:cs="Arial"/>
              </w:rPr>
              <w:t>Pokazatelj rezultata</w:t>
            </w:r>
          </w:p>
        </w:tc>
        <w:tc>
          <w:tcPr>
            <w:tcW w:w="1114" w:type="dxa"/>
            <w:shd w:val="clear" w:color="auto" w:fill="B5C0D8"/>
          </w:tcPr>
          <w:p w:rsidR="00D849AA" w:rsidRPr="00DE6ACB" w:rsidRDefault="00EE6D95">
            <w:pPr>
              <w:pStyle w:val="CellHeader"/>
            </w:pPr>
            <w:r w:rsidRPr="00DE6ACB">
              <w:t>Jedinica</w:t>
            </w:r>
          </w:p>
        </w:tc>
        <w:tc>
          <w:tcPr>
            <w:tcW w:w="1114" w:type="dxa"/>
            <w:shd w:val="clear" w:color="auto" w:fill="B5C0D8"/>
          </w:tcPr>
          <w:p w:rsidR="00D849AA" w:rsidRPr="00DE6ACB" w:rsidRDefault="00EE6D95">
            <w:pPr>
              <w:pStyle w:val="CellHeader"/>
            </w:pPr>
            <w:r w:rsidRPr="00DE6ACB">
              <w:t>Polazna vrijednost</w:t>
            </w:r>
          </w:p>
        </w:tc>
        <w:tc>
          <w:tcPr>
            <w:tcW w:w="1486" w:type="dxa"/>
            <w:shd w:val="clear" w:color="auto" w:fill="B5C0D8"/>
          </w:tcPr>
          <w:p w:rsidR="00D849AA" w:rsidRPr="00DE6ACB" w:rsidRDefault="00EE6D95">
            <w:pPr>
              <w:pStyle w:val="CellHeader"/>
            </w:pPr>
            <w:r w:rsidRPr="00DE6ACB">
              <w:t>Ciljana vrijednost (2014.)</w:t>
            </w:r>
          </w:p>
        </w:tc>
        <w:tc>
          <w:tcPr>
            <w:tcW w:w="1486" w:type="dxa"/>
            <w:shd w:val="clear" w:color="auto" w:fill="B5C0D8"/>
          </w:tcPr>
          <w:p w:rsidR="00D849AA" w:rsidRPr="00DE6ACB" w:rsidRDefault="00EE6D95">
            <w:pPr>
              <w:pStyle w:val="CellHeader"/>
            </w:pPr>
            <w:r w:rsidRPr="00DE6ACB">
              <w:t>Ciljana vrijednost (2015.)</w:t>
            </w:r>
          </w:p>
        </w:tc>
        <w:tc>
          <w:tcPr>
            <w:tcW w:w="1486" w:type="dxa"/>
            <w:shd w:val="clear" w:color="auto" w:fill="B5C0D8"/>
          </w:tcPr>
          <w:p w:rsidR="00D849AA" w:rsidRPr="00DE6ACB" w:rsidRDefault="00EE6D95">
            <w:pPr>
              <w:pStyle w:val="CellHeader"/>
            </w:pPr>
            <w:r w:rsidRPr="00DE6ACB">
              <w:t>Ciljana vrijednost (2016.)</w:t>
            </w:r>
          </w:p>
        </w:tc>
      </w:tr>
      <w:tr w:rsidR="00D849AA">
        <w:trPr>
          <w:jc w:val="center"/>
        </w:trPr>
        <w:tc>
          <w:tcPr>
            <w:tcW w:w="2229" w:type="dxa"/>
          </w:tcPr>
          <w:p w:rsidR="00D849AA" w:rsidRPr="00DE6ACB" w:rsidRDefault="00EE6D95">
            <w:pPr>
              <w:pStyle w:val="CellColumn"/>
            </w:pPr>
            <w:r w:rsidRPr="00DE6ACB">
              <w:t>Broj održavanih korisničkih računala</w:t>
            </w:r>
          </w:p>
        </w:tc>
        <w:tc>
          <w:tcPr>
            <w:tcW w:w="1114" w:type="dxa"/>
          </w:tcPr>
          <w:p w:rsidR="00D849AA" w:rsidRPr="00DE6ACB" w:rsidRDefault="00EE6D95">
            <w:pPr>
              <w:rPr>
                <w:rFonts w:ascii="Arial" w:hAnsi="Arial" w:cs="Arial"/>
              </w:rPr>
            </w:pPr>
            <w:r w:rsidRPr="00DE6ACB">
              <w:rPr>
                <w:rFonts w:ascii="Arial" w:hAnsi="Arial" w:cs="Arial"/>
              </w:rPr>
              <w:t>Kom</w:t>
            </w:r>
          </w:p>
        </w:tc>
        <w:tc>
          <w:tcPr>
            <w:tcW w:w="1114" w:type="dxa"/>
          </w:tcPr>
          <w:p w:rsidR="00D849AA" w:rsidRPr="00DE6ACB" w:rsidRDefault="00EE6D95">
            <w:pPr>
              <w:rPr>
                <w:rFonts w:ascii="Arial" w:hAnsi="Arial" w:cs="Arial"/>
              </w:rPr>
            </w:pPr>
            <w:r w:rsidRPr="00DE6ACB">
              <w:rPr>
                <w:rFonts w:ascii="Arial" w:hAnsi="Arial" w:cs="Arial"/>
              </w:rPr>
              <w:t>6000</w:t>
            </w:r>
          </w:p>
        </w:tc>
        <w:tc>
          <w:tcPr>
            <w:tcW w:w="1486" w:type="dxa"/>
          </w:tcPr>
          <w:p w:rsidR="00D849AA" w:rsidRPr="00DE6ACB" w:rsidRDefault="00EE6D95">
            <w:pPr>
              <w:rPr>
                <w:rFonts w:ascii="Arial" w:hAnsi="Arial" w:cs="Arial"/>
              </w:rPr>
            </w:pPr>
            <w:r w:rsidRPr="00DE6ACB">
              <w:rPr>
                <w:rFonts w:ascii="Arial" w:hAnsi="Arial" w:cs="Arial"/>
              </w:rPr>
              <w:t>4600</w:t>
            </w:r>
          </w:p>
        </w:tc>
        <w:tc>
          <w:tcPr>
            <w:tcW w:w="1486" w:type="dxa"/>
          </w:tcPr>
          <w:p w:rsidR="00D849AA" w:rsidRPr="00DE6ACB" w:rsidRDefault="00EE6D95">
            <w:pPr>
              <w:rPr>
                <w:rFonts w:ascii="Arial" w:hAnsi="Arial" w:cs="Arial"/>
              </w:rPr>
            </w:pPr>
            <w:r w:rsidRPr="00DE6ACB">
              <w:rPr>
                <w:rFonts w:ascii="Arial" w:hAnsi="Arial" w:cs="Arial"/>
              </w:rPr>
              <w:t>5000</w:t>
            </w:r>
          </w:p>
        </w:tc>
        <w:tc>
          <w:tcPr>
            <w:tcW w:w="1486" w:type="dxa"/>
          </w:tcPr>
          <w:p w:rsidR="00D849AA" w:rsidRPr="00DE6ACB" w:rsidRDefault="00EE6D95">
            <w:pPr>
              <w:rPr>
                <w:rFonts w:ascii="Arial" w:hAnsi="Arial" w:cs="Arial"/>
              </w:rPr>
            </w:pPr>
            <w:r w:rsidRPr="00DE6ACB">
              <w:rPr>
                <w:rFonts w:ascii="Arial" w:hAnsi="Arial" w:cs="Arial"/>
              </w:rPr>
              <w:t>6000</w:t>
            </w:r>
          </w:p>
        </w:tc>
      </w:tr>
      <w:tr w:rsidR="00D849AA">
        <w:trPr>
          <w:jc w:val="center"/>
        </w:trPr>
        <w:tc>
          <w:tcPr>
            <w:tcW w:w="2229" w:type="dxa"/>
          </w:tcPr>
          <w:p w:rsidR="00D849AA" w:rsidRPr="00DE6ACB" w:rsidRDefault="00EE6D95">
            <w:pPr>
              <w:pStyle w:val="CellColumn"/>
            </w:pPr>
            <w:r w:rsidRPr="00DE6ACB">
              <w:t>Broj održavanih poslužitelja</w:t>
            </w:r>
          </w:p>
        </w:tc>
        <w:tc>
          <w:tcPr>
            <w:tcW w:w="1114" w:type="dxa"/>
          </w:tcPr>
          <w:p w:rsidR="00D849AA" w:rsidRPr="00DE6ACB" w:rsidRDefault="00EE6D95">
            <w:pPr>
              <w:rPr>
                <w:rFonts w:ascii="Arial" w:hAnsi="Arial" w:cs="Arial"/>
              </w:rPr>
            </w:pPr>
            <w:r w:rsidRPr="00DE6ACB">
              <w:rPr>
                <w:rFonts w:ascii="Arial" w:hAnsi="Arial" w:cs="Arial"/>
              </w:rPr>
              <w:t>Kom</w:t>
            </w:r>
          </w:p>
        </w:tc>
        <w:tc>
          <w:tcPr>
            <w:tcW w:w="1114" w:type="dxa"/>
          </w:tcPr>
          <w:p w:rsidR="00D849AA" w:rsidRPr="00DE6ACB" w:rsidRDefault="00EE6D95">
            <w:pPr>
              <w:rPr>
                <w:rFonts w:ascii="Arial" w:hAnsi="Arial" w:cs="Arial"/>
              </w:rPr>
            </w:pPr>
            <w:r w:rsidRPr="00DE6ACB">
              <w:rPr>
                <w:rFonts w:ascii="Arial" w:hAnsi="Arial" w:cs="Arial"/>
              </w:rPr>
              <w:t>70</w:t>
            </w:r>
          </w:p>
        </w:tc>
        <w:tc>
          <w:tcPr>
            <w:tcW w:w="1486" w:type="dxa"/>
          </w:tcPr>
          <w:p w:rsidR="00D849AA" w:rsidRPr="00DE6ACB" w:rsidRDefault="00EE6D95">
            <w:pPr>
              <w:rPr>
                <w:rFonts w:ascii="Arial" w:hAnsi="Arial" w:cs="Arial"/>
              </w:rPr>
            </w:pPr>
            <w:r w:rsidRPr="00DE6ACB">
              <w:rPr>
                <w:rFonts w:ascii="Arial" w:hAnsi="Arial" w:cs="Arial"/>
              </w:rPr>
              <w:t>60</w:t>
            </w:r>
          </w:p>
        </w:tc>
        <w:tc>
          <w:tcPr>
            <w:tcW w:w="1486" w:type="dxa"/>
          </w:tcPr>
          <w:p w:rsidR="00D849AA" w:rsidRPr="00DE6ACB" w:rsidRDefault="00EE6D95">
            <w:pPr>
              <w:rPr>
                <w:rFonts w:ascii="Arial" w:hAnsi="Arial" w:cs="Arial"/>
              </w:rPr>
            </w:pPr>
            <w:r w:rsidRPr="00DE6ACB">
              <w:rPr>
                <w:rFonts w:ascii="Arial" w:hAnsi="Arial" w:cs="Arial"/>
              </w:rPr>
              <w:t>50</w:t>
            </w:r>
          </w:p>
        </w:tc>
        <w:tc>
          <w:tcPr>
            <w:tcW w:w="1486" w:type="dxa"/>
          </w:tcPr>
          <w:p w:rsidR="00D849AA" w:rsidRPr="00DE6ACB" w:rsidRDefault="00EE6D95">
            <w:pPr>
              <w:rPr>
                <w:rFonts w:ascii="Arial" w:hAnsi="Arial" w:cs="Arial"/>
              </w:rPr>
            </w:pPr>
            <w:r w:rsidRPr="00DE6ACB">
              <w:rPr>
                <w:rFonts w:ascii="Arial" w:hAnsi="Arial" w:cs="Arial"/>
              </w:rPr>
              <w:t>60</w:t>
            </w:r>
          </w:p>
        </w:tc>
      </w:tr>
      <w:tr w:rsidR="00D849AA">
        <w:trPr>
          <w:jc w:val="center"/>
        </w:trPr>
        <w:tc>
          <w:tcPr>
            <w:tcW w:w="2229" w:type="dxa"/>
          </w:tcPr>
          <w:p w:rsidR="00D849AA" w:rsidRPr="00DE6ACB" w:rsidRDefault="00EE6D95">
            <w:pPr>
              <w:pStyle w:val="CellColumn"/>
            </w:pPr>
            <w:r w:rsidRPr="00DE6ACB">
              <w:t>Broj zakupljenih vodova podatkovne i govorne mreže</w:t>
            </w:r>
          </w:p>
        </w:tc>
        <w:tc>
          <w:tcPr>
            <w:tcW w:w="1114" w:type="dxa"/>
          </w:tcPr>
          <w:p w:rsidR="00D849AA" w:rsidRPr="00DE6ACB" w:rsidRDefault="00EE6D95">
            <w:pPr>
              <w:rPr>
                <w:rFonts w:ascii="Arial" w:hAnsi="Arial" w:cs="Arial"/>
              </w:rPr>
            </w:pPr>
            <w:r w:rsidRPr="00DE6ACB">
              <w:rPr>
                <w:rFonts w:ascii="Arial" w:hAnsi="Arial" w:cs="Arial"/>
              </w:rPr>
              <w:t>Kom</w:t>
            </w:r>
          </w:p>
        </w:tc>
        <w:tc>
          <w:tcPr>
            <w:tcW w:w="1114" w:type="dxa"/>
          </w:tcPr>
          <w:p w:rsidR="00D849AA" w:rsidRPr="00DE6ACB" w:rsidRDefault="00EE6D95">
            <w:pPr>
              <w:rPr>
                <w:rFonts w:ascii="Arial" w:hAnsi="Arial" w:cs="Arial"/>
              </w:rPr>
            </w:pPr>
            <w:r w:rsidRPr="00DE6ACB">
              <w:rPr>
                <w:rFonts w:ascii="Arial" w:hAnsi="Arial" w:cs="Arial"/>
              </w:rPr>
              <w:t>175</w:t>
            </w:r>
          </w:p>
        </w:tc>
        <w:tc>
          <w:tcPr>
            <w:tcW w:w="1486" w:type="dxa"/>
          </w:tcPr>
          <w:p w:rsidR="00D849AA" w:rsidRPr="00DE6ACB" w:rsidRDefault="00EE6D95">
            <w:pPr>
              <w:rPr>
                <w:rFonts w:ascii="Arial" w:hAnsi="Arial" w:cs="Arial"/>
              </w:rPr>
            </w:pPr>
            <w:r w:rsidRPr="00DE6ACB">
              <w:rPr>
                <w:rFonts w:ascii="Arial" w:hAnsi="Arial" w:cs="Arial"/>
              </w:rPr>
              <w:t>150</w:t>
            </w:r>
          </w:p>
        </w:tc>
        <w:tc>
          <w:tcPr>
            <w:tcW w:w="1486" w:type="dxa"/>
          </w:tcPr>
          <w:p w:rsidR="00D849AA" w:rsidRPr="00DE6ACB" w:rsidRDefault="00EE6D95">
            <w:pPr>
              <w:rPr>
                <w:rFonts w:ascii="Arial" w:hAnsi="Arial" w:cs="Arial"/>
              </w:rPr>
            </w:pPr>
            <w:r w:rsidRPr="00DE6ACB">
              <w:rPr>
                <w:rFonts w:ascii="Arial" w:hAnsi="Arial" w:cs="Arial"/>
              </w:rPr>
              <w:t>120</w:t>
            </w:r>
          </w:p>
        </w:tc>
        <w:tc>
          <w:tcPr>
            <w:tcW w:w="1486" w:type="dxa"/>
          </w:tcPr>
          <w:p w:rsidR="00D849AA" w:rsidRPr="00DE6ACB" w:rsidRDefault="00EE6D95">
            <w:pPr>
              <w:rPr>
                <w:rFonts w:ascii="Arial" w:hAnsi="Arial" w:cs="Arial"/>
              </w:rPr>
            </w:pPr>
            <w:r w:rsidRPr="00DE6ACB">
              <w:rPr>
                <w:rFonts w:ascii="Arial" w:hAnsi="Arial" w:cs="Arial"/>
              </w:rPr>
              <w:t>100</w:t>
            </w:r>
          </w:p>
        </w:tc>
      </w:tr>
    </w:tbl>
    <w:p w:rsidR="00D849AA" w:rsidRDefault="00D849AA">
      <w:pPr>
        <w:jc w:val="left"/>
      </w:pPr>
    </w:p>
    <w:p w:rsidR="00D849AA" w:rsidRDefault="00EE6D95">
      <w:pPr>
        <w:pStyle w:val="Naslov6"/>
      </w:pPr>
      <w:r>
        <w:t>A545059 IZDAVAŠTVO I INFORMIRANJE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DE6ACB" w:rsidRDefault="00EE6D95">
            <w:pPr>
              <w:pStyle w:val="CellHeader"/>
            </w:pPr>
            <w:r w:rsidRPr="00DE6ACB">
              <w:t>Naziv aktivnosti</w:t>
            </w:r>
          </w:p>
        </w:tc>
        <w:tc>
          <w:tcPr>
            <w:tcW w:w="1486" w:type="dxa"/>
            <w:shd w:val="clear" w:color="auto" w:fill="B5C0D8"/>
          </w:tcPr>
          <w:p w:rsidR="00D849AA" w:rsidRPr="00DE6ACB" w:rsidRDefault="00EE6D95">
            <w:pPr>
              <w:pStyle w:val="CellHeader"/>
            </w:pPr>
            <w:r w:rsidRPr="00DE6ACB">
              <w:t>Plan 2013.</w:t>
            </w:r>
          </w:p>
        </w:tc>
        <w:tc>
          <w:tcPr>
            <w:tcW w:w="1486" w:type="dxa"/>
            <w:shd w:val="clear" w:color="auto" w:fill="B5C0D8"/>
          </w:tcPr>
          <w:p w:rsidR="00D849AA" w:rsidRPr="00DE6ACB" w:rsidRDefault="00EE6D95">
            <w:pPr>
              <w:pStyle w:val="CellHeader"/>
            </w:pPr>
            <w:r w:rsidRPr="00DE6ACB">
              <w:t>Plan 2014.</w:t>
            </w:r>
          </w:p>
        </w:tc>
        <w:tc>
          <w:tcPr>
            <w:tcW w:w="1486" w:type="dxa"/>
            <w:shd w:val="clear" w:color="auto" w:fill="B5C0D8"/>
          </w:tcPr>
          <w:p w:rsidR="00D849AA" w:rsidRPr="00DE6ACB" w:rsidRDefault="00EE6D95">
            <w:pPr>
              <w:pStyle w:val="CellHeader"/>
            </w:pPr>
            <w:r w:rsidRPr="00DE6ACB">
              <w:t>Plan 2015.</w:t>
            </w:r>
          </w:p>
        </w:tc>
        <w:tc>
          <w:tcPr>
            <w:tcW w:w="1486" w:type="dxa"/>
            <w:shd w:val="clear" w:color="auto" w:fill="B5C0D8"/>
          </w:tcPr>
          <w:p w:rsidR="00D849AA" w:rsidRPr="00DE6ACB" w:rsidRDefault="00EE6D95">
            <w:pPr>
              <w:pStyle w:val="CellHeader"/>
            </w:pPr>
            <w:r w:rsidRPr="00DE6ACB">
              <w:t>Plan 2016.</w:t>
            </w:r>
          </w:p>
        </w:tc>
        <w:tc>
          <w:tcPr>
            <w:tcW w:w="1486" w:type="dxa"/>
            <w:shd w:val="clear" w:color="auto" w:fill="B5C0D8"/>
          </w:tcPr>
          <w:p w:rsidR="00D849AA" w:rsidRPr="00DE6ACB" w:rsidRDefault="00EE6D95">
            <w:pPr>
              <w:pStyle w:val="CellHeader"/>
            </w:pPr>
            <w:r w:rsidRPr="00DE6ACB">
              <w:t>Indeks 2014/2013</w:t>
            </w:r>
          </w:p>
        </w:tc>
      </w:tr>
      <w:tr w:rsidR="00D849AA">
        <w:trPr>
          <w:jc w:val="center"/>
        </w:trPr>
        <w:tc>
          <w:tcPr>
            <w:tcW w:w="1486" w:type="dxa"/>
          </w:tcPr>
          <w:p w:rsidR="00D849AA" w:rsidRPr="00DE6ACB" w:rsidRDefault="00EE6D95">
            <w:pPr>
              <w:pStyle w:val="CellColumn"/>
            </w:pPr>
            <w:r w:rsidRPr="00DE6ACB">
              <w:t>A545059</w:t>
            </w:r>
          </w:p>
        </w:tc>
        <w:tc>
          <w:tcPr>
            <w:tcW w:w="1486" w:type="dxa"/>
          </w:tcPr>
          <w:p w:rsidR="00D849AA" w:rsidRPr="00DE6ACB" w:rsidRDefault="00EE6D95">
            <w:pPr>
              <w:rPr>
                <w:rFonts w:ascii="Arial" w:hAnsi="Arial" w:cs="Arial"/>
              </w:rPr>
            </w:pPr>
            <w:r w:rsidRPr="00DE6ACB">
              <w:rPr>
                <w:rFonts w:ascii="Arial" w:hAnsi="Arial" w:cs="Arial"/>
              </w:rPr>
              <w:t>6.001.000</w:t>
            </w:r>
          </w:p>
        </w:tc>
        <w:tc>
          <w:tcPr>
            <w:tcW w:w="1486" w:type="dxa"/>
          </w:tcPr>
          <w:p w:rsidR="00D849AA" w:rsidRPr="00DE6ACB" w:rsidRDefault="00EE6D95">
            <w:pPr>
              <w:rPr>
                <w:rFonts w:ascii="Arial" w:hAnsi="Arial" w:cs="Arial"/>
              </w:rPr>
            </w:pPr>
            <w:r w:rsidRPr="00DE6ACB">
              <w:rPr>
                <w:rFonts w:ascii="Arial" w:hAnsi="Arial" w:cs="Arial"/>
              </w:rPr>
              <w:t>6.660.000</w:t>
            </w:r>
          </w:p>
        </w:tc>
        <w:tc>
          <w:tcPr>
            <w:tcW w:w="1486" w:type="dxa"/>
          </w:tcPr>
          <w:p w:rsidR="00D849AA" w:rsidRPr="00DE6ACB" w:rsidRDefault="00EE6D95">
            <w:pPr>
              <w:rPr>
                <w:rFonts w:ascii="Arial" w:hAnsi="Arial" w:cs="Arial"/>
              </w:rPr>
            </w:pPr>
            <w:r w:rsidRPr="00DE6ACB">
              <w:rPr>
                <w:rFonts w:ascii="Arial" w:hAnsi="Arial" w:cs="Arial"/>
              </w:rPr>
              <w:t>7.000.000</w:t>
            </w:r>
          </w:p>
        </w:tc>
        <w:tc>
          <w:tcPr>
            <w:tcW w:w="1486" w:type="dxa"/>
          </w:tcPr>
          <w:p w:rsidR="00D849AA" w:rsidRPr="00DE6ACB" w:rsidRDefault="00EE6D95">
            <w:pPr>
              <w:rPr>
                <w:rFonts w:ascii="Arial" w:hAnsi="Arial" w:cs="Arial"/>
              </w:rPr>
            </w:pPr>
            <w:r w:rsidRPr="00DE6ACB">
              <w:rPr>
                <w:rFonts w:ascii="Arial" w:hAnsi="Arial" w:cs="Arial"/>
              </w:rPr>
              <w:t>7.000.000</w:t>
            </w:r>
          </w:p>
        </w:tc>
        <w:tc>
          <w:tcPr>
            <w:tcW w:w="1486" w:type="dxa"/>
          </w:tcPr>
          <w:p w:rsidR="00D849AA" w:rsidRPr="00DE6ACB" w:rsidRDefault="00EE6D95">
            <w:pPr>
              <w:rPr>
                <w:rFonts w:ascii="Arial" w:hAnsi="Arial" w:cs="Arial"/>
              </w:rPr>
            </w:pPr>
            <w:r w:rsidRPr="00DE6ACB">
              <w:rPr>
                <w:rFonts w:ascii="Arial" w:hAnsi="Arial" w:cs="Arial"/>
              </w:rPr>
              <w:t>111,0</w:t>
            </w:r>
          </w:p>
        </w:tc>
      </w:tr>
    </w:tbl>
    <w:p w:rsidR="00D849AA" w:rsidRDefault="00D849AA">
      <w:pPr>
        <w:jc w:val="left"/>
      </w:pPr>
    </w:p>
    <w:p w:rsidR="00D849AA" w:rsidRDefault="00EE6D95">
      <w:pPr>
        <w:pStyle w:val="Normal6"/>
      </w:pPr>
      <w:r>
        <w:t>Provedba komunikacijske strategije, izdavanje literature i promidžbenih materijala u funkciji je opće potpore Ministarstva obrane i Oružanih snaga Republike Hrvatske. Izdavanje vojnih stručnih publikacija i drugih izdanja Ministarstva obrane, svojevrsni je spoj edukacije, informiranja i promidžbe, koji izradom niza tiskanih i multimedijalnih izdanja osigurava neophodnu potporu provedbi procesa razvoja doktrine, obuke i školovanja Oružanih snaga te omogućava informiranje javnosti i promidžbu njihovih postignuća i mogućnosti. Komunikacijska strategija omogućava pravovremeno, točno, kvalitetno i transparentno informiranje javnosti o aktivnostima, događajima i projektima vezanima uz Ministarstvo obrane i Oružane snage Republike Hrvatske. Cilj aktivnosti je postizanje pozitivnog stava javnosti prema Ministarstvu obrane, koji se provodi informativnim aktivnostima na svim razinama; pravodobnim odgovorima na upite novinara, promidžbom u odabranim prigodama, dostojnim obilježavanjem obljetnica te tiskanjem raznih edukativnih i informativnih izdanja.</w:t>
      </w:r>
    </w:p>
    <w:p w:rsidR="00D849AA" w:rsidRDefault="00EE6D95">
      <w:pPr>
        <w:pStyle w:val="Naslov6"/>
      </w:pPr>
      <w:r>
        <w:t>A545071 SUDSKE PRESUDE I OVRHE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rsidRPr="00DE6ACB">
        <w:trPr>
          <w:jc w:val="center"/>
        </w:trPr>
        <w:tc>
          <w:tcPr>
            <w:tcW w:w="1486" w:type="dxa"/>
            <w:shd w:val="clear" w:color="auto" w:fill="B5C0D8"/>
          </w:tcPr>
          <w:p w:rsidR="00D849AA" w:rsidRPr="00DE6ACB" w:rsidRDefault="00EE6D95">
            <w:pPr>
              <w:pStyle w:val="CellHeader"/>
            </w:pPr>
            <w:r w:rsidRPr="00DE6ACB">
              <w:t>Naziv aktivnosti</w:t>
            </w:r>
          </w:p>
        </w:tc>
        <w:tc>
          <w:tcPr>
            <w:tcW w:w="1486" w:type="dxa"/>
            <w:shd w:val="clear" w:color="auto" w:fill="B5C0D8"/>
          </w:tcPr>
          <w:p w:rsidR="00D849AA" w:rsidRPr="00DE6ACB" w:rsidRDefault="00EE6D95">
            <w:pPr>
              <w:pStyle w:val="CellHeader"/>
            </w:pPr>
            <w:r w:rsidRPr="00DE6ACB">
              <w:t>Plan 2013.</w:t>
            </w:r>
          </w:p>
        </w:tc>
        <w:tc>
          <w:tcPr>
            <w:tcW w:w="1486" w:type="dxa"/>
            <w:shd w:val="clear" w:color="auto" w:fill="B5C0D8"/>
          </w:tcPr>
          <w:p w:rsidR="00D849AA" w:rsidRPr="00DE6ACB" w:rsidRDefault="00EE6D95">
            <w:pPr>
              <w:pStyle w:val="CellHeader"/>
            </w:pPr>
            <w:r w:rsidRPr="00DE6ACB">
              <w:t>Plan 2014.</w:t>
            </w:r>
          </w:p>
        </w:tc>
        <w:tc>
          <w:tcPr>
            <w:tcW w:w="1486" w:type="dxa"/>
            <w:shd w:val="clear" w:color="auto" w:fill="B5C0D8"/>
          </w:tcPr>
          <w:p w:rsidR="00D849AA" w:rsidRPr="00DE6ACB" w:rsidRDefault="00EE6D95">
            <w:pPr>
              <w:pStyle w:val="CellHeader"/>
            </w:pPr>
            <w:r w:rsidRPr="00DE6ACB">
              <w:t>Plan 2015.</w:t>
            </w:r>
          </w:p>
        </w:tc>
        <w:tc>
          <w:tcPr>
            <w:tcW w:w="1486" w:type="dxa"/>
            <w:shd w:val="clear" w:color="auto" w:fill="B5C0D8"/>
          </w:tcPr>
          <w:p w:rsidR="00D849AA" w:rsidRPr="00DE6ACB" w:rsidRDefault="00EE6D95">
            <w:pPr>
              <w:pStyle w:val="CellHeader"/>
            </w:pPr>
            <w:r w:rsidRPr="00DE6ACB">
              <w:t>Plan 2016.</w:t>
            </w:r>
          </w:p>
        </w:tc>
        <w:tc>
          <w:tcPr>
            <w:tcW w:w="1486" w:type="dxa"/>
            <w:shd w:val="clear" w:color="auto" w:fill="B5C0D8"/>
          </w:tcPr>
          <w:p w:rsidR="00D849AA" w:rsidRPr="00DE6ACB" w:rsidRDefault="00EE6D95">
            <w:pPr>
              <w:pStyle w:val="CellHeader"/>
            </w:pPr>
            <w:r w:rsidRPr="00DE6ACB">
              <w:t>Indeks 2014/2013</w:t>
            </w:r>
          </w:p>
        </w:tc>
      </w:tr>
      <w:tr w:rsidR="00D849AA" w:rsidRPr="00DE6ACB">
        <w:trPr>
          <w:jc w:val="center"/>
        </w:trPr>
        <w:tc>
          <w:tcPr>
            <w:tcW w:w="1486" w:type="dxa"/>
          </w:tcPr>
          <w:p w:rsidR="00D849AA" w:rsidRPr="00DE6ACB" w:rsidRDefault="00EE6D95">
            <w:pPr>
              <w:pStyle w:val="CellColumn"/>
            </w:pPr>
            <w:r w:rsidRPr="00DE6ACB">
              <w:t>A545071</w:t>
            </w:r>
          </w:p>
        </w:tc>
        <w:tc>
          <w:tcPr>
            <w:tcW w:w="1486" w:type="dxa"/>
          </w:tcPr>
          <w:p w:rsidR="00D849AA" w:rsidRPr="00DE6ACB" w:rsidRDefault="00EE6D95">
            <w:pPr>
              <w:rPr>
                <w:rFonts w:ascii="Arial" w:hAnsi="Arial" w:cs="Arial"/>
              </w:rPr>
            </w:pPr>
            <w:r w:rsidRPr="00DE6ACB">
              <w:rPr>
                <w:rFonts w:ascii="Arial" w:hAnsi="Arial" w:cs="Arial"/>
              </w:rPr>
              <w:t>00</w:t>
            </w:r>
          </w:p>
        </w:tc>
        <w:tc>
          <w:tcPr>
            <w:tcW w:w="1486" w:type="dxa"/>
          </w:tcPr>
          <w:p w:rsidR="00D849AA" w:rsidRPr="00DE6ACB" w:rsidRDefault="00EE6D95">
            <w:pPr>
              <w:rPr>
                <w:rFonts w:ascii="Arial" w:hAnsi="Arial" w:cs="Arial"/>
              </w:rPr>
            </w:pPr>
            <w:r w:rsidRPr="00DE6ACB">
              <w:rPr>
                <w:rFonts w:ascii="Arial" w:hAnsi="Arial" w:cs="Arial"/>
              </w:rPr>
              <w:t>84.010.300</w:t>
            </w:r>
          </w:p>
        </w:tc>
        <w:tc>
          <w:tcPr>
            <w:tcW w:w="1486" w:type="dxa"/>
          </w:tcPr>
          <w:p w:rsidR="00D849AA" w:rsidRPr="00DE6ACB" w:rsidRDefault="00EE6D95">
            <w:pPr>
              <w:rPr>
                <w:rFonts w:ascii="Arial" w:hAnsi="Arial" w:cs="Arial"/>
              </w:rPr>
            </w:pPr>
            <w:r w:rsidRPr="00DE6ACB">
              <w:rPr>
                <w:rFonts w:ascii="Arial" w:hAnsi="Arial" w:cs="Arial"/>
              </w:rPr>
              <w:t>84.934.000</w:t>
            </w:r>
          </w:p>
        </w:tc>
        <w:tc>
          <w:tcPr>
            <w:tcW w:w="1486" w:type="dxa"/>
          </w:tcPr>
          <w:p w:rsidR="00D849AA" w:rsidRPr="00DE6ACB" w:rsidRDefault="00EE6D95">
            <w:pPr>
              <w:rPr>
                <w:rFonts w:ascii="Arial" w:hAnsi="Arial" w:cs="Arial"/>
              </w:rPr>
            </w:pPr>
            <w:r w:rsidRPr="00DE6ACB">
              <w:rPr>
                <w:rFonts w:ascii="Arial" w:hAnsi="Arial" w:cs="Arial"/>
              </w:rPr>
              <w:t>83.955.000</w:t>
            </w:r>
          </w:p>
        </w:tc>
        <w:tc>
          <w:tcPr>
            <w:tcW w:w="1486" w:type="dxa"/>
          </w:tcPr>
          <w:p w:rsidR="00D849AA" w:rsidRPr="00DE6ACB" w:rsidRDefault="00EE6D95">
            <w:pPr>
              <w:rPr>
                <w:rFonts w:ascii="Arial" w:hAnsi="Arial" w:cs="Arial"/>
              </w:rPr>
            </w:pPr>
            <w:r w:rsidRPr="00DE6ACB">
              <w:rPr>
                <w:rFonts w:ascii="Arial" w:hAnsi="Arial" w:cs="Arial"/>
              </w:rPr>
              <w:t>0,0</w:t>
            </w:r>
          </w:p>
        </w:tc>
      </w:tr>
    </w:tbl>
    <w:p w:rsidR="00D849AA" w:rsidRPr="00DE6ACB" w:rsidRDefault="00D849AA">
      <w:pPr>
        <w:jc w:val="left"/>
        <w:rPr>
          <w:rFonts w:ascii="Arial" w:hAnsi="Arial" w:cs="Arial"/>
        </w:rPr>
      </w:pPr>
    </w:p>
    <w:p w:rsidR="00D849AA" w:rsidRDefault="00EE6D95">
      <w:pPr>
        <w:pStyle w:val="Normal6"/>
      </w:pPr>
      <w:r>
        <w:t>U svrhu zaštite imovine, imovinskih prava i interesa Ministarstva obrane u postupcima u kojima je stranka Ministarstvo obrane pripremaju se očitovanja za Državno odvjetništvo Republike Hrvatske u svezi zastupanja u imovinsko-pravnim sporovima i upravnim postupcima. Kroz rješavanja u upravnim postupcima poučno se djeluje u pravcu izbjegavanja ponavljanja štetnih radnji, odnosno maksimalnog smanjenja posljedica štetnih radnji na obveze Ministarstva obrane prema podnositeljima zahtjeva za naknadama štete s različitih osnova.</w:t>
      </w:r>
    </w:p>
    <w:p w:rsidR="00D849AA" w:rsidRDefault="00EE6D95">
      <w:pPr>
        <w:pStyle w:val="Naslov6"/>
      </w:pPr>
      <w:r>
        <w:lastRenderedPageBreak/>
        <w:t>K545056 MREŽNI RAČUNALNI SUSTAVI</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DE6ACB" w:rsidRDefault="00EE6D95">
            <w:pPr>
              <w:pStyle w:val="CellHeader"/>
            </w:pPr>
            <w:r w:rsidRPr="00DE6ACB">
              <w:t>Naziv aktivnosti</w:t>
            </w:r>
          </w:p>
        </w:tc>
        <w:tc>
          <w:tcPr>
            <w:tcW w:w="1486" w:type="dxa"/>
            <w:shd w:val="clear" w:color="auto" w:fill="B5C0D8"/>
          </w:tcPr>
          <w:p w:rsidR="00D849AA" w:rsidRPr="00DE6ACB" w:rsidRDefault="00EE6D95">
            <w:pPr>
              <w:pStyle w:val="CellHeader"/>
            </w:pPr>
            <w:r w:rsidRPr="00DE6ACB">
              <w:t>Plan 2013.</w:t>
            </w:r>
          </w:p>
        </w:tc>
        <w:tc>
          <w:tcPr>
            <w:tcW w:w="1486" w:type="dxa"/>
            <w:shd w:val="clear" w:color="auto" w:fill="B5C0D8"/>
          </w:tcPr>
          <w:p w:rsidR="00D849AA" w:rsidRPr="00DE6ACB" w:rsidRDefault="00EE6D95">
            <w:pPr>
              <w:pStyle w:val="CellHeader"/>
            </w:pPr>
            <w:r w:rsidRPr="00DE6ACB">
              <w:t>Plan 2014.</w:t>
            </w:r>
          </w:p>
        </w:tc>
        <w:tc>
          <w:tcPr>
            <w:tcW w:w="1486" w:type="dxa"/>
            <w:shd w:val="clear" w:color="auto" w:fill="B5C0D8"/>
          </w:tcPr>
          <w:p w:rsidR="00D849AA" w:rsidRPr="00DE6ACB" w:rsidRDefault="00EE6D95">
            <w:pPr>
              <w:pStyle w:val="CellHeader"/>
            </w:pPr>
            <w:r w:rsidRPr="00DE6ACB">
              <w:t>Plan 2015.</w:t>
            </w:r>
          </w:p>
        </w:tc>
        <w:tc>
          <w:tcPr>
            <w:tcW w:w="1486" w:type="dxa"/>
            <w:shd w:val="clear" w:color="auto" w:fill="B5C0D8"/>
          </w:tcPr>
          <w:p w:rsidR="00D849AA" w:rsidRPr="00DE6ACB" w:rsidRDefault="00EE6D95">
            <w:pPr>
              <w:pStyle w:val="CellHeader"/>
            </w:pPr>
            <w:r w:rsidRPr="00DE6ACB">
              <w:t>Plan 2016.</w:t>
            </w:r>
          </w:p>
        </w:tc>
        <w:tc>
          <w:tcPr>
            <w:tcW w:w="1486" w:type="dxa"/>
            <w:shd w:val="clear" w:color="auto" w:fill="B5C0D8"/>
          </w:tcPr>
          <w:p w:rsidR="00D849AA" w:rsidRPr="00DE6ACB" w:rsidRDefault="00EE6D95">
            <w:pPr>
              <w:pStyle w:val="CellHeader"/>
            </w:pPr>
            <w:r w:rsidRPr="00DE6ACB">
              <w:t>Indeks 2014/2013</w:t>
            </w:r>
          </w:p>
        </w:tc>
      </w:tr>
      <w:tr w:rsidR="00D849AA">
        <w:trPr>
          <w:jc w:val="center"/>
        </w:trPr>
        <w:tc>
          <w:tcPr>
            <w:tcW w:w="1486" w:type="dxa"/>
          </w:tcPr>
          <w:p w:rsidR="00D849AA" w:rsidRPr="00DE6ACB" w:rsidRDefault="00EE6D95">
            <w:pPr>
              <w:pStyle w:val="CellColumn"/>
            </w:pPr>
            <w:r w:rsidRPr="00DE6ACB">
              <w:t>K545056</w:t>
            </w:r>
          </w:p>
        </w:tc>
        <w:tc>
          <w:tcPr>
            <w:tcW w:w="1486" w:type="dxa"/>
          </w:tcPr>
          <w:p w:rsidR="00D849AA" w:rsidRPr="00DE6ACB" w:rsidRDefault="00EE6D95">
            <w:pPr>
              <w:rPr>
                <w:rFonts w:ascii="Arial" w:hAnsi="Arial" w:cs="Arial"/>
              </w:rPr>
            </w:pPr>
            <w:r w:rsidRPr="00DE6ACB">
              <w:rPr>
                <w:rFonts w:ascii="Arial" w:hAnsi="Arial" w:cs="Arial"/>
              </w:rPr>
              <w:t>6.600.000</w:t>
            </w:r>
          </w:p>
        </w:tc>
        <w:tc>
          <w:tcPr>
            <w:tcW w:w="1486" w:type="dxa"/>
          </w:tcPr>
          <w:p w:rsidR="00D849AA" w:rsidRPr="00DE6ACB" w:rsidRDefault="00EE6D95">
            <w:pPr>
              <w:rPr>
                <w:rFonts w:ascii="Arial" w:hAnsi="Arial" w:cs="Arial"/>
              </w:rPr>
            </w:pPr>
            <w:r w:rsidRPr="00DE6ACB">
              <w:rPr>
                <w:rFonts w:ascii="Arial" w:hAnsi="Arial" w:cs="Arial"/>
              </w:rPr>
              <w:t>7.000.000</w:t>
            </w:r>
          </w:p>
        </w:tc>
        <w:tc>
          <w:tcPr>
            <w:tcW w:w="1486" w:type="dxa"/>
          </w:tcPr>
          <w:p w:rsidR="00D849AA" w:rsidRPr="00DE6ACB" w:rsidRDefault="00EE6D95">
            <w:pPr>
              <w:rPr>
                <w:rFonts w:ascii="Arial" w:hAnsi="Arial" w:cs="Arial"/>
              </w:rPr>
            </w:pPr>
            <w:r w:rsidRPr="00DE6ACB">
              <w:rPr>
                <w:rFonts w:ascii="Arial" w:hAnsi="Arial" w:cs="Arial"/>
              </w:rPr>
              <w:t>6.000.000</w:t>
            </w:r>
          </w:p>
        </w:tc>
        <w:tc>
          <w:tcPr>
            <w:tcW w:w="1486" w:type="dxa"/>
          </w:tcPr>
          <w:p w:rsidR="00D849AA" w:rsidRPr="00DE6ACB" w:rsidRDefault="00EE6D95">
            <w:pPr>
              <w:rPr>
                <w:rFonts w:ascii="Arial" w:hAnsi="Arial" w:cs="Arial"/>
              </w:rPr>
            </w:pPr>
            <w:r w:rsidRPr="00DE6ACB">
              <w:rPr>
                <w:rFonts w:ascii="Arial" w:hAnsi="Arial" w:cs="Arial"/>
              </w:rPr>
              <w:t>5.000.000</w:t>
            </w:r>
          </w:p>
        </w:tc>
        <w:tc>
          <w:tcPr>
            <w:tcW w:w="1486" w:type="dxa"/>
          </w:tcPr>
          <w:p w:rsidR="00D849AA" w:rsidRPr="00DE6ACB" w:rsidRDefault="00EE6D95">
            <w:pPr>
              <w:rPr>
                <w:rFonts w:ascii="Arial" w:hAnsi="Arial" w:cs="Arial"/>
              </w:rPr>
            </w:pPr>
            <w:r w:rsidRPr="00DE6ACB">
              <w:rPr>
                <w:rFonts w:ascii="Arial" w:hAnsi="Arial" w:cs="Arial"/>
              </w:rPr>
              <w:t>106,1</w:t>
            </w:r>
          </w:p>
        </w:tc>
      </w:tr>
    </w:tbl>
    <w:p w:rsidR="00D849AA" w:rsidRDefault="00D849AA">
      <w:pPr>
        <w:jc w:val="left"/>
      </w:pPr>
    </w:p>
    <w:p w:rsidR="00D849AA" w:rsidRDefault="00EE6D95">
      <w:pPr>
        <w:pStyle w:val="Normal6"/>
      </w:pPr>
      <w:r>
        <w:t>Projekt osigurava potrebnu infrastrukturu za NNEC (NATO Network Enabled Capability), definira sveukupni pristup kao i specifične radnje koje trebaju poduzimati stvaratelji podataka, korisnici podataka, osobe koje rade na razvoju softverskih aplikacija te oni koji upravljaju podacima i standardizacijom u sklopu NATO-a, a s ciljem potpore mrežno orijentiranim i vođenim operacijama. Projekt će se provoditi kroz pripremne radove za uređenje podatkovnog središta te opremanjem računalnom opremom.</w:t>
      </w:r>
    </w:p>
    <w:p w:rsidR="00DE6ACB" w:rsidRDefault="00DE6ACB" w:rsidP="00DE6ACB">
      <w:pPr>
        <w:jc w:val="left"/>
      </w:pPr>
    </w:p>
    <w:p w:rsidR="00DE6ACB" w:rsidRDefault="00DE6ACB" w:rsidP="00DE6ACB">
      <w:pPr>
        <w:pStyle w:val="Naslov4"/>
      </w:pPr>
      <w:r>
        <w:t>OBRAZLOŽENJE PROGRAMA</w:t>
      </w:r>
    </w:p>
    <w:p w:rsidR="00D849AA" w:rsidRDefault="00EE6D95" w:rsidP="00DE6ACB">
      <w:pPr>
        <w:pStyle w:val="Naslov5"/>
        <w:ind w:left="0" w:firstLine="357"/>
      </w:pPr>
      <w:r>
        <w:t>2507 OBUKA I LOGISTIČKA POTPORA ORUŽANIH SNAGA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DE6ACB" w:rsidRDefault="00D849AA">
            <w:pPr>
              <w:pStyle w:val="CellHeader"/>
            </w:pPr>
          </w:p>
        </w:tc>
        <w:tc>
          <w:tcPr>
            <w:tcW w:w="1486" w:type="dxa"/>
            <w:shd w:val="clear" w:color="auto" w:fill="B5C0D8"/>
          </w:tcPr>
          <w:p w:rsidR="00D849AA" w:rsidRPr="00DE6ACB" w:rsidRDefault="00EE6D95">
            <w:pPr>
              <w:pStyle w:val="CellHeader"/>
            </w:pPr>
            <w:r w:rsidRPr="00DE6ACB">
              <w:t>Plan 2013.</w:t>
            </w:r>
          </w:p>
        </w:tc>
        <w:tc>
          <w:tcPr>
            <w:tcW w:w="1486" w:type="dxa"/>
            <w:shd w:val="clear" w:color="auto" w:fill="B5C0D8"/>
          </w:tcPr>
          <w:p w:rsidR="00D849AA" w:rsidRPr="00DE6ACB" w:rsidRDefault="00EE6D95">
            <w:pPr>
              <w:pStyle w:val="CellHeader"/>
            </w:pPr>
            <w:r w:rsidRPr="00DE6ACB">
              <w:t>Plan 2014.</w:t>
            </w:r>
          </w:p>
        </w:tc>
        <w:tc>
          <w:tcPr>
            <w:tcW w:w="1486" w:type="dxa"/>
            <w:shd w:val="clear" w:color="auto" w:fill="B5C0D8"/>
          </w:tcPr>
          <w:p w:rsidR="00D849AA" w:rsidRPr="00DE6ACB" w:rsidRDefault="00EE6D95">
            <w:pPr>
              <w:pStyle w:val="CellHeader"/>
            </w:pPr>
            <w:r w:rsidRPr="00DE6ACB">
              <w:t>Plan 2015.</w:t>
            </w:r>
          </w:p>
        </w:tc>
        <w:tc>
          <w:tcPr>
            <w:tcW w:w="1486" w:type="dxa"/>
            <w:shd w:val="clear" w:color="auto" w:fill="B5C0D8"/>
          </w:tcPr>
          <w:p w:rsidR="00D849AA" w:rsidRPr="00DE6ACB" w:rsidRDefault="00EE6D95">
            <w:pPr>
              <w:pStyle w:val="CellHeader"/>
            </w:pPr>
            <w:r w:rsidRPr="00DE6ACB">
              <w:t>Plan 2016.</w:t>
            </w:r>
          </w:p>
        </w:tc>
        <w:tc>
          <w:tcPr>
            <w:tcW w:w="1486" w:type="dxa"/>
            <w:shd w:val="clear" w:color="auto" w:fill="B5C0D8"/>
          </w:tcPr>
          <w:p w:rsidR="00D849AA" w:rsidRPr="00DE6ACB" w:rsidRDefault="00EE6D95">
            <w:pPr>
              <w:pStyle w:val="CellHeader"/>
            </w:pPr>
            <w:r w:rsidRPr="00DE6ACB">
              <w:t>Indeks 2014/2013</w:t>
            </w:r>
          </w:p>
        </w:tc>
      </w:tr>
      <w:tr w:rsidR="00D849AA">
        <w:trPr>
          <w:jc w:val="center"/>
        </w:trPr>
        <w:tc>
          <w:tcPr>
            <w:tcW w:w="1486" w:type="dxa"/>
          </w:tcPr>
          <w:p w:rsidR="00D849AA" w:rsidRPr="00DE6ACB" w:rsidRDefault="00EE6D95">
            <w:pPr>
              <w:pStyle w:val="CellColumn"/>
            </w:pPr>
            <w:r w:rsidRPr="00DE6ACB">
              <w:t>2507</w:t>
            </w:r>
          </w:p>
        </w:tc>
        <w:tc>
          <w:tcPr>
            <w:tcW w:w="1486" w:type="dxa"/>
          </w:tcPr>
          <w:p w:rsidR="00D849AA" w:rsidRPr="00DE6ACB" w:rsidRDefault="00EE6D95">
            <w:pPr>
              <w:rPr>
                <w:rFonts w:ascii="Arial" w:hAnsi="Arial" w:cs="Arial"/>
              </w:rPr>
            </w:pPr>
            <w:r w:rsidRPr="00DE6ACB">
              <w:rPr>
                <w:rFonts w:ascii="Arial" w:hAnsi="Arial" w:cs="Arial"/>
              </w:rPr>
              <w:t>338.561.920</w:t>
            </w:r>
          </w:p>
        </w:tc>
        <w:tc>
          <w:tcPr>
            <w:tcW w:w="1486" w:type="dxa"/>
          </w:tcPr>
          <w:p w:rsidR="00D849AA" w:rsidRPr="00DE6ACB" w:rsidRDefault="00EE6D95">
            <w:pPr>
              <w:rPr>
                <w:rFonts w:ascii="Arial" w:hAnsi="Arial" w:cs="Arial"/>
              </w:rPr>
            </w:pPr>
            <w:r w:rsidRPr="00DE6ACB">
              <w:rPr>
                <w:rFonts w:ascii="Arial" w:hAnsi="Arial" w:cs="Arial"/>
              </w:rPr>
              <w:t>287.050.130</w:t>
            </w:r>
          </w:p>
        </w:tc>
        <w:tc>
          <w:tcPr>
            <w:tcW w:w="1486" w:type="dxa"/>
          </w:tcPr>
          <w:p w:rsidR="00D849AA" w:rsidRPr="00DE6ACB" w:rsidRDefault="00EE6D95">
            <w:pPr>
              <w:rPr>
                <w:rFonts w:ascii="Arial" w:hAnsi="Arial" w:cs="Arial"/>
              </w:rPr>
            </w:pPr>
            <w:r w:rsidRPr="00DE6ACB">
              <w:rPr>
                <w:rFonts w:ascii="Arial" w:hAnsi="Arial" w:cs="Arial"/>
              </w:rPr>
              <w:t>285.674.040</w:t>
            </w:r>
          </w:p>
        </w:tc>
        <w:tc>
          <w:tcPr>
            <w:tcW w:w="1486" w:type="dxa"/>
          </w:tcPr>
          <w:p w:rsidR="00D849AA" w:rsidRPr="00DE6ACB" w:rsidRDefault="00EE6D95">
            <w:pPr>
              <w:rPr>
                <w:rFonts w:ascii="Arial" w:hAnsi="Arial" w:cs="Arial"/>
              </w:rPr>
            </w:pPr>
            <w:r w:rsidRPr="00DE6ACB">
              <w:rPr>
                <w:rFonts w:ascii="Arial" w:hAnsi="Arial" w:cs="Arial"/>
              </w:rPr>
              <w:t>290.788.590</w:t>
            </w:r>
          </w:p>
        </w:tc>
        <w:tc>
          <w:tcPr>
            <w:tcW w:w="1486" w:type="dxa"/>
          </w:tcPr>
          <w:p w:rsidR="00D849AA" w:rsidRPr="00DE6ACB" w:rsidRDefault="00EE6D95">
            <w:pPr>
              <w:rPr>
                <w:rFonts w:ascii="Arial" w:hAnsi="Arial" w:cs="Arial"/>
              </w:rPr>
            </w:pPr>
            <w:r w:rsidRPr="00DE6ACB">
              <w:rPr>
                <w:rFonts w:ascii="Arial" w:hAnsi="Arial" w:cs="Arial"/>
              </w:rPr>
              <w:t>84,8</w:t>
            </w:r>
          </w:p>
        </w:tc>
      </w:tr>
    </w:tbl>
    <w:p w:rsidR="00D849AA" w:rsidRDefault="00D849AA">
      <w:pPr>
        <w:jc w:val="left"/>
      </w:pPr>
    </w:p>
    <w:p w:rsidR="00D849AA" w:rsidRDefault="00EE6D95">
      <w:pPr>
        <w:pStyle w:val="Naslov6"/>
      </w:pPr>
      <w:r>
        <w:t>Opis programa</w:t>
      </w:r>
    </w:p>
    <w:p w:rsidR="00D849AA" w:rsidRDefault="00EE6D95">
      <w:pPr>
        <w:pStyle w:val="Normal5"/>
      </w:pPr>
      <w:r>
        <w:t>Provođenjem obuke pripadnika Oružanih snaga postiže se potrebna razina borbene spremnosti te se razvijaju sposobnosti potrebne za obavljanje njihovih misija i zadaća. U Oružanim snagama provodi se obuka djelatnog sastava i dragovoljnih ročnika. Pojedinačnom obukom, obukom postrojbi i združenom obukom osposobljavaju se pojedinci, postrojbe i zapovjedništva za učinkovitu provedbu misija i zadaća. Vojne vježbe su najsloženiji oblik vojne obuke kojim se provjerava i održava spremnost zapovjedništava i postrojbi za provedbu misija i zadaća Oružanih snaga. Logistička potpora osigurat će se optimalnom uporabom raspoloživih materijalnih resursa radi postizanja najpovoljnijih uvjeta za djelovanje Oružanih snaga. Održavanje materijalnih sredstava Oružanih snaga predstavlja skup aktivnosti kojima se ona zadržavaju ili vraćaju u stanje ispravnosti i pouzdanosti radi očuvanja sposobnosti snaga za provedbu zadaća.</w:t>
      </w:r>
    </w:p>
    <w:p w:rsidR="00D849AA" w:rsidRDefault="00EE6D95">
      <w:pPr>
        <w:pStyle w:val="Naslov6"/>
      </w:pPr>
      <w:r>
        <w:t>Zakonske i druge pravne osnove</w:t>
      </w:r>
    </w:p>
    <w:p w:rsidR="00D849AA" w:rsidRDefault="00EE6D95">
      <w:pPr>
        <w:pStyle w:val="Normal5"/>
      </w:pPr>
      <w:r>
        <w:t>Zakon o obrani (NN 73/13), Zakon o službi u OS RH (NN 73/13), Dugoročni plan razvoja OS RH 2006. – 2015. (NN 81/06), Pravilnik o načinu materijalnog zbrinjavanja OS RH (NN 179/04 i 88/08), Pravilnik o dragovoljnom služenju vojnog roka (NN 70/08, 97/09, 135/10, 29/12 i 143/12), Zakon o državnim službenicima (NN 49/12 - pročišćeni tekst, 37/13 i 38/13).</w:t>
      </w:r>
    </w:p>
    <w:p w:rsidR="00D849AA" w:rsidRDefault="00EE6D95">
      <w:pPr>
        <w:pStyle w:val="Naslov6"/>
      </w:pPr>
      <w:r>
        <w:lastRenderedPageBreak/>
        <w:t>Ciljevi provedbe programa u razdoblju 2014.-2016. i pokazatelji uspješnosti kojima će se mjeriti ostvarenje tih ciljeva</w:t>
      </w:r>
    </w:p>
    <w:p w:rsidR="00D849AA" w:rsidRDefault="00EE6D95">
      <w:pPr>
        <w:pStyle w:val="Naslov7"/>
      </w:pPr>
      <w:r>
        <w:t>Cilj 1. Osigurati obučenost, uvježbanost i logističku održivost Oružanih snaga Republike Hrvatske</w:t>
      </w:r>
    </w:p>
    <w:p w:rsidR="00D849AA" w:rsidRDefault="00EE6D95">
      <w:pPr>
        <w:pStyle w:val="Normal6"/>
      </w:pPr>
      <w:r>
        <w:t>Oružane snage moraju biti sposobne odgovoriti na sigurnosne izazove i ugroze te imati sposobnost nadzora teritorija RH, odvraćanja od potencijalne agresije i provođenja borbenih operacija. Oružane snage moraju biti sposobne ostvarivati svoje misije i zadaće, moraju biti kvalitetno obučene i posjedovati ispravnu opremu i naoružanje u skladu s potrebama i mogućnostima. Realizacijom ovog cilja, Oružane snage stječu sposobnost zaštite suvereniteta i teritorijalnog integriteta RH, te obrane RH i saveznika.</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284"/>
        <w:gridCol w:w="1273"/>
        <w:gridCol w:w="1486"/>
        <w:gridCol w:w="1486"/>
        <w:gridCol w:w="1486"/>
      </w:tblGrid>
      <w:tr w:rsidR="00D849AA">
        <w:trPr>
          <w:jc w:val="center"/>
        </w:trPr>
        <w:tc>
          <w:tcPr>
            <w:tcW w:w="2229" w:type="dxa"/>
            <w:shd w:val="clear" w:color="auto" w:fill="B5C0D8"/>
          </w:tcPr>
          <w:p w:rsidR="00D849AA" w:rsidRPr="00DE6ACB" w:rsidRDefault="00EE6D95">
            <w:pPr>
              <w:rPr>
                <w:rFonts w:ascii="Arial" w:hAnsi="Arial" w:cs="Arial"/>
              </w:rPr>
            </w:pPr>
            <w:r w:rsidRPr="00DE6ACB">
              <w:rPr>
                <w:rFonts w:ascii="Arial" w:hAnsi="Arial" w:cs="Arial"/>
              </w:rPr>
              <w:t>Pokazatelj učinka</w:t>
            </w:r>
          </w:p>
        </w:tc>
        <w:tc>
          <w:tcPr>
            <w:tcW w:w="1114" w:type="dxa"/>
            <w:shd w:val="clear" w:color="auto" w:fill="B5C0D8"/>
          </w:tcPr>
          <w:p w:rsidR="00D849AA" w:rsidRPr="00DE6ACB" w:rsidRDefault="00EE6D95">
            <w:pPr>
              <w:pStyle w:val="CellHeader"/>
            </w:pPr>
            <w:r w:rsidRPr="00DE6ACB">
              <w:t>Jedinica</w:t>
            </w:r>
          </w:p>
        </w:tc>
        <w:tc>
          <w:tcPr>
            <w:tcW w:w="1114" w:type="dxa"/>
            <w:shd w:val="clear" w:color="auto" w:fill="B5C0D8"/>
          </w:tcPr>
          <w:p w:rsidR="00D849AA" w:rsidRPr="00DE6ACB" w:rsidRDefault="00EE6D95">
            <w:pPr>
              <w:pStyle w:val="CellHeader"/>
            </w:pPr>
            <w:r w:rsidRPr="00DE6ACB">
              <w:t>Polazna vrijednost</w:t>
            </w:r>
          </w:p>
        </w:tc>
        <w:tc>
          <w:tcPr>
            <w:tcW w:w="1486" w:type="dxa"/>
            <w:shd w:val="clear" w:color="auto" w:fill="B5C0D8"/>
          </w:tcPr>
          <w:p w:rsidR="00D849AA" w:rsidRPr="00DE6ACB" w:rsidRDefault="00EE6D95">
            <w:pPr>
              <w:pStyle w:val="CellHeader"/>
            </w:pPr>
            <w:r w:rsidRPr="00DE6ACB">
              <w:t>Ciljana vrijednost (2014.)</w:t>
            </w:r>
          </w:p>
        </w:tc>
        <w:tc>
          <w:tcPr>
            <w:tcW w:w="1486" w:type="dxa"/>
            <w:shd w:val="clear" w:color="auto" w:fill="B5C0D8"/>
          </w:tcPr>
          <w:p w:rsidR="00D849AA" w:rsidRPr="00DE6ACB" w:rsidRDefault="00EE6D95">
            <w:pPr>
              <w:pStyle w:val="CellHeader"/>
            </w:pPr>
            <w:r w:rsidRPr="00DE6ACB">
              <w:t>Ciljana vrijednost (2015.)</w:t>
            </w:r>
          </w:p>
        </w:tc>
        <w:tc>
          <w:tcPr>
            <w:tcW w:w="1486" w:type="dxa"/>
            <w:shd w:val="clear" w:color="auto" w:fill="B5C0D8"/>
          </w:tcPr>
          <w:p w:rsidR="00D849AA" w:rsidRPr="00DE6ACB" w:rsidRDefault="00EE6D95">
            <w:pPr>
              <w:pStyle w:val="CellHeader"/>
            </w:pPr>
            <w:r w:rsidRPr="00DE6ACB">
              <w:t>Ciljana vrijednost (2016.)</w:t>
            </w:r>
          </w:p>
        </w:tc>
      </w:tr>
      <w:tr w:rsidR="00D849AA">
        <w:trPr>
          <w:jc w:val="center"/>
        </w:trPr>
        <w:tc>
          <w:tcPr>
            <w:tcW w:w="2229" w:type="dxa"/>
          </w:tcPr>
          <w:p w:rsidR="00D849AA" w:rsidRPr="00DE6ACB" w:rsidRDefault="00EE6D95">
            <w:pPr>
              <w:pStyle w:val="CellColumn"/>
            </w:pPr>
            <w:r w:rsidRPr="00DE6ACB">
              <w:t>Postizanje zadovoljavajuće razine borbene spremnosti pojedinca, postrojbi i zapovjedništava</w:t>
            </w:r>
          </w:p>
        </w:tc>
        <w:tc>
          <w:tcPr>
            <w:tcW w:w="1114" w:type="dxa"/>
          </w:tcPr>
          <w:p w:rsidR="00D849AA" w:rsidRPr="00DE6ACB" w:rsidRDefault="00EE6D95">
            <w:pPr>
              <w:rPr>
                <w:rFonts w:ascii="Arial" w:hAnsi="Arial" w:cs="Arial"/>
              </w:rPr>
            </w:pPr>
            <w:r w:rsidRPr="00DE6ACB">
              <w:rPr>
                <w:rFonts w:ascii="Arial" w:hAnsi="Arial" w:cs="Arial"/>
              </w:rPr>
              <w:t>Borbena spremnost prema NATO metodologiji</w:t>
            </w:r>
          </w:p>
        </w:tc>
        <w:tc>
          <w:tcPr>
            <w:tcW w:w="1114" w:type="dxa"/>
          </w:tcPr>
          <w:p w:rsidR="00D849AA" w:rsidRPr="00DE6ACB" w:rsidRDefault="00EE6D95">
            <w:pPr>
              <w:rPr>
                <w:rFonts w:ascii="Arial" w:hAnsi="Arial" w:cs="Arial"/>
              </w:rPr>
            </w:pPr>
            <w:r w:rsidRPr="00DE6ACB">
              <w:rPr>
                <w:rFonts w:ascii="Arial" w:hAnsi="Arial" w:cs="Arial"/>
              </w:rPr>
              <w:t>zadovoljava</w:t>
            </w:r>
          </w:p>
        </w:tc>
        <w:tc>
          <w:tcPr>
            <w:tcW w:w="1486" w:type="dxa"/>
          </w:tcPr>
          <w:p w:rsidR="00D849AA" w:rsidRPr="00DE6ACB" w:rsidRDefault="00EE6D95">
            <w:pPr>
              <w:rPr>
                <w:rFonts w:ascii="Arial" w:hAnsi="Arial" w:cs="Arial"/>
              </w:rPr>
            </w:pPr>
            <w:r w:rsidRPr="00DE6ACB">
              <w:rPr>
                <w:rFonts w:ascii="Arial" w:hAnsi="Arial" w:cs="Arial"/>
              </w:rPr>
              <w:t>zadovoljava</w:t>
            </w:r>
          </w:p>
        </w:tc>
        <w:tc>
          <w:tcPr>
            <w:tcW w:w="1486" w:type="dxa"/>
          </w:tcPr>
          <w:p w:rsidR="00D849AA" w:rsidRPr="00DE6ACB" w:rsidRDefault="00EE6D95">
            <w:pPr>
              <w:rPr>
                <w:rFonts w:ascii="Arial" w:hAnsi="Arial" w:cs="Arial"/>
              </w:rPr>
            </w:pPr>
            <w:r w:rsidRPr="00DE6ACB">
              <w:rPr>
                <w:rFonts w:ascii="Arial" w:hAnsi="Arial" w:cs="Arial"/>
              </w:rPr>
              <w:t>zadovoljava</w:t>
            </w:r>
          </w:p>
        </w:tc>
        <w:tc>
          <w:tcPr>
            <w:tcW w:w="1486" w:type="dxa"/>
          </w:tcPr>
          <w:p w:rsidR="00D849AA" w:rsidRPr="00DE6ACB" w:rsidRDefault="00EE6D95">
            <w:pPr>
              <w:rPr>
                <w:rFonts w:ascii="Arial" w:hAnsi="Arial" w:cs="Arial"/>
              </w:rPr>
            </w:pPr>
            <w:r w:rsidRPr="00DE6ACB">
              <w:rPr>
                <w:rFonts w:ascii="Arial" w:hAnsi="Arial" w:cs="Arial"/>
              </w:rPr>
              <w:t>zadovoljava</w:t>
            </w:r>
          </w:p>
        </w:tc>
      </w:tr>
    </w:tbl>
    <w:p w:rsidR="00D849AA" w:rsidRDefault="00D849AA">
      <w:pPr>
        <w:jc w:val="left"/>
      </w:pPr>
    </w:p>
    <w:p w:rsidR="00D849AA" w:rsidRDefault="00EE6D95">
      <w:pPr>
        <w:pStyle w:val="Naslov5"/>
      </w:pPr>
      <w:r>
        <w:t>Procjena i ishodište potrebnih sredstava za značajnije aktivnosti/projekte</w:t>
      </w:r>
    </w:p>
    <w:p w:rsidR="00D849AA" w:rsidRDefault="00EE6D95">
      <w:pPr>
        <w:pStyle w:val="Naslov6"/>
      </w:pPr>
      <w:r>
        <w:t>A545060 OBUKA I VJEŽBE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DE6ACB" w:rsidRDefault="00EE6D95">
            <w:pPr>
              <w:pStyle w:val="CellHeader"/>
            </w:pPr>
            <w:r w:rsidRPr="00DE6ACB">
              <w:t>Naziv aktivnosti</w:t>
            </w:r>
          </w:p>
        </w:tc>
        <w:tc>
          <w:tcPr>
            <w:tcW w:w="1486" w:type="dxa"/>
            <w:shd w:val="clear" w:color="auto" w:fill="B5C0D8"/>
          </w:tcPr>
          <w:p w:rsidR="00D849AA" w:rsidRPr="00DE6ACB" w:rsidRDefault="00EE6D95">
            <w:pPr>
              <w:pStyle w:val="CellHeader"/>
            </w:pPr>
            <w:r w:rsidRPr="00DE6ACB">
              <w:t>Plan 2013.</w:t>
            </w:r>
          </w:p>
        </w:tc>
        <w:tc>
          <w:tcPr>
            <w:tcW w:w="1486" w:type="dxa"/>
            <w:shd w:val="clear" w:color="auto" w:fill="B5C0D8"/>
          </w:tcPr>
          <w:p w:rsidR="00D849AA" w:rsidRPr="00DE6ACB" w:rsidRDefault="00EE6D95">
            <w:pPr>
              <w:pStyle w:val="CellHeader"/>
            </w:pPr>
            <w:r w:rsidRPr="00DE6ACB">
              <w:t>Plan 2014.</w:t>
            </w:r>
          </w:p>
        </w:tc>
        <w:tc>
          <w:tcPr>
            <w:tcW w:w="1486" w:type="dxa"/>
            <w:shd w:val="clear" w:color="auto" w:fill="B5C0D8"/>
          </w:tcPr>
          <w:p w:rsidR="00D849AA" w:rsidRPr="00DE6ACB" w:rsidRDefault="00EE6D95">
            <w:pPr>
              <w:pStyle w:val="CellHeader"/>
            </w:pPr>
            <w:r w:rsidRPr="00DE6ACB">
              <w:t>Plan 2015.</w:t>
            </w:r>
          </w:p>
        </w:tc>
        <w:tc>
          <w:tcPr>
            <w:tcW w:w="1486" w:type="dxa"/>
            <w:shd w:val="clear" w:color="auto" w:fill="B5C0D8"/>
          </w:tcPr>
          <w:p w:rsidR="00D849AA" w:rsidRPr="00DE6ACB" w:rsidRDefault="00EE6D95">
            <w:pPr>
              <w:pStyle w:val="CellHeader"/>
            </w:pPr>
            <w:r w:rsidRPr="00DE6ACB">
              <w:t>Plan 2016.</w:t>
            </w:r>
          </w:p>
        </w:tc>
        <w:tc>
          <w:tcPr>
            <w:tcW w:w="1486" w:type="dxa"/>
            <w:shd w:val="clear" w:color="auto" w:fill="B5C0D8"/>
          </w:tcPr>
          <w:p w:rsidR="00D849AA" w:rsidRPr="00DE6ACB" w:rsidRDefault="00EE6D95">
            <w:pPr>
              <w:pStyle w:val="CellHeader"/>
            </w:pPr>
            <w:r w:rsidRPr="00DE6ACB">
              <w:t>Indeks 2014/2013</w:t>
            </w:r>
          </w:p>
        </w:tc>
      </w:tr>
      <w:tr w:rsidR="00D849AA">
        <w:trPr>
          <w:jc w:val="center"/>
        </w:trPr>
        <w:tc>
          <w:tcPr>
            <w:tcW w:w="1486" w:type="dxa"/>
          </w:tcPr>
          <w:p w:rsidR="00D849AA" w:rsidRPr="00DE6ACB" w:rsidRDefault="00EE6D95">
            <w:pPr>
              <w:pStyle w:val="CellColumn"/>
            </w:pPr>
            <w:r w:rsidRPr="00DE6ACB">
              <w:t>A545060</w:t>
            </w:r>
          </w:p>
        </w:tc>
        <w:tc>
          <w:tcPr>
            <w:tcW w:w="1486" w:type="dxa"/>
          </w:tcPr>
          <w:p w:rsidR="00D849AA" w:rsidRPr="00DE6ACB" w:rsidRDefault="00EE6D95">
            <w:pPr>
              <w:rPr>
                <w:rFonts w:ascii="Arial" w:hAnsi="Arial" w:cs="Arial"/>
              </w:rPr>
            </w:pPr>
            <w:r w:rsidRPr="00DE6ACB">
              <w:rPr>
                <w:rFonts w:ascii="Arial" w:hAnsi="Arial" w:cs="Arial"/>
              </w:rPr>
              <w:t>77.232.750</w:t>
            </w:r>
          </w:p>
        </w:tc>
        <w:tc>
          <w:tcPr>
            <w:tcW w:w="1486" w:type="dxa"/>
          </w:tcPr>
          <w:p w:rsidR="00D849AA" w:rsidRPr="00DE6ACB" w:rsidRDefault="00EE6D95">
            <w:pPr>
              <w:rPr>
                <w:rFonts w:ascii="Arial" w:hAnsi="Arial" w:cs="Arial"/>
              </w:rPr>
            </w:pPr>
            <w:r w:rsidRPr="00DE6ACB">
              <w:rPr>
                <w:rFonts w:ascii="Arial" w:hAnsi="Arial" w:cs="Arial"/>
              </w:rPr>
              <w:t>63.420.000</w:t>
            </w:r>
          </w:p>
        </w:tc>
        <w:tc>
          <w:tcPr>
            <w:tcW w:w="1486" w:type="dxa"/>
          </w:tcPr>
          <w:p w:rsidR="00D849AA" w:rsidRPr="00DE6ACB" w:rsidRDefault="00EE6D95">
            <w:pPr>
              <w:rPr>
                <w:rFonts w:ascii="Arial" w:hAnsi="Arial" w:cs="Arial"/>
              </w:rPr>
            </w:pPr>
            <w:r w:rsidRPr="00DE6ACB">
              <w:rPr>
                <w:rFonts w:ascii="Arial" w:hAnsi="Arial" w:cs="Arial"/>
              </w:rPr>
              <w:t>66.986.000</w:t>
            </w:r>
          </w:p>
        </w:tc>
        <w:tc>
          <w:tcPr>
            <w:tcW w:w="1486" w:type="dxa"/>
          </w:tcPr>
          <w:p w:rsidR="00D849AA" w:rsidRPr="00DE6ACB" w:rsidRDefault="00EE6D95">
            <w:pPr>
              <w:rPr>
                <w:rFonts w:ascii="Arial" w:hAnsi="Arial" w:cs="Arial"/>
              </w:rPr>
            </w:pPr>
            <w:r w:rsidRPr="00DE6ACB">
              <w:rPr>
                <w:rFonts w:ascii="Arial" w:hAnsi="Arial" w:cs="Arial"/>
              </w:rPr>
              <w:t>67.486.000</w:t>
            </w:r>
          </w:p>
        </w:tc>
        <w:tc>
          <w:tcPr>
            <w:tcW w:w="1486" w:type="dxa"/>
          </w:tcPr>
          <w:p w:rsidR="00D849AA" w:rsidRPr="00DE6ACB" w:rsidRDefault="00EE6D95">
            <w:pPr>
              <w:rPr>
                <w:rFonts w:ascii="Arial" w:hAnsi="Arial" w:cs="Arial"/>
              </w:rPr>
            </w:pPr>
            <w:r w:rsidRPr="00DE6ACB">
              <w:rPr>
                <w:rFonts w:ascii="Arial" w:hAnsi="Arial" w:cs="Arial"/>
              </w:rPr>
              <w:t>82,1</w:t>
            </w:r>
          </w:p>
        </w:tc>
      </w:tr>
    </w:tbl>
    <w:p w:rsidR="00D849AA" w:rsidRDefault="00D849AA">
      <w:pPr>
        <w:jc w:val="left"/>
      </w:pPr>
    </w:p>
    <w:p w:rsidR="00D849AA" w:rsidRDefault="00EE6D95">
      <w:pPr>
        <w:pStyle w:val="Normal6"/>
      </w:pPr>
      <w:r>
        <w:t>Obuka djelatnog sastava je najvažnija zadaća Oružanih snaga Republike Hrvatske u miru i provodi se redovito za sve pripadnike Oružanih snaga Republike Hrvatske. Sastoji se od obuke pojedinaca kroz obuku za stjecanje vojno-stručnih specijalnosti u rodovima, službama i strukama i funkcionalnu obuku (osposobljavanje za dužnosti, odnosno razvoj vještina i znanja pojedinaca), zajedničke obuke (obuka postrojbi, stožera i zapovjedništava) i preduputne obuke za međunarodne misije i operacije.</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DE6ACB" w:rsidRDefault="00EE6D95">
            <w:pPr>
              <w:rPr>
                <w:rFonts w:ascii="Arial" w:hAnsi="Arial" w:cs="Arial"/>
              </w:rPr>
            </w:pPr>
            <w:r w:rsidRPr="00DE6ACB">
              <w:rPr>
                <w:rFonts w:ascii="Arial" w:hAnsi="Arial" w:cs="Arial"/>
              </w:rPr>
              <w:t>Pokazatelj rezultata</w:t>
            </w:r>
          </w:p>
        </w:tc>
        <w:tc>
          <w:tcPr>
            <w:tcW w:w="1114" w:type="dxa"/>
            <w:shd w:val="clear" w:color="auto" w:fill="B5C0D8"/>
          </w:tcPr>
          <w:p w:rsidR="00D849AA" w:rsidRPr="00DE6ACB" w:rsidRDefault="00EE6D95">
            <w:pPr>
              <w:pStyle w:val="CellHeader"/>
            </w:pPr>
            <w:r w:rsidRPr="00DE6ACB">
              <w:t>Jedinica</w:t>
            </w:r>
          </w:p>
        </w:tc>
        <w:tc>
          <w:tcPr>
            <w:tcW w:w="1114" w:type="dxa"/>
            <w:shd w:val="clear" w:color="auto" w:fill="B5C0D8"/>
          </w:tcPr>
          <w:p w:rsidR="00D849AA" w:rsidRPr="00DE6ACB" w:rsidRDefault="00EE6D95">
            <w:pPr>
              <w:pStyle w:val="CellHeader"/>
            </w:pPr>
            <w:r w:rsidRPr="00DE6ACB">
              <w:t>Polazna vrijednost</w:t>
            </w:r>
          </w:p>
        </w:tc>
        <w:tc>
          <w:tcPr>
            <w:tcW w:w="1486" w:type="dxa"/>
            <w:shd w:val="clear" w:color="auto" w:fill="B5C0D8"/>
          </w:tcPr>
          <w:p w:rsidR="00D849AA" w:rsidRPr="00DE6ACB" w:rsidRDefault="00EE6D95">
            <w:pPr>
              <w:pStyle w:val="CellHeader"/>
            </w:pPr>
            <w:r w:rsidRPr="00DE6ACB">
              <w:t>Ciljana vrijednost (2014.)</w:t>
            </w:r>
          </w:p>
        </w:tc>
        <w:tc>
          <w:tcPr>
            <w:tcW w:w="1486" w:type="dxa"/>
            <w:shd w:val="clear" w:color="auto" w:fill="B5C0D8"/>
          </w:tcPr>
          <w:p w:rsidR="00D849AA" w:rsidRPr="00DE6ACB" w:rsidRDefault="00EE6D95">
            <w:pPr>
              <w:pStyle w:val="CellHeader"/>
            </w:pPr>
            <w:r w:rsidRPr="00DE6ACB">
              <w:t>Ciljana vrijednost (2015.)</w:t>
            </w:r>
          </w:p>
        </w:tc>
        <w:tc>
          <w:tcPr>
            <w:tcW w:w="1486" w:type="dxa"/>
            <w:shd w:val="clear" w:color="auto" w:fill="B5C0D8"/>
          </w:tcPr>
          <w:p w:rsidR="00D849AA" w:rsidRPr="00DE6ACB" w:rsidRDefault="00EE6D95">
            <w:pPr>
              <w:pStyle w:val="CellHeader"/>
            </w:pPr>
            <w:r w:rsidRPr="00DE6ACB">
              <w:t>Ciljana vrijednost (2016.)</w:t>
            </w:r>
          </w:p>
        </w:tc>
      </w:tr>
      <w:tr w:rsidR="00D849AA">
        <w:trPr>
          <w:jc w:val="center"/>
        </w:trPr>
        <w:tc>
          <w:tcPr>
            <w:tcW w:w="2229" w:type="dxa"/>
          </w:tcPr>
          <w:p w:rsidR="00D849AA" w:rsidRPr="00DE6ACB" w:rsidRDefault="00EE6D95">
            <w:pPr>
              <w:pStyle w:val="CellColumn"/>
            </w:pPr>
            <w:r w:rsidRPr="00DE6ACB">
              <w:t>Broj obučnih aktivnosti</w:t>
            </w:r>
          </w:p>
        </w:tc>
        <w:tc>
          <w:tcPr>
            <w:tcW w:w="1114" w:type="dxa"/>
          </w:tcPr>
          <w:p w:rsidR="00D849AA" w:rsidRPr="00DE6ACB" w:rsidRDefault="00EE6D95">
            <w:pPr>
              <w:rPr>
                <w:rFonts w:ascii="Arial" w:hAnsi="Arial" w:cs="Arial"/>
              </w:rPr>
            </w:pPr>
            <w:r w:rsidRPr="00DE6ACB">
              <w:rPr>
                <w:rFonts w:ascii="Arial" w:hAnsi="Arial" w:cs="Arial"/>
              </w:rPr>
              <w:t>Broj</w:t>
            </w:r>
          </w:p>
        </w:tc>
        <w:tc>
          <w:tcPr>
            <w:tcW w:w="1114" w:type="dxa"/>
          </w:tcPr>
          <w:p w:rsidR="00D849AA" w:rsidRPr="00DE6ACB" w:rsidRDefault="00EE6D95">
            <w:pPr>
              <w:rPr>
                <w:rFonts w:ascii="Arial" w:hAnsi="Arial" w:cs="Arial"/>
              </w:rPr>
            </w:pPr>
            <w:r w:rsidRPr="00DE6ACB">
              <w:rPr>
                <w:rFonts w:ascii="Arial" w:hAnsi="Arial" w:cs="Arial"/>
              </w:rPr>
              <w:t>500</w:t>
            </w:r>
          </w:p>
        </w:tc>
        <w:tc>
          <w:tcPr>
            <w:tcW w:w="1486" w:type="dxa"/>
          </w:tcPr>
          <w:p w:rsidR="00D849AA" w:rsidRPr="00DE6ACB" w:rsidRDefault="00EE6D95">
            <w:pPr>
              <w:rPr>
                <w:rFonts w:ascii="Arial" w:hAnsi="Arial" w:cs="Arial"/>
              </w:rPr>
            </w:pPr>
            <w:r w:rsidRPr="00DE6ACB">
              <w:rPr>
                <w:rFonts w:ascii="Arial" w:hAnsi="Arial" w:cs="Arial"/>
              </w:rPr>
              <w:t>500</w:t>
            </w:r>
          </w:p>
        </w:tc>
        <w:tc>
          <w:tcPr>
            <w:tcW w:w="1486" w:type="dxa"/>
          </w:tcPr>
          <w:p w:rsidR="00D849AA" w:rsidRPr="00DE6ACB" w:rsidRDefault="00EE6D95">
            <w:pPr>
              <w:rPr>
                <w:rFonts w:ascii="Arial" w:hAnsi="Arial" w:cs="Arial"/>
              </w:rPr>
            </w:pPr>
            <w:r w:rsidRPr="00DE6ACB">
              <w:rPr>
                <w:rFonts w:ascii="Arial" w:hAnsi="Arial" w:cs="Arial"/>
              </w:rPr>
              <w:t>500</w:t>
            </w:r>
          </w:p>
        </w:tc>
        <w:tc>
          <w:tcPr>
            <w:tcW w:w="1486" w:type="dxa"/>
          </w:tcPr>
          <w:p w:rsidR="00D849AA" w:rsidRPr="00DE6ACB" w:rsidRDefault="00EE6D95">
            <w:pPr>
              <w:rPr>
                <w:rFonts w:ascii="Arial" w:hAnsi="Arial" w:cs="Arial"/>
              </w:rPr>
            </w:pPr>
            <w:r w:rsidRPr="00DE6ACB">
              <w:rPr>
                <w:rFonts w:ascii="Arial" w:hAnsi="Arial" w:cs="Arial"/>
              </w:rPr>
              <w:t>500</w:t>
            </w:r>
          </w:p>
        </w:tc>
      </w:tr>
      <w:tr w:rsidR="00D849AA">
        <w:trPr>
          <w:jc w:val="center"/>
        </w:trPr>
        <w:tc>
          <w:tcPr>
            <w:tcW w:w="2229" w:type="dxa"/>
          </w:tcPr>
          <w:p w:rsidR="00D849AA" w:rsidRPr="00DE6ACB" w:rsidRDefault="00EE6D95">
            <w:pPr>
              <w:pStyle w:val="CellColumn"/>
            </w:pPr>
            <w:r w:rsidRPr="00DE6ACB">
              <w:t>Broj izvršenih vježbi</w:t>
            </w:r>
          </w:p>
        </w:tc>
        <w:tc>
          <w:tcPr>
            <w:tcW w:w="1114" w:type="dxa"/>
          </w:tcPr>
          <w:p w:rsidR="00D849AA" w:rsidRPr="00DE6ACB" w:rsidRDefault="00EE6D95">
            <w:pPr>
              <w:rPr>
                <w:rFonts w:ascii="Arial" w:hAnsi="Arial" w:cs="Arial"/>
              </w:rPr>
            </w:pPr>
            <w:r w:rsidRPr="00DE6ACB">
              <w:rPr>
                <w:rFonts w:ascii="Arial" w:hAnsi="Arial" w:cs="Arial"/>
              </w:rPr>
              <w:t>Broj</w:t>
            </w:r>
          </w:p>
        </w:tc>
        <w:tc>
          <w:tcPr>
            <w:tcW w:w="1114" w:type="dxa"/>
          </w:tcPr>
          <w:p w:rsidR="00D849AA" w:rsidRPr="00DE6ACB" w:rsidRDefault="00EE6D95">
            <w:pPr>
              <w:rPr>
                <w:rFonts w:ascii="Arial" w:hAnsi="Arial" w:cs="Arial"/>
              </w:rPr>
            </w:pPr>
            <w:r w:rsidRPr="00DE6ACB">
              <w:rPr>
                <w:rFonts w:ascii="Arial" w:hAnsi="Arial" w:cs="Arial"/>
              </w:rPr>
              <w:t>31</w:t>
            </w:r>
          </w:p>
        </w:tc>
        <w:tc>
          <w:tcPr>
            <w:tcW w:w="1486" w:type="dxa"/>
          </w:tcPr>
          <w:p w:rsidR="00D849AA" w:rsidRPr="00DE6ACB" w:rsidRDefault="00EE6D95">
            <w:pPr>
              <w:rPr>
                <w:rFonts w:ascii="Arial" w:hAnsi="Arial" w:cs="Arial"/>
              </w:rPr>
            </w:pPr>
            <w:r w:rsidRPr="00DE6ACB">
              <w:rPr>
                <w:rFonts w:ascii="Arial" w:hAnsi="Arial" w:cs="Arial"/>
              </w:rPr>
              <w:t>40</w:t>
            </w:r>
          </w:p>
        </w:tc>
        <w:tc>
          <w:tcPr>
            <w:tcW w:w="1486" w:type="dxa"/>
          </w:tcPr>
          <w:p w:rsidR="00D849AA" w:rsidRPr="00DE6ACB" w:rsidRDefault="00EE6D95">
            <w:pPr>
              <w:rPr>
                <w:rFonts w:ascii="Arial" w:hAnsi="Arial" w:cs="Arial"/>
              </w:rPr>
            </w:pPr>
            <w:r w:rsidRPr="00DE6ACB">
              <w:rPr>
                <w:rFonts w:ascii="Arial" w:hAnsi="Arial" w:cs="Arial"/>
              </w:rPr>
              <w:t>35</w:t>
            </w:r>
          </w:p>
        </w:tc>
        <w:tc>
          <w:tcPr>
            <w:tcW w:w="1486" w:type="dxa"/>
          </w:tcPr>
          <w:p w:rsidR="00D849AA" w:rsidRPr="00DE6ACB" w:rsidRDefault="00EE6D95">
            <w:pPr>
              <w:rPr>
                <w:rFonts w:ascii="Arial" w:hAnsi="Arial" w:cs="Arial"/>
              </w:rPr>
            </w:pPr>
            <w:r w:rsidRPr="00DE6ACB">
              <w:rPr>
                <w:rFonts w:ascii="Arial" w:hAnsi="Arial" w:cs="Arial"/>
              </w:rPr>
              <w:t>35</w:t>
            </w:r>
          </w:p>
        </w:tc>
      </w:tr>
      <w:tr w:rsidR="00D849AA">
        <w:trPr>
          <w:jc w:val="center"/>
        </w:trPr>
        <w:tc>
          <w:tcPr>
            <w:tcW w:w="2229" w:type="dxa"/>
          </w:tcPr>
          <w:p w:rsidR="00D849AA" w:rsidRPr="00DE6ACB" w:rsidRDefault="00EE6D95">
            <w:pPr>
              <w:pStyle w:val="CellColumn"/>
            </w:pPr>
            <w:r w:rsidRPr="00DE6ACB">
              <w:t>Broj obučenih ročnika</w:t>
            </w:r>
          </w:p>
        </w:tc>
        <w:tc>
          <w:tcPr>
            <w:tcW w:w="1114" w:type="dxa"/>
          </w:tcPr>
          <w:p w:rsidR="00D849AA" w:rsidRPr="00DE6ACB" w:rsidRDefault="00EE6D95">
            <w:pPr>
              <w:rPr>
                <w:rFonts w:ascii="Arial" w:hAnsi="Arial" w:cs="Arial"/>
              </w:rPr>
            </w:pPr>
            <w:r w:rsidRPr="00DE6ACB">
              <w:rPr>
                <w:rFonts w:ascii="Arial" w:hAnsi="Arial" w:cs="Arial"/>
              </w:rPr>
              <w:t>Broj</w:t>
            </w:r>
          </w:p>
        </w:tc>
        <w:tc>
          <w:tcPr>
            <w:tcW w:w="1114" w:type="dxa"/>
          </w:tcPr>
          <w:p w:rsidR="00D849AA" w:rsidRPr="00DE6ACB" w:rsidRDefault="00EE6D95">
            <w:pPr>
              <w:rPr>
                <w:rFonts w:ascii="Arial" w:hAnsi="Arial" w:cs="Arial"/>
              </w:rPr>
            </w:pPr>
            <w:r w:rsidRPr="00DE6ACB">
              <w:rPr>
                <w:rFonts w:ascii="Arial" w:hAnsi="Arial" w:cs="Arial"/>
              </w:rPr>
              <w:t>700</w:t>
            </w:r>
          </w:p>
        </w:tc>
        <w:tc>
          <w:tcPr>
            <w:tcW w:w="1486" w:type="dxa"/>
          </w:tcPr>
          <w:p w:rsidR="00D849AA" w:rsidRPr="00DE6ACB" w:rsidRDefault="00EE6D95">
            <w:pPr>
              <w:rPr>
                <w:rFonts w:ascii="Arial" w:hAnsi="Arial" w:cs="Arial"/>
              </w:rPr>
            </w:pPr>
            <w:r w:rsidRPr="00DE6ACB">
              <w:rPr>
                <w:rFonts w:ascii="Arial" w:hAnsi="Arial" w:cs="Arial"/>
              </w:rPr>
              <w:t>800</w:t>
            </w:r>
          </w:p>
        </w:tc>
        <w:tc>
          <w:tcPr>
            <w:tcW w:w="1486" w:type="dxa"/>
          </w:tcPr>
          <w:p w:rsidR="00D849AA" w:rsidRPr="00DE6ACB" w:rsidRDefault="00EE6D95">
            <w:pPr>
              <w:rPr>
                <w:rFonts w:ascii="Arial" w:hAnsi="Arial" w:cs="Arial"/>
              </w:rPr>
            </w:pPr>
            <w:r w:rsidRPr="00DE6ACB">
              <w:rPr>
                <w:rFonts w:ascii="Arial" w:hAnsi="Arial" w:cs="Arial"/>
              </w:rPr>
              <w:t>800</w:t>
            </w:r>
          </w:p>
        </w:tc>
        <w:tc>
          <w:tcPr>
            <w:tcW w:w="1486" w:type="dxa"/>
          </w:tcPr>
          <w:p w:rsidR="00D849AA" w:rsidRPr="00DE6ACB" w:rsidRDefault="00EE6D95">
            <w:pPr>
              <w:rPr>
                <w:rFonts w:ascii="Arial" w:hAnsi="Arial" w:cs="Arial"/>
              </w:rPr>
            </w:pPr>
            <w:r w:rsidRPr="00DE6ACB">
              <w:rPr>
                <w:rFonts w:ascii="Arial" w:hAnsi="Arial" w:cs="Arial"/>
              </w:rPr>
              <w:t>800</w:t>
            </w:r>
          </w:p>
        </w:tc>
      </w:tr>
    </w:tbl>
    <w:p w:rsidR="00D849AA" w:rsidRDefault="00EE6D95">
      <w:pPr>
        <w:pStyle w:val="Naslov6"/>
      </w:pPr>
      <w:r>
        <w:lastRenderedPageBreak/>
        <w:t>A545061 ODRŽAVANJE MATERIJALNIH SREDSTAVA I SUSTAVA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DE6ACB" w:rsidRDefault="00EE6D95">
            <w:pPr>
              <w:pStyle w:val="CellHeader"/>
            </w:pPr>
            <w:r w:rsidRPr="00DE6ACB">
              <w:t>Naziv aktivnosti</w:t>
            </w:r>
          </w:p>
        </w:tc>
        <w:tc>
          <w:tcPr>
            <w:tcW w:w="1486" w:type="dxa"/>
            <w:shd w:val="clear" w:color="auto" w:fill="B5C0D8"/>
          </w:tcPr>
          <w:p w:rsidR="00D849AA" w:rsidRPr="00DE6ACB" w:rsidRDefault="00EE6D95">
            <w:pPr>
              <w:pStyle w:val="CellHeader"/>
            </w:pPr>
            <w:r w:rsidRPr="00DE6ACB">
              <w:t>Plan 2013.</w:t>
            </w:r>
          </w:p>
        </w:tc>
        <w:tc>
          <w:tcPr>
            <w:tcW w:w="1486" w:type="dxa"/>
            <w:shd w:val="clear" w:color="auto" w:fill="B5C0D8"/>
          </w:tcPr>
          <w:p w:rsidR="00D849AA" w:rsidRPr="00DE6ACB" w:rsidRDefault="00EE6D95">
            <w:pPr>
              <w:pStyle w:val="CellHeader"/>
            </w:pPr>
            <w:r w:rsidRPr="00DE6ACB">
              <w:t>Plan 2014.</w:t>
            </w:r>
          </w:p>
        </w:tc>
        <w:tc>
          <w:tcPr>
            <w:tcW w:w="1486" w:type="dxa"/>
            <w:shd w:val="clear" w:color="auto" w:fill="B5C0D8"/>
          </w:tcPr>
          <w:p w:rsidR="00D849AA" w:rsidRPr="00DE6ACB" w:rsidRDefault="00EE6D95">
            <w:pPr>
              <w:pStyle w:val="CellHeader"/>
            </w:pPr>
            <w:r w:rsidRPr="00DE6ACB">
              <w:t>Plan 2015.</w:t>
            </w:r>
          </w:p>
        </w:tc>
        <w:tc>
          <w:tcPr>
            <w:tcW w:w="1486" w:type="dxa"/>
            <w:shd w:val="clear" w:color="auto" w:fill="B5C0D8"/>
          </w:tcPr>
          <w:p w:rsidR="00D849AA" w:rsidRPr="00DE6ACB" w:rsidRDefault="00EE6D95">
            <w:pPr>
              <w:pStyle w:val="CellHeader"/>
            </w:pPr>
            <w:r w:rsidRPr="00DE6ACB">
              <w:t>Plan 2016.</w:t>
            </w:r>
          </w:p>
        </w:tc>
        <w:tc>
          <w:tcPr>
            <w:tcW w:w="1486" w:type="dxa"/>
            <w:shd w:val="clear" w:color="auto" w:fill="B5C0D8"/>
          </w:tcPr>
          <w:p w:rsidR="00D849AA" w:rsidRPr="00DE6ACB" w:rsidRDefault="00EE6D95">
            <w:pPr>
              <w:pStyle w:val="CellHeader"/>
            </w:pPr>
            <w:r w:rsidRPr="00DE6ACB">
              <w:t>Indeks 2014/2013</w:t>
            </w:r>
          </w:p>
        </w:tc>
      </w:tr>
      <w:tr w:rsidR="00D849AA">
        <w:trPr>
          <w:jc w:val="center"/>
        </w:trPr>
        <w:tc>
          <w:tcPr>
            <w:tcW w:w="1486" w:type="dxa"/>
          </w:tcPr>
          <w:p w:rsidR="00D849AA" w:rsidRPr="00DE6ACB" w:rsidRDefault="00EE6D95">
            <w:pPr>
              <w:pStyle w:val="CellColumn"/>
            </w:pPr>
            <w:r w:rsidRPr="00DE6ACB">
              <w:t>A545061</w:t>
            </w:r>
          </w:p>
        </w:tc>
        <w:tc>
          <w:tcPr>
            <w:tcW w:w="1486" w:type="dxa"/>
          </w:tcPr>
          <w:p w:rsidR="00D849AA" w:rsidRPr="00DE6ACB" w:rsidRDefault="00EE6D95">
            <w:pPr>
              <w:rPr>
                <w:rFonts w:ascii="Arial" w:hAnsi="Arial" w:cs="Arial"/>
              </w:rPr>
            </w:pPr>
            <w:r w:rsidRPr="00DE6ACB">
              <w:rPr>
                <w:rFonts w:ascii="Arial" w:hAnsi="Arial" w:cs="Arial"/>
              </w:rPr>
              <w:t>222.224.170</w:t>
            </w:r>
          </w:p>
        </w:tc>
        <w:tc>
          <w:tcPr>
            <w:tcW w:w="1486" w:type="dxa"/>
          </w:tcPr>
          <w:p w:rsidR="00D849AA" w:rsidRPr="00DE6ACB" w:rsidRDefault="00EE6D95">
            <w:pPr>
              <w:rPr>
                <w:rFonts w:ascii="Arial" w:hAnsi="Arial" w:cs="Arial"/>
              </w:rPr>
            </w:pPr>
            <w:r w:rsidRPr="00DE6ACB">
              <w:rPr>
                <w:rFonts w:ascii="Arial" w:hAnsi="Arial" w:cs="Arial"/>
              </w:rPr>
              <w:t>191.630.130</w:t>
            </w:r>
          </w:p>
        </w:tc>
        <w:tc>
          <w:tcPr>
            <w:tcW w:w="1486" w:type="dxa"/>
          </w:tcPr>
          <w:p w:rsidR="00D849AA" w:rsidRPr="00DE6ACB" w:rsidRDefault="00EE6D95">
            <w:pPr>
              <w:rPr>
                <w:rFonts w:ascii="Arial" w:hAnsi="Arial" w:cs="Arial"/>
              </w:rPr>
            </w:pPr>
            <w:r w:rsidRPr="00DE6ACB">
              <w:rPr>
                <w:rFonts w:ascii="Arial" w:hAnsi="Arial" w:cs="Arial"/>
              </w:rPr>
              <w:t>186.058.040</w:t>
            </w:r>
          </w:p>
        </w:tc>
        <w:tc>
          <w:tcPr>
            <w:tcW w:w="1486" w:type="dxa"/>
          </w:tcPr>
          <w:p w:rsidR="00D849AA" w:rsidRPr="00DE6ACB" w:rsidRDefault="00EE6D95">
            <w:pPr>
              <w:rPr>
                <w:rFonts w:ascii="Arial" w:hAnsi="Arial" w:cs="Arial"/>
              </w:rPr>
            </w:pPr>
            <w:r w:rsidRPr="00DE6ACB">
              <w:rPr>
                <w:rFonts w:ascii="Arial" w:hAnsi="Arial" w:cs="Arial"/>
              </w:rPr>
              <w:t>189.922.590</w:t>
            </w:r>
          </w:p>
        </w:tc>
        <w:tc>
          <w:tcPr>
            <w:tcW w:w="1486" w:type="dxa"/>
          </w:tcPr>
          <w:p w:rsidR="00D849AA" w:rsidRPr="00DE6ACB" w:rsidRDefault="00EE6D95">
            <w:pPr>
              <w:rPr>
                <w:rFonts w:ascii="Arial" w:hAnsi="Arial" w:cs="Arial"/>
              </w:rPr>
            </w:pPr>
            <w:r w:rsidRPr="00DE6ACB">
              <w:rPr>
                <w:rFonts w:ascii="Arial" w:hAnsi="Arial" w:cs="Arial"/>
              </w:rPr>
              <w:t>86,2</w:t>
            </w:r>
          </w:p>
        </w:tc>
      </w:tr>
    </w:tbl>
    <w:p w:rsidR="00D849AA" w:rsidRDefault="00D849AA">
      <w:pPr>
        <w:jc w:val="left"/>
      </w:pPr>
    </w:p>
    <w:p w:rsidR="00D849AA" w:rsidRDefault="00EE6D95">
      <w:pPr>
        <w:pStyle w:val="Normal6"/>
      </w:pPr>
      <w:r>
        <w:t>Održavanje borbenih materijalno-tehničkih sredstava (MTS) je skup aktivnosti kojima se ona zadržavaju ili vraćaju u stanje ispravnosti i pouzdanosti radi očuvanja sposobnosti snaga za provedbu zadaća. Planskim korištenjem raspoloživih kapaciteta za održavanje u Oružanim snagama te gospodarskih kapaciteta u zemlji, uz primjenu propisanih mjera i postupaka, postiže se i održava ispravnost  sredstava. Uspostavlja se sustav održavanja neborbenih sredstava i sredstava opće namjene te njegova implementacija tako da odabrane strategije održavanja proizvedu učinak koji se može iskazati ukupnom sposobnošću obrane sukladno ciljevima proizašlim iz nacionalne vojne strategije. Osigurava se dovoljno visoki stupanj ispravnosti i pouzdanosti  neborbenih materijalno-tehničkih sredstava i sredstava opće namjene s težištem na održavanju sredstava bitnih za provedbu redovnih zadaća postrojbi. Održavanjem ubojitih sredstava (UbS) osigurava se produljenje vijeka njihove uporabe te se stvaraju uvjeti za primjenu propisanih mjera pirotehničke sigurnosti, zaštite na radu, zaštite od požara i zaštite okoliša pri skladištenju, čuvanju, rukovanju, prevoženju, uporabi i održavanju zaliha.</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DE6ACB" w:rsidRDefault="00EE6D95">
            <w:pPr>
              <w:rPr>
                <w:rFonts w:ascii="Arial" w:hAnsi="Arial" w:cs="Arial"/>
              </w:rPr>
            </w:pPr>
            <w:r w:rsidRPr="00DE6ACB">
              <w:rPr>
                <w:rFonts w:ascii="Arial" w:hAnsi="Arial" w:cs="Arial"/>
              </w:rPr>
              <w:t>Pokazatelj rezultata</w:t>
            </w:r>
          </w:p>
        </w:tc>
        <w:tc>
          <w:tcPr>
            <w:tcW w:w="1114" w:type="dxa"/>
            <w:shd w:val="clear" w:color="auto" w:fill="B5C0D8"/>
          </w:tcPr>
          <w:p w:rsidR="00D849AA" w:rsidRPr="00DE6ACB" w:rsidRDefault="00EE6D95">
            <w:pPr>
              <w:pStyle w:val="CellHeader"/>
            </w:pPr>
            <w:r w:rsidRPr="00DE6ACB">
              <w:t>Jedinica</w:t>
            </w:r>
          </w:p>
        </w:tc>
        <w:tc>
          <w:tcPr>
            <w:tcW w:w="1114" w:type="dxa"/>
            <w:shd w:val="clear" w:color="auto" w:fill="B5C0D8"/>
          </w:tcPr>
          <w:p w:rsidR="00D849AA" w:rsidRPr="00DE6ACB" w:rsidRDefault="00EE6D95">
            <w:pPr>
              <w:pStyle w:val="CellHeader"/>
            </w:pPr>
            <w:r w:rsidRPr="00DE6ACB">
              <w:t>Polazna vrijednost</w:t>
            </w:r>
          </w:p>
        </w:tc>
        <w:tc>
          <w:tcPr>
            <w:tcW w:w="1486" w:type="dxa"/>
            <w:shd w:val="clear" w:color="auto" w:fill="B5C0D8"/>
          </w:tcPr>
          <w:p w:rsidR="00D849AA" w:rsidRPr="00DE6ACB" w:rsidRDefault="00EE6D95">
            <w:pPr>
              <w:pStyle w:val="CellHeader"/>
            </w:pPr>
            <w:r w:rsidRPr="00DE6ACB">
              <w:t>Ciljana vrijednost (2014.)</w:t>
            </w:r>
          </w:p>
        </w:tc>
        <w:tc>
          <w:tcPr>
            <w:tcW w:w="1486" w:type="dxa"/>
            <w:shd w:val="clear" w:color="auto" w:fill="B5C0D8"/>
          </w:tcPr>
          <w:p w:rsidR="00D849AA" w:rsidRPr="00DE6ACB" w:rsidRDefault="00EE6D95">
            <w:pPr>
              <w:pStyle w:val="CellHeader"/>
            </w:pPr>
            <w:r w:rsidRPr="00DE6ACB">
              <w:t>Ciljana vrijednost (2015.)</w:t>
            </w:r>
          </w:p>
        </w:tc>
        <w:tc>
          <w:tcPr>
            <w:tcW w:w="1486" w:type="dxa"/>
            <w:shd w:val="clear" w:color="auto" w:fill="B5C0D8"/>
          </w:tcPr>
          <w:p w:rsidR="00D849AA" w:rsidRPr="00DE6ACB" w:rsidRDefault="00EE6D95">
            <w:pPr>
              <w:pStyle w:val="CellHeader"/>
            </w:pPr>
            <w:r w:rsidRPr="00DE6ACB">
              <w:t>Ciljana vrijednost (2016.)</w:t>
            </w:r>
          </w:p>
        </w:tc>
      </w:tr>
      <w:tr w:rsidR="00D849AA">
        <w:trPr>
          <w:jc w:val="center"/>
        </w:trPr>
        <w:tc>
          <w:tcPr>
            <w:tcW w:w="2229" w:type="dxa"/>
          </w:tcPr>
          <w:p w:rsidR="00D849AA" w:rsidRPr="00DE6ACB" w:rsidRDefault="00EE6D95">
            <w:pPr>
              <w:pStyle w:val="CellColumn"/>
            </w:pPr>
            <w:r w:rsidRPr="00DE6ACB">
              <w:t>Broj održavanih borbenih MTS-a na uporabi (plovila, zrakoplovi, oklopna sredstva, radarski sustavi)</w:t>
            </w:r>
          </w:p>
        </w:tc>
        <w:tc>
          <w:tcPr>
            <w:tcW w:w="1114" w:type="dxa"/>
          </w:tcPr>
          <w:p w:rsidR="00D849AA" w:rsidRPr="00DE6ACB" w:rsidRDefault="00EE6D95">
            <w:pPr>
              <w:rPr>
                <w:rFonts w:ascii="Arial" w:hAnsi="Arial" w:cs="Arial"/>
              </w:rPr>
            </w:pPr>
            <w:r w:rsidRPr="00DE6ACB">
              <w:rPr>
                <w:rFonts w:ascii="Arial" w:hAnsi="Arial" w:cs="Arial"/>
              </w:rPr>
              <w:t>Kom</w:t>
            </w:r>
          </w:p>
        </w:tc>
        <w:tc>
          <w:tcPr>
            <w:tcW w:w="1114" w:type="dxa"/>
          </w:tcPr>
          <w:p w:rsidR="00D849AA" w:rsidRPr="00DE6ACB" w:rsidRDefault="00EE6D95">
            <w:pPr>
              <w:rPr>
                <w:rFonts w:ascii="Arial" w:hAnsi="Arial" w:cs="Arial"/>
              </w:rPr>
            </w:pPr>
            <w:r w:rsidRPr="00DE6ACB">
              <w:rPr>
                <w:rFonts w:ascii="Arial" w:hAnsi="Arial" w:cs="Arial"/>
              </w:rPr>
              <w:t>609</w:t>
            </w:r>
          </w:p>
        </w:tc>
        <w:tc>
          <w:tcPr>
            <w:tcW w:w="1486" w:type="dxa"/>
          </w:tcPr>
          <w:p w:rsidR="00D849AA" w:rsidRPr="00DE6ACB" w:rsidRDefault="00EE6D95">
            <w:pPr>
              <w:rPr>
                <w:rFonts w:ascii="Arial" w:hAnsi="Arial" w:cs="Arial"/>
              </w:rPr>
            </w:pPr>
            <w:r w:rsidRPr="00DE6ACB">
              <w:rPr>
                <w:rFonts w:ascii="Arial" w:hAnsi="Arial" w:cs="Arial"/>
              </w:rPr>
              <w:t>635</w:t>
            </w:r>
          </w:p>
        </w:tc>
        <w:tc>
          <w:tcPr>
            <w:tcW w:w="1486" w:type="dxa"/>
          </w:tcPr>
          <w:p w:rsidR="00D849AA" w:rsidRPr="00DE6ACB" w:rsidRDefault="00EE6D95">
            <w:pPr>
              <w:rPr>
                <w:rFonts w:ascii="Arial" w:hAnsi="Arial" w:cs="Arial"/>
              </w:rPr>
            </w:pPr>
            <w:r w:rsidRPr="00DE6ACB">
              <w:rPr>
                <w:rFonts w:ascii="Arial" w:hAnsi="Arial" w:cs="Arial"/>
              </w:rPr>
              <w:t>720</w:t>
            </w:r>
          </w:p>
        </w:tc>
        <w:tc>
          <w:tcPr>
            <w:tcW w:w="1486" w:type="dxa"/>
          </w:tcPr>
          <w:p w:rsidR="00D849AA" w:rsidRPr="00DE6ACB" w:rsidRDefault="00EE6D95">
            <w:pPr>
              <w:rPr>
                <w:rFonts w:ascii="Arial" w:hAnsi="Arial" w:cs="Arial"/>
              </w:rPr>
            </w:pPr>
            <w:r w:rsidRPr="00DE6ACB">
              <w:rPr>
                <w:rFonts w:ascii="Arial" w:hAnsi="Arial" w:cs="Arial"/>
              </w:rPr>
              <w:t>737</w:t>
            </w:r>
          </w:p>
        </w:tc>
      </w:tr>
      <w:tr w:rsidR="00D849AA">
        <w:trPr>
          <w:jc w:val="center"/>
        </w:trPr>
        <w:tc>
          <w:tcPr>
            <w:tcW w:w="2229" w:type="dxa"/>
          </w:tcPr>
          <w:p w:rsidR="00D849AA" w:rsidRPr="00DE6ACB" w:rsidRDefault="00EE6D95">
            <w:pPr>
              <w:pStyle w:val="CellColumn"/>
            </w:pPr>
            <w:r w:rsidRPr="00DE6ACB">
              <w:t>Broj održavanih neborbenih MTS-a i sustava</w:t>
            </w:r>
          </w:p>
        </w:tc>
        <w:tc>
          <w:tcPr>
            <w:tcW w:w="1114" w:type="dxa"/>
          </w:tcPr>
          <w:p w:rsidR="00D849AA" w:rsidRPr="00DE6ACB" w:rsidRDefault="00EE6D95">
            <w:pPr>
              <w:rPr>
                <w:rFonts w:ascii="Arial" w:hAnsi="Arial" w:cs="Arial"/>
              </w:rPr>
            </w:pPr>
            <w:r w:rsidRPr="00DE6ACB">
              <w:rPr>
                <w:rFonts w:ascii="Arial" w:hAnsi="Arial" w:cs="Arial"/>
              </w:rPr>
              <w:t>Kom</w:t>
            </w:r>
          </w:p>
        </w:tc>
        <w:tc>
          <w:tcPr>
            <w:tcW w:w="1114" w:type="dxa"/>
          </w:tcPr>
          <w:p w:rsidR="00D849AA" w:rsidRPr="00DE6ACB" w:rsidRDefault="00EE6D95">
            <w:pPr>
              <w:rPr>
                <w:rFonts w:ascii="Arial" w:hAnsi="Arial" w:cs="Arial"/>
              </w:rPr>
            </w:pPr>
            <w:r w:rsidRPr="00DE6ACB">
              <w:rPr>
                <w:rFonts w:ascii="Arial" w:hAnsi="Arial" w:cs="Arial"/>
              </w:rPr>
              <w:t>251</w:t>
            </w:r>
          </w:p>
        </w:tc>
        <w:tc>
          <w:tcPr>
            <w:tcW w:w="1486" w:type="dxa"/>
          </w:tcPr>
          <w:p w:rsidR="00D849AA" w:rsidRPr="00DE6ACB" w:rsidRDefault="00EE6D95">
            <w:pPr>
              <w:rPr>
                <w:rFonts w:ascii="Arial" w:hAnsi="Arial" w:cs="Arial"/>
              </w:rPr>
            </w:pPr>
            <w:r w:rsidRPr="00DE6ACB">
              <w:rPr>
                <w:rFonts w:ascii="Arial" w:hAnsi="Arial" w:cs="Arial"/>
              </w:rPr>
              <w:t>322</w:t>
            </w:r>
          </w:p>
        </w:tc>
        <w:tc>
          <w:tcPr>
            <w:tcW w:w="1486" w:type="dxa"/>
          </w:tcPr>
          <w:p w:rsidR="00D849AA" w:rsidRPr="00DE6ACB" w:rsidRDefault="00EE6D95">
            <w:pPr>
              <w:rPr>
                <w:rFonts w:ascii="Arial" w:hAnsi="Arial" w:cs="Arial"/>
              </w:rPr>
            </w:pPr>
            <w:r w:rsidRPr="00DE6ACB">
              <w:rPr>
                <w:rFonts w:ascii="Arial" w:hAnsi="Arial" w:cs="Arial"/>
              </w:rPr>
              <w:t>340</w:t>
            </w:r>
          </w:p>
        </w:tc>
        <w:tc>
          <w:tcPr>
            <w:tcW w:w="1486" w:type="dxa"/>
          </w:tcPr>
          <w:p w:rsidR="00D849AA" w:rsidRPr="00DE6ACB" w:rsidRDefault="00EE6D95">
            <w:pPr>
              <w:rPr>
                <w:rFonts w:ascii="Arial" w:hAnsi="Arial" w:cs="Arial"/>
              </w:rPr>
            </w:pPr>
            <w:r w:rsidRPr="00DE6ACB">
              <w:rPr>
                <w:rFonts w:ascii="Arial" w:hAnsi="Arial" w:cs="Arial"/>
              </w:rPr>
              <w:t>344</w:t>
            </w:r>
          </w:p>
        </w:tc>
      </w:tr>
      <w:tr w:rsidR="00D849AA">
        <w:trPr>
          <w:jc w:val="center"/>
        </w:trPr>
        <w:tc>
          <w:tcPr>
            <w:tcW w:w="2229" w:type="dxa"/>
          </w:tcPr>
          <w:p w:rsidR="00D849AA" w:rsidRPr="00DE6ACB" w:rsidRDefault="00EE6D95">
            <w:pPr>
              <w:pStyle w:val="CellColumn"/>
            </w:pPr>
            <w:r w:rsidRPr="00DE6ACB">
              <w:t>Količina održavanih UbS-a u tonama</w:t>
            </w:r>
          </w:p>
        </w:tc>
        <w:tc>
          <w:tcPr>
            <w:tcW w:w="1114" w:type="dxa"/>
          </w:tcPr>
          <w:p w:rsidR="00D849AA" w:rsidRPr="00DE6ACB" w:rsidRDefault="00EE6D95">
            <w:pPr>
              <w:rPr>
                <w:rFonts w:ascii="Arial" w:hAnsi="Arial" w:cs="Arial"/>
              </w:rPr>
            </w:pPr>
            <w:r w:rsidRPr="00DE6ACB">
              <w:rPr>
                <w:rFonts w:ascii="Arial" w:hAnsi="Arial" w:cs="Arial"/>
              </w:rPr>
              <w:t>t (tona)</w:t>
            </w:r>
          </w:p>
        </w:tc>
        <w:tc>
          <w:tcPr>
            <w:tcW w:w="1114" w:type="dxa"/>
          </w:tcPr>
          <w:p w:rsidR="00D849AA" w:rsidRPr="00DE6ACB" w:rsidRDefault="00EE6D95">
            <w:pPr>
              <w:rPr>
                <w:rFonts w:ascii="Arial" w:hAnsi="Arial" w:cs="Arial"/>
              </w:rPr>
            </w:pPr>
            <w:r w:rsidRPr="00DE6ACB">
              <w:rPr>
                <w:rFonts w:ascii="Arial" w:hAnsi="Arial" w:cs="Arial"/>
              </w:rPr>
              <w:t>14000</w:t>
            </w:r>
          </w:p>
        </w:tc>
        <w:tc>
          <w:tcPr>
            <w:tcW w:w="1486" w:type="dxa"/>
          </w:tcPr>
          <w:p w:rsidR="00D849AA" w:rsidRPr="00DE6ACB" w:rsidRDefault="00EE6D95">
            <w:pPr>
              <w:rPr>
                <w:rFonts w:ascii="Arial" w:hAnsi="Arial" w:cs="Arial"/>
              </w:rPr>
            </w:pPr>
            <w:r w:rsidRPr="00DE6ACB">
              <w:rPr>
                <w:rFonts w:ascii="Arial" w:hAnsi="Arial" w:cs="Arial"/>
              </w:rPr>
              <w:t>12000</w:t>
            </w:r>
          </w:p>
        </w:tc>
        <w:tc>
          <w:tcPr>
            <w:tcW w:w="1486" w:type="dxa"/>
          </w:tcPr>
          <w:p w:rsidR="00D849AA" w:rsidRPr="00DE6ACB" w:rsidRDefault="00EE6D95">
            <w:pPr>
              <w:rPr>
                <w:rFonts w:ascii="Arial" w:hAnsi="Arial" w:cs="Arial"/>
              </w:rPr>
            </w:pPr>
            <w:r w:rsidRPr="00DE6ACB">
              <w:rPr>
                <w:rFonts w:ascii="Arial" w:hAnsi="Arial" w:cs="Arial"/>
              </w:rPr>
              <w:t>10000</w:t>
            </w:r>
          </w:p>
        </w:tc>
        <w:tc>
          <w:tcPr>
            <w:tcW w:w="1486" w:type="dxa"/>
          </w:tcPr>
          <w:p w:rsidR="00D849AA" w:rsidRPr="00DE6ACB" w:rsidRDefault="00EE6D95">
            <w:pPr>
              <w:rPr>
                <w:rFonts w:ascii="Arial" w:hAnsi="Arial" w:cs="Arial"/>
              </w:rPr>
            </w:pPr>
            <w:r w:rsidRPr="00DE6ACB">
              <w:rPr>
                <w:rFonts w:ascii="Arial" w:hAnsi="Arial" w:cs="Arial"/>
              </w:rPr>
              <w:t>8000</w:t>
            </w:r>
          </w:p>
        </w:tc>
      </w:tr>
    </w:tbl>
    <w:p w:rsidR="00D849AA" w:rsidRDefault="00D849AA">
      <w:pPr>
        <w:jc w:val="left"/>
      </w:pPr>
    </w:p>
    <w:p w:rsidR="00D849AA" w:rsidRDefault="00EE6D95">
      <w:pPr>
        <w:pStyle w:val="Naslov6"/>
      </w:pPr>
      <w:r>
        <w:t>A545062 TEMELJNO ODRŽAVANJE OBJEKATA I INFRASTRUKTURE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DE6ACB" w:rsidRDefault="00EE6D95">
            <w:pPr>
              <w:pStyle w:val="CellHeader"/>
            </w:pPr>
            <w:r w:rsidRPr="00DE6ACB">
              <w:t>Naziv aktivnosti</w:t>
            </w:r>
          </w:p>
        </w:tc>
        <w:tc>
          <w:tcPr>
            <w:tcW w:w="1486" w:type="dxa"/>
            <w:shd w:val="clear" w:color="auto" w:fill="B5C0D8"/>
          </w:tcPr>
          <w:p w:rsidR="00D849AA" w:rsidRPr="00DE6ACB" w:rsidRDefault="00EE6D95">
            <w:pPr>
              <w:pStyle w:val="CellHeader"/>
            </w:pPr>
            <w:r w:rsidRPr="00DE6ACB">
              <w:t>Plan 2013.</w:t>
            </w:r>
          </w:p>
        </w:tc>
        <w:tc>
          <w:tcPr>
            <w:tcW w:w="1486" w:type="dxa"/>
            <w:shd w:val="clear" w:color="auto" w:fill="B5C0D8"/>
          </w:tcPr>
          <w:p w:rsidR="00D849AA" w:rsidRPr="00DE6ACB" w:rsidRDefault="00EE6D95">
            <w:pPr>
              <w:pStyle w:val="CellHeader"/>
            </w:pPr>
            <w:r w:rsidRPr="00DE6ACB">
              <w:t>Plan 2014.</w:t>
            </w:r>
          </w:p>
        </w:tc>
        <w:tc>
          <w:tcPr>
            <w:tcW w:w="1486" w:type="dxa"/>
            <w:shd w:val="clear" w:color="auto" w:fill="B5C0D8"/>
          </w:tcPr>
          <w:p w:rsidR="00D849AA" w:rsidRPr="00DE6ACB" w:rsidRDefault="00EE6D95">
            <w:pPr>
              <w:pStyle w:val="CellHeader"/>
            </w:pPr>
            <w:r w:rsidRPr="00DE6ACB">
              <w:t>Plan 2015.</w:t>
            </w:r>
          </w:p>
        </w:tc>
        <w:tc>
          <w:tcPr>
            <w:tcW w:w="1486" w:type="dxa"/>
            <w:shd w:val="clear" w:color="auto" w:fill="B5C0D8"/>
          </w:tcPr>
          <w:p w:rsidR="00D849AA" w:rsidRPr="00DE6ACB" w:rsidRDefault="00EE6D95">
            <w:pPr>
              <w:pStyle w:val="CellHeader"/>
            </w:pPr>
            <w:r w:rsidRPr="00DE6ACB">
              <w:t>Plan 2016.</w:t>
            </w:r>
          </w:p>
        </w:tc>
        <w:tc>
          <w:tcPr>
            <w:tcW w:w="1486" w:type="dxa"/>
            <w:shd w:val="clear" w:color="auto" w:fill="B5C0D8"/>
          </w:tcPr>
          <w:p w:rsidR="00D849AA" w:rsidRPr="00DE6ACB" w:rsidRDefault="00EE6D95">
            <w:pPr>
              <w:pStyle w:val="CellHeader"/>
            </w:pPr>
            <w:r w:rsidRPr="00DE6ACB">
              <w:t>Indeks 2014/2013</w:t>
            </w:r>
          </w:p>
        </w:tc>
      </w:tr>
      <w:tr w:rsidR="00D849AA">
        <w:trPr>
          <w:jc w:val="center"/>
        </w:trPr>
        <w:tc>
          <w:tcPr>
            <w:tcW w:w="1486" w:type="dxa"/>
          </w:tcPr>
          <w:p w:rsidR="00D849AA" w:rsidRPr="00DE6ACB" w:rsidRDefault="00EE6D95">
            <w:pPr>
              <w:pStyle w:val="CellColumn"/>
            </w:pPr>
            <w:r w:rsidRPr="00DE6ACB">
              <w:t>A545062</w:t>
            </w:r>
          </w:p>
        </w:tc>
        <w:tc>
          <w:tcPr>
            <w:tcW w:w="1486" w:type="dxa"/>
          </w:tcPr>
          <w:p w:rsidR="00D849AA" w:rsidRPr="00DE6ACB" w:rsidRDefault="00EE6D95">
            <w:pPr>
              <w:rPr>
                <w:rFonts w:ascii="Arial" w:hAnsi="Arial" w:cs="Arial"/>
              </w:rPr>
            </w:pPr>
            <w:r w:rsidRPr="00DE6ACB">
              <w:rPr>
                <w:rFonts w:ascii="Arial" w:hAnsi="Arial" w:cs="Arial"/>
              </w:rPr>
              <w:t>39.105.000</w:t>
            </w:r>
          </w:p>
        </w:tc>
        <w:tc>
          <w:tcPr>
            <w:tcW w:w="1486" w:type="dxa"/>
          </w:tcPr>
          <w:p w:rsidR="00D849AA" w:rsidRPr="00DE6ACB" w:rsidRDefault="00EE6D95">
            <w:pPr>
              <w:rPr>
                <w:rFonts w:ascii="Arial" w:hAnsi="Arial" w:cs="Arial"/>
              </w:rPr>
            </w:pPr>
            <w:r w:rsidRPr="00DE6ACB">
              <w:rPr>
                <w:rFonts w:ascii="Arial" w:hAnsi="Arial" w:cs="Arial"/>
              </w:rPr>
              <w:t>32.000.000</w:t>
            </w:r>
          </w:p>
        </w:tc>
        <w:tc>
          <w:tcPr>
            <w:tcW w:w="1486" w:type="dxa"/>
          </w:tcPr>
          <w:p w:rsidR="00D849AA" w:rsidRPr="00DE6ACB" w:rsidRDefault="00EE6D95">
            <w:pPr>
              <w:rPr>
                <w:rFonts w:ascii="Arial" w:hAnsi="Arial" w:cs="Arial"/>
              </w:rPr>
            </w:pPr>
            <w:r w:rsidRPr="00DE6ACB">
              <w:rPr>
                <w:rFonts w:ascii="Arial" w:hAnsi="Arial" w:cs="Arial"/>
              </w:rPr>
              <w:t>32.630.000</w:t>
            </w:r>
          </w:p>
        </w:tc>
        <w:tc>
          <w:tcPr>
            <w:tcW w:w="1486" w:type="dxa"/>
          </w:tcPr>
          <w:p w:rsidR="00D849AA" w:rsidRPr="00DE6ACB" w:rsidRDefault="00EE6D95">
            <w:pPr>
              <w:rPr>
                <w:rFonts w:ascii="Arial" w:hAnsi="Arial" w:cs="Arial"/>
              </w:rPr>
            </w:pPr>
            <w:r w:rsidRPr="00DE6ACB">
              <w:rPr>
                <w:rFonts w:ascii="Arial" w:hAnsi="Arial" w:cs="Arial"/>
              </w:rPr>
              <w:t>33.380.000</w:t>
            </w:r>
          </w:p>
        </w:tc>
        <w:tc>
          <w:tcPr>
            <w:tcW w:w="1486" w:type="dxa"/>
          </w:tcPr>
          <w:p w:rsidR="00D849AA" w:rsidRPr="00DE6ACB" w:rsidRDefault="00EE6D95">
            <w:pPr>
              <w:rPr>
                <w:rFonts w:ascii="Arial" w:hAnsi="Arial" w:cs="Arial"/>
              </w:rPr>
            </w:pPr>
            <w:r w:rsidRPr="00DE6ACB">
              <w:rPr>
                <w:rFonts w:ascii="Arial" w:hAnsi="Arial" w:cs="Arial"/>
              </w:rPr>
              <w:t>81,8</w:t>
            </w:r>
          </w:p>
        </w:tc>
      </w:tr>
    </w:tbl>
    <w:p w:rsidR="00D849AA" w:rsidRDefault="00D849AA">
      <w:pPr>
        <w:jc w:val="left"/>
      </w:pPr>
    </w:p>
    <w:p w:rsidR="00D849AA" w:rsidRDefault="00EE6D95">
      <w:pPr>
        <w:pStyle w:val="Normal6"/>
      </w:pPr>
      <w:r>
        <w:t xml:space="preserve">Osiguranjem sustavnog održavanja objekata i infrastrukture tijekom godine, objekti će se dovesti na "nultu" razinu održavanja što podrazumjeva da je građevina dovedena u stanje koje ne traži veće dodatno ulaganje, a služi svojoj svrsi. Dovođenje građevina na "nultu" razinu održavanja podrazumjeva otklanjanje svih nedostataka koji zahtjevaju dodatna </w:t>
      </w:r>
      <w:r>
        <w:lastRenderedPageBreak/>
        <w:t>ulaganja na građevinama izvan redovitog održavanja (zamjena neispravnih ili slomljenih gromobranskih instalacija, zamjena plamenika ili izmjenjivača topline u kotlovima  termoenergetskih postrojenja, zamjena dotrajalog pokrova i sl). Ovime će se osigurati uvjeti za život i rad djelatnika u objektima, kao i sigurnosni uvjeti rada u skladišnim objektima i na postrojenjima i opremi.</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DE6ACB" w:rsidRDefault="00EE6D95">
            <w:pPr>
              <w:rPr>
                <w:rFonts w:ascii="Arial" w:hAnsi="Arial" w:cs="Arial"/>
              </w:rPr>
            </w:pPr>
            <w:r w:rsidRPr="00DE6ACB">
              <w:rPr>
                <w:rFonts w:ascii="Arial" w:hAnsi="Arial" w:cs="Arial"/>
              </w:rPr>
              <w:t>Pokazatelj rezultata</w:t>
            </w:r>
          </w:p>
        </w:tc>
        <w:tc>
          <w:tcPr>
            <w:tcW w:w="1114" w:type="dxa"/>
            <w:shd w:val="clear" w:color="auto" w:fill="B5C0D8"/>
          </w:tcPr>
          <w:p w:rsidR="00D849AA" w:rsidRPr="00DE6ACB" w:rsidRDefault="00EE6D95">
            <w:pPr>
              <w:pStyle w:val="CellHeader"/>
            </w:pPr>
            <w:r w:rsidRPr="00DE6ACB">
              <w:t>Jedinica</w:t>
            </w:r>
          </w:p>
        </w:tc>
        <w:tc>
          <w:tcPr>
            <w:tcW w:w="1114" w:type="dxa"/>
            <w:shd w:val="clear" w:color="auto" w:fill="B5C0D8"/>
          </w:tcPr>
          <w:p w:rsidR="00D849AA" w:rsidRPr="00DE6ACB" w:rsidRDefault="00EE6D95">
            <w:pPr>
              <w:pStyle w:val="CellHeader"/>
            </w:pPr>
            <w:r w:rsidRPr="00DE6ACB">
              <w:t>Polazna vrijednost</w:t>
            </w:r>
          </w:p>
        </w:tc>
        <w:tc>
          <w:tcPr>
            <w:tcW w:w="1486" w:type="dxa"/>
            <w:shd w:val="clear" w:color="auto" w:fill="B5C0D8"/>
          </w:tcPr>
          <w:p w:rsidR="00D849AA" w:rsidRPr="00DE6ACB" w:rsidRDefault="00EE6D95">
            <w:pPr>
              <w:pStyle w:val="CellHeader"/>
            </w:pPr>
            <w:r w:rsidRPr="00DE6ACB">
              <w:t>Ciljana vrijednost (2014.)</w:t>
            </w:r>
          </w:p>
        </w:tc>
        <w:tc>
          <w:tcPr>
            <w:tcW w:w="1486" w:type="dxa"/>
            <w:shd w:val="clear" w:color="auto" w:fill="B5C0D8"/>
          </w:tcPr>
          <w:p w:rsidR="00D849AA" w:rsidRPr="00DE6ACB" w:rsidRDefault="00EE6D95">
            <w:pPr>
              <w:pStyle w:val="CellHeader"/>
            </w:pPr>
            <w:r w:rsidRPr="00DE6ACB">
              <w:t>Ciljana vrijednost (2015.)</w:t>
            </w:r>
          </w:p>
        </w:tc>
        <w:tc>
          <w:tcPr>
            <w:tcW w:w="1486" w:type="dxa"/>
            <w:shd w:val="clear" w:color="auto" w:fill="B5C0D8"/>
          </w:tcPr>
          <w:p w:rsidR="00D849AA" w:rsidRPr="00DE6ACB" w:rsidRDefault="00EE6D95">
            <w:pPr>
              <w:pStyle w:val="CellHeader"/>
            </w:pPr>
            <w:r w:rsidRPr="00DE6ACB">
              <w:t>Ciljana vrijednost (2016.)</w:t>
            </w:r>
          </w:p>
        </w:tc>
      </w:tr>
      <w:tr w:rsidR="00D849AA">
        <w:trPr>
          <w:jc w:val="center"/>
        </w:trPr>
        <w:tc>
          <w:tcPr>
            <w:tcW w:w="2229" w:type="dxa"/>
          </w:tcPr>
          <w:p w:rsidR="00D849AA" w:rsidRPr="00DE6ACB" w:rsidRDefault="00EE6D95">
            <w:pPr>
              <w:pStyle w:val="CellColumn"/>
            </w:pPr>
            <w:r w:rsidRPr="00DE6ACB">
              <w:t>Broj termoenergetskih postrojenja u OS RH</w:t>
            </w:r>
          </w:p>
        </w:tc>
        <w:tc>
          <w:tcPr>
            <w:tcW w:w="1114" w:type="dxa"/>
          </w:tcPr>
          <w:p w:rsidR="00D849AA" w:rsidRPr="00DE6ACB" w:rsidRDefault="00EE6D95">
            <w:pPr>
              <w:rPr>
                <w:rFonts w:ascii="Arial" w:hAnsi="Arial" w:cs="Arial"/>
              </w:rPr>
            </w:pPr>
            <w:r w:rsidRPr="00DE6ACB">
              <w:rPr>
                <w:rFonts w:ascii="Arial" w:hAnsi="Arial" w:cs="Arial"/>
              </w:rPr>
              <w:t>Kom</w:t>
            </w:r>
          </w:p>
        </w:tc>
        <w:tc>
          <w:tcPr>
            <w:tcW w:w="1114" w:type="dxa"/>
          </w:tcPr>
          <w:p w:rsidR="00D849AA" w:rsidRPr="00DE6ACB" w:rsidRDefault="00EE6D95">
            <w:pPr>
              <w:rPr>
                <w:rFonts w:ascii="Arial" w:hAnsi="Arial" w:cs="Arial"/>
              </w:rPr>
            </w:pPr>
            <w:r w:rsidRPr="00DE6ACB">
              <w:rPr>
                <w:rFonts w:ascii="Arial" w:hAnsi="Arial" w:cs="Arial"/>
              </w:rPr>
              <w:t>160</w:t>
            </w:r>
          </w:p>
        </w:tc>
        <w:tc>
          <w:tcPr>
            <w:tcW w:w="1486" w:type="dxa"/>
          </w:tcPr>
          <w:p w:rsidR="00D849AA" w:rsidRPr="00DE6ACB" w:rsidRDefault="00EE6D95">
            <w:pPr>
              <w:rPr>
                <w:rFonts w:ascii="Arial" w:hAnsi="Arial" w:cs="Arial"/>
              </w:rPr>
            </w:pPr>
            <w:r w:rsidRPr="00DE6ACB">
              <w:rPr>
                <w:rFonts w:ascii="Arial" w:hAnsi="Arial" w:cs="Arial"/>
              </w:rPr>
              <w:t>160</w:t>
            </w:r>
          </w:p>
        </w:tc>
        <w:tc>
          <w:tcPr>
            <w:tcW w:w="1486" w:type="dxa"/>
          </w:tcPr>
          <w:p w:rsidR="00D849AA" w:rsidRPr="00DE6ACB" w:rsidRDefault="00EE6D95">
            <w:pPr>
              <w:rPr>
                <w:rFonts w:ascii="Arial" w:hAnsi="Arial" w:cs="Arial"/>
              </w:rPr>
            </w:pPr>
            <w:r w:rsidRPr="00DE6ACB">
              <w:rPr>
                <w:rFonts w:ascii="Arial" w:hAnsi="Arial" w:cs="Arial"/>
              </w:rPr>
              <w:t>160</w:t>
            </w:r>
          </w:p>
        </w:tc>
        <w:tc>
          <w:tcPr>
            <w:tcW w:w="1486" w:type="dxa"/>
          </w:tcPr>
          <w:p w:rsidR="00D849AA" w:rsidRPr="00DE6ACB" w:rsidRDefault="00EE6D95">
            <w:pPr>
              <w:rPr>
                <w:rFonts w:ascii="Arial" w:hAnsi="Arial" w:cs="Arial"/>
              </w:rPr>
            </w:pPr>
            <w:r w:rsidRPr="00DE6ACB">
              <w:rPr>
                <w:rFonts w:ascii="Arial" w:hAnsi="Arial" w:cs="Arial"/>
              </w:rPr>
              <w:t>160</w:t>
            </w:r>
          </w:p>
        </w:tc>
      </w:tr>
      <w:tr w:rsidR="00D849AA">
        <w:trPr>
          <w:jc w:val="center"/>
        </w:trPr>
        <w:tc>
          <w:tcPr>
            <w:tcW w:w="2229" w:type="dxa"/>
          </w:tcPr>
          <w:p w:rsidR="00D849AA" w:rsidRPr="00DE6ACB" w:rsidRDefault="00EE6D95">
            <w:pPr>
              <w:pStyle w:val="CellColumn"/>
            </w:pPr>
            <w:r w:rsidRPr="00DE6ACB">
              <w:t>Broj trafostanica</w:t>
            </w:r>
          </w:p>
        </w:tc>
        <w:tc>
          <w:tcPr>
            <w:tcW w:w="1114" w:type="dxa"/>
          </w:tcPr>
          <w:p w:rsidR="00D849AA" w:rsidRPr="00DE6ACB" w:rsidRDefault="00EE6D95">
            <w:pPr>
              <w:rPr>
                <w:rFonts w:ascii="Arial" w:hAnsi="Arial" w:cs="Arial"/>
              </w:rPr>
            </w:pPr>
            <w:r w:rsidRPr="00DE6ACB">
              <w:rPr>
                <w:rFonts w:ascii="Arial" w:hAnsi="Arial" w:cs="Arial"/>
              </w:rPr>
              <w:t>Kom</w:t>
            </w:r>
          </w:p>
        </w:tc>
        <w:tc>
          <w:tcPr>
            <w:tcW w:w="1114" w:type="dxa"/>
          </w:tcPr>
          <w:p w:rsidR="00D849AA" w:rsidRPr="00DE6ACB" w:rsidRDefault="00EE6D95">
            <w:pPr>
              <w:rPr>
                <w:rFonts w:ascii="Arial" w:hAnsi="Arial" w:cs="Arial"/>
              </w:rPr>
            </w:pPr>
            <w:r w:rsidRPr="00DE6ACB">
              <w:rPr>
                <w:rFonts w:ascii="Arial" w:hAnsi="Arial" w:cs="Arial"/>
              </w:rPr>
              <w:t>137</w:t>
            </w:r>
          </w:p>
        </w:tc>
        <w:tc>
          <w:tcPr>
            <w:tcW w:w="1486" w:type="dxa"/>
          </w:tcPr>
          <w:p w:rsidR="00D849AA" w:rsidRPr="00DE6ACB" w:rsidRDefault="00EE6D95">
            <w:pPr>
              <w:rPr>
                <w:rFonts w:ascii="Arial" w:hAnsi="Arial" w:cs="Arial"/>
              </w:rPr>
            </w:pPr>
            <w:r w:rsidRPr="00DE6ACB">
              <w:rPr>
                <w:rFonts w:ascii="Arial" w:hAnsi="Arial" w:cs="Arial"/>
              </w:rPr>
              <w:t>137</w:t>
            </w:r>
          </w:p>
        </w:tc>
        <w:tc>
          <w:tcPr>
            <w:tcW w:w="1486" w:type="dxa"/>
          </w:tcPr>
          <w:p w:rsidR="00D849AA" w:rsidRPr="00DE6ACB" w:rsidRDefault="00EE6D95">
            <w:pPr>
              <w:rPr>
                <w:rFonts w:ascii="Arial" w:hAnsi="Arial" w:cs="Arial"/>
              </w:rPr>
            </w:pPr>
            <w:r w:rsidRPr="00DE6ACB">
              <w:rPr>
                <w:rFonts w:ascii="Arial" w:hAnsi="Arial" w:cs="Arial"/>
              </w:rPr>
              <w:t>137</w:t>
            </w:r>
          </w:p>
        </w:tc>
        <w:tc>
          <w:tcPr>
            <w:tcW w:w="1486" w:type="dxa"/>
          </w:tcPr>
          <w:p w:rsidR="00D849AA" w:rsidRPr="00DE6ACB" w:rsidRDefault="00EE6D95">
            <w:pPr>
              <w:rPr>
                <w:rFonts w:ascii="Arial" w:hAnsi="Arial" w:cs="Arial"/>
              </w:rPr>
            </w:pPr>
            <w:r w:rsidRPr="00DE6ACB">
              <w:rPr>
                <w:rFonts w:ascii="Arial" w:hAnsi="Arial" w:cs="Arial"/>
              </w:rPr>
              <w:t>137</w:t>
            </w:r>
          </w:p>
        </w:tc>
      </w:tr>
      <w:tr w:rsidR="00D849AA">
        <w:trPr>
          <w:jc w:val="center"/>
        </w:trPr>
        <w:tc>
          <w:tcPr>
            <w:tcW w:w="2229" w:type="dxa"/>
          </w:tcPr>
          <w:p w:rsidR="00D849AA" w:rsidRPr="00DE6ACB" w:rsidRDefault="00EE6D95">
            <w:pPr>
              <w:pStyle w:val="CellColumn"/>
            </w:pPr>
            <w:r w:rsidRPr="00DE6ACB">
              <w:t>Količina zbrinutog otpada</w:t>
            </w:r>
          </w:p>
        </w:tc>
        <w:tc>
          <w:tcPr>
            <w:tcW w:w="1114" w:type="dxa"/>
          </w:tcPr>
          <w:p w:rsidR="00D849AA" w:rsidRPr="00DE6ACB" w:rsidRDefault="00EE6D95">
            <w:pPr>
              <w:rPr>
                <w:rFonts w:ascii="Arial" w:hAnsi="Arial" w:cs="Arial"/>
              </w:rPr>
            </w:pPr>
            <w:r w:rsidRPr="00DE6ACB">
              <w:rPr>
                <w:rFonts w:ascii="Arial" w:hAnsi="Arial" w:cs="Arial"/>
              </w:rPr>
              <w:t>t (tona)</w:t>
            </w:r>
          </w:p>
        </w:tc>
        <w:tc>
          <w:tcPr>
            <w:tcW w:w="1114" w:type="dxa"/>
          </w:tcPr>
          <w:p w:rsidR="00D849AA" w:rsidRPr="00DE6ACB" w:rsidRDefault="00EE6D95">
            <w:pPr>
              <w:rPr>
                <w:rFonts w:ascii="Arial" w:hAnsi="Arial" w:cs="Arial"/>
              </w:rPr>
            </w:pPr>
            <w:r w:rsidRPr="00DE6ACB">
              <w:rPr>
                <w:rFonts w:ascii="Arial" w:hAnsi="Arial" w:cs="Arial"/>
              </w:rPr>
              <w:t>0</w:t>
            </w:r>
          </w:p>
        </w:tc>
        <w:tc>
          <w:tcPr>
            <w:tcW w:w="1486" w:type="dxa"/>
          </w:tcPr>
          <w:p w:rsidR="00D849AA" w:rsidRPr="00DE6ACB" w:rsidRDefault="00EE6D95">
            <w:pPr>
              <w:rPr>
                <w:rFonts w:ascii="Arial" w:hAnsi="Arial" w:cs="Arial"/>
              </w:rPr>
            </w:pPr>
            <w:r w:rsidRPr="00DE6ACB">
              <w:rPr>
                <w:rFonts w:ascii="Arial" w:hAnsi="Arial" w:cs="Arial"/>
              </w:rPr>
              <w:t>90</w:t>
            </w:r>
          </w:p>
        </w:tc>
        <w:tc>
          <w:tcPr>
            <w:tcW w:w="1486" w:type="dxa"/>
          </w:tcPr>
          <w:p w:rsidR="00D849AA" w:rsidRPr="00DE6ACB" w:rsidRDefault="00EE6D95">
            <w:pPr>
              <w:rPr>
                <w:rFonts w:ascii="Arial" w:hAnsi="Arial" w:cs="Arial"/>
              </w:rPr>
            </w:pPr>
            <w:r w:rsidRPr="00DE6ACB">
              <w:rPr>
                <w:rFonts w:ascii="Arial" w:hAnsi="Arial" w:cs="Arial"/>
              </w:rPr>
              <w:t>100</w:t>
            </w:r>
          </w:p>
        </w:tc>
        <w:tc>
          <w:tcPr>
            <w:tcW w:w="1486" w:type="dxa"/>
          </w:tcPr>
          <w:p w:rsidR="00D849AA" w:rsidRPr="00DE6ACB" w:rsidRDefault="00EE6D95">
            <w:pPr>
              <w:rPr>
                <w:rFonts w:ascii="Arial" w:hAnsi="Arial" w:cs="Arial"/>
              </w:rPr>
            </w:pPr>
            <w:r w:rsidRPr="00DE6ACB">
              <w:rPr>
                <w:rFonts w:ascii="Arial" w:hAnsi="Arial" w:cs="Arial"/>
              </w:rPr>
              <w:t>150</w:t>
            </w:r>
          </w:p>
        </w:tc>
      </w:tr>
    </w:tbl>
    <w:p w:rsidR="00D849AA" w:rsidRDefault="00D849AA">
      <w:pPr>
        <w:jc w:val="left"/>
      </w:pPr>
    </w:p>
    <w:p w:rsidR="00DE6ACB" w:rsidRDefault="00DE6ACB" w:rsidP="00DE6ACB">
      <w:pPr>
        <w:jc w:val="left"/>
      </w:pPr>
    </w:p>
    <w:p w:rsidR="00DE6ACB" w:rsidRDefault="00DE6ACB" w:rsidP="00DE6ACB">
      <w:pPr>
        <w:pStyle w:val="Naslov4"/>
      </w:pPr>
      <w:r>
        <w:t>OBRAZLOŽENJE PROGRAMA</w:t>
      </w:r>
    </w:p>
    <w:p w:rsidR="00D849AA" w:rsidRDefault="00EE6D95">
      <w:pPr>
        <w:pStyle w:val="Naslov5"/>
      </w:pPr>
      <w:r>
        <w:t>2508 MEĐUNARODNA SURADNJA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DE6ACB" w:rsidRDefault="00D849AA">
            <w:pPr>
              <w:pStyle w:val="CellHeader"/>
            </w:pPr>
          </w:p>
        </w:tc>
        <w:tc>
          <w:tcPr>
            <w:tcW w:w="1486" w:type="dxa"/>
            <w:shd w:val="clear" w:color="auto" w:fill="B5C0D8"/>
          </w:tcPr>
          <w:p w:rsidR="00D849AA" w:rsidRPr="00DE6ACB" w:rsidRDefault="00EE6D95">
            <w:pPr>
              <w:pStyle w:val="CellHeader"/>
            </w:pPr>
            <w:r w:rsidRPr="00DE6ACB">
              <w:t>Plan 2013.</w:t>
            </w:r>
          </w:p>
        </w:tc>
        <w:tc>
          <w:tcPr>
            <w:tcW w:w="1486" w:type="dxa"/>
            <w:shd w:val="clear" w:color="auto" w:fill="B5C0D8"/>
          </w:tcPr>
          <w:p w:rsidR="00D849AA" w:rsidRPr="00DE6ACB" w:rsidRDefault="00EE6D95">
            <w:pPr>
              <w:pStyle w:val="CellHeader"/>
            </w:pPr>
            <w:r w:rsidRPr="00DE6ACB">
              <w:t>Plan 2014.</w:t>
            </w:r>
          </w:p>
        </w:tc>
        <w:tc>
          <w:tcPr>
            <w:tcW w:w="1486" w:type="dxa"/>
            <w:shd w:val="clear" w:color="auto" w:fill="B5C0D8"/>
          </w:tcPr>
          <w:p w:rsidR="00D849AA" w:rsidRPr="00DE6ACB" w:rsidRDefault="00EE6D95">
            <w:pPr>
              <w:pStyle w:val="CellHeader"/>
            </w:pPr>
            <w:r w:rsidRPr="00DE6ACB">
              <w:t>Plan 2015.</w:t>
            </w:r>
          </w:p>
        </w:tc>
        <w:tc>
          <w:tcPr>
            <w:tcW w:w="1486" w:type="dxa"/>
            <w:shd w:val="clear" w:color="auto" w:fill="B5C0D8"/>
          </w:tcPr>
          <w:p w:rsidR="00D849AA" w:rsidRPr="00DE6ACB" w:rsidRDefault="00EE6D95">
            <w:pPr>
              <w:pStyle w:val="CellHeader"/>
            </w:pPr>
            <w:r w:rsidRPr="00DE6ACB">
              <w:t>Plan 2016.</w:t>
            </w:r>
          </w:p>
        </w:tc>
        <w:tc>
          <w:tcPr>
            <w:tcW w:w="1486" w:type="dxa"/>
            <w:shd w:val="clear" w:color="auto" w:fill="B5C0D8"/>
          </w:tcPr>
          <w:p w:rsidR="00D849AA" w:rsidRPr="00DE6ACB" w:rsidRDefault="00EE6D95">
            <w:pPr>
              <w:pStyle w:val="CellHeader"/>
            </w:pPr>
            <w:r w:rsidRPr="00DE6ACB">
              <w:t>Indeks 2014/2013</w:t>
            </w:r>
          </w:p>
        </w:tc>
      </w:tr>
      <w:tr w:rsidR="00D849AA">
        <w:trPr>
          <w:jc w:val="center"/>
        </w:trPr>
        <w:tc>
          <w:tcPr>
            <w:tcW w:w="1486" w:type="dxa"/>
          </w:tcPr>
          <w:p w:rsidR="00D849AA" w:rsidRPr="00DE6ACB" w:rsidRDefault="00EE6D95">
            <w:pPr>
              <w:pStyle w:val="CellColumn"/>
            </w:pPr>
            <w:r w:rsidRPr="00DE6ACB">
              <w:t>2508</w:t>
            </w:r>
          </w:p>
        </w:tc>
        <w:tc>
          <w:tcPr>
            <w:tcW w:w="1486" w:type="dxa"/>
          </w:tcPr>
          <w:p w:rsidR="00D849AA" w:rsidRPr="00DE6ACB" w:rsidRDefault="00EE6D95">
            <w:pPr>
              <w:rPr>
                <w:rFonts w:ascii="Arial" w:hAnsi="Arial" w:cs="Arial"/>
              </w:rPr>
            </w:pPr>
            <w:r w:rsidRPr="00DE6ACB">
              <w:rPr>
                <w:rFonts w:ascii="Arial" w:hAnsi="Arial" w:cs="Arial"/>
              </w:rPr>
              <w:t>67.796.470</w:t>
            </w:r>
          </w:p>
        </w:tc>
        <w:tc>
          <w:tcPr>
            <w:tcW w:w="1486" w:type="dxa"/>
          </w:tcPr>
          <w:p w:rsidR="00D849AA" w:rsidRPr="00DE6ACB" w:rsidRDefault="00EE6D95">
            <w:pPr>
              <w:rPr>
                <w:rFonts w:ascii="Arial" w:hAnsi="Arial" w:cs="Arial"/>
              </w:rPr>
            </w:pPr>
            <w:r w:rsidRPr="00DE6ACB">
              <w:rPr>
                <w:rFonts w:ascii="Arial" w:hAnsi="Arial" w:cs="Arial"/>
              </w:rPr>
              <w:t>68.034.000</w:t>
            </w:r>
          </w:p>
        </w:tc>
        <w:tc>
          <w:tcPr>
            <w:tcW w:w="1486" w:type="dxa"/>
          </w:tcPr>
          <w:p w:rsidR="00D849AA" w:rsidRPr="00DE6ACB" w:rsidRDefault="00EE6D95">
            <w:pPr>
              <w:rPr>
                <w:rFonts w:ascii="Arial" w:hAnsi="Arial" w:cs="Arial"/>
              </w:rPr>
            </w:pPr>
            <w:r w:rsidRPr="00DE6ACB">
              <w:rPr>
                <w:rFonts w:ascii="Arial" w:hAnsi="Arial" w:cs="Arial"/>
              </w:rPr>
              <w:t>68.669.000</w:t>
            </w:r>
          </w:p>
        </w:tc>
        <w:tc>
          <w:tcPr>
            <w:tcW w:w="1486" w:type="dxa"/>
          </w:tcPr>
          <w:p w:rsidR="00D849AA" w:rsidRPr="00DE6ACB" w:rsidRDefault="00EE6D95">
            <w:pPr>
              <w:rPr>
                <w:rFonts w:ascii="Arial" w:hAnsi="Arial" w:cs="Arial"/>
              </w:rPr>
            </w:pPr>
            <w:r w:rsidRPr="00DE6ACB">
              <w:rPr>
                <w:rFonts w:ascii="Arial" w:hAnsi="Arial" w:cs="Arial"/>
              </w:rPr>
              <w:t>68.669.000</w:t>
            </w:r>
          </w:p>
        </w:tc>
        <w:tc>
          <w:tcPr>
            <w:tcW w:w="1486" w:type="dxa"/>
          </w:tcPr>
          <w:p w:rsidR="00D849AA" w:rsidRPr="00DE6ACB" w:rsidRDefault="00EE6D95">
            <w:pPr>
              <w:rPr>
                <w:rFonts w:ascii="Arial" w:hAnsi="Arial" w:cs="Arial"/>
              </w:rPr>
            </w:pPr>
            <w:r w:rsidRPr="00DE6ACB">
              <w:rPr>
                <w:rFonts w:ascii="Arial" w:hAnsi="Arial" w:cs="Arial"/>
              </w:rPr>
              <w:t>100,4</w:t>
            </w:r>
          </w:p>
        </w:tc>
      </w:tr>
    </w:tbl>
    <w:p w:rsidR="00D849AA" w:rsidRDefault="00D849AA">
      <w:pPr>
        <w:jc w:val="left"/>
      </w:pPr>
    </w:p>
    <w:p w:rsidR="00D849AA" w:rsidRDefault="00EE6D95">
      <w:pPr>
        <w:pStyle w:val="Naslov6"/>
      </w:pPr>
      <w:r>
        <w:t>Opis programa</w:t>
      </w:r>
    </w:p>
    <w:p w:rsidR="00D849AA" w:rsidRDefault="00EE6D95">
      <w:pPr>
        <w:pStyle w:val="Normal5"/>
      </w:pPr>
      <w:r>
        <w:t>Ulaskom u NATO i u EU, jača i uloga Republike Hrvatske na međunarodnoj sigurnosnoj sceni. Članstvom u NATO-u Republika Hrvatska se uključila u sustav kolektivne obrane, koji joj daje najveću moguću razinu sigurnosti, ali zahtijeva i njezin doprinos. U području međunarodne vojne suradnje provodi se niz aktivnosti izgradnje sigurnosti i povjerenja, a pripadnici OS RH aktivno sudjeluju u misijama odgovora na krize u inozemstvu pod okriljem međunarodnih organizacija i saveza. Doprinos stabilnosti regije putem obrambene suradnje i aktivnog sudjelovanja u regionalnim inicijativama nezaobilazna je stavka u razvoju uspješnih političkih i gospodarskih odnosa u regiji. Provedbom međunarodno prihvaćenih obveza u području nadzora naoružanja poboljšat će se puna implementacija mjera za izgradnju sigurnosti i povjerenja, kao i provedba prihvaćenih konvencija, globalnih i regionalnih sporazuma, ugovora, programa i mjera na području međunarodne sigurnosti.</w:t>
      </w:r>
    </w:p>
    <w:p w:rsidR="00D849AA" w:rsidRDefault="00EE6D95">
      <w:pPr>
        <w:pStyle w:val="Naslov6"/>
      </w:pPr>
      <w:r>
        <w:t>Zakonske i druge pravne osnove</w:t>
      </w:r>
    </w:p>
    <w:p w:rsidR="00D849AA" w:rsidRDefault="00EE6D95">
      <w:pPr>
        <w:pStyle w:val="Normal5"/>
      </w:pPr>
      <w:r>
        <w:t xml:space="preserve">Zakon o obrani (NN 73/13), Zakon o službi u OS RH (NN 73/13), Pravilnik o ustroju i zadaćama vojno-diplomatskih predstavništava RH u inozemstvu, Pravilnik o mjerilima za određivanje plaće vojnodiplomatskim osobama, osobama upućenim na rad u međunarodne organizacije, administrativno-tehničkom osoblju, odnosno nediplomatskom osoblju te članovima njihove uže obitelji (NN 125/03, 61/07, 90/08 i 32/13), Sporazum o subregionalnoj </w:t>
      </w:r>
      <w:r>
        <w:lastRenderedPageBreak/>
        <w:t>kontroli naoružanja, Bečki dokument 2011, Konvencija o zabrani proizvodnje i uporabi protupješačkih mina (Otawska konvencija 1999), Konvencija o zabrani biološkog i toksinskog oružja (BTWC 1975), Konvencija o određenom konvencionalnom oružju koje ima iznimno traumatsko djelovanje (CCW 2001).</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Cilj 1. Unaprijediti međunarodnu obrambenu suradnju</w:t>
      </w:r>
    </w:p>
    <w:p w:rsidR="00D849AA" w:rsidRDefault="00EE6D95">
      <w:pPr>
        <w:pStyle w:val="Normal6"/>
      </w:pPr>
      <w:r>
        <w:t>Međunarodna obrambena suradnja podrazumijeva bilateralnu i regionalnu suradnju, multilateralnu obrambenu suradnju i međunarodnu sigurnost, sudjelovanje u radu obrambenih tijela NATO-a i EU-a te ostalih međunarodnih organizacija (UN, OESS i slično), kao i vojnu diplomaciju. U sklopu međunarodne obrambene suradnje poduzima se niz aktivnosti kojima se zastupaju interesi RH u međunarodnim tijelima i organizacijama, kao i djelatnost vojne diplomacije. Aktivno djelovanje Republike Hrvatske u UN-u, NATO-u, EU i ostalim organizacijama te unapređenje međunarodne obrambene suradnje pridonosi jačanju uloge Republike Hrvatske u međunarodnom sigurnosnom i obrambenom prostoru, provođenju reformi i razvoju obrambenog sustava Republike Hrvatske, poboljšanju dobrosusjedskih odnosa te jačanju regionalne suradnje.</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283"/>
        <w:gridCol w:w="1295"/>
        <w:gridCol w:w="1486"/>
        <w:gridCol w:w="1486"/>
        <w:gridCol w:w="1486"/>
      </w:tblGrid>
      <w:tr w:rsidR="00D849AA">
        <w:trPr>
          <w:jc w:val="center"/>
        </w:trPr>
        <w:tc>
          <w:tcPr>
            <w:tcW w:w="2229" w:type="dxa"/>
            <w:shd w:val="clear" w:color="auto" w:fill="B5C0D8"/>
          </w:tcPr>
          <w:p w:rsidR="00D849AA" w:rsidRPr="00DE6ACB" w:rsidRDefault="00EE6D95">
            <w:pPr>
              <w:rPr>
                <w:rFonts w:ascii="Arial" w:hAnsi="Arial" w:cs="Arial"/>
              </w:rPr>
            </w:pPr>
            <w:r w:rsidRPr="00DE6ACB">
              <w:rPr>
                <w:rFonts w:ascii="Arial" w:hAnsi="Arial" w:cs="Arial"/>
              </w:rPr>
              <w:t>Pokazatelj učinka</w:t>
            </w:r>
          </w:p>
        </w:tc>
        <w:tc>
          <w:tcPr>
            <w:tcW w:w="1114" w:type="dxa"/>
            <w:shd w:val="clear" w:color="auto" w:fill="B5C0D8"/>
          </w:tcPr>
          <w:p w:rsidR="00D849AA" w:rsidRPr="00DE6ACB" w:rsidRDefault="00EE6D95">
            <w:pPr>
              <w:pStyle w:val="CellHeader"/>
            </w:pPr>
            <w:r w:rsidRPr="00DE6ACB">
              <w:t>Jedinica</w:t>
            </w:r>
          </w:p>
        </w:tc>
        <w:tc>
          <w:tcPr>
            <w:tcW w:w="1114" w:type="dxa"/>
            <w:shd w:val="clear" w:color="auto" w:fill="B5C0D8"/>
          </w:tcPr>
          <w:p w:rsidR="00D849AA" w:rsidRPr="00DE6ACB" w:rsidRDefault="00EE6D95">
            <w:pPr>
              <w:pStyle w:val="CellHeader"/>
            </w:pPr>
            <w:r w:rsidRPr="00DE6ACB">
              <w:t>Polazna vrijednost</w:t>
            </w:r>
          </w:p>
        </w:tc>
        <w:tc>
          <w:tcPr>
            <w:tcW w:w="1486" w:type="dxa"/>
            <w:shd w:val="clear" w:color="auto" w:fill="B5C0D8"/>
          </w:tcPr>
          <w:p w:rsidR="00D849AA" w:rsidRPr="00DE6ACB" w:rsidRDefault="00EE6D95">
            <w:pPr>
              <w:pStyle w:val="CellHeader"/>
            </w:pPr>
            <w:r w:rsidRPr="00DE6ACB">
              <w:t>Ciljana vrijednost (2014.)</w:t>
            </w:r>
          </w:p>
        </w:tc>
        <w:tc>
          <w:tcPr>
            <w:tcW w:w="1486" w:type="dxa"/>
            <w:shd w:val="clear" w:color="auto" w:fill="B5C0D8"/>
          </w:tcPr>
          <w:p w:rsidR="00D849AA" w:rsidRPr="00DE6ACB" w:rsidRDefault="00EE6D95">
            <w:pPr>
              <w:pStyle w:val="CellHeader"/>
            </w:pPr>
            <w:r w:rsidRPr="00DE6ACB">
              <w:t>Ciljana vrijednost (2015.)</w:t>
            </w:r>
          </w:p>
        </w:tc>
        <w:tc>
          <w:tcPr>
            <w:tcW w:w="1486" w:type="dxa"/>
            <w:shd w:val="clear" w:color="auto" w:fill="B5C0D8"/>
          </w:tcPr>
          <w:p w:rsidR="00D849AA" w:rsidRPr="00DE6ACB" w:rsidRDefault="00EE6D95">
            <w:pPr>
              <w:pStyle w:val="CellHeader"/>
            </w:pPr>
            <w:r w:rsidRPr="00DE6ACB">
              <w:t>Ciljana vrijednost (2016.)</w:t>
            </w:r>
          </w:p>
        </w:tc>
      </w:tr>
      <w:tr w:rsidR="00D849AA">
        <w:trPr>
          <w:jc w:val="center"/>
        </w:trPr>
        <w:tc>
          <w:tcPr>
            <w:tcW w:w="2229" w:type="dxa"/>
          </w:tcPr>
          <w:p w:rsidR="00D849AA" w:rsidRPr="00DE6ACB" w:rsidRDefault="00EE6D95">
            <w:pPr>
              <w:pStyle w:val="CellColumn"/>
            </w:pPr>
            <w:r w:rsidRPr="00DE6ACB">
              <w:t>Doprinos jačanju obrambenih sposobnosti</w:t>
            </w:r>
          </w:p>
        </w:tc>
        <w:tc>
          <w:tcPr>
            <w:tcW w:w="1114" w:type="dxa"/>
          </w:tcPr>
          <w:p w:rsidR="00D849AA" w:rsidRPr="00DE6ACB" w:rsidRDefault="00EE6D95">
            <w:pPr>
              <w:rPr>
                <w:rFonts w:ascii="Arial" w:hAnsi="Arial" w:cs="Arial"/>
              </w:rPr>
            </w:pPr>
            <w:r w:rsidRPr="00DE6ACB">
              <w:rPr>
                <w:rFonts w:ascii="Arial" w:hAnsi="Arial" w:cs="Arial"/>
              </w:rPr>
              <w:t>Intenzitet suradnje Ministarstva obrane</w:t>
            </w:r>
          </w:p>
        </w:tc>
        <w:tc>
          <w:tcPr>
            <w:tcW w:w="1114" w:type="dxa"/>
          </w:tcPr>
          <w:p w:rsidR="00D849AA" w:rsidRPr="00DE6ACB" w:rsidRDefault="00EE6D95">
            <w:pPr>
              <w:rPr>
                <w:rFonts w:ascii="Arial" w:hAnsi="Arial" w:cs="Arial"/>
              </w:rPr>
            </w:pPr>
            <w:r w:rsidRPr="00DE6ACB">
              <w:rPr>
                <w:rFonts w:ascii="Arial" w:hAnsi="Arial" w:cs="Arial"/>
              </w:rPr>
              <w:t>zadržavanje postignutog</w:t>
            </w:r>
          </w:p>
        </w:tc>
        <w:tc>
          <w:tcPr>
            <w:tcW w:w="1486" w:type="dxa"/>
          </w:tcPr>
          <w:p w:rsidR="00D849AA" w:rsidRPr="00DE6ACB" w:rsidRDefault="00EE6D95">
            <w:pPr>
              <w:rPr>
                <w:rFonts w:ascii="Arial" w:hAnsi="Arial" w:cs="Arial"/>
              </w:rPr>
            </w:pPr>
            <w:r w:rsidRPr="00DE6ACB">
              <w:rPr>
                <w:rFonts w:ascii="Arial" w:hAnsi="Arial" w:cs="Arial"/>
              </w:rPr>
              <w:t>zadržavanje postignutog</w:t>
            </w:r>
          </w:p>
        </w:tc>
        <w:tc>
          <w:tcPr>
            <w:tcW w:w="1486" w:type="dxa"/>
          </w:tcPr>
          <w:p w:rsidR="00D849AA" w:rsidRPr="00DE6ACB" w:rsidRDefault="00EE6D95">
            <w:pPr>
              <w:rPr>
                <w:rFonts w:ascii="Arial" w:hAnsi="Arial" w:cs="Arial"/>
              </w:rPr>
            </w:pPr>
            <w:r w:rsidRPr="00DE6ACB">
              <w:rPr>
                <w:rFonts w:ascii="Arial" w:hAnsi="Arial" w:cs="Arial"/>
              </w:rPr>
              <w:t>zadržavanje postignutog</w:t>
            </w:r>
          </w:p>
        </w:tc>
        <w:tc>
          <w:tcPr>
            <w:tcW w:w="1486" w:type="dxa"/>
          </w:tcPr>
          <w:p w:rsidR="00D849AA" w:rsidRPr="00DE6ACB" w:rsidRDefault="00EE6D95">
            <w:pPr>
              <w:rPr>
                <w:rFonts w:ascii="Arial" w:hAnsi="Arial" w:cs="Arial"/>
              </w:rPr>
            </w:pPr>
            <w:r w:rsidRPr="00DE6ACB">
              <w:rPr>
                <w:rFonts w:ascii="Arial" w:hAnsi="Arial" w:cs="Arial"/>
              </w:rPr>
              <w:t>zadržavanje postignutog</w:t>
            </w:r>
          </w:p>
        </w:tc>
      </w:tr>
    </w:tbl>
    <w:p w:rsidR="00D849AA" w:rsidRDefault="00D849AA">
      <w:pPr>
        <w:jc w:val="left"/>
      </w:pPr>
    </w:p>
    <w:p w:rsidR="00D849AA" w:rsidRDefault="00EE6D95">
      <w:pPr>
        <w:pStyle w:val="Naslov5"/>
      </w:pPr>
      <w:r>
        <w:t>Procjena i ishodište potrebnih sredstava za značajnije aktivnosti/projekte</w:t>
      </w:r>
    </w:p>
    <w:p w:rsidR="00D849AA" w:rsidRDefault="00EE6D95">
      <w:pPr>
        <w:pStyle w:val="Naslov6"/>
      </w:pPr>
      <w:r>
        <w:t>A545063 BILATERALNA I MULTILATERALNA SURADNJA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rsidRPr="00DE6ACB">
        <w:trPr>
          <w:jc w:val="center"/>
        </w:trPr>
        <w:tc>
          <w:tcPr>
            <w:tcW w:w="1486" w:type="dxa"/>
            <w:shd w:val="clear" w:color="auto" w:fill="B5C0D8"/>
          </w:tcPr>
          <w:p w:rsidR="00D849AA" w:rsidRPr="00DE6ACB" w:rsidRDefault="00EE6D95">
            <w:pPr>
              <w:pStyle w:val="CellHeader"/>
            </w:pPr>
            <w:r w:rsidRPr="00DE6ACB">
              <w:t>Naziv aktivnosti</w:t>
            </w:r>
          </w:p>
        </w:tc>
        <w:tc>
          <w:tcPr>
            <w:tcW w:w="1486" w:type="dxa"/>
            <w:shd w:val="clear" w:color="auto" w:fill="B5C0D8"/>
          </w:tcPr>
          <w:p w:rsidR="00D849AA" w:rsidRPr="00DE6ACB" w:rsidRDefault="00EE6D95">
            <w:pPr>
              <w:pStyle w:val="CellHeader"/>
            </w:pPr>
            <w:r w:rsidRPr="00DE6ACB">
              <w:t>Plan 2013.</w:t>
            </w:r>
          </w:p>
        </w:tc>
        <w:tc>
          <w:tcPr>
            <w:tcW w:w="1486" w:type="dxa"/>
            <w:shd w:val="clear" w:color="auto" w:fill="B5C0D8"/>
          </w:tcPr>
          <w:p w:rsidR="00D849AA" w:rsidRPr="00DE6ACB" w:rsidRDefault="00EE6D95">
            <w:pPr>
              <w:pStyle w:val="CellHeader"/>
            </w:pPr>
            <w:r w:rsidRPr="00DE6ACB">
              <w:t>Plan 2014.</w:t>
            </w:r>
          </w:p>
        </w:tc>
        <w:tc>
          <w:tcPr>
            <w:tcW w:w="1486" w:type="dxa"/>
            <w:shd w:val="clear" w:color="auto" w:fill="B5C0D8"/>
          </w:tcPr>
          <w:p w:rsidR="00D849AA" w:rsidRPr="00DE6ACB" w:rsidRDefault="00EE6D95">
            <w:pPr>
              <w:pStyle w:val="CellHeader"/>
            </w:pPr>
            <w:r w:rsidRPr="00DE6ACB">
              <w:t>Plan 2015.</w:t>
            </w:r>
          </w:p>
        </w:tc>
        <w:tc>
          <w:tcPr>
            <w:tcW w:w="1486" w:type="dxa"/>
            <w:shd w:val="clear" w:color="auto" w:fill="B5C0D8"/>
          </w:tcPr>
          <w:p w:rsidR="00D849AA" w:rsidRPr="00DE6ACB" w:rsidRDefault="00EE6D95">
            <w:pPr>
              <w:pStyle w:val="CellHeader"/>
            </w:pPr>
            <w:r w:rsidRPr="00DE6ACB">
              <w:t>Plan 2016.</w:t>
            </w:r>
          </w:p>
        </w:tc>
        <w:tc>
          <w:tcPr>
            <w:tcW w:w="1486" w:type="dxa"/>
            <w:shd w:val="clear" w:color="auto" w:fill="B5C0D8"/>
          </w:tcPr>
          <w:p w:rsidR="00D849AA" w:rsidRPr="00DE6ACB" w:rsidRDefault="00EE6D95">
            <w:pPr>
              <w:pStyle w:val="CellHeader"/>
            </w:pPr>
            <w:r w:rsidRPr="00DE6ACB">
              <w:t>Indeks 2014/2013</w:t>
            </w:r>
          </w:p>
        </w:tc>
      </w:tr>
      <w:tr w:rsidR="00D849AA" w:rsidRPr="00DE6ACB">
        <w:trPr>
          <w:jc w:val="center"/>
        </w:trPr>
        <w:tc>
          <w:tcPr>
            <w:tcW w:w="1486" w:type="dxa"/>
          </w:tcPr>
          <w:p w:rsidR="00D849AA" w:rsidRPr="00DE6ACB" w:rsidRDefault="00EE6D95">
            <w:pPr>
              <w:pStyle w:val="CellColumn"/>
            </w:pPr>
            <w:r w:rsidRPr="00DE6ACB">
              <w:t>A545063</w:t>
            </w:r>
          </w:p>
        </w:tc>
        <w:tc>
          <w:tcPr>
            <w:tcW w:w="1486" w:type="dxa"/>
          </w:tcPr>
          <w:p w:rsidR="00D849AA" w:rsidRPr="00DE6ACB" w:rsidRDefault="00EE6D95">
            <w:pPr>
              <w:rPr>
                <w:rFonts w:ascii="Arial" w:hAnsi="Arial" w:cs="Arial"/>
              </w:rPr>
            </w:pPr>
            <w:r w:rsidRPr="00DE6ACB">
              <w:rPr>
                <w:rFonts w:ascii="Arial" w:hAnsi="Arial" w:cs="Arial"/>
              </w:rPr>
              <w:t>11.475.970</w:t>
            </w:r>
          </w:p>
        </w:tc>
        <w:tc>
          <w:tcPr>
            <w:tcW w:w="1486" w:type="dxa"/>
          </w:tcPr>
          <w:p w:rsidR="00D849AA" w:rsidRPr="00DE6ACB" w:rsidRDefault="00EE6D95">
            <w:pPr>
              <w:rPr>
                <w:rFonts w:ascii="Arial" w:hAnsi="Arial" w:cs="Arial"/>
              </w:rPr>
            </w:pPr>
            <w:r w:rsidRPr="00DE6ACB">
              <w:rPr>
                <w:rFonts w:ascii="Arial" w:hAnsi="Arial" w:cs="Arial"/>
              </w:rPr>
              <w:t>10.438.000</w:t>
            </w:r>
          </w:p>
        </w:tc>
        <w:tc>
          <w:tcPr>
            <w:tcW w:w="1486" w:type="dxa"/>
          </w:tcPr>
          <w:p w:rsidR="00D849AA" w:rsidRPr="00DE6ACB" w:rsidRDefault="00EE6D95">
            <w:pPr>
              <w:rPr>
                <w:rFonts w:ascii="Arial" w:hAnsi="Arial" w:cs="Arial"/>
              </w:rPr>
            </w:pPr>
            <w:r w:rsidRPr="00DE6ACB">
              <w:rPr>
                <w:rFonts w:ascii="Arial" w:hAnsi="Arial" w:cs="Arial"/>
              </w:rPr>
              <w:t>10.754.000</w:t>
            </w:r>
          </w:p>
        </w:tc>
        <w:tc>
          <w:tcPr>
            <w:tcW w:w="1486" w:type="dxa"/>
          </w:tcPr>
          <w:p w:rsidR="00D849AA" w:rsidRPr="00DE6ACB" w:rsidRDefault="00EE6D95">
            <w:pPr>
              <w:rPr>
                <w:rFonts w:ascii="Arial" w:hAnsi="Arial" w:cs="Arial"/>
              </w:rPr>
            </w:pPr>
            <w:r w:rsidRPr="00DE6ACB">
              <w:rPr>
                <w:rFonts w:ascii="Arial" w:hAnsi="Arial" w:cs="Arial"/>
              </w:rPr>
              <w:t>10.754.000</w:t>
            </w:r>
          </w:p>
        </w:tc>
        <w:tc>
          <w:tcPr>
            <w:tcW w:w="1486" w:type="dxa"/>
          </w:tcPr>
          <w:p w:rsidR="00D849AA" w:rsidRPr="00DE6ACB" w:rsidRDefault="00EE6D95">
            <w:pPr>
              <w:rPr>
                <w:rFonts w:ascii="Arial" w:hAnsi="Arial" w:cs="Arial"/>
              </w:rPr>
            </w:pPr>
            <w:r w:rsidRPr="00DE6ACB">
              <w:rPr>
                <w:rFonts w:ascii="Arial" w:hAnsi="Arial" w:cs="Arial"/>
              </w:rPr>
              <w:t>91,0</w:t>
            </w:r>
          </w:p>
        </w:tc>
      </w:tr>
    </w:tbl>
    <w:p w:rsidR="00D849AA" w:rsidRPr="00DE6ACB" w:rsidRDefault="00D849AA">
      <w:pPr>
        <w:jc w:val="left"/>
        <w:rPr>
          <w:rFonts w:ascii="Arial" w:hAnsi="Arial" w:cs="Arial"/>
        </w:rPr>
      </w:pPr>
    </w:p>
    <w:p w:rsidR="00D849AA" w:rsidRDefault="00EE6D95">
      <w:pPr>
        <w:pStyle w:val="Normal6"/>
      </w:pPr>
      <w:r>
        <w:t>Aktivnost obuhvaća provedbu bilateralnih, multilateralnih međunarodnih aktivnosti, aktivnosti iz domene nadzora naoružanja te aktivnosti vojno diplomatske mreže. Cilj je osigurati uspješno funkcioniranje međunarodne obrambene suradnje koja će se težišno usmjeriti na strateški značajne partnere i ostale članice NATO-a i EU-a. S državama koje su važne s aspekta vanjskopolitičkog i sigurnosnog interesa Republike Hrvatske, a nisu članice NATO-a i EU, prioritetno će se razvijati vojno-tehnička suradnja i suradnja na području vojne izobrazbe.</w:t>
      </w:r>
    </w:p>
    <w:p w:rsidR="00DE6ACB" w:rsidRDefault="00DE6ACB">
      <w:pPr>
        <w:pStyle w:val="Normal6"/>
      </w:pPr>
    </w:p>
    <w:p w:rsidR="00DE6ACB" w:rsidRDefault="00DE6ACB">
      <w:pPr>
        <w:pStyle w:val="Normal6"/>
      </w:pPr>
    </w:p>
    <w:p w:rsidR="00DE6ACB" w:rsidRDefault="00DE6ACB">
      <w:pPr>
        <w:pStyle w:val="Normal6"/>
      </w:pPr>
    </w:p>
    <w:p w:rsidR="00D849AA" w:rsidRDefault="00EE6D95">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DE6ACB" w:rsidRDefault="00EE6D95">
            <w:pPr>
              <w:rPr>
                <w:rFonts w:ascii="Arial" w:hAnsi="Arial" w:cs="Arial"/>
              </w:rPr>
            </w:pPr>
            <w:r w:rsidRPr="00DE6ACB">
              <w:rPr>
                <w:rFonts w:ascii="Arial" w:hAnsi="Arial" w:cs="Arial"/>
              </w:rPr>
              <w:t>Pokazatelj rezultata</w:t>
            </w:r>
          </w:p>
        </w:tc>
        <w:tc>
          <w:tcPr>
            <w:tcW w:w="1114" w:type="dxa"/>
            <w:shd w:val="clear" w:color="auto" w:fill="B5C0D8"/>
          </w:tcPr>
          <w:p w:rsidR="00D849AA" w:rsidRPr="00DE6ACB" w:rsidRDefault="00EE6D95">
            <w:pPr>
              <w:pStyle w:val="CellHeader"/>
            </w:pPr>
            <w:r w:rsidRPr="00DE6ACB">
              <w:t>Jedinica</w:t>
            </w:r>
          </w:p>
        </w:tc>
        <w:tc>
          <w:tcPr>
            <w:tcW w:w="1114" w:type="dxa"/>
            <w:shd w:val="clear" w:color="auto" w:fill="B5C0D8"/>
          </w:tcPr>
          <w:p w:rsidR="00D849AA" w:rsidRPr="00DE6ACB" w:rsidRDefault="00EE6D95">
            <w:pPr>
              <w:pStyle w:val="CellHeader"/>
            </w:pPr>
            <w:r w:rsidRPr="00DE6ACB">
              <w:t>Polazna vrijednost</w:t>
            </w:r>
          </w:p>
        </w:tc>
        <w:tc>
          <w:tcPr>
            <w:tcW w:w="1486" w:type="dxa"/>
            <w:shd w:val="clear" w:color="auto" w:fill="B5C0D8"/>
          </w:tcPr>
          <w:p w:rsidR="00D849AA" w:rsidRPr="00DE6ACB" w:rsidRDefault="00EE6D95">
            <w:pPr>
              <w:pStyle w:val="CellHeader"/>
            </w:pPr>
            <w:r w:rsidRPr="00DE6ACB">
              <w:t>Ciljana vrijednost (2014.)</w:t>
            </w:r>
          </w:p>
        </w:tc>
        <w:tc>
          <w:tcPr>
            <w:tcW w:w="1486" w:type="dxa"/>
            <w:shd w:val="clear" w:color="auto" w:fill="B5C0D8"/>
          </w:tcPr>
          <w:p w:rsidR="00D849AA" w:rsidRPr="00DE6ACB" w:rsidRDefault="00EE6D95">
            <w:pPr>
              <w:pStyle w:val="CellHeader"/>
            </w:pPr>
            <w:r w:rsidRPr="00DE6ACB">
              <w:t>Ciljana vrijednost (2015.)</w:t>
            </w:r>
          </w:p>
        </w:tc>
        <w:tc>
          <w:tcPr>
            <w:tcW w:w="1486" w:type="dxa"/>
            <w:shd w:val="clear" w:color="auto" w:fill="B5C0D8"/>
          </w:tcPr>
          <w:p w:rsidR="00D849AA" w:rsidRPr="00DE6ACB" w:rsidRDefault="00EE6D95">
            <w:pPr>
              <w:pStyle w:val="CellHeader"/>
            </w:pPr>
            <w:r w:rsidRPr="00DE6ACB">
              <w:t>Ciljana vrijednost (2016.)</w:t>
            </w:r>
          </w:p>
        </w:tc>
      </w:tr>
      <w:tr w:rsidR="00D849AA">
        <w:trPr>
          <w:jc w:val="center"/>
        </w:trPr>
        <w:tc>
          <w:tcPr>
            <w:tcW w:w="2229" w:type="dxa"/>
          </w:tcPr>
          <w:p w:rsidR="00D849AA" w:rsidRPr="00DE6ACB" w:rsidRDefault="00EE6D95">
            <w:pPr>
              <w:pStyle w:val="CellColumn"/>
            </w:pPr>
            <w:r w:rsidRPr="00DE6ACB">
              <w:t>Broj aktivnosti bilateralne obrambene suradnje</w:t>
            </w:r>
          </w:p>
        </w:tc>
        <w:tc>
          <w:tcPr>
            <w:tcW w:w="1114" w:type="dxa"/>
          </w:tcPr>
          <w:p w:rsidR="00D849AA" w:rsidRPr="00DE6ACB" w:rsidRDefault="00EE6D95">
            <w:pPr>
              <w:rPr>
                <w:rFonts w:ascii="Arial" w:hAnsi="Arial" w:cs="Arial"/>
              </w:rPr>
            </w:pPr>
            <w:r w:rsidRPr="00DE6ACB">
              <w:rPr>
                <w:rFonts w:ascii="Arial" w:hAnsi="Arial" w:cs="Arial"/>
              </w:rPr>
              <w:t>Broj</w:t>
            </w:r>
          </w:p>
        </w:tc>
        <w:tc>
          <w:tcPr>
            <w:tcW w:w="1114" w:type="dxa"/>
          </w:tcPr>
          <w:p w:rsidR="00D849AA" w:rsidRPr="00DE6ACB" w:rsidRDefault="00EE6D95">
            <w:pPr>
              <w:rPr>
                <w:rFonts w:ascii="Arial" w:hAnsi="Arial" w:cs="Arial"/>
              </w:rPr>
            </w:pPr>
            <w:r w:rsidRPr="00DE6ACB">
              <w:rPr>
                <w:rFonts w:ascii="Arial" w:hAnsi="Arial" w:cs="Arial"/>
              </w:rPr>
              <w:t>306</w:t>
            </w:r>
          </w:p>
        </w:tc>
        <w:tc>
          <w:tcPr>
            <w:tcW w:w="1486" w:type="dxa"/>
          </w:tcPr>
          <w:p w:rsidR="00D849AA" w:rsidRPr="00DE6ACB" w:rsidRDefault="00EE6D95">
            <w:pPr>
              <w:rPr>
                <w:rFonts w:ascii="Arial" w:hAnsi="Arial" w:cs="Arial"/>
              </w:rPr>
            </w:pPr>
            <w:r w:rsidRPr="00DE6ACB">
              <w:rPr>
                <w:rFonts w:ascii="Arial" w:hAnsi="Arial" w:cs="Arial"/>
              </w:rPr>
              <w:t>306</w:t>
            </w:r>
          </w:p>
        </w:tc>
        <w:tc>
          <w:tcPr>
            <w:tcW w:w="1486" w:type="dxa"/>
          </w:tcPr>
          <w:p w:rsidR="00D849AA" w:rsidRPr="00DE6ACB" w:rsidRDefault="00EE6D95">
            <w:pPr>
              <w:rPr>
                <w:rFonts w:ascii="Arial" w:hAnsi="Arial" w:cs="Arial"/>
              </w:rPr>
            </w:pPr>
            <w:r w:rsidRPr="00DE6ACB">
              <w:rPr>
                <w:rFonts w:ascii="Arial" w:hAnsi="Arial" w:cs="Arial"/>
              </w:rPr>
              <w:t>306</w:t>
            </w:r>
          </w:p>
        </w:tc>
        <w:tc>
          <w:tcPr>
            <w:tcW w:w="1486" w:type="dxa"/>
          </w:tcPr>
          <w:p w:rsidR="00D849AA" w:rsidRPr="00DE6ACB" w:rsidRDefault="00EE6D95">
            <w:pPr>
              <w:rPr>
                <w:rFonts w:ascii="Arial" w:hAnsi="Arial" w:cs="Arial"/>
              </w:rPr>
            </w:pPr>
            <w:r w:rsidRPr="00DE6ACB">
              <w:rPr>
                <w:rFonts w:ascii="Arial" w:hAnsi="Arial" w:cs="Arial"/>
              </w:rPr>
              <w:t>306</w:t>
            </w:r>
          </w:p>
        </w:tc>
      </w:tr>
      <w:tr w:rsidR="00D849AA">
        <w:trPr>
          <w:jc w:val="center"/>
        </w:trPr>
        <w:tc>
          <w:tcPr>
            <w:tcW w:w="2229" w:type="dxa"/>
          </w:tcPr>
          <w:p w:rsidR="00D849AA" w:rsidRPr="00DE6ACB" w:rsidRDefault="00EE6D95">
            <w:pPr>
              <w:pStyle w:val="CellColumn"/>
            </w:pPr>
            <w:r w:rsidRPr="00DE6ACB">
              <w:t>Broj aktivnosti multilateralne obrambene suradnje</w:t>
            </w:r>
          </w:p>
        </w:tc>
        <w:tc>
          <w:tcPr>
            <w:tcW w:w="1114" w:type="dxa"/>
          </w:tcPr>
          <w:p w:rsidR="00D849AA" w:rsidRPr="00DE6ACB" w:rsidRDefault="00EE6D95">
            <w:pPr>
              <w:rPr>
                <w:rFonts w:ascii="Arial" w:hAnsi="Arial" w:cs="Arial"/>
              </w:rPr>
            </w:pPr>
            <w:r w:rsidRPr="00DE6ACB">
              <w:rPr>
                <w:rFonts w:ascii="Arial" w:hAnsi="Arial" w:cs="Arial"/>
              </w:rPr>
              <w:t>Broj</w:t>
            </w:r>
          </w:p>
        </w:tc>
        <w:tc>
          <w:tcPr>
            <w:tcW w:w="1114" w:type="dxa"/>
          </w:tcPr>
          <w:p w:rsidR="00D849AA" w:rsidRPr="00DE6ACB" w:rsidRDefault="00EE6D95">
            <w:pPr>
              <w:rPr>
                <w:rFonts w:ascii="Arial" w:hAnsi="Arial" w:cs="Arial"/>
              </w:rPr>
            </w:pPr>
            <w:r w:rsidRPr="00DE6ACB">
              <w:rPr>
                <w:rFonts w:ascii="Arial" w:hAnsi="Arial" w:cs="Arial"/>
              </w:rPr>
              <w:t>591</w:t>
            </w:r>
          </w:p>
        </w:tc>
        <w:tc>
          <w:tcPr>
            <w:tcW w:w="1486" w:type="dxa"/>
          </w:tcPr>
          <w:p w:rsidR="00D849AA" w:rsidRPr="00DE6ACB" w:rsidRDefault="00EE6D95">
            <w:pPr>
              <w:rPr>
                <w:rFonts w:ascii="Arial" w:hAnsi="Arial" w:cs="Arial"/>
              </w:rPr>
            </w:pPr>
            <w:r w:rsidRPr="00DE6ACB">
              <w:rPr>
                <w:rFonts w:ascii="Arial" w:hAnsi="Arial" w:cs="Arial"/>
              </w:rPr>
              <w:t>591</w:t>
            </w:r>
          </w:p>
        </w:tc>
        <w:tc>
          <w:tcPr>
            <w:tcW w:w="1486" w:type="dxa"/>
          </w:tcPr>
          <w:p w:rsidR="00D849AA" w:rsidRPr="00DE6ACB" w:rsidRDefault="00EE6D95">
            <w:pPr>
              <w:rPr>
                <w:rFonts w:ascii="Arial" w:hAnsi="Arial" w:cs="Arial"/>
              </w:rPr>
            </w:pPr>
            <w:r w:rsidRPr="00DE6ACB">
              <w:rPr>
                <w:rFonts w:ascii="Arial" w:hAnsi="Arial" w:cs="Arial"/>
              </w:rPr>
              <w:t>591</w:t>
            </w:r>
          </w:p>
        </w:tc>
        <w:tc>
          <w:tcPr>
            <w:tcW w:w="1486" w:type="dxa"/>
          </w:tcPr>
          <w:p w:rsidR="00D849AA" w:rsidRPr="00DE6ACB" w:rsidRDefault="00EE6D95">
            <w:pPr>
              <w:rPr>
                <w:rFonts w:ascii="Arial" w:hAnsi="Arial" w:cs="Arial"/>
              </w:rPr>
            </w:pPr>
            <w:r w:rsidRPr="00DE6ACB">
              <w:rPr>
                <w:rFonts w:ascii="Arial" w:hAnsi="Arial" w:cs="Arial"/>
              </w:rPr>
              <w:t>591</w:t>
            </w:r>
          </w:p>
        </w:tc>
      </w:tr>
      <w:tr w:rsidR="00D849AA">
        <w:trPr>
          <w:jc w:val="center"/>
        </w:trPr>
        <w:tc>
          <w:tcPr>
            <w:tcW w:w="2229" w:type="dxa"/>
          </w:tcPr>
          <w:p w:rsidR="00D849AA" w:rsidRPr="00DE6ACB" w:rsidRDefault="00EE6D95">
            <w:pPr>
              <w:pStyle w:val="CellColumn"/>
            </w:pPr>
            <w:r w:rsidRPr="00DE6ACB">
              <w:t>Broj vojno-diplomatskih predstavništava</w:t>
            </w:r>
          </w:p>
        </w:tc>
        <w:tc>
          <w:tcPr>
            <w:tcW w:w="1114" w:type="dxa"/>
          </w:tcPr>
          <w:p w:rsidR="00D849AA" w:rsidRPr="00DE6ACB" w:rsidRDefault="00EE6D95">
            <w:pPr>
              <w:rPr>
                <w:rFonts w:ascii="Arial" w:hAnsi="Arial" w:cs="Arial"/>
              </w:rPr>
            </w:pPr>
            <w:r w:rsidRPr="00DE6ACB">
              <w:rPr>
                <w:rFonts w:ascii="Arial" w:hAnsi="Arial" w:cs="Arial"/>
              </w:rPr>
              <w:t>Broj</w:t>
            </w:r>
          </w:p>
        </w:tc>
        <w:tc>
          <w:tcPr>
            <w:tcW w:w="1114" w:type="dxa"/>
          </w:tcPr>
          <w:p w:rsidR="00D849AA" w:rsidRPr="00DE6ACB" w:rsidRDefault="00EE6D95">
            <w:pPr>
              <w:rPr>
                <w:rFonts w:ascii="Arial" w:hAnsi="Arial" w:cs="Arial"/>
              </w:rPr>
            </w:pPr>
            <w:r w:rsidRPr="00DE6ACB">
              <w:rPr>
                <w:rFonts w:ascii="Arial" w:hAnsi="Arial" w:cs="Arial"/>
              </w:rPr>
              <w:t>14</w:t>
            </w:r>
          </w:p>
        </w:tc>
        <w:tc>
          <w:tcPr>
            <w:tcW w:w="1486" w:type="dxa"/>
          </w:tcPr>
          <w:p w:rsidR="00D849AA" w:rsidRPr="00DE6ACB" w:rsidRDefault="00EE6D95">
            <w:pPr>
              <w:rPr>
                <w:rFonts w:ascii="Arial" w:hAnsi="Arial" w:cs="Arial"/>
              </w:rPr>
            </w:pPr>
            <w:r w:rsidRPr="00DE6ACB">
              <w:rPr>
                <w:rFonts w:ascii="Arial" w:hAnsi="Arial" w:cs="Arial"/>
              </w:rPr>
              <w:t>14</w:t>
            </w:r>
          </w:p>
        </w:tc>
        <w:tc>
          <w:tcPr>
            <w:tcW w:w="1486" w:type="dxa"/>
          </w:tcPr>
          <w:p w:rsidR="00D849AA" w:rsidRPr="00DE6ACB" w:rsidRDefault="00EE6D95">
            <w:pPr>
              <w:rPr>
                <w:rFonts w:ascii="Arial" w:hAnsi="Arial" w:cs="Arial"/>
              </w:rPr>
            </w:pPr>
            <w:r w:rsidRPr="00DE6ACB">
              <w:rPr>
                <w:rFonts w:ascii="Arial" w:hAnsi="Arial" w:cs="Arial"/>
              </w:rPr>
              <w:t>14</w:t>
            </w:r>
          </w:p>
        </w:tc>
        <w:tc>
          <w:tcPr>
            <w:tcW w:w="1486" w:type="dxa"/>
          </w:tcPr>
          <w:p w:rsidR="00D849AA" w:rsidRPr="00DE6ACB" w:rsidRDefault="00EE6D95">
            <w:pPr>
              <w:rPr>
                <w:rFonts w:ascii="Arial" w:hAnsi="Arial" w:cs="Arial"/>
              </w:rPr>
            </w:pPr>
            <w:r w:rsidRPr="00DE6ACB">
              <w:rPr>
                <w:rFonts w:ascii="Arial" w:hAnsi="Arial" w:cs="Arial"/>
              </w:rPr>
              <w:t>14</w:t>
            </w:r>
          </w:p>
        </w:tc>
      </w:tr>
    </w:tbl>
    <w:p w:rsidR="00D849AA" w:rsidRDefault="00D849AA">
      <w:pPr>
        <w:jc w:val="left"/>
      </w:pPr>
    </w:p>
    <w:p w:rsidR="00D849AA" w:rsidRDefault="00EE6D95">
      <w:pPr>
        <w:pStyle w:val="Naslov6"/>
      </w:pPr>
      <w:r>
        <w:t>A545064 AKTIVNOSTI U OKVIRU NATO I EU</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rsidRPr="00DE6ACB">
        <w:trPr>
          <w:jc w:val="center"/>
        </w:trPr>
        <w:tc>
          <w:tcPr>
            <w:tcW w:w="1486" w:type="dxa"/>
            <w:shd w:val="clear" w:color="auto" w:fill="B5C0D8"/>
          </w:tcPr>
          <w:p w:rsidR="00D849AA" w:rsidRPr="00DE6ACB" w:rsidRDefault="00EE6D95">
            <w:pPr>
              <w:pStyle w:val="CellHeader"/>
            </w:pPr>
            <w:r w:rsidRPr="00DE6ACB">
              <w:t>Naziv aktivnosti</w:t>
            </w:r>
          </w:p>
        </w:tc>
        <w:tc>
          <w:tcPr>
            <w:tcW w:w="1486" w:type="dxa"/>
            <w:shd w:val="clear" w:color="auto" w:fill="B5C0D8"/>
          </w:tcPr>
          <w:p w:rsidR="00D849AA" w:rsidRPr="00DE6ACB" w:rsidRDefault="00EE6D95">
            <w:pPr>
              <w:pStyle w:val="CellHeader"/>
            </w:pPr>
            <w:r w:rsidRPr="00DE6ACB">
              <w:t>Plan 2013.</w:t>
            </w:r>
          </w:p>
        </w:tc>
        <w:tc>
          <w:tcPr>
            <w:tcW w:w="1486" w:type="dxa"/>
            <w:shd w:val="clear" w:color="auto" w:fill="B5C0D8"/>
          </w:tcPr>
          <w:p w:rsidR="00D849AA" w:rsidRPr="00DE6ACB" w:rsidRDefault="00EE6D95">
            <w:pPr>
              <w:pStyle w:val="CellHeader"/>
            </w:pPr>
            <w:r w:rsidRPr="00DE6ACB">
              <w:t>Plan 2014.</w:t>
            </w:r>
          </w:p>
        </w:tc>
        <w:tc>
          <w:tcPr>
            <w:tcW w:w="1486" w:type="dxa"/>
            <w:shd w:val="clear" w:color="auto" w:fill="B5C0D8"/>
          </w:tcPr>
          <w:p w:rsidR="00D849AA" w:rsidRPr="00DE6ACB" w:rsidRDefault="00EE6D95">
            <w:pPr>
              <w:pStyle w:val="CellHeader"/>
            </w:pPr>
            <w:r w:rsidRPr="00DE6ACB">
              <w:t>Plan 2015.</w:t>
            </w:r>
          </w:p>
        </w:tc>
        <w:tc>
          <w:tcPr>
            <w:tcW w:w="1486" w:type="dxa"/>
            <w:shd w:val="clear" w:color="auto" w:fill="B5C0D8"/>
          </w:tcPr>
          <w:p w:rsidR="00D849AA" w:rsidRPr="00DE6ACB" w:rsidRDefault="00EE6D95">
            <w:pPr>
              <w:pStyle w:val="CellHeader"/>
            </w:pPr>
            <w:r w:rsidRPr="00DE6ACB">
              <w:t>Plan 2016.</w:t>
            </w:r>
          </w:p>
        </w:tc>
        <w:tc>
          <w:tcPr>
            <w:tcW w:w="1486" w:type="dxa"/>
            <w:shd w:val="clear" w:color="auto" w:fill="B5C0D8"/>
          </w:tcPr>
          <w:p w:rsidR="00D849AA" w:rsidRPr="00DE6ACB" w:rsidRDefault="00EE6D95">
            <w:pPr>
              <w:pStyle w:val="CellHeader"/>
            </w:pPr>
            <w:r w:rsidRPr="00DE6ACB">
              <w:t>Indeks 2014/2013</w:t>
            </w:r>
          </w:p>
        </w:tc>
      </w:tr>
      <w:tr w:rsidR="00D849AA" w:rsidRPr="00DE6ACB">
        <w:trPr>
          <w:jc w:val="center"/>
        </w:trPr>
        <w:tc>
          <w:tcPr>
            <w:tcW w:w="1486" w:type="dxa"/>
          </w:tcPr>
          <w:p w:rsidR="00D849AA" w:rsidRPr="00DE6ACB" w:rsidRDefault="00EE6D95">
            <w:pPr>
              <w:pStyle w:val="CellColumn"/>
            </w:pPr>
            <w:r w:rsidRPr="00DE6ACB">
              <w:t>A545064</w:t>
            </w:r>
          </w:p>
        </w:tc>
        <w:tc>
          <w:tcPr>
            <w:tcW w:w="1486" w:type="dxa"/>
          </w:tcPr>
          <w:p w:rsidR="00D849AA" w:rsidRPr="00DE6ACB" w:rsidRDefault="00EE6D95">
            <w:pPr>
              <w:rPr>
                <w:rFonts w:ascii="Arial" w:hAnsi="Arial" w:cs="Arial"/>
              </w:rPr>
            </w:pPr>
            <w:r w:rsidRPr="00DE6ACB">
              <w:rPr>
                <w:rFonts w:ascii="Arial" w:hAnsi="Arial" w:cs="Arial"/>
              </w:rPr>
              <w:t>56.320.500</w:t>
            </w:r>
          </w:p>
        </w:tc>
        <w:tc>
          <w:tcPr>
            <w:tcW w:w="1486" w:type="dxa"/>
          </w:tcPr>
          <w:p w:rsidR="00D849AA" w:rsidRPr="00DE6ACB" w:rsidRDefault="00EE6D95">
            <w:pPr>
              <w:rPr>
                <w:rFonts w:ascii="Arial" w:hAnsi="Arial" w:cs="Arial"/>
              </w:rPr>
            </w:pPr>
            <w:r w:rsidRPr="00DE6ACB">
              <w:rPr>
                <w:rFonts w:ascii="Arial" w:hAnsi="Arial" w:cs="Arial"/>
              </w:rPr>
              <w:t>57.596.000</w:t>
            </w:r>
          </w:p>
        </w:tc>
        <w:tc>
          <w:tcPr>
            <w:tcW w:w="1486" w:type="dxa"/>
          </w:tcPr>
          <w:p w:rsidR="00D849AA" w:rsidRPr="00DE6ACB" w:rsidRDefault="00EE6D95">
            <w:pPr>
              <w:rPr>
                <w:rFonts w:ascii="Arial" w:hAnsi="Arial" w:cs="Arial"/>
              </w:rPr>
            </w:pPr>
            <w:r w:rsidRPr="00DE6ACB">
              <w:rPr>
                <w:rFonts w:ascii="Arial" w:hAnsi="Arial" w:cs="Arial"/>
              </w:rPr>
              <w:t>57.915.000</w:t>
            </w:r>
          </w:p>
        </w:tc>
        <w:tc>
          <w:tcPr>
            <w:tcW w:w="1486" w:type="dxa"/>
          </w:tcPr>
          <w:p w:rsidR="00D849AA" w:rsidRPr="00DE6ACB" w:rsidRDefault="00EE6D95">
            <w:pPr>
              <w:rPr>
                <w:rFonts w:ascii="Arial" w:hAnsi="Arial" w:cs="Arial"/>
              </w:rPr>
            </w:pPr>
            <w:r w:rsidRPr="00DE6ACB">
              <w:rPr>
                <w:rFonts w:ascii="Arial" w:hAnsi="Arial" w:cs="Arial"/>
              </w:rPr>
              <w:t>57.915.000</w:t>
            </w:r>
          </w:p>
        </w:tc>
        <w:tc>
          <w:tcPr>
            <w:tcW w:w="1486" w:type="dxa"/>
          </w:tcPr>
          <w:p w:rsidR="00D849AA" w:rsidRPr="00DE6ACB" w:rsidRDefault="00EE6D95">
            <w:pPr>
              <w:rPr>
                <w:rFonts w:ascii="Arial" w:hAnsi="Arial" w:cs="Arial"/>
              </w:rPr>
            </w:pPr>
            <w:r w:rsidRPr="00DE6ACB">
              <w:rPr>
                <w:rFonts w:ascii="Arial" w:hAnsi="Arial" w:cs="Arial"/>
              </w:rPr>
              <w:t>102,3</w:t>
            </w:r>
          </w:p>
        </w:tc>
      </w:tr>
    </w:tbl>
    <w:p w:rsidR="00D849AA" w:rsidRDefault="00D849AA">
      <w:pPr>
        <w:jc w:val="left"/>
      </w:pPr>
    </w:p>
    <w:p w:rsidR="00D849AA" w:rsidRDefault="00EE6D95">
      <w:pPr>
        <w:pStyle w:val="Normal6"/>
      </w:pPr>
      <w:r>
        <w:t>Republika Hrvatska pridonosi sposobnostima NATO-a i EU te će nastaviti sa sudjelovanjem u NATO i EU vođenim operacijama sukladno raspoloživim resursima i potrebama. Članstvom u NATO-u, povećavaju se zahtjevi u pogledu stručnih i operativnih kapaciteta rada Stalne misije Republike Hrvatske pri Sjevernoatlantskom savezu, uključujući njezin vojni i obrambeni dio. Članstvo u EU povećava zahtjeve za svestranijim i intenzivnijim praćenjem te uključivanjem u aktivnosti na području Zajedničke sigurnosne i obrambene politike kao što je sudjelovanje u radu zajedničkih tijela i stožera, te doprinos njihovom funkcioniranju i izgradnji zajedničkih sposobnosti Saveza i EU. Cilj aktivnosti je uspješno sudjelovanje i potpora rada NATO-a kroz provedbu i participaciju u dijelu aktivnosti NATO-a, sudjelovanje na zasjedanjima NATO-ovih tijela, odbora i radnih skupina, uređeno djelovanje vojnog i obrambenog dijela Stalne misije Republike Hrvatske pri NATO-u za neometan rad NATO zapovjedništava, tijela i institucija.</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DE6ACB" w:rsidRDefault="00EE6D95">
            <w:pPr>
              <w:rPr>
                <w:rFonts w:ascii="Arial" w:hAnsi="Arial" w:cs="Arial"/>
              </w:rPr>
            </w:pPr>
            <w:r w:rsidRPr="00DE6ACB">
              <w:rPr>
                <w:rFonts w:ascii="Arial" w:hAnsi="Arial" w:cs="Arial"/>
              </w:rPr>
              <w:t>Pokazatelj rezultata</w:t>
            </w:r>
          </w:p>
        </w:tc>
        <w:tc>
          <w:tcPr>
            <w:tcW w:w="1114" w:type="dxa"/>
            <w:shd w:val="clear" w:color="auto" w:fill="B5C0D8"/>
          </w:tcPr>
          <w:p w:rsidR="00D849AA" w:rsidRPr="00DE6ACB" w:rsidRDefault="00EE6D95">
            <w:pPr>
              <w:pStyle w:val="CellHeader"/>
            </w:pPr>
            <w:r w:rsidRPr="00DE6ACB">
              <w:t>Jedinica</w:t>
            </w:r>
          </w:p>
        </w:tc>
        <w:tc>
          <w:tcPr>
            <w:tcW w:w="1114" w:type="dxa"/>
            <w:shd w:val="clear" w:color="auto" w:fill="B5C0D8"/>
          </w:tcPr>
          <w:p w:rsidR="00D849AA" w:rsidRPr="00DE6ACB" w:rsidRDefault="00EE6D95">
            <w:pPr>
              <w:pStyle w:val="CellHeader"/>
            </w:pPr>
            <w:r w:rsidRPr="00DE6ACB">
              <w:t>Polazna vrijednost</w:t>
            </w:r>
          </w:p>
        </w:tc>
        <w:tc>
          <w:tcPr>
            <w:tcW w:w="1486" w:type="dxa"/>
            <w:shd w:val="clear" w:color="auto" w:fill="B5C0D8"/>
          </w:tcPr>
          <w:p w:rsidR="00D849AA" w:rsidRPr="00DE6ACB" w:rsidRDefault="00EE6D95">
            <w:pPr>
              <w:pStyle w:val="CellHeader"/>
            </w:pPr>
            <w:r w:rsidRPr="00DE6ACB">
              <w:t>Ciljana vrijednost (2014.)</w:t>
            </w:r>
          </w:p>
        </w:tc>
        <w:tc>
          <w:tcPr>
            <w:tcW w:w="1486" w:type="dxa"/>
            <w:shd w:val="clear" w:color="auto" w:fill="B5C0D8"/>
          </w:tcPr>
          <w:p w:rsidR="00D849AA" w:rsidRPr="00DE6ACB" w:rsidRDefault="00EE6D95">
            <w:pPr>
              <w:pStyle w:val="CellHeader"/>
            </w:pPr>
            <w:r w:rsidRPr="00DE6ACB">
              <w:t>Ciljana vrijednost (2015.)</w:t>
            </w:r>
          </w:p>
        </w:tc>
        <w:tc>
          <w:tcPr>
            <w:tcW w:w="1486" w:type="dxa"/>
            <w:shd w:val="clear" w:color="auto" w:fill="B5C0D8"/>
          </w:tcPr>
          <w:p w:rsidR="00D849AA" w:rsidRPr="00DE6ACB" w:rsidRDefault="00EE6D95">
            <w:pPr>
              <w:pStyle w:val="CellHeader"/>
            </w:pPr>
            <w:r w:rsidRPr="00DE6ACB">
              <w:t>Ciljana vrijednost (2016.)</w:t>
            </w:r>
          </w:p>
        </w:tc>
      </w:tr>
      <w:tr w:rsidR="00D849AA">
        <w:trPr>
          <w:jc w:val="center"/>
        </w:trPr>
        <w:tc>
          <w:tcPr>
            <w:tcW w:w="2229" w:type="dxa"/>
          </w:tcPr>
          <w:p w:rsidR="00D849AA" w:rsidRPr="00DE6ACB" w:rsidRDefault="00EE6D95">
            <w:pPr>
              <w:pStyle w:val="CellColumn"/>
            </w:pPr>
            <w:r w:rsidRPr="00DE6ACB">
              <w:t>Broj NATO odbora i radnih skupina na kojima sudjeluju djelatnici Stalnog predstavništva RH</w:t>
            </w:r>
          </w:p>
        </w:tc>
        <w:tc>
          <w:tcPr>
            <w:tcW w:w="1114" w:type="dxa"/>
          </w:tcPr>
          <w:p w:rsidR="00D849AA" w:rsidRPr="00DE6ACB" w:rsidRDefault="00EE6D95">
            <w:pPr>
              <w:rPr>
                <w:rFonts w:ascii="Arial" w:hAnsi="Arial" w:cs="Arial"/>
              </w:rPr>
            </w:pPr>
            <w:r w:rsidRPr="00DE6ACB">
              <w:rPr>
                <w:rFonts w:ascii="Arial" w:hAnsi="Arial" w:cs="Arial"/>
              </w:rPr>
              <w:t>Broj</w:t>
            </w:r>
          </w:p>
        </w:tc>
        <w:tc>
          <w:tcPr>
            <w:tcW w:w="1114" w:type="dxa"/>
          </w:tcPr>
          <w:p w:rsidR="00D849AA" w:rsidRPr="00DE6ACB" w:rsidRDefault="00EE6D95">
            <w:pPr>
              <w:rPr>
                <w:rFonts w:ascii="Arial" w:hAnsi="Arial" w:cs="Arial"/>
              </w:rPr>
            </w:pPr>
            <w:r w:rsidRPr="00DE6ACB">
              <w:rPr>
                <w:rFonts w:ascii="Arial" w:hAnsi="Arial" w:cs="Arial"/>
              </w:rPr>
              <w:t>37</w:t>
            </w:r>
          </w:p>
        </w:tc>
        <w:tc>
          <w:tcPr>
            <w:tcW w:w="1486" w:type="dxa"/>
          </w:tcPr>
          <w:p w:rsidR="00D849AA" w:rsidRPr="00DE6ACB" w:rsidRDefault="00EE6D95">
            <w:pPr>
              <w:rPr>
                <w:rFonts w:ascii="Arial" w:hAnsi="Arial" w:cs="Arial"/>
              </w:rPr>
            </w:pPr>
            <w:r w:rsidRPr="00DE6ACB">
              <w:rPr>
                <w:rFonts w:ascii="Arial" w:hAnsi="Arial" w:cs="Arial"/>
              </w:rPr>
              <w:t>37</w:t>
            </w:r>
          </w:p>
        </w:tc>
        <w:tc>
          <w:tcPr>
            <w:tcW w:w="1486" w:type="dxa"/>
          </w:tcPr>
          <w:p w:rsidR="00D849AA" w:rsidRPr="00DE6ACB" w:rsidRDefault="00EE6D95">
            <w:pPr>
              <w:rPr>
                <w:rFonts w:ascii="Arial" w:hAnsi="Arial" w:cs="Arial"/>
              </w:rPr>
            </w:pPr>
            <w:r w:rsidRPr="00DE6ACB">
              <w:rPr>
                <w:rFonts w:ascii="Arial" w:hAnsi="Arial" w:cs="Arial"/>
              </w:rPr>
              <w:t>37</w:t>
            </w:r>
          </w:p>
        </w:tc>
        <w:tc>
          <w:tcPr>
            <w:tcW w:w="1486" w:type="dxa"/>
          </w:tcPr>
          <w:p w:rsidR="00D849AA" w:rsidRPr="00DE6ACB" w:rsidRDefault="00EE6D95">
            <w:pPr>
              <w:rPr>
                <w:rFonts w:ascii="Arial" w:hAnsi="Arial" w:cs="Arial"/>
              </w:rPr>
            </w:pPr>
            <w:r w:rsidRPr="00DE6ACB">
              <w:rPr>
                <w:rFonts w:ascii="Arial" w:hAnsi="Arial" w:cs="Arial"/>
              </w:rPr>
              <w:t>37</w:t>
            </w:r>
          </w:p>
        </w:tc>
      </w:tr>
      <w:tr w:rsidR="00D849AA">
        <w:trPr>
          <w:jc w:val="center"/>
        </w:trPr>
        <w:tc>
          <w:tcPr>
            <w:tcW w:w="2229" w:type="dxa"/>
          </w:tcPr>
          <w:p w:rsidR="00D849AA" w:rsidRPr="00DE6ACB" w:rsidRDefault="00EE6D95">
            <w:pPr>
              <w:pStyle w:val="CellColumn"/>
            </w:pPr>
            <w:r w:rsidRPr="00DE6ACB">
              <w:t xml:space="preserve">Broj djelatnika u Stalnom predstavništvu RH pri </w:t>
            </w:r>
            <w:r w:rsidRPr="00DE6ACB">
              <w:lastRenderedPageBreak/>
              <w:t>NATO-u te NATO i EU tijelima, zapovjedništvima i stožerima</w:t>
            </w:r>
          </w:p>
        </w:tc>
        <w:tc>
          <w:tcPr>
            <w:tcW w:w="1114" w:type="dxa"/>
          </w:tcPr>
          <w:p w:rsidR="00D849AA" w:rsidRPr="00DE6ACB" w:rsidRDefault="00EE6D95">
            <w:pPr>
              <w:rPr>
                <w:rFonts w:ascii="Arial" w:hAnsi="Arial" w:cs="Arial"/>
              </w:rPr>
            </w:pPr>
            <w:r w:rsidRPr="00DE6ACB">
              <w:rPr>
                <w:rFonts w:ascii="Arial" w:hAnsi="Arial" w:cs="Arial"/>
              </w:rPr>
              <w:lastRenderedPageBreak/>
              <w:t>Broj</w:t>
            </w:r>
          </w:p>
        </w:tc>
        <w:tc>
          <w:tcPr>
            <w:tcW w:w="1114" w:type="dxa"/>
          </w:tcPr>
          <w:p w:rsidR="00D849AA" w:rsidRPr="00DE6ACB" w:rsidRDefault="00EE6D95">
            <w:pPr>
              <w:rPr>
                <w:rFonts w:ascii="Arial" w:hAnsi="Arial" w:cs="Arial"/>
              </w:rPr>
            </w:pPr>
            <w:r w:rsidRPr="00DE6ACB">
              <w:rPr>
                <w:rFonts w:ascii="Arial" w:hAnsi="Arial" w:cs="Arial"/>
              </w:rPr>
              <w:t>43</w:t>
            </w:r>
          </w:p>
        </w:tc>
        <w:tc>
          <w:tcPr>
            <w:tcW w:w="1486" w:type="dxa"/>
          </w:tcPr>
          <w:p w:rsidR="00D849AA" w:rsidRPr="00DE6ACB" w:rsidRDefault="00EE6D95">
            <w:pPr>
              <w:rPr>
                <w:rFonts w:ascii="Arial" w:hAnsi="Arial" w:cs="Arial"/>
              </w:rPr>
            </w:pPr>
            <w:r w:rsidRPr="00DE6ACB">
              <w:rPr>
                <w:rFonts w:ascii="Arial" w:hAnsi="Arial" w:cs="Arial"/>
              </w:rPr>
              <w:t>43</w:t>
            </w:r>
          </w:p>
        </w:tc>
        <w:tc>
          <w:tcPr>
            <w:tcW w:w="1486" w:type="dxa"/>
          </w:tcPr>
          <w:p w:rsidR="00D849AA" w:rsidRPr="00DE6ACB" w:rsidRDefault="00EE6D95">
            <w:pPr>
              <w:rPr>
                <w:rFonts w:ascii="Arial" w:hAnsi="Arial" w:cs="Arial"/>
              </w:rPr>
            </w:pPr>
            <w:r w:rsidRPr="00DE6ACB">
              <w:rPr>
                <w:rFonts w:ascii="Arial" w:hAnsi="Arial" w:cs="Arial"/>
              </w:rPr>
              <w:t>43</w:t>
            </w:r>
          </w:p>
        </w:tc>
        <w:tc>
          <w:tcPr>
            <w:tcW w:w="1486" w:type="dxa"/>
          </w:tcPr>
          <w:p w:rsidR="00D849AA" w:rsidRPr="00DE6ACB" w:rsidRDefault="00EE6D95">
            <w:pPr>
              <w:rPr>
                <w:rFonts w:ascii="Arial" w:hAnsi="Arial" w:cs="Arial"/>
              </w:rPr>
            </w:pPr>
            <w:r w:rsidRPr="00DE6ACB">
              <w:rPr>
                <w:rFonts w:ascii="Arial" w:hAnsi="Arial" w:cs="Arial"/>
              </w:rPr>
              <w:t>43</w:t>
            </w:r>
          </w:p>
        </w:tc>
      </w:tr>
    </w:tbl>
    <w:p w:rsidR="00DE6ACB" w:rsidRDefault="00DE6ACB" w:rsidP="00DE6ACB">
      <w:pPr>
        <w:jc w:val="left"/>
      </w:pPr>
    </w:p>
    <w:p w:rsidR="00DE6ACB" w:rsidRDefault="00DE6ACB" w:rsidP="00DE6ACB">
      <w:pPr>
        <w:pStyle w:val="Naslov4"/>
      </w:pPr>
      <w:r>
        <w:t>OBRAZLOŽENJE PROGRAMA</w:t>
      </w:r>
    </w:p>
    <w:p w:rsidR="00D849AA" w:rsidRDefault="00EE6D95">
      <w:pPr>
        <w:pStyle w:val="Naslov5"/>
      </w:pPr>
      <w:r>
        <w:t>2509 MIROVNE MISIJE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DE6ACB" w:rsidRDefault="00D849AA">
            <w:pPr>
              <w:pStyle w:val="CellHeader"/>
            </w:pPr>
          </w:p>
        </w:tc>
        <w:tc>
          <w:tcPr>
            <w:tcW w:w="1486" w:type="dxa"/>
            <w:shd w:val="clear" w:color="auto" w:fill="B5C0D8"/>
          </w:tcPr>
          <w:p w:rsidR="00D849AA" w:rsidRPr="00DE6ACB" w:rsidRDefault="00EE6D95">
            <w:pPr>
              <w:pStyle w:val="CellHeader"/>
            </w:pPr>
            <w:r w:rsidRPr="00DE6ACB">
              <w:t>Plan 2013.</w:t>
            </w:r>
          </w:p>
        </w:tc>
        <w:tc>
          <w:tcPr>
            <w:tcW w:w="1486" w:type="dxa"/>
            <w:shd w:val="clear" w:color="auto" w:fill="B5C0D8"/>
          </w:tcPr>
          <w:p w:rsidR="00D849AA" w:rsidRPr="00DE6ACB" w:rsidRDefault="00EE6D95">
            <w:pPr>
              <w:pStyle w:val="CellHeader"/>
            </w:pPr>
            <w:r w:rsidRPr="00DE6ACB">
              <w:t>Plan 2014.</w:t>
            </w:r>
          </w:p>
        </w:tc>
        <w:tc>
          <w:tcPr>
            <w:tcW w:w="1486" w:type="dxa"/>
            <w:shd w:val="clear" w:color="auto" w:fill="B5C0D8"/>
          </w:tcPr>
          <w:p w:rsidR="00D849AA" w:rsidRPr="00DE6ACB" w:rsidRDefault="00EE6D95">
            <w:pPr>
              <w:pStyle w:val="CellHeader"/>
            </w:pPr>
            <w:r w:rsidRPr="00DE6ACB">
              <w:t>Plan 2015.</w:t>
            </w:r>
          </w:p>
        </w:tc>
        <w:tc>
          <w:tcPr>
            <w:tcW w:w="1486" w:type="dxa"/>
            <w:shd w:val="clear" w:color="auto" w:fill="B5C0D8"/>
          </w:tcPr>
          <w:p w:rsidR="00D849AA" w:rsidRPr="00DE6ACB" w:rsidRDefault="00EE6D95">
            <w:pPr>
              <w:pStyle w:val="CellHeader"/>
            </w:pPr>
            <w:r w:rsidRPr="00DE6ACB">
              <w:t>Plan 2016.</w:t>
            </w:r>
          </w:p>
        </w:tc>
        <w:tc>
          <w:tcPr>
            <w:tcW w:w="1486" w:type="dxa"/>
            <w:shd w:val="clear" w:color="auto" w:fill="B5C0D8"/>
          </w:tcPr>
          <w:p w:rsidR="00D849AA" w:rsidRPr="00DE6ACB" w:rsidRDefault="00EE6D95">
            <w:pPr>
              <w:pStyle w:val="CellHeader"/>
            </w:pPr>
            <w:r w:rsidRPr="00DE6ACB">
              <w:t>Indeks 2014/2013</w:t>
            </w:r>
          </w:p>
        </w:tc>
      </w:tr>
      <w:tr w:rsidR="00D849AA">
        <w:trPr>
          <w:jc w:val="center"/>
        </w:trPr>
        <w:tc>
          <w:tcPr>
            <w:tcW w:w="1486" w:type="dxa"/>
          </w:tcPr>
          <w:p w:rsidR="00D849AA" w:rsidRPr="00DE6ACB" w:rsidRDefault="00EE6D95">
            <w:pPr>
              <w:pStyle w:val="CellColumn"/>
            </w:pPr>
            <w:r w:rsidRPr="00DE6ACB">
              <w:t>2509</w:t>
            </w:r>
          </w:p>
        </w:tc>
        <w:tc>
          <w:tcPr>
            <w:tcW w:w="1486" w:type="dxa"/>
          </w:tcPr>
          <w:p w:rsidR="00D849AA" w:rsidRPr="00DE6ACB" w:rsidRDefault="00EE6D95">
            <w:pPr>
              <w:rPr>
                <w:rFonts w:ascii="Arial" w:hAnsi="Arial" w:cs="Arial"/>
              </w:rPr>
            </w:pPr>
            <w:r w:rsidRPr="00DE6ACB">
              <w:rPr>
                <w:rFonts w:ascii="Arial" w:hAnsi="Arial" w:cs="Arial"/>
              </w:rPr>
              <w:t>212.600.000</w:t>
            </w:r>
          </w:p>
        </w:tc>
        <w:tc>
          <w:tcPr>
            <w:tcW w:w="1486" w:type="dxa"/>
          </w:tcPr>
          <w:p w:rsidR="00D849AA" w:rsidRPr="00DE6ACB" w:rsidRDefault="00EE6D95">
            <w:pPr>
              <w:rPr>
                <w:rFonts w:ascii="Arial" w:hAnsi="Arial" w:cs="Arial"/>
              </w:rPr>
            </w:pPr>
            <w:r w:rsidRPr="00DE6ACB">
              <w:rPr>
                <w:rFonts w:ascii="Arial" w:hAnsi="Arial" w:cs="Arial"/>
              </w:rPr>
              <w:t>186.040.000</w:t>
            </w:r>
          </w:p>
        </w:tc>
        <w:tc>
          <w:tcPr>
            <w:tcW w:w="1486" w:type="dxa"/>
          </w:tcPr>
          <w:p w:rsidR="00D849AA" w:rsidRPr="00DE6ACB" w:rsidRDefault="00EE6D95">
            <w:pPr>
              <w:rPr>
                <w:rFonts w:ascii="Arial" w:hAnsi="Arial" w:cs="Arial"/>
              </w:rPr>
            </w:pPr>
            <w:r w:rsidRPr="00DE6ACB">
              <w:rPr>
                <w:rFonts w:ascii="Arial" w:hAnsi="Arial" w:cs="Arial"/>
              </w:rPr>
              <w:t>154.845.000</w:t>
            </w:r>
          </w:p>
        </w:tc>
        <w:tc>
          <w:tcPr>
            <w:tcW w:w="1486" w:type="dxa"/>
          </w:tcPr>
          <w:p w:rsidR="00D849AA" w:rsidRPr="00DE6ACB" w:rsidRDefault="00EE6D95">
            <w:pPr>
              <w:rPr>
                <w:rFonts w:ascii="Arial" w:hAnsi="Arial" w:cs="Arial"/>
              </w:rPr>
            </w:pPr>
            <w:r w:rsidRPr="00DE6ACB">
              <w:rPr>
                <w:rFonts w:ascii="Arial" w:hAnsi="Arial" w:cs="Arial"/>
              </w:rPr>
              <w:t>152.371.000</w:t>
            </w:r>
          </w:p>
        </w:tc>
        <w:tc>
          <w:tcPr>
            <w:tcW w:w="1486" w:type="dxa"/>
          </w:tcPr>
          <w:p w:rsidR="00D849AA" w:rsidRPr="00DE6ACB" w:rsidRDefault="00EE6D95">
            <w:pPr>
              <w:rPr>
                <w:rFonts w:ascii="Arial" w:hAnsi="Arial" w:cs="Arial"/>
              </w:rPr>
            </w:pPr>
            <w:r w:rsidRPr="00DE6ACB">
              <w:rPr>
                <w:rFonts w:ascii="Arial" w:hAnsi="Arial" w:cs="Arial"/>
              </w:rPr>
              <w:t>87,5</w:t>
            </w:r>
          </w:p>
        </w:tc>
      </w:tr>
    </w:tbl>
    <w:p w:rsidR="00D849AA" w:rsidRDefault="00D849AA">
      <w:pPr>
        <w:jc w:val="left"/>
      </w:pPr>
    </w:p>
    <w:p w:rsidR="00D849AA" w:rsidRDefault="00EE6D95">
      <w:pPr>
        <w:pStyle w:val="Naslov6"/>
      </w:pPr>
      <w:r>
        <w:t>Opis programa</w:t>
      </w:r>
    </w:p>
    <w:p w:rsidR="00D849AA" w:rsidRDefault="00EE6D95">
      <w:pPr>
        <w:pStyle w:val="Normal5"/>
      </w:pPr>
      <w:r>
        <w:t>Sudjelovanjem u mirovnim misijama i operacijama Republika Hrvatska ispunjava preuzete međunarodne obveze. Sudjelovanje pripadnika OS RH u međunarodnim mirovnim misijama i operacijama, kako pojedinaca tako i postrojbi OS RH, temelji se na učinkovitoj pripremi prije upućivanja na zadaće te stvaranju uvjeta najviše sigurnosti pripadnika OS RH na području izvršenja misija i operacija. Postrojbe OS RH se deklariraju i pripremaju za sudjelovanje u snagama brzog odgovora NATO-a (NRF), misijama i operacijama pod okriljem UN te borbenim skupinama EU-a (EU Battlegroups). RH će doprinositi sposobnostima NATO-a u promjenjivom međunarodnom sigurnosnom okruženju u odgovoru na sadašnje i buduće izazove, te će nastaviti sudjelovati u NATO i EU vođenim operacijama.</w:t>
      </w:r>
    </w:p>
    <w:p w:rsidR="00D849AA" w:rsidRDefault="00EE6D95">
      <w:pPr>
        <w:pStyle w:val="Naslov6"/>
      </w:pPr>
      <w:r>
        <w:t>Zakonske i druge pravne osnove</w:t>
      </w:r>
    </w:p>
    <w:p w:rsidR="00D849AA" w:rsidRDefault="00EE6D95">
      <w:pPr>
        <w:pStyle w:val="Normal5"/>
      </w:pPr>
      <w:r>
        <w:t>Zakon o obrani (NN 73/13), Zakon o službi u OS RH (NN 73/13), Odluke Hrvatskog sabora o sudjelovanju pripadnika OS RH u mirovnim misijama i operacijama.</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Cilj 1. Aktivno sudjelovati u izgradnji sigurnosnog međunarodnog okruženja</w:t>
      </w:r>
    </w:p>
    <w:p w:rsidR="00D849AA" w:rsidRDefault="00EE6D95">
      <w:pPr>
        <w:pStyle w:val="Normal6"/>
      </w:pPr>
      <w:r>
        <w:t>Republika Hrvatska ispunjava preuzete međunarodne obveze sudjelovanjem u međunarodnim mirovnim misijama i operacijama. Sudjelovanje pripadnika Oružanih snaga u međunarodnim mirovnim misijama i operacijama temelji se na učinkovitoj pripremi prije upućivanja na zadaću te na stvaranju sigurnosnih uvjeta pripadnika Oružanih snaga na području provedbe misija i operacija. Provedba cilja obuhvaća aktivno sudjelovanje snaga i stožernog osoblja u NATO i EU vođenim mirovnim operacijama, sudjelovanje s deklariranim i ocijenjenim postrojbama u statusu spremnosti, stožernim časnicima i časnicima za vezu u sastavu NATO i EU snaga za odgovor, sudjelovanje u UN vođenim misijama s angažiranim postrojbama te vojnim promatračima, stožernim časnicima i vojnim stručnjacima u pojedinačnim mirovnim misijama UN-a.</w:t>
      </w:r>
    </w:p>
    <w:p w:rsidR="00DE6ACB" w:rsidRDefault="00DE6ACB">
      <w:pPr>
        <w:pStyle w:val="Normal6"/>
      </w:pPr>
    </w:p>
    <w:p w:rsidR="00DE6ACB" w:rsidRDefault="00DE6ACB">
      <w:pPr>
        <w:pStyle w:val="Normal6"/>
      </w:pPr>
    </w:p>
    <w:p w:rsidR="00D849AA" w:rsidRDefault="00EE6D95">
      <w:pPr>
        <w:pStyle w:val="Naslov8"/>
        <w:jc w:val="left"/>
      </w:pPr>
      <w:r>
        <w:lastRenderedPageBreak/>
        <w:t>Pokazatelji učinka</w:t>
      </w:r>
    </w:p>
    <w:tbl>
      <w:tblPr>
        <w:tblStyle w:val="Reetkatablice"/>
        <w:tblW w:w="0" w:type="auto"/>
        <w:jc w:val="center"/>
        <w:tblLook w:val="04A0" w:firstRow="1" w:lastRow="0" w:firstColumn="1" w:lastColumn="0" w:noHBand="0" w:noVBand="1"/>
      </w:tblPr>
      <w:tblGrid>
        <w:gridCol w:w="2229"/>
        <w:gridCol w:w="1139"/>
        <w:gridCol w:w="1114"/>
        <w:gridCol w:w="1486"/>
        <w:gridCol w:w="1486"/>
        <w:gridCol w:w="1486"/>
      </w:tblGrid>
      <w:tr w:rsidR="00D849AA">
        <w:trPr>
          <w:jc w:val="center"/>
        </w:trPr>
        <w:tc>
          <w:tcPr>
            <w:tcW w:w="2229" w:type="dxa"/>
            <w:shd w:val="clear" w:color="auto" w:fill="B5C0D8"/>
          </w:tcPr>
          <w:p w:rsidR="00D849AA" w:rsidRPr="00DE6ACB" w:rsidRDefault="00EE6D95">
            <w:pPr>
              <w:rPr>
                <w:rFonts w:ascii="Arial" w:hAnsi="Arial" w:cs="Arial"/>
              </w:rPr>
            </w:pPr>
            <w:r w:rsidRPr="00DE6ACB">
              <w:rPr>
                <w:rFonts w:ascii="Arial" w:hAnsi="Arial" w:cs="Arial"/>
              </w:rPr>
              <w:t>Pokazatelj učinka</w:t>
            </w:r>
          </w:p>
        </w:tc>
        <w:tc>
          <w:tcPr>
            <w:tcW w:w="1114" w:type="dxa"/>
            <w:shd w:val="clear" w:color="auto" w:fill="B5C0D8"/>
          </w:tcPr>
          <w:p w:rsidR="00D849AA" w:rsidRPr="00DE6ACB" w:rsidRDefault="00EE6D95">
            <w:pPr>
              <w:pStyle w:val="CellHeader"/>
            </w:pPr>
            <w:r w:rsidRPr="00DE6ACB">
              <w:t>Jedinica</w:t>
            </w:r>
          </w:p>
        </w:tc>
        <w:tc>
          <w:tcPr>
            <w:tcW w:w="1114" w:type="dxa"/>
            <w:shd w:val="clear" w:color="auto" w:fill="B5C0D8"/>
          </w:tcPr>
          <w:p w:rsidR="00D849AA" w:rsidRPr="00DE6ACB" w:rsidRDefault="00EE6D95">
            <w:pPr>
              <w:pStyle w:val="CellHeader"/>
            </w:pPr>
            <w:r w:rsidRPr="00DE6ACB">
              <w:t>Polazna vrijednost</w:t>
            </w:r>
          </w:p>
        </w:tc>
        <w:tc>
          <w:tcPr>
            <w:tcW w:w="1486" w:type="dxa"/>
            <w:shd w:val="clear" w:color="auto" w:fill="B5C0D8"/>
          </w:tcPr>
          <w:p w:rsidR="00D849AA" w:rsidRPr="00DE6ACB" w:rsidRDefault="00EE6D95">
            <w:pPr>
              <w:pStyle w:val="CellHeader"/>
            </w:pPr>
            <w:r w:rsidRPr="00DE6ACB">
              <w:t>Ciljana vrijednost (2014.)</w:t>
            </w:r>
          </w:p>
        </w:tc>
        <w:tc>
          <w:tcPr>
            <w:tcW w:w="1486" w:type="dxa"/>
            <w:shd w:val="clear" w:color="auto" w:fill="B5C0D8"/>
          </w:tcPr>
          <w:p w:rsidR="00D849AA" w:rsidRPr="00DE6ACB" w:rsidRDefault="00EE6D95">
            <w:pPr>
              <w:pStyle w:val="CellHeader"/>
            </w:pPr>
            <w:r w:rsidRPr="00DE6ACB">
              <w:t>Ciljana vrijednost (2015.)</w:t>
            </w:r>
          </w:p>
        </w:tc>
        <w:tc>
          <w:tcPr>
            <w:tcW w:w="1486" w:type="dxa"/>
            <w:shd w:val="clear" w:color="auto" w:fill="B5C0D8"/>
          </w:tcPr>
          <w:p w:rsidR="00D849AA" w:rsidRPr="00DE6ACB" w:rsidRDefault="00EE6D95">
            <w:pPr>
              <w:pStyle w:val="CellHeader"/>
            </w:pPr>
            <w:r w:rsidRPr="00DE6ACB">
              <w:t>Ciljana vrijednost (2016.)</w:t>
            </w:r>
          </w:p>
        </w:tc>
      </w:tr>
      <w:tr w:rsidR="00D849AA">
        <w:trPr>
          <w:jc w:val="center"/>
        </w:trPr>
        <w:tc>
          <w:tcPr>
            <w:tcW w:w="2229" w:type="dxa"/>
          </w:tcPr>
          <w:p w:rsidR="00D849AA" w:rsidRPr="00DE6ACB" w:rsidRDefault="00EE6D95">
            <w:pPr>
              <w:pStyle w:val="CellColumn"/>
            </w:pPr>
            <w:r w:rsidRPr="00DE6ACB">
              <w:t>Doprinos stabilnosti, miru i demokraciji u svijetu</w:t>
            </w:r>
          </w:p>
        </w:tc>
        <w:tc>
          <w:tcPr>
            <w:tcW w:w="1114" w:type="dxa"/>
          </w:tcPr>
          <w:p w:rsidR="00D849AA" w:rsidRPr="00DE6ACB" w:rsidRDefault="00EE6D95">
            <w:pPr>
              <w:rPr>
                <w:rFonts w:ascii="Arial" w:hAnsi="Arial" w:cs="Arial"/>
              </w:rPr>
            </w:pPr>
            <w:r w:rsidRPr="00DE6ACB">
              <w:rPr>
                <w:rFonts w:ascii="Arial" w:hAnsi="Arial" w:cs="Arial"/>
              </w:rPr>
              <w:t>Ispunjeni ciljevi po preuzetim obvezama</w:t>
            </w:r>
          </w:p>
        </w:tc>
        <w:tc>
          <w:tcPr>
            <w:tcW w:w="1114" w:type="dxa"/>
          </w:tcPr>
          <w:p w:rsidR="00D849AA" w:rsidRPr="00DE6ACB" w:rsidRDefault="00EE6D95">
            <w:pPr>
              <w:rPr>
                <w:rFonts w:ascii="Arial" w:hAnsi="Arial" w:cs="Arial"/>
              </w:rPr>
            </w:pPr>
            <w:r w:rsidRPr="00DE6ACB">
              <w:rPr>
                <w:rFonts w:ascii="Arial" w:hAnsi="Arial" w:cs="Arial"/>
              </w:rPr>
              <w:t>da</w:t>
            </w:r>
          </w:p>
        </w:tc>
        <w:tc>
          <w:tcPr>
            <w:tcW w:w="1486" w:type="dxa"/>
          </w:tcPr>
          <w:p w:rsidR="00D849AA" w:rsidRPr="00DE6ACB" w:rsidRDefault="00EE6D95">
            <w:pPr>
              <w:rPr>
                <w:rFonts w:ascii="Arial" w:hAnsi="Arial" w:cs="Arial"/>
              </w:rPr>
            </w:pPr>
            <w:r w:rsidRPr="00DE6ACB">
              <w:rPr>
                <w:rFonts w:ascii="Arial" w:hAnsi="Arial" w:cs="Arial"/>
              </w:rPr>
              <w:t>da</w:t>
            </w:r>
          </w:p>
        </w:tc>
        <w:tc>
          <w:tcPr>
            <w:tcW w:w="1486" w:type="dxa"/>
          </w:tcPr>
          <w:p w:rsidR="00D849AA" w:rsidRPr="00DE6ACB" w:rsidRDefault="00EE6D95">
            <w:pPr>
              <w:rPr>
                <w:rFonts w:ascii="Arial" w:hAnsi="Arial" w:cs="Arial"/>
              </w:rPr>
            </w:pPr>
            <w:r w:rsidRPr="00DE6ACB">
              <w:rPr>
                <w:rFonts w:ascii="Arial" w:hAnsi="Arial" w:cs="Arial"/>
              </w:rPr>
              <w:t>da</w:t>
            </w:r>
          </w:p>
        </w:tc>
        <w:tc>
          <w:tcPr>
            <w:tcW w:w="1486" w:type="dxa"/>
          </w:tcPr>
          <w:p w:rsidR="00D849AA" w:rsidRPr="00DE6ACB" w:rsidRDefault="00EE6D95">
            <w:pPr>
              <w:rPr>
                <w:rFonts w:ascii="Arial" w:hAnsi="Arial" w:cs="Arial"/>
              </w:rPr>
            </w:pPr>
            <w:r w:rsidRPr="00DE6ACB">
              <w:rPr>
                <w:rFonts w:ascii="Arial" w:hAnsi="Arial" w:cs="Arial"/>
              </w:rPr>
              <w:t>da</w:t>
            </w:r>
          </w:p>
        </w:tc>
      </w:tr>
    </w:tbl>
    <w:p w:rsidR="00D849AA" w:rsidRDefault="00D849AA">
      <w:pPr>
        <w:jc w:val="left"/>
      </w:pPr>
    </w:p>
    <w:p w:rsidR="00D849AA" w:rsidRDefault="00EE6D95">
      <w:pPr>
        <w:pStyle w:val="Naslov5"/>
      </w:pPr>
      <w:r>
        <w:t>Procjena i ishodište potrebnih sredstava za značajnije aktivnosti/projekte</w:t>
      </w:r>
    </w:p>
    <w:p w:rsidR="00D849AA" w:rsidRDefault="00EE6D95">
      <w:pPr>
        <w:pStyle w:val="Naslov6"/>
      </w:pPr>
      <w:r>
        <w:t>A545065 UN MISIJE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DE6ACB" w:rsidRDefault="00EE6D95">
            <w:pPr>
              <w:pStyle w:val="CellHeader"/>
            </w:pPr>
            <w:r w:rsidRPr="00DE6ACB">
              <w:t>Naziv aktivnosti</w:t>
            </w:r>
          </w:p>
        </w:tc>
        <w:tc>
          <w:tcPr>
            <w:tcW w:w="1486" w:type="dxa"/>
            <w:shd w:val="clear" w:color="auto" w:fill="B5C0D8"/>
          </w:tcPr>
          <w:p w:rsidR="00D849AA" w:rsidRPr="00DE6ACB" w:rsidRDefault="00EE6D95">
            <w:pPr>
              <w:pStyle w:val="CellHeader"/>
            </w:pPr>
            <w:r w:rsidRPr="00DE6ACB">
              <w:t>Plan 2013.</w:t>
            </w:r>
          </w:p>
        </w:tc>
        <w:tc>
          <w:tcPr>
            <w:tcW w:w="1486" w:type="dxa"/>
            <w:shd w:val="clear" w:color="auto" w:fill="B5C0D8"/>
          </w:tcPr>
          <w:p w:rsidR="00D849AA" w:rsidRPr="00DE6ACB" w:rsidRDefault="00EE6D95">
            <w:pPr>
              <w:pStyle w:val="CellHeader"/>
            </w:pPr>
            <w:r w:rsidRPr="00DE6ACB">
              <w:t>Plan 2014.</w:t>
            </w:r>
          </w:p>
        </w:tc>
        <w:tc>
          <w:tcPr>
            <w:tcW w:w="1486" w:type="dxa"/>
            <w:shd w:val="clear" w:color="auto" w:fill="B5C0D8"/>
          </w:tcPr>
          <w:p w:rsidR="00D849AA" w:rsidRPr="00DE6ACB" w:rsidRDefault="00EE6D95">
            <w:pPr>
              <w:pStyle w:val="CellHeader"/>
            </w:pPr>
            <w:r w:rsidRPr="00DE6ACB">
              <w:t>Plan 2015.</w:t>
            </w:r>
          </w:p>
        </w:tc>
        <w:tc>
          <w:tcPr>
            <w:tcW w:w="1486" w:type="dxa"/>
            <w:shd w:val="clear" w:color="auto" w:fill="B5C0D8"/>
          </w:tcPr>
          <w:p w:rsidR="00D849AA" w:rsidRPr="00DE6ACB" w:rsidRDefault="00EE6D95">
            <w:pPr>
              <w:pStyle w:val="CellHeader"/>
            </w:pPr>
            <w:r w:rsidRPr="00DE6ACB">
              <w:t>Plan 2016.</w:t>
            </w:r>
          </w:p>
        </w:tc>
        <w:tc>
          <w:tcPr>
            <w:tcW w:w="1486" w:type="dxa"/>
            <w:shd w:val="clear" w:color="auto" w:fill="B5C0D8"/>
          </w:tcPr>
          <w:p w:rsidR="00D849AA" w:rsidRPr="00DE6ACB" w:rsidRDefault="00EE6D95">
            <w:pPr>
              <w:pStyle w:val="CellHeader"/>
            </w:pPr>
            <w:r w:rsidRPr="00DE6ACB">
              <w:t>Indeks 2014/2013</w:t>
            </w:r>
          </w:p>
        </w:tc>
      </w:tr>
      <w:tr w:rsidR="00D849AA">
        <w:trPr>
          <w:jc w:val="center"/>
        </w:trPr>
        <w:tc>
          <w:tcPr>
            <w:tcW w:w="1486" w:type="dxa"/>
          </w:tcPr>
          <w:p w:rsidR="00D849AA" w:rsidRPr="00DE6ACB" w:rsidRDefault="00EE6D95">
            <w:pPr>
              <w:pStyle w:val="CellColumn"/>
            </w:pPr>
            <w:r w:rsidRPr="00DE6ACB">
              <w:t>A545065</w:t>
            </w:r>
          </w:p>
        </w:tc>
        <w:tc>
          <w:tcPr>
            <w:tcW w:w="1486" w:type="dxa"/>
          </w:tcPr>
          <w:p w:rsidR="00D849AA" w:rsidRPr="00DE6ACB" w:rsidRDefault="00EE6D95">
            <w:pPr>
              <w:rPr>
                <w:rFonts w:ascii="Arial" w:hAnsi="Arial" w:cs="Arial"/>
              </w:rPr>
            </w:pPr>
            <w:r w:rsidRPr="00DE6ACB">
              <w:rPr>
                <w:rFonts w:ascii="Arial" w:hAnsi="Arial" w:cs="Arial"/>
              </w:rPr>
              <w:t>14.725.000</w:t>
            </w:r>
          </w:p>
        </w:tc>
        <w:tc>
          <w:tcPr>
            <w:tcW w:w="1486" w:type="dxa"/>
          </w:tcPr>
          <w:p w:rsidR="00D849AA" w:rsidRPr="00DE6ACB" w:rsidRDefault="00EE6D95">
            <w:pPr>
              <w:rPr>
                <w:rFonts w:ascii="Arial" w:hAnsi="Arial" w:cs="Arial"/>
              </w:rPr>
            </w:pPr>
            <w:r w:rsidRPr="00DE6ACB">
              <w:rPr>
                <w:rFonts w:ascii="Arial" w:hAnsi="Arial" w:cs="Arial"/>
              </w:rPr>
              <w:t>3.610.000</w:t>
            </w:r>
          </w:p>
        </w:tc>
        <w:tc>
          <w:tcPr>
            <w:tcW w:w="1486" w:type="dxa"/>
          </w:tcPr>
          <w:p w:rsidR="00D849AA" w:rsidRPr="00DE6ACB" w:rsidRDefault="00EE6D95">
            <w:pPr>
              <w:rPr>
                <w:rFonts w:ascii="Arial" w:hAnsi="Arial" w:cs="Arial"/>
              </w:rPr>
            </w:pPr>
            <w:r w:rsidRPr="00DE6ACB">
              <w:rPr>
                <w:rFonts w:ascii="Arial" w:hAnsi="Arial" w:cs="Arial"/>
              </w:rPr>
              <w:t>3.610.000</w:t>
            </w:r>
          </w:p>
        </w:tc>
        <w:tc>
          <w:tcPr>
            <w:tcW w:w="1486" w:type="dxa"/>
          </w:tcPr>
          <w:p w:rsidR="00D849AA" w:rsidRPr="00DE6ACB" w:rsidRDefault="00EE6D95">
            <w:pPr>
              <w:rPr>
                <w:rFonts w:ascii="Arial" w:hAnsi="Arial" w:cs="Arial"/>
              </w:rPr>
            </w:pPr>
            <w:r w:rsidRPr="00DE6ACB">
              <w:rPr>
                <w:rFonts w:ascii="Arial" w:hAnsi="Arial" w:cs="Arial"/>
              </w:rPr>
              <w:t>3.610.000</w:t>
            </w:r>
          </w:p>
        </w:tc>
        <w:tc>
          <w:tcPr>
            <w:tcW w:w="1486" w:type="dxa"/>
          </w:tcPr>
          <w:p w:rsidR="00D849AA" w:rsidRPr="00DE6ACB" w:rsidRDefault="00EE6D95">
            <w:pPr>
              <w:rPr>
                <w:rFonts w:ascii="Arial" w:hAnsi="Arial" w:cs="Arial"/>
              </w:rPr>
            </w:pPr>
            <w:r w:rsidRPr="00DE6ACB">
              <w:rPr>
                <w:rFonts w:ascii="Arial" w:hAnsi="Arial" w:cs="Arial"/>
              </w:rPr>
              <w:t>24,5</w:t>
            </w:r>
          </w:p>
        </w:tc>
      </w:tr>
    </w:tbl>
    <w:p w:rsidR="00D849AA" w:rsidRDefault="00D849AA">
      <w:pPr>
        <w:jc w:val="left"/>
      </w:pPr>
    </w:p>
    <w:p w:rsidR="00D849AA" w:rsidRDefault="00EE6D95">
      <w:pPr>
        <w:pStyle w:val="Normal6"/>
      </w:pPr>
      <w:r>
        <w:t xml:space="preserve">Oružane snage Republike Hrvatske u 2014. godini sudjelovat će u 5 mirovnih misija UN-a s 21 pripadnikom. Definirane su redovite rotacije, broj i organizacijska struktura pripadnika Oružanih snaga Republike Hrvatske u misijama UN-a.  </w:t>
      </w:r>
    </w:p>
    <w:p w:rsidR="00D849AA" w:rsidRDefault="00EE6D95">
      <w:pPr>
        <w:pStyle w:val="Normal6"/>
      </w:pPr>
      <w:r>
        <w:t>U razdoblju 2014.-2016. očekuje se zadržavanje postojećeg broja misija i pripadnika:  UN misija Indija/Pakistan UNMOGIP – 9 pripadnika OS RH, UN misija na Cipru UNFICYP – 2 pripadnika OS RH, UN misija u Libanonu UNIFIL – 1 pripadnik OS RH, UN misija u Zapadnoj Sahari MINURSO – 7 pripadnika OS RH, UN misija u Liberiji UNMIL – 2 pripadnika OS RH.</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DE6ACB" w:rsidRDefault="00EE6D95">
            <w:pPr>
              <w:rPr>
                <w:rFonts w:ascii="Arial" w:hAnsi="Arial" w:cs="Arial"/>
              </w:rPr>
            </w:pPr>
            <w:r w:rsidRPr="00DE6ACB">
              <w:rPr>
                <w:rFonts w:ascii="Arial" w:hAnsi="Arial" w:cs="Arial"/>
              </w:rPr>
              <w:t>Pokazatelj rezultata</w:t>
            </w:r>
          </w:p>
        </w:tc>
        <w:tc>
          <w:tcPr>
            <w:tcW w:w="1114" w:type="dxa"/>
            <w:shd w:val="clear" w:color="auto" w:fill="B5C0D8"/>
          </w:tcPr>
          <w:p w:rsidR="00D849AA" w:rsidRPr="00DE6ACB" w:rsidRDefault="00EE6D95">
            <w:pPr>
              <w:pStyle w:val="CellHeader"/>
            </w:pPr>
            <w:r w:rsidRPr="00DE6ACB">
              <w:t>Jedinica</w:t>
            </w:r>
          </w:p>
        </w:tc>
        <w:tc>
          <w:tcPr>
            <w:tcW w:w="1114" w:type="dxa"/>
            <w:shd w:val="clear" w:color="auto" w:fill="B5C0D8"/>
          </w:tcPr>
          <w:p w:rsidR="00D849AA" w:rsidRPr="00DE6ACB" w:rsidRDefault="00EE6D95">
            <w:pPr>
              <w:pStyle w:val="CellHeader"/>
            </w:pPr>
            <w:r w:rsidRPr="00DE6ACB">
              <w:t>Polazna vrijednost</w:t>
            </w:r>
          </w:p>
        </w:tc>
        <w:tc>
          <w:tcPr>
            <w:tcW w:w="1486" w:type="dxa"/>
            <w:shd w:val="clear" w:color="auto" w:fill="B5C0D8"/>
          </w:tcPr>
          <w:p w:rsidR="00D849AA" w:rsidRPr="00DE6ACB" w:rsidRDefault="00EE6D95">
            <w:pPr>
              <w:pStyle w:val="CellHeader"/>
            </w:pPr>
            <w:r w:rsidRPr="00DE6ACB">
              <w:t>Ciljana vrijednost (2014.)</w:t>
            </w:r>
          </w:p>
        </w:tc>
        <w:tc>
          <w:tcPr>
            <w:tcW w:w="1486" w:type="dxa"/>
            <w:shd w:val="clear" w:color="auto" w:fill="B5C0D8"/>
          </w:tcPr>
          <w:p w:rsidR="00D849AA" w:rsidRPr="00DE6ACB" w:rsidRDefault="00EE6D95">
            <w:pPr>
              <w:pStyle w:val="CellHeader"/>
            </w:pPr>
            <w:r w:rsidRPr="00DE6ACB">
              <w:t>Ciljana vrijednost (2015.)</w:t>
            </w:r>
          </w:p>
        </w:tc>
        <w:tc>
          <w:tcPr>
            <w:tcW w:w="1486" w:type="dxa"/>
            <w:shd w:val="clear" w:color="auto" w:fill="B5C0D8"/>
          </w:tcPr>
          <w:p w:rsidR="00D849AA" w:rsidRPr="00DE6ACB" w:rsidRDefault="00EE6D95">
            <w:pPr>
              <w:pStyle w:val="CellHeader"/>
            </w:pPr>
            <w:r w:rsidRPr="00DE6ACB">
              <w:t>Ciljana vrijednost (2016.)</w:t>
            </w:r>
          </w:p>
        </w:tc>
      </w:tr>
      <w:tr w:rsidR="00D849AA">
        <w:trPr>
          <w:jc w:val="center"/>
        </w:trPr>
        <w:tc>
          <w:tcPr>
            <w:tcW w:w="2229" w:type="dxa"/>
          </w:tcPr>
          <w:p w:rsidR="00D849AA" w:rsidRPr="00DE6ACB" w:rsidRDefault="00EE6D95">
            <w:pPr>
              <w:pStyle w:val="CellColumn"/>
            </w:pPr>
            <w:r w:rsidRPr="00DE6ACB">
              <w:t>Broj UN misija</w:t>
            </w:r>
          </w:p>
        </w:tc>
        <w:tc>
          <w:tcPr>
            <w:tcW w:w="1114" w:type="dxa"/>
          </w:tcPr>
          <w:p w:rsidR="00D849AA" w:rsidRPr="00DE6ACB" w:rsidRDefault="00EE6D95">
            <w:pPr>
              <w:rPr>
                <w:rFonts w:ascii="Arial" w:hAnsi="Arial" w:cs="Arial"/>
              </w:rPr>
            </w:pPr>
            <w:r w:rsidRPr="00DE6ACB">
              <w:rPr>
                <w:rFonts w:ascii="Arial" w:hAnsi="Arial" w:cs="Arial"/>
              </w:rPr>
              <w:t>Broj</w:t>
            </w:r>
          </w:p>
        </w:tc>
        <w:tc>
          <w:tcPr>
            <w:tcW w:w="1114" w:type="dxa"/>
          </w:tcPr>
          <w:p w:rsidR="00D849AA" w:rsidRPr="00DE6ACB" w:rsidRDefault="00EE6D95">
            <w:pPr>
              <w:rPr>
                <w:rFonts w:ascii="Arial" w:hAnsi="Arial" w:cs="Arial"/>
              </w:rPr>
            </w:pPr>
            <w:r w:rsidRPr="00DE6ACB">
              <w:rPr>
                <w:rFonts w:ascii="Arial" w:hAnsi="Arial" w:cs="Arial"/>
              </w:rPr>
              <w:t>5</w:t>
            </w:r>
          </w:p>
        </w:tc>
        <w:tc>
          <w:tcPr>
            <w:tcW w:w="1486" w:type="dxa"/>
          </w:tcPr>
          <w:p w:rsidR="00D849AA" w:rsidRPr="00DE6ACB" w:rsidRDefault="00EE6D95">
            <w:pPr>
              <w:rPr>
                <w:rFonts w:ascii="Arial" w:hAnsi="Arial" w:cs="Arial"/>
              </w:rPr>
            </w:pPr>
            <w:r w:rsidRPr="00DE6ACB">
              <w:rPr>
                <w:rFonts w:ascii="Arial" w:hAnsi="Arial" w:cs="Arial"/>
              </w:rPr>
              <w:t>5</w:t>
            </w:r>
          </w:p>
        </w:tc>
        <w:tc>
          <w:tcPr>
            <w:tcW w:w="1486" w:type="dxa"/>
          </w:tcPr>
          <w:p w:rsidR="00D849AA" w:rsidRPr="00DE6ACB" w:rsidRDefault="00EE6D95">
            <w:pPr>
              <w:rPr>
                <w:rFonts w:ascii="Arial" w:hAnsi="Arial" w:cs="Arial"/>
              </w:rPr>
            </w:pPr>
            <w:r w:rsidRPr="00DE6ACB">
              <w:rPr>
                <w:rFonts w:ascii="Arial" w:hAnsi="Arial" w:cs="Arial"/>
              </w:rPr>
              <w:t>5</w:t>
            </w:r>
          </w:p>
        </w:tc>
        <w:tc>
          <w:tcPr>
            <w:tcW w:w="1486" w:type="dxa"/>
          </w:tcPr>
          <w:p w:rsidR="00D849AA" w:rsidRPr="00DE6ACB" w:rsidRDefault="00EE6D95">
            <w:pPr>
              <w:rPr>
                <w:rFonts w:ascii="Arial" w:hAnsi="Arial" w:cs="Arial"/>
              </w:rPr>
            </w:pPr>
            <w:r w:rsidRPr="00DE6ACB">
              <w:rPr>
                <w:rFonts w:ascii="Arial" w:hAnsi="Arial" w:cs="Arial"/>
              </w:rPr>
              <w:t>5</w:t>
            </w:r>
          </w:p>
        </w:tc>
      </w:tr>
      <w:tr w:rsidR="00D849AA">
        <w:trPr>
          <w:jc w:val="center"/>
        </w:trPr>
        <w:tc>
          <w:tcPr>
            <w:tcW w:w="2229" w:type="dxa"/>
          </w:tcPr>
          <w:p w:rsidR="00D849AA" w:rsidRPr="00DE6ACB" w:rsidRDefault="00EE6D95">
            <w:pPr>
              <w:pStyle w:val="CellColumn"/>
            </w:pPr>
            <w:r w:rsidRPr="00DE6ACB">
              <w:t>Broj djelatnika u UN misijama</w:t>
            </w:r>
          </w:p>
        </w:tc>
        <w:tc>
          <w:tcPr>
            <w:tcW w:w="1114" w:type="dxa"/>
          </w:tcPr>
          <w:p w:rsidR="00D849AA" w:rsidRPr="00DE6ACB" w:rsidRDefault="00EE6D95">
            <w:pPr>
              <w:rPr>
                <w:rFonts w:ascii="Arial" w:hAnsi="Arial" w:cs="Arial"/>
              </w:rPr>
            </w:pPr>
            <w:r w:rsidRPr="00DE6ACB">
              <w:rPr>
                <w:rFonts w:ascii="Arial" w:hAnsi="Arial" w:cs="Arial"/>
              </w:rPr>
              <w:t>Broj</w:t>
            </w:r>
          </w:p>
        </w:tc>
        <w:tc>
          <w:tcPr>
            <w:tcW w:w="1114" w:type="dxa"/>
          </w:tcPr>
          <w:p w:rsidR="00D849AA" w:rsidRPr="00DE6ACB" w:rsidRDefault="00EE6D95">
            <w:pPr>
              <w:rPr>
                <w:rFonts w:ascii="Arial" w:hAnsi="Arial" w:cs="Arial"/>
              </w:rPr>
            </w:pPr>
            <w:r w:rsidRPr="00DE6ACB">
              <w:rPr>
                <w:rFonts w:ascii="Arial" w:hAnsi="Arial" w:cs="Arial"/>
              </w:rPr>
              <w:t>20</w:t>
            </w:r>
          </w:p>
        </w:tc>
        <w:tc>
          <w:tcPr>
            <w:tcW w:w="1486" w:type="dxa"/>
          </w:tcPr>
          <w:p w:rsidR="00D849AA" w:rsidRPr="00DE6ACB" w:rsidRDefault="00EE6D95">
            <w:pPr>
              <w:rPr>
                <w:rFonts w:ascii="Arial" w:hAnsi="Arial" w:cs="Arial"/>
              </w:rPr>
            </w:pPr>
            <w:r w:rsidRPr="00DE6ACB">
              <w:rPr>
                <w:rFonts w:ascii="Arial" w:hAnsi="Arial" w:cs="Arial"/>
              </w:rPr>
              <w:t>21</w:t>
            </w:r>
          </w:p>
        </w:tc>
        <w:tc>
          <w:tcPr>
            <w:tcW w:w="1486" w:type="dxa"/>
          </w:tcPr>
          <w:p w:rsidR="00D849AA" w:rsidRPr="00DE6ACB" w:rsidRDefault="00EE6D95">
            <w:pPr>
              <w:rPr>
                <w:rFonts w:ascii="Arial" w:hAnsi="Arial" w:cs="Arial"/>
              </w:rPr>
            </w:pPr>
            <w:r w:rsidRPr="00DE6ACB">
              <w:rPr>
                <w:rFonts w:ascii="Arial" w:hAnsi="Arial" w:cs="Arial"/>
              </w:rPr>
              <w:t>21</w:t>
            </w:r>
          </w:p>
        </w:tc>
        <w:tc>
          <w:tcPr>
            <w:tcW w:w="1486" w:type="dxa"/>
          </w:tcPr>
          <w:p w:rsidR="00D849AA" w:rsidRPr="00DE6ACB" w:rsidRDefault="00EE6D95">
            <w:pPr>
              <w:rPr>
                <w:rFonts w:ascii="Arial" w:hAnsi="Arial" w:cs="Arial"/>
              </w:rPr>
            </w:pPr>
            <w:r w:rsidRPr="00DE6ACB">
              <w:rPr>
                <w:rFonts w:ascii="Arial" w:hAnsi="Arial" w:cs="Arial"/>
              </w:rPr>
              <w:t>21</w:t>
            </w:r>
          </w:p>
        </w:tc>
      </w:tr>
    </w:tbl>
    <w:p w:rsidR="00D849AA" w:rsidRDefault="00D849AA">
      <w:pPr>
        <w:jc w:val="left"/>
      </w:pPr>
    </w:p>
    <w:p w:rsidR="00D849AA" w:rsidRDefault="00EE6D95">
      <w:pPr>
        <w:pStyle w:val="Naslov6"/>
      </w:pPr>
      <w:r>
        <w:t>A545066 NATO OPERACIJE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rsidRPr="00DE6ACB">
        <w:trPr>
          <w:jc w:val="center"/>
        </w:trPr>
        <w:tc>
          <w:tcPr>
            <w:tcW w:w="1486" w:type="dxa"/>
            <w:shd w:val="clear" w:color="auto" w:fill="B5C0D8"/>
          </w:tcPr>
          <w:p w:rsidR="00D849AA" w:rsidRPr="00DE6ACB" w:rsidRDefault="00EE6D95">
            <w:pPr>
              <w:pStyle w:val="CellHeader"/>
            </w:pPr>
            <w:r w:rsidRPr="00DE6ACB">
              <w:t>Naziv aktivnosti</w:t>
            </w:r>
          </w:p>
        </w:tc>
        <w:tc>
          <w:tcPr>
            <w:tcW w:w="1486" w:type="dxa"/>
            <w:shd w:val="clear" w:color="auto" w:fill="B5C0D8"/>
          </w:tcPr>
          <w:p w:rsidR="00D849AA" w:rsidRPr="00DE6ACB" w:rsidRDefault="00EE6D95">
            <w:pPr>
              <w:pStyle w:val="CellHeader"/>
            </w:pPr>
            <w:r w:rsidRPr="00DE6ACB">
              <w:t>Plan 2013.</w:t>
            </w:r>
          </w:p>
        </w:tc>
        <w:tc>
          <w:tcPr>
            <w:tcW w:w="1486" w:type="dxa"/>
            <w:shd w:val="clear" w:color="auto" w:fill="B5C0D8"/>
          </w:tcPr>
          <w:p w:rsidR="00D849AA" w:rsidRPr="00DE6ACB" w:rsidRDefault="00EE6D95">
            <w:pPr>
              <w:pStyle w:val="CellHeader"/>
            </w:pPr>
            <w:r w:rsidRPr="00DE6ACB">
              <w:t>Plan 2014.</w:t>
            </w:r>
          </w:p>
        </w:tc>
        <w:tc>
          <w:tcPr>
            <w:tcW w:w="1486" w:type="dxa"/>
            <w:shd w:val="clear" w:color="auto" w:fill="B5C0D8"/>
          </w:tcPr>
          <w:p w:rsidR="00D849AA" w:rsidRPr="00DE6ACB" w:rsidRDefault="00EE6D95">
            <w:pPr>
              <w:pStyle w:val="CellHeader"/>
            </w:pPr>
            <w:r w:rsidRPr="00DE6ACB">
              <w:t>Plan 2015.</w:t>
            </w:r>
          </w:p>
        </w:tc>
        <w:tc>
          <w:tcPr>
            <w:tcW w:w="1486" w:type="dxa"/>
            <w:shd w:val="clear" w:color="auto" w:fill="B5C0D8"/>
          </w:tcPr>
          <w:p w:rsidR="00D849AA" w:rsidRPr="00DE6ACB" w:rsidRDefault="00EE6D95">
            <w:pPr>
              <w:pStyle w:val="CellHeader"/>
            </w:pPr>
            <w:r w:rsidRPr="00DE6ACB">
              <w:t>Plan 2016.</w:t>
            </w:r>
          </w:p>
        </w:tc>
        <w:tc>
          <w:tcPr>
            <w:tcW w:w="1486" w:type="dxa"/>
            <w:shd w:val="clear" w:color="auto" w:fill="B5C0D8"/>
          </w:tcPr>
          <w:p w:rsidR="00D849AA" w:rsidRPr="00DE6ACB" w:rsidRDefault="00EE6D95">
            <w:pPr>
              <w:pStyle w:val="CellHeader"/>
            </w:pPr>
            <w:r w:rsidRPr="00DE6ACB">
              <w:t>Indeks 2014/2013</w:t>
            </w:r>
          </w:p>
        </w:tc>
      </w:tr>
      <w:tr w:rsidR="00D849AA" w:rsidRPr="00DE6ACB">
        <w:trPr>
          <w:jc w:val="center"/>
        </w:trPr>
        <w:tc>
          <w:tcPr>
            <w:tcW w:w="1486" w:type="dxa"/>
          </w:tcPr>
          <w:p w:rsidR="00D849AA" w:rsidRPr="00DE6ACB" w:rsidRDefault="00EE6D95">
            <w:pPr>
              <w:pStyle w:val="CellColumn"/>
            </w:pPr>
            <w:r w:rsidRPr="00DE6ACB">
              <w:t>A545066</w:t>
            </w:r>
          </w:p>
        </w:tc>
        <w:tc>
          <w:tcPr>
            <w:tcW w:w="1486" w:type="dxa"/>
          </w:tcPr>
          <w:p w:rsidR="00D849AA" w:rsidRPr="00DE6ACB" w:rsidRDefault="00EE6D95">
            <w:pPr>
              <w:rPr>
                <w:rFonts w:ascii="Arial" w:hAnsi="Arial" w:cs="Arial"/>
              </w:rPr>
            </w:pPr>
            <w:r w:rsidRPr="00DE6ACB">
              <w:rPr>
                <w:rFonts w:ascii="Arial" w:hAnsi="Arial" w:cs="Arial"/>
              </w:rPr>
              <w:t>195.715.000</w:t>
            </w:r>
          </w:p>
        </w:tc>
        <w:tc>
          <w:tcPr>
            <w:tcW w:w="1486" w:type="dxa"/>
          </w:tcPr>
          <w:p w:rsidR="00D849AA" w:rsidRPr="00DE6ACB" w:rsidRDefault="00EE6D95">
            <w:pPr>
              <w:rPr>
                <w:rFonts w:ascii="Arial" w:hAnsi="Arial" w:cs="Arial"/>
              </w:rPr>
            </w:pPr>
            <w:r w:rsidRPr="00DE6ACB">
              <w:rPr>
                <w:rFonts w:ascii="Arial" w:hAnsi="Arial" w:cs="Arial"/>
              </w:rPr>
              <w:t>173.720.000</w:t>
            </w:r>
          </w:p>
        </w:tc>
        <w:tc>
          <w:tcPr>
            <w:tcW w:w="1486" w:type="dxa"/>
          </w:tcPr>
          <w:p w:rsidR="00D849AA" w:rsidRPr="00DE6ACB" w:rsidRDefault="00EE6D95">
            <w:pPr>
              <w:rPr>
                <w:rFonts w:ascii="Arial" w:hAnsi="Arial" w:cs="Arial"/>
              </w:rPr>
            </w:pPr>
            <w:r w:rsidRPr="00DE6ACB">
              <w:rPr>
                <w:rFonts w:ascii="Arial" w:hAnsi="Arial" w:cs="Arial"/>
              </w:rPr>
              <w:t>140.625.000</w:t>
            </w:r>
          </w:p>
        </w:tc>
        <w:tc>
          <w:tcPr>
            <w:tcW w:w="1486" w:type="dxa"/>
          </w:tcPr>
          <w:p w:rsidR="00D849AA" w:rsidRPr="00DE6ACB" w:rsidRDefault="00EE6D95">
            <w:pPr>
              <w:rPr>
                <w:rFonts w:ascii="Arial" w:hAnsi="Arial" w:cs="Arial"/>
              </w:rPr>
            </w:pPr>
            <w:r w:rsidRPr="00DE6ACB">
              <w:rPr>
                <w:rFonts w:ascii="Arial" w:hAnsi="Arial" w:cs="Arial"/>
              </w:rPr>
              <w:t>138.151.000</w:t>
            </w:r>
          </w:p>
        </w:tc>
        <w:tc>
          <w:tcPr>
            <w:tcW w:w="1486" w:type="dxa"/>
          </w:tcPr>
          <w:p w:rsidR="00D849AA" w:rsidRPr="00DE6ACB" w:rsidRDefault="00EE6D95">
            <w:pPr>
              <w:rPr>
                <w:rFonts w:ascii="Arial" w:hAnsi="Arial" w:cs="Arial"/>
              </w:rPr>
            </w:pPr>
            <w:r w:rsidRPr="00DE6ACB">
              <w:rPr>
                <w:rFonts w:ascii="Arial" w:hAnsi="Arial" w:cs="Arial"/>
              </w:rPr>
              <w:t>88,8</w:t>
            </w:r>
          </w:p>
        </w:tc>
      </w:tr>
    </w:tbl>
    <w:p w:rsidR="00D849AA" w:rsidRPr="00DE6ACB" w:rsidRDefault="00D849AA">
      <w:pPr>
        <w:jc w:val="left"/>
        <w:rPr>
          <w:rFonts w:ascii="Arial" w:hAnsi="Arial" w:cs="Arial"/>
        </w:rPr>
      </w:pPr>
    </w:p>
    <w:p w:rsidR="00D849AA" w:rsidRDefault="00EE6D95">
      <w:pPr>
        <w:pStyle w:val="Normal6"/>
      </w:pPr>
      <w:r>
        <w:t xml:space="preserve">Oružane snage Republike Hrvatske će tijekom 2014. – 2016. godine sudjelovati u dvije NATO vođene operacije (ISAF i KFOR). U operaciji ISAF Oružane Snage RH sudjeluju: 22.HRVCON ISAF (rujan 2013. – ožujak 2014.) – 200 pripadnika OS RH; 23.HRVCON </w:t>
      </w:r>
      <w:r>
        <w:lastRenderedPageBreak/>
        <w:t>ISAF (ožujak 2014. – kolovoz 2014.) – 150 pripadnika OS RH; 24.HRVCON ISAF (rujan 2014. – ožujak 2015.) – 135 pripadnika OS RH. U 2015. i 2016. godini nastavlja se sudjelovanje u Operaciji ISAF na način kako završava 2014. sa 135 pripadnika tijekom cijele godine. U operaciji KFOR u 2014. godini Oružane Snage Republike Hrvatske sudjeluju s 14., 15, 16. i 17. HRVCON KFOR. Svaki sastav ima 20 pripadnika letačkog i zemaljskog osoblja Mi-17Sh s rotacijom svaka 4 mjeseca, 2 pripadnika stožernog osoblja s rotacijama 4-6 mjeseci, te 8 pripadnika desetine kopnenih snaga s 2 rotacije od 6 mjeseci.  Osim navedenog Oružane snage imaju deklariranu obvezu sudjelovanja s motoriziranom satnijom u NATO snagama za trenutni odgovor (NRF/IRF). Za 2014. godinu Oružane snage Republike Hrvatske u NRF-u sudjeluju u statusu čekanja (stand by) sa satnijom mehaniziranog pješaštva, te u pripremama za NRF sa satnijom mehaniziranog pješaštva. U  2015. i 2016. godini planirano je sudjelovanje OS RH u NRF-u sa satnijom mehaniziranog pješaštva.</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DE6ACB" w:rsidRDefault="00EE6D95">
            <w:pPr>
              <w:rPr>
                <w:rFonts w:ascii="Arial" w:hAnsi="Arial" w:cs="Arial"/>
              </w:rPr>
            </w:pPr>
            <w:r w:rsidRPr="00DE6ACB">
              <w:rPr>
                <w:rFonts w:ascii="Arial" w:hAnsi="Arial" w:cs="Arial"/>
              </w:rPr>
              <w:t>Pokazatelj rezultata</w:t>
            </w:r>
          </w:p>
        </w:tc>
        <w:tc>
          <w:tcPr>
            <w:tcW w:w="1114" w:type="dxa"/>
            <w:shd w:val="clear" w:color="auto" w:fill="B5C0D8"/>
          </w:tcPr>
          <w:p w:rsidR="00D849AA" w:rsidRPr="00DE6ACB" w:rsidRDefault="00EE6D95">
            <w:pPr>
              <w:pStyle w:val="CellHeader"/>
            </w:pPr>
            <w:r w:rsidRPr="00DE6ACB">
              <w:t>Jedinica</w:t>
            </w:r>
          </w:p>
        </w:tc>
        <w:tc>
          <w:tcPr>
            <w:tcW w:w="1114" w:type="dxa"/>
            <w:shd w:val="clear" w:color="auto" w:fill="B5C0D8"/>
          </w:tcPr>
          <w:p w:rsidR="00D849AA" w:rsidRPr="00DE6ACB" w:rsidRDefault="00EE6D95">
            <w:pPr>
              <w:pStyle w:val="CellHeader"/>
            </w:pPr>
            <w:r w:rsidRPr="00DE6ACB">
              <w:t>Polazna vrijednost</w:t>
            </w:r>
          </w:p>
        </w:tc>
        <w:tc>
          <w:tcPr>
            <w:tcW w:w="1486" w:type="dxa"/>
            <w:shd w:val="clear" w:color="auto" w:fill="B5C0D8"/>
          </w:tcPr>
          <w:p w:rsidR="00D849AA" w:rsidRPr="00DE6ACB" w:rsidRDefault="00EE6D95">
            <w:pPr>
              <w:pStyle w:val="CellHeader"/>
            </w:pPr>
            <w:r w:rsidRPr="00DE6ACB">
              <w:t>Ciljana vrijednost (2014.)</w:t>
            </w:r>
          </w:p>
        </w:tc>
        <w:tc>
          <w:tcPr>
            <w:tcW w:w="1486" w:type="dxa"/>
            <w:shd w:val="clear" w:color="auto" w:fill="B5C0D8"/>
          </w:tcPr>
          <w:p w:rsidR="00D849AA" w:rsidRPr="00DE6ACB" w:rsidRDefault="00EE6D95">
            <w:pPr>
              <w:pStyle w:val="CellHeader"/>
            </w:pPr>
            <w:r w:rsidRPr="00DE6ACB">
              <w:t>Ciljana vrijednost (2015.)</w:t>
            </w:r>
          </w:p>
        </w:tc>
        <w:tc>
          <w:tcPr>
            <w:tcW w:w="1486" w:type="dxa"/>
            <w:shd w:val="clear" w:color="auto" w:fill="B5C0D8"/>
          </w:tcPr>
          <w:p w:rsidR="00D849AA" w:rsidRPr="00DE6ACB" w:rsidRDefault="00EE6D95">
            <w:pPr>
              <w:pStyle w:val="CellHeader"/>
            </w:pPr>
            <w:r w:rsidRPr="00DE6ACB">
              <w:t>Ciljana vrijednost (2016.)</w:t>
            </w:r>
          </w:p>
        </w:tc>
      </w:tr>
      <w:tr w:rsidR="00D849AA">
        <w:trPr>
          <w:jc w:val="center"/>
        </w:trPr>
        <w:tc>
          <w:tcPr>
            <w:tcW w:w="2229" w:type="dxa"/>
          </w:tcPr>
          <w:p w:rsidR="00D849AA" w:rsidRPr="00DE6ACB" w:rsidRDefault="00EE6D95">
            <w:pPr>
              <w:pStyle w:val="CellColumn"/>
            </w:pPr>
            <w:r w:rsidRPr="00DE6ACB">
              <w:t>Broj NATO operacija u tijeku</w:t>
            </w:r>
          </w:p>
        </w:tc>
        <w:tc>
          <w:tcPr>
            <w:tcW w:w="1114" w:type="dxa"/>
          </w:tcPr>
          <w:p w:rsidR="00D849AA" w:rsidRPr="00DE6ACB" w:rsidRDefault="00EE6D95">
            <w:pPr>
              <w:rPr>
                <w:rFonts w:ascii="Arial" w:hAnsi="Arial" w:cs="Arial"/>
              </w:rPr>
            </w:pPr>
            <w:r w:rsidRPr="00DE6ACB">
              <w:rPr>
                <w:rFonts w:ascii="Arial" w:hAnsi="Arial" w:cs="Arial"/>
              </w:rPr>
              <w:t>Broj</w:t>
            </w:r>
          </w:p>
        </w:tc>
        <w:tc>
          <w:tcPr>
            <w:tcW w:w="1114" w:type="dxa"/>
          </w:tcPr>
          <w:p w:rsidR="00D849AA" w:rsidRPr="00DE6ACB" w:rsidRDefault="00EE6D95">
            <w:pPr>
              <w:rPr>
                <w:rFonts w:ascii="Arial" w:hAnsi="Arial" w:cs="Arial"/>
              </w:rPr>
            </w:pPr>
            <w:r w:rsidRPr="00DE6ACB">
              <w:rPr>
                <w:rFonts w:ascii="Arial" w:hAnsi="Arial" w:cs="Arial"/>
              </w:rPr>
              <w:t>2</w:t>
            </w:r>
          </w:p>
        </w:tc>
        <w:tc>
          <w:tcPr>
            <w:tcW w:w="1486" w:type="dxa"/>
          </w:tcPr>
          <w:p w:rsidR="00D849AA" w:rsidRPr="00DE6ACB" w:rsidRDefault="00EE6D95">
            <w:pPr>
              <w:rPr>
                <w:rFonts w:ascii="Arial" w:hAnsi="Arial" w:cs="Arial"/>
              </w:rPr>
            </w:pPr>
            <w:r w:rsidRPr="00DE6ACB">
              <w:rPr>
                <w:rFonts w:ascii="Arial" w:hAnsi="Arial" w:cs="Arial"/>
              </w:rPr>
              <w:t>2</w:t>
            </w:r>
          </w:p>
        </w:tc>
        <w:tc>
          <w:tcPr>
            <w:tcW w:w="1486" w:type="dxa"/>
          </w:tcPr>
          <w:p w:rsidR="00D849AA" w:rsidRPr="00DE6ACB" w:rsidRDefault="00EE6D95">
            <w:pPr>
              <w:rPr>
                <w:rFonts w:ascii="Arial" w:hAnsi="Arial" w:cs="Arial"/>
              </w:rPr>
            </w:pPr>
            <w:r w:rsidRPr="00DE6ACB">
              <w:rPr>
                <w:rFonts w:ascii="Arial" w:hAnsi="Arial" w:cs="Arial"/>
              </w:rPr>
              <w:t>2</w:t>
            </w:r>
          </w:p>
        </w:tc>
        <w:tc>
          <w:tcPr>
            <w:tcW w:w="1486" w:type="dxa"/>
          </w:tcPr>
          <w:p w:rsidR="00D849AA" w:rsidRPr="00DE6ACB" w:rsidRDefault="00EE6D95">
            <w:pPr>
              <w:rPr>
                <w:rFonts w:ascii="Arial" w:hAnsi="Arial" w:cs="Arial"/>
              </w:rPr>
            </w:pPr>
            <w:r w:rsidRPr="00DE6ACB">
              <w:rPr>
                <w:rFonts w:ascii="Arial" w:hAnsi="Arial" w:cs="Arial"/>
              </w:rPr>
              <w:t>2</w:t>
            </w:r>
          </w:p>
        </w:tc>
      </w:tr>
      <w:tr w:rsidR="00D849AA">
        <w:trPr>
          <w:jc w:val="center"/>
        </w:trPr>
        <w:tc>
          <w:tcPr>
            <w:tcW w:w="2229" w:type="dxa"/>
          </w:tcPr>
          <w:p w:rsidR="00D849AA" w:rsidRPr="00DE6ACB" w:rsidRDefault="00EE6D95">
            <w:pPr>
              <w:pStyle w:val="CellColumn"/>
            </w:pPr>
            <w:r w:rsidRPr="00DE6ACB">
              <w:t>Broj djelatnika u NATO operacijama</w:t>
            </w:r>
          </w:p>
        </w:tc>
        <w:tc>
          <w:tcPr>
            <w:tcW w:w="1114" w:type="dxa"/>
          </w:tcPr>
          <w:p w:rsidR="00D849AA" w:rsidRPr="00DE6ACB" w:rsidRDefault="00EE6D95">
            <w:pPr>
              <w:rPr>
                <w:rFonts w:ascii="Arial" w:hAnsi="Arial" w:cs="Arial"/>
              </w:rPr>
            </w:pPr>
            <w:r w:rsidRPr="00DE6ACB">
              <w:rPr>
                <w:rFonts w:ascii="Arial" w:hAnsi="Arial" w:cs="Arial"/>
              </w:rPr>
              <w:t>Broj</w:t>
            </w:r>
          </w:p>
        </w:tc>
        <w:tc>
          <w:tcPr>
            <w:tcW w:w="1114" w:type="dxa"/>
          </w:tcPr>
          <w:p w:rsidR="00D849AA" w:rsidRPr="00DE6ACB" w:rsidRDefault="00EE6D95">
            <w:pPr>
              <w:rPr>
                <w:rFonts w:ascii="Arial" w:hAnsi="Arial" w:cs="Arial"/>
              </w:rPr>
            </w:pPr>
            <w:r w:rsidRPr="00DE6ACB">
              <w:rPr>
                <w:rFonts w:ascii="Arial" w:hAnsi="Arial" w:cs="Arial"/>
              </w:rPr>
              <w:t>235</w:t>
            </w:r>
          </w:p>
        </w:tc>
        <w:tc>
          <w:tcPr>
            <w:tcW w:w="1486" w:type="dxa"/>
          </w:tcPr>
          <w:p w:rsidR="00D849AA" w:rsidRPr="00DE6ACB" w:rsidRDefault="00EE6D95">
            <w:pPr>
              <w:rPr>
                <w:rFonts w:ascii="Arial" w:hAnsi="Arial" w:cs="Arial"/>
              </w:rPr>
            </w:pPr>
            <w:r w:rsidRPr="00DE6ACB">
              <w:rPr>
                <w:rFonts w:ascii="Arial" w:hAnsi="Arial" w:cs="Arial"/>
              </w:rPr>
              <w:t>235</w:t>
            </w:r>
          </w:p>
        </w:tc>
        <w:tc>
          <w:tcPr>
            <w:tcW w:w="1486" w:type="dxa"/>
          </w:tcPr>
          <w:p w:rsidR="00D849AA" w:rsidRPr="00DE6ACB" w:rsidRDefault="00EE6D95">
            <w:pPr>
              <w:rPr>
                <w:rFonts w:ascii="Arial" w:hAnsi="Arial" w:cs="Arial"/>
              </w:rPr>
            </w:pPr>
            <w:r w:rsidRPr="00DE6ACB">
              <w:rPr>
                <w:rFonts w:ascii="Arial" w:hAnsi="Arial" w:cs="Arial"/>
              </w:rPr>
              <w:t>185</w:t>
            </w:r>
          </w:p>
        </w:tc>
        <w:tc>
          <w:tcPr>
            <w:tcW w:w="1486" w:type="dxa"/>
          </w:tcPr>
          <w:p w:rsidR="00D849AA" w:rsidRPr="00DE6ACB" w:rsidRDefault="00EE6D95">
            <w:pPr>
              <w:rPr>
                <w:rFonts w:ascii="Arial" w:hAnsi="Arial" w:cs="Arial"/>
              </w:rPr>
            </w:pPr>
            <w:r w:rsidRPr="00DE6ACB">
              <w:rPr>
                <w:rFonts w:ascii="Arial" w:hAnsi="Arial" w:cs="Arial"/>
              </w:rPr>
              <w:t>185</w:t>
            </w:r>
          </w:p>
        </w:tc>
      </w:tr>
    </w:tbl>
    <w:p w:rsidR="00D849AA" w:rsidRDefault="00D849AA">
      <w:pPr>
        <w:jc w:val="left"/>
      </w:pPr>
    </w:p>
    <w:p w:rsidR="00D849AA" w:rsidRDefault="00EE6D95">
      <w:pPr>
        <w:pStyle w:val="Naslov6"/>
      </w:pPr>
      <w:r>
        <w:t>A545067 EU MISIJE I OPERACIJE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rsidRPr="00DE6ACB">
        <w:trPr>
          <w:jc w:val="center"/>
        </w:trPr>
        <w:tc>
          <w:tcPr>
            <w:tcW w:w="1486" w:type="dxa"/>
            <w:shd w:val="clear" w:color="auto" w:fill="B5C0D8"/>
          </w:tcPr>
          <w:p w:rsidR="00D849AA" w:rsidRPr="00DE6ACB" w:rsidRDefault="00EE6D95">
            <w:pPr>
              <w:pStyle w:val="CellHeader"/>
            </w:pPr>
            <w:r w:rsidRPr="00DE6ACB">
              <w:t>Naziv aktivnosti</w:t>
            </w:r>
          </w:p>
        </w:tc>
        <w:tc>
          <w:tcPr>
            <w:tcW w:w="1486" w:type="dxa"/>
            <w:shd w:val="clear" w:color="auto" w:fill="B5C0D8"/>
          </w:tcPr>
          <w:p w:rsidR="00D849AA" w:rsidRPr="00DE6ACB" w:rsidRDefault="00EE6D95">
            <w:pPr>
              <w:pStyle w:val="CellHeader"/>
            </w:pPr>
            <w:r w:rsidRPr="00DE6ACB">
              <w:t>Plan 2013.</w:t>
            </w:r>
          </w:p>
        </w:tc>
        <w:tc>
          <w:tcPr>
            <w:tcW w:w="1486" w:type="dxa"/>
            <w:shd w:val="clear" w:color="auto" w:fill="B5C0D8"/>
          </w:tcPr>
          <w:p w:rsidR="00D849AA" w:rsidRPr="00DE6ACB" w:rsidRDefault="00EE6D95">
            <w:pPr>
              <w:pStyle w:val="CellHeader"/>
            </w:pPr>
            <w:r w:rsidRPr="00DE6ACB">
              <w:t>Plan 2014.</w:t>
            </w:r>
          </w:p>
        </w:tc>
        <w:tc>
          <w:tcPr>
            <w:tcW w:w="1486" w:type="dxa"/>
            <w:shd w:val="clear" w:color="auto" w:fill="B5C0D8"/>
          </w:tcPr>
          <w:p w:rsidR="00D849AA" w:rsidRPr="00DE6ACB" w:rsidRDefault="00EE6D95">
            <w:pPr>
              <w:pStyle w:val="CellHeader"/>
            </w:pPr>
            <w:r w:rsidRPr="00DE6ACB">
              <w:t>Plan 2015.</w:t>
            </w:r>
          </w:p>
        </w:tc>
        <w:tc>
          <w:tcPr>
            <w:tcW w:w="1486" w:type="dxa"/>
            <w:shd w:val="clear" w:color="auto" w:fill="B5C0D8"/>
          </w:tcPr>
          <w:p w:rsidR="00D849AA" w:rsidRPr="00DE6ACB" w:rsidRDefault="00EE6D95">
            <w:pPr>
              <w:pStyle w:val="CellHeader"/>
            </w:pPr>
            <w:r w:rsidRPr="00DE6ACB">
              <w:t>Plan 2016.</w:t>
            </w:r>
          </w:p>
        </w:tc>
        <w:tc>
          <w:tcPr>
            <w:tcW w:w="1486" w:type="dxa"/>
            <w:shd w:val="clear" w:color="auto" w:fill="B5C0D8"/>
          </w:tcPr>
          <w:p w:rsidR="00D849AA" w:rsidRPr="00DE6ACB" w:rsidRDefault="00EE6D95">
            <w:pPr>
              <w:pStyle w:val="CellHeader"/>
            </w:pPr>
            <w:r w:rsidRPr="00DE6ACB">
              <w:t>Indeks 2014/2013</w:t>
            </w:r>
          </w:p>
        </w:tc>
      </w:tr>
      <w:tr w:rsidR="00D849AA" w:rsidRPr="00DE6ACB">
        <w:trPr>
          <w:jc w:val="center"/>
        </w:trPr>
        <w:tc>
          <w:tcPr>
            <w:tcW w:w="1486" w:type="dxa"/>
          </w:tcPr>
          <w:p w:rsidR="00D849AA" w:rsidRPr="00DE6ACB" w:rsidRDefault="00EE6D95">
            <w:pPr>
              <w:pStyle w:val="CellColumn"/>
            </w:pPr>
            <w:r w:rsidRPr="00DE6ACB">
              <w:t>A545067</w:t>
            </w:r>
          </w:p>
        </w:tc>
        <w:tc>
          <w:tcPr>
            <w:tcW w:w="1486" w:type="dxa"/>
          </w:tcPr>
          <w:p w:rsidR="00D849AA" w:rsidRPr="00DE6ACB" w:rsidRDefault="00EE6D95">
            <w:pPr>
              <w:rPr>
                <w:rFonts w:ascii="Arial" w:hAnsi="Arial" w:cs="Arial"/>
              </w:rPr>
            </w:pPr>
            <w:r w:rsidRPr="00DE6ACB">
              <w:rPr>
                <w:rFonts w:ascii="Arial" w:hAnsi="Arial" w:cs="Arial"/>
              </w:rPr>
              <w:t>2.160.000</w:t>
            </w:r>
          </w:p>
        </w:tc>
        <w:tc>
          <w:tcPr>
            <w:tcW w:w="1486" w:type="dxa"/>
          </w:tcPr>
          <w:p w:rsidR="00D849AA" w:rsidRPr="00DE6ACB" w:rsidRDefault="00EE6D95">
            <w:pPr>
              <w:rPr>
                <w:rFonts w:ascii="Arial" w:hAnsi="Arial" w:cs="Arial"/>
              </w:rPr>
            </w:pPr>
            <w:r w:rsidRPr="00DE6ACB">
              <w:rPr>
                <w:rFonts w:ascii="Arial" w:hAnsi="Arial" w:cs="Arial"/>
              </w:rPr>
              <w:t>8.710.000</w:t>
            </w:r>
          </w:p>
        </w:tc>
        <w:tc>
          <w:tcPr>
            <w:tcW w:w="1486" w:type="dxa"/>
          </w:tcPr>
          <w:p w:rsidR="00D849AA" w:rsidRPr="00DE6ACB" w:rsidRDefault="00EE6D95">
            <w:pPr>
              <w:rPr>
                <w:rFonts w:ascii="Arial" w:hAnsi="Arial" w:cs="Arial"/>
              </w:rPr>
            </w:pPr>
            <w:r w:rsidRPr="00DE6ACB">
              <w:rPr>
                <w:rFonts w:ascii="Arial" w:hAnsi="Arial" w:cs="Arial"/>
              </w:rPr>
              <w:t>10.610.000</w:t>
            </w:r>
          </w:p>
        </w:tc>
        <w:tc>
          <w:tcPr>
            <w:tcW w:w="1486" w:type="dxa"/>
          </w:tcPr>
          <w:p w:rsidR="00D849AA" w:rsidRPr="00DE6ACB" w:rsidRDefault="00EE6D95">
            <w:pPr>
              <w:rPr>
                <w:rFonts w:ascii="Arial" w:hAnsi="Arial" w:cs="Arial"/>
              </w:rPr>
            </w:pPr>
            <w:r w:rsidRPr="00DE6ACB">
              <w:rPr>
                <w:rFonts w:ascii="Arial" w:hAnsi="Arial" w:cs="Arial"/>
              </w:rPr>
              <w:t>10.610.000</w:t>
            </w:r>
          </w:p>
        </w:tc>
        <w:tc>
          <w:tcPr>
            <w:tcW w:w="1486" w:type="dxa"/>
          </w:tcPr>
          <w:p w:rsidR="00D849AA" w:rsidRPr="00DE6ACB" w:rsidRDefault="00EE6D95">
            <w:pPr>
              <w:rPr>
                <w:rFonts w:ascii="Arial" w:hAnsi="Arial" w:cs="Arial"/>
              </w:rPr>
            </w:pPr>
            <w:r w:rsidRPr="00DE6ACB">
              <w:rPr>
                <w:rFonts w:ascii="Arial" w:hAnsi="Arial" w:cs="Arial"/>
              </w:rPr>
              <w:t>403,2</w:t>
            </w:r>
          </w:p>
        </w:tc>
      </w:tr>
    </w:tbl>
    <w:p w:rsidR="00D849AA" w:rsidRDefault="00EE6D95">
      <w:pPr>
        <w:pStyle w:val="Normal6"/>
      </w:pPr>
      <w:r>
        <w:t>U aktivnost su planirana sredstva za misije i operacije pod pokroviteljstvom Europske Unije, a Oružane snage Republike Hrvatske trenutno sudjeluju samo u operaciji EUNAVFOR Atalanta Somalija. U 2014. se planira slanje časnika u Operativno zapovjedništvo u Northwoodu (UK), ukrcaj časnika na brodove partnerskih zemalja koje sudjeluju u Operaciji EUNAVFOR, popunjavanje pozicije u Zapovjedništvu snaga Operacije, rad u izdvojenoj logističkoj bazi Njemačke ratne mornarice u Djibutiju s 1 časnikom. U razdoblju 2014.-2016. planira se proširivanje sudjelovanja u Operaciji EUNAVFOR upućivanjem 15 pripadnika Oružanih Snaga Republike Hrvatske u dvije rotacije u trajanju od po 3 mjeseca.</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rsidRPr="00DE6ACB">
        <w:trPr>
          <w:jc w:val="center"/>
        </w:trPr>
        <w:tc>
          <w:tcPr>
            <w:tcW w:w="2229" w:type="dxa"/>
            <w:shd w:val="clear" w:color="auto" w:fill="B5C0D8"/>
          </w:tcPr>
          <w:p w:rsidR="00D849AA" w:rsidRPr="00DE6ACB" w:rsidRDefault="00EE6D95">
            <w:pPr>
              <w:rPr>
                <w:rFonts w:ascii="Arial" w:hAnsi="Arial" w:cs="Arial"/>
              </w:rPr>
            </w:pPr>
            <w:r w:rsidRPr="00DE6ACB">
              <w:rPr>
                <w:rFonts w:ascii="Arial" w:hAnsi="Arial" w:cs="Arial"/>
              </w:rPr>
              <w:t>Pokazatelj rezultata</w:t>
            </w:r>
          </w:p>
        </w:tc>
        <w:tc>
          <w:tcPr>
            <w:tcW w:w="1114" w:type="dxa"/>
            <w:shd w:val="clear" w:color="auto" w:fill="B5C0D8"/>
          </w:tcPr>
          <w:p w:rsidR="00D849AA" w:rsidRPr="00DE6ACB" w:rsidRDefault="00EE6D95">
            <w:pPr>
              <w:pStyle w:val="CellHeader"/>
            </w:pPr>
            <w:r w:rsidRPr="00DE6ACB">
              <w:t>Jedinica</w:t>
            </w:r>
          </w:p>
        </w:tc>
        <w:tc>
          <w:tcPr>
            <w:tcW w:w="1114" w:type="dxa"/>
            <w:shd w:val="clear" w:color="auto" w:fill="B5C0D8"/>
          </w:tcPr>
          <w:p w:rsidR="00D849AA" w:rsidRPr="00DE6ACB" w:rsidRDefault="00EE6D95">
            <w:pPr>
              <w:pStyle w:val="CellHeader"/>
            </w:pPr>
            <w:r w:rsidRPr="00DE6ACB">
              <w:t>Polazna vrijednost</w:t>
            </w:r>
          </w:p>
        </w:tc>
        <w:tc>
          <w:tcPr>
            <w:tcW w:w="1486" w:type="dxa"/>
            <w:shd w:val="clear" w:color="auto" w:fill="B5C0D8"/>
          </w:tcPr>
          <w:p w:rsidR="00D849AA" w:rsidRPr="00DE6ACB" w:rsidRDefault="00EE6D95">
            <w:pPr>
              <w:pStyle w:val="CellHeader"/>
            </w:pPr>
            <w:r w:rsidRPr="00DE6ACB">
              <w:t>Ciljana vrijednost (2014.)</w:t>
            </w:r>
          </w:p>
        </w:tc>
        <w:tc>
          <w:tcPr>
            <w:tcW w:w="1486" w:type="dxa"/>
            <w:shd w:val="clear" w:color="auto" w:fill="B5C0D8"/>
          </w:tcPr>
          <w:p w:rsidR="00D849AA" w:rsidRPr="00DE6ACB" w:rsidRDefault="00EE6D95">
            <w:pPr>
              <w:pStyle w:val="CellHeader"/>
            </w:pPr>
            <w:r w:rsidRPr="00DE6ACB">
              <w:t>Ciljana vrijednost (2015.)</w:t>
            </w:r>
          </w:p>
        </w:tc>
        <w:tc>
          <w:tcPr>
            <w:tcW w:w="1486" w:type="dxa"/>
            <w:shd w:val="clear" w:color="auto" w:fill="B5C0D8"/>
          </w:tcPr>
          <w:p w:rsidR="00D849AA" w:rsidRPr="00DE6ACB" w:rsidRDefault="00EE6D95">
            <w:pPr>
              <w:pStyle w:val="CellHeader"/>
            </w:pPr>
            <w:r w:rsidRPr="00DE6ACB">
              <w:t>Ciljana vrijednost (2016.)</w:t>
            </w:r>
          </w:p>
        </w:tc>
      </w:tr>
      <w:tr w:rsidR="00D849AA" w:rsidRPr="00DE6ACB">
        <w:trPr>
          <w:jc w:val="center"/>
        </w:trPr>
        <w:tc>
          <w:tcPr>
            <w:tcW w:w="2229" w:type="dxa"/>
          </w:tcPr>
          <w:p w:rsidR="00D849AA" w:rsidRPr="00DE6ACB" w:rsidRDefault="00EE6D95">
            <w:pPr>
              <w:pStyle w:val="CellColumn"/>
            </w:pPr>
            <w:r w:rsidRPr="00DE6ACB">
              <w:t>Broj EU operacija u tijeku</w:t>
            </w:r>
          </w:p>
        </w:tc>
        <w:tc>
          <w:tcPr>
            <w:tcW w:w="1114" w:type="dxa"/>
          </w:tcPr>
          <w:p w:rsidR="00D849AA" w:rsidRPr="00DE6ACB" w:rsidRDefault="00EE6D95">
            <w:pPr>
              <w:rPr>
                <w:rFonts w:ascii="Arial" w:hAnsi="Arial" w:cs="Arial"/>
              </w:rPr>
            </w:pPr>
            <w:r w:rsidRPr="00DE6ACB">
              <w:rPr>
                <w:rFonts w:ascii="Arial" w:hAnsi="Arial" w:cs="Arial"/>
              </w:rPr>
              <w:t>Broj</w:t>
            </w:r>
          </w:p>
        </w:tc>
        <w:tc>
          <w:tcPr>
            <w:tcW w:w="1114" w:type="dxa"/>
          </w:tcPr>
          <w:p w:rsidR="00D849AA" w:rsidRPr="00DE6ACB" w:rsidRDefault="00EE6D95">
            <w:pPr>
              <w:rPr>
                <w:rFonts w:ascii="Arial" w:hAnsi="Arial" w:cs="Arial"/>
              </w:rPr>
            </w:pPr>
            <w:r w:rsidRPr="00DE6ACB">
              <w:rPr>
                <w:rFonts w:ascii="Arial" w:hAnsi="Arial" w:cs="Arial"/>
              </w:rPr>
              <w:t>1</w:t>
            </w:r>
          </w:p>
        </w:tc>
        <w:tc>
          <w:tcPr>
            <w:tcW w:w="1486" w:type="dxa"/>
          </w:tcPr>
          <w:p w:rsidR="00D849AA" w:rsidRPr="00DE6ACB" w:rsidRDefault="00EE6D95">
            <w:pPr>
              <w:rPr>
                <w:rFonts w:ascii="Arial" w:hAnsi="Arial" w:cs="Arial"/>
              </w:rPr>
            </w:pPr>
            <w:r w:rsidRPr="00DE6ACB">
              <w:rPr>
                <w:rFonts w:ascii="Arial" w:hAnsi="Arial" w:cs="Arial"/>
              </w:rPr>
              <w:t>1</w:t>
            </w:r>
          </w:p>
        </w:tc>
        <w:tc>
          <w:tcPr>
            <w:tcW w:w="1486" w:type="dxa"/>
          </w:tcPr>
          <w:p w:rsidR="00D849AA" w:rsidRPr="00DE6ACB" w:rsidRDefault="00EE6D95">
            <w:pPr>
              <w:rPr>
                <w:rFonts w:ascii="Arial" w:hAnsi="Arial" w:cs="Arial"/>
              </w:rPr>
            </w:pPr>
            <w:r w:rsidRPr="00DE6ACB">
              <w:rPr>
                <w:rFonts w:ascii="Arial" w:hAnsi="Arial" w:cs="Arial"/>
              </w:rPr>
              <w:t>1</w:t>
            </w:r>
          </w:p>
        </w:tc>
        <w:tc>
          <w:tcPr>
            <w:tcW w:w="1486" w:type="dxa"/>
          </w:tcPr>
          <w:p w:rsidR="00D849AA" w:rsidRPr="00DE6ACB" w:rsidRDefault="00EE6D95">
            <w:pPr>
              <w:rPr>
                <w:rFonts w:ascii="Arial" w:hAnsi="Arial" w:cs="Arial"/>
              </w:rPr>
            </w:pPr>
            <w:r w:rsidRPr="00DE6ACB">
              <w:rPr>
                <w:rFonts w:ascii="Arial" w:hAnsi="Arial" w:cs="Arial"/>
              </w:rPr>
              <w:t>2</w:t>
            </w:r>
          </w:p>
        </w:tc>
      </w:tr>
      <w:tr w:rsidR="00D849AA" w:rsidRPr="00DE6ACB">
        <w:trPr>
          <w:jc w:val="center"/>
        </w:trPr>
        <w:tc>
          <w:tcPr>
            <w:tcW w:w="2229" w:type="dxa"/>
          </w:tcPr>
          <w:p w:rsidR="00D849AA" w:rsidRPr="00DE6ACB" w:rsidRDefault="00EE6D95">
            <w:pPr>
              <w:pStyle w:val="CellColumn"/>
            </w:pPr>
            <w:r w:rsidRPr="00DE6ACB">
              <w:t>Broj djelatnika u EU operacijama</w:t>
            </w:r>
          </w:p>
        </w:tc>
        <w:tc>
          <w:tcPr>
            <w:tcW w:w="1114" w:type="dxa"/>
          </w:tcPr>
          <w:p w:rsidR="00D849AA" w:rsidRPr="00DE6ACB" w:rsidRDefault="00EE6D95">
            <w:pPr>
              <w:rPr>
                <w:rFonts w:ascii="Arial" w:hAnsi="Arial" w:cs="Arial"/>
              </w:rPr>
            </w:pPr>
            <w:r w:rsidRPr="00DE6ACB">
              <w:rPr>
                <w:rFonts w:ascii="Arial" w:hAnsi="Arial" w:cs="Arial"/>
              </w:rPr>
              <w:t>Broj</w:t>
            </w:r>
          </w:p>
        </w:tc>
        <w:tc>
          <w:tcPr>
            <w:tcW w:w="1114" w:type="dxa"/>
          </w:tcPr>
          <w:p w:rsidR="00D849AA" w:rsidRPr="00DE6ACB" w:rsidRDefault="00EE6D95">
            <w:pPr>
              <w:rPr>
                <w:rFonts w:ascii="Arial" w:hAnsi="Arial" w:cs="Arial"/>
              </w:rPr>
            </w:pPr>
            <w:r w:rsidRPr="00DE6ACB">
              <w:rPr>
                <w:rFonts w:ascii="Arial" w:hAnsi="Arial" w:cs="Arial"/>
              </w:rPr>
              <w:t>3</w:t>
            </w:r>
          </w:p>
        </w:tc>
        <w:tc>
          <w:tcPr>
            <w:tcW w:w="1486" w:type="dxa"/>
          </w:tcPr>
          <w:p w:rsidR="00D849AA" w:rsidRPr="00DE6ACB" w:rsidRDefault="00EE6D95">
            <w:pPr>
              <w:rPr>
                <w:rFonts w:ascii="Arial" w:hAnsi="Arial" w:cs="Arial"/>
              </w:rPr>
            </w:pPr>
            <w:r w:rsidRPr="00DE6ACB">
              <w:rPr>
                <w:rFonts w:ascii="Arial" w:hAnsi="Arial" w:cs="Arial"/>
              </w:rPr>
              <w:t>20</w:t>
            </w:r>
          </w:p>
        </w:tc>
        <w:tc>
          <w:tcPr>
            <w:tcW w:w="1486" w:type="dxa"/>
          </w:tcPr>
          <w:p w:rsidR="00D849AA" w:rsidRPr="00DE6ACB" w:rsidRDefault="00EE6D95">
            <w:pPr>
              <w:rPr>
                <w:rFonts w:ascii="Arial" w:hAnsi="Arial" w:cs="Arial"/>
              </w:rPr>
            </w:pPr>
            <w:r w:rsidRPr="00DE6ACB">
              <w:rPr>
                <w:rFonts w:ascii="Arial" w:hAnsi="Arial" w:cs="Arial"/>
              </w:rPr>
              <w:t>20</w:t>
            </w:r>
          </w:p>
        </w:tc>
        <w:tc>
          <w:tcPr>
            <w:tcW w:w="1486" w:type="dxa"/>
          </w:tcPr>
          <w:p w:rsidR="00D849AA" w:rsidRPr="00DE6ACB" w:rsidRDefault="00EE6D95">
            <w:pPr>
              <w:rPr>
                <w:rFonts w:ascii="Arial" w:hAnsi="Arial" w:cs="Arial"/>
              </w:rPr>
            </w:pPr>
            <w:r w:rsidRPr="00DE6ACB">
              <w:rPr>
                <w:rFonts w:ascii="Arial" w:hAnsi="Arial" w:cs="Arial"/>
              </w:rPr>
              <w:t>20</w:t>
            </w:r>
          </w:p>
        </w:tc>
      </w:tr>
    </w:tbl>
    <w:p w:rsidR="00D849AA" w:rsidRDefault="00EE6D95">
      <w:pPr>
        <w:pStyle w:val="Naslov5"/>
      </w:pPr>
      <w:r>
        <w:lastRenderedPageBreak/>
        <w:t>2606 KORIŠTENJE ORUŽANIH SNAGA ZA POMOĆ CIVILNIM INSTITUCIJAMA I STANOVNIŠTVU</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DE6ACB" w:rsidRDefault="00D849AA">
            <w:pPr>
              <w:pStyle w:val="CellHeader"/>
            </w:pPr>
          </w:p>
        </w:tc>
        <w:tc>
          <w:tcPr>
            <w:tcW w:w="1486" w:type="dxa"/>
            <w:shd w:val="clear" w:color="auto" w:fill="B5C0D8"/>
          </w:tcPr>
          <w:p w:rsidR="00D849AA" w:rsidRPr="00DE6ACB" w:rsidRDefault="00EE6D95">
            <w:pPr>
              <w:pStyle w:val="CellHeader"/>
            </w:pPr>
            <w:r w:rsidRPr="00DE6ACB">
              <w:t>Plan 2013.</w:t>
            </w:r>
          </w:p>
        </w:tc>
        <w:tc>
          <w:tcPr>
            <w:tcW w:w="1486" w:type="dxa"/>
            <w:shd w:val="clear" w:color="auto" w:fill="B5C0D8"/>
          </w:tcPr>
          <w:p w:rsidR="00D849AA" w:rsidRPr="00DE6ACB" w:rsidRDefault="00EE6D95">
            <w:pPr>
              <w:pStyle w:val="CellHeader"/>
            </w:pPr>
            <w:r w:rsidRPr="00DE6ACB">
              <w:t>Plan 2014.</w:t>
            </w:r>
          </w:p>
        </w:tc>
        <w:tc>
          <w:tcPr>
            <w:tcW w:w="1486" w:type="dxa"/>
            <w:shd w:val="clear" w:color="auto" w:fill="B5C0D8"/>
          </w:tcPr>
          <w:p w:rsidR="00D849AA" w:rsidRPr="00DE6ACB" w:rsidRDefault="00EE6D95">
            <w:pPr>
              <w:pStyle w:val="CellHeader"/>
            </w:pPr>
            <w:r w:rsidRPr="00DE6ACB">
              <w:t>Plan 2015.</w:t>
            </w:r>
          </w:p>
        </w:tc>
        <w:tc>
          <w:tcPr>
            <w:tcW w:w="1486" w:type="dxa"/>
            <w:shd w:val="clear" w:color="auto" w:fill="B5C0D8"/>
          </w:tcPr>
          <w:p w:rsidR="00D849AA" w:rsidRPr="00DE6ACB" w:rsidRDefault="00EE6D95">
            <w:pPr>
              <w:pStyle w:val="CellHeader"/>
            </w:pPr>
            <w:r w:rsidRPr="00DE6ACB">
              <w:t>Plan 2016.</w:t>
            </w:r>
          </w:p>
        </w:tc>
        <w:tc>
          <w:tcPr>
            <w:tcW w:w="1486" w:type="dxa"/>
            <w:shd w:val="clear" w:color="auto" w:fill="B5C0D8"/>
          </w:tcPr>
          <w:p w:rsidR="00D849AA" w:rsidRPr="00DE6ACB" w:rsidRDefault="00EE6D95">
            <w:pPr>
              <w:pStyle w:val="CellHeader"/>
            </w:pPr>
            <w:r w:rsidRPr="00DE6ACB">
              <w:t>Indeks 2014/2013</w:t>
            </w:r>
          </w:p>
        </w:tc>
      </w:tr>
      <w:tr w:rsidR="00D849AA">
        <w:trPr>
          <w:jc w:val="center"/>
        </w:trPr>
        <w:tc>
          <w:tcPr>
            <w:tcW w:w="1486" w:type="dxa"/>
          </w:tcPr>
          <w:p w:rsidR="00D849AA" w:rsidRPr="00DE6ACB" w:rsidRDefault="00EE6D95">
            <w:pPr>
              <w:pStyle w:val="CellColumn"/>
            </w:pPr>
            <w:r w:rsidRPr="00DE6ACB">
              <w:t>2606</w:t>
            </w:r>
          </w:p>
        </w:tc>
        <w:tc>
          <w:tcPr>
            <w:tcW w:w="1486" w:type="dxa"/>
          </w:tcPr>
          <w:p w:rsidR="00D849AA" w:rsidRPr="00DE6ACB" w:rsidRDefault="00EE6D95">
            <w:pPr>
              <w:rPr>
                <w:rFonts w:ascii="Arial" w:hAnsi="Arial" w:cs="Arial"/>
              </w:rPr>
            </w:pPr>
            <w:r w:rsidRPr="00DE6ACB">
              <w:rPr>
                <w:rFonts w:ascii="Arial" w:hAnsi="Arial" w:cs="Arial"/>
              </w:rPr>
              <w:t>136.423.000</w:t>
            </w:r>
          </w:p>
        </w:tc>
        <w:tc>
          <w:tcPr>
            <w:tcW w:w="1486" w:type="dxa"/>
          </w:tcPr>
          <w:p w:rsidR="00D849AA" w:rsidRPr="00DE6ACB" w:rsidRDefault="00EE6D95">
            <w:pPr>
              <w:rPr>
                <w:rFonts w:ascii="Arial" w:hAnsi="Arial" w:cs="Arial"/>
              </w:rPr>
            </w:pPr>
            <w:r w:rsidRPr="00DE6ACB">
              <w:rPr>
                <w:rFonts w:ascii="Arial" w:hAnsi="Arial" w:cs="Arial"/>
              </w:rPr>
              <w:t>127.911.000</w:t>
            </w:r>
          </w:p>
        </w:tc>
        <w:tc>
          <w:tcPr>
            <w:tcW w:w="1486" w:type="dxa"/>
          </w:tcPr>
          <w:p w:rsidR="00D849AA" w:rsidRPr="00DE6ACB" w:rsidRDefault="00EE6D95">
            <w:pPr>
              <w:rPr>
                <w:rFonts w:ascii="Arial" w:hAnsi="Arial" w:cs="Arial"/>
              </w:rPr>
            </w:pPr>
            <w:r w:rsidRPr="00DE6ACB">
              <w:rPr>
                <w:rFonts w:ascii="Arial" w:hAnsi="Arial" w:cs="Arial"/>
              </w:rPr>
              <w:t>134.906.000</w:t>
            </w:r>
          </w:p>
        </w:tc>
        <w:tc>
          <w:tcPr>
            <w:tcW w:w="1486" w:type="dxa"/>
          </w:tcPr>
          <w:p w:rsidR="00D849AA" w:rsidRPr="00DE6ACB" w:rsidRDefault="00EE6D95">
            <w:pPr>
              <w:rPr>
                <w:rFonts w:ascii="Arial" w:hAnsi="Arial" w:cs="Arial"/>
              </w:rPr>
            </w:pPr>
            <w:r w:rsidRPr="00DE6ACB">
              <w:rPr>
                <w:rFonts w:ascii="Arial" w:hAnsi="Arial" w:cs="Arial"/>
              </w:rPr>
              <w:t>136.106.000</w:t>
            </w:r>
          </w:p>
        </w:tc>
        <w:tc>
          <w:tcPr>
            <w:tcW w:w="1486" w:type="dxa"/>
          </w:tcPr>
          <w:p w:rsidR="00D849AA" w:rsidRPr="00DE6ACB" w:rsidRDefault="00EE6D95">
            <w:pPr>
              <w:rPr>
                <w:rFonts w:ascii="Arial" w:hAnsi="Arial" w:cs="Arial"/>
              </w:rPr>
            </w:pPr>
            <w:r w:rsidRPr="00DE6ACB">
              <w:rPr>
                <w:rFonts w:ascii="Arial" w:hAnsi="Arial" w:cs="Arial"/>
              </w:rPr>
              <w:t>93,8</w:t>
            </w:r>
          </w:p>
        </w:tc>
      </w:tr>
    </w:tbl>
    <w:p w:rsidR="00D849AA" w:rsidRDefault="00D849AA">
      <w:pPr>
        <w:jc w:val="left"/>
      </w:pPr>
    </w:p>
    <w:p w:rsidR="00D849AA" w:rsidRDefault="00EE6D95">
      <w:pPr>
        <w:pStyle w:val="Naslov6"/>
      </w:pPr>
      <w:r>
        <w:t>Opis programa</w:t>
      </w:r>
    </w:p>
    <w:p w:rsidR="00D849AA" w:rsidRDefault="00EE6D95">
      <w:pPr>
        <w:pStyle w:val="Normal5"/>
      </w:pPr>
      <w:r>
        <w:t>Pored obavljanja tradicionalnih vojnih zadaća, važna zadaća obrambenog sustava u mirnodopskim uvjetima je potpora civilnim institucijam i stanovništvu u zemlji. Povezivanjem s drugim ministarstvima i drugim tijelima državne uprave te civilnim institucijama, MO i OS RH pružaju pomoć i angažiraju se u čitavom nizu nevojnih aktivnosti usmjerenih na povećanje sigurnosti građana RH, prevenciju i uklanjanje posljedica radnji i događaja štetnih po građane, imovinu i prirodna bogatstva RH te pružanje zdravstvene, humanitarne i druge pomoći. Vođeno načelima vanjske politike Republike Hrvatske, Ministarstvo obrane će sposobnosti razvijene za potporu civilnim vlastima angažirati prema potrebi i u humanitarnim aktivnostima u inozemstvu. U ovim netradicionalnim vojnim aktivnostima obrambeni sustav u mirnodopsko vrijeme na najbolji način pokazuje svoju opću društvenu korisnost.</w:t>
      </w:r>
    </w:p>
    <w:p w:rsidR="00D849AA" w:rsidRDefault="00EE6D95">
      <w:pPr>
        <w:pStyle w:val="Naslov6"/>
      </w:pPr>
      <w:r>
        <w:t>Zakonske i druge pravne osnove</w:t>
      </w:r>
    </w:p>
    <w:p w:rsidR="00D849AA" w:rsidRDefault="00EE6D95">
      <w:pPr>
        <w:pStyle w:val="Normal5"/>
      </w:pPr>
      <w:r>
        <w:t>Zakon o obalnoj straži Republike Hrvatske (NN 109/07), Odluka Sabora RH o proširenju jurisdikcije RH na Jadranskom moru, Zakon o zaštiti od elementarnih nepogoda, Plan intervencija kod velikih požara otvorenog prostora na teritoriju RH, Plan uporabe Oružanih snaga RH u protupožarnoj sezoni, Zakon o zaštiti i spašavanju (NN 174/04, 79/07, 38/09 i 127/10),  Zakon o Hrvatskoj gorskoj službi spašavanja (NN 79/06), Zakon o obrani (NN 73/13), Zakon o službi u Oružanim snagama RH (NN 73/13), Sporazum o suradnji u provedbi hitnog zračnog prijevoza između Ministarstva obrane i Ministarstva zdravlja.</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Cilj 1. Pomoći drugim državnim tijelima, institucijama i stanovništvu</w:t>
      </w:r>
    </w:p>
    <w:p w:rsidR="00D849AA" w:rsidRDefault="00EE6D95">
      <w:pPr>
        <w:pStyle w:val="Normal6"/>
      </w:pPr>
      <w:r>
        <w:t>Osim zaštite suvereniteta i teritorijalne cjelovitosti Republike Hrvatske te doprinosa kolektivnoj obrani i međunarodnoj sigurnosti, obrambeni sustav u mirnodopskim uvjetima ima važnu ulogu u potpori  civilnim institucijama u zemlji. Cilj navedene potpore je kontrola ZERP-a, sprečavanje i umanjenje štete od šumskih požara, obrana od poplava i druge pomoći u zaštiti imovine i građana.</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39"/>
        <w:gridCol w:w="1114"/>
        <w:gridCol w:w="1486"/>
        <w:gridCol w:w="1486"/>
        <w:gridCol w:w="1486"/>
      </w:tblGrid>
      <w:tr w:rsidR="00D849AA">
        <w:trPr>
          <w:jc w:val="center"/>
        </w:trPr>
        <w:tc>
          <w:tcPr>
            <w:tcW w:w="2229" w:type="dxa"/>
            <w:shd w:val="clear" w:color="auto" w:fill="B5C0D8"/>
          </w:tcPr>
          <w:p w:rsidR="00D849AA" w:rsidRPr="00DE6ACB" w:rsidRDefault="00EE6D95">
            <w:pPr>
              <w:rPr>
                <w:rFonts w:ascii="Arial" w:hAnsi="Arial" w:cs="Arial"/>
              </w:rPr>
            </w:pPr>
            <w:r w:rsidRPr="00DE6ACB">
              <w:rPr>
                <w:rFonts w:ascii="Arial" w:hAnsi="Arial" w:cs="Arial"/>
              </w:rPr>
              <w:t>Pokazatelj učinka</w:t>
            </w:r>
          </w:p>
        </w:tc>
        <w:tc>
          <w:tcPr>
            <w:tcW w:w="1114" w:type="dxa"/>
            <w:shd w:val="clear" w:color="auto" w:fill="B5C0D8"/>
          </w:tcPr>
          <w:p w:rsidR="00D849AA" w:rsidRPr="00DE6ACB" w:rsidRDefault="00EE6D95">
            <w:pPr>
              <w:pStyle w:val="CellHeader"/>
            </w:pPr>
            <w:r w:rsidRPr="00DE6ACB">
              <w:t>Jedinica</w:t>
            </w:r>
          </w:p>
        </w:tc>
        <w:tc>
          <w:tcPr>
            <w:tcW w:w="1114" w:type="dxa"/>
            <w:shd w:val="clear" w:color="auto" w:fill="B5C0D8"/>
          </w:tcPr>
          <w:p w:rsidR="00D849AA" w:rsidRPr="00DE6ACB" w:rsidRDefault="00EE6D95">
            <w:pPr>
              <w:pStyle w:val="CellHeader"/>
            </w:pPr>
            <w:r w:rsidRPr="00DE6ACB">
              <w:t>Polazna vrijednost</w:t>
            </w:r>
          </w:p>
        </w:tc>
        <w:tc>
          <w:tcPr>
            <w:tcW w:w="1486" w:type="dxa"/>
            <w:shd w:val="clear" w:color="auto" w:fill="B5C0D8"/>
          </w:tcPr>
          <w:p w:rsidR="00D849AA" w:rsidRPr="00DE6ACB" w:rsidRDefault="00EE6D95">
            <w:pPr>
              <w:pStyle w:val="CellHeader"/>
            </w:pPr>
            <w:r w:rsidRPr="00DE6ACB">
              <w:t>Ciljana vrijednost (2014.)</w:t>
            </w:r>
          </w:p>
        </w:tc>
        <w:tc>
          <w:tcPr>
            <w:tcW w:w="1486" w:type="dxa"/>
            <w:shd w:val="clear" w:color="auto" w:fill="B5C0D8"/>
          </w:tcPr>
          <w:p w:rsidR="00D849AA" w:rsidRPr="00DE6ACB" w:rsidRDefault="00EE6D95">
            <w:pPr>
              <w:pStyle w:val="CellHeader"/>
            </w:pPr>
            <w:r w:rsidRPr="00DE6ACB">
              <w:t>Ciljana vrijednost (2015.)</w:t>
            </w:r>
          </w:p>
        </w:tc>
        <w:tc>
          <w:tcPr>
            <w:tcW w:w="1486" w:type="dxa"/>
            <w:shd w:val="clear" w:color="auto" w:fill="B5C0D8"/>
          </w:tcPr>
          <w:p w:rsidR="00D849AA" w:rsidRPr="00DE6ACB" w:rsidRDefault="00EE6D95">
            <w:pPr>
              <w:pStyle w:val="CellHeader"/>
            </w:pPr>
            <w:r w:rsidRPr="00DE6ACB">
              <w:t>Ciljana vrijednost (2016.)</w:t>
            </w:r>
          </w:p>
        </w:tc>
      </w:tr>
      <w:tr w:rsidR="00D849AA">
        <w:trPr>
          <w:jc w:val="center"/>
        </w:trPr>
        <w:tc>
          <w:tcPr>
            <w:tcW w:w="2229" w:type="dxa"/>
          </w:tcPr>
          <w:p w:rsidR="00D849AA" w:rsidRPr="00DE6ACB" w:rsidRDefault="00EE6D95">
            <w:pPr>
              <w:pStyle w:val="CellColumn"/>
            </w:pPr>
            <w:r w:rsidRPr="00DE6ACB">
              <w:t>Zaštita prava i interesa RH te povećanje sigurnosti građana</w:t>
            </w:r>
          </w:p>
        </w:tc>
        <w:tc>
          <w:tcPr>
            <w:tcW w:w="1114" w:type="dxa"/>
          </w:tcPr>
          <w:p w:rsidR="00D849AA" w:rsidRPr="00DE6ACB" w:rsidRDefault="00EE6D95">
            <w:pPr>
              <w:rPr>
                <w:rFonts w:ascii="Arial" w:hAnsi="Arial" w:cs="Arial"/>
              </w:rPr>
            </w:pPr>
            <w:r w:rsidRPr="00DE6ACB">
              <w:rPr>
                <w:rFonts w:ascii="Arial" w:hAnsi="Arial" w:cs="Arial"/>
              </w:rPr>
              <w:t>Postotak ostvarenih zahtjeva civilnih institucija</w:t>
            </w:r>
          </w:p>
        </w:tc>
        <w:tc>
          <w:tcPr>
            <w:tcW w:w="1114" w:type="dxa"/>
          </w:tcPr>
          <w:p w:rsidR="00D849AA" w:rsidRPr="00DE6ACB" w:rsidRDefault="00EE6D95">
            <w:pPr>
              <w:rPr>
                <w:rFonts w:ascii="Arial" w:hAnsi="Arial" w:cs="Arial"/>
              </w:rPr>
            </w:pPr>
            <w:r w:rsidRPr="00DE6ACB">
              <w:rPr>
                <w:rFonts w:ascii="Arial" w:hAnsi="Arial" w:cs="Arial"/>
              </w:rPr>
              <w:t>100</w:t>
            </w:r>
          </w:p>
        </w:tc>
        <w:tc>
          <w:tcPr>
            <w:tcW w:w="1486" w:type="dxa"/>
          </w:tcPr>
          <w:p w:rsidR="00D849AA" w:rsidRPr="00DE6ACB" w:rsidRDefault="00EE6D95">
            <w:pPr>
              <w:rPr>
                <w:rFonts w:ascii="Arial" w:hAnsi="Arial" w:cs="Arial"/>
              </w:rPr>
            </w:pPr>
            <w:r w:rsidRPr="00DE6ACB">
              <w:rPr>
                <w:rFonts w:ascii="Arial" w:hAnsi="Arial" w:cs="Arial"/>
              </w:rPr>
              <w:t>100</w:t>
            </w:r>
          </w:p>
        </w:tc>
        <w:tc>
          <w:tcPr>
            <w:tcW w:w="1486" w:type="dxa"/>
          </w:tcPr>
          <w:p w:rsidR="00D849AA" w:rsidRPr="00DE6ACB" w:rsidRDefault="00EE6D95">
            <w:pPr>
              <w:rPr>
                <w:rFonts w:ascii="Arial" w:hAnsi="Arial" w:cs="Arial"/>
              </w:rPr>
            </w:pPr>
            <w:r w:rsidRPr="00DE6ACB">
              <w:rPr>
                <w:rFonts w:ascii="Arial" w:hAnsi="Arial" w:cs="Arial"/>
              </w:rPr>
              <w:t>100</w:t>
            </w:r>
          </w:p>
        </w:tc>
        <w:tc>
          <w:tcPr>
            <w:tcW w:w="1486" w:type="dxa"/>
          </w:tcPr>
          <w:p w:rsidR="00D849AA" w:rsidRPr="00DE6ACB" w:rsidRDefault="00EE6D95">
            <w:pPr>
              <w:rPr>
                <w:rFonts w:ascii="Arial" w:hAnsi="Arial" w:cs="Arial"/>
              </w:rPr>
            </w:pPr>
            <w:r w:rsidRPr="00DE6ACB">
              <w:rPr>
                <w:rFonts w:ascii="Arial" w:hAnsi="Arial" w:cs="Arial"/>
              </w:rPr>
              <w:t>100</w:t>
            </w:r>
          </w:p>
        </w:tc>
      </w:tr>
    </w:tbl>
    <w:p w:rsidR="00D849AA" w:rsidRDefault="00D849AA">
      <w:pPr>
        <w:jc w:val="left"/>
      </w:pPr>
    </w:p>
    <w:p w:rsidR="00D849AA" w:rsidRDefault="00EE6D95">
      <w:pPr>
        <w:pStyle w:val="Naslov5"/>
      </w:pPr>
      <w:r>
        <w:lastRenderedPageBreak/>
        <w:t>Procjena i ishodište potrebnih sredstava za značajnije aktivnosti/projekte</w:t>
      </w:r>
    </w:p>
    <w:p w:rsidR="00D849AA" w:rsidRDefault="00EE6D95">
      <w:pPr>
        <w:pStyle w:val="Naslov6"/>
      </w:pPr>
      <w:r>
        <w:t>A545035 PROTUPOŽARNA ZAŠTITA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DE6ACB" w:rsidRDefault="00EE6D95">
            <w:pPr>
              <w:pStyle w:val="CellHeader"/>
            </w:pPr>
            <w:r w:rsidRPr="00DE6ACB">
              <w:t>Naziv aktivnosti</w:t>
            </w:r>
          </w:p>
        </w:tc>
        <w:tc>
          <w:tcPr>
            <w:tcW w:w="1486" w:type="dxa"/>
            <w:shd w:val="clear" w:color="auto" w:fill="B5C0D8"/>
          </w:tcPr>
          <w:p w:rsidR="00D849AA" w:rsidRPr="00DE6ACB" w:rsidRDefault="00EE6D95">
            <w:pPr>
              <w:pStyle w:val="CellHeader"/>
            </w:pPr>
            <w:r w:rsidRPr="00DE6ACB">
              <w:t>Plan 2013.</w:t>
            </w:r>
          </w:p>
        </w:tc>
        <w:tc>
          <w:tcPr>
            <w:tcW w:w="1486" w:type="dxa"/>
            <w:shd w:val="clear" w:color="auto" w:fill="B5C0D8"/>
          </w:tcPr>
          <w:p w:rsidR="00D849AA" w:rsidRPr="00DE6ACB" w:rsidRDefault="00EE6D95">
            <w:pPr>
              <w:pStyle w:val="CellHeader"/>
            </w:pPr>
            <w:r w:rsidRPr="00DE6ACB">
              <w:t>Plan 2014.</w:t>
            </w:r>
          </w:p>
        </w:tc>
        <w:tc>
          <w:tcPr>
            <w:tcW w:w="1486" w:type="dxa"/>
            <w:shd w:val="clear" w:color="auto" w:fill="B5C0D8"/>
          </w:tcPr>
          <w:p w:rsidR="00D849AA" w:rsidRPr="00DE6ACB" w:rsidRDefault="00EE6D95">
            <w:pPr>
              <w:pStyle w:val="CellHeader"/>
            </w:pPr>
            <w:r w:rsidRPr="00DE6ACB">
              <w:t>Plan 2015.</w:t>
            </w:r>
          </w:p>
        </w:tc>
        <w:tc>
          <w:tcPr>
            <w:tcW w:w="1486" w:type="dxa"/>
            <w:shd w:val="clear" w:color="auto" w:fill="B5C0D8"/>
          </w:tcPr>
          <w:p w:rsidR="00D849AA" w:rsidRPr="00DE6ACB" w:rsidRDefault="00EE6D95">
            <w:pPr>
              <w:pStyle w:val="CellHeader"/>
            </w:pPr>
            <w:r w:rsidRPr="00DE6ACB">
              <w:t>Plan 2016.</w:t>
            </w:r>
          </w:p>
        </w:tc>
        <w:tc>
          <w:tcPr>
            <w:tcW w:w="1486" w:type="dxa"/>
            <w:shd w:val="clear" w:color="auto" w:fill="B5C0D8"/>
          </w:tcPr>
          <w:p w:rsidR="00D849AA" w:rsidRPr="00DE6ACB" w:rsidRDefault="00EE6D95">
            <w:pPr>
              <w:pStyle w:val="CellHeader"/>
            </w:pPr>
            <w:r w:rsidRPr="00DE6ACB">
              <w:t>Indeks 2014/2013</w:t>
            </w:r>
          </w:p>
        </w:tc>
      </w:tr>
      <w:tr w:rsidR="00D849AA">
        <w:trPr>
          <w:jc w:val="center"/>
        </w:trPr>
        <w:tc>
          <w:tcPr>
            <w:tcW w:w="1486" w:type="dxa"/>
          </w:tcPr>
          <w:p w:rsidR="00D849AA" w:rsidRPr="00DE6ACB" w:rsidRDefault="00EE6D95">
            <w:pPr>
              <w:pStyle w:val="CellColumn"/>
            </w:pPr>
            <w:r w:rsidRPr="00DE6ACB">
              <w:t>A545035</w:t>
            </w:r>
          </w:p>
        </w:tc>
        <w:tc>
          <w:tcPr>
            <w:tcW w:w="1486" w:type="dxa"/>
          </w:tcPr>
          <w:p w:rsidR="00D849AA" w:rsidRPr="00DE6ACB" w:rsidRDefault="00EE6D95">
            <w:pPr>
              <w:rPr>
                <w:rFonts w:ascii="Arial" w:hAnsi="Arial" w:cs="Arial"/>
              </w:rPr>
            </w:pPr>
            <w:r w:rsidRPr="00DE6ACB">
              <w:rPr>
                <w:rFonts w:ascii="Arial" w:hAnsi="Arial" w:cs="Arial"/>
              </w:rPr>
              <w:t>96.353.000</w:t>
            </w:r>
          </w:p>
        </w:tc>
        <w:tc>
          <w:tcPr>
            <w:tcW w:w="1486" w:type="dxa"/>
          </w:tcPr>
          <w:p w:rsidR="00D849AA" w:rsidRPr="00DE6ACB" w:rsidRDefault="00EE6D95">
            <w:pPr>
              <w:rPr>
                <w:rFonts w:ascii="Arial" w:hAnsi="Arial" w:cs="Arial"/>
              </w:rPr>
            </w:pPr>
            <w:r w:rsidRPr="00DE6ACB">
              <w:rPr>
                <w:rFonts w:ascii="Arial" w:hAnsi="Arial" w:cs="Arial"/>
              </w:rPr>
              <w:t>83.812.000</w:t>
            </w:r>
          </w:p>
        </w:tc>
        <w:tc>
          <w:tcPr>
            <w:tcW w:w="1486" w:type="dxa"/>
          </w:tcPr>
          <w:p w:rsidR="00D849AA" w:rsidRPr="00DE6ACB" w:rsidRDefault="00EE6D95">
            <w:pPr>
              <w:rPr>
                <w:rFonts w:ascii="Arial" w:hAnsi="Arial" w:cs="Arial"/>
              </w:rPr>
            </w:pPr>
            <w:r w:rsidRPr="00DE6ACB">
              <w:rPr>
                <w:rFonts w:ascii="Arial" w:hAnsi="Arial" w:cs="Arial"/>
              </w:rPr>
              <w:t>86.393.000</w:t>
            </w:r>
          </w:p>
        </w:tc>
        <w:tc>
          <w:tcPr>
            <w:tcW w:w="1486" w:type="dxa"/>
          </w:tcPr>
          <w:p w:rsidR="00D849AA" w:rsidRPr="00DE6ACB" w:rsidRDefault="00EE6D95">
            <w:pPr>
              <w:rPr>
                <w:rFonts w:ascii="Arial" w:hAnsi="Arial" w:cs="Arial"/>
              </w:rPr>
            </w:pPr>
            <w:r w:rsidRPr="00DE6ACB">
              <w:rPr>
                <w:rFonts w:ascii="Arial" w:hAnsi="Arial" w:cs="Arial"/>
              </w:rPr>
              <w:t>87.193.000</w:t>
            </w:r>
          </w:p>
        </w:tc>
        <w:tc>
          <w:tcPr>
            <w:tcW w:w="1486" w:type="dxa"/>
          </w:tcPr>
          <w:p w:rsidR="00D849AA" w:rsidRPr="00DE6ACB" w:rsidRDefault="00EE6D95">
            <w:pPr>
              <w:rPr>
                <w:rFonts w:ascii="Arial" w:hAnsi="Arial" w:cs="Arial"/>
              </w:rPr>
            </w:pPr>
            <w:r w:rsidRPr="00DE6ACB">
              <w:rPr>
                <w:rFonts w:ascii="Arial" w:hAnsi="Arial" w:cs="Arial"/>
              </w:rPr>
              <w:t>87,0</w:t>
            </w:r>
          </w:p>
        </w:tc>
      </w:tr>
    </w:tbl>
    <w:p w:rsidR="00D849AA" w:rsidRDefault="00D849AA">
      <w:pPr>
        <w:jc w:val="left"/>
      </w:pPr>
    </w:p>
    <w:p w:rsidR="00D849AA" w:rsidRDefault="00EE6D95">
      <w:pPr>
        <w:pStyle w:val="Normal6"/>
      </w:pPr>
      <w:r>
        <w:t>Cilj aktivnosti je sudjelovanje u protupožarnoj zaštiti, te pružanje pomoći i potpore civilnim institucijama za zaštitu i spašavanje u gašenju požara tijekom protupožarne sezone, prvenstveno u priobalju. U OS RH za provedbu Protupožarne sezone ustrojava se NOS (namjenski organizirane snage) sastavljen od dijelova snaga Hrvatske kopnene vojske, Hrvatskog ratnog zrakoplovstva i protuzračne obrane i Hrvatske ratne mornarice, radi pružanja pomoći i potpore vatrogasnim postrojbama u gašenju požara otvorenog prostora iz zraka i sa zemlje te prevoženja morem i opskrbe gasitelja vodom.</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DE6ACB" w:rsidRDefault="00EE6D95">
            <w:pPr>
              <w:rPr>
                <w:rFonts w:ascii="Arial" w:hAnsi="Arial" w:cs="Arial"/>
              </w:rPr>
            </w:pPr>
            <w:r w:rsidRPr="00DE6ACB">
              <w:rPr>
                <w:rFonts w:ascii="Arial" w:hAnsi="Arial" w:cs="Arial"/>
              </w:rPr>
              <w:t>Pokazatelj rezultata</w:t>
            </w:r>
          </w:p>
        </w:tc>
        <w:tc>
          <w:tcPr>
            <w:tcW w:w="1114" w:type="dxa"/>
            <w:shd w:val="clear" w:color="auto" w:fill="B5C0D8"/>
          </w:tcPr>
          <w:p w:rsidR="00D849AA" w:rsidRPr="00DE6ACB" w:rsidRDefault="00EE6D95">
            <w:pPr>
              <w:pStyle w:val="CellHeader"/>
            </w:pPr>
            <w:r w:rsidRPr="00DE6ACB">
              <w:t>Jedinica</w:t>
            </w:r>
          </w:p>
        </w:tc>
        <w:tc>
          <w:tcPr>
            <w:tcW w:w="1114" w:type="dxa"/>
            <w:shd w:val="clear" w:color="auto" w:fill="B5C0D8"/>
          </w:tcPr>
          <w:p w:rsidR="00D849AA" w:rsidRPr="00DE6ACB" w:rsidRDefault="00EE6D95">
            <w:pPr>
              <w:pStyle w:val="CellHeader"/>
            </w:pPr>
            <w:r w:rsidRPr="00DE6ACB">
              <w:t>Polazna vrijednost</w:t>
            </w:r>
          </w:p>
        </w:tc>
        <w:tc>
          <w:tcPr>
            <w:tcW w:w="1486" w:type="dxa"/>
            <w:shd w:val="clear" w:color="auto" w:fill="B5C0D8"/>
          </w:tcPr>
          <w:p w:rsidR="00D849AA" w:rsidRPr="00DE6ACB" w:rsidRDefault="00EE6D95">
            <w:pPr>
              <w:pStyle w:val="CellHeader"/>
            </w:pPr>
            <w:r w:rsidRPr="00DE6ACB">
              <w:t>Ciljana vrijednost (2014.)</w:t>
            </w:r>
          </w:p>
        </w:tc>
        <w:tc>
          <w:tcPr>
            <w:tcW w:w="1486" w:type="dxa"/>
            <w:shd w:val="clear" w:color="auto" w:fill="B5C0D8"/>
          </w:tcPr>
          <w:p w:rsidR="00D849AA" w:rsidRPr="00DE6ACB" w:rsidRDefault="00EE6D95">
            <w:pPr>
              <w:pStyle w:val="CellHeader"/>
            </w:pPr>
            <w:r w:rsidRPr="00DE6ACB">
              <w:t>Ciljana vrijednost (2015.)</w:t>
            </w:r>
          </w:p>
        </w:tc>
        <w:tc>
          <w:tcPr>
            <w:tcW w:w="1486" w:type="dxa"/>
            <w:shd w:val="clear" w:color="auto" w:fill="B5C0D8"/>
          </w:tcPr>
          <w:p w:rsidR="00D849AA" w:rsidRPr="00DE6ACB" w:rsidRDefault="00EE6D95">
            <w:pPr>
              <w:pStyle w:val="CellHeader"/>
            </w:pPr>
            <w:r w:rsidRPr="00DE6ACB">
              <w:t>Ciljana vrijednost (2016.)</w:t>
            </w:r>
          </w:p>
        </w:tc>
      </w:tr>
      <w:tr w:rsidR="00D849AA">
        <w:trPr>
          <w:jc w:val="center"/>
        </w:trPr>
        <w:tc>
          <w:tcPr>
            <w:tcW w:w="2229" w:type="dxa"/>
          </w:tcPr>
          <w:p w:rsidR="00D849AA" w:rsidRPr="00DE6ACB" w:rsidRDefault="00EE6D95">
            <w:pPr>
              <w:pStyle w:val="CellColumn"/>
            </w:pPr>
            <w:r w:rsidRPr="00DE6ACB">
              <w:t>Broj angažiranih pripadnika</w:t>
            </w:r>
          </w:p>
        </w:tc>
        <w:tc>
          <w:tcPr>
            <w:tcW w:w="1114" w:type="dxa"/>
          </w:tcPr>
          <w:p w:rsidR="00D849AA" w:rsidRPr="00DE6ACB" w:rsidRDefault="00EE6D95">
            <w:pPr>
              <w:rPr>
                <w:rFonts w:ascii="Arial" w:hAnsi="Arial" w:cs="Arial"/>
              </w:rPr>
            </w:pPr>
            <w:r w:rsidRPr="00DE6ACB">
              <w:rPr>
                <w:rFonts w:ascii="Arial" w:hAnsi="Arial" w:cs="Arial"/>
              </w:rPr>
              <w:t>Broj</w:t>
            </w:r>
          </w:p>
        </w:tc>
        <w:tc>
          <w:tcPr>
            <w:tcW w:w="1114" w:type="dxa"/>
          </w:tcPr>
          <w:p w:rsidR="00D849AA" w:rsidRPr="00DE6ACB" w:rsidRDefault="00EE6D95">
            <w:pPr>
              <w:rPr>
                <w:rFonts w:ascii="Arial" w:hAnsi="Arial" w:cs="Arial"/>
              </w:rPr>
            </w:pPr>
            <w:r w:rsidRPr="00DE6ACB">
              <w:rPr>
                <w:rFonts w:ascii="Arial" w:hAnsi="Arial" w:cs="Arial"/>
              </w:rPr>
              <w:t>226</w:t>
            </w:r>
          </w:p>
        </w:tc>
        <w:tc>
          <w:tcPr>
            <w:tcW w:w="1486" w:type="dxa"/>
          </w:tcPr>
          <w:p w:rsidR="00D849AA" w:rsidRPr="00DE6ACB" w:rsidRDefault="00EE6D95">
            <w:pPr>
              <w:rPr>
                <w:rFonts w:ascii="Arial" w:hAnsi="Arial" w:cs="Arial"/>
              </w:rPr>
            </w:pPr>
            <w:r w:rsidRPr="00DE6ACB">
              <w:rPr>
                <w:rFonts w:ascii="Arial" w:hAnsi="Arial" w:cs="Arial"/>
              </w:rPr>
              <w:t>224</w:t>
            </w:r>
          </w:p>
        </w:tc>
        <w:tc>
          <w:tcPr>
            <w:tcW w:w="1486" w:type="dxa"/>
          </w:tcPr>
          <w:p w:rsidR="00D849AA" w:rsidRPr="00DE6ACB" w:rsidRDefault="00EE6D95">
            <w:pPr>
              <w:rPr>
                <w:rFonts w:ascii="Arial" w:hAnsi="Arial" w:cs="Arial"/>
              </w:rPr>
            </w:pPr>
            <w:r w:rsidRPr="00DE6ACB">
              <w:rPr>
                <w:rFonts w:ascii="Arial" w:hAnsi="Arial" w:cs="Arial"/>
              </w:rPr>
              <w:t>228</w:t>
            </w:r>
          </w:p>
        </w:tc>
        <w:tc>
          <w:tcPr>
            <w:tcW w:w="1486" w:type="dxa"/>
          </w:tcPr>
          <w:p w:rsidR="00D849AA" w:rsidRPr="00DE6ACB" w:rsidRDefault="00EE6D95">
            <w:pPr>
              <w:rPr>
                <w:rFonts w:ascii="Arial" w:hAnsi="Arial" w:cs="Arial"/>
              </w:rPr>
            </w:pPr>
            <w:r w:rsidRPr="00DE6ACB">
              <w:rPr>
                <w:rFonts w:ascii="Arial" w:hAnsi="Arial" w:cs="Arial"/>
              </w:rPr>
              <w:t>223</w:t>
            </w:r>
          </w:p>
        </w:tc>
      </w:tr>
      <w:tr w:rsidR="00D849AA">
        <w:trPr>
          <w:jc w:val="center"/>
        </w:trPr>
        <w:tc>
          <w:tcPr>
            <w:tcW w:w="2229" w:type="dxa"/>
          </w:tcPr>
          <w:p w:rsidR="00D849AA" w:rsidRPr="00DE6ACB" w:rsidRDefault="00EE6D95">
            <w:pPr>
              <w:pStyle w:val="CellColumn"/>
            </w:pPr>
            <w:r w:rsidRPr="00DE6ACB">
              <w:t>Broj angažiranih temeljnih sredstava</w:t>
            </w:r>
          </w:p>
        </w:tc>
        <w:tc>
          <w:tcPr>
            <w:tcW w:w="1114" w:type="dxa"/>
          </w:tcPr>
          <w:p w:rsidR="00D849AA" w:rsidRPr="00DE6ACB" w:rsidRDefault="00EE6D95">
            <w:pPr>
              <w:rPr>
                <w:rFonts w:ascii="Arial" w:hAnsi="Arial" w:cs="Arial"/>
              </w:rPr>
            </w:pPr>
            <w:r w:rsidRPr="00DE6ACB">
              <w:rPr>
                <w:rFonts w:ascii="Arial" w:hAnsi="Arial" w:cs="Arial"/>
              </w:rPr>
              <w:t>Broj</w:t>
            </w:r>
          </w:p>
        </w:tc>
        <w:tc>
          <w:tcPr>
            <w:tcW w:w="1114" w:type="dxa"/>
          </w:tcPr>
          <w:p w:rsidR="00D849AA" w:rsidRPr="00DE6ACB" w:rsidRDefault="00EE6D95">
            <w:pPr>
              <w:rPr>
                <w:rFonts w:ascii="Arial" w:hAnsi="Arial" w:cs="Arial"/>
              </w:rPr>
            </w:pPr>
            <w:r w:rsidRPr="00DE6ACB">
              <w:rPr>
                <w:rFonts w:ascii="Arial" w:hAnsi="Arial" w:cs="Arial"/>
              </w:rPr>
              <w:t>22</w:t>
            </w:r>
          </w:p>
        </w:tc>
        <w:tc>
          <w:tcPr>
            <w:tcW w:w="1486" w:type="dxa"/>
          </w:tcPr>
          <w:p w:rsidR="00D849AA" w:rsidRPr="00DE6ACB" w:rsidRDefault="00EE6D95">
            <w:pPr>
              <w:rPr>
                <w:rFonts w:ascii="Arial" w:hAnsi="Arial" w:cs="Arial"/>
              </w:rPr>
            </w:pPr>
            <w:r w:rsidRPr="00DE6ACB">
              <w:rPr>
                <w:rFonts w:ascii="Arial" w:hAnsi="Arial" w:cs="Arial"/>
              </w:rPr>
              <w:t>18</w:t>
            </w:r>
          </w:p>
        </w:tc>
        <w:tc>
          <w:tcPr>
            <w:tcW w:w="1486" w:type="dxa"/>
          </w:tcPr>
          <w:p w:rsidR="00D849AA" w:rsidRPr="00DE6ACB" w:rsidRDefault="00EE6D95">
            <w:pPr>
              <w:rPr>
                <w:rFonts w:ascii="Arial" w:hAnsi="Arial" w:cs="Arial"/>
              </w:rPr>
            </w:pPr>
            <w:r w:rsidRPr="00DE6ACB">
              <w:rPr>
                <w:rFonts w:ascii="Arial" w:hAnsi="Arial" w:cs="Arial"/>
              </w:rPr>
              <w:t>25</w:t>
            </w:r>
          </w:p>
        </w:tc>
        <w:tc>
          <w:tcPr>
            <w:tcW w:w="1486" w:type="dxa"/>
          </w:tcPr>
          <w:p w:rsidR="00D849AA" w:rsidRPr="00DE6ACB" w:rsidRDefault="00EE6D95">
            <w:pPr>
              <w:rPr>
                <w:rFonts w:ascii="Arial" w:hAnsi="Arial" w:cs="Arial"/>
              </w:rPr>
            </w:pPr>
            <w:r w:rsidRPr="00DE6ACB">
              <w:rPr>
                <w:rFonts w:ascii="Arial" w:hAnsi="Arial" w:cs="Arial"/>
              </w:rPr>
              <w:t>23</w:t>
            </w:r>
          </w:p>
        </w:tc>
      </w:tr>
      <w:tr w:rsidR="00D849AA">
        <w:trPr>
          <w:jc w:val="center"/>
        </w:trPr>
        <w:tc>
          <w:tcPr>
            <w:tcW w:w="2229" w:type="dxa"/>
          </w:tcPr>
          <w:p w:rsidR="00D849AA" w:rsidRPr="00DE6ACB" w:rsidRDefault="00EE6D95">
            <w:pPr>
              <w:pStyle w:val="CellColumn"/>
            </w:pPr>
            <w:r w:rsidRPr="00DE6ACB">
              <w:t>Broj sati naleta zrakoplova</w:t>
            </w:r>
          </w:p>
        </w:tc>
        <w:tc>
          <w:tcPr>
            <w:tcW w:w="1114" w:type="dxa"/>
          </w:tcPr>
          <w:p w:rsidR="00D849AA" w:rsidRPr="00DE6ACB" w:rsidRDefault="00EE6D95">
            <w:pPr>
              <w:rPr>
                <w:rFonts w:ascii="Arial" w:hAnsi="Arial" w:cs="Arial"/>
              </w:rPr>
            </w:pPr>
            <w:r w:rsidRPr="00DE6ACB">
              <w:rPr>
                <w:rFonts w:ascii="Arial" w:hAnsi="Arial" w:cs="Arial"/>
              </w:rPr>
              <w:t>Broj</w:t>
            </w:r>
          </w:p>
        </w:tc>
        <w:tc>
          <w:tcPr>
            <w:tcW w:w="1114" w:type="dxa"/>
          </w:tcPr>
          <w:p w:rsidR="00D849AA" w:rsidRPr="00DE6ACB" w:rsidRDefault="00EE6D95">
            <w:pPr>
              <w:rPr>
                <w:rFonts w:ascii="Arial" w:hAnsi="Arial" w:cs="Arial"/>
              </w:rPr>
            </w:pPr>
            <w:r w:rsidRPr="00DE6ACB">
              <w:rPr>
                <w:rFonts w:ascii="Arial" w:hAnsi="Arial" w:cs="Arial"/>
              </w:rPr>
              <w:t>1900</w:t>
            </w:r>
          </w:p>
        </w:tc>
        <w:tc>
          <w:tcPr>
            <w:tcW w:w="1486" w:type="dxa"/>
          </w:tcPr>
          <w:p w:rsidR="00D849AA" w:rsidRPr="00DE6ACB" w:rsidRDefault="00EE6D95">
            <w:pPr>
              <w:rPr>
                <w:rFonts w:ascii="Arial" w:hAnsi="Arial" w:cs="Arial"/>
              </w:rPr>
            </w:pPr>
            <w:r w:rsidRPr="00DE6ACB">
              <w:rPr>
                <w:rFonts w:ascii="Arial" w:hAnsi="Arial" w:cs="Arial"/>
              </w:rPr>
              <w:t>2200</w:t>
            </w:r>
          </w:p>
        </w:tc>
        <w:tc>
          <w:tcPr>
            <w:tcW w:w="1486" w:type="dxa"/>
          </w:tcPr>
          <w:p w:rsidR="00D849AA" w:rsidRPr="00DE6ACB" w:rsidRDefault="00EE6D95">
            <w:pPr>
              <w:rPr>
                <w:rFonts w:ascii="Arial" w:hAnsi="Arial" w:cs="Arial"/>
              </w:rPr>
            </w:pPr>
            <w:r w:rsidRPr="00DE6ACB">
              <w:rPr>
                <w:rFonts w:ascii="Arial" w:hAnsi="Arial" w:cs="Arial"/>
              </w:rPr>
              <w:t>1850</w:t>
            </w:r>
          </w:p>
        </w:tc>
        <w:tc>
          <w:tcPr>
            <w:tcW w:w="1486" w:type="dxa"/>
          </w:tcPr>
          <w:p w:rsidR="00D849AA" w:rsidRPr="00DE6ACB" w:rsidRDefault="00EE6D95">
            <w:pPr>
              <w:rPr>
                <w:rFonts w:ascii="Arial" w:hAnsi="Arial" w:cs="Arial"/>
              </w:rPr>
            </w:pPr>
            <w:r w:rsidRPr="00DE6ACB">
              <w:rPr>
                <w:rFonts w:ascii="Arial" w:hAnsi="Arial" w:cs="Arial"/>
              </w:rPr>
              <w:t>2120</w:t>
            </w:r>
          </w:p>
        </w:tc>
      </w:tr>
    </w:tbl>
    <w:p w:rsidR="00D849AA" w:rsidRDefault="00D849AA">
      <w:pPr>
        <w:jc w:val="left"/>
      </w:pPr>
    </w:p>
    <w:p w:rsidR="00D849AA" w:rsidRDefault="00EE6D95">
      <w:pPr>
        <w:pStyle w:val="Naslov6"/>
      </w:pPr>
      <w:r>
        <w:t>A545039 OBALNA STRAŽA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rsidRPr="00DE6ACB">
        <w:trPr>
          <w:jc w:val="center"/>
        </w:trPr>
        <w:tc>
          <w:tcPr>
            <w:tcW w:w="1486" w:type="dxa"/>
            <w:shd w:val="clear" w:color="auto" w:fill="B5C0D8"/>
          </w:tcPr>
          <w:p w:rsidR="00D849AA" w:rsidRPr="00DE6ACB" w:rsidRDefault="00EE6D95">
            <w:pPr>
              <w:pStyle w:val="CellHeader"/>
            </w:pPr>
            <w:r w:rsidRPr="00DE6ACB">
              <w:t>Naziv aktivnosti</w:t>
            </w:r>
          </w:p>
        </w:tc>
        <w:tc>
          <w:tcPr>
            <w:tcW w:w="1486" w:type="dxa"/>
            <w:shd w:val="clear" w:color="auto" w:fill="B5C0D8"/>
          </w:tcPr>
          <w:p w:rsidR="00D849AA" w:rsidRPr="00DE6ACB" w:rsidRDefault="00EE6D95">
            <w:pPr>
              <w:pStyle w:val="CellHeader"/>
            </w:pPr>
            <w:r w:rsidRPr="00DE6ACB">
              <w:t>Plan 2013.</w:t>
            </w:r>
          </w:p>
        </w:tc>
        <w:tc>
          <w:tcPr>
            <w:tcW w:w="1486" w:type="dxa"/>
            <w:shd w:val="clear" w:color="auto" w:fill="B5C0D8"/>
          </w:tcPr>
          <w:p w:rsidR="00D849AA" w:rsidRPr="00DE6ACB" w:rsidRDefault="00EE6D95">
            <w:pPr>
              <w:pStyle w:val="CellHeader"/>
            </w:pPr>
            <w:r w:rsidRPr="00DE6ACB">
              <w:t>Plan 2014.</w:t>
            </w:r>
          </w:p>
        </w:tc>
        <w:tc>
          <w:tcPr>
            <w:tcW w:w="1486" w:type="dxa"/>
            <w:shd w:val="clear" w:color="auto" w:fill="B5C0D8"/>
          </w:tcPr>
          <w:p w:rsidR="00D849AA" w:rsidRPr="00DE6ACB" w:rsidRDefault="00EE6D95">
            <w:pPr>
              <w:pStyle w:val="CellHeader"/>
            </w:pPr>
            <w:r w:rsidRPr="00DE6ACB">
              <w:t>Plan 2015.</w:t>
            </w:r>
          </w:p>
        </w:tc>
        <w:tc>
          <w:tcPr>
            <w:tcW w:w="1486" w:type="dxa"/>
            <w:shd w:val="clear" w:color="auto" w:fill="B5C0D8"/>
          </w:tcPr>
          <w:p w:rsidR="00D849AA" w:rsidRPr="00DE6ACB" w:rsidRDefault="00EE6D95">
            <w:pPr>
              <w:pStyle w:val="CellHeader"/>
            </w:pPr>
            <w:r w:rsidRPr="00DE6ACB">
              <w:t>Plan 2016.</w:t>
            </w:r>
          </w:p>
        </w:tc>
        <w:tc>
          <w:tcPr>
            <w:tcW w:w="1486" w:type="dxa"/>
            <w:shd w:val="clear" w:color="auto" w:fill="B5C0D8"/>
          </w:tcPr>
          <w:p w:rsidR="00D849AA" w:rsidRPr="00DE6ACB" w:rsidRDefault="00EE6D95">
            <w:pPr>
              <w:pStyle w:val="CellHeader"/>
            </w:pPr>
            <w:r w:rsidRPr="00DE6ACB">
              <w:t>Indeks 2014/2013</w:t>
            </w:r>
          </w:p>
        </w:tc>
      </w:tr>
      <w:tr w:rsidR="00D849AA" w:rsidRPr="00DE6ACB">
        <w:trPr>
          <w:jc w:val="center"/>
        </w:trPr>
        <w:tc>
          <w:tcPr>
            <w:tcW w:w="1486" w:type="dxa"/>
          </w:tcPr>
          <w:p w:rsidR="00D849AA" w:rsidRPr="00DE6ACB" w:rsidRDefault="00EE6D95">
            <w:pPr>
              <w:pStyle w:val="CellColumn"/>
            </w:pPr>
            <w:r w:rsidRPr="00DE6ACB">
              <w:t>A545039</w:t>
            </w:r>
          </w:p>
        </w:tc>
        <w:tc>
          <w:tcPr>
            <w:tcW w:w="1486" w:type="dxa"/>
          </w:tcPr>
          <w:p w:rsidR="00D849AA" w:rsidRPr="00DE6ACB" w:rsidRDefault="00EE6D95">
            <w:pPr>
              <w:rPr>
                <w:rFonts w:ascii="Arial" w:hAnsi="Arial" w:cs="Arial"/>
              </w:rPr>
            </w:pPr>
            <w:r w:rsidRPr="00DE6ACB">
              <w:rPr>
                <w:rFonts w:ascii="Arial" w:hAnsi="Arial" w:cs="Arial"/>
              </w:rPr>
              <w:t>29.150.000</w:t>
            </w:r>
          </w:p>
        </w:tc>
        <w:tc>
          <w:tcPr>
            <w:tcW w:w="1486" w:type="dxa"/>
          </w:tcPr>
          <w:p w:rsidR="00D849AA" w:rsidRPr="00DE6ACB" w:rsidRDefault="00EE6D95">
            <w:pPr>
              <w:rPr>
                <w:rFonts w:ascii="Arial" w:hAnsi="Arial" w:cs="Arial"/>
              </w:rPr>
            </w:pPr>
            <w:r w:rsidRPr="00DE6ACB">
              <w:rPr>
                <w:rFonts w:ascii="Arial" w:hAnsi="Arial" w:cs="Arial"/>
              </w:rPr>
              <w:t>32.154.000</w:t>
            </w:r>
          </w:p>
        </w:tc>
        <w:tc>
          <w:tcPr>
            <w:tcW w:w="1486" w:type="dxa"/>
          </w:tcPr>
          <w:p w:rsidR="00D849AA" w:rsidRPr="00DE6ACB" w:rsidRDefault="00EE6D95">
            <w:pPr>
              <w:rPr>
                <w:rFonts w:ascii="Arial" w:hAnsi="Arial" w:cs="Arial"/>
              </w:rPr>
            </w:pPr>
            <w:r w:rsidRPr="00DE6ACB">
              <w:rPr>
                <w:rFonts w:ascii="Arial" w:hAnsi="Arial" w:cs="Arial"/>
              </w:rPr>
              <w:t>35.954.000</w:t>
            </w:r>
          </w:p>
        </w:tc>
        <w:tc>
          <w:tcPr>
            <w:tcW w:w="1486" w:type="dxa"/>
          </w:tcPr>
          <w:p w:rsidR="00D849AA" w:rsidRPr="00DE6ACB" w:rsidRDefault="00EE6D95">
            <w:pPr>
              <w:rPr>
                <w:rFonts w:ascii="Arial" w:hAnsi="Arial" w:cs="Arial"/>
              </w:rPr>
            </w:pPr>
            <w:r w:rsidRPr="00DE6ACB">
              <w:rPr>
                <w:rFonts w:ascii="Arial" w:hAnsi="Arial" w:cs="Arial"/>
              </w:rPr>
              <w:t>36.354.000</w:t>
            </w:r>
          </w:p>
        </w:tc>
        <w:tc>
          <w:tcPr>
            <w:tcW w:w="1486" w:type="dxa"/>
          </w:tcPr>
          <w:p w:rsidR="00D849AA" w:rsidRPr="00DE6ACB" w:rsidRDefault="00EE6D95">
            <w:pPr>
              <w:rPr>
                <w:rFonts w:ascii="Arial" w:hAnsi="Arial" w:cs="Arial"/>
              </w:rPr>
            </w:pPr>
            <w:r w:rsidRPr="00DE6ACB">
              <w:rPr>
                <w:rFonts w:ascii="Arial" w:hAnsi="Arial" w:cs="Arial"/>
              </w:rPr>
              <w:t>110,3</w:t>
            </w:r>
          </w:p>
        </w:tc>
      </w:tr>
    </w:tbl>
    <w:p w:rsidR="00D849AA" w:rsidRPr="00DE6ACB" w:rsidRDefault="00D849AA">
      <w:pPr>
        <w:jc w:val="left"/>
        <w:rPr>
          <w:rFonts w:ascii="Arial" w:hAnsi="Arial" w:cs="Arial"/>
        </w:rPr>
      </w:pPr>
    </w:p>
    <w:p w:rsidR="00D849AA" w:rsidRDefault="00EE6D95">
      <w:pPr>
        <w:pStyle w:val="Normal6"/>
      </w:pPr>
      <w:r>
        <w:t xml:space="preserve">Obalna straža obuhvaća provođenje učinkovitog nadzora i zaštitu prava i interesa Republike Hrvatske na moru samostalno ili pružanjem potpore drugim državnim tijelima. Područja obuhvaćena djelovanjem Obalne straže su suzbijanje i sprječavanje terorizma, organiziranog međunarodnog kriminala i širenja oružja za masovno uništenje; suzbijanje piratstva i drugih oblika korištenja otvorenog mora u nemiroljubive svrhe; sigurnost plovidbe; traganje i spašavanje; zaštita morskog okoliša, prirode i kulturne baštine te nadzor morskog ribarstva. Ugroze poput terorizma, pomorskog razbojništva, proliferacije oružja za masovno uništenje, organiziranog kriminala ili velikih uljnih onečišćenja mora u sadašnjoj su situaciji veća opasnost za sigurnost građana, imovine, gospodarstva i prirodnih bogatstava Republike Hrvatske od tradicionalnih vojnih prijetnji. U razdoblju 2014.-2016. aktivnost će se realizirati angažiranjem 9 brodova Obalne straže, 200 članova brodskih posada te 2 PC–9 zrakoplova i 4 helikoptera Mi 8 MTV  HRZ-a, koji su operativno podređeni Obalnoj straži sukladno Odluci ministra obrane. Pored navedenog, u </w:t>
      </w:r>
      <w:r>
        <w:lastRenderedPageBreak/>
        <w:t>zadaćama Obalne straže sudjeluju i 4 postaje obalnog motrenja, a po potrebi i druge snage OS RH. Dnevno je na moru 1 brod i ukupno oko 45 članova posade broda i drugog osoblja (radarske postaje). Tijekom godine na zadaćama Obalne straže angažirati će se oko 220 djelatnika (posada brodova, zrakoplova, postaja obalnog motrenja) u kontinuitetu, svih 12 mjeseci, 24 sata dnevno, do 300 pogonskih sati po brodu godišnje.</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DE6ACB" w:rsidRDefault="00EE6D95">
            <w:pPr>
              <w:rPr>
                <w:rFonts w:ascii="Arial" w:hAnsi="Arial" w:cs="Arial"/>
              </w:rPr>
            </w:pPr>
            <w:r w:rsidRPr="00DE6ACB">
              <w:rPr>
                <w:rFonts w:ascii="Arial" w:hAnsi="Arial" w:cs="Arial"/>
              </w:rPr>
              <w:t>Pokazatelj rezultata</w:t>
            </w:r>
          </w:p>
        </w:tc>
        <w:tc>
          <w:tcPr>
            <w:tcW w:w="1114" w:type="dxa"/>
            <w:shd w:val="clear" w:color="auto" w:fill="B5C0D8"/>
          </w:tcPr>
          <w:p w:rsidR="00D849AA" w:rsidRPr="00DE6ACB" w:rsidRDefault="00EE6D95">
            <w:pPr>
              <w:pStyle w:val="CellHeader"/>
            </w:pPr>
            <w:r w:rsidRPr="00DE6ACB">
              <w:t>Jedinica</w:t>
            </w:r>
          </w:p>
        </w:tc>
        <w:tc>
          <w:tcPr>
            <w:tcW w:w="1114" w:type="dxa"/>
            <w:shd w:val="clear" w:color="auto" w:fill="B5C0D8"/>
          </w:tcPr>
          <w:p w:rsidR="00D849AA" w:rsidRPr="00DE6ACB" w:rsidRDefault="00EE6D95">
            <w:pPr>
              <w:pStyle w:val="CellHeader"/>
            </w:pPr>
            <w:r w:rsidRPr="00DE6ACB">
              <w:t>Polazna vrijednost</w:t>
            </w:r>
          </w:p>
        </w:tc>
        <w:tc>
          <w:tcPr>
            <w:tcW w:w="1486" w:type="dxa"/>
            <w:shd w:val="clear" w:color="auto" w:fill="B5C0D8"/>
          </w:tcPr>
          <w:p w:rsidR="00D849AA" w:rsidRPr="00DE6ACB" w:rsidRDefault="00EE6D95">
            <w:pPr>
              <w:pStyle w:val="CellHeader"/>
            </w:pPr>
            <w:r w:rsidRPr="00DE6ACB">
              <w:t>Ciljana vrijednost (2014.)</w:t>
            </w:r>
          </w:p>
        </w:tc>
        <w:tc>
          <w:tcPr>
            <w:tcW w:w="1486" w:type="dxa"/>
            <w:shd w:val="clear" w:color="auto" w:fill="B5C0D8"/>
          </w:tcPr>
          <w:p w:rsidR="00D849AA" w:rsidRPr="00DE6ACB" w:rsidRDefault="00EE6D95">
            <w:pPr>
              <w:pStyle w:val="CellHeader"/>
            </w:pPr>
            <w:r w:rsidRPr="00DE6ACB">
              <w:t>Ciljana vrijednost (2015.)</w:t>
            </w:r>
          </w:p>
        </w:tc>
        <w:tc>
          <w:tcPr>
            <w:tcW w:w="1486" w:type="dxa"/>
            <w:shd w:val="clear" w:color="auto" w:fill="B5C0D8"/>
          </w:tcPr>
          <w:p w:rsidR="00D849AA" w:rsidRPr="00DE6ACB" w:rsidRDefault="00EE6D95">
            <w:pPr>
              <w:pStyle w:val="CellHeader"/>
            </w:pPr>
            <w:r w:rsidRPr="00DE6ACB">
              <w:t>Ciljana vrijednost (2016.)</w:t>
            </w:r>
          </w:p>
        </w:tc>
      </w:tr>
      <w:tr w:rsidR="00D849AA">
        <w:trPr>
          <w:jc w:val="center"/>
        </w:trPr>
        <w:tc>
          <w:tcPr>
            <w:tcW w:w="2229" w:type="dxa"/>
          </w:tcPr>
          <w:p w:rsidR="00D849AA" w:rsidRPr="00DE6ACB" w:rsidRDefault="00EE6D95">
            <w:pPr>
              <w:pStyle w:val="CellColumn"/>
            </w:pPr>
            <w:r w:rsidRPr="00DE6ACB">
              <w:t>Broj angažiranih pripadnika</w:t>
            </w:r>
          </w:p>
        </w:tc>
        <w:tc>
          <w:tcPr>
            <w:tcW w:w="1114" w:type="dxa"/>
          </w:tcPr>
          <w:p w:rsidR="00D849AA" w:rsidRPr="00DE6ACB" w:rsidRDefault="00EE6D95">
            <w:pPr>
              <w:rPr>
                <w:rFonts w:ascii="Arial" w:hAnsi="Arial" w:cs="Arial"/>
              </w:rPr>
            </w:pPr>
            <w:r w:rsidRPr="00DE6ACB">
              <w:rPr>
                <w:rFonts w:ascii="Arial" w:hAnsi="Arial" w:cs="Arial"/>
              </w:rPr>
              <w:t>Broj</w:t>
            </w:r>
          </w:p>
        </w:tc>
        <w:tc>
          <w:tcPr>
            <w:tcW w:w="1114" w:type="dxa"/>
          </w:tcPr>
          <w:p w:rsidR="00D849AA" w:rsidRPr="00DE6ACB" w:rsidRDefault="00EE6D95">
            <w:pPr>
              <w:rPr>
                <w:rFonts w:ascii="Arial" w:hAnsi="Arial" w:cs="Arial"/>
              </w:rPr>
            </w:pPr>
            <w:r w:rsidRPr="00DE6ACB">
              <w:rPr>
                <w:rFonts w:ascii="Arial" w:hAnsi="Arial" w:cs="Arial"/>
              </w:rPr>
              <w:t>260</w:t>
            </w:r>
          </w:p>
        </w:tc>
        <w:tc>
          <w:tcPr>
            <w:tcW w:w="1486" w:type="dxa"/>
          </w:tcPr>
          <w:p w:rsidR="00D849AA" w:rsidRPr="00DE6ACB" w:rsidRDefault="00EE6D95">
            <w:pPr>
              <w:rPr>
                <w:rFonts w:ascii="Arial" w:hAnsi="Arial" w:cs="Arial"/>
              </w:rPr>
            </w:pPr>
            <w:r w:rsidRPr="00DE6ACB">
              <w:rPr>
                <w:rFonts w:ascii="Arial" w:hAnsi="Arial" w:cs="Arial"/>
              </w:rPr>
              <w:t>254</w:t>
            </w:r>
          </w:p>
        </w:tc>
        <w:tc>
          <w:tcPr>
            <w:tcW w:w="1486" w:type="dxa"/>
          </w:tcPr>
          <w:p w:rsidR="00D849AA" w:rsidRPr="00DE6ACB" w:rsidRDefault="00EE6D95">
            <w:pPr>
              <w:rPr>
                <w:rFonts w:ascii="Arial" w:hAnsi="Arial" w:cs="Arial"/>
              </w:rPr>
            </w:pPr>
            <w:r w:rsidRPr="00DE6ACB">
              <w:rPr>
                <w:rFonts w:ascii="Arial" w:hAnsi="Arial" w:cs="Arial"/>
              </w:rPr>
              <w:t>259</w:t>
            </w:r>
          </w:p>
        </w:tc>
        <w:tc>
          <w:tcPr>
            <w:tcW w:w="1486" w:type="dxa"/>
          </w:tcPr>
          <w:p w:rsidR="00D849AA" w:rsidRPr="00DE6ACB" w:rsidRDefault="00EE6D95">
            <w:pPr>
              <w:rPr>
                <w:rFonts w:ascii="Arial" w:hAnsi="Arial" w:cs="Arial"/>
              </w:rPr>
            </w:pPr>
            <w:r w:rsidRPr="00DE6ACB">
              <w:rPr>
                <w:rFonts w:ascii="Arial" w:hAnsi="Arial" w:cs="Arial"/>
              </w:rPr>
              <w:t>267</w:t>
            </w:r>
          </w:p>
        </w:tc>
      </w:tr>
      <w:tr w:rsidR="00D849AA">
        <w:trPr>
          <w:jc w:val="center"/>
        </w:trPr>
        <w:tc>
          <w:tcPr>
            <w:tcW w:w="2229" w:type="dxa"/>
          </w:tcPr>
          <w:p w:rsidR="00D849AA" w:rsidRPr="00DE6ACB" w:rsidRDefault="00EE6D95">
            <w:pPr>
              <w:pStyle w:val="CellColumn"/>
            </w:pPr>
            <w:r w:rsidRPr="00DE6ACB">
              <w:t>Broj angažiranih temeljnih sredstava (brodovi, zrakoplovi i radari)</w:t>
            </w:r>
          </w:p>
        </w:tc>
        <w:tc>
          <w:tcPr>
            <w:tcW w:w="1114" w:type="dxa"/>
          </w:tcPr>
          <w:p w:rsidR="00D849AA" w:rsidRPr="00DE6ACB" w:rsidRDefault="00EE6D95">
            <w:pPr>
              <w:rPr>
                <w:rFonts w:ascii="Arial" w:hAnsi="Arial" w:cs="Arial"/>
              </w:rPr>
            </w:pPr>
            <w:r w:rsidRPr="00DE6ACB">
              <w:rPr>
                <w:rFonts w:ascii="Arial" w:hAnsi="Arial" w:cs="Arial"/>
              </w:rPr>
              <w:t>Broj</w:t>
            </w:r>
          </w:p>
        </w:tc>
        <w:tc>
          <w:tcPr>
            <w:tcW w:w="1114" w:type="dxa"/>
          </w:tcPr>
          <w:p w:rsidR="00D849AA" w:rsidRPr="00DE6ACB" w:rsidRDefault="00EE6D95">
            <w:pPr>
              <w:rPr>
                <w:rFonts w:ascii="Arial" w:hAnsi="Arial" w:cs="Arial"/>
              </w:rPr>
            </w:pPr>
            <w:r w:rsidRPr="00DE6ACB">
              <w:rPr>
                <w:rFonts w:ascii="Arial" w:hAnsi="Arial" w:cs="Arial"/>
              </w:rPr>
              <w:t>19</w:t>
            </w:r>
          </w:p>
        </w:tc>
        <w:tc>
          <w:tcPr>
            <w:tcW w:w="1486" w:type="dxa"/>
          </w:tcPr>
          <w:p w:rsidR="00D849AA" w:rsidRPr="00DE6ACB" w:rsidRDefault="00EE6D95">
            <w:pPr>
              <w:rPr>
                <w:rFonts w:ascii="Arial" w:hAnsi="Arial" w:cs="Arial"/>
              </w:rPr>
            </w:pPr>
            <w:r w:rsidRPr="00DE6ACB">
              <w:rPr>
                <w:rFonts w:ascii="Arial" w:hAnsi="Arial" w:cs="Arial"/>
              </w:rPr>
              <w:t>25</w:t>
            </w:r>
          </w:p>
        </w:tc>
        <w:tc>
          <w:tcPr>
            <w:tcW w:w="1486" w:type="dxa"/>
          </w:tcPr>
          <w:p w:rsidR="00D849AA" w:rsidRPr="00DE6ACB" w:rsidRDefault="00EE6D95">
            <w:pPr>
              <w:rPr>
                <w:rFonts w:ascii="Arial" w:hAnsi="Arial" w:cs="Arial"/>
              </w:rPr>
            </w:pPr>
            <w:r w:rsidRPr="00DE6ACB">
              <w:rPr>
                <w:rFonts w:ascii="Arial" w:hAnsi="Arial" w:cs="Arial"/>
              </w:rPr>
              <w:t>18</w:t>
            </w:r>
          </w:p>
        </w:tc>
        <w:tc>
          <w:tcPr>
            <w:tcW w:w="1486" w:type="dxa"/>
          </w:tcPr>
          <w:p w:rsidR="00D849AA" w:rsidRPr="00DE6ACB" w:rsidRDefault="00EE6D95">
            <w:pPr>
              <w:rPr>
                <w:rFonts w:ascii="Arial" w:hAnsi="Arial" w:cs="Arial"/>
              </w:rPr>
            </w:pPr>
            <w:r w:rsidRPr="00DE6ACB">
              <w:rPr>
                <w:rFonts w:ascii="Arial" w:hAnsi="Arial" w:cs="Arial"/>
              </w:rPr>
              <w:t>23</w:t>
            </w:r>
          </w:p>
        </w:tc>
      </w:tr>
    </w:tbl>
    <w:p w:rsidR="00D849AA" w:rsidRDefault="00D849AA">
      <w:pPr>
        <w:jc w:val="left"/>
      </w:pPr>
    </w:p>
    <w:p w:rsidR="00D849AA" w:rsidRDefault="00EE6D95">
      <w:pPr>
        <w:pStyle w:val="Naslov6"/>
      </w:pPr>
      <w:r>
        <w:t>A545068 HITNI MEDICINSKI PRIJEVOZ</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rsidRPr="00DE6ACB">
        <w:trPr>
          <w:jc w:val="center"/>
        </w:trPr>
        <w:tc>
          <w:tcPr>
            <w:tcW w:w="1486" w:type="dxa"/>
            <w:shd w:val="clear" w:color="auto" w:fill="B5C0D8"/>
          </w:tcPr>
          <w:p w:rsidR="00D849AA" w:rsidRPr="00DE6ACB" w:rsidRDefault="00EE6D95">
            <w:pPr>
              <w:pStyle w:val="CellHeader"/>
            </w:pPr>
            <w:r w:rsidRPr="00DE6ACB">
              <w:t>Naziv aktivnosti</w:t>
            </w:r>
          </w:p>
        </w:tc>
        <w:tc>
          <w:tcPr>
            <w:tcW w:w="1486" w:type="dxa"/>
            <w:shd w:val="clear" w:color="auto" w:fill="B5C0D8"/>
          </w:tcPr>
          <w:p w:rsidR="00D849AA" w:rsidRPr="00DE6ACB" w:rsidRDefault="00EE6D95">
            <w:pPr>
              <w:pStyle w:val="CellHeader"/>
            </w:pPr>
            <w:r w:rsidRPr="00DE6ACB">
              <w:t>Plan 2013.</w:t>
            </w:r>
          </w:p>
        </w:tc>
        <w:tc>
          <w:tcPr>
            <w:tcW w:w="1486" w:type="dxa"/>
            <w:shd w:val="clear" w:color="auto" w:fill="B5C0D8"/>
          </w:tcPr>
          <w:p w:rsidR="00D849AA" w:rsidRPr="00DE6ACB" w:rsidRDefault="00EE6D95">
            <w:pPr>
              <w:pStyle w:val="CellHeader"/>
            </w:pPr>
            <w:r w:rsidRPr="00DE6ACB">
              <w:t>Plan 2014.</w:t>
            </w:r>
          </w:p>
        </w:tc>
        <w:tc>
          <w:tcPr>
            <w:tcW w:w="1486" w:type="dxa"/>
            <w:shd w:val="clear" w:color="auto" w:fill="B5C0D8"/>
          </w:tcPr>
          <w:p w:rsidR="00D849AA" w:rsidRPr="00DE6ACB" w:rsidRDefault="00EE6D95">
            <w:pPr>
              <w:pStyle w:val="CellHeader"/>
            </w:pPr>
            <w:r w:rsidRPr="00DE6ACB">
              <w:t>Plan 2015.</w:t>
            </w:r>
          </w:p>
        </w:tc>
        <w:tc>
          <w:tcPr>
            <w:tcW w:w="1486" w:type="dxa"/>
            <w:shd w:val="clear" w:color="auto" w:fill="B5C0D8"/>
          </w:tcPr>
          <w:p w:rsidR="00D849AA" w:rsidRPr="00DE6ACB" w:rsidRDefault="00EE6D95">
            <w:pPr>
              <w:pStyle w:val="CellHeader"/>
            </w:pPr>
            <w:r w:rsidRPr="00DE6ACB">
              <w:t>Plan 2016.</w:t>
            </w:r>
          </w:p>
        </w:tc>
        <w:tc>
          <w:tcPr>
            <w:tcW w:w="1486" w:type="dxa"/>
            <w:shd w:val="clear" w:color="auto" w:fill="B5C0D8"/>
          </w:tcPr>
          <w:p w:rsidR="00D849AA" w:rsidRPr="00DE6ACB" w:rsidRDefault="00EE6D95">
            <w:pPr>
              <w:pStyle w:val="CellHeader"/>
            </w:pPr>
            <w:r w:rsidRPr="00DE6ACB">
              <w:t>Indeks 2014/2013</w:t>
            </w:r>
          </w:p>
        </w:tc>
      </w:tr>
      <w:tr w:rsidR="00D849AA" w:rsidRPr="00DE6ACB">
        <w:trPr>
          <w:jc w:val="center"/>
        </w:trPr>
        <w:tc>
          <w:tcPr>
            <w:tcW w:w="1486" w:type="dxa"/>
          </w:tcPr>
          <w:p w:rsidR="00D849AA" w:rsidRPr="00DE6ACB" w:rsidRDefault="00EE6D95">
            <w:pPr>
              <w:pStyle w:val="CellColumn"/>
            </w:pPr>
            <w:r w:rsidRPr="00DE6ACB">
              <w:t>A545068</w:t>
            </w:r>
          </w:p>
        </w:tc>
        <w:tc>
          <w:tcPr>
            <w:tcW w:w="1486" w:type="dxa"/>
          </w:tcPr>
          <w:p w:rsidR="00D849AA" w:rsidRPr="00DE6ACB" w:rsidRDefault="00EE6D95">
            <w:pPr>
              <w:rPr>
                <w:rFonts w:ascii="Arial" w:hAnsi="Arial" w:cs="Arial"/>
              </w:rPr>
            </w:pPr>
            <w:r w:rsidRPr="00DE6ACB">
              <w:rPr>
                <w:rFonts w:ascii="Arial" w:hAnsi="Arial" w:cs="Arial"/>
              </w:rPr>
              <w:t>7.550.000</w:t>
            </w:r>
          </w:p>
        </w:tc>
        <w:tc>
          <w:tcPr>
            <w:tcW w:w="1486" w:type="dxa"/>
          </w:tcPr>
          <w:p w:rsidR="00D849AA" w:rsidRPr="00DE6ACB" w:rsidRDefault="00EE6D95">
            <w:pPr>
              <w:rPr>
                <w:rFonts w:ascii="Arial" w:hAnsi="Arial" w:cs="Arial"/>
              </w:rPr>
            </w:pPr>
            <w:r w:rsidRPr="00DE6ACB">
              <w:rPr>
                <w:rFonts w:ascii="Arial" w:hAnsi="Arial" w:cs="Arial"/>
              </w:rPr>
              <w:t>8.285.000</w:t>
            </w:r>
          </w:p>
        </w:tc>
        <w:tc>
          <w:tcPr>
            <w:tcW w:w="1486" w:type="dxa"/>
          </w:tcPr>
          <w:p w:rsidR="00D849AA" w:rsidRPr="00DE6ACB" w:rsidRDefault="00EE6D95">
            <w:pPr>
              <w:rPr>
                <w:rFonts w:ascii="Arial" w:hAnsi="Arial" w:cs="Arial"/>
              </w:rPr>
            </w:pPr>
            <w:r w:rsidRPr="00DE6ACB">
              <w:rPr>
                <w:rFonts w:ascii="Arial" w:hAnsi="Arial" w:cs="Arial"/>
              </w:rPr>
              <w:t>8.745.000</w:t>
            </w:r>
          </w:p>
        </w:tc>
        <w:tc>
          <w:tcPr>
            <w:tcW w:w="1486" w:type="dxa"/>
          </w:tcPr>
          <w:p w:rsidR="00D849AA" w:rsidRPr="00DE6ACB" w:rsidRDefault="00EE6D95">
            <w:pPr>
              <w:rPr>
                <w:rFonts w:ascii="Arial" w:hAnsi="Arial" w:cs="Arial"/>
              </w:rPr>
            </w:pPr>
            <w:r w:rsidRPr="00DE6ACB">
              <w:rPr>
                <w:rFonts w:ascii="Arial" w:hAnsi="Arial" w:cs="Arial"/>
              </w:rPr>
              <w:t>8.745.000</w:t>
            </w:r>
          </w:p>
        </w:tc>
        <w:tc>
          <w:tcPr>
            <w:tcW w:w="1486" w:type="dxa"/>
          </w:tcPr>
          <w:p w:rsidR="00D849AA" w:rsidRPr="00DE6ACB" w:rsidRDefault="00EE6D95">
            <w:pPr>
              <w:rPr>
                <w:rFonts w:ascii="Arial" w:hAnsi="Arial" w:cs="Arial"/>
              </w:rPr>
            </w:pPr>
            <w:r w:rsidRPr="00DE6ACB">
              <w:rPr>
                <w:rFonts w:ascii="Arial" w:hAnsi="Arial" w:cs="Arial"/>
              </w:rPr>
              <w:t>109,7</w:t>
            </w:r>
          </w:p>
        </w:tc>
      </w:tr>
    </w:tbl>
    <w:p w:rsidR="00D849AA" w:rsidRPr="00DE6ACB" w:rsidRDefault="00D849AA">
      <w:pPr>
        <w:jc w:val="left"/>
        <w:rPr>
          <w:rFonts w:ascii="Arial" w:hAnsi="Arial" w:cs="Arial"/>
        </w:rPr>
      </w:pPr>
    </w:p>
    <w:p w:rsidR="00D849AA" w:rsidRDefault="00EE6D95">
      <w:pPr>
        <w:pStyle w:val="Normal6"/>
      </w:pPr>
      <w:r>
        <w:t>Oružane snage Republike Hrvatske izvršavaju tijekom cijele godine zadaće hitnog zračnog medicinskog prijevoza ozlijeđenih i/ili oboljelih osoba, kao i zadaće hitnog zračnog prijevoza organa za transplantaciju. Najveći broj letova je na području Splitsko-dalmatinske županije, što je razumljivo s obzirom na broj otoka i njihovu slabu prometnu povezanost. Intenzitet prevoženja se povećava tijekom turističke sezone kada se prevozi i ozlijeđene i/ili oboljele turiste. Angažiraju se helikopteri iz Zrakoplovnih baza „Divulje“ i „Lučko“.</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rsidRPr="00DE6ACB">
        <w:trPr>
          <w:jc w:val="center"/>
        </w:trPr>
        <w:tc>
          <w:tcPr>
            <w:tcW w:w="2229" w:type="dxa"/>
            <w:shd w:val="clear" w:color="auto" w:fill="B5C0D8"/>
          </w:tcPr>
          <w:p w:rsidR="00D849AA" w:rsidRPr="00DE6ACB" w:rsidRDefault="00EE6D95">
            <w:pPr>
              <w:rPr>
                <w:rFonts w:ascii="Arial" w:hAnsi="Arial" w:cs="Arial"/>
              </w:rPr>
            </w:pPr>
            <w:r w:rsidRPr="00DE6ACB">
              <w:rPr>
                <w:rFonts w:ascii="Arial" w:hAnsi="Arial" w:cs="Arial"/>
              </w:rPr>
              <w:t>Pokazatelj rezultata</w:t>
            </w:r>
          </w:p>
        </w:tc>
        <w:tc>
          <w:tcPr>
            <w:tcW w:w="1114" w:type="dxa"/>
            <w:shd w:val="clear" w:color="auto" w:fill="B5C0D8"/>
          </w:tcPr>
          <w:p w:rsidR="00D849AA" w:rsidRPr="00DE6ACB" w:rsidRDefault="00EE6D95">
            <w:pPr>
              <w:pStyle w:val="CellHeader"/>
            </w:pPr>
            <w:r w:rsidRPr="00DE6ACB">
              <w:t>Jedinica</w:t>
            </w:r>
          </w:p>
        </w:tc>
        <w:tc>
          <w:tcPr>
            <w:tcW w:w="1114" w:type="dxa"/>
            <w:shd w:val="clear" w:color="auto" w:fill="B5C0D8"/>
          </w:tcPr>
          <w:p w:rsidR="00D849AA" w:rsidRPr="00DE6ACB" w:rsidRDefault="00EE6D95">
            <w:pPr>
              <w:pStyle w:val="CellHeader"/>
            </w:pPr>
            <w:r w:rsidRPr="00DE6ACB">
              <w:t>Polazna vrijednost</w:t>
            </w:r>
          </w:p>
        </w:tc>
        <w:tc>
          <w:tcPr>
            <w:tcW w:w="1486" w:type="dxa"/>
            <w:shd w:val="clear" w:color="auto" w:fill="B5C0D8"/>
          </w:tcPr>
          <w:p w:rsidR="00D849AA" w:rsidRPr="00DE6ACB" w:rsidRDefault="00EE6D95">
            <w:pPr>
              <w:pStyle w:val="CellHeader"/>
            </w:pPr>
            <w:r w:rsidRPr="00DE6ACB">
              <w:t>Ciljana vrijednost (2014.)</w:t>
            </w:r>
          </w:p>
        </w:tc>
        <w:tc>
          <w:tcPr>
            <w:tcW w:w="1486" w:type="dxa"/>
            <w:shd w:val="clear" w:color="auto" w:fill="B5C0D8"/>
          </w:tcPr>
          <w:p w:rsidR="00D849AA" w:rsidRPr="00DE6ACB" w:rsidRDefault="00EE6D95">
            <w:pPr>
              <w:pStyle w:val="CellHeader"/>
            </w:pPr>
            <w:r w:rsidRPr="00DE6ACB">
              <w:t>Ciljana vrijednost (2015.)</w:t>
            </w:r>
          </w:p>
        </w:tc>
        <w:tc>
          <w:tcPr>
            <w:tcW w:w="1486" w:type="dxa"/>
            <w:shd w:val="clear" w:color="auto" w:fill="B5C0D8"/>
          </w:tcPr>
          <w:p w:rsidR="00D849AA" w:rsidRPr="00DE6ACB" w:rsidRDefault="00EE6D95">
            <w:pPr>
              <w:pStyle w:val="CellHeader"/>
            </w:pPr>
            <w:r w:rsidRPr="00DE6ACB">
              <w:t>Ciljana vrijednost (2016.)</w:t>
            </w:r>
          </w:p>
        </w:tc>
      </w:tr>
      <w:tr w:rsidR="00D849AA" w:rsidRPr="00DE6ACB">
        <w:trPr>
          <w:jc w:val="center"/>
        </w:trPr>
        <w:tc>
          <w:tcPr>
            <w:tcW w:w="2229" w:type="dxa"/>
          </w:tcPr>
          <w:p w:rsidR="00D849AA" w:rsidRPr="00DE6ACB" w:rsidRDefault="00EE6D95">
            <w:pPr>
              <w:pStyle w:val="CellColumn"/>
            </w:pPr>
            <w:r w:rsidRPr="00DE6ACB">
              <w:t>Broj hitnih medicinskih prijevoza</w:t>
            </w:r>
          </w:p>
        </w:tc>
        <w:tc>
          <w:tcPr>
            <w:tcW w:w="1114" w:type="dxa"/>
          </w:tcPr>
          <w:p w:rsidR="00D849AA" w:rsidRPr="00DE6ACB" w:rsidRDefault="00EE6D95">
            <w:pPr>
              <w:rPr>
                <w:rFonts w:ascii="Arial" w:hAnsi="Arial" w:cs="Arial"/>
              </w:rPr>
            </w:pPr>
            <w:r w:rsidRPr="00DE6ACB">
              <w:rPr>
                <w:rFonts w:ascii="Arial" w:hAnsi="Arial" w:cs="Arial"/>
              </w:rPr>
              <w:t>Broj</w:t>
            </w:r>
          </w:p>
        </w:tc>
        <w:tc>
          <w:tcPr>
            <w:tcW w:w="1114" w:type="dxa"/>
          </w:tcPr>
          <w:p w:rsidR="00D849AA" w:rsidRPr="00DE6ACB" w:rsidRDefault="00EE6D95">
            <w:pPr>
              <w:rPr>
                <w:rFonts w:ascii="Arial" w:hAnsi="Arial" w:cs="Arial"/>
              </w:rPr>
            </w:pPr>
            <w:r w:rsidRPr="00DE6ACB">
              <w:rPr>
                <w:rFonts w:ascii="Arial" w:hAnsi="Arial" w:cs="Arial"/>
              </w:rPr>
              <w:t>415</w:t>
            </w:r>
          </w:p>
        </w:tc>
        <w:tc>
          <w:tcPr>
            <w:tcW w:w="1486" w:type="dxa"/>
          </w:tcPr>
          <w:p w:rsidR="00D849AA" w:rsidRPr="00DE6ACB" w:rsidRDefault="00EE6D95">
            <w:pPr>
              <w:rPr>
                <w:rFonts w:ascii="Arial" w:hAnsi="Arial" w:cs="Arial"/>
              </w:rPr>
            </w:pPr>
            <w:r w:rsidRPr="00DE6ACB">
              <w:rPr>
                <w:rFonts w:ascii="Arial" w:hAnsi="Arial" w:cs="Arial"/>
              </w:rPr>
              <w:t>445</w:t>
            </w:r>
          </w:p>
        </w:tc>
        <w:tc>
          <w:tcPr>
            <w:tcW w:w="1486" w:type="dxa"/>
          </w:tcPr>
          <w:p w:rsidR="00D849AA" w:rsidRPr="00DE6ACB" w:rsidRDefault="00EE6D95">
            <w:pPr>
              <w:rPr>
                <w:rFonts w:ascii="Arial" w:hAnsi="Arial" w:cs="Arial"/>
              </w:rPr>
            </w:pPr>
            <w:r w:rsidRPr="00DE6ACB">
              <w:rPr>
                <w:rFonts w:ascii="Arial" w:hAnsi="Arial" w:cs="Arial"/>
              </w:rPr>
              <w:t>458</w:t>
            </w:r>
          </w:p>
        </w:tc>
        <w:tc>
          <w:tcPr>
            <w:tcW w:w="1486" w:type="dxa"/>
          </w:tcPr>
          <w:p w:rsidR="00D849AA" w:rsidRPr="00DE6ACB" w:rsidRDefault="00EE6D95">
            <w:pPr>
              <w:rPr>
                <w:rFonts w:ascii="Arial" w:hAnsi="Arial" w:cs="Arial"/>
              </w:rPr>
            </w:pPr>
            <w:r w:rsidRPr="00DE6ACB">
              <w:rPr>
                <w:rFonts w:ascii="Arial" w:hAnsi="Arial" w:cs="Arial"/>
              </w:rPr>
              <w:t>452</w:t>
            </w:r>
          </w:p>
        </w:tc>
      </w:tr>
      <w:tr w:rsidR="00D849AA" w:rsidRPr="00DE6ACB">
        <w:trPr>
          <w:jc w:val="center"/>
        </w:trPr>
        <w:tc>
          <w:tcPr>
            <w:tcW w:w="2229" w:type="dxa"/>
          </w:tcPr>
          <w:p w:rsidR="00D849AA" w:rsidRPr="00DE6ACB" w:rsidRDefault="00EE6D95">
            <w:pPr>
              <w:pStyle w:val="CellColumn"/>
            </w:pPr>
            <w:r w:rsidRPr="00DE6ACB">
              <w:t>Broj sati naleta helikoptera</w:t>
            </w:r>
          </w:p>
        </w:tc>
        <w:tc>
          <w:tcPr>
            <w:tcW w:w="1114" w:type="dxa"/>
          </w:tcPr>
          <w:p w:rsidR="00D849AA" w:rsidRPr="00DE6ACB" w:rsidRDefault="00EE6D95">
            <w:pPr>
              <w:rPr>
                <w:rFonts w:ascii="Arial" w:hAnsi="Arial" w:cs="Arial"/>
              </w:rPr>
            </w:pPr>
            <w:r w:rsidRPr="00DE6ACB">
              <w:rPr>
                <w:rFonts w:ascii="Arial" w:hAnsi="Arial" w:cs="Arial"/>
              </w:rPr>
              <w:t>Broj</w:t>
            </w:r>
          </w:p>
        </w:tc>
        <w:tc>
          <w:tcPr>
            <w:tcW w:w="1114" w:type="dxa"/>
          </w:tcPr>
          <w:p w:rsidR="00D849AA" w:rsidRPr="00DE6ACB" w:rsidRDefault="00EE6D95">
            <w:pPr>
              <w:rPr>
                <w:rFonts w:ascii="Arial" w:hAnsi="Arial" w:cs="Arial"/>
              </w:rPr>
            </w:pPr>
            <w:r w:rsidRPr="00DE6ACB">
              <w:rPr>
                <w:rFonts w:ascii="Arial" w:hAnsi="Arial" w:cs="Arial"/>
              </w:rPr>
              <w:t>630</w:t>
            </w:r>
          </w:p>
        </w:tc>
        <w:tc>
          <w:tcPr>
            <w:tcW w:w="1486" w:type="dxa"/>
          </w:tcPr>
          <w:p w:rsidR="00D849AA" w:rsidRPr="00DE6ACB" w:rsidRDefault="00EE6D95">
            <w:pPr>
              <w:rPr>
                <w:rFonts w:ascii="Arial" w:hAnsi="Arial" w:cs="Arial"/>
              </w:rPr>
            </w:pPr>
            <w:r w:rsidRPr="00DE6ACB">
              <w:rPr>
                <w:rFonts w:ascii="Arial" w:hAnsi="Arial" w:cs="Arial"/>
              </w:rPr>
              <w:t>650</w:t>
            </w:r>
          </w:p>
        </w:tc>
        <w:tc>
          <w:tcPr>
            <w:tcW w:w="1486" w:type="dxa"/>
          </w:tcPr>
          <w:p w:rsidR="00D849AA" w:rsidRPr="00DE6ACB" w:rsidRDefault="00EE6D95">
            <w:pPr>
              <w:rPr>
                <w:rFonts w:ascii="Arial" w:hAnsi="Arial" w:cs="Arial"/>
              </w:rPr>
            </w:pPr>
            <w:r w:rsidRPr="00DE6ACB">
              <w:rPr>
                <w:rFonts w:ascii="Arial" w:hAnsi="Arial" w:cs="Arial"/>
              </w:rPr>
              <w:t>678</w:t>
            </w:r>
          </w:p>
        </w:tc>
        <w:tc>
          <w:tcPr>
            <w:tcW w:w="1486" w:type="dxa"/>
          </w:tcPr>
          <w:p w:rsidR="00D849AA" w:rsidRPr="00DE6ACB" w:rsidRDefault="00EE6D95">
            <w:pPr>
              <w:rPr>
                <w:rFonts w:ascii="Arial" w:hAnsi="Arial" w:cs="Arial"/>
              </w:rPr>
            </w:pPr>
            <w:r w:rsidRPr="00DE6ACB">
              <w:rPr>
                <w:rFonts w:ascii="Arial" w:hAnsi="Arial" w:cs="Arial"/>
              </w:rPr>
              <w:t>643</w:t>
            </w:r>
          </w:p>
        </w:tc>
      </w:tr>
    </w:tbl>
    <w:p w:rsidR="00D849AA" w:rsidRDefault="00D849AA">
      <w:pPr>
        <w:jc w:val="left"/>
        <w:rPr>
          <w:rFonts w:ascii="Arial" w:hAnsi="Arial" w:cs="Arial"/>
        </w:rPr>
      </w:pPr>
    </w:p>
    <w:p w:rsidR="00DE6ACB" w:rsidRDefault="00DE6ACB">
      <w:pPr>
        <w:jc w:val="left"/>
        <w:rPr>
          <w:rFonts w:ascii="Arial" w:hAnsi="Arial" w:cs="Arial"/>
        </w:rPr>
      </w:pPr>
    </w:p>
    <w:p w:rsidR="00DE6ACB" w:rsidRPr="00DE6ACB" w:rsidRDefault="00DE6ACB">
      <w:pPr>
        <w:jc w:val="left"/>
        <w:rPr>
          <w:rFonts w:ascii="Arial" w:hAnsi="Arial" w:cs="Arial"/>
        </w:rPr>
      </w:pPr>
    </w:p>
    <w:p w:rsidR="00D849AA" w:rsidRDefault="00EE6D95">
      <w:pPr>
        <w:pStyle w:val="Naslov6"/>
      </w:pPr>
      <w:r>
        <w:lastRenderedPageBreak/>
        <w:t>A545069 POTRAGA I SPAŠAVANJE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rsidRPr="00DE6ACB">
        <w:trPr>
          <w:jc w:val="center"/>
        </w:trPr>
        <w:tc>
          <w:tcPr>
            <w:tcW w:w="1486" w:type="dxa"/>
            <w:shd w:val="clear" w:color="auto" w:fill="B5C0D8"/>
          </w:tcPr>
          <w:p w:rsidR="00D849AA" w:rsidRPr="00DE6ACB" w:rsidRDefault="00EE6D95">
            <w:pPr>
              <w:pStyle w:val="CellHeader"/>
            </w:pPr>
            <w:r w:rsidRPr="00DE6ACB">
              <w:t>Naziv aktivnosti</w:t>
            </w:r>
          </w:p>
        </w:tc>
        <w:tc>
          <w:tcPr>
            <w:tcW w:w="1486" w:type="dxa"/>
            <w:shd w:val="clear" w:color="auto" w:fill="B5C0D8"/>
          </w:tcPr>
          <w:p w:rsidR="00D849AA" w:rsidRPr="00DE6ACB" w:rsidRDefault="00EE6D95">
            <w:pPr>
              <w:pStyle w:val="CellHeader"/>
            </w:pPr>
            <w:r w:rsidRPr="00DE6ACB">
              <w:t>Plan 2013.</w:t>
            </w:r>
          </w:p>
        </w:tc>
        <w:tc>
          <w:tcPr>
            <w:tcW w:w="1486" w:type="dxa"/>
            <w:shd w:val="clear" w:color="auto" w:fill="B5C0D8"/>
          </w:tcPr>
          <w:p w:rsidR="00D849AA" w:rsidRPr="00DE6ACB" w:rsidRDefault="00EE6D95">
            <w:pPr>
              <w:pStyle w:val="CellHeader"/>
            </w:pPr>
            <w:r w:rsidRPr="00DE6ACB">
              <w:t>Plan 2014.</w:t>
            </w:r>
          </w:p>
        </w:tc>
        <w:tc>
          <w:tcPr>
            <w:tcW w:w="1486" w:type="dxa"/>
            <w:shd w:val="clear" w:color="auto" w:fill="B5C0D8"/>
          </w:tcPr>
          <w:p w:rsidR="00D849AA" w:rsidRPr="00DE6ACB" w:rsidRDefault="00EE6D95">
            <w:pPr>
              <w:pStyle w:val="CellHeader"/>
            </w:pPr>
            <w:r w:rsidRPr="00DE6ACB">
              <w:t>Plan 2015.</w:t>
            </w:r>
          </w:p>
        </w:tc>
        <w:tc>
          <w:tcPr>
            <w:tcW w:w="1486" w:type="dxa"/>
            <w:shd w:val="clear" w:color="auto" w:fill="B5C0D8"/>
          </w:tcPr>
          <w:p w:rsidR="00D849AA" w:rsidRPr="00DE6ACB" w:rsidRDefault="00EE6D95">
            <w:pPr>
              <w:pStyle w:val="CellHeader"/>
            </w:pPr>
            <w:r w:rsidRPr="00DE6ACB">
              <w:t>Plan 2016.</w:t>
            </w:r>
          </w:p>
        </w:tc>
        <w:tc>
          <w:tcPr>
            <w:tcW w:w="1486" w:type="dxa"/>
            <w:shd w:val="clear" w:color="auto" w:fill="B5C0D8"/>
          </w:tcPr>
          <w:p w:rsidR="00D849AA" w:rsidRPr="00DE6ACB" w:rsidRDefault="00EE6D95">
            <w:pPr>
              <w:pStyle w:val="CellHeader"/>
            </w:pPr>
            <w:r w:rsidRPr="00DE6ACB">
              <w:t>Indeks 2014/2013</w:t>
            </w:r>
          </w:p>
        </w:tc>
      </w:tr>
      <w:tr w:rsidR="00D849AA" w:rsidRPr="00DE6ACB">
        <w:trPr>
          <w:jc w:val="center"/>
        </w:trPr>
        <w:tc>
          <w:tcPr>
            <w:tcW w:w="1486" w:type="dxa"/>
          </w:tcPr>
          <w:p w:rsidR="00D849AA" w:rsidRPr="00DE6ACB" w:rsidRDefault="00EE6D95">
            <w:pPr>
              <w:pStyle w:val="CellColumn"/>
            </w:pPr>
            <w:r w:rsidRPr="00DE6ACB">
              <w:t>A545069</w:t>
            </w:r>
          </w:p>
        </w:tc>
        <w:tc>
          <w:tcPr>
            <w:tcW w:w="1486" w:type="dxa"/>
          </w:tcPr>
          <w:p w:rsidR="00D849AA" w:rsidRPr="00DE6ACB" w:rsidRDefault="00EE6D95">
            <w:pPr>
              <w:rPr>
                <w:rFonts w:ascii="Arial" w:hAnsi="Arial" w:cs="Arial"/>
              </w:rPr>
            </w:pPr>
            <w:r w:rsidRPr="00DE6ACB">
              <w:rPr>
                <w:rFonts w:ascii="Arial" w:hAnsi="Arial" w:cs="Arial"/>
              </w:rPr>
              <w:t>1.870.000</w:t>
            </w:r>
          </w:p>
        </w:tc>
        <w:tc>
          <w:tcPr>
            <w:tcW w:w="1486" w:type="dxa"/>
          </w:tcPr>
          <w:p w:rsidR="00D849AA" w:rsidRPr="00DE6ACB" w:rsidRDefault="00EE6D95">
            <w:pPr>
              <w:rPr>
                <w:rFonts w:ascii="Arial" w:hAnsi="Arial" w:cs="Arial"/>
              </w:rPr>
            </w:pPr>
            <w:r w:rsidRPr="00DE6ACB">
              <w:rPr>
                <w:rFonts w:ascii="Arial" w:hAnsi="Arial" w:cs="Arial"/>
              </w:rPr>
              <w:t>2.100.000</w:t>
            </w:r>
          </w:p>
        </w:tc>
        <w:tc>
          <w:tcPr>
            <w:tcW w:w="1486" w:type="dxa"/>
          </w:tcPr>
          <w:p w:rsidR="00D849AA" w:rsidRPr="00DE6ACB" w:rsidRDefault="00EE6D95">
            <w:pPr>
              <w:rPr>
                <w:rFonts w:ascii="Arial" w:hAnsi="Arial" w:cs="Arial"/>
              </w:rPr>
            </w:pPr>
            <w:r w:rsidRPr="00DE6ACB">
              <w:rPr>
                <w:rFonts w:ascii="Arial" w:hAnsi="Arial" w:cs="Arial"/>
              </w:rPr>
              <w:t>2.180.000</w:t>
            </w:r>
          </w:p>
        </w:tc>
        <w:tc>
          <w:tcPr>
            <w:tcW w:w="1486" w:type="dxa"/>
          </w:tcPr>
          <w:p w:rsidR="00D849AA" w:rsidRPr="00DE6ACB" w:rsidRDefault="00EE6D95">
            <w:pPr>
              <w:rPr>
                <w:rFonts w:ascii="Arial" w:hAnsi="Arial" w:cs="Arial"/>
              </w:rPr>
            </w:pPr>
            <w:r w:rsidRPr="00DE6ACB">
              <w:rPr>
                <w:rFonts w:ascii="Arial" w:hAnsi="Arial" w:cs="Arial"/>
              </w:rPr>
              <w:t>2.180.000</w:t>
            </w:r>
          </w:p>
        </w:tc>
        <w:tc>
          <w:tcPr>
            <w:tcW w:w="1486" w:type="dxa"/>
          </w:tcPr>
          <w:p w:rsidR="00D849AA" w:rsidRPr="00DE6ACB" w:rsidRDefault="00EE6D95">
            <w:pPr>
              <w:rPr>
                <w:rFonts w:ascii="Arial" w:hAnsi="Arial" w:cs="Arial"/>
              </w:rPr>
            </w:pPr>
            <w:r w:rsidRPr="00DE6ACB">
              <w:rPr>
                <w:rFonts w:ascii="Arial" w:hAnsi="Arial" w:cs="Arial"/>
              </w:rPr>
              <w:t>112,3</w:t>
            </w:r>
          </w:p>
        </w:tc>
      </w:tr>
    </w:tbl>
    <w:p w:rsidR="00D849AA" w:rsidRPr="00DE6ACB" w:rsidRDefault="00D849AA">
      <w:pPr>
        <w:jc w:val="left"/>
        <w:rPr>
          <w:rFonts w:ascii="Arial" w:hAnsi="Arial" w:cs="Arial"/>
        </w:rPr>
      </w:pPr>
    </w:p>
    <w:p w:rsidR="00D849AA" w:rsidRDefault="00EE6D95">
      <w:pPr>
        <w:pStyle w:val="Normal6"/>
      </w:pPr>
      <w:r>
        <w:t>Zadaće potraga i spašavanja provode se u suradnji s Državnom upravom za zaštitu i spašavanje, Hrvatskom gorskom službom spašavanja i Obalnom stražom. Osim zadaća izviđanja terena, zrakoplovi Hrvatskog ratnog zrakoplovstva i protuzračne obrane i brodovi Obalne straže sudjeluju i u izvlačenju osoba s nepristupačnih i morskih područja, odnosno područja u kojem kretanje i transport nisu mogući uobičajenim javnim sredstvima. Za zadaće se koriste helikopteri Mi-8 MTV i Mi-171Sh, zrakoplov PC-9 i 2 broda iz sastava flote HRM-a. Provedba aktivnosti potrage i spašavanja u vrijeme turističke sezone izravno utječe na sigurnost inozemnih gostiju, a time i na ugled Republike Hrvatske.</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rsidRPr="00DE6ACB">
        <w:trPr>
          <w:jc w:val="center"/>
        </w:trPr>
        <w:tc>
          <w:tcPr>
            <w:tcW w:w="2229" w:type="dxa"/>
            <w:shd w:val="clear" w:color="auto" w:fill="B5C0D8"/>
          </w:tcPr>
          <w:p w:rsidR="00D849AA" w:rsidRPr="00DE6ACB" w:rsidRDefault="00EE6D95">
            <w:pPr>
              <w:rPr>
                <w:rFonts w:ascii="Arial" w:hAnsi="Arial" w:cs="Arial"/>
              </w:rPr>
            </w:pPr>
            <w:r w:rsidRPr="00DE6ACB">
              <w:rPr>
                <w:rFonts w:ascii="Arial" w:hAnsi="Arial" w:cs="Arial"/>
              </w:rPr>
              <w:t>Pokazatelj rezultata</w:t>
            </w:r>
          </w:p>
        </w:tc>
        <w:tc>
          <w:tcPr>
            <w:tcW w:w="1114" w:type="dxa"/>
            <w:shd w:val="clear" w:color="auto" w:fill="B5C0D8"/>
          </w:tcPr>
          <w:p w:rsidR="00D849AA" w:rsidRPr="00DE6ACB" w:rsidRDefault="00EE6D95">
            <w:pPr>
              <w:pStyle w:val="CellHeader"/>
            </w:pPr>
            <w:r w:rsidRPr="00DE6ACB">
              <w:t>Jedinica</w:t>
            </w:r>
          </w:p>
        </w:tc>
        <w:tc>
          <w:tcPr>
            <w:tcW w:w="1114" w:type="dxa"/>
            <w:shd w:val="clear" w:color="auto" w:fill="B5C0D8"/>
          </w:tcPr>
          <w:p w:rsidR="00D849AA" w:rsidRPr="00DE6ACB" w:rsidRDefault="00EE6D95">
            <w:pPr>
              <w:pStyle w:val="CellHeader"/>
            </w:pPr>
            <w:r w:rsidRPr="00DE6ACB">
              <w:t>Polazna vrijednost</w:t>
            </w:r>
          </w:p>
        </w:tc>
        <w:tc>
          <w:tcPr>
            <w:tcW w:w="1486" w:type="dxa"/>
            <w:shd w:val="clear" w:color="auto" w:fill="B5C0D8"/>
          </w:tcPr>
          <w:p w:rsidR="00D849AA" w:rsidRPr="00DE6ACB" w:rsidRDefault="00EE6D95">
            <w:pPr>
              <w:pStyle w:val="CellHeader"/>
            </w:pPr>
            <w:r w:rsidRPr="00DE6ACB">
              <w:t>Ciljana vrijednost (2014.)</w:t>
            </w:r>
          </w:p>
        </w:tc>
        <w:tc>
          <w:tcPr>
            <w:tcW w:w="1486" w:type="dxa"/>
            <w:shd w:val="clear" w:color="auto" w:fill="B5C0D8"/>
          </w:tcPr>
          <w:p w:rsidR="00D849AA" w:rsidRPr="00DE6ACB" w:rsidRDefault="00EE6D95">
            <w:pPr>
              <w:pStyle w:val="CellHeader"/>
            </w:pPr>
            <w:r w:rsidRPr="00DE6ACB">
              <w:t>Ciljana vrijednost (2015.)</w:t>
            </w:r>
          </w:p>
        </w:tc>
        <w:tc>
          <w:tcPr>
            <w:tcW w:w="1486" w:type="dxa"/>
            <w:shd w:val="clear" w:color="auto" w:fill="B5C0D8"/>
          </w:tcPr>
          <w:p w:rsidR="00D849AA" w:rsidRPr="00DE6ACB" w:rsidRDefault="00EE6D95">
            <w:pPr>
              <w:pStyle w:val="CellHeader"/>
            </w:pPr>
            <w:r w:rsidRPr="00DE6ACB">
              <w:t>Ciljana vrijednost (2016.)</w:t>
            </w:r>
          </w:p>
        </w:tc>
      </w:tr>
      <w:tr w:rsidR="00D849AA" w:rsidRPr="00DE6ACB">
        <w:trPr>
          <w:jc w:val="center"/>
        </w:trPr>
        <w:tc>
          <w:tcPr>
            <w:tcW w:w="2229" w:type="dxa"/>
          </w:tcPr>
          <w:p w:rsidR="00D849AA" w:rsidRPr="00DE6ACB" w:rsidRDefault="00EE6D95">
            <w:pPr>
              <w:pStyle w:val="CellColumn"/>
            </w:pPr>
            <w:r w:rsidRPr="00DE6ACB">
              <w:t>Broj provedenih akcija</w:t>
            </w:r>
          </w:p>
        </w:tc>
        <w:tc>
          <w:tcPr>
            <w:tcW w:w="1114" w:type="dxa"/>
          </w:tcPr>
          <w:p w:rsidR="00D849AA" w:rsidRPr="00DE6ACB" w:rsidRDefault="00EE6D95">
            <w:pPr>
              <w:rPr>
                <w:rFonts w:ascii="Arial" w:hAnsi="Arial" w:cs="Arial"/>
              </w:rPr>
            </w:pPr>
            <w:r w:rsidRPr="00DE6ACB">
              <w:rPr>
                <w:rFonts w:ascii="Arial" w:hAnsi="Arial" w:cs="Arial"/>
              </w:rPr>
              <w:t>Broj</w:t>
            </w:r>
          </w:p>
        </w:tc>
        <w:tc>
          <w:tcPr>
            <w:tcW w:w="1114" w:type="dxa"/>
          </w:tcPr>
          <w:p w:rsidR="00D849AA" w:rsidRPr="00DE6ACB" w:rsidRDefault="00EE6D95">
            <w:pPr>
              <w:rPr>
                <w:rFonts w:ascii="Arial" w:hAnsi="Arial" w:cs="Arial"/>
              </w:rPr>
            </w:pPr>
            <w:r w:rsidRPr="00DE6ACB">
              <w:rPr>
                <w:rFonts w:ascii="Arial" w:hAnsi="Arial" w:cs="Arial"/>
              </w:rPr>
              <w:t>30</w:t>
            </w:r>
          </w:p>
        </w:tc>
        <w:tc>
          <w:tcPr>
            <w:tcW w:w="1486" w:type="dxa"/>
          </w:tcPr>
          <w:p w:rsidR="00D849AA" w:rsidRPr="00DE6ACB" w:rsidRDefault="00EE6D95">
            <w:pPr>
              <w:rPr>
                <w:rFonts w:ascii="Arial" w:hAnsi="Arial" w:cs="Arial"/>
              </w:rPr>
            </w:pPr>
            <w:r w:rsidRPr="00DE6ACB">
              <w:rPr>
                <w:rFonts w:ascii="Arial" w:hAnsi="Arial" w:cs="Arial"/>
              </w:rPr>
              <w:t>32</w:t>
            </w:r>
          </w:p>
        </w:tc>
        <w:tc>
          <w:tcPr>
            <w:tcW w:w="1486" w:type="dxa"/>
          </w:tcPr>
          <w:p w:rsidR="00D849AA" w:rsidRPr="00DE6ACB" w:rsidRDefault="00EE6D95">
            <w:pPr>
              <w:rPr>
                <w:rFonts w:ascii="Arial" w:hAnsi="Arial" w:cs="Arial"/>
              </w:rPr>
            </w:pPr>
            <w:r w:rsidRPr="00DE6ACB">
              <w:rPr>
                <w:rFonts w:ascii="Arial" w:hAnsi="Arial" w:cs="Arial"/>
              </w:rPr>
              <w:t>31</w:t>
            </w:r>
          </w:p>
        </w:tc>
        <w:tc>
          <w:tcPr>
            <w:tcW w:w="1486" w:type="dxa"/>
          </w:tcPr>
          <w:p w:rsidR="00D849AA" w:rsidRPr="00DE6ACB" w:rsidRDefault="00EE6D95">
            <w:pPr>
              <w:rPr>
                <w:rFonts w:ascii="Arial" w:hAnsi="Arial" w:cs="Arial"/>
              </w:rPr>
            </w:pPr>
            <w:r w:rsidRPr="00DE6ACB">
              <w:rPr>
                <w:rFonts w:ascii="Arial" w:hAnsi="Arial" w:cs="Arial"/>
              </w:rPr>
              <w:t>36</w:t>
            </w:r>
          </w:p>
        </w:tc>
      </w:tr>
      <w:tr w:rsidR="00D849AA" w:rsidRPr="00DE6ACB">
        <w:trPr>
          <w:jc w:val="center"/>
        </w:trPr>
        <w:tc>
          <w:tcPr>
            <w:tcW w:w="2229" w:type="dxa"/>
          </w:tcPr>
          <w:p w:rsidR="00D849AA" w:rsidRPr="00DE6ACB" w:rsidRDefault="00EE6D95">
            <w:pPr>
              <w:pStyle w:val="CellColumn"/>
            </w:pPr>
            <w:r w:rsidRPr="00DE6ACB">
              <w:t>Broj sati naleta zrakoplova</w:t>
            </w:r>
          </w:p>
        </w:tc>
        <w:tc>
          <w:tcPr>
            <w:tcW w:w="1114" w:type="dxa"/>
          </w:tcPr>
          <w:p w:rsidR="00D849AA" w:rsidRPr="00DE6ACB" w:rsidRDefault="00EE6D95">
            <w:pPr>
              <w:rPr>
                <w:rFonts w:ascii="Arial" w:hAnsi="Arial" w:cs="Arial"/>
              </w:rPr>
            </w:pPr>
            <w:r w:rsidRPr="00DE6ACB">
              <w:rPr>
                <w:rFonts w:ascii="Arial" w:hAnsi="Arial" w:cs="Arial"/>
              </w:rPr>
              <w:t>Broj</w:t>
            </w:r>
          </w:p>
        </w:tc>
        <w:tc>
          <w:tcPr>
            <w:tcW w:w="1114" w:type="dxa"/>
          </w:tcPr>
          <w:p w:rsidR="00D849AA" w:rsidRPr="00DE6ACB" w:rsidRDefault="00EE6D95">
            <w:pPr>
              <w:rPr>
                <w:rFonts w:ascii="Arial" w:hAnsi="Arial" w:cs="Arial"/>
              </w:rPr>
            </w:pPr>
            <w:r w:rsidRPr="00DE6ACB">
              <w:rPr>
                <w:rFonts w:ascii="Arial" w:hAnsi="Arial" w:cs="Arial"/>
              </w:rPr>
              <w:t>70</w:t>
            </w:r>
          </w:p>
        </w:tc>
        <w:tc>
          <w:tcPr>
            <w:tcW w:w="1486" w:type="dxa"/>
          </w:tcPr>
          <w:p w:rsidR="00D849AA" w:rsidRPr="00DE6ACB" w:rsidRDefault="00EE6D95">
            <w:pPr>
              <w:rPr>
                <w:rFonts w:ascii="Arial" w:hAnsi="Arial" w:cs="Arial"/>
              </w:rPr>
            </w:pPr>
            <w:r w:rsidRPr="00DE6ACB">
              <w:rPr>
                <w:rFonts w:ascii="Arial" w:hAnsi="Arial" w:cs="Arial"/>
              </w:rPr>
              <w:t>62</w:t>
            </w:r>
          </w:p>
        </w:tc>
        <w:tc>
          <w:tcPr>
            <w:tcW w:w="1486" w:type="dxa"/>
          </w:tcPr>
          <w:p w:rsidR="00D849AA" w:rsidRPr="00DE6ACB" w:rsidRDefault="00EE6D95">
            <w:pPr>
              <w:rPr>
                <w:rFonts w:ascii="Arial" w:hAnsi="Arial" w:cs="Arial"/>
              </w:rPr>
            </w:pPr>
            <w:r w:rsidRPr="00DE6ACB">
              <w:rPr>
                <w:rFonts w:ascii="Arial" w:hAnsi="Arial" w:cs="Arial"/>
              </w:rPr>
              <w:t>75</w:t>
            </w:r>
          </w:p>
        </w:tc>
        <w:tc>
          <w:tcPr>
            <w:tcW w:w="1486" w:type="dxa"/>
          </w:tcPr>
          <w:p w:rsidR="00D849AA" w:rsidRPr="00DE6ACB" w:rsidRDefault="00EE6D95">
            <w:pPr>
              <w:rPr>
                <w:rFonts w:ascii="Arial" w:hAnsi="Arial" w:cs="Arial"/>
              </w:rPr>
            </w:pPr>
            <w:r w:rsidRPr="00DE6ACB">
              <w:rPr>
                <w:rFonts w:ascii="Arial" w:hAnsi="Arial" w:cs="Arial"/>
              </w:rPr>
              <w:t>80</w:t>
            </w:r>
          </w:p>
        </w:tc>
      </w:tr>
    </w:tbl>
    <w:p w:rsidR="00D849AA" w:rsidRPr="00DE6ACB" w:rsidRDefault="00D849AA">
      <w:pPr>
        <w:jc w:val="left"/>
        <w:rPr>
          <w:rFonts w:ascii="Arial" w:hAnsi="Arial" w:cs="Arial"/>
        </w:rPr>
      </w:pPr>
    </w:p>
    <w:p w:rsidR="00D849AA" w:rsidRDefault="00EE6D95">
      <w:pPr>
        <w:pStyle w:val="Naslov6"/>
      </w:pPr>
      <w:r>
        <w:t>A545070 POMOĆ LOKALNOJ ZAJEDNICI I USTANOVAMA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DE6ACB" w:rsidRDefault="00EE6D95">
            <w:pPr>
              <w:pStyle w:val="CellHeader"/>
            </w:pPr>
            <w:r w:rsidRPr="00DE6ACB">
              <w:t>Naziv aktivnosti</w:t>
            </w:r>
          </w:p>
        </w:tc>
        <w:tc>
          <w:tcPr>
            <w:tcW w:w="1486" w:type="dxa"/>
            <w:shd w:val="clear" w:color="auto" w:fill="B5C0D8"/>
          </w:tcPr>
          <w:p w:rsidR="00D849AA" w:rsidRPr="00DE6ACB" w:rsidRDefault="00EE6D95">
            <w:pPr>
              <w:pStyle w:val="CellHeader"/>
            </w:pPr>
            <w:r w:rsidRPr="00DE6ACB">
              <w:t>Plan 2013.</w:t>
            </w:r>
          </w:p>
        </w:tc>
        <w:tc>
          <w:tcPr>
            <w:tcW w:w="1486" w:type="dxa"/>
            <w:shd w:val="clear" w:color="auto" w:fill="B5C0D8"/>
          </w:tcPr>
          <w:p w:rsidR="00D849AA" w:rsidRPr="00DE6ACB" w:rsidRDefault="00EE6D95">
            <w:pPr>
              <w:pStyle w:val="CellHeader"/>
            </w:pPr>
            <w:r w:rsidRPr="00DE6ACB">
              <w:t>Plan 2014.</w:t>
            </w:r>
          </w:p>
        </w:tc>
        <w:tc>
          <w:tcPr>
            <w:tcW w:w="1486" w:type="dxa"/>
            <w:shd w:val="clear" w:color="auto" w:fill="B5C0D8"/>
          </w:tcPr>
          <w:p w:rsidR="00D849AA" w:rsidRPr="00DE6ACB" w:rsidRDefault="00EE6D95">
            <w:pPr>
              <w:pStyle w:val="CellHeader"/>
            </w:pPr>
            <w:r w:rsidRPr="00DE6ACB">
              <w:t>Plan 2015.</w:t>
            </w:r>
          </w:p>
        </w:tc>
        <w:tc>
          <w:tcPr>
            <w:tcW w:w="1486" w:type="dxa"/>
            <w:shd w:val="clear" w:color="auto" w:fill="B5C0D8"/>
          </w:tcPr>
          <w:p w:rsidR="00D849AA" w:rsidRPr="00DE6ACB" w:rsidRDefault="00EE6D95">
            <w:pPr>
              <w:pStyle w:val="CellHeader"/>
            </w:pPr>
            <w:r w:rsidRPr="00DE6ACB">
              <w:t>Plan 2016.</w:t>
            </w:r>
          </w:p>
        </w:tc>
        <w:tc>
          <w:tcPr>
            <w:tcW w:w="1486" w:type="dxa"/>
            <w:shd w:val="clear" w:color="auto" w:fill="B5C0D8"/>
          </w:tcPr>
          <w:p w:rsidR="00D849AA" w:rsidRPr="00DE6ACB" w:rsidRDefault="00EE6D95">
            <w:pPr>
              <w:pStyle w:val="CellHeader"/>
            </w:pPr>
            <w:r w:rsidRPr="00DE6ACB">
              <w:t>Indeks 2014/2013</w:t>
            </w:r>
          </w:p>
        </w:tc>
      </w:tr>
      <w:tr w:rsidR="00D849AA">
        <w:trPr>
          <w:jc w:val="center"/>
        </w:trPr>
        <w:tc>
          <w:tcPr>
            <w:tcW w:w="1486" w:type="dxa"/>
          </w:tcPr>
          <w:p w:rsidR="00D849AA" w:rsidRPr="00DE6ACB" w:rsidRDefault="00EE6D95">
            <w:pPr>
              <w:pStyle w:val="CellColumn"/>
            </w:pPr>
            <w:r w:rsidRPr="00DE6ACB">
              <w:t>A545070</w:t>
            </w:r>
          </w:p>
        </w:tc>
        <w:tc>
          <w:tcPr>
            <w:tcW w:w="1486" w:type="dxa"/>
          </w:tcPr>
          <w:p w:rsidR="00D849AA" w:rsidRPr="00DE6ACB" w:rsidRDefault="00EE6D95">
            <w:pPr>
              <w:rPr>
                <w:rFonts w:ascii="Arial" w:hAnsi="Arial" w:cs="Arial"/>
              </w:rPr>
            </w:pPr>
            <w:r w:rsidRPr="00DE6ACB">
              <w:rPr>
                <w:rFonts w:ascii="Arial" w:hAnsi="Arial" w:cs="Arial"/>
              </w:rPr>
              <w:t>1.500.000</w:t>
            </w:r>
          </w:p>
        </w:tc>
        <w:tc>
          <w:tcPr>
            <w:tcW w:w="1486" w:type="dxa"/>
          </w:tcPr>
          <w:p w:rsidR="00D849AA" w:rsidRPr="00DE6ACB" w:rsidRDefault="00EE6D95">
            <w:pPr>
              <w:rPr>
                <w:rFonts w:ascii="Arial" w:hAnsi="Arial" w:cs="Arial"/>
              </w:rPr>
            </w:pPr>
            <w:r w:rsidRPr="00DE6ACB">
              <w:rPr>
                <w:rFonts w:ascii="Arial" w:hAnsi="Arial" w:cs="Arial"/>
              </w:rPr>
              <w:t>1.560.000</w:t>
            </w:r>
          </w:p>
        </w:tc>
        <w:tc>
          <w:tcPr>
            <w:tcW w:w="1486" w:type="dxa"/>
          </w:tcPr>
          <w:p w:rsidR="00D849AA" w:rsidRPr="00DE6ACB" w:rsidRDefault="00EE6D95">
            <w:pPr>
              <w:rPr>
                <w:rFonts w:ascii="Arial" w:hAnsi="Arial" w:cs="Arial"/>
              </w:rPr>
            </w:pPr>
            <w:r w:rsidRPr="00DE6ACB">
              <w:rPr>
                <w:rFonts w:ascii="Arial" w:hAnsi="Arial" w:cs="Arial"/>
              </w:rPr>
              <w:t>1.634.000</w:t>
            </w:r>
          </w:p>
        </w:tc>
        <w:tc>
          <w:tcPr>
            <w:tcW w:w="1486" w:type="dxa"/>
          </w:tcPr>
          <w:p w:rsidR="00D849AA" w:rsidRPr="00DE6ACB" w:rsidRDefault="00EE6D95">
            <w:pPr>
              <w:rPr>
                <w:rFonts w:ascii="Arial" w:hAnsi="Arial" w:cs="Arial"/>
              </w:rPr>
            </w:pPr>
            <w:r w:rsidRPr="00DE6ACB">
              <w:rPr>
                <w:rFonts w:ascii="Arial" w:hAnsi="Arial" w:cs="Arial"/>
              </w:rPr>
              <w:t>1.634.000</w:t>
            </w:r>
          </w:p>
        </w:tc>
        <w:tc>
          <w:tcPr>
            <w:tcW w:w="1486" w:type="dxa"/>
          </w:tcPr>
          <w:p w:rsidR="00D849AA" w:rsidRPr="00DE6ACB" w:rsidRDefault="00EE6D95">
            <w:pPr>
              <w:rPr>
                <w:rFonts w:ascii="Arial" w:hAnsi="Arial" w:cs="Arial"/>
              </w:rPr>
            </w:pPr>
            <w:r w:rsidRPr="00DE6ACB">
              <w:rPr>
                <w:rFonts w:ascii="Arial" w:hAnsi="Arial" w:cs="Arial"/>
              </w:rPr>
              <w:t>104,0</w:t>
            </w:r>
          </w:p>
        </w:tc>
      </w:tr>
    </w:tbl>
    <w:p w:rsidR="00D849AA" w:rsidRDefault="00D849AA">
      <w:pPr>
        <w:jc w:val="left"/>
      </w:pPr>
    </w:p>
    <w:p w:rsidR="00D849AA" w:rsidRDefault="00EE6D95">
      <w:pPr>
        <w:pStyle w:val="Normal6"/>
      </w:pPr>
      <w:r>
        <w:t>Ministarstvo obrane i Oružane snage Republike Hrvatske svoje opremljene, osposobljene i uvježbane pripadnike i postrojbe angažiraju kroz samostalno ili združeno djelovanje s drugim institucijama Republike Hrvatske kada namjenski resursi civilnih vlasti nisu dovoljni u sprječavanju nastanka štetnih događaja ili prilikom otklanjanja njihovih posljedica te u svakodnevnim aktivnostima. Cilj aktivnosti je pružanje potpore u izgradnji komunalne infrastrukture u jedinicama lokalne i područne (regionalne) samouprave kao i drugim oblicima civilno-vojne suradnje, opskrba pitkom vodom stanovništva na području zahvaćenom sušom te u svim drugim područjima sukladno zahtjevima civilnih institucija.</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rsidRPr="00DE6ACB">
        <w:trPr>
          <w:jc w:val="center"/>
        </w:trPr>
        <w:tc>
          <w:tcPr>
            <w:tcW w:w="2229" w:type="dxa"/>
            <w:shd w:val="clear" w:color="auto" w:fill="B5C0D8"/>
          </w:tcPr>
          <w:p w:rsidR="00D849AA" w:rsidRPr="00DE6ACB" w:rsidRDefault="00EE6D95">
            <w:pPr>
              <w:rPr>
                <w:rFonts w:ascii="Arial" w:hAnsi="Arial" w:cs="Arial"/>
              </w:rPr>
            </w:pPr>
            <w:r w:rsidRPr="00DE6ACB">
              <w:rPr>
                <w:rFonts w:ascii="Arial" w:hAnsi="Arial" w:cs="Arial"/>
              </w:rPr>
              <w:t>Pokazatelj rezultata</w:t>
            </w:r>
          </w:p>
        </w:tc>
        <w:tc>
          <w:tcPr>
            <w:tcW w:w="1114" w:type="dxa"/>
            <w:shd w:val="clear" w:color="auto" w:fill="B5C0D8"/>
          </w:tcPr>
          <w:p w:rsidR="00D849AA" w:rsidRPr="00DE6ACB" w:rsidRDefault="00EE6D95">
            <w:pPr>
              <w:pStyle w:val="CellHeader"/>
            </w:pPr>
            <w:r w:rsidRPr="00DE6ACB">
              <w:t>Jedinica</w:t>
            </w:r>
          </w:p>
        </w:tc>
        <w:tc>
          <w:tcPr>
            <w:tcW w:w="1114" w:type="dxa"/>
            <w:shd w:val="clear" w:color="auto" w:fill="B5C0D8"/>
          </w:tcPr>
          <w:p w:rsidR="00D849AA" w:rsidRPr="00DE6ACB" w:rsidRDefault="00EE6D95">
            <w:pPr>
              <w:pStyle w:val="CellHeader"/>
            </w:pPr>
            <w:r w:rsidRPr="00DE6ACB">
              <w:t>Polazna vrijednost</w:t>
            </w:r>
          </w:p>
        </w:tc>
        <w:tc>
          <w:tcPr>
            <w:tcW w:w="1486" w:type="dxa"/>
            <w:shd w:val="clear" w:color="auto" w:fill="B5C0D8"/>
          </w:tcPr>
          <w:p w:rsidR="00D849AA" w:rsidRPr="00DE6ACB" w:rsidRDefault="00EE6D95">
            <w:pPr>
              <w:pStyle w:val="CellHeader"/>
            </w:pPr>
            <w:r w:rsidRPr="00DE6ACB">
              <w:t>Ciljana vrijednost (2014.)</w:t>
            </w:r>
          </w:p>
        </w:tc>
        <w:tc>
          <w:tcPr>
            <w:tcW w:w="1486" w:type="dxa"/>
            <w:shd w:val="clear" w:color="auto" w:fill="B5C0D8"/>
          </w:tcPr>
          <w:p w:rsidR="00D849AA" w:rsidRPr="00DE6ACB" w:rsidRDefault="00EE6D95">
            <w:pPr>
              <w:pStyle w:val="CellHeader"/>
            </w:pPr>
            <w:r w:rsidRPr="00DE6ACB">
              <w:t>Ciljana vrijednost (2015.)</w:t>
            </w:r>
          </w:p>
        </w:tc>
        <w:tc>
          <w:tcPr>
            <w:tcW w:w="1486" w:type="dxa"/>
            <w:shd w:val="clear" w:color="auto" w:fill="B5C0D8"/>
          </w:tcPr>
          <w:p w:rsidR="00D849AA" w:rsidRPr="00DE6ACB" w:rsidRDefault="00EE6D95">
            <w:pPr>
              <w:pStyle w:val="CellHeader"/>
            </w:pPr>
            <w:r w:rsidRPr="00DE6ACB">
              <w:t>Ciljana vrijednost (2016.)</w:t>
            </w:r>
          </w:p>
        </w:tc>
      </w:tr>
      <w:tr w:rsidR="00D849AA" w:rsidRPr="00DE6ACB">
        <w:trPr>
          <w:jc w:val="center"/>
        </w:trPr>
        <w:tc>
          <w:tcPr>
            <w:tcW w:w="2229" w:type="dxa"/>
          </w:tcPr>
          <w:p w:rsidR="00D849AA" w:rsidRPr="00DE6ACB" w:rsidRDefault="00EE6D95">
            <w:pPr>
              <w:pStyle w:val="CellColumn"/>
            </w:pPr>
            <w:r w:rsidRPr="00DE6ACB">
              <w:t>Broj angažiranih djelatnika</w:t>
            </w:r>
          </w:p>
        </w:tc>
        <w:tc>
          <w:tcPr>
            <w:tcW w:w="1114" w:type="dxa"/>
          </w:tcPr>
          <w:p w:rsidR="00D849AA" w:rsidRPr="00DE6ACB" w:rsidRDefault="00EE6D95">
            <w:pPr>
              <w:rPr>
                <w:rFonts w:ascii="Arial" w:hAnsi="Arial" w:cs="Arial"/>
              </w:rPr>
            </w:pPr>
            <w:r w:rsidRPr="00DE6ACB">
              <w:rPr>
                <w:rFonts w:ascii="Arial" w:hAnsi="Arial" w:cs="Arial"/>
              </w:rPr>
              <w:t>Broj</w:t>
            </w:r>
          </w:p>
        </w:tc>
        <w:tc>
          <w:tcPr>
            <w:tcW w:w="1114" w:type="dxa"/>
          </w:tcPr>
          <w:p w:rsidR="00D849AA" w:rsidRPr="00DE6ACB" w:rsidRDefault="00EE6D95">
            <w:pPr>
              <w:rPr>
                <w:rFonts w:ascii="Arial" w:hAnsi="Arial" w:cs="Arial"/>
              </w:rPr>
            </w:pPr>
            <w:r w:rsidRPr="00DE6ACB">
              <w:rPr>
                <w:rFonts w:ascii="Arial" w:hAnsi="Arial" w:cs="Arial"/>
              </w:rPr>
              <w:t>26</w:t>
            </w:r>
          </w:p>
        </w:tc>
        <w:tc>
          <w:tcPr>
            <w:tcW w:w="1486" w:type="dxa"/>
          </w:tcPr>
          <w:p w:rsidR="00D849AA" w:rsidRPr="00DE6ACB" w:rsidRDefault="00EE6D95">
            <w:pPr>
              <w:rPr>
                <w:rFonts w:ascii="Arial" w:hAnsi="Arial" w:cs="Arial"/>
              </w:rPr>
            </w:pPr>
            <w:r w:rsidRPr="00DE6ACB">
              <w:rPr>
                <w:rFonts w:ascii="Arial" w:hAnsi="Arial" w:cs="Arial"/>
              </w:rPr>
              <w:t>29</w:t>
            </w:r>
          </w:p>
        </w:tc>
        <w:tc>
          <w:tcPr>
            <w:tcW w:w="1486" w:type="dxa"/>
          </w:tcPr>
          <w:p w:rsidR="00D849AA" w:rsidRPr="00DE6ACB" w:rsidRDefault="00EE6D95">
            <w:pPr>
              <w:rPr>
                <w:rFonts w:ascii="Arial" w:hAnsi="Arial" w:cs="Arial"/>
              </w:rPr>
            </w:pPr>
            <w:r w:rsidRPr="00DE6ACB">
              <w:rPr>
                <w:rFonts w:ascii="Arial" w:hAnsi="Arial" w:cs="Arial"/>
              </w:rPr>
              <w:t>32</w:t>
            </w:r>
          </w:p>
        </w:tc>
        <w:tc>
          <w:tcPr>
            <w:tcW w:w="1486" w:type="dxa"/>
          </w:tcPr>
          <w:p w:rsidR="00D849AA" w:rsidRPr="00DE6ACB" w:rsidRDefault="00EE6D95">
            <w:pPr>
              <w:rPr>
                <w:rFonts w:ascii="Arial" w:hAnsi="Arial" w:cs="Arial"/>
              </w:rPr>
            </w:pPr>
            <w:r w:rsidRPr="00DE6ACB">
              <w:rPr>
                <w:rFonts w:ascii="Arial" w:hAnsi="Arial" w:cs="Arial"/>
              </w:rPr>
              <w:t>30</w:t>
            </w:r>
          </w:p>
        </w:tc>
      </w:tr>
      <w:tr w:rsidR="00D849AA" w:rsidRPr="00DE6ACB">
        <w:trPr>
          <w:jc w:val="center"/>
        </w:trPr>
        <w:tc>
          <w:tcPr>
            <w:tcW w:w="2229" w:type="dxa"/>
          </w:tcPr>
          <w:p w:rsidR="00D849AA" w:rsidRPr="00DE6ACB" w:rsidRDefault="00EE6D95">
            <w:pPr>
              <w:pStyle w:val="CellColumn"/>
            </w:pPr>
            <w:r w:rsidRPr="00DE6ACB">
              <w:lastRenderedPageBreak/>
              <w:t>Broj angažiranih inženjerskih sredstava</w:t>
            </w:r>
          </w:p>
        </w:tc>
        <w:tc>
          <w:tcPr>
            <w:tcW w:w="1114" w:type="dxa"/>
          </w:tcPr>
          <w:p w:rsidR="00D849AA" w:rsidRPr="00DE6ACB" w:rsidRDefault="00EE6D95">
            <w:pPr>
              <w:rPr>
                <w:rFonts w:ascii="Arial" w:hAnsi="Arial" w:cs="Arial"/>
              </w:rPr>
            </w:pPr>
            <w:r w:rsidRPr="00DE6ACB">
              <w:rPr>
                <w:rFonts w:ascii="Arial" w:hAnsi="Arial" w:cs="Arial"/>
              </w:rPr>
              <w:t>Broj</w:t>
            </w:r>
          </w:p>
        </w:tc>
        <w:tc>
          <w:tcPr>
            <w:tcW w:w="1114" w:type="dxa"/>
          </w:tcPr>
          <w:p w:rsidR="00D849AA" w:rsidRPr="00DE6ACB" w:rsidRDefault="00EE6D95">
            <w:pPr>
              <w:rPr>
                <w:rFonts w:ascii="Arial" w:hAnsi="Arial" w:cs="Arial"/>
              </w:rPr>
            </w:pPr>
            <w:r w:rsidRPr="00DE6ACB">
              <w:rPr>
                <w:rFonts w:ascii="Arial" w:hAnsi="Arial" w:cs="Arial"/>
              </w:rPr>
              <w:t>13</w:t>
            </w:r>
          </w:p>
        </w:tc>
        <w:tc>
          <w:tcPr>
            <w:tcW w:w="1486" w:type="dxa"/>
          </w:tcPr>
          <w:p w:rsidR="00D849AA" w:rsidRPr="00DE6ACB" w:rsidRDefault="00EE6D95">
            <w:pPr>
              <w:rPr>
                <w:rFonts w:ascii="Arial" w:hAnsi="Arial" w:cs="Arial"/>
              </w:rPr>
            </w:pPr>
            <w:r w:rsidRPr="00DE6ACB">
              <w:rPr>
                <w:rFonts w:ascii="Arial" w:hAnsi="Arial" w:cs="Arial"/>
              </w:rPr>
              <w:t>15</w:t>
            </w:r>
          </w:p>
        </w:tc>
        <w:tc>
          <w:tcPr>
            <w:tcW w:w="1486" w:type="dxa"/>
          </w:tcPr>
          <w:p w:rsidR="00D849AA" w:rsidRPr="00DE6ACB" w:rsidRDefault="00EE6D95">
            <w:pPr>
              <w:rPr>
                <w:rFonts w:ascii="Arial" w:hAnsi="Arial" w:cs="Arial"/>
              </w:rPr>
            </w:pPr>
            <w:r w:rsidRPr="00DE6ACB">
              <w:rPr>
                <w:rFonts w:ascii="Arial" w:hAnsi="Arial" w:cs="Arial"/>
              </w:rPr>
              <w:t>10</w:t>
            </w:r>
          </w:p>
        </w:tc>
        <w:tc>
          <w:tcPr>
            <w:tcW w:w="1486" w:type="dxa"/>
          </w:tcPr>
          <w:p w:rsidR="00D849AA" w:rsidRPr="00DE6ACB" w:rsidRDefault="00EE6D95">
            <w:pPr>
              <w:rPr>
                <w:rFonts w:ascii="Arial" w:hAnsi="Arial" w:cs="Arial"/>
              </w:rPr>
            </w:pPr>
            <w:r w:rsidRPr="00DE6ACB">
              <w:rPr>
                <w:rFonts w:ascii="Arial" w:hAnsi="Arial" w:cs="Arial"/>
              </w:rPr>
              <w:t>18</w:t>
            </w:r>
          </w:p>
        </w:tc>
      </w:tr>
    </w:tbl>
    <w:p w:rsidR="00D849AA" w:rsidRDefault="00D849AA">
      <w:pPr>
        <w:jc w:val="left"/>
      </w:pPr>
    </w:p>
    <w:p w:rsidR="00D849AA" w:rsidRDefault="00EE6D95">
      <w:pPr>
        <w:pStyle w:val="Naslov1"/>
      </w:pPr>
      <w:r>
        <w:lastRenderedPageBreak/>
        <w:t>032 DRŽAVNI URED ZA HRVATE IZVAN REPUBLIKE HRVATSKE</w:t>
      </w:r>
    </w:p>
    <w:p w:rsidR="00D849AA" w:rsidRDefault="00EE6D95">
      <w:pPr>
        <w:pStyle w:val="Naslov4"/>
      </w:pPr>
      <w:r>
        <w:t>Uvod</w:t>
      </w:r>
    </w:p>
    <w:p w:rsidR="00D849AA" w:rsidRDefault="00EE6D95">
      <w:pPr>
        <w:pStyle w:val="Normal3"/>
      </w:pPr>
      <w:r>
        <w:t xml:space="preserve">Skrb za Hrvate izvan Republike Hrvatske sastavni je dio unutarnje i vanjske politike Republike Hrvatske. U cilju promicanja veza s Republikom Hrvatskom svoj odnos s Hrvatima izvan Republike Hrvatske, Republika Hrvatska temelji na uzajamnoj suradnji i pružanju pomoći te jačanju njihovih zajednica, uvažavajući pri tome sve posebnosti i različite potrebe hrvatskih zajednica izvan Republike Hrvatske. </w:t>
      </w:r>
    </w:p>
    <w:p w:rsidR="00D849AA" w:rsidRDefault="00EE6D95">
      <w:pPr>
        <w:pStyle w:val="Normal3"/>
      </w:pPr>
      <w:r>
        <w:t>Državni ured za Hrvate izvan Republike Hrvatske (u daljnjem tekstu DUHIRH) središnje je tijelo državne uprave nadležno za područje odnosa između Republike Hrvatske i Hrvata izvan Republike Hrvatske.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DE6ACB" w:rsidRDefault="00D849AA">
            <w:pPr>
              <w:pStyle w:val="CellHeader"/>
            </w:pPr>
          </w:p>
        </w:tc>
        <w:tc>
          <w:tcPr>
            <w:tcW w:w="1486" w:type="dxa"/>
            <w:shd w:val="clear" w:color="auto" w:fill="B5C0D8"/>
          </w:tcPr>
          <w:p w:rsidR="00D849AA" w:rsidRPr="00DE6ACB" w:rsidRDefault="00EE6D95">
            <w:pPr>
              <w:pStyle w:val="CellHeader"/>
            </w:pPr>
            <w:r w:rsidRPr="00DE6ACB">
              <w:t>Plan 2013.</w:t>
            </w:r>
          </w:p>
        </w:tc>
        <w:tc>
          <w:tcPr>
            <w:tcW w:w="1486" w:type="dxa"/>
            <w:shd w:val="clear" w:color="auto" w:fill="B5C0D8"/>
          </w:tcPr>
          <w:p w:rsidR="00D849AA" w:rsidRPr="00DE6ACB" w:rsidRDefault="00EE6D95">
            <w:pPr>
              <w:pStyle w:val="CellHeader"/>
            </w:pPr>
            <w:r w:rsidRPr="00DE6ACB">
              <w:t>Plan 2014.</w:t>
            </w:r>
          </w:p>
        </w:tc>
        <w:tc>
          <w:tcPr>
            <w:tcW w:w="1486" w:type="dxa"/>
            <w:shd w:val="clear" w:color="auto" w:fill="B5C0D8"/>
          </w:tcPr>
          <w:p w:rsidR="00D849AA" w:rsidRPr="00DE6ACB" w:rsidRDefault="00EE6D95">
            <w:pPr>
              <w:pStyle w:val="CellHeader"/>
            </w:pPr>
            <w:r w:rsidRPr="00DE6ACB">
              <w:t>Plan 2015.</w:t>
            </w:r>
          </w:p>
        </w:tc>
        <w:tc>
          <w:tcPr>
            <w:tcW w:w="1486" w:type="dxa"/>
            <w:shd w:val="clear" w:color="auto" w:fill="B5C0D8"/>
          </w:tcPr>
          <w:p w:rsidR="00D849AA" w:rsidRPr="00DE6ACB" w:rsidRDefault="00EE6D95">
            <w:pPr>
              <w:pStyle w:val="CellHeader"/>
            </w:pPr>
            <w:r w:rsidRPr="00DE6ACB">
              <w:t>Plan 2016.</w:t>
            </w:r>
          </w:p>
        </w:tc>
        <w:tc>
          <w:tcPr>
            <w:tcW w:w="1486" w:type="dxa"/>
            <w:shd w:val="clear" w:color="auto" w:fill="B5C0D8"/>
          </w:tcPr>
          <w:p w:rsidR="00D849AA" w:rsidRPr="00DE6ACB" w:rsidRDefault="00EE6D95">
            <w:pPr>
              <w:pStyle w:val="CellHeader"/>
            </w:pPr>
            <w:r w:rsidRPr="00DE6ACB">
              <w:t>Indeks 2014/2013</w:t>
            </w:r>
          </w:p>
        </w:tc>
      </w:tr>
      <w:tr w:rsidR="00D849AA">
        <w:trPr>
          <w:jc w:val="center"/>
        </w:trPr>
        <w:tc>
          <w:tcPr>
            <w:tcW w:w="1486" w:type="dxa"/>
          </w:tcPr>
          <w:p w:rsidR="00D849AA" w:rsidRPr="00DE6ACB" w:rsidRDefault="00EE6D95">
            <w:pPr>
              <w:pStyle w:val="CellColumn"/>
            </w:pPr>
            <w:r w:rsidRPr="00DE6ACB">
              <w:t>03205 Državni ured za Hrvate izvan Republike Hrvatske</w:t>
            </w:r>
          </w:p>
        </w:tc>
        <w:tc>
          <w:tcPr>
            <w:tcW w:w="1486" w:type="dxa"/>
          </w:tcPr>
          <w:p w:rsidR="00D849AA" w:rsidRPr="00DE6ACB" w:rsidRDefault="00EE6D95">
            <w:pPr>
              <w:rPr>
                <w:rFonts w:ascii="Arial" w:hAnsi="Arial" w:cs="Arial"/>
              </w:rPr>
            </w:pPr>
            <w:r w:rsidRPr="00DE6ACB">
              <w:rPr>
                <w:rFonts w:ascii="Arial" w:hAnsi="Arial" w:cs="Arial"/>
              </w:rPr>
              <w:t>55.661.678</w:t>
            </w:r>
          </w:p>
        </w:tc>
        <w:tc>
          <w:tcPr>
            <w:tcW w:w="1486" w:type="dxa"/>
          </w:tcPr>
          <w:p w:rsidR="00D849AA" w:rsidRPr="00DE6ACB" w:rsidRDefault="00EE6D95">
            <w:pPr>
              <w:rPr>
                <w:rFonts w:ascii="Arial" w:hAnsi="Arial" w:cs="Arial"/>
              </w:rPr>
            </w:pPr>
            <w:r w:rsidRPr="00DE6ACB">
              <w:rPr>
                <w:rFonts w:ascii="Arial" w:hAnsi="Arial" w:cs="Arial"/>
              </w:rPr>
              <w:t>55.258.039</w:t>
            </w:r>
          </w:p>
        </w:tc>
        <w:tc>
          <w:tcPr>
            <w:tcW w:w="1486" w:type="dxa"/>
          </w:tcPr>
          <w:p w:rsidR="00D849AA" w:rsidRPr="00DE6ACB" w:rsidRDefault="00EE6D95">
            <w:pPr>
              <w:rPr>
                <w:rFonts w:ascii="Arial" w:hAnsi="Arial" w:cs="Arial"/>
              </w:rPr>
            </w:pPr>
            <w:r w:rsidRPr="00DE6ACB">
              <w:rPr>
                <w:rFonts w:ascii="Arial" w:hAnsi="Arial" w:cs="Arial"/>
              </w:rPr>
              <w:t>57.625.418</w:t>
            </w:r>
          </w:p>
        </w:tc>
        <w:tc>
          <w:tcPr>
            <w:tcW w:w="1486" w:type="dxa"/>
          </w:tcPr>
          <w:p w:rsidR="00D849AA" w:rsidRPr="00DE6ACB" w:rsidRDefault="00EE6D95">
            <w:pPr>
              <w:rPr>
                <w:rFonts w:ascii="Arial" w:hAnsi="Arial" w:cs="Arial"/>
              </w:rPr>
            </w:pPr>
            <w:r w:rsidRPr="00DE6ACB">
              <w:rPr>
                <w:rFonts w:ascii="Arial" w:hAnsi="Arial" w:cs="Arial"/>
              </w:rPr>
              <w:t>58.114.313</w:t>
            </w:r>
          </w:p>
        </w:tc>
        <w:tc>
          <w:tcPr>
            <w:tcW w:w="1486" w:type="dxa"/>
          </w:tcPr>
          <w:p w:rsidR="00D849AA" w:rsidRPr="00DE6ACB" w:rsidRDefault="00EE6D95">
            <w:pPr>
              <w:rPr>
                <w:rFonts w:ascii="Arial" w:hAnsi="Arial" w:cs="Arial"/>
              </w:rPr>
            </w:pPr>
            <w:r w:rsidRPr="00DE6ACB">
              <w:rPr>
                <w:rFonts w:ascii="Arial" w:hAnsi="Arial" w:cs="Arial"/>
              </w:rPr>
              <w:t>99,3</w:t>
            </w:r>
          </w:p>
        </w:tc>
      </w:tr>
      <w:tr w:rsidR="00D849AA">
        <w:trPr>
          <w:jc w:val="center"/>
        </w:trPr>
        <w:tc>
          <w:tcPr>
            <w:tcW w:w="1486" w:type="dxa"/>
          </w:tcPr>
          <w:p w:rsidR="00D849AA" w:rsidRPr="00DE6ACB" w:rsidRDefault="00EE6D95">
            <w:pPr>
              <w:pStyle w:val="CellColumn"/>
            </w:pPr>
            <w:r w:rsidRPr="00DE6ACB">
              <w:t>03210 Hrvatska matica iseljenika</w:t>
            </w:r>
          </w:p>
        </w:tc>
        <w:tc>
          <w:tcPr>
            <w:tcW w:w="1486" w:type="dxa"/>
          </w:tcPr>
          <w:p w:rsidR="00D849AA" w:rsidRPr="00DE6ACB" w:rsidRDefault="00EE6D95">
            <w:pPr>
              <w:rPr>
                <w:rFonts w:ascii="Arial" w:hAnsi="Arial" w:cs="Arial"/>
              </w:rPr>
            </w:pPr>
            <w:r w:rsidRPr="00DE6ACB">
              <w:rPr>
                <w:rFonts w:ascii="Arial" w:hAnsi="Arial" w:cs="Arial"/>
              </w:rPr>
              <w:t>5.600.000</w:t>
            </w:r>
          </w:p>
        </w:tc>
        <w:tc>
          <w:tcPr>
            <w:tcW w:w="1486" w:type="dxa"/>
          </w:tcPr>
          <w:p w:rsidR="00D849AA" w:rsidRPr="00DE6ACB" w:rsidRDefault="00EE6D95">
            <w:pPr>
              <w:rPr>
                <w:rFonts w:ascii="Arial" w:hAnsi="Arial" w:cs="Arial"/>
              </w:rPr>
            </w:pPr>
            <w:r w:rsidRPr="00DE6ACB">
              <w:rPr>
                <w:rFonts w:ascii="Arial" w:hAnsi="Arial" w:cs="Arial"/>
              </w:rPr>
              <w:t>5.366.000</w:t>
            </w:r>
          </w:p>
        </w:tc>
        <w:tc>
          <w:tcPr>
            <w:tcW w:w="1486" w:type="dxa"/>
          </w:tcPr>
          <w:p w:rsidR="00D849AA" w:rsidRPr="00DE6ACB" w:rsidRDefault="00EE6D95">
            <w:pPr>
              <w:rPr>
                <w:rFonts w:ascii="Arial" w:hAnsi="Arial" w:cs="Arial"/>
              </w:rPr>
            </w:pPr>
            <w:r w:rsidRPr="00DE6ACB">
              <w:rPr>
                <w:rFonts w:ascii="Arial" w:hAnsi="Arial" w:cs="Arial"/>
              </w:rPr>
              <w:t>5.253.147</w:t>
            </w:r>
          </w:p>
        </w:tc>
        <w:tc>
          <w:tcPr>
            <w:tcW w:w="1486" w:type="dxa"/>
          </w:tcPr>
          <w:p w:rsidR="00D849AA" w:rsidRPr="00DE6ACB" w:rsidRDefault="00EE6D95">
            <w:pPr>
              <w:rPr>
                <w:rFonts w:ascii="Arial" w:hAnsi="Arial" w:cs="Arial"/>
              </w:rPr>
            </w:pPr>
            <w:r w:rsidRPr="00DE6ACB">
              <w:rPr>
                <w:rFonts w:ascii="Arial" w:hAnsi="Arial" w:cs="Arial"/>
              </w:rPr>
              <w:t>5.409.130</w:t>
            </w:r>
          </w:p>
        </w:tc>
        <w:tc>
          <w:tcPr>
            <w:tcW w:w="1486" w:type="dxa"/>
          </w:tcPr>
          <w:p w:rsidR="00D849AA" w:rsidRPr="00DE6ACB" w:rsidRDefault="00EE6D95">
            <w:pPr>
              <w:rPr>
                <w:rFonts w:ascii="Arial" w:hAnsi="Arial" w:cs="Arial"/>
              </w:rPr>
            </w:pPr>
            <w:r w:rsidRPr="00DE6ACB">
              <w:rPr>
                <w:rFonts w:ascii="Arial" w:hAnsi="Arial" w:cs="Arial"/>
              </w:rPr>
              <w:t>95,8</w:t>
            </w:r>
          </w:p>
        </w:tc>
      </w:tr>
      <w:tr w:rsidR="00D849AA">
        <w:trPr>
          <w:jc w:val="center"/>
        </w:trPr>
        <w:tc>
          <w:tcPr>
            <w:tcW w:w="1486" w:type="dxa"/>
            <w:shd w:val="clear" w:color="auto" w:fill="B5C0D8"/>
          </w:tcPr>
          <w:p w:rsidR="00D849AA" w:rsidRPr="00DE6ACB" w:rsidRDefault="00EE6D95">
            <w:pPr>
              <w:pStyle w:val="CellColumn"/>
            </w:pPr>
            <w:r w:rsidRPr="00DE6ACB">
              <w:t>Ukupno 032</w:t>
            </w:r>
          </w:p>
        </w:tc>
        <w:tc>
          <w:tcPr>
            <w:tcW w:w="1486" w:type="dxa"/>
            <w:shd w:val="clear" w:color="auto" w:fill="B5C0D8"/>
          </w:tcPr>
          <w:p w:rsidR="00D849AA" w:rsidRPr="00DE6ACB" w:rsidRDefault="00EE6D95">
            <w:pPr>
              <w:rPr>
                <w:rFonts w:ascii="Arial" w:hAnsi="Arial" w:cs="Arial"/>
              </w:rPr>
            </w:pPr>
            <w:r w:rsidRPr="00DE6ACB">
              <w:rPr>
                <w:rFonts w:ascii="Arial" w:hAnsi="Arial" w:cs="Arial"/>
              </w:rPr>
              <w:t>61.261.678</w:t>
            </w:r>
          </w:p>
        </w:tc>
        <w:tc>
          <w:tcPr>
            <w:tcW w:w="1486" w:type="dxa"/>
            <w:shd w:val="clear" w:color="auto" w:fill="B5C0D8"/>
          </w:tcPr>
          <w:p w:rsidR="00D849AA" w:rsidRPr="00DE6ACB" w:rsidRDefault="00EE6D95">
            <w:pPr>
              <w:rPr>
                <w:rFonts w:ascii="Arial" w:hAnsi="Arial" w:cs="Arial"/>
              </w:rPr>
            </w:pPr>
            <w:r w:rsidRPr="00DE6ACB">
              <w:rPr>
                <w:rFonts w:ascii="Arial" w:hAnsi="Arial" w:cs="Arial"/>
              </w:rPr>
              <w:t>60.624.039</w:t>
            </w:r>
          </w:p>
        </w:tc>
        <w:tc>
          <w:tcPr>
            <w:tcW w:w="1486" w:type="dxa"/>
            <w:shd w:val="clear" w:color="auto" w:fill="B5C0D8"/>
          </w:tcPr>
          <w:p w:rsidR="00D849AA" w:rsidRPr="00DE6ACB" w:rsidRDefault="00EE6D95">
            <w:pPr>
              <w:rPr>
                <w:rFonts w:ascii="Arial" w:hAnsi="Arial" w:cs="Arial"/>
              </w:rPr>
            </w:pPr>
            <w:r w:rsidRPr="00DE6ACB">
              <w:rPr>
                <w:rFonts w:ascii="Arial" w:hAnsi="Arial" w:cs="Arial"/>
              </w:rPr>
              <w:t>62.878.565</w:t>
            </w:r>
          </w:p>
        </w:tc>
        <w:tc>
          <w:tcPr>
            <w:tcW w:w="1486" w:type="dxa"/>
            <w:shd w:val="clear" w:color="auto" w:fill="B5C0D8"/>
          </w:tcPr>
          <w:p w:rsidR="00D849AA" w:rsidRPr="00DE6ACB" w:rsidRDefault="00EE6D95">
            <w:pPr>
              <w:rPr>
                <w:rFonts w:ascii="Arial" w:hAnsi="Arial" w:cs="Arial"/>
              </w:rPr>
            </w:pPr>
            <w:r w:rsidRPr="00DE6ACB">
              <w:rPr>
                <w:rFonts w:ascii="Arial" w:hAnsi="Arial" w:cs="Arial"/>
              </w:rPr>
              <w:t>63.523.443</w:t>
            </w:r>
          </w:p>
        </w:tc>
        <w:tc>
          <w:tcPr>
            <w:tcW w:w="1486" w:type="dxa"/>
            <w:shd w:val="clear" w:color="auto" w:fill="B5C0D8"/>
          </w:tcPr>
          <w:p w:rsidR="00D849AA" w:rsidRPr="00DE6ACB" w:rsidRDefault="00EE6D95">
            <w:pPr>
              <w:rPr>
                <w:rFonts w:ascii="Arial" w:hAnsi="Arial" w:cs="Arial"/>
              </w:rPr>
            </w:pPr>
            <w:r w:rsidRPr="00DE6ACB">
              <w:rPr>
                <w:rFonts w:ascii="Arial" w:hAnsi="Arial" w:cs="Arial"/>
              </w:rPr>
              <w:t>99,0</w:t>
            </w:r>
          </w:p>
        </w:tc>
      </w:tr>
    </w:tbl>
    <w:p w:rsidR="00D849AA" w:rsidRDefault="00D849AA">
      <w:pPr>
        <w:jc w:val="left"/>
      </w:pPr>
    </w:p>
    <w:p w:rsidR="00D849AA" w:rsidRDefault="00EE6D95">
      <w:pPr>
        <w:pStyle w:val="Naslov2"/>
      </w:pPr>
      <w:r>
        <w:t>03205 Državni ured za Hrvate izvan Republike Hrvatske</w:t>
      </w:r>
    </w:p>
    <w:p w:rsidR="00D849AA" w:rsidRDefault="00EE6D95">
      <w:pPr>
        <w:pStyle w:val="Naslov4"/>
      </w:pPr>
      <w:r>
        <w:t>Uvod</w:t>
      </w:r>
    </w:p>
    <w:p w:rsidR="00D849AA" w:rsidRDefault="00EE6D95">
      <w:pPr>
        <w:pStyle w:val="Normal3"/>
      </w:pPr>
      <w:r>
        <w:t xml:space="preserve">Državni ured za Hrvate izvan RH osnovan je temeljem Zakona o odnosima Republike Hrvatske s Hrvatima izvan Republike Hrvatske (NN 124/2011 i NN 16/2012, dalje Zakon), a njegov djelokrug je definiran člankom 13. navedenog Zakona kako slijedi:  </w:t>
      </w:r>
    </w:p>
    <w:p w:rsidR="00D849AA" w:rsidRDefault="00EE6D95">
      <w:pPr>
        <w:pStyle w:val="Normal3"/>
      </w:pPr>
      <w:r>
        <w:t>•</w:t>
      </w:r>
      <w:r>
        <w:tab/>
        <w:t xml:space="preserve">koordinacija i nadzor aktivnosti između nadležnih ministarstava, drugih tijela državne uprave i ostalih nositelja suradnje Republike Hrvatske s Hrvatima izvan Republike Hrvatske,  </w:t>
      </w:r>
    </w:p>
    <w:p w:rsidR="00D849AA" w:rsidRDefault="00EE6D95">
      <w:pPr>
        <w:pStyle w:val="Normal3"/>
      </w:pPr>
      <w:r>
        <w:t>•</w:t>
      </w:r>
      <w:r>
        <w:tab/>
        <w:t xml:space="preserve">briga za zaštitu prava i interesa Hrvata izvan Republike Hrvatske,  </w:t>
      </w:r>
    </w:p>
    <w:p w:rsidR="00D849AA" w:rsidRDefault="00EE6D95">
      <w:pPr>
        <w:pStyle w:val="Normal3"/>
      </w:pPr>
      <w:r>
        <w:t>•</w:t>
      </w:r>
      <w:r>
        <w:tab/>
        <w:t xml:space="preserve">briga za očuvanje i jačanje identiteta Hrvata izvan Republike Hrvatske,  </w:t>
      </w:r>
    </w:p>
    <w:p w:rsidR="00D849AA" w:rsidRDefault="00EE6D95">
      <w:pPr>
        <w:pStyle w:val="Normal3"/>
      </w:pPr>
      <w:r>
        <w:t>•</w:t>
      </w:r>
      <w:r>
        <w:tab/>
        <w:t xml:space="preserve">uspostavljanje, održavanje i promicanje veza s Hrvatima izvan Republike Hrvatske,  </w:t>
      </w:r>
    </w:p>
    <w:p w:rsidR="00D849AA" w:rsidRDefault="00EE6D95">
      <w:pPr>
        <w:pStyle w:val="Normal3"/>
      </w:pPr>
      <w:r>
        <w:t>•</w:t>
      </w:r>
      <w:r>
        <w:tab/>
        <w:t xml:space="preserve">jačanje suradnje s Hrvatima izvan Republike Hrvatske i izrada komunikacijske strategije za Hrvate izvan Republike Hrvatske,  </w:t>
      </w:r>
    </w:p>
    <w:p w:rsidR="00D849AA" w:rsidRDefault="00EE6D95">
      <w:pPr>
        <w:pStyle w:val="Normal3"/>
      </w:pPr>
      <w:r>
        <w:lastRenderedPageBreak/>
        <w:t>•</w:t>
      </w:r>
      <w:r>
        <w:tab/>
        <w:t xml:space="preserve">u suradnji s drugim nadležnim ministarstvima, obavlja poslove koji se odnose na stvaranje uvjeta za povratak iseljenika/dijaspore u Republiku Hrvatsku i njihovo uključivanje u gospodarski i društveni život u Republici Hrvatskoj,  </w:t>
      </w:r>
    </w:p>
    <w:p w:rsidR="00D849AA" w:rsidRDefault="00EE6D95">
      <w:pPr>
        <w:pStyle w:val="Normal3"/>
      </w:pPr>
      <w:r>
        <w:t>•</w:t>
      </w:r>
      <w:r>
        <w:tab/>
        <w:t xml:space="preserve">predlaže politiku poticanja i pomoći povratka i useljavanja,  </w:t>
      </w:r>
    </w:p>
    <w:p w:rsidR="00D849AA" w:rsidRDefault="00EE6D95">
      <w:pPr>
        <w:pStyle w:val="Normal3"/>
      </w:pPr>
      <w:r>
        <w:t>•</w:t>
      </w:r>
      <w:r>
        <w:tab/>
        <w:t xml:space="preserve">provođenje mjera i programa za integraciju Hrvata povratnika i useljenika,  </w:t>
      </w:r>
    </w:p>
    <w:p w:rsidR="00D849AA" w:rsidRDefault="00EE6D95">
      <w:pPr>
        <w:pStyle w:val="Normal3"/>
      </w:pPr>
      <w:r>
        <w:t>•</w:t>
      </w:r>
      <w:r>
        <w:tab/>
        <w:t xml:space="preserve">pružanje pomoći u poduzetničkim ulaganjima,  </w:t>
      </w:r>
    </w:p>
    <w:p w:rsidR="00D849AA" w:rsidRDefault="00EE6D95">
      <w:pPr>
        <w:pStyle w:val="Normal3"/>
      </w:pPr>
      <w:r>
        <w:t>•</w:t>
      </w:r>
      <w:r>
        <w:tab/>
        <w:t xml:space="preserve">gospodarska potpora povratku i održivom opstanku Hrvata kao konstitutivnog naroda u Bosni i Hercegovini i hrvatske manjine u Republici Srbiji, Crnoj Gori i Republici Kosovo,  </w:t>
      </w:r>
    </w:p>
    <w:p w:rsidR="00D849AA" w:rsidRDefault="00EE6D95">
      <w:pPr>
        <w:pStyle w:val="Normal3"/>
      </w:pPr>
      <w:r>
        <w:t>•</w:t>
      </w:r>
      <w:r>
        <w:tab/>
        <w:t xml:space="preserve">gospodarska potpora i drugim hrvatskim zajednicama po potrebi,  </w:t>
      </w:r>
    </w:p>
    <w:p w:rsidR="00D849AA" w:rsidRDefault="00EE6D95">
      <w:pPr>
        <w:pStyle w:val="Normal3"/>
      </w:pPr>
      <w:r>
        <w:t>•</w:t>
      </w:r>
      <w:r>
        <w:tab/>
        <w:t xml:space="preserve">provođenje Strategije i predlaganje projekata i provedbenih planova, kao i nadzor njihove provedbe,  </w:t>
      </w:r>
    </w:p>
    <w:p w:rsidR="00D849AA" w:rsidRDefault="00EE6D95">
      <w:pPr>
        <w:pStyle w:val="Normal3"/>
      </w:pPr>
      <w:r>
        <w:t>•</w:t>
      </w:r>
      <w:r>
        <w:tab/>
        <w:t xml:space="preserve">vođenje propisanih evidencija o Hrvatima izvan Republike Hrvatske,  </w:t>
      </w:r>
    </w:p>
    <w:p w:rsidR="00D849AA" w:rsidRDefault="00EE6D95">
      <w:pPr>
        <w:pStyle w:val="Normal3"/>
      </w:pPr>
      <w:r>
        <w:t>•</w:t>
      </w:r>
      <w:r>
        <w:tab/>
        <w:t xml:space="preserve">planiranje i osiguranje financijskih sredstava za programe i projekte Hrvatima izvan Republike Hrvatske i  </w:t>
      </w:r>
    </w:p>
    <w:p w:rsidR="00D849AA" w:rsidRDefault="00EE6D95">
      <w:pPr>
        <w:pStyle w:val="Normal3"/>
      </w:pPr>
      <w:r>
        <w:t>•</w:t>
      </w:r>
      <w:r>
        <w:tab/>
        <w:t>drugi poslovi propisani posebnim zakonom.</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rsidRPr="00DE6ACB">
        <w:trPr>
          <w:jc w:val="center"/>
        </w:trPr>
        <w:tc>
          <w:tcPr>
            <w:tcW w:w="1486" w:type="dxa"/>
            <w:shd w:val="clear" w:color="auto" w:fill="B5C0D8"/>
          </w:tcPr>
          <w:p w:rsidR="00D849AA" w:rsidRPr="00DE6ACB" w:rsidRDefault="00D849AA">
            <w:pPr>
              <w:pStyle w:val="CellHeader"/>
            </w:pPr>
          </w:p>
        </w:tc>
        <w:tc>
          <w:tcPr>
            <w:tcW w:w="1486" w:type="dxa"/>
            <w:shd w:val="clear" w:color="auto" w:fill="B5C0D8"/>
          </w:tcPr>
          <w:p w:rsidR="00D849AA" w:rsidRPr="00DE6ACB" w:rsidRDefault="00EE6D95">
            <w:pPr>
              <w:pStyle w:val="CellHeader"/>
            </w:pPr>
            <w:r w:rsidRPr="00DE6ACB">
              <w:t>Plan 2013.</w:t>
            </w:r>
          </w:p>
        </w:tc>
        <w:tc>
          <w:tcPr>
            <w:tcW w:w="1486" w:type="dxa"/>
            <w:shd w:val="clear" w:color="auto" w:fill="B5C0D8"/>
          </w:tcPr>
          <w:p w:rsidR="00D849AA" w:rsidRPr="00DE6ACB" w:rsidRDefault="00EE6D95">
            <w:pPr>
              <w:pStyle w:val="CellHeader"/>
            </w:pPr>
            <w:r w:rsidRPr="00DE6ACB">
              <w:t>Plan 2014.</w:t>
            </w:r>
          </w:p>
        </w:tc>
        <w:tc>
          <w:tcPr>
            <w:tcW w:w="1486" w:type="dxa"/>
            <w:shd w:val="clear" w:color="auto" w:fill="B5C0D8"/>
          </w:tcPr>
          <w:p w:rsidR="00D849AA" w:rsidRPr="00DE6ACB" w:rsidRDefault="00EE6D95">
            <w:pPr>
              <w:pStyle w:val="CellHeader"/>
            </w:pPr>
            <w:r w:rsidRPr="00DE6ACB">
              <w:t>Plan 2015.</w:t>
            </w:r>
          </w:p>
        </w:tc>
        <w:tc>
          <w:tcPr>
            <w:tcW w:w="1486" w:type="dxa"/>
            <w:shd w:val="clear" w:color="auto" w:fill="B5C0D8"/>
          </w:tcPr>
          <w:p w:rsidR="00D849AA" w:rsidRPr="00DE6ACB" w:rsidRDefault="00EE6D95">
            <w:pPr>
              <w:pStyle w:val="CellHeader"/>
            </w:pPr>
            <w:r w:rsidRPr="00DE6ACB">
              <w:t>Plan 2016.</w:t>
            </w:r>
          </w:p>
        </w:tc>
        <w:tc>
          <w:tcPr>
            <w:tcW w:w="1486" w:type="dxa"/>
            <w:shd w:val="clear" w:color="auto" w:fill="B5C0D8"/>
          </w:tcPr>
          <w:p w:rsidR="00D849AA" w:rsidRPr="00DE6ACB" w:rsidRDefault="00EE6D95">
            <w:pPr>
              <w:pStyle w:val="CellHeader"/>
            </w:pPr>
            <w:r w:rsidRPr="00DE6ACB">
              <w:t>Indeks 2014/2013</w:t>
            </w:r>
          </w:p>
        </w:tc>
      </w:tr>
      <w:tr w:rsidR="00D849AA" w:rsidRPr="00DE6ACB">
        <w:trPr>
          <w:jc w:val="center"/>
        </w:trPr>
        <w:tc>
          <w:tcPr>
            <w:tcW w:w="1486" w:type="dxa"/>
          </w:tcPr>
          <w:p w:rsidR="00D849AA" w:rsidRPr="00DE6ACB" w:rsidRDefault="00EE6D95">
            <w:pPr>
              <w:pStyle w:val="CellColumn"/>
            </w:pPr>
            <w:r w:rsidRPr="00DE6ACB">
              <w:t>03205</w:t>
            </w:r>
          </w:p>
        </w:tc>
        <w:tc>
          <w:tcPr>
            <w:tcW w:w="1486" w:type="dxa"/>
          </w:tcPr>
          <w:p w:rsidR="00D849AA" w:rsidRPr="00DE6ACB" w:rsidRDefault="00EE6D95">
            <w:pPr>
              <w:rPr>
                <w:rFonts w:ascii="Arial" w:hAnsi="Arial" w:cs="Arial"/>
              </w:rPr>
            </w:pPr>
            <w:r w:rsidRPr="00DE6ACB">
              <w:rPr>
                <w:rFonts w:ascii="Arial" w:hAnsi="Arial" w:cs="Arial"/>
              </w:rPr>
              <w:t>55.661.678</w:t>
            </w:r>
          </w:p>
        </w:tc>
        <w:tc>
          <w:tcPr>
            <w:tcW w:w="1486" w:type="dxa"/>
          </w:tcPr>
          <w:p w:rsidR="00D849AA" w:rsidRPr="00DE6ACB" w:rsidRDefault="00EE6D95">
            <w:pPr>
              <w:rPr>
                <w:rFonts w:ascii="Arial" w:hAnsi="Arial" w:cs="Arial"/>
              </w:rPr>
            </w:pPr>
            <w:r w:rsidRPr="00DE6ACB">
              <w:rPr>
                <w:rFonts w:ascii="Arial" w:hAnsi="Arial" w:cs="Arial"/>
              </w:rPr>
              <w:t>55.258.039</w:t>
            </w:r>
          </w:p>
        </w:tc>
        <w:tc>
          <w:tcPr>
            <w:tcW w:w="1486" w:type="dxa"/>
          </w:tcPr>
          <w:p w:rsidR="00D849AA" w:rsidRPr="00DE6ACB" w:rsidRDefault="00EE6D95">
            <w:pPr>
              <w:rPr>
                <w:rFonts w:ascii="Arial" w:hAnsi="Arial" w:cs="Arial"/>
              </w:rPr>
            </w:pPr>
            <w:r w:rsidRPr="00DE6ACB">
              <w:rPr>
                <w:rFonts w:ascii="Arial" w:hAnsi="Arial" w:cs="Arial"/>
              </w:rPr>
              <w:t>57.625.418</w:t>
            </w:r>
          </w:p>
        </w:tc>
        <w:tc>
          <w:tcPr>
            <w:tcW w:w="1486" w:type="dxa"/>
          </w:tcPr>
          <w:p w:rsidR="00D849AA" w:rsidRPr="00DE6ACB" w:rsidRDefault="00EE6D95">
            <w:pPr>
              <w:rPr>
                <w:rFonts w:ascii="Arial" w:hAnsi="Arial" w:cs="Arial"/>
              </w:rPr>
            </w:pPr>
            <w:r w:rsidRPr="00DE6ACB">
              <w:rPr>
                <w:rFonts w:ascii="Arial" w:hAnsi="Arial" w:cs="Arial"/>
              </w:rPr>
              <w:t>58.114.313</w:t>
            </w:r>
          </w:p>
        </w:tc>
        <w:tc>
          <w:tcPr>
            <w:tcW w:w="1486" w:type="dxa"/>
          </w:tcPr>
          <w:p w:rsidR="00D849AA" w:rsidRPr="00DE6ACB" w:rsidRDefault="00EE6D95">
            <w:pPr>
              <w:rPr>
                <w:rFonts w:ascii="Arial" w:hAnsi="Arial" w:cs="Arial"/>
              </w:rPr>
            </w:pPr>
            <w:r w:rsidRPr="00DE6ACB">
              <w:rPr>
                <w:rFonts w:ascii="Arial" w:hAnsi="Arial" w:cs="Arial"/>
              </w:rPr>
              <w:t>99,3</w:t>
            </w:r>
          </w:p>
        </w:tc>
      </w:tr>
    </w:tbl>
    <w:p w:rsidR="00D849AA" w:rsidRPr="00DE6ACB" w:rsidRDefault="00D849AA">
      <w:pPr>
        <w:jc w:val="left"/>
        <w:rPr>
          <w:rFonts w:ascii="Arial" w:hAnsi="Arial" w:cs="Arial"/>
        </w:rPr>
      </w:pPr>
    </w:p>
    <w:p w:rsidR="00D849AA" w:rsidRDefault="00EE6D95">
      <w:pPr>
        <w:pStyle w:val="Naslov4"/>
      </w:pPr>
      <w:r>
        <w:t>OBRAZLOŽENJE PROGRAMA</w:t>
      </w:r>
    </w:p>
    <w:p w:rsidR="00D849AA" w:rsidRDefault="00EE6D95">
      <w:pPr>
        <w:pStyle w:val="Naslov5"/>
      </w:pPr>
      <w:r>
        <w:t>2306 PROGRAMI HRVATA IZVAN REPUBLIKE HRVATSKE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rsidRPr="00DE6ACB">
        <w:trPr>
          <w:jc w:val="center"/>
        </w:trPr>
        <w:tc>
          <w:tcPr>
            <w:tcW w:w="1486" w:type="dxa"/>
            <w:shd w:val="clear" w:color="auto" w:fill="B5C0D8"/>
          </w:tcPr>
          <w:p w:rsidR="00D849AA" w:rsidRPr="00DE6ACB" w:rsidRDefault="00D849AA">
            <w:pPr>
              <w:pStyle w:val="CellHeader"/>
            </w:pPr>
          </w:p>
        </w:tc>
        <w:tc>
          <w:tcPr>
            <w:tcW w:w="1486" w:type="dxa"/>
            <w:shd w:val="clear" w:color="auto" w:fill="B5C0D8"/>
          </w:tcPr>
          <w:p w:rsidR="00D849AA" w:rsidRPr="00DE6ACB" w:rsidRDefault="00EE6D95">
            <w:pPr>
              <w:pStyle w:val="CellHeader"/>
            </w:pPr>
            <w:r w:rsidRPr="00DE6ACB">
              <w:t>Plan 2013.</w:t>
            </w:r>
          </w:p>
        </w:tc>
        <w:tc>
          <w:tcPr>
            <w:tcW w:w="1486" w:type="dxa"/>
            <w:shd w:val="clear" w:color="auto" w:fill="B5C0D8"/>
          </w:tcPr>
          <w:p w:rsidR="00D849AA" w:rsidRPr="00DE6ACB" w:rsidRDefault="00EE6D95">
            <w:pPr>
              <w:pStyle w:val="CellHeader"/>
            </w:pPr>
            <w:r w:rsidRPr="00DE6ACB">
              <w:t>Plan 2014.</w:t>
            </w:r>
          </w:p>
        </w:tc>
        <w:tc>
          <w:tcPr>
            <w:tcW w:w="1486" w:type="dxa"/>
            <w:shd w:val="clear" w:color="auto" w:fill="B5C0D8"/>
          </w:tcPr>
          <w:p w:rsidR="00D849AA" w:rsidRPr="00DE6ACB" w:rsidRDefault="00EE6D95">
            <w:pPr>
              <w:pStyle w:val="CellHeader"/>
            </w:pPr>
            <w:r w:rsidRPr="00DE6ACB">
              <w:t>Plan 2015.</w:t>
            </w:r>
          </w:p>
        </w:tc>
        <w:tc>
          <w:tcPr>
            <w:tcW w:w="1486" w:type="dxa"/>
            <w:shd w:val="clear" w:color="auto" w:fill="B5C0D8"/>
          </w:tcPr>
          <w:p w:rsidR="00D849AA" w:rsidRPr="00DE6ACB" w:rsidRDefault="00EE6D95">
            <w:pPr>
              <w:pStyle w:val="CellHeader"/>
            </w:pPr>
            <w:r w:rsidRPr="00DE6ACB">
              <w:t>Plan 2016.</w:t>
            </w:r>
          </w:p>
        </w:tc>
        <w:tc>
          <w:tcPr>
            <w:tcW w:w="1486" w:type="dxa"/>
            <w:shd w:val="clear" w:color="auto" w:fill="B5C0D8"/>
          </w:tcPr>
          <w:p w:rsidR="00D849AA" w:rsidRPr="00DE6ACB" w:rsidRDefault="00EE6D95">
            <w:pPr>
              <w:pStyle w:val="CellHeader"/>
            </w:pPr>
            <w:r w:rsidRPr="00DE6ACB">
              <w:t>Indeks 2014/2013</w:t>
            </w:r>
          </w:p>
        </w:tc>
      </w:tr>
      <w:tr w:rsidR="00D849AA" w:rsidRPr="00DE6ACB">
        <w:trPr>
          <w:jc w:val="center"/>
        </w:trPr>
        <w:tc>
          <w:tcPr>
            <w:tcW w:w="1486" w:type="dxa"/>
          </w:tcPr>
          <w:p w:rsidR="00D849AA" w:rsidRPr="00DE6ACB" w:rsidRDefault="00EE6D95">
            <w:pPr>
              <w:pStyle w:val="CellColumn"/>
            </w:pPr>
            <w:r w:rsidRPr="00DE6ACB">
              <w:t>2306</w:t>
            </w:r>
          </w:p>
        </w:tc>
        <w:tc>
          <w:tcPr>
            <w:tcW w:w="1486" w:type="dxa"/>
          </w:tcPr>
          <w:p w:rsidR="00D849AA" w:rsidRPr="00DE6ACB" w:rsidRDefault="00EE6D95">
            <w:pPr>
              <w:rPr>
                <w:rFonts w:ascii="Arial" w:hAnsi="Arial" w:cs="Arial"/>
              </w:rPr>
            </w:pPr>
            <w:r w:rsidRPr="00DE6ACB">
              <w:rPr>
                <w:rFonts w:ascii="Arial" w:hAnsi="Arial" w:cs="Arial"/>
              </w:rPr>
              <w:t>55.661.678</w:t>
            </w:r>
          </w:p>
        </w:tc>
        <w:tc>
          <w:tcPr>
            <w:tcW w:w="1486" w:type="dxa"/>
          </w:tcPr>
          <w:p w:rsidR="00D849AA" w:rsidRPr="00DE6ACB" w:rsidRDefault="00EE6D95">
            <w:pPr>
              <w:rPr>
                <w:rFonts w:ascii="Arial" w:hAnsi="Arial" w:cs="Arial"/>
              </w:rPr>
            </w:pPr>
            <w:r w:rsidRPr="00DE6ACB">
              <w:rPr>
                <w:rFonts w:ascii="Arial" w:hAnsi="Arial" w:cs="Arial"/>
              </w:rPr>
              <w:t>55.258.039</w:t>
            </w:r>
          </w:p>
        </w:tc>
        <w:tc>
          <w:tcPr>
            <w:tcW w:w="1486" w:type="dxa"/>
          </w:tcPr>
          <w:p w:rsidR="00D849AA" w:rsidRPr="00DE6ACB" w:rsidRDefault="00EE6D95">
            <w:pPr>
              <w:rPr>
                <w:rFonts w:ascii="Arial" w:hAnsi="Arial" w:cs="Arial"/>
              </w:rPr>
            </w:pPr>
            <w:r w:rsidRPr="00DE6ACB">
              <w:rPr>
                <w:rFonts w:ascii="Arial" w:hAnsi="Arial" w:cs="Arial"/>
              </w:rPr>
              <w:t>57.625.418</w:t>
            </w:r>
          </w:p>
        </w:tc>
        <w:tc>
          <w:tcPr>
            <w:tcW w:w="1486" w:type="dxa"/>
          </w:tcPr>
          <w:p w:rsidR="00D849AA" w:rsidRPr="00DE6ACB" w:rsidRDefault="00EE6D95">
            <w:pPr>
              <w:rPr>
                <w:rFonts w:ascii="Arial" w:hAnsi="Arial" w:cs="Arial"/>
              </w:rPr>
            </w:pPr>
            <w:r w:rsidRPr="00DE6ACB">
              <w:rPr>
                <w:rFonts w:ascii="Arial" w:hAnsi="Arial" w:cs="Arial"/>
              </w:rPr>
              <w:t>58.114.313</w:t>
            </w:r>
          </w:p>
        </w:tc>
        <w:tc>
          <w:tcPr>
            <w:tcW w:w="1486" w:type="dxa"/>
          </w:tcPr>
          <w:p w:rsidR="00D849AA" w:rsidRPr="00DE6ACB" w:rsidRDefault="00EE6D95">
            <w:pPr>
              <w:rPr>
                <w:rFonts w:ascii="Arial" w:hAnsi="Arial" w:cs="Arial"/>
              </w:rPr>
            </w:pPr>
            <w:r w:rsidRPr="00DE6ACB">
              <w:rPr>
                <w:rFonts w:ascii="Arial" w:hAnsi="Arial" w:cs="Arial"/>
              </w:rPr>
              <w:t>99,3</w:t>
            </w:r>
          </w:p>
        </w:tc>
      </w:tr>
    </w:tbl>
    <w:p w:rsidR="00D849AA" w:rsidRPr="00DE6ACB" w:rsidRDefault="00D849AA">
      <w:pPr>
        <w:jc w:val="left"/>
        <w:rPr>
          <w:rFonts w:ascii="Arial" w:hAnsi="Arial" w:cs="Arial"/>
        </w:rPr>
      </w:pPr>
    </w:p>
    <w:p w:rsidR="00D849AA" w:rsidRDefault="00EE6D95">
      <w:pPr>
        <w:pStyle w:val="Naslov6"/>
      </w:pPr>
      <w:r>
        <w:t>Opis programa</w:t>
      </w:r>
    </w:p>
    <w:p w:rsidR="00D849AA" w:rsidRDefault="00EE6D95">
      <w:pPr>
        <w:pStyle w:val="Normal5"/>
      </w:pPr>
      <w:r>
        <w:t xml:space="preserve">Kroz Program Hrvata izvan Republike Hrvatske,  a u svrhu očuvanja i jačanja hrvatskog identiteta i prosperiteta, kao i zaštite prava i interesa svih hrvatskih građana, ostvaruje se povezivanje Republike Hrvatske i Hrvata izvan Republike Hrvatske. Unutar svog djelokruga DUHIRH štiti prava i interese Hrvata izvan Republike Hrvatske te skrbi za očuvanje i jačanje njihovog identiteta; radi na uspostavljanju, održavanju i promicanju veza s Hrvatima izvan Republike Hrvatske; radi na jačanju suradnje s Hrvatima izvan Republike Hrvatske te obavlja poslove koji se odnose na stvaranje uvjeta za povratak iseljenika/dijaspore u Republiku Hrvatsku i njihovo uključivanje u gospodarski i društveni život u Republici Hrvatskoj. </w:t>
      </w:r>
    </w:p>
    <w:p w:rsidR="00D849AA" w:rsidRDefault="00EE6D95">
      <w:pPr>
        <w:pStyle w:val="Normal5"/>
      </w:pPr>
      <w:r>
        <w:t>U okviru svoje nadležnosti, DUHIRH koordinira i nadzire aktivnosti između nadležnih ministarstava, drugih tijela državne uprave i ostalih nositelja suradnje Republike Hrvatske s Hrvatima izvan Republike Hrvatske.</w:t>
      </w:r>
    </w:p>
    <w:p w:rsidR="00D849AA" w:rsidRDefault="00EE6D95">
      <w:pPr>
        <w:pStyle w:val="Naslov6"/>
      </w:pPr>
      <w:r>
        <w:lastRenderedPageBreak/>
        <w:t>Zakonske i druge pravne osnove</w:t>
      </w:r>
    </w:p>
    <w:p w:rsidR="00D849AA" w:rsidRDefault="00EE6D95">
      <w:pPr>
        <w:pStyle w:val="Normal5"/>
      </w:pPr>
      <w:r>
        <w:t xml:space="preserve">Ustav Republike Hrvatske najviši je pravni temelj posebno članak 10. koji kaže da „Republika Hrvatska štiti prava i interese svojih državljana koji žive i borave i inozemstvu i promiče njihove veze s domovinom. Dijelovima hrvatskog naroda u drugim državama jamči se osobita skrb i zaštita Republike Hrvatske.“Pravni temelj zasniva se i na Strateškim dokumentima Republike Hrvatske kao što su: Strateški okvir za razvoj 2006.-2013.; Strategija održivog razvitka Republike Hrvatske (N.N.30/2009). </w:t>
      </w:r>
    </w:p>
    <w:p w:rsidR="00D849AA" w:rsidRDefault="00EE6D95">
      <w:pPr>
        <w:pStyle w:val="Normal5"/>
      </w:pPr>
      <w:r>
        <w:t>Zadaće i obveze Državnog ureda  za Hrvate izvan Republike Hrvatske proizlaze iz  Zakona o odnosima Republike Hrvatske s Hrvatima izvan Republike Hrvatske (N.N. 124/2011;16/2012), Uredbe o unutarnjem ustrojstvu Državnog ureda za Hrvate izvan Republike Hrvatske (N.N.52/2012). Zakon o Hrvatskoj radioteleviziji - II. PROGRAMSKA NAČELA I OBVEZE - Članak 5.; Zakon o razvojnoj suradnji i humanitarnoj pomoći inozemstvu (NN 146/2008); Nacionalna strategija razvojne suradnje Republike Hrvatske za razdoblje od 2009. do 2014. godine (NN 24/2009)</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Cilj 1. Skrb za očuvanje nacionalnog identiteta Hrvata izvan Republike Hrvatske te njihovo povezivanje s Republikom Hrvatskom</w:t>
      </w:r>
    </w:p>
    <w:p w:rsidR="00D849AA" w:rsidRDefault="00EE6D95">
      <w:pPr>
        <w:pStyle w:val="Normal6"/>
      </w:pPr>
      <w:r>
        <w:t xml:space="preserve">Skrb za očuvanje nacionalnog identiteta svih naraštaja Hrvata izvan Republike Hrvatske te njihovo povezivanje s Republikom Hrvatskom opći je cilj rada i ustroja DUHIRH. S tim ciljem, jačat će se suradnja sa svim oblicima organiziranja Hrvata u svijetu (udruge, organizacije, institucije, kulturni centri, hrvatske katoličke misije i dr.), kao i pružati potpora tim institucijama u svrhu promicanja hrvatskoga jezika, kulture te znanstvene, gospodarske i druge suradnje. Podržavajući ove zajednice, Republika Hrvatska pridonosi njihovom razvoju i boljem položaju u zemljama nastanjenja uvažavajući pri tome sve posebnosti i različite potrebe hrvatskih zajednica izvan Republike Hrvatske.  </w:t>
      </w:r>
    </w:p>
    <w:p w:rsidR="00D849AA" w:rsidRDefault="00EE6D95">
      <w:pPr>
        <w:pStyle w:val="Normal6"/>
      </w:pPr>
      <w:r>
        <w:t xml:space="preserve">Navedeni cilj ostvarivat će se jačanjem  zaštite  prava i interesa Hrvata izvan Republike Hrvatske te jačanjem njihovih zajednica. Skrb o Hrvatima kao jednakopravnom, suverenom i konstitutivnom narodu u Bosni i Hercegovini, uvažavanje statusa hrvatskih autohtonih manjina i ostvarivanje njihovih manjinskih prava te briga za hrvatsko iseljeništvo, njegov pravni, kulturni i jezični položaj, ustavna su obveza Republike Hrvatske koju će u navedenom razdoblju  izvršavati i koordinirati DUHIRH.  </w:t>
      </w:r>
    </w:p>
    <w:p w:rsidR="00D849AA" w:rsidRDefault="00EE6D95">
      <w:pPr>
        <w:pStyle w:val="Normal6"/>
      </w:pPr>
      <w:r>
        <w:t xml:space="preserve">Ovisno o stupnju integriranosti Hrvata izvan Republike Hrvatske u zajednice u kojima žive, DUHIRH će mjere koje poduzima usmjeriti prioritetno ili na očuvanje hrvatskog jezika i kulture, ili na razne oblike pomoći kroz provedbu postojećih međunarodnih ugovora i sklapanje novih te kroz programe i aktivnosti unutar i izvan Republike Hrvatske.  </w:t>
      </w:r>
    </w:p>
    <w:p w:rsidR="00D849AA" w:rsidRDefault="00EE6D95">
      <w:pPr>
        <w:pStyle w:val="Normal6"/>
      </w:pPr>
      <w:r>
        <w:t xml:space="preserve">Ovim se odnosom namjeravaju jačati Hrvatske zajednice izvan Republike Hrvatske, njihov položaj i uloga u sredinama u kojima žive te ujedno aktivno uključiti Hrvate izvan Republike Hrvatske u društveni i politički život Republike Hrvatske.   </w:t>
      </w:r>
    </w:p>
    <w:p w:rsidR="00D849AA" w:rsidRDefault="00EE6D95">
      <w:pPr>
        <w:pStyle w:val="Normal6"/>
      </w:pPr>
      <w:r>
        <w:t xml:space="preserve">S ciljem jačanja i razvoja suradnje s pojedincima, udrugama i institucijama Hrvata izvan Republike Hrvatske DUIRH će u skladu s Zakonom o odnosima s Hrvatima izvan Republike Hrvatske razvijati i podupirati suradnju na području kulture, obrazovanja, znanosti,športa, gospodarstva, zdravstva kao i u drugim područjima. </w:t>
      </w:r>
    </w:p>
    <w:p w:rsidR="00D849AA" w:rsidRDefault="00EE6D95">
      <w:pPr>
        <w:pStyle w:val="Normal6"/>
      </w:pPr>
      <w:r>
        <w:t xml:space="preserve">Povratak hrvatskih iseljenika i useljavanje njihovih potomaka te istodobno smanjenje iseljavanja iz Republike Hrvatske jedna je od ključnih mjera demografske obnove Republike Hrvatske te nezaobilazna aktivnost i posebni cilj postavljen pred DUHIRH.  </w:t>
      </w:r>
    </w:p>
    <w:p w:rsidR="00D849AA" w:rsidRDefault="00EE6D95">
      <w:pPr>
        <w:pStyle w:val="Normal6"/>
      </w:pPr>
      <w:r>
        <w:lastRenderedPageBreak/>
        <w:t xml:space="preserve">Useljenička politika s jasnim ciljevima promicanja humanih, socijalnih, demografskih, kulturnih i gospodarskih interesa prioritetna je za povratak hrvatskih iseljenika i njihovih potomaka. </w:t>
      </w:r>
    </w:p>
    <w:p w:rsidR="00D849AA" w:rsidRDefault="00EE6D95">
      <w:pPr>
        <w:pStyle w:val="Normal6"/>
      </w:pPr>
      <w:r>
        <w:t xml:space="preserve">Stoga će DUHIRH u ispunjenju ovog zadatka olakšati uvjete održivog povratka svim Hrvatima a posebno onima koji su u iseljeništvu stekli znanja, vještine i iskustvo, radi ostvarivanja zajedničkih interesa, temeljenih na Zakonu. </w:t>
      </w:r>
    </w:p>
    <w:p w:rsidR="00D849AA" w:rsidRDefault="00EE6D95">
      <w:pPr>
        <w:pStyle w:val="Normal6"/>
      </w:pPr>
      <w:r>
        <w:t>Ciljevi Državnog ureda za Hrvate izvan Republike Hrvatske ostvarivat će se kroz slijedeće aktivnost/projekte za koje se osiguravaju sredstva u Državnom proračun.</w:t>
      </w:r>
    </w:p>
    <w:p w:rsidR="00D849AA" w:rsidRDefault="00EE6D95">
      <w:pPr>
        <w:pStyle w:val="Naslov5"/>
      </w:pPr>
      <w:r>
        <w:t>Procjena i ishodište potrebnih sredstava za značajnije aktivnosti/projekte</w:t>
      </w:r>
    </w:p>
    <w:p w:rsidR="00D849AA" w:rsidRDefault="00EE6D95">
      <w:pPr>
        <w:pStyle w:val="Naslov6"/>
      </w:pPr>
      <w:r>
        <w:t>A565026 MEĐUNARODNI PROGRAM HRVATSKOG RADIJA "GLAS HRVATSKE"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DE6ACB" w:rsidRDefault="00EE6D95">
            <w:pPr>
              <w:pStyle w:val="CellHeader"/>
            </w:pPr>
            <w:r w:rsidRPr="00DE6ACB">
              <w:t>Naziv aktivnosti</w:t>
            </w:r>
          </w:p>
        </w:tc>
        <w:tc>
          <w:tcPr>
            <w:tcW w:w="1486" w:type="dxa"/>
            <w:shd w:val="clear" w:color="auto" w:fill="B5C0D8"/>
          </w:tcPr>
          <w:p w:rsidR="00D849AA" w:rsidRPr="00DE6ACB" w:rsidRDefault="00EE6D95">
            <w:pPr>
              <w:pStyle w:val="CellHeader"/>
            </w:pPr>
            <w:r w:rsidRPr="00DE6ACB">
              <w:t>Plan 2013.</w:t>
            </w:r>
          </w:p>
        </w:tc>
        <w:tc>
          <w:tcPr>
            <w:tcW w:w="1486" w:type="dxa"/>
            <w:shd w:val="clear" w:color="auto" w:fill="B5C0D8"/>
          </w:tcPr>
          <w:p w:rsidR="00D849AA" w:rsidRPr="00DE6ACB" w:rsidRDefault="00EE6D95">
            <w:pPr>
              <w:pStyle w:val="CellHeader"/>
            </w:pPr>
            <w:r w:rsidRPr="00DE6ACB">
              <w:t>Plan 2014.</w:t>
            </w:r>
          </w:p>
        </w:tc>
        <w:tc>
          <w:tcPr>
            <w:tcW w:w="1486" w:type="dxa"/>
            <w:shd w:val="clear" w:color="auto" w:fill="B5C0D8"/>
          </w:tcPr>
          <w:p w:rsidR="00D849AA" w:rsidRPr="00DE6ACB" w:rsidRDefault="00EE6D95">
            <w:pPr>
              <w:pStyle w:val="CellHeader"/>
            </w:pPr>
            <w:r w:rsidRPr="00DE6ACB">
              <w:t>Plan 2015.</w:t>
            </w:r>
          </w:p>
        </w:tc>
        <w:tc>
          <w:tcPr>
            <w:tcW w:w="1486" w:type="dxa"/>
            <w:shd w:val="clear" w:color="auto" w:fill="B5C0D8"/>
          </w:tcPr>
          <w:p w:rsidR="00D849AA" w:rsidRPr="00DE6ACB" w:rsidRDefault="00EE6D95">
            <w:pPr>
              <w:pStyle w:val="CellHeader"/>
            </w:pPr>
            <w:r w:rsidRPr="00DE6ACB">
              <w:t>Plan 2016.</w:t>
            </w:r>
          </w:p>
        </w:tc>
        <w:tc>
          <w:tcPr>
            <w:tcW w:w="1486" w:type="dxa"/>
            <w:shd w:val="clear" w:color="auto" w:fill="B5C0D8"/>
          </w:tcPr>
          <w:p w:rsidR="00D849AA" w:rsidRPr="00DE6ACB" w:rsidRDefault="00EE6D95">
            <w:pPr>
              <w:pStyle w:val="CellHeader"/>
            </w:pPr>
            <w:r w:rsidRPr="00DE6ACB">
              <w:t>Indeks 2014/2013</w:t>
            </w:r>
          </w:p>
        </w:tc>
      </w:tr>
      <w:tr w:rsidR="00D849AA">
        <w:trPr>
          <w:jc w:val="center"/>
        </w:trPr>
        <w:tc>
          <w:tcPr>
            <w:tcW w:w="1486" w:type="dxa"/>
          </w:tcPr>
          <w:p w:rsidR="00D849AA" w:rsidRPr="00DE6ACB" w:rsidRDefault="00EE6D95">
            <w:pPr>
              <w:pStyle w:val="CellColumn"/>
            </w:pPr>
            <w:r w:rsidRPr="00DE6ACB">
              <w:t>A565026</w:t>
            </w:r>
          </w:p>
        </w:tc>
        <w:tc>
          <w:tcPr>
            <w:tcW w:w="1486" w:type="dxa"/>
          </w:tcPr>
          <w:p w:rsidR="00D849AA" w:rsidRPr="00DE6ACB" w:rsidRDefault="00EE6D95">
            <w:pPr>
              <w:rPr>
                <w:rFonts w:ascii="Arial" w:hAnsi="Arial" w:cs="Arial"/>
              </w:rPr>
            </w:pPr>
            <w:r w:rsidRPr="00DE6ACB">
              <w:rPr>
                <w:rFonts w:ascii="Arial" w:hAnsi="Arial" w:cs="Arial"/>
              </w:rPr>
              <w:t>10.000.000</w:t>
            </w:r>
          </w:p>
        </w:tc>
        <w:tc>
          <w:tcPr>
            <w:tcW w:w="1486" w:type="dxa"/>
          </w:tcPr>
          <w:p w:rsidR="00D849AA" w:rsidRPr="00DE6ACB" w:rsidRDefault="00EE6D95">
            <w:pPr>
              <w:rPr>
                <w:rFonts w:ascii="Arial" w:hAnsi="Arial" w:cs="Arial"/>
              </w:rPr>
            </w:pPr>
            <w:r w:rsidRPr="00DE6ACB">
              <w:rPr>
                <w:rFonts w:ascii="Arial" w:hAnsi="Arial" w:cs="Arial"/>
              </w:rPr>
              <w:t>10.000.000</w:t>
            </w:r>
          </w:p>
        </w:tc>
        <w:tc>
          <w:tcPr>
            <w:tcW w:w="1486" w:type="dxa"/>
          </w:tcPr>
          <w:p w:rsidR="00D849AA" w:rsidRPr="00DE6ACB" w:rsidRDefault="00EE6D95">
            <w:pPr>
              <w:rPr>
                <w:rFonts w:ascii="Arial" w:hAnsi="Arial" w:cs="Arial"/>
              </w:rPr>
            </w:pPr>
            <w:r w:rsidRPr="00DE6ACB">
              <w:rPr>
                <w:rFonts w:ascii="Arial" w:hAnsi="Arial" w:cs="Arial"/>
              </w:rPr>
              <w:t>10.000.000</w:t>
            </w:r>
          </w:p>
        </w:tc>
        <w:tc>
          <w:tcPr>
            <w:tcW w:w="1486" w:type="dxa"/>
          </w:tcPr>
          <w:p w:rsidR="00D849AA" w:rsidRPr="00DE6ACB" w:rsidRDefault="00EE6D95">
            <w:pPr>
              <w:rPr>
                <w:rFonts w:ascii="Arial" w:hAnsi="Arial" w:cs="Arial"/>
              </w:rPr>
            </w:pPr>
            <w:r w:rsidRPr="00DE6ACB">
              <w:rPr>
                <w:rFonts w:ascii="Arial" w:hAnsi="Arial" w:cs="Arial"/>
              </w:rPr>
              <w:t>10.000.000</w:t>
            </w:r>
          </w:p>
        </w:tc>
        <w:tc>
          <w:tcPr>
            <w:tcW w:w="1486" w:type="dxa"/>
          </w:tcPr>
          <w:p w:rsidR="00D849AA" w:rsidRPr="00DE6ACB" w:rsidRDefault="00EE6D95">
            <w:pPr>
              <w:rPr>
                <w:rFonts w:ascii="Arial" w:hAnsi="Arial" w:cs="Arial"/>
              </w:rPr>
            </w:pPr>
            <w:r w:rsidRPr="00DE6ACB">
              <w:rPr>
                <w:rFonts w:ascii="Arial" w:hAnsi="Arial" w:cs="Arial"/>
              </w:rPr>
              <w:t>100,0</w:t>
            </w:r>
          </w:p>
        </w:tc>
      </w:tr>
    </w:tbl>
    <w:p w:rsidR="00D849AA" w:rsidRDefault="00D849AA">
      <w:pPr>
        <w:jc w:val="left"/>
      </w:pPr>
    </w:p>
    <w:p w:rsidR="00D849AA" w:rsidRDefault="00EE6D95">
      <w:pPr>
        <w:pStyle w:val="Normal6"/>
      </w:pPr>
      <w:r>
        <w:t xml:space="preserve">Glas Hrvatske je dvadeset i četiri satni međunarodni višejezični program Hrvatskoga radija namijenjen informiranju Hrvata koji žive izvan Republike Hrvatske, nacionalnih manjina u Hrvatskoj i međunarodne javnosti. Taj program sustavno i sveobuhvatno izvještava o aktualnim društvenim i političkim zbivanjima u domovini - o hrvatskoj baštini, zbivanjima u kulturi te prenosi najvažnije sportske događaje itd. Glas Hrvatske je radijska inačica Slike Hrvatske. </w:t>
      </w:r>
    </w:p>
    <w:p w:rsidR="00D849AA" w:rsidRDefault="00EE6D95">
      <w:pPr>
        <w:pStyle w:val="Normal6"/>
      </w:pPr>
      <w:r>
        <w:t xml:space="preserve">Cilj je stvaranje neovisne pozitivne slike o RH, promicanje Hrvatske u svijetu – turistički, politički i društveno, čuvanje hrvatske kulturne i jezične baštine, učenje hrvatskog jezika, i poticanje mladih na povratak i život u RH.   </w:t>
      </w:r>
    </w:p>
    <w:p w:rsidR="00D849AA" w:rsidRDefault="00EE6D95">
      <w:pPr>
        <w:pStyle w:val="Normal6"/>
      </w:pPr>
      <w:r>
        <w:t xml:space="preserve">U ovo doba gospodarske krize posebno je važna dobra povezanost iseljene i domovinske Hrvatske. Stvaranjem realne slike o Hrvatskoj ovaj višejezični program će pozitivno utjecati na ulaganja Hrvata izvan Republike Hrvatske u RH, na bolje rezultate hrvatskog gospodarstva i turizma i na poboljšanje demografskih vrijednosti.  </w:t>
      </w:r>
    </w:p>
    <w:p w:rsidR="00D849AA" w:rsidRDefault="00EE6D95">
      <w:pPr>
        <w:pStyle w:val="Normal6"/>
      </w:pPr>
      <w:r>
        <w:t>Glas Hrvatske zajednički je projekt HRT-a i hrvatske Vlade. Očekuje se čvrsta suradnja Uprave HRT s Državnim uredom za Hrvate izvan Republike Hrvatske u kreiranju i provođenju zajedničkih projekata.</w:t>
      </w:r>
    </w:p>
    <w:p w:rsidR="00D849AA" w:rsidRDefault="00EE6D95">
      <w:pPr>
        <w:pStyle w:val="Naslov6"/>
      </w:pPr>
      <w:r>
        <w:t>A570036 SATELITSKI TV PROGRAM ZA SJEVERNU AMERIKU</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DE6ACB" w:rsidRDefault="00EE6D95">
            <w:pPr>
              <w:pStyle w:val="CellHeader"/>
            </w:pPr>
            <w:r w:rsidRPr="00DE6ACB">
              <w:t>Naziv aktivnosti</w:t>
            </w:r>
          </w:p>
        </w:tc>
        <w:tc>
          <w:tcPr>
            <w:tcW w:w="1486" w:type="dxa"/>
            <w:shd w:val="clear" w:color="auto" w:fill="B5C0D8"/>
          </w:tcPr>
          <w:p w:rsidR="00D849AA" w:rsidRPr="00DE6ACB" w:rsidRDefault="00EE6D95">
            <w:pPr>
              <w:pStyle w:val="CellHeader"/>
            </w:pPr>
            <w:r w:rsidRPr="00DE6ACB">
              <w:t>Plan 2013.</w:t>
            </w:r>
          </w:p>
        </w:tc>
        <w:tc>
          <w:tcPr>
            <w:tcW w:w="1486" w:type="dxa"/>
            <w:shd w:val="clear" w:color="auto" w:fill="B5C0D8"/>
          </w:tcPr>
          <w:p w:rsidR="00D849AA" w:rsidRPr="00DE6ACB" w:rsidRDefault="00EE6D95">
            <w:pPr>
              <w:pStyle w:val="CellHeader"/>
            </w:pPr>
            <w:r w:rsidRPr="00DE6ACB">
              <w:t>Plan 2014.</w:t>
            </w:r>
          </w:p>
        </w:tc>
        <w:tc>
          <w:tcPr>
            <w:tcW w:w="1486" w:type="dxa"/>
            <w:shd w:val="clear" w:color="auto" w:fill="B5C0D8"/>
          </w:tcPr>
          <w:p w:rsidR="00D849AA" w:rsidRPr="00DE6ACB" w:rsidRDefault="00EE6D95">
            <w:pPr>
              <w:pStyle w:val="CellHeader"/>
            </w:pPr>
            <w:r w:rsidRPr="00DE6ACB">
              <w:t>Plan 2015.</w:t>
            </w:r>
          </w:p>
        </w:tc>
        <w:tc>
          <w:tcPr>
            <w:tcW w:w="1486" w:type="dxa"/>
            <w:shd w:val="clear" w:color="auto" w:fill="B5C0D8"/>
          </w:tcPr>
          <w:p w:rsidR="00D849AA" w:rsidRPr="00DE6ACB" w:rsidRDefault="00EE6D95">
            <w:pPr>
              <w:pStyle w:val="CellHeader"/>
            </w:pPr>
            <w:r w:rsidRPr="00DE6ACB">
              <w:t>Plan 2016.</w:t>
            </w:r>
          </w:p>
        </w:tc>
        <w:tc>
          <w:tcPr>
            <w:tcW w:w="1486" w:type="dxa"/>
            <w:shd w:val="clear" w:color="auto" w:fill="B5C0D8"/>
          </w:tcPr>
          <w:p w:rsidR="00D849AA" w:rsidRPr="00DE6ACB" w:rsidRDefault="00EE6D95">
            <w:pPr>
              <w:pStyle w:val="CellHeader"/>
            </w:pPr>
            <w:r w:rsidRPr="00DE6ACB">
              <w:t>Indeks 2014/2013</w:t>
            </w:r>
          </w:p>
        </w:tc>
      </w:tr>
      <w:tr w:rsidR="00D849AA">
        <w:trPr>
          <w:jc w:val="center"/>
        </w:trPr>
        <w:tc>
          <w:tcPr>
            <w:tcW w:w="1486" w:type="dxa"/>
          </w:tcPr>
          <w:p w:rsidR="00D849AA" w:rsidRPr="00DE6ACB" w:rsidRDefault="00EE6D95">
            <w:pPr>
              <w:pStyle w:val="CellColumn"/>
            </w:pPr>
            <w:r w:rsidRPr="00DE6ACB">
              <w:t>A570036</w:t>
            </w:r>
          </w:p>
        </w:tc>
        <w:tc>
          <w:tcPr>
            <w:tcW w:w="1486" w:type="dxa"/>
          </w:tcPr>
          <w:p w:rsidR="00D849AA" w:rsidRPr="00DE6ACB" w:rsidRDefault="00EE6D95">
            <w:pPr>
              <w:rPr>
                <w:rFonts w:ascii="Arial" w:hAnsi="Arial" w:cs="Arial"/>
              </w:rPr>
            </w:pPr>
            <w:r w:rsidRPr="00DE6ACB">
              <w:rPr>
                <w:rFonts w:ascii="Arial" w:hAnsi="Arial" w:cs="Arial"/>
              </w:rPr>
              <w:t>3.300.000</w:t>
            </w:r>
          </w:p>
        </w:tc>
        <w:tc>
          <w:tcPr>
            <w:tcW w:w="1486" w:type="dxa"/>
          </w:tcPr>
          <w:p w:rsidR="00D849AA" w:rsidRPr="00DE6ACB" w:rsidRDefault="00EE6D95">
            <w:pPr>
              <w:rPr>
                <w:rFonts w:ascii="Arial" w:hAnsi="Arial" w:cs="Arial"/>
              </w:rPr>
            </w:pPr>
            <w:r w:rsidRPr="00DE6ACB">
              <w:rPr>
                <w:rFonts w:ascii="Arial" w:hAnsi="Arial" w:cs="Arial"/>
              </w:rPr>
              <w:t>3.300.000</w:t>
            </w:r>
          </w:p>
        </w:tc>
        <w:tc>
          <w:tcPr>
            <w:tcW w:w="1486" w:type="dxa"/>
          </w:tcPr>
          <w:p w:rsidR="00D849AA" w:rsidRPr="00DE6ACB" w:rsidRDefault="00EE6D95">
            <w:pPr>
              <w:rPr>
                <w:rFonts w:ascii="Arial" w:hAnsi="Arial" w:cs="Arial"/>
              </w:rPr>
            </w:pPr>
            <w:r w:rsidRPr="00DE6ACB">
              <w:rPr>
                <w:rFonts w:ascii="Arial" w:hAnsi="Arial" w:cs="Arial"/>
              </w:rPr>
              <w:t>3.300.000</w:t>
            </w:r>
          </w:p>
        </w:tc>
        <w:tc>
          <w:tcPr>
            <w:tcW w:w="1486" w:type="dxa"/>
          </w:tcPr>
          <w:p w:rsidR="00D849AA" w:rsidRPr="00DE6ACB" w:rsidRDefault="00EE6D95">
            <w:pPr>
              <w:rPr>
                <w:rFonts w:ascii="Arial" w:hAnsi="Arial" w:cs="Arial"/>
              </w:rPr>
            </w:pPr>
            <w:r w:rsidRPr="00DE6ACB">
              <w:rPr>
                <w:rFonts w:ascii="Arial" w:hAnsi="Arial" w:cs="Arial"/>
              </w:rPr>
              <w:t>3.300.000</w:t>
            </w:r>
          </w:p>
        </w:tc>
        <w:tc>
          <w:tcPr>
            <w:tcW w:w="1486" w:type="dxa"/>
          </w:tcPr>
          <w:p w:rsidR="00D849AA" w:rsidRPr="00DE6ACB" w:rsidRDefault="00EE6D95">
            <w:pPr>
              <w:rPr>
                <w:rFonts w:ascii="Arial" w:hAnsi="Arial" w:cs="Arial"/>
              </w:rPr>
            </w:pPr>
            <w:r w:rsidRPr="00DE6ACB">
              <w:rPr>
                <w:rFonts w:ascii="Arial" w:hAnsi="Arial" w:cs="Arial"/>
              </w:rPr>
              <w:t>100,0</w:t>
            </w:r>
          </w:p>
        </w:tc>
      </w:tr>
    </w:tbl>
    <w:p w:rsidR="00D849AA" w:rsidRDefault="00D849AA">
      <w:pPr>
        <w:jc w:val="left"/>
      </w:pPr>
    </w:p>
    <w:p w:rsidR="00D849AA" w:rsidRDefault="00EE6D95">
      <w:pPr>
        <w:pStyle w:val="Normal6"/>
      </w:pPr>
      <w:r>
        <w:t xml:space="preserve">Riječ je o kodiranom satelitskom TV programu Slika Hrvatske namijenjenom hrvatskim iseljenicima diljem svijeta, ponajprije Hrvatima u Sjevernoj i Južnoj Americi, Australiji i na Novom Zelandu. Cilj je stvaranje neovisne pozitivne slike o RH, političkog i društvenog ugleda Hrvatske, stvaranje poželjne gospodarske destinacije, napraviti globalni brand te stvoriti čvrste veze s Hrvatima izvan Republike Hrvatske. </w:t>
      </w:r>
    </w:p>
    <w:p w:rsidR="00D849AA" w:rsidRDefault="00EE6D95">
      <w:pPr>
        <w:pStyle w:val="Normal6"/>
      </w:pPr>
      <w:r>
        <w:lastRenderedPageBreak/>
        <w:t xml:space="preserve">Stvaranjem realne slike o Hrvatskoj ovaj multimedijalni program će pozitivno utjecati na ulaganja Hrvata izvan Republike Hrvatske, na bolje rezultate hrvatskog gospodarstva i turizma, na poboljšanje demografskih vrijednosti te će Hrvatima u inozemstvu približiti kulturni i društveni život Republike Hrvatske i neizravno poticati na povratak. Državni ured za Hrvate izvan RH stvorit će institucionalni partnerski odnos s HRT što će uvelike olakšati ostvarenje planiranih aktivnosti. </w:t>
      </w:r>
    </w:p>
    <w:p w:rsidR="00D849AA" w:rsidRDefault="00EE6D95">
      <w:pPr>
        <w:pStyle w:val="Normal6"/>
      </w:pPr>
      <w:r>
        <w:t xml:space="preserve">Hrvatska radiotelevizija, kao javna ustanova, na temelju svojih zakonskih obveza, izrađuje plan i program rada za radio, televiziju i javne radiodifuzijske usluge za Hrvate izvan Republike Hrvatske te usklađuje termine emitiranja i čini ih dostupnima. Informiranje Hrvata izvan Republike Hrvatske i promocija Republike Hrvatske u svijetu od javnog je interesa, te će Hrvatska radiotelevizija proizvoditi i objavljivati multimedijalni program s višejezičnim televizijskim i radijskim sadržajima što će se urediti ugovorom između Vlade Republike Hrvatske i Hrvatske radiotelevizije. </w:t>
      </w:r>
    </w:p>
    <w:p w:rsidR="00D849AA" w:rsidRDefault="00EE6D95">
      <w:pPr>
        <w:pStyle w:val="Normal6"/>
      </w:pPr>
      <w:r>
        <w:t>U ostvarivanju programskih načela, HR i HTV će osobito: – proizvoditi i/ili objavljivati emisije namijenjene informiranju pripadnika hrvatskoga naroda izvan Republike Hrvatske.</w:t>
      </w:r>
    </w:p>
    <w:p w:rsidR="00D849AA" w:rsidRDefault="00EE6D95">
      <w:pPr>
        <w:pStyle w:val="Naslov6"/>
      </w:pPr>
      <w:r>
        <w:t>A862007 STIPENDIJE ZA STUDENTE I UČENIKE PRIPADNIKE HRVATSKOG NARODA IZVAN REPUBLIKE HRVATSKE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rsidRPr="00DE6ACB">
        <w:trPr>
          <w:jc w:val="center"/>
        </w:trPr>
        <w:tc>
          <w:tcPr>
            <w:tcW w:w="1486" w:type="dxa"/>
            <w:shd w:val="clear" w:color="auto" w:fill="B5C0D8"/>
          </w:tcPr>
          <w:p w:rsidR="00D849AA" w:rsidRPr="00DE6ACB" w:rsidRDefault="00EE6D95">
            <w:pPr>
              <w:pStyle w:val="CellHeader"/>
            </w:pPr>
            <w:r w:rsidRPr="00DE6ACB">
              <w:t>Naziv aktivnosti</w:t>
            </w:r>
          </w:p>
        </w:tc>
        <w:tc>
          <w:tcPr>
            <w:tcW w:w="1486" w:type="dxa"/>
            <w:shd w:val="clear" w:color="auto" w:fill="B5C0D8"/>
          </w:tcPr>
          <w:p w:rsidR="00D849AA" w:rsidRPr="00DE6ACB" w:rsidRDefault="00EE6D95">
            <w:pPr>
              <w:pStyle w:val="CellHeader"/>
            </w:pPr>
            <w:r w:rsidRPr="00DE6ACB">
              <w:t>Plan 2013.</w:t>
            </w:r>
          </w:p>
        </w:tc>
        <w:tc>
          <w:tcPr>
            <w:tcW w:w="1486" w:type="dxa"/>
            <w:shd w:val="clear" w:color="auto" w:fill="B5C0D8"/>
          </w:tcPr>
          <w:p w:rsidR="00D849AA" w:rsidRPr="00DE6ACB" w:rsidRDefault="00EE6D95">
            <w:pPr>
              <w:pStyle w:val="CellHeader"/>
            </w:pPr>
            <w:r w:rsidRPr="00DE6ACB">
              <w:t>Plan 2014.</w:t>
            </w:r>
          </w:p>
        </w:tc>
        <w:tc>
          <w:tcPr>
            <w:tcW w:w="1486" w:type="dxa"/>
            <w:shd w:val="clear" w:color="auto" w:fill="B5C0D8"/>
          </w:tcPr>
          <w:p w:rsidR="00D849AA" w:rsidRPr="00DE6ACB" w:rsidRDefault="00EE6D95">
            <w:pPr>
              <w:pStyle w:val="CellHeader"/>
            </w:pPr>
            <w:r w:rsidRPr="00DE6ACB">
              <w:t>Plan 2015.</w:t>
            </w:r>
          </w:p>
        </w:tc>
        <w:tc>
          <w:tcPr>
            <w:tcW w:w="1486" w:type="dxa"/>
            <w:shd w:val="clear" w:color="auto" w:fill="B5C0D8"/>
          </w:tcPr>
          <w:p w:rsidR="00D849AA" w:rsidRPr="00DE6ACB" w:rsidRDefault="00EE6D95">
            <w:pPr>
              <w:pStyle w:val="CellHeader"/>
            </w:pPr>
            <w:r w:rsidRPr="00DE6ACB">
              <w:t>Plan 2016.</w:t>
            </w:r>
          </w:p>
        </w:tc>
        <w:tc>
          <w:tcPr>
            <w:tcW w:w="1486" w:type="dxa"/>
            <w:shd w:val="clear" w:color="auto" w:fill="B5C0D8"/>
          </w:tcPr>
          <w:p w:rsidR="00D849AA" w:rsidRPr="00DE6ACB" w:rsidRDefault="00EE6D95">
            <w:pPr>
              <w:pStyle w:val="CellHeader"/>
            </w:pPr>
            <w:r w:rsidRPr="00DE6ACB">
              <w:t>Indeks 2014/2013</w:t>
            </w:r>
          </w:p>
        </w:tc>
      </w:tr>
      <w:tr w:rsidR="00D849AA" w:rsidRPr="00DE6ACB">
        <w:trPr>
          <w:jc w:val="center"/>
        </w:trPr>
        <w:tc>
          <w:tcPr>
            <w:tcW w:w="1486" w:type="dxa"/>
          </w:tcPr>
          <w:p w:rsidR="00D849AA" w:rsidRPr="00DE6ACB" w:rsidRDefault="00EE6D95">
            <w:pPr>
              <w:pStyle w:val="CellColumn"/>
            </w:pPr>
            <w:r w:rsidRPr="00DE6ACB">
              <w:t>A862007</w:t>
            </w:r>
          </w:p>
        </w:tc>
        <w:tc>
          <w:tcPr>
            <w:tcW w:w="1486" w:type="dxa"/>
          </w:tcPr>
          <w:p w:rsidR="00D849AA" w:rsidRPr="00DE6ACB" w:rsidRDefault="00EE6D95">
            <w:pPr>
              <w:rPr>
                <w:rFonts w:ascii="Arial" w:hAnsi="Arial" w:cs="Arial"/>
              </w:rPr>
            </w:pPr>
            <w:r w:rsidRPr="00DE6ACB">
              <w:rPr>
                <w:rFonts w:ascii="Arial" w:hAnsi="Arial" w:cs="Arial"/>
              </w:rPr>
              <w:t>280.000</w:t>
            </w:r>
          </w:p>
        </w:tc>
        <w:tc>
          <w:tcPr>
            <w:tcW w:w="1486" w:type="dxa"/>
          </w:tcPr>
          <w:p w:rsidR="00D849AA" w:rsidRPr="00DE6ACB" w:rsidRDefault="00EE6D95">
            <w:pPr>
              <w:rPr>
                <w:rFonts w:ascii="Arial" w:hAnsi="Arial" w:cs="Arial"/>
              </w:rPr>
            </w:pPr>
            <w:r w:rsidRPr="00DE6ACB">
              <w:rPr>
                <w:rFonts w:ascii="Arial" w:hAnsi="Arial" w:cs="Arial"/>
              </w:rPr>
              <w:t>281.200</w:t>
            </w:r>
          </w:p>
        </w:tc>
        <w:tc>
          <w:tcPr>
            <w:tcW w:w="1486" w:type="dxa"/>
          </w:tcPr>
          <w:p w:rsidR="00D849AA" w:rsidRPr="00DE6ACB" w:rsidRDefault="00EE6D95">
            <w:pPr>
              <w:rPr>
                <w:rFonts w:ascii="Arial" w:hAnsi="Arial" w:cs="Arial"/>
              </w:rPr>
            </w:pPr>
            <w:r w:rsidRPr="00DE6ACB">
              <w:rPr>
                <w:rFonts w:ascii="Arial" w:hAnsi="Arial" w:cs="Arial"/>
              </w:rPr>
              <w:t>281.200</w:t>
            </w:r>
          </w:p>
        </w:tc>
        <w:tc>
          <w:tcPr>
            <w:tcW w:w="1486" w:type="dxa"/>
          </w:tcPr>
          <w:p w:rsidR="00D849AA" w:rsidRPr="00DE6ACB" w:rsidRDefault="00EE6D95">
            <w:pPr>
              <w:rPr>
                <w:rFonts w:ascii="Arial" w:hAnsi="Arial" w:cs="Arial"/>
              </w:rPr>
            </w:pPr>
            <w:r w:rsidRPr="00DE6ACB">
              <w:rPr>
                <w:rFonts w:ascii="Arial" w:hAnsi="Arial" w:cs="Arial"/>
              </w:rPr>
              <w:t>281.200</w:t>
            </w:r>
          </w:p>
        </w:tc>
        <w:tc>
          <w:tcPr>
            <w:tcW w:w="1486" w:type="dxa"/>
          </w:tcPr>
          <w:p w:rsidR="00D849AA" w:rsidRPr="00DE6ACB" w:rsidRDefault="00EE6D95">
            <w:pPr>
              <w:rPr>
                <w:rFonts w:ascii="Arial" w:hAnsi="Arial" w:cs="Arial"/>
              </w:rPr>
            </w:pPr>
            <w:r w:rsidRPr="00DE6ACB">
              <w:rPr>
                <w:rFonts w:ascii="Arial" w:hAnsi="Arial" w:cs="Arial"/>
              </w:rPr>
              <w:t>100,4</w:t>
            </w:r>
          </w:p>
        </w:tc>
      </w:tr>
    </w:tbl>
    <w:p w:rsidR="00D849AA" w:rsidRDefault="00D849AA">
      <w:pPr>
        <w:jc w:val="left"/>
      </w:pPr>
    </w:p>
    <w:p w:rsidR="00D849AA" w:rsidRDefault="00EE6D95">
      <w:pPr>
        <w:pStyle w:val="Normal6"/>
      </w:pPr>
      <w:r>
        <w:t xml:space="preserve">Ciljevi koji se postižu ovim programom jesu promicanje i učvršćivanje svekolike povezanosti Hrvata izvan RH s Republikom Hrvatskom, što doprinosi ostvarenju duhovnog jedinstva i kulturnog zajedništva. </w:t>
      </w:r>
    </w:p>
    <w:p w:rsidR="00D849AA" w:rsidRDefault="00EE6D95">
      <w:pPr>
        <w:pStyle w:val="Normal6"/>
      </w:pPr>
      <w:r>
        <w:t xml:space="preserve">Temeljem Pravilnika o stipendiranju učenika i studenata u RH od 23. svibnja 2012., Državni ured za Hrvate izvan Republike Hrvatske dodjeljuje stipendije pripadnicima hrvatskog naroda izvan Republike Hrvatske, koji pohađaju srednje škole ili visoka učilišta na području Republike Hrvatske. Pravo na stipendiju ostvaruje se putem javnog natječaja prema utvrđenim kriterijima za dodjeljivanje stipendija. Odluku o dodjeli stipendija donosi Predstojnica Državnog ureda na prijedlog Povjerenstva, sukladno raspoloživim financijskim sredstvima za tu namjenu. </w:t>
      </w:r>
    </w:p>
    <w:p w:rsidR="00D849AA" w:rsidRDefault="00EE6D95">
      <w:pPr>
        <w:pStyle w:val="Normal6"/>
      </w:pPr>
      <w:r>
        <w:t xml:space="preserve">Pripadnicima hrvatskog naroda izvan Republike Hrvatske koji studiraju na području RH odobrava se smještaj u studentske domove Studentskog centra Sveučilišta u Zagrebu, u okviru predviđenih 80 mjesta za pripadnike hrvatskoga naroda s prebivalištem izvan RH, a sukladno internom Pravilniku Državnog ureda kojim se uređuju prava i obveze kandidata za smještaj u domove. </w:t>
      </w:r>
    </w:p>
    <w:p w:rsidR="00D849AA" w:rsidRDefault="00EE6D95">
      <w:pPr>
        <w:pStyle w:val="Normal6"/>
      </w:pPr>
      <w:r>
        <w:t xml:space="preserve">Tečaj učenja hrvatskog jezika Croaticum organizira Filozofski fakultet - Odsjek za kroatistiku Sveučilišta u Zagrebu, a Državni ured za Hrvate izvan Republike Hrvatske, temeljem Pravilnika od 23. svibnja 2012., preuzima obvezu plaćanja školarine u trajanju do dva semestra za kandidate hrvatskog podrijetla s prebivalištem izvan Republike Hrvatske. Pravo na školarinu ostvaruje se putem Javnog poziva za dodjelu naknade za učenje hrvatskog jezika, na koji se prijavljuju potomci hrvatskih iseljenika iz cijelog svijeta, a ponajviše iz zemalja Južne Amerike. Odluku o dodjeli naknada donosi Predstojnica Državnog ureda, na prijedlog Povjerenstva.  </w:t>
      </w:r>
    </w:p>
    <w:p w:rsidR="00D849AA" w:rsidRDefault="00EE6D95">
      <w:pPr>
        <w:pStyle w:val="Normal6"/>
      </w:pPr>
      <w:r>
        <w:t xml:space="preserve">Državni ured također snosi troškove korištenja subvencionirane prehrane u studentskim restoranima (jedan obrok dnevno) koju organizira Ministarstvo znanosti, prosvjete i sporta, za sve polaznike tečaja „Croaticum“.  </w:t>
      </w:r>
    </w:p>
    <w:p w:rsidR="00D849AA" w:rsidRDefault="00EE6D95">
      <w:pPr>
        <w:pStyle w:val="Normal6"/>
      </w:pPr>
      <w:r>
        <w:lastRenderedPageBreak/>
        <w:t xml:space="preserve">Osim navedenog, svim polaznicima do 30 godina starosti osigurava se smještaj.   </w:t>
      </w:r>
    </w:p>
    <w:p w:rsidR="00D849AA" w:rsidRDefault="00EE6D95">
      <w:pPr>
        <w:pStyle w:val="Normal6"/>
      </w:pPr>
      <w:r>
        <w:t xml:space="preserve">Kandidatima kojima je odobrena naknada za učenje hrvatskoga jezika u Zagrebu, Državni ured  osigurava subvencionirani smještaj u studentskim domovim u Zagrebu. Ta pogodnost se ostvaruje slijedom prethodnih sporazuma, odnosno temeljem Odluke Ministarstva znanosti, obrazovanja i sporta o ustupanju 80 mjesta u domovima Studentskog centra Sveučilišta u Zagrebu za studente Hrvate s prebivalištem izvan Republike Hrvatske. </w:t>
      </w:r>
    </w:p>
    <w:p w:rsidR="00D849AA" w:rsidRDefault="00EE6D95">
      <w:pPr>
        <w:pStyle w:val="Normal6"/>
      </w:pPr>
      <w:r>
        <w:t xml:space="preserve">Kandidati kojima je odobrena naknada za učenje hrvatskoga jezika u Splitu nemaju mogućnost odabira smještaja te su upućeni da isto sami osiguraju. Obzirom da je u zimskom semestru bilo slobodnih mjesta u studentskom domu u Zagrebu, svim kandidatima s odobrenom naknadom za tečaj u Splitu ponuđena je mogućnost pohađanja tečaja u Zagrebu.  </w:t>
      </w:r>
    </w:p>
    <w:p w:rsidR="00D849AA" w:rsidRDefault="00EE6D95">
      <w:pPr>
        <w:pStyle w:val="Normal6"/>
      </w:pPr>
      <w:r>
        <w:t xml:space="preserve">Kandidati kojima je odobrena naknada za učenje hrvatskoga jezika u Rijeci imaju mogućnost odabrati  smještaj u prenoćištu 3. maja na Kantridi.  </w:t>
      </w:r>
    </w:p>
    <w:p w:rsidR="00D849AA" w:rsidRDefault="00EE6D95">
      <w:pPr>
        <w:pStyle w:val="Normal6"/>
      </w:pPr>
      <w:r>
        <w:t xml:space="preserve">U razdoblju tečaja polaznici koji ne koriste smještaj u studentskom domu također imaju pravo na novčanu naknadu u visini iznosa subvencioniranog smještaja u studentskim domovima.  </w:t>
      </w:r>
    </w:p>
    <w:p w:rsidR="00D849AA" w:rsidRDefault="00EE6D95">
      <w:pPr>
        <w:pStyle w:val="Normal6"/>
      </w:pPr>
      <w:r>
        <w:t xml:space="preserve">Od akademske godine 2013/14. Državni ured za Hrvate izvan RH dodjeljuje svim korisnicima naknade u razdoblju tečaja određeni novčani iznos mjesečno za osobne potrebe </w:t>
      </w:r>
    </w:p>
    <w:p w:rsidR="00D849AA" w:rsidRDefault="00EE6D95">
      <w:pPr>
        <w:pStyle w:val="Normal6"/>
      </w:pPr>
      <w:r>
        <w:t xml:space="preserve">Programom stipendija omogućava se pripadnicima hrvatskoga naroda izvan RH školovanje u Republici Hrvatskoj. </w:t>
      </w:r>
    </w:p>
    <w:p w:rsidR="00D849AA" w:rsidRDefault="00EE6D95">
      <w:pPr>
        <w:pStyle w:val="Normal6"/>
      </w:pPr>
      <w:r>
        <w:t>Program učenja hrvatskoga jezika ima osobitu važnost u smislu njegovanja i promicanja hrvatskoga jezika i kulture. Ovim se programom potiče povratak hrvatskih iseljenika i njihovih potomaka u Republiku Hrvatsku te se stvaraju preduvjeti za lakše uključivanje u gospodarski i društveni život Republike Hrvatske. Unatoč činjenici da se većina polaznika tečaja vraća u zemlje iz kojih su došli, smisao programa „Croaticum“ nije umanjen jer će oni u svojim zemljama zasigurno bili dobri promicatelji hrvatske kulture i jezika.</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rsidRPr="00DE6ACB">
        <w:trPr>
          <w:jc w:val="center"/>
        </w:trPr>
        <w:tc>
          <w:tcPr>
            <w:tcW w:w="2229" w:type="dxa"/>
            <w:shd w:val="clear" w:color="auto" w:fill="B5C0D8"/>
          </w:tcPr>
          <w:p w:rsidR="00D849AA" w:rsidRPr="00DE6ACB" w:rsidRDefault="00EE6D95">
            <w:pPr>
              <w:rPr>
                <w:rFonts w:ascii="Arial" w:hAnsi="Arial" w:cs="Arial"/>
              </w:rPr>
            </w:pPr>
            <w:r w:rsidRPr="00DE6ACB">
              <w:rPr>
                <w:rFonts w:ascii="Arial" w:hAnsi="Arial" w:cs="Arial"/>
              </w:rPr>
              <w:t>Pokazatelj rezultata</w:t>
            </w:r>
          </w:p>
        </w:tc>
        <w:tc>
          <w:tcPr>
            <w:tcW w:w="1114" w:type="dxa"/>
            <w:shd w:val="clear" w:color="auto" w:fill="B5C0D8"/>
          </w:tcPr>
          <w:p w:rsidR="00D849AA" w:rsidRPr="00DE6ACB" w:rsidRDefault="00EE6D95">
            <w:pPr>
              <w:pStyle w:val="CellHeader"/>
            </w:pPr>
            <w:r w:rsidRPr="00DE6ACB">
              <w:t>Jedinica</w:t>
            </w:r>
          </w:p>
        </w:tc>
        <w:tc>
          <w:tcPr>
            <w:tcW w:w="1114" w:type="dxa"/>
            <w:shd w:val="clear" w:color="auto" w:fill="B5C0D8"/>
          </w:tcPr>
          <w:p w:rsidR="00D849AA" w:rsidRPr="00DE6ACB" w:rsidRDefault="00EE6D95">
            <w:pPr>
              <w:pStyle w:val="CellHeader"/>
            </w:pPr>
            <w:r w:rsidRPr="00DE6ACB">
              <w:t>Polazna vrijednost</w:t>
            </w:r>
          </w:p>
        </w:tc>
        <w:tc>
          <w:tcPr>
            <w:tcW w:w="1486" w:type="dxa"/>
            <w:shd w:val="clear" w:color="auto" w:fill="B5C0D8"/>
          </w:tcPr>
          <w:p w:rsidR="00D849AA" w:rsidRPr="00DE6ACB" w:rsidRDefault="00EE6D95">
            <w:pPr>
              <w:pStyle w:val="CellHeader"/>
            </w:pPr>
            <w:r w:rsidRPr="00DE6ACB">
              <w:t>Ciljana vrijednost (2014.)</w:t>
            </w:r>
          </w:p>
        </w:tc>
        <w:tc>
          <w:tcPr>
            <w:tcW w:w="1486" w:type="dxa"/>
            <w:shd w:val="clear" w:color="auto" w:fill="B5C0D8"/>
          </w:tcPr>
          <w:p w:rsidR="00D849AA" w:rsidRPr="00DE6ACB" w:rsidRDefault="00EE6D95">
            <w:pPr>
              <w:pStyle w:val="CellHeader"/>
            </w:pPr>
            <w:r w:rsidRPr="00DE6ACB">
              <w:t>Ciljana vrijednost (2015.)</w:t>
            </w:r>
          </w:p>
        </w:tc>
        <w:tc>
          <w:tcPr>
            <w:tcW w:w="1486" w:type="dxa"/>
            <w:shd w:val="clear" w:color="auto" w:fill="B5C0D8"/>
          </w:tcPr>
          <w:p w:rsidR="00D849AA" w:rsidRPr="00DE6ACB" w:rsidRDefault="00EE6D95">
            <w:pPr>
              <w:pStyle w:val="CellHeader"/>
            </w:pPr>
            <w:r w:rsidRPr="00DE6ACB">
              <w:t>Ciljana vrijednost (2016.)</w:t>
            </w:r>
          </w:p>
        </w:tc>
      </w:tr>
      <w:tr w:rsidR="00D849AA" w:rsidRPr="00DE6ACB">
        <w:trPr>
          <w:jc w:val="center"/>
        </w:trPr>
        <w:tc>
          <w:tcPr>
            <w:tcW w:w="2229" w:type="dxa"/>
          </w:tcPr>
          <w:p w:rsidR="00D849AA" w:rsidRPr="00DE6ACB" w:rsidRDefault="00EE6D95">
            <w:pPr>
              <w:pStyle w:val="CellColumn"/>
            </w:pPr>
            <w:r w:rsidRPr="00DE6ACB">
              <w:t>Broj dodijeljenih naknada za učenje hrvatskog jezika</w:t>
            </w:r>
          </w:p>
        </w:tc>
        <w:tc>
          <w:tcPr>
            <w:tcW w:w="1114" w:type="dxa"/>
          </w:tcPr>
          <w:p w:rsidR="00D849AA" w:rsidRPr="00DE6ACB" w:rsidRDefault="00EE6D95">
            <w:pPr>
              <w:rPr>
                <w:rFonts w:ascii="Arial" w:hAnsi="Arial" w:cs="Arial"/>
              </w:rPr>
            </w:pPr>
            <w:r w:rsidRPr="00DE6ACB">
              <w:rPr>
                <w:rFonts w:ascii="Arial" w:hAnsi="Arial" w:cs="Arial"/>
              </w:rPr>
              <w:t>Broj</w:t>
            </w:r>
          </w:p>
        </w:tc>
        <w:tc>
          <w:tcPr>
            <w:tcW w:w="1114" w:type="dxa"/>
          </w:tcPr>
          <w:p w:rsidR="00D849AA" w:rsidRPr="00DE6ACB" w:rsidRDefault="00EE6D95">
            <w:pPr>
              <w:rPr>
                <w:rFonts w:ascii="Arial" w:hAnsi="Arial" w:cs="Arial"/>
              </w:rPr>
            </w:pPr>
            <w:r w:rsidRPr="00DE6ACB">
              <w:rPr>
                <w:rFonts w:ascii="Arial" w:hAnsi="Arial" w:cs="Arial"/>
              </w:rPr>
              <w:t>110</w:t>
            </w:r>
          </w:p>
        </w:tc>
        <w:tc>
          <w:tcPr>
            <w:tcW w:w="1486" w:type="dxa"/>
          </w:tcPr>
          <w:p w:rsidR="00D849AA" w:rsidRPr="00DE6ACB" w:rsidRDefault="00EE6D95">
            <w:pPr>
              <w:rPr>
                <w:rFonts w:ascii="Arial" w:hAnsi="Arial" w:cs="Arial"/>
              </w:rPr>
            </w:pPr>
            <w:r w:rsidRPr="00DE6ACB">
              <w:rPr>
                <w:rFonts w:ascii="Arial" w:hAnsi="Arial" w:cs="Arial"/>
              </w:rPr>
              <w:t>120</w:t>
            </w:r>
          </w:p>
        </w:tc>
        <w:tc>
          <w:tcPr>
            <w:tcW w:w="1486" w:type="dxa"/>
          </w:tcPr>
          <w:p w:rsidR="00D849AA" w:rsidRPr="00DE6ACB" w:rsidRDefault="00EE6D95">
            <w:pPr>
              <w:rPr>
                <w:rFonts w:ascii="Arial" w:hAnsi="Arial" w:cs="Arial"/>
              </w:rPr>
            </w:pPr>
            <w:r w:rsidRPr="00DE6ACB">
              <w:rPr>
                <w:rFonts w:ascii="Arial" w:hAnsi="Arial" w:cs="Arial"/>
              </w:rPr>
              <w:t>130</w:t>
            </w:r>
          </w:p>
        </w:tc>
        <w:tc>
          <w:tcPr>
            <w:tcW w:w="1486" w:type="dxa"/>
          </w:tcPr>
          <w:p w:rsidR="00D849AA" w:rsidRPr="00DE6ACB" w:rsidRDefault="00EE6D95">
            <w:pPr>
              <w:rPr>
                <w:rFonts w:ascii="Arial" w:hAnsi="Arial" w:cs="Arial"/>
              </w:rPr>
            </w:pPr>
            <w:r w:rsidRPr="00DE6ACB">
              <w:rPr>
                <w:rFonts w:ascii="Arial" w:hAnsi="Arial" w:cs="Arial"/>
              </w:rPr>
              <w:t>140</w:t>
            </w:r>
          </w:p>
        </w:tc>
      </w:tr>
    </w:tbl>
    <w:p w:rsidR="00D849AA" w:rsidRPr="00DE6ACB" w:rsidRDefault="00D849AA">
      <w:pPr>
        <w:jc w:val="left"/>
        <w:rPr>
          <w:rFonts w:ascii="Arial" w:hAnsi="Arial" w:cs="Arial"/>
        </w:rPr>
      </w:pPr>
    </w:p>
    <w:p w:rsidR="00D849AA" w:rsidRDefault="00EE6D95">
      <w:pPr>
        <w:pStyle w:val="Naslov6"/>
      </w:pPr>
      <w:r>
        <w:t>A862009 FINANCIRANJE UDRUGA HRVATA IZVAN REPUBLIKE HRVATSKE KOJE DJELUJU U REPUBLICI HRVATSKOJ</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DE6ACB" w:rsidRDefault="00EE6D95">
            <w:pPr>
              <w:pStyle w:val="CellHeader"/>
            </w:pPr>
            <w:r w:rsidRPr="00DE6ACB">
              <w:t>Naziv aktivnosti</w:t>
            </w:r>
          </w:p>
        </w:tc>
        <w:tc>
          <w:tcPr>
            <w:tcW w:w="1486" w:type="dxa"/>
            <w:shd w:val="clear" w:color="auto" w:fill="B5C0D8"/>
          </w:tcPr>
          <w:p w:rsidR="00D849AA" w:rsidRPr="00DE6ACB" w:rsidRDefault="00EE6D95">
            <w:pPr>
              <w:pStyle w:val="CellHeader"/>
            </w:pPr>
            <w:r w:rsidRPr="00DE6ACB">
              <w:t>Plan 2013.</w:t>
            </w:r>
          </w:p>
        </w:tc>
        <w:tc>
          <w:tcPr>
            <w:tcW w:w="1486" w:type="dxa"/>
            <w:shd w:val="clear" w:color="auto" w:fill="B5C0D8"/>
          </w:tcPr>
          <w:p w:rsidR="00D849AA" w:rsidRPr="00DE6ACB" w:rsidRDefault="00EE6D95">
            <w:pPr>
              <w:pStyle w:val="CellHeader"/>
            </w:pPr>
            <w:r w:rsidRPr="00DE6ACB">
              <w:t>Plan 2014.</w:t>
            </w:r>
          </w:p>
        </w:tc>
        <w:tc>
          <w:tcPr>
            <w:tcW w:w="1486" w:type="dxa"/>
            <w:shd w:val="clear" w:color="auto" w:fill="B5C0D8"/>
          </w:tcPr>
          <w:p w:rsidR="00D849AA" w:rsidRPr="00DE6ACB" w:rsidRDefault="00EE6D95">
            <w:pPr>
              <w:pStyle w:val="CellHeader"/>
            </w:pPr>
            <w:r w:rsidRPr="00DE6ACB">
              <w:t>Plan 2015.</w:t>
            </w:r>
          </w:p>
        </w:tc>
        <w:tc>
          <w:tcPr>
            <w:tcW w:w="1486" w:type="dxa"/>
            <w:shd w:val="clear" w:color="auto" w:fill="B5C0D8"/>
          </w:tcPr>
          <w:p w:rsidR="00D849AA" w:rsidRPr="00DE6ACB" w:rsidRDefault="00EE6D95">
            <w:pPr>
              <w:pStyle w:val="CellHeader"/>
            </w:pPr>
            <w:r w:rsidRPr="00DE6ACB">
              <w:t>Plan 2016.</w:t>
            </w:r>
          </w:p>
        </w:tc>
        <w:tc>
          <w:tcPr>
            <w:tcW w:w="1486" w:type="dxa"/>
            <w:shd w:val="clear" w:color="auto" w:fill="B5C0D8"/>
          </w:tcPr>
          <w:p w:rsidR="00D849AA" w:rsidRPr="00DE6ACB" w:rsidRDefault="00EE6D95">
            <w:pPr>
              <w:pStyle w:val="CellHeader"/>
            </w:pPr>
            <w:r w:rsidRPr="00DE6ACB">
              <w:t>Indeks 2014/2013</w:t>
            </w:r>
          </w:p>
        </w:tc>
      </w:tr>
      <w:tr w:rsidR="00D849AA">
        <w:trPr>
          <w:jc w:val="center"/>
        </w:trPr>
        <w:tc>
          <w:tcPr>
            <w:tcW w:w="1486" w:type="dxa"/>
          </w:tcPr>
          <w:p w:rsidR="00D849AA" w:rsidRPr="00DE6ACB" w:rsidRDefault="00EE6D95">
            <w:pPr>
              <w:pStyle w:val="CellColumn"/>
            </w:pPr>
            <w:r w:rsidRPr="00DE6ACB">
              <w:t>A862009</w:t>
            </w:r>
          </w:p>
        </w:tc>
        <w:tc>
          <w:tcPr>
            <w:tcW w:w="1486" w:type="dxa"/>
          </w:tcPr>
          <w:p w:rsidR="00D849AA" w:rsidRPr="00DE6ACB" w:rsidRDefault="00EE6D95">
            <w:pPr>
              <w:rPr>
                <w:rFonts w:ascii="Arial" w:hAnsi="Arial" w:cs="Arial"/>
              </w:rPr>
            </w:pPr>
            <w:r w:rsidRPr="00DE6ACB">
              <w:rPr>
                <w:rFonts w:ascii="Arial" w:hAnsi="Arial" w:cs="Arial"/>
              </w:rPr>
              <w:t>1.000.000</w:t>
            </w:r>
          </w:p>
        </w:tc>
        <w:tc>
          <w:tcPr>
            <w:tcW w:w="1486" w:type="dxa"/>
          </w:tcPr>
          <w:p w:rsidR="00D849AA" w:rsidRPr="00DE6ACB" w:rsidRDefault="00EE6D95">
            <w:pPr>
              <w:rPr>
                <w:rFonts w:ascii="Arial" w:hAnsi="Arial" w:cs="Arial"/>
              </w:rPr>
            </w:pPr>
            <w:r w:rsidRPr="00DE6ACB">
              <w:rPr>
                <w:rFonts w:ascii="Arial" w:hAnsi="Arial" w:cs="Arial"/>
              </w:rPr>
              <w:t>00</w:t>
            </w:r>
          </w:p>
        </w:tc>
        <w:tc>
          <w:tcPr>
            <w:tcW w:w="1486" w:type="dxa"/>
          </w:tcPr>
          <w:p w:rsidR="00D849AA" w:rsidRPr="00DE6ACB" w:rsidRDefault="00EE6D95">
            <w:pPr>
              <w:rPr>
                <w:rFonts w:ascii="Arial" w:hAnsi="Arial" w:cs="Arial"/>
              </w:rPr>
            </w:pPr>
            <w:r w:rsidRPr="00DE6ACB">
              <w:rPr>
                <w:rFonts w:ascii="Arial" w:hAnsi="Arial" w:cs="Arial"/>
              </w:rPr>
              <w:t>600.000</w:t>
            </w:r>
          </w:p>
        </w:tc>
        <w:tc>
          <w:tcPr>
            <w:tcW w:w="1486" w:type="dxa"/>
          </w:tcPr>
          <w:p w:rsidR="00D849AA" w:rsidRPr="00DE6ACB" w:rsidRDefault="00EE6D95">
            <w:pPr>
              <w:rPr>
                <w:rFonts w:ascii="Arial" w:hAnsi="Arial" w:cs="Arial"/>
              </w:rPr>
            </w:pPr>
            <w:r w:rsidRPr="00DE6ACB">
              <w:rPr>
                <w:rFonts w:ascii="Arial" w:hAnsi="Arial" w:cs="Arial"/>
              </w:rPr>
              <w:t>600.000</w:t>
            </w:r>
          </w:p>
        </w:tc>
        <w:tc>
          <w:tcPr>
            <w:tcW w:w="1486" w:type="dxa"/>
          </w:tcPr>
          <w:p w:rsidR="00D849AA" w:rsidRPr="00DE6ACB" w:rsidRDefault="00EE6D95">
            <w:pPr>
              <w:rPr>
                <w:rFonts w:ascii="Arial" w:hAnsi="Arial" w:cs="Arial"/>
              </w:rPr>
            </w:pPr>
            <w:r w:rsidRPr="00DE6ACB">
              <w:rPr>
                <w:rFonts w:ascii="Arial" w:hAnsi="Arial" w:cs="Arial"/>
              </w:rPr>
              <w:t>0,0</w:t>
            </w:r>
          </w:p>
        </w:tc>
      </w:tr>
    </w:tbl>
    <w:p w:rsidR="00D849AA" w:rsidRDefault="00D849AA">
      <w:pPr>
        <w:jc w:val="left"/>
      </w:pPr>
    </w:p>
    <w:p w:rsidR="00D849AA" w:rsidRDefault="00EE6D95">
      <w:pPr>
        <w:pStyle w:val="Normal6"/>
      </w:pPr>
      <w:r>
        <w:lastRenderedPageBreak/>
        <w:t>U svrhu jačanja opstanka Hrvata izvan Republike Hrvatske DUHIRH  kroz ovu aktivnost pruža pomoć udrugama u Republici Hrvatskoj koje razvijaju suradnju s Republikom Hrvatskom.</w:t>
      </w:r>
    </w:p>
    <w:p w:rsidR="00D849AA" w:rsidRDefault="00EE6D95">
      <w:pPr>
        <w:pStyle w:val="Naslov6"/>
      </w:pPr>
      <w:r>
        <w:t>A862011 PROGRAMI POMOĆI HRVATSKOJ MANJINI U INOZEMSTVU</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rsidRPr="00DE6ACB">
        <w:trPr>
          <w:jc w:val="center"/>
        </w:trPr>
        <w:tc>
          <w:tcPr>
            <w:tcW w:w="1486" w:type="dxa"/>
            <w:shd w:val="clear" w:color="auto" w:fill="B5C0D8"/>
          </w:tcPr>
          <w:p w:rsidR="00D849AA" w:rsidRPr="00DE6ACB" w:rsidRDefault="00EE6D95">
            <w:pPr>
              <w:pStyle w:val="CellHeader"/>
            </w:pPr>
            <w:r w:rsidRPr="00DE6ACB">
              <w:t>Naziv aktivnosti</w:t>
            </w:r>
          </w:p>
        </w:tc>
        <w:tc>
          <w:tcPr>
            <w:tcW w:w="1486" w:type="dxa"/>
            <w:shd w:val="clear" w:color="auto" w:fill="B5C0D8"/>
          </w:tcPr>
          <w:p w:rsidR="00D849AA" w:rsidRPr="00DE6ACB" w:rsidRDefault="00EE6D95">
            <w:pPr>
              <w:pStyle w:val="CellHeader"/>
            </w:pPr>
            <w:r w:rsidRPr="00DE6ACB">
              <w:t>Plan 2013.</w:t>
            </w:r>
          </w:p>
        </w:tc>
        <w:tc>
          <w:tcPr>
            <w:tcW w:w="1486" w:type="dxa"/>
            <w:shd w:val="clear" w:color="auto" w:fill="B5C0D8"/>
          </w:tcPr>
          <w:p w:rsidR="00D849AA" w:rsidRPr="00DE6ACB" w:rsidRDefault="00EE6D95">
            <w:pPr>
              <w:pStyle w:val="CellHeader"/>
            </w:pPr>
            <w:r w:rsidRPr="00DE6ACB">
              <w:t>Plan 2014.</w:t>
            </w:r>
          </w:p>
        </w:tc>
        <w:tc>
          <w:tcPr>
            <w:tcW w:w="1486" w:type="dxa"/>
            <w:shd w:val="clear" w:color="auto" w:fill="B5C0D8"/>
          </w:tcPr>
          <w:p w:rsidR="00D849AA" w:rsidRPr="00DE6ACB" w:rsidRDefault="00EE6D95">
            <w:pPr>
              <w:pStyle w:val="CellHeader"/>
            </w:pPr>
            <w:r w:rsidRPr="00DE6ACB">
              <w:t>Plan 2015.</w:t>
            </w:r>
          </w:p>
        </w:tc>
        <w:tc>
          <w:tcPr>
            <w:tcW w:w="1486" w:type="dxa"/>
            <w:shd w:val="clear" w:color="auto" w:fill="B5C0D8"/>
          </w:tcPr>
          <w:p w:rsidR="00D849AA" w:rsidRPr="00DE6ACB" w:rsidRDefault="00EE6D95">
            <w:pPr>
              <w:pStyle w:val="CellHeader"/>
            </w:pPr>
            <w:r w:rsidRPr="00DE6ACB">
              <w:t>Plan 2016.</w:t>
            </w:r>
          </w:p>
        </w:tc>
        <w:tc>
          <w:tcPr>
            <w:tcW w:w="1486" w:type="dxa"/>
            <w:shd w:val="clear" w:color="auto" w:fill="B5C0D8"/>
          </w:tcPr>
          <w:p w:rsidR="00D849AA" w:rsidRPr="00DE6ACB" w:rsidRDefault="00EE6D95">
            <w:pPr>
              <w:pStyle w:val="CellHeader"/>
            </w:pPr>
            <w:r w:rsidRPr="00DE6ACB">
              <w:t>Indeks 2014/2013</w:t>
            </w:r>
          </w:p>
        </w:tc>
      </w:tr>
      <w:tr w:rsidR="00D849AA" w:rsidRPr="00DE6ACB">
        <w:trPr>
          <w:jc w:val="center"/>
        </w:trPr>
        <w:tc>
          <w:tcPr>
            <w:tcW w:w="1486" w:type="dxa"/>
          </w:tcPr>
          <w:p w:rsidR="00D849AA" w:rsidRPr="00DE6ACB" w:rsidRDefault="00EE6D95">
            <w:pPr>
              <w:pStyle w:val="CellColumn"/>
            </w:pPr>
            <w:r w:rsidRPr="00DE6ACB">
              <w:t>A862011</w:t>
            </w:r>
          </w:p>
        </w:tc>
        <w:tc>
          <w:tcPr>
            <w:tcW w:w="1486" w:type="dxa"/>
          </w:tcPr>
          <w:p w:rsidR="00D849AA" w:rsidRPr="00DE6ACB" w:rsidRDefault="00EE6D95">
            <w:pPr>
              <w:rPr>
                <w:rFonts w:ascii="Arial" w:hAnsi="Arial" w:cs="Arial"/>
              </w:rPr>
            </w:pPr>
            <w:r w:rsidRPr="00DE6ACB">
              <w:rPr>
                <w:rFonts w:ascii="Arial" w:hAnsi="Arial" w:cs="Arial"/>
              </w:rPr>
              <w:t>1.500.000</w:t>
            </w:r>
          </w:p>
        </w:tc>
        <w:tc>
          <w:tcPr>
            <w:tcW w:w="1486" w:type="dxa"/>
          </w:tcPr>
          <w:p w:rsidR="00D849AA" w:rsidRPr="00DE6ACB" w:rsidRDefault="00EE6D95">
            <w:pPr>
              <w:rPr>
                <w:rFonts w:ascii="Arial" w:hAnsi="Arial" w:cs="Arial"/>
              </w:rPr>
            </w:pPr>
            <w:r w:rsidRPr="00DE6ACB">
              <w:rPr>
                <w:rFonts w:ascii="Arial" w:hAnsi="Arial" w:cs="Arial"/>
              </w:rPr>
              <w:t>1.506.000</w:t>
            </w:r>
          </w:p>
        </w:tc>
        <w:tc>
          <w:tcPr>
            <w:tcW w:w="1486" w:type="dxa"/>
          </w:tcPr>
          <w:p w:rsidR="00D849AA" w:rsidRPr="00DE6ACB" w:rsidRDefault="00EE6D95">
            <w:pPr>
              <w:rPr>
                <w:rFonts w:ascii="Arial" w:hAnsi="Arial" w:cs="Arial"/>
              </w:rPr>
            </w:pPr>
            <w:r w:rsidRPr="00DE6ACB">
              <w:rPr>
                <w:rFonts w:ascii="Arial" w:hAnsi="Arial" w:cs="Arial"/>
              </w:rPr>
              <w:t>1.506.000</w:t>
            </w:r>
          </w:p>
        </w:tc>
        <w:tc>
          <w:tcPr>
            <w:tcW w:w="1486" w:type="dxa"/>
          </w:tcPr>
          <w:p w:rsidR="00D849AA" w:rsidRPr="00DE6ACB" w:rsidRDefault="00EE6D95">
            <w:pPr>
              <w:rPr>
                <w:rFonts w:ascii="Arial" w:hAnsi="Arial" w:cs="Arial"/>
              </w:rPr>
            </w:pPr>
            <w:r w:rsidRPr="00DE6ACB">
              <w:rPr>
                <w:rFonts w:ascii="Arial" w:hAnsi="Arial" w:cs="Arial"/>
              </w:rPr>
              <w:t>1.506.000</w:t>
            </w:r>
          </w:p>
        </w:tc>
        <w:tc>
          <w:tcPr>
            <w:tcW w:w="1486" w:type="dxa"/>
          </w:tcPr>
          <w:p w:rsidR="00D849AA" w:rsidRPr="00DE6ACB" w:rsidRDefault="00EE6D95">
            <w:pPr>
              <w:rPr>
                <w:rFonts w:ascii="Arial" w:hAnsi="Arial" w:cs="Arial"/>
              </w:rPr>
            </w:pPr>
            <w:r w:rsidRPr="00DE6ACB">
              <w:rPr>
                <w:rFonts w:ascii="Arial" w:hAnsi="Arial" w:cs="Arial"/>
              </w:rPr>
              <w:t>100,4</w:t>
            </w:r>
          </w:p>
        </w:tc>
      </w:tr>
    </w:tbl>
    <w:p w:rsidR="00D849AA" w:rsidRPr="00DE6ACB" w:rsidRDefault="00D849AA">
      <w:pPr>
        <w:jc w:val="left"/>
        <w:rPr>
          <w:rFonts w:ascii="Arial" w:hAnsi="Arial" w:cs="Arial"/>
        </w:rPr>
      </w:pPr>
    </w:p>
    <w:p w:rsidR="00D849AA" w:rsidRDefault="00EE6D95">
      <w:pPr>
        <w:pStyle w:val="Normal6"/>
      </w:pPr>
      <w:r>
        <w:t xml:space="preserve">Program se odnosi na  financiranje hrvatskih manjinskih udruga u europskim državama.  </w:t>
      </w:r>
    </w:p>
    <w:p w:rsidR="00D849AA" w:rsidRDefault="00EE6D95">
      <w:pPr>
        <w:pStyle w:val="Normal6"/>
      </w:pPr>
      <w:r>
        <w:t xml:space="preserve">Pomoć hrvatskim nacionalnim manjinama u inozemstvu se dodjeljuje u vidu financiranja njihovih udruga. Sredstva se raspoređuju putem povjerenstava pri Veleposlanstvima RH za financiranje rada manjinskih udruga.  </w:t>
      </w:r>
    </w:p>
    <w:p w:rsidR="00D849AA" w:rsidRDefault="00EE6D95">
      <w:pPr>
        <w:pStyle w:val="Normal6"/>
      </w:pPr>
      <w:r>
        <w:t xml:space="preserve">Kroz stalnu značajniju financijsku potporu hrvatskim udrugama cilj je osnažiti hrvatsku manjinsku zajednicu u domicilnim državama u ostvarivanju manjinskih prava, pogotovo etničku, vjersku, kulturnu i jezičnu samosvijest te ih učiniti punopravnim čimbenikom domicilne države. </w:t>
      </w:r>
    </w:p>
    <w:p w:rsidR="00D849AA" w:rsidRDefault="00EE6D95">
      <w:pPr>
        <w:pStyle w:val="Normal6"/>
      </w:pPr>
      <w:r>
        <w:t xml:space="preserve">Planirana sredstva nisu namijenjena za druge projekte i potrebe manjina kao niti za dovršetak nekih krucijalnih kapitalnih projekata. Planirana sredstva temeljimo na novonastalim okolnostima vezanim uz pojačane aktivnosti i položaj hrvatske zajednice u susjednim državama, primjerice: u Crnoj Gori, Makedoniji, Srbiji, Mađarskoj i Kosovu kao i povećanim aktivnostima hrvatskih udruga u konkretnom ostvarivanju zajamčenih manjinskih prava (očuvanje jezika i kulturne baštine, obrazovanje i informiranja) te u tim okolnostima najavljene financijske potpore hrvatskoj zajednici od strane Vlade RH i visokih državnih dužnosnika kao i preuzetih međunarodnih obaveza (projekt obnove kuće bana Josipa Jelačića, sufinanciranje ljetovanja hrvatske djece iz Mađarske u Kulturnom-prosvjetnom centru Hrvata iz Mađarske na Pagu itd.).  </w:t>
      </w:r>
    </w:p>
    <w:p w:rsidR="00D849AA" w:rsidRDefault="00EE6D95">
      <w:pPr>
        <w:pStyle w:val="Normal6"/>
      </w:pPr>
      <w:r>
        <w:t>Programima pomoći hrvatskim nacionalnim manjinama želi se spriječiti daljnja asimilacija Hrvata u domicilnim državama, bolja pravna zaštita te očuvanje materinskog jezika, kulture i tradicije.</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rsidRPr="00DE6ACB">
        <w:trPr>
          <w:jc w:val="center"/>
        </w:trPr>
        <w:tc>
          <w:tcPr>
            <w:tcW w:w="2229" w:type="dxa"/>
            <w:shd w:val="clear" w:color="auto" w:fill="B5C0D8"/>
          </w:tcPr>
          <w:p w:rsidR="00D849AA" w:rsidRPr="00DE6ACB" w:rsidRDefault="00EE6D95">
            <w:pPr>
              <w:rPr>
                <w:rFonts w:ascii="Arial" w:hAnsi="Arial" w:cs="Arial"/>
              </w:rPr>
            </w:pPr>
            <w:r w:rsidRPr="00DE6ACB">
              <w:rPr>
                <w:rFonts w:ascii="Arial" w:hAnsi="Arial" w:cs="Arial"/>
              </w:rPr>
              <w:t>Pokazatelj rezultata</w:t>
            </w:r>
          </w:p>
        </w:tc>
        <w:tc>
          <w:tcPr>
            <w:tcW w:w="1114" w:type="dxa"/>
            <w:shd w:val="clear" w:color="auto" w:fill="B5C0D8"/>
          </w:tcPr>
          <w:p w:rsidR="00D849AA" w:rsidRPr="00DE6ACB" w:rsidRDefault="00EE6D95">
            <w:pPr>
              <w:pStyle w:val="CellHeader"/>
            </w:pPr>
            <w:r w:rsidRPr="00DE6ACB">
              <w:t>Jedinica</w:t>
            </w:r>
          </w:p>
        </w:tc>
        <w:tc>
          <w:tcPr>
            <w:tcW w:w="1114" w:type="dxa"/>
            <w:shd w:val="clear" w:color="auto" w:fill="B5C0D8"/>
          </w:tcPr>
          <w:p w:rsidR="00D849AA" w:rsidRPr="00DE6ACB" w:rsidRDefault="00EE6D95">
            <w:pPr>
              <w:pStyle w:val="CellHeader"/>
            </w:pPr>
            <w:r w:rsidRPr="00DE6ACB">
              <w:t>Polazna vrijednost</w:t>
            </w:r>
          </w:p>
        </w:tc>
        <w:tc>
          <w:tcPr>
            <w:tcW w:w="1486" w:type="dxa"/>
            <w:shd w:val="clear" w:color="auto" w:fill="B5C0D8"/>
          </w:tcPr>
          <w:p w:rsidR="00D849AA" w:rsidRPr="00DE6ACB" w:rsidRDefault="00EE6D95">
            <w:pPr>
              <w:pStyle w:val="CellHeader"/>
            </w:pPr>
            <w:r w:rsidRPr="00DE6ACB">
              <w:t>Ciljana vrijednost (2014.)</w:t>
            </w:r>
          </w:p>
        </w:tc>
        <w:tc>
          <w:tcPr>
            <w:tcW w:w="1486" w:type="dxa"/>
            <w:shd w:val="clear" w:color="auto" w:fill="B5C0D8"/>
          </w:tcPr>
          <w:p w:rsidR="00D849AA" w:rsidRPr="00DE6ACB" w:rsidRDefault="00EE6D95">
            <w:pPr>
              <w:pStyle w:val="CellHeader"/>
            </w:pPr>
            <w:r w:rsidRPr="00DE6ACB">
              <w:t>Ciljana vrijednost (2015.)</w:t>
            </w:r>
          </w:p>
        </w:tc>
        <w:tc>
          <w:tcPr>
            <w:tcW w:w="1486" w:type="dxa"/>
            <w:shd w:val="clear" w:color="auto" w:fill="B5C0D8"/>
          </w:tcPr>
          <w:p w:rsidR="00D849AA" w:rsidRPr="00DE6ACB" w:rsidRDefault="00EE6D95">
            <w:pPr>
              <w:pStyle w:val="CellHeader"/>
            </w:pPr>
            <w:r w:rsidRPr="00DE6ACB">
              <w:t>Ciljana vrijednost (2016.)</w:t>
            </w:r>
          </w:p>
        </w:tc>
      </w:tr>
      <w:tr w:rsidR="00D849AA" w:rsidRPr="00DE6ACB">
        <w:trPr>
          <w:jc w:val="center"/>
        </w:trPr>
        <w:tc>
          <w:tcPr>
            <w:tcW w:w="2229" w:type="dxa"/>
          </w:tcPr>
          <w:p w:rsidR="00D849AA" w:rsidRPr="00DE6ACB" w:rsidRDefault="00EE6D95">
            <w:pPr>
              <w:pStyle w:val="CellColumn"/>
            </w:pPr>
            <w:r w:rsidRPr="00DE6ACB">
              <w:t>Broj financiranih projekata udruga i institucija hrvatske manjine. *</w:t>
            </w:r>
          </w:p>
        </w:tc>
        <w:tc>
          <w:tcPr>
            <w:tcW w:w="1114" w:type="dxa"/>
          </w:tcPr>
          <w:p w:rsidR="00D849AA" w:rsidRPr="00DE6ACB" w:rsidRDefault="00EE6D95">
            <w:pPr>
              <w:rPr>
                <w:rFonts w:ascii="Arial" w:hAnsi="Arial" w:cs="Arial"/>
              </w:rPr>
            </w:pPr>
            <w:r w:rsidRPr="00DE6ACB">
              <w:rPr>
                <w:rFonts w:ascii="Arial" w:hAnsi="Arial" w:cs="Arial"/>
              </w:rPr>
              <w:t>Broj</w:t>
            </w:r>
          </w:p>
        </w:tc>
        <w:tc>
          <w:tcPr>
            <w:tcW w:w="1114" w:type="dxa"/>
          </w:tcPr>
          <w:p w:rsidR="00D849AA" w:rsidRPr="00DE6ACB" w:rsidRDefault="00EE6D95">
            <w:pPr>
              <w:rPr>
                <w:rFonts w:ascii="Arial" w:hAnsi="Arial" w:cs="Arial"/>
              </w:rPr>
            </w:pPr>
            <w:r w:rsidRPr="00DE6ACB">
              <w:rPr>
                <w:rFonts w:ascii="Arial" w:hAnsi="Arial" w:cs="Arial"/>
              </w:rPr>
              <w:t>110</w:t>
            </w:r>
          </w:p>
        </w:tc>
        <w:tc>
          <w:tcPr>
            <w:tcW w:w="1486" w:type="dxa"/>
          </w:tcPr>
          <w:p w:rsidR="00D849AA" w:rsidRPr="00DE6ACB" w:rsidRDefault="00EE6D95">
            <w:pPr>
              <w:rPr>
                <w:rFonts w:ascii="Arial" w:hAnsi="Arial" w:cs="Arial"/>
              </w:rPr>
            </w:pPr>
            <w:r w:rsidRPr="00DE6ACB">
              <w:rPr>
                <w:rFonts w:ascii="Arial" w:hAnsi="Arial" w:cs="Arial"/>
              </w:rPr>
              <w:t>110</w:t>
            </w:r>
          </w:p>
        </w:tc>
        <w:tc>
          <w:tcPr>
            <w:tcW w:w="1486" w:type="dxa"/>
          </w:tcPr>
          <w:p w:rsidR="00D849AA" w:rsidRPr="00DE6ACB" w:rsidRDefault="00EE6D95">
            <w:pPr>
              <w:rPr>
                <w:rFonts w:ascii="Arial" w:hAnsi="Arial" w:cs="Arial"/>
              </w:rPr>
            </w:pPr>
            <w:r w:rsidRPr="00DE6ACB">
              <w:rPr>
                <w:rFonts w:ascii="Arial" w:hAnsi="Arial" w:cs="Arial"/>
              </w:rPr>
              <w:t>110</w:t>
            </w:r>
          </w:p>
        </w:tc>
        <w:tc>
          <w:tcPr>
            <w:tcW w:w="1486" w:type="dxa"/>
          </w:tcPr>
          <w:p w:rsidR="00D849AA" w:rsidRPr="00DE6ACB" w:rsidRDefault="00EE6D95">
            <w:pPr>
              <w:rPr>
                <w:rFonts w:ascii="Arial" w:hAnsi="Arial" w:cs="Arial"/>
              </w:rPr>
            </w:pPr>
            <w:r w:rsidRPr="00DE6ACB">
              <w:rPr>
                <w:rFonts w:ascii="Arial" w:hAnsi="Arial" w:cs="Arial"/>
              </w:rPr>
              <w:t>110</w:t>
            </w:r>
          </w:p>
        </w:tc>
      </w:tr>
    </w:tbl>
    <w:p w:rsidR="00D849AA" w:rsidRPr="00DE6ACB" w:rsidRDefault="00D849AA">
      <w:pPr>
        <w:jc w:val="left"/>
        <w:rPr>
          <w:rFonts w:ascii="Arial" w:hAnsi="Arial" w:cs="Arial"/>
        </w:rPr>
      </w:pPr>
    </w:p>
    <w:p w:rsidR="00D849AA" w:rsidRDefault="00EE6D95">
      <w:pPr>
        <w:pStyle w:val="Naslov6"/>
      </w:pPr>
      <w:r>
        <w:t>A862018 PROGRAMI POMOĆI HRVATSKOJ MANJINI U INOZEMSTVU -  MEĐUNARODNA RAZVOJNA SURADNJA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DE6ACB" w:rsidRDefault="00EE6D95">
            <w:pPr>
              <w:pStyle w:val="CellHeader"/>
            </w:pPr>
            <w:r w:rsidRPr="00DE6ACB">
              <w:t>Naziv aktivnosti</w:t>
            </w:r>
          </w:p>
        </w:tc>
        <w:tc>
          <w:tcPr>
            <w:tcW w:w="1486" w:type="dxa"/>
            <w:shd w:val="clear" w:color="auto" w:fill="B5C0D8"/>
          </w:tcPr>
          <w:p w:rsidR="00D849AA" w:rsidRPr="00DE6ACB" w:rsidRDefault="00EE6D95">
            <w:pPr>
              <w:pStyle w:val="CellHeader"/>
            </w:pPr>
            <w:r w:rsidRPr="00DE6ACB">
              <w:t>Plan 2013.</w:t>
            </w:r>
          </w:p>
        </w:tc>
        <w:tc>
          <w:tcPr>
            <w:tcW w:w="1486" w:type="dxa"/>
            <w:shd w:val="clear" w:color="auto" w:fill="B5C0D8"/>
          </w:tcPr>
          <w:p w:rsidR="00D849AA" w:rsidRPr="00DE6ACB" w:rsidRDefault="00EE6D95">
            <w:pPr>
              <w:pStyle w:val="CellHeader"/>
            </w:pPr>
            <w:r w:rsidRPr="00DE6ACB">
              <w:t>Plan 2014.</w:t>
            </w:r>
          </w:p>
        </w:tc>
        <w:tc>
          <w:tcPr>
            <w:tcW w:w="1486" w:type="dxa"/>
            <w:shd w:val="clear" w:color="auto" w:fill="B5C0D8"/>
          </w:tcPr>
          <w:p w:rsidR="00D849AA" w:rsidRPr="00DE6ACB" w:rsidRDefault="00EE6D95">
            <w:pPr>
              <w:pStyle w:val="CellHeader"/>
            </w:pPr>
            <w:r w:rsidRPr="00DE6ACB">
              <w:t>Plan 2015.</w:t>
            </w:r>
          </w:p>
        </w:tc>
        <w:tc>
          <w:tcPr>
            <w:tcW w:w="1486" w:type="dxa"/>
            <w:shd w:val="clear" w:color="auto" w:fill="B5C0D8"/>
          </w:tcPr>
          <w:p w:rsidR="00D849AA" w:rsidRPr="00DE6ACB" w:rsidRDefault="00EE6D95">
            <w:pPr>
              <w:pStyle w:val="CellHeader"/>
            </w:pPr>
            <w:r w:rsidRPr="00DE6ACB">
              <w:t>Plan 2016.</w:t>
            </w:r>
          </w:p>
        </w:tc>
        <w:tc>
          <w:tcPr>
            <w:tcW w:w="1486" w:type="dxa"/>
            <w:shd w:val="clear" w:color="auto" w:fill="B5C0D8"/>
          </w:tcPr>
          <w:p w:rsidR="00D849AA" w:rsidRPr="00DE6ACB" w:rsidRDefault="00EE6D95">
            <w:pPr>
              <w:pStyle w:val="CellHeader"/>
            </w:pPr>
            <w:r w:rsidRPr="00DE6ACB">
              <w:t>Indeks 2014/2013</w:t>
            </w:r>
          </w:p>
        </w:tc>
      </w:tr>
      <w:tr w:rsidR="00D849AA">
        <w:trPr>
          <w:jc w:val="center"/>
        </w:trPr>
        <w:tc>
          <w:tcPr>
            <w:tcW w:w="1486" w:type="dxa"/>
          </w:tcPr>
          <w:p w:rsidR="00D849AA" w:rsidRPr="00DE6ACB" w:rsidRDefault="00EE6D95">
            <w:pPr>
              <w:pStyle w:val="CellColumn"/>
            </w:pPr>
            <w:r w:rsidRPr="00DE6ACB">
              <w:t>A862018</w:t>
            </w:r>
          </w:p>
        </w:tc>
        <w:tc>
          <w:tcPr>
            <w:tcW w:w="1486" w:type="dxa"/>
          </w:tcPr>
          <w:p w:rsidR="00D849AA" w:rsidRPr="00DE6ACB" w:rsidRDefault="00EE6D95">
            <w:pPr>
              <w:rPr>
                <w:rFonts w:ascii="Arial" w:hAnsi="Arial" w:cs="Arial"/>
              </w:rPr>
            </w:pPr>
            <w:r w:rsidRPr="00DE6ACB">
              <w:rPr>
                <w:rFonts w:ascii="Arial" w:hAnsi="Arial" w:cs="Arial"/>
              </w:rPr>
              <w:t>1.500.000</w:t>
            </w:r>
          </w:p>
        </w:tc>
        <w:tc>
          <w:tcPr>
            <w:tcW w:w="1486" w:type="dxa"/>
          </w:tcPr>
          <w:p w:rsidR="00D849AA" w:rsidRPr="00DE6ACB" w:rsidRDefault="00EE6D95">
            <w:pPr>
              <w:rPr>
                <w:rFonts w:ascii="Arial" w:hAnsi="Arial" w:cs="Arial"/>
              </w:rPr>
            </w:pPr>
            <w:r w:rsidRPr="00DE6ACB">
              <w:rPr>
                <w:rFonts w:ascii="Arial" w:hAnsi="Arial" w:cs="Arial"/>
              </w:rPr>
              <w:t>1.506.000</w:t>
            </w:r>
          </w:p>
        </w:tc>
        <w:tc>
          <w:tcPr>
            <w:tcW w:w="1486" w:type="dxa"/>
          </w:tcPr>
          <w:p w:rsidR="00D849AA" w:rsidRPr="00DE6ACB" w:rsidRDefault="00EE6D95">
            <w:pPr>
              <w:rPr>
                <w:rFonts w:ascii="Arial" w:hAnsi="Arial" w:cs="Arial"/>
              </w:rPr>
            </w:pPr>
            <w:r w:rsidRPr="00DE6ACB">
              <w:rPr>
                <w:rFonts w:ascii="Arial" w:hAnsi="Arial" w:cs="Arial"/>
              </w:rPr>
              <w:t>1.506.000</w:t>
            </w:r>
          </w:p>
        </w:tc>
        <w:tc>
          <w:tcPr>
            <w:tcW w:w="1486" w:type="dxa"/>
          </w:tcPr>
          <w:p w:rsidR="00D849AA" w:rsidRPr="00DE6ACB" w:rsidRDefault="00EE6D95">
            <w:pPr>
              <w:rPr>
                <w:rFonts w:ascii="Arial" w:hAnsi="Arial" w:cs="Arial"/>
              </w:rPr>
            </w:pPr>
            <w:r w:rsidRPr="00DE6ACB">
              <w:rPr>
                <w:rFonts w:ascii="Arial" w:hAnsi="Arial" w:cs="Arial"/>
              </w:rPr>
              <w:t>1.506.000</w:t>
            </w:r>
          </w:p>
        </w:tc>
        <w:tc>
          <w:tcPr>
            <w:tcW w:w="1486" w:type="dxa"/>
          </w:tcPr>
          <w:p w:rsidR="00D849AA" w:rsidRPr="00DE6ACB" w:rsidRDefault="00EE6D95">
            <w:pPr>
              <w:rPr>
                <w:rFonts w:ascii="Arial" w:hAnsi="Arial" w:cs="Arial"/>
              </w:rPr>
            </w:pPr>
            <w:r w:rsidRPr="00DE6ACB">
              <w:rPr>
                <w:rFonts w:ascii="Arial" w:hAnsi="Arial" w:cs="Arial"/>
              </w:rPr>
              <w:t>100,4</w:t>
            </w:r>
          </w:p>
        </w:tc>
      </w:tr>
    </w:tbl>
    <w:p w:rsidR="00D849AA" w:rsidRDefault="00EE6D95">
      <w:pPr>
        <w:pStyle w:val="Normal6"/>
      </w:pPr>
      <w:r>
        <w:lastRenderedPageBreak/>
        <w:t xml:space="preserve">Cilj je definirati tekuće programe i projekte hrvatske razvojne suradnje i humanitarne pomoći, kao i identificirati nove izazove te odgovore na njih. Pružajući razvojnu i humanitarnu pomoć Hrvatima izvan RH, Državni ured za Hrvate izvan Republike Hrvatske ujedno provodi Milenijske razvojne ciljeve Ujedinjenih naroda kroz regionalne programe pomoći prema tematskim prioritetima kao što su: osiguranje osnovnog obrazovanja, promicanje ravnopravnosti spolova i osnaživanje uloge žena, osiguranje održivosti okoliša te razvijanje globalne suradnje za razvoj.  </w:t>
      </w:r>
    </w:p>
    <w:p w:rsidR="00D849AA" w:rsidRDefault="00EE6D95">
      <w:pPr>
        <w:pStyle w:val="Normal6"/>
      </w:pPr>
      <w:r>
        <w:t>Programi pomoći hrvatskoj manjini u inozemstvu ostvaruju se dijelom i kroz ovu aktivnost, a odnose se na stalnu financijsku potporu hrvatskim nacionalnim manjinama u inozemstvu kroz financiranje njihovih udruga. Kroz ovu aktivnost se financiraju hrvatske udruge u BiH, Crnoj Gori i drugim susjednim zemljama.</w:t>
      </w:r>
    </w:p>
    <w:p w:rsidR="00D849AA" w:rsidRDefault="00EE6D95">
      <w:pPr>
        <w:pStyle w:val="Naslov6"/>
      </w:pPr>
      <w:r>
        <w:t>A862019 STIPENDIJE ZA STUDENTE I UČENIKE PRIPADNIKE HRVATSKOG NARODA IZVAN RH - MEĐUNARODNA RAZVOJNA SURADNJA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DE6ACB" w:rsidRDefault="00EE6D95">
            <w:pPr>
              <w:pStyle w:val="CellHeader"/>
            </w:pPr>
            <w:r w:rsidRPr="00DE6ACB">
              <w:t>Naziv aktivnosti</w:t>
            </w:r>
          </w:p>
        </w:tc>
        <w:tc>
          <w:tcPr>
            <w:tcW w:w="1486" w:type="dxa"/>
            <w:shd w:val="clear" w:color="auto" w:fill="B5C0D8"/>
          </w:tcPr>
          <w:p w:rsidR="00D849AA" w:rsidRPr="00DE6ACB" w:rsidRDefault="00EE6D95">
            <w:pPr>
              <w:pStyle w:val="CellHeader"/>
            </w:pPr>
            <w:r w:rsidRPr="00DE6ACB">
              <w:t>Plan 2013.</w:t>
            </w:r>
          </w:p>
        </w:tc>
        <w:tc>
          <w:tcPr>
            <w:tcW w:w="1486" w:type="dxa"/>
            <w:shd w:val="clear" w:color="auto" w:fill="B5C0D8"/>
          </w:tcPr>
          <w:p w:rsidR="00D849AA" w:rsidRPr="00DE6ACB" w:rsidRDefault="00EE6D95">
            <w:pPr>
              <w:pStyle w:val="CellHeader"/>
            </w:pPr>
            <w:r w:rsidRPr="00DE6ACB">
              <w:t>Plan 2014.</w:t>
            </w:r>
          </w:p>
        </w:tc>
        <w:tc>
          <w:tcPr>
            <w:tcW w:w="1486" w:type="dxa"/>
            <w:shd w:val="clear" w:color="auto" w:fill="B5C0D8"/>
          </w:tcPr>
          <w:p w:rsidR="00D849AA" w:rsidRPr="00DE6ACB" w:rsidRDefault="00EE6D95">
            <w:pPr>
              <w:pStyle w:val="CellHeader"/>
            </w:pPr>
            <w:r w:rsidRPr="00DE6ACB">
              <w:t>Plan 2015.</w:t>
            </w:r>
          </w:p>
        </w:tc>
        <w:tc>
          <w:tcPr>
            <w:tcW w:w="1486" w:type="dxa"/>
            <w:shd w:val="clear" w:color="auto" w:fill="B5C0D8"/>
          </w:tcPr>
          <w:p w:rsidR="00D849AA" w:rsidRPr="00DE6ACB" w:rsidRDefault="00EE6D95">
            <w:pPr>
              <w:pStyle w:val="CellHeader"/>
            </w:pPr>
            <w:r w:rsidRPr="00DE6ACB">
              <w:t>Plan 2016.</w:t>
            </w:r>
          </w:p>
        </w:tc>
        <w:tc>
          <w:tcPr>
            <w:tcW w:w="1486" w:type="dxa"/>
            <w:shd w:val="clear" w:color="auto" w:fill="B5C0D8"/>
          </w:tcPr>
          <w:p w:rsidR="00D849AA" w:rsidRPr="00DE6ACB" w:rsidRDefault="00EE6D95">
            <w:pPr>
              <w:pStyle w:val="CellHeader"/>
            </w:pPr>
            <w:r w:rsidRPr="00DE6ACB">
              <w:t>Indeks 2014/2013</w:t>
            </w:r>
          </w:p>
        </w:tc>
      </w:tr>
      <w:tr w:rsidR="00D849AA">
        <w:trPr>
          <w:jc w:val="center"/>
        </w:trPr>
        <w:tc>
          <w:tcPr>
            <w:tcW w:w="1486" w:type="dxa"/>
          </w:tcPr>
          <w:p w:rsidR="00D849AA" w:rsidRPr="00DE6ACB" w:rsidRDefault="00EE6D95">
            <w:pPr>
              <w:pStyle w:val="CellColumn"/>
            </w:pPr>
            <w:r w:rsidRPr="00DE6ACB">
              <w:t>A862019</w:t>
            </w:r>
          </w:p>
        </w:tc>
        <w:tc>
          <w:tcPr>
            <w:tcW w:w="1486" w:type="dxa"/>
          </w:tcPr>
          <w:p w:rsidR="00D849AA" w:rsidRPr="00DE6ACB" w:rsidRDefault="00EE6D95">
            <w:pPr>
              <w:rPr>
                <w:rFonts w:ascii="Arial" w:hAnsi="Arial" w:cs="Arial"/>
              </w:rPr>
            </w:pPr>
            <w:r w:rsidRPr="00DE6ACB">
              <w:rPr>
                <w:rFonts w:ascii="Arial" w:hAnsi="Arial" w:cs="Arial"/>
              </w:rPr>
              <w:t>2.220.000</w:t>
            </w:r>
          </w:p>
        </w:tc>
        <w:tc>
          <w:tcPr>
            <w:tcW w:w="1486" w:type="dxa"/>
          </w:tcPr>
          <w:p w:rsidR="00D849AA" w:rsidRPr="00DE6ACB" w:rsidRDefault="00EE6D95">
            <w:pPr>
              <w:rPr>
                <w:rFonts w:ascii="Arial" w:hAnsi="Arial" w:cs="Arial"/>
              </w:rPr>
            </w:pPr>
            <w:r w:rsidRPr="00DE6ACB">
              <w:rPr>
                <w:rFonts w:ascii="Arial" w:hAnsi="Arial" w:cs="Arial"/>
              </w:rPr>
              <w:t>2.229.000</w:t>
            </w:r>
          </w:p>
        </w:tc>
        <w:tc>
          <w:tcPr>
            <w:tcW w:w="1486" w:type="dxa"/>
          </w:tcPr>
          <w:p w:rsidR="00D849AA" w:rsidRPr="00DE6ACB" w:rsidRDefault="00EE6D95">
            <w:pPr>
              <w:rPr>
                <w:rFonts w:ascii="Arial" w:hAnsi="Arial" w:cs="Arial"/>
              </w:rPr>
            </w:pPr>
            <w:r w:rsidRPr="00DE6ACB">
              <w:rPr>
                <w:rFonts w:ascii="Arial" w:hAnsi="Arial" w:cs="Arial"/>
              </w:rPr>
              <w:t>2.730.000</w:t>
            </w:r>
          </w:p>
        </w:tc>
        <w:tc>
          <w:tcPr>
            <w:tcW w:w="1486" w:type="dxa"/>
          </w:tcPr>
          <w:p w:rsidR="00D849AA" w:rsidRPr="00DE6ACB" w:rsidRDefault="00EE6D95">
            <w:pPr>
              <w:rPr>
                <w:rFonts w:ascii="Arial" w:hAnsi="Arial" w:cs="Arial"/>
              </w:rPr>
            </w:pPr>
            <w:r w:rsidRPr="00DE6ACB">
              <w:rPr>
                <w:rFonts w:ascii="Arial" w:hAnsi="Arial" w:cs="Arial"/>
              </w:rPr>
              <w:t>2.730.000</w:t>
            </w:r>
          </w:p>
        </w:tc>
        <w:tc>
          <w:tcPr>
            <w:tcW w:w="1486" w:type="dxa"/>
          </w:tcPr>
          <w:p w:rsidR="00D849AA" w:rsidRPr="00DE6ACB" w:rsidRDefault="00EE6D95">
            <w:pPr>
              <w:rPr>
                <w:rFonts w:ascii="Arial" w:hAnsi="Arial" w:cs="Arial"/>
              </w:rPr>
            </w:pPr>
            <w:r w:rsidRPr="00DE6ACB">
              <w:rPr>
                <w:rFonts w:ascii="Arial" w:hAnsi="Arial" w:cs="Arial"/>
              </w:rPr>
              <w:t>100,4</w:t>
            </w:r>
          </w:p>
        </w:tc>
      </w:tr>
    </w:tbl>
    <w:p w:rsidR="00D849AA" w:rsidRDefault="00D849AA">
      <w:pPr>
        <w:jc w:val="left"/>
      </w:pPr>
    </w:p>
    <w:p w:rsidR="00D849AA" w:rsidRDefault="00EE6D95">
      <w:pPr>
        <w:pStyle w:val="Normal6"/>
      </w:pPr>
      <w:r>
        <w:t>Stipendije za studente i učenike pripadnike hrvatskog naroda planirane su na ovoj aktivnosti, a dodjeljuju se temeljem Pravilnika o stipendiranju učenika i studenata u RH od 23. svibnja 2012.godine.  U okviru ove aktivnosti Državni ured za Hrvate izvan Republike Hrvatske dodjeljuje stipendije pripadnicima hrvatskog naroda izvan Republike Hrvatske uglavnom iz BiH, a koji pohađaju srednje škole ili visoka učilišta na području Republike Hrvatske. Pravo na stipendiju ostvaruje se putem javnog natječaja prema utvrđenim kriterijima za dodjeljivanje stipendija.</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DE6ACB" w:rsidRDefault="00EE6D95">
            <w:pPr>
              <w:rPr>
                <w:rFonts w:ascii="Arial" w:hAnsi="Arial" w:cs="Arial"/>
              </w:rPr>
            </w:pPr>
            <w:r w:rsidRPr="00DE6ACB">
              <w:rPr>
                <w:rFonts w:ascii="Arial" w:hAnsi="Arial" w:cs="Arial"/>
              </w:rPr>
              <w:t>Pokazatelj rezultata</w:t>
            </w:r>
          </w:p>
        </w:tc>
        <w:tc>
          <w:tcPr>
            <w:tcW w:w="1114" w:type="dxa"/>
            <w:shd w:val="clear" w:color="auto" w:fill="B5C0D8"/>
          </w:tcPr>
          <w:p w:rsidR="00D849AA" w:rsidRPr="00DE6ACB" w:rsidRDefault="00EE6D95">
            <w:pPr>
              <w:pStyle w:val="CellHeader"/>
            </w:pPr>
            <w:r w:rsidRPr="00DE6ACB">
              <w:t>Jedinica</w:t>
            </w:r>
          </w:p>
        </w:tc>
        <w:tc>
          <w:tcPr>
            <w:tcW w:w="1114" w:type="dxa"/>
            <w:shd w:val="clear" w:color="auto" w:fill="B5C0D8"/>
          </w:tcPr>
          <w:p w:rsidR="00D849AA" w:rsidRPr="00DE6ACB" w:rsidRDefault="00EE6D95">
            <w:pPr>
              <w:pStyle w:val="CellHeader"/>
            </w:pPr>
            <w:r w:rsidRPr="00DE6ACB">
              <w:t>Polazna vrijednost</w:t>
            </w:r>
          </w:p>
        </w:tc>
        <w:tc>
          <w:tcPr>
            <w:tcW w:w="1486" w:type="dxa"/>
            <w:shd w:val="clear" w:color="auto" w:fill="B5C0D8"/>
          </w:tcPr>
          <w:p w:rsidR="00D849AA" w:rsidRPr="00DE6ACB" w:rsidRDefault="00EE6D95">
            <w:pPr>
              <w:pStyle w:val="CellHeader"/>
            </w:pPr>
            <w:r w:rsidRPr="00DE6ACB">
              <w:t>Ciljana vrijednost (2014.)</w:t>
            </w:r>
          </w:p>
        </w:tc>
        <w:tc>
          <w:tcPr>
            <w:tcW w:w="1486" w:type="dxa"/>
            <w:shd w:val="clear" w:color="auto" w:fill="B5C0D8"/>
          </w:tcPr>
          <w:p w:rsidR="00D849AA" w:rsidRPr="00DE6ACB" w:rsidRDefault="00EE6D95">
            <w:pPr>
              <w:pStyle w:val="CellHeader"/>
            </w:pPr>
            <w:r w:rsidRPr="00DE6ACB">
              <w:t>Ciljana vrijednost (2015.)</w:t>
            </w:r>
          </w:p>
        </w:tc>
        <w:tc>
          <w:tcPr>
            <w:tcW w:w="1486" w:type="dxa"/>
            <w:shd w:val="clear" w:color="auto" w:fill="B5C0D8"/>
          </w:tcPr>
          <w:p w:rsidR="00D849AA" w:rsidRPr="00DE6ACB" w:rsidRDefault="00EE6D95">
            <w:pPr>
              <w:pStyle w:val="CellHeader"/>
            </w:pPr>
            <w:r w:rsidRPr="00DE6ACB">
              <w:t>Ciljana vrijednost (2016.)</w:t>
            </w:r>
          </w:p>
        </w:tc>
      </w:tr>
      <w:tr w:rsidR="00D849AA">
        <w:trPr>
          <w:jc w:val="center"/>
        </w:trPr>
        <w:tc>
          <w:tcPr>
            <w:tcW w:w="2229" w:type="dxa"/>
          </w:tcPr>
          <w:p w:rsidR="00D849AA" w:rsidRPr="00DE6ACB" w:rsidRDefault="00EE6D95">
            <w:pPr>
              <w:pStyle w:val="CellColumn"/>
            </w:pPr>
            <w:r w:rsidRPr="00DE6ACB">
              <w:t>Broj dodijeljenih učeničkih i studentskih stipendija</w:t>
            </w:r>
          </w:p>
        </w:tc>
        <w:tc>
          <w:tcPr>
            <w:tcW w:w="1114" w:type="dxa"/>
          </w:tcPr>
          <w:p w:rsidR="00D849AA" w:rsidRPr="00DE6ACB" w:rsidRDefault="00EE6D95">
            <w:pPr>
              <w:rPr>
                <w:rFonts w:ascii="Arial" w:hAnsi="Arial" w:cs="Arial"/>
              </w:rPr>
            </w:pPr>
            <w:r w:rsidRPr="00DE6ACB">
              <w:rPr>
                <w:rFonts w:ascii="Arial" w:hAnsi="Arial" w:cs="Arial"/>
              </w:rPr>
              <w:t>Broj</w:t>
            </w:r>
          </w:p>
        </w:tc>
        <w:tc>
          <w:tcPr>
            <w:tcW w:w="1114" w:type="dxa"/>
          </w:tcPr>
          <w:p w:rsidR="00D849AA" w:rsidRPr="00DE6ACB" w:rsidRDefault="00EE6D95">
            <w:pPr>
              <w:rPr>
                <w:rFonts w:ascii="Arial" w:hAnsi="Arial" w:cs="Arial"/>
              </w:rPr>
            </w:pPr>
            <w:r w:rsidRPr="00DE6ACB">
              <w:rPr>
                <w:rFonts w:ascii="Arial" w:hAnsi="Arial" w:cs="Arial"/>
              </w:rPr>
              <w:t>500</w:t>
            </w:r>
          </w:p>
        </w:tc>
        <w:tc>
          <w:tcPr>
            <w:tcW w:w="1486" w:type="dxa"/>
          </w:tcPr>
          <w:p w:rsidR="00D849AA" w:rsidRPr="00DE6ACB" w:rsidRDefault="00EE6D95">
            <w:pPr>
              <w:rPr>
                <w:rFonts w:ascii="Arial" w:hAnsi="Arial" w:cs="Arial"/>
              </w:rPr>
            </w:pPr>
            <w:r w:rsidRPr="00DE6ACB">
              <w:rPr>
                <w:rFonts w:ascii="Arial" w:hAnsi="Arial" w:cs="Arial"/>
              </w:rPr>
              <w:t>550</w:t>
            </w:r>
          </w:p>
        </w:tc>
        <w:tc>
          <w:tcPr>
            <w:tcW w:w="1486" w:type="dxa"/>
          </w:tcPr>
          <w:p w:rsidR="00D849AA" w:rsidRPr="00DE6ACB" w:rsidRDefault="00EE6D95">
            <w:pPr>
              <w:rPr>
                <w:rFonts w:ascii="Arial" w:hAnsi="Arial" w:cs="Arial"/>
              </w:rPr>
            </w:pPr>
            <w:r w:rsidRPr="00DE6ACB">
              <w:rPr>
                <w:rFonts w:ascii="Arial" w:hAnsi="Arial" w:cs="Arial"/>
              </w:rPr>
              <w:t>600</w:t>
            </w:r>
          </w:p>
        </w:tc>
        <w:tc>
          <w:tcPr>
            <w:tcW w:w="1486" w:type="dxa"/>
          </w:tcPr>
          <w:p w:rsidR="00D849AA" w:rsidRPr="00DE6ACB" w:rsidRDefault="00EE6D95">
            <w:pPr>
              <w:rPr>
                <w:rFonts w:ascii="Arial" w:hAnsi="Arial" w:cs="Arial"/>
              </w:rPr>
            </w:pPr>
            <w:r w:rsidRPr="00DE6ACB">
              <w:rPr>
                <w:rFonts w:ascii="Arial" w:hAnsi="Arial" w:cs="Arial"/>
              </w:rPr>
              <w:t>650</w:t>
            </w:r>
          </w:p>
        </w:tc>
      </w:tr>
      <w:tr w:rsidR="00D849AA">
        <w:trPr>
          <w:jc w:val="center"/>
        </w:trPr>
        <w:tc>
          <w:tcPr>
            <w:tcW w:w="2229" w:type="dxa"/>
          </w:tcPr>
          <w:p w:rsidR="00D849AA" w:rsidRPr="00DE6ACB" w:rsidRDefault="00EE6D95">
            <w:pPr>
              <w:pStyle w:val="CellColumn"/>
            </w:pPr>
            <w:r w:rsidRPr="00DE6ACB">
              <w:t>Broj ostvarenih smještaja u đačkim i studentskim domovima</w:t>
            </w:r>
          </w:p>
        </w:tc>
        <w:tc>
          <w:tcPr>
            <w:tcW w:w="1114" w:type="dxa"/>
          </w:tcPr>
          <w:p w:rsidR="00D849AA" w:rsidRPr="00DE6ACB" w:rsidRDefault="00EE6D95">
            <w:pPr>
              <w:rPr>
                <w:rFonts w:ascii="Arial" w:hAnsi="Arial" w:cs="Arial"/>
              </w:rPr>
            </w:pPr>
            <w:r w:rsidRPr="00DE6ACB">
              <w:rPr>
                <w:rFonts w:ascii="Arial" w:hAnsi="Arial" w:cs="Arial"/>
              </w:rPr>
              <w:t>Broj</w:t>
            </w:r>
          </w:p>
        </w:tc>
        <w:tc>
          <w:tcPr>
            <w:tcW w:w="1114" w:type="dxa"/>
          </w:tcPr>
          <w:p w:rsidR="00D849AA" w:rsidRPr="00DE6ACB" w:rsidRDefault="00EE6D95">
            <w:pPr>
              <w:rPr>
                <w:rFonts w:ascii="Arial" w:hAnsi="Arial" w:cs="Arial"/>
              </w:rPr>
            </w:pPr>
            <w:r w:rsidRPr="00DE6ACB">
              <w:rPr>
                <w:rFonts w:ascii="Arial" w:hAnsi="Arial" w:cs="Arial"/>
              </w:rPr>
              <w:t>100</w:t>
            </w:r>
          </w:p>
        </w:tc>
        <w:tc>
          <w:tcPr>
            <w:tcW w:w="1486" w:type="dxa"/>
          </w:tcPr>
          <w:p w:rsidR="00D849AA" w:rsidRPr="00DE6ACB" w:rsidRDefault="00EE6D95">
            <w:pPr>
              <w:rPr>
                <w:rFonts w:ascii="Arial" w:hAnsi="Arial" w:cs="Arial"/>
              </w:rPr>
            </w:pPr>
            <w:r w:rsidRPr="00DE6ACB">
              <w:rPr>
                <w:rFonts w:ascii="Arial" w:hAnsi="Arial" w:cs="Arial"/>
              </w:rPr>
              <w:t>120</w:t>
            </w:r>
          </w:p>
        </w:tc>
        <w:tc>
          <w:tcPr>
            <w:tcW w:w="1486" w:type="dxa"/>
          </w:tcPr>
          <w:p w:rsidR="00D849AA" w:rsidRPr="00DE6ACB" w:rsidRDefault="00EE6D95">
            <w:pPr>
              <w:rPr>
                <w:rFonts w:ascii="Arial" w:hAnsi="Arial" w:cs="Arial"/>
              </w:rPr>
            </w:pPr>
            <w:r w:rsidRPr="00DE6ACB">
              <w:rPr>
                <w:rFonts w:ascii="Arial" w:hAnsi="Arial" w:cs="Arial"/>
              </w:rPr>
              <w:t>150</w:t>
            </w:r>
          </w:p>
        </w:tc>
        <w:tc>
          <w:tcPr>
            <w:tcW w:w="1486" w:type="dxa"/>
          </w:tcPr>
          <w:p w:rsidR="00D849AA" w:rsidRPr="00DE6ACB" w:rsidRDefault="00EE6D95">
            <w:pPr>
              <w:rPr>
                <w:rFonts w:ascii="Arial" w:hAnsi="Arial" w:cs="Arial"/>
              </w:rPr>
            </w:pPr>
            <w:r w:rsidRPr="00DE6ACB">
              <w:rPr>
                <w:rFonts w:ascii="Arial" w:hAnsi="Arial" w:cs="Arial"/>
              </w:rPr>
              <w:t>170</w:t>
            </w:r>
          </w:p>
        </w:tc>
      </w:tr>
    </w:tbl>
    <w:p w:rsidR="00D849AA" w:rsidRDefault="00D849AA">
      <w:pPr>
        <w:jc w:val="left"/>
      </w:pPr>
    </w:p>
    <w:p w:rsidR="00D849AA" w:rsidRDefault="00EE6D95">
      <w:pPr>
        <w:pStyle w:val="Naslov6"/>
      </w:pPr>
      <w:r>
        <w:t>A862020 POTICAJI ZA OBRAZOVANJE, KULTURU, ZNANOST I ZDRAVSTVO U BIH - MEĐUNARODNA RAZVOJNA SURADNJA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rsidRPr="00DE6ACB">
        <w:trPr>
          <w:jc w:val="center"/>
        </w:trPr>
        <w:tc>
          <w:tcPr>
            <w:tcW w:w="1486" w:type="dxa"/>
            <w:shd w:val="clear" w:color="auto" w:fill="B5C0D8"/>
          </w:tcPr>
          <w:p w:rsidR="00D849AA" w:rsidRPr="00DE6ACB" w:rsidRDefault="00EE6D95">
            <w:pPr>
              <w:pStyle w:val="CellHeader"/>
            </w:pPr>
            <w:r w:rsidRPr="00DE6ACB">
              <w:t>Naziv aktivnosti</w:t>
            </w:r>
          </w:p>
        </w:tc>
        <w:tc>
          <w:tcPr>
            <w:tcW w:w="1486" w:type="dxa"/>
            <w:shd w:val="clear" w:color="auto" w:fill="B5C0D8"/>
          </w:tcPr>
          <w:p w:rsidR="00D849AA" w:rsidRPr="00DE6ACB" w:rsidRDefault="00EE6D95">
            <w:pPr>
              <w:pStyle w:val="CellHeader"/>
            </w:pPr>
            <w:r w:rsidRPr="00DE6ACB">
              <w:t>Plan 2013.</w:t>
            </w:r>
          </w:p>
        </w:tc>
        <w:tc>
          <w:tcPr>
            <w:tcW w:w="1486" w:type="dxa"/>
            <w:shd w:val="clear" w:color="auto" w:fill="B5C0D8"/>
          </w:tcPr>
          <w:p w:rsidR="00D849AA" w:rsidRPr="00DE6ACB" w:rsidRDefault="00EE6D95">
            <w:pPr>
              <w:pStyle w:val="CellHeader"/>
            </w:pPr>
            <w:r w:rsidRPr="00DE6ACB">
              <w:t>Plan 2014.</w:t>
            </w:r>
          </w:p>
        </w:tc>
        <w:tc>
          <w:tcPr>
            <w:tcW w:w="1486" w:type="dxa"/>
            <w:shd w:val="clear" w:color="auto" w:fill="B5C0D8"/>
          </w:tcPr>
          <w:p w:rsidR="00D849AA" w:rsidRPr="00DE6ACB" w:rsidRDefault="00EE6D95">
            <w:pPr>
              <w:pStyle w:val="CellHeader"/>
            </w:pPr>
            <w:r w:rsidRPr="00DE6ACB">
              <w:t>Plan 2015.</w:t>
            </w:r>
          </w:p>
        </w:tc>
        <w:tc>
          <w:tcPr>
            <w:tcW w:w="1486" w:type="dxa"/>
            <w:shd w:val="clear" w:color="auto" w:fill="B5C0D8"/>
          </w:tcPr>
          <w:p w:rsidR="00D849AA" w:rsidRPr="00DE6ACB" w:rsidRDefault="00EE6D95">
            <w:pPr>
              <w:pStyle w:val="CellHeader"/>
            </w:pPr>
            <w:r w:rsidRPr="00DE6ACB">
              <w:t>Plan 2016.</w:t>
            </w:r>
          </w:p>
        </w:tc>
        <w:tc>
          <w:tcPr>
            <w:tcW w:w="1486" w:type="dxa"/>
            <w:shd w:val="clear" w:color="auto" w:fill="B5C0D8"/>
          </w:tcPr>
          <w:p w:rsidR="00D849AA" w:rsidRPr="00DE6ACB" w:rsidRDefault="00EE6D95">
            <w:pPr>
              <w:pStyle w:val="CellHeader"/>
            </w:pPr>
            <w:r w:rsidRPr="00DE6ACB">
              <w:t>Indeks 2014/2013</w:t>
            </w:r>
          </w:p>
        </w:tc>
      </w:tr>
      <w:tr w:rsidR="00D849AA" w:rsidRPr="00DE6ACB">
        <w:trPr>
          <w:jc w:val="center"/>
        </w:trPr>
        <w:tc>
          <w:tcPr>
            <w:tcW w:w="1486" w:type="dxa"/>
          </w:tcPr>
          <w:p w:rsidR="00D849AA" w:rsidRPr="00DE6ACB" w:rsidRDefault="00EE6D95">
            <w:pPr>
              <w:pStyle w:val="CellColumn"/>
            </w:pPr>
            <w:r w:rsidRPr="00DE6ACB">
              <w:t>A862020</w:t>
            </w:r>
          </w:p>
        </w:tc>
        <w:tc>
          <w:tcPr>
            <w:tcW w:w="1486" w:type="dxa"/>
          </w:tcPr>
          <w:p w:rsidR="00D849AA" w:rsidRPr="00DE6ACB" w:rsidRDefault="00EE6D95">
            <w:pPr>
              <w:rPr>
                <w:rFonts w:ascii="Arial" w:hAnsi="Arial" w:cs="Arial"/>
              </w:rPr>
            </w:pPr>
            <w:r w:rsidRPr="00DE6ACB">
              <w:rPr>
                <w:rFonts w:ascii="Arial" w:hAnsi="Arial" w:cs="Arial"/>
              </w:rPr>
              <w:t>20.000.000</w:t>
            </w:r>
          </w:p>
        </w:tc>
        <w:tc>
          <w:tcPr>
            <w:tcW w:w="1486" w:type="dxa"/>
          </w:tcPr>
          <w:p w:rsidR="00D849AA" w:rsidRPr="00DE6ACB" w:rsidRDefault="00EE6D95">
            <w:pPr>
              <w:rPr>
                <w:rFonts w:ascii="Arial" w:hAnsi="Arial" w:cs="Arial"/>
              </w:rPr>
            </w:pPr>
            <w:r w:rsidRPr="00DE6ACB">
              <w:rPr>
                <w:rFonts w:ascii="Arial" w:hAnsi="Arial" w:cs="Arial"/>
              </w:rPr>
              <w:t>20.080.000</w:t>
            </w:r>
          </w:p>
        </w:tc>
        <w:tc>
          <w:tcPr>
            <w:tcW w:w="1486" w:type="dxa"/>
          </w:tcPr>
          <w:p w:rsidR="00D849AA" w:rsidRPr="00DE6ACB" w:rsidRDefault="00EE6D95">
            <w:pPr>
              <w:rPr>
                <w:rFonts w:ascii="Arial" w:hAnsi="Arial" w:cs="Arial"/>
              </w:rPr>
            </w:pPr>
            <w:r w:rsidRPr="00DE6ACB">
              <w:rPr>
                <w:rFonts w:ascii="Arial" w:hAnsi="Arial" w:cs="Arial"/>
              </w:rPr>
              <w:t>21.084.000</w:t>
            </w:r>
          </w:p>
        </w:tc>
        <w:tc>
          <w:tcPr>
            <w:tcW w:w="1486" w:type="dxa"/>
          </w:tcPr>
          <w:p w:rsidR="00D849AA" w:rsidRPr="00DE6ACB" w:rsidRDefault="00EE6D95">
            <w:pPr>
              <w:rPr>
                <w:rFonts w:ascii="Arial" w:hAnsi="Arial" w:cs="Arial"/>
              </w:rPr>
            </w:pPr>
            <w:r w:rsidRPr="00DE6ACB">
              <w:rPr>
                <w:rFonts w:ascii="Arial" w:hAnsi="Arial" w:cs="Arial"/>
              </w:rPr>
              <w:t>21.084.000</w:t>
            </w:r>
          </w:p>
        </w:tc>
        <w:tc>
          <w:tcPr>
            <w:tcW w:w="1486" w:type="dxa"/>
          </w:tcPr>
          <w:p w:rsidR="00D849AA" w:rsidRPr="00DE6ACB" w:rsidRDefault="00EE6D95">
            <w:pPr>
              <w:rPr>
                <w:rFonts w:ascii="Arial" w:hAnsi="Arial" w:cs="Arial"/>
              </w:rPr>
            </w:pPr>
            <w:r w:rsidRPr="00DE6ACB">
              <w:rPr>
                <w:rFonts w:ascii="Arial" w:hAnsi="Arial" w:cs="Arial"/>
              </w:rPr>
              <w:t>100,4</w:t>
            </w:r>
          </w:p>
        </w:tc>
      </w:tr>
    </w:tbl>
    <w:p w:rsidR="00D849AA" w:rsidRPr="00DE6ACB" w:rsidRDefault="00D849AA">
      <w:pPr>
        <w:jc w:val="left"/>
        <w:rPr>
          <w:rFonts w:ascii="Arial" w:hAnsi="Arial" w:cs="Arial"/>
        </w:rPr>
      </w:pPr>
    </w:p>
    <w:p w:rsidR="00D849AA" w:rsidRDefault="00EE6D95">
      <w:pPr>
        <w:pStyle w:val="Normal6"/>
      </w:pPr>
      <w:r>
        <w:lastRenderedPageBreak/>
        <w:t xml:space="preserve">Obzirom na članstvo Republike Hrvatske u Europskoj uniji, prihvaćena je obveza pomaganja stanovništvu i organizacijama zemalja u razvoju i tranziciji pružanjem financijske i/ili drugih vrsta podrške. U tom kontekstu europske organizacije civilnog društva obvezuju se, i već dugi niz godina povezuju u Platforme, čineći napore kako bi se razvojne politike uvrstile u najuže političke prioritete razvijenih zemalja, a posebice u prioritetne političke ciljeve europskih institucija.  </w:t>
      </w:r>
    </w:p>
    <w:p w:rsidR="00D849AA" w:rsidRDefault="00EE6D95">
      <w:pPr>
        <w:pStyle w:val="Normal6"/>
      </w:pPr>
      <w:r>
        <w:t xml:space="preserve">Cilj je definirati tekuće programe i projekte hrvatske razvojne suradnje i humanitarne pomoći, kao i identificirati nove izazove te odgovore na njih. Pružajući razvojnu i humanitarnu pomoć Hrvatima izvan RH, Državni ured za Hrvate izvan Republike Hrvatske ujedno provodi Milenijske razvojne ciljeve Ujedinjenih naroda kroz regionalne programe pomoći prema tematskim prioritetima kao što su: osiguranje osnovnog obrazovanja, promicanje ravnopravnosti spolova i osnaživanje uloge žena, osiguranje održivosti okoliša te razvijanje globalne suradnje za razvoj.  </w:t>
      </w:r>
    </w:p>
    <w:p w:rsidR="00D849AA" w:rsidRDefault="00EE6D95">
      <w:pPr>
        <w:pStyle w:val="Normal6"/>
      </w:pPr>
      <w:r>
        <w:t xml:space="preserve">Republika Hrvatska poprimila je obilježje zemlje donatora te je od 1. siječnja 2011. godine, sukladno kriterijima Odbora za razvojnu suradnju, Organizacije za ekonomsku suradnju i razvoj (OECD/DAC) ona i službeno postala zemljom pružateljicom razvojne pomoći. Financijskim doprinosom Državni ured za Hrvate izvan Republike Hrvatske aktivno provodi programe i projekte razvojne suradnje u skladu s Nacionalnom strategijom razvojne suradnje, posebice u području reformskih procesa za usklađivanje društva sa EU standardima, prijenosa iskustava iz specifičnih ratnih i poratnih okolnosti, obrazovanja, obuke stručnjaka i osoblja, zdravstva i ostalog. </w:t>
      </w:r>
    </w:p>
    <w:p w:rsidR="00D849AA" w:rsidRDefault="00EE6D95">
      <w:pPr>
        <w:pStyle w:val="Normal6"/>
      </w:pPr>
      <w:r>
        <w:t xml:space="preserve">U sklopu ove aktivnosti  kao najznačajnija stavka su poticaji za obrazovanje, kulturu znanost i zdravstvo za Bosnu i Hercegovinu s ciljem zaštite interesa hrvatskoga naroda u BIH i ostvarenje preduvjeta za njihov održivi povratak i snošljivi život u BiH.  </w:t>
      </w:r>
    </w:p>
    <w:p w:rsidR="00D849AA" w:rsidRDefault="00EE6D95">
      <w:pPr>
        <w:pStyle w:val="Normal6"/>
      </w:pPr>
      <w:r>
        <w:t>Program Vlade Republike Hrvatske za Hrvate u BiH odobrava financijsku potporu zainteresiranim pravnim osobama koje su registrirane i djeluju na području BiH, a promiču interese i zaštitu Hrvata u BiH. U Javnom natječaju navedeni su kriteriji na temelju kojih se odobrava pomoć, a u dokumentaciji je potrebno obrazložiti ponuđeni projekt iz područja kulture, obrazovanja, znanosti, odnosno zdravstva. Odabir projekata vrši Povjerenstvo Vlade RH u suradnji s ministarstvima nadležnim za predmetna područja. Državni ured zaprima prijave na natječaj i koordinira sve poslove vezane uz provedbu ovoga programa. Odluku o raspodjeli sredstava donosi Vlada RH na prijedlog Povjerenstva Obzirom na brojne teškoće ostvarivanja prihvatljivog ustavno-pravnog, gospodarskog kulturnog i jezičnog položaja Hrvata u BiH, ovaj program financijske potpore ima vrlo važnu ulogu jer pruža neposrednu pomoć na područjima vezanim uz svakodnevni život.</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DE6ACB" w:rsidRDefault="00EE6D95">
            <w:pPr>
              <w:rPr>
                <w:rFonts w:ascii="Arial" w:hAnsi="Arial" w:cs="Arial"/>
              </w:rPr>
            </w:pPr>
            <w:r w:rsidRPr="00DE6ACB">
              <w:rPr>
                <w:rFonts w:ascii="Arial" w:hAnsi="Arial" w:cs="Arial"/>
              </w:rPr>
              <w:t>Pokazatelj rezultata</w:t>
            </w:r>
          </w:p>
        </w:tc>
        <w:tc>
          <w:tcPr>
            <w:tcW w:w="1114" w:type="dxa"/>
            <w:shd w:val="clear" w:color="auto" w:fill="B5C0D8"/>
          </w:tcPr>
          <w:p w:rsidR="00D849AA" w:rsidRPr="00DE6ACB" w:rsidRDefault="00EE6D95">
            <w:pPr>
              <w:pStyle w:val="CellHeader"/>
            </w:pPr>
            <w:r w:rsidRPr="00DE6ACB">
              <w:t>Jedinica</w:t>
            </w:r>
          </w:p>
        </w:tc>
        <w:tc>
          <w:tcPr>
            <w:tcW w:w="1114" w:type="dxa"/>
            <w:shd w:val="clear" w:color="auto" w:fill="B5C0D8"/>
          </w:tcPr>
          <w:p w:rsidR="00D849AA" w:rsidRPr="00DE6ACB" w:rsidRDefault="00EE6D95">
            <w:pPr>
              <w:pStyle w:val="CellHeader"/>
            </w:pPr>
            <w:r w:rsidRPr="00DE6ACB">
              <w:t>Polazna vrijednost</w:t>
            </w:r>
          </w:p>
        </w:tc>
        <w:tc>
          <w:tcPr>
            <w:tcW w:w="1486" w:type="dxa"/>
            <w:shd w:val="clear" w:color="auto" w:fill="B5C0D8"/>
          </w:tcPr>
          <w:p w:rsidR="00D849AA" w:rsidRPr="00DE6ACB" w:rsidRDefault="00EE6D95">
            <w:pPr>
              <w:pStyle w:val="CellHeader"/>
            </w:pPr>
            <w:r w:rsidRPr="00DE6ACB">
              <w:t>Ciljana vrijednost (2014.)</w:t>
            </w:r>
          </w:p>
        </w:tc>
        <w:tc>
          <w:tcPr>
            <w:tcW w:w="1486" w:type="dxa"/>
            <w:shd w:val="clear" w:color="auto" w:fill="B5C0D8"/>
          </w:tcPr>
          <w:p w:rsidR="00D849AA" w:rsidRPr="00DE6ACB" w:rsidRDefault="00EE6D95">
            <w:pPr>
              <w:pStyle w:val="CellHeader"/>
            </w:pPr>
            <w:r w:rsidRPr="00DE6ACB">
              <w:t>Ciljana vrijednost (2015.)</w:t>
            </w:r>
          </w:p>
        </w:tc>
        <w:tc>
          <w:tcPr>
            <w:tcW w:w="1486" w:type="dxa"/>
            <w:shd w:val="clear" w:color="auto" w:fill="B5C0D8"/>
          </w:tcPr>
          <w:p w:rsidR="00D849AA" w:rsidRPr="00DE6ACB" w:rsidRDefault="00EE6D95">
            <w:pPr>
              <w:pStyle w:val="CellHeader"/>
            </w:pPr>
            <w:r w:rsidRPr="00DE6ACB">
              <w:t>Ciljana vrijednost (2016.)</w:t>
            </w:r>
          </w:p>
        </w:tc>
      </w:tr>
      <w:tr w:rsidR="00D849AA">
        <w:trPr>
          <w:jc w:val="center"/>
        </w:trPr>
        <w:tc>
          <w:tcPr>
            <w:tcW w:w="2229" w:type="dxa"/>
          </w:tcPr>
          <w:p w:rsidR="00D849AA" w:rsidRPr="00DE6ACB" w:rsidRDefault="00EE6D95">
            <w:pPr>
              <w:pStyle w:val="CellColumn"/>
            </w:pPr>
            <w:r w:rsidRPr="00DE6ACB">
              <w:t>Broj održanih kulturnih manifestacija</w:t>
            </w:r>
          </w:p>
        </w:tc>
        <w:tc>
          <w:tcPr>
            <w:tcW w:w="1114" w:type="dxa"/>
          </w:tcPr>
          <w:p w:rsidR="00D849AA" w:rsidRPr="00DE6ACB" w:rsidRDefault="00EE6D95">
            <w:pPr>
              <w:rPr>
                <w:rFonts w:ascii="Arial" w:hAnsi="Arial" w:cs="Arial"/>
              </w:rPr>
            </w:pPr>
            <w:r w:rsidRPr="00DE6ACB">
              <w:rPr>
                <w:rFonts w:ascii="Arial" w:hAnsi="Arial" w:cs="Arial"/>
              </w:rPr>
              <w:t>Broj</w:t>
            </w:r>
          </w:p>
        </w:tc>
        <w:tc>
          <w:tcPr>
            <w:tcW w:w="1114" w:type="dxa"/>
          </w:tcPr>
          <w:p w:rsidR="00D849AA" w:rsidRPr="00DE6ACB" w:rsidRDefault="00EE6D95">
            <w:pPr>
              <w:rPr>
                <w:rFonts w:ascii="Arial" w:hAnsi="Arial" w:cs="Arial"/>
              </w:rPr>
            </w:pPr>
            <w:r w:rsidRPr="00DE6ACB">
              <w:rPr>
                <w:rFonts w:ascii="Arial" w:hAnsi="Arial" w:cs="Arial"/>
              </w:rPr>
              <w:t>100</w:t>
            </w:r>
          </w:p>
        </w:tc>
        <w:tc>
          <w:tcPr>
            <w:tcW w:w="1486" w:type="dxa"/>
          </w:tcPr>
          <w:p w:rsidR="00D849AA" w:rsidRPr="00DE6ACB" w:rsidRDefault="00EE6D95">
            <w:pPr>
              <w:rPr>
                <w:rFonts w:ascii="Arial" w:hAnsi="Arial" w:cs="Arial"/>
              </w:rPr>
            </w:pPr>
            <w:r w:rsidRPr="00DE6ACB">
              <w:rPr>
                <w:rFonts w:ascii="Arial" w:hAnsi="Arial" w:cs="Arial"/>
              </w:rPr>
              <w:t>100</w:t>
            </w:r>
          </w:p>
        </w:tc>
        <w:tc>
          <w:tcPr>
            <w:tcW w:w="1486" w:type="dxa"/>
          </w:tcPr>
          <w:p w:rsidR="00D849AA" w:rsidRPr="00DE6ACB" w:rsidRDefault="00EE6D95">
            <w:pPr>
              <w:rPr>
                <w:rFonts w:ascii="Arial" w:hAnsi="Arial" w:cs="Arial"/>
              </w:rPr>
            </w:pPr>
            <w:r w:rsidRPr="00DE6ACB">
              <w:rPr>
                <w:rFonts w:ascii="Arial" w:hAnsi="Arial" w:cs="Arial"/>
              </w:rPr>
              <w:t>100</w:t>
            </w:r>
          </w:p>
        </w:tc>
        <w:tc>
          <w:tcPr>
            <w:tcW w:w="1486" w:type="dxa"/>
          </w:tcPr>
          <w:p w:rsidR="00D849AA" w:rsidRPr="00DE6ACB" w:rsidRDefault="00EE6D95">
            <w:pPr>
              <w:rPr>
                <w:rFonts w:ascii="Arial" w:hAnsi="Arial" w:cs="Arial"/>
              </w:rPr>
            </w:pPr>
            <w:r w:rsidRPr="00DE6ACB">
              <w:rPr>
                <w:rFonts w:ascii="Arial" w:hAnsi="Arial" w:cs="Arial"/>
              </w:rPr>
              <w:t>100</w:t>
            </w:r>
          </w:p>
        </w:tc>
      </w:tr>
      <w:tr w:rsidR="00D849AA">
        <w:trPr>
          <w:jc w:val="center"/>
        </w:trPr>
        <w:tc>
          <w:tcPr>
            <w:tcW w:w="2229" w:type="dxa"/>
          </w:tcPr>
          <w:p w:rsidR="00D849AA" w:rsidRPr="00DE6ACB" w:rsidRDefault="00EE6D95">
            <w:pPr>
              <w:pStyle w:val="CellColumn"/>
            </w:pPr>
            <w:r w:rsidRPr="00DE6ACB">
              <w:t>Broj zajedničkih  obrazovnih, znanstvenih i športskih projekata  u zemlji i inozemstvu</w:t>
            </w:r>
          </w:p>
        </w:tc>
        <w:tc>
          <w:tcPr>
            <w:tcW w:w="1114" w:type="dxa"/>
          </w:tcPr>
          <w:p w:rsidR="00D849AA" w:rsidRPr="00DE6ACB" w:rsidRDefault="00EE6D95">
            <w:pPr>
              <w:rPr>
                <w:rFonts w:ascii="Arial" w:hAnsi="Arial" w:cs="Arial"/>
              </w:rPr>
            </w:pPr>
            <w:r w:rsidRPr="00DE6ACB">
              <w:rPr>
                <w:rFonts w:ascii="Arial" w:hAnsi="Arial" w:cs="Arial"/>
              </w:rPr>
              <w:t>Broj</w:t>
            </w:r>
          </w:p>
        </w:tc>
        <w:tc>
          <w:tcPr>
            <w:tcW w:w="1114" w:type="dxa"/>
          </w:tcPr>
          <w:p w:rsidR="00D849AA" w:rsidRPr="00DE6ACB" w:rsidRDefault="00EE6D95">
            <w:pPr>
              <w:rPr>
                <w:rFonts w:ascii="Arial" w:hAnsi="Arial" w:cs="Arial"/>
              </w:rPr>
            </w:pPr>
            <w:r w:rsidRPr="00DE6ACB">
              <w:rPr>
                <w:rFonts w:ascii="Arial" w:hAnsi="Arial" w:cs="Arial"/>
              </w:rPr>
              <w:t>100</w:t>
            </w:r>
          </w:p>
        </w:tc>
        <w:tc>
          <w:tcPr>
            <w:tcW w:w="1486" w:type="dxa"/>
          </w:tcPr>
          <w:p w:rsidR="00D849AA" w:rsidRPr="00DE6ACB" w:rsidRDefault="00EE6D95">
            <w:pPr>
              <w:rPr>
                <w:rFonts w:ascii="Arial" w:hAnsi="Arial" w:cs="Arial"/>
              </w:rPr>
            </w:pPr>
            <w:r w:rsidRPr="00DE6ACB">
              <w:rPr>
                <w:rFonts w:ascii="Arial" w:hAnsi="Arial" w:cs="Arial"/>
              </w:rPr>
              <w:t>100</w:t>
            </w:r>
          </w:p>
        </w:tc>
        <w:tc>
          <w:tcPr>
            <w:tcW w:w="1486" w:type="dxa"/>
          </w:tcPr>
          <w:p w:rsidR="00D849AA" w:rsidRPr="00DE6ACB" w:rsidRDefault="00EE6D95">
            <w:pPr>
              <w:rPr>
                <w:rFonts w:ascii="Arial" w:hAnsi="Arial" w:cs="Arial"/>
              </w:rPr>
            </w:pPr>
            <w:r w:rsidRPr="00DE6ACB">
              <w:rPr>
                <w:rFonts w:ascii="Arial" w:hAnsi="Arial" w:cs="Arial"/>
              </w:rPr>
              <w:t>100</w:t>
            </w:r>
          </w:p>
        </w:tc>
        <w:tc>
          <w:tcPr>
            <w:tcW w:w="1486" w:type="dxa"/>
          </w:tcPr>
          <w:p w:rsidR="00D849AA" w:rsidRPr="00DE6ACB" w:rsidRDefault="00EE6D95">
            <w:pPr>
              <w:rPr>
                <w:rFonts w:ascii="Arial" w:hAnsi="Arial" w:cs="Arial"/>
              </w:rPr>
            </w:pPr>
            <w:r w:rsidRPr="00DE6ACB">
              <w:rPr>
                <w:rFonts w:ascii="Arial" w:hAnsi="Arial" w:cs="Arial"/>
              </w:rPr>
              <w:t>100</w:t>
            </w:r>
          </w:p>
        </w:tc>
      </w:tr>
      <w:tr w:rsidR="00D849AA">
        <w:trPr>
          <w:jc w:val="center"/>
        </w:trPr>
        <w:tc>
          <w:tcPr>
            <w:tcW w:w="2229" w:type="dxa"/>
          </w:tcPr>
          <w:p w:rsidR="00D849AA" w:rsidRPr="00DE6ACB" w:rsidRDefault="00EE6D95">
            <w:pPr>
              <w:pStyle w:val="CellColumn"/>
            </w:pPr>
            <w:r w:rsidRPr="00DE6ACB">
              <w:t xml:space="preserve">Broj objavljenih znanstvenih radova na </w:t>
            </w:r>
            <w:r w:rsidRPr="00DE6ACB">
              <w:lastRenderedPageBreak/>
              <w:t>temu Hrvata u BiH, hrvatske manjine i iseljeništva</w:t>
            </w:r>
          </w:p>
        </w:tc>
        <w:tc>
          <w:tcPr>
            <w:tcW w:w="1114" w:type="dxa"/>
          </w:tcPr>
          <w:p w:rsidR="00D849AA" w:rsidRPr="00DE6ACB" w:rsidRDefault="00EE6D95">
            <w:pPr>
              <w:rPr>
                <w:rFonts w:ascii="Arial" w:hAnsi="Arial" w:cs="Arial"/>
              </w:rPr>
            </w:pPr>
            <w:r w:rsidRPr="00DE6ACB">
              <w:rPr>
                <w:rFonts w:ascii="Arial" w:hAnsi="Arial" w:cs="Arial"/>
              </w:rPr>
              <w:lastRenderedPageBreak/>
              <w:t>Broj</w:t>
            </w:r>
          </w:p>
        </w:tc>
        <w:tc>
          <w:tcPr>
            <w:tcW w:w="1114" w:type="dxa"/>
          </w:tcPr>
          <w:p w:rsidR="00D849AA" w:rsidRPr="00DE6ACB" w:rsidRDefault="00EE6D95">
            <w:pPr>
              <w:rPr>
                <w:rFonts w:ascii="Arial" w:hAnsi="Arial" w:cs="Arial"/>
              </w:rPr>
            </w:pPr>
            <w:r w:rsidRPr="00DE6ACB">
              <w:rPr>
                <w:rFonts w:ascii="Arial" w:hAnsi="Arial" w:cs="Arial"/>
              </w:rPr>
              <w:t>5</w:t>
            </w:r>
          </w:p>
        </w:tc>
        <w:tc>
          <w:tcPr>
            <w:tcW w:w="1486" w:type="dxa"/>
          </w:tcPr>
          <w:p w:rsidR="00D849AA" w:rsidRPr="00DE6ACB" w:rsidRDefault="00EE6D95">
            <w:pPr>
              <w:rPr>
                <w:rFonts w:ascii="Arial" w:hAnsi="Arial" w:cs="Arial"/>
              </w:rPr>
            </w:pPr>
            <w:r w:rsidRPr="00DE6ACB">
              <w:rPr>
                <w:rFonts w:ascii="Arial" w:hAnsi="Arial" w:cs="Arial"/>
              </w:rPr>
              <w:t>10</w:t>
            </w:r>
          </w:p>
        </w:tc>
        <w:tc>
          <w:tcPr>
            <w:tcW w:w="1486" w:type="dxa"/>
          </w:tcPr>
          <w:p w:rsidR="00D849AA" w:rsidRPr="00DE6ACB" w:rsidRDefault="00EE6D95">
            <w:pPr>
              <w:rPr>
                <w:rFonts w:ascii="Arial" w:hAnsi="Arial" w:cs="Arial"/>
              </w:rPr>
            </w:pPr>
            <w:r w:rsidRPr="00DE6ACB">
              <w:rPr>
                <w:rFonts w:ascii="Arial" w:hAnsi="Arial" w:cs="Arial"/>
              </w:rPr>
              <w:t>10</w:t>
            </w:r>
          </w:p>
        </w:tc>
        <w:tc>
          <w:tcPr>
            <w:tcW w:w="1486" w:type="dxa"/>
          </w:tcPr>
          <w:p w:rsidR="00D849AA" w:rsidRPr="00DE6ACB" w:rsidRDefault="00EE6D95">
            <w:pPr>
              <w:rPr>
                <w:rFonts w:ascii="Arial" w:hAnsi="Arial" w:cs="Arial"/>
              </w:rPr>
            </w:pPr>
            <w:r w:rsidRPr="00DE6ACB">
              <w:rPr>
                <w:rFonts w:ascii="Arial" w:hAnsi="Arial" w:cs="Arial"/>
              </w:rPr>
              <w:t>10</w:t>
            </w:r>
          </w:p>
        </w:tc>
      </w:tr>
      <w:tr w:rsidR="00D849AA">
        <w:trPr>
          <w:jc w:val="center"/>
        </w:trPr>
        <w:tc>
          <w:tcPr>
            <w:tcW w:w="2229" w:type="dxa"/>
          </w:tcPr>
          <w:p w:rsidR="00D849AA" w:rsidRPr="00DE6ACB" w:rsidRDefault="00EE6D95">
            <w:pPr>
              <w:pStyle w:val="CellColumn"/>
            </w:pPr>
            <w:r w:rsidRPr="00DE6ACB">
              <w:lastRenderedPageBreak/>
              <w:t>Broj gospodarskih projekata u zemlji i inozemstvu</w:t>
            </w:r>
          </w:p>
        </w:tc>
        <w:tc>
          <w:tcPr>
            <w:tcW w:w="1114" w:type="dxa"/>
          </w:tcPr>
          <w:p w:rsidR="00D849AA" w:rsidRPr="00DE6ACB" w:rsidRDefault="00EE6D95">
            <w:pPr>
              <w:rPr>
                <w:rFonts w:ascii="Arial" w:hAnsi="Arial" w:cs="Arial"/>
              </w:rPr>
            </w:pPr>
            <w:r w:rsidRPr="00DE6ACB">
              <w:rPr>
                <w:rFonts w:ascii="Arial" w:hAnsi="Arial" w:cs="Arial"/>
              </w:rPr>
              <w:t>Broj</w:t>
            </w:r>
          </w:p>
        </w:tc>
        <w:tc>
          <w:tcPr>
            <w:tcW w:w="1114" w:type="dxa"/>
          </w:tcPr>
          <w:p w:rsidR="00D849AA" w:rsidRPr="00DE6ACB" w:rsidRDefault="00EE6D95">
            <w:pPr>
              <w:rPr>
                <w:rFonts w:ascii="Arial" w:hAnsi="Arial" w:cs="Arial"/>
              </w:rPr>
            </w:pPr>
            <w:r w:rsidRPr="00DE6ACB">
              <w:rPr>
                <w:rFonts w:ascii="Arial" w:hAnsi="Arial" w:cs="Arial"/>
              </w:rPr>
              <w:t>10</w:t>
            </w:r>
          </w:p>
        </w:tc>
        <w:tc>
          <w:tcPr>
            <w:tcW w:w="1486" w:type="dxa"/>
          </w:tcPr>
          <w:p w:rsidR="00D849AA" w:rsidRPr="00DE6ACB" w:rsidRDefault="00EE6D95">
            <w:pPr>
              <w:rPr>
                <w:rFonts w:ascii="Arial" w:hAnsi="Arial" w:cs="Arial"/>
              </w:rPr>
            </w:pPr>
            <w:r w:rsidRPr="00DE6ACB">
              <w:rPr>
                <w:rFonts w:ascii="Arial" w:hAnsi="Arial" w:cs="Arial"/>
              </w:rPr>
              <w:t>20</w:t>
            </w:r>
          </w:p>
        </w:tc>
        <w:tc>
          <w:tcPr>
            <w:tcW w:w="1486" w:type="dxa"/>
          </w:tcPr>
          <w:p w:rsidR="00D849AA" w:rsidRPr="00DE6ACB" w:rsidRDefault="00EE6D95">
            <w:pPr>
              <w:rPr>
                <w:rFonts w:ascii="Arial" w:hAnsi="Arial" w:cs="Arial"/>
              </w:rPr>
            </w:pPr>
            <w:r w:rsidRPr="00DE6ACB">
              <w:rPr>
                <w:rFonts w:ascii="Arial" w:hAnsi="Arial" w:cs="Arial"/>
              </w:rPr>
              <w:t>30</w:t>
            </w:r>
          </w:p>
        </w:tc>
        <w:tc>
          <w:tcPr>
            <w:tcW w:w="1486" w:type="dxa"/>
          </w:tcPr>
          <w:p w:rsidR="00D849AA" w:rsidRPr="00DE6ACB" w:rsidRDefault="00EE6D95">
            <w:pPr>
              <w:rPr>
                <w:rFonts w:ascii="Arial" w:hAnsi="Arial" w:cs="Arial"/>
              </w:rPr>
            </w:pPr>
            <w:r w:rsidRPr="00DE6ACB">
              <w:rPr>
                <w:rFonts w:ascii="Arial" w:hAnsi="Arial" w:cs="Arial"/>
              </w:rPr>
              <w:t>35</w:t>
            </w:r>
          </w:p>
        </w:tc>
      </w:tr>
    </w:tbl>
    <w:p w:rsidR="00D849AA" w:rsidRDefault="00D849AA">
      <w:pPr>
        <w:jc w:val="left"/>
      </w:pPr>
    </w:p>
    <w:p w:rsidR="00D849AA" w:rsidRDefault="00EE6D95">
      <w:pPr>
        <w:pStyle w:val="Naslov6"/>
      </w:pPr>
      <w:r>
        <w:t>A862022 SAVJET VLADE REPUBLIKE HRVATSKE ZA HRVATE IZVAN REPUBLIKE HRVATSKE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DE6ACB" w:rsidRDefault="00EE6D95">
            <w:pPr>
              <w:pStyle w:val="CellHeader"/>
            </w:pPr>
            <w:r w:rsidRPr="00DE6ACB">
              <w:t>Naziv aktivnosti</w:t>
            </w:r>
          </w:p>
        </w:tc>
        <w:tc>
          <w:tcPr>
            <w:tcW w:w="1486" w:type="dxa"/>
            <w:shd w:val="clear" w:color="auto" w:fill="B5C0D8"/>
          </w:tcPr>
          <w:p w:rsidR="00D849AA" w:rsidRPr="00DE6ACB" w:rsidRDefault="00EE6D95">
            <w:pPr>
              <w:pStyle w:val="CellHeader"/>
            </w:pPr>
            <w:r w:rsidRPr="00DE6ACB">
              <w:t>Plan 2013.</w:t>
            </w:r>
          </w:p>
        </w:tc>
        <w:tc>
          <w:tcPr>
            <w:tcW w:w="1486" w:type="dxa"/>
            <w:shd w:val="clear" w:color="auto" w:fill="B5C0D8"/>
          </w:tcPr>
          <w:p w:rsidR="00D849AA" w:rsidRPr="00DE6ACB" w:rsidRDefault="00EE6D95">
            <w:pPr>
              <w:pStyle w:val="CellHeader"/>
            </w:pPr>
            <w:r w:rsidRPr="00DE6ACB">
              <w:t>Plan 2014.</w:t>
            </w:r>
          </w:p>
        </w:tc>
        <w:tc>
          <w:tcPr>
            <w:tcW w:w="1486" w:type="dxa"/>
            <w:shd w:val="clear" w:color="auto" w:fill="B5C0D8"/>
          </w:tcPr>
          <w:p w:rsidR="00D849AA" w:rsidRPr="00DE6ACB" w:rsidRDefault="00EE6D95">
            <w:pPr>
              <w:pStyle w:val="CellHeader"/>
            </w:pPr>
            <w:r w:rsidRPr="00DE6ACB">
              <w:t>Plan 2015.</w:t>
            </w:r>
          </w:p>
        </w:tc>
        <w:tc>
          <w:tcPr>
            <w:tcW w:w="1486" w:type="dxa"/>
            <w:shd w:val="clear" w:color="auto" w:fill="B5C0D8"/>
          </w:tcPr>
          <w:p w:rsidR="00D849AA" w:rsidRPr="00DE6ACB" w:rsidRDefault="00EE6D95">
            <w:pPr>
              <w:pStyle w:val="CellHeader"/>
            </w:pPr>
            <w:r w:rsidRPr="00DE6ACB">
              <w:t>Plan 2016.</w:t>
            </w:r>
          </w:p>
        </w:tc>
        <w:tc>
          <w:tcPr>
            <w:tcW w:w="1486" w:type="dxa"/>
            <w:shd w:val="clear" w:color="auto" w:fill="B5C0D8"/>
          </w:tcPr>
          <w:p w:rsidR="00D849AA" w:rsidRPr="00DE6ACB" w:rsidRDefault="00EE6D95">
            <w:pPr>
              <w:pStyle w:val="CellHeader"/>
            </w:pPr>
            <w:r w:rsidRPr="00DE6ACB">
              <w:t>Indeks 2014/2013</w:t>
            </w:r>
          </w:p>
        </w:tc>
      </w:tr>
      <w:tr w:rsidR="00D849AA">
        <w:trPr>
          <w:jc w:val="center"/>
        </w:trPr>
        <w:tc>
          <w:tcPr>
            <w:tcW w:w="1486" w:type="dxa"/>
          </w:tcPr>
          <w:p w:rsidR="00D849AA" w:rsidRPr="00DE6ACB" w:rsidRDefault="00EE6D95">
            <w:pPr>
              <w:pStyle w:val="CellColumn"/>
            </w:pPr>
            <w:r w:rsidRPr="00DE6ACB">
              <w:t>A862022</w:t>
            </w:r>
          </w:p>
        </w:tc>
        <w:tc>
          <w:tcPr>
            <w:tcW w:w="1486" w:type="dxa"/>
          </w:tcPr>
          <w:p w:rsidR="00D849AA" w:rsidRPr="00DE6ACB" w:rsidRDefault="00EE6D95">
            <w:pPr>
              <w:rPr>
                <w:rFonts w:ascii="Arial" w:hAnsi="Arial" w:cs="Arial"/>
              </w:rPr>
            </w:pPr>
            <w:r w:rsidRPr="00DE6ACB">
              <w:rPr>
                <w:rFonts w:ascii="Arial" w:hAnsi="Arial" w:cs="Arial"/>
              </w:rPr>
              <w:t>00</w:t>
            </w:r>
          </w:p>
        </w:tc>
        <w:tc>
          <w:tcPr>
            <w:tcW w:w="1486" w:type="dxa"/>
          </w:tcPr>
          <w:p w:rsidR="00D849AA" w:rsidRPr="00DE6ACB" w:rsidRDefault="00EE6D95">
            <w:pPr>
              <w:rPr>
                <w:rFonts w:ascii="Arial" w:hAnsi="Arial" w:cs="Arial"/>
              </w:rPr>
            </w:pPr>
            <w:r w:rsidRPr="00DE6ACB">
              <w:rPr>
                <w:rFonts w:ascii="Arial" w:hAnsi="Arial" w:cs="Arial"/>
              </w:rPr>
              <w:t>500.000</w:t>
            </w:r>
          </w:p>
        </w:tc>
        <w:tc>
          <w:tcPr>
            <w:tcW w:w="1486" w:type="dxa"/>
          </w:tcPr>
          <w:p w:rsidR="00D849AA" w:rsidRPr="00DE6ACB" w:rsidRDefault="00EE6D95">
            <w:pPr>
              <w:rPr>
                <w:rFonts w:ascii="Arial" w:hAnsi="Arial" w:cs="Arial"/>
              </w:rPr>
            </w:pPr>
            <w:r w:rsidRPr="00DE6ACB">
              <w:rPr>
                <w:rFonts w:ascii="Arial" w:hAnsi="Arial" w:cs="Arial"/>
              </w:rPr>
              <w:t>500.000</w:t>
            </w:r>
          </w:p>
        </w:tc>
        <w:tc>
          <w:tcPr>
            <w:tcW w:w="1486" w:type="dxa"/>
          </w:tcPr>
          <w:p w:rsidR="00D849AA" w:rsidRPr="00DE6ACB" w:rsidRDefault="00EE6D95">
            <w:pPr>
              <w:rPr>
                <w:rFonts w:ascii="Arial" w:hAnsi="Arial" w:cs="Arial"/>
              </w:rPr>
            </w:pPr>
            <w:r w:rsidRPr="00DE6ACB">
              <w:rPr>
                <w:rFonts w:ascii="Arial" w:hAnsi="Arial" w:cs="Arial"/>
              </w:rPr>
              <w:t>500.000</w:t>
            </w:r>
          </w:p>
        </w:tc>
        <w:tc>
          <w:tcPr>
            <w:tcW w:w="1486" w:type="dxa"/>
          </w:tcPr>
          <w:p w:rsidR="00D849AA" w:rsidRPr="00DE6ACB" w:rsidRDefault="00EE6D95">
            <w:pPr>
              <w:rPr>
                <w:rFonts w:ascii="Arial" w:hAnsi="Arial" w:cs="Arial"/>
              </w:rPr>
            </w:pPr>
            <w:r w:rsidRPr="00DE6ACB">
              <w:rPr>
                <w:rFonts w:ascii="Arial" w:hAnsi="Arial" w:cs="Arial"/>
              </w:rPr>
              <w:t>0,0</w:t>
            </w:r>
          </w:p>
        </w:tc>
      </w:tr>
    </w:tbl>
    <w:p w:rsidR="00D849AA" w:rsidRDefault="00D849AA">
      <w:pPr>
        <w:jc w:val="left"/>
      </w:pPr>
    </w:p>
    <w:p w:rsidR="00D849AA" w:rsidRDefault="00EE6D95">
      <w:pPr>
        <w:pStyle w:val="Normal6"/>
      </w:pPr>
      <w:r>
        <w:t xml:space="preserve">Sukladno Odluci Vlade RH od 6. lipnja 2013. godine, osnovan je Savjet Vlade Republike Hrvatske za Hrvate izvan Republike Hrvatske. Najmanje jednom godišnje, održat će se sastanak članova Savjeta u Republici Hrvatskoj, od kojih 55  dolazi iz inozemstva. Kao savjetodavno tijelo,  Savjet ima zadaću  pružati  pomoć Vladi RH u kreiranju i provedbi politike, aktivnosti i programa.  </w:t>
      </w:r>
    </w:p>
    <w:p w:rsidR="00D849AA" w:rsidRDefault="00EE6D95">
      <w:pPr>
        <w:pStyle w:val="Normal6"/>
      </w:pPr>
      <w:r>
        <w:t>Temeljem članka 9. Odluke, troškovi organizacije sastanka Savjeta pokrivaju se iz sredstava Državnog ureda za Hrvate izvan Republike Hrvatske.</w:t>
      </w:r>
    </w:p>
    <w:p w:rsidR="00D849AA" w:rsidRDefault="00EE6D95">
      <w:pPr>
        <w:pStyle w:val="Naslov2"/>
      </w:pPr>
      <w:r>
        <w:t>03210 Hrvatska matica iseljenika</w:t>
      </w:r>
    </w:p>
    <w:p w:rsidR="00D849AA" w:rsidRDefault="00EE6D95">
      <w:pPr>
        <w:pStyle w:val="Naslov4"/>
      </w:pPr>
      <w:r>
        <w:t>Uvod</w:t>
      </w:r>
    </w:p>
    <w:p w:rsidR="00D849AA" w:rsidRDefault="00EE6D95">
      <w:pPr>
        <w:pStyle w:val="Normal3"/>
      </w:pPr>
      <w:r>
        <w:t>Hrvatska matica iseljenika utemeljena je 1951. godine, a danas djeluje u skladu sa Zakonom o Hrvatskoj matici iseljenika što ga je prvi saziv Sabora nakon demokratskih promjena prihvatio, na sjednici održanoj 28. prosinca 1990. godine. Unutarnja organizacija HMI uređena je Statutom, koji je Upravni odbor prihvatio 6. veljače 1992. godine, a tim dokumentima Hrvatska matica iseljenika (HMI) definirana je kao središnja nacionalna ustanova za obavljanje društvene i privredne djelatnosti od značenja za položaj hrvatskih iseljeničkih zajednica i za hrvatske etničke manjine u drugim državama, za iseljenike s teritorija Republike Hrvatske i Hrvate koji žive i rade u inozemstvu a potječu iz drugih država, kao i za članove njihovih obitelji koji borave u stranim zemljama.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DE6ACB" w:rsidRDefault="00D849AA">
            <w:pPr>
              <w:pStyle w:val="CellHeader"/>
            </w:pPr>
          </w:p>
        </w:tc>
        <w:tc>
          <w:tcPr>
            <w:tcW w:w="1486" w:type="dxa"/>
            <w:shd w:val="clear" w:color="auto" w:fill="B5C0D8"/>
          </w:tcPr>
          <w:p w:rsidR="00D849AA" w:rsidRPr="00DE6ACB" w:rsidRDefault="00EE6D95">
            <w:pPr>
              <w:pStyle w:val="CellHeader"/>
            </w:pPr>
            <w:r w:rsidRPr="00DE6ACB">
              <w:t>Plan 2013.</w:t>
            </w:r>
          </w:p>
        </w:tc>
        <w:tc>
          <w:tcPr>
            <w:tcW w:w="1486" w:type="dxa"/>
            <w:shd w:val="clear" w:color="auto" w:fill="B5C0D8"/>
          </w:tcPr>
          <w:p w:rsidR="00D849AA" w:rsidRPr="00DE6ACB" w:rsidRDefault="00EE6D95">
            <w:pPr>
              <w:pStyle w:val="CellHeader"/>
            </w:pPr>
            <w:r w:rsidRPr="00DE6ACB">
              <w:t>Plan 2014.</w:t>
            </w:r>
          </w:p>
        </w:tc>
        <w:tc>
          <w:tcPr>
            <w:tcW w:w="1486" w:type="dxa"/>
            <w:shd w:val="clear" w:color="auto" w:fill="B5C0D8"/>
          </w:tcPr>
          <w:p w:rsidR="00D849AA" w:rsidRPr="00DE6ACB" w:rsidRDefault="00EE6D95">
            <w:pPr>
              <w:pStyle w:val="CellHeader"/>
            </w:pPr>
            <w:r w:rsidRPr="00DE6ACB">
              <w:t>Plan 2015.</w:t>
            </w:r>
          </w:p>
        </w:tc>
        <w:tc>
          <w:tcPr>
            <w:tcW w:w="1486" w:type="dxa"/>
            <w:shd w:val="clear" w:color="auto" w:fill="B5C0D8"/>
          </w:tcPr>
          <w:p w:rsidR="00D849AA" w:rsidRPr="00DE6ACB" w:rsidRDefault="00EE6D95">
            <w:pPr>
              <w:pStyle w:val="CellHeader"/>
            </w:pPr>
            <w:r w:rsidRPr="00DE6ACB">
              <w:t>Plan 2016.</w:t>
            </w:r>
          </w:p>
        </w:tc>
        <w:tc>
          <w:tcPr>
            <w:tcW w:w="1486" w:type="dxa"/>
            <w:shd w:val="clear" w:color="auto" w:fill="B5C0D8"/>
          </w:tcPr>
          <w:p w:rsidR="00D849AA" w:rsidRPr="00DE6ACB" w:rsidRDefault="00EE6D95">
            <w:pPr>
              <w:pStyle w:val="CellHeader"/>
            </w:pPr>
            <w:r w:rsidRPr="00DE6ACB">
              <w:t>Indeks 2014/2013</w:t>
            </w:r>
          </w:p>
        </w:tc>
      </w:tr>
      <w:tr w:rsidR="00D849AA">
        <w:trPr>
          <w:jc w:val="center"/>
        </w:trPr>
        <w:tc>
          <w:tcPr>
            <w:tcW w:w="1486" w:type="dxa"/>
          </w:tcPr>
          <w:p w:rsidR="00D849AA" w:rsidRPr="00DE6ACB" w:rsidRDefault="00EE6D95">
            <w:pPr>
              <w:pStyle w:val="CellColumn"/>
            </w:pPr>
            <w:r w:rsidRPr="00DE6ACB">
              <w:t>03210</w:t>
            </w:r>
          </w:p>
        </w:tc>
        <w:tc>
          <w:tcPr>
            <w:tcW w:w="1486" w:type="dxa"/>
          </w:tcPr>
          <w:p w:rsidR="00D849AA" w:rsidRPr="00DE6ACB" w:rsidRDefault="00EE6D95">
            <w:pPr>
              <w:rPr>
                <w:rFonts w:ascii="Arial" w:hAnsi="Arial" w:cs="Arial"/>
              </w:rPr>
            </w:pPr>
            <w:r w:rsidRPr="00DE6ACB">
              <w:rPr>
                <w:rFonts w:ascii="Arial" w:hAnsi="Arial" w:cs="Arial"/>
              </w:rPr>
              <w:t>5.600.000</w:t>
            </w:r>
          </w:p>
        </w:tc>
        <w:tc>
          <w:tcPr>
            <w:tcW w:w="1486" w:type="dxa"/>
          </w:tcPr>
          <w:p w:rsidR="00D849AA" w:rsidRPr="00DE6ACB" w:rsidRDefault="00EE6D95">
            <w:pPr>
              <w:rPr>
                <w:rFonts w:ascii="Arial" w:hAnsi="Arial" w:cs="Arial"/>
              </w:rPr>
            </w:pPr>
            <w:r w:rsidRPr="00DE6ACB">
              <w:rPr>
                <w:rFonts w:ascii="Arial" w:hAnsi="Arial" w:cs="Arial"/>
              </w:rPr>
              <w:t>5.366.000</w:t>
            </w:r>
          </w:p>
        </w:tc>
        <w:tc>
          <w:tcPr>
            <w:tcW w:w="1486" w:type="dxa"/>
          </w:tcPr>
          <w:p w:rsidR="00D849AA" w:rsidRPr="00DE6ACB" w:rsidRDefault="00EE6D95">
            <w:pPr>
              <w:rPr>
                <w:rFonts w:ascii="Arial" w:hAnsi="Arial" w:cs="Arial"/>
              </w:rPr>
            </w:pPr>
            <w:r w:rsidRPr="00DE6ACB">
              <w:rPr>
                <w:rFonts w:ascii="Arial" w:hAnsi="Arial" w:cs="Arial"/>
              </w:rPr>
              <w:t>5.253.147</w:t>
            </w:r>
          </w:p>
        </w:tc>
        <w:tc>
          <w:tcPr>
            <w:tcW w:w="1486" w:type="dxa"/>
          </w:tcPr>
          <w:p w:rsidR="00D849AA" w:rsidRPr="00DE6ACB" w:rsidRDefault="00EE6D95">
            <w:pPr>
              <w:rPr>
                <w:rFonts w:ascii="Arial" w:hAnsi="Arial" w:cs="Arial"/>
              </w:rPr>
            </w:pPr>
            <w:r w:rsidRPr="00DE6ACB">
              <w:rPr>
                <w:rFonts w:ascii="Arial" w:hAnsi="Arial" w:cs="Arial"/>
              </w:rPr>
              <w:t>5.409.130</w:t>
            </w:r>
          </w:p>
        </w:tc>
        <w:tc>
          <w:tcPr>
            <w:tcW w:w="1486" w:type="dxa"/>
          </w:tcPr>
          <w:p w:rsidR="00D849AA" w:rsidRPr="00DE6ACB" w:rsidRDefault="00EE6D95">
            <w:pPr>
              <w:rPr>
                <w:rFonts w:ascii="Arial" w:hAnsi="Arial" w:cs="Arial"/>
              </w:rPr>
            </w:pPr>
            <w:r w:rsidRPr="00DE6ACB">
              <w:rPr>
                <w:rFonts w:ascii="Arial" w:hAnsi="Arial" w:cs="Arial"/>
              </w:rPr>
              <w:t>95,8</w:t>
            </w:r>
          </w:p>
        </w:tc>
      </w:tr>
    </w:tbl>
    <w:p w:rsidR="00D849AA" w:rsidRDefault="00D849AA">
      <w:pPr>
        <w:jc w:val="left"/>
      </w:pPr>
    </w:p>
    <w:p w:rsidR="00D849AA" w:rsidRDefault="00EE6D95">
      <w:pPr>
        <w:pStyle w:val="Naslov4"/>
      </w:pPr>
      <w:r>
        <w:lastRenderedPageBreak/>
        <w:t>OBRAZLOŽENJE PROGRAMA</w:t>
      </w:r>
    </w:p>
    <w:p w:rsidR="00D849AA" w:rsidRDefault="00EE6D95">
      <w:pPr>
        <w:pStyle w:val="Naslov5"/>
      </w:pPr>
      <w:r>
        <w:t>2306 PROGRAMI HRVATA IZVAN REPUBLIKE HRVATSKE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rsidRPr="00DE6ACB">
        <w:trPr>
          <w:jc w:val="center"/>
        </w:trPr>
        <w:tc>
          <w:tcPr>
            <w:tcW w:w="1486" w:type="dxa"/>
            <w:shd w:val="clear" w:color="auto" w:fill="B5C0D8"/>
          </w:tcPr>
          <w:p w:rsidR="00D849AA" w:rsidRPr="00DE6ACB" w:rsidRDefault="00D849AA">
            <w:pPr>
              <w:pStyle w:val="CellHeader"/>
            </w:pPr>
          </w:p>
        </w:tc>
        <w:tc>
          <w:tcPr>
            <w:tcW w:w="1486" w:type="dxa"/>
            <w:shd w:val="clear" w:color="auto" w:fill="B5C0D8"/>
          </w:tcPr>
          <w:p w:rsidR="00D849AA" w:rsidRPr="00DE6ACB" w:rsidRDefault="00EE6D95">
            <w:pPr>
              <w:pStyle w:val="CellHeader"/>
            </w:pPr>
            <w:r w:rsidRPr="00DE6ACB">
              <w:t>Plan 2013.</w:t>
            </w:r>
          </w:p>
        </w:tc>
        <w:tc>
          <w:tcPr>
            <w:tcW w:w="1486" w:type="dxa"/>
            <w:shd w:val="clear" w:color="auto" w:fill="B5C0D8"/>
          </w:tcPr>
          <w:p w:rsidR="00D849AA" w:rsidRPr="00DE6ACB" w:rsidRDefault="00EE6D95">
            <w:pPr>
              <w:pStyle w:val="CellHeader"/>
            </w:pPr>
            <w:r w:rsidRPr="00DE6ACB">
              <w:t>Plan 2014.</w:t>
            </w:r>
          </w:p>
        </w:tc>
        <w:tc>
          <w:tcPr>
            <w:tcW w:w="1486" w:type="dxa"/>
            <w:shd w:val="clear" w:color="auto" w:fill="B5C0D8"/>
          </w:tcPr>
          <w:p w:rsidR="00D849AA" w:rsidRPr="00DE6ACB" w:rsidRDefault="00EE6D95">
            <w:pPr>
              <w:pStyle w:val="CellHeader"/>
            </w:pPr>
            <w:r w:rsidRPr="00DE6ACB">
              <w:t>Plan 2015.</w:t>
            </w:r>
          </w:p>
        </w:tc>
        <w:tc>
          <w:tcPr>
            <w:tcW w:w="1486" w:type="dxa"/>
            <w:shd w:val="clear" w:color="auto" w:fill="B5C0D8"/>
          </w:tcPr>
          <w:p w:rsidR="00D849AA" w:rsidRPr="00DE6ACB" w:rsidRDefault="00EE6D95">
            <w:pPr>
              <w:pStyle w:val="CellHeader"/>
            </w:pPr>
            <w:r w:rsidRPr="00DE6ACB">
              <w:t>Plan 2016.</w:t>
            </w:r>
          </w:p>
        </w:tc>
        <w:tc>
          <w:tcPr>
            <w:tcW w:w="1486" w:type="dxa"/>
            <w:shd w:val="clear" w:color="auto" w:fill="B5C0D8"/>
          </w:tcPr>
          <w:p w:rsidR="00D849AA" w:rsidRPr="00DE6ACB" w:rsidRDefault="00EE6D95">
            <w:pPr>
              <w:pStyle w:val="CellHeader"/>
            </w:pPr>
            <w:r w:rsidRPr="00DE6ACB">
              <w:t>Indeks 2014/2013</w:t>
            </w:r>
          </w:p>
        </w:tc>
      </w:tr>
      <w:tr w:rsidR="00D849AA" w:rsidRPr="00DE6ACB">
        <w:trPr>
          <w:jc w:val="center"/>
        </w:trPr>
        <w:tc>
          <w:tcPr>
            <w:tcW w:w="1486" w:type="dxa"/>
          </w:tcPr>
          <w:p w:rsidR="00D849AA" w:rsidRPr="00DE6ACB" w:rsidRDefault="00EE6D95">
            <w:pPr>
              <w:pStyle w:val="CellColumn"/>
            </w:pPr>
            <w:r w:rsidRPr="00DE6ACB">
              <w:t>2306</w:t>
            </w:r>
          </w:p>
        </w:tc>
        <w:tc>
          <w:tcPr>
            <w:tcW w:w="1486" w:type="dxa"/>
          </w:tcPr>
          <w:p w:rsidR="00D849AA" w:rsidRPr="00DE6ACB" w:rsidRDefault="00EE6D95">
            <w:pPr>
              <w:rPr>
                <w:rFonts w:ascii="Arial" w:hAnsi="Arial" w:cs="Arial"/>
              </w:rPr>
            </w:pPr>
            <w:r w:rsidRPr="00DE6ACB">
              <w:rPr>
                <w:rFonts w:ascii="Arial" w:hAnsi="Arial" w:cs="Arial"/>
              </w:rPr>
              <w:t>5.600.000</w:t>
            </w:r>
          </w:p>
        </w:tc>
        <w:tc>
          <w:tcPr>
            <w:tcW w:w="1486" w:type="dxa"/>
          </w:tcPr>
          <w:p w:rsidR="00D849AA" w:rsidRPr="00DE6ACB" w:rsidRDefault="00EE6D95">
            <w:pPr>
              <w:rPr>
                <w:rFonts w:ascii="Arial" w:hAnsi="Arial" w:cs="Arial"/>
              </w:rPr>
            </w:pPr>
            <w:r w:rsidRPr="00DE6ACB">
              <w:rPr>
                <w:rFonts w:ascii="Arial" w:hAnsi="Arial" w:cs="Arial"/>
              </w:rPr>
              <w:t>5.366.000</w:t>
            </w:r>
          </w:p>
        </w:tc>
        <w:tc>
          <w:tcPr>
            <w:tcW w:w="1486" w:type="dxa"/>
          </w:tcPr>
          <w:p w:rsidR="00D849AA" w:rsidRPr="00DE6ACB" w:rsidRDefault="00EE6D95">
            <w:pPr>
              <w:rPr>
                <w:rFonts w:ascii="Arial" w:hAnsi="Arial" w:cs="Arial"/>
              </w:rPr>
            </w:pPr>
            <w:r w:rsidRPr="00DE6ACB">
              <w:rPr>
                <w:rFonts w:ascii="Arial" w:hAnsi="Arial" w:cs="Arial"/>
              </w:rPr>
              <w:t>5.253.147</w:t>
            </w:r>
          </w:p>
        </w:tc>
        <w:tc>
          <w:tcPr>
            <w:tcW w:w="1486" w:type="dxa"/>
          </w:tcPr>
          <w:p w:rsidR="00D849AA" w:rsidRPr="00DE6ACB" w:rsidRDefault="00EE6D95">
            <w:pPr>
              <w:rPr>
                <w:rFonts w:ascii="Arial" w:hAnsi="Arial" w:cs="Arial"/>
              </w:rPr>
            </w:pPr>
            <w:r w:rsidRPr="00DE6ACB">
              <w:rPr>
                <w:rFonts w:ascii="Arial" w:hAnsi="Arial" w:cs="Arial"/>
              </w:rPr>
              <w:t>5.409.130</w:t>
            </w:r>
          </w:p>
        </w:tc>
        <w:tc>
          <w:tcPr>
            <w:tcW w:w="1486" w:type="dxa"/>
          </w:tcPr>
          <w:p w:rsidR="00D849AA" w:rsidRPr="00DE6ACB" w:rsidRDefault="00EE6D95">
            <w:pPr>
              <w:rPr>
                <w:rFonts w:ascii="Arial" w:hAnsi="Arial" w:cs="Arial"/>
              </w:rPr>
            </w:pPr>
            <w:r w:rsidRPr="00DE6ACB">
              <w:rPr>
                <w:rFonts w:ascii="Arial" w:hAnsi="Arial" w:cs="Arial"/>
              </w:rPr>
              <w:t>95,8</w:t>
            </w:r>
          </w:p>
        </w:tc>
      </w:tr>
    </w:tbl>
    <w:p w:rsidR="00D849AA" w:rsidRPr="00DE6ACB" w:rsidRDefault="00D849AA">
      <w:pPr>
        <w:jc w:val="left"/>
        <w:rPr>
          <w:rFonts w:ascii="Arial" w:hAnsi="Arial" w:cs="Arial"/>
        </w:rPr>
      </w:pPr>
    </w:p>
    <w:p w:rsidR="00D849AA" w:rsidRDefault="00EE6D95">
      <w:pPr>
        <w:pStyle w:val="Naslov6"/>
      </w:pPr>
      <w:r>
        <w:t>Opis programa</w:t>
      </w:r>
    </w:p>
    <w:p w:rsidR="00D849AA" w:rsidRDefault="00EE6D95">
      <w:pPr>
        <w:pStyle w:val="Normal5"/>
      </w:pPr>
      <w:r>
        <w:t>Ispunjavajući misiju susretišta hrvatskoga raseljenog bića, Hrvatska matica iseljenika (HMI) razvija i potiče snažan, višeslojan i trajan dijalog s Hrvatima u iseljeništvu i njihovim potomcima kako bi posredovala činjenice koje govore o sastavnicama naše samobitnosti: povijesnim događajima i ličnostima, prirodnim ljepotama i spomeničkoj baštini, suvremenim zbivanjima i ljudima koji ih pokreću i ostvaruju... o svemu što čini hrvatsku domovinu i narod, kao središnje oslonce našeg identiteta. Istodobno, HMI djeluje i u svrhu očuvanja baštine i etničko-kulturnog lika pripadnika hrvatskih manjinskih zajednica u drugim zemljama, te nastoji na najbolji način odgovoriti posebnim zahtjevima hrvatskih udruga ili pojedinaca izvan Republike Hrvatske, kako bi se rad te ustanove što bolje uskladio s potrebama i željama naših ljudi u svijetu. Slijedeći suvremene izazove, HMI sudjeluje i u humanitarnim, ekološkim, obnoviteljskim i razvojnim programima građanskih inicijativa, državne uprave i regionalne/lokalne samouprave, pridonoseći raznovrsnosti i dinamici društvenog dijaloga u Republici Hrvatskoj, te između domovine i iseljeništva.</w:t>
      </w:r>
    </w:p>
    <w:p w:rsidR="00D849AA" w:rsidRDefault="00EE6D95">
      <w:pPr>
        <w:pStyle w:val="Naslov6"/>
      </w:pPr>
      <w:r>
        <w:t>Zakonske i druge pravne osnove</w:t>
      </w:r>
    </w:p>
    <w:p w:rsidR="00D849AA" w:rsidRDefault="00EE6D95">
      <w:pPr>
        <w:pStyle w:val="Normal5"/>
      </w:pPr>
      <w:r>
        <w:t>- Zakon o</w:t>
      </w:r>
      <w:r w:rsidR="00DE6ACB">
        <w:t xml:space="preserve"> Hrvatskoj matici iseljenika (Narodne novine, broj</w:t>
      </w:r>
      <w:r>
        <w:t xml:space="preserve"> 59/90</w:t>
      </w:r>
      <w:r w:rsidR="00DE6ACB">
        <w:t>)</w:t>
      </w:r>
      <w:r>
        <w:t>.</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Cilj 1. Razvoj i poticanje dijaloga s Hrvatima u iseljeništvu</w:t>
      </w:r>
    </w:p>
    <w:p w:rsidR="00D849AA" w:rsidRDefault="00EE6D95">
      <w:pPr>
        <w:pStyle w:val="Normal6"/>
      </w:pPr>
      <w:r>
        <w:t>Slijedeći suvremene izazove, Hrvatska matica iseljenika sudjeluje u humanitarnim, ekološkim, obnoviteljskim i razvojnim programima građanskih inicijativa, državne uprave i regionalne/lokalne samouprave, pridonoseći raznovrsnosti i dinamici društvenog dijaloga u Republici Hrvatskoj te između domovine i iseljeništva.</w:t>
      </w:r>
    </w:p>
    <w:p w:rsidR="00D849AA" w:rsidRDefault="00EE6D95">
      <w:pPr>
        <w:pStyle w:val="Naslov5"/>
      </w:pPr>
      <w:r>
        <w:t>Procjena i ishodište potrebnih sredstava za značajnije aktivnosti/projekte</w:t>
      </w:r>
    </w:p>
    <w:p w:rsidR="00D849AA" w:rsidRDefault="00EE6D95">
      <w:pPr>
        <w:pStyle w:val="Naslov6"/>
      </w:pPr>
      <w:r>
        <w:t>A565022 ADMINISTRACIJA I UPRAVLJANJE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DE6ACB" w:rsidRDefault="00EE6D95">
            <w:pPr>
              <w:pStyle w:val="CellHeader"/>
            </w:pPr>
            <w:r w:rsidRPr="00DE6ACB">
              <w:t>Naziv aktivnosti</w:t>
            </w:r>
          </w:p>
        </w:tc>
        <w:tc>
          <w:tcPr>
            <w:tcW w:w="1486" w:type="dxa"/>
            <w:shd w:val="clear" w:color="auto" w:fill="B5C0D8"/>
          </w:tcPr>
          <w:p w:rsidR="00D849AA" w:rsidRPr="00DE6ACB" w:rsidRDefault="00EE6D95">
            <w:pPr>
              <w:pStyle w:val="CellHeader"/>
            </w:pPr>
            <w:r w:rsidRPr="00DE6ACB">
              <w:t>Plan 2013.</w:t>
            </w:r>
          </w:p>
        </w:tc>
        <w:tc>
          <w:tcPr>
            <w:tcW w:w="1486" w:type="dxa"/>
            <w:shd w:val="clear" w:color="auto" w:fill="B5C0D8"/>
          </w:tcPr>
          <w:p w:rsidR="00D849AA" w:rsidRPr="00DE6ACB" w:rsidRDefault="00EE6D95">
            <w:pPr>
              <w:pStyle w:val="CellHeader"/>
            </w:pPr>
            <w:r w:rsidRPr="00DE6ACB">
              <w:t>Plan 2014.</w:t>
            </w:r>
          </w:p>
        </w:tc>
        <w:tc>
          <w:tcPr>
            <w:tcW w:w="1486" w:type="dxa"/>
            <w:shd w:val="clear" w:color="auto" w:fill="B5C0D8"/>
          </w:tcPr>
          <w:p w:rsidR="00D849AA" w:rsidRPr="00DE6ACB" w:rsidRDefault="00EE6D95">
            <w:pPr>
              <w:pStyle w:val="CellHeader"/>
            </w:pPr>
            <w:r w:rsidRPr="00DE6ACB">
              <w:t>Plan 2015.</w:t>
            </w:r>
          </w:p>
        </w:tc>
        <w:tc>
          <w:tcPr>
            <w:tcW w:w="1486" w:type="dxa"/>
            <w:shd w:val="clear" w:color="auto" w:fill="B5C0D8"/>
          </w:tcPr>
          <w:p w:rsidR="00D849AA" w:rsidRPr="00DE6ACB" w:rsidRDefault="00EE6D95">
            <w:pPr>
              <w:pStyle w:val="CellHeader"/>
            </w:pPr>
            <w:r w:rsidRPr="00DE6ACB">
              <w:t>Plan 2016.</w:t>
            </w:r>
          </w:p>
        </w:tc>
        <w:tc>
          <w:tcPr>
            <w:tcW w:w="1486" w:type="dxa"/>
            <w:shd w:val="clear" w:color="auto" w:fill="B5C0D8"/>
          </w:tcPr>
          <w:p w:rsidR="00D849AA" w:rsidRPr="00DE6ACB" w:rsidRDefault="00EE6D95">
            <w:pPr>
              <w:pStyle w:val="CellHeader"/>
            </w:pPr>
            <w:r w:rsidRPr="00DE6ACB">
              <w:t>Indeks 2014/2013</w:t>
            </w:r>
          </w:p>
        </w:tc>
      </w:tr>
      <w:tr w:rsidR="00D849AA">
        <w:trPr>
          <w:jc w:val="center"/>
        </w:trPr>
        <w:tc>
          <w:tcPr>
            <w:tcW w:w="1486" w:type="dxa"/>
          </w:tcPr>
          <w:p w:rsidR="00D849AA" w:rsidRPr="00DE6ACB" w:rsidRDefault="00EE6D95">
            <w:pPr>
              <w:pStyle w:val="CellColumn"/>
            </w:pPr>
            <w:r w:rsidRPr="00DE6ACB">
              <w:t>A565022</w:t>
            </w:r>
          </w:p>
        </w:tc>
        <w:tc>
          <w:tcPr>
            <w:tcW w:w="1486" w:type="dxa"/>
          </w:tcPr>
          <w:p w:rsidR="00D849AA" w:rsidRPr="00DE6ACB" w:rsidRDefault="00EE6D95">
            <w:pPr>
              <w:rPr>
                <w:rFonts w:ascii="Arial" w:hAnsi="Arial" w:cs="Arial"/>
              </w:rPr>
            </w:pPr>
            <w:r w:rsidRPr="00DE6ACB">
              <w:rPr>
                <w:rFonts w:ascii="Arial" w:hAnsi="Arial" w:cs="Arial"/>
              </w:rPr>
              <w:t>5.600.000</w:t>
            </w:r>
          </w:p>
        </w:tc>
        <w:tc>
          <w:tcPr>
            <w:tcW w:w="1486" w:type="dxa"/>
          </w:tcPr>
          <w:p w:rsidR="00D849AA" w:rsidRPr="00DE6ACB" w:rsidRDefault="00EE6D95">
            <w:pPr>
              <w:rPr>
                <w:rFonts w:ascii="Arial" w:hAnsi="Arial" w:cs="Arial"/>
              </w:rPr>
            </w:pPr>
            <w:r w:rsidRPr="00DE6ACB">
              <w:rPr>
                <w:rFonts w:ascii="Arial" w:hAnsi="Arial" w:cs="Arial"/>
              </w:rPr>
              <w:t>5.366.000</w:t>
            </w:r>
          </w:p>
        </w:tc>
        <w:tc>
          <w:tcPr>
            <w:tcW w:w="1486" w:type="dxa"/>
          </w:tcPr>
          <w:p w:rsidR="00D849AA" w:rsidRPr="00DE6ACB" w:rsidRDefault="00EE6D95">
            <w:pPr>
              <w:rPr>
                <w:rFonts w:ascii="Arial" w:hAnsi="Arial" w:cs="Arial"/>
              </w:rPr>
            </w:pPr>
            <w:r w:rsidRPr="00DE6ACB">
              <w:rPr>
                <w:rFonts w:ascii="Arial" w:hAnsi="Arial" w:cs="Arial"/>
              </w:rPr>
              <w:t>5.253.147</w:t>
            </w:r>
          </w:p>
        </w:tc>
        <w:tc>
          <w:tcPr>
            <w:tcW w:w="1486" w:type="dxa"/>
          </w:tcPr>
          <w:p w:rsidR="00D849AA" w:rsidRPr="00DE6ACB" w:rsidRDefault="00EE6D95">
            <w:pPr>
              <w:rPr>
                <w:rFonts w:ascii="Arial" w:hAnsi="Arial" w:cs="Arial"/>
              </w:rPr>
            </w:pPr>
            <w:r w:rsidRPr="00DE6ACB">
              <w:rPr>
                <w:rFonts w:ascii="Arial" w:hAnsi="Arial" w:cs="Arial"/>
              </w:rPr>
              <w:t>5.409.130</w:t>
            </w:r>
          </w:p>
        </w:tc>
        <w:tc>
          <w:tcPr>
            <w:tcW w:w="1486" w:type="dxa"/>
          </w:tcPr>
          <w:p w:rsidR="00D849AA" w:rsidRPr="00DE6ACB" w:rsidRDefault="00EE6D95">
            <w:pPr>
              <w:rPr>
                <w:rFonts w:ascii="Arial" w:hAnsi="Arial" w:cs="Arial"/>
              </w:rPr>
            </w:pPr>
            <w:r w:rsidRPr="00DE6ACB">
              <w:rPr>
                <w:rFonts w:ascii="Arial" w:hAnsi="Arial" w:cs="Arial"/>
              </w:rPr>
              <w:t>95,8</w:t>
            </w:r>
          </w:p>
        </w:tc>
      </w:tr>
    </w:tbl>
    <w:p w:rsidR="00D849AA" w:rsidRDefault="00D849AA">
      <w:pPr>
        <w:jc w:val="left"/>
      </w:pPr>
    </w:p>
    <w:p w:rsidR="00D849AA" w:rsidRDefault="00EE6D95">
      <w:pPr>
        <w:pStyle w:val="Normal6"/>
      </w:pPr>
      <w:r>
        <w:t xml:space="preserve">Najvažniji programi i projekti iz ove aktivnosti su: </w:t>
      </w:r>
    </w:p>
    <w:p w:rsidR="00D849AA" w:rsidRDefault="00EE6D95">
      <w:pPr>
        <w:pStyle w:val="Normal6"/>
      </w:pPr>
      <w:r>
        <w:t>1.</w:t>
      </w:r>
      <w:r>
        <w:tab/>
        <w:t xml:space="preserve">PROGRAMI UČENJA INOJEZIČNOG HRVATSKOG: Sveučilišna škola hrvatskoga jezika i kulture, Mala škola hrvatskog jezika, HOLA-nastava hrvatskoga jezika i kulture u </w:t>
      </w:r>
      <w:r>
        <w:lastRenderedPageBreak/>
        <w:t xml:space="preserve">Latinskoj Americi, HiT – prvi sveučilišni on-line tečaj hrvatskoga jezikaj hrID –digitalni repozitorij  namijenjen učenju i poučavanju inojezičnog hrvatskog. </w:t>
      </w:r>
    </w:p>
    <w:p w:rsidR="00D849AA" w:rsidRDefault="00EE6D95">
      <w:pPr>
        <w:pStyle w:val="Normal6"/>
      </w:pPr>
      <w:r>
        <w:t>2.</w:t>
      </w:r>
      <w:r>
        <w:tab/>
        <w:t xml:space="preserve">PROGRAMI OČUVANJA NACIONALNE KULTURE: Ljetna i Zimska škola hrvatskoga folklora, „Hrvatska etnoriznica“ – radionica narodnih nošnji, „Stvaranje kazališta“ – kazališni seminar, ekološki program za mlade „Eco Heritage Task Force“ i dr.  </w:t>
      </w:r>
    </w:p>
    <w:p w:rsidR="00D849AA" w:rsidRDefault="00EE6D95">
      <w:pPr>
        <w:pStyle w:val="Normal6"/>
      </w:pPr>
      <w:r>
        <w:t>3.</w:t>
      </w:r>
      <w:r>
        <w:tab/>
        <w:t xml:space="preserve">NAKLADNIČKI PROGRAM: časopis Matica, Hrvatski iseljenički zbornik, mrežne stranice (velika posjećenost: 3.000.000 klikova mjesečno) </w:t>
      </w:r>
    </w:p>
    <w:p w:rsidR="00D849AA" w:rsidRDefault="00EE6D95">
      <w:pPr>
        <w:pStyle w:val="Normal6"/>
      </w:pPr>
      <w:r>
        <w:t>4.</w:t>
      </w:r>
      <w:r>
        <w:tab/>
        <w:t xml:space="preserve">PROGRAMI NAMIJENJENI HRVATSKIM MANJINAMA U EUROPI:„Forum hrvatskih manjina“  </w:t>
      </w:r>
    </w:p>
    <w:p w:rsidR="00D849AA" w:rsidRDefault="00EE6D95">
      <w:pPr>
        <w:pStyle w:val="Normal6"/>
      </w:pPr>
      <w:r>
        <w:t>HMI jednako uspješno organizira i druge kulturne projekte u kojima predstavljamo grupe i pojedince izvan Hrvatske: festivale klapa iz hrvatskoga iseljeništva u Hrvatskoj, tamburaške festivale Hrvatske bratske zajednice iz SAD-a i Kanade u Zagrebu, izložbe likovnih umjetnika, etnografske izložbe, predstavljanja knjiga hrvatskih pisaca i koncerte hrvatskih glazbenika iz cijeloga svijeta, predstavljanja hrvatskih znanstvenika koji rade izvan Hrvatske, gostovanja i posjete iseljeničkih grupa Hrvatskoj.</w:t>
      </w:r>
    </w:p>
    <w:p w:rsidR="00D849AA" w:rsidRDefault="00EE6D95">
      <w:pPr>
        <w:pStyle w:val="Naslov1"/>
      </w:pPr>
      <w:r>
        <w:lastRenderedPageBreak/>
        <w:t>033 DRŽAVNI URED ZA OBNOVU I STAMBENO ZBRINJAVANJE</w:t>
      </w:r>
    </w:p>
    <w:p w:rsidR="00D849AA" w:rsidRDefault="00EE6D95">
      <w:pPr>
        <w:pStyle w:val="Naslov4"/>
      </w:pPr>
      <w:r>
        <w:t>Uvod</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DE6ACB" w:rsidRDefault="00D849AA">
            <w:pPr>
              <w:pStyle w:val="CellHeader"/>
            </w:pPr>
          </w:p>
        </w:tc>
        <w:tc>
          <w:tcPr>
            <w:tcW w:w="1486" w:type="dxa"/>
            <w:shd w:val="clear" w:color="auto" w:fill="B5C0D8"/>
          </w:tcPr>
          <w:p w:rsidR="00D849AA" w:rsidRPr="00DE6ACB" w:rsidRDefault="00EE6D95">
            <w:pPr>
              <w:pStyle w:val="CellHeader"/>
            </w:pPr>
            <w:r w:rsidRPr="00DE6ACB">
              <w:t>Plan 2013.</w:t>
            </w:r>
          </w:p>
        </w:tc>
        <w:tc>
          <w:tcPr>
            <w:tcW w:w="1486" w:type="dxa"/>
            <w:shd w:val="clear" w:color="auto" w:fill="B5C0D8"/>
          </w:tcPr>
          <w:p w:rsidR="00D849AA" w:rsidRPr="00DE6ACB" w:rsidRDefault="00EE6D95">
            <w:pPr>
              <w:pStyle w:val="CellHeader"/>
            </w:pPr>
            <w:r w:rsidRPr="00DE6ACB">
              <w:t>Plan 2014.</w:t>
            </w:r>
          </w:p>
        </w:tc>
        <w:tc>
          <w:tcPr>
            <w:tcW w:w="1486" w:type="dxa"/>
            <w:shd w:val="clear" w:color="auto" w:fill="B5C0D8"/>
          </w:tcPr>
          <w:p w:rsidR="00D849AA" w:rsidRPr="00DE6ACB" w:rsidRDefault="00EE6D95">
            <w:pPr>
              <w:pStyle w:val="CellHeader"/>
            </w:pPr>
            <w:r w:rsidRPr="00DE6ACB">
              <w:t>Plan 2015.</w:t>
            </w:r>
          </w:p>
        </w:tc>
        <w:tc>
          <w:tcPr>
            <w:tcW w:w="1486" w:type="dxa"/>
            <w:shd w:val="clear" w:color="auto" w:fill="B5C0D8"/>
          </w:tcPr>
          <w:p w:rsidR="00D849AA" w:rsidRPr="00DE6ACB" w:rsidRDefault="00EE6D95">
            <w:pPr>
              <w:pStyle w:val="CellHeader"/>
            </w:pPr>
            <w:r w:rsidRPr="00DE6ACB">
              <w:t>Plan 2016.</w:t>
            </w:r>
          </w:p>
        </w:tc>
        <w:tc>
          <w:tcPr>
            <w:tcW w:w="1486" w:type="dxa"/>
            <w:shd w:val="clear" w:color="auto" w:fill="B5C0D8"/>
          </w:tcPr>
          <w:p w:rsidR="00D849AA" w:rsidRPr="00DE6ACB" w:rsidRDefault="00EE6D95">
            <w:pPr>
              <w:pStyle w:val="CellHeader"/>
            </w:pPr>
            <w:r w:rsidRPr="00DE6ACB">
              <w:t>Indeks 2014/2013</w:t>
            </w:r>
          </w:p>
        </w:tc>
      </w:tr>
      <w:tr w:rsidR="00D849AA">
        <w:trPr>
          <w:jc w:val="center"/>
        </w:trPr>
        <w:tc>
          <w:tcPr>
            <w:tcW w:w="1486" w:type="dxa"/>
          </w:tcPr>
          <w:p w:rsidR="00D849AA" w:rsidRPr="00DE6ACB" w:rsidRDefault="00EE6D95">
            <w:pPr>
              <w:pStyle w:val="CellColumn"/>
            </w:pPr>
            <w:r w:rsidRPr="00DE6ACB">
              <w:t>03305 Državni ured za obnovu i stambeno zbrinjavanje</w:t>
            </w:r>
          </w:p>
        </w:tc>
        <w:tc>
          <w:tcPr>
            <w:tcW w:w="1486" w:type="dxa"/>
          </w:tcPr>
          <w:p w:rsidR="00D849AA" w:rsidRPr="00DE6ACB" w:rsidRDefault="00EE6D95">
            <w:pPr>
              <w:rPr>
                <w:rFonts w:ascii="Arial" w:hAnsi="Arial" w:cs="Arial"/>
              </w:rPr>
            </w:pPr>
            <w:r w:rsidRPr="00DE6ACB">
              <w:rPr>
                <w:rFonts w:ascii="Arial" w:hAnsi="Arial" w:cs="Arial"/>
              </w:rPr>
              <w:t>264.108.778</w:t>
            </w:r>
          </w:p>
        </w:tc>
        <w:tc>
          <w:tcPr>
            <w:tcW w:w="1486" w:type="dxa"/>
          </w:tcPr>
          <w:p w:rsidR="00D849AA" w:rsidRPr="00DE6ACB" w:rsidRDefault="00EE6D95">
            <w:pPr>
              <w:rPr>
                <w:rFonts w:ascii="Arial" w:hAnsi="Arial" w:cs="Arial"/>
              </w:rPr>
            </w:pPr>
            <w:r w:rsidRPr="00DE6ACB">
              <w:rPr>
                <w:rFonts w:ascii="Arial" w:hAnsi="Arial" w:cs="Arial"/>
              </w:rPr>
              <w:t>313.545.000</w:t>
            </w:r>
          </w:p>
        </w:tc>
        <w:tc>
          <w:tcPr>
            <w:tcW w:w="1486" w:type="dxa"/>
          </w:tcPr>
          <w:p w:rsidR="00D849AA" w:rsidRPr="00DE6ACB" w:rsidRDefault="00EE6D95">
            <w:pPr>
              <w:rPr>
                <w:rFonts w:ascii="Arial" w:hAnsi="Arial" w:cs="Arial"/>
              </w:rPr>
            </w:pPr>
            <w:r w:rsidRPr="00DE6ACB">
              <w:rPr>
                <w:rFonts w:ascii="Arial" w:hAnsi="Arial" w:cs="Arial"/>
              </w:rPr>
              <w:t>225.452.500</w:t>
            </w:r>
          </w:p>
        </w:tc>
        <w:tc>
          <w:tcPr>
            <w:tcW w:w="1486" w:type="dxa"/>
          </w:tcPr>
          <w:p w:rsidR="00D849AA" w:rsidRPr="00DE6ACB" w:rsidRDefault="00EE6D95">
            <w:pPr>
              <w:rPr>
                <w:rFonts w:ascii="Arial" w:hAnsi="Arial" w:cs="Arial"/>
              </w:rPr>
            </w:pPr>
            <w:r w:rsidRPr="00DE6ACB">
              <w:rPr>
                <w:rFonts w:ascii="Arial" w:hAnsi="Arial" w:cs="Arial"/>
              </w:rPr>
              <w:t>232.261.500</w:t>
            </w:r>
          </w:p>
        </w:tc>
        <w:tc>
          <w:tcPr>
            <w:tcW w:w="1486" w:type="dxa"/>
          </w:tcPr>
          <w:p w:rsidR="00D849AA" w:rsidRPr="00DE6ACB" w:rsidRDefault="00EE6D95">
            <w:pPr>
              <w:rPr>
                <w:rFonts w:ascii="Arial" w:hAnsi="Arial" w:cs="Arial"/>
              </w:rPr>
            </w:pPr>
            <w:r w:rsidRPr="00DE6ACB">
              <w:rPr>
                <w:rFonts w:ascii="Arial" w:hAnsi="Arial" w:cs="Arial"/>
              </w:rPr>
              <w:t>118,7</w:t>
            </w:r>
          </w:p>
        </w:tc>
      </w:tr>
      <w:tr w:rsidR="00D849AA">
        <w:trPr>
          <w:jc w:val="center"/>
        </w:trPr>
        <w:tc>
          <w:tcPr>
            <w:tcW w:w="1486" w:type="dxa"/>
            <w:shd w:val="clear" w:color="auto" w:fill="B5C0D8"/>
          </w:tcPr>
          <w:p w:rsidR="00D849AA" w:rsidRPr="00DE6ACB" w:rsidRDefault="00EE6D95">
            <w:pPr>
              <w:pStyle w:val="CellColumn"/>
            </w:pPr>
            <w:r w:rsidRPr="00DE6ACB">
              <w:t>Ukupno 033</w:t>
            </w:r>
          </w:p>
        </w:tc>
        <w:tc>
          <w:tcPr>
            <w:tcW w:w="1486" w:type="dxa"/>
            <w:shd w:val="clear" w:color="auto" w:fill="B5C0D8"/>
          </w:tcPr>
          <w:p w:rsidR="00D849AA" w:rsidRPr="00DE6ACB" w:rsidRDefault="00EE6D95">
            <w:pPr>
              <w:rPr>
                <w:rFonts w:ascii="Arial" w:hAnsi="Arial" w:cs="Arial"/>
              </w:rPr>
            </w:pPr>
            <w:r w:rsidRPr="00DE6ACB">
              <w:rPr>
                <w:rFonts w:ascii="Arial" w:hAnsi="Arial" w:cs="Arial"/>
              </w:rPr>
              <w:t>264.108.778</w:t>
            </w:r>
          </w:p>
        </w:tc>
        <w:tc>
          <w:tcPr>
            <w:tcW w:w="1486" w:type="dxa"/>
            <w:shd w:val="clear" w:color="auto" w:fill="B5C0D8"/>
          </w:tcPr>
          <w:p w:rsidR="00D849AA" w:rsidRPr="00DE6ACB" w:rsidRDefault="00EE6D95">
            <w:pPr>
              <w:rPr>
                <w:rFonts w:ascii="Arial" w:hAnsi="Arial" w:cs="Arial"/>
              </w:rPr>
            </w:pPr>
            <w:r w:rsidRPr="00DE6ACB">
              <w:rPr>
                <w:rFonts w:ascii="Arial" w:hAnsi="Arial" w:cs="Arial"/>
              </w:rPr>
              <w:t>313.545.000</w:t>
            </w:r>
          </w:p>
        </w:tc>
        <w:tc>
          <w:tcPr>
            <w:tcW w:w="1486" w:type="dxa"/>
            <w:shd w:val="clear" w:color="auto" w:fill="B5C0D8"/>
          </w:tcPr>
          <w:p w:rsidR="00D849AA" w:rsidRPr="00DE6ACB" w:rsidRDefault="00EE6D95">
            <w:pPr>
              <w:rPr>
                <w:rFonts w:ascii="Arial" w:hAnsi="Arial" w:cs="Arial"/>
              </w:rPr>
            </w:pPr>
            <w:r w:rsidRPr="00DE6ACB">
              <w:rPr>
                <w:rFonts w:ascii="Arial" w:hAnsi="Arial" w:cs="Arial"/>
              </w:rPr>
              <w:t>225.452.500</w:t>
            </w:r>
          </w:p>
        </w:tc>
        <w:tc>
          <w:tcPr>
            <w:tcW w:w="1486" w:type="dxa"/>
            <w:shd w:val="clear" w:color="auto" w:fill="B5C0D8"/>
          </w:tcPr>
          <w:p w:rsidR="00D849AA" w:rsidRPr="00DE6ACB" w:rsidRDefault="00EE6D95">
            <w:pPr>
              <w:rPr>
                <w:rFonts w:ascii="Arial" w:hAnsi="Arial" w:cs="Arial"/>
              </w:rPr>
            </w:pPr>
            <w:r w:rsidRPr="00DE6ACB">
              <w:rPr>
                <w:rFonts w:ascii="Arial" w:hAnsi="Arial" w:cs="Arial"/>
              </w:rPr>
              <w:t>232.261.500</w:t>
            </w:r>
          </w:p>
        </w:tc>
        <w:tc>
          <w:tcPr>
            <w:tcW w:w="1486" w:type="dxa"/>
            <w:shd w:val="clear" w:color="auto" w:fill="B5C0D8"/>
          </w:tcPr>
          <w:p w:rsidR="00D849AA" w:rsidRPr="00DE6ACB" w:rsidRDefault="00EE6D95">
            <w:pPr>
              <w:rPr>
                <w:rFonts w:ascii="Arial" w:hAnsi="Arial" w:cs="Arial"/>
              </w:rPr>
            </w:pPr>
            <w:r w:rsidRPr="00DE6ACB">
              <w:rPr>
                <w:rFonts w:ascii="Arial" w:hAnsi="Arial" w:cs="Arial"/>
              </w:rPr>
              <w:t>118,7</w:t>
            </w:r>
          </w:p>
        </w:tc>
      </w:tr>
    </w:tbl>
    <w:p w:rsidR="00D849AA" w:rsidRDefault="00D849AA">
      <w:pPr>
        <w:jc w:val="left"/>
      </w:pPr>
    </w:p>
    <w:p w:rsidR="00D849AA" w:rsidRDefault="00EE6D95">
      <w:pPr>
        <w:pStyle w:val="Naslov2"/>
      </w:pPr>
      <w:r>
        <w:t>03305 Državni ured za obnovu i stambeno zbrinjavanje</w:t>
      </w:r>
    </w:p>
    <w:p w:rsidR="00D849AA" w:rsidRDefault="00EE6D95">
      <w:pPr>
        <w:pStyle w:val="Naslov4"/>
      </w:pPr>
      <w:r>
        <w:t>Uvod</w:t>
      </w:r>
    </w:p>
    <w:p w:rsidR="00D849AA" w:rsidRDefault="00EE6D95">
      <w:pPr>
        <w:pStyle w:val="Normal3"/>
      </w:pPr>
      <w:r>
        <w:t xml:space="preserve">Državni ured za obnovu i stambeno zbrinjavanje obavlja poslove stambenog zbrinjavanja bivših nositelja stanarskog prava i drugih korisnika kojima je utvrđeno pravo na stambeno zbrinjavanje sukladno Zakonu o područjima posebne državne skrbi. Pravo na stambeno zbrinjavanje mogu ostvariti na jedan od sljedećih načina: davanjem u najam obiteljske kuće ili stana u državnom vlasništvu, davanjem u najam oštećene obiteljske kuće u državnom vlasništvu i dodjelom građevnog materijala, darovanjem građevinskog zemljišta u državnom vlasništvu i građevnog materijala za izgradnju obiteljske kuće, darovanjem građevnog materijala za popravak, obnovu i nadogradnju obiteljske kuće ili stana, odnosno izgradnju obiteljske kuće na građevinskom zemljištu u vlasništvu podnositelja zahtjeva te  darovanjem obiteljske kuće ili stana u državnom vlasništvu. </w:t>
      </w:r>
    </w:p>
    <w:p w:rsidR="00D849AA" w:rsidRDefault="00EE6D95">
      <w:pPr>
        <w:pStyle w:val="Normal3"/>
      </w:pPr>
      <w:r>
        <w:t>Državni ured za obnovu i stambeno zbrinjavanje obavlja poslove obnove u ratu oštećenih obiteljskih kuća kojima je utvrđen IV-VI stupanj oštećenja obiteljske kuće i isplate novčanih potpora korisnicima obnove za obiteljske kuće kojima je utvrđen I-III stupa</w:t>
      </w:r>
      <w:r w:rsidR="00AA0B4F">
        <w:t>nj oštećenja.</w:t>
      </w:r>
      <w:r>
        <w:t xml:space="preserve"> Provodi skrb o prognanicima, povratnicima i izbjeglicama.  </w:t>
      </w:r>
    </w:p>
    <w:p w:rsidR="00D849AA" w:rsidRDefault="00EE6D95">
      <w:pPr>
        <w:pStyle w:val="Normal3"/>
      </w:pPr>
      <w:r>
        <w:t>Obavlja poslove provedbe Regionalnog stambenog programa te Programa pomoć Vlade Republike Hrvatske za povratak Hrvata u Bosnu i Hercegovinu.</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rsidRPr="00DE6ACB">
        <w:trPr>
          <w:jc w:val="center"/>
        </w:trPr>
        <w:tc>
          <w:tcPr>
            <w:tcW w:w="1486" w:type="dxa"/>
            <w:shd w:val="clear" w:color="auto" w:fill="B5C0D8"/>
          </w:tcPr>
          <w:p w:rsidR="00D849AA" w:rsidRPr="00DE6ACB" w:rsidRDefault="00D849AA">
            <w:pPr>
              <w:pStyle w:val="CellHeader"/>
            </w:pPr>
          </w:p>
        </w:tc>
        <w:tc>
          <w:tcPr>
            <w:tcW w:w="1486" w:type="dxa"/>
            <w:shd w:val="clear" w:color="auto" w:fill="B5C0D8"/>
          </w:tcPr>
          <w:p w:rsidR="00D849AA" w:rsidRPr="00DE6ACB" w:rsidRDefault="00EE6D95">
            <w:pPr>
              <w:pStyle w:val="CellHeader"/>
            </w:pPr>
            <w:r w:rsidRPr="00DE6ACB">
              <w:t>Plan 2013.</w:t>
            </w:r>
          </w:p>
        </w:tc>
        <w:tc>
          <w:tcPr>
            <w:tcW w:w="1486" w:type="dxa"/>
            <w:shd w:val="clear" w:color="auto" w:fill="B5C0D8"/>
          </w:tcPr>
          <w:p w:rsidR="00D849AA" w:rsidRPr="00DE6ACB" w:rsidRDefault="00EE6D95">
            <w:pPr>
              <w:pStyle w:val="CellHeader"/>
            </w:pPr>
            <w:r w:rsidRPr="00DE6ACB">
              <w:t>Plan 2014.</w:t>
            </w:r>
          </w:p>
        </w:tc>
        <w:tc>
          <w:tcPr>
            <w:tcW w:w="1486" w:type="dxa"/>
            <w:shd w:val="clear" w:color="auto" w:fill="B5C0D8"/>
          </w:tcPr>
          <w:p w:rsidR="00D849AA" w:rsidRPr="00DE6ACB" w:rsidRDefault="00EE6D95">
            <w:pPr>
              <w:pStyle w:val="CellHeader"/>
            </w:pPr>
            <w:r w:rsidRPr="00DE6ACB">
              <w:t>Plan 2015.</w:t>
            </w:r>
          </w:p>
        </w:tc>
        <w:tc>
          <w:tcPr>
            <w:tcW w:w="1486" w:type="dxa"/>
            <w:shd w:val="clear" w:color="auto" w:fill="B5C0D8"/>
          </w:tcPr>
          <w:p w:rsidR="00D849AA" w:rsidRPr="00DE6ACB" w:rsidRDefault="00EE6D95">
            <w:pPr>
              <w:pStyle w:val="CellHeader"/>
            </w:pPr>
            <w:r w:rsidRPr="00DE6ACB">
              <w:t>Plan 2016.</w:t>
            </w:r>
          </w:p>
        </w:tc>
        <w:tc>
          <w:tcPr>
            <w:tcW w:w="1486" w:type="dxa"/>
            <w:shd w:val="clear" w:color="auto" w:fill="B5C0D8"/>
          </w:tcPr>
          <w:p w:rsidR="00D849AA" w:rsidRPr="00DE6ACB" w:rsidRDefault="00EE6D95">
            <w:pPr>
              <w:pStyle w:val="CellHeader"/>
            </w:pPr>
            <w:r w:rsidRPr="00DE6ACB">
              <w:t>Indeks 2014/2013</w:t>
            </w:r>
          </w:p>
        </w:tc>
      </w:tr>
      <w:tr w:rsidR="00D849AA" w:rsidRPr="00DE6ACB">
        <w:trPr>
          <w:jc w:val="center"/>
        </w:trPr>
        <w:tc>
          <w:tcPr>
            <w:tcW w:w="1486" w:type="dxa"/>
          </w:tcPr>
          <w:p w:rsidR="00D849AA" w:rsidRPr="00DE6ACB" w:rsidRDefault="00EE6D95">
            <w:pPr>
              <w:pStyle w:val="CellColumn"/>
            </w:pPr>
            <w:r w:rsidRPr="00DE6ACB">
              <w:t>03305</w:t>
            </w:r>
          </w:p>
        </w:tc>
        <w:tc>
          <w:tcPr>
            <w:tcW w:w="1486" w:type="dxa"/>
          </w:tcPr>
          <w:p w:rsidR="00D849AA" w:rsidRPr="00DE6ACB" w:rsidRDefault="00EE6D95">
            <w:pPr>
              <w:rPr>
                <w:rFonts w:ascii="Arial" w:hAnsi="Arial" w:cs="Arial"/>
              </w:rPr>
            </w:pPr>
            <w:r w:rsidRPr="00DE6ACB">
              <w:rPr>
                <w:rFonts w:ascii="Arial" w:hAnsi="Arial" w:cs="Arial"/>
              </w:rPr>
              <w:t>264.108.778</w:t>
            </w:r>
          </w:p>
        </w:tc>
        <w:tc>
          <w:tcPr>
            <w:tcW w:w="1486" w:type="dxa"/>
          </w:tcPr>
          <w:p w:rsidR="00D849AA" w:rsidRPr="00DE6ACB" w:rsidRDefault="00EE6D95">
            <w:pPr>
              <w:rPr>
                <w:rFonts w:ascii="Arial" w:hAnsi="Arial" w:cs="Arial"/>
              </w:rPr>
            </w:pPr>
            <w:r w:rsidRPr="00DE6ACB">
              <w:rPr>
                <w:rFonts w:ascii="Arial" w:hAnsi="Arial" w:cs="Arial"/>
              </w:rPr>
              <w:t>313.545.000</w:t>
            </w:r>
          </w:p>
        </w:tc>
        <w:tc>
          <w:tcPr>
            <w:tcW w:w="1486" w:type="dxa"/>
          </w:tcPr>
          <w:p w:rsidR="00D849AA" w:rsidRPr="00DE6ACB" w:rsidRDefault="00EE6D95">
            <w:pPr>
              <w:rPr>
                <w:rFonts w:ascii="Arial" w:hAnsi="Arial" w:cs="Arial"/>
              </w:rPr>
            </w:pPr>
            <w:r w:rsidRPr="00DE6ACB">
              <w:rPr>
                <w:rFonts w:ascii="Arial" w:hAnsi="Arial" w:cs="Arial"/>
              </w:rPr>
              <w:t>225.452.500</w:t>
            </w:r>
          </w:p>
        </w:tc>
        <w:tc>
          <w:tcPr>
            <w:tcW w:w="1486" w:type="dxa"/>
          </w:tcPr>
          <w:p w:rsidR="00D849AA" w:rsidRPr="00DE6ACB" w:rsidRDefault="00EE6D95">
            <w:pPr>
              <w:rPr>
                <w:rFonts w:ascii="Arial" w:hAnsi="Arial" w:cs="Arial"/>
              </w:rPr>
            </w:pPr>
            <w:r w:rsidRPr="00DE6ACB">
              <w:rPr>
                <w:rFonts w:ascii="Arial" w:hAnsi="Arial" w:cs="Arial"/>
              </w:rPr>
              <w:t>232.261.500</w:t>
            </w:r>
          </w:p>
        </w:tc>
        <w:tc>
          <w:tcPr>
            <w:tcW w:w="1486" w:type="dxa"/>
          </w:tcPr>
          <w:p w:rsidR="00D849AA" w:rsidRPr="00DE6ACB" w:rsidRDefault="00EE6D95">
            <w:pPr>
              <w:rPr>
                <w:rFonts w:ascii="Arial" w:hAnsi="Arial" w:cs="Arial"/>
              </w:rPr>
            </w:pPr>
            <w:r w:rsidRPr="00DE6ACB">
              <w:rPr>
                <w:rFonts w:ascii="Arial" w:hAnsi="Arial" w:cs="Arial"/>
              </w:rPr>
              <w:t>118,7</w:t>
            </w:r>
          </w:p>
        </w:tc>
      </w:tr>
    </w:tbl>
    <w:p w:rsidR="00D849AA" w:rsidRPr="00DE6ACB" w:rsidRDefault="00D849AA">
      <w:pPr>
        <w:jc w:val="left"/>
        <w:rPr>
          <w:rFonts w:ascii="Arial" w:hAnsi="Arial" w:cs="Arial"/>
        </w:rPr>
      </w:pPr>
    </w:p>
    <w:p w:rsidR="00D849AA" w:rsidRDefault="00EE6D95">
      <w:pPr>
        <w:pStyle w:val="Naslov4"/>
      </w:pPr>
      <w:r>
        <w:lastRenderedPageBreak/>
        <w:t>OBRAZLOŽENJE PROGRAMA</w:t>
      </w:r>
    </w:p>
    <w:p w:rsidR="00D849AA" w:rsidRDefault="00EE6D95">
      <w:pPr>
        <w:pStyle w:val="Naslov5"/>
      </w:pPr>
      <w:r>
        <w:t>4014 STAMBENO ZBRINJAVANJE PROGNANIKA, POVRATNIKA I IZBJEGLICA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DE6ACB" w:rsidRDefault="00D849AA">
            <w:pPr>
              <w:pStyle w:val="CellHeader"/>
            </w:pPr>
          </w:p>
        </w:tc>
        <w:tc>
          <w:tcPr>
            <w:tcW w:w="1486" w:type="dxa"/>
            <w:shd w:val="clear" w:color="auto" w:fill="B5C0D8"/>
          </w:tcPr>
          <w:p w:rsidR="00D849AA" w:rsidRPr="00DE6ACB" w:rsidRDefault="00EE6D95">
            <w:pPr>
              <w:pStyle w:val="CellHeader"/>
            </w:pPr>
            <w:r w:rsidRPr="00DE6ACB">
              <w:t>Plan 2013.</w:t>
            </w:r>
          </w:p>
        </w:tc>
        <w:tc>
          <w:tcPr>
            <w:tcW w:w="1486" w:type="dxa"/>
            <w:shd w:val="clear" w:color="auto" w:fill="B5C0D8"/>
          </w:tcPr>
          <w:p w:rsidR="00D849AA" w:rsidRPr="00DE6ACB" w:rsidRDefault="00EE6D95">
            <w:pPr>
              <w:pStyle w:val="CellHeader"/>
            </w:pPr>
            <w:r w:rsidRPr="00DE6ACB">
              <w:t>Plan 2014.</w:t>
            </w:r>
          </w:p>
        </w:tc>
        <w:tc>
          <w:tcPr>
            <w:tcW w:w="1486" w:type="dxa"/>
            <w:shd w:val="clear" w:color="auto" w:fill="B5C0D8"/>
          </w:tcPr>
          <w:p w:rsidR="00D849AA" w:rsidRPr="00DE6ACB" w:rsidRDefault="00EE6D95">
            <w:pPr>
              <w:pStyle w:val="CellHeader"/>
            </w:pPr>
            <w:r w:rsidRPr="00DE6ACB">
              <w:t>Plan 2015.</w:t>
            </w:r>
          </w:p>
        </w:tc>
        <w:tc>
          <w:tcPr>
            <w:tcW w:w="1486" w:type="dxa"/>
            <w:shd w:val="clear" w:color="auto" w:fill="B5C0D8"/>
          </w:tcPr>
          <w:p w:rsidR="00D849AA" w:rsidRPr="00DE6ACB" w:rsidRDefault="00EE6D95">
            <w:pPr>
              <w:pStyle w:val="CellHeader"/>
            </w:pPr>
            <w:r w:rsidRPr="00DE6ACB">
              <w:t>Plan 2016.</w:t>
            </w:r>
          </w:p>
        </w:tc>
        <w:tc>
          <w:tcPr>
            <w:tcW w:w="1486" w:type="dxa"/>
            <w:shd w:val="clear" w:color="auto" w:fill="B5C0D8"/>
          </w:tcPr>
          <w:p w:rsidR="00D849AA" w:rsidRPr="00DE6ACB" w:rsidRDefault="00EE6D95">
            <w:pPr>
              <w:pStyle w:val="CellHeader"/>
            </w:pPr>
            <w:r w:rsidRPr="00DE6ACB">
              <w:t>Indeks 2014/2013</w:t>
            </w:r>
          </w:p>
        </w:tc>
      </w:tr>
      <w:tr w:rsidR="00D849AA">
        <w:trPr>
          <w:jc w:val="center"/>
        </w:trPr>
        <w:tc>
          <w:tcPr>
            <w:tcW w:w="1486" w:type="dxa"/>
          </w:tcPr>
          <w:p w:rsidR="00D849AA" w:rsidRPr="00DE6ACB" w:rsidRDefault="00EE6D95">
            <w:pPr>
              <w:pStyle w:val="CellColumn"/>
            </w:pPr>
            <w:r w:rsidRPr="00DE6ACB">
              <w:t>4014</w:t>
            </w:r>
          </w:p>
        </w:tc>
        <w:tc>
          <w:tcPr>
            <w:tcW w:w="1486" w:type="dxa"/>
          </w:tcPr>
          <w:p w:rsidR="00D849AA" w:rsidRPr="00DE6ACB" w:rsidRDefault="00EE6D95">
            <w:pPr>
              <w:rPr>
                <w:rFonts w:ascii="Arial" w:hAnsi="Arial" w:cs="Arial"/>
              </w:rPr>
            </w:pPr>
            <w:r w:rsidRPr="00DE6ACB">
              <w:rPr>
                <w:rFonts w:ascii="Arial" w:hAnsi="Arial" w:cs="Arial"/>
              </w:rPr>
              <w:t>264.108.778</w:t>
            </w:r>
          </w:p>
        </w:tc>
        <w:tc>
          <w:tcPr>
            <w:tcW w:w="1486" w:type="dxa"/>
          </w:tcPr>
          <w:p w:rsidR="00D849AA" w:rsidRPr="00DE6ACB" w:rsidRDefault="00EE6D95">
            <w:pPr>
              <w:rPr>
                <w:rFonts w:ascii="Arial" w:hAnsi="Arial" w:cs="Arial"/>
              </w:rPr>
            </w:pPr>
            <w:r w:rsidRPr="00DE6ACB">
              <w:rPr>
                <w:rFonts w:ascii="Arial" w:hAnsi="Arial" w:cs="Arial"/>
              </w:rPr>
              <w:t>313.545.000</w:t>
            </w:r>
          </w:p>
        </w:tc>
        <w:tc>
          <w:tcPr>
            <w:tcW w:w="1486" w:type="dxa"/>
          </w:tcPr>
          <w:p w:rsidR="00D849AA" w:rsidRPr="00DE6ACB" w:rsidRDefault="00EE6D95">
            <w:pPr>
              <w:rPr>
                <w:rFonts w:ascii="Arial" w:hAnsi="Arial" w:cs="Arial"/>
              </w:rPr>
            </w:pPr>
            <w:r w:rsidRPr="00DE6ACB">
              <w:rPr>
                <w:rFonts w:ascii="Arial" w:hAnsi="Arial" w:cs="Arial"/>
              </w:rPr>
              <w:t>225.452.500</w:t>
            </w:r>
          </w:p>
        </w:tc>
        <w:tc>
          <w:tcPr>
            <w:tcW w:w="1486" w:type="dxa"/>
          </w:tcPr>
          <w:p w:rsidR="00D849AA" w:rsidRPr="00DE6ACB" w:rsidRDefault="00EE6D95">
            <w:pPr>
              <w:rPr>
                <w:rFonts w:ascii="Arial" w:hAnsi="Arial" w:cs="Arial"/>
              </w:rPr>
            </w:pPr>
            <w:r w:rsidRPr="00DE6ACB">
              <w:rPr>
                <w:rFonts w:ascii="Arial" w:hAnsi="Arial" w:cs="Arial"/>
              </w:rPr>
              <w:t>232.261.500</w:t>
            </w:r>
          </w:p>
        </w:tc>
        <w:tc>
          <w:tcPr>
            <w:tcW w:w="1486" w:type="dxa"/>
          </w:tcPr>
          <w:p w:rsidR="00D849AA" w:rsidRPr="00DE6ACB" w:rsidRDefault="00EE6D95">
            <w:pPr>
              <w:rPr>
                <w:rFonts w:ascii="Arial" w:hAnsi="Arial" w:cs="Arial"/>
              </w:rPr>
            </w:pPr>
            <w:r w:rsidRPr="00DE6ACB">
              <w:rPr>
                <w:rFonts w:ascii="Arial" w:hAnsi="Arial" w:cs="Arial"/>
              </w:rPr>
              <w:t>118,7</w:t>
            </w:r>
          </w:p>
        </w:tc>
      </w:tr>
    </w:tbl>
    <w:p w:rsidR="00D849AA" w:rsidRDefault="00D849AA">
      <w:pPr>
        <w:jc w:val="left"/>
      </w:pPr>
    </w:p>
    <w:p w:rsidR="00D849AA" w:rsidRDefault="00EE6D95">
      <w:pPr>
        <w:pStyle w:val="Naslov6"/>
      </w:pPr>
      <w:r>
        <w:t>Opis programa</w:t>
      </w:r>
    </w:p>
    <w:p w:rsidR="00D849AA" w:rsidRDefault="00EE6D95">
      <w:pPr>
        <w:pStyle w:val="Normal5"/>
      </w:pPr>
      <w:r>
        <w:t>Programom stambenog zbrinjavanja na područjima posebne državne skrbi potiče se povratak i ostanak stanovništva koje je prebivalo na tim područjima prije Domovinskog rata, kao i naseljavanje državljana Republike Hrvatske svih zanimanja, osobito onih koji mogu obavljanjem djelatnosti pridonijeti gospodarskom i društvenom razvoju tih područja. Vezano za navedeni program provodi se povratak Hrvata u BiH prema modelu dodjele građevinskog materijala za obnovu ili izgradnju obiteljskih kuća Hrvata povratnika u BiH koji su u potrebi stambenog zbrinjavanja. Stambeno zbrinjavanje nužno se naslanja na program obnove ratom oštećenih stambenih objekata, jer se pretežito i u velikoj mjeri oba programa odnose na ista područja. Ovim Programom nastoji se smanjiti posljedice rata i omogućiti život na ratom stradalim područjima, osigurati povratak, ostanak i naseljavanje potpomognutih područja, putem ulaganja u sanaciju, nadogradnju i izgradnju objekata osnovne komunalne i socijalne infrastrukture, kako bi se smanjile razlike u razvoju pojedinih područja i stvorili preduvjeti za oporavak i razvitak gospodarstva.</w:t>
      </w:r>
    </w:p>
    <w:p w:rsidR="00D849AA" w:rsidRDefault="00EE6D95">
      <w:pPr>
        <w:pStyle w:val="Naslov6"/>
      </w:pPr>
      <w:r>
        <w:t>Zakonske i druge pravne osnove</w:t>
      </w:r>
    </w:p>
    <w:p w:rsidR="00D849AA" w:rsidRDefault="00EE6D95">
      <w:pPr>
        <w:pStyle w:val="Normal5"/>
      </w:pPr>
      <w:r>
        <w:t>1. Zaključak Vlade Republike Hrvatske Klasa: 019-04/01-02/05, Urbroj: 5030116-06</w:t>
      </w:r>
      <w:r w:rsidR="00AA0B4F">
        <w:t xml:space="preserve">-1 od </w:t>
      </w:r>
      <w:r>
        <w:t xml:space="preserve">7. rujna 2006. godine </w:t>
      </w:r>
    </w:p>
    <w:p w:rsidR="00D849AA" w:rsidRDefault="00EE6D95">
      <w:pPr>
        <w:pStyle w:val="Normal5"/>
      </w:pPr>
      <w:r>
        <w:t>2. Zakon o područjima posebne drža</w:t>
      </w:r>
      <w:r w:rsidR="00AA0B4F">
        <w:t>vne skrbi (NN 86/08, 57/11 i 51A</w:t>
      </w:r>
      <w:r>
        <w:t xml:space="preserve">/13 ) </w:t>
      </w:r>
    </w:p>
    <w:p w:rsidR="00D849AA" w:rsidRDefault="00EE6D95">
      <w:pPr>
        <w:pStyle w:val="Normal5"/>
      </w:pPr>
      <w:r>
        <w:t>3. Zakon o statusu prognanika i izbjeglica (NN 96/93, 39/95, 29/99, 128/99 i 51A/13 )</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Cilj 1. Poboljšanje stambenih uvjeta u slabije razvijenim područjima: Posebni cilj 1. Stambeno zbrinjavanje prognanika, povratnika i izbjeglica</w:t>
      </w:r>
      <w:r w:rsidR="00AA0B4F">
        <w:t>,</w:t>
      </w:r>
      <w:r>
        <w:t xml:space="preserve"> Posebni cilj 2. Stambeno zbrinjavanje za ostale ciljane skupine</w:t>
      </w:r>
      <w:r w:rsidR="00AA0B4F">
        <w:t>,</w:t>
      </w:r>
      <w:r>
        <w:t xml:space="preserve"> Posebni cilj 3. Provedba programa pomoći Hrvatima u Bosni i Hercegovini   </w:t>
      </w:r>
    </w:p>
    <w:p w:rsidR="00D849AA" w:rsidRDefault="00EE6D95">
      <w:pPr>
        <w:pStyle w:val="Normal6"/>
      </w:pPr>
      <w:r>
        <w:t xml:space="preserve">Opći cilj je značajno poboljšanje uvjeta u slabije razvijenim područjima Republike Hrvatske kako bi se završio proces povratka prognanog i izbjeglog stanovništva u područja koja su ranije bila zahvaćena ratom, te osiguralo zadržavanje postojećeg i privlačenje novog stanovništva u područja koja po indeksu razvijenosti ulaze u slabije razvijena područja Republike Hrvatske. Najveći dio područja koja su bila zahvaćena ratom ulaze po indeksu razvijenosti u slabije razvijene jedinice lokalne i područne samouprave s obzirom na dugogodišnju depopulaciju koja je ratom dodatno ubrzana i dovela je do svojedobnog pražnjenja pojedinih područja. Osiguravanje zadovoljavajućih stambenih uvjeta na navedenim područjima je osnovni preduvjet za povratak i zadržavanje stanovništva na tim područjima, te osnova za organizaciju i pokretanje bilo koje socijalne i </w:t>
      </w:r>
      <w:r>
        <w:lastRenderedPageBreak/>
        <w:t>gospodarske aktivnosti u tim područjima. Analiza iz studije o potpomognutim područjima je potvrdila da područja sa razvojnim poteškoćama imaju poraznu demografsku sliku koja se kontinuirano pogoršava potaknuta najprije ratom, a potom i slabim gospodarskim oporavkom tih područja Republike Hrvatske.</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DE6ACB" w:rsidRDefault="00EE6D95">
            <w:pPr>
              <w:rPr>
                <w:rFonts w:ascii="Arial" w:hAnsi="Arial" w:cs="Arial"/>
              </w:rPr>
            </w:pPr>
            <w:r w:rsidRPr="00DE6ACB">
              <w:rPr>
                <w:rFonts w:ascii="Arial" w:hAnsi="Arial" w:cs="Arial"/>
              </w:rPr>
              <w:t>Pokazatelj učinka</w:t>
            </w:r>
          </w:p>
        </w:tc>
        <w:tc>
          <w:tcPr>
            <w:tcW w:w="1114" w:type="dxa"/>
            <w:shd w:val="clear" w:color="auto" w:fill="B5C0D8"/>
          </w:tcPr>
          <w:p w:rsidR="00D849AA" w:rsidRPr="00DE6ACB" w:rsidRDefault="00EE6D95">
            <w:pPr>
              <w:pStyle w:val="CellHeader"/>
            </w:pPr>
            <w:r w:rsidRPr="00DE6ACB">
              <w:t>Jedinica</w:t>
            </w:r>
          </w:p>
        </w:tc>
        <w:tc>
          <w:tcPr>
            <w:tcW w:w="1114" w:type="dxa"/>
            <w:shd w:val="clear" w:color="auto" w:fill="B5C0D8"/>
          </w:tcPr>
          <w:p w:rsidR="00D849AA" w:rsidRPr="00DE6ACB" w:rsidRDefault="00EE6D95">
            <w:pPr>
              <w:pStyle w:val="CellHeader"/>
            </w:pPr>
            <w:r w:rsidRPr="00DE6ACB">
              <w:t>Polazna vrijednost</w:t>
            </w:r>
          </w:p>
        </w:tc>
        <w:tc>
          <w:tcPr>
            <w:tcW w:w="1486" w:type="dxa"/>
            <w:shd w:val="clear" w:color="auto" w:fill="B5C0D8"/>
          </w:tcPr>
          <w:p w:rsidR="00D849AA" w:rsidRPr="00DE6ACB" w:rsidRDefault="00EE6D95">
            <w:pPr>
              <w:pStyle w:val="CellHeader"/>
            </w:pPr>
            <w:r w:rsidRPr="00DE6ACB">
              <w:t>Ciljana vrijednost (2014.)</w:t>
            </w:r>
          </w:p>
        </w:tc>
        <w:tc>
          <w:tcPr>
            <w:tcW w:w="1486" w:type="dxa"/>
            <w:shd w:val="clear" w:color="auto" w:fill="B5C0D8"/>
          </w:tcPr>
          <w:p w:rsidR="00D849AA" w:rsidRPr="00DE6ACB" w:rsidRDefault="00EE6D95">
            <w:pPr>
              <w:pStyle w:val="CellHeader"/>
            </w:pPr>
            <w:r w:rsidRPr="00DE6ACB">
              <w:t>Ciljana vrijednost (2015.)</w:t>
            </w:r>
          </w:p>
        </w:tc>
        <w:tc>
          <w:tcPr>
            <w:tcW w:w="1486" w:type="dxa"/>
            <w:shd w:val="clear" w:color="auto" w:fill="B5C0D8"/>
          </w:tcPr>
          <w:p w:rsidR="00D849AA" w:rsidRPr="00DE6ACB" w:rsidRDefault="00EE6D95">
            <w:pPr>
              <w:pStyle w:val="CellHeader"/>
            </w:pPr>
            <w:r w:rsidRPr="00DE6ACB">
              <w:t>Ciljana vrijednost (2016.)</w:t>
            </w:r>
          </w:p>
        </w:tc>
      </w:tr>
      <w:tr w:rsidR="00D849AA">
        <w:trPr>
          <w:jc w:val="center"/>
        </w:trPr>
        <w:tc>
          <w:tcPr>
            <w:tcW w:w="2229" w:type="dxa"/>
          </w:tcPr>
          <w:p w:rsidR="00D849AA" w:rsidRPr="00DE6ACB" w:rsidRDefault="00EE6D95">
            <w:pPr>
              <w:pStyle w:val="CellColumn"/>
              <w:rPr>
                <w:szCs w:val="20"/>
              </w:rPr>
            </w:pPr>
            <w:r w:rsidRPr="00DE6ACB">
              <w:rPr>
                <w:szCs w:val="20"/>
              </w:rPr>
              <w:t>Broj trajno stambeno zbrinutih obitelji povratnika, prognanika i izb jeglica koji su se  vratili u prijeratna prebivališta</w:t>
            </w:r>
          </w:p>
        </w:tc>
        <w:tc>
          <w:tcPr>
            <w:tcW w:w="1114" w:type="dxa"/>
          </w:tcPr>
          <w:p w:rsidR="00D849AA" w:rsidRPr="00DE6ACB" w:rsidRDefault="00EE6D95">
            <w:pPr>
              <w:rPr>
                <w:rFonts w:ascii="Arial" w:hAnsi="Arial" w:cs="Arial"/>
              </w:rPr>
            </w:pPr>
            <w:r w:rsidRPr="00DE6ACB">
              <w:rPr>
                <w:rFonts w:ascii="Arial" w:hAnsi="Arial" w:cs="Arial"/>
              </w:rPr>
              <w:t>Broj obitelji</w:t>
            </w:r>
          </w:p>
        </w:tc>
        <w:tc>
          <w:tcPr>
            <w:tcW w:w="1114" w:type="dxa"/>
          </w:tcPr>
          <w:p w:rsidR="00D849AA" w:rsidRPr="00DE6ACB" w:rsidRDefault="00EE6D95">
            <w:pPr>
              <w:rPr>
                <w:rFonts w:ascii="Arial" w:hAnsi="Arial" w:cs="Arial"/>
              </w:rPr>
            </w:pPr>
            <w:r w:rsidRPr="00DE6ACB">
              <w:rPr>
                <w:rFonts w:ascii="Arial" w:hAnsi="Arial" w:cs="Arial"/>
              </w:rPr>
              <w:t>171059</w:t>
            </w:r>
          </w:p>
        </w:tc>
        <w:tc>
          <w:tcPr>
            <w:tcW w:w="1486" w:type="dxa"/>
          </w:tcPr>
          <w:p w:rsidR="00D849AA" w:rsidRPr="00DE6ACB" w:rsidRDefault="00EE6D95">
            <w:pPr>
              <w:rPr>
                <w:rFonts w:ascii="Arial" w:hAnsi="Arial" w:cs="Arial"/>
              </w:rPr>
            </w:pPr>
            <w:r w:rsidRPr="00DE6ACB">
              <w:rPr>
                <w:rFonts w:ascii="Arial" w:hAnsi="Arial" w:cs="Arial"/>
              </w:rPr>
              <w:t>172059</w:t>
            </w:r>
          </w:p>
        </w:tc>
        <w:tc>
          <w:tcPr>
            <w:tcW w:w="1486" w:type="dxa"/>
          </w:tcPr>
          <w:p w:rsidR="00D849AA" w:rsidRPr="00DE6ACB" w:rsidRDefault="00EE6D95">
            <w:pPr>
              <w:rPr>
                <w:rFonts w:ascii="Arial" w:hAnsi="Arial" w:cs="Arial"/>
              </w:rPr>
            </w:pPr>
            <w:r w:rsidRPr="00DE6ACB">
              <w:rPr>
                <w:rFonts w:ascii="Arial" w:hAnsi="Arial" w:cs="Arial"/>
              </w:rPr>
              <w:t>173119</w:t>
            </w:r>
          </w:p>
        </w:tc>
        <w:tc>
          <w:tcPr>
            <w:tcW w:w="1486" w:type="dxa"/>
          </w:tcPr>
          <w:p w:rsidR="00D849AA" w:rsidRPr="00DE6ACB" w:rsidRDefault="00EE6D95">
            <w:pPr>
              <w:rPr>
                <w:rFonts w:ascii="Arial" w:hAnsi="Arial" w:cs="Arial"/>
              </w:rPr>
            </w:pPr>
            <w:r w:rsidRPr="00DE6ACB">
              <w:rPr>
                <w:rFonts w:ascii="Arial" w:hAnsi="Arial" w:cs="Arial"/>
              </w:rPr>
              <w:t>173861</w:t>
            </w:r>
          </w:p>
        </w:tc>
      </w:tr>
      <w:tr w:rsidR="00D849AA">
        <w:trPr>
          <w:jc w:val="center"/>
        </w:trPr>
        <w:tc>
          <w:tcPr>
            <w:tcW w:w="2229" w:type="dxa"/>
          </w:tcPr>
          <w:p w:rsidR="00D849AA" w:rsidRPr="00DE6ACB" w:rsidRDefault="00EE6D95">
            <w:pPr>
              <w:pStyle w:val="CellColumn"/>
              <w:rPr>
                <w:szCs w:val="20"/>
              </w:rPr>
            </w:pPr>
            <w:r w:rsidRPr="00DE6ACB">
              <w:rPr>
                <w:szCs w:val="20"/>
              </w:rPr>
              <w:t>Broj obitelji koje su trajno stambeno zbrinute ili su im poboljšani uvjeti stanovanja</w:t>
            </w:r>
          </w:p>
        </w:tc>
        <w:tc>
          <w:tcPr>
            <w:tcW w:w="1114" w:type="dxa"/>
          </w:tcPr>
          <w:p w:rsidR="00D849AA" w:rsidRPr="00DE6ACB" w:rsidRDefault="00EE6D95">
            <w:pPr>
              <w:rPr>
                <w:rFonts w:ascii="Arial" w:hAnsi="Arial" w:cs="Arial"/>
              </w:rPr>
            </w:pPr>
            <w:r w:rsidRPr="00DE6ACB">
              <w:rPr>
                <w:rFonts w:ascii="Arial" w:hAnsi="Arial" w:cs="Arial"/>
              </w:rPr>
              <w:t>Broj obitelji</w:t>
            </w:r>
          </w:p>
        </w:tc>
        <w:tc>
          <w:tcPr>
            <w:tcW w:w="1114" w:type="dxa"/>
          </w:tcPr>
          <w:p w:rsidR="00D849AA" w:rsidRPr="00DE6ACB" w:rsidRDefault="00EE6D95">
            <w:pPr>
              <w:rPr>
                <w:rFonts w:ascii="Arial" w:hAnsi="Arial" w:cs="Arial"/>
              </w:rPr>
            </w:pPr>
            <w:r w:rsidRPr="00DE6ACB">
              <w:rPr>
                <w:rFonts w:ascii="Arial" w:hAnsi="Arial" w:cs="Arial"/>
              </w:rPr>
              <w:t>18527</w:t>
            </w:r>
          </w:p>
        </w:tc>
        <w:tc>
          <w:tcPr>
            <w:tcW w:w="1486" w:type="dxa"/>
          </w:tcPr>
          <w:p w:rsidR="00D849AA" w:rsidRPr="00DE6ACB" w:rsidRDefault="00EE6D95">
            <w:pPr>
              <w:rPr>
                <w:rFonts w:ascii="Arial" w:hAnsi="Arial" w:cs="Arial"/>
              </w:rPr>
            </w:pPr>
            <w:r w:rsidRPr="00DE6ACB">
              <w:rPr>
                <w:rFonts w:ascii="Arial" w:hAnsi="Arial" w:cs="Arial"/>
              </w:rPr>
              <w:t>22732</w:t>
            </w:r>
          </w:p>
        </w:tc>
        <w:tc>
          <w:tcPr>
            <w:tcW w:w="1486" w:type="dxa"/>
          </w:tcPr>
          <w:p w:rsidR="00D849AA" w:rsidRPr="00DE6ACB" w:rsidRDefault="00EE6D95">
            <w:pPr>
              <w:rPr>
                <w:rFonts w:ascii="Arial" w:hAnsi="Arial" w:cs="Arial"/>
              </w:rPr>
            </w:pPr>
            <w:r w:rsidRPr="00DE6ACB">
              <w:rPr>
                <w:rFonts w:ascii="Arial" w:hAnsi="Arial" w:cs="Arial"/>
              </w:rPr>
              <w:t>26532</w:t>
            </w:r>
          </w:p>
        </w:tc>
        <w:tc>
          <w:tcPr>
            <w:tcW w:w="1486" w:type="dxa"/>
          </w:tcPr>
          <w:p w:rsidR="00D849AA" w:rsidRPr="00DE6ACB" w:rsidRDefault="00EE6D95">
            <w:pPr>
              <w:rPr>
                <w:rFonts w:ascii="Arial" w:hAnsi="Arial" w:cs="Arial"/>
              </w:rPr>
            </w:pPr>
            <w:r w:rsidRPr="00DE6ACB">
              <w:rPr>
                <w:rFonts w:ascii="Arial" w:hAnsi="Arial" w:cs="Arial"/>
              </w:rPr>
              <w:t>29932</w:t>
            </w:r>
          </w:p>
        </w:tc>
      </w:tr>
      <w:tr w:rsidR="00D849AA">
        <w:trPr>
          <w:jc w:val="center"/>
        </w:trPr>
        <w:tc>
          <w:tcPr>
            <w:tcW w:w="2229" w:type="dxa"/>
          </w:tcPr>
          <w:p w:rsidR="00D849AA" w:rsidRPr="00DE6ACB" w:rsidRDefault="00EE6D95">
            <w:pPr>
              <w:pStyle w:val="CellColumn"/>
              <w:rPr>
                <w:szCs w:val="20"/>
              </w:rPr>
            </w:pPr>
            <w:r w:rsidRPr="00DE6ACB">
              <w:rPr>
                <w:szCs w:val="20"/>
              </w:rPr>
              <w:t>Broj obitelji Hrvata kojima su izgrađene ili obnovljene kuće u Bosni i Hercegovini</w:t>
            </w:r>
          </w:p>
        </w:tc>
        <w:tc>
          <w:tcPr>
            <w:tcW w:w="1114" w:type="dxa"/>
          </w:tcPr>
          <w:p w:rsidR="00D849AA" w:rsidRPr="00DE6ACB" w:rsidRDefault="00EE6D95">
            <w:pPr>
              <w:rPr>
                <w:rFonts w:ascii="Arial" w:hAnsi="Arial" w:cs="Arial"/>
              </w:rPr>
            </w:pPr>
            <w:r w:rsidRPr="00DE6ACB">
              <w:rPr>
                <w:rFonts w:ascii="Arial" w:hAnsi="Arial" w:cs="Arial"/>
              </w:rPr>
              <w:t>Broj obitelji</w:t>
            </w:r>
          </w:p>
        </w:tc>
        <w:tc>
          <w:tcPr>
            <w:tcW w:w="1114" w:type="dxa"/>
          </w:tcPr>
          <w:p w:rsidR="00D849AA" w:rsidRPr="00DE6ACB" w:rsidRDefault="00EE6D95">
            <w:pPr>
              <w:rPr>
                <w:rFonts w:ascii="Arial" w:hAnsi="Arial" w:cs="Arial"/>
              </w:rPr>
            </w:pPr>
            <w:r w:rsidRPr="00DE6ACB">
              <w:rPr>
                <w:rFonts w:ascii="Arial" w:hAnsi="Arial" w:cs="Arial"/>
              </w:rPr>
              <w:t>2629</w:t>
            </w:r>
          </w:p>
        </w:tc>
        <w:tc>
          <w:tcPr>
            <w:tcW w:w="1486" w:type="dxa"/>
          </w:tcPr>
          <w:p w:rsidR="00D849AA" w:rsidRPr="00DE6ACB" w:rsidRDefault="00EE6D95">
            <w:pPr>
              <w:rPr>
                <w:rFonts w:ascii="Arial" w:hAnsi="Arial" w:cs="Arial"/>
              </w:rPr>
            </w:pPr>
            <w:r w:rsidRPr="00DE6ACB">
              <w:rPr>
                <w:rFonts w:ascii="Arial" w:hAnsi="Arial" w:cs="Arial"/>
              </w:rPr>
              <w:t>2729</w:t>
            </w:r>
          </w:p>
        </w:tc>
        <w:tc>
          <w:tcPr>
            <w:tcW w:w="1486" w:type="dxa"/>
          </w:tcPr>
          <w:p w:rsidR="00D849AA" w:rsidRPr="00DE6ACB" w:rsidRDefault="00EE6D95">
            <w:pPr>
              <w:rPr>
                <w:rFonts w:ascii="Arial" w:hAnsi="Arial" w:cs="Arial"/>
              </w:rPr>
            </w:pPr>
            <w:r w:rsidRPr="00DE6ACB">
              <w:rPr>
                <w:rFonts w:ascii="Arial" w:hAnsi="Arial" w:cs="Arial"/>
              </w:rPr>
              <w:t>2829</w:t>
            </w:r>
          </w:p>
        </w:tc>
        <w:tc>
          <w:tcPr>
            <w:tcW w:w="1486" w:type="dxa"/>
          </w:tcPr>
          <w:p w:rsidR="00D849AA" w:rsidRPr="00DE6ACB" w:rsidRDefault="00EE6D95">
            <w:pPr>
              <w:rPr>
                <w:rFonts w:ascii="Arial" w:hAnsi="Arial" w:cs="Arial"/>
              </w:rPr>
            </w:pPr>
            <w:r w:rsidRPr="00DE6ACB">
              <w:rPr>
                <w:rFonts w:ascii="Arial" w:hAnsi="Arial" w:cs="Arial"/>
              </w:rPr>
              <w:t>2929</w:t>
            </w:r>
          </w:p>
        </w:tc>
      </w:tr>
    </w:tbl>
    <w:p w:rsidR="00D849AA" w:rsidRDefault="00D849AA">
      <w:pPr>
        <w:jc w:val="left"/>
      </w:pPr>
    </w:p>
    <w:p w:rsidR="00D849AA" w:rsidRDefault="00EE6D95">
      <w:pPr>
        <w:pStyle w:val="Naslov5"/>
      </w:pPr>
      <w:r>
        <w:t>Procjena i ishodište potrebnih sredstava za značajnije aktivnosti/projekte</w:t>
      </w:r>
    </w:p>
    <w:p w:rsidR="00D849AA" w:rsidRDefault="00EE6D95">
      <w:pPr>
        <w:pStyle w:val="Naslov6"/>
      </w:pPr>
      <w:r>
        <w:t>A761060 POTPORA POVRATKA U BIH</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rsidRPr="00DE6ACB">
        <w:trPr>
          <w:jc w:val="center"/>
        </w:trPr>
        <w:tc>
          <w:tcPr>
            <w:tcW w:w="1486" w:type="dxa"/>
            <w:shd w:val="clear" w:color="auto" w:fill="B5C0D8"/>
          </w:tcPr>
          <w:p w:rsidR="00D849AA" w:rsidRPr="00DE6ACB" w:rsidRDefault="00EE6D95">
            <w:pPr>
              <w:pStyle w:val="CellHeader"/>
            </w:pPr>
            <w:r w:rsidRPr="00DE6ACB">
              <w:t>Naziv aktivnosti</w:t>
            </w:r>
          </w:p>
        </w:tc>
        <w:tc>
          <w:tcPr>
            <w:tcW w:w="1486" w:type="dxa"/>
            <w:shd w:val="clear" w:color="auto" w:fill="B5C0D8"/>
          </w:tcPr>
          <w:p w:rsidR="00D849AA" w:rsidRPr="00DE6ACB" w:rsidRDefault="00EE6D95">
            <w:pPr>
              <w:pStyle w:val="CellHeader"/>
            </w:pPr>
            <w:r w:rsidRPr="00DE6ACB">
              <w:t>Plan 2013.</w:t>
            </w:r>
          </w:p>
        </w:tc>
        <w:tc>
          <w:tcPr>
            <w:tcW w:w="1486" w:type="dxa"/>
            <w:shd w:val="clear" w:color="auto" w:fill="B5C0D8"/>
          </w:tcPr>
          <w:p w:rsidR="00D849AA" w:rsidRPr="00DE6ACB" w:rsidRDefault="00EE6D95">
            <w:pPr>
              <w:pStyle w:val="CellHeader"/>
            </w:pPr>
            <w:r w:rsidRPr="00DE6ACB">
              <w:t>Plan 2014.</w:t>
            </w:r>
          </w:p>
        </w:tc>
        <w:tc>
          <w:tcPr>
            <w:tcW w:w="1486" w:type="dxa"/>
            <w:shd w:val="clear" w:color="auto" w:fill="B5C0D8"/>
          </w:tcPr>
          <w:p w:rsidR="00D849AA" w:rsidRPr="00DE6ACB" w:rsidRDefault="00EE6D95">
            <w:pPr>
              <w:pStyle w:val="CellHeader"/>
            </w:pPr>
            <w:r w:rsidRPr="00DE6ACB">
              <w:t>Plan 2015.</w:t>
            </w:r>
          </w:p>
        </w:tc>
        <w:tc>
          <w:tcPr>
            <w:tcW w:w="1486" w:type="dxa"/>
            <w:shd w:val="clear" w:color="auto" w:fill="B5C0D8"/>
          </w:tcPr>
          <w:p w:rsidR="00D849AA" w:rsidRPr="00DE6ACB" w:rsidRDefault="00EE6D95">
            <w:pPr>
              <w:pStyle w:val="CellHeader"/>
            </w:pPr>
            <w:r w:rsidRPr="00DE6ACB">
              <w:t>Plan 2016.</w:t>
            </w:r>
          </w:p>
        </w:tc>
        <w:tc>
          <w:tcPr>
            <w:tcW w:w="1486" w:type="dxa"/>
            <w:shd w:val="clear" w:color="auto" w:fill="B5C0D8"/>
          </w:tcPr>
          <w:p w:rsidR="00D849AA" w:rsidRPr="00DE6ACB" w:rsidRDefault="00EE6D95">
            <w:pPr>
              <w:pStyle w:val="CellHeader"/>
            </w:pPr>
            <w:r w:rsidRPr="00DE6ACB">
              <w:t>Indeks 2014/2013</w:t>
            </w:r>
          </w:p>
        </w:tc>
      </w:tr>
      <w:tr w:rsidR="00D849AA" w:rsidRPr="00DE6ACB">
        <w:trPr>
          <w:jc w:val="center"/>
        </w:trPr>
        <w:tc>
          <w:tcPr>
            <w:tcW w:w="1486" w:type="dxa"/>
          </w:tcPr>
          <w:p w:rsidR="00D849AA" w:rsidRPr="00DE6ACB" w:rsidRDefault="00EE6D95">
            <w:pPr>
              <w:pStyle w:val="CellColumn"/>
            </w:pPr>
            <w:r w:rsidRPr="00DE6ACB">
              <w:t>A761060</w:t>
            </w:r>
          </w:p>
        </w:tc>
        <w:tc>
          <w:tcPr>
            <w:tcW w:w="1486" w:type="dxa"/>
          </w:tcPr>
          <w:p w:rsidR="00D849AA" w:rsidRPr="00DE6ACB" w:rsidRDefault="00EE6D95">
            <w:pPr>
              <w:rPr>
                <w:rFonts w:ascii="Arial" w:hAnsi="Arial" w:cs="Arial"/>
              </w:rPr>
            </w:pPr>
            <w:r w:rsidRPr="00DE6ACB">
              <w:rPr>
                <w:rFonts w:ascii="Arial" w:hAnsi="Arial" w:cs="Arial"/>
              </w:rPr>
              <w:t>9.937.131</w:t>
            </w:r>
          </w:p>
        </w:tc>
        <w:tc>
          <w:tcPr>
            <w:tcW w:w="1486" w:type="dxa"/>
          </w:tcPr>
          <w:p w:rsidR="00D849AA" w:rsidRPr="00DE6ACB" w:rsidRDefault="00EE6D95">
            <w:pPr>
              <w:rPr>
                <w:rFonts w:ascii="Arial" w:hAnsi="Arial" w:cs="Arial"/>
              </w:rPr>
            </w:pPr>
            <w:r w:rsidRPr="00DE6ACB">
              <w:rPr>
                <w:rFonts w:ascii="Arial" w:hAnsi="Arial" w:cs="Arial"/>
              </w:rPr>
              <w:t>9.499.897</w:t>
            </w:r>
          </w:p>
        </w:tc>
        <w:tc>
          <w:tcPr>
            <w:tcW w:w="1486" w:type="dxa"/>
          </w:tcPr>
          <w:p w:rsidR="00D849AA" w:rsidRPr="00DE6ACB" w:rsidRDefault="00EE6D95">
            <w:pPr>
              <w:rPr>
                <w:rFonts w:ascii="Arial" w:hAnsi="Arial" w:cs="Arial"/>
              </w:rPr>
            </w:pPr>
            <w:r w:rsidRPr="00DE6ACB">
              <w:rPr>
                <w:rFonts w:ascii="Arial" w:hAnsi="Arial" w:cs="Arial"/>
              </w:rPr>
              <w:t>9.373.423</w:t>
            </w:r>
          </w:p>
        </w:tc>
        <w:tc>
          <w:tcPr>
            <w:tcW w:w="1486" w:type="dxa"/>
          </w:tcPr>
          <w:p w:rsidR="00D849AA" w:rsidRPr="00DE6ACB" w:rsidRDefault="00EE6D95">
            <w:pPr>
              <w:rPr>
                <w:rFonts w:ascii="Arial" w:hAnsi="Arial" w:cs="Arial"/>
              </w:rPr>
            </w:pPr>
            <w:r w:rsidRPr="00DE6ACB">
              <w:rPr>
                <w:rFonts w:ascii="Arial" w:hAnsi="Arial" w:cs="Arial"/>
              </w:rPr>
              <w:t>9.656.515</w:t>
            </w:r>
          </w:p>
        </w:tc>
        <w:tc>
          <w:tcPr>
            <w:tcW w:w="1486" w:type="dxa"/>
          </w:tcPr>
          <w:p w:rsidR="00D849AA" w:rsidRPr="00DE6ACB" w:rsidRDefault="00EE6D95">
            <w:pPr>
              <w:rPr>
                <w:rFonts w:ascii="Arial" w:hAnsi="Arial" w:cs="Arial"/>
              </w:rPr>
            </w:pPr>
            <w:r w:rsidRPr="00DE6ACB">
              <w:rPr>
                <w:rFonts w:ascii="Arial" w:hAnsi="Arial" w:cs="Arial"/>
              </w:rPr>
              <w:t>95,6</w:t>
            </w:r>
          </w:p>
        </w:tc>
      </w:tr>
    </w:tbl>
    <w:p w:rsidR="00D849AA" w:rsidRDefault="00D849AA">
      <w:pPr>
        <w:jc w:val="left"/>
      </w:pPr>
    </w:p>
    <w:p w:rsidR="00D849AA" w:rsidRDefault="00EE6D95">
      <w:pPr>
        <w:pStyle w:val="Normal6"/>
      </w:pPr>
      <w:r>
        <w:t>Aktivnost se odnosi na provedbu programa kojim se provodi povratak Hrvata u BiH prema modelu dodjele građevinskog materijala za obnovu ili izgradnju obiteljskih kuća Hrvata povratnika u BiH koji su u potrebi stambenog zbrinjavanja, a kojeg temeljem međudržavnog ugovora Vlade RH i Vijeća ministara BiH te Zakon o područjima posebne državne skrbi provodi Državi ured za obnovu i stambeno zbrinjavanje.</w:t>
      </w:r>
    </w:p>
    <w:p w:rsidR="00AA0B4F" w:rsidRDefault="00AA0B4F">
      <w:pPr>
        <w:pStyle w:val="Naslov8"/>
        <w:jc w:val="left"/>
      </w:pPr>
    </w:p>
    <w:p w:rsidR="00AA0B4F" w:rsidRDefault="00AA0B4F">
      <w:pPr>
        <w:pStyle w:val="Naslov8"/>
        <w:jc w:val="left"/>
      </w:pPr>
    </w:p>
    <w:p w:rsidR="00AA0B4F" w:rsidRDefault="00AA0B4F">
      <w:pPr>
        <w:pStyle w:val="Naslov8"/>
        <w:jc w:val="left"/>
      </w:pPr>
    </w:p>
    <w:p w:rsidR="00AA0B4F" w:rsidRDefault="00AA0B4F">
      <w:pPr>
        <w:pStyle w:val="Naslov8"/>
        <w:jc w:val="left"/>
      </w:pPr>
    </w:p>
    <w:p w:rsidR="00AA0B4F" w:rsidRDefault="00AA0B4F">
      <w:pPr>
        <w:pStyle w:val="Naslov8"/>
        <w:jc w:val="left"/>
      </w:pPr>
    </w:p>
    <w:p w:rsidR="00AA0B4F" w:rsidRDefault="00AA0B4F">
      <w:pPr>
        <w:pStyle w:val="Naslov8"/>
        <w:jc w:val="left"/>
      </w:pPr>
    </w:p>
    <w:p w:rsidR="00D849AA" w:rsidRDefault="00EE6D95">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AA0B4F" w:rsidRDefault="00EE6D95">
            <w:pPr>
              <w:rPr>
                <w:rFonts w:ascii="Arial" w:hAnsi="Arial" w:cs="Arial"/>
              </w:rPr>
            </w:pPr>
            <w:r w:rsidRPr="00AA0B4F">
              <w:rPr>
                <w:rFonts w:ascii="Arial" w:hAnsi="Arial" w:cs="Arial"/>
              </w:rP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Pr="00AA0B4F" w:rsidRDefault="00EE6D95">
            <w:pPr>
              <w:pStyle w:val="CellColumn"/>
            </w:pPr>
            <w:r w:rsidRPr="00AA0B4F">
              <w:t>Broj obitelji Hrvata kojima su izgrađene ili obnovljene kuće u Bosni i Hercegovini (tehnički pregled)</w:t>
            </w:r>
          </w:p>
        </w:tc>
        <w:tc>
          <w:tcPr>
            <w:tcW w:w="1114" w:type="dxa"/>
          </w:tcPr>
          <w:p w:rsidR="00D849AA" w:rsidRPr="00AA0B4F" w:rsidRDefault="00EE6D95">
            <w:pPr>
              <w:rPr>
                <w:rFonts w:ascii="Arial" w:hAnsi="Arial" w:cs="Arial"/>
              </w:rPr>
            </w:pPr>
            <w:r w:rsidRPr="00AA0B4F">
              <w:rPr>
                <w:rFonts w:ascii="Arial" w:hAnsi="Arial" w:cs="Arial"/>
              </w:rPr>
              <w:t>Broj obitelji</w:t>
            </w:r>
          </w:p>
        </w:tc>
        <w:tc>
          <w:tcPr>
            <w:tcW w:w="1114" w:type="dxa"/>
          </w:tcPr>
          <w:p w:rsidR="00D849AA" w:rsidRPr="00AA0B4F" w:rsidRDefault="00EE6D95">
            <w:pPr>
              <w:rPr>
                <w:rFonts w:ascii="Arial" w:hAnsi="Arial" w:cs="Arial"/>
              </w:rPr>
            </w:pPr>
            <w:r w:rsidRPr="00AA0B4F">
              <w:rPr>
                <w:rFonts w:ascii="Arial" w:hAnsi="Arial" w:cs="Arial"/>
              </w:rPr>
              <w:t>2629</w:t>
            </w:r>
          </w:p>
        </w:tc>
        <w:tc>
          <w:tcPr>
            <w:tcW w:w="1486" w:type="dxa"/>
          </w:tcPr>
          <w:p w:rsidR="00D849AA" w:rsidRPr="00AA0B4F" w:rsidRDefault="00EE6D95">
            <w:pPr>
              <w:rPr>
                <w:rFonts w:ascii="Arial" w:hAnsi="Arial" w:cs="Arial"/>
              </w:rPr>
            </w:pPr>
            <w:r w:rsidRPr="00AA0B4F">
              <w:rPr>
                <w:rFonts w:ascii="Arial" w:hAnsi="Arial" w:cs="Arial"/>
              </w:rPr>
              <w:t>2729</w:t>
            </w:r>
          </w:p>
        </w:tc>
        <w:tc>
          <w:tcPr>
            <w:tcW w:w="1486" w:type="dxa"/>
          </w:tcPr>
          <w:p w:rsidR="00D849AA" w:rsidRPr="00AA0B4F" w:rsidRDefault="00EE6D95">
            <w:pPr>
              <w:rPr>
                <w:rFonts w:ascii="Arial" w:hAnsi="Arial" w:cs="Arial"/>
              </w:rPr>
            </w:pPr>
            <w:r w:rsidRPr="00AA0B4F">
              <w:rPr>
                <w:rFonts w:ascii="Arial" w:hAnsi="Arial" w:cs="Arial"/>
              </w:rPr>
              <w:t>2829</w:t>
            </w:r>
          </w:p>
        </w:tc>
        <w:tc>
          <w:tcPr>
            <w:tcW w:w="1486" w:type="dxa"/>
          </w:tcPr>
          <w:p w:rsidR="00D849AA" w:rsidRPr="00AA0B4F" w:rsidRDefault="00EE6D95">
            <w:pPr>
              <w:rPr>
                <w:rFonts w:ascii="Arial" w:hAnsi="Arial" w:cs="Arial"/>
              </w:rPr>
            </w:pPr>
            <w:r w:rsidRPr="00AA0B4F">
              <w:rPr>
                <w:rFonts w:ascii="Arial" w:hAnsi="Arial" w:cs="Arial"/>
              </w:rPr>
              <w:t>2929</w:t>
            </w:r>
          </w:p>
        </w:tc>
      </w:tr>
    </w:tbl>
    <w:p w:rsidR="00D849AA" w:rsidRDefault="00D849AA">
      <w:pPr>
        <w:jc w:val="left"/>
      </w:pPr>
    </w:p>
    <w:p w:rsidR="00D849AA" w:rsidRDefault="00EE6D95">
      <w:pPr>
        <w:pStyle w:val="Naslov6"/>
      </w:pPr>
      <w:r>
        <w:t>A761069 REGIONALNI STAMBENI PROGRAM</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Pr="00AA0B4F" w:rsidRDefault="00EE6D95">
            <w:pPr>
              <w:pStyle w:val="CellColumn"/>
            </w:pPr>
            <w:r w:rsidRPr="00AA0B4F">
              <w:t>A761069</w:t>
            </w:r>
          </w:p>
        </w:tc>
        <w:tc>
          <w:tcPr>
            <w:tcW w:w="1486" w:type="dxa"/>
          </w:tcPr>
          <w:p w:rsidR="00D849AA" w:rsidRPr="00AA0B4F" w:rsidRDefault="00EE6D95">
            <w:pPr>
              <w:rPr>
                <w:rFonts w:ascii="Arial" w:hAnsi="Arial" w:cs="Arial"/>
              </w:rPr>
            </w:pPr>
            <w:r w:rsidRPr="00AA0B4F">
              <w:rPr>
                <w:rFonts w:ascii="Arial" w:hAnsi="Arial" w:cs="Arial"/>
              </w:rPr>
              <w:t>00</w:t>
            </w:r>
          </w:p>
        </w:tc>
        <w:tc>
          <w:tcPr>
            <w:tcW w:w="1486" w:type="dxa"/>
          </w:tcPr>
          <w:p w:rsidR="00D849AA" w:rsidRPr="00AA0B4F" w:rsidRDefault="00EE6D95">
            <w:pPr>
              <w:rPr>
                <w:rFonts w:ascii="Arial" w:hAnsi="Arial" w:cs="Arial"/>
              </w:rPr>
            </w:pPr>
            <w:r w:rsidRPr="00AA0B4F">
              <w:rPr>
                <w:rFonts w:ascii="Arial" w:hAnsi="Arial" w:cs="Arial"/>
              </w:rPr>
              <w:t>85.050.000</w:t>
            </w:r>
          </w:p>
        </w:tc>
        <w:tc>
          <w:tcPr>
            <w:tcW w:w="1486" w:type="dxa"/>
          </w:tcPr>
          <w:p w:rsidR="00D849AA" w:rsidRPr="00AA0B4F" w:rsidRDefault="00EE6D95">
            <w:pPr>
              <w:rPr>
                <w:rFonts w:ascii="Arial" w:hAnsi="Arial" w:cs="Arial"/>
              </w:rPr>
            </w:pPr>
            <w:r w:rsidRPr="00AA0B4F">
              <w:rPr>
                <w:rFonts w:ascii="Arial" w:hAnsi="Arial" w:cs="Arial"/>
              </w:rPr>
              <w:t>00</w:t>
            </w:r>
          </w:p>
        </w:tc>
        <w:tc>
          <w:tcPr>
            <w:tcW w:w="1486" w:type="dxa"/>
          </w:tcPr>
          <w:p w:rsidR="00D849AA" w:rsidRPr="00AA0B4F" w:rsidRDefault="00EE6D95">
            <w:pPr>
              <w:rPr>
                <w:rFonts w:ascii="Arial" w:hAnsi="Arial" w:cs="Arial"/>
              </w:rPr>
            </w:pPr>
            <w:r w:rsidRPr="00AA0B4F">
              <w:rPr>
                <w:rFonts w:ascii="Arial" w:hAnsi="Arial" w:cs="Arial"/>
              </w:rPr>
              <w:t>00</w:t>
            </w:r>
          </w:p>
        </w:tc>
        <w:tc>
          <w:tcPr>
            <w:tcW w:w="1486" w:type="dxa"/>
          </w:tcPr>
          <w:p w:rsidR="00D849AA" w:rsidRPr="00AA0B4F" w:rsidRDefault="00EE6D95">
            <w:pPr>
              <w:rPr>
                <w:rFonts w:ascii="Arial" w:hAnsi="Arial" w:cs="Arial"/>
              </w:rPr>
            </w:pPr>
            <w:r w:rsidRPr="00AA0B4F">
              <w:rPr>
                <w:rFonts w:ascii="Arial" w:hAnsi="Arial" w:cs="Arial"/>
              </w:rPr>
              <w:t>0,0</w:t>
            </w:r>
          </w:p>
        </w:tc>
      </w:tr>
    </w:tbl>
    <w:p w:rsidR="00D849AA" w:rsidRDefault="00D849AA">
      <w:pPr>
        <w:jc w:val="left"/>
      </w:pPr>
    </w:p>
    <w:p w:rsidR="00D849AA" w:rsidRDefault="00EE6D95">
      <w:pPr>
        <w:pStyle w:val="Normal6"/>
      </w:pPr>
      <w:r>
        <w:t>Aktivnost se odnosi na provedbu programa kojim se planira trajno zbrinjavanje izbjeglica i raseljenih obitelji u Hrvatskoj. U okviru Regionalnog programa stambenog zbrinjavanja, Hrvatska provodi tri modela stambenog zbrinjavanja: izgradnju stambenih objeka</w:t>
      </w:r>
      <w:r w:rsidR="00AA0B4F">
        <w:t>ta, kupnju s</w:t>
      </w:r>
      <w:r>
        <w:t xml:space="preserve">tanova na tržištu te rekonstrukciju doma za stare i nemoćne osobe. </w:t>
      </w:r>
    </w:p>
    <w:p w:rsidR="00D849AA" w:rsidRDefault="00EE6D95">
      <w:pPr>
        <w:pStyle w:val="Normal6"/>
      </w:pPr>
      <w:r>
        <w:t>Cilj Programa jest osigurati trajna stambena rješenja za 74.000 osoba tj. 27.000 obitelji (u 4 zemlje regije) u petogodišnjem razdoblju (2013. - 2017.), a sredstva potrebna za njegovu realizaciju iznose 584 milijuna eura, od čega se oko 500 milijuna eura (86 %) planira osigurati iz donacija. Programom upravlja CEB pri kojem je osnovan Fond Regionalnog stambenog programa, kroz koji će se donatorska sredstva alocirati partnerskim državama za projekte u okviru njihovih nacionalnih programa. CEB je tajništvo Programa, upravitelj Fonda i financijska institucija. U travnju 2012. godine u Sarajevu je održana Donatorska konferencija u cilju prikupljanja potrebnih sredstava za realizaciju ovoga Programa. Donatori su osigurali sredstva u visini od 261 milijun eura, pri čemu je najveći donator Europska unija sa donacijom u visini od 230 milijuna eura.</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Broj zbrinutih obitelji</w:t>
            </w:r>
          </w:p>
        </w:tc>
        <w:tc>
          <w:tcPr>
            <w:tcW w:w="1114" w:type="dxa"/>
          </w:tcPr>
          <w:p w:rsidR="00D849AA" w:rsidRPr="00AA0B4F" w:rsidRDefault="00EE6D95">
            <w:pPr>
              <w:rPr>
                <w:rFonts w:ascii="Arial" w:hAnsi="Arial" w:cs="Arial"/>
              </w:rPr>
            </w:pPr>
            <w:r w:rsidRPr="00AA0B4F">
              <w:rPr>
                <w:rFonts w:ascii="Arial" w:hAnsi="Arial" w:cs="Arial"/>
              </w:rPr>
              <w:t>Broj obitelji</w:t>
            </w:r>
          </w:p>
        </w:tc>
        <w:tc>
          <w:tcPr>
            <w:tcW w:w="1114" w:type="dxa"/>
          </w:tcPr>
          <w:p w:rsidR="00D849AA" w:rsidRDefault="00D849AA">
            <w:pPr>
              <w:jc w:val="left"/>
            </w:pPr>
          </w:p>
        </w:tc>
        <w:tc>
          <w:tcPr>
            <w:tcW w:w="1486" w:type="dxa"/>
          </w:tcPr>
          <w:p w:rsidR="00D849AA" w:rsidRPr="00AA0B4F" w:rsidRDefault="00EE6D95">
            <w:pPr>
              <w:rPr>
                <w:rFonts w:ascii="Arial" w:hAnsi="Arial" w:cs="Arial"/>
              </w:rPr>
            </w:pPr>
            <w:r w:rsidRPr="00AA0B4F">
              <w:rPr>
                <w:rFonts w:ascii="Arial" w:hAnsi="Arial" w:cs="Arial"/>
              </w:rPr>
              <w:t>244</w:t>
            </w:r>
          </w:p>
        </w:tc>
        <w:tc>
          <w:tcPr>
            <w:tcW w:w="1486" w:type="dxa"/>
          </w:tcPr>
          <w:p w:rsidR="00D849AA" w:rsidRDefault="00D849AA">
            <w:pPr>
              <w:jc w:val="left"/>
            </w:pPr>
          </w:p>
        </w:tc>
        <w:tc>
          <w:tcPr>
            <w:tcW w:w="1486" w:type="dxa"/>
          </w:tcPr>
          <w:p w:rsidR="00D849AA" w:rsidRDefault="00D849AA">
            <w:pPr>
              <w:jc w:val="left"/>
            </w:pPr>
          </w:p>
        </w:tc>
      </w:tr>
    </w:tbl>
    <w:p w:rsidR="00D849AA" w:rsidRDefault="00D849AA">
      <w:pPr>
        <w:jc w:val="left"/>
      </w:pPr>
    </w:p>
    <w:p w:rsidR="00D849AA" w:rsidRDefault="00EE6D95">
      <w:pPr>
        <w:pStyle w:val="Naslov6"/>
      </w:pPr>
      <w:r>
        <w:t>K761061 OBNOVA I IZGRADNJA U RATU OŠTEĆENIH STAMBENIH JEDINICA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Pr="00AA0B4F" w:rsidRDefault="00EE6D95">
            <w:pPr>
              <w:pStyle w:val="CellColumn"/>
            </w:pPr>
            <w:r w:rsidRPr="00AA0B4F">
              <w:t>K761061</w:t>
            </w:r>
          </w:p>
        </w:tc>
        <w:tc>
          <w:tcPr>
            <w:tcW w:w="1486" w:type="dxa"/>
          </w:tcPr>
          <w:p w:rsidR="00D849AA" w:rsidRPr="00AA0B4F" w:rsidRDefault="00EE6D95">
            <w:pPr>
              <w:rPr>
                <w:rFonts w:ascii="Arial" w:hAnsi="Arial" w:cs="Arial"/>
              </w:rPr>
            </w:pPr>
            <w:r w:rsidRPr="00AA0B4F">
              <w:rPr>
                <w:rFonts w:ascii="Arial" w:hAnsi="Arial" w:cs="Arial"/>
              </w:rPr>
              <w:t>59.493.730</w:t>
            </w:r>
          </w:p>
        </w:tc>
        <w:tc>
          <w:tcPr>
            <w:tcW w:w="1486" w:type="dxa"/>
          </w:tcPr>
          <w:p w:rsidR="00D849AA" w:rsidRPr="00AA0B4F" w:rsidRDefault="00EE6D95">
            <w:pPr>
              <w:rPr>
                <w:rFonts w:ascii="Arial" w:hAnsi="Arial" w:cs="Arial"/>
              </w:rPr>
            </w:pPr>
            <w:r w:rsidRPr="00AA0B4F">
              <w:rPr>
                <w:rFonts w:ascii="Arial" w:hAnsi="Arial" w:cs="Arial"/>
              </w:rPr>
              <w:t>56.876.005</w:t>
            </w:r>
          </w:p>
        </w:tc>
        <w:tc>
          <w:tcPr>
            <w:tcW w:w="1486" w:type="dxa"/>
          </w:tcPr>
          <w:p w:rsidR="00D849AA" w:rsidRPr="00AA0B4F" w:rsidRDefault="00EE6D95">
            <w:pPr>
              <w:rPr>
                <w:rFonts w:ascii="Arial" w:hAnsi="Arial" w:cs="Arial"/>
              </w:rPr>
            </w:pPr>
            <w:r w:rsidRPr="00AA0B4F">
              <w:rPr>
                <w:rFonts w:ascii="Arial" w:hAnsi="Arial" w:cs="Arial"/>
              </w:rPr>
              <w:t>56.118.803</w:t>
            </w:r>
          </w:p>
        </w:tc>
        <w:tc>
          <w:tcPr>
            <w:tcW w:w="1486" w:type="dxa"/>
          </w:tcPr>
          <w:p w:rsidR="00D849AA" w:rsidRPr="00AA0B4F" w:rsidRDefault="00EE6D95">
            <w:pPr>
              <w:rPr>
                <w:rFonts w:ascii="Arial" w:hAnsi="Arial" w:cs="Arial"/>
              </w:rPr>
            </w:pPr>
            <w:r w:rsidRPr="00AA0B4F">
              <w:rPr>
                <w:rFonts w:ascii="Arial" w:hAnsi="Arial" w:cs="Arial"/>
              </w:rPr>
              <w:t>57.813.670</w:t>
            </w:r>
          </w:p>
        </w:tc>
        <w:tc>
          <w:tcPr>
            <w:tcW w:w="1486" w:type="dxa"/>
          </w:tcPr>
          <w:p w:rsidR="00D849AA" w:rsidRPr="00AA0B4F" w:rsidRDefault="00EE6D95">
            <w:pPr>
              <w:rPr>
                <w:rFonts w:ascii="Arial" w:hAnsi="Arial" w:cs="Arial"/>
              </w:rPr>
            </w:pPr>
            <w:r w:rsidRPr="00AA0B4F">
              <w:rPr>
                <w:rFonts w:ascii="Arial" w:hAnsi="Arial" w:cs="Arial"/>
              </w:rPr>
              <w:t>95,6</w:t>
            </w:r>
          </w:p>
        </w:tc>
      </w:tr>
    </w:tbl>
    <w:p w:rsidR="00D849AA" w:rsidRDefault="00D849AA">
      <w:pPr>
        <w:jc w:val="left"/>
      </w:pPr>
    </w:p>
    <w:p w:rsidR="00D849AA" w:rsidRDefault="00EE6D95">
      <w:pPr>
        <w:pStyle w:val="Normal6"/>
      </w:pPr>
      <w:r>
        <w:lastRenderedPageBreak/>
        <w:t>Aktivnost se odnosi na organiziranu obnovu ratom oštećenih stambenih jedinica prvenstveno obiteljskih kuća oštećenih i uništenih u Domovinskom ratu (IV. – VI. stupnja oštećenja) dovođenjem istih u stanje prikladno uvjetima življenja s ciljem stvaranja uvjeta za povratak svih prognanih i izbjeglih osoba s ratom stradalih područja koja se provodi prema odredbama Zakona o obnovi.</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317"/>
        <w:gridCol w:w="1114"/>
        <w:gridCol w:w="1486"/>
        <w:gridCol w:w="1486"/>
        <w:gridCol w:w="1486"/>
      </w:tblGrid>
      <w:tr w:rsidR="00D849AA" w:rsidRPr="00AA0B4F">
        <w:trPr>
          <w:jc w:val="center"/>
        </w:trPr>
        <w:tc>
          <w:tcPr>
            <w:tcW w:w="2229" w:type="dxa"/>
            <w:shd w:val="clear" w:color="auto" w:fill="B5C0D8"/>
          </w:tcPr>
          <w:p w:rsidR="00D849AA" w:rsidRPr="00AA0B4F" w:rsidRDefault="00EE6D95">
            <w:pPr>
              <w:rPr>
                <w:rFonts w:ascii="Arial" w:hAnsi="Arial" w:cs="Arial"/>
              </w:rPr>
            </w:pPr>
            <w:r w:rsidRPr="00AA0B4F">
              <w:rPr>
                <w:rFonts w:ascii="Arial" w:hAnsi="Arial" w:cs="Arial"/>
              </w:rPr>
              <w:t>Pokazatelj rezultata</w:t>
            </w:r>
          </w:p>
        </w:tc>
        <w:tc>
          <w:tcPr>
            <w:tcW w:w="1114" w:type="dxa"/>
            <w:shd w:val="clear" w:color="auto" w:fill="B5C0D8"/>
          </w:tcPr>
          <w:p w:rsidR="00D849AA" w:rsidRPr="00AA0B4F" w:rsidRDefault="00EE6D95">
            <w:pPr>
              <w:pStyle w:val="CellHeader"/>
            </w:pPr>
            <w:r w:rsidRPr="00AA0B4F">
              <w:t>Jedinica</w:t>
            </w:r>
          </w:p>
        </w:tc>
        <w:tc>
          <w:tcPr>
            <w:tcW w:w="1114" w:type="dxa"/>
            <w:shd w:val="clear" w:color="auto" w:fill="B5C0D8"/>
          </w:tcPr>
          <w:p w:rsidR="00D849AA" w:rsidRPr="00AA0B4F" w:rsidRDefault="00EE6D95">
            <w:pPr>
              <w:pStyle w:val="CellHeader"/>
            </w:pPr>
            <w:r w:rsidRPr="00AA0B4F">
              <w:t>Polazna vrijednost</w:t>
            </w:r>
          </w:p>
        </w:tc>
        <w:tc>
          <w:tcPr>
            <w:tcW w:w="1486" w:type="dxa"/>
            <w:shd w:val="clear" w:color="auto" w:fill="B5C0D8"/>
          </w:tcPr>
          <w:p w:rsidR="00D849AA" w:rsidRPr="00AA0B4F" w:rsidRDefault="00EE6D95">
            <w:pPr>
              <w:pStyle w:val="CellHeader"/>
            </w:pPr>
            <w:r w:rsidRPr="00AA0B4F">
              <w:t>Ciljana vrijednost (2014.)</w:t>
            </w:r>
          </w:p>
        </w:tc>
        <w:tc>
          <w:tcPr>
            <w:tcW w:w="1486" w:type="dxa"/>
            <w:shd w:val="clear" w:color="auto" w:fill="B5C0D8"/>
          </w:tcPr>
          <w:p w:rsidR="00D849AA" w:rsidRPr="00AA0B4F" w:rsidRDefault="00EE6D95">
            <w:pPr>
              <w:pStyle w:val="CellHeader"/>
            </w:pPr>
            <w:r w:rsidRPr="00AA0B4F">
              <w:t>Ciljana vrijednost (2015.)</w:t>
            </w:r>
          </w:p>
        </w:tc>
        <w:tc>
          <w:tcPr>
            <w:tcW w:w="1486" w:type="dxa"/>
            <w:shd w:val="clear" w:color="auto" w:fill="B5C0D8"/>
          </w:tcPr>
          <w:p w:rsidR="00D849AA" w:rsidRPr="00AA0B4F" w:rsidRDefault="00EE6D95">
            <w:pPr>
              <w:pStyle w:val="CellHeader"/>
            </w:pPr>
            <w:r w:rsidRPr="00AA0B4F">
              <w:t>Ciljana vrijednost (2016.)</w:t>
            </w:r>
          </w:p>
        </w:tc>
      </w:tr>
      <w:tr w:rsidR="00D849AA" w:rsidRPr="00AA0B4F">
        <w:trPr>
          <w:jc w:val="center"/>
        </w:trPr>
        <w:tc>
          <w:tcPr>
            <w:tcW w:w="2229" w:type="dxa"/>
          </w:tcPr>
          <w:p w:rsidR="00D849AA" w:rsidRPr="00AA0B4F" w:rsidRDefault="00EE6D95">
            <w:pPr>
              <w:pStyle w:val="CellColumn"/>
            </w:pPr>
            <w:r w:rsidRPr="00AA0B4F">
              <w:t>Povećanje broja organizirano obnovljenih kuća i stanova IV-VI kategorije ratne štete</w:t>
            </w:r>
          </w:p>
        </w:tc>
        <w:tc>
          <w:tcPr>
            <w:tcW w:w="1114" w:type="dxa"/>
          </w:tcPr>
          <w:p w:rsidR="00D849AA" w:rsidRPr="00AA0B4F" w:rsidRDefault="00EE6D95">
            <w:pPr>
              <w:rPr>
                <w:rFonts w:ascii="Arial" w:hAnsi="Arial" w:cs="Arial"/>
              </w:rPr>
            </w:pPr>
            <w:r w:rsidRPr="00AA0B4F">
              <w:rPr>
                <w:rFonts w:ascii="Arial" w:hAnsi="Arial" w:cs="Arial"/>
              </w:rPr>
              <w:t>Broj organizirano obnovljenih kuća i stanova IV-VI kategorije ratne štete</w:t>
            </w:r>
          </w:p>
        </w:tc>
        <w:tc>
          <w:tcPr>
            <w:tcW w:w="1114" w:type="dxa"/>
          </w:tcPr>
          <w:p w:rsidR="00D849AA" w:rsidRPr="00AA0B4F" w:rsidRDefault="00EE6D95">
            <w:pPr>
              <w:rPr>
                <w:rFonts w:ascii="Arial" w:hAnsi="Arial" w:cs="Arial"/>
              </w:rPr>
            </w:pPr>
            <w:r w:rsidRPr="00AA0B4F">
              <w:rPr>
                <w:rFonts w:ascii="Arial" w:hAnsi="Arial" w:cs="Arial"/>
              </w:rPr>
              <w:t>88851</w:t>
            </w:r>
          </w:p>
        </w:tc>
        <w:tc>
          <w:tcPr>
            <w:tcW w:w="1486" w:type="dxa"/>
          </w:tcPr>
          <w:p w:rsidR="00D849AA" w:rsidRPr="00AA0B4F" w:rsidRDefault="00EE6D95">
            <w:pPr>
              <w:rPr>
                <w:rFonts w:ascii="Arial" w:hAnsi="Arial" w:cs="Arial"/>
              </w:rPr>
            </w:pPr>
            <w:r w:rsidRPr="00AA0B4F">
              <w:rPr>
                <w:rFonts w:ascii="Arial" w:hAnsi="Arial" w:cs="Arial"/>
              </w:rPr>
              <w:t>88951</w:t>
            </w:r>
          </w:p>
        </w:tc>
        <w:tc>
          <w:tcPr>
            <w:tcW w:w="1486" w:type="dxa"/>
          </w:tcPr>
          <w:p w:rsidR="00D849AA" w:rsidRPr="00AA0B4F" w:rsidRDefault="00EE6D95">
            <w:pPr>
              <w:rPr>
                <w:rFonts w:ascii="Arial" w:hAnsi="Arial" w:cs="Arial"/>
              </w:rPr>
            </w:pPr>
            <w:r w:rsidRPr="00AA0B4F">
              <w:rPr>
                <w:rFonts w:ascii="Arial" w:hAnsi="Arial" w:cs="Arial"/>
              </w:rPr>
              <w:t>89000</w:t>
            </w:r>
          </w:p>
        </w:tc>
        <w:tc>
          <w:tcPr>
            <w:tcW w:w="1486" w:type="dxa"/>
          </w:tcPr>
          <w:p w:rsidR="00D849AA" w:rsidRPr="00AA0B4F" w:rsidRDefault="00EE6D95">
            <w:pPr>
              <w:rPr>
                <w:rFonts w:ascii="Arial" w:hAnsi="Arial" w:cs="Arial"/>
              </w:rPr>
            </w:pPr>
            <w:r w:rsidRPr="00AA0B4F">
              <w:rPr>
                <w:rFonts w:ascii="Arial" w:hAnsi="Arial" w:cs="Arial"/>
              </w:rPr>
              <w:t>89010</w:t>
            </w:r>
          </w:p>
        </w:tc>
      </w:tr>
    </w:tbl>
    <w:p w:rsidR="00D849AA" w:rsidRDefault="00D849AA">
      <w:pPr>
        <w:jc w:val="left"/>
      </w:pPr>
    </w:p>
    <w:p w:rsidR="00D849AA" w:rsidRDefault="00EE6D95">
      <w:pPr>
        <w:pStyle w:val="Naslov6"/>
      </w:pPr>
      <w:r>
        <w:t>K761063 STAMBENO ZBRINJAVANJE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Pr="00AA0B4F" w:rsidRDefault="00EE6D95">
            <w:pPr>
              <w:pStyle w:val="CellColumn"/>
            </w:pPr>
            <w:r w:rsidRPr="00AA0B4F">
              <w:t>K761063</w:t>
            </w:r>
          </w:p>
        </w:tc>
        <w:tc>
          <w:tcPr>
            <w:tcW w:w="1486" w:type="dxa"/>
          </w:tcPr>
          <w:p w:rsidR="00D849AA" w:rsidRPr="00AA0B4F" w:rsidRDefault="00EE6D95">
            <w:pPr>
              <w:rPr>
                <w:rFonts w:ascii="Arial" w:hAnsi="Arial" w:cs="Arial"/>
              </w:rPr>
            </w:pPr>
            <w:r w:rsidRPr="00AA0B4F">
              <w:rPr>
                <w:rFonts w:ascii="Arial" w:hAnsi="Arial" w:cs="Arial"/>
              </w:rPr>
              <w:t>145.886.005</w:t>
            </w:r>
          </w:p>
        </w:tc>
        <w:tc>
          <w:tcPr>
            <w:tcW w:w="1486" w:type="dxa"/>
          </w:tcPr>
          <w:p w:rsidR="00D849AA" w:rsidRPr="00AA0B4F" w:rsidRDefault="00EE6D95">
            <w:pPr>
              <w:rPr>
                <w:rFonts w:ascii="Arial" w:hAnsi="Arial" w:cs="Arial"/>
              </w:rPr>
            </w:pPr>
            <w:r w:rsidRPr="00AA0B4F">
              <w:rPr>
                <w:rFonts w:ascii="Arial" w:hAnsi="Arial" w:cs="Arial"/>
              </w:rPr>
              <w:t>110.787.019</w:t>
            </w:r>
          </w:p>
        </w:tc>
        <w:tc>
          <w:tcPr>
            <w:tcW w:w="1486" w:type="dxa"/>
          </w:tcPr>
          <w:p w:rsidR="00D849AA" w:rsidRPr="00AA0B4F" w:rsidRDefault="00EE6D95">
            <w:pPr>
              <w:rPr>
                <w:rFonts w:ascii="Arial" w:hAnsi="Arial" w:cs="Arial"/>
              </w:rPr>
            </w:pPr>
            <w:r w:rsidRPr="00AA0B4F">
              <w:rPr>
                <w:rFonts w:ascii="Arial" w:hAnsi="Arial" w:cs="Arial"/>
              </w:rPr>
              <w:t>109.312.089</w:t>
            </w:r>
          </w:p>
        </w:tc>
        <w:tc>
          <w:tcPr>
            <w:tcW w:w="1486" w:type="dxa"/>
          </w:tcPr>
          <w:p w:rsidR="00D849AA" w:rsidRPr="00AA0B4F" w:rsidRDefault="00EE6D95">
            <w:pPr>
              <w:rPr>
                <w:rFonts w:ascii="Arial" w:hAnsi="Arial" w:cs="Arial"/>
              </w:rPr>
            </w:pPr>
            <w:r w:rsidRPr="00AA0B4F">
              <w:rPr>
                <w:rFonts w:ascii="Arial" w:hAnsi="Arial" w:cs="Arial"/>
              </w:rPr>
              <w:t>112.613.471</w:t>
            </w:r>
          </w:p>
        </w:tc>
        <w:tc>
          <w:tcPr>
            <w:tcW w:w="1486" w:type="dxa"/>
          </w:tcPr>
          <w:p w:rsidR="00D849AA" w:rsidRPr="00AA0B4F" w:rsidRDefault="00EE6D95">
            <w:pPr>
              <w:rPr>
                <w:rFonts w:ascii="Arial" w:hAnsi="Arial" w:cs="Arial"/>
              </w:rPr>
            </w:pPr>
            <w:r w:rsidRPr="00AA0B4F">
              <w:rPr>
                <w:rFonts w:ascii="Arial" w:hAnsi="Arial" w:cs="Arial"/>
              </w:rPr>
              <w:t>75,9</w:t>
            </w:r>
          </w:p>
        </w:tc>
      </w:tr>
    </w:tbl>
    <w:p w:rsidR="00D849AA" w:rsidRDefault="00D849AA">
      <w:pPr>
        <w:jc w:val="left"/>
      </w:pPr>
    </w:p>
    <w:p w:rsidR="00D849AA" w:rsidRDefault="00EE6D95">
      <w:pPr>
        <w:pStyle w:val="Normal6"/>
      </w:pPr>
      <w:r>
        <w:t>Aktivnost se odnosi na darovanje građevinskog materijala za izgradnju ili obnovu kuća u vlasništvu korisnika, na dodjelu građevinskog zemljišta u državnom vlasništvu kao i dodjelom građevinskog materijala – izgradnja naselja, izgradnja novih sanacija postojećih zgrada (fasada i krovišta), kuća i pojedinačnih stanova u državnom vlasništvu, budući da Republika Hrvatska aktivno sudjeluje u regionalnim procesima s ciljem rješavanja preostalih pitanja izbjeglica i interno raseljenih osoba.</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272"/>
        <w:gridCol w:w="1114"/>
        <w:gridCol w:w="1486"/>
        <w:gridCol w:w="1486"/>
        <w:gridCol w:w="1486"/>
      </w:tblGrid>
      <w:tr w:rsidR="00D849AA">
        <w:trPr>
          <w:jc w:val="center"/>
        </w:trPr>
        <w:tc>
          <w:tcPr>
            <w:tcW w:w="2229" w:type="dxa"/>
            <w:shd w:val="clear" w:color="auto" w:fill="B5C0D8"/>
          </w:tcPr>
          <w:p w:rsidR="00D849AA" w:rsidRPr="00AA0B4F" w:rsidRDefault="00EE6D95">
            <w:pPr>
              <w:rPr>
                <w:rFonts w:ascii="Arial" w:hAnsi="Arial" w:cs="Arial"/>
              </w:rPr>
            </w:pPr>
            <w:r w:rsidRPr="00AA0B4F">
              <w:rPr>
                <w:rFonts w:ascii="Arial" w:hAnsi="Arial" w:cs="Arial"/>
              </w:rPr>
              <w:t>Pokazatelj rezultata</w:t>
            </w:r>
          </w:p>
        </w:tc>
        <w:tc>
          <w:tcPr>
            <w:tcW w:w="1114" w:type="dxa"/>
            <w:shd w:val="clear" w:color="auto" w:fill="B5C0D8"/>
          </w:tcPr>
          <w:p w:rsidR="00D849AA" w:rsidRPr="00AA0B4F" w:rsidRDefault="00EE6D95">
            <w:pPr>
              <w:pStyle w:val="CellHeader"/>
            </w:pPr>
            <w:r w:rsidRPr="00AA0B4F">
              <w:t>Jedinica</w:t>
            </w:r>
          </w:p>
        </w:tc>
        <w:tc>
          <w:tcPr>
            <w:tcW w:w="1114" w:type="dxa"/>
            <w:shd w:val="clear" w:color="auto" w:fill="B5C0D8"/>
          </w:tcPr>
          <w:p w:rsidR="00D849AA" w:rsidRPr="00AA0B4F" w:rsidRDefault="00EE6D95">
            <w:pPr>
              <w:pStyle w:val="CellHeader"/>
            </w:pPr>
            <w:r w:rsidRPr="00AA0B4F">
              <w:t>Polazna vrijednost</w:t>
            </w:r>
          </w:p>
        </w:tc>
        <w:tc>
          <w:tcPr>
            <w:tcW w:w="1486" w:type="dxa"/>
            <w:shd w:val="clear" w:color="auto" w:fill="B5C0D8"/>
          </w:tcPr>
          <w:p w:rsidR="00D849AA" w:rsidRPr="00AA0B4F" w:rsidRDefault="00EE6D95">
            <w:pPr>
              <w:pStyle w:val="CellHeader"/>
            </w:pPr>
            <w:r w:rsidRPr="00AA0B4F">
              <w:t>Ciljana vrijednost (2014.)</w:t>
            </w:r>
          </w:p>
        </w:tc>
        <w:tc>
          <w:tcPr>
            <w:tcW w:w="1486" w:type="dxa"/>
            <w:shd w:val="clear" w:color="auto" w:fill="B5C0D8"/>
          </w:tcPr>
          <w:p w:rsidR="00D849AA" w:rsidRPr="00AA0B4F" w:rsidRDefault="00EE6D95">
            <w:pPr>
              <w:pStyle w:val="CellHeader"/>
            </w:pPr>
            <w:r w:rsidRPr="00AA0B4F">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Pr="00AA0B4F" w:rsidRDefault="00EE6D95">
            <w:pPr>
              <w:pStyle w:val="CellColumn"/>
            </w:pPr>
            <w:r w:rsidRPr="00AA0B4F">
              <w:t xml:space="preserve">Povećanje broja izgrađenih kuća po modelu dodjele građevnog zemljišta u državnom </w:t>
            </w:r>
          </w:p>
          <w:p w:rsidR="00D849AA" w:rsidRPr="00AA0B4F" w:rsidRDefault="00EE6D95">
            <w:pPr>
              <w:pStyle w:val="CellColumn"/>
            </w:pPr>
            <w:r w:rsidRPr="00AA0B4F">
              <w:t>vlasništvu i građevnog materijala</w:t>
            </w:r>
          </w:p>
        </w:tc>
        <w:tc>
          <w:tcPr>
            <w:tcW w:w="1114" w:type="dxa"/>
          </w:tcPr>
          <w:p w:rsidR="00D849AA" w:rsidRPr="00AA0B4F" w:rsidRDefault="00EE6D95">
            <w:pPr>
              <w:rPr>
                <w:rFonts w:ascii="Arial" w:hAnsi="Arial" w:cs="Arial"/>
              </w:rPr>
            </w:pPr>
            <w:r w:rsidRPr="00AA0B4F">
              <w:rPr>
                <w:rFonts w:ascii="Arial" w:hAnsi="Arial" w:cs="Arial"/>
              </w:rPr>
              <w:t>Broj izgrađenih kuća na  zemljištu u državnom vlasništvu</w:t>
            </w:r>
          </w:p>
        </w:tc>
        <w:tc>
          <w:tcPr>
            <w:tcW w:w="1114" w:type="dxa"/>
          </w:tcPr>
          <w:p w:rsidR="00D849AA" w:rsidRPr="00AA0B4F" w:rsidRDefault="00EE6D95">
            <w:pPr>
              <w:rPr>
                <w:rFonts w:ascii="Arial" w:hAnsi="Arial" w:cs="Arial"/>
              </w:rPr>
            </w:pPr>
            <w:r w:rsidRPr="00AA0B4F">
              <w:rPr>
                <w:rFonts w:ascii="Arial" w:hAnsi="Arial" w:cs="Arial"/>
              </w:rPr>
              <w:t>1998 kuća</w:t>
            </w:r>
          </w:p>
        </w:tc>
        <w:tc>
          <w:tcPr>
            <w:tcW w:w="1486" w:type="dxa"/>
          </w:tcPr>
          <w:p w:rsidR="00D849AA" w:rsidRPr="00AA0B4F" w:rsidRDefault="00EE6D95">
            <w:pPr>
              <w:rPr>
                <w:rFonts w:ascii="Arial" w:hAnsi="Arial" w:cs="Arial"/>
              </w:rPr>
            </w:pPr>
            <w:r w:rsidRPr="00AA0B4F">
              <w:rPr>
                <w:rFonts w:ascii="Arial" w:hAnsi="Arial" w:cs="Arial"/>
              </w:rPr>
              <w:t>2098 kuća</w:t>
            </w:r>
          </w:p>
        </w:tc>
        <w:tc>
          <w:tcPr>
            <w:tcW w:w="1486" w:type="dxa"/>
          </w:tcPr>
          <w:p w:rsidR="00D849AA" w:rsidRPr="00AA0B4F" w:rsidRDefault="00EE6D95">
            <w:pPr>
              <w:rPr>
                <w:rFonts w:ascii="Arial" w:hAnsi="Arial" w:cs="Arial"/>
              </w:rPr>
            </w:pPr>
            <w:r w:rsidRPr="00AA0B4F">
              <w:rPr>
                <w:rFonts w:ascii="Arial" w:hAnsi="Arial" w:cs="Arial"/>
              </w:rPr>
              <w:t>2198 kuća</w:t>
            </w:r>
          </w:p>
        </w:tc>
        <w:tc>
          <w:tcPr>
            <w:tcW w:w="1486" w:type="dxa"/>
          </w:tcPr>
          <w:p w:rsidR="00D849AA" w:rsidRDefault="00EE6D95">
            <w:r>
              <w:t>2298 kuća</w:t>
            </w:r>
          </w:p>
        </w:tc>
      </w:tr>
      <w:tr w:rsidR="00D849AA">
        <w:trPr>
          <w:jc w:val="center"/>
        </w:trPr>
        <w:tc>
          <w:tcPr>
            <w:tcW w:w="2229" w:type="dxa"/>
          </w:tcPr>
          <w:p w:rsidR="00D849AA" w:rsidRPr="00AA0B4F" w:rsidRDefault="00EE6D95">
            <w:pPr>
              <w:pStyle w:val="CellColumn"/>
            </w:pPr>
            <w:r w:rsidRPr="00AA0B4F">
              <w:t xml:space="preserve">Povećanje broja isporučenih kompleta građevnog materijala za izgradnju ili obnovu kuća u vlasništvu korisnika  na i izvan </w:t>
            </w:r>
            <w:r w:rsidRPr="00AA0B4F">
              <w:lastRenderedPageBreak/>
              <w:t>PPDS  (tehnički pregled)</w:t>
            </w:r>
          </w:p>
        </w:tc>
        <w:tc>
          <w:tcPr>
            <w:tcW w:w="1114" w:type="dxa"/>
          </w:tcPr>
          <w:p w:rsidR="00D849AA" w:rsidRPr="00AA0B4F" w:rsidRDefault="00EE6D95">
            <w:pPr>
              <w:rPr>
                <w:rFonts w:ascii="Arial" w:hAnsi="Arial" w:cs="Arial"/>
              </w:rPr>
            </w:pPr>
            <w:r w:rsidRPr="00AA0B4F">
              <w:rPr>
                <w:rFonts w:ascii="Arial" w:hAnsi="Arial" w:cs="Arial"/>
              </w:rPr>
              <w:lastRenderedPageBreak/>
              <w:t xml:space="preserve">Broj isporučenih kompleta građevnog materijala  (izvršeni </w:t>
            </w:r>
            <w:r w:rsidRPr="00AA0B4F">
              <w:rPr>
                <w:rFonts w:ascii="Arial" w:hAnsi="Arial" w:cs="Arial"/>
              </w:rPr>
              <w:lastRenderedPageBreak/>
              <w:t>tehnički pregledi)</w:t>
            </w:r>
          </w:p>
        </w:tc>
        <w:tc>
          <w:tcPr>
            <w:tcW w:w="1114" w:type="dxa"/>
          </w:tcPr>
          <w:p w:rsidR="00D849AA" w:rsidRPr="00AA0B4F" w:rsidRDefault="00EE6D95">
            <w:pPr>
              <w:rPr>
                <w:rFonts w:ascii="Arial" w:hAnsi="Arial" w:cs="Arial"/>
              </w:rPr>
            </w:pPr>
            <w:r w:rsidRPr="00AA0B4F">
              <w:rPr>
                <w:rFonts w:ascii="Arial" w:hAnsi="Arial" w:cs="Arial"/>
              </w:rPr>
              <w:lastRenderedPageBreak/>
              <w:t>11974</w:t>
            </w:r>
          </w:p>
        </w:tc>
        <w:tc>
          <w:tcPr>
            <w:tcW w:w="1486" w:type="dxa"/>
          </w:tcPr>
          <w:p w:rsidR="00D849AA" w:rsidRPr="00AA0B4F" w:rsidRDefault="00EE6D95">
            <w:pPr>
              <w:rPr>
                <w:rFonts w:ascii="Arial" w:hAnsi="Arial" w:cs="Arial"/>
              </w:rPr>
            </w:pPr>
            <w:r w:rsidRPr="00AA0B4F">
              <w:rPr>
                <w:rFonts w:ascii="Arial" w:hAnsi="Arial" w:cs="Arial"/>
              </w:rPr>
              <w:t>13074</w:t>
            </w:r>
          </w:p>
        </w:tc>
        <w:tc>
          <w:tcPr>
            <w:tcW w:w="1486" w:type="dxa"/>
          </w:tcPr>
          <w:p w:rsidR="00D849AA" w:rsidRPr="00AA0B4F" w:rsidRDefault="00EE6D95">
            <w:pPr>
              <w:rPr>
                <w:rFonts w:ascii="Arial" w:hAnsi="Arial" w:cs="Arial"/>
              </w:rPr>
            </w:pPr>
            <w:r w:rsidRPr="00AA0B4F">
              <w:rPr>
                <w:rFonts w:ascii="Arial" w:hAnsi="Arial" w:cs="Arial"/>
              </w:rPr>
              <w:t>13774</w:t>
            </w:r>
          </w:p>
        </w:tc>
        <w:tc>
          <w:tcPr>
            <w:tcW w:w="1486" w:type="dxa"/>
          </w:tcPr>
          <w:p w:rsidR="00D849AA" w:rsidRDefault="00EE6D95">
            <w:r>
              <w:t>14474</w:t>
            </w:r>
          </w:p>
        </w:tc>
      </w:tr>
      <w:tr w:rsidR="00D849AA">
        <w:trPr>
          <w:jc w:val="center"/>
        </w:trPr>
        <w:tc>
          <w:tcPr>
            <w:tcW w:w="2229" w:type="dxa"/>
          </w:tcPr>
          <w:p w:rsidR="00D849AA" w:rsidRPr="00AA0B4F" w:rsidRDefault="00EE6D95">
            <w:pPr>
              <w:pStyle w:val="CellColumn"/>
            </w:pPr>
            <w:r w:rsidRPr="00AA0B4F">
              <w:lastRenderedPageBreak/>
              <w:t>Povećanje broja izgrađenih naselja odnosno infrastrukture u naseljima</w:t>
            </w:r>
          </w:p>
        </w:tc>
        <w:tc>
          <w:tcPr>
            <w:tcW w:w="1114" w:type="dxa"/>
          </w:tcPr>
          <w:p w:rsidR="00D849AA" w:rsidRPr="00AA0B4F" w:rsidRDefault="00EE6D95">
            <w:pPr>
              <w:rPr>
                <w:rFonts w:ascii="Arial" w:hAnsi="Arial" w:cs="Arial"/>
              </w:rPr>
            </w:pPr>
            <w:r w:rsidRPr="00AA0B4F">
              <w:rPr>
                <w:rFonts w:ascii="Arial" w:hAnsi="Arial" w:cs="Arial"/>
              </w:rPr>
              <w:t>Broj izgrađenih naselja odnosno izgrađene infrstrukture naselja</w:t>
            </w:r>
          </w:p>
        </w:tc>
        <w:tc>
          <w:tcPr>
            <w:tcW w:w="1114" w:type="dxa"/>
          </w:tcPr>
          <w:p w:rsidR="00D849AA" w:rsidRPr="00AA0B4F" w:rsidRDefault="00EE6D95">
            <w:pPr>
              <w:rPr>
                <w:rFonts w:ascii="Arial" w:hAnsi="Arial" w:cs="Arial"/>
              </w:rPr>
            </w:pPr>
            <w:r w:rsidRPr="00AA0B4F">
              <w:rPr>
                <w:rFonts w:ascii="Arial" w:hAnsi="Arial" w:cs="Arial"/>
              </w:rPr>
              <w:t>25 naselja</w:t>
            </w:r>
          </w:p>
        </w:tc>
        <w:tc>
          <w:tcPr>
            <w:tcW w:w="1486" w:type="dxa"/>
          </w:tcPr>
          <w:p w:rsidR="00D849AA" w:rsidRPr="00AA0B4F" w:rsidRDefault="00EE6D95">
            <w:pPr>
              <w:rPr>
                <w:rFonts w:ascii="Arial" w:hAnsi="Arial" w:cs="Arial"/>
              </w:rPr>
            </w:pPr>
            <w:r w:rsidRPr="00AA0B4F">
              <w:rPr>
                <w:rFonts w:ascii="Arial" w:hAnsi="Arial" w:cs="Arial"/>
              </w:rPr>
              <w:t>27 naselja</w:t>
            </w:r>
          </w:p>
        </w:tc>
        <w:tc>
          <w:tcPr>
            <w:tcW w:w="1486" w:type="dxa"/>
          </w:tcPr>
          <w:p w:rsidR="00D849AA" w:rsidRPr="00AA0B4F" w:rsidRDefault="00EE6D95">
            <w:pPr>
              <w:rPr>
                <w:rFonts w:ascii="Arial" w:hAnsi="Arial" w:cs="Arial"/>
              </w:rPr>
            </w:pPr>
            <w:r w:rsidRPr="00AA0B4F">
              <w:rPr>
                <w:rFonts w:ascii="Arial" w:hAnsi="Arial" w:cs="Arial"/>
              </w:rPr>
              <w:t>29 naselja</w:t>
            </w:r>
          </w:p>
        </w:tc>
        <w:tc>
          <w:tcPr>
            <w:tcW w:w="1486" w:type="dxa"/>
          </w:tcPr>
          <w:p w:rsidR="00D849AA" w:rsidRPr="00AA0B4F" w:rsidRDefault="00EE6D95">
            <w:pPr>
              <w:rPr>
                <w:rFonts w:ascii="Arial" w:hAnsi="Arial" w:cs="Arial"/>
              </w:rPr>
            </w:pPr>
            <w:r w:rsidRPr="00AA0B4F">
              <w:rPr>
                <w:rFonts w:ascii="Arial" w:hAnsi="Arial" w:cs="Arial"/>
              </w:rPr>
              <w:t>31 naselje</w:t>
            </w:r>
          </w:p>
        </w:tc>
      </w:tr>
    </w:tbl>
    <w:p w:rsidR="00D849AA" w:rsidRDefault="00D849AA">
      <w:pPr>
        <w:jc w:val="left"/>
      </w:pPr>
    </w:p>
    <w:p w:rsidR="00D849AA" w:rsidRDefault="00EE6D95">
      <w:pPr>
        <w:pStyle w:val="Naslov6"/>
      </w:pPr>
      <w:r>
        <w:t>K761065 UREĐENJE POSJEDOVNE I VLASNIČKO - PRAVNE EVIDENCIJE DRŽAVNE IMOVINE NA PPDS</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DE6ACB" w:rsidRDefault="00EE6D95">
            <w:pPr>
              <w:pStyle w:val="CellHeader"/>
            </w:pPr>
            <w:r w:rsidRPr="00DE6ACB">
              <w:t>Naziv aktivnosti</w:t>
            </w:r>
          </w:p>
        </w:tc>
        <w:tc>
          <w:tcPr>
            <w:tcW w:w="1486" w:type="dxa"/>
            <w:shd w:val="clear" w:color="auto" w:fill="B5C0D8"/>
          </w:tcPr>
          <w:p w:rsidR="00D849AA" w:rsidRPr="00DE6ACB" w:rsidRDefault="00EE6D95">
            <w:pPr>
              <w:pStyle w:val="CellHeader"/>
            </w:pPr>
            <w:r w:rsidRPr="00DE6ACB">
              <w:t>Plan 2013.</w:t>
            </w:r>
          </w:p>
        </w:tc>
        <w:tc>
          <w:tcPr>
            <w:tcW w:w="1486" w:type="dxa"/>
            <w:shd w:val="clear" w:color="auto" w:fill="B5C0D8"/>
          </w:tcPr>
          <w:p w:rsidR="00D849AA" w:rsidRPr="00DE6ACB" w:rsidRDefault="00EE6D95">
            <w:pPr>
              <w:pStyle w:val="CellHeader"/>
            </w:pPr>
            <w:r w:rsidRPr="00DE6ACB">
              <w:t>Plan 2014.</w:t>
            </w:r>
          </w:p>
        </w:tc>
        <w:tc>
          <w:tcPr>
            <w:tcW w:w="1486" w:type="dxa"/>
            <w:shd w:val="clear" w:color="auto" w:fill="B5C0D8"/>
          </w:tcPr>
          <w:p w:rsidR="00D849AA" w:rsidRPr="00DE6ACB" w:rsidRDefault="00EE6D95">
            <w:pPr>
              <w:pStyle w:val="CellHeader"/>
            </w:pPr>
            <w:r w:rsidRPr="00DE6ACB">
              <w:t>Plan 2015.</w:t>
            </w:r>
          </w:p>
        </w:tc>
        <w:tc>
          <w:tcPr>
            <w:tcW w:w="1486" w:type="dxa"/>
            <w:shd w:val="clear" w:color="auto" w:fill="B5C0D8"/>
          </w:tcPr>
          <w:p w:rsidR="00D849AA" w:rsidRPr="00DE6ACB" w:rsidRDefault="00EE6D95">
            <w:pPr>
              <w:pStyle w:val="CellHeader"/>
            </w:pPr>
            <w:r w:rsidRPr="00DE6ACB">
              <w:t>Plan 2016.</w:t>
            </w:r>
          </w:p>
        </w:tc>
        <w:tc>
          <w:tcPr>
            <w:tcW w:w="1486" w:type="dxa"/>
            <w:shd w:val="clear" w:color="auto" w:fill="B5C0D8"/>
          </w:tcPr>
          <w:p w:rsidR="00D849AA" w:rsidRPr="00DE6ACB" w:rsidRDefault="00EE6D95">
            <w:pPr>
              <w:pStyle w:val="CellHeader"/>
            </w:pPr>
            <w:r w:rsidRPr="00DE6ACB">
              <w:t>Indeks 2014/2013</w:t>
            </w:r>
          </w:p>
        </w:tc>
      </w:tr>
      <w:tr w:rsidR="00D849AA">
        <w:trPr>
          <w:jc w:val="center"/>
        </w:trPr>
        <w:tc>
          <w:tcPr>
            <w:tcW w:w="1486" w:type="dxa"/>
          </w:tcPr>
          <w:p w:rsidR="00D849AA" w:rsidRPr="00DE6ACB" w:rsidRDefault="00EE6D95">
            <w:pPr>
              <w:pStyle w:val="CellColumn"/>
            </w:pPr>
            <w:r w:rsidRPr="00DE6ACB">
              <w:t>K761065</w:t>
            </w:r>
          </w:p>
        </w:tc>
        <w:tc>
          <w:tcPr>
            <w:tcW w:w="1486" w:type="dxa"/>
          </w:tcPr>
          <w:p w:rsidR="00D849AA" w:rsidRPr="00DE6ACB" w:rsidRDefault="00EE6D95">
            <w:pPr>
              <w:rPr>
                <w:rFonts w:ascii="Arial" w:hAnsi="Arial" w:cs="Arial"/>
              </w:rPr>
            </w:pPr>
            <w:r w:rsidRPr="00DE6ACB">
              <w:rPr>
                <w:rFonts w:ascii="Arial" w:hAnsi="Arial" w:cs="Arial"/>
              </w:rPr>
              <w:t>4.915.000</w:t>
            </w:r>
          </w:p>
        </w:tc>
        <w:tc>
          <w:tcPr>
            <w:tcW w:w="1486" w:type="dxa"/>
          </w:tcPr>
          <w:p w:rsidR="00D849AA" w:rsidRPr="00DE6ACB" w:rsidRDefault="00EE6D95">
            <w:pPr>
              <w:rPr>
                <w:rFonts w:ascii="Arial" w:hAnsi="Arial" w:cs="Arial"/>
              </w:rPr>
            </w:pPr>
            <w:r w:rsidRPr="00DE6ACB">
              <w:rPr>
                <w:rFonts w:ascii="Arial" w:hAnsi="Arial" w:cs="Arial"/>
              </w:rPr>
              <w:t>5.520.900</w:t>
            </w:r>
          </w:p>
        </w:tc>
        <w:tc>
          <w:tcPr>
            <w:tcW w:w="1486" w:type="dxa"/>
          </w:tcPr>
          <w:p w:rsidR="00D849AA" w:rsidRPr="00DE6ACB" w:rsidRDefault="00EE6D95">
            <w:pPr>
              <w:rPr>
                <w:rFonts w:ascii="Arial" w:hAnsi="Arial" w:cs="Arial"/>
              </w:rPr>
            </w:pPr>
            <w:r w:rsidRPr="00DE6ACB">
              <w:rPr>
                <w:rFonts w:ascii="Arial" w:hAnsi="Arial" w:cs="Arial"/>
              </w:rPr>
              <w:t>5.247.228</w:t>
            </w:r>
          </w:p>
        </w:tc>
        <w:tc>
          <w:tcPr>
            <w:tcW w:w="1486" w:type="dxa"/>
          </w:tcPr>
          <w:p w:rsidR="00D849AA" w:rsidRPr="00DE6ACB" w:rsidRDefault="00EE6D95">
            <w:pPr>
              <w:rPr>
                <w:rFonts w:ascii="Arial" w:hAnsi="Arial" w:cs="Arial"/>
              </w:rPr>
            </w:pPr>
            <w:r w:rsidRPr="00DE6ACB">
              <w:rPr>
                <w:rFonts w:ascii="Arial" w:hAnsi="Arial" w:cs="Arial"/>
              </w:rPr>
              <w:t>5.687.789</w:t>
            </w:r>
          </w:p>
        </w:tc>
        <w:tc>
          <w:tcPr>
            <w:tcW w:w="1486" w:type="dxa"/>
          </w:tcPr>
          <w:p w:rsidR="00D849AA" w:rsidRPr="00DE6ACB" w:rsidRDefault="00EE6D95">
            <w:pPr>
              <w:rPr>
                <w:rFonts w:ascii="Arial" w:hAnsi="Arial" w:cs="Arial"/>
              </w:rPr>
            </w:pPr>
            <w:r w:rsidRPr="00DE6ACB">
              <w:rPr>
                <w:rFonts w:ascii="Arial" w:hAnsi="Arial" w:cs="Arial"/>
              </w:rPr>
              <w:t>112,3</w:t>
            </w:r>
          </w:p>
        </w:tc>
      </w:tr>
    </w:tbl>
    <w:p w:rsidR="00D849AA" w:rsidRDefault="00D849AA">
      <w:pPr>
        <w:jc w:val="left"/>
      </w:pPr>
    </w:p>
    <w:p w:rsidR="00D849AA" w:rsidRDefault="00EE6D95">
      <w:pPr>
        <w:pStyle w:val="Normal6"/>
      </w:pPr>
      <w:r>
        <w:t xml:space="preserve">Za ovu aktivnost u 2014. godini planirana su sredstva radi poduzimanja radnji i aktivnosti vezanih za usklađivanje stvarnog stanja sa stanjem u katastru i zemljišnim knjigama; radi postupka uknjižbe stanova i kuća u zemljišne knjige, te radi utvrđivanja čestica za redovnu uporabu višestambenih zgrada i obiteljskih kuća, a koji prethode postupcima sklapanja ugovora o najmu, darovanju i kupoprodaji stambenih jedinica.  </w:t>
      </w:r>
    </w:p>
    <w:p w:rsidR="00D849AA" w:rsidRDefault="00EE6D95">
      <w:pPr>
        <w:pStyle w:val="Normal6"/>
      </w:pPr>
      <w:r>
        <w:t>Navedenim sredstvima planira se uređenje posjedovne i vlasničko-pravne evidencije stambenih jedinica. Pored navedenog broja, uknjižba jednog dijela stamenih jedinica u vlasništvo Republike Hrvatske, biti će provedena bez korištenja sredstava državnog proračuna.</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39"/>
        <w:gridCol w:w="1114"/>
        <w:gridCol w:w="1486"/>
        <w:gridCol w:w="1486"/>
        <w:gridCol w:w="1486"/>
      </w:tblGrid>
      <w:tr w:rsidR="00D849AA">
        <w:trPr>
          <w:jc w:val="center"/>
        </w:trPr>
        <w:tc>
          <w:tcPr>
            <w:tcW w:w="2229" w:type="dxa"/>
            <w:shd w:val="clear" w:color="auto" w:fill="B5C0D8"/>
          </w:tcPr>
          <w:p w:rsidR="00D849AA" w:rsidRPr="00AA0B4F" w:rsidRDefault="00EE6D95">
            <w:pPr>
              <w:rPr>
                <w:rFonts w:ascii="Arial" w:hAnsi="Arial" w:cs="Arial"/>
              </w:rPr>
            </w:pPr>
            <w:r w:rsidRPr="00AA0B4F">
              <w:rPr>
                <w:rFonts w:ascii="Arial" w:hAnsi="Arial" w:cs="Arial"/>
              </w:rPr>
              <w:t>Pokazatelj rezultata</w:t>
            </w:r>
          </w:p>
        </w:tc>
        <w:tc>
          <w:tcPr>
            <w:tcW w:w="1114" w:type="dxa"/>
            <w:shd w:val="clear" w:color="auto" w:fill="B5C0D8"/>
          </w:tcPr>
          <w:p w:rsidR="00D849AA" w:rsidRPr="00AA0B4F" w:rsidRDefault="00EE6D95">
            <w:pPr>
              <w:pStyle w:val="CellHeader"/>
            </w:pPr>
            <w:r w:rsidRPr="00AA0B4F">
              <w:t>Jedinica</w:t>
            </w:r>
          </w:p>
        </w:tc>
        <w:tc>
          <w:tcPr>
            <w:tcW w:w="1114" w:type="dxa"/>
            <w:shd w:val="clear" w:color="auto" w:fill="B5C0D8"/>
          </w:tcPr>
          <w:p w:rsidR="00D849AA" w:rsidRPr="00AA0B4F" w:rsidRDefault="00EE6D95">
            <w:pPr>
              <w:pStyle w:val="CellHeader"/>
            </w:pPr>
            <w:r w:rsidRPr="00AA0B4F">
              <w:t>Polazna vrijednost</w:t>
            </w:r>
          </w:p>
        </w:tc>
        <w:tc>
          <w:tcPr>
            <w:tcW w:w="1486" w:type="dxa"/>
            <w:shd w:val="clear" w:color="auto" w:fill="B5C0D8"/>
          </w:tcPr>
          <w:p w:rsidR="00D849AA" w:rsidRPr="00AA0B4F" w:rsidRDefault="00EE6D95">
            <w:pPr>
              <w:pStyle w:val="CellHeader"/>
            </w:pPr>
            <w:r w:rsidRPr="00AA0B4F">
              <w:t>Ciljana vrijednost (2014.)</w:t>
            </w:r>
          </w:p>
        </w:tc>
        <w:tc>
          <w:tcPr>
            <w:tcW w:w="1486" w:type="dxa"/>
            <w:shd w:val="clear" w:color="auto" w:fill="B5C0D8"/>
          </w:tcPr>
          <w:p w:rsidR="00D849AA" w:rsidRPr="00AA0B4F" w:rsidRDefault="00EE6D95">
            <w:pPr>
              <w:pStyle w:val="CellHeader"/>
            </w:pPr>
            <w:r w:rsidRPr="00AA0B4F">
              <w:t>Ciljana vrijednost (2015.)</w:t>
            </w:r>
          </w:p>
        </w:tc>
        <w:tc>
          <w:tcPr>
            <w:tcW w:w="1486" w:type="dxa"/>
            <w:shd w:val="clear" w:color="auto" w:fill="B5C0D8"/>
          </w:tcPr>
          <w:p w:rsidR="00D849AA" w:rsidRPr="00AA0B4F" w:rsidRDefault="00EE6D95">
            <w:pPr>
              <w:pStyle w:val="CellHeader"/>
            </w:pPr>
            <w:r w:rsidRPr="00AA0B4F">
              <w:t>Ciljana vrijednost (2016.)</w:t>
            </w:r>
          </w:p>
        </w:tc>
      </w:tr>
      <w:tr w:rsidR="00D849AA">
        <w:trPr>
          <w:jc w:val="center"/>
        </w:trPr>
        <w:tc>
          <w:tcPr>
            <w:tcW w:w="2229" w:type="dxa"/>
          </w:tcPr>
          <w:p w:rsidR="00D849AA" w:rsidRPr="00AA0B4F" w:rsidRDefault="00EE6D95">
            <w:pPr>
              <w:pStyle w:val="CellColumn"/>
            </w:pPr>
            <w:r w:rsidRPr="00AA0B4F">
              <w:t>Povećanje broja uknjiženih stambenih jedinica u vlasništvo RH</w:t>
            </w:r>
          </w:p>
        </w:tc>
        <w:tc>
          <w:tcPr>
            <w:tcW w:w="1114" w:type="dxa"/>
          </w:tcPr>
          <w:p w:rsidR="00D849AA" w:rsidRPr="00AA0B4F" w:rsidRDefault="00EE6D95">
            <w:pPr>
              <w:rPr>
                <w:rFonts w:ascii="Arial" w:hAnsi="Arial" w:cs="Arial"/>
              </w:rPr>
            </w:pPr>
            <w:r w:rsidRPr="00AA0B4F">
              <w:rPr>
                <w:rFonts w:ascii="Arial" w:hAnsi="Arial" w:cs="Arial"/>
              </w:rPr>
              <w:t>Broj uknjiženih stambenih jedinica</w:t>
            </w:r>
          </w:p>
        </w:tc>
        <w:tc>
          <w:tcPr>
            <w:tcW w:w="1114" w:type="dxa"/>
          </w:tcPr>
          <w:p w:rsidR="00D849AA" w:rsidRPr="00AA0B4F" w:rsidRDefault="00EE6D95">
            <w:pPr>
              <w:rPr>
                <w:rFonts w:ascii="Arial" w:hAnsi="Arial" w:cs="Arial"/>
              </w:rPr>
            </w:pPr>
            <w:r w:rsidRPr="00AA0B4F">
              <w:rPr>
                <w:rFonts w:ascii="Arial" w:hAnsi="Arial" w:cs="Arial"/>
              </w:rPr>
              <w:t>16950</w:t>
            </w:r>
          </w:p>
        </w:tc>
        <w:tc>
          <w:tcPr>
            <w:tcW w:w="1486" w:type="dxa"/>
          </w:tcPr>
          <w:p w:rsidR="00D849AA" w:rsidRPr="00AA0B4F" w:rsidRDefault="00EE6D95">
            <w:pPr>
              <w:rPr>
                <w:rFonts w:ascii="Arial" w:hAnsi="Arial" w:cs="Arial"/>
              </w:rPr>
            </w:pPr>
            <w:r w:rsidRPr="00AA0B4F">
              <w:rPr>
                <w:rFonts w:ascii="Arial" w:hAnsi="Arial" w:cs="Arial"/>
              </w:rPr>
              <w:t>17950</w:t>
            </w:r>
          </w:p>
        </w:tc>
        <w:tc>
          <w:tcPr>
            <w:tcW w:w="1486" w:type="dxa"/>
          </w:tcPr>
          <w:p w:rsidR="00D849AA" w:rsidRPr="00AA0B4F" w:rsidRDefault="00EE6D95">
            <w:pPr>
              <w:rPr>
                <w:rFonts w:ascii="Arial" w:hAnsi="Arial" w:cs="Arial"/>
              </w:rPr>
            </w:pPr>
            <w:r w:rsidRPr="00AA0B4F">
              <w:rPr>
                <w:rFonts w:ascii="Arial" w:hAnsi="Arial" w:cs="Arial"/>
              </w:rPr>
              <w:t>19950</w:t>
            </w:r>
          </w:p>
        </w:tc>
        <w:tc>
          <w:tcPr>
            <w:tcW w:w="1486" w:type="dxa"/>
          </w:tcPr>
          <w:p w:rsidR="00D849AA" w:rsidRPr="00AA0B4F" w:rsidRDefault="00EE6D95">
            <w:pPr>
              <w:rPr>
                <w:rFonts w:ascii="Arial" w:hAnsi="Arial" w:cs="Arial"/>
              </w:rPr>
            </w:pPr>
            <w:r w:rsidRPr="00AA0B4F">
              <w:rPr>
                <w:rFonts w:ascii="Arial" w:hAnsi="Arial" w:cs="Arial"/>
              </w:rPr>
              <w:t>22000</w:t>
            </w:r>
          </w:p>
        </w:tc>
      </w:tr>
    </w:tbl>
    <w:p w:rsidR="00D849AA" w:rsidRDefault="00D849AA">
      <w:pPr>
        <w:jc w:val="left"/>
      </w:pPr>
    </w:p>
    <w:p w:rsidR="00D849AA" w:rsidRDefault="00EE6D95">
      <w:pPr>
        <w:pStyle w:val="Naslov1"/>
      </w:pPr>
      <w:r>
        <w:lastRenderedPageBreak/>
        <w:t>040 MINISTARSTVO UNUTARNJIH POSLOVA</w:t>
      </w:r>
    </w:p>
    <w:p w:rsidR="00D849AA" w:rsidRDefault="00EE6D95">
      <w:pPr>
        <w:pStyle w:val="Naslov4"/>
      </w:pPr>
      <w:r>
        <w:t>Uvod</w:t>
      </w:r>
    </w:p>
    <w:p w:rsidR="00D849AA" w:rsidRDefault="00EE6D95">
      <w:pPr>
        <w:pStyle w:val="Normal3"/>
      </w:pPr>
      <w:r>
        <w:t xml:space="preserve">Razdjel 040 se sastoji od glava: 04005 - Ministarstva unutarnjih poslova,  04030 - Proračunski korisnici u funkciji zašite i spašavanja (koja se sastoji od RKP-a: 21908 Hrvatske vatrogasne zajednice i 24035 Državne uprave za zaštitu i spašavanje) i 04035 Hrvatski centar za razminiranje. </w:t>
      </w:r>
    </w:p>
    <w:p w:rsidR="00D849AA" w:rsidRDefault="00EE6D95">
      <w:pPr>
        <w:pStyle w:val="Normal3"/>
      </w:pPr>
      <w:r>
        <w:t xml:space="preserve">Glavna zadaća Razdjela je očuvanje i poboljšanje dobrog stanja javne sigurnosti, reda i mira u Republici Hrvatskoj, a trajni cilj je kontinuirano povećanje razine sigurnosti, pouzdanosti i zaštite u prometu. Pitanje sigurnosti, zaštite i kontrole državne granice je od visokog značaja. Izuzetno je zahtjevna zadaća osiguranja nesmetanog protoka ljudi i roba preko državne granice uz istovremeno sprečavanje nezakonitih prelazaka kao i svih oblika prekograničnog kriminala preko državne granice. Niz aktivnosti izgradnje sigurnosti i povjerenja provodi se u području međunarodne suradnje, a pripadnici razdjela aktivno sudjeluju u misijama odgovora na krize u inozemstvu pod okriljem međunarodnih organizacija i saveza.  </w:t>
      </w:r>
    </w:p>
    <w:p w:rsidR="00D849AA" w:rsidRDefault="00EE6D95">
      <w:pPr>
        <w:pStyle w:val="Normal3"/>
      </w:pPr>
      <w:r>
        <w:t xml:space="preserve">Jedna od temeljnih zadaća Razdjela je poduzimanje preventivnih, organizacijskih i operativnih mjera i aktivnosti u svrhu unapređenja vatrogasne djelatnosti, u koje spadaju promidžbene aktivnosti iz zaštite od požara i izdavanje stručne literature, te osposobljavanje, usavršavanje, obuke, seminari, savjetovanja vatrogasnih kadrova, uz istovremeno osiguranje tehničko-tehnološke opremljenosti vatrogasnih postrojbi kroz sufinanciranje vatrogasne tehnike i opreme, te održavanje i razvijanje djelotvornog sustava uzbunjivanja, komunikacija i izvješćivanja, štiteći strukovne interese vatrogasnih organizacija (javnih vatrogasnih postrojbi, dobrovoljnih vatrogasnih društava i njihovih zajednica). Provođenje mjera zaštite od požara u cilju je smanjenja šteta uzrokovanih požarima i nesrećama. </w:t>
      </w:r>
    </w:p>
    <w:p w:rsidR="00D849AA" w:rsidRDefault="00EE6D95">
      <w:pPr>
        <w:pStyle w:val="Normal3"/>
      </w:pPr>
      <w:r>
        <w:t xml:space="preserve">Značajni poslovi i zadaci su: prikupljanje, obrada i vođenje baze podataka o katastrofama, razmjena znanstvenih i tehničkih podataka i informacija važnih za zaštitu i spašavanje od katastrofa, predlaganje, poduzimanje i usklađivanje preventivnih mjera za smanjenje mogućnosti nastanka katastrofa, obuka i osposobljavanje upravljačkih i specijalističkih timova kao i planiranje i provedba vježbi iz područja zaštite i spašavanja, koje uključuju angažiranje međunarodnih i spasilačkih timova. </w:t>
      </w:r>
    </w:p>
    <w:p w:rsidR="00D849AA" w:rsidRDefault="00EE6D95">
      <w:pPr>
        <w:pStyle w:val="Normal3"/>
      </w:pPr>
      <w:r>
        <w:t xml:space="preserve">Od velikog značaja je i koordinacija svih sudionika u zaštiti i spašavanju, te izravno rukovođenje i zapovijedanje kroz cjelovit sustav zaštite i spašavanja.  </w:t>
      </w:r>
    </w:p>
    <w:p w:rsidR="00D849AA" w:rsidRDefault="00EE6D95">
      <w:pPr>
        <w:pStyle w:val="Normal3"/>
      </w:pPr>
      <w:r>
        <w:t>Razdjel obavlja i stručne poslove koji se odnose na: prikupljanje i obradu podataka o prostorima zagađenim minsko-eksplozivnim sredstvima, vođenje evidencija o razminiranim prostorima, vođenje brige o obavješćivanju i upozoravanju stanovništva o opasnostima od minsko-eksplozivnih sredstava, obilježavanje prostora zagađenih minsko-eksplozivnim sredstvima, suradnju s međunarodnim ekspertima za razminiranje.</w:t>
      </w:r>
    </w:p>
    <w:tbl>
      <w:tblPr>
        <w:tblStyle w:val="Reetkatablice"/>
        <w:tblW w:w="0" w:type="auto"/>
        <w:jc w:val="center"/>
        <w:tblLook w:val="04A0" w:firstRow="1" w:lastRow="0" w:firstColumn="1" w:lastColumn="0" w:noHBand="0" w:noVBand="1"/>
      </w:tblPr>
      <w:tblGrid>
        <w:gridCol w:w="1486"/>
        <w:gridCol w:w="1496"/>
        <w:gridCol w:w="1496"/>
        <w:gridCol w:w="1496"/>
        <w:gridCol w:w="1496"/>
        <w:gridCol w:w="1486"/>
      </w:tblGrid>
      <w:tr w:rsidR="00D849AA">
        <w:trPr>
          <w:jc w:val="center"/>
        </w:trPr>
        <w:tc>
          <w:tcPr>
            <w:tcW w:w="1486" w:type="dxa"/>
            <w:shd w:val="clear" w:color="auto" w:fill="B5C0D8"/>
          </w:tcPr>
          <w:p w:rsidR="00D849AA" w:rsidRPr="00DE6ACB" w:rsidRDefault="00D849AA">
            <w:pPr>
              <w:pStyle w:val="CellHeader"/>
            </w:pPr>
          </w:p>
        </w:tc>
        <w:tc>
          <w:tcPr>
            <w:tcW w:w="1486" w:type="dxa"/>
            <w:shd w:val="clear" w:color="auto" w:fill="B5C0D8"/>
          </w:tcPr>
          <w:p w:rsidR="00D849AA" w:rsidRPr="00DE6ACB" w:rsidRDefault="00EE6D95">
            <w:pPr>
              <w:pStyle w:val="CellHeader"/>
            </w:pPr>
            <w:r w:rsidRPr="00DE6ACB">
              <w:t>Plan 2013.</w:t>
            </w:r>
          </w:p>
        </w:tc>
        <w:tc>
          <w:tcPr>
            <w:tcW w:w="1486" w:type="dxa"/>
            <w:shd w:val="clear" w:color="auto" w:fill="B5C0D8"/>
          </w:tcPr>
          <w:p w:rsidR="00D849AA" w:rsidRPr="00DE6ACB" w:rsidRDefault="00EE6D95">
            <w:pPr>
              <w:pStyle w:val="CellHeader"/>
            </w:pPr>
            <w:r w:rsidRPr="00DE6ACB">
              <w:t>Plan 2014.</w:t>
            </w:r>
          </w:p>
        </w:tc>
        <w:tc>
          <w:tcPr>
            <w:tcW w:w="1486" w:type="dxa"/>
            <w:shd w:val="clear" w:color="auto" w:fill="B5C0D8"/>
          </w:tcPr>
          <w:p w:rsidR="00D849AA" w:rsidRPr="00DE6ACB" w:rsidRDefault="00EE6D95">
            <w:pPr>
              <w:pStyle w:val="CellHeader"/>
            </w:pPr>
            <w:r w:rsidRPr="00DE6ACB">
              <w:t>Plan 2015.</w:t>
            </w:r>
          </w:p>
        </w:tc>
        <w:tc>
          <w:tcPr>
            <w:tcW w:w="1486" w:type="dxa"/>
            <w:shd w:val="clear" w:color="auto" w:fill="B5C0D8"/>
          </w:tcPr>
          <w:p w:rsidR="00D849AA" w:rsidRPr="00DE6ACB" w:rsidRDefault="00EE6D95">
            <w:pPr>
              <w:pStyle w:val="CellHeader"/>
            </w:pPr>
            <w:r w:rsidRPr="00DE6ACB">
              <w:t>Plan 2016.</w:t>
            </w:r>
          </w:p>
        </w:tc>
        <w:tc>
          <w:tcPr>
            <w:tcW w:w="1486" w:type="dxa"/>
            <w:shd w:val="clear" w:color="auto" w:fill="B5C0D8"/>
          </w:tcPr>
          <w:p w:rsidR="00D849AA" w:rsidRPr="00DE6ACB" w:rsidRDefault="00EE6D95">
            <w:pPr>
              <w:pStyle w:val="CellHeader"/>
            </w:pPr>
            <w:r w:rsidRPr="00DE6ACB">
              <w:t>Indeks 2014/2013</w:t>
            </w:r>
          </w:p>
        </w:tc>
      </w:tr>
      <w:tr w:rsidR="00D849AA">
        <w:trPr>
          <w:jc w:val="center"/>
        </w:trPr>
        <w:tc>
          <w:tcPr>
            <w:tcW w:w="1486" w:type="dxa"/>
          </w:tcPr>
          <w:p w:rsidR="00D849AA" w:rsidRPr="00DE6ACB" w:rsidRDefault="00EE6D95">
            <w:pPr>
              <w:pStyle w:val="CellColumn"/>
            </w:pPr>
            <w:r w:rsidRPr="00DE6ACB">
              <w:t>04005 Ministarstvo unutarnjih poslova</w:t>
            </w:r>
          </w:p>
        </w:tc>
        <w:tc>
          <w:tcPr>
            <w:tcW w:w="1486" w:type="dxa"/>
          </w:tcPr>
          <w:p w:rsidR="00D849AA" w:rsidRPr="00DE6ACB" w:rsidRDefault="00EE6D95">
            <w:pPr>
              <w:rPr>
                <w:rFonts w:ascii="Arial" w:hAnsi="Arial" w:cs="Arial"/>
              </w:rPr>
            </w:pPr>
            <w:r w:rsidRPr="00DE6ACB">
              <w:rPr>
                <w:rFonts w:ascii="Arial" w:hAnsi="Arial" w:cs="Arial"/>
              </w:rPr>
              <w:t>3.881.618.496</w:t>
            </w:r>
          </w:p>
        </w:tc>
        <w:tc>
          <w:tcPr>
            <w:tcW w:w="1486" w:type="dxa"/>
          </w:tcPr>
          <w:p w:rsidR="00D849AA" w:rsidRPr="00DE6ACB" w:rsidRDefault="00EE6D95">
            <w:pPr>
              <w:rPr>
                <w:rFonts w:ascii="Arial" w:hAnsi="Arial" w:cs="Arial"/>
              </w:rPr>
            </w:pPr>
            <w:r w:rsidRPr="00DE6ACB">
              <w:rPr>
                <w:rFonts w:ascii="Arial" w:hAnsi="Arial" w:cs="Arial"/>
              </w:rPr>
              <w:t>4.389.277.721</w:t>
            </w:r>
          </w:p>
        </w:tc>
        <w:tc>
          <w:tcPr>
            <w:tcW w:w="1486" w:type="dxa"/>
          </w:tcPr>
          <w:p w:rsidR="00D849AA" w:rsidRPr="00DE6ACB" w:rsidRDefault="00EE6D95">
            <w:pPr>
              <w:rPr>
                <w:rFonts w:ascii="Arial" w:hAnsi="Arial" w:cs="Arial"/>
              </w:rPr>
            </w:pPr>
            <w:r w:rsidRPr="00DE6ACB">
              <w:rPr>
                <w:rFonts w:ascii="Arial" w:hAnsi="Arial" w:cs="Arial"/>
              </w:rPr>
              <w:t>4.651.340.145</w:t>
            </w:r>
          </w:p>
        </w:tc>
        <w:tc>
          <w:tcPr>
            <w:tcW w:w="1486" w:type="dxa"/>
          </w:tcPr>
          <w:p w:rsidR="00D849AA" w:rsidRPr="00DE6ACB" w:rsidRDefault="00EE6D95">
            <w:pPr>
              <w:rPr>
                <w:rFonts w:ascii="Arial" w:hAnsi="Arial" w:cs="Arial"/>
              </w:rPr>
            </w:pPr>
            <w:r w:rsidRPr="00DE6ACB">
              <w:rPr>
                <w:rFonts w:ascii="Arial" w:hAnsi="Arial" w:cs="Arial"/>
              </w:rPr>
              <w:t>4.149.562.666</w:t>
            </w:r>
          </w:p>
        </w:tc>
        <w:tc>
          <w:tcPr>
            <w:tcW w:w="1486" w:type="dxa"/>
          </w:tcPr>
          <w:p w:rsidR="00D849AA" w:rsidRPr="00DE6ACB" w:rsidRDefault="00EE6D95">
            <w:pPr>
              <w:rPr>
                <w:rFonts w:ascii="Arial" w:hAnsi="Arial" w:cs="Arial"/>
              </w:rPr>
            </w:pPr>
            <w:r w:rsidRPr="00DE6ACB">
              <w:rPr>
                <w:rFonts w:ascii="Arial" w:hAnsi="Arial" w:cs="Arial"/>
              </w:rPr>
              <w:t>113,1</w:t>
            </w:r>
          </w:p>
        </w:tc>
      </w:tr>
      <w:tr w:rsidR="00D849AA">
        <w:trPr>
          <w:jc w:val="center"/>
        </w:trPr>
        <w:tc>
          <w:tcPr>
            <w:tcW w:w="1486" w:type="dxa"/>
          </w:tcPr>
          <w:p w:rsidR="00D849AA" w:rsidRPr="00DE6ACB" w:rsidRDefault="00EE6D95">
            <w:pPr>
              <w:pStyle w:val="CellColumn"/>
            </w:pPr>
            <w:r w:rsidRPr="00DE6ACB">
              <w:t>04030 Proračunski korisnici u funkciji zaštite i spašavanja</w:t>
            </w:r>
          </w:p>
        </w:tc>
        <w:tc>
          <w:tcPr>
            <w:tcW w:w="1486" w:type="dxa"/>
          </w:tcPr>
          <w:p w:rsidR="00D849AA" w:rsidRPr="00DE6ACB" w:rsidRDefault="00EE6D95">
            <w:pPr>
              <w:rPr>
                <w:rFonts w:ascii="Arial" w:hAnsi="Arial" w:cs="Arial"/>
              </w:rPr>
            </w:pPr>
            <w:r w:rsidRPr="00DE6ACB">
              <w:rPr>
                <w:rFonts w:ascii="Arial" w:hAnsi="Arial" w:cs="Arial"/>
              </w:rPr>
              <w:t>174.626.640</w:t>
            </w:r>
          </w:p>
        </w:tc>
        <w:tc>
          <w:tcPr>
            <w:tcW w:w="1486" w:type="dxa"/>
          </w:tcPr>
          <w:p w:rsidR="00D849AA" w:rsidRPr="00DE6ACB" w:rsidRDefault="00EE6D95">
            <w:pPr>
              <w:rPr>
                <w:rFonts w:ascii="Arial" w:hAnsi="Arial" w:cs="Arial"/>
              </w:rPr>
            </w:pPr>
            <w:r w:rsidRPr="00DE6ACB">
              <w:rPr>
                <w:rFonts w:ascii="Arial" w:hAnsi="Arial" w:cs="Arial"/>
              </w:rPr>
              <w:t>180.666.463</w:t>
            </w:r>
          </w:p>
        </w:tc>
        <w:tc>
          <w:tcPr>
            <w:tcW w:w="1486" w:type="dxa"/>
          </w:tcPr>
          <w:p w:rsidR="00D849AA" w:rsidRPr="00DE6ACB" w:rsidRDefault="00EE6D95">
            <w:pPr>
              <w:rPr>
                <w:rFonts w:ascii="Arial" w:hAnsi="Arial" w:cs="Arial"/>
              </w:rPr>
            </w:pPr>
            <w:r w:rsidRPr="00DE6ACB">
              <w:rPr>
                <w:rFonts w:ascii="Arial" w:hAnsi="Arial" w:cs="Arial"/>
              </w:rPr>
              <w:t>177.007.380</w:t>
            </w:r>
          </w:p>
        </w:tc>
        <w:tc>
          <w:tcPr>
            <w:tcW w:w="1486" w:type="dxa"/>
          </w:tcPr>
          <w:p w:rsidR="00D849AA" w:rsidRPr="00DE6ACB" w:rsidRDefault="00EE6D95">
            <w:pPr>
              <w:rPr>
                <w:rFonts w:ascii="Arial" w:hAnsi="Arial" w:cs="Arial"/>
              </w:rPr>
            </w:pPr>
            <w:r w:rsidRPr="00DE6ACB">
              <w:rPr>
                <w:rFonts w:ascii="Arial" w:hAnsi="Arial" w:cs="Arial"/>
              </w:rPr>
              <w:t>177.909.480</w:t>
            </w:r>
          </w:p>
        </w:tc>
        <w:tc>
          <w:tcPr>
            <w:tcW w:w="1486" w:type="dxa"/>
          </w:tcPr>
          <w:p w:rsidR="00D849AA" w:rsidRPr="00DE6ACB" w:rsidRDefault="00EE6D95">
            <w:pPr>
              <w:rPr>
                <w:rFonts w:ascii="Arial" w:hAnsi="Arial" w:cs="Arial"/>
              </w:rPr>
            </w:pPr>
            <w:r w:rsidRPr="00DE6ACB">
              <w:rPr>
                <w:rFonts w:ascii="Arial" w:hAnsi="Arial" w:cs="Arial"/>
              </w:rPr>
              <w:t>103,4</w:t>
            </w:r>
          </w:p>
        </w:tc>
      </w:tr>
      <w:tr w:rsidR="00D849AA">
        <w:trPr>
          <w:jc w:val="center"/>
        </w:trPr>
        <w:tc>
          <w:tcPr>
            <w:tcW w:w="1486" w:type="dxa"/>
          </w:tcPr>
          <w:p w:rsidR="00D849AA" w:rsidRPr="00DE6ACB" w:rsidRDefault="00EE6D95">
            <w:pPr>
              <w:pStyle w:val="CellColumn"/>
            </w:pPr>
            <w:r w:rsidRPr="00DE6ACB">
              <w:lastRenderedPageBreak/>
              <w:t>04035 Hrvatski centar za razminiranje</w:t>
            </w:r>
          </w:p>
        </w:tc>
        <w:tc>
          <w:tcPr>
            <w:tcW w:w="1486" w:type="dxa"/>
          </w:tcPr>
          <w:p w:rsidR="00D849AA" w:rsidRPr="00DE6ACB" w:rsidRDefault="00EE6D95">
            <w:pPr>
              <w:rPr>
                <w:rFonts w:ascii="Arial" w:hAnsi="Arial" w:cs="Arial"/>
              </w:rPr>
            </w:pPr>
            <w:r w:rsidRPr="00DE6ACB">
              <w:rPr>
                <w:rFonts w:ascii="Arial" w:hAnsi="Arial" w:cs="Arial"/>
              </w:rPr>
              <w:t>247.037.000</w:t>
            </w:r>
          </w:p>
        </w:tc>
        <w:tc>
          <w:tcPr>
            <w:tcW w:w="1486" w:type="dxa"/>
          </w:tcPr>
          <w:p w:rsidR="00D849AA" w:rsidRPr="00DE6ACB" w:rsidRDefault="00EE6D95">
            <w:pPr>
              <w:rPr>
                <w:rFonts w:ascii="Arial" w:hAnsi="Arial" w:cs="Arial"/>
              </w:rPr>
            </w:pPr>
            <w:r w:rsidRPr="00DE6ACB">
              <w:rPr>
                <w:rFonts w:ascii="Arial" w:hAnsi="Arial" w:cs="Arial"/>
              </w:rPr>
              <w:t>246.082.000</w:t>
            </w:r>
          </w:p>
        </w:tc>
        <w:tc>
          <w:tcPr>
            <w:tcW w:w="1486" w:type="dxa"/>
          </w:tcPr>
          <w:p w:rsidR="00D849AA" w:rsidRPr="00DE6ACB" w:rsidRDefault="00EE6D95">
            <w:pPr>
              <w:rPr>
                <w:rFonts w:ascii="Arial" w:hAnsi="Arial" w:cs="Arial"/>
              </w:rPr>
            </w:pPr>
            <w:r w:rsidRPr="00DE6ACB">
              <w:rPr>
                <w:rFonts w:ascii="Arial" w:hAnsi="Arial" w:cs="Arial"/>
              </w:rPr>
              <w:t>246.770.000</w:t>
            </w:r>
          </w:p>
        </w:tc>
        <w:tc>
          <w:tcPr>
            <w:tcW w:w="1486" w:type="dxa"/>
          </w:tcPr>
          <w:p w:rsidR="00D849AA" w:rsidRPr="00DE6ACB" w:rsidRDefault="00EE6D95">
            <w:pPr>
              <w:rPr>
                <w:rFonts w:ascii="Arial" w:hAnsi="Arial" w:cs="Arial"/>
              </w:rPr>
            </w:pPr>
            <w:r w:rsidRPr="00DE6ACB">
              <w:rPr>
                <w:rFonts w:ascii="Arial" w:hAnsi="Arial" w:cs="Arial"/>
              </w:rPr>
              <w:t>246.904.000</w:t>
            </w:r>
          </w:p>
        </w:tc>
        <w:tc>
          <w:tcPr>
            <w:tcW w:w="1486" w:type="dxa"/>
          </w:tcPr>
          <w:p w:rsidR="00D849AA" w:rsidRPr="00DE6ACB" w:rsidRDefault="00EE6D95">
            <w:pPr>
              <w:rPr>
                <w:rFonts w:ascii="Arial" w:hAnsi="Arial" w:cs="Arial"/>
              </w:rPr>
            </w:pPr>
            <w:r w:rsidRPr="00DE6ACB">
              <w:rPr>
                <w:rFonts w:ascii="Arial" w:hAnsi="Arial" w:cs="Arial"/>
              </w:rPr>
              <w:t>99,6</w:t>
            </w:r>
          </w:p>
        </w:tc>
      </w:tr>
      <w:tr w:rsidR="00D849AA">
        <w:trPr>
          <w:jc w:val="center"/>
        </w:trPr>
        <w:tc>
          <w:tcPr>
            <w:tcW w:w="1486" w:type="dxa"/>
            <w:shd w:val="clear" w:color="auto" w:fill="B5C0D8"/>
          </w:tcPr>
          <w:p w:rsidR="00D849AA" w:rsidRPr="00DE6ACB" w:rsidRDefault="00EE6D95">
            <w:pPr>
              <w:pStyle w:val="CellColumn"/>
            </w:pPr>
            <w:r w:rsidRPr="00DE6ACB">
              <w:t>Ukupno 040</w:t>
            </w:r>
          </w:p>
        </w:tc>
        <w:tc>
          <w:tcPr>
            <w:tcW w:w="1486" w:type="dxa"/>
            <w:shd w:val="clear" w:color="auto" w:fill="B5C0D8"/>
          </w:tcPr>
          <w:p w:rsidR="00D849AA" w:rsidRPr="00DE6ACB" w:rsidRDefault="00EE6D95">
            <w:pPr>
              <w:rPr>
                <w:rFonts w:ascii="Arial" w:hAnsi="Arial" w:cs="Arial"/>
              </w:rPr>
            </w:pPr>
            <w:r w:rsidRPr="00DE6ACB">
              <w:rPr>
                <w:rFonts w:ascii="Arial" w:hAnsi="Arial" w:cs="Arial"/>
              </w:rPr>
              <w:t>4.303.282.136</w:t>
            </w:r>
          </w:p>
        </w:tc>
        <w:tc>
          <w:tcPr>
            <w:tcW w:w="1486" w:type="dxa"/>
            <w:shd w:val="clear" w:color="auto" w:fill="B5C0D8"/>
          </w:tcPr>
          <w:p w:rsidR="00D849AA" w:rsidRPr="00DE6ACB" w:rsidRDefault="00EE6D95">
            <w:pPr>
              <w:rPr>
                <w:rFonts w:ascii="Arial" w:hAnsi="Arial" w:cs="Arial"/>
              </w:rPr>
            </w:pPr>
            <w:r w:rsidRPr="00DE6ACB">
              <w:rPr>
                <w:rFonts w:ascii="Arial" w:hAnsi="Arial" w:cs="Arial"/>
              </w:rPr>
              <w:t>4.816.026.184</w:t>
            </w:r>
          </w:p>
        </w:tc>
        <w:tc>
          <w:tcPr>
            <w:tcW w:w="1486" w:type="dxa"/>
            <w:shd w:val="clear" w:color="auto" w:fill="B5C0D8"/>
          </w:tcPr>
          <w:p w:rsidR="00D849AA" w:rsidRPr="00DE6ACB" w:rsidRDefault="00EE6D95">
            <w:pPr>
              <w:rPr>
                <w:rFonts w:ascii="Arial" w:hAnsi="Arial" w:cs="Arial"/>
              </w:rPr>
            </w:pPr>
            <w:r w:rsidRPr="00DE6ACB">
              <w:rPr>
                <w:rFonts w:ascii="Arial" w:hAnsi="Arial" w:cs="Arial"/>
              </w:rPr>
              <w:t>5.075.117.525</w:t>
            </w:r>
          </w:p>
        </w:tc>
        <w:tc>
          <w:tcPr>
            <w:tcW w:w="1486" w:type="dxa"/>
            <w:shd w:val="clear" w:color="auto" w:fill="B5C0D8"/>
          </w:tcPr>
          <w:p w:rsidR="00D849AA" w:rsidRPr="00DE6ACB" w:rsidRDefault="00EE6D95">
            <w:pPr>
              <w:rPr>
                <w:rFonts w:ascii="Arial" w:hAnsi="Arial" w:cs="Arial"/>
              </w:rPr>
            </w:pPr>
            <w:r w:rsidRPr="00DE6ACB">
              <w:rPr>
                <w:rFonts w:ascii="Arial" w:hAnsi="Arial" w:cs="Arial"/>
              </w:rPr>
              <w:t>4.574.376.146</w:t>
            </w:r>
          </w:p>
        </w:tc>
        <w:tc>
          <w:tcPr>
            <w:tcW w:w="1486" w:type="dxa"/>
            <w:shd w:val="clear" w:color="auto" w:fill="B5C0D8"/>
          </w:tcPr>
          <w:p w:rsidR="00D849AA" w:rsidRPr="00DE6ACB" w:rsidRDefault="00EE6D95">
            <w:pPr>
              <w:rPr>
                <w:rFonts w:ascii="Arial" w:hAnsi="Arial" w:cs="Arial"/>
              </w:rPr>
            </w:pPr>
            <w:r w:rsidRPr="00DE6ACB">
              <w:rPr>
                <w:rFonts w:ascii="Arial" w:hAnsi="Arial" w:cs="Arial"/>
              </w:rPr>
              <w:t>111,9</w:t>
            </w:r>
          </w:p>
        </w:tc>
      </w:tr>
    </w:tbl>
    <w:p w:rsidR="00D849AA" w:rsidRDefault="00D849AA">
      <w:pPr>
        <w:jc w:val="left"/>
      </w:pPr>
    </w:p>
    <w:p w:rsidR="00D849AA" w:rsidRDefault="00EE6D95">
      <w:pPr>
        <w:pStyle w:val="Naslov2"/>
      </w:pPr>
      <w:r>
        <w:t>04005 Ministarstvo unutarnjih poslova</w:t>
      </w:r>
    </w:p>
    <w:p w:rsidR="00D849AA" w:rsidRDefault="00EE6D95">
      <w:pPr>
        <w:pStyle w:val="Naslov4"/>
      </w:pPr>
      <w:r>
        <w:t>Uvod</w:t>
      </w:r>
    </w:p>
    <w:p w:rsidR="00D849AA" w:rsidRDefault="00EE6D95">
      <w:pPr>
        <w:pStyle w:val="Normal3"/>
      </w:pPr>
      <w:r>
        <w:t xml:space="preserve">Ministarstvo unutarnjih poslova obavlja upravne i druge poslove koji se odnose na zaštitu života, osobnog integriteta i imovine od kažnjivih ponašanja (policijski poslovi) i to: sprječavanje i suzbijanje kažnjivih ponašanja; pronalaženje osoba osumnjičenih za kaznena djela i prekršaje; osiguranje dostupnosti osumnjičenih osoba nadležnim tijelima; izvidi kaznenih djela i prekršaja; pronalaženje nezakonito stečene imovine; pronalaženje osoba i predmeta; nadzor i osiguranje javnih okupljanja; nadzor i osiguranje prometa na cestama; nadzor i osiguranje na državnoj granici, u zračnom prometu i plovidbi; nadzor kretanja i boravka stranaca, te njihov prihvat; osiguranje i zaštita određenih osoba, objekata i prostora; osiguranje i zaštita uhićenih i pritvorenih osoba; poslovi protueksplozijske zaštite; poslovi specijalne policije i druge poslove dodijeljene policiji posebnim propisima. </w:t>
      </w:r>
    </w:p>
    <w:p w:rsidR="00D849AA" w:rsidRDefault="00EE6D95">
      <w:pPr>
        <w:pStyle w:val="Normal3"/>
      </w:pPr>
      <w:r>
        <w:t xml:space="preserve">Ministarstvo obavlja inspekcijske i druge upravne poslove koji se odnose na: zaštitu od požara; proizvodnju i promet eksplozivnih tvari; humanitarno razminiranje; zaštitarsku i detektivsku djelatnost; minimalnu tehničku zaštitu novčarskih institucija; nadzor stanica za tehnički pregled vozila. </w:t>
      </w:r>
    </w:p>
    <w:p w:rsidR="00D849AA" w:rsidRDefault="00EE6D95">
      <w:pPr>
        <w:pStyle w:val="Normal3"/>
      </w:pPr>
      <w:r>
        <w:t xml:space="preserve">Ministarstvo obavlja upravne i druge poslove koji se odnose na: prijavništvo građana; registre vozila i vozača; registre oružja i vlasnika; državljanstvo; registre stranaca i azil. </w:t>
      </w:r>
    </w:p>
    <w:p w:rsidR="00D849AA" w:rsidRDefault="00EE6D95">
      <w:pPr>
        <w:pStyle w:val="Normal3"/>
      </w:pPr>
      <w:r>
        <w:t xml:space="preserve">Ministarstvo obavlja administrativne i druge poslove koji se odnose na: upravljanje sustavom javne sigurnosti; izgradnju normativnog sustava; organizacijsku strukturu; upravljanje i razvoj ljudskih potencijala; materijalne i financijske resurse te informacijski i dokumentacijski sustav. </w:t>
      </w:r>
    </w:p>
    <w:p w:rsidR="00D849AA" w:rsidRDefault="00EE6D95">
      <w:pPr>
        <w:pStyle w:val="Normal3"/>
      </w:pPr>
      <w:r>
        <w:t xml:space="preserve">Ministarstvo obavlja poslove koji se odnose na sudjelovanje Republike Hrvatske u radu tijela Europske unije u područjima iz njegove nadležnosti. </w:t>
      </w:r>
    </w:p>
    <w:p w:rsidR="00D849AA" w:rsidRDefault="00EE6D95">
      <w:pPr>
        <w:pStyle w:val="Normal3"/>
      </w:pPr>
      <w:r>
        <w:t>Ministarstvo obavlja i druge poslove koji su mu stavljeni u nadležnost posebnim zakonima.</w:t>
      </w:r>
    </w:p>
    <w:tbl>
      <w:tblPr>
        <w:tblStyle w:val="Reetkatablice"/>
        <w:tblW w:w="0" w:type="auto"/>
        <w:jc w:val="center"/>
        <w:tblLook w:val="04A0" w:firstRow="1" w:lastRow="0" w:firstColumn="1" w:lastColumn="0" w:noHBand="0" w:noVBand="1"/>
      </w:tblPr>
      <w:tblGrid>
        <w:gridCol w:w="1486"/>
        <w:gridCol w:w="1496"/>
        <w:gridCol w:w="1496"/>
        <w:gridCol w:w="1496"/>
        <w:gridCol w:w="1496"/>
        <w:gridCol w:w="1486"/>
      </w:tblGrid>
      <w:tr w:rsidR="00D849AA" w:rsidRPr="00DE6ACB">
        <w:trPr>
          <w:jc w:val="center"/>
        </w:trPr>
        <w:tc>
          <w:tcPr>
            <w:tcW w:w="1486" w:type="dxa"/>
            <w:shd w:val="clear" w:color="auto" w:fill="B5C0D8"/>
          </w:tcPr>
          <w:p w:rsidR="00D849AA" w:rsidRPr="00DE6ACB" w:rsidRDefault="00D849AA">
            <w:pPr>
              <w:pStyle w:val="CellHeader"/>
            </w:pPr>
          </w:p>
        </w:tc>
        <w:tc>
          <w:tcPr>
            <w:tcW w:w="1486" w:type="dxa"/>
            <w:shd w:val="clear" w:color="auto" w:fill="B5C0D8"/>
          </w:tcPr>
          <w:p w:rsidR="00D849AA" w:rsidRPr="00DE6ACB" w:rsidRDefault="00EE6D95">
            <w:pPr>
              <w:pStyle w:val="CellHeader"/>
            </w:pPr>
            <w:r w:rsidRPr="00DE6ACB">
              <w:t>Plan 2013.</w:t>
            </w:r>
          </w:p>
        </w:tc>
        <w:tc>
          <w:tcPr>
            <w:tcW w:w="1486" w:type="dxa"/>
            <w:shd w:val="clear" w:color="auto" w:fill="B5C0D8"/>
          </w:tcPr>
          <w:p w:rsidR="00D849AA" w:rsidRPr="00DE6ACB" w:rsidRDefault="00EE6D95">
            <w:pPr>
              <w:pStyle w:val="CellHeader"/>
            </w:pPr>
            <w:r w:rsidRPr="00DE6ACB">
              <w:t>Plan 2014.</w:t>
            </w:r>
          </w:p>
        </w:tc>
        <w:tc>
          <w:tcPr>
            <w:tcW w:w="1486" w:type="dxa"/>
            <w:shd w:val="clear" w:color="auto" w:fill="B5C0D8"/>
          </w:tcPr>
          <w:p w:rsidR="00D849AA" w:rsidRPr="00DE6ACB" w:rsidRDefault="00EE6D95">
            <w:pPr>
              <w:pStyle w:val="CellHeader"/>
            </w:pPr>
            <w:r w:rsidRPr="00DE6ACB">
              <w:t>Plan 2015.</w:t>
            </w:r>
          </w:p>
        </w:tc>
        <w:tc>
          <w:tcPr>
            <w:tcW w:w="1486" w:type="dxa"/>
            <w:shd w:val="clear" w:color="auto" w:fill="B5C0D8"/>
          </w:tcPr>
          <w:p w:rsidR="00D849AA" w:rsidRPr="00DE6ACB" w:rsidRDefault="00EE6D95">
            <w:pPr>
              <w:pStyle w:val="CellHeader"/>
            </w:pPr>
            <w:r w:rsidRPr="00DE6ACB">
              <w:t>Plan 2016.</w:t>
            </w:r>
          </w:p>
        </w:tc>
        <w:tc>
          <w:tcPr>
            <w:tcW w:w="1486" w:type="dxa"/>
            <w:shd w:val="clear" w:color="auto" w:fill="B5C0D8"/>
          </w:tcPr>
          <w:p w:rsidR="00D849AA" w:rsidRPr="00DE6ACB" w:rsidRDefault="00EE6D95">
            <w:pPr>
              <w:pStyle w:val="CellHeader"/>
            </w:pPr>
            <w:r w:rsidRPr="00DE6ACB">
              <w:t>Indeks 2014/2013</w:t>
            </w:r>
          </w:p>
        </w:tc>
      </w:tr>
      <w:tr w:rsidR="00D849AA" w:rsidRPr="00DE6ACB">
        <w:trPr>
          <w:jc w:val="center"/>
        </w:trPr>
        <w:tc>
          <w:tcPr>
            <w:tcW w:w="1486" w:type="dxa"/>
          </w:tcPr>
          <w:p w:rsidR="00D849AA" w:rsidRPr="00DE6ACB" w:rsidRDefault="00EE6D95">
            <w:pPr>
              <w:pStyle w:val="CellColumn"/>
            </w:pPr>
            <w:r w:rsidRPr="00DE6ACB">
              <w:t>04005</w:t>
            </w:r>
          </w:p>
        </w:tc>
        <w:tc>
          <w:tcPr>
            <w:tcW w:w="1486" w:type="dxa"/>
          </w:tcPr>
          <w:p w:rsidR="00D849AA" w:rsidRPr="00DE6ACB" w:rsidRDefault="00EE6D95">
            <w:pPr>
              <w:rPr>
                <w:rFonts w:ascii="Arial" w:hAnsi="Arial" w:cs="Arial"/>
              </w:rPr>
            </w:pPr>
            <w:r w:rsidRPr="00DE6ACB">
              <w:rPr>
                <w:rFonts w:ascii="Arial" w:hAnsi="Arial" w:cs="Arial"/>
              </w:rPr>
              <w:t>3.881.618.496</w:t>
            </w:r>
          </w:p>
        </w:tc>
        <w:tc>
          <w:tcPr>
            <w:tcW w:w="1486" w:type="dxa"/>
          </w:tcPr>
          <w:p w:rsidR="00D849AA" w:rsidRPr="00DE6ACB" w:rsidRDefault="00EE6D95">
            <w:pPr>
              <w:rPr>
                <w:rFonts w:ascii="Arial" w:hAnsi="Arial" w:cs="Arial"/>
              </w:rPr>
            </w:pPr>
            <w:r w:rsidRPr="00DE6ACB">
              <w:rPr>
                <w:rFonts w:ascii="Arial" w:hAnsi="Arial" w:cs="Arial"/>
              </w:rPr>
              <w:t>4.389.277.721</w:t>
            </w:r>
          </w:p>
        </w:tc>
        <w:tc>
          <w:tcPr>
            <w:tcW w:w="1486" w:type="dxa"/>
          </w:tcPr>
          <w:p w:rsidR="00D849AA" w:rsidRPr="00DE6ACB" w:rsidRDefault="00EE6D95">
            <w:pPr>
              <w:rPr>
                <w:rFonts w:ascii="Arial" w:hAnsi="Arial" w:cs="Arial"/>
              </w:rPr>
            </w:pPr>
            <w:r w:rsidRPr="00DE6ACB">
              <w:rPr>
                <w:rFonts w:ascii="Arial" w:hAnsi="Arial" w:cs="Arial"/>
              </w:rPr>
              <w:t>4.651.340.145</w:t>
            </w:r>
          </w:p>
        </w:tc>
        <w:tc>
          <w:tcPr>
            <w:tcW w:w="1486" w:type="dxa"/>
          </w:tcPr>
          <w:p w:rsidR="00D849AA" w:rsidRPr="00DE6ACB" w:rsidRDefault="00EE6D95">
            <w:pPr>
              <w:rPr>
                <w:rFonts w:ascii="Arial" w:hAnsi="Arial" w:cs="Arial"/>
              </w:rPr>
            </w:pPr>
            <w:r w:rsidRPr="00DE6ACB">
              <w:rPr>
                <w:rFonts w:ascii="Arial" w:hAnsi="Arial" w:cs="Arial"/>
              </w:rPr>
              <w:t>4.149.562.666</w:t>
            </w:r>
          </w:p>
        </w:tc>
        <w:tc>
          <w:tcPr>
            <w:tcW w:w="1486" w:type="dxa"/>
          </w:tcPr>
          <w:p w:rsidR="00D849AA" w:rsidRPr="00DE6ACB" w:rsidRDefault="00EE6D95">
            <w:pPr>
              <w:rPr>
                <w:rFonts w:ascii="Arial" w:hAnsi="Arial" w:cs="Arial"/>
              </w:rPr>
            </w:pPr>
            <w:r w:rsidRPr="00DE6ACB">
              <w:rPr>
                <w:rFonts w:ascii="Arial" w:hAnsi="Arial" w:cs="Arial"/>
              </w:rPr>
              <w:t>113,1</w:t>
            </w:r>
          </w:p>
        </w:tc>
      </w:tr>
    </w:tbl>
    <w:p w:rsidR="00D849AA" w:rsidRDefault="00D849AA">
      <w:pPr>
        <w:jc w:val="left"/>
        <w:rPr>
          <w:rFonts w:ascii="Arial" w:hAnsi="Arial" w:cs="Arial"/>
        </w:rPr>
      </w:pPr>
    </w:p>
    <w:p w:rsidR="00DE6ACB" w:rsidRPr="00DE6ACB" w:rsidRDefault="00DE6ACB">
      <w:pPr>
        <w:jc w:val="left"/>
        <w:rPr>
          <w:rFonts w:ascii="Arial" w:hAnsi="Arial" w:cs="Arial"/>
        </w:rPr>
      </w:pPr>
    </w:p>
    <w:p w:rsidR="00D849AA" w:rsidRDefault="00EE6D95">
      <w:pPr>
        <w:pStyle w:val="Naslov4"/>
      </w:pPr>
      <w:r>
        <w:lastRenderedPageBreak/>
        <w:t>OBRAZLOŽENJE PROGRAMA</w:t>
      </w:r>
    </w:p>
    <w:p w:rsidR="00D849AA" w:rsidRDefault="00EE6D95">
      <w:pPr>
        <w:pStyle w:val="Naslov5"/>
      </w:pPr>
      <w:r>
        <w:t>2601 JAVNI RED, SIGURNOST I UPRAVNI POSLOVI</w:t>
      </w:r>
    </w:p>
    <w:tbl>
      <w:tblPr>
        <w:tblStyle w:val="Reetkatablice"/>
        <w:tblW w:w="0" w:type="auto"/>
        <w:jc w:val="center"/>
        <w:tblLook w:val="04A0" w:firstRow="1" w:lastRow="0" w:firstColumn="1" w:lastColumn="0" w:noHBand="0" w:noVBand="1"/>
      </w:tblPr>
      <w:tblGrid>
        <w:gridCol w:w="1486"/>
        <w:gridCol w:w="1496"/>
        <w:gridCol w:w="1496"/>
        <w:gridCol w:w="1496"/>
        <w:gridCol w:w="1496"/>
        <w:gridCol w:w="1486"/>
      </w:tblGrid>
      <w:tr w:rsidR="00D849AA">
        <w:trPr>
          <w:jc w:val="center"/>
        </w:trPr>
        <w:tc>
          <w:tcPr>
            <w:tcW w:w="1486" w:type="dxa"/>
            <w:shd w:val="clear" w:color="auto" w:fill="B5C0D8"/>
          </w:tcPr>
          <w:p w:rsidR="00D849AA" w:rsidRPr="00DE6ACB" w:rsidRDefault="00D849AA">
            <w:pPr>
              <w:pStyle w:val="CellHeader"/>
            </w:pPr>
          </w:p>
        </w:tc>
        <w:tc>
          <w:tcPr>
            <w:tcW w:w="1486" w:type="dxa"/>
            <w:shd w:val="clear" w:color="auto" w:fill="B5C0D8"/>
          </w:tcPr>
          <w:p w:rsidR="00D849AA" w:rsidRPr="00DE6ACB" w:rsidRDefault="00EE6D95">
            <w:pPr>
              <w:pStyle w:val="CellHeader"/>
            </w:pPr>
            <w:r w:rsidRPr="00DE6ACB">
              <w:t>Plan 2013.</w:t>
            </w:r>
          </w:p>
        </w:tc>
        <w:tc>
          <w:tcPr>
            <w:tcW w:w="1486" w:type="dxa"/>
            <w:shd w:val="clear" w:color="auto" w:fill="B5C0D8"/>
          </w:tcPr>
          <w:p w:rsidR="00D849AA" w:rsidRPr="00DE6ACB" w:rsidRDefault="00EE6D95">
            <w:pPr>
              <w:pStyle w:val="CellHeader"/>
            </w:pPr>
            <w:r w:rsidRPr="00DE6ACB">
              <w:t>Plan 2014.</w:t>
            </w:r>
          </w:p>
        </w:tc>
        <w:tc>
          <w:tcPr>
            <w:tcW w:w="1486" w:type="dxa"/>
            <w:shd w:val="clear" w:color="auto" w:fill="B5C0D8"/>
          </w:tcPr>
          <w:p w:rsidR="00D849AA" w:rsidRPr="00DE6ACB" w:rsidRDefault="00EE6D95">
            <w:pPr>
              <w:pStyle w:val="CellHeader"/>
            </w:pPr>
            <w:r w:rsidRPr="00DE6ACB">
              <w:t>Plan 2015.</w:t>
            </w:r>
          </w:p>
        </w:tc>
        <w:tc>
          <w:tcPr>
            <w:tcW w:w="1486" w:type="dxa"/>
            <w:shd w:val="clear" w:color="auto" w:fill="B5C0D8"/>
          </w:tcPr>
          <w:p w:rsidR="00D849AA" w:rsidRPr="00DE6ACB" w:rsidRDefault="00EE6D95">
            <w:pPr>
              <w:pStyle w:val="CellHeader"/>
            </w:pPr>
            <w:r w:rsidRPr="00DE6ACB">
              <w:t>Plan 2016.</w:t>
            </w:r>
          </w:p>
        </w:tc>
        <w:tc>
          <w:tcPr>
            <w:tcW w:w="1486" w:type="dxa"/>
            <w:shd w:val="clear" w:color="auto" w:fill="B5C0D8"/>
          </w:tcPr>
          <w:p w:rsidR="00D849AA" w:rsidRPr="00DE6ACB" w:rsidRDefault="00EE6D95">
            <w:pPr>
              <w:pStyle w:val="CellHeader"/>
            </w:pPr>
            <w:r w:rsidRPr="00DE6ACB">
              <w:t>Indeks 2014/2013</w:t>
            </w:r>
          </w:p>
        </w:tc>
      </w:tr>
      <w:tr w:rsidR="00D849AA">
        <w:trPr>
          <w:jc w:val="center"/>
        </w:trPr>
        <w:tc>
          <w:tcPr>
            <w:tcW w:w="1486" w:type="dxa"/>
          </w:tcPr>
          <w:p w:rsidR="00D849AA" w:rsidRPr="00DE6ACB" w:rsidRDefault="00EE6D95">
            <w:pPr>
              <w:pStyle w:val="CellColumn"/>
            </w:pPr>
            <w:r w:rsidRPr="00DE6ACB">
              <w:t>2601</w:t>
            </w:r>
          </w:p>
        </w:tc>
        <w:tc>
          <w:tcPr>
            <w:tcW w:w="1486" w:type="dxa"/>
          </w:tcPr>
          <w:p w:rsidR="00D849AA" w:rsidRPr="00DE6ACB" w:rsidRDefault="00EE6D95">
            <w:pPr>
              <w:rPr>
                <w:rFonts w:ascii="Arial" w:hAnsi="Arial" w:cs="Arial"/>
              </w:rPr>
            </w:pPr>
            <w:r w:rsidRPr="00DE6ACB">
              <w:rPr>
                <w:rFonts w:ascii="Arial" w:hAnsi="Arial" w:cs="Arial"/>
              </w:rPr>
              <w:t>3.171.980.289</w:t>
            </w:r>
          </w:p>
        </w:tc>
        <w:tc>
          <w:tcPr>
            <w:tcW w:w="1486" w:type="dxa"/>
          </w:tcPr>
          <w:p w:rsidR="00D849AA" w:rsidRPr="00DE6ACB" w:rsidRDefault="00EE6D95">
            <w:pPr>
              <w:rPr>
                <w:rFonts w:ascii="Arial" w:hAnsi="Arial" w:cs="Arial"/>
              </w:rPr>
            </w:pPr>
            <w:r w:rsidRPr="00DE6ACB">
              <w:rPr>
                <w:rFonts w:ascii="Arial" w:hAnsi="Arial" w:cs="Arial"/>
              </w:rPr>
              <w:t>3.371.357.721</w:t>
            </w:r>
          </w:p>
        </w:tc>
        <w:tc>
          <w:tcPr>
            <w:tcW w:w="1486" w:type="dxa"/>
          </w:tcPr>
          <w:p w:rsidR="00D849AA" w:rsidRPr="00DE6ACB" w:rsidRDefault="00EE6D95">
            <w:pPr>
              <w:rPr>
                <w:rFonts w:ascii="Arial" w:hAnsi="Arial" w:cs="Arial"/>
              </w:rPr>
            </w:pPr>
            <w:r w:rsidRPr="00DE6ACB">
              <w:rPr>
                <w:rFonts w:ascii="Arial" w:hAnsi="Arial" w:cs="Arial"/>
              </w:rPr>
              <w:t>3.258.662.145</w:t>
            </w:r>
          </w:p>
        </w:tc>
        <w:tc>
          <w:tcPr>
            <w:tcW w:w="1486" w:type="dxa"/>
          </w:tcPr>
          <w:p w:rsidR="00D849AA" w:rsidRPr="00DE6ACB" w:rsidRDefault="00EE6D95">
            <w:pPr>
              <w:rPr>
                <w:rFonts w:ascii="Arial" w:hAnsi="Arial" w:cs="Arial"/>
              </w:rPr>
            </w:pPr>
            <w:r w:rsidRPr="00DE6ACB">
              <w:rPr>
                <w:rFonts w:ascii="Arial" w:hAnsi="Arial" w:cs="Arial"/>
              </w:rPr>
              <w:t>3.336.903.666</w:t>
            </w:r>
          </w:p>
        </w:tc>
        <w:tc>
          <w:tcPr>
            <w:tcW w:w="1486" w:type="dxa"/>
          </w:tcPr>
          <w:p w:rsidR="00D849AA" w:rsidRPr="00DE6ACB" w:rsidRDefault="00EE6D95">
            <w:pPr>
              <w:rPr>
                <w:rFonts w:ascii="Arial" w:hAnsi="Arial" w:cs="Arial"/>
              </w:rPr>
            </w:pPr>
            <w:r w:rsidRPr="00DE6ACB">
              <w:rPr>
                <w:rFonts w:ascii="Arial" w:hAnsi="Arial" w:cs="Arial"/>
              </w:rPr>
              <w:t>106,3</w:t>
            </w:r>
          </w:p>
        </w:tc>
      </w:tr>
    </w:tbl>
    <w:p w:rsidR="00D849AA" w:rsidRDefault="00D849AA">
      <w:pPr>
        <w:jc w:val="left"/>
      </w:pPr>
    </w:p>
    <w:p w:rsidR="00D849AA" w:rsidRDefault="00EE6D95">
      <w:pPr>
        <w:pStyle w:val="Naslov6"/>
      </w:pPr>
      <w:r>
        <w:t>Opis programa</w:t>
      </w:r>
    </w:p>
    <w:p w:rsidR="00D849AA" w:rsidRDefault="00EE6D95">
      <w:pPr>
        <w:pStyle w:val="Normal5"/>
      </w:pPr>
      <w:r>
        <w:t xml:space="preserve">Program Javni red, sigurnost i upravni poslovi uključuje policijske poslove i druge poslove Ministarstva unutarnjih poslova koji su određeni zakonom, kao što su zaštita života, prava i sigurnosti i nepovredivosti osobe, zaštita imovine, sprječavanje i otkrivanje kaznenih djela, prijestupa i prekršaja i njihovo dovođenje nadležnim tijelima,  nadzor i upravljanje cestovnim prometom, poslovi sa strancima, pronalaženje nezakonito stečene imovine, održavanje javnog reda i mira, osiguranje i nadzor javnih okupljanja, nadzor kretanja i boravka stranaca i njihov prihvat, osiguranje  i zaštita određenih osoba, objekata i prostora, protueksplozijska zaštita, poslovi specijalne policije, te drugi poslovi određeni  zakonom.  </w:t>
      </w:r>
    </w:p>
    <w:p w:rsidR="00D849AA" w:rsidRDefault="00EE6D95">
      <w:pPr>
        <w:pStyle w:val="Normal5"/>
      </w:pPr>
      <w:r>
        <w:t xml:space="preserve">Prioritetni cilj Ministarstva unutarnjih poslova kroz provođenje programa Javni red, sigurnost i upravni poslovi je da cjelokupnom svojom aktivnošću doprinese smanjenju opasnosti i posljedica od kažnjivih ponašanja. Održavanje stanja javne sigurnosti na najvišoj mogućoj razini ima za građane posebnu vrijednost i pretpostavka je uspješnom razvoju društva na svim područjima. Kažnjiva ponašanja, koja ugrožavaju javnu sigurnost, čine kaznena djela i prekršaji. </w:t>
      </w:r>
    </w:p>
    <w:p w:rsidR="00D849AA" w:rsidRDefault="00EE6D95">
      <w:pPr>
        <w:pStyle w:val="Normal5"/>
      </w:pPr>
      <w:r>
        <w:t xml:space="preserve">Program osiguranja javnog reda obuhvaća sve aktivnosti kojima se sprječavaju i izravno suzbijaju kažnjiva ponašanja. Da bi građani živjeli slobodno i osjećali se sigurno, potrebno je da se ne krše propisana pravila kojima su uređeni javni red i sigurnost u društvu. Nedozvoljena ponašanja stvaraju konfliktne i uznemirujuće situacije koje mogu rezultirati štetnim i tragičnim posljedicama. Osnovna je zadaća policije, kao javnog sigurnosnog servisa građana smanjiti kažnjiva ponašanja na najmanju moguću mjeru. </w:t>
      </w:r>
    </w:p>
    <w:p w:rsidR="00D849AA" w:rsidRDefault="00EE6D95">
      <w:pPr>
        <w:pStyle w:val="Normal5"/>
      </w:pPr>
      <w:r>
        <w:t xml:space="preserve">Kaznena djela, kao teži oblici kažnjivih ponašanja, u znatnoj mjeri nije moguće unaprijed predvidjeti pa niti spriječiti te zbog toga pojedinci i društvo trpe štetne posljedice. Program otkrivanja i razrješavanja kaznenih djela čine sve one aktivnosti kojima se rasvjetljavaju svi događaji za koje se sumnja sa su posljedica takvih djela i pronalaze osobe za koje se osnovano sumnja da su svojim ponašanjem prouzročile ili pripomogle nastajanju štetnih ili tragičnih posljedica. Otkrivanje i razrješavanje kriminaliteta, kao najopasnije sigurnosne pojave – iz koje proistječu dvije trećine svih štetnih i tragičnih posljedica na području javne sigurnosti – građani doživljavaju kao najvažniju policijsku zadaću, a policija svojim rezultatima na ovom planu najviše dokazuje svoju uspješnost. </w:t>
      </w:r>
    </w:p>
    <w:p w:rsidR="00D849AA" w:rsidRDefault="00EE6D95">
      <w:pPr>
        <w:pStyle w:val="Normal5"/>
      </w:pPr>
      <w:r>
        <w:t xml:space="preserve">Posebna kategorija kažnjivih ponašanja, koju policija sprječava, otkriva i suzbija, čine kaznena djela i prekršaji sudionika u prometu na cestama. Motorizirani cestovni promet važna je komponenta suvremene civilizacije. No, nažalost, još uvijek plaćamo visoku cijenu ovoj civilizacijskoj dobrobiti u nepoželjnim ljudskim stradanjima. Da bi se stanje sigurnosti u cestovnom prometu podiglo na višu razinu, društvo mora uložiti još mnogo napora u poboljšanje prometne infrastrukture i razvoj prometne kulture. Znatan dio tog napora pripada policiji koja svojim aktivnostima treba utjecati na povećanje prometne discipline svih sudionika u prometu. </w:t>
      </w:r>
    </w:p>
    <w:p w:rsidR="00D849AA" w:rsidRDefault="00EE6D95">
      <w:pPr>
        <w:pStyle w:val="Normal5"/>
      </w:pPr>
      <w:r>
        <w:t xml:space="preserve">U okviru programa Javni red, sigurnost i upravni poslovi postavljeni su i posebni ciljevi koji su utvrđeni Strateškim planom Ministarstva unutarnjih poslova i drugih institucija u funkciji </w:t>
      </w:r>
      <w:r>
        <w:lastRenderedPageBreak/>
        <w:t>zaštite i spašavanja za razdoblje 2014.-2016. i to: Posebni cilj 1.1. Poboljšati sprječavanje  kažnjivih ponašanja; Posebni cilj 1.2. Poboljšati suzbijanje kriminaliteta; Posebni cilj 1.3. Povećati sigurnost prometa na cestama; Posebni cilj 1.5. Poboljšati usluge građanima u upravnim stvarima i Posebni cilj 1.6. Unaprijediti odnose s domaćim i međunarodnim okruženjem.</w:t>
      </w:r>
    </w:p>
    <w:p w:rsidR="00D849AA" w:rsidRDefault="00EE6D95">
      <w:pPr>
        <w:pStyle w:val="Naslov6"/>
      </w:pPr>
      <w:r>
        <w:t>Zakonske i druge pravne osnove</w:t>
      </w:r>
    </w:p>
    <w:p w:rsidR="00D849AA" w:rsidRDefault="00EE6D95">
      <w:pPr>
        <w:pStyle w:val="Normal5"/>
      </w:pPr>
      <w:r>
        <w:t>Zakon o policiji NN 34/11,129/00, 41/08, Zakon o policijskim ovlastima 76/09, Zakon o hrvatskom državljanstvu, Zakon o prebivalištu i boravištu građana, Zakon o osobnoj iskaznici, Zakon o putnim ispravama hrvatskih državljana, Zakon o strancima, Zakon o azilu, Zakon o humanitarnom razminiranju, Zakon o zaštiti od požara, Zakon o vatrogastvu, Zakon o eksplozivnim tvarima, Zakon o zapaljivim tekućinama i plinovima, Zakon o prijevozu opasnih tvari, Zakon o sigurnosti prometa na cestama, NN 80/13; NN 74/11, 67/08, 105/04, 59/96, 54/96, 43/96, 6/93, 5/93, 84/92, 20/91, 28/90, 26/90, 20/90, Zakon o javnom okupljanju, Zakon o prekršajima protiv javnog reda i mira, NN 5/90, 47/90, Zakon o privatnoj zaštiti, Zakon o pravima iz mirovinskog osiguranja djelatnih vojnih i ovlaštenih službenih osoba, Zakon o sprečavanju nereda na športskim natjecanjima, Zakon o minimalnim mjerama zaštite u poslovanju s gotovim novcem i vrijednostima, Zakon o zaštiti svjedoka, Zakon o posebnim pravima iz mirovinskog osiguranja zaposlenika na poslovima razminiranja, Zakon o zaštiti osoba i imovine, Zakon o zakladi policijske solidarnosti, Pravilnik o načinu policijskog postupanja, NN 89/10, Prekršajni zakon, NN 39/13; NN 107/07, Kazneni zakon, NN 125/11; NN 110/97, 50/00, 129/00, 51/01, 105/04, 71/06, 110/07, Zakon o kaznenom postupku, NN 143/12; NN 110/97, 58/99, 112/99, 58/02, 152/08, 76/09, Zakon o zaštiti osoba s duševnim smetnjama, NN 111/97, 128/99, 79/02, Nacionalni program sigurnosti cestovnog prometa Republike Hrvatske 2011.-2020. godine , NN 59/11</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Cilj 1. Poboljšati sprječavanje kažnjivih ponašanja</w:t>
      </w:r>
    </w:p>
    <w:p w:rsidR="00D849AA" w:rsidRDefault="00EE6D95">
      <w:pPr>
        <w:pStyle w:val="Normal6"/>
      </w:pPr>
      <w:r>
        <w:t xml:space="preserve">Da bi se smanjila opasnosti i posljedice od kaznenih djela i prekršaja, policija putem svoje organizacijske strukture i s raspoloživim ljudskim potencijalima, nastoji trajno biti prisutna na kritičnim mjestima u kritičnim vremenima kako bi pravodobno spriječila  i neposredno suzbila što veći broj kažnjivih ponašanja. Dugotrajno iskustvo svih policijskih organizacija poučava da se mnoge neželjene situacije kao i njihove posljedice mogu spriječiti i izbjeći ako ih se predvidi. Sprječavanje kažnjivih ponašanja za svako je društvo ekonomičnije nego njegovo suzbijanje ili naknadno otklanjanje štetnih posljedica. Zbog toga se hrvatska policija u svom djelovanju sve više vodi proaktivnim načelom. Stalna prisutnost policije na sigurnosno rizičnim mjestima, osim općeg preventivnog utjecaja na ponašanje građana, omogućava policijskim službenicima da neposredno, u samom začetku, suzbiju svaki oblik kažnjivog ponašanja kako bi se izbjegle teže posljedice. </w:t>
      </w:r>
    </w:p>
    <w:p w:rsidR="00D849AA" w:rsidRDefault="00EE6D95">
      <w:pPr>
        <w:pStyle w:val="Normal6"/>
      </w:pPr>
      <w:r>
        <w:t xml:space="preserve">Na temelju trajnog praćenja i analize stanja javne sigurnosti na teritoriju cijele države i području svake policijske uprave potrebno je alocirati ograničene kapacitete Ministarstva unutarnjih poslova, kako bi pokrivenost sigurnosno rizičnih prostora bila optimalna. Isto tako treba stalno razvijati policijske vještine i sposobnosti tako da nužne intervencije policije budu uz najmanju moguću mjeru uporabe sredstava prisile. </w:t>
      </w:r>
    </w:p>
    <w:p w:rsidR="00D849AA" w:rsidRDefault="00EE6D95">
      <w:pPr>
        <w:pStyle w:val="Normal6"/>
      </w:pPr>
      <w:r>
        <w:t>Budući da izgradnja javne sigurnosne arhitekture društva nije isključivo posao policijske organizacije, treba potaknuti stvaranje sigurnosne mreže društva u koju mogu biti uključeni svi dobronamjerni građani kroz sve oblike javnog društvenog djelovanja. Svakako da policija u javnom sigurnosnom sustavu ima ključnu ulogu i od nje se očekuju inicijativa i prvi koraci u povezivanju svih društvenih subjekata suodgovornih za poboljšanje stanja javne sigurnosti.</w:t>
      </w:r>
    </w:p>
    <w:p w:rsidR="00D849AA" w:rsidRDefault="00EE6D95">
      <w:pPr>
        <w:pStyle w:val="Naslov7"/>
      </w:pPr>
      <w:r>
        <w:lastRenderedPageBreak/>
        <w:t>Cilj 2. Poboljšati suzbijanje kriminaliteta</w:t>
      </w:r>
    </w:p>
    <w:p w:rsidR="00D849AA" w:rsidRDefault="00EE6D95">
      <w:pPr>
        <w:pStyle w:val="Normal6"/>
      </w:pPr>
      <w:r>
        <w:t xml:space="preserve">Kriminalitet – kao ukupnost svih kaznenih djela koja su se zbila na određenom području za određeno razdoblje – prouzroči dvije trećine svih štetnih posljedica na području javne sigurnosti. Zbog toga, kaznena djela, kao opasniji oblik kažnjivih ponašanja, trajno pobuđuju interes javnosti. Velika većina kriminaliteta događa se izvan izravnog opažaja policijskih službenika tako da ga oni ne mogu neposredno suzbijati. Saznanja o kriminalitetu policija stječe putem dojava građana ili pravnih osoba, a jedan dio sama otkriva vlastitom operativnom djelatnošću. </w:t>
      </w:r>
    </w:p>
    <w:p w:rsidR="00D849AA" w:rsidRDefault="00EE6D95">
      <w:pPr>
        <w:pStyle w:val="Normal6"/>
      </w:pPr>
      <w:r>
        <w:t xml:space="preserve">Znatan dio kriminaliteta u svakom društvu ne bude otkriven iz mnogih razloga, a društvo zbog toga trpi štetne posljedice. Neotkriveni kriminalitet krije se u tzv. „tamnoj brojci“ kriminaliteta. Uvriježena je kriminološka procjena da od ukupnog kriminaliteta samo jedna petina bude rasvijetljena. U Republici Hrvatskoj policija godišnje zabilježi oko 120 tisuća kaznenih djela. Od toga, za oko 90 tisuća kaznenih djela policija dozna putem dojava, a u oko 30 tisuća slučajeva policija sama otkrije postojanje kaznenog djela. </w:t>
      </w:r>
    </w:p>
    <w:p w:rsidR="00D849AA" w:rsidRDefault="00EE6D95">
      <w:pPr>
        <w:pStyle w:val="Normal6"/>
      </w:pPr>
      <w:r>
        <w:t xml:space="preserve">Razriješenost kriminaliteta znači utvrditi postojanost osnovane sumnje da su neka osoba ili osobe odgovorni za pojedina kaznena djela za koja je policija utvrdila da su se dogodila. Od ukupnog broja otkrivenih kaznenih djela policija u Hrvatskoj uspijeva razriješiti, na godišnjoj razini, oko 60 posto kriminaliteta. Trajna je zadaća policije da otkriva što veći broj kaznenih djela, a isto tako da pokuša utvrditi osnovanost sumnje za sve osobe koje potencijalno mogu biti odgovorne za ta kaznena djela. </w:t>
      </w:r>
    </w:p>
    <w:p w:rsidR="00D849AA" w:rsidRDefault="00EE6D95">
      <w:pPr>
        <w:pStyle w:val="Normal6"/>
      </w:pPr>
      <w:r>
        <w:t xml:space="preserve">Sva kaznena djela nemaju istu težinu. Ne zanemarujući manje štetna kaznena djela, u sljedećem razdoblju veću pozornost treba posvetiti najtežim kaznenim djelima. Samo oko jedan posto svih kaznenih djela pobuđuje interes šire javnosti koja od policije očekuje odlučno i uspješno djelovanje. Otkrivajući i razrješavajući tu vrstu kriminaliteta policija povećava osjećaj sigurnosti u društvu i jača povjerenje građana u javni sigurnosni sustav. </w:t>
      </w:r>
    </w:p>
    <w:p w:rsidR="00D849AA" w:rsidRDefault="00EE6D95">
      <w:pPr>
        <w:pStyle w:val="Normal6"/>
      </w:pPr>
      <w:r>
        <w:t>Ukupan kriminal se, radi načina i tehnika istraživanja pojedinih vrsta kaznenih djela klasificira u više kategorija koje se ne preklapaju sa zakonskom klasifikacijom, a koja se temelji na zaštićenim vrijednostima. Uobičajena kriminalistička klasifikacija kriminala je: organizirani kriminalitet i korupcija; gospodarski kriminalitet; kriminalitet zlouporabe droga; kriminalitet od posebnog sigurnosnog značaja; kriminalitet nasilja; imovinski kriminalitet i sva ostala kaznena djela koja nisu obuhvaćena navedenim kategorijama. Kriminalitet nasilja, imovinski kriminalitet, te sva ostala kaznena djela u praksi kriminalističke policije obuhvaćeni su pojmom „općeg kriminaliteta“. Posebnu vrstu kriminaliteta čini kriminalitet u prometu kojim se u pravilu bavi prometna policija, za razliku od ostalog kriminaliteta koji u glavnini čini djelokrug kriminalističke policije, a samo manjim dijelom granične i temeljne policije.</w:t>
      </w:r>
    </w:p>
    <w:p w:rsidR="00D849AA" w:rsidRDefault="00EE6D95">
      <w:pPr>
        <w:pStyle w:val="Naslov7"/>
      </w:pPr>
      <w:r>
        <w:t>Cilj 3. Povećati sigurnost prometa na cestama</w:t>
      </w:r>
    </w:p>
    <w:p w:rsidR="00D849AA" w:rsidRDefault="00EE6D95">
      <w:pPr>
        <w:pStyle w:val="Normal6"/>
      </w:pPr>
      <w:r>
        <w:t xml:space="preserve">Motorizirani cestovni promet važna je komponenta suvremene civilizacije. Sve dobrobiti ovog fenomena, nažalost, i nadalje plaćamo visokom cijenom nepoželjnog ljudskog stradanja. Posljedice ugrožavanja prometa na cestama bitno utječu na ukupno stanje javne sigurnosti. </w:t>
      </w:r>
    </w:p>
    <w:p w:rsidR="00D849AA" w:rsidRDefault="00EE6D95">
      <w:pPr>
        <w:pStyle w:val="Normal6"/>
      </w:pPr>
      <w:r>
        <w:t xml:space="preserve">Osim individualnih tragedija, i društvo u cjelini trpi velike gubitke zbog prometnih nesreća. U posljednjih deset godina na hrvatskim se cestama prosječno događalo 57.386 prometnih nesreća. U 26,8 posto nesreća stradavale su osobe. Godišnje je u prometu prosječno stradavalo 22 tisuće ljudi. Od toga 79,6 posto prošlo je s lakšim tjelesnim ozljedama. Teške tjelesne ozljede zadobilo je 17,9 posto osoba, dok je 2,5 posto osoba pogibalo, što je prosječno godišnje 559 osoba. </w:t>
      </w:r>
    </w:p>
    <w:p w:rsidR="00D849AA" w:rsidRDefault="00EE6D95">
      <w:pPr>
        <w:pStyle w:val="Normal6"/>
      </w:pPr>
      <w:r>
        <w:t xml:space="preserve">Od ukupnog broja teško ozlijeđenih osoba u prometnim nesrećama oko 5 posto njih ostaju trajni stopostotni invalidi, što je godišnje više od 200 ljudi. Deset posto njih trpi trajne posljedice, a najčešće se radi o osobama mlađe životne dobi. </w:t>
      </w:r>
    </w:p>
    <w:p w:rsidR="00D849AA" w:rsidRDefault="00EE6D95">
      <w:pPr>
        <w:pStyle w:val="Normal6"/>
      </w:pPr>
      <w:r>
        <w:lastRenderedPageBreak/>
        <w:t xml:space="preserve">Da bi se stanje sigurnosti u cestovnom prometu podiglo na višu razinu društvo mora uložiti još mnogo napora u poboljšanje prometne infrastrukture i razvoj prometne kulture. Znatan dio tog napora pripada policiji koja svojim aktivnostima treba utjecati na povećanje prometne discipline svih sudionika. </w:t>
      </w:r>
    </w:p>
    <w:p w:rsidR="00D849AA" w:rsidRDefault="00EE6D95">
      <w:pPr>
        <w:pStyle w:val="Normal6"/>
      </w:pPr>
      <w:r>
        <w:t>Od tri bitna čimbenika za sigurnost prometa (sudionici, vozila i ceste), prometna kultura svih sudionika, a posebno vozača, najbrže može smanjiti tragične posljedice. Ona ne traži toliko financijskih sredstava, koliko svježe ideje te stalan i sustavan rad na njihovom promicanju.</w:t>
      </w:r>
    </w:p>
    <w:p w:rsidR="00D849AA" w:rsidRDefault="00EE6D95">
      <w:pPr>
        <w:pStyle w:val="Naslov7"/>
      </w:pPr>
      <w:r>
        <w:t>Cilj 4. Poboljšati usluge građanima u upravnim stvarima</w:t>
      </w:r>
    </w:p>
    <w:p w:rsidR="00D849AA" w:rsidRDefault="00EE6D95">
      <w:pPr>
        <w:pStyle w:val="Normal6"/>
      </w:pPr>
      <w:r>
        <w:t xml:space="preserve">Ministarstvo unutarnjih poslova obavlja i upravne poslove koji se odnose na statuse građana, kao što su: prijavništvo (prebivalište, boravište, izdavanje osobnih iskaznica, izdavanje putovnica i drugih putnih isprava koje se izdaju temeljem međunarodnih ugovora); registre vozila i vozača; registre oružja i njihovih vlasnika, primitak u hrvatsko državljanstvo prirođenjem i prestanak hrvatskog državljanstva, boravak i rad stranaca i odobravanje azila. Smisao ovih poslova je dvojak. S jedne strane svi registri o statusnim stanjima građana omogućuju identifikaciju svih osoba za koje postoji sumnja da krše društvena pravila i kažnjivo se ponašaju, a s druge strane svim građanima, izdajući im statusne dokumente štite se ustavno zajamčena ljudska i građanska prava. </w:t>
      </w:r>
    </w:p>
    <w:p w:rsidR="00D849AA" w:rsidRDefault="00EE6D95">
      <w:pPr>
        <w:pStyle w:val="Normal6"/>
      </w:pPr>
      <w:r>
        <w:t>U narednom trogodišnjem razdoblju Ministarstvo će uložiti dodatni napor da baze podataka u informacijskom sustavu budu potpuno ažurirane i međusobno integrirane, postupci registracija pojednostavljeni, a usluga građanima poboljšana u smislu jednostavnosti i brzine upisa podataka i izdavanja potrebnih uvjerenja i dokumenata. Sva ta poboljšanja rezultirat će ekonomičnijim postupcima kako za građane tako i za Ministarstvo, odnosno državni proračun.</w:t>
      </w:r>
    </w:p>
    <w:p w:rsidR="00D849AA" w:rsidRDefault="00EE6D95">
      <w:pPr>
        <w:pStyle w:val="Naslov7"/>
      </w:pPr>
      <w:r>
        <w:t>Cilj 5. Unaprijediti odnose s domaćim i međunarodnim okruženjem</w:t>
      </w:r>
    </w:p>
    <w:p w:rsidR="00D849AA" w:rsidRDefault="00EE6D95">
      <w:pPr>
        <w:pStyle w:val="Normal6"/>
      </w:pPr>
      <w:r>
        <w:t xml:space="preserve">Republika Hrvatska, u svojstvu punopravne članice Europske unije, kao prostoru stabilnog mira, sigurnosti, demokratskih sloboda i gospodarskog razvoja, razvija i unaprjeđuje suradnju Ministarstva na području međunarodne sigurnosti. Zbog vlastitog razvoja i sigurnosti, Hrvatska ima izraziti interes i obvezu sudjelovanja u izgradnji cjelokupnog međunarodnog sigurnosnog sustava, a posebno sustava Europske unije. Stoga i nakon pristupanja Europskoj uniji ostaje obveza normativnog usklađivanja s pravnom stečevinom Europske unije na području sigurnosti, gdje Republika Hrvatska stupanjem u članstvo postaje jednom od sukreatorica i aktivnih stvarateljica Europskog prostora slobode, sigurnosti i pravde. </w:t>
      </w:r>
    </w:p>
    <w:p w:rsidR="00D849AA" w:rsidRDefault="00EE6D95">
      <w:pPr>
        <w:pStyle w:val="Normal6"/>
      </w:pPr>
      <w:r>
        <w:t>Djelujući na platformi vanjske politike Vlade, Ministarstvo unutarnjih poslova ima posebne zadaće i odgovornosti i na međunarodnom planu. Sigurnost je nedjeljiva kategorija i nacionalna sigurnost ne završava na državnim granicama. Razvijanje međunarodne policijske suradnje temeljni je uvjet uspješnog rada policija svih država. Ministarstvo unutarnjih poslova Republike Hrvatske ima uspostavljene odnose sa svim policijskim organizacijama država članica Europske unije, te sa svim državama u neposrednom okruženju. Isto tako, kroz članstvo u INTERPOL-u, policijska suradnja uspostavljena je s gotovo svim državama svijeta. Potrebno je nastaviti sa uključenjem i dalje unaprjeđivati sudjelovanje u sigurnosnim informacijskim sustavima te unaprjeđivati informacijsko-dokumentacijske poslove. S mnogim državama sklopljeni su bilateralni međunarodni ugovori na raznim sigurnosnim područjima, a također smo uključeni u mnoge multilateralne međunarodne ugovore. Republika Hrvatska odnosno Ministarstvo unutarnjih poslova je priznat sudionik u mirovnim misijama i operacijama, što će se nastojati i dalje unaprjeđivati. Međunarodnu sigurnosnu suradnju treba i dalje razvijati i jačati kako bi policijska organizacija Republike Hrvatske bila prepoznata i prihvaćena, kao bitna sigurnosna komponenta europskog sigurnosnog sustava.</w:t>
      </w:r>
    </w:p>
    <w:p w:rsidR="00D849AA" w:rsidRDefault="00EE6D95">
      <w:pPr>
        <w:pStyle w:val="Naslov5"/>
      </w:pPr>
      <w:r>
        <w:lastRenderedPageBreak/>
        <w:t>Procjena i ishodište potrebnih sredstava za značajnije aktivnosti/projekte</w:t>
      </w:r>
    </w:p>
    <w:p w:rsidR="00D849AA" w:rsidRDefault="00EE6D95">
      <w:pPr>
        <w:pStyle w:val="Naslov6"/>
      </w:pPr>
      <w:r>
        <w:t>A553131 ADMINISTRACIJA I UPRAVLJANJE</w:t>
      </w:r>
    </w:p>
    <w:tbl>
      <w:tblPr>
        <w:tblStyle w:val="Reetkatablice"/>
        <w:tblW w:w="0" w:type="auto"/>
        <w:jc w:val="center"/>
        <w:tblLook w:val="04A0" w:firstRow="1" w:lastRow="0" w:firstColumn="1" w:lastColumn="0" w:noHBand="0" w:noVBand="1"/>
      </w:tblPr>
      <w:tblGrid>
        <w:gridCol w:w="1486"/>
        <w:gridCol w:w="1496"/>
        <w:gridCol w:w="1496"/>
        <w:gridCol w:w="1496"/>
        <w:gridCol w:w="1496"/>
        <w:gridCol w:w="1486"/>
      </w:tblGrid>
      <w:tr w:rsidR="00D849AA">
        <w:trPr>
          <w:jc w:val="center"/>
        </w:trPr>
        <w:tc>
          <w:tcPr>
            <w:tcW w:w="1486" w:type="dxa"/>
            <w:shd w:val="clear" w:color="auto" w:fill="B5C0D8"/>
          </w:tcPr>
          <w:p w:rsidR="00D849AA" w:rsidRPr="00DE6ACB" w:rsidRDefault="00EE6D95">
            <w:pPr>
              <w:pStyle w:val="CellHeader"/>
            </w:pPr>
            <w:r w:rsidRPr="00DE6ACB">
              <w:t>Naziv aktivnosti</w:t>
            </w:r>
          </w:p>
        </w:tc>
        <w:tc>
          <w:tcPr>
            <w:tcW w:w="1486" w:type="dxa"/>
            <w:shd w:val="clear" w:color="auto" w:fill="B5C0D8"/>
          </w:tcPr>
          <w:p w:rsidR="00D849AA" w:rsidRPr="00DE6ACB" w:rsidRDefault="00EE6D95">
            <w:pPr>
              <w:pStyle w:val="CellHeader"/>
            </w:pPr>
            <w:r w:rsidRPr="00DE6ACB">
              <w:t>Plan 2013.</w:t>
            </w:r>
          </w:p>
        </w:tc>
        <w:tc>
          <w:tcPr>
            <w:tcW w:w="1486" w:type="dxa"/>
            <w:shd w:val="clear" w:color="auto" w:fill="B5C0D8"/>
          </w:tcPr>
          <w:p w:rsidR="00D849AA" w:rsidRPr="00DE6ACB" w:rsidRDefault="00EE6D95">
            <w:pPr>
              <w:pStyle w:val="CellHeader"/>
            </w:pPr>
            <w:r w:rsidRPr="00DE6ACB">
              <w:t>Plan 2014.</w:t>
            </w:r>
          </w:p>
        </w:tc>
        <w:tc>
          <w:tcPr>
            <w:tcW w:w="1486" w:type="dxa"/>
            <w:shd w:val="clear" w:color="auto" w:fill="B5C0D8"/>
          </w:tcPr>
          <w:p w:rsidR="00D849AA" w:rsidRPr="00DE6ACB" w:rsidRDefault="00EE6D95">
            <w:pPr>
              <w:pStyle w:val="CellHeader"/>
            </w:pPr>
            <w:r w:rsidRPr="00DE6ACB">
              <w:t>Plan 2015.</w:t>
            </w:r>
          </w:p>
        </w:tc>
        <w:tc>
          <w:tcPr>
            <w:tcW w:w="1486" w:type="dxa"/>
            <w:shd w:val="clear" w:color="auto" w:fill="B5C0D8"/>
          </w:tcPr>
          <w:p w:rsidR="00D849AA" w:rsidRPr="00DE6ACB" w:rsidRDefault="00EE6D95">
            <w:pPr>
              <w:pStyle w:val="CellHeader"/>
            </w:pPr>
            <w:r w:rsidRPr="00DE6ACB">
              <w:t>Plan 2016.</w:t>
            </w:r>
          </w:p>
        </w:tc>
        <w:tc>
          <w:tcPr>
            <w:tcW w:w="1486" w:type="dxa"/>
            <w:shd w:val="clear" w:color="auto" w:fill="B5C0D8"/>
          </w:tcPr>
          <w:p w:rsidR="00D849AA" w:rsidRPr="00DE6ACB" w:rsidRDefault="00EE6D95">
            <w:pPr>
              <w:pStyle w:val="CellHeader"/>
            </w:pPr>
            <w:r w:rsidRPr="00DE6ACB">
              <w:t>Indeks 2014/2013</w:t>
            </w:r>
          </w:p>
        </w:tc>
      </w:tr>
      <w:tr w:rsidR="00D849AA">
        <w:trPr>
          <w:jc w:val="center"/>
        </w:trPr>
        <w:tc>
          <w:tcPr>
            <w:tcW w:w="1486" w:type="dxa"/>
          </w:tcPr>
          <w:p w:rsidR="00D849AA" w:rsidRPr="00DE6ACB" w:rsidRDefault="00EE6D95">
            <w:pPr>
              <w:pStyle w:val="CellColumn"/>
            </w:pPr>
            <w:r w:rsidRPr="00DE6ACB">
              <w:t>A553131</w:t>
            </w:r>
          </w:p>
        </w:tc>
        <w:tc>
          <w:tcPr>
            <w:tcW w:w="1486" w:type="dxa"/>
          </w:tcPr>
          <w:p w:rsidR="00D849AA" w:rsidRPr="00DE6ACB" w:rsidRDefault="00EE6D95">
            <w:pPr>
              <w:rPr>
                <w:rFonts w:ascii="Arial" w:hAnsi="Arial" w:cs="Arial"/>
              </w:rPr>
            </w:pPr>
            <w:r w:rsidRPr="00DE6ACB">
              <w:rPr>
                <w:rFonts w:ascii="Arial" w:hAnsi="Arial" w:cs="Arial"/>
              </w:rPr>
              <w:t>2.883.827.689</w:t>
            </w:r>
          </w:p>
        </w:tc>
        <w:tc>
          <w:tcPr>
            <w:tcW w:w="1486" w:type="dxa"/>
          </w:tcPr>
          <w:p w:rsidR="00D849AA" w:rsidRPr="00DE6ACB" w:rsidRDefault="00EE6D95">
            <w:pPr>
              <w:rPr>
                <w:rFonts w:ascii="Arial" w:hAnsi="Arial" w:cs="Arial"/>
              </w:rPr>
            </w:pPr>
            <w:r w:rsidRPr="00DE6ACB">
              <w:rPr>
                <w:rFonts w:ascii="Arial" w:hAnsi="Arial" w:cs="Arial"/>
              </w:rPr>
              <w:t>3.020.571.721</w:t>
            </w:r>
          </w:p>
        </w:tc>
        <w:tc>
          <w:tcPr>
            <w:tcW w:w="1486" w:type="dxa"/>
          </w:tcPr>
          <w:p w:rsidR="00D849AA" w:rsidRPr="00DE6ACB" w:rsidRDefault="00EE6D95">
            <w:pPr>
              <w:rPr>
                <w:rFonts w:ascii="Arial" w:hAnsi="Arial" w:cs="Arial"/>
              </w:rPr>
            </w:pPr>
            <w:r w:rsidRPr="00DE6ACB">
              <w:rPr>
                <w:rFonts w:ascii="Arial" w:hAnsi="Arial" w:cs="Arial"/>
              </w:rPr>
              <w:t>2.906.904.145</w:t>
            </w:r>
          </w:p>
        </w:tc>
        <w:tc>
          <w:tcPr>
            <w:tcW w:w="1486" w:type="dxa"/>
          </w:tcPr>
          <w:p w:rsidR="00D849AA" w:rsidRPr="00DE6ACB" w:rsidRDefault="00EE6D95">
            <w:pPr>
              <w:rPr>
                <w:rFonts w:ascii="Arial" w:hAnsi="Arial" w:cs="Arial"/>
              </w:rPr>
            </w:pPr>
            <w:r w:rsidRPr="00DE6ACB">
              <w:rPr>
                <w:rFonts w:ascii="Arial" w:hAnsi="Arial" w:cs="Arial"/>
              </w:rPr>
              <w:t>2.970.016.666</w:t>
            </w:r>
          </w:p>
        </w:tc>
        <w:tc>
          <w:tcPr>
            <w:tcW w:w="1486" w:type="dxa"/>
          </w:tcPr>
          <w:p w:rsidR="00D849AA" w:rsidRPr="00DE6ACB" w:rsidRDefault="00EE6D95">
            <w:pPr>
              <w:rPr>
                <w:rFonts w:ascii="Arial" w:hAnsi="Arial" w:cs="Arial"/>
              </w:rPr>
            </w:pPr>
            <w:r w:rsidRPr="00DE6ACB">
              <w:rPr>
                <w:rFonts w:ascii="Arial" w:hAnsi="Arial" w:cs="Arial"/>
              </w:rPr>
              <w:t>104,7</w:t>
            </w:r>
          </w:p>
        </w:tc>
      </w:tr>
    </w:tbl>
    <w:p w:rsidR="00D849AA" w:rsidRDefault="00D849AA">
      <w:pPr>
        <w:jc w:val="left"/>
      </w:pPr>
    </w:p>
    <w:p w:rsidR="00D849AA" w:rsidRDefault="00EE6D95">
      <w:pPr>
        <w:pStyle w:val="Normal6"/>
      </w:pPr>
      <w:r>
        <w:t xml:space="preserve">Ova aktivnost uključuje poslove policije i kriminalističke policije i to: zaštitu života i osobnu sigurnost ljudi i imovine, jačanje prevencije kaznenih djela i prekršaja i otkrivanje kaznenih dijela, pronalaženje i hvatanje počinitelja kaznenih djela i njihovo privođenje nadležnim tijelima, otkrivanje i suzbijanje kriminaliteta s posbenim naglaskom na korupciju i organizirani kriminal, zlouporabu opojnih droga, maloljetnički kriminalitet, obiteljsko nasilje i nasilje nad manjinskim i ranjivim skupinama, suradnja i koordinacija policije i pravosuđa, a posebno na „uskočkoj vertikali“ (PNUSKOK-USKOK – „uskočki sudovi“), održavanje javnog reda i mira te zaštitu određenih osoba, građevina i prostora, obavljanje kriminalističko-tehničkih poslova i vještačenja, poslove sigurnosti na cestama, održavanja javnih okupljanja, državljanstvo, izdavanje osobnih iskaznica, putnih isprava za prelazak preko državne granice prijavljivanja prebivališta i boravišta građana, izdavanje vozačkih dozvola i registracije motornih vozila, poslove specijalne policije te nadzor nad radom zaštitarskih tvrtki. </w:t>
      </w:r>
    </w:p>
    <w:p w:rsidR="00D849AA" w:rsidRDefault="00EE6D95">
      <w:pPr>
        <w:pStyle w:val="Normal6"/>
      </w:pPr>
      <w:r>
        <w:t>U okviru ove aktivnosti je poslovanje (20) dvadeset policijskih uprava i Ministarstva unutarnjih poslova u sjedištu, u okviru koje su rashodi za zaposlene, materijalni troškovi za funkcioniranje ministarstva, režijski troškovi, gorivo, izdaci za izradu platih tiskanica, nabava vozila putem operativnog leasinga, tekuće održavanje vozila, plovila, helikoptera, poslovnog inventara.</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rsidRPr="00DE6ACB">
        <w:trPr>
          <w:jc w:val="center"/>
        </w:trPr>
        <w:tc>
          <w:tcPr>
            <w:tcW w:w="2229" w:type="dxa"/>
            <w:shd w:val="clear" w:color="auto" w:fill="B5C0D8"/>
          </w:tcPr>
          <w:p w:rsidR="00D849AA" w:rsidRPr="00DE6ACB" w:rsidRDefault="00EE6D95">
            <w:pPr>
              <w:rPr>
                <w:rFonts w:ascii="Arial" w:hAnsi="Arial" w:cs="Arial"/>
              </w:rPr>
            </w:pPr>
            <w:r w:rsidRPr="00DE6ACB">
              <w:rPr>
                <w:rFonts w:ascii="Arial" w:hAnsi="Arial" w:cs="Arial"/>
              </w:rPr>
              <w:t>Pokazatelj rezultata</w:t>
            </w:r>
          </w:p>
        </w:tc>
        <w:tc>
          <w:tcPr>
            <w:tcW w:w="1114" w:type="dxa"/>
            <w:shd w:val="clear" w:color="auto" w:fill="B5C0D8"/>
          </w:tcPr>
          <w:p w:rsidR="00D849AA" w:rsidRPr="00DE6ACB" w:rsidRDefault="00EE6D95">
            <w:pPr>
              <w:pStyle w:val="CellHeader"/>
            </w:pPr>
            <w:r w:rsidRPr="00DE6ACB">
              <w:t>Jedinica</w:t>
            </w:r>
          </w:p>
        </w:tc>
        <w:tc>
          <w:tcPr>
            <w:tcW w:w="1114" w:type="dxa"/>
            <w:shd w:val="clear" w:color="auto" w:fill="B5C0D8"/>
          </w:tcPr>
          <w:p w:rsidR="00D849AA" w:rsidRPr="00DE6ACB" w:rsidRDefault="00EE6D95">
            <w:pPr>
              <w:pStyle w:val="CellHeader"/>
            </w:pPr>
            <w:r w:rsidRPr="00DE6ACB">
              <w:t>Polazna vrijednost</w:t>
            </w:r>
          </w:p>
        </w:tc>
        <w:tc>
          <w:tcPr>
            <w:tcW w:w="1486" w:type="dxa"/>
            <w:shd w:val="clear" w:color="auto" w:fill="B5C0D8"/>
          </w:tcPr>
          <w:p w:rsidR="00D849AA" w:rsidRPr="00DE6ACB" w:rsidRDefault="00EE6D95">
            <w:pPr>
              <w:pStyle w:val="CellHeader"/>
            </w:pPr>
            <w:r w:rsidRPr="00DE6ACB">
              <w:t>Ciljana vrijednost (2014.)</w:t>
            </w:r>
          </w:p>
        </w:tc>
        <w:tc>
          <w:tcPr>
            <w:tcW w:w="1486" w:type="dxa"/>
            <w:shd w:val="clear" w:color="auto" w:fill="B5C0D8"/>
          </w:tcPr>
          <w:p w:rsidR="00D849AA" w:rsidRPr="00DE6ACB" w:rsidRDefault="00EE6D95">
            <w:pPr>
              <w:pStyle w:val="CellHeader"/>
            </w:pPr>
            <w:r w:rsidRPr="00DE6ACB">
              <w:t>Ciljana vrijednost (2015.)</w:t>
            </w:r>
          </w:p>
        </w:tc>
        <w:tc>
          <w:tcPr>
            <w:tcW w:w="1486" w:type="dxa"/>
            <w:shd w:val="clear" w:color="auto" w:fill="B5C0D8"/>
          </w:tcPr>
          <w:p w:rsidR="00D849AA" w:rsidRPr="00DE6ACB" w:rsidRDefault="00EE6D95">
            <w:pPr>
              <w:pStyle w:val="CellHeader"/>
            </w:pPr>
            <w:r w:rsidRPr="00DE6ACB">
              <w:t>Ciljana vrijednost (2016.)</w:t>
            </w:r>
          </w:p>
        </w:tc>
      </w:tr>
      <w:tr w:rsidR="00D849AA" w:rsidRPr="00DE6ACB">
        <w:trPr>
          <w:jc w:val="center"/>
        </w:trPr>
        <w:tc>
          <w:tcPr>
            <w:tcW w:w="2229" w:type="dxa"/>
          </w:tcPr>
          <w:p w:rsidR="00D849AA" w:rsidRPr="00DE6ACB" w:rsidRDefault="00EE6D95">
            <w:pPr>
              <w:pStyle w:val="CellColumn"/>
            </w:pPr>
            <w:r w:rsidRPr="00DE6ACB">
              <w:t>Broj stranih policijskih organizacija čiji su policijski službenici uključeni u turistuičku sezonu</w:t>
            </w:r>
          </w:p>
        </w:tc>
        <w:tc>
          <w:tcPr>
            <w:tcW w:w="1114" w:type="dxa"/>
          </w:tcPr>
          <w:p w:rsidR="00D849AA" w:rsidRPr="00DE6ACB" w:rsidRDefault="00EE6D95">
            <w:pPr>
              <w:rPr>
                <w:rFonts w:ascii="Arial" w:hAnsi="Arial" w:cs="Arial"/>
              </w:rPr>
            </w:pPr>
            <w:r w:rsidRPr="00DE6ACB">
              <w:rPr>
                <w:rFonts w:ascii="Arial" w:hAnsi="Arial" w:cs="Arial"/>
              </w:rPr>
              <w:t>Broj</w:t>
            </w:r>
          </w:p>
        </w:tc>
        <w:tc>
          <w:tcPr>
            <w:tcW w:w="1114" w:type="dxa"/>
          </w:tcPr>
          <w:p w:rsidR="00D849AA" w:rsidRPr="00DE6ACB" w:rsidRDefault="00EE6D95">
            <w:pPr>
              <w:rPr>
                <w:rFonts w:ascii="Arial" w:hAnsi="Arial" w:cs="Arial"/>
              </w:rPr>
            </w:pPr>
            <w:r w:rsidRPr="00DE6ACB">
              <w:rPr>
                <w:rFonts w:ascii="Arial" w:hAnsi="Arial" w:cs="Arial"/>
              </w:rPr>
              <w:t>11</w:t>
            </w:r>
          </w:p>
        </w:tc>
        <w:tc>
          <w:tcPr>
            <w:tcW w:w="1486" w:type="dxa"/>
          </w:tcPr>
          <w:p w:rsidR="00D849AA" w:rsidRPr="00DE6ACB" w:rsidRDefault="00EE6D95">
            <w:pPr>
              <w:rPr>
                <w:rFonts w:ascii="Arial" w:hAnsi="Arial" w:cs="Arial"/>
              </w:rPr>
            </w:pPr>
            <w:r w:rsidRPr="00DE6ACB">
              <w:rPr>
                <w:rFonts w:ascii="Arial" w:hAnsi="Arial" w:cs="Arial"/>
              </w:rPr>
              <w:t>14</w:t>
            </w:r>
          </w:p>
        </w:tc>
        <w:tc>
          <w:tcPr>
            <w:tcW w:w="1486" w:type="dxa"/>
          </w:tcPr>
          <w:p w:rsidR="00D849AA" w:rsidRPr="00DE6ACB" w:rsidRDefault="00EE6D95">
            <w:pPr>
              <w:rPr>
                <w:rFonts w:ascii="Arial" w:hAnsi="Arial" w:cs="Arial"/>
              </w:rPr>
            </w:pPr>
            <w:r w:rsidRPr="00DE6ACB">
              <w:rPr>
                <w:rFonts w:ascii="Arial" w:hAnsi="Arial" w:cs="Arial"/>
              </w:rPr>
              <w:t>15</w:t>
            </w:r>
          </w:p>
        </w:tc>
        <w:tc>
          <w:tcPr>
            <w:tcW w:w="1486" w:type="dxa"/>
          </w:tcPr>
          <w:p w:rsidR="00D849AA" w:rsidRPr="00DE6ACB" w:rsidRDefault="00EE6D95">
            <w:pPr>
              <w:rPr>
                <w:rFonts w:ascii="Arial" w:hAnsi="Arial" w:cs="Arial"/>
              </w:rPr>
            </w:pPr>
            <w:r w:rsidRPr="00DE6ACB">
              <w:rPr>
                <w:rFonts w:ascii="Arial" w:hAnsi="Arial" w:cs="Arial"/>
              </w:rPr>
              <w:t>16</w:t>
            </w:r>
          </w:p>
        </w:tc>
      </w:tr>
      <w:tr w:rsidR="00D849AA" w:rsidRPr="00DE6ACB">
        <w:trPr>
          <w:jc w:val="center"/>
        </w:trPr>
        <w:tc>
          <w:tcPr>
            <w:tcW w:w="2229" w:type="dxa"/>
          </w:tcPr>
          <w:p w:rsidR="00D849AA" w:rsidRPr="00DE6ACB" w:rsidRDefault="00EE6D95">
            <w:pPr>
              <w:pStyle w:val="CellColumn"/>
            </w:pPr>
            <w:r w:rsidRPr="00DE6ACB">
              <w:t>Broj razriješenih svih kaznenih djela</w:t>
            </w:r>
          </w:p>
        </w:tc>
        <w:tc>
          <w:tcPr>
            <w:tcW w:w="1114" w:type="dxa"/>
          </w:tcPr>
          <w:p w:rsidR="00D849AA" w:rsidRPr="00DE6ACB" w:rsidRDefault="00EE6D95">
            <w:pPr>
              <w:rPr>
                <w:rFonts w:ascii="Arial" w:hAnsi="Arial" w:cs="Arial"/>
              </w:rPr>
            </w:pPr>
            <w:r w:rsidRPr="00DE6ACB">
              <w:rPr>
                <w:rFonts w:ascii="Arial" w:hAnsi="Arial" w:cs="Arial"/>
              </w:rPr>
              <w:t>Broj</w:t>
            </w:r>
          </w:p>
        </w:tc>
        <w:tc>
          <w:tcPr>
            <w:tcW w:w="1114" w:type="dxa"/>
          </w:tcPr>
          <w:p w:rsidR="00D849AA" w:rsidRPr="00DE6ACB" w:rsidRDefault="00EE6D95">
            <w:pPr>
              <w:rPr>
                <w:rFonts w:ascii="Arial" w:hAnsi="Arial" w:cs="Arial"/>
              </w:rPr>
            </w:pPr>
            <w:r w:rsidRPr="00DE6ACB">
              <w:rPr>
                <w:rFonts w:ascii="Arial" w:hAnsi="Arial" w:cs="Arial"/>
              </w:rPr>
              <w:t>53.987</w:t>
            </w:r>
          </w:p>
        </w:tc>
        <w:tc>
          <w:tcPr>
            <w:tcW w:w="1486" w:type="dxa"/>
          </w:tcPr>
          <w:p w:rsidR="00D849AA" w:rsidRPr="00DE6ACB" w:rsidRDefault="00EE6D95">
            <w:pPr>
              <w:rPr>
                <w:rFonts w:ascii="Arial" w:hAnsi="Arial" w:cs="Arial"/>
              </w:rPr>
            </w:pPr>
            <w:r w:rsidRPr="00DE6ACB">
              <w:rPr>
                <w:rFonts w:ascii="Arial" w:hAnsi="Arial" w:cs="Arial"/>
              </w:rPr>
              <w:t>59.520</w:t>
            </w:r>
          </w:p>
        </w:tc>
        <w:tc>
          <w:tcPr>
            <w:tcW w:w="1486" w:type="dxa"/>
          </w:tcPr>
          <w:p w:rsidR="00D849AA" w:rsidRPr="00DE6ACB" w:rsidRDefault="00EE6D95">
            <w:pPr>
              <w:rPr>
                <w:rFonts w:ascii="Arial" w:hAnsi="Arial" w:cs="Arial"/>
              </w:rPr>
            </w:pPr>
            <w:r w:rsidRPr="00DE6ACB">
              <w:rPr>
                <w:rFonts w:ascii="Arial" w:hAnsi="Arial" w:cs="Arial"/>
              </w:rPr>
              <w:t>62.500</w:t>
            </w:r>
          </w:p>
        </w:tc>
        <w:tc>
          <w:tcPr>
            <w:tcW w:w="1486" w:type="dxa"/>
          </w:tcPr>
          <w:p w:rsidR="00D849AA" w:rsidRPr="00DE6ACB" w:rsidRDefault="00EE6D95">
            <w:pPr>
              <w:rPr>
                <w:rFonts w:ascii="Arial" w:hAnsi="Arial" w:cs="Arial"/>
              </w:rPr>
            </w:pPr>
            <w:r w:rsidRPr="00DE6ACB">
              <w:rPr>
                <w:rFonts w:ascii="Arial" w:hAnsi="Arial" w:cs="Arial"/>
              </w:rPr>
              <w:t>65.630</w:t>
            </w:r>
          </w:p>
        </w:tc>
      </w:tr>
      <w:tr w:rsidR="00D849AA" w:rsidRPr="00DE6ACB">
        <w:trPr>
          <w:jc w:val="center"/>
        </w:trPr>
        <w:tc>
          <w:tcPr>
            <w:tcW w:w="2229" w:type="dxa"/>
          </w:tcPr>
          <w:p w:rsidR="00D849AA" w:rsidRPr="00DE6ACB" w:rsidRDefault="00EE6D95">
            <w:pPr>
              <w:pStyle w:val="CellColumn"/>
            </w:pPr>
            <w:r w:rsidRPr="00DE6ACB">
              <w:t>Potpisani bilateralni i multilateralni ugovori iz područja međunarodne policijske suradnje</w:t>
            </w:r>
          </w:p>
        </w:tc>
        <w:tc>
          <w:tcPr>
            <w:tcW w:w="1114" w:type="dxa"/>
          </w:tcPr>
          <w:p w:rsidR="00D849AA" w:rsidRPr="00DE6ACB" w:rsidRDefault="00EE6D95">
            <w:pPr>
              <w:rPr>
                <w:rFonts w:ascii="Arial" w:hAnsi="Arial" w:cs="Arial"/>
              </w:rPr>
            </w:pPr>
            <w:r w:rsidRPr="00DE6ACB">
              <w:rPr>
                <w:rFonts w:ascii="Arial" w:hAnsi="Arial" w:cs="Arial"/>
              </w:rPr>
              <w:t>Broj</w:t>
            </w:r>
          </w:p>
        </w:tc>
        <w:tc>
          <w:tcPr>
            <w:tcW w:w="1114" w:type="dxa"/>
          </w:tcPr>
          <w:p w:rsidR="00D849AA" w:rsidRPr="00DE6ACB" w:rsidRDefault="00EE6D95">
            <w:pPr>
              <w:rPr>
                <w:rFonts w:ascii="Arial" w:hAnsi="Arial" w:cs="Arial"/>
              </w:rPr>
            </w:pPr>
            <w:r w:rsidRPr="00DE6ACB">
              <w:rPr>
                <w:rFonts w:ascii="Arial" w:hAnsi="Arial" w:cs="Arial"/>
              </w:rPr>
              <w:t>47</w:t>
            </w:r>
          </w:p>
        </w:tc>
        <w:tc>
          <w:tcPr>
            <w:tcW w:w="1486" w:type="dxa"/>
          </w:tcPr>
          <w:p w:rsidR="00D849AA" w:rsidRPr="00DE6ACB" w:rsidRDefault="00EE6D95">
            <w:pPr>
              <w:rPr>
                <w:rFonts w:ascii="Arial" w:hAnsi="Arial" w:cs="Arial"/>
              </w:rPr>
            </w:pPr>
            <w:r w:rsidRPr="00DE6ACB">
              <w:rPr>
                <w:rFonts w:ascii="Arial" w:hAnsi="Arial" w:cs="Arial"/>
              </w:rPr>
              <w:t>50</w:t>
            </w:r>
          </w:p>
        </w:tc>
        <w:tc>
          <w:tcPr>
            <w:tcW w:w="1486" w:type="dxa"/>
          </w:tcPr>
          <w:p w:rsidR="00D849AA" w:rsidRPr="00DE6ACB" w:rsidRDefault="00EE6D95">
            <w:pPr>
              <w:rPr>
                <w:rFonts w:ascii="Arial" w:hAnsi="Arial" w:cs="Arial"/>
              </w:rPr>
            </w:pPr>
            <w:r w:rsidRPr="00DE6ACB">
              <w:rPr>
                <w:rFonts w:ascii="Arial" w:hAnsi="Arial" w:cs="Arial"/>
              </w:rPr>
              <w:t>53</w:t>
            </w:r>
          </w:p>
        </w:tc>
        <w:tc>
          <w:tcPr>
            <w:tcW w:w="1486" w:type="dxa"/>
          </w:tcPr>
          <w:p w:rsidR="00D849AA" w:rsidRPr="00DE6ACB" w:rsidRDefault="00EE6D95">
            <w:pPr>
              <w:rPr>
                <w:rFonts w:ascii="Arial" w:hAnsi="Arial" w:cs="Arial"/>
              </w:rPr>
            </w:pPr>
            <w:r w:rsidRPr="00DE6ACB">
              <w:rPr>
                <w:rFonts w:ascii="Arial" w:hAnsi="Arial" w:cs="Arial"/>
              </w:rPr>
              <w:t>56</w:t>
            </w:r>
          </w:p>
        </w:tc>
      </w:tr>
    </w:tbl>
    <w:p w:rsidR="00D849AA" w:rsidRDefault="00D849AA">
      <w:pPr>
        <w:jc w:val="left"/>
        <w:rPr>
          <w:rFonts w:ascii="Arial" w:hAnsi="Arial" w:cs="Arial"/>
        </w:rPr>
      </w:pPr>
    </w:p>
    <w:p w:rsidR="00DE6ACB" w:rsidRPr="00DE6ACB" w:rsidRDefault="00DE6ACB">
      <w:pPr>
        <w:jc w:val="left"/>
        <w:rPr>
          <w:rFonts w:ascii="Arial" w:hAnsi="Arial" w:cs="Arial"/>
        </w:rPr>
      </w:pPr>
    </w:p>
    <w:p w:rsidR="00D849AA" w:rsidRDefault="00EE6D95">
      <w:pPr>
        <w:pStyle w:val="Naslov6"/>
      </w:pPr>
      <w:r>
        <w:lastRenderedPageBreak/>
        <w:t>K553009 POLICIJSKA OPREMA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DE6ACB" w:rsidRDefault="00EE6D95">
            <w:pPr>
              <w:pStyle w:val="CellHeader"/>
            </w:pPr>
            <w:r w:rsidRPr="00DE6ACB">
              <w:t>Naziv aktivnosti</w:t>
            </w:r>
          </w:p>
        </w:tc>
        <w:tc>
          <w:tcPr>
            <w:tcW w:w="1486" w:type="dxa"/>
            <w:shd w:val="clear" w:color="auto" w:fill="B5C0D8"/>
          </w:tcPr>
          <w:p w:rsidR="00D849AA" w:rsidRPr="00DE6ACB" w:rsidRDefault="00EE6D95">
            <w:pPr>
              <w:pStyle w:val="CellHeader"/>
            </w:pPr>
            <w:r w:rsidRPr="00DE6ACB">
              <w:t>Plan 2013.</w:t>
            </w:r>
          </w:p>
        </w:tc>
        <w:tc>
          <w:tcPr>
            <w:tcW w:w="1486" w:type="dxa"/>
            <w:shd w:val="clear" w:color="auto" w:fill="B5C0D8"/>
          </w:tcPr>
          <w:p w:rsidR="00D849AA" w:rsidRPr="00DE6ACB" w:rsidRDefault="00EE6D95">
            <w:pPr>
              <w:pStyle w:val="CellHeader"/>
            </w:pPr>
            <w:r w:rsidRPr="00DE6ACB">
              <w:t>Plan 2014.</w:t>
            </w:r>
          </w:p>
        </w:tc>
        <w:tc>
          <w:tcPr>
            <w:tcW w:w="1486" w:type="dxa"/>
            <w:shd w:val="clear" w:color="auto" w:fill="B5C0D8"/>
          </w:tcPr>
          <w:p w:rsidR="00D849AA" w:rsidRPr="00DE6ACB" w:rsidRDefault="00EE6D95">
            <w:pPr>
              <w:pStyle w:val="CellHeader"/>
            </w:pPr>
            <w:r w:rsidRPr="00DE6ACB">
              <w:t>Plan 2015.</w:t>
            </w:r>
          </w:p>
        </w:tc>
        <w:tc>
          <w:tcPr>
            <w:tcW w:w="1486" w:type="dxa"/>
            <w:shd w:val="clear" w:color="auto" w:fill="B5C0D8"/>
          </w:tcPr>
          <w:p w:rsidR="00D849AA" w:rsidRPr="00DE6ACB" w:rsidRDefault="00EE6D95">
            <w:pPr>
              <w:pStyle w:val="CellHeader"/>
            </w:pPr>
            <w:r w:rsidRPr="00DE6ACB">
              <w:t>Plan 2016.</w:t>
            </w:r>
          </w:p>
        </w:tc>
        <w:tc>
          <w:tcPr>
            <w:tcW w:w="1486" w:type="dxa"/>
            <w:shd w:val="clear" w:color="auto" w:fill="B5C0D8"/>
          </w:tcPr>
          <w:p w:rsidR="00D849AA" w:rsidRPr="00DE6ACB" w:rsidRDefault="00EE6D95">
            <w:pPr>
              <w:pStyle w:val="CellHeader"/>
            </w:pPr>
            <w:r w:rsidRPr="00DE6ACB">
              <w:t>Indeks 2014/2013</w:t>
            </w:r>
          </w:p>
        </w:tc>
      </w:tr>
      <w:tr w:rsidR="00D849AA">
        <w:trPr>
          <w:jc w:val="center"/>
        </w:trPr>
        <w:tc>
          <w:tcPr>
            <w:tcW w:w="1486" w:type="dxa"/>
          </w:tcPr>
          <w:p w:rsidR="00D849AA" w:rsidRPr="00DE6ACB" w:rsidRDefault="00EE6D95">
            <w:pPr>
              <w:pStyle w:val="CellColumn"/>
            </w:pPr>
            <w:r w:rsidRPr="00DE6ACB">
              <w:t>K553009</w:t>
            </w:r>
          </w:p>
        </w:tc>
        <w:tc>
          <w:tcPr>
            <w:tcW w:w="1486" w:type="dxa"/>
          </w:tcPr>
          <w:p w:rsidR="00D849AA" w:rsidRPr="00DE6ACB" w:rsidRDefault="00EE6D95">
            <w:pPr>
              <w:rPr>
                <w:rFonts w:ascii="Arial" w:hAnsi="Arial" w:cs="Arial"/>
              </w:rPr>
            </w:pPr>
            <w:r w:rsidRPr="00DE6ACB">
              <w:rPr>
                <w:rFonts w:ascii="Arial" w:hAnsi="Arial" w:cs="Arial"/>
              </w:rPr>
              <w:t>110.606.000</w:t>
            </w:r>
          </w:p>
        </w:tc>
        <w:tc>
          <w:tcPr>
            <w:tcW w:w="1486" w:type="dxa"/>
          </w:tcPr>
          <w:p w:rsidR="00D849AA" w:rsidRPr="00DE6ACB" w:rsidRDefault="00EE6D95">
            <w:pPr>
              <w:rPr>
                <w:rFonts w:ascii="Arial" w:hAnsi="Arial" w:cs="Arial"/>
              </w:rPr>
            </w:pPr>
            <w:r w:rsidRPr="00DE6ACB">
              <w:rPr>
                <w:rFonts w:ascii="Arial" w:hAnsi="Arial" w:cs="Arial"/>
              </w:rPr>
              <w:t>112.736.000</w:t>
            </w:r>
          </w:p>
        </w:tc>
        <w:tc>
          <w:tcPr>
            <w:tcW w:w="1486" w:type="dxa"/>
          </w:tcPr>
          <w:p w:rsidR="00D849AA" w:rsidRPr="00DE6ACB" w:rsidRDefault="00EE6D95">
            <w:pPr>
              <w:rPr>
                <w:rFonts w:ascii="Arial" w:hAnsi="Arial" w:cs="Arial"/>
              </w:rPr>
            </w:pPr>
            <w:r w:rsidRPr="00DE6ACB">
              <w:rPr>
                <w:rFonts w:ascii="Arial" w:hAnsi="Arial" w:cs="Arial"/>
              </w:rPr>
              <w:t>119.736.000</w:t>
            </w:r>
          </w:p>
        </w:tc>
        <w:tc>
          <w:tcPr>
            <w:tcW w:w="1486" w:type="dxa"/>
          </w:tcPr>
          <w:p w:rsidR="00D849AA" w:rsidRPr="00DE6ACB" w:rsidRDefault="00EE6D95">
            <w:pPr>
              <w:rPr>
                <w:rFonts w:ascii="Arial" w:hAnsi="Arial" w:cs="Arial"/>
              </w:rPr>
            </w:pPr>
            <w:r w:rsidRPr="00DE6ACB">
              <w:rPr>
                <w:rFonts w:ascii="Arial" w:hAnsi="Arial" w:cs="Arial"/>
              </w:rPr>
              <w:t>130.600.000</w:t>
            </w:r>
          </w:p>
        </w:tc>
        <w:tc>
          <w:tcPr>
            <w:tcW w:w="1486" w:type="dxa"/>
          </w:tcPr>
          <w:p w:rsidR="00D849AA" w:rsidRPr="00DE6ACB" w:rsidRDefault="00EE6D95">
            <w:pPr>
              <w:rPr>
                <w:rFonts w:ascii="Arial" w:hAnsi="Arial" w:cs="Arial"/>
              </w:rPr>
            </w:pPr>
            <w:r w:rsidRPr="00DE6ACB">
              <w:rPr>
                <w:rFonts w:ascii="Arial" w:hAnsi="Arial" w:cs="Arial"/>
              </w:rPr>
              <w:t>101,9</w:t>
            </w:r>
          </w:p>
        </w:tc>
      </w:tr>
    </w:tbl>
    <w:p w:rsidR="00D849AA" w:rsidRDefault="00D849AA">
      <w:pPr>
        <w:jc w:val="left"/>
      </w:pPr>
    </w:p>
    <w:p w:rsidR="00D849AA" w:rsidRDefault="00EE6D95">
      <w:pPr>
        <w:pStyle w:val="Normal6"/>
      </w:pPr>
      <w:r>
        <w:t>U okviru ovog projekta ministarstvo nabavlja potrebni potrošni materijal i dijelove, te streljivo za naoružanje, uredsku opremu i namještaj, policijsku opremu i odoru, instrumente, uređaje i strojeve, prijevozna sredstva u cestovnom i pomorskom prometu.</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DE6ACB" w:rsidRDefault="00EE6D95">
            <w:pPr>
              <w:rPr>
                <w:rFonts w:ascii="Arial" w:hAnsi="Arial" w:cs="Arial"/>
              </w:rPr>
            </w:pPr>
            <w:r w:rsidRPr="00DE6ACB">
              <w:rPr>
                <w:rFonts w:ascii="Arial" w:hAnsi="Arial" w:cs="Arial"/>
              </w:rPr>
              <w:t>Pokazatelj rezultata</w:t>
            </w:r>
          </w:p>
        </w:tc>
        <w:tc>
          <w:tcPr>
            <w:tcW w:w="1114" w:type="dxa"/>
            <w:shd w:val="clear" w:color="auto" w:fill="B5C0D8"/>
          </w:tcPr>
          <w:p w:rsidR="00D849AA" w:rsidRPr="00DE6ACB" w:rsidRDefault="00EE6D95">
            <w:pPr>
              <w:pStyle w:val="CellHeader"/>
            </w:pPr>
            <w:r w:rsidRPr="00DE6ACB">
              <w:t>Jedinica</w:t>
            </w:r>
          </w:p>
        </w:tc>
        <w:tc>
          <w:tcPr>
            <w:tcW w:w="1114" w:type="dxa"/>
            <w:shd w:val="clear" w:color="auto" w:fill="B5C0D8"/>
          </w:tcPr>
          <w:p w:rsidR="00D849AA" w:rsidRPr="00DE6ACB" w:rsidRDefault="00EE6D95">
            <w:pPr>
              <w:pStyle w:val="CellHeader"/>
            </w:pPr>
            <w:r w:rsidRPr="00DE6ACB">
              <w:t>Polazna vrijednost</w:t>
            </w:r>
          </w:p>
        </w:tc>
        <w:tc>
          <w:tcPr>
            <w:tcW w:w="1486" w:type="dxa"/>
            <w:shd w:val="clear" w:color="auto" w:fill="B5C0D8"/>
          </w:tcPr>
          <w:p w:rsidR="00D849AA" w:rsidRPr="00DE6ACB" w:rsidRDefault="00EE6D95">
            <w:pPr>
              <w:pStyle w:val="CellHeader"/>
            </w:pPr>
            <w:r w:rsidRPr="00DE6ACB">
              <w:t>Ciljana vrijednost (2014.)</w:t>
            </w:r>
          </w:p>
        </w:tc>
        <w:tc>
          <w:tcPr>
            <w:tcW w:w="1486" w:type="dxa"/>
            <w:shd w:val="clear" w:color="auto" w:fill="B5C0D8"/>
          </w:tcPr>
          <w:p w:rsidR="00D849AA" w:rsidRPr="00DE6ACB" w:rsidRDefault="00EE6D95">
            <w:pPr>
              <w:pStyle w:val="CellHeader"/>
            </w:pPr>
            <w:r w:rsidRPr="00DE6ACB">
              <w:t>Ciljana vrijednost (2015.)</w:t>
            </w:r>
          </w:p>
        </w:tc>
        <w:tc>
          <w:tcPr>
            <w:tcW w:w="1486" w:type="dxa"/>
            <w:shd w:val="clear" w:color="auto" w:fill="B5C0D8"/>
          </w:tcPr>
          <w:p w:rsidR="00D849AA" w:rsidRPr="00DE6ACB" w:rsidRDefault="00EE6D95">
            <w:pPr>
              <w:pStyle w:val="CellHeader"/>
            </w:pPr>
            <w:r w:rsidRPr="00DE6ACB">
              <w:t>Ciljana vrijednost (2016.)</w:t>
            </w:r>
          </w:p>
        </w:tc>
      </w:tr>
      <w:tr w:rsidR="00D849AA">
        <w:trPr>
          <w:jc w:val="center"/>
        </w:trPr>
        <w:tc>
          <w:tcPr>
            <w:tcW w:w="2229" w:type="dxa"/>
          </w:tcPr>
          <w:p w:rsidR="00D849AA" w:rsidRPr="00DE6ACB" w:rsidRDefault="00EE6D95">
            <w:pPr>
              <w:pStyle w:val="CellColumn"/>
            </w:pPr>
            <w:r w:rsidRPr="00DE6ACB">
              <w:t>Broj razriješenih teških i teže razrješivih kaznenih djela</w:t>
            </w:r>
          </w:p>
        </w:tc>
        <w:tc>
          <w:tcPr>
            <w:tcW w:w="1114" w:type="dxa"/>
          </w:tcPr>
          <w:p w:rsidR="00D849AA" w:rsidRPr="00DE6ACB" w:rsidRDefault="00EE6D95">
            <w:pPr>
              <w:rPr>
                <w:rFonts w:ascii="Arial" w:hAnsi="Arial" w:cs="Arial"/>
              </w:rPr>
            </w:pPr>
            <w:r w:rsidRPr="00DE6ACB">
              <w:rPr>
                <w:rFonts w:ascii="Arial" w:hAnsi="Arial" w:cs="Arial"/>
              </w:rPr>
              <w:t>Broj</w:t>
            </w:r>
          </w:p>
        </w:tc>
        <w:tc>
          <w:tcPr>
            <w:tcW w:w="1114" w:type="dxa"/>
          </w:tcPr>
          <w:p w:rsidR="00D849AA" w:rsidRPr="00DE6ACB" w:rsidRDefault="00EE6D95">
            <w:pPr>
              <w:rPr>
                <w:rFonts w:ascii="Arial" w:hAnsi="Arial" w:cs="Arial"/>
              </w:rPr>
            </w:pPr>
            <w:r w:rsidRPr="00DE6ACB">
              <w:rPr>
                <w:rFonts w:ascii="Arial" w:hAnsi="Arial" w:cs="Arial"/>
              </w:rPr>
              <w:t>7.097</w:t>
            </w:r>
          </w:p>
        </w:tc>
        <w:tc>
          <w:tcPr>
            <w:tcW w:w="1486" w:type="dxa"/>
          </w:tcPr>
          <w:p w:rsidR="00D849AA" w:rsidRPr="00DE6ACB" w:rsidRDefault="00EE6D95">
            <w:pPr>
              <w:rPr>
                <w:rFonts w:ascii="Arial" w:hAnsi="Arial" w:cs="Arial"/>
              </w:rPr>
            </w:pPr>
            <w:r w:rsidRPr="00DE6ACB">
              <w:rPr>
                <w:rFonts w:ascii="Arial" w:hAnsi="Arial" w:cs="Arial"/>
              </w:rPr>
              <w:t>7.820</w:t>
            </w:r>
          </w:p>
        </w:tc>
        <w:tc>
          <w:tcPr>
            <w:tcW w:w="1486" w:type="dxa"/>
          </w:tcPr>
          <w:p w:rsidR="00D849AA" w:rsidRPr="00DE6ACB" w:rsidRDefault="00EE6D95">
            <w:pPr>
              <w:rPr>
                <w:rFonts w:ascii="Arial" w:hAnsi="Arial" w:cs="Arial"/>
              </w:rPr>
            </w:pPr>
            <w:r w:rsidRPr="00DE6ACB">
              <w:rPr>
                <w:rFonts w:ascii="Arial" w:hAnsi="Arial" w:cs="Arial"/>
              </w:rPr>
              <w:t>8.210</w:t>
            </w:r>
          </w:p>
        </w:tc>
        <w:tc>
          <w:tcPr>
            <w:tcW w:w="1486" w:type="dxa"/>
          </w:tcPr>
          <w:p w:rsidR="00D849AA" w:rsidRPr="00DE6ACB" w:rsidRDefault="00EE6D95">
            <w:pPr>
              <w:rPr>
                <w:rFonts w:ascii="Arial" w:hAnsi="Arial" w:cs="Arial"/>
              </w:rPr>
            </w:pPr>
            <w:r w:rsidRPr="00DE6ACB">
              <w:rPr>
                <w:rFonts w:ascii="Arial" w:hAnsi="Arial" w:cs="Arial"/>
              </w:rPr>
              <w:t>8.620</w:t>
            </w:r>
          </w:p>
        </w:tc>
      </w:tr>
      <w:tr w:rsidR="00D849AA">
        <w:trPr>
          <w:jc w:val="center"/>
        </w:trPr>
        <w:tc>
          <w:tcPr>
            <w:tcW w:w="2229" w:type="dxa"/>
          </w:tcPr>
          <w:p w:rsidR="00D849AA" w:rsidRPr="00DE6ACB" w:rsidRDefault="00EE6D95">
            <w:pPr>
              <w:pStyle w:val="CellColumn"/>
            </w:pPr>
            <w:r w:rsidRPr="00DE6ACB">
              <w:t>Broj izgreda na sportskim natjecanjima</w:t>
            </w:r>
          </w:p>
        </w:tc>
        <w:tc>
          <w:tcPr>
            <w:tcW w:w="1114" w:type="dxa"/>
          </w:tcPr>
          <w:p w:rsidR="00D849AA" w:rsidRPr="00DE6ACB" w:rsidRDefault="00EE6D95">
            <w:pPr>
              <w:rPr>
                <w:rFonts w:ascii="Arial" w:hAnsi="Arial" w:cs="Arial"/>
              </w:rPr>
            </w:pPr>
            <w:r w:rsidRPr="00DE6ACB">
              <w:rPr>
                <w:rFonts w:ascii="Arial" w:hAnsi="Arial" w:cs="Arial"/>
              </w:rPr>
              <w:t>Broj</w:t>
            </w:r>
          </w:p>
        </w:tc>
        <w:tc>
          <w:tcPr>
            <w:tcW w:w="1114" w:type="dxa"/>
          </w:tcPr>
          <w:p w:rsidR="00D849AA" w:rsidRPr="00DE6ACB" w:rsidRDefault="00EE6D95">
            <w:pPr>
              <w:rPr>
                <w:rFonts w:ascii="Arial" w:hAnsi="Arial" w:cs="Arial"/>
              </w:rPr>
            </w:pPr>
            <w:r w:rsidRPr="00DE6ACB">
              <w:rPr>
                <w:rFonts w:ascii="Arial" w:hAnsi="Arial" w:cs="Arial"/>
              </w:rPr>
              <w:t>100</w:t>
            </w:r>
          </w:p>
        </w:tc>
        <w:tc>
          <w:tcPr>
            <w:tcW w:w="1486" w:type="dxa"/>
          </w:tcPr>
          <w:p w:rsidR="00D849AA" w:rsidRPr="00DE6ACB" w:rsidRDefault="00EE6D95">
            <w:pPr>
              <w:rPr>
                <w:rFonts w:ascii="Arial" w:hAnsi="Arial" w:cs="Arial"/>
              </w:rPr>
            </w:pPr>
            <w:r w:rsidRPr="00DE6ACB">
              <w:rPr>
                <w:rFonts w:ascii="Arial" w:hAnsi="Arial" w:cs="Arial"/>
              </w:rPr>
              <w:t>80</w:t>
            </w:r>
          </w:p>
        </w:tc>
        <w:tc>
          <w:tcPr>
            <w:tcW w:w="1486" w:type="dxa"/>
          </w:tcPr>
          <w:p w:rsidR="00D849AA" w:rsidRPr="00DE6ACB" w:rsidRDefault="00EE6D95">
            <w:pPr>
              <w:rPr>
                <w:rFonts w:ascii="Arial" w:hAnsi="Arial" w:cs="Arial"/>
              </w:rPr>
            </w:pPr>
            <w:r w:rsidRPr="00DE6ACB">
              <w:rPr>
                <w:rFonts w:ascii="Arial" w:hAnsi="Arial" w:cs="Arial"/>
              </w:rPr>
              <w:t>70</w:t>
            </w:r>
          </w:p>
        </w:tc>
        <w:tc>
          <w:tcPr>
            <w:tcW w:w="1486" w:type="dxa"/>
          </w:tcPr>
          <w:p w:rsidR="00D849AA" w:rsidRPr="00DE6ACB" w:rsidRDefault="00EE6D95">
            <w:pPr>
              <w:rPr>
                <w:rFonts w:ascii="Arial" w:hAnsi="Arial" w:cs="Arial"/>
              </w:rPr>
            </w:pPr>
            <w:r w:rsidRPr="00DE6ACB">
              <w:rPr>
                <w:rFonts w:ascii="Arial" w:hAnsi="Arial" w:cs="Arial"/>
              </w:rPr>
              <w:t>75</w:t>
            </w:r>
          </w:p>
        </w:tc>
      </w:tr>
    </w:tbl>
    <w:p w:rsidR="00D849AA" w:rsidRDefault="00D849AA">
      <w:pPr>
        <w:jc w:val="left"/>
      </w:pPr>
    </w:p>
    <w:p w:rsidR="00D849AA" w:rsidRDefault="00EE6D95">
      <w:pPr>
        <w:pStyle w:val="Naslov6"/>
      </w:pPr>
      <w:r>
        <w:t>K553087 MIROVNE MISIJE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DE6ACB" w:rsidRDefault="00EE6D95">
            <w:pPr>
              <w:pStyle w:val="CellHeader"/>
            </w:pPr>
            <w:r w:rsidRPr="00DE6ACB">
              <w:t>Naziv aktivnosti</w:t>
            </w:r>
          </w:p>
        </w:tc>
        <w:tc>
          <w:tcPr>
            <w:tcW w:w="1486" w:type="dxa"/>
            <w:shd w:val="clear" w:color="auto" w:fill="B5C0D8"/>
          </w:tcPr>
          <w:p w:rsidR="00D849AA" w:rsidRPr="00DE6ACB" w:rsidRDefault="00EE6D95">
            <w:pPr>
              <w:pStyle w:val="CellHeader"/>
            </w:pPr>
            <w:r w:rsidRPr="00DE6ACB">
              <w:t>Plan 2013.</w:t>
            </w:r>
          </w:p>
        </w:tc>
        <w:tc>
          <w:tcPr>
            <w:tcW w:w="1486" w:type="dxa"/>
            <w:shd w:val="clear" w:color="auto" w:fill="B5C0D8"/>
          </w:tcPr>
          <w:p w:rsidR="00D849AA" w:rsidRPr="00DE6ACB" w:rsidRDefault="00EE6D95">
            <w:pPr>
              <w:pStyle w:val="CellHeader"/>
            </w:pPr>
            <w:r w:rsidRPr="00DE6ACB">
              <w:t>Plan 2014.</w:t>
            </w:r>
          </w:p>
        </w:tc>
        <w:tc>
          <w:tcPr>
            <w:tcW w:w="1486" w:type="dxa"/>
            <w:shd w:val="clear" w:color="auto" w:fill="B5C0D8"/>
          </w:tcPr>
          <w:p w:rsidR="00D849AA" w:rsidRPr="00DE6ACB" w:rsidRDefault="00EE6D95">
            <w:pPr>
              <w:pStyle w:val="CellHeader"/>
            </w:pPr>
            <w:r w:rsidRPr="00DE6ACB">
              <w:t>Plan 2015.</w:t>
            </w:r>
          </w:p>
        </w:tc>
        <w:tc>
          <w:tcPr>
            <w:tcW w:w="1486" w:type="dxa"/>
            <w:shd w:val="clear" w:color="auto" w:fill="B5C0D8"/>
          </w:tcPr>
          <w:p w:rsidR="00D849AA" w:rsidRPr="00DE6ACB" w:rsidRDefault="00EE6D95">
            <w:pPr>
              <w:pStyle w:val="CellHeader"/>
            </w:pPr>
            <w:r w:rsidRPr="00DE6ACB">
              <w:t>Plan 2016.</w:t>
            </w:r>
          </w:p>
        </w:tc>
        <w:tc>
          <w:tcPr>
            <w:tcW w:w="1486" w:type="dxa"/>
            <w:shd w:val="clear" w:color="auto" w:fill="B5C0D8"/>
          </w:tcPr>
          <w:p w:rsidR="00D849AA" w:rsidRPr="00DE6ACB" w:rsidRDefault="00EE6D95">
            <w:pPr>
              <w:pStyle w:val="CellHeader"/>
            </w:pPr>
            <w:r w:rsidRPr="00DE6ACB">
              <w:t>Indeks 2014/2013</w:t>
            </w:r>
          </w:p>
        </w:tc>
      </w:tr>
      <w:tr w:rsidR="00D849AA">
        <w:trPr>
          <w:jc w:val="center"/>
        </w:trPr>
        <w:tc>
          <w:tcPr>
            <w:tcW w:w="1486" w:type="dxa"/>
          </w:tcPr>
          <w:p w:rsidR="00D849AA" w:rsidRPr="00DE6ACB" w:rsidRDefault="00EE6D95">
            <w:pPr>
              <w:pStyle w:val="CellColumn"/>
            </w:pPr>
            <w:r w:rsidRPr="00DE6ACB">
              <w:t>K553087</w:t>
            </w:r>
          </w:p>
        </w:tc>
        <w:tc>
          <w:tcPr>
            <w:tcW w:w="1486" w:type="dxa"/>
          </w:tcPr>
          <w:p w:rsidR="00D849AA" w:rsidRPr="00DE6ACB" w:rsidRDefault="00EE6D95">
            <w:pPr>
              <w:rPr>
                <w:rFonts w:ascii="Arial" w:hAnsi="Arial" w:cs="Arial"/>
              </w:rPr>
            </w:pPr>
            <w:r w:rsidRPr="00DE6ACB">
              <w:rPr>
                <w:rFonts w:ascii="Arial" w:hAnsi="Arial" w:cs="Arial"/>
              </w:rPr>
              <w:t>5.677.000</w:t>
            </w:r>
          </w:p>
        </w:tc>
        <w:tc>
          <w:tcPr>
            <w:tcW w:w="1486" w:type="dxa"/>
          </w:tcPr>
          <w:p w:rsidR="00D849AA" w:rsidRPr="00DE6ACB" w:rsidRDefault="00EE6D95">
            <w:pPr>
              <w:rPr>
                <w:rFonts w:ascii="Arial" w:hAnsi="Arial" w:cs="Arial"/>
              </w:rPr>
            </w:pPr>
            <w:r w:rsidRPr="00DE6ACB">
              <w:rPr>
                <w:rFonts w:ascii="Arial" w:hAnsi="Arial" w:cs="Arial"/>
              </w:rPr>
              <w:t>4.673.000</w:t>
            </w:r>
          </w:p>
        </w:tc>
        <w:tc>
          <w:tcPr>
            <w:tcW w:w="1486" w:type="dxa"/>
          </w:tcPr>
          <w:p w:rsidR="00D849AA" w:rsidRPr="00DE6ACB" w:rsidRDefault="00EE6D95">
            <w:pPr>
              <w:rPr>
                <w:rFonts w:ascii="Arial" w:hAnsi="Arial" w:cs="Arial"/>
              </w:rPr>
            </w:pPr>
            <w:r w:rsidRPr="00DE6ACB">
              <w:rPr>
                <w:rFonts w:ascii="Arial" w:hAnsi="Arial" w:cs="Arial"/>
              </w:rPr>
              <w:t>5.673.000</w:t>
            </w:r>
          </w:p>
        </w:tc>
        <w:tc>
          <w:tcPr>
            <w:tcW w:w="1486" w:type="dxa"/>
          </w:tcPr>
          <w:p w:rsidR="00D849AA" w:rsidRPr="00DE6ACB" w:rsidRDefault="00EE6D95">
            <w:pPr>
              <w:rPr>
                <w:rFonts w:ascii="Arial" w:hAnsi="Arial" w:cs="Arial"/>
              </w:rPr>
            </w:pPr>
            <w:r w:rsidRPr="00DE6ACB">
              <w:rPr>
                <w:rFonts w:ascii="Arial" w:hAnsi="Arial" w:cs="Arial"/>
              </w:rPr>
              <w:t>5.673.000</w:t>
            </w:r>
          </w:p>
        </w:tc>
        <w:tc>
          <w:tcPr>
            <w:tcW w:w="1486" w:type="dxa"/>
          </w:tcPr>
          <w:p w:rsidR="00D849AA" w:rsidRPr="00DE6ACB" w:rsidRDefault="00EE6D95">
            <w:pPr>
              <w:rPr>
                <w:rFonts w:ascii="Arial" w:hAnsi="Arial" w:cs="Arial"/>
              </w:rPr>
            </w:pPr>
            <w:r w:rsidRPr="00DE6ACB">
              <w:rPr>
                <w:rFonts w:ascii="Arial" w:hAnsi="Arial" w:cs="Arial"/>
              </w:rPr>
              <w:t>82,3</w:t>
            </w:r>
          </w:p>
        </w:tc>
      </w:tr>
    </w:tbl>
    <w:p w:rsidR="00D849AA" w:rsidRDefault="00D849AA">
      <w:pPr>
        <w:jc w:val="left"/>
      </w:pPr>
    </w:p>
    <w:p w:rsidR="00D849AA" w:rsidRDefault="00EE6D95">
      <w:pPr>
        <w:pStyle w:val="Normal6"/>
      </w:pPr>
      <w:r>
        <w:t xml:space="preserve">U sklopu ovog projekta se financiraju aktivnosti policijskih časnika za vezu. Policijski časnici za vezu su detaširani policijski službenici u policijskom tijelu države primateljice, međunarodnoj organizaciji ili diplomatskom odnosno konzularnom predstavništvu Republike Hrvatske, upućeni radi učinkovite suradnje s policijom i drugim tijelima države primateljice. </w:t>
      </w:r>
    </w:p>
    <w:p w:rsidR="00D849AA" w:rsidRDefault="00EE6D95">
      <w:pPr>
        <w:pStyle w:val="Normal6"/>
      </w:pPr>
      <w:r>
        <w:t>Način i opseg djelovanja policijskih časnika za vezu temelji se na odredbama važećih bilateralnih i multilateralnih međunarodnih ugovora u RH. Časnici za vezu zastupaju interese hrvatske policije, uspostavljaju, potiču i razvijaju međunarodnu policijsku suradnju, dogovaraju djelovanje, prikupljaju, vrednuju, analiziraju i razmjenjuju informacije potrebne za postupanje policije, prate stanje javne sigurnosti u državi ili regiji države primateljice na području suzbijanja kriminaliteta, a poglavito na suzbijanju organiziranog kriminaliteta, kriminaliteta opojnih droga, terorizma i drugih oblika prekograničnog kriminaliteta,</w:t>
      </w:r>
      <w:r w:rsidR="0067431F">
        <w:t xml:space="preserve"> </w:t>
      </w:r>
      <w:r>
        <w:t xml:space="preserve"> kao i problematike na području poslova nadzora državne granice, suzbijanja nezakonitih migracija, stanja javnog reda i sigurnosti prometa, djeluju na području prevencije, vode brigu o redovitoj razmjeni informacija s nadležnim tijelima u državi primateljici, pomažu u postupku međunarodne pravne pomoći u kaznenim predmetima i po potrebi pomažu drugim tijelima progona. </w:t>
      </w:r>
    </w:p>
    <w:p w:rsidR="00D849AA" w:rsidRDefault="00EE6D95">
      <w:pPr>
        <w:pStyle w:val="Normal6"/>
      </w:pPr>
      <w:r>
        <w:t xml:space="preserve">Sudjelovanje policijskih službenika u međunarodnim mirovnim operacijama u skladu je sa strateškim ciljevima Republike Hrvatske, koji joj omogućavaju profiliranje kao odgovorne </w:t>
      </w:r>
      <w:r>
        <w:lastRenderedPageBreak/>
        <w:t xml:space="preserve">članice međunarodne zajednice. Dosadašnje aktivno sudjelovanje u mirovnim operacijama doprinjelo je ostvarenju strateških ciljeva članstva u NATO-u i Europskoj uniji. </w:t>
      </w:r>
    </w:p>
    <w:p w:rsidR="00D849AA" w:rsidRDefault="00EE6D95">
      <w:pPr>
        <w:pStyle w:val="Normal6"/>
      </w:pPr>
      <w:r>
        <w:t>Kroz ovaj projekt financirati će se troškovi policijskih službenika koji sudjeluju ili će sudjelovati u mirovnim misijama u slijedećim državama: Kosovo (UNMICI) i Cipar (UNFICYP).</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DE6ACB" w:rsidRDefault="00EE6D95">
            <w:pPr>
              <w:rPr>
                <w:rFonts w:ascii="Arial" w:hAnsi="Arial" w:cs="Arial"/>
              </w:rPr>
            </w:pPr>
            <w:r w:rsidRPr="00DE6ACB">
              <w:rPr>
                <w:rFonts w:ascii="Arial" w:hAnsi="Arial" w:cs="Arial"/>
              </w:rPr>
              <w:t>Pokazatelj rezultata</w:t>
            </w:r>
          </w:p>
        </w:tc>
        <w:tc>
          <w:tcPr>
            <w:tcW w:w="1114" w:type="dxa"/>
            <w:shd w:val="clear" w:color="auto" w:fill="B5C0D8"/>
          </w:tcPr>
          <w:p w:rsidR="00D849AA" w:rsidRPr="00DE6ACB" w:rsidRDefault="00EE6D95">
            <w:pPr>
              <w:pStyle w:val="CellHeader"/>
            </w:pPr>
            <w:r w:rsidRPr="00DE6ACB">
              <w:t>Jedinica</w:t>
            </w:r>
          </w:p>
        </w:tc>
        <w:tc>
          <w:tcPr>
            <w:tcW w:w="1114" w:type="dxa"/>
            <w:shd w:val="clear" w:color="auto" w:fill="B5C0D8"/>
          </w:tcPr>
          <w:p w:rsidR="00D849AA" w:rsidRPr="00DE6ACB" w:rsidRDefault="00EE6D95">
            <w:pPr>
              <w:pStyle w:val="CellHeader"/>
            </w:pPr>
            <w:r w:rsidRPr="00DE6ACB">
              <w:t>Polazna vrijednost</w:t>
            </w:r>
          </w:p>
        </w:tc>
        <w:tc>
          <w:tcPr>
            <w:tcW w:w="1486" w:type="dxa"/>
            <w:shd w:val="clear" w:color="auto" w:fill="B5C0D8"/>
          </w:tcPr>
          <w:p w:rsidR="00D849AA" w:rsidRPr="00DE6ACB" w:rsidRDefault="00EE6D95">
            <w:pPr>
              <w:pStyle w:val="CellHeader"/>
            </w:pPr>
            <w:r w:rsidRPr="00DE6ACB">
              <w:t>Ciljana vrijednost (2014.)</w:t>
            </w:r>
          </w:p>
        </w:tc>
        <w:tc>
          <w:tcPr>
            <w:tcW w:w="1486" w:type="dxa"/>
            <w:shd w:val="clear" w:color="auto" w:fill="B5C0D8"/>
          </w:tcPr>
          <w:p w:rsidR="00D849AA" w:rsidRPr="00DE6ACB" w:rsidRDefault="00EE6D95">
            <w:pPr>
              <w:pStyle w:val="CellHeader"/>
            </w:pPr>
            <w:r w:rsidRPr="00DE6ACB">
              <w:t>Ciljana vrijednost (2015.)</w:t>
            </w:r>
          </w:p>
        </w:tc>
        <w:tc>
          <w:tcPr>
            <w:tcW w:w="1486" w:type="dxa"/>
            <w:shd w:val="clear" w:color="auto" w:fill="B5C0D8"/>
          </w:tcPr>
          <w:p w:rsidR="00D849AA" w:rsidRPr="00DE6ACB" w:rsidRDefault="00EE6D95">
            <w:pPr>
              <w:pStyle w:val="CellHeader"/>
            </w:pPr>
            <w:r w:rsidRPr="00DE6ACB">
              <w:t>Ciljana vrijednost (2016.)</w:t>
            </w:r>
          </w:p>
        </w:tc>
      </w:tr>
      <w:tr w:rsidR="00D849AA">
        <w:trPr>
          <w:jc w:val="center"/>
        </w:trPr>
        <w:tc>
          <w:tcPr>
            <w:tcW w:w="2229" w:type="dxa"/>
          </w:tcPr>
          <w:p w:rsidR="00D849AA" w:rsidRPr="00DE6ACB" w:rsidRDefault="00EE6D95">
            <w:pPr>
              <w:pStyle w:val="CellColumn"/>
            </w:pPr>
            <w:r w:rsidRPr="00DE6ACB">
              <w:t>Sudjelovanje u međunarodnim mirovnim operacijama prema broju upućenih policijskih službenika</w:t>
            </w:r>
          </w:p>
        </w:tc>
        <w:tc>
          <w:tcPr>
            <w:tcW w:w="1114" w:type="dxa"/>
          </w:tcPr>
          <w:p w:rsidR="00D849AA" w:rsidRPr="00DE6ACB" w:rsidRDefault="00EE6D95">
            <w:pPr>
              <w:rPr>
                <w:rFonts w:ascii="Arial" w:hAnsi="Arial" w:cs="Arial"/>
              </w:rPr>
            </w:pPr>
            <w:r w:rsidRPr="00DE6ACB">
              <w:rPr>
                <w:rFonts w:ascii="Arial" w:hAnsi="Arial" w:cs="Arial"/>
              </w:rPr>
              <w:t>Broj</w:t>
            </w:r>
          </w:p>
        </w:tc>
        <w:tc>
          <w:tcPr>
            <w:tcW w:w="1114" w:type="dxa"/>
          </w:tcPr>
          <w:p w:rsidR="00D849AA" w:rsidRPr="00DE6ACB" w:rsidRDefault="00EE6D95">
            <w:pPr>
              <w:rPr>
                <w:rFonts w:ascii="Arial" w:hAnsi="Arial" w:cs="Arial"/>
              </w:rPr>
            </w:pPr>
            <w:r w:rsidRPr="00DE6ACB">
              <w:rPr>
                <w:rFonts w:ascii="Arial" w:hAnsi="Arial" w:cs="Arial"/>
              </w:rPr>
              <w:t>159</w:t>
            </w:r>
          </w:p>
        </w:tc>
        <w:tc>
          <w:tcPr>
            <w:tcW w:w="1486" w:type="dxa"/>
          </w:tcPr>
          <w:p w:rsidR="00D849AA" w:rsidRPr="00DE6ACB" w:rsidRDefault="00EE6D95">
            <w:pPr>
              <w:rPr>
                <w:rFonts w:ascii="Arial" w:hAnsi="Arial" w:cs="Arial"/>
              </w:rPr>
            </w:pPr>
            <w:r w:rsidRPr="00DE6ACB">
              <w:rPr>
                <w:rFonts w:ascii="Arial" w:hAnsi="Arial" w:cs="Arial"/>
              </w:rPr>
              <w:t>179</w:t>
            </w:r>
          </w:p>
        </w:tc>
        <w:tc>
          <w:tcPr>
            <w:tcW w:w="1486" w:type="dxa"/>
          </w:tcPr>
          <w:p w:rsidR="00D849AA" w:rsidRPr="00DE6ACB" w:rsidRDefault="00EE6D95">
            <w:pPr>
              <w:rPr>
                <w:rFonts w:ascii="Arial" w:hAnsi="Arial" w:cs="Arial"/>
              </w:rPr>
            </w:pPr>
            <w:r w:rsidRPr="00DE6ACB">
              <w:rPr>
                <w:rFonts w:ascii="Arial" w:hAnsi="Arial" w:cs="Arial"/>
              </w:rPr>
              <w:t>199</w:t>
            </w:r>
          </w:p>
        </w:tc>
        <w:tc>
          <w:tcPr>
            <w:tcW w:w="1486" w:type="dxa"/>
          </w:tcPr>
          <w:p w:rsidR="00D849AA" w:rsidRPr="00DE6ACB" w:rsidRDefault="00EE6D95">
            <w:pPr>
              <w:rPr>
                <w:rFonts w:ascii="Arial" w:hAnsi="Arial" w:cs="Arial"/>
              </w:rPr>
            </w:pPr>
            <w:r w:rsidRPr="00DE6ACB">
              <w:rPr>
                <w:rFonts w:ascii="Arial" w:hAnsi="Arial" w:cs="Arial"/>
              </w:rPr>
              <w:t>219</w:t>
            </w:r>
          </w:p>
        </w:tc>
      </w:tr>
    </w:tbl>
    <w:p w:rsidR="00D849AA" w:rsidRDefault="00D849AA">
      <w:pPr>
        <w:jc w:val="left"/>
      </w:pPr>
    </w:p>
    <w:p w:rsidR="00D849AA" w:rsidRDefault="00EE6D95">
      <w:pPr>
        <w:pStyle w:val="Naslov6"/>
      </w:pPr>
      <w:r>
        <w:t>K553092 NACIONALNI PROGRAM SIGURNOSTI CESTOVNOG PROMETA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DE6ACB" w:rsidRDefault="00EE6D95">
            <w:pPr>
              <w:pStyle w:val="CellHeader"/>
            </w:pPr>
            <w:r w:rsidRPr="00DE6ACB">
              <w:t>Naziv aktivnosti</w:t>
            </w:r>
          </w:p>
        </w:tc>
        <w:tc>
          <w:tcPr>
            <w:tcW w:w="1486" w:type="dxa"/>
            <w:shd w:val="clear" w:color="auto" w:fill="B5C0D8"/>
          </w:tcPr>
          <w:p w:rsidR="00D849AA" w:rsidRPr="00DE6ACB" w:rsidRDefault="00EE6D95">
            <w:pPr>
              <w:pStyle w:val="CellHeader"/>
            </w:pPr>
            <w:r w:rsidRPr="00DE6ACB">
              <w:t>Plan 2013.</w:t>
            </w:r>
          </w:p>
        </w:tc>
        <w:tc>
          <w:tcPr>
            <w:tcW w:w="1486" w:type="dxa"/>
            <w:shd w:val="clear" w:color="auto" w:fill="B5C0D8"/>
          </w:tcPr>
          <w:p w:rsidR="00D849AA" w:rsidRPr="00DE6ACB" w:rsidRDefault="00EE6D95">
            <w:pPr>
              <w:pStyle w:val="CellHeader"/>
            </w:pPr>
            <w:r w:rsidRPr="00DE6ACB">
              <w:t>Plan 2014.</w:t>
            </w:r>
          </w:p>
        </w:tc>
        <w:tc>
          <w:tcPr>
            <w:tcW w:w="1486" w:type="dxa"/>
            <w:shd w:val="clear" w:color="auto" w:fill="B5C0D8"/>
          </w:tcPr>
          <w:p w:rsidR="00D849AA" w:rsidRPr="00DE6ACB" w:rsidRDefault="00EE6D95">
            <w:pPr>
              <w:pStyle w:val="CellHeader"/>
            </w:pPr>
            <w:r w:rsidRPr="00DE6ACB">
              <w:t>Plan 2015.</w:t>
            </w:r>
          </w:p>
        </w:tc>
        <w:tc>
          <w:tcPr>
            <w:tcW w:w="1486" w:type="dxa"/>
            <w:shd w:val="clear" w:color="auto" w:fill="B5C0D8"/>
          </w:tcPr>
          <w:p w:rsidR="00D849AA" w:rsidRPr="00DE6ACB" w:rsidRDefault="00EE6D95">
            <w:pPr>
              <w:pStyle w:val="CellHeader"/>
            </w:pPr>
            <w:r w:rsidRPr="00DE6ACB">
              <w:t>Plan 2016.</w:t>
            </w:r>
          </w:p>
        </w:tc>
        <w:tc>
          <w:tcPr>
            <w:tcW w:w="1486" w:type="dxa"/>
            <w:shd w:val="clear" w:color="auto" w:fill="B5C0D8"/>
          </w:tcPr>
          <w:p w:rsidR="00D849AA" w:rsidRPr="00DE6ACB" w:rsidRDefault="00EE6D95">
            <w:pPr>
              <w:pStyle w:val="CellHeader"/>
            </w:pPr>
            <w:r w:rsidRPr="00DE6ACB">
              <w:t>Indeks 2014/2013</w:t>
            </w:r>
          </w:p>
        </w:tc>
      </w:tr>
      <w:tr w:rsidR="00D849AA">
        <w:trPr>
          <w:jc w:val="center"/>
        </w:trPr>
        <w:tc>
          <w:tcPr>
            <w:tcW w:w="1486" w:type="dxa"/>
          </w:tcPr>
          <w:p w:rsidR="00D849AA" w:rsidRPr="00DE6ACB" w:rsidRDefault="00EE6D95">
            <w:pPr>
              <w:pStyle w:val="CellColumn"/>
            </w:pPr>
            <w:r w:rsidRPr="00DE6ACB">
              <w:t>K553092</w:t>
            </w:r>
          </w:p>
        </w:tc>
        <w:tc>
          <w:tcPr>
            <w:tcW w:w="1486" w:type="dxa"/>
          </w:tcPr>
          <w:p w:rsidR="00D849AA" w:rsidRPr="00DE6ACB" w:rsidRDefault="00EE6D95">
            <w:pPr>
              <w:rPr>
                <w:rFonts w:ascii="Arial" w:hAnsi="Arial" w:cs="Arial"/>
              </w:rPr>
            </w:pPr>
            <w:r w:rsidRPr="00DE6ACB">
              <w:rPr>
                <w:rFonts w:ascii="Arial" w:hAnsi="Arial" w:cs="Arial"/>
              </w:rPr>
              <w:t>40.000.000</w:t>
            </w:r>
          </w:p>
        </w:tc>
        <w:tc>
          <w:tcPr>
            <w:tcW w:w="1486" w:type="dxa"/>
          </w:tcPr>
          <w:p w:rsidR="00D849AA" w:rsidRPr="00DE6ACB" w:rsidRDefault="00EE6D95">
            <w:pPr>
              <w:rPr>
                <w:rFonts w:ascii="Arial" w:hAnsi="Arial" w:cs="Arial"/>
              </w:rPr>
            </w:pPr>
            <w:r w:rsidRPr="00DE6ACB">
              <w:rPr>
                <w:rFonts w:ascii="Arial" w:hAnsi="Arial" w:cs="Arial"/>
              </w:rPr>
              <w:t>40.000.000</w:t>
            </w:r>
          </w:p>
        </w:tc>
        <w:tc>
          <w:tcPr>
            <w:tcW w:w="1486" w:type="dxa"/>
          </w:tcPr>
          <w:p w:rsidR="00D849AA" w:rsidRPr="00DE6ACB" w:rsidRDefault="00EE6D95">
            <w:pPr>
              <w:rPr>
                <w:rFonts w:ascii="Arial" w:hAnsi="Arial" w:cs="Arial"/>
              </w:rPr>
            </w:pPr>
            <w:r w:rsidRPr="00DE6ACB">
              <w:rPr>
                <w:rFonts w:ascii="Arial" w:hAnsi="Arial" w:cs="Arial"/>
              </w:rPr>
              <w:t>40.000.000</w:t>
            </w:r>
          </w:p>
        </w:tc>
        <w:tc>
          <w:tcPr>
            <w:tcW w:w="1486" w:type="dxa"/>
          </w:tcPr>
          <w:p w:rsidR="00D849AA" w:rsidRPr="00DE6ACB" w:rsidRDefault="00EE6D95">
            <w:pPr>
              <w:rPr>
                <w:rFonts w:ascii="Arial" w:hAnsi="Arial" w:cs="Arial"/>
              </w:rPr>
            </w:pPr>
            <w:r w:rsidRPr="00DE6ACB">
              <w:rPr>
                <w:rFonts w:ascii="Arial" w:hAnsi="Arial" w:cs="Arial"/>
              </w:rPr>
              <w:t>40.000.000</w:t>
            </w:r>
          </w:p>
        </w:tc>
        <w:tc>
          <w:tcPr>
            <w:tcW w:w="1486" w:type="dxa"/>
          </w:tcPr>
          <w:p w:rsidR="00D849AA" w:rsidRPr="00DE6ACB" w:rsidRDefault="00EE6D95">
            <w:pPr>
              <w:rPr>
                <w:rFonts w:ascii="Arial" w:hAnsi="Arial" w:cs="Arial"/>
              </w:rPr>
            </w:pPr>
            <w:r w:rsidRPr="00DE6ACB">
              <w:rPr>
                <w:rFonts w:ascii="Arial" w:hAnsi="Arial" w:cs="Arial"/>
              </w:rPr>
              <w:t>100,0</w:t>
            </w:r>
          </w:p>
        </w:tc>
      </w:tr>
    </w:tbl>
    <w:p w:rsidR="00D849AA" w:rsidRDefault="00D849AA">
      <w:pPr>
        <w:jc w:val="left"/>
      </w:pPr>
    </w:p>
    <w:p w:rsidR="00D849AA" w:rsidRDefault="00EE6D95">
      <w:pPr>
        <w:pStyle w:val="Normal6"/>
      </w:pPr>
      <w:r>
        <w:t xml:space="preserve">Nacionalni program sigurnosti cestovnog prometa Republike Hrvatske, temeljni je dokument i platforma za podizanje razine sigurnosti cestovnog prometa u našoj državi na višu, prihvatljivu razinu od sadašnje. On u svom operativnom dijelu obuhvaća sve subjekte kojima je djelokrug rada na neki način vezan za sigurnost cestovnog prometa. To znači da u njegovom provođenju sudjeluju ministarstva, stručne organizacije, strukovne udruge, udruge građana i svi ostali koji mogu dati doprinos postizanju spomenutog cilja. Nacionalni program na području RH postoji od 1994. godine, a najnoviji, sada aktualan, donijela je Vlada Republike Hrvatske u veljači 2011. godine, a za njegovog nositelja, kao i do sada, određeno je Ministarstvo unutarnjih poslova. Što se tiče policijskog dijela zadaća vezanih za poboljšanje stanja sigurnosti cestovnog prometa, Nacionalni je program, također, i temelj policijskog djelovanja kako u preventivnom, tako i u represivnom smislu.  </w:t>
      </w:r>
    </w:p>
    <w:p w:rsidR="00D849AA" w:rsidRDefault="00EE6D95">
      <w:pPr>
        <w:pStyle w:val="Normal6"/>
      </w:pPr>
      <w:r>
        <w:t xml:space="preserve">Strateške aktivnosti Nacionalnog programa su: smanjenje brzina vozila i poštivanje najviših dopuštenih brzina; zaštita djece, mladih i najranjivijih sudionika u prometu; suzbijanje vožnje pod utjecajem alkohola i opojnih droga u prometu; saniranje opasnih mjesta.  </w:t>
      </w:r>
    </w:p>
    <w:p w:rsidR="00D849AA" w:rsidRDefault="00EE6D95">
      <w:pPr>
        <w:pStyle w:val="Normal6"/>
      </w:pPr>
      <w:r>
        <w:t xml:space="preserve">Dopunske aktivnosti su: povećanje razine tehničke ispravnosti vozila; unapređenje prometne statistike i analize; uporaba sigurnosnog pojasa i dnevnih svjetala na vozilima; poštivanje semaforskog svjetla.  </w:t>
      </w:r>
    </w:p>
    <w:p w:rsidR="00D849AA" w:rsidRDefault="00EE6D95">
      <w:pPr>
        <w:pStyle w:val="Normal6"/>
      </w:pPr>
      <w:r>
        <w:t>Svrha aktivnosti Nacionalnog programa je pokušaj djelovanja na svijest vozača i ostalih sudionika u prometu kako bi promjenom svog ponašanja i poštivanjem prometnih propisa direktno pozitivno utjecali na poboljšanje stanja prometne sigurnosti.</w:t>
      </w:r>
    </w:p>
    <w:p w:rsidR="00DE6ACB" w:rsidRDefault="00DE6ACB">
      <w:pPr>
        <w:pStyle w:val="Normal6"/>
      </w:pPr>
    </w:p>
    <w:p w:rsidR="00DE6ACB" w:rsidRDefault="00DE6ACB">
      <w:pPr>
        <w:pStyle w:val="Normal6"/>
      </w:pPr>
    </w:p>
    <w:p w:rsidR="00DE6ACB" w:rsidRDefault="00DE6ACB">
      <w:pPr>
        <w:pStyle w:val="Normal6"/>
      </w:pPr>
    </w:p>
    <w:p w:rsidR="00D849AA" w:rsidRDefault="00EE6D95">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DE6ACB" w:rsidRDefault="00EE6D95">
            <w:pPr>
              <w:rPr>
                <w:rFonts w:ascii="Arial" w:hAnsi="Arial" w:cs="Arial"/>
              </w:rPr>
            </w:pPr>
            <w:r w:rsidRPr="00DE6ACB">
              <w:rPr>
                <w:rFonts w:ascii="Arial" w:hAnsi="Arial" w:cs="Arial"/>
              </w:rPr>
              <w:t>Pokazatelj rezultata</w:t>
            </w:r>
          </w:p>
        </w:tc>
        <w:tc>
          <w:tcPr>
            <w:tcW w:w="1114" w:type="dxa"/>
            <w:shd w:val="clear" w:color="auto" w:fill="B5C0D8"/>
          </w:tcPr>
          <w:p w:rsidR="00D849AA" w:rsidRPr="00DE6ACB" w:rsidRDefault="00EE6D95">
            <w:pPr>
              <w:pStyle w:val="CellHeader"/>
            </w:pPr>
            <w:r w:rsidRPr="00DE6ACB">
              <w:t>Jedinica</w:t>
            </w:r>
          </w:p>
        </w:tc>
        <w:tc>
          <w:tcPr>
            <w:tcW w:w="1114" w:type="dxa"/>
            <w:shd w:val="clear" w:color="auto" w:fill="B5C0D8"/>
          </w:tcPr>
          <w:p w:rsidR="00D849AA" w:rsidRPr="00DE6ACB" w:rsidRDefault="00EE6D95">
            <w:pPr>
              <w:pStyle w:val="CellHeader"/>
            </w:pPr>
            <w:r w:rsidRPr="00DE6ACB">
              <w:t>Polazna vrijednost</w:t>
            </w:r>
          </w:p>
        </w:tc>
        <w:tc>
          <w:tcPr>
            <w:tcW w:w="1486" w:type="dxa"/>
            <w:shd w:val="clear" w:color="auto" w:fill="B5C0D8"/>
          </w:tcPr>
          <w:p w:rsidR="00D849AA" w:rsidRPr="00DE6ACB" w:rsidRDefault="00EE6D95">
            <w:pPr>
              <w:pStyle w:val="CellHeader"/>
            </w:pPr>
            <w:r w:rsidRPr="00DE6ACB">
              <w:t>Ciljana vrijednost (2014.)</w:t>
            </w:r>
          </w:p>
        </w:tc>
        <w:tc>
          <w:tcPr>
            <w:tcW w:w="1486" w:type="dxa"/>
            <w:shd w:val="clear" w:color="auto" w:fill="B5C0D8"/>
          </w:tcPr>
          <w:p w:rsidR="00D849AA" w:rsidRPr="00DE6ACB" w:rsidRDefault="00EE6D95">
            <w:pPr>
              <w:pStyle w:val="CellHeader"/>
            </w:pPr>
            <w:r w:rsidRPr="00DE6ACB">
              <w:t>Ciljana vrijednost (2015.)</w:t>
            </w:r>
          </w:p>
        </w:tc>
        <w:tc>
          <w:tcPr>
            <w:tcW w:w="1486" w:type="dxa"/>
            <w:shd w:val="clear" w:color="auto" w:fill="B5C0D8"/>
          </w:tcPr>
          <w:p w:rsidR="00D849AA" w:rsidRPr="00DE6ACB" w:rsidRDefault="00EE6D95">
            <w:pPr>
              <w:pStyle w:val="CellHeader"/>
            </w:pPr>
            <w:r w:rsidRPr="00DE6ACB">
              <w:t>Ciljana vrijednost (2016.)</w:t>
            </w:r>
          </w:p>
        </w:tc>
      </w:tr>
      <w:tr w:rsidR="00D849AA">
        <w:trPr>
          <w:jc w:val="center"/>
        </w:trPr>
        <w:tc>
          <w:tcPr>
            <w:tcW w:w="2229" w:type="dxa"/>
          </w:tcPr>
          <w:p w:rsidR="00D849AA" w:rsidRPr="00DE6ACB" w:rsidRDefault="00EE6D95">
            <w:pPr>
              <w:pStyle w:val="CellColumn"/>
            </w:pPr>
            <w:r w:rsidRPr="00DE6ACB">
              <w:t>Broj poginulih u prometnim nesrećama</w:t>
            </w:r>
          </w:p>
        </w:tc>
        <w:tc>
          <w:tcPr>
            <w:tcW w:w="1114" w:type="dxa"/>
          </w:tcPr>
          <w:p w:rsidR="00D849AA" w:rsidRPr="00DE6ACB" w:rsidRDefault="00EE6D95">
            <w:pPr>
              <w:rPr>
                <w:rFonts w:ascii="Arial" w:hAnsi="Arial" w:cs="Arial"/>
              </w:rPr>
            </w:pPr>
            <w:r w:rsidRPr="00DE6ACB">
              <w:rPr>
                <w:rFonts w:ascii="Arial" w:hAnsi="Arial" w:cs="Arial"/>
              </w:rPr>
              <w:t>Broj</w:t>
            </w:r>
          </w:p>
        </w:tc>
        <w:tc>
          <w:tcPr>
            <w:tcW w:w="1114" w:type="dxa"/>
          </w:tcPr>
          <w:p w:rsidR="00D849AA" w:rsidRPr="00DE6ACB" w:rsidRDefault="00EE6D95">
            <w:pPr>
              <w:rPr>
                <w:rFonts w:ascii="Arial" w:hAnsi="Arial" w:cs="Arial"/>
              </w:rPr>
            </w:pPr>
            <w:r w:rsidRPr="00DE6ACB">
              <w:rPr>
                <w:rFonts w:ascii="Arial" w:hAnsi="Arial" w:cs="Arial"/>
              </w:rPr>
              <w:t>393</w:t>
            </w:r>
          </w:p>
        </w:tc>
        <w:tc>
          <w:tcPr>
            <w:tcW w:w="1486" w:type="dxa"/>
          </w:tcPr>
          <w:p w:rsidR="00D849AA" w:rsidRPr="00DE6ACB" w:rsidRDefault="00EE6D95">
            <w:pPr>
              <w:rPr>
                <w:rFonts w:ascii="Arial" w:hAnsi="Arial" w:cs="Arial"/>
              </w:rPr>
            </w:pPr>
            <w:r w:rsidRPr="00DE6ACB">
              <w:rPr>
                <w:rFonts w:ascii="Arial" w:hAnsi="Arial" w:cs="Arial"/>
              </w:rPr>
              <w:t>377</w:t>
            </w:r>
          </w:p>
        </w:tc>
        <w:tc>
          <w:tcPr>
            <w:tcW w:w="1486" w:type="dxa"/>
          </w:tcPr>
          <w:p w:rsidR="00D849AA" w:rsidRPr="00DE6ACB" w:rsidRDefault="00EE6D95">
            <w:pPr>
              <w:rPr>
                <w:rFonts w:ascii="Arial" w:hAnsi="Arial" w:cs="Arial"/>
              </w:rPr>
            </w:pPr>
            <w:r w:rsidRPr="00DE6ACB">
              <w:rPr>
                <w:rFonts w:ascii="Arial" w:hAnsi="Arial" w:cs="Arial"/>
              </w:rPr>
              <w:t>358</w:t>
            </w:r>
          </w:p>
        </w:tc>
        <w:tc>
          <w:tcPr>
            <w:tcW w:w="1486" w:type="dxa"/>
          </w:tcPr>
          <w:p w:rsidR="00D849AA" w:rsidRPr="00DE6ACB" w:rsidRDefault="00EE6D95">
            <w:pPr>
              <w:rPr>
                <w:rFonts w:ascii="Arial" w:hAnsi="Arial" w:cs="Arial"/>
              </w:rPr>
            </w:pPr>
            <w:r w:rsidRPr="00DE6ACB">
              <w:rPr>
                <w:rFonts w:ascii="Arial" w:hAnsi="Arial" w:cs="Arial"/>
              </w:rPr>
              <w:t>337</w:t>
            </w:r>
          </w:p>
        </w:tc>
      </w:tr>
      <w:tr w:rsidR="00D849AA">
        <w:trPr>
          <w:jc w:val="center"/>
        </w:trPr>
        <w:tc>
          <w:tcPr>
            <w:tcW w:w="2229" w:type="dxa"/>
          </w:tcPr>
          <w:p w:rsidR="00D849AA" w:rsidRPr="00DE6ACB" w:rsidRDefault="00EE6D95">
            <w:pPr>
              <w:pStyle w:val="CellColumn"/>
            </w:pPr>
            <w:r w:rsidRPr="00DE6ACB">
              <w:t>Broj svih subjekata uključenih aktivno u Nacionalni program sigurnosti cestovnog prometa</w:t>
            </w:r>
          </w:p>
        </w:tc>
        <w:tc>
          <w:tcPr>
            <w:tcW w:w="1114" w:type="dxa"/>
          </w:tcPr>
          <w:p w:rsidR="00D849AA" w:rsidRPr="00DE6ACB" w:rsidRDefault="00EE6D95">
            <w:pPr>
              <w:rPr>
                <w:rFonts w:ascii="Arial" w:hAnsi="Arial" w:cs="Arial"/>
              </w:rPr>
            </w:pPr>
            <w:r w:rsidRPr="00DE6ACB">
              <w:rPr>
                <w:rFonts w:ascii="Arial" w:hAnsi="Arial" w:cs="Arial"/>
              </w:rPr>
              <w:t>Broj</w:t>
            </w:r>
          </w:p>
        </w:tc>
        <w:tc>
          <w:tcPr>
            <w:tcW w:w="1114" w:type="dxa"/>
          </w:tcPr>
          <w:p w:rsidR="00D849AA" w:rsidRPr="00DE6ACB" w:rsidRDefault="00EE6D95">
            <w:pPr>
              <w:rPr>
                <w:rFonts w:ascii="Arial" w:hAnsi="Arial" w:cs="Arial"/>
              </w:rPr>
            </w:pPr>
            <w:r w:rsidRPr="00DE6ACB">
              <w:rPr>
                <w:rFonts w:ascii="Arial" w:hAnsi="Arial" w:cs="Arial"/>
              </w:rPr>
              <w:t>9</w:t>
            </w:r>
          </w:p>
        </w:tc>
        <w:tc>
          <w:tcPr>
            <w:tcW w:w="1486" w:type="dxa"/>
          </w:tcPr>
          <w:p w:rsidR="00D849AA" w:rsidRPr="00DE6ACB" w:rsidRDefault="00EE6D95">
            <w:pPr>
              <w:rPr>
                <w:rFonts w:ascii="Arial" w:hAnsi="Arial" w:cs="Arial"/>
              </w:rPr>
            </w:pPr>
            <w:r w:rsidRPr="00DE6ACB">
              <w:rPr>
                <w:rFonts w:ascii="Arial" w:hAnsi="Arial" w:cs="Arial"/>
              </w:rPr>
              <w:t>13</w:t>
            </w:r>
          </w:p>
        </w:tc>
        <w:tc>
          <w:tcPr>
            <w:tcW w:w="1486" w:type="dxa"/>
          </w:tcPr>
          <w:p w:rsidR="00D849AA" w:rsidRPr="00DE6ACB" w:rsidRDefault="00EE6D95">
            <w:pPr>
              <w:rPr>
                <w:rFonts w:ascii="Arial" w:hAnsi="Arial" w:cs="Arial"/>
              </w:rPr>
            </w:pPr>
            <w:r w:rsidRPr="00DE6ACB">
              <w:rPr>
                <w:rFonts w:ascii="Arial" w:hAnsi="Arial" w:cs="Arial"/>
              </w:rPr>
              <w:t>15</w:t>
            </w:r>
          </w:p>
        </w:tc>
        <w:tc>
          <w:tcPr>
            <w:tcW w:w="1486" w:type="dxa"/>
          </w:tcPr>
          <w:p w:rsidR="00D849AA" w:rsidRPr="00DE6ACB" w:rsidRDefault="00EE6D95">
            <w:pPr>
              <w:rPr>
                <w:rFonts w:ascii="Arial" w:hAnsi="Arial" w:cs="Arial"/>
              </w:rPr>
            </w:pPr>
            <w:r w:rsidRPr="00DE6ACB">
              <w:rPr>
                <w:rFonts w:ascii="Arial" w:hAnsi="Arial" w:cs="Arial"/>
              </w:rPr>
              <w:t>15</w:t>
            </w:r>
          </w:p>
        </w:tc>
      </w:tr>
    </w:tbl>
    <w:p w:rsidR="00D849AA" w:rsidRDefault="00D849AA">
      <w:pPr>
        <w:jc w:val="left"/>
      </w:pPr>
    </w:p>
    <w:p w:rsidR="00D849AA" w:rsidRDefault="00EE6D95">
      <w:pPr>
        <w:pStyle w:val="Naslov6"/>
      </w:pPr>
      <w:r>
        <w:t>K553141 RAZVOJNA SURADNJA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DE6ACB" w:rsidRDefault="00EE6D95">
            <w:pPr>
              <w:pStyle w:val="CellHeader"/>
            </w:pPr>
            <w:r w:rsidRPr="00DE6ACB">
              <w:t>Naziv aktivnosti</w:t>
            </w:r>
          </w:p>
        </w:tc>
        <w:tc>
          <w:tcPr>
            <w:tcW w:w="1486" w:type="dxa"/>
            <w:shd w:val="clear" w:color="auto" w:fill="B5C0D8"/>
          </w:tcPr>
          <w:p w:rsidR="00D849AA" w:rsidRPr="00DE6ACB" w:rsidRDefault="00EE6D95">
            <w:pPr>
              <w:pStyle w:val="CellHeader"/>
            </w:pPr>
            <w:r w:rsidRPr="00DE6ACB">
              <w:t>Plan 2013.</w:t>
            </w:r>
          </w:p>
        </w:tc>
        <w:tc>
          <w:tcPr>
            <w:tcW w:w="1486" w:type="dxa"/>
            <w:shd w:val="clear" w:color="auto" w:fill="B5C0D8"/>
          </w:tcPr>
          <w:p w:rsidR="00D849AA" w:rsidRPr="00DE6ACB" w:rsidRDefault="00EE6D95">
            <w:pPr>
              <w:pStyle w:val="CellHeader"/>
            </w:pPr>
            <w:r w:rsidRPr="00DE6ACB">
              <w:t>Plan 2014.</w:t>
            </w:r>
          </w:p>
        </w:tc>
        <w:tc>
          <w:tcPr>
            <w:tcW w:w="1486" w:type="dxa"/>
            <w:shd w:val="clear" w:color="auto" w:fill="B5C0D8"/>
          </w:tcPr>
          <w:p w:rsidR="00D849AA" w:rsidRPr="00DE6ACB" w:rsidRDefault="00EE6D95">
            <w:pPr>
              <w:pStyle w:val="CellHeader"/>
            </w:pPr>
            <w:r w:rsidRPr="00DE6ACB">
              <w:t>Plan 2015.</w:t>
            </w:r>
          </w:p>
        </w:tc>
        <w:tc>
          <w:tcPr>
            <w:tcW w:w="1486" w:type="dxa"/>
            <w:shd w:val="clear" w:color="auto" w:fill="B5C0D8"/>
          </w:tcPr>
          <w:p w:rsidR="00D849AA" w:rsidRPr="00DE6ACB" w:rsidRDefault="00EE6D95">
            <w:pPr>
              <w:pStyle w:val="CellHeader"/>
            </w:pPr>
            <w:r w:rsidRPr="00DE6ACB">
              <w:t>Plan 2016.</w:t>
            </w:r>
          </w:p>
        </w:tc>
        <w:tc>
          <w:tcPr>
            <w:tcW w:w="1486" w:type="dxa"/>
            <w:shd w:val="clear" w:color="auto" w:fill="B5C0D8"/>
          </w:tcPr>
          <w:p w:rsidR="00D849AA" w:rsidRPr="00DE6ACB" w:rsidRDefault="00EE6D95">
            <w:pPr>
              <w:pStyle w:val="CellHeader"/>
            </w:pPr>
            <w:r w:rsidRPr="00DE6ACB">
              <w:t>Indeks 2014/2013</w:t>
            </w:r>
          </w:p>
        </w:tc>
      </w:tr>
      <w:tr w:rsidR="00D849AA">
        <w:trPr>
          <w:jc w:val="center"/>
        </w:trPr>
        <w:tc>
          <w:tcPr>
            <w:tcW w:w="1486" w:type="dxa"/>
          </w:tcPr>
          <w:p w:rsidR="00D849AA" w:rsidRPr="00DE6ACB" w:rsidRDefault="00EE6D95">
            <w:pPr>
              <w:pStyle w:val="CellColumn"/>
            </w:pPr>
            <w:r w:rsidRPr="00DE6ACB">
              <w:t>K553141</w:t>
            </w:r>
          </w:p>
        </w:tc>
        <w:tc>
          <w:tcPr>
            <w:tcW w:w="1486" w:type="dxa"/>
          </w:tcPr>
          <w:p w:rsidR="00D849AA" w:rsidRPr="00DE6ACB" w:rsidRDefault="00EE6D95">
            <w:pPr>
              <w:rPr>
                <w:rFonts w:ascii="Arial" w:hAnsi="Arial" w:cs="Arial"/>
              </w:rPr>
            </w:pPr>
            <w:r w:rsidRPr="00DE6ACB">
              <w:rPr>
                <w:rFonts w:ascii="Arial" w:hAnsi="Arial" w:cs="Arial"/>
              </w:rPr>
              <w:t>3.272.000</w:t>
            </w:r>
          </w:p>
        </w:tc>
        <w:tc>
          <w:tcPr>
            <w:tcW w:w="1486" w:type="dxa"/>
          </w:tcPr>
          <w:p w:rsidR="00D849AA" w:rsidRPr="00DE6ACB" w:rsidRDefault="00EE6D95">
            <w:pPr>
              <w:rPr>
                <w:rFonts w:ascii="Arial" w:hAnsi="Arial" w:cs="Arial"/>
              </w:rPr>
            </w:pPr>
            <w:r w:rsidRPr="00DE6ACB">
              <w:rPr>
                <w:rFonts w:ascii="Arial" w:hAnsi="Arial" w:cs="Arial"/>
              </w:rPr>
              <w:t>3.550.000</w:t>
            </w:r>
          </w:p>
        </w:tc>
        <w:tc>
          <w:tcPr>
            <w:tcW w:w="1486" w:type="dxa"/>
          </w:tcPr>
          <w:p w:rsidR="00D849AA" w:rsidRPr="00DE6ACB" w:rsidRDefault="00EE6D95">
            <w:pPr>
              <w:rPr>
                <w:rFonts w:ascii="Arial" w:hAnsi="Arial" w:cs="Arial"/>
              </w:rPr>
            </w:pPr>
            <w:r w:rsidRPr="00DE6ACB">
              <w:rPr>
                <w:rFonts w:ascii="Arial" w:hAnsi="Arial" w:cs="Arial"/>
              </w:rPr>
              <w:t>3.550.000</w:t>
            </w:r>
          </w:p>
        </w:tc>
        <w:tc>
          <w:tcPr>
            <w:tcW w:w="1486" w:type="dxa"/>
          </w:tcPr>
          <w:p w:rsidR="00D849AA" w:rsidRPr="00DE6ACB" w:rsidRDefault="00EE6D95">
            <w:pPr>
              <w:rPr>
                <w:rFonts w:ascii="Arial" w:hAnsi="Arial" w:cs="Arial"/>
              </w:rPr>
            </w:pPr>
            <w:r w:rsidRPr="00DE6ACB">
              <w:rPr>
                <w:rFonts w:ascii="Arial" w:hAnsi="Arial" w:cs="Arial"/>
              </w:rPr>
              <w:t>3.550.000</w:t>
            </w:r>
          </w:p>
        </w:tc>
        <w:tc>
          <w:tcPr>
            <w:tcW w:w="1486" w:type="dxa"/>
          </w:tcPr>
          <w:p w:rsidR="00D849AA" w:rsidRPr="00DE6ACB" w:rsidRDefault="00EE6D95">
            <w:pPr>
              <w:rPr>
                <w:rFonts w:ascii="Arial" w:hAnsi="Arial" w:cs="Arial"/>
              </w:rPr>
            </w:pPr>
            <w:r w:rsidRPr="00DE6ACB">
              <w:rPr>
                <w:rFonts w:ascii="Arial" w:hAnsi="Arial" w:cs="Arial"/>
              </w:rPr>
              <w:t>108,5</w:t>
            </w:r>
          </w:p>
        </w:tc>
      </w:tr>
    </w:tbl>
    <w:p w:rsidR="00D849AA" w:rsidRDefault="00D849AA">
      <w:pPr>
        <w:jc w:val="left"/>
      </w:pPr>
    </w:p>
    <w:p w:rsidR="00D849AA" w:rsidRDefault="00EE6D95">
      <w:pPr>
        <w:pStyle w:val="Normal6"/>
      </w:pPr>
      <w:r>
        <w:t>Kroz ovaj projekt financirati će se troškovi policijskih službenika koji sudjeluju ili će sudjelovati u mirovnim misijama u slijedećim državama: Kosovo (EULEX), Afganistan (NATO/ISAF), Haiti (UN). U okviru ovog projekta se nastavlja sa procesom specijalističke izobrazbe policijskih službenika koji se pripremaju za sudjelovanje u mirovnim misijama kroz organizaciju međunarodnog tečaja "UNPOC Croatia".</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DE6ACB" w:rsidRDefault="00EE6D95" w:rsidP="00DE6ACB">
            <w:pPr>
              <w:jc w:val="left"/>
              <w:rPr>
                <w:rFonts w:ascii="Arial" w:hAnsi="Arial" w:cs="Arial"/>
              </w:rPr>
            </w:pPr>
            <w:r w:rsidRPr="00DE6ACB">
              <w:rPr>
                <w:rFonts w:ascii="Arial" w:hAnsi="Arial" w:cs="Arial"/>
              </w:rPr>
              <w:t>Pokazatelj rezultata</w:t>
            </w:r>
          </w:p>
        </w:tc>
        <w:tc>
          <w:tcPr>
            <w:tcW w:w="1114" w:type="dxa"/>
            <w:shd w:val="clear" w:color="auto" w:fill="B5C0D8"/>
          </w:tcPr>
          <w:p w:rsidR="00D849AA" w:rsidRPr="00DE6ACB" w:rsidRDefault="00EE6D95" w:rsidP="00DE6ACB">
            <w:pPr>
              <w:pStyle w:val="CellHeader"/>
              <w:jc w:val="left"/>
            </w:pPr>
            <w:r w:rsidRPr="00DE6ACB">
              <w:t>Jedinica</w:t>
            </w:r>
          </w:p>
        </w:tc>
        <w:tc>
          <w:tcPr>
            <w:tcW w:w="1114" w:type="dxa"/>
            <w:shd w:val="clear" w:color="auto" w:fill="B5C0D8"/>
          </w:tcPr>
          <w:p w:rsidR="00D849AA" w:rsidRPr="00DE6ACB" w:rsidRDefault="00EE6D95" w:rsidP="00DE6ACB">
            <w:pPr>
              <w:pStyle w:val="CellHeader"/>
              <w:jc w:val="left"/>
            </w:pPr>
            <w:r w:rsidRPr="00DE6ACB">
              <w:t>Polazna vrijednost</w:t>
            </w:r>
          </w:p>
        </w:tc>
        <w:tc>
          <w:tcPr>
            <w:tcW w:w="1486" w:type="dxa"/>
            <w:shd w:val="clear" w:color="auto" w:fill="B5C0D8"/>
          </w:tcPr>
          <w:p w:rsidR="00D849AA" w:rsidRPr="00DE6ACB" w:rsidRDefault="00EE6D95" w:rsidP="00DE6ACB">
            <w:pPr>
              <w:pStyle w:val="CellHeader"/>
              <w:jc w:val="left"/>
            </w:pPr>
            <w:r w:rsidRPr="00DE6ACB">
              <w:t>Ciljana vrijednost (2014.)</w:t>
            </w:r>
          </w:p>
        </w:tc>
        <w:tc>
          <w:tcPr>
            <w:tcW w:w="1486" w:type="dxa"/>
            <w:shd w:val="clear" w:color="auto" w:fill="B5C0D8"/>
          </w:tcPr>
          <w:p w:rsidR="00D849AA" w:rsidRPr="00DE6ACB" w:rsidRDefault="00EE6D95" w:rsidP="00DE6ACB">
            <w:pPr>
              <w:pStyle w:val="CellHeader"/>
              <w:jc w:val="left"/>
            </w:pPr>
            <w:r w:rsidRPr="00DE6ACB">
              <w:t>Ciljana vrijednost (2015.)</w:t>
            </w:r>
          </w:p>
        </w:tc>
        <w:tc>
          <w:tcPr>
            <w:tcW w:w="1486" w:type="dxa"/>
            <w:shd w:val="clear" w:color="auto" w:fill="B5C0D8"/>
          </w:tcPr>
          <w:p w:rsidR="00D849AA" w:rsidRPr="00DE6ACB" w:rsidRDefault="00EE6D95" w:rsidP="00DE6ACB">
            <w:pPr>
              <w:pStyle w:val="CellHeader"/>
              <w:jc w:val="left"/>
            </w:pPr>
            <w:r w:rsidRPr="00DE6ACB">
              <w:t>Ciljana vrijednost (2016.)</w:t>
            </w:r>
          </w:p>
        </w:tc>
      </w:tr>
      <w:tr w:rsidR="00D849AA">
        <w:trPr>
          <w:jc w:val="center"/>
        </w:trPr>
        <w:tc>
          <w:tcPr>
            <w:tcW w:w="2229" w:type="dxa"/>
          </w:tcPr>
          <w:p w:rsidR="00D849AA" w:rsidRPr="00DE6ACB" w:rsidRDefault="00EE6D95" w:rsidP="00DE6ACB">
            <w:pPr>
              <w:pStyle w:val="CellColumn"/>
              <w:jc w:val="left"/>
            </w:pPr>
            <w:r w:rsidRPr="00DE6ACB">
              <w:t>Sudjelovanje</w:t>
            </w:r>
            <w:r w:rsidR="0067431F" w:rsidRPr="00DE6ACB">
              <w:t xml:space="preserve"> </w:t>
            </w:r>
            <w:r w:rsidRPr="00DE6ACB">
              <w:t>u međunarodnim mirovnim oprecijama prema broju misija</w:t>
            </w:r>
          </w:p>
        </w:tc>
        <w:tc>
          <w:tcPr>
            <w:tcW w:w="1114" w:type="dxa"/>
          </w:tcPr>
          <w:p w:rsidR="00D849AA" w:rsidRPr="00DE6ACB" w:rsidRDefault="00EE6D95" w:rsidP="00DE6ACB">
            <w:pPr>
              <w:jc w:val="left"/>
              <w:rPr>
                <w:rFonts w:ascii="Arial" w:hAnsi="Arial" w:cs="Arial"/>
              </w:rPr>
            </w:pPr>
            <w:r w:rsidRPr="00DE6ACB">
              <w:rPr>
                <w:rFonts w:ascii="Arial" w:hAnsi="Arial" w:cs="Arial"/>
              </w:rPr>
              <w:t>Broj</w:t>
            </w:r>
          </w:p>
        </w:tc>
        <w:tc>
          <w:tcPr>
            <w:tcW w:w="1114" w:type="dxa"/>
          </w:tcPr>
          <w:p w:rsidR="00D849AA" w:rsidRPr="00DE6ACB" w:rsidRDefault="00EE6D95" w:rsidP="00DE6ACB">
            <w:pPr>
              <w:jc w:val="left"/>
              <w:rPr>
                <w:rFonts w:ascii="Arial" w:hAnsi="Arial" w:cs="Arial"/>
              </w:rPr>
            </w:pPr>
            <w:r w:rsidRPr="00DE6ACB">
              <w:rPr>
                <w:rFonts w:ascii="Arial" w:hAnsi="Arial" w:cs="Arial"/>
              </w:rPr>
              <w:t>7</w:t>
            </w:r>
          </w:p>
        </w:tc>
        <w:tc>
          <w:tcPr>
            <w:tcW w:w="1486" w:type="dxa"/>
          </w:tcPr>
          <w:p w:rsidR="00D849AA" w:rsidRPr="00DE6ACB" w:rsidRDefault="00EE6D95" w:rsidP="00DE6ACB">
            <w:pPr>
              <w:jc w:val="left"/>
              <w:rPr>
                <w:rFonts w:ascii="Arial" w:hAnsi="Arial" w:cs="Arial"/>
              </w:rPr>
            </w:pPr>
            <w:r w:rsidRPr="00DE6ACB">
              <w:rPr>
                <w:rFonts w:ascii="Arial" w:hAnsi="Arial" w:cs="Arial"/>
              </w:rPr>
              <w:t>7</w:t>
            </w:r>
          </w:p>
        </w:tc>
        <w:tc>
          <w:tcPr>
            <w:tcW w:w="1486" w:type="dxa"/>
          </w:tcPr>
          <w:p w:rsidR="00D849AA" w:rsidRPr="00DE6ACB" w:rsidRDefault="00EE6D95" w:rsidP="00DE6ACB">
            <w:pPr>
              <w:jc w:val="left"/>
              <w:rPr>
                <w:rFonts w:ascii="Arial" w:hAnsi="Arial" w:cs="Arial"/>
              </w:rPr>
            </w:pPr>
            <w:r w:rsidRPr="00DE6ACB">
              <w:rPr>
                <w:rFonts w:ascii="Arial" w:hAnsi="Arial" w:cs="Arial"/>
              </w:rPr>
              <w:t>7</w:t>
            </w:r>
          </w:p>
        </w:tc>
        <w:tc>
          <w:tcPr>
            <w:tcW w:w="1486" w:type="dxa"/>
          </w:tcPr>
          <w:p w:rsidR="00D849AA" w:rsidRPr="00DE6ACB" w:rsidRDefault="00EE6D95" w:rsidP="00DE6ACB">
            <w:pPr>
              <w:jc w:val="left"/>
              <w:rPr>
                <w:rFonts w:ascii="Arial" w:hAnsi="Arial" w:cs="Arial"/>
              </w:rPr>
            </w:pPr>
            <w:r w:rsidRPr="00DE6ACB">
              <w:rPr>
                <w:rFonts w:ascii="Arial" w:hAnsi="Arial" w:cs="Arial"/>
              </w:rPr>
              <w:t>7</w:t>
            </w:r>
          </w:p>
        </w:tc>
      </w:tr>
    </w:tbl>
    <w:p w:rsidR="00DE6ACB" w:rsidRDefault="00DE6ACB" w:rsidP="00DE6ACB">
      <w:pPr>
        <w:jc w:val="left"/>
      </w:pPr>
    </w:p>
    <w:p w:rsidR="00D849AA" w:rsidRDefault="00DE6ACB" w:rsidP="00DE6ACB">
      <w:pPr>
        <w:pStyle w:val="Naslov4"/>
      </w:pPr>
      <w:r>
        <w:t>OBRAZLOŽENJE PROGRAMA</w:t>
      </w:r>
    </w:p>
    <w:p w:rsidR="00D849AA" w:rsidRDefault="00EE6D95">
      <w:pPr>
        <w:pStyle w:val="Naslov5"/>
      </w:pPr>
      <w:r>
        <w:t>2602 UPRAVLJANJE DRŽAVNIM GRANICAMA</w:t>
      </w:r>
    </w:p>
    <w:tbl>
      <w:tblPr>
        <w:tblStyle w:val="Reetkatablice"/>
        <w:tblW w:w="0" w:type="auto"/>
        <w:jc w:val="center"/>
        <w:tblLook w:val="04A0" w:firstRow="1" w:lastRow="0" w:firstColumn="1" w:lastColumn="0" w:noHBand="0" w:noVBand="1"/>
      </w:tblPr>
      <w:tblGrid>
        <w:gridCol w:w="1486"/>
        <w:gridCol w:w="1486"/>
        <w:gridCol w:w="1496"/>
        <w:gridCol w:w="1496"/>
        <w:gridCol w:w="1486"/>
        <w:gridCol w:w="1486"/>
      </w:tblGrid>
      <w:tr w:rsidR="00D849AA">
        <w:trPr>
          <w:jc w:val="center"/>
        </w:trPr>
        <w:tc>
          <w:tcPr>
            <w:tcW w:w="1486" w:type="dxa"/>
            <w:shd w:val="clear" w:color="auto" w:fill="B5C0D8"/>
          </w:tcPr>
          <w:p w:rsidR="00D849AA" w:rsidRPr="00DE6ACB" w:rsidRDefault="00D849AA">
            <w:pPr>
              <w:pStyle w:val="CellHeader"/>
            </w:pPr>
          </w:p>
        </w:tc>
        <w:tc>
          <w:tcPr>
            <w:tcW w:w="1486" w:type="dxa"/>
            <w:shd w:val="clear" w:color="auto" w:fill="B5C0D8"/>
          </w:tcPr>
          <w:p w:rsidR="00D849AA" w:rsidRPr="00DE6ACB" w:rsidRDefault="00EE6D95">
            <w:pPr>
              <w:pStyle w:val="CellHeader"/>
            </w:pPr>
            <w:r w:rsidRPr="00DE6ACB">
              <w:t>Plan 2013.</w:t>
            </w:r>
          </w:p>
        </w:tc>
        <w:tc>
          <w:tcPr>
            <w:tcW w:w="1486" w:type="dxa"/>
            <w:shd w:val="clear" w:color="auto" w:fill="B5C0D8"/>
          </w:tcPr>
          <w:p w:rsidR="00D849AA" w:rsidRPr="00DE6ACB" w:rsidRDefault="00EE6D95">
            <w:pPr>
              <w:pStyle w:val="CellHeader"/>
            </w:pPr>
            <w:r w:rsidRPr="00DE6ACB">
              <w:t>Plan 2014.</w:t>
            </w:r>
          </w:p>
        </w:tc>
        <w:tc>
          <w:tcPr>
            <w:tcW w:w="1486" w:type="dxa"/>
            <w:shd w:val="clear" w:color="auto" w:fill="B5C0D8"/>
          </w:tcPr>
          <w:p w:rsidR="00D849AA" w:rsidRPr="00DE6ACB" w:rsidRDefault="00EE6D95">
            <w:pPr>
              <w:pStyle w:val="CellHeader"/>
            </w:pPr>
            <w:r w:rsidRPr="00DE6ACB">
              <w:t>Plan 2015.</w:t>
            </w:r>
          </w:p>
        </w:tc>
        <w:tc>
          <w:tcPr>
            <w:tcW w:w="1486" w:type="dxa"/>
            <w:shd w:val="clear" w:color="auto" w:fill="B5C0D8"/>
          </w:tcPr>
          <w:p w:rsidR="00D849AA" w:rsidRPr="00DE6ACB" w:rsidRDefault="00EE6D95">
            <w:pPr>
              <w:pStyle w:val="CellHeader"/>
            </w:pPr>
            <w:r w:rsidRPr="00DE6ACB">
              <w:t>Plan 2016.</w:t>
            </w:r>
          </w:p>
        </w:tc>
        <w:tc>
          <w:tcPr>
            <w:tcW w:w="1486" w:type="dxa"/>
            <w:shd w:val="clear" w:color="auto" w:fill="B5C0D8"/>
          </w:tcPr>
          <w:p w:rsidR="00D849AA" w:rsidRPr="00DE6ACB" w:rsidRDefault="00EE6D95">
            <w:pPr>
              <w:pStyle w:val="CellHeader"/>
            </w:pPr>
            <w:r w:rsidRPr="00DE6ACB">
              <w:t>Indeks 2014/2013</w:t>
            </w:r>
          </w:p>
        </w:tc>
      </w:tr>
      <w:tr w:rsidR="00D849AA">
        <w:trPr>
          <w:jc w:val="center"/>
        </w:trPr>
        <w:tc>
          <w:tcPr>
            <w:tcW w:w="1486" w:type="dxa"/>
          </w:tcPr>
          <w:p w:rsidR="00D849AA" w:rsidRPr="00DE6ACB" w:rsidRDefault="00EE6D95">
            <w:pPr>
              <w:pStyle w:val="CellColumn"/>
            </w:pPr>
            <w:r w:rsidRPr="00DE6ACB">
              <w:t>2602</w:t>
            </w:r>
          </w:p>
        </w:tc>
        <w:tc>
          <w:tcPr>
            <w:tcW w:w="1486" w:type="dxa"/>
          </w:tcPr>
          <w:p w:rsidR="00D849AA" w:rsidRPr="00DE6ACB" w:rsidRDefault="00EE6D95">
            <w:pPr>
              <w:rPr>
                <w:rFonts w:ascii="Arial" w:hAnsi="Arial" w:cs="Arial"/>
              </w:rPr>
            </w:pPr>
            <w:r w:rsidRPr="00DE6ACB">
              <w:rPr>
                <w:rFonts w:ascii="Arial" w:hAnsi="Arial" w:cs="Arial"/>
              </w:rPr>
              <w:t>709.638.207</w:t>
            </w:r>
          </w:p>
        </w:tc>
        <w:tc>
          <w:tcPr>
            <w:tcW w:w="1486" w:type="dxa"/>
          </w:tcPr>
          <w:p w:rsidR="00D849AA" w:rsidRPr="00DE6ACB" w:rsidRDefault="00EE6D95">
            <w:pPr>
              <w:rPr>
                <w:rFonts w:ascii="Arial" w:hAnsi="Arial" w:cs="Arial"/>
              </w:rPr>
            </w:pPr>
            <w:r w:rsidRPr="00DE6ACB">
              <w:rPr>
                <w:rFonts w:ascii="Arial" w:hAnsi="Arial" w:cs="Arial"/>
              </w:rPr>
              <w:t>1.017.920.000</w:t>
            </w:r>
          </w:p>
        </w:tc>
        <w:tc>
          <w:tcPr>
            <w:tcW w:w="1486" w:type="dxa"/>
          </w:tcPr>
          <w:p w:rsidR="00D849AA" w:rsidRPr="00DE6ACB" w:rsidRDefault="00EE6D95">
            <w:pPr>
              <w:rPr>
                <w:rFonts w:ascii="Arial" w:hAnsi="Arial" w:cs="Arial"/>
              </w:rPr>
            </w:pPr>
            <w:r w:rsidRPr="00DE6ACB">
              <w:rPr>
                <w:rFonts w:ascii="Arial" w:hAnsi="Arial" w:cs="Arial"/>
              </w:rPr>
              <w:t>1.392.678.000</w:t>
            </w:r>
          </w:p>
        </w:tc>
        <w:tc>
          <w:tcPr>
            <w:tcW w:w="1486" w:type="dxa"/>
          </w:tcPr>
          <w:p w:rsidR="00D849AA" w:rsidRPr="00DE6ACB" w:rsidRDefault="00EE6D95">
            <w:pPr>
              <w:rPr>
                <w:rFonts w:ascii="Arial" w:hAnsi="Arial" w:cs="Arial"/>
              </w:rPr>
            </w:pPr>
            <w:r w:rsidRPr="00DE6ACB">
              <w:rPr>
                <w:rFonts w:ascii="Arial" w:hAnsi="Arial" w:cs="Arial"/>
              </w:rPr>
              <w:t>812.659.000</w:t>
            </w:r>
          </w:p>
        </w:tc>
        <w:tc>
          <w:tcPr>
            <w:tcW w:w="1486" w:type="dxa"/>
          </w:tcPr>
          <w:p w:rsidR="00D849AA" w:rsidRPr="00DE6ACB" w:rsidRDefault="00EE6D95">
            <w:pPr>
              <w:rPr>
                <w:rFonts w:ascii="Arial" w:hAnsi="Arial" w:cs="Arial"/>
              </w:rPr>
            </w:pPr>
            <w:r w:rsidRPr="00DE6ACB">
              <w:rPr>
                <w:rFonts w:ascii="Arial" w:hAnsi="Arial" w:cs="Arial"/>
              </w:rPr>
              <w:t>143,4</w:t>
            </w:r>
          </w:p>
        </w:tc>
      </w:tr>
    </w:tbl>
    <w:p w:rsidR="00D849AA" w:rsidRDefault="00D849AA">
      <w:pPr>
        <w:jc w:val="left"/>
      </w:pPr>
    </w:p>
    <w:p w:rsidR="00D849AA" w:rsidRDefault="00EE6D95">
      <w:pPr>
        <w:pStyle w:val="Naslov6"/>
      </w:pPr>
      <w:r>
        <w:lastRenderedPageBreak/>
        <w:t>Opis programa</w:t>
      </w:r>
    </w:p>
    <w:p w:rsidR="00D849AA" w:rsidRDefault="00EE6D95">
      <w:pPr>
        <w:pStyle w:val="Normal5"/>
      </w:pPr>
      <w:r>
        <w:t>U sklopu ovog programa Ministarstvo unutarnjih poslova obavlja poslove vezane uz nadzor i osiguranje državne granice sukladno Schengenskom pravnom sustavu i sprječavanje nezakonitih migracija.</w:t>
      </w:r>
    </w:p>
    <w:p w:rsidR="00D849AA" w:rsidRDefault="00EE6D95">
      <w:pPr>
        <w:pStyle w:val="Naslov6"/>
      </w:pPr>
      <w:r>
        <w:t>Zakonske i druge pravne osnove</w:t>
      </w:r>
    </w:p>
    <w:p w:rsidR="00D849AA" w:rsidRDefault="00EE6D95">
      <w:pPr>
        <w:pStyle w:val="Normal5"/>
      </w:pPr>
      <w:r>
        <w:t>Zakon o nadzoru državne granice, NN 130/11;NN 146/08; Zakon o strancima, NN 74/13;NN 36/09; Uredba o izmjeni i dopuni Uredbe o viznom sustavu, NN 41/08, 56/09, 153/09;</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Cilj 1. Jačati sigurnost na državnoj granici, u zračnom prometu i plovidbi</w:t>
      </w:r>
    </w:p>
    <w:p w:rsidR="00D849AA" w:rsidRDefault="00EE6D95">
      <w:pPr>
        <w:pStyle w:val="Normal6"/>
      </w:pPr>
      <w:r>
        <w:t xml:space="preserve">Za svaku suverenu i samostalnu državu pitanje sigurnosti, zaštite i kontrole državne granice prvorazredno je pitanje. Zbog svojeg specifičnog geopolitičkog položaja i oblika državnog teritorija Republike Hrvatske, problematika sigurnosti i nadzora državne granice ima niz svojih osobitosti. Osiguranje nesmetanog protoka ljudi i roba preko državne granice uz istovremeno sprečavanje nezakonitih prelazaka kao i svih oblika prekograničnog kriminala preko državne granice izuzetno je zahtjevna zadaća. </w:t>
      </w:r>
    </w:p>
    <w:p w:rsidR="00D849AA" w:rsidRDefault="00EE6D95">
      <w:pPr>
        <w:pStyle w:val="Normal6"/>
      </w:pPr>
      <w:r>
        <w:t xml:space="preserve">Kako je Republika Hrvatska postala punopravna članica Eurpske unije, hrvatska granična policija se mora  kontinuirano usklađivati sa europskih standardima na području upravljanja državnom granicom. Kako bi granična policija mogla učinkovito obavljati zaštitu vanjske granice Europske unije, mora biti dobro organizirana, obučena i tehnički opremljena. </w:t>
      </w:r>
    </w:p>
    <w:p w:rsidR="00D849AA" w:rsidRDefault="00EE6D95">
      <w:pPr>
        <w:pStyle w:val="Normal6"/>
      </w:pPr>
      <w:r>
        <w:t xml:space="preserve">Zbog opasnosti od terorističkih napada zaštitni pregled putnika i ručne prtljage u civilnom zračnom prometu od aerodromske policije zahtjeva izuzetnu odgovornost u dosljednom provođenju metoda i tehnika mjera zaštite propisanih Zakonom o zračnom prometu i Nacionalnim programom zaštite civilnog zračnog prometa, te drugim podzakonskim aktima. Zračne luke na teritoriju Republike Hrvatske uglavnom su pod nadzorom specijalističkih postaja aerodromske policije, a dijelom i mješovitih postaja koje obavljaju poslove aerodromske policije. </w:t>
      </w:r>
    </w:p>
    <w:p w:rsidR="00D849AA" w:rsidRDefault="00EE6D95">
      <w:pPr>
        <w:pStyle w:val="Normal6"/>
      </w:pPr>
      <w:r>
        <w:t>Plovidba na moru i plovnim rijekama izložena je sigurnosnim rizicima o kojima brinu pripadnici pomorske i riječne policije. Nadzorom plovnih putova i sudionika plovidbe policijski službenici potiču poštivanje sigurnosnih pravila.</w:t>
      </w:r>
    </w:p>
    <w:p w:rsidR="00D849AA" w:rsidRDefault="00EE6D95">
      <w:pPr>
        <w:pStyle w:val="Naslov5"/>
      </w:pPr>
      <w:r>
        <w:t>Procjena i ishodište potrebnih sredstava za značajnije aktivnosti/projekte</w:t>
      </w:r>
    </w:p>
    <w:p w:rsidR="00D849AA" w:rsidRDefault="00EE6D95">
      <w:pPr>
        <w:pStyle w:val="Naslov6"/>
      </w:pPr>
      <w:r>
        <w:t>A553102 ADMINISTRACIJA I UPRAVLJANJE SUSTAVOM DRŽAVNE GRANICE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A202BD" w:rsidRDefault="00EE6D95">
            <w:pPr>
              <w:pStyle w:val="CellHeader"/>
            </w:pPr>
            <w:r w:rsidRPr="00A202BD">
              <w:t>Naziv aktivnosti</w:t>
            </w:r>
          </w:p>
        </w:tc>
        <w:tc>
          <w:tcPr>
            <w:tcW w:w="1486" w:type="dxa"/>
            <w:shd w:val="clear" w:color="auto" w:fill="B5C0D8"/>
          </w:tcPr>
          <w:p w:rsidR="00D849AA" w:rsidRPr="00A202BD" w:rsidRDefault="00EE6D95">
            <w:pPr>
              <w:pStyle w:val="CellHeader"/>
            </w:pPr>
            <w:r w:rsidRPr="00A202BD">
              <w:t>Plan 2013.</w:t>
            </w:r>
          </w:p>
        </w:tc>
        <w:tc>
          <w:tcPr>
            <w:tcW w:w="1486" w:type="dxa"/>
            <w:shd w:val="clear" w:color="auto" w:fill="B5C0D8"/>
          </w:tcPr>
          <w:p w:rsidR="00D849AA" w:rsidRPr="00A202BD" w:rsidRDefault="00EE6D95">
            <w:pPr>
              <w:pStyle w:val="CellHeader"/>
            </w:pPr>
            <w:r w:rsidRPr="00A202BD">
              <w:t>Plan 2014.</w:t>
            </w:r>
          </w:p>
        </w:tc>
        <w:tc>
          <w:tcPr>
            <w:tcW w:w="1486" w:type="dxa"/>
            <w:shd w:val="clear" w:color="auto" w:fill="B5C0D8"/>
          </w:tcPr>
          <w:p w:rsidR="00D849AA" w:rsidRPr="00A202BD" w:rsidRDefault="00EE6D95">
            <w:pPr>
              <w:pStyle w:val="CellHeader"/>
            </w:pPr>
            <w:r w:rsidRPr="00A202BD">
              <w:t>Plan 2015.</w:t>
            </w:r>
          </w:p>
        </w:tc>
        <w:tc>
          <w:tcPr>
            <w:tcW w:w="1486" w:type="dxa"/>
            <w:shd w:val="clear" w:color="auto" w:fill="B5C0D8"/>
          </w:tcPr>
          <w:p w:rsidR="00D849AA" w:rsidRPr="00A202BD" w:rsidRDefault="00EE6D95">
            <w:pPr>
              <w:pStyle w:val="CellHeader"/>
            </w:pPr>
            <w:r w:rsidRPr="00A202BD">
              <w:t>Plan 2016.</w:t>
            </w:r>
          </w:p>
        </w:tc>
        <w:tc>
          <w:tcPr>
            <w:tcW w:w="1486" w:type="dxa"/>
            <w:shd w:val="clear" w:color="auto" w:fill="B5C0D8"/>
          </w:tcPr>
          <w:p w:rsidR="00D849AA" w:rsidRPr="00A202BD" w:rsidRDefault="00EE6D95">
            <w:pPr>
              <w:pStyle w:val="CellHeader"/>
            </w:pPr>
            <w:r w:rsidRPr="00A202BD">
              <w:t>Indeks 2014/2013</w:t>
            </w:r>
          </w:p>
        </w:tc>
      </w:tr>
      <w:tr w:rsidR="00D849AA">
        <w:trPr>
          <w:jc w:val="center"/>
        </w:trPr>
        <w:tc>
          <w:tcPr>
            <w:tcW w:w="1486" w:type="dxa"/>
          </w:tcPr>
          <w:p w:rsidR="00D849AA" w:rsidRPr="00A202BD" w:rsidRDefault="00EE6D95">
            <w:pPr>
              <w:pStyle w:val="CellColumn"/>
            </w:pPr>
            <w:r w:rsidRPr="00A202BD">
              <w:t>A553102</w:t>
            </w:r>
          </w:p>
        </w:tc>
        <w:tc>
          <w:tcPr>
            <w:tcW w:w="1486" w:type="dxa"/>
          </w:tcPr>
          <w:p w:rsidR="00D849AA" w:rsidRPr="00A202BD" w:rsidRDefault="00EE6D95">
            <w:pPr>
              <w:rPr>
                <w:rFonts w:ascii="Arial" w:hAnsi="Arial" w:cs="Arial"/>
              </w:rPr>
            </w:pPr>
            <w:r w:rsidRPr="00A202BD">
              <w:rPr>
                <w:rFonts w:ascii="Arial" w:hAnsi="Arial" w:cs="Arial"/>
              </w:rPr>
              <w:t>631.569.000</w:t>
            </w:r>
          </w:p>
        </w:tc>
        <w:tc>
          <w:tcPr>
            <w:tcW w:w="1486" w:type="dxa"/>
          </w:tcPr>
          <w:p w:rsidR="00D849AA" w:rsidRPr="00A202BD" w:rsidRDefault="00EE6D95">
            <w:pPr>
              <w:rPr>
                <w:rFonts w:ascii="Arial" w:hAnsi="Arial" w:cs="Arial"/>
              </w:rPr>
            </w:pPr>
            <w:r w:rsidRPr="00A202BD">
              <w:rPr>
                <w:rFonts w:ascii="Arial" w:hAnsi="Arial" w:cs="Arial"/>
              </w:rPr>
              <w:t>652.500.000</w:t>
            </w:r>
          </w:p>
        </w:tc>
        <w:tc>
          <w:tcPr>
            <w:tcW w:w="1486" w:type="dxa"/>
          </w:tcPr>
          <w:p w:rsidR="00D849AA" w:rsidRPr="00A202BD" w:rsidRDefault="00EE6D95">
            <w:pPr>
              <w:rPr>
                <w:rFonts w:ascii="Arial" w:hAnsi="Arial" w:cs="Arial"/>
              </w:rPr>
            </w:pPr>
            <w:r w:rsidRPr="00A202BD">
              <w:rPr>
                <w:rFonts w:ascii="Arial" w:hAnsi="Arial" w:cs="Arial"/>
              </w:rPr>
              <w:t>663.200.000</w:t>
            </w:r>
          </w:p>
        </w:tc>
        <w:tc>
          <w:tcPr>
            <w:tcW w:w="1486" w:type="dxa"/>
          </w:tcPr>
          <w:p w:rsidR="00D849AA" w:rsidRPr="00A202BD" w:rsidRDefault="00EE6D95">
            <w:pPr>
              <w:rPr>
                <w:rFonts w:ascii="Arial" w:hAnsi="Arial" w:cs="Arial"/>
              </w:rPr>
            </w:pPr>
            <w:r w:rsidRPr="00A202BD">
              <w:rPr>
                <w:rFonts w:ascii="Arial" w:hAnsi="Arial" w:cs="Arial"/>
              </w:rPr>
              <w:t>664.400.000</w:t>
            </w:r>
          </w:p>
        </w:tc>
        <w:tc>
          <w:tcPr>
            <w:tcW w:w="1486" w:type="dxa"/>
          </w:tcPr>
          <w:p w:rsidR="00D849AA" w:rsidRPr="00A202BD" w:rsidRDefault="00EE6D95">
            <w:pPr>
              <w:rPr>
                <w:rFonts w:ascii="Arial" w:hAnsi="Arial" w:cs="Arial"/>
              </w:rPr>
            </w:pPr>
            <w:r w:rsidRPr="00A202BD">
              <w:rPr>
                <w:rFonts w:ascii="Arial" w:hAnsi="Arial" w:cs="Arial"/>
              </w:rPr>
              <w:t>103,3</w:t>
            </w:r>
          </w:p>
        </w:tc>
      </w:tr>
    </w:tbl>
    <w:p w:rsidR="00D849AA" w:rsidRDefault="00D849AA">
      <w:pPr>
        <w:jc w:val="left"/>
      </w:pPr>
    </w:p>
    <w:p w:rsidR="00D849AA" w:rsidRDefault="00EE6D95">
      <w:pPr>
        <w:pStyle w:val="Normal6"/>
      </w:pPr>
      <w:r>
        <w:t xml:space="preserve">Kroz ovu aktivnost ministarstvo obavlja nadzor državne granice, prati kretanje i boravak stranaca, podiže profesionalnu razinu službenika granične policije kroz dobro poznavanje i primjenu nacionalnog i europskog zakonodavnog okvira koji regulira područje nadzora i upravljanja državnom granicom. Provodi se specijalistička obuka granične policije te </w:t>
      </w:r>
      <w:r>
        <w:lastRenderedPageBreak/>
        <w:t>ostali vidovi stručnog usavršavanja putem sustava multiplikatora s naglaskom na područja: EU i Schengensko pravo, suzbijanje zlouporabe dokumenata, suzbijanje krijumčarenja vozila, analiza rizika te korištenje novog informacijskog sustava za upravljanje državnom granicom (NISUDG). Radi se i na implementaciji programa stručnog usavršavanja za područje pomorske policije, izradi ostalih programa stručnog usavršavanja sukladno potrebama i razvoju granične policije kao i na pedagoškom i stručnom osposobljavanju potrebnom broja multiplikatora za implementaciju navedenog sustava stručnog usavršavanja na terenu. U narednom trogodišnjem razdoblju kontinuirano će se provoditi specijalistička obuka granične policije kao i svi drugi oblici osposobljavanja i stručnog usavršavanja.</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A202BD" w:rsidRDefault="00EE6D95">
            <w:pPr>
              <w:rPr>
                <w:rFonts w:ascii="Arial" w:hAnsi="Arial" w:cs="Arial"/>
              </w:rPr>
            </w:pPr>
            <w:r w:rsidRPr="00A202BD">
              <w:rPr>
                <w:rFonts w:ascii="Arial" w:hAnsi="Arial" w:cs="Arial"/>
              </w:rPr>
              <w:t>Pokazatelj rezultata</w:t>
            </w:r>
          </w:p>
        </w:tc>
        <w:tc>
          <w:tcPr>
            <w:tcW w:w="1114" w:type="dxa"/>
            <w:shd w:val="clear" w:color="auto" w:fill="B5C0D8"/>
          </w:tcPr>
          <w:p w:rsidR="00D849AA" w:rsidRPr="00A202BD" w:rsidRDefault="00EE6D95">
            <w:pPr>
              <w:pStyle w:val="CellHeader"/>
            </w:pPr>
            <w:r w:rsidRPr="00A202BD">
              <w:t>Jedinica</w:t>
            </w:r>
          </w:p>
        </w:tc>
        <w:tc>
          <w:tcPr>
            <w:tcW w:w="1114" w:type="dxa"/>
            <w:shd w:val="clear" w:color="auto" w:fill="B5C0D8"/>
          </w:tcPr>
          <w:p w:rsidR="00D849AA" w:rsidRPr="00A202BD" w:rsidRDefault="00EE6D95">
            <w:pPr>
              <w:pStyle w:val="CellHeader"/>
            </w:pPr>
            <w:r w:rsidRPr="00A202BD">
              <w:t>Polazna vrijednost</w:t>
            </w:r>
          </w:p>
        </w:tc>
        <w:tc>
          <w:tcPr>
            <w:tcW w:w="1486" w:type="dxa"/>
            <w:shd w:val="clear" w:color="auto" w:fill="B5C0D8"/>
          </w:tcPr>
          <w:p w:rsidR="00D849AA" w:rsidRPr="00A202BD" w:rsidRDefault="00EE6D95">
            <w:pPr>
              <w:pStyle w:val="CellHeader"/>
            </w:pPr>
            <w:r w:rsidRPr="00A202BD">
              <w:t>Ciljana vrijednost (2014.)</w:t>
            </w:r>
          </w:p>
        </w:tc>
        <w:tc>
          <w:tcPr>
            <w:tcW w:w="1486" w:type="dxa"/>
            <w:shd w:val="clear" w:color="auto" w:fill="B5C0D8"/>
          </w:tcPr>
          <w:p w:rsidR="00D849AA" w:rsidRPr="00A202BD" w:rsidRDefault="00EE6D95">
            <w:pPr>
              <w:pStyle w:val="CellHeader"/>
            </w:pPr>
            <w:r w:rsidRPr="00A202BD">
              <w:t>Ciljana vrijednost (2015.)</w:t>
            </w:r>
          </w:p>
        </w:tc>
        <w:tc>
          <w:tcPr>
            <w:tcW w:w="1486" w:type="dxa"/>
            <w:shd w:val="clear" w:color="auto" w:fill="B5C0D8"/>
          </w:tcPr>
          <w:p w:rsidR="00D849AA" w:rsidRPr="00A202BD" w:rsidRDefault="00EE6D95">
            <w:pPr>
              <w:pStyle w:val="CellHeader"/>
            </w:pPr>
            <w:r w:rsidRPr="00A202BD">
              <w:t>Ciljana vrijednost (2016.)</w:t>
            </w:r>
          </w:p>
        </w:tc>
      </w:tr>
      <w:tr w:rsidR="00D849AA">
        <w:trPr>
          <w:jc w:val="center"/>
        </w:trPr>
        <w:tc>
          <w:tcPr>
            <w:tcW w:w="2229" w:type="dxa"/>
          </w:tcPr>
          <w:p w:rsidR="00D849AA" w:rsidRPr="00A202BD" w:rsidRDefault="00EE6D95">
            <w:pPr>
              <w:pStyle w:val="CellColumn"/>
            </w:pPr>
            <w:r w:rsidRPr="00A202BD">
              <w:t>Organizacijsko-kadrovski koncept granične policije implementiran u cijelosti i popunjena sva radna mjesta u graničnoj</w:t>
            </w:r>
            <w:r w:rsidR="006065CF" w:rsidRPr="00A202BD">
              <w:t xml:space="preserve">   </w:t>
            </w:r>
            <w:r w:rsidRPr="00A202BD">
              <w:t xml:space="preserve"> policiji sukladno Strategiji integriranog upravljanja granicom i pripadajućim Akcijskim planom, te Schengenskim akcijskim planom</w:t>
            </w:r>
          </w:p>
        </w:tc>
        <w:tc>
          <w:tcPr>
            <w:tcW w:w="1114" w:type="dxa"/>
          </w:tcPr>
          <w:p w:rsidR="00D849AA" w:rsidRPr="00A202BD" w:rsidRDefault="00EE6D95">
            <w:pPr>
              <w:rPr>
                <w:rFonts w:ascii="Arial" w:hAnsi="Arial" w:cs="Arial"/>
              </w:rPr>
            </w:pPr>
            <w:r w:rsidRPr="00A202BD">
              <w:rPr>
                <w:rFonts w:ascii="Arial" w:hAnsi="Arial" w:cs="Arial"/>
              </w:rPr>
              <w:t>Broj</w:t>
            </w:r>
          </w:p>
        </w:tc>
        <w:tc>
          <w:tcPr>
            <w:tcW w:w="1114" w:type="dxa"/>
          </w:tcPr>
          <w:p w:rsidR="00D849AA" w:rsidRPr="00A202BD" w:rsidRDefault="00EE6D95">
            <w:pPr>
              <w:rPr>
                <w:rFonts w:ascii="Arial" w:hAnsi="Arial" w:cs="Arial"/>
              </w:rPr>
            </w:pPr>
            <w:r w:rsidRPr="00A202BD">
              <w:rPr>
                <w:rFonts w:ascii="Arial" w:hAnsi="Arial" w:cs="Arial"/>
              </w:rPr>
              <w:t>6.338</w:t>
            </w:r>
          </w:p>
        </w:tc>
        <w:tc>
          <w:tcPr>
            <w:tcW w:w="1486" w:type="dxa"/>
          </w:tcPr>
          <w:p w:rsidR="00D849AA" w:rsidRPr="00A202BD" w:rsidRDefault="00EE6D95">
            <w:pPr>
              <w:rPr>
                <w:rFonts w:ascii="Arial" w:hAnsi="Arial" w:cs="Arial"/>
              </w:rPr>
            </w:pPr>
            <w:r w:rsidRPr="00A202BD">
              <w:rPr>
                <w:rFonts w:ascii="Arial" w:hAnsi="Arial" w:cs="Arial"/>
              </w:rPr>
              <w:t>6.281</w:t>
            </w:r>
          </w:p>
        </w:tc>
        <w:tc>
          <w:tcPr>
            <w:tcW w:w="1486" w:type="dxa"/>
          </w:tcPr>
          <w:p w:rsidR="00D849AA" w:rsidRPr="00A202BD" w:rsidRDefault="00EE6D95">
            <w:pPr>
              <w:rPr>
                <w:rFonts w:ascii="Arial" w:hAnsi="Arial" w:cs="Arial"/>
              </w:rPr>
            </w:pPr>
            <w:r w:rsidRPr="00A202BD">
              <w:rPr>
                <w:rFonts w:ascii="Arial" w:hAnsi="Arial" w:cs="Arial"/>
              </w:rPr>
              <w:t>6.281</w:t>
            </w:r>
          </w:p>
        </w:tc>
        <w:tc>
          <w:tcPr>
            <w:tcW w:w="1486" w:type="dxa"/>
          </w:tcPr>
          <w:p w:rsidR="00D849AA" w:rsidRPr="00A202BD" w:rsidRDefault="00EE6D95">
            <w:pPr>
              <w:rPr>
                <w:rFonts w:ascii="Arial" w:hAnsi="Arial" w:cs="Arial"/>
              </w:rPr>
            </w:pPr>
            <w:r w:rsidRPr="00A202BD">
              <w:rPr>
                <w:rFonts w:ascii="Arial" w:hAnsi="Arial" w:cs="Arial"/>
              </w:rPr>
              <w:t>6.281</w:t>
            </w:r>
          </w:p>
        </w:tc>
      </w:tr>
    </w:tbl>
    <w:p w:rsidR="00D849AA" w:rsidRDefault="00D849AA">
      <w:pPr>
        <w:jc w:val="left"/>
      </w:pPr>
    </w:p>
    <w:p w:rsidR="00D849AA" w:rsidRDefault="00EE6D95">
      <w:pPr>
        <w:pStyle w:val="Naslov6"/>
      </w:pPr>
      <w:r>
        <w:t>K553074 IZGRADNJA KAPACITETA U SUSTAVU SCHENGENSKE GRANICE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A202BD" w:rsidRDefault="00EE6D95">
            <w:pPr>
              <w:pStyle w:val="CellHeader"/>
            </w:pPr>
            <w:r w:rsidRPr="00A202BD">
              <w:t>Naziv aktivnosti</w:t>
            </w:r>
          </w:p>
        </w:tc>
        <w:tc>
          <w:tcPr>
            <w:tcW w:w="1486" w:type="dxa"/>
            <w:shd w:val="clear" w:color="auto" w:fill="B5C0D8"/>
          </w:tcPr>
          <w:p w:rsidR="00D849AA" w:rsidRPr="00A202BD" w:rsidRDefault="00EE6D95">
            <w:pPr>
              <w:pStyle w:val="CellHeader"/>
            </w:pPr>
            <w:r w:rsidRPr="00A202BD">
              <w:t>Plan 2013.</w:t>
            </w:r>
          </w:p>
        </w:tc>
        <w:tc>
          <w:tcPr>
            <w:tcW w:w="1486" w:type="dxa"/>
            <w:shd w:val="clear" w:color="auto" w:fill="B5C0D8"/>
          </w:tcPr>
          <w:p w:rsidR="00D849AA" w:rsidRPr="00A202BD" w:rsidRDefault="00EE6D95">
            <w:pPr>
              <w:pStyle w:val="CellHeader"/>
            </w:pPr>
            <w:r w:rsidRPr="00A202BD">
              <w:t>Plan 2014.</w:t>
            </w:r>
          </w:p>
        </w:tc>
        <w:tc>
          <w:tcPr>
            <w:tcW w:w="1486" w:type="dxa"/>
            <w:shd w:val="clear" w:color="auto" w:fill="B5C0D8"/>
          </w:tcPr>
          <w:p w:rsidR="00D849AA" w:rsidRPr="00A202BD" w:rsidRDefault="00EE6D95">
            <w:pPr>
              <w:pStyle w:val="CellHeader"/>
            </w:pPr>
            <w:r w:rsidRPr="00A202BD">
              <w:t>Plan 2015.</w:t>
            </w:r>
          </w:p>
        </w:tc>
        <w:tc>
          <w:tcPr>
            <w:tcW w:w="1486" w:type="dxa"/>
            <w:shd w:val="clear" w:color="auto" w:fill="B5C0D8"/>
          </w:tcPr>
          <w:p w:rsidR="00D849AA" w:rsidRPr="00A202BD" w:rsidRDefault="00EE6D95">
            <w:pPr>
              <w:pStyle w:val="CellHeader"/>
            </w:pPr>
            <w:r w:rsidRPr="00A202BD">
              <w:t>Plan 2016.</w:t>
            </w:r>
          </w:p>
        </w:tc>
        <w:tc>
          <w:tcPr>
            <w:tcW w:w="1486" w:type="dxa"/>
            <w:shd w:val="clear" w:color="auto" w:fill="B5C0D8"/>
          </w:tcPr>
          <w:p w:rsidR="00D849AA" w:rsidRPr="00A202BD" w:rsidRDefault="00EE6D95">
            <w:pPr>
              <w:pStyle w:val="CellHeader"/>
            </w:pPr>
            <w:r w:rsidRPr="00A202BD">
              <w:t>Indeks 2014/2013</w:t>
            </w:r>
          </w:p>
        </w:tc>
      </w:tr>
      <w:tr w:rsidR="00D849AA">
        <w:trPr>
          <w:jc w:val="center"/>
        </w:trPr>
        <w:tc>
          <w:tcPr>
            <w:tcW w:w="1486" w:type="dxa"/>
          </w:tcPr>
          <w:p w:rsidR="00D849AA" w:rsidRPr="00A202BD" w:rsidRDefault="00EE6D95">
            <w:pPr>
              <w:pStyle w:val="CellColumn"/>
            </w:pPr>
            <w:r w:rsidRPr="00A202BD">
              <w:t>K553074</w:t>
            </w:r>
          </w:p>
        </w:tc>
        <w:tc>
          <w:tcPr>
            <w:tcW w:w="1486" w:type="dxa"/>
          </w:tcPr>
          <w:p w:rsidR="00D849AA" w:rsidRPr="00A202BD" w:rsidRDefault="00EE6D95">
            <w:pPr>
              <w:rPr>
                <w:rFonts w:ascii="Arial" w:hAnsi="Arial" w:cs="Arial"/>
              </w:rPr>
            </w:pPr>
            <w:r w:rsidRPr="00A202BD">
              <w:rPr>
                <w:rFonts w:ascii="Arial" w:hAnsi="Arial" w:cs="Arial"/>
              </w:rPr>
              <w:t>29.782.207</w:t>
            </w:r>
          </w:p>
        </w:tc>
        <w:tc>
          <w:tcPr>
            <w:tcW w:w="1486" w:type="dxa"/>
          </w:tcPr>
          <w:p w:rsidR="00D849AA" w:rsidRPr="00A202BD" w:rsidRDefault="00EE6D95">
            <w:pPr>
              <w:rPr>
                <w:rFonts w:ascii="Arial" w:hAnsi="Arial" w:cs="Arial"/>
              </w:rPr>
            </w:pPr>
            <w:r w:rsidRPr="00A202BD">
              <w:rPr>
                <w:rFonts w:ascii="Arial" w:hAnsi="Arial" w:cs="Arial"/>
              </w:rPr>
              <w:t>35.470.000</w:t>
            </w:r>
          </w:p>
        </w:tc>
        <w:tc>
          <w:tcPr>
            <w:tcW w:w="1486" w:type="dxa"/>
          </w:tcPr>
          <w:p w:rsidR="00D849AA" w:rsidRPr="00A202BD" w:rsidRDefault="00EE6D95">
            <w:pPr>
              <w:rPr>
                <w:rFonts w:ascii="Arial" w:hAnsi="Arial" w:cs="Arial"/>
              </w:rPr>
            </w:pPr>
            <w:r w:rsidRPr="00A202BD">
              <w:rPr>
                <w:rFonts w:ascii="Arial" w:hAnsi="Arial" w:cs="Arial"/>
              </w:rPr>
              <w:t>35.470.000</w:t>
            </w:r>
          </w:p>
        </w:tc>
        <w:tc>
          <w:tcPr>
            <w:tcW w:w="1486" w:type="dxa"/>
          </w:tcPr>
          <w:p w:rsidR="00D849AA" w:rsidRPr="00A202BD" w:rsidRDefault="00EE6D95">
            <w:pPr>
              <w:rPr>
                <w:rFonts w:ascii="Arial" w:hAnsi="Arial" w:cs="Arial"/>
              </w:rPr>
            </w:pPr>
            <w:r w:rsidRPr="00A202BD">
              <w:rPr>
                <w:rFonts w:ascii="Arial" w:hAnsi="Arial" w:cs="Arial"/>
              </w:rPr>
              <w:t>48.220.000</w:t>
            </w:r>
          </w:p>
        </w:tc>
        <w:tc>
          <w:tcPr>
            <w:tcW w:w="1486" w:type="dxa"/>
          </w:tcPr>
          <w:p w:rsidR="00D849AA" w:rsidRPr="00A202BD" w:rsidRDefault="00EE6D95">
            <w:pPr>
              <w:rPr>
                <w:rFonts w:ascii="Arial" w:hAnsi="Arial" w:cs="Arial"/>
              </w:rPr>
            </w:pPr>
            <w:r w:rsidRPr="00A202BD">
              <w:rPr>
                <w:rFonts w:ascii="Arial" w:hAnsi="Arial" w:cs="Arial"/>
              </w:rPr>
              <w:t>119,1</w:t>
            </w:r>
          </w:p>
        </w:tc>
      </w:tr>
    </w:tbl>
    <w:p w:rsidR="00D849AA" w:rsidRDefault="00D849AA">
      <w:pPr>
        <w:jc w:val="left"/>
      </w:pPr>
    </w:p>
    <w:p w:rsidR="00D849AA" w:rsidRDefault="00EE6D95">
      <w:pPr>
        <w:pStyle w:val="Normal6"/>
      </w:pPr>
      <w:r>
        <w:t xml:space="preserve">Dobra tehnička i IT opremljenost granične policije jedan je od ključnih čimbenika učinkovitog nadzora državne granice. Granična policija je izradila katalog tehničke opreme sukladno „schengenskim standardima“, po vrstama i količinama koje su potrebne graničnoj policiji za primjenu EU pravne stečevine kao i za nadzor vanjskih granica EU po ulasku u schengensko područje. Kroz ovaj projekt u tu svrhu provodi se daljnje, kontinuirano tehničko opremanje granične policije s ciljem poboljšanja mobilnosti i učinkovitosti na zaštiti kopnene državne granice (nabava opreme, nabava pasa), opremanje graničnih prijelaza sa najsuvremenijom informatičkom i drugom opremom za obavljanje granične kontrole (osobna računala, optički čitači putnih isprava, uređaji za otkrivanje krivotvorenih putnih isprava i drugo), te zanavljanje policijske flote na moru koja sadašnjim brojem i stanjem u potpunosti ne zadovoljava niti trenutne zahtjeve za adekvatnim nadzorom državne granice. </w:t>
      </w:r>
    </w:p>
    <w:p w:rsidR="00D849AA" w:rsidRDefault="00EE6D95">
      <w:pPr>
        <w:pStyle w:val="Normal6"/>
      </w:pPr>
      <w:r>
        <w:lastRenderedPageBreak/>
        <w:t>Efikasan nacionalni informacijski sustav za upravljanje državnom granicom neophodno je sredstvo koje omogućava upravljanje radnim procesima granične policije te kvalitetno obavljanje nadzora državne granice, u funkciji sprečavanja prekograničnog kriminala i nezakonitih migracija uz istovremeno olakšavanje kretanja roba i ljudi. Sustav se temelji na tehnološko-tehničkim naprednim rješenjima.</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62"/>
        <w:gridCol w:w="1114"/>
        <w:gridCol w:w="1486"/>
        <w:gridCol w:w="1486"/>
        <w:gridCol w:w="1486"/>
      </w:tblGrid>
      <w:tr w:rsidR="00D849AA">
        <w:trPr>
          <w:jc w:val="center"/>
        </w:trPr>
        <w:tc>
          <w:tcPr>
            <w:tcW w:w="2229" w:type="dxa"/>
            <w:shd w:val="clear" w:color="auto" w:fill="B5C0D8"/>
          </w:tcPr>
          <w:p w:rsidR="00D849AA" w:rsidRPr="00A202BD" w:rsidRDefault="00EE6D95">
            <w:pPr>
              <w:rPr>
                <w:rFonts w:ascii="Arial" w:hAnsi="Arial" w:cs="Arial"/>
              </w:rPr>
            </w:pPr>
            <w:r w:rsidRPr="00A202BD">
              <w:rPr>
                <w:rFonts w:ascii="Arial" w:hAnsi="Arial" w:cs="Arial"/>
              </w:rPr>
              <w:t>Pokazatelj rezultata</w:t>
            </w:r>
          </w:p>
        </w:tc>
        <w:tc>
          <w:tcPr>
            <w:tcW w:w="1114" w:type="dxa"/>
            <w:shd w:val="clear" w:color="auto" w:fill="B5C0D8"/>
          </w:tcPr>
          <w:p w:rsidR="00D849AA" w:rsidRPr="00A202BD" w:rsidRDefault="00EE6D95">
            <w:pPr>
              <w:pStyle w:val="CellHeader"/>
            </w:pPr>
            <w:r w:rsidRPr="00A202BD">
              <w:t>Jedinica</w:t>
            </w:r>
          </w:p>
        </w:tc>
        <w:tc>
          <w:tcPr>
            <w:tcW w:w="1114" w:type="dxa"/>
            <w:shd w:val="clear" w:color="auto" w:fill="B5C0D8"/>
          </w:tcPr>
          <w:p w:rsidR="00D849AA" w:rsidRPr="00A202BD" w:rsidRDefault="00EE6D95">
            <w:pPr>
              <w:pStyle w:val="CellHeader"/>
            </w:pPr>
            <w:r w:rsidRPr="00A202BD">
              <w:t>Polazna vrijednost</w:t>
            </w:r>
          </w:p>
        </w:tc>
        <w:tc>
          <w:tcPr>
            <w:tcW w:w="1486" w:type="dxa"/>
            <w:shd w:val="clear" w:color="auto" w:fill="B5C0D8"/>
          </w:tcPr>
          <w:p w:rsidR="00D849AA" w:rsidRPr="00A202BD" w:rsidRDefault="00EE6D95">
            <w:pPr>
              <w:pStyle w:val="CellHeader"/>
            </w:pPr>
            <w:r w:rsidRPr="00A202BD">
              <w:t>Ciljana vrijednost (2014.)</w:t>
            </w:r>
          </w:p>
        </w:tc>
        <w:tc>
          <w:tcPr>
            <w:tcW w:w="1486" w:type="dxa"/>
            <w:shd w:val="clear" w:color="auto" w:fill="B5C0D8"/>
          </w:tcPr>
          <w:p w:rsidR="00D849AA" w:rsidRPr="00A202BD" w:rsidRDefault="00EE6D95">
            <w:pPr>
              <w:pStyle w:val="CellHeader"/>
            </w:pPr>
            <w:r w:rsidRPr="00A202BD">
              <w:t>Ciljana vrijednost (2015.)</w:t>
            </w:r>
          </w:p>
        </w:tc>
        <w:tc>
          <w:tcPr>
            <w:tcW w:w="1486" w:type="dxa"/>
            <w:shd w:val="clear" w:color="auto" w:fill="B5C0D8"/>
          </w:tcPr>
          <w:p w:rsidR="00D849AA" w:rsidRPr="00A202BD" w:rsidRDefault="00EE6D95">
            <w:pPr>
              <w:pStyle w:val="CellHeader"/>
            </w:pPr>
            <w:r w:rsidRPr="00A202BD">
              <w:t>Ciljana vrijednost (2016.)</w:t>
            </w:r>
          </w:p>
        </w:tc>
      </w:tr>
      <w:tr w:rsidR="00D849AA">
        <w:trPr>
          <w:jc w:val="center"/>
        </w:trPr>
        <w:tc>
          <w:tcPr>
            <w:tcW w:w="2229" w:type="dxa"/>
          </w:tcPr>
          <w:p w:rsidR="00D849AA" w:rsidRPr="00A202BD" w:rsidRDefault="00EE6D95">
            <w:pPr>
              <w:pStyle w:val="CellColumn"/>
            </w:pPr>
            <w:r w:rsidRPr="00A202BD">
              <w:t>Provedena specijalistička obuka službenika granične policije</w:t>
            </w:r>
          </w:p>
        </w:tc>
        <w:tc>
          <w:tcPr>
            <w:tcW w:w="1114" w:type="dxa"/>
          </w:tcPr>
          <w:p w:rsidR="00D849AA" w:rsidRPr="00A202BD" w:rsidRDefault="00EE6D95">
            <w:pPr>
              <w:rPr>
                <w:rFonts w:ascii="Arial" w:hAnsi="Arial" w:cs="Arial"/>
              </w:rPr>
            </w:pPr>
            <w:r w:rsidRPr="00A202BD">
              <w:rPr>
                <w:rFonts w:ascii="Arial" w:hAnsi="Arial" w:cs="Arial"/>
              </w:rPr>
              <w:t>Broj obučenih policijskih službenika</w:t>
            </w:r>
          </w:p>
        </w:tc>
        <w:tc>
          <w:tcPr>
            <w:tcW w:w="1114" w:type="dxa"/>
          </w:tcPr>
          <w:p w:rsidR="00D849AA" w:rsidRPr="00A202BD" w:rsidRDefault="00EE6D95">
            <w:pPr>
              <w:rPr>
                <w:rFonts w:ascii="Arial" w:hAnsi="Arial" w:cs="Arial"/>
              </w:rPr>
            </w:pPr>
            <w:r w:rsidRPr="00A202BD">
              <w:rPr>
                <w:rFonts w:ascii="Arial" w:hAnsi="Arial" w:cs="Arial"/>
              </w:rPr>
              <w:t>5.700</w:t>
            </w:r>
          </w:p>
        </w:tc>
        <w:tc>
          <w:tcPr>
            <w:tcW w:w="1486" w:type="dxa"/>
          </w:tcPr>
          <w:p w:rsidR="00D849AA" w:rsidRPr="00A202BD" w:rsidRDefault="00EE6D95">
            <w:pPr>
              <w:rPr>
                <w:rFonts w:ascii="Arial" w:hAnsi="Arial" w:cs="Arial"/>
              </w:rPr>
            </w:pPr>
            <w:r w:rsidRPr="00A202BD">
              <w:rPr>
                <w:rFonts w:ascii="Arial" w:hAnsi="Arial" w:cs="Arial"/>
              </w:rPr>
              <w:t>5.900</w:t>
            </w:r>
          </w:p>
        </w:tc>
        <w:tc>
          <w:tcPr>
            <w:tcW w:w="1486" w:type="dxa"/>
          </w:tcPr>
          <w:p w:rsidR="00D849AA" w:rsidRPr="00A202BD" w:rsidRDefault="00EE6D95">
            <w:pPr>
              <w:rPr>
                <w:rFonts w:ascii="Arial" w:hAnsi="Arial" w:cs="Arial"/>
              </w:rPr>
            </w:pPr>
            <w:r w:rsidRPr="00A202BD">
              <w:rPr>
                <w:rFonts w:ascii="Arial" w:hAnsi="Arial" w:cs="Arial"/>
              </w:rPr>
              <w:t>6.000</w:t>
            </w:r>
          </w:p>
        </w:tc>
        <w:tc>
          <w:tcPr>
            <w:tcW w:w="1486" w:type="dxa"/>
          </w:tcPr>
          <w:p w:rsidR="00D849AA" w:rsidRPr="00A202BD" w:rsidRDefault="00EE6D95">
            <w:pPr>
              <w:rPr>
                <w:rFonts w:ascii="Arial" w:hAnsi="Arial" w:cs="Arial"/>
              </w:rPr>
            </w:pPr>
            <w:r w:rsidRPr="00A202BD">
              <w:rPr>
                <w:rFonts w:ascii="Arial" w:hAnsi="Arial" w:cs="Arial"/>
              </w:rPr>
              <w:t>6.100</w:t>
            </w:r>
          </w:p>
        </w:tc>
      </w:tr>
      <w:tr w:rsidR="00D849AA">
        <w:trPr>
          <w:jc w:val="center"/>
        </w:trPr>
        <w:tc>
          <w:tcPr>
            <w:tcW w:w="2229" w:type="dxa"/>
          </w:tcPr>
          <w:p w:rsidR="00D849AA" w:rsidRPr="00A202BD" w:rsidRDefault="00EE6D95">
            <w:pPr>
              <w:pStyle w:val="CellColumn"/>
            </w:pPr>
            <w:r w:rsidRPr="00A202BD">
              <w:t>Proširenje sustava praćenja policijske flote putem ustava TETRA</w:t>
            </w:r>
          </w:p>
        </w:tc>
        <w:tc>
          <w:tcPr>
            <w:tcW w:w="1114" w:type="dxa"/>
          </w:tcPr>
          <w:p w:rsidR="00D849AA" w:rsidRPr="00A202BD" w:rsidRDefault="00EE6D95">
            <w:pPr>
              <w:rPr>
                <w:rFonts w:ascii="Arial" w:hAnsi="Arial" w:cs="Arial"/>
              </w:rPr>
            </w:pPr>
            <w:r w:rsidRPr="00A202BD">
              <w:rPr>
                <w:rFonts w:ascii="Arial" w:hAnsi="Arial" w:cs="Arial"/>
              </w:rPr>
              <w:t>%</w:t>
            </w:r>
          </w:p>
        </w:tc>
        <w:tc>
          <w:tcPr>
            <w:tcW w:w="1114" w:type="dxa"/>
          </w:tcPr>
          <w:p w:rsidR="00D849AA" w:rsidRPr="00A202BD" w:rsidRDefault="00EE6D95">
            <w:pPr>
              <w:rPr>
                <w:rFonts w:ascii="Arial" w:hAnsi="Arial" w:cs="Arial"/>
              </w:rPr>
            </w:pPr>
            <w:r w:rsidRPr="00A202BD">
              <w:rPr>
                <w:rFonts w:ascii="Arial" w:hAnsi="Arial" w:cs="Arial"/>
              </w:rPr>
              <w:t>70</w:t>
            </w:r>
          </w:p>
        </w:tc>
        <w:tc>
          <w:tcPr>
            <w:tcW w:w="1486" w:type="dxa"/>
          </w:tcPr>
          <w:p w:rsidR="00D849AA" w:rsidRPr="00A202BD" w:rsidRDefault="00EE6D95">
            <w:pPr>
              <w:rPr>
                <w:rFonts w:ascii="Arial" w:hAnsi="Arial" w:cs="Arial"/>
              </w:rPr>
            </w:pPr>
            <w:r w:rsidRPr="00A202BD">
              <w:rPr>
                <w:rFonts w:ascii="Arial" w:hAnsi="Arial" w:cs="Arial"/>
              </w:rPr>
              <w:t>70</w:t>
            </w:r>
          </w:p>
        </w:tc>
        <w:tc>
          <w:tcPr>
            <w:tcW w:w="1486" w:type="dxa"/>
          </w:tcPr>
          <w:p w:rsidR="00D849AA" w:rsidRPr="00A202BD" w:rsidRDefault="00EE6D95">
            <w:pPr>
              <w:rPr>
                <w:rFonts w:ascii="Arial" w:hAnsi="Arial" w:cs="Arial"/>
              </w:rPr>
            </w:pPr>
            <w:r w:rsidRPr="00A202BD">
              <w:rPr>
                <w:rFonts w:ascii="Arial" w:hAnsi="Arial" w:cs="Arial"/>
              </w:rPr>
              <w:t>100</w:t>
            </w:r>
          </w:p>
        </w:tc>
        <w:tc>
          <w:tcPr>
            <w:tcW w:w="1486" w:type="dxa"/>
          </w:tcPr>
          <w:p w:rsidR="00D849AA" w:rsidRPr="00A202BD" w:rsidRDefault="00EE6D95">
            <w:pPr>
              <w:rPr>
                <w:rFonts w:ascii="Arial" w:hAnsi="Arial" w:cs="Arial"/>
              </w:rPr>
            </w:pPr>
            <w:r w:rsidRPr="00A202BD">
              <w:rPr>
                <w:rFonts w:ascii="Arial" w:hAnsi="Arial" w:cs="Arial"/>
              </w:rPr>
              <w:t>-</w:t>
            </w:r>
          </w:p>
        </w:tc>
      </w:tr>
      <w:tr w:rsidR="00D849AA">
        <w:trPr>
          <w:jc w:val="center"/>
        </w:trPr>
        <w:tc>
          <w:tcPr>
            <w:tcW w:w="2229" w:type="dxa"/>
          </w:tcPr>
          <w:p w:rsidR="00D849AA" w:rsidRPr="00A202BD" w:rsidRDefault="00EE6D95">
            <w:pPr>
              <w:pStyle w:val="CellColumn"/>
            </w:pPr>
            <w:r w:rsidRPr="00A202BD">
              <w:t>Nabava opreme za potrebe proširenja sustava nadzora pomorske plovidbe (VTMS)</w:t>
            </w:r>
          </w:p>
        </w:tc>
        <w:tc>
          <w:tcPr>
            <w:tcW w:w="1114" w:type="dxa"/>
          </w:tcPr>
          <w:p w:rsidR="00D849AA" w:rsidRPr="00A202BD" w:rsidRDefault="00EE6D95">
            <w:pPr>
              <w:rPr>
                <w:rFonts w:ascii="Arial" w:hAnsi="Arial" w:cs="Arial"/>
              </w:rPr>
            </w:pPr>
            <w:r w:rsidRPr="00A202BD">
              <w:rPr>
                <w:rFonts w:ascii="Arial" w:hAnsi="Arial" w:cs="Arial"/>
              </w:rPr>
              <w:t>%</w:t>
            </w:r>
          </w:p>
        </w:tc>
        <w:tc>
          <w:tcPr>
            <w:tcW w:w="1114" w:type="dxa"/>
          </w:tcPr>
          <w:p w:rsidR="00D849AA" w:rsidRPr="00A202BD" w:rsidRDefault="00EE6D95">
            <w:pPr>
              <w:rPr>
                <w:rFonts w:ascii="Arial" w:hAnsi="Arial" w:cs="Arial"/>
              </w:rPr>
            </w:pPr>
            <w:r w:rsidRPr="00A202BD">
              <w:rPr>
                <w:rFonts w:ascii="Arial" w:hAnsi="Arial" w:cs="Arial"/>
              </w:rPr>
              <w:t>70</w:t>
            </w:r>
          </w:p>
        </w:tc>
        <w:tc>
          <w:tcPr>
            <w:tcW w:w="1486" w:type="dxa"/>
          </w:tcPr>
          <w:p w:rsidR="00D849AA" w:rsidRPr="00A202BD" w:rsidRDefault="00EE6D95">
            <w:pPr>
              <w:rPr>
                <w:rFonts w:ascii="Arial" w:hAnsi="Arial" w:cs="Arial"/>
              </w:rPr>
            </w:pPr>
            <w:r w:rsidRPr="00A202BD">
              <w:rPr>
                <w:rFonts w:ascii="Arial" w:hAnsi="Arial" w:cs="Arial"/>
              </w:rPr>
              <w:t>710</w:t>
            </w:r>
          </w:p>
        </w:tc>
        <w:tc>
          <w:tcPr>
            <w:tcW w:w="1486" w:type="dxa"/>
          </w:tcPr>
          <w:p w:rsidR="00D849AA" w:rsidRPr="00A202BD" w:rsidRDefault="00EE6D95">
            <w:pPr>
              <w:rPr>
                <w:rFonts w:ascii="Arial" w:hAnsi="Arial" w:cs="Arial"/>
              </w:rPr>
            </w:pPr>
            <w:r w:rsidRPr="00A202BD">
              <w:rPr>
                <w:rFonts w:ascii="Arial" w:hAnsi="Arial" w:cs="Arial"/>
              </w:rPr>
              <w:t>100</w:t>
            </w:r>
          </w:p>
        </w:tc>
        <w:tc>
          <w:tcPr>
            <w:tcW w:w="1486" w:type="dxa"/>
          </w:tcPr>
          <w:p w:rsidR="00D849AA" w:rsidRPr="00A202BD" w:rsidRDefault="00EE6D95">
            <w:pPr>
              <w:rPr>
                <w:rFonts w:ascii="Arial" w:hAnsi="Arial" w:cs="Arial"/>
              </w:rPr>
            </w:pPr>
            <w:r w:rsidRPr="00A202BD">
              <w:rPr>
                <w:rFonts w:ascii="Arial" w:hAnsi="Arial" w:cs="Arial"/>
              </w:rPr>
              <w:t>-</w:t>
            </w:r>
          </w:p>
        </w:tc>
      </w:tr>
    </w:tbl>
    <w:p w:rsidR="00D849AA" w:rsidRDefault="00D849AA">
      <w:pPr>
        <w:jc w:val="left"/>
      </w:pPr>
    </w:p>
    <w:p w:rsidR="00D849AA" w:rsidRDefault="00EE6D95">
      <w:pPr>
        <w:pStyle w:val="Naslov2"/>
      </w:pPr>
      <w:r>
        <w:t>04030 Proračunski korisnici u funkciji zaštite i spašavanja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A202BD" w:rsidRDefault="00D849AA">
            <w:pPr>
              <w:pStyle w:val="CellHeader"/>
            </w:pPr>
          </w:p>
        </w:tc>
        <w:tc>
          <w:tcPr>
            <w:tcW w:w="1486" w:type="dxa"/>
            <w:shd w:val="clear" w:color="auto" w:fill="B5C0D8"/>
          </w:tcPr>
          <w:p w:rsidR="00D849AA" w:rsidRPr="00A202BD" w:rsidRDefault="00EE6D95">
            <w:pPr>
              <w:pStyle w:val="CellHeader"/>
            </w:pPr>
            <w:r w:rsidRPr="00A202BD">
              <w:t>Plan 2013.</w:t>
            </w:r>
          </w:p>
        </w:tc>
        <w:tc>
          <w:tcPr>
            <w:tcW w:w="1486" w:type="dxa"/>
            <w:shd w:val="clear" w:color="auto" w:fill="B5C0D8"/>
          </w:tcPr>
          <w:p w:rsidR="00D849AA" w:rsidRPr="00A202BD" w:rsidRDefault="00EE6D95">
            <w:pPr>
              <w:pStyle w:val="CellHeader"/>
            </w:pPr>
            <w:r w:rsidRPr="00A202BD">
              <w:t>Plan 2014.</w:t>
            </w:r>
          </w:p>
        </w:tc>
        <w:tc>
          <w:tcPr>
            <w:tcW w:w="1486" w:type="dxa"/>
            <w:shd w:val="clear" w:color="auto" w:fill="B5C0D8"/>
          </w:tcPr>
          <w:p w:rsidR="00D849AA" w:rsidRPr="00A202BD" w:rsidRDefault="00EE6D95">
            <w:pPr>
              <w:pStyle w:val="CellHeader"/>
            </w:pPr>
            <w:r w:rsidRPr="00A202BD">
              <w:t>Plan 2015.</w:t>
            </w:r>
          </w:p>
        </w:tc>
        <w:tc>
          <w:tcPr>
            <w:tcW w:w="1486" w:type="dxa"/>
            <w:shd w:val="clear" w:color="auto" w:fill="B5C0D8"/>
          </w:tcPr>
          <w:p w:rsidR="00D849AA" w:rsidRPr="00A202BD" w:rsidRDefault="00EE6D95">
            <w:pPr>
              <w:pStyle w:val="CellHeader"/>
            </w:pPr>
            <w:r w:rsidRPr="00A202BD">
              <w:t>Plan 2016.</w:t>
            </w:r>
          </w:p>
        </w:tc>
        <w:tc>
          <w:tcPr>
            <w:tcW w:w="1486" w:type="dxa"/>
            <w:shd w:val="clear" w:color="auto" w:fill="B5C0D8"/>
          </w:tcPr>
          <w:p w:rsidR="00D849AA" w:rsidRPr="00A202BD" w:rsidRDefault="00EE6D95">
            <w:pPr>
              <w:pStyle w:val="CellHeader"/>
            </w:pPr>
            <w:r w:rsidRPr="00A202BD">
              <w:t>Indeks 2014/2013</w:t>
            </w:r>
          </w:p>
        </w:tc>
      </w:tr>
      <w:tr w:rsidR="00D849AA">
        <w:trPr>
          <w:jc w:val="center"/>
        </w:trPr>
        <w:tc>
          <w:tcPr>
            <w:tcW w:w="1486" w:type="dxa"/>
          </w:tcPr>
          <w:p w:rsidR="00D849AA" w:rsidRPr="00A202BD" w:rsidRDefault="00EE6D95">
            <w:pPr>
              <w:pStyle w:val="CellColumn"/>
            </w:pPr>
            <w:r w:rsidRPr="00A202BD">
              <w:t>21908</w:t>
            </w:r>
          </w:p>
        </w:tc>
        <w:tc>
          <w:tcPr>
            <w:tcW w:w="1486" w:type="dxa"/>
          </w:tcPr>
          <w:p w:rsidR="00D849AA" w:rsidRPr="00A202BD" w:rsidRDefault="00EE6D95">
            <w:pPr>
              <w:rPr>
                <w:rFonts w:ascii="Arial" w:hAnsi="Arial" w:cs="Arial"/>
              </w:rPr>
            </w:pPr>
            <w:r w:rsidRPr="00A202BD">
              <w:rPr>
                <w:rFonts w:ascii="Arial" w:hAnsi="Arial" w:cs="Arial"/>
              </w:rPr>
              <w:t>11.435.290</w:t>
            </w:r>
          </w:p>
        </w:tc>
        <w:tc>
          <w:tcPr>
            <w:tcW w:w="1486" w:type="dxa"/>
          </w:tcPr>
          <w:p w:rsidR="00D849AA" w:rsidRPr="00A202BD" w:rsidRDefault="00EE6D95">
            <w:pPr>
              <w:rPr>
                <w:rFonts w:ascii="Arial" w:hAnsi="Arial" w:cs="Arial"/>
              </w:rPr>
            </w:pPr>
            <w:r w:rsidRPr="00A202BD">
              <w:rPr>
                <w:rFonts w:ascii="Arial" w:hAnsi="Arial" w:cs="Arial"/>
              </w:rPr>
              <w:t>12.461.380</w:t>
            </w:r>
          </w:p>
        </w:tc>
        <w:tc>
          <w:tcPr>
            <w:tcW w:w="1486" w:type="dxa"/>
          </w:tcPr>
          <w:p w:rsidR="00D849AA" w:rsidRPr="00A202BD" w:rsidRDefault="00EE6D95">
            <w:pPr>
              <w:rPr>
                <w:rFonts w:ascii="Arial" w:hAnsi="Arial" w:cs="Arial"/>
              </w:rPr>
            </w:pPr>
            <w:r w:rsidRPr="00A202BD">
              <w:rPr>
                <w:rFonts w:ascii="Arial" w:hAnsi="Arial" w:cs="Arial"/>
              </w:rPr>
              <w:t>12.217.380</w:t>
            </w:r>
          </w:p>
        </w:tc>
        <w:tc>
          <w:tcPr>
            <w:tcW w:w="1486" w:type="dxa"/>
          </w:tcPr>
          <w:p w:rsidR="00D849AA" w:rsidRPr="00A202BD" w:rsidRDefault="00EE6D95">
            <w:pPr>
              <w:rPr>
                <w:rFonts w:ascii="Arial" w:hAnsi="Arial" w:cs="Arial"/>
              </w:rPr>
            </w:pPr>
            <w:r w:rsidRPr="00A202BD">
              <w:rPr>
                <w:rFonts w:ascii="Arial" w:hAnsi="Arial" w:cs="Arial"/>
              </w:rPr>
              <w:t>12.337.480</w:t>
            </w:r>
          </w:p>
        </w:tc>
        <w:tc>
          <w:tcPr>
            <w:tcW w:w="1486" w:type="dxa"/>
          </w:tcPr>
          <w:p w:rsidR="00D849AA" w:rsidRPr="00A202BD" w:rsidRDefault="00EE6D95">
            <w:pPr>
              <w:rPr>
                <w:rFonts w:ascii="Arial" w:hAnsi="Arial" w:cs="Arial"/>
              </w:rPr>
            </w:pPr>
            <w:r w:rsidRPr="00A202BD">
              <w:rPr>
                <w:rFonts w:ascii="Arial" w:hAnsi="Arial" w:cs="Arial"/>
              </w:rPr>
              <w:t>109,0</w:t>
            </w:r>
          </w:p>
        </w:tc>
      </w:tr>
      <w:tr w:rsidR="00D849AA">
        <w:trPr>
          <w:jc w:val="center"/>
        </w:trPr>
        <w:tc>
          <w:tcPr>
            <w:tcW w:w="1486" w:type="dxa"/>
          </w:tcPr>
          <w:p w:rsidR="00D849AA" w:rsidRPr="00A202BD" w:rsidRDefault="00EE6D95">
            <w:pPr>
              <w:pStyle w:val="CellColumn"/>
            </w:pPr>
            <w:r w:rsidRPr="00A202BD">
              <w:t>28305</w:t>
            </w:r>
          </w:p>
        </w:tc>
        <w:tc>
          <w:tcPr>
            <w:tcW w:w="1486" w:type="dxa"/>
          </w:tcPr>
          <w:p w:rsidR="00D849AA" w:rsidRPr="00A202BD" w:rsidRDefault="00EE6D95">
            <w:pPr>
              <w:rPr>
                <w:rFonts w:ascii="Arial" w:hAnsi="Arial" w:cs="Arial"/>
              </w:rPr>
            </w:pPr>
            <w:r w:rsidRPr="00A202BD">
              <w:rPr>
                <w:rFonts w:ascii="Arial" w:hAnsi="Arial" w:cs="Arial"/>
              </w:rPr>
              <w:t>163.191.350</w:t>
            </w:r>
          </w:p>
        </w:tc>
        <w:tc>
          <w:tcPr>
            <w:tcW w:w="1486" w:type="dxa"/>
          </w:tcPr>
          <w:p w:rsidR="00D849AA" w:rsidRPr="00A202BD" w:rsidRDefault="00EE6D95">
            <w:pPr>
              <w:rPr>
                <w:rFonts w:ascii="Arial" w:hAnsi="Arial" w:cs="Arial"/>
              </w:rPr>
            </w:pPr>
            <w:r w:rsidRPr="00A202BD">
              <w:rPr>
                <w:rFonts w:ascii="Arial" w:hAnsi="Arial" w:cs="Arial"/>
              </w:rPr>
              <w:t>168.205.083</w:t>
            </w:r>
          </w:p>
        </w:tc>
        <w:tc>
          <w:tcPr>
            <w:tcW w:w="1486" w:type="dxa"/>
          </w:tcPr>
          <w:p w:rsidR="00D849AA" w:rsidRPr="00A202BD" w:rsidRDefault="00EE6D95">
            <w:pPr>
              <w:rPr>
                <w:rFonts w:ascii="Arial" w:hAnsi="Arial" w:cs="Arial"/>
              </w:rPr>
            </w:pPr>
            <w:r w:rsidRPr="00A202BD">
              <w:rPr>
                <w:rFonts w:ascii="Arial" w:hAnsi="Arial" w:cs="Arial"/>
              </w:rPr>
              <w:t>164.790.000</w:t>
            </w:r>
          </w:p>
        </w:tc>
        <w:tc>
          <w:tcPr>
            <w:tcW w:w="1486" w:type="dxa"/>
          </w:tcPr>
          <w:p w:rsidR="00D849AA" w:rsidRPr="00A202BD" w:rsidRDefault="00EE6D95">
            <w:pPr>
              <w:rPr>
                <w:rFonts w:ascii="Arial" w:hAnsi="Arial" w:cs="Arial"/>
              </w:rPr>
            </w:pPr>
            <w:r w:rsidRPr="00A202BD">
              <w:rPr>
                <w:rFonts w:ascii="Arial" w:hAnsi="Arial" w:cs="Arial"/>
              </w:rPr>
              <w:t>165.572.000</w:t>
            </w:r>
          </w:p>
        </w:tc>
        <w:tc>
          <w:tcPr>
            <w:tcW w:w="1486" w:type="dxa"/>
          </w:tcPr>
          <w:p w:rsidR="00D849AA" w:rsidRPr="00A202BD" w:rsidRDefault="00EE6D95">
            <w:pPr>
              <w:rPr>
                <w:rFonts w:ascii="Arial" w:hAnsi="Arial" w:cs="Arial"/>
              </w:rPr>
            </w:pPr>
            <w:r w:rsidRPr="00A202BD">
              <w:rPr>
                <w:rFonts w:ascii="Arial" w:hAnsi="Arial" w:cs="Arial"/>
              </w:rPr>
              <w:t>103,1</w:t>
            </w:r>
          </w:p>
        </w:tc>
      </w:tr>
    </w:tbl>
    <w:p w:rsidR="00D849AA" w:rsidRDefault="00D849AA">
      <w:pPr>
        <w:jc w:val="left"/>
      </w:pPr>
    </w:p>
    <w:p w:rsidR="00D849AA" w:rsidRDefault="00EE6D95">
      <w:pPr>
        <w:pStyle w:val="Naslov3"/>
      </w:pPr>
      <w:r>
        <w:t>21908 Hrvatska vatrogasna zajednica</w:t>
      </w:r>
    </w:p>
    <w:p w:rsidR="00D849AA" w:rsidRDefault="00EE6D95">
      <w:pPr>
        <w:pStyle w:val="Naslov4"/>
      </w:pPr>
      <w:r>
        <w:t>Uvod</w:t>
      </w:r>
    </w:p>
    <w:p w:rsidR="00D849AA" w:rsidRDefault="00EE6D95">
      <w:pPr>
        <w:pStyle w:val="Normal5"/>
      </w:pPr>
      <w:r>
        <w:t xml:space="preserve">Hrvatska vatrogasna zajednica je stručna i humanitarna udruga vatrogasnih zajednica županija i Vatrogasne zajednice Grada Zagreba, u koje je  udruženo 1.891 dobrovoljnih vatrogasnih društava i 95 profesionalnih vatrogasnih postrojbi s oko 60 tisuća vatrogasaca, od kojih je oko  95 % dobrovoljnih i oko 5% profesionalnih vatrogasaca, te s oko 25 tisuća pripadnika podmlatka i vatrogasne mladeži i koji raspolažu s ukupno 3.155 specijaliziranih vatrogasnih vozila.  </w:t>
      </w:r>
    </w:p>
    <w:p w:rsidR="00D849AA" w:rsidRDefault="00EE6D95">
      <w:pPr>
        <w:pStyle w:val="Normal5"/>
      </w:pPr>
      <w:r>
        <w:t xml:space="preserve">Zadaća Hrvatske vatrogasne zajednice je organiziranje cjelokupnog vatrogasnog sustava za učinkovitu provedbu vatrogasne djelatnosti, razvijanje vatrogastva sukladno gospodarskom i tehnološkom razvoju društva, provođenje mjera za ujednačavanje stupnja zaštite od požara na </w:t>
      </w:r>
      <w:r>
        <w:lastRenderedPageBreak/>
        <w:t xml:space="preserve">cijelom teritoriju Republike Hrvatske te preventivno djelovanje u pogledu smanjenja rizika od nastajanja požara i drugih nesreća. </w:t>
      </w:r>
    </w:p>
    <w:p w:rsidR="00D849AA" w:rsidRDefault="00EE6D95">
      <w:pPr>
        <w:pStyle w:val="Normal5"/>
      </w:pPr>
      <w:r>
        <w:t>Hrvatska vatrogasna zajednica je članica Međunarodne zajednice vatrogasnih i spasilačkih službi (CTIF). Kao članica CTIF-a sudjeluje u radu njezinih stručnih odbora, promiče izmjenu iskustava i znanja te organizira sudjelovanje na međunarodnim vatrogasnim savjetovanjima i natjecanjima CTIF-a.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A202BD" w:rsidRDefault="00D849AA">
            <w:pPr>
              <w:pStyle w:val="CellHeader"/>
            </w:pPr>
          </w:p>
        </w:tc>
        <w:tc>
          <w:tcPr>
            <w:tcW w:w="1486" w:type="dxa"/>
            <w:shd w:val="clear" w:color="auto" w:fill="B5C0D8"/>
          </w:tcPr>
          <w:p w:rsidR="00D849AA" w:rsidRPr="00A202BD" w:rsidRDefault="00EE6D95">
            <w:pPr>
              <w:pStyle w:val="CellHeader"/>
            </w:pPr>
            <w:r w:rsidRPr="00A202BD">
              <w:t>Plan 2013.</w:t>
            </w:r>
          </w:p>
        </w:tc>
        <w:tc>
          <w:tcPr>
            <w:tcW w:w="1486" w:type="dxa"/>
            <w:shd w:val="clear" w:color="auto" w:fill="B5C0D8"/>
          </w:tcPr>
          <w:p w:rsidR="00D849AA" w:rsidRPr="00A202BD" w:rsidRDefault="00EE6D95">
            <w:pPr>
              <w:pStyle w:val="CellHeader"/>
            </w:pPr>
            <w:r w:rsidRPr="00A202BD">
              <w:t>Plan 2014.</w:t>
            </w:r>
          </w:p>
        </w:tc>
        <w:tc>
          <w:tcPr>
            <w:tcW w:w="1486" w:type="dxa"/>
            <w:shd w:val="clear" w:color="auto" w:fill="B5C0D8"/>
          </w:tcPr>
          <w:p w:rsidR="00D849AA" w:rsidRPr="00A202BD" w:rsidRDefault="00EE6D95">
            <w:pPr>
              <w:pStyle w:val="CellHeader"/>
            </w:pPr>
            <w:r w:rsidRPr="00A202BD">
              <w:t>Plan 2015.</w:t>
            </w:r>
          </w:p>
        </w:tc>
        <w:tc>
          <w:tcPr>
            <w:tcW w:w="1486" w:type="dxa"/>
            <w:shd w:val="clear" w:color="auto" w:fill="B5C0D8"/>
          </w:tcPr>
          <w:p w:rsidR="00D849AA" w:rsidRPr="00A202BD" w:rsidRDefault="00EE6D95">
            <w:pPr>
              <w:pStyle w:val="CellHeader"/>
            </w:pPr>
            <w:r w:rsidRPr="00A202BD">
              <w:t>Plan 2016.</w:t>
            </w:r>
          </w:p>
        </w:tc>
        <w:tc>
          <w:tcPr>
            <w:tcW w:w="1486" w:type="dxa"/>
            <w:shd w:val="clear" w:color="auto" w:fill="B5C0D8"/>
          </w:tcPr>
          <w:p w:rsidR="00D849AA" w:rsidRPr="00A202BD" w:rsidRDefault="00EE6D95">
            <w:pPr>
              <w:pStyle w:val="CellHeader"/>
            </w:pPr>
            <w:r w:rsidRPr="00A202BD">
              <w:t>Indeks 2014/2013</w:t>
            </w:r>
          </w:p>
        </w:tc>
      </w:tr>
      <w:tr w:rsidR="00D849AA">
        <w:trPr>
          <w:jc w:val="center"/>
        </w:trPr>
        <w:tc>
          <w:tcPr>
            <w:tcW w:w="1486" w:type="dxa"/>
          </w:tcPr>
          <w:p w:rsidR="00D849AA" w:rsidRPr="00A202BD" w:rsidRDefault="00EE6D95">
            <w:pPr>
              <w:pStyle w:val="CellColumn"/>
            </w:pPr>
            <w:r w:rsidRPr="00A202BD">
              <w:t>21908</w:t>
            </w:r>
          </w:p>
        </w:tc>
        <w:tc>
          <w:tcPr>
            <w:tcW w:w="1486" w:type="dxa"/>
          </w:tcPr>
          <w:p w:rsidR="00D849AA" w:rsidRPr="00A202BD" w:rsidRDefault="00EE6D95">
            <w:pPr>
              <w:rPr>
                <w:rFonts w:ascii="Arial" w:hAnsi="Arial" w:cs="Arial"/>
              </w:rPr>
            </w:pPr>
            <w:r w:rsidRPr="00A202BD">
              <w:rPr>
                <w:rFonts w:ascii="Arial" w:hAnsi="Arial" w:cs="Arial"/>
              </w:rPr>
              <w:t>11.435.290</w:t>
            </w:r>
          </w:p>
        </w:tc>
        <w:tc>
          <w:tcPr>
            <w:tcW w:w="1486" w:type="dxa"/>
          </w:tcPr>
          <w:p w:rsidR="00D849AA" w:rsidRPr="00A202BD" w:rsidRDefault="00EE6D95">
            <w:pPr>
              <w:rPr>
                <w:rFonts w:ascii="Arial" w:hAnsi="Arial" w:cs="Arial"/>
              </w:rPr>
            </w:pPr>
            <w:r w:rsidRPr="00A202BD">
              <w:rPr>
                <w:rFonts w:ascii="Arial" w:hAnsi="Arial" w:cs="Arial"/>
              </w:rPr>
              <w:t>12.461.380</w:t>
            </w:r>
          </w:p>
        </w:tc>
        <w:tc>
          <w:tcPr>
            <w:tcW w:w="1486" w:type="dxa"/>
          </w:tcPr>
          <w:p w:rsidR="00D849AA" w:rsidRPr="00A202BD" w:rsidRDefault="00EE6D95">
            <w:pPr>
              <w:rPr>
                <w:rFonts w:ascii="Arial" w:hAnsi="Arial" w:cs="Arial"/>
              </w:rPr>
            </w:pPr>
            <w:r w:rsidRPr="00A202BD">
              <w:rPr>
                <w:rFonts w:ascii="Arial" w:hAnsi="Arial" w:cs="Arial"/>
              </w:rPr>
              <w:t>12.217.380</w:t>
            </w:r>
          </w:p>
        </w:tc>
        <w:tc>
          <w:tcPr>
            <w:tcW w:w="1486" w:type="dxa"/>
          </w:tcPr>
          <w:p w:rsidR="00D849AA" w:rsidRPr="00A202BD" w:rsidRDefault="00EE6D95">
            <w:pPr>
              <w:rPr>
                <w:rFonts w:ascii="Arial" w:hAnsi="Arial" w:cs="Arial"/>
              </w:rPr>
            </w:pPr>
            <w:r w:rsidRPr="00A202BD">
              <w:rPr>
                <w:rFonts w:ascii="Arial" w:hAnsi="Arial" w:cs="Arial"/>
              </w:rPr>
              <w:t>12.337.480</w:t>
            </w:r>
          </w:p>
        </w:tc>
        <w:tc>
          <w:tcPr>
            <w:tcW w:w="1486" w:type="dxa"/>
          </w:tcPr>
          <w:p w:rsidR="00D849AA" w:rsidRPr="00A202BD" w:rsidRDefault="00EE6D95">
            <w:pPr>
              <w:rPr>
                <w:rFonts w:ascii="Arial" w:hAnsi="Arial" w:cs="Arial"/>
              </w:rPr>
            </w:pPr>
            <w:r w:rsidRPr="00A202BD">
              <w:rPr>
                <w:rFonts w:ascii="Arial" w:hAnsi="Arial" w:cs="Arial"/>
              </w:rPr>
              <w:t>109,0</w:t>
            </w:r>
          </w:p>
        </w:tc>
      </w:tr>
    </w:tbl>
    <w:p w:rsidR="00D849AA" w:rsidRDefault="00D849AA">
      <w:pPr>
        <w:jc w:val="left"/>
      </w:pPr>
    </w:p>
    <w:p w:rsidR="00D849AA" w:rsidRDefault="00EE6D95">
      <w:pPr>
        <w:pStyle w:val="Naslov4"/>
      </w:pPr>
      <w:r>
        <w:t>OBRAZLOŽENJE PROGRAMA</w:t>
      </w:r>
    </w:p>
    <w:p w:rsidR="00D849AA" w:rsidRDefault="00EE6D95">
      <w:pPr>
        <w:pStyle w:val="Naslov5"/>
      </w:pPr>
      <w:r>
        <w:t>2603 ORGANIZIRANJE I PROVOĐENJE ZAŠTITE I SPAŠAVANJA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A202BD" w:rsidRDefault="00D849AA">
            <w:pPr>
              <w:pStyle w:val="CellHeader"/>
            </w:pPr>
          </w:p>
        </w:tc>
        <w:tc>
          <w:tcPr>
            <w:tcW w:w="1486" w:type="dxa"/>
            <w:shd w:val="clear" w:color="auto" w:fill="B5C0D8"/>
          </w:tcPr>
          <w:p w:rsidR="00D849AA" w:rsidRPr="00A202BD" w:rsidRDefault="00EE6D95">
            <w:pPr>
              <w:pStyle w:val="CellHeader"/>
            </w:pPr>
            <w:r w:rsidRPr="00A202BD">
              <w:t>Plan 2013.</w:t>
            </w:r>
          </w:p>
        </w:tc>
        <w:tc>
          <w:tcPr>
            <w:tcW w:w="1486" w:type="dxa"/>
            <w:shd w:val="clear" w:color="auto" w:fill="B5C0D8"/>
          </w:tcPr>
          <w:p w:rsidR="00D849AA" w:rsidRPr="00A202BD" w:rsidRDefault="00EE6D95">
            <w:pPr>
              <w:pStyle w:val="CellHeader"/>
            </w:pPr>
            <w:r w:rsidRPr="00A202BD">
              <w:t>Plan 2014.</w:t>
            </w:r>
          </w:p>
        </w:tc>
        <w:tc>
          <w:tcPr>
            <w:tcW w:w="1486" w:type="dxa"/>
            <w:shd w:val="clear" w:color="auto" w:fill="B5C0D8"/>
          </w:tcPr>
          <w:p w:rsidR="00D849AA" w:rsidRPr="00A202BD" w:rsidRDefault="00EE6D95">
            <w:pPr>
              <w:pStyle w:val="CellHeader"/>
            </w:pPr>
            <w:r w:rsidRPr="00A202BD">
              <w:t>Plan 2015.</w:t>
            </w:r>
          </w:p>
        </w:tc>
        <w:tc>
          <w:tcPr>
            <w:tcW w:w="1486" w:type="dxa"/>
            <w:shd w:val="clear" w:color="auto" w:fill="B5C0D8"/>
          </w:tcPr>
          <w:p w:rsidR="00D849AA" w:rsidRPr="00A202BD" w:rsidRDefault="00EE6D95">
            <w:pPr>
              <w:pStyle w:val="CellHeader"/>
            </w:pPr>
            <w:r w:rsidRPr="00A202BD">
              <w:t>Plan 2016.</w:t>
            </w:r>
          </w:p>
        </w:tc>
        <w:tc>
          <w:tcPr>
            <w:tcW w:w="1486" w:type="dxa"/>
            <w:shd w:val="clear" w:color="auto" w:fill="B5C0D8"/>
          </w:tcPr>
          <w:p w:rsidR="00D849AA" w:rsidRPr="00A202BD" w:rsidRDefault="00EE6D95">
            <w:pPr>
              <w:pStyle w:val="CellHeader"/>
            </w:pPr>
            <w:r w:rsidRPr="00A202BD">
              <w:t>Indeks 2014/2013</w:t>
            </w:r>
          </w:p>
        </w:tc>
      </w:tr>
      <w:tr w:rsidR="00D849AA">
        <w:trPr>
          <w:jc w:val="center"/>
        </w:trPr>
        <w:tc>
          <w:tcPr>
            <w:tcW w:w="1486" w:type="dxa"/>
          </w:tcPr>
          <w:p w:rsidR="00D849AA" w:rsidRPr="00A202BD" w:rsidRDefault="00EE6D95">
            <w:pPr>
              <w:pStyle w:val="CellColumn"/>
            </w:pPr>
            <w:r w:rsidRPr="00A202BD">
              <w:t>2603</w:t>
            </w:r>
          </w:p>
        </w:tc>
        <w:tc>
          <w:tcPr>
            <w:tcW w:w="1486" w:type="dxa"/>
          </w:tcPr>
          <w:p w:rsidR="00D849AA" w:rsidRPr="00A202BD" w:rsidRDefault="00EE6D95">
            <w:pPr>
              <w:rPr>
                <w:rFonts w:ascii="Arial" w:hAnsi="Arial" w:cs="Arial"/>
              </w:rPr>
            </w:pPr>
            <w:r w:rsidRPr="00A202BD">
              <w:rPr>
                <w:rFonts w:ascii="Arial" w:hAnsi="Arial" w:cs="Arial"/>
              </w:rPr>
              <w:t>11.435.290</w:t>
            </w:r>
          </w:p>
        </w:tc>
        <w:tc>
          <w:tcPr>
            <w:tcW w:w="1486" w:type="dxa"/>
          </w:tcPr>
          <w:p w:rsidR="00D849AA" w:rsidRPr="00A202BD" w:rsidRDefault="00EE6D95">
            <w:pPr>
              <w:rPr>
                <w:rFonts w:ascii="Arial" w:hAnsi="Arial" w:cs="Arial"/>
              </w:rPr>
            </w:pPr>
            <w:r w:rsidRPr="00A202BD">
              <w:rPr>
                <w:rFonts w:ascii="Arial" w:hAnsi="Arial" w:cs="Arial"/>
              </w:rPr>
              <w:t>12.461.380</w:t>
            </w:r>
          </w:p>
        </w:tc>
        <w:tc>
          <w:tcPr>
            <w:tcW w:w="1486" w:type="dxa"/>
          </w:tcPr>
          <w:p w:rsidR="00D849AA" w:rsidRPr="00A202BD" w:rsidRDefault="00EE6D95">
            <w:pPr>
              <w:rPr>
                <w:rFonts w:ascii="Arial" w:hAnsi="Arial" w:cs="Arial"/>
              </w:rPr>
            </w:pPr>
            <w:r w:rsidRPr="00A202BD">
              <w:rPr>
                <w:rFonts w:ascii="Arial" w:hAnsi="Arial" w:cs="Arial"/>
              </w:rPr>
              <w:t>12.217.380</w:t>
            </w:r>
          </w:p>
        </w:tc>
        <w:tc>
          <w:tcPr>
            <w:tcW w:w="1486" w:type="dxa"/>
          </w:tcPr>
          <w:p w:rsidR="00D849AA" w:rsidRPr="00A202BD" w:rsidRDefault="00EE6D95">
            <w:pPr>
              <w:rPr>
                <w:rFonts w:ascii="Arial" w:hAnsi="Arial" w:cs="Arial"/>
              </w:rPr>
            </w:pPr>
            <w:r w:rsidRPr="00A202BD">
              <w:rPr>
                <w:rFonts w:ascii="Arial" w:hAnsi="Arial" w:cs="Arial"/>
              </w:rPr>
              <w:t>12.337.480</w:t>
            </w:r>
          </w:p>
        </w:tc>
        <w:tc>
          <w:tcPr>
            <w:tcW w:w="1486" w:type="dxa"/>
          </w:tcPr>
          <w:p w:rsidR="00D849AA" w:rsidRPr="00A202BD" w:rsidRDefault="00EE6D95">
            <w:pPr>
              <w:rPr>
                <w:rFonts w:ascii="Arial" w:hAnsi="Arial" w:cs="Arial"/>
              </w:rPr>
            </w:pPr>
            <w:r w:rsidRPr="00A202BD">
              <w:rPr>
                <w:rFonts w:ascii="Arial" w:hAnsi="Arial" w:cs="Arial"/>
              </w:rPr>
              <w:t>109,0</w:t>
            </w:r>
          </w:p>
        </w:tc>
      </w:tr>
    </w:tbl>
    <w:p w:rsidR="00D849AA" w:rsidRDefault="00D849AA">
      <w:pPr>
        <w:jc w:val="left"/>
      </w:pPr>
    </w:p>
    <w:p w:rsidR="00D849AA" w:rsidRDefault="00EE6D95">
      <w:pPr>
        <w:pStyle w:val="Naslov6"/>
      </w:pPr>
      <w:r>
        <w:t>Opis programa</w:t>
      </w:r>
    </w:p>
    <w:p w:rsidR="00D849AA" w:rsidRDefault="00EE6D95">
      <w:r>
        <w:t xml:space="preserve">Poduzimanjem preventivnih, organizacijskih i operativnih mjera i aktivnosti u svrhu unapređenja vatrogasne djelatnosti, Hrvatska vatrogasna zajednica sudjeluje u ostvarivanju programa  "Smanjiti posljedice nesreća i elementarnih nepogoda". To podrazumijeva osposobljavanje i usavršavanje vatrogasaca putem obuka, seminara, savjetovanja te promidžbenom aktivnošću iz područja zaštite od požara kao i izdavanje stručne literature i video-materijala. To također podrazumijeva osiguranje tehničko-tehnološke opremljenosti vatrogasnih postrojbi putem sufinanciranja vatrogasne tehnike i opreme te održavanjem i razvijanjem djelotvornog sustava uzbunjivanja, komunikacija i izvješćivanja, štiteći i promičući strukovne interese vatrogasnih organizacija. </w:t>
      </w:r>
    </w:p>
    <w:p w:rsidR="00D849AA" w:rsidRDefault="00EE6D95">
      <w:r>
        <w:t xml:space="preserve">Kao krovna organizacija hrvatskoga vatrogastva, Hrvatska vatrogasna zajednica prati stanje hrvatskog vatrogastva, predlaže rješenja koja će sustav vatrogastva učiniti što djelotvornijim i organiziranijim, posebno kroz pripremanje i donošenje podzakonskih akata, koji proizlaze iz Zakona o vatrogastvu. To ujedno znači koordiniranje rada i zastupanje interesa svih vatrogasnih organizacija u Republici Hrvatskoj. </w:t>
      </w:r>
    </w:p>
    <w:p w:rsidR="00D849AA" w:rsidRDefault="00EE6D95">
      <w:r>
        <w:t>Članstvom u Međunarodnoj zajednici vatrogasnih i spasilačkih službi ostvaruje se aktivnost na međunarodnoj razini sudjelovanjem u radu njezinih stručnih odbora CTIF-a, izmjenom iskustava i znanja, sudjelovanjem na međunarodnim savjetovanjima i natjecanjima CTIF-a.</w:t>
      </w:r>
    </w:p>
    <w:p w:rsidR="00D849AA" w:rsidRDefault="00EE6D95">
      <w:pPr>
        <w:pStyle w:val="Naslov6"/>
      </w:pPr>
      <w:r>
        <w:t>Zakonske i druge pravne osnove</w:t>
      </w:r>
    </w:p>
    <w:p w:rsidR="00D849AA" w:rsidRDefault="00EE6D95">
      <w:r>
        <w:t>Hrvatska vatrogasna zajednica svoje zadaće provodi temeljem Zakona o vatrogastvu („Narodne novine“ broj 106/99., 117/01., 36/02. – Odluka Ustavnog suda, 96/03., 139/04. - pročišćeni tekst,174/04., 38/09. i 80/10.), Zakona o zaštiti od požara („Narodne novine“ broj 92/10.), Zakona o zaštiti i spašavanju („Narodne novine“ broj 174/04., 79/07., 38/09. i 127/10.) i Plana intervencija kod velikih požara otvorenog prostora na teritoriju Republike Hrvatske (“Narodne novine” broj 25/2001.).</w:t>
      </w:r>
    </w:p>
    <w:p w:rsidR="00D849AA" w:rsidRDefault="00EE6D95">
      <w:pPr>
        <w:pStyle w:val="Naslov6"/>
      </w:pPr>
      <w:r>
        <w:lastRenderedPageBreak/>
        <w:t>Ciljevi provedbe programa u razdoblju 2014.-2016. i pokazatelji uspješnosti kojima će se mjeriti ostvarenje tih ciljeva</w:t>
      </w:r>
    </w:p>
    <w:p w:rsidR="00D849AA" w:rsidRDefault="00EE6D95">
      <w:pPr>
        <w:pStyle w:val="Naslov7"/>
      </w:pPr>
      <w:r>
        <w:t>Cilj 1. Osiguranje spremnosti i pripravnosti vatrogasnih postrojbi</w:t>
      </w:r>
    </w:p>
    <w:p w:rsidR="00D849AA" w:rsidRDefault="00EE6D95">
      <w:pPr>
        <w:pStyle w:val="Normal6"/>
      </w:pPr>
      <w:r>
        <w:t xml:space="preserve">Sve sofisticiranijim tehničkim i tehnološkim okruženjem postavljaju se sve veći zahtjevi na osposobljenost vatrogasaca. Hrvatska vatrogasna zajednica svake godine utvrđuje Program osposobljavanja i usavršavanja dobrovoljnih vatrogasaca za vatrogasna zvanja i specijalnosti koje provodi i nadzire u svim županijama. Izdavanjem stručne literature, uz suradnju stručnjaka iz zaštite od požara i vatrogastva, osigurava se stjecanje potrebnih znanja nužnih za potpunu obučenost vatrogasaca. </w:t>
      </w:r>
    </w:p>
    <w:p w:rsidR="00D849AA" w:rsidRDefault="00EE6D95">
      <w:pPr>
        <w:pStyle w:val="Normal6"/>
      </w:pPr>
      <w:r>
        <w:t>Izgradnjom Vatrogasnog vježbališta povećava se mogućnost izvođenja vježbi u realnim uvjetima čime se postiže bolja pripremljenost i osposobljenost vatrogasaca za sve različitije vatrogasne intervencije. Za praćenje stanja vatrogasne tehnike, članstva i aktivnosti vatrogasnih organizacija ustrojena je jedinstvena centralna baza podataka i web-aplikacija "Vatrogasna mreža" koja se razvija u skladu sa strategijom informatizacije vatrogasnih organizacija. Aplikacija treba omogućiti niz drugih operativnih aktivnosti, kao što su uzbunjivanje vatrogasaca, praćenje i pozicioniranje vatrogasnih vozila i vatrogasaca na vatrogasnim intervencijama, predviđanje širenja požara otvorenog prostora itd.</w:t>
      </w:r>
    </w:p>
    <w:p w:rsidR="00D849AA" w:rsidRDefault="00EE6D95">
      <w:pPr>
        <w:pStyle w:val="Naslov7"/>
      </w:pPr>
      <w:r>
        <w:t xml:space="preserve">Cilj 2. Razvijati tehničko-tehnološku opremljenost vatrogasnih postrojbi </w:t>
      </w:r>
    </w:p>
    <w:p w:rsidR="00D849AA" w:rsidRDefault="00EE6D95">
      <w:pPr>
        <w:pStyle w:val="Normal6"/>
      </w:pPr>
      <w:r>
        <w:t>Hrvatska vatrogasna zajednica poduzima mjere i aktivnosti u svrhu osiguranja optimalne tehničko-tehnološke opremljenosti vatrogasnih postrojbi, što se ostvaruje putem sufinanciranja iz dijela premija osiguranja koja Društva za osiguranje doznačavaju vatrogasnim organizacijama temeljem Zakona o vatrogastvu. Značajno djelovanje Hrvatske vatrogasne zajednice je putem Nacionalnog odbora za preventivnu zaštitu i gašenje požara koji prati stanje zaštite od požara, organiziranost,opremljenost i osposobljenost vatrogastva, skrbi o unapređenju zaštite od požara, ustroju i strukovnom napretku vatrogastva Republike Hrvatske te surađuje s Međunarodnom zajednicom vatrogasnih i spasilačkih službi.</w:t>
      </w:r>
    </w:p>
    <w:p w:rsidR="00D849AA" w:rsidRDefault="00EE6D95">
      <w:pPr>
        <w:pStyle w:val="Naslov7"/>
      </w:pPr>
      <w:r>
        <w:t xml:space="preserve">Cilj 3. Unapređivati, koordinirati i pratiti rad vatrogasnih organizacija </w:t>
      </w:r>
    </w:p>
    <w:p w:rsidR="00D849AA" w:rsidRDefault="00EE6D95">
      <w:pPr>
        <w:pStyle w:val="Normal6"/>
      </w:pPr>
      <w:r>
        <w:t>Hrvatska vatrogasna zajednica kao krovna organizacija hrvatskoga vatrogastva prati stanje hrvatskoga vatrogastva i predlaže rješenja koja će sustav vatrogastva učiniti što djelotvornijim i organiziranijim, posebno kroz pripremanje i donošenje niza podzakonskih akata, koji proizlaze iz Zakona o vatrogastvu i drugih zakona iz područja zaštite od požara i vatrogastva. Radom u stručnim odborima i radnim grupama, Hrvatska vatrogasna zajednica nastoji unaprijediti strukovna znanja i omogućiti stručnjacima iz vatrogasnih organizacija sudjelovanje u procesu priprema i donošenja odluka u skoro svim segmentima djelovanja, a posebno u pripremi i donošenju podzakonskih akata, koji reguliraju vatrogasnu djelatnost.</w:t>
      </w:r>
    </w:p>
    <w:p w:rsidR="00D849AA" w:rsidRDefault="00EE6D95">
      <w:pPr>
        <w:pStyle w:val="Naslov7"/>
      </w:pPr>
      <w:r>
        <w:t>Cilj 4. Unapređivati protupožarnu preventivu, jačati status i skrb o pomlađivanju i vatrogasnoj baštini vatrogasnih i strukovnih organizacija</w:t>
      </w:r>
    </w:p>
    <w:p w:rsidR="00D849AA" w:rsidRDefault="00EE6D95">
      <w:pPr>
        <w:pStyle w:val="Normal6"/>
      </w:pPr>
      <w:r>
        <w:t xml:space="preserve">Troškovi preventivne zaštite od požara znatno su manji od troškova smanjivanja posljedica od požara i drugih nesreća, posebno kada se u obzir uzmu dugoročne posljedice koje požari i ostale nepogode izazivaju na okoliš. Hrvatska vatrogasna zajednica, u cilju smanjenja broja opasnih situacija, nesreća, broja poginulih i stradalih u nesrećama te smanjivanja dugoročnih posljedica na okoliš poduzima niz preventivnih mjera i aktivnost kao što su edukacija djece i mladih iz zaštite od požara, informativno-promidžbena </w:t>
      </w:r>
      <w:r>
        <w:lastRenderedPageBreak/>
        <w:t>djelatnost u svrhu prevencije požara i nesreća, te poticanje kontrole i provedbe mjera zaštite od požara.</w:t>
      </w:r>
    </w:p>
    <w:p w:rsidR="00D849AA" w:rsidRDefault="00EE6D95">
      <w:pPr>
        <w:pStyle w:val="Naslov7"/>
      </w:pPr>
      <w:r>
        <w:t>Cilj 5. Ustrojavanje Vatrogasnog vježbališta i Centra za ispitivanje vatrogasne tehnike u Stubičkoj Slatini</w:t>
      </w:r>
    </w:p>
    <w:p w:rsidR="00D849AA" w:rsidRDefault="00EE6D95">
      <w:pPr>
        <w:pStyle w:val="Normal6"/>
      </w:pPr>
      <w:r>
        <w:t>Hrvatska vatrogasna zajednica je 2010. godine od Vlade Republike Hrvatske dobila na korištenje bivšu vojarnu Slatina kod Donje Stubice u svrhu ustrojavanja vatrogasnog vježbališta. Kroz više godina planira se izgradnja vatrogasnog vježbališta čime bi se omogućilo sustavno osposobljavanje vatrogasnih časnika i vatrogasnih zapovjednika u potrebnim uvjetima, te održavanje niza specijaliziranih tečajeva.</w:t>
      </w:r>
    </w:p>
    <w:p w:rsidR="00D849AA" w:rsidRDefault="00EE6D95">
      <w:pPr>
        <w:pStyle w:val="Naslov7"/>
      </w:pPr>
      <w:r>
        <w:t>Cilj 6. Razviti Centar za obuku vatrogasne mladeži</w:t>
      </w:r>
    </w:p>
    <w:p w:rsidR="00D849AA" w:rsidRDefault="00EE6D95">
      <w:pPr>
        <w:pStyle w:val="Normal6"/>
      </w:pPr>
      <w:r>
        <w:t>Hrvatska vatrogasna zajednica od 1998. godine koristi Centar za obuku u Fažani a 2011. godine od Vlade Republike Hrvatske je produžen rok korištenja do 2063. godine. Zbog dugogodišnjeg korištenja neophodno je daljnje ulaganje u objekte i infrastrukturu da bi se osigurao nesmetan boravak i rad kroz različite vrste osposobljavanja više od 1500 vatrogasne mladeži te osposobljavanje odraslih vatrogasaca.</w:t>
      </w:r>
    </w:p>
    <w:p w:rsidR="00D849AA" w:rsidRDefault="00EE6D95">
      <w:pPr>
        <w:pStyle w:val="Naslov7"/>
      </w:pPr>
      <w:r>
        <w:t>Cilj 7. Trajna briga o vatrogasnoj baštini i povijesti hrvatskog vatrogastva kroz nacionalni Muzej hrvatskog vatrogastva u Varaždinu</w:t>
      </w:r>
    </w:p>
    <w:p w:rsidR="00D849AA" w:rsidRDefault="00EE6D95">
      <w:pPr>
        <w:pStyle w:val="Normal6"/>
      </w:pPr>
      <w:r>
        <w:t xml:space="preserve">Kontinuirano postojanje hrvatskog vatrogastva, dulje od 137 godina, objedinjeno je projektom uspostave nacionalnog Muzeja vatrogastva kao načinom očuvanja povijesnog razvoja vatrogastva i zaštite od požara. Muzej hrvatskoga vatrogastva uspostavljen je na prostoru Dobrovoljnog vatrogasnog društva Prvi hrvatski vatrogasni zbor u Varaždinu a Hrvatska vatrogasna zajednica je Muzej preuzela na upravljanje i korištenje na 99 godina.  </w:t>
      </w:r>
    </w:p>
    <w:p w:rsidR="00D849AA" w:rsidRDefault="00EE6D95">
      <w:pPr>
        <w:pStyle w:val="Normal6"/>
      </w:pPr>
      <w:r>
        <w:t>Muzej hrvatskog vatrogastva je smješten u središtu grada Varaždina te je povijesno i građevinski primjeren za muzejsku djelatnost. Rješenjem Ministarstva kulture RH, Uprave za zaštitu kulturne baštine, konzervatorijskog odjela u Varaždinu odobrena je adaptacija Muzeja kojom se radi na proširenju muzejskog prostora s kontinuiranim obilaskom i povezivanjem kata s prizemljem kao i na opremanju Muzeja potrebnom opremom. Na prikupljanju vatrogasne povijesne građe iz svih područja RH radi se kontinuirano a prikupljena građa izlaže se u stalnom postavu Muzeja.</w:t>
      </w:r>
    </w:p>
    <w:p w:rsidR="00D849AA" w:rsidRDefault="00EE6D95">
      <w:pPr>
        <w:pStyle w:val="Naslov5"/>
      </w:pPr>
      <w:r>
        <w:t>Procjena i ishodište potrebnih sredstava za značajnije aktivnosti/projekte</w:t>
      </w:r>
    </w:p>
    <w:p w:rsidR="00D849AA" w:rsidRDefault="00EE6D95">
      <w:pPr>
        <w:pStyle w:val="Naslov6"/>
      </w:pPr>
      <w:r>
        <w:t>A554000 ADMINISTRACIJA I UPRAVLJANJE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rsidRPr="00A202BD">
        <w:trPr>
          <w:jc w:val="center"/>
        </w:trPr>
        <w:tc>
          <w:tcPr>
            <w:tcW w:w="1486" w:type="dxa"/>
            <w:shd w:val="clear" w:color="auto" w:fill="B5C0D8"/>
          </w:tcPr>
          <w:p w:rsidR="00D849AA" w:rsidRPr="00A202BD" w:rsidRDefault="00EE6D95">
            <w:pPr>
              <w:pStyle w:val="CellHeader"/>
            </w:pPr>
            <w:r w:rsidRPr="00A202BD">
              <w:t>Naziv aktivnosti</w:t>
            </w:r>
          </w:p>
        </w:tc>
        <w:tc>
          <w:tcPr>
            <w:tcW w:w="1486" w:type="dxa"/>
            <w:shd w:val="clear" w:color="auto" w:fill="B5C0D8"/>
          </w:tcPr>
          <w:p w:rsidR="00D849AA" w:rsidRPr="00A202BD" w:rsidRDefault="00EE6D95">
            <w:pPr>
              <w:pStyle w:val="CellHeader"/>
            </w:pPr>
            <w:r w:rsidRPr="00A202BD">
              <w:t>Plan 2013.</w:t>
            </w:r>
          </w:p>
        </w:tc>
        <w:tc>
          <w:tcPr>
            <w:tcW w:w="1486" w:type="dxa"/>
            <w:shd w:val="clear" w:color="auto" w:fill="B5C0D8"/>
          </w:tcPr>
          <w:p w:rsidR="00D849AA" w:rsidRPr="00A202BD" w:rsidRDefault="00EE6D95">
            <w:pPr>
              <w:pStyle w:val="CellHeader"/>
            </w:pPr>
            <w:r w:rsidRPr="00A202BD">
              <w:t>Plan 2014.</w:t>
            </w:r>
          </w:p>
        </w:tc>
        <w:tc>
          <w:tcPr>
            <w:tcW w:w="1486" w:type="dxa"/>
            <w:shd w:val="clear" w:color="auto" w:fill="B5C0D8"/>
          </w:tcPr>
          <w:p w:rsidR="00D849AA" w:rsidRPr="00A202BD" w:rsidRDefault="00EE6D95">
            <w:pPr>
              <w:pStyle w:val="CellHeader"/>
            </w:pPr>
            <w:r w:rsidRPr="00A202BD">
              <w:t>Plan 2015.</w:t>
            </w:r>
          </w:p>
        </w:tc>
        <w:tc>
          <w:tcPr>
            <w:tcW w:w="1486" w:type="dxa"/>
            <w:shd w:val="clear" w:color="auto" w:fill="B5C0D8"/>
          </w:tcPr>
          <w:p w:rsidR="00D849AA" w:rsidRPr="00A202BD" w:rsidRDefault="00EE6D95">
            <w:pPr>
              <w:pStyle w:val="CellHeader"/>
            </w:pPr>
            <w:r w:rsidRPr="00A202BD">
              <w:t>Plan 2016.</w:t>
            </w:r>
          </w:p>
        </w:tc>
        <w:tc>
          <w:tcPr>
            <w:tcW w:w="1486" w:type="dxa"/>
            <w:shd w:val="clear" w:color="auto" w:fill="B5C0D8"/>
          </w:tcPr>
          <w:p w:rsidR="00D849AA" w:rsidRPr="00A202BD" w:rsidRDefault="00EE6D95">
            <w:pPr>
              <w:pStyle w:val="CellHeader"/>
            </w:pPr>
            <w:r w:rsidRPr="00A202BD">
              <w:t>Indeks 2014/2013</w:t>
            </w:r>
          </w:p>
        </w:tc>
      </w:tr>
      <w:tr w:rsidR="00D849AA" w:rsidRPr="00A202BD">
        <w:trPr>
          <w:jc w:val="center"/>
        </w:trPr>
        <w:tc>
          <w:tcPr>
            <w:tcW w:w="1486" w:type="dxa"/>
          </w:tcPr>
          <w:p w:rsidR="00D849AA" w:rsidRPr="00A202BD" w:rsidRDefault="00EE6D95">
            <w:pPr>
              <w:pStyle w:val="CellColumn"/>
            </w:pPr>
            <w:r w:rsidRPr="00A202BD">
              <w:t>A554000</w:t>
            </w:r>
          </w:p>
        </w:tc>
        <w:tc>
          <w:tcPr>
            <w:tcW w:w="1486" w:type="dxa"/>
          </w:tcPr>
          <w:p w:rsidR="00D849AA" w:rsidRPr="00A202BD" w:rsidRDefault="00EE6D95">
            <w:pPr>
              <w:rPr>
                <w:rFonts w:ascii="Arial" w:hAnsi="Arial" w:cs="Arial"/>
              </w:rPr>
            </w:pPr>
            <w:r w:rsidRPr="00A202BD">
              <w:rPr>
                <w:rFonts w:ascii="Arial" w:hAnsi="Arial" w:cs="Arial"/>
              </w:rPr>
              <w:t>4.399.120</w:t>
            </w:r>
          </w:p>
        </w:tc>
        <w:tc>
          <w:tcPr>
            <w:tcW w:w="1486" w:type="dxa"/>
          </w:tcPr>
          <w:p w:rsidR="00D849AA" w:rsidRPr="00A202BD" w:rsidRDefault="00EE6D95">
            <w:pPr>
              <w:rPr>
                <w:rFonts w:ascii="Arial" w:hAnsi="Arial" w:cs="Arial"/>
              </w:rPr>
            </w:pPr>
            <w:r w:rsidRPr="00A202BD">
              <w:rPr>
                <w:rFonts w:ascii="Arial" w:hAnsi="Arial" w:cs="Arial"/>
              </w:rPr>
              <w:t>4.905.795</w:t>
            </w:r>
          </w:p>
        </w:tc>
        <w:tc>
          <w:tcPr>
            <w:tcW w:w="1486" w:type="dxa"/>
          </w:tcPr>
          <w:p w:rsidR="00D849AA" w:rsidRPr="00A202BD" w:rsidRDefault="00EE6D95">
            <w:pPr>
              <w:rPr>
                <w:rFonts w:ascii="Arial" w:hAnsi="Arial" w:cs="Arial"/>
              </w:rPr>
            </w:pPr>
            <w:r w:rsidRPr="00A202BD">
              <w:rPr>
                <w:rFonts w:ascii="Arial" w:hAnsi="Arial" w:cs="Arial"/>
              </w:rPr>
              <w:t>4.868.113</w:t>
            </w:r>
          </w:p>
        </w:tc>
        <w:tc>
          <w:tcPr>
            <w:tcW w:w="1486" w:type="dxa"/>
          </w:tcPr>
          <w:p w:rsidR="00D849AA" w:rsidRPr="00A202BD" w:rsidRDefault="00EE6D95">
            <w:pPr>
              <w:rPr>
                <w:rFonts w:ascii="Arial" w:hAnsi="Arial" w:cs="Arial"/>
              </w:rPr>
            </w:pPr>
            <w:r w:rsidRPr="00A202BD">
              <w:rPr>
                <w:rFonts w:ascii="Arial" w:hAnsi="Arial" w:cs="Arial"/>
              </w:rPr>
              <w:t>4.885.578</w:t>
            </w:r>
          </w:p>
        </w:tc>
        <w:tc>
          <w:tcPr>
            <w:tcW w:w="1486" w:type="dxa"/>
          </w:tcPr>
          <w:p w:rsidR="00D849AA" w:rsidRPr="00A202BD" w:rsidRDefault="00EE6D95">
            <w:pPr>
              <w:rPr>
                <w:rFonts w:ascii="Arial" w:hAnsi="Arial" w:cs="Arial"/>
              </w:rPr>
            </w:pPr>
            <w:r w:rsidRPr="00A202BD">
              <w:rPr>
                <w:rFonts w:ascii="Arial" w:hAnsi="Arial" w:cs="Arial"/>
              </w:rPr>
              <w:t>111,5</w:t>
            </w:r>
          </w:p>
        </w:tc>
      </w:tr>
    </w:tbl>
    <w:p w:rsidR="00D849AA" w:rsidRPr="00A202BD" w:rsidRDefault="00D849AA">
      <w:pPr>
        <w:jc w:val="left"/>
        <w:rPr>
          <w:rFonts w:ascii="Arial" w:hAnsi="Arial" w:cs="Arial"/>
        </w:rPr>
      </w:pPr>
    </w:p>
    <w:p w:rsidR="00D849AA" w:rsidRDefault="00EE6D95">
      <w:pPr>
        <w:pStyle w:val="Normal6"/>
      </w:pPr>
      <w:r>
        <w:t xml:space="preserve">Hrvatska vatrogasna zajednica unapređuje i koordinira rad te zastupa interese svih vatrogasnih organizacija u Republici Hrvatskoj. Stručni poslovi i donošenje odluka provode se putem nadležnih tijela utvrđenih Statutom te putem Stručne službe Hrvatske vatrogasne zajednice sa 15 zaposlenih i 249 volontera, članova tijela Hrvatske vatrogasne zajednice. </w:t>
      </w:r>
    </w:p>
    <w:p w:rsidR="00D849AA" w:rsidRDefault="00EE6D95">
      <w:pPr>
        <w:pStyle w:val="Normal6"/>
      </w:pPr>
      <w:r>
        <w:t xml:space="preserve">Kao krovna organizacija hrvatskoga vatrogastva, Hrvatska vatrogasna zajednica prati stanje hrvatskoga vatrogastva i predlaže rješenja koja će sustav vatrogastva učiniti što </w:t>
      </w:r>
      <w:r>
        <w:lastRenderedPageBreak/>
        <w:t xml:space="preserve">djelotvornijim i organiziranijim, posebno kroz pripremanje i donošenje niza podzakonskih akata, koji proizlaze iz Zakona o vatrogastvu. </w:t>
      </w:r>
    </w:p>
    <w:p w:rsidR="00D849AA" w:rsidRDefault="00EE6D95">
      <w:pPr>
        <w:pStyle w:val="Normal6"/>
      </w:pPr>
      <w:r>
        <w:t xml:space="preserve">Radom u stručnim odborima i radnim grupama, Hrvatska vatrogasna zajednica nastoji unaprijediti strukovna znanja i omogućiti stručnjacima iz vatrogasnih organizacija sudjelovanje u procesu priprema i donošenja odluka u skoro svim segmentima djelovanja, a posebno u pripremi i donošenju (izmjena i dopuna) podzakonskih akata, koji reguliraju vatrogasnu djelatnost. </w:t>
      </w:r>
    </w:p>
    <w:p w:rsidR="00D849AA" w:rsidRDefault="00EE6D95">
      <w:pPr>
        <w:pStyle w:val="Normal6"/>
      </w:pPr>
      <w:r>
        <w:t>Hrvatska vatrogasna zajednica ima ustrojen Ekonomat putem kojeg skrbi o snabdjevenosti vatrogasne organizacije vatrogasnim oznakama zvanja i dužnosti, odličjima i priznanjima, literaturom, osobnom vatrogasnom opremom te svim drugim vatrogasnim potrepštinama.</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rsidRPr="00A202BD">
        <w:trPr>
          <w:jc w:val="center"/>
        </w:trPr>
        <w:tc>
          <w:tcPr>
            <w:tcW w:w="2229" w:type="dxa"/>
            <w:shd w:val="clear" w:color="auto" w:fill="B5C0D8"/>
          </w:tcPr>
          <w:p w:rsidR="00D849AA" w:rsidRPr="00A202BD" w:rsidRDefault="00EE6D95">
            <w:pPr>
              <w:rPr>
                <w:rFonts w:ascii="Arial" w:hAnsi="Arial" w:cs="Arial"/>
              </w:rPr>
            </w:pPr>
            <w:r w:rsidRPr="00A202BD">
              <w:rPr>
                <w:rFonts w:ascii="Arial" w:hAnsi="Arial" w:cs="Arial"/>
              </w:rPr>
              <w:t>Pokazatelj rezultata</w:t>
            </w:r>
          </w:p>
        </w:tc>
        <w:tc>
          <w:tcPr>
            <w:tcW w:w="1114" w:type="dxa"/>
            <w:shd w:val="clear" w:color="auto" w:fill="B5C0D8"/>
          </w:tcPr>
          <w:p w:rsidR="00D849AA" w:rsidRPr="00A202BD" w:rsidRDefault="00EE6D95">
            <w:pPr>
              <w:pStyle w:val="CellHeader"/>
            </w:pPr>
            <w:r w:rsidRPr="00A202BD">
              <w:t>Jedinica</w:t>
            </w:r>
          </w:p>
        </w:tc>
        <w:tc>
          <w:tcPr>
            <w:tcW w:w="1114" w:type="dxa"/>
            <w:shd w:val="clear" w:color="auto" w:fill="B5C0D8"/>
          </w:tcPr>
          <w:p w:rsidR="00D849AA" w:rsidRPr="00A202BD" w:rsidRDefault="00EE6D95">
            <w:pPr>
              <w:pStyle w:val="CellHeader"/>
            </w:pPr>
            <w:r w:rsidRPr="00A202BD">
              <w:t>Polazna vrijednost</w:t>
            </w:r>
          </w:p>
        </w:tc>
        <w:tc>
          <w:tcPr>
            <w:tcW w:w="1486" w:type="dxa"/>
            <w:shd w:val="clear" w:color="auto" w:fill="B5C0D8"/>
          </w:tcPr>
          <w:p w:rsidR="00D849AA" w:rsidRPr="00A202BD" w:rsidRDefault="00EE6D95">
            <w:pPr>
              <w:pStyle w:val="CellHeader"/>
            </w:pPr>
            <w:r w:rsidRPr="00A202BD">
              <w:t>Ciljana vrijednost (2014.)</w:t>
            </w:r>
          </w:p>
        </w:tc>
        <w:tc>
          <w:tcPr>
            <w:tcW w:w="1486" w:type="dxa"/>
            <w:shd w:val="clear" w:color="auto" w:fill="B5C0D8"/>
          </w:tcPr>
          <w:p w:rsidR="00D849AA" w:rsidRPr="00A202BD" w:rsidRDefault="00EE6D95">
            <w:pPr>
              <w:pStyle w:val="CellHeader"/>
            </w:pPr>
            <w:r w:rsidRPr="00A202BD">
              <w:t>Ciljana vrijednost (2015.)</w:t>
            </w:r>
          </w:p>
        </w:tc>
        <w:tc>
          <w:tcPr>
            <w:tcW w:w="1486" w:type="dxa"/>
            <w:shd w:val="clear" w:color="auto" w:fill="B5C0D8"/>
          </w:tcPr>
          <w:p w:rsidR="00D849AA" w:rsidRPr="00A202BD" w:rsidRDefault="00EE6D95">
            <w:pPr>
              <w:pStyle w:val="CellHeader"/>
            </w:pPr>
            <w:r w:rsidRPr="00A202BD">
              <w:t>Ciljana vrijednost (2016.)</w:t>
            </w:r>
          </w:p>
        </w:tc>
      </w:tr>
      <w:tr w:rsidR="00D849AA" w:rsidRPr="00A202BD">
        <w:trPr>
          <w:jc w:val="center"/>
        </w:trPr>
        <w:tc>
          <w:tcPr>
            <w:tcW w:w="2229" w:type="dxa"/>
          </w:tcPr>
          <w:p w:rsidR="00D849AA" w:rsidRPr="00A202BD" w:rsidRDefault="00EE6D95">
            <w:pPr>
              <w:pStyle w:val="CellColumn"/>
            </w:pPr>
            <w:r w:rsidRPr="00A202BD">
              <w:t>Izdavanje priručnika, stručnih tiskovina i edukacijskih filmova</w:t>
            </w:r>
          </w:p>
        </w:tc>
        <w:tc>
          <w:tcPr>
            <w:tcW w:w="1114" w:type="dxa"/>
          </w:tcPr>
          <w:p w:rsidR="00D849AA" w:rsidRPr="00A202BD" w:rsidRDefault="00EE6D95">
            <w:pPr>
              <w:rPr>
                <w:rFonts w:ascii="Arial" w:hAnsi="Arial" w:cs="Arial"/>
              </w:rPr>
            </w:pPr>
            <w:r w:rsidRPr="00A202BD">
              <w:rPr>
                <w:rFonts w:ascii="Arial" w:hAnsi="Arial" w:cs="Arial"/>
              </w:rPr>
              <w:t>broj</w:t>
            </w:r>
          </w:p>
        </w:tc>
        <w:tc>
          <w:tcPr>
            <w:tcW w:w="1114" w:type="dxa"/>
          </w:tcPr>
          <w:p w:rsidR="00D849AA" w:rsidRPr="00A202BD" w:rsidRDefault="00EE6D95">
            <w:pPr>
              <w:rPr>
                <w:rFonts w:ascii="Arial" w:hAnsi="Arial" w:cs="Arial"/>
              </w:rPr>
            </w:pPr>
            <w:r w:rsidRPr="00A202BD">
              <w:rPr>
                <w:rFonts w:ascii="Arial" w:hAnsi="Arial" w:cs="Arial"/>
              </w:rPr>
              <w:t>10</w:t>
            </w:r>
          </w:p>
        </w:tc>
        <w:tc>
          <w:tcPr>
            <w:tcW w:w="1486" w:type="dxa"/>
          </w:tcPr>
          <w:p w:rsidR="00D849AA" w:rsidRPr="00A202BD" w:rsidRDefault="00EE6D95">
            <w:pPr>
              <w:rPr>
                <w:rFonts w:ascii="Arial" w:hAnsi="Arial" w:cs="Arial"/>
              </w:rPr>
            </w:pPr>
            <w:r w:rsidRPr="00A202BD">
              <w:rPr>
                <w:rFonts w:ascii="Arial" w:hAnsi="Arial" w:cs="Arial"/>
              </w:rPr>
              <w:t>21</w:t>
            </w:r>
          </w:p>
        </w:tc>
        <w:tc>
          <w:tcPr>
            <w:tcW w:w="1486" w:type="dxa"/>
          </w:tcPr>
          <w:p w:rsidR="00D849AA" w:rsidRPr="00A202BD" w:rsidRDefault="00EE6D95">
            <w:pPr>
              <w:rPr>
                <w:rFonts w:ascii="Arial" w:hAnsi="Arial" w:cs="Arial"/>
              </w:rPr>
            </w:pPr>
            <w:r w:rsidRPr="00A202BD">
              <w:rPr>
                <w:rFonts w:ascii="Arial" w:hAnsi="Arial" w:cs="Arial"/>
              </w:rPr>
              <w:t>33</w:t>
            </w:r>
          </w:p>
        </w:tc>
        <w:tc>
          <w:tcPr>
            <w:tcW w:w="1486" w:type="dxa"/>
          </w:tcPr>
          <w:p w:rsidR="00D849AA" w:rsidRPr="00A202BD" w:rsidRDefault="00EE6D95">
            <w:pPr>
              <w:rPr>
                <w:rFonts w:ascii="Arial" w:hAnsi="Arial" w:cs="Arial"/>
              </w:rPr>
            </w:pPr>
            <w:r w:rsidRPr="00A202BD">
              <w:rPr>
                <w:rFonts w:ascii="Arial" w:hAnsi="Arial" w:cs="Arial"/>
              </w:rPr>
              <w:t>43</w:t>
            </w:r>
          </w:p>
        </w:tc>
      </w:tr>
      <w:tr w:rsidR="00D849AA" w:rsidRPr="00A202BD">
        <w:trPr>
          <w:jc w:val="center"/>
        </w:trPr>
        <w:tc>
          <w:tcPr>
            <w:tcW w:w="2229" w:type="dxa"/>
          </w:tcPr>
          <w:p w:rsidR="00D849AA" w:rsidRPr="00A202BD" w:rsidRDefault="00EE6D95">
            <w:pPr>
              <w:pStyle w:val="CellColumn"/>
            </w:pPr>
            <w:r w:rsidRPr="00A202BD">
              <w:t>Nadzor vatrogasnih postrojbi</w:t>
            </w:r>
          </w:p>
        </w:tc>
        <w:tc>
          <w:tcPr>
            <w:tcW w:w="1114" w:type="dxa"/>
          </w:tcPr>
          <w:p w:rsidR="00D849AA" w:rsidRPr="00A202BD" w:rsidRDefault="00EE6D95">
            <w:pPr>
              <w:rPr>
                <w:rFonts w:ascii="Arial" w:hAnsi="Arial" w:cs="Arial"/>
              </w:rPr>
            </w:pPr>
            <w:r w:rsidRPr="00A202BD">
              <w:rPr>
                <w:rFonts w:ascii="Arial" w:hAnsi="Arial" w:cs="Arial"/>
              </w:rPr>
              <w:t>broj</w:t>
            </w:r>
          </w:p>
        </w:tc>
        <w:tc>
          <w:tcPr>
            <w:tcW w:w="1114" w:type="dxa"/>
          </w:tcPr>
          <w:p w:rsidR="00D849AA" w:rsidRPr="00A202BD" w:rsidRDefault="00EE6D95">
            <w:pPr>
              <w:rPr>
                <w:rFonts w:ascii="Arial" w:hAnsi="Arial" w:cs="Arial"/>
              </w:rPr>
            </w:pPr>
            <w:r w:rsidRPr="00A202BD">
              <w:rPr>
                <w:rFonts w:ascii="Arial" w:hAnsi="Arial" w:cs="Arial"/>
              </w:rPr>
              <w:t>8</w:t>
            </w:r>
          </w:p>
        </w:tc>
        <w:tc>
          <w:tcPr>
            <w:tcW w:w="1486" w:type="dxa"/>
          </w:tcPr>
          <w:p w:rsidR="00D849AA" w:rsidRPr="00A202BD" w:rsidRDefault="00EE6D95">
            <w:pPr>
              <w:rPr>
                <w:rFonts w:ascii="Arial" w:hAnsi="Arial" w:cs="Arial"/>
              </w:rPr>
            </w:pPr>
            <w:r w:rsidRPr="00A202BD">
              <w:rPr>
                <w:rFonts w:ascii="Arial" w:hAnsi="Arial" w:cs="Arial"/>
              </w:rPr>
              <w:t>16</w:t>
            </w:r>
          </w:p>
        </w:tc>
        <w:tc>
          <w:tcPr>
            <w:tcW w:w="1486" w:type="dxa"/>
          </w:tcPr>
          <w:p w:rsidR="00D849AA" w:rsidRPr="00A202BD" w:rsidRDefault="00EE6D95">
            <w:pPr>
              <w:rPr>
                <w:rFonts w:ascii="Arial" w:hAnsi="Arial" w:cs="Arial"/>
              </w:rPr>
            </w:pPr>
            <w:r w:rsidRPr="00A202BD">
              <w:rPr>
                <w:rFonts w:ascii="Arial" w:hAnsi="Arial" w:cs="Arial"/>
              </w:rPr>
              <w:t>24</w:t>
            </w:r>
          </w:p>
        </w:tc>
        <w:tc>
          <w:tcPr>
            <w:tcW w:w="1486" w:type="dxa"/>
          </w:tcPr>
          <w:p w:rsidR="00D849AA" w:rsidRPr="00A202BD" w:rsidRDefault="00EE6D95">
            <w:pPr>
              <w:rPr>
                <w:rFonts w:ascii="Arial" w:hAnsi="Arial" w:cs="Arial"/>
              </w:rPr>
            </w:pPr>
            <w:r w:rsidRPr="00A202BD">
              <w:rPr>
                <w:rFonts w:ascii="Arial" w:hAnsi="Arial" w:cs="Arial"/>
              </w:rPr>
              <w:t>32</w:t>
            </w:r>
          </w:p>
        </w:tc>
      </w:tr>
    </w:tbl>
    <w:p w:rsidR="00D849AA" w:rsidRPr="00A202BD" w:rsidRDefault="00D849AA">
      <w:pPr>
        <w:jc w:val="left"/>
        <w:rPr>
          <w:rFonts w:ascii="Arial" w:hAnsi="Arial" w:cs="Arial"/>
        </w:rPr>
      </w:pPr>
    </w:p>
    <w:p w:rsidR="00D849AA" w:rsidRDefault="00EE6D95">
      <w:pPr>
        <w:pStyle w:val="Naslov6"/>
      </w:pPr>
      <w:r>
        <w:t>A554001 PREVENTIVNA ZAŠTITA I GAŠENJE POŽARA (NACIONALNI ODBOR)</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A202BD" w:rsidRDefault="00EE6D95">
            <w:pPr>
              <w:pStyle w:val="CellHeader"/>
            </w:pPr>
            <w:r w:rsidRPr="00A202BD">
              <w:t>Naziv aktivnosti</w:t>
            </w:r>
          </w:p>
        </w:tc>
        <w:tc>
          <w:tcPr>
            <w:tcW w:w="1486" w:type="dxa"/>
            <w:shd w:val="clear" w:color="auto" w:fill="B5C0D8"/>
          </w:tcPr>
          <w:p w:rsidR="00D849AA" w:rsidRPr="00A202BD" w:rsidRDefault="00EE6D95">
            <w:pPr>
              <w:pStyle w:val="CellHeader"/>
            </w:pPr>
            <w:r w:rsidRPr="00A202BD">
              <w:t>Plan 2013.</w:t>
            </w:r>
          </w:p>
        </w:tc>
        <w:tc>
          <w:tcPr>
            <w:tcW w:w="1486" w:type="dxa"/>
            <w:shd w:val="clear" w:color="auto" w:fill="B5C0D8"/>
          </w:tcPr>
          <w:p w:rsidR="00D849AA" w:rsidRPr="00A202BD" w:rsidRDefault="00EE6D95">
            <w:pPr>
              <w:pStyle w:val="CellHeader"/>
            </w:pPr>
            <w:r w:rsidRPr="00A202BD">
              <w:t>Plan 2014.</w:t>
            </w:r>
          </w:p>
        </w:tc>
        <w:tc>
          <w:tcPr>
            <w:tcW w:w="1486" w:type="dxa"/>
            <w:shd w:val="clear" w:color="auto" w:fill="B5C0D8"/>
          </w:tcPr>
          <w:p w:rsidR="00D849AA" w:rsidRPr="00A202BD" w:rsidRDefault="00EE6D95">
            <w:pPr>
              <w:pStyle w:val="CellHeader"/>
            </w:pPr>
            <w:r w:rsidRPr="00A202BD">
              <w:t>Plan 2015.</w:t>
            </w:r>
          </w:p>
        </w:tc>
        <w:tc>
          <w:tcPr>
            <w:tcW w:w="1486" w:type="dxa"/>
            <w:shd w:val="clear" w:color="auto" w:fill="B5C0D8"/>
          </w:tcPr>
          <w:p w:rsidR="00D849AA" w:rsidRPr="00A202BD" w:rsidRDefault="00EE6D95">
            <w:pPr>
              <w:pStyle w:val="CellHeader"/>
            </w:pPr>
            <w:r w:rsidRPr="00A202BD">
              <w:t>Plan 2016.</w:t>
            </w:r>
          </w:p>
        </w:tc>
        <w:tc>
          <w:tcPr>
            <w:tcW w:w="1486" w:type="dxa"/>
            <w:shd w:val="clear" w:color="auto" w:fill="B5C0D8"/>
          </w:tcPr>
          <w:p w:rsidR="00D849AA" w:rsidRPr="00A202BD" w:rsidRDefault="00EE6D95">
            <w:pPr>
              <w:pStyle w:val="CellHeader"/>
            </w:pPr>
            <w:r w:rsidRPr="00A202BD">
              <w:t>Indeks 2014/2013</w:t>
            </w:r>
          </w:p>
        </w:tc>
      </w:tr>
      <w:tr w:rsidR="00D849AA">
        <w:trPr>
          <w:jc w:val="center"/>
        </w:trPr>
        <w:tc>
          <w:tcPr>
            <w:tcW w:w="1486" w:type="dxa"/>
          </w:tcPr>
          <w:p w:rsidR="00D849AA" w:rsidRPr="00A202BD" w:rsidRDefault="00EE6D95">
            <w:pPr>
              <w:pStyle w:val="CellColumn"/>
            </w:pPr>
            <w:r w:rsidRPr="00A202BD">
              <w:t>A554001</w:t>
            </w:r>
          </w:p>
        </w:tc>
        <w:tc>
          <w:tcPr>
            <w:tcW w:w="1486" w:type="dxa"/>
          </w:tcPr>
          <w:p w:rsidR="00D849AA" w:rsidRPr="00A202BD" w:rsidRDefault="00EE6D95">
            <w:pPr>
              <w:rPr>
                <w:rFonts w:ascii="Arial" w:hAnsi="Arial" w:cs="Arial"/>
              </w:rPr>
            </w:pPr>
            <w:r w:rsidRPr="00A202BD">
              <w:rPr>
                <w:rFonts w:ascii="Arial" w:hAnsi="Arial" w:cs="Arial"/>
              </w:rPr>
              <w:t>320.726</w:t>
            </w:r>
          </w:p>
        </w:tc>
        <w:tc>
          <w:tcPr>
            <w:tcW w:w="1486" w:type="dxa"/>
          </w:tcPr>
          <w:p w:rsidR="00D849AA" w:rsidRPr="00A202BD" w:rsidRDefault="00EE6D95">
            <w:pPr>
              <w:rPr>
                <w:rFonts w:ascii="Arial" w:hAnsi="Arial" w:cs="Arial"/>
              </w:rPr>
            </w:pPr>
            <w:r w:rsidRPr="00A202BD">
              <w:rPr>
                <w:rFonts w:ascii="Arial" w:hAnsi="Arial" w:cs="Arial"/>
              </w:rPr>
              <w:t>262.780</w:t>
            </w:r>
          </w:p>
        </w:tc>
        <w:tc>
          <w:tcPr>
            <w:tcW w:w="1486" w:type="dxa"/>
          </w:tcPr>
          <w:p w:rsidR="00D849AA" w:rsidRPr="00A202BD" w:rsidRDefault="00EE6D95">
            <w:pPr>
              <w:rPr>
                <w:rFonts w:ascii="Arial" w:hAnsi="Arial" w:cs="Arial"/>
              </w:rPr>
            </w:pPr>
            <w:r w:rsidRPr="00A202BD">
              <w:rPr>
                <w:rFonts w:ascii="Arial" w:hAnsi="Arial" w:cs="Arial"/>
              </w:rPr>
              <w:t>316.726</w:t>
            </w:r>
          </w:p>
        </w:tc>
        <w:tc>
          <w:tcPr>
            <w:tcW w:w="1486" w:type="dxa"/>
          </w:tcPr>
          <w:p w:rsidR="00D849AA" w:rsidRPr="00A202BD" w:rsidRDefault="00EE6D95">
            <w:pPr>
              <w:rPr>
                <w:rFonts w:ascii="Arial" w:hAnsi="Arial" w:cs="Arial"/>
              </w:rPr>
            </w:pPr>
            <w:r w:rsidRPr="00A202BD">
              <w:rPr>
                <w:rFonts w:ascii="Arial" w:hAnsi="Arial" w:cs="Arial"/>
              </w:rPr>
              <w:t>227.280</w:t>
            </w:r>
          </w:p>
        </w:tc>
        <w:tc>
          <w:tcPr>
            <w:tcW w:w="1486" w:type="dxa"/>
          </w:tcPr>
          <w:p w:rsidR="00D849AA" w:rsidRPr="00A202BD" w:rsidRDefault="00EE6D95">
            <w:pPr>
              <w:rPr>
                <w:rFonts w:ascii="Arial" w:hAnsi="Arial" w:cs="Arial"/>
              </w:rPr>
            </w:pPr>
            <w:r w:rsidRPr="00A202BD">
              <w:rPr>
                <w:rFonts w:ascii="Arial" w:hAnsi="Arial" w:cs="Arial"/>
              </w:rPr>
              <w:t>81,9</w:t>
            </w:r>
          </w:p>
        </w:tc>
      </w:tr>
    </w:tbl>
    <w:p w:rsidR="00D849AA" w:rsidRDefault="00D849AA">
      <w:pPr>
        <w:jc w:val="left"/>
      </w:pPr>
    </w:p>
    <w:p w:rsidR="00D849AA" w:rsidRDefault="00EE6D95">
      <w:pPr>
        <w:pStyle w:val="Normal6"/>
      </w:pPr>
      <w:r>
        <w:t xml:space="preserve">U okviru Hrvatske vatrogasne zajednice djeluje Nacionalni odbor za preventivnu zaštitu i gašenje požara, koji prati stanje zaštite od požara, organiziranost, opremljenost i osposobljenost vatrogastva, skrbi o unapređenju zaštite od požara, ustroju i strukovnom napretku vatrogastva Republike Hrvatske te surađuje s Međunarodnom zajednicom vatrogasnih i spasilačkih službi. </w:t>
      </w:r>
    </w:p>
    <w:p w:rsidR="00D849AA" w:rsidRDefault="00EE6D95">
      <w:pPr>
        <w:pStyle w:val="Normal6"/>
      </w:pPr>
      <w:r>
        <w:t xml:space="preserve">Troškovi preventivne zaštite od požara znatno su manji od troškova smanjivanja posljedica od požara, posebno kada se u obzir uzmu dugoročne posljedice koje požar izaziva na okoliš. Stoga Hrvatska vatrogasna zajednica i putem Nacionalnog odbora za preventivnu zaštitu i gašenje požara u svim djelovanjima polazi od opredjeljenja, da se iskoriste sve mogućnosti kojima se može pojačati protupožarna preventiva, kako na normativnom, tako i na organizacijskom i operativnom planu. U tom smislu predlaže i poduzima preventivne, organizacijske i operativne mjere i aktivnosti u svrhu unapređenja vatrogasne djelatnosti. </w:t>
      </w:r>
    </w:p>
    <w:p w:rsidR="00D849AA" w:rsidRDefault="00EE6D95">
      <w:pPr>
        <w:pStyle w:val="Normal6"/>
      </w:pPr>
      <w:r>
        <w:t xml:space="preserve">U okviru međunarodne suradnje, Hrvatska vatrogasna zajednica putem Nacionalnog odbora za preventivnu zaštitu i gašenje požara sudjeluje u radu Skupštine CTIF-a i njezinih 7 stručnih odbora, sudjeluje u radu radne grupe CTIF-a za Podunavske zemlje uz kandidaturu u još 5 stručna odbora. Također se razvija uska suradnja sa susjednim i prijateljskim vatrogasnim zajednicama, posebno susjednim i podunavskim zemljama. </w:t>
      </w:r>
      <w:r>
        <w:lastRenderedPageBreak/>
        <w:t>Međusobnom suradnjom s vatrogasnim školama iz navedenih država daju se poticaji i razmjenjuju iskustva i znanja iz područja vatrogastva.</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A202BD" w:rsidRDefault="00EE6D95">
            <w:pPr>
              <w:rPr>
                <w:rFonts w:ascii="Arial" w:hAnsi="Arial" w:cs="Arial"/>
              </w:rPr>
            </w:pPr>
            <w:r w:rsidRPr="00A202BD">
              <w:rPr>
                <w:rFonts w:ascii="Arial" w:hAnsi="Arial" w:cs="Arial"/>
              </w:rPr>
              <w:t>Pokazatelj rezultata</w:t>
            </w:r>
          </w:p>
        </w:tc>
        <w:tc>
          <w:tcPr>
            <w:tcW w:w="1114" w:type="dxa"/>
            <w:shd w:val="clear" w:color="auto" w:fill="B5C0D8"/>
          </w:tcPr>
          <w:p w:rsidR="00D849AA" w:rsidRPr="00A202BD" w:rsidRDefault="00EE6D95">
            <w:pPr>
              <w:pStyle w:val="CellHeader"/>
            </w:pPr>
            <w:r w:rsidRPr="00A202BD">
              <w:t>Jedinica</w:t>
            </w:r>
          </w:p>
        </w:tc>
        <w:tc>
          <w:tcPr>
            <w:tcW w:w="1114" w:type="dxa"/>
            <w:shd w:val="clear" w:color="auto" w:fill="B5C0D8"/>
          </w:tcPr>
          <w:p w:rsidR="00D849AA" w:rsidRPr="00A202BD" w:rsidRDefault="00EE6D95">
            <w:pPr>
              <w:pStyle w:val="CellHeader"/>
            </w:pPr>
            <w:r w:rsidRPr="00A202BD">
              <w:t>Polazna vrijednost</w:t>
            </w:r>
          </w:p>
        </w:tc>
        <w:tc>
          <w:tcPr>
            <w:tcW w:w="1486" w:type="dxa"/>
            <w:shd w:val="clear" w:color="auto" w:fill="B5C0D8"/>
          </w:tcPr>
          <w:p w:rsidR="00D849AA" w:rsidRPr="00A202BD" w:rsidRDefault="00EE6D95">
            <w:pPr>
              <w:pStyle w:val="CellHeader"/>
            </w:pPr>
            <w:r w:rsidRPr="00A202BD">
              <w:t>Ciljana vrijednost (2014.)</w:t>
            </w:r>
          </w:p>
        </w:tc>
        <w:tc>
          <w:tcPr>
            <w:tcW w:w="1486" w:type="dxa"/>
            <w:shd w:val="clear" w:color="auto" w:fill="B5C0D8"/>
          </w:tcPr>
          <w:p w:rsidR="00D849AA" w:rsidRPr="00A202BD" w:rsidRDefault="00EE6D95">
            <w:pPr>
              <w:pStyle w:val="CellHeader"/>
            </w:pPr>
            <w:r w:rsidRPr="00A202BD">
              <w:t>Ciljana vrijednost (2015.)</w:t>
            </w:r>
          </w:p>
        </w:tc>
        <w:tc>
          <w:tcPr>
            <w:tcW w:w="1486" w:type="dxa"/>
            <w:shd w:val="clear" w:color="auto" w:fill="B5C0D8"/>
          </w:tcPr>
          <w:p w:rsidR="00D849AA" w:rsidRPr="00A202BD" w:rsidRDefault="00EE6D95">
            <w:pPr>
              <w:pStyle w:val="CellHeader"/>
            </w:pPr>
            <w:r w:rsidRPr="00A202BD">
              <w:t>Ciljana vrijednost (2016.)</w:t>
            </w:r>
          </w:p>
        </w:tc>
      </w:tr>
      <w:tr w:rsidR="00D849AA">
        <w:trPr>
          <w:jc w:val="center"/>
        </w:trPr>
        <w:tc>
          <w:tcPr>
            <w:tcW w:w="2229" w:type="dxa"/>
          </w:tcPr>
          <w:p w:rsidR="00D849AA" w:rsidRPr="00A202BD" w:rsidRDefault="00EE6D95">
            <w:pPr>
              <w:pStyle w:val="CellColumn"/>
            </w:pPr>
            <w:r w:rsidRPr="00A202BD">
              <w:t>Poticanje broja organiziranih združenih vježbi</w:t>
            </w:r>
          </w:p>
        </w:tc>
        <w:tc>
          <w:tcPr>
            <w:tcW w:w="1114" w:type="dxa"/>
          </w:tcPr>
          <w:p w:rsidR="00D849AA" w:rsidRPr="00A202BD" w:rsidRDefault="00EE6D95">
            <w:pPr>
              <w:rPr>
                <w:rFonts w:ascii="Arial" w:hAnsi="Arial" w:cs="Arial"/>
              </w:rPr>
            </w:pPr>
            <w:r w:rsidRPr="00A202BD">
              <w:rPr>
                <w:rFonts w:ascii="Arial" w:hAnsi="Arial" w:cs="Arial"/>
              </w:rPr>
              <w:t>broj</w:t>
            </w:r>
          </w:p>
        </w:tc>
        <w:tc>
          <w:tcPr>
            <w:tcW w:w="1114" w:type="dxa"/>
          </w:tcPr>
          <w:p w:rsidR="00D849AA" w:rsidRPr="00A202BD" w:rsidRDefault="00EE6D95">
            <w:pPr>
              <w:rPr>
                <w:rFonts w:ascii="Arial" w:hAnsi="Arial" w:cs="Arial"/>
              </w:rPr>
            </w:pPr>
            <w:r w:rsidRPr="00A202BD">
              <w:rPr>
                <w:rFonts w:ascii="Arial" w:hAnsi="Arial" w:cs="Arial"/>
              </w:rPr>
              <w:t>5</w:t>
            </w:r>
          </w:p>
        </w:tc>
        <w:tc>
          <w:tcPr>
            <w:tcW w:w="1486" w:type="dxa"/>
          </w:tcPr>
          <w:p w:rsidR="00D849AA" w:rsidRPr="00A202BD" w:rsidRDefault="00EE6D95">
            <w:pPr>
              <w:rPr>
                <w:rFonts w:ascii="Arial" w:hAnsi="Arial" w:cs="Arial"/>
              </w:rPr>
            </w:pPr>
            <w:r w:rsidRPr="00A202BD">
              <w:rPr>
                <w:rFonts w:ascii="Arial" w:hAnsi="Arial" w:cs="Arial"/>
              </w:rPr>
              <w:t>10</w:t>
            </w:r>
          </w:p>
        </w:tc>
        <w:tc>
          <w:tcPr>
            <w:tcW w:w="1486" w:type="dxa"/>
          </w:tcPr>
          <w:p w:rsidR="00D849AA" w:rsidRPr="00A202BD" w:rsidRDefault="00EE6D95">
            <w:pPr>
              <w:rPr>
                <w:rFonts w:ascii="Arial" w:hAnsi="Arial" w:cs="Arial"/>
              </w:rPr>
            </w:pPr>
            <w:r w:rsidRPr="00A202BD">
              <w:rPr>
                <w:rFonts w:ascii="Arial" w:hAnsi="Arial" w:cs="Arial"/>
              </w:rPr>
              <w:t>15</w:t>
            </w:r>
          </w:p>
        </w:tc>
        <w:tc>
          <w:tcPr>
            <w:tcW w:w="1486" w:type="dxa"/>
          </w:tcPr>
          <w:p w:rsidR="00D849AA" w:rsidRPr="00A202BD" w:rsidRDefault="00EE6D95">
            <w:pPr>
              <w:rPr>
                <w:rFonts w:ascii="Arial" w:hAnsi="Arial" w:cs="Arial"/>
              </w:rPr>
            </w:pPr>
            <w:r w:rsidRPr="00A202BD">
              <w:rPr>
                <w:rFonts w:ascii="Arial" w:hAnsi="Arial" w:cs="Arial"/>
              </w:rPr>
              <w:t>20</w:t>
            </w:r>
          </w:p>
        </w:tc>
      </w:tr>
      <w:tr w:rsidR="00D849AA">
        <w:trPr>
          <w:jc w:val="center"/>
        </w:trPr>
        <w:tc>
          <w:tcPr>
            <w:tcW w:w="2229" w:type="dxa"/>
          </w:tcPr>
          <w:p w:rsidR="00D849AA" w:rsidRPr="00A202BD" w:rsidRDefault="00EE6D95">
            <w:pPr>
              <w:pStyle w:val="CellColumn"/>
            </w:pPr>
            <w:r w:rsidRPr="00A202BD">
              <w:t>Poticanje sudjelovanja na odborima i savjetovanjima CTIF-a</w:t>
            </w:r>
          </w:p>
        </w:tc>
        <w:tc>
          <w:tcPr>
            <w:tcW w:w="1114" w:type="dxa"/>
          </w:tcPr>
          <w:p w:rsidR="00D849AA" w:rsidRPr="00A202BD" w:rsidRDefault="00EE6D95">
            <w:pPr>
              <w:rPr>
                <w:rFonts w:ascii="Arial" w:hAnsi="Arial" w:cs="Arial"/>
              </w:rPr>
            </w:pPr>
            <w:r w:rsidRPr="00A202BD">
              <w:rPr>
                <w:rFonts w:ascii="Arial" w:hAnsi="Arial" w:cs="Arial"/>
              </w:rPr>
              <w:t>broj</w:t>
            </w:r>
          </w:p>
        </w:tc>
        <w:tc>
          <w:tcPr>
            <w:tcW w:w="1114" w:type="dxa"/>
          </w:tcPr>
          <w:p w:rsidR="00D849AA" w:rsidRPr="00A202BD" w:rsidRDefault="00EE6D95">
            <w:pPr>
              <w:rPr>
                <w:rFonts w:ascii="Arial" w:hAnsi="Arial" w:cs="Arial"/>
              </w:rPr>
            </w:pPr>
            <w:r w:rsidRPr="00A202BD">
              <w:rPr>
                <w:rFonts w:ascii="Arial" w:hAnsi="Arial" w:cs="Arial"/>
              </w:rPr>
              <w:t>9</w:t>
            </w:r>
          </w:p>
        </w:tc>
        <w:tc>
          <w:tcPr>
            <w:tcW w:w="1486" w:type="dxa"/>
          </w:tcPr>
          <w:p w:rsidR="00D849AA" w:rsidRPr="00A202BD" w:rsidRDefault="00EE6D95">
            <w:pPr>
              <w:rPr>
                <w:rFonts w:ascii="Arial" w:hAnsi="Arial" w:cs="Arial"/>
              </w:rPr>
            </w:pPr>
            <w:r w:rsidRPr="00A202BD">
              <w:rPr>
                <w:rFonts w:ascii="Arial" w:hAnsi="Arial" w:cs="Arial"/>
              </w:rPr>
              <w:t>18</w:t>
            </w:r>
          </w:p>
        </w:tc>
        <w:tc>
          <w:tcPr>
            <w:tcW w:w="1486" w:type="dxa"/>
          </w:tcPr>
          <w:p w:rsidR="00D849AA" w:rsidRPr="00A202BD" w:rsidRDefault="00EE6D95">
            <w:pPr>
              <w:rPr>
                <w:rFonts w:ascii="Arial" w:hAnsi="Arial" w:cs="Arial"/>
              </w:rPr>
            </w:pPr>
            <w:r w:rsidRPr="00A202BD">
              <w:rPr>
                <w:rFonts w:ascii="Arial" w:hAnsi="Arial" w:cs="Arial"/>
              </w:rPr>
              <w:t>27</w:t>
            </w:r>
          </w:p>
        </w:tc>
        <w:tc>
          <w:tcPr>
            <w:tcW w:w="1486" w:type="dxa"/>
          </w:tcPr>
          <w:p w:rsidR="00D849AA" w:rsidRPr="00A202BD" w:rsidRDefault="00EE6D95">
            <w:pPr>
              <w:rPr>
                <w:rFonts w:ascii="Arial" w:hAnsi="Arial" w:cs="Arial"/>
              </w:rPr>
            </w:pPr>
            <w:r w:rsidRPr="00A202BD">
              <w:rPr>
                <w:rFonts w:ascii="Arial" w:hAnsi="Arial" w:cs="Arial"/>
              </w:rPr>
              <w:t>36</w:t>
            </w:r>
          </w:p>
        </w:tc>
      </w:tr>
    </w:tbl>
    <w:p w:rsidR="00D849AA" w:rsidRDefault="00D849AA">
      <w:pPr>
        <w:jc w:val="left"/>
      </w:pPr>
    </w:p>
    <w:p w:rsidR="00D849AA" w:rsidRDefault="00EE6D95">
      <w:pPr>
        <w:pStyle w:val="Naslov6"/>
      </w:pPr>
      <w:r>
        <w:t>A554002 OSPOSOBLJAVANJE VATROGASACA HRVATSKE VATROGASNE ZAJEDNICE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A202BD" w:rsidRDefault="00EE6D95">
            <w:pPr>
              <w:pStyle w:val="CellHeader"/>
            </w:pPr>
            <w:r w:rsidRPr="00A202BD">
              <w:t>Naziv aktivnosti</w:t>
            </w:r>
          </w:p>
        </w:tc>
        <w:tc>
          <w:tcPr>
            <w:tcW w:w="1486" w:type="dxa"/>
            <w:shd w:val="clear" w:color="auto" w:fill="B5C0D8"/>
          </w:tcPr>
          <w:p w:rsidR="00D849AA" w:rsidRPr="00A202BD" w:rsidRDefault="00EE6D95">
            <w:pPr>
              <w:pStyle w:val="CellHeader"/>
            </w:pPr>
            <w:r w:rsidRPr="00A202BD">
              <w:t>Plan 2013.</w:t>
            </w:r>
          </w:p>
        </w:tc>
        <w:tc>
          <w:tcPr>
            <w:tcW w:w="1486" w:type="dxa"/>
            <w:shd w:val="clear" w:color="auto" w:fill="B5C0D8"/>
          </w:tcPr>
          <w:p w:rsidR="00D849AA" w:rsidRPr="00A202BD" w:rsidRDefault="00EE6D95">
            <w:pPr>
              <w:pStyle w:val="CellHeader"/>
            </w:pPr>
            <w:r w:rsidRPr="00A202BD">
              <w:t>Plan 2014.</w:t>
            </w:r>
          </w:p>
        </w:tc>
        <w:tc>
          <w:tcPr>
            <w:tcW w:w="1486" w:type="dxa"/>
            <w:shd w:val="clear" w:color="auto" w:fill="B5C0D8"/>
          </w:tcPr>
          <w:p w:rsidR="00D849AA" w:rsidRPr="00A202BD" w:rsidRDefault="00EE6D95">
            <w:pPr>
              <w:pStyle w:val="CellHeader"/>
            </w:pPr>
            <w:r w:rsidRPr="00A202BD">
              <w:t>Plan 2015.</w:t>
            </w:r>
          </w:p>
        </w:tc>
        <w:tc>
          <w:tcPr>
            <w:tcW w:w="1486" w:type="dxa"/>
            <w:shd w:val="clear" w:color="auto" w:fill="B5C0D8"/>
          </w:tcPr>
          <w:p w:rsidR="00D849AA" w:rsidRPr="00A202BD" w:rsidRDefault="00EE6D95">
            <w:pPr>
              <w:pStyle w:val="CellHeader"/>
            </w:pPr>
            <w:r w:rsidRPr="00A202BD">
              <w:t>Plan 2016.</w:t>
            </w:r>
          </w:p>
        </w:tc>
        <w:tc>
          <w:tcPr>
            <w:tcW w:w="1486" w:type="dxa"/>
            <w:shd w:val="clear" w:color="auto" w:fill="B5C0D8"/>
          </w:tcPr>
          <w:p w:rsidR="00D849AA" w:rsidRPr="00A202BD" w:rsidRDefault="00EE6D95">
            <w:pPr>
              <w:pStyle w:val="CellHeader"/>
            </w:pPr>
            <w:r w:rsidRPr="00A202BD">
              <w:t>Indeks 2014/2013</w:t>
            </w:r>
          </w:p>
        </w:tc>
      </w:tr>
      <w:tr w:rsidR="00D849AA">
        <w:trPr>
          <w:jc w:val="center"/>
        </w:trPr>
        <w:tc>
          <w:tcPr>
            <w:tcW w:w="1486" w:type="dxa"/>
          </w:tcPr>
          <w:p w:rsidR="00D849AA" w:rsidRPr="00A202BD" w:rsidRDefault="00EE6D95">
            <w:pPr>
              <w:pStyle w:val="CellColumn"/>
            </w:pPr>
            <w:r w:rsidRPr="00A202BD">
              <w:t>A554002</w:t>
            </w:r>
          </w:p>
        </w:tc>
        <w:tc>
          <w:tcPr>
            <w:tcW w:w="1486" w:type="dxa"/>
          </w:tcPr>
          <w:p w:rsidR="00D849AA" w:rsidRPr="00A202BD" w:rsidRDefault="00EE6D95">
            <w:pPr>
              <w:rPr>
                <w:rFonts w:ascii="Arial" w:hAnsi="Arial" w:cs="Arial"/>
              </w:rPr>
            </w:pPr>
            <w:r w:rsidRPr="00A202BD">
              <w:rPr>
                <w:rFonts w:ascii="Arial" w:hAnsi="Arial" w:cs="Arial"/>
              </w:rPr>
              <w:t>1.222.524</w:t>
            </w:r>
          </w:p>
        </w:tc>
        <w:tc>
          <w:tcPr>
            <w:tcW w:w="1486" w:type="dxa"/>
          </w:tcPr>
          <w:p w:rsidR="00D849AA" w:rsidRPr="00A202BD" w:rsidRDefault="00EE6D95">
            <w:pPr>
              <w:rPr>
                <w:rFonts w:ascii="Arial" w:hAnsi="Arial" w:cs="Arial"/>
              </w:rPr>
            </w:pPr>
            <w:r w:rsidRPr="00A202BD">
              <w:rPr>
                <w:rFonts w:ascii="Arial" w:hAnsi="Arial" w:cs="Arial"/>
              </w:rPr>
              <w:t>783.605</w:t>
            </w:r>
          </w:p>
        </w:tc>
        <w:tc>
          <w:tcPr>
            <w:tcW w:w="1486" w:type="dxa"/>
          </w:tcPr>
          <w:p w:rsidR="00D849AA" w:rsidRPr="00A202BD" w:rsidRDefault="00EE6D95">
            <w:pPr>
              <w:rPr>
                <w:rFonts w:ascii="Arial" w:hAnsi="Arial" w:cs="Arial"/>
              </w:rPr>
            </w:pPr>
            <w:r w:rsidRPr="00A202BD">
              <w:rPr>
                <w:rFonts w:ascii="Arial" w:hAnsi="Arial" w:cs="Arial"/>
              </w:rPr>
              <w:t>1.091.241</w:t>
            </w:r>
          </w:p>
        </w:tc>
        <w:tc>
          <w:tcPr>
            <w:tcW w:w="1486" w:type="dxa"/>
          </w:tcPr>
          <w:p w:rsidR="00D849AA" w:rsidRPr="00A202BD" w:rsidRDefault="00EE6D95">
            <w:pPr>
              <w:rPr>
                <w:rFonts w:ascii="Arial" w:hAnsi="Arial" w:cs="Arial"/>
              </w:rPr>
            </w:pPr>
            <w:r w:rsidRPr="00A202BD">
              <w:rPr>
                <w:rFonts w:ascii="Arial" w:hAnsi="Arial" w:cs="Arial"/>
              </w:rPr>
              <w:t>1.091.422</w:t>
            </w:r>
          </w:p>
        </w:tc>
        <w:tc>
          <w:tcPr>
            <w:tcW w:w="1486" w:type="dxa"/>
          </w:tcPr>
          <w:p w:rsidR="00D849AA" w:rsidRPr="00A202BD" w:rsidRDefault="00EE6D95">
            <w:pPr>
              <w:rPr>
                <w:rFonts w:ascii="Arial" w:hAnsi="Arial" w:cs="Arial"/>
              </w:rPr>
            </w:pPr>
            <w:r w:rsidRPr="00A202BD">
              <w:rPr>
                <w:rFonts w:ascii="Arial" w:hAnsi="Arial" w:cs="Arial"/>
              </w:rPr>
              <w:t>64,1</w:t>
            </w:r>
          </w:p>
        </w:tc>
      </w:tr>
    </w:tbl>
    <w:p w:rsidR="00D849AA" w:rsidRDefault="00D849AA">
      <w:pPr>
        <w:jc w:val="left"/>
      </w:pPr>
    </w:p>
    <w:p w:rsidR="00D849AA" w:rsidRDefault="00EE6D95">
      <w:pPr>
        <w:pStyle w:val="Normal6"/>
      </w:pPr>
      <w:r>
        <w:t xml:space="preserve">Hrvatska vatrogasna zajednica, u svrhu unapređenja vatrogasne struke i vatrogasne djelatnosti provodi osposobljavanja, usavršavanja, obuke, tečajeve, organizira seminare, savjetovanja, stručne skupove, izdaje stručnu literaturu, organizira vatrogasne vježbe i natjecanja te organizira sudjelovanje i pohađanje nacionalnih i međunarodnih strukovnih sajmova. </w:t>
      </w:r>
    </w:p>
    <w:p w:rsidR="00D849AA" w:rsidRDefault="00EE6D95">
      <w:pPr>
        <w:pStyle w:val="Normal6"/>
      </w:pPr>
      <w:r>
        <w:t xml:space="preserve">Sve sofisticiranijim tehničkim i tehnološkim okruženjem postavljaju se sve veći zahtjevi na osposobljenost vatrogasaca. Osposobljenost vatrogasca ocjenjuje se kao temeljni uvjet za uspješno provođenje vatrogasne intervencije. Stoga se poduzima niz aktivnosti, kako bi vatrogasno članstvo bilo što bolje pripremljeno za sve vidove vatrogasnih intervencija. Godišnje se u Republici Hrvatskoj osposobi oko 6.000 vatrogasaca za vatrogasna zvanja, usavrši oko 1.000 vatrogasaca za specijalnosti i provede specijalističkih obuka za oko 1.500 vatrogasaca. </w:t>
      </w:r>
    </w:p>
    <w:p w:rsidR="00D849AA" w:rsidRDefault="00EE6D95">
      <w:pPr>
        <w:pStyle w:val="Normal6"/>
      </w:pPr>
      <w:r>
        <w:t xml:space="preserve">Osposobljavanje i usavršavanje dobrovoljnih vatrogasaca provodi se putem vatrogasnih zajednica, uz nadzor osposobljavanja viših vatrogasnih zvanja i specijalnosti od Hrvatske vatrogasne zajednice. Izgradnjom Vatrogasnog vježbališta u bivšoj vojarni Slatina kod Donje Stubice, koju je Hrvatska vatrogasna zajednica dobila na korištenje od Vlade Republike Hrvatske, omogućava se sustavno osposobljavanje vatrogasnih časnika i vatrogasnih zapovjednika u potrebnim uvjetima, te održavanje niza specijaliziranih tečajeva. </w:t>
      </w:r>
    </w:p>
    <w:p w:rsidR="00D849AA" w:rsidRDefault="00EE6D95">
      <w:pPr>
        <w:pStyle w:val="Normal6"/>
      </w:pPr>
      <w:r>
        <w:t xml:space="preserve">Posebna pozornost posvećuje se kontinuiranom radu s vatrogasnom mladeži koja predstavlja temelj budućih generacija dobrovoljnih i profesionalnih vatrogasaca. Kroz razne operativne, stručne i odgojne programe oko 25 tisuća pripadnika podmlatka i vatrogasne mladeži stječe znanja i vještine koje kasnije koriste u svojem operativnom djelovanju unutar i izvan vatrogasne organizacije. Kao najvažnije aktivnosti u radu s vatrogasnom mladeži u RH ističu se Kamp vatrogasne mladeži u Fažani, kroz koji godišnje prođe obuku oko 1.500 pripadnika vatrogasne mladeži s njihovim voditeljima, </w:t>
      </w:r>
      <w:r>
        <w:lastRenderedPageBreak/>
        <w:t>kao i vatrogasna natjecanja i susreti vatrogasne mladeži. Vidljivi rezultati neprekidnog rasta članova vatrogasne mladeži na području RH, između ostalog su plod 17 godišnjeg rada u okviru Kampova vatrogasne mladeži Hrvatske vatrogasne zajednice i kroz nastojanje, da se mladeži prenesu osnovna vatrogasna znanja.</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A202BD" w:rsidRDefault="00EE6D95">
            <w:pPr>
              <w:rPr>
                <w:rFonts w:ascii="Arial" w:hAnsi="Arial" w:cs="Arial"/>
              </w:rPr>
            </w:pPr>
            <w:r w:rsidRPr="00A202BD">
              <w:rPr>
                <w:rFonts w:ascii="Arial" w:hAnsi="Arial" w:cs="Arial"/>
              </w:rPr>
              <w:t>Pokazatelj rezultata</w:t>
            </w:r>
          </w:p>
        </w:tc>
        <w:tc>
          <w:tcPr>
            <w:tcW w:w="1114" w:type="dxa"/>
            <w:shd w:val="clear" w:color="auto" w:fill="B5C0D8"/>
          </w:tcPr>
          <w:p w:rsidR="00D849AA" w:rsidRPr="00A202BD" w:rsidRDefault="00EE6D95">
            <w:pPr>
              <w:pStyle w:val="CellHeader"/>
            </w:pPr>
            <w:r w:rsidRPr="00A202BD">
              <w:t>Jedinica</w:t>
            </w:r>
          </w:p>
        </w:tc>
        <w:tc>
          <w:tcPr>
            <w:tcW w:w="1114" w:type="dxa"/>
            <w:shd w:val="clear" w:color="auto" w:fill="B5C0D8"/>
          </w:tcPr>
          <w:p w:rsidR="00D849AA" w:rsidRPr="00A202BD" w:rsidRDefault="00EE6D95">
            <w:pPr>
              <w:pStyle w:val="CellHeader"/>
            </w:pPr>
            <w:r w:rsidRPr="00A202BD">
              <w:t>Polazna vrijednost</w:t>
            </w:r>
          </w:p>
        </w:tc>
        <w:tc>
          <w:tcPr>
            <w:tcW w:w="1486" w:type="dxa"/>
            <w:shd w:val="clear" w:color="auto" w:fill="B5C0D8"/>
          </w:tcPr>
          <w:p w:rsidR="00D849AA" w:rsidRPr="00A202BD" w:rsidRDefault="00EE6D95">
            <w:pPr>
              <w:pStyle w:val="CellHeader"/>
            </w:pPr>
            <w:r w:rsidRPr="00A202BD">
              <w:t>Ciljana vrijednost (2014.)</w:t>
            </w:r>
          </w:p>
        </w:tc>
        <w:tc>
          <w:tcPr>
            <w:tcW w:w="1486" w:type="dxa"/>
            <w:shd w:val="clear" w:color="auto" w:fill="B5C0D8"/>
          </w:tcPr>
          <w:p w:rsidR="00D849AA" w:rsidRPr="00A202BD" w:rsidRDefault="00EE6D95">
            <w:pPr>
              <w:pStyle w:val="CellHeader"/>
            </w:pPr>
            <w:r w:rsidRPr="00A202BD">
              <w:t>Ciljana vrijednost (2015.)</w:t>
            </w:r>
          </w:p>
        </w:tc>
        <w:tc>
          <w:tcPr>
            <w:tcW w:w="1486" w:type="dxa"/>
            <w:shd w:val="clear" w:color="auto" w:fill="B5C0D8"/>
          </w:tcPr>
          <w:p w:rsidR="00D849AA" w:rsidRPr="00A202BD" w:rsidRDefault="00EE6D95">
            <w:pPr>
              <w:pStyle w:val="CellHeader"/>
            </w:pPr>
            <w:r w:rsidRPr="00A202BD">
              <w:t>Ciljana vrijednost (2016.)</w:t>
            </w:r>
          </w:p>
        </w:tc>
      </w:tr>
      <w:tr w:rsidR="00D849AA">
        <w:trPr>
          <w:jc w:val="center"/>
        </w:trPr>
        <w:tc>
          <w:tcPr>
            <w:tcW w:w="2229" w:type="dxa"/>
          </w:tcPr>
          <w:p w:rsidR="00D849AA" w:rsidRPr="00A202BD" w:rsidRDefault="00EE6D95">
            <w:pPr>
              <w:pStyle w:val="CellColumn"/>
            </w:pPr>
            <w:r w:rsidRPr="00A202BD">
              <w:t>Povećanje broja osposobljenih i usavršenih vatrogasaca</w:t>
            </w:r>
          </w:p>
        </w:tc>
        <w:tc>
          <w:tcPr>
            <w:tcW w:w="1114" w:type="dxa"/>
          </w:tcPr>
          <w:p w:rsidR="00D849AA" w:rsidRPr="00A202BD" w:rsidRDefault="00EE6D95">
            <w:pPr>
              <w:rPr>
                <w:rFonts w:ascii="Arial" w:hAnsi="Arial" w:cs="Arial"/>
              </w:rPr>
            </w:pPr>
            <w:r w:rsidRPr="00A202BD">
              <w:rPr>
                <w:rFonts w:ascii="Arial" w:hAnsi="Arial" w:cs="Arial"/>
              </w:rPr>
              <w:t>broj</w:t>
            </w:r>
          </w:p>
        </w:tc>
        <w:tc>
          <w:tcPr>
            <w:tcW w:w="1114" w:type="dxa"/>
          </w:tcPr>
          <w:p w:rsidR="00D849AA" w:rsidRPr="00A202BD" w:rsidRDefault="00EE6D95">
            <w:pPr>
              <w:rPr>
                <w:rFonts w:ascii="Arial" w:hAnsi="Arial" w:cs="Arial"/>
              </w:rPr>
            </w:pPr>
            <w:r w:rsidRPr="00A202BD">
              <w:rPr>
                <w:rFonts w:ascii="Arial" w:hAnsi="Arial" w:cs="Arial"/>
              </w:rPr>
              <w:t>7895</w:t>
            </w:r>
          </w:p>
        </w:tc>
        <w:tc>
          <w:tcPr>
            <w:tcW w:w="1486" w:type="dxa"/>
          </w:tcPr>
          <w:p w:rsidR="00D849AA" w:rsidRPr="00A202BD" w:rsidRDefault="00EE6D95">
            <w:pPr>
              <w:rPr>
                <w:rFonts w:ascii="Arial" w:hAnsi="Arial" w:cs="Arial"/>
              </w:rPr>
            </w:pPr>
            <w:r w:rsidRPr="00A202BD">
              <w:rPr>
                <w:rFonts w:ascii="Arial" w:hAnsi="Arial" w:cs="Arial"/>
              </w:rPr>
              <w:t>17045</w:t>
            </w:r>
          </w:p>
        </w:tc>
        <w:tc>
          <w:tcPr>
            <w:tcW w:w="1486" w:type="dxa"/>
          </w:tcPr>
          <w:p w:rsidR="00D849AA" w:rsidRPr="00A202BD" w:rsidRDefault="00EE6D95">
            <w:pPr>
              <w:rPr>
                <w:rFonts w:ascii="Arial" w:hAnsi="Arial" w:cs="Arial"/>
              </w:rPr>
            </w:pPr>
            <w:r w:rsidRPr="00A202BD">
              <w:rPr>
                <w:rFonts w:ascii="Arial" w:hAnsi="Arial" w:cs="Arial"/>
              </w:rPr>
              <w:t>26205</w:t>
            </w:r>
          </w:p>
        </w:tc>
        <w:tc>
          <w:tcPr>
            <w:tcW w:w="1486" w:type="dxa"/>
          </w:tcPr>
          <w:p w:rsidR="00D849AA" w:rsidRPr="00A202BD" w:rsidRDefault="00EE6D95">
            <w:pPr>
              <w:rPr>
                <w:rFonts w:ascii="Arial" w:hAnsi="Arial" w:cs="Arial"/>
              </w:rPr>
            </w:pPr>
            <w:r w:rsidRPr="00A202BD">
              <w:rPr>
                <w:rFonts w:ascii="Arial" w:hAnsi="Arial" w:cs="Arial"/>
              </w:rPr>
              <w:t>35365</w:t>
            </w:r>
          </w:p>
        </w:tc>
      </w:tr>
      <w:tr w:rsidR="00D849AA">
        <w:trPr>
          <w:jc w:val="center"/>
        </w:trPr>
        <w:tc>
          <w:tcPr>
            <w:tcW w:w="2229" w:type="dxa"/>
          </w:tcPr>
          <w:p w:rsidR="00D849AA" w:rsidRPr="00A202BD" w:rsidRDefault="00EE6D95">
            <w:pPr>
              <w:pStyle w:val="CellColumn"/>
            </w:pPr>
            <w:r w:rsidRPr="00A202BD">
              <w:t>Povećanje broja sudionika na savjetovanjima i susretima granskih organizacija</w:t>
            </w:r>
          </w:p>
        </w:tc>
        <w:tc>
          <w:tcPr>
            <w:tcW w:w="1114" w:type="dxa"/>
          </w:tcPr>
          <w:p w:rsidR="00D849AA" w:rsidRPr="00A202BD" w:rsidRDefault="00EE6D95">
            <w:pPr>
              <w:rPr>
                <w:rFonts w:ascii="Arial" w:hAnsi="Arial" w:cs="Arial"/>
              </w:rPr>
            </w:pPr>
            <w:r w:rsidRPr="00A202BD">
              <w:rPr>
                <w:rFonts w:ascii="Arial" w:hAnsi="Arial" w:cs="Arial"/>
              </w:rPr>
              <w:t>broj</w:t>
            </w:r>
          </w:p>
        </w:tc>
        <w:tc>
          <w:tcPr>
            <w:tcW w:w="1114" w:type="dxa"/>
          </w:tcPr>
          <w:p w:rsidR="00D849AA" w:rsidRPr="00A202BD" w:rsidRDefault="00EE6D95">
            <w:pPr>
              <w:rPr>
                <w:rFonts w:ascii="Arial" w:hAnsi="Arial" w:cs="Arial"/>
              </w:rPr>
            </w:pPr>
            <w:r w:rsidRPr="00A202BD">
              <w:rPr>
                <w:rFonts w:ascii="Arial" w:hAnsi="Arial" w:cs="Arial"/>
              </w:rPr>
              <w:t>400</w:t>
            </w:r>
          </w:p>
        </w:tc>
        <w:tc>
          <w:tcPr>
            <w:tcW w:w="1486" w:type="dxa"/>
          </w:tcPr>
          <w:p w:rsidR="00D849AA" w:rsidRPr="00A202BD" w:rsidRDefault="00EE6D95">
            <w:pPr>
              <w:rPr>
                <w:rFonts w:ascii="Arial" w:hAnsi="Arial" w:cs="Arial"/>
              </w:rPr>
            </w:pPr>
            <w:r w:rsidRPr="00A202BD">
              <w:rPr>
                <w:rFonts w:ascii="Arial" w:hAnsi="Arial" w:cs="Arial"/>
              </w:rPr>
              <w:t>420</w:t>
            </w:r>
          </w:p>
        </w:tc>
        <w:tc>
          <w:tcPr>
            <w:tcW w:w="1486" w:type="dxa"/>
          </w:tcPr>
          <w:p w:rsidR="00D849AA" w:rsidRPr="00A202BD" w:rsidRDefault="00EE6D95">
            <w:pPr>
              <w:rPr>
                <w:rFonts w:ascii="Arial" w:hAnsi="Arial" w:cs="Arial"/>
              </w:rPr>
            </w:pPr>
            <w:r w:rsidRPr="00A202BD">
              <w:rPr>
                <w:rFonts w:ascii="Arial" w:hAnsi="Arial" w:cs="Arial"/>
              </w:rPr>
              <w:t>430</w:t>
            </w:r>
          </w:p>
        </w:tc>
        <w:tc>
          <w:tcPr>
            <w:tcW w:w="1486" w:type="dxa"/>
          </w:tcPr>
          <w:p w:rsidR="00D849AA" w:rsidRPr="00A202BD" w:rsidRDefault="00EE6D95">
            <w:pPr>
              <w:rPr>
                <w:rFonts w:ascii="Arial" w:hAnsi="Arial" w:cs="Arial"/>
              </w:rPr>
            </w:pPr>
            <w:r w:rsidRPr="00A202BD">
              <w:rPr>
                <w:rFonts w:ascii="Arial" w:hAnsi="Arial" w:cs="Arial"/>
              </w:rPr>
              <w:t>440</w:t>
            </w:r>
          </w:p>
        </w:tc>
      </w:tr>
      <w:tr w:rsidR="00D849AA">
        <w:trPr>
          <w:jc w:val="center"/>
        </w:trPr>
        <w:tc>
          <w:tcPr>
            <w:tcW w:w="2229" w:type="dxa"/>
          </w:tcPr>
          <w:p w:rsidR="00D849AA" w:rsidRPr="00A202BD" w:rsidRDefault="00EE6D95">
            <w:pPr>
              <w:pStyle w:val="CellColumn"/>
            </w:pPr>
            <w:r w:rsidRPr="00A202BD">
              <w:t>Povećanje broja sudionika u Kampu vatrogasne mladeži</w:t>
            </w:r>
          </w:p>
        </w:tc>
        <w:tc>
          <w:tcPr>
            <w:tcW w:w="1114" w:type="dxa"/>
          </w:tcPr>
          <w:p w:rsidR="00D849AA" w:rsidRPr="00A202BD" w:rsidRDefault="00EE6D95">
            <w:pPr>
              <w:rPr>
                <w:rFonts w:ascii="Arial" w:hAnsi="Arial" w:cs="Arial"/>
              </w:rPr>
            </w:pPr>
            <w:r w:rsidRPr="00A202BD">
              <w:rPr>
                <w:rFonts w:ascii="Arial" w:hAnsi="Arial" w:cs="Arial"/>
              </w:rPr>
              <w:t>broj</w:t>
            </w:r>
          </w:p>
        </w:tc>
        <w:tc>
          <w:tcPr>
            <w:tcW w:w="1114" w:type="dxa"/>
          </w:tcPr>
          <w:p w:rsidR="00D849AA" w:rsidRPr="00A202BD" w:rsidRDefault="00EE6D95">
            <w:pPr>
              <w:rPr>
                <w:rFonts w:ascii="Arial" w:hAnsi="Arial" w:cs="Arial"/>
              </w:rPr>
            </w:pPr>
            <w:r w:rsidRPr="00A202BD">
              <w:rPr>
                <w:rFonts w:ascii="Arial" w:hAnsi="Arial" w:cs="Arial"/>
              </w:rPr>
              <w:t>1550</w:t>
            </w:r>
          </w:p>
        </w:tc>
        <w:tc>
          <w:tcPr>
            <w:tcW w:w="1486" w:type="dxa"/>
          </w:tcPr>
          <w:p w:rsidR="00D849AA" w:rsidRPr="00A202BD" w:rsidRDefault="00EE6D95">
            <w:pPr>
              <w:rPr>
                <w:rFonts w:ascii="Arial" w:hAnsi="Arial" w:cs="Arial"/>
              </w:rPr>
            </w:pPr>
            <w:r w:rsidRPr="00A202BD">
              <w:rPr>
                <w:rFonts w:ascii="Arial" w:hAnsi="Arial" w:cs="Arial"/>
              </w:rPr>
              <w:t>3100</w:t>
            </w:r>
          </w:p>
        </w:tc>
        <w:tc>
          <w:tcPr>
            <w:tcW w:w="1486" w:type="dxa"/>
          </w:tcPr>
          <w:p w:rsidR="00D849AA" w:rsidRPr="00A202BD" w:rsidRDefault="00EE6D95">
            <w:pPr>
              <w:rPr>
                <w:rFonts w:ascii="Arial" w:hAnsi="Arial" w:cs="Arial"/>
              </w:rPr>
            </w:pPr>
            <w:r w:rsidRPr="00A202BD">
              <w:rPr>
                <w:rFonts w:ascii="Arial" w:hAnsi="Arial" w:cs="Arial"/>
              </w:rPr>
              <w:t>4650</w:t>
            </w:r>
          </w:p>
        </w:tc>
        <w:tc>
          <w:tcPr>
            <w:tcW w:w="1486" w:type="dxa"/>
          </w:tcPr>
          <w:p w:rsidR="00D849AA" w:rsidRPr="00A202BD" w:rsidRDefault="00EE6D95">
            <w:pPr>
              <w:rPr>
                <w:rFonts w:ascii="Arial" w:hAnsi="Arial" w:cs="Arial"/>
              </w:rPr>
            </w:pPr>
            <w:r w:rsidRPr="00A202BD">
              <w:rPr>
                <w:rFonts w:ascii="Arial" w:hAnsi="Arial" w:cs="Arial"/>
              </w:rPr>
              <w:t>6200</w:t>
            </w:r>
          </w:p>
        </w:tc>
      </w:tr>
    </w:tbl>
    <w:p w:rsidR="00D849AA" w:rsidRDefault="00D849AA">
      <w:pPr>
        <w:jc w:val="left"/>
      </w:pPr>
    </w:p>
    <w:p w:rsidR="00D849AA" w:rsidRDefault="00EE6D95">
      <w:pPr>
        <w:pStyle w:val="Naslov6"/>
      </w:pPr>
      <w:r>
        <w:t>A554003 PROTUPOŽARNA PREVENTIVA, PROMIDŽBA I IZDAVAŠTVO</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A202BD" w:rsidRDefault="00EE6D95">
            <w:pPr>
              <w:pStyle w:val="CellHeader"/>
            </w:pPr>
            <w:r w:rsidRPr="00A202BD">
              <w:t>Naziv aktivnosti</w:t>
            </w:r>
          </w:p>
        </w:tc>
        <w:tc>
          <w:tcPr>
            <w:tcW w:w="1486" w:type="dxa"/>
            <w:shd w:val="clear" w:color="auto" w:fill="B5C0D8"/>
          </w:tcPr>
          <w:p w:rsidR="00D849AA" w:rsidRPr="00A202BD" w:rsidRDefault="00EE6D95">
            <w:pPr>
              <w:pStyle w:val="CellHeader"/>
            </w:pPr>
            <w:r w:rsidRPr="00A202BD">
              <w:t>Plan 2013.</w:t>
            </w:r>
          </w:p>
        </w:tc>
        <w:tc>
          <w:tcPr>
            <w:tcW w:w="1486" w:type="dxa"/>
            <w:shd w:val="clear" w:color="auto" w:fill="B5C0D8"/>
          </w:tcPr>
          <w:p w:rsidR="00D849AA" w:rsidRPr="00A202BD" w:rsidRDefault="00EE6D95">
            <w:pPr>
              <w:pStyle w:val="CellHeader"/>
            </w:pPr>
            <w:r w:rsidRPr="00A202BD">
              <w:t>Plan 2014.</w:t>
            </w:r>
          </w:p>
        </w:tc>
        <w:tc>
          <w:tcPr>
            <w:tcW w:w="1486" w:type="dxa"/>
            <w:shd w:val="clear" w:color="auto" w:fill="B5C0D8"/>
          </w:tcPr>
          <w:p w:rsidR="00D849AA" w:rsidRPr="00A202BD" w:rsidRDefault="00EE6D95">
            <w:pPr>
              <w:pStyle w:val="CellHeader"/>
            </w:pPr>
            <w:r w:rsidRPr="00A202BD">
              <w:t>Plan 2015.</w:t>
            </w:r>
          </w:p>
        </w:tc>
        <w:tc>
          <w:tcPr>
            <w:tcW w:w="1486" w:type="dxa"/>
            <w:shd w:val="clear" w:color="auto" w:fill="B5C0D8"/>
          </w:tcPr>
          <w:p w:rsidR="00D849AA" w:rsidRPr="00A202BD" w:rsidRDefault="00EE6D95">
            <w:pPr>
              <w:pStyle w:val="CellHeader"/>
            </w:pPr>
            <w:r w:rsidRPr="00A202BD">
              <w:t>Plan 2016.</w:t>
            </w:r>
          </w:p>
        </w:tc>
        <w:tc>
          <w:tcPr>
            <w:tcW w:w="1486" w:type="dxa"/>
            <w:shd w:val="clear" w:color="auto" w:fill="B5C0D8"/>
          </w:tcPr>
          <w:p w:rsidR="00D849AA" w:rsidRPr="00A202BD" w:rsidRDefault="00EE6D95">
            <w:pPr>
              <w:pStyle w:val="CellHeader"/>
            </w:pPr>
            <w:r w:rsidRPr="00A202BD">
              <w:t>Indeks 2014/2013</w:t>
            </w:r>
          </w:p>
        </w:tc>
      </w:tr>
      <w:tr w:rsidR="00D849AA">
        <w:trPr>
          <w:jc w:val="center"/>
        </w:trPr>
        <w:tc>
          <w:tcPr>
            <w:tcW w:w="1486" w:type="dxa"/>
          </w:tcPr>
          <w:p w:rsidR="00D849AA" w:rsidRPr="00A202BD" w:rsidRDefault="00EE6D95">
            <w:pPr>
              <w:pStyle w:val="CellColumn"/>
            </w:pPr>
            <w:r w:rsidRPr="00A202BD">
              <w:t>A554003</w:t>
            </w:r>
          </w:p>
        </w:tc>
        <w:tc>
          <w:tcPr>
            <w:tcW w:w="1486" w:type="dxa"/>
          </w:tcPr>
          <w:p w:rsidR="00D849AA" w:rsidRPr="00A202BD" w:rsidRDefault="00EE6D95">
            <w:pPr>
              <w:rPr>
                <w:rFonts w:ascii="Arial" w:hAnsi="Arial" w:cs="Arial"/>
              </w:rPr>
            </w:pPr>
            <w:r w:rsidRPr="00A202BD">
              <w:rPr>
                <w:rFonts w:ascii="Arial" w:hAnsi="Arial" w:cs="Arial"/>
              </w:rPr>
              <w:t>773.900</w:t>
            </w:r>
          </w:p>
        </w:tc>
        <w:tc>
          <w:tcPr>
            <w:tcW w:w="1486" w:type="dxa"/>
          </w:tcPr>
          <w:p w:rsidR="00D849AA" w:rsidRPr="00A202BD" w:rsidRDefault="00EE6D95">
            <w:pPr>
              <w:rPr>
                <w:rFonts w:ascii="Arial" w:hAnsi="Arial" w:cs="Arial"/>
              </w:rPr>
            </w:pPr>
            <w:r w:rsidRPr="00A202BD">
              <w:rPr>
                <w:rFonts w:ascii="Arial" w:hAnsi="Arial" w:cs="Arial"/>
              </w:rPr>
              <w:t>1.174.200</w:t>
            </w:r>
          </w:p>
        </w:tc>
        <w:tc>
          <w:tcPr>
            <w:tcW w:w="1486" w:type="dxa"/>
          </w:tcPr>
          <w:p w:rsidR="00D849AA" w:rsidRPr="00A202BD" w:rsidRDefault="00EE6D95">
            <w:pPr>
              <w:rPr>
                <w:rFonts w:ascii="Arial" w:hAnsi="Arial" w:cs="Arial"/>
              </w:rPr>
            </w:pPr>
            <w:r w:rsidRPr="00A202BD">
              <w:rPr>
                <w:rFonts w:ascii="Arial" w:hAnsi="Arial" w:cs="Arial"/>
              </w:rPr>
              <w:t>999.300</w:t>
            </w:r>
          </w:p>
        </w:tc>
        <w:tc>
          <w:tcPr>
            <w:tcW w:w="1486" w:type="dxa"/>
          </w:tcPr>
          <w:p w:rsidR="00D849AA" w:rsidRPr="00A202BD" w:rsidRDefault="00EE6D95">
            <w:pPr>
              <w:rPr>
                <w:rFonts w:ascii="Arial" w:hAnsi="Arial" w:cs="Arial"/>
              </w:rPr>
            </w:pPr>
            <w:r w:rsidRPr="00A202BD">
              <w:rPr>
                <w:rFonts w:ascii="Arial" w:hAnsi="Arial" w:cs="Arial"/>
              </w:rPr>
              <w:t>1.083.200</w:t>
            </w:r>
          </w:p>
        </w:tc>
        <w:tc>
          <w:tcPr>
            <w:tcW w:w="1486" w:type="dxa"/>
          </w:tcPr>
          <w:p w:rsidR="00D849AA" w:rsidRPr="00A202BD" w:rsidRDefault="00EE6D95">
            <w:pPr>
              <w:rPr>
                <w:rFonts w:ascii="Arial" w:hAnsi="Arial" w:cs="Arial"/>
              </w:rPr>
            </w:pPr>
            <w:r w:rsidRPr="00A202BD">
              <w:rPr>
                <w:rFonts w:ascii="Arial" w:hAnsi="Arial" w:cs="Arial"/>
              </w:rPr>
              <w:t>151,7</w:t>
            </w:r>
          </w:p>
        </w:tc>
      </w:tr>
    </w:tbl>
    <w:p w:rsidR="00D849AA" w:rsidRDefault="00D849AA">
      <w:pPr>
        <w:jc w:val="left"/>
      </w:pPr>
    </w:p>
    <w:p w:rsidR="00D849AA" w:rsidRDefault="00EE6D95">
      <w:pPr>
        <w:pStyle w:val="Normal6"/>
      </w:pPr>
      <w:r>
        <w:t xml:space="preserve">Hrvatska vatrogasna zajednica, u cilju smanjenja broja opasnih situacija, nesreća, broja poginulih i stradalih u nesrećama te smanjivanja dugoročnih posljedica na okoliš poduzima niz preventivnih mjera i aktivnosti. </w:t>
      </w:r>
    </w:p>
    <w:p w:rsidR="00D849AA" w:rsidRDefault="00EE6D95">
      <w:pPr>
        <w:pStyle w:val="Normal6"/>
      </w:pPr>
      <w:r>
        <w:t xml:space="preserve">U preventivne aktivnosti ubraja se poticanje kontrole provedbe propisanih mjera zaštite od požara od strane ovlaštenih vatrogasaca. Važne preventivne mjere su rad s djecom i mladima te sveobuhvatna informativno-promidžbena djelatnost, među kojom se može izdvojiti mjesečno izdavanje časopisa iz zaštite od požara i vatrogastva „Vatrogasni vjesnik“ i stručni časopis "Vatrogastvo i upravljanje požarima", izdavanje stručne literature i audio-vizualnih medija za preventivnu zaštitu od požara, promidžba putem interneta, televizije, plakata, brošura i letaka kao i provođenje promidžbenih akcija, posebno za zaštitu šuma od požara tijekom požarne sezone i drugo. Hrvatska vatrogasna zajednica će svoju informativno-promidžbenu aktivnost u 2014. godini proširiti tiskanjem većeg broja priručnika i letaka.  </w:t>
      </w:r>
    </w:p>
    <w:p w:rsidR="00D849AA" w:rsidRDefault="00EE6D95">
      <w:pPr>
        <w:pStyle w:val="Normal6"/>
      </w:pPr>
      <w:r>
        <w:t xml:space="preserve">Kroz različite društvene aktivnosti propagira se vatrogasna struka. Dobrovoljna vatrogasna društva su u mnogim sredinama glavni nositelji društvenog i kulturnog života. Tako u Republici Hrvatskoj djeluje 36 vatrogasnih puhačkih orkestara koji sudjeluju na raznim kulturno-umjetničkim manifestacijama kojima se promovira široki spektar djelovanja dobrovoljnih vatrogasnih društava. Hrvatska vatrogasna zajednica svake godine organizira niz aktivnosti putem kojih promiče društveni doprinos vatrogasaca. </w:t>
      </w:r>
    </w:p>
    <w:p w:rsidR="00D849AA" w:rsidRDefault="00EE6D95">
      <w:pPr>
        <w:pStyle w:val="Normal6"/>
      </w:pPr>
      <w:r>
        <w:lastRenderedPageBreak/>
        <w:t>Kotinuiranim prikupljanjem vatrogasne povijesne građe iz svih područja RH, aktivnostima na adaptaciji i opremanju Muzeja hrvatskog vatrogastva u Varaždinu Hrvatska vatrogasna zajednica vodi trajnu brigu o vtrogasnoj baštini i povijesti hrvatskog vatrogastva, koje kontinuirano postoji dulje od 137 godina.</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rsidRPr="00A202BD">
        <w:trPr>
          <w:jc w:val="center"/>
        </w:trPr>
        <w:tc>
          <w:tcPr>
            <w:tcW w:w="2229" w:type="dxa"/>
            <w:shd w:val="clear" w:color="auto" w:fill="B5C0D8"/>
          </w:tcPr>
          <w:p w:rsidR="00D849AA" w:rsidRPr="00A202BD" w:rsidRDefault="00EE6D95">
            <w:pPr>
              <w:rPr>
                <w:rFonts w:ascii="Arial" w:hAnsi="Arial" w:cs="Arial"/>
              </w:rPr>
            </w:pPr>
            <w:r w:rsidRPr="00A202BD">
              <w:rPr>
                <w:rFonts w:ascii="Arial" w:hAnsi="Arial" w:cs="Arial"/>
              </w:rPr>
              <w:t>Pokazatelj rezultata</w:t>
            </w:r>
          </w:p>
        </w:tc>
        <w:tc>
          <w:tcPr>
            <w:tcW w:w="1114" w:type="dxa"/>
            <w:shd w:val="clear" w:color="auto" w:fill="B5C0D8"/>
          </w:tcPr>
          <w:p w:rsidR="00D849AA" w:rsidRPr="00A202BD" w:rsidRDefault="00EE6D95">
            <w:pPr>
              <w:pStyle w:val="CellHeader"/>
            </w:pPr>
            <w:r w:rsidRPr="00A202BD">
              <w:t>Jedinica</w:t>
            </w:r>
          </w:p>
        </w:tc>
        <w:tc>
          <w:tcPr>
            <w:tcW w:w="1114" w:type="dxa"/>
            <w:shd w:val="clear" w:color="auto" w:fill="B5C0D8"/>
          </w:tcPr>
          <w:p w:rsidR="00D849AA" w:rsidRPr="00A202BD" w:rsidRDefault="00EE6D95">
            <w:pPr>
              <w:pStyle w:val="CellHeader"/>
            </w:pPr>
            <w:r w:rsidRPr="00A202BD">
              <w:t>Polazna vrijednost</w:t>
            </w:r>
          </w:p>
        </w:tc>
        <w:tc>
          <w:tcPr>
            <w:tcW w:w="1486" w:type="dxa"/>
            <w:shd w:val="clear" w:color="auto" w:fill="B5C0D8"/>
          </w:tcPr>
          <w:p w:rsidR="00D849AA" w:rsidRPr="00A202BD" w:rsidRDefault="00EE6D95">
            <w:pPr>
              <w:pStyle w:val="CellHeader"/>
            </w:pPr>
            <w:r w:rsidRPr="00A202BD">
              <w:t>Ciljana vrijednost (2014.)</w:t>
            </w:r>
          </w:p>
        </w:tc>
        <w:tc>
          <w:tcPr>
            <w:tcW w:w="1486" w:type="dxa"/>
            <w:shd w:val="clear" w:color="auto" w:fill="B5C0D8"/>
          </w:tcPr>
          <w:p w:rsidR="00D849AA" w:rsidRPr="00A202BD" w:rsidRDefault="00EE6D95">
            <w:pPr>
              <w:pStyle w:val="CellHeader"/>
            </w:pPr>
            <w:r w:rsidRPr="00A202BD">
              <w:t>Ciljana vrijednost (2015.)</w:t>
            </w:r>
          </w:p>
        </w:tc>
        <w:tc>
          <w:tcPr>
            <w:tcW w:w="1486" w:type="dxa"/>
            <w:shd w:val="clear" w:color="auto" w:fill="B5C0D8"/>
          </w:tcPr>
          <w:p w:rsidR="00D849AA" w:rsidRPr="00A202BD" w:rsidRDefault="00EE6D95">
            <w:pPr>
              <w:pStyle w:val="CellHeader"/>
            </w:pPr>
            <w:r w:rsidRPr="00A202BD">
              <w:t>Ciljana vrijednost (2016.)</w:t>
            </w:r>
          </w:p>
        </w:tc>
      </w:tr>
      <w:tr w:rsidR="00D849AA" w:rsidRPr="00A202BD">
        <w:trPr>
          <w:jc w:val="center"/>
        </w:trPr>
        <w:tc>
          <w:tcPr>
            <w:tcW w:w="2229" w:type="dxa"/>
          </w:tcPr>
          <w:p w:rsidR="00D849AA" w:rsidRPr="00A202BD" w:rsidRDefault="00EE6D95">
            <w:pPr>
              <w:pStyle w:val="CellColumn"/>
            </w:pPr>
            <w:r w:rsidRPr="00A202BD">
              <w:t>Tiskanje i distribucija protupožarnih plakata i letaka</w:t>
            </w:r>
          </w:p>
        </w:tc>
        <w:tc>
          <w:tcPr>
            <w:tcW w:w="1114" w:type="dxa"/>
          </w:tcPr>
          <w:p w:rsidR="00D849AA" w:rsidRPr="00A202BD" w:rsidRDefault="00EE6D95">
            <w:pPr>
              <w:rPr>
                <w:rFonts w:ascii="Arial" w:hAnsi="Arial" w:cs="Arial"/>
              </w:rPr>
            </w:pPr>
            <w:r w:rsidRPr="00A202BD">
              <w:rPr>
                <w:rFonts w:ascii="Arial" w:hAnsi="Arial" w:cs="Arial"/>
              </w:rPr>
              <w:t>broj</w:t>
            </w:r>
          </w:p>
        </w:tc>
        <w:tc>
          <w:tcPr>
            <w:tcW w:w="1114" w:type="dxa"/>
          </w:tcPr>
          <w:p w:rsidR="00D849AA" w:rsidRPr="00A202BD" w:rsidRDefault="00EE6D95">
            <w:pPr>
              <w:rPr>
                <w:rFonts w:ascii="Arial" w:hAnsi="Arial" w:cs="Arial"/>
              </w:rPr>
            </w:pPr>
            <w:r w:rsidRPr="00A202BD">
              <w:rPr>
                <w:rFonts w:ascii="Arial" w:hAnsi="Arial" w:cs="Arial"/>
              </w:rPr>
              <w:t>100000</w:t>
            </w:r>
          </w:p>
        </w:tc>
        <w:tc>
          <w:tcPr>
            <w:tcW w:w="1486" w:type="dxa"/>
          </w:tcPr>
          <w:p w:rsidR="00D849AA" w:rsidRPr="00A202BD" w:rsidRDefault="00EE6D95">
            <w:pPr>
              <w:rPr>
                <w:rFonts w:ascii="Arial" w:hAnsi="Arial" w:cs="Arial"/>
              </w:rPr>
            </w:pPr>
            <w:r w:rsidRPr="00A202BD">
              <w:rPr>
                <w:rFonts w:ascii="Arial" w:hAnsi="Arial" w:cs="Arial"/>
              </w:rPr>
              <w:t>210000</w:t>
            </w:r>
          </w:p>
        </w:tc>
        <w:tc>
          <w:tcPr>
            <w:tcW w:w="1486" w:type="dxa"/>
          </w:tcPr>
          <w:p w:rsidR="00D849AA" w:rsidRPr="00A202BD" w:rsidRDefault="00EE6D95">
            <w:pPr>
              <w:rPr>
                <w:rFonts w:ascii="Arial" w:hAnsi="Arial" w:cs="Arial"/>
              </w:rPr>
            </w:pPr>
            <w:r w:rsidRPr="00A202BD">
              <w:rPr>
                <w:rFonts w:ascii="Arial" w:hAnsi="Arial" w:cs="Arial"/>
              </w:rPr>
              <w:t>310000</w:t>
            </w:r>
          </w:p>
        </w:tc>
        <w:tc>
          <w:tcPr>
            <w:tcW w:w="1486" w:type="dxa"/>
          </w:tcPr>
          <w:p w:rsidR="00D849AA" w:rsidRPr="00A202BD" w:rsidRDefault="00EE6D95">
            <w:pPr>
              <w:rPr>
                <w:rFonts w:ascii="Arial" w:hAnsi="Arial" w:cs="Arial"/>
              </w:rPr>
            </w:pPr>
            <w:r w:rsidRPr="00A202BD">
              <w:rPr>
                <w:rFonts w:ascii="Arial" w:hAnsi="Arial" w:cs="Arial"/>
              </w:rPr>
              <w:t>410000</w:t>
            </w:r>
          </w:p>
        </w:tc>
      </w:tr>
      <w:tr w:rsidR="00D849AA" w:rsidRPr="00A202BD">
        <w:trPr>
          <w:jc w:val="center"/>
        </w:trPr>
        <w:tc>
          <w:tcPr>
            <w:tcW w:w="2229" w:type="dxa"/>
          </w:tcPr>
          <w:p w:rsidR="00D849AA" w:rsidRPr="00A202BD" w:rsidRDefault="00EE6D95">
            <w:pPr>
              <w:pStyle w:val="CellColumn"/>
            </w:pPr>
            <w:r w:rsidRPr="00A202BD">
              <w:t>Povećanje broja vatrogasnih organizacija koje primaju "Vatrogasni Vjesnik"</w:t>
            </w:r>
          </w:p>
        </w:tc>
        <w:tc>
          <w:tcPr>
            <w:tcW w:w="1114" w:type="dxa"/>
          </w:tcPr>
          <w:p w:rsidR="00D849AA" w:rsidRPr="00A202BD" w:rsidRDefault="00EE6D95">
            <w:pPr>
              <w:rPr>
                <w:rFonts w:ascii="Arial" w:hAnsi="Arial" w:cs="Arial"/>
              </w:rPr>
            </w:pPr>
            <w:r w:rsidRPr="00A202BD">
              <w:rPr>
                <w:rFonts w:ascii="Arial" w:hAnsi="Arial" w:cs="Arial"/>
              </w:rPr>
              <w:t>broj</w:t>
            </w:r>
          </w:p>
        </w:tc>
        <w:tc>
          <w:tcPr>
            <w:tcW w:w="1114" w:type="dxa"/>
          </w:tcPr>
          <w:p w:rsidR="00D849AA" w:rsidRPr="00A202BD" w:rsidRDefault="00EE6D95">
            <w:pPr>
              <w:rPr>
                <w:rFonts w:ascii="Arial" w:hAnsi="Arial" w:cs="Arial"/>
              </w:rPr>
            </w:pPr>
            <w:r w:rsidRPr="00A202BD">
              <w:rPr>
                <w:rFonts w:ascii="Arial" w:hAnsi="Arial" w:cs="Arial"/>
              </w:rPr>
              <w:t>3800</w:t>
            </w:r>
          </w:p>
        </w:tc>
        <w:tc>
          <w:tcPr>
            <w:tcW w:w="1486" w:type="dxa"/>
          </w:tcPr>
          <w:p w:rsidR="00D849AA" w:rsidRPr="00A202BD" w:rsidRDefault="00EE6D95">
            <w:pPr>
              <w:rPr>
                <w:rFonts w:ascii="Arial" w:hAnsi="Arial" w:cs="Arial"/>
              </w:rPr>
            </w:pPr>
            <w:r w:rsidRPr="00A202BD">
              <w:rPr>
                <w:rFonts w:ascii="Arial" w:hAnsi="Arial" w:cs="Arial"/>
              </w:rPr>
              <w:t>3810</w:t>
            </w:r>
          </w:p>
        </w:tc>
        <w:tc>
          <w:tcPr>
            <w:tcW w:w="1486" w:type="dxa"/>
          </w:tcPr>
          <w:p w:rsidR="00D849AA" w:rsidRPr="00A202BD" w:rsidRDefault="00EE6D95">
            <w:pPr>
              <w:rPr>
                <w:rFonts w:ascii="Arial" w:hAnsi="Arial" w:cs="Arial"/>
              </w:rPr>
            </w:pPr>
            <w:r w:rsidRPr="00A202BD">
              <w:rPr>
                <w:rFonts w:ascii="Arial" w:hAnsi="Arial" w:cs="Arial"/>
              </w:rPr>
              <w:t>3820</w:t>
            </w:r>
          </w:p>
        </w:tc>
        <w:tc>
          <w:tcPr>
            <w:tcW w:w="1486" w:type="dxa"/>
          </w:tcPr>
          <w:p w:rsidR="00D849AA" w:rsidRPr="00A202BD" w:rsidRDefault="00EE6D95">
            <w:pPr>
              <w:rPr>
                <w:rFonts w:ascii="Arial" w:hAnsi="Arial" w:cs="Arial"/>
              </w:rPr>
            </w:pPr>
            <w:r w:rsidRPr="00A202BD">
              <w:rPr>
                <w:rFonts w:ascii="Arial" w:hAnsi="Arial" w:cs="Arial"/>
              </w:rPr>
              <w:t>3830</w:t>
            </w:r>
          </w:p>
        </w:tc>
      </w:tr>
    </w:tbl>
    <w:p w:rsidR="00D849AA" w:rsidRPr="00A202BD" w:rsidRDefault="00D849AA">
      <w:pPr>
        <w:jc w:val="left"/>
        <w:rPr>
          <w:rFonts w:ascii="Arial" w:hAnsi="Arial" w:cs="Arial"/>
        </w:rPr>
      </w:pPr>
    </w:p>
    <w:p w:rsidR="00D849AA" w:rsidRDefault="00EE6D95">
      <w:pPr>
        <w:pStyle w:val="Naslov6"/>
      </w:pPr>
      <w:r>
        <w:t>A554004 OSPOSOBLJAVANJE I OPREMA ZA POTREBE VATROGASNIH INTERVENCIJA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rsidRPr="00A202BD">
        <w:trPr>
          <w:jc w:val="center"/>
        </w:trPr>
        <w:tc>
          <w:tcPr>
            <w:tcW w:w="1486" w:type="dxa"/>
            <w:shd w:val="clear" w:color="auto" w:fill="B5C0D8"/>
          </w:tcPr>
          <w:p w:rsidR="00D849AA" w:rsidRPr="00A202BD" w:rsidRDefault="00EE6D95">
            <w:pPr>
              <w:pStyle w:val="CellHeader"/>
            </w:pPr>
            <w:r w:rsidRPr="00A202BD">
              <w:t>Naziv aktivnosti</w:t>
            </w:r>
          </w:p>
        </w:tc>
        <w:tc>
          <w:tcPr>
            <w:tcW w:w="1486" w:type="dxa"/>
            <w:shd w:val="clear" w:color="auto" w:fill="B5C0D8"/>
          </w:tcPr>
          <w:p w:rsidR="00D849AA" w:rsidRPr="00A202BD" w:rsidRDefault="00EE6D95">
            <w:pPr>
              <w:pStyle w:val="CellHeader"/>
            </w:pPr>
            <w:r w:rsidRPr="00A202BD">
              <w:t>Plan 2013.</w:t>
            </w:r>
          </w:p>
        </w:tc>
        <w:tc>
          <w:tcPr>
            <w:tcW w:w="1486" w:type="dxa"/>
            <w:shd w:val="clear" w:color="auto" w:fill="B5C0D8"/>
          </w:tcPr>
          <w:p w:rsidR="00D849AA" w:rsidRPr="00A202BD" w:rsidRDefault="00EE6D95">
            <w:pPr>
              <w:pStyle w:val="CellHeader"/>
            </w:pPr>
            <w:r w:rsidRPr="00A202BD">
              <w:t>Plan 2014.</w:t>
            </w:r>
          </w:p>
        </w:tc>
        <w:tc>
          <w:tcPr>
            <w:tcW w:w="1486" w:type="dxa"/>
            <w:shd w:val="clear" w:color="auto" w:fill="B5C0D8"/>
          </w:tcPr>
          <w:p w:rsidR="00D849AA" w:rsidRPr="00A202BD" w:rsidRDefault="00EE6D95">
            <w:pPr>
              <w:pStyle w:val="CellHeader"/>
            </w:pPr>
            <w:r w:rsidRPr="00A202BD">
              <w:t>Plan 2015.</w:t>
            </w:r>
          </w:p>
        </w:tc>
        <w:tc>
          <w:tcPr>
            <w:tcW w:w="1486" w:type="dxa"/>
            <w:shd w:val="clear" w:color="auto" w:fill="B5C0D8"/>
          </w:tcPr>
          <w:p w:rsidR="00D849AA" w:rsidRPr="00A202BD" w:rsidRDefault="00EE6D95">
            <w:pPr>
              <w:pStyle w:val="CellHeader"/>
            </w:pPr>
            <w:r w:rsidRPr="00A202BD">
              <w:t>Plan 2016.</w:t>
            </w:r>
          </w:p>
        </w:tc>
        <w:tc>
          <w:tcPr>
            <w:tcW w:w="1486" w:type="dxa"/>
            <w:shd w:val="clear" w:color="auto" w:fill="B5C0D8"/>
          </w:tcPr>
          <w:p w:rsidR="00D849AA" w:rsidRPr="00A202BD" w:rsidRDefault="00EE6D95">
            <w:pPr>
              <w:pStyle w:val="CellHeader"/>
            </w:pPr>
            <w:r w:rsidRPr="00A202BD">
              <w:t>Indeks 2014/2013</w:t>
            </w:r>
          </w:p>
        </w:tc>
      </w:tr>
      <w:tr w:rsidR="00D849AA" w:rsidRPr="00A202BD">
        <w:trPr>
          <w:jc w:val="center"/>
        </w:trPr>
        <w:tc>
          <w:tcPr>
            <w:tcW w:w="1486" w:type="dxa"/>
          </w:tcPr>
          <w:p w:rsidR="00D849AA" w:rsidRPr="00A202BD" w:rsidRDefault="00EE6D95">
            <w:pPr>
              <w:pStyle w:val="CellColumn"/>
            </w:pPr>
            <w:r w:rsidRPr="00A202BD">
              <w:t>A554004</w:t>
            </w:r>
          </w:p>
        </w:tc>
        <w:tc>
          <w:tcPr>
            <w:tcW w:w="1486" w:type="dxa"/>
          </w:tcPr>
          <w:p w:rsidR="00D849AA" w:rsidRPr="00A202BD" w:rsidRDefault="00EE6D95">
            <w:pPr>
              <w:rPr>
                <w:rFonts w:ascii="Arial" w:hAnsi="Arial" w:cs="Arial"/>
              </w:rPr>
            </w:pPr>
            <w:r w:rsidRPr="00A202BD">
              <w:rPr>
                <w:rFonts w:ascii="Arial" w:hAnsi="Arial" w:cs="Arial"/>
              </w:rPr>
              <w:t>4.439.020</w:t>
            </w:r>
          </w:p>
        </w:tc>
        <w:tc>
          <w:tcPr>
            <w:tcW w:w="1486" w:type="dxa"/>
          </w:tcPr>
          <w:p w:rsidR="00D849AA" w:rsidRPr="00A202BD" w:rsidRDefault="00EE6D95">
            <w:pPr>
              <w:rPr>
                <w:rFonts w:ascii="Arial" w:hAnsi="Arial" w:cs="Arial"/>
              </w:rPr>
            </w:pPr>
            <w:r w:rsidRPr="00A202BD">
              <w:rPr>
                <w:rFonts w:ascii="Arial" w:hAnsi="Arial" w:cs="Arial"/>
              </w:rPr>
              <w:t>5.040.000</w:t>
            </w:r>
          </w:p>
        </w:tc>
        <w:tc>
          <w:tcPr>
            <w:tcW w:w="1486" w:type="dxa"/>
          </w:tcPr>
          <w:p w:rsidR="00D849AA" w:rsidRPr="00A202BD" w:rsidRDefault="00EE6D95">
            <w:pPr>
              <w:rPr>
                <w:rFonts w:ascii="Arial" w:hAnsi="Arial" w:cs="Arial"/>
              </w:rPr>
            </w:pPr>
            <w:r w:rsidRPr="00A202BD">
              <w:rPr>
                <w:rFonts w:ascii="Arial" w:hAnsi="Arial" w:cs="Arial"/>
              </w:rPr>
              <w:t>4.752.000</w:t>
            </w:r>
          </w:p>
        </w:tc>
        <w:tc>
          <w:tcPr>
            <w:tcW w:w="1486" w:type="dxa"/>
          </w:tcPr>
          <w:p w:rsidR="00D849AA" w:rsidRPr="00A202BD" w:rsidRDefault="00EE6D95">
            <w:pPr>
              <w:rPr>
                <w:rFonts w:ascii="Arial" w:hAnsi="Arial" w:cs="Arial"/>
              </w:rPr>
            </w:pPr>
            <w:r w:rsidRPr="00A202BD">
              <w:rPr>
                <w:rFonts w:ascii="Arial" w:hAnsi="Arial" w:cs="Arial"/>
              </w:rPr>
              <w:t>4.880.000</w:t>
            </w:r>
          </w:p>
        </w:tc>
        <w:tc>
          <w:tcPr>
            <w:tcW w:w="1486" w:type="dxa"/>
          </w:tcPr>
          <w:p w:rsidR="00D849AA" w:rsidRPr="00A202BD" w:rsidRDefault="00EE6D95">
            <w:pPr>
              <w:rPr>
                <w:rFonts w:ascii="Arial" w:hAnsi="Arial" w:cs="Arial"/>
              </w:rPr>
            </w:pPr>
            <w:r w:rsidRPr="00A202BD">
              <w:rPr>
                <w:rFonts w:ascii="Arial" w:hAnsi="Arial" w:cs="Arial"/>
              </w:rPr>
              <w:t>113,5</w:t>
            </w:r>
          </w:p>
        </w:tc>
      </w:tr>
    </w:tbl>
    <w:p w:rsidR="00D849AA" w:rsidRPr="00A202BD" w:rsidRDefault="00D849AA">
      <w:pPr>
        <w:jc w:val="left"/>
        <w:rPr>
          <w:rFonts w:ascii="Arial" w:hAnsi="Arial" w:cs="Arial"/>
        </w:rPr>
      </w:pPr>
    </w:p>
    <w:p w:rsidR="00D849AA" w:rsidRDefault="00EE6D95">
      <w:pPr>
        <w:pStyle w:val="Normal6"/>
      </w:pPr>
      <w:r>
        <w:t xml:space="preserve">Hrvatska vatrogasna zajednica poduzima mjere i aktivnosti u svrhu osiguranja optimalne tehničko-tehnološke opremljenosti vatrogasnih postrojbi putem sufinanciranja vatrogasne tehnike i opreme te mjerama i aktivnostima u svrhu osposobljavanja i usavršavanja vatrogasaca, a sve zbog učinkovite provedbe vatrogasne djelatnosti, smanjenja šteta i broja stradalih. </w:t>
      </w:r>
    </w:p>
    <w:p w:rsidR="00D849AA" w:rsidRDefault="00EE6D95">
      <w:pPr>
        <w:pStyle w:val="Normal6"/>
      </w:pPr>
      <w:r>
        <w:t xml:space="preserve">Društva za osiguranje temeljem Zakona o vatrogastvu izdvajaju dio sredstava iz premija osiguranja od požara i doznačavaju ih vatrogasnim organizacijama. Sredstva premija osiguranja se putem ove aktivnosti koriste za nabavu opreme i sredstava namijenjenih za vatrogasnu intervenciju, osposobljavanje vatrogasaca te pomaganje vatrogastva na područjima od posebne državne skrbi kako bi se osigurala operativna sposobnost vatrogastva u manje razvijenim područjima. </w:t>
      </w:r>
    </w:p>
    <w:p w:rsidR="00D849AA" w:rsidRDefault="00EE6D95">
      <w:pPr>
        <w:pStyle w:val="Normal6"/>
      </w:pPr>
      <w:r>
        <w:t>Hrvatska vatrogasna zajednica sudjeluje u oblikovanju i realizaciji Programa aktivnosti u provedbi posebnih mjera zaštite od požara od interesa za Republiku Hrvatsku. To se posebno odnosi na organizaciju i opremanje pričuvnih vatrogasnih snaga.</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A202BD" w:rsidRDefault="00EE6D95">
            <w:pPr>
              <w:rPr>
                <w:rFonts w:ascii="Arial" w:hAnsi="Arial" w:cs="Arial"/>
              </w:rPr>
            </w:pPr>
            <w:r w:rsidRPr="00A202BD">
              <w:rPr>
                <w:rFonts w:ascii="Arial" w:hAnsi="Arial" w:cs="Arial"/>
              </w:rPr>
              <w:t>Pokazatelj rezultata</w:t>
            </w:r>
          </w:p>
        </w:tc>
        <w:tc>
          <w:tcPr>
            <w:tcW w:w="1114" w:type="dxa"/>
            <w:shd w:val="clear" w:color="auto" w:fill="B5C0D8"/>
          </w:tcPr>
          <w:p w:rsidR="00D849AA" w:rsidRPr="00A202BD" w:rsidRDefault="00EE6D95">
            <w:pPr>
              <w:pStyle w:val="CellHeader"/>
            </w:pPr>
            <w:r w:rsidRPr="00A202BD">
              <w:t>Jedinica</w:t>
            </w:r>
          </w:p>
        </w:tc>
        <w:tc>
          <w:tcPr>
            <w:tcW w:w="1114" w:type="dxa"/>
            <w:shd w:val="clear" w:color="auto" w:fill="B5C0D8"/>
          </w:tcPr>
          <w:p w:rsidR="00D849AA" w:rsidRPr="00A202BD" w:rsidRDefault="00EE6D95">
            <w:pPr>
              <w:pStyle w:val="CellHeader"/>
            </w:pPr>
            <w:r w:rsidRPr="00A202BD">
              <w:t>Polazna vrijednost</w:t>
            </w:r>
          </w:p>
        </w:tc>
        <w:tc>
          <w:tcPr>
            <w:tcW w:w="1486" w:type="dxa"/>
            <w:shd w:val="clear" w:color="auto" w:fill="B5C0D8"/>
          </w:tcPr>
          <w:p w:rsidR="00D849AA" w:rsidRPr="00A202BD" w:rsidRDefault="00EE6D95">
            <w:pPr>
              <w:pStyle w:val="CellHeader"/>
            </w:pPr>
            <w:r w:rsidRPr="00A202BD">
              <w:t>Ciljana vrijednost (2014.)</w:t>
            </w:r>
          </w:p>
        </w:tc>
        <w:tc>
          <w:tcPr>
            <w:tcW w:w="1486" w:type="dxa"/>
            <w:shd w:val="clear" w:color="auto" w:fill="B5C0D8"/>
          </w:tcPr>
          <w:p w:rsidR="00D849AA" w:rsidRPr="00A202BD" w:rsidRDefault="00EE6D95">
            <w:pPr>
              <w:pStyle w:val="CellHeader"/>
            </w:pPr>
            <w:r w:rsidRPr="00A202BD">
              <w:t>Ciljana vrijednost (2015.)</w:t>
            </w:r>
          </w:p>
        </w:tc>
        <w:tc>
          <w:tcPr>
            <w:tcW w:w="1486" w:type="dxa"/>
            <w:shd w:val="clear" w:color="auto" w:fill="B5C0D8"/>
          </w:tcPr>
          <w:p w:rsidR="00D849AA" w:rsidRPr="00A202BD" w:rsidRDefault="00EE6D95">
            <w:pPr>
              <w:pStyle w:val="CellHeader"/>
            </w:pPr>
            <w:r w:rsidRPr="00A202BD">
              <w:t>Ciljana vrijednost (2016.)</w:t>
            </w:r>
          </w:p>
        </w:tc>
      </w:tr>
      <w:tr w:rsidR="00D849AA">
        <w:trPr>
          <w:jc w:val="center"/>
        </w:trPr>
        <w:tc>
          <w:tcPr>
            <w:tcW w:w="2229" w:type="dxa"/>
          </w:tcPr>
          <w:p w:rsidR="00D849AA" w:rsidRPr="00A202BD" w:rsidRDefault="00EE6D95">
            <w:pPr>
              <w:pStyle w:val="CellColumn"/>
            </w:pPr>
            <w:r w:rsidRPr="00A202BD">
              <w:t xml:space="preserve">Povećati broj opremljenih interventnih </w:t>
            </w:r>
            <w:r w:rsidRPr="00A202BD">
              <w:lastRenderedPageBreak/>
              <w:t>vatrogasaca s kontinenta  za pričuvu</w:t>
            </w:r>
          </w:p>
        </w:tc>
        <w:tc>
          <w:tcPr>
            <w:tcW w:w="1114" w:type="dxa"/>
          </w:tcPr>
          <w:p w:rsidR="00D849AA" w:rsidRPr="00A202BD" w:rsidRDefault="00EE6D95">
            <w:pPr>
              <w:rPr>
                <w:rFonts w:ascii="Arial" w:hAnsi="Arial" w:cs="Arial"/>
              </w:rPr>
            </w:pPr>
            <w:r w:rsidRPr="00A202BD">
              <w:rPr>
                <w:rFonts w:ascii="Arial" w:hAnsi="Arial" w:cs="Arial"/>
              </w:rPr>
              <w:lastRenderedPageBreak/>
              <w:t>broj</w:t>
            </w:r>
          </w:p>
        </w:tc>
        <w:tc>
          <w:tcPr>
            <w:tcW w:w="1114" w:type="dxa"/>
          </w:tcPr>
          <w:p w:rsidR="00D849AA" w:rsidRPr="00A202BD" w:rsidRDefault="00EE6D95">
            <w:pPr>
              <w:rPr>
                <w:rFonts w:ascii="Arial" w:hAnsi="Arial" w:cs="Arial"/>
              </w:rPr>
            </w:pPr>
            <w:r w:rsidRPr="00A202BD">
              <w:rPr>
                <w:rFonts w:ascii="Arial" w:hAnsi="Arial" w:cs="Arial"/>
              </w:rPr>
              <w:t>155</w:t>
            </w:r>
          </w:p>
        </w:tc>
        <w:tc>
          <w:tcPr>
            <w:tcW w:w="1486" w:type="dxa"/>
          </w:tcPr>
          <w:p w:rsidR="00D849AA" w:rsidRPr="00A202BD" w:rsidRDefault="00EE6D95">
            <w:pPr>
              <w:rPr>
                <w:rFonts w:ascii="Arial" w:hAnsi="Arial" w:cs="Arial"/>
              </w:rPr>
            </w:pPr>
            <w:r w:rsidRPr="00A202BD">
              <w:rPr>
                <w:rFonts w:ascii="Arial" w:hAnsi="Arial" w:cs="Arial"/>
              </w:rPr>
              <w:t>315</w:t>
            </w:r>
          </w:p>
        </w:tc>
        <w:tc>
          <w:tcPr>
            <w:tcW w:w="1486" w:type="dxa"/>
          </w:tcPr>
          <w:p w:rsidR="00D849AA" w:rsidRPr="00A202BD" w:rsidRDefault="00EE6D95">
            <w:pPr>
              <w:rPr>
                <w:rFonts w:ascii="Arial" w:hAnsi="Arial" w:cs="Arial"/>
              </w:rPr>
            </w:pPr>
            <w:r w:rsidRPr="00A202BD">
              <w:rPr>
                <w:rFonts w:ascii="Arial" w:hAnsi="Arial" w:cs="Arial"/>
              </w:rPr>
              <w:t>480</w:t>
            </w:r>
          </w:p>
        </w:tc>
        <w:tc>
          <w:tcPr>
            <w:tcW w:w="1486" w:type="dxa"/>
          </w:tcPr>
          <w:p w:rsidR="00D849AA" w:rsidRPr="00A202BD" w:rsidRDefault="00EE6D95">
            <w:pPr>
              <w:rPr>
                <w:rFonts w:ascii="Arial" w:hAnsi="Arial" w:cs="Arial"/>
              </w:rPr>
            </w:pPr>
            <w:r w:rsidRPr="00A202BD">
              <w:rPr>
                <w:rFonts w:ascii="Arial" w:hAnsi="Arial" w:cs="Arial"/>
              </w:rPr>
              <w:t>645</w:t>
            </w:r>
          </w:p>
        </w:tc>
      </w:tr>
      <w:tr w:rsidR="00D849AA">
        <w:trPr>
          <w:jc w:val="center"/>
        </w:trPr>
        <w:tc>
          <w:tcPr>
            <w:tcW w:w="2229" w:type="dxa"/>
          </w:tcPr>
          <w:p w:rsidR="00D849AA" w:rsidRPr="00A202BD" w:rsidRDefault="00EE6D95">
            <w:pPr>
              <w:pStyle w:val="CellColumn"/>
            </w:pPr>
            <w:r w:rsidRPr="00A202BD">
              <w:lastRenderedPageBreak/>
              <w:t>Povećati broj vatrogasnih postrojbi kojima se sufinancira nabavka vatrogasne tehnike i opreme</w:t>
            </w:r>
          </w:p>
        </w:tc>
        <w:tc>
          <w:tcPr>
            <w:tcW w:w="1114" w:type="dxa"/>
          </w:tcPr>
          <w:p w:rsidR="00D849AA" w:rsidRPr="00A202BD" w:rsidRDefault="00EE6D95">
            <w:pPr>
              <w:rPr>
                <w:rFonts w:ascii="Arial" w:hAnsi="Arial" w:cs="Arial"/>
              </w:rPr>
            </w:pPr>
            <w:r w:rsidRPr="00A202BD">
              <w:rPr>
                <w:rFonts w:ascii="Arial" w:hAnsi="Arial" w:cs="Arial"/>
              </w:rPr>
              <w:t>broj</w:t>
            </w:r>
          </w:p>
        </w:tc>
        <w:tc>
          <w:tcPr>
            <w:tcW w:w="1114" w:type="dxa"/>
          </w:tcPr>
          <w:p w:rsidR="00D849AA" w:rsidRPr="00A202BD" w:rsidRDefault="00EE6D95">
            <w:pPr>
              <w:rPr>
                <w:rFonts w:ascii="Arial" w:hAnsi="Arial" w:cs="Arial"/>
              </w:rPr>
            </w:pPr>
            <w:r w:rsidRPr="00A202BD">
              <w:rPr>
                <w:rFonts w:ascii="Arial" w:hAnsi="Arial" w:cs="Arial"/>
              </w:rPr>
              <w:t>249</w:t>
            </w:r>
          </w:p>
        </w:tc>
        <w:tc>
          <w:tcPr>
            <w:tcW w:w="1486" w:type="dxa"/>
          </w:tcPr>
          <w:p w:rsidR="00D849AA" w:rsidRPr="00A202BD" w:rsidRDefault="00EE6D95">
            <w:pPr>
              <w:rPr>
                <w:rFonts w:ascii="Arial" w:hAnsi="Arial" w:cs="Arial"/>
              </w:rPr>
            </w:pPr>
            <w:r w:rsidRPr="00A202BD">
              <w:rPr>
                <w:rFonts w:ascii="Arial" w:hAnsi="Arial" w:cs="Arial"/>
              </w:rPr>
              <w:t>500</w:t>
            </w:r>
          </w:p>
        </w:tc>
        <w:tc>
          <w:tcPr>
            <w:tcW w:w="1486" w:type="dxa"/>
          </w:tcPr>
          <w:p w:rsidR="00D849AA" w:rsidRPr="00A202BD" w:rsidRDefault="00EE6D95">
            <w:pPr>
              <w:rPr>
                <w:rFonts w:ascii="Arial" w:hAnsi="Arial" w:cs="Arial"/>
              </w:rPr>
            </w:pPr>
            <w:r w:rsidRPr="00A202BD">
              <w:rPr>
                <w:rFonts w:ascii="Arial" w:hAnsi="Arial" w:cs="Arial"/>
              </w:rPr>
              <w:t>750</w:t>
            </w:r>
          </w:p>
        </w:tc>
        <w:tc>
          <w:tcPr>
            <w:tcW w:w="1486" w:type="dxa"/>
          </w:tcPr>
          <w:p w:rsidR="00D849AA" w:rsidRPr="00A202BD" w:rsidRDefault="00EE6D95">
            <w:pPr>
              <w:rPr>
                <w:rFonts w:ascii="Arial" w:hAnsi="Arial" w:cs="Arial"/>
              </w:rPr>
            </w:pPr>
            <w:r w:rsidRPr="00A202BD">
              <w:rPr>
                <w:rFonts w:ascii="Arial" w:hAnsi="Arial" w:cs="Arial"/>
              </w:rPr>
              <w:t>1000</w:t>
            </w:r>
          </w:p>
        </w:tc>
      </w:tr>
    </w:tbl>
    <w:p w:rsidR="00D849AA" w:rsidRDefault="00D849AA">
      <w:pPr>
        <w:jc w:val="left"/>
      </w:pPr>
    </w:p>
    <w:p w:rsidR="00D849AA" w:rsidRDefault="00EE6D95">
      <w:pPr>
        <w:pStyle w:val="Naslov3"/>
      </w:pPr>
      <w:r>
        <w:t>28305 Državna uprava za zaštitu i spašavanje</w:t>
      </w:r>
    </w:p>
    <w:p w:rsidR="00D849AA" w:rsidRDefault="00EE6D95">
      <w:pPr>
        <w:pStyle w:val="Naslov4"/>
      </w:pPr>
      <w:r>
        <w:t>Uvod</w:t>
      </w:r>
    </w:p>
    <w:p w:rsidR="00D849AA" w:rsidRDefault="00EE6D95">
      <w:pPr>
        <w:pStyle w:val="Normal5"/>
      </w:pPr>
      <w:r>
        <w:t xml:space="preserve">Državna uprava za zaštitu i spašavanje je upravna i strukovna organizacija u Republici Hrvatskoj koja ima za cilj pripremu sustava zaštite i spašavanja (kao integralnog dijela nacionalne sigurnosti RH), za učinkovito i pravodobno reagiranje u slučaju većih nesreća i katastrofa, uspostavu novih sposobnosti sustava kroz jedinstvenu pripremu, planiranje, postupanje, opremanje i osposobljavanje, uspostavljanje sustava jasnih ovlasti nadležnosti, jedinstvenu koordinaciju djelovanja sustava, učinkovitost i racionalizaciju upotrebe resursa, skraćivanje vremena reagiranja te efikasan nadzor spremnosti. </w:t>
      </w:r>
    </w:p>
    <w:p w:rsidR="00D849AA" w:rsidRDefault="00EE6D95">
      <w:pPr>
        <w:pStyle w:val="Normal5"/>
      </w:pPr>
      <w:r>
        <w:t xml:space="preserve">DUZS rukovodi operativnim snagama u slučajevima većih nesreća i katastrofa. Predlaže, provodi i izvještava Vladu RH o provedbi “Programa aktivnosti u provedbi posebnih mjera zaštite od požara od interesa za Republiku Hrvatsku”. Provodi i izvještava Vladu RH o provedbi “Programa pripremnih i provedbenih aktivnosti”, za svaku turističku godinu, u dijelu “Sigurnost turista”. </w:t>
      </w:r>
    </w:p>
    <w:p w:rsidR="00D849AA" w:rsidRDefault="00EE6D95">
      <w:pPr>
        <w:pStyle w:val="Normal5"/>
      </w:pPr>
      <w:r>
        <w:t>Državna uprava za zaštitu i spašavanje obavlja i druge poslove koji su joj stavljeni u nadležnost Zakonom o zaštiti i spašavanju.</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rsidRPr="00A202BD">
        <w:trPr>
          <w:jc w:val="center"/>
        </w:trPr>
        <w:tc>
          <w:tcPr>
            <w:tcW w:w="1486" w:type="dxa"/>
            <w:shd w:val="clear" w:color="auto" w:fill="B5C0D8"/>
          </w:tcPr>
          <w:p w:rsidR="00D849AA" w:rsidRPr="00A202BD" w:rsidRDefault="00D849AA">
            <w:pPr>
              <w:pStyle w:val="CellHeader"/>
            </w:pPr>
          </w:p>
        </w:tc>
        <w:tc>
          <w:tcPr>
            <w:tcW w:w="1486" w:type="dxa"/>
            <w:shd w:val="clear" w:color="auto" w:fill="B5C0D8"/>
          </w:tcPr>
          <w:p w:rsidR="00D849AA" w:rsidRPr="00A202BD" w:rsidRDefault="00EE6D95">
            <w:pPr>
              <w:pStyle w:val="CellHeader"/>
            </w:pPr>
            <w:r w:rsidRPr="00A202BD">
              <w:t>Plan 2013.</w:t>
            </w:r>
          </w:p>
        </w:tc>
        <w:tc>
          <w:tcPr>
            <w:tcW w:w="1486" w:type="dxa"/>
            <w:shd w:val="clear" w:color="auto" w:fill="B5C0D8"/>
          </w:tcPr>
          <w:p w:rsidR="00D849AA" w:rsidRPr="00A202BD" w:rsidRDefault="00EE6D95">
            <w:pPr>
              <w:pStyle w:val="CellHeader"/>
            </w:pPr>
            <w:r w:rsidRPr="00A202BD">
              <w:t>Plan 2014.</w:t>
            </w:r>
          </w:p>
        </w:tc>
        <w:tc>
          <w:tcPr>
            <w:tcW w:w="1486" w:type="dxa"/>
            <w:shd w:val="clear" w:color="auto" w:fill="B5C0D8"/>
          </w:tcPr>
          <w:p w:rsidR="00D849AA" w:rsidRPr="00A202BD" w:rsidRDefault="00EE6D95">
            <w:pPr>
              <w:pStyle w:val="CellHeader"/>
            </w:pPr>
            <w:r w:rsidRPr="00A202BD">
              <w:t>Plan 2015.</w:t>
            </w:r>
          </w:p>
        </w:tc>
        <w:tc>
          <w:tcPr>
            <w:tcW w:w="1486" w:type="dxa"/>
            <w:shd w:val="clear" w:color="auto" w:fill="B5C0D8"/>
          </w:tcPr>
          <w:p w:rsidR="00D849AA" w:rsidRPr="00A202BD" w:rsidRDefault="00EE6D95">
            <w:pPr>
              <w:pStyle w:val="CellHeader"/>
            </w:pPr>
            <w:r w:rsidRPr="00A202BD">
              <w:t>Plan 2016.</w:t>
            </w:r>
          </w:p>
        </w:tc>
        <w:tc>
          <w:tcPr>
            <w:tcW w:w="1486" w:type="dxa"/>
            <w:shd w:val="clear" w:color="auto" w:fill="B5C0D8"/>
          </w:tcPr>
          <w:p w:rsidR="00D849AA" w:rsidRPr="00A202BD" w:rsidRDefault="00EE6D95">
            <w:pPr>
              <w:pStyle w:val="CellHeader"/>
            </w:pPr>
            <w:r w:rsidRPr="00A202BD">
              <w:t>Indeks 2014/2013</w:t>
            </w:r>
          </w:p>
        </w:tc>
      </w:tr>
      <w:tr w:rsidR="00D849AA" w:rsidRPr="00A202BD">
        <w:trPr>
          <w:jc w:val="center"/>
        </w:trPr>
        <w:tc>
          <w:tcPr>
            <w:tcW w:w="1486" w:type="dxa"/>
          </w:tcPr>
          <w:p w:rsidR="00D849AA" w:rsidRPr="00A202BD" w:rsidRDefault="00EE6D95">
            <w:pPr>
              <w:pStyle w:val="CellColumn"/>
            </w:pPr>
            <w:r w:rsidRPr="00A202BD">
              <w:t>28305</w:t>
            </w:r>
          </w:p>
        </w:tc>
        <w:tc>
          <w:tcPr>
            <w:tcW w:w="1486" w:type="dxa"/>
          </w:tcPr>
          <w:p w:rsidR="00D849AA" w:rsidRPr="00A202BD" w:rsidRDefault="00EE6D95">
            <w:pPr>
              <w:rPr>
                <w:rFonts w:ascii="Arial" w:hAnsi="Arial" w:cs="Arial"/>
              </w:rPr>
            </w:pPr>
            <w:r w:rsidRPr="00A202BD">
              <w:rPr>
                <w:rFonts w:ascii="Arial" w:hAnsi="Arial" w:cs="Arial"/>
              </w:rPr>
              <w:t>163.191.350</w:t>
            </w:r>
          </w:p>
        </w:tc>
        <w:tc>
          <w:tcPr>
            <w:tcW w:w="1486" w:type="dxa"/>
          </w:tcPr>
          <w:p w:rsidR="00D849AA" w:rsidRPr="00A202BD" w:rsidRDefault="00EE6D95">
            <w:pPr>
              <w:rPr>
                <w:rFonts w:ascii="Arial" w:hAnsi="Arial" w:cs="Arial"/>
              </w:rPr>
            </w:pPr>
            <w:r w:rsidRPr="00A202BD">
              <w:rPr>
                <w:rFonts w:ascii="Arial" w:hAnsi="Arial" w:cs="Arial"/>
              </w:rPr>
              <w:t>168.205.083</w:t>
            </w:r>
          </w:p>
        </w:tc>
        <w:tc>
          <w:tcPr>
            <w:tcW w:w="1486" w:type="dxa"/>
          </w:tcPr>
          <w:p w:rsidR="00D849AA" w:rsidRPr="00A202BD" w:rsidRDefault="00EE6D95">
            <w:pPr>
              <w:rPr>
                <w:rFonts w:ascii="Arial" w:hAnsi="Arial" w:cs="Arial"/>
              </w:rPr>
            </w:pPr>
            <w:r w:rsidRPr="00A202BD">
              <w:rPr>
                <w:rFonts w:ascii="Arial" w:hAnsi="Arial" w:cs="Arial"/>
              </w:rPr>
              <w:t>164.790.000</w:t>
            </w:r>
          </w:p>
        </w:tc>
        <w:tc>
          <w:tcPr>
            <w:tcW w:w="1486" w:type="dxa"/>
          </w:tcPr>
          <w:p w:rsidR="00D849AA" w:rsidRPr="00A202BD" w:rsidRDefault="00EE6D95">
            <w:pPr>
              <w:rPr>
                <w:rFonts w:ascii="Arial" w:hAnsi="Arial" w:cs="Arial"/>
              </w:rPr>
            </w:pPr>
            <w:r w:rsidRPr="00A202BD">
              <w:rPr>
                <w:rFonts w:ascii="Arial" w:hAnsi="Arial" w:cs="Arial"/>
              </w:rPr>
              <w:t>165.572.000</w:t>
            </w:r>
          </w:p>
        </w:tc>
        <w:tc>
          <w:tcPr>
            <w:tcW w:w="1486" w:type="dxa"/>
          </w:tcPr>
          <w:p w:rsidR="00D849AA" w:rsidRPr="00A202BD" w:rsidRDefault="00EE6D95">
            <w:pPr>
              <w:rPr>
                <w:rFonts w:ascii="Arial" w:hAnsi="Arial" w:cs="Arial"/>
              </w:rPr>
            </w:pPr>
            <w:r w:rsidRPr="00A202BD">
              <w:rPr>
                <w:rFonts w:ascii="Arial" w:hAnsi="Arial" w:cs="Arial"/>
              </w:rPr>
              <w:t>103,1</w:t>
            </w:r>
          </w:p>
        </w:tc>
      </w:tr>
    </w:tbl>
    <w:p w:rsidR="00D849AA" w:rsidRPr="00A202BD" w:rsidRDefault="00D849AA">
      <w:pPr>
        <w:jc w:val="left"/>
        <w:rPr>
          <w:rFonts w:ascii="Arial" w:hAnsi="Arial" w:cs="Arial"/>
        </w:rPr>
      </w:pPr>
    </w:p>
    <w:p w:rsidR="00D849AA" w:rsidRDefault="00EE6D95">
      <w:pPr>
        <w:pStyle w:val="Naslov4"/>
      </w:pPr>
      <w:r>
        <w:t>OBRAZLOŽENJE PROGRAMA</w:t>
      </w:r>
    </w:p>
    <w:p w:rsidR="00D849AA" w:rsidRDefault="00EE6D95">
      <w:pPr>
        <w:pStyle w:val="Naslov5"/>
      </w:pPr>
      <w:r>
        <w:t>2603 ORGANIZIRANJE I PROVOĐENJE ZAŠTITE I SPAŠAVANJA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rsidRPr="00A202BD">
        <w:trPr>
          <w:jc w:val="center"/>
        </w:trPr>
        <w:tc>
          <w:tcPr>
            <w:tcW w:w="1486" w:type="dxa"/>
            <w:shd w:val="clear" w:color="auto" w:fill="B5C0D8"/>
          </w:tcPr>
          <w:p w:rsidR="00D849AA" w:rsidRPr="00A202BD" w:rsidRDefault="00D849AA">
            <w:pPr>
              <w:pStyle w:val="CellHeader"/>
            </w:pPr>
          </w:p>
        </w:tc>
        <w:tc>
          <w:tcPr>
            <w:tcW w:w="1486" w:type="dxa"/>
            <w:shd w:val="clear" w:color="auto" w:fill="B5C0D8"/>
          </w:tcPr>
          <w:p w:rsidR="00D849AA" w:rsidRPr="00A202BD" w:rsidRDefault="00EE6D95">
            <w:pPr>
              <w:pStyle w:val="CellHeader"/>
            </w:pPr>
            <w:r w:rsidRPr="00A202BD">
              <w:t>Plan 2013.</w:t>
            </w:r>
          </w:p>
        </w:tc>
        <w:tc>
          <w:tcPr>
            <w:tcW w:w="1486" w:type="dxa"/>
            <w:shd w:val="clear" w:color="auto" w:fill="B5C0D8"/>
          </w:tcPr>
          <w:p w:rsidR="00D849AA" w:rsidRPr="00A202BD" w:rsidRDefault="00EE6D95">
            <w:pPr>
              <w:pStyle w:val="CellHeader"/>
            </w:pPr>
            <w:r w:rsidRPr="00A202BD">
              <w:t>Plan 2014.</w:t>
            </w:r>
          </w:p>
        </w:tc>
        <w:tc>
          <w:tcPr>
            <w:tcW w:w="1486" w:type="dxa"/>
            <w:shd w:val="clear" w:color="auto" w:fill="B5C0D8"/>
          </w:tcPr>
          <w:p w:rsidR="00D849AA" w:rsidRPr="00A202BD" w:rsidRDefault="00EE6D95">
            <w:pPr>
              <w:pStyle w:val="CellHeader"/>
            </w:pPr>
            <w:r w:rsidRPr="00A202BD">
              <w:t>Plan 2015.</w:t>
            </w:r>
          </w:p>
        </w:tc>
        <w:tc>
          <w:tcPr>
            <w:tcW w:w="1486" w:type="dxa"/>
            <w:shd w:val="clear" w:color="auto" w:fill="B5C0D8"/>
          </w:tcPr>
          <w:p w:rsidR="00D849AA" w:rsidRPr="00A202BD" w:rsidRDefault="00EE6D95">
            <w:pPr>
              <w:pStyle w:val="CellHeader"/>
            </w:pPr>
            <w:r w:rsidRPr="00A202BD">
              <w:t>Plan 2016.</w:t>
            </w:r>
          </w:p>
        </w:tc>
        <w:tc>
          <w:tcPr>
            <w:tcW w:w="1486" w:type="dxa"/>
            <w:shd w:val="clear" w:color="auto" w:fill="B5C0D8"/>
          </w:tcPr>
          <w:p w:rsidR="00D849AA" w:rsidRPr="00A202BD" w:rsidRDefault="00EE6D95">
            <w:pPr>
              <w:pStyle w:val="CellHeader"/>
            </w:pPr>
            <w:r w:rsidRPr="00A202BD">
              <w:t>Indeks 2014/2013</w:t>
            </w:r>
          </w:p>
        </w:tc>
      </w:tr>
      <w:tr w:rsidR="00D849AA" w:rsidRPr="00A202BD">
        <w:trPr>
          <w:jc w:val="center"/>
        </w:trPr>
        <w:tc>
          <w:tcPr>
            <w:tcW w:w="1486" w:type="dxa"/>
          </w:tcPr>
          <w:p w:rsidR="00D849AA" w:rsidRPr="00A202BD" w:rsidRDefault="00EE6D95">
            <w:pPr>
              <w:pStyle w:val="CellColumn"/>
            </w:pPr>
            <w:r w:rsidRPr="00A202BD">
              <w:t>2603</w:t>
            </w:r>
          </w:p>
        </w:tc>
        <w:tc>
          <w:tcPr>
            <w:tcW w:w="1486" w:type="dxa"/>
          </w:tcPr>
          <w:p w:rsidR="00D849AA" w:rsidRPr="00A202BD" w:rsidRDefault="00EE6D95">
            <w:pPr>
              <w:rPr>
                <w:rFonts w:ascii="Arial" w:hAnsi="Arial" w:cs="Arial"/>
              </w:rPr>
            </w:pPr>
            <w:r w:rsidRPr="00A202BD">
              <w:rPr>
                <w:rFonts w:ascii="Arial" w:hAnsi="Arial" w:cs="Arial"/>
              </w:rPr>
              <w:t>163.191.350</w:t>
            </w:r>
          </w:p>
        </w:tc>
        <w:tc>
          <w:tcPr>
            <w:tcW w:w="1486" w:type="dxa"/>
          </w:tcPr>
          <w:p w:rsidR="00D849AA" w:rsidRPr="00A202BD" w:rsidRDefault="00EE6D95">
            <w:pPr>
              <w:rPr>
                <w:rFonts w:ascii="Arial" w:hAnsi="Arial" w:cs="Arial"/>
              </w:rPr>
            </w:pPr>
            <w:r w:rsidRPr="00A202BD">
              <w:rPr>
                <w:rFonts w:ascii="Arial" w:hAnsi="Arial" w:cs="Arial"/>
              </w:rPr>
              <w:t>168.205.083</w:t>
            </w:r>
          </w:p>
        </w:tc>
        <w:tc>
          <w:tcPr>
            <w:tcW w:w="1486" w:type="dxa"/>
          </w:tcPr>
          <w:p w:rsidR="00D849AA" w:rsidRPr="00A202BD" w:rsidRDefault="00EE6D95">
            <w:pPr>
              <w:rPr>
                <w:rFonts w:ascii="Arial" w:hAnsi="Arial" w:cs="Arial"/>
              </w:rPr>
            </w:pPr>
            <w:r w:rsidRPr="00A202BD">
              <w:rPr>
                <w:rFonts w:ascii="Arial" w:hAnsi="Arial" w:cs="Arial"/>
              </w:rPr>
              <w:t>164.790.000</w:t>
            </w:r>
          </w:p>
        </w:tc>
        <w:tc>
          <w:tcPr>
            <w:tcW w:w="1486" w:type="dxa"/>
          </w:tcPr>
          <w:p w:rsidR="00D849AA" w:rsidRPr="00A202BD" w:rsidRDefault="00EE6D95">
            <w:pPr>
              <w:rPr>
                <w:rFonts w:ascii="Arial" w:hAnsi="Arial" w:cs="Arial"/>
              </w:rPr>
            </w:pPr>
            <w:r w:rsidRPr="00A202BD">
              <w:rPr>
                <w:rFonts w:ascii="Arial" w:hAnsi="Arial" w:cs="Arial"/>
              </w:rPr>
              <w:t>165.572.000</w:t>
            </w:r>
          </w:p>
        </w:tc>
        <w:tc>
          <w:tcPr>
            <w:tcW w:w="1486" w:type="dxa"/>
          </w:tcPr>
          <w:p w:rsidR="00D849AA" w:rsidRPr="00A202BD" w:rsidRDefault="00EE6D95">
            <w:pPr>
              <w:rPr>
                <w:rFonts w:ascii="Arial" w:hAnsi="Arial" w:cs="Arial"/>
              </w:rPr>
            </w:pPr>
            <w:r w:rsidRPr="00A202BD">
              <w:rPr>
                <w:rFonts w:ascii="Arial" w:hAnsi="Arial" w:cs="Arial"/>
              </w:rPr>
              <w:t>103,1</w:t>
            </w:r>
          </w:p>
        </w:tc>
      </w:tr>
    </w:tbl>
    <w:p w:rsidR="00D849AA" w:rsidRPr="00A202BD" w:rsidRDefault="00D849AA">
      <w:pPr>
        <w:jc w:val="left"/>
        <w:rPr>
          <w:rFonts w:ascii="Arial" w:hAnsi="Arial" w:cs="Arial"/>
        </w:rPr>
      </w:pPr>
    </w:p>
    <w:p w:rsidR="00D849AA" w:rsidRDefault="00EE6D95">
      <w:pPr>
        <w:pStyle w:val="Naslov6"/>
      </w:pPr>
      <w:r>
        <w:t>Opis programa</w:t>
      </w:r>
    </w:p>
    <w:p w:rsidR="00D849AA" w:rsidRDefault="00EE6D95">
      <w:r>
        <w:t xml:space="preserve">Izgradnja integriranog i operativno učinkovitog sustava zaštite i spašavanja ostvaruje se kroz  djelovanje ustrojstvenih jedinica – Sektor za civilnu zaštitu, Sektor za vatrogastvo, Državni   informacijski i komunikacijski sustav zaštite i spašavanja, Učilišta vatrogastva, zaštite i spašavanja, </w:t>
      </w:r>
      <w:r>
        <w:lastRenderedPageBreak/>
        <w:t xml:space="preserve">Sektora općih poslova, Samostalne službe za inspekcijske poslove, Samostalne službe  za međunarodne odnose, Samostalnog odjela za unutarnju reviziju te područnih ureda za zaštitu  i  spašavanje, prema Uredbi o unutarnjem ustrojstvu Državne uprave za zaštitu i spašavanje.  </w:t>
      </w:r>
    </w:p>
    <w:p w:rsidR="00D849AA" w:rsidRDefault="00EE6D95">
      <w:r>
        <w:t xml:space="preserve">Svi navedeni Sektori i Službe vrše koordinaciju sa svim segmentima sustava zaštite i spašavanja.  </w:t>
      </w:r>
    </w:p>
    <w:p w:rsidR="00D849AA" w:rsidRDefault="00EE6D95">
      <w:r>
        <w:t xml:space="preserve">Program kroz projekte i aktivnosti izravno utječe na izgradnju integriranog i operativno učinkovitog sustava zaštite i spašavanja koji u svakom trenutku mora biti sposoban odgovoriti na posljedice katastrofa i velikih nesreća.  </w:t>
      </w:r>
    </w:p>
    <w:p w:rsidR="00D849AA" w:rsidRDefault="00EE6D95">
      <w:r>
        <w:t xml:space="preserve">Provođenje i realiziranje općeg i posebnih ciljeva zacrtanih u strategiji Vladinih programa provode se kroz aktivnosti i projekte od kojih su najznačajniji: - administracija i upravljanje , - program aktivnosti u provedbi posebnih mjera za zaštitu od požara za RH, - integrirani sustav 112, - opremanje sustava za zaštitu i spašavanje, - sufinanciranje HGSS-a te od 2014.godine i kroz aktivnost- učilište vatrogastva, zaštite i spašavanja, radi preciznijeg praćenja ostvarenja strategijskih ciljeva. Da bi se što preciznije pratile međunarodne aktivnosti sa Europskom unijom u 2014. godini otvorena su dva nova projekta Prometheus – vježba Eurospke unije 2014, te IPA Program suradnje na podrucju civilne zaštite faza 2. </w:t>
      </w:r>
    </w:p>
    <w:p w:rsidR="00D849AA" w:rsidRDefault="00EE6D95">
      <w:r>
        <w:t xml:space="preserve">Planirane međunarodne aktivnosti u 2014. godini se temelje na usvojenom Planu međunarodnih aktivnosti za 2014. godinu, aktivnosti pod okriljem Mehanizma za civilnu zaštitu Europske unije te suradnji u okviru UN-a s naglaskom na područje smanjenja rizika od katastrofa (DRR), u okviru NATO-a kroz sudjelovanje u  Radnoj skupini za civilnu zaštitu te na sastanku Odbora za planiranje izvanrednim situacijama ( CEPC), te kroz aktivnosti u području regionalne suradnje kroz Inicijativu za spremnost i prevenciju katastrofa ( DPPI).   </w:t>
      </w:r>
    </w:p>
    <w:p w:rsidR="00D849AA" w:rsidRDefault="00EE6D95">
      <w:r>
        <w:t>Kroz 2014. godinu planira se  organizacija svečanosti dodjele nagrada za „Naročiti pothvat fizičkim i/ili pravnim osobama u akcijama zaštite i spašavanja ljudskih života i imovine“ te dodjela nagrada za „Najbolje literarne i likovne radove djece predškolske, školske dobi i djece s posebnim potrebama“.</w:t>
      </w:r>
    </w:p>
    <w:p w:rsidR="00D849AA" w:rsidRDefault="00EE6D95">
      <w:pPr>
        <w:pStyle w:val="Naslov6"/>
      </w:pPr>
      <w:r>
        <w:t>Zakonske i druge pravne osnove</w:t>
      </w:r>
    </w:p>
    <w:p w:rsidR="00D849AA" w:rsidRDefault="00EE6D95">
      <w:r>
        <w:t>Zakon o zaštiti i spašavanju NN 174/04, Zakon o izmjenama i dopunama zakona o zaštiti i spašavanju NN 79/07, Zakon o izmjenama zakona o zaštiti i spašavanju NN 38/09, Zakon o dopuni zakona o zaštiti i spašavanju NN 127/10, Zakon o zaštiti od požara NN 92/10, Zakon o vatrogastvu NN 106/99, 117/01, 36/02, 96/03, 139/04, 174/04, Zakon o izmjenama zakona o vatrogastvu NN 38/09, Zakon o Hrvatskoj gorskoj službi spašavanja NN 79/06, Uredba o unutarnjem ustrojstvu Državne uprave za zaštitu I spašavanje (NN 43/12).</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Cilj 1. Izgradnja integriranog sustava zaštite i spašavanja</w:t>
      </w:r>
    </w:p>
    <w:p w:rsidR="00D849AA" w:rsidRDefault="00EE6D95">
      <w:pPr>
        <w:pStyle w:val="Normal6"/>
      </w:pPr>
      <w:r>
        <w:t xml:space="preserve">Zaštita i spašavanje zdravlja i života ljudi, materijalnih dobara i okoliša u RH  su  prepoznati kao interes nacionalne sigurnosti, ali i kao javni i osobni interes. Temeljni  interes djelovanja sustava zaštite i spašavanja je spašavanje ljudskih   života,  materijalnih dobara i sastavnica okoliša. Maksimalnu učinkovitost sustava   moguće  je postići optimalnom integracijom svih kapaciteta. Sustav zaštite i spašavanja  definiran  je Zakonom o zaštiti i spašavanju, a čine ga operativne snage i   sudionici   zaštite i spašavanja (stožeri zaštite i spašavanja, službe i postrojbe pravnih osoba i središnjih tijela državne uprave koje se bave zaštitom i spašavanjem, vatrogasna  zapovjedništva i postrojbe, službe i postrojbe Uprave, službe, zapovjedništva i postrojbe civilne zaštite), jedinice lokalne i područne (regionalne) samouprave, te Oružane snage RH i policija. Sustav zaštite i spašavanja u Republici Hrvatskoj kompleksan je po sastavu i spremnosti te zahtijeva visoku razinu koordinacije i integracije. Državna uprava za zaštitu i spašavanje provođenjem temeljnih aktivnosti  integrira sve sastavnice sustava što izravno rezultira izgradnjom i jačanjem  namjenskih operativnih snaga za reagiranje u velikim nesrećama i  katastrofama. Posebni cilj i aktivnosti predviđene u "Strateškom planu Ministarstva </w:t>
      </w:r>
      <w:r>
        <w:lastRenderedPageBreak/>
        <w:t>unutarnjih poslova i drugih institucija u funkciji zaštite i spašavanja za razdoblje od 2014.-2016. logičan su i kontinuiran slijed aktivnosti definiranih u "Strateškom planu Ministarstva unutarnjih poslova i drugih institucija u funkciji zaštite i spašavanja za razdoblje od 2013.-2015." koje je neophodno provesti da bi sustav mogao pravodobno i učinkovito odgovoriti na sve veće i učestalije ugroze od prirodnih i  tehničko-tehnoloških nesreća i katastrofa .</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A202BD" w:rsidRDefault="00EE6D95">
            <w:pPr>
              <w:rPr>
                <w:rFonts w:ascii="Arial" w:hAnsi="Arial" w:cs="Arial"/>
              </w:rPr>
            </w:pPr>
            <w:r w:rsidRPr="00A202BD">
              <w:rPr>
                <w:rFonts w:ascii="Arial" w:hAnsi="Arial" w:cs="Arial"/>
              </w:rPr>
              <w:t>Pokazatelj učinka</w:t>
            </w:r>
          </w:p>
        </w:tc>
        <w:tc>
          <w:tcPr>
            <w:tcW w:w="1114" w:type="dxa"/>
            <w:shd w:val="clear" w:color="auto" w:fill="B5C0D8"/>
          </w:tcPr>
          <w:p w:rsidR="00D849AA" w:rsidRPr="00A202BD" w:rsidRDefault="00EE6D95">
            <w:pPr>
              <w:pStyle w:val="CellHeader"/>
            </w:pPr>
            <w:r w:rsidRPr="00A202BD">
              <w:t>Jedinica</w:t>
            </w:r>
          </w:p>
        </w:tc>
        <w:tc>
          <w:tcPr>
            <w:tcW w:w="1114" w:type="dxa"/>
            <w:shd w:val="clear" w:color="auto" w:fill="B5C0D8"/>
          </w:tcPr>
          <w:p w:rsidR="00D849AA" w:rsidRPr="00A202BD" w:rsidRDefault="00EE6D95">
            <w:pPr>
              <w:pStyle w:val="CellHeader"/>
            </w:pPr>
            <w:r w:rsidRPr="00A202BD">
              <w:t>Polazna vrijednost</w:t>
            </w:r>
          </w:p>
        </w:tc>
        <w:tc>
          <w:tcPr>
            <w:tcW w:w="1486" w:type="dxa"/>
            <w:shd w:val="clear" w:color="auto" w:fill="B5C0D8"/>
          </w:tcPr>
          <w:p w:rsidR="00D849AA" w:rsidRPr="00A202BD" w:rsidRDefault="00EE6D95">
            <w:pPr>
              <w:pStyle w:val="CellHeader"/>
            </w:pPr>
            <w:r w:rsidRPr="00A202BD">
              <w:t>Ciljana vrijednost (2014.)</w:t>
            </w:r>
          </w:p>
        </w:tc>
        <w:tc>
          <w:tcPr>
            <w:tcW w:w="1486" w:type="dxa"/>
            <w:shd w:val="clear" w:color="auto" w:fill="B5C0D8"/>
          </w:tcPr>
          <w:p w:rsidR="00D849AA" w:rsidRPr="00A202BD" w:rsidRDefault="00EE6D95">
            <w:pPr>
              <w:pStyle w:val="CellHeader"/>
            </w:pPr>
            <w:r w:rsidRPr="00A202BD">
              <w:t>Ciljana vrijednost (2015.)</w:t>
            </w:r>
          </w:p>
        </w:tc>
        <w:tc>
          <w:tcPr>
            <w:tcW w:w="1486" w:type="dxa"/>
            <w:shd w:val="clear" w:color="auto" w:fill="B5C0D8"/>
          </w:tcPr>
          <w:p w:rsidR="00D849AA" w:rsidRPr="00A202BD" w:rsidRDefault="00EE6D95">
            <w:pPr>
              <w:pStyle w:val="CellHeader"/>
            </w:pPr>
            <w:r w:rsidRPr="00A202BD">
              <w:t>Ciljana vrijednost (2016.)</w:t>
            </w:r>
          </w:p>
        </w:tc>
      </w:tr>
      <w:tr w:rsidR="00D849AA">
        <w:trPr>
          <w:jc w:val="center"/>
        </w:trPr>
        <w:tc>
          <w:tcPr>
            <w:tcW w:w="2229" w:type="dxa"/>
          </w:tcPr>
          <w:p w:rsidR="00D849AA" w:rsidRPr="00A202BD" w:rsidRDefault="00EE6D95">
            <w:pPr>
              <w:pStyle w:val="CellColumn"/>
            </w:pPr>
            <w:r w:rsidRPr="00A202BD">
              <w:t>Postotak realizacije aktivnosti i ostvarena postignuća projekata u cilju izgradnje integriranog sustava zaštite i spašavanja</w:t>
            </w:r>
          </w:p>
        </w:tc>
        <w:tc>
          <w:tcPr>
            <w:tcW w:w="1114" w:type="dxa"/>
          </w:tcPr>
          <w:p w:rsidR="00D849AA" w:rsidRPr="00A202BD" w:rsidRDefault="00EE6D95">
            <w:pPr>
              <w:rPr>
                <w:rFonts w:ascii="Arial" w:hAnsi="Arial" w:cs="Arial"/>
              </w:rPr>
            </w:pPr>
            <w:r w:rsidRPr="00A202BD">
              <w:rPr>
                <w:rFonts w:ascii="Arial" w:hAnsi="Arial" w:cs="Arial"/>
              </w:rPr>
              <w:t>%</w:t>
            </w:r>
          </w:p>
        </w:tc>
        <w:tc>
          <w:tcPr>
            <w:tcW w:w="1114" w:type="dxa"/>
          </w:tcPr>
          <w:p w:rsidR="00D849AA" w:rsidRPr="00A202BD" w:rsidRDefault="00EE6D95">
            <w:pPr>
              <w:rPr>
                <w:rFonts w:ascii="Arial" w:hAnsi="Arial" w:cs="Arial"/>
              </w:rPr>
            </w:pPr>
            <w:r w:rsidRPr="00A202BD">
              <w:rPr>
                <w:rFonts w:ascii="Arial" w:hAnsi="Arial" w:cs="Arial"/>
              </w:rPr>
              <w:t>68</w:t>
            </w:r>
          </w:p>
        </w:tc>
        <w:tc>
          <w:tcPr>
            <w:tcW w:w="1486" w:type="dxa"/>
          </w:tcPr>
          <w:p w:rsidR="00D849AA" w:rsidRPr="00A202BD" w:rsidRDefault="00EE6D95">
            <w:pPr>
              <w:rPr>
                <w:rFonts w:ascii="Arial" w:hAnsi="Arial" w:cs="Arial"/>
              </w:rPr>
            </w:pPr>
            <w:r w:rsidRPr="00A202BD">
              <w:rPr>
                <w:rFonts w:ascii="Arial" w:hAnsi="Arial" w:cs="Arial"/>
              </w:rPr>
              <w:t>72</w:t>
            </w:r>
          </w:p>
        </w:tc>
        <w:tc>
          <w:tcPr>
            <w:tcW w:w="1486" w:type="dxa"/>
          </w:tcPr>
          <w:p w:rsidR="00D849AA" w:rsidRPr="00A202BD" w:rsidRDefault="00EE6D95">
            <w:pPr>
              <w:rPr>
                <w:rFonts w:ascii="Arial" w:hAnsi="Arial" w:cs="Arial"/>
              </w:rPr>
            </w:pPr>
            <w:r w:rsidRPr="00A202BD">
              <w:rPr>
                <w:rFonts w:ascii="Arial" w:hAnsi="Arial" w:cs="Arial"/>
              </w:rPr>
              <w:t>75</w:t>
            </w:r>
          </w:p>
        </w:tc>
        <w:tc>
          <w:tcPr>
            <w:tcW w:w="1486" w:type="dxa"/>
          </w:tcPr>
          <w:p w:rsidR="00D849AA" w:rsidRPr="00A202BD" w:rsidRDefault="00EE6D95">
            <w:pPr>
              <w:rPr>
                <w:rFonts w:ascii="Arial" w:hAnsi="Arial" w:cs="Arial"/>
              </w:rPr>
            </w:pPr>
            <w:r w:rsidRPr="00A202BD">
              <w:rPr>
                <w:rFonts w:ascii="Arial" w:hAnsi="Arial" w:cs="Arial"/>
              </w:rPr>
              <w:t>78</w:t>
            </w:r>
          </w:p>
        </w:tc>
      </w:tr>
    </w:tbl>
    <w:p w:rsidR="00D849AA" w:rsidRDefault="00D849AA">
      <w:pPr>
        <w:jc w:val="left"/>
      </w:pPr>
    </w:p>
    <w:p w:rsidR="00D849AA" w:rsidRDefault="00EE6D95">
      <w:pPr>
        <w:pStyle w:val="Naslov5"/>
      </w:pPr>
      <w:r>
        <w:t>Procjena i ishodište potrebnih sredstava za značajnije aktivnosti/projekte</w:t>
      </w:r>
    </w:p>
    <w:p w:rsidR="00D849AA" w:rsidRDefault="00EE6D95">
      <w:pPr>
        <w:pStyle w:val="Naslov6"/>
      </w:pPr>
      <w:r>
        <w:t>K260089 PROGRAM U PROVEDBI POSEBNIH MJERA ZA ZAŠTITU OD POŽARA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A202BD" w:rsidRDefault="00EE6D95">
            <w:pPr>
              <w:pStyle w:val="CellHeader"/>
            </w:pPr>
            <w:r w:rsidRPr="00A202BD">
              <w:t>Naziv aktivnosti</w:t>
            </w:r>
          </w:p>
        </w:tc>
        <w:tc>
          <w:tcPr>
            <w:tcW w:w="1486" w:type="dxa"/>
            <w:shd w:val="clear" w:color="auto" w:fill="B5C0D8"/>
          </w:tcPr>
          <w:p w:rsidR="00D849AA" w:rsidRPr="00A202BD" w:rsidRDefault="00EE6D95">
            <w:pPr>
              <w:pStyle w:val="CellHeader"/>
            </w:pPr>
            <w:r w:rsidRPr="00A202BD">
              <w:t>Plan 2013.</w:t>
            </w:r>
          </w:p>
        </w:tc>
        <w:tc>
          <w:tcPr>
            <w:tcW w:w="1486" w:type="dxa"/>
            <w:shd w:val="clear" w:color="auto" w:fill="B5C0D8"/>
          </w:tcPr>
          <w:p w:rsidR="00D849AA" w:rsidRPr="00A202BD" w:rsidRDefault="00EE6D95">
            <w:pPr>
              <w:pStyle w:val="CellHeader"/>
            </w:pPr>
            <w:r w:rsidRPr="00A202BD">
              <w:t>Plan 2014.</w:t>
            </w:r>
          </w:p>
        </w:tc>
        <w:tc>
          <w:tcPr>
            <w:tcW w:w="1486" w:type="dxa"/>
            <w:shd w:val="clear" w:color="auto" w:fill="B5C0D8"/>
          </w:tcPr>
          <w:p w:rsidR="00D849AA" w:rsidRPr="00A202BD" w:rsidRDefault="00EE6D95">
            <w:pPr>
              <w:pStyle w:val="CellHeader"/>
            </w:pPr>
            <w:r w:rsidRPr="00A202BD">
              <w:t>Plan 2015.</w:t>
            </w:r>
          </w:p>
        </w:tc>
        <w:tc>
          <w:tcPr>
            <w:tcW w:w="1486" w:type="dxa"/>
            <w:shd w:val="clear" w:color="auto" w:fill="B5C0D8"/>
          </w:tcPr>
          <w:p w:rsidR="00D849AA" w:rsidRPr="00A202BD" w:rsidRDefault="00EE6D95">
            <w:pPr>
              <w:pStyle w:val="CellHeader"/>
            </w:pPr>
            <w:r w:rsidRPr="00A202BD">
              <w:t>Plan 2016.</w:t>
            </w:r>
          </w:p>
        </w:tc>
        <w:tc>
          <w:tcPr>
            <w:tcW w:w="1486" w:type="dxa"/>
            <w:shd w:val="clear" w:color="auto" w:fill="B5C0D8"/>
          </w:tcPr>
          <w:p w:rsidR="00D849AA" w:rsidRPr="00A202BD" w:rsidRDefault="00EE6D95">
            <w:pPr>
              <w:pStyle w:val="CellHeader"/>
            </w:pPr>
            <w:r w:rsidRPr="00A202BD">
              <w:t>Indeks 2014/2013</w:t>
            </w:r>
          </w:p>
        </w:tc>
      </w:tr>
      <w:tr w:rsidR="00D849AA">
        <w:trPr>
          <w:jc w:val="center"/>
        </w:trPr>
        <w:tc>
          <w:tcPr>
            <w:tcW w:w="1486" w:type="dxa"/>
          </w:tcPr>
          <w:p w:rsidR="00D849AA" w:rsidRPr="00A202BD" w:rsidRDefault="00EE6D95">
            <w:pPr>
              <w:pStyle w:val="CellColumn"/>
            </w:pPr>
            <w:r w:rsidRPr="00A202BD">
              <w:t>K260089</w:t>
            </w:r>
          </w:p>
        </w:tc>
        <w:tc>
          <w:tcPr>
            <w:tcW w:w="1486" w:type="dxa"/>
          </w:tcPr>
          <w:p w:rsidR="00D849AA" w:rsidRPr="00A202BD" w:rsidRDefault="00EE6D95">
            <w:pPr>
              <w:rPr>
                <w:rFonts w:ascii="Arial" w:hAnsi="Arial" w:cs="Arial"/>
              </w:rPr>
            </w:pPr>
            <w:r w:rsidRPr="00A202BD">
              <w:rPr>
                <w:rFonts w:ascii="Arial" w:hAnsi="Arial" w:cs="Arial"/>
              </w:rPr>
              <w:t>28.277.500</w:t>
            </w:r>
          </w:p>
        </w:tc>
        <w:tc>
          <w:tcPr>
            <w:tcW w:w="1486" w:type="dxa"/>
          </w:tcPr>
          <w:p w:rsidR="00D849AA" w:rsidRPr="00A202BD" w:rsidRDefault="00EE6D95">
            <w:pPr>
              <w:rPr>
                <w:rFonts w:ascii="Arial" w:hAnsi="Arial" w:cs="Arial"/>
              </w:rPr>
            </w:pPr>
            <w:r w:rsidRPr="00A202BD">
              <w:rPr>
                <w:rFonts w:ascii="Arial" w:hAnsi="Arial" w:cs="Arial"/>
              </w:rPr>
              <w:t>30.845.000</w:t>
            </w:r>
          </w:p>
        </w:tc>
        <w:tc>
          <w:tcPr>
            <w:tcW w:w="1486" w:type="dxa"/>
          </w:tcPr>
          <w:p w:rsidR="00D849AA" w:rsidRPr="00A202BD" w:rsidRDefault="00EE6D95">
            <w:pPr>
              <w:rPr>
                <w:rFonts w:ascii="Arial" w:hAnsi="Arial" w:cs="Arial"/>
              </w:rPr>
            </w:pPr>
            <w:r w:rsidRPr="00A202BD">
              <w:rPr>
                <w:rFonts w:ascii="Arial" w:hAnsi="Arial" w:cs="Arial"/>
              </w:rPr>
              <w:t>28.545.000</w:t>
            </w:r>
          </w:p>
        </w:tc>
        <w:tc>
          <w:tcPr>
            <w:tcW w:w="1486" w:type="dxa"/>
          </w:tcPr>
          <w:p w:rsidR="00D849AA" w:rsidRPr="00A202BD" w:rsidRDefault="00EE6D95">
            <w:pPr>
              <w:rPr>
                <w:rFonts w:ascii="Arial" w:hAnsi="Arial" w:cs="Arial"/>
              </w:rPr>
            </w:pPr>
            <w:r w:rsidRPr="00A202BD">
              <w:rPr>
                <w:rFonts w:ascii="Arial" w:hAnsi="Arial" w:cs="Arial"/>
              </w:rPr>
              <w:t>28.545.000</w:t>
            </w:r>
          </w:p>
        </w:tc>
        <w:tc>
          <w:tcPr>
            <w:tcW w:w="1486" w:type="dxa"/>
          </w:tcPr>
          <w:p w:rsidR="00D849AA" w:rsidRPr="00A202BD" w:rsidRDefault="00EE6D95">
            <w:pPr>
              <w:rPr>
                <w:rFonts w:ascii="Arial" w:hAnsi="Arial" w:cs="Arial"/>
              </w:rPr>
            </w:pPr>
            <w:r w:rsidRPr="00A202BD">
              <w:rPr>
                <w:rFonts w:ascii="Arial" w:hAnsi="Arial" w:cs="Arial"/>
              </w:rPr>
              <w:t>109,1</w:t>
            </w:r>
          </w:p>
        </w:tc>
      </w:tr>
    </w:tbl>
    <w:p w:rsidR="00D849AA" w:rsidRDefault="00D849AA">
      <w:pPr>
        <w:jc w:val="left"/>
      </w:pPr>
    </w:p>
    <w:p w:rsidR="00D849AA" w:rsidRDefault="00EE6D95">
      <w:pPr>
        <w:pStyle w:val="Normal6"/>
      </w:pPr>
      <w:r>
        <w:t>Vlada Republike Hrvatske svake godine donosi Program aktivnosti u provedbi posebnih mjera zaštite od požara od interesa za Republiku Hrvatsku (članak 12. stavak 9. Zakona o zaštiti od požara, NN 92/10). Program aktivnosti je temeljni dokument koordinacije i provedbe godišnjih aktivnosti državnih tijela, javnih ustanova, jedinica lokalne i područne (regionalne) samouprave, udruga građana te drugih organizacija i tijela uključenih u provedbu mjera zaštite od požara. Njime se povezuju organizacijski i zapovjedni segmenti sustava vatrogastva, te se u suradnji s inspekcijskim službama drugih ministarstava pojačava i nadzor provedbe zadaća u sustavu zaštite od požara. Naglašavamo kako ovako postavljeni Program aktivnosti u velikoj mjeri pridonosi sigurnosti turističkih destinacija, brojnih turista ali i građana Republike Hrvatske jer osigurava brzo i učinkovito djelovanje značajnih operativnih snaga (domicilnih i dodatno dislociranih vatrogasnih resursa) odmah po uočavanju početnih požara otvorenoga prostora, čime se smanjuju velike materijalne štete i dodatni troškovi povezani s dugotrajnim intervencijama. Projektom se financiraju rashodi za prehranu i smještaj, obuku vatrogasaca, njihovo opremanje specijalističkom opremom za gašenje požara kao i druge opreme. Od ukupno planiranih sredstava, 58% je namijenjeno za refundaciju sredstava javnim vatrogasnim postrojbama i dobrovoljnim vatrogasnim društvima čije operativne snage dodatno sudjeluju u provedbi Vladinog Programa posebnih mjera zaštite od požara. Budući da Republika Hrvatska oskudijeva sa prijeko potrebno vatrogasnom opremom planom je obuhvaćena i nabava pokretne pumpe velikog kapaciteta u slučaju velikih poplava (cca 1.600.000,00 kn) kao i nabava četiri cisterne visoke operativnosti koje će biti dislocirane u DVIP Zadar, Šibenik, Split i Dubrovnik.</w:t>
      </w:r>
    </w:p>
    <w:p w:rsidR="00D849AA" w:rsidRDefault="00EE6D95">
      <w:pPr>
        <w:pStyle w:val="Naslov6"/>
      </w:pPr>
      <w:r>
        <w:lastRenderedPageBreak/>
        <w:t>K553130 INTEGRIRANI SUSTAV 112</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A202BD" w:rsidRDefault="00EE6D95">
            <w:pPr>
              <w:pStyle w:val="CellHeader"/>
            </w:pPr>
            <w:r w:rsidRPr="00A202BD">
              <w:t>Naziv aktivnosti</w:t>
            </w:r>
          </w:p>
        </w:tc>
        <w:tc>
          <w:tcPr>
            <w:tcW w:w="1486" w:type="dxa"/>
            <w:shd w:val="clear" w:color="auto" w:fill="B5C0D8"/>
          </w:tcPr>
          <w:p w:rsidR="00D849AA" w:rsidRPr="00A202BD" w:rsidRDefault="00EE6D95">
            <w:pPr>
              <w:pStyle w:val="CellHeader"/>
            </w:pPr>
            <w:r w:rsidRPr="00A202BD">
              <w:t>Plan 2013.</w:t>
            </w:r>
          </w:p>
        </w:tc>
        <w:tc>
          <w:tcPr>
            <w:tcW w:w="1486" w:type="dxa"/>
            <w:shd w:val="clear" w:color="auto" w:fill="B5C0D8"/>
          </w:tcPr>
          <w:p w:rsidR="00D849AA" w:rsidRPr="00A202BD" w:rsidRDefault="00EE6D95">
            <w:pPr>
              <w:pStyle w:val="CellHeader"/>
            </w:pPr>
            <w:r w:rsidRPr="00A202BD">
              <w:t>Plan 2014.</w:t>
            </w:r>
          </w:p>
        </w:tc>
        <w:tc>
          <w:tcPr>
            <w:tcW w:w="1486" w:type="dxa"/>
            <w:shd w:val="clear" w:color="auto" w:fill="B5C0D8"/>
          </w:tcPr>
          <w:p w:rsidR="00D849AA" w:rsidRPr="00A202BD" w:rsidRDefault="00EE6D95">
            <w:pPr>
              <w:pStyle w:val="CellHeader"/>
            </w:pPr>
            <w:r w:rsidRPr="00A202BD">
              <w:t>Plan 2015.</w:t>
            </w:r>
          </w:p>
        </w:tc>
        <w:tc>
          <w:tcPr>
            <w:tcW w:w="1486" w:type="dxa"/>
            <w:shd w:val="clear" w:color="auto" w:fill="B5C0D8"/>
          </w:tcPr>
          <w:p w:rsidR="00D849AA" w:rsidRPr="00A202BD" w:rsidRDefault="00EE6D95">
            <w:pPr>
              <w:pStyle w:val="CellHeader"/>
            </w:pPr>
            <w:r w:rsidRPr="00A202BD">
              <w:t>Plan 2016.</w:t>
            </w:r>
          </w:p>
        </w:tc>
        <w:tc>
          <w:tcPr>
            <w:tcW w:w="1486" w:type="dxa"/>
            <w:shd w:val="clear" w:color="auto" w:fill="B5C0D8"/>
          </w:tcPr>
          <w:p w:rsidR="00D849AA" w:rsidRPr="00A202BD" w:rsidRDefault="00EE6D95">
            <w:pPr>
              <w:pStyle w:val="CellHeader"/>
            </w:pPr>
            <w:r w:rsidRPr="00A202BD">
              <w:t>Indeks 2014/2013</w:t>
            </w:r>
          </w:p>
        </w:tc>
      </w:tr>
      <w:tr w:rsidR="00D849AA">
        <w:trPr>
          <w:jc w:val="center"/>
        </w:trPr>
        <w:tc>
          <w:tcPr>
            <w:tcW w:w="1486" w:type="dxa"/>
          </w:tcPr>
          <w:p w:rsidR="00D849AA" w:rsidRPr="00A202BD" w:rsidRDefault="00EE6D95">
            <w:pPr>
              <w:pStyle w:val="CellColumn"/>
            </w:pPr>
            <w:r w:rsidRPr="00A202BD">
              <w:t>K553130</w:t>
            </w:r>
          </w:p>
        </w:tc>
        <w:tc>
          <w:tcPr>
            <w:tcW w:w="1486" w:type="dxa"/>
          </w:tcPr>
          <w:p w:rsidR="00D849AA" w:rsidRPr="00A202BD" w:rsidRDefault="00EE6D95">
            <w:pPr>
              <w:rPr>
                <w:rFonts w:ascii="Arial" w:hAnsi="Arial" w:cs="Arial"/>
              </w:rPr>
            </w:pPr>
            <w:r w:rsidRPr="00A202BD">
              <w:rPr>
                <w:rFonts w:ascii="Arial" w:hAnsi="Arial" w:cs="Arial"/>
              </w:rPr>
              <w:t>2.250.000</w:t>
            </w:r>
          </w:p>
        </w:tc>
        <w:tc>
          <w:tcPr>
            <w:tcW w:w="1486" w:type="dxa"/>
          </w:tcPr>
          <w:p w:rsidR="00D849AA" w:rsidRPr="00A202BD" w:rsidRDefault="00EE6D95">
            <w:pPr>
              <w:rPr>
                <w:rFonts w:ascii="Arial" w:hAnsi="Arial" w:cs="Arial"/>
              </w:rPr>
            </w:pPr>
            <w:r w:rsidRPr="00A202BD">
              <w:rPr>
                <w:rFonts w:ascii="Arial" w:hAnsi="Arial" w:cs="Arial"/>
              </w:rPr>
              <w:t>3.510.200</w:t>
            </w:r>
          </w:p>
        </w:tc>
        <w:tc>
          <w:tcPr>
            <w:tcW w:w="1486" w:type="dxa"/>
          </w:tcPr>
          <w:p w:rsidR="00D849AA" w:rsidRPr="00A202BD" w:rsidRDefault="00EE6D95">
            <w:pPr>
              <w:rPr>
                <w:rFonts w:ascii="Arial" w:hAnsi="Arial" w:cs="Arial"/>
              </w:rPr>
            </w:pPr>
            <w:r w:rsidRPr="00A202BD">
              <w:rPr>
                <w:rFonts w:ascii="Arial" w:hAnsi="Arial" w:cs="Arial"/>
              </w:rPr>
              <w:t>3.565.000</w:t>
            </w:r>
          </w:p>
        </w:tc>
        <w:tc>
          <w:tcPr>
            <w:tcW w:w="1486" w:type="dxa"/>
          </w:tcPr>
          <w:p w:rsidR="00D849AA" w:rsidRPr="00A202BD" w:rsidRDefault="00EE6D95">
            <w:pPr>
              <w:rPr>
                <w:rFonts w:ascii="Arial" w:hAnsi="Arial" w:cs="Arial"/>
              </w:rPr>
            </w:pPr>
            <w:r w:rsidRPr="00A202BD">
              <w:rPr>
                <w:rFonts w:ascii="Arial" w:hAnsi="Arial" w:cs="Arial"/>
              </w:rPr>
              <w:t>3.894.000</w:t>
            </w:r>
          </w:p>
        </w:tc>
        <w:tc>
          <w:tcPr>
            <w:tcW w:w="1486" w:type="dxa"/>
          </w:tcPr>
          <w:p w:rsidR="00D849AA" w:rsidRPr="00A202BD" w:rsidRDefault="00EE6D95">
            <w:pPr>
              <w:rPr>
                <w:rFonts w:ascii="Arial" w:hAnsi="Arial" w:cs="Arial"/>
              </w:rPr>
            </w:pPr>
            <w:r w:rsidRPr="00A202BD">
              <w:rPr>
                <w:rFonts w:ascii="Arial" w:hAnsi="Arial" w:cs="Arial"/>
              </w:rPr>
              <w:t>156,0</w:t>
            </w:r>
          </w:p>
        </w:tc>
      </w:tr>
    </w:tbl>
    <w:p w:rsidR="00D849AA" w:rsidRDefault="00D849AA">
      <w:pPr>
        <w:jc w:val="left"/>
      </w:pPr>
    </w:p>
    <w:p w:rsidR="00D849AA" w:rsidRDefault="00EE6D95">
      <w:pPr>
        <w:pStyle w:val="Normal6"/>
      </w:pPr>
      <w:r>
        <w:t xml:space="preserve">Integriranom dijelu sustava 112 koji je u funkciji 24 sata dnevno, 7 dana u tjednu i 365 dana u godini nužno je osigurati razinu kvalitete kroz čitavu godinu za nesmetano funkcioniranje te osigurati sredstva za zamjenu navedene opreme u slučaju nepopravljivog kvara ili nakon isteka određenog vremenskog perioda rada.  </w:t>
      </w:r>
    </w:p>
    <w:p w:rsidR="00D849AA" w:rsidRDefault="00EE6D95">
      <w:pPr>
        <w:pStyle w:val="Normal6"/>
      </w:pPr>
      <w:r>
        <w:t>Prioriteti integriranog dijela sustava 112 (4 županije) kroz 2014., 2015. i 2016. godinu su održavanje postojećeg sustava za žurne pozive, ulaganje u komunikacijsku opremu u svrhu migracija govornih usluga na IP platformu u ustrojstvenim jedinicama DUZS-a., ulaganje u opremanje TETRA radio sustava sukladno razvoju infrastrukture MUP-a te ulaganje u unaprjeđenje analogno digitalne radio mreže sustava zaštite i spašavanja.</w:t>
      </w:r>
    </w:p>
    <w:p w:rsidR="00D849AA" w:rsidRDefault="00EE6D95">
      <w:pPr>
        <w:pStyle w:val="Naslov6"/>
      </w:pPr>
      <w:r>
        <w:t>K553134 OPREMANJE SUSTAVA ZA ZAŠTITU I SPAŠAVANJE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A202BD" w:rsidRDefault="00EE6D95">
            <w:pPr>
              <w:pStyle w:val="CellHeader"/>
            </w:pPr>
            <w:r w:rsidRPr="00A202BD">
              <w:t>Naziv aktivnosti</w:t>
            </w:r>
          </w:p>
        </w:tc>
        <w:tc>
          <w:tcPr>
            <w:tcW w:w="1486" w:type="dxa"/>
            <w:shd w:val="clear" w:color="auto" w:fill="B5C0D8"/>
          </w:tcPr>
          <w:p w:rsidR="00D849AA" w:rsidRPr="00A202BD" w:rsidRDefault="00EE6D95">
            <w:pPr>
              <w:pStyle w:val="CellHeader"/>
            </w:pPr>
            <w:r w:rsidRPr="00A202BD">
              <w:t>Plan 2013.</w:t>
            </w:r>
          </w:p>
        </w:tc>
        <w:tc>
          <w:tcPr>
            <w:tcW w:w="1486" w:type="dxa"/>
            <w:shd w:val="clear" w:color="auto" w:fill="B5C0D8"/>
          </w:tcPr>
          <w:p w:rsidR="00D849AA" w:rsidRPr="00A202BD" w:rsidRDefault="00EE6D95">
            <w:pPr>
              <w:pStyle w:val="CellHeader"/>
            </w:pPr>
            <w:r w:rsidRPr="00A202BD">
              <w:t>Plan 2014.</w:t>
            </w:r>
          </w:p>
        </w:tc>
        <w:tc>
          <w:tcPr>
            <w:tcW w:w="1486" w:type="dxa"/>
            <w:shd w:val="clear" w:color="auto" w:fill="B5C0D8"/>
          </w:tcPr>
          <w:p w:rsidR="00D849AA" w:rsidRPr="00A202BD" w:rsidRDefault="00EE6D95">
            <w:pPr>
              <w:pStyle w:val="CellHeader"/>
            </w:pPr>
            <w:r w:rsidRPr="00A202BD">
              <w:t>Plan 2015.</w:t>
            </w:r>
          </w:p>
        </w:tc>
        <w:tc>
          <w:tcPr>
            <w:tcW w:w="1486" w:type="dxa"/>
            <w:shd w:val="clear" w:color="auto" w:fill="B5C0D8"/>
          </w:tcPr>
          <w:p w:rsidR="00D849AA" w:rsidRPr="00A202BD" w:rsidRDefault="00EE6D95">
            <w:pPr>
              <w:pStyle w:val="CellHeader"/>
            </w:pPr>
            <w:r w:rsidRPr="00A202BD">
              <w:t>Plan 2016.</w:t>
            </w:r>
          </w:p>
        </w:tc>
        <w:tc>
          <w:tcPr>
            <w:tcW w:w="1486" w:type="dxa"/>
            <w:shd w:val="clear" w:color="auto" w:fill="B5C0D8"/>
          </w:tcPr>
          <w:p w:rsidR="00D849AA" w:rsidRPr="00A202BD" w:rsidRDefault="00EE6D95">
            <w:pPr>
              <w:pStyle w:val="CellHeader"/>
            </w:pPr>
            <w:r w:rsidRPr="00A202BD">
              <w:t>Indeks 2014/2013</w:t>
            </w:r>
          </w:p>
        </w:tc>
      </w:tr>
      <w:tr w:rsidR="00D849AA">
        <w:trPr>
          <w:jc w:val="center"/>
        </w:trPr>
        <w:tc>
          <w:tcPr>
            <w:tcW w:w="1486" w:type="dxa"/>
          </w:tcPr>
          <w:p w:rsidR="00D849AA" w:rsidRPr="00A202BD" w:rsidRDefault="00EE6D95">
            <w:pPr>
              <w:pStyle w:val="CellColumn"/>
            </w:pPr>
            <w:r w:rsidRPr="00A202BD">
              <w:t>K553134</w:t>
            </w:r>
          </w:p>
        </w:tc>
        <w:tc>
          <w:tcPr>
            <w:tcW w:w="1486" w:type="dxa"/>
          </w:tcPr>
          <w:p w:rsidR="00D849AA" w:rsidRPr="00A202BD" w:rsidRDefault="00EE6D95">
            <w:pPr>
              <w:rPr>
                <w:rFonts w:ascii="Arial" w:hAnsi="Arial" w:cs="Arial"/>
              </w:rPr>
            </w:pPr>
            <w:r w:rsidRPr="00A202BD">
              <w:rPr>
                <w:rFonts w:ascii="Arial" w:hAnsi="Arial" w:cs="Arial"/>
              </w:rPr>
              <w:t>3.414.350</w:t>
            </w:r>
          </w:p>
        </w:tc>
        <w:tc>
          <w:tcPr>
            <w:tcW w:w="1486" w:type="dxa"/>
          </w:tcPr>
          <w:p w:rsidR="00D849AA" w:rsidRPr="00A202BD" w:rsidRDefault="00EE6D95">
            <w:pPr>
              <w:rPr>
                <w:rFonts w:ascii="Arial" w:hAnsi="Arial" w:cs="Arial"/>
              </w:rPr>
            </w:pPr>
            <w:r w:rsidRPr="00A202BD">
              <w:rPr>
                <w:rFonts w:ascii="Arial" w:hAnsi="Arial" w:cs="Arial"/>
              </w:rPr>
              <w:t>3.950.000</w:t>
            </w:r>
          </w:p>
        </w:tc>
        <w:tc>
          <w:tcPr>
            <w:tcW w:w="1486" w:type="dxa"/>
          </w:tcPr>
          <w:p w:rsidR="00D849AA" w:rsidRPr="00A202BD" w:rsidRDefault="00EE6D95">
            <w:pPr>
              <w:rPr>
                <w:rFonts w:ascii="Arial" w:hAnsi="Arial" w:cs="Arial"/>
              </w:rPr>
            </w:pPr>
            <w:r w:rsidRPr="00A202BD">
              <w:rPr>
                <w:rFonts w:ascii="Arial" w:hAnsi="Arial" w:cs="Arial"/>
              </w:rPr>
              <w:t>3.800.000</w:t>
            </w:r>
          </w:p>
        </w:tc>
        <w:tc>
          <w:tcPr>
            <w:tcW w:w="1486" w:type="dxa"/>
          </w:tcPr>
          <w:p w:rsidR="00D849AA" w:rsidRPr="00A202BD" w:rsidRDefault="00EE6D95">
            <w:pPr>
              <w:rPr>
                <w:rFonts w:ascii="Arial" w:hAnsi="Arial" w:cs="Arial"/>
              </w:rPr>
            </w:pPr>
            <w:r w:rsidRPr="00A202BD">
              <w:rPr>
                <w:rFonts w:ascii="Arial" w:hAnsi="Arial" w:cs="Arial"/>
              </w:rPr>
              <w:t>3.800.000</w:t>
            </w:r>
          </w:p>
        </w:tc>
        <w:tc>
          <w:tcPr>
            <w:tcW w:w="1486" w:type="dxa"/>
          </w:tcPr>
          <w:p w:rsidR="00D849AA" w:rsidRPr="00A202BD" w:rsidRDefault="00EE6D95">
            <w:pPr>
              <w:rPr>
                <w:rFonts w:ascii="Arial" w:hAnsi="Arial" w:cs="Arial"/>
              </w:rPr>
            </w:pPr>
            <w:r w:rsidRPr="00A202BD">
              <w:rPr>
                <w:rFonts w:ascii="Arial" w:hAnsi="Arial" w:cs="Arial"/>
              </w:rPr>
              <w:t>115,7</w:t>
            </w:r>
          </w:p>
        </w:tc>
      </w:tr>
    </w:tbl>
    <w:p w:rsidR="00D849AA" w:rsidRDefault="00D849AA">
      <w:pPr>
        <w:jc w:val="left"/>
      </w:pPr>
    </w:p>
    <w:p w:rsidR="00D849AA" w:rsidRDefault="00EE6D95">
      <w:pPr>
        <w:pStyle w:val="Normal6"/>
      </w:pPr>
      <w:r>
        <w:t xml:space="preserve">Na pozicijama projekta Opremanje sustava za zaštitu i spašavanje planirana su sredstva za opremanje  i djelovanje “Državnih interventnih postrojbi civilne zaštite RH - DIP CZ RH” kao jednih od sastavnih dijelova operativnih snaga te temeljna operativna snaga civilne zaštite na državnoj razini u velikim nesrećama i katastrofama.  </w:t>
      </w:r>
    </w:p>
    <w:p w:rsidR="00D849AA" w:rsidRDefault="00EE6D95">
      <w:pPr>
        <w:pStyle w:val="Normal6"/>
      </w:pPr>
      <w:r>
        <w:t xml:space="preserve">Postrojbe se ustrojavaju i popunjavaju na teritorijalnom principu na razini države u okviru četiri Odjela: DIP CZ Odjel Zagreb, Odjel Split, Odjel Rijeka, i Odjel Osijek, i to kao postrojbe za spašavanje iz ruševina, postrojbe za spašavanje iz vode, postrojbe za RKBN zaštitu i postrojbe za logistiku, te  broje 791 pripadnika i 12 pasa. </w:t>
      </w:r>
    </w:p>
    <w:p w:rsidR="00D849AA" w:rsidRDefault="00EE6D95">
      <w:pPr>
        <w:pStyle w:val="Normal6"/>
      </w:pPr>
      <w:r>
        <w:t xml:space="preserve">Za sve pripadnike postrojbi u 2014. godini predviđeno je osiguravanje materijalno – tehničkih sredstava, osobne službene i zaštitne odore, te obučavanje i specijalističko osposobljavanje kao i  provedba terenskih vježbi.   </w:t>
      </w:r>
    </w:p>
    <w:p w:rsidR="00D849AA" w:rsidRDefault="00EE6D95">
      <w:pPr>
        <w:pStyle w:val="Normal6"/>
      </w:pPr>
      <w:r>
        <w:t xml:space="preserve">Potrebna obuka i osposobljavanje provodi se zbog stjecanja znanja i vještina te  povećavanja operativne spremnosti postrojbi za djelovanje u RH, ali i u inozemstvu.  </w:t>
      </w:r>
    </w:p>
    <w:p w:rsidR="00D849AA" w:rsidRDefault="00EE6D95">
      <w:pPr>
        <w:pStyle w:val="Normal6"/>
      </w:pPr>
      <w:r>
        <w:t>Terenske vježbe predstavljaju  važnu stavku jer se njima usvajaju scenariji koji su bliski realnim situacijama, komunikacijske procedure, aktiviranje i djelovanje snaga na terenu, logistička potpora kao i koordinacija djelovanja različitih subjekata zaštite i spašavanja na svim razinama rukovođenja.</w:t>
      </w:r>
    </w:p>
    <w:p w:rsidR="00D849AA" w:rsidRDefault="00EE6D95">
      <w:pPr>
        <w:pStyle w:val="Naslov6"/>
      </w:pPr>
      <w:r>
        <w:t>K863004 RUTNE I TERMINALNE NAKNADE ZA AKTIVNOSTI POTRAGE I SPAŠAVANJA ZRAKOPLOVA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A202BD" w:rsidRDefault="00EE6D95">
            <w:pPr>
              <w:pStyle w:val="CellHeader"/>
            </w:pPr>
            <w:r w:rsidRPr="00A202BD">
              <w:t>Naziv aktivnosti</w:t>
            </w:r>
          </w:p>
        </w:tc>
        <w:tc>
          <w:tcPr>
            <w:tcW w:w="1486" w:type="dxa"/>
            <w:shd w:val="clear" w:color="auto" w:fill="B5C0D8"/>
          </w:tcPr>
          <w:p w:rsidR="00D849AA" w:rsidRPr="00A202BD" w:rsidRDefault="00EE6D95">
            <w:pPr>
              <w:pStyle w:val="CellHeader"/>
            </w:pPr>
            <w:r w:rsidRPr="00A202BD">
              <w:t>Plan 2013.</w:t>
            </w:r>
          </w:p>
        </w:tc>
        <w:tc>
          <w:tcPr>
            <w:tcW w:w="1486" w:type="dxa"/>
            <w:shd w:val="clear" w:color="auto" w:fill="B5C0D8"/>
          </w:tcPr>
          <w:p w:rsidR="00D849AA" w:rsidRPr="00A202BD" w:rsidRDefault="00EE6D95">
            <w:pPr>
              <w:pStyle w:val="CellHeader"/>
            </w:pPr>
            <w:r w:rsidRPr="00A202BD">
              <w:t>Plan 2014.</w:t>
            </w:r>
          </w:p>
        </w:tc>
        <w:tc>
          <w:tcPr>
            <w:tcW w:w="1486" w:type="dxa"/>
            <w:shd w:val="clear" w:color="auto" w:fill="B5C0D8"/>
          </w:tcPr>
          <w:p w:rsidR="00D849AA" w:rsidRPr="00A202BD" w:rsidRDefault="00EE6D95">
            <w:pPr>
              <w:pStyle w:val="CellHeader"/>
            </w:pPr>
            <w:r w:rsidRPr="00A202BD">
              <w:t>Plan 2015.</w:t>
            </w:r>
          </w:p>
        </w:tc>
        <w:tc>
          <w:tcPr>
            <w:tcW w:w="1486" w:type="dxa"/>
            <w:shd w:val="clear" w:color="auto" w:fill="B5C0D8"/>
          </w:tcPr>
          <w:p w:rsidR="00D849AA" w:rsidRPr="00A202BD" w:rsidRDefault="00EE6D95">
            <w:pPr>
              <w:pStyle w:val="CellHeader"/>
            </w:pPr>
            <w:r w:rsidRPr="00A202BD">
              <w:t>Plan 2016.</w:t>
            </w:r>
          </w:p>
        </w:tc>
        <w:tc>
          <w:tcPr>
            <w:tcW w:w="1486" w:type="dxa"/>
            <w:shd w:val="clear" w:color="auto" w:fill="B5C0D8"/>
          </w:tcPr>
          <w:p w:rsidR="00D849AA" w:rsidRPr="00A202BD" w:rsidRDefault="00EE6D95">
            <w:pPr>
              <w:pStyle w:val="CellHeader"/>
            </w:pPr>
            <w:r w:rsidRPr="00A202BD">
              <w:t>Indeks 2014/2013</w:t>
            </w:r>
          </w:p>
        </w:tc>
      </w:tr>
      <w:tr w:rsidR="00D849AA">
        <w:trPr>
          <w:jc w:val="center"/>
        </w:trPr>
        <w:tc>
          <w:tcPr>
            <w:tcW w:w="1486" w:type="dxa"/>
          </w:tcPr>
          <w:p w:rsidR="00D849AA" w:rsidRPr="00A202BD" w:rsidRDefault="00EE6D95">
            <w:pPr>
              <w:pStyle w:val="CellColumn"/>
            </w:pPr>
            <w:r w:rsidRPr="00A202BD">
              <w:t>K863004</w:t>
            </w:r>
          </w:p>
        </w:tc>
        <w:tc>
          <w:tcPr>
            <w:tcW w:w="1486" w:type="dxa"/>
          </w:tcPr>
          <w:p w:rsidR="00D849AA" w:rsidRPr="00A202BD" w:rsidRDefault="00EE6D95">
            <w:pPr>
              <w:rPr>
                <w:rFonts w:ascii="Arial" w:hAnsi="Arial" w:cs="Arial"/>
              </w:rPr>
            </w:pPr>
            <w:r w:rsidRPr="00A202BD">
              <w:rPr>
                <w:rFonts w:ascii="Arial" w:hAnsi="Arial" w:cs="Arial"/>
              </w:rPr>
              <w:t>3.725.000</w:t>
            </w:r>
          </w:p>
        </w:tc>
        <w:tc>
          <w:tcPr>
            <w:tcW w:w="1486" w:type="dxa"/>
          </w:tcPr>
          <w:p w:rsidR="00D849AA" w:rsidRPr="00A202BD" w:rsidRDefault="00EE6D95">
            <w:pPr>
              <w:rPr>
                <w:rFonts w:ascii="Arial" w:hAnsi="Arial" w:cs="Arial"/>
              </w:rPr>
            </w:pPr>
            <w:r w:rsidRPr="00A202BD">
              <w:rPr>
                <w:rFonts w:ascii="Arial" w:hAnsi="Arial" w:cs="Arial"/>
              </w:rPr>
              <w:t>4.100.000</w:t>
            </w:r>
          </w:p>
        </w:tc>
        <w:tc>
          <w:tcPr>
            <w:tcW w:w="1486" w:type="dxa"/>
          </w:tcPr>
          <w:p w:rsidR="00D849AA" w:rsidRPr="00A202BD" w:rsidRDefault="00EE6D95">
            <w:pPr>
              <w:rPr>
                <w:rFonts w:ascii="Arial" w:hAnsi="Arial" w:cs="Arial"/>
              </w:rPr>
            </w:pPr>
            <w:r w:rsidRPr="00A202BD">
              <w:rPr>
                <w:rFonts w:ascii="Arial" w:hAnsi="Arial" w:cs="Arial"/>
              </w:rPr>
              <w:t>4.100.000</w:t>
            </w:r>
          </w:p>
        </w:tc>
        <w:tc>
          <w:tcPr>
            <w:tcW w:w="1486" w:type="dxa"/>
          </w:tcPr>
          <w:p w:rsidR="00D849AA" w:rsidRPr="00A202BD" w:rsidRDefault="00EE6D95">
            <w:pPr>
              <w:rPr>
                <w:rFonts w:ascii="Arial" w:hAnsi="Arial" w:cs="Arial"/>
              </w:rPr>
            </w:pPr>
            <w:r w:rsidRPr="00A202BD">
              <w:rPr>
                <w:rFonts w:ascii="Arial" w:hAnsi="Arial" w:cs="Arial"/>
              </w:rPr>
              <w:t>4.100.000</w:t>
            </w:r>
          </w:p>
        </w:tc>
        <w:tc>
          <w:tcPr>
            <w:tcW w:w="1486" w:type="dxa"/>
          </w:tcPr>
          <w:p w:rsidR="00D849AA" w:rsidRPr="00A202BD" w:rsidRDefault="00EE6D95">
            <w:pPr>
              <w:rPr>
                <w:rFonts w:ascii="Arial" w:hAnsi="Arial" w:cs="Arial"/>
              </w:rPr>
            </w:pPr>
            <w:r w:rsidRPr="00A202BD">
              <w:rPr>
                <w:rFonts w:ascii="Arial" w:hAnsi="Arial" w:cs="Arial"/>
              </w:rPr>
              <w:t>110,1</w:t>
            </w:r>
          </w:p>
        </w:tc>
      </w:tr>
    </w:tbl>
    <w:p w:rsidR="00D849AA" w:rsidRDefault="00D849AA">
      <w:pPr>
        <w:jc w:val="left"/>
      </w:pPr>
    </w:p>
    <w:p w:rsidR="00D849AA" w:rsidRDefault="00EE6D95">
      <w:pPr>
        <w:pStyle w:val="Normal6"/>
      </w:pPr>
      <w:r>
        <w:lastRenderedPageBreak/>
        <w:t>Temeljem "Uredbe o uvjetima i načinu obavljanja potrage i spašavanja zrakoplova" (N.N. br. 129/11) projekt „Rutne i terminalne naknade za potrage i spašavanje zrakoplovom“ iziskuje planiranje nabave nužno potrebnih materijalno-tehničkih sredstava, koja će se isključivo koristiti za potragu i spašavanje unesrećenih uslijed pada zrakoplova, te provođenje vježbi za edukaciju postrojbi civilne zaštite u spomenutim situacijama.</w:t>
      </w:r>
    </w:p>
    <w:p w:rsidR="00D849AA" w:rsidRDefault="00EE6D95">
      <w:pPr>
        <w:pStyle w:val="Naslov2"/>
      </w:pPr>
      <w:r>
        <w:t>04035 Hrvatski centar za razminiranje</w:t>
      </w:r>
    </w:p>
    <w:p w:rsidR="00D849AA" w:rsidRDefault="00EE6D95">
      <w:pPr>
        <w:pStyle w:val="Naslov4"/>
      </w:pPr>
      <w:r>
        <w:t>Uvod</w:t>
      </w:r>
    </w:p>
    <w:p w:rsidR="00D849AA" w:rsidRDefault="00EE6D95">
      <w:pPr>
        <w:pStyle w:val="Normal3"/>
      </w:pPr>
      <w:r>
        <w:t xml:space="preserve">Hrvatski centar za razminiranje obavlja stručne poslove koji se odnose na: prikupljanje i obradu podataka o prostorima zagađenim minsko-eksplozivnim sredstvima; vođenje evidencija o razminiranim prostorima; vođenje brige o obavješćivanju i upozoravanju stanovništva o opasnosti od minsko-eksplozivnih sredstava; obilježavanje prostora zagađenih minsko-eksplozivnim sredstvima; suradnju s međunarodnim ekspertima za razminiranje.  </w:t>
      </w:r>
    </w:p>
    <w:p w:rsidR="00D849AA" w:rsidRDefault="00EE6D95">
      <w:pPr>
        <w:pStyle w:val="Normal3"/>
      </w:pPr>
      <w:r>
        <w:t>Osnovna zadaća  Hrvatskog  centra za razminiranje je: planiranje aktivnosti protuminske djelatnosti; prikupljanje i obrada podataka o područjima i objektima zagađenim minsko-eksplozivnim i neeksplodiranim ubojnim sredstvima; ustupanje poslova pretraživanja i razminiranja ovlaštenim pravnim osobama; obilježavanje minski sumnjivog prostora; upravljanje kvalitetom, nadzor i kontrola kvalitete radova razminiravanja minski sumnjivog prostora; koordinacija edukacije o opasnostima od mina i pomoći žrtvama mina, te suradnja sa nadležnim tijelima;</w:t>
      </w:r>
      <w:r w:rsidR="00B81876">
        <w:t xml:space="preserve"> </w:t>
      </w:r>
      <w:r>
        <w:t xml:space="preserve"> međunarodna suradnja na području humanitarnog razminiravanja; istraživanje i razvoj tehnologija razminiravanja;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A202BD" w:rsidRDefault="00D849AA">
            <w:pPr>
              <w:pStyle w:val="CellHeader"/>
            </w:pPr>
          </w:p>
        </w:tc>
        <w:tc>
          <w:tcPr>
            <w:tcW w:w="1486" w:type="dxa"/>
            <w:shd w:val="clear" w:color="auto" w:fill="B5C0D8"/>
          </w:tcPr>
          <w:p w:rsidR="00D849AA" w:rsidRPr="00A202BD" w:rsidRDefault="00EE6D95">
            <w:pPr>
              <w:pStyle w:val="CellHeader"/>
            </w:pPr>
            <w:r w:rsidRPr="00A202BD">
              <w:t>Plan 2013.</w:t>
            </w:r>
          </w:p>
        </w:tc>
        <w:tc>
          <w:tcPr>
            <w:tcW w:w="1486" w:type="dxa"/>
            <w:shd w:val="clear" w:color="auto" w:fill="B5C0D8"/>
          </w:tcPr>
          <w:p w:rsidR="00D849AA" w:rsidRPr="00A202BD" w:rsidRDefault="00EE6D95">
            <w:pPr>
              <w:pStyle w:val="CellHeader"/>
            </w:pPr>
            <w:r w:rsidRPr="00A202BD">
              <w:t>Plan 2014.</w:t>
            </w:r>
          </w:p>
        </w:tc>
        <w:tc>
          <w:tcPr>
            <w:tcW w:w="1486" w:type="dxa"/>
            <w:shd w:val="clear" w:color="auto" w:fill="B5C0D8"/>
          </w:tcPr>
          <w:p w:rsidR="00D849AA" w:rsidRPr="00A202BD" w:rsidRDefault="00EE6D95">
            <w:pPr>
              <w:pStyle w:val="CellHeader"/>
            </w:pPr>
            <w:r w:rsidRPr="00A202BD">
              <w:t>Plan 2015.</w:t>
            </w:r>
          </w:p>
        </w:tc>
        <w:tc>
          <w:tcPr>
            <w:tcW w:w="1486" w:type="dxa"/>
            <w:shd w:val="clear" w:color="auto" w:fill="B5C0D8"/>
          </w:tcPr>
          <w:p w:rsidR="00D849AA" w:rsidRPr="00A202BD" w:rsidRDefault="00EE6D95">
            <w:pPr>
              <w:pStyle w:val="CellHeader"/>
            </w:pPr>
            <w:r w:rsidRPr="00A202BD">
              <w:t>Plan 2016.</w:t>
            </w:r>
          </w:p>
        </w:tc>
        <w:tc>
          <w:tcPr>
            <w:tcW w:w="1486" w:type="dxa"/>
            <w:shd w:val="clear" w:color="auto" w:fill="B5C0D8"/>
          </w:tcPr>
          <w:p w:rsidR="00D849AA" w:rsidRPr="00A202BD" w:rsidRDefault="00EE6D95">
            <w:pPr>
              <w:pStyle w:val="CellHeader"/>
            </w:pPr>
            <w:r w:rsidRPr="00A202BD">
              <w:t>Indeks 2014/2013</w:t>
            </w:r>
          </w:p>
        </w:tc>
      </w:tr>
      <w:tr w:rsidR="00D849AA">
        <w:trPr>
          <w:jc w:val="center"/>
        </w:trPr>
        <w:tc>
          <w:tcPr>
            <w:tcW w:w="1486" w:type="dxa"/>
          </w:tcPr>
          <w:p w:rsidR="00D849AA" w:rsidRPr="00A202BD" w:rsidRDefault="00EE6D95">
            <w:pPr>
              <w:pStyle w:val="CellColumn"/>
            </w:pPr>
            <w:r w:rsidRPr="00A202BD">
              <w:t>04035</w:t>
            </w:r>
          </w:p>
        </w:tc>
        <w:tc>
          <w:tcPr>
            <w:tcW w:w="1486" w:type="dxa"/>
          </w:tcPr>
          <w:p w:rsidR="00D849AA" w:rsidRPr="00A202BD" w:rsidRDefault="00EE6D95">
            <w:pPr>
              <w:rPr>
                <w:rFonts w:ascii="Arial" w:hAnsi="Arial" w:cs="Arial"/>
              </w:rPr>
            </w:pPr>
            <w:r w:rsidRPr="00A202BD">
              <w:rPr>
                <w:rFonts w:ascii="Arial" w:hAnsi="Arial" w:cs="Arial"/>
              </w:rPr>
              <w:t>247.037.000</w:t>
            </w:r>
          </w:p>
        </w:tc>
        <w:tc>
          <w:tcPr>
            <w:tcW w:w="1486" w:type="dxa"/>
          </w:tcPr>
          <w:p w:rsidR="00D849AA" w:rsidRPr="00A202BD" w:rsidRDefault="00EE6D95">
            <w:pPr>
              <w:rPr>
                <w:rFonts w:ascii="Arial" w:hAnsi="Arial" w:cs="Arial"/>
              </w:rPr>
            </w:pPr>
            <w:r w:rsidRPr="00A202BD">
              <w:rPr>
                <w:rFonts w:ascii="Arial" w:hAnsi="Arial" w:cs="Arial"/>
              </w:rPr>
              <w:t>246.082.000</w:t>
            </w:r>
          </w:p>
        </w:tc>
        <w:tc>
          <w:tcPr>
            <w:tcW w:w="1486" w:type="dxa"/>
          </w:tcPr>
          <w:p w:rsidR="00D849AA" w:rsidRPr="00A202BD" w:rsidRDefault="00EE6D95">
            <w:pPr>
              <w:rPr>
                <w:rFonts w:ascii="Arial" w:hAnsi="Arial" w:cs="Arial"/>
              </w:rPr>
            </w:pPr>
            <w:r w:rsidRPr="00A202BD">
              <w:rPr>
                <w:rFonts w:ascii="Arial" w:hAnsi="Arial" w:cs="Arial"/>
              </w:rPr>
              <w:t>246.770.000</w:t>
            </w:r>
          </w:p>
        </w:tc>
        <w:tc>
          <w:tcPr>
            <w:tcW w:w="1486" w:type="dxa"/>
          </w:tcPr>
          <w:p w:rsidR="00D849AA" w:rsidRPr="00A202BD" w:rsidRDefault="00EE6D95">
            <w:pPr>
              <w:rPr>
                <w:rFonts w:ascii="Arial" w:hAnsi="Arial" w:cs="Arial"/>
              </w:rPr>
            </w:pPr>
            <w:r w:rsidRPr="00A202BD">
              <w:rPr>
                <w:rFonts w:ascii="Arial" w:hAnsi="Arial" w:cs="Arial"/>
              </w:rPr>
              <w:t>246.904.000</w:t>
            </w:r>
          </w:p>
        </w:tc>
        <w:tc>
          <w:tcPr>
            <w:tcW w:w="1486" w:type="dxa"/>
          </w:tcPr>
          <w:p w:rsidR="00D849AA" w:rsidRPr="00A202BD" w:rsidRDefault="00EE6D95">
            <w:pPr>
              <w:rPr>
                <w:rFonts w:ascii="Arial" w:hAnsi="Arial" w:cs="Arial"/>
              </w:rPr>
            </w:pPr>
            <w:r w:rsidRPr="00A202BD">
              <w:rPr>
                <w:rFonts w:ascii="Arial" w:hAnsi="Arial" w:cs="Arial"/>
              </w:rPr>
              <w:t>99,6</w:t>
            </w:r>
          </w:p>
        </w:tc>
      </w:tr>
    </w:tbl>
    <w:p w:rsidR="00D849AA" w:rsidRDefault="00D849AA">
      <w:pPr>
        <w:jc w:val="left"/>
      </w:pPr>
    </w:p>
    <w:p w:rsidR="00D849AA" w:rsidRDefault="00EE6D95">
      <w:pPr>
        <w:pStyle w:val="Naslov4"/>
      </w:pPr>
      <w:r>
        <w:t>OBRAZLOŽENJE PROGRAMA</w:t>
      </w:r>
    </w:p>
    <w:p w:rsidR="00D849AA" w:rsidRDefault="00EE6D95">
      <w:pPr>
        <w:pStyle w:val="Naslov5"/>
      </w:pPr>
      <w:r>
        <w:t>2604 PROTUMINSKO DJELOVANJE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A202BD" w:rsidRDefault="00D849AA">
            <w:pPr>
              <w:pStyle w:val="CellHeader"/>
            </w:pPr>
          </w:p>
        </w:tc>
        <w:tc>
          <w:tcPr>
            <w:tcW w:w="1486" w:type="dxa"/>
            <w:shd w:val="clear" w:color="auto" w:fill="B5C0D8"/>
          </w:tcPr>
          <w:p w:rsidR="00D849AA" w:rsidRPr="00A202BD" w:rsidRDefault="00EE6D95">
            <w:pPr>
              <w:pStyle w:val="CellHeader"/>
            </w:pPr>
            <w:r w:rsidRPr="00A202BD">
              <w:t>Plan 2013.</w:t>
            </w:r>
          </w:p>
        </w:tc>
        <w:tc>
          <w:tcPr>
            <w:tcW w:w="1486" w:type="dxa"/>
            <w:shd w:val="clear" w:color="auto" w:fill="B5C0D8"/>
          </w:tcPr>
          <w:p w:rsidR="00D849AA" w:rsidRPr="00A202BD" w:rsidRDefault="00EE6D95">
            <w:pPr>
              <w:pStyle w:val="CellHeader"/>
            </w:pPr>
            <w:r w:rsidRPr="00A202BD">
              <w:t>Plan 2014.</w:t>
            </w:r>
          </w:p>
        </w:tc>
        <w:tc>
          <w:tcPr>
            <w:tcW w:w="1486" w:type="dxa"/>
            <w:shd w:val="clear" w:color="auto" w:fill="B5C0D8"/>
          </w:tcPr>
          <w:p w:rsidR="00D849AA" w:rsidRPr="00A202BD" w:rsidRDefault="00EE6D95">
            <w:pPr>
              <w:pStyle w:val="CellHeader"/>
            </w:pPr>
            <w:r w:rsidRPr="00A202BD">
              <w:t>Plan 2015.</w:t>
            </w:r>
          </w:p>
        </w:tc>
        <w:tc>
          <w:tcPr>
            <w:tcW w:w="1486" w:type="dxa"/>
            <w:shd w:val="clear" w:color="auto" w:fill="B5C0D8"/>
          </w:tcPr>
          <w:p w:rsidR="00D849AA" w:rsidRPr="00A202BD" w:rsidRDefault="00EE6D95">
            <w:pPr>
              <w:pStyle w:val="CellHeader"/>
            </w:pPr>
            <w:r w:rsidRPr="00A202BD">
              <w:t>Plan 2016.</w:t>
            </w:r>
          </w:p>
        </w:tc>
        <w:tc>
          <w:tcPr>
            <w:tcW w:w="1486" w:type="dxa"/>
            <w:shd w:val="clear" w:color="auto" w:fill="B5C0D8"/>
          </w:tcPr>
          <w:p w:rsidR="00D849AA" w:rsidRPr="00A202BD" w:rsidRDefault="00EE6D95">
            <w:pPr>
              <w:pStyle w:val="CellHeader"/>
            </w:pPr>
            <w:r w:rsidRPr="00A202BD">
              <w:t>Indeks 2014/2013</w:t>
            </w:r>
          </w:p>
        </w:tc>
      </w:tr>
      <w:tr w:rsidR="00D849AA">
        <w:trPr>
          <w:jc w:val="center"/>
        </w:trPr>
        <w:tc>
          <w:tcPr>
            <w:tcW w:w="1486" w:type="dxa"/>
          </w:tcPr>
          <w:p w:rsidR="00D849AA" w:rsidRPr="00A202BD" w:rsidRDefault="00EE6D95">
            <w:pPr>
              <w:pStyle w:val="CellColumn"/>
            </w:pPr>
            <w:r w:rsidRPr="00A202BD">
              <w:t>2604</w:t>
            </w:r>
          </w:p>
        </w:tc>
        <w:tc>
          <w:tcPr>
            <w:tcW w:w="1486" w:type="dxa"/>
          </w:tcPr>
          <w:p w:rsidR="00D849AA" w:rsidRPr="00A202BD" w:rsidRDefault="00EE6D95">
            <w:pPr>
              <w:rPr>
                <w:rFonts w:ascii="Arial" w:hAnsi="Arial" w:cs="Arial"/>
              </w:rPr>
            </w:pPr>
            <w:r w:rsidRPr="00A202BD">
              <w:rPr>
                <w:rFonts w:ascii="Arial" w:hAnsi="Arial" w:cs="Arial"/>
              </w:rPr>
              <w:t>247.037.000</w:t>
            </w:r>
          </w:p>
        </w:tc>
        <w:tc>
          <w:tcPr>
            <w:tcW w:w="1486" w:type="dxa"/>
          </w:tcPr>
          <w:p w:rsidR="00D849AA" w:rsidRPr="00A202BD" w:rsidRDefault="00EE6D95">
            <w:pPr>
              <w:rPr>
                <w:rFonts w:ascii="Arial" w:hAnsi="Arial" w:cs="Arial"/>
              </w:rPr>
            </w:pPr>
            <w:r w:rsidRPr="00A202BD">
              <w:rPr>
                <w:rFonts w:ascii="Arial" w:hAnsi="Arial" w:cs="Arial"/>
              </w:rPr>
              <w:t>246.082.000</w:t>
            </w:r>
          </w:p>
        </w:tc>
        <w:tc>
          <w:tcPr>
            <w:tcW w:w="1486" w:type="dxa"/>
          </w:tcPr>
          <w:p w:rsidR="00D849AA" w:rsidRPr="00A202BD" w:rsidRDefault="00EE6D95">
            <w:pPr>
              <w:rPr>
                <w:rFonts w:ascii="Arial" w:hAnsi="Arial" w:cs="Arial"/>
              </w:rPr>
            </w:pPr>
            <w:r w:rsidRPr="00A202BD">
              <w:rPr>
                <w:rFonts w:ascii="Arial" w:hAnsi="Arial" w:cs="Arial"/>
              </w:rPr>
              <w:t>246.770.000</w:t>
            </w:r>
          </w:p>
        </w:tc>
        <w:tc>
          <w:tcPr>
            <w:tcW w:w="1486" w:type="dxa"/>
          </w:tcPr>
          <w:p w:rsidR="00D849AA" w:rsidRPr="00A202BD" w:rsidRDefault="00EE6D95">
            <w:pPr>
              <w:rPr>
                <w:rFonts w:ascii="Arial" w:hAnsi="Arial" w:cs="Arial"/>
              </w:rPr>
            </w:pPr>
            <w:r w:rsidRPr="00A202BD">
              <w:rPr>
                <w:rFonts w:ascii="Arial" w:hAnsi="Arial" w:cs="Arial"/>
              </w:rPr>
              <w:t>246.904.000</w:t>
            </w:r>
          </w:p>
        </w:tc>
        <w:tc>
          <w:tcPr>
            <w:tcW w:w="1486" w:type="dxa"/>
          </w:tcPr>
          <w:p w:rsidR="00D849AA" w:rsidRPr="00A202BD" w:rsidRDefault="00EE6D95">
            <w:pPr>
              <w:rPr>
                <w:rFonts w:ascii="Arial" w:hAnsi="Arial" w:cs="Arial"/>
              </w:rPr>
            </w:pPr>
            <w:r w:rsidRPr="00A202BD">
              <w:rPr>
                <w:rFonts w:ascii="Arial" w:hAnsi="Arial" w:cs="Arial"/>
              </w:rPr>
              <w:t>99,6</w:t>
            </w:r>
          </w:p>
        </w:tc>
      </w:tr>
    </w:tbl>
    <w:p w:rsidR="00D849AA" w:rsidRDefault="00D849AA">
      <w:pPr>
        <w:jc w:val="left"/>
      </w:pPr>
    </w:p>
    <w:p w:rsidR="00D849AA" w:rsidRDefault="00EE6D95">
      <w:pPr>
        <w:pStyle w:val="Naslov6"/>
      </w:pPr>
      <w:r>
        <w:t>Opis programa</w:t>
      </w:r>
    </w:p>
    <w:p w:rsidR="00D849AA" w:rsidRDefault="00EE6D95">
      <w:pPr>
        <w:pStyle w:val="Normal5"/>
      </w:pPr>
      <w:r>
        <w:t xml:space="preserve">Zagađenost minama i eksplozivnim sredstvima uzrokuje niz gospodarskih i ekoloških poremećaja, a poglavito sigurnosnih problema stanovništvu na prostorima koji su bili u područjima ratnih djelovanja. Postojanje mina i eksplozivnih sredstava na 1,2% kopnene površine Republike Hrvatske ima izravan utjecaj na provedbu mjera zaštite života i imovine građana. Osim stalne prijetnje od stradavanja u minskim incidentima, na  ovakvim područjima i u njihovoj neposrednoj blizini onemogućeno je učinkovito provođenje protupožarne zaštite, mjera zaštite od poplava i postupanje nakon tehnoloških akcidenata, kao i provođenje mjera prevencije s ciljem sprečavanja epidemija. Preko 75.000 komada različitih mina i velik broj </w:t>
      </w:r>
      <w:r>
        <w:lastRenderedPageBreak/>
        <w:t>razasutih eksplozivnih sredstava unutar 11 županija koje je moguće zloupotrijebiti u različitim kriminalnim ili terorističkim aktima, stalna su i ozbiljna prijetnja javnoj sigurnosti. Površine koje se planiraju razminiravati odabrati će se na način da se uz neposredno smanjenje rizika od minskih incidenata, ostvare i preduvjeti da minska zagađenost uzrokuje manje prepreka za razvoj gospodarstva i društva, te provedbu zaštite prirode. Nadalje, skrbiti će se o svim žrtvama  mina i educirati sve rizične skupine građana o minskoj opasnosti, na način da se koordinira pomoć žrtvama mina i programi edukacije o opasnima od mina, sukladno zakonskim propisima kroz tijela državne uprave i nevladine organizacije.</w:t>
      </w:r>
    </w:p>
    <w:p w:rsidR="00D849AA" w:rsidRDefault="00EE6D95">
      <w:pPr>
        <w:pStyle w:val="Naslov6"/>
      </w:pPr>
      <w:r>
        <w:t>Zakonske i druge pravne osnove</w:t>
      </w:r>
    </w:p>
    <w:p w:rsidR="00D849AA" w:rsidRDefault="00EE6D95">
      <w:pPr>
        <w:pStyle w:val="Normal5"/>
      </w:pPr>
      <w:r>
        <w:t>Program protuminskog djelovanja u Republici Hrvatskoj provodi se temeljem  Nacionalnog programa protuminskog djelovanja Republike Hrvatske, N.N. 120/09, Strategije održivog razvitka Republike Hrvatske, N.N. 30/09, Nacionalnog plana aktivnosti za prava i interese djece 2006.-2012. koje je donijela Vlada Republike Hrvatske u ožujku 2006. godine, Nacionalne strategije i akcijskog plana zaštite biološke i krajobrazne raznolikosti, N.N.143/08 i Nacionalne strategije izjednačavanja mogućnosti za osobe s invaliditetom od 2007.-2015. godine koju je donijela Vlada Republike Hrvatske 05. lipnja 2007. godine.</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Cilj 1. Smanjenje veličine minsko sumnjivih prostora, u cijelosti ukloniti minsku opasnost s područja oranica, te s većine močvarnog područja unutar Parka prirode Kopački rit, cjelovito rješavanje županijskih minskih problema; sustavno razminiranje područja bitnih za provedbu protupožarne zaštite.</w:t>
      </w:r>
    </w:p>
    <w:p w:rsidR="00D849AA" w:rsidRDefault="00EE6D95">
      <w:pPr>
        <w:pStyle w:val="Normal6"/>
      </w:pPr>
      <w:r>
        <w:t xml:space="preserve">Izvršenjem općeg izviđanja cjelokupnog prostora i stalnim ažuriranjem tako dobivenih podataka, utvrđeni su položaj, veličina i pokazatelji minske zagađenosti Republike Hrvatske. Izradom kriterija za određivanje prvenstva u razminiravanju stvoreni su uvjeti za učinkovito rješavanje minskog problema. Krajem 2013.g. veličina minski sumnjivih površina u Republici Hrvatskoj iznosi 640 km2. Minski je  zagađeno 12 županija, odnosno 93 grada i općine. Temeljem utvrđene veličine i strukture minskog problema i izvršenim ažuriranjem  podataka o strukturi poljoprivrednih zemljišta s Ministarstvom poljoprivrede,  ribarstva i ruralnog razvoja utvrđeno je postojanje još 89,4 km2 minski zagađenih oranica u Republici Hrvatskoj. Najveće površine nalaze se u Istočnoj Hrvatskoj, odnosno Osječko-baranjskoj i Vukovarsko-srijemskoj županiji. Na ovim područjima se sukladno minskim zapisnicima nalazi preko 50% svih protuoklopnih mina u  Republici Hrvatskoj, što ukazuje na stalnu prijetnju stradavanja lokalnog  stanovništva, čija je temeljna djelatnost upravo poljoprivredna proizvodnja. Utvrđeno je i postojanje minske opasnosti na 10% ukupnog minski sumnjivog područja unutar Nacionalnih parkova i Parkova prirode. Minska zagađenost  sprječava provedbu različitih mjera zaštite unutar ovih područja, osobito provedbu zadaća pojačanog monitoringa populacije ptica u cilju prevencije životinjskih epidemija na području parka prirode Kopački rit. </w:t>
      </w:r>
    </w:p>
    <w:p w:rsidR="00D849AA" w:rsidRDefault="00EE6D95">
      <w:pPr>
        <w:pStyle w:val="Normal6"/>
      </w:pPr>
      <w:r>
        <w:t xml:space="preserve">Temeljem do sada izvršenih poslova općeg izvida i razminiranja minski sumnjivih površina u pojedinim županijama stvoreni su uvjeti za cjelovito rješavanje minskog problema u istima, u godišnjem i/ili dvogodišnjem razdoblju. Cjelovitim razminiranjem županija stvaraju se uvjeti za učinkovitije i racionalnije poslovanje Hrvatskog centra za razminiranje. Planiranjem poslova razminiranja i tehničkog izvida na godišnjoj razini na ovakav način, osim spomenutog smanjenja troškova u Hrvatskom centru za razminiranje smanjiti će se i troškovi ovlaštenih pravnih osoba koje će i izvršiti većinu tih poslova, jer će moći planirati jednokratno, velik obim poslova unutar jednog užeg zemljopisnog i jedinstvenog administrativnog područja. </w:t>
      </w:r>
    </w:p>
    <w:p w:rsidR="00D849AA" w:rsidRDefault="00EE6D95">
      <w:pPr>
        <w:pStyle w:val="Normal6"/>
      </w:pPr>
      <w:r>
        <w:lastRenderedPageBreak/>
        <w:t>U ukupnom preostalom minski sumnjivom područje obzirom na strukturu površine šumsko zemljište, odnosno šume, makija i krš učestvuju s 80%. Minska zagađenost na tim područjima onemogućuje gospodarenje i upravljanje istima i to s ekonomskom, ekološkog i socijalnog gledišta. Unutar navedenog, posebno se ističe nemogućnost učinkovite provedbe protupožarne zaštite. Republici Hrvatskoj je od osobite važnosti osigurati učinkovitu protupožarnu zaštitu na cjelokupnom teritoriju. Ulaskom Republike Hrvatske u Europsku uniju, temeljem i EU Strategije o biološkoj raznolikosti u kojoj je naglašena potreba za osiguranjem postojanja protupožarne zaštite na način da je uključeno i cjelovito upravljanje s ciljem stvaranja šumskog područja više otpornog na požare, ovi poslovi će značajno doprinijeti ostvarenju ciljeva iz navedene europske strategije.</w:t>
      </w:r>
    </w:p>
    <w:p w:rsidR="00D849AA" w:rsidRDefault="00EE6D95">
      <w:pPr>
        <w:pStyle w:val="Naslov7"/>
      </w:pPr>
      <w:r>
        <w:t>Cilj 2. Održati obilježenost cjelokupnog minski sumnjivog prostora</w:t>
      </w:r>
    </w:p>
    <w:p w:rsidR="00D849AA" w:rsidRDefault="00EE6D95">
      <w:pPr>
        <w:pStyle w:val="Normal6"/>
      </w:pPr>
      <w:r>
        <w:t xml:space="preserve">Održavanje obilježenosti minski sumnjivog prostora predstavlja radnje koje se provode radi stvaranja jasne granice između sigurnog i prostora zagađenog minama i eksplozivnim sredstvima. Položaj oznaka o opasnostima od mina i eksplozivnih sredstava jedan je od temeljnih elemenata informacijskog sustava o miniranosti prikazan na zemljovidima miniranosti koje se dostavljaju tijelima državne uprave, jedinicama lokalne i regionalne samouprave, policijskim upravama i drugim fizičkim i pravnim osobama po zahtjevu. Minski sumnjiv prostor Republike Hrvatske obilježen je s preko gotovo 13 000 oznaka koje ukazuju na minsku opasnost i s preko gotovo 300 oznaka koje ukazuju na moguć pronalazak neeksplodiranih ubojnih sredstava. </w:t>
      </w:r>
    </w:p>
    <w:p w:rsidR="00D849AA" w:rsidRDefault="00EE6D95">
      <w:pPr>
        <w:pStyle w:val="Normal6"/>
      </w:pPr>
      <w:r>
        <w:t>U cilju održavanja obilježenosti cjelokupnog minski sumnjivog prostora vršiti će se  zanavljanje tabli, postavljanje ograda na područjima gdje je sukladno metodologiji rada potrebno, te  kontrola izvršenog obilježavanja i izvršenje dodatnog obilježavanja na osnovi nastalih promjenama u granicama minski sumnjivog prostora.</w:t>
      </w:r>
    </w:p>
    <w:p w:rsidR="00D849AA" w:rsidRDefault="00EE6D95">
      <w:pPr>
        <w:pStyle w:val="Naslov7"/>
      </w:pPr>
      <w:r>
        <w:t>Cilj 3. Edukacija stanovništva od opasnosti od mina, te koordinirati aktivnosti vezane uz skrb, rehabilitaciju i ekonomsku reintegraciju svih žrtava mina</w:t>
      </w:r>
    </w:p>
    <w:p w:rsidR="00D849AA" w:rsidRDefault="00EE6D95">
      <w:pPr>
        <w:pStyle w:val="Normal6"/>
      </w:pPr>
      <w:r>
        <w:t xml:space="preserve">Osnovni cilj svih programa edukacije o opasnosti od mina i informacija za javnost  je održavanje kontinuirane razine spoznaje o minskoj opasnosti u periodu dok minirani prostori ne budu očišćeni od mina i neeksplodiranih ubojnih sredstava (NUS-a) i predani krajnjim korisnicima na sigurnu upotrebu. </w:t>
      </w:r>
    </w:p>
    <w:p w:rsidR="00D849AA" w:rsidRDefault="00EE6D95">
      <w:pPr>
        <w:pStyle w:val="Normal6"/>
      </w:pPr>
      <w:r>
        <w:t xml:space="preserve">Većem broju različitih ciljanih skupina potrebno je jasno i kontinuirano ukazivati na opasnost od mina, kako da je prepoznaju u uvjetima minskog okruženja, kako preživjeti period do uklanjanja minske opasnosti i kako pronaći sve oblike ponašanja u različitim svakodnevnim aktivnostima i godišnjem dobu u kojem su pojačane aktivnosti u poljima i okućnicama. Osim ove osnovne komponente vezane za rizične skupine i zajednice, važne su i druge komponente protuminskog djelovanja, te interakcija s različitim subjektima, naročito medijima i lokalnom upravom u kreiranju komunikacijske strategije. Cilj Hrvatskog centra za razminiranje na području edukacije je postati centralno vladino tijelo zaduženo za provedbu edukacije o opasnostima od mina, s puno jasnije utvrđenim obvezama glede pomoći žrtvama mina, te potpunog sprečavanja minskih nesreća i kvalitetnije, ujednačenije i pravednije pomoći žrtvama. </w:t>
      </w:r>
    </w:p>
    <w:p w:rsidR="00D849AA" w:rsidRDefault="00EE6D95">
      <w:pPr>
        <w:pStyle w:val="Normal6"/>
      </w:pPr>
      <w:r>
        <w:t xml:space="preserve">Žrtva mina je osoba  kojoj je organizam oštećen uslijed ratnih događanja ili od eksplozije zaostalog ratnog materijala nakon završetka ratnih operacija. Pod žrtvom mina se podrazumijeva i član obitelji o kojem skrbi žrtva mina ili je skrbila do smrtnog stradavanja uzrokovanim minama ili eksplozivnim sredstvima. Ključni oblici pomoći žrtvama mina u kojima sudjeluju Vladin i nevladin sektor i koji će se provoditi u sljedećem trogodišnjem razdoblju su : hitna medicinska pomoć, trajna medicinska pomoć, fizička rehabilitacija, proteze, pomoćna sredstva, psihološka i socijalna potpora, zapošljavanje i ekonomska integracija, osposobljavanje i održivost, zakonodavstvo i javna svjesnost o problemu, </w:t>
      </w:r>
      <w:r>
        <w:lastRenderedPageBreak/>
        <w:t>pristup javnim službama i prikupljanje podataka. Od početka Domovinskog rata do studenog 2013. godine u minskim incidentima stradala je 1976 osoba, od kojih 510 smrtno. Hrvatski centar za razminiranje će koordinirati aktivnosti vezane uz skrb, rehabilitaciju i ekonomsku reintegraciju koje provode tijela državne uprava, udruge i institucije koje se bave ovom problematikom na način da će se nastaviti s održavanjem redovitih koordinacijskih sastanaka. Trenutno u Republici Hrvatskoj 3 udruge aktivno pomažu žrtve mina na način da je pomoć usmjerena povećanju kvalitete života žrtava mina.</w:t>
      </w:r>
    </w:p>
    <w:p w:rsidR="00D849AA" w:rsidRDefault="00EE6D95">
      <w:pPr>
        <w:pStyle w:val="Naslov7"/>
      </w:pPr>
      <w:r>
        <w:t xml:space="preserve">Cilj 4. Promoviranje hrvatskog sustava protuminskog djelovanja međunarodnoj zajednici i provođenje potpisanih međunarodnih sporazuma o suradnji </w:t>
      </w:r>
    </w:p>
    <w:p w:rsidR="00D849AA" w:rsidRDefault="00EE6D95">
      <w:pPr>
        <w:pStyle w:val="Normal6"/>
      </w:pPr>
      <w:r>
        <w:t>Izvršenjem dosadašnjih aktivnosti vezanih za međunarodnu suradnju Hrvatski centar za razminiranje se pozicionirao kao institucija sposobna da u državama koje su suočene s minskim problemom, organizira sve djelatnosti unutar protuminskog djelovanja. Temeljem navedenog u narednom trogodišnjem razdoblju Hrvatski centar za razminiranje planira osnaživati i konkretizirati do sada potpisane sporazume o suradnji na području protuminskog djelovanja, te potpisati nove, prvenstveno sa zemljama regije, ali i ostalim zemljama s minskim problemom. Izraditi ćemo Strategiju međunarodne suradnje Hrvatskog centra za razminiranje, s ciljem utvrđivanja nastupa prema globalnoj protuminskoj zajednici, u smislu iskorištavanja stečenih znanja, iskustava, metoda i tehnologija danas, ali i nakon završetka razminiranja Republike Hrvatske.</w:t>
      </w:r>
    </w:p>
    <w:p w:rsidR="00D849AA" w:rsidRDefault="00EE6D95">
      <w:pPr>
        <w:pStyle w:val="Naslov5"/>
      </w:pPr>
      <w:r>
        <w:t>Procjena i ishodište potrebnih sredstava za značajnije aktivnosti/projekte</w:t>
      </w:r>
    </w:p>
    <w:p w:rsidR="00D849AA" w:rsidRDefault="00EE6D95">
      <w:pPr>
        <w:pStyle w:val="Naslov6"/>
      </w:pPr>
      <w:r>
        <w:t>A672007 RAZMINIRANJE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A202BD" w:rsidRDefault="00EE6D95">
            <w:pPr>
              <w:pStyle w:val="CellHeader"/>
            </w:pPr>
            <w:r w:rsidRPr="00A202BD">
              <w:t>Naziv aktivnosti</w:t>
            </w:r>
          </w:p>
        </w:tc>
        <w:tc>
          <w:tcPr>
            <w:tcW w:w="1486" w:type="dxa"/>
            <w:shd w:val="clear" w:color="auto" w:fill="B5C0D8"/>
          </w:tcPr>
          <w:p w:rsidR="00D849AA" w:rsidRPr="00A202BD" w:rsidRDefault="00EE6D95">
            <w:pPr>
              <w:pStyle w:val="CellHeader"/>
            </w:pPr>
            <w:r w:rsidRPr="00A202BD">
              <w:t>Plan 2013.</w:t>
            </w:r>
          </w:p>
        </w:tc>
        <w:tc>
          <w:tcPr>
            <w:tcW w:w="1486" w:type="dxa"/>
            <w:shd w:val="clear" w:color="auto" w:fill="B5C0D8"/>
          </w:tcPr>
          <w:p w:rsidR="00D849AA" w:rsidRPr="00A202BD" w:rsidRDefault="00EE6D95">
            <w:pPr>
              <w:pStyle w:val="CellHeader"/>
            </w:pPr>
            <w:r w:rsidRPr="00A202BD">
              <w:t>Plan 2014.</w:t>
            </w:r>
          </w:p>
        </w:tc>
        <w:tc>
          <w:tcPr>
            <w:tcW w:w="1486" w:type="dxa"/>
            <w:shd w:val="clear" w:color="auto" w:fill="B5C0D8"/>
          </w:tcPr>
          <w:p w:rsidR="00D849AA" w:rsidRPr="00A202BD" w:rsidRDefault="00EE6D95">
            <w:pPr>
              <w:pStyle w:val="CellHeader"/>
            </w:pPr>
            <w:r w:rsidRPr="00A202BD">
              <w:t>Plan 2015.</w:t>
            </w:r>
          </w:p>
        </w:tc>
        <w:tc>
          <w:tcPr>
            <w:tcW w:w="1486" w:type="dxa"/>
            <w:shd w:val="clear" w:color="auto" w:fill="B5C0D8"/>
          </w:tcPr>
          <w:p w:rsidR="00D849AA" w:rsidRPr="00A202BD" w:rsidRDefault="00EE6D95">
            <w:pPr>
              <w:pStyle w:val="CellHeader"/>
            </w:pPr>
            <w:r w:rsidRPr="00A202BD">
              <w:t>Plan 2016.</w:t>
            </w:r>
          </w:p>
        </w:tc>
        <w:tc>
          <w:tcPr>
            <w:tcW w:w="1486" w:type="dxa"/>
            <w:shd w:val="clear" w:color="auto" w:fill="B5C0D8"/>
          </w:tcPr>
          <w:p w:rsidR="00D849AA" w:rsidRPr="00A202BD" w:rsidRDefault="00EE6D95">
            <w:pPr>
              <w:pStyle w:val="CellHeader"/>
            </w:pPr>
            <w:r w:rsidRPr="00A202BD">
              <w:t>Indeks 2014/2013</w:t>
            </w:r>
          </w:p>
        </w:tc>
      </w:tr>
      <w:tr w:rsidR="00D849AA">
        <w:trPr>
          <w:jc w:val="center"/>
        </w:trPr>
        <w:tc>
          <w:tcPr>
            <w:tcW w:w="1486" w:type="dxa"/>
          </w:tcPr>
          <w:p w:rsidR="00D849AA" w:rsidRPr="00A202BD" w:rsidRDefault="00EE6D95">
            <w:pPr>
              <w:pStyle w:val="CellColumn"/>
            </w:pPr>
            <w:r w:rsidRPr="00A202BD">
              <w:t>A672007</w:t>
            </w:r>
          </w:p>
        </w:tc>
        <w:tc>
          <w:tcPr>
            <w:tcW w:w="1486" w:type="dxa"/>
          </w:tcPr>
          <w:p w:rsidR="00D849AA" w:rsidRPr="00A202BD" w:rsidRDefault="00EE6D95">
            <w:pPr>
              <w:rPr>
                <w:rFonts w:ascii="Arial" w:hAnsi="Arial" w:cs="Arial"/>
              </w:rPr>
            </w:pPr>
            <w:r w:rsidRPr="00A202BD">
              <w:rPr>
                <w:rFonts w:ascii="Arial" w:hAnsi="Arial" w:cs="Arial"/>
              </w:rPr>
              <w:t>204.783.000</w:t>
            </w:r>
          </w:p>
        </w:tc>
        <w:tc>
          <w:tcPr>
            <w:tcW w:w="1486" w:type="dxa"/>
          </w:tcPr>
          <w:p w:rsidR="00D849AA" w:rsidRPr="00A202BD" w:rsidRDefault="00EE6D95">
            <w:pPr>
              <w:rPr>
                <w:rFonts w:ascii="Arial" w:hAnsi="Arial" w:cs="Arial"/>
              </w:rPr>
            </w:pPr>
            <w:r w:rsidRPr="00A202BD">
              <w:rPr>
                <w:rFonts w:ascii="Arial" w:hAnsi="Arial" w:cs="Arial"/>
              </w:rPr>
              <w:t>176.645.000</w:t>
            </w:r>
          </w:p>
        </w:tc>
        <w:tc>
          <w:tcPr>
            <w:tcW w:w="1486" w:type="dxa"/>
          </w:tcPr>
          <w:p w:rsidR="00D849AA" w:rsidRPr="00A202BD" w:rsidRDefault="00EE6D95">
            <w:pPr>
              <w:rPr>
                <w:rFonts w:ascii="Arial" w:hAnsi="Arial" w:cs="Arial"/>
              </w:rPr>
            </w:pPr>
            <w:r w:rsidRPr="00A202BD">
              <w:rPr>
                <w:rFonts w:ascii="Arial" w:hAnsi="Arial" w:cs="Arial"/>
              </w:rPr>
              <w:t>177.142.000</w:t>
            </w:r>
          </w:p>
        </w:tc>
        <w:tc>
          <w:tcPr>
            <w:tcW w:w="1486" w:type="dxa"/>
          </w:tcPr>
          <w:p w:rsidR="00D849AA" w:rsidRPr="00A202BD" w:rsidRDefault="00EE6D95">
            <w:pPr>
              <w:rPr>
                <w:rFonts w:ascii="Arial" w:hAnsi="Arial" w:cs="Arial"/>
              </w:rPr>
            </w:pPr>
            <w:r w:rsidRPr="00A202BD">
              <w:rPr>
                <w:rFonts w:ascii="Arial" w:hAnsi="Arial" w:cs="Arial"/>
              </w:rPr>
              <w:t>177.177.000</w:t>
            </w:r>
          </w:p>
        </w:tc>
        <w:tc>
          <w:tcPr>
            <w:tcW w:w="1486" w:type="dxa"/>
          </w:tcPr>
          <w:p w:rsidR="00D849AA" w:rsidRPr="00A202BD" w:rsidRDefault="00EE6D95">
            <w:pPr>
              <w:rPr>
                <w:rFonts w:ascii="Arial" w:hAnsi="Arial" w:cs="Arial"/>
              </w:rPr>
            </w:pPr>
            <w:r w:rsidRPr="00A202BD">
              <w:rPr>
                <w:rFonts w:ascii="Arial" w:hAnsi="Arial" w:cs="Arial"/>
              </w:rPr>
              <w:t>86,2</w:t>
            </w:r>
          </w:p>
        </w:tc>
      </w:tr>
    </w:tbl>
    <w:p w:rsidR="00D849AA" w:rsidRDefault="00D849AA">
      <w:pPr>
        <w:jc w:val="left"/>
      </w:pPr>
    </w:p>
    <w:p w:rsidR="00D849AA" w:rsidRDefault="00EE6D95">
      <w:pPr>
        <w:pStyle w:val="Normal6"/>
      </w:pPr>
      <w:r>
        <w:t>Potpuno uklanjanje mina i eksplozivnih sredstava kao preduvjeta za stvaranje sigurnog okoliša, održivog povratka, socijalno-ekonomskog i gospodarskog razvoja, te opće sigurnosti.</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rsidRPr="00A202BD">
        <w:trPr>
          <w:jc w:val="center"/>
        </w:trPr>
        <w:tc>
          <w:tcPr>
            <w:tcW w:w="2229" w:type="dxa"/>
            <w:shd w:val="clear" w:color="auto" w:fill="B5C0D8"/>
          </w:tcPr>
          <w:p w:rsidR="00D849AA" w:rsidRPr="00A202BD" w:rsidRDefault="00EE6D95">
            <w:pPr>
              <w:rPr>
                <w:rFonts w:ascii="Arial" w:hAnsi="Arial" w:cs="Arial"/>
              </w:rPr>
            </w:pPr>
            <w:r w:rsidRPr="00A202BD">
              <w:rPr>
                <w:rFonts w:ascii="Arial" w:hAnsi="Arial" w:cs="Arial"/>
              </w:rPr>
              <w:t>Pokazatelj rezultata</w:t>
            </w:r>
          </w:p>
        </w:tc>
        <w:tc>
          <w:tcPr>
            <w:tcW w:w="1114" w:type="dxa"/>
            <w:shd w:val="clear" w:color="auto" w:fill="B5C0D8"/>
          </w:tcPr>
          <w:p w:rsidR="00D849AA" w:rsidRPr="00A202BD" w:rsidRDefault="00EE6D95">
            <w:pPr>
              <w:pStyle w:val="CellHeader"/>
            </w:pPr>
            <w:r w:rsidRPr="00A202BD">
              <w:t>Jedinica</w:t>
            </w:r>
          </w:p>
        </w:tc>
        <w:tc>
          <w:tcPr>
            <w:tcW w:w="1114" w:type="dxa"/>
            <w:shd w:val="clear" w:color="auto" w:fill="B5C0D8"/>
          </w:tcPr>
          <w:p w:rsidR="00D849AA" w:rsidRPr="00A202BD" w:rsidRDefault="00EE6D95">
            <w:pPr>
              <w:pStyle w:val="CellHeader"/>
            </w:pPr>
            <w:r w:rsidRPr="00A202BD">
              <w:t>Polazna vrijednost</w:t>
            </w:r>
          </w:p>
        </w:tc>
        <w:tc>
          <w:tcPr>
            <w:tcW w:w="1486" w:type="dxa"/>
            <w:shd w:val="clear" w:color="auto" w:fill="B5C0D8"/>
          </w:tcPr>
          <w:p w:rsidR="00D849AA" w:rsidRPr="00A202BD" w:rsidRDefault="00EE6D95">
            <w:pPr>
              <w:pStyle w:val="CellHeader"/>
            </w:pPr>
            <w:r w:rsidRPr="00A202BD">
              <w:t>Ciljana vrijednost (2014.)</w:t>
            </w:r>
          </w:p>
        </w:tc>
        <w:tc>
          <w:tcPr>
            <w:tcW w:w="1486" w:type="dxa"/>
            <w:shd w:val="clear" w:color="auto" w:fill="B5C0D8"/>
          </w:tcPr>
          <w:p w:rsidR="00D849AA" w:rsidRPr="00A202BD" w:rsidRDefault="00EE6D95">
            <w:pPr>
              <w:pStyle w:val="CellHeader"/>
            </w:pPr>
            <w:r w:rsidRPr="00A202BD">
              <w:t>Ciljana vrijednost (2015.)</w:t>
            </w:r>
          </w:p>
        </w:tc>
        <w:tc>
          <w:tcPr>
            <w:tcW w:w="1486" w:type="dxa"/>
            <w:shd w:val="clear" w:color="auto" w:fill="B5C0D8"/>
          </w:tcPr>
          <w:p w:rsidR="00D849AA" w:rsidRPr="00A202BD" w:rsidRDefault="00EE6D95">
            <w:pPr>
              <w:pStyle w:val="CellHeader"/>
            </w:pPr>
            <w:r w:rsidRPr="00A202BD">
              <w:t>Ciljana vrijednost (2016.)</w:t>
            </w:r>
          </w:p>
        </w:tc>
      </w:tr>
      <w:tr w:rsidR="00D849AA" w:rsidRPr="00A202BD">
        <w:trPr>
          <w:jc w:val="center"/>
        </w:trPr>
        <w:tc>
          <w:tcPr>
            <w:tcW w:w="2229" w:type="dxa"/>
          </w:tcPr>
          <w:p w:rsidR="00D849AA" w:rsidRPr="00A202BD" w:rsidRDefault="00EE6D95">
            <w:pPr>
              <w:pStyle w:val="CellColumn"/>
            </w:pPr>
            <w:r w:rsidRPr="00A202BD">
              <w:t>Zagađenost minama i eksplozivnim sredstvima</w:t>
            </w:r>
          </w:p>
        </w:tc>
        <w:tc>
          <w:tcPr>
            <w:tcW w:w="1114" w:type="dxa"/>
          </w:tcPr>
          <w:p w:rsidR="00D849AA" w:rsidRPr="00A202BD" w:rsidRDefault="00EE6D95">
            <w:pPr>
              <w:rPr>
                <w:rFonts w:ascii="Arial" w:hAnsi="Arial" w:cs="Arial"/>
              </w:rPr>
            </w:pPr>
            <w:r w:rsidRPr="00A202BD">
              <w:rPr>
                <w:rFonts w:ascii="Arial" w:hAnsi="Arial" w:cs="Arial"/>
              </w:rPr>
              <w:t>broj</w:t>
            </w:r>
          </w:p>
        </w:tc>
        <w:tc>
          <w:tcPr>
            <w:tcW w:w="1114" w:type="dxa"/>
          </w:tcPr>
          <w:p w:rsidR="00D849AA" w:rsidRPr="00A202BD" w:rsidRDefault="00EE6D95">
            <w:pPr>
              <w:rPr>
                <w:rFonts w:ascii="Arial" w:hAnsi="Arial" w:cs="Arial"/>
              </w:rPr>
            </w:pPr>
            <w:r w:rsidRPr="00A202BD">
              <w:rPr>
                <w:rFonts w:ascii="Arial" w:hAnsi="Arial" w:cs="Arial"/>
              </w:rPr>
              <w:t>75.000</w:t>
            </w:r>
          </w:p>
        </w:tc>
        <w:tc>
          <w:tcPr>
            <w:tcW w:w="1486" w:type="dxa"/>
          </w:tcPr>
          <w:p w:rsidR="00D849AA" w:rsidRPr="00A202BD" w:rsidRDefault="00EE6D95">
            <w:pPr>
              <w:rPr>
                <w:rFonts w:ascii="Arial" w:hAnsi="Arial" w:cs="Arial"/>
              </w:rPr>
            </w:pPr>
            <w:r w:rsidRPr="00A202BD">
              <w:rPr>
                <w:rFonts w:ascii="Arial" w:hAnsi="Arial" w:cs="Arial"/>
              </w:rPr>
              <w:t>61.400</w:t>
            </w:r>
          </w:p>
        </w:tc>
        <w:tc>
          <w:tcPr>
            <w:tcW w:w="1486" w:type="dxa"/>
          </w:tcPr>
          <w:p w:rsidR="00D849AA" w:rsidRPr="00A202BD" w:rsidRDefault="00EE6D95">
            <w:pPr>
              <w:rPr>
                <w:rFonts w:ascii="Arial" w:hAnsi="Arial" w:cs="Arial"/>
              </w:rPr>
            </w:pPr>
            <w:r w:rsidRPr="00A202BD">
              <w:rPr>
                <w:rFonts w:ascii="Arial" w:hAnsi="Arial" w:cs="Arial"/>
              </w:rPr>
              <w:t>51.800</w:t>
            </w:r>
          </w:p>
        </w:tc>
        <w:tc>
          <w:tcPr>
            <w:tcW w:w="1486" w:type="dxa"/>
          </w:tcPr>
          <w:p w:rsidR="00D849AA" w:rsidRPr="00A202BD" w:rsidRDefault="00EE6D95">
            <w:pPr>
              <w:rPr>
                <w:rFonts w:ascii="Arial" w:hAnsi="Arial" w:cs="Arial"/>
              </w:rPr>
            </w:pPr>
            <w:r w:rsidRPr="00A202BD">
              <w:rPr>
                <w:rFonts w:ascii="Arial" w:hAnsi="Arial" w:cs="Arial"/>
              </w:rPr>
              <w:t>43.100</w:t>
            </w:r>
          </w:p>
        </w:tc>
      </w:tr>
      <w:tr w:rsidR="00D849AA" w:rsidRPr="00A202BD">
        <w:trPr>
          <w:jc w:val="center"/>
        </w:trPr>
        <w:tc>
          <w:tcPr>
            <w:tcW w:w="2229" w:type="dxa"/>
          </w:tcPr>
          <w:p w:rsidR="00D849AA" w:rsidRPr="00A202BD" w:rsidRDefault="00EE6D95">
            <w:pPr>
              <w:pStyle w:val="CellColumn"/>
            </w:pPr>
            <w:r w:rsidRPr="00A202BD">
              <w:t>Broj županija bez minskog problema</w:t>
            </w:r>
          </w:p>
        </w:tc>
        <w:tc>
          <w:tcPr>
            <w:tcW w:w="1114" w:type="dxa"/>
          </w:tcPr>
          <w:p w:rsidR="00D849AA" w:rsidRPr="00A202BD" w:rsidRDefault="00EE6D95">
            <w:pPr>
              <w:rPr>
                <w:rFonts w:ascii="Arial" w:hAnsi="Arial" w:cs="Arial"/>
              </w:rPr>
            </w:pPr>
            <w:r w:rsidRPr="00A202BD">
              <w:rPr>
                <w:rFonts w:ascii="Arial" w:hAnsi="Arial" w:cs="Arial"/>
              </w:rPr>
              <w:t>broj</w:t>
            </w:r>
          </w:p>
        </w:tc>
        <w:tc>
          <w:tcPr>
            <w:tcW w:w="1114" w:type="dxa"/>
          </w:tcPr>
          <w:p w:rsidR="00D849AA" w:rsidRPr="00A202BD" w:rsidRDefault="00EE6D95">
            <w:pPr>
              <w:rPr>
                <w:rFonts w:ascii="Arial" w:hAnsi="Arial" w:cs="Arial"/>
              </w:rPr>
            </w:pPr>
            <w:r w:rsidRPr="00A202BD">
              <w:rPr>
                <w:rFonts w:ascii="Arial" w:hAnsi="Arial" w:cs="Arial"/>
              </w:rPr>
              <w:t>10</w:t>
            </w:r>
          </w:p>
        </w:tc>
        <w:tc>
          <w:tcPr>
            <w:tcW w:w="1486" w:type="dxa"/>
          </w:tcPr>
          <w:p w:rsidR="00D849AA" w:rsidRPr="00A202BD" w:rsidRDefault="00EE6D95">
            <w:pPr>
              <w:rPr>
                <w:rFonts w:ascii="Arial" w:hAnsi="Arial" w:cs="Arial"/>
              </w:rPr>
            </w:pPr>
            <w:r w:rsidRPr="00A202BD">
              <w:rPr>
                <w:rFonts w:ascii="Arial" w:hAnsi="Arial" w:cs="Arial"/>
              </w:rPr>
              <w:t>11</w:t>
            </w:r>
          </w:p>
        </w:tc>
        <w:tc>
          <w:tcPr>
            <w:tcW w:w="1486" w:type="dxa"/>
          </w:tcPr>
          <w:p w:rsidR="00D849AA" w:rsidRPr="00A202BD" w:rsidRDefault="00EE6D95">
            <w:pPr>
              <w:rPr>
                <w:rFonts w:ascii="Arial" w:hAnsi="Arial" w:cs="Arial"/>
              </w:rPr>
            </w:pPr>
            <w:r w:rsidRPr="00A202BD">
              <w:rPr>
                <w:rFonts w:ascii="Arial" w:hAnsi="Arial" w:cs="Arial"/>
              </w:rPr>
              <w:t>12</w:t>
            </w:r>
          </w:p>
        </w:tc>
        <w:tc>
          <w:tcPr>
            <w:tcW w:w="1486" w:type="dxa"/>
          </w:tcPr>
          <w:p w:rsidR="00D849AA" w:rsidRPr="00A202BD" w:rsidRDefault="00EE6D95">
            <w:pPr>
              <w:rPr>
                <w:rFonts w:ascii="Arial" w:hAnsi="Arial" w:cs="Arial"/>
              </w:rPr>
            </w:pPr>
            <w:r w:rsidRPr="00A202BD">
              <w:rPr>
                <w:rFonts w:ascii="Arial" w:hAnsi="Arial" w:cs="Arial"/>
              </w:rPr>
              <w:t>14</w:t>
            </w:r>
          </w:p>
        </w:tc>
      </w:tr>
      <w:tr w:rsidR="00D849AA" w:rsidRPr="00A202BD">
        <w:trPr>
          <w:jc w:val="center"/>
        </w:trPr>
        <w:tc>
          <w:tcPr>
            <w:tcW w:w="2229" w:type="dxa"/>
          </w:tcPr>
          <w:p w:rsidR="00D849AA" w:rsidRPr="00A202BD" w:rsidRDefault="00EE6D95">
            <w:pPr>
              <w:pStyle w:val="CellColumn"/>
            </w:pPr>
            <w:r w:rsidRPr="00A202BD">
              <w:t>Smanjenje minski sumnjive površine prioritetne skupine</w:t>
            </w:r>
          </w:p>
        </w:tc>
        <w:tc>
          <w:tcPr>
            <w:tcW w:w="1114" w:type="dxa"/>
          </w:tcPr>
          <w:p w:rsidR="00D849AA" w:rsidRPr="00A202BD" w:rsidRDefault="00EE6D95">
            <w:pPr>
              <w:rPr>
                <w:rFonts w:ascii="Arial" w:hAnsi="Arial" w:cs="Arial"/>
              </w:rPr>
            </w:pPr>
            <w:r w:rsidRPr="00A202BD">
              <w:rPr>
                <w:rFonts w:ascii="Arial" w:hAnsi="Arial" w:cs="Arial"/>
              </w:rPr>
              <w:t>km2</w:t>
            </w:r>
          </w:p>
        </w:tc>
        <w:tc>
          <w:tcPr>
            <w:tcW w:w="1114" w:type="dxa"/>
          </w:tcPr>
          <w:p w:rsidR="00D849AA" w:rsidRPr="00A202BD" w:rsidRDefault="00EE6D95">
            <w:pPr>
              <w:rPr>
                <w:rFonts w:ascii="Arial" w:hAnsi="Arial" w:cs="Arial"/>
              </w:rPr>
            </w:pPr>
            <w:r w:rsidRPr="00A202BD">
              <w:rPr>
                <w:rFonts w:ascii="Arial" w:hAnsi="Arial" w:cs="Arial"/>
              </w:rPr>
              <w:t>72,8</w:t>
            </w:r>
          </w:p>
        </w:tc>
        <w:tc>
          <w:tcPr>
            <w:tcW w:w="1486" w:type="dxa"/>
          </w:tcPr>
          <w:p w:rsidR="00D849AA" w:rsidRPr="00A202BD" w:rsidRDefault="00EE6D95">
            <w:pPr>
              <w:rPr>
                <w:rFonts w:ascii="Arial" w:hAnsi="Arial" w:cs="Arial"/>
              </w:rPr>
            </w:pPr>
            <w:r w:rsidRPr="00A202BD">
              <w:rPr>
                <w:rFonts w:ascii="Arial" w:hAnsi="Arial" w:cs="Arial"/>
              </w:rPr>
              <w:t>48,5</w:t>
            </w:r>
          </w:p>
        </w:tc>
        <w:tc>
          <w:tcPr>
            <w:tcW w:w="1486" w:type="dxa"/>
          </w:tcPr>
          <w:p w:rsidR="00D849AA" w:rsidRPr="00A202BD" w:rsidRDefault="00EE6D95">
            <w:pPr>
              <w:rPr>
                <w:rFonts w:ascii="Arial" w:hAnsi="Arial" w:cs="Arial"/>
              </w:rPr>
            </w:pPr>
            <w:r w:rsidRPr="00A202BD">
              <w:rPr>
                <w:rFonts w:ascii="Arial" w:hAnsi="Arial" w:cs="Arial"/>
              </w:rPr>
              <w:t>24,2</w:t>
            </w:r>
          </w:p>
        </w:tc>
        <w:tc>
          <w:tcPr>
            <w:tcW w:w="1486" w:type="dxa"/>
          </w:tcPr>
          <w:p w:rsidR="00D849AA" w:rsidRPr="00A202BD" w:rsidRDefault="00EE6D95">
            <w:pPr>
              <w:rPr>
                <w:rFonts w:ascii="Arial" w:hAnsi="Arial" w:cs="Arial"/>
              </w:rPr>
            </w:pPr>
            <w:r w:rsidRPr="00A202BD">
              <w:rPr>
                <w:rFonts w:ascii="Arial" w:hAnsi="Arial" w:cs="Arial"/>
              </w:rPr>
              <w:t>0</w:t>
            </w:r>
          </w:p>
        </w:tc>
      </w:tr>
      <w:tr w:rsidR="00D849AA" w:rsidRPr="00A202BD">
        <w:trPr>
          <w:jc w:val="center"/>
        </w:trPr>
        <w:tc>
          <w:tcPr>
            <w:tcW w:w="2229" w:type="dxa"/>
          </w:tcPr>
          <w:p w:rsidR="00D849AA" w:rsidRPr="00A202BD" w:rsidRDefault="00EE6D95">
            <w:pPr>
              <w:pStyle w:val="CellColumn"/>
            </w:pPr>
            <w:r w:rsidRPr="00A202BD">
              <w:t xml:space="preserve">Smanjenje minski </w:t>
            </w:r>
            <w:r w:rsidRPr="00A202BD">
              <w:lastRenderedPageBreak/>
              <w:t>sumnjive površine priritetne skupine-zaštićena područja.</w:t>
            </w:r>
          </w:p>
        </w:tc>
        <w:tc>
          <w:tcPr>
            <w:tcW w:w="1114" w:type="dxa"/>
          </w:tcPr>
          <w:p w:rsidR="00D849AA" w:rsidRPr="00A202BD" w:rsidRDefault="00EE6D95">
            <w:pPr>
              <w:rPr>
                <w:rFonts w:ascii="Arial" w:hAnsi="Arial" w:cs="Arial"/>
              </w:rPr>
            </w:pPr>
            <w:r w:rsidRPr="00A202BD">
              <w:rPr>
                <w:rFonts w:ascii="Arial" w:hAnsi="Arial" w:cs="Arial"/>
              </w:rPr>
              <w:lastRenderedPageBreak/>
              <w:t>km2</w:t>
            </w:r>
          </w:p>
        </w:tc>
        <w:tc>
          <w:tcPr>
            <w:tcW w:w="1114" w:type="dxa"/>
          </w:tcPr>
          <w:p w:rsidR="00D849AA" w:rsidRPr="00A202BD" w:rsidRDefault="00EE6D95">
            <w:pPr>
              <w:rPr>
                <w:rFonts w:ascii="Arial" w:hAnsi="Arial" w:cs="Arial"/>
              </w:rPr>
            </w:pPr>
            <w:r w:rsidRPr="00A202BD">
              <w:rPr>
                <w:rFonts w:ascii="Arial" w:hAnsi="Arial" w:cs="Arial"/>
              </w:rPr>
              <w:t>0</w:t>
            </w:r>
          </w:p>
        </w:tc>
        <w:tc>
          <w:tcPr>
            <w:tcW w:w="1486" w:type="dxa"/>
          </w:tcPr>
          <w:p w:rsidR="00D849AA" w:rsidRPr="00A202BD" w:rsidRDefault="00EE6D95">
            <w:pPr>
              <w:rPr>
                <w:rFonts w:ascii="Arial" w:hAnsi="Arial" w:cs="Arial"/>
              </w:rPr>
            </w:pPr>
            <w:r w:rsidRPr="00A202BD">
              <w:rPr>
                <w:rFonts w:ascii="Arial" w:hAnsi="Arial" w:cs="Arial"/>
              </w:rPr>
              <w:t>1,5</w:t>
            </w:r>
          </w:p>
        </w:tc>
        <w:tc>
          <w:tcPr>
            <w:tcW w:w="1486" w:type="dxa"/>
          </w:tcPr>
          <w:p w:rsidR="00D849AA" w:rsidRPr="00A202BD" w:rsidRDefault="00EE6D95">
            <w:pPr>
              <w:rPr>
                <w:rFonts w:ascii="Arial" w:hAnsi="Arial" w:cs="Arial"/>
              </w:rPr>
            </w:pPr>
            <w:r w:rsidRPr="00A202BD">
              <w:rPr>
                <w:rFonts w:ascii="Arial" w:hAnsi="Arial" w:cs="Arial"/>
              </w:rPr>
              <w:t>3,0</w:t>
            </w:r>
          </w:p>
        </w:tc>
        <w:tc>
          <w:tcPr>
            <w:tcW w:w="1486" w:type="dxa"/>
          </w:tcPr>
          <w:p w:rsidR="00D849AA" w:rsidRPr="00A202BD" w:rsidRDefault="00EE6D95">
            <w:pPr>
              <w:rPr>
                <w:rFonts w:ascii="Arial" w:hAnsi="Arial" w:cs="Arial"/>
              </w:rPr>
            </w:pPr>
            <w:r w:rsidRPr="00A202BD">
              <w:rPr>
                <w:rFonts w:ascii="Arial" w:hAnsi="Arial" w:cs="Arial"/>
              </w:rPr>
              <w:t>4,5</w:t>
            </w:r>
          </w:p>
        </w:tc>
      </w:tr>
    </w:tbl>
    <w:p w:rsidR="00D849AA" w:rsidRDefault="00D849AA">
      <w:pPr>
        <w:jc w:val="left"/>
      </w:pPr>
    </w:p>
    <w:p w:rsidR="00D849AA" w:rsidRDefault="00EE6D95">
      <w:pPr>
        <w:pStyle w:val="Naslov6"/>
      </w:pPr>
      <w:r>
        <w:t>A672025 POTPORA RADU CENTRA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rsidRPr="00A202BD">
        <w:trPr>
          <w:jc w:val="center"/>
        </w:trPr>
        <w:tc>
          <w:tcPr>
            <w:tcW w:w="1486" w:type="dxa"/>
            <w:shd w:val="clear" w:color="auto" w:fill="B5C0D8"/>
          </w:tcPr>
          <w:p w:rsidR="00D849AA" w:rsidRPr="00A202BD" w:rsidRDefault="00EE6D95">
            <w:pPr>
              <w:pStyle w:val="CellHeader"/>
            </w:pPr>
            <w:r w:rsidRPr="00A202BD">
              <w:t>Naziv aktivnosti</w:t>
            </w:r>
          </w:p>
        </w:tc>
        <w:tc>
          <w:tcPr>
            <w:tcW w:w="1486" w:type="dxa"/>
            <w:shd w:val="clear" w:color="auto" w:fill="B5C0D8"/>
          </w:tcPr>
          <w:p w:rsidR="00D849AA" w:rsidRPr="00A202BD" w:rsidRDefault="00EE6D95">
            <w:pPr>
              <w:pStyle w:val="CellHeader"/>
            </w:pPr>
            <w:r w:rsidRPr="00A202BD">
              <w:t>Plan 2013.</w:t>
            </w:r>
          </w:p>
        </w:tc>
        <w:tc>
          <w:tcPr>
            <w:tcW w:w="1486" w:type="dxa"/>
            <w:shd w:val="clear" w:color="auto" w:fill="B5C0D8"/>
          </w:tcPr>
          <w:p w:rsidR="00D849AA" w:rsidRPr="00A202BD" w:rsidRDefault="00EE6D95">
            <w:pPr>
              <w:pStyle w:val="CellHeader"/>
            </w:pPr>
            <w:r w:rsidRPr="00A202BD">
              <w:t>Plan 2014.</w:t>
            </w:r>
          </w:p>
        </w:tc>
        <w:tc>
          <w:tcPr>
            <w:tcW w:w="1486" w:type="dxa"/>
            <w:shd w:val="clear" w:color="auto" w:fill="B5C0D8"/>
          </w:tcPr>
          <w:p w:rsidR="00D849AA" w:rsidRPr="00A202BD" w:rsidRDefault="00EE6D95">
            <w:pPr>
              <w:pStyle w:val="CellHeader"/>
            </w:pPr>
            <w:r w:rsidRPr="00A202BD">
              <w:t>Plan 2015.</w:t>
            </w:r>
          </w:p>
        </w:tc>
        <w:tc>
          <w:tcPr>
            <w:tcW w:w="1486" w:type="dxa"/>
            <w:shd w:val="clear" w:color="auto" w:fill="B5C0D8"/>
          </w:tcPr>
          <w:p w:rsidR="00D849AA" w:rsidRPr="00A202BD" w:rsidRDefault="00EE6D95">
            <w:pPr>
              <w:pStyle w:val="CellHeader"/>
            </w:pPr>
            <w:r w:rsidRPr="00A202BD">
              <w:t>Plan 2016.</w:t>
            </w:r>
          </w:p>
        </w:tc>
        <w:tc>
          <w:tcPr>
            <w:tcW w:w="1486" w:type="dxa"/>
            <w:shd w:val="clear" w:color="auto" w:fill="B5C0D8"/>
          </w:tcPr>
          <w:p w:rsidR="00D849AA" w:rsidRPr="00A202BD" w:rsidRDefault="00EE6D95">
            <w:pPr>
              <w:pStyle w:val="CellHeader"/>
            </w:pPr>
            <w:r w:rsidRPr="00A202BD">
              <w:t>Indeks 2014/2013</w:t>
            </w:r>
          </w:p>
        </w:tc>
      </w:tr>
      <w:tr w:rsidR="00D849AA" w:rsidRPr="00A202BD">
        <w:trPr>
          <w:jc w:val="center"/>
        </w:trPr>
        <w:tc>
          <w:tcPr>
            <w:tcW w:w="1486" w:type="dxa"/>
          </w:tcPr>
          <w:p w:rsidR="00D849AA" w:rsidRPr="00A202BD" w:rsidRDefault="00EE6D95">
            <w:pPr>
              <w:pStyle w:val="CellColumn"/>
            </w:pPr>
            <w:r w:rsidRPr="00A202BD">
              <w:t>A672025</w:t>
            </w:r>
          </w:p>
        </w:tc>
        <w:tc>
          <w:tcPr>
            <w:tcW w:w="1486" w:type="dxa"/>
          </w:tcPr>
          <w:p w:rsidR="00D849AA" w:rsidRPr="00A202BD" w:rsidRDefault="00EE6D95">
            <w:pPr>
              <w:rPr>
                <w:rFonts w:ascii="Arial" w:hAnsi="Arial" w:cs="Arial"/>
              </w:rPr>
            </w:pPr>
            <w:r w:rsidRPr="00A202BD">
              <w:rPr>
                <w:rFonts w:ascii="Arial" w:hAnsi="Arial" w:cs="Arial"/>
              </w:rPr>
              <w:t>305.000</w:t>
            </w:r>
          </w:p>
        </w:tc>
        <w:tc>
          <w:tcPr>
            <w:tcW w:w="1486" w:type="dxa"/>
          </w:tcPr>
          <w:p w:rsidR="00D849AA" w:rsidRPr="00A202BD" w:rsidRDefault="00EE6D95">
            <w:pPr>
              <w:rPr>
                <w:rFonts w:ascii="Arial" w:hAnsi="Arial" w:cs="Arial"/>
              </w:rPr>
            </w:pPr>
            <w:r w:rsidRPr="00A202BD">
              <w:rPr>
                <w:rFonts w:ascii="Arial" w:hAnsi="Arial" w:cs="Arial"/>
              </w:rPr>
              <w:t>50.000</w:t>
            </w:r>
          </w:p>
        </w:tc>
        <w:tc>
          <w:tcPr>
            <w:tcW w:w="1486" w:type="dxa"/>
          </w:tcPr>
          <w:p w:rsidR="00D849AA" w:rsidRPr="00A202BD" w:rsidRDefault="00EE6D95">
            <w:pPr>
              <w:rPr>
                <w:rFonts w:ascii="Arial" w:hAnsi="Arial" w:cs="Arial"/>
              </w:rPr>
            </w:pPr>
            <w:r w:rsidRPr="00A202BD">
              <w:rPr>
                <w:rFonts w:ascii="Arial" w:hAnsi="Arial" w:cs="Arial"/>
              </w:rPr>
              <w:t>50.000</w:t>
            </w:r>
          </w:p>
        </w:tc>
        <w:tc>
          <w:tcPr>
            <w:tcW w:w="1486" w:type="dxa"/>
          </w:tcPr>
          <w:p w:rsidR="00D849AA" w:rsidRPr="00A202BD" w:rsidRDefault="00EE6D95">
            <w:pPr>
              <w:rPr>
                <w:rFonts w:ascii="Arial" w:hAnsi="Arial" w:cs="Arial"/>
              </w:rPr>
            </w:pPr>
            <w:r w:rsidRPr="00A202BD">
              <w:rPr>
                <w:rFonts w:ascii="Arial" w:hAnsi="Arial" w:cs="Arial"/>
              </w:rPr>
              <w:t>50.000</w:t>
            </w:r>
          </w:p>
        </w:tc>
        <w:tc>
          <w:tcPr>
            <w:tcW w:w="1486" w:type="dxa"/>
          </w:tcPr>
          <w:p w:rsidR="00D849AA" w:rsidRPr="00A202BD" w:rsidRDefault="00EE6D95">
            <w:pPr>
              <w:rPr>
                <w:rFonts w:ascii="Arial" w:hAnsi="Arial" w:cs="Arial"/>
              </w:rPr>
            </w:pPr>
            <w:r w:rsidRPr="00A202BD">
              <w:rPr>
                <w:rFonts w:ascii="Arial" w:hAnsi="Arial" w:cs="Arial"/>
              </w:rPr>
              <w:t>16,4</w:t>
            </w:r>
          </w:p>
        </w:tc>
      </w:tr>
    </w:tbl>
    <w:p w:rsidR="00D849AA" w:rsidRPr="00A202BD" w:rsidRDefault="00D849AA">
      <w:pPr>
        <w:jc w:val="left"/>
        <w:rPr>
          <w:rFonts w:ascii="Arial" w:hAnsi="Arial" w:cs="Arial"/>
        </w:rPr>
      </w:pPr>
    </w:p>
    <w:p w:rsidR="00D849AA" w:rsidRDefault="00EE6D95">
      <w:pPr>
        <w:pStyle w:val="Normal6"/>
      </w:pPr>
      <w:r>
        <w:t xml:space="preserve">Pomoć centru za testiranje, razvoj i obuku radi razvoja i testiranja strojeva i uređaja koji se upotrebljavaju u humanitarnom razminiranju, obuka i testiranje pasa za otkrivanje minsko-eksplozivnih sredstava. </w:t>
      </w:r>
    </w:p>
    <w:p w:rsidR="00D849AA" w:rsidRDefault="00EE6D95">
      <w:pPr>
        <w:pStyle w:val="Normal6"/>
      </w:pPr>
      <w:r>
        <w:t xml:space="preserve">Testirati svu opremu, strojeve i uređaje koji se upotrebljavaju u humanitarnom razminiranju u Hrvatskoj, te pomoć u školovanju djelatnika HCR-a. Razvijati i testirati nove tehnologije u razminiranju. </w:t>
      </w:r>
    </w:p>
    <w:p w:rsidR="00D849AA" w:rsidRDefault="00EE6D95">
      <w:pPr>
        <w:pStyle w:val="Normal6"/>
      </w:pPr>
      <w:r>
        <w:t>Omogućiti da samo testirana tehnologija upotrebljava u Republici Hrvatskoj kako bi se ostvarila maksimalna sigurnost ljudi koji rade na razminiranju i onih koji će koristiti razminiranu zemlju.</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rsidRPr="00A202BD">
        <w:trPr>
          <w:jc w:val="center"/>
        </w:trPr>
        <w:tc>
          <w:tcPr>
            <w:tcW w:w="2229" w:type="dxa"/>
            <w:shd w:val="clear" w:color="auto" w:fill="B5C0D8"/>
          </w:tcPr>
          <w:p w:rsidR="00D849AA" w:rsidRPr="00A202BD" w:rsidRDefault="00EE6D95">
            <w:pPr>
              <w:rPr>
                <w:rFonts w:ascii="Arial" w:hAnsi="Arial" w:cs="Arial"/>
              </w:rPr>
            </w:pPr>
            <w:r w:rsidRPr="00A202BD">
              <w:rPr>
                <w:rFonts w:ascii="Arial" w:hAnsi="Arial" w:cs="Arial"/>
              </w:rPr>
              <w:t>Pokazatelj rezultata</w:t>
            </w:r>
          </w:p>
        </w:tc>
        <w:tc>
          <w:tcPr>
            <w:tcW w:w="1114" w:type="dxa"/>
            <w:shd w:val="clear" w:color="auto" w:fill="B5C0D8"/>
          </w:tcPr>
          <w:p w:rsidR="00D849AA" w:rsidRPr="00A202BD" w:rsidRDefault="00EE6D95">
            <w:pPr>
              <w:pStyle w:val="CellHeader"/>
            </w:pPr>
            <w:r w:rsidRPr="00A202BD">
              <w:t>Jedinica</w:t>
            </w:r>
          </w:p>
        </w:tc>
        <w:tc>
          <w:tcPr>
            <w:tcW w:w="1114" w:type="dxa"/>
            <w:shd w:val="clear" w:color="auto" w:fill="B5C0D8"/>
          </w:tcPr>
          <w:p w:rsidR="00D849AA" w:rsidRPr="00A202BD" w:rsidRDefault="00EE6D95">
            <w:pPr>
              <w:pStyle w:val="CellHeader"/>
            </w:pPr>
            <w:r w:rsidRPr="00A202BD">
              <w:t>Polazna vrijednost</w:t>
            </w:r>
          </w:p>
        </w:tc>
        <w:tc>
          <w:tcPr>
            <w:tcW w:w="1486" w:type="dxa"/>
            <w:shd w:val="clear" w:color="auto" w:fill="B5C0D8"/>
          </w:tcPr>
          <w:p w:rsidR="00D849AA" w:rsidRPr="00A202BD" w:rsidRDefault="00EE6D95">
            <w:pPr>
              <w:pStyle w:val="CellHeader"/>
            </w:pPr>
            <w:r w:rsidRPr="00A202BD">
              <w:t>Ciljana vrijednost (2014.)</w:t>
            </w:r>
          </w:p>
        </w:tc>
        <w:tc>
          <w:tcPr>
            <w:tcW w:w="1486" w:type="dxa"/>
            <w:shd w:val="clear" w:color="auto" w:fill="B5C0D8"/>
          </w:tcPr>
          <w:p w:rsidR="00D849AA" w:rsidRPr="00A202BD" w:rsidRDefault="00EE6D95">
            <w:pPr>
              <w:pStyle w:val="CellHeader"/>
            </w:pPr>
            <w:r w:rsidRPr="00A202BD">
              <w:t>Ciljana vrijednost (2015.)</w:t>
            </w:r>
          </w:p>
        </w:tc>
        <w:tc>
          <w:tcPr>
            <w:tcW w:w="1486" w:type="dxa"/>
            <w:shd w:val="clear" w:color="auto" w:fill="B5C0D8"/>
          </w:tcPr>
          <w:p w:rsidR="00D849AA" w:rsidRPr="00A202BD" w:rsidRDefault="00EE6D95">
            <w:pPr>
              <w:pStyle w:val="CellHeader"/>
            </w:pPr>
            <w:r w:rsidRPr="00A202BD">
              <w:t>Ciljana vrijednost (2016.)</w:t>
            </w:r>
          </w:p>
        </w:tc>
      </w:tr>
      <w:tr w:rsidR="00D849AA" w:rsidRPr="00A202BD">
        <w:trPr>
          <w:jc w:val="center"/>
        </w:trPr>
        <w:tc>
          <w:tcPr>
            <w:tcW w:w="2229" w:type="dxa"/>
          </w:tcPr>
          <w:p w:rsidR="00D849AA" w:rsidRPr="00A202BD" w:rsidRDefault="00EE6D95" w:rsidP="006759BE">
            <w:pPr>
              <w:pStyle w:val="CellColumn"/>
              <w:jc w:val="left"/>
            </w:pPr>
            <w:r w:rsidRPr="00A202BD">
              <w:t>Broj</w:t>
            </w:r>
            <w:r w:rsidR="006759BE" w:rsidRPr="00A202BD">
              <w:t xml:space="preserve"> </w:t>
            </w:r>
            <w:r w:rsidRPr="00A202BD">
              <w:t>potpisanih sporazuma o suradnji na području protuminskog djelovanja</w:t>
            </w:r>
          </w:p>
        </w:tc>
        <w:tc>
          <w:tcPr>
            <w:tcW w:w="1114" w:type="dxa"/>
          </w:tcPr>
          <w:p w:rsidR="00D849AA" w:rsidRPr="00A202BD" w:rsidRDefault="00EE6D95">
            <w:pPr>
              <w:rPr>
                <w:rFonts w:ascii="Arial" w:hAnsi="Arial" w:cs="Arial"/>
              </w:rPr>
            </w:pPr>
            <w:r w:rsidRPr="00A202BD">
              <w:rPr>
                <w:rFonts w:ascii="Arial" w:hAnsi="Arial" w:cs="Arial"/>
              </w:rPr>
              <w:t>broj</w:t>
            </w:r>
          </w:p>
        </w:tc>
        <w:tc>
          <w:tcPr>
            <w:tcW w:w="1114" w:type="dxa"/>
          </w:tcPr>
          <w:p w:rsidR="00D849AA" w:rsidRPr="00A202BD" w:rsidRDefault="00EE6D95">
            <w:pPr>
              <w:rPr>
                <w:rFonts w:ascii="Arial" w:hAnsi="Arial" w:cs="Arial"/>
              </w:rPr>
            </w:pPr>
            <w:r w:rsidRPr="00A202BD">
              <w:rPr>
                <w:rFonts w:ascii="Arial" w:hAnsi="Arial" w:cs="Arial"/>
              </w:rPr>
              <w:t>6</w:t>
            </w:r>
          </w:p>
        </w:tc>
        <w:tc>
          <w:tcPr>
            <w:tcW w:w="1486" w:type="dxa"/>
          </w:tcPr>
          <w:p w:rsidR="00D849AA" w:rsidRPr="00A202BD" w:rsidRDefault="00EE6D95">
            <w:pPr>
              <w:rPr>
                <w:rFonts w:ascii="Arial" w:hAnsi="Arial" w:cs="Arial"/>
              </w:rPr>
            </w:pPr>
            <w:r w:rsidRPr="00A202BD">
              <w:rPr>
                <w:rFonts w:ascii="Arial" w:hAnsi="Arial" w:cs="Arial"/>
              </w:rPr>
              <w:t>7</w:t>
            </w:r>
          </w:p>
        </w:tc>
        <w:tc>
          <w:tcPr>
            <w:tcW w:w="1486" w:type="dxa"/>
          </w:tcPr>
          <w:p w:rsidR="00D849AA" w:rsidRPr="00A202BD" w:rsidRDefault="00EE6D95">
            <w:pPr>
              <w:rPr>
                <w:rFonts w:ascii="Arial" w:hAnsi="Arial" w:cs="Arial"/>
              </w:rPr>
            </w:pPr>
            <w:r w:rsidRPr="00A202BD">
              <w:rPr>
                <w:rFonts w:ascii="Arial" w:hAnsi="Arial" w:cs="Arial"/>
              </w:rPr>
              <w:t>8</w:t>
            </w:r>
          </w:p>
        </w:tc>
        <w:tc>
          <w:tcPr>
            <w:tcW w:w="1486" w:type="dxa"/>
          </w:tcPr>
          <w:p w:rsidR="00D849AA" w:rsidRPr="00A202BD" w:rsidRDefault="00EE6D95">
            <w:pPr>
              <w:rPr>
                <w:rFonts w:ascii="Arial" w:hAnsi="Arial" w:cs="Arial"/>
              </w:rPr>
            </w:pPr>
            <w:r w:rsidRPr="00A202BD">
              <w:rPr>
                <w:rFonts w:ascii="Arial" w:hAnsi="Arial" w:cs="Arial"/>
              </w:rPr>
              <w:t>9</w:t>
            </w:r>
          </w:p>
        </w:tc>
      </w:tr>
    </w:tbl>
    <w:p w:rsidR="00D849AA" w:rsidRPr="00A202BD" w:rsidRDefault="00D849AA">
      <w:pPr>
        <w:jc w:val="left"/>
        <w:rPr>
          <w:rFonts w:ascii="Arial" w:hAnsi="Arial" w:cs="Arial"/>
        </w:rPr>
      </w:pPr>
    </w:p>
    <w:p w:rsidR="00D849AA" w:rsidRDefault="00EE6D95">
      <w:pPr>
        <w:pStyle w:val="Naslov6"/>
      </w:pPr>
      <w:r>
        <w:t>A672032 ADMINISTRACIJA I UPRAVLJANJE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A202BD" w:rsidRDefault="00EE6D95">
            <w:pPr>
              <w:pStyle w:val="CellHeader"/>
            </w:pPr>
            <w:r w:rsidRPr="00A202BD">
              <w:t>Naziv aktivnosti</w:t>
            </w:r>
          </w:p>
        </w:tc>
        <w:tc>
          <w:tcPr>
            <w:tcW w:w="1486" w:type="dxa"/>
            <w:shd w:val="clear" w:color="auto" w:fill="B5C0D8"/>
          </w:tcPr>
          <w:p w:rsidR="00D849AA" w:rsidRPr="00A202BD" w:rsidRDefault="00EE6D95">
            <w:pPr>
              <w:pStyle w:val="CellHeader"/>
            </w:pPr>
            <w:r w:rsidRPr="00A202BD">
              <w:t>Plan 2013.</w:t>
            </w:r>
          </w:p>
        </w:tc>
        <w:tc>
          <w:tcPr>
            <w:tcW w:w="1486" w:type="dxa"/>
            <w:shd w:val="clear" w:color="auto" w:fill="B5C0D8"/>
          </w:tcPr>
          <w:p w:rsidR="00D849AA" w:rsidRPr="00A202BD" w:rsidRDefault="00EE6D95">
            <w:pPr>
              <w:pStyle w:val="CellHeader"/>
            </w:pPr>
            <w:r w:rsidRPr="00A202BD">
              <w:t>Plan 2014.</w:t>
            </w:r>
          </w:p>
        </w:tc>
        <w:tc>
          <w:tcPr>
            <w:tcW w:w="1486" w:type="dxa"/>
            <w:shd w:val="clear" w:color="auto" w:fill="B5C0D8"/>
          </w:tcPr>
          <w:p w:rsidR="00D849AA" w:rsidRPr="00A202BD" w:rsidRDefault="00EE6D95">
            <w:pPr>
              <w:pStyle w:val="CellHeader"/>
            </w:pPr>
            <w:r w:rsidRPr="00A202BD">
              <w:t>Plan 2015.</w:t>
            </w:r>
          </w:p>
        </w:tc>
        <w:tc>
          <w:tcPr>
            <w:tcW w:w="1486" w:type="dxa"/>
            <w:shd w:val="clear" w:color="auto" w:fill="B5C0D8"/>
          </w:tcPr>
          <w:p w:rsidR="00D849AA" w:rsidRPr="00A202BD" w:rsidRDefault="00EE6D95">
            <w:pPr>
              <w:pStyle w:val="CellHeader"/>
            </w:pPr>
            <w:r w:rsidRPr="00A202BD">
              <w:t>Plan 2016.</w:t>
            </w:r>
          </w:p>
        </w:tc>
        <w:tc>
          <w:tcPr>
            <w:tcW w:w="1486" w:type="dxa"/>
            <w:shd w:val="clear" w:color="auto" w:fill="B5C0D8"/>
          </w:tcPr>
          <w:p w:rsidR="00D849AA" w:rsidRPr="00A202BD" w:rsidRDefault="00EE6D95">
            <w:pPr>
              <w:pStyle w:val="CellHeader"/>
            </w:pPr>
            <w:r w:rsidRPr="00A202BD">
              <w:t>Indeks 2014/2013</w:t>
            </w:r>
          </w:p>
        </w:tc>
      </w:tr>
      <w:tr w:rsidR="00D849AA">
        <w:trPr>
          <w:jc w:val="center"/>
        </w:trPr>
        <w:tc>
          <w:tcPr>
            <w:tcW w:w="1486" w:type="dxa"/>
          </w:tcPr>
          <w:p w:rsidR="00D849AA" w:rsidRPr="00A202BD" w:rsidRDefault="00EE6D95">
            <w:pPr>
              <w:pStyle w:val="CellColumn"/>
            </w:pPr>
            <w:r w:rsidRPr="00A202BD">
              <w:t>A672032</w:t>
            </w:r>
          </w:p>
        </w:tc>
        <w:tc>
          <w:tcPr>
            <w:tcW w:w="1486" w:type="dxa"/>
          </w:tcPr>
          <w:p w:rsidR="00D849AA" w:rsidRPr="00A202BD" w:rsidRDefault="00EE6D95">
            <w:pPr>
              <w:rPr>
                <w:rFonts w:ascii="Arial" w:hAnsi="Arial" w:cs="Arial"/>
              </w:rPr>
            </w:pPr>
            <w:r w:rsidRPr="00A202BD">
              <w:rPr>
                <w:rFonts w:ascii="Arial" w:hAnsi="Arial" w:cs="Arial"/>
              </w:rPr>
              <w:t>39.199.000</w:t>
            </w:r>
          </w:p>
        </w:tc>
        <w:tc>
          <w:tcPr>
            <w:tcW w:w="1486" w:type="dxa"/>
          </w:tcPr>
          <w:p w:rsidR="00D849AA" w:rsidRPr="00A202BD" w:rsidRDefault="00EE6D95">
            <w:pPr>
              <w:rPr>
                <w:rFonts w:ascii="Arial" w:hAnsi="Arial" w:cs="Arial"/>
              </w:rPr>
            </w:pPr>
            <w:r w:rsidRPr="00A202BD">
              <w:rPr>
                <w:rFonts w:ascii="Arial" w:hAnsi="Arial" w:cs="Arial"/>
              </w:rPr>
              <w:t>39.237.000</w:t>
            </w:r>
          </w:p>
        </w:tc>
        <w:tc>
          <w:tcPr>
            <w:tcW w:w="1486" w:type="dxa"/>
          </w:tcPr>
          <w:p w:rsidR="00D849AA" w:rsidRPr="00A202BD" w:rsidRDefault="00EE6D95">
            <w:pPr>
              <w:rPr>
                <w:rFonts w:ascii="Arial" w:hAnsi="Arial" w:cs="Arial"/>
              </w:rPr>
            </w:pPr>
            <w:r w:rsidRPr="00A202BD">
              <w:rPr>
                <w:rFonts w:ascii="Arial" w:hAnsi="Arial" w:cs="Arial"/>
              </w:rPr>
              <w:t>39.428.000</w:t>
            </w:r>
          </w:p>
        </w:tc>
        <w:tc>
          <w:tcPr>
            <w:tcW w:w="1486" w:type="dxa"/>
          </w:tcPr>
          <w:p w:rsidR="00D849AA" w:rsidRPr="00A202BD" w:rsidRDefault="00EE6D95">
            <w:pPr>
              <w:rPr>
                <w:rFonts w:ascii="Arial" w:hAnsi="Arial" w:cs="Arial"/>
              </w:rPr>
            </w:pPr>
            <w:r w:rsidRPr="00A202BD">
              <w:rPr>
                <w:rFonts w:ascii="Arial" w:hAnsi="Arial" w:cs="Arial"/>
              </w:rPr>
              <w:t>39.527.000</w:t>
            </w:r>
          </w:p>
        </w:tc>
        <w:tc>
          <w:tcPr>
            <w:tcW w:w="1486" w:type="dxa"/>
          </w:tcPr>
          <w:p w:rsidR="00D849AA" w:rsidRPr="00A202BD" w:rsidRDefault="00EE6D95">
            <w:pPr>
              <w:rPr>
                <w:rFonts w:ascii="Arial" w:hAnsi="Arial" w:cs="Arial"/>
              </w:rPr>
            </w:pPr>
            <w:r w:rsidRPr="00A202BD">
              <w:rPr>
                <w:rFonts w:ascii="Arial" w:hAnsi="Arial" w:cs="Arial"/>
              </w:rPr>
              <w:t>100,1</w:t>
            </w:r>
          </w:p>
        </w:tc>
      </w:tr>
    </w:tbl>
    <w:p w:rsidR="00D849AA" w:rsidRDefault="00D849AA">
      <w:pPr>
        <w:jc w:val="left"/>
      </w:pPr>
    </w:p>
    <w:p w:rsidR="00D849AA" w:rsidRDefault="00EE6D95">
      <w:pPr>
        <w:pStyle w:val="Normal6"/>
      </w:pPr>
      <w:r>
        <w:t>Osiguranje realizacije ciljeva poslovanja kroz materijalna prava i upravljanje ljudskim i materijalnim resursima, te funkcijskih aktivnosti koje služe kao potpora osnovnim ciljevima.</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A202BD" w:rsidRDefault="00EE6D95">
            <w:pPr>
              <w:rPr>
                <w:rFonts w:ascii="Arial" w:hAnsi="Arial" w:cs="Arial"/>
              </w:rPr>
            </w:pPr>
            <w:r w:rsidRPr="00A202BD">
              <w:rPr>
                <w:rFonts w:ascii="Arial" w:hAnsi="Arial" w:cs="Arial"/>
              </w:rPr>
              <w:t>Pokazatelj rezultata</w:t>
            </w:r>
          </w:p>
        </w:tc>
        <w:tc>
          <w:tcPr>
            <w:tcW w:w="1114" w:type="dxa"/>
            <w:shd w:val="clear" w:color="auto" w:fill="B5C0D8"/>
          </w:tcPr>
          <w:p w:rsidR="00D849AA" w:rsidRPr="00A202BD" w:rsidRDefault="00EE6D95">
            <w:pPr>
              <w:pStyle w:val="CellHeader"/>
            </w:pPr>
            <w:r w:rsidRPr="00A202BD">
              <w:t>Jedinica</w:t>
            </w:r>
          </w:p>
        </w:tc>
        <w:tc>
          <w:tcPr>
            <w:tcW w:w="1114" w:type="dxa"/>
            <w:shd w:val="clear" w:color="auto" w:fill="B5C0D8"/>
          </w:tcPr>
          <w:p w:rsidR="00D849AA" w:rsidRPr="00A202BD" w:rsidRDefault="00EE6D95">
            <w:pPr>
              <w:pStyle w:val="CellHeader"/>
            </w:pPr>
            <w:r w:rsidRPr="00A202BD">
              <w:t>Polazna vrijednost</w:t>
            </w:r>
          </w:p>
        </w:tc>
        <w:tc>
          <w:tcPr>
            <w:tcW w:w="1486" w:type="dxa"/>
            <w:shd w:val="clear" w:color="auto" w:fill="B5C0D8"/>
          </w:tcPr>
          <w:p w:rsidR="00D849AA" w:rsidRPr="00A202BD" w:rsidRDefault="00EE6D95">
            <w:pPr>
              <w:pStyle w:val="CellHeader"/>
            </w:pPr>
            <w:r w:rsidRPr="00A202BD">
              <w:t>Ciljana vrijednost (2014.)</w:t>
            </w:r>
          </w:p>
        </w:tc>
        <w:tc>
          <w:tcPr>
            <w:tcW w:w="1486" w:type="dxa"/>
            <w:shd w:val="clear" w:color="auto" w:fill="B5C0D8"/>
          </w:tcPr>
          <w:p w:rsidR="00D849AA" w:rsidRPr="00A202BD" w:rsidRDefault="00EE6D95">
            <w:pPr>
              <w:pStyle w:val="CellHeader"/>
            </w:pPr>
            <w:r w:rsidRPr="00A202BD">
              <w:t>Ciljana vrijednost (2015.)</w:t>
            </w:r>
          </w:p>
        </w:tc>
        <w:tc>
          <w:tcPr>
            <w:tcW w:w="1486" w:type="dxa"/>
            <w:shd w:val="clear" w:color="auto" w:fill="B5C0D8"/>
          </w:tcPr>
          <w:p w:rsidR="00D849AA" w:rsidRPr="00A202BD" w:rsidRDefault="00EE6D95">
            <w:pPr>
              <w:pStyle w:val="CellHeader"/>
            </w:pPr>
            <w:r w:rsidRPr="00A202BD">
              <w:t>Ciljana vrijednost (2016.)</w:t>
            </w:r>
          </w:p>
        </w:tc>
      </w:tr>
      <w:tr w:rsidR="00D849AA">
        <w:trPr>
          <w:jc w:val="center"/>
        </w:trPr>
        <w:tc>
          <w:tcPr>
            <w:tcW w:w="2229" w:type="dxa"/>
          </w:tcPr>
          <w:p w:rsidR="00D849AA" w:rsidRPr="00A202BD" w:rsidRDefault="00EE6D95">
            <w:pPr>
              <w:pStyle w:val="CellColumn"/>
            </w:pPr>
            <w:r w:rsidRPr="00A202BD">
              <w:lastRenderedPageBreak/>
              <w:t>Veličina razminirane minski sumnjive površine</w:t>
            </w:r>
          </w:p>
        </w:tc>
        <w:tc>
          <w:tcPr>
            <w:tcW w:w="1114" w:type="dxa"/>
          </w:tcPr>
          <w:p w:rsidR="00D849AA" w:rsidRPr="00A202BD" w:rsidRDefault="00EE6D95">
            <w:pPr>
              <w:rPr>
                <w:rFonts w:ascii="Arial" w:hAnsi="Arial" w:cs="Arial"/>
              </w:rPr>
            </w:pPr>
            <w:r w:rsidRPr="00A202BD">
              <w:rPr>
                <w:rFonts w:ascii="Arial" w:hAnsi="Arial" w:cs="Arial"/>
              </w:rPr>
              <w:t>km2</w:t>
            </w:r>
          </w:p>
        </w:tc>
        <w:tc>
          <w:tcPr>
            <w:tcW w:w="1114" w:type="dxa"/>
          </w:tcPr>
          <w:p w:rsidR="00D849AA" w:rsidRPr="00A202BD" w:rsidRDefault="00EE6D95">
            <w:pPr>
              <w:rPr>
                <w:rFonts w:ascii="Arial" w:hAnsi="Arial" w:cs="Arial"/>
              </w:rPr>
            </w:pPr>
            <w:r w:rsidRPr="00A202BD">
              <w:rPr>
                <w:rFonts w:ascii="Arial" w:hAnsi="Arial" w:cs="Arial"/>
              </w:rPr>
              <w:t>0</w:t>
            </w:r>
          </w:p>
        </w:tc>
        <w:tc>
          <w:tcPr>
            <w:tcW w:w="1486" w:type="dxa"/>
          </w:tcPr>
          <w:p w:rsidR="00D849AA" w:rsidRPr="00A202BD" w:rsidRDefault="00EE6D95">
            <w:pPr>
              <w:rPr>
                <w:rFonts w:ascii="Arial" w:hAnsi="Arial" w:cs="Arial"/>
              </w:rPr>
            </w:pPr>
            <w:r w:rsidRPr="00A202BD">
              <w:rPr>
                <w:rFonts w:ascii="Arial" w:hAnsi="Arial" w:cs="Arial"/>
              </w:rPr>
              <w:t>72,2</w:t>
            </w:r>
          </w:p>
        </w:tc>
        <w:tc>
          <w:tcPr>
            <w:tcW w:w="1486" w:type="dxa"/>
          </w:tcPr>
          <w:p w:rsidR="00D849AA" w:rsidRPr="00A202BD" w:rsidRDefault="00EE6D95">
            <w:pPr>
              <w:rPr>
                <w:rFonts w:ascii="Arial" w:hAnsi="Arial" w:cs="Arial"/>
              </w:rPr>
            </w:pPr>
            <w:r w:rsidRPr="00A202BD">
              <w:rPr>
                <w:rFonts w:ascii="Arial" w:hAnsi="Arial" w:cs="Arial"/>
              </w:rPr>
              <w:t>123,0</w:t>
            </w:r>
          </w:p>
        </w:tc>
        <w:tc>
          <w:tcPr>
            <w:tcW w:w="1486" w:type="dxa"/>
          </w:tcPr>
          <w:p w:rsidR="00D849AA" w:rsidRPr="00A202BD" w:rsidRDefault="00EE6D95">
            <w:pPr>
              <w:rPr>
                <w:rFonts w:ascii="Arial" w:hAnsi="Arial" w:cs="Arial"/>
              </w:rPr>
            </w:pPr>
            <w:r w:rsidRPr="00A202BD">
              <w:rPr>
                <w:rFonts w:ascii="Arial" w:hAnsi="Arial" w:cs="Arial"/>
              </w:rPr>
              <w:t>168,7</w:t>
            </w:r>
          </w:p>
        </w:tc>
      </w:tr>
      <w:tr w:rsidR="00D849AA">
        <w:trPr>
          <w:jc w:val="center"/>
        </w:trPr>
        <w:tc>
          <w:tcPr>
            <w:tcW w:w="2229" w:type="dxa"/>
          </w:tcPr>
          <w:p w:rsidR="00D849AA" w:rsidRPr="00A202BD" w:rsidRDefault="00EE6D95">
            <w:pPr>
              <w:pStyle w:val="CellColumn"/>
            </w:pPr>
            <w:r w:rsidRPr="00A202BD">
              <w:t>Broj minimalno izvršenih kontrola tabli koje ukazuju na opasnost od mina i ograda koje priječe ulazak u minski sumnjivi prostor</w:t>
            </w:r>
          </w:p>
        </w:tc>
        <w:tc>
          <w:tcPr>
            <w:tcW w:w="1114" w:type="dxa"/>
          </w:tcPr>
          <w:p w:rsidR="00D849AA" w:rsidRPr="00A202BD" w:rsidRDefault="00EE6D95">
            <w:pPr>
              <w:rPr>
                <w:rFonts w:ascii="Arial" w:hAnsi="Arial" w:cs="Arial"/>
              </w:rPr>
            </w:pPr>
            <w:r w:rsidRPr="00A202BD">
              <w:rPr>
                <w:rFonts w:ascii="Arial" w:hAnsi="Arial" w:cs="Arial"/>
              </w:rPr>
              <w:t>broj</w:t>
            </w:r>
          </w:p>
        </w:tc>
        <w:tc>
          <w:tcPr>
            <w:tcW w:w="1114" w:type="dxa"/>
          </w:tcPr>
          <w:p w:rsidR="00D849AA" w:rsidRPr="00A202BD" w:rsidRDefault="00EE6D95">
            <w:pPr>
              <w:rPr>
                <w:rFonts w:ascii="Arial" w:hAnsi="Arial" w:cs="Arial"/>
              </w:rPr>
            </w:pPr>
            <w:r w:rsidRPr="00A202BD">
              <w:rPr>
                <w:rFonts w:ascii="Arial" w:hAnsi="Arial" w:cs="Arial"/>
              </w:rPr>
              <w:t>1</w:t>
            </w:r>
          </w:p>
        </w:tc>
        <w:tc>
          <w:tcPr>
            <w:tcW w:w="1486" w:type="dxa"/>
          </w:tcPr>
          <w:p w:rsidR="00D849AA" w:rsidRPr="00A202BD" w:rsidRDefault="00EE6D95">
            <w:pPr>
              <w:rPr>
                <w:rFonts w:ascii="Arial" w:hAnsi="Arial" w:cs="Arial"/>
              </w:rPr>
            </w:pPr>
            <w:r w:rsidRPr="00A202BD">
              <w:rPr>
                <w:rFonts w:ascii="Arial" w:hAnsi="Arial" w:cs="Arial"/>
              </w:rPr>
              <w:t>2</w:t>
            </w:r>
          </w:p>
        </w:tc>
        <w:tc>
          <w:tcPr>
            <w:tcW w:w="1486" w:type="dxa"/>
          </w:tcPr>
          <w:p w:rsidR="00D849AA" w:rsidRPr="00A202BD" w:rsidRDefault="00EE6D95">
            <w:pPr>
              <w:rPr>
                <w:rFonts w:ascii="Arial" w:hAnsi="Arial" w:cs="Arial"/>
              </w:rPr>
            </w:pPr>
            <w:r w:rsidRPr="00A202BD">
              <w:rPr>
                <w:rFonts w:ascii="Arial" w:hAnsi="Arial" w:cs="Arial"/>
              </w:rPr>
              <w:t>4</w:t>
            </w:r>
          </w:p>
        </w:tc>
        <w:tc>
          <w:tcPr>
            <w:tcW w:w="1486" w:type="dxa"/>
          </w:tcPr>
          <w:p w:rsidR="00D849AA" w:rsidRPr="00A202BD" w:rsidRDefault="00EE6D95">
            <w:pPr>
              <w:rPr>
                <w:rFonts w:ascii="Arial" w:hAnsi="Arial" w:cs="Arial"/>
              </w:rPr>
            </w:pPr>
            <w:r w:rsidRPr="00A202BD">
              <w:rPr>
                <w:rFonts w:ascii="Arial" w:hAnsi="Arial" w:cs="Arial"/>
              </w:rPr>
              <w:t>6</w:t>
            </w:r>
          </w:p>
        </w:tc>
      </w:tr>
      <w:tr w:rsidR="00D849AA">
        <w:trPr>
          <w:jc w:val="center"/>
        </w:trPr>
        <w:tc>
          <w:tcPr>
            <w:tcW w:w="2229" w:type="dxa"/>
          </w:tcPr>
          <w:p w:rsidR="00D849AA" w:rsidRPr="00A202BD" w:rsidRDefault="00EE6D95" w:rsidP="006759BE">
            <w:pPr>
              <w:pStyle w:val="CellColumn"/>
              <w:jc w:val="left"/>
            </w:pPr>
            <w:r w:rsidRPr="00A202BD">
              <w:t>Broj izvršenih koordinacijskih sastanaka i projekata koji imaju za cilj podizanje svijesti o opasnosti od mina</w:t>
            </w:r>
          </w:p>
        </w:tc>
        <w:tc>
          <w:tcPr>
            <w:tcW w:w="1114" w:type="dxa"/>
          </w:tcPr>
          <w:p w:rsidR="00D849AA" w:rsidRPr="00A202BD" w:rsidRDefault="00EE6D95">
            <w:pPr>
              <w:rPr>
                <w:rFonts w:ascii="Arial" w:hAnsi="Arial" w:cs="Arial"/>
              </w:rPr>
            </w:pPr>
            <w:r w:rsidRPr="00A202BD">
              <w:rPr>
                <w:rFonts w:ascii="Arial" w:hAnsi="Arial" w:cs="Arial"/>
              </w:rPr>
              <w:t>broj</w:t>
            </w:r>
          </w:p>
        </w:tc>
        <w:tc>
          <w:tcPr>
            <w:tcW w:w="1114" w:type="dxa"/>
          </w:tcPr>
          <w:p w:rsidR="00D849AA" w:rsidRPr="00A202BD" w:rsidRDefault="00EE6D95">
            <w:pPr>
              <w:rPr>
                <w:rFonts w:ascii="Arial" w:hAnsi="Arial" w:cs="Arial"/>
              </w:rPr>
            </w:pPr>
            <w:r w:rsidRPr="00A202BD">
              <w:rPr>
                <w:rFonts w:ascii="Arial" w:hAnsi="Arial" w:cs="Arial"/>
              </w:rPr>
              <w:t>6</w:t>
            </w:r>
          </w:p>
        </w:tc>
        <w:tc>
          <w:tcPr>
            <w:tcW w:w="1486" w:type="dxa"/>
          </w:tcPr>
          <w:p w:rsidR="00D849AA" w:rsidRPr="00A202BD" w:rsidRDefault="00EE6D95">
            <w:pPr>
              <w:rPr>
                <w:rFonts w:ascii="Arial" w:hAnsi="Arial" w:cs="Arial"/>
              </w:rPr>
            </w:pPr>
            <w:r w:rsidRPr="00A202BD">
              <w:rPr>
                <w:rFonts w:ascii="Arial" w:hAnsi="Arial" w:cs="Arial"/>
              </w:rPr>
              <w:t>9</w:t>
            </w:r>
          </w:p>
        </w:tc>
        <w:tc>
          <w:tcPr>
            <w:tcW w:w="1486" w:type="dxa"/>
          </w:tcPr>
          <w:p w:rsidR="00D849AA" w:rsidRPr="00A202BD" w:rsidRDefault="00EE6D95">
            <w:pPr>
              <w:rPr>
                <w:rFonts w:ascii="Arial" w:hAnsi="Arial" w:cs="Arial"/>
              </w:rPr>
            </w:pPr>
            <w:r w:rsidRPr="00A202BD">
              <w:rPr>
                <w:rFonts w:ascii="Arial" w:hAnsi="Arial" w:cs="Arial"/>
              </w:rPr>
              <w:t>13</w:t>
            </w:r>
          </w:p>
        </w:tc>
        <w:tc>
          <w:tcPr>
            <w:tcW w:w="1486" w:type="dxa"/>
          </w:tcPr>
          <w:p w:rsidR="00D849AA" w:rsidRPr="00A202BD" w:rsidRDefault="00EE6D95">
            <w:pPr>
              <w:rPr>
                <w:rFonts w:ascii="Arial" w:hAnsi="Arial" w:cs="Arial"/>
              </w:rPr>
            </w:pPr>
            <w:r w:rsidRPr="00A202BD">
              <w:rPr>
                <w:rFonts w:ascii="Arial" w:hAnsi="Arial" w:cs="Arial"/>
              </w:rPr>
              <w:t>17</w:t>
            </w:r>
          </w:p>
        </w:tc>
      </w:tr>
    </w:tbl>
    <w:p w:rsidR="00D849AA" w:rsidRDefault="00D849AA">
      <w:pPr>
        <w:jc w:val="left"/>
      </w:pPr>
    </w:p>
    <w:p w:rsidR="00D849AA" w:rsidRDefault="00EE6D95">
      <w:pPr>
        <w:pStyle w:val="Naslov6"/>
      </w:pPr>
      <w:r>
        <w:t>A672033 IPA 2013 - RAZMINIRANJE SOCIO-EKONOMSKE INFRASTRUKTURE U LIČKO-SENJSKOJ, SISAČKO-MOSLAVAČKOJ I ZADARSKOJ ŽUPANIJI</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A202BD" w:rsidRDefault="00EE6D95">
            <w:pPr>
              <w:pStyle w:val="CellHeader"/>
            </w:pPr>
            <w:r w:rsidRPr="00A202BD">
              <w:t>Naziv aktivnosti</w:t>
            </w:r>
          </w:p>
        </w:tc>
        <w:tc>
          <w:tcPr>
            <w:tcW w:w="1486" w:type="dxa"/>
            <w:shd w:val="clear" w:color="auto" w:fill="B5C0D8"/>
          </w:tcPr>
          <w:p w:rsidR="00D849AA" w:rsidRPr="00A202BD" w:rsidRDefault="00EE6D95">
            <w:pPr>
              <w:pStyle w:val="CellHeader"/>
            </w:pPr>
            <w:r w:rsidRPr="00A202BD">
              <w:t>Plan 2013.</w:t>
            </w:r>
          </w:p>
        </w:tc>
        <w:tc>
          <w:tcPr>
            <w:tcW w:w="1486" w:type="dxa"/>
            <w:shd w:val="clear" w:color="auto" w:fill="B5C0D8"/>
          </w:tcPr>
          <w:p w:rsidR="00D849AA" w:rsidRPr="00A202BD" w:rsidRDefault="00EE6D95">
            <w:pPr>
              <w:pStyle w:val="CellHeader"/>
            </w:pPr>
            <w:r w:rsidRPr="00A202BD">
              <w:t>Plan 2014.</w:t>
            </w:r>
          </w:p>
        </w:tc>
        <w:tc>
          <w:tcPr>
            <w:tcW w:w="1486" w:type="dxa"/>
            <w:shd w:val="clear" w:color="auto" w:fill="B5C0D8"/>
          </w:tcPr>
          <w:p w:rsidR="00D849AA" w:rsidRPr="00A202BD" w:rsidRDefault="00EE6D95">
            <w:pPr>
              <w:pStyle w:val="CellHeader"/>
            </w:pPr>
            <w:r w:rsidRPr="00A202BD">
              <w:t>Plan 2015.</w:t>
            </w:r>
          </w:p>
        </w:tc>
        <w:tc>
          <w:tcPr>
            <w:tcW w:w="1486" w:type="dxa"/>
            <w:shd w:val="clear" w:color="auto" w:fill="B5C0D8"/>
          </w:tcPr>
          <w:p w:rsidR="00D849AA" w:rsidRPr="00A202BD" w:rsidRDefault="00EE6D95">
            <w:pPr>
              <w:pStyle w:val="CellHeader"/>
            </w:pPr>
            <w:r w:rsidRPr="00A202BD">
              <w:t>Plan 2016.</w:t>
            </w:r>
          </w:p>
        </w:tc>
        <w:tc>
          <w:tcPr>
            <w:tcW w:w="1486" w:type="dxa"/>
            <w:shd w:val="clear" w:color="auto" w:fill="B5C0D8"/>
          </w:tcPr>
          <w:p w:rsidR="00D849AA" w:rsidRPr="00A202BD" w:rsidRDefault="00EE6D95">
            <w:pPr>
              <w:pStyle w:val="CellHeader"/>
            </w:pPr>
            <w:r w:rsidRPr="00A202BD">
              <w:t>Indeks 2014/2013</w:t>
            </w:r>
          </w:p>
        </w:tc>
      </w:tr>
      <w:tr w:rsidR="00D849AA">
        <w:trPr>
          <w:jc w:val="center"/>
        </w:trPr>
        <w:tc>
          <w:tcPr>
            <w:tcW w:w="1486" w:type="dxa"/>
          </w:tcPr>
          <w:p w:rsidR="00D849AA" w:rsidRPr="00A202BD" w:rsidRDefault="00EE6D95">
            <w:pPr>
              <w:pStyle w:val="CellColumn"/>
            </w:pPr>
            <w:r w:rsidRPr="00A202BD">
              <w:t>A672033</w:t>
            </w:r>
          </w:p>
        </w:tc>
        <w:tc>
          <w:tcPr>
            <w:tcW w:w="1486" w:type="dxa"/>
          </w:tcPr>
          <w:p w:rsidR="00D849AA" w:rsidRPr="00A202BD" w:rsidRDefault="00EE6D95">
            <w:pPr>
              <w:rPr>
                <w:rFonts w:ascii="Arial" w:hAnsi="Arial" w:cs="Arial"/>
              </w:rPr>
            </w:pPr>
            <w:r w:rsidRPr="00A202BD">
              <w:rPr>
                <w:rFonts w:ascii="Arial" w:hAnsi="Arial" w:cs="Arial"/>
              </w:rPr>
              <w:t>00</w:t>
            </w:r>
          </w:p>
        </w:tc>
        <w:tc>
          <w:tcPr>
            <w:tcW w:w="1486" w:type="dxa"/>
          </w:tcPr>
          <w:p w:rsidR="00D849AA" w:rsidRPr="00A202BD" w:rsidRDefault="00EE6D95">
            <w:pPr>
              <w:rPr>
                <w:rFonts w:ascii="Arial" w:hAnsi="Arial" w:cs="Arial"/>
              </w:rPr>
            </w:pPr>
            <w:r w:rsidRPr="00A202BD">
              <w:rPr>
                <w:rFonts w:ascii="Arial" w:hAnsi="Arial" w:cs="Arial"/>
              </w:rPr>
              <w:t>30.000.000</w:t>
            </w:r>
          </w:p>
        </w:tc>
        <w:tc>
          <w:tcPr>
            <w:tcW w:w="1486" w:type="dxa"/>
          </w:tcPr>
          <w:p w:rsidR="00D849AA" w:rsidRPr="00A202BD" w:rsidRDefault="00EE6D95">
            <w:pPr>
              <w:rPr>
                <w:rFonts w:ascii="Arial" w:hAnsi="Arial" w:cs="Arial"/>
              </w:rPr>
            </w:pPr>
            <w:r w:rsidRPr="00A202BD">
              <w:rPr>
                <w:rFonts w:ascii="Arial" w:hAnsi="Arial" w:cs="Arial"/>
              </w:rPr>
              <w:t>30.000.000</w:t>
            </w:r>
          </w:p>
        </w:tc>
        <w:tc>
          <w:tcPr>
            <w:tcW w:w="1486" w:type="dxa"/>
          </w:tcPr>
          <w:p w:rsidR="00D849AA" w:rsidRPr="00A202BD" w:rsidRDefault="00EE6D95">
            <w:pPr>
              <w:rPr>
                <w:rFonts w:ascii="Arial" w:hAnsi="Arial" w:cs="Arial"/>
              </w:rPr>
            </w:pPr>
            <w:r w:rsidRPr="00A202BD">
              <w:rPr>
                <w:rFonts w:ascii="Arial" w:hAnsi="Arial" w:cs="Arial"/>
              </w:rPr>
              <w:t>30.000.000</w:t>
            </w:r>
          </w:p>
        </w:tc>
        <w:tc>
          <w:tcPr>
            <w:tcW w:w="1486" w:type="dxa"/>
          </w:tcPr>
          <w:p w:rsidR="00D849AA" w:rsidRPr="00A202BD" w:rsidRDefault="00EE6D95">
            <w:pPr>
              <w:rPr>
                <w:rFonts w:ascii="Arial" w:hAnsi="Arial" w:cs="Arial"/>
              </w:rPr>
            </w:pPr>
            <w:r w:rsidRPr="00A202BD">
              <w:rPr>
                <w:rFonts w:ascii="Arial" w:hAnsi="Arial" w:cs="Arial"/>
              </w:rPr>
              <w:t>0,0</w:t>
            </w:r>
          </w:p>
        </w:tc>
      </w:tr>
    </w:tbl>
    <w:p w:rsidR="00D849AA" w:rsidRDefault="00D849AA">
      <w:pPr>
        <w:jc w:val="left"/>
      </w:pPr>
    </w:p>
    <w:p w:rsidR="00D849AA" w:rsidRDefault="00EE6D95">
      <w:pPr>
        <w:pStyle w:val="Normal6"/>
      </w:pPr>
      <w:r>
        <w:t>Stvaranje sigurnog okoliša i preduvjeta za održivi povratak i socijalno-ekonomski razvoj ratom zahvaćenih područja u Republici Hrvatskoj u Ličko-senjskoj, Sisačko-moslavačkoj i Zadarskoj županiji, uklanjanje minske opasnosti,te pomoć u stvaranju preduvjeta za gospodarski razvoj i opću sigurnost na navedenim područjima.</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A202BD" w:rsidRDefault="00EE6D95">
            <w:pPr>
              <w:rPr>
                <w:rFonts w:ascii="Arial" w:hAnsi="Arial" w:cs="Arial"/>
              </w:rPr>
            </w:pPr>
            <w:r w:rsidRPr="00A202BD">
              <w:rPr>
                <w:rFonts w:ascii="Arial" w:hAnsi="Arial" w:cs="Arial"/>
              </w:rPr>
              <w:t>Pokazatelj rezultata</w:t>
            </w:r>
          </w:p>
        </w:tc>
        <w:tc>
          <w:tcPr>
            <w:tcW w:w="1114" w:type="dxa"/>
            <w:shd w:val="clear" w:color="auto" w:fill="B5C0D8"/>
          </w:tcPr>
          <w:p w:rsidR="00D849AA" w:rsidRPr="00A202BD" w:rsidRDefault="00EE6D95">
            <w:pPr>
              <w:pStyle w:val="CellHeader"/>
            </w:pPr>
            <w:r w:rsidRPr="00A202BD">
              <w:t>Jedinica</w:t>
            </w:r>
          </w:p>
        </w:tc>
        <w:tc>
          <w:tcPr>
            <w:tcW w:w="1114" w:type="dxa"/>
            <w:shd w:val="clear" w:color="auto" w:fill="B5C0D8"/>
          </w:tcPr>
          <w:p w:rsidR="00D849AA" w:rsidRPr="00A202BD" w:rsidRDefault="00EE6D95">
            <w:pPr>
              <w:pStyle w:val="CellHeader"/>
            </w:pPr>
            <w:r w:rsidRPr="00A202BD">
              <w:t>Polazna vrijednost</w:t>
            </w:r>
          </w:p>
        </w:tc>
        <w:tc>
          <w:tcPr>
            <w:tcW w:w="1486" w:type="dxa"/>
            <w:shd w:val="clear" w:color="auto" w:fill="B5C0D8"/>
          </w:tcPr>
          <w:p w:rsidR="00D849AA" w:rsidRPr="00A202BD" w:rsidRDefault="00EE6D95">
            <w:pPr>
              <w:pStyle w:val="CellHeader"/>
            </w:pPr>
            <w:r w:rsidRPr="00A202BD">
              <w:t>Ciljana vrijednost (2014.)</w:t>
            </w:r>
          </w:p>
        </w:tc>
        <w:tc>
          <w:tcPr>
            <w:tcW w:w="1486" w:type="dxa"/>
            <w:shd w:val="clear" w:color="auto" w:fill="B5C0D8"/>
          </w:tcPr>
          <w:p w:rsidR="00D849AA" w:rsidRPr="00A202BD" w:rsidRDefault="00EE6D95">
            <w:pPr>
              <w:pStyle w:val="CellHeader"/>
            </w:pPr>
            <w:r w:rsidRPr="00A202BD">
              <w:t>Ciljana vrijednost (2015.)</w:t>
            </w:r>
          </w:p>
        </w:tc>
        <w:tc>
          <w:tcPr>
            <w:tcW w:w="1486" w:type="dxa"/>
            <w:shd w:val="clear" w:color="auto" w:fill="B5C0D8"/>
          </w:tcPr>
          <w:p w:rsidR="00D849AA" w:rsidRPr="00A202BD" w:rsidRDefault="00EE6D95">
            <w:pPr>
              <w:pStyle w:val="CellHeader"/>
            </w:pPr>
            <w:r w:rsidRPr="00A202BD">
              <w:t>Ciljana vrijednost (2016.)</w:t>
            </w:r>
          </w:p>
        </w:tc>
      </w:tr>
      <w:tr w:rsidR="00D849AA">
        <w:trPr>
          <w:jc w:val="center"/>
        </w:trPr>
        <w:tc>
          <w:tcPr>
            <w:tcW w:w="2229" w:type="dxa"/>
          </w:tcPr>
          <w:p w:rsidR="00D849AA" w:rsidRPr="00A202BD" w:rsidRDefault="00EE6D95">
            <w:pPr>
              <w:pStyle w:val="CellColumn"/>
            </w:pPr>
            <w:r w:rsidRPr="00A202BD">
              <w:t>Smanjenje minski sumnjive površine.</w:t>
            </w:r>
          </w:p>
        </w:tc>
        <w:tc>
          <w:tcPr>
            <w:tcW w:w="1114" w:type="dxa"/>
          </w:tcPr>
          <w:p w:rsidR="00D849AA" w:rsidRPr="00A202BD" w:rsidRDefault="00EE6D95">
            <w:pPr>
              <w:rPr>
                <w:rFonts w:ascii="Arial" w:hAnsi="Arial" w:cs="Arial"/>
              </w:rPr>
            </w:pPr>
            <w:r w:rsidRPr="00A202BD">
              <w:rPr>
                <w:rFonts w:ascii="Arial" w:hAnsi="Arial" w:cs="Arial"/>
              </w:rPr>
              <w:t>km2</w:t>
            </w:r>
          </w:p>
        </w:tc>
        <w:tc>
          <w:tcPr>
            <w:tcW w:w="1114" w:type="dxa"/>
          </w:tcPr>
          <w:p w:rsidR="00D849AA" w:rsidRPr="00A202BD" w:rsidRDefault="00EE6D95">
            <w:pPr>
              <w:rPr>
                <w:rFonts w:ascii="Arial" w:hAnsi="Arial" w:cs="Arial"/>
              </w:rPr>
            </w:pPr>
            <w:r w:rsidRPr="00A202BD">
              <w:rPr>
                <w:rFonts w:ascii="Arial" w:hAnsi="Arial" w:cs="Arial"/>
              </w:rPr>
              <w:t>3,5</w:t>
            </w:r>
          </w:p>
        </w:tc>
        <w:tc>
          <w:tcPr>
            <w:tcW w:w="1486" w:type="dxa"/>
          </w:tcPr>
          <w:p w:rsidR="00D849AA" w:rsidRPr="00A202BD" w:rsidRDefault="00EE6D95">
            <w:pPr>
              <w:rPr>
                <w:rFonts w:ascii="Arial" w:hAnsi="Arial" w:cs="Arial"/>
              </w:rPr>
            </w:pPr>
            <w:r w:rsidRPr="00A202BD">
              <w:rPr>
                <w:rFonts w:ascii="Arial" w:hAnsi="Arial" w:cs="Arial"/>
              </w:rPr>
              <w:t>2,0</w:t>
            </w:r>
          </w:p>
        </w:tc>
        <w:tc>
          <w:tcPr>
            <w:tcW w:w="1486" w:type="dxa"/>
          </w:tcPr>
          <w:p w:rsidR="00D849AA" w:rsidRPr="00A202BD" w:rsidRDefault="00EE6D95">
            <w:pPr>
              <w:rPr>
                <w:rFonts w:ascii="Arial" w:hAnsi="Arial" w:cs="Arial"/>
              </w:rPr>
            </w:pPr>
            <w:r w:rsidRPr="00A202BD">
              <w:rPr>
                <w:rFonts w:ascii="Arial" w:hAnsi="Arial" w:cs="Arial"/>
              </w:rPr>
              <w:t>1,0</w:t>
            </w:r>
          </w:p>
        </w:tc>
        <w:tc>
          <w:tcPr>
            <w:tcW w:w="1486" w:type="dxa"/>
          </w:tcPr>
          <w:p w:rsidR="00D849AA" w:rsidRPr="00A202BD" w:rsidRDefault="00EE6D95">
            <w:pPr>
              <w:rPr>
                <w:rFonts w:ascii="Arial" w:hAnsi="Arial" w:cs="Arial"/>
              </w:rPr>
            </w:pPr>
            <w:r w:rsidRPr="00A202BD">
              <w:rPr>
                <w:rFonts w:ascii="Arial" w:hAnsi="Arial" w:cs="Arial"/>
              </w:rPr>
              <w:t>0,5</w:t>
            </w:r>
          </w:p>
        </w:tc>
      </w:tr>
    </w:tbl>
    <w:p w:rsidR="00D849AA" w:rsidRDefault="00D849AA">
      <w:pPr>
        <w:jc w:val="left"/>
      </w:pPr>
    </w:p>
    <w:p w:rsidR="00D849AA" w:rsidRDefault="00EE6D95">
      <w:pPr>
        <w:pStyle w:val="Naslov1"/>
      </w:pPr>
      <w:r>
        <w:lastRenderedPageBreak/>
        <w:t>041 MINISTARSTVO BRANITELJA</w:t>
      </w:r>
    </w:p>
    <w:p w:rsidR="00D849AA" w:rsidRDefault="00EE6D95">
      <w:pPr>
        <w:pStyle w:val="Naslov4"/>
      </w:pPr>
      <w:r>
        <w:t>Uvod</w:t>
      </w:r>
    </w:p>
    <w:p w:rsidR="00D849AA" w:rsidRDefault="00EE6D95">
      <w:pPr>
        <w:pStyle w:val="Normal3"/>
      </w:pPr>
      <w:r>
        <w:t xml:space="preserve">Djelokrug rada i osnovnih zadaća Ministarstva branitelja propisan je u članku 20. Zakona o ustrojstvu i djelokrugu središnjih tijela državne uprave (NN 150/11, 22/12, 39/13, 125/13).  </w:t>
      </w:r>
    </w:p>
    <w:p w:rsidR="00D849AA" w:rsidRDefault="00EE6D95">
      <w:pPr>
        <w:pStyle w:val="Normal3"/>
      </w:pPr>
      <w:r>
        <w:t xml:space="preserve">U Financijskom planu Ministarstva prema organizacijskoj klasifikaciji unutar razdjela 041 postoji glava 04105 Ministarstvo branitelja. Prema programskoj klasifikaciji Ministarstvo branitelja sadrži 4 programa sa 25 aktivnosti i 4 projekta.  </w:t>
      </w:r>
    </w:p>
    <w:p w:rsidR="00D849AA" w:rsidRDefault="00EE6D95">
      <w:pPr>
        <w:pStyle w:val="Normal3"/>
      </w:pPr>
      <w:r>
        <w:t xml:space="preserve">Ministarstvo branitelja obavlja upravne i stručne poslove koji se odnose na pravni položaj, rješavanje pravnog položaja i drugih pitanja hrvatskih ratnih vojnih invalida iz Domovinskog rata i mirnodopskih vojnih invalida, razvojačenih branitelja, hrvatskih branitelja iz Domovinskog rata i članova njihovih obitelji, članova obitelji poginuloga, smrtno stradalog, zatočenog ili nestaloga hrvatskog branitelja iz Domovinskog rata, mirnodopskih i civilnih invalida Domovinskog rata, kao i ratnih vojnih invalida, sudionika, mirnodopskih i civilnih invalida Drugog svjetskog rata te članova njihovih obitelji i osoba stradalih na obavljanju obvezne vojne službe od 15. svibnja 1945. god. do 17. kolovoza 1990. god. i članova njihovih obitelji, osim onih poslova koji ulaze u djelokrug drugih ministarstava. </w:t>
      </w:r>
    </w:p>
    <w:p w:rsidR="00D849AA" w:rsidRDefault="00EE6D95">
      <w:pPr>
        <w:pStyle w:val="Normal3"/>
      </w:pPr>
      <w:r>
        <w:t xml:space="preserve">Ministarstvo obavlja stručne poslove usmjerene promicanju vrijednosti Domovinskog rata i očuvanju digniteta njegovih sudionika i stradalnika, unaprjeđenju opsega sveobuhvatne skrbi, poticanju zakonskih projekata u cilju poboljšanja kvalitete življenja, povećanju stupnja obrazovanja i konkurentnosti hrvatskih branitelja i članova njihovih obitelji te upoznavanju šire javnosti sa svim značajnim događajima i mjestima iz Domovinskog rata. </w:t>
      </w:r>
    </w:p>
    <w:p w:rsidR="00D849AA" w:rsidRDefault="00EE6D95">
      <w:pPr>
        <w:pStyle w:val="Normal3"/>
      </w:pPr>
      <w:r>
        <w:t xml:space="preserve">U djelokrugu Ministarstva obavljaju se stručni i drugi poslovi koji se odnose na traženje nestalih osoba iz Domovinskog rata, organizaciju ekshumacija masovnih i pojedinačnih grobnica na području Republike Hrvatske, prikupljanje i obradu podataka o ekshumiranim žrtvama u cilju identifikacije, te organizaciju identifikacije posmrtnih ostataka žrtava i njihovu sahranu. Ministarstvo obavlja i poslove koji se odnose na očuvanje spomena na žrtve Drugog svjetskog rata i poraća. </w:t>
      </w:r>
    </w:p>
    <w:p w:rsidR="00D849AA" w:rsidRDefault="00EE6D95">
      <w:pPr>
        <w:pStyle w:val="Normal3"/>
      </w:pPr>
      <w:r>
        <w:t xml:space="preserve">Unutarnje ustrojstvo Ministarstva čini Kabinet ministra, Glavno tajništvo Ministarstva, Samostalni odjel za unutarnju reviziju, Samostalna služba za strateške inicijative i projekte te 3 uprave. </w:t>
      </w:r>
    </w:p>
    <w:p w:rsidR="00D849AA" w:rsidRDefault="00EE6D95">
      <w:pPr>
        <w:pStyle w:val="Normal3"/>
      </w:pPr>
      <w:r>
        <w:t>U Financijskom planu glave 04105 Ministarstvo branitelja za provođenje četiri programa osigurana su sredstva u iznosu od 992.279.779 kuna u 2014. godini, 970.765.867 kuna u 2015. godini te 981.947.317 kuna u 2016. godini. U odnosu na 2013. godinu prijedlog plana za 2014. godinu manji je za 146.454.700 kuna.</w:t>
      </w:r>
    </w:p>
    <w:p w:rsidR="00221AEF" w:rsidRDefault="00221AEF">
      <w:pPr>
        <w:pStyle w:val="Normal3"/>
      </w:pPr>
    </w:p>
    <w:tbl>
      <w:tblPr>
        <w:tblStyle w:val="Reetkatablice"/>
        <w:tblW w:w="0" w:type="auto"/>
        <w:jc w:val="center"/>
        <w:tblLook w:val="04A0" w:firstRow="1" w:lastRow="0" w:firstColumn="1" w:lastColumn="0" w:noHBand="0" w:noVBand="1"/>
      </w:tblPr>
      <w:tblGrid>
        <w:gridCol w:w="1486"/>
        <w:gridCol w:w="1496"/>
        <w:gridCol w:w="1486"/>
        <w:gridCol w:w="1486"/>
        <w:gridCol w:w="1486"/>
        <w:gridCol w:w="1486"/>
      </w:tblGrid>
      <w:tr w:rsidR="00D849AA" w:rsidRPr="00A202BD">
        <w:trPr>
          <w:jc w:val="center"/>
        </w:trPr>
        <w:tc>
          <w:tcPr>
            <w:tcW w:w="1486" w:type="dxa"/>
            <w:shd w:val="clear" w:color="auto" w:fill="B5C0D8"/>
          </w:tcPr>
          <w:p w:rsidR="00D849AA" w:rsidRPr="00A202BD" w:rsidRDefault="00D849AA">
            <w:pPr>
              <w:pStyle w:val="CellHeader"/>
            </w:pPr>
          </w:p>
        </w:tc>
        <w:tc>
          <w:tcPr>
            <w:tcW w:w="1486" w:type="dxa"/>
            <w:shd w:val="clear" w:color="auto" w:fill="B5C0D8"/>
          </w:tcPr>
          <w:p w:rsidR="00D849AA" w:rsidRPr="00A202BD" w:rsidRDefault="00EE6D95">
            <w:pPr>
              <w:pStyle w:val="CellHeader"/>
            </w:pPr>
            <w:r w:rsidRPr="00A202BD">
              <w:t>Plan 2013.</w:t>
            </w:r>
          </w:p>
        </w:tc>
        <w:tc>
          <w:tcPr>
            <w:tcW w:w="1486" w:type="dxa"/>
            <w:shd w:val="clear" w:color="auto" w:fill="B5C0D8"/>
          </w:tcPr>
          <w:p w:rsidR="00D849AA" w:rsidRPr="00A202BD" w:rsidRDefault="00EE6D95">
            <w:pPr>
              <w:pStyle w:val="CellHeader"/>
            </w:pPr>
            <w:r w:rsidRPr="00A202BD">
              <w:t>Plan 2014.</w:t>
            </w:r>
          </w:p>
        </w:tc>
        <w:tc>
          <w:tcPr>
            <w:tcW w:w="1486" w:type="dxa"/>
            <w:shd w:val="clear" w:color="auto" w:fill="B5C0D8"/>
          </w:tcPr>
          <w:p w:rsidR="00D849AA" w:rsidRPr="00A202BD" w:rsidRDefault="00EE6D95">
            <w:pPr>
              <w:pStyle w:val="CellHeader"/>
            </w:pPr>
            <w:r w:rsidRPr="00A202BD">
              <w:t>Plan 2015.</w:t>
            </w:r>
          </w:p>
        </w:tc>
        <w:tc>
          <w:tcPr>
            <w:tcW w:w="1486" w:type="dxa"/>
            <w:shd w:val="clear" w:color="auto" w:fill="B5C0D8"/>
          </w:tcPr>
          <w:p w:rsidR="00D849AA" w:rsidRPr="00A202BD" w:rsidRDefault="00EE6D95">
            <w:pPr>
              <w:pStyle w:val="CellHeader"/>
            </w:pPr>
            <w:r w:rsidRPr="00A202BD">
              <w:t>Plan 2016.</w:t>
            </w:r>
          </w:p>
        </w:tc>
        <w:tc>
          <w:tcPr>
            <w:tcW w:w="1486" w:type="dxa"/>
            <w:shd w:val="clear" w:color="auto" w:fill="B5C0D8"/>
          </w:tcPr>
          <w:p w:rsidR="00D849AA" w:rsidRPr="00A202BD" w:rsidRDefault="00EE6D95">
            <w:pPr>
              <w:pStyle w:val="CellHeader"/>
            </w:pPr>
            <w:r w:rsidRPr="00A202BD">
              <w:t>Indeks 2014/2013</w:t>
            </w:r>
          </w:p>
        </w:tc>
      </w:tr>
      <w:tr w:rsidR="00D849AA" w:rsidRPr="00A202BD">
        <w:trPr>
          <w:jc w:val="center"/>
        </w:trPr>
        <w:tc>
          <w:tcPr>
            <w:tcW w:w="1486" w:type="dxa"/>
          </w:tcPr>
          <w:p w:rsidR="00D849AA" w:rsidRPr="00A202BD" w:rsidRDefault="00EE6D95">
            <w:pPr>
              <w:pStyle w:val="CellColumn"/>
            </w:pPr>
            <w:r w:rsidRPr="00A202BD">
              <w:t>04105 Ministarstvo branitelja</w:t>
            </w:r>
          </w:p>
        </w:tc>
        <w:tc>
          <w:tcPr>
            <w:tcW w:w="1486" w:type="dxa"/>
          </w:tcPr>
          <w:p w:rsidR="00D849AA" w:rsidRPr="00A202BD" w:rsidRDefault="00EE6D95">
            <w:pPr>
              <w:rPr>
                <w:rFonts w:ascii="Arial" w:hAnsi="Arial" w:cs="Arial"/>
              </w:rPr>
            </w:pPr>
            <w:r w:rsidRPr="00A202BD">
              <w:rPr>
                <w:rFonts w:ascii="Arial" w:hAnsi="Arial" w:cs="Arial"/>
              </w:rPr>
              <w:t>1.138.734.479</w:t>
            </w:r>
          </w:p>
        </w:tc>
        <w:tc>
          <w:tcPr>
            <w:tcW w:w="1486" w:type="dxa"/>
          </w:tcPr>
          <w:p w:rsidR="00D849AA" w:rsidRPr="00A202BD" w:rsidRDefault="00EE6D95">
            <w:pPr>
              <w:rPr>
                <w:rFonts w:ascii="Arial" w:hAnsi="Arial" w:cs="Arial"/>
              </w:rPr>
            </w:pPr>
            <w:r w:rsidRPr="00A202BD">
              <w:rPr>
                <w:rFonts w:ascii="Arial" w:hAnsi="Arial" w:cs="Arial"/>
              </w:rPr>
              <w:t>992.279.779</w:t>
            </w:r>
          </w:p>
        </w:tc>
        <w:tc>
          <w:tcPr>
            <w:tcW w:w="1486" w:type="dxa"/>
          </w:tcPr>
          <w:p w:rsidR="00D849AA" w:rsidRPr="00A202BD" w:rsidRDefault="00EE6D95">
            <w:pPr>
              <w:rPr>
                <w:rFonts w:ascii="Arial" w:hAnsi="Arial" w:cs="Arial"/>
              </w:rPr>
            </w:pPr>
            <w:r w:rsidRPr="00A202BD">
              <w:rPr>
                <w:rFonts w:ascii="Arial" w:hAnsi="Arial" w:cs="Arial"/>
              </w:rPr>
              <w:t>970.765.867</w:t>
            </w:r>
          </w:p>
        </w:tc>
        <w:tc>
          <w:tcPr>
            <w:tcW w:w="1486" w:type="dxa"/>
          </w:tcPr>
          <w:p w:rsidR="00D849AA" w:rsidRPr="00A202BD" w:rsidRDefault="00EE6D95">
            <w:pPr>
              <w:rPr>
                <w:rFonts w:ascii="Arial" w:hAnsi="Arial" w:cs="Arial"/>
              </w:rPr>
            </w:pPr>
            <w:r w:rsidRPr="00A202BD">
              <w:rPr>
                <w:rFonts w:ascii="Arial" w:hAnsi="Arial" w:cs="Arial"/>
              </w:rPr>
              <w:t>981.947.317</w:t>
            </w:r>
          </w:p>
        </w:tc>
        <w:tc>
          <w:tcPr>
            <w:tcW w:w="1486" w:type="dxa"/>
          </w:tcPr>
          <w:p w:rsidR="00D849AA" w:rsidRPr="00A202BD" w:rsidRDefault="00EE6D95">
            <w:pPr>
              <w:rPr>
                <w:rFonts w:ascii="Arial" w:hAnsi="Arial" w:cs="Arial"/>
              </w:rPr>
            </w:pPr>
            <w:r w:rsidRPr="00A202BD">
              <w:rPr>
                <w:rFonts w:ascii="Arial" w:hAnsi="Arial" w:cs="Arial"/>
              </w:rPr>
              <w:t>87,1</w:t>
            </w:r>
          </w:p>
        </w:tc>
      </w:tr>
      <w:tr w:rsidR="00D849AA" w:rsidRPr="00A202BD">
        <w:trPr>
          <w:jc w:val="center"/>
        </w:trPr>
        <w:tc>
          <w:tcPr>
            <w:tcW w:w="1486" w:type="dxa"/>
            <w:shd w:val="clear" w:color="auto" w:fill="B5C0D8"/>
          </w:tcPr>
          <w:p w:rsidR="00D849AA" w:rsidRPr="00A202BD" w:rsidRDefault="00EE6D95">
            <w:pPr>
              <w:pStyle w:val="CellColumn"/>
            </w:pPr>
            <w:r w:rsidRPr="00A202BD">
              <w:t>Ukupno 041</w:t>
            </w:r>
          </w:p>
        </w:tc>
        <w:tc>
          <w:tcPr>
            <w:tcW w:w="1486" w:type="dxa"/>
            <w:shd w:val="clear" w:color="auto" w:fill="B5C0D8"/>
          </w:tcPr>
          <w:p w:rsidR="00D849AA" w:rsidRPr="00A202BD" w:rsidRDefault="00EE6D95">
            <w:pPr>
              <w:rPr>
                <w:rFonts w:ascii="Arial" w:hAnsi="Arial" w:cs="Arial"/>
              </w:rPr>
            </w:pPr>
            <w:r w:rsidRPr="00A202BD">
              <w:rPr>
                <w:rFonts w:ascii="Arial" w:hAnsi="Arial" w:cs="Arial"/>
              </w:rPr>
              <w:t>1.138.734.479</w:t>
            </w:r>
          </w:p>
        </w:tc>
        <w:tc>
          <w:tcPr>
            <w:tcW w:w="1486" w:type="dxa"/>
            <w:shd w:val="clear" w:color="auto" w:fill="B5C0D8"/>
          </w:tcPr>
          <w:p w:rsidR="00D849AA" w:rsidRPr="00A202BD" w:rsidRDefault="00EE6D95">
            <w:pPr>
              <w:rPr>
                <w:rFonts w:ascii="Arial" w:hAnsi="Arial" w:cs="Arial"/>
              </w:rPr>
            </w:pPr>
            <w:r w:rsidRPr="00A202BD">
              <w:rPr>
                <w:rFonts w:ascii="Arial" w:hAnsi="Arial" w:cs="Arial"/>
              </w:rPr>
              <w:t>992.279.779</w:t>
            </w:r>
          </w:p>
        </w:tc>
        <w:tc>
          <w:tcPr>
            <w:tcW w:w="1486" w:type="dxa"/>
            <w:shd w:val="clear" w:color="auto" w:fill="B5C0D8"/>
          </w:tcPr>
          <w:p w:rsidR="00D849AA" w:rsidRPr="00A202BD" w:rsidRDefault="00EE6D95">
            <w:pPr>
              <w:rPr>
                <w:rFonts w:ascii="Arial" w:hAnsi="Arial" w:cs="Arial"/>
              </w:rPr>
            </w:pPr>
            <w:r w:rsidRPr="00A202BD">
              <w:rPr>
                <w:rFonts w:ascii="Arial" w:hAnsi="Arial" w:cs="Arial"/>
              </w:rPr>
              <w:t>970.765.867</w:t>
            </w:r>
          </w:p>
        </w:tc>
        <w:tc>
          <w:tcPr>
            <w:tcW w:w="1486" w:type="dxa"/>
            <w:shd w:val="clear" w:color="auto" w:fill="B5C0D8"/>
          </w:tcPr>
          <w:p w:rsidR="00D849AA" w:rsidRPr="00A202BD" w:rsidRDefault="00EE6D95">
            <w:pPr>
              <w:rPr>
                <w:rFonts w:ascii="Arial" w:hAnsi="Arial" w:cs="Arial"/>
              </w:rPr>
            </w:pPr>
            <w:r w:rsidRPr="00A202BD">
              <w:rPr>
                <w:rFonts w:ascii="Arial" w:hAnsi="Arial" w:cs="Arial"/>
              </w:rPr>
              <w:t>981.947.317</w:t>
            </w:r>
          </w:p>
        </w:tc>
        <w:tc>
          <w:tcPr>
            <w:tcW w:w="1486" w:type="dxa"/>
            <w:shd w:val="clear" w:color="auto" w:fill="B5C0D8"/>
          </w:tcPr>
          <w:p w:rsidR="00D849AA" w:rsidRPr="00A202BD" w:rsidRDefault="00EE6D95">
            <w:pPr>
              <w:rPr>
                <w:rFonts w:ascii="Arial" w:hAnsi="Arial" w:cs="Arial"/>
              </w:rPr>
            </w:pPr>
            <w:r w:rsidRPr="00A202BD">
              <w:rPr>
                <w:rFonts w:ascii="Arial" w:hAnsi="Arial" w:cs="Arial"/>
              </w:rPr>
              <w:t>87,1</w:t>
            </w:r>
          </w:p>
        </w:tc>
      </w:tr>
    </w:tbl>
    <w:p w:rsidR="00D849AA" w:rsidRPr="00A202BD" w:rsidRDefault="00D849AA">
      <w:pPr>
        <w:jc w:val="left"/>
        <w:rPr>
          <w:rFonts w:ascii="Arial" w:hAnsi="Arial" w:cs="Arial"/>
        </w:rPr>
      </w:pPr>
    </w:p>
    <w:p w:rsidR="00D849AA" w:rsidRDefault="00EE6D95">
      <w:pPr>
        <w:pStyle w:val="Naslov2"/>
      </w:pPr>
      <w:r>
        <w:lastRenderedPageBreak/>
        <w:t>04105 Ministarstvo branitelja</w:t>
      </w:r>
    </w:p>
    <w:p w:rsidR="00D849AA" w:rsidRDefault="00EE6D95">
      <w:pPr>
        <w:pStyle w:val="Naslov4"/>
      </w:pPr>
      <w:r>
        <w:t>Uvod</w:t>
      </w:r>
    </w:p>
    <w:p w:rsidR="00D849AA" w:rsidRDefault="00EE6D95">
      <w:pPr>
        <w:pStyle w:val="Normal3"/>
      </w:pPr>
      <w:r>
        <w:t xml:space="preserve">Ministarstvo branitelja obavlja upravne i druge poslove koji se odnose na pravni položaj, rješavanje pravnog položaja i drugih pitanja hrvatskih ratnih vojnih invalida iz Domovinskog rata i mirnodopskih vojnih invalida, razvojačenih branitelja i članova njihovih obitelji, te obitelji poginuloga, umrloga, zatočenog ili nestaloga hrvatskog branitelja, osim onih poslova koji ulaze u djelokrug drugih ministarstava. </w:t>
      </w:r>
    </w:p>
    <w:p w:rsidR="00D849AA" w:rsidRDefault="00EE6D95">
      <w:pPr>
        <w:pStyle w:val="Normal3"/>
      </w:pPr>
      <w:r>
        <w:t xml:space="preserve">Ministarstvo tradicionalno obilježava obljetnice, odavanjem počasti poginulim hrvatskim braniteljima te održavanjem prigodnih programa. Izgradnjom spomen obilježja na mjestima masovnih grobnica iz Domovinskog rata kao i pružanjem potpore podizanju spomenika hrvatskim braniteljima poginulim u Domovinskom ratu, Ministarstvo štiti temeljne vrijednosti i dignitet Domovinskog rata. </w:t>
      </w:r>
    </w:p>
    <w:p w:rsidR="00D849AA" w:rsidRDefault="00EE6D95">
      <w:pPr>
        <w:pStyle w:val="Normal3"/>
      </w:pPr>
      <w:r>
        <w:t>Ministarstvo obavlja stručne i druge poslove koji se odnose na traženje zatočenih i nestalih, organizaciju ekshumacija masovnih i pojedinačnih grobnica na teritoriju Republike Hrvatske, prikuplja i obrađuje podatke o ekshumiranim žrtvama u cilju identifikacije, te organizira identifikaciju posmrtnih ostataka žrtava.</w:t>
      </w:r>
    </w:p>
    <w:tbl>
      <w:tblPr>
        <w:tblStyle w:val="Reetkatablice"/>
        <w:tblW w:w="0" w:type="auto"/>
        <w:jc w:val="center"/>
        <w:tblLook w:val="04A0" w:firstRow="1" w:lastRow="0" w:firstColumn="1" w:lastColumn="0" w:noHBand="0" w:noVBand="1"/>
      </w:tblPr>
      <w:tblGrid>
        <w:gridCol w:w="1486"/>
        <w:gridCol w:w="1496"/>
        <w:gridCol w:w="1486"/>
        <w:gridCol w:w="1486"/>
        <w:gridCol w:w="1486"/>
        <w:gridCol w:w="1486"/>
      </w:tblGrid>
      <w:tr w:rsidR="00D849AA" w:rsidRPr="00A202BD">
        <w:trPr>
          <w:jc w:val="center"/>
        </w:trPr>
        <w:tc>
          <w:tcPr>
            <w:tcW w:w="1486" w:type="dxa"/>
            <w:shd w:val="clear" w:color="auto" w:fill="B5C0D8"/>
          </w:tcPr>
          <w:p w:rsidR="00D849AA" w:rsidRPr="00A202BD" w:rsidRDefault="00D849AA">
            <w:pPr>
              <w:pStyle w:val="CellHeader"/>
            </w:pPr>
          </w:p>
        </w:tc>
        <w:tc>
          <w:tcPr>
            <w:tcW w:w="1486" w:type="dxa"/>
            <w:shd w:val="clear" w:color="auto" w:fill="B5C0D8"/>
          </w:tcPr>
          <w:p w:rsidR="00D849AA" w:rsidRPr="00A202BD" w:rsidRDefault="00EE6D95">
            <w:pPr>
              <w:pStyle w:val="CellHeader"/>
            </w:pPr>
            <w:r w:rsidRPr="00A202BD">
              <w:t>Plan 2013.</w:t>
            </w:r>
          </w:p>
        </w:tc>
        <w:tc>
          <w:tcPr>
            <w:tcW w:w="1486" w:type="dxa"/>
            <w:shd w:val="clear" w:color="auto" w:fill="B5C0D8"/>
          </w:tcPr>
          <w:p w:rsidR="00D849AA" w:rsidRPr="00A202BD" w:rsidRDefault="00EE6D95">
            <w:pPr>
              <w:pStyle w:val="CellHeader"/>
            </w:pPr>
            <w:r w:rsidRPr="00A202BD">
              <w:t>Plan 2014.</w:t>
            </w:r>
          </w:p>
        </w:tc>
        <w:tc>
          <w:tcPr>
            <w:tcW w:w="1486" w:type="dxa"/>
            <w:shd w:val="clear" w:color="auto" w:fill="B5C0D8"/>
          </w:tcPr>
          <w:p w:rsidR="00D849AA" w:rsidRPr="00A202BD" w:rsidRDefault="00EE6D95">
            <w:pPr>
              <w:pStyle w:val="CellHeader"/>
            </w:pPr>
            <w:r w:rsidRPr="00A202BD">
              <w:t>Plan 2015.</w:t>
            </w:r>
          </w:p>
        </w:tc>
        <w:tc>
          <w:tcPr>
            <w:tcW w:w="1486" w:type="dxa"/>
            <w:shd w:val="clear" w:color="auto" w:fill="B5C0D8"/>
          </w:tcPr>
          <w:p w:rsidR="00D849AA" w:rsidRPr="00A202BD" w:rsidRDefault="00EE6D95">
            <w:pPr>
              <w:pStyle w:val="CellHeader"/>
            </w:pPr>
            <w:r w:rsidRPr="00A202BD">
              <w:t>Plan 2016.</w:t>
            </w:r>
          </w:p>
        </w:tc>
        <w:tc>
          <w:tcPr>
            <w:tcW w:w="1486" w:type="dxa"/>
            <w:shd w:val="clear" w:color="auto" w:fill="B5C0D8"/>
          </w:tcPr>
          <w:p w:rsidR="00D849AA" w:rsidRPr="00A202BD" w:rsidRDefault="00EE6D95">
            <w:pPr>
              <w:pStyle w:val="CellHeader"/>
            </w:pPr>
            <w:r w:rsidRPr="00A202BD">
              <w:t>Indeks 2014/2013</w:t>
            </w:r>
          </w:p>
        </w:tc>
      </w:tr>
      <w:tr w:rsidR="00D849AA" w:rsidRPr="00A202BD">
        <w:trPr>
          <w:jc w:val="center"/>
        </w:trPr>
        <w:tc>
          <w:tcPr>
            <w:tcW w:w="1486" w:type="dxa"/>
          </w:tcPr>
          <w:p w:rsidR="00D849AA" w:rsidRPr="00A202BD" w:rsidRDefault="00EE6D95">
            <w:pPr>
              <w:pStyle w:val="CellColumn"/>
            </w:pPr>
            <w:r w:rsidRPr="00A202BD">
              <w:t>04105</w:t>
            </w:r>
          </w:p>
        </w:tc>
        <w:tc>
          <w:tcPr>
            <w:tcW w:w="1486" w:type="dxa"/>
          </w:tcPr>
          <w:p w:rsidR="00D849AA" w:rsidRPr="00A202BD" w:rsidRDefault="00EE6D95">
            <w:pPr>
              <w:rPr>
                <w:rFonts w:ascii="Arial" w:hAnsi="Arial" w:cs="Arial"/>
              </w:rPr>
            </w:pPr>
            <w:r w:rsidRPr="00A202BD">
              <w:rPr>
                <w:rFonts w:ascii="Arial" w:hAnsi="Arial" w:cs="Arial"/>
              </w:rPr>
              <w:t>1.138.734.479</w:t>
            </w:r>
          </w:p>
        </w:tc>
        <w:tc>
          <w:tcPr>
            <w:tcW w:w="1486" w:type="dxa"/>
          </w:tcPr>
          <w:p w:rsidR="00D849AA" w:rsidRPr="00A202BD" w:rsidRDefault="00EE6D95">
            <w:pPr>
              <w:rPr>
                <w:rFonts w:ascii="Arial" w:hAnsi="Arial" w:cs="Arial"/>
              </w:rPr>
            </w:pPr>
            <w:r w:rsidRPr="00A202BD">
              <w:rPr>
                <w:rFonts w:ascii="Arial" w:hAnsi="Arial" w:cs="Arial"/>
              </w:rPr>
              <w:t>992.279.779</w:t>
            </w:r>
          </w:p>
        </w:tc>
        <w:tc>
          <w:tcPr>
            <w:tcW w:w="1486" w:type="dxa"/>
          </w:tcPr>
          <w:p w:rsidR="00D849AA" w:rsidRPr="00A202BD" w:rsidRDefault="00EE6D95">
            <w:pPr>
              <w:rPr>
                <w:rFonts w:ascii="Arial" w:hAnsi="Arial" w:cs="Arial"/>
              </w:rPr>
            </w:pPr>
            <w:r w:rsidRPr="00A202BD">
              <w:rPr>
                <w:rFonts w:ascii="Arial" w:hAnsi="Arial" w:cs="Arial"/>
              </w:rPr>
              <w:t>970.765.867</w:t>
            </w:r>
          </w:p>
        </w:tc>
        <w:tc>
          <w:tcPr>
            <w:tcW w:w="1486" w:type="dxa"/>
          </w:tcPr>
          <w:p w:rsidR="00D849AA" w:rsidRPr="00A202BD" w:rsidRDefault="00EE6D95">
            <w:pPr>
              <w:rPr>
                <w:rFonts w:ascii="Arial" w:hAnsi="Arial" w:cs="Arial"/>
              </w:rPr>
            </w:pPr>
            <w:r w:rsidRPr="00A202BD">
              <w:rPr>
                <w:rFonts w:ascii="Arial" w:hAnsi="Arial" w:cs="Arial"/>
              </w:rPr>
              <w:t>981.947.317</w:t>
            </w:r>
          </w:p>
        </w:tc>
        <w:tc>
          <w:tcPr>
            <w:tcW w:w="1486" w:type="dxa"/>
          </w:tcPr>
          <w:p w:rsidR="00D849AA" w:rsidRPr="00A202BD" w:rsidRDefault="00EE6D95">
            <w:pPr>
              <w:rPr>
                <w:rFonts w:ascii="Arial" w:hAnsi="Arial" w:cs="Arial"/>
              </w:rPr>
            </w:pPr>
            <w:r w:rsidRPr="00A202BD">
              <w:rPr>
                <w:rFonts w:ascii="Arial" w:hAnsi="Arial" w:cs="Arial"/>
              </w:rPr>
              <w:t>87,1</w:t>
            </w:r>
          </w:p>
        </w:tc>
      </w:tr>
    </w:tbl>
    <w:p w:rsidR="00D849AA" w:rsidRPr="00A202BD" w:rsidRDefault="00D849AA">
      <w:pPr>
        <w:jc w:val="left"/>
        <w:rPr>
          <w:rFonts w:ascii="Arial" w:hAnsi="Arial" w:cs="Arial"/>
        </w:rPr>
      </w:pPr>
    </w:p>
    <w:p w:rsidR="00D849AA" w:rsidRDefault="00EE6D95">
      <w:pPr>
        <w:pStyle w:val="Naslov4"/>
      </w:pPr>
      <w:r>
        <w:t>OBRAZLOŽENJE PROGRAMA</w:t>
      </w:r>
    </w:p>
    <w:p w:rsidR="00D849AA" w:rsidRDefault="00EE6D95">
      <w:pPr>
        <w:pStyle w:val="Naslov5"/>
      </w:pPr>
      <w:r>
        <w:t>3911 OBILJEŽAVANJE MJESTA STRADAVANJA U DOMOVINSKOM RATU</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rsidRPr="00A202BD">
        <w:trPr>
          <w:jc w:val="center"/>
        </w:trPr>
        <w:tc>
          <w:tcPr>
            <w:tcW w:w="1486" w:type="dxa"/>
            <w:shd w:val="clear" w:color="auto" w:fill="B5C0D8"/>
          </w:tcPr>
          <w:p w:rsidR="00D849AA" w:rsidRPr="00A202BD" w:rsidRDefault="00D849AA">
            <w:pPr>
              <w:pStyle w:val="CellHeader"/>
            </w:pPr>
          </w:p>
        </w:tc>
        <w:tc>
          <w:tcPr>
            <w:tcW w:w="1486" w:type="dxa"/>
            <w:shd w:val="clear" w:color="auto" w:fill="B5C0D8"/>
          </w:tcPr>
          <w:p w:rsidR="00D849AA" w:rsidRPr="00A202BD" w:rsidRDefault="00EE6D95">
            <w:pPr>
              <w:pStyle w:val="CellHeader"/>
            </w:pPr>
            <w:r w:rsidRPr="00A202BD">
              <w:t>Plan 2013.</w:t>
            </w:r>
          </w:p>
        </w:tc>
        <w:tc>
          <w:tcPr>
            <w:tcW w:w="1486" w:type="dxa"/>
            <w:shd w:val="clear" w:color="auto" w:fill="B5C0D8"/>
          </w:tcPr>
          <w:p w:rsidR="00D849AA" w:rsidRPr="00A202BD" w:rsidRDefault="00EE6D95">
            <w:pPr>
              <w:pStyle w:val="CellHeader"/>
            </w:pPr>
            <w:r w:rsidRPr="00A202BD">
              <w:t>Plan 2014.</w:t>
            </w:r>
          </w:p>
        </w:tc>
        <w:tc>
          <w:tcPr>
            <w:tcW w:w="1486" w:type="dxa"/>
            <w:shd w:val="clear" w:color="auto" w:fill="B5C0D8"/>
          </w:tcPr>
          <w:p w:rsidR="00D849AA" w:rsidRPr="00A202BD" w:rsidRDefault="00EE6D95">
            <w:pPr>
              <w:pStyle w:val="CellHeader"/>
            </w:pPr>
            <w:r w:rsidRPr="00A202BD">
              <w:t>Plan 2015.</w:t>
            </w:r>
          </w:p>
        </w:tc>
        <w:tc>
          <w:tcPr>
            <w:tcW w:w="1486" w:type="dxa"/>
            <w:shd w:val="clear" w:color="auto" w:fill="B5C0D8"/>
          </w:tcPr>
          <w:p w:rsidR="00D849AA" w:rsidRPr="00A202BD" w:rsidRDefault="00EE6D95">
            <w:pPr>
              <w:pStyle w:val="CellHeader"/>
            </w:pPr>
            <w:r w:rsidRPr="00A202BD">
              <w:t>Plan 2016.</w:t>
            </w:r>
          </w:p>
        </w:tc>
        <w:tc>
          <w:tcPr>
            <w:tcW w:w="1486" w:type="dxa"/>
            <w:shd w:val="clear" w:color="auto" w:fill="B5C0D8"/>
          </w:tcPr>
          <w:p w:rsidR="00D849AA" w:rsidRPr="00A202BD" w:rsidRDefault="00EE6D95">
            <w:pPr>
              <w:pStyle w:val="CellHeader"/>
            </w:pPr>
            <w:r w:rsidRPr="00A202BD">
              <w:t>Indeks 2014/2013</w:t>
            </w:r>
          </w:p>
        </w:tc>
      </w:tr>
      <w:tr w:rsidR="00D849AA" w:rsidRPr="00A202BD">
        <w:trPr>
          <w:jc w:val="center"/>
        </w:trPr>
        <w:tc>
          <w:tcPr>
            <w:tcW w:w="1486" w:type="dxa"/>
          </w:tcPr>
          <w:p w:rsidR="00D849AA" w:rsidRPr="00A202BD" w:rsidRDefault="00EE6D95">
            <w:pPr>
              <w:pStyle w:val="CellColumn"/>
            </w:pPr>
            <w:r w:rsidRPr="00A202BD">
              <w:t>3911</w:t>
            </w:r>
          </w:p>
        </w:tc>
        <w:tc>
          <w:tcPr>
            <w:tcW w:w="1486" w:type="dxa"/>
          </w:tcPr>
          <w:p w:rsidR="00D849AA" w:rsidRPr="00A202BD" w:rsidRDefault="00EE6D95">
            <w:pPr>
              <w:rPr>
                <w:rFonts w:ascii="Arial" w:hAnsi="Arial" w:cs="Arial"/>
              </w:rPr>
            </w:pPr>
            <w:r w:rsidRPr="00A202BD">
              <w:rPr>
                <w:rFonts w:ascii="Arial" w:hAnsi="Arial" w:cs="Arial"/>
              </w:rPr>
              <w:t>7.780.000</w:t>
            </w:r>
          </w:p>
        </w:tc>
        <w:tc>
          <w:tcPr>
            <w:tcW w:w="1486" w:type="dxa"/>
          </w:tcPr>
          <w:p w:rsidR="00D849AA" w:rsidRPr="00A202BD" w:rsidRDefault="00EE6D95">
            <w:pPr>
              <w:rPr>
                <w:rFonts w:ascii="Arial" w:hAnsi="Arial" w:cs="Arial"/>
              </w:rPr>
            </w:pPr>
            <w:r w:rsidRPr="00A202BD">
              <w:rPr>
                <w:rFonts w:ascii="Arial" w:hAnsi="Arial" w:cs="Arial"/>
              </w:rPr>
              <w:t>43.070.000</w:t>
            </w:r>
          </w:p>
        </w:tc>
        <w:tc>
          <w:tcPr>
            <w:tcW w:w="1486" w:type="dxa"/>
          </w:tcPr>
          <w:p w:rsidR="00D849AA" w:rsidRPr="00A202BD" w:rsidRDefault="00EE6D95">
            <w:pPr>
              <w:rPr>
                <w:rFonts w:ascii="Arial" w:hAnsi="Arial" w:cs="Arial"/>
              </w:rPr>
            </w:pPr>
            <w:r w:rsidRPr="00A202BD">
              <w:rPr>
                <w:rFonts w:ascii="Arial" w:hAnsi="Arial" w:cs="Arial"/>
              </w:rPr>
              <w:t>43.170.000</w:t>
            </w:r>
          </w:p>
        </w:tc>
        <w:tc>
          <w:tcPr>
            <w:tcW w:w="1486" w:type="dxa"/>
          </w:tcPr>
          <w:p w:rsidR="00D849AA" w:rsidRPr="00A202BD" w:rsidRDefault="00EE6D95">
            <w:pPr>
              <w:rPr>
                <w:rFonts w:ascii="Arial" w:hAnsi="Arial" w:cs="Arial"/>
              </w:rPr>
            </w:pPr>
            <w:r w:rsidRPr="00A202BD">
              <w:rPr>
                <w:rFonts w:ascii="Arial" w:hAnsi="Arial" w:cs="Arial"/>
              </w:rPr>
              <w:t>43.070.000</w:t>
            </w:r>
          </w:p>
        </w:tc>
        <w:tc>
          <w:tcPr>
            <w:tcW w:w="1486" w:type="dxa"/>
          </w:tcPr>
          <w:p w:rsidR="00D849AA" w:rsidRPr="00A202BD" w:rsidRDefault="00EE6D95">
            <w:pPr>
              <w:rPr>
                <w:rFonts w:ascii="Arial" w:hAnsi="Arial" w:cs="Arial"/>
              </w:rPr>
            </w:pPr>
            <w:r w:rsidRPr="00A202BD">
              <w:rPr>
                <w:rFonts w:ascii="Arial" w:hAnsi="Arial" w:cs="Arial"/>
              </w:rPr>
              <w:t>553,6</w:t>
            </w:r>
          </w:p>
        </w:tc>
      </w:tr>
    </w:tbl>
    <w:p w:rsidR="00D849AA" w:rsidRPr="00A202BD" w:rsidRDefault="00D849AA">
      <w:pPr>
        <w:jc w:val="left"/>
        <w:rPr>
          <w:rFonts w:ascii="Arial" w:hAnsi="Arial" w:cs="Arial"/>
        </w:rPr>
      </w:pPr>
    </w:p>
    <w:p w:rsidR="00D849AA" w:rsidRDefault="00EE6D95">
      <w:pPr>
        <w:pStyle w:val="Naslov6"/>
      </w:pPr>
      <w:r>
        <w:t>Opis programa</w:t>
      </w:r>
    </w:p>
    <w:p w:rsidR="00D849AA" w:rsidRDefault="00EE6D95">
      <w:pPr>
        <w:pStyle w:val="Normal5"/>
      </w:pPr>
      <w:r>
        <w:t xml:space="preserve">U znak trajnog sjećanja na sve značajne događaje u Domovinskom ratu i odavanje počasti svim žrtvama Domovinskog rata, Ministarstvo sufinancira izgradnju, postavljanje ili uređenje spomen-obilježja žrtvama stradalim u Domovinskom ratu, obilježava mjesta masovnih grobnica žrtava iz Domovinskog rata te sufinancira projekte udruga proisteklih iz Domovinskog rata s ciljem očuvanja povijesnih vrednota Domovinskog rata. </w:t>
      </w:r>
    </w:p>
    <w:p w:rsidR="00D849AA" w:rsidRDefault="00EE6D95">
      <w:pPr>
        <w:pStyle w:val="Normal5"/>
      </w:pPr>
      <w:r>
        <w:t xml:space="preserve">S obzirom da u Republici Hrvatskoj postoje teritorijalne jedinice u kojima nije postavljeno dostojanstveno spomen-obilježje žrtvama stradalima u Domovinskom ratu te postoje neobilježene masovne grobnice žrtava iz Domovinskog rata, aktivnosti Ministarstva usmjerene su na rješavanje ovih pitanja, s ciljem da se nemjerljive žrtve hrvatskog naroda, na kojima se temelji neovisnost suverene Republike Hrvatske, nikad ne zaborave. </w:t>
      </w:r>
    </w:p>
    <w:p w:rsidR="00D849AA" w:rsidRDefault="00EE6D95">
      <w:pPr>
        <w:pStyle w:val="Normal5"/>
      </w:pPr>
      <w:r>
        <w:lastRenderedPageBreak/>
        <w:t xml:space="preserve">Sufinanciranjem izgradnje, postavljanja ili uređenja spomen-obilježja žrtvama stradalim u Domovinskom ratu, na području Republike Hrvatske i obilježavanjem obljetnica ratnih događanja i stradanja hrvatskih branitelja u Domovinskom ratu, obljetnica osnivanja ratnih postrojbi, blagdana i obljetnica koje se obilježavaju na državnoj i lokalnoj razini, čuvaju se stečevine i štiti dignitet Domovinskog rata. </w:t>
      </w:r>
    </w:p>
    <w:p w:rsidR="00D849AA" w:rsidRDefault="00EE6D95">
      <w:pPr>
        <w:pStyle w:val="Normal5"/>
      </w:pPr>
      <w:r>
        <w:t>Vlada  Republike  Hrvatske  je  dijelu  groblja  “Dubrava”  u  Vukovaru  utvrdila  status “Memorijalnog groblja žrtava iz Domovinskog rata”, te Ministarstvo kroz protokolarnu i administrativnu skrb o groblju čuva uspomenu na sve stradale u obrani Vukovara, ujedno štiteći dignitet hrvatskih branitelja i svih građana Republike Hrvatske. Memorijalno groblje ušlo je u sastav novoosnovane Javne ustanove „Memorijalni centar Vukovar“.</w:t>
      </w:r>
    </w:p>
    <w:p w:rsidR="00D849AA" w:rsidRDefault="00EE6D95">
      <w:pPr>
        <w:pStyle w:val="Naslov6"/>
      </w:pPr>
      <w:r>
        <w:t>Zakonske i druge pravne osnove</w:t>
      </w:r>
    </w:p>
    <w:p w:rsidR="00D849AA" w:rsidRDefault="00EE6D95">
      <w:pPr>
        <w:pStyle w:val="Normal5"/>
      </w:pPr>
      <w:r>
        <w:t xml:space="preserve">- Zakon  o  pravima  hrvatskih  branitelja  iz  Domovinskog  rata  i  članova  njihovih obitelji (NN 174/04, 92/05, 02/07, 107/07, 65/09, 137/09, 146/10, 55/11, 140/12 i 19/13) </w:t>
      </w:r>
    </w:p>
    <w:p w:rsidR="00D849AA" w:rsidRDefault="00EE6D95">
      <w:pPr>
        <w:pStyle w:val="Normal5"/>
      </w:pPr>
      <w:r>
        <w:t xml:space="preserve">- Zakon o obilježavanju mjesta masovnih grobnica žrtava iz Domovinskog rata (NN 100/96) </w:t>
      </w:r>
    </w:p>
    <w:p w:rsidR="00D849AA" w:rsidRDefault="00EE6D95">
      <w:pPr>
        <w:pStyle w:val="Normal5"/>
      </w:pPr>
      <w:r>
        <w:t xml:space="preserve">- Zakon o sustavu državne uprave (NN 150/11) </w:t>
      </w:r>
    </w:p>
    <w:p w:rsidR="00D849AA" w:rsidRDefault="00EE6D95">
      <w:pPr>
        <w:pStyle w:val="Normal5"/>
      </w:pPr>
      <w:r>
        <w:t xml:space="preserve">- Zaključak Vlade Republike Hrvatske (Klasa: 564-02/00-01/03, Urbroj:5030104-00-4 od 16. studenoga 2000.) koji je dijelu groblja „Dubrava“ u Vukovaru utvrđen status „Memorijalno groblje žrtava iz Domovinskog rata u Vukovaru“ </w:t>
      </w:r>
    </w:p>
    <w:p w:rsidR="00D849AA" w:rsidRDefault="00EE6D95">
      <w:pPr>
        <w:pStyle w:val="Normal5"/>
      </w:pPr>
      <w:r>
        <w:t xml:space="preserve">- Uredba o osnivanju javne ustanove „Memorijalni centar Domovinskog rata Vukovar“ (NN 54/13) </w:t>
      </w:r>
    </w:p>
    <w:p w:rsidR="00D849AA" w:rsidRDefault="00EE6D95">
      <w:pPr>
        <w:pStyle w:val="Normal5"/>
      </w:pPr>
      <w:r>
        <w:t>- Program Vlade Republike Hrvatske 2011.-2015.</w:t>
      </w:r>
    </w:p>
    <w:p w:rsidR="00575FBE" w:rsidRDefault="00575FBE">
      <w:pPr>
        <w:pStyle w:val="Normal5"/>
      </w:pP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Cilj 1. Očuvanje digniteta i promicanje vrijednosti Domovinskog rata</w:t>
      </w:r>
    </w:p>
    <w:p w:rsidR="00575FBE" w:rsidRDefault="00EE6D95" w:rsidP="00575FBE">
      <w:pPr>
        <w:pStyle w:val="Normal6"/>
      </w:pPr>
      <w:r>
        <w:t>Sufinanciranjem izgradnje, postavljanja ili uređenja spomen-obilježja žrtvama stradalim u Domovinskom ratu, na području Republike Hrvatske te obilježavanjem blagdana, državnih praznika i godišnjica vezanih za Domovinski rat, ratne postrojbe, stradanja branitelja i/ili civila, kako na državnoj tako na lokalnoj razini, čuvaju se stečevine i štiti dignitet Domovinskog rata. Prednost u odobravanju sredstava sufinanciranja izgradnje spomenika imaju oni projekti na područjima lokalne ili područne (regionalne) samouprave u kojima nema izgrađenog spomenika odnosno oni projekti koji su vezani za određene događaje, osobe ili postrojbe iz Domovinskog rata za koje do danas nije izgrađen spomenik. Sufinancirani projekti moraju udovoljavati estetskim, arhitektonskim, urbanističkim i ostalim stručnim uvjetima.</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A202BD" w:rsidRDefault="00EE6D95">
            <w:pPr>
              <w:rPr>
                <w:rFonts w:ascii="Arial" w:hAnsi="Arial" w:cs="Arial"/>
              </w:rPr>
            </w:pPr>
            <w:r w:rsidRPr="00A202BD">
              <w:rPr>
                <w:rFonts w:ascii="Arial" w:hAnsi="Arial" w:cs="Arial"/>
              </w:rPr>
              <w:t>Pokazatelj učinka</w:t>
            </w:r>
          </w:p>
        </w:tc>
        <w:tc>
          <w:tcPr>
            <w:tcW w:w="1114" w:type="dxa"/>
            <w:shd w:val="clear" w:color="auto" w:fill="B5C0D8"/>
          </w:tcPr>
          <w:p w:rsidR="00D849AA" w:rsidRPr="00A202BD" w:rsidRDefault="00EE6D95">
            <w:pPr>
              <w:pStyle w:val="CellHeader"/>
            </w:pPr>
            <w:r w:rsidRPr="00A202BD">
              <w:t>Jedinica</w:t>
            </w:r>
          </w:p>
        </w:tc>
        <w:tc>
          <w:tcPr>
            <w:tcW w:w="1114" w:type="dxa"/>
            <w:shd w:val="clear" w:color="auto" w:fill="B5C0D8"/>
          </w:tcPr>
          <w:p w:rsidR="00D849AA" w:rsidRPr="00A202BD" w:rsidRDefault="00EE6D95">
            <w:pPr>
              <w:pStyle w:val="CellHeader"/>
            </w:pPr>
            <w:r w:rsidRPr="00A202BD">
              <w:t>Polazna vrijednost</w:t>
            </w:r>
          </w:p>
        </w:tc>
        <w:tc>
          <w:tcPr>
            <w:tcW w:w="1486" w:type="dxa"/>
            <w:shd w:val="clear" w:color="auto" w:fill="B5C0D8"/>
          </w:tcPr>
          <w:p w:rsidR="00D849AA" w:rsidRPr="00A202BD" w:rsidRDefault="00EE6D95">
            <w:pPr>
              <w:pStyle w:val="CellHeader"/>
            </w:pPr>
            <w:r w:rsidRPr="00A202BD">
              <w:t>Ciljana vrijednost (2014.)</w:t>
            </w:r>
          </w:p>
        </w:tc>
        <w:tc>
          <w:tcPr>
            <w:tcW w:w="1486" w:type="dxa"/>
            <w:shd w:val="clear" w:color="auto" w:fill="B5C0D8"/>
          </w:tcPr>
          <w:p w:rsidR="00D849AA" w:rsidRPr="00A202BD" w:rsidRDefault="00EE6D95">
            <w:pPr>
              <w:pStyle w:val="CellHeader"/>
            </w:pPr>
            <w:r w:rsidRPr="00A202BD">
              <w:t>Ciljana vrijednost (2015.)</w:t>
            </w:r>
          </w:p>
        </w:tc>
        <w:tc>
          <w:tcPr>
            <w:tcW w:w="1486" w:type="dxa"/>
            <w:shd w:val="clear" w:color="auto" w:fill="B5C0D8"/>
          </w:tcPr>
          <w:p w:rsidR="00D849AA" w:rsidRPr="00A202BD" w:rsidRDefault="00EE6D95">
            <w:pPr>
              <w:pStyle w:val="CellHeader"/>
            </w:pPr>
            <w:r w:rsidRPr="00A202BD">
              <w:t>Ciljana vrijednost (2016.)</w:t>
            </w:r>
          </w:p>
        </w:tc>
      </w:tr>
      <w:tr w:rsidR="00D849AA">
        <w:trPr>
          <w:jc w:val="center"/>
        </w:trPr>
        <w:tc>
          <w:tcPr>
            <w:tcW w:w="2229" w:type="dxa"/>
          </w:tcPr>
          <w:p w:rsidR="00D849AA" w:rsidRPr="00A202BD" w:rsidRDefault="00EE6D95">
            <w:pPr>
              <w:pStyle w:val="CellColumn"/>
            </w:pPr>
            <w:r w:rsidRPr="00A202BD">
              <w:t>Povećanje broja aktivnosti s ciljem očuvanja digniteta i promicanja vrijednosti Domovinskog rata</w:t>
            </w:r>
          </w:p>
        </w:tc>
        <w:tc>
          <w:tcPr>
            <w:tcW w:w="1114" w:type="dxa"/>
          </w:tcPr>
          <w:p w:rsidR="00D849AA" w:rsidRPr="00A202BD" w:rsidRDefault="00EE6D95">
            <w:pPr>
              <w:rPr>
                <w:rFonts w:ascii="Arial" w:hAnsi="Arial" w:cs="Arial"/>
              </w:rPr>
            </w:pPr>
            <w:r w:rsidRPr="00A202BD">
              <w:rPr>
                <w:rFonts w:ascii="Arial" w:hAnsi="Arial" w:cs="Arial"/>
              </w:rPr>
              <w:t>broj</w:t>
            </w:r>
          </w:p>
        </w:tc>
        <w:tc>
          <w:tcPr>
            <w:tcW w:w="1114" w:type="dxa"/>
          </w:tcPr>
          <w:p w:rsidR="00D849AA" w:rsidRPr="00A202BD" w:rsidRDefault="00EE6D95">
            <w:pPr>
              <w:rPr>
                <w:rFonts w:ascii="Arial" w:hAnsi="Arial" w:cs="Arial"/>
              </w:rPr>
            </w:pPr>
            <w:r w:rsidRPr="00A202BD">
              <w:rPr>
                <w:rFonts w:ascii="Arial" w:hAnsi="Arial" w:cs="Arial"/>
              </w:rPr>
              <w:t>6</w:t>
            </w:r>
          </w:p>
        </w:tc>
        <w:tc>
          <w:tcPr>
            <w:tcW w:w="1486" w:type="dxa"/>
          </w:tcPr>
          <w:p w:rsidR="00D849AA" w:rsidRPr="00A202BD" w:rsidRDefault="00EE6D95">
            <w:pPr>
              <w:rPr>
                <w:rFonts w:ascii="Arial" w:hAnsi="Arial" w:cs="Arial"/>
              </w:rPr>
            </w:pPr>
            <w:r w:rsidRPr="00A202BD">
              <w:rPr>
                <w:rFonts w:ascii="Arial" w:hAnsi="Arial" w:cs="Arial"/>
              </w:rPr>
              <w:t>7</w:t>
            </w:r>
          </w:p>
        </w:tc>
        <w:tc>
          <w:tcPr>
            <w:tcW w:w="1486" w:type="dxa"/>
          </w:tcPr>
          <w:p w:rsidR="00D849AA" w:rsidRPr="00A202BD" w:rsidRDefault="00EE6D95">
            <w:pPr>
              <w:rPr>
                <w:rFonts w:ascii="Arial" w:hAnsi="Arial" w:cs="Arial"/>
              </w:rPr>
            </w:pPr>
            <w:r w:rsidRPr="00A202BD">
              <w:rPr>
                <w:rFonts w:ascii="Arial" w:hAnsi="Arial" w:cs="Arial"/>
              </w:rPr>
              <w:t>8</w:t>
            </w:r>
          </w:p>
        </w:tc>
        <w:tc>
          <w:tcPr>
            <w:tcW w:w="1486" w:type="dxa"/>
          </w:tcPr>
          <w:p w:rsidR="00D849AA" w:rsidRPr="00A202BD" w:rsidRDefault="00EE6D95">
            <w:pPr>
              <w:rPr>
                <w:rFonts w:ascii="Arial" w:hAnsi="Arial" w:cs="Arial"/>
              </w:rPr>
            </w:pPr>
            <w:r w:rsidRPr="00A202BD">
              <w:rPr>
                <w:rFonts w:ascii="Arial" w:hAnsi="Arial" w:cs="Arial"/>
              </w:rPr>
              <w:t>9</w:t>
            </w:r>
          </w:p>
        </w:tc>
      </w:tr>
    </w:tbl>
    <w:p w:rsidR="00D849AA" w:rsidRDefault="00575FBE" w:rsidP="00575FBE">
      <w:pPr>
        <w:pStyle w:val="Naslov5"/>
        <w:ind w:left="0" w:firstLine="0"/>
      </w:pPr>
      <w:r>
        <w:rPr>
          <w:b w:val="0"/>
          <w:sz w:val="22"/>
          <w:szCs w:val="20"/>
        </w:rPr>
        <w:lastRenderedPageBreak/>
        <w:t xml:space="preserve">     </w:t>
      </w:r>
      <w:r w:rsidR="00EE6D95">
        <w:t>Procjena i ishodište potrebnih sredstava za značajnije aktivnosti/projekte</w:t>
      </w:r>
    </w:p>
    <w:p w:rsidR="00D849AA" w:rsidRDefault="00EE6D95">
      <w:pPr>
        <w:pStyle w:val="Naslov6"/>
      </w:pPr>
      <w:r>
        <w:t>K558037 OBILJEŽAVANJE MJESTA MASOVNIH GROBNICA ŽRTAVA IZ DOMOVINSKOG RATA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A202BD" w:rsidRDefault="00EE6D95">
            <w:pPr>
              <w:pStyle w:val="CellHeader"/>
            </w:pPr>
            <w:r w:rsidRPr="00A202BD">
              <w:t>Naziv aktivnosti</w:t>
            </w:r>
          </w:p>
        </w:tc>
        <w:tc>
          <w:tcPr>
            <w:tcW w:w="1486" w:type="dxa"/>
            <w:shd w:val="clear" w:color="auto" w:fill="B5C0D8"/>
          </w:tcPr>
          <w:p w:rsidR="00D849AA" w:rsidRPr="00A202BD" w:rsidRDefault="00EE6D95">
            <w:pPr>
              <w:pStyle w:val="CellHeader"/>
            </w:pPr>
            <w:r w:rsidRPr="00A202BD">
              <w:t>Plan 2013.</w:t>
            </w:r>
          </w:p>
        </w:tc>
        <w:tc>
          <w:tcPr>
            <w:tcW w:w="1486" w:type="dxa"/>
            <w:shd w:val="clear" w:color="auto" w:fill="B5C0D8"/>
          </w:tcPr>
          <w:p w:rsidR="00D849AA" w:rsidRPr="00A202BD" w:rsidRDefault="00EE6D95">
            <w:pPr>
              <w:pStyle w:val="CellHeader"/>
            </w:pPr>
            <w:r w:rsidRPr="00A202BD">
              <w:t>Plan 2014.</w:t>
            </w:r>
          </w:p>
        </w:tc>
        <w:tc>
          <w:tcPr>
            <w:tcW w:w="1486" w:type="dxa"/>
            <w:shd w:val="clear" w:color="auto" w:fill="B5C0D8"/>
          </w:tcPr>
          <w:p w:rsidR="00D849AA" w:rsidRPr="00A202BD" w:rsidRDefault="00EE6D95">
            <w:pPr>
              <w:pStyle w:val="CellHeader"/>
            </w:pPr>
            <w:r w:rsidRPr="00A202BD">
              <w:t>Plan 2015.</w:t>
            </w:r>
          </w:p>
        </w:tc>
        <w:tc>
          <w:tcPr>
            <w:tcW w:w="1486" w:type="dxa"/>
            <w:shd w:val="clear" w:color="auto" w:fill="B5C0D8"/>
          </w:tcPr>
          <w:p w:rsidR="00D849AA" w:rsidRPr="00A202BD" w:rsidRDefault="00EE6D95">
            <w:pPr>
              <w:pStyle w:val="CellHeader"/>
            </w:pPr>
            <w:r w:rsidRPr="00A202BD">
              <w:t>Plan 2016.</w:t>
            </w:r>
          </w:p>
        </w:tc>
        <w:tc>
          <w:tcPr>
            <w:tcW w:w="1486" w:type="dxa"/>
            <w:shd w:val="clear" w:color="auto" w:fill="B5C0D8"/>
          </w:tcPr>
          <w:p w:rsidR="00D849AA" w:rsidRPr="00A202BD" w:rsidRDefault="00EE6D95">
            <w:pPr>
              <w:pStyle w:val="CellHeader"/>
            </w:pPr>
            <w:r w:rsidRPr="00A202BD">
              <w:t>Indeks 2014/2013</w:t>
            </w:r>
          </w:p>
        </w:tc>
      </w:tr>
      <w:tr w:rsidR="00D849AA">
        <w:trPr>
          <w:jc w:val="center"/>
        </w:trPr>
        <w:tc>
          <w:tcPr>
            <w:tcW w:w="1486" w:type="dxa"/>
          </w:tcPr>
          <w:p w:rsidR="00D849AA" w:rsidRPr="00A202BD" w:rsidRDefault="00EE6D95">
            <w:pPr>
              <w:pStyle w:val="CellColumn"/>
            </w:pPr>
            <w:r w:rsidRPr="00A202BD">
              <w:t>K558037</w:t>
            </w:r>
          </w:p>
        </w:tc>
        <w:tc>
          <w:tcPr>
            <w:tcW w:w="1486" w:type="dxa"/>
          </w:tcPr>
          <w:p w:rsidR="00D849AA" w:rsidRPr="00A202BD" w:rsidRDefault="00EE6D95">
            <w:pPr>
              <w:rPr>
                <w:rFonts w:ascii="Arial" w:hAnsi="Arial" w:cs="Arial"/>
              </w:rPr>
            </w:pPr>
            <w:r w:rsidRPr="00A202BD">
              <w:rPr>
                <w:rFonts w:ascii="Arial" w:hAnsi="Arial" w:cs="Arial"/>
              </w:rPr>
              <w:t>2.000.000</w:t>
            </w:r>
          </w:p>
        </w:tc>
        <w:tc>
          <w:tcPr>
            <w:tcW w:w="1486" w:type="dxa"/>
          </w:tcPr>
          <w:p w:rsidR="00D849AA" w:rsidRPr="00A202BD" w:rsidRDefault="00EE6D95">
            <w:pPr>
              <w:rPr>
                <w:rFonts w:ascii="Arial" w:hAnsi="Arial" w:cs="Arial"/>
              </w:rPr>
            </w:pPr>
            <w:r w:rsidRPr="00A202BD">
              <w:rPr>
                <w:rFonts w:ascii="Arial" w:hAnsi="Arial" w:cs="Arial"/>
              </w:rPr>
              <w:t>2.000.000</w:t>
            </w:r>
          </w:p>
        </w:tc>
        <w:tc>
          <w:tcPr>
            <w:tcW w:w="1486" w:type="dxa"/>
          </w:tcPr>
          <w:p w:rsidR="00D849AA" w:rsidRPr="00A202BD" w:rsidRDefault="00EE6D95">
            <w:pPr>
              <w:rPr>
                <w:rFonts w:ascii="Arial" w:hAnsi="Arial" w:cs="Arial"/>
              </w:rPr>
            </w:pPr>
            <w:r w:rsidRPr="00A202BD">
              <w:rPr>
                <w:rFonts w:ascii="Arial" w:hAnsi="Arial" w:cs="Arial"/>
              </w:rPr>
              <w:t>2.000.000</w:t>
            </w:r>
          </w:p>
        </w:tc>
        <w:tc>
          <w:tcPr>
            <w:tcW w:w="1486" w:type="dxa"/>
          </w:tcPr>
          <w:p w:rsidR="00D849AA" w:rsidRPr="00A202BD" w:rsidRDefault="00EE6D95">
            <w:pPr>
              <w:rPr>
                <w:rFonts w:ascii="Arial" w:hAnsi="Arial" w:cs="Arial"/>
              </w:rPr>
            </w:pPr>
            <w:r w:rsidRPr="00A202BD">
              <w:rPr>
                <w:rFonts w:ascii="Arial" w:hAnsi="Arial" w:cs="Arial"/>
              </w:rPr>
              <w:t>2.000.000</w:t>
            </w:r>
          </w:p>
        </w:tc>
        <w:tc>
          <w:tcPr>
            <w:tcW w:w="1486" w:type="dxa"/>
          </w:tcPr>
          <w:p w:rsidR="00D849AA" w:rsidRPr="00A202BD" w:rsidRDefault="00EE6D95">
            <w:pPr>
              <w:rPr>
                <w:rFonts w:ascii="Arial" w:hAnsi="Arial" w:cs="Arial"/>
              </w:rPr>
            </w:pPr>
            <w:r w:rsidRPr="00A202BD">
              <w:rPr>
                <w:rFonts w:ascii="Arial" w:hAnsi="Arial" w:cs="Arial"/>
              </w:rPr>
              <w:t>100,0</w:t>
            </w:r>
          </w:p>
        </w:tc>
      </w:tr>
    </w:tbl>
    <w:p w:rsidR="00D849AA" w:rsidRDefault="00D849AA">
      <w:pPr>
        <w:jc w:val="left"/>
      </w:pPr>
    </w:p>
    <w:p w:rsidR="00D849AA" w:rsidRDefault="00EE6D95">
      <w:pPr>
        <w:pStyle w:val="Normal6"/>
      </w:pPr>
      <w:r>
        <w:t xml:space="preserve">Mjesta masovnih grobnica žrtava iz Domovinskog rata obilježavaju se sukladno Zakonu o obilježavanju mjesta masovnih grobnica žrtava iz Domovinskog rata i Zakonu o pravima hrvatskih branitelja iz Domovinskog rata i članova njihovih obitelji, a radi trajnog očuvanja uspomene na žrtve iz Domovinskog rata stradale tijekom agresije na Republiku Hrvatsku. Masovnom grobnicom (definicija je usklađena s posebnim izvjestiteljima UN-a za izvanpravne masovne ili arbitrarne egzekucije) smatra se mjesto gdje su nelegalno pokopani posmrtni ostaci triju ili više žrtava bez obilježja i mjera poštovanja prema posmrtnim ostacima. Obilježavanje se u pravilu obavlja na mjestu ekshumacije ili na najbližoj prikladnoj lokaciji. Spomen-obilježje je jednako za sva mjesta masovnih grobnica, a mijenja se samo podatak o broju i statusu žrtava i vremenu stradavanja. </w:t>
      </w:r>
    </w:p>
    <w:p w:rsidR="00D849AA" w:rsidRDefault="00EE6D95">
      <w:pPr>
        <w:pStyle w:val="Normal6"/>
      </w:pPr>
      <w:r>
        <w:t>Krajnji cilj Ministarstva je obilježiti sva mjesta ekshumacije, odnosno stalno smanjenje broja neobilježenih mjesta masovnih grobnica žrtava iz Domovinskog rata. S obzirom na visinu proračunskih sredstava, u idućem trogodišnjem razdoblju nastojat će se održati kontinuitet obilježavanja minimalno tri mjesta masovnih grobnica svake godine.</w:t>
      </w:r>
    </w:p>
    <w:p w:rsidR="00221AEF" w:rsidRDefault="00221AEF">
      <w:pPr>
        <w:pStyle w:val="Normal6"/>
      </w:pP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A202BD" w:rsidRDefault="00EE6D95">
            <w:pPr>
              <w:rPr>
                <w:rFonts w:ascii="Arial" w:hAnsi="Arial" w:cs="Arial"/>
              </w:rPr>
            </w:pPr>
            <w:r w:rsidRPr="00A202BD">
              <w:rPr>
                <w:rFonts w:ascii="Arial" w:hAnsi="Arial" w:cs="Arial"/>
              </w:rPr>
              <w:t>Pokazatelj rezultata</w:t>
            </w:r>
          </w:p>
        </w:tc>
        <w:tc>
          <w:tcPr>
            <w:tcW w:w="1114" w:type="dxa"/>
            <w:shd w:val="clear" w:color="auto" w:fill="B5C0D8"/>
          </w:tcPr>
          <w:p w:rsidR="00D849AA" w:rsidRPr="00A202BD" w:rsidRDefault="00EE6D95">
            <w:pPr>
              <w:pStyle w:val="CellHeader"/>
            </w:pPr>
            <w:r w:rsidRPr="00A202BD">
              <w:t>Jedinica</w:t>
            </w:r>
          </w:p>
        </w:tc>
        <w:tc>
          <w:tcPr>
            <w:tcW w:w="1114" w:type="dxa"/>
            <w:shd w:val="clear" w:color="auto" w:fill="B5C0D8"/>
          </w:tcPr>
          <w:p w:rsidR="00D849AA" w:rsidRPr="00A202BD" w:rsidRDefault="00EE6D95">
            <w:pPr>
              <w:pStyle w:val="CellHeader"/>
            </w:pPr>
            <w:r w:rsidRPr="00A202BD">
              <w:t>Polazna vrijednost</w:t>
            </w:r>
          </w:p>
        </w:tc>
        <w:tc>
          <w:tcPr>
            <w:tcW w:w="1486" w:type="dxa"/>
            <w:shd w:val="clear" w:color="auto" w:fill="B5C0D8"/>
          </w:tcPr>
          <w:p w:rsidR="00D849AA" w:rsidRPr="00A202BD" w:rsidRDefault="00EE6D95">
            <w:pPr>
              <w:pStyle w:val="CellHeader"/>
            </w:pPr>
            <w:r w:rsidRPr="00A202BD">
              <w:t>Ciljana vrijednost (2014.)</w:t>
            </w:r>
          </w:p>
        </w:tc>
        <w:tc>
          <w:tcPr>
            <w:tcW w:w="1486" w:type="dxa"/>
            <w:shd w:val="clear" w:color="auto" w:fill="B5C0D8"/>
          </w:tcPr>
          <w:p w:rsidR="00D849AA" w:rsidRPr="00A202BD" w:rsidRDefault="00EE6D95">
            <w:pPr>
              <w:pStyle w:val="CellHeader"/>
            </w:pPr>
            <w:r w:rsidRPr="00A202BD">
              <w:t>Ciljana vrijednost (2015.)</w:t>
            </w:r>
          </w:p>
        </w:tc>
        <w:tc>
          <w:tcPr>
            <w:tcW w:w="1486" w:type="dxa"/>
            <w:shd w:val="clear" w:color="auto" w:fill="B5C0D8"/>
          </w:tcPr>
          <w:p w:rsidR="00D849AA" w:rsidRPr="00A202BD" w:rsidRDefault="00EE6D95">
            <w:pPr>
              <w:pStyle w:val="CellHeader"/>
            </w:pPr>
            <w:r w:rsidRPr="00A202BD">
              <w:t>Ciljana vrijednost (2016.)</w:t>
            </w:r>
          </w:p>
        </w:tc>
      </w:tr>
      <w:tr w:rsidR="00D849AA">
        <w:trPr>
          <w:jc w:val="center"/>
        </w:trPr>
        <w:tc>
          <w:tcPr>
            <w:tcW w:w="2229" w:type="dxa"/>
          </w:tcPr>
          <w:p w:rsidR="00D849AA" w:rsidRPr="00A202BD" w:rsidRDefault="00EE6D95">
            <w:pPr>
              <w:pStyle w:val="CellColumn"/>
            </w:pPr>
            <w:r w:rsidRPr="00A202BD">
              <w:t>Povećanje opsega teritorijalne pokrivenosti spomen-obilježjima</w:t>
            </w:r>
          </w:p>
        </w:tc>
        <w:tc>
          <w:tcPr>
            <w:tcW w:w="1114" w:type="dxa"/>
          </w:tcPr>
          <w:p w:rsidR="00D849AA" w:rsidRPr="00A202BD" w:rsidRDefault="00EE6D95">
            <w:pPr>
              <w:rPr>
                <w:rFonts w:ascii="Arial" w:hAnsi="Arial" w:cs="Arial"/>
              </w:rPr>
            </w:pPr>
            <w:r w:rsidRPr="00A202BD">
              <w:rPr>
                <w:rFonts w:ascii="Arial" w:hAnsi="Arial" w:cs="Arial"/>
              </w:rPr>
              <w:t>%</w:t>
            </w:r>
          </w:p>
        </w:tc>
        <w:tc>
          <w:tcPr>
            <w:tcW w:w="1114" w:type="dxa"/>
          </w:tcPr>
          <w:p w:rsidR="00D849AA" w:rsidRPr="00A202BD" w:rsidRDefault="00EE6D95">
            <w:pPr>
              <w:rPr>
                <w:rFonts w:ascii="Arial" w:hAnsi="Arial" w:cs="Arial"/>
              </w:rPr>
            </w:pPr>
            <w:r w:rsidRPr="00A202BD">
              <w:rPr>
                <w:rFonts w:ascii="Arial" w:hAnsi="Arial" w:cs="Arial"/>
              </w:rPr>
              <w:t>82</w:t>
            </w:r>
          </w:p>
        </w:tc>
        <w:tc>
          <w:tcPr>
            <w:tcW w:w="1486" w:type="dxa"/>
          </w:tcPr>
          <w:p w:rsidR="00D849AA" w:rsidRPr="00A202BD" w:rsidRDefault="00EE6D95">
            <w:pPr>
              <w:rPr>
                <w:rFonts w:ascii="Arial" w:hAnsi="Arial" w:cs="Arial"/>
              </w:rPr>
            </w:pPr>
            <w:r w:rsidRPr="00A202BD">
              <w:rPr>
                <w:rFonts w:ascii="Arial" w:hAnsi="Arial" w:cs="Arial"/>
              </w:rPr>
              <w:t>85</w:t>
            </w:r>
          </w:p>
        </w:tc>
        <w:tc>
          <w:tcPr>
            <w:tcW w:w="1486" w:type="dxa"/>
          </w:tcPr>
          <w:p w:rsidR="00D849AA" w:rsidRPr="00A202BD" w:rsidRDefault="00EE6D95">
            <w:pPr>
              <w:rPr>
                <w:rFonts w:ascii="Arial" w:hAnsi="Arial" w:cs="Arial"/>
              </w:rPr>
            </w:pPr>
            <w:r w:rsidRPr="00A202BD">
              <w:rPr>
                <w:rFonts w:ascii="Arial" w:hAnsi="Arial" w:cs="Arial"/>
              </w:rPr>
              <w:t>87</w:t>
            </w:r>
          </w:p>
        </w:tc>
        <w:tc>
          <w:tcPr>
            <w:tcW w:w="1486" w:type="dxa"/>
          </w:tcPr>
          <w:p w:rsidR="00D849AA" w:rsidRPr="00A202BD" w:rsidRDefault="00EE6D95">
            <w:pPr>
              <w:rPr>
                <w:rFonts w:ascii="Arial" w:hAnsi="Arial" w:cs="Arial"/>
              </w:rPr>
            </w:pPr>
            <w:r w:rsidRPr="00A202BD">
              <w:rPr>
                <w:rFonts w:ascii="Arial" w:hAnsi="Arial" w:cs="Arial"/>
              </w:rPr>
              <w:t>88</w:t>
            </w:r>
          </w:p>
        </w:tc>
      </w:tr>
      <w:tr w:rsidR="00D849AA">
        <w:trPr>
          <w:jc w:val="center"/>
        </w:trPr>
        <w:tc>
          <w:tcPr>
            <w:tcW w:w="2229" w:type="dxa"/>
          </w:tcPr>
          <w:p w:rsidR="00D849AA" w:rsidRPr="00A202BD" w:rsidRDefault="00EE6D95">
            <w:pPr>
              <w:pStyle w:val="CellColumn"/>
            </w:pPr>
            <w:r w:rsidRPr="00A202BD">
              <w:t>Broj obilježenih mjesta masovnih grobnica u odnosu na otkrivene</w:t>
            </w:r>
          </w:p>
        </w:tc>
        <w:tc>
          <w:tcPr>
            <w:tcW w:w="1114" w:type="dxa"/>
          </w:tcPr>
          <w:p w:rsidR="00D849AA" w:rsidRPr="00A202BD" w:rsidRDefault="00EE6D95">
            <w:pPr>
              <w:rPr>
                <w:rFonts w:ascii="Arial" w:hAnsi="Arial" w:cs="Arial"/>
              </w:rPr>
            </w:pPr>
            <w:r w:rsidRPr="00A202BD">
              <w:rPr>
                <w:rFonts w:ascii="Arial" w:hAnsi="Arial" w:cs="Arial"/>
              </w:rPr>
              <w:t>Broj</w:t>
            </w:r>
          </w:p>
        </w:tc>
        <w:tc>
          <w:tcPr>
            <w:tcW w:w="1114" w:type="dxa"/>
          </w:tcPr>
          <w:p w:rsidR="00D849AA" w:rsidRPr="00A202BD" w:rsidRDefault="00EE6D95">
            <w:pPr>
              <w:rPr>
                <w:rFonts w:ascii="Arial" w:hAnsi="Arial" w:cs="Arial"/>
              </w:rPr>
            </w:pPr>
            <w:r w:rsidRPr="00A202BD">
              <w:rPr>
                <w:rFonts w:ascii="Arial" w:hAnsi="Arial" w:cs="Arial"/>
              </w:rPr>
              <w:t>60</w:t>
            </w:r>
          </w:p>
        </w:tc>
        <w:tc>
          <w:tcPr>
            <w:tcW w:w="1486" w:type="dxa"/>
          </w:tcPr>
          <w:p w:rsidR="00D849AA" w:rsidRPr="00A202BD" w:rsidRDefault="00EE6D95">
            <w:pPr>
              <w:rPr>
                <w:rFonts w:ascii="Arial" w:hAnsi="Arial" w:cs="Arial"/>
              </w:rPr>
            </w:pPr>
            <w:r w:rsidRPr="00A202BD">
              <w:rPr>
                <w:rFonts w:ascii="Arial" w:hAnsi="Arial" w:cs="Arial"/>
              </w:rPr>
              <w:t>63</w:t>
            </w:r>
          </w:p>
        </w:tc>
        <w:tc>
          <w:tcPr>
            <w:tcW w:w="1486" w:type="dxa"/>
          </w:tcPr>
          <w:p w:rsidR="00D849AA" w:rsidRPr="00A202BD" w:rsidRDefault="00EE6D95">
            <w:pPr>
              <w:rPr>
                <w:rFonts w:ascii="Arial" w:hAnsi="Arial" w:cs="Arial"/>
              </w:rPr>
            </w:pPr>
            <w:r w:rsidRPr="00A202BD">
              <w:rPr>
                <w:rFonts w:ascii="Arial" w:hAnsi="Arial" w:cs="Arial"/>
              </w:rPr>
              <w:t>66</w:t>
            </w:r>
          </w:p>
        </w:tc>
        <w:tc>
          <w:tcPr>
            <w:tcW w:w="1486" w:type="dxa"/>
          </w:tcPr>
          <w:p w:rsidR="00D849AA" w:rsidRPr="00A202BD" w:rsidRDefault="00EE6D95">
            <w:pPr>
              <w:rPr>
                <w:rFonts w:ascii="Arial" w:hAnsi="Arial" w:cs="Arial"/>
              </w:rPr>
            </w:pPr>
            <w:r w:rsidRPr="00A202BD">
              <w:rPr>
                <w:rFonts w:ascii="Arial" w:hAnsi="Arial" w:cs="Arial"/>
              </w:rPr>
              <w:t>69</w:t>
            </w:r>
          </w:p>
        </w:tc>
      </w:tr>
    </w:tbl>
    <w:p w:rsidR="00D849AA" w:rsidRDefault="00D849AA">
      <w:pPr>
        <w:jc w:val="left"/>
      </w:pPr>
    </w:p>
    <w:p w:rsidR="00A202BD" w:rsidRDefault="00A202BD" w:rsidP="00A202BD">
      <w:pPr>
        <w:jc w:val="left"/>
      </w:pPr>
    </w:p>
    <w:p w:rsidR="00A202BD" w:rsidRDefault="00A202BD" w:rsidP="00A202BD">
      <w:pPr>
        <w:pStyle w:val="Naslov4"/>
      </w:pPr>
      <w:r>
        <w:t>OBRAZLOŽENJE PROGRAMA</w:t>
      </w:r>
    </w:p>
    <w:p w:rsidR="00D849AA" w:rsidRDefault="00EE6D95" w:rsidP="00A202BD">
      <w:pPr>
        <w:pStyle w:val="Naslov5"/>
        <w:ind w:left="0" w:firstLine="357"/>
      </w:pPr>
      <w:r>
        <w:t>4007 SKRB ZA HRVATSKE BRANITELJE IZ DOMOVINSKOG RATA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rsidRPr="00A202BD">
        <w:trPr>
          <w:jc w:val="center"/>
        </w:trPr>
        <w:tc>
          <w:tcPr>
            <w:tcW w:w="1486" w:type="dxa"/>
            <w:shd w:val="clear" w:color="auto" w:fill="B5C0D8"/>
          </w:tcPr>
          <w:p w:rsidR="00D849AA" w:rsidRPr="00A202BD" w:rsidRDefault="00D849AA">
            <w:pPr>
              <w:pStyle w:val="CellHeader"/>
            </w:pPr>
          </w:p>
        </w:tc>
        <w:tc>
          <w:tcPr>
            <w:tcW w:w="1486" w:type="dxa"/>
            <w:shd w:val="clear" w:color="auto" w:fill="B5C0D8"/>
          </w:tcPr>
          <w:p w:rsidR="00D849AA" w:rsidRPr="00A202BD" w:rsidRDefault="00EE6D95">
            <w:pPr>
              <w:pStyle w:val="CellHeader"/>
            </w:pPr>
            <w:r w:rsidRPr="00A202BD">
              <w:t>Plan 2013.</w:t>
            </w:r>
          </w:p>
        </w:tc>
        <w:tc>
          <w:tcPr>
            <w:tcW w:w="1486" w:type="dxa"/>
            <w:shd w:val="clear" w:color="auto" w:fill="B5C0D8"/>
          </w:tcPr>
          <w:p w:rsidR="00D849AA" w:rsidRPr="00A202BD" w:rsidRDefault="00EE6D95">
            <w:pPr>
              <w:pStyle w:val="CellHeader"/>
            </w:pPr>
            <w:r w:rsidRPr="00A202BD">
              <w:t>Plan 2014.</w:t>
            </w:r>
          </w:p>
        </w:tc>
        <w:tc>
          <w:tcPr>
            <w:tcW w:w="1486" w:type="dxa"/>
            <w:shd w:val="clear" w:color="auto" w:fill="B5C0D8"/>
          </w:tcPr>
          <w:p w:rsidR="00D849AA" w:rsidRPr="00A202BD" w:rsidRDefault="00EE6D95">
            <w:pPr>
              <w:pStyle w:val="CellHeader"/>
            </w:pPr>
            <w:r w:rsidRPr="00A202BD">
              <w:t>Plan 2015.</w:t>
            </w:r>
          </w:p>
        </w:tc>
        <w:tc>
          <w:tcPr>
            <w:tcW w:w="1486" w:type="dxa"/>
            <w:shd w:val="clear" w:color="auto" w:fill="B5C0D8"/>
          </w:tcPr>
          <w:p w:rsidR="00D849AA" w:rsidRPr="00A202BD" w:rsidRDefault="00EE6D95">
            <w:pPr>
              <w:pStyle w:val="CellHeader"/>
            </w:pPr>
            <w:r w:rsidRPr="00A202BD">
              <w:t>Plan 2016.</w:t>
            </w:r>
          </w:p>
        </w:tc>
        <w:tc>
          <w:tcPr>
            <w:tcW w:w="1486" w:type="dxa"/>
            <w:shd w:val="clear" w:color="auto" w:fill="B5C0D8"/>
          </w:tcPr>
          <w:p w:rsidR="00D849AA" w:rsidRPr="00A202BD" w:rsidRDefault="00EE6D95">
            <w:pPr>
              <w:pStyle w:val="CellHeader"/>
            </w:pPr>
            <w:r w:rsidRPr="00A202BD">
              <w:t>Indeks 2014/2013</w:t>
            </w:r>
          </w:p>
        </w:tc>
      </w:tr>
      <w:tr w:rsidR="00D849AA" w:rsidRPr="00A202BD">
        <w:trPr>
          <w:jc w:val="center"/>
        </w:trPr>
        <w:tc>
          <w:tcPr>
            <w:tcW w:w="1486" w:type="dxa"/>
          </w:tcPr>
          <w:p w:rsidR="00D849AA" w:rsidRPr="00A202BD" w:rsidRDefault="00EE6D95">
            <w:pPr>
              <w:pStyle w:val="CellColumn"/>
            </w:pPr>
            <w:r w:rsidRPr="00A202BD">
              <w:t>4007</w:t>
            </w:r>
          </w:p>
        </w:tc>
        <w:tc>
          <w:tcPr>
            <w:tcW w:w="1486" w:type="dxa"/>
          </w:tcPr>
          <w:p w:rsidR="00D849AA" w:rsidRPr="00A202BD" w:rsidRDefault="00EE6D95">
            <w:pPr>
              <w:rPr>
                <w:rFonts w:ascii="Arial" w:hAnsi="Arial" w:cs="Arial"/>
              </w:rPr>
            </w:pPr>
            <w:r w:rsidRPr="00A202BD">
              <w:rPr>
                <w:rFonts w:ascii="Arial" w:hAnsi="Arial" w:cs="Arial"/>
              </w:rPr>
              <w:t>888.531.679</w:t>
            </w:r>
          </w:p>
        </w:tc>
        <w:tc>
          <w:tcPr>
            <w:tcW w:w="1486" w:type="dxa"/>
          </w:tcPr>
          <w:p w:rsidR="00D849AA" w:rsidRPr="00A202BD" w:rsidRDefault="00EE6D95">
            <w:pPr>
              <w:rPr>
                <w:rFonts w:ascii="Arial" w:hAnsi="Arial" w:cs="Arial"/>
              </w:rPr>
            </w:pPr>
            <w:r w:rsidRPr="00A202BD">
              <w:rPr>
                <w:rFonts w:ascii="Arial" w:hAnsi="Arial" w:cs="Arial"/>
              </w:rPr>
              <w:t>793.719.861</w:t>
            </w:r>
          </w:p>
        </w:tc>
        <w:tc>
          <w:tcPr>
            <w:tcW w:w="1486" w:type="dxa"/>
          </w:tcPr>
          <w:p w:rsidR="00D849AA" w:rsidRPr="00A202BD" w:rsidRDefault="00EE6D95">
            <w:pPr>
              <w:rPr>
                <w:rFonts w:ascii="Arial" w:hAnsi="Arial" w:cs="Arial"/>
              </w:rPr>
            </w:pPr>
            <w:r w:rsidRPr="00A202BD">
              <w:rPr>
                <w:rFonts w:ascii="Arial" w:hAnsi="Arial" w:cs="Arial"/>
              </w:rPr>
              <w:t>772.321.735</w:t>
            </w:r>
          </w:p>
        </w:tc>
        <w:tc>
          <w:tcPr>
            <w:tcW w:w="1486" w:type="dxa"/>
          </w:tcPr>
          <w:p w:rsidR="00D849AA" w:rsidRPr="00A202BD" w:rsidRDefault="00EE6D95">
            <w:pPr>
              <w:rPr>
                <w:rFonts w:ascii="Arial" w:hAnsi="Arial" w:cs="Arial"/>
              </w:rPr>
            </w:pPr>
            <w:r w:rsidRPr="00A202BD">
              <w:rPr>
                <w:rFonts w:ascii="Arial" w:hAnsi="Arial" w:cs="Arial"/>
              </w:rPr>
              <w:t>783.521.237</w:t>
            </w:r>
          </w:p>
        </w:tc>
        <w:tc>
          <w:tcPr>
            <w:tcW w:w="1486" w:type="dxa"/>
          </w:tcPr>
          <w:p w:rsidR="00D849AA" w:rsidRPr="00A202BD" w:rsidRDefault="00EE6D95">
            <w:pPr>
              <w:rPr>
                <w:rFonts w:ascii="Arial" w:hAnsi="Arial" w:cs="Arial"/>
              </w:rPr>
            </w:pPr>
            <w:r w:rsidRPr="00A202BD">
              <w:rPr>
                <w:rFonts w:ascii="Arial" w:hAnsi="Arial" w:cs="Arial"/>
              </w:rPr>
              <w:t>89,3</w:t>
            </w:r>
          </w:p>
        </w:tc>
      </w:tr>
    </w:tbl>
    <w:p w:rsidR="00D849AA" w:rsidRDefault="00EE6D95">
      <w:pPr>
        <w:pStyle w:val="Naslov6"/>
      </w:pPr>
      <w:r>
        <w:lastRenderedPageBreak/>
        <w:t>Opis programa</w:t>
      </w:r>
    </w:p>
    <w:p w:rsidR="00D849AA" w:rsidRDefault="00EE6D95">
      <w:pPr>
        <w:pStyle w:val="Normal5"/>
      </w:pPr>
      <w:r>
        <w:t xml:space="preserve">Programom „Skrb za hrvatske branitelje iz Domovinskog rata“ osiguravaju se sredstva za ostvarivanje prava na osnovi oštećenja organizma, na osnovi gubitka, zatočenja ili nestanka člana obitelji i na osnovi materijalnih i drugih potreba hrvatskih branitelja iz Domovinskog rata i članova njihovih obitelji. </w:t>
      </w:r>
    </w:p>
    <w:p w:rsidR="00D849AA" w:rsidRDefault="00EE6D95">
      <w:pPr>
        <w:pStyle w:val="Normal5"/>
      </w:pPr>
      <w:r>
        <w:t xml:space="preserve">Pod uvjetima utvrđenim Zakonom o pravima hrvatskih branitelja iz Domovinskog rata i članova njihovih obitelji, HRVI iz Domovinskog rata s osnove oštećenja organizma ostvaruje: osobna invalidnina, doplatak za njegu i pomoć druge osobe, ortopedski doplatak, pravo na medicinsku, odnosno fizikalnu rehabilitaciju, naknada troškova prijevoza i pravo na jednokratnu novčanu pomoć. </w:t>
      </w:r>
    </w:p>
    <w:p w:rsidR="00D849AA" w:rsidRDefault="00EE6D95">
      <w:pPr>
        <w:pStyle w:val="Normal5"/>
      </w:pPr>
      <w:r>
        <w:t xml:space="preserve">S osnove smrtnog stradavanja hrvatskog branitelja iz Domovinskog rata pod okolnostima obrane Republike Hrvatske članovi obitelji hrvatskog branitelja mogu ostvariti obiteljsku invalidninu, povećanu i uvećanu obiteljsku invalidninu. S osnove zatočenja ili nestanka hrvatskog branitelja iz Domovinskog rata pod okolnostima obrane suvereniteta Republike Hrvatske članovi obitelji mogu ostvariti novčanu naknadu u iznosu obiteljske invalidnine, novčanu naknadu u iznosu povećane i uvećane obiteljske invalidnine. Članovi obitelji nakon smrti HRVI iz Domovinskog rata I. – IV. skupine koji je do smrti koristio njegu i pomoć druge osobe mogu ostvariti obiteljsku invalidninu u iznosu propisanom Zakonom. </w:t>
      </w:r>
    </w:p>
    <w:p w:rsidR="00D849AA" w:rsidRDefault="00EE6D95">
      <w:pPr>
        <w:pStyle w:val="Normal5"/>
      </w:pPr>
      <w:r>
        <w:t xml:space="preserve">Ministarstvo nastoji postići smanjenje broja nezaposlenih hrvatskih branitelja i djece smrtno stradalih hrvatskih branitelja, povećati konkurentnost hrvatskih branitelja te djece smrtno stradalih hrvatskih branitelja iz Domovinskog rata na tržištu rada, smanjiti broj socijalno ugroženih hrvatskih branitelja i članova obitelji smrtno stradaloga hrvatskog branitelja iz Domovinskog rata, smanjiti broj ratom traumatiziranih osoba u vidu različitih oblika potpore i rehabilitacije, smanjiti utjecaj sekundarne viktimizacije i unaprijediti neovisnost življenja u zajednici hrvatskim ratnim vojnim invalidima. </w:t>
      </w:r>
    </w:p>
    <w:p w:rsidR="00D849AA" w:rsidRDefault="00EE6D95">
      <w:pPr>
        <w:pStyle w:val="Normal5"/>
      </w:pPr>
      <w:r>
        <w:t>U okviru ovog programa planirana su sredstva za ostvarivanje prava utvrđenih Zakonom o pravima hrvatskih branitelja iz Domovinskog rata i članova njihovih obitelji (u daljnjem tekstu Zakon) i nacionalnim programima koje je donijela Vlada Republike Hrvatske.</w:t>
      </w:r>
    </w:p>
    <w:p w:rsidR="00221AEF" w:rsidRDefault="00221AEF">
      <w:pPr>
        <w:pStyle w:val="Normal5"/>
      </w:pPr>
    </w:p>
    <w:p w:rsidR="00D849AA" w:rsidRDefault="00EE6D95">
      <w:pPr>
        <w:pStyle w:val="Naslov6"/>
      </w:pPr>
      <w:r>
        <w:t>Zakonske i druge pravne osnove</w:t>
      </w:r>
    </w:p>
    <w:p w:rsidR="00D849AA" w:rsidRDefault="00EE6D95">
      <w:pPr>
        <w:pStyle w:val="Normal5"/>
      </w:pPr>
      <w:r>
        <w:t xml:space="preserve">- Zakon o pravima hrvatskih branitelja iz Domovinskog rata i članova njihovih obitelji (NN 174/04, 92/05, 02/07, 107/07, 65/09, 137/09, 146/10, 55/11, 140/12 i 19/13) </w:t>
      </w:r>
    </w:p>
    <w:p w:rsidR="00D849AA" w:rsidRDefault="00EE6D95">
      <w:pPr>
        <w:pStyle w:val="Normal5"/>
      </w:pPr>
      <w:r>
        <w:t xml:space="preserve">- Zakon o zaštiti vojnih i civilnih invalida rata (NN 33/92, 77/92, 58/93, 2/94, 76/94, 108/95, 82/01, 103/03) </w:t>
      </w:r>
    </w:p>
    <w:p w:rsidR="00D849AA" w:rsidRDefault="00EE6D95">
      <w:pPr>
        <w:pStyle w:val="Normal5"/>
      </w:pPr>
      <w:r>
        <w:t xml:space="preserve">- Zakon o humanitarnom razminiranju (NN 153/05, 63/07, 152/08) </w:t>
      </w:r>
    </w:p>
    <w:p w:rsidR="00D849AA" w:rsidRDefault="00EE6D95">
      <w:pPr>
        <w:pStyle w:val="Normal5"/>
      </w:pPr>
      <w:r>
        <w:t xml:space="preserve">- Nacionalni program psihosocijalne i zdravstvene pomoći sudionicima i stradalnicima iz Domovinskog rata - Zaključak Vlade Republike Hrvatske, Klasa: 550-01/99-03/01, Urbroj: 5030108-05-1, iz 2005. godine </w:t>
      </w:r>
    </w:p>
    <w:p w:rsidR="00D849AA" w:rsidRDefault="00EE6D95">
      <w:pPr>
        <w:pStyle w:val="Normal5"/>
      </w:pPr>
      <w:r>
        <w:t xml:space="preserve">- Zakon o sustavu državne uprave (NN 150/11) </w:t>
      </w:r>
    </w:p>
    <w:p w:rsidR="00D849AA" w:rsidRDefault="00EE6D95">
      <w:pPr>
        <w:pStyle w:val="Normal5"/>
      </w:pPr>
      <w:r>
        <w:t xml:space="preserve">- Zakon o udrugama (NN 88/01, 11/02) </w:t>
      </w:r>
    </w:p>
    <w:p w:rsidR="00D849AA" w:rsidRDefault="00EE6D95">
      <w:pPr>
        <w:pStyle w:val="Normal5"/>
      </w:pPr>
      <w:r>
        <w:t xml:space="preserve">- Uredba o uvjetima i postupku ostvarivanja prava na jednokratnu novčanu pomoć članovima obitelji smrtno stradalog hrvatskog branitelja iz Domovinskog rata, hrvatskih ratnih vojnih invalida iz Domovinskog rata i hrvatskih branitelja iz Domovinskog rata (NN 40/13) </w:t>
      </w:r>
    </w:p>
    <w:p w:rsidR="00D849AA" w:rsidRDefault="00EE6D95">
      <w:pPr>
        <w:pStyle w:val="Normal5"/>
      </w:pPr>
      <w:r>
        <w:t>- Uredba o uvjetima i postupku ostvarivanja prava na dodjelu osobnog automobila hrvatskim ratnim vojnim invalidima iz Domovinskog rata (NN 79/13)</w:t>
      </w:r>
    </w:p>
    <w:p w:rsidR="00D849AA" w:rsidRDefault="00EE6D95">
      <w:pPr>
        <w:pStyle w:val="Naslov6"/>
      </w:pPr>
      <w:r>
        <w:lastRenderedPageBreak/>
        <w:t>Ciljevi provedbe programa u razdoblju 2014.-2016. i pokazatelji uspješnosti kojima će se mjeriti ostvarenje tih ciljeva</w:t>
      </w:r>
    </w:p>
    <w:p w:rsidR="00D849AA" w:rsidRDefault="00EE6D95">
      <w:pPr>
        <w:pStyle w:val="Naslov7"/>
      </w:pPr>
      <w:r>
        <w:t>Cilj 1. Jačanje sustava skrbi za hrvatske branitelje iz Domovinskog rata i članove njihovih obitelji te žrtve seksualnog nasilja u Domovinskom ratu</w:t>
      </w:r>
    </w:p>
    <w:p w:rsidR="00575FBE" w:rsidRPr="00575FBE" w:rsidRDefault="00575FBE" w:rsidP="00575FBE"/>
    <w:p w:rsidR="00D849AA" w:rsidRDefault="00EE6D95">
      <w:pPr>
        <w:pStyle w:val="Normal6"/>
      </w:pPr>
      <w:r>
        <w:t xml:space="preserve">Provođenje sveobuhvatne skrbi s ciljem očuvanja digniteta Domovinskog rata; psihosocijalne, savjetodavne te zdravstvene pomoći ratom traumatiziranim osobama, programa stambenog zbrinjavanja stradalnika iz Domovinskog rata, osiguravanje zakonitog ostvarenja propisanih prava hrvatskim braniteljima, obiteljima poginulih i stradalnicima Domovinskog rata kao i mirnodopskih vojnih invalida, stradalim pirotehničarima te članovima njihovih obitelji te provođenje revizije, kao oblika kontrole zakonitosti prvostupanjskih rješenja od strane drugostupanjskog tijela. </w:t>
      </w:r>
    </w:p>
    <w:p w:rsidR="00D849AA" w:rsidRDefault="00EE6D95">
      <w:pPr>
        <w:pStyle w:val="Normal6"/>
      </w:pPr>
      <w:r>
        <w:t xml:space="preserve">Okosnicu Nacionalnog programa psihosocijalne i zdravstvene pomoći sudionicima i stradalnicima Domovinskog rata, Drugog svjetskog rata te povratnicima iz mirovnih misija na lokalnoj, županijskoj razini čine centri za psihosocijalnu pomoć.  </w:t>
      </w:r>
    </w:p>
    <w:p w:rsidR="00D849AA" w:rsidRDefault="00EE6D95">
      <w:pPr>
        <w:pStyle w:val="Normal6"/>
      </w:pPr>
      <w:r>
        <w:t xml:space="preserve">U svakoj županiji ustrojen je po jedan centar za psihosocijalnu pomoć, koji primarno razvija i provodi programe psihosocijalne prevencije i potpore: stacionarno (kroz organizirana savjetovališta u prostorijama centra) i mobilne timove koji se odnose na hitne posjete domu i obitelji branitelja u slučajevima pro-suicidalnih izjava korisnika, smrti, izrazito lošeg socio-ekonomskog i/ili zdravstvenog stanja, stambenih izvida u cilju ostvarivanja prava na stambeno zbrinjavanje.  </w:t>
      </w:r>
    </w:p>
    <w:p w:rsidR="00D849AA" w:rsidRDefault="00EE6D95">
      <w:pPr>
        <w:pStyle w:val="Normal6"/>
      </w:pPr>
      <w:r>
        <w:t xml:space="preserve">Zdravstveni dio Nacionalnog programa provodi se u Regionalnim centrima za psihotraumu (Rijeka, Split i Osijek) te na nacionalnoj razini u Nacionalnom centru za psihotraumu (koji je ujedno i Regionalni centar za psihotraumu za Grad Zagreb i Zagrebačku županiju, Sisačko-moslavačku, Karlovačku, Krapinsko-zagorsku, Međimursku, Bjelovarsko-bilogorsku i Virovitičko-podravsku županiju). </w:t>
      </w:r>
    </w:p>
    <w:p w:rsidR="00D849AA" w:rsidRDefault="00EE6D95">
      <w:pPr>
        <w:pStyle w:val="Normal6"/>
      </w:pPr>
      <w:r>
        <w:t xml:space="preserve">Regionalni centri za psihotraumu posebno skrbe o oboljelima od PTSP-a kao i drugim psihičkim poremećajima koji su u uzročno-posljedičnoj vezi sa sudjelovanjem u ratnim događajima. Imaju status posebnih odjela u sastavu kliničkih bolnica i kliničkih bolničkih centara, koji osiguravaju prostor za njihov rad, dok Ministarstvo branitelja sufinancira rad stručnih djelatnika i programe stručnog rada namijenjene hrvatskim braniteljima i stradalnicima Domovinskog rata, sudionicima Drugog svjetskog rata, osobama koje su za vrijeme rata bile izložene seksualnim zlostavljanjima i silovanjima te osobama stradalim pri obavljanju vojnih i redarstvenih dužnosti u stranoj zemlji u okviru mirovnih misija. </w:t>
      </w:r>
    </w:p>
    <w:p w:rsidR="00D849AA" w:rsidRDefault="00EE6D95">
      <w:pPr>
        <w:pStyle w:val="Normal6"/>
      </w:pPr>
      <w:r>
        <w:t xml:space="preserve">U svrhu provođenja sveobuhvatne skrbi, odobravaju se sredstva pri nabavi neophodnih ortopedskih i ostalih medicinskih pomagala hrvatskim ratnim vojnim invalidima iz Domovinskog rata s najtežom vrstom i stupnjem invaliditeta; priznaju se prava iz mirovinskog i zdravstvenog osiguranja; doplatak za djecu i prava za vrijeme nezaposlenosti osobama sa statusom njegovatelja invalida 100% I skupine; provodi se Projekt rješavanja pristupačnosti objektima osoba s invaliditetom; pruža se zdravstvena zaštita iznad standarda zdravstvenog osiguranja i smještaja HRVI-a u zdravstvene ustanove radi liječenja u hiperbaričnoj komori i medicinske rehabilitacije; osigurava se korištenje prilagođenih ustanova za skrb i boravak hrvatskih branitelja iz Domovinskog rata u teškoj socio-ekonomskoj situaciji; odobravaju se jednokratne novčane pomoći pri teškoj materijalnoj situaciji; dodjeljuju se osobni automobil s ugrađenim odgovarajućim prilagodbama hrvatskim ratnim vojnim invalidima iz Domovinskog rata s oštećenjem organizma 100% I. skupine; sufinanciraju se troškovi pripremnih tečajeva za polaganje ispita državne mature i upis na studijske programe; isplaćuju se osigurnine; pokriva se dio troškova pokopa i prijevoza umrlog hrvatskog branitelja i umrle HRVI uz vojne počasti te </w:t>
      </w:r>
      <w:r>
        <w:lastRenderedPageBreak/>
        <w:t xml:space="preserve">troškovi pokopa, prijevoza, grobnog mjesta i uređenja grobnog mjesta s nadgrobnim spomenikom za smrtno stradale hrvatske branitelje iz Domovinskog rata nakon identifikacije, te se financiraju projekti udruga iz Domovinskog rata koji su usmjereni poboljšanju kvalitete života dijela osoba iz ciljne skupine, njihovoj edukaciji, zapošljavanju, prevladavanju posljedica Domovinskog rata te pozitivnom utjecaju, kako na lokalne zajednice tako i društvo u cjelini. </w:t>
      </w:r>
    </w:p>
    <w:p w:rsidR="00D849AA" w:rsidRDefault="00EE6D95">
      <w:pPr>
        <w:pStyle w:val="Normal6"/>
      </w:pPr>
      <w:r>
        <w:t>Sektor za stambeno zbrinjavanje će u razdoblju od 2014. – 2016. godine nastaviti sa stambenim zbrinjavanjem stradalnika iz Domovinskog rata. Za ovu namjenu osigurana su dodatna sredstva za ulaganje u unutarnje uređenje korištenih stanova kako bi se isti dodijelili i/ili prodali korisnicima. Financirat će se izrada energetskih certifikata koje moraju od 01.07.2013. godini imati stanovi koji se prodaju i energetski certifikati moraju biti dani na uvid kupcu prije sklapanja ugovora o prodaji čija obaveza proizlazi iz članka 34. Pravilnika o energetskim pregledima građevina i energetskom certificiranju zgrada (Narodne novine, broj: 81/12., 29/13 i 78/13.). Također, planirana su sredstva za prilagodbu prilaza do zgrada sukladno članku 59. Zakona o pravima hrvatskih branitelja iz Domovinskog rata i članova njihovih obitelji.</w:t>
      </w:r>
    </w:p>
    <w:p w:rsidR="00575FBE" w:rsidRDefault="00575FBE">
      <w:pPr>
        <w:pStyle w:val="Normal6"/>
      </w:pP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A202BD" w:rsidRDefault="00EE6D95">
            <w:pPr>
              <w:rPr>
                <w:rFonts w:ascii="Arial" w:hAnsi="Arial" w:cs="Arial"/>
              </w:rPr>
            </w:pPr>
            <w:r w:rsidRPr="00A202BD">
              <w:rPr>
                <w:rFonts w:ascii="Arial" w:hAnsi="Arial" w:cs="Arial"/>
              </w:rPr>
              <w:t>Pokazatelj učinka</w:t>
            </w:r>
          </w:p>
        </w:tc>
        <w:tc>
          <w:tcPr>
            <w:tcW w:w="1114" w:type="dxa"/>
            <w:shd w:val="clear" w:color="auto" w:fill="B5C0D8"/>
          </w:tcPr>
          <w:p w:rsidR="00D849AA" w:rsidRPr="00A202BD" w:rsidRDefault="00EE6D95">
            <w:pPr>
              <w:pStyle w:val="CellHeader"/>
            </w:pPr>
            <w:r w:rsidRPr="00A202BD">
              <w:t>Jedinica</w:t>
            </w:r>
          </w:p>
        </w:tc>
        <w:tc>
          <w:tcPr>
            <w:tcW w:w="1114" w:type="dxa"/>
            <w:shd w:val="clear" w:color="auto" w:fill="B5C0D8"/>
          </w:tcPr>
          <w:p w:rsidR="00D849AA" w:rsidRPr="00A202BD" w:rsidRDefault="00EE6D95">
            <w:pPr>
              <w:pStyle w:val="CellHeader"/>
            </w:pPr>
            <w:r w:rsidRPr="00A202BD">
              <w:t>Polazna vrijednost</w:t>
            </w:r>
          </w:p>
        </w:tc>
        <w:tc>
          <w:tcPr>
            <w:tcW w:w="1486" w:type="dxa"/>
            <w:shd w:val="clear" w:color="auto" w:fill="B5C0D8"/>
          </w:tcPr>
          <w:p w:rsidR="00D849AA" w:rsidRPr="00A202BD" w:rsidRDefault="00EE6D95">
            <w:pPr>
              <w:pStyle w:val="CellHeader"/>
            </w:pPr>
            <w:r w:rsidRPr="00A202BD">
              <w:t>Ciljana vrijednost (2014.)</w:t>
            </w:r>
          </w:p>
        </w:tc>
        <w:tc>
          <w:tcPr>
            <w:tcW w:w="1486" w:type="dxa"/>
            <w:shd w:val="clear" w:color="auto" w:fill="B5C0D8"/>
          </w:tcPr>
          <w:p w:rsidR="00D849AA" w:rsidRPr="00A202BD" w:rsidRDefault="00EE6D95">
            <w:pPr>
              <w:pStyle w:val="CellHeader"/>
            </w:pPr>
            <w:r w:rsidRPr="00A202BD">
              <w:t>Ciljana vrijednost (2015.)</w:t>
            </w:r>
          </w:p>
        </w:tc>
        <w:tc>
          <w:tcPr>
            <w:tcW w:w="1486" w:type="dxa"/>
            <w:shd w:val="clear" w:color="auto" w:fill="B5C0D8"/>
          </w:tcPr>
          <w:p w:rsidR="00D849AA" w:rsidRPr="00A202BD" w:rsidRDefault="00EE6D95">
            <w:pPr>
              <w:pStyle w:val="CellHeader"/>
            </w:pPr>
            <w:r w:rsidRPr="00A202BD">
              <w:t>Ciljana vrijednost (2016.)</w:t>
            </w:r>
          </w:p>
        </w:tc>
      </w:tr>
      <w:tr w:rsidR="00D849AA">
        <w:trPr>
          <w:jc w:val="center"/>
        </w:trPr>
        <w:tc>
          <w:tcPr>
            <w:tcW w:w="2229" w:type="dxa"/>
          </w:tcPr>
          <w:p w:rsidR="00D849AA" w:rsidRPr="00A202BD" w:rsidRDefault="00EE6D95">
            <w:pPr>
              <w:pStyle w:val="CellColumn"/>
            </w:pPr>
            <w:r w:rsidRPr="00A202BD">
              <w:t>Udio riješenih upita korisnika u odnosu na ukupan broj zaprimljenih upita</w:t>
            </w:r>
          </w:p>
        </w:tc>
        <w:tc>
          <w:tcPr>
            <w:tcW w:w="1114" w:type="dxa"/>
          </w:tcPr>
          <w:p w:rsidR="00D849AA" w:rsidRPr="00A202BD" w:rsidRDefault="00EE6D95">
            <w:pPr>
              <w:rPr>
                <w:rFonts w:ascii="Arial" w:hAnsi="Arial" w:cs="Arial"/>
              </w:rPr>
            </w:pPr>
            <w:r w:rsidRPr="00A202BD">
              <w:rPr>
                <w:rFonts w:ascii="Arial" w:hAnsi="Arial" w:cs="Arial"/>
              </w:rPr>
              <w:t>%</w:t>
            </w:r>
          </w:p>
        </w:tc>
        <w:tc>
          <w:tcPr>
            <w:tcW w:w="1114" w:type="dxa"/>
          </w:tcPr>
          <w:p w:rsidR="00D849AA" w:rsidRPr="00A202BD" w:rsidRDefault="00EE6D95">
            <w:pPr>
              <w:rPr>
                <w:rFonts w:ascii="Arial" w:hAnsi="Arial" w:cs="Arial"/>
              </w:rPr>
            </w:pPr>
            <w:r w:rsidRPr="00A202BD">
              <w:rPr>
                <w:rFonts w:ascii="Arial" w:hAnsi="Arial" w:cs="Arial"/>
              </w:rPr>
              <w:t>97,8</w:t>
            </w:r>
          </w:p>
        </w:tc>
        <w:tc>
          <w:tcPr>
            <w:tcW w:w="1486" w:type="dxa"/>
          </w:tcPr>
          <w:p w:rsidR="00D849AA" w:rsidRPr="00A202BD" w:rsidRDefault="00EE6D95">
            <w:pPr>
              <w:rPr>
                <w:rFonts w:ascii="Arial" w:hAnsi="Arial" w:cs="Arial"/>
              </w:rPr>
            </w:pPr>
            <w:r w:rsidRPr="00A202BD">
              <w:rPr>
                <w:rFonts w:ascii="Arial" w:hAnsi="Arial" w:cs="Arial"/>
              </w:rPr>
              <w:t>98,1</w:t>
            </w:r>
          </w:p>
        </w:tc>
        <w:tc>
          <w:tcPr>
            <w:tcW w:w="1486" w:type="dxa"/>
          </w:tcPr>
          <w:p w:rsidR="00D849AA" w:rsidRPr="00A202BD" w:rsidRDefault="00EE6D95">
            <w:pPr>
              <w:rPr>
                <w:rFonts w:ascii="Arial" w:hAnsi="Arial" w:cs="Arial"/>
              </w:rPr>
            </w:pPr>
            <w:r w:rsidRPr="00A202BD">
              <w:rPr>
                <w:rFonts w:ascii="Arial" w:hAnsi="Arial" w:cs="Arial"/>
              </w:rPr>
              <w:t>98,2</w:t>
            </w:r>
          </w:p>
        </w:tc>
        <w:tc>
          <w:tcPr>
            <w:tcW w:w="1486" w:type="dxa"/>
          </w:tcPr>
          <w:p w:rsidR="00D849AA" w:rsidRPr="00A202BD" w:rsidRDefault="00EE6D95">
            <w:pPr>
              <w:rPr>
                <w:rFonts w:ascii="Arial" w:hAnsi="Arial" w:cs="Arial"/>
              </w:rPr>
            </w:pPr>
            <w:r w:rsidRPr="00A202BD">
              <w:rPr>
                <w:rFonts w:ascii="Arial" w:hAnsi="Arial" w:cs="Arial"/>
              </w:rPr>
              <w:t>98,3</w:t>
            </w:r>
          </w:p>
        </w:tc>
      </w:tr>
    </w:tbl>
    <w:p w:rsidR="00D849AA" w:rsidRDefault="00D849AA">
      <w:pPr>
        <w:jc w:val="left"/>
      </w:pPr>
    </w:p>
    <w:p w:rsidR="00D849AA" w:rsidRDefault="00EE6D95">
      <w:pPr>
        <w:pStyle w:val="Naslov7"/>
      </w:pPr>
      <w:r>
        <w:t>Cilj 2. Povećanje konkurentnosti hrvatskih branitelja iz Domovinskog rata i djece smrtno stradalih, zatočenih i nestalih hrvatskih branitelja iz Domovinskog rata na tržištu rada</w:t>
      </w:r>
    </w:p>
    <w:p w:rsidR="00575FBE" w:rsidRPr="00575FBE" w:rsidRDefault="00575FBE" w:rsidP="00575FBE"/>
    <w:p w:rsidR="00D849AA" w:rsidRDefault="00EE6D95">
      <w:pPr>
        <w:pStyle w:val="Normal6"/>
      </w:pPr>
      <w:r>
        <w:t>Ciljnu skupinu Programa čine nezaposleni hrvatski branitelji iz Domovinskog rata i nezaposlena djeca smrtno stradalih, zatočenih ili nestalih hrvatskih branitelja iz Domovinskog rata, a osnovni ciljevi Programa su podizanje obrazovne razine nezaposlenih hrvatskih branitelja i djece smrtno stradalih, zatočenih ili nestalih hrvatskih branitelja, osposobljavanje za zanimanja za kojima postoji potreba na lokalnim tržištima rada, kao i proširivanje formalne naobrazbe nezaposlenih hrvatskih branitelja sukladno novim tehnološkim zahtjevima te davanje novčanih potpora hrvatskim braniteljima koji se odlučuju na razne oblike samozapošljavanja, bilo samostalno ili okupljeni u zadruge.</w:t>
      </w:r>
    </w:p>
    <w:p w:rsidR="00575FBE" w:rsidRDefault="00575FBE">
      <w:pPr>
        <w:pStyle w:val="Normal6"/>
      </w:pPr>
    </w:p>
    <w:p w:rsidR="00575FBE" w:rsidRDefault="00575FBE">
      <w:pPr>
        <w:pStyle w:val="Normal6"/>
      </w:pPr>
    </w:p>
    <w:p w:rsidR="00575FBE" w:rsidRDefault="00575FBE">
      <w:pPr>
        <w:pStyle w:val="Normal6"/>
      </w:pPr>
    </w:p>
    <w:p w:rsidR="00575FBE" w:rsidRDefault="00575FBE">
      <w:pPr>
        <w:pStyle w:val="Normal6"/>
      </w:pPr>
    </w:p>
    <w:p w:rsidR="00575FBE" w:rsidRDefault="00575FBE">
      <w:pPr>
        <w:pStyle w:val="Normal6"/>
      </w:pPr>
    </w:p>
    <w:p w:rsidR="00221AEF" w:rsidRDefault="00221AEF">
      <w:pPr>
        <w:pStyle w:val="Normal6"/>
      </w:pPr>
    </w:p>
    <w:p w:rsidR="00575FBE" w:rsidRDefault="00575FBE">
      <w:pPr>
        <w:pStyle w:val="Normal6"/>
      </w:pPr>
    </w:p>
    <w:p w:rsidR="00D849AA" w:rsidRDefault="00EE6D95">
      <w:pPr>
        <w:pStyle w:val="Naslov8"/>
        <w:jc w:val="left"/>
      </w:pPr>
      <w:r>
        <w:lastRenderedPageBreak/>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rsidRPr="00A202BD">
        <w:trPr>
          <w:jc w:val="center"/>
        </w:trPr>
        <w:tc>
          <w:tcPr>
            <w:tcW w:w="2229" w:type="dxa"/>
            <w:shd w:val="clear" w:color="auto" w:fill="B5C0D8"/>
          </w:tcPr>
          <w:p w:rsidR="00D849AA" w:rsidRPr="00A202BD" w:rsidRDefault="00EE6D95">
            <w:pPr>
              <w:rPr>
                <w:rFonts w:ascii="Arial" w:hAnsi="Arial" w:cs="Arial"/>
              </w:rPr>
            </w:pPr>
            <w:r w:rsidRPr="00A202BD">
              <w:rPr>
                <w:rFonts w:ascii="Arial" w:hAnsi="Arial" w:cs="Arial"/>
              </w:rPr>
              <w:t>Pokazatelj učinka</w:t>
            </w:r>
          </w:p>
        </w:tc>
        <w:tc>
          <w:tcPr>
            <w:tcW w:w="1114" w:type="dxa"/>
            <w:shd w:val="clear" w:color="auto" w:fill="B5C0D8"/>
          </w:tcPr>
          <w:p w:rsidR="00D849AA" w:rsidRPr="00A202BD" w:rsidRDefault="00EE6D95">
            <w:pPr>
              <w:pStyle w:val="CellHeader"/>
            </w:pPr>
            <w:r w:rsidRPr="00A202BD">
              <w:t>Jedinica</w:t>
            </w:r>
          </w:p>
        </w:tc>
        <w:tc>
          <w:tcPr>
            <w:tcW w:w="1114" w:type="dxa"/>
            <w:shd w:val="clear" w:color="auto" w:fill="B5C0D8"/>
          </w:tcPr>
          <w:p w:rsidR="00D849AA" w:rsidRPr="00A202BD" w:rsidRDefault="00EE6D95">
            <w:pPr>
              <w:pStyle w:val="CellHeader"/>
            </w:pPr>
            <w:r w:rsidRPr="00A202BD">
              <w:t>Polazna vrijednost</w:t>
            </w:r>
          </w:p>
        </w:tc>
        <w:tc>
          <w:tcPr>
            <w:tcW w:w="1486" w:type="dxa"/>
            <w:shd w:val="clear" w:color="auto" w:fill="B5C0D8"/>
          </w:tcPr>
          <w:p w:rsidR="00D849AA" w:rsidRPr="00A202BD" w:rsidRDefault="00EE6D95">
            <w:pPr>
              <w:pStyle w:val="CellHeader"/>
            </w:pPr>
            <w:r w:rsidRPr="00A202BD">
              <w:t>Ciljana vrijednost (2014.)</w:t>
            </w:r>
          </w:p>
        </w:tc>
        <w:tc>
          <w:tcPr>
            <w:tcW w:w="1486" w:type="dxa"/>
            <w:shd w:val="clear" w:color="auto" w:fill="B5C0D8"/>
          </w:tcPr>
          <w:p w:rsidR="00D849AA" w:rsidRPr="00A202BD" w:rsidRDefault="00EE6D95">
            <w:pPr>
              <w:pStyle w:val="CellHeader"/>
            </w:pPr>
            <w:r w:rsidRPr="00A202BD">
              <w:t>Ciljana vrijednost (2015.)</w:t>
            </w:r>
          </w:p>
        </w:tc>
        <w:tc>
          <w:tcPr>
            <w:tcW w:w="1486" w:type="dxa"/>
            <w:shd w:val="clear" w:color="auto" w:fill="B5C0D8"/>
          </w:tcPr>
          <w:p w:rsidR="00D849AA" w:rsidRPr="00A202BD" w:rsidRDefault="00EE6D95">
            <w:pPr>
              <w:pStyle w:val="CellHeader"/>
            </w:pPr>
            <w:r w:rsidRPr="00A202BD">
              <w:t>Ciljana vrijednost (2016.)</w:t>
            </w:r>
          </w:p>
        </w:tc>
      </w:tr>
      <w:tr w:rsidR="00D849AA" w:rsidRPr="00A202BD">
        <w:trPr>
          <w:jc w:val="center"/>
        </w:trPr>
        <w:tc>
          <w:tcPr>
            <w:tcW w:w="2229" w:type="dxa"/>
          </w:tcPr>
          <w:p w:rsidR="00D849AA" w:rsidRPr="00A202BD" w:rsidRDefault="00575FBE">
            <w:pPr>
              <w:pStyle w:val="CellColumn"/>
            </w:pPr>
            <w:r w:rsidRPr="00A202BD">
              <w:t xml:space="preserve">Udio </w:t>
            </w:r>
            <w:r w:rsidR="00EE6D95" w:rsidRPr="00A202BD">
              <w:t>hrvatskih branitelja iz Domovinskog rata koji su prešli iz statusa nezaposlene u status zaposlene osobe temeljem korištenja mjera Programa, a u odnosu na ukupan broj hrvatskih branitelja koji su prema evidenciji HZZ-a prešli iz statusa nezaposlene u status zaposlene osobe</w:t>
            </w:r>
          </w:p>
        </w:tc>
        <w:tc>
          <w:tcPr>
            <w:tcW w:w="1114" w:type="dxa"/>
          </w:tcPr>
          <w:p w:rsidR="00D849AA" w:rsidRPr="00A202BD" w:rsidRDefault="00EE6D95">
            <w:pPr>
              <w:rPr>
                <w:rFonts w:ascii="Arial" w:hAnsi="Arial" w:cs="Arial"/>
              </w:rPr>
            </w:pPr>
            <w:r w:rsidRPr="00A202BD">
              <w:rPr>
                <w:rFonts w:ascii="Arial" w:hAnsi="Arial" w:cs="Arial"/>
              </w:rPr>
              <w:t>%</w:t>
            </w:r>
          </w:p>
        </w:tc>
        <w:tc>
          <w:tcPr>
            <w:tcW w:w="1114" w:type="dxa"/>
          </w:tcPr>
          <w:p w:rsidR="00D849AA" w:rsidRPr="00A202BD" w:rsidRDefault="00EE6D95">
            <w:pPr>
              <w:rPr>
                <w:rFonts w:ascii="Arial" w:hAnsi="Arial" w:cs="Arial"/>
              </w:rPr>
            </w:pPr>
            <w:r w:rsidRPr="00A202BD">
              <w:rPr>
                <w:rFonts w:ascii="Arial" w:hAnsi="Arial" w:cs="Arial"/>
              </w:rPr>
              <w:t>2,8</w:t>
            </w:r>
          </w:p>
        </w:tc>
        <w:tc>
          <w:tcPr>
            <w:tcW w:w="1486" w:type="dxa"/>
          </w:tcPr>
          <w:p w:rsidR="00D849AA" w:rsidRPr="00A202BD" w:rsidRDefault="00EE6D95">
            <w:pPr>
              <w:rPr>
                <w:rFonts w:ascii="Arial" w:hAnsi="Arial" w:cs="Arial"/>
              </w:rPr>
            </w:pPr>
            <w:r w:rsidRPr="00A202BD">
              <w:rPr>
                <w:rFonts w:ascii="Arial" w:hAnsi="Arial" w:cs="Arial"/>
              </w:rPr>
              <w:t>2,9</w:t>
            </w:r>
          </w:p>
        </w:tc>
        <w:tc>
          <w:tcPr>
            <w:tcW w:w="1486" w:type="dxa"/>
          </w:tcPr>
          <w:p w:rsidR="00D849AA" w:rsidRPr="00A202BD" w:rsidRDefault="00EE6D95">
            <w:pPr>
              <w:rPr>
                <w:rFonts w:ascii="Arial" w:hAnsi="Arial" w:cs="Arial"/>
              </w:rPr>
            </w:pPr>
            <w:r w:rsidRPr="00A202BD">
              <w:rPr>
                <w:rFonts w:ascii="Arial" w:hAnsi="Arial" w:cs="Arial"/>
              </w:rPr>
              <w:t>3,0</w:t>
            </w:r>
          </w:p>
        </w:tc>
        <w:tc>
          <w:tcPr>
            <w:tcW w:w="1486" w:type="dxa"/>
          </w:tcPr>
          <w:p w:rsidR="00D849AA" w:rsidRPr="00A202BD" w:rsidRDefault="00EE6D95">
            <w:pPr>
              <w:rPr>
                <w:rFonts w:ascii="Arial" w:hAnsi="Arial" w:cs="Arial"/>
              </w:rPr>
            </w:pPr>
            <w:r w:rsidRPr="00A202BD">
              <w:rPr>
                <w:rFonts w:ascii="Arial" w:hAnsi="Arial" w:cs="Arial"/>
              </w:rPr>
              <w:t>3,1</w:t>
            </w:r>
          </w:p>
        </w:tc>
      </w:tr>
    </w:tbl>
    <w:p w:rsidR="00D849AA" w:rsidRPr="00A202BD" w:rsidRDefault="00D849AA">
      <w:pPr>
        <w:jc w:val="left"/>
        <w:rPr>
          <w:rFonts w:ascii="Arial" w:hAnsi="Arial" w:cs="Arial"/>
        </w:rPr>
      </w:pPr>
    </w:p>
    <w:p w:rsidR="00D849AA" w:rsidRDefault="00EE6D95">
      <w:pPr>
        <w:pStyle w:val="Naslov5"/>
      </w:pPr>
      <w:r>
        <w:t>Procjena i ishodište potrebnih sredstava za značajnije aktivnosti/projekte</w:t>
      </w:r>
    </w:p>
    <w:p w:rsidR="00D849AA" w:rsidRDefault="00EE6D95">
      <w:pPr>
        <w:pStyle w:val="Naslov6"/>
      </w:pPr>
      <w:r>
        <w:t>A558043 JEDNOKRATNA PRAVA IZ ZAKONA I OSTALE NAKNADE HRVATSKIM BRANITELJIMA IZ DOMOVINSKOG RATA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rsidRPr="00A202BD">
        <w:trPr>
          <w:jc w:val="center"/>
        </w:trPr>
        <w:tc>
          <w:tcPr>
            <w:tcW w:w="1486" w:type="dxa"/>
            <w:shd w:val="clear" w:color="auto" w:fill="B5C0D8"/>
          </w:tcPr>
          <w:p w:rsidR="00D849AA" w:rsidRPr="00A202BD" w:rsidRDefault="00EE6D95">
            <w:pPr>
              <w:pStyle w:val="CellHeader"/>
            </w:pPr>
            <w:r w:rsidRPr="00A202BD">
              <w:t>Naziv aktivnosti</w:t>
            </w:r>
          </w:p>
        </w:tc>
        <w:tc>
          <w:tcPr>
            <w:tcW w:w="1486" w:type="dxa"/>
            <w:shd w:val="clear" w:color="auto" w:fill="B5C0D8"/>
          </w:tcPr>
          <w:p w:rsidR="00D849AA" w:rsidRPr="00A202BD" w:rsidRDefault="00EE6D95">
            <w:pPr>
              <w:pStyle w:val="CellHeader"/>
            </w:pPr>
            <w:r w:rsidRPr="00A202BD">
              <w:t>Plan 2013.</w:t>
            </w:r>
          </w:p>
        </w:tc>
        <w:tc>
          <w:tcPr>
            <w:tcW w:w="1486" w:type="dxa"/>
            <w:shd w:val="clear" w:color="auto" w:fill="B5C0D8"/>
          </w:tcPr>
          <w:p w:rsidR="00D849AA" w:rsidRPr="00A202BD" w:rsidRDefault="00EE6D95">
            <w:pPr>
              <w:pStyle w:val="CellHeader"/>
            </w:pPr>
            <w:r w:rsidRPr="00A202BD">
              <w:t>Plan 2014.</w:t>
            </w:r>
          </w:p>
        </w:tc>
        <w:tc>
          <w:tcPr>
            <w:tcW w:w="1486" w:type="dxa"/>
            <w:shd w:val="clear" w:color="auto" w:fill="B5C0D8"/>
          </w:tcPr>
          <w:p w:rsidR="00D849AA" w:rsidRPr="00A202BD" w:rsidRDefault="00EE6D95">
            <w:pPr>
              <w:pStyle w:val="CellHeader"/>
            </w:pPr>
            <w:r w:rsidRPr="00A202BD">
              <w:t>Plan 2015.</w:t>
            </w:r>
          </w:p>
        </w:tc>
        <w:tc>
          <w:tcPr>
            <w:tcW w:w="1486" w:type="dxa"/>
            <w:shd w:val="clear" w:color="auto" w:fill="B5C0D8"/>
          </w:tcPr>
          <w:p w:rsidR="00D849AA" w:rsidRPr="00A202BD" w:rsidRDefault="00EE6D95">
            <w:pPr>
              <w:pStyle w:val="CellHeader"/>
            </w:pPr>
            <w:r w:rsidRPr="00A202BD">
              <w:t>Plan 2016.</w:t>
            </w:r>
          </w:p>
        </w:tc>
        <w:tc>
          <w:tcPr>
            <w:tcW w:w="1486" w:type="dxa"/>
            <w:shd w:val="clear" w:color="auto" w:fill="B5C0D8"/>
          </w:tcPr>
          <w:p w:rsidR="00D849AA" w:rsidRPr="00A202BD" w:rsidRDefault="00EE6D95">
            <w:pPr>
              <w:pStyle w:val="CellHeader"/>
            </w:pPr>
            <w:r w:rsidRPr="00A202BD">
              <w:t>Indeks 2014/2013</w:t>
            </w:r>
          </w:p>
        </w:tc>
      </w:tr>
      <w:tr w:rsidR="00D849AA" w:rsidRPr="00A202BD">
        <w:trPr>
          <w:jc w:val="center"/>
        </w:trPr>
        <w:tc>
          <w:tcPr>
            <w:tcW w:w="1486" w:type="dxa"/>
          </w:tcPr>
          <w:p w:rsidR="00D849AA" w:rsidRPr="00A202BD" w:rsidRDefault="00EE6D95">
            <w:pPr>
              <w:pStyle w:val="CellColumn"/>
            </w:pPr>
            <w:r w:rsidRPr="00A202BD">
              <w:t>A558043</w:t>
            </w:r>
          </w:p>
        </w:tc>
        <w:tc>
          <w:tcPr>
            <w:tcW w:w="1486" w:type="dxa"/>
          </w:tcPr>
          <w:p w:rsidR="00D849AA" w:rsidRPr="00A202BD" w:rsidRDefault="00EE6D95">
            <w:pPr>
              <w:rPr>
                <w:rFonts w:ascii="Arial" w:hAnsi="Arial" w:cs="Arial"/>
              </w:rPr>
            </w:pPr>
            <w:r w:rsidRPr="00A202BD">
              <w:rPr>
                <w:rFonts w:ascii="Arial" w:hAnsi="Arial" w:cs="Arial"/>
              </w:rPr>
              <w:t>53.142.000</w:t>
            </w:r>
          </w:p>
        </w:tc>
        <w:tc>
          <w:tcPr>
            <w:tcW w:w="1486" w:type="dxa"/>
          </w:tcPr>
          <w:p w:rsidR="00D849AA" w:rsidRPr="00A202BD" w:rsidRDefault="00EE6D95">
            <w:pPr>
              <w:rPr>
                <w:rFonts w:ascii="Arial" w:hAnsi="Arial" w:cs="Arial"/>
              </w:rPr>
            </w:pPr>
            <w:r w:rsidRPr="00A202BD">
              <w:rPr>
                <w:rFonts w:ascii="Arial" w:hAnsi="Arial" w:cs="Arial"/>
              </w:rPr>
              <w:t>29.835.000</w:t>
            </w:r>
          </w:p>
        </w:tc>
        <w:tc>
          <w:tcPr>
            <w:tcW w:w="1486" w:type="dxa"/>
          </w:tcPr>
          <w:p w:rsidR="00D849AA" w:rsidRPr="00A202BD" w:rsidRDefault="00EE6D95">
            <w:pPr>
              <w:rPr>
                <w:rFonts w:ascii="Arial" w:hAnsi="Arial" w:cs="Arial"/>
              </w:rPr>
            </w:pPr>
            <w:r w:rsidRPr="00A202BD">
              <w:rPr>
                <w:rFonts w:ascii="Arial" w:hAnsi="Arial" w:cs="Arial"/>
              </w:rPr>
              <w:t>26.855.000</w:t>
            </w:r>
          </w:p>
        </w:tc>
        <w:tc>
          <w:tcPr>
            <w:tcW w:w="1486" w:type="dxa"/>
          </w:tcPr>
          <w:p w:rsidR="00D849AA" w:rsidRPr="00A202BD" w:rsidRDefault="00EE6D95">
            <w:pPr>
              <w:rPr>
                <w:rFonts w:ascii="Arial" w:hAnsi="Arial" w:cs="Arial"/>
              </w:rPr>
            </w:pPr>
            <w:r w:rsidRPr="00A202BD">
              <w:rPr>
                <w:rFonts w:ascii="Arial" w:hAnsi="Arial" w:cs="Arial"/>
              </w:rPr>
              <w:t>37.175.000</w:t>
            </w:r>
          </w:p>
        </w:tc>
        <w:tc>
          <w:tcPr>
            <w:tcW w:w="1486" w:type="dxa"/>
          </w:tcPr>
          <w:p w:rsidR="00D849AA" w:rsidRPr="00A202BD" w:rsidRDefault="00EE6D95">
            <w:pPr>
              <w:rPr>
                <w:rFonts w:ascii="Arial" w:hAnsi="Arial" w:cs="Arial"/>
              </w:rPr>
            </w:pPr>
            <w:r w:rsidRPr="00A202BD">
              <w:rPr>
                <w:rFonts w:ascii="Arial" w:hAnsi="Arial" w:cs="Arial"/>
              </w:rPr>
              <w:t>56,1</w:t>
            </w:r>
          </w:p>
        </w:tc>
      </w:tr>
    </w:tbl>
    <w:p w:rsidR="00D849AA" w:rsidRDefault="00D849AA">
      <w:pPr>
        <w:jc w:val="left"/>
      </w:pPr>
    </w:p>
    <w:p w:rsidR="00D849AA" w:rsidRDefault="00EE6D95">
      <w:pPr>
        <w:pStyle w:val="Normal6"/>
      </w:pPr>
      <w:r>
        <w:t xml:space="preserve">Pravo na jednokratnu novčanu pomoć propisano je člankom 74. Zakona o pravima hrvatskih branitelja iz Domovinskog rata i članova njihovih obitelji (NN 174/04, 92/05, 02/07, 102/07, 65/09, 137/09, 146/10, 55/11, 140/12, 33/13) i Uredbom o uvjetima i postupku ostvarivanja prava na jednokratnu novčanu pomoć članovima obitelji smrtno stradalog hrvatskog branitelja iz Domovinskog rata, hrvatskih ratnih vojnih invalida iz Domovinskog rata i hrvatskih branitelja iz Domovinskog rata (NN 40/13). Pravo na jednokratnu novčanu pomoć ostvaruju članovi obitelji smrtno stradalog hrvatskog branitelja iz Domovinskog rata, hrvatski branitelji i hrvatski ratni vojni invalidi iz Domovinskog rata koji nisu u mogućnosti podmiriti osnovne životne potrebe i nalaze se u teškoj novčano-materijalnoj situaciji koja ugrožava njihove osnovne životne. Uvjeti, način i postupak ostvarivanja prava na jednokratnu novčanu pomoć, iznos i kriteriji za utvrđivanje iznosa visine jednokratne novčane pomoći u pojedinim situacijama propisani su Pravilnikom o uvjetima i postupku ostvarivanja prava na jednokratnu novčanu pomoć (NN 49/13). </w:t>
      </w:r>
    </w:p>
    <w:p w:rsidR="00D849AA" w:rsidRDefault="00EE6D95">
      <w:pPr>
        <w:pStyle w:val="Normal6"/>
      </w:pPr>
      <w:r>
        <w:t xml:space="preserve">Sukladno Zakonu o pravima hrvatskih branitelja iz Domovinskog rata i članova njihovih obitelji i Uredbi o uvjetima i postupku ostvarivanja prava na dodjelu osobnog automobila hrvatskim ratnim vojnim invalidima iz Domovinskog rata (NN 79/13), Ministarstvo dodjeljuje u vlasništvo hrvatskim ratnim vojnim invalidima iz Domovinskog rata s oštećenjem organizma 100% I. skupine osobni automobil s ugrađenim odgovarajućim prilagodbama. Dodjelom osobnog automobila s ugrađenim prilagodbama hrvatskim </w:t>
      </w:r>
      <w:r>
        <w:lastRenderedPageBreak/>
        <w:t xml:space="preserve">ratnim vojnim invalidima iz Domovinskog rata 100% I. skupine omogućuje se kvalitetnije življenje i lakše uključivanje u svakodnevni život, a radi se o jedinoj mogućnosti mobilnosti i pokretljivosti za najteže invalide iz Domovinskog rata. U idućem trogodišnjem razdoblju dodijelit će se ukupno 122 osobna automobila s ugrađenim odgovarajućim prilagodbama, a sukladno brojčanim podacima iz službene evidencije Ministarstva o HRVI 100% I. skupine na koje se odnosi predmetno zakonsko pravo, a kojima je istekao vremenski rok od sedam godina od prethodne dodjele. </w:t>
      </w:r>
    </w:p>
    <w:p w:rsidR="00D849AA" w:rsidRDefault="00EE6D95">
      <w:pPr>
        <w:pStyle w:val="Normal6"/>
      </w:pPr>
      <w:r>
        <w:t xml:space="preserve">Vezano uz koncept jedinstvenog imovinskog cenzusa koji definira ekonomski ugroženu osobu Republici Hrvatskoj, a u svezi primjene istog na ostvarivanja prava na besplatne udžbenike iz nadležnosti Ministarstva branitelja, predviđeno je da navedeno pravo od 01.01.2014. uđe u sustav prava pod nazivom „obrazovne naknade“ koje će biti u nadležnosti Ministarstva znanosti, obrazovanja i sporta uz nastavno vođenje postupka ostvarivanja prava u uredima državne uprave u županijama.  </w:t>
      </w:r>
    </w:p>
    <w:p w:rsidR="00D849AA" w:rsidRDefault="00EE6D95">
      <w:pPr>
        <w:pStyle w:val="Normal6"/>
      </w:pPr>
      <w:r>
        <w:t xml:space="preserve">Kategorije korisnika (djeca smrtno stradalog, zatočenog ili nestalog hrvatskog branitelja iz Domovinskog rata, HRVI iz Domovinskog rata i njihova djeca i hrvatske branitelje iz Domovinskog rata za potrebe redovitog ili izvanrednog školovanja u osnovnim i srednjim školama te na visokim učilištima) neće se proširivati niti sužavati, a Ministarstvo znanosti, obrazovanja i sporta će posebnom odlukom utemeljenom na odredbama Zakona o udžbenicima za osnovnu i srednju školu propisati uvjete i način ostvarivanja prava kao i iznos naknade za udžbenike  koji bi se isplaćivao korisnicima.  </w:t>
      </w:r>
    </w:p>
    <w:p w:rsidR="00D849AA" w:rsidRDefault="00EE6D95">
      <w:pPr>
        <w:pStyle w:val="Normal6"/>
      </w:pPr>
      <w:r>
        <w:t xml:space="preserve">Vezano za navedeno donijet će se izmjene i dopune važećeg Zakona o pravima hrvatskih branitelja iz Domovinskog rata i članova njihovih obitelji („Narodne novine“, broj 174/04., 92/05., 02/07., 107/07., 65/09.,137/09., 146/10., 55/11., 140/12. i 33/13.). </w:t>
      </w:r>
    </w:p>
    <w:p w:rsidR="00D849AA" w:rsidRDefault="00EE6D95">
      <w:pPr>
        <w:pStyle w:val="Normal6"/>
      </w:pPr>
      <w:r>
        <w:t xml:space="preserve">Postupci za priznavanje  prava na besplatne udžbenike koji su započeti podnošenjem zahtjeva do 01. studenog 2013., a nisu okončani, dovršit će se prema odredbama Zakona o pravima hrvatskih branitelja iz Domovinskog rata i članova njihovih obitelji („Narodne novine“, broj 174/04., 92/05., 02/07., 107/07., 65/09.,137/09., 146/10., 55/11., 140/12. i 33/13.), a pravo na besplatne udžbenike priznato izvršnim rješenjem do stupanja na snagu najnovijih izmjena i dopuna Zakona, isplaćivat će se do kraja školske godine 2013./2014. s proračunske pozicije Ministarstva branitelja. </w:t>
      </w:r>
    </w:p>
    <w:p w:rsidR="00D849AA" w:rsidRDefault="00EE6D95">
      <w:pPr>
        <w:pStyle w:val="Normal6"/>
      </w:pPr>
      <w:r>
        <w:t xml:space="preserve">Donošenjem i provedbom Odluke o sufinanciranju pripremnih tečajeva za polaganje ispita državne mature i upis na studijske programe u svakoj novoj školskoj godini, Ministarstvo branitelja će nastaviti osiguravati sredstva i sufinancirati troškove pripremnih tečajeva za polaganje ispita državne mature i upis na studijske programe u visini do najviše 2.000,00 kuna za svakog zainteresiranog kandidata iz kategorije djece smrtno stradalih, zatočenih ili nestalih hrvatskih branitelja iz Domovinskog rata, djece HRVI iz Domovinskog rata i djece dragovoljaca iz Domovinskog rata kao i HRVI iz Domovinskog rata i hrvatskih branitelja iz Domovinskog rata.  </w:t>
      </w:r>
    </w:p>
    <w:p w:rsidR="00D849AA" w:rsidRDefault="00EE6D95">
      <w:pPr>
        <w:pStyle w:val="Normal6"/>
      </w:pPr>
      <w:r>
        <w:t>Ministarstvo će i u idućem trogodišnjem razdoblju nastaviti s pokrićem troškova organizacije pokopa uz vojne počasti za smrtno stradale hrvatske branitelje iz Domovinskog rata, umrle hrvatske ratne vojne invalide iz Domovinskog rata i hrvatske branitelje iz Domovinskog rata, a radi odavanja počasti osobama koje su najzaslužnije za obranu suvereniteta Republike Hrvatske te u ime vječne zahvalnosti za njihovu najveću žrtvu i žrtvu njihovih obitelji. Predviđeno je da će se u sljedećem trogodišnjem razdoblju pokrivati troškovi pokopa uz vojne počasti, a prema procijenjenom trendu smrtnosti.</w:t>
      </w:r>
    </w:p>
    <w:p w:rsidR="00575FBE" w:rsidRDefault="00575FBE">
      <w:pPr>
        <w:pStyle w:val="Normal6"/>
      </w:pPr>
    </w:p>
    <w:p w:rsidR="00575FBE" w:rsidRDefault="00575FBE">
      <w:pPr>
        <w:pStyle w:val="Normal6"/>
      </w:pPr>
    </w:p>
    <w:p w:rsidR="00575FBE" w:rsidRDefault="00575FBE">
      <w:pPr>
        <w:pStyle w:val="Normal6"/>
      </w:pPr>
    </w:p>
    <w:p w:rsidR="00575FBE" w:rsidRDefault="00575FBE">
      <w:pPr>
        <w:pStyle w:val="Normal6"/>
      </w:pPr>
    </w:p>
    <w:p w:rsidR="00D849AA" w:rsidRDefault="00EE6D95">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A202BD" w:rsidRDefault="00EE6D95">
            <w:pPr>
              <w:rPr>
                <w:rFonts w:ascii="Arial" w:hAnsi="Arial" w:cs="Arial"/>
              </w:rPr>
            </w:pPr>
            <w:r w:rsidRPr="00A202BD">
              <w:rPr>
                <w:rFonts w:ascii="Arial" w:hAnsi="Arial" w:cs="Arial"/>
              </w:rPr>
              <w:t>Pokazatelj rezultata</w:t>
            </w:r>
          </w:p>
        </w:tc>
        <w:tc>
          <w:tcPr>
            <w:tcW w:w="1114" w:type="dxa"/>
            <w:shd w:val="clear" w:color="auto" w:fill="B5C0D8"/>
          </w:tcPr>
          <w:p w:rsidR="00D849AA" w:rsidRPr="00A202BD" w:rsidRDefault="00EE6D95">
            <w:pPr>
              <w:pStyle w:val="CellHeader"/>
            </w:pPr>
            <w:r w:rsidRPr="00A202BD">
              <w:t>Jedinica</w:t>
            </w:r>
          </w:p>
        </w:tc>
        <w:tc>
          <w:tcPr>
            <w:tcW w:w="1114" w:type="dxa"/>
            <w:shd w:val="clear" w:color="auto" w:fill="B5C0D8"/>
          </w:tcPr>
          <w:p w:rsidR="00D849AA" w:rsidRPr="00A202BD" w:rsidRDefault="00EE6D95">
            <w:pPr>
              <w:pStyle w:val="CellHeader"/>
            </w:pPr>
            <w:r w:rsidRPr="00A202BD">
              <w:t>Polazna vrijednost</w:t>
            </w:r>
          </w:p>
        </w:tc>
        <w:tc>
          <w:tcPr>
            <w:tcW w:w="1486" w:type="dxa"/>
            <w:shd w:val="clear" w:color="auto" w:fill="B5C0D8"/>
          </w:tcPr>
          <w:p w:rsidR="00D849AA" w:rsidRPr="00A202BD" w:rsidRDefault="00EE6D95">
            <w:pPr>
              <w:pStyle w:val="CellHeader"/>
            </w:pPr>
            <w:r w:rsidRPr="00A202BD">
              <w:t>Ciljana vrijednost (2014.)</w:t>
            </w:r>
          </w:p>
        </w:tc>
        <w:tc>
          <w:tcPr>
            <w:tcW w:w="1486" w:type="dxa"/>
            <w:shd w:val="clear" w:color="auto" w:fill="B5C0D8"/>
          </w:tcPr>
          <w:p w:rsidR="00D849AA" w:rsidRPr="00A202BD" w:rsidRDefault="00EE6D95">
            <w:pPr>
              <w:pStyle w:val="CellHeader"/>
            </w:pPr>
            <w:r w:rsidRPr="00A202BD">
              <w:t>Ciljana vrijednost (2015.)</w:t>
            </w:r>
          </w:p>
        </w:tc>
        <w:tc>
          <w:tcPr>
            <w:tcW w:w="1486" w:type="dxa"/>
            <w:shd w:val="clear" w:color="auto" w:fill="B5C0D8"/>
          </w:tcPr>
          <w:p w:rsidR="00D849AA" w:rsidRPr="00A202BD" w:rsidRDefault="00EE6D95">
            <w:pPr>
              <w:pStyle w:val="CellHeader"/>
            </w:pPr>
            <w:r w:rsidRPr="00A202BD">
              <w:t>Ciljana vrijednost (2016.)</w:t>
            </w:r>
          </w:p>
        </w:tc>
      </w:tr>
      <w:tr w:rsidR="00D849AA">
        <w:trPr>
          <w:jc w:val="center"/>
        </w:trPr>
        <w:tc>
          <w:tcPr>
            <w:tcW w:w="2229" w:type="dxa"/>
          </w:tcPr>
          <w:p w:rsidR="00D849AA" w:rsidRPr="00A202BD" w:rsidRDefault="00EE6D95">
            <w:pPr>
              <w:pStyle w:val="CellColumn"/>
            </w:pPr>
            <w:r w:rsidRPr="00A202BD">
              <w:t>Udio odobrenih zahtjeva za dodjelom automobila HRVI 100% I. skupine u odnosu na broj zaprimljenih i utemeljenih zahtjeva</w:t>
            </w:r>
          </w:p>
        </w:tc>
        <w:tc>
          <w:tcPr>
            <w:tcW w:w="1114" w:type="dxa"/>
          </w:tcPr>
          <w:p w:rsidR="00D849AA" w:rsidRPr="00A202BD" w:rsidRDefault="00EE6D95">
            <w:pPr>
              <w:rPr>
                <w:rFonts w:ascii="Arial" w:hAnsi="Arial" w:cs="Arial"/>
              </w:rPr>
            </w:pPr>
            <w:r w:rsidRPr="00A202BD">
              <w:rPr>
                <w:rFonts w:ascii="Arial" w:hAnsi="Arial" w:cs="Arial"/>
              </w:rPr>
              <w:t>%</w:t>
            </w:r>
          </w:p>
        </w:tc>
        <w:tc>
          <w:tcPr>
            <w:tcW w:w="1114" w:type="dxa"/>
          </w:tcPr>
          <w:p w:rsidR="00D849AA" w:rsidRPr="00A202BD" w:rsidRDefault="00EE6D95">
            <w:pPr>
              <w:rPr>
                <w:rFonts w:ascii="Arial" w:hAnsi="Arial" w:cs="Arial"/>
              </w:rPr>
            </w:pPr>
            <w:r w:rsidRPr="00A202BD">
              <w:rPr>
                <w:rFonts w:ascii="Arial" w:hAnsi="Arial" w:cs="Arial"/>
              </w:rPr>
              <w:t>100</w:t>
            </w:r>
          </w:p>
        </w:tc>
        <w:tc>
          <w:tcPr>
            <w:tcW w:w="1486" w:type="dxa"/>
          </w:tcPr>
          <w:p w:rsidR="00D849AA" w:rsidRPr="00A202BD" w:rsidRDefault="00EE6D95">
            <w:pPr>
              <w:rPr>
                <w:rFonts w:ascii="Arial" w:hAnsi="Arial" w:cs="Arial"/>
              </w:rPr>
            </w:pPr>
            <w:r w:rsidRPr="00A202BD">
              <w:rPr>
                <w:rFonts w:ascii="Arial" w:hAnsi="Arial" w:cs="Arial"/>
              </w:rPr>
              <w:t>100</w:t>
            </w:r>
          </w:p>
        </w:tc>
        <w:tc>
          <w:tcPr>
            <w:tcW w:w="1486" w:type="dxa"/>
          </w:tcPr>
          <w:p w:rsidR="00D849AA" w:rsidRPr="00A202BD" w:rsidRDefault="00EE6D95">
            <w:pPr>
              <w:rPr>
                <w:rFonts w:ascii="Arial" w:hAnsi="Arial" w:cs="Arial"/>
              </w:rPr>
            </w:pPr>
            <w:r w:rsidRPr="00A202BD">
              <w:rPr>
                <w:rFonts w:ascii="Arial" w:hAnsi="Arial" w:cs="Arial"/>
              </w:rPr>
              <w:t>100</w:t>
            </w:r>
          </w:p>
        </w:tc>
        <w:tc>
          <w:tcPr>
            <w:tcW w:w="1486" w:type="dxa"/>
          </w:tcPr>
          <w:p w:rsidR="00D849AA" w:rsidRPr="00A202BD" w:rsidRDefault="00EE6D95">
            <w:pPr>
              <w:rPr>
                <w:rFonts w:ascii="Arial" w:hAnsi="Arial" w:cs="Arial"/>
              </w:rPr>
            </w:pPr>
            <w:r w:rsidRPr="00A202BD">
              <w:rPr>
                <w:rFonts w:ascii="Arial" w:hAnsi="Arial" w:cs="Arial"/>
              </w:rPr>
              <w:t>100</w:t>
            </w:r>
          </w:p>
        </w:tc>
      </w:tr>
      <w:tr w:rsidR="00D849AA">
        <w:trPr>
          <w:jc w:val="center"/>
        </w:trPr>
        <w:tc>
          <w:tcPr>
            <w:tcW w:w="2229" w:type="dxa"/>
          </w:tcPr>
          <w:p w:rsidR="00D849AA" w:rsidRPr="00A202BD" w:rsidRDefault="00EE6D95">
            <w:pPr>
              <w:pStyle w:val="CellColumn"/>
            </w:pPr>
            <w:r w:rsidRPr="00A202BD">
              <w:t>Broj odobrenih zahtjeva za jednokratnu novčanu pomoć</w:t>
            </w:r>
          </w:p>
        </w:tc>
        <w:tc>
          <w:tcPr>
            <w:tcW w:w="1114" w:type="dxa"/>
          </w:tcPr>
          <w:p w:rsidR="00D849AA" w:rsidRPr="00A202BD" w:rsidRDefault="00EE6D95">
            <w:pPr>
              <w:rPr>
                <w:rFonts w:ascii="Arial" w:hAnsi="Arial" w:cs="Arial"/>
              </w:rPr>
            </w:pPr>
            <w:r w:rsidRPr="00A202BD">
              <w:rPr>
                <w:rFonts w:ascii="Arial" w:hAnsi="Arial" w:cs="Arial"/>
              </w:rPr>
              <w:t>broj</w:t>
            </w:r>
          </w:p>
        </w:tc>
        <w:tc>
          <w:tcPr>
            <w:tcW w:w="1114" w:type="dxa"/>
          </w:tcPr>
          <w:p w:rsidR="00D849AA" w:rsidRPr="00A202BD" w:rsidRDefault="00EE6D95">
            <w:pPr>
              <w:rPr>
                <w:rFonts w:ascii="Arial" w:hAnsi="Arial" w:cs="Arial"/>
              </w:rPr>
            </w:pPr>
            <w:r w:rsidRPr="00A202BD">
              <w:rPr>
                <w:rFonts w:ascii="Arial" w:hAnsi="Arial" w:cs="Arial"/>
              </w:rPr>
              <w:t>500</w:t>
            </w:r>
          </w:p>
        </w:tc>
        <w:tc>
          <w:tcPr>
            <w:tcW w:w="1486" w:type="dxa"/>
          </w:tcPr>
          <w:p w:rsidR="00D849AA" w:rsidRPr="00A202BD" w:rsidRDefault="00EE6D95">
            <w:pPr>
              <w:rPr>
                <w:rFonts w:ascii="Arial" w:hAnsi="Arial" w:cs="Arial"/>
              </w:rPr>
            </w:pPr>
            <w:r w:rsidRPr="00A202BD">
              <w:rPr>
                <w:rFonts w:ascii="Arial" w:hAnsi="Arial" w:cs="Arial"/>
              </w:rPr>
              <w:t>600</w:t>
            </w:r>
          </w:p>
        </w:tc>
        <w:tc>
          <w:tcPr>
            <w:tcW w:w="1486" w:type="dxa"/>
          </w:tcPr>
          <w:p w:rsidR="00D849AA" w:rsidRPr="00A202BD" w:rsidRDefault="00EE6D95">
            <w:pPr>
              <w:rPr>
                <w:rFonts w:ascii="Arial" w:hAnsi="Arial" w:cs="Arial"/>
              </w:rPr>
            </w:pPr>
            <w:r w:rsidRPr="00A202BD">
              <w:rPr>
                <w:rFonts w:ascii="Arial" w:hAnsi="Arial" w:cs="Arial"/>
              </w:rPr>
              <w:t>600</w:t>
            </w:r>
          </w:p>
        </w:tc>
        <w:tc>
          <w:tcPr>
            <w:tcW w:w="1486" w:type="dxa"/>
          </w:tcPr>
          <w:p w:rsidR="00D849AA" w:rsidRPr="00A202BD" w:rsidRDefault="00EE6D95">
            <w:pPr>
              <w:rPr>
                <w:rFonts w:ascii="Arial" w:hAnsi="Arial" w:cs="Arial"/>
              </w:rPr>
            </w:pPr>
            <w:r w:rsidRPr="00A202BD">
              <w:rPr>
                <w:rFonts w:ascii="Arial" w:hAnsi="Arial" w:cs="Arial"/>
              </w:rPr>
              <w:t>600</w:t>
            </w:r>
          </w:p>
        </w:tc>
      </w:tr>
    </w:tbl>
    <w:p w:rsidR="00D849AA" w:rsidRDefault="00D849AA">
      <w:pPr>
        <w:jc w:val="left"/>
      </w:pPr>
    </w:p>
    <w:p w:rsidR="00D849AA" w:rsidRDefault="00EE6D95">
      <w:pPr>
        <w:pStyle w:val="Naslov6"/>
      </w:pPr>
      <w:r>
        <w:t>A753008 TRAJNA PRAVA ( OSOBNA INVALIDNINA, OBITELJSKA INVALIDNINA, NAKNADE I DRUGO)</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A202BD" w:rsidRDefault="00EE6D95">
            <w:pPr>
              <w:pStyle w:val="CellHeader"/>
            </w:pPr>
            <w:r w:rsidRPr="00A202BD">
              <w:t>Naziv aktivnosti</w:t>
            </w:r>
          </w:p>
        </w:tc>
        <w:tc>
          <w:tcPr>
            <w:tcW w:w="1486" w:type="dxa"/>
            <w:shd w:val="clear" w:color="auto" w:fill="B5C0D8"/>
          </w:tcPr>
          <w:p w:rsidR="00D849AA" w:rsidRPr="00A202BD" w:rsidRDefault="00EE6D95">
            <w:pPr>
              <w:pStyle w:val="CellHeader"/>
            </w:pPr>
            <w:r w:rsidRPr="00A202BD">
              <w:t>Plan 2013.</w:t>
            </w:r>
          </w:p>
        </w:tc>
        <w:tc>
          <w:tcPr>
            <w:tcW w:w="1486" w:type="dxa"/>
            <w:shd w:val="clear" w:color="auto" w:fill="B5C0D8"/>
          </w:tcPr>
          <w:p w:rsidR="00D849AA" w:rsidRPr="00A202BD" w:rsidRDefault="00EE6D95">
            <w:pPr>
              <w:pStyle w:val="CellHeader"/>
            </w:pPr>
            <w:r w:rsidRPr="00A202BD">
              <w:t>Plan 2014.</w:t>
            </w:r>
          </w:p>
        </w:tc>
        <w:tc>
          <w:tcPr>
            <w:tcW w:w="1486" w:type="dxa"/>
            <w:shd w:val="clear" w:color="auto" w:fill="B5C0D8"/>
          </w:tcPr>
          <w:p w:rsidR="00D849AA" w:rsidRPr="00A202BD" w:rsidRDefault="00EE6D95">
            <w:pPr>
              <w:pStyle w:val="CellHeader"/>
            </w:pPr>
            <w:r w:rsidRPr="00A202BD">
              <w:t>Plan 2015.</w:t>
            </w:r>
          </w:p>
        </w:tc>
        <w:tc>
          <w:tcPr>
            <w:tcW w:w="1486" w:type="dxa"/>
            <w:shd w:val="clear" w:color="auto" w:fill="B5C0D8"/>
          </w:tcPr>
          <w:p w:rsidR="00D849AA" w:rsidRPr="00A202BD" w:rsidRDefault="00EE6D95">
            <w:pPr>
              <w:pStyle w:val="CellHeader"/>
            </w:pPr>
            <w:r w:rsidRPr="00A202BD">
              <w:t>Plan 2016.</w:t>
            </w:r>
          </w:p>
        </w:tc>
        <w:tc>
          <w:tcPr>
            <w:tcW w:w="1486" w:type="dxa"/>
            <w:shd w:val="clear" w:color="auto" w:fill="B5C0D8"/>
          </w:tcPr>
          <w:p w:rsidR="00D849AA" w:rsidRPr="00A202BD" w:rsidRDefault="00EE6D95">
            <w:pPr>
              <w:pStyle w:val="CellHeader"/>
            </w:pPr>
            <w:r w:rsidRPr="00A202BD">
              <w:t>Indeks 2014/2013</w:t>
            </w:r>
          </w:p>
        </w:tc>
      </w:tr>
      <w:tr w:rsidR="00D849AA">
        <w:trPr>
          <w:jc w:val="center"/>
        </w:trPr>
        <w:tc>
          <w:tcPr>
            <w:tcW w:w="1486" w:type="dxa"/>
          </w:tcPr>
          <w:p w:rsidR="00D849AA" w:rsidRPr="00A202BD" w:rsidRDefault="00EE6D95">
            <w:pPr>
              <w:pStyle w:val="CellColumn"/>
            </w:pPr>
            <w:r w:rsidRPr="00A202BD">
              <w:t>A753008</w:t>
            </w:r>
          </w:p>
        </w:tc>
        <w:tc>
          <w:tcPr>
            <w:tcW w:w="1486" w:type="dxa"/>
          </w:tcPr>
          <w:p w:rsidR="00D849AA" w:rsidRPr="00A202BD" w:rsidRDefault="00EE6D95">
            <w:pPr>
              <w:rPr>
                <w:rFonts w:ascii="Arial" w:hAnsi="Arial" w:cs="Arial"/>
              </w:rPr>
            </w:pPr>
            <w:r w:rsidRPr="00A202BD">
              <w:rPr>
                <w:rFonts w:ascii="Arial" w:hAnsi="Arial" w:cs="Arial"/>
              </w:rPr>
              <w:t>707.986.900</w:t>
            </w:r>
          </w:p>
        </w:tc>
        <w:tc>
          <w:tcPr>
            <w:tcW w:w="1486" w:type="dxa"/>
          </w:tcPr>
          <w:p w:rsidR="00D849AA" w:rsidRPr="00A202BD" w:rsidRDefault="00EE6D95">
            <w:pPr>
              <w:rPr>
                <w:rFonts w:ascii="Arial" w:hAnsi="Arial" w:cs="Arial"/>
              </w:rPr>
            </w:pPr>
            <w:r w:rsidRPr="00A202BD">
              <w:rPr>
                <w:rFonts w:ascii="Arial" w:hAnsi="Arial" w:cs="Arial"/>
              </w:rPr>
              <w:t>618.936.000</w:t>
            </w:r>
          </w:p>
        </w:tc>
        <w:tc>
          <w:tcPr>
            <w:tcW w:w="1486" w:type="dxa"/>
          </w:tcPr>
          <w:p w:rsidR="00D849AA" w:rsidRPr="00A202BD" w:rsidRDefault="00EE6D95">
            <w:pPr>
              <w:rPr>
                <w:rFonts w:ascii="Arial" w:hAnsi="Arial" w:cs="Arial"/>
              </w:rPr>
            </w:pPr>
            <w:r w:rsidRPr="00A202BD">
              <w:rPr>
                <w:rFonts w:ascii="Arial" w:hAnsi="Arial" w:cs="Arial"/>
              </w:rPr>
              <w:t>600.977.000</w:t>
            </w:r>
          </w:p>
        </w:tc>
        <w:tc>
          <w:tcPr>
            <w:tcW w:w="1486" w:type="dxa"/>
          </w:tcPr>
          <w:p w:rsidR="00D849AA" w:rsidRPr="00A202BD" w:rsidRDefault="00EE6D95">
            <w:pPr>
              <w:rPr>
                <w:rFonts w:ascii="Arial" w:hAnsi="Arial" w:cs="Arial"/>
              </w:rPr>
            </w:pPr>
            <w:r w:rsidRPr="00A202BD">
              <w:rPr>
                <w:rFonts w:ascii="Arial" w:hAnsi="Arial" w:cs="Arial"/>
              </w:rPr>
              <w:t>600.844.000</w:t>
            </w:r>
          </w:p>
        </w:tc>
        <w:tc>
          <w:tcPr>
            <w:tcW w:w="1486" w:type="dxa"/>
          </w:tcPr>
          <w:p w:rsidR="00D849AA" w:rsidRPr="00A202BD" w:rsidRDefault="00EE6D95">
            <w:pPr>
              <w:rPr>
                <w:rFonts w:ascii="Arial" w:hAnsi="Arial" w:cs="Arial"/>
              </w:rPr>
            </w:pPr>
            <w:r w:rsidRPr="00A202BD">
              <w:rPr>
                <w:rFonts w:ascii="Arial" w:hAnsi="Arial" w:cs="Arial"/>
              </w:rPr>
              <w:t>87,4</w:t>
            </w:r>
          </w:p>
        </w:tc>
      </w:tr>
    </w:tbl>
    <w:p w:rsidR="00D849AA" w:rsidRDefault="00D849AA">
      <w:pPr>
        <w:jc w:val="left"/>
      </w:pPr>
    </w:p>
    <w:p w:rsidR="00D849AA" w:rsidRDefault="00EE6D95">
      <w:pPr>
        <w:pStyle w:val="Normal6"/>
      </w:pPr>
      <w:r>
        <w:t xml:space="preserve">Priznavanje  statusa  i  prava  hrvatskim  braniteljima  iz  Domovinskog  rata  i članovima njihovih obitelji - zadana je Zakonom o pravima hrvatskih branitelja iz Domovinskog  rata  i  članova  njihovih  obitelji  (NN  broj  174/04.,  92/05.,  2/07., 107/07., 65/09., 137/09., 146/10., 55/11. i 140/12). </w:t>
      </w:r>
    </w:p>
    <w:p w:rsidR="00D849AA" w:rsidRDefault="00EE6D95">
      <w:pPr>
        <w:pStyle w:val="Normal6"/>
      </w:pPr>
      <w:r>
        <w:t xml:space="preserve">Člankom 129. navedenoga Zakona propisano je da prvostupanjsko rješenje kojim  se priznaje status člana obitelji smrtno stradaloga hrvatskog branitelja iz Domovinskog rata i  pravo na obiteljsku invalidninu, pravo na povećanu obiteljsku invalidninu, pravo na uvećanu obiteljsku invalidninu, status člana obitelji nestaloga ili zatočenoga hrvatskog  branitelja iz Domovinskog rata i novčanu naknadu u iznosu obiteljske invalidnine,   povećane   obiteljske   invalidnine   i   uvećane   obiteljske invalidnine, status  HRVI  iz  Domovinskog  rata  i  pravo  na  osobnu  invalidninu, doplatak  za njegu  i  pomoć  druge  osobe,  ortopedski  doplatak,  posebni  doplatak, opskrbninu, doplatak  za  pripomoć  u  kući   i   rješenje  kojim  se  dodjeljuje  osobni automobil HRVI iz Domovinskog rata I. skupine podliježe reviziji. </w:t>
      </w:r>
    </w:p>
    <w:p w:rsidR="00D849AA" w:rsidRDefault="00EE6D95">
      <w:pPr>
        <w:pStyle w:val="Normal6"/>
      </w:pPr>
      <w:r>
        <w:t>Putem revizije, koju Ministarstvo branitelja obavlja  po  službenoj  dužnosti,  obavlja se  kontrola zakonitosti prvostupanjskih  rješenja</w:t>
      </w:r>
      <w:r>
        <w:tab/>
        <w:t xml:space="preserve">ureda državne uprave u županijama   i   Gradskog   ureda   za   zdravstvo   i branitelje Grada Zagreba u gore navedenim upravnim stvarima u pogledu svih pet oblika  nezakonitosti (nenadležnost, greške  u  postupku  i  formi,  materijalna  povreda  Zakona,  greške  u  utvrđivanju činjeničnog stanja, greške u cilju i svrsi). </w:t>
      </w:r>
    </w:p>
    <w:p w:rsidR="00D849AA" w:rsidRDefault="00EE6D95">
      <w:pPr>
        <w:pStyle w:val="Normal6"/>
      </w:pPr>
      <w:r>
        <w:t xml:space="preserve">U realizaciji ovoga cilja planira se smanjiti broj poništenih drugostupanjskih rješenja u  okviru upravnog spora u 2014. godini na 10%, u 2015. na 9% i u 2016. na 8% od ukupnog  broja obrađenih predmeta. Ujedno se planira pojačati kontrola zakonitosti nalaza vijeća Drugostupanjskog liječničkog povjerenstva. Također se planira smanjiti broj poništenih </w:t>
      </w:r>
      <w:r>
        <w:lastRenderedPageBreak/>
        <w:t xml:space="preserve">prvostupanjskih rješenja putem jačanja stručnih kapaciteta prvostupanjskih  tijela  putem  seminara,  radionica  i  naputaka  o  postupanju. </w:t>
      </w:r>
    </w:p>
    <w:p w:rsidR="00D849AA" w:rsidRDefault="00EE6D95">
      <w:pPr>
        <w:pStyle w:val="Normal6"/>
      </w:pPr>
      <w:r>
        <w:t xml:space="preserve">Tim mjerama   bi   se   broj   poništenih   nezakonitih   prvostupanjskih rješenja u 2014. smanjio  na  7%,  u  2015.  na  6%  i  u  2016.  godini  na 5%  od  ukupnog  broja revidiranih rješenja. </w:t>
      </w:r>
    </w:p>
    <w:p w:rsidR="00D849AA" w:rsidRDefault="00EE6D95">
      <w:pPr>
        <w:pStyle w:val="Normal6"/>
      </w:pPr>
      <w:r>
        <w:t xml:space="preserve">Procjenjujemo da će na osnovi važećeg Zakona o pravima hrvatskih branitelja iz Domovinskog rata i članova njihovih obitelji u razdoblju od 2014. do 2016. godine završiti postupak priznavanja statusa HRVI iz Domovinskog rata s osnove bolesti za sve  one hrvatske  branitelje  iz  Domovinskog  rata  koji  su  podnijeli  zahtjev  u zakonskom roku   do 31. prosinca 2005. godine. U nastavnom postupku očekuje se prosječno  priznavanje  HRVI  iz  Domovinskog  rata  IX.  skupine  sa  pripadajućom osobnom invalidninom u iznosu 153,00 kn mjesečno. </w:t>
      </w:r>
    </w:p>
    <w:p w:rsidR="00D849AA" w:rsidRDefault="00EE6D95">
      <w:pPr>
        <w:pStyle w:val="Normal6"/>
      </w:pPr>
      <w:r>
        <w:t>Očekuje se da će se  izmjenom u zakonodavstvu utvrđivanje prava na opskrbninu prenijeti u nadležnost drugog tijela, a na temelju čega je i izrađen prijedlog financijskog plana sa naprijed navedenim umanjenim  financijskim sredstvima. Broj korisnika obiteljskih invalidnina neće se  povećavati budući se očekuje smanjivanje broja korisnika zbog završetka redovitog školovanja  djece  smrtno  stradalih  hrvatskih  branitelja iz  Domovinskog  rata te prestanak prava na obiteljsku  invalidninu s osnove smrti roditelja smrtno stradalih hrvatskih branitelja iz Domovinskog rata.</w:t>
      </w:r>
    </w:p>
    <w:p w:rsidR="00221AEF" w:rsidRDefault="00221AEF">
      <w:pPr>
        <w:pStyle w:val="Normal6"/>
      </w:pP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A202BD" w:rsidRDefault="00EE6D95">
            <w:pPr>
              <w:rPr>
                <w:rFonts w:ascii="Arial" w:hAnsi="Arial" w:cs="Arial"/>
              </w:rPr>
            </w:pPr>
            <w:r w:rsidRPr="00A202BD">
              <w:rPr>
                <w:rFonts w:ascii="Arial" w:hAnsi="Arial" w:cs="Arial"/>
              </w:rPr>
              <w:t>Pokazatelj rezultata</w:t>
            </w:r>
          </w:p>
        </w:tc>
        <w:tc>
          <w:tcPr>
            <w:tcW w:w="1114" w:type="dxa"/>
            <w:shd w:val="clear" w:color="auto" w:fill="B5C0D8"/>
          </w:tcPr>
          <w:p w:rsidR="00D849AA" w:rsidRPr="00A202BD" w:rsidRDefault="00EE6D95">
            <w:pPr>
              <w:pStyle w:val="CellHeader"/>
            </w:pPr>
            <w:r w:rsidRPr="00A202BD">
              <w:t>Jedinica</w:t>
            </w:r>
          </w:p>
        </w:tc>
        <w:tc>
          <w:tcPr>
            <w:tcW w:w="1114" w:type="dxa"/>
            <w:shd w:val="clear" w:color="auto" w:fill="B5C0D8"/>
          </w:tcPr>
          <w:p w:rsidR="00D849AA" w:rsidRPr="00A202BD" w:rsidRDefault="00EE6D95">
            <w:pPr>
              <w:pStyle w:val="CellHeader"/>
            </w:pPr>
            <w:r w:rsidRPr="00A202BD">
              <w:t>Polazna vrijednost</w:t>
            </w:r>
          </w:p>
        </w:tc>
        <w:tc>
          <w:tcPr>
            <w:tcW w:w="1486" w:type="dxa"/>
            <w:shd w:val="clear" w:color="auto" w:fill="B5C0D8"/>
          </w:tcPr>
          <w:p w:rsidR="00D849AA" w:rsidRPr="00A202BD" w:rsidRDefault="00EE6D95">
            <w:pPr>
              <w:pStyle w:val="CellHeader"/>
            </w:pPr>
            <w:r w:rsidRPr="00A202BD">
              <w:t>Ciljana vrijednost (2014.)</w:t>
            </w:r>
          </w:p>
        </w:tc>
        <w:tc>
          <w:tcPr>
            <w:tcW w:w="1486" w:type="dxa"/>
            <w:shd w:val="clear" w:color="auto" w:fill="B5C0D8"/>
          </w:tcPr>
          <w:p w:rsidR="00D849AA" w:rsidRPr="00A202BD" w:rsidRDefault="00EE6D95">
            <w:pPr>
              <w:pStyle w:val="CellHeader"/>
            </w:pPr>
            <w:r w:rsidRPr="00A202BD">
              <w:t>Ciljana vrijednost (2015.)</w:t>
            </w:r>
          </w:p>
        </w:tc>
        <w:tc>
          <w:tcPr>
            <w:tcW w:w="1486" w:type="dxa"/>
            <w:shd w:val="clear" w:color="auto" w:fill="B5C0D8"/>
          </w:tcPr>
          <w:p w:rsidR="00D849AA" w:rsidRPr="00A202BD" w:rsidRDefault="00EE6D95">
            <w:pPr>
              <w:pStyle w:val="CellHeader"/>
            </w:pPr>
            <w:r w:rsidRPr="00A202BD">
              <w:t>Ciljana vrijednost (2016.)</w:t>
            </w:r>
          </w:p>
        </w:tc>
      </w:tr>
      <w:tr w:rsidR="00D849AA">
        <w:trPr>
          <w:jc w:val="center"/>
        </w:trPr>
        <w:tc>
          <w:tcPr>
            <w:tcW w:w="2229" w:type="dxa"/>
          </w:tcPr>
          <w:p w:rsidR="00D849AA" w:rsidRPr="00A202BD" w:rsidRDefault="00EE6D95">
            <w:pPr>
              <w:pStyle w:val="CellColumn"/>
            </w:pPr>
            <w:r w:rsidRPr="00A202BD">
              <w:t>Udio poništenih prvostupanjskih rješenja o priznavanju statusa i prava hrvatskim braniteljima iz Domovinskog rata i članovima njihovih obitelji</w:t>
            </w:r>
          </w:p>
        </w:tc>
        <w:tc>
          <w:tcPr>
            <w:tcW w:w="1114" w:type="dxa"/>
          </w:tcPr>
          <w:p w:rsidR="00D849AA" w:rsidRPr="00A202BD" w:rsidRDefault="00EE6D95">
            <w:pPr>
              <w:rPr>
                <w:rFonts w:ascii="Arial" w:hAnsi="Arial" w:cs="Arial"/>
              </w:rPr>
            </w:pPr>
            <w:r w:rsidRPr="00A202BD">
              <w:rPr>
                <w:rFonts w:ascii="Arial" w:hAnsi="Arial" w:cs="Arial"/>
              </w:rPr>
              <w:t>%</w:t>
            </w:r>
          </w:p>
        </w:tc>
        <w:tc>
          <w:tcPr>
            <w:tcW w:w="1114" w:type="dxa"/>
          </w:tcPr>
          <w:p w:rsidR="00D849AA" w:rsidRPr="00A202BD" w:rsidRDefault="00EE6D95">
            <w:pPr>
              <w:rPr>
                <w:rFonts w:ascii="Arial" w:hAnsi="Arial" w:cs="Arial"/>
              </w:rPr>
            </w:pPr>
            <w:r w:rsidRPr="00A202BD">
              <w:rPr>
                <w:rFonts w:ascii="Arial" w:hAnsi="Arial" w:cs="Arial"/>
              </w:rPr>
              <w:t>8,4</w:t>
            </w:r>
          </w:p>
        </w:tc>
        <w:tc>
          <w:tcPr>
            <w:tcW w:w="1486" w:type="dxa"/>
          </w:tcPr>
          <w:p w:rsidR="00D849AA" w:rsidRPr="00A202BD" w:rsidRDefault="00EE6D95">
            <w:pPr>
              <w:rPr>
                <w:rFonts w:ascii="Arial" w:hAnsi="Arial" w:cs="Arial"/>
              </w:rPr>
            </w:pPr>
            <w:r w:rsidRPr="00A202BD">
              <w:rPr>
                <w:rFonts w:ascii="Arial" w:hAnsi="Arial" w:cs="Arial"/>
              </w:rPr>
              <w:t>7</w:t>
            </w:r>
          </w:p>
        </w:tc>
        <w:tc>
          <w:tcPr>
            <w:tcW w:w="1486" w:type="dxa"/>
          </w:tcPr>
          <w:p w:rsidR="00D849AA" w:rsidRPr="00A202BD" w:rsidRDefault="00EE6D95">
            <w:pPr>
              <w:rPr>
                <w:rFonts w:ascii="Arial" w:hAnsi="Arial" w:cs="Arial"/>
              </w:rPr>
            </w:pPr>
            <w:r w:rsidRPr="00A202BD">
              <w:rPr>
                <w:rFonts w:ascii="Arial" w:hAnsi="Arial" w:cs="Arial"/>
              </w:rPr>
              <w:t>6</w:t>
            </w:r>
          </w:p>
        </w:tc>
        <w:tc>
          <w:tcPr>
            <w:tcW w:w="1486" w:type="dxa"/>
          </w:tcPr>
          <w:p w:rsidR="00D849AA" w:rsidRPr="00A202BD" w:rsidRDefault="00EE6D95">
            <w:pPr>
              <w:rPr>
                <w:rFonts w:ascii="Arial" w:hAnsi="Arial" w:cs="Arial"/>
              </w:rPr>
            </w:pPr>
            <w:r w:rsidRPr="00A202BD">
              <w:rPr>
                <w:rFonts w:ascii="Arial" w:hAnsi="Arial" w:cs="Arial"/>
              </w:rPr>
              <w:t>5</w:t>
            </w:r>
          </w:p>
        </w:tc>
      </w:tr>
      <w:tr w:rsidR="00D849AA">
        <w:trPr>
          <w:jc w:val="center"/>
        </w:trPr>
        <w:tc>
          <w:tcPr>
            <w:tcW w:w="2229" w:type="dxa"/>
          </w:tcPr>
          <w:p w:rsidR="00D849AA" w:rsidRPr="00A202BD" w:rsidRDefault="00EE6D95">
            <w:pPr>
              <w:pStyle w:val="CellColumn"/>
            </w:pPr>
            <w:r w:rsidRPr="00A202BD">
              <w:t>Udio poništenih drugostupanjskih rješenja o priznavanju statusa i prava hrvatskim braniteljima iz Domovinskog rata i članovima njihovih obitelji u upravnom sporu</w:t>
            </w:r>
          </w:p>
        </w:tc>
        <w:tc>
          <w:tcPr>
            <w:tcW w:w="1114" w:type="dxa"/>
          </w:tcPr>
          <w:p w:rsidR="00D849AA" w:rsidRPr="00A202BD" w:rsidRDefault="00EE6D95">
            <w:pPr>
              <w:rPr>
                <w:rFonts w:ascii="Arial" w:hAnsi="Arial" w:cs="Arial"/>
              </w:rPr>
            </w:pPr>
            <w:r w:rsidRPr="00A202BD">
              <w:rPr>
                <w:rFonts w:ascii="Arial" w:hAnsi="Arial" w:cs="Arial"/>
              </w:rPr>
              <w:t>%</w:t>
            </w:r>
          </w:p>
        </w:tc>
        <w:tc>
          <w:tcPr>
            <w:tcW w:w="1114" w:type="dxa"/>
          </w:tcPr>
          <w:p w:rsidR="00D849AA" w:rsidRPr="00A202BD" w:rsidRDefault="00EE6D95">
            <w:pPr>
              <w:rPr>
                <w:rFonts w:ascii="Arial" w:hAnsi="Arial" w:cs="Arial"/>
              </w:rPr>
            </w:pPr>
            <w:r w:rsidRPr="00A202BD">
              <w:rPr>
                <w:rFonts w:ascii="Arial" w:hAnsi="Arial" w:cs="Arial"/>
              </w:rPr>
              <w:t>11,68</w:t>
            </w:r>
          </w:p>
        </w:tc>
        <w:tc>
          <w:tcPr>
            <w:tcW w:w="1486" w:type="dxa"/>
          </w:tcPr>
          <w:p w:rsidR="00D849AA" w:rsidRPr="00A202BD" w:rsidRDefault="00EE6D95">
            <w:pPr>
              <w:rPr>
                <w:rFonts w:ascii="Arial" w:hAnsi="Arial" w:cs="Arial"/>
              </w:rPr>
            </w:pPr>
            <w:r w:rsidRPr="00A202BD">
              <w:rPr>
                <w:rFonts w:ascii="Arial" w:hAnsi="Arial" w:cs="Arial"/>
              </w:rPr>
              <w:t>10</w:t>
            </w:r>
          </w:p>
        </w:tc>
        <w:tc>
          <w:tcPr>
            <w:tcW w:w="1486" w:type="dxa"/>
          </w:tcPr>
          <w:p w:rsidR="00D849AA" w:rsidRPr="00A202BD" w:rsidRDefault="00EE6D95">
            <w:pPr>
              <w:rPr>
                <w:rFonts w:ascii="Arial" w:hAnsi="Arial" w:cs="Arial"/>
              </w:rPr>
            </w:pPr>
            <w:r w:rsidRPr="00A202BD">
              <w:rPr>
                <w:rFonts w:ascii="Arial" w:hAnsi="Arial" w:cs="Arial"/>
              </w:rPr>
              <w:t>9</w:t>
            </w:r>
          </w:p>
        </w:tc>
        <w:tc>
          <w:tcPr>
            <w:tcW w:w="1486" w:type="dxa"/>
          </w:tcPr>
          <w:p w:rsidR="00D849AA" w:rsidRPr="00A202BD" w:rsidRDefault="00EE6D95">
            <w:pPr>
              <w:rPr>
                <w:rFonts w:ascii="Arial" w:hAnsi="Arial" w:cs="Arial"/>
              </w:rPr>
            </w:pPr>
            <w:r w:rsidRPr="00A202BD">
              <w:rPr>
                <w:rFonts w:ascii="Arial" w:hAnsi="Arial" w:cs="Arial"/>
              </w:rPr>
              <w:t>8</w:t>
            </w:r>
          </w:p>
        </w:tc>
      </w:tr>
    </w:tbl>
    <w:p w:rsidR="00D849AA" w:rsidRDefault="00D849AA">
      <w:pPr>
        <w:jc w:val="left"/>
      </w:pPr>
    </w:p>
    <w:p w:rsidR="00A202BD" w:rsidRDefault="00A202BD">
      <w:pPr>
        <w:jc w:val="left"/>
      </w:pPr>
    </w:p>
    <w:p w:rsidR="00A202BD" w:rsidRDefault="00A202BD">
      <w:pPr>
        <w:jc w:val="left"/>
      </w:pPr>
    </w:p>
    <w:p w:rsidR="00A202BD" w:rsidRDefault="00A202BD">
      <w:pPr>
        <w:jc w:val="left"/>
      </w:pPr>
    </w:p>
    <w:p w:rsidR="00D849AA" w:rsidRDefault="00EE6D95">
      <w:pPr>
        <w:pStyle w:val="Naslov6"/>
      </w:pPr>
      <w:r>
        <w:lastRenderedPageBreak/>
        <w:t>A753009 ZAPOŠLJAVANJE HRVATSKIH BRANITELJA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A202BD" w:rsidRDefault="00EE6D95">
            <w:pPr>
              <w:pStyle w:val="CellHeader"/>
            </w:pPr>
            <w:r w:rsidRPr="00A202BD">
              <w:t>Naziv aktivnosti</w:t>
            </w:r>
          </w:p>
        </w:tc>
        <w:tc>
          <w:tcPr>
            <w:tcW w:w="1486" w:type="dxa"/>
            <w:shd w:val="clear" w:color="auto" w:fill="B5C0D8"/>
          </w:tcPr>
          <w:p w:rsidR="00D849AA" w:rsidRPr="00A202BD" w:rsidRDefault="00EE6D95">
            <w:pPr>
              <w:pStyle w:val="CellHeader"/>
            </w:pPr>
            <w:r w:rsidRPr="00A202BD">
              <w:t>Plan 2013.</w:t>
            </w:r>
          </w:p>
        </w:tc>
        <w:tc>
          <w:tcPr>
            <w:tcW w:w="1486" w:type="dxa"/>
            <w:shd w:val="clear" w:color="auto" w:fill="B5C0D8"/>
          </w:tcPr>
          <w:p w:rsidR="00D849AA" w:rsidRPr="00A202BD" w:rsidRDefault="00EE6D95">
            <w:pPr>
              <w:pStyle w:val="CellHeader"/>
            </w:pPr>
            <w:r w:rsidRPr="00A202BD">
              <w:t>Plan 2014.</w:t>
            </w:r>
          </w:p>
        </w:tc>
        <w:tc>
          <w:tcPr>
            <w:tcW w:w="1486" w:type="dxa"/>
            <w:shd w:val="clear" w:color="auto" w:fill="B5C0D8"/>
          </w:tcPr>
          <w:p w:rsidR="00D849AA" w:rsidRPr="00A202BD" w:rsidRDefault="00EE6D95">
            <w:pPr>
              <w:pStyle w:val="CellHeader"/>
            </w:pPr>
            <w:r w:rsidRPr="00A202BD">
              <w:t>Plan 2015.</w:t>
            </w:r>
          </w:p>
        </w:tc>
        <w:tc>
          <w:tcPr>
            <w:tcW w:w="1486" w:type="dxa"/>
            <w:shd w:val="clear" w:color="auto" w:fill="B5C0D8"/>
          </w:tcPr>
          <w:p w:rsidR="00D849AA" w:rsidRPr="00A202BD" w:rsidRDefault="00EE6D95">
            <w:pPr>
              <w:pStyle w:val="CellHeader"/>
            </w:pPr>
            <w:r w:rsidRPr="00A202BD">
              <w:t>Plan 2016.</w:t>
            </w:r>
          </w:p>
        </w:tc>
        <w:tc>
          <w:tcPr>
            <w:tcW w:w="1486" w:type="dxa"/>
            <w:shd w:val="clear" w:color="auto" w:fill="B5C0D8"/>
          </w:tcPr>
          <w:p w:rsidR="00D849AA" w:rsidRPr="00A202BD" w:rsidRDefault="00EE6D95">
            <w:pPr>
              <w:pStyle w:val="CellHeader"/>
            </w:pPr>
            <w:r w:rsidRPr="00A202BD">
              <w:t>Indeks 2014/2013</w:t>
            </w:r>
          </w:p>
        </w:tc>
      </w:tr>
      <w:tr w:rsidR="00D849AA">
        <w:trPr>
          <w:jc w:val="center"/>
        </w:trPr>
        <w:tc>
          <w:tcPr>
            <w:tcW w:w="1486" w:type="dxa"/>
          </w:tcPr>
          <w:p w:rsidR="00D849AA" w:rsidRPr="00A202BD" w:rsidRDefault="00EE6D95">
            <w:pPr>
              <w:pStyle w:val="CellColumn"/>
            </w:pPr>
            <w:r w:rsidRPr="00A202BD">
              <w:t>A753009</w:t>
            </w:r>
          </w:p>
        </w:tc>
        <w:tc>
          <w:tcPr>
            <w:tcW w:w="1486" w:type="dxa"/>
          </w:tcPr>
          <w:p w:rsidR="00D849AA" w:rsidRPr="00A202BD" w:rsidRDefault="00EE6D95">
            <w:pPr>
              <w:rPr>
                <w:rFonts w:ascii="Arial" w:hAnsi="Arial" w:cs="Arial"/>
              </w:rPr>
            </w:pPr>
            <w:r w:rsidRPr="00A202BD">
              <w:rPr>
                <w:rFonts w:ascii="Arial" w:hAnsi="Arial" w:cs="Arial"/>
              </w:rPr>
              <w:t>17.535.000</w:t>
            </w:r>
          </w:p>
        </w:tc>
        <w:tc>
          <w:tcPr>
            <w:tcW w:w="1486" w:type="dxa"/>
          </w:tcPr>
          <w:p w:rsidR="00D849AA" w:rsidRPr="00A202BD" w:rsidRDefault="00EE6D95">
            <w:pPr>
              <w:rPr>
                <w:rFonts w:ascii="Arial" w:hAnsi="Arial" w:cs="Arial"/>
              </w:rPr>
            </w:pPr>
            <w:r w:rsidRPr="00A202BD">
              <w:rPr>
                <w:rFonts w:ascii="Arial" w:hAnsi="Arial" w:cs="Arial"/>
              </w:rPr>
              <w:t>19.000.000</w:t>
            </w:r>
          </w:p>
        </w:tc>
        <w:tc>
          <w:tcPr>
            <w:tcW w:w="1486" w:type="dxa"/>
          </w:tcPr>
          <w:p w:rsidR="00D849AA" w:rsidRPr="00A202BD" w:rsidRDefault="00EE6D95">
            <w:pPr>
              <w:rPr>
                <w:rFonts w:ascii="Arial" w:hAnsi="Arial" w:cs="Arial"/>
              </w:rPr>
            </w:pPr>
            <w:r w:rsidRPr="00A202BD">
              <w:rPr>
                <w:rFonts w:ascii="Arial" w:hAnsi="Arial" w:cs="Arial"/>
              </w:rPr>
              <w:t>21.440.000</w:t>
            </w:r>
          </w:p>
        </w:tc>
        <w:tc>
          <w:tcPr>
            <w:tcW w:w="1486" w:type="dxa"/>
          </w:tcPr>
          <w:p w:rsidR="00D849AA" w:rsidRPr="00A202BD" w:rsidRDefault="00EE6D95">
            <w:pPr>
              <w:rPr>
                <w:rFonts w:ascii="Arial" w:hAnsi="Arial" w:cs="Arial"/>
              </w:rPr>
            </w:pPr>
            <w:r w:rsidRPr="00A202BD">
              <w:rPr>
                <w:rFonts w:ascii="Arial" w:hAnsi="Arial" w:cs="Arial"/>
              </w:rPr>
              <w:t>21.181.000</w:t>
            </w:r>
          </w:p>
        </w:tc>
        <w:tc>
          <w:tcPr>
            <w:tcW w:w="1486" w:type="dxa"/>
          </w:tcPr>
          <w:p w:rsidR="00D849AA" w:rsidRPr="00A202BD" w:rsidRDefault="00EE6D95">
            <w:pPr>
              <w:rPr>
                <w:rFonts w:ascii="Arial" w:hAnsi="Arial" w:cs="Arial"/>
              </w:rPr>
            </w:pPr>
            <w:r w:rsidRPr="00A202BD">
              <w:rPr>
                <w:rFonts w:ascii="Arial" w:hAnsi="Arial" w:cs="Arial"/>
              </w:rPr>
              <w:t>108,4</w:t>
            </w:r>
          </w:p>
        </w:tc>
      </w:tr>
    </w:tbl>
    <w:p w:rsidR="00D849AA" w:rsidRDefault="00D849AA">
      <w:pPr>
        <w:jc w:val="left"/>
      </w:pPr>
    </w:p>
    <w:p w:rsidR="00D849AA" w:rsidRDefault="00EE6D95">
      <w:pPr>
        <w:pStyle w:val="Normal6"/>
      </w:pPr>
      <w:r>
        <w:t xml:space="preserve">Navedena aktivnost provodila se temeljem Zaključka Vlade Republike Hrvatske od 12. travnja 2012. godine kojim je usvojen Program stručnog osposobljavanja i zapošljavanja hrvatskih branitelja i djece smrtno stradalih, zatočenih ili nestalih hrvatskih branitelja za razdoblje od 2012. do 2013. godine (Klasa: 131-01/12-01/01, Urbroj: 5030106-12-1, NN 43/12). </w:t>
      </w:r>
    </w:p>
    <w:p w:rsidR="00D849AA" w:rsidRDefault="00EE6D95">
      <w:pPr>
        <w:pStyle w:val="Normal6"/>
      </w:pPr>
      <w:r>
        <w:t xml:space="preserve">S obzirom da se Program provodi do kraja 2013. godine, trenutno je u pripremi tekst novog programa stručnog osposobljavanja i zapošljavanja hrvatskih branitelja i djece smrtno stradalih, zatočenih ili nestalih hrvatskih branitelja za slijedeće provedbeno razdoblje. Planirani novi program bit će nastavak sadašnjeg Programa, a temeljni cilj će biti smanjenje nezaposlenosti hrvatskih branitelja iz Domovinskog rata pri čemu će se dugoročno utjecati na njihovu veću socijalnu uključenost, odnosno smanjivanje rizika od dugotrajne nezaposlenosti. Program će se temeljiti na mjerama aktivne politike zapošljavanja (povećanje znanja i vještina nezaposlenih osoba iz ciljne skupine u svrhu lakšeg zapošljavanja, potpore za samozapošljavanje, potpore za zapošljavanje kod poslodavca, potpore koje se odnose na razvoj zadružnog poduzetništva hrvatskih branitelja i dr.), te se ne namjeravaju uvoditi značajnije izmjene vezano uz način provedbe i dodjele sredstava. </w:t>
      </w:r>
    </w:p>
    <w:p w:rsidR="00D849AA" w:rsidRDefault="00EE6D95">
      <w:pPr>
        <w:pStyle w:val="Normal6"/>
      </w:pPr>
      <w:r>
        <w:t xml:space="preserve">Ciljnu skupinu Programa će i nadalje činiti nezaposleni hrvatski branitelji iz Domovinskog rata i nezaposlena djeca smrtno stradalih, zatočenih ili nestalih hrvatskih branitelja iz Domovinskog rata </w:t>
      </w:r>
    </w:p>
    <w:p w:rsidR="00D849AA" w:rsidRDefault="00EE6D95">
      <w:pPr>
        <w:pStyle w:val="Normal6"/>
      </w:pPr>
      <w:r>
        <w:t xml:space="preserve">Zahtjevi za korištenje poticajnih mjera Programa zaprimat će se su po objavi javnih poziva za svaku pojedinu mjeru, a o istima će odlučivati Stručni tim za odlučivanje o mogućnosti korištenja mjera programa stručnog osposobljavanja i zapošljavanja nezaposlenih hrvatskih branitelja i djece smrtno stradalih, zatočenih ili nestalih hrvatskih branitelja. </w:t>
      </w:r>
    </w:p>
    <w:p w:rsidR="00D849AA" w:rsidRDefault="00EE6D95">
      <w:pPr>
        <w:pStyle w:val="Normal6"/>
      </w:pPr>
      <w:r>
        <w:t>Novi program prije samog donošenja od strane Vlade Republike Hrvatske mora proći cjelokupnu zakonsku proceduru određenu za donošenje akata Vlade Republike Hrvatske, a njegovo donošenje očekuje se početkom 2014. godine.</w:t>
      </w:r>
    </w:p>
    <w:p w:rsidR="00221AEF" w:rsidRDefault="00221AEF">
      <w:pPr>
        <w:pStyle w:val="Normal6"/>
      </w:pP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A202BD" w:rsidRDefault="00EE6D95">
            <w:pPr>
              <w:rPr>
                <w:rFonts w:ascii="Arial" w:hAnsi="Arial" w:cs="Arial"/>
              </w:rPr>
            </w:pPr>
            <w:r w:rsidRPr="00A202BD">
              <w:rPr>
                <w:rFonts w:ascii="Arial" w:hAnsi="Arial" w:cs="Arial"/>
              </w:rPr>
              <w:t>Pokazatelj rezultata</w:t>
            </w:r>
          </w:p>
        </w:tc>
        <w:tc>
          <w:tcPr>
            <w:tcW w:w="1114" w:type="dxa"/>
            <w:shd w:val="clear" w:color="auto" w:fill="B5C0D8"/>
          </w:tcPr>
          <w:p w:rsidR="00D849AA" w:rsidRPr="00A202BD" w:rsidRDefault="00EE6D95">
            <w:pPr>
              <w:pStyle w:val="CellHeader"/>
            </w:pPr>
            <w:r w:rsidRPr="00A202BD">
              <w:t>Jedinica</w:t>
            </w:r>
          </w:p>
        </w:tc>
        <w:tc>
          <w:tcPr>
            <w:tcW w:w="1114" w:type="dxa"/>
            <w:shd w:val="clear" w:color="auto" w:fill="B5C0D8"/>
          </w:tcPr>
          <w:p w:rsidR="00D849AA" w:rsidRPr="00A202BD" w:rsidRDefault="00EE6D95">
            <w:pPr>
              <w:pStyle w:val="CellHeader"/>
            </w:pPr>
            <w:r w:rsidRPr="00A202BD">
              <w:t>Polazna vrijednost</w:t>
            </w:r>
          </w:p>
        </w:tc>
        <w:tc>
          <w:tcPr>
            <w:tcW w:w="1486" w:type="dxa"/>
            <w:shd w:val="clear" w:color="auto" w:fill="B5C0D8"/>
          </w:tcPr>
          <w:p w:rsidR="00D849AA" w:rsidRPr="00A202BD" w:rsidRDefault="00EE6D95">
            <w:pPr>
              <w:pStyle w:val="CellHeader"/>
            </w:pPr>
            <w:r w:rsidRPr="00A202BD">
              <w:t>Ciljana vrijednost (2014.)</w:t>
            </w:r>
          </w:p>
        </w:tc>
        <w:tc>
          <w:tcPr>
            <w:tcW w:w="1486" w:type="dxa"/>
            <w:shd w:val="clear" w:color="auto" w:fill="B5C0D8"/>
          </w:tcPr>
          <w:p w:rsidR="00D849AA" w:rsidRPr="00A202BD" w:rsidRDefault="00EE6D95">
            <w:pPr>
              <w:pStyle w:val="CellHeader"/>
            </w:pPr>
            <w:r w:rsidRPr="00A202BD">
              <w:t>Ciljana vrijednost (2015.)</w:t>
            </w:r>
          </w:p>
        </w:tc>
        <w:tc>
          <w:tcPr>
            <w:tcW w:w="1486" w:type="dxa"/>
            <w:shd w:val="clear" w:color="auto" w:fill="B5C0D8"/>
          </w:tcPr>
          <w:p w:rsidR="00D849AA" w:rsidRPr="00A202BD" w:rsidRDefault="00EE6D95">
            <w:pPr>
              <w:pStyle w:val="CellHeader"/>
            </w:pPr>
            <w:r w:rsidRPr="00A202BD">
              <w:t>Ciljana vrijednost (2016.)</w:t>
            </w:r>
          </w:p>
        </w:tc>
      </w:tr>
      <w:tr w:rsidR="00D849AA">
        <w:trPr>
          <w:jc w:val="center"/>
        </w:trPr>
        <w:tc>
          <w:tcPr>
            <w:tcW w:w="2229" w:type="dxa"/>
          </w:tcPr>
          <w:p w:rsidR="00D849AA" w:rsidRPr="00A202BD" w:rsidRDefault="00EE6D95">
            <w:pPr>
              <w:pStyle w:val="CellColumn"/>
            </w:pPr>
            <w:r w:rsidRPr="00A202BD">
              <w:t>Udio isplaćenih poticaja u ukupnom broju odobrenih poticaja Programa</w:t>
            </w:r>
          </w:p>
        </w:tc>
        <w:tc>
          <w:tcPr>
            <w:tcW w:w="1114" w:type="dxa"/>
          </w:tcPr>
          <w:p w:rsidR="00D849AA" w:rsidRPr="00A202BD" w:rsidRDefault="00EE6D95">
            <w:pPr>
              <w:rPr>
                <w:rFonts w:ascii="Arial" w:hAnsi="Arial" w:cs="Arial"/>
              </w:rPr>
            </w:pPr>
            <w:r w:rsidRPr="00A202BD">
              <w:rPr>
                <w:rFonts w:ascii="Arial" w:hAnsi="Arial" w:cs="Arial"/>
              </w:rPr>
              <w:t>%</w:t>
            </w:r>
          </w:p>
        </w:tc>
        <w:tc>
          <w:tcPr>
            <w:tcW w:w="1114" w:type="dxa"/>
          </w:tcPr>
          <w:p w:rsidR="00D849AA" w:rsidRPr="00A202BD" w:rsidRDefault="00EE6D95">
            <w:pPr>
              <w:rPr>
                <w:rFonts w:ascii="Arial" w:hAnsi="Arial" w:cs="Arial"/>
              </w:rPr>
            </w:pPr>
            <w:r w:rsidRPr="00A202BD">
              <w:rPr>
                <w:rFonts w:ascii="Arial" w:hAnsi="Arial" w:cs="Arial"/>
              </w:rPr>
              <w:t>95,3</w:t>
            </w:r>
          </w:p>
        </w:tc>
        <w:tc>
          <w:tcPr>
            <w:tcW w:w="1486" w:type="dxa"/>
          </w:tcPr>
          <w:p w:rsidR="00D849AA" w:rsidRPr="00A202BD" w:rsidRDefault="00EE6D95">
            <w:pPr>
              <w:rPr>
                <w:rFonts w:ascii="Arial" w:hAnsi="Arial" w:cs="Arial"/>
              </w:rPr>
            </w:pPr>
            <w:r w:rsidRPr="00A202BD">
              <w:rPr>
                <w:rFonts w:ascii="Arial" w:hAnsi="Arial" w:cs="Arial"/>
              </w:rPr>
              <w:t>95,5</w:t>
            </w:r>
          </w:p>
        </w:tc>
        <w:tc>
          <w:tcPr>
            <w:tcW w:w="1486" w:type="dxa"/>
          </w:tcPr>
          <w:p w:rsidR="00D849AA" w:rsidRPr="00A202BD" w:rsidRDefault="00EE6D95">
            <w:pPr>
              <w:rPr>
                <w:rFonts w:ascii="Arial" w:hAnsi="Arial" w:cs="Arial"/>
              </w:rPr>
            </w:pPr>
            <w:r w:rsidRPr="00A202BD">
              <w:rPr>
                <w:rFonts w:ascii="Arial" w:hAnsi="Arial" w:cs="Arial"/>
              </w:rPr>
              <w:t>95,6</w:t>
            </w:r>
          </w:p>
        </w:tc>
        <w:tc>
          <w:tcPr>
            <w:tcW w:w="1486" w:type="dxa"/>
          </w:tcPr>
          <w:p w:rsidR="00D849AA" w:rsidRPr="00A202BD" w:rsidRDefault="00EE6D95">
            <w:pPr>
              <w:rPr>
                <w:rFonts w:ascii="Arial" w:hAnsi="Arial" w:cs="Arial"/>
              </w:rPr>
            </w:pPr>
            <w:r w:rsidRPr="00A202BD">
              <w:rPr>
                <w:rFonts w:ascii="Arial" w:hAnsi="Arial" w:cs="Arial"/>
              </w:rPr>
              <w:t>95,7</w:t>
            </w:r>
          </w:p>
        </w:tc>
      </w:tr>
      <w:tr w:rsidR="00D849AA">
        <w:trPr>
          <w:jc w:val="center"/>
        </w:trPr>
        <w:tc>
          <w:tcPr>
            <w:tcW w:w="2229" w:type="dxa"/>
          </w:tcPr>
          <w:p w:rsidR="00D849AA" w:rsidRPr="00A202BD" w:rsidRDefault="00EE6D95">
            <w:pPr>
              <w:pStyle w:val="CellColumn"/>
            </w:pPr>
            <w:r w:rsidRPr="00A202BD">
              <w:t>Broj održanih sajmova zadruga hrvatskih branitelja i drugih vezanih aktivnosti</w:t>
            </w:r>
          </w:p>
        </w:tc>
        <w:tc>
          <w:tcPr>
            <w:tcW w:w="1114" w:type="dxa"/>
          </w:tcPr>
          <w:p w:rsidR="00D849AA" w:rsidRPr="00A202BD" w:rsidRDefault="00EE6D95">
            <w:pPr>
              <w:rPr>
                <w:rFonts w:ascii="Arial" w:hAnsi="Arial" w:cs="Arial"/>
              </w:rPr>
            </w:pPr>
            <w:r w:rsidRPr="00A202BD">
              <w:rPr>
                <w:rFonts w:ascii="Arial" w:hAnsi="Arial" w:cs="Arial"/>
              </w:rPr>
              <w:t>broj</w:t>
            </w:r>
          </w:p>
        </w:tc>
        <w:tc>
          <w:tcPr>
            <w:tcW w:w="1114" w:type="dxa"/>
          </w:tcPr>
          <w:p w:rsidR="00D849AA" w:rsidRPr="00A202BD" w:rsidRDefault="00EE6D95">
            <w:pPr>
              <w:rPr>
                <w:rFonts w:ascii="Arial" w:hAnsi="Arial" w:cs="Arial"/>
              </w:rPr>
            </w:pPr>
            <w:r w:rsidRPr="00A202BD">
              <w:rPr>
                <w:rFonts w:ascii="Arial" w:hAnsi="Arial" w:cs="Arial"/>
              </w:rPr>
              <w:t>29</w:t>
            </w:r>
          </w:p>
        </w:tc>
        <w:tc>
          <w:tcPr>
            <w:tcW w:w="1486" w:type="dxa"/>
          </w:tcPr>
          <w:p w:rsidR="00D849AA" w:rsidRPr="00A202BD" w:rsidRDefault="00EE6D95">
            <w:pPr>
              <w:rPr>
                <w:rFonts w:ascii="Arial" w:hAnsi="Arial" w:cs="Arial"/>
              </w:rPr>
            </w:pPr>
            <w:r w:rsidRPr="00A202BD">
              <w:rPr>
                <w:rFonts w:ascii="Arial" w:hAnsi="Arial" w:cs="Arial"/>
              </w:rPr>
              <w:t>32</w:t>
            </w:r>
          </w:p>
        </w:tc>
        <w:tc>
          <w:tcPr>
            <w:tcW w:w="1486" w:type="dxa"/>
          </w:tcPr>
          <w:p w:rsidR="00D849AA" w:rsidRPr="00A202BD" w:rsidRDefault="00EE6D95">
            <w:pPr>
              <w:rPr>
                <w:rFonts w:ascii="Arial" w:hAnsi="Arial" w:cs="Arial"/>
              </w:rPr>
            </w:pPr>
            <w:r w:rsidRPr="00A202BD">
              <w:rPr>
                <w:rFonts w:ascii="Arial" w:hAnsi="Arial" w:cs="Arial"/>
              </w:rPr>
              <w:t>35</w:t>
            </w:r>
          </w:p>
        </w:tc>
        <w:tc>
          <w:tcPr>
            <w:tcW w:w="1486" w:type="dxa"/>
          </w:tcPr>
          <w:p w:rsidR="00D849AA" w:rsidRPr="00A202BD" w:rsidRDefault="00EE6D95">
            <w:pPr>
              <w:rPr>
                <w:rFonts w:ascii="Arial" w:hAnsi="Arial" w:cs="Arial"/>
              </w:rPr>
            </w:pPr>
            <w:r w:rsidRPr="00A202BD">
              <w:rPr>
                <w:rFonts w:ascii="Arial" w:hAnsi="Arial" w:cs="Arial"/>
              </w:rPr>
              <w:t>38</w:t>
            </w:r>
          </w:p>
        </w:tc>
      </w:tr>
      <w:tr w:rsidR="00D849AA">
        <w:trPr>
          <w:jc w:val="center"/>
        </w:trPr>
        <w:tc>
          <w:tcPr>
            <w:tcW w:w="2229" w:type="dxa"/>
          </w:tcPr>
          <w:p w:rsidR="00D849AA" w:rsidRPr="00A202BD" w:rsidRDefault="00EE6D95">
            <w:pPr>
              <w:pStyle w:val="CellColumn"/>
            </w:pPr>
            <w:r w:rsidRPr="00A202BD">
              <w:lastRenderedPageBreak/>
              <w:t>Broj održanih aktivnosti Referalnih centara</w:t>
            </w:r>
          </w:p>
        </w:tc>
        <w:tc>
          <w:tcPr>
            <w:tcW w:w="1114" w:type="dxa"/>
          </w:tcPr>
          <w:p w:rsidR="00D849AA" w:rsidRPr="00A202BD" w:rsidRDefault="00EE6D95">
            <w:pPr>
              <w:rPr>
                <w:rFonts w:ascii="Arial" w:hAnsi="Arial" w:cs="Arial"/>
              </w:rPr>
            </w:pPr>
            <w:r w:rsidRPr="00A202BD">
              <w:rPr>
                <w:rFonts w:ascii="Arial" w:hAnsi="Arial" w:cs="Arial"/>
              </w:rPr>
              <w:t>broj</w:t>
            </w:r>
          </w:p>
        </w:tc>
        <w:tc>
          <w:tcPr>
            <w:tcW w:w="1114" w:type="dxa"/>
          </w:tcPr>
          <w:p w:rsidR="00D849AA" w:rsidRPr="00A202BD" w:rsidRDefault="00EE6D95">
            <w:pPr>
              <w:rPr>
                <w:rFonts w:ascii="Arial" w:hAnsi="Arial" w:cs="Arial"/>
              </w:rPr>
            </w:pPr>
            <w:r w:rsidRPr="00A202BD">
              <w:rPr>
                <w:rFonts w:ascii="Arial" w:hAnsi="Arial" w:cs="Arial"/>
              </w:rPr>
              <w:t>40</w:t>
            </w:r>
          </w:p>
        </w:tc>
        <w:tc>
          <w:tcPr>
            <w:tcW w:w="1486" w:type="dxa"/>
          </w:tcPr>
          <w:p w:rsidR="00D849AA" w:rsidRPr="00A202BD" w:rsidRDefault="00EE6D95">
            <w:pPr>
              <w:rPr>
                <w:rFonts w:ascii="Arial" w:hAnsi="Arial" w:cs="Arial"/>
              </w:rPr>
            </w:pPr>
            <w:r w:rsidRPr="00A202BD">
              <w:rPr>
                <w:rFonts w:ascii="Arial" w:hAnsi="Arial" w:cs="Arial"/>
              </w:rPr>
              <w:t>46</w:t>
            </w:r>
          </w:p>
        </w:tc>
        <w:tc>
          <w:tcPr>
            <w:tcW w:w="1486" w:type="dxa"/>
          </w:tcPr>
          <w:p w:rsidR="00D849AA" w:rsidRPr="00A202BD" w:rsidRDefault="00EE6D95">
            <w:pPr>
              <w:rPr>
                <w:rFonts w:ascii="Arial" w:hAnsi="Arial" w:cs="Arial"/>
              </w:rPr>
            </w:pPr>
            <w:r w:rsidRPr="00A202BD">
              <w:rPr>
                <w:rFonts w:ascii="Arial" w:hAnsi="Arial" w:cs="Arial"/>
              </w:rPr>
              <w:t>52</w:t>
            </w:r>
          </w:p>
        </w:tc>
        <w:tc>
          <w:tcPr>
            <w:tcW w:w="1486" w:type="dxa"/>
          </w:tcPr>
          <w:p w:rsidR="00D849AA" w:rsidRPr="00A202BD" w:rsidRDefault="00EE6D95">
            <w:pPr>
              <w:rPr>
                <w:rFonts w:ascii="Arial" w:hAnsi="Arial" w:cs="Arial"/>
              </w:rPr>
            </w:pPr>
            <w:r w:rsidRPr="00A202BD">
              <w:rPr>
                <w:rFonts w:ascii="Arial" w:hAnsi="Arial" w:cs="Arial"/>
              </w:rPr>
              <w:t>58</w:t>
            </w:r>
          </w:p>
        </w:tc>
      </w:tr>
    </w:tbl>
    <w:p w:rsidR="00D849AA" w:rsidRDefault="00D849AA">
      <w:pPr>
        <w:jc w:val="left"/>
      </w:pPr>
    </w:p>
    <w:p w:rsidR="00D849AA" w:rsidRDefault="00EE6D95">
      <w:pPr>
        <w:pStyle w:val="Naslov6"/>
      </w:pPr>
      <w:r>
        <w:t>A753014 NACIONALNI PROGRAM PSIHOSOCIJALNE I ZDRAVSTVENE POMOĆI SUDIONICIMA I STRADALNICIMA DOMOVINSKOG RATA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rsidRPr="00A202BD">
        <w:trPr>
          <w:jc w:val="center"/>
        </w:trPr>
        <w:tc>
          <w:tcPr>
            <w:tcW w:w="1486" w:type="dxa"/>
            <w:shd w:val="clear" w:color="auto" w:fill="B5C0D8"/>
          </w:tcPr>
          <w:p w:rsidR="00D849AA" w:rsidRPr="00A202BD" w:rsidRDefault="00EE6D95">
            <w:pPr>
              <w:pStyle w:val="CellHeader"/>
            </w:pPr>
            <w:r w:rsidRPr="00A202BD">
              <w:t>Naziv aktivnosti</w:t>
            </w:r>
          </w:p>
        </w:tc>
        <w:tc>
          <w:tcPr>
            <w:tcW w:w="1486" w:type="dxa"/>
            <w:shd w:val="clear" w:color="auto" w:fill="B5C0D8"/>
          </w:tcPr>
          <w:p w:rsidR="00D849AA" w:rsidRPr="00A202BD" w:rsidRDefault="00EE6D95">
            <w:pPr>
              <w:pStyle w:val="CellHeader"/>
            </w:pPr>
            <w:r w:rsidRPr="00A202BD">
              <w:t>Plan 2013.</w:t>
            </w:r>
          </w:p>
        </w:tc>
        <w:tc>
          <w:tcPr>
            <w:tcW w:w="1486" w:type="dxa"/>
            <w:shd w:val="clear" w:color="auto" w:fill="B5C0D8"/>
          </w:tcPr>
          <w:p w:rsidR="00D849AA" w:rsidRPr="00A202BD" w:rsidRDefault="00EE6D95">
            <w:pPr>
              <w:pStyle w:val="CellHeader"/>
            </w:pPr>
            <w:r w:rsidRPr="00A202BD">
              <w:t>Plan 2014.</w:t>
            </w:r>
          </w:p>
        </w:tc>
        <w:tc>
          <w:tcPr>
            <w:tcW w:w="1486" w:type="dxa"/>
            <w:shd w:val="clear" w:color="auto" w:fill="B5C0D8"/>
          </w:tcPr>
          <w:p w:rsidR="00D849AA" w:rsidRPr="00A202BD" w:rsidRDefault="00EE6D95">
            <w:pPr>
              <w:pStyle w:val="CellHeader"/>
            </w:pPr>
            <w:r w:rsidRPr="00A202BD">
              <w:t>Plan 2015.</w:t>
            </w:r>
          </w:p>
        </w:tc>
        <w:tc>
          <w:tcPr>
            <w:tcW w:w="1486" w:type="dxa"/>
            <w:shd w:val="clear" w:color="auto" w:fill="B5C0D8"/>
          </w:tcPr>
          <w:p w:rsidR="00D849AA" w:rsidRPr="00A202BD" w:rsidRDefault="00EE6D95">
            <w:pPr>
              <w:pStyle w:val="CellHeader"/>
            </w:pPr>
            <w:r w:rsidRPr="00A202BD">
              <w:t>Plan 2016.</w:t>
            </w:r>
          </w:p>
        </w:tc>
        <w:tc>
          <w:tcPr>
            <w:tcW w:w="1486" w:type="dxa"/>
            <w:shd w:val="clear" w:color="auto" w:fill="B5C0D8"/>
          </w:tcPr>
          <w:p w:rsidR="00D849AA" w:rsidRPr="00A202BD" w:rsidRDefault="00EE6D95">
            <w:pPr>
              <w:pStyle w:val="CellHeader"/>
            </w:pPr>
            <w:r w:rsidRPr="00A202BD">
              <w:t>Indeks 2014/2013</w:t>
            </w:r>
          </w:p>
        </w:tc>
      </w:tr>
      <w:tr w:rsidR="00D849AA" w:rsidRPr="00A202BD">
        <w:trPr>
          <w:jc w:val="center"/>
        </w:trPr>
        <w:tc>
          <w:tcPr>
            <w:tcW w:w="1486" w:type="dxa"/>
          </w:tcPr>
          <w:p w:rsidR="00D849AA" w:rsidRPr="00A202BD" w:rsidRDefault="00EE6D95">
            <w:pPr>
              <w:pStyle w:val="CellColumn"/>
            </w:pPr>
            <w:r w:rsidRPr="00A202BD">
              <w:t>A753014</w:t>
            </w:r>
          </w:p>
        </w:tc>
        <w:tc>
          <w:tcPr>
            <w:tcW w:w="1486" w:type="dxa"/>
          </w:tcPr>
          <w:p w:rsidR="00D849AA" w:rsidRPr="00A202BD" w:rsidRDefault="00EE6D95">
            <w:pPr>
              <w:rPr>
                <w:rFonts w:ascii="Arial" w:hAnsi="Arial" w:cs="Arial"/>
              </w:rPr>
            </w:pPr>
            <w:r w:rsidRPr="00A202BD">
              <w:rPr>
                <w:rFonts w:ascii="Arial" w:hAnsi="Arial" w:cs="Arial"/>
              </w:rPr>
              <w:t>10.760.500</w:t>
            </w:r>
          </w:p>
        </w:tc>
        <w:tc>
          <w:tcPr>
            <w:tcW w:w="1486" w:type="dxa"/>
          </w:tcPr>
          <w:p w:rsidR="00D849AA" w:rsidRPr="00A202BD" w:rsidRDefault="00EE6D95">
            <w:pPr>
              <w:rPr>
                <w:rFonts w:ascii="Arial" w:hAnsi="Arial" w:cs="Arial"/>
              </w:rPr>
            </w:pPr>
            <w:r w:rsidRPr="00A202BD">
              <w:rPr>
                <w:rFonts w:ascii="Arial" w:hAnsi="Arial" w:cs="Arial"/>
              </w:rPr>
              <w:t>10.960.500</w:t>
            </w:r>
          </w:p>
        </w:tc>
        <w:tc>
          <w:tcPr>
            <w:tcW w:w="1486" w:type="dxa"/>
          </w:tcPr>
          <w:p w:rsidR="00D849AA" w:rsidRPr="00A202BD" w:rsidRDefault="00EE6D95">
            <w:pPr>
              <w:rPr>
                <w:rFonts w:ascii="Arial" w:hAnsi="Arial" w:cs="Arial"/>
              </w:rPr>
            </w:pPr>
            <w:r w:rsidRPr="00A202BD">
              <w:rPr>
                <w:rFonts w:ascii="Arial" w:hAnsi="Arial" w:cs="Arial"/>
              </w:rPr>
              <w:t>10.960.500</w:t>
            </w:r>
          </w:p>
        </w:tc>
        <w:tc>
          <w:tcPr>
            <w:tcW w:w="1486" w:type="dxa"/>
          </w:tcPr>
          <w:p w:rsidR="00D849AA" w:rsidRPr="00A202BD" w:rsidRDefault="00EE6D95">
            <w:pPr>
              <w:rPr>
                <w:rFonts w:ascii="Arial" w:hAnsi="Arial" w:cs="Arial"/>
              </w:rPr>
            </w:pPr>
            <w:r w:rsidRPr="00A202BD">
              <w:rPr>
                <w:rFonts w:ascii="Arial" w:hAnsi="Arial" w:cs="Arial"/>
              </w:rPr>
              <w:t>10.960.500</w:t>
            </w:r>
          </w:p>
        </w:tc>
        <w:tc>
          <w:tcPr>
            <w:tcW w:w="1486" w:type="dxa"/>
          </w:tcPr>
          <w:p w:rsidR="00D849AA" w:rsidRPr="00A202BD" w:rsidRDefault="00EE6D95">
            <w:pPr>
              <w:rPr>
                <w:rFonts w:ascii="Arial" w:hAnsi="Arial" w:cs="Arial"/>
              </w:rPr>
            </w:pPr>
            <w:r w:rsidRPr="00A202BD">
              <w:rPr>
                <w:rFonts w:ascii="Arial" w:hAnsi="Arial" w:cs="Arial"/>
              </w:rPr>
              <w:t>101,8</w:t>
            </w:r>
          </w:p>
        </w:tc>
      </w:tr>
    </w:tbl>
    <w:p w:rsidR="00D849AA" w:rsidRPr="00A202BD" w:rsidRDefault="00D849AA">
      <w:pPr>
        <w:jc w:val="left"/>
        <w:rPr>
          <w:rFonts w:ascii="Arial" w:hAnsi="Arial" w:cs="Arial"/>
        </w:rPr>
      </w:pPr>
    </w:p>
    <w:p w:rsidR="00D849AA" w:rsidRDefault="00EE6D95">
      <w:pPr>
        <w:pStyle w:val="Normal6"/>
      </w:pPr>
      <w:r>
        <w:t xml:space="preserve">Nacionalni program psihosocijalne i zdravstvene pomoći sudionicima i stradalnicima Domovinskog rata, Drugog svjetskog rata te povratnicima iz mirovnih misija provodi se na cijelom području Republike Hrvatske, na lokalnoj, županijskoj, regionalnoj i nacionalnoj razini. </w:t>
      </w:r>
    </w:p>
    <w:p w:rsidR="00D849AA" w:rsidRDefault="00EE6D95">
      <w:pPr>
        <w:pStyle w:val="Normal6"/>
      </w:pPr>
      <w:r>
        <w:t xml:space="preserve">Osnovni dugoročni cilj Nacionalnog programa psihosocijalne i zdravstvene pomoći je podizanje opće kvalitete življenja i podupiranje potpune psihosocijalne reintegracije svih sudionika i stradalnika rata na području cijele Republike Hrvatske kao i članova njihovih obitelji, civilnih žrtava rata, osoba koje su bile izložene seksualnim zlostavljanjima i silovanjima, sudionika Drugog svjetskog rata, vojnih i civilnih invalida Drugog svjetskog rata i članova njihovih obitelji te osoba stradalih pri obavljanju vojnih i redarstvenih dužnosti u stranoj zemlji u okviru misija UN-a, NATO-o misija i misija EU i članova njihovih obitelji.  </w:t>
      </w:r>
    </w:p>
    <w:p w:rsidR="00D849AA" w:rsidRDefault="00EE6D95">
      <w:pPr>
        <w:pStyle w:val="Normal6"/>
      </w:pPr>
      <w:r>
        <w:t xml:space="preserve">Okosnicu Programa na lokalnoj, županijskoj razini čine županijski centri za psihosocijalnu pomoć. U svakoj županiji ustrojen je po jedan centar za psihosocijalnu pomoć (ukupno 21), uz iznimku Brodsko-posavske županije na čijem su području aktivna dva centra (u Slavonskom Brodu i u Novoj Gradiški) te jedan Centar za Grad Zagreb i Zagrebačku županiju. </w:t>
      </w:r>
    </w:p>
    <w:p w:rsidR="00D849AA" w:rsidRDefault="00EE6D95">
      <w:pPr>
        <w:pStyle w:val="Normal6"/>
      </w:pPr>
      <w:r>
        <w:t xml:space="preserve">Centri za psihosocijalnu pomoć primarno razvijaju i provode programe psihosocijalne prevencije i potpore: stacionarno (kroz organizirana savjetovališta u prostorijama centra) i mobilne timove koji se odnose na hitne posjete domu i obitelji branitelja u slučajevima pro-suicidalnih izjava korisnika, smrti, izrazito lošeg socio-ekonomskog i/ili zdravstvenog stanja, stambenih izvida u cilju ostvarivanja prava na stambeno zbrinjavanje, a na zahtjev Ministarstva branitelja, korisnika ili neke od udruga proizašlih iz Domovinskog rata.  </w:t>
      </w:r>
    </w:p>
    <w:p w:rsidR="00D849AA" w:rsidRDefault="00EE6D95">
      <w:pPr>
        <w:pStyle w:val="Normal6"/>
      </w:pPr>
      <w:r>
        <w:t xml:space="preserve">Ministarstvo osigurava sredstva za rad stručnih suradnika centara za psihosocijalnu pomoć, njihovo stručno usavršavanje te materijalne troškove vezane za rad centara za psihosocijalnu pomoć. </w:t>
      </w:r>
    </w:p>
    <w:p w:rsidR="00D849AA" w:rsidRDefault="00EE6D95">
      <w:pPr>
        <w:pStyle w:val="Normal6"/>
      </w:pPr>
      <w:r>
        <w:t xml:space="preserve">Zdravstveni dio Programa provodi se u Regionalnim centrima za psihotraumu (Rijeka, Split i Osijek) te na nacionalnoj razini u Nacionalnom centru za psihotraumu (koji je ujedno i Regionalni centar za psihotraumu za Grad Zagreb i Zagrebačku županiju, Sisačko-moslavačku, Karlovačku, Krapinsko-zagorsku, Međimursku, Bjelovarsko-bilogorsku i Virovitičko-podravsku županiju). </w:t>
      </w:r>
    </w:p>
    <w:p w:rsidR="00D849AA" w:rsidRDefault="00EE6D95">
      <w:pPr>
        <w:pStyle w:val="Normal6"/>
      </w:pPr>
      <w:r>
        <w:t xml:space="preserve">Regionalni centri za psihotraumu posebno skrbe o oboljelima od PTSP-a kao i drugim psihičkim poremećajima koji su u uzročno-posljedičnoj vezi sa sudjelovanjem u ratnim događajima.  </w:t>
      </w:r>
    </w:p>
    <w:p w:rsidR="00D849AA" w:rsidRDefault="00EE6D95">
      <w:pPr>
        <w:pStyle w:val="Normal6"/>
      </w:pPr>
      <w:r>
        <w:t xml:space="preserve">Imaju status posebnih odjela u sastavu kliničkih bolnica i kliničkih bolničkih centara, koji osiguravaju prostor za njihov rad, dok Ministarstvo branitelja sufinancira rad stručnih </w:t>
      </w:r>
      <w:r>
        <w:lastRenderedPageBreak/>
        <w:t>djelatnika i programe stručnog rada namijenjene hrvatskim braniteljima i stradalnicima Domovinskog rata, sudionicima Drugog svjetskog rata, osobama koje su za vrijeme rata bile izložene seksualnim zlostavljanjima i silovanjima te osobama stradalim pri obavljanju vojnih i redarstvenih dužnosti u stranoj zemlji u okviru mirovnih misija.</w:t>
      </w:r>
    </w:p>
    <w:p w:rsidR="00575FBE" w:rsidRDefault="00575FBE">
      <w:pPr>
        <w:pStyle w:val="Normal6"/>
      </w:pP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rsidRPr="00A202BD">
        <w:trPr>
          <w:jc w:val="center"/>
        </w:trPr>
        <w:tc>
          <w:tcPr>
            <w:tcW w:w="2229" w:type="dxa"/>
            <w:shd w:val="clear" w:color="auto" w:fill="B5C0D8"/>
          </w:tcPr>
          <w:p w:rsidR="00D849AA" w:rsidRPr="00A202BD" w:rsidRDefault="00EE6D95">
            <w:pPr>
              <w:rPr>
                <w:rFonts w:ascii="Arial" w:hAnsi="Arial" w:cs="Arial"/>
              </w:rPr>
            </w:pPr>
            <w:r w:rsidRPr="00A202BD">
              <w:rPr>
                <w:rFonts w:ascii="Arial" w:hAnsi="Arial" w:cs="Arial"/>
              </w:rPr>
              <w:t>Pokazatelj rezultata</w:t>
            </w:r>
          </w:p>
        </w:tc>
        <w:tc>
          <w:tcPr>
            <w:tcW w:w="1114" w:type="dxa"/>
            <w:shd w:val="clear" w:color="auto" w:fill="B5C0D8"/>
          </w:tcPr>
          <w:p w:rsidR="00D849AA" w:rsidRPr="00A202BD" w:rsidRDefault="00EE6D95">
            <w:pPr>
              <w:pStyle w:val="CellHeader"/>
            </w:pPr>
            <w:r w:rsidRPr="00A202BD">
              <w:t>Jedinica</w:t>
            </w:r>
          </w:p>
        </w:tc>
        <w:tc>
          <w:tcPr>
            <w:tcW w:w="1114" w:type="dxa"/>
            <w:shd w:val="clear" w:color="auto" w:fill="B5C0D8"/>
          </w:tcPr>
          <w:p w:rsidR="00D849AA" w:rsidRPr="00A202BD" w:rsidRDefault="00EE6D95">
            <w:pPr>
              <w:pStyle w:val="CellHeader"/>
            </w:pPr>
            <w:r w:rsidRPr="00A202BD">
              <w:t>Polazna vrijednost</w:t>
            </w:r>
          </w:p>
        </w:tc>
        <w:tc>
          <w:tcPr>
            <w:tcW w:w="1486" w:type="dxa"/>
            <w:shd w:val="clear" w:color="auto" w:fill="B5C0D8"/>
          </w:tcPr>
          <w:p w:rsidR="00D849AA" w:rsidRPr="00A202BD" w:rsidRDefault="00EE6D95">
            <w:pPr>
              <w:pStyle w:val="CellHeader"/>
            </w:pPr>
            <w:r w:rsidRPr="00A202BD">
              <w:t>Ciljana vrijednost (2014.)</w:t>
            </w:r>
          </w:p>
        </w:tc>
        <w:tc>
          <w:tcPr>
            <w:tcW w:w="1486" w:type="dxa"/>
            <w:shd w:val="clear" w:color="auto" w:fill="B5C0D8"/>
          </w:tcPr>
          <w:p w:rsidR="00D849AA" w:rsidRPr="00A202BD" w:rsidRDefault="00EE6D95">
            <w:pPr>
              <w:pStyle w:val="CellHeader"/>
            </w:pPr>
            <w:r w:rsidRPr="00A202BD">
              <w:t>Ciljana vrijednost (2015.)</w:t>
            </w:r>
          </w:p>
        </w:tc>
        <w:tc>
          <w:tcPr>
            <w:tcW w:w="1486" w:type="dxa"/>
            <w:shd w:val="clear" w:color="auto" w:fill="B5C0D8"/>
          </w:tcPr>
          <w:p w:rsidR="00D849AA" w:rsidRPr="00A202BD" w:rsidRDefault="00EE6D95">
            <w:pPr>
              <w:pStyle w:val="CellHeader"/>
            </w:pPr>
            <w:r w:rsidRPr="00A202BD">
              <w:t>Ciljana vrijednost (2016.)</w:t>
            </w:r>
          </w:p>
        </w:tc>
      </w:tr>
      <w:tr w:rsidR="00D849AA" w:rsidRPr="00A202BD">
        <w:trPr>
          <w:jc w:val="center"/>
        </w:trPr>
        <w:tc>
          <w:tcPr>
            <w:tcW w:w="2229" w:type="dxa"/>
          </w:tcPr>
          <w:p w:rsidR="00D849AA" w:rsidRPr="00A202BD" w:rsidRDefault="00EE6D95">
            <w:pPr>
              <w:pStyle w:val="CellColumn"/>
            </w:pPr>
            <w:r w:rsidRPr="00A202BD">
              <w:t>Udio kriznih intervencija u ukupnom broju izvršenih intervencija</w:t>
            </w:r>
          </w:p>
        </w:tc>
        <w:tc>
          <w:tcPr>
            <w:tcW w:w="1114" w:type="dxa"/>
          </w:tcPr>
          <w:p w:rsidR="00D849AA" w:rsidRPr="00A202BD" w:rsidRDefault="00EE6D95">
            <w:pPr>
              <w:rPr>
                <w:rFonts w:ascii="Arial" w:hAnsi="Arial" w:cs="Arial"/>
              </w:rPr>
            </w:pPr>
            <w:r w:rsidRPr="00A202BD">
              <w:rPr>
                <w:rFonts w:ascii="Arial" w:hAnsi="Arial" w:cs="Arial"/>
              </w:rPr>
              <w:t>%</w:t>
            </w:r>
          </w:p>
        </w:tc>
        <w:tc>
          <w:tcPr>
            <w:tcW w:w="1114" w:type="dxa"/>
          </w:tcPr>
          <w:p w:rsidR="00D849AA" w:rsidRPr="00A202BD" w:rsidRDefault="00EE6D95">
            <w:pPr>
              <w:rPr>
                <w:rFonts w:ascii="Arial" w:hAnsi="Arial" w:cs="Arial"/>
              </w:rPr>
            </w:pPr>
            <w:r w:rsidRPr="00A202BD">
              <w:rPr>
                <w:rFonts w:ascii="Arial" w:hAnsi="Arial" w:cs="Arial"/>
              </w:rPr>
              <w:t>4,28</w:t>
            </w:r>
          </w:p>
        </w:tc>
        <w:tc>
          <w:tcPr>
            <w:tcW w:w="1486" w:type="dxa"/>
          </w:tcPr>
          <w:p w:rsidR="00D849AA" w:rsidRPr="00A202BD" w:rsidRDefault="00EE6D95">
            <w:pPr>
              <w:rPr>
                <w:rFonts w:ascii="Arial" w:hAnsi="Arial" w:cs="Arial"/>
              </w:rPr>
            </w:pPr>
            <w:r w:rsidRPr="00A202BD">
              <w:rPr>
                <w:rFonts w:ascii="Arial" w:hAnsi="Arial" w:cs="Arial"/>
              </w:rPr>
              <w:t>4,26</w:t>
            </w:r>
          </w:p>
        </w:tc>
        <w:tc>
          <w:tcPr>
            <w:tcW w:w="1486" w:type="dxa"/>
          </w:tcPr>
          <w:p w:rsidR="00D849AA" w:rsidRPr="00A202BD" w:rsidRDefault="00EE6D95">
            <w:pPr>
              <w:rPr>
                <w:rFonts w:ascii="Arial" w:hAnsi="Arial" w:cs="Arial"/>
              </w:rPr>
            </w:pPr>
            <w:r w:rsidRPr="00A202BD">
              <w:rPr>
                <w:rFonts w:ascii="Arial" w:hAnsi="Arial" w:cs="Arial"/>
              </w:rPr>
              <w:t>4,24</w:t>
            </w:r>
          </w:p>
        </w:tc>
        <w:tc>
          <w:tcPr>
            <w:tcW w:w="1486" w:type="dxa"/>
          </w:tcPr>
          <w:p w:rsidR="00D849AA" w:rsidRPr="00A202BD" w:rsidRDefault="00EE6D95">
            <w:pPr>
              <w:rPr>
                <w:rFonts w:ascii="Arial" w:hAnsi="Arial" w:cs="Arial"/>
              </w:rPr>
            </w:pPr>
            <w:r w:rsidRPr="00A202BD">
              <w:rPr>
                <w:rFonts w:ascii="Arial" w:hAnsi="Arial" w:cs="Arial"/>
              </w:rPr>
              <w:t>4,22</w:t>
            </w:r>
          </w:p>
        </w:tc>
      </w:tr>
    </w:tbl>
    <w:p w:rsidR="00A202BD" w:rsidRDefault="00A202BD" w:rsidP="00A202BD">
      <w:pPr>
        <w:jc w:val="left"/>
      </w:pPr>
    </w:p>
    <w:p w:rsidR="00A202BD" w:rsidRDefault="00A202BD" w:rsidP="00A202BD">
      <w:pPr>
        <w:pStyle w:val="Naslov4"/>
      </w:pPr>
      <w:r>
        <w:t>OBRAZLOŽENJE PROGRAMA</w:t>
      </w:r>
    </w:p>
    <w:p w:rsidR="00D849AA" w:rsidRDefault="00EE6D95">
      <w:pPr>
        <w:pStyle w:val="Naslov5"/>
      </w:pPr>
      <w:r>
        <w:t>4008 ZATOČENI I NESTALI</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rsidRPr="00A202BD">
        <w:trPr>
          <w:jc w:val="center"/>
        </w:trPr>
        <w:tc>
          <w:tcPr>
            <w:tcW w:w="1486" w:type="dxa"/>
            <w:shd w:val="clear" w:color="auto" w:fill="B5C0D8"/>
          </w:tcPr>
          <w:p w:rsidR="00D849AA" w:rsidRPr="00A202BD" w:rsidRDefault="00D849AA">
            <w:pPr>
              <w:pStyle w:val="CellHeader"/>
            </w:pPr>
          </w:p>
        </w:tc>
        <w:tc>
          <w:tcPr>
            <w:tcW w:w="1486" w:type="dxa"/>
            <w:shd w:val="clear" w:color="auto" w:fill="B5C0D8"/>
          </w:tcPr>
          <w:p w:rsidR="00D849AA" w:rsidRPr="00A202BD" w:rsidRDefault="00EE6D95">
            <w:pPr>
              <w:pStyle w:val="CellHeader"/>
            </w:pPr>
            <w:r w:rsidRPr="00A202BD">
              <w:t>Plan 2013.</w:t>
            </w:r>
          </w:p>
        </w:tc>
        <w:tc>
          <w:tcPr>
            <w:tcW w:w="1486" w:type="dxa"/>
            <w:shd w:val="clear" w:color="auto" w:fill="B5C0D8"/>
          </w:tcPr>
          <w:p w:rsidR="00D849AA" w:rsidRPr="00A202BD" w:rsidRDefault="00EE6D95">
            <w:pPr>
              <w:pStyle w:val="CellHeader"/>
            </w:pPr>
            <w:r w:rsidRPr="00A202BD">
              <w:t>Plan 2014.</w:t>
            </w:r>
          </w:p>
        </w:tc>
        <w:tc>
          <w:tcPr>
            <w:tcW w:w="1486" w:type="dxa"/>
            <w:shd w:val="clear" w:color="auto" w:fill="B5C0D8"/>
          </w:tcPr>
          <w:p w:rsidR="00D849AA" w:rsidRPr="00A202BD" w:rsidRDefault="00EE6D95">
            <w:pPr>
              <w:pStyle w:val="CellHeader"/>
            </w:pPr>
            <w:r w:rsidRPr="00A202BD">
              <w:t>Plan 2015.</w:t>
            </w:r>
          </w:p>
        </w:tc>
        <w:tc>
          <w:tcPr>
            <w:tcW w:w="1486" w:type="dxa"/>
            <w:shd w:val="clear" w:color="auto" w:fill="B5C0D8"/>
          </w:tcPr>
          <w:p w:rsidR="00D849AA" w:rsidRPr="00A202BD" w:rsidRDefault="00EE6D95">
            <w:pPr>
              <w:pStyle w:val="CellHeader"/>
            </w:pPr>
            <w:r w:rsidRPr="00A202BD">
              <w:t>Plan 2016.</w:t>
            </w:r>
          </w:p>
        </w:tc>
        <w:tc>
          <w:tcPr>
            <w:tcW w:w="1486" w:type="dxa"/>
            <w:shd w:val="clear" w:color="auto" w:fill="B5C0D8"/>
          </w:tcPr>
          <w:p w:rsidR="00D849AA" w:rsidRPr="00A202BD" w:rsidRDefault="00EE6D95">
            <w:pPr>
              <w:pStyle w:val="CellHeader"/>
            </w:pPr>
            <w:r w:rsidRPr="00A202BD">
              <w:t>Indeks 2014/2013</w:t>
            </w:r>
          </w:p>
        </w:tc>
      </w:tr>
      <w:tr w:rsidR="00D849AA" w:rsidRPr="00A202BD">
        <w:trPr>
          <w:jc w:val="center"/>
        </w:trPr>
        <w:tc>
          <w:tcPr>
            <w:tcW w:w="1486" w:type="dxa"/>
          </w:tcPr>
          <w:p w:rsidR="00D849AA" w:rsidRPr="00A202BD" w:rsidRDefault="00EE6D95">
            <w:pPr>
              <w:pStyle w:val="CellColumn"/>
            </w:pPr>
            <w:r w:rsidRPr="00A202BD">
              <w:t>4008</w:t>
            </w:r>
          </w:p>
        </w:tc>
        <w:tc>
          <w:tcPr>
            <w:tcW w:w="1486" w:type="dxa"/>
          </w:tcPr>
          <w:p w:rsidR="00D849AA" w:rsidRPr="00A202BD" w:rsidRDefault="00EE6D95">
            <w:pPr>
              <w:rPr>
                <w:rFonts w:ascii="Arial" w:hAnsi="Arial" w:cs="Arial"/>
              </w:rPr>
            </w:pPr>
            <w:r w:rsidRPr="00A202BD">
              <w:rPr>
                <w:rFonts w:ascii="Arial" w:hAnsi="Arial" w:cs="Arial"/>
              </w:rPr>
              <w:t>10.515.200</w:t>
            </w:r>
          </w:p>
        </w:tc>
        <w:tc>
          <w:tcPr>
            <w:tcW w:w="1486" w:type="dxa"/>
          </w:tcPr>
          <w:p w:rsidR="00D849AA" w:rsidRPr="00A202BD" w:rsidRDefault="00EE6D95">
            <w:pPr>
              <w:rPr>
                <w:rFonts w:ascii="Arial" w:hAnsi="Arial" w:cs="Arial"/>
              </w:rPr>
            </w:pPr>
            <w:r w:rsidRPr="00A202BD">
              <w:rPr>
                <w:rFonts w:ascii="Arial" w:hAnsi="Arial" w:cs="Arial"/>
              </w:rPr>
              <w:t>9.078.718</w:t>
            </w:r>
          </w:p>
        </w:tc>
        <w:tc>
          <w:tcPr>
            <w:tcW w:w="1486" w:type="dxa"/>
          </w:tcPr>
          <w:p w:rsidR="00D849AA" w:rsidRPr="00A202BD" w:rsidRDefault="00EE6D95">
            <w:pPr>
              <w:rPr>
                <w:rFonts w:ascii="Arial" w:hAnsi="Arial" w:cs="Arial"/>
              </w:rPr>
            </w:pPr>
            <w:r w:rsidRPr="00A202BD">
              <w:rPr>
                <w:rFonts w:ascii="Arial" w:hAnsi="Arial" w:cs="Arial"/>
              </w:rPr>
              <w:t>9.202.932</w:t>
            </w:r>
          </w:p>
        </w:tc>
        <w:tc>
          <w:tcPr>
            <w:tcW w:w="1486" w:type="dxa"/>
          </w:tcPr>
          <w:p w:rsidR="00D849AA" w:rsidRPr="00A202BD" w:rsidRDefault="00EE6D95">
            <w:pPr>
              <w:rPr>
                <w:rFonts w:ascii="Arial" w:hAnsi="Arial" w:cs="Arial"/>
              </w:rPr>
            </w:pPr>
            <w:r w:rsidRPr="00A202BD">
              <w:rPr>
                <w:rFonts w:ascii="Arial" w:hAnsi="Arial" w:cs="Arial"/>
              </w:rPr>
              <w:t>9.134.880</w:t>
            </w:r>
          </w:p>
        </w:tc>
        <w:tc>
          <w:tcPr>
            <w:tcW w:w="1486" w:type="dxa"/>
          </w:tcPr>
          <w:p w:rsidR="00D849AA" w:rsidRPr="00A202BD" w:rsidRDefault="00EE6D95">
            <w:pPr>
              <w:rPr>
                <w:rFonts w:ascii="Arial" w:hAnsi="Arial" w:cs="Arial"/>
              </w:rPr>
            </w:pPr>
            <w:r w:rsidRPr="00A202BD">
              <w:rPr>
                <w:rFonts w:ascii="Arial" w:hAnsi="Arial" w:cs="Arial"/>
              </w:rPr>
              <w:t>86,3</w:t>
            </w:r>
          </w:p>
        </w:tc>
      </w:tr>
    </w:tbl>
    <w:p w:rsidR="00D849AA" w:rsidRDefault="00D849AA">
      <w:pPr>
        <w:jc w:val="left"/>
      </w:pPr>
    </w:p>
    <w:p w:rsidR="00D849AA" w:rsidRDefault="00EE6D95">
      <w:pPr>
        <w:pStyle w:val="Naslov6"/>
      </w:pPr>
      <w:r>
        <w:t>Opis programa</w:t>
      </w:r>
    </w:p>
    <w:p w:rsidR="00D849AA" w:rsidRDefault="00EE6D95">
      <w:pPr>
        <w:pStyle w:val="Normal5"/>
      </w:pPr>
      <w:r>
        <w:t xml:space="preserve">Programom „Zatočeni i nestali“ osiguravaju se sredstva za djelovanje Uprave za zatočene i nestale na vraćanju i zaštiti dostojanstva žrtava rata podrazumijevajući pod tim rješavanje sudbine osoba nestalih tijekom Domovinskog rata i utvrđivanje  obilježavanje mjesta stradanja žrtava Drugog svjetskog rata i poslijeratnog razdoblja. </w:t>
      </w:r>
    </w:p>
    <w:p w:rsidR="00D849AA" w:rsidRDefault="00EE6D95">
      <w:pPr>
        <w:pStyle w:val="Normal5"/>
      </w:pPr>
      <w:r>
        <w:t xml:space="preserve">U tom smislu, provodi se niz aktivnosti - od prikupljanja saznanja o nestalim osobama i grobnim mjestima iz svih raspoloživih izvora, terenskih istraživanja, ekshumacija masovnih, pojedinačnih i zajedničkih grobnica, obrade i identifikacije ekshumiranih posmrtnih ostataka do njihove dostojne sahrane sukladno željama obitelji. Program uključuje i niz drugih aktivnosti značajnih za ostvarivanje statusnih pitanja te utvrđivanje pravnih i povijesnih činjenica u svezi s Domovinskim ratom kao prikupljanje i obrada podataka te vođenje evidencija o osobama koje su bile u zatočeništvu tijekom Domovinskoga rata, o nestalim osobama i posmrtnim ostacima ekshumiranim iz masovnih i pojedinačnih grobnica, kao i prikupljanje dokumentacije o svim provedenim ekshumacijama masovnih i pojedinačnih grobnica, koja se osobito koristi za rad pravosudnih tijela. </w:t>
      </w:r>
    </w:p>
    <w:p w:rsidR="00D849AA" w:rsidRDefault="00EE6D95">
      <w:pPr>
        <w:pStyle w:val="Normal5"/>
      </w:pPr>
      <w:r>
        <w:t xml:space="preserve">„Rješavanje sudbine osoba nestalih u Domovinskom ratu“, koje se postiže provedbom opisanog programa, jedan je od načina ostvarenja posebnog cilja 4.3. „Očuvanje i zaštita digniteta hrvatskih branitelja iz Domovinskog rata i ublažavanje posljedica Domovinskog rata u društvu, čije ostvarenje pridonosi jačanju socijalne pravednosti kao  jednom  od općih ciljeva Strategije Vladinih programa za razdoblje od 2014. – 2016. godine.  </w:t>
      </w:r>
    </w:p>
    <w:p w:rsidR="00D849AA" w:rsidRDefault="00EE6D95">
      <w:pPr>
        <w:pStyle w:val="Normal5"/>
      </w:pPr>
      <w:r>
        <w:t xml:space="preserve">Uz navedene aktivnosti, program „Zatočeni i nestali“ uključuje istraživanje i obilježavanje mjesta stradanja žrtava Drugog Svjetskog  rata i poslijeratnog  razdoblja, dostojno </w:t>
      </w:r>
      <w:r>
        <w:lastRenderedPageBreak/>
        <w:t>zbrinjavanje  posmrtnih ostataka žrtava pronađenih  prilikom infrastrukturnih, urbanističkih i dr. zemljanih radova i žrtava ekshumiranih zbog osobitog javnog ili pravnog interesa, te praćenje obveza prenijetih na jedinice lokalne i područne samouprave  u  dijelu trajnog održavanja vojnih groblja, uključujući i potrebna istraživanja te ustanovljavanje odgovarajućih evidencija.</w:t>
      </w:r>
    </w:p>
    <w:p w:rsidR="00575FBE" w:rsidRDefault="00575FBE">
      <w:pPr>
        <w:pStyle w:val="Normal5"/>
      </w:pPr>
    </w:p>
    <w:p w:rsidR="00D849AA" w:rsidRDefault="00EE6D95">
      <w:pPr>
        <w:pStyle w:val="Naslov6"/>
      </w:pPr>
      <w:r>
        <w:t>Zakonske i druge pravne osnove</w:t>
      </w:r>
    </w:p>
    <w:p w:rsidR="00D849AA" w:rsidRDefault="00EE6D95">
      <w:pPr>
        <w:pStyle w:val="Normal5"/>
      </w:pPr>
      <w:r>
        <w:t xml:space="preserve">- Ženevske konvencije za zaštitu žrtava rata i Dopunski protokoli </w:t>
      </w:r>
    </w:p>
    <w:p w:rsidR="00D849AA" w:rsidRDefault="00EE6D95">
      <w:pPr>
        <w:pStyle w:val="Normal5"/>
      </w:pPr>
      <w:r>
        <w:t xml:space="preserve">- Zakon o istraživanju, uređenju i održavanju vojnih groblja, groblja žrtava Drugog svjetskog rata i poslijeratnog razdoblja (NN 143/2012) </w:t>
      </w:r>
    </w:p>
    <w:p w:rsidR="00D849AA" w:rsidRDefault="00EE6D95">
      <w:pPr>
        <w:pStyle w:val="Normal5"/>
      </w:pPr>
      <w:r>
        <w:t xml:space="preserve">- Međunarodni ugovori o uređenju vojnih groblja zaključeni između Vlade Republike Hrvatske i :  </w:t>
      </w:r>
    </w:p>
    <w:p w:rsidR="00D849AA" w:rsidRDefault="00EE6D95">
      <w:pPr>
        <w:pStyle w:val="Normal5"/>
      </w:pPr>
      <w:r>
        <w:t xml:space="preserve">- Vlade Savezne Republike Njemačke (MN 17/97),  </w:t>
      </w:r>
    </w:p>
    <w:p w:rsidR="00D849AA" w:rsidRDefault="00EE6D95">
      <w:pPr>
        <w:pStyle w:val="Normal5"/>
      </w:pPr>
      <w:r>
        <w:t xml:space="preserve">- Vlade Talijanske Republike (MN 6/2001) te  </w:t>
      </w:r>
    </w:p>
    <w:p w:rsidR="00D849AA" w:rsidRDefault="00EE6D95">
      <w:pPr>
        <w:pStyle w:val="Normal5"/>
      </w:pPr>
      <w:r>
        <w:t xml:space="preserve">- Vlade Republike Slovenije (MN 4/2009) </w:t>
      </w:r>
    </w:p>
    <w:p w:rsidR="00D849AA" w:rsidRDefault="00EE6D95">
      <w:pPr>
        <w:pStyle w:val="Normal5"/>
      </w:pPr>
      <w:r>
        <w:t xml:space="preserve">- Zakon o sustavu državne uprave (NN 150/2011) </w:t>
      </w:r>
    </w:p>
    <w:p w:rsidR="00221AEF" w:rsidRDefault="00EE6D95" w:rsidP="00221AEF">
      <w:pPr>
        <w:pStyle w:val="Normal5"/>
      </w:pPr>
      <w:r>
        <w:t>- Uredba Vlade Republike Hrvatske o unutarnjem ustrojstvu Ministarstva branitelja</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Cilj 1. Rješavanje sudbine osoba nestalih u Domovinskom ratu</w:t>
      </w:r>
    </w:p>
    <w:p w:rsidR="00D849AA" w:rsidRDefault="00EE6D95">
      <w:pPr>
        <w:pStyle w:val="Normal6"/>
      </w:pPr>
      <w:r>
        <w:t>Jedan od ciljeva provedbe programa je rješavanje sudbine osoba nestalih u Domovinskom ratu.</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A202BD" w:rsidRDefault="00EE6D95">
            <w:pPr>
              <w:rPr>
                <w:rFonts w:ascii="Arial" w:hAnsi="Arial" w:cs="Arial"/>
              </w:rPr>
            </w:pPr>
            <w:r w:rsidRPr="00A202BD">
              <w:rPr>
                <w:rFonts w:ascii="Arial" w:hAnsi="Arial" w:cs="Arial"/>
              </w:rPr>
              <w:t>Pokazatelj učinka</w:t>
            </w:r>
          </w:p>
        </w:tc>
        <w:tc>
          <w:tcPr>
            <w:tcW w:w="1114" w:type="dxa"/>
            <w:shd w:val="clear" w:color="auto" w:fill="B5C0D8"/>
          </w:tcPr>
          <w:p w:rsidR="00D849AA" w:rsidRPr="00A202BD" w:rsidRDefault="00EE6D95">
            <w:pPr>
              <w:pStyle w:val="CellHeader"/>
            </w:pPr>
            <w:r w:rsidRPr="00A202BD">
              <w:t>Jedinica</w:t>
            </w:r>
          </w:p>
        </w:tc>
        <w:tc>
          <w:tcPr>
            <w:tcW w:w="1114" w:type="dxa"/>
            <w:shd w:val="clear" w:color="auto" w:fill="B5C0D8"/>
          </w:tcPr>
          <w:p w:rsidR="00D849AA" w:rsidRPr="00A202BD" w:rsidRDefault="00EE6D95">
            <w:pPr>
              <w:pStyle w:val="CellHeader"/>
            </w:pPr>
            <w:r w:rsidRPr="00A202BD">
              <w:t>Polazna vrijednost</w:t>
            </w:r>
          </w:p>
        </w:tc>
        <w:tc>
          <w:tcPr>
            <w:tcW w:w="1486" w:type="dxa"/>
            <w:shd w:val="clear" w:color="auto" w:fill="B5C0D8"/>
          </w:tcPr>
          <w:p w:rsidR="00D849AA" w:rsidRPr="00A202BD" w:rsidRDefault="00EE6D95">
            <w:pPr>
              <w:pStyle w:val="CellHeader"/>
            </w:pPr>
            <w:r w:rsidRPr="00A202BD">
              <w:t>Ciljana vrijednost (2014.)</w:t>
            </w:r>
          </w:p>
        </w:tc>
        <w:tc>
          <w:tcPr>
            <w:tcW w:w="1486" w:type="dxa"/>
            <w:shd w:val="clear" w:color="auto" w:fill="B5C0D8"/>
          </w:tcPr>
          <w:p w:rsidR="00D849AA" w:rsidRPr="00A202BD" w:rsidRDefault="00EE6D95">
            <w:pPr>
              <w:pStyle w:val="CellHeader"/>
            </w:pPr>
            <w:r w:rsidRPr="00A202BD">
              <w:t>Ciljana vrijednost (2015.)</w:t>
            </w:r>
          </w:p>
        </w:tc>
        <w:tc>
          <w:tcPr>
            <w:tcW w:w="1486" w:type="dxa"/>
            <w:shd w:val="clear" w:color="auto" w:fill="B5C0D8"/>
          </w:tcPr>
          <w:p w:rsidR="00D849AA" w:rsidRPr="00A202BD" w:rsidRDefault="00EE6D95">
            <w:pPr>
              <w:pStyle w:val="CellHeader"/>
            </w:pPr>
            <w:r w:rsidRPr="00A202BD">
              <w:t>Ciljana vrijednost (2016.)</w:t>
            </w:r>
          </w:p>
        </w:tc>
      </w:tr>
      <w:tr w:rsidR="00D849AA">
        <w:trPr>
          <w:jc w:val="center"/>
        </w:trPr>
        <w:tc>
          <w:tcPr>
            <w:tcW w:w="2229" w:type="dxa"/>
          </w:tcPr>
          <w:p w:rsidR="00D849AA" w:rsidRPr="00A202BD" w:rsidRDefault="00EE6D95">
            <w:pPr>
              <w:pStyle w:val="CellColumn"/>
            </w:pPr>
            <w:r w:rsidRPr="00A202BD">
              <w:t>Povećanje udjela riješenih slučajeva u odnosu na podnijete zahtjeve za traženje nestalih osoba i posmrtnih ostataka</w:t>
            </w:r>
          </w:p>
        </w:tc>
        <w:tc>
          <w:tcPr>
            <w:tcW w:w="1114" w:type="dxa"/>
          </w:tcPr>
          <w:p w:rsidR="00D849AA" w:rsidRPr="00A202BD" w:rsidRDefault="00EE6D95">
            <w:pPr>
              <w:rPr>
                <w:rFonts w:ascii="Arial" w:hAnsi="Arial" w:cs="Arial"/>
              </w:rPr>
            </w:pPr>
            <w:r w:rsidRPr="00A202BD">
              <w:rPr>
                <w:rFonts w:ascii="Arial" w:hAnsi="Arial" w:cs="Arial"/>
              </w:rPr>
              <w:t>Postotak</w:t>
            </w:r>
          </w:p>
        </w:tc>
        <w:tc>
          <w:tcPr>
            <w:tcW w:w="1114" w:type="dxa"/>
          </w:tcPr>
          <w:p w:rsidR="00D849AA" w:rsidRPr="00A202BD" w:rsidRDefault="00EE6D95">
            <w:pPr>
              <w:rPr>
                <w:rFonts w:ascii="Arial" w:hAnsi="Arial" w:cs="Arial"/>
              </w:rPr>
            </w:pPr>
            <w:r w:rsidRPr="00A202BD">
              <w:rPr>
                <w:rFonts w:ascii="Arial" w:hAnsi="Arial" w:cs="Arial"/>
              </w:rPr>
              <w:t>59,2%</w:t>
            </w:r>
          </w:p>
        </w:tc>
        <w:tc>
          <w:tcPr>
            <w:tcW w:w="1486" w:type="dxa"/>
          </w:tcPr>
          <w:p w:rsidR="00D849AA" w:rsidRPr="00A202BD" w:rsidRDefault="00EE6D95">
            <w:pPr>
              <w:rPr>
                <w:rFonts w:ascii="Arial" w:hAnsi="Arial" w:cs="Arial"/>
              </w:rPr>
            </w:pPr>
            <w:r w:rsidRPr="00A202BD">
              <w:rPr>
                <w:rFonts w:ascii="Arial" w:hAnsi="Arial" w:cs="Arial"/>
              </w:rPr>
              <w:t>60,8%</w:t>
            </w:r>
          </w:p>
        </w:tc>
        <w:tc>
          <w:tcPr>
            <w:tcW w:w="1486" w:type="dxa"/>
          </w:tcPr>
          <w:p w:rsidR="00D849AA" w:rsidRPr="00A202BD" w:rsidRDefault="00EE6D95">
            <w:pPr>
              <w:rPr>
                <w:rFonts w:ascii="Arial" w:hAnsi="Arial" w:cs="Arial"/>
              </w:rPr>
            </w:pPr>
            <w:r w:rsidRPr="00A202BD">
              <w:rPr>
                <w:rFonts w:ascii="Arial" w:hAnsi="Arial" w:cs="Arial"/>
              </w:rPr>
              <w:t>62,4%</w:t>
            </w:r>
          </w:p>
        </w:tc>
        <w:tc>
          <w:tcPr>
            <w:tcW w:w="1486" w:type="dxa"/>
          </w:tcPr>
          <w:p w:rsidR="00D849AA" w:rsidRPr="00A202BD" w:rsidRDefault="00EE6D95">
            <w:pPr>
              <w:rPr>
                <w:rFonts w:ascii="Arial" w:hAnsi="Arial" w:cs="Arial"/>
              </w:rPr>
            </w:pPr>
            <w:r w:rsidRPr="00A202BD">
              <w:rPr>
                <w:rFonts w:ascii="Arial" w:hAnsi="Arial" w:cs="Arial"/>
              </w:rPr>
              <w:t>64%</w:t>
            </w:r>
          </w:p>
        </w:tc>
      </w:tr>
    </w:tbl>
    <w:p w:rsidR="00D849AA" w:rsidRDefault="00D849AA">
      <w:pPr>
        <w:jc w:val="left"/>
      </w:pPr>
    </w:p>
    <w:p w:rsidR="00D849AA" w:rsidRDefault="00EE6D95">
      <w:pPr>
        <w:pStyle w:val="Naslov7"/>
      </w:pPr>
      <w:r>
        <w:t xml:space="preserve">Cilj 2. Utvrđivanje, obilježavanje i trajno održavanje groblja žrtava Drugog svjetskog rata i poslijeratnog razdoblja </w:t>
      </w:r>
    </w:p>
    <w:p w:rsidR="00D849AA" w:rsidRDefault="00EE6D95">
      <w:pPr>
        <w:pStyle w:val="Normal6"/>
      </w:pPr>
      <w:r>
        <w:t>Drugi cilj provedbe programa „Zatočeni i nestali“ je utvrđivanje, obilježavanje i trajno održavanje groblja žrtava Drugog svjetskog rata i poslijeratnog razdoblja.</w:t>
      </w:r>
    </w:p>
    <w:p w:rsidR="00A202BD" w:rsidRDefault="00A202BD">
      <w:pPr>
        <w:pStyle w:val="Normal6"/>
      </w:pPr>
    </w:p>
    <w:p w:rsidR="00A202BD" w:rsidRDefault="00A202BD">
      <w:pPr>
        <w:pStyle w:val="Normal6"/>
      </w:pPr>
    </w:p>
    <w:p w:rsidR="00A202BD" w:rsidRDefault="00A202BD">
      <w:pPr>
        <w:pStyle w:val="Normal6"/>
      </w:pPr>
    </w:p>
    <w:p w:rsidR="00D849AA" w:rsidRDefault="00EE6D95">
      <w:pPr>
        <w:pStyle w:val="Naslov8"/>
        <w:jc w:val="left"/>
      </w:pPr>
      <w:r>
        <w:lastRenderedPageBreak/>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A202BD" w:rsidRDefault="00EE6D95">
            <w:pPr>
              <w:rPr>
                <w:rFonts w:ascii="Arial" w:hAnsi="Arial" w:cs="Arial"/>
              </w:rPr>
            </w:pPr>
            <w:r w:rsidRPr="00A202BD">
              <w:rPr>
                <w:rFonts w:ascii="Arial" w:hAnsi="Arial" w:cs="Arial"/>
              </w:rPr>
              <w:t>Pokazatelj učinka</w:t>
            </w:r>
          </w:p>
        </w:tc>
        <w:tc>
          <w:tcPr>
            <w:tcW w:w="1114" w:type="dxa"/>
            <w:shd w:val="clear" w:color="auto" w:fill="B5C0D8"/>
          </w:tcPr>
          <w:p w:rsidR="00D849AA" w:rsidRPr="00A202BD" w:rsidRDefault="00EE6D95">
            <w:pPr>
              <w:pStyle w:val="CellHeader"/>
            </w:pPr>
            <w:r w:rsidRPr="00A202BD">
              <w:t>Jedinica</w:t>
            </w:r>
          </w:p>
        </w:tc>
        <w:tc>
          <w:tcPr>
            <w:tcW w:w="1114" w:type="dxa"/>
            <w:shd w:val="clear" w:color="auto" w:fill="B5C0D8"/>
          </w:tcPr>
          <w:p w:rsidR="00D849AA" w:rsidRPr="00A202BD" w:rsidRDefault="00EE6D95">
            <w:pPr>
              <w:pStyle w:val="CellHeader"/>
            </w:pPr>
            <w:r w:rsidRPr="00A202BD">
              <w:t>Polazna vrijednost</w:t>
            </w:r>
          </w:p>
        </w:tc>
        <w:tc>
          <w:tcPr>
            <w:tcW w:w="1486" w:type="dxa"/>
            <w:shd w:val="clear" w:color="auto" w:fill="B5C0D8"/>
          </w:tcPr>
          <w:p w:rsidR="00D849AA" w:rsidRPr="00A202BD" w:rsidRDefault="00EE6D95">
            <w:pPr>
              <w:pStyle w:val="CellHeader"/>
            </w:pPr>
            <w:r w:rsidRPr="00A202BD">
              <w:t>Ciljana vrijednost (2014.)</w:t>
            </w:r>
          </w:p>
        </w:tc>
        <w:tc>
          <w:tcPr>
            <w:tcW w:w="1486" w:type="dxa"/>
            <w:shd w:val="clear" w:color="auto" w:fill="B5C0D8"/>
          </w:tcPr>
          <w:p w:rsidR="00D849AA" w:rsidRPr="00A202BD" w:rsidRDefault="00EE6D95">
            <w:pPr>
              <w:pStyle w:val="CellHeader"/>
            </w:pPr>
            <w:r w:rsidRPr="00A202BD">
              <w:t>Ciljana vrijednost (2015.)</w:t>
            </w:r>
          </w:p>
        </w:tc>
        <w:tc>
          <w:tcPr>
            <w:tcW w:w="1486" w:type="dxa"/>
            <w:shd w:val="clear" w:color="auto" w:fill="B5C0D8"/>
          </w:tcPr>
          <w:p w:rsidR="00D849AA" w:rsidRPr="00A202BD" w:rsidRDefault="00EE6D95">
            <w:pPr>
              <w:pStyle w:val="CellHeader"/>
            </w:pPr>
            <w:r w:rsidRPr="00A202BD">
              <w:t>Ciljana vrijednost (2016.)</w:t>
            </w:r>
          </w:p>
        </w:tc>
      </w:tr>
      <w:tr w:rsidR="00D849AA">
        <w:trPr>
          <w:jc w:val="center"/>
        </w:trPr>
        <w:tc>
          <w:tcPr>
            <w:tcW w:w="2229" w:type="dxa"/>
          </w:tcPr>
          <w:p w:rsidR="00D849AA" w:rsidRPr="00A202BD" w:rsidRDefault="00EE6D95">
            <w:pPr>
              <w:pStyle w:val="CellColumn"/>
            </w:pPr>
            <w:r w:rsidRPr="00A202BD">
              <w:t>Povećanje broja realiziranih projekata koji se odnose na očuvanje spomena na žrtve Drugog svjetskog rata i poslijeratnog razdoblja</w:t>
            </w:r>
          </w:p>
        </w:tc>
        <w:tc>
          <w:tcPr>
            <w:tcW w:w="1114" w:type="dxa"/>
          </w:tcPr>
          <w:p w:rsidR="00D849AA" w:rsidRPr="00A202BD" w:rsidRDefault="00EE6D95">
            <w:pPr>
              <w:rPr>
                <w:rFonts w:ascii="Arial" w:hAnsi="Arial" w:cs="Arial"/>
              </w:rPr>
            </w:pPr>
            <w:r w:rsidRPr="00A202BD">
              <w:rPr>
                <w:rFonts w:ascii="Arial" w:hAnsi="Arial" w:cs="Arial"/>
              </w:rPr>
              <w:t>Broj</w:t>
            </w:r>
          </w:p>
        </w:tc>
        <w:tc>
          <w:tcPr>
            <w:tcW w:w="1114" w:type="dxa"/>
          </w:tcPr>
          <w:p w:rsidR="00D849AA" w:rsidRPr="00A202BD" w:rsidRDefault="00EE6D95">
            <w:pPr>
              <w:rPr>
                <w:rFonts w:ascii="Arial" w:hAnsi="Arial" w:cs="Arial"/>
              </w:rPr>
            </w:pPr>
            <w:r w:rsidRPr="00A202BD">
              <w:rPr>
                <w:rFonts w:ascii="Arial" w:hAnsi="Arial" w:cs="Arial"/>
              </w:rPr>
              <w:t>25</w:t>
            </w:r>
          </w:p>
        </w:tc>
        <w:tc>
          <w:tcPr>
            <w:tcW w:w="1486" w:type="dxa"/>
          </w:tcPr>
          <w:p w:rsidR="00D849AA" w:rsidRPr="00A202BD" w:rsidRDefault="00EE6D95">
            <w:pPr>
              <w:rPr>
                <w:rFonts w:ascii="Arial" w:hAnsi="Arial" w:cs="Arial"/>
              </w:rPr>
            </w:pPr>
            <w:r w:rsidRPr="00A202BD">
              <w:rPr>
                <w:rFonts w:ascii="Arial" w:hAnsi="Arial" w:cs="Arial"/>
              </w:rPr>
              <w:t>70</w:t>
            </w:r>
          </w:p>
        </w:tc>
        <w:tc>
          <w:tcPr>
            <w:tcW w:w="1486" w:type="dxa"/>
          </w:tcPr>
          <w:p w:rsidR="00D849AA" w:rsidRPr="00A202BD" w:rsidRDefault="00EE6D95">
            <w:pPr>
              <w:rPr>
                <w:rFonts w:ascii="Arial" w:hAnsi="Arial" w:cs="Arial"/>
              </w:rPr>
            </w:pPr>
            <w:r w:rsidRPr="00A202BD">
              <w:rPr>
                <w:rFonts w:ascii="Arial" w:hAnsi="Arial" w:cs="Arial"/>
              </w:rPr>
              <w:t>95</w:t>
            </w:r>
          </w:p>
        </w:tc>
        <w:tc>
          <w:tcPr>
            <w:tcW w:w="1486" w:type="dxa"/>
          </w:tcPr>
          <w:p w:rsidR="00D849AA" w:rsidRPr="00A202BD" w:rsidRDefault="00EE6D95">
            <w:pPr>
              <w:rPr>
                <w:rFonts w:ascii="Arial" w:hAnsi="Arial" w:cs="Arial"/>
              </w:rPr>
            </w:pPr>
            <w:r w:rsidRPr="00A202BD">
              <w:rPr>
                <w:rFonts w:ascii="Arial" w:hAnsi="Arial" w:cs="Arial"/>
              </w:rPr>
              <w:t>120</w:t>
            </w:r>
          </w:p>
        </w:tc>
      </w:tr>
    </w:tbl>
    <w:p w:rsidR="00D849AA" w:rsidRDefault="00D849AA">
      <w:pPr>
        <w:jc w:val="left"/>
      </w:pPr>
    </w:p>
    <w:p w:rsidR="00D849AA" w:rsidRDefault="00EE6D95">
      <w:pPr>
        <w:pStyle w:val="Naslov5"/>
      </w:pPr>
      <w:r>
        <w:t>Procjena i ishodište potrebnih sredstava za značajnije aktivnosti/projekte</w:t>
      </w:r>
    </w:p>
    <w:p w:rsidR="00D849AA" w:rsidRDefault="00EE6D95">
      <w:pPr>
        <w:pStyle w:val="Naslov6"/>
      </w:pPr>
      <w:r>
        <w:t>A522014 EKSHUMACIJA, IDENTIFIKACIJA I SAHRANA ŽRTAVA IZ DOMOVINSKOG RATA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A202BD" w:rsidRDefault="00EE6D95">
            <w:pPr>
              <w:pStyle w:val="CellHeader"/>
            </w:pPr>
            <w:r w:rsidRPr="00A202BD">
              <w:t>Naziv aktivnosti</w:t>
            </w:r>
          </w:p>
        </w:tc>
        <w:tc>
          <w:tcPr>
            <w:tcW w:w="1486" w:type="dxa"/>
            <w:shd w:val="clear" w:color="auto" w:fill="B5C0D8"/>
          </w:tcPr>
          <w:p w:rsidR="00D849AA" w:rsidRPr="00A202BD" w:rsidRDefault="00EE6D95">
            <w:pPr>
              <w:pStyle w:val="CellHeader"/>
            </w:pPr>
            <w:r w:rsidRPr="00A202BD">
              <w:t>Plan 2013.</w:t>
            </w:r>
          </w:p>
        </w:tc>
        <w:tc>
          <w:tcPr>
            <w:tcW w:w="1486" w:type="dxa"/>
            <w:shd w:val="clear" w:color="auto" w:fill="B5C0D8"/>
          </w:tcPr>
          <w:p w:rsidR="00D849AA" w:rsidRPr="00A202BD" w:rsidRDefault="00EE6D95">
            <w:pPr>
              <w:pStyle w:val="CellHeader"/>
            </w:pPr>
            <w:r w:rsidRPr="00A202BD">
              <w:t>Plan 2014.</w:t>
            </w:r>
          </w:p>
        </w:tc>
        <w:tc>
          <w:tcPr>
            <w:tcW w:w="1486" w:type="dxa"/>
            <w:shd w:val="clear" w:color="auto" w:fill="B5C0D8"/>
          </w:tcPr>
          <w:p w:rsidR="00D849AA" w:rsidRPr="00A202BD" w:rsidRDefault="00EE6D95">
            <w:pPr>
              <w:pStyle w:val="CellHeader"/>
            </w:pPr>
            <w:r w:rsidRPr="00A202BD">
              <w:t>Plan 2015.</w:t>
            </w:r>
          </w:p>
        </w:tc>
        <w:tc>
          <w:tcPr>
            <w:tcW w:w="1486" w:type="dxa"/>
            <w:shd w:val="clear" w:color="auto" w:fill="B5C0D8"/>
          </w:tcPr>
          <w:p w:rsidR="00D849AA" w:rsidRPr="00A202BD" w:rsidRDefault="00EE6D95">
            <w:pPr>
              <w:pStyle w:val="CellHeader"/>
            </w:pPr>
            <w:r w:rsidRPr="00A202BD">
              <w:t>Plan 2016.</w:t>
            </w:r>
          </w:p>
        </w:tc>
        <w:tc>
          <w:tcPr>
            <w:tcW w:w="1486" w:type="dxa"/>
            <w:shd w:val="clear" w:color="auto" w:fill="B5C0D8"/>
          </w:tcPr>
          <w:p w:rsidR="00D849AA" w:rsidRPr="00A202BD" w:rsidRDefault="00EE6D95">
            <w:pPr>
              <w:pStyle w:val="CellHeader"/>
            </w:pPr>
            <w:r w:rsidRPr="00A202BD">
              <w:t>Indeks 2014/2013</w:t>
            </w:r>
          </w:p>
        </w:tc>
      </w:tr>
      <w:tr w:rsidR="00D849AA">
        <w:trPr>
          <w:jc w:val="center"/>
        </w:trPr>
        <w:tc>
          <w:tcPr>
            <w:tcW w:w="1486" w:type="dxa"/>
          </w:tcPr>
          <w:p w:rsidR="00D849AA" w:rsidRPr="00A202BD" w:rsidRDefault="00EE6D95">
            <w:pPr>
              <w:pStyle w:val="CellColumn"/>
            </w:pPr>
            <w:r w:rsidRPr="00A202BD">
              <w:t>A522014</w:t>
            </w:r>
          </w:p>
        </w:tc>
        <w:tc>
          <w:tcPr>
            <w:tcW w:w="1486" w:type="dxa"/>
          </w:tcPr>
          <w:p w:rsidR="00D849AA" w:rsidRPr="00A202BD" w:rsidRDefault="00EE6D95">
            <w:pPr>
              <w:rPr>
                <w:rFonts w:ascii="Arial" w:hAnsi="Arial" w:cs="Arial"/>
              </w:rPr>
            </w:pPr>
            <w:r w:rsidRPr="00A202BD">
              <w:rPr>
                <w:rFonts w:ascii="Arial" w:hAnsi="Arial" w:cs="Arial"/>
              </w:rPr>
              <w:t>7.000.000</w:t>
            </w:r>
          </w:p>
        </w:tc>
        <w:tc>
          <w:tcPr>
            <w:tcW w:w="1486" w:type="dxa"/>
          </w:tcPr>
          <w:p w:rsidR="00D849AA" w:rsidRPr="00A202BD" w:rsidRDefault="00EE6D95">
            <w:pPr>
              <w:rPr>
                <w:rFonts w:ascii="Arial" w:hAnsi="Arial" w:cs="Arial"/>
              </w:rPr>
            </w:pPr>
            <w:r w:rsidRPr="00A202BD">
              <w:rPr>
                <w:rFonts w:ascii="Arial" w:hAnsi="Arial" w:cs="Arial"/>
              </w:rPr>
              <w:t>5.581.718</w:t>
            </w:r>
          </w:p>
        </w:tc>
        <w:tc>
          <w:tcPr>
            <w:tcW w:w="1486" w:type="dxa"/>
          </w:tcPr>
          <w:p w:rsidR="00D849AA" w:rsidRPr="00A202BD" w:rsidRDefault="00EE6D95">
            <w:pPr>
              <w:rPr>
                <w:rFonts w:ascii="Arial" w:hAnsi="Arial" w:cs="Arial"/>
              </w:rPr>
            </w:pPr>
            <w:r w:rsidRPr="00A202BD">
              <w:rPr>
                <w:rFonts w:ascii="Arial" w:hAnsi="Arial" w:cs="Arial"/>
              </w:rPr>
              <w:t>6.041.932</w:t>
            </w:r>
          </w:p>
        </w:tc>
        <w:tc>
          <w:tcPr>
            <w:tcW w:w="1486" w:type="dxa"/>
          </w:tcPr>
          <w:p w:rsidR="00D849AA" w:rsidRPr="00A202BD" w:rsidRDefault="00EE6D95">
            <w:pPr>
              <w:rPr>
                <w:rFonts w:ascii="Arial" w:hAnsi="Arial" w:cs="Arial"/>
              </w:rPr>
            </w:pPr>
            <w:r w:rsidRPr="00A202BD">
              <w:rPr>
                <w:rFonts w:ascii="Arial" w:hAnsi="Arial" w:cs="Arial"/>
              </w:rPr>
              <w:t>5.842.880</w:t>
            </w:r>
          </w:p>
        </w:tc>
        <w:tc>
          <w:tcPr>
            <w:tcW w:w="1486" w:type="dxa"/>
          </w:tcPr>
          <w:p w:rsidR="00D849AA" w:rsidRPr="00A202BD" w:rsidRDefault="00EE6D95">
            <w:pPr>
              <w:rPr>
                <w:rFonts w:ascii="Arial" w:hAnsi="Arial" w:cs="Arial"/>
              </w:rPr>
            </w:pPr>
            <w:r w:rsidRPr="00A202BD">
              <w:rPr>
                <w:rFonts w:ascii="Arial" w:hAnsi="Arial" w:cs="Arial"/>
              </w:rPr>
              <w:t>79,7</w:t>
            </w:r>
          </w:p>
        </w:tc>
      </w:tr>
    </w:tbl>
    <w:p w:rsidR="00D849AA" w:rsidRDefault="00D849AA">
      <w:pPr>
        <w:jc w:val="left"/>
      </w:pPr>
    </w:p>
    <w:p w:rsidR="00D849AA" w:rsidRDefault="00EE6D95">
      <w:pPr>
        <w:pStyle w:val="Normal6"/>
      </w:pPr>
      <w:r>
        <w:t xml:space="preserve">Najznačajnija aktivnost za postizanje cilja „Rješavanje sudbine osoba nestalih u Domovinskom ratu“ jest proces ekshumacija masovnih i pojedinačnih grobnica, identifikacija ekshumiranih posmrtnih ostataka te dostojna sahrana identificiranih žrtava.  </w:t>
      </w:r>
    </w:p>
    <w:p w:rsidR="00D849AA" w:rsidRDefault="00EE6D95">
      <w:pPr>
        <w:pStyle w:val="Normal6"/>
      </w:pPr>
      <w:r>
        <w:t xml:space="preserve">U sljedećem trogodišnjem razdoblju, nastaviti će se prikupljanje saznanja o nestalim osobama i mogućim grobnim mjestima, terensko istraživanje i ekshumacija neregistriranih grobnih mjesta i zajedničkih grobnica neidentificiranih žrtava te obrada, identifikacija i dostojna sahrana identificiranih ekshumiranih žrtava iz masovnih i pojedinačnih grobnica. Temeljem rezultata u proteklom razdoblju, u predstojećem trogodišnjem razdoblju očekuje se ekshumacija posmrtnih ostataka 243 osobe. </w:t>
      </w:r>
    </w:p>
    <w:p w:rsidR="00D849AA" w:rsidRDefault="00EE6D95">
      <w:pPr>
        <w:pStyle w:val="Normal6"/>
      </w:pPr>
      <w:r>
        <w:t xml:space="preserve">Također, nastaviti će se aktivnosti na utvrđivanju i ekshumaciji registriranih i neregistriranih grobnih mjesta na području Republike Srbije i Bosne i Hercegovine u kojima su posmrtni ostaci žrtava iz Republike Hrvatske. </w:t>
      </w:r>
    </w:p>
    <w:p w:rsidR="00D849AA" w:rsidRDefault="00EE6D95">
      <w:pPr>
        <w:pStyle w:val="Normal6"/>
      </w:pPr>
      <w:r>
        <w:t xml:space="preserve">U segmentu obrade i identifikacije posmrtnih ostataka, u sljedećem trogodišnjem razdoblju poduzeti će se aktivnosti usmjerene na dovršetak obrade preostalih neidentificiranih posmrtnih ostataka metodom analize DNA te identifikacija neidentificiranih posmrtnih ostataka ekshumiranih u ranijih razdobljima. Također, provesti će se obrada klasičnim sudsko-medicinskim metodama i metodom analize DNA (koju za potrebe Uprave za zatočene i nestale ovoga Ministarstva provode znanstvene i medicinske ustanove, temeljem godišnjih ugovora) posmrtnih ostataka koji će u predstojećem razdoblju biti ekshumirani. U tom smislu, nastaviti će se i provedba Zajedničkog projekta identifikacija s Međunarodnom komisijom za nestale osobe, koji će u okviru postojećeg Sporazuma, biti unaprijeđen kako bi se osigurala što veća uspješnost procesa identifikacija. Temeljem rezultata u proteklom trogodišnjem razdoblju, a uzimajući u obzir očekivani broj novoekshumiranih posmrtnih ostataka, u predstojećem trogodišnjem razdoblju predviđa se konačna identifikacija posmrtnih ostataka 231 osobe. Nakon </w:t>
      </w:r>
      <w:r>
        <w:lastRenderedPageBreak/>
        <w:t xml:space="preserve">pozitivne identifikacije posmrtnih ostataka, organizirati će se njihova dostojna sahrana sukladno željama obitelji  </w:t>
      </w:r>
    </w:p>
    <w:p w:rsidR="00D849AA" w:rsidRDefault="00EE6D95">
      <w:pPr>
        <w:pStyle w:val="Normal6"/>
      </w:pPr>
      <w:r>
        <w:t>Procjena potrebnih sredstava zasnovana je na 2.113 nestale osobe i zahtjeva za traženjem posmrtnih ostataka (stanje evidencije na dan 22. listopada 2013.), a ishodište na do sada godišnje utrošenim sredstvima iz Državnog proračuna (budući program traje od 1991. godine) te predviđenoj dinamici rješavanja slučajeva nestalih osoba.</w:t>
      </w:r>
    </w:p>
    <w:p w:rsidR="00575FBE" w:rsidRDefault="00575FBE">
      <w:pPr>
        <w:pStyle w:val="Normal6"/>
      </w:pP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A202BD" w:rsidRDefault="00EE6D95">
            <w:pPr>
              <w:rPr>
                <w:rFonts w:ascii="Arial" w:hAnsi="Arial" w:cs="Arial"/>
              </w:rPr>
            </w:pPr>
            <w:r w:rsidRPr="00A202BD">
              <w:rPr>
                <w:rFonts w:ascii="Arial" w:hAnsi="Arial" w:cs="Arial"/>
              </w:rPr>
              <w:t>Pokazatelj rezultata</w:t>
            </w:r>
          </w:p>
        </w:tc>
        <w:tc>
          <w:tcPr>
            <w:tcW w:w="1114" w:type="dxa"/>
            <w:shd w:val="clear" w:color="auto" w:fill="B5C0D8"/>
          </w:tcPr>
          <w:p w:rsidR="00D849AA" w:rsidRPr="00A202BD" w:rsidRDefault="00EE6D95">
            <w:pPr>
              <w:pStyle w:val="CellHeader"/>
            </w:pPr>
            <w:r w:rsidRPr="00A202BD">
              <w:t>Jedinica</w:t>
            </w:r>
          </w:p>
        </w:tc>
        <w:tc>
          <w:tcPr>
            <w:tcW w:w="1114" w:type="dxa"/>
            <w:shd w:val="clear" w:color="auto" w:fill="B5C0D8"/>
          </w:tcPr>
          <w:p w:rsidR="00D849AA" w:rsidRPr="00A202BD" w:rsidRDefault="00EE6D95">
            <w:pPr>
              <w:pStyle w:val="CellHeader"/>
            </w:pPr>
            <w:r w:rsidRPr="00A202BD">
              <w:t>Polazna vrijednost</w:t>
            </w:r>
          </w:p>
        </w:tc>
        <w:tc>
          <w:tcPr>
            <w:tcW w:w="1486" w:type="dxa"/>
            <w:shd w:val="clear" w:color="auto" w:fill="B5C0D8"/>
          </w:tcPr>
          <w:p w:rsidR="00D849AA" w:rsidRPr="00A202BD" w:rsidRDefault="00EE6D95">
            <w:pPr>
              <w:pStyle w:val="CellHeader"/>
            </w:pPr>
            <w:r w:rsidRPr="00A202BD">
              <w:t>Ciljana vrijednost (2014.)</w:t>
            </w:r>
          </w:p>
        </w:tc>
        <w:tc>
          <w:tcPr>
            <w:tcW w:w="1486" w:type="dxa"/>
            <w:shd w:val="clear" w:color="auto" w:fill="B5C0D8"/>
          </w:tcPr>
          <w:p w:rsidR="00D849AA" w:rsidRPr="00A202BD" w:rsidRDefault="00EE6D95">
            <w:pPr>
              <w:pStyle w:val="CellHeader"/>
            </w:pPr>
            <w:r w:rsidRPr="00A202BD">
              <w:t>Ciljana vrijednost (2015.)</w:t>
            </w:r>
          </w:p>
        </w:tc>
        <w:tc>
          <w:tcPr>
            <w:tcW w:w="1486" w:type="dxa"/>
            <w:shd w:val="clear" w:color="auto" w:fill="B5C0D8"/>
          </w:tcPr>
          <w:p w:rsidR="00D849AA" w:rsidRPr="00A202BD" w:rsidRDefault="00EE6D95">
            <w:pPr>
              <w:pStyle w:val="CellHeader"/>
            </w:pPr>
            <w:r w:rsidRPr="00A202BD">
              <w:t>Ciljana vrijednost (2016.)</w:t>
            </w:r>
          </w:p>
        </w:tc>
      </w:tr>
      <w:tr w:rsidR="00D849AA">
        <w:trPr>
          <w:jc w:val="center"/>
        </w:trPr>
        <w:tc>
          <w:tcPr>
            <w:tcW w:w="2229" w:type="dxa"/>
          </w:tcPr>
          <w:p w:rsidR="00D849AA" w:rsidRPr="00A202BD" w:rsidRDefault="00EE6D95">
            <w:pPr>
              <w:pStyle w:val="CellColumn"/>
            </w:pPr>
            <w:r w:rsidRPr="00A202BD">
              <w:t>Zadržavanje udjela istraženih grobnih mjesta u odnosu na prikupljena saznanja o mogućim mjestima masovnih i pojedinačnih grobnica</w:t>
            </w:r>
          </w:p>
        </w:tc>
        <w:tc>
          <w:tcPr>
            <w:tcW w:w="1114" w:type="dxa"/>
          </w:tcPr>
          <w:p w:rsidR="00D849AA" w:rsidRPr="00A202BD" w:rsidRDefault="00EE6D95">
            <w:pPr>
              <w:rPr>
                <w:rFonts w:ascii="Arial" w:hAnsi="Arial" w:cs="Arial"/>
              </w:rPr>
            </w:pPr>
            <w:r w:rsidRPr="00A202BD">
              <w:rPr>
                <w:rFonts w:ascii="Arial" w:hAnsi="Arial" w:cs="Arial"/>
              </w:rPr>
              <w:t>Postotak</w:t>
            </w:r>
          </w:p>
        </w:tc>
        <w:tc>
          <w:tcPr>
            <w:tcW w:w="1114" w:type="dxa"/>
          </w:tcPr>
          <w:p w:rsidR="00D849AA" w:rsidRPr="00A202BD" w:rsidRDefault="00EE6D95">
            <w:pPr>
              <w:rPr>
                <w:rFonts w:ascii="Arial" w:hAnsi="Arial" w:cs="Arial"/>
              </w:rPr>
            </w:pPr>
            <w:r w:rsidRPr="00A202BD">
              <w:rPr>
                <w:rFonts w:ascii="Arial" w:hAnsi="Arial" w:cs="Arial"/>
              </w:rPr>
              <w:t>95%</w:t>
            </w:r>
          </w:p>
        </w:tc>
        <w:tc>
          <w:tcPr>
            <w:tcW w:w="1486" w:type="dxa"/>
          </w:tcPr>
          <w:p w:rsidR="00D849AA" w:rsidRPr="00A202BD" w:rsidRDefault="00EE6D95">
            <w:pPr>
              <w:rPr>
                <w:rFonts w:ascii="Arial" w:hAnsi="Arial" w:cs="Arial"/>
              </w:rPr>
            </w:pPr>
            <w:r w:rsidRPr="00A202BD">
              <w:rPr>
                <w:rFonts w:ascii="Arial" w:hAnsi="Arial" w:cs="Arial"/>
              </w:rPr>
              <w:t>95%</w:t>
            </w:r>
          </w:p>
        </w:tc>
        <w:tc>
          <w:tcPr>
            <w:tcW w:w="1486" w:type="dxa"/>
          </w:tcPr>
          <w:p w:rsidR="00D849AA" w:rsidRPr="00A202BD" w:rsidRDefault="00EE6D95">
            <w:pPr>
              <w:rPr>
                <w:rFonts w:ascii="Arial" w:hAnsi="Arial" w:cs="Arial"/>
              </w:rPr>
            </w:pPr>
            <w:r w:rsidRPr="00A202BD">
              <w:rPr>
                <w:rFonts w:ascii="Arial" w:hAnsi="Arial" w:cs="Arial"/>
              </w:rPr>
              <w:t>95%</w:t>
            </w:r>
          </w:p>
        </w:tc>
        <w:tc>
          <w:tcPr>
            <w:tcW w:w="1486" w:type="dxa"/>
          </w:tcPr>
          <w:p w:rsidR="00D849AA" w:rsidRPr="00A202BD" w:rsidRDefault="00EE6D95">
            <w:pPr>
              <w:rPr>
                <w:rFonts w:ascii="Arial" w:hAnsi="Arial" w:cs="Arial"/>
              </w:rPr>
            </w:pPr>
            <w:r w:rsidRPr="00A202BD">
              <w:rPr>
                <w:rFonts w:ascii="Arial" w:hAnsi="Arial" w:cs="Arial"/>
              </w:rPr>
              <w:t>95%</w:t>
            </w:r>
          </w:p>
        </w:tc>
      </w:tr>
      <w:tr w:rsidR="00D849AA">
        <w:trPr>
          <w:jc w:val="center"/>
        </w:trPr>
        <w:tc>
          <w:tcPr>
            <w:tcW w:w="2229" w:type="dxa"/>
          </w:tcPr>
          <w:p w:rsidR="00D849AA" w:rsidRPr="00A202BD" w:rsidRDefault="00EE6D95">
            <w:pPr>
              <w:pStyle w:val="CellColumn"/>
            </w:pPr>
            <w:r w:rsidRPr="00A202BD">
              <w:t>Povećanje udjela obrađenih posmrtnih ostataka u odnosu na broj neidentificiranih posmrtnih ostataka</w:t>
            </w:r>
          </w:p>
        </w:tc>
        <w:tc>
          <w:tcPr>
            <w:tcW w:w="1114" w:type="dxa"/>
          </w:tcPr>
          <w:p w:rsidR="00D849AA" w:rsidRPr="00A202BD" w:rsidRDefault="00EE6D95">
            <w:pPr>
              <w:rPr>
                <w:rFonts w:ascii="Arial" w:hAnsi="Arial" w:cs="Arial"/>
              </w:rPr>
            </w:pPr>
            <w:r w:rsidRPr="00A202BD">
              <w:rPr>
                <w:rFonts w:ascii="Arial" w:hAnsi="Arial" w:cs="Arial"/>
              </w:rPr>
              <w:t>Postotak</w:t>
            </w:r>
          </w:p>
        </w:tc>
        <w:tc>
          <w:tcPr>
            <w:tcW w:w="1114" w:type="dxa"/>
          </w:tcPr>
          <w:p w:rsidR="00D849AA" w:rsidRPr="00A202BD" w:rsidRDefault="00EE6D95">
            <w:pPr>
              <w:rPr>
                <w:rFonts w:ascii="Arial" w:hAnsi="Arial" w:cs="Arial"/>
              </w:rPr>
            </w:pPr>
            <w:r w:rsidRPr="00A202BD">
              <w:rPr>
                <w:rFonts w:ascii="Arial" w:hAnsi="Arial" w:cs="Arial"/>
              </w:rPr>
              <w:t>90%</w:t>
            </w:r>
          </w:p>
        </w:tc>
        <w:tc>
          <w:tcPr>
            <w:tcW w:w="1486" w:type="dxa"/>
          </w:tcPr>
          <w:p w:rsidR="00D849AA" w:rsidRPr="00A202BD" w:rsidRDefault="00EE6D95">
            <w:pPr>
              <w:rPr>
                <w:rFonts w:ascii="Arial" w:hAnsi="Arial" w:cs="Arial"/>
              </w:rPr>
            </w:pPr>
            <w:r w:rsidRPr="00A202BD">
              <w:rPr>
                <w:rFonts w:ascii="Arial" w:hAnsi="Arial" w:cs="Arial"/>
              </w:rPr>
              <w:t>96%</w:t>
            </w:r>
          </w:p>
        </w:tc>
        <w:tc>
          <w:tcPr>
            <w:tcW w:w="1486" w:type="dxa"/>
          </w:tcPr>
          <w:p w:rsidR="00D849AA" w:rsidRPr="00A202BD" w:rsidRDefault="00EE6D95">
            <w:pPr>
              <w:rPr>
                <w:rFonts w:ascii="Arial" w:hAnsi="Arial" w:cs="Arial"/>
              </w:rPr>
            </w:pPr>
            <w:r w:rsidRPr="00A202BD">
              <w:rPr>
                <w:rFonts w:ascii="Arial" w:hAnsi="Arial" w:cs="Arial"/>
              </w:rPr>
              <w:t>97%</w:t>
            </w:r>
          </w:p>
        </w:tc>
        <w:tc>
          <w:tcPr>
            <w:tcW w:w="1486" w:type="dxa"/>
          </w:tcPr>
          <w:p w:rsidR="00D849AA" w:rsidRPr="00A202BD" w:rsidRDefault="00EE6D95">
            <w:pPr>
              <w:rPr>
                <w:rFonts w:ascii="Arial" w:hAnsi="Arial" w:cs="Arial"/>
              </w:rPr>
            </w:pPr>
            <w:r w:rsidRPr="00A202BD">
              <w:rPr>
                <w:rFonts w:ascii="Arial" w:hAnsi="Arial" w:cs="Arial"/>
              </w:rPr>
              <w:t>97%</w:t>
            </w:r>
          </w:p>
        </w:tc>
      </w:tr>
      <w:tr w:rsidR="00D849AA">
        <w:trPr>
          <w:jc w:val="center"/>
        </w:trPr>
        <w:tc>
          <w:tcPr>
            <w:tcW w:w="2229" w:type="dxa"/>
          </w:tcPr>
          <w:p w:rsidR="00D849AA" w:rsidRPr="00A202BD" w:rsidRDefault="00EE6D95">
            <w:pPr>
              <w:pStyle w:val="CellColumn"/>
            </w:pPr>
            <w:r w:rsidRPr="00A202BD">
              <w:t>Zadržavanje udjela sahranjenih osoba sukladno željama obitelji u odnosu na broj identificiranih posmrtnih ostataka</w:t>
            </w:r>
          </w:p>
        </w:tc>
        <w:tc>
          <w:tcPr>
            <w:tcW w:w="1114" w:type="dxa"/>
          </w:tcPr>
          <w:p w:rsidR="00D849AA" w:rsidRPr="00A202BD" w:rsidRDefault="00EE6D95">
            <w:pPr>
              <w:rPr>
                <w:rFonts w:ascii="Arial" w:hAnsi="Arial" w:cs="Arial"/>
              </w:rPr>
            </w:pPr>
            <w:r w:rsidRPr="00A202BD">
              <w:rPr>
                <w:rFonts w:ascii="Arial" w:hAnsi="Arial" w:cs="Arial"/>
              </w:rPr>
              <w:t>Postotak</w:t>
            </w:r>
          </w:p>
        </w:tc>
        <w:tc>
          <w:tcPr>
            <w:tcW w:w="1114" w:type="dxa"/>
          </w:tcPr>
          <w:p w:rsidR="00D849AA" w:rsidRPr="00A202BD" w:rsidRDefault="00EE6D95">
            <w:pPr>
              <w:rPr>
                <w:rFonts w:ascii="Arial" w:hAnsi="Arial" w:cs="Arial"/>
              </w:rPr>
            </w:pPr>
            <w:r w:rsidRPr="00A202BD">
              <w:rPr>
                <w:rFonts w:ascii="Arial" w:hAnsi="Arial" w:cs="Arial"/>
              </w:rPr>
              <w:t>100%</w:t>
            </w:r>
          </w:p>
        </w:tc>
        <w:tc>
          <w:tcPr>
            <w:tcW w:w="1486" w:type="dxa"/>
          </w:tcPr>
          <w:p w:rsidR="00D849AA" w:rsidRPr="00A202BD" w:rsidRDefault="00EE6D95">
            <w:pPr>
              <w:rPr>
                <w:rFonts w:ascii="Arial" w:hAnsi="Arial" w:cs="Arial"/>
              </w:rPr>
            </w:pPr>
            <w:r w:rsidRPr="00A202BD">
              <w:rPr>
                <w:rFonts w:ascii="Arial" w:hAnsi="Arial" w:cs="Arial"/>
              </w:rPr>
              <w:t>100%</w:t>
            </w:r>
          </w:p>
        </w:tc>
        <w:tc>
          <w:tcPr>
            <w:tcW w:w="1486" w:type="dxa"/>
          </w:tcPr>
          <w:p w:rsidR="00D849AA" w:rsidRPr="00A202BD" w:rsidRDefault="00EE6D95">
            <w:pPr>
              <w:rPr>
                <w:rFonts w:ascii="Arial" w:hAnsi="Arial" w:cs="Arial"/>
              </w:rPr>
            </w:pPr>
            <w:r w:rsidRPr="00A202BD">
              <w:rPr>
                <w:rFonts w:ascii="Arial" w:hAnsi="Arial" w:cs="Arial"/>
              </w:rPr>
              <w:t>100%</w:t>
            </w:r>
          </w:p>
        </w:tc>
        <w:tc>
          <w:tcPr>
            <w:tcW w:w="1486" w:type="dxa"/>
          </w:tcPr>
          <w:p w:rsidR="00D849AA" w:rsidRPr="00A202BD" w:rsidRDefault="00EE6D95">
            <w:pPr>
              <w:rPr>
                <w:rFonts w:ascii="Arial" w:hAnsi="Arial" w:cs="Arial"/>
              </w:rPr>
            </w:pPr>
            <w:r w:rsidRPr="00A202BD">
              <w:rPr>
                <w:rFonts w:ascii="Arial" w:hAnsi="Arial" w:cs="Arial"/>
              </w:rPr>
              <w:t>100%</w:t>
            </w:r>
          </w:p>
        </w:tc>
      </w:tr>
    </w:tbl>
    <w:p w:rsidR="00D849AA" w:rsidRDefault="00D849AA">
      <w:pPr>
        <w:jc w:val="left"/>
      </w:pPr>
    </w:p>
    <w:p w:rsidR="00575FBE" w:rsidRPr="00575FBE" w:rsidRDefault="00EE6D95" w:rsidP="00575FBE">
      <w:pPr>
        <w:pStyle w:val="Naslov6"/>
      </w:pPr>
      <w:r>
        <w:t>A522023 ISTRAŽIVANJE, UREĐENJE I ODRŽAVANJE VOJNIH GROBLJA, GROBLJA ŽRTAVA DRUGOG SVJETSKOG RATA I POSLIJERATNOG RAZDOBLJA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rsidRPr="00A202BD">
        <w:trPr>
          <w:jc w:val="center"/>
        </w:trPr>
        <w:tc>
          <w:tcPr>
            <w:tcW w:w="1486" w:type="dxa"/>
            <w:shd w:val="clear" w:color="auto" w:fill="B5C0D8"/>
          </w:tcPr>
          <w:p w:rsidR="00D849AA" w:rsidRPr="00A202BD" w:rsidRDefault="00EE6D95">
            <w:pPr>
              <w:pStyle w:val="CellHeader"/>
            </w:pPr>
            <w:r w:rsidRPr="00A202BD">
              <w:t>Naziv aktivnosti</w:t>
            </w:r>
          </w:p>
        </w:tc>
        <w:tc>
          <w:tcPr>
            <w:tcW w:w="1486" w:type="dxa"/>
            <w:shd w:val="clear" w:color="auto" w:fill="B5C0D8"/>
          </w:tcPr>
          <w:p w:rsidR="00D849AA" w:rsidRPr="00A202BD" w:rsidRDefault="00EE6D95">
            <w:pPr>
              <w:pStyle w:val="CellHeader"/>
            </w:pPr>
            <w:r w:rsidRPr="00A202BD">
              <w:t>Plan 2013.</w:t>
            </w:r>
          </w:p>
        </w:tc>
        <w:tc>
          <w:tcPr>
            <w:tcW w:w="1486" w:type="dxa"/>
            <w:shd w:val="clear" w:color="auto" w:fill="B5C0D8"/>
          </w:tcPr>
          <w:p w:rsidR="00D849AA" w:rsidRPr="00A202BD" w:rsidRDefault="00EE6D95">
            <w:pPr>
              <w:pStyle w:val="CellHeader"/>
            </w:pPr>
            <w:r w:rsidRPr="00A202BD">
              <w:t>Plan 2014.</w:t>
            </w:r>
          </w:p>
        </w:tc>
        <w:tc>
          <w:tcPr>
            <w:tcW w:w="1486" w:type="dxa"/>
            <w:shd w:val="clear" w:color="auto" w:fill="B5C0D8"/>
          </w:tcPr>
          <w:p w:rsidR="00D849AA" w:rsidRPr="00A202BD" w:rsidRDefault="00EE6D95">
            <w:pPr>
              <w:pStyle w:val="CellHeader"/>
            </w:pPr>
            <w:r w:rsidRPr="00A202BD">
              <w:t>Plan 2015.</w:t>
            </w:r>
          </w:p>
        </w:tc>
        <w:tc>
          <w:tcPr>
            <w:tcW w:w="1486" w:type="dxa"/>
            <w:shd w:val="clear" w:color="auto" w:fill="B5C0D8"/>
          </w:tcPr>
          <w:p w:rsidR="00D849AA" w:rsidRPr="00A202BD" w:rsidRDefault="00EE6D95">
            <w:pPr>
              <w:pStyle w:val="CellHeader"/>
            </w:pPr>
            <w:r w:rsidRPr="00A202BD">
              <w:t>Plan 2016.</w:t>
            </w:r>
          </w:p>
        </w:tc>
        <w:tc>
          <w:tcPr>
            <w:tcW w:w="1486" w:type="dxa"/>
            <w:shd w:val="clear" w:color="auto" w:fill="B5C0D8"/>
          </w:tcPr>
          <w:p w:rsidR="00D849AA" w:rsidRPr="00A202BD" w:rsidRDefault="00EE6D95">
            <w:pPr>
              <w:pStyle w:val="CellHeader"/>
            </w:pPr>
            <w:r w:rsidRPr="00A202BD">
              <w:t>Indeks 2014/2013</w:t>
            </w:r>
          </w:p>
        </w:tc>
      </w:tr>
      <w:tr w:rsidR="00D849AA" w:rsidRPr="00A202BD">
        <w:trPr>
          <w:jc w:val="center"/>
        </w:trPr>
        <w:tc>
          <w:tcPr>
            <w:tcW w:w="1486" w:type="dxa"/>
          </w:tcPr>
          <w:p w:rsidR="00D849AA" w:rsidRPr="00A202BD" w:rsidRDefault="00EE6D95">
            <w:pPr>
              <w:pStyle w:val="CellColumn"/>
            </w:pPr>
            <w:r w:rsidRPr="00A202BD">
              <w:t>A522023</w:t>
            </w:r>
          </w:p>
        </w:tc>
        <w:tc>
          <w:tcPr>
            <w:tcW w:w="1486" w:type="dxa"/>
          </w:tcPr>
          <w:p w:rsidR="00D849AA" w:rsidRPr="00A202BD" w:rsidRDefault="00EE6D95">
            <w:pPr>
              <w:rPr>
                <w:rFonts w:ascii="Arial" w:hAnsi="Arial" w:cs="Arial"/>
              </w:rPr>
            </w:pPr>
            <w:r w:rsidRPr="00A202BD">
              <w:rPr>
                <w:rFonts w:ascii="Arial" w:hAnsi="Arial" w:cs="Arial"/>
              </w:rPr>
              <w:t>2.397.200</w:t>
            </w:r>
          </w:p>
        </w:tc>
        <w:tc>
          <w:tcPr>
            <w:tcW w:w="1486" w:type="dxa"/>
          </w:tcPr>
          <w:p w:rsidR="00D849AA" w:rsidRPr="00A202BD" w:rsidRDefault="00EE6D95">
            <w:pPr>
              <w:rPr>
                <w:rFonts w:ascii="Arial" w:hAnsi="Arial" w:cs="Arial"/>
              </w:rPr>
            </w:pPr>
            <w:r w:rsidRPr="00A202BD">
              <w:rPr>
                <w:rFonts w:ascii="Arial" w:hAnsi="Arial" w:cs="Arial"/>
              </w:rPr>
              <w:t>1.425.000</w:t>
            </w:r>
          </w:p>
        </w:tc>
        <w:tc>
          <w:tcPr>
            <w:tcW w:w="1486" w:type="dxa"/>
          </w:tcPr>
          <w:p w:rsidR="00D849AA" w:rsidRPr="00A202BD" w:rsidRDefault="00EE6D95">
            <w:pPr>
              <w:rPr>
                <w:rFonts w:ascii="Arial" w:hAnsi="Arial" w:cs="Arial"/>
              </w:rPr>
            </w:pPr>
            <w:r w:rsidRPr="00A202BD">
              <w:rPr>
                <w:rFonts w:ascii="Arial" w:hAnsi="Arial" w:cs="Arial"/>
              </w:rPr>
              <w:t>1.025.000</w:t>
            </w:r>
          </w:p>
        </w:tc>
        <w:tc>
          <w:tcPr>
            <w:tcW w:w="1486" w:type="dxa"/>
          </w:tcPr>
          <w:p w:rsidR="00D849AA" w:rsidRPr="00A202BD" w:rsidRDefault="00EE6D95">
            <w:pPr>
              <w:rPr>
                <w:rFonts w:ascii="Arial" w:hAnsi="Arial" w:cs="Arial"/>
              </w:rPr>
            </w:pPr>
            <w:r w:rsidRPr="00A202BD">
              <w:rPr>
                <w:rFonts w:ascii="Arial" w:hAnsi="Arial" w:cs="Arial"/>
              </w:rPr>
              <w:t>1.125.000</w:t>
            </w:r>
          </w:p>
        </w:tc>
        <w:tc>
          <w:tcPr>
            <w:tcW w:w="1486" w:type="dxa"/>
          </w:tcPr>
          <w:p w:rsidR="00D849AA" w:rsidRPr="00A202BD" w:rsidRDefault="00EE6D95">
            <w:pPr>
              <w:rPr>
                <w:rFonts w:ascii="Arial" w:hAnsi="Arial" w:cs="Arial"/>
              </w:rPr>
            </w:pPr>
            <w:r w:rsidRPr="00A202BD">
              <w:rPr>
                <w:rFonts w:ascii="Arial" w:hAnsi="Arial" w:cs="Arial"/>
              </w:rPr>
              <w:t>59,4</w:t>
            </w:r>
          </w:p>
        </w:tc>
      </w:tr>
    </w:tbl>
    <w:p w:rsidR="00D849AA" w:rsidRPr="00A202BD" w:rsidRDefault="00D849AA">
      <w:pPr>
        <w:jc w:val="left"/>
        <w:rPr>
          <w:rFonts w:ascii="Arial" w:hAnsi="Arial" w:cs="Arial"/>
        </w:rPr>
      </w:pPr>
    </w:p>
    <w:p w:rsidR="00D849AA" w:rsidRDefault="00EE6D95">
      <w:pPr>
        <w:pStyle w:val="Normal6"/>
      </w:pPr>
      <w:r>
        <w:t xml:space="preserve">Aktivnosti vezane uz posebni cilj „Utvrđivanje, obilježavanje i trajno održavanje groblja žrtava Drugog svjetskog rata i poslijeratnog razdoblja", koje se planiraju u sljedećem trogodišnjem razdoblju su uspostava i razvoj sustava skrbi za  posmrtne  ostatke  žrtava Drugog svjetskog rata i poslijeratnog razdoblja. </w:t>
      </w:r>
    </w:p>
    <w:p w:rsidR="00D849AA" w:rsidRDefault="00EE6D95">
      <w:pPr>
        <w:pStyle w:val="Normal6"/>
      </w:pPr>
      <w:r>
        <w:t xml:space="preserve">U tom smislu, provesti će se analiza stanja u području istraživanja, uređenja i održavanja vojnih groblja, grobova žrtava Drugog svjetskog rata poslijeratnog razdoblja kao preduvjet radnjama usmjerenim na istraživanje i obilježavanje mjesta stradanja žrtava Drugog svjetskog  rata  i  poslijeratnog  razdoblja, dostojno trajno zbrinjavanje posmrtnih </w:t>
      </w:r>
      <w:r>
        <w:lastRenderedPageBreak/>
        <w:t xml:space="preserve">ostataka žrtava pronađenih prilikom infrastrukturnih, urbanističkih i dr. zemljanih radova i žrtava ekshumiranih zbog osobitog javnog ili pravnog interesa, te praćenje obveza prenijetih na jedinice lokalne i područne samouprave u dijelu trajnog održavanja vojnih groblja, uključujući i potrebna istraživanja te ustanovljavanje odgovarajućih evidencija. </w:t>
      </w:r>
    </w:p>
    <w:p w:rsidR="00D849AA" w:rsidRDefault="00EE6D95">
      <w:pPr>
        <w:pStyle w:val="Normal6"/>
      </w:pPr>
      <w:r>
        <w:t>Također, osigurati će se provedba i unaprjeđenje suradnje s državama s kojima je Vlada Republike Hrvatske zaključila ugovore o uređenju vojnih groblja kao i uspostava suradnje sa zemljama s kojima (još) nisu zaključeni ugovori, odnosno sporazumi.</w:t>
      </w:r>
    </w:p>
    <w:p w:rsidR="00575FBE" w:rsidRDefault="00575FBE">
      <w:pPr>
        <w:pStyle w:val="Normal6"/>
      </w:pP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A202BD" w:rsidRDefault="00EE6D95">
            <w:pPr>
              <w:rPr>
                <w:rFonts w:ascii="Arial" w:hAnsi="Arial" w:cs="Arial"/>
              </w:rPr>
            </w:pPr>
            <w:r w:rsidRPr="00A202BD">
              <w:rPr>
                <w:rFonts w:ascii="Arial" w:hAnsi="Arial" w:cs="Arial"/>
              </w:rPr>
              <w:t>Pokazatelj rezultata</w:t>
            </w:r>
          </w:p>
        </w:tc>
        <w:tc>
          <w:tcPr>
            <w:tcW w:w="1114" w:type="dxa"/>
            <w:shd w:val="clear" w:color="auto" w:fill="B5C0D8"/>
          </w:tcPr>
          <w:p w:rsidR="00D849AA" w:rsidRPr="00A202BD" w:rsidRDefault="00EE6D95">
            <w:pPr>
              <w:pStyle w:val="CellHeader"/>
            </w:pPr>
            <w:r w:rsidRPr="00A202BD">
              <w:t>Jedinica</w:t>
            </w:r>
          </w:p>
        </w:tc>
        <w:tc>
          <w:tcPr>
            <w:tcW w:w="1114" w:type="dxa"/>
            <w:shd w:val="clear" w:color="auto" w:fill="B5C0D8"/>
          </w:tcPr>
          <w:p w:rsidR="00D849AA" w:rsidRPr="00A202BD" w:rsidRDefault="00EE6D95">
            <w:pPr>
              <w:pStyle w:val="CellHeader"/>
            </w:pPr>
            <w:r w:rsidRPr="00A202BD">
              <w:t>Polazna vrijednost</w:t>
            </w:r>
          </w:p>
        </w:tc>
        <w:tc>
          <w:tcPr>
            <w:tcW w:w="1486" w:type="dxa"/>
            <w:shd w:val="clear" w:color="auto" w:fill="B5C0D8"/>
          </w:tcPr>
          <w:p w:rsidR="00D849AA" w:rsidRPr="00A202BD" w:rsidRDefault="00EE6D95">
            <w:pPr>
              <w:pStyle w:val="CellHeader"/>
            </w:pPr>
            <w:r w:rsidRPr="00A202BD">
              <w:t>Ciljana vrijednost (2014.)</w:t>
            </w:r>
          </w:p>
        </w:tc>
        <w:tc>
          <w:tcPr>
            <w:tcW w:w="1486" w:type="dxa"/>
            <w:shd w:val="clear" w:color="auto" w:fill="B5C0D8"/>
          </w:tcPr>
          <w:p w:rsidR="00D849AA" w:rsidRPr="00A202BD" w:rsidRDefault="00EE6D95">
            <w:pPr>
              <w:pStyle w:val="CellHeader"/>
            </w:pPr>
            <w:r w:rsidRPr="00A202BD">
              <w:t>Ciljana vrijednost (2015.)</w:t>
            </w:r>
          </w:p>
        </w:tc>
        <w:tc>
          <w:tcPr>
            <w:tcW w:w="1486" w:type="dxa"/>
            <w:shd w:val="clear" w:color="auto" w:fill="B5C0D8"/>
          </w:tcPr>
          <w:p w:rsidR="00D849AA" w:rsidRPr="00A202BD" w:rsidRDefault="00EE6D95">
            <w:pPr>
              <w:pStyle w:val="CellHeader"/>
            </w:pPr>
            <w:r w:rsidRPr="00A202BD">
              <w:t>Ciljana vrijednost (2016.)</w:t>
            </w:r>
          </w:p>
        </w:tc>
      </w:tr>
      <w:tr w:rsidR="00D849AA">
        <w:trPr>
          <w:jc w:val="center"/>
        </w:trPr>
        <w:tc>
          <w:tcPr>
            <w:tcW w:w="2229" w:type="dxa"/>
          </w:tcPr>
          <w:p w:rsidR="00D849AA" w:rsidRPr="00A202BD" w:rsidRDefault="00EE6D95">
            <w:pPr>
              <w:pStyle w:val="CellColumn"/>
            </w:pPr>
            <w:r w:rsidRPr="00A202BD">
              <w:t>Povećanje broja istraženih mjesta stradanja</w:t>
            </w:r>
          </w:p>
        </w:tc>
        <w:tc>
          <w:tcPr>
            <w:tcW w:w="1114" w:type="dxa"/>
          </w:tcPr>
          <w:p w:rsidR="00D849AA" w:rsidRPr="00A202BD" w:rsidRDefault="00EE6D95">
            <w:pPr>
              <w:rPr>
                <w:rFonts w:ascii="Arial" w:hAnsi="Arial" w:cs="Arial"/>
              </w:rPr>
            </w:pPr>
            <w:r w:rsidRPr="00A202BD">
              <w:rPr>
                <w:rFonts w:ascii="Arial" w:hAnsi="Arial" w:cs="Arial"/>
              </w:rPr>
              <w:t>Broj</w:t>
            </w:r>
          </w:p>
        </w:tc>
        <w:tc>
          <w:tcPr>
            <w:tcW w:w="1114" w:type="dxa"/>
          </w:tcPr>
          <w:p w:rsidR="00D849AA" w:rsidRPr="00A202BD" w:rsidRDefault="00EE6D95">
            <w:pPr>
              <w:rPr>
                <w:rFonts w:ascii="Arial" w:hAnsi="Arial" w:cs="Arial"/>
              </w:rPr>
            </w:pPr>
            <w:r w:rsidRPr="00A202BD">
              <w:rPr>
                <w:rFonts w:ascii="Arial" w:hAnsi="Arial" w:cs="Arial"/>
              </w:rPr>
              <w:t>25</w:t>
            </w:r>
          </w:p>
        </w:tc>
        <w:tc>
          <w:tcPr>
            <w:tcW w:w="1486" w:type="dxa"/>
          </w:tcPr>
          <w:p w:rsidR="00D849AA" w:rsidRPr="00A202BD" w:rsidRDefault="00EE6D95">
            <w:pPr>
              <w:rPr>
                <w:rFonts w:ascii="Arial" w:hAnsi="Arial" w:cs="Arial"/>
              </w:rPr>
            </w:pPr>
            <w:r w:rsidRPr="00A202BD">
              <w:rPr>
                <w:rFonts w:ascii="Arial" w:hAnsi="Arial" w:cs="Arial"/>
              </w:rPr>
              <w:t>45</w:t>
            </w:r>
          </w:p>
        </w:tc>
        <w:tc>
          <w:tcPr>
            <w:tcW w:w="1486" w:type="dxa"/>
          </w:tcPr>
          <w:p w:rsidR="00D849AA" w:rsidRPr="00A202BD" w:rsidRDefault="00EE6D95">
            <w:pPr>
              <w:rPr>
                <w:rFonts w:ascii="Arial" w:hAnsi="Arial" w:cs="Arial"/>
              </w:rPr>
            </w:pPr>
            <w:r w:rsidRPr="00A202BD">
              <w:rPr>
                <w:rFonts w:ascii="Arial" w:hAnsi="Arial" w:cs="Arial"/>
              </w:rPr>
              <w:t>65</w:t>
            </w:r>
          </w:p>
        </w:tc>
        <w:tc>
          <w:tcPr>
            <w:tcW w:w="1486" w:type="dxa"/>
          </w:tcPr>
          <w:p w:rsidR="00D849AA" w:rsidRPr="00A202BD" w:rsidRDefault="00EE6D95">
            <w:pPr>
              <w:rPr>
                <w:rFonts w:ascii="Arial" w:hAnsi="Arial" w:cs="Arial"/>
              </w:rPr>
            </w:pPr>
            <w:r w:rsidRPr="00A202BD">
              <w:rPr>
                <w:rFonts w:ascii="Arial" w:hAnsi="Arial" w:cs="Arial"/>
              </w:rPr>
              <w:t>85</w:t>
            </w:r>
          </w:p>
        </w:tc>
      </w:tr>
      <w:tr w:rsidR="00D849AA">
        <w:trPr>
          <w:jc w:val="center"/>
        </w:trPr>
        <w:tc>
          <w:tcPr>
            <w:tcW w:w="2229" w:type="dxa"/>
          </w:tcPr>
          <w:p w:rsidR="00D849AA" w:rsidRPr="00A202BD" w:rsidRDefault="00EE6D95">
            <w:pPr>
              <w:pStyle w:val="CellColumn"/>
            </w:pPr>
            <w:r w:rsidRPr="00A202BD">
              <w:t>Povećanje udjela ekshumiranih i dostojno zbrinutih posmrtnih ostataka žrtava Drugog svjetskog rata i poslijeratnog razdoblja</w:t>
            </w:r>
          </w:p>
        </w:tc>
        <w:tc>
          <w:tcPr>
            <w:tcW w:w="1114" w:type="dxa"/>
          </w:tcPr>
          <w:p w:rsidR="00D849AA" w:rsidRPr="00A202BD" w:rsidRDefault="00EE6D95">
            <w:pPr>
              <w:rPr>
                <w:rFonts w:ascii="Arial" w:hAnsi="Arial" w:cs="Arial"/>
              </w:rPr>
            </w:pPr>
            <w:r w:rsidRPr="00A202BD">
              <w:rPr>
                <w:rFonts w:ascii="Arial" w:hAnsi="Arial" w:cs="Arial"/>
              </w:rPr>
              <w:t>Postotak</w:t>
            </w:r>
          </w:p>
        </w:tc>
        <w:tc>
          <w:tcPr>
            <w:tcW w:w="1114" w:type="dxa"/>
          </w:tcPr>
          <w:p w:rsidR="00D849AA" w:rsidRPr="00A202BD" w:rsidRDefault="00EE6D95">
            <w:pPr>
              <w:rPr>
                <w:rFonts w:ascii="Arial" w:hAnsi="Arial" w:cs="Arial"/>
              </w:rPr>
            </w:pPr>
            <w:r w:rsidRPr="00A202BD">
              <w:rPr>
                <w:rFonts w:ascii="Arial" w:hAnsi="Arial" w:cs="Arial"/>
              </w:rPr>
              <w:t>0%</w:t>
            </w:r>
          </w:p>
        </w:tc>
        <w:tc>
          <w:tcPr>
            <w:tcW w:w="1486" w:type="dxa"/>
          </w:tcPr>
          <w:p w:rsidR="00D849AA" w:rsidRPr="00A202BD" w:rsidRDefault="00EE6D95">
            <w:pPr>
              <w:rPr>
                <w:rFonts w:ascii="Arial" w:hAnsi="Arial" w:cs="Arial"/>
              </w:rPr>
            </w:pPr>
            <w:r w:rsidRPr="00A202BD">
              <w:rPr>
                <w:rFonts w:ascii="Arial" w:hAnsi="Arial" w:cs="Arial"/>
              </w:rPr>
              <w:t>20%</w:t>
            </w:r>
          </w:p>
        </w:tc>
        <w:tc>
          <w:tcPr>
            <w:tcW w:w="1486" w:type="dxa"/>
          </w:tcPr>
          <w:p w:rsidR="00D849AA" w:rsidRPr="00A202BD" w:rsidRDefault="00EE6D95">
            <w:pPr>
              <w:rPr>
                <w:rFonts w:ascii="Arial" w:hAnsi="Arial" w:cs="Arial"/>
              </w:rPr>
            </w:pPr>
            <w:r w:rsidRPr="00A202BD">
              <w:rPr>
                <w:rFonts w:ascii="Arial" w:hAnsi="Arial" w:cs="Arial"/>
              </w:rPr>
              <w:t>40%</w:t>
            </w:r>
          </w:p>
        </w:tc>
        <w:tc>
          <w:tcPr>
            <w:tcW w:w="1486" w:type="dxa"/>
          </w:tcPr>
          <w:p w:rsidR="00D849AA" w:rsidRPr="00A202BD" w:rsidRDefault="00EE6D95">
            <w:pPr>
              <w:rPr>
                <w:rFonts w:ascii="Arial" w:hAnsi="Arial" w:cs="Arial"/>
              </w:rPr>
            </w:pPr>
            <w:r w:rsidRPr="00A202BD">
              <w:rPr>
                <w:rFonts w:ascii="Arial" w:hAnsi="Arial" w:cs="Arial"/>
              </w:rPr>
              <w:t>60%</w:t>
            </w:r>
          </w:p>
        </w:tc>
      </w:tr>
      <w:tr w:rsidR="00D849AA">
        <w:trPr>
          <w:jc w:val="center"/>
        </w:trPr>
        <w:tc>
          <w:tcPr>
            <w:tcW w:w="2229" w:type="dxa"/>
          </w:tcPr>
          <w:p w:rsidR="00D849AA" w:rsidRPr="00A202BD" w:rsidRDefault="00EE6D95">
            <w:pPr>
              <w:pStyle w:val="CellColumn"/>
            </w:pPr>
            <w:r w:rsidRPr="00A202BD">
              <w:t>Povećanje broja uređenih i obilježenih mjesta stradanja</w:t>
            </w:r>
          </w:p>
        </w:tc>
        <w:tc>
          <w:tcPr>
            <w:tcW w:w="1114" w:type="dxa"/>
          </w:tcPr>
          <w:p w:rsidR="00D849AA" w:rsidRPr="00A202BD" w:rsidRDefault="00EE6D95">
            <w:pPr>
              <w:rPr>
                <w:rFonts w:ascii="Arial" w:hAnsi="Arial" w:cs="Arial"/>
              </w:rPr>
            </w:pPr>
            <w:r w:rsidRPr="00A202BD">
              <w:rPr>
                <w:rFonts w:ascii="Arial" w:hAnsi="Arial" w:cs="Arial"/>
              </w:rPr>
              <w:t>Broj</w:t>
            </w:r>
          </w:p>
        </w:tc>
        <w:tc>
          <w:tcPr>
            <w:tcW w:w="1114" w:type="dxa"/>
          </w:tcPr>
          <w:p w:rsidR="00D849AA" w:rsidRPr="00A202BD" w:rsidRDefault="00EE6D95">
            <w:pPr>
              <w:rPr>
                <w:rFonts w:ascii="Arial" w:hAnsi="Arial" w:cs="Arial"/>
              </w:rPr>
            </w:pPr>
            <w:r w:rsidRPr="00A202BD">
              <w:rPr>
                <w:rFonts w:ascii="Arial" w:hAnsi="Arial" w:cs="Arial"/>
              </w:rPr>
              <w:t>0</w:t>
            </w:r>
          </w:p>
        </w:tc>
        <w:tc>
          <w:tcPr>
            <w:tcW w:w="1486" w:type="dxa"/>
          </w:tcPr>
          <w:p w:rsidR="00D849AA" w:rsidRPr="00A202BD" w:rsidRDefault="00EE6D95">
            <w:pPr>
              <w:rPr>
                <w:rFonts w:ascii="Arial" w:hAnsi="Arial" w:cs="Arial"/>
              </w:rPr>
            </w:pPr>
            <w:r w:rsidRPr="00A202BD">
              <w:rPr>
                <w:rFonts w:ascii="Arial" w:hAnsi="Arial" w:cs="Arial"/>
              </w:rPr>
              <w:t>5</w:t>
            </w:r>
          </w:p>
        </w:tc>
        <w:tc>
          <w:tcPr>
            <w:tcW w:w="1486" w:type="dxa"/>
          </w:tcPr>
          <w:p w:rsidR="00D849AA" w:rsidRPr="00A202BD" w:rsidRDefault="00EE6D95">
            <w:pPr>
              <w:rPr>
                <w:rFonts w:ascii="Arial" w:hAnsi="Arial" w:cs="Arial"/>
              </w:rPr>
            </w:pPr>
            <w:r w:rsidRPr="00A202BD">
              <w:rPr>
                <w:rFonts w:ascii="Arial" w:hAnsi="Arial" w:cs="Arial"/>
              </w:rPr>
              <w:t>10</w:t>
            </w:r>
          </w:p>
        </w:tc>
        <w:tc>
          <w:tcPr>
            <w:tcW w:w="1486" w:type="dxa"/>
          </w:tcPr>
          <w:p w:rsidR="00D849AA" w:rsidRPr="00A202BD" w:rsidRDefault="00EE6D95">
            <w:pPr>
              <w:rPr>
                <w:rFonts w:ascii="Arial" w:hAnsi="Arial" w:cs="Arial"/>
              </w:rPr>
            </w:pPr>
            <w:r w:rsidRPr="00A202BD">
              <w:rPr>
                <w:rFonts w:ascii="Arial" w:hAnsi="Arial" w:cs="Arial"/>
              </w:rPr>
              <w:t>15</w:t>
            </w:r>
          </w:p>
        </w:tc>
      </w:tr>
    </w:tbl>
    <w:p w:rsidR="00A202BD" w:rsidRDefault="00A202BD" w:rsidP="00A202BD">
      <w:pPr>
        <w:jc w:val="left"/>
      </w:pPr>
    </w:p>
    <w:p w:rsidR="00A202BD" w:rsidRDefault="00A202BD" w:rsidP="00A202BD">
      <w:pPr>
        <w:pStyle w:val="Naslov4"/>
      </w:pPr>
      <w:r>
        <w:t>OBRAZLOŽENJE PROGRAMA</w:t>
      </w:r>
    </w:p>
    <w:p w:rsidR="00D849AA" w:rsidRDefault="00EE6D95">
      <w:pPr>
        <w:pStyle w:val="Naslov5"/>
      </w:pPr>
      <w:r>
        <w:t>4013 SOCIJALNE POMOĆI I NAKNADE SUDIONICIMA I ŽRTVAMA RATA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A202BD" w:rsidRDefault="00D849AA">
            <w:pPr>
              <w:pStyle w:val="CellHeader"/>
            </w:pPr>
          </w:p>
        </w:tc>
        <w:tc>
          <w:tcPr>
            <w:tcW w:w="1486" w:type="dxa"/>
            <w:shd w:val="clear" w:color="auto" w:fill="B5C0D8"/>
          </w:tcPr>
          <w:p w:rsidR="00D849AA" w:rsidRPr="00A202BD" w:rsidRDefault="00EE6D95">
            <w:pPr>
              <w:pStyle w:val="CellHeader"/>
            </w:pPr>
            <w:r w:rsidRPr="00A202BD">
              <w:t>Plan 2013.</w:t>
            </w:r>
          </w:p>
        </w:tc>
        <w:tc>
          <w:tcPr>
            <w:tcW w:w="1486" w:type="dxa"/>
            <w:shd w:val="clear" w:color="auto" w:fill="B5C0D8"/>
          </w:tcPr>
          <w:p w:rsidR="00D849AA" w:rsidRPr="00A202BD" w:rsidRDefault="00EE6D95">
            <w:pPr>
              <w:pStyle w:val="CellHeader"/>
            </w:pPr>
            <w:r w:rsidRPr="00A202BD">
              <w:t>Plan 2014.</w:t>
            </w:r>
          </w:p>
        </w:tc>
        <w:tc>
          <w:tcPr>
            <w:tcW w:w="1486" w:type="dxa"/>
            <w:shd w:val="clear" w:color="auto" w:fill="B5C0D8"/>
          </w:tcPr>
          <w:p w:rsidR="00D849AA" w:rsidRPr="00A202BD" w:rsidRDefault="00EE6D95">
            <w:pPr>
              <w:pStyle w:val="CellHeader"/>
            </w:pPr>
            <w:r w:rsidRPr="00A202BD">
              <w:t>Plan 2015.</w:t>
            </w:r>
          </w:p>
        </w:tc>
        <w:tc>
          <w:tcPr>
            <w:tcW w:w="1486" w:type="dxa"/>
            <w:shd w:val="clear" w:color="auto" w:fill="B5C0D8"/>
          </w:tcPr>
          <w:p w:rsidR="00D849AA" w:rsidRPr="00A202BD" w:rsidRDefault="00EE6D95">
            <w:pPr>
              <w:pStyle w:val="CellHeader"/>
            </w:pPr>
            <w:r w:rsidRPr="00A202BD">
              <w:t>Plan 2016.</w:t>
            </w:r>
          </w:p>
        </w:tc>
        <w:tc>
          <w:tcPr>
            <w:tcW w:w="1486" w:type="dxa"/>
            <w:shd w:val="clear" w:color="auto" w:fill="B5C0D8"/>
          </w:tcPr>
          <w:p w:rsidR="00D849AA" w:rsidRPr="00A202BD" w:rsidRDefault="00EE6D95">
            <w:pPr>
              <w:pStyle w:val="CellHeader"/>
            </w:pPr>
            <w:r w:rsidRPr="00A202BD">
              <w:t>Indeks 2014/2013</w:t>
            </w:r>
          </w:p>
        </w:tc>
      </w:tr>
      <w:tr w:rsidR="00D849AA">
        <w:trPr>
          <w:jc w:val="center"/>
        </w:trPr>
        <w:tc>
          <w:tcPr>
            <w:tcW w:w="1486" w:type="dxa"/>
          </w:tcPr>
          <w:p w:rsidR="00D849AA" w:rsidRPr="00A202BD" w:rsidRDefault="00EE6D95">
            <w:pPr>
              <w:pStyle w:val="CellColumn"/>
            </w:pPr>
            <w:r w:rsidRPr="00A202BD">
              <w:t>4013</w:t>
            </w:r>
          </w:p>
        </w:tc>
        <w:tc>
          <w:tcPr>
            <w:tcW w:w="1486" w:type="dxa"/>
          </w:tcPr>
          <w:p w:rsidR="00D849AA" w:rsidRPr="00A202BD" w:rsidRDefault="00EE6D95">
            <w:pPr>
              <w:rPr>
                <w:rFonts w:ascii="Arial" w:hAnsi="Arial" w:cs="Arial"/>
              </w:rPr>
            </w:pPr>
            <w:r w:rsidRPr="00A202BD">
              <w:rPr>
                <w:rFonts w:ascii="Arial" w:hAnsi="Arial" w:cs="Arial"/>
              </w:rPr>
              <w:t>231.907.600</w:t>
            </w:r>
          </w:p>
        </w:tc>
        <w:tc>
          <w:tcPr>
            <w:tcW w:w="1486" w:type="dxa"/>
          </w:tcPr>
          <w:p w:rsidR="00D849AA" w:rsidRPr="00A202BD" w:rsidRDefault="00EE6D95">
            <w:pPr>
              <w:rPr>
                <w:rFonts w:ascii="Arial" w:hAnsi="Arial" w:cs="Arial"/>
              </w:rPr>
            </w:pPr>
            <w:r w:rsidRPr="00A202BD">
              <w:rPr>
                <w:rFonts w:ascii="Arial" w:hAnsi="Arial" w:cs="Arial"/>
              </w:rPr>
              <w:t>146.411.200</w:t>
            </w:r>
          </w:p>
        </w:tc>
        <w:tc>
          <w:tcPr>
            <w:tcW w:w="1486" w:type="dxa"/>
          </w:tcPr>
          <w:p w:rsidR="00D849AA" w:rsidRPr="00A202BD" w:rsidRDefault="00EE6D95">
            <w:pPr>
              <w:rPr>
                <w:rFonts w:ascii="Arial" w:hAnsi="Arial" w:cs="Arial"/>
              </w:rPr>
            </w:pPr>
            <w:r w:rsidRPr="00A202BD">
              <w:rPr>
                <w:rFonts w:ascii="Arial" w:hAnsi="Arial" w:cs="Arial"/>
              </w:rPr>
              <w:t>146.071.200</w:t>
            </w:r>
          </w:p>
        </w:tc>
        <w:tc>
          <w:tcPr>
            <w:tcW w:w="1486" w:type="dxa"/>
          </w:tcPr>
          <w:p w:rsidR="00D849AA" w:rsidRPr="00A202BD" w:rsidRDefault="00EE6D95">
            <w:pPr>
              <w:rPr>
                <w:rFonts w:ascii="Arial" w:hAnsi="Arial" w:cs="Arial"/>
              </w:rPr>
            </w:pPr>
            <w:r w:rsidRPr="00A202BD">
              <w:rPr>
                <w:rFonts w:ascii="Arial" w:hAnsi="Arial" w:cs="Arial"/>
              </w:rPr>
              <w:t>146.221.200</w:t>
            </w:r>
          </w:p>
        </w:tc>
        <w:tc>
          <w:tcPr>
            <w:tcW w:w="1486" w:type="dxa"/>
          </w:tcPr>
          <w:p w:rsidR="00D849AA" w:rsidRPr="00A202BD" w:rsidRDefault="00EE6D95">
            <w:pPr>
              <w:rPr>
                <w:rFonts w:ascii="Arial" w:hAnsi="Arial" w:cs="Arial"/>
              </w:rPr>
            </w:pPr>
            <w:r w:rsidRPr="00A202BD">
              <w:rPr>
                <w:rFonts w:ascii="Arial" w:hAnsi="Arial" w:cs="Arial"/>
              </w:rPr>
              <w:t>63,1</w:t>
            </w:r>
          </w:p>
        </w:tc>
      </w:tr>
    </w:tbl>
    <w:p w:rsidR="00D849AA" w:rsidRDefault="00D849AA">
      <w:pPr>
        <w:jc w:val="left"/>
      </w:pPr>
    </w:p>
    <w:p w:rsidR="00D849AA" w:rsidRDefault="00EE6D95">
      <w:pPr>
        <w:pStyle w:val="Naslov6"/>
      </w:pPr>
      <w:r>
        <w:t>Opis programa</w:t>
      </w:r>
    </w:p>
    <w:p w:rsidR="00D849AA" w:rsidRDefault="00EE6D95">
      <w:pPr>
        <w:pStyle w:val="Normal5"/>
      </w:pPr>
      <w:r>
        <w:t xml:space="preserve">Republika Hrvatska posebnu zaštitu osigurava ratnim vojnim invalidima Drugog svjetskog rata, mirnodopskim invalidima, civilnim invalidima Domovinskog rata i Drugog svjetskog rata, sudionicima Drugog svjetskog rata te članovima njihovih obitelji i osobama stradalim u vojnim i redarstvenim dužnostima u stranoj zemlji u okviru mirovnih snaga i mirovnih misija. To su prava po osnovi oštećenja organizma, po osnovi gubitka člana obitelji i prava po osnovi materijalnih i drugih potreba korisnika. Sustavna politika na području zaštite ranjivih </w:t>
      </w:r>
      <w:r>
        <w:lastRenderedPageBreak/>
        <w:t>društvenih skupina, kao što su osobe s invaliditetom i na području brige za stradalnike rata usmjerena je daljnjem napretku i snaženju zaštite njihovih prava.</w:t>
      </w:r>
    </w:p>
    <w:p w:rsidR="00D849AA" w:rsidRDefault="00EE6D95">
      <w:pPr>
        <w:pStyle w:val="Naslov6"/>
      </w:pPr>
      <w:r>
        <w:t>Zakonske i druge pravne osnove</w:t>
      </w:r>
    </w:p>
    <w:p w:rsidR="00D849AA" w:rsidRDefault="00EE6D95">
      <w:pPr>
        <w:pStyle w:val="Normal5"/>
      </w:pPr>
      <w:r>
        <w:t>Zakon o zaštiti vojnih i civilnih invalida rata, Narodne novine, broj 33/92, 77/92, 58/93, 2/94, 76/94, 108/95, 82/01, 103/03.</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Cilj 1. Skrb za ratne vojne i civilne invalide Drugog svjetskog rata i poraća, civilne žrtve Domovinskog rata te stradalnike rata</w:t>
      </w:r>
    </w:p>
    <w:p w:rsidR="00D849AA" w:rsidRDefault="00EE6D95">
      <w:pPr>
        <w:pStyle w:val="Normal6"/>
      </w:pPr>
      <w:r>
        <w:t>Kako bi se osigurala potrebna zaštita ratnih vojnih invalida Drugog svjetskog rata mirnodopskim invalidima, civilnim invalidima Domovinskog rata i Drugog svjetskog rata, sudionicima Drugog svjetskog rata te članovima njihovih obitelji i osobama stradalim u vojnim i redarstvenim dužnostima u stranoj zemlji u okviru mirovnih snaga i mirovnih misija, Ministarstvo branitelja provodi odredbe Zakona o zaštiti vojnih i civilnih invalida rata isplaćujući novčane naknade korisnicima. S obzirom da se radi o posebnoj skrbi države i činjenici da je navedena kategorija osoba stradala uslijed ratnih okolnosti, njihova prava trebaju biti primjerena i adekvatna potrebama korisnika. Izmjenom Zakona i podzakonskih propisa redefinirat će se broj i opseg prava, a dodatnim edukacijama službenika koji vode postupke priznavanja prava ubrzati njihovo rješavanje i pravilno postupanje u upravnom postupku.</w:t>
      </w:r>
    </w:p>
    <w:p w:rsidR="00221AEF" w:rsidRDefault="00221AEF">
      <w:pPr>
        <w:pStyle w:val="Normal6"/>
      </w:pP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rsidRPr="00A202BD">
        <w:trPr>
          <w:jc w:val="center"/>
        </w:trPr>
        <w:tc>
          <w:tcPr>
            <w:tcW w:w="2229" w:type="dxa"/>
            <w:shd w:val="clear" w:color="auto" w:fill="B5C0D8"/>
          </w:tcPr>
          <w:p w:rsidR="00D849AA" w:rsidRPr="00A202BD" w:rsidRDefault="00EE6D95">
            <w:pPr>
              <w:rPr>
                <w:rFonts w:ascii="Arial" w:hAnsi="Arial" w:cs="Arial"/>
              </w:rPr>
            </w:pPr>
            <w:r w:rsidRPr="00A202BD">
              <w:rPr>
                <w:rFonts w:ascii="Arial" w:hAnsi="Arial" w:cs="Arial"/>
              </w:rPr>
              <w:t>Pokazatelj učinka</w:t>
            </w:r>
          </w:p>
        </w:tc>
        <w:tc>
          <w:tcPr>
            <w:tcW w:w="1114" w:type="dxa"/>
            <w:shd w:val="clear" w:color="auto" w:fill="B5C0D8"/>
          </w:tcPr>
          <w:p w:rsidR="00D849AA" w:rsidRPr="00A202BD" w:rsidRDefault="00EE6D95">
            <w:pPr>
              <w:pStyle w:val="CellHeader"/>
            </w:pPr>
            <w:r w:rsidRPr="00A202BD">
              <w:t>Jedinica</w:t>
            </w:r>
          </w:p>
        </w:tc>
        <w:tc>
          <w:tcPr>
            <w:tcW w:w="1114" w:type="dxa"/>
            <w:shd w:val="clear" w:color="auto" w:fill="B5C0D8"/>
          </w:tcPr>
          <w:p w:rsidR="00D849AA" w:rsidRPr="00A202BD" w:rsidRDefault="00EE6D95">
            <w:pPr>
              <w:pStyle w:val="CellHeader"/>
            </w:pPr>
            <w:r w:rsidRPr="00A202BD">
              <w:t>Polazna vrijednost</w:t>
            </w:r>
          </w:p>
        </w:tc>
        <w:tc>
          <w:tcPr>
            <w:tcW w:w="1486" w:type="dxa"/>
            <w:shd w:val="clear" w:color="auto" w:fill="B5C0D8"/>
          </w:tcPr>
          <w:p w:rsidR="00D849AA" w:rsidRPr="00A202BD" w:rsidRDefault="00EE6D95">
            <w:pPr>
              <w:pStyle w:val="CellHeader"/>
            </w:pPr>
            <w:r w:rsidRPr="00A202BD">
              <w:t>Ciljana vrijednost (2014.)</w:t>
            </w:r>
          </w:p>
        </w:tc>
        <w:tc>
          <w:tcPr>
            <w:tcW w:w="1486" w:type="dxa"/>
            <w:shd w:val="clear" w:color="auto" w:fill="B5C0D8"/>
          </w:tcPr>
          <w:p w:rsidR="00D849AA" w:rsidRPr="00A202BD" w:rsidRDefault="00EE6D95">
            <w:pPr>
              <w:pStyle w:val="CellHeader"/>
            </w:pPr>
            <w:r w:rsidRPr="00A202BD">
              <w:t>Ciljana vrijednost (2015.)</w:t>
            </w:r>
          </w:p>
        </w:tc>
        <w:tc>
          <w:tcPr>
            <w:tcW w:w="1486" w:type="dxa"/>
            <w:shd w:val="clear" w:color="auto" w:fill="B5C0D8"/>
          </w:tcPr>
          <w:p w:rsidR="00D849AA" w:rsidRPr="00A202BD" w:rsidRDefault="00EE6D95">
            <w:pPr>
              <w:pStyle w:val="CellHeader"/>
            </w:pPr>
            <w:r w:rsidRPr="00A202BD">
              <w:t>Ciljana vrijednost (2016.)</w:t>
            </w:r>
          </w:p>
        </w:tc>
      </w:tr>
      <w:tr w:rsidR="00D849AA" w:rsidRPr="00A202BD">
        <w:trPr>
          <w:jc w:val="center"/>
        </w:trPr>
        <w:tc>
          <w:tcPr>
            <w:tcW w:w="2229" w:type="dxa"/>
          </w:tcPr>
          <w:p w:rsidR="00D849AA" w:rsidRPr="00A202BD" w:rsidRDefault="00EE6D95">
            <w:pPr>
              <w:pStyle w:val="CellColumn"/>
            </w:pPr>
            <w:r w:rsidRPr="00A202BD">
              <w:t>Udio riješenih zahtjeva za pružanje skrbi  ratnim vojnim i civilnim invalidima Drugog svjetskog rata i poraća te civilnim invalidima Domovinskog rata u odnosu na broj zahtjeva</w:t>
            </w:r>
          </w:p>
        </w:tc>
        <w:tc>
          <w:tcPr>
            <w:tcW w:w="1114" w:type="dxa"/>
          </w:tcPr>
          <w:p w:rsidR="00D849AA" w:rsidRPr="00A202BD" w:rsidRDefault="00EE6D95">
            <w:pPr>
              <w:rPr>
                <w:rFonts w:ascii="Arial" w:hAnsi="Arial" w:cs="Arial"/>
              </w:rPr>
            </w:pPr>
            <w:r w:rsidRPr="00A202BD">
              <w:rPr>
                <w:rFonts w:ascii="Arial" w:hAnsi="Arial" w:cs="Arial"/>
              </w:rPr>
              <w:t>%</w:t>
            </w:r>
          </w:p>
        </w:tc>
        <w:tc>
          <w:tcPr>
            <w:tcW w:w="1114" w:type="dxa"/>
          </w:tcPr>
          <w:p w:rsidR="00D849AA" w:rsidRPr="00A202BD" w:rsidRDefault="00EE6D95">
            <w:pPr>
              <w:rPr>
                <w:rFonts w:ascii="Arial" w:hAnsi="Arial" w:cs="Arial"/>
              </w:rPr>
            </w:pPr>
            <w:r w:rsidRPr="00A202BD">
              <w:rPr>
                <w:rFonts w:ascii="Arial" w:hAnsi="Arial" w:cs="Arial"/>
              </w:rPr>
              <w:t>95</w:t>
            </w:r>
          </w:p>
        </w:tc>
        <w:tc>
          <w:tcPr>
            <w:tcW w:w="1486" w:type="dxa"/>
          </w:tcPr>
          <w:p w:rsidR="00D849AA" w:rsidRPr="00A202BD" w:rsidRDefault="00EE6D95">
            <w:pPr>
              <w:rPr>
                <w:rFonts w:ascii="Arial" w:hAnsi="Arial" w:cs="Arial"/>
              </w:rPr>
            </w:pPr>
            <w:r w:rsidRPr="00A202BD">
              <w:rPr>
                <w:rFonts w:ascii="Arial" w:hAnsi="Arial" w:cs="Arial"/>
              </w:rPr>
              <w:t>96</w:t>
            </w:r>
          </w:p>
        </w:tc>
        <w:tc>
          <w:tcPr>
            <w:tcW w:w="1486" w:type="dxa"/>
          </w:tcPr>
          <w:p w:rsidR="00D849AA" w:rsidRPr="00A202BD" w:rsidRDefault="00EE6D95">
            <w:pPr>
              <w:rPr>
                <w:rFonts w:ascii="Arial" w:hAnsi="Arial" w:cs="Arial"/>
              </w:rPr>
            </w:pPr>
            <w:r w:rsidRPr="00A202BD">
              <w:rPr>
                <w:rFonts w:ascii="Arial" w:hAnsi="Arial" w:cs="Arial"/>
              </w:rPr>
              <w:t>97</w:t>
            </w:r>
          </w:p>
        </w:tc>
        <w:tc>
          <w:tcPr>
            <w:tcW w:w="1486" w:type="dxa"/>
          </w:tcPr>
          <w:p w:rsidR="00D849AA" w:rsidRPr="00A202BD" w:rsidRDefault="00EE6D95">
            <w:pPr>
              <w:rPr>
                <w:rFonts w:ascii="Arial" w:hAnsi="Arial" w:cs="Arial"/>
              </w:rPr>
            </w:pPr>
            <w:r w:rsidRPr="00A202BD">
              <w:rPr>
                <w:rFonts w:ascii="Arial" w:hAnsi="Arial" w:cs="Arial"/>
              </w:rPr>
              <w:t>98</w:t>
            </w:r>
          </w:p>
        </w:tc>
      </w:tr>
    </w:tbl>
    <w:p w:rsidR="00D849AA" w:rsidRDefault="00D849AA">
      <w:pPr>
        <w:jc w:val="left"/>
      </w:pPr>
    </w:p>
    <w:p w:rsidR="00D849AA" w:rsidRDefault="00EE6D95">
      <w:pPr>
        <w:pStyle w:val="Naslov5"/>
      </w:pPr>
      <w:r>
        <w:t>Procjena i ishodište potrebnih sredstava za značajnije aktivnosti/projekte</w:t>
      </w:r>
    </w:p>
    <w:p w:rsidR="00D849AA" w:rsidRDefault="00EE6D95">
      <w:pPr>
        <w:pStyle w:val="Naslov6"/>
      </w:pPr>
      <w:r>
        <w:t>A583009 SUDIONICI I ŽRTVE II. SVJETSKOG RATA I PORAĆA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A202BD" w:rsidRDefault="00EE6D95">
            <w:pPr>
              <w:pStyle w:val="CellHeader"/>
            </w:pPr>
            <w:r w:rsidRPr="00A202BD">
              <w:t>Naziv aktivnosti</w:t>
            </w:r>
          </w:p>
        </w:tc>
        <w:tc>
          <w:tcPr>
            <w:tcW w:w="1486" w:type="dxa"/>
            <w:shd w:val="clear" w:color="auto" w:fill="B5C0D8"/>
          </w:tcPr>
          <w:p w:rsidR="00D849AA" w:rsidRPr="00A202BD" w:rsidRDefault="00EE6D95">
            <w:pPr>
              <w:pStyle w:val="CellHeader"/>
            </w:pPr>
            <w:r w:rsidRPr="00A202BD">
              <w:t>Plan 2013.</w:t>
            </w:r>
          </w:p>
        </w:tc>
        <w:tc>
          <w:tcPr>
            <w:tcW w:w="1486" w:type="dxa"/>
            <w:shd w:val="clear" w:color="auto" w:fill="B5C0D8"/>
          </w:tcPr>
          <w:p w:rsidR="00D849AA" w:rsidRPr="00A202BD" w:rsidRDefault="00EE6D95">
            <w:pPr>
              <w:pStyle w:val="CellHeader"/>
            </w:pPr>
            <w:r w:rsidRPr="00A202BD">
              <w:t>Plan 2014.</w:t>
            </w:r>
          </w:p>
        </w:tc>
        <w:tc>
          <w:tcPr>
            <w:tcW w:w="1486" w:type="dxa"/>
            <w:shd w:val="clear" w:color="auto" w:fill="B5C0D8"/>
          </w:tcPr>
          <w:p w:rsidR="00D849AA" w:rsidRPr="00A202BD" w:rsidRDefault="00EE6D95">
            <w:pPr>
              <w:pStyle w:val="CellHeader"/>
            </w:pPr>
            <w:r w:rsidRPr="00A202BD">
              <w:t>Plan 2015.</w:t>
            </w:r>
          </w:p>
        </w:tc>
        <w:tc>
          <w:tcPr>
            <w:tcW w:w="1486" w:type="dxa"/>
            <w:shd w:val="clear" w:color="auto" w:fill="B5C0D8"/>
          </w:tcPr>
          <w:p w:rsidR="00D849AA" w:rsidRPr="00A202BD" w:rsidRDefault="00EE6D95">
            <w:pPr>
              <w:pStyle w:val="CellHeader"/>
            </w:pPr>
            <w:r w:rsidRPr="00A202BD">
              <w:t>Plan 2016.</w:t>
            </w:r>
          </w:p>
        </w:tc>
        <w:tc>
          <w:tcPr>
            <w:tcW w:w="1486" w:type="dxa"/>
            <w:shd w:val="clear" w:color="auto" w:fill="B5C0D8"/>
          </w:tcPr>
          <w:p w:rsidR="00D849AA" w:rsidRPr="00A202BD" w:rsidRDefault="00EE6D95">
            <w:pPr>
              <w:pStyle w:val="CellHeader"/>
            </w:pPr>
            <w:r w:rsidRPr="00A202BD">
              <w:t>Indeks 2014/2013</w:t>
            </w:r>
          </w:p>
        </w:tc>
      </w:tr>
      <w:tr w:rsidR="00D849AA">
        <w:trPr>
          <w:jc w:val="center"/>
        </w:trPr>
        <w:tc>
          <w:tcPr>
            <w:tcW w:w="1486" w:type="dxa"/>
          </w:tcPr>
          <w:p w:rsidR="00D849AA" w:rsidRPr="00A202BD" w:rsidRDefault="00EE6D95">
            <w:pPr>
              <w:pStyle w:val="CellColumn"/>
            </w:pPr>
            <w:r w:rsidRPr="00A202BD">
              <w:t>A583009</w:t>
            </w:r>
          </w:p>
        </w:tc>
        <w:tc>
          <w:tcPr>
            <w:tcW w:w="1486" w:type="dxa"/>
          </w:tcPr>
          <w:p w:rsidR="00D849AA" w:rsidRPr="00A202BD" w:rsidRDefault="00EE6D95">
            <w:pPr>
              <w:rPr>
                <w:rFonts w:ascii="Arial" w:hAnsi="Arial" w:cs="Arial"/>
              </w:rPr>
            </w:pPr>
            <w:r w:rsidRPr="00A202BD">
              <w:rPr>
                <w:rFonts w:ascii="Arial" w:hAnsi="Arial" w:cs="Arial"/>
              </w:rPr>
              <w:t>194.462.600</w:t>
            </w:r>
          </w:p>
        </w:tc>
        <w:tc>
          <w:tcPr>
            <w:tcW w:w="1486" w:type="dxa"/>
          </w:tcPr>
          <w:p w:rsidR="00D849AA" w:rsidRPr="00A202BD" w:rsidRDefault="00EE6D95">
            <w:pPr>
              <w:rPr>
                <w:rFonts w:ascii="Arial" w:hAnsi="Arial" w:cs="Arial"/>
              </w:rPr>
            </w:pPr>
            <w:r w:rsidRPr="00A202BD">
              <w:rPr>
                <w:rFonts w:ascii="Arial" w:hAnsi="Arial" w:cs="Arial"/>
              </w:rPr>
              <w:t>117.680.000</w:t>
            </w:r>
          </w:p>
        </w:tc>
        <w:tc>
          <w:tcPr>
            <w:tcW w:w="1486" w:type="dxa"/>
          </w:tcPr>
          <w:p w:rsidR="00D849AA" w:rsidRPr="00A202BD" w:rsidRDefault="00EE6D95">
            <w:pPr>
              <w:rPr>
                <w:rFonts w:ascii="Arial" w:hAnsi="Arial" w:cs="Arial"/>
              </w:rPr>
            </w:pPr>
            <w:r w:rsidRPr="00A202BD">
              <w:rPr>
                <w:rFonts w:ascii="Arial" w:hAnsi="Arial" w:cs="Arial"/>
              </w:rPr>
              <w:t>117.520.000</w:t>
            </w:r>
          </w:p>
        </w:tc>
        <w:tc>
          <w:tcPr>
            <w:tcW w:w="1486" w:type="dxa"/>
          </w:tcPr>
          <w:p w:rsidR="00D849AA" w:rsidRPr="00A202BD" w:rsidRDefault="00EE6D95">
            <w:pPr>
              <w:rPr>
                <w:rFonts w:ascii="Arial" w:hAnsi="Arial" w:cs="Arial"/>
              </w:rPr>
            </w:pPr>
            <w:r w:rsidRPr="00A202BD">
              <w:rPr>
                <w:rFonts w:ascii="Arial" w:hAnsi="Arial" w:cs="Arial"/>
              </w:rPr>
              <w:t>117.520.000</w:t>
            </w:r>
          </w:p>
        </w:tc>
        <w:tc>
          <w:tcPr>
            <w:tcW w:w="1486" w:type="dxa"/>
          </w:tcPr>
          <w:p w:rsidR="00D849AA" w:rsidRPr="00A202BD" w:rsidRDefault="00EE6D95">
            <w:pPr>
              <w:rPr>
                <w:rFonts w:ascii="Arial" w:hAnsi="Arial" w:cs="Arial"/>
              </w:rPr>
            </w:pPr>
            <w:r w:rsidRPr="00A202BD">
              <w:rPr>
                <w:rFonts w:ascii="Arial" w:hAnsi="Arial" w:cs="Arial"/>
              </w:rPr>
              <w:t>60,5</w:t>
            </w:r>
          </w:p>
        </w:tc>
      </w:tr>
    </w:tbl>
    <w:p w:rsidR="00D849AA" w:rsidRDefault="00D849AA">
      <w:pPr>
        <w:jc w:val="left"/>
      </w:pPr>
    </w:p>
    <w:p w:rsidR="00D849AA" w:rsidRDefault="00EE6D95">
      <w:pPr>
        <w:pStyle w:val="Normal6"/>
      </w:pPr>
      <w:r>
        <w:lastRenderedPageBreak/>
        <w:t>Sredstva s osnova ove aktivnosti osiguravaju isplatu pripadajućih novčanih primanja ratnim vojnim i civilnim invalidima Drugog svjetskog rata, mirnodopskim vojnim invalidima, sudionicima rata i članovima njihovih obitelji. Navedena novčana primanja ostvaruju se kroz slijedeća prava: osobnu invalidninu, dodatak za njegu i pomoć druge osobe, ortopedski dodatak, obiteljsku invalidninu i dodatak za pripomoć u kući. U 2014. godini ova prava će koristiti do 8 500 pojedinačnih korisnika odnosno biti će ostvareno oko 12 500 korisničkih prava. U 2013. godini, ova prava je koristilo 11.117 korisnika. Zbog visoke životne dobi na ovoj poziciji očekujemo manji broj korisnika (do 1200 pojedinačnih korisnika odnosno do 1800 korisničkih prava).</w:t>
      </w:r>
    </w:p>
    <w:p w:rsidR="00575FBE" w:rsidRDefault="00575FBE">
      <w:pPr>
        <w:pStyle w:val="Normal6"/>
      </w:pP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rsidRPr="00A202BD">
        <w:trPr>
          <w:jc w:val="center"/>
        </w:trPr>
        <w:tc>
          <w:tcPr>
            <w:tcW w:w="2229" w:type="dxa"/>
            <w:shd w:val="clear" w:color="auto" w:fill="B5C0D8"/>
          </w:tcPr>
          <w:p w:rsidR="00D849AA" w:rsidRPr="00A202BD" w:rsidRDefault="00EE6D95">
            <w:pPr>
              <w:rPr>
                <w:rFonts w:ascii="Arial" w:hAnsi="Arial" w:cs="Arial"/>
              </w:rPr>
            </w:pPr>
            <w:r w:rsidRPr="00A202BD">
              <w:rPr>
                <w:rFonts w:ascii="Arial" w:hAnsi="Arial" w:cs="Arial"/>
              </w:rPr>
              <w:t>Pokazatelj rezultata</w:t>
            </w:r>
          </w:p>
        </w:tc>
        <w:tc>
          <w:tcPr>
            <w:tcW w:w="1114" w:type="dxa"/>
            <w:shd w:val="clear" w:color="auto" w:fill="B5C0D8"/>
          </w:tcPr>
          <w:p w:rsidR="00D849AA" w:rsidRPr="00A202BD" w:rsidRDefault="00EE6D95">
            <w:pPr>
              <w:pStyle w:val="CellHeader"/>
            </w:pPr>
            <w:r w:rsidRPr="00A202BD">
              <w:t>Jedinica</w:t>
            </w:r>
          </w:p>
        </w:tc>
        <w:tc>
          <w:tcPr>
            <w:tcW w:w="1114" w:type="dxa"/>
            <w:shd w:val="clear" w:color="auto" w:fill="B5C0D8"/>
          </w:tcPr>
          <w:p w:rsidR="00D849AA" w:rsidRPr="00A202BD" w:rsidRDefault="00EE6D95">
            <w:pPr>
              <w:pStyle w:val="CellHeader"/>
            </w:pPr>
            <w:r w:rsidRPr="00A202BD">
              <w:t>Polazna vrijednost</w:t>
            </w:r>
          </w:p>
        </w:tc>
        <w:tc>
          <w:tcPr>
            <w:tcW w:w="1486" w:type="dxa"/>
            <w:shd w:val="clear" w:color="auto" w:fill="B5C0D8"/>
          </w:tcPr>
          <w:p w:rsidR="00D849AA" w:rsidRPr="00A202BD" w:rsidRDefault="00EE6D95">
            <w:pPr>
              <w:pStyle w:val="CellHeader"/>
            </w:pPr>
            <w:r w:rsidRPr="00A202BD">
              <w:t>Ciljana vrijednost (2014.)</w:t>
            </w:r>
          </w:p>
        </w:tc>
        <w:tc>
          <w:tcPr>
            <w:tcW w:w="1486" w:type="dxa"/>
            <w:shd w:val="clear" w:color="auto" w:fill="B5C0D8"/>
          </w:tcPr>
          <w:p w:rsidR="00D849AA" w:rsidRPr="00A202BD" w:rsidRDefault="00EE6D95">
            <w:pPr>
              <w:pStyle w:val="CellHeader"/>
            </w:pPr>
            <w:r w:rsidRPr="00A202BD">
              <w:t>Ciljana vrijednost (2015.)</w:t>
            </w:r>
          </w:p>
        </w:tc>
        <w:tc>
          <w:tcPr>
            <w:tcW w:w="1486" w:type="dxa"/>
            <w:shd w:val="clear" w:color="auto" w:fill="B5C0D8"/>
          </w:tcPr>
          <w:p w:rsidR="00D849AA" w:rsidRPr="00A202BD" w:rsidRDefault="00EE6D95">
            <w:pPr>
              <w:pStyle w:val="CellHeader"/>
            </w:pPr>
            <w:r w:rsidRPr="00A202BD">
              <w:t>Ciljana vrijednost (2016.)</w:t>
            </w:r>
          </w:p>
        </w:tc>
      </w:tr>
      <w:tr w:rsidR="00D849AA" w:rsidRPr="00A202BD">
        <w:trPr>
          <w:jc w:val="center"/>
        </w:trPr>
        <w:tc>
          <w:tcPr>
            <w:tcW w:w="2229" w:type="dxa"/>
          </w:tcPr>
          <w:p w:rsidR="00D849AA" w:rsidRPr="00A202BD" w:rsidRDefault="00EE6D95">
            <w:pPr>
              <w:pStyle w:val="CellColumn"/>
            </w:pPr>
            <w:r w:rsidRPr="00A202BD">
              <w:t>Broj poništenih odnosno izmijenjenih prvostupanjskih rješenja</w:t>
            </w:r>
          </w:p>
        </w:tc>
        <w:tc>
          <w:tcPr>
            <w:tcW w:w="1114" w:type="dxa"/>
          </w:tcPr>
          <w:p w:rsidR="00D849AA" w:rsidRPr="00A202BD" w:rsidRDefault="00EE6D95">
            <w:pPr>
              <w:rPr>
                <w:rFonts w:ascii="Arial" w:hAnsi="Arial" w:cs="Arial"/>
              </w:rPr>
            </w:pPr>
            <w:r w:rsidRPr="00A202BD">
              <w:rPr>
                <w:rFonts w:ascii="Arial" w:hAnsi="Arial" w:cs="Arial"/>
              </w:rPr>
              <w:t>Broj</w:t>
            </w:r>
          </w:p>
        </w:tc>
        <w:tc>
          <w:tcPr>
            <w:tcW w:w="1114" w:type="dxa"/>
          </w:tcPr>
          <w:p w:rsidR="00D849AA" w:rsidRPr="00A202BD" w:rsidRDefault="00EE6D95">
            <w:pPr>
              <w:rPr>
                <w:rFonts w:ascii="Arial" w:hAnsi="Arial" w:cs="Arial"/>
              </w:rPr>
            </w:pPr>
            <w:r w:rsidRPr="00A202BD">
              <w:rPr>
                <w:rFonts w:ascii="Arial" w:hAnsi="Arial" w:cs="Arial"/>
              </w:rPr>
              <w:t>50</w:t>
            </w:r>
          </w:p>
        </w:tc>
        <w:tc>
          <w:tcPr>
            <w:tcW w:w="1486" w:type="dxa"/>
          </w:tcPr>
          <w:p w:rsidR="00D849AA" w:rsidRPr="00A202BD" w:rsidRDefault="00EE6D95">
            <w:pPr>
              <w:rPr>
                <w:rFonts w:ascii="Arial" w:hAnsi="Arial" w:cs="Arial"/>
              </w:rPr>
            </w:pPr>
            <w:r w:rsidRPr="00A202BD">
              <w:rPr>
                <w:rFonts w:ascii="Arial" w:hAnsi="Arial" w:cs="Arial"/>
              </w:rPr>
              <w:t>35</w:t>
            </w:r>
          </w:p>
        </w:tc>
        <w:tc>
          <w:tcPr>
            <w:tcW w:w="1486" w:type="dxa"/>
          </w:tcPr>
          <w:p w:rsidR="00D849AA" w:rsidRPr="00A202BD" w:rsidRDefault="00EE6D95">
            <w:pPr>
              <w:rPr>
                <w:rFonts w:ascii="Arial" w:hAnsi="Arial" w:cs="Arial"/>
              </w:rPr>
            </w:pPr>
            <w:r w:rsidRPr="00A202BD">
              <w:rPr>
                <w:rFonts w:ascii="Arial" w:hAnsi="Arial" w:cs="Arial"/>
              </w:rPr>
              <w:t>20</w:t>
            </w:r>
          </w:p>
        </w:tc>
        <w:tc>
          <w:tcPr>
            <w:tcW w:w="1486" w:type="dxa"/>
          </w:tcPr>
          <w:p w:rsidR="00D849AA" w:rsidRPr="00A202BD" w:rsidRDefault="00EE6D95">
            <w:pPr>
              <w:rPr>
                <w:rFonts w:ascii="Arial" w:hAnsi="Arial" w:cs="Arial"/>
              </w:rPr>
            </w:pPr>
            <w:r w:rsidRPr="00A202BD">
              <w:rPr>
                <w:rFonts w:ascii="Arial" w:hAnsi="Arial" w:cs="Arial"/>
              </w:rPr>
              <w:t>10</w:t>
            </w:r>
          </w:p>
        </w:tc>
      </w:tr>
      <w:tr w:rsidR="00D849AA" w:rsidRPr="00A202BD">
        <w:trPr>
          <w:jc w:val="center"/>
        </w:trPr>
        <w:tc>
          <w:tcPr>
            <w:tcW w:w="2229" w:type="dxa"/>
          </w:tcPr>
          <w:p w:rsidR="00D849AA" w:rsidRPr="00A202BD" w:rsidRDefault="00EE6D95">
            <w:pPr>
              <w:pStyle w:val="CellColumn"/>
            </w:pPr>
            <w:r w:rsidRPr="00A202BD">
              <w:t>Udio donesenih prvostupanjskih i drugostupanjskih rješenja o priznavanju statusa i prava civilnih žrtava te stradalnika rata u odnosu na broj zahtjeva za priznavanje statusa i prava civilnih žrtava te stradalnika rata</w:t>
            </w:r>
          </w:p>
        </w:tc>
        <w:tc>
          <w:tcPr>
            <w:tcW w:w="1114" w:type="dxa"/>
          </w:tcPr>
          <w:p w:rsidR="00D849AA" w:rsidRPr="00A202BD" w:rsidRDefault="00EE6D95">
            <w:pPr>
              <w:rPr>
                <w:rFonts w:ascii="Arial" w:hAnsi="Arial" w:cs="Arial"/>
              </w:rPr>
            </w:pPr>
            <w:r w:rsidRPr="00A202BD">
              <w:rPr>
                <w:rFonts w:ascii="Arial" w:hAnsi="Arial" w:cs="Arial"/>
              </w:rPr>
              <w:t>%</w:t>
            </w:r>
          </w:p>
        </w:tc>
        <w:tc>
          <w:tcPr>
            <w:tcW w:w="1114" w:type="dxa"/>
          </w:tcPr>
          <w:p w:rsidR="00D849AA" w:rsidRPr="00A202BD" w:rsidRDefault="00EE6D95">
            <w:pPr>
              <w:rPr>
                <w:rFonts w:ascii="Arial" w:hAnsi="Arial" w:cs="Arial"/>
              </w:rPr>
            </w:pPr>
            <w:r w:rsidRPr="00A202BD">
              <w:rPr>
                <w:rFonts w:ascii="Arial" w:hAnsi="Arial" w:cs="Arial"/>
              </w:rPr>
              <w:t>95</w:t>
            </w:r>
          </w:p>
        </w:tc>
        <w:tc>
          <w:tcPr>
            <w:tcW w:w="1486" w:type="dxa"/>
          </w:tcPr>
          <w:p w:rsidR="00D849AA" w:rsidRPr="00A202BD" w:rsidRDefault="00EE6D95">
            <w:pPr>
              <w:rPr>
                <w:rFonts w:ascii="Arial" w:hAnsi="Arial" w:cs="Arial"/>
              </w:rPr>
            </w:pPr>
            <w:r w:rsidRPr="00A202BD">
              <w:rPr>
                <w:rFonts w:ascii="Arial" w:hAnsi="Arial" w:cs="Arial"/>
              </w:rPr>
              <w:t>96</w:t>
            </w:r>
          </w:p>
        </w:tc>
        <w:tc>
          <w:tcPr>
            <w:tcW w:w="1486" w:type="dxa"/>
          </w:tcPr>
          <w:p w:rsidR="00D849AA" w:rsidRPr="00A202BD" w:rsidRDefault="00EE6D95">
            <w:pPr>
              <w:rPr>
                <w:rFonts w:ascii="Arial" w:hAnsi="Arial" w:cs="Arial"/>
              </w:rPr>
            </w:pPr>
            <w:r w:rsidRPr="00A202BD">
              <w:rPr>
                <w:rFonts w:ascii="Arial" w:hAnsi="Arial" w:cs="Arial"/>
              </w:rPr>
              <w:t>97</w:t>
            </w:r>
          </w:p>
        </w:tc>
        <w:tc>
          <w:tcPr>
            <w:tcW w:w="1486" w:type="dxa"/>
          </w:tcPr>
          <w:p w:rsidR="00D849AA" w:rsidRPr="00A202BD" w:rsidRDefault="00EE6D95">
            <w:pPr>
              <w:rPr>
                <w:rFonts w:ascii="Arial" w:hAnsi="Arial" w:cs="Arial"/>
              </w:rPr>
            </w:pPr>
            <w:r w:rsidRPr="00A202BD">
              <w:rPr>
                <w:rFonts w:ascii="Arial" w:hAnsi="Arial" w:cs="Arial"/>
              </w:rPr>
              <w:t>98</w:t>
            </w:r>
          </w:p>
        </w:tc>
      </w:tr>
    </w:tbl>
    <w:p w:rsidR="00D849AA" w:rsidRDefault="00D849AA">
      <w:pPr>
        <w:jc w:val="left"/>
      </w:pPr>
    </w:p>
    <w:p w:rsidR="00D849AA" w:rsidRDefault="00EE6D95">
      <w:pPr>
        <w:pStyle w:val="Naslov1"/>
      </w:pPr>
      <w:r>
        <w:lastRenderedPageBreak/>
        <w:t>048 MINISTARSTVO VANJSKIH I EUROPSKIH POSLOVA</w:t>
      </w:r>
    </w:p>
    <w:p w:rsidR="00D849AA" w:rsidRDefault="00EE6D95">
      <w:pPr>
        <w:pStyle w:val="Naslov4"/>
      </w:pPr>
      <w:r>
        <w:t>Uvod</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A202BD" w:rsidRDefault="00D849AA">
            <w:pPr>
              <w:pStyle w:val="CellHeader"/>
            </w:pPr>
          </w:p>
        </w:tc>
        <w:tc>
          <w:tcPr>
            <w:tcW w:w="1486" w:type="dxa"/>
            <w:shd w:val="clear" w:color="auto" w:fill="B5C0D8"/>
          </w:tcPr>
          <w:p w:rsidR="00D849AA" w:rsidRPr="00A202BD" w:rsidRDefault="00EE6D95">
            <w:pPr>
              <w:pStyle w:val="CellHeader"/>
            </w:pPr>
            <w:r w:rsidRPr="00A202BD">
              <w:t>Plan 2013.</w:t>
            </w:r>
          </w:p>
        </w:tc>
        <w:tc>
          <w:tcPr>
            <w:tcW w:w="1486" w:type="dxa"/>
            <w:shd w:val="clear" w:color="auto" w:fill="B5C0D8"/>
          </w:tcPr>
          <w:p w:rsidR="00D849AA" w:rsidRPr="00A202BD" w:rsidRDefault="00EE6D95">
            <w:pPr>
              <w:pStyle w:val="CellHeader"/>
            </w:pPr>
            <w:r w:rsidRPr="00A202BD">
              <w:t>Plan 2014.</w:t>
            </w:r>
          </w:p>
        </w:tc>
        <w:tc>
          <w:tcPr>
            <w:tcW w:w="1486" w:type="dxa"/>
            <w:shd w:val="clear" w:color="auto" w:fill="B5C0D8"/>
          </w:tcPr>
          <w:p w:rsidR="00D849AA" w:rsidRPr="00A202BD" w:rsidRDefault="00EE6D95">
            <w:pPr>
              <w:pStyle w:val="CellHeader"/>
            </w:pPr>
            <w:r w:rsidRPr="00A202BD">
              <w:t>Plan 2015.</w:t>
            </w:r>
          </w:p>
        </w:tc>
        <w:tc>
          <w:tcPr>
            <w:tcW w:w="1486" w:type="dxa"/>
            <w:shd w:val="clear" w:color="auto" w:fill="B5C0D8"/>
          </w:tcPr>
          <w:p w:rsidR="00D849AA" w:rsidRPr="00A202BD" w:rsidRDefault="00EE6D95">
            <w:pPr>
              <w:pStyle w:val="CellHeader"/>
            </w:pPr>
            <w:r w:rsidRPr="00A202BD">
              <w:t>Plan 2016.</w:t>
            </w:r>
          </w:p>
        </w:tc>
        <w:tc>
          <w:tcPr>
            <w:tcW w:w="1486" w:type="dxa"/>
            <w:shd w:val="clear" w:color="auto" w:fill="B5C0D8"/>
          </w:tcPr>
          <w:p w:rsidR="00D849AA" w:rsidRPr="00A202BD" w:rsidRDefault="00EE6D95">
            <w:pPr>
              <w:pStyle w:val="CellHeader"/>
            </w:pPr>
            <w:r w:rsidRPr="00A202BD">
              <w:t>Indeks 2014/2013</w:t>
            </w:r>
          </w:p>
        </w:tc>
      </w:tr>
      <w:tr w:rsidR="00D849AA">
        <w:trPr>
          <w:jc w:val="center"/>
        </w:trPr>
        <w:tc>
          <w:tcPr>
            <w:tcW w:w="1486" w:type="dxa"/>
          </w:tcPr>
          <w:p w:rsidR="00D849AA" w:rsidRPr="00A202BD" w:rsidRDefault="00EE6D95">
            <w:pPr>
              <w:pStyle w:val="CellColumn"/>
            </w:pPr>
            <w:r w:rsidRPr="00A202BD">
              <w:t>04805 Ministarstvo vanjskih i europskih poslova</w:t>
            </w:r>
          </w:p>
        </w:tc>
        <w:tc>
          <w:tcPr>
            <w:tcW w:w="1486" w:type="dxa"/>
          </w:tcPr>
          <w:p w:rsidR="00D849AA" w:rsidRPr="00A202BD" w:rsidRDefault="00EE6D95">
            <w:pPr>
              <w:rPr>
                <w:rFonts w:ascii="Arial" w:hAnsi="Arial" w:cs="Arial"/>
              </w:rPr>
            </w:pPr>
            <w:r w:rsidRPr="00A202BD">
              <w:rPr>
                <w:rFonts w:ascii="Arial" w:hAnsi="Arial" w:cs="Arial"/>
              </w:rPr>
              <w:t>709.741.114</w:t>
            </w:r>
          </w:p>
        </w:tc>
        <w:tc>
          <w:tcPr>
            <w:tcW w:w="1486" w:type="dxa"/>
          </w:tcPr>
          <w:p w:rsidR="00D849AA" w:rsidRPr="00A202BD" w:rsidRDefault="00EE6D95">
            <w:pPr>
              <w:rPr>
                <w:rFonts w:ascii="Arial" w:hAnsi="Arial" w:cs="Arial"/>
              </w:rPr>
            </w:pPr>
            <w:r w:rsidRPr="00A202BD">
              <w:rPr>
                <w:rFonts w:ascii="Arial" w:hAnsi="Arial" w:cs="Arial"/>
              </w:rPr>
              <w:t>680.978.569</w:t>
            </w:r>
          </w:p>
        </w:tc>
        <w:tc>
          <w:tcPr>
            <w:tcW w:w="1486" w:type="dxa"/>
          </w:tcPr>
          <w:p w:rsidR="00D849AA" w:rsidRPr="00A202BD" w:rsidRDefault="00EE6D95">
            <w:pPr>
              <w:rPr>
                <w:rFonts w:ascii="Arial" w:hAnsi="Arial" w:cs="Arial"/>
              </w:rPr>
            </w:pPr>
            <w:r w:rsidRPr="00A202BD">
              <w:rPr>
                <w:rFonts w:ascii="Arial" w:hAnsi="Arial" w:cs="Arial"/>
              </w:rPr>
              <w:t>668.800.323</w:t>
            </w:r>
          </w:p>
        </w:tc>
        <w:tc>
          <w:tcPr>
            <w:tcW w:w="1486" w:type="dxa"/>
          </w:tcPr>
          <w:p w:rsidR="00D849AA" w:rsidRPr="00A202BD" w:rsidRDefault="00EE6D95">
            <w:pPr>
              <w:rPr>
                <w:rFonts w:ascii="Arial" w:hAnsi="Arial" w:cs="Arial"/>
              </w:rPr>
            </w:pPr>
            <w:r w:rsidRPr="00A202BD">
              <w:rPr>
                <w:rFonts w:ascii="Arial" w:hAnsi="Arial" w:cs="Arial"/>
              </w:rPr>
              <w:t>684.183.348</w:t>
            </w:r>
          </w:p>
        </w:tc>
        <w:tc>
          <w:tcPr>
            <w:tcW w:w="1486" w:type="dxa"/>
          </w:tcPr>
          <w:p w:rsidR="00D849AA" w:rsidRPr="00A202BD" w:rsidRDefault="00EE6D95">
            <w:pPr>
              <w:rPr>
                <w:rFonts w:ascii="Arial" w:hAnsi="Arial" w:cs="Arial"/>
              </w:rPr>
            </w:pPr>
            <w:r w:rsidRPr="00A202BD">
              <w:rPr>
                <w:rFonts w:ascii="Arial" w:hAnsi="Arial" w:cs="Arial"/>
              </w:rPr>
              <w:t>95,9</w:t>
            </w:r>
          </w:p>
        </w:tc>
      </w:tr>
      <w:tr w:rsidR="00D849AA">
        <w:trPr>
          <w:jc w:val="center"/>
        </w:trPr>
        <w:tc>
          <w:tcPr>
            <w:tcW w:w="1486" w:type="dxa"/>
            <w:shd w:val="clear" w:color="auto" w:fill="B5C0D8"/>
          </w:tcPr>
          <w:p w:rsidR="00D849AA" w:rsidRPr="00A202BD" w:rsidRDefault="00EE6D95">
            <w:pPr>
              <w:pStyle w:val="CellColumn"/>
            </w:pPr>
            <w:r w:rsidRPr="00A202BD">
              <w:t>Ukupno 048</w:t>
            </w:r>
          </w:p>
        </w:tc>
        <w:tc>
          <w:tcPr>
            <w:tcW w:w="1486" w:type="dxa"/>
            <w:shd w:val="clear" w:color="auto" w:fill="B5C0D8"/>
          </w:tcPr>
          <w:p w:rsidR="00D849AA" w:rsidRPr="00A202BD" w:rsidRDefault="00EE6D95">
            <w:pPr>
              <w:rPr>
                <w:rFonts w:ascii="Arial" w:hAnsi="Arial" w:cs="Arial"/>
              </w:rPr>
            </w:pPr>
            <w:r w:rsidRPr="00A202BD">
              <w:rPr>
                <w:rFonts w:ascii="Arial" w:hAnsi="Arial" w:cs="Arial"/>
              </w:rPr>
              <w:t>709.741.114</w:t>
            </w:r>
          </w:p>
        </w:tc>
        <w:tc>
          <w:tcPr>
            <w:tcW w:w="1486" w:type="dxa"/>
            <w:shd w:val="clear" w:color="auto" w:fill="B5C0D8"/>
          </w:tcPr>
          <w:p w:rsidR="00D849AA" w:rsidRPr="00A202BD" w:rsidRDefault="00EE6D95">
            <w:pPr>
              <w:rPr>
                <w:rFonts w:ascii="Arial" w:hAnsi="Arial" w:cs="Arial"/>
              </w:rPr>
            </w:pPr>
            <w:r w:rsidRPr="00A202BD">
              <w:rPr>
                <w:rFonts w:ascii="Arial" w:hAnsi="Arial" w:cs="Arial"/>
              </w:rPr>
              <w:t>680.978.569</w:t>
            </w:r>
          </w:p>
        </w:tc>
        <w:tc>
          <w:tcPr>
            <w:tcW w:w="1486" w:type="dxa"/>
            <w:shd w:val="clear" w:color="auto" w:fill="B5C0D8"/>
          </w:tcPr>
          <w:p w:rsidR="00D849AA" w:rsidRPr="00A202BD" w:rsidRDefault="00EE6D95">
            <w:pPr>
              <w:rPr>
                <w:rFonts w:ascii="Arial" w:hAnsi="Arial" w:cs="Arial"/>
              </w:rPr>
            </w:pPr>
            <w:r w:rsidRPr="00A202BD">
              <w:rPr>
                <w:rFonts w:ascii="Arial" w:hAnsi="Arial" w:cs="Arial"/>
              </w:rPr>
              <w:t>668.800.323</w:t>
            </w:r>
          </w:p>
        </w:tc>
        <w:tc>
          <w:tcPr>
            <w:tcW w:w="1486" w:type="dxa"/>
            <w:shd w:val="clear" w:color="auto" w:fill="B5C0D8"/>
          </w:tcPr>
          <w:p w:rsidR="00D849AA" w:rsidRPr="00A202BD" w:rsidRDefault="00EE6D95">
            <w:pPr>
              <w:rPr>
                <w:rFonts w:ascii="Arial" w:hAnsi="Arial" w:cs="Arial"/>
              </w:rPr>
            </w:pPr>
            <w:r w:rsidRPr="00A202BD">
              <w:rPr>
                <w:rFonts w:ascii="Arial" w:hAnsi="Arial" w:cs="Arial"/>
              </w:rPr>
              <w:t>684.183.348</w:t>
            </w:r>
          </w:p>
        </w:tc>
        <w:tc>
          <w:tcPr>
            <w:tcW w:w="1486" w:type="dxa"/>
            <w:shd w:val="clear" w:color="auto" w:fill="B5C0D8"/>
          </w:tcPr>
          <w:p w:rsidR="00D849AA" w:rsidRPr="00A202BD" w:rsidRDefault="00EE6D95">
            <w:pPr>
              <w:rPr>
                <w:rFonts w:ascii="Arial" w:hAnsi="Arial" w:cs="Arial"/>
              </w:rPr>
            </w:pPr>
            <w:r w:rsidRPr="00A202BD">
              <w:rPr>
                <w:rFonts w:ascii="Arial" w:hAnsi="Arial" w:cs="Arial"/>
              </w:rPr>
              <w:t>95,9</w:t>
            </w:r>
          </w:p>
        </w:tc>
      </w:tr>
    </w:tbl>
    <w:p w:rsidR="00D849AA" w:rsidRDefault="00D849AA">
      <w:pPr>
        <w:jc w:val="left"/>
      </w:pPr>
    </w:p>
    <w:p w:rsidR="00D849AA" w:rsidRDefault="00EE6D95">
      <w:pPr>
        <w:pStyle w:val="Naslov2"/>
      </w:pPr>
      <w:r>
        <w:t>04805 Ministarstvo vanjskih i europskih poslova</w:t>
      </w:r>
    </w:p>
    <w:p w:rsidR="00D849AA" w:rsidRDefault="00EE6D95">
      <w:pPr>
        <w:pStyle w:val="Naslov4"/>
      </w:pPr>
      <w:r>
        <w:t>Uvod</w:t>
      </w:r>
    </w:p>
    <w:p w:rsidR="00D849AA" w:rsidRDefault="00EE6D95">
      <w:pPr>
        <w:pStyle w:val="Normal3"/>
      </w:pPr>
      <w:r>
        <w:t xml:space="preserve">Ministarstvo vanjskih i europskih poslova (MVEP) korisnik je razdjela 048, glave 05 u Državnom proračunu. Prijedlog financijskog plana za razdoblje 2014.-2016. izrađen je u skladu s financijskim potrebama koje proizlaze iz izvršenja prioritetnih programa u navedenom razdoblju, a kako bi se doprinijelo ostvarenju Općeg cilja definiranog Strateškim planom Ministarstva vanjskih i europskih poslova za razdoblje 2014.-2016. </w:t>
      </w:r>
    </w:p>
    <w:p w:rsidR="00D849AA" w:rsidRDefault="00EE6D95">
      <w:pPr>
        <w:pStyle w:val="Normal3"/>
      </w:pPr>
      <w:r>
        <w:t xml:space="preserve"> Djelokrug i sadržaj rada MVEP-a, kao nadležnog tijela državne uprave za provedbu vanjske politike Republike Hrvatske i nacionalnu koordinaciju europskih poslova, a koju provodi neposredno, odnosno putem diplomatskih i drugih predstavništva RH u inozemstvu, sadržan je u Općem cilju 12. Daljnje jačanje međunarodnog položaja Republike Hrvatske i očuvanje nacionalnog identiteta Strategije Vladinih programa za razdoblje 2014.-2016. Navedeni Opći cilj Strategije ostvaruje se kroz tri posebna cilja, pri čemu se djelokrug rada MVEP-a odvija kroz prva dva posebna cilja i to: 12.1. Jačanje i koordinacija europskih poslova te 12.2. Jačanje vanjske politike. </w:t>
      </w:r>
    </w:p>
    <w:p w:rsidR="00D849AA" w:rsidRDefault="00EE6D95">
      <w:pPr>
        <w:pStyle w:val="Normal3"/>
      </w:pPr>
      <w:r>
        <w:t xml:space="preserve">Afirmacija i zaštita interesa Republike Hrvatske u predstojećem trogodišnjem razdoblju bit će usmjerena na funkcioniranje u uvjetima članstva u Europskoj uniji i NATO.  </w:t>
      </w:r>
    </w:p>
    <w:p w:rsidR="00D849AA" w:rsidRDefault="00EE6D95">
      <w:pPr>
        <w:pStyle w:val="Normal3"/>
      </w:pPr>
      <w:r>
        <w:t xml:space="preserve">Bitna zadaća Ministarstva u 2014. godini je osigurati pretpostavke, ljudske, financijske i proceduralne za učinkovito sudjelovanje RH u donošenju odluka na razini EU kroz uspostavljanje funkcionalnog sustava nacionalne koordinacije europskih poslova, te donošenje nacionalnih stajališta. Od Hrvatske se očekuje da svoja iskustva iz pretpristupnog razdoblja i pregovaračkog procesa dijeli s državama kandidatkinjama i potencijalnim kandidatkinjama za članstvo, ali i da surađuje s državama članicama EU u razmjeni mišljenja koja se odnose na zajedničke politike EU pri čemu će iznimnu važnost imati adekvatno predstavljanje hrvatskih vanjskopolitičkih i gospodarskih interesa, ali i unaprjeđivanje regionalnih politika EU kako kroz vanjskopolitičku komponentu, tako i u okviru regionalne suradnje.  </w:t>
      </w:r>
    </w:p>
    <w:p w:rsidR="00D849AA" w:rsidRDefault="00EE6D95">
      <w:pPr>
        <w:pStyle w:val="Normal3"/>
      </w:pPr>
      <w:r>
        <w:t xml:space="preserve">Kao članica NATO-a Republika Hrvatska će nastaviti aktivno i konstruktivno pridonositi daljnjem jačanju i stvaranju politika i mjera koje će Savezu pomoći u nošenju s novim, globalnim sigurnosnim izazovima modernog doba. U regiji ćemo nastaviti konstruktivno djelovati, dajući </w:t>
      </w:r>
      <w:r>
        <w:lastRenderedPageBreak/>
        <w:t xml:space="preserve">tako doprinos njenoj daljnjoj stabilizaciji i prosperitetu utemeljenom na načelima dobrosusjedstva, sveobuhvatne suradnje i rješavanja svih otvorenih pitanja dijalogom. </w:t>
      </w:r>
    </w:p>
    <w:p w:rsidR="00D849AA" w:rsidRDefault="00EE6D95" w:rsidP="00A202BD">
      <w:pPr>
        <w:pStyle w:val="Normal3"/>
      </w:pPr>
      <w:r>
        <w:t xml:space="preserve">Nastavit ćemo angažman u svim multilateralnim organizacijama u čijem radu Hrvatska sudjeluje, a glede bilateralnih vanjskopolitičkih aktivnosti, intenzivno ćemo razvijati kontakte s državama koje ulaze u krug ključnih subjekata na međunarodnoj sceni, kao i drugim zemljama svijeta, gdje postoje gospodarski interesi i specifične poveznice poput kulturnih veza i brojnog hrvatskog iseljeništva. </w:t>
      </w:r>
      <w:r>
        <w:t> </w:t>
      </w:r>
    </w:p>
    <w:p w:rsidR="00D849AA" w:rsidRDefault="00EE6D95" w:rsidP="00A202BD">
      <w:pPr>
        <w:pStyle w:val="Normal3"/>
      </w:pPr>
      <w:r>
        <w:t xml:space="preserve">Procijenjeni iznos prihoda za 2014. godinu iznosi 680.978.569 kn. Ukupni prihodi za 2015. projicirani su u iznosu 668.800.323 kn, odnosno za 2016. godinu 684.183.348 kn. Osim izvora financiranja 1. Opći prihodi i primici, a koji iznosi 576.281.300 kn za 2014. godinu, predviđeno je financiranje iz izvora 31 – vlastiti prihod, 41 – prihod od igara na sreću,43 – prihod za posebne namjene (konzularni prihod), 51 – pomoći EU, 571 – Schengenski instrument i 61- donacije .  </w:t>
      </w:r>
    </w:p>
    <w:p w:rsidR="00D849AA" w:rsidRDefault="00EE6D95" w:rsidP="00A202BD">
      <w:pPr>
        <w:pStyle w:val="Normal3"/>
      </w:pPr>
      <w:r>
        <w:t xml:space="preserve">U predloženom iznosu rashoda za 2014. godinu iskazano je smanjenje planiranih sredstava u odnosu na 2013. godinu za 4%, odnosno nominalno 28.762.545 kuna. Predviđeni rashodi Financijskog plana MVEP-a raspoređeni su prema skupina kako slijedi: </w:t>
      </w:r>
    </w:p>
    <w:p w:rsidR="00D849AA" w:rsidRDefault="00EE6D95">
      <w:pPr>
        <w:pStyle w:val="Normal3"/>
      </w:pPr>
      <w:r>
        <w:t xml:space="preserve">Rashodi za zaposlene sukladno zadanom limitu iznose 294.950.000 kn. Alocirani su na dvije proračunske aktivnosti A777046 Administracija i upravljanje s koje se financira poslovanje središnjice u Zagrebu te na proračunskoj aktivnosti A777000 Administracija i upravljanje s koje se financira poslovanje diplomatsko konzularnih predstavništava RH u svijetu.  </w:t>
      </w:r>
    </w:p>
    <w:p w:rsidR="00D849AA" w:rsidRDefault="00EE6D95">
      <w:pPr>
        <w:pStyle w:val="Normal3"/>
      </w:pPr>
      <w:r>
        <w:t xml:space="preserve"> Planirana sredstva na skupni rashoda 32 Materijalni rashodi ukupno iznose 317.150.300 kn za 2014. odnosno 333.373.170 kn za 2015. i 342.756.007 kn za 2016. godinu. Značajnija sredstva na spomenutoj skupini rashoda, u iznosu od 96.909.270 kn, izdvajaju se za plaćanje zakupnina i najamnina te u iznosu od 51.229.900 kn za plaćanje obveza na ime sudjelovanje RH u međunarodnim organizacijama, inicijativama i forumima.  </w:t>
      </w:r>
    </w:p>
    <w:p w:rsidR="00D849AA" w:rsidRDefault="00EE6D95">
      <w:pPr>
        <w:pStyle w:val="Normal3"/>
      </w:pPr>
      <w:r>
        <w:t xml:space="preserve">Skupine rashoda 36 Pomoći dane u inozemstvo i unutar opće države te 38 Ostali rashodi bilježe porast planiranih sredstava u odnosu na 2013. godinu za 26%, odnosno 27% za 2015. i 29% za 2016. što je rezultat provođenja programa i projekata razvojne suradnje i humanitarne pomoći za što je MVEP, sukladno zakonskoj osnovi, glavni koordinator. Sukladno obvezama preuzetim u okviru pregovaračkog poglavlja 30: Vanjski odnosi, EK je iznijela očekivanja da RH dosegne razinu izdvajanja za razvojnu pomoć koju EU predviđa za nove zemlje članice, u visini 0,17% BND do 2010. godine te 0,33% BND do 2015. Trenutno, službena razvojna pomoć RH u prosjeku iznosi 0,04% BND. </w:t>
      </w:r>
    </w:p>
    <w:p w:rsidR="00D849AA" w:rsidRDefault="00EE6D95">
      <w:pPr>
        <w:pStyle w:val="Normal3"/>
      </w:pPr>
      <w:r>
        <w:t>Na grupi rashoda 4 Rashodi za nabavu nefinancijske imovine tijekom 2014. godine planirana  su sredstva u iznosu od 43.690.300 kn i u najznačajnijem iznosu odnose se na opremanje i stavljanje u punu funkcionalnost novokupljenog poslovnog prostora za smještaj predstavništava  RH u Bruxellesu. Dio sredstava odnosi se na Schengenski instrument. U 2015. i 2016. godini predviđeno je smanjenje na 14.200.000 kn, odnosno 8.085.000 kn.</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rsidRPr="00A202BD">
        <w:trPr>
          <w:jc w:val="center"/>
        </w:trPr>
        <w:tc>
          <w:tcPr>
            <w:tcW w:w="1486" w:type="dxa"/>
            <w:shd w:val="clear" w:color="auto" w:fill="B5C0D8"/>
          </w:tcPr>
          <w:p w:rsidR="00D849AA" w:rsidRPr="00A202BD" w:rsidRDefault="00D849AA">
            <w:pPr>
              <w:pStyle w:val="CellHeader"/>
            </w:pPr>
          </w:p>
        </w:tc>
        <w:tc>
          <w:tcPr>
            <w:tcW w:w="1486" w:type="dxa"/>
            <w:shd w:val="clear" w:color="auto" w:fill="B5C0D8"/>
          </w:tcPr>
          <w:p w:rsidR="00D849AA" w:rsidRPr="00A202BD" w:rsidRDefault="00EE6D95">
            <w:pPr>
              <w:pStyle w:val="CellHeader"/>
            </w:pPr>
            <w:r w:rsidRPr="00A202BD">
              <w:t>Plan 2013.</w:t>
            </w:r>
          </w:p>
        </w:tc>
        <w:tc>
          <w:tcPr>
            <w:tcW w:w="1486" w:type="dxa"/>
            <w:shd w:val="clear" w:color="auto" w:fill="B5C0D8"/>
          </w:tcPr>
          <w:p w:rsidR="00D849AA" w:rsidRPr="00A202BD" w:rsidRDefault="00EE6D95">
            <w:pPr>
              <w:pStyle w:val="CellHeader"/>
            </w:pPr>
            <w:r w:rsidRPr="00A202BD">
              <w:t>Plan 2014.</w:t>
            </w:r>
          </w:p>
        </w:tc>
        <w:tc>
          <w:tcPr>
            <w:tcW w:w="1486" w:type="dxa"/>
            <w:shd w:val="clear" w:color="auto" w:fill="B5C0D8"/>
          </w:tcPr>
          <w:p w:rsidR="00D849AA" w:rsidRPr="00A202BD" w:rsidRDefault="00EE6D95">
            <w:pPr>
              <w:pStyle w:val="CellHeader"/>
            </w:pPr>
            <w:r w:rsidRPr="00A202BD">
              <w:t>Plan 2015.</w:t>
            </w:r>
          </w:p>
        </w:tc>
        <w:tc>
          <w:tcPr>
            <w:tcW w:w="1486" w:type="dxa"/>
            <w:shd w:val="clear" w:color="auto" w:fill="B5C0D8"/>
          </w:tcPr>
          <w:p w:rsidR="00D849AA" w:rsidRPr="00A202BD" w:rsidRDefault="00EE6D95">
            <w:pPr>
              <w:pStyle w:val="CellHeader"/>
            </w:pPr>
            <w:r w:rsidRPr="00A202BD">
              <w:t>Plan 2016.</w:t>
            </w:r>
          </w:p>
        </w:tc>
        <w:tc>
          <w:tcPr>
            <w:tcW w:w="1486" w:type="dxa"/>
            <w:shd w:val="clear" w:color="auto" w:fill="B5C0D8"/>
          </w:tcPr>
          <w:p w:rsidR="00D849AA" w:rsidRPr="00A202BD" w:rsidRDefault="00EE6D95">
            <w:pPr>
              <w:pStyle w:val="CellHeader"/>
            </w:pPr>
            <w:r w:rsidRPr="00A202BD">
              <w:t>Indeks 2014/2013</w:t>
            </w:r>
          </w:p>
        </w:tc>
      </w:tr>
      <w:tr w:rsidR="00D849AA" w:rsidRPr="00A202BD">
        <w:trPr>
          <w:jc w:val="center"/>
        </w:trPr>
        <w:tc>
          <w:tcPr>
            <w:tcW w:w="1486" w:type="dxa"/>
          </w:tcPr>
          <w:p w:rsidR="00D849AA" w:rsidRPr="00A202BD" w:rsidRDefault="00EE6D95">
            <w:pPr>
              <w:pStyle w:val="CellColumn"/>
            </w:pPr>
            <w:r w:rsidRPr="00A202BD">
              <w:t>04805</w:t>
            </w:r>
          </w:p>
        </w:tc>
        <w:tc>
          <w:tcPr>
            <w:tcW w:w="1486" w:type="dxa"/>
          </w:tcPr>
          <w:p w:rsidR="00D849AA" w:rsidRPr="00A202BD" w:rsidRDefault="00EE6D95">
            <w:pPr>
              <w:rPr>
                <w:rFonts w:ascii="Arial" w:hAnsi="Arial" w:cs="Arial"/>
              </w:rPr>
            </w:pPr>
            <w:r w:rsidRPr="00A202BD">
              <w:rPr>
                <w:rFonts w:ascii="Arial" w:hAnsi="Arial" w:cs="Arial"/>
              </w:rPr>
              <w:t>709.741.114</w:t>
            </w:r>
          </w:p>
        </w:tc>
        <w:tc>
          <w:tcPr>
            <w:tcW w:w="1486" w:type="dxa"/>
          </w:tcPr>
          <w:p w:rsidR="00D849AA" w:rsidRPr="00A202BD" w:rsidRDefault="00EE6D95">
            <w:pPr>
              <w:rPr>
                <w:rFonts w:ascii="Arial" w:hAnsi="Arial" w:cs="Arial"/>
              </w:rPr>
            </w:pPr>
            <w:r w:rsidRPr="00A202BD">
              <w:rPr>
                <w:rFonts w:ascii="Arial" w:hAnsi="Arial" w:cs="Arial"/>
              </w:rPr>
              <w:t>680.978.569</w:t>
            </w:r>
          </w:p>
        </w:tc>
        <w:tc>
          <w:tcPr>
            <w:tcW w:w="1486" w:type="dxa"/>
          </w:tcPr>
          <w:p w:rsidR="00D849AA" w:rsidRPr="00A202BD" w:rsidRDefault="00EE6D95">
            <w:pPr>
              <w:rPr>
                <w:rFonts w:ascii="Arial" w:hAnsi="Arial" w:cs="Arial"/>
              </w:rPr>
            </w:pPr>
            <w:r w:rsidRPr="00A202BD">
              <w:rPr>
                <w:rFonts w:ascii="Arial" w:hAnsi="Arial" w:cs="Arial"/>
              </w:rPr>
              <w:t>668.800.323</w:t>
            </w:r>
          </w:p>
        </w:tc>
        <w:tc>
          <w:tcPr>
            <w:tcW w:w="1486" w:type="dxa"/>
          </w:tcPr>
          <w:p w:rsidR="00D849AA" w:rsidRPr="00A202BD" w:rsidRDefault="00EE6D95">
            <w:pPr>
              <w:rPr>
                <w:rFonts w:ascii="Arial" w:hAnsi="Arial" w:cs="Arial"/>
              </w:rPr>
            </w:pPr>
            <w:r w:rsidRPr="00A202BD">
              <w:rPr>
                <w:rFonts w:ascii="Arial" w:hAnsi="Arial" w:cs="Arial"/>
              </w:rPr>
              <w:t>684.183.348</w:t>
            </w:r>
          </w:p>
        </w:tc>
        <w:tc>
          <w:tcPr>
            <w:tcW w:w="1486" w:type="dxa"/>
          </w:tcPr>
          <w:p w:rsidR="00D849AA" w:rsidRPr="00A202BD" w:rsidRDefault="00EE6D95">
            <w:pPr>
              <w:rPr>
                <w:rFonts w:ascii="Arial" w:hAnsi="Arial" w:cs="Arial"/>
              </w:rPr>
            </w:pPr>
            <w:r w:rsidRPr="00A202BD">
              <w:rPr>
                <w:rFonts w:ascii="Arial" w:hAnsi="Arial" w:cs="Arial"/>
              </w:rPr>
              <w:t>95,9</w:t>
            </w:r>
          </w:p>
        </w:tc>
      </w:tr>
    </w:tbl>
    <w:p w:rsidR="00D849AA" w:rsidRPr="00A202BD" w:rsidRDefault="00D849AA">
      <w:pPr>
        <w:jc w:val="left"/>
        <w:rPr>
          <w:rFonts w:ascii="Arial" w:hAnsi="Arial" w:cs="Arial"/>
        </w:rPr>
      </w:pPr>
    </w:p>
    <w:p w:rsidR="00D849AA" w:rsidRDefault="00EE6D95">
      <w:pPr>
        <w:pStyle w:val="Naslov4"/>
      </w:pPr>
      <w:r>
        <w:lastRenderedPageBreak/>
        <w:t>OBRAZLOŽENJE PROGRAMA</w:t>
      </w:r>
    </w:p>
    <w:p w:rsidR="00D849AA" w:rsidRDefault="00EE6D95">
      <w:pPr>
        <w:pStyle w:val="Naslov5"/>
      </w:pPr>
      <w:r>
        <w:t>2301 PROVOĐENJE VANJSKE POLITIKE REPUBLIKE HRVATSKE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rsidRPr="00A202BD">
        <w:trPr>
          <w:jc w:val="center"/>
        </w:trPr>
        <w:tc>
          <w:tcPr>
            <w:tcW w:w="1486" w:type="dxa"/>
            <w:shd w:val="clear" w:color="auto" w:fill="B5C0D8"/>
          </w:tcPr>
          <w:p w:rsidR="00D849AA" w:rsidRPr="00A202BD" w:rsidRDefault="00D849AA">
            <w:pPr>
              <w:pStyle w:val="CellHeader"/>
            </w:pPr>
          </w:p>
        </w:tc>
        <w:tc>
          <w:tcPr>
            <w:tcW w:w="1486" w:type="dxa"/>
            <w:shd w:val="clear" w:color="auto" w:fill="B5C0D8"/>
          </w:tcPr>
          <w:p w:rsidR="00D849AA" w:rsidRPr="00A202BD" w:rsidRDefault="00EE6D95">
            <w:pPr>
              <w:pStyle w:val="CellHeader"/>
            </w:pPr>
            <w:r w:rsidRPr="00A202BD">
              <w:t>Plan 2013.</w:t>
            </w:r>
          </w:p>
        </w:tc>
        <w:tc>
          <w:tcPr>
            <w:tcW w:w="1486" w:type="dxa"/>
            <w:shd w:val="clear" w:color="auto" w:fill="B5C0D8"/>
          </w:tcPr>
          <w:p w:rsidR="00D849AA" w:rsidRPr="00A202BD" w:rsidRDefault="00EE6D95">
            <w:pPr>
              <w:pStyle w:val="CellHeader"/>
            </w:pPr>
            <w:r w:rsidRPr="00A202BD">
              <w:t>Plan 2014.</w:t>
            </w:r>
          </w:p>
        </w:tc>
        <w:tc>
          <w:tcPr>
            <w:tcW w:w="1486" w:type="dxa"/>
            <w:shd w:val="clear" w:color="auto" w:fill="B5C0D8"/>
          </w:tcPr>
          <w:p w:rsidR="00D849AA" w:rsidRPr="00A202BD" w:rsidRDefault="00EE6D95">
            <w:pPr>
              <w:pStyle w:val="CellHeader"/>
            </w:pPr>
            <w:r w:rsidRPr="00A202BD">
              <w:t>Plan 2015.</w:t>
            </w:r>
          </w:p>
        </w:tc>
        <w:tc>
          <w:tcPr>
            <w:tcW w:w="1486" w:type="dxa"/>
            <w:shd w:val="clear" w:color="auto" w:fill="B5C0D8"/>
          </w:tcPr>
          <w:p w:rsidR="00D849AA" w:rsidRPr="00A202BD" w:rsidRDefault="00EE6D95">
            <w:pPr>
              <w:pStyle w:val="CellHeader"/>
            </w:pPr>
            <w:r w:rsidRPr="00A202BD">
              <w:t>Plan 2016.</w:t>
            </w:r>
          </w:p>
        </w:tc>
        <w:tc>
          <w:tcPr>
            <w:tcW w:w="1486" w:type="dxa"/>
            <w:shd w:val="clear" w:color="auto" w:fill="B5C0D8"/>
          </w:tcPr>
          <w:p w:rsidR="00D849AA" w:rsidRPr="00A202BD" w:rsidRDefault="00EE6D95">
            <w:pPr>
              <w:pStyle w:val="CellHeader"/>
            </w:pPr>
            <w:r w:rsidRPr="00A202BD">
              <w:t>Indeks 2014/2013</w:t>
            </w:r>
          </w:p>
        </w:tc>
      </w:tr>
      <w:tr w:rsidR="00D849AA" w:rsidRPr="00A202BD">
        <w:trPr>
          <w:jc w:val="center"/>
        </w:trPr>
        <w:tc>
          <w:tcPr>
            <w:tcW w:w="1486" w:type="dxa"/>
          </w:tcPr>
          <w:p w:rsidR="00D849AA" w:rsidRPr="00A202BD" w:rsidRDefault="00EE6D95">
            <w:pPr>
              <w:pStyle w:val="CellColumn"/>
            </w:pPr>
            <w:r w:rsidRPr="00A202BD">
              <w:t>2301</w:t>
            </w:r>
          </w:p>
        </w:tc>
        <w:tc>
          <w:tcPr>
            <w:tcW w:w="1486" w:type="dxa"/>
          </w:tcPr>
          <w:p w:rsidR="00D849AA" w:rsidRPr="00A202BD" w:rsidRDefault="00EE6D95">
            <w:pPr>
              <w:rPr>
                <w:rFonts w:ascii="Arial" w:hAnsi="Arial" w:cs="Arial"/>
              </w:rPr>
            </w:pPr>
            <w:r w:rsidRPr="00A202BD">
              <w:rPr>
                <w:rFonts w:ascii="Arial" w:hAnsi="Arial" w:cs="Arial"/>
              </w:rPr>
              <w:t>207.794.288</w:t>
            </w:r>
          </w:p>
        </w:tc>
        <w:tc>
          <w:tcPr>
            <w:tcW w:w="1486" w:type="dxa"/>
          </w:tcPr>
          <w:p w:rsidR="00D849AA" w:rsidRPr="00A202BD" w:rsidRDefault="00EE6D95">
            <w:pPr>
              <w:rPr>
                <w:rFonts w:ascii="Arial" w:hAnsi="Arial" w:cs="Arial"/>
              </w:rPr>
            </w:pPr>
            <w:r w:rsidRPr="00A202BD">
              <w:rPr>
                <w:rFonts w:ascii="Arial" w:hAnsi="Arial" w:cs="Arial"/>
              </w:rPr>
              <w:t>224.374.316</w:t>
            </w:r>
          </w:p>
        </w:tc>
        <w:tc>
          <w:tcPr>
            <w:tcW w:w="1486" w:type="dxa"/>
          </w:tcPr>
          <w:p w:rsidR="00D849AA" w:rsidRPr="00A202BD" w:rsidRDefault="00EE6D95">
            <w:pPr>
              <w:rPr>
                <w:rFonts w:ascii="Arial" w:hAnsi="Arial" w:cs="Arial"/>
              </w:rPr>
            </w:pPr>
            <w:r w:rsidRPr="00A202BD">
              <w:rPr>
                <w:rFonts w:ascii="Arial" w:hAnsi="Arial" w:cs="Arial"/>
              </w:rPr>
              <w:t>214.798.273</w:t>
            </w:r>
          </w:p>
        </w:tc>
        <w:tc>
          <w:tcPr>
            <w:tcW w:w="1486" w:type="dxa"/>
          </w:tcPr>
          <w:p w:rsidR="00D849AA" w:rsidRPr="00A202BD" w:rsidRDefault="00EE6D95">
            <w:pPr>
              <w:rPr>
                <w:rFonts w:ascii="Arial" w:hAnsi="Arial" w:cs="Arial"/>
              </w:rPr>
            </w:pPr>
            <w:r w:rsidRPr="00A202BD">
              <w:rPr>
                <w:rFonts w:ascii="Arial" w:hAnsi="Arial" w:cs="Arial"/>
              </w:rPr>
              <w:t>204.416.295</w:t>
            </w:r>
          </w:p>
        </w:tc>
        <w:tc>
          <w:tcPr>
            <w:tcW w:w="1486" w:type="dxa"/>
          </w:tcPr>
          <w:p w:rsidR="00D849AA" w:rsidRPr="00A202BD" w:rsidRDefault="00EE6D95">
            <w:pPr>
              <w:rPr>
                <w:rFonts w:ascii="Arial" w:hAnsi="Arial" w:cs="Arial"/>
              </w:rPr>
            </w:pPr>
            <w:r w:rsidRPr="00A202BD">
              <w:rPr>
                <w:rFonts w:ascii="Arial" w:hAnsi="Arial" w:cs="Arial"/>
              </w:rPr>
              <w:t>108,0</w:t>
            </w:r>
          </w:p>
        </w:tc>
      </w:tr>
    </w:tbl>
    <w:p w:rsidR="00D849AA" w:rsidRPr="00A202BD" w:rsidRDefault="00D849AA">
      <w:pPr>
        <w:jc w:val="left"/>
        <w:rPr>
          <w:rFonts w:ascii="Arial" w:hAnsi="Arial" w:cs="Arial"/>
        </w:rPr>
      </w:pPr>
    </w:p>
    <w:p w:rsidR="00D849AA" w:rsidRDefault="00EE6D95">
      <w:pPr>
        <w:pStyle w:val="Naslov6"/>
      </w:pPr>
      <w:r>
        <w:t>Opis programa</w:t>
      </w:r>
    </w:p>
    <w:p w:rsidR="00D849AA" w:rsidRDefault="00EE6D95">
      <w:pPr>
        <w:pStyle w:val="Normal5"/>
      </w:pPr>
      <w:r>
        <w:t xml:space="preserve">Programom Provođenje vanjske politike osigurava se odgovarajuće sudjelovanje MVEP u vanjskopolitičkim aktivnostima predsjednika RH, Vlade RH, Hrvatskog sabora i drugih tijela državne vlasti u svim područjima od interesa za međunarodni položaj i aktivnosti RH. </w:t>
      </w:r>
    </w:p>
    <w:p w:rsidR="00D849AA" w:rsidRDefault="00EE6D95">
      <w:pPr>
        <w:pStyle w:val="Normal5"/>
      </w:pPr>
      <w:r>
        <w:t xml:space="preserve">Kroz navedeni program realizira se poseban cilj 1.2. Provedba vanjske politike definiran Strateškim planom MVEP za razdoblje 2014.-2016., a koji se odnosi na jačanje pozicije RH u međunarodnim organizacijama i globalnim inicijativama, promicanje interesa RH u okviru institucija EU, daljnji razvoj bilateralnih odnosa i regionalne suradnje kao i promicanje međunarodnog prava. Unapređenje gospodarske suradnje, odnosno povećanje izvoza Republike Hrvatske, kao i povećanje stranih investicija u Republiku Hrvatsku jedan je od naših najvažnijih strateških interesa, te time postaje jedna od ključnih aktivnosti hrvatske diplomacije u predstojećem razdoblju.  </w:t>
      </w:r>
    </w:p>
    <w:p w:rsidR="00D849AA" w:rsidRDefault="00EE6D95">
      <w:pPr>
        <w:pStyle w:val="Normal5"/>
      </w:pPr>
      <w:r>
        <w:t>Navedeni program bilježi porast planiranih sredstava u odnosu na 2013. godinu za 8% i najznačajnijim dijelom su planirana za provedbu Schengenskog instrumenta. Dio povećanja odnosi se i na povećano planiranje rashoda na ime plaćanja međunarodnih članarina, te pripremnih radnji za sudjelovanje RH na svjetskoj izložbi EXPO 2015.</w:t>
      </w:r>
    </w:p>
    <w:p w:rsidR="00D849AA" w:rsidRDefault="00EE6D95">
      <w:pPr>
        <w:pStyle w:val="Naslov6"/>
      </w:pPr>
      <w:r>
        <w:t>Zakonske i druge pravne osnove</w:t>
      </w:r>
    </w:p>
    <w:p w:rsidR="00D849AA" w:rsidRDefault="00EE6D95">
      <w:pPr>
        <w:pStyle w:val="Normal5"/>
      </w:pPr>
      <w:r>
        <w:t>Zakon o vanjskim poslovima (NN 48/96); Zakon o razvojnoj suradnji i humanitarnoj pomoći inozemstvu (NN 146/08); Zakon o strancima (NN 79/07, 36/09, 130/11), Pravilnik o Hrvatskoj bazi podataka (NN49/08), Zakon o izmjenama i dopuni Zakona o ustrojstvu i djelokrugu ministarstava i drugih središnjih tijela državne uprave (NN123/13)</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Cilj 1. Provedba vanjske politike</w:t>
      </w:r>
    </w:p>
    <w:p w:rsidR="00D849AA" w:rsidRDefault="00EE6D95">
      <w:pPr>
        <w:pStyle w:val="Normal6"/>
      </w:pPr>
      <w:r>
        <w:t xml:space="preserve">U narednom razdoblju MVEP će razvijati gospodarske odnose sa svrhom realizacije hrvatskih gospodarskih interesa, prije svega onih koji se odnose na povećanje hrvatskog izvoza, privlačenje stranih investicija te zaštite interesa hrvatskih kompanija u inozemstvu.  </w:t>
      </w:r>
    </w:p>
    <w:p w:rsidR="00D849AA" w:rsidRDefault="00EE6D95">
      <w:pPr>
        <w:pStyle w:val="Normal6"/>
      </w:pPr>
      <w:r>
        <w:t xml:space="preserve">Sudjelovanjem u radu međunarodnih organizacija (UN, NATO, OESS, Svjetska trgovinska organizacija, Vijeće Europe, OECD i dr.) i forumima kao i u njihovim plenarnim sazivima jača se međunarodna pozicije RH te stvaraju pretpostavke za ostvarenje specifičnih ciljeva od regionalne ili globalne važnosti. Ovaj cilj obuhvaća i provedbu odluka iz područja Zajedničke vanjske i sigurnosne politike Europske unije vezanih uz multilateralne aktivnosti, koja se realizira kroz izražavanje stajališta hrvatskih predstavnika u nadležnim tijelima Vijeća Europske unije te provedbu istih odluka na nacionalnoj razini. </w:t>
      </w:r>
    </w:p>
    <w:p w:rsidR="00D849AA" w:rsidRDefault="00EE6D95">
      <w:pPr>
        <w:pStyle w:val="Normal6"/>
      </w:pPr>
      <w:r>
        <w:lastRenderedPageBreak/>
        <w:t xml:space="preserve">Nadalje, utvrđeni cilj provodit će se daljnjim unapređivanjem suradnje na bilateralnoj razini kroz sveobuhvatno jačanje političkog dijaloga i gospodarske suradnje, prenošenje znanja i iskustva državama regije, intenziviranje prekogranične i transnacionalne projektne suradnje i aktivnosti u regionalnim organizacijama i inicijativama, te produbljivanje suradnje s društvima prijateljstva. </w:t>
      </w:r>
    </w:p>
    <w:p w:rsidR="00D849AA" w:rsidRDefault="00EE6D95">
      <w:pPr>
        <w:pStyle w:val="Normal6"/>
      </w:pPr>
      <w:r>
        <w:t xml:space="preserve">Ministarstvo vanjskih i europskih poslova nositelj je poslova koji se tiču sklapanja i izvršenja međunarodnih ugovora čijih je stranka Republika Hrvatska te promicanja vladavine i poštivanja međunarodnog prava u međunarodnim odnosima.  </w:t>
      </w:r>
    </w:p>
    <w:p w:rsidR="00D849AA" w:rsidRDefault="00EE6D95">
      <w:pPr>
        <w:pStyle w:val="Normal6"/>
      </w:pPr>
      <w:r>
        <w:t>Također, pred Ministarstvom je važan zadatak sudjelovanja u oblikovanju europske migracijske politike, a to podrazumijeva uspostavljanje sustava koordinacije rada među hrvatskim diplomatskim misijama i konzularnim uredima te između njih i diplomatskih misija i konzularnih ureda drugih država članica Europske unije.</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rsidRPr="00A202BD">
        <w:trPr>
          <w:jc w:val="center"/>
        </w:trPr>
        <w:tc>
          <w:tcPr>
            <w:tcW w:w="2229" w:type="dxa"/>
            <w:shd w:val="clear" w:color="auto" w:fill="B5C0D8"/>
          </w:tcPr>
          <w:p w:rsidR="00D849AA" w:rsidRPr="00A202BD" w:rsidRDefault="00EE6D95">
            <w:pPr>
              <w:rPr>
                <w:rFonts w:ascii="Arial" w:hAnsi="Arial" w:cs="Arial"/>
              </w:rPr>
            </w:pPr>
            <w:r w:rsidRPr="00A202BD">
              <w:rPr>
                <w:rFonts w:ascii="Arial" w:hAnsi="Arial" w:cs="Arial"/>
              </w:rPr>
              <w:t>Pokazatelj učinka</w:t>
            </w:r>
          </w:p>
        </w:tc>
        <w:tc>
          <w:tcPr>
            <w:tcW w:w="1114" w:type="dxa"/>
            <w:shd w:val="clear" w:color="auto" w:fill="B5C0D8"/>
          </w:tcPr>
          <w:p w:rsidR="00D849AA" w:rsidRPr="00A202BD" w:rsidRDefault="00EE6D95">
            <w:pPr>
              <w:pStyle w:val="CellHeader"/>
            </w:pPr>
            <w:r w:rsidRPr="00A202BD">
              <w:t>Jedinica</w:t>
            </w:r>
          </w:p>
        </w:tc>
        <w:tc>
          <w:tcPr>
            <w:tcW w:w="1114" w:type="dxa"/>
            <w:shd w:val="clear" w:color="auto" w:fill="B5C0D8"/>
          </w:tcPr>
          <w:p w:rsidR="00D849AA" w:rsidRPr="00A202BD" w:rsidRDefault="00EE6D95">
            <w:pPr>
              <w:pStyle w:val="CellHeader"/>
            </w:pPr>
            <w:r w:rsidRPr="00A202BD">
              <w:t>Polazna vrijednost</w:t>
            </w:r>
          </w:p>
        </w:tc>
        <w:tc>
          <w:tcPr>
            <w:tcW w:w="1486" w:type="dxa"/>
            <w:shd w:val="clear" w:color="auto" w:fill="B5C0D8"/>
          </w:tcPr>
          <w:p w:rsidR="00D849AA" w:rsidRPr="00A202BD" w:rsidRDefault="00EE6D95">
            <w:pPr>
              <w:pStyle w:val="CellHeader"/>
            </w:pPr>
            <w:r w:rsidRPr="00A202BD">
              <w:t>Ciljana vrijednost (2014.)</w:t>
            </w:r>
          </w:p>
        </w:tc>
        <w:tc>
          <w:tcPr>
            <w:tcW w:w="1486" w:type="dxa"/>
            <w:shd w:val="clear" w:color="auto" w:fill="B5C0D8"/>
          </w:tcPr>
          <w:p w:rsidR="00D849AA" w:rsidRPr="00A202BD" w:rsidRDefault="00EE6D95">
            <w:pPr>
              <w:pStyle w:val="CellHeader"/>
            </w:pPr>
            <w:r w:rsidRPr="00A202BD">
              <w:t>Ciljana vrijednost (2015.)</w:t>
            </w:r>
          </w:p>
        </w:tc>
        <w:tc>
          <w:tcPr>
            <w:tcW w:w="1486" w:type="dxa"/>
            <w:shd w:val="clear" w:color="auto" w:fill="B5C0D8"/>
          </w:tcPr>
          <w:p w:rsidR="00D849AA" w:rsidRPr="00A202BD" w:rsidRDefault="00EE6D95">
            <w:pPr>
              <w:pStyle w:val="CellHeader"/>
            </w:pPr>
            <w:r w:rsidRPr="00A202BD">
              <w:t>Ciljana vrijednost (2016.)</w:t>
            </w:r>
          </w:p>
        </w:tc>
      </w:tr>
      <w:tr w:rsidR="00D849AA" w:rsidRPr="00A202BD">
        <w:trPr>
          <w:jc w:val="center"/>
        </w:trPr>
        <w:tc>
          <w:tcPr>
            <w:tcW w:w="2229" w:type="dxa"/>
          </w:tcPr>
          <w:p w:rsidR="00D849AA" w:rsidRPr="00A202BD" w:rsidRDefault="00EE6D95">
            <w:pPr>
              <w:pStyle w:val="CellColumn"/>
            </w:pPr>
            <w:r w:rsidRPr="00A202BD">
              <w:t>Jačanje međunarodnog položaja RH, kao i položaja RH u regiji, uspostava sustava pružanja konzularne zaštite usklađenog s EU standardima te širenje mira i stabilnosti</w:t>
            </w:r>
          </w:p>
        </w:tc>
        <w:tc>
          <w:tcPr>
            <w:tcW w:w="1114" w:type="dxa"/>
          </w:tcPr>
          <w:p w:rsidR="00D849AA" w:rsidRPr="00A202BD" w:rsidRDefault="00EE6D95">
            <w:pPr>
              <w:rPr>
                <w:rFonts w:ascii="Arial" w:hAnsi="Arial" w:cs="Arial"/>
              </w:rPr>
            </w:pPr>
            <w:r w:rsidRPr="00A202BD">
              <w:rPr>
                <w:rFonts w:ascii="Arial" w:hAnsi="Arial" w:cs="Arial"/>
              </w:rPr>
              <w:t>%</w:t>
            </w:r>
          </w:p>
        </w:tc>
        <w:tc>
          <w:tcPr>
            <w:tcW w:w="1114" w:type="dxa"/>
          </w:tcPr>
          <w:p w:rsidR="00D849AA" w:rsidRPr="00A202BD" w:rsidRDefault="00EE6D95">
            <w:pPr>
              <w:rPr>
                <w:rFonts w:ascii="Arial" w:hAnsi="Arial" w:cs="Arial"/>
              </w:rPr>
            </w:pPr>
            <w:r w:rsidRPr="00A202BD">
              <w:rPr>
                <w:rFonts w:ascii="Arial" w:hAnsi="Arial" w:cs="Arial"/>
              </w:rPr>
              <w:t>75</w:t>
            </w:r>
          </w:p>
        </w:tc>
        <w:tc>
          <w:tcPr>
            <w:tcW w:w="1486" w:type="dxa"/>
          </w:tcPr>
          <w:p w:rsidR="00D849AA" w:rsidRPr="00A202BD" w:rsidRDefault="00EE6D95">
            <w:pPr>
              <w:rPr>
                <w:rFonts w:ascii="Arial" w:hAnsi="Arial" w:cs="Arial"/>
              </w:rPr>
            </w:pPr>
            <w:r w:rsidRPr="00A202BD">
              <w:rPr>
                <w:rFonts w:ascii="Arial" w:hAnsi="Arial" w:cs="Arial"/>
              </w:rPr>
              <w:t>85</w:t>
            </w:r>
          </w:p>
        </w:tc>
        <w:tc>
          <w:tcPr>
            <w:tcW w:w="1486" w:type="dxa"/>
          </w:tcPr>
          <w:p w:rsidR="00D849AA" w:rsidRPr="00A202BD" w:rsidRDefault="00EE6D95">
            <w:pPr>
              <w:rPr>
                <w:rFonts w:ascii="Arial" w:hAnsi="Arial" w:cs="Arial"/>
              </w:rPr>
            </w:pPr>
            <w:r w:rsidRPr="00A202BD">
              <w:rPr>
                <w:rFonts w:ascii="Arial" w:hAnsi="Arial" w:cs="Arial"/>
              </w:rPr>
              <w:t>91</w:t>
            </w:r>
          </w:p>
        </w:tc>
        <w:tc>
          <w:tcPr>
            <w:tcW w:w="1486" w:type="dxa"/>
          </w:tcPr>
          <w:p w:rsidR="00D849AA" w:rsidRPr="00A202BD" w:rsidRDefault="00EE6D95">
            <w:pPr>
              <w:rPr>
                <w:rFonts w:ascii="Arial" w:hAnsi="Arial" w:cs="Arial"/>
              </w:rPr>
            </w:pPr>
            <w:r w:rsidRPr="00A202BD">
              <w:rPr>
                <w:rFonts w:ascii="Arial" w:hAnsi="Arial" w:cs="Arial"/>
              </w:rPr>
              <w:t>93</w:t>
            </w:r>
          </w:p>
        </w:tc>
      </w:tr>
    </w:tbl>
    <w:p w:rsidR="00D849AA" w:rsidRPr="00A202BD" w:rsidRDefault="00D849AA">
      <w:pPr>
        <w:jc w:val="left"/>
        <w:rPr>
          <w:rFonts w:ascii="Arial" w:hAnsi="Arial" w:cs="Arial"/>
        </w:rPr>
      </w:pPr>
    </w:p>
    <w:p w:rsidR="00D849AA" w:rsidRDefault="00EE6D95">
      <w:pPr>
        <w:pStyle w:val="Naslov5"/>
      </w:pPr>
      <w:r>
        <w:t>Procjena i ishodište potrebnih sredstava za značajnije aktivnosti/projekte</w:t>
      </w:r>
    </w:p>
    <w:p w:rsidR="00D849AA" w:rsidRDefault="00EE6D95">
      <w:pPr>
        <w:pStyle w:val="Naslov6"/>
      </w:pPr>
      <w:r>
        <w:t>A539032 MEĐUNARODNE ČLANARINE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A202BD" w:rsidRDefault="00EE6D95">
            <w:pPr>
              <w:pStyle w:val="CellHeader"/>
            </w:pPr>
            <w:r w:rsidRPr="00A202BD">
              <w:t>Naziv aktivnosti</w:t>
            </w:r>
          </w:p>
        </w:tc>
        <w:tc>
          <w:tcPr>
            <w:tcW w:w="1486" w:type="dxa"/>
            <w:shd w:val="clear" w:color="auto" w:fill="B5C0D8"/>
          </w:tcPr>
          <w:p w:rsidR="00D849AA" w:rsidRPr="00A202BD" w:rsidRDefault="00EE6D95">
            <w:pPr>
              <w:pStyle w:val="CellHeader"/>
            </w:pPr>
            <w:r w:rsidRPr="00A202BD">
              <w:t>Plan 2013.</w:t>
            </w:r>
          </w:p>
        </w:tc>
        <w:tc>
          <w:tcPr>
            <w:tcW w:w="1486" w:type="dxa"/>
            <w:shd w:val="clear" w:color="auto" w:fill="B5C0D8"/>
          </w:tcPr>
          <w:p w:rsidR="00D849AA" w:rsidRPr="00A202BD" w:rsidRDefault="00EE6D95">
            <w:pPr>
              <w:pStyle w:val="CellHeader"/>
            </w:pPr>
            <w:r w:rsidRPr="00A202BD">
              <w:t>Plan 2014.</w:t>
            </w:r>
          </w:p>
        </w:tc>
        <w:tc>
          <w:tcPr>
            <w:tcW w:w="1486" w:type="dxa"/>
            <w:shd w:val="clear" w:color="auto" w:fill="B5C0D8"/>
          </w:tcPr>
          <w:p w:rsidR="00D849AA" w:rsidRPr="00A202BD" w:rsidRDefault="00EE6D95">
            <w:pPr>
              <w:pStyle w:val="CellHeader"/>
            </w:pPr>
            <w:r w:rsidRPr="00A202BD">
              <w:t>Plan 2015.</w:t>
            </w:r>
          </w:p>
        </w:tc>
        <w:tc>
          <w:tcPr>
            <w:tcW w:w="1486" w:type="dxa"/>
            <w:shd w:val="clear" w:color="auto" w:fill="B5C0D8"/>
          </w:tcPr>
          <w:p w:rsidR="00D849AA" w:rsidRPr="00A202BD" w:rsidRDefault="00EE6D95">
            <w:pPr>
              <w:pStyle w:val="CellHeader"/>
            </w:pPr>
            <w:r w:rsidRPr="00A202BD">
              <w:t>Plan 2016.</w:t>
            </w:r>
          </w:p>
        </w:tc>
        <w:tc>
          <w:tcPr>
            <w:tcW w:w="1486" w:type="dxa"/>
            <w:shd w:val="clear" w:color="auto" w:fill="B5C0D8"/>
          </w:tcPr>
          <w:p w:rsidR="00D849AA" w:rsidRPr="00A202BD" w:rsidRDefault="00EE6D95">
            <w:pPr>
              <w:pStyle w:val="CellHeader"/>
            </w:pPr>
            <w:r w:rsidRPr="00A202BD">
              <w:t>Indeks 2014/2013</w:t>
            </w:r>
          </w:p>
        </w:tc>
      </w:tr>
      <w:tr w:rsidR="00D849AA">
        <w:trPr>
          <w:jc w:val="center"/>
        </w:trPr>
        <w:tc>
          <w:tcPr>
            <w:tcW w:w="1486" w:type="dxa"/>
          </w:tcPr>
          <w:p w:rsidR="00D849AA" w:rsidRPr="00A202BD" w:rsidRDefault="00EE6D95">
            <w:pPr>
              <w:pStyle w:val="CellColumn"/>
            </w:pPr>
            <w:r w:rsidRPr="00A202BD">
              <w:t>A539032</w:t>
            </w:r>
          </w:p>
        </w:tc>
        <w:tc>
          <w:tcPr>
            <w:tcW w:w="1486" w:type="dxa"/>
          </w:tcPr>
          <w:p w:rsidR="00D849AA" w:rsidRPr="00A202BD" w:rsidRDefault="00EE6D95">
            <w:pPr>
              <w:rPr>
                <w:rFonts w:ascii="Arial" w:hAnsi="Arial" w:cs="Arial"/>
              </w:rPr>
            </w:pPr>
            <w:r w:rsidRPr="00A202BD">
              <w:rPr>
                <w:rFonts w:ascii="Arial" w:hAnsi="Arial" w:cs="Arial"/>
              </w:rPr>
              <w:t>50.000.000</w:t>
            </w:r>
          </w:p>
        </w:tc>
        <w:tc>
          <w:tcPr>
            <w:tcW w:w="1486" w:type="dxa"/>
          </w:tcPr>
          <w:p w:rsidR="00D849AA" w:rsidRPr="00A202BD" w:rsidRDefault="00EE6D95">
            <w:pPr>
              <w:rPr>
                <w:rFonts w:ascii="Arial" w:hAnsi="Arial" w:cs="Arial"/>
              </w:rPr>
            </w:pPr>
            <w:r w:rsidRPr="00A202BD">
              <w:rPr>
                <w:rFonts w:ascii="Arial" w:hAnsi="Arial" w:cs="Arial"/>
              </w:rPr>
              <w:t>51.000.000</w:t>
            </w:r>
          </w:p>
        </w:tc>
        <w:tc>
          <w:tcPr>
            <w:tcW w:w="1486" w:type="dxa"/>
          </w:tcPr>
          <w:p w:rsidR="00D849AA" w:rsidRPr="00A202BD" w:rsidRDefault="00EE6D95">
            <w:pPr>
              <w:rPr>
                <w:rFonts w:ascii="Arial" w:hAnsi="Arial" w:cs="Arial"/>
              </w:rPr>
            </w:pPr>
            <w:r w:rsidRPr="00A202BD">
              <w:rPr>
                <w:rFonts w:ascii="Arial" w:hAnsi="Arial" w:cs="Arial"/>
              </w:rPr>
              <w:t>51.000.000</w:t>
            </w:r>
          </w:p>
        </w:tc>
        <w:tc>
          <w:tcPr>
            <w:tcW w:w="1486" w:type="dxa"/>
          </w:tcPr>
          <w:p w:rsidR="00D849AA" w:rsidRPr="00A202BD" w:rsidRDefault="00EE6D95">
            <w:pPr>
              <w:rPr>
                <w:rFonts w:ascii="Arial" w:hAnsi="Arial" w:cs="Arial"/>
              </w:rPr>
            </w:pPr>
            <w:r w:rsidRPr="00A202BD">
              <w:rPr>
                <w:rFonts w:ascii="Arial" w:hAnsi="Arial" w:cs="Arial"/>
              </w:rPr>
              <w:t>38.631.200</w:t>
            </w:r>
          </w:p>
        </w:tc>
        <w:tc>
          <w:tcPr>
            <w:tcW w:w="1486" w:type="dxa"/>
          </w:tcPr>
          <w:p w:rsidR="00D849AA" w:rsidRPr="00A202BD" w:rsidRDefault="00EE6D95">
            <w:pPr>
              <w:rPr>
                <w:rFonts w:ascii="Arial" w:hAnsi="Arial" w:cs="Arial"/>
              </w:rPr>
            </w:pPr>
            <w:r w:rsidRPr="00A202BD">
              <w:rPr>
                <w:rFonts w:ascii="Arial" w:hAnsi="Arial" w:cs="Arial"/>
              </w:rPr>
              <w:t>102,0</w:t>
            </w:r>
          </w:p>
        </w:tc>
      </w:tr>
    </w:tbl>
    <w:p w:rsidR="00D849AA" w:rsidRDefault="00D849AA">
      <w:pPr>
        <w:jc w:val="left"/>
      </w:pPr>
    </w:p>
    <w:p w:rsidR="00D849AA" w:rsidRDefault="00EE6D95">
      <w:pPr>
        <w:pStyle w:val="Normal6"/>
      </w:pPr>
      <w:r>
        <w:t xml:space="preserve">Vezano za provedbu Strateškog plana MVEP-a za razdoblje 2014.-2016., način ostvarenja 1.2.4. Aktivno sudjelovanje u međunarodnim organizacijama i globalnim forumima, uključujući ostvarivanje nacionalnih inicijativa, realizacija kandidatura te sudjelovanje u kreiranju ZVSP u području multilateralnih aktivnosti, usko je povezan s proračunskom aktivnošću A539032 Međunarodne članarine. Pravovremeno i cjelovito podmirivanje financijskih troškova koje proizlaze iz članstva RH u međunarodnim organizacijama, ima direktne implikacije na sudjelovanje u donošenju odluka, uključujući i pitanje donošenja proračuna međunarodnih organizacija.  </w:t>
      </w:r>
    </w:p>
    <w:p w:rsidR="00D849AA" w:rsidRDefault="00EE6D95">
      <w:pPr>
        <w:pStyle w:val="Normal6"/>
      </w:pPr>
      <w:r>
        <w:t>Republika Hrvatska je prema novoj Skali doprinosa usvojenoj od strane Opće skupštine UN-a krajem 2012. godine dužna sudjelovati u financiranju ove Organizacije, kao i njezinih specijaliziranih agencija, u omjeru od 0.126 %., što je gotovo 30% povećanje u odnosu na ranije razdoblje.</w:t>
      </w:r>
    </w:p>
    <w:p w:rsidR="00D849AA" w:rsidRDefault="00EE6D95">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A202BD" w:rsidRDefault="00EE6D95">
            <w:pPr>
              <w:rPr>
                <w:rFonts w:ascii="Arial" w:hAnsi="Arial" w:cs="Arial"/>
              </w:rPr>
            </w:pPr>
            <w:r w:rsidRPr="00A202BD">
              <w:rPr>
                <w:rFonts w:ascii="Arial" w:hAnsi="Arial" w:cs="Arial"/>
              </w:rPr>
              <w:t>Pokazatelj rezultata</w:t>
            </w:r>
          </w:p>
        </w:tc>
        <w:tc>
          <w:tcPr>
            <w:tcW w:w="1114" w:type="dxa"/>
            <w:shd w:val="clear" w:color="auto" w:fill="B5C0D8"/>
          </w:tcPr>
          <w:p w:rsidR="00D849AA" w:rsidRPr="00A202BD" w:rsidRDefault="00EE6D95">
            <w:pPr>
              <w:pStyle w:val="CellHeader"/>
            </w:pPr>
            <w:r w:rsidRPr="00A202BD">
              <w:t>Jedinica</w:t>
            </w:r>
          </w:p>
        </w:tc>
        <w:tc>
          <w:tcPr>
            <w:tcW w:w="1114" w:type="dxa"/>
            <w:shd w:val="clear" w:color="auto" w:fill="B5C0D8"/>
          </w:tcPr>
          <w:p w:rsidR="00D849AA" w:rsidRPr="00A202BD" w:rsidRDefault="00EE6D95">
            <w:pPr>
              <w:pStyle w:val="CellHeader"/>
            </w:pPr>
            <w:r w:rsidRPr="00A202BD">
              <w:t>Polazna vrijednost</w:t>
            </w:r>
          </w:p>
        </w:tc>
        <w:tc>
          <w:tcPr>
            <w:tcW w:w="1486" w:type="dxa"/>
            <w:shd w:val="clear" w:color="auto" w:fill="B5C0D8"/>
          </w:tcPr>
          <w:p w:rsidR="00D849AA" w:rsidRPr="00A202BD" w:rsidRDefault="00EE6D95">
            <w:pPr>
              <w:pStyle w:val="CellHeader"/>
            </w:pPr>
            <w:r w:rsidRPr="00A202BD">
              <w:t>Ciljana vrijednost (2014.)</w:t>
            </w:r>
          </w:p>
        </w:tc>
        <w:tc>
          <w:tcPr>
            <w:tcW w:w="1486" w:type="dxa"/>
            <w:shd w:val="clear" w:color="auto" w:fill="B5C0D8"/>
          </w:tcPr>
          <w:p w:rsidR="00D849AA" w:rsidRPr="00A202BD" w:rsidRDefault="00EE6D95">
            <w:pPr>
              <w:pStyle w:val="CellHeader"/>
            </w:pPr>
            <w:r w:rsidRPr="00A202BD">
              <w:t>Ciljana vrijednost (2015.)</w:t>
            </w:r>
          </w:p>
        </w:tc>
        <w:tc>
          <w:tcPr>
            <w:tcW w:w="1486" w:type="dxa"/>
            <w:shd w:val="clear" w:color="auto" w:fill="B5C0D8"/>
          </w:tcPr>
          <w:p w:rsidR="00D849AA" w:rsidRPr="00A202BD" w:rsidRDefault="00EE6D95">
            <w:pPr>
              <w:pStyle w:val="CellHeader"/>
            </w:pPr>
            <w:r w:rsidRPr="00A202BD">
              <w:t>Ciljana vrijednost (2016.)</w:t>
            </w:r>
          </w:p>
        </w:tc>
      </w:tr>
      <w:tr w:rsidR="00D849AA">
        <w:trPr>
          <w:jc w:val="center"/>
        </w:trPr>
        <w:tc>
          <w:tcPr>
            <w:tcW w:w="2229" w:type="dxa"/>
          </w:tcPr>
          <w:p w:rsidR="00D849AA" w:rsidRPr="00A202BD" w:rsidRDefault="00EE6D95">
            <w:pPr>
              <w:pStyle w:val="CellColumn"/>
            </w:pPr>
            <w:r w:rsidRPr="00A202BD">
              <w:t>Ostvarivanje utvrđenih vanjskopolitičkih ciljeva kroz realizaciju nacionalnih inicijativa u okviru međunarodnih organizacija  (UN, NATO, OESS, VE, OECD i dr.)</w:t>
            </w:r>
          </w:p>
        </w:tc>
        <w:tc>
          <w:tcPr>
            <w:tcW w:w="1114" w:type="dxa"/>
          </w:tcPr>
          <w:p w:rsidR="00D849AA" w:rsidRPr="00A202BD" w:rsidRDefault="00EE6D95">
            <w:pPr>
              <w:rPr>
                <w:rFonts w:ascii="Arial" w:hAnsi="Arial" w:cs="Arial"/>
              </w:rPr>
            </w:pPr>
            <w:r w:rsidRPr="00A202BD">
              <w:rPr>
                <w:rFonts w:ascii="Arial" w:hAnsi="Arial" w:cs="Arial"/>
              </w:rPr>
              <w:t>%</w:t>
            </w:r>
          </w:p>
        </w:tc>
        <w:tc>
          <w:tcPr>
            <w:tcW w:w="1114" w:type="dxa"/>
          </w:tcPr>
          <w:p w:rsidR="00D849AA" w:rsidRPr="00A202BD" w:rsidRDefault="00EE6D95">
            <w:pPr>
              <w:rPr>
                <w:rFonts w:ascii="Arial" w:hAnsi="Arial" w:cs="Arial"/>
              </w:rPr>
            </w:pPr>
            <w:r w:rsidRPr="00A202BD">
              <w:rPr>
                <w:rFonts w:ascii="Arial" w:hAnsi="Arial" w:cs="Arial"/>
              </w:rPr>
              <w:t>50</w:t>
            </w:r>
          </w:p>
        </w:tc>
        <w:tc>
          <w:tcPr>
            <w:tcW w:w="1486" w:type="dxa"/>
          </w:tcPr>
          <w:p w:rsidR="00D849AA" w:rsidRPr="00A202BD" w:rsidRDefault="00EE6D95">
            <w:pPr>
              <w:rPr>
                <w:rFonts w:ascii="Arial" w:hAnsi="Arial" w:cs="Arial"/>
              </w:rPr>
            </w:pPr>
            <w:r w:rsidRPr="00A202BD">
              <w:rPr>
                <w:rFonts w:ascii="Arial" w:hAnsi="Arial" w:cs="Arial"/>
              </w:rPr>
              <w:t>55</w:t>
            </w:r>
          </w:p>
        </w:tc>
        <w:tc>
          <w:tcPr>
            <w:tcW w:w="1486" w:type="dxa"/>
          </w:tcPr>
          <w:p w:rsidR="00D849AA" w:rsidRPr="00A202BD" w:rsidRDefault="00EE6D95">
            <w:pPr>
              <w:rPr>
                <w:rFonts w:ascii="Arial" w:hAnsi="Arial" w:cs="Arial"/>
              </w:rPr>
            </w:pPr>
            <w:r w:rsidRPr="00A202BD">
              <w:rPr>
                <w:rFonts w:ascii="Arial" w:hAnsi="Arial" w:cs="Arial"/>
              </w:rPr>
              <w:t>57</w:t>
            </w:r>
          </w:p>
        </w:tc>
        <w:tc>
          <w:tcPr>
            <w:tcW w:w="1486" w:type="dxa"/>
          </w:tcPr>
          <w:p w:rsidR="00D849AA" w:rsidRPr="00A202BD" w:rsidRDefault="00EE6D95">
            <w:pPr>
              <w:rPr>
                <w:rFonts w:ascii="Arial" w:hAnsi="Arial" w:cs="Arial"/>
              </w:rPr>
            </w:pPr>
            <w:r w:rsidRPr="00A202BD">
              <w:rPr>
                <w:rFonts w:ascii="Arial" w:hAnsi="Arial" w:cs="Arial"/>
              </w:rPr>
              <w:t>60</w:t>
            </w:r>
          </w:p>
        </w:tc>
      </w:tr>
    </w:tbl>
    <w:p w:rsidR="00D849AA" w:rsidRDefault="00D849AA">
      <w:pPr>
        <w:jc w:val="left"/>
      </w:pPr>
    </w:p>
    <w:p w:rsidR="00D849AA" w:rsidRDefault="00EE6D95">
      <w:pPr>
        <w:pStyle w:val="Naslov6"/>
      </w:pPr>
      <w:r>
        <w:t>A778061 GOSPODARSKA BILATERALA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rsidRPr="00A202BD">
        <w:trPr>
          <w:jc w:val="center"/>
        </w:trPr>
        <w:tc>
          <w:tcPr>
            <w:tcW w:w="1486" w:type="dxa"/>
            <w:shd w:val="clear" w:color="auto" w:fill="B5C0D8"/>
          </w:tcPr>
          <w:p w:rsidR="00D849AA" w:rsidRPr="00A202BD" w:rsidRDefault="00EE6D95">
            <w:pPr>
              <w:pStyle w:val="CellHeader"/>
            </w:pPr>
            <w:r w:rsidRPr="00A202BD">
              <w:t>Naziv aktivnosti</w:t>
            </w:r>
          </w:p>
        </w:tc>
        <w:tc>
          <w:tcPr>
            <w:tcW w:w="1486" w:type="dxa"/>
            <w:shd w:val="clear" w:color="auto" w:fill="B5C0D8"/>
          </w:tcPr>
          <w:p w:rsidR="00D849AA" w:rsidRPr="00A202BD" w:rsidRDefault="00EE6D95">
            <w:pPr>
              <w:pStyle w:val="CellHeader"/>
            </w:pPr>
            <w:r w:rsidRPr="00A202BD">
              <w:t>Plan 2013.</w:t>
            </w:r>
          </w:p>
        </w:tc>
        <w:tc>
          <w:tcPr>
            <w:tcW w:w="1486" w:type="dxa"/>
            <w:shd w:val="clear" w:color="auto" w:fill="B5C0D8"/>
          </w:tcPr>
          <w:p w:rsidR="00D849AA" w:rsidRPr="00A202BD" w:rsidRDefault="00EE6D95">
            <w:pPr>
              <w:pStyle w:val="CellHeader"/>
            </w:pPr>
            <w:r w:rsidRPr="00A202BD">
              <w:t>Plan 2014.</w:t>
            </w:r>
          </w:p>
        </w:tc>
        <w:tc>
          <w:tcPr>
            <w:tcW w:w="1486" w:type="dxa"/>
            <w:shd w:val="clear" w:color="auto" w:fill="B5C0D8"/>
          </w:tcPr>
          <w:p w:rsidR="00D849AA" w:rsidRPr="00A202BD" w:rsidRDefault="00EE6D95">
            <w:pPr>
              <w:pStyle w:val="CellHeader"/>
            </w:pPr>
            <w:r w:rsidRPr="00A202BD">
              <w:t>Plan 2015.</w:t>
            </w:r>
          </w:p>
        </w:tc>
        <w:tc>
          <w:tcPr>
            <w:tcW w:w="1486" w:type="dxa"/>
            <w:shd w:val="clear" w:color="auto" w:fill="B5C0D8"/>
          </w:tcPr>
          <w:p w:rsidR="00D849AA" w:rsidRPr="00A202BD" w:rsidRDefault="00EE6D95">
            <w:pPr>
              <w:pStyle w:val="CellHeader"/>
            </w:pPr>
            <w:r w:rsidRPr="00A202BD">
              <w:t>Plan 2016.</w:t>
            </w:r>
          </w:p>
        </w:tc>
        <w:tc>
          <w:tcPr>
            <w:tcW w:w="1486" w:type="dxa"/>
            <w:shd w:val="clear" w:color="auto" w:fill="B5C0D8"/>
          </w:tcPr>
          <w:p w:rsidR="00D849AA" w:rsidRPr="00A202BD" w:rsidRDefault="00EE6D95">
            <w:pPr>
              <w:pStyle w:val="CellHeader"/>
            </w:pPr>
            <w:r w:rsidRPr="00A202BD">
              <w:t>Indeks 2014/2013</w:t>
            </w:r>
          </w:p>
        </w:tc>
      </w:tr>
      <w:tr w:rsidR="00D849AA" w:rsidRPr="00A202BD">
        <w:trPr>
          <w:jc w:val="center"/>
        </w:trPr>
        <w:tc>
          <w:tcPr>
            <w:tcW w:w="1486" w:type="dxa"/>
          </w:tcPr>
          <w:p w:rsidR="00D849AA" w:rsidRPr="00A202BD" w:rsidRDefault="00EE6D95">
            <w:pPr>
              <w:pStyle w:val="CellColumn"/>
            </w:pPr>
            <w:r w:rsidRPr="00A202BD">
              <w:t>A778061</w:t>
            </w:r>
          </w:p>
        </w:tc>
        <w:tc>
          <w:tcPr>
            <w:tcW w:w="1486" w:type="dxa"/>
          </w:tcPr>
          <w:p w:rsidR="00D849AA" w:rsidRPr="00A202BD" w:rsidRDefault="00EE6D95">
            <w:pPr>
              <w:rPr>
                <w:rFonts w:ascii="Arial" w:hAnsi="Arial" w:cs="Arial"/>
              </w:rPr>
            </w:pPr>
            <w:r w:rsidRPr="00A202BD">
              <w:rPr>
                <w:rFonts w:ascii="Arial" w:hAnsi="Arial" w:cs="Arial"/>
              </w:rPr>
              <w:t>00</w:t>
            </w:r>
          </w:p>
        </w:tc>
        <w:tc>
          <w:tcPr>
            <w:tcW w:w="1486" w:type="dxa"/>
          </w:tcPr>
          <w:p w:rsidR="00D849AA" w:rsidRPr="00A202BD" w:rsidRDefault="00EE6D95">
            <w:pPr>
              <w:rPr>
                <w:rFonts w:ascii="Arial" w:hAnsi="Arial" w:cs="Arial"/>
              </w:rPr>
            </w:pPr>
            <w:r w:rsidRPr="00A202BD">
              <w:rPr>
                <w:rFonts w:ascii="Arial" w:hAnsi="Arial" w:cs="Arial"/>
              </w:rPr>
              <w:t>2.000.000</w:t>
            </w:r>
          </w:p>
        </w:tc>
        <w:tc>
          <w:tcPr>
            <w:tcW w:w="1486" w:type="dxa"/>
          </w:tcPr>
          <w:p w:rsidR="00D849AA" w:rsidRPr="00A202BD" w:rsidRDefault="00EE6D95">
            <w:pPr>
              <w:rPr>
                <w:rFonts w:ascii="Arial" w:hAnsi="Arial" w:cs="Arial"/>
              </w:rPr>
            </w:pPr>
            <w:r w:rsidRPr="00A202BD">
              <w:rPr>
                <w:rFonts w:ascii="Arial" w:hAnsi="Arial" w:cs="Arial"/>
              </w:rPr>
              <w:t>4.000.000</w:t>
            </w:r>
          </w:p>
        </w:tc>
        <w:tc>
          <w:tcPr>
            <w:tcW w:w="1486" w:type="dxa"/>
          </w:tcPr>
          <w:p w:rsidR="00D849AA" w:rsidRPr="00A202BD" w:rsidRDefault="00EE6D95">
            <w:pPr>
              <w:rPr>
                <w:rFonts w:ascii="Arial" w:hAnsi="Arial" w:cs="Arial"/>
              </w:rPr>
            </w:pPr>
            <w:r w:rsidRPr="00A202BD">
              <w:rPr>
                <w:rFonts w:ascii="Arial" w:hAnsi="Arial" w:cs="Arial"/>
              </w:rPr>
              <w:t>4.000.000</w:t>
            </w:r>
          </w:p>
        </w:tc>
        <w:tc>
          <w:tcPr>
            <w:tcW w:w="1486" w:type="dxa"/>
          </w:tcPr>
          <w:p w:rsidR="00D849AA" w:rsidRPr="00A202BD" w:rsidRDefault="00EE6D95">
            <w:pPr>
              <w:rPr>
                <w:rFonts w:ascii="Arial" w:hAnsi="Arial" w:cs="Arial"/>
              </w:rPr>
            </w:pPr>
            <w:r w:rsidRPr="00A202BD">
              <w:rPr>
                <w:rFonts w:ascii="Arial" w:hAnsi="Arial" w:cs="Arial"/>
              </w:rPr>
              <w:t>0,0</w:t>
            </w:r>
          </w:p>
        </w:tc>
      </w:tr>
    </w:tbl>
    <w:p w:rsidR="00D849AA" w:rsidRPr="00A202BD" w:rsidRDefault="00D849AA">
      <w:pPr>
        <w:jc w:val="left"/>
        <w:rPr>
          <w:rFonts w:ascii="Arial" w:hAnsi="Arial" w:cs="Arial"/>
        </w:rPr>
      </w:pPr>
    </w:p>
    <w:p w:rsidR="00D849AA" w:rsidRDefault="00EE6D95">
      <w:pPr>
        <w:pStyle w:val="Normal6"/>
      </w:pPr>
      <w:r>
        <w:t>Razvoj gospodarskih bilateralnih odnosa provodi se sa svrhom realizacije hrvatskih gospodarskih interesa, prije svega onih koji se odnose na povećanje hrvatskog izvoza, privlačenje stranih investicija te zaštite interesa hrvatskih kompanija u inozemstvu. Razvoj gospodarske diplomacije koja bi kvalitetno mogla doprinositi realizaciji hrvatskih  gospodarskih ciljeva jedna je od ključnih sastavnica ukupnog hrvatskog vanjskopolitičkog angažmana što je i prepoznato u Strateškom planu kao reformska mjera Ministarstva. Ministarstvo će bitno ojačati svoje aktivnosti u sva tri navedena područja gospodarske diplomacije, prije svega kroz proaktivno praćenje svakog gospodarskog projekta te intenzivnije komuniciranje s gospodarskim subjektima. Ministarstvo vanjskih i europskih poslova će nastaviti usmjeravati i koordinirati druga tijela državne uprave u nastupanju u inozemstvu u području gospodarske suradnje, a poseban će doprinos davati u okviru Koordinacije Vlade Republike Hrvatske za gospodarstvo. Ministarstvo će održavati stalne kontakte s predstavnicima stranih komora u Republici Hrvatskoj te doprinositi rješavanju problema stranih investitora u Hrvatskoj. Posebna pažnja bit će posvećena intenzivnijem komuniciranju s diplomatskom mrežom te mrežom počasnih konzula, kojima će biti davane redovite iscrpne informacije i upute te čiji će rad u području gospodarske diplomacije biti pomno praćen i vrednovan. Prilikom promišljanja budućeg razvoja mreže diplomatsko konzularnih predstavništava, dinamika razvoja gospodarske bilateralne suradnje predstavljat će vrlo važan faktor.  Ministarstvo vanjskih i europskih poslova nastavit će s poticanjem sklapanja legislativnog okvira iz područja gospodarske suradnje. Ministarstvo će aktivno usmjeravati hrvatsko sudjelovanje u multilateralnim gospodarskim organizacijama te aktivnostima u domeni trgovinske politike, uključivo s  usvajanjem zajedničke trgovinske politike i trgovinskih mjera u okviru Europske unije.</w:t>
      </w:r>
    </w:p>
    <w:p w:rsidR="00A202BD" w:rsidRDefault="00A202BD">
      <w:pPr>
        <w:pStyle w:val="Normal6"/>
      </w:pPr>
    </w:p>
    <w:p w:rsidR="00A202BD" w:rsidRDefault="00A202BD">
      <w:pPr>
        <w:pStyle w:val="Normal6"/>
      </w:pPr>
    </w:p>
    <w:p w:rsidR="00A202BD" w:rsidRDefault="00A202BD">
      <w:pPr>
        <w:pStyle w:val="Normal6"/>
      </w:pPr>
    </w:p>
    <w:p w:rsidR="00A202BD" w:rsidRDefault="00A202BD">
      <w:pPr>
        <w:pStyle w:val="Normal6"/>
      </w:pPr>
    </w:p>
    <w:p w:rsidR="00D849AA" w:rsidRDefault="00EE6D95">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A202BD" w:rsidRDefault="00EE6D95">
            <w:pPr>
              <w:rPr>
                <w:rFonts w:ascii="Arial" w:hAnsi="Arial" w:cs="Arial"/>
              </w:rPr>
            </w:pPr>
            <w:r w:rsidRPr="00A202BD">
              <w:rPr>
                <w:rFonts w:ascii="Arial" w:hAnsi="Arial" w:cs="Arial"/>
              </w:rPr>
              <w:t>Pokazatelj rezultata</w:t>
            </w:r>
          </w:p>
        </w:tc>
        <w:tc>
          <w:tcPr>
            <w:tcW w:w="1114" w:type="dxa"/>
            <w:shd w:val="clear" w:color="auto" w:fill="B5C0D8"/>
          </w:tcPr>
          <w:p w:rsidR="00D849AA" w:rsidRPr="00A202BD" w:rsidRDefault="00EE6D95">
            <w:pPr>
              <w:pStyle w:val="CellHeader"/>
            </w:pPr>
            <w:r w:rsidRPr="00A202BD">
              <w:t>Jedinica</w:t>
            </w:r>
          </w:p>
        </w:tc>
        <w:tc>
          <w:tcPr>
            <w:tcW w:w="1114" w:type="dxa"/>
            <w:shd w:val="clear" w:color="auto" w:fill="B5C0D8"/>
          </w:tcPr>
          <w:p w:rsidR="00D849AA" w:rsidRPr="00A202BD" w:rsidRDefault="00EE6D95">
            <w:pPr>
              <w:pStyle w:val="CellHeader"/>
            </w:pPr>
            <w:r w:rsidRPr="00A202BD">
              <w:t>Polazna vrijednost</w:t>
            </w:r>
          </w:p>
        </w:tc>
        <w:tc>
          <w:tcPr>
            <w:tcW w:w="1486" w:type="dxa"/>
            <w:shd w:val="clear" w:color="auto" w:fill="B5C0D8"/>
          </w:tcPr>
          <w:p w:rsidR="00D849AA" w:rsidRPr="00A202BD" w:rsidRDefault="00EE6D95">
            <w:pPr>
              <w:pStyle w:val="CellHeader"/>
            </w:pPr>
            <w:r w:rsidRPr="00A202BD">
              <w:t>Ciljana vrijednost (2014.)</w:t>
            </w:r>
          </w:p>
        </w:tc>
        <w:tc>
          <w:tcPr>
            <w:tcW w:w="1486" w:type="dxa"/>
            <w:shd w:val="clear" w:color="auto" w:fill="B5C0D8"/>
          </w:tcPr>
          <w:p w:rsidR="00D849AA" w:rsidRPr="00A202BD" w:rsidRDefault="00EE6D95">
            <w:pPr>
              <w:pStyle w:val="CellHeader"/>
            </w:pPr>
            <w:r w:rsidRPr="00A202BD">
              <w:t>Ciljana vrijednost (2015.)</w:t>
            </w:r>
          </w:p>
        </w:tc>
        <w:tc>
          <w:tcPr>
            <w:tcW w:w="1486" w:type="dxa"/>
            <w:shd w:val="clear" w:color="auto" w:fill="B5C0D8"/>
          </w:tcPr>
          <w:p w:rsidR="00D849AA" w:rsidRPr="00A202BD" w:rsidRDefault="00EE6D95">
            <w:pPr>
              <w:pStyle w:val="CellHeader"/>
            </w:pPr>
            <w:r w:rsidRPr="00A202BD">
              <w:t>Ciljana vrijednost (2016.)</w:t>
            </w:r>
          </w:p>
        </w:tc>
      </w:tr>
      <w:tr w:rsidR="00D849AA">
        <w:trPr>
          <w:jc w:val="center"/>
        </w:trPr>
        <w:tc>
          <w:tcPr>
            <w:tcW w:w="2229" w:type="dxa"/>
          </w:tcPr>
          <w:p w:rsidR="00D849AA" w:rsidRPr="00A202BD" w:rsidRDefault="00EE6D95">
            <w:pPr>
              <w:pStyle w:val="CellColumn"/>
            </w:pPr>
            <w:r w:rsidRPr="00A202BD">
              <w:t>Bilateralna događanja (kontakti, posjete i redoviti Mješoviti gospodarski i trgovinski odbori s ključnim zemljama partnerima)</w:t>
            </w:r>
          </w:p>
        </w:tc>
        <w:tc>
          <w:tcPr>
            <w:tcW w:w="1114" w:type="dxa"/>
          </w:tcPr>
          <w:p w:rsidR="00D849AA" w:rsidRPr="00A202BD" w:rsidRDefault="00EE6D95">
            <w:pPr>
              <w:rPr>
                <w:rFonts w:ascii="Arial" w:hAnsi="Arial" w:cs="Arial"/>
              </w:rPr>
            </w:pPr>
            <w:r w:rsidRPr="00A202BD">
              <w:rPr>
                <w:rFonts w:ascii="Arial" w:hAnsi="Arial" w:cs="Arial"/>
              </w:rPr>
              <w:t>broj</w:t>
            </w:r>
          </w:p>
        </w:tc>
        <w:tc>
          <w:tcPr>
            <w:tcW w:w="1114" w:type="dxa"/>
          </w:tcPr>
          <w:p w:rsidR="00D849AA" w:rsidRPr="00A202BD" w:rsidRDefault="00EE6D95">
            <w:pPr>
              <w:rPr>
                <w:rFonts w:ascii="Arial" w:hAnsi="Arial" w:cs="Arial"/>
              </w:rPr>
            </w:pPr>
            <w:r w:rsidRPr="00A202BD">
              <w:rPr>
                <w:rFonts w:ascii="Arial" w:hAnsi="Arial" w:cs="Arial"/>
              </w:rPr>
              <w:t>26</w:t>
            </w:r>
          </w:p>
        </w:tc>
        <w:tc>
          <w:tcPr>
            <w:tcW w:w="1486" w:type="dxa"/>
          </w:tcPr>
          <w:p w:rsidR="00D849AA" w:rsidRPr="00A202BD" w:rsidRDefault="00EE6D95">
            <w:pPr>
              <w:rPr>
                <w:rFonts w:ascii="Arial" w:hAnsi="Arial" w:cs="Arial"/>
              </w:rPr>
            </w:pPr>
            <w:r w:rsidRPr="00A202BD">
              <w:rPr>
                <w:rFonts w:ascii="Arial" w:hAnsi="Arial" w:cs="Arial"/>
              </w:rPr>
              <w:t>52</w:t>
            </w:r>
          </w:p>
        </w:tc>
        <w:tc>
          <w:tcPr>
            <w:tcW w:w="1486" w:type="dxa"/>
          </w:tcPr>
          <w:p w:rsidR="00D849AA" w:rsidRPr="00A202BD" w:rsidRDefault="00EE6D95">
            <w:pPr>
              <w:rPr>
                <w:rFonts w:ascii="Arial" w:hAnsi="Arial" w:cs="Arial"/>
              </w:rPr>
            </w:pPr>
            <w:r w:rsidRPr="00A202BD">
              <w:rPr>
                <w:rFonts w:ascii="Arial" w:hAnsi="Arial" w:cs="Arial"/>
              </w:rPr>
              <w:t>78</w:t>
            </w:r>
          </w:p>
        </w:tc>
        <w:tc>
          <w:tcPr>
            <w:tcW w:w="1486" w:type="dxa"/>
          </w:tcPr>
          <w:p w:rsidR="00D849AA" w:rsidRPr="00A202BD" w:rsidRDefault="00EE6D95">
            <w:pPr>
              <w:rPr>
                <w:rFonts w:ascii="Arial" w:hAnsi="Arial" w:cs="Arial"/>
              </w:rPr>
            </w:pPr>
            <w:r w:rsidRPr="00A202BD">
              <w:rPr>
                <w:rFonts w:ascii="Arial" w:hAnsi="Arial" w:cs="Arial"/>
              </w:rPr>
              <w:t>104</w:t>
            </w:r>
          </w:p>
        </w:tc>
      </w:tr>
    </w:tbl>
    <w:p w:rsidR="00D849AA" w:rsidRDefault="00D849AA">
      <w:pPr>
        <w:jc w:val="left"/>
      </w:pPr>
    </w:p>
    <w:p w:rsidR="00D849AA" w:rsidRDefault="00EE6D95">
      <w:pPr>
        <w:pStyle w:val="Naslov6"/>
      </w:pPr>
      <w:r>
        <w:t>K776046 RAZVOJNA SURADNJA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A202BD" w:rsidRDefault="00EE6D95">
            <w:pPr>
              <w:pStyle w:val="CellHeader"/>
            </w:pPr>
            <w:r w:rsidRPr="00A202BD">
              <w:t>Naziv aktivnosti</w:t>
            </w:r>
          </w:p>
        </w:tc>
        <w:tc>
          <w:tcPr>
            <w:tcW w:w="1486" w:type="dxa"/>
            <w:shd w:val="clear" w:color="auto" w:fill="B5C0D8"/>
          </w:tcPr>
          <w:p w:rsidR="00D849AA" w:rsidRPr="00A202BD" w:rsidRDefault="00EE6D95">
            <w:pPr>
              <w:pStyle w:val="CellHeader"/>
            </w:pPr>
            <w:r w:rsidRPr="00A202BD">
              <w:t>Plan 2013.</w:t>
            </w:r>
          </w:p>
        </w:tc>
        <w:tc>
          <w:tcPr>
            <w:tcW w:w="1486" w:type="dxa"/>
            <w:shd w:val="clear" w:color="auto" w:fill="B5C0D8"/>
          </w:tcPr>
          <w:p w:rsidR="00D849AA" w:rsidRPr="00A202BD" w:rsidRDefault="00EE6D95">
            <w:pPr>
              <w:pStyle w:val="CellHeader"/>
            </w:pPr>
            <w:r w:rsidRPr="00A202BD">
              <w:t>Plan 2014.</w:t>
            </w:r>
          </w:p>
        </w:tc>
        <w:tc>
          <w:tcPr>
            <w:tcW w:w="1486" w:type="dxa"/>
            <w:shd w:val="clear" w:color="auto" w:fill="B5C0D8"/>
          </w:tcPr>
          <w:p w:rsidR="00D849AA" w:rsidRPr="00A202BD" w:rsidRDefault="00EE6D95">
            <w:pPr>
              <w:pStyle w:val="CellHeader"/>
            </w:pPr>
            <w:r w:rsidRPr="00A202BD">
              <w:t>Plan 2015.</w:t>
            </w:r>
          </w:p>
        </w:tc>
        <w:tc>
          <w:tcPr>
            <w:tcW w:w="1486" w:type="dxa"/>
            <w:shd w:val="clear" w:color="auto" w:fill="B5C0D8"/>
          </w:tcPr>
          <w:p w:rsidR="00D849AA" w:rsidRPr="00A202BD" w:rsidRDefault="00EE6D95">
            <w:pPr>
              <w:pStyle w:val="CellHeader"/>
            </w:pPr>
            <w:r w:rsidRPr="00A202BD">
              <w:t>Plan 2016.</w:t>
            </w:r>
          </w:p>
        </w:tc>
        <w:tc>
          <w:tcPr>
            <w:tcW w:w="1486" w:type="dxa"/>
            <w:shd w:val="clear" w:color="auto" w:fill="B5C0D8"/>
          </w:tcPr>
          <w:p w:rsidR="00D849AA" w:rsidRPr="00A202BD" w:rsidRDefault="00EE6D95">
            <w:pPr>
              <w:pStyle w:val="CellHeader"/>
            </w:pPr>
            <w:r w:rsidRPr="00A202BD">
              <w:t>Indeks 2014/2013</w:t>
            </w:r>
          </w:p>
        </w:tc>
      </w:tr>
      <w:tr w:rsidR="00D849AA">
        <w:trPr>
          <w:jc w:val="center"/>
        </w:trPr>
        <w:tc>
          <w:tcPr>
            <w:tcW w:w="1486" w:type="dxa"/>
          </w:tcPr>
          <w:p w:rsidR="00D849AA" w:rsidRPr="00A202BD" w:rsidRDefault="00EE6D95">
            <w:pPr>
              <w:pStyle w:val="CellColumn"/>
            </w:pPr>
            <w:r w:rsidRPr="00A202BD">
              <w:t>K776046</w:t>
            </w:r>
          </w:p>
        </w:tc>
        <w:tc>
          <w:tcPr>
            <w:tcW w:w="1486" w:type="dxa"/>
          </w:tcPr>
          <w:p w:rsidR="00D849AA" w:rsidRPr="00A202BD" w:rsidRDefault="00EE6D95">
            <w:pPr>
              <w:rPr>
                <w:rFonts w:ascii="Arial" w:hAnsi="Arial" w:cs="Arial"/>
              </w:rPr>
            </w:pPr>
            <w:r w:rsidRPr="00A202BD">
              <w:rPr>
                <w:rFonts w:ascii="Arial" w:hAnsi="Arial" w:cs="Arial"/>
              </w:rPr>
              <w:t>7.000.000</w:t>
            </w:r>
          </w:p>
        </w:tc>
        <w:tc>
          <w:tcPr>
            <w:tcW w:w="1486" w:type="dxa"/>
          </w:tcPr>
          <w:p w:rsidR="00D849AA" w:rsidRPr="00A202BD" w:rsidRDefault="00EE6D95">
            <w:pPr>
              <w:rPr>
                <w:rFonts w:ascii="Arial" w:hAnsi="Arial" w:cs="Arial"/>
              </w:rPr>
            </w:pPr>
            <w:r w:rsidRPr="00A202BD">
              <w:rPr>
                <w:rFonts w:ascii="Arial" w:hAnsi="Arial" w:cs="Arial"/>
              </w:rPr>
              <w:t>10.000.000</w:t>
            </w:r>
          </w:p>
        </w:tc>
        <w:tc>
          <w:tcPr>
            <w:tcW w:w="1486" w:type="dxa"/>
          </w:tcPr>
          <w:p w:rsidR="00D849AA" w:rsidRPr="00A202BD" w:rsidRDefault="00EE6D95">
            <w:pPr>
              <w:rPr>
                <w:rFonts w:ascii="Arial" w:hAnsi="Arial" w:cs="Arial"/>
              </w:rPr>
            </w:pPr>
            <w:r w:rsidRPr="00A202BD">
              <w:rPr>
                <w:rFonts w:ascii="Arial" w:hAnsi="Arial" w:cs="Arial"/>
              </w:rPr>
              <w:t>10.000.000</w:t>
            </w:r>
          </w:p>
        </w:tc>
        <w:tc>
          <w:tcPr>
            <w:tcW w:w="1486" w:type="dxa"/>
          </w:tcPr>
          <w:p w:rsidR="00D849AA" w:rsidRPr="00A202BD" w:rsidRDefault="00EE6D95">
            <w:pPr>
              <w:rPr>
                <w:rFonts w:ascii="Arial" w:hAnsi="Arial" w:cs="Arial"/>
              </w:rPr>
            </w:pPr>
            <w:r w:rsidRPr="00A202BD">
              <w:rPr>
                <w:rFonts w:ascii="Arial" w:hAnsi="Arial" w:cs="Arial"/>
              </w:rPr>
              <w:t>10.000.000</w:t>
            </w:r>
          </w:p>
        </w:tc>
        <w:tc>
          <w:tcPr>
            <w:tcW w:w="1486" w:type="dxa"/>
          </w:tcPr>
          <w:p w:rsidR="00D849AA" w:rsidRPr="00A202BD" w:rsidRDefault="00EE6D95">
            <w:pPr>
              <w:rPr>
                <w:rFonts w:ascii="Arial" w:hAnsi="Arial" w:cs="Arial"/>
              </w:rPr>
            </w:pPr>
            <w:r w:rsidRPr="00A202BD">
              <w:rPr>
                <w:rFonts w:ascii="Arial" w:hAnsi="Arial" w:cs="Arial"/>
              </w:rPr>
              <w:t>142,9</w:t>
            </w:r>
          </w:p>
        </w:tc>
      </w:tr>
    </w:tbl>
    <w:p w:rsidR="00D849AA" w:rsidRDefault="00D849AA">
      <w:pPr>
        <w:jc w:val="left"/>
      </w:pPr>
    </w:p>
    <w:p w:rsidR="00D849AA" w:rsidRDefault="00EE6D95">
      <w:pPr>
        <w:pStyle w:val="Normal6"/>
      </w:pPr>
      <w:r>
        <w:t xml:space="preserve">Sukladno Zakonu o razvojnoj suradnji i humanitarnoj pomoći (NN 146/2008), MVEP je glavni koordinator razvojne suradnje i humanitarne pomoći. Između ostalog, u nadležnost MVEP spada i provedba razvojnih i humanitarnih projekata, što se posebno izdvaja načinom ostvarenja Strateškog plana MVEP-a za razdoblje 2014.-2016.: 1.2.6. Oblikovanje politike međunarodne razvojne suradnje i humanitarne pomoći inozemstvu, koordinacija, provedba i izvještavanje. </w:t>
      </w:r>
    </w:p>
    <w:p w:rsidR="00D849AA" w:rsidRDefault="00EE6D95" w:rsidP="00A202BD">
      <w:pPr>
        <w:pStyle w:val="Normal6"/>
      </w:pPr>
      <w:r>
        <w:t xml:space="preserve">Uzimajući u obzir ciljeve, načela i provedbeni okvir službene razvojne suradnje Republike Hrvatske, u skladu sa Zakonom o razvojnoj suradnji i humanitarnoj pomoći inozemstvu (Narodne novine, 146/2008) i Nacionalnom strategijom razvojne suradnje Republike Hrvatske za razdoblje od 2009. do 2014. godine (Narodne novine, 24/2009), planira se sveobuhvatniji i usmjereniji proces planiranja programa razvojne pomoći te učinkovitije upravljanje projektnim ciklusima. S tim u vezi projekti razvojne suradnje i humanitarne pomoći biti će usmjereni sektorski u četiri osnovna područja: obrazovanje, zdravstvo, turizam i razvoj civilnog društva te na pružanje humanitarne pomoći koja uključuje hitne intervencije, smanjenje rizika od nepogoda i humanitarne aktivnosti povezivanja oporavka i razvoja.   </w:t>
      </w:r>
    </w:p>
    <w:p w:rsidR="00D849AA" w:rsidRDefault="00EE6D95">
      <w:pPr>
        <w:pStyle w:val="Normal6"/>
      </w:pPr>
      <w:r>
        <w:t>Sukladno obvezama preuzetim u okviru pregovaračkog poglavlja 30: Vanjski odnosi, EK je iznijela očekivanja da RH dosegne razinu izdvajanja za razvojnu pomoć koju EU predviđa za nove zemlje članice, u visini 0,17% BND do 2010. godine te 0,33% BND do 2015. U realnom smislu, a s obzirom na trenutne gospodarske pokazatelje, to bi za RH značilo izdvajanje u iznosu od 547.027.700,00 kuna (0,17% BND), odnosno 1.061.877.300,00 kuna (0,33% BND) za razvojnu suradnju i humanitarnu pomoć inozemstvu. Ista potreba za povećanjem volumena službene razvojne suradnje usvojena je Zaključcima Međuresorne radne skupine za razvojnu suradnju i humanitarnu pomoć čiji je MVEP koordinator. Trenutno, službena razvojna pomoć RH u prosjeku iznosi 0,04% BND.</w:t>
      </w:r>
    </w:p>
    <w:p w:rsidR="00A202BD" w:rsidRDefault="00A202BD">
      <w:pPr>
        <w:pStyle w:val="Normal6"/>
      </w:pPr>
    </w:p>
    <w:p w:rsidR="00A202BD" w:rsidRDefault="00A202BD">
      <w:pPr>
        <w:pStyle w:val="Normal6"/>
      </w:pPr>
    </w:p>
    <w:p w:rsidR="00A202BD" w:rsidRDefault="00A202BD">
      <w:pPr>
        <w:pStyle w:val="Normal6"/>
      </w:pPr>
    </w:p>
    <w:p w:rsidR="00D849AA" w:rsidRDefault="00EE6D95">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A202BD" w:rsidRDefault="00EE6D95">
            <w:pPr>
              <w:rPr>
                <w:rFonts w:ascii="Arial" w:hAnsi="Arial" w:cs="Arial"/>
              </w:rPr>
            </w:pPr>
            <w:r w:rsidRPr="00A202BD">
              <w:rPr>
                <w:rFonts w:ascii="Arial" w:hAnsi="Arial" w:cs="Arial"/>
              </w:rPr>
              <w:t>Pokazatelj rezultata</w:t>
            </w:r>
          </w:p>
        </w:tc>
        <w:tc>
          <w:tcPr>
            <w:tcW w:w="1114" w:type="dxa"/>
            <w:shd w:val="clear" w:color="auto" w:fill="B5C0D8"/>
          </w:tcPr>
          <w:p w:rsidR="00D849AA" w:rsidRPr="00A202BD" w:rsidRDefault="00EE6D95">
            <w:pPr>
              <w:pStyle w:val="CellHeader"/>
            </w:pPr>
            <w:r w:rsidRPr="00A202BD">
              <w:t>Jedinica</w:t>
            </w:r>
          </w:p>
        </w:tc>
        <w:tc>
          <w:tcPr>
            <w:tcW w:w="1114" w:type="dxa"/>
            <w:shd w:val="clear" w:color="auto" w:fill="B5C0D8"/>
          </w:tcPr>
          <w:p w:rsidR="00D849AA" w:rsidRPr="00A202BD" w:rsidRDefault="00EE6D95">
            <w:pPr>
              <w:pStyle w:val="CellHeader"/>
            </w:pPr>
            <w:r w:rsidRPr="00A202BD">
              <w:t>Polazna vrijednost</w:t>
            </w:r>
          </w:p>
        </w:tc>
        <w:tc>
          <w:tcPr>
            <w:tcW w:w="1486" w:type="dxa"/>
            <w:shd w:val="clear" w:color="auto" w:fill="B5C0D8"/>
          </w:tcPr>
          <w:p w:rsidR="00D849AA" w:rsidRPr="00A202BD" w:rsidRDefault="00EE6D95">
            <w:pPr>
              <w:pStyle w:val="CellHeader"/>
            </w:pPr>
            <w:r w:rsidRPr="00A202BD">
              <w:t>Ciljana vrijednost (2014.)</w:t>
            </w:r>
          </w:p>
        </w:tc>
        <w:tc>
          <w:tcPr>
            <w:tcW w:w="1486" w:type="dxa"/>
            <w:shd w:val="clear" w:color="auto" w:fill="B5C0D8"/>
          </w:tcPr>
          <w:p w:rsidR="00D849AA" w:rsidRPr="00A202BD" w:rsidRDefault="00EE6D95">
            <w:pPr>
              <w:pStyle w:val="CellHeader"/>
            </w:pPr>
            <w:r w:rsidRPr="00A202BD">
              <w:t>Ciljana vrijednost (2015.)</w:t>
            </w:r>
          </w:p>
        </w:tc>
        <w:tc>
          <w:tcPr>
            <w:tcW w:w="1486" w:type="dxa"/>
            <w:shd w:val="clear" w:color="auto" w:fill="B5C0D8"/>
          </w:tcPr>
          <w:p w:rsidR="00D849AA" w:rsidRPr="00A202BD" w:rsidRDefault="00EE6D95">
            <w:pPr>
              <w:pStyle w:val="CellHeader"/>
            </w:pPr>
            <w:r w:rsidRPr="00A202BD">
              <w:t>Ciljana vrijednost (2016.)</w:t>
            </w:r>
          </w:p>
        </w:tc>
      </w:tr>
      <w:tr w:rsidR="00D849AA">
        <w:trPr>
          <w:jc w:val="center"/>
        </w:trPr>
        <w:tc>
          <w:tcPr>
            <w:tcW w:w="2229" w:type="dxa"/>
          </w:tcPr>
          <w:p w:rsidR="00D849AA" w:rsidRPr="00A202BD" w:rsidRDefault="00EE6D95">
            <w:pPr>
              <w:pStyle w:val="CellColumn"/>
            </w:pPr>
            <w:r w:rsidRPr="00A202BD">
              <w:t>Provedba programa međunarodne razvojne suradnje.</w:t>
            </w:r>
          </w:p>
        </w:tc>
        <w:tc>
          <w:tcPr>
            <w:tcW w:w="1114" w:type="dxa"/>
          </w:tcPr>
          <w:p w:rsidR="00D849AA" w:rsidRPr="00A202BD" w:rsidRDefault="00EE6D95">
            <w:pPr>
              <w:rPr>
                <w:rFonts w:ascii="Arial" w:hAnsi="Arial" w:cs="Arial"/>
              </w:rPr>
            </w:pPr>
            <w:r w:rsidRPr="00A202BD">
              <w:rPr>
                <w:rFonts w:ascii="Arial" w:hAnsi="Arial" w:cs="Arial"/>
              </w:rPr>
              <w:t>Broj Programa /broj razvojnih atašea</w:t>
            </w:r>
          </w:p>
        </w:tc>
        <w:tc>
          <w:tcPr>
            <w:tcW w:w="1114" w:type="dxa"/>
          </w:tcPr>
          <w:p w:rsidR="00D849AA" w:rsidRPr="00A202BD" w:rsidRDefault="00EE6D95">
            <w:pPr>
              <w:rPr>
                <w:rFonts w:ascii="Arial" w:hAnsi="Arial" w:cs="Arial"/>
              </w:rPr>
            </w:pPr>
            <w:r w:rsidRPr="00A202BD">
              <w:rPr>
                <w:rFonts w:ascii="Arial" w:hAnsi="Arial" w:cs="Arial"/>
              </w:rPr>
              <w:t xml:space="preserve">4/1 </w:t>
            </w:r>
          </w:p>
          <w:p w:rsidR="00D849AA" w:rsidRPr="00A202BD" w:rsidRDefault="00EE6D95">
            <w:pPr>
              <w:rPr>
                <w:rFonts w:ascii="Arial" w:hAnsi="Arial" w:cs="Arial"/>
              </w:rPr>
            </w:pPr>
            <w:r w:rsidRPr="00A202BD">
              <w:rPr>
                <w:rFonts w:ascii="Arial" w:hAnsi="Arial" w:cs="Arial"/>
              </w:rPr>
              <w:t>(2013.)</w:t>
            </w:r>
          </w:p>
        </w:tc>
        <w:tc>
          <w:tcPr>
            <w:tcW w:w="1486" w:type="dxa"/>
          </w:tcPr>
          <w:p w:rsidR="00D849AA" w:rsidRPr="00A202BD" w:rsidRDefault="00EE6D95">
            <w:pPr>
              <w:rPr>
                <w:rFonts w:ascii="Arial" w:hAnsi="Arial" w:cs="Arial"/>
              </w:rPr>
            </w:pPr>
            <w:r w:rsidRPr="00A202BD">
              <w:rPr>
                <w:rFonts w:ascii="Arial" w:hAnsi="Arial" w:cs="Arial"/>
              </w:rPr>
              <w:t>5/2</w:t>
            </w:r>
          </w:p>
        </w:tc>
        <w:tc>
          <w:tcPr>
            <w:tcW w:w="1486" w:type="dxa"/>
          </w:tcPr>
          <w:p w:rsidR="00D849AA" w:rsidRPr="00A202BD" w:rsidRDefault="00EE6D95">
            <w:pPr>
              <w:rPr>
                <w:rFonts w:ascii="Arial" w:hAnsi="Arial" w:cs="Arial"/>
              </w:rPr>
            </w:pPr>
            <w:r w:rsidRPr="00A202BD">
              <w:rPr>
                <w:rFonts w:ascii="Arial" w:hAnsi="Arial" w:cs="Arial"/>
              </w:rPr>
              <w:t>5/3</w:t>
            </w:r>
          </w:p>
        </w:tc>
        <w:tc>
          <w:tcPr>
            <w:tcW w:w="1486" w:type="dxa"/>
          </w:tcPr>
          <w:p w:rsidR="00D849AA" w:rsidRPr="00A202BD" w:rsidRDefault="00EE6D95">
            <w:pPr>
              <w:rPr>
                <w:rFonts w:ascii="Arial" w:hAnsi="Arial" w:cs="Arial"/>
              </w:rPr>
            </w:pPr>
            <w:r w:rsidRPr="00A202BD">
              <w:rPr>
                <w:rFonts w:ascii="Arial" w:hAnsi="Arial" w:cs="Arial"/>
              </w:rPr>
              <w:t>5/4</w:t>
            </w:r>
          </w:p>
        </w:tc>
      </w:tr>
    </w:tbl>
    <w:p w:rsidR="00A202BD" w:rsidRDefault="00A202BD" w:rsidP="00A202BD">
      <w:pPr>
        <w:jc w:val="left"/>
      </w:pPr>
    </w:p>
    <w:p w:rsidR="00A202BD" w:rsidRDefault="00A202BD" w:rsidP="00A202BD">
      <w:pPr>
        <w:pStyle w:val="Naslov4"/>
      </w:pPr>
      <w:r>
        <w:t>OBRAZLOŽENJE PROGRAMA</w:t>
      </w:r>
    </w:p>
    <w:p w:rsidR="00D849AA" w:rsidRDefault="00EE6D95">
      <w:pPr>
        <w:pStyle w:val="Naslov5"/>
      </w:pPr>
      <w:r>
        <w:t>2302 DIPLOMATSKO KONZULARNA DJELATNOST</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A202BD" w:rsidRDefault="00D849AA">
            <w:pPr>
              <w:pStyle w:val="CellHeader"/>
            </w:pPr>
          </w:p>
        </w:tc>
        <w:tc>
          <w:tcPr>
            <w:tcW w:w="1486" w:type="dxa"/>
            <w:shd w:val="clear" w:color="auto" w:fill="B5C0D8"/>
          </w:tcPr>
          <w:p w:rsidR="00D849AA" w:rsidRPr="00A202BD" w:rsidRDefault="00EE6D95">
            <w:pPr>
              <w:pStyle w:val="CellHeader"/>
            </w:pPr>
            <w:r w:rsidRPr="00A202BD">
              <w:t>Plan 2013.</w:t>
            </w:r>
          </w:p>
        </w:tc>
        <w:tc>
          <w:tcPr>
            <w:tcW w:w="1486" w:type="dxa"/>
            <w:shd w:val="clear" w:color="auto" w:fill="B5C0D8"/>
          </w:tcPr>
          <w:p w:rsidR="00D849AA" w:rsidRPr="00A202BD" w:rsidRDefault="00EE6D95">
            <w:pPr>
              <w:pStyle w:val="CellHeader"/>
            </w:pPr>
            <w:r w:rsidRPr="00A202BD">
              <w:t>Plan 2014.</w:t>
            </w:r>
          </w:p>
        </w:tc>
        <w:tc>
          <w:tcPr>
            <w:tcW w:w="1486" w:type="dxa"/>
            <w:shd w:val="clear" w:color="auto" w:fill="B5C0D8"/>
          </w:tcPr>
          <w:p w:rsidR="00D849AA" w:rsidRPr="00A202BD" w:rsidRDefault="00EE6D95">
            <w:pPr>
              <w:pStyle w:val="CellHeader"/>
            </w:pPr>
            <w:r w:rsidRPr="00A202BD">
              <w:t>Plan 2015.</w:t>
            </w:r>
          </w:p>
        </w:tc>
        <w:tc>
          <w:tcPr>
            <w:tcW w:w="1486" w:type="dxa"/>
            <w:shd w:val="clear" w:color="auto" w:fill="B5C0D8"/>
          </w:tcPr>
          <w:p w:rsidR="00D849AA" w:rsidRPr="00A202BD" w:rsidRDefault="00EE6D95">
            <w:pPr>
              <w:pStyle w:val="CellHeader"/>
            </w:pPr>
            <w:r w:rsidRPr="00A202BD">
              <w:t>Plan 2016.</w:t>
            </w:r>
          </w:p>
        </w:tc>
        <w:tc>
          <w:tcPr>
            <w:tcW w:w="1486" w:type="dxa"/>
            <w:shd w:val="clear" w:color="auto" w:fill="B5C0D8"/>
          </w:tcPr>
          <w:p w:rsidR="00D849AA" w:rsidRPr="00A202BD" w:rsidRDefault="00EE6D95">
            <w:pPr>
              <w:pStyle w:val="CellHeader"/>
            </w:pPr>
            <w:r w:rsidRPr="00A202BD">
              <w:t>Indeks 2014/2013</w:t>
            </w:r>
          </w:p>
        </w:tc>
      </w:tr>
      <w:tr w:rsidR="00D849AA">
        <w:trPr>
          <w:jc w:val="center"/>
        </w:trPr>
        <w:tc>
          <w:tcPr>
            <w:tcW w:w="1486" w:type="dxa"/>
          </w:tcPr>
          <w:p w:rsidR="00D849AA" w:rsidRPr="00A202BD" w:rsidRDefault="00EE6D95">
            <w:pPr>
              <w:pStyle w:val="CellColumn"/>
            </w:pPr>
            <w:r w:rsidRPr="00A202BD">
              <w:t>2302</w:t>
            </w:r>
          </w:p>
        </w:tc>
        <w:tc>
          <w:tcPr>
            <w:tcW w:w="1486" w:type="dxa"/>
          </w:tcPr>
          <w:p w:rsidR="00D849AA" w:rsidRPr="00A202BD" w:rsidRDefault="00EE6D95">
            <w:pPr>
              <w:rPr>
                <w:rFonts w:ascii="Arial" w:hAnsi="Arial" w:cs="Arial"/>
              </w:rPr>
            </w:pPr>
            <w:r w:rsidRPr="00A202BD">
              <w:rPr>
                <w:rFonts w:ascii="Arial" w:hAnsi="Arial" w:cs="Arial"/>
              </w:rPr>
              <w:t>487.735.826</w:t>
            </w:r>
          </w:p>
        </w:tc>
        <w:tc>
          <w:tcPr>
            <w:tcW w:w="1486" w:type="dxa"/>
          </w:tcPr>
          <w:p w:rsidR="00D849AA" w:rsidRPr="00A202BD" w:rsidRDefault="00EE6D95">
            <w:pPr>
              <w:rPr>
                <w:rFonts w:ascii="Arial" w:hAnsi="Arial" w:cs="Arial"/>
              </w:rPr>
            </w:pPr>
            <w:r w:rsidRPr="00A202BD">
              <w:rPr>
                <w:rFonts w:ascii="Arial" w:hAnsi="Arial" w:cs="Arial"/>
              </w:rPr>
              <w:t>444.571.453</w:t>
            </w:r>
          </w:p>
        </w:tc>
        <w:tc>
          <w:tcPr>
            <w:tcW w:w="1486" w:type="dxa"/>
          </w:tcPr>
          <w:p w:rsidR="00D849AA" w:rsidRPr="00A202BD" w:rsidRDefault="00EE6D95">
            <w:pPr>
              <w:rPr>
                <w:rFonts w:ascii="Arial" w:hAnsi="Arial" w:cs="Arial"/>
              </w:rPr>
            </w:pPr>
            <w:r w:rsidRPr="00A202BD">
              <w:rPr>
                <w:rFonts w:ascii="Arial" w:hAnsi="Arial" w:cs="Arial"/>
              </w:rPr>
              <w:t>443.033.850</w:t>
            </w:r>
          </w:p>
        </w:tc>
        <w:tc>
          <w:tcPr>
            <w:tcW w:w="1486" w:type="dxa"/>
          </w:tcPr>
          <w:p w:rsidR="00D849AA" w:rsidRPr="00A202BD" w:rsidRDefault="00EE6D95">
            <w:pPr>
              <w:rPr>
                <w:rFonts w:ascii="Arial" w:hAnsi="Arial" w:cs="Arial"/>
              </w:rPr>
            </w:pPr>
            <w:r w:rsidRPr="00A202BD">
              <w:rPr>
                <w:rFonts w:ascii="Arial" w:hAnsi="Arial" w:cs="Arial"/>
              </w:rPr>
              <w:t>468.978.053</w:t>
            </w:r>
          </w:p>
        </w:tc>
        <w:tc>
          <w:tcPr>
            <w:tcW w:w="1486" w:type="dxa"/>
          </w:tcPr>
          <w:p w:rsidR="00D849AA" w:rsidRPr="00A202BD" w:rsidRDefault="00EE6D95">
            <w:pPr>
              <w:rPr>
                <w:rFonts w:ascii="Arial" w:hAnsi="Arial" w:cs="Arial"/>
              </w:rPr>
            </w:pPr>
            <w:r w:rsidRPr="00A202BD">
              <w:rPr>
                <w:rFonts w:ascii="Arial" w:hAnsi="Arial" w:cs="Arial"/>
              </w:rPr>
              <w:t>91,1</w:t>
            </w:r>
          </w:p>
        </w:tc>
      </w:tr>
    </w:tbl>
    <w:p w:rsidR="00D849AA" w:rsidRDefault="00D849AA">
      <w:pPr>
        <w:jc w:val="left"/>
      </w:pPr>
    </w:p>
    <w:p w:rsidR="00D849AA" w:rsidRDefault="00EE6D95">
      <w:pPr>
        <w:pStyle w:val="Naslov6"/>
      </w:pPr>
      <w:r>
        <w:t>Opis programa</w:t>
      </w:r>
    </w:p>
    <w:p w:rsidR="00D849AA" w:rsidRDefault="00EE6D95">
      <w:pPr>
        <w:pStyle w:val="Normal5"/>
      </w:pPr>
      <w:r>
        <w:t xml:space="preserve">Program Diplomatsko konzularna djelatnost odnosi se na rad svih diplomatskih misija i konzularnih ureda koje predstavljaju RH u inozemstvu. Kroz ovaj program obavljaju se poslovi predstavljanja RH u državi primateljici, štite se interesi RH, njezini državljani i pravne osobe, jamči se osobita skrb i zaštita dijelovima hrvatskog naroda u državi primateljici, razvijaju prijateljski odnosi i suradnja između RH i države primateljice u političkom, konzularnom, gospodarskom, kulturno-prosvjetnom, znanstveno-tehnološkom i informacijskom području. </w:t>
      </w:r>
    </w:p>
    <w:p w:rsidR="00D849AA" w:rsidRDefault="00EE6D95">
      <w:pPr>
        <w:pStyle w:val="Normal5"/>
      </w:pPr>
      <w:r>
        <w:t xml:space="preserve">Potrebno je istaći da se kroz navedeni program operativno izvršavaju ciljevi definirani u programima Provođenje vanjske politike RH i Horizontalna koordinacija europskih poslova. </w:t>
      </w:r>
    </w:p>
    <w:p w:rsidR="00D849AA" w:rsidRDefault="00EE6D95">
      <w:pPr>
        <w:pStyle w:val="Normal5"/>
      </w:pPr>
      <w:r>
        <w:t xml:space="preserve">Putem diplomatskih misija i konzularnih ureda radi se na ostvarenju svih strateških ciljeva definiranih Strateškim planom Ministarstva za razdoblje 2014-2016. </w:t>
      </w:r>
    </w:p>
    <w:p w:rsidR="00D849AA" w:rsidRDefault="00EE6D95">
      <w:pPr>
        <w:pStyle w:val="Normal5"/>
      </w:pPr>
      <w:r>
        <w:t>Planirani iznosi namijenjeni provedbi programa 2302 Diplomatsko konzularna djelatnost smanjeni su u odnosu na 2013. godinu u iznosu od 43.164.373  kn. Razlog istom je smanjenje proračunskih sredstava na aktivnosti K777057 Adaptacija i opremanje koja su u 2013. godini bila namijenjena za kupnju i opremanje novog prostora odgovarajućih uvjeta za smještaj Misije u Bruxellesu.</w:t>
      </w:r>
    </w:p>
    <w:p w:rsidR="00D849AA" w:rsidRDefault="00EE6D95">
      <w:pPr>
        <w:pStyle w:val="Naslov6"/>
      </w:pPr>
      <w:r>
        <w:t>Zakonske i druge pravne osnove</w:t>
      </w:r>
    </w:p>
    <w:p w:rsidR="00D849AA" w:rsidRDefault="00EE6D95">
      <w:pPr>
        <w:pStyle w:val="Normal5"/>
      </w:pPr>
      <w:r>
        <w:t>Zakon o vanjskim poslovima (NN48/96); Zakon o strancima (NN 79/07, 36/09, 130/11), Zakon o putnim ispravama hrvatskih državljana (NN 77/99); Zakon o potvrđivanju Ugovora o pitanjima sukcesije,  Aneks I Rezolucije od 21. prosinca 2006. godine.</w:t>
      </w:r>
    </w:p>
    <w:p w:rsidR="00D849AA" w:rsidRDefault="00EE6D95">
      <w:pPr>
        <w:pStyle w:val="Naslov6"/>
      </w:pPr>
      <w:r>
        <w:lastRenderedPageBreak/>
        <w:t>Ciljevi provedbe programa u razdoblju 2014.-2016. i pokazatelji uspješnosti kojima će se mjeriti ostvarenje tih ciljeva</w:t>
      </w:r>
    </w:p>
    <w:p w:rsidR="00D849AA" w:rsidRDefault="00EE6D95">
      <w:pPr>
        <w:pStyle w:val="Naslov7"/>
      </w:pPr>
      <w:r>
        <w:t>Cilj 1. Pružanje konzularne zaštite</w:t>
      </w:r>
    </w:p>
    <w:p w:rsidR="00D849AA" w:rsidRDefault="00EE6D95">
      <w:pPr>
        <w:pStyle w:val="Normal6"/>
      </w:pPr>
      <w:r>
        <w:t xml:space="preserve">Članstvo Republike Hrvatske u Europskoj uniji donosi obvezu primjene zajedničke vizne politike EU i neposredno uključenje Hrvatske u izradu i provedbu te politike. To znači da će Republika Hrvatska morati usklađivati svoje vizno zakonodavstvo s Viznim acquisom te nastaviti raditi na ispunjavanju uvjeta kako bi se mogla što ranije integrirati u Schengenski prostor, a za Ministarstvo vanjskih i europskih poslova to znači da će pažnju i sredstva usmjeriti na obuku konzularnih službenika, uspostavu i razvitak Hrvatskog viznog informacijskog sustava i uvođenje Schengenskih standarda u DM/KU RH u trećim zemljama. </w:t>
      </w:r>
    </w:p>
    <w:p w:rsidR="00D849AA" w:rsidRDefault="00EE6D95">
      <w:pPr>
        <w:pStyle w:val="Normal6"/>
      </w:pPr>
      <w:r>
        <w:t xml:space="preserve">Punopravnim članstvom u EU Republika Hrvatska će aktivno sudjelovati u oblikovanju europske migracijske politike što znači da će u sljedećem razdoblju morati implementirati pravnu stečevinu EU koja uređuje prava državljana država članica Unije ali i onaj dio te politike koja uređuje migracijsku politiku i zakonodavstvo prema državljanima trećih država. Za Ministarstvo vanjskih i europskih poslova to znači da će pri obavljanju konzularnih poslova (pružanje konzularne zaštite) morati uspostaviti efikasan sustav koordinacije rada ne samo među hrvatskim DM/KU nego i između njih i diplomatskih misija i konzularnih ureda drugih država članica EU.  </w:t>
      </w:r>
    </w:p>
    <w:p w:rsidR="00D849AA" w:rsidRDefault="00EE6D95">
      <w:pPr>
        <w:pStyle w:val="Normal6"/>
      </w:pPr>
      <w:r>
        <w:t>Navedeni cilj definiran je Strateškim planom Ministarstva unutar posebnog cilja 1.2. Provedba vanjske politike.</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A202BD" w:rsidRDefault="00EE6D95">
            <w:pPr>
              <w:rPr>
                <w:rFonts w:ascii="Arial" w:hAnsi="Arial" w:cs="Arial"/>
              </w:rPr>
            </w:pPr>
            <w:r w:rsidRPr="00A202BD">
              <w:rPr>
                <w:rFonts w:ascii="Arial" w:hAnsi="Arial" w:cs="Arial"/>
              </w:rPr>
              <w:t>Pokazatelj učinka</w:t>
            </w:r>
          </w:p>
        </w:tc>
        <w:tc>
          <w:tcPr>
            <w:tcW w:w="1114" w:type="dxa"/>
            <w:shd w:val="clear" w:color="auto" w:fill="B5C0D8"/>
          </w:tcPr>
          <w:p w:rsidR="00D849AA" w:rsidRPr="00A202BD" w:rsidRDefault="00EE6D95">
            <w:pPr>
              <w:pStyle w:val="CellHeader"/>
            </w:pPr>
            <w:r w:rsidRPr="00A202BD">
              <w:t>Jedinica</w:t>
            </w:r>
          </w:p>
        </w:tc>
        <w:tc>
          <w:tcPr>
            <w:tcW w:w="1114" w:type="dxa"/>
            <w:shd w:val="clear" w:color="auto" w:fill="B5C0D8"/>
          </w:tcPr>
          <w:p w:rsidR="00D849AA" w:rsidRPr="00A202BD" w:rsidRDefault="00EE6D95">
            <w:pPr>
              <w:pStyle w:val="CellHeader"/>
            </w:pPr>
            <w:r w:rsidRPr="00A202BD">
              <w:t>Polazna vrijednost</w:t>
            </w:r>
          </w:p>
        </w:tc>
        <w:tc>
          <w:tcPr>
            <w:tcW w:w="1486" w:type="dxa"/>
            <w:shd w:val="clear" w:color="auto" w:fill="B5C0D8"/>
          </w:tcPr>
          <w:p w:rsidR="00D849AA" w:rsidRPr="00A202BD" w:rsidRDefault="00EE6D95">
            <w:pPr>
              <w:pStyle w:val="CellHeader"/>
            </w:pPr>
            <w:r w:rsidRPr="00A202BD">
              <w:t>Ciljana vrijednost (2014.)</w:t>
            </w:r>
          </w:p>
        </w:tc>
        <w:tc>
          <w:tcPr>
            <w:tcW w:w="1486" w:type="dxa"/>
            <w:shd w:val="clear" w:color="auto" w:fill="B5C0D8"/>
          </w:tcPr>
          <w:p w:rsidR="00D849AA" w:rsidRPr="00A202BD" w:rsidRDefault="00EE6D95">
            <w:pPr>
              <w:pStyle w:val="CellHeader"/>
            </w:pPr>
            <w:r w:rsidRPr="00A202BD">
              <w:t>Ciljana vrijednost (2015.)</w:t>
            </w:r>
          </w:p>
        </w:tc>
        <w:tc>
          <w:tcPr>
            <w:tcW w:w="1486" w:type="dxa"/>
            <w:shd w:val="clear" w:color="auto" w:fill="B5C0D8"/>
          </w:tcPr>
          <w:p w:rsidR="00D849AA" w:rsidRPr="00A202BD" w:rsidRDefault="00EE6D95">
            <w:pPr>
              <w:pStyle w:val="CellHeader"/>
            </w:pPr>
            <w:r w:rsidRPr="00A202BD">
              <w:t>Ciljana vrijednost (2016.)</w:t>
            </w:r>
          </w:p>
        </w:tc>
      </w:tr>
      <w:tr w:rsidR="00D849AA">
        <w:trPr>
          <w:jc w:val="center"/>
        </w:trPr>
        <w:tc>
          <w:tcPr>
            <w:tcW w:w="2229" w:type="dxa"/>
          </w:tcPr>
          <w:p w:rsidR="00D849AA" w:rsidRPr="00A202BD" w:rsidRDefault="00EE6D95">
            <w:pPr>
              <w:pStyle w:val="CellColumn"/>
            </w:pPr>
            <w:r w:rsidRPr="00A202BD">
              <w:t>Jačanje međunarodnog položaja RH, kao i položaja RH u regiji, uspostava sustava pružanja konzularne zaštite usklađenog s EU standardima te širenje mira i stabilnosti</w:t>
            </w:r>
          </w:p>
        </w:tc>
        <w:tc>
          <w:tcPr>
            <w:tcW w:w="1114" w:type="dxa"/>
          </w:tcPr>
          <w:p w:rsidR="00D849AA" w:rsidRPr="00A202BD" w:rsidRDefault="00EE6D95">
            <w:pPr>
              <w:rPr>
                <w:rFonts w:ascii="Arial" w:hAnsi="Arial" w:cs="Arial"/>
              </w:rPr>
            </w:pPr>
            <w:r w:rsidRPr="00A202BD">
              <w:rPr>
                <w:rFonts w:ascii="Arial" w:hAnsi="Arial" w:cs="Arial"/>
              </w:rPr>
              <w:t>%</w:t>
            </w:r>
          </w:p>
        </w:tc>
        <w:tc>
          <w:tcPr>
            <w:tcW w:w="1114" w:type="dxa"/>
          </w:tcPr>
          <w:p w:rsidR="00D849AA" w:rsidRPr="00A202BD" w:rsidRDefault="00EE6D95">
            <w:pPr>
              <w:rPr>
                <w:rFonts w:ascii="Arial" w:hAnsi="Arial" w:cs="Arial"/>
              </w:rPr>
            </w:pPr>
            <w:r w:rsidRPr="00A202BD">
              <w:rPr>
                <w:rFonts w:ascii="Arial" w:hAnsi="Arial" w:cs="Arial"/>
              </w:rPr>
              <w:t>75</w:t>
            </w:r>
          </w:p>
        </w:tc>
        <w:tc>
          <w:tcPr>
            <w:tcW w:w="1486" w:type="dxa"/>
          </w:tcPr>
          <w:p w:rsidR="00D849AA" w:rsidRPr="00A202BD" w:rsidRDefault="00EE6D95">
            <w:pPr>
              <w:rPr>
                <w:rFonts w:ascii="Arial" w:hAnsi="Arial" w:cs="Arial"/>
              </w:rPr>
            </w:pPr>
            <w:r w:rsidRPr="00A202BD">
              <w:rPr>
                <w:rFonts w:ascii="Arial" w:hAnsi="Arial" w:cs="Arial"/>
              </w:rPr>
              <w:t>85</w:t>
            </w:r>
          </w:p>
        </w:tc>
        <w:tc>
          <w:tcPr>
            <w:tcW w:w="1486" w:type="dxa"/>
          </w:tcPr>
          <w:p w:rsidR="00D849AA" w:rsidRPr="00A202BD" w:rsidRDefault="00EE6D95">
            <w:pPr>
              <w:rPr>
                <w:rFonts w:ascii="Arial" w:hAnsi="Arial" w:cs="Arial"/>
              </w:rPr>
            </w:pPr>
            <w:r w:rsidRPr="00A202BD">
              <w:rPr>
                <w:rFonts w:ascii="Arial" w:hAnsi="Arial" w:cs="Arial"/>
              </w:rPr>
              <w:t>91</w:t>
            </w:r>
          </w:p>
        </w:tc>
        <w:tc>
          <w:tcPr>
            <w:tcW w:w="1486" w:type="dxa"/>
          </w:tcPr>
          <w:p w:rsidR="00D849AA" w:rsidRPr="00A202BD" w:rsidRDefault="00EE6D95">
            <w:pPr>
              <w:rPr>
                <w:rFonts w:ascii="Arial" w:hAnsi="Arial" w:cs="Arial"/>
              </w:rPr>
            </w:pPr>
            <w:r w:rsidRPr="00A202BD">
              <w:rPr>
                <w:rFonts w:ascii="Arial" w:hAnsi="Arial" w:cs="Arial"/>
              </w:rPr>
              <w:t>93</w:t>
            </w:r>
          </w:p>
        </w:tc>
      </w:tr>
    </w:tbl>
    <w:p w:rsidR="00D849AA" w:rsidRDefault="00D849AA">
      <w:pPr>
        <w:jc w:val="left"/>
      </w:pPr>
    </w:p>
    <w:p w:rsidR="00D849AA" w:rsidRDefault="00EE6D95">
      <w:pPr>
        <w:pStyle w:val="Naslov5"/>
      </w:pPr>
      <w:r>
        <w:t>Procjena i ishodište potrebnih sredstava za značajnije aktivnosti/projekte</w:t>
      </w:r>
    </w:p>
    <w:p w:rsidR="00D849AA" w:rsidRDefault="00EE6D95">
      <w:pPr>
        <w:pStyle w:val="Naslov6"/>
      </w:pPr>
      <w:r>
        <w:t>A777053 KONZULARNI POSLOVI</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0E4589" w:rsidRDefault="00EE6D95">
            <w:pPr>
              <w:pStyle w:val="CellHeader"/>
            </w:pPr>
            <w:r w:rsidRPr="000E4589">
              <w:t>Naziv aktivnosti</w:t>
            </w:r>
          </w:p>
        </w:tc>
        <w:tc>
          <w:tcPr>
            <w:tcW w:w="1486" w:type="dxa"/>
            <w:shd w:val="clear" w:color="auto" w:fill="B5C0D8"/>
          </w:tcPr>
          <w:p w:rsidR="00D849AA" w:rsidRPr="000E4589" w:rsidRDefault="00EE6D95">
            <w:pPr>
              <w:pStyle w:val="CellHeader"/>
            </w:pPr>
            <w:r w:rsidRPr="000E4589">
              <w:t>Plan 2013.</w:t>
            </w:r>
          </w:p>
        </w:tc>
        <w:tc>
          <w:tcPr>
            <w:tcW w:w="1486" w:type="dxa"/>
            <w:shd w:val="clear" w:color="auto" w:fill="B5C0D8"/>
          </w:tcPr>
          <w:p w:rsidR="00D849AA" w:rsidRPr="000E4589" w:rsidRDefault="00EE6D95">
            <w:pPr>
              <w:pStyle w:val="CellHeader"/>
            </w:pPr>
            <w:r w:rsidRPr="000E4589">
              <w:t>Plan 2014.</w:t>
            </w:r>
          </w:p>
        </w:tc>
        <w:tc>
          <w:tcPr>
            <w:tcW w:w="1486" w:type="dxa"/>
            <w:shd w:val="clear" w:color="auto" w:fill="B5C0D8"/>
          </w:tcPr>
          <w:p w:rsidR="00D849AA" w:rsidRPr="000E4589" w:rsidRDefault="00EE6D95">
            <w:pPr>
              <w:pStyle w:val="CellHeader"/>
            </w:pPr>
            <w:r w:rsidRPr="000E4589">
              <w:t>Plan 2015.</w:t>
            </w:r>
          </w:p>
        </w:tc>
        <w:tc>
          <w:tcPr>
            <w:tcW w:w="1486" w:type="dxa"/>
            <w:shd w:val="clear" w:color="auto" w:fill="B5C0D8"/>
          </w:tcPr>
          <w:p w:rsidR="00D849AA" w:rsidRPr="000E4589" w:rsidRDefault="00EE6D95">
            <w:pPr>
              <w:pStyle w:val="CellHeader"/>
            </w:pPr>
            <w:r w:rsidRPr="000E4589">
              <w:t>Plan 2016.</w:t>
            </w:r>
          </w:p>
        </w:tc>
        <w:tc>
          <w:tcPr>
            <w:tcW w:w="1486" w:type="dxa"/>
            <w:shd w:val="clear" w:color="auto" w:fill="B5C0D8"/>
          </w:tcPr>
          <w:p w:rsidR="00D849AA" w:rsidRPr="000E4589" w:rsidRDefault="00EE6D95">
            <w:pPr>
              <w:pStyle w:val="CellHeader"/>
            </w:pPr>
            <w:r w:rsidRPr="000E4589">
              <w:t>Indeks 2014/2013</w:t>
            </w:r>
          </w:p>
        </w:tc>
      </w:tr>
      <w:tr w:rsidR="00D849AA">
        <w:trPr>
          <w:jc w:val="center"/>
        </w:trPr>
        <w:tc>
          <w:tcPr>
            <w:tcW w:w="1486" w:type="dxa"/>
          </w:tcPr>
          <w:p w:rsidR="00D849AA" w:rsidRPr="000E4589" w:rsidRDefault="00EE6D95">
            <w:pPr>
              <w:pStyle w:val="CellColumn"/>
            </w:pPr>
            <w:r w:rsidRPr="000E4589">
              <w:t>A777053</w:t>
            </w:r>
          </w:p>
        </w:tc>
        <w:tc>
          <w:tcPr>
            <w:tcW w:w="1486" w:type="dxa"/>
          </w:tcPr>
          <w:p w:rsidR="00D849AA" w:rsidRPr="000E4589" w:rsidRDefault="00EE6D95">
            <w:pPr>
              <w:rPr>
                <w:rFonts w:ascii="Arial" w:hAnsi="Arial" w:cs="Arial"/>
              </w:rPr>
            </w:pPr>
            <w:r w:rsidRPr="000E4589">
              <w:rPr>
                <w:rFonts w:ascii="Arial" w:hAnsi="Arial" w:cs="Arial"/>
              </w:rPr>
              <w:t>22.466.000</w:t>
            </w:r>
          </w:p>
        </w:tc>
        <w:tc>
          <w:tcPr>
            <w:tcW w:w="1486" w:type="dxa"/>
          </w:tcPr>
          <w:p w:rsidR="00D849AA" w:rsidRPr="000E4589" w:rsidRDefault="00EE6D95">
            <w:pPr>
              <w:rPr>
                <w:rFonts w:ascii="Arial" w:hAnsi="Arial" w:cs="Arial"/>
              </w:rPr>
            </w:pPr>
            <w:r w:rsidRPr="000E4589">
              <w:rPr>
                <w:rFonts w:ascii="Arial" w:hAnsi="Arial" w:cs="Arial"/>
              </w:rPr>
              <w:t>20.725.200</w:t>
            </w:r>
          </w:p>
        </w:tc>
        <w:tc>
          <w:tcPr>
            <w:tcW w:w="1486" w:type="dxa"/>
          </w:tcPr>
          <w:p w:rsidR="00D849AA" w:rsidRPr="000E4589" w:rsidRDefault="00EE6D95">
            <w:pPr>
              <w:rPr>
                <w:rFonts w:ascii="Arial" w:hAnsi="Arial" w:cs="Arial"/>
              </w:rPr>
            </w:pPr>
            <w:r w:rsidRPr="000E4589">
              <w:rPr>
                <w:rFonts w:ascii="Arial" w:hAnsi="Arial" w:cs="Arial"/>
              </w:rPr>
              <w:t>33.945.000</w:t>
            </w:r>
          </w:p>
        </w:tc>
        <w:tc>
          <w:tcPr>
            <w:tcW w:w="1486" w:type="dxa"/>
          </w:tcPr>
          <w:p w:rsidR="00D849AA" w:rsidRPr="000E4589" w:rsidRDefault="00EE6D95">
            <w:pPr>
              <w:rPr>
                <w:rFonts w:ascii="Arial" w:hAnsi="Arial" w:cs="Arial"/>
              </w:rPr>
            </w:pPr>
            <w:r w:rsidRPr="000E4589">
              <w:rPr>
                <w:rFonts w:ascii="Arial" w:hAnsi="Arial" w:cs="Arial"/>
              </w:rPr>
              <w:t>33.945.000</w:t>
            </w:r>
          </w:p>
        </w:tc>
        <w:tc>
          <w:tcPr>
            <w:tcW w:w="1486" w:type="dxa"/>
          </w:tcPr>
          <w:p w:rsidR="00D849AA" w:rsidRPr="000E4589" w:rsidRDefault="00EE6D95">
            <w:pPr>
              <w:rPr>
                <w:rFonts w:ascii="Arial" w:hAnsi="Arial" w:cs="Arial"/>
              </w:rPr>
            </w:pPr>
            <w:r w:rsidRPr="000E4589">
              <w:rPr>
                <w:rFonts w:ascii="Arial" w:hAnsi="Arial" w:cs="Arial"/>
              </w:rPr>
              <w:t>92,2</w:t>
            </w:r>
          </w:p>
        </w:tc>
      </w:tr>
    </w:tbl>
    <w:p w:rsidR="00D849AA" w:rsidRDefault="00D849AA">
      <w:pPr>
        <w:jc w:val="left"/>
      </w:pPr>
    </w:p>
    <w:p w:rsidR="00D849AA" w:rsidRDefault="00EE6D95">
      <w:pPr>
        <w:pStyle w:val="Normal6"/>
      </w:pPr>
      <w:r>
        <w:lastRenderedPageBreak/>
        <w:t xml:space="preserve">Sredstva predviđena na navedenoj aktivnosti, u značajnoj mjeri, sadržajno su obuhvaćena Strateškim planom Ministarstva unutar načina ostvarenja 1.2.10. Obavljanje konzularnih poslova. </w:t>
      </w:r>
    </w:p>
    <w:p w:rsidR="00D849AA" w:rsidRDefault="00EE6D95">
      <w:pPr>
        <w:pStyle w:val="Normal6"/>
      </w:pPr>
      <w:r>
        <w:t xml:space="preserve">Slijedom punopravnog članstva u Europskoj uniji Republika Hrvatska je, osim zaštite prava i interesa hrvatskih državljana i pravnih osoba u inozemstvu, kao primarne zadaće navedene aktivnosti, preuzela i obvezu pružanja konzularne pomoći i zaštite građanima Unije (državljanima drugih država članica). U slučajevima kada se građanin Unije obrati DM/KU RH, u jednoj od trećih država, zahtjevom za konzularnom zaštitom, hrvatski DM/KU bio bi obvezan pomoći mu ukoliko u toj državi ne postoji DM/KU države članice čiji je on državljanin. Isto tako, Republika Hrvatska je obvezna drugoj državi članici koja je pružila konzularnu pomoć i zaštitu državljaninu Republike Hrvatske refundirati sve nastale troškove u zadanom roku neovisno o tome jesmo li  u međuvremenu uspjeli naplatiti od hrvatskog državljanina kojem je pomoć pružena.  </w:t>
      </w:r>
    </w:p>
    <w:p w:rsidR="00D849AA" w:rsidRDefault="00EE6D95">
      <w:pPr>
        <w:pStyle w:val="Normal6"/>
      </w:pPr>
      <w:r>
        <w:t xml:space="preserve"> U predstojećem razdoblju naglasak se stavlja na kvalitetu pruženih usluga, a potrebna sredstva iskazana na navedenoj aktivnosti, u najvećoj mjeri, planirana su za nabavku zaštićenih obrazaca (putovnice, putni listovi te obrasci zahtjeva za izdavanje putovnice; naljepnice viza i naljepnice odobrenja boravka).</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0E4589" w:rsidRDefault="00EE6D95">
            <w:pPr>
              <w:rPr>
                <w:rFonts w:ascii="Arial" w:hAnsi="Arial" w:cs="Arial"/>
              </w:rPr>
            </w:pPr>
            <w:r w:rsidRPr="000E4589">
              <w:rPr>
                <w:rFonts w:ascii="Arial" w:hAnsi="Arial" w:cs="Arial"/>
              </w:rPr>
              <w:t>Pokazatelj rezultata</w:t>
            </w:r>
          </w:p>
        </w:tc>
        <w:tc>
          <w:tcPr>
            <w:tcW w:w="1114" w:type="dxa"/>
            <w:shd w:val="clear" w:color="auto" w:fill="B5C0D8"/>
          </w:tcPr>
          <w:p w:rsidR="00D849AA" w:rsidRPr="000E4589" w:rsidRDefault="00EE6D95">
            <w:pPr>
              <w:pStyle w:val="CellHeader"/>
            </w:pPr>
            <w:r w:rsidRPr="000E4589">
              <w:t>Jedinica</w:t>
            </w:r>
          </w:p>
        </w:tc>
        <w:tc>
          <w:tcPr>
            <w:tcW w:w="1114" w:type="dxa"/>
            <w:shd w:val="clear" w:color="auto" w:fill="B5C0D8"/>
          </w:tcPr>
          <w:p w:rsidR="00D849AA" w:rsidRPr="000E4589" w:rsidRDefault="00EE6D95">
            <w:pPr>
              <w:pStyle w:val="CellHeader"/>
            </w:pPr>
            <w:r w:rsidRPr="000E4589">
              <w:t>Polazna vrijednost</w:t>
            </w:r>
          </w:p>
        </w:tc>
        <w:tc>
          <w:tcPr>
            <w:tcW w:w="1486" w:type="dxa"/>
            <w:shd w:val="clear" w:color="auto" w:fill="B5C0D8"/>
          </w:tcPr>
          <w:p w:rsidR="00D849AA" w:rsidRPr="000E4589" w:rsidRDefault="00EE6D95">
            <w:pPr>
              <w:pStyle w:val="CellHeader"/>
            </w:pPr>
            <w:r w:rsidRPr="000E4589">
              <w:t>Ciljana vrijednost (2014.)</w:t>
            </w:r>
          </w:p>
        </w:tc>
        <w:tc>
          <w:tcPr>
            <w:tcW w:w="1486" w:type="dxa"/>
            <w:shd w:val="clear" w:color="auto" w:fill="B5C0D8"/>
          </w:tcPr>
          <w:p w:rsidR="00D849AA" w:rsidRPr="000E4589" w:rsidRDefault="00EE6D95">
            <w:pPr>
              <w:pStyle w:val="CellHeader"/>
            </w:pPr>
            <w:r w:rsidRPr="000E4589">
              <w:t>Ciljana vrijednost (2015.)</w:t>
            </w:r>
          </w:p>
        </w:tc>
        <w:tc>
          <w:tcPr>
            <w:tcW w:w="1486" w:type="dxa"/>
            <w:shd w:val="clear" w:color="auto" w:fill="B5C0D8"/>
          </w:tcPr>
          <w:p w:rsidR="00D849AA" w:rsidRPr="000E4589" w:rsidRDefault="00EE6D95">
            <w:pPr>
              <w:pStyle w:val="CellHeader"/>
            </w:pPr>
            <w:r w:rsidRPr="000E4589">
              <w:t>Ciljana vrijednost (2016.)</w:t>
            </w:r>
          </w:p>
        </w:tc>
      </w:tr>
      <w:tr w:rsidR="00D849AA">
        <w:trPr>
          <w:jc w:val="center"/>
        </w:trPr>
        <w:tc>
          <w:tcPr>
            <w:tcW w:w="2229" w:type="dxa"/>
          </w:tcPr>
          <w:p w:rsidR="00D849AA" w:rsidRPr="000E4589" w:rsidRDefault="00EE6D95">
            <w:pPr>
              <w:pStyle w:val="CellColumn"/>
            </w:pPr>
            <w:r w:rsidRPr="000E4589">
              <w:t>Provedba zajedničke vizne politike EU</w:t>
            </w:r>
          </w:p>
        </w:tc>
        <w:tc>
          <w:tcPr>
            <w:tcW w:w="1114" w:type="dxa"/>
          </w:tcPr>
          <w:p w:rsidR="00D849AA" w:rsidRPr="000E4589" w:rsidRDefault="00EE6D95">
            <w:pPr>
              <w:rPr>
                <w:rFonts w:ascii="Arial" w:hAnsi="Arial" w:cs="Arial"/>
              </w:rPr>
            </w:pPr>
            <w:r w:rsidRPr="000E4589">
              <w:rPr>
                <w:rFonts w:ascii="Arial" w:hAnsi="Arial" w:cs="Arial"/>
              </w:rPr>
              <w:t>%</w:t>
            </w:r>
          </w:p>
        </w:tc>
        <w:tc>
          <w:tcPr>
            <w:tcW w:w="1114" w:type="dxa"/>
          </w:tcPr>
          <w:p w:rsidR="00D849AA" w:rsidRPr="000E4589" w:rsidRDefault="00EE6D95">
            <w:pPr>
              <w:rPr>
                <w:rFonts w:ascii="Arial" w:hAnsi="Arial" w:cs="Arial"/>
              </w:rPr>
            </w:pPr>
            <w:r w:rsidRPr="000E4589">
              <w:rPr>
                <w:rFonts w:ascii="Arial" w:hAnsi="Arial" w:cs="Arial"/>
              </w:rPr>
              <w:t>50</w:t>
            </w:r>
          </w:p>
        </w:tc>
        <w:tc>
          <w:tcPr>
            <w:tcW w:w="1486" w:type="dxa"/>
          </w:tcPr>
          <w:p w:rsidR="00D849AA" w:rsidRPr="000E4589" w:rsidRDefault="00EE6D95">
            <w:pPr>
              <w:rPr>
                <w:rFonts w:ascii="Arial" w:hAnsi="Arial" w:cs="Arial"/>
              </w:rPr>
            </w:pPr>
            <w:r w:rsidRPr="000E4589">
              <w:rPr>
                <w:rFonts w:ascii="Arial" w:hAnsi="Arial" w:cs="Arial"/>
              </w:rPr>
              <w:t>75</w:t>
            </w:r>
          </w:p>
        </w:tc>
        <w:tc>
          <w:tcPr>
            <w:tcW w:w="1486" w:type="dxa"/>
          </w:tcPr>
          <w:p w:rsidR="00D849AA" w:rsidRPr="000E4589" w:rsidRDefault="00EE6D95">
            <w:pPr>
              <w:rPr>
                <w:rFonts w:ascii="Arial" w:hAnsi="Arial" w:cs="Arial"/>
              </w:rPr>
            </w:pPr>
            <w:r w:rsidRPr="000E4589">
              <w:rPr>
                <w:rFonts w:ascii="Arial" w:hAnsi="Arial" w:cs="Arial"/>
              </w:rPr>
              <w:t>100</w:t>
            </w:r>
          </w:p>
        </w:tc>
        <w:tc>
          <w:tcPr>
            <w:tcW w:w="1486" w:type="dxa"/>
          </w:tcPr>
          <w:p w:rsidR="00D849AA" w:rsidRPr="000E4589" w:rsidRDefault="00EE6D95">
            <w:pPr>
              <w:rPr>
                <w:rFonts w:ascii="Arial" w:hAnsi="Arial" w:cs="Arial"/>
              </w:rPr>
            </w:pPr>
            <w:r w:rsidRPr="000E4589">
              <w:rPr>
                <w:rFonts w:ascii="Arial" w:hAnsi="Arial" w:cs="Arial"/>
              </w:rPr>
              <w:t>100</w:t>
            </w:r>
          </w:p>
        </w:tc>
      </w:tr>
      <w:tr w:rsidR="00D849AA">
        <w:trPr>
          <w:jc w:val="center"/>
        </w:trPr>
        <w:tc>
          <w:tcPr>
            <w:tcW w:w="2229" w:type="dxa"/>
          </w:tcPr>
          <w:p w:rsidR="00D849AA" w:rsidRPr="000E4589" w:rsidRDefault="00EE6D95">
            <w:pPr>
              <w:pStyle w:val="CellColumn"/>
            </w:pPr>
            <w:r w:rsidRPr="000E4589">
              <w:t>Provedba migracijske politike Republike Hrvatske</w:t>
            </w:r>
          </w:p>
        </w:tc>
        <w:tc>
          <w:tcPr>
            <w:tcW w:w="1114" w:type="dxa"/>
          </w:tcPr>
          <w:p w:rsidR="00D849AA" w:rsidRPr="000E4589" w:rsidRDefault="00EE6D95">
            <w:pPr>
              <w:rPr>
                <w:rFonts w:ascii="Arial" w:hAnsi="Arial" w:cs="Arial"/>
              </w:rPr>
            </w:pPr>
            <w:r w:rsidRPr="000E4589">
              <w:rPr>
                <w:rFonts w:ascii="Arial" w:hAnsi="Arial" w:cs="Arial"/>
              </w:rPr>
              <w:t>%</w:t>
            </w:r>
          </w:p>
        </w:tc>
        <w:tc>
          <w:tcPr>
            <w:tcW w:w="1114" w:type="dxa"/>
          </w:tcPr>
          <w:p w:rsidR="00D849AA" w:rsidRPr="000E4589" w:rsidRDefault="00EE6D95">
            <w:pPr>
              <w:rPr>
                <w:rFonts w:ascii="Arial" w:hAnsi="Arial" w:cs="Arial"/>
              </w:rPr>
            </w:pPr>
            <w:r w:rsidRPr="000E4589">
              <w:rPr>
                <w:rFonts w:ascii="Arial" w:hAnsi="Arial" w:cs="Arial"/>
              </w:rPr>
              <w:t>100</w:t>
            </w:r>
          </w:p>
        </w:tc>
        <w:tc>
          <w:tcPr>
            <w:tcW w:w="1486" w:type="dxa"/>
          </w:tcPr>
          <w:p w:rsidR="00D849AA" w:rsidRPr="000E4589" w:rsidRDefault="00EE6D95">
            <w:pPr>
              <w:rPr>
                <w:rFonts w:ascii="Arial" w:hAnsi="Arial" w:cs="Arial"/>
              </w:rPr>
            </w:pPr>
            <w:r w:rsidRPr="000E4589">
              <w:rPr>
                <w:rFonts w:ascii="Arial" w:hAnsi="Arial" w:cs="Arial"/>
              </w:rPr>
              <w:t>100</w:t>
            </w:r>
          </w:p>
        </w:tc>
        <w:tc>
          <w:tcPr>
            <w:tcW w:w="1486" w:type="dxa"/>
          </w:tcPr>
          <w:p w:rsidR="00D849AA" w:rsidRPr="000E4589" w:rsidRDefault="00EE6D95">
            <w:pPr>
              <w:rPr>
                <w:rFonts w:ascii="Arial" w:hAnsi="Arial" w:cs="Arial"/>
              </w:rPr>
            </w:pPr>
            <w:r w:rsidRPr="000E4589">
              <w:rPr>
                <w:rFonts w:ascii="Arial" w:hAnsi="Arial" w:cs="Arial"/>
              </w:rPr>
              <w:t>100</w:t>
            </w:r>
          </w:p>
        </w:tc>
        <w:tc>
          <w:tcPr>
            <w:tcW w:w="1486" w:type="dxa"/>
          </w:tcPr>
          <w:p w:rsidR="00D849AA" w:rsidRPr="000E4589" w:rsidRDefault="00EE6D95">
            <w:pPr>
              <w:rPr>
                <w:rFonts w:ascii="Arial" w:hAnsi="Arial" w:cs="Arial"/>
              </w:rPr>
            </w:pPr>
            <w:r w:rsidRPr="000E4589">
              <w:rPr>
                <w:rFonts w:ascii="Arial" w:hAnsi="Arial" w:cs="Arial"/>
              </w:rPr>
              <w:t>100</w:t>
            </w:r>
          </w:p>
        </w:tc>
      </w:tr>
      <w:tr w:rsidR="00D849AA">
        <w:trPr>
          <w:jc w:val="center"/>
        </w:trPr>
        <w:tc>
          <w:tcPr>
            <w:tcW w:w="2229" w:type="dxa"/>
          </w:tcPr>
          <w:p w:rsidR="00D849AA" w:rsidRPr="000E4589" w:rsidRDefault="00EE6D95">
            <w:pPr>
              <w:pStyle w:val="CellColumn"/>
            </w:pPr>
            <w:r w:rsidRPr="000E4589">
              <w:t>Zaštita prava i interesa hrvatskih državljana i pravnih osoba u inozemstvu</w:t>
            </w:r>
          </w:p>
        </w:tc>
        <w:tc>
          <w:tcPr>
            <w:tcW w:w="1114" w:type="dxa"/>
          </w:tcPr>
          <w:p w:rsidR="00D849AA" w:rsidRPr="000E4589" w:rsidRDefault="00EE6D95">
            <w:pPr>
              <w:rPr>
                <w:rFonts w:ascii="Arial" w:hAnsi="Arial" w:cs="Arial"/>
              </w:rPr>
            </w:pPr>
            <w:r w:rsidRPr="000E4589">
              <w:rPr>
                <w:rFonts w:ascii="Arial" w:hAnsi="Arial" w:cs="Arial"/>
              </w:rPr>
              <w:t>%</w:t>
            </w:r>
          </w:p>
        </w:tc>
        <w:tc>
          <w:tcPr>
            <w:tcW w:w="1114" w:type="dxa"/>
          </w:tcPr>
          <w:p w:rsidR="00D849AA" w:rsidRPr="000E4589" w:rsidRDefault="00EE6D95">
            <w:pPr>
              <w:rPr>
                <w:rFonts w:ascii="Arial" w:hAnsi="Arial" w:cs="Arial"/>
              </w:rPr>
            </w:pPr>
            <w:r w:rsidRPr="000E4589">
              <w:rPr>
                <w:rFonts w:ascii="Arial" w:hAnsi="Arial" w:cs="Arial"/>
              </w:rPr>
              <w:t>100</w:t>
            </w:r>
          </w:p>
        </w:tc>
        <w:tc>
          <w:tcPr>
            <w:tcW w:w="1486" w:type="dxa"/>
          </w:tcPr>
          <w:p w:rsidR="00D849AA" w:rsidRPr="000E4589" w:rsidRDefault="00EE6D95">
            <w:pPr>
              <w:rPr>
                <w:rFonts w:ascii="Arial" w:hAnsi="Arial" w:cs="Arial"/>
              </w:rPr>
            </w:pPr>
            <w:r w:rsidRPr="000E4589">
              <w:rPr>
                <w:rFonts w:ascii="Arial" w:hAnsi="Arial" w:cs="Arial"/>
              </w:rPr>
              <w:t>100</w:t>
            </w:r>
          </w:p>
        </w:tc>
        <w:tc>
          <w:tcPr>
            <w:tcW w:w="1486" w:type="dxa"/>
          </w:tcPr>
          <w:p w:rsidR="00D849AA" w:rsidRPr="000E4589" w:rsidRDefault="00EE6D95">
            <w:pPr>
              <w:rPr>
                <w:rFonts w:ascii="Arial" w:hAnsi="Arial" w:cs="Arial"/>
              </w:rPr>
            </w:pPr>
            <w:r w:rsidRPr="000E4589">
              <w:rPr>
                <w:rFonts w:ascii="Arial" w:hAnsi="Arial" w:cs="Arial"/>
              </w:rPr>
              <w:t>100</w:t>
            </w:r>
          </w:p>
        </w:tc>
        <w:tc>
          <w:tcPr>
            <w:tcW w:w="1486" w:type="dxa"/>
          </w:tcPr>
          <w:p w:rsidR="00D849AA" w:rsidRPr="000E4589" w:rsidRDefault="00EE6D95">
            <w:pPr>
              <w:rPr>
                <w:rFonts w:ascii="Arial" w:hAnsi="Arial" w:cs="Arial"/>
              </w:rPr>
            </w:pPr>
            <w:r w:rsidRPr="000E4589">
              <w:rPr>
                <w:rFonts w:ascii="Arial" w:hAnsi="Arial" w:cs="Arial"/>
              </w:rPr>
              <w:t>100</w:t>
            </w:r>
          </w:p>
        </w:tc>
      </w:tr>
    </w:tbl>
    <w:p w:rsidR="00D849AA" w:rsidRDefault="00D849AA">
      <w:pPr>
        <w:jc w:val="left"/>
      </w:pPr>
    </w:p>
    <w:p w:rsidR="00D849AA" w:rsidRDefault="00EE6D95">
      <w:pPr>
        <w:pStyle w:val="Naslov6"/>
      </w:pPr>
      <w:r>
        <w:t>K777057 ADAPTACIJA I OPREMANJE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0E4589" w:rsidRDefault="00EE6D95">
            <w:pPr>
              <w:pStyle w:val="CellHeader"/>
            </w:pPr>
            <w:r w:rsidRPr="000E4589">
              <w:t>Naziv aktivnosti</w:t>
            </w:r>
          </w:p>
        </w:tc>
        <w:tc>
          <w:tcPr>
            <w:tcW w:w="1486" w:type="dxa"/>
            <w:shd w:val="clear" w:color="auto" w:fill="B5C0D8"/>
          </w:tcPr>
          <w:p w:rsidR="00D849AA" w:rsidRPr="000E4589" w:rsidRDefault="00EE6D95">
            <w:pPr>
              <w:pStyle w:val="CellHeader"/>
            </w:pPr>
            <w:r w:rsidRPr="000E4589">
              <w:t>Plan 2013.</w:t>
            </w:r>
          </w:p>
        </w:tc>
        <w:tc>
          <w:tcPr>
            <w:tcW w:w="1486" w:type="dxa"/>
            <w:shd w:val="clear" w:color="auto" w:fill="B5C0D8"/>
          </w:tcPr>
          <w:p w:rsidR="00D849AA" w:rsidRPr="000E4589" w:rsidRDefault="00EE6D95">
            <w:pPr>
              <w:pStyle w:val="CellHeader"/>
            </w:pPr>
            <w:r w:rsidRPr="000E4589">
              <w:t>Plan 2014.</w:t>
            </w:r>
          </w:p>
        </w:tc>
        <w:tc>
          <w:tcPr>
            <w:tcW w:w="1486" w:type="dxa"/>
            <w:shd w:val="clear" w:color="auto" w:fill="B5C0D8"/>
          </w:tcPr>
          <w:p w:rsidR="00D849AA" w:rsidRPr="000E4589" w:rsidRDefault="00EE6D95">
            <w:pPr>
              <w:pStyle w:val="CellHeader"/>
            </w:pPr>
            <w:r w:rsidRPr="000E4589">
              <w:t>Plan 2015.</w:t>
            </w:r>
          </w:p>
        </w:tc>
        <w:tc>
          <w:tcPr>
            <w:tcW w:w="1486" w:type="dxa"/>
            <w:shd w:val="clear" w:color="auto" w:fill="B5C0D8"/>
          </w:tcPr>
          <w:p w:rsidR="00D849AA" w:rsidRPr="000E4589" w:rsidRDefault="00EE6D95">
            <w:pPr>
              <w:pStyle w:val="CellHeader"/>
            </w:pPr>
            <w:r w:rsidRPr="000E4589">
              <w:t>Plan 2016.</w:t>
            </w:r>
          </w:p>
        </w:tc>
        <w:tc>
          <w:tcPr>
            <w:tcW w:w="1486" w:type="dxa"/>
            <w:shd w:val="clear" w:color="auto" w:fill="B5C0D8"/>
          </w:tcPr>
          <w:p w:rsidR="00D849AA" w:rsidRPr="000E4589" w:rsidRDefault="00EE6D95">
            <w:pPr>
              <w:pStyle w:val="CellHeader"/>
            </w:pPr>
            <w:r w:rsidRPr="000E4589">
              <w:t>Indeks 2014/2013</w:t>
            </w:r>
          </w:p>
        </w:tc>
      </w:tr>
      <w:tr w:rsidR="00D849AA">
        <w:trPr>
          <w:jc w:val="center"/>
        </w:trPr>
        <w:tc>
          <w:tcPr>
            <w:tcW w:w="1486" w:type="dxa"/>
          </w:tcPr>
          <w:p w:rsidR="00D849AA" w:rsidRPr="000E4589" w:rsidRDefault="00EE6D95">
            <w:pPr>
              <w:pStyle w:val="CellColumn"/>
            </w:pPr>
            <w:r w:rsidRPr="000E4589">
              <w:t>K777057</w:t>
            </w:r>
          </w:p>
        </w:tc>
        <w:tc>
          <w:tcPr>
            <w:tcW w:w="1486" w:type="dxa"/>
          </w:tcPr>
          <w:p w:rsidR="00D849AA" w:rsidRPr="000E4589" w:rsidRDefault="00EE6D95">
            <w:pPr>
              <w:rPr>
                <w:rFonts w:ascii="Arial" w:hAnsi="Arial" w:cs="Arial"/>
              </w:rPr>
            </w:pPr>
            <w:r w:rsidRPr="000E4589">
              <w:rPr>
                <w:rFonts w:ascii="Arial" w:hAnsi="Arial" w:cs="Arial"/>
              </w:rPr>
              <w:t>88.550.000</w:t>
            </w:r>
          </w:p>
        </w:tc>
        <w:tc>
          <w:tcPr>
            <w:tcW w:w="1486" w:type="dxa"/>
          </w:tcPr>
          <w:p w:rsidR="00D849AA" w:rsidRPr="000E4589" w:rsidRDefault="00EE6D95">
            <w:pPr>
              <w:rPr>
                <w:rFonts w:ascii="Arial" w:hAnsi="Arial" w:cs="Arial"/>
              </w:rPr>
            </w:pPr>
            <w:r w:rsidRPr="000E4589">
              <w:rPr>
                <w:rFonts w:ascii="Arial" w:hAnsi="Arial" w:cs="Arial"/>
              </w:rPr>
              <w:t>25.660.000</w:t>
            </w:r>
          </w:p>
        </w:tc>
        <w:tc>
          <w:tcPr>
            <w:tcW w:w="1486" w:type="dxa"/>
          </w:tcPr>
          <w:p w:rsidR="00D849AA" w:rsidRPr="000E4589" w:rsidRDefault="00EE6D95">
            <w:pPr>
              <w:rPr>
                <w:rFonts w:ascii="Arial" w:hAnsi="Arial" w:cs="Arial"/>
              </w:rPr>
            </w:pPr>
            <w:r w:rsidRPr="000E4589">
              <w:rPr>
                <w:rFonts w:ascii="Arial" w:hAnsi="Arial" w:cs="Arial"/>
              </w:rPr>
              <w:t>5.228.000</w:t>
            </w:r>
          </w:p>
        </w:tc>
        <w:tc>
          <w:tcPr>
            <w:tcW w:w="1486" w:type="dxa"/>
          </w:tcPr>
          <w:p w:rsidR="00D849AA" w:rsidRPr="000E4589" w:rsidRDefault="00EE6D95">
            <w:pPr>
              <w:rPr>
                <w:rFonts w:ascii="Arial" w:hAnsi="Arial" w:cs="Arial"/>
              </w:rPr>
            </w:pPr>
            <w:r w:rsidRPr="000E4589">
              <w:rPr>
                <w:rFonts w:ascii="Arial" w:hAnsi="Arial" w:cs="Arial"/>
              </w:rPr>
              <w:t>1.626.000</w:t>
            </w:r>
          </w:p>
        </w:tc>
        <w:tc>
          <w:tcPr>
            <w:tcW w:w="1486" w:type="dxa"/>
          </w:tcPr>
          <w:p w:rsidR="00D849AA" w:rsidRPr="000E4589" w:rsidRDefault="00EE6D95">
            <w:pPr>
              <w:rPr>
                <w:rFonts w:ascii="Arial" w:hAnsi="Arial" w:cs="Arial"/>
              </w:rPr>
            </w:pPr>
            <w:r w:rsidRPr="000E4589">
              <w:rPr>
                <w:rFonts w:ascii="Arial" w:hAnsi="Arial" w:cs="Arial"/>
              </w:rPr>
              <w:t>29,0</w:t>
            </w:r>
          </w:p>
        </w:tc>
      </w:tr>
    </w:tbl>
    <w:p w:rsidR="00D849AA" w:rsidRDefault="00D849AA">
      <w:pPr>
        <w:jc w:val="left"/>
      </w:pPr>
    </w:p>
    <w:p w:rsidR="00D849AA" w:rsidRDefault="00EE6D95">
      <w:pPr>
        <w:pStyle w:val="Normal6"/>
      </w:pPr>
      <w:r>
        <w:t xml:space="preserve">Odlukom Vlade Republike Hrvatske o davanju suglasnosti Ministarstvu vanjskih i europskih poslova za kupnju zgrade za smještaj diplomatskih predstavništava Republike Hrvatske u Bruxellesu, sklopljen je kupoprodajni ugovor i zgrada je u 2013. godini preuzeta u posjed. Budući da je unutarnji prostor predmetne nekretnine nedovršen („rohbau“) potrebno je provesti uređenje i opremanje kako bi se ista stavila u funkciju na način da se osigura puni kadrovski kapacitet te u konačnici i doprinos diplomata u radu tijela Europske Unije. </w:t>
      </w:r>
    </w:p>
    <w:p w:rsidR="00D849AA" w:rsidRDefault="00EE6D95">
      <w:pPr>
        <w:pStyle w:val="Normal6"/>
      </w:pPr>
      <w:r>
        <w:t xml:space="preserve"> </w:t>
      </w:r>
    </w:p>
    <w:p w:rsidR="00D849AA" w:rsidRDefault="00EE6D95">
      <w:pPr>
        <w:pStyle w:val="Normal6"/>
      </w:pPr>
      <w:r>
        <w:lastRenderedPageBreak/>
        <w:t xml:space="preserve">Za navedenu namjenu planirana su sredstva u 2014. godini u iznosu od 24.660.000 kuna. Strateškim planom MVEP-a unutar Posebnog cilja 1.3. Upravljanje i razvoj službe vanjskih poslova, način ostvarenje 1.3.5. Jačanje institucionalnih kapaciteta, obuhvaćena je adaptacija i opremanje zgrade za smještaj predstavništava RH u Bruxellesu.   </w:t>
      </w:r>
    </w:p>
    <w:p w:rsidR="00D849AA" w:rsidRDefault="00EE6D95">
      <w:pPr>
        <w:pStyle w:val="Normal6"/>
      </w:pPr>
      <w:r>
        <w:t>Iz navedenog potprograma financiraju se i projekti opremanja poslovnih prostora sukladno zahtjevima Schengena, kao i adaptacije, uređenja i opremanja imovine dobivene sukcesijom bivše Jugoslavije, koja je u posjedu RH sukladno Zakonu o potvrđivanju Ugovora o pitanjima sukcesije te Aneksu I Rezolucije od 21. prosinca 2006. godine.</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0E4589" w:rsidRDefault="00EE6D95">
            <w:pPr>
              <w:rPr>
                <w:rFonts w:ascii="Arial" w:hAnsi="Arial" w:cs="Arial"/>
              </w:rPr>
            </w:pPr>
            <w:r w:rsidRPr="000E4589">
              <w:rPr>
                <w:rFonts w:ascii="Arial" w:hAnsi="Arial" w:cs="Arial"/>
              </w:rPr>
              <w:t>Pokazatelj rezultata</w:t>
            </w:r>
          </w:p>
        </w:tc>
        <w:tc>
          <w:tcPr>
            <w:tcW w:w="1114" w:type="dxa"/>
            <w:shd w:val="clear" w:color="auto" w:fill="B5C0D8"/>
          </w:tcPr>
          <w:p w:rsidR="00D849AA" w:rsidRPr="000E4589" w:rsidRDefault="00EE6D95">
            <w:pPr>
              <w:pStyle w:val="CellHeader"/>
            </w:pPr>
            <w:r w:rsidRPr="000E4589">
              <w:t>Jedinica</w:t>
            </w:r>
          </w:p>
        </w:tc>
        <w:tc>
          <w:tcPr>
            <w:tcW w:w="1114" w:type="dxa"/>
            <w:shd w:val="clear" w:color="auto" w:fill="B5C0D8"/>
          </w:tcPr>
          <w:p w:rsidR="00D849AA" w:rsidRPr="000E4589" w:rsidRDefault="00EE6D95">
            <w:pPr>
              <w:pStyle w:val="CellHeader"/>
            </w:pPr>
            <w:r w:rsidRPr="000E4589">
              <w:t>Polazna vrijednost</w:t>
            </w:r>
          </w:p>
        </w:tc>
        <w:tc>
          <w:tcPr>
            <w:tcW w:w="1486" w:type="dxa"/>
            <w:shd w:val="clear" w:color="auto" w:fill="B5C0D8"/>
          </w:tcPr>
          <w:p w:rsidR="00D849AA" w:rsidRPr="000E4589" w:rsidRDefault="00EE6D95">
            <w:pPr>
              <w:pStyle w:val="CellHeader"/>
            </w:pPr>
            <w:r w:rsidRPr="000E4589">
              <w:t>Ciljana vrijednost (2014.)</w:t>
            </w:r>
          </w:p>
        </w:tc>
        <w:tc>
          <w:tcPr>
            <w:tcW w:w="1486" w:type="dxa"/>
            <w:shd w:val="clear" w:color="auto" w:fill="B5C0D8"/>
          </w:tcPr>
          <w:p w:rsidR="00D849AA" w:rsidRPr="000E4589" w:rsidRDefault="00EE6D95">
            <w:pPr>
              <w:pStyle w:val="CellHeader"/>
            </w:pPr>
            <w:r w:rsidRPr="000E4589">
              <w:t>Ciljana vrijednost (2015.)</w:t>
            </w:r>
          </w:p>
        </w:tc>
        <w:tc>
          <w:tcPr>
            <w:tcW w:w="1486" w:type="dxa"/>
            <w:shd w:val="clear" w:color="auto" w:fill="B5C0D8"/>
          </w:tcPr>
          <w:p w:rsidR="00D849AA" w:rsidRPr="000E4589" w:rsidRDefault="00EE6D95">
            <w:pPr>
              <w:pStyle w:val="CellHeader"/>
            </w:pPr>
            <w:r w:rsidRPr="000E4589">
              <w:t>Ciljana vrijednost (2016.)</w:t>
            </w:r>
          </w:p>
        </w:tc>
      </w:tr>
      <w:tr w:rsidR="00D849AA">
        <w:trPr>
          <w:jc w:val="center"/>
        </w:trPr>
        <w:tc>
          <w:tcPr>
            <w:tcW w:w="2229" w:type="dxa"/>
          </w:tcPr>
          <w:p w:rsidR="00D849AA" w:rsidRPr="000E4589" w:rsidRDefault="00EE6D95">
            <w:pPr>
              <w:pStyle w:val="CellColumn"/>
            </w:pPr>
            <w:r w:rsidRPr="000E4589">
              <w:t>Uspostavljena funkcionalna infrastruktura za smještaj predstavništva RH u Bruxellesu</w:t>
            </w:r>
          </w:p>
        </w:tc>
        <w:tc>
          <w:tcPr>
            <w:tcW w:w="1114" w:type="dxa"/>
          </w:tcPr>
          <w:p w:rsidR="00D849AA" w:rsidRPr="000E4589" w:rsidRDefault="00EE6D95">
            <w:pPr>
              <w:rPr>
                <w:rFonts w:ascii="Arial" w:hAnsi="Arial" w:cs="Arial"/>
              </w:rPr>
            </w:pPr>
            <w:r w:rsidRPr="000E4589">
              <w:rPr>
                <w:rFonts w:ascii="Arial" w:hAnsi="Arial" w:cs="Arial"/>
              </w:rPr>
              <w:t>%</w:t>
            </w:r>
          </w:p>
        </w:tc>
        <w:tc>
          <w:tcPr>
            <w:tcW w:w="1114" w:type="dxa"/>
          </w:tcPr>
          <w:p w:rsidR="00D849AA" w:rsidRPr="000E4589" w:rsidRDefault="00EE6D95">
            <w:pPr>
              <w:rPr>
                <w:rFonts w:ascii="Arial" w:hAnsi="Arial" w:cs="Arial"/>
              </w:rPr>
            </w:pPr>
            <w:r w:rsidRPr="000E4589">
              <w:rPr>
                <w:rFonts w:ascii="Arial" w:hAnsi="Arial" w:cs="Arial"/>
              </w:rPr>
              <w:t>30</w:t>
            </w:r>
          </w:p>
        </w:tc>
        <w:tc>
          <w:tcPr>
            <w:tcW w:w="1486" w:type="dxa"/>
          </w:tcPr>
          <w:p w:rsidR="00D849AA" w:rsidRPr="000E4589" w:rsidRDefault="00EE6D95">
            <w:pPr>
              <w:rPr>
                <w:rFonts w:ascii="Arial" w:hAnsi="Arial" w:cs="Arial"/>
              </w:rPr>
            </w:pPr>
            <w:r w:rsidRPr="000E4589">
              <w:rPr>
                <w:rFonts w:ascii="Arial" w:hAnsi="Arial" w:cs="Arial"/>
              </w:rPr>
              <w:t>100</w:t>
            </w:r>
          </w:p>
        </w:tc>
        <w:tc>
          <w:tcPr>
            <w:tcW w:w="1486" w:type="dxa"/>
          </w:tcPr>
          <w:p w:rsidR="00D849AA" w:rsidRPr="000E4589" w:rsidRDefault="00D849AA">
            <w:pPr>
              <w:jc w:val="left"/>
              <w:rPr>
                <w:rFonts w:ascii="Arial" w:hAnsi="Arial" w:cs="Arial"/>
              </w:rPr>
            </w:pPr>
          </w:p>
        </w:tc>
        <w:tc>
          <w:tcPr>
            <w:tcW w:w="1486" w:type="dxa"/>
          </w:tcPr>
          <w:p w:rsidR="00D849AA" w:rsidRPr="000E4589" w:rsidRDefault="00D849AA">
            <w:pPr>
              <w:jc w:val="left"/>
              <w:rPr>
                <w:rFonts w:ascii="Arial" w:hAnsi="Arial" w:cs="Arial"/>
              </w:rPr>
            </w:pPr>
          </w:p>
        </w:tc>
      </w:tr>
    </w:tbl>
    <w:p w:rsidR="000E4589" w:rsidRDefault="000E4589" w:rsidP="000E4589">
      <w:pPr>
        <w:jc w:val="left"/>
      </w:pPr>
    </w:p>
    <w:p w:rsidR="000E4589" w:rsidRDefault="000E4589" w:rsidP="000E4589">
      <w:pPr>
        <w:pStyle w:val="Naslov4"/>
      </w:pPr>
      <w:r>
        <w:t>OBRAZLOŽENJE PROGRAMA</w:t>
      </w:r>
    </w:p>
    <w:p w:rsidR="00D849AA" w:rsidRDefault="00EE6D95">
      <w:pPr>
        <w:pStyle w:val="Naslov5"/>
      </w:pPr>
      <w:r>
        <w:t>2303 HORIZONTALNA KOORDINACIJA EUROPSKIH POSLOVA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rsidRPr="000E4589">
        <w:trPr>
          <w:jc w:val="center"/>
        </w:trPr>
        <w:tc>
          <w:tcPr>
            <w:tcW w:w="1486" w:type="dxa"/>
            <w:shd w:val="clear" w:color="auto" w:fill="B5C0D8"/>
          </w:tcPr>
          <w:p w:rsidR="00D849AA" w:rsidRPr="000E4589" w:rsidRDefault="00D849AA">
            <w:pPr>
              <w:pStyle w:val="CellHeader"/>
            </w:pPr>
          </w:p>
        </w:tc>
        <w:tc>
          <w:tcPr>
            <w:tcW w:w="1486" w:type="dxa"/>
            <w:shd w:val="clear" w:color="auto" w:fill="B5C0D8"/>
          </w:tcPr>
          <w:p w:rsidR="00D849AA" w:rsidRPr="000E4589" w:rsidRDefault="00EE6D95">
            <w:pPr>
              <w:pStyle w:val="CellHeader"/>
            </w:pPr>
            <w:r w:rsidRPr="000E4589">
              <w:t>Plan 2013.</w:t>
            </w:r>
          </w:p>
        </w:tc>
        <w:tc>
          <w:tcPr>
            <w:tcW w:w="1486" w:type="dxa"/>
            <w:shd w:val="clear" w:color="auto" w:fill="B5C0D8"/>
          </w:tcPr>
          <w:p w:rsidR="00D849AA" w:rsidRPr="000E4589" w:rsidRDefault="00EE6D95">
            <w:pPr>
              <w:pStyle w:val="CellHeader"/>
            </w:pPr>
            <w:r w:rsidRPr="000E4589">
              <w:t>Plan 2014.</w:t>
            </w:r>
          </w:p>
        </w:tc>
        <w:tc>
          <w:tcPr>
            <w:tcW w:w="1486" w:type="dxa"/>
            <w:shd w:val="clear" w:color="auto" w:fill="B5C0D8"/>
          </w:tcPr>
          <w:p w:rsidR="00D849AA" w:rsidRPr="000E4589" w:rsidRDefault="00EE6D95">
            <w:pPr>
              <w:pStyle w:val="CellHeader"/>
            </w:pPr>
            <w:r w:rsidRPr="000E4589">
              <w:t>Plan 2015.</w:t>
            </w:r>
          </w:p>
        </w:tc>
        <w:tc>
          <w:tcPr>
            <w:tcW w:w="1486" w:type="dxa"/>
            <w:shd w:val="clear" w:color="auto" w:fill="B5C0D8"/>
          </w:tcPr>
          <w:p w:rsidR="00D849AA" w:rsidRPr="000E4589" w:rsidRDefault="00EE6D95">
            <w:pPr>
              <w:pStyle w:val="CellHeader"/>
            </w:pPr>
            <w:r w:rsidRPr="000E4589">
              <w:t>Plan 2016.</w:t>
            </w:r>
          </w:p>
        </w:tc>
        <w:tc>
          <w:tcPr>
            <w:tcW w:w="1486" w:type="dxa"/>
            <w:shd w:val="clear" w:color="auto" w:fill="B5C0D8"/>
          </w:tcPr>
          <w:p w:rsidR="00D849AA" w:rsidRPr="000E4589" w:rsidRDefault="00EE6D95">
            <w:pPr>
              <w:pStyle w:val="CellHeader"/>
            </w:pPr>
            <w:r w:rsidRPr="000E4589">
              <w:t>Indeks 2014/2013</w:t>
            </w:r>
          </w:p>
        </w:tc>
      </w:tr>
      <w:tr w:rsidR="00D849AA" w:rsidRPr="000E4589">
        <w:trPr>
          <w:jc w:val="center"/>
        </w:trPr>
        <w:tc>
          <w:tcPr>
            <w:tcW w:w="1486" w:type="dxa"/>
          </w:tcPr>
          <w:p w:rsidR="00D849AA" w:rsidRPr="000E4589" w:rsidRDefault="00EE6D95">
            <w:pPr>
              <w:pStyle w:val="CellColumn"/>
            </w:pPr>
            <w:r w:rsidRPr="000E4589">
              <w:t>2303</w:t>
            </w:r>
          </w:p>
        </w:tc>
        <w:tc>
          <w:tcPr>
            <w:tcW w:w="1486" w:type="dxa"/>
          </w:tcPr>
          <w:p w:rsidR="00D849AA" w:rsidRPr="000E4589" w:rsidRDefault="00EE6D95">
            <w:pPr>
              <w:rPr>
                <w:rFonts w:ascii="Arial" w:hAnsi="Arial" w:cs="Arial"/>
              </w:rPr>
            </w:pPr>
            <w:r w:rsidRPr="000E4589">
              <w:rPr>
                <w:rFonts w:ascii="Arial" w:hAnsi="Arial" w:cs="Arial"/>
              </w:rPr>
              <w:t>14.211.000</w:t>
            </w:r>
          </w:p>
        </w:tc>
        <w:tc>
          <w:tcPr>
            <w:tcW w:w="1486" w:type="dxa"/>
          </w:tcPr>
          <w:p w:rsidR="00D849AA" w:rsidRPr="000E4589" w:rsidRDefault="00EE6D95">
            <w:pPr>
              <w:rPr>
                <w:rFonts w:ascii="Arial" w:hAnsi="Arial" w:cs="Arial"/>
              </w:rPr>
            </w:pPr>
            <w:r w:rsidRPr="000E4589">
              <w:rPr>
                <w:rFonts w:ascii="Arial" w:hAnsi="Arial" w:cs="Arial"/>
              </w:rPr>
              <w:t>12.032.800</w:t>
            </w:r>
          </w:p>
        </w:tc>
        <w:tc>
          <w:tcPr>
            <w:tcW w:w="1486" w:type="dxa"/>
          </w:tcPr>
          <w:p w:rsidR="00D849AA" w:rsidRPr="000E4589" w:rsidRDefault="00EE6D95">
            <w:pPr>
              <w:rPr>
                <w:rFonts w:ascii="Arial" w:hAnsi="Arial" w:cs="Arial"/>
              </w:rPr>
            </w:pPr>
            <w:r w:rsidRPr="000E4589">
              <w:rPr>
                <w:rFonts w:ascii="Arial" w:hAnsi="Arial" w:cs="Arial"/>
              </w:rPr>
              <w:t>10.968.200</w:t>
            </w:r>
          </w:p>
        </w:tc>
        <w:tc>
          <w:tcPr>
            <w:tcW w:w="1486" w:type="dxa"/>
          </w:tcPr>
          <w:p w:rsidR="00D849AA" w:rsidRPr="000E4589" w:rsidRDefault="00EE6D95">
            <w:pPr>
              <w:rPr>
                <w:rFonts w:ascii="Arial" w:hAnsi="Arial" w:cs="Arial"/>
              </w:rPr>
            </w:pPr>
            <w:r w:rsidRPr="000E4589">
              <w:rPr>
                <w:rFonts w:ascii="Arial" w:hAnsi="Arial" w:cs="Arial"/>
              </w:rPr>
              <w:t>10.789.000</w:t>
            </w:r>
          </w:p>
        </w:tc>
        <w:tc>
          <w:tcPr>
            <w:tcW w:w="1486" w:type="dxa"/>
          </w:tcPr>
          <w:p w:rsidR="00D849AA" w:rsidRPr="000E4589" w:rsidRDefault="00EE6D95">
            <w:pPr>
              <w:rPr>
                <w:rFonts w:ascii="Arial" w:hAnsi="Arial" w:cs="Arial"/>
              </w:rPr>
            </w:pPr>
            <w:r w:rsidRPr="000E4589">
              <w:rPr>
                <w:rFonts w:ascii="Arial" w:hAnsi="Arial" w:cs="Arial"/>
              </w:rPr>
              <w:t>84,7</w:t>
            </w:r>
          </w:p>
        </w:tc>
      </w:tr>
    </w:tbl>
    <w:p w:rsidR="00D849AA" w:rsidRPr="000E4589" w:rsidRDefault="00D849AA">
      <w:pPr>
        <w:jc w:val="left"/>
        <w:rPr>
          <w:rFonts w:ascii="Arial" w:hAnsi="Arial" w:cs="Arial"/>
        </w:rPr>
      </w:pPr>
    </w:p>
    <w:p w:rsidR="00D849AA" w:rsidRDefault="00EE6D95">
      <w:pPr>
        <w:pStyle w:val="Naslov6"/>
      </w:pPr>
      <w:r>
        <w:t>Opis programa</w:t>
      </w:r>
    </w:p>
    <w:p w:rsidR="00D849AA" w:rsidRDefault="00EE6D95">
      <w:pPr>
        <w:pStyle w:val="Normal5"/>
      </w:pPr>
      <w:r>
        <w:t xml:space="preserve">Kroz navedeni proračunski program realizira se poseban cilj 1.1. Provedba i koordinacija europskih poslova definiran Strateškim planom MVEP za razdoblje 2014.-2016. MVEP, kao koordinator svih nadležnih tijela državne uprave u području europskih poslova, kroz navedeni program brine o kontinuiranoj prilagodbi standardima i politikama EU, odnosno uspostavi učinkovitog sustava nacionalne koordinacije europskih poslova.  </w:t>
      </w:r>
    </w:p>
    <w:p w:rsidR="00D849AA" w:rsidRDefault="00EE6D95">
      <w:pPr>
        <w:pStyle w:val="Normal5"/>
      </w:pPr>
      <w:r>
        <w:t xml:space="preserve">Navedenim programom financira se daljnje jačanje regionalne suradnje kroz  prenošenje stečenih znanja i iskustva iz pristupnih pregovora zemljama u regiji te se nastavljaju aktivnosti vezane uz europske euroregije i makroregije. </w:t>
      </w:r>
    </w:p>
    <w:p w:rsidR="00D849AA" w:rsidRDefault="00EE6D95">
      <w:pPr>
        <w:pStyle w:val="Normal5"/>
      </w:pPr>
      <w:r>
        <w:t>Kroz program, a u okviru pristupanja RH EU, financiraju se poslovi prevođenja i redakture, te koordinacija prevođenja, redakture i lekture hrvatskih propisa i ostalih dokumenata za sastanke relevantnih institucija EU-a posebno onih vezanih uz izvješćivanje Europske komisije o ispunjavanju obveza RH. Važna djelatnost MVEP-a u narednom razdoblju jest briga o očuvanju identiteta hrvatskog jezika kao službenog jezika Europske unije.</w:t>
      </w:r>
    </w:p>
    <w:p w:rsidR="00D849AA" w:rsidRDefault="00EE6D95">
      <w:pPr>
        <w:pStyle w:val="Naslov6"/>
      </w:pPr>
      <w:r>
        <w:lastRenderedPageBreak/>
        <w:t>Zakonske i druge pravne osnove</w:t>
      </w:r>
    </w:p>
    <w:p w:rsidR="00D849AA" w:rsidRDefault="00EE6D95">
      <w:pPr>
        <w:pStyle w:val="Normal5"/>
      </w:pPr>
      <w:r>
        <w:t>Program Vlade RH za preuzimanje i provedbu pravne stečevine EU, Pregovaračka stajališta RH, Komunikacijska strategija za informiranje hrvatske javnosti o EU i pripremama za članstvo (NN 13/06.), Odluka Vlade RH o osnivanju Međuresorne radne skupine za europske poslove od 20.lipnja 2013. godine (NN 78/2013)</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Cilj 1. Provedba i koordinacija europskih poslova</w:t>
      </w:r>
    </w:p>
    <w:p w:rsidR="00D849AA" w:rsidRDefault="00EE6D95">
      <w:pPr>
        <w:pStyle w:val="Normal6"/>
      </w:pPr>
      <w:r>
        <w:t xml:space="preserve">Republika Hrvatska je od 1. srpnja 2013. godine punopravna članica Europske unije i time će aktivno sudjelovati u radu radnih skupina i odbora Vijeća Europske unije, na ministarskim sastancima Vijeća Europske unije u svim njegovim konfiguracijama, te na sjednicama Europskog vijeća. MVEP, kao tijelo nadležno za nacionalnu koordinaciju europskih poslova, intenzivno će raditi, zajedno sa svim tijelima državne uprave, na uspostavi funkcionalnog i učinkovitog sustava za nacionalnu koordinaciju europskih poslova </w:t>
      </w:r>
    </w:p>
    <w:p w:rsidR="00D849AA" w:rsidRDefault="00EE6D95">
      <w:pPr>
        <w:pStyle w:val="Normal6"/>
      </w:pPr>
      <w:r>
        <w:t xml:space="preserve">U tom cilju, iznimnu važnost imat će jačanje institucionalnih sposobnosti s naglaskom na jačanje administrativnih kapaciteta za koordinaciju i obavljanje europskih poslova te kontinuirano obrazovanje kadrova radi uspješne prilagodbe na zahtjeve koje donosi  članstvo u Europskoj uniji. </w:t>
      </w:r>
    </w:p>
    <w:p w:rsidR="00D849AA" w:rsidRDefault="00EE6D95">
      <w:pPr>
        <w:pStyle w:val="Normal6"/>
      </w:pPr>
      <w:r>
        <w:t xml:space="preserve">Ministarstvo vanjskih i europskih poslova u narednom trogodišnjem razdoblju, nastavlja usklađivati hrvatsko zakonodavstvo s pravnom stečevinom Europske unije. Članstvo u Europskoj uniji donosi i nove obveze pa će tako Ministarstvo vanjskih i europskih poslova, nakon što je u prethodnom razdoblju radilo na uspostavi zakonodavnog i institucionalnog sustava za vođenje postupaka zbog povrede prava Europske unije, biti zaduženo za pripremu sudjelovanja Republike Hrvatske u rečenim postupcima.  </w:t>
      </w:r>
    </w:p>
    <w:p w:rsidR="00D849AA" w:rsidRDefault="00EE6D95">
      <w:pPr>
        <w:pStyle w:val="Normal6"/>
      </w:pPr>
      <w:r>
        <w:t>U kontekstu ukupnih vanjskopolitičkih napora, uključujući i kontekst politika Europske unije, regija zapadnog Balkana ima posebno važno mjesto. Znanje i iskustvo stečeno u pregovorima o pristupanju Europskoj uniji Ministarstvo vanjskih i europskih poslova namjerava prenijeti državama koje su započele svoj put prema europskim integracijama, kroz organizaciju seminara i drugih aktivnosti, kao i izdavanje stručnih  priručnika i drugih stručnih izdanja.</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0E4589" w:rsidRDefault="00EE6D95">
            <w:pPr>
              <w:rPr>
                <w:rFonts w:ascii="Arial" w:hAnsi="Arial" w:cs="Arial"/>
              </w:rPr>
            </w:pPr>
            <w:r w:rsidRPr="000E4589">
              <w:rPr>
                <w:rFonts w:ascii="Arial" w:hAnsi="Arial" w:cs="Arial"/>
              </w:rPr>
              <w:t>Pokazatelj učinka</w:t>
            </w:r>
          </w:p>
        </w:tc>
        <w:tc>
          <w:tcPr>
            <w:tcW w:w="1114" w:type="dxa"/>
            <w:shd w:val="clear" w:color="auto" w:fill="B5C0D8"/>
          </w:tcPr>
          <w:p w:rsidR="00D849AA" w:rsidRPr="000E4589" w:rsidRDefault="00EE6D95">
            <w:pPr>
              <w:pStyle w:val="CellHeader"/>
            </w:pPr>
            <w:r w:rsidRPr="000E4589">
              <w:t>Jedinica</w:t>
            </w:r>
          </w:p>
        </w:tc>
        <w:tc>
          <w:tcPr>
            <w:tcW w:w="1114" w:type="dxa"/>
            <w:shd w:val="clear" w:color="auto" w:fill="B5C0D8"/>
          </w:tcPr>
          <w:p w:rsidR="00D849AA" w:rsidRPr="000E4589" w:rsidRDefault="00EE6D95">
            <w:pPr>
              <w:pStyle w:val="CellHeader"/>
            </w:pPr>
            <w:r w:rsidRPr="000E4589">
              <w:t>Polazna vrijednost</w:t>
            </w:r>
          </w:p>
        </w:tc>
        <w:tc>
          <w:tcPr>
            <w:tcW w:w="1486" w:type="dxa"/>
            <w:shd w:val="clear" w:color="auto" w:fill="B5C0D8"/>
          </w:tcPr>
          <w:p w:rsidR="00D849AA" w:rsidRPr="000E4589" w:rsidRDefault="00EE6D95">
            <w:pPr>
              <w:pStyle w:val="CellHeader"/>
            </w:pPr>
            <w:r w:rsidRPr="000E4589">
              <w:t>Ciljana vrijednost (2014.)</w:t>
            </w:r>
          </w:p>
        </w:tc>
        <w:tc>
          <w:tcPr>
            <w:tcW w:w="1486" w:type="dxa"/>
            <w:shd w:val="clear" w:color="auto" w:fill="B5C0D8"/>
          </w:tcPr>
          <w:p w:rsidR="00D849AA" w:rsidRPr="000E4589" w:rsidRDefault="00EE6D95">
            <w:pPr>
              <w:pStyle w:val="CellHeader"/>
            </w:pPr>
            <w:r w:rsidRPr="000E4589">
              <w:t>Ciljana vrijednost (2015.)</w:t>
            </w:r>
          </w:p>
        </w:tc>
        <w:tc>
          <w:tcPr>
            <w:tcW w:w="1486" w:type="dxa"/>
            <w:shd w:val="clear" w:color="auto" w:fill="B5C0D8"/>
          </w:tcPr>
          <w:p w:rsidR="00D849AA" w:rsidRPr="000E4589" w:rsidRDefault="00EE6D95">
            <w:pPr>
              <w:pStyle w:val="CellHeader"/>
            </w:pPr>
            <w:r w:rsidRPr="000E4589">
              <w:t>Ciljana vrijednost (2016.)</w:t>
            </w:r>
          </w:p>
        </w:tc>
      </w:tr>
      <w:tr w:rsidR="00D849AA">
        <w:trPr>
          <w:jc w:val="center"/>
        </w:trPr>
        <w:tc>
          <w:tcPr>
            <w:tcW w:w="2229" w:type="dxa"/>
          </w:tcPr>
          <w:p w:rsidR="00D849AA" w:rsidRPr="000E4589" w:rsidRDefault="00EE6D95">
            <w:pPr>
              <w:pStyle w:val="CellColumn"/>
            </w:pPr>
            <w:r w:rsidRPr="000E4589">
              <w:t>Sudjelovanje u kreiranju europskih politika temeljem izrađenih nacionalnih stajališta RH</w:t>
            </w:r>
          </w:p>
        </w:tc>
        <w:tc>
          <w:tcPr>
            <w:tcW w:w="1114" w:type="dxa"/>
          </w:tcPr>
          <w:p w:rsidR="00D849AA" w:rsidRPr="000E4589" w:rsidRDefault="00EE6D95">
            <w:pPr>
              <w:rPr>
                <w:rFonts w:ascii="Arial" w:hAnsi="Arial" w:cs="Arial"/>
              </w:rPr>
            </w:pPr>
            <w:r w:rsidRPr="000E4589">
              <w:rPr>
                <w:rFonts w:ascii="Arial" w:hAnsi="Arial" w:cs="Arial"/>
              </w:rPr>
              <w:t>%</w:t>
            </w:r>
          </w:p>
        </w:tc>
        <w:tc>
          <w:tcPr>
            <w:tcW w:w="1114" w:type="dxa"/>
          </w:tcPr>
          <w:p w:rsidR="00D849AA" w:rsidRPr="000E4589" w:rsidRDefault="00EE6D95">
            <w:pPr>
              <w:rPr>
                <w:rFonts w:ascii="Arial" w:hAnsi="Arial" w:cs="Arial"/>
              </w:rPr>
            </w:pPr>
            <w:r w:rsidRPr="000E4589">
              <w:rPr>
                <w:rFonts w:ascii="Arial" w:hAnsi="Arial" w:cs="Arial"/>
              </w:rPr>
              <w:t>50</w:t>
            </w:r>
          </w:p>
        </w:tc>
        <w:tc>
          <w:tcPr>
            <w:tcW w:w="1486" w:type="dxa"/>
          </w:tcPr>
          <w:p w:rsidR="00D849AA" w:rsidRPr="000E4589" w:rsidRDefault="00EE6D95">
            <w:pPr>
              <w:rPr>
                <w:rFonts w:ascii="Arial" w:hAnsi="Arial" w:cs="Arial"/>
              </w:rPr>
            </w:pPr>
            <w:r w:rsidRPr="000E4589">
              <w:rPr>
                <w:rFonts w:ascii="Arial" w:hAnsi="Arial" w:cs="Arial"/>
              </w:rPr>
              <w:t>100</w:t>
            </w:r>
          </w:p>
        </w:tc>
        <w:tc>
          <w:tcPr>
            <w:tcW w:w="1486" w:type="dxa"/>
          </w:tcPr>
          <w:p w:rsidR="00D849AA" w:rsidRPr="000E4589" w:rsidRDefault="00EE6D95">
            <w:pPr>
              <w:rPr>
                <w:rFonts w:ascii="Arial" w:hAnsi="Arial" w:cs="Arial"/>
              </w:rPr>
            </w:pPr>
            <w:r w:rsidRPr="000E4589">
              <w:rPr>
                <w:rFonts w:ascii="Arial" w:hAnsi="Arial" w:cs="Arial"/>
              </w:rPr>
              <w:t>100</w:t>
            </w:r>
          </w:p>
        </w:tc>
        <w:tc>
          <w:tcPr>
            <w:tcW w:w="1486" w:type="dxa"/>
          </w:tcPr>
          <w:p w:rsidR="00D849AA" w:rsidRPr="000E4589" w:rsidRDefault="00EE6D95">
            <w:pPr>
              <w:rPr>
                <w:rFonts w:ascii="Arial" w:hAnsi="Arial" w:cs="Arial"/>
              </w:rPr>
            </w:pPr>
            <w:r w:rsidRPr="000E4589">
              <w:rPr>
                <w:rFonts w:ascii="Arial" w:hAnsi="Arial" w:cs="Arial"/>
              </w:rPr>
              <w:t>100</w:t>
            </w:r>
          </w:p>
        </w:tc>
      </w:tr>
    </w:tbl>
    <w:p w:rsidR="00D849AA" w:rsidRDefault="00D849AA">
      <w:pPr>
        <w:jc w:val="left"/>
      </w:pPr>
    </w:p>
    <w:p w:rsidR="00D849AA" w:rsidRDefault="00EE6D95">
      <w:pPr>
        <w:pStyle w:val="Naslov5"/>
      </w:pPr>
      <w:r>
        <w:lastRenderedPageBreak/>
        <w:t>Procjena i ishodište potrebnih sredstava za značajnije aktivnosti/projekte</w:t>
      </w:r>
    </w:p>
    <w:p w:rsidR="00D849AA" w:rsidRDefault="00EE6D95">
      <w:pPr>
        <w:pStyle w:val="Naslov6"/>
      </w:pPr>
      <w:r>
        <w:t>A777052 KOORDINACIJA EU POSLOVA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0E4589" w:rsidRDefault="00EE6D95">
            <w:pPr>
              <w:pStyle w:val="CellHeader"/>
            </w:pPr>
            <w:r w:rsidRPr="000E4589">
              <w:t>Naziv aktivnosti</w:t>
            </w:r>
          </w:p>
        </w:tc>
        <w:tc>
          <w:tcPr>
            <w:tcW w:w="1486" w:type="dxa"/>
            <w:shd w:val="clear" w:color="auto" w:fill="B5C0D8"/>
          </w:tcPr>
          <w:p w:rsidR="00D849AA" w:rsidRPr="000E4589" w:rsidRDefault="00EE6D95">
            <w:pPr>
              <w:pStyle w:val="CellHeader"/>
            </w:pPr>
            <w:r w:rsidRPr="000E4589">
              <w:t>Plan 2013.</w:t>
            </w:r>
          </w:p>
        </w:tc>
        <w:tc>
          <w:tcPr>
            <w:tcW w:w="1486" w:type="dxa"/>
            <w:shd w:val="clear" w:color="auto" w:fill="B5C0D8"/>
          </w:tcPr>
          <w:p w:rsidR="00D849AA" w:rsidRPr="000E4589" w:rsidRDefault="00EE6D95">
            <w:pPr>
              <w:pStyle w:val="CellHeader"/>
            </w:pPr>
            <w:r w:rsidRPr="000E4589">
              <w:t>Plan 2014.</w:t>
            </w:r>
          </w:p>
        </w:tc>
        <w:tc>
          <w:tcPr>
            <w:tcW w:w="1486" w:type="dxa"/>
            <w:shd w:val="clear" w:color="auto" w:fill="B5C0D8"/>
          </w:tcPr>
          <w:p w:rsidR="00D849AA" w:rsidRPr="000E4589" w:rsidRDefault="00EE6D95">
            <w:pPr>
              <w:pStyle w:val="CellHeader"/>
            </w:pPr>
            <w:r w:rsidRPr="000E4589">
              <w:t>Plan 2015.</w:t>
            </w:r>
          </w:p>
        </w:tc>
        <w:tc>
          <w:tcPr>
            <w:tcW w:w="1486" w:type="dxa"/>
            <w:shd w:val="clear" w:color="auto" w:fill="B5C0D8"/>
          </w:tcPr>
          <w:p w:rsidR="00D849AA" w:rsidRPr="000E4589" w:rsidRDefault="00EE6D95">
            <w:pPr>
              <w:pStyle w:val="CellHeader"/>
            </w:pPr>
            <w:r w:rsidRPr="000E4589">
              <w:t>Plan 2016.</w:t>
            </w:r>
          </w:p>
        </w:tc>
        <w:tc>
          <w:tcPr>
            <w:tcW w:w="1486" w:type="dxa"/>
            <w:shd w:val="clear" w:color="auto" w:fill="B5C0D8"/>
          </w:tcPr>
          <w:p w:rsidR="00D849AA" w:rsidRPr="000E4589" w:rsidRDefault="00EE6D95">
            <w:pPr>
              <w:pStyle w:val="CellHeader"/>
            </w:pPr>
            <w:r w:rsidRPr="000E4589">
              <w:t>Indeks 2014/2013</w:t>
            </w:r>
          </w:p>
        </w:tc>
      </w:tr>
      <w:tr w:rsidR="00D849AA">
        <w:trPr>
          <w:jc w:val="center"/>
        </w:trPr>
        <w:tc>
          <w:tcPr>
            <w:tcW w:w="1486" w:type="dxa"/>
          </w:tcPr>
          <w:p w:rsidR="00D849AA" w:rsidRPr="000E4589" w:rsidRDefault="00EE6D95">
            <w:pPr>
              <w:pStyle w:val="CellColumn"/>
            </w:pPr>
            <w:r w:rsidRPr="000E4589">
              <w:t>A777052</w:t>
            </w:r>
          </w:p>
        </w:tc>
        <w:tc>
          <w:tcPr>
            <w:tcW w:w="1486" w:type="dxa"/>
          </w:tcPr>
          <w:p w:rsidR="00D849AA" w:rsidRPr="000E4589" w:rsidRDefault="00EE6D95">
            <w:pPr>
              <w:rPr>
                <w:rFonts w:ascii="Arial" w:hAnsi="Arial" w:cs="Arial"/>
              </w:rPr>
            </w:pPr>
            <w:r w:rsidRPr="000E4589">
              <w:rPr>
                <w:rFonts w:ascii="Arial" w:hAnsi="Arial" w:cs="Arial"/>
              </w:rPr>
              <w:t>520.000</w:t>
            </w:r>
          </w:p>
        </w:tc>
        <w:tc>
          <w:tcPr>
            <w:tcW w:w="1486" w:type="dxa"/>
          </w:tcPr>
          <w:p w:rsidR="00D849AA" w:rsidRPr="000E4589" w:rsidRDefault="00EE6D95">
            <w:pPr>
              <w:rPr>
                <w:rFonts w:ascii="Arial" w:hAnsi="Arial" w:cs="Arial"/>
              </w:rPr>
            </w:pPr>
            <w:r w:rsidRPr="000E4589">
              <w:rPr>
                <w:rFonts w:ascii="Arial" w:hAnsi="Arial" w:cs="Arial"/>
              </w:rPr>
              <w:t>510.000</w:t>
            </w:r>
          </w:p>
        </w:tc>
        <w:tc>
          <w:tcPr>
            <w:tcW w:w="1486" w:type="dxa"/>
          </w:tcPr>
          <w:p w:rsidR="00D849AA" w:rsidRPr="000E4589" w:rsidRDefault="00EE6D95">
            <w:pPr>
              <w:rPr>
                <w:rFonts w:ascii="Arial" w:hAnsi="Arial" w:cs="Arial"/>
              </w:rPr>
            </w:pPr>
            <w:r w:rsidRPr="000E4589">
              <w:rPr>
                <w:rFonts w:ascii="Arial" w:hAnsi="Arial" w:cs="Arial"/>
              </w:rPr>
              <w:t>580.000</w:t>
            </w:r>
          </w:p>
        </w:tc>
        <w:tc>
          <w:tcPr>
            <w:tcW w:w="1486" w:type="dxa"/>
          </w:tcPr>
          <w:p w:rsidR="00D849AA" w:rsidRPr="000E4589" w:rsidRDefault="00EE6D95">
            <w:pPr>
              <w:rPr>
                <w:rFonts w:ascii="Arial" w:hAnsi="Arial" w:cs="Arial"/>
              </w:rPr>
            </w:pPr>
            <w:r w:rsidRPr="000E4589">
              <w:rPr>
                <w:rFonts w:ascii="Arial" w:hAnsi="Arial" w:cs="Arial"/>
              </w:rPr>
              <w:t>580.000</w:t>
            </w:r>
          </w:p>
        </w:tc>
        <w:tc>
          <w:tcPr>
            <w:tcW w:w="1486" w:type="dxa"/>
          </w:tcPr>
          <w:p w:rsidR="00D849AA" w:rsidRPr="000E4589" w:rsidRDefault="00EE6D95">
            <w:pPr>
              <w:rPr>
                <w:rFonts w:ascii="Arial" w:hAnsi="Arial" w:cs="Arial"/>
              </w:rPr>
            </w:pPr>
            <w:r w:rsidRPr="000E4589">
              <w:rPr>
                <w:rFonts w:ascii="Arial" w:hAnsi="Arial" w:cs="Arial"/>
              </w:rPr>
              <w:t>98,1</w:t>
            </w:r>
          </w:p>
        </w:tc>
      </w:tr>
    </w:tbl>
    <w:p w:rsidR="00D849AA" w:rsidRDefault="00D849AA">
      <w:pPr>
        <w:jc w:val="left"/>
      </w:pPr>
    </w:p>
    <w:p w:rsidR="00D849AA" w:rsidRDefault="00EE6D95">
      <w:pPr>
        <w:pStyle w:val="Normal6"/>
      </w:pPr>
      <w:r>
        <w:t xml:space="preserve">Okvir djelovanja koordinacije europskih poslova se izmijenio sukladno novom zakonodavnom okviru. a primarno donošenjem Odluke Vlade RH o osnivanju Međuresorne radne skupine za europske poslove od 20.lipnja 2013. godine (NN 78/2013) kao međuresornog radnog tijela osnovanog pri MVEP za čije funkcioniranje je primarno odgovoran Sektor za koordinaciju europskih poslova. Međuresorna radna skupina za europske poslove razmatra i priprema prijedloge stajališta RH te koordinira sudjelovanje predstavnika RH u radu Vijeća i radnih tijela Vijeća.  </w:t>
      </w:r>
    </w:p>
    <w:p w:rsidR="00D849AA" w:rsidRDefault="00EE6D95">
      <w:pPr>
        <w:pStyle w:val="Normal6"/>
      </w:pPr>
      <w:r>
        <w:t xml:space="preserve">Daljnja aktivnost koja će biti preduvjet za uspješno djelovanje u uvjetima članstva jesu i učestalije konzultacije o različitim europskim politikama s ostalim državama članicama EU. </w:t>
      </w:r>
    </w:p>
    <w:p w:rsidR="00D849AA" w:rsidRDefault="00EE6D95">
      <w:pPr>
        <w:pStyle w:val="Normal6"/>
      </w:pPr>
      <w:r>
        <w:t>Način ostvarenja 1.1.1 Koordinacija europskih poslova i zastupanje interesa Republike Hrvatske u okviru tijela Europske unije definiranog Strateškim planom MVEP-a za razdoblje 2014.-2016. financira se iz navedene proračunske aktivnosti.</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328"/>
        <w:gridCol w:w="1114"/>
        <w:gridCol w:w="1486"/>
        <w:gridCol w:w="1486"/>
        <w:gridCol w:w="1486"/>
      </w:tblGrid>
      <w:tr w:rsidR="00D849AA">
        <w:trPr>
          <w:jc w:val="center"/>
        </w:trPr>
        <w:tc>
          <w:tcPr>
            <w:tcW w:w="2229" w:type="dxa"/>
            <w:shd w:val="clear" w:color="auto" w:fill="B5C0D8"/>
          </w:tcPr>
          <w:p w:rsidR="00D849AA" w:rsidRPr="000E4589" w:rsidRDefault="00EE6D95">
            <w:pPr>
              <w:rPr>
                <w:rFonts w:ascii="Arial" w:hAnsi="Arial" w:cs="Arial"/>
              </w:rPr>
            </w:pPr>
            <w:r w:rsidRPr="000E4589">
              <w:rPr>
                <w:rFonts w:ascii="Arial" w:hAnsi="Arial" w:cs="Arial"/>
              </w:rPr>
              <w:t>Pokazatelj rezultata</w:t>
            </w:r>
          </w:p>
        </w:tc>
        <w:tc>
          <w:tcPr>
            <w:tcW w:w="1114" w:type="dxa"/>
            <w:shd w:val="clear" w:color="auto" w:fill="B5C0D8"/>
          </w:tcPr>
          <w:p w:rsidR="00D849AA" w:rsidRPr="000E4589" w:rsidRDefault="00EE6D95">
            <w:pPr>
              <w:pStyle w:val="CellHeader"/>
            </w:pPr>
            <w:r w:rsidRPr="000E4589">
              <w:t>Jedinica</w:t>
            </w:r>
          </w:p>
        </w:tc>
        <w:tc>
          <w:tcPr>
            <w:tcW w:w="1114" w:type="dxa"/>
            <w:shd w:val="clear" w:color="auto" w:fill="B5C0D8"/>
          </w:tcPr>
          <w:p w:rsidR="00D849AA" w:rsidRPr="000E4589" w:rsidRDefault="00EE6D95">
            <w:pPr>
              <w:pStyle w:val="CellHeader"/>
            </w:pPr>
            <w:r w:rsidRPr="000E4589">
              <w:t>Polazna vrijednost</w:t>
            </w:r>
          </w:p>
        </w:tc>
        <w:tc>
          <w:tcPr>
            <w:tcW w:w="1486" w:type="dxa"/>
            <w:shd w:val="clear" w:color="auto" w:fill="B5C0D8"/>
          </w:tcPr>
          <w:p w:rsidR="00D849AA" w:rsidRPr="000E4589" w:rsidRDefault="00EE6D95">
            <w:pPr>
              <w:pStyle w:val="CellHeader"/>
            </w:pPr>
            <w:r w:rsidRPr="000E4589">
              <w:t>Ciljana vrijednost (2014.)</w:t>
            </w:r>
          </w:p>
        </w:tc>
        <w:tc>
          <w:tcPr>
            <w:tcW w:w="1486" w:type="dxa"/>
            <w:shd w:val="clear" w:color="auto" w:fill="B5C0D8"/>
          </w:tcPr>
          <w:p w:rsidR="00D849AA" w:rsidRPr="000E4589" w:rsidRDefault="00EE6D95">
            <w:pPr>
              <w:pStyle w:val="CellHeader"/>
            </w:pPr>
            <w:r w:rsidRPr="000E4589">
              <w:t>Ciljana vrijednost (2015.)</w:t>
            </w:r>
          </w:p>
        </w:tc>
        <w:tc>
          <w:tcPr>
            <w:tcW w:w="1486" w:type="dxa"/>
            <w:shd w:val="clear" w:color="auto" w:fill="B5C0D8"/>
          </w:tcPr>
          <w:p w:rsidR="00D849AA" w:rsidRPr="000E4589" w:rsidRDefault="00EE6D95">
            <w:pPr>
              <w:pStyle w:val="CellHeader"/>
            </w:pPr>
            <w:r w:rsidRPr="000E4589">
              <w:t>Ciljana vrijednost (2016.)</w:t>
            </w:r>
          </w:p>
        </w:tc>
      </w:tr>
      <w:tr w:rsidR="00D849AA">
        <w:trPr>
          <w:jc w:val="center"/>
        </w:trPr>
        <w:tc>
          <w:tcPr>
            <w:tcW w:w="2229" w:type="dxa"/>
          </w:tcPr>
          <w:p w:rsidR="00D849AA" w:rsidRPr="000E4589" w:rsidRDefault="00EE6D95">
            <w:pPr>
              <w:pStyle w:val="CellColumn"/>
            </w:pPr>
            <w:r w:rsidRPr="000E4589">
              <w:t>Sastanci Radne skupine za koordinaciju europskih poslova u cilju izrade nacionalnih stajališta i sudjelovanje na sastancima radnih skupina Vijeća EU i drugih institucija EU</w:t>
            </w:r>
          </w:p>
        </w:tc>
        <w:tc>
          <w:tcPr>
            <w:tcW w:w="1114" w:type="dxa"/>
          </w:tcPr>
          <w:p w:rsidR="00D849AA" w:rsidRPr="000E4589" w:rsidRDefault="00EE6D95">
            <w:pPr>
              <w:rPr>
                <w:rFonts w:ascii="Arial" w:hAnsi="Arial" w:cs="Arial"/>
              </w:rPr>
            </w:pPr>
            <w:r w:rsidRPr="000E4589">
              <w:rPr>
                <w:rFonts w:ascii="Arial" w:hAnsi="Arial" w:cs="Arial"/>
              </w:rPr>
              <w:t xml:space="preserve">a) broj sastanaka Radne skupine </w:t>
            </w:r>
          </w:p>
          <w:p w:rsidR="00D849AA" w:rsidRPr="000E4589" w:rsidRDefault="00EE6D95">
            <w:pPr>
              <w:rPr>
                <w:rFonts w:ascii="Arial" w:hAnsi="Arial" w:cs="Arial"/>
              </w:rPr>
            </w:pPr>
            <w:r w:rsidRPr="000E4589">
              <w:rPr>
                <w:rFonts w:ascii="Arial" w:hAnsi="Arial" w:cs="Arial"/>
              </w:rPr>
              <w:t>b) % sudjelovanja na sastancima radnih skupina Vijeća EU i dr. inst. EU</w:t>
            </w:r>
          </w:p>
        </w:tc>
        <w:tc>
          <w:tcPr>
            <w:tcW w:w="1114" w:type="dxa"/>
          </w:tcPr>
          <w:p w:rsidR="00D849AA" w:rsidRPr="000E4589" w:rsidRDefault="00EE6D95">
            <w:pPr>
              <w:rPr>
                <w:rFonts w:ascii="Arial" w:hAnsi="Arial" w:cs="Arial"/>
              </w:rPr>
            </w:pPr>
            <w:r w:rsidRPr="000E4589">
              <w:rPr>
                <w:rFonts w:ascii="Arial" w:hAnsi="Arial" w:cs="Arial"/>
              </w:rPr>
              <w:t xml:space="preserve">a) 18 </w:t>
            </w:r>
          </w:p>
          <w:p w:rsidR="00D849AA" w:rsidRPr="000E4589" w:rsidRDefault="00EE6D95">
            <w:pPr>
              <w:rPr>
                <w:rFonts w:ascii="Arial" w:hAnsi="Arial" w:cs="Arial"/>
              </w:rPr>
            </w:pPr>
            <w:r w:rsidRPr="000E4589">
              <w:rPr>
                <w:rFonts w:ascii="Arial" w:hAnsi="Arial" w:cs="Arial"/>
              </w:rPr>
              <w:t>b) 0</w:t>
            </w:r>
          </w:p>
        </w:tc>
        <w:tc>
          <w:tcPr>
            <w:tcW w:w="1486" w:type="dxa"/>
          </w:tcPr>
          <w:p w:rsidR="00D849AA" w:rsidRPr="000E4589" w:rsidRDefault="00EE6D95">
            <w:pPr>
              <w:rPr>
                <w:rFonts w:ascii="Arial" w:hAnsi="Arial" w:cs="Arial"/>
              </w:rPr>
            </w:pPr>
            <w:r w:rsidRPr="000E4589">
              <w:rPr>
                <w:rFonts w:ascii="Arial" w:hAnsi="Arial" w:cs="Arial"/>
              </w:rPr>
              <w:t xml:space="preserve">a) 63 </w:t>
            </w:r>
          </w:p>
          <w:p w:rsidR="00D849AA" w:rsidRPr="000E4589" w:rsidRDefault="00EE6D95">
            <w:pPr>
              <w:rPr>
                <w:rFonts w:ascii="Arial" w:hAnsi="Arial" w:cs="Arial"/>
              </w:rPr>
            </w:pPr>
            <w:r w:rsidRPr="000E4589">
              <w:rPr>
                <w:rFonts w:ascii="Arial" w:hAnsi="Arial" w:cs="Arial"/>
              </w:rPr>
              <w:t>b) 80</w:t>
            </w:r>
          </w:p>
        </w:tc>
        <w:tc>
          <w:tcPr>
            <w:tcW w:w="1486" w:type="dxa"/>
          </w:tcPr>
          <w:p w:rsidR="00D849AA" w:rsidRPr="000E4589" w:rsidRDefault="00EE6D95">
            <w:pPr>
              <w:rPr>
                <w:rFonts w:ascii="Arial" w:hAnsi="Arial" w:cs="Arial"/>
              </w:rPr>
            </w:pPr>
            <w:r w:rsidRPr="000E4589">
              <w:rPr>
                <w:rFonts w:ascii="Arial" w:hAnsi="Arial" w:cs="Arial"/>
              </w:rPr>
              <w:t xml:space="preserve">a) 108 </w:t>
            </w:r>
          </w:p>
          <w:p w:rsidR="00D849AA" w:rsidRPr="000E4589" w:rsidRDefault="00EE6D95">
            <w:pPr>
              <w:rPr>
                <w:rFonts w:ascii="Arial" w:hAnsi="Arial" w:cs="Arial"/>
              </w:rPr>
            </w:pPr>
            <w:r w:rsidRPr="000E4589">
              <w:rPr>
                <w:rFonts w:ascii="Arial" w:hAnsi="Arial" w:cs="Arial"/>
              </w:rPr>
              <w:t>b) 90</w:t>
            </w:r>
          </w:p>
        </w:tc>
        <w:tc>
          <w:tcPr>
            <w:tcW w:w="1486" w:type="dxa"/>
          </w:tcPr>
          <w:p w:rsidR="00D849AA" w:rsidRPr="000E4589" w:rsidRDefault="00EE6D95">
            <w:pPr>
              <w:rPr>
                <w:rFonts w:ascii="Arial" w:hAnsi="Arial" w:cs="Arial"/>
              </w:rPr>
            </w:pPr>
            <w:r w:rsidRPr="000E4589">
              <w:rPr>
                <w:rFonts w:ascii="Arial" w:hAnsi="Arial" w:cs="Arial"/>
              </w:rPr>
              <w:t xml:space="preserve">a) 153 </w:t>
            </w:r>
          </w:p>
          <w:p w:rsidR="00D849AA" w:rsidRPr="000E4589" w:rsidRDefault="00EE6D95">
            <w:pPr>
              <w:rPr>
                <w:rFonts w:ascii="Arial" w:hAnsi="Arial" w:cs="Arial"/>
              </w:rPr>
            </w:pPr>
            <w:r w:rsidRPr="000E4589">
              <w:rPr>
                <w:rFonts w:ascii="Arial" w:hAnsi="Arial" w:cs="Arial"/>
              </w:rPr>
              <w:t>b) 95</w:t>
            </w:r>
          </w:p>
        </w:tc>
      </w:tr>
    </w:tbl>
    <w:p w:rsidR="00D849AA" w:rsidRDefault="00D849AA">
      <w:pPr>
        <w:jc w:val="left"/>
      </w:pPr>
    </w:p>
    <w:p w:rsidR="00D849AA" w:rsidRDefault="00EE6D95">
      <w:pPr>
        <w:pStyle w:val="Naslov6"/>
      </w:pPr>
      <w:r>
        <w:t>A778002 PREVOĐENJE PRAVNE STEČEVINE EU I RELEVANTNOG ZAKONODAVSTVA RH</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0E4589" w:rsidRDefault="00EE6D95">
            <w:pPr>
              <w:pStyle w:val="CellHeader"/>
            </w:pPr>
            <w:r w:rsidRPr="000E4589">
              <w:t>Naziv aktivnosti</w:t>
            </w:r>
          </w:p>
        </w:tc>
        <w:tc>
          <w:tcPr>
            <w:tcW w:w="1486" w:type="dxa"/>
            <w:shd w:val="clear" w:color="auto" w:fill="B5C0D8"/>
          </w:tcPr>
          <w:p w:rsidR="00D849AA" w:rsidRPr="000E4589" w:rsidRDefault="00EE6D95">
            <w:pPr>
              <w:pStyle w:val="CellHeader"/>
            </w:pPr>
            <w:r w:rsidRPr="000E4589">
              <w:t>Plan 2013.</w:t>
            </w:r>
          </w:p>
        </w:tc>
        <w:tc>
          <w:tcPr>
            <w:tcW w:w="1486" w:type="dxa"/>
            <w:shd w:val="clear" w:color="auto" w:fill="B5C0D8"/>
          </w:tcPr>
          <w:p w:rsidR="00D849AA" w:rsidRPr="000E4589" w:rsidRDefault="00EE6D95">
            <w:pPr>
              <w:pStyle w:val="CellHeader"/>
            </w:pPr>
            <w:r w:rsidRPr="000E4589">
              <w:t>Plan 2014.</w:t>
            </w:r>
          </w:p>
        </w:tc>
        <w:tc>
          <w:tcPr>
            <w:tcW w:w="1486" w:type="dxa"/>
            <w:shd w:val="clear" w:color="auto" w:fill="B5C0D8"/>
          </w:tcPr>
          <w:p w:rsidR="00D849AA" w:rsidRPr="000E4589" w:rsidRDefault="00EE6D95">
            <w:pPr>
              <w:pStyle w:val="CellHeader"/>
            </w:pPr>
            <w:r w:rsidRPr="000E4589">
              <w:t>Plan 2015.</w:t>
            </w:r>
          </w:p>
        </w:tc>
        <w:tc>
          <w:tcPr>
            <w:tcW w:w="1486" w:type="dxa"/>
            <w:shd w:val="clear" w:color="auto" w:fill="B5C0D8"/>
          </w:tcPr>
          <w:p w:rsidR="00D849AA" w:rsidRPr="000E4589" w:rsidRDefault="00EE6D95">
            <w:pPr>
              <w:pStyle w:val="CellHeader"/>
            </w:pPr>
            <w:r w:rsidRPr="000E4589">
              <w:t>Plan 2016.</w:t>
            </w:r>
          </w:p>
        </w:tc>
        <w:tc>
          <w:tcPr>
            <w:tcW w:w="1486" w:type="dxa"/>
            <w:shd w:val="clear" w:color="auto" w:fill="B5C0D8"/>
          </w:tcPr>
          <w:p w:rsidR="00D849AA" w:rsidRPr="000E4589" w:rsidRDefault="00EE6D95">
            <w:pPr>
              <w:pStyle w:val="CellHeader"/>
            </w:pPr>
            <w:r w:rsidRPr="000E4589">
              <w:t>Indeks 2014/2013</w:t>
            </w:r>
          </w:p>
        </w:tc>
      </w:tr>
      <w:tr w:rsidR="00D849AA">
        <w:trPr>
          <w:jc w:val="center"/>
        </w:trPr>
        <w:tc>
          <w:tcPr>
            <w:tcW w:w="1486" w:type="dxa"/>
          </w:tcPr>
          <w:p w:rsidR="00D849AA" w:rsidRPr="000E4589" w:rsidRDefault="00EE6D95">
            <w:pPr>
              <w:pStyle w:val="CellColumn"/>
            </w:pPr>
            <w:r w:rsidRPr="000E4589">
              <w:t>A778002</w:t>
            </w:r>
          </w:p>
        </w:tc>
        <w:tc>
          <w:tcPr>
            <w:tcW w:w="1486" w:type="dxa"/>
          </w:tcPr>
          <w:p w:rsidR="00D849AA" w:rsidRPr="000E4589" w:rsidRDefault="00EE6D95">
            <w:pPr>
              <w:rPr>
                <w:rFonts w:ascii="Arial" w:hAnsi="Arial" w:cs="Arial"/>
              </w:rPr>
            </w:pPr>
            <w:r w:rsidRPr="000E4589">
              <w:rPr>
                <w:rFonts w:ascii="Arial" w:hAnsi="Arial" w:cs="Arial"/>
              </w:rPr>
              <w:t>9.246.000</w:t>
            </w:r>
          </w:p>
        </w:tc>
        <w:tc>
          <w:tcPr>
            <w:tcW w:w="1486" w:type="dxa"/>
          </w:tcPr>
          <w:p w:rsidR="00D849AA" w:rsidRPr="000E4589" w:rsidRDefault="00EE6D95">
            <w:pPr>
              <w:rPr>
                <w:rFonts w:ascii="Arial" w:hAnsi="Arial" w:cs="Arial"/>
              </w:rPr>
            </w:pPr>
            <w:r w:rsidRPr="000E4589">
              <w:rPr>
                <w:rFonts w:ascii="Arial" w:hAnsi="Arial" w:cs="Arial"/>
              </w:rPr>
              <w:t>7.500.000</w:t>
            </w:r>
          </w:p>
        </w:tc>
        <w:tc>
          <w:tcPr>
            <w:tcW w:w="1486" w:type="dxa"/>
          </w:tcPr>
          <w:p w:rsidR="00D849AA" w:rsidRPr="000E4589" w:rsidRDefault="00EE6D95">
            <w:pPr>
              <w:rPr>
                <w:rFonts w:ascii="Arial" w:hAnsi="Arial" w:cs="Arial"/>
              </w:rPr>
            </w:pPr>
            <w:r w:rsidRPr="000E4589">
              <w:rPr>
                <w:rFonts w:ascii="Arial" w:hAnsi="Arial" w:cs="Arial"/>
              </w:rPr>
              <w:t>7.500.000</w:t>
            </w:r>
          </w:p>
        </w:tc>
        <w:tc>
          <w:tcPr>
            <w:tcW w:w="1486" w:type="dxa"/>
          </w:tcPr>
          <w:p w:rsidR="00D849AA" w:rsidRPr="000E4589" w:rsidRDefault="00EE6D95">
            <w:pPr>
              <w:rPr>
                <w:rFonts w:ascii="Arial" w:hAnsi="Arial" w:cs="Arial"/>
              </w:rPr>
            </w:pPr>
            <w:r w:rsidRPr="000E4589">
              <w:rPr>
                <w:rFonts w:ascii="Arial" w:hAnsi="Arial" w:cs="Arial"/>
              </w:rPr>
              <w:t>7.500.000</w:t>
            </w:r>
          </w:p>
        </w:tc>
        <w:tc>
          <w:tcPr>
            <w:tcW w:w="1486" w:type="dxa"/>
          </w:tcPr>
          <w:p w:rsidR="00D849AA" w:rsidRPr="000E4589" w:rsidRDefault="00EE6D95">
            <w:pPr>
              <w:rPr>
                <w:rFonts w:ascii="Arial" w:hAnsi="Arial" w:cs="Arial"/>
              </w:rPr>
            </w:pPr>
            <w:r w:rsidRPr="000E4589">
              <w:rPr>
                <w:rFonts w:ascii="Arial" w:hAnsi="Arial" w:cs="Arial"/>
              </w:rPr>
              <w:t>81,1</w:t>
            </w:r>
          </w:p>
        </w:tc>
      </w:tr>
    </w:tbl>
    <w:p w:rsidR="00D849AA" w:rsidRDefault="00D849AA">
      <w:pPr>
        <w:jc w:val="left"/>
      </w:pPr>
    </w:p>
    <w:p w:rsidR="00D849AA" w:rsidRDefault="00EE6D95">
      <w:pPr>
        <w:pStyle w:val="Normal6"/>
      </w:pPr>
      <w:r>
        <w:lastRenderedPageBreak/>
        <w:t xml:space="preserve">Za provođenje načina ostvarenja 1.1.5. Prevođenje za potrebe procesa pristupanja, suradnje i komunikacije s institucijama Europske unije, te osiguranja visoke jezične kvalitete hrvatske inačice zakonodavstva Europske unije Strateškog plana MVEP-a za razdoblje 2014.-2016. koriste se sredstva alocirana na navedenoj proračunskoj aktivnosti. </w:t>
      </w:r>
    </w:p>
    <w:p w:rsidR="00D849AA" w:rsidRDefault="00EE6D95">
      <w:pPr>
        <w:pStyle w:val="Normal6"/>
      </w:pPr>
      <w:r>
        <w:t xml:space="preserve">Ulaskom RH u EU preuzima se obveza prevođenja i ostalih raznovrsnih dokumenata, kao na primjer stajališta RH o zakonskim prijedlozima EU-a za potrebe sudjelovanja hrvatskih predstavnika na sastancima radnih skupina COREPER-a, Vijeća itd., zatim dokumentacija Europskog suda za ljudska prava, radni programi i popratni materijali institucija EU-a za potrebe rada Vlade i Sabora, različita izvješća (npr. OLAF-a) i sl.  </w:t>
      </w:r>
    </w:p>
    <w:p w:rsidR="00D849AA" w:rsidRDefault="00EE6D95">
      <w:pPr>
        <w:pStyle w:val="Normal6"/>
      </w:pPr>
      <w:r>
        <w:t xml:space="preserve">Nastavlja se rad na pojmovniku prijevoda propisa EU-a na hrvatski jezik.  </w:t>
      </w:r>
    </w:p>
    <w:p w:rsidR="00D849AA" w:rsidRDefault="00EE6D95">
      <w:pPr>
        <w:pStyle w:val="Normal6"/>
      </w:pPr>
      <w:r>
        <w:t xml:space="preserve">Samostalni sektor za prevođenje postaje ulazna točka u RH za terminološka pitanja , donosno MVEP postaje poveznica između prevoditeljskih institucija EU-a i tijela državne uprave u RH po pitanju stručne terminologije, a sve s ciljem osiguranja visoke jezične kvalitete hrvatske inačice zakonodavstva EU-a. </w:t>
      </w:r>
    </w:p>
    <w:p w:rsidR="00D849AA" w:rsidRDefault="00EE6D95">
      <w:pPr>
        <w:pStyle w:val="Normal6"/>
      </w:pPr>
      <w:r>
        <w:t>Posebno veliki izazov bit će prevođenje povijesnih presuda Suda EU-a (oko 1.240 presuda - prema procjeni više od 25.000 kartica) gdje će osim troška prevođenja trebat uključiti i pravne, stručne, te jezične redakture. Također je, zbog komunikacije naših tijela državne uprave s institucijama EU-a, potrebno kontinuirano prevoditi zakonodavstvo RH na engleski jezik, ali i obavljati završne redakture na već gotovim prijevodima hrvatskog zakonodavstva na engleski jezik zbog objave na mrežnim stranicama.</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0E4589" w:rsidRDefault="00EE6D95">
            <w:pPr>
              <w:rPr>
                <w:rFonts w:ascii="Arial" w:hAnsi="Arial" w:cs="Arial"/>
              </w:rPr>
            </w:pPr>
            <w:r w:rsidRPr="000E4589">
              <w:rPr>
                <w:rFonts w:ascii="Arial" w:hAnsi="Arial" w:cs="Arial"/>
              </w:rPr>
              <w:t>Pokazatelj rezultata</w:t>
            </w:r>
          </w:p>
        </w:tc>
        <w:tc>
          <w:tcPr>
            <w:tcW w:w="1114" w:type="dxa"/>
            <w:shd w:val="clear" w:color="auto" w:fill="B5C0D8"/>
          </w:tcPr>
          <w:p w:rsidR="00D849AA" w:rsidRPr="000E4589" w:rsidRDefault="00EE6D95">
            <w:pPr>
              <w:pStyle w:val="CellHeader"/>
            </w:pPr>
            <w:r w:rsidRPr="000E4589">
              <w:t>Jedinica</w:t>
            </w:r>
          </w:p>
        </w:tc>
        <w:tc>
          <w:tcPr>
            <w:tcW w:w="1114" w:type="dxa"/>
            <w:shd w:val="clear" w:color="auto" w:fill="B5C0D8"/>
          </w:tcPr>
          <w:p w:rsidR="00D849AA" w:rsidRPr="000E4589" w:rsidRDefault="00EE6D95">
            <w:pPr>
              <w:pStyle w:val="CellHeader"/>
            </w:pPr>
            <w:r w:rsidRPr="000E4589">
              <w:t>Polazna vrijednost</w:t>
            </w:r>
          </w:p>
        </w:tc>
        <w:tc>
          <w:tcPr>
            <w:tcW w:w="1486" w:type="dxa"/>
            <w:shd w:val="clear" w:color="auto" w:fill="B5C0D8"/>
          </w:tcPr>
          <w:p w:rsidR="00D849AA" w:rsidRPr="000E4589" w:rsidRDefault="00EE6D95">
            <w:pPr>
              <w:pStyle w:val="CellHeader"/>
            </w:pPr>
            <w:r w:rsidRPr="000E4589">
              <w:t>Ciljana vrijednost (2014.)</w:t>
            </w:r>
          </w:p>
        </w:tc>
        <w:tc>
          <w:tcPr>
            <w:tcW w:w="1486" w:type="dxa"/>
            <w:shd w:val="clear" w:color="auto" w:fill="B5C0D8"/>
          </w:tcPr>
          <w:p w:rsidR="00D849AA" w:rsidRPr="000E4589" w:rsidRDefault="00EE6D95">
            <w:pPr>
              <w:pStyle w:val="CellHeader"/>
            </w:pPr>
            <w:r w:rsidRPr="000E4589">
              <w:t>Ciljana vrijednost (2015.)</w:t>
            </w:r>
          </w:p>
        </w:tc>
        <w:tc>
          <w:tcPr>
            <w:tcW w:w="1486" w:type="dxa"/>
            <w:shd w:val="clear" w:color="auto" w:fill="B5C0D8"/>
          </w:tcPr>
          <w:p w:rsidR="00D849AA" w:rsidRPr="000E4589" w:rsidRDefault="00EE6D95">
            <w:pPr>
              <w:pStyle w:val="CellHeader"/>
            </w:pPr>
            <w:r w:rsidRPr="000E4589">
              <w:t>Ciljana vrijednost (2016.)</w:t>
            </w:r>
          </w:p>
        </w:tc>
      </w:tr>
      <w:tr w:rsidR="00D849AA">
        <w:trPr>
          <w:jc w:val="center"/>
        </w:trPr>
        <w:tc>
          <w:tcPr>
            <w:tcW w:w="2229" w:type="dxa"/>
          </w:tcPr>
          <w:p w:rsidR="00D849AA" w:rsidRPr="000E4589" w:rsidRDefault="00EE6D95">
            <w:pPr>
              <w:pStyle w:val="CellColumn"/>
            </w:pPr>
            <w:r w:rsidRPr="000E4589">
              <w:t xml:space="preserve">Obrađeni dokumenti za potrebe suradnje i komunikacije s </w:t>
            </w:r>
          </w:p>
          <w:p w:rsidR="00D849AA" w:rsidRPr="000E4589" w:rsidRDefault="00EE6D95">
            <w:pPr>
              <w:pStyle w:val="CellColumn"/>
            </w:pPr>
            <w:r w:rsidRPr="000E4589">
              <w:t>institucijama EU-a na hrvatski jezik</w:t>
            </w:r>
          </w:p>
        </w:tc>
        <w:tc>
          <w:tcPr>
            <w:tcW w:w="1114" w:type="dxa"/>
          </w:tcPr>
          <w:p w:rsidR="00D849AA" w:rsidRPr="000E4589" w:rsidRDefault="00EE6D95">
            <w:pPr>
              <w:rPr>
                <w:rFonts w:ascii="Arial" w:hAnsi="Arial" w:cs="Arial"/>
              </w:rPr>
            </w:pPr>
            <w:r w:rsidRPr="000E4589">
              <w:rPr>
                <w:rFonts w:ascii="Arial" w:hAnsi="Arial" w:cs="Arial"/>
              </w:rPr>
              <w:t>broj stranica</w:t>
            </w:r>
          </w:p>
        </w:tc>
        <w:tc>
          <w:tcPr>
            <w:tcW w:w="1114" w:type="dxa"/>
          </w:tcPr>
          <w:p w:rsidR="00D849AA" w:rsidRPr="000E4589" w:rsidRDefault="00EE6D95">
            <w:pPr>
              <w:rPr>
                <w:rFonts w:ascii="Arial" w:hAnsi="Arial" w:cs="Arial"/>
              </w:rPr>
            </w:pPr>
            <w:r w:rsidRPr="000E4589">
              <w:rPr>
                <w:rFonts w:ascii="Arial" w:hAnsi="Arial" w:cs="Arial"/>
              </w:rPr>
              <w:t>170.000</w:t>
            </w:r>
          </w:p>
        </w:tc>
        <w:tc>
          <w:tcPr>
            <w:tcW w:w="1486" w:type="dxa"/>
          </w:tcPr>
          <w:p w:rsidR="00D849AA" w:rsidRPr="000E4589" w:rsidRDefault="00EE6D95">
            <w:pPr>
              <w:rPr>
                <w:rFonts w:ascii="Arial" w:hAnsi="Arial" w:cs="Arial"/>
              </w:rPr>
            </w:pPr>
            <w:r w:rsidRPr="000E4589">
              <w:rPr>
                <w:rFonts w:ascii="Arial" w:hAnsi="Arial" w:cs="Arial"/>
              </w:rPr>
              <w:t>175.000</w:t>
            </w:r>
          </w:p>
        </w:tc>
        <w:tc>
          <w:tcPr>
            <w:tcW w:w="1486" w:type="dxa"/>
          </w:tcPr>
          <w:p w:rsidR="00D849AA" w:rsidRPr="000E4589" w:rsidRDefault="00EE6D95">
            <w:pPr>
              <w:rPr>
                <w:rFonts w:ascii="Arial" w:hAnsi="Arial" w:cs="Arial"/>
              </w:rPr>
            </w:pPr>
            <w:r w:rsidRPr="000E4589">
              <w:rPr>
                <w:rFonts w:ascii="Arial" w:hAnsi="Arial" w:cs="Arial"/>
              </w:rPr>
              <w:t>180.000</w:t>
            </w:r>
          </w:p>
        </w:tc>
        <w:tc>
          <w:tcPr>
            <w:tcW w:w="1486" w:type="dxa"/>
          </w:tcPr>
          <w:p w:rsidR="00D849AA" w:rsidRPr="000E4589" w:rsidRDefault="00EE6D95">
            <w:pPr>
              <w:rPr>
                <w:rFonts w:ascii="Arial" w:hAnsi="Arial" w:cs="Arial"/>
              </w:rPr>
            </w:pPr>
            <w:r w:rsidRPr="000E4589">
              <w:rPr>
                <w:rFonts w:ascii="Arial" w:hAnsi="Arial" w:cs="Arial"/>
              </w:rPr>
              <w:t>185.000</w:t>
            </w:r>
          </w:p>
        </w:tc>
      </w:tr>
      <w:tr w:rsidR="00D849AA">
        <w:trPr>
          <w:jc w:val="center"/>
        </w:trPr>
        <w:tc>
          <w:tcPr>
            <w:tcW w:w="2229" w:type="dxa"/>
          </w:tcPr>
          <w:p w:rsidR="00D849AA" w:rsidRPr="000E4589" w:rsidRDefault="00EE6D95">
            <w:pPr>
              <w:pStyle w:val="CellColumn"/>
            </w:pPr>
            <w:r w:rsidRPr="000E4589">
              <w:t xml:space="preserve">Prevedeni dokumenti za potrebe suradnje i komunikacije s institucijama EU-a na </w:t>
            </w:r>
          </w:p>
          <w:p w:rsidR="00D849AA" w:rsidRPr="000E4589" w:rsidRDefault="00EE6D95">
            <w:pPr>
              <w:pStyle w:val="CellColumn"/>
            </w:pPr>
            <w:r w:rsidRPr="000E4589">
              <w:t>engleski jezik</w:t>
            </w:r>
          </w:p>
        </w:tc>
        <w:tc>
          <w:tcPr>
            <w:tcW w:w="1114" w:type="dxa"/>
          </w:tcPr>
          <w:p w:rsidR="00D849AA" w:rsidRPr="000E4589" w:rsidRDefault="00EE6D95">
            <w:pPr>
              <w:rPr>
                <w:rFonts w:ascii="Arial" w:hAnsi="Arial" w:cs="Arial"/>
              </w:rPr>
            </w:pPr>
            <w:r w:rsidRPr="000E4589">
              <w:rPr>
                <w:rFonts w:ascii="Arial" w:hAnsi="Arial" w:cs="Arial"/>
              </w:rPr>
              <w:t>broj stranica</w:t>
            </w:r>
          </w:p>
        </w:tc>
        <w:tc>
          <w:tcPr>
            <w:tcW w:w="1114" w:type="dxa"/>
          </w:tcPr>
          <w:p w:rsidR="00D849AA" w:rsidRPr="000E4589" w:rsidRDefault="00EE6D95">
            <w:pPr>
              <w:rPr>
                <w:rFonts w:ascii="Arial" w:hAnsi="Arial" w:cs="Arial"/>
              </w:rPr>
            </w:pPr>
            <w:r w:rsidRPr="000E4589">
              <w:rPr>
                <w:rFonts w:ascii="Arial" w:hAnsi="Arial" w:cs="Arial"/>
              </w:rPr>
              <w:t>306.000</w:t>
            </w:r>
          </w:p>
        </w:tc>
        <w:tc>
          <w:tcPr>
            <w:tcW w:w="1486" w:type="dxa"/>
          </w:tcPr>
          <w:p w:rsidR="00D849AA" w:rsidRPr="000E4589" w:rsidRDefault="00EE6D95">
            <w:pPr>
              <w:rPr>
                <w:rFonts w:ascii="Arial" w:hAnsi="Arial" w:cs="Arial"/>
              </w:rPr>
            </w:pPr>
            <w:r w:rsidRPr="000E4589">
              <w:rPr>
                <w:rFonts w:ascii="Arial" w:hAnsi="Arial" w:cs="Arial"/>
              </w:rPr>
              <w:t>311.000</w:t>
            </w:r>
          </w:p>
        </w:tc>
        <w:tc>
          <w:tcPr>
            <w:tcW w:w="1486" w:type="dxa"/>
          </w:tcPr>
          <w:p w:rsidR="00D849AA" w:rsidRPr="000E4589" w:rsidRDefault="00EE6D95">
            <w:pPr>
              <w:rPr>
                <w:rFonts w:ascii="Arial" w:hAnsi="Arial" w:cs="Arial"/>
              </w:rPr>
            </w:pPr>
            <w:r w:rsidRPr="000E4589">
              <w:rPr>
                <w:rFonts w:ascii="Arial" w:hAnsi="Arial" w:cs="Arial"/>
              </w:rPr>
              <w:t>316.000</w:t>
            </w:r>
          </w:p>
        </w:tc>
        <w:tc>
          <w:tcPr>
            <w:tcW w:w="1486" w:type="dxa"/>
          </w:tcPr>
          <w:p w:rsidR="00D849AA" w:rsidRPr="000E4589" w:rsidRDefault="00EE6D95">
            <w:pPr>
              <w:rPr>
                <w:rFonts w:ascii="Arial" w:hAnsi="Arial" w:cs="Arial"/>
              </w:rPr>
            </w:pPr>
            <w:r w:rsidRPr="000E4589">
              <w:rPr>
                <w:rFonts w:ascii="Arial" w:hAnsi="Arial" w:cs="Arial"/>
              </w:rPr>
              <w:t>321.000</w:t>
            </w:r>
          </w:p>
        </w:tc>
      </w:tr>
      <w:tr w:rsidR="00D849AA">
        <w:trPr>
          <w:jc w:val="center"/>
        </w:trPr>
        <w:tc>
          <w:tcPr>
            <w:tcW w:w="2229" w:type="dxa"/>
          </w:tcPr>
          <w:p w:rsidR="00D849AA" w:rsidRPr="000E4589" w:rsidRDefault="00EE6D95">
            <w:pPr>
              <w:pStyle w:val="CellColumn"/>
            </w:pPr>
            <w:r w:rsidRPr="000E4589">
              <w:t xml:space="preserve">Broj pojmova unesenih u Pojmovnik prijevoda propisa EU-a na </w:t>
            </w:r>
          </w:p>
          <w:p w:rsidR="00D849AA" w:rsidRPr="000E4589" w:rsidRDefault="00EE6D95">
            <w:pPr>
              <w:pStyle w:val="CellColumn"/>
            </w:pPr>
            <w:r w:rsidRPr="000E4589">
              <w:t>hrvatskom jeziku</w:t>
            </w:r>
          </w:p>
        </w:tc>
        <w:tc>
          <w:tcPr>
            <w:tcW w:w="1114" w:type="dxa"/>
          </w:tcPr>
          <w:p w:rsidR="00D849AA" w:rsidRPr="000E4589" w:rsidRDefault="00EE6D95">
            <w:pPr>
              <w:rPr>
                <w:rFonts w:ascii="Arial" w:hAnsi="Arial" w:cs="Arial"/>
              </w:rPr>
            </w:pPr>
            <w:r w:rsidRPr="000E4589">
              <w:rPr>
                <w:rFonts w:ascii="Arial" w:hAnsi="Arial" w:cs="Arial"/>
              </w:rPr>
              <w:t>broj pojmova</w:t>
            </w:r>
          </w:p>
        </w:tc>
        <w:tc>
          <w:tcPr>
            <w:tcW w:w="1114" w:type="dxa"/>
          </w:tcPr>
          <w:p w:rsidR="00D849AA" w:rsidRPr="000E4589" w:rsidRDefault="00EE6D95">
            <w:pPr>
              <w:rPr>
                <w:rFonts w:ascii="Arial" w:hAnsi="Arial" w:cs="Arial"/>
              </w:rPr>
            </w:pPr>
            <w:r w:rsidRPr="000E4589">
              <w:rPr>
                <w:rFonts w:ascii="Arial" w:hAnsi="Arial" w:cs="Arial"/>
              </w:rPr>
              <w:t>50.000</w:t>
            </w:r>
          </w:p>
        </w:tc>
        <w:tc>
          <w:tcPr>
            <w:tcW w:w="1486" w:type="dxa"/>
          </w:tcPr>
          <w:p w:rsidR="00D849AA" w:rsidRPr="000E4589" w:rsidRDefault="00EE6D95">
            <w:pPr>
              <w:rPr>
                <w:rFonts w:ascii="Arial" w:hAnsi="Arial" w:cs="Arial"/>
              </w:rPr>
            </w:pPr>
            <w:r w:rsidRPr="000E4589">
              <w:rPr>
                <w:rFonts w:ascii="Arial" w:hAnsi="Arial" w:cs="Arial"/>
              </w:rPr>
              <w:t>100.000</w:t>
            </w:r>
          </w:p>
        </w:tc>
        <w:tc>
          <w:tcPr>
            <w:tcW w:w="1486" w:type="dxa"/>
          </w:tcPr>
          <w:p w:rsidR="00D849AA" w:rsidRPr="000E4589" w:rsidRDefault="00EE6D95">
            <w:pPr>
              <w:rPr>
                <w:rFonts w:ascii="Arial" w:hAnsi="Arial" w:cs="Arial"/>
              </w:rPr>
            </w:pPr>
            <w:r w:rsidRPr="000E4589">
              <w:rPr>
                <w:rFonts w:ascii="Arial" w:hAnsi="Arial" w:cs="Arial"/>
              </w:rPr>
              <w:t>125.000</w:t>
            </w:r>
          </w:p>
        </w:tc>
        <w:tc>
          <w:tcPr>
            <w:tcW w:w="1486" w:type="dxa"/>
          </w:tcPr>
          <w:p w:rsidR="00D849AA" w:rsidRPr="000E4589" w:rsidRDefault="00EE6D95">
            <w:pPr>
              <w:rPr>
                <w:rFonts w:ascii="Arial" w:hAnsi="Arial" w:cs="Arial"/>
              </w:rPr>
            </w:pPr>
            <w:r w:rsidRPr="000E4589">
              <w:rPr>
                <w:rFonts w:ascii="Arial" w:hAnsi="Arial" w:cs="Arial"/>
              </w:rPr>
              <w:t>150.000</w:t>
            </w:r>
          </w:p>
        </w:tc>
      </w:tr>
    </w:tbl>
    <w:p w:rsidR="00D849AA" w:rsidRDefault="00D849AA">
      <w:pPr>
        <w:jc w:val="left"/>
      </w:pPr>
    </w:p>
    <w:p w:rsidR="00D849AA" w:rsidRDefault="00EE6D95">
      <w:pPr>
        <w:pStyle w:val="Naslov1"/>
      </w:pPr>
      <w:r>
        <w:lastRenderedPageBreak/>
        <w:t>049 MINISTARSTVO GOSPODARSTVA</w:t>
      </w:r>
    </w:p>
    <w:p w:rsidR="00D849AA" w:rsidRDefault="00EE6D95">
      <w:pPr>
        <w:pStyle w:val="Naslov4"/>
      </w:pPr>
      <w:r>
        <w:t>Uvod</w:t>
      </w:r>
    </w:p>
    <w:p w:rsidR="00D849AA" w:rsidRDefault="00EE6D95">
      <w:pPr>
        <w:pStyle w:val="Normal3"/>
      </w:pPr>
      <w:r>
        <w:t xml:space="preserve">Ministarstvo gospodarstva obavlja upravne i druge poslove koji se odnose na: razvoj i unaprjeđenje konkurentnosti hrvatskog gospodarstva, instrumente i mjere gospodarske politike; industrijsku politiku i politiku primjene inovacija i novih tehnologija; upravljanje jamstvenim fondom za unaprjeđenje industrije; poslove vezane uz primjenu i korištenje prava intelektualnog i industrijskog vlasništva i poticanje stvaralaštva u industriji i trgovini u cilju razvoja konkurentnosti hrvatskoga gospodarstva; energetsku politiku Republike Hrvatske; rudarstvo; strategiju olakšavanja i poticanja ulaganja i izvoza. </w:t>
      </w:r>
    </w:p>
    <w:p w:rsidR="00D849AA" w:rsidRDefault="00EE6D95">
      <w:pPr>
        <w:pStyle w:val="Normal3"/>
      </w:pPr>
      <w:r>
        <w:t xml:space="preserve">Ministarstvo s drugim nadležnim tijelima državne uprave sudjeluje u koordinaciji strategije upravljanja državnom imovinom, uključujući i sudjelovanje u koordinaciji restrukturiranja i sanacije pravnih osoba, izradi analiza u postupcima restrukturiranja trgovačkih društava u vlasništvu Republike Hrvatske te upravljanja vlasničkim udjelima u trgovačkim društvima u vlasništvu Republike Hrvatske; djelatnost trgovine na unutarnjem tržištu Europske unije; opskrbu i cijene; nacionalnu koordinaciju aktivnosti djelovanja na unutarnjem tržištu Europske unije, uključujući tehničko zakonodavstvo i infrastrukturu kvalitete, koordinaciju i razvoj nacionalne politike u području normizacije, akreditacije, ocjene sukladnosti i mjeriteljstva; stanje i pojave na tržištu; zaštitu potrošača; strateške robne zalihe. </w:t>
      </w:r>
    </w:p>
    <w:p w:rsidR="00D849AA" w:rsidRDefault="00EE6D95">
      <w:pPr>
        <w:pStyle w:val="Normal3"/>
      </w:pPr>
      <w:r>
        <w:t xml:space="preserve">Ministarstvo obavlja upravne i druge poslove koji se odnose na razvoj, unaprjeđenje i koordinaciju sustava javnih nabava; unaprjeđenje i razvoj sustava koncesija u području svoje nadležnosti i nadzor nad njegovim provođenjem te unapređenje i razvoj sustava javno-privatnog partnerstva. </w:t>
      </w:r>
    </w:p>
    <w:p w:rsidR="00D849AA" w:rsidRDefault="00EE6D95">
      <w:pPr>
        <w:pStyle w:val="Normal3"/>
      </w:pPr>
      <w:r>
        <w:t xml:space="preserve">Ministarstvo obavlja poslove koji se odnose na sudjelovanje Republike Hrvatske u radu tijela Europske unije u područjima iz njegove nadležnosti. </w:t>
      </w:r>
    </w:p>
    <w:p w:rsidR="00D849AA" w:rsidRDefault="00EE6D95">
      <w:pPr>
        <w:pStyle w:val="Normal3"/>
      </w:pPr>
      <w:r>
        <w:t xml:space="preserve">Ministarstvo obavlja i druge poslove koji su mu stavljeni u nadležnost posebnim zakonom. </w:t>
      </w:r>
    </w:p>
    <w:p w:rsidR="006B1EA0" w:rsidRDefault="00EE6D95" w:rsidP="006B1EA0">
      <w:pPr>
        <w:pStyle w:val="Normal3"/>
      </w:pPr>
      <w:r>
        <w:t>Tijela koja Razdjel 049 Ministarstvo gospodarstva obuhvaća su: 04905  Ministarstvo gospodarstva, 04910  Ravnateljstvo za robne zalihe, 04965 Agencije u gospodarstvu: 44014 Agencija za javno-privatno partnerstvo i 44389 Agencija za opremu pod tlakom, 47641 Agencija za investicije i konkurentnost, 47797 Hrvatska agencija za obvezne zalihe nafte i naftnih derivata, 04970  Državni zavod za mjeriteljstvo, 04980 Hrvatski zavod za norme i 04985 Hrvatska akreditacijska agencija.</w:t>
      </w:r>
    </w:p>
    <w:p w:rsidR="006B1EA0" w:rsidRDefault="006B1EA0" w:rsidP="006B1EA0">
      <w:pPr>
        <w:pStyle w:val="Normal3"/>
      </w:pPr>
    </w:p>
    <w:p w:rsidR="006B1EA0" w:rsidRDefault="006B1EA0" w:rsidP="006B1EA0">
      <w:pPr>
        <w:pStyle w:val="Normal3"/>
      </w:pPr>
    </w:p>
    <w:tbl>
      <w:tblPr>
        <w:tblStyle w:val="Reetkatablice"/>
        <w:tblW w:w="0" w:type="auto"/>
        <w:jc w:val="center"/>
        <w:tblLook w:val="04A0" w:firstRow="1" w:lastRow="0" w:firstColumn="1" w:lastColumn="0" w:noHBand="0" w:noVBand="1"/>
      </w:tblPr>
      <w:tblGrid>
        <w:gridCol w:w="1486"/>
        <w:gridCol w:w="1496"/>
        <w:gridCol w:w="1496"/>
        <w:gridCol w:w="1496"/>
        <w:gridCol w:w="1496"/>
        <w:gridCol w:w="1486"/>
      </w:tblGrid>
      <w:tr w:rsidR="00D849AA">
        <w:trPr>
          <w:jc w:val="center"/>
        </w:trPr>
        <w:tc>
          <w:tcPr>
            <w:tcW w:w="1486" w:type="dxa"/>
            <w:shd w:val="clear" w:color="auto" w:fill="B5C0D8"/>
          </w:tcPr>
          <w:p w:rsidR="00D849AA" w:rsidRPr="000E4589" w:rsidRDefault="00D849AA">
            <w:pPr>
              <w:pStyle w:val="CellHeader"/>
            </w:pPr>
          </w:p>
        </w:tc>
        <w:tc>
          <w:tcPr>
            <w:tcW w:w="1486" w:type="dxa"/>
            <w:shd w:val="clear" w:color="auto" w:fill="B5C0D8"/>
          </w:tcPr>
          <w:p w:rsidR="00D849AA" w:rsidRPr="000E4589" w:rsidRDefault="00EE6D95">
            <w:pPr>
              <w:pStyle w:val="CellHeader"/>
            </w:pPr>
            <w:r w:rsidRPr="000E4589">
              <w:t>Plan 2013.</w:t>
            </w:r>
          </w:p>
        </w:tc>
        <w:tc>
          <w:tcPr>
            <w:tcW w:w="1486" w:type="dxa"/>
            <w:shd w:val="clear" w:color="auto" w:fill="B5C0D8"/>
          </w:tcPr>
          <w:p w:rsidR="00D849AA" w:rsidRPr="000E4589" w:rsidRDefault="00EE6D95">
            <w:pPr>
              <w:pStyle w:val="CellHeader"/>
            </w:pPr>
            <w:r w:rsidRPr="000E4589">
              <w:t>Plan 2014.</w:t>
            </w:r>
          </w:p>
        </w:tc>
        <w:tc>
          <w:tcPr>
            <w:tcW w:w="1486" w:type="dxa"/>
            <w:shd w:val="clear" w:color="auto" w:fill="B5C0D8"/>
          </w:tcPr>
          <w:p w:rsidR="00D849AA" w:rsidRPr="000E4589" w:rsidRDefault="00EE6D95">
            <w:pPr>
              <w:pStyle w:val="CellHeader"/>
            </w:pPr>
            <w:r w:rsidRPr="000E4589">
              <w:t>Plan 2015.</w:t>
            </w:r>
          </w:p>
        </w:tc>
        <w:tc>
          <w:tcPr>
            <w:tcW w:w="1486" w:type="dxa"/>
            <w:shd w:val="clear" w:color="auto" w:fill="B5C0D8"/>
          </w:tcPr>
          <w:p w:rsidR="00D849AA" w:rsidRPr="000E4589" w:rsidRDefault="00EE6D95">
            <w:pPr>
              <w:pStyle w:val="CellHeader"/>
            </w:pPr>
            <w:r w:rsidRPr="000E4589">
              <w:t>Plan 2016.</w:t>
            </w:r>
          </w:p>
        </w:tc>
        <w:tc>
          <w:tcPr>
            <w:tcW w:w="1486" w:type="dxa"/>
            <w:shd w:val="clear" w:color="auto" w:fill="B5C0D8"/>
          </w:tcPr>
          <w:p w:rsidR="00D849AA" w:rsidRPr="000E4589" w:rsidRDefault="00EE6D95">
            <w:pPr>
              <w:pStyle w:val="CellHeader"/>
            </w:pPr>
            <w:r w:rsidRPr="000E4589">
              <w:t>Indeks 2014/2013</w:t>
            </w:r>
          </w:p>
        </w:tc>
      </w:tr>
      <w:tr w:rsidR="00D849AA">
        <w:trPr>
          <w:jc w:val="center"/>
        </w:trPr>
        <w:tc>
          <w:tcPr>
            <w:tcW w:w="1486" w:type="dxa"/>
          </w:tcPr>
          <w:p w:rsidR="00D849AA" w:rsidRPr="000E4589" w:rsidRDefault="00EE6D95">
            <w:pPr>
              <w:pStyle w:val="CellColumn"/>
            </w:pPr>
            <w:r w:rsidRPr="000E4589">
              <w:t>04905 Ministarstvo gospodarstva</w:t>
            </w:r>
          </w:p>
        </w:tc>
        <w:tc>
          <w:tcPr>
            <w:tcW w:w="1486" w:type="dxa"/>
          </w:tcPr>
          <w:p w:rsidR="00D849AA" w:rsidRPr="000E4589" w:rsidRDefault="00EE6D95">
            <w:pPr>
              <w:rPr>
                <w:rFonts w:ascii="Arial" w:hAnsi="Arial" w:cs="Arial"/>
              </w:rPr>
            </w:pPr>
            <w:r w:rsidRPr="000E4589">
              <w:rPr>
                <w:rFonts w:ascii="Arial" w:hAnsi="Arial" w:cs="Arial"/>
              </w:rPr>
              <w:t>1.203.610.360</w:t>
            </w:r>
          </w:p>
        </w:tc>
        <w:tc>
          <w:tcPr>
            <w:tcW w:w="1486" w:type="dxa"/>
          </w:tcPr>
          <w:p w:rsidR="00D849AA" w:rsidRPr="000E4589" w:rsidRDefault="00EE6D95">
            <w:pPr>
              <w:rPr>
                <w:rFonts w:ascii="Arial" w:hAnsi="Arial" w:cs="Arial"/>
              </w:rPr>
            </w:pPr>
            <w:r w:rsidRPr="000E4589">
              <w:rPr>
                <w:rFonts w:ascii="Arial" w:hAnsi="Arial" w:cs="Arial"/>
              </w:rPr>
              <w:t>1.121.691.581</w:t>
            </w:r>
          </w:p>
        </w:tc>
        <w:tc>
          <w:tcPr>
            <w:tcW w:w="1486" w:type="dxa"/>
          </w:tcPr>
          <w:p w:rsidR="00D849AA" w:rsidRPr="000E4589" w:rsidRDefault="00EE6D95">
            <w:pPr>
              <w:rPr>
                <w:rFonts w:ascii="Arial" w:hAnsi="Arial" w:cs="Arial"/>
              </w:rPr>
            </w:pPr>
            <w:r w:rsidRPr="000E4589">
              <w:rPr>
                <w:rFonts w:ascii="Arial" w:hAnsi="Arial" w:cs="Arial"/>
              </w:rPr>
              <w:t>850.182.550</w:t>
            </w:r>
          </w:p>
        </w:tc>
        <w:tc>
          <w:tcPr>
            <w:tcW w:w="1486" w:type="dxa"/>
          </w:tcPr>
          <w:p w:rsidR="00D849AA" w:rsidRPr="000E4589" w:rsidRDefault="00EE6D95">
            <w:pPr>
              <w:rPr>
                <w:rFonts w:ascii="Arial" w:hAnsi="Arial" w:cs="Arial"/>
              </w:rPr>
            </w:pPr>
            <w:r w:rsidRPr="000E4589">
              <w:rPr>
                <w:rFonts w:ascii="Arial" w:hAnsi="Arial" w:cs="Arial"/>
              </w:rPr>
              <w:t>752.612.876</w:t>
            </w:r>
          </w:p>
        </w:tc>
        <w:tc>
          <w:tcPr>
            <w:tcW w:w="1486" w:type="dxa"/>
          </w:tcPr>
          <w:p w:rsidR="00D849AA" w:rsidRPr="000E4589" w:rsidRDefault="00EE6D95">
            <w:pPr>
              <w:rPr>
                <w:rFonts w:ascii="Arial" w:hAnsi="Arial" w:cs="Arial"/>
              </w:rPr>
            </w:pPr>
            <w:r w:rsidRPr="000E4589">
              <w:rPr>
                <w:rFonts w:ascii="Arial" w:hAnsi="Arial" w:cs="Arial"/>
              </w:rPr>
              <w:t>93,2</w:t>
            </w:r>
          </w:p>
        </w:tc>
      </w:tr>
      <w:tr w:rsidR="00D849AA">
        <w:trPr>
          <w:jc w:val="center"/>
        </w:trPr>
        <w:tc>
          <w:tcPr>
            <w:tcW w:w="1486" w:type="dxa"/>
          </w:tcPr>
          <w:p w:rsidR="00D849AA" w:rsidRPr="000E4589" w:rsidRDefault="00EE6D95">
            <w:pPr>
              <w:pStyle w:val="CellColumn"/>
            </w:pPr>
            <w:r w:rsidRPr="000E4589">
              <w:t>04910 Ravnateljstvo za robne zalihe</w:t>
            </w:r>
          </w:p>
        </w:tc>
        <w:tc>
          <w:tcPr>
            <w:tcW w:w="1486" w:type="dxa"/>
          </w:tcPr>
          <w:p w:rsidR="00D849AA" w:rsidRPr="000E4589" w:rsidRDefault="00EE6D95">
            <w:pPr>
              <w:rPr>
                <w:rFonts w:ascii="Arial" w:hAnsi="Arial" w:cs="Arial"/>
              </w:rPr>
            </w:pPr>
            <w:r w:rsidRPr="000E4589">
              <w:rPr>
                <w:rFonts w:ascii="Arial" w:hAnsi="Arial" w:cs="Arial"/>
              </w:rPr>
              <w:t>25.043.180</w:t>
            </w:r>
          </w:p>
        </w:tc>
        <w:tc>
          <w:tcPr>
            <w:tcW w:w="1486" w:type="dxa"/>
          </w:tcPr>
          <w:p w:rsidR="00D849AA" w:rsidRPr="000E4589" w:rsidRDefault="00EE6D95">
            <w:pPr>
              <w:rPr>
                <w:rFonts w:ascii="Arial" w:hAnsi="Arial" w:cs="Arial"/>
              </w:rPr>
            </w:pPr>
            <w:r w:rsidRPr="000E4589">
              <w:rPr>
                <w:rFonts w:ascii="Arial" w:hAnsi="Arial" w:cs="Arial"/>
              </w:rPr>
              <w:t>35.375.000</w:t>
            </w:r>
          </w:p>
        </w:tc>
        <w:tc>
          <w:tcPr>
            <w:tcW w:w="1486" w:type="dxa"/>
          </w:tcPr>
          <w:p w:rsidR="00D849AA" w:rsidRPr="000E4589" w:rsidRDefault="00EE6D95">
            <w:pPr>
              <w:rPr>
                <w:rFonts w:ascii="Arial" w:hAnsi="Arial" w:cs="Arial"/>
              </w:rPr>
            </w:pPr>
            <w:r w:rsidRPr="000E4589">
              <w:rPr>
                <w:rFonts w:ascii="Arial" w:hAnsi="Arial" w:cs="Arial"/>
              </w:rPr>
              <w:t>40.898.516</w:t>
            </w:r>
          </w:p>
        </w:tc>
        <w:tc>
          <w:tcPr>
            <w:tcW w:w="1486" w:type="dxa"/>
          </w:tcPr>
          <w:p w:rsidR="00D849AA" w:rsidRPr="000E4589" w:rsidRDefault="00EE6D95">
            <w:pPr>
              <w:rPr>
                <w:rFonts w:ascii="Arial" w:hAnsi="Arial" w:cs="Arial"/>
              </w:rPr>
            </w:pPr>
            <w:r w:rsidRPr="000E4589">
              <w:rPr>
                <w:rFonts w:ascii="Arial" w:hAnsi="Arial" w:cs="Arial"/>
              </w:rPr>
              <w:t>45.731.693</w:t>
            </w:r>
          </w:p>
        </w:tc>
        <w:tc>
          <w:tcPr>
            <w:tcW w:w="1486" w:type="dxa"/>
          </w:tcPr>
          <w:p w:rsidR="00D849AA" w:rsidRPr="000E4589" w:rsidRDefault="00EE6D95">
            <w:pPr>
              <w:rPr>
                <w:rFonts w:ascii="Arial" w:hAnsi="Arial" w:cs="Arial"/>
              </w:rPr>
            </w:pPr>
            <w:r w:rsidRPr="000E4589">
              <w:rPr>
                <w:rFonts w:ascii="Arial" w:hAnsi="Arial" w:cs="Arial"/>
              </w:rPr>
              <w:t>141,2</w:t>
            </w:r>
          </w:p>
        </w:tc>
      </w:tr>
      <w:tr w:rsidR="00D849AA">
        <w:trPr>
          <w:jc w:val="center"/>
        </w:trPr>
        <w:tc>
          <w:tcPr>
            <w:tcW w:w="1486" w:type="dxa"/>
          </w:tcPr>
          <w:p w:rsidR="00D849AA" w:rsidRPr="000E4589" w:rsidRDefault="00EE6D95">
            <w:pPr>
              <w:pStyle w:val="CellColumn"/>
            </w:pPr>
            <w:r w:rsidRPr="000E4589">
              <w:t>04965 Agencije u gospodarstvu</w:t>
            </w:r>
          </w:p>
        </w:tc>
        <w:tc>
          <w:tcPr>
            <w:tcW w:w="1486" w:type="dxa"/>
          </w:tcPr>
          <w:p w:rsidR="00D849AA" w:rsidRPr="000E4589" w:rsidRDefault="00EE6D95">
            <w:pPr>
              <w:rPr>
                <w:rFonts w:ascii="Arial" w:hAnsi="Arial" w:cs="Arial"/>
              </w:rPr>
            </w:pPr>
            <w:r w:rsidRPr="000E4589">
              <w:rPr>
                <w:rFonts w:ascii="Arial" w:hAnsi="Arial" w:cs="Arial"/>
              </w:rPr>
              <w:t>559.085.747</w:t>
            </w:r>
          </w:p>
        </w:tc>
        <w:tc>
          <w:tcPr>
            <w:tcW w:w="1486" w:type="dxa"/>
          </w:tcPr>
          <w:p w:rsidR="00D849AA" w:rsidRPr="000E4589" w:rsidRDefault="00EE6D95">
            <w:pPr>
              <w:rPr>
                <w:rFonts w:ascii="Arial" w:hAnsi="Arial" w:cs="Arial"/>
              </w:rPr>
            </w:pPr>
            <w:r w:rsidRPr="000E4589">
              <w:rPr>
                <w:rFonts w:ascii="Arial" w:hAnsi="Arial" w:cs="Arial"/>
              </w:rPr>
              <w:t>454.584.378</w:t>
            </w:r>
          </w:p>
        </w:tc>
        <w:tc>
          <w:tcPr>
            <w:tcW w:w="1486" w:type="dxa"/>
          </w:tcPr>
          <w:p w:rsidR="00D849AA" w:rsidRPr="000E4589" w:rsidRDefault="00EE6D95">
            <w:pPr>
              <w:rPr>
                <w:rFonts w:ascii="Arial" w:hAnsi="Arial" w:cs="Arial"/>
              </w:rPr>
            </w:pPr>
            <w:r w:rsidRPr="000E4589">
              <w:rPr>
                <w:rFonts w:ascii="Arial" w:hAnsi="Arial" w:cs="Arial"/>
              </w:rPr>
              <w:t>578.260.065</w:t>
            </w:r>
          </w:p>
        </w:tc>
        <w:tc>
          <w:tcPr>
            <w:tcW w:w="1486" w:type="dxa"/>
          </w:tcPr>
          <w:p w:rsidR="00D849AA" w:rsidRPr="000E4589" w:rsidRDefault="00EE6D95">
            <w:pPr>
              <w:rPr>
                <w:rFonts w:ascii="Arial" w:hAnsi="Arial" w:cs="Arial"/>
              </w:rPr>
            </w:pPr>
            <w:r w:rsidRPr="000E4589">
              <w:rPr>
                <w:rFonts w:ascii="Arial" w:hAnsi="Arial" w:cs="Arial"/>
              </w:rPr>
              <w:t>571.622.539</w:t>
            </w:r>
          </w:p>
        </w:tc>
        <w:tc>
          <w:tcPr>
            <w:tcW w:w="1486" w:type="dxa"/>
          </w:tcPr>
          <w:p w:rsidR="00D849AA" w:rsidRPr="000E4589" w:rsidRDefault="00EE6D95">
            <w:pPr>
              <w:rPr>
                <w:rFonts w:ascii="Arial" w:hAnsi="Arial" w:cs="Arial"/>
              </w:rPr>
            </w:pPr>
            <w:r w:rsidRPr="000E4589">
              <w:rPr>
                <w:rFonts w:ascii="Arial" w:hAnsi="Arial" w:cs="Arial"/>
              </w:rPr>
              <w:t>81,3</w:t>
            </w:r>
          </w:p>
        </w:tc>
      </w:tr>
      <w:tr w:rsidR="00D849AA">
        <w:trPr>
          <w:jc w:val="center"/>
        </w:trPr>
        <w:tc>
          <w:tcPr>
            <w:tcW w:w="1486" w:type="dxa"/>
          </w:tcPr>
          <w:p w:rsidR="00D849AA" w:rsidRPr="000E4589" w:rsidRDefault="00EE6D95">
            <w:pPr>
              <w:pStyle w:val="CellColumn"/>
            </w:pPr>
            <w:r w:rsidRPr="000E4589">
              <w:lastRenderedPageBreak/>
              <w:t>04970 Državni zavod za mjeriteljstvo</w:t>
            </w:r>
          </w:p>
        </w:tc>
        <w:tc>
          <w:tcPr>
            <w:tcW w:w="1486" w:type="dxa"/>
          </w:tcPr>
          <w:p w:rsidR="00D849AA" w:rsidRPr="000E4589" w:rsidRDefault="00EE6D95">
            <w:pPr>
              <w:rPr>
                <w:rFonts w:ascii="Arial" w:hAnsi="Arial" w:cs="Arial"/>
              </w:rPr>
            </w:pPr>
            <w:r w:rsidRPr="000E4589">
              <w:rPr>
                <w:rFonts w:ascii="Arial" w:hAnsi="Arial" w:cs="Arial"/>
              </w:rPr>
              <w:t>19.959.964</w:t>
            </w:r>
          </w:p>
        </w:tc>
        <w:tc>
          <w:tcPr>
            <w:tcW w:w="1486" w:type="dxa"/>
          </w:tcPr>
          <w:p w:rsidR="00D849AA" w:rsidRPr="000E4589" w:rsidRDefault="00EE6D95">
            <w:pPr>
              <w:rPr>
                <w:rFonts w:ascii="Arial" w:hAnsi="Arial" w:cs="Arial"/>
              </w:rPr>
            </w:pPr>
            <w:r w:rsidRPr="000E4589">
              <w:rPr>
                <w:rFonts w:ascii="Arial" w:hAnsi="Arial" w:cs="Arial"/>
              </w:rPr>
              <w:t>19.459.294</w:t>
            </w:r>
          </w:p>
        </w:tc>
        <w:tc>
          <w:tcPr>
            <w:tcW w:w="1486" w:type="dxa"/>
          </w:tcPr>
          <w:p w:rsidR="00D849AA" w:rsidRPr="000E4589" w:rsidRDefault="00EE6D95">
            <w:pPr>
              <w:rPr>
                <w:rFonts w:ascii="Arial" w:hAnsi="Arial" w:cs="Arial"/>
              </w:rPr>
            </w:pPr>
            <w:r w:rsidRPr="000E4589">
              <w:rPr>
                <w:rFonts w:ascii="Arial" w:hAnsi="Arial" w:cs="Arial"/>
              </w:rPr>
              <w:t>21.351.000</w:t>
            </w:r>
          </w:p>
        </w:tc>
        <w:tc>
          <w:tcPr>
            <w:tcW w:w="1486" w:type="dxa"/>
          </w:tcPr>
          <w:p w:rsidR="00D849AA" w:rsidRPr="000E4589" w:rsidRDefault="00EE6D95">
            <w:pPr>
              <w:rPr>
                <w:rFonts w:ascii="Arial" w:hAnsi="Arial" w:cs="Arial"/>
              </w:rPr>
            </w:pPr>
            <w:r w:rsidRPr="000E4589">
              <w:rPr>
                <w:rFonts w:ascii="Arial" w:hAnsi="Arial" w:cs="Arial"/>
              </w:rPr>
              <w:t>21.870.465</w:t>
            </w:r>
          </w:p>
        </w:tc>
        <w:tc>
          <w:tcPr>
            <w:tcW w:w="1486" w:type="dxa"/>
          </w:tcPr>
          <w:p w:rsidR="00D849AA" w:rsidRPr="000E4589" w:rsidRDefault="00EE6D95">
            <w:pPr>
              <w:rPr>
                <w:rFonts w:ascii="Arial" w:hAnsi="Arial" w:cs="Arial"/>
              </w:rPr>
            </w:pPr>
            <w:r w:rsidRPr="000E4589">
              <w:rPr>
                <w:rFonts w:ascii="Arial" w:hAnsi="Arial" w:cs="Arial"/>
              </w:rPr>
              <w:t>97,5</w:t>
            </w:r>
          </w:p>
        </w:tc>
      </w:tr>
      <w:tr w:rsidR="00D849AA">
        <w:trPr>
          <w:jc w:val="center"/>
        </w:trPr>
        <w:tc>
          <w:tcPr>
            <w:tcW w:w="1486" w:type="dxa"/>
          </w:tcPr>
          <w:p w:rsidR="00D849AA" w:rsidRPr="000E4589" w:rsidRDefault="00EE6D95">
            <w:pPr>
              <w:pStyle w:val="CellColumn"/>
            </w:pPr>
            <w:r w:rsidRPr="000E4589">
              <w:t>04980 Hrvatski zavod za norme</w:t>
            </w:r>
          </w:p>
        </w:tc>
        <w:tc>
          <w:tcPr>
            <w:tcW w:w="1486" w:type="dxa"/>
          </w:tcPr>
          <w:p w:rsidR="00D849AA" w:rsidRPr="000E4589" w:rsidRDefault="00EE6D95">
            <w:pPr>
              <w:rPr>
                <w:rFonts w:ascii="Arial" w:hAnsi="Arial" w:cs="Arial"/>
              </w:rPr>
            </w:pPr>
            <w:r w:rsidRPr="000E4589">
              <w:rPr>
                <w:rFonts w:ascii="Arial" w:hAnsi="Arial" w:cs="Arial"/>
              </w:rPr>
              <w:t>12.274.720</w:t>
            </w:r>
          </w:p>
        </w:tc>
        <w:tc>
          <w:tcPr>
            <w:tcW w:w="1486" w:type="dxa"/>
          </w:tcPr>
          <w:p w:rsidR="00D849AA" w:rsidRPr="000E4589" w:rsidRDefault="00EE6D95">
            <w:pPr>
              <w:rPr>
                <w:rFonts w:ascii="Arial" w:hAnsi="Arial" w:cs="Arial"/>
              </w:rPr>
            </w:pPr>
            <w:r w:rsidRPr="000E4589">
              <w:rPr>
                <w:rFonts w:ascii="Arial" w:hAnsi="Arial" w:cs="Arial"/>
              </w:rPr>
              <w:t>11.755.000</w:t>
            </w:r>
          </w:p>
        </w:tc>
        <w:tc>
          <w:tcPr>
            <w:tcW w:w="1486" w:type="dxa"/>
          </w:tcPr>
          <w:p w:rsidR="00D849AA" w:rsidRPr="000E4589" w:rsidRDefault="00EE6D95">
            <w:pPr>
              <w:rPr>
                <w:rFonts w:ascii="Arial" w:hAnsi="Arial" w:cs="Arial"/>
              </w:rPr>
            </w:pPr>
            <w:r w:rsidRPr="000E4589">
              <w:rPr>
                <w:rFonts w:ascii="Arial" w:hAnsi="Arial" w:cs="Arial"/>
              </w:rPr>
              <w:t>12.399.280</w:t>
            </w:r>
          </w:p>
        </w:tc>
        <w:tc>
          <w:tcPr>
            <w:tcW w:w="1486" w:type="dxa"/>
          </w:tcPr>
          <w:p w:rsidR="00D849AA" w:rsidRPr="000E4589" w:rsidRDefault="00EE6D95">
            <w:pPr>
              <w:rPr>
                <w:rFonts w:ascii="Arial" w:hAnsi="Arial" w:cs="Arial"/>
              </w:rPr>
            </w:pPr>
            <w:r w:rsidRPr="000E4589">
              <w:rPr>
                <w:rFonts w:ascii="Arial" w:hAnsi="Arial" w:cs="Arial"/>
              </w:rPr>
              <w:t>13.053.106</w:t>
            </w:r>
          </w:p>
        </w:tc>
        <w:tc>
          <w:tcPr>
            <w:tcW w:w="1486" w:type="dxa"/>
          </w:tcPr>
          <w:p w:rsidR="00D849AA" w:rsidRPr="000E4589" w:rsidRDefault="00EE6D95">
            <w:pPr>
              <w:rPr>
                <w:rFonts w:ascii="Arial" w:hAnsi="Arial" w:cs="Arial"/>
              </w:rPr>
            </w:pPr>
            <w:r w:rsidRPr="000E4589">
              <w:rPr>
                <w:rFonts w:ascii="Arial" w:hAnsi="Arial" w:cs="Arial"/>
              </w:rPr>
              <w:t>95,8</w:t>
            </w:r>
          </w:p>
        </w:tc>
      </w:tr>
      <w:tr w:rsidR="00D849AA">
        <w:trPr>
          <w:jc w:val="center"/>
        </w:trPr>
        <w:tc>
          <w:tcPr>
            <w:tcW w:w="1486" w:type="dxa"/>
          </w:tcPr>
          <w:p w:rsidR="00D849AA" w:rsidRPr="000E4589" w:rsidRDefault="00EE6D95">
            <w:pPr>
              <w:pStyle w:val="CellColumn"/>
            </w:pPr>
            <w:r w:rsidRPr="000E4589">
              <w:t>04985 Hrvatska akreditacijska agencija</w:t>
            </w:r>
          </w:p>
        </w:tc>
        <w:tc>
          <w:tcPr>
            <w:tcW w:w="1486" w:type="dxa"/>
          </w:tcPr>
          <w:p w:rsidR="00D849AA" w:rsidRPr="000E4589" w:rsidRDefault="00EE6D95">
            <w:pPr>
              <w:rPr>
                <w:rFonts w:ascii="Arial" w:hAnsi="Arial" w:cs="Arial"/>
              </w:rPr>
            </w:pPr>
            <w:r w:rsidRPr="000E4589">
              <w:rPr>
                <w:rFonts w:ascii="Arial" w:hAnsi="Arial" w:cs="Arial"/>
              </w:rPr>
              <w:t>9.276.970</w:t>
            </w:r>
          </w:p>
        </w:tc>
        <w:tc>
          <w:tcPr>
            <w:tcW w:w="1486" w:type="dxa"/>
          </w:tcPr>
          <w:p w:rsidR="00D849AA" w:rsidRPr="000E4589" w:rsidRDefault="00EE6D95">
            <w:pPr>
              <w:rPr>
                <w:rFonts w:ascii="Arial" w:hAnsi="Arial" w:cs="Arial"/>
              </w:rPr>
            </w:pPr>
            <w:r w:rsidRPr="000E4589">
              <w:rPr>
                <w:rFonts w:ascii="Arial" w:hAnsi="Arial" w:cs="Arial"/>
              </w:rPr>
              <w:t>8.547.050</w:t>
            </w:r>
          </w:p>
        </w:tc>
        <w:tc>
          <w:tcPr>
            <w:tcW w:w="1486" w:type="dxa"/>
          </w:tcPr>
          <w:p w:rsidR="00D849AA" w:rsidRPr="000E4589" w:rsidRDefault="00EE6D95">
            <w:pPr>
              <w:rPr>
                <w:rFonts w:ascii="Arial" w:hAnsi="Arial" w:cs="Arial"/>
              </w:rPr>
            </w:pPr>
            <w:r w:rsidRPr="000E4589">
              <w:rPr>
                <w:rFonts w:ascii="Arial" w:hAnsi="Arial" w:cs="Arial"/>
              </w:rPr>
              <w:t>9.712.050</w:t>
            </w:r>
          </w:p>
        </w:tc>
        <w:tc>
          <w:tcPr>
            <w:tcW w:w="1486" w:type="dxa"/>
          </w:tcPr>
          <w:p w:rsidR="00D849AA" w:rsidRPr="000E4589" w:rsidRDefault="00EE6D95">
            <w:pPr>
              <w:rPr>
                <w:rFonts w:ascii="Arial" w:hAnsi="Arial" w:cs="Arial"/>
              </w:rPr>
            </w:pPr>
            <w:r w:rsidRPr="000E4589">
              <w:rPr>
                <w:rFonts w:ascii="Arial" w:hAnsi="Arial" w:cs="Arial"/>
              </w:rPr>
              <w:t>10.088.370</w:t>
            </w:r>
          </w:p>
        </w:tc>
        <w:tc>
          <w:tcPr>
            <w:tcW w:w="1486" w:type="dxa"/>
          </w:tcPr>
          <w:p w:rsidR="00D849AA" w:rsidRPr="000E4589" w:rsidRDefault="00EE6D95">
            <w:pPr>
              <w:rPr>
                <w:rFonts w:ascii="Arial" w:hAnsi="Arial" w:cs="Arial"/>
              </w:rPr>
            </w:pPr>
            <w:r w:rsidRPr="000E4589">
              <w:rPr>
                <w:rFonts w:ascii="Arial" w:hAnsi="Arial" w:cs="Arial"/>
              </w:rPr>
              <w:t>92,1</w:t>
            </w:r>
          </w:p>
        </w:tc>
      </w:tr>
      <w:tr w:rsidR="00D849AA">
        <w:trPr>
          <w:jc w:val="center"/>
        </w:trPr>
        <w:tc>
          <w:tcPr>
            <w:tcW w:w="1486" w:type="dxa"/>
            <w:shd w:val="clear" w:color="auto" w:fill="B5C0D8"/>
          </w:tcPr>
          <w:p w:rsidR="00D849AA" w:rsidRPr="000E4589" w:rsidRDefault="00EE6D95">
            <w:pPr>
              <w:pStyle w:val="CellColumn"/>
            </w:pPr>
            <w:r w:rsidRPr="000E4589">
              <w:t>Ukupno 049</w:t>
            </w:r>
          </w:p>
        </w:tc>
        <w:tc>
          <w:tcPr>
            <w:tcW w:w="1486" w:type="dxa"/>
            <w:shd w:val="clear" w:color="auto" w:fill="B5C0D8"/>
          </w:tcPr>
          <w:p w:rsidR="00D849AA" w:rsidRPr="000E4589" w:rsidRDefault="00EE6D95">
            <w:pPr>
              <w:rPr>
                <w:rFonts w:ascii="Arial" w:hAnsi="Arial" w:cs="Arial"/>
              </w:rPr>
            </w:pPr>
            <w:r w:rsidRPr="000E4589">
              <w:rPr>
                <w:rFonts w:ascii="Arial" w:hAnsi="Arial" w:cs="Arial"/>
              </w:rPr>
              <w:t>1.829.250.941</w:t>
            </w:r>
          </w:p>
        </w:tc>
        <w:tc>
          <w:tcPr>
            <w:tcW w:w="1486" w:type="dxa"/>
            <w:shd w:val="clear" w:color="auto" w:fill="B5C0D8"/>
          </w:tcPr>
          <w:p w:rsidR="00D849AA" w:rsidRPr="000E4589" w:rsidRDefault="00EE6D95">
            <w:pPr>
              <w:rPr>
                <w:rFonts w:ascii="Arial" w:hAnsi="Arial" w:cs="Arial"/>
              </w:rPr>
            </w:pPr>
            <w:r w:rsidRPr="000E4589">
              <w:rPr>
                <w:rFonts w:ascii="Arial" w:hAnsi="Arial" w:cs="Arial"/>
              </w:rPr>
              <w:t>1.651.412.303</w:t>
            </w:r>
          </w:p>
        </w:tc>
        <w:tc>
          <w:tcPr>
            <w:tcW w:w="1486" w:type="dxa"/>
            <w:shd w:val="clear" w:color="auto" w:fill="B5C0D8"/>
          </w:tcPr>
          <w:p w:rsidR="00D849AA" w:rsidRPr="000E4589" w:rsidRDefault="00EE6D95">
            <w:pPr>
              <w:rPr>
                <w:rFonts w:ascii="Arial" w:hAnsi="Arial" w:cs="Arial"/>
              </w:rPr>
            </w:pPr>
            <w:r w:rsidRPr="000E4589">
              <w:rPr>
                <w:rFonts w:ascii="Arial" w:hAnsi="Arial" w:cs="Arial"/>
              </w:rPr>
              <w:t>1.512.803.461</w:t>
            </w:r>
          </w:p>
        </w:tc>
        <w:tc>
          <w:tcPr>
            <w:tcW w:w="1486" w:type="dxa"/>
            <w:shd w:val="clear" w:color="auto" w:fill="B5C0D8"/>
          </w:tcPr>
          <w:p w:rsidR="00D849AA" w:rsidRPr="000E4589" w:rsidRDefault="00EE6D95">
            <w:pPr>
              <w:rPr>
                <w:rFonts w:ascii="Arial" w:hAnsi="Arial" w:cs="Arial"/>
              </w:rPr>
            </w:pPr>
            <w:r w:rsidRPr="000E4589">
              <w:rPr>
                <w:rFonts w:ascii="Arial" w:hAnsi="Arial" w:cs="Arial"/>
              </w:rPr>
              <w:t>1.414.979.049</w:t>
            </w:r>
          </w:p>
        </w:tc>
        <w:tc>
          <w:tcPr>
            <w:tcW w:w="1486" w:type="dxa"/>
            <w:shd w:val="clear" w:color="auto" w:fill="B5C0D8"/>
          </w:tcPr>
          <w:p w:rsidR="00D849AA" w:rsidRPr="000E4589" w:rsidRDefault="00EE6D95">
            <w:pPr>
              <w:rPr>
                <w:rFonts w:ascii="Arial" w:hAnsi="Arial" w:cs="Arial"/>
              </w:rPr>
            </w:pPr>
            <w:r w:rsidRPr="000E4589">
              <w:rPr>
                <w:rFonts w:ascii="Arial" w:hAnsi="Arial" w:cs="Arial"/>
              </w:rPr>
              <w:t>90,3</w:t>
            </w:r>
          </w:p>
        </w:tc>
      </w:tr>
    </w:tbl>
    <w:p w:rsidR="00D849AA" w:rsidRDefault="00D849AA">
      <w:pPr>
        <w:jc w:val="left"/>
      </w:pPr>
    </w:p>
    <w:p w:rsidR="00D849AA" w:rsidRDefault="00EE6D95">
      <w:pPr>
        <w:pStyle w:val="Naslov2"/>
      </w:pPr>
      <w:r>
        <w:t>04905 Ministarstvo gospodarstva</w:t>
      </w:r>
    </w:p>
    <w:p w:rsidR="00D849AA" w:rsidRDefault="00EE6D95">
      <w:pPr>
        <w:pStyle w:val="Naslov4"/>
      </w:pPr>
      <w:r>
        <w:t>Uvod</w:t>
      </w:r>
    </w:p>
    <w:p w:rsidR="00D849AA" w:rsidRDefault="00EE6D95">
      <w:pPr>
        <w:pStyle w:val="Normal3"/>
      </w:pPr>
      <w:r>
        <w:t xml:space="preserve">Ministarstvo gospodarstva obavlja upravne i druge poslove koji se odnose na: razvoj i unaprjeđenje konkurentnosti hrvatskog gospodarstva, instrumente i mjere gospodarske politike; industrijsku politiku i politiku primjene inovacija i novih tehnologija; upravljanje jamstvenim fondom za unapređenje industrije; poslove vezane uz primjenu i korištenje prava intelektualnog i industrijskog vlasništva i poticanje stvaralaštva u industriji i trgovini u cilju razvoja konkurentnosti hrvatskoga gospodarstva; energetsku politiku Republike Hrvatske; rudarstvo; strategiju olakšavanja i poticanja ulaganja i izvoza. </w:t>
      </w:r>
    </w:p>
    <w:p w:rsidR="00D849AA" w:rsidRDefault="00EE6D95">
      <w:pPr>
        <w:pStyle w:val="Normal3"/>
      </w:pPr>
      <w:r>
        <w:t xml:space="preserve">Ministarstvo s drugim nadležnim tijelima državne uprave sudjeluje u koordinaciji strategije upravljanja državnom imovinom, uključujući i sudjelovanje u koordinaciji restrukturiranja i sanacije pravnih osoba, izradi analiza u postupcima restrukturiranja trgovačkih društava u vlasništvu Republike Hrvatske te upravljanja vlasničkim udjelima u trgovačkim društvima u vlasništvu Republike Hrvatske; djelatnost trgovine na unutarnjem tržištu Europske unije; opskrbu i cijene; nacionalnu koordinaciju aktivnosti djelovanja na unutarnjem tržištu Europske unije, zaštitu potrošača. </w:t>
      </w:r>
    </w:p>
    <w:p w:rsidR="00D849AA" w:rsidRDefault="00EE6D95">
      <w:pPr>
        <w:pStyle w:val="Normal3"/>
      </w:pPr>
      <w:r>
        <w:t>Ministarstvo obavlja upravne i druge poslove koji se odnose na razvoj, unaprjeđenje i koordinaciju sustava javnih nabava; unaprjeđenje i razvoj sustava koncesija u području svoje nadležnosti i nadzor nad njegovim provođenjem te unapređenje i razvoj sustava javno-privatnog partnerstva.</w:t>
      </w:r>
    </w:p>
    <w:p w:rsidR="006B1EA0" w:rsidRDefault="006B1EA0">
      <w:pPr>
        <w:pStyle w:val="Normal3"/>
      </w:pPr>
    </w:p>
    <w:tbl>
      <w:tblPr>
        <w:tblStyle w:val="Reetkatablice"/>
        <w:tblW w:w="0" w:type="auto"/>
        <w:jc w:val="center"/>
        <w:tblLook w:val="04A0" w:firstRow="1" w:lastRow="0" w:firstColumn="1" w:lastColumn="0" w:noHBand="0" w:noVBand="1"/>
      </w:tblPr>
      <w:tblGrid>
        <w:gridCol w:w="1486"/>
        <w:gridCol w:w="1496"/>
        <w:gridCol w:w="1496"/>
        <w:gridCol w:w="1486"/>
        <w:gridCol w:w="1486"/>
        <w:gridCol w:w="1486"/>
      </w:tblGrid>
      <w:tr w:rsidR="00D849AA" w:rsidRPr="000E4589">
        <w:trPr>
          <w:jc w:val="center"/>
        </w:trPr>
        <w:tc>
          <w:tcPr>
            <w:tcW w:w="1486" w:type="dxa"/>
            <w:shd w:val="clear" w:color="auto" w:fill="B5C0D8"/>
          </w:tcPr>
          <w:p w:rsidR="00D849AA" w:rsidRPr="000E4589" w:rsidRDefault="00D849AA">
            <w:pPr>
              <w:pStyle w:val="CellHeader"/>
            </w:pPr>
          </w:p>
        </w:tc>
        <w:tc>
          <w:tcPr>
            <w:tcW w:w="1486" w:type="dxa"/>
            <w:shd w:val="clear" w:color="auto" w:fill="B5C0D8"/>
          </w:tcPr>
          <w:p w:rsidR="00D849AA" w:rsidRPr="000E4589" w:rsidRDefault="00EE6D95">
            <w:pPr>
              <w:pStyle w:val="CellHeader"/>
            </w:pPr>
            <w:r w:rsidRPr="000E4589">
              <w:t>Plan 2013.</w:t>
            </w:r>
          </w:p>
        </w:tc>
        <w:tc>
          <w:tcPr>
            <w:tcW w:w="1486" w:type="dxa"/>
            <w:shd w:val="clear" w:color="auto" w:fill="B5C0D8"/>
          </w:tcPr>
          <w:p w:rsidR="00D849AA" w:rsidRPr="000E4589" w:rsidRDefault="00EE6D95">
            <w:pPr>
              <w:pStyle w:val="CellHeader"/>
            </w:pPr>
            <w:r w:rsidRPr="000E4589">
              <w:t>Plan 2014.</w:t>
            </w:r>
          </w:p>
        </w:tc>
        <w:tc>
          <w:tcPr>
            <w:tcW w:w="1486" w:type="dxa"/>
            <w:shd w:val="clear" w:color="auto" w:fill="B5C0D8"/>
          </w:tcPr>
          <w:p w:rsidR="00D849AA" w:rsidRPr="000E4589" w:rsidRDefault="00EE6D95">
            <w:pPr>
              <w:pStyle w:val="CellHeader"/>
            </w:pPr>
            <w:r w:rsidRPr="000E4589">
              <w:t>Plan 2015.</w:t>
            </w:r>
          </w:p>
        </w:tc>
        <w:tc>
          <w:tcPr>
            <w:tcW w:w="1486" w:type="dxa"/>
            <w:shd w:val="clear" w:color="auto" w:fill="B5C0D8"/>
          </w:tcPr>
          <w:p w:rsidR="00D849AA" w:rsidRPr="000E4589" w:rsidRDefault="00EE6D95">
            <w:pPr>
              <w:pStyle w:val="CellHeader"/>
            </w:pPr>
            <w:r w:rsidRPr="000E4589">
              <w:t>Plan 2016.</w:t>
            </w:r>
          </w:p>
        </w:tc>
        <w:tc>
          <w:tcPr>
            <w:tcW w:w="1486" w:type="dxa"/>
            <w:shd w:val="clear" w:color="auto" w:fill="B5C0D8"/>
          </w:tcPr>
          <w:p w:rsidR="00D849AA" w:rsidRPr="000E4589" w:rsidRDefault="00EE6D95">
            <w:pPr>
              <w:pStyle w:val="CellHeader"/>
            </w:pPr>
            <w:r w:rsidRPr="000E4589">
              <w:t>Indeks 2014/2013</w:t>
            </w:r>
          </w:p>
        </w:tc>
      </w:tr>
      <w:tr w:rsidR="00D849AA" w:rsidRPr="000E4589">
        <w:trPr>
          <w:jc w:val="center"/>
        </w:trPr>
        <w:tc>
          <w:tcPr>
            <w:tcW w:w="1486" w:type="dxa"/>
          </w:tcPr>
          <w:p w:rsidR="00D849AA" w:rsidRPr="000E4589" w:rsidRDefault="00EE6D95">
            <w:pPr>
              <w:pStyle w:val="CellColumn"/>
            </w:pPr>
            <w:r w:rsidRPr="000E4589">
              <w:t>04905</w:t>
            </w:r>
          </w:p>
        </w:tc>
        <w:tc>
          <w:tcPr>
            <w:tcW w:w="1486" w:type="dxa"/>
          </w:tcPr>
          <w:p w:rsidR="00D849AA" w:rsidRPr="000E4589" w:rsidRDefault="00EE6D95">
            <w:pPr>
              <w:rPr>
                <w:rFonts w:ascii="Arial" w:hAnsi="Arial" w:cs="Arial"/>
              </w:rPr>
            </w:pPr>
            <w:r w:rsidRPr="000E4589">
              <w:rPr>
                <w:rFonts w:ascii="Arial" w:hAnsi="Arial" w:cs="Arial"/>
              </w:rPr>
              <w:t>1.203.610.360</w:t>
            </w:r>
          </w:p>
        </w:tc>
        <w:tc>
          <w:tcPr>
            <w:tcW w:w="1486" w:type="dxa"/>
          </w:tcPr>
          <w:p w:rsidR="00D849AA" w:rsidRPr="000E4589" w:rsidRDefault="00EE6D95">
            <w:pPr>
              <w:rPr>
                <w:rFonts w:ascii="Arial" w:hAnsi="Arial" w:cs="Arial"/>
              </w:rPr>
            </w:pPr>
            <w:r w:rsidRPr="000E4589">
              <w:rPr>
                <w:rFonts w:ascii="Arial" w:hAnsi="Arial" w:cs="Arial"/>
              </w:rPr>
              <w:t>1.121.691.581</w:t>
            </w:r>
          </w:p>
        </w:tc>
        <w:tc>
          <w:tcPr>
            <w:tcW w:w="1486" w:type="dxa"/>
          </w:tcPr>
          <w:p w:rsidR="00D849AA" w:rsidRPr="000E4589" w:rsidRDefault="00EE6D95">
            <w:pPr>
              <w:rPr>
                <w:rFonts w:ascii="Arial" w:hAnsi="Arial" w:cs="Arial"/>
              </w:rPr>
            </w:pPr>
            <w:r w:rsidRPr="000E4589">
              <w:rPr>
                <w:rFonts w:ascii="Arial" w:hAnsi="Arial" w:cs="Arial"/>
              </w:rPr>
              <w:t>850.182.550</w:t>
            </w:r>
          </w:p>
        </w:tc>
        <w:tc>
          <w:tcPr>
            <w:tcW w:w="1486" w:type="dxa"/>
          </w:tcPr>
          <w:p w:rsidR="00D849AA" w:rsidRPr="000E4589" w:rsidRDefault="00EE6D95">
            <w:pPr>
              <w:rPr>
                <w:rFonts w:ascii="Arial" w:hAnsi="Arial" w:cs="Arial"/>
              </w:rPr>
            </w:pPr>
            <w:r w:rsidRPr="000E4589">
              <w:rPr>
                <w:rFonts w:ascii="Arial" w:hAnsi="Arial" w:cs="Arial"/>
              </w:rPr>
              <w:t>752.612.876</w:t>
            </w:r>
          </w:p>
        </w:tc>
        <w:tc>
          <w:tcPr>
            <w:tcW w:w="1486" w:type="dxa"/>
          </w:tcPr>
          <w:p w:rsidR="00D849AA" w:rsidRPr="000E4589" w:rsidRDefault="00EE6D95">
            <w:pPr>
              <w:rPr>
                <w:rFonts w:ascii="Arial" w:hAnsi="Arial" w:cs="Arial"/>
              </w:rPr>
            </w:pPr>
            <w:r w:rsidRPr="000E4589">
              <w:rPr>
                <w:rFonts w:ascii="Arial" w:hAnsi="Arial" w:cs="Arial"/>
              </w:rPr>
              <w:t>93,2</w:t>
            </w:r>
          </w:p>
        </w:tc>
      </w:tr>
    </w:tbl>
    <w:p w:rsidR="00D849AA" w:rsidRPr="000E4589" w:rsidRDefault="00D849AA">
      <w:pPr>
        <w:jc w:val="left"/>
        <w:rPr>
          <w:rFonts w:ascii="Arial" w:hAnsi="Arial" w:cs="Arial"/>
        </w:rPr>
      </w:pPr>
    </w:p>
    <w:p w:rsidR="00D849AA" w:rsidRDefault="00EE6D95">
      <w:pPr>
        <w:pStyle w:val="Naslov4"/>
      </w:pPr>
      <w:r>
        <w:lastRenderedPageBreak/>
        <w:t>OBRAZLOŽENJE PROGRAMA</w:t>
      </w:r>
    </w:p>
    <w:p w:rsidR="00D849AA" w:rsidRDefault="00EE6D95">
      <w:pPr>
        <w:pStyle w:val="Naslov5"/>
      </w:pPr>
      <w:r>
        <w:t>3201 PRIPREMA, PROVEDBA I PODRŠKA OSTVARENJU STRATEŠKIH CILJEVA ZA JAČANJE GOSPODARSTVA RH</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0E4589" w:rsidRDefault="00D849AA">
            <w:pPr>
              <w:pStyle w:val="CellHeader"/>
            </w:pPr>
          </w:p>
        </w:tc>
        <w:tc>
          <w:tcPr>
            <w:tcW w:w="1486" w:type="dxa"/>
            <w:shd w:val="clear" w:color="auto" w:fill="B5C0D8"/>
          </w:tcPr>
          <w:p w:rsidR="00D849AA" w:rsidRPr="000E4589" w:rsidRDefault="00EE6D95">
            <w:pPr>
              <w:pStyle w:val="CellHeader"/>
            </w:pPr>
            <w:r w:rsidRPr="000E4589">
              <w:t>Plan 2013.</w:t>
            </w:r>
          </w:p>
        </w:tc>
        <w:tc>
          <w:tcPr>
            <w:tcW w:w="1486" w:type="dxa"/>
            <w:shd w:val="clear" w:color="auto" w:fill="B5C0D8"/>
          </w:tcPr>
          <w:p w:rsidR="00D849AA" w:rsidRPr="000E4589" w:rsidRDefault="00EE6D95">
            <w:pPr>
              <w:pStyle w:val="CellHeader"/>
            </w:pPr>
            <w:r w:rsidRPr="000E4589">
              <w:t>Plan 2014.</w:t>
            </w:r>
          </w:p>
        </w:tc>
        <w:tc>
          <w:tcPr>
            <w:tcW w:w="1486" w:type="dxa"/>
            <w:shd w:val="clear" w:color="auto" w:fill="B5C0D8"/>
          </w:tcPr>
          <w:p w:rsidR="00D849AA" w:rsidRPr="000E4589" w:rsidRDefault="00EE6D95">
            <w:pPr>
              <w:pStyle w:val="CellHeader"/>
            </w:pPr>
            <w:r w:rsidRPr="000E4589">
              <w:t>Plan 2015.</w:t>
            </w:r>
          </w:p>
        </w:tc>
        <w:tc>
          <w:tcPr>
            <w:tcW w:w="1486" w:type="dxa"/>
            <w:shd w:val="clear" w:color="auto" w:fill="B5C0D8"/>
          </w:tcPr>
          <w:p w:rsidR="00D849AA" w:rsidRPr="000E4589" w:rsidRDefault="00EE6D95">
            <w:pPr>
              <w:pStyle w:val="CellHeader"/>
            </w:pPr>
            <w:r w:rsidRPr="000E4589">
              <w:t>Plan 2016.</w:t>
            </w:r>
          </w:p>
        </w:tc>
        <w:tc>
          <w:tcPr>
            <w:tcW w:w="1486" w:type="dxa"/>
            <w:shd w:val="clear" w:color="auto" w:fill="B5C0D8"/>
          </w:tcPr>
          <w:p w:rsidR="00D849AA" w:rsidRPr="000E4589" w:rsidRDefault="00EE6D95">
            <w:pPr>
              <w:pStyle w:val="CellHeader"/>
            </w:pPr>
            <w:r w:rsidRPr="000E4589">
              <w:t>Indeks 2014/2013</w:t>
            </w:r>
          </w:p>
        </w:tc>
      </w:tr>
      <w:tr w:rsidR="00D849AA">
        <w:trPr>
          <w:jc w:val="center"/>
        </w:trPr>
        <w:tc>
          <w:tcPr>
            <w:tcW w:w="1486" w:type="dxa"/>
          </w:tcPr>
          <w:p w:rsidR="00D849AA" w:rsidRPr="000E4589" w:rsidRDefault="00EE6D95">
            <w:pPr>
              <w:pStyle w:val="CellColumn"/>
            </w:pPr>
            <w:r w:rsidRPr="000E4589">
              <w:t>3201</w:t>
            </w:r>
          </w:p>
        </w:tc>
        <w:tc>
          <w:tcPr>
            <w:tcW w:w="1486" w:type="dxa"/>
          </w:tcPr>
          <w:p w:rsidR="00D849AA" w:rsidRPr="000E4589" w:rsidRDefault="00EE6D95">
            <w:pPr>
              <w:rPr>
                <w:rFonts w:ascii="Arial" w:hAnsi="Arial" w:cs="Arial"/>
              </w:rPr>
            </w:pPr>
            <w:r w:rsidRPr="000E4589">
              <w:rPr>
                <w:rFonts w:ascii="Arial" w:hAnsi="Arial" w:cs="Arial"/>
              </w:rPr>
              <w:t>30.951.494</w:t>
            </w:r>
          </w:p>
        </w:tc>
        <w:tc>
          <w:tcPr>
            <w:tcW w:w="1486" w:type="dxa"/>
          </w:tcPr>
          <w:p w:rsidR="00D849AA" w:rsidRPr="000E4589" w:rsidRDefault="00EE6D95">
            <w:pPr>
              <w:rPr>
                <w:rFonts w:ascii="Arial" w:hAnsi="Arial" w:cs="Arial"/>
              </w:rPr>
            </w:pPr>
            <w:r w:rsidRPr="000E4589">
              <w:rPr>
                <w:rFonts w:ascii="Arial" w:hAnsi="Arial" w:cs="Arial"/>
              </w:rPr>
              <w:t>47.795.621</w:t>
            </w:r>
          </w:p>
        </w:tc>
        <w:tc>
          <w:tcPr>
            <w:tcW w:w="1486" w:type="dxa"/>
          </w:tcPr>
          <w:p w:rsidR="00D849AA" w:rsidRPr="000E4589" w:rsidRDefault="00EE6D95">
            <w:pPr>
              <w:rPr>
                <w:rFonts w:ascii="Arial" w:hAnsi="Arial" w:cs="Arial"/>
              </w:rPr>
            </w:pPr>
            <w:r w:rsidRPr="000E4589">
              <w:rPr>
                <w:rFonts w:ascii="Arial" w:hAnsi="Arial" w:cs="Arial"/>
              </w:rPr>
              <w:t>46.165.723</w:t>
            </w:r>
          </w:p>
        </w:tc>
        <w:tc>
          <w:tcPr>
            <w:tcW w:w="1486" w:type="dxa"/>
          </w:tcPr>
          <w:p w:rsidR="00D849AA" w:rsidRPr="000E4589" w:rsidRDefault="00EE6D95">
            <w:pPr>
              <w:rPr>
                <w:rFonts w:ascii="Arial" w:hAnsi="Arial" w:cs="Arial"/>
              </w:rPr>
            </w:pPr>
            <w:r w:rsidRPr="000E4589">
              <w:rPr>
                <w:rFonts w:ascii="Arial" w:hAnsi="Arial" w:cs="Arial"/>
              </w:rPr>
              <w:t>46.442.786</w:t>
            </w:r>
          </w:p>
        </w:tc>
        <w:tc>
          <w:tcPr>
            <w:tcW w:w="1486" w:type="dxa"/>
          </w:tcPr>
          <w:p w:rsidR="00D849AA" w:rsidRPr="000E4589" w:rsidRDefault="00EE6D95">
            <w:pPr>
              <w:rPr>
                <w:rFonts w:ascii="Arial" w:hAnsi="Arial" w:cs="Arial"/>
              </w:rPr>
            </w:pPr>
            <w:r w:rsidRPr="000E4589">
              <w:rPr>
                <w:rFonts w:ascii="Arial" w:hAnsi="Arial" w:cs="Arial"/>
              </w:rPr>
              <w:t>154,4</w:t>
            </w:r>
          </w:p>
        </w:tc>
      </w:tr>
    </w:tbl>
    <w:p w:rsidR="00D849AA" w:rsidRDefault="00D849AA">
      <w:pPr>
        <w:jc w:val="left"/>
      </w:pPr>
    </w:p>
    <w:p w:rsidR="00D849AA" w:rsidRDefault="00EE6D95">
      <w:pPr>
        <w:pStyle w:val="Naslov6"/>
      </w:pPr>
      <w:r>
        <w:t>Opis programa</w:t>
      </w:r>
    </w:p>
    <w:p w:rsidR="00D849AA" w:rsidRDefault="00EE6D95">
      <w:pPr>
        <w:pStyle w:val="Normal5"/>
      </w:pPr>
      <w:r>
        <w:t xml:space="preserve">Sredstvima planiranim u okviru ovog programa financiraju se troškovi obavljanja redovite djelatnosti Ministarstva - Kabinet ministra, Glavno tajništvo, Samostalni odjel za unutarnju reviziju, Samostalni odjel za pripremu međunarodnih i EU projekata programa IPA I, Samostalni odjel za odnose s javnošću i Samostalnu službu za europske i međunarodne poslove. </w:t>
      </w:r>
    </w:p>
    <w:p w:rsidR="00D849AA" w:rsidRDefault="00EE6D95">
      <w:pPr>
        <w:pStyle w:val="Normal5"/>
      </w:pPr>
      <w:r>
        <w:t xml:space="preserve">Sredstva se koriste za poduzimanje mjera za osiguranje učinkovitosti u radu cijelog ministarstva te usklađenje rada unutarnjih ustrojstvenih jedinica Ministarstva i upravnih organizacija u sastavu Ministarstva,  vođenje brige o stručnom osposobljavanju, usavršavanju i napredovanju državnih službenika i namještenika u tijeku službe i o urednom i pravilnom korištenju imovine i sredstava za rad, nadzoru nad radom državnih službenika i namještenika. </w:t>
      </w:r>
    </w:p>
    <w:p w:rsidR="00D849AA" w:rsidRDefault="00EE6D95">
      <w:pPr>
        <w:pStyle w:val="Normal5"/>
      </w:pPr>
      <w:r>
        <w:t xml:space="preserve">U okviru ovog programa se koordinira i izrađuje strateški plan Ministarstva, koordiniraju i definiraju pokazatelji uspješnosti i rizici. </w:t>
      </w:r>
    </w:p>
    <w:p w:rsidR="00D849AA" w:rsidRDefault="00EE6D95">
      <w:pPr>
        <w:pStyle w:val="Normal5"/>
      </w:pPr>
      <w:r>
        <w:t xml:space="preserve">Nadalje, sredstva se koriste za procjenu cjelokupnog poslovanja Ministarstva i proračunskih korisnika koji se nalaze unutar razdjela Ministarstva, a koji nemaju ustrojenu unutarnju reviziju, kroz procese i sustav unutarnjih kontrola na temelju upravljanja rizicima; analiziranje i ocjenjivanje svih poslovnih procesa iz nadležnosti Ministarstva. </w:t>
      </w:r>
    </w:p>
    <w:p w:rsidR="00D849AA" w:rsidRDefault="00EE6D95">
      <w:pPr>
        <w:pStyle w:val="Normal5"/>
      </w:pPr>
      <w:r>
        <w:t xml:space="preserve">U okviru ovog programa izvješćuje se domaća i strana javnost o aktivnostima Ministarstva (konferencije za novinare, izjave, intervjui, priopćenja, obavijesti, briefinzi i drugo), daju odgovori i informacije na pitanja novinara te organizira medijsko praćenje rada Ministarstva, obavlja izravna komunikacija s građanima i koordiniraju komunikacijske aktivnosti Ministarstva. </w:t>
      </w:r>
    </w:p>
    <w:p w:rsidR="00D849AA" w:rsidRDefault="00EE6D95">
      <w:pPr>
        <w:pStyle w:val="Normal5"/>
      </w:pPr>
      <w:r>
        <w:t xml:space="preserve">U suradnji i koordinaciji s ostalim stručnim odjelima i tijelima obavljaju se stručni i administrativni poslovi koji se odnose na pripremu, planiranje, provedbu, financijsko upravljanje, kontrolu, praćenje i vrednovanje godišnjih i višegodišnjih projekata Europske unije. Prikuplja se, obrađuje i analizira stanje potreba za aktivnostima iz djelokruga rada Ministarstva sa sudionicima i čimbenicima u planiranju i provedbi programa pomoći Europske unije. </w:t>
      </w:r>
    </w:p>
    <w:p w:rsidR="00D849AA" w:rsidRDefault="00EE6D95">
      <w:pPr>
        <w:pStyle w:val="Normal5"/>
      </w:pPr>
      <w:r>
        <w:t>Nadalje, vrše se pripreme i izrade prijedloga međunarodnih instrumenata koje sklapa Ministarstvo s nadležnim institucijama drugih država ili međunarodnih organizacija te prati njihova provedba iz djelokruga Ministarstva. Organiziraju se, pripremaju i koordiniraju sastanci s predstavnicima međunarodnih organizacija te s predstavnicima nadležnih tijela drugih država u cilju razvijanja i jačanja međunarodne suradnje.</w:t>
      </w:r>
    </w:p>
    <w:p w:rsidR="006B1EA0" w:rsidRDefault="006B1EA0">
      <w:pPr>
        <w:pStyle w:val="Normal5"/>
      </w:pPr>
    </w:p>
    <w:p w:rsidR="00D849AA" w:rsidRDefault="00EE6D95">
      <w:pPr>
        <w:pStyle w:val="Naslov6"/>
      </w:pPr>
      <w:r>
        <w:lastRenderedPageBreak/>
        <w:t>Zakonske i druge pravne osnove</w:t>
      </w:r>
    </w:p>
    <w:p w:rsidR="00D849AA" w:rsidRDefault="00EE6D95">
      <w:pPr>
        <w:pStyle w:val="Normal5"/>
      </w:pPr>
      <w:r>
        <w:t xml:space="preserve">Zakon o ustrojstvu i djelokrugu ministarstava i drugih središnjih tijela državne uprave (N.N. 150/2011) </w:t>
      </w:r>
    </w:p>
    <w:p w:rsidR="00D849AA" w:rsidRDefault="00EE6D95">
      <w:pPr>
        <w:pStyle w:val="Normal5"/>
      </w:pPr>
      <w:r>
        <w:t xml:space="preserve">Uredba o unutarnjem ustrojstvu Ministarstva gospodarstva (N.N. 28/2012) </w:t>
      </w:r>
    </w:p>
    <w:p w:rsidR="00D849AA" w:rsidRDefault="00EE6D95">
      <w:pPr>
        <w:pStyle w:val="Normal5"/>
      </w:pPr>
      <w:r>
        <w:t xml:space="preserve">Kolektivni ugovor za državne službenike i namještenike (N.N. 93/08) </w:t>
      </w:r>
    </w:p>
    <w:p w:rsidR="00D849AA" w:rsidRDefault="00EE6D95">
      <w:pPr>
        <w:pStyle w:val="Normal5"/>
      </w:pPr>
      <w:r>
        <w:t xml:space="preserve">Zakon o javnoj nabavi (N.N. 110/07, 125/08, 90/11) </w:t>
      </w:r>
    </w:p>
    <w:p w:rsidR="00D849AA" w:rsidRDefault="00EE6D95">
      <w:pPr>
        <w:pStyle w:val="Normal5"/>
      </w:pPr>
      <w:r>
        <w:t xml:space="preserve">Zakon o medijima (N.N. 163/02, 59/04, 84/11, 81/13) </w:t>
      </w:r>
    </w:p>
    <w:p w:rsidR="00D849AA" w:rsidRDefault="00EE6D95">
      <w:pPr>
        <w:pStyle w:val="Normal5"/>
      </w:pPr>
      <w:r>
        <w:t xml:space="preserve">Zakon o elektroničkim medijima (N.N. 122/03, 79/07, 32/08, 65/09, 153/09, 84/11, 94/13) </w:t>
      </w:r>
    </w:p>
    <w:p w:rsidR="00D849AA" w:rsidRDefault="00EE6D95">
      <w:pPr>
        <w:pStyle w:val="Normal5"/>
      </w:pPr>
      <w:r>
        <w:t xml:space="preserve">Zakon o sustavu unutanjih financijskih kontrola u javnom sektoru (N.N. 141/06) </w:t>
      </w:r>
    </w:p>
    <w:p w:rsidR="00D849AA" w:rsidRDefault="00EE6D95">
      <w:pPr>
        <w:pStyle w:val="Normal5"/>
      </w:pPr>
      <w:r>
        <w:t>Pravilnik o unutarnjoj reviziji korisnika proračuna (N.N. 35/08)</w:t>
      </w:r>
    </w:p>
    <w:p w:rsidR="005F2AE2" w:rsidRDefault="005F2AE2">
      <w:pPr>
        <w:pStyle w:val="Normal5"/>
      </w:pP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Cilj 1. Priprema i provedba općih ciljeva za jačanje gospodarstva</w:t>
      </w:r>
    </w:p>
    <w:p w:rsidR="00D849AA" w:rsidRDefault="00EE6D95">
      <w:pPr>
        <w:pStyle w:val="Naslov7"/>
      </w:pPr>
      <w:r>
        <w:t>Cilj 2. Učinkovito korištenje sredstava za rad i imovine ministarstva, učinkovito upravljanje ljudskim potencijalima</w:t>
      </w:r>
    </w:p>
    <w:p w:rsidR="00D849AA" w:rsidRDefault="00EE6D95">
      <w:pPr>
        <w:pStyle w:val="Naslov7"/>
      </w:pPr>
      <w:r>
        <w:t>Cilj 3. Učinkovito  korištenje sredstava Instrumenta pretpristupne pomoći IPA-I    Pomoć u prilagodbi i jačanje institucija</w:t>
      </w:r>
    </w:p>
    <w:p w:rsidR="006B1EA0" w:rsidRPr="006B1EA0" w:rsidRDefault="006B1EA0" w:rsidP="006B1EA0"/>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rsidRPr="000E4589">
        <w:trPr>
          <w:jc w:val="center"/>
        </w:trPr>
        <w:tc>
          <w:tcPr>
            <w:tcW w:w="2229" w:type="dxa"/>
            <w:shd w:val="clear" w:color="auto" w:fill="B5C0D8"/>
          </w:tcPr>
          <w:p w:rsidR="00D849AA" w:rsidRPr="000E4589" w:rsidRDefault="00EE6D95">
            <w:pPr>
              <w:rPr>
                <w:rFonts w:ascii="Arial" w:hAnsi="Arial" w:cs="Arial"/>
              </w:rPr>
            </w:pPr>
            <w:r w:rsidRPr="000E4589">
              <w:rPr>
                <w:rFonts w:ascii="Arial" w:hAnsi="Arial" w:cs="Arial"/>
              </w:rPr>
              <w:t>Pokazatelj učinka</w:t>
            </w:r>
          </w:p>
        </w:tc>
        <w:tc>
          <w:tcPr>
            <w:tcW w:w="1114" w:type="dxa"/>
            <w:shd w:val="clear" w:color="auto" w:fill="B5C0D8"/>
          </w:tcPr>
          <w:p w:rsidR="00D849AA" w:rsidRPr="000E4589" w:rsidRDefault="00EE6D95">
            <w:pPr>
              <w:pStyle w:val="CellHeader"/>
            </w:pPr>
            <w:r w:rsidRPr="000E4589">
              <w:t>Jedinica</w:t>
            </w:r>
          </w:p>
        </w:tc>
        <w:tc>
          <w:tcPr>
            <w:tcW w:w="1114" w:type="dxa"/>
            <w:shd w:val="clear" w:color="auto" w:fill="B5C0D8"/>
          </w:tcPr>
          <w:p w:rsidR="00D849AA" w:rsidRPr="000E4589" w:rsidRDefault="00EE6D95">
            <w:pPr>
              <w:pStyle w:val="CellHeader"/>
            </w:pPr>
            <w:r w:rsidRPr="000E4589">
              <w:t>Polazna vrijednost</w:t>
            </w:r>
          </w:p>
        </w:tc>
        <w:tc>
          <w:tcPr>
            <w:tcW w:w="1486" w:type="dxa"/>
            <w:shd w:val="clear" w:color="auto" w:fill="B5C0D8"/>
          </w:tcPr>
          <w:p w:rsidR="00D849AA" w:rsidRPr="000E4589" w:rsidRDefault="00EE6D95">
            <w:pPr>
              <w:pStyle w:val="CellHeader"/>
            </w:pPr>
            <w:r w:rsidRPr="000E4589">
              <w:t>Ciljana vrijednost (2014.)</w:t>
            </w:r>
          </w:p>
        </w:tc>
        <w:tc>
          <w:tcPr>
            <w:tcW w:w="1486" w:type="dxa"/>
            <w:shd w:val="clear" w:color="auto" w:fill="B5C0D8"/>
          </w:tcPr>
          <w:p w:rsidR="00D849AA" w:rsidRPr="000E4589" w:rsidRDefault="00EE6D95">
            <w:pPr>
              <w:pStyle w:val="CellHeader"/>
            </w:pPr>
            <w:r w:rsidRPr="000E4589">
              <w:t>Ciljana vrijednost (2015.)</w:t>
            </w:r>
          </w:p>
        </w:tc>
        <w:tc>
          <w:tcPr>
            <w:tcW w:w="1486" w:type="dxa"/>
            <w:shd w:val="clear" w:color="auto" w:fill="B5C0D8"/>
          </w:tcPr>
          <w:p w:rsidR="00D849AA" w:rsidRPr="000E4589" w:rsidRDefault="00EE6D95">
            <w:pPr>
              <w:pStyle w:val="CellHeader"/>
            </w:pPr>
            <w:r w:rsidRPr="000E4589">
              <w:t>Ciljana vrijednost (2016.)</w:t>
            </w:r>
          </w:p>
        </w:tc>
      </w:tr>
      <w:tr w:rsidR="00D849AA" w:rsidRPr="000E4589">
        <w:trPr>
          <w:jc w:val="center"/>
        </w:trPr>
        <w:tc>
          <w:tcPr>
            <w:tcW w:w="2229" w:type="dxa"/>
          </w:tcPr>
          <w:p w:rsidR="00D849AA" w:rsidRPr="000E4589" w:rsidRDefault="00EE6D95">
            <w:pPr>
              <w:pStyle w:val="CellColumn"/>
            </w:pPr>
            <w:r w:rsidRPr="000E4589">
              <w:t>Priprema projektnih prijedloga u suradnji sa stručnim djelatnicima pojedinih uprava</w:t>
            </w:r>
          </w:p>
        </w:tc>
        <w:tc>
          <w:tcPr>
            <w:tcW w:w="1114" w:type="dxa"/>
          </w:tcPr>
          <w:p w:rsidR="00D849AA" w:rsidRPr="000E4589" w:rsidRDefault="00EE6D95">
            <w:pPr>
              <w:rPr>
                <w:rFonts w:ascii="Arial" w:hAnsi="Arial" w:cs="Arial"/>
              </w:rPr>
            </w:pPr>
            <w:r w:rsidRPr="000E4589">
              <w:rPr>
                <w:rFonts w:ascii="Arial" w:hAnsi="Arial" w:cs="Arial"/>
              </w:rPr>
              <w:t>Broj</w:t>
            </w:r>
          </w:p>
        </w:tc>
        <w:tc>
          <w:tcPr>
            <w:tcW w:w="1114" w:type="dxa"/>
          </w:tcPr>
          <w:p w:rsidR="00D849AA" w:rsidRPr="000E4589" w:rsidRDefault="00EE6D95">
            <w:pPr>
              <w:rPr>
                <w:rFonts w:ascii="Arial" w:hAnsi="Arial" w:cs="Arial"/>
              </w:rPr>
            </w:pPr>
            <w:r w:rsidRPr="000E4589">
              <w:rPr>
                <w:rFonts w:ascii="Arial" w:hAnsi="Arial" w:cs="Arial"/>
              </w:rPr>
              <w:t>2</w:t>
            </w:r>
          </w:p>
        </w:tc>
        <w:tc>
          <w:tcPr>
            <w:tcW w:w="1486" w:type="dxa"/>
          </w:tcPr>
          <w:p w:rsidR="00D849AA" w:rsidRPr="000E4589" w:rsidRDefault="00EE6D95">
            <w:pPr>
              <w:rPr>
                <w:rFonts w:ascii="Arial" w:hAnsi="Arial" w:cs="Arial"/>
              </w:rPr>
            </w:pPr>
            <w:r w:rsidRPr="000E4589">
              <w:rPr>
                <w:rFonts w:ascii="Arial" w:hAnsi="Arial" w:cs="Arial"/>
              </w:rPr>
              <w:t>5</w:t>
            </w:r>
          </w:p>
        </w:tc>
        <w:tc>
          <w:tcPr>
            <w:tcW w:w="1486" w:type="dxa"/>
          </w:tcPr>
          <w:p w:rsidR="00D849AA" w:rsidRPr="000E4589" w:rsidRDefault="00EE6D95">
            <w:pPr>
              <w:rPr>
                <w:rFonts w:ascii="Arial" w:hAnsi="Arial" w:cs="Arial"/>
              </w:rPr>
            </w:pPr>
            <w:r w:rsidRPr="000E4589">
              <w:rPr>
                <w:rFonts w:ascii="Arial" w:hAnsi="Arial" w:cs="Arial"/>
              </w:rPr>
              <w:t>3</w:t>
            </w:r>
          </w:p>
        </w:tc>
        <w:tc>
          <w:tcPr>
            <w:tcW w:w="1486" w:type="dxa"/>
          </w:tcPr>
          <w:p w:rsidR="00D849AA" w:rsidRPr="000E4589" w:rsidRDefault="00EE6D95">
            <w:pPr>
              <w:rPr>
                <w:rFonts w:ascii="Arial" w:hAnsi="Arial" w:cs="Arial"/>
              </w:rPr>
            </w:pPr>
            <w:r w:rsidRPr="000E4589">
              <w:rPr>
                <w:rFonts w:ascii="Arial" w:hAnsi="Arial" w:cs="Arial"/>
              </w:rPr>
              <w:t>3</w:t>
            </w:r>
          </w:p>
        </w:tc>
      </w:tr>
      <w:tr w:rsidR="00D849AA" w:rsidRPr="000E4589">
        <w:trPr>
          <w:jc w:val="center"/>
        </w:trPr>
        <w:tc>
          <w:tcPr>
            <w:tcW w:w="2229" w:type="dxa"/>
          </w:tcPr>
          <w:p w:rsidR="00D849AA" w:rsidRPr="000E4589" w:rsidRDefault="00EE6D95">
            <w:pPr>
              <w:pStyle w:val="CellColumn"/>
            </w:pPr>
            <w:r w:rsidRPr="000E4589">
              <w:t>Izvještaji o radu</w:t>
            </w:r>
          </w:p>
        </w:tc>
        <w:tc>
          <w:tcPr>
            <w:tcW w:w="1114" w:type="dxa"/>
          </w:tcPr>
          <w:p w:rsidR="00D849AA" w:rsidRPr="000E4589" w:rsidRDefault="00EE6D95">
            <w:pPr>
              <w:rPr>
                <w:rFonts w:ascii="Arial" w:hAnsi="Arial" w:cs="Arial"/>
              </w:rPr>
            </w:pPr>
            <w:r w:rsidRPr="000E4589">
              <w:rPr>
                <w:rFonts w:ascii="Arial" w:hAnsi="Arial" w:cs="Arial"/>
              </w:rPr>
              <w:t>%</w:t>
            </w:r>
          </w:p>
        </w:tc>
        <w:tc>
          <w:tcPr>
            <w:tcW w:w="1114" w:type="dxa"/>
          </w:tcPr>
          <w:p w:rsidR="00D849AA" w:rsidRPr="000E4589" w:rsidRDefault="00EE6D95">
            <w:pPr>
              <w:rPr>
                <w:rFonts w:ascii="Arial" w:hAnsi="Arial" w:cs="Arial"/>
              </w:rPr>
            </w:pPr>
            <w:r w:rsidRPr="000E4589">
              <w:rPr>
                <w:rFonts w:ascii="Arial" w:hAnsi="Arial" w:cs="Arial"/>
              </w:rPr>
              <w:t>85</w:t>
            </w:r>
          </w:p>
        </w:tc>
        <w:tc>
          <w:tcPr>
            <w:tcW w:w="1486" w:type="dxa"/>
          </w:tcPr>
          <w:p w:rsidR="00D849AA" w:rsidRPr="000E4589" w:rsidRDefault="00EE6D95">
            <w:pPr>
              <w:rPr>
                <w:rFonts w:ascii="Arial" w:hAnsi="Arial" w:cs="Arial"/>
              </w:rPr>
            </w:pPr>
            <w:r w:rsidRPr="000E4589">
              <w:rPr>
                <w:rFonts w:ascii="Arial" w:hAnsi="Arial" w:cs="Arial"/>
              </w:rPr>
              <w:t>100</w:t>
            </w:r>
          </w:p>
        </w:tc>
        <w:tc>
          <w:tcPr>
            <w:tcW w:w="1486" w:type="dxa"/>
          </w:tcPr>
          <w:p w:rsidR="00D849AA" w:rsidRPr="000E4589" w:rsidRDefault="00EE6D95">
            <w:pPr>
              <w:rPr>
                <w:rFonts w:ascii="Arial" w:hAnsi="Arial" w:cs="Arial"/>
              </w:rPr>
            </w:pPr>
            <w:r w:rsidRPr="000E4589">
              <w:rPr>
                <w:rFonts w:ascii="Arial" w:hAnsi="Arial" w:cs="Arial"/>
              </w:rPr>
              <w:t>100</w:t>
            </w:r>
          </w:p>
        </w:tc>
        <w:tc>
          <w:tcPr>
            <w:tcW w:w="1486" w:type="dxa"/>
          </w:tcPr>
          <w:p w:rsidR="00D849AA" w:rsidRPr="000E4589" w:rsidRDefault="00EE6D95">
            <w:pPr>
              <w:rPr>
                <w:rFonts w:ascii="Arial" w:hAnsi="Arial" w:cs="Arial"/>
              </w:rPr>
            </w:pPr>
            <w:r w:rsidRPr="000E4589">
              <w:rPr>
                <w:rFonts w:ascii="Arial" w:hAnsi="Arial" w:cs="Arial"/>
              </w:rPr>
              <w:t>100</w:t>
            </w:r>
          </w:p>
        </w:tc>
      </w:tr>
      <w:tr w:rsidR="00D849AA" w:rsidRPr="000E4589">
        <w:trPr>
          <w:jc w:val="center"/>
        </w:trPr>
        <w:tc>
          <w:tcPr>
            <w:tcW w:w="2229" w:type="dxa"/>
          </w:tcPr>
          <w:p w:rsidR="00D849AA" w:rsidRPr="000E4589" w:rsidRDefault="00EE6D95">
            <w:pPr>
              <w:pStyle w:val="CellColumn"/>
            </w:pPr>
            <w:r w:rsidRPr="000E4589">
              <w:t>Medijski popraćeni događaji</w:t>
            </w:r>
          </w:p>
        </w:tc>
        <w:tc>
          <w:tcPr>
            <w:tcW w:w="1114" w:type="dxa"/>
          </w:tcPr>
          <w:p w:rsidR="00D849AA" w:rsidRPr="000E4589" w:rsidRDefault="00EE6D95">
            <w:pPr>
              <w:rPr>
                <w:rFonts w:ascii="Arial" w:hAnsi="Arial" w:cs="Arial"/>
              </w:rPr>
            </w:pPr>
            <w:r w:rsidRPr="000E4589">
              <w:rPr>
                <w:rFonts w:ascii="Arial" w:hAnsi="Arial" w:cs="Arial"/>
              </w:rPr>
              <w:t>Broj</w:t>
            </w:r>
          </w:p>
        </w:tc>
        <w:tc>
          <w:tcPr>
            <w:tcW w:w="1114" w:type="dxa"/>
          </w:tcPr>
          <w:p w:rsidR="00D849AA" w:rsidRPr="000E4589" w:rsidRDefault="00EE6D95">
            <w:pPr>
              <w:rPr>
                <w:rFonts w:ascii="Arial" w:hAnsi="Arial" w:cs="Arial"/>
              </w:rPr>
            </w:pPr>
            <w:r w:rsidRPr="000E4589">
              <w:rPr>
                <w:rFonts w:ascii="Arial" w:hAnsi="Arial" w:cs="Arial"/>
              </w:rPr>
              <w:t>1</w:t>
            </w:r>
          </w:p>
        </w:tc>
        <w:tc>
          <w:tcPr>
            <w:tcW w:w="1486" w:type="dxa"/>
          </w:tcPr>
          <w:p w:rsidR="00D849AA" w:rsidRPr="000E4589" w:rsidRDefault="00EE6D95">
            <w:pPr>
              <w:rPr>
                <w:rFonts w:ascii="Arial" w:hAnsi="Arial" w:cs="Arial"/>
              </w:rPr>
            </w:pPr>
            <w:r w:rsidRPr="000E4589">
              <w:rPr>
                <w:rFonts w:ascii="Arial" w:hAnsi="Arial" w:cs="Arial"/>
              </w:rPr>
              <w:t>2</w:t>
            </w:r>
          </w:p>
        </w:tc>
        <w:tc>
          <w:tcPr>
            <w:tcW w:w="1486" w:type="dxa"/>
          </w:tcPr>
          <w:p w:rsidR="00D849AA" w:rsidRPr="000E4589" w:rsidRDefault="00EE6D95">
            <w:pPr>
              <w:rPr>
                <w:rFonts w:ascii="Arial" w:hAnsi="Arial" w:cs="Arial"/>
              </w:rPr>
            </w:pPr>
            <w:r w:rsidRPr="000E4589">
              <w:rPr>
                <w:rFonts w:ascii="Arial" w:hAnsi="Arial" w:cs="Arial"/>
              </w:rPr>
              <w:t>2</w:t>
            </w:r>
          </w:p>
        </w:tc>
        <w:tc>
          <w:tcPr>
            <w:tcW w:w="1486" w:type="dxa"/>
          </w:tcPr>
          <w:p w:rsidR="00D849AA" w:rsidRPr="000E4589" w:rsidRDefault="00EE6D95">
            <w:pPr>
              <w:rPr>
                <w:rFonts w:ascii="Arial" w:hAnsi="Arial" w:cs="Arial"/>
              </w:rPr>
            </w:pPr>
            <w:r w:rsidRPr="000E4589">
              <w:rPr>
                <w:rFonts w:ascii="Arial" w:hAnsi="Arial" w:cs="Arial"/>
              </w:rPr>
              <w:t>2</w:t>
            </w:r>
          </w:p>
        </w:tc>
      </w:tr>
      <w:tr w:rsidR="00D849AA" w:rsidRPr="000E4589">
        <w:trPr>
          <w:jc w:val="center"/>
        </w:trPr>
        <w:tc>
          <w:tcPr>
            <w:tcW w:w="2229" w:type="dxa"/>
          </w:tcPr>
          <w:p w:rsidR="00D849AA" w:rsidRPr="000E4589" w:rsidRDefault="00EE6D95">
            <w:pPr>
              <w:pStyle w:val="CellColumn"/>
            </w:pPr>
            <w:r w:rsidRPr="000E4589">
              <w:t>Nadzor nad provedbom projekata</w:t>
            </w:r>
          </w:p>
        </w:tc>
        <w:tc>
          <w:tcPr>
            <w:tcW w:w="1114" w:type="dxa"/>
          </w:tcPr>
          <w:p w:rsidR="00D849AA" w:rsidRPr="000E4589" w:rsidRDefault="00EE6D95">
            <w:pPr>
              <w:rPr>
                <w:rFonts w:ascii="Arial" w:hAnsi="Arial" w:cs="Arial"/>
              </w:rPr>
            </w:pPr>
            <w:r w:rsidRPr="000E4589">
              <w:rPr>
                <w:rFonts w:ascii="Arial" w:hAnsi="Arial" w:cs="Arial"/>
              </w:rPr>
              <w:t>Broj</w:t>
            </w:r>
          </w:p>
        </w:tc>
        <w:tc>
          <w:tcPr>
            <w:tcW w:w="1114" w:type="dxa"/>
          </w:tcPr>
          <w:p w:rsidR="00D849AA" w:rsidRPr="000E4589" w:rsidRDefault="00EE6D95">
            <w:pPr>
              <w:rPr>
                <w:rFonts w:ascii="Arial" w:hAnsi="Arial" w:cs="Arial"/>
              </w:rPr>
            </w:pPr>
            <w:r w:rsidRPr="000E4589">
              <w:rPr>
                <w:rFonts w:ascii="Arial" w:hAnsi="Arial" w:cs="Arial"/>
              </w:rPr>
              <w:t>6</w:t>
            </w:r>
          </w:p>
        </w:tc>
        <w:tc>
          <w:tcPr>
            <w:tcW w:w="1486" w:type="dxa"/>
          </w:tcPr>
          <w:p w:rsidR="00D849AA" w:rsidRPr="000E4589" w:rsidRDefault="00EE6D95">
            <w:pPr>
              <w:rPr>
                <w:rFonts w:ascii="Arial" w:hAnsi="Arial" w:cs="Arial"/>
              </w:rPr>
            </w:pPr>
            <w:r w:rsidRPr="000E4589">
              <w:rPr>
                <w:rFonts w:ascii="Arial" w:hAnsi="Arial" w:cs="Arial"/>
              </w:rPr>
              <w:t>6</w:t>
            </w:r>
          </w:p>
        </w:tc>
        <w:tc>
          <w:tcPr>
            <w:tcW w:w="1486" w:type="dxa"/>
          </w:tcPr>
          <w:p w:rsidR="00D849AA" w:rsidRPr="000E4589" w:rsidRDefault="00EE6D95">
            <w:pPr>
              <w:rPr>
                <w:rFonts w:ascii="Arial" w:hAnsi="Arial" w:cs="Arial"/>
              </w:rPr>
            </w:pPr>
            <w:r w:rsidRPr="000E4589">
              <w:rPr>
                <w:rFonts w:ascii="Arial" w:hAnsi="Arial" w:cs="Arial"/>
              </w:rPr>
              <w:t>6</w:t>
            </w:r>
          </w:p>
        </w:tc>
        <w:tc>
          <w:tcPr>
            <w:tcW w:w="1486" w:type="dxa"/>
          </w:tcPr>
          <w:p w:rsidR="00D849AA" w:rsidRPr="000E4589" w:rsidRDefault="00EE6D95">
            <w:pPr>
              <w:rPr>
                <w:rFonts w:ascii="Arial" w:hAnsi="Arial" w:cs="Arial"/>
              </w:rPr>
            </w:pPr>
            <w:r w:rsidRPr="000E4589">
              <w:rPr>
                <w:rFonts w:ascii="Arial" w:hAnsi="Arial" w:cs="Arial"/>
              </w:rPr>
              <w:t>3</w:t>
            </w:r>
          </w:p>
        </w:tc>
      </w:tr>
      <w:tr w:rsidR="00D849AA" w:rsidRPr="000E4589">
        <w:trPr>
          <w:jc w:val="center"/>
        </w:trPr>
        <w:tc>
          <w:tcPr>
            <w:tcW w:w="2229" w:type="dxa"/>
          </w:tcPr>
          <w:p w:rsidR="00D849AA" w:rsidRPr="000E4589" w:rsidRDefault="00EE6D95">
            <w:pPr>
              <w:pStyle w:val="CellColumn"/>
            </w:pPr>
            <w:r w:rsidRPr="000E4589">
              <w:t>Izrada projektne dokumentacije  i financijskog plana projekta</w:t>
            </w:r>
          </w:p>
        </w:tc>
        <w:tc>
          <w:tcPr>
            <w:tcW w:w="1114" w:type="dxa"/>
          </w:tcPr>
          <w:p w:rsidR="00D849AA" w:rsidRPr="000E4589" w:rsidRDefault="00EE6D95">
            <w:pPr>
              <w:rPr>
                <w:rFonts w:ascii="Arial" w:hAnsi="Arial" w:cs="Arial"/>
              </w:rPr>
            </w:pPr>
            <w:r w:rsidRPr="000E4589">
              <w:rPr>
                <w:rFonts w:ascii="Arial" w:hAnsi="Arial" w:cs="Arial"/>
              </w:rPr>
              <w:t>Broj</w:t>
            </w:r>
          </w:p>
        </w:tc>
        <w:tc>
          <w:tcPr>
            <w:tcW w:w="1114" w:type="dxa"/>
          </w:tcPr>
          <w:p w:rsidR="00D849AA" w:rsidRPr="000E4589" w:rsidRDefault="00EE6D95">
            <w:pPr>
              <w:rPr>
                <w:rFonts w:ascii="Arial" w:hAnsi="Arial" w:cs="Arial"/>
              </w:rPr>
            </w:pPr>
            <w:r w:rsidRPr="000E4589">
              <w:rPr>
                <w:rFonts w:ascii="Arial" w:hAnsi="Arial" w:cs="Arial"/>
              </w:rPr>
              <w:t>1</w:t>
            </w:r>
          </w:p>
        </w:tc>
        <w:tc>
          <w:tcPr>
            <w:tcW w:w="1486" w:type="dxa"/>
          </w:tcPr>
          <w:p w:rsidR="00D849AA" w:rsidRPr="000E4589" w:rsidRDefault="00EE6D95">
            <w:pPr>
              <w:rPr>
                <w:rFonts w:ascii="Arial" w:hAnsi="Arial" w:cs="Arial"/>
              </w:rPr>
            </w:pPr>
            <w:r w:rsidRPr="000E4589">
              <w:rPr>
                <w:rFonts w:ascii="Arial" w:hAnsi="Arial" w:cs="Arial"/>
              </w:rPr>
              <w:t>3</w:t>
            </w:r>
          </w:p>
        </w:tc>
        <w:tc>
          <w:tcPr>
            <w:tcW w:w="1486" w:type="dxa"/>
          </w:tcPr>
          <w:p w:rsidR="00D849AA" w:rsidRPr="000E4589" w:rsidRDefault="00EE6D95">
            <w:pPr>
              <w:rPr>
                <w:rFonts w:ascii="Arial" w:hAnsi="Arial" w:cs="Arial"/>
              </w:rPr>
            </w:pPr>
            <w:r w:rsidRPr="000E4589">
              <w:rPr>
                <w:rFonts w:ascii="Arial" w:hAnsi="Arial" w:cs="Arial"/>
              </w:rPr>
              <w:t>3</w:t>
            </w:r>
          </w:p>
        </w:tc>
        <w:tc>
          <w:tcPr>
            <w:tcW w:w="1486" w:type="dxa"/>
          </w:tcPr>
          <w:p w:rsidR="00D849AA" w:rsidRPr="000E4589" w:rsidRDefault="00EE6D95">
            <w:pPr>
              <w:rPr>
                <w:rFonts w:ascii="Arial" w:hAnsi="Arial" w:cs="Arial"/>
              </w:rPr>
            </w:pPr>
            <w:r w:rsidRPr="000E4589">
              <w:rPr>
                <w:rFonts w:ascii="Arial" w:hAnsi="Arial" w:cs="Arial"/>
              </w:rPr>
              <w:t>3</w:t>
            </w:r>
          </w:p>
        </w:tc>
      </w:tr>
    </w:tbl>
    <w:p w:rsidR="00D849AA" w:rsidRPr="000E4589" w:rsidRDefault="00D849AA">
      <w:pPr>
        <w:jc w:val="left"/>
        <w:rPr>
          <w:rFonts w:ascii="Arial" w:hAnsi="Arial" w:cs="Arial"/>
        </w:rPr>
      </w:pPr>
    </w:p>
    <w:p w:rsidR="005F2AE2" w:rsidRPr="005F2AE2" w:rsidRDefault="00EE6D95" w:rsidP="005F2AE2">
      <w:pPr>
        <w:pStyle w:val="Naslov7"/>
      </w:pPr>
      <w:r>
        <w:lastRenderedPageBreak/>
        <w:t>Cilj 4. Procjena sustava unutarnjih kontrola i davanje neovisnog i objektivnog mišljenja i savjeta za unapređenje poslovanja</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0E4589" w:rsidRDefault="00EE6D95">
            <w:pPr>
              <w:rPr>
                <w:rFonts w:ascii="Arial" w:hAnsi="Arial" w:cs="Arial"/>
              </w:rPr>
            </w:pPr>
            <w:r w:rsidRPr="000E4589">
              <w:rPr>
                <w:rFonts w:ascii="Arial" w:hAnsi="Arial" w:cs="Arial"/>
              </w:rPr>
              <w:t>Pokazatelj učinka</w:t>
            </w:r>
          </w:p>
        </w:tc>
        <w:tc>
          <w:tcPr>
            <w:tcW w:w="1114" w:type="dxa"/>
            <w:shd w:val="clear" w:color="auto" w:fill="B5C0D8"/>
          </w:tcPr>
          <w:p w:rsidR="00D849AA" w:rsidRPr="000E4589" w:rsidRDefault="00EE6D95">
            <w:pPr>
              <w:pStyle w:val="CellHeader"/>
            </w:pPr>
            <w:r w:rsidRPr="000E4589">
              <w:t>Jedinica</w:t>
            </w:r>
          </w:p>
        </w:tc>
        <w:tc>
          <w:tcPr>
            <w:tcW w:w="1114" w:type="dxa"/>
            <w:shd w:val="clear" w:color="auto" w:fill="B5C0D8"/>
          </w:tcPr>
          <w:p w:rsidR="00D849AA" w:rsidRPr="000E4589" w:rsidRDefault="00EE6D95">
            <w:pPr>
              <w:pStyle w:val="CellHeader"/>
            </w:pPr>
            <w:r w:rsidRPr="000E4589">
              <w:t>Polazna vrijednost</w:t>
            </w:r>
          </w:p>
        </w:tc>
        <w:tc>
          <w:tcPr>
            <w:tcW w:w="1486" w:type="dxa"/>
            <w:shd w:val="clear" w:color="auto" w:fill="B5C0D8"/>
          </w:tcPr>
          <w:p w:rsidR="00D849AA" w:rsidRPr="000E4589" w:rsidRDefault="00EE6D95">
            <w:pPr>
              <w:pStyle w:val="CellHeader"/>
            </w:pPr>
            <w:r w:rsidRPr="000E4589">
              <w:t>Ciljana vrijednost (2014.)</w:t>
            </w:r>
          </w:p>
        </w:tc>
        <w:tc>
          <w:tcPr>
            <w:tcW w:w="1486" w:type="dxa"/>
            <w:shd w:val="clear" w:color="auto" w:fill="B5C0D8"/>
          </w:tcPr>
          <w:p w:rsidR="00D849AA" w:rsidRPr="000E4589" w:rsidRDefault="00EE6D95">
            <w:pPr>
              <w:pStyle w:val="CellHeader"/>
            </w:pPr>
            <w:r w:rsidRPr="000E4589">
              <w:t>Ciljana vrijednost (2015.)</w:t>
            </w:r>
          </w:p>
        </w:tc>
        <w:tc>
          <w:tcPr>
            <w:tcW w:w="1486" w:type="dxa"/>
            <w:shd w:val="clear" w:color="auto" w:fill="B5C0D8"/>
          </w:tcPr>
          <w:p w:rsidR="00D849AA" w:rsidRPr="000E4589" w:rsidRDefault="00EE6D95">
            <w:pPr>
              <w:pStyle w:val="CellHeader"/>
            </w:pPr>
            <w:r w:rsidRPr="000E4589">
              <w:t>Ciljana vrijednost (2016.)</w:t>
            </w:r>
          </w:p>
        </w:tc>
      </w:tr>
      <w:tr w:rsidR="00D849AA">
        <w:trPr>
          <w:jc w:val="center"/>
        </w:trPr>
        <w:tc>
          <w:tcPr>
            <w:tcW w:w="2229" w:type="dxa"/>
          </w:tcPr>
          <w:p w:rsidR="00D849AA" w:rsidRPr="000E4589" w:rsidRDefault="00EE6D95">
            <w:pPr>
              <w:pStyle w:val="CellColumn"/>
            </w:pPr>
            <w:r w:rsidRPr="000E4589">
              <w:t>Obavljene revizije</w:t>
            </w:r>
          </w:p>
        </w:tc>
        <w:tc>
          <w:tcPr>
            <w:tcW w:w="1114" w:type="dxa"/>
          </w:tcPr>
          <w:p w:rsidR="00D849AA" w:rsidRPr="000E4589" w:rsidRDefault="00EE6D95">
            <w:pPr>
              <w:rPr>
                <w:rFonts w:ascii="Arial" w:hAnsi="Arial" w:cs="Arial"/>
              </w:rPr>
            </w:pPr>
            <w:r w:rsidRPr="000E4589">
              <w:rPr>
                <w:rFonts w:ascii="Arial" w:hAnsi="Arial" w:cs="Arial"/>
              </w:rPr>
              <w:t>Broj</w:t>
            </w:r>
          </w:p>
        </w:tc>
        <w:tc>
          <w:tcPr>
            <w:tcW w:w="1114" w:type="dxa"/>
          </w:tcPr>
          <w:p w:rsidR="00D849AA" w:rsidRPr="000E4589" w:rsidRDefault="00EE6D95">
            <w:pPr>
              <w:rPr>
                <w:rFonts w:ascii="Arial" w:hAnsi="Arial" w:cs="Arial"/>
              </w:rPr>
            </w:pPr>
            <w:r w:rsidRPr="000E4589">
              <w:rPr>
                <w:rFonts w:ascii="Arial" w:hAnsi="Arial" w:cs="Arial"/>
              </w:rPr>
              <w:t>13</w:t>
            </w:r>
          </w:p>
        </w:tc>
        <w:tc>
          <w:tcPr>
            <w:tcW w:w="1486" w:type="dxa"/>
          </w:tcPr>
          <w:p w:rsidR="00D849AA" w:rsidRPr="000E4589" w:rsidRDefault="00EE6D95">
            <w:pPr>
              <w:rPr>
                <w:rFonts w:ascii="Arial" w:hAnsi="Arial" w:cs="Arial"/>
              </w:rPr>
            </w:pPr>
            <w:r w:rsidRPr="000E4589">
              <w:rPr>
                <w:rFonts w:ascii="Arial" w:hAnsi="Arial" w:cs="Arial"/>
              </w:rPr>
              <w:t>13</w:t>
            </w:r>
          </w:p>
        </w:tc>
        <w:tc>
          <w:tcPr>
            <w:tcW w:w="1486" w:type="dxa"/>
          </w:tcPr>
          <w:p w:rsidR="00D849AA" w:rsidRPr="000E4589" w:rsidRDefault="00EE6D95">
            <w:pPr>
              <w:rPr>
                <w:rFonts w:ascii="Arial" w:hAnsi="Arial" w:cs="Arial"/>
              </w:rPr>
            </w:pPr>
            <w:r w:rsidRPr="000E4589">
              <w:rPr>
                <w:rFonts w:ascii="Arial" w:hAnsi="Arial" w:cs="Arial"/>
              </w:rPr>
              <w:t>12</w:t>
            </w:r>
          </w:p>
        </w:tc>
        <w:tc>
          <w:tcPr>
            <w:tcW w:w="1486" w:type="dxa"/>
          </w:tcPr>
          <w:p w:rsidR="00D849AA" w:rsidRPr="000E4589" w:rsidRDefault="00EE6D95">
            <w:pPr>
              <w:rPr>
                <w:rFonts w:ascii="Arial" w:hAnsi="Arial" w:cs="Arial"/>
              </w:rPr>
            </w:pPr>
            <w:r w:rsidRPr="000E4589">
              <w:rPr>
                <w:rFonts w:ascii="Arial" w:hAnsi="Arial" w:cs="Arial"/>
              </w:rPr>
              <w:t>10</w:t>
            </w:r>
          </w:p>
        </w:tc>
      </w:tr>
    </w:tbl>
    <w:p w:rsidR="00D849AA" w:rsidRDefault="00D849AA">
      <w:pPr>
        <w:jc w:val="left"/>
      </w:pPr>
    </w:p>
    <w:p w:rsidR="00D849AA" w:rsidRDefault="00EE6D95">
      <w:pPr>
        <w:pStyle w:val="Naslov7"/>
      </w:pPr>
      <w:r>
        <w:t>Cilj 5. Izvještavanje i informiranje o radu Ministarstva</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0E4589" w:rsidRDefault="00EE6D95">
            <w:pPr>
              <w:rPr>
                <w:rFonts w:ascii="Arial" w:hAnsi="Arial" w:cs="Arial"/>
              </w:rPr>
            </w:pPr>
            <w:r w:rsidRPr="000E4589">
              <w:rPr>
                <w:rFonts w:ascii="Arial" w:hAnsi="Arial" w:cs="Arial"/>
              </w:rPr>
              <w:t>Pokazatelj učinka</w:t>
            </w:r>
          </w:p>
        </w:tc>
        <w:tc>
          <w:tcPr>
            <w:tcW w:w="1114" w:type="dxa"/>
            <w:shd w:val="clear" w:color="auto" w:fill="B5C0D8"/>
          </w:tcPr>
          <w:p w:rsidR="00D849AA" w:rsidRPr="000E4589" w:rsidRDefault="00EE6D95">
            <w:pPr>
              <w:pStyle w:val="CellHeader"/>
            </w:pPr>
            <w:r w:rsidRPr="000E4589">
              <w:t>Jedinica</w:t>
            </w:r>
          </w:p>
        </w:tc>
        <w:tc>
          <w:tcPr>
            <w:tcW w:w="1114" w:type="dxa"/>
            <w:shd w:val="clear" w:color="auto" w:fill="B5C0D8"/>
          </w:tcPr>
          <w:p w:rsidR="00D849AA" w:rsidRPr="000E4589" w:rsidRDefault="00EE6D95">
            <w:pPr>
              <w:pStyle w:val="CellHeader"/>
            </w:pPr>
            <w:r w:rsidRPr="000E4589">
              <w:t>Polazna vrijednost</w:t>
            </w:r>
          </w:p>
        </w:tc>
        <w:tc>
          <w:tcPr>
            <w:tcW w:w="1486" w:type="dxa"/>
            <w:shd w:val="clear" w:color="auto" w:fill="B5C0D8"/>
          </w:tcPr>
          <w:p w:rsidR="00D849AA" w:rsidRPr="000E4589" w:rsidRDefault="00EE6D95">
            <w:pPr>
              <w:pStyle w:val="CellHeader"/>
            </w:pPr>
            <w:r w:rsidRPr="000E4589">
              <w:t>Ciljana vrijednost (2014.)</w:t>
            </w:r>
          </w:p>
        </w:tc>
        <w:tc>
          <w:tcPr>
            <w:tcW w:w="1486" w:type="dxa"/>
            <w:shd w:val="clear" w:color="auto" w:fill="B5C0D8"/>
          </w:tcPr>
          <w:p w:rsidR="00D849AA" w:rsidRPr="000E4589" w:rsidRDefault="00EE6D95">
            <w:pPr>
              <w:pStyle w:val="CellHeader"/>
            </w:pPr>
            <w:r w:rsidRPr="000E4589">
              <w:t>Ciljana vrijednost (2015.)</w:t>
            </w:r>
          </w:p>
        </w:tc>
        <w:tc>
          <w:tcPr>
            <w:tcW w:w="1486" w:type="dxa"/>
            <w:shd w:val="clear" w:color="auto" w:fill="B5C0D8"/>
          </w:tcPr>
          <w:p w:rsidR="00D849AA" w:rsidRPr="000E4589" w:rsidRDefault="00EE6D95">
            <w:pPr>
              <w:pStyle w:val="CellHeader"/>
            </w:pPr>
            <w:r w:rsidRPr="000E4589">
              <w:t>Ciljana vrijednost (2016.)</w:t>
            </w:r>
          </w:p>
        </w:tc>
      </w:tr>
      <w:tr w:rsidR="00D849AA">
        <w:trPr>
          <w:jc w:val="center"/>
        </w:trPr>
        <w:tc>
          <w:tcPr>
            <w:tcW w:w="2229" w:type="dxa"/>
          </w:tcPr>
          <w:p w:rsidR="00D849AA" w:rsidRPr="000E4589" w:rsidRDefault="00EE6D95">
            <w:pPr>
              <w:pStyle w:val="CellColumn"/>
            </w:pPr>
            <w:r w:rsidRPr="000E4589">
              <w:t>Objavljene informacije o radu Ministarstva na web stranici</w:t>
            </w:r>
          </w:p>
        </w:tc>
        <w:tc>
          <w:tcPr>
            <w:tcW w:w="1114" w:type="dxa"/>
          </w:tcPr>
          <w:p w:rsidR="00D849AA" w:rsidRPr="000E4589" w:rsidRDefault="00EE6D95">
            <w:pPr>
              <w:rPr>
                <w:rFonts w:ascii="Arial" w:hAnsi="Arial" w:cs="Arial"/>
              </w:rPr>
            </w:pPr>
            <w:r w:rsidRPr="000E4589">
              <w:rPr>
                <w:rFonts w:ascii="Arial" w:hAnsi="Arial" w:cs="Arial"/>
              </w:rPr>
              <w:t>Broj</w:t>
            </w:r>
          </w:p>
        </w:tc>
        <w:tc>
          <w:tcPr>
            <w:tcW w:w="1114" w:type="dxa"/>
          </w:tcPr>
          <w:p w:rsidR="00D849AA" w:rsidRPr="000E4589" w:rsidRDefault="00EE6D95">
            <w:pPr>
              <w:rPr>
                <w:rFonts w:ascii="Arial" w:hAnsi="Arial" w:cs="Arial"/>
              </w:rPr>
            </w:pPr>
            <w:r w:rsidRPr="000E4589">
              <w:rPr>
                <w:rFonts w:ascii="Arial" w:hAnsi="Arial" w:cs="Arial"/>
              </w:rPr>
              <w:t>96</w:t>
            </w:r>
          </w:p>
        </w:tc>
        <w:tc>
          <w:tcPr>
            <w:tcW w:w="1486" w:type="dxa"/>
          </w:tcPr>
          <w:p w:rsidR="00D849AA" w:rsidRPr="000E4589" w:rsidRDefault="00EE6D95">
            <w:pPr>
              <w:rPr>
                <w:rFonts w:ascii="Arial" w:hAnsi="Arial" w:cs="Arial"/>
              </w:rPr>
            </w:pPr>
            <w:r w:rsidRPr="000E4589">
              <w:rPr>
                <w:rFonts w:ascii="Arial" w:hAnsi="Arial" w:cs="Arial"/>
              </w:rPr>
              <w:t>100</w:t>
            </w:r>
          </w:p>
        </w:tc>
        <w:tc>
          <w:tcPr>
            <w:tcW w:w="1486" w:type="dxa"/>
          </w:tcPr>
          <w:p w:rsidR="00D849AA" w:rsidRPr="000E4589" w:rsidRDefault="00EE6D95">
            <w:pPr>
              <w:rPr>
                <w:rFonts w:ascii="Arial" w:hAnsi="Arial" w:cs="Arial"/>
              </w:rPr>
            </w:pPr>
            <w:r w:rsidRPr="000E4589">
              <w:rPr>
                <w:rFonts w:ascii="Arial" w:hAnsi="Arial" w:cs="Arial"/>
              </w:rPr>
              <w:t>110</w:t>
            </w:r>
          </w:p>
        </w:tc>
        <w:tc>
          <w:tcPr>
            <w:tcW w:w="1486" w:type="dxa"/>
          </w:tcPr>
          <w:p w:rsidR="00D849AA" w:rsidRPr="000E4589" w:rsidRDefault="00EE6D95">
            <w:pPr>
              <w:rPr>
                <w:rFonts w:ascii="Arial" w:hAnsi="Arial" w:cs="Arial"/>
              </w:rPr>
            </w:pPr>
            <w:r w:rsidRPr="000E4589">
              <w:rPr>
                <w:rFonts w:ascii="Arial" w:hAnsi="Arial" w:cs="Arial"/>
              </w:rPr>
              <w:t>130</w:t>
            </w:r>
          </w:p>
        </w:tc>
      </w:tr>
    </w:tbl>
    <w:p w:rsidR="00D849AA" w:rsidRDefault="00D849AA">
      <w:pPr>
        <w:jc w:val="left"/>
      </w:pPr>
    </w:p>
    <w:p w:rsidR="00D849AA" w:rsidRDefault="00EE6D95">
      <w:pPr>
        <w:pStyle w:val="Naslov5"/>
      </w:pPr>
      <w:r>
        <w:t>Procjena i ishodište potrebnih sredstava za značajnije aktivnosti/projekte</w:t>
      </w:r>
    </w:p>
    <w:p w:rsidR="00D849AA" w:rsidRDefault="00EE6D95">
      <w:pPr>
        <w:pStyle w:val="Naslov6"/>
      </w:pPr>
      <w:r>
        <w:t>A560000 ADMINISTRACIJA I UPRAVLJANJE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rsidRPr="000E4589">
        <w:trPr>
          <w:jc w:val="center"/>
        </w:trPr>
        <w:tc>
          <w:tcPr>
            <w:tcW w:w="1486" w:type="dxa"/>
            <w:shd w:val="clear" w:color="auto" w:fill="B5C0D8"/>
          </w:tcPr>
          <w:p w:rsidR="00D849AA" w:rsidRPr="000E4589" w:rsidRDefault="00EE6D95">
            <w:pPr>
              <w:pStyle w:val="CellHeader"/>
            </w:pPr>
            <w:r w:rsidRPr="000E4589">
              <w:t>Naziv aktivnosti</w:t>
            </w:r>
          </w:p>
        </w:tc>
        <w:tc>
          <w:tcPr>
            <w:tcW w:w="1486" w:type="dxa"/>
            <w:shd w:val="clear" w:color="auto" w:fill="B5C0D8"/>
          </w:tcPr>
          <w:p w:rsidR="00D849AA" w:rsidRPr="000E4589" w:rsidRDefault="00EE6D95">
            <w:pPr>
              <w:pStyle w:val="CellHeader"/>
            </w:pPr>
            <w:r w:rsidRPr="000E4589">
              <w:t>Plan 2013.</w:t>
            </w:r>
          </w:p>
        </w:tc>
        <w:tc>
          <w:tcPr>
            <w:tcW w:w="1486" w:type="dxa"/>
            <w:shd w:val="clear" w:color="auto" w:fill="B5C0D8"/>
          </w:tcPr>
          <w:p w:rsidR="00D849AA" w:rsidRPr="000E4589" w:rsidRDefault="00EE6D95">
            <w:pPr>
              <w:pStyle w:val="CellHeader"/>
            </w:pPr>
            <w:r w:rsidRPr="000E4589">
              <w:t>Plan 2014.</w:t>
            </w:r>
          </w:p>
        </w:tc>
        <w:tc>
          <w:tcPr>
            <w:tcW w:w="1486" w:type="dxa"/>
            <w:shd w:val="clear" w:color="auto" w:fill="B5C0D8"/>
          </w:tcPr>
          <w:p w:rsidR="00D849AA" w:rsidRPr="000E4589" w:rsidRDefault="00EE6D95">
            <w:pPr>
              <w:pStyle w:val="CellHeader"/>
            </w:pPr>
            <w:r w:rsidRPr="000E4589">
              <w:t>Plan 2015.</w:t>
            </w:r>
          </w:p>
        </w:tc>
        <w:tc>
          <w:tcPr>
            <w:tcW w:w="1486" w:type="dxa"/>
            <w:shd w:val="clear" w:color="auto" w:fill="B5C0D8"/>
          </w:tcPr>
          <w:p w:rsidR="00D849AA" w:rsidRPr="000E4589" w:rsidRDefault="00EE6D95">
            <w:pPr>
              <w:pStyle w:val="CellHeader"/>
            </w:pPr>
            <w:r w:rsidRPr="000E4589">
              <w:t>Plan 2016.</w:t>
            </w:r>
          </w:p>
        </w:tc>
        <w:tc>
          <w:tcPr>
            <w:tcW w:w="1486" w:type="dxa"/>
            <w:shd w:val="clear" w:color="auto" w:fill="B5C0D8"/>
          </w:tcPr>
          <w:p w:rsidR="00D849AA" w:rsidRPr="000E4589" w:rsidRDefault="00EE6D95">
            <w:pPr>
              <w:pStyle w:val="CellHeader"/>
            </w:pPr>
            <w:r w:rsidRPr="000E4589">
              <w:t>Indeks 2014/2013</w:t>
            </w:r>
          </w:p>
        </w:tc>
      </w:tr>
      <w:tr w:rsidR="00D849AA" w:rsidRPr="000E4589">
        <w:trPr>
          <w:jc w:val="center"/>
        </w:trPr>
        <w:tc>
          <w:tcPr>
            <w:tcW w:w="1486" w:type="dxa"/>
          </w:tcPr>
          <w:p w:rsidR="00D849AA" w:rsidRPr="000E4589" w:rsidRDefault="00EE6D95">
            <w:pPr>
              <w:pStyle w:val="CellColumn"/>
            </w:pPr>
            <w:r w:rsidRPr="000E4589">
              <w:t>A560000</w:t>
            </w:r>
          </w:p>
        </w:tc>
        <w:tc>
          <w:tcPr>
            <w:tcW w:w="1486" w:type="dxa"/>
          </w:tcPr>
          <w:p w:rsidR="00D849AA" w:rsidRPr="000E4589" w:rsidRDefault="00EE6D95">
            <w:pPr>
              <w:rPr>
                <w:rFonts w:ascii="Arial" w:hAnsi="Arial" w:cs="Arial"/>
              </w:rPr>
            </w:pPr>
            <w:r w:rsidRPr="000E4589">
              <w:rPr>
                <w:rFonts w:ascii="Arial" w:hAnsi="Arial" w:cs="Arial"/>
              </w:rPr>
              <w:t>22.671.494</w:t>
            </w:r>
          </w:p>
        </w:tc>
        <w:tc>
          <w:tcPr>
            <w:tcW w:w="1486" w:type="dxa"/>
          </w:tcPr>
          <w:p w:rsidR="00D849AA" w:rsidRPr="000E4589" w:rsidRDefault="00EE6D95">
            <w:pPr>
              <w:rPr>
                <w:rFonts w:ascii="Arial" w:hAnsi="Arial" w:cs="Arial"/>
              </w:rPr>
            </w:pPr>
            <w:r w:rsidRPr="000E4589">
              <w:rPr>
                <w:rFonts w:ascii="Arial" w:hAnsi="Arial" w:cs="Arial"/>
              </w:rPr>
              <w:t>36.765.621</w:t>
            </w:r>
          </w:p>
        </w:tc>
        <w:tc>
          <w:tcPr>
            <w:tcW w:w="1486" w:type="dxa"/>
          </w:tcPr>
          <w:p w:rsidR="00D849AA" w:rsidRPr="000E4589" w:rsidRDefault="00EE6D95">
            <w:pPr>
              <w:rPr>
                <w:rFonts w:ascii="Arial" w:hAnsi="Arial" w:cs="Arial"/>
              </w:rPr>
            </w:pPr>
            <w:r w:rsidRPr="000E4589">
              <w:rPr>
                <w:rFonts w:ascii="Arial" w:hAnsi="Arial" w:cs="Arial"/>
              </w:rPr>
              <w:t>38.435.723</w:t>
            </w:r>
          </w:p>
        </w:tc>
        <w:tc>
          <w:tcPr>
            <w:tcW w:w="1486" w:type="dxa"/>
          </w:tcPr>
          <w:p w:rsidR="00D849AA" w:rsidRPr="000E4589" w:rsidRDefault="00EE6D95">
            <w:pPr>
              <w:rPr>
                <w:rFonts w:ascii="Arial" w:hAnsi="Arial" w:cs="Arial"/>
              </w:rPr>
            </w:pPr>
            <w:r w:rsidRPr="000E4589">
              <w:rPr>
                <w:rFonts w:ascii="Arial" w:hAnsi="Arial" w:cs="Arial"/>
              </w:rPr>
              <w:t>38.712.786</w:t>
            </w:r>
          </w:p>
        </w:tc>
        <w:tc>
          <w:tcPr>
            <w:tcW w:w="1486" w:type="dxa"/>
          </w:tcPr>
          <w:p w:rsidR="00D849AA" w:rsidRPr="000E4589" w:rsidRDefault="00EE6D95">
            <w:pPr>
              <w:rPr>
                <w:rFonts w:ascii="Arial" w:hAnsi="Arial" w:cs="Arial"/>
              </w:rPr>
            </w:pPr>
            <w:r w:rsidRPr="000E4589">
              <w:rPr>
                <w:rFonts w:ascii="Arial" w:hAnsi="Arial" w:cs="Arial"/>
              </w:rPr>
              <w:t>162,2</w:t>
            </w:r>
          </w:p>
        </w:tc>
      </w:tr>
    </w:tbl>
    <w:p w:rsidR="00D849AA" w:rsidRPr="000E4589" w:rsidRDefault="00D849AA">
      <w:pPr>
        <w:jc w:val="left"/>
        <w:rPr>
          <w:rFonts w:ascii="Arial" w:hAnsi="Arial" w:cs="Arial"/>
        </w:rPr>
      </w:pPr>
    </w:p>
    <w:p w:rsidR="00D849AA" w:rsidRDefault="00EE6D95">
      <w:pPr>
        <w:pStyle w:val="Normal6"/>
      </w:pPr>
      <w:r>
        <w:t>Sredstva ove aktivnosti namijenjena su za obavljanje svih stručnih i administrativnih poslova radi nesmetanog, racionalnog i uspješnog obavljanja djelatnosti Kabineta ministra, Glavnog tajništva i samostalnih odjela Ministarstva, kao i preuzetih državnih službenika Državnog inspektorata temeljem reformskih mjera fiskalne konsolidacije - transformacija Državnog inspektorata. Sredstva se koriste za poduzimanje mjera za osiguranje učinkovitosti u radu cijelog ministarstva te usklađenje rada unutarnjih ustrojstvenih jedinica ministarstva i upravnih organizacija u sastavu ministarstva, vođenje brige o stručnom osposobljavanju, usavršavanju i napredovanju državnih službenika i namještenika u tijeku službe i o urednom i pravilnom korištenju imovine i sredstava za rad, nadzoru nad radom državnih službenika i namještenika. Za redovito poslovanje i obavljanje navedenih poslova kroz ovu aktivnost financirat će se naknade troškova zaposlenima, rashodi za materijal i energiju, rashodi za usluge i financijski rashodi.</w:t>
      </w:r>
    </w:p>
    <w:p w:rsidR="006B1EA0" w:rsidRDefault="006B1EA0">
      <w:pPr>
        <w:pStyle w:val="Normal6"/>
      </w:pPr>
    </w:p>
    <w:p w:rsidR="000E4589" w:rsidRDefault="000E4589">
      <w:pPr>
        <w:pStyle w:val="Naslov5"/>
      </w:pPr>
    </w:p>
    <w:p w:rsidR="000E4589" w:rsidRDefault="000E4589" w:rsidP="000E4589">
      <w:pPr>
        <w:jc w:val="left"/>
      </w:pPr>
    </w:p>
    <w:p w:rsidR="000E4589" w:rsidRDefault="000E4589" w:rsidP="000E4589">
      <w:pPr>
        <w:pStyle w:val="Naslov4"/>
      </w:pPr>
      <w:r>
        <w:lastRenderedPageBreak/>
        <w:t>OBRAZLOŽENJE PROGRAMA</w:t>
      </w:r>
    </w:p>
    <w:p w:rsidR="00D849AA" w:rsidRDefault="00EE6D95">
      <w:pPr>
        <w:pStyle w:val="Naslov5"/>
      </w:pPr>
      <w:r>
        <w:t>3203 RAZVOJ, UNAPRJEĐENJE KONKURENTNOSTI I RESTRUKTURIRANJE INDUSTRIJE</w:t>
      </w:r>
    </w:p>
    <w:tbl>
      <w:tblPr>
        <w:tblStyle w:val="Reetkatablice"/>
        <w:tblW w:w="0" w:type="auto"/>
        <w:jc w:val="center"/>
        <w:tblLook w:val="04A0" w:firstRow="1" w:lastRow="0" w:firstColumn="1" w:lastColumn="0" w:noHBand="0" w:noVBand="1"/>
      </w:tblPr>
      <w:tblGrid>
        <w:gridCol w:w="1486"/>
        <w:gridCol w:w="1496"/>
        <w:gridCol w:w="1486"/>
        <w:gridCol w:w="1486"/>
        <w:gridCol w:w="1486"/>
        <w:gridCol w:w="1486"/>
      </w:tblGrid>
      <w:tr w:rsidR="00D849AA" w:rsidRPr="000E4589">
        <w:trPr>
          <w:jc w:val="center"/>
        </w:trPr>
        <w:tc>
          <w:tcPr>
            <w:tcW w:w="1486" w:type="dxa"/>
            <w:shd w:val="clear" w:color="auto" w:fill="B5C0D8"/>
          </w:tcPr>
          <w:p w:rsidR="00D849AA" w:rsidRPr="000E4589" w:rsidRDefault="00D849AA">
            <w:pPr>
              <w:pStyle w:val="CellHeader"/>
            </w:pPr>
          </w:p>
        </w:tc>
        <w:tc>
          <w:tcPr>
            <w:tcW w:w="1486" w:type="dxa"/>
            <w:shd w:val="clear" w:color="auto" w:fill="B5C0D8"/>
          </w:tcPr>
          <w:p w:rsidR="00D849AA" w:rsidRPr="000E4589" w:rsidRDefault="00EE6D95">
            <w:pPr>
              <w:pStyle w:val="CellHeader"/>
            </w:pPr>
            <w:r w:rsidRPr="000E4589">
              <w:t>Plan 2013.</w:t>
            </w:r>
          </w:p>
        </w:tc>
        <w:tc>
          <w:tcPr>
            <w:tcW w:w="1486" w:type="dxa"/>
            <w:shd w:val="clear" w:color="auto" w:fill="B5C0D8"/>
          </w:tcPr>
          <w:p w:rsidR="00D849AA" w:rsidRPr="000E4589" w:rsidRDefault="00EE6D95">
            <w:pPr>
              <w:pStyle w:val="CellHeader"/>
            </w:pPr>
            <w:r w:rsidRPr="000E4589">
              <w:t>Plan 2014.</w:t>
            </w:r>
          </w:p>
        </w:tc>
        <w:tc>
          <w:tcPr>
            <w:tcW w:w="1486" w:type="dxa"/>
            <w:shd w:val="clear" w:color="auto" w:fill="B5C0D8"/>
          </w:tcPr>
          <w:p w:rsidR="00D849AA" w:rsidRPr="000E4589" w:rsidRDefault="00EE6D95">
            <w:pPr>
              <w:pStyle w:val="CellHeader"/>
            </w:pPr>
            <w:r w:rsidRPr="000E4589">
              <w:t>Plan 2015.</w:t>
            </w:r>
          </w:p>
        </w:tc>
        <w:tc>
          <w:tcPr>
            <w:tcW w:w="1486" w:type="dxa"/>
            <w:shd w:val="clear" w:color="auto" w:fill="B5C0D8"/>
          </w:tcPr>
          <w:p w:rsidR="00D849AA" w:rsidRPr="000E4589" w:rsidRDefault="00EE6D95">
            <w:pPr>
              <w:pStyle w:val="CellHeader"/>
            </w:pPr>
            <w:r w:rsidRPr="000E4589">
              <w:t>Plan 2016.</w:t>
            </w:r>
          </w:p>
        </w:tc>
        <w:tc>
          <w:tcPr>
            <w:tcW w:w="1486" w:type="dxa"/>
            <w:shd w:val="clear" w:color="auto" w:fill="B5C0D8"/>
          </w:tcPr>
          <w:p w:rsidR="00D849AA" w:rsidRPr="000E4589" w:rsidRDefault="00EE6D95">
            <w:pPr>
              <w:pStyle w:val="CellHeader"/>
            </w:pPr>
            <w:r w:rsidRPr="000E4589">
              <w:t>Indeks 2014/2013</w:t>
            </w:r>
          </w:p>
        </w:tc>
      </w:tr>
      <w:tr w:rsidR="00D849AA" w:rsidRPr="000E4589">
        <w:trPr>
          <w:jc w:val="center"/>
        </w:trPr>
        <w:tc>
          <w:tcPr>
            <w:tcW w:w="1486" w:type="dxa"/>
          </w:tcPr>
          <w:p w:rsidR="00D849AA" w:rsidRPr="000E4589" w:rsidRDefault="00EE6D95">
            <w:pPr>
              <w:pStyle w:val="CellColumn"/>
            </w:pPr>
            <w:r w:rsidRPr="000E4589">
              <w:t>3203</w:t>
            </w:r>
          </w:p>
        </w:tc>
        <w:tc>
          <w:tcPr>
            <w:tcW w:w="1486" w:type="dxa"/>
          </w:tcPr>
          <w:p w:rsidR="00D849AA" w:rsidRPr="000E4589" w:rsidRDefault="00EE6D95">
            <w:pPr>
              <w:rPr>
                <w:rFonts w:ascii="Arial" w:hAnsi="Arial" w:cs="Arial"/>
              </w:rPr>
            </w:pPr>
            <w:r w:rsidRPr="000E4589">
              <w:rPr>
                <w:rFonts w:ascii="Arial" w:hAnsi="Arial" w:cs="Arial"/>
              </w:rPr>
              <w:t>1.030.030.000</w:t>
            </w:r>
          </w:p>
        </w:tc>
        <w:tc>
          <w:tcPr>
            <w:tcW w:w="1486" w:type="dxa"/>
          </w:tcPr>
          <w:p w:rsidR="00D849AA" w:rsidRPr="000E4589" w:rsidRDefault="00EE6D95">
            <w:pPr>
              <w:rPr>
                <w:rFonts w:ascii="Arial" w:hAnsi="Arial" w:cs="Arial"/>
              </w:rPr>
            </w:pPr>
            <w:r w:rsidRPr="000E4589">
              <w:rPr>
                <w:rFonts w:ascii="Arial" w:hAnsi="Arial" w:cs="Arial"/>
              </w:rPr>
              <w:t>890.376.919</w:t>
            </w:r>
          </w:p>
        </w:tc>
        <w:tc>
          <w:tcPr>
            <w:tcW w:w="1486" w:type="dxa"/>
          </w:tcPr>
          <w:p w:rsidR="00D849AA" w:rsidRPr="000E4589" w:rsidRDefault="00EE6D95">
            <w:pPr>
              <w:rPr>
                <w:rFonts w:ascii="Arial" w:hAnsi="Arial" w:cs="Arial"/>
              </w:rPr>
            </w:pPr>
            <w:r w:rsidRPr="000E4589">
              <w:rPr>
                <w:rFonts w:ascii="Arial" w:hAnsi="Arial" w:cs="Arial"/>
              </w:rPr>
              <w:t>633.477.779</w:t>
            </w:r>
          </w:p>
        </w:tc>
        <w:tc>
          <w:tcPr>
            <w:tcW w:w="1486" w:type="dxa"/>
          </w:tcPr>
          <w:p w:rsidR="00D849AA" w:rsidRPr="000E4589" w:rsidRDefault="00EE6D95">
            <w:pPr>
              <w:rPr>
                <w:rFonts w:ascii="Arial" w:hAnsi="Arial" w:cs="Arial"/>
              </w:rPr>
            </w:pPr>
            <w:r w:rsidRPr="000E4589">
              <w:rPr>
                <w:rFonts w:ascii="Arial" w:hAnsi="Arial" w:cs="Arial"/>
              </w:rPr>
              <w:t>538.456.000</w:t>
            </w:r>
          </w:p>
        </w:tc>
        <w:tc>
          <w:tcPr>
            <w:tcW w:w="1486" w:type="dxa"/>
          </w:tcPr>
          <w:p w:rsidR="00D849AA" w:rsidRPr="000E4589" w:rsidRDefault="00EE6D95">
            <w:pPr>
              <w:rPr>
                <w:rFonts w:ascii="Arial" w:hAnsi="Arial" w:cs="Arial"/>
              </w:rPr>
            </w:pPr>
            <w:r w:rsidRPr="000E4589">
              <w:rPr>
                <w:rFonts w:ascii="Arial" w:hAnsi="Arial" w:cs="Arial"/>
              </w:rPr>
              <w:t>86,4</w:t>
            </w:r>
          </w:p>
        </w:tc>
      </w:tr>
    </w:tbl>
    <w:p w:rsidR="00D849AA" w:rsidRPr="000E4589" w:rsidRDefault="00D849AA">
      <w:pPr>
        <w:jc w:val="left"/>
        <w:rPr>
          <w:rFonts w:ascii="Arial" w:hAnsi="Arial" w:cs="Arial"/>
        </w:rPr>
      </w:pPr>
    </w:p>
    <w:p w:rsidR="00D849AA" w:rsidRDefault="00EE6D95">
      <w:pPr>
        <w:pStyle w:val="Naslov6"/>
      </w:pPr>
      <w:r>
        <w:t>Opis programa</w:t>
      </w:r>
    </w:p>
    <w:p w:rsidR="00D849AA" w:rsidRDefault="00EE6D95">
      <w:pPr>
        <w:pStyle w:val="Normal5"/>
      </w:pPr>
      <w:r>
        <w:t xml:space="preserve">Ovim programom se provodi Operativni program regionalnih potpora za ulaganje u opremu u cilju povećanja konkurentnosti prerađivačke industrije (prehrambeno-prerađivačka industrija, industrija tekstila, odjeće, kože i srodnih proizvoda, drvoprerađivačka industrija i proizvodnja namještaja, kemijska industrija, farmaceutska industrija, industrija prerade gume i plastike te industrija nemetalnih mineralnih sirovina, mala brodogradnja, proizvodnja metala i gotovi metalni proizvodi, proizvodnja autodijelova, itd.) gdje se koncept dugoročnog razvitka djelatnosti proizvodnje zasniva na identificiranim tržišnim prilikama, mogućnostima i sposobnostima poduzetnika da ih iskoriste, posebno zbog globalne krize koja se odrazila i na industriju Republike Hrvatske, te je stoga jedan od glavnih ciljeva očuvanje postojećih radnih mjesta, kao i održavanje tekuće likvidnosti tvrtki u pojedinim sektorima kako bi mogli nastaviti sa poslovanjem.  </w:t>
      </w:r>
    </w:p>
    <w:p w:rsidR="00D849AA" w:rsidRDefault="00EE6D95">
      <w:pPr>
        <w:pStyle w:val="Normal5"/>
      </w:pPr>
      <w:r>
        <w:t xml:space="preserve">Ministarstvo gospodarstva kroz program poticanja industrijskog razvitka i restrukturiranja nastoji unaprijediti konkurentnost hrvatskog gospodarstva, kao i svekoliki razvoj instrumenata i mjera gospodarske politike, i to kroz realizaciju nove industrijske politike. Kako bi se u kratkom roku gospodarska politika usmjerila prema stvaranju povoljnijih uvjeta za rast investicija i povećanje konkurentnosti hrvatskoga gospodarstva, nova industrijska politika nužan je preduvjet kako bi u potpunosti mogao doći do izražaja tržišni potencijal za rast industrijske proizvodnje (kako u smislu domaće potražnje i tako i u smislu inozemne potražnje). </w:t>
      </w:r>
    </w:p>
    <w:p w:rsidR="00D849AA" w:rsidRDefault="00EE6D95">
      <w:pPr>
        <w:pStyle w:val="Normal5"/>
      </w:pPr>
      <w:r>
        <w:t xml:space="preserve">U tom smislu potpora hrvatskoj industriji temeljiti će se na onim industrijama koje bi se mogle pozicionirati na regionalnom tržištu te biti jedan od glavnih nositelja gospodarskog rasta i novog zapošljavanja u neposrednoj budućnosti. Kako bi se takav novi pristup razvoju gospodarstva mogao ostvariti, kroz novu industrijsku politiku, nužna je izrada sektorskih strategija, kao i oblikovanje snažnijeg sustava horizontalnih mjera industrijske politike (potpore za istraživanje i razvoj, za implementaciju novih tehnologija, za zapošljavanje, za zaštitu okoliša, za stručno usavršavanje i sl.). </w:t>
      </w:r>
    </w:p>
    <w:p w:rsidR="00D849AA" w:rsidRDefault="00EE6D95">
      <w:pPr>
        <w:pStyle w:val="Normal5"/>
      </w:pPr>
      <w:r>
        <w:t xml:space="preserve">Usvajanjem operativnog programa potpora inovacijama u brodogradnji stvoreni su preduvjeti za uspostavu novih, europskih uvjeta za stjecanje državnih potpora brodogradilištima koji je usklađen s intenzitetom potpora kakav se susreće u zemljama EU. </w:t>
      </w:r>
    </w:p>
    <w:p w:rsidR="00D849AA" w:rsidRDefault="00EE6D95">
      <w:pPr>
        <w:pStyle w:val="Normal5"/>
      </w:pPr>
      <w:r>
        <w:t>Mala brodogradnja koja uključuje poduzetnike koji se bave proizvodnjom i remontom malih plovila i prateće opreme predstavlja jednu od u budućnosti najpropulzivnijih gospodarskih grana.</w:t>
      </w:r>
    </w:p>
    <w:p w:rsidR="00D849AA" w:rsidRDefault="00EE6D95">
      <w:pPr>
        <w:pStyle w:val="Naslov6"/>
      </w:pPr>
      <w:r>
        <w:t>Zakonske i druge pravne osnove</w:t>
      </w:r>
    </w:p>
    <w:p w:rsidR="00D849AA" w:rsidRDefault="00EE6D95">
      <w:pPr>
        <w:pStyle w:val="Normal5"/>
      </w:pPr>
      <w:r>
        <w:t xml:space="preserve">Zakon o državnim potporama (NN72/13),  </w:t>
      </w:r>
    </w:p>
    <w:p w:rsidR="00D849AA" w:rsidRDefault="00EE6D95">
      <w:pPr>
        <w:pStyle w:val="Normal5"/>
      </w:pPr>
      <w:r>
        <w:t xml:space="preserve">Operativni program potpora inovacijama u brodogradnji </w:t>
      </w:r>
    </w:p>
    <w:p w:rsidR="00D849AA" w:rsidRDefault="00EE6D95">
      <w:pPr>
        <w:pStyle w:val="Normal5"/>
      </w:pPr>
      <w:r>
        <w:lastRenderedPageBreak/>
        <w:t xml:space="preserve">Izrada nove industrijske politike i strategije razvoja industrije RH za razdoblje 2013.-2020. </w:t>
      </w:r>
    </w:p>
    <w:p w:rsidR="00D849AA" w:rsidRDefault="00EE6D95">
      <w:pPr>
        <w:pStyle w:val="Normal5"/>
      </w:pPr>
      <w:r>
        <w:t xml:space="preserve">Revizija strateških odrednica razvoja industrije tekstila i odjeće u Hrvatskoj za razdoblje od 2006. do 2015.  </w:t>
      </w:r>
    </w:p>
    <w:p w:rsidR="00D849AA" w:rsidRDefault="00EE6D95">
      <w:pPr>
        <w:pStyle w:val="Normal5"/>
      </w:pPr>
      <w:r>
        <w:t xml:space="preserve">Revizija strateških odrednica razvitka kemijske industrije u RH za razdoblje od 2008. do 2015. </w:t>
      </w:r>
    </w:p>
    <w:p w:rsidR="00D849AA" w:rsidRDefault="00EE6D95">
      <w:pPr>
        <w:pStyle w:val="Normal5"/>
      </w:pPr>
      <w:r>
        <w:t xml:space="preserve">Revizija strateških odrednica razvitka industrije kože i obuće za razdoblje od 2008. do 2015. </w:t>
      </w:r>
    </w:p>
    <w:p w:rsidR="00D849AA" w:rsidRDefault="00EE6D95">
      <w:pPr>
        <w:pStyle w:val="Normal5"/>
      </w:pPr>
      <w:r>
        <w:t xml:space="preserve">Izrada nacrta Nacionalne strategije razvoja inovacija Republike Hrvatske 2013-2020. sa akcijskim planom temeljem Zakona o ustrojstvu i djelokrugu ministarstava i drugih središnjih tijela državne uprave (čl. 11 st. 1) </w:t>
      </w:r>
    </w:p>
    <w:p w:rsidR="00D849AA" w:rsidRDefault="00EE6D95">
      <w:pPr>
        <w:pStyle w:val="Normal5"/>
      </w:pPr>
      <w:r>
        <w:t xml:space="preserve">Odluka Vlade Republike Hrvatske, Strategija Vladinih programa </w:t>
      </w:r>
    </w:p>
    <w:p w:rsidR="00D849AA" w:rsidRDefault="00EE6D95">
      <w:pPr>
        <w:pStyle w:val="Normal5"/>
      </w:pPr>
      <w:r>
        <w:t xml:space="preserve">za razdoblje 2012. – 2014. </w:t>
      </w:r>
    </w:p>
    <w:p w:rsidR="00D849AA" w:rsidRDefault="00EE6D95">
      <w:pPr>
        <w:pStyle w:val="Normal5"/>
      </w:pPr>
      <w:r>
        <w:t xml:space="preserve">Strateški plan Ministarstva gospodarstva za  razdoblje od 2013. – 2015. godine </w:t>
      </w:r>
    </w:p>
    <w:p w:rsidR="00D849AA" w:rsidRDefault="00EE6D95">
      <w:pPr>
        <w:pStyle w:val="Normal5"/>
      </w:pPr>
      <w:r>
        <w:t xml:space="preserve">Zakon o potvrđivanju Konvencije o zabrani razvijanja, proizvodnje, gomilanja i korištenja kemijskog oružja i o njegovom uništenju (NN – Međunarodni ugovori, br. 4/95) </w:t>
      </w:r>
    </w:p>
    <w:p w:rsidR="00D849AA" w:rsidRDefault="00EE6D95">
      <w:pPr>
        <w:pStyle w:val="Normal5"/>
      </w:pPr>
      <w:r>
        <w:t xml:space="preserve">Zakon o  gospodarenju kemikalijama sadržanim u Konvenciji o zabrani razvijanja, proizvodnje, gomilanja i korištenja kemijskog oružja i o njegovu uništenju (Narodne novine, broj 127/13) </w:t>
      </w:r>
    </w:p>
    <w:p w:rsidR="00D849AA" w:rsidRDefault="00EE6D95">
      <w:pPr>
        <w:pStyle w:val="Normal5"/>
      </w:pPr>
      <w:r>
        <w:t xml:space="preserve">Strategija održivog razvitka Republike Hrvatske (NN 30/09) </w:t>
      </w:r>
    </w:p>
    <w:p w:rsidR="00D849AA" w:rsidRDefault="00EE6D95">
      <w:pPr>
        <w:pStyle w:val="Normal5"/>
      </w:pPr>
      <w:r>
        <w:t>Strategija industrijske politike</w:t>
      </w:r>
    </w:p>
    <w:p w:rsidR="006B1EA0" w:rsidRDefault="006B1EA0">
      <w:pPr>
        <w:pStyle w:val="Normal5"/>
      </w:pP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Cilj 1. Povećanje proizvodnosti prerađivačke industrije</w:t>
      </w:r>
    </w:p>
    <w:p w:rsidR="00D849AA" w:rsidRDefault="00EE6D95">
      <w:pPr>
        <w:pStyle w:val="Normal6"/>
      </w:pPr>
      <w:r>
        <w:t>Sukladno reviziji strategije  industrijske politike Republike Hrvatske,  jedan od ključnih načina za ostvarivanje spomenutog cilja su poticanje inovacija, koje najizravnije omogućuju restrukturiranje i rast proizvodnosti. Aktivnosti će biti usmjerene na angažiraniji pristup prema stvaranju povoljnijih uvjeta za brži industrijski razvitak, na način da će se u znatno većoj mjeri državnim sredstvima poticati ulaganja u  istraživanje i razvoj, primjenu novih tehnologija i inovacije u proizvodne procese i postupke, projekte koji jamče veću brigu o zaštiti okoliša, uštedi energije.</w:t>
      </w:r>
    </w:p>
    <w:p w:rsidR="006B1EA0" w:rsidRDefault="006B1EA0">
      <w:pPr>
        <w:pStyle w:val="Normal6"/>
      </w:pP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0E4589" w:rsidRDefault="00EE6D95">
            <w:pPr>
              <w:rPr>
                <w:rFonts w:ascii="Arial" w:hAnsi="Arial" w:cs="Arial"/>
              </w:rPr>
            </w:pPr>
            <w:r w:rsidRPr="000E4589">
              <w:rPr>
                <w:rFonts w:ascii="Arial" w:hAnsi="Arial" w:cs="Arial"/>
              </w:rPr>
              <w:t>Pokazatelj učinka</w:t>
            </w:r>
          </w:p>
        </w:tc>
        <w:tc>
          <w:tcPr>
            <w:tcW w:w="1114" w:type="dxa"/>
            <w:shd w:val="clear" w:color="auto" w:fill="B5C0D8"/>
          </w:tcPr>
          <w:p w:rsidR="00D849AA" w:rsidRPr="000E4589" w:rsidRDefault="00EE6D95">
            <w:pPr>
              <w:pStyle w:val="CellHeader"/>
            </w:pPr>
            <w:r w:rsidRPr="000E4589">
              <w:t>Jedinica</w:t>
            </w:r>
          </w:p>
        </w:tc>
        <w:tc>
          <w:tcPr>
            <w:tcW w:w="1114" w:type="dxa"/>
            <w:shd w:val="clear" w:color="auto" w:fill="B5C0D8"/>
          </w:tcPr>
          <w:p w:rsidR="00D849AA" w:rsidRPr="000E4589" w:rsidRDefault="00EE6D95">
            <w:pPr>
              <w:pStyle w:val="CellHeader"/>
            </w:pPr>
            <w:r w:rsidRPr="000E4589">
              <w:t>Polazna vrijednost</w:t>
            </w:r>
          </w:p>
        </w:tc>
        <w:tc>
          <w:tcPr>
            <w:tcW w:w="1486" w:type="dxa"/>
            <w:shd w:val="clear" w:color="auto" w:fill="B5C0D8"/>
          </w:tcPr>
          <w:p w:rsidR="00D849AA" w:rsidRPr="000E4589" w:rsidRDefault="00EE6D95">
            <w:pPr>
              <w:pStyle w:val="CellHeader"/>
            </w:pPr>
            <w:r w:rsidRPr="000E4589">
              <w:t>Ciljana vrijednost (2014.)</w:t>
            </w:r>
          </w:p>
        </w:tc>
        <w:tc>
          <w:tcPr>
            <w:tcW w:w="1486" w:type="dxa"/>
            <w:shd w:val="clear" w:color="auto" w:fill="B5C0D8"/>
          </w:tcPr>
          <w:p w:rsidR="00D849AA" w:rsidRPr="000E4589" w:rsidRDefault="00EE6D95">
            <w:pPr>
              <w:pStyle w:val="CellHeader"/>
            </w:pPr>
            <w:r w:rsidRPr="000E4589">
              <w:t>Ciljana vrijednost (2015.)</w:t>
            </w:r>
          </w:p>
        </w:tc>
        <w:tc>
          <w:tcPr>
            <w:tcW w:w="1486" w:type="dxa"/>
            <w:shd w:val="clear" w:color="auto" w:fill="B5C0D8"/>
          </w:tcPr>
          <w:p w:rsidR="00D849AA" w:rsidRPr="000E4589" w:rsidRDefault="00EE6D95">
            <w:pPr>
              <w:pStyle w:val="CellHeader"/>
            </w:pPr>
            <w:r w:rsidRPr="000E4589">
              <w:t>Ciljana vrijednost (2016.)</w:t>
            </w:r>
          </w:p>
        </w:tc>
      </w:tr>
      <w:tr w:rsidR="00D849AA">
        <w:trPr>
          <w:jc w:val="center"/>
        </w:trPr>
        <w:tc>
          <w:tcPr>
            <w:tcW w:w="2229" w:type="dxa"/>
          </w:tcPr>
          <w:p w:rsidR="00D849AA" w:rsidRPr="000E4589" w:rsidRDefault="00EE6D95">
            <w:pPr>
              <w:pStyle w:val="CellColumn"/>
            </w:pPr>
            <w:r w:rsidRPr="000E4589">
              <w:t>Povećanje pokrivenosti uvoza izvozom</w:t>
            </w:r>
          </w:p>
        </w:tc>
        <w:tc>
          <w:tcPr>
            <w:tcW w:w="1114" w:type="dxa"/>
          </w:tcPr>
          <w:p w:rsidR="00D849AA" w:rsidRPr="000E4589" w:rsidRDefault="00EE6D95">
            <w:pPr>
              <w:rPr>
                <w:rFonts w:ascii="Arial" w:hAnsi="Arial" w:cs="Arial"/>
              </w:rPr>
            </w:pPr>
            <w:r w:rsidRPr="000E4589">
              <w:rPr>
                <w:rFonts w:ascii="Arial" w:hAnsi="Arial" w:cs="Arial"/>
              </w:rPr>
              <w:t>%</w:t>
            </w:r>
          </w:p>
        </w:tc>
        <w:tc>
          <w:tcPr>
            <w:tcW w:w="1114" w:type="dxa"/>
          </w:tcPr>
          <w:p w:rsidR="00D849AA" w:rsidRPr="000E4589" w:rsidRDefault="00EE6D95">
            <w:pPr>
              <w:rPr>
                <w:rFonts w:ascii="Arial" w:hAnsi="Arial" w:cs="Arial"/>
              </w:rPr>
            </w:pPr>
            <w:r w:rsidRPr="000E4589">
              <w:rPr>
                <w:rFonts w:ascii="Arial" w:hAnsi="Arial" w:cs="Arial"/>
              </w:rPr>
              <w:t>39,9</w:t>
            </w:r>
          </w:p>
        </w:tc>
        <w:tc>
          <w:tcPr>
            <w:tcW w:w="1486" w:type="dxa"/>
          </w:tcPr>
          <w:p w:rsidR="00D849AA" w:rsidRPr="000E4589" w:rsidRDefault="00EE6D95">
            <w:pPr>
              <w:rPr>
                <w:rFonts w:ascii="Arial" w:hAnsi="Arial" w:cs="Arial"/>
              </w:rPr>
            </w:pPr>
            <w:r w:rsidRPr="000E4589">
              <w:rPr>
                <w:rFonts w:ascii="Arial" w:hAnsi="Arial" w:cs="Arial"/>
              </w:rPr>
              <w:t>42</w:t>
            </w:r>
          </w:p>
        </w:tc>
        <w:tc>
          <w:tcPr>
            <w:tcW w:w="1486" w:type="dxa"/>
          </w:tcPr>
          <w:p w:rsidR="00D849AA" w:rsidRPr="000E4589" w:rsidRDefault="00EE6D95">
            <w:pPr>
              <w:rPr>
                <w:rFonts w:ascii="Arial" w:hAnsi="Arial" w:cs="Arial"/>
              </w:rPr>
            </w:pPr>
            <w:r w:rsidRPr="000E4589">
              <w:rPr>
                <w:rFonts w:ascii="Arial" w:hAnsi="Arial" w:cs="Arial"/>
              </w:rPr>
              <w:t>44,5</w:t>
            </w:r>
          </w:p>
        </w:tc>
        <w:tc>
          <w:tcPr>
            <w:tcW w:w="1486" w:type="dxa"/>
          </w:tcPr>
          <w:p w:rsidR="00D849AA" w:rsidRPr="000E4589" w:rsidRDefault="00EE6D95">
            <w:pPr>
              <w:rPr>
                <w:rFonts w:ascii="Arial" w:hAnsi="Arial" w:cs="Arial"/>
              </w:rPr>
            </w:pPr>
            <w:r w:rsidRPr="000E4589">
              <w:rPr>
                <w:rFonts w:ascii="Arial" w:hAnsi="Arial" w:cs="Arial"/>
              </w:rPr>
              <w:t>47</w:t>
            </w:r>
          </w:p>
        </w:tc>
      </w:tr>
      <w:tr w:rsidR="00D849AA">
        <w:trPr>
          <w:jc w:val="center"/>
        </w:trPr>
        <w:tc>
          <w:tcPr>
            <w:tcW w:w="2229" w:type="dxa"/>
          </w:tcPr>
          <w:p w:rsidR="00D849AA" w:rsidRPr="000E4589" w:rsidRDefault="00EE6D95">
            <w:pPr>
              <w:pStyle w:val="CellColumn"/>
            </w:pPr>
            <w:r w:rsidRPr="000E4589">
              <w:t>Povećanje indeksa industrijske proizvodnje</w:t>
            </w:r>
          </w:p>
        </w:tc>
        <w:tc>
          <w:tcPr>
            <w:tcW w:w="1114" w:type="dxa"/>
          </w:tcPr>
          <w:p w:rsidR="00D849AA" w:rsidRPr="000E4589" w:rsidRDefault="00EE6D95">
            <w:pPr>
              <w:rPr>
                <w:rFonts w:ascii="Arial" w:hAnsi="Arial" w:cs="Arial"/>
              </w:rPr>
            </w:pPr>
            <w:r w:rsidRPr="000E4589">
              <w:rPr>
                <w:rFonts w:ascii="Arial" w:hAnsi="Arial" w:cs="Arial"/>
              </w:rPr>
              <w:t>INDEKS</w:t>
            </w:r>
          </w:p>
        </w:tc>
        <w:tc>
          <w:tcPr>
            <w:tcW w:w="1114" w:type="dxa"/>
          </w:tcPr>
          <w:p w:rsidR="00D849AA" w:rsidRPr="000E4589" w:rsidRDefault="00EE6D95">
            <w:pPr>
              <w:rPr>
                <w:rFonts w:ascii="Arial" w:hAnsi="Arial" w:cs="Arial"/>
              </w:rPr>
            </w:pPr>
            <w:r w:rsidRPr="000E4589">
              <w:rPr>
                <w:rFonts w:ascii="Arial" w:hAnsi="Arial" w:cs="Arial"/>
              </w:rPr>
              <w:t>2010=100</w:t>
            </w:r>
          </w:p>
        </w:tc>
        <w:tc>
          <w:tcPr>
            <w:tcW w:w="1486" w:type="dxa"/>
          </w:tcPr>
          <w:p w:rsidR="00D849AA" w:rsidRPr="000E4589" w:rsidRDefault="00EE6D95">
            <w:pPr>
              <w:rPr>
                <w:rFonts w:ascii="Arial" w:hAnsi="Arial" w:cs="Arial"/>
              </w:rPr>
            </w:pPr>
            <w:r w:rsidRPr="000E4589">
              <w:rPr>
                <w:rFonts w:ascii="Arial" w:hAnsi="Arial" w:cs="Arial"/>
              </w:rPr>
              <w:t>102</w:t>
            </w:r>
          </w:p>
        </w:tc>
        <w:tc>
          <w:tcPr>
            <w:tcW w:w="1486" w:type="dxa"/>
          </w:tcPr>
          <w:p w:rsidR="00D849AA" w:rsidRPr="000E4589" w:rsidRDefault="00EE6D95">
            <w:pPr>
              <w:rPr>
                <w:rFonts w:ascii="Arial" w:hAnsi="Arial" w:cs="Arial"/>
              </w:rPr>
            </w:pPr>
            <w:r w:rsidRPr="000E4589">
              <w:rPr>
                <w:rFonts w:ascii="Arial" w:hAnsi="Arial" w:cs="Arial"/>
              </w:rPr>
              <w:t>104</w:t>
            </w:r>
          </w:p>
        </w:tc>
        <w:tc>
          <w:tcPr>
            <w:tcW w:w="1486" w:type="dxa"/>
          </w:tcPr>
          <w:p w:rsidR="00D849AA" w:rsidRPr="000E4589" w:rsidRDefault="00EE6D95">
            <w:pPr>
              <w:rPr>
                <w:rFonts w:ascii="Arial" w:hAnsi="Arial" w:cs="Arial"/>
              </w:rPr>
            </w:pPr>
            <w:r w:rsidRPr="000E4589">
              <w:rPr>
                <w:rFonts w:ascii="Arial" w:hAnsi="Arial" w:cs="Arial"/>
              </w:rPr>
              <w:t>106</w:t>
            </w:r>
          </w:p>
        </w:tc>
      </w:tr>
    </w:tbl>
    <w:p w:rsidR="00D849AA" w:rsidRDefault="00D849AA">
      <w:pPr>
        <w:jc w:val="left"/>
      </w:pPr>
    </w:p>
    <w:p w:rsidR="00D849AA" w:rsidRDefault="00EE6D95">
      <w:pPr>
        <w:pStyle w:val="Naslov7"/>
      </w:pPr>
      <w:r>
        <w:lastRenderedPageBreak/>
        <w:t>Cilj 2. Povećanje konkurentnosti prerađivačke industrije</w:t>
      </w:r>
    </w:p>
    <w:p w:rsidR="00D849AA" w:rsidRDefault="00EE6D95">
      <w:pPr>
        <w:pStyle w:val="Normal6"/>
      </w:pPr>
      <w:r>
        <w:t>Operativnim programima potpora djelatnostima prerađivačke industrije (Operativni program regionalnih potpora za ulaganje u opremu, Program Jamstvenog fonda za prerađivačku industriju i inovacije u prerađivačkoj industriji, Operativnog programa potpora inovacijama u brodogradnji utvrđuju sljedeći ciljevi: povećanje konkurentnosti poduzetnika, povećanje udjela izvoza u ukupnim prihodima, poboljšanje likvidnosti poslovanja, očuvanje zaposlenosti i kadrovsko restrukturiranje specifične strukture zaposlenih.</w:t>
      </w:r>
    </w:p>
    <w:p w:rsidR="006B1EA0" w:rsidRDefault="006B1EA0">
      <w:pPr>
        <w:pStyle w:val="Normal6"/>
      </w:pP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0E4589" w:rsidRDefault="00EE6D95">
            <w:pPr>
              <w:rPr>
                <w:rFonts w:ascii="Arial" w:hAnsi="Arial" w:cs="Arial"/>
              </w:rPr>
            </w:pPr>
            <w:r w:rsidRPr="000E4589">
              <w:rPr>
                <w:rFonts w:ascii="Arial" w:hAnsi="Arial" w:cs="Arial"/>
              </w:rPr>
              <w:t>Pokazatelj učinka</w:t>
            </w:r>
          </w:p>
        </w:tc>
        <w:tc>
          <w:tcPr>
            <w:tcW w:w="1114" w:type="dxa"/>
            <w:shd w:val="clear" w:color="auto" w:fill="B5C0D8"/>
          </w:tcPr>
          <w:p w:rsidR="00D849AA" w:rsidRPr="000E4589" w:rsidRDefault="00EE6D95">
            <w:pPr>
              <w:pStyle w:val="CellHeader"/>
            </w:pPr>
            <w:r w:rsidRPr="000E4589">
              <w:t>Jedinica</w:t>
            </w:r>
          </w:p>
        </w:tc>
        <w:tc>
          <w:tcPr>
            <w:tcW w:w="1114" w:type="dxa"/>
            <w:shd w:val="clear" w:color="auto" w:fill="B5C0D8"/>
          </w:tcPr>
          <w:p w:rsidR="00D849AA" w:rsidRPr="000E4589" w:rsidRDefault="00EE6D95">
            <w:pPr>
              <w:pStyle w:val="CellHeader"/>
            </w:pPr>
            <w:r w:rsidRPr="000E4589">
              <w:t>Polazna vrijednost</w:t>
            </w:r>
          </w:p>
        </w:tc>
        <w:tc>
          <w:tcPr>
            <w:tcW w:w="1486" w:type="dxa"/>
            <w:shd w:val="clear" w:color="auto" w:fill="B5C0D8"/>
          </w:tcPr>
          <w:p w:rsidR="00D849AA" w:rsidRPr="000E4589" w:rsidRDefault="00EE6D95">
            <w:pPr>
              <w:pStyle w:val="CellHeader"/>
            </w:pPr>
            <w:r w:rsidRPr="000E4589">
              <w:t>Ciljana vrijednost (2014.)</w:t>
            </w:r>
          </w:p>
        </w:tc>
        <w:tc>
          <w:tcPr>
            <w:tcW w:w="1486" w:type="dxa"/>
            <w:shd w:val="clear" w:color="auto" w:fill="B5C0D8"/>
          </w:tcPr>
          <w:p w:rsidR="00D849AA" w:rsidRPr="000E4589" w:rsidRDefault="00EE6D95">
            <w:pPr>
              <w:pStyle w:val="CellHeader"/>
            </w:pPr>
            <w:r w:rsidRPr="000E4589">
              <w:t>Ciljana vrijednost (2015.)</w:t>
            </w:r>
          </w:p>
        </w:tc>
        <w:tc>
          <w:tcPr>
            <w:tcW w:w="1486" w:type="dxa"/>
            <w:shd w:val="clear" w:color="auto" w:fill="B5C0D8"/>
          </w:tcPr>
          <w:p w:rsidR="00D849AA" w:rsidRPr="000E4589" w:rsidRDefault="00EE6D95">
            <w:pPr>
              <w:pStyle w:val="CellHeader"/>
            </w:pPr>
            <w:r w:rsidRPr="000E4589">
              <w:t>Ciljana vrijednost (2016.)</w:t>
            </w:r>
          </w:p>
        </w:tc>
      </w:tr>
      <w:tr w:rsidR="00D849AA">
        <w:trPr>
          <w:jc w:val="center"/>
        </w:trPr>
        <w:tc>
          <w:tcPr>
            <w:tcW w:w="2229" w:type="dxa"/>
          </w:tcPr>
          <w:p w:rsidR="00D849AA" w:rsidRPr="000E4589" w:rsidRDefault="00EE6D95">
            <w:pPr>
              <w:pStyle w:val="CellColumn"/>
            </w:pPr>
            <w:r w:rsidRPr="000E4589">
              <w:t>Povećanje broja zaposlenih u prerađivačkoj industriji</w:t>
            </w:r>
          </w:p>
        </w:tc>
        <w:tc>
          <w:tcPr>
            <w:tcW w:w="1114" w:type="dxa"/>
          </w:tcPr>
          <w:p w:rsidR="00D849AA" w:rsidRPr="000E4589" w:rsidRDefault="00EE6D95">
            <w:pPr>
              <w:rPr>
                <w:rFonts w:ascii="Arial" w:hAnsi="Arial" w:cs="Arial"/>
              </w:rPr>
            </w:pPr>
            <w:r w:rsidRPr="000E4589">
              <w:rPr>
                <w:rFonts w:ascii="Arial" w:hAnsi="Arial" w:cs="Arial"/>
              </w:rPr>
              <w:t>INDEKS</w:t>
            </w:r>
          </w:p>
        </w:tc>
        <w:tc>
          <w:tcPr>
            <w:tcW w:w="1114" w:type="dxa"/>
          </w:tcPr>
          <w:p w:rsidR="00D849AA" w:rsidRPr="000E4589" w:rsidRDefault="00EE6D95">
            <w:pPr>
              <w:rPr>
                <w:rFonts w:ascii="Arial" w:hAnsi="Arial" w:cs="Arial"/>
              </w:rPr>
            </w:pPr>
            <w:r w:rsidRPr="000E4589">
              <w:rPr>
                <w:rFonts w:ascii="Arial" w:hAnsi="Arial" w:cs="Arial"/>
              </w:rPr>
              <w:t>VIII. 2012. = 100</w:t>
            </w:r>
          </w:p>
        </w:tc>
        <w:tc>
          <w:tcPr>
            <w:tcW w:w="1486" w:type="dxa"/>
          </w:tcPr>
          <w:p w:rsidR="00D849AA" w:rsidRPr="000E4589" w:rsidRDefault="00EE6D95">
            <w:pPr>
              <w:rPr>
                <w:rFonts w:ascii="Arial" w:hAnsi="Arial" w:cs="Arial"/>
              </w:rPr>
            </w:pPr>
            <w:r w:rsidRPr="000E4589">
              <w:rPr>
                <w:rFonts w:ascii="Arial" w:hAnsi="Arial" w:cs="Arial"/>
              </w:rPr>
              <w:t>+2%</w:t>
            </w:r>
          </w:p>
        </w:tc>
        <w:tc>
          <w:tcPr>
            <w:tcW w:w="1486" w:type="dxa"/>
          </w:tcPr>
          <w:p w:rsidR="00D849AA" w:rsidRPr="000E4589" w:rsidRDefault="00EE6D95">
            <w:pPr>
              <w:rPr>
                <w:rFonts w:ascii="Arial" w:hAnsi="Arial" w:cs="Arial"/>
              </w:rPr>
            </w:pPr>
            <w:r w:rsidRPr="000E4589">
              <w:rPr>
                <w:rFonts w:ascii="Arial" w:hAnsi="Arial" w:cs="Arial"/>
              </w:rPr>
              <w:t>+2%</w:t>
            </w:r>
          </w:p>
        </w:tc>
        <w:tc>
          <w:tcPr>
            <w:tcW w:w="1486" w:type="dxa"/>
          </w:tcPr>
          <w:p w:rsidR="00D849AA" w:rsidRPr="000E4589" w:rsidRDefault="00EE6D95">
            <w:pPr>
              <w:rPr>
                <w:rFonts w:ascii="Arial" w:hAnsi="Arial" w:cs="Arial"/>
              </w:rPr>
            </w:pPr>
            <w:r w:rsidRPr="000E4589">
              <w:rPr>
                <w:rFonts w:ascii="Arial" w:hAnsi="Arial" w:cs="Arial"/>
              </w:rPr>
              <w:t>+2%</w:t>
            </w:r>
          </w:p>
        </w:tc>
      </w:tr>
    </w:tbl>
    <w:p w:rsidR="00D849AA" w:rsidRDefault="00D849AA">
      <w:pPr>
        <w:jc w:val="left"/>
      </w:pPr>
    </w:p>
    <w:p w:rsidR="00D849AA" w:rsidRDefault="00EE6D95">
      <w:pPr>
        <w:pStyle w:val="Naslov7"/>
      </w:pPr>
      <w:r>
        <w:t>Cilj 3. Povećanje konkurentnosti brodogradilišta</w:t>
      </w:r>
    </w:p>
    <w:p w:rsidR="00D849AA" w:rsidRDefault="00EE6D95">
      <w:pPr>
        <w:pStyle w:val="Normal6"/>
      </w:pPr>
      <w:r>
        <w:t xml:space="preserve">Usvajanjem Operativnog programa potpora inovacijama u brodogradnji stvoreni su preduvjeti za uspostavu novih, europskih uvjeta za stjecanje državnih potpora brodogradilištima. Predloženi iznos uzima u obzir smanjenje prihoda brodogradnje u nastupajućem razdoblju, koje će nastupiti kao posljedica smanjenja brodograđevnih kapaciteta, te je usklađen sa intenzitetom potpora kakav se susreće u zemljama EU. </w:t>
      </w:r>
    </w:p>
    <w:p w:rsidR="00D849AA" w:rsidRDefault="00EE6D95">
      <w:pPr>
        <w:pStyle w:val="Normal6"/>
      </w:pPr>
      <w:r>
        <w:t xml:space="preserve">Mala brodogradnja uključuje poduzetnike koji se bave proizvodnjom i remontom malih plovila i prateće opreme predstavlja jednu od u budućnosti potencijalno najpropulzivnijih gospodarskih grana. Predloženi iznos uvažava navedenu ulogu male brodogradnje, kao i činjenicu da je ekonomska kriza koja je 2009. pogodila EU i Hrvatsku dovela do drastičnog pada prodaje, a posljedično tome i proizvodnje malih plovila u razdoblju 2009. – 2013. </w:t>
      </w:r>
    </w:p>
    <w:p w:rsidR="00D849AA" w:rsidRDefault="00EE6D95">
      <w:pPr>
        <w:pStyle w:val="Normal6"/>
      </w:pPr>
      <w:r>
        <w:t xml:space="preserve">Trenutno stanje u brodogradilištima zbog krize na brodograđevnom tržištu karakteriziraju strukturalni problemi. Zbog ukupnog značaja očuvanja hrvatske brodogradnje za gospodarstvo zemlje, nameće se potreba iznalaženja rješenja za brodogradilišta na način koji će osigurati ne samo kontinuitet proizvodnje u brodogradilištima kao primarni kratkoročni cilj, već i pozitivno restrukturiranje brodogradnje kao dugoročni cilj kojim bi se brodogradnja RH ustrojila kao profitabilna izvozno usmjerena industrija.  </w:t>
      </w:r>
    </w:p>
    <w:p w:rsidR="006B1EA0" w:rsidRDefault="00EE6D95" w:rsidP="006B1EA0">
      <w:pPr>
        <w:pStyle w:val="Normal6"/>
      </w:pPr>
      <w:r>
        <w:t>Postizanje profitabilnog poslovanja, povećanje prihoda, omogućava gradnja složenijih tipova brodova sa većim udjelom znanja, omjer administrativnog osoblja u odnosu na proizvodne radnike. Hrvatska brodograđevna industrija od iznimne je važnosti za gospodarstvo Republike Hrvatske, zbog udjela u ukupnom izvozu, udjela u BDP-u, broja zaposlenih, kao i velikog regionalnog značaja za gospodarstvo obalnog područja Republike Hrvatske.</w:t>
      </w:r>
    </w:p>
    <w:p w:rsidR="006B1EA0" w:rsidRDefault="006B1EA0" w:rsidP="006B1EA0">
      <w:pPr>
        <w:pStyle w:val="Normal6"/>
      </w:pPr>
    </w:p>
    <w:p w:rsidR="006B1EA0" w:rsidRDefault="006B1EA0" w:rsidP="006B1EA0">
      <w:pPr>
        <w:pStyle w:val="Normal6"/>
      </w:pPr>
    </w:p>
    <w:p w:rsidR="006B1EA0" w:rsidRDefault="006B1EA0" w:rsidP="006B1EA0">
      <w:pPr>
        <w:pStyle w:val="Normal6"/>
      </w:pPr>
    </w:p>
    <w:p w:rsidR="006B1EA0" w:rsidRDefault="006B1EA0" w:rsidP="006B1EA0">
      <w:pPr>
        <w:pStyle w:val="Normal6"/>
      </w:pPr>
    </w:p>
    <w:p w:rsidR="00D849AA" w:rsidRDefault="00EE6D95">
      <w:pPr>
        <w:pStyle w:val="Naslov8"/>
        <w:jc w:val="left"/>
      </w:pPr>
      <w:r>
        <w:lastRenderedPageBreak/>
        <w:t>Pokazatelji učinka</w:t>
      </w:r>
    </w:p>
    <w:tbl>
      <w:tblPr>
        <w:tblStyle w:val="Reetkatablice"/>
        <w:tblW w:w="0" w:type="auto"/>
        <w:jc w:val="center"/>
        <w:tblLook w:val="04A0" w:firstRow="1" w:lastRow="0" w:firstColumn="1" w:lastColumn="0" w:noHBand="0" w:noVBand="1"/>
      </w:tblPr>
      <w:tblGrid>
        <w:gridCol w:w="2219"/>
        <w:gridCol w:w="1173"/>
        <w:gridCol w:w="1462"/>
        <w:gridCol w:w="1478"/>
        <w:gridCol w:w="1478"/>
        <w:gridCol w:w="1478"/>
      </w:tblGrid>
      <w:tr w:rsidR="00D849AA">
        <w:trPr>
          <w:jc w:val="center"/>
        </w:trPr>
        <w:tc>
          <w:tcPr>
            <w:tcW w:w="2229" w:type="dxa"/>
            <w:shd w:val="clear" w:color="auto" w:fill="B5C0D8"/>
          </w:tcPr>
          <w:p w:rsidR="00D849AA" w:rsidRPr="000E4589" w:rsidRDefault="00EE6D95">
            <w:pPr>
              <w:rPr>
                <w:rFonts w:ascii="Arial" w:hAnsi="Arial" w:cs="Arial"/>
              </w:rPr>
            </w:pPr>
            <w:r w:rsidRPr="000E4589">
              <w:rPr>
                <w:rFonts w:ascii="Arial" w:hAnsi="Arial" w:cs="Arial"/>
              </w:rPr>
              <w:t>Pokazatelj učinka</w:t>
            </w:r>
          </w:p>
        </w:tc>
        <w:tc>
          <w:tcPr>
            <w:tcW w:w="1114" w:type="dxa"/>
            <w:shd w:val="clear" w:color="auto" w:fill="B5C0D8"/>
          </w:tcPr>
          <w:p w:rsidR="00D849AA" w:rsidRPr="000E4589" w:rsidRDefault="00EE6D95">
            <w:pPr>
              <w:pStyle w:val="CellHeader"/>
            </w:pPr>
            <w:r w:rsidRPr="000E4589">
              <w:t>Jedinica</w:t>
            </w:r>
          </w:p>
        </w:tc>
        <w:tc>
          <w:tcPr>
            <w:tcW w:w="1114" w:type="dxa"/>
            <w:shd w:val="clear" w:color="auto" w:fill="B5C0D8"/>
          </w:tcPr>
          <w:p w:rsidR="00D849AA" w:rsidRPr="000E4589" w:rsidRDefault="00EE6D95">
            <w:pPr>
              <w:pStyle w:val="CellHeader"/>
            </w:pPr>
            <w:r w:rsidRPr="000E4589">
              <w:t>Polazna vrijednost</w:t>
            </w:r>
          </w:p>
        </w:tc>
        <w:tc>
          <w:tcPr>
            <w:tcW w:w="1486" w:type="dxa"/>
            <w:shd w:val="clear" w:color="auto" w:fill="B5C0D8"/>
          </w:tcPr>
          <w:p w:rsidR="00D849AA" w:rsidRPr="000E4589" w:rsidRDefault="00EE6D95">
            <w:pPr>
              <w:pStyle w:val="CellHeader"/>
            </w:pPr>
            <w:r w:rsidRPr="000E4589">
              <w:t>Ciljana vrijednost (2014.)</w:t>
            </w:r>
          </w:p>
        </w:tc>
        <w:tc>
          <w:tcPr>
            <w:tcW w:w="1486" w:type="dxa"/>
            <w:shd w:val="clear" w:color="auto" w:fill="B5C0D8"/>
          </w:tcPr>
          <w:p w:rsidR="00D849AA" w:rsidRPr="000E4589" w:rsidRDefault="00EE6D95">
            <w:pPr>
              <w:pStyle w:val="CellHeader"/>
            </w:pPr>
            <w:r w:rsidRPr="000E4589">
              <w:t>Ciljana vrijednost (2015.)</w:t>
            </w:r>
          </w:p>
        </w:tc>
        <w:tc>
          <w:tcPr>
            <w:tcW w:w="1486" w:type="dxa"/>
            <w:shd w:val="clear" w:color="auto" w:fill="B5C0D8"/>
          </w:tcPr>
          <w:p w:rsidR="00D849AA" w:rsidRPr="000E4589" w:rsidRDefault="00EE6D95">
            <w:pPr>
              <w:pStyle w:val="CellHeader"/>
            </w:pPr>
            <w:r w:rsidRPr="000E4589">
              <w:t>Ciljana vrijednost (2016.)</w:t>
            </w:r>
          </w:p>
        </w:tc>
      </w:tr>
      <w:tr w:rsidR="00D849AA">
        <w:trPr>
          <w:jc w:val="center"/>
        </w:trPr>
        <w:tc>
          <w:tcPr>
            <w:tcW w:w="2229" w:type="dxa"/>
          </w:tcPr>
          <w:p w:rsidR="00D849AA" w:rsidRPr="000E4589" w:rsidRDefault="00EE6D95">
            <w:pPr>
              <w:pStyle w:val="CellColumn"/>
            </w:pPr>
            <w:r w:rsidRPr="000E4589">
              <w:t>Postizanje profitabilnog poslovanja</w:t>
            </w:r>
          </w:p>
        </w:tc>
        <w:tc>
          <w:tcPr>
            <w:tcW w:w="1114" w:type="dxa"/>
          </w:tcPr>
          <w:p w:rsidR="00D849AA" w:rsidRPr="000E4589" w:rsidRDefault="00EE6D95">
            <w:pPr>
              <w:rPr>
                <w:rFonts w:ascii="Arial" w:hAnsi="Arial" w:cs="Arial"/>
              </w:rPr>
            </w:pPr>
            <w:r w:rsidRPr="000E4589">
              <w:rPr>
                <w:rFonts w:ascii="Arial" w:hAnsi="Arial" w:cs="Arial"/>
              </w:rPr>
              <w:t>kn</w:t>
            </w:r>
          </w:p>
        </w:tc>
        <w:tc>
          <w:tcPr>
            <w:tcW w:w="1114" w:type="dxa"/>
          </w:tcPr>
          <w:p w:rsidR="00D849AA" w:rsidRPr="000E4589" w:rsidRDefault="00EE6D95">
            <w:pPr>
              <w:rPr>
                <w:rFonts w:ascii="Arial" w:hAnsi="Arial" w:cs="Arial"/>
              </w:rPr>
            </w:pPr>
            <w:r w:rsidRPr="000E4589">
              <w:rPr>
                <w:rFonts w:ascii="Arial" w:hAnsi="Arial" w:cs="Arial"/>
              </w:rPr>
              <w:t>2009. g.: gubitak nakon oporezivanja prema GFI POD: -864 mil. kn</w:t>
            </w:r>
          </w:p>
        </w:tc>
        <w:tc>
          <w:tcPr>
            <w:tcW w:w="1486" w:type="dxa"/>
          </w:tcPr>
          <w:p w:rsidR="00D849AA" w:rsidRPr="000E4589" w:rsidRDefault="00EE6D95">
            <w:pPr>
              <w:rPr>
                <w:rFonts w:ascii="Arial" w:hAnsi="Arial" w:cs="Arial"/>
              </w:rPr>
            </w:pPr>
            <w:r w:rsidRPr="000E4589">
              <w:rPr>
                <w:rFonts w:ascii="Arial" w:hAnsi="Arial" w:cs="Arial"/>
              </w:rPr>
              <w:t>-150 mil. kn</w:t>
            </w:r>
          </w:p>
        </w:tc>
        <w:tc>
          <w:tcPr>
            <w:tcW w:w="1486" w:type="dxa"/>
          </w:tcPr>
          <w:p w:rsidR="00D849AA" w:rsidRPr="000E4589" w:rsidRDefault="00EE6D95">
            <w:pPr>
              <w:rPr>
                <w:rFonts w:ascii="Arial" w:hAnsi="Arial" w:cs="Arial"/>
              </w:rPr>
            </w:pPr>
            <w:r w:rsidRPr="000E4589">
              <w:rPr>
                <w:rFonts w:ascii="Arial" w:hAnsi="Arial" w:cs="Arial"/>
              </w:rPr>
              <w:t>-40 mil. kn</w:t>
            </w:r>
          </w:p>
        </w:tc>
        <w:tc>
          <w:tcPr>
            <w:tcW w:w="1486" w:type="dxa"/>
          </w:tcPr>
          <w:p w:rsidR="00D849AA" w:rsidRPr="000E4589" w:rsidRDefault="00EE6D95">
            <w:pPr>
              <w:rPr>
                <w:rFonts w:ascii="Arial" w:hAnsi="Arial" w:cs="Arial"/>
              </w:rPr>
            </w:pPr>
            <w:r w:rsidRPr="000E4589">
              <w:rPr>
                <w:rFonts w:ascii="Arial" w:hAnsi="Arial" w:cs="Arial"/>
              </w:rPr>
              <w:t>10 mil. kn</w:t>
            </w:r>
          </w:p>
        </w:tc>
      </w:tr>
      <w:tr w:rsidR="00D849AA">
        <w:trPr>
          <w:jc w:val="center"/>
        </w:trPr>
        <w:tc>
          <w:tcPr>
            <w:tcW w:w="2229" w:type="dxa"/>
          </w:tcPr>
          <w:p w:rsidR="00D849AA" w:rsidRPr="000E4589" w:rsidRDefault="00EE6D95">
            <w:pPr>
              <w:pStyle w:val="CellColumn"/>
            </w:pPr>
            <w:r w:rsidRPr="000E4589">
              <w:t>Povećanje prihoda</w:t>
            </w:r>
          </w:p>
        </w:tc>
        <w:tc>
          <w:tcPr>
            <w:tcW w:w="1114" w:type="dxa"/>
          </w:tcPr>
          <w:p w:rsidR="00D849AA" w:rsidRPr="000E4589" w:rsidRDefault="00EE6D95">
            <w:pPr>
              <w:rPr>
                <w:rFonts w:ascii="Arial" w:hAnsi="Arial" w:cs="Arial"/>
              </w:rPr>
            </w:pPr>
            <w:r w:rsidRPr="000E4589">
              <w:rPr>
                <w:rFonts w:ascii="Arial" w:hAnsi="Arial" w:cs="Arial"/>
              </w:rPr>
              <w:t>INDEKS</w:t>
            </w:r>
          </w:p>
        </w:tc>
        <w:tc>
          <w:tcPr>
            <w:tcW w:w="1114" w:type="dxa"/>
          </w:tcPr>
          <w:p w:rsidR="0079664A" w:rsidRPr="000E4589" w:rsidRDefault="00EE6D95">
            <w:pPr>
              <w:rPr>
                <w:rFonts w:ascii="Arial" w:hAnsi="Arial" w:cs="Arial"/>
              </w:rPr>
            </w:pPr>
            <w:r w:rsidRPr="000E4589">
              <w:rPr>
                <w:rFonts w:ascii="Arial" w:hAnsi="Arial" w:cs="Arial"/>
              </w:rPr>
              <w:t xml:space="preserve">2009. g. </w:t>
            </w:r>
          </w:p>
          <w:p w:rsidR="00D849AA" w:rsidRPr="000E4589" w:rsidRDefault="00EE6D95">
            <w:pPr>
              <w:rPr>
                <w:rFonts w:ascii="Arial" w:hAnsi="Arial" w:cs="Arial"/>
              </w:rPr>
            </w:pPr>
            <w:r w:rsidRPr="000E4589">
              <w:rPr>
                <w:rFonts w:ascii="Arial" w:hAnsi="Arial" w:cs="Arial"/>
              </w:rPr>
              <w:t>= 100</w:t>
            </w:r>
          </w:p>
        </w:tc>
        <w:tc>
          <w:tcPr>
            <w:tcW w:w="1486" w:type="dxa"/>
          </w:tcPr>
          <w:p w:rsidR="00D849AA" w:rsidRPr="000E4589" w:rsidRDefault="00EE6D95">
            <w:pPr>
              <w:rPr>
                <w:rFonts w:ascii="Arial" w:hAnsi="Arial" w:cs="Arial"/>
              </w:rPr>
            </w:pPr>
            <w:r w:rsidRPr="000E4589">
              <w:rPr>
                <w:rFonts w:ascii="Arial" w:hAnsi="Arial" w:cs="Arial"/>
              </w:rPr>
              <w:t>90</w:t>
            </w:r>
          </w:p>
        </w:tc>
        <w:tc>
          <w:tcPr>
            <w:tcW w:w="1486" w:type="dxa"/>
          </w:tcPr>
          <w:p w:rsidR="00D849AA" w:rsidRPr="000E4589" w:rsidRDefault="00EE6D95">
            <w:pPr>
              <w:rPr>
                <w:rFonts w:ascii="Arial" w:hAnsi="Arial" w:cs="Arial"/>
              </w:rPr>
            </w:pPr>
            <w:r w:rsidRPr="000E4589">
              <w:rPr>
                <w:rFonts w:ascii="Arial" w:hAnsi="Arial" w:cs="Arial"/>
              </w:rPr>
              <w:t>103</w:t>
            </w:r>
          </w:p>
        </w:tc>
        <w:tc>
          <w:tcPr>
            <w:tcW w:w="1486" w:type="dxa"/>
          </w:tcPr>
          <w:p w:rsidR="00D849AA" w:rsidRPr="000E4589" w:rsidRDefault="00EE6D95">
            <w:pPr>
              <w:rPr>
                <w:rFonts w:ascii="Arial" w:hAnsi="Arial" w:cs="Arial"/>
              </w:rPr>
            </w:pPr>
            <w:r w:rsidRPr="000E4589">
              <w:rPr>
                <w:rFonts w:ascii="Arial" w:hAnsi="Arial" w:cs="Arial"/>
              </w:rPr>
              <w:t>110</w:t>
            </w:r>
          </w:p>
        </w:tc>
      </w:tr>
      <w:tr w:rsidR="00D849AA">
        <w:trPr>
          <w:jc w:val="center"/>
        </w:trPr>
        <w:tc>
          <w:tcPr>
            <w:tcW w:w="2229" w:type="dxa"/>
          </w:tcPr>
          <w:p w:rsidR="00D849AA" w:rsidRPr="000E4589" w:rsidRDefault="00EE6D95">
            <w:pPr>
              <w:pStyle w:val="CellColumn"/>
            </w:pPr>
            <w:r w:rsidRPr="000E4589">
              <w:t>Omjer administrativnog osoblja u odnosu na proizvodne radnike</w:t>
            </w:r>
          </w:p>
        </w:tc>
        <w:tc>
          <w:tcPr>
            <w:tcW w:w="1114" w:type="dxa"/>
          </w:tcPr>
          <w:p w:rsidR="00D849AA" w:rsidRPr="000E4589" w:rsidRDefault="00EE6D95">
            <w:pPr>
              <w:rPr>
                <w:rFonts w:ascii="Arial" w:hAnsi="Arial" w:cs="Arial"/>
              </w:rPr>
            </w:pPr>
            <w:r w:rsidRPr="000E4589">
              <w:rPr>
                <w:rFonts w:ascii="Arial" w:hAnsi="Arial" w:cs="Arial"/>
              </w:rPr>
              <w:t>INDEKS</w:t>
            </w:r>
          </w:p>
        </w:tc>
        <w:tc>
          <w:tcPr>
            <w:tcW w:w="1114" w:type="dxa"/>
          </w:tcPr>
          <w:p w:rsidR="00D849AA" w:rsidRPr="000E4589" w:rsidRDefault="00EE6D95">
            <w:pPr>
              <w:rPr>
                <w:rFonts w:ascii="Arial" w:hAnsi="Arial" w:cs="Arial"/>
              </w:rPr>
            </w:pPr>
            <w:r w:rsidRPr="000E4589">
              <w:rPr>
                <w:rFonts w:ascii="Arial" w:hAnsi="Arial" w:cs="Arial"/>
              </w:rPr>
              <w:t>Prosječan omjer neproizvodnih i proizvodnih  radnika iznosi 0,45</w:t>
            </w:r>
          </w:p>
        </w:tc>
        <w:tc>
          <w:tcPr>
            <w:tcW w:w="1486" w:type="dxa"/>
          </w:tcPr>
          <w:p w:rsidR="00D849AA" w:rsidRPr="000E4589" w:rsidRDefault="00EE6D95">
            <w:pPr>
              <w:rPr>
                <w:rFonts w:ascii="Arial" w:hAnsi="Arial" w:cs="Arial"/>
              </w:rPr>
            </w:pPr>
            <w:r w:rsidRPr="000E4589">
              <w:rPr>
                <w:rFonts w:ascii="Arial" w:hAnsi="Arial" w:cs="Arial"/>
              </w:rPr>
              <w:t>0,30</w:t>
            </w:r>
          </w:p>
        </w:tc>
        <w:tc>
          <w:tcPr>
            <w:tcW w:w="1486" w:type="dxa"/>
          </w:tcPr>
          <w:p w:rsidR="00D849AA" w:rsidRPr="000E4589" w:rsidRDefault="00EE6D95">
            <w:pPr>
              <w:rPr>
                <w:rFonts w:ascii="Arial" w:hAnsi="Arial" w:cs="Arial"/>
              </w:rPr>
            </w:pPr>
            <w:r w:rsidRPr="000E4589">
              <w:rPr>
                <w:rFonts w:ascii="Arial" w:hAnsi="Arial" w:cs="Arial"/>
              </w:rPr>
              <w:t>0,28</w:t>
            </w:r>
          </w:p>
        </w:tc>
        <w:tc>
          <w:tcPr>
            <w:tcW w:w="1486" w:type="dxa"/>
          </w:tcPr>
          <w:p w:rsidR="00D849AA" w:rsidRPr="000E4589" w:rsidRDefault="00EE6D95">
            <w:pPr>
              <w:rPr>
                <w:rFonts w:ascii="Arial" w:hAnsi="Arial" w:cs="Arial"/>
              </w:rPr>
            </w:pPr>
            <w:r w:rsidRPr="000E4589">
              <w:rPr>
                <w:rFonts w:ascii="Arial" w:hAnsi="Arial" w:cs="Arial"/>
              </w:rPr>
              <w:t>0,28</w:t>
            </w:r>
          </w:p>
        </w:tc>
      </w:tr>
      <w:tr w:rsidR="00D849AA">
        <w:trPr>
          <w:jc w:val="center"/>
        </w:trPr>
        <w:tc>
          <w:tcPr>
            <w:tcW w:w="2229" w:type="dxa"/>
          </w:tcPr>
          <w:p w:rsidR="00D849AA" w:rsidRPr="000E4589" w:rsidRDefault="00EE6D95">
            <w:pPr>
              <w:pStyle w:val="CellColumn"/>
            </w:pPr>
            <w:r w:rsidRPr="000E4589">
              <w:t>Broj zaposlenih u brodogradilištima</w:t>
            </w:r>
          </w:p>
        </w:tc>
        <w:tc>
          <w:tcPr>
            <w:tcW w:w="1114" w:type="dxa"/>
          </w:tcPr>
          <w:p w:rsidR="00D849AA" w:rsidRPr="000E4589" w:rsidRDefault="00EE6D95">
            <w:pPr>
              <w:rPr>
                <w:rFonts w:ascii="Arial" w:hAnsi="Arial" w:cs="Arial"/>
              </w:rPr>
            </w:pPr>
            <w:r w:rsidRPr="000E4589">
              <w:rPr>
                <w:rFonts w:ascii="Arial" w:hAnsi="Arial" w:cs="Arial"/>
              </w:rPr>
              <w:t>broj stalno zaposlenih</w:t>
            </w:r>
          </w:p>
        </w:tc>
        <w:tc>
          <w:tcPr>
            <w:tcW w:w="1114" w:type="dxa"/>
          </w:tcPr>
          <w:p w:rsidR="00D849AA" w:rsidRPr="000E4589" w:rsidRDefault="00EE6D95">
            <w:pPr>
              <w:rPr>
                <w:rFonts w:ascii="Arial" w:hAnsi="Arial" w:cs="Arial"/>
              </w:rPr>
            </w:pPr>
            <w:r w:rsidRPr="000E4589">
              <w:rPr>
                <w:rFonts w:ascii="Arial" w:hAnsi="Arial" w:cs="Arial"/>
              </w:rPr>
              <w:t xml:space="preserve">2009. god. </w:t>
            </w:r>
          </w:p>
          <w:p w:rsidR="00D849AA" w:rsidRPr="000E4589" w:rsidRDefault="0079664A">
            <w:pPr>
              <w:rPr>
                <w:rFonts w:ascii="Arial" w:hAnsi="Arial" w:cs="Arial"/>
              </w:rPr>
            </w:pPr>
            <w:r w:rsidRPr="000E4589">
              <w:rPr>
                <w:rFonts w:ascii="Arial" w:hAnsi="Arial" w:cs="Arial"/>
              </w:rPr>
              <w:t>=</w:t>
            </w:r>
            <w:r w:rsidR="00EE6D95" w:rsidRPr="000E4589">
              <w:rPr>
                <w:rFonts w:ascii="Arial" w:hAnsi="Arial" w:cs="Arial"/>
              </w:rPr>
              <w:t xml:space="preserve"> 10.080</w:t>
            </w:r>
          </w:p>
        </w:tc>
        <w:tc>
          <w:tcPr>
            <w:tcW w:w="1486" w:type="dxa"/>
          </w:tcPr>
          <w:p w:rsidR="00D849AA" w:rsidRPr="000E4589" w:rsidRDefault="00EE6D95">
            <w:pPr>
              <w:rPr>
                <w:rFonts w:ascii="Arial" w:hAnsi="Arial" w:cs="Arial"/>
              </w:rPr>
            </w:pPr>
            <w:r w:rsidRPr="000E4589">
              <w:rPr>
                <w:rFonts w:ascii="Arial" w:hAnsi="Arial" w:cs="Arial"/>
              </w:rPr>
              <w:t>8.000</w:t>
            </w:r>
          </w:p>
        </w:tc>
        <w:tc>
          <w:tcPr>
            <w:tcW w:w="1486" w:type="dxa"/>
          </w:tcPr>
          <w:p w:rsidR="00D849AA" w:rsidRPr="000E4589" w:rsidRDefault="00EE6D95">
            <w:pPr>
              <w:rPr>
                <w:rFonts w:ascii="Arial" w:hAnsi="Arial" w:cs="Arial"/>
              </w:rPr>
            </w:pPr>
            <w:r w:rsidRPr="000E4589">
              <w:rPr>
                <w:rFonts w:ascii="Arial" w:hAnsi="Arial" w:cs="Arial"/>
              </w:rPr>
              <w:t>8.000</w:t>
            </w:r>
          </w:p>
        </w:tc>
        <w:tc>
          <w:tcPr>
            <w:tcW w:w="1486" w:type="dxa"/>
          </w:tcPr>
          <w:p w:rsidR="00D849AA" w:rsidRPr="000E4589" w:rsidRDefault="00EE6D95">
            <w:pPr>
              <w:rPr>
                <w:rFonts w:ascii="Arial" w:hAnsi="Arial" w:cs="Arial"/>
              </w:rPr>
            </w:pPr>
            <w:r w:rsidRPr="000E4589">
              <w:rPr>
                <w:rFonts w:ascii="Arial" w:hAnsi="Arial" w:cs="Arial"/>
              </w:rPr>
              <w:t>8.000</w:t>
            </w:r>
          </w:p>
        </w:tc>
      </w:tr>
    </w:tbl>
    <w:p w:rsidR="00D849AA" w:rsidRDefault="00D849AA">
      <w:pPr>
        <w:jc w:val="left"/>
      </w:pPr>
    </w:p>
    <w:p w:rsidR="00D849AA" w:rsidRDefault="00EE6D95">
      <w:pPr>
        <w:pStyle w:val="Naslov5"/>
      </w:pPr>
      <w:r>
        <w:t>Procjena i ishodište potrebnih sredstava za značajnije aktivnosti/projekte</w:t>
      </w:r>
    </w:p>
    <w:p w:rsidR="00D849AA" w:rsidRDefault="00EE6D95">
      <w:pPr>
        <w:pStyle w:val="Naslov6"/>
      </w:pPr>
      <w:r>
        <w:t>A560050 SANACIJA I RESTRUKTURIRANJE TRGOVAČKIH DRUŠTAVA U PRETEŽITOM DRŽAVNOM VLASNIŠTVU</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0E4589" w:rsidRDefault="00EE6D95">
            <w:pPr>
              <w:pStyle w:val="CellHeader"/>
            </w:pPr>
            <w:r w:rsidRPr="000E4589">
              <w:t>Naziv aktivnosti</w:t>
            </w:r>
          </w:p>
        </w:tc>
        <w:tc>
          <w:tcPr>
            <w:tcW w:w="1486" w:type="dxa"/>
            <w:shd w:val="clear" w:color="auto" w:fill="B5C0D8"/>
          </w:tcPr>
          <w:p w:rsidR="00D849AA" w:rsidRPr="000E4589" w:rsidRDefault="00EE6D95">
            <w:pPr>
              <w:pStyle w:val="CellHeader"/>
            </w:pPr>
            <w:r w:rsidRPr="000E4589">
              <w:t>Plan 2013.</w:t>
            </w:r>
          </w:p>
        </w:tc>
        <w:tc>
          <w:tcPr>
            <w:tcW w:w="1486" w:type="dxa"/>
            <w:shd w:val="clear" w:color="auto" w:fill="B5C0D8"/>
          </w:tcPr>
          <w:p w:rsidR="00D849AA" w:rsidRPr="000E4589" w:rsidRDefault="00EE6D95">
            <w:pPr>
              <w:pStyle w:val="CellHeader"/>
            </w:pPr>
            <w:r w:rsidRPr="000E4589">
              <w:t>Plan 2014.</w:t>
            </w:r>
          </w:p>
        </w:tc>
        <w:tc>
          <w:tcPr>
            <w:tcW w:w="1486" w:type="dxa"/>
            <w:shd w:val="clear" w:color="auto" w:fill="B5C0D8"/>
          </w:tcPr>
          <w:p w:rsidR="00D849AA" w:rsidRPr="000E4589" w:rsidRDefault="00EE6D95">
            <w:pPr>
              <w:pStyle w:val="CellHeader"/>
            </w:pPr>
            <w:r w:rsidRPr="000E4589">
              <w:t>Plan 2015.</w:t>
            </w:r>
          </w:p>
        </w:tc>
        <w:tc>
          <w:tcPr>
            <w:tcW w:w="1486" w:type="dxa"/>
            <w:shd w:val="clear" w:color="auto" w:fill="B5C0D8"/>
          </w:tcPr>
          <w:p w:rsidR="00D849AA" w:rsidRPr="000E4589" w:rsidRDefault="00EE6D95">
            <w:pPr>
              <w:pStyle w:val="CellHeader"/>
            </w:pPr>
            <w:r w:rsidRPr="000E4589">
              <w:t>Plan 2016.</w:t>
            </w:r>
          </w:p>
        </w:tc>
        <w:tc>
          <w:tcPr>
            <w:tcW w:w="1486" w:type="dxa"/>
            <w:shd w:val="clear" w:color="auto" w:fill="B5C0D8"/>
          </w:tcPr>
          <w:p w:rsidR="00D849AA" w:rsidRPr="000E4589" w:rsidRDefault="00EE6D95">
            <w:pPr>
              <w:pStyle w:val="CellHeader"/>
            </w:pPr>
            <w:r w:rsidRPr="000E4589">
              <w:t>Indeks 2014/2013</w:t>
            </w:r>
          </w:p>
        </w:tc>
      </w:tr>
      <w:tr w:rsidR="00D849AA">
        <w:trPr>
          <w:jc w:val="center"/>
        </w:trPr>
        <w:tc>
          <w:tcPr>
            <w:tcW w:w="1486" w:type="dxa"/>
          </w:tcPr>
          <w:p w:rsidR="00D849AA" w:rsidRPr="000E4589" w:rsidRDefault="00EE6D95">
            <w:pPr>
              <w:pStyle w:val="CellColumn"/>
            </w:pPr>
            <w:r w:rsidRPr="000E4589">
              <w:t>A560050</w:t>
            </w:r>
          </w:p>
        </w:tc>
        <w:tc>
          <w:tcPr>
            <w:tcW w:w="1486" w:type="dxa"/>
          </w:tcPr>
          <w:p w:rsidR="00D849AA" w:rsidRPr="000E4589" w:rsidRDefault="00EE6D95">
            <w:pPr>
              <w:rPr>
                <w:rFonts w:ascii="Arial" w:hAnsi="Arial" w:cs="Arial"/>
              </w:rPr>
            </w:pPr>
            <w:r w:rsidRPr="000E4589">
              <w:rPr>
                <w:rFonts w:ascii="Arial" w:hAnsi="Arial" w:cs="Arial"/>
              </w:rPr>
              <w:t>10.000.000</w:t>
            </w:r>
          </w:p>
        </w:tc>
        <w:tc>
          <w:tcPr>
            <w:tcW w:w="1486" w:type="dxa"/>
          </w:tcPr>
          <w:p w:rsidR="00D849AA" w:rsidRPr="000E4589" w:rsidRDefault="00EE6D95">
            <w:pPr>
              <w:rPr>
                <w:rFonts w:ascii="Arial" w:hAnsi="Arial" w:cs="Arial"/>
              </w:rPr>
            </w:pPr>
            <w:r w:rsidRPr="000E4589">
              <w:rPr>
                <w:rFonts w:ascii="Arial" w:hAnsi="Arial" w:cs="Arial"/>
              </w:rPr>
              <w:t>4.000.000</w:t>
            </w:r>
          </w:p>
        </w:tc>
        <w:tc>
          <w:tcPr>
            <w:tcW w:w="1486" w:type="dxa"/>
          </w:tcPr>
          <w:p w:rsidR="00D849AA" w:rsidRPr="000E4589" w:rsidRDefault="00EE6D95">
            <w:pPr>
              <w:rPr>
                <w:rFonts w:ascii="Arial" w:hAnsi="Arial" w:cs="Arial"/>
              </w:rPr>
            </w:pPr>
            <w:r w:rsidRPr="000E4589">
              <w:rPr>
                <w:rFonts w:ascii="Arial" w:hAnsi="Arial" w:cs="Arial"/>
              </w:rPr>
              <w:t>4.000.000</w:t>
            </w:r>
          </w:p>
        </w:tc>
        <w:tc>
          <w:tcPr>
            <w:tcW w:w="1486" w:type="dxa"/>
          </w:tcPr>
          <w:p w:rsidR="00D849AA" w:rsidRPr="000E4589" w:rsidRDefault="00EE6D95">
            <w:pPr>
              <w:rPr>
                <w:rFonts w:ascii="Arial" w:hAnsi="Arial" w:cs="Arial"/>
              </w:rPr>
            </w:pPr>
            <w:r w:rsidRPr="000E4589">
              <w:rPr>
                <w:rFonts w:ascii="Arial" w:hAnsi="Arial" w:cs="Arial"/>
              </w:rPr>
              <w:t>4.000.000</w:t>
            </w:r>
          </w:p>
        </w:tc>
        <w:tc>
          <w:tcPr>
            <w:tcW w:w="1486" w:type="dxa"/>
          </w:tcPr>
          <w:p w:rsidR="00D849AA" w:rsidRPr="000E4589" w:rsidRDefault="00EE6D95">
            <w:pPr>
              <w:rPr>
                <w:rFonts w:ascii="Arial" w:hAnsi="Arial" w:cs="Arial"/>
              </w:rPr>
            </w:pPr>
            <w:r w:rsidRPr="000E4589">
              <w:rPr>
                <w:rFonts w:ascii="Arial" w:hAnsi="Arial" w:cs="Arial"/>
              </w:rPr>
              <w:t>40,0</w:t>
            </w:r>
          </w:p>
        </w:tc>
      </w:tr>
    </w:tbl>
    <w:p w:rsidR="00D849AA" w:rsidRDefault="00D849AA">
      <w:pPr>
        <w:jc w:val="left"/>
      </w:pPr>
    </w:p>
    <w:p w:rsidR="00D849AA" w:rsidRDefault="00EE6D95">
      <w:pPr>
        <w:pStyle w:val="Normal6"/>
      </w:pPr>
      <w:r>
        <w:t>Predviđena sredstva će se koristiti za sanaciju i restrukturiranje pojedinih industrijskih grana, i to zbog poteškoća i negativnih kretanja poslovanja grane ili poremećaja na tržištu, na koja ukazuju tipični pokazatelji kao što su gubitak tržišta, pad ukupnih prihoda, smanjenja indeksa proizvodnje u ukupnoj industriji, gubici u poslovanju itd</w:t>
      </w:r>
    </w:p>
    <w:p w:rsidR="00D849AA" w:rsidRDefault="00EE6D95">
      <w:pPr>
        <w:pStyle w:val="Naslov6"/>
      </w:pPr>
      <w:r>
        <w:t>A817028 RAZVOJ I JAČANJE KONKURENTNOSTI BRODOGRADILIŠTA KROZ INOVACIJE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rsidRPr="000E4589">
        <w:trPr>
          <w:jc w:val="center"/>
        </w:trPr>
        <w:tc>
          <w:tcPr>
            <w:tcW w:w="1486" w:type="dxa"/>
            <w:shd w:val="clear" w:color="auto" w:fill="B5C0D8"/>
          </w:tcPr>
          <w:p w:rsidR="00D849AA" w:rsidRPr="000E4589" w:rsidRDefault="00EE6D95">
            <w:pPr>
              <w:pStyle w:val="CellHeader"/>
            </w:pPr>
            <w:r w:rsidRPr="000E4589">
              <w:t>Naziv aktivnosti</w:t>
            </w:r>
          </w:p>
        </w:tc>
        <w:tc>
          <w:tcPr>
            <w:tcW w:w="1486" w:type="dxa"/>
            <w:shd w:val="clear" w:color="auto" w:fill="B5C0D8"/>
          </w:tcPr>
          <w:p w:rsidR="00D849AA" w:rsidRPr="000E4589" w:rsidRDefault="00EE6D95">
            <w:pPr>
              <w:pStyle w:val="CellHeader"/>
            </w:pPr>
            <w:r w:rsidRPr="000E4589">
              <w:t>Plan 2013.</w:t>
            </w:r>
          </w:p>
        </w:tc>
        <w:tc>
          <w:tcPr>
            <w:tcW w:w="1486" w:type="dxa"/>
            <w:shd w:val="clear" w:color="auto" w:fill="B5C0D8"/>
          </w:tcPr>
          <w:p w:rsidR="00D849AA" w:rsidRPr="000E4589" w:rsidRDefault="00EE6D95">
            <w:pPr>
              <w:pStyle w:val="CellHeader"/>
            </w:pPr>
            <w:r w:rsidRPr="000E4589">
              <w:t>Plan 2014.</w:t>
            </w:r>
          </w:p>
        </w:tc>
        <w:tc>
          <w:tcPr>
            <w:tcW w:w="1486" w:type="dxa"/>
            <w:shd w:val="clear" w:color="auto" w:fill="B5C0D8"/>
          </w:tcPr>
          <w:p w:rsidR="00D849AA" w:rsidRPr="000E4589" w:rsidRDefault="00EE6D95">
            <w:pPr>
              <w:pStyle w:val="CellHeader"/>
            </w:pPr>
            <w:r w:rsidRPr="000E4589">
              <w:t>Plan 2015.</w:t>
            </w:r>
          </w:p>
        </w:tc>
        <w:tc>
          <w:tcPr>
            <w:tcW w:w="1486" w:type="dxa"/>
            <w:shd w:val="clear" w:color="auto" w:fill="B5C0D8"/>
          </w:tcPr>
          <w:p w:rsidR="00D849AA" w:rsidRPr="000E4589" w:rsidRDefault="00EE6D95">
            <w:pPr>
              <w:pStyle w:val="CellHeader"/>
            </w:pPr>
            <w:r w:rsidRPr="000E4589">
              <w:t>Plan 2016.</w:t>
            </w:r>
          </w:p>
        </w:tc>
        <w:tc>
          <w:tcPr>
            <w:tcW w:w="1486" w:type="dxa"/>
            <w:shd w:val="clear" w:color="auto" w:fill="B5C0D8"/>
          </w:tcPr>
          <w:p w:rsidR="00D849AA" w:rsidRPr="000E4589" w:rsidRDefault="00EE6D95">
            <w:pPr>
              <w:pStyle w:val="CellHeader"/>
            </w:pPr>
            <w:r w:rsidRPr="000E4589">
              <w:t>Indeks 2014/2013</w:t>
            </w:r>
          </w:p>
        </w:tc>
      </w:tr>
      <w:tr w:rsidR="00D849AA" w:rsidRPr="000E4589">
        <w:trPr>
          <w:jc w:val="center"/>
        </w:trPr>
        <w:tc>
          <w:tcPr>
            <w:tcW w:w="1486" w:type="dxa"/>
          </w:tcPr>
          <w:p w:rsidR="00D849AA" w:rsidRPr="000E4589" w:rsidRDefault="00EE6D95">
            <w:pPr>
              <w:pStyle w:val="CellColumn"/>
            </w:pPr>
            <w:r w:rsidRPr="000E4589">
              <w:t>A817028</w:t>
            </w:r>
          </w:p>
        </w:tc>
        <w:tc>
          <w:tcPr>
            <w:tcW w:w="1486" w:type="dxa"/>
          </w:tcPr>
          <w:p w:rsidR="00D849AA" w:rsidRPr="000E4589" w:rsidRDefault="00EE6D95">
            <w:pPr>
              <w:rPr>
                <w:rFonts w:ascii="Arial" w:hAnsi="Arial" w:cs="Arial"/>
              </w:rPr>
            </w:pPr>
            <w:r w:rsidRPr="000E4589">
              <w:rPr>
                <w:rFonts w:ascii="Arial" w:hAnsi="Arial" w:cs="Arial"/>
              </w:rPr>
              <w:t>10.000.000</w:t>
            </w:r>
          </w:p>
        </w:tc>
        <w:tc>
          <w:tcPr>
            <w:tcW w:w="1486" w:type="dxa"/>
          </w:tcPr>
          <w:p w:rsidR="00D849AA" w:rsidRPr="000E4589" w:rsidRDefault="00EE6D95">
            <w:pPr>
              <w:rPr>
                <w:rFonts w:ascii="Arial" w:hAnsi="Arial" w:cs="Arial"/>
              </w:rPr>
            </w:pPr>
            <w:r w:rsidRPr="000E4589">
              <w:rPr>
                <w:rFonts w:ascii="Arial" w:hAnsi="Arial" w:cs="Arial"/>
              </w:rPr>
              <w:t>5.000.000</w:t>
            </w:r>
          </w:p>
        </w:tc>
        <w:tc>
          <w:tcPr>
            <w:tcW w:w="1486" w:type="dxa"/>
          </w:tcPr>
          <w:p w:rsidR="00D849AA" w:rsidRPr="000E4589" w:rsidRDefault="00EE6D95">
            <w:pPr>
              <w:rPr>
                <w:rFonts w:ascii="Arial" w:hAnsi="Arial" w:cs="Arial"/>
              </w:rPr>
            </w:pPr>
            <w:r w:rsidRPr="000E4589">
              <w:rPr>
                <w:rFonts w:ascii="Arial" w:hAnsi="Arial" w:cs="Arial"/>
              </w:rPr>
              <w:t>5.000.000</w:t>
            </w:r>
          </w:p>
        </w:tc>
        <w:tc>
          <w:tcPr>
            <w:tcW w:w="1486" w:type="dxa"/>
          </w:tcPr>
          <w:p w:rsidR="00D849AA" w:rsidRPr="000E4589" w:rsidRDefault="00EE6D95">
            <w:pPr>
              <w:rPr>
                <w:rFonts w:ascii="Arial" w:hAnsi="Arial" w:cs="Arial"/>
              </w:rPr>
            </w:pPr>
            <w:r w:rsidRPr="000E4589">
              <w:rPr>
                <w:rFonts w:ascii="Arial" w:hAnsi="Arial" w:cs="Arial"/>
              </w:rPr>
              <w:t>10.000.000</w:t>
            </w:r>
          </w:p>
        </w:tc>
        <w:tc>
          <w:tcPr>
            <w:tcW w:w="1486" w:type="dxa"/>
          </w:tcPr>
          <w:p w:rsidR="00D849AA" w:rsidRPr="000E4589" w:rsidRDefault="00EE6D95">
            <w:pPr>
              <w:rPr>
                <w:rFonts w:ascii="Arial" w:hAnsi="Arial" w:cs="Arial"/>
              </w:rPr>
            </w:pPr>
            <w:r w:rsidRPr="000E4589">
              <w:rPr>
                <w:rFonts w:ascii="Arial" w:hAnsi="Arial" w:cs="Arial"/>
              </w:rPr>
              <w:t>50,0</w:t>
            </w:r>
          </w:p>
        </w:tc>
      </w:tr>
    </w:tbl>
    <w:p w:rsidR="00D849AA" w:rsidRPr="000E4589" w:rsidRDefault="00D849AA">
      <w:pPr>
        <w:jc w:val="left"/>
        <w:rPr>
          <w:rFonts w:ascii="Arial" w:hAnsi="Arial" w:cs="Arial"/>
        </w:rPr>
      </w:pPr>
    </w:p>
    <w:p w:rsidR="00D849AA" w:rsidRDefault="00EE6D95">
      <w:pPr>
        <w:pStyle w:val="Normal6"/>
      </w:pPr>
      <w:r>
        <w:t xml:space="preserve">Sredstva unutar ove stavke su namijenjena za unapređenje tehnološkog razvoja poslovnih modela i profitabilnosti u brodogradilištima. To će dovesti do povećanja zaposlenosti, </w:t>
      </w:r>
      <w:r>
        <w:lastRenderedPageBreak/>
        <w:t xml:space="preserve">povećanja BDP – a i tehnološkog razvoja. Posljedično će se postići i očuvati socijalna i ekonomska kohezija u županijama. </w:t>
      </w:r>
    </w:p>
    <w:p w:rsidR="00D849AA" w:rsidRDefault="00EE6D95">
      <w:pPr>
        <w:pStyle w:val="Normal6"/>
      </w:pPr>
      <w:r>
        <w:t>Primjena novih tehnologija i inovacija u segmentu male brodogradnje koji uključuje poduzetnike koji se bave proizvodnjom, popravkom ili preinakama malih plovila i prateće opreme.</w:t>
      </w:r>
    </w:p>
    <w:p w:rsidR="006B1EA0" w:rsidRDefault="006B1EA0">
      <w:pPr>
        <w:pStyle w:val="Normal6"/>
      </w:pP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73"/>
        <w:gridCol w:w="1114"/>
        <w:gridCol w:w="1486"/>
        <w:gridCol w:w="1486"/>
        <w:gridCol w:w="1486"/>
      </w:tblGrid>
      <w:tr w:rsidR="00D849AA">
        <w:trPr>
          <w:jc w:val="center"/>
        </w:trPr>
        <w:tc>
          <w:tcPr>
            <w:tcW w:w="2229" w:type="dxa"/>
            <w:shd w:val="clear" w:color="auto" w:fill="B5C0D8"/>
          </w:tcPr>
          <w:p w:rsidR="00D849AA" w:rsidRPr="000E4589" w:rsidRDefault="00EE6D95">
            <w:pPr>
              <w:rPr>
                <w:rFonts w:ascii="Arial" w:hAnsi="Arial" w:cs="Arial"/>
              </w:rPr>
            </w:pPr>
            <w:r w:rsidRPr="000E4589">
              <w:rPr>
                <w:rFonts w:ascii="Arial" w:hAnsi="Arial" w:cs="Arial"/>
              </w:rPr>
              <w:t>Pokazatelj rezultata</w:t>
            </w:r>
          </w:p>
        </w:tc>
        <w:tc>
          <w:tcPr>
            <w:tcW w:w="1114" w:type="dxa"/>
            <w:shd w:val="clear" w:color="auto" w:fill="B5C0D8"/>
          </w:tcPr>
          <w:p w:rsidR="00D849AA" w:rsidRPr="000E4589" w:rsidRDefault="00EE6D95">
            <w:pPr>
              <w:pStyle w:val="CellHeader"/>
            </w:pPr>
            <w:r w:rsidRPr="000E4589">
              <w:t>Jedinica</w:t>
            </w:r>
          </w:p>
        </w:tc>
        <w:tc>
          <w:tcPr>
            <w:tcW w:w="1114" w:type="dxa"/>
            <w:shd w:val="clear" w:color="auto" w:fill="B5C0D8"/>
          </w:tcPr>
          <w:p w:rsidR="00D849AA" w:rsidRPr="000E4589" w:rsidRDefault="00EE6D95">
            <w:pPr>
              <w:pStyle w:val="CellHeader"/>
            </w:pPr>
            <w:r w:rsidRPr="000E4589">
              <w:t>Polazna vrijednost</w:t>
            </w:r>
          </w:p>
        </w:tc>
        <w:tc>
          <w:tcPr>
            <w:tcW w:w="1486" w:type="dxa"/>
            <w:shd w:val="clear" w:color="auto" w:fill="B5C0D8"/>
          </w:tcPr>
          <w:p w:rsidR="00D849AA" w:rsidRPr="000E4589" w:rsidRDefault="00EE6D95">
            <w:pPr>
              <w:pStyle w:val="CellHeader"/>
            </w:pPr>
            <w:r w:rsidRPr="000E4589">
              <w:t>Ciljana vrijednost (2014.)</w:t>
            </w:r>
          </w:p>
        </w:tc>
        <w:tc>
          <w:tcPr>
            <w:tcW w:w="1486" w:type="dxa"/>
            <w:shd w:val="clear" w:color="auto" w:fill="B5C0D8"/>
          </w:tcPr>
          <w:p w:rsidR="00D849AA" w:rsidRPr="000E4589" w:rsidRDefault="00EE6D95">
            <w:pPr>
              <w:pStyle w:val="CellHeader"/>
            </w:pPr>
            <w:r w:rsidRPr="000E4589">
              <w:t>Ciljana vrijednost (2015.)</w:t>
            </w:r>
          </w:p>
        </w:tc>
        <w:tc>
          <w:tcPr>
            <w:tcW w:w="1486" w:type="dxa"/>
            <w:shd w:val="clear" w:color="auto" w:fill="B5C0D8"/>
          </w:tcPr>
          <w:p w:rsidR="00D849AA" w:rsidRPr="000E4589" w:rsidRDefault="00EE6D95">
            <w:pPr>
              <w:pStyle w:val="CellHeader"/>
            </w:pPr>
            <w:r w:rsidRPr="000E4589">
              <w:t>Ciljana vrijednost (2016.)</w:t>
            </w:r>
          </w:p>
        </w:tc>
      </w:tr>
      <w:tr w:rsidR="00D849AA">
        <w:trPr>
          <w:jc w:val="center"/>
        </w:trPr>
        <w:tc>
          <w:tcPr>
            <w:tcW w:w="2229" w:type="dxa"/>
          </w:tcPr>
          <w:p w:rsidR="00D849AA" w:rsidRPr="000E4589" w:rsidRDefault="00EE6D95">
            <w:pPr>
              <w:pStyle w:val="CellColumn"/>
            </w:pPr>
            <w:r w:rsidRPr="000E4589">
              <w:t>Broj zaposlenih u brodogradilištima</w:t>
            </w:r>
          </w:p>
        </w:tc>
        <w:tc>
          <w:tcPr>
            <w:tcW w:w="1114" w:type="dxa"/>
          </w:tcPr>
          <w:p w:rsidR="00D849AA" w:rsidRPr="000E4589" w:rsidRDefault="00EE6D95">
            <w:pPr>
              <w:rPr>
                <w:rFonts w:ascii="Arial" w:hAnsi="Arial" w:cs="Arial"/>
              </w:rPr>
            </w:pPr>
            <w:r w:rsidRPr="000E4589">
              <w:rPr>
                <w:rFonts w:ascii="Arial" w:hAnsi="Arial" w:cs="Arial"/>
              </w:rPr>
              <w:t>broj stalno zaposlenih</w:t>
            </w:r>
          </w:p>
        </w:tc>
        <w:tc>
          <w:tcPr>
            <w:tcW w:w="1114" w:type="dxa"/>
          </w:tcPr>
          <w:p w:rsidR="00D849AA" w:rsidRPr="000E4589" w:rsidRDefault="00EE6D95">
            <w:pPr>
              <w:rPr>
                <w:rFonts w:ascii="Arial" w:hAnsi="Arial" w:cs="Arial"/>
              </w:rPr>
            </w:pPr>
            <w:r w:rsidRPr="000E4589">
              <w:rPr>
                <w:rFonts w:ascii="Arial" w:hAnsi="Arial" w:cs="Arial"/>
              </w:rPr>
              <w:t xml:space="preserve">2009. god. </w:t>
            </w:r>
          </w:p>
          <w:p w:rsidR="00D849AA" w:rsidRPr="000E4589" w:rsidRDefault="00EE6D95">
            <w:pPr>
              <w:rPr>
                <w:rFonts w:ascii="Arial" w:hAnsi="Arial" w:cs="Arial"/>
              </w:rPr>
            </w:pPr>
            <w:r w:rsidRPr="000E4589">
              <w:rPr>
                <w:rFonts w:ascii="Arial" w:hAnsi="Arial" w:cs="Arial"/>
              </w:rPr>
              <w:t>= 10.000</w:t>
            </w:r>
          </w:p>
        </w:tc>
        <w:tc>
          <w:tcPr>
            <w:tcW w:w="1486" w:type="dxa"/>
          </w:tcPr>
          <w:p w:rsidR="00D849AA" w:rsidRPr="000E4589" w:rsidRDefault="00EE6D95">
            <w:pPr>
              <w:rPr>
                <w:rFonts w:ascii="Arial" w:hAnsi="Arial" w:cs="Arial"/>
              </w:rPr>
            </w:pPr>
            <w:r w:rsidRPr="000E4589">
              <w:rPr>
                <w:rFonts w:ascii="Arial" w:hAnsi="Arial" w:cs="Arial"/>
              </w:rPr>
              <w:t>9.000</w:t>
            </w:r>
          </w:p>
        </w:tc>
        <w:tc>
          <w:tcPr>
            <w:tcW w:w="1486" w:type="dxa"/>
          </w:tcPr>
          <w:p w:rsidR="00D849AA" w:rsidRPr="000E4589" w:rsidRDefault="00EE6D95">
            <w:pPr>
              <w:rPr>
                <w:rFonts w:ascii="Arial" w:hAnsi="Arial" w:cs="Arial"/>
              </w:rPr>
            </w:pPr>
            <w:r w:rsidRPr="000E4589">
              <w:rPr>
                <w:rFonts w:ascii="Arial" w:hAnsi="Arial" w:cs="Arial"/>
              </w:rPr>
              <w:t>9.500</w:t>
            </w:r>
          </w:p>
        </w:tc>
        <w:tc>
          <w:tcPr>
            <w:tcW w:w="1486" w:type="dxa"/>
          </w:tcPr>
          <w:p w:rsidR="00D849AA" w:rsidRPr="000E4589" w:rsidRDefault="00EE6D95">
            <w:pPr>
              <w:rPr>
                <w:rFonts w:ascii="Arial" w:hAnsi="Arial" w:cs="Arial"/>
              </w:rPr>
            </w:pPr>
            <w:r w:rsidRPr="000E4589">
              <w:rPr>
                <w:rFonts w:ascii="Arial" w:hAnsi="Arial" w:cs="Arial"/>
              </w:rPr>
              <w:t>10.500</w:t>
            </w:r>
          </w:p>
        </w:tc>
      </w:tr>
    </w:tbl>
    <w:p w:rsidR="00D849AA" w:rsidRDefault="00D849AA">
      <w:pPr>
        <w:jc w:val="left"/>
      </w:pPr>
    </w:p>
    <w:p w:rsidR="00D849AA" w:rsidRDefault="00EE6D95">
      <w:pPr>
        <w:pStyle w:val="Naslov6"/>
      </w:pPr>
      <w:r>
        <w:t>A817044 JAMSTVENI FOND ZA INDUSTRIJU I INOVACIJE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rsidRPr="000E4589">
        <w:trPr>
          <w:jc w:val="center"/>
        </w:trPr>
        <w:tc>
          <w:tcPr>
            <w:tcW w:w="1486" w:type="dxa"/>
            <w:shd w:val="clear" w:color="auto" w:fill="B5C0D8"/>
          </w:tcPr>
          <w:p w:rsidR="00D849AA" w:rsidRPr="000E4589" w:rsidRDefault="00EE6D95">
            <w:pPr>
              <w:pStyle w:val="CellHeader"/>
            </w:pPr>
            <w:r w:rsidRPr="000E4589">
              <w:t>Naziv aktivnosti</w:t>
            </w:r>
          </w:p>
        </w:tc>
        <w:tc>
          <w:tcPr>
            <w:tcW w:w="1486" w:type="dxa"/>
            <w:shd w:val="clear" w:color="auto" w:fill="B5C0D8"/>
          </w:tcPr>
          <w:p w:rsidR="00D849AA" w:rsidRPr="000E4589" w:rsidRDefault="00EE6D95">
            <w:pPr>
              <w:pStyle w:val="CellHeader"/>
            </w:pPr>
            <w:r w:rsidRPr="000E4589">
              <w:t>Plan 2013.</w:t>
            </w:r>
          </w:p>
        </w:tc>
        <w:tc>
          <w:tcPr>
            <w:tcW w:w="1486" w:type="dxa"/>
            <w:shd w:val="clear" w:color="auto" w:fill="B5C0D8"/>
          </w:tcPr>
          <w:p w:rsidR="00D849AA" w:rsidRPr="000E4589" w:rsidRDefault="00EE6D95">
            <w:pPr>
              <w:pStyle w:val="CellHeader"/>
            </w:pPr>
            <w:r w:rsidRPr="000E4589">
              <w:t>Plan 2014.</w:t>
            </w:r>
          </w:p>
        </w:tc>
        <w:tc>
          <w:tcPr>
            <w:tcW w:w="1486" w:type="dxa"/>
            <w:shd w:val="clear" w:color="auto" w:fill="B5C0D8"/>
          </w:tcPr>
          <w:p w:rsidR="00D849AA" w:rsidRPr="000E4589" w:rsidRDefault="00EE6D95">
            <w:pPr>
              <w:pStyle w:val="CellHeader"/>
            </w:pPr>
            <w:r w:rsidRPr="000E4589">
              <w:t>Plan 2015.</w:t>
            </w:r>
          </w:p>
        </w:tc>
        <w:tc>
          <w:tcPr>
            <w:tcW w:w="1486" w:type="dxa"/>
            <w:shd w:val="clear" w:color="auto" w:fill="B5C0D8"/>
          </w:tcPr>
          <w:p w:rsidR="00D849AA" w:rsidRPr="000E4589" w:rsidRDefault="00EE6D95">
            <w:pPr>
              <w:pStyle w:val="CellHeader"/>
            </w:pPr>
            <w:r w:rsidRPr="000E4589">
              <w:t>Plan 2016.</w:t>
            </w:r>
          </w:p>
        </w:tc>
        <w:tc>
          <w:tcPr>
            <w:tcW w:w="1486" w:type="dxa"/>
            <w:shd w:val="clear" w:color="auto" w:fill="B5C0D8"/>
          </w:tcPr>
          <w:p w:rsidR="00D849AA" w:rsidRPr="000E4589" w:rsidRDefault="00EE6D95">
            <w:pPr>
              <w:pStyle w:val="CellHeader"/>
            </w:pPr>
            <w:r w:rsidRPr="000E4589">
              <w:t>Indeks 2014/2013</w:t>
            </w:r>
          </w:p>
        </w:tc>
      </w:tr>
      <w:tr w:rsidR="00D849AA" w:rsidRPr="000E4589">
        <w:trPr>
          <w:jc w:val="center"/>
        </w:trPr>
        <w:tc>
          <w:tcPr>
            <w:tcW w:w="1486" w:type="dxa"/>
          </w:tcPr>
          <w:p w:rsidR="00D849AA" w:rsidRPr="000E4589" w:rsidRDefault="00EE6D95">
            <w:pPr>
              <w:pStyle w:val="CellColumn"/>
            </w:pPr>
            <w:r w:rsidRPr="000E4589">
              <w:t>A817044</w:t>
            </w:r>
          </w:p>
        </w:tc>
        <w:tc>
          <w:tcPr>
            <w:tcW w:w="1486" w:type="dxa"/>
          </w:tcPr>
          <w:p w:rsidR="00D849AA" w:rsidRPr="000E4589" w:rsidRDefault="00EE6D95">
            <w:pPr>
              <w:rPr>
                <w:rFonts w:ascii="Arial" w:hAnsi="Arial" w:cs="Arial"/>
              </w:rPr>
            </w:pPr>
            <w:r w:rsidRPr="000E4589">
              <w:rPr>
                <w:rFonts w:ascii="Arial" w:hAnsi="Arial" w:cs="Arial"/>
              </w:rPr>
              <w:t>18.000.000</w:t>
            </w:r>
          </w:p>
        </w:tc>
        <w:tc>
          <w:tcPr>
            <w:tcW w:w="1486" w:type="dxa"/>
          </w:tcPr>
          <w:p w:rsidR="00D849AA" w:rsidRPr="000E4589" w:rsidRDefault="00EE6D95">
            <w:pPr>
              <w:rPr>
                <w:rFonts w:ascii="Arial" w:hAnsi="Arial" w:cs="Arial"/>
              </w:rPr>
            </w:pPr>
            <w:r w:rsidRPr="000E4589">
              <w:rPr>
                <w:rFonts w:ascii="Arial" w:hAnsi="Arial" w:cs="Arial"/>
              </w:rPr>
              <w:t>40.000.000</w:t>
            </w:r>
          </w:p>
        </w:tc>
        <w:tc>
          <w:tcPr>
            <w:tcW w:w="1486" w:type="dxa"/>
          </w:tcPr>
          <w:p w:rsidR="00D849AA" w:rsidRPr="000E4589" w:rsidRDefault="00EE6D95">
            <w:pPr>
              <w:rPr>
                <w:rFonts w:ascii="Arial" w:hAnsi="Arial" w:cs="Arial"/>
              </w:rPr>
            </w:pPr>
            <w:r w:rsidRPr="000E4589">
              <w:rPr>
                <w:rFonts w:ascii="Arial" w:hAnsi="Arial" w:cs="Arial"/>
              </w:rPr>
              <w:t>30.000.000</w:t>
            </w:r>
          </w:p>
        </w:tc>
        <w:tc>
          <w:tcPr>
            <w:tcW w:w="1486" w:type="dxa"/>
          </w:tcPr>
          <w:p w:rsidR="00D849AA" w:rsidRPr="000E4589" w:rsidRDefault="00EE6D95">
            <w:pPr>
              <w:rPr>
                <w:rFonts w:ascii="Arial" w:hAnsi="Arial" w:cs="Arial"/>
              </w:rPr>
            </w:pPr>
            <w:r w:rsidRPr="000E4589">
              <w:rPr>
                <w:rFonts w:ascii="Arial" w:hAnsi="Arial" w:cs="Arial"/>
              </w:rPr>
              <w:t>60.000.000</w:t>
            </w:r>
          </w:p>
        </w:tc>
        <w:tc>
          <w:tcPr>
            <w:tcW w:w="1486" w:type="dxa"/>
          </w:tcPr>
          <w:p w:rsidR="00D849AA" w:rsidRPr="000E4589" w:rsidRDefault="00EE6D95">
            <w:pPr>
              <w:rPr>
                <w:rFonts w:ascii="Arial" w:hAnsi="Arial" w:cs="Arial"/>
              </w:rPr>
            </w:pPr>
            <w:r w:rsidRPr="000E4589">
              <w:rPr>
                <w:rFonts w:ascii="Arial" w:hAnsi="Arial" w:cs="Arial"/>
              </w:rPr>
              <w:t>222,2</w:t>
            </w:r>
          </w:p>
        </w:tc>
      </w:tr>
    </w:tbl>
    <w:p w:rsidR="00D849AA" w:rsidRPr="000E4589" w:rsidRDefault="00D849AA">
      <w:pPr>
        <w:jc w:val="left"/>
        <w:rPr>
          <w:rFonts w:ascii="Arial" w:hAnsi="Arial" w:cs="Arial"/>
        </w:rPr>
      </w:pPr>
    </w:p>
    <w:p w:rsidR="00D849AA" w:rsidRDefault="00EE6D95">
      <w:pPr>
        <w:pStyle w:val="Normal6"/>
      </w:pPr>
      <w:r>
        <w:t xml:space="preserve">Planirana sredstva za ovu aktivnosti će se koristiti za potrebe programa Jamstvenog fonda za industriju i inovacije, odnosno za izdavanje jamstava subjektima gospodarstva koji ispunjavaju uvjete programa, za ulaganja u inovacije, te unaprjeđenje proizvodnje u prerađivačkoj industriji usmjerenoj na korištenje inovacija. Time bi se jačalo gospodarstvo i razvili pojedini industrijski sektori kroz veću dostupnost osiguranja dodatnog jamstva, te postigao ravnomjeran regionalan razvoj i socijalna kohezija. </w:t>
      </w:r>
    </w:p>
    <w:p w:rsidR="00D849AA" w:rsidRDefault="00EE6D95">
      <w:pPr>
        <w:pStyle w:val="Normal6"/>
      </w:pPr>
      <w:r>
        <w:t>U okviru ovih sredstava predviđaju se i sredstva sukladno Nacionalnoj strategiji inovacija RH 2013-2020, za financiranje Fonda za obrazovanje za inovacije i održivi razvoj, kojim će se stipendirati visoko obrazovanje usmjereno na potrebe gospodarstva pod uvjetima iz programa fonda.</w:t>
      </w:r>
    </w:p>
    <w:p w:rsidR="00D849AA" w:rsidRDefault="00EE6D95">
      <w:pPr>
        <w:pStyle w:val="Naslov6"/>
      </w:pPr>
      <w:r>
        <w:t>A817045 RAZVOJ I PROVEDBA PROJEKATA ZA PROMICANJE INDUSTRIJE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0E4589" w:rsidRDefault="00EE6D95">
            <w:pPr>
              <w:pStyle w:val="CellHeader"/>
            </w:pPr>
            <w:r w:rsidRPr="000E4589">
              <w:t>Naziv aktivnosti</w:t>
            </w:r>
          </w:p>
        </w:tc>
        <w:tc>
          <w:tcPr>
            <w:tcW w:w="1486" w:type="dxa"/>
            <w:shd w:val="clear" w:color="auto" w:fill="B5C0D8"/>
          </w:tcPr>
          <w:p w:rsidR="00D849AA" w:rsidRPr="000E4589" w:rsidRDefault="00EE6D95">
            <w:pPr>
              <w:pStyle w:val="CellHeader"/>
            </w:pPr>
            <w:r w:rsidRPr="000E4589">
              <w:t>Plan 2013.</w:t>
            </w:r>
          </w:p>
        </w:tc>
        <w:tc>
          <w:tcPr>
            <w:tcW w:w="1486" w:type="dxa"/>
            <w:shd w:val="clear" w:color="auto" w:fill="B5C0D8"/>
          </w:tcPr>
          <w:p w:rsidR="00D849AA" w:rsidRPr="000E4589" w:rsidRDefault="00EE6D95">
            <w:pPr>
              <w:pStyle w:val="CellHeader"/>
            </w:pPr>
            <w:r w:rsidRPr="000E4589">
              <w:t>Plan 2014.</w:t>
            </w:r>
          </w:p>
        </w:tc>
        <w:tc>
          <w:tcPr>
            <w:tcW w:w="1486" w:type="dxa"/>
            <w:shd w:val="clear" w:color="auto" w:fill="B5C0D8"/>
          </w:tcPr>
          <w:p w:rsidR="00D849AA" w:rsidRPr="000E4589" w:rsidRDefault="00EE6D95">
            <w:pPr>
              <w:pStyle w:val="CellHeader"/>
            </w:pPr>
            <w:r w:rsidRPr="000E4589">
              <w:t>Plan 2015.</w:t>
            </w:r>
          </w:p>
        </w:tc>
        <w:tc>
          <w:tcPr>
            <w:tcW w:w="1486" w:type="dxa"/>
            <w:shd w:val="clear" w:color="auto" w:fill="B5C0D8"/>
          </w:tcPr>
          <w:p w:rsidR="00D849AA" w:rsidRPr="000E4589" w:rsidRDefault="00EE6D95">
            <w:pPr>
              <w:pStyle w:val="CellHeader"/>
            </w:pPr>
            <w:r w:rsidRPr="000E4589">
              <w:t>Plan 2016.</w:t>
            </w:r>
          </w:p>
        </w:tc>
        <w:tc>
          <w:tcPr>
            <w:tcW w:w="1486" w:type="dxa"/>
            <w:shd w:val="clear" w:color="auto" w:fill="B5C0D8"/>
          </w:tcPr>
          <w:p w:rsidR="00D849AA" w:rsidRPr="000E4589" w:rsidRDefault="00EE6D95">
            <w:pPr>
              <w:pStyle w:val="CellHeader"/>
            </w:pPr>
            <w:r w:rsidRPr="000E4589">
              <w:t>Indeks 2014/2013</w:t>
            </w:r>
          </w:p>
        </w:tc>
      </w:tr>
      <w:tr w:rsidR="00D849AA">
        <w:trPr>
          <w:jc w:val="center"/>
        </w:trPr>
        <w:tc>
          <w:tcPr>
            <w:tcW w:w="1486" w:type="dxa"/>
          </w:tcPr>
          <w:p w:rsidR="00D849AA" w:rsidRPr="000E4589" w:rsidRDefault="00EE6D95">
            <w:pPr>
              <w:pStyle w:val="CellColumn"/>
            </w:pPr>
            <w:r w:rsidRPr="000E4589">
              <w:t>A817045</w:t>
            </w:r>
          </w:p>
        </w:tc>
        <w:tc>
          <w:tcPr>
            <w:tcW w:w="1486" w:type="dxa"/>
          </w:tcPr>
          <w:p w:rsidR="00D849AA" w:rsidRPr="000E4589" w:rsidRDefault="00EE6D95">
            <w:pPr>
              <w:rPr>
                <w:rFonts w:ascii="Arial" w:hAnsi="Arial" w:cs="Arial"/>
              </w:rPr>
            </w:pPr>
            <w:r w:rsidRPr="000E4589">
              <w:rPr>
                <w:rFonts w:ascii="Arial" w:hAnsi="Arial" w:cs="Arial"/>
              </w:rPr>
              <w:t>4.670.000</w:t>
            </w:r>
          </w:p>
        </w:tc>
        <w:tc>
          <w:tcPr>
            <w:tcW w:w="1486" w:type="dxa"/>
          </w:tcPr>
          <w:p w:rsidR="00D849AA" w:rsidRPr="000E4589" w:rsidRDefault="00EE6D95">
            <w:pPr>
              <w:rPr>
                <w:rFonts w:ascii="Arial" w:hAnsi="Arial" w:cs="Arial"/>
              </w:rPr>
            </w:pPr>
            <w:r w:rsidRPr="000E4589">
              <w:rPr>
                <w:rFonts w:ascii="Arial" w:hAnsi="Arial" w:cs="Arial"/>
              </w:rPr>
              <w:t>12.700.000</w:t>
            </w:r>
          </w:p>
        </w:tc>
        <w:tc>
          <w:tcPr>
            <w:tcW w:w="1486" w:type="dxa"/>
          </w:tcPr>
          <w:p w:rsidR="00D849AA" w:rsidRPr="000E4589" w:rsidRDefault="00EE6D95">
            <w:pPr>
              <w:rPr>
                <w:rFonts w:ascii="Arial" w:hAnsi="Arial" w:cs="Arial"/>
              </w:rPr>
            </w:pPr>
            <w:r w:rsidRPr="000E4589">
              <w:rPr>
                <w:rFonts w:ascii="Arial" w:hAnsi="Arial" w:cs="Arial"/>
              </w:rPr>
              <w:t>00</w:t>
            </w:r>
          </w:p>
        </w:tc>
        <w:tc>
          <w:tcPr>
            <w:tcW w:w="1486" w:type="dxa"/>
          </w:tcPr>
          <w:p w:rsidR="00D849AA" w:rsidRPr="000E4589" w:rsidRDefault="00EE6D95">
            <w:pPr>
              <w:rPr>
                <w:rFonts w:ascii="Arial" w:hAnsi="Arial" w:cs="Arial"/>
              </w:rPr>
            </w:pPr>
            <w:r w:rsidRPr="000E4589">
              <w:rPr>
                <w:rFonts w:ascii="Arial" w:hAnsi="Arial" w:cs="Arial"/>
              </w:rPr>
              <w:t>00</w:t>
            </w:r>
          </w:p>
        </w:tc>
        <w:tc>
          <w:tcPr>
            <w:tcW w:w="1486" w:type="dxa"/>
          </w:tcPr>
          <w:p w:rsidR="00D849AA" w:rsidRPr="000E4589" w:rsidRDefault="00EE6D95">
            <w:pPr>
              <w:rPr>
                <w:rFonts w:ascii="Arial" w:hAnsi="Arial" w:cs="Arial"/>
              </w:rPr>
            </w:pPr>
            <w:r w:rsidRPr="000E4589">
              <w:rPr>
                <w:rFonts w:ascii="Arial" w:hAnsi="Arial" w:cs="Arial"/>
              </w:rPr>
              <w:t>271,9</w:t>
            </w:r>
          </w:p>
        </w:tc>
      </w:tr>
    </w:tbl>
    <w:p w:rsidR="00D849AA" w:rsidRDefault="00D849AA">
      <w:pPr>
        <w:jc w:val="left"/>
      </w:pPr>
    </w:p>
    <w:p w:rsidR="00D849AA" w:rsidRDefault="00EE6D95">
      <w:pPr>
        <w:pStyle w:val="Normal6"/>
      </w:pPr>
      <w:r>
        <w:t xml:space="preserve">Sredstva su namijenjena za razvoj i provedbu projekata unutar pojedinih industrijskih grana koji će pridonijeti  promicanju industrije i gospodarskom razvoju s naglaskom na gospodarski razvoj pojedinih regija, te razvoj i provedba projekata unutar pojedinih industrijskih grana koji bi pridonijeli promicanju industrije i gospodarstva i stvaranju podržavajuće gospodarske klime. </w:t>
      </w:r>
    </w:p>
    <w:p w:rsidR="00D849AA" w:rsidRDefault="00EE6D95">
      <w:pPr>
        <w:pStyle w:val="Normal6"/>
      </w:pPr>
      <w:r>
        <w:lastRenderedPageBreak/>
        <w:t>Dodatno će se u okviru ovih projekata različite ciljne skupine upoznati s proizvodnim sektorima prerađivačke industrije radi poticanja razvoja stvaralaštva  i primjenu inovacija i novih tehnologija u industriji u cilju razvoja konkurentnosti hrvatskog gospodarstva.</w:t>
      </w:r>
    </w:p>
    <w:p w:rsidR="00D849AA" w:rsidRDefault="00EE6D95">
      <w:pPr>
        <w:pStyle w:val="Naslov6"/>
      </w:pPr>
      <w:r>
        <w:t>A817049 RAZVOJ I JAČANJE KONKURENTNOSTI PRERAĐIVAČKE INDUSTRIJE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rsidRPr="000E4589">
        <w:trPr>
          <w:jc w:val="center"/>
        </w:trPr>
        <w:tc>
          <w:tcPr>
            <w:tcW w:w="1486" w:type="dxa"/>
            <w:shd w:val="clear" w:color="auto" w:fill="B5C0D8"/>
          </w:tcPr>
          <w:p w:rsidR="00D849AA" w:rsidRPr="000E4589" w:rsidRDefault="00EE6D95">
            <w:pPr>
              <w:pStyle w:val="CellHeader"/>
            </w:pPr>
            <w:r w:rsidRPr="000E4589">
              <w:t>Naziv aktivnosti</w:t>
            </w:r>
          </w:p>
        </w:tc>
        <w:tc>
          <w:tcPr>
            <w:tcW w:w="1486" w:type="dxa"/>
            <w:shd w:val="clear" w:color="auto" w:fill="B5C0D8"/>
          </w:tcPr>
          <w:p w:rsidR="00D849AA" w:rsidRPr="000E4589" w:rsidRDefault="00EE6D95">
            <w:pPr>
              <w:pStyle w:val="CellHeader"/>
            </w:pPr>
            <w:r w:rsidRPr="000E4589">
              <w:t>Plan 2013.</w:t>
            </w:r>
          </w:p>
        </w:tc>
        <w:tc>
          <w:tcPr>
            <w:tcW w:w="1486" w:type="dxa"/>
            <w:shd w:val="clear" w:color="auto" w:fill="B5C0D8"/>
          </w:tcPr>
          <w:p w:rsidR="00D849AA" w:rsidRPr="000E4589" w:rsidRDefault="00EE6D95">
            <w:pPr>
              <w:pStyle w:val="CellHeader"/>
            </w:pPr>
            <w:r w:rsidRPr="000E4589">
              <w:t>Plan 2014.</w:t>
            </w:r>
          </w:p>
        </w:tc>
        <w:tc>
          <w:tcPr>
            <w:tcW w:w="1486" w:type="dxa"/>
            <w:shd w:val="clear" w:color="auto" w:fill="B5C0D8"/>
          </w:tcPr>
          <w:p w:rsidR="00D849AA" w:rsidRPr="000E4589" w:rsidRDefault="00EE6D95">
            <w:pPr>
              <w:pStyle w:val="CellHeader"/>
            </w:pPr>
            <w:r w:rsidRPr="000E4589">
              <w:t>Plan 2015.</w:t>
            </w:r>
          </w:p>
        </w:tc>
        <w:tc>
          <w:tcPr>
            <w:tcW w:w="1486" w:type="dxa"/>
            <w:shd w:val="clear" w:color="auto" w:fill="B5C0D8"/>
          </w:tcPr>
          <w:p w:rsidR="00D849AA" w:rsidRPr="000E4589" w:rsidRDefault="00EE6D95">
            <w:pPr>
              <w:pStyle w:val="CellHeader"/>
            </w:pPr>
            <w:r w:rsidRPr="000E4589">
              <w:t>Plan 2016.</w:t>
            </w:r>
          </w:p>
        </w:tc>
        <w:tc>
          <w:tcPr>
            <w:tcW w:w="1486" w:type="dxa"/>
            <w:shd w:val="clear" w:color="auto" w:fill="B5C0D8"/>
          </w:tcPr>
          <w:p w:rsidR="00D849AA" w:rsidRPr="000E4589" w:rsidRDefault="00EE6D95">
            <w:pPr>
              <w:pStyle w:val="CellHeader"/>
            </w:pPr>
            <w:r w:rsidRPr="000E4589">
              <w:t>Indeks 2014/2013</w:t>
            </w:r>
          </w:p>
        </w:tc>
      </w:tr>
      <w:tr w:rsidR="00D849AA" w:rsidRPr="000E4589">
        <w:trPr>
          <w:jc w:val="center"/>
        </w:trPr>
        <w:tc>
          <w:tcPr>
            <w:tcW w:w="1486" w:type="dxa"/>
          </w:tcPr>
          <w:p w:rsidR="00D849AA" w:rsidRPr="000E4589" w:rsidRDefault="00EE6D95">
            <w:pPr>
              <w:pStyle w:val="CellColumn"/>
            </w:pPr>
            <w:r w:rsidRPr="000E4589">
              <w:t>A817049</w:t>
            </w:r>
          </w:p>
        </w:tc>
        <w:tc>
          <w:tcPr>
            <w:tcW w:w="1486" w:type="dxa"/>
          </w:tcPr>
          <w:p w:rsidR="00D849AA" w:rsidRPr="000E4589" w:rsidRDefault="00EE6D95">
            <w:pPr>
              <w:rPr>
                <w:rFonts w:ascii="Arial" w:hAnsi="Arial" w:cs="Arial"/>
              </w:rPr>
            </w:pPr>
            <w:r w:rsidRPr="000E4589">
              <w:rPr>
                <w:rFonts w:ascii="Arial" w:hAnsi="Arial" w:cs="Arial"/>
              </w:rPr>
              <w:t>120.000.000</w:t>
            </w:r>
          </w:p>
        </w:tc>
        <w:tc>
          <w:tcPr>
            <w:tcW w:w="1486" w:type="dxa"/>
          </w:tcPr>
          <w:p w:rsidR="00D849AA" w:rsidRPr="000E4589" w:rsidRDefault="00EE6D95">
            <w:pPr>
              <w:rPr>
                <w:rFonts w:ascii="Arial" w:hAnsi="Arial" w:cs="Arial"/>
              </w:rPr>
            </w:pPr>
            <w:r w:rsidRPr="000E4589">
              <w:rPr>
                <w:rFonts w:ascii="Arial" w:hAnsi="Arial" w:cs="Arial"/>
              </w:rPr>
              <w:t>150.000.000</w:t>
            </w:r>
          </w:p>
        </w:tc>
        <w:tc>
          <w:tcPr>
            <w:tcW w:w="1486" w:type="dxa"/>
          </w:tcPr>
          <w:p w:rsidR="00D849AA" w:rsidRPr="000E4589" w:rsidRDefault="00EE6D95">
            <w:pPr>
              <w:rPr>
                <w:rFonts w:ascii="Arial" w:hAnsi="Arial" w:cs="Arial"/>
              </w:rPr>
            </w:pPr>
            <w:r w:rsidRPr="000E4589">
              <w:rPr>
                <w:rFonts w:ascii="Arial" w:hAnsi="Arial" w:cs="Arial"/>
              </w:rPr>
              <w:t>170.000.000</w:t>
            </w:r>
          </w:p>
        </w:tc>
        <w:tc>
          <w:tcPr>
            <w:tcW w:w="1486" w:type="dxa"/>
          </w:tcPr>
          <w:p w:rsidR="00D849AA" w:rsidRPr="000E4589" w:rsidRDefault="00EE6D95">
            <w:pPr>
              <w:rPr>
                <w:rFonts w:ascii="Arial" w:hAnsi="Arial" w:cs="Arial"/>
              </w:rPr>
            </w:pPr>
            <w:r w:rsidRPr="000E4589">
              <w:rPr>
                <w:rFonts w:ascii="Arial" w:hAnsi="Arial" w:cs="Arial"/>
              </w:rPr>
              <w:t>200.000.000</w:t>
            </w:r>
          </w:p>
        </w:tc>
        <w:tc>
          <w:tcPr>
            <w:tcW w:w="1486" w:type="dxa"/>
          </w:tcPr>
          <w:p w:rsidR="00D849AA" w:rsidRPr="000E4589" w:rsidRDefault="00EE6D95">
            <w:pPr>
              <w:rPr>
                <w:rFonts w:ascii="Arial" w:hAnsi="Arial" w:cs="Arial"/>
              </w:rPr>
            </w:pPr>
            <w:r w:rsidRPr="000E4589">
              <w:rPr>
                <w:rFonts w:ascii="Arial" w:hAnsi="Arial" w:cs="Arial"/>
              </w:rPr>
              <w:t>125,0</w:t>
            </w:r>
          </w:p>
        </w:tc>
      </w:tr>
    </w:tbl>
    <w:p w:rsidR="00D849AA" w:rsidRPr="000E4589" w:rsidRDefault="00D849AA">
      <w:pPr>
        <w:jc w:val="left"/>
        <w:rPr>
          <w:rFonts w:ascii="Arial" w:hAnsi="Arial" w:cs="Arial"/>
        </w:rPr>
      </w:pPr>
    </w:p>
    <w:p w:rsidR="00D849AA" w:rsidRDefault="00EE6D95">
      <w:pPr>
        <w:pStyle w:val="Normal6"/>
      </w:pPr>
      <w:r>
        <w:t xml:space="preserve">Aktivnosti vezane za razvoj i jačanje konkurentnosti industrije odnosi se prije svega na interventne mjere podrške očuvanja zaposlenosti i izvoza.  Osnovni cilj je zaustavljanje negativnog trenda zaposlenosti, sprečavanje velikih socijalnih i regionalnih rizika, zaustavljanje dezintegracije tehnološke baze, mobilizacija proizvodnih resursa, stabilizacija  </w:t>
      </w:r>
    </w:p>
    <w:p w:rsidR="00D849AA" w:rsidRDefault="00EE6D95">
      <w:pPr>
        <w:pStyle w:val="Normal6"/>
      </w:pPr>
      <w:r>
        <w:t xml:space="preserve">Podizanje konkurentnosti i sposobnosti proizvodnje izvoznih proizvoda s višom dodanom vrijednošću. </w:t>
      </w:r>
    </w:p>
    <w:p w:rsidR="00D849AA" w:rsidRDefault="00EE6D95">
      <w:pPr>
        <w:pStyle w:val="Normal6"/>
      </w:pPr>
      <w:r>
        <w:t>S obzirom na ograničena sredstva namijenjena za provedbu Operativnog programa regionalnih potpora za ulaganje u opremu nije moguće značajno utjecati na broj zaposlenih na razini prerađivačke industrije. Ciljane vrijednosti povećanja broja zaposlenih na razini primatelja potpore iznose 5%, a bruto dodane vrijednosti na razini primatelja potpore očekuje se u vrijednosti 2%</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73"/>
        <w:gridCol w:w="1114"/>
        <w:gridCol w:w="1486"/>
        <w:gridCol w:w="1486"/>
        <w:gridCol w:w="1486"/>
      </w:tblGrid>
      <w:tr w:rsidR="00D849AA" w:rsidRPr="000E4589">
        <w:trPr>
          <w:jc w:val="center"/>
        </w:trPr>
        <w:tc>
          <w:tcPr>
            <w:tcW w:w="2229" w:type="dxa"/>
            <w:shd w:val="clear" w:color="auto" w:fill="B5C0D8"/>
          </w:tcPr>
          <w:p w:rsidR="00D849AA" w:rsidRPr="000E4589" w:rsidRDefault="00EE6D95">
            <w:pPr>
              <w:rPr>
                <w:rFonts w:ascii="Arial" w:hAnsi="Arial" w:cs="Arial"/>
              </w:rPr>
            </w:pPr>
            <w:r w:rsidRPr="000E4589">
              <w:rPr>
                <w:rFonts w:ascii="Arial" w:hAnsi="Arial" w:cs="Arial"/>
              </w:rPr>
              <w:t>Pokazatelj rezultata</w:t>
            </w:r>
          </w:p>
        </w:tc>
        <w:tc>
          <w:tcPr>
            <w:tcW w:w="1114" w:type="dxa"/>
            <w:shd w:val="clear" w:color="auto" w:fill="B5C0D8"/>
          </w:tcPr>
          <w:p w:rsidR="00D849AA" w:rsidRPr="000E4589" w:rsidRDefault="00EE6D95">
            <w:pPr>
              <w:pStyle w:val="CellHeader"/>
            </w:pPr>
            <w:r w:rsidRPr="000E4589">
              <w:t>Jedinica</w:t>
            </w:r>
          </w:p>
        </w:tc>
        <w:tc>
          <w:tcPr>
            <w:tcW w:w="1114" w:type="dxa"/>
            <w:shd w:val="clear" w:color="auto" w:fill="B5C0D8"/>
          </w:tcPr>
          <w:p w:rsidR="00D849AA" w:rsidRPr="000E4589" w:rsidRDefault="00EE6D95">
            <w:pPr>
              <w:pStyle w:val="CellHeader"/>
            </w:pPr>
            <w:r w:rsidRPr="000E4589">
              <w:t>Polazna vrijednost</w:t>
            </w:r>
          </w:p>
        </w:tc>
        <w:tc>
          <w:tcPr>
            <w:tcW w:w="1486" w:type="dxa"/>
            <w:shd w:val="clear" w:color="auto" w:fill="B5C0D8"/>
          </w:tcPr>
          <w:p w:rsidR="00D849AA" w:rsidRPr="000E4589" w:rsidRDefault="00EE6D95">
            <w:pPr>
              <w:pStyle w:val="CellHeader"/>
            </w:pPr>
            <w:r w:rsidRPr="000E4589">
              <w:t>Ciljana vrijednost (2014.)</w:t>
            </w:r>
          </w:p>
        </w:tc>
        <w:tc>
          <w:tcPr>
            <w:tcW w:w="1486" w:type="dxa"/>
            <w:shd w:val="clear" w:color="auto" w:fill="B5C0D8"/>
          </w:tcPr>
          <w:p w:rsidR="00D849AA" w:rsidRPr="000E4589" w:rsidRDefault="00EE6D95">
            <w:pPr>
              <w:pStyle w:val="CellHeader"/>
            </w:pPr>
            <w:r w:rsidRPr="000E4589">
              <w:t>Ciljana vrijednost (2015.)</w:t>
            </w:r>
          </w:p>
        </w:tc>
        <w:tc>
          <w:tcPr>
            <w:tcW w:w="1486" w:type="dxa"/>
            <w:shd w:val="clear" w:color="auto" w:fill="B5C0D8"/>
          </w:tcPr>
          <w:p w:rsidR="00D849AA" w:rsidRPr="000E4589" w:rsidRDefault="00EE6D95">
            <w:pPr>
              <w:pStyle w:val="CellHeader"/>
            </w:pPr>
            <w:r w:rsidRPr="000E4589">
              <w:t>Ciljana vrijednost (2016.)</w:t>
            </w:r>
          </w:p>
        </w:tc>
      </w:tr>
      <w:tr w:rsidR="00D849AA" w:rsidRPr="000E4589">
        <w:trPr>
          <w:jc w:val="center"/>
        </w:trPr>
        <w:tc>
          <w:tcPr>
            <w:tcW w:w="2229" w:type="dxa"/>
          </w:tcPr>
          <w:p w:rsidR="00D849AA" w:rsidRPr="000E4589" w:rsidRDefault="00EE6D95">
            <w:pPr>
              <w:pStyle w:val="CellColumn"/>
            </w:pPr>
            <w:r w:rsidRPr="000E4589">
              <w:t>Održanje zaposlenosti</w:t>
            </w:r>
          </w:p>
        </w:tc>
        <w:tc>
          <w:tcPr>
            <w:tcW w:w="1114" w:type="dxa"/>
          </w:tcPr>
          <w:p w:rsidR="00D849AA" w:rsidRPr="000E4589" w:rsidRDefault="00EE6D95">
            <w:pPr>
              <w:rPr>
                <w:rFonts w:ascii="Arial" w:hAnsi="Arial" w:cs="Arial"/>
              </w:rPr>
            </w:pPr>
            <w:r w:rsidRPr="000E4589">
              <w:rPr>
                <w:rFonts w:ascii="Arial" w:hAnsi="Arial" w:cs="Arial"/>
              </w:rPr>
              <w:t>zaposlenih</w:t>
            </w:r>
          </w:p>
        </w:tc>
        <w:tc>
          <w:tcPr>
            <w:tcW w:w="1114" w:type="dxa"/>
          </w:tcPr>
          <w:p w:rsidR="00D849AA" w:rsidRPr="000E4589" w:rsidRDefault="00EE6D95">
            <w:pPr>
              <w:rPr>
                <w:rFonts w:ascii="Arial" w:hAnsi="Arial" w:cs="Arial"/>
              </w:rPr>
            </w:pPr>
            <w:r w:rsidRPr="000E4589">
              <w:rPr>
                <w:rFonts w:ascii="Arial" w:hAnsi="Arial" w:cs="Arial"/>
              </w:rPr>
              <w:t>2012. g</w:t>
            </w:r>
          </w:p>
        </w:tc>
        <w:tc>
          <w:tcPr>
            <w:tcW w:w="1486" w:type="dxa"/>
          </w:tcPr>
          <w:p w:rsidR="00D849AA" w:rsidRPr="000E4589" w:rsidRDefault="00EE6D95">
            <w:pPr>
              <w:rPr>
                <w:rFonts w:ascii="Arial" w:hAnsi="Arial" w:cs="Arial"/>
              </w:rPr>
            </w:pPr>
            <w:r w:rsidRPr="000E4589">
              <w:rPr>
                <w:rFonts w:ascii="Arial" w:hAnsi="Arial" w:cs="Arial"/>
              </w:rPr>
              <w:t>+5%</w:t>
            </w:r>
          </w:p>
        </w:tc>
        <w:tc>
          <w:tcPr>
            <w:tcW w:w="1486" w:type="dxa"/>
          </w:tcPr>
          <w:p w:rsidR="00D849AA" w:rsidRPr="000E4589" w:rsidRDefault="00EE6D95">
            <w:pPr>
              <w:rPr>
                <w:rFonts w:ascii="Arial" w:hAnsi="Arial" w:cs="Arial"/>
              </w:rPr>
            </w:pPr>
            <w:r w:rsidRPr="000E4589">
              <w:rPr>
                <w:rFonts w:ascii="Arial" w:hAnsi="Arial" w:cs="Arial"/>
              </w:rPr>
              <w:t>+5%</w:t>
            </w:r>
          </w:p>
        </w:tc>
        <w:tc>
          <w:tcPr>
            <w:tcW w:w="1486" w:type="dxa"/>
          </w:tcPr>
          <w:p w:rsidR="00D849AA" w:rsidRPr="000E4589" w:rsidRDefault="00EE6D95">
            <w:pPr>
              <w:rPr>
                <w:rFonts w:ascii="Arial" w:hAnsi="Arial" w:cs="Arial"/>
              </w:rPr>
            </w:pPr>
            <w:r w:rsidRPr="000E4589">
              <w:rPr>
                <w:rFonts w:ascii="Arial" w:hAnsi="Arial" w:cs="Arial"/>
              </w:rPr>
              <w:t>+5%</w:t>
            </w:r>
          </w:p>
        </w:tc>
      </w:tr>
      <w:tr w:rsidR="00D849AA" w:rsidRPr="000E4589">
        <w:trPr>
          <w:jc w:val="center"/>
        </w:trPr>
        <w:tc>
          <w:tcPr>
            <w:tcW w:w="2229" w:type="dxa"/>
          </w:tcPr>
          <w:p w:rsidR="00D849AA" w:rsidRPr="000E4589" w:rsidRDefault="00EE6D95">
            <w:pPr>
              <w:pStyle w:val="CellColumn"/>
            </w:pPr>
            <w:r w:rsidRPr="000E4589">
              <w:t>Povećanje ukupnog prihoda</w:t>
            </w:r>
          </w:p>
        </w:tc>
        <w:tc>
          <w:tcPr>
            <w:tcW w:w="1114" w:type="dxa"/>
          </w:tcPr>
          <w:p w:rsidR="00D849AA" w:rsidRPr="000E4589" w:rsidRDefault="00EE6D95">
            <w:pPr>
              <w:rPr>
                <w:rFonts w:ascii="Arial" w:hAnsi="Arial" w:cs="Arial"/>
              </w:rPr>
            </w:pPr>
            <w:r w:rsidRPr="000E4589">
              <w:rPr>
                <w:rFonts w:ascii="Arial" w:hAnsi="Arial" w:cs="Arial"/>
              </w:rPr>
              <w:t>mlrd.  kuna</w:t>
            </w:r>
          </w:p>
        </w:tc>
        <w:tc>
          <w:tcPr>
            <w:tcW w:w="1114" w:type="dxa"/>
          </w:tcPr>
          <w:p w:rsidR="00D849AA" w:rsidRPr="000E4589" w:rsidRDefault="00EE6D95">
            <w:pPr>
              <w:rPr>
                <w:rFonts w:ascii="Arial" w:hAnsi="Arial" w:cs="Arial"/>
              </w:rPr>
            </w:pPr>
            <w:r w:rsidRPr="000E4589">
              <w:rPr>
                <w:rFonts w:ascii="Arial" w:hAnsi="Arial" w:cs="Arial"/>
              </w:rPr>
              <w:t>2012. g</w:t>
            </w:r>
          </w:p>
        </w:tc>
        <w:tc>
          <w:tcPr>
            <w:tcW w:w="1486" w:type="dxa"/>
          </w:tcPr>
          <w:p w:rsidR="00D849AA" w:rsidRPr="000E4589" w:rsidRDefault="00EE6D95">
            <w:pPr>
              <w:rPr>
                <w:rFonts w:ascii="Arial" w:hAnsi="Arial" w:cs="Arial"/>
              </w:rPr>
            </w:pPr>
            <w:r w:rsidRPr="000E4589">
              <w:rPr>
                <w:rFonts w:ascii="Arial" w:hAnsi="Arial" w:cs="Arial"/>
              </w:rPr>
              <w:t>+5%</w:t>
            </w:r>
          </w:p>
        </w:tc>
        <w:tc>
          <w:tcPr>
            <w:tcW w:w="1486" w:type="dxa"/>
          </w:tcPr>
          <w:p w:rsidR="00D849AA" w:rsidRPr="000E4589" w:rsidRDefault="00EE6D95">
            <w:pPr>
              <w:rPr>
                <w:rFonts w:ascii="Arial" w:hAnsi="Arial" w:cs="Arial"/>
              </w:rPr>
            </w:pPr>
            <w:r w:rsidRPr="000E4589">
              <w:rPr>
                <w:rFonts w:ascii="Arial" w:hAnsi="Arial" w:cs="Arial"/>
              </w:rPr>
              <w:t>+5%</w:t>
            </w:r>
          </w:p>
        </w:tc>
        <w:tc>
          <w:tcPr>
            <w:tcW w:w="1486" w:type="dxa"/>
          </w:tcPr>
          <w:p w:rsidR="00D849AA" w:rsidRPr="000E4589" w:rsidRDefault="00EE6D95">
            <w:pPr>
              <w:rPr>
                <w:rFonts w:ascii="Arial" w:hAnsi="Arial" w:cs="Arial"/>
              </w:rPr>
            </w:pPr>
            <w:r w:rsidRPr="000E4589">
              <w:rPr>
                <w:rFonts w:ascii="Arial" w:hAnsi="Arial" w:cs="Arial"/>
              </w:rPr>
              <w:t>+5%</w:t>
            </w:r>
          </w:p>
        </w:tc>
      </w:tr>
      <w:tr w:rsidR="00D849AA" w:rsidRPr="000E4589">
        <w:trPr>
          <w:jc w:val="center"/>
        </w:trPr>
        <w:tc>
          <w:tcPr>
            <w:tcW w:w="2229" w:type="dxa"/>
          </w:tcPr>
          <w:p w:rsidR="00D849AA" w:rsidRPr="000E4589" w:rsidRDefault="00EE6D95">
            <w:pPr>
              <w:pStyle w:val="CellColumn"/>
            </w:pPr>
            <w:r w:rsidRPr="000E4589">
              <w:t>Povećanje izvoza</w:t>
            </w:r>
          </w:p>
        </w:tc>
        <w:tc>
          <w:tcPr>
            <w:tcW w:w="1114" w:type="dxa"/>
          </w:tcPr>
          <w:p w:rsidR="00D849AA" w:rsidRPr="000E4589" w:rsidRDefault="00EE6D95">
            <w:pPr>
              <w:rPr>
                <w:rFonts w:ascii="Arial" w:hAnsi="Arial" w:cs="Arial"/>
              </w:rPr>
            </w:pPr>
            <w:r w:rsidRPr="000E4589">
              <w:rPr>
                <w:rFonts w:ascii="Arial" w:hAnsi="Arial" w:cs="Arial"/>
              </w:rPr>
              <w:t>mlrd.  kuna</w:t>
            </w:r>
          </w:p>
        </w:tc>
        <w:tc>
          <w:tcPr>
            <w:tcW w:w="1114" w:type="dxa"/>
          </w:tcPr>
          <w:p w:rsidR="00D849AA" w:rsidRPr="000E4589" w:rsidRDefault="00EE6D95">
            <w:pPr>
              <w:rPr>
                <w:rFonts w:ascii="Arial" w:hAnsi="Arial" w:cs="Arial"/>
              </w:rPr>
            </w:pPr>
            <w:r w:rsidRPr="000E4589">
              <w:rPr>
                <w:rFonts w:ascii="Arial" w:hAnsi="Arial" w:cs="Arial"/>
              </w:rPr>
              <w:t>2012. g</w:t>
            </w:r>
          </w:p>
        </w:tc>
        <w:tc>
          <w:tcPr>
            <w:tcW w:w="1486" w:type="dxa"/>
          </w:tcPr>
          <w:p w:rsidR="00D849AA" w:rsidRPr="000E4589" w:rsidRDefault="00EE6D95">
            <w:pPr>
              <w:rPr>
                <w:rFonts w:ascii="Arial" w:hAnsi="Arial" w:cs="Arial"/>
              </w:rPr>
            </w:pPr>
            <w:r w:rsidRPr="000E4589">
              <w:rPr>
                <w:rFonts w:ascii="Arial" w:hAnsi="Arial" w:cs="Arial"/>
              </w:rPr>
              <w:t>+2%</w:t>
            </w:r>
          </w:p>
        </w:tc>
        <w:tc>
          <w:tcPr>
            <w:tcW w:w="1486" w:type="dxa"/>
          </w:tcPr>
          <w:p w:rsidR="00D849AA" w:rsidRPr="000E4589" w:rsidRDefault="00EE6D95">
            <w:pPr>
              <w:rPr>
                <w:rFonts w:ascii="Arial" w:hAnsi="Arial" w:cs="Arial"/>
              </w:rPr>
            </w:pPr>
            <w:r w:rsidRPr="000E4589">
              <w:rPr>
                <w:rFonts w:ascii="Arial" w:hAnsi="Arial" w:cs="Arial"/>
              </w:rPr>
              <w:t>+2%</w:t>
            </w:r>
          </w:p>
        </w:tc>
        <w:tc>
          <w:tcPr>
            <w:tcW w:w="1486" w:type="dxa"/>
          </w:tcPr>
          <w:p w:rsidR="00D849AA" w:rsidRPr="000E4589" w:rsidRDefault="00EE6D95">
            <w:pPr>
              <w:rPr>
                <w:rFonts w:ascii="Arial" w:hAnsi="Arial" w:cs="Arial"/>
              </w:rPr>
            </w:pPr>
            <w:r w:rsidRPr="000E4589">
              <w:rPr>
                <w:rFonts w:ascii="Arial" w:hAnsi="Arial" w:cs="Arial"/>
              </w:rPr>
              <w:t>+2%</w:t>
            </w:r>
          </w:p>
        </w:tc>
      </w:tr>
      <w:tr w:rsidR="00D849AA" w:rsidRPr="000E4589">
        <w:trPr>
          <w:jc w:val="center"/>
        </w:trPr>
        <w:tc>
          <w:tcPr>
            <w:tcW w:w="2229" w:type="dxa"/>
          </w:tcPr>
          <w:p w:rsidR="00D849AA" w:rsidRPr="000E4589" w:rsidRDefault="00EE6D95">
            <w:pPr>
              <w:pStyle w:val="CellColumn"/>
            </w:pPr>
            <w:r w:rsidRPr="000E4589">
              <w:t>Povećanje bruto dodane vrijednosti po zaposlenom</w:t>
            </w:r>
          </w:p>
        </w:tc>
        <w:tc>
          <w:tcPr>
            <w:tcW w:w="1114" w:type="dxa"/>
          </w:tcPr>
          <w:p w:rsidR="00D849AA" w:rsidRPr="000E4589" w:rsidRDefault="00EE6D95">
            <w:pPr>
              <w:rPr>
                <w:rFonts w:ascii="Arial" w:hAnsi="Arial" w:cs="Arial"/>
              </w:rPr>
            </w:pPr>
            <w:r w:rsidRPr="000E4589">
              <w:rPr>
                <w:rFonts w:ascii="Arial" w:hAnsi="Arial" w:cs="Arial"/>
              </w:rPr>
              <w:t>000 kn</w:t>
            </w:r>
          </w:p>
        </w:tc>
        <w:tc>
          <w:tcPr>
            <w:tcW w:w="1114" w:type="dxa"/>
          </w:tcPr>
          <w:p w:rsidR="00D849AA" w:rsidRPr="000E4589" w:rsidRDefault="00EE6D95">
            <w:pPr>
              <w:rPr>
                <w:rFonts w:ascii="Arial" w:hAnsi="Arial" w:cs="Arial"/>
              </w:rPr>
            </w:pPr>
            <w:r w:rsidRPr="000E4589">
              <w:rPr>
                <w:rFonts w:ascii="Arial" w:hAnsi="Arial" w:cs="Arial"/>
              </w:rPr>
              <w:t>2012. g</w:t>
            </w:r>
          </w:p>
        </w:tc>
        <w:tc>
          <w:tcPr>
            <w:tcW w:w="1486" w:type="dxa"/>
          </w:tcPr>
          <w:p w:rsidR="00D849AA" w:rsidRPr="000E4589" w:rsidRDefault="00EE6D95">
            <w:pPr>
              <w:rPr>
                <w:rFonts w:ascii="Arial" w:hAnsi="Arial" w:cs="Arial"/>
              </w:rPr>
            </w:pPr>
            <w:r w:rsidRPr="000E4589">
              <w:rPr>
                <w:rFonts w:ascii="Arial" w:hAnsi="Arial" w:cs="Arial"/>
              </w:rPr>
              <w:t>+2%</w:t>
            </w:r>
          </w:p>
        </w:tc>
        <w:tc>
          <w:tcPr>
            <w:tcW w:w="1486" w:type="dxa"/>
          </w:tcPr>
          <w:p w:rsidR="00D849AA" w:rsidRPr="000E4589" w:rsidRDefault="00EE6D95">
            <w:pPr>
              <w:rPr>
                <w:rFonts w:ascii="Arial" w:hAnsi="Arial" w:cs="Arial"/>
              </w:rPr>
            </w:pPr>
            <w:r w:rsidRPr="000E4589">
              <w:rPr>
                <w:rFonts w:ascii="Arial" w:hAnsi="Arial" w:cs="Arial"/>
              </w:rPr>
              <w:t>+2%</w:t>
            </w:r>
          </w:p>
        </w:tc>
        <w:tc>
          <w:tcPr>
            <w:tcW w:w="1486" w:type="dxa"/>
          </w:tcPr>
          <w:p w:rsidR="00D849AA" w:rsidRPr="000E4589" w:rsidRDefault="00EE6D95">
            <w:pPr>
              <w:rPr>
                <w:rFonts w:ascii="Arial" w:hAnsi="Arial" w:cs="Arial"/>
              </w:rPr>
            </w:pPr>
            <w:r w:rsidRPr="000E4589">
              <w:rPr>
                <w:rFonts w:ascii="Arial" w:hAnsi="Arial" w:cs="Arial"/>
              </w:rPr>
              <w:t>+2%</w:t>
            </w:r>
          </w:p>
        </w:tc>
      </w:tr>
    </w:tbl>
    <w:p w:rsidR="006B1EA0" w:rsidRPr="000E4589" w:rsidRDefault="006B1EA0">
      <w:pPr>
        <w:jc w:val="left"/>
        <w:rPr>
          <w:rFonts w:ascii="Arial" w:hAnsi="Arial" w:cs="Arial"/>
        </w:rPr>
      </w:pPr>
    </w:p>
    <w:p w:rsidR="00D849AA" w:rsidRDefault="00EE6D95">
      <w:pPr>
        <w:pStyle w:val="Naslov6"/>
      </w:pPr>
      <w:r>
        <w:t>A822028 RESTRUKTURIRANJE BRODOGRADILIŠTA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0E4589" w:rsidRDefault="00EE6D95">
            <w:pPr>
              <w:pStyle w:val="CellHeader"/>
            </w:pPr>
            <w:r w:rsidRPr="000E4589">
              <w:t>Naziv aktivnosti</w:t>
            </w:r>
          </w:p>
        </w:tc>
        <w:tc>
          <w:tcPr>
            <w:tcW w:w="1486" w:type="dxa"/>
            <w:shd w:val="clear" w:color="auto" w:fill="B5C0D8"/>
          </w:tcPr>
          <w:p w:rsidR="00D849AA" w:rsidRPr="000E4589" w:rsidRDefault="00EE6D95">
            <w:pPr>
              <w:pStyle w:val="CellHeader"/>
            </w:pPr>
            <w:r w:rsidRPr="000E4589">
              <w:t>Plan 2013.</w:t>
            </w:r>
          </w:p>
        </w:tc>
        <w:tc>
          <w:tcPr>
            <w:tcW w:w="1486" w:type="dxa"/>
            <w:shd w:val="clear" w:color="auto" w:fill="B5C0D8"/>
          </w:tcPr>
          <w:p w:rsidR="00D849AA" w:rsidRPr="000E4589" w:rsidRDefault="00EE6D95">
            <w:pPr>
              <w:pStyle w:val="CellHeader"/>
            </w:pPr>
            <w:r w:rsidRPr="000E4589">
              <w:t>Plan 2014.</w:t>
            </w:r>
          </w:p>
        </w:tc>
        <w:tc>
          <w:tcPr>
            <w:tcW w:w="1486" w:type="dxa"/>
            <w:shd w:val="clear" w:color="auto" w:fill="B5C0D8"/>
          </w:tcPr>
          <w:p w:rsidR="00D849AA" w:rsidRPr="000E4589" w:rsidRDefault="00EE6D95">
            <w:pPr>
              <w:pStyle w:val="CellHeader"/>
            </w:pPr>
            <w:r w:rsidRPr="000E4589">
              <w:t>Plan 2015.</w:t>
            </w:r>
          </w:p>
        </w:tc>
        <w:tc>
          <w:tcPr>
            <w:tcW w:w="1486" w:type="dxa"/>
            <w:shd w:val="clear" w:color="auto" w:fill="B5C0D8"/>
          </w:tcPr>
          <w:p w:rsidR="00D849AA" w:rsidRPr="000E4589" w:rsidRDefault="00EE6D95">
            <w:pPr>
              <w:pStyle w:val="CellHeader"/>
            </w:pPr>
            <w:r w:rsidRPr="000E4589">
              <w:t>Plan 2016.</w:t>
            </w:r>
          </w:p>
        </w:tc>
        <w:tc>
          <w:tcPr>
            <w:tcW w:w="1486" w:type="dxa"/>
            <w:shd w:val="clear" w:color="auto" w:fill="B5C0D8"/>
          </w:tcPr>
          <w:p w:rsidR="00D849AA" w:rsidRPr="000E4589" w:rsidRDefault="00EE6D95">
            <w:pPr>
              <w:pStyle w:val="CellHeader"/>
            </w:pPr>
            <w:r w:rsidRPr="000E4589">
              <w:t>Indeks 2014/2013</w:t>
            </w:r>
          </w:p>
        </w:tc>
      </w:tr>
      <w:tr w:rsidR="00D849AA">
        <w:trPr>
          <w:jc w:val="center"/>
        </w:trPr>
        <w:tc>
          <w:tcPr>
            <w:tcW w:w="1486" w:type="dxa"/>
          </w:tcPr>
          <w:p w:rsidR="00D849AA" w:rsidRPr="000E4589" w:rsidRDefault="00EE6D95">
            <w:pPr>
              <w:pStyle w:val="CellColumn"/>
            </w:pPr>
            <w:r w:rsidRPr="000E4589">
              <w:t>A822028</w:t>
            </w:r>
          </w:p>
        </w:tc>
        <w:tc>
          <w:tcPr>
            <w:tcW w:w="1486" w:type="dxa"/>
          </w:tcPr>
          <w:p w:rsidR="00D849AA" w:rsidRPr="000E4589" w:rsidRDefault="00EE6D95">
            <w:pPr>
              <w:rPr>
                <w:rFonts w:ascii="Arial" w:hAnsi="Arial" w:cs="Arial"/>
              </w:rPr>
            </w:pPr>
            <w:r w:rsidRPr="000E4589">
              <w:rPr>
                <w:rFonts w:ascii="Arial" w:hAnsi="Arial" w:cs="Arial"/>
              </w:rPr>
              <w:t>860.000.000</w:t>
            </w:r>
          </w:p>
        </w:tc>
        <w:tc>
          <w:tcPr>
            <w:tcW w:w="1486" w:type="dxa"/>
          </w:tcPr>
          <w:p w:rsidR="00D849AA" w:rsidRPr="000E4589" w:rsidRDefault="00EE6D95">
            <w:pPr>
              <w:rPr>
                <w:rFonts w:ascii="Arial" w:hAnsi="Arial" w:cs="Arial"/>
              </w:rPr>
            </w:pPr>
            <w:r w:rsidRPr="000E4589">
              <w:rPr>
                <w:rFonts w:ascii="Arial" w:hAnsi="Arial" w:cs="Arial"/>
              </w:rPr>
              <w:t>672.000.000</w:t>
            </w:r>
          </w:p>
        </w:tc>
        <w:tc>
          <w:tcPr>
            <w:tcW w:w="1486" w:type="dxa"/>
          </w:tcPr>
          <w:p w:rsidR="00D849AA" w:rsidRPr="000E4589" w:rsidRDefault="00EE6D95">
            <w:pPr>
              <w:rPr>
                <w:rFonts w:ascii="Arial" w:hAnsi="Arial" w:cs="Arial"/>
              </w:rPr>
            </w:pPr>
            <w:r w:rsidRPr="000E4589">
              <w:rPr>
                <w:rFonts w:ascii="Arial" w:hAnsi="Arial" w:cs="Arial"/>
              </w:rPr>
              <w:t>415.902.779</w:t>
            </w:r>
          </w:p>
        </w:tc>
        <w:tc>
          <w:tcPr>
            <w:tcW w:w="1486" w:type="dxa"/>
          </w:tcPr>
          <w:p w:rsidR="00D849AA" w:rsidRPr="000E4589" w:rsidRDefault="00EE6D95">
            <w:pPr>
              <w:rPr>
                <w:rFonts w:ascii="Arial" w:hAnsi="Arial" w:cs="Arial"/>
              </w:rPr>
            </w:pPr>
            <w:r w:rsidRPr="000E4589">
              <w:rPr>
                <w:rFonts w:ascii="Arial" w:hAnsi="Arial" w:cs="Arial"/>
              </w:rPr>
              <w:t>255.826.000</w:t>
            </w:r>
          </w:p>
        </w:tc>
        <w:tc>
          <w:tcPr>
            <w:tcW w:w="1486" w:type="dxa"/>
          </w:tcPr>
          <w:p w:rsidR="00D849AA" w:rsidRPr="000E4589" w:rsidRDefault="00EE6D95">
            <w:pPr>
              <w:rPr>
                <w:rFonts w:ascii="Arial" w:hAnsi="Arial" w:cs="Arial"/>
              </w:rPr>
            </w:pPr>
            <w:r w:rsidRPr="000E4589">
              <w:rPr>
                <w:rFonts w:ascii="Arial" w:hAnsi="Arial" w:cs="Arial"/>
              </w:rPr>
              <w:t>78,1</w:t>
            </w:r>
          </w:p>
        </w:tc>
      </w:tr>
    </w:tbl>
    <w:p w:rsidR="00D849AA" w:rsidRDefault="00D849AA">
      <w:pPr>
        <w:jc w:val="left"/>
      </w:pPr>
    </w:p>
    <w:p w:rsidR="00D849AA" w:rsidRDefault="00EE6D95">
      <w:pPr>
        <w:pStyle w:val="Normal6"/>
      </w:pPr>
      <w:r>
        <w:lastRenderedPageBreak/>
        <w:t>Planirana sredstva za ovu aktivnost temelje se na odobrenim planovima restrukturiranja brodogradilišta odnosno sklopljenim ugovorima za privatizaciju brodogradilišta: Brodograđevna industrija Brodosplit d.d., Split , Brodograđevna industrija 3 MAJ d.d., Rijeka  i Brodotrogir d.d., Trogir.</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73"/>
        <w:gridCol w:w="1114"/>
        <w:gridCol w:w="1486"/>
        <w:gridCol w:w="1486"/>
        <w:gridCol w:w="1486"/>
      </w:tblGrid>
      <w:tr w:rsidR="00D849AA">
        <w:trPr>
          <w:jc w:val="center"/>
        </w:trPr>
        <w:tc>
          <w:tcPr>
            <w:tcW w:w="2229" w:type="dxa"/>
            <w:shd w:val="clear" w:color="auto" w:fill="B5C0D8"/>
          </w:tcPr>
          <w:p w:rsidR="00D849AA" w:rsidRPr="000E4589" w:rsidRDefault="00EE6D95">
            <w:pPr>
              <w:rPr>
                <w:rFonts w:ascii="Arial" w:hAnsi="Arial" w:cs="Arial"/>
              </w:rPr>
            </w:pPr>
            <w:r w:rsidRPr="000E4589">
              <w:rPr>
                <w:rFonts w:ascii="Arial" w:hAnsi="Arial" w:cs="Arial"/>
              </w:rPr>
              <w:t>Pokazatelj rezultata</w:t>
            </w:r>
          </w:p>
        </w:tc>
        <w:tc>
          <w:tcPr>
            <w:tcW w:w="1114" w:type="dxa"/>
            <w:shd w:val="clear" w:color="auto" w:fill="B5C0D8"/>
          </w:tcPr>
          <w:p w:rsidR="00D849AA" w:rsidRPr="000E4589" w:rsidRDefault="00EE6D95">
            <w:pPr>
              <w:pStyle w:val="CellHeader"/>
            </w:pPr>
            <w:r w:rsidRPr="000E4589">
              <w:t>Jedinica</w:t>
            </w:r>
          </w:p>
        </w:tc>
        <w:tc>
          <w:tcPr>
            <w:tcW w:w="1114" w:type="dxa"/>
            <w:shd w:val="clear" w:color="auto" w:fill="B5C0D8"/>
          </w:tcPr>
          <w:p w:rsidR="00D849AA" w:rsidRPr="000E4589" w:rsidRDefault="00EE6D95">
            <w:pPr>
              <w:pStyle w:val="CellHeader"/>
            </w:pPr>
            <w:r w:rsidRPr="000E4589">
              <w:t>Polazna vrijednost</w:t>
            </w:r>
          </w:p>
        </w:tc>
        <w:tc>
          <w:tcPr>
            <w:tcW w:w="1486" w:type="dxa"/>
            <w:shd w:val="clear" w:color="auto" w:fill="B5C0D8"/>
          </w:tcPr>
          <w:p w:rsidR="00D849AA" w:rsidRPr="000E4589" w:rsidRDefault="00EE6D95">
            <w:pPr>
              <w:pStyle w:val="CellHeader"/>
            </w:pPr>
            <w:r w:rsidRPr="000E4589">
              <w:t>Ciljana vrijednost (2014.)</w:t>
            </w:r>
          </w:p>
        </w:tc>
        <w:tc>
          <w:tcPr>
            <w:tcW w:w="1486" w:type="dxa"/>
            <w:shd w:val="clear" w:color="auto" w:fill="B5C0D8"/>
          </w:tcPr>
          <w:p w:rsidR="00D849AA" w:rsidRPr="000E4589" w:rsidRDefault="00EE6D95">
            <w:pPr>
              <w:pStyle w:val="CellHeader"/>
            </w:pPr>
            <w:r w:rsidRPr="000E4589">
              <w:t>Ciljana vrijednost (2015.)</w:t>
            </w:r>
          </w:p>
        </w:tc>
        <w:tc>
          <w:tcPr>
            <w:tcW w:w="1486" w:type="dxa"/>
            <w:shd w:val="clear" w:color="auto" w:fill="B5C0D8"/>
          </w:tcPr>
          <w:p w:rsidR="00D849AA" w:rsidRPr="000E4589" w:rsidRDefault="00EE6D95">
            <w:pPr>
              <w:pStyle w:val="CellHeader"/>
            </w:pPr>
            <w:r w:rsidRPr="000E4589">
              <w:t>Ciljana vrijednost (2016.)</w:t>
            </w:r>
          </w:p>
        </w:tc>
      </w:tr>
      <w:tr w:rsidR="00D849AA">
        <w:trPr>
          <w:jc w:val="center"/>
        </w:trPr>
        <w:tc>
          <w:tcPr>
            <w:tcW w:w="2229" w:type="dxa"/>
          </w:tcPr>
          <w:p w:rsidR="00D849AA" w:rsidRPr="000E4589" w:rsidRDefault="00EE6D95">
            <w:pPr>
              <w:pStyle w:val="CellColumn"/>
            </w:pPr>
            <w:r w:rsidRPr="000E4589">
              <w:t>Broj zaposlenih u brodogradilištima</w:t>
            </w:r>
          </w:p>
        </w:tc>
        <w:tc>
          <w:tcPr>
            <w:tcW w:w="1114" w:type="dxa"/>
          </w:tcPr>
          <w:p w:rsidR="00D849AA" w:rsidRPr="000E4589" w:rsidRDefault="00EE6D95">
            <w:pPr>
              <w:rPr>
                <w:rFonts w:ascii="Arial" w:hAnsi="Arial" w:cs="Arial"/>
              </w:rPr>
            </w:pPr>
            <w:r w:rsidRPr="000E4589">
              <w:rPr>
                <w:rFonts w:ascii="Arial" w:hAnsi="Arial" w:cs="Arial"/>
              </w:rPr>
              <w:t>Broj stalno zaposlenih</w:t>
            </w:r>
          </w:p>
        </w:tc>
        <w:tc>
          <w:tcPr>
            <w:tcW w:w="1114" w:type="dxa"/>
          </w:tcPr>
          <w:p w:rsidR="00D849AA" w:rsidRPr="000E4589" w:rsidRDefault="00EE6D95">
            <w:pPr>
              <w:rPr>
                <w:rFonts w:ascii="Arial" w:hAnsi="Arial" w:cs="Arial"/>
              </w:rPr>
            </w:pPr>
            <w:r w:rsidRPr="000E4589">
              <w:rPr>
                <w:rFonts w:ascii="Arial" w:hAnsi="Arial" w:cs="Arial"/>
              </w:rPr>
              <w:t xml:space="preserve">2009. god. </w:t>
            </w:r>
          </w:p>
          <w:p w:rsidR="00D849AA" w:rsidRPr="000E4589" w:rsidRDefault="00EE6D95">
            <w:pPr>
              <w:rPr>
                <w:rFonts w:ascii="Arial" w:hAnsi="Arial" w:cs="Arial"/>
              </w:rPr>
            </w:pPr>
            <w:r w:rsidRPr="000E4589">
              <w:rPr>
                <w:rFonts w:ascii="Arial" w:hAnsi="Arial" w:cs="Arial"/>
              </w:rPr>
              <w:t>= 10.080.</w:t>
            </w:r>
          </w:p>
        </w:tc>
        <w:tc>
          <w:tcPr>
            <w:tcW w:w="1486" w:type="dxa"/>
          </w:tcPr>
          <w:p w:rsidR="00D849AA" w:rsidRPr="000E4589" w:rsidRDefault="00EE6D95">
            <w:pPr>
              <w:rPr>
                <w:rFonts w:ascii="Arial" w:hAnsi="Arial" w:cs="Arial"/>
              </w:rPr>
            </w:pPr>
            <w:r w:rsidRPr="000E4589">
              <w:rPr>
                <w:rFonts w:ascii="Arial" w:hAnsi="Arial" w:cs="Arial"/>
              </w:rPr>
              <w:t>8.000</w:t>
            </w:r>
          </w:p>
        </w:tc>
        <w:tc>
          <w:tcPr>
            <w:tcW w:w="1486" w:type="dxa"/>
          </w:tcPr>
          <w:p w:rsidR="00D849AA" w:rsidRPr="000E4589" w:rsidRDefault="00EE6D95">
            <w:pPr>
              <w:rPr>
                <w:rFonts w:ascii="Arial" w:hAnsi="Arial" w:cs="Arial"/>
              </w:rPr>
            </w:pPr>
            <w:r w:rsidRPr="000E4589">
              <w:rPr>
                <w:rFonts w:ascii="Arial" w:hAnsi="Arial" w:cs="Arial"/>
              </w:rPr>
              <w:t>8.000</w:t>
            </w:r>
          </w:p>
        </w:tc>
        <w:tc>
          <w:tcPr>
            <w:tcW w:w="1486" w:type="dxa"/>
          </w:tcPr>
          <w:p w:rsidR="00D849AA" w:rsidRPr="000E4589" w:rsidRDefault="00EE6D95">
            <w:pPr>
              <w:rPr>
                <w:rFonts w:ascii="Arial" w:hAnsi="Arial" w:cs="Arial"/>
              </w:rPr>
            </w:pPr>
            <w:r w:rsidRPr="000E4589">
              <w:rPr>
                <w:rFonts w:ascii="Arial" w:hAnsi="Arial" w:cs="Arial"/>
              </w:rPr>
              <w:t>8.000</w:t>
            </w:r>
          </w:p>
        </w:tc>
      </w:tr>
    </w:tbl>
    <w:p w:rsidR="00D849AA" w:rsidRDefault="00D849AA">
      <w:pPr>
        <w:jc w:val="left"/>
      </w:pPr>
    </w:p>
    <w:p w:rsidR="00D849AA" w:rsidRDefault="00EE6D95">
      <w:pPr>
        <w:pStyle w:val="Naslov6"/>
      </w:pPr>
      <w:r>
        <w:t>A822045 NACIONALNA STRATEGIJA INOVACIJA REPUBLIKE HRVATSKE 2013.-2020.</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0E4589" w:rsidRDefault="00EE6D95">
            <w:pPr>
              <w:pStyle w:val="CellHeader"/>
            </w:pPr>
            <w:r w:rsidRPr="000E4589">
              <w:t>Naziv aktivnosti</w:t>
            </w:r>
          </w:p>
        </w:tc>
        <w:tc>
          <w:tcPr>
            <w:tcW w:w="1486" w:type="dxa"/>
            <w:shd w:val="clear" w:color="auto" w:fill="B5C0D8"/>
          </w:tcPr>
          <w:p w:rsidR="00D849AA" w:rsidRPr="000E4589" w:rsidRDefault="00EE6D95">
            <w:pPr>
              <w:pStyle w:val="CellHeader"/>
            </w:pPr>
            <w:r w:rsidRPr="000E4589">
              <w:t>Plan 2013.</w:t>
            </w:r>
          </w:p>
        </w:tc>
        <w:tc>
          <w:tcPr>
            <w:tcW w:w="1486" w:type="dxa"/>
            <w:shd w:val="clear" w:color="auto" w:fill="B5C0D8"/>
          </w:tcPr>
          <w:p w:rsidR="00D849AA" w:rsidRPr="000E4589" w:rsidRDefault="00EE6D95">
            <w:pPr>
              <w:pStyle w:val="CellHeader"/>
            </w:pPr>
            <w:r w:rsidRPr="000E4589">
              <w:t>Plan 2014.</w:t>
            </w:r>
          </w:p>
        </w:tc>
        <w:tc>
          <w:tcPr>
            <w:tcW w:w="1486" w:type="dxa"/>
            <w:shd w:val="clear" w:color="auto" w:fill="B5C0D8"/>
          </w:tcPr>
          <w:p w:rsidR="00D849AA" w:rsidRPr="000E4589" w:rsidRDefault="00EE6D95">
            <w:pPr>
              <w:pStyle w:val="CellHeader"/>
            </w:pPr>
            <w:r w:rsidRPr="000E4589">
              <w:t>Plan 2015.</w:t>
            </w:r>
          </w:p>
        </w:tc>
        <w:tc>
          <w:tcPr>
            <w:tcW w:w="1486" w:type="dxa"/>
            <w:shd w:val="clear" w:color="auto" w:fill="B5C0D8"/>
          </w:tcPr>
          <w:p w:rsidR="00D849AA" w:rsidRPr="000E4589" w:rsidRDefault="00EE6D95">
            <w:pPr>
              <w:pStyle w:val="CellHeader"/>
            </w:pPr>
            <w:r w:rsidRPr="000E4589">
              <w:t>Plan 2016.</w:t>
            </w:r>
          </w:p>
        </w:tc>
        <w:tc>
          <w:tcPr>
            <w:tcW w:w="1486" w:type="dxa"/>
            <w:shd w:val="clear" w:color="auto" w:fill="B5C0D8"/>
          </w:tcPr>
          <w:p w:rsidR="00D849AA" w:rsidRPr="000E4589" w:rsidRDefault="00EE6D95">
            <w:pPr>
              <w:pStyle w:val="CellHeader"/>
            </w:pPr>
            <w:r w:rsidRPr="000E4589">
              <w:t>Indeks 2014/2013</w:t>
            </w:r>
          </w:p>
        </w:tc>
      </w:tr>
      <w:tr w:rsidR="00D849AA">
        <w:trPr>
          <w:jc w:val="center"/>
        </w:trPr>
        <w:tc>
          <w:tcPr>
            <w:tcW w:w="1486" w:type="dxa"/>
          </w:tcPr>
          <w:p w:rsidR="00D849AA" w:rsidRPr="000E4589" w:rsidRDefault="00EE6D95">
            <w:pPr>
              <w:pStyle w:val="CellColumn"/>
            </w:pPr>
            <w:r w:rsidRPr="000E4589">
              <w:t>A822045</w:t>
            </w:r>
          </w:p>
        </w:tc>
        <w:tc>
          <w:tcPr>
            <w:tcW w:w="1486" w:type="dxa"/>
          </w:tcPr>
          <w:p w:rsidR="00D849AA" w:rsidRPr="000E4589" w:rsidRDefault="00EE6D95">
            <w:pPr>
              <w:rPr>
                <w:rFonts w:ascii="Arial" w:hAnsi="Arial" w:cs="Arial"/>
              </w:rPr>
            </w:pPr>
            <w:r w:rsidRPr="000E4589">
              <w:rPr>
                <w:rFonts w:ascii="Arial" w:hAnsi="Arial" w:cs="Arial"/>
              </w:rPr>
              <w:t>430.000</w:t>
            </w:r>
          </w:p>
        </w:tc>
        <w:tc>
          <w:tcPr>
            <w:tcW w:w="1486" w:type="dxa"/>
          </w:tcPr>
          <w:p w:rsidR="00D849AA" w:rsidRPr="000E4589" w:rsidRDefault="00EE6D95">
            <w:pPr>
              <w:rPr>
                <w:rFonts w:ascii="Arial" w:hAnsi="Arial" w:cs="Arial"/>
              </w:rPr>
            </w:pPr>
            <w:r w:rsidRPr="000E4589">
              <w:rPr>
                <w:rFonts w:ascii="Arial" w:hAnsi="Arial" w:cs="Arial"/>
              </w:rPr>
              <w:t>430.000</w:t>
            </w:r>
          </w:p>
        </w:tc>
        <w:tc>
          <w:tcPr>
            <w:tcW w:w="1486" w:type="dxa"/>
          </w:tcPr>
          <w:p w:rsidR="00D849AA" w:rsidRPr="000E4589" w:rsidRDefault="00EE6D95">
            <w:pPr>
              <w:rPr>
                <w:rFonts w:ascii="Arial" w:hAnsi="Arial" w:cs="Arial"/>
              </w:rPr>
            </w:pPr>
            <w:r w:rsidRPr="000E4589">
              <w:rPr>
                <w:rFonts w:ascii="Arial" w:hAnsi="Arial" w:cs="Arial"/>
              </w:rPr>
              <w:t>555.000</w:t>
            </w:r>
          </w:p>
        </w:tc>
        <w:tc>
          <w:tcPr>
            <w:tcW w:w="1486" w:type="dxa"/>
          </w:tcPr>
          <w:p w:rsidR="00D849AA" w:rsidRPr="000E4589" w:rsidRDefault="00EE6D95">
            <w:pPr>
              <w:rPr>
                <w:rFonts w:ascii="Arial" w:hAnsi="Arial" w:cs="Arial"/>
              </w:rPr>
            </w:pPr>
            <w:r w:rsidRPr="000E4589">
              <w:rPr>
                <w:rFonts w:ascii="Arial" w:hAnsi="Arial" w:cs="Arial"/>
              </w:rPr>
              <w:t>610.000</w:t>
            </w:r>
          </w:p>
        </w:tc>
        <w:tc>
          <w:tcPr>
            <w:tcW w:w="1486" w:type="dxa"/>
          </w:tcPr>
          <w:p w:rsidR="00D849AA" w:rsidRPr="000E4589" w:rsidRDefault="00EE6D95">
            <w:pPr>
              <w:rPr>
                <w:rFonts w:ascii="Arial" w:hAnsi="Arial" w:cs="Arial"/>
              </w:rPr>
            </w:pPr>
            <w:r w:rsidRPr="000E4589">
              <w:rPr>
                <w:rFonts w:ascii="Arial" w:hAnsi="Arial" w:cs="Arial"/>
              </w:rPr>
              <w:t>100,0</w:t>
            </w:r>
          </w:p>
        </w:tc>
      </w:tr>
    </w:tbl>
    <w:p w:rsidR="00D849AA" w:rsidRDefault="00D849AA">
      <w:pPr>
        <w:jc w:val="left"/>
      </w:pPr>
    </w:p>
    <w:p w:rsidR="00D849AA" w:rsidRDefault="00EE6D95">
      <w:pPr>
        <w:pStyle w:val="Normal6"/>
      </w:pPr>
      <w:r>
        <w:t>Planirana sredstva za ovu aktivnost biti će korištena za aktivnosti vezane uz izradu i promoviranje Nacionalne strategije inovacija 2013.-2020., (organiziranje konferencija, seminara, radionica, foruma vezanih uz inovacije, promidžbu i informiranje, analizu ključnih indikatora za praćenje inovativnosti), te za provedbu mjera iz Akcijskog plana za provedbu mjera iz Nacionalne strategije inovacija Republike Hrvatske  koje su  usmjerene na povećanje konkurentnosti i produktivnosti gospodarstva utemeljenog na znanju, te poboljšanje profila kvalificirane radne snage i interakcije industrije i akademske zajednice.</w:t>
      </w:r>
    </w:p>
    <w:p w:rsidR="00D849AA" w:rsidRDefault="00EE6D95">
      <w:pPr>
        <w:pStyle w:val="Naslov6"/>
      </w:pPr>
      <w:r>
        <w:t>A822046 PROVOĐENJE AKTIVNOSTI ZA ODRŽIVI RAZVOJ INDUSTRIJE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0E4589" w:rsidRDefault="00EE6D95">
            <w:pPr>
              <w:pStyle w:val="CellHeader"/>
            </w:pPr>
            <w:r w:rsidRPr="000E4589">
              <w:t>Naziv aktivnosti</w:t>
            </w:r>
          </w:p>
        </w:tc>
        <w:tc>
          <w:tcPr>
            <w:tcW w:w="1486" w:type="dxa"/>
            <w:shd w:val="clear" w:color="auto" w:fill="B5C0D8"/>
          </w:tcPr>
          <w:p w:rsidR="00D849AA" w:rsidRPr="000E4589" w:rsidRDefault="00EE6D95">
            <w:pPr>
              <w:pStyle w:val="CellHeader"/>
            </w:pPr>
            <w:r w:rsidRPr="000E4589">
              <w:t>Plan 2013.</w:t>
            </w:r>
          </w:p>
        </w:tc>
        <w:tc>
          <w:tcPr>
            <w:tcW w:w="1486" w:type="dxa"/>
            <w:shd w:val="clear" w:color="auto" w:fill="B5C0D8"/>
          </w:tcPr>
          <w:p w:rsidR="00D849AA" w:rsidRPr="000E4589" w:rsidRDefault="00EE6D95">
            <w:pPr>
              <w:pStyle w:val="CellHeader"/>
            </w:pPr>
            <w:r w:rsidRPr="000E4589">
              <w:t>Plan 2014.</w:t>
            </w:r>
          </w:p>
        </w:tc>
        <w:tc>
          <w:tcPr>
            <w:tcW w:w="1486" w:type="dxa"/>
            <w:shd w:val="clear" w:color="auto" w:fill="B5C0D8"/>
          </w:tcPr>
          <w:p w:rsidR="00D849AA" w:rsidRPr="000E4589" w:rsidRDefault="00EE6D95">
            <w:pPr>
              <w:pStyle w:val="CellHeader"/>
            </w:pPr>
            <w:r w:rsidRPr="000E4589">
              <w:t>Plan 2015.</w:t>
            </w:r>
          </w:p>
        </w:tc>
        <w:tc>
          <w:tcPr>
            <w:tcW w:w="1486" w:type="dxa"/>
            <w:shd w:val="clear" w:color="auto" w:fill="B5C0D8"/>
          </w:tcPr>
          <w:p w:rsidR="00D849AA" w:rsidRPr="000E4589" w:rsidRDefault="00EE6D95">
            <w:pPr>
              <w:pStyle w:val="CellHeader"/>
            </w:pPr>
            <w:r w:rsidRPr="000E4589">
              <w:t>Plan 2016.</w:t>
            </w:r>
          </w:p>
        </w:tc>
        <w:tc>
          <w:tcPr>
            <w:tcW w:w="1486" w:type="dxa"/>
            <w:shd w:val="clear" w:color="auto" w:fill="B5C0D8"/>
          </w:tcPr>
          <w:p w:rsidR="00D849AA" w:rsidRPr="000E4589" w:rsidRDefault="00EE6D95">
            <w:pPr>
              <w:pStyle w:val="CellHeader"/>
            </w:pPr>
            <w:r w:rsidRPr="000E4589">
              <w:t>Indeks 2014/2013</w:t>
            </w:r>
          </w:p>
        </w:tc>
      </w:tr>
      <w:tr w:rsidR="00D849AA">
        <w:trPr>
          <w:jc w:val="center"/>
        </w:trPr>
        <w:tc>
          <w:tcPr>
            <w:tcW w:w="1486" w:type="dxa"/>
          </w:tcPr>
          <w:p w:rsidR="00D849AA" w:rsidRPr="000E4589" w:rsidRDefault="00EE6D95">
            <w:pPr>
              <w:pStyle w:val="CellColumn"/>
            </w:pPr>
            <w:r w:rsidRPr="000E4589">
              <w:t>A822046</w:t>
            </w:r>
          </w:p>
        </w:tc>
        <w:tc>
          <w:tcPr>
            <w:tcW w:w="1486" w:type="dxa"/>
          </w:tcPr>
          <w:p w:rsidR="00D849AA" w:rsidRPr="000E4589" w:rsidRDefault="00EE6D95">
            <w:pPr>
              <w:rPr>
                <w:rFonts w:ascii="Arial" w:hAnsi="Arial" w:cs="Arial"/>
              </w:rPr>
            </w:pPr>
            <w:r w:rsidRPr="000E4589">
              <w:rPr>
                <w:rFonts w:ascii="Arial" w:hAnsi="Arial" w:cs="Arial"/>
              </w:rPr>
              <w:t>400.000</w:t>
            </w:r>
          </w:p>
        </w:tc>
        <w:tc>
          <w:tcPr>
            <w:tcW w:w="1486" w:type="dxa"/>
          </w:tcPr>
          <w:p w:rsidR="00D849AA" w:rsidRPr="000E4589" w:rsidRDefault="00EE6D95">
            <w:pPr>
              <w:rPr>
                <w:rFonts w:ascii="Arial" w:hAnsi="Arial" w:cs="Arial"/>
              </w:rPr>
            </w:pPr>
            <w:r w:rsidRPr="000E4589">
              <w:rPr>
                <w:rFonts w:ascii="Arial" w:hAnsi="Arial" w:cs="Arial"/>
              </w:rPr>
              <w:t>400.000</w:t>
            </w:r>
          </w:p>
        </w:tc>
        <w:tc>
          <w:tcPr>
            <w:tcW w:w="1486" w:type="dxa"/>
          </w:tcPr>
          <w:p w:rsidR="00D849AA" w:rsidRPr="000E4589" w:rsidRDefault="00EE6D95">
            <w:pPr>
              <w:rPr>
                <w:rFonts w:ascii="Arial" w:hAnsi="Arial" w:cs="Arial"/>
              </w:rPr>
            </w:pPr>
            <w:r w:rsidRPr="000E4589">
              <w:rPr>
                <w:rFonts w:ascii="Arial" w:hAnsi="Arial" w:cs="Arial"/>
              </w:rPr>
              <w:t>400.000</w:t>
            </w:r>
          </w:p>
        </w:tc>
        <w:tc>
          <w:tcPr>
            <w:tcW w:w="1486" w:type="dxa"/>
          </w:tcPr>
          <w:p w:rsidR="00D849AA" w:rsidRPr="000E4589" w:rsidRDefault="00EE6D95">
            <w:pPr>
              <w:rPr>
                <w:rFonts w:ascii="Arial" w:hAnsi="Arial" w:cs="Arial"/>
              </w:rPr>
            </w:pPr>
            <w:r w:rsidRPr="000E4589">
              <w:rPr>
                <w:rFonts w:ascii="Arial" w:hAnsi="Arial" w:cs="Arial"/>
              </w:rPr>
              <w:t>400.000</w:t>
            </w:r>
          </w:p>
        </w:tc>
        <w:tc>
          <w:tcPr>
            <w:tcW w:w="1486" w:type="dxa"/>
          </w:tcPr>
          <w:p w:rsidR="00D849AA" w:rsidRPr="000E4589" w:rsidRDefault="00EE6D95">
            <w:pPr>
              <w:rPr>
                <w:rFonts w:ascii="Arial" w:hAnsi="Arial" w:cs="Arial"/>
              </w:rPr>
            </w:pPr>
            <w:r w:rsidRPr="000E4589">
              <w:rPr>
                <w:rFonts w:ascii="Arial" w:hAnsi="Arial" w:cs="Arial"/>
              </w:rPr>
              <w:t>100,0</w:t>
            </w:r>
          </w:p>
        </w:tc>
      </w:tr>
    </w:tbl>
    <w:p w:rsidR="00D849AA" w:rsidRDefault="00D849AA">
      <w:pPr>
        <w:jc w:val="left"/>
      </w:pPr>
    </w:p>
    <w:p w:rsidR="00D849AA" w:rsidRDefault="00EE6D95">
      <w:pPr>
        <w:pStyle w:val="Normal6"/>
      </w:pPr>
      <w:r>
        <w:t xml:space="preserve">Provođenje mjera održivog razvitka u cilju povećanja konkurentnosti industrije </w:t>
      </w:r>
    </w:p>
    <w:p w:rsidR="00D849AA" w:rsidRDefault="00EE6D95">
      <w:pPr>
        <w:pStyle w:val="Normal6"/>
      </w:pPr>
      <w:r>
        <w:t xml:space="preserve">Održivi razvitak industrije uključuje provođenje niza konkretnih planiranih aktivnosti ali isto tako  i posebnih aktivnosti, koje često nisu unaprijed planirane. </w:t>
      </w:r>
    </w:p>
    <w:p w:rsidR="00D849AA" w:rsidRDefault="00EE6D95">
      <w:pPr>
        <w:pStyle w:val="Normal6"/>
      </w:pPr>
      <w:r>
        <w:t xml:space="preserve">Neke od aktivnosti uključuju: provođenje međunarodnih ugovora te provođenje politike održivog razvitka, kao i stručno usavršavanja u inozemstvu, sudjelovanje u radu pojedinih tijela Konvencije, odborima, te suradnja sa relevantnim međunarodnim inspekcijama. Stalno praćenje izmjena i dopuna/revizija Konvencije, provođenje projekta „Hrvatsko gospodarstvo i NATO“, NATO CEPC radne skupine nadležne za civilno planiranje u izvanrednim situacijama, EU o DOP-u i suradnja sa UNIDO-om, kroz koordiniranu provedbu projekata primjene održivih tehnologija uz prilagodbu domaćeg zakonodavstva, sakupljanje specifičnih, pretežno povjerljivih podataka, edukaciju domaćih subjekata za </w:t>
      </w:r>
      <w:r>
        <w:lastRenderedPageBreak/>
        <w:t>kvalitetnu primjenu i provedbu međunarodne konvencije i sl. Izrada strateškog dokumenta vezanog uz razvoj DOP-a, temeljenog na  Komunikaciji o DOP-u COM (2011) 433 u EK.</w:t>
      </w:r>
    </w:p>
    <w:p w:rsidR="000E4589" w:rsidRDefault="000E4589" w:rsidP="000E4589">
      <w:pPr>
        <w:jc w:val="left"/>
      </w:pPr>
    </w:p>
    <w:p w:rsidR="000E4589" w:rsidRDefault="000E4589" w:rsidP="000E4589">
      <w:pPr>
        <w:pStyle w:val="Naslov4"/>
      </w:pPr>
      <w:r>
        <w:t>OBRAZLOŽENJE PROGRAMA</w:t>
      </w:r>
    </w:p>
    <w:p w:rsidR="00D849AA" w:rsidRDefault="00EE6D95">
      <w:pPr>
        <w:pStyle w:val="Naslov5"/>
      </w:pPr>
      <w:r>
        <w:t>3204 RAZVOJ ENERGETSKOG SUSTAVA I GOSPODARENJA MINERALNIM SIROVINAMA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0E4589" w:rsidRDefault="00D849AA">
            <w:pPr>
              <w:pStyle w:val="CellHeader"/>
            </w:pPr>
          </w:p>
        </w:tc>
        <w:tc>
          <w:tcPr>
            <w:tcW w:w="1486" w:type="dxa"/>
            <w:shd w:val="clear" w:color="auto" w:fill="B5C0D8"/>
          </w:tcPr>
          <w:p w:rsidR="00D849AA" w:rsidRPr="000E4589" w:rsidRDefault="00EE6D95">
            <w:pPr>
              <w:pStyle w:val="CellHeader"/>
            </w:pPr>
            <w:r w:rsidRPr="000E4589">
              <w:t>Plan 2013.</w:t>
            </w:r>
          </w:p>
        </w:tc>
        <w:tc>
          <w:tcPr>
            <w:tcW w:w="1486" w:type="dxa"/>
            <w:shd w:val="clear" w:color="auto" w:fill="B5C0D8"/>
          </w:tcPr>
          <w:p w:rsidR="00D849AA" w:rsidRPr="000E4589" w:rsidRDefault="00EE6D95">
            <w:pPr>
              <w:pStyle w:val="CellHeader"/>
            </w:pPr>
            <w:r w:rsidRPr="000E4589">
              <w:t>Plan 2014.</w:t>
            </w:r>
          </w:p>
        </w:tc>
        <w:tc>
          <w:tcPr>
            <w:tcW w:w="1486" w:type="dxa"/>
            <w:shd w:val="clear" w:color="auto" w:fill="B5C0D8"/>
          </w:tcPr>
          <w:p w:rsidR="00D849AA" w:rsidRPr="000E4589" w:rsidRDefault="00EE6D95">
            <w:pPr>
              <w:pStyle w:val="CellHeader"/>
            </w:pPr>
            <w:r w:rsidRPr="000E4589">
              <w:t>Plan 2015.</w:t>
            </w:r>
          </w:p>
        </w:tc>
        <w:tc>
          <w:tcPr>
            <w:tcW w:w="1486" w:type="dxa"/>
            <w:shd w:val="clear" w:color="auto" w:fill="B5C0D8"/>
          </w:tcPr>
          <w:p w:rsidR="00D849AA" w:rsidRPr="000E4589" w:rsidRDefault="00EE6D95">
            <w:pPr>
              <w:pStyle w:val="CellHeader"/>
            </w:pPr>
            <w:r w:rsidRPr="000E4589">
              <w:t>Plan 2016.</w:t>
            </w:r>
          </w:p>
        </w:tc>
        <w:tc>
          <w:tcPr>
            <w:tcW w:w="1486" w:type="dxa"/>
            <w:shd w:val="clear" w:color="auto" w:fill="B5C0D8"/>
          </w:tcPr>
          <w:p w:rsidR="00D849AA" w:rsidRPr="000E4589" w:rsidRDefault="00EE6D95">
            <w:pPr>
              <w:pStyle w:val="CellHeader"/>
            </w:pPr>
            <w:r w:rsidRPr="000E4589">
              <w:t>Indeks 2014/2013</w:t>
            </w:r>
          </w:p>
        </w:tc>
      </w:tr>
      <w:tr w:rsidR="00D849AA">
        <w:trPr>
          <w:jc w:val="center"/>
        </w:trPr>
        <w:tc>
          <w:tcPr>
            <w:tcW w:w="1486" w:type="dxa"/>
          </w:tcPr>
          <w:p w:rsidR="00D849AA" w:rsidRPr="000E4589" w:rsidRDefault="00EE6D95">
            <w:pPr>
              <w:pStyle w:val="CellColumn"/>
            </w:pPr>
            <w:r w:rsidRPr="000E4589">
              <w:t>3204</w:t>
            </w:r>
          </w:p>
        </w:tc>
        <w:tc>
          <w:tcPr>
            <w:tcW w:w="1486" w:type="dxa"/>
          </w:tcPr>
          <w:p w:rsidR="00D849AA" w:rsidRPr="000E4589" w:rsidRDefault="00EE6D95">
            <w:pPr>
              <w:rPr>
                <w:rFonts w:ascii="Arial" w:hAnsi="Arial" w:cs="Arial"/>
              </w:rPr>
            </w:pPr>
            <w:r w:rsidRPr="000E4589">
              <w:rPr>
                <w:rFonts w:ascii="Arial" w:hAnsi="Arial" w:cs="Arial"/>
              </w:rPr>
              <w:t>69.971.766</w:t>
            </w:r>
          </w:p>
        </w:tc>
        <w:tc>
          <w:tcPr>
            <w:tcW w:w="1486" w:type="dxa"/>
          </w:tcPr>
          <w:p w:rsidR="00D849AA" w:rsidRPr="000E4589" w:rsidRDefault="00EE6D95">
            <w:pPr>
              <w:rPr>
                <w:rFonts w:ascii="Arial" w:hAnsi="Arial" w:cs="Arial"/>
              </w:rPr>
            </w:pPr>
            <w:r w:rsidRPr="000E4589">
              <w:rPr>
                <w:rFonts w:ascii="Arial" w:hAnsi="Arial" w:cs="Arial"/>
              </w:rPr>
              <w:t>136.911.275</w:t>
            </w:r>
          </w:p>
        </w:tc>
        <w:tc>
          <w:tcPr>
            <w:tcW w:w="1486" w:type="dxa"/>
          </w:tcPr>
          <w:p w:rsidR="00D849AA" w:rsidRPr="000E4589" w:rsidRDefault="00EE6D95">
            <w:pPr>
              <w:rPr>
                <w:rFonts w:ascii="Arial" w:hAnsi="Arial" w:cs="Arial"/>
              </w:rPr>
            </w:pPr>
            <w:r w:rsidRPr="000E4589">
              <w:rPr>
                <w:rFonts w:ascii="Arial" w:hAnsi="Arial" w:cs="Arial"/>
              </w:rPr>
              <w:t>127.858.000</w:t>
            </w:r>
          </w:p>
        </w:tc>
        <w:tc>
          <w:tcPr>
            <w:tcW w:w="1486" w:type="dxa"/>
          </w:tcPr>
          <w:p w:rsidR="00D849AA" w:rsidRPr="000E4589" w:rsidRDefault="00EE6D95">
            <w:pPr>
              <w:rPr>
                <w:rFonts w:ascii="Arial" w:hAnsi="Arial" w:cs="Arial"/>
              </w:rPr>
            </w:pPr>
            <w:r w:rsidRPr="000E4589">
              <w:rPr>
                <w:rFonts w:ascii="Arial" w:hAnsi="Arial" w:cs="Arial"/>
              </w:rPr>
              <w:t>127.776.000</w:t>
            </w:r>
          </w:p>
        </w:tc>
        <w:tc>
          <w:tcPr>
            <w:tcW w:w="1486" w:type="dxa"/>
          </w:tcPr>
          <w:p w:rsidR="00D849AA" w:rsidRPr="000E4589" w:rsidRDefault="00EE6D95">
            <w:pPr>
              <w:rPr>
                <w:rFonts w:ascii="Arial" w:hAnsi="Arial" w:cs="Arial"/>
              </w:rPr>
            </w:pPr>
            <w:r w:rsidRPr="000E4589">
              <w:rPr>
                <w:rFonts w:ascii="Arial" w:hAnsi="Arial" w:cs="Arial"/>
              </w:rPr>
              <w:t>195,7</w:t>
            </w:r>
          </w:p>
        </w:tc>
      </w:tr>
    </w:tbl>
    <w:p w:rsidR="00D849AA" w:rsidRDefault="00EE6D95">
      <w:pPr>
        <w:pStyle w:val="Naslov6"/>
      </w:pPr>
      <w:r>
        <w:t>Opis programa</w:t>
      </w:r>
    </w:p>
    <w:p w:rsidR="00D849AA" w:rsidRDefault="00EE6D95">
      <w:pPr>
        <w:pStyle w:val="Normal5"/>
      </w:pPr>
      <w:r>
        <w:t xml:space="preserve">Ovim programom se vodi sustavno i cjelovito praćenje energetskog sektora sa ciljem njegove prilagodbe EU okruženju; također je potrebno pripremiti energetski sektor Republike Hrvatske za otvoreno tržište i stvoriti preduvjete da bude atraktivan za strane investicije.  </w:t>
      </w:r>
    </w:p>
    <w:p w:rsidR="00D849AA" w:rsidRDefault="00EE6D95">
      <w:pPr>
        <w:pStyle w:val="Normal5"/>
      </w:pPr>
      <w:r>
        <w:t xml:space="preserve">Republika Hrvatska obvezala se preuzeti i primijeniti pravnu stečevinu Europske unije iz područja energetike, što je do usvajanja Trećeg paketa energetskih propisa EU i učinjeno. Europska komisija i dalje prati napredak Republike Hrvatske, stoga sektor energetike kroz ovaj program nastavlja sa aktivnostima vezanim uz daljnje preuzimanje pravne stečevine EU. </w:t>
      </w:r>
    </w:p>
    <w:p w:rsidR="00D849AA" w:rsidRDefault="00EE6D95">
      <w:pPr>
        <w:pStyle w:val="Normal5"/>
      </w:pPr>
      <w:r>
        <w:t xml:space="preserve">Uključivanje domaće industrije u razvojne i proizvodne programe u ovim područjima energetike je strateški element reforme energetskog sektora i perspektive projekata obnovljivih izvora energije u Hrvatskoj.  </w:t>
      </w:r>
    </w:p>
    <w:p w:rsidR="00D849AA" w:rsidRDefault="00EE6D95">
      <w:pPr>
        <w:pStyle w:val="Normal5"/>
      </w:pPr>
      <w:r>
        <w:t xml:space="preserve">Sigurnost opskrbe energijom Republike Hrvatske treba kontinuirano unaprjeđivati. Održivost energetskog sustava izazov je suvremenog razvoja. Potrebno je poticati razvoj potrošnje kao preduvjet razvoja industrije, usluga, poljoprivrede, turizma, u cilju rasta zaposlenosti i standarda svih građana Republike Hrvatske.  </w:t>
      </w:r>
    </w:p>
    <w:p w:rsidR="00D849AA" w:rsidRDefault="00EE6D95">
      <w:pPr>
        <w:pStyle w:val="Normal5"/>
      </w:pPr>
      <w:r>
        <w:t>Ovim programom se također uređuje stanje u upravnom području rudarstva i uvodi jedinstveni informacijski sustav mineralnih sirovina.</w:t>
      </w:r>
    </w:p>
    <w:p w:rsidR="00D849AA" w:rsidRDefault="00EE6D95">
      <w:pPr>
        <w:pStyle w:val="Naslov6"/>
      </w:pPr>
      <w:r>
        <w:t>Zakonske i druge pravne osnove</w:t>
      </w:r>
    </w:p>
    <w:p w:rsidR="00D849AA" w:rsidRDefault="00EE6D95">
      <w:pPr>
        <w:pStyle w:val="Normal5"/>
      </w:pPr>
      <w:r>
        <w:t>Zakon o energiji (NN 120/12), Zakon o regulaciji energetskih djelatnosti (NN 120/12), Zakon o tržištu električne energije (NN 22/13), Zakon o tržištu plina (NN 28/13), Zakon o tržištu toplinske energije (NN 80/13), Zakon o tržištu nafte i naftnih derivata (NN 57/06, 18/11, 144/12), Zakon o biogorivima za prijevoz (NN 65/09, 145/10, 26/11, 144/12), Zakon o učinkovitom korištenju energije u neposrednoj potrošnji (NN 152/08, 55/12, 101/13), Strategija energetskog razvoja Republike Hrvatske (NN 130/09), Zakon o rudarstvu (NN 56/13), Zakon o istraživanju i eksploataciji ugljikovodika (NN 94/13), Pravilnik o energetskoj bilanci (NN 33/03), Pravilnik o podacima koje su energetski subjekti dužni dostavljati ministarstvu (NN 87/07).</w:t>
      </w:r>
    </w:p>
    <w:p w:rsidR="00D849AA" w:rsidRDefault="00EE6D95">
      <w:pPr>
        <w:pStyle w:val="Naslov6"/>
      </w:pPr>
      <w:r>
        <w:lastRenderedPageBreak/>
        <w:t>Ciljevi provedbe programa u razdoblju 2014.-2016. i pokazatelji uspješnosti kojima će se mjeriti ostvarenje tih ciljeva</w:t>
      </w:r>
    </w:p>
    <w:p w:rsidR="00D849AA" w:rsidRDefault="00EE6D95">
      <w:pPr>
        <w:pStyle w:val="Naslov7"/>
      </w:pPr>
      <w:r>
        <w:t>Cilj 1. Povećanje udjela obnovljivih izvora energije i energetske učinkovitosti</w:t>
      </w:r>
    </w:p>
    <w:p w:rsidR="00D849AA" w:rsidRDefault="00EE6D95">
      <w:pPr>
        <w:pStyle w:val="Normal6"/>
      </w:pPr>
      <w:r>
        <w:t>Izrada Nacionalnih akcijskih planova za korištenje obnovljivih izvora energije i povećanje udjela energetske učinkovitosti u sektoru energetike, a u svrhu povećanja udjela obnovljivih izvora energije i ušteda energije.</w:t>
      </w:r>
    </w:p>
    <w:p w:rsidR="00D849AA" w:rsidRDefault="00EE6D95">
      <w:pPr>
        <w:pStyle w:val="Naslov7"/>
      </w:pPr>
      <w:r>
        <w:t xml:space="preserve">Cilj 2. Daljnje usklađivanje sa pravnom stečevinom Europske unije </w:t>
      </w:r>
    </w:p>
    <w:p w:rsidR="00D849AA" w:rsidRDefault="00EE6D95">
      <w:pPr>
        <w:pStyle w:val="Normal6"/>
      </w:pPr>
      <w:r>
        <w:t xml:space="preserve">Provest će se daljnje restrukturiranje energetskog sektora sukladno 3. paketu energetskih zakona Europske unije i donošenje podzakonskih akata odnosno primjena obvezujućih uredbi Europske komisije koje su u postupku donošenja. </w:t>
      </w:r>
    </w:p>
    <w:p w:rsidR="00D849AA" w:rsidRDefault="00EE6D95">
      <w:pPr>
        <w:pStyle w:val="Normal6"/>
      </w:pPr>
      <w:r>
        <w:t xml:space="preserve">Treći paket energetskih propisa (liberalizacije tržišta električne energije i prirodnog plina) Ministarsko vijeće Europske unije prihvatilo je 25. lipnja 2009. godine. Dana 13. srpnja 2009. godine potpisali su ga Vijeće i Europski parlament, a u primjeni je od 3. rujna 2009. godine. Države članice Europske unije su bile obvezne provesti potrebne prilagodbe nacionalnih pravnih sustava u roku od 18 mjeseci, tj. do 3. ožujka 2011. godine.  </w:t>
      </w:r>
    </w:p>
    <w:p w:rsidR="00D849AA" w:rsidRDefault="00EE6D95">
      <w:pPr>
        <w:pStyle w:val="Normal6"/>
      </w:pPr>
      <w:r>
        <w:t xml:space="preserve">Treći paket energetskih propisa od 13.  srpnja 2009. godine čine: </w:t>
      </w:r>
    </w:p>
    <w:p w:rsidR="00D849AA" w:rsidRDefault="00EE6D95">
      <w:pPr>
        <w:pStyle w:val="Normal6"/>
      </w:pPr>
      <w:r>
        <w:t xml:space="preserve">- Direktiva 2009/72/EC o zajedničkim pravilima za unutarnje tržište električne energije, </w:t>
      </w:r>
    </w:p>
    <w:p w:rsidR="00D849AA" w:rsidRDefault="00EE6D95">
      <w:pPr>
        <w:pStyle w:val="Normal6"/>
      </w:pPr>
      <w:r>
        <w:t xml:space="preserve">- Direktiva 2009/73/EC o zajedničkim pravilima za unutarnje tržište prirodnim plinom, </w:t>
      </w:r>
    </w:p>
    <w:p w:rsidR="00D849AA" w:rsidRDefault="00EE6D95">
      <w:pPr>
        <w:pStyle w:val="Normal6"/>
      </w:pPr>
      <w:r>
        <w:t xml:space="preserve">- Uredba 2009/713/EC o osnivanju Agencije za suradnju tijela energetskog nadzora, </w:t>
      </w:r>
    </w:p>
    <w:p w:rsidR="00D849AA" w:rsidRDefault="00EE6D95">
      <w:pPr>
        <w:pStyle w:val="Normal6"/>
      </w:pPr>
      <w:r>
        <w:t xml:space="preserve">- Uredba 2009/714/EC o uvjetima pristupa mreži za prekogranične razmjene električne energije, </w:t>
      </w:r>
    </w:p>
    <w:p w:rsidR="00D849AA" w:rsidRDefault="00EE6D95">
      <w:pPr>
        <w:pStyle w:val="Normal6"/>
      </w:pPr>
      <w:r>
        <w:t xml:space="preserve">- Uredba 2009/715/EC o uvjetima pristupa mrežama za transport prirodnog plina. </w:t>
      </w:r>
    </w:p>
    <w:p w:rsidR="00D849AA" w:rsidRDefault="00EE6D95">
      <w:pPr>
        <w:pStyle w:val="Normal6"/>
      </w:pPr>
      <w:r>
        <w:t>U tijeku 2012. godine su doneseni zakonski akti: Zakon o energiji i Zakon o regulaciji energetskih djelatnosti (NN 120/12), a u 2013. godini su doneseni: Zakon o tržištu električne energije (NN 22/13), Zakon o tržištu plina (NN 28/13) i Zakon o tržištu toplinske energije (NN 80/13). Sve promjene koje donose izmjene zakona, problemi iz prakse, dodatna primjene EU zakonodavstva u podzakonske propise, utječu na potrebu donošenja pripadajućih podzakonskih akata. Kako bi se što kvalitetnije izradila dopuna navedenih akata potrebno je da se osigura kvalitetan pregled sadašnjeg stanja i poglavito primjene svih podzakonskih akata. Glavni cilj projekta je dati kvalitetne smjernice za promjene podzakonskih akata.</w:t>
      </w:r>
    </w:p>
    <w:p w:rsidR="00D849AA" w:rsidRDefault="00EE6D95">
      <w:pPr>
        <w:pStyle w:val="Naslov7"/>
      </w:pPr>
      <w:r>
        <w:t>Cilj 3. Izrada jedinstvenog informacijskog sustava mineralnih sirovina i uređenje stanja u upravnom području rudarstva</w:t>
      </w:r>
    </w:p>
    <w:p w:rsidR="00D849AA" w:rsidRDefault="00EE6D95">
      <w:pPr>
        <w:pStyle w:val="Normal6"/>
      </w:pPr>
      <w:r>
        <w:t xml:space="preserve">Sektor za rudarstvo izdaje odobrenja za istraživanje mineralnih sirovina i određivanje eksploatacijskih polja mineralnih sirovina, daje koncesije za eksploataciju mineralnih sirovina, izdaje građevinske i uporabne dozvole za rudarske objekte i postrojenja, vodi registar istražnih prostora mineralnih sirovina, registar eksploatacijskih polja mineralnih sirovina, registar koncesija mineralnih sirovina i jedinstveni informacijski sustav mineralnih sirovina, vodi evidenciju o rezervama mineralnih sirovina i izrađuje godišnje bilance rezervi mineralnih sirovina, provodi upravne i stručne poslove provjere elaborata o rezervama mineralnih sirovina, provjere rudarskih projekata istraživanja i eksploatacije mineralnih sirovina, te polaganja stručnih ispita iz područja rudarstva, provodi tehničke preglede za izdavanje uporabnih dozvola za rudarske objekte i postrojenja, provodi upravni nadzor nad primjenom zakona iz područja rudarstva, vodi drugostupanjske upravne postupke iz područja rudarstva. </w:t>
      </w:r>
    </w:p>
    <w:p w:rsidR="00D849AA" w:rsidRDefault="00EE6D95">
      <w:pPr>
        <w:pStyle w:val="Normal6"/>
      </w:pPr>
      <w:r>
        <w:lastRenderedPageBreak/>
        <w:t xml:space="preserve">Cilj predloženog projekta je uređenje stanja u upravnom području rudarstva, glede sukcesivnog preuzimanja nadležnost za mineralne sirovine iz članka 5. točke 3. ovoga Zakona od ureda državne uprave u županijama, odnosno izrada gore navedenih zakonskih/podzakonskih propisa i Strategije. </w:t>
      </w:r>
    </w:p>
    <w:p w:rsidR="00D849AA" w:rsidRDefault="00EE6D95">
      <w:pPr>
        <w:pStyle w:val="Normal6"/>
      </w:pPr>
      <w:r>
        <w:t xml:space="preserve">Sektor za rudarstvo temeljem članka 145. Zakona o rudarstvu mora ustrojiti Jedinstveni informacijski sustav mineralnih sirovina. Ciljevi Jedinstvenog informacijskog sustava mineralnih sirovina su obrada i sistematizacija podataka o odobrenim istražnim prostorima i eksploatacijskim poljima mineralnih sirovina, obrada, sistematizacija i pohrana rudarsko-geoloških podataka. </w:t>
      </w:r>
    </w:p>
    <w:p w:rsidR="00D849AA" w:rsidRDefault="00EE6D95">
      <w:pPr>
        <w:pStyle w:val="Normal6"/>
      </w:pPr>
      <w:r>
        <w:t xml:space="preserve">Cilj predloženog projekta je digitalizacija podataka o odobrenim istražnim prostorima i eksploatacijskim poljima mineralnih sirovina, te povezivanje istih sa Registrom koncesija i sustavima izrade Bilance stanja rezervi mineralnih sirovina i godišnje eksploatacije mineralnih sirovina u Republici Hrvatskoj, u skladu s odredbama Zakona o rudarstvu. </w:t>
      </w:r>
    </w:p>
    <w:p w:rsidR="00D849AA" w:rsidRDefault="00EE6D95">
      <w:pPr>
        <w:pStyle w:val="Normal6"/>
      </w:pPr>
      <w:r>
        <w:t>Ovi poslovi Sektoru za rudarstvo određeni su zakonskim obvezama i potrebno je osigurati sredstva za jačanje administrativnih kapaciteta.</w:t>
      </w:r>
    </w:p>
    <w:p w:rsidR="005F2AE2" w:rsidRDefault="005F2AE2">
      <w:pPr>
        <w:pStyle w:val="Normal6"/>
      </w:pP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0E4589" w:rsidRDefault="00EE6D95">
            <w:pPr>
              <w:rPr>
                <w:rFonts w:ascii="Arial" w:hAnsi="Arial" w:cs="Arial"/>
              </w:rPr>
            </w:pPr>
            <w:r w:rsidRPr="000E4589">
              <w:rPr>
                <w:rFonts w:ascii="Arial" w:hAnsi="Arial" w:cs="Arial"/>
              </w:rPr>
              <w:t>Pokazatelj učinka</w:t>
            </w:r>
          </w:p>
        </w:tc>
        <w:tc>
          <w:tcPr>
            <w:tcW w:w="1114" w:type="dxa"/>
            <w:shd w:val="clear" w:color="auto" w:fill="B5C0D8"/>
          </w:tcPr>
          <w:p w:rsidR="00D849AA" w:rsidRPr="000E4589" w:rsidRDefault="00EE6D95">
            <w:pPr>
              <w:pStyle w:val="CellHeader"/>
            </w:pPr>
            <w:r w:rsidRPr="000E4589">
              <w:t>Jedinica</w:t>
            </w:r>
          </w:p>
        </w:tc>
        <w:tc>
          <w:tcPr>
            <w:tcW w:w="1114" w:type="dxa"/>
            <w:shd w:val="clear" w:color="auto" w:fill="B5C0D8"/>
          </w:tcPr>
          <w:p w:rsidR="00D849AA" w:rsidRPr="000E4589" w:rsidRDefault="00EE6D95">
            <w:pPr>
              <w:pStyle w:val="CellHeader"/>
            </w:pPr>
            <w:r w:rsidRPr="000E4589">
              <w:t>Polazna vrijednost</w:t>
            </w:r>
          </w:p>
        </w:tc>
        <w:tc>
          <w:tcPr>
            <w:tcW w:w="1486" w:type="dxa"/>
            <w:shd w:val="clear" w:color="auto" w:fill="B5C0D8"/>
          </w:tcPr>
          <w:p w:rsidR="00D849AA" w:rsidRPr="000E4589" w:rsidRDefault="00EE6D95">
            <w:pPr>
              <w:pStyle w:val="CellHeader"/>
            </w:pPr>
            <w:r w:rsidRPr="000E4589">
              <w:t>Ciljana vrijednost (2014.)</w:t>
            </w:r>
          </w:p>
        </w:tc>
        <w:tc>
          <w:tcPr>
            <w:tcW w:w="1486" w:type="dxa"/>
            <w:shd w:val="clear" w:color="auto" w:fill="B5C0D8"/>
          </w:tcPr>
          <w:p w:rsidR="00D849AA" w:rsidRPr="000E4589" w:rsidRDefault="00EE6D95">
            <w:pPr>
              <w:pStyle w:val="CellHeader"/>
            </w:pPr>
            <w:r w:rsidRPr="000E4589">
              <w:t>Ciljana vrijednost (2015.)</w:t>
            </w:r>
          </w:p>
        </w:tc>
        <w:tc>
          <w:tcPr>
            <w:tcW w:w="1486" w:type="dxa"/>
            <w:shd w:val="clear" w:color="auto" w:fill="B5C0D8"/>
          </w:tcPr>
          <w:p w:rsidR="00D849AA" w:rsidRPr="000E4589" w:rsidRDefault="00EE6D95">
            <w:pPr>
              <w:pStyle w:val="CellHeader"/>
            </w:pPr>
            <w:r w:rsidRPr="000E4589">
              <w:t>Ciljana vrijednost (2016.)</w:t>
            </w:r>
          </w:p>
        </w:tc>
      </w:tr>
      <w:tr w:rsidR="00D849AA">
        <w:trPr>
          <w:jc w:val="center"/>
        </w:trPr>
        <w:tc>
          <w:tcPr>
            <w:tcW w:w="2229" w:type="dxa"/>
          </w:tcPr>
          <w:p w:rsidR="00D849AA" w:rsidRPr="000E4589" w:rsidRDefault="00EE6D95">
            <w:pPr>
              <w:pStyle w:val="CellColumn"/>
            </w:pPr>
            <w:r w:rsidRPr="000E4589">
              <w:t>Izrađeni Zakonski propisi</w:t>
            </w:r>
          </w:p>
        </w:tc>
        <w:tc>
          <w:tcPr>
            <w:tcW w:w="1114" w:type="dxa"/>
          </w:tcPr>
          <w:p w:rsidR="00D849AA" w:rsidRPr="000E4589" w:rsidRDefault="00EE6D95">
            <w:pPr>
              <w:rPr>
                <w:rFonts w:ascii="Arial" w:hAnsi="Arial" w:cs="Arial"/>
              </w:rPr>
            </w:pPr>
            <w:r w:rsidRPr="000E4589">
              <w:rPr>
                <w:rFonts w:ascii="Arial" w:hAnsi="Arial" w:cs="Arial"/>
              </w:rPr>
              <w:t>%</w:t>
            </w:r>
          </w:p>
        </w:tc>
        <w:tc>
          <w:tcPr>
            <w:tcW w:w="1114" w:type="dxa"/>
          </w:tcPr>
          <w:p w:rsidR="00D849AA" w:rsidRPr="000E4589" w:rsidRDefault="00EE6D95">
            <w:pPr>
              <w:rPr>
                <w:rFonts w:ascii="Arial" w:hAnsi="Arial" w:cs="Arial"/>
              </w:rPr>
            </w:pPr>
            <w:r w:rsidRPr="000E4589">
              <w:rPr>
                <w:rFonts w:ascii="Arial" w:hAnsi="Arial" w:cs="Arial"/>
              </w:rPr>
              <w:t>0</w:t>
            </w:r>
          </w:p>
        </w:tc>
        <w:tc>
          <w:tcPr>
            <w:tcW w:w="1486" w:type="dxa"/>
          </w:tcPr>
          <w:p w:rsidR="00D849AA" w:rsidRPr="000E4589" w:rsidRDefault="00EE6D95">
            <w:pPr>
              <w:rPr>
                <w:rFonts w:ascii="Arial" w:hAnsi="Arial" w:cs="Arial"/>
              </w:rPr>
            </w:pPr>
            <w:r w:rsidRPr="000E4589">
              <w:rPr>
                <w:rFonts w:ascii="Arial" w:hAnsi="Arial" w:cs="Arial"/>
              </w:rPr>
              <w:t>0</w:t>
            </w:r>
          </w:p>
        </w:tc>
        <w:tc>
          <w:tcPr>
            <w:tcW w:w="1486" w:type="dxa"/>
          </w:tcPr>
          <w:p w:rsidR="00D849AA" w:rsidRPr="000E4589" w:rsidRDefault="00EE6D95">
            <w:pPr>
              <w:rPr>
                <w:rFonts w:ascii="Arial" w:hAnsi="Arial" w:cs="Arial"/>
              </w:rPr>
            </w:pPr>
            <w:r w:rsidRPr="000E4589">
              <w:rPr>
                <w:rFonts w:ascii="Arial" w:hAnsi="Arial" w:cs="Arial"/>
              </w:rPr>
              <w:t>1</w:t>
            </w:r>
          </w:p>
        </w:tc>
        <w:tc>
          <w:tcPr>
            <w:tcW w:w="1486" w:type="dxa"/>
          </w:tcPr>
          <w:p w:rsidR="00D849AA" w:rsidRPr="000E4589" w:rsidRDefault="00EE6D95">
            <w:pPr>
              <w:rPr>
                <w:rFonts w:ascii="Arial" w:hAnsi="Arial" w:cs="Arial"/>
              </w:rPr>
            </w:pPr>
            <w:r w:rsidRPr="000E4589">
              <w:rPr>
                <w:rFonts w:ascii="Arial" w:hAnsi="Arial" w:cs="Arial"/>
              </w:rPr>
              <w:t>0</w:t>
            </w:r>
          </w:p>
        </w:tc>
      </w:tr>
      <w:tr w:rsidR="00D849AA">
        <w:trPr>
          <w:jc w:val="center"/>
        </w:trPr>
        <w:tc>
          <w:tcPr>
            <w:tcW w:w="2229" w:type="dxa"/>
          </w:tcPr>
          <w:p w:rsidR="00D849AA" w:rsidRPr="000E4589" w:rsidRDefault="00EE6D95">
            <w:pPr>
              <w:pStyle w:val="CellColumn"/>
            </w:pPr>
            <w:r w:rsidRPr="000E4589">
              <w:t>Izrađeni podzakonski propisi</w:t>
            </w:r>
          </w:p>
        </w:tc>
        <w:tc>
          <w:tcPr>
            <w:tcW w:w="1114" w:type="dxa"/>
          </w:tcPr>
          <w:p w:rsidR="00D849AA" w:rsidRPr="000E4589" w:rsidRDefault="00EE6D95">
            <w:pPr>
              <w:rPr>
                <w:rFonts w:ascii="Arial" w:hAnsi="Arial" w:cs="Arial"/>
              </w:rPr>
            </w:pPr>
            <w:r w:rsidRPr="000E4589">
              <w:rPr>
                <w:rFonts w:ascii="Arial" w:hAnsi="Arial" w:cs="Arial"/>
              </w:rPr>
              <w:t>%</w:t>
            </w:r>
          </w:p>
        </w:tc>
        <w:tc>
          <w:tcPr>
            <w:tcW w:w="1114" w:type="dxa"/>
          </w:tcPr>
          <w:p w:rsidR="00D849AA" w:rsidRPr="000E4589" w:rsidRDefault="00EE6D95">
            <w:pPr>
              <w:rPr>
                <w:rFonts w:ascii="Arial" w:hAnsi="Arial" w:cs="Arial"/>
              </w:rPr>
            </w:pPr>
            <w:r w:rsidRPr="000E4589">
              <w:rPr>
                <w:rFonts w:ascii="Arial" w:hAnsi="Arial" w:cs="Arial"/>
              </w:rPr>
              <w:t>0</w:t>
            </w:r>
          </w:p>
        </w:tc>
        <w:tc>
          <w:tcPr>
            <w:tcW w:w="1486" w:type="dxa"/>
          </w:tcPr>
          <w:p w:rsidR="00D849AA" w:rsidRPr="000E4589" w:rsidRDefault="00EE6D95">
            <w:pPr>
              <w:rPr>
                <w:rFonts w:ascii="Arial" w:hAnsi="Arial" w:cs="Arial"/>
              </w:rPr>
            </w:pPr>
            <w:r w:rsidRPr="000E4589">
              <w:rPr>
                <w:rFonts w:ascii="Arial" w:hAnsi="Arial" w:cs="Arial"/>
              </w:rPr>
              <w:t>12</w:t>
            </w:r>
          </w:p>
        </w:tc>
        <w:tc>
          <w:tcPr>
            <w:tcW w:w="1486" w:type="dxa"/>
          </w:tcPr>
          <w:p w:rsidR="00D849AA" w:rsidRPr="000E4589" w:rsidRDefault="00EE6D95">
            <w:pPr>
              <w:rPr>
                <w:rFonts w:ascii="Arial" w:hAnsi="Arial" w:cs="Arial"/>
              </w:rPr>
            </w:pPr>
            <w:r w:rsidRPr="000E4589">
              <w:rPr>
                <w:rFonts w:ascii="Arial" w:hAnsi="Arial" w:cs="Arial"/>
              </w:rPr>
              <w:t>0</w:t>
            </w:r>
          </w:p>
        </w:tc>
        <w:tc>
          <w:tcPr>
            <w:tcW w:w="1486" w:type="dxa"/>
          </w:tcPr>
          <w:p w:rsidR="00D849AA" w:rsidRPr="000E4589" w:rsidRDefault="00EE6D95">
            <w:pPr>
              <w:rPr>
                <w:rFonts w:ascii="Arial" w:hAnsi="Arial" w:cs="Arial"/>
              </w:rPr>
            </w:pPr>
            <w:r w:rsidRPr="000E4589">
              <w:rPr>
                <w:rFonts w:ascii="Arial" w:hAnsi="Arial" w:cs="Arial"/>
              </w:rPr>
              <w:t>0</w:t>
            </w:r>
          </w:p>
        </w:tc>
      </w:tr>
      <w:tr w:rsidR="00D849AA">
        <w:trPr>
          <w:jc w:val="center"/>
        </w:trPr>
        <w:tc>
          <w:tcPr>
            <w:tcW w:w="2229" w:type="dxa"/>
          </w:tcPr>
          <w:p w:rsidR="00D849AA" w:rsidRPr="000E4589" w:rsidRDefault="00EE6D95">
            <w:pPr>
              <w:pStyle w:val="CellColumn"/>
            </w:pPr>
            <w:r w:rsidRPr="000E4589">
              <w:t>Strategija</w:t>
            </w:r>
          </w:p>
        </w:tc>
        <w:tc>
          <w:tcPr>
            <w:tcW w:w="1114" w:type="dxa"/>
          </w:tcPr>
          <w:p w:rsidR="00D849AA" w:rsidRPr="000E4589" w:rsidRDefault="00EE6D95">
            <w:pPr>
              <w:rPr>
                <w:rFonts w:ascii="Arial" w:hAnsi="Arial" w:cs="Arial"/>
              </w:rPr>
            </w:pPr>
            <w:r w:rsidRPr="000E4589">
              <w:rPr>
                <w:rFonts w:ascii="Arial" w:hAnsi="Arial" w:cs="Arial"/>
              </w:rPr>
              <w:t>%</w:t>
            </w:r>
          </w:p>
        </w:tc>
        <w:tc>
          <w:tcPr>
            <w:tcW w:w="1114" w:type="dxa"/>
          </w:tcPr>
          <w:p w:rsidR="00D849AA" w:rsidRPr="000E4589" w:rsidRDefault="00EE6D95">
            <w:pPr>
              <w:rPr>
                <w:rFonts w:ascii="Arial" w:hAnsi="Arial" w:cs="Arial"/>
              </w:rPr>
            </w:pPr>
            <w:r w:rsidRPr="000E4589">
              <w:rPr>
                <w:rFonts w:ascii="Arial" w:hAnsi="Arial" w:cs="Arial"/>
              </w:rPr>
              <w:t>0</w:t>
            </w:r>
          </w:p>
        </w:tc>
        <w:tc>
          <w:tcPr>
            <w:tcW w:w="1486" w:type="dxa"/>
          </w:tcPr>
          <w:p w:rsidR="00D849AA" w:rsidRPr="000E4589" w:rsidRDefault="00EE6D95">
            <w:pPr>
              <w:rPr>
                <w:rFonts w:ascii="Arial" w:hAnsi="Arial" w:cs="Arial"/>
              </w:rPr>
            </w:pPr>
            <w:r w:rsidRPr="000E4589">
              <w:rPr>
                <w:rFonts w:ascii="Arial" w:hAnsi="Arial" w:cs="Arial"/>
              </w:rPr>
              <w:t>0</w:t>
            </w:r>
          </w:p>
        </w:tc>
        <w:tc>
          <w:tcPr>
            <w:tcW w:w="1486" w:type="dxa"/>
          </w:tcPr>
          <w:p w:rsidR="00D849AA" w:rsidRPr="000E4589" w:rsidRDefault="00EE6D95">
            <w:pPr>
              <w:rPr>
                <w:rFonts w:ascii="Arial" w:hAnsi="Arial" w:cs="Arial"/>
              </w:rPr>
            </w:pPr>
            <w:r w:rsidRPr="000E4589">
              <w:rPr>
                <w:rFonts w:ascii="Arial" w:hAnsi="Arial" w:cs="Arial"/>
              </w:rPr>
              <w:t>0</w:t>
            </w:r>
          </w:p>
        </w:tc>
        <w:tc>
          <w:tcPr>
            <w:tcW w:w="1486" w:type="dxa"/>
          </w:tcPr>
          <w:p w:rsidR="00D849AA" w:rsidRPr="000E4589" w:rsidRDefault="00EE6D95">
            <w:pPr>
              <w:rPr>
                <w:rFonts w:ascii="Arial" w:hAnsi="Arial" w:cs="Arial"/>
              </w:rPr>
            </w:pPr>
            <w:r w:rsidRPr="000E4589">
              <w:rPr>
                <w:rFonts w:ascii="Arial" w:hAnsi="Arial" w:cs="Arial"/>
              </w:rPr>
              <w:t>1</w:t>
            </w:r>
          </w:p>
        </w:tc>
      </w:tr>
      <w:tr w:rsidR="00D849AA">
        <w:trPr>
          <w:jc w:val="center"/>
        </w:trPr>
        <w:tc>
          <w:tcPr>
            <w:tcW w:w="2229" w:type="dxa"/>
          </w:tcPr>
          <w:p w:rsidR="00D849AA" w:rsidRPr="000E4589" w:rsidRDefault="00EE6D95">
            <w:pPr>
              <w:pStyle w:val="CellColumn"/>
            </w:pPr>
            <w:r w:rsidRPr="000E4589">
              <w:t>Preuzeti poslovi od Ureda državne uprave</w:t>
            </w:r>
          </w:p>
        </w:tc>
        <w:tc>
          <w:tcPr>
            <w:tcW w:w="1114" w:type="dxa"/>
          </w:tcPr>
          <w:p w:rsidR="00D849AA" w:rsidRPr="000E4589" w:rsidRDefault="00EE6D95">
            <w:pPr>
              <w:rPr>
                <w:rFonts w:ascii="Arial" w:hAnsi="Arial" w:cs="Arial"/>
              </w:rPr>
            </w:pPr>
            <w:r w:rsidRPr="000E4589">
              <w:rPr>
                <w:rFonts w:ascii="Arial" w:hAnsi="Arial" w:cs="Arial"/>
              </w:rPr>
              <w:t>%</w:t>
            </w:r>
          </w:p>
        </w:tc>
        <w:tc>
          <w:tcPr>
            <w:tcW w:w="1114" w:type="dxa"/>
          </w:tcPr>
          <w:p w:rsidR="00D849AA" w:rsidRPr="000E4589" w:rsidRDefault="00EE6D95">
            <w:pPr>
              <w:rPr>
                <w:rFonts w:ascii="Arial" w:hAnsi="Arial" w:cs="Arial"/>
              </w:rPr>
            </w:pPr>
            <w:r w:rsidRPr="000E4589">
              <w:rPr>
                <w:rFonts w:ascii="Arial" w:hAnsi="Arial" w:cs="Arial"/>
              </w:rPr>
              <w:t>0</w:t>
            </w:r>
          </w:p>
        </w:tc>
        <w:tc>
          <w:tcPr>
            <w:tcW w:w="1486" w:type="dxa"/>
          </w:tcPr>
          <w:p w:rsidR="00D849AA" w:rsidRPr="000E4589" w:rsidRDefault="00EE6D95">
            <w:pPr>
              <w:rPr>
                <w:rFonts w:ascii="Arial" w:hAnsi="Arial" w:cs="Arial"/>
              </w:rPr>
            </w:pPr>
            <w:r w:rsidRPr="000E4589">
              <w:rPr>
                <w:rFonts w:ascii="Arial" w:hAnsi="Arial" w:cs="Arial"/>
              </w:rPr>
              <w:t>3</w:t>
            </w:r>
          </w:p>
        </w:tc>
        <w:tc>
          <w:tcPr>
            <w:tcW w:w="1486" w:type="dxa"/>
          </w:tcPr>
          <w:p w:rsidR="00D849AA" w:rsidRPr="000E4589" w:rsidRDefault="00EE6D95">
            <w:pPr>
              <w:rPr>
                <w:rFonts w:ascii="Arial" w:hAnsi="Arial" w:cs="Arial"/>
              </w:rPr>
            </w:pPr>
            <w:r w:rsidRPr="000E4589">
              <w:rPr>
                <w:rFonts w:ascii="Arial" w:hAnsi="Arial" w:cs="Arial"/>
              </w:rPr>
              <w:t>5</w:t>
            </w:r>
          </w:p>
        </w:tc>
        <w:tc>
          <w:tcPr>
            <w:tcW w:w="1486" w:type="dxa"/>
          </w:tcPr>
          <w:p w:rsidR="00D849AA" w:rsidRPr="000E4589" w:rsidRDefault="00EE6D95">
            <w:pPr>
              <w:rPr>
                <w:rFonts w:ascii="Arial" w:hAnsi="Arial" w:cs="Arial"/>
              </w:rPr>
            </w:pPr>
            <w:r w:rsidRPr="000E4589">
              <w:rPr>
                <w:rFonts w:ascii="Arial" w:hAnsi="Arial" w:cs="Arial"/>
              </w:rPr>
              <w:t>5</w:t>
            </w:r>
          </w:p>
        </w:tc>
      </w:tr>
      <w:tr w:rsidR="00D849AA">
        <w:trPr>
          <w:jc w:val="center"/>
        </w:trPr>
        <w:tc>
          <w:tcPr>
            <w:tcW w:w="2229" w:type="dxa"/>
          </w:tcPr>
          <w:p w:rsidR="00D849AA" w:rsidRPr="000E4589" w:rsidRDefault="00EE6D95">
            <w:pPr>
              <w:pStyle w:val="CellColumn"/>
            </w:pPr>
            <w:r w:rsidRPr="000E4589">
              <w:t>Obrađeni i digitalizirani podatci</w:t>
            </w:r>
          </w:p>
        </w:tc>
        <w:tc>
          <w:tcPr>
            <w:tcW w:w="1114" w:type="dxa"/>
          </w:tcPr>
          <w:p w:rsidR="00D849AA" w:rsidRPr="000E4589" w:rsidRDefault="00EE6D95">
            <w:pPr>
              <w:rPr>
                <w:rFonts w:ascii="Arial" w:hAnsi="Arial" w:cs="Arial"/>
              </w:rPr>
            </w:pPr>
            <w:r w:rsidRPr="000E4589">
              <w:rPr>
                <w:rFonts w:ascii="Arial" w:hAnsi="Arial" w:cs="Arial"/>
              </w:rPr>
              <w:t>%</w:t>
            </w:r>
          </w:p>
        </w:tc>
        <w:tc>
          <w:tcPr>
            <w:tcW w:w="1114" w:type="dxa"/>
          </w:tcPr>
          <w:p w:rsidR="00D849AA" w:rsidRPr="000E4589" w:rsidRDefault="00EE6D95">
            <w:pPr>
              <w:rPr>
                <w:rFonts w:ascii="Arial" w:hAnsi="Arial" w:cs="Arial"/>
              </w:rPr>
            </w:pPr>
            <w:r w:rsidRPr="000E4589">
              <w:rPr>
                <w:rFonts w:ascii="Arial" w:hAnsi="Arial" w:cs="Arial"/>
              </w:rPr>
              <w:t>0</w:t>
            </w:r>
          </w:p>
        </w:tc>
        <w:tc>
          <w:tcPr>
            <w:tcW w:w="1486" w:type="dxa"/>
          </w:tcPr>
          <w:p w:rsidR="00D849AA" w:rsidRPr="000E4589" w:rsidRDefault="00EE6D95">
            <w:pPr>
              <w:rPr>
                <w:rFonts w:ascii="Arial" w:hAnsi="Arial" w:cs="Arial"/>
              </w:rPr>
            </w:pPr>
            <w:r w:rsidRPr="000E4589">
              <w:rPr>
                <w:rFonts w:ascii="Arial" w:hAnsi="Arial" w:cs="Arial"/>
              </w:rPr>
              <w:t>150</w:t>
            </w:r>
          </w:p>
        </w:tc>
        <w:tc>
          <w:tcPr>
            <w:tcW w:w="1486" w:type="dxa"/>
          </w:tcPr>
          <w:p w:rsidR="00D849AA" w:rsidRPr="000E4589" w:rsidRDefault="00EE6D95">
            <w:pPr>
              <w:rPr>
                <w:rFonts w:ascii="Arial" w:hAnsi="Arial" w:cs="Arial"/>
              </w:rPr>
            </w:pPr>
            <w:r w:rsidRPr="000E4589">
              <w:rPr>
                <w:rFonts w:ascii="Arial" w:hAnsi="Arial" w:cs="Arial"/>
              </w:rPr>
              <w:t>400</w:t>
            </w:r>
          </w:p>
        </w:tc>
        <w:tc>
          <w:tcPr>
            <w:tcW w:w="1486" w:type="dxa"/>
          </w:tcPr>
          <w:p w:rsidR="00D849AA" w:rsidRPr="000E4589" w:rsidRDefault="00EE6D95">
            <w:pPr>
              <w:rPr>
                <w:rFonts w:ascii="Arial" w:hAnsi="Arial" w:cs="Arial"/>
              </w:rPr>
            </w:pPr>
            <w:r w:rsidRPr="000E4589">
              <w:rPr>
                <w:rFonts w:ascii="Arial" w:hAnsi="Arial" w:cs="Arial"/>
              </w:rPr>
              <w:t>600</w:t>
            </w:r>
          </w:p>
        </w:tc>
      </w:tr>
    </w:tbl>
    <w:p w:rsidR="00D849AA" w:rsidRDefault="00D849AA">
      <w:pPr>
        <w:jc w:val="left"/>
      </w:pPr>
    </w:p>
    <w:p w:rsidR="00D849AA" w:rsidRDefault="00EE6D95">
      <w:pPr>
        <w:pStyle w:val="Naslov5"/>
      </w:pPr>
      <w:r>
        <w:t>Procjena i ishodište potrebnih sredstava za značajnije aktivnosti/projekte</w:t>
      </w:r>
    </w:p>
    <w:p w:rsidR="00D849AA" w:rsidRDefault="00EE6D95">
      <w:pPr>
        <w:pStyle w:val="Naslov6"/>
      </w:pPr>
      <w:r>
        <w:t>A560063 DRŽAVNE POTPORE ZA ENERGETSKU UČINKOVITOST I OBNOVLJIVE IZVORE ENERGIJE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0E4589" w:rsidRDefault="00EE6D95">
            <w:pPr>
              <w:pStyle w:val="CellHeader"/>
            </w:pPr>
            <w:r w:rsidRPr="000E4589">
              <w:t>Naziv aktivnosti</w:t>
            </w:r>
          </w:p>
        </w:tc>
        <w:tc>
          <w:tcPr>
            <w:tcW w:w="1486" w:type="dxa"/>
            <w:shd w:val="clear" w:color="auto" w:fill="B5C0D8"/>
          </w:tcPr>
          <w:p w:rsidR="00D849AA" w:rsidRPr="000E4589" w:rsidRDefault="00EE6D95">
            <w:pPr>
              <w:pStyle w:val="CellHeader"/>
            </w:pPr>
            <w:r w:rsidRPr="000E4589">
              <w:t>Plan 2013.</w:t>
            </w:r>
          </w:p>
        </w:tc>
        <w:tc>
          <w:tcPr>
            <w:tcW w:w="1486" w:type="dxa"/>
            <w:shd w:val="clear" w:color="auto" w:fill="B5C0D8"/>
          </w:tcPr>
          <w:p w:rsidR="00D849AA" w:rsidRPr="000E4589" w:rsidRDefault="00EE6D95">
            <w:pPr>
              <w:pStyle w:val="CellHeader"/>
            </w:pPr>
            <w:r w:rsidRPr="000E4589">
              <w:t>Plan 2014.</w:t>
            </w:r>
          </w:p>
        </w:tc>
        <w:tc>
          <w:tcPr>
            <w:tcW w:w="1486" w:type="dxa"/>
            <w:shd w:val="clear" w:color="auto" w:fill="B5C0D8"/>
          </w:tcPr>
          <w:p w:rsidR="00D849AA" w:rsidRPr="000E4589" w:rsidRDefault="00EE6D95">
            <w:pPr>
              <w:pStyle w:val="CellHeader"/>
            </w:pPr>
            <w:r w:rsidRPr="000E4589">
              <w:t>Plan 2015.</w:t>
            </w:r>
          </w:p>
        </w:tc>
        <w:tc>
          <w:tcPr>
            <w:tcW w:w="1486" w:type="dxa"/>
            <w:shd w:val="clear" w:color="auto" w:fill="B5C0D8"/>
          </w:tcPr>
          <w:p w:rsidR="00D849AA" w:rsidRPr="000E4589" w:rsidRDefault="00EE6D95">
            <w:pPr>
              <w:pStyle w:val="CellHeader"/>
            </w:pPr>
            <w:r w:rsidRPr="000E4589">
              <w:t>Plan 2016.</w:t>
            </w:r>
          </w:p>
        </w:tc>
        <w:tc>
          <w:tcPr>
            <w:tcW w:w="1486" w:type="dxa"/>
            <w:shd w:val="clear" w:color="auto" w:fill="B5C0D8"/>
          </w:tcPr>
          <w:p w:rsidR="00D849AA" w:rsidRPr="000E4589" w:rsidRDefault="00EE6D95">
            <w:pPr>
              <w:pStyle w:val="CellHeader"/>
            </w:pPr>
            <w:r w:rsidRPr="000E4589">
              <w:t>Indeks 2014/2013</w:t>
            </w:r>
          </w:p>
        </w:tc>
      </w:tr>
      <w:tr w:rsidR="00D849AA">
        <w:trPr>
          <w:jc w:val="center"/>
        </w:trPr>
        <w:tc>
          <w:tcPr>
            <w:tcW w:w="1486" w:type="dxa"/>
          </w:tcPr>
          <w:p w:rsidR="00D849AA" w:rsidRPr="000E4589" w:rsidRDefault="00EE6D95">
            <w:pPr>
              <w:pStyle w:val="CellColumn"/>
            </w:pPr>
            <w:r w:rsidRPr="000E4589">
              <w:t>A560063</w:t>
            </w:r>
          </w:p>
        </w:tc>
        <w:tc>
          <w:tcPr>
            <w:tcW w:w="1486" w:type="dxa"/>
          </w:tcPr>
          <w:p w:rsidR="00D849AA" w:rsidRPr="000E4589" w:rsidRDefault="00EE6D95">
            <w:pPr>
              <w:rPr>
                <w:rFonts w:ascii="Arial" w:hAnsi="Arial" w:cs="Arial"/>
              </w:rPr>
            </w:pPr>
            <w:r w:rsidRPr="000E4589">
              <w:rPr>
                <w:rFonts w:ascii="Arial" w:hAnsi="Arial" w:cs="Arial"/>
              </w:rPr>
              <w:t>6.000.000</w:t>
            </w:r>
          </w:p>
        </w:tc>
        <w:tc>
          <w:tcPr>
            <w:tcW w:w="1486" w:type="dxa"/>
          </w:tcPr>
          <w:p w:rsidR="00D849AA" w:rsidRPr="000E4589" w:rsidRDefault="00EE6D95">
            <w:pPr>
              <w:rPr>
                <w:rFonts w:ascii="Arial" w:hAnsi="Arial" w:cs="Arial"/>
              </w:rPr>
            </w:pPr>
            <w:r w:rsidRPr="000E4589">
              <w:rPr>
                <w:rFonts w:ascii="Arial" w:hAnsi="Arial" w:cs="Arial"/>
              </w:rPr>
              <w:t>11.500.000</w:t>
            </w:r>
          </w:p>
        </w:tc>
        <w:tc>
          <w:tcPr>
            <w:tcW w:w="1486" w:type="dxa"/>
          </w:tcPr>
          <w:p w:rsidR="00D849AA" w:rsidRPr="000E4589" w:rsidRDefault="00EE6D95">
            <w:pPr>
              <w:rPr>
                <w:rFonts w:ascii="Arial" w:hAnsi="Arial" w:cs="Arial"/>
              </w:rPr>
            </w:pPr>
            <w:r w:rsidRPr="000E4589">
              <w:rPr>
                <w:rFonts w:ascii="Arial" w:hAnsi="Arial" w:cs="Arial"/>
              </w:rPr>
              <w:t>6.000.000</w:t>
            </w:r>
          </w:p>
        </w:tc>
        <w:tc>
          <w:tcPr>
            <w:tcW w:w="1486" w:type="dxa"/>
          </w:tcPr>
          <w:p w:rsidR="00D849AA" w:rsidRPr="000E4589" w:rsidRDefault="00EE6D95">
            <w:pPr>
              <w:rPr>
                <w:rFonts w:ascii="Arial" w:hAnsi="Arial" w:cs="Arial"/>
              </w:rPr>
            </w:pPr>
            <w:r w:rsidRPr="000E4589">
              <w:rPr>
                <w:rFonts w:ascii="Arial" w:hAnsi="Arial" w:cs="Arial"/>
              </w:rPr>
              <w:t>6.000.000</w:t>
            </w:r>
          </w:p>
        </w:tc>
        <w:tc>
          <w:tcPr>
            <w:tcW w:w="1486" w:type="dxa"/>
          </w:tcPr>
          <w:p w:rsidR="00D849AA" w:rsidRPr="000E4589" w:rsidRDefault="00EE6D95">
            <w:pPr>
              <w:rPr>
                <w:rFonts w:ascii="Arial" w:hAnsi="Arial" w:cs="Arial"/>
              </w:rPr>
            </w:pPr>
            <w:r w:rsidRPr="000E4589">
              <w:rPr>
                <w:rFonts w:ascii="Arial" w:hAnsi="Arial" w:cs="Arial"/>
              </w:rPr>
              <w:t>191,7</w:t>
            </w:r>
          </w:p>
        </w:tc>
      </w:tr>
    </w:tbl>
    <w:p w:rsidR="00D849AA" w:rsidRDefault="00D849AA">
      <w:pPr>
        <w:jc w:val="left"/>
      </w:pPr>
    </w:p>
    <w:p w:rsidR="00D849AA" w:rsidRDefault="00EE6D95">
      <w:pPr>
        <w:pStyle w:val="Normal6"/>
      </w:pPr>
      <w:r>
        <w:t xml:space="preserve">Državne potpore iz državnog proračuna kao instrument subvencija za domaću prerađivačku industriju služe za poticanje razvoja i proizvodnje opreme za primjenu OIE u prerađivačkoj industriji Republike Hrvatske. Potpora prerađivačkoj industriji Republike Hrvatske namijenjena je za poticanje razvoja i proizvodnje opreme za primjenu OIE kako </w:t>
      </w:r>
      <w:r>
        <w:lastRenderedPageBreak/>
        <w:t xml:space="preserve">bi se uklonile zapreke povećanju konkurentnosti u domaćoj prerađivačkoj industriji u području razvoja i proizvodnje opreme i komponenata za primjenu OIE, podržalo usvajanje i provedba zakonodavnog okvira i propisa koji se odnose na područje OIE, a dodjeljuje se za: razvoj malog i srednjeg poduzetništva, regionalni razvoj, istraživanje i razvoj proizvoda, usvajanje i razvoj novih tehnologija, uvođenje sustava kvalitete i usavršavanje kadrova. U dosadašnjoj implementaciji programa, hrvatska prerađivačka industrija pokazala je izrazit interes za proizvodnju opreme i komponenata za korištenje vjetroelektrana, bioenergana, malih hidroelektrana, solarnih kolektora i dr. te se implementacija ove aktivnosti iskazuje i kroz izravne učinke na otvaranje novih radnih mjesta i zapošljavanje.  </w:t>
      </w:r>
    </w:p>
    <w:p w:rsidR="00D849AA" w:rsidRDefault="00EE6D95">
      <w:pPr>
        <w:pStyle w:val="Normal6"/>
      </w:pPr>
      <w:r>
        <w:t>Sustav potpora se mijenja na način da se ukidaju subvencije trgovačkim društvima koji su dio industrijskih potpora, a uvodi se račun za tekuće donacije s iznosima koji su vezani uz ostvarenje ciljeva energetske učinkovitosti i obnovljivih izvora energije utvrđenim i u strateškom planu ministarstva. Time se osigurava podrška provedbenim tijelima (CEI) za troškove koordinacije i provedbe akcijskih planova energetske učinkovitosti te podrška za izradu projektne dokumentacije za pripremu projekata EU fondova.</w:t>
      </w:r>
    </w:p>
    <w:p w:rsidR="00D849AA" w:rsidRDefault="00EE6D95">
      <w:pPr>
        <w:pStyle w:val="Naslov6"/>
      </w:pPr>
      <w:r>
        <w:t>A817026 KONKURENTNOST I ODRŽIVOST ENERGETSKOG SUSTAVA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0E4589" w:rsidRDefault="00EE6D95">
            <w:pPr>
              <w:pStyle w:val="CellHeader"/>
            </w:pPr>
            <w:r w:rsidRPr="000E4589">
              <w:t>Naziv aktivnosti</w:t>
            </w:r>
          </w:p>
        </w:tc>
        <w:tc>
          <w:tcPr>
            <w:tcW w:w="1486" w:type="dxa"/>
            <w:shd w:val="clear" w:color="auto" w:fill="B5C0D8"/>
          </w:tcPr>
          <w:p w:rsidR="00D849AA" w:rsidRPr="000E4589" w:rsidRDefault="00EE6D95">
            <w:pPr>
              <w:pStyle w:val="CellHeader"/>
            </w:pPr>
            <w:r w:rsidRPr="000E4589">
              <w:t>Plan 2013.</w:t>
            </w:r>
          </w:p>
        </w:tc>
        <w:tc>
          <w:tcPr>
            <w:tcW w:w="1486" w:type="dxa"/>
            <w:shd w:val="clear" w:color="auto" w:fill="B5C0D8"/>
          </w:tcPr>
          <w:p w:rsidR="00D849AA" w:rsidRPr="000E4589" w:rsidRDefault="00EE6D95">
            <w:pPr>
              <w:pStyle w:val="CellHeader"/>
            </w:pPr>
            <w:r w:rsidRPr="000E4589">
              <w:t>Plan 2014.</w:t>
            </w:r>
          </w:p>
        </w:tc>
        <w:tc>
          <w:tcPr>
            <w:tcW w:w="1486" w:type="dxa"/>
            <w:shd w:val="clear" w:color="auto" w:fill="B5C0D8"/>
          </w:tcPr>
          <w:p w:rsidR="00D849AA" w:rsidRPr="000E4589" w:rsidRDefault="00EE6D95">
            <w:pPr>
              <w:pStyle w:val="CellHeader"/>
            </w:pPr>
            <w:r w:rsidRPr="000E4589">
              <w:t>Plan 2015.</w:t>
            </w:r>
          </w:p>
        </w:tc>
        <w:tc>
          <w:tcPr>
            <w:tcW w:w="1486" w:type="dxa"/>
            <w:shd w:val="clear" w:color="auto" w:fill="B5C0D8"/>
          </w:tcPr>
          <w:p w:rsidR="00D849AA" w:rsidRPr="000E4589" w:rsidRDefault="00EE6D95">
            <w:pPr>
              <w:pStyle w:val="CellHeader"/>
            </w:pPr>
            <w:r w:rsidRPr="000E4589">
              <w:t>Plan 2016.</w:t>
            </w:r>
          </w:p>
        </w:tc>
        <w:tc>
          <w:tcPr>
            <w:tcW w:w="1486" w:type="dxa"/>
            <w:shd w:val="clear" w:color="auto" w:fill="B5C0D8"/>
          </w:tcPr>
          <w:p w:rsidR="00D849AA" w:rsidRPr="000E4589" w:rsidRDefault="00EE6D95">
            <w:pPr>
              <w:pStyle w:val="CellHeader"/>
            </w:pPr>
            <w:r w:rsidRPr="000E4589">
              <w:t>Indeks 2014/2013</w:t>
            </w:r>
          </w:p>
        </w:tc>
      </w:tr>
      <w:tr w:rsidR="00D849AA">
        <w:trPr>
          <w:jc w:val="center"/>
        </w:trPr>
        <w:tc>
          <w:tcPr>
            <w:tcW w:w="1486" w:type="dxa"/>
          </w:tcPr>
          <w:p w:rsidR="00D849AA" w:rsidRPr="000E4589" w:rsidRDefault="00EE6D95">
            <w:pPr>
              <w:pStyle w:val="CellColumn"/>
            </w:pPr>
            <w:r w:rsidRPr="000E4589">
              <w:t>A817026</w:t>
            </w:r>
          </w:p>
        </w:tc>
        <w:tc>
          <w:tcPr>
            <w:tcW w:w="1486" w:type="dxa"/>
          </w:tcPr>
          <w:p w:rsidR="00D849AA" w:rsidRPr="000E4589" w:rsidRDefault="00EE6D95">
            <w:pPr>
              <w:rPr>
                <w:rFonts w:ascii="Arial" w:hAnsi="Arial" w:cs="Arial"/>
              </w:rPr>
            </w:pPr>
            <w:r w:rsidRPr="000E4589">
              <w:rPr>
                <w:rFonts w:ascii="Arial" w:hAnsi="Arial" w:cs="Arial"/>
              </w:rPr>
              <w:t>3.900.000</w:t>
            </w:r>
          </w:p>
        </w:tc>
        <w:tc>
          <w:tcPr>
            <w:tcW w:w="1486" w:type="dxa"/>
          </w:tcPr>
          <w:p w:rsidR="00D849AA" w:rsidRPr="000E4589" w:rsidRDefault="00EE6D95">
            <w:pPr>
              <w:rPr>
                <w:rFonts w:ascii="Arial" w:hAnsi="Arial" w:cs="Arial"/>
              </w:rPr>
            </w:pPr>
            <w:r w:rsidRPr="000E4589">
              <w:rPr>
                <w:rFonts w:ascii="Arial" w:hAnsi="Arial" w:cs="Arial"/>
              </w:rPr>
              <w:t>12.450.000</w:t>
            </w:r>
          </w:p>
        </w:tc>
        <w:tc>
          <w:tcPr>
            <w:tcW w:w="1486" w:type="dxa"/>
          </w:tcPr>
          <w:p w:rsidR="00D849AA" w:rsidRPr="000E4589" w:rsidRDefault="00EE6D95">
            <w:pPr>
              <w:rPr>
                <w:rFonts w:ascii="Arial" w:hAnsi="Arial" w:cs="Arial"/>
              </w:rPr>
            </w:pPr>
            <w:r w:rsidRPr="000E4589">
              <w:rPr>
                <w:rFonts w:ascii="Arial" w:hAnsi="Arial" w:cs="Arial"/>
              </w:rPr>
              <w:t>8.450.000</w:t>
            </w:r>
          </w:p>
        </w:tc>
        <w:tc>
          <w:tcPr>
            <w:tcW w:w="1486" w:type="dxa"/>
          </w:tcPr>
          <w:p w:rsidR="00D849AA" w:rsidRPr="000E4589" w:rsidRDefault="00EE6D95">
            <w:pPr>
              <w:rPr>
                <w:rFonts w:ascii="Arial" w:hAnsi="Arial" w:cs="Arial"/>
              </w:rPr>
            </w:pPr>
            <w:r w:rsidRPr="000E4589">
              <w:rPr>
                <w:rFonts w:ascii="Arial" w:hAnsi="Arial" w:cs="Arial"/>
              </w:rPr>
              <w:t>8.450.000</w:t>
            </w:r>
          </w:p>
        </w:tc>
        <w:tc>
          <w:tcPr>
            <w:tcW w:w="1486" w:type="dxa"/>
          </w:tcPr>
          <w:p w:rsidR="00D849AA" w:rsidRPr="000E4589" w:rsidRDefault="00EE6D95">
            <w:pPr>
              <w:rPr>
                <w:rFonts w:ascii="Arial" w:hAnsi="Arial" w:cs="Arial"/>
              </w:rPr>
            </w:pPr>
            <w:r w:rsidRPr="000E4589">
              <w:rPr>
                <w:rFonts w:ascii="Arial" w:hAnsi="Arial" w:cs="Arial"/>
              </w:rPr>
              <w:t>319,2</w:t>
            </w:r>
          </w:p>
        </w:tc>
      </w:tr>
    </w:tbl>
    <w:p w:rsidR="00D849AA" w:rsidRDefault="00D849AA">
      <w:pPr>
        <w:jc w:val="left"/>
      </w:pPr>
    </w:p>
    <w:p w:rsidR="00D849AA" w:rsidRDefault="00EE6D95">
      <w:pPr>
        <w:pStyle w:val="Normal6"/>
      </w:pPr>
      <w:r>
        <w:t xml:space="preserve">Ovom aktivnosti osiguravaju se sredstva koja pokrivaju potrebe jačanja konkurentnosti na otvorenom tržištu daljnjom izgradnjom zakonodavnog okvira koji će poticati ulaganja u energetski sektor te osigurati iste mehanizme funkcioniranja tržišta kao u EU. Stoga je nužno kontinuirano usklađivati zakonodavni, regulatorni, institucionalni i administrativni okvir s pravnom stečevinom Europske unije. Također uključuje aktivnosti vezane uz praćenje opskrbe energijom Republike Hrvatske i osiguravanje iste kroz povećanje sigurnosti opskrbe, povećanje rezervi nafte i naftnih derivata i međunarodne bilateralne i multilateralne ugovore u području energetike. </w:t>
      </w:r>
    </w:p>
    <w:p w:rsidR="00D849AA" w:rsidRDefault="00EE6D95">
      <w:pPr>
        <w:pStyle w:val="Normal6"/>
      </w:pPr>
      <w:r>
        <w:t xml:space="preserve">Ovim se pokrivaju troškovi izrade energetske bilance kao i sredstva za redovno godišnje održavanje podatkovnih baza - godišnje održavanje Registra OIEKPP i Registra biogoriva, te planirane članarine za Međunarodnu agenciju za obnovljive izvore (IRENA), Energetsku povelju, Energetsku zajednicu, Euroatom i Platt's. </w:t>
      </w:r>
    </w:p>
    <w:p w:rsidR="00D849AA" w:rsidRDefault="00EE6D95">
      <w:pPr>
        <w:pStyle w:val="Normal6"/>
      </w:pPr>
      <w:r>
        <w:t xml:space="preserve">Najveći dio sredstava planiranih u području obnovljivih izvora energije i energetske učinkovitosti odnosi se na: izradu analitičkih podloga za odluke Vlade temeljene na ekonomskom modelu za poticanje biogoriva, za izradu stručnih podloga o kriterijima održivosti proizvodnje i korištenja biogoriva i biomase, za izradu stručnih podloga za novi Zakon o energetskoj učinkovitosti kojeg će biti potrebno mijenjati sukladno novoj direktivi za energetsku učinkovitost te pripremi stručnih podloga za izradu 3. Nacionalnog akcijskog plana za energetsku učinkovitost.  </w:t>
      </w:r>
    </w:p>
    <w:p w:rsidR="00D849AA" w:rsidRDefault="00EE6D95">
      <w:pPr>
        <w:pStyle w:val="Normal6"/>
      </w:pPr>
      <w:r>
        <w:t xml:space="preserve">Ovom aktivnosti se sufinanciraju mjere obuhvaćene nacrtom Drugog Nacionalnog akcijskog plana energetske učinkovitosti Republike Hrvatske za razdoblje 2011. do 2013. godine (NAPENU) koji je u završnoj fazi usuglašavanja a donosi se na temelju potrebe potpunog usklađenja zakonodavstva Republike Hrvatske sa zakonodavstvom Europske Unije (Direktiva 2006/32/EC) i Zakona o učinkovitom korištenju energije u neposrednoj potrošnji. NAPENU predstavlja sveobuhvatnu strategiju poboljšanja energetske učinkovitosti u Republici Hrvatskoj i sadrži mjere čijom će se provedbom ostvariti zacrtani ciljevi uštede energije Republike Hrvatske u neposrednoj potrošnji do 2016. godine, te načine mjerenja i verifikacije ostvarenih ušteda. Provedbom tog akcijskog plana </w:t>
      </w:r>
      <w:r>
        <w:lastRenderedPageBreak/>
        <w:t xml:space="preserve">će se ostvariti cilj smanjenja neposredne potrošnje energije kao i mjera na strani proizvodnje/transformacije, prijenosa i distribucije energije kojima se planiraju ostvariti uštede primarne energije. </w:t>
      </w:r>
    </w:p>
    <w:p w:rsidR="00D849AA" w:rsidRDefault="00EE6D95">
      <w:pPr>
        <w:pStyle w:val="Normal6"/>
      </w:pPr>
      <w:r>
        <w:t xml:space="preserve">NEAP (podrška izradi programa koji su vezani uz realizaciju nacionalnih akcijskih planova za energetsku učinkovitost, a poveznica je prema ostvarenju ciljeva energetskih ušteda). Mjere: energetski pregledi grijanje i klimatizacija, uspostava obveznih šema energetskih ušteda, en. učinkovitost u obrazovanju, znanosti i istraživanju, program napredna energetska mreža, analitičke podloge za 3.NEAP, Energija u Hrvatskoj, Plan i program toplinarstva, Strategija djelomičnog siromaštva), Plan i program za sigurnost opskrbe, FER. </w:t>
      </w:r>
    </w:p>
    <w:p w:rsidR="00D849AA" w:rsidRDefault="00EE6D95">
      <w:pPr>
        <w:pStyle w:val="Normal6"/>
      </w:pPr>
      <w:r>
        <w:t>Povećani opseg poslova vezan za OIE zahtjeva veći broj podataka, godišnje održavanje REGISTRA OIE ); održavanje licence, transformacija kartografskih prikaza i koordinacijski sustav RGN.</w:t>
      </w:r>
    </w:p>
    <w:p w:rsidR="00D849AA" w:rsidRDefault="00EE6D95">
      <w:pPr>
        <w:pStyle w:val="Naslov6"/>
      </w:pPr>
      <w:r>
        <w:t>A817059 AGENCIJA ZA UGLJIKOVODIKE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rsidRPr="000E4589">
        <w:trPr>
          <w:jc w:val="center"/>
        </w:trPr>
        <w:tc>
          <w:tcPr>
            <w:tcW w:w="1486" w:type="dxa"/>
            <w:shd w:val="clear" w:color="auto" w:fill="B5C0D8"/>
          </w:tcPr>
          <w:p w:rsidR="00D849AA" w:rsidRPr="000E4589" w:rsidRDefault="00EE6D95">
            <w:pPr>
              <w:pStyle w:val="CellHeader"/>
            </w:pPr>
            <w:r w:rsidRPr="000E4589">
              <w:t>Naziv aktivnosti</w:t>
            </w:r>
          </w:p>
        </w:tc>
        <w:tc>
          <w:tcPr>
            <w:tcW w:w="1486" w:type="dxa"/>
            <w:shd w:val="clear" w:color="auto" w:fill="B5C0D8"/>
          </w:tcPr>
          <w:p w:rsidR="00D849AA" w:rsidRPr="000E4589" w:rsidRDefault="00EE6D95">
            <w:pPr>
              <w:pStyle w:val="CellHeader"/>
            </w:pPr>
            <w:r w:rsidRPr="000E4589">
              <w:t>Plan 2013.</w:t>
            </w:r>
          </w:p>
        </w:tc>
        <w:tc>
          <w:tcPr>
            <w:tcW w:w="1486" w:type="dxa"/>
            <w:shd w:val="clear" w:color="auto" w:fill="B5C0D8"/>
          </w:tcPr>
          <w:p w:rsidR="00D849AA" w:rsidRPr="000E4589" w:rsidRDefault="00EE6D95">
            <w:pPr>
              <w:pStyle w:val="CellHeader"/>
            </w:pPr>
            <w:r w:rsidRPr="000E4589">
              <w:t>Plan 2014.</w:t>
            </w:r>
          </w:p>
        </w:tc>
        <w:tc>
          <w:tcPr>
            <w:tcW w:w="1486" w:type="dxa"/>
            <w:shd w:val="clear" w:color="auto" w:fill="B5C0D8"/>
          </w:tcPr>
          <w:p w:rsidR="00D849AA" w:rsidRPr="000E4589" w:rsidRDefault="00EE6D95">
            <w:pPr>
              <w:pStyle w:val="CellHeader"/>
            </w:pPr>
            <w:r w:rsidRPr="000E4589">
              <w:t>Plan 2015.</w:t>
            </w:r>
          </w:p>
        </w:tc>
        <w:tc>
          <w:tcPr>
            <w:tcW w:w="1486" w:type="dxa"/>
            <w:shd w:val="clear" w:color="auto" w:fill="B5C0D8"/>
          </w:tcPr>
          <w:p w:rsidR="00D849AA" w:rsidRPr="000E4589" w:rsidRDefault="00EE6D95">
            <w:pPr>
              <w:pStyle w:val="CellHeader"/>
            </w:pPr>
            <w:r w:rsidRPr="000E4589">
              <w:t>Plan 2016.</w:t>
            </w:r>
          </w:p>
        </w:tc>
        <w:tc>
          <w:tcPr>
            <w:tcW w:w="1486" w:type="dxa"/>
            <w:shd w:val="clear" w:color="auto" w:fill="B5C0D8"/>
          </w:tcPr>
          <w:p w:rsidR="00D849AA" w:rsidRPr="000E4589" w:rsidRDefault="00EE6D95">
            <w:pPr>
              <w:pStyle w:val="CellHeader"/>
            </w:pPr>
            <w:r w:rsidRPr="000E4589">
              <w:t>Indeks 2014/2013</w:t>
            </w:r>
          </w:p>
        </w:tc>
      </w:tr>
      <w:tr w:rsidR="00D849AA" w:rsidRPr="000E4589">
        <w:trPr>
          <w:jc w:val="center"/>
        </w:trPr>
        <w:tc>
          <w:tcPr>
            <w:tcW w:w="1486" w:type="dxa"/>
          </w:tcPr>
          <w:p w:rsidR="00D849AA" w:rsidRPr="000E4589" w:rsidRDefault="00EE6D95">
            <w:pPr>
              <w:pStyle w:val="CellColumn"/>
            </w:pPr>
            <w:r w:rsidRPr="000E4589">
              <w:t>A817059</w:t>
            </w:r>
          </w:p>
        </w:tc>
        <w:tc>
          <w:tcPr>
            <w:tcW w:w="1486" w:type="dxa"/>
          </w:tcPr>
          <w:p w:rsidR="00D849AA" w:rsidRPr="000E4589" w:rsidRDefault="00EE6D95">
            <w:pPr>
              <w:rPr>
                <w:rFonts w:ascii="Arial" w:hAnsi="Arial" w:cs="Arial"/>
              </w:rPr>
            </w:pPr>
            <w:r w:rsidRPr="000E4589">
              <w:rPr>
                <w:rFonts w:ascii="Arial" w:hAnsi="Arial" w:cs="Arial"/>
              </w:rPr>
              <w:t>00</w:t>
            </w:r>
          </w:p>
        </w:tc>
        <w:tc>
          <w:tcPr>
            <w:tcW w:w="1486" w:type="dxa"/>
          </w:tcPr>
          <w:p w:rsidR="00D849AA" w:rsidRPr="000E4589" w:rsidRDefault="00EE6D95">
            <w:pPr>
              <w:rPr>
                <w:rFonts w:ascii="Arial" w:hAnsi="Arial" w:cs="Arial"/>
              </w:rPr>
            </w:pPr>
            <w:r w:rsidRPr="000E4589">
              <w:rPr>
                <w:rFonts w:ascii="Arial" w:hAnsi="Arial" w:cs="Arial"/>
              </w:rPr>
              <w:t>400.000</w:t>
            </w:r>
          </w:p>
        </w:tc>
        <w:tc>
          <w:tcPr>
            <w:tcW w:w="1486" w:type="dxa"/>
          </w:tcPr>
          <w:p w:rsidR="00D849AA" w:rsidRPr="000E4589" w:rsidRDefault="00EE6D95">
            <w:pPr>
              <w:rPr>
                <w:rFonts w:ascii="Arial" w:hAnsi="Arial" w:cs="Arial"/>
              </w:rPr>
            </w:pPr>
            <w:r w:rsidRPr="000E4589">
              <w:rPr>
                <w:rFonts w:ascii="Arial" w:hAnsi="Arial" w:cs="Arial"/>
              </w:rPr>
              <w:t>00</w:t>
            </w:r>
          </w:p>
        </w:tc>
        <w:tc>
          <w:tcPr>
            <w:tcW w:w="1486" w:type="dxa"/>
          </w:tcPr>
          <w:p w:rsidR="00D849AA" w:rsidRPr="000E4589" w:rsidRDefault="00EE6D95">
            <w:pPr>
              <w:rPr>
                <w:rFonts w:ascii="Arial" w:hAnsi="Arial" w:cs="Arial"/>
              </w:rPr>
            </w:pPr>
            <w:r w:rsidRPr="000E4589">
              <w:rPr>
                <w:rFonts w:ascii="Arial" w:hAnsi="Arial" w:cs="Arial"/>
              </w:rPr>
              <w:t>00</w:t>
            </w:r>
          </w:p>
        </w:tc>
        <w:tc>
          <w:tcPr>
            <w:tcW w:w="1486" w:type="dxa"/>
          </w:tcPr>
          <w:p w:rsidR="00D849AA" w:rsidRPr="000E4589" w:rsidRDefault="00EE6D95">
            <w:pPr>
              <w:rPr>
                <w:rFonts w:ascii="Arial" w:hAnsi="Arial" w:cs="Arial"/>
              </w:rPr>
            </w:pPr>
            <w:r w:rsidRPr="000E4589">
              <w:rPr>
                <w:rFonts w:ascii="Arial" w:hAnsi="Arial" w:cs="Arial"/>
              </w:rPr>
              <w:t>0,0</w:t>
            </w:r>
          </w:p>
        </w:tc>
      </w:tr>
    </w:tbl>
    <w:p w:rsidR="00D849AA" w:rsidRDefault="00D849AA">
      <w:pPr>
        <w:jc w:val="left"/>
      </w:pPr>
    </w:p>
    <w:p w:rsidR="00D849AA" w:rsidRDefault="00EE6D95">
      <w:pPr>
        <w:pStyle w:val="Normal6"/>
      </w:pPr>
      <w:r>
        <w:t xml:space="preserve">Temeljem Zakona o istraživanju i eksploataciji ugljikovodika (Narodne novine, broj 94/13.), Sektor za rudarstvo dužan je u roku od godine dana, 30. srpnja 2014. godine izraditi Zakon o osnivanju Agencije za ugljikovodike, odnosno mora tijekom 2014. formirati/osnovati Agenciju za ugljikovodike. </w:t>
      </w:r>
    </w:p>
    <w:p w:rsidR="00D849AA" w:rsidRDefault="00EE6D95">
      <w:pPr>
        <w:pStyle w:val="Normal6"/>
      </w:pPr>
      <w:r>
        <w:t>Ovaj posao Sektora za rudarstvo određeni su zakonskim obvezama i potrebno je osigurati sredstva za jačanje administrativnih kapaciteta poradi činjenica da je potrebno unutar Sektora formirati službu za energetske mineralne sirovine</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rsidRPr="000E4589">
        <w:trPr>
          <w:jc w:val="center"/>
        </w:trPr>
        <w:tc>
          <w:tcPr>
            <w:tcW w:w="2229" w:type="dxa"/>
            <w:shd w:val="clear" w:color="auto" w:fill="B5C0D8"/>
          </w:tcPr>
          <w:p w:rsidR="00D849AA" w:rsidRPr="000E4589" w:rsidRDefault="00EE6D95">
            <w:pPr>
              <w:rPr>
                <w:rFonts w:ascii="Arial" w:hAnsi="Arial" w:cs="Arial"/>
              </w:rPr>
            </w:pPr>
            <w:r w:rsidRPr="000E4589">
              <w:rPr>
                <w:rFonts w:ascii="Arial" w:hAnsi="Arial" w:cs="Arial"/>
              </w:rPr>
              <w:t>Pokazatelj rezultata</w:t>
            </w:r>
          </w:p>
        </w:tc>
        <w:tc>
          <w:tcPr>
            <w:tcW w:w="1114" w:type="dxa"/>
            <w:shd w:val="clear" w:color="auto" w:fill="B5C0D8"/>
          </w:tcPr>
          <w:p w:rsidR="00D849AA" w:rsidRPr="000E4589" w:rsidRDefault="00EE6D95">
            <w:pPr>
              <w:pStyle w:val="CellHeader"/>
            </w:pPr>
            <w:r w:rsidRPr="000E4589">
              <w:t>Jedinica</w:t>
            </w:r>
          </w:p>
        </w:tc>
        <w:tc>
          <w:tcPr>
            <w:tcW w:w="1114" w:type="dxa"/>
            <w:shd w:val="clear" w:color="auto" w:fill="B5C0D8"/>
          </w:tcPr>
          <w:p w:rsidR="00D849AA" w:rsidRPr="000E4589" w:rsidRDefault="00EE6D95">
            <w:pPr>
              <w:pStyle w:val="CellHeader"/>
            </w:pPr>
            <w:r w:rsidRPr="000E4589">
              <w:t>Polazna vrijednost</w:t>
            </w:r>
          </w:p>
        </w:tc>
        <w:tc>
          <w:tcPr>
            <w:tcW w:w="1486" w:type="dxa"/>
            <w:shd w:val="clear" w:color="auto" w:fill="B5C0D8"/>
          </w:tcPr>
          <w:p w:rsidR="00D849AA" w:rsidRPr="000E4589" w:rsidRDefault="00EE6D95">
            <w:pPr>
              <w:pStyle w:val="CellHeader"/>
            </w:pPr>
            <w:r w:rsidRPr="000E4589">
              <w:t>Ciljana vrijednost (2014.)</w:t>
            </w:r>
          </w:p>
        </w:tc>
        <w:tc>
          <w:tcPr>
            <w:tcW w:w="1486" w:type="dxa"/>
            <w:shd w:val="clear" w:color="auto" w:fill="B5C0D8"/>
          </w:tcPr>
          <w:p w:rsidR="00D849AA" w:rsidRPr="000E4589" w:rsidRDefault="00EE6D95">
            <w:pPr>
              <w:pStyle w:val="CellHeader"/>
            </w:pPr>
            <w:r w:rsidRPr="000E4589">
              <w:t>Ciljana vrijednost (2015.)</w:t>
            </w:r>
          </w:p>
        </w:tc>
        <w:tc>
          <w:tcPr>
            <w:tcW w:w="1486" w:type="dxa"/>
            <w:shd w:val="clear" w:color="auto" w:fill="B5C0D8"/>
          </w:tcPr>
          <w:p w:rsidR="00D849AA" w:rsidRPr="000E4589" w:rsidRDefault="00EE6D95">
            <w:pPr>
              <w:pStyle w:val="CellHeader"/>
            </w:pPr>
            <w:r w:rsidRPr="000E4589">
              <w:t>Ciljana vrijednost (2016.)</w:t>
            </w:r>
          </w:p>
        </w:tc>
      </w:tr>
      <w:tr w:rsidR="00D849AA" w:rsidRPr="000E4589">
        <w:trPr>
          <w:jc w:val="center"/>
        </w:trPr>
        <w:tc>
          <w:tcPr>
            <w:tcW w:w="2229" w:type="dxa"/>
          </w:tcPr>
          <w:p w:rsidR="00D849AA" w:rsidRPr="000E4589" w:rsidRDefault="00EE6D95">
            <w:pPr>
              <w:pStyle w:val="CellColumn"/>
            </w:pPr>
            <w:r w:rsidRPr="000E4589">
              <w:t>Izrađeni Zakonski propisi</w:t>
            </w:r>
          </w:p>
        </w:tc>
        <w:tc>
          <w:tcPr>
            <w:tcW w:w="1114" w:type="dxa"/>
          </w:tcPr>
          <w:p w:rsidR="00D849AA" w:rsidRPr="000E4589" w:rsidRDefault="00EE6D95">
            <w:pPr>
              <w:rPr>
                <w:rFonts w:ascii="Arial" w:hAnsi="Arial" w:cs="Arial"/>
              </w:rPr>
            </w:pPr>
            <w:r w:rsidRPr="000E4589">
              <w:rPr>
                <w:rFonts w:ascii="Arial" w:hAnsi="Arial" w:cs="Arial"/>
              </w:rPr>
              <w:t>%</w:t>
            </w:r>
          </w:p>
        </w:tc>
        <w:tc>
          <w:tcPr>
            <w:tcW w:w="1114" w:type="dxa"/>
          </w:tcPr>
          <w:p w:rsidR="00D849AA" w:rsidRPr="000E4589" w:rsidRDefault="00EE6D95">
            <w:pPr>
              <w:rPr>
                <w:rFonts w:ascii="Arial" w:hAnsi="Arial" w:cs="Arial"/>
              </w:rPr>
            </w:pPr>
            <w:r w:rsidRPr="000E4589">
              <w:rPr>
                <w:rFonts w:ascii="Arial" w:hAnsi="Arial" w:cs="Arial"/>
              </w:rPr>
              <w:t>0</w:t>
            </w:r>
          </w:p>
        </w:tc>
        <w:tc>
          <w:tcPr>
            <w:tcW w:w="1486" w:type="dxa"/>
          </w:tcPr>
          <w:p w:rsidR="00D849AA" w:rsidRPr="000E4589" w:rsidRDefault="00EE6D95">
            <w:pPr>
              <w:rPr>
                <w:rFonts w:ascii="Arial" w:hAnsi="Arial" w:cs="Arial"/>
              </w:rPr>
            </w:pPr>
            <w:r w:rsidRPr="000E4589">
              <w:rPr>
                <w:rFonts w:ascii="Arial" w:hAnsi="Arial" w:cs="Arial"/>
              </w:rPr>
              <w:t>1</w:t>
            </w:r>
          </w:p>
        </w:tc>
        <w:tc>
          <w:tcPr>
            <w:tcW w:w="1486" w:type="dxa"/>
          </w:tcPr>
          <w:p w:rsidR="00D849AA" w:rsidRPr="000E4589" w:rsidRDefault="00EE6D95">
            <w:pPr>
              <w:rPr>
                <w:rFonts w:ascii="Arial" w:hAnsi="Arial" w:cs="Arial"/>
              </w:rPr>
            </w:pPr>
            <w:r w:rsidRPr="000E4589">
              <w:rPr>
                <w:rFonts w:ascii="Arial" w:hAnsi="Arial" w:cs="Arial"/>
              </w:rPr>
              <w:t>0</w:t>
            </w:r>
          </w:p>
        </w:tc>
        <w:tc>
          <w:tcPr>
            <w:tcW w:w="1486" w:type="dxa"/>
          </w:tcPr>
          <w:p w:rsidR="00D849AA" w:rsidRPr="000E4589" w:rsidRDefault="00EE6D95">
            <w:pPr>
              <w:rPr>
                <w:rFonts w:ascii="Arial" w:hAnsi="Arial" w:cs="Arial"/>
              </w:rPr>
            </w:pPr>
            <w:r w:rsidRPr="000E4589">
              <w:rPr>
                <w:rFonts w:ascii="Arial" w:hAnsi="Arial" w:cs="Arial"/>
              </w:rPr>
              <w:t>0</w:t>
            </w:r>
          </w:p>
        </w:tc>
      </w:tr>
    </w:tbl>
    <w:p w:rsidR="00D849AA" w:rsidRPr="000E4589" w:rsidRDefault="00D849AA">
      <w:pPr>
        <w:jc w:val="left"/>
        <w:rPr>
          <w:rFonts w:ascii="Arial" w:hAnsi="Arial" w:cs="Arial"/>
        </w:rPr>
      </w:pPr>
    </w:p>
    <w:p w:rsidR="00D849AA" w:rsidRDefault="00EE6D95">
      <w:pPr>
        <w:pStyle w:val="Naslov6"/>
      </w:pPr>
      <w:r>
        <w:t>A822058 POTICANJE PROIZVODNJE BIOGORIVA - HROTE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0E4589" w:rsidRDefault="00EE6D95">
            <w:pPr>
              <w:pStyle w:val="CellHeader"/>
            </w:pPr>
            <w:r w:rsidRPr="000E4589">
              <w:t>Naziv aktivnosti</w:t>
            </w:r>
          </w:p>
        </w:tc>
        <w:tc>
          <w:tcPr>
            <w:tcW w:w="1486" w:type="dxa"/>
            <w:shd w:val="clear" w:color="auto" w:fill="B5C0D8"/>
          </w:tcPr>
          <w:p w:rsidR="00D849AA" w:rsidRPr="000E4589" w:rsidRDefault="00EE6D95">
            <w:pPr>
              <w:pStyle w:val="CellHeader"/>
            </w:pPr>
            <w:r w:rsidRPr="000E4589">
              <w:t>Plan 2013.</w:t>
            </w:r>
          </w:p>
        </w:tc>
        <w:tc>
          <w:tcPr>
            <w:tcW w:w="1486" w:type="dxa"/>
            <w:shd w:val="clear" w:color="auto" w:fill="B5C0D8"/>
          </w:tcPr>
          <w:p w:rsidR="00D849AA" w:rsidRPr="000E4589" w:rsidRDefault="00EE6D95">
            <w:pPr>
              <w:pStyle w:val="CellHeader"/>
            </w:pPr>
            <w:r w:rsidRPr="000E4589">
              <w:t>Plan 2014.</w:t>
            </w:r>
          </w:p>
        </w:tc>
        <w:tc>
          <w:tcPr>
            <w:tcW w:w="1486" w:type="dxa"/>
            <w:shd w:val="clear" w:color="auto" w:fill="B5C0D8"/>
          </w:tcPr>
          <w:p w:rsidR="00D849AA" w:rsidRPr="000E4589" w:rsidRDefault="00EE6D95">
            <w:pPr>
              <w:pStyle w:val="CellHeader"/>
            </w:pPr>
            <w:r w:rsidRPr="000E4589">
              <w:t>Plan 2015.</w:t>
            </w:r>
          </w:p>
        </w:tc>
        <w:tc>
          <w:tcPr>
            <w:tcW w:w="1486" w:type="dxa"/>
            <w:shd w:val="clear" w:color="auto" w:fill="B5C0D8"/>
          </w:tcPr>
          <w:p w:rsidR="00D849AA" w:rsidRPr="000E4589" w:rsidRDefault="00EE6D95">
            <w:pPr>
              <w:pStyle w:val="CellHeader"/>
            </w:pPr>
            <w:r w:rsidRPr="000E4589">
              <w:t>Plan 2016.</w:t>
            </w:r>
          </w:p>
        </w:tc>
        <w:tc>
          <w:tcPr>
            <w:tcW w:w="1486" w:type="dxa"/>
            <w:shd w:val="clear" w:color="auto" w:fill="B5C0D8"/>
          </w:tcPr>
          <w:p w:rsidR="00D849AA" w:rsidRPr="000E4589" w:rsidRDefault="00EE6D95">
            <w:pPr>
              <w:pStyle w:val="CellHeader"/>
            </w:pPr>
            <w:r w:rsidRPr="000E4589">
              <w:t>Indeks 2014/2013</w:t>
            </w:r>
          </w:p>
        </w:tc>
      </w:tr>
      <w:tr w:rsidR="00D849AA">
        <w:trPr>
          <w:jc w:val="center"/>
        </w:trPr>
        <w:tc>
          <w:tcPr>
            <w:tcW w:w="1486" w:type="dxa"/>
          </w:tcPr>
          <w:p w:rsidR="00D849AA" w:rsidRPr="000E4589" w:rsidRDefault="00EE6D95">
            <w:pPr>
              <w:pStyle w:val="CellColumn"/>
            </w:pPr>
            <w:r w:rsidRPr="000E4589">
              <w:t>A822058</w:t>
            </w:r>
          </w:p>
        </w:tc>
        <w:tc>
          <w:tcPr>
            <w:tcW w:w="1486" w:type="dxa"/>
          </w:tcPr>
          <w:p w:rsidR="00D849AA" w:rsidRPr="000E4589" w:rsidRDefault="00EE6D95">
            <w:pPr>
              <w:rPr>
                <w:rFonts w:ascii="Arial" w:hAnsi="Arial" w:cs="Arial"/>
              </w:rPr>
            </w:pPr>
            <w:r w:rsidRPr="000E4589">
              <w:rPr>
                <w:rFonts w:ascii="Arial" w:hAnsi="Arial" w:cs="Arial"/>
              </w:rPr>
              <w:t>00</w:t>
            </w:r>
          </w:p>
        </w:tc>
        <w:tc>
          <w:tcPr>
            <w:tcW w:w="1486" w:type="dxa"/>
          </w:tcPr>
          <w:p w:rsidR="00D849AA" w:rsidRPr="000E4589" w:rsidRDefault="00EE6D95">
            <w:pPr>
              <w:rPr>
                <w:rFonts w:ascii="Arial" w:hAnsi="Arial" w:cs="Arial"/>
              </w:rPr>
            </w:pPr>
            <w:r w:rsidRPr="000E4589">
              <w:rPr>
                <w:rFonts w:ascii="Arial" w:hAnsi="Arial" w:cs="Arial"/>
              </w:rPr>
              <w:t>100.000.000</w:t>
            </w:r>
          </w:p>
        </w:tc>
        <w:tc>
          <w:tcPr>
            <w:tcW w:w="1486" w:type="dxa"/>
          </w:tcPr>
          <w:p w:rsidR="00D849AA" w:rsidRPr="000E4589" w:rsidRDefault="00EE6D95">
            <w:pPr>
              <w:rPr>
                <w:rFonts w:ascii="Arial" w:hAnsi="Arial" w:cs="Arial"/>
              </w:rPr>
            </w:pPr>
            <w:r w:rsidRPr="000E4589">
              <w:rPr>
                <w:rFonts w:ascii="Arial" w:hAnsi="Arial" w:cs="Arial"/>
              </w:rPr>
              <w:t>100.000.000</w:t>
            </w:r>
          </w:p>
        </w:tc>
        <w:tc>
          <w:tcPr>
            <w:tcW w:w="1486" w:type="dxa"/>
          </w:tcPr>
          <w:p w:rsidR="00D849AA" w:rsidRPr="000E4589" w:rsidRDefault="00EE6D95">
            <w:pPr>
              <w:rPr>
                <w:rFonts w:ascii="Arial" w:hAnsi="Arial" w:cs="Arial"/>
              </w:rPr>
            </w:pPr>
            <w:r w:rsidRPr="000E4589">
              <w:rPr>
                <w:rFonts w:ascii="Arial" w:hAnsi="Arial" w:cs="Arial"/>
              </w:rPr>
              <w:t>100.000.000</w:t>
            </w:r>
          </w:p>
        </w:tc>
        <w:tc>
          <w:tcPr>
            <w:tcW w:w="1486" w:type="dxa"/>
          </w:tcPr>
          <w:p w:rsidR="00D849AA" w:rsidRPr="000E4589" w:rsidRDefault="00EE6D95">
            <w:pPr>
              <w:rPr>
                <w:rFonts w:ascii="Arial" w:hAnsi="Arial" w:cs="Arial"/>
              </w:rPr>
            </w:pPr>
            <w:r w:rsidRPr="000E4589">
              <w:rPr>
                <w:rFonts w:ascii="Arial" w:hAnsi="Arial" w:cs="Arial"/>
              </w:rPr>
              <w:t>0,0</w:t>
            </w:r>
          </w:p>
        </w:tc>
      </w:tr>
    </w:tbl>
    <w:p w:rsidR="00D849AA" w:rsidRDefault="00D849AA">
      <w:pPr>
        <w:jc w:val="left"/>
      </w:pPr>
    </w:p>
    <w:p w:rsidR="00D849AA" w:rsidRDefault="00EE6D95">
      <w:pPr>
        <w:pStyle w:val="Normal6"/>
      </w:pPr>
      <w:r>
        <w:t xml:space="preserve">Prema zadnjim izmjenama Zakona o biogorivima za prijevoz prihodi za poticanje proizvodnje biogoriva ostvaruju se kroz udjel iz prihoda od trošarina koji se izdvaja za poticanje proizvodnje biogoriva a utvrđeno je da se kroz Ministarstvo gospodarstva prenose sredstva na temelju obveze operatora tržišta (Hrvatski operator tržišta energije - HROTE) za isplatu novčanog poticaja za povlaštene proizvođače. Procijenjeni iznosi </w:t>
      </w:r>
      <w:r>
        <w:lastRenderedPageBreak/>
        <w:t>godišnjih potpora su na razini od 100 milijuna kn za 2014. do 2016. godine, ali projekcije ovise o kretanju tržišnih cijena biogoriva i mogućih izmjena u sustavu potpora te su moguća određena odstupanja od planiranih iznosa potpora.</w:t>
      </w:r>
    </w:p>
    <w:p w:rsidR="00700E6F" w:rsidRDefault="00700E6F">
      <w:pPr>
        <w:pStyle w:val="Normal6"/>
      </w:pPr>
    </w:p>
    <w:p w:rsidR="000E4589" w:rsidRDefault="000E4589" w:rsidP="000E4589">
      <w:pPr>
        <w:jc w:val="left"/>
      </w:pPr>
    </w:p>
    <w:p w:rsidR="000E4589" w:rsidRDefault="000E4589" w:rsidP="000E4589">
      <w:pPr>
        <w:pStyle w:val="Naslov4"/>
      </w:pPr>
      <w:r>
        <w:t>OBRAZLOŽENJE PROGRAMA</w:t>
      </w:r>
    </w:p>
    <w:p w:rsidR="00D849AA" w:rsidRDefault="00EE6D95">
      <w:pPr>
        <w:pStyle w:val="Naslov5"/>
      </w:pPr>
      <w:r>
        <w:t>3215 RAZVOJ I STANDARDIZACIJA TRGOVINE I UNUTARNJEG TRŽIŠTA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rsidRPr="000E4589">
        <w:trPr>
          <w:jc w:val="center"/>
        </w:trPr>
        <w:tc>
          <w:tcPr>
            <w:tcW w:w="1486" w:type="dxa"/>
            <w:shd w:val="clear" w:color="auto" w:fill="B5C0D8"/>
          </w:tcPr>
          <w:p w:rsidR="00D849AA" w:rsidRPr="000E4589" w:rsidRDefault="00D849AA">
            <w:pPr>
              <w:pStyle w:val="CellHeader"/>
            </w:pPr>
          </w:p>
        </w:tc>
        <w:tc>
          <w:tcPr>
            <w:tcW w:w="1486" w:type="dxa"/>
            <w:shd w:val="clear" w:color="auto" w:fill="B5C0D8"/>
          </w:tcPr>
          <w:p w:rsidR="00D849AA" w:rsidRPr="000E4589" w:rsidRDefault="00EE6D95">
            <w:pPr>
              <w:pStyle w:val="CellHeader"/>
            </w:pPr>
            <w:r w:rsidRPr="000E4589">
              <w:t>Plan 2013.</w:t>
            </w:r>
          </w:p>
        </w:tc>
        <w:tc>
          <w:tcPr>
            <w:tcW w:w="1486" w:type="dxa"/>
            <w:shd w:val="clear" w:color="auto" w:fill="B5C0D8"/>
          </w:tcPr>
          <w:p w:rsidR="00D849AA" w:rsidRPr="000E4589" w:rsidRDefault="00EE6D95">
            <w:pPr>
              <w:pStyle w:val="CellHeader"/>
            </w:pPr>
            <w:r w:rsidRPr="000E4589">
              <w:t>Plan 2014.</w:t>
            </w:r>
          </w:p>
        </w:tc>
        <w:tc>
          <w:tcPr>
            <w:tcW w:w="1486" w:type="dxa"/>
            <w:shd w:val="clear" w:color="auto" w:fill="B5C0D8"/>
          </w:tcPr>
          <w:p w:rsidR="00D849AA" w:rsidRPr="000E4589" w:rsidRDefault="00EE6D95">
            <w:pPr>
              <w:pStyle w:val="CellHeader"/>
            </w:pPr>
            <w:r w:rsidRPr="000E4589">
              <w:t>Plan 2015.</w:t>
            </w:r>
          </w:p>
        </w:tc>
        <w:tc>
          <w:tcPr>
            <w:tcW w:w="1486" w:type="dxa"/>
            <w:shd w:val="clear" w:color="auto" w:fill="B5C0D8"/>
          </w:tcPr>
          <w:p w:rsidR="00D849AA" w:rsidRPr="000E4589" w:rsidRDefault="00EE6D95">
            <w:pPr>
              <w:pStyle w:val="CellHeader"/>
            </w:pPr>
            <w:r w:rsidRPr="000E4589">
              <w:t>Plan 2016.</w:t>
            </w:r>
          </w:p>
        </w:tc>
        <w:tc>
          <w:tcPr>
            <w:tcW w:w="1486" w:type="dxa"/>
            <w:shd w:val="clear" w:color="auto" w:fill="B5C0D8"/>
          </w:tcPr>
          <w:p w:rsidR="00D849AA" w:rsidRPr="000E4589" w:rsidRDefault="00EE6D95">
            <w:pPr>
              <w:pStyle w:val="CellHeader"/>
            </w:pPr>
            <w:r w:rsidRPr="000E4589">
              <w:t>Indeks 2014/2013</w:t>
            </w:r>
          </w:p>
        </w:tc>
      </w:tr>
      <w:tr w:rsidR="00D849AA" w:rsidRPr="000E4589">
        <w:trPr>
          <w:jc w:val="center"/>
        </w:trPr>
        <w:tc>
          <w:tcPr>
            <w:tcW w:w="1486" w:type="dxa"/>
          </w:tcPr>
          <w:p w:rsidR="00D849AA" w:rsidRPr="000E4589" w:rsidRDefault="00EE6D95">
            <w:pPr>
              <w:pStyle w:val="CellColumn"/>
            </w:pPr>
            <w:r w:rsidRPr="000E4589">
              <w:t>3215</w:t>
            </w:r>
          </w:p>
        </w:tc>
        <w:tc>
          <w:tcPr>
            <w:tcW w:w="1486" w:type="dxa"/>
          </w:tcPr>
          <w:p w:rsidR="00D849AA" w:rsidRPr="000E4589" w:rsidRDefault="00EE6D95">
            <w:pPr>
              <w:rPr>
                <w:rFonts w:ascii="Arial" w:hAnsi="Arial" w:cs="Arial"/>
              </w:rPr>
            </w:pPr>
            <w:r w:rsidRPr="000E4589">
              <w:rPr>
                <w:rFonts w:ascii="Arial" w:hAnsi="Arial" w:cs="Arial"/>
              </w:rPr>
              <w:t>11.364.100</w:t>
            </w:r>
          </w:p>
        </w:tc>
        <w:tc>
          <w:tcPr>
            <w:tcW w:w="1486" w:type="dxa"/>
          </w:tcPr>
          <w:p w:rsidR="00D849AA" w:rsidRPr="000E4589" w:rsidRDefault="00EE6D95">
            <w:pPr>
              <w:rPr>
                <w:rFonts w:ascii="Arial" w:hAnsi="Arial" w:cs="Arial"/>
              </w:rPr>
            </w:pPr>
            <w:r w:rsidRPr="000E4589">
              <w:rPr>
                <w:rFonts w:ascii="Arial" w:hAnsi="Arial" w:cs="Arial"/>
              </w:rPr>
              <w:t>11.123.381</w:t>
            </w:r>
          </w:p>
        </w:tc>
        <w:tc>
          <w:tcPr>
            <w:tcW w:w="1486" w:type="dxa"/>
          </w:tcPr>
          <w:p w:rsidR="00D849AA" w:rsidRPr="000E4589" w:rsidRDefault="00EE6D95">
            <w:pPr>
              <w:rPr>
                <w:rFonts w:ascii="Arial" w:hAnsi="Arial" w:cs="Arial"/>
              </w:rPr>
            </w:pPr>
            <w:r w:rsidRPr="000E4589">
              <w:rPr>
                <w:rFonts w:ascii="Arial" w:hAnsi="Arial" w:cs="Arial"/>
              </w:rPr>
              <w:t>11.717.100</w:t>
            </w:r>
          </w:p>
        </w:tc>
        <w:tc>
          <w:tcPr>
            <w:tcW w:w="1486" w:type="dxa"/>
          </w:tcPr>
          <w:p w:rsidR="00D849AA" w:rsidRPr="000E4589" w:rsidRDefault="00EE6D95">
            <w:pPr>
              <w:rPr>
                <w:rFonts w:ascii="Arial" w:hAnsi="Arial" w:cs="Arial"/>
              </w:rPr>
            </w:pPr>
            <w:r w:rsidRPr="000E4589">
              <w:rPr>
                <w:rFonts w:ascii="Arial" w:hAnsi="Arial" w:cs="Arial"/>
              </w:rPr>
              <w:t>11.717.100</w:t>
            </w:r>
          </w:p>
        </w:tc>
        <w:tc>
          <w:tcPr>
            <w:tcW w:w="1486" w:type="dxa"/>
          </w:tcPr>
          <w:p w:rsidR="00D849AA" w:rsidRPr="000E4589" w:rsidRDefault="00EE6D95">
            <w:pPr>
              <w:rPr>
                <w:rFonts w:ascii="Arial" w:hAnsi="Arial" w:cs="Arial"/>
              </w:rPr>
            </w:pPr>
            <w:r w:rsidRPr="000E4589">
              <w:rPr>
                <w:rFonts w:ascii="Arial" w:hAnsi="Arial" w:cs="Arial"/>
              </w:rPr>
              <w:t>97,9</w:t>
            </w:r>
          </w:p>
        </w:tc>
      </w:tr>
    </w:tbl>
    <w:p w:rsidR="00D849AA" w:rsidRPr="000E4589" w:rsidRDefault="00D849AA">
      <w:pPr>
        <w:jc w:val="left"/>
        <w:rPr>
          <w:rFonts w:ascii="Arial" w:hAnsi="Arial" w:cs="Arial"/>
        </w:rPr>
      </w:pPr>
    </w:p>
    <w:p w:rsidR="00D849AA" w:rsidRDefault="00EE6D95">
      <w:pPr>
        <w:pStyle w:val="Naslov6"/>
      </w:pPr>
      <w:r>
        <w:t>Opis programa</w:t>
      </w:r>
    </w:p>
    <w:p w:rsidR="00D849AA" w:rsidRDefault="00EE6D95">
      <w:pPr>
        <w:pStyle w:val="Normal5"/>
      </w:pPr>
      <w:r>
        <w:t>Aktivnosti ovog programa koji je ujedno i strateški cilj Uprave za trgovinu i unutarnje tržište, usmjerene su na razvoj i standardizaciju trgovine i unutarnjeg tržišta. Navedeno se postiže kroz unapređenje trgovine i tržišta, razvoj elektroničkog poslovanja, povećanje razine zaštite potrošača, unapređenja područja usluga i područja slobodnog kretanja roba. U zahtjevnom procesu približavanja standardima Europske unije nužno je kroz razvoj i unapređenje navedenih područja osigurati konkurentnost hrvatskog gospodarstva. Razvoj i unapređenje trgovine i unutarnjeg tržišta postiže se informiranjem i edukacijom gospodarskih subjekata o tehničkim zahtjevima za proizvode koji se planiraju staviti na tržište s mogućnošću korištenja mehanizama EU koji će pomagati gospodarskim subjektima i građanima u ostvarivanju njihovih prava u okviru jedinstvenog tržišta Europske unije. Ujedno, razvojem elektroničkog poslovanja u Republici Hrvatskoj kao jednog od faktora povećanja konkurentnosti hrvatskog gospodarstva i povećanja djelotvornosti javnog sektora, postići će se  uštede na razini države i gospodarstva u cjelini.</w:t>
      </w:r>
    </w:p>
    <w:p w:rsidR="00D849AA" w:rsidRDefault="00EE6D95">
      <w:pPr>
        <w:pStyle w:val="Naslov6"/>
      </w:pPr>
      <w:r>
        <w:t>Zakonske i druge pravne osnove</w:t>
      </w:r>
    </w:p>
    <w:p w:rsidR="00D849AA" w:rsidRDefault="00EE6D95">
      <w:pPr>
        <w:pStyle w:val="Normal5"/>
      </w:pPr>
      <w:r>
        <w:t>Zakon o trgovini (NN 87/08, 116/08, 76/09, 14/11 i 68/13) i pripadajući podzakonski propisi; Zakon o posredovanju u prometu nekretnina (NN 107/07 i 144/12) i pripadajući podzakonski propisi; Zakon o nadzoru prometa robe vojne namjene i nevojnih ubojnih sredstava (NN 80/13) i pripadajući podzakonski propisi; Zakon o elektroničkoj trgovini (NN 173/03, 67/08, 36/09, 130/11); Zakon o elektroničnom potpisu (NN 10/02, 80/08), Zakon o zaštiti potrošača (NN 79/07, 125/07, 75/09, 79/09, 89/09, 133/10, 78/12), Zakon o općoj sigurnosti proizvoda (NN 30/09, 139/10), Nacionalni program zaštite potrošača za razdoblje 2009 – 2012,  Zakon o tehničkim zahtjevima za proizvode i ocjenjivanju sukladnosti (NN 80/13), Zakon o uslugama  (NN 80/11)  i pripadajući podzakonski propisi.</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 xml:space="preserve">Cilj 1. Unapređenje trgovine i tržišta </w:t>
      </w:r>
    </w:p>
    <w:p w:rsidR="00D849AA" w:rsidRDefault="00EE6D95">
      <w:pPr>
        <w:pStyle w:val="Normal6"/>
      </w:pPr>
      <w:r>
        <w:t xml:space="preserve">Unaprjeđenje trgovine i tržišta provoditi će se kroz dogradnju i poboljšanje postojeće zakonske regulative sukladne regulativi EU kao i kroz provođenje edukacije poslovnih </w:t>
      </w:r>
      <w:r>
        <w:lastRenderedPageBreak/>
        <w:t>subjekata (organizacija i su organizacija seminara, foruma, sjednica strukovnih udruženja, tiskanje publikacija, izvješća i sl). Na taj način postiže se bolja informiranost svih sudionika uključenih u područje trgovine i tržišta što pozitivno utječe na kvalitetnu provedbu propisa. Navedeno je važno u svrhu uređenja tržišta zbog stvaranja jednakih uvjeta za nastup gospodarstvenika čime se suzbija nelojalna konkurencija i pojavni oblici sive ekonomije, a s druge strane jača konkurentnost hrvatskih tvrtki na međunarodnom tržištu. Ujedno, uređenje tržišta ostvaruje se i primjenom odgovarajućih tehničkih instrumenata kontrole (sustav TRACKER i PUK/Program unutarnje kontrole-od strane proizvođača) što je obveze RH nakon ulaska u EU (43/2009/EZ).</w:t>
      </w:r>
    </w:p>
    <w:p w:rsidR="00700E6F" w:rsidRDefault="00700E6F">
      <w:pPr>
        <w:pStyle w:val="Normal6"/>
      </w:pP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0E4589" w:rsidRDefault="00EE6D95">
            <w:pPr>
              <w:rPr>
                <w:rFonts w:ascii="Arial" w:hAnsi="Arial" w:cs="Arial"/>
              </w:rPr>
            </w:pPr>
            <w:r w:rsidRPr="000E4589">
              <w:rPr>
                <w:rFonts w:ascii="Arial" w:hAnsi="Arial" w:cs="Arial"/>
              </w:rPr>
              <w:t>Pokazatelj učinka</w:t>
            </w:r>
          </w:p>
        </w:tc>
        <w:tc>
          <w:tcPr>
            <w:tcW w:w="1114" w:type="dxa"/>
            <w:shd w:val="clear" w:color="auto" w:fill="B5C0D8"/>
          </w:tcPr>
          <w:p w:rsidR="00D849AA" w:rsidRPr="000E4589" w:rsidRDefault="00EE6D95">
            <w:pPr>
              <w:pStyle w:val="CellHeader"/>
            </w:pPr>
            <w:r w:rsidRPr="000E4589">
              <w:t>Jedinica</w:t>
            </w:r>
          </w:p>
        </w:tc>
        <w:tc>
          <w:tcPr>
            <w:tcW w:w="1114" w:type="dxa"/>
            <w:shd w:val="clear" w:color="auto" w:fill="B5C0D8"/>
          </w:tcPr>
          <w:p w:rsidR="00D849AA" w:rsidRPr="000E4589" w:rsidRDefault="00EE6D95">
            <w:pPr>
              <w:pStyle w:val="CellHeader"/>
            </w:pPr>
            <w:r w:rsidRPr="000E4589">
              <w:t>Polazna vrijednost</w:t>
            </w:r>
          </w:p>
        </w:tc>
        <w:tc>
          <w:tcPr>
            <w:tcW w:w="1486" w:type="dxa"/>
            <w:shd w:val="clear" w:color="auto" w:fill="B5C0D8"/>
          </w:tcPr>
          <w:p w:rsidR="00D849AA" w:rsidRPr="000E4589" w:rsidRDefault="00EE6D95">
            <w:pPr>
              <w:pStyle w:val="CellHeader"/>
            </w:pPr>
            <w:r w:rsidRPr="000E4589">
              <w:t>Ciljana vrijednost (2014.)</w:t>
            </w:r>
          </w:p>
        </w:tc>
        <w:tc>
          <w:tcPr>
            <w:tcW w:w="1486" w:type="dxa"/>
            <w:shd w:val="clear" w:color="auto" w:fill="B5C0D8"/>
          </w:tcPr>
          <w:p w:rsidR="00D849AA" w:rsidRPr="000E4589" w:rsidRDefault="00EE6D95">
            <w:pPr>
              <w:pStyle w:val="CellHeader"/>
            </w:pPr>
            <w:r w:rsidRPr="000E4589">
              <w:t>Ciljana vrijednost (2015.)</w:t>
            </w:r>
          </w:p>
        </w:tc>
        <w:tc>
          <w:tcPr>
            <w:tcW w:w="1486" w:type="dxa"/>
            <w:shd w:val="clear" w:color="auto" w:fill="B5C0D8"/>
          </w:tcPr>
          <w:p w:rsidR="00D849AA" w:rsidRPr="000E4589" w:rsidRDefault="00EE6D95">
            <w:pPr>
              <w:pStyle w:val="CellHeader"/>
            </w:pPr>
            <w:r w:rsidRPr="000E4589">
              <w:t>Ciljana vrijednost (2016.)</w:t>
            </w:r>
          </w:p>
        </w:tc>
      </w:tr>
      <w:tr w:rsidR="00D849AA">
        <w:trPr>
          <w:jc w:val="center"/>
        </w:trPr>
        <w:tc>
          <w:tcPr>
            <w:tcW w:w="2229" w:type="dxa"/>
          </w:tcPr>
          <w:p w:rsidR="00D849AA" w:rsidRPr="000E4589" w:rsidRDefault="00EE6D95">
            <w:pPr>
              <w:pStyle w:val="CellColumn"/>
            </w:pPr>
            <w:r w:rsidRPr="000E4589">
              <w:t>Informiranje poslovnih subjekata putem seminara, foruma, sjednica strukovnih udruženja, časopisa i publikacija</w:t>
            </w:r>
          </w:p>
        </w:tc>
        <w:tc>
          <w:tcPr>
            <w:tcW w:w="1114" w:type="dxa"/>
          </w:tcPr>
          <w:p w:rsidR="00D849AA" w:rsidRPr="000E4589" w:rsidRDefault="00EE6D95">
            <w:pPr>
              <w:rPr>
                <w:rFonts w:ascii="Arial" w:hAnsi="Arial" w:cs="Arial"/>
              </w:rPr>
            </w:pPr>
            <w:r w:rsidRPr="000E4589">
              <w:rPr>
                <w:rFonts w:ascii="Arial" w:hAnsi="Arial" w:cs="Arial"/>
              </w:rPr>
              <w:t>broj</w:t>
            </w:r>
          </w:p>
        </w:tc>
        <w:tc>
          <w:tcPr>
            <w:tcW w:w="1114" w:type="dxa"/>
          </w:tcPr>
          <w:p w:rsidR="00D849AA" w:rsidRPr="000E4589" w:rsidRDefault="00EE6D95">
            <w:pPr>
              <w:rPr>
                <w:rFonts w:ascii="Arial" w:hAnsi="Arial" w:cs="Arial"/>
              </w:rPr>
            </w:pPr>
            <w:r w:rsidRPr="000E4589">
              <w:rPr>
                <w:rFonts w:ascii="Arial" w:hAnsi="Arial" w:cs="Arial"/>
              </w:rPr>
              <w:t>0</w:t>
            </w:r>
          </w:p>
        </w:tc>
        <w:tc>
          <w:tcPr>
            <w:tcW w:w="1486" w:type="dxa"/>
          </w:tcPr>
          <w:p w:rsidR="00D849AA" w:rsidRPr="000E4589" w:rsidRDefault="00EE6D95">
            <w:pPr>
              <w:rPr>
                <w:rFonts w:ascii="Arial" w:hAnsi="Arial" w:cs="Arial"/>
              </w:rPr>
            </w:pPr>
            <w:r w:rsidRPr="000E4589">
              <w:rPr>
                <w:rFonts w:ascii="Arial" w:hAnsi="Arial" w:cs="Arial"/>
              </w:rPr>
              <w:t>8</w:t>
            </w:r>
          </w:p>
        </w:tc>
        <w:tc>
          <w:tcPr>
            <w:tcW w:w="1486" w:type="dxa"/>
          </w:tcPr>
          <w:p w:rsidR="00D849AA" w:rsidRPr="000E4589" w:rsidRDefault="00EE6D95">
            <w:pPr>
              <w:rPr>
                <w:rFonts w:ascii="Arial" w:hAnsi="Arial" w:cs="Arial"/>
              </w:rPr>
            </w:pPr>
            <w:r w:rsidRPr="000E4589">
              <w:rPr>
                <w:rFonts w:ascii="Arial" w:hAnsi="Arial" w:cs="Arial"/>
              </w:rPr>
              <w:t>8</w:t>
            </w:r>
          </w:p>
        </w:tc>
        <w:tc>
          <w:tcPr>
            <w:tcW w:w="1486" w:type="dxa"/>
          </w:tcPr>
          <w:p w:rsidR="00D849AA" w:rsidRPr="000E4589" w:rsidRDefault="00EE6D95">
            <w:pPr>
              <w:rPr>
                <w:rFonts w:ascii="Arial" w:hAnsi="Arial" w:cs="Arial"/>
              </w:rPr>
            </w:pPr>
            <w:r w:rsidRPr="000E4589">
              <w:rPr>
                <w:rFonts w:ascii="Arial" w:hAnsi="Arial" w:cs="Arial"/>
              </w:rPr>
              <w:t>8</w:t>
            </w:r>
          </w:p>
        </w:tc>
      </w:tr>
      <w:tr w:rsidR="00D849AA">
        <w:trPr>
          <w:jc w:val="center"/>
        </w:trPr>
        <w:tc>
          <w:tcPr>
            <w:tcW w:w="2229" w:type="dxa"/>
          </w:tcPr>
          <w:p w:rsidR="00D849AA" w:rsidRPr="000E4589" w:rsidRDefault="00EE6D95">
            <w:pPr>
              <w:pStyle w:val="CellColumn"/>
            </w:pPr>
            <w:r w:rsidRPr="000E4589">
              <w:t>Tiskanje publikacije-Izvješća (na hrvatskom i engleskom jeziku</w:t>
            </w:r>
          </w:p>
        </w:tc>
        <w:tc>
          <w:tcPr>
            <w:tcW w:w="1114" w:type="dxa"/>
          </w:tcPr>
          <w:p w:rsidR="00D849AA" w:rsidRPr="000E4589" w:rsidRDefault="00EE6D95">
            <w:pPr>
              <w:rPr>
                <w:rFonts w:ascii="Arial" w:hAnsi="Arial" w:cs="Arial"/>
              </w:rPr>
            </w:pPr>
            <w:r w:rsidRPr="000E4589">
              <w:rPr>
                <w:rFonts w:ascii="Arial" w:hAnsi="Arial" w:cs="Arial"/>
              </w:rPr>
              <w:t>broj</w:t>
            </w:r>
          </w:p>
        </w:tc>
        <w:tc>
          <w:tcPr>
            <w:tcW w:w="1114" w:type="dxa"/>
          </w:tcPr>
          <w:p w:rsidR="00D849AA" w:rsidRPr="000E4589" w:rsidRDefault="00EE6D95">
            <w:pPr>
              <w:rPr>
                <w:rFonts w:ascii="Arial" w:hAnsi="Arial" w:cs="Arial"/>
              </w:rPr>
            </w:pPr>
            <w:r w:rsidRPr="000E4589">
              <w:rPr>
                <w:rFonts w:ascii="Arial" w:hAnsi="Arial" w:cs="Arial"/>
              </w:rPr>
              <w:t>200</w:t>
            </w:r>
          </w:p>
        </w:tc>
        <w:tc>
          <w:tcPr>
            <w:tcW w:w="1486" w:type="dxa"/>
          </w:tcPr>
          <w:p w:rsidR="00D849AA" w:rsidRPr="000E4589" w:rsidRDefault="00EE6D95">
            <w:pPr>
              <w:rPr>
                <w:rFonts w:ascii="Arial" w:hAnsi="Arial" w:cs="Arial"/>
              </w:rPr>
            </w:pPr>
            <w:r w:rsidRPr="000E4589">
              <w:rPr>
                <w:rFonts w:ascii="Arial" w:hAnsi="Arial" w:cs="Arial"/>
              </w:rPr>
              <w:t>300</w:t>
            </w:r>
          </w:p>
        </w:tc>
        <w:tc>
          <w:tcPr>
            <w:tcW w:w="1486" w:type="dxa"/>
          </w:tcPr>
          <w:p w:rsidR="00D849AA" w:rsidRPr="000E4589" w:rsidRDefault="00EE6D95">
            <w:pPr>
              <w:rPr>
                <w:rFonts w:ascii="Arial" w:hAnsi="Arial" w:cs="Arial"/>
              </w:rPr>
            </w:pPr>
            <w:r w:rsidRPr="000E4589">
              <w:rPr>
                <w:rFonts w:ascii="Arial" w:hAnsi="Arial" w:cs="Arial"/>
              </w:rPr>
              <w:t>300</w:t>
            </w:r>
          </w:p>
        </w:tc>
        <w:tc>
          <w:tcPr>
            <w:tcW w:w="1486" w:type="dxa"/>
          </w:tcPr>
          <w:p w:rsidR="00D849AA" w:rsidRPr="000E4589" w:rsidRDefault="00EE6D95">
            <w:pPr>
              <w:rPr>
                <w:rFonts w:ascii="Arial" w:hAnsi="Arial" w:cs="Arial"/>
              </w:rPr>
            </w:pPr>
            <w:r w:rsidRPr="000E4589">
              <w:rPr>
                <w:rFonts w:ascii="Arial" w:hAnsi="Arial" w:cs="Arial"/>
              </w:rPr>
              <w:t>300</w:t>
            </w:r>
          </w:p>
        </w:tc>
      </w:tr>
      <w:tr w:rsidR="00D849AA">
        <w:trPr>
          <w:jc w:val="center"/>
        </w:trPr>
        <w:tc>
          <w:tcPr>
            <w:tcW w:w="2229" w:type="dxa"/>
          </w:tcPr>
          <w:p w:rsidR="00D849AA" w:rsidRPr="000E4589" w:rsidRDefault="00EE6D95">
            <w:pPr>
              <w:pStyle w:val="CellColumn"/>
            </w:pPr>
            <w:r w:rsidRPr="000E4589">
              <w:t>Unapređenje sustava (TRACKER i PUK/2 kom)-računalnih usluga i njihovo održavanje</w:t>
            </w:r>
          </w:p>
        </w:tc>
        <w:tc>
          <w:tcPr>
            <w:tcW w:w="1114" w:type="dxa"/>
          </w:tcPr>
          <w:p w:rsidR="00D849AA" w:rsidRPr="000E4589" w:rsidRDefault="00EE6D95">
            <w:pPr>
              <w:rPr>
                <w:rFonts w:ascii="Arial" w:hAnsi="Arial" w:cs="Arial"/>
              </w:rPr>
            </w:pPr>
            <w:r w:rsidRPr="000E4589">
              <w:rPr>
                <w:rFonts w:ascii="Arial" w:hAnsi="Arial" w:cs="Arial"/>
              </w:rPr>
              <w:t>broj</w:t>
            </w:r>
          </w:p>
        </w:tc>
        <w:tc>
          <w:tcPr>
            <w:tcW w:w="1114" w:type="dxa"/>
          </w:tcPr>
          <w:p w:rsidR="00D849AA" w:rsidRPr="000E4589" w:rsidRDefault="00EE6D95">
            <w:pPr>
              <w:rPr>
                <w:rFonts w:ascii="Arial" w:hAnsi="Arial" w:cs="Arial"/>
              </w:rPr>
            </w:pPr>
            <w:r w:rsidRPr="000E4589">
              <w:rPr>
                <w:rFonts w:ascii="Arial" w:hAnsi="Arial" w:cs="Arial"/>
              </w:rPr>
              <w:t>1</w:t>
            </w:r>
          </w:p>
        </w:tc>
        <w:tc>
          <w:tcPr>
            <w:tcW w:w="1486" w:type="dxa"/>
          </w:tcPr>
          <w:p w:rsidR="00D849AA" w:rsidRPr="000E4589" w:rsidRDefault="00EE6D95">
            <w:pPr>
              <w:rPr>
                <w:rFonts w:ascii="Arial" w:hAnsi="Arial" w:cs="Arial"/>
              </w:rPr>
            </w:pPr>
            <w:r w:rsidRPr="000E4589">
              <w:rPr>
                <w:rFonts w:ascii="Arial" w:hAnsi="Arial" w:cs="Arial"/>
              </w:rPr>
              <w:t>Sustavi u funkciji (6 MODULA)</w:t>
            </w:r>
          </w:p>
        </w:tc>
        <w:tc>
          <w:tcPr>
            <w:tcW w:w="1486" w:type="dxa"/>
          </w:tcPr>
          <w:p w:rsidR="00D849AA" w:rsidRPr="000E4589" w:rsidRDefault="00EE6D95">
            <w:pPr>
              <w:rPr>
                <w:rFonts w:ascii="Arial" w:hAnsi="Arial" w:cs="Arial"/>
              </w:rPr>
            </w:pPr>
            <w:r w:rsidRPr="000E4589">
              <w:rPr>
                <w:rFonts w:ascii="Arial" w:hAnsi="Arial" w:cs="Arial"/>
              </w:rPr>
              <w:t>Sustavi u funkciji (6 MODULA)</w:t>
            </w:r>
          </w:p>
        </w:tc>
        <w:tc>
          <w:tcPr>
            <w:tcW w:w="1486" w:type="dxa"/>
          </w:tcPr>
          <w:p w:rsidR="00D849AA" w:rsidRPr="000E4589" w:rsidRDefault="00EE6D95">
            <w:pPr>
              <w:rPr>
                <w:rFonts w:ascii="Arial" w:hAnsi="Arial" w:cs="Arial"/>
              </w:rPr>
            </w:pPr>
            <w:r w:rsidRPr="000E4589">
              <w:rPr>
                <w:rFonts w:ascii="Arial" w:hAnsi="Arial" w:cs="Arial"/>
              </w:rPr>
              <w:t>Sustavi u funkciji (6 MODULA)</w:t>
            </w:r>
          </w:p>
        </w:tc>
      </w:tr>
    </w:tbl>
    <w:p w:rsidR="00D849AA" w:rsidRDefault="00D849AA">
      <w:pPr>
        <w:jc w:val="left"/>
      </w:pPr>
    </w:p>
    <w:p w:rsidR="00D849AA" w:rsidRDefault="00EE6D95">
      <w:pPr>
        <w:pStyle w:val="Naslov7"/>
      </w:pPr>
      <w:r>
        <w:t>Cilj 2. Razvoj elektroničkog poslovanja</w:t>
      </w:r>
    </w:p>
    <w:p w:rsidR="00D849AA" w:rsidRDefault="00EE6D95">
      <w:pPr>
        <w:pStyle w:val="Normal6"/>
      </w:pPr>
      <w:r>
        <w:t xml:space="preserve">Ključna uloga Ministarstva gospodarstva je u stvaranju pouzdanog i sigurnog okruženja za e-poslovanje. Iako je pravno okruženje u RH izjednačilo valjanost papirnatih i elektroničkih isprava, radi daljnjeg razvoja e-poslovanja nužno je djelovati na informiranju šire javnosti o pravima i mehanizmima za zaštitu prava koji su već pravno uspostavljeni, a u cilju stvaranja što boljeg pravno zaštitnog okvira u samom provođenju zadanih politika i mjera razvoja elektroničkog poslovanja. </w:t>
      </w:r>
    </w:p>
    <w:p w:rsidR="00D849AA" w:rsidRDefault="00EE6D95">
      <w:pPr>
        <w:pStyle w:val="Normal6"/>
      </w:pPr>
      <w:r>
        <w:t>U narednom razdoblju Ministarstvo gospodarstva će daljnjim jačanjem svojih administrativnih i organizacijskih kapaciteta provoditi aktivnosti vezane za pripremu prijedloga strateških dokumenata, koordinaciju i praćenje njihove provedbe, pripremu prijedloga pravnih rješenja, praćenja provedbe zakonskih i podzakonskih akata, te inspekcijski nadzor. Također će kontinuiranom i efikasnom implementacijom postupovnih pravila raditi na: uspostavi novog pravnog okvira za elektroničke potpise, elektroničku identifikaciju i autentfiikaciju; prekograničnom priznavanju elektroničkih potpisa; poboljšanju dostupnosti i jednostavnosti korištenja tehnologija za autorizaciju i autentifikaciju korisnika u e-poslovanju putem interneta; povećanju razmjene elektroničkih računa u gospodarstvu; unaprjeđenje i razvoj elektroničke trgovine; usklađivanju nacionalnih propisa s međunarodnim standardima i normama u području e-</w:t>
      </w:r>
      <w:r>
        <w:lastRenderedPageBreak/>
        <w:t>poslovanja; te uspostavi povjerenja i pravne sigurnosti kako u gospodarstvu, tako i u javnom sektoru.</w:t>
      </w:r>
    </w:p>
    <w:p w:rsidR="00D849AA" w:rsidRDefault="00EE6D95">
      <w:pPr>
        <w:pStyle w:val="Naslov7"/>
      </w:pPr>
      <w:r>
        <w:t>Cilj 3. Razvoj usluga na unutarnjem tržištu</w:t>
      </w:r>
    </w:p>
    <w:p w:rsidR="00D849AA" w:rsidRDefault="00EE6D95">
      <w:pPr>
        <w:pStyle w:val="Normal6"/>
      </w:pPr>
      <w:r>
        <w:t>Ovaj cilj će se ostvariti kroz korištenje sredstava iz EU projekta  Jačanje administrativnih kapaciteta za provedbu Direktive o uslugama čija svrha je jačanje hrvatskih administrativnih kapaciteta za implementaciju Direktive 2006/123/EZ o uslugama na unutarnjem tržištu, do pristupanja Republike Hrvatske u Europsku uniju.</w:t>
      </w:r>
    </w:p>
    <w:p w:rsidR="00D849AA" w:rsidRDefault="00EE6D95">
      <w:pPr>
        <w:pStyle w:val="Naslov7"/>
      </w:pPr>
      <w:r>
        <w:t>Cilj 4. Unapređenje slobode kretanja roba na unutarnjem tržištu</w:t>
      </w:r>
    </w:p>
    <w:p w:rsidR="00D849AA" w:rsidRDefault="00EE6D95">
      <w:pPr>
        <w:pStyle w:val="Normal6"/>
      </w:pPr>
      <w:r>
        <w:t>Razvoj unutarnjeg tržišta, osim unapređenja hrvatskog zakonodavstva usklađivanjem s pravilima Europske unije (direktivama i uredbama), podrazumijeva implementaciju tehničkog zakonodavstva za proizvode koje je usklađeno s pravilima Europske unije u području slobode kretanja roba.</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0E4589" w:rsidRDefault="00EE6D95">
            <w:pPr>
              <w:rPr>
                <w:rFonts w:ascii="Arial" w:hAnsi="Arial" w:cs="Arial"/>
              </w:rPr>
            </w:pPr>
            <w:r w:rsidRPr="000E4589">
              <w:rPr>
                <w:rFonts w:ascii="Arial" w:hAnsi="Arial" w:cs="Arial"/>
              </w:rPr>
              <w:t>Pokazatelj učinka</w:t>
            </w:r>
          </w:p>
        </w:tc>
        <w:tc>
          <w:tcPr>
            <w:tcW w:w="1114" w:type="dxa"/>
            <w:shd w:val="clear" w:color="auto" w:fill="B5C0D8"/>
          </w:tcPr>
          <w:p w:rsidR="00D849AA" w:rsidRPr="000E4589" w:rsidRDefault="00EE6D95">
            <w:pPr>
              <w:pStyle w:val="CellHeader"/>
            </w:pPr>
            <w:r w:rsidRPr="000E4589">
              <w:t>Jedinica</w:t>
            </w:r>
          </w:p>
        </w:tc>
        <w:tc>
          <w:tcPr>
            <w:tcW w:w="1114" w:type="dxa"/>
            <w:shd w:val="clear" w:color="auto" w:fill="B5C0D8"/>
          </w:tcPr>
          <w:p w:rsidR="00D849AA" w:rsidRPr="000E4589" w:rsidRDefault="00EE6D95">
            <w:pPr>
              <w:pStyle w:val="CellHeader"/>
            </w:pPr>
            <w:r w:rsidRPr="000E4589">
              <w:t>Polazna vrijednost</w:t>
            </w:r>
          </w:p>
        </w:tc>
        <w:tc>
          <w:tcPr>
            <w:tcW w:w="1486" w:type="dxa"/>
            <w:shd w:val="clear" w:color="auto" w:fill="B5C0D8"/>
          </w:tcPr>
          <w:p w:rsidR="00D849AA" w:rsidRPr="000E4589" w:rsidRDefault="00EE6D95">
            <w:pPr>
              <w:pStyle w:val="CellHeader"/>
            </w:pPr>
            <w:r w:rsidRPr="000E4589">
              <w:t>Ciljana vrijednost (2014.)</w:t>
            </w:r>
          </w:p>
        </w:tc>
        <w:tc>
          <w:tcPr>
            <w:tcW w:w="1486" w:type="dxa"/>
            <w:shd w:val="clear" w:color="auto" w:fill="B5C0D8"/>
          </w:tcPr>
          <w:p w:rsidR="00D849AA" w:rsidRPr="000E4589" w:rsidRDefault="00EE6D95">
            <w:pPr>
              <w:pStyle w:val="CellHeader"/>
            </w:pPr>
            <w:r w:rsidRPr="000E4589">
              <w:t>Ciljana vrijednost (2015.)</w:t>
            </w:r>
          </w:p>
        </w:tc>
        <w:tc>
          <w:tcPr>
            <w:tcW w:w="1486" w:type="dxa"/>
            <w:shd w:val="clear" w:color="auto" w:fill="B5C0D8"/>
          </w:tcPr>
          <w:p w:rsidR="00D849AA" w:rsidRPr="000E4589" w:rsidRDefault="00EE6D95">
            <w:pPr>
              <w:pStyle w:val="CellHeader"/>
            </w:pPr>
            <w:r w:rsidRPr="000E4589">
              <w:t>Ciljana vrijednost (2016.)</w:t>
            </w:r>
          </w:p>
        </w:tc>
      </w:tr>
      <w:tr w:rsidR="00D849AA">
        <w:trPr>
          <w:jc w:val="center"/>
        </w:trPr>
        <w:tc>
          <w:tcPr>
            <w:tcW w:w="2229" w:type="dxa"/>
          </w:tcPr>
          <w:p w:rsidR="00D849AA" w:rsidRPr="000E4589" w:rsidRDefault="00EE6D95">
            <w:pPr>
              <w:pStyle w:val="CellColumn"/>
            </w:pPr>
            <w:r w:rsidRPr="000E4589">
              <w:t>Povećanje razine informiranosti poslovnih subjekata i građana o unutarnjem tržištu</w:t>
            </w:r>
          </w:p>
        </w:tc>
        <w:tc>
          <w:tcPr>
            <w:tcW w:w="1114" w:type="dxa"/>
          </w:tcPr>
          <w:p w:rsidR="00D849AA" w:rsidRPr="000E4589" w:rsidRDefault="00EE6D95">
            <w:pPr>
              <w:rPr>
                <w:rFonts w:ascii="Arial" w:hAnsi="Arial" w:cs="Arial"/>
              </w:rPr>
            </w:pPr>
            <w:r w:rsidRPr="000E4589">
              <w:rPr>
                <w:rFonts w:ascii="Arial" w:hAnsi="Arial" w:cs="Arial"/>
              </w:rPr>
              <w:t>Broj posjeta (klikova)</w:t>
            </w:r>
          </w:p>
        </w:tc>
        <w:tc>
          <w:tcPr>
            <w:tcW w:w="1114" w:type="dxa"/>
          </w:tcPr>
          <w:p w:rsidR="00D849AA" w:rsidRPr="000E4589" w:rsidRDefault="00EE6D95">
            <w:pPr>
              <w:rPr>
                <w:rFonts w:ascii="Arial" w:hAnsi="Arial" w:cs="Arial"/>
              </w:rPr>
            </w:pPr>
            <w:r w:rsidRPr="000E4589">
              <w:rPr>
                <w:rFonts w:ascii="Arial" w:hAnsi="Arial" w:cs="Arial"/>
              </w:rPr>
              <w:t>500</w:t>
            </w:r>
          </w:p>
        </w:tc>
        <w:tc>
          <w:tcPr>
            <w:tcW w:w="1486" w:type="dxa"/>
          </w:tcPr>
          <w:p w:rsidR="00D849AA" w:rsidRPr="000E4589" w:rsidRDefault="00EE6D95">
            <w:pPr>
              <w:rPr>
                <w:rFonts w:ascii="Arial" w:hAnsi="Arial" w:cs="Arial"/>
              </w:rPr>
            </w:pPr>
            <w:r w:rsidRPr="000E4589">
              <w:rPr>
                <w:rFonts w:ascii="Arial" w:hAnsi="Arial" w:cs="Arial"/>
              </w:rPr>
              <w:t>2000</w:t>
            </w:r>
          </w:p>
        </w:tc>
        <w:tc>
          <w:tcPr>
            <w:tcW w:w="1486" w:type="dxa"/>
          </w:tcPr>
          <w:p w:rsidR="00D849AA" w:rsidRPr="000E4589" w:rsidRDefault="00EE6D95">
            <w:pPr>
              <w:rPr>
                <w:rFonts w:ascii="Arial" w:hAnsi="Arial" w:cs="Arial"/>
              </w:rPr>
            </w:pPr>
            <w:r w:rsidRPr="000E4589">
              <w:rPr>
                <w:rFonts w:ascii="Arial" w:hAnsi="Arial" w:cs="Arial"/>
              </w:rPr>
              <w:t>3000</w:t>
            </w:r>
          </w:p>
        </w:tc>
        <w:tc>
          <w:tcPr>
            <w:tcW w:w="1486" w:type="dxa"/>
          </w:tcPr>
          <w:p w:rsidR="00D849AA" w:rsidRPr="000E4589" w:rsidRDefault="00EE6D95">
            <w:pPr>
              <w:rPr>
                <w:rFonts w:ascii="Arial" w:hAnsi="Arial" w:cs="Arial"/>
              </w:rPr>
            </w:pPr>
            <w:r w:rsidRPr="000E4589">
              <w:rPr>
                <w:rFonts w:ascii="Arial" w:hAnsi="Arial" w:cs="Arial"/>
              </w:rPr>
              <w:t>4000</w:t>
            </w:r>
          </w:p>
        </w:tc>
      </w:tr>
      <w:tr w:rsidR="00D849AA">
        <w:trPr>
          <w:jc w:val="center"/>
        </w:trPr>
        <w:tc>
          <w:tcPr>
            <w:tcW w:w="2229" w:type="dxa"/>
          </w:tcPr>
          <w:p w:rsidR="00D849AA" w:rsidRPr="000E4589" w:rsidRDefault="00EE6D95">
            <w:pPr>
              <w:pStyle w:val="CellColumn"/>
            </w:pPr>
            <w:r w:rsidRPr="000E4589">
              <w:t>Smanjenje broja upita građana o unutarnjem tržištu</w:t>
            </w:r>
          </w:p>
        </w:tc>
        <w:tc>
          <w:tcPr>
            <w:tcW w:w="1114" w:type="dxa"/>
          </w:tcPr>
          <w:p w:rsidR="00D849AA" w:rsidRPr="000E4589" w:rsidRDefault="00EE6D95">
            <w:pPr>
              <w:rPr>
                <w:rFonts w:ascii="Arial" w:hAnsi="Arial" w:cs="Arial"/>
              </w:rPr>
            </w:pPr>
            <w:r w:rsidRPr="000E4589">
              <w:rPr>
                <w:rFonts w:ascii="Arial" w:hAnsi="Arial" w:cs="Arial"/>
              </w:rPr>
              <w:t>Broj upita</w:t>
            </w:r>
          </w:p>
        </w:tc>
        <w:tc>
          <w:tcPr>
            <w:tcW w:w="1114" w:type="dxa"/>
          </w:tcPr>
          <w:p w:rsidR="00D849AA" w:rsidRPr="000E4589" w:rsidRDefault="00EE6D95">
            <w:pPr>
              <w:rPr>
                <w:rFonts w:ascii="Arial" w:hAnsi="Arial" w:cs="Arial"/>
              </w:rPr>
            </w:pPr>
            <w:r w:rsidRPr="000E4589">
              <w:rPr>
                <w:rFonts w:ascii="Arial" w:hAnsi="Arial" w:cs="Arial"/>
              </w:rPr>
              <w:t>200</w:t>
            </w:r>
          </w:p>
        </w:tc>
        <w:tc>
          <w:tcPr>
            <w:tcW w:w="1486" w:type="dxa"/>
          </w:tcPr>
          <w:p w:rsidR="00D849AA" w:rsidRPr="000E4589" w:rsidRDefault="00EE6D95">
            <w:pPr>
              <w:rPr>
                <w:rFonts w:ascii="Arial" w:hAnsi="Arial" w:cs="Arial"/>
              </w:rPr>
            </w:pPr>
            <w:r w:rsidRPr="000E4589">
              <w:rPr>
                <w:rFonts w:ascii="Arial" w:hAnsi="Arial" w:cs="Arial"/>
              </w:rPr>
              <w:t>100</w:t>
            </w:r>
          </w:p>
        </w:tc>
        <w:tc>
          <w:tcPr>
            <w:tcW w:w="1486" w:type="dxa"/>
          </w:tcPr>
          <w:p w:rsidR="00D849AA" w:rsidRPr="000E4589" w:rsidRDefault="00EE6D95">
            <w:pPr>
              <w:rPr>
                <w:rFonts w:ascii="Arial" w:hAnsi="Arial" w:cs="Arial"/>
              </w:rPr>
            </w:pPr>
            <w:r w:rsidRPr="000E4589">
              <w:rPr>
                <w:rFonts w:ascii="Arial" w:hAnsi="Arial" w:cs="Arial"/>
              </w:rPr>
              <w:t>50</w:t>
            </w:r>
          </w:p>
        </w:tc>
        <w:tc>
          <w:tcPr>
            <w:tcW w:w="1486" w:type="dxa"/>
          </w:tcPr>
          <w:p w:rsidR="00D849AA" w:rsidRPr="000E4589" w:rsidRDefault="00EE6D95">
            <w:pPr>
              <w:rPr>
                <w:rFonts w:ascii="Arial" w:hAnsi="Arial" w:cs="Arial"/>
              </w:rPr>
            </w:pPr>
            <w:r w:rsidRPr="000E4589">
              <w:rPr>
                <w:rFonts w:ascii="Arial" w:hAnsi="Arial" w:cs="Arial"/>
              </w:rPr>
              <w:t>50</w:t>
            </w:r>
          </w:p>
        </w:tc>
      </w:tr>
      <w:tr w:rsidR="00D849AA">
        <w:trPr>
          <w:jc w:val="center"/>
        </w:trPr>
        <w:tc>
          <w:tcPr>
            <w:tcW w:w="2229" w:type="dxa"/>
          </w:tcPr>
          <w:p w:rsidR="00D849AA" w:rsidRPr="000E4589" w:rsidRDefault="00EE6D95">
            <w:pPr>
              <w:pStyle w:val="CellColumn"/>
            </w:pPr>
            <w:r w:rsidRPr="000E4589">
              <w:t>SOLVIT  - rješavanje problema nastalih nepravilnom primjenom propisa koji uređuju unutarnje tržište</w:t>
            </w:r>
          </w:p>
        </w:tc>
        <w:tc>
          <w:tcPr>
            <w:tcW w:w="1114" w:type="dxa"/>
          </w:tcPr>
          <w:p w:rsidR="00D849AA" w:rsidRPr="000E4589" w:rsidRDefault="00EE6D95">
            <w:pPr>
              <w:rPr>
                <w:rFonts w:ascii="Arial" w:hAnsi="Arial" w:cs="Arial"/>
              </w:rPr>
            </w:pPr>
            <w:r w:rsidRPr="000E4589">
              <w:rPr>
                <w:rFonts w:ascii="Arial" w:hAnsi="Arial" w:cs="Arial"/>
              </w:rPr>
              <w:t>Broj slučajeva</w:t>
            </w:r>
          </w:p>
        </w:tc>
        <w:tc>
          <w:tcPr>
            <w:tcW w:w="1114" w:type="dxa"/>
          </w:tcPr>
          <w:p w:rsidR="00D849AA" w:rsidRPr="000E4589" w:rsidRDefault="00EE6D95">
            <w:pPr>
              <w:rPr>
                <w:rFonts w:ascii="Arial" w:hAnsi="Arial" w:cs="Arial"/>
              </w:rPr>
            </w:pPr>
            <w:r w:rsidRPr="000E4589">
              <w:rPr>
                <w:rFonts w:ascii="Arial" w:hAnsi="Arial" w:cs="Arial"/>
              </w:rPr>
              <w:t>20</w:t>
            </w:r>
          </w:p>
        </w:tc>
        <w:tc>
          <w:tcPr>
            <w:tcW w:w="1486" w:type="dxa"/>
          </w:tcPr>
          <w:p w:rsidR="00D849AA" w:rsidRPr="000E4589" w:rsidRDefault="00EE6D95">
            <w:pPr>
              <w:rPr>
                <w:rFonts w:ascii="Arial" w:hAnsi="Arial" w:cs="Arial"/>
              </w:rPr>
            </w:pPr>
            <w:r w:rsidRPr="000E4589">
              <w:rPr>
                <w:rFonts w:ascii="Arial" w:hAnsi="Arial" w:cs="Arial"/>
              </w:rPr>
              <w:t>25</w:t>
            </w:r>
          </w:p>
        </w:tc>
        <w:tc>
          <w:tcPr>
            <w:tcW w:w="1486" w:type="dxa"/>
          </w:tcPr>
          <w:p w:rsidR="00D849AA" w:rsidRPr="000E4589" w:rsidRDefault="00EE6D95">
            <w:pPr>
              <w:rPr>
                <w:rFonts w:ascii="Arial" w:hAnsi="Arial" w:cs="Arial"/>
              </w:rPr>
            </w:pPr>
            <w:r w:rsidRPr="000E4589">
              <w:rPr>
                <w:rFonts w:ascii="Arial" w:hAnsi="Arial" w:cs="Arial"/>
              </w:rPr>
              <w:t>30</w:t>
            </w:r>
          </w:p>
        </w:tc>
        <w:tc>
          <w:tcPr>
            <w:tcW w:w="1486" w:type="dxa"/>
          </w:tcPr>
          <w:p w:rsidR="00D849AA" w:rsidRPr="000E4589" w:rsidRDefault="00EE6D95">
            <w:pPr>
              <w:rPr>
                <w:rFonts w:ascii="Arial" w:hAnsi="Arial" w:cs="Arial"/>
              </w:rPr>
            </w:pPr>
            <w:r w:rsidRPr="000E4589">
              <w:rPr>
                <w:rFonts w:ascii="Arial" w:hAnsi="Arial" w:cs="Arial"/>
              </w:rPr>
              <w:t>30</w:t>
            </w:r>
          </w:p>
        </w:tc>
      </w:tr>
      <w:tr w:rsidR="00D849AA">
        <w:trPr>
          <w:jc w:val="center"/>
        </w:trPr>
        <w:tc>
          <w:tcPr>
            <w:tcW w:w="2229" w:type="dxa"/>
          </w:tcPr>
          <w:p w:rsidR="00D849AA" w:rsidRPr="000E4589" w:rsidRDefault="00EE6D95">
            <w:pPr>
              <w:pStyle w:val="CellColumn"/>
            </w:pPr>
            <w:r w:rsidRPr="000E4589">
              <w:t>Edukacija poslovnih subjekata, seminari, konferencije, savjetovanja</w:t>
            </w:r>
          </w:p>
        </w:tc>
        <w:tc>
          <w:tcPr>
            <w:tcW w:w="1114" w:type="dxa"/>
          </w:tcPr>
          <w:p w:rsidR="00D849AA" w:rsidRPr="000E4589" w:rsidRDefault="00EE6D95">
            <w:pPr>
              <w:rPr>
                <w:rFonts w:ascii="Arial" w:hAnsi="Arial" w:cs="Arial"/>
              </w:rPr>
            </w:pPr>
            <w:r w:rsidRPr="000E4589">
              <w:rPr>
                <w:rFonts w:ascii="Arial" w:hAnsi="Arial" w:cs="Arial"/>
              </w:rPr>
              <w:t>Broj</w:t>
            </w:r>
          </w:p>
        </w:tc>
        <w:tc>
          <w:tcPr>
            <w:tcW w:w="1114" w:type="dxa"/>
          </w:tcPr>
          <w:p w:rsidR="00D849AA" w:rsidRPr="000E4589" w:rsidRDefault="00EE6D95">
            <w:pPr>
              <w:rPr>
                <w:rFonts w:ascii="Arial" w:hAnsi="Arial" w:cs="Arial"/>
              </w:rPr>
            </w:pPr>
            <w:r w:rsidRPr="000E4589">
              <w:rPr>
                <w:rFonts w:ascii="Arial" w:hAnsi="Arial" w:cs="Arial"/>
              </w:rPr>
              <w:t>20</w:t>
            </w:r>
          </w:p>
        </w:tc>
        <w:tc>
          <w:tcPr>
            <w:tcW w:w="1486" w:type="dxa"/>
          </w:tcPr>
          <w:p w:rsidR="00D849AA" w:rsidRPr="000E4589" w:rsidRDefault="00EE6D95">
            <w:pPr>
              <w:rPr>
                <w:rFonts w:ascii="Arial" w:hAnsi="Arial" w:cs="Arial"/>
              </w:rPr>
            </w:pPr>
            <w:r w:rsidRPr="000E4589">
              <w:rPr>
                <w:rFonts w:ascii="Arial" w:hAnsi="Arial" w:cs="Arial"/>
              </w:rPr>
              <w:t>25</w:t>
            </w:r>
          </w:p>
        </w:tc>
        <w:tc>
          <w:tcPr>
            <w:tcW w:w="1486" w:type="dxa"/>
          </w:tcPr>
          <w:p w:rsidR="00D849AA" w:rsidRPr="000E4589" w:rsidRDefault="00EE6D95">
            <w:pPr>
              <w:rPr>
                <w:rFonts w:ascii="Arial" w:hAnsi="Arial" w:cs="Arial"/>
              </w:rPr>
            </w:pPr>
            <w:r w:rsidRPr="000E4589">
              <w:rPr>
                <w:rFonts w:ascii="Arial" w:hAnsi="Arial" w:cs="Arial"/>
              </w:rPr>
              <w:t>25</w:t>
            </w:r>
          </w:p>
        </w:tc>
        <w:tc>
          <w:tcPr>
            <w:tcW w:w="1486" w:type="dxa"/>
          </w:tcPr>
          <w:p w:rsidR="00D849AA" w:rsidRPr="000E4589" w:rsidRDefault="00EE6D95">
            <w:pPr>
              <w:rPr>
                <w:rFonts w:ascii="Arial" w:hAnsi="Arial" w:cs="Arial"/>
              </w:rPr>
            </w:pPr>
            <w:r w:rsidRPr="000E4589">
              <w:rPr>
                <w:rFonts w:ascii="Arial" w:hAnsi="Arial" w:cs="Arial"/>
              </w:rPr>
              <w:t>25</w:t>
            </w:r>
          </w:p>
        </w:tc>
      </w:tr>
    </w:tbl>
    <w:p w:rsidR="00D849AA" w:rsidRDefault="00D849AA">
      <w:pPr>
        <w:jc w:val="left"/>
      </w:pPr>
    </w:p>
    <w:p w:rsidR="00D849AA" w:rsidRDefault="00EE6D95">
      <w:pPr>
        <w:pStyle w:val="Naslov7"/>
      </w:pPr>
      <w:r>
        <w:t xml:space="preserve">Cilj 5. Daljnji razvoj sustava zaštite potrošača   </w:t>
      </w:r>
    </w:p>
    <w:p w:rsidR="00D849AA" w:rsidRDefault="00EE6D95">
      <w:pPr>
        <w:pStyle w:val="Normal6"/>
      </w:pPr>
      <w:r>
        <w:t xml:space="preserve">Centralni informacijski sustav za zaštitu potrošača (CISZP) je središnji informacijski sustav za informiranje potrošača o mogućnostima zaštite njihovih potrošačkih prava te prikupljanja, obrade i analize upita i prijava potrošača čime se nadležnim tijelima omogućava pravodobno poduzimanje mjera iz područja zaštite potrošača.  </w:t>
      </w:r>
    </w:p>
    <w:p w:rsidR="00D849AA" w:rsidRDefault="00EE6D95">
      <w:pPr>
        <w:pStyle w:val="Normal6"/>
      </w:pPr>
      <w:r>
        <w:t xml:space="preserve">Obzirom, na sve veći broj upita potrošača koji su prepoznali ovaj sustav kao važan mehanizam kojim mogu u svakom trenutku zatražiti odgovor na svoj upit kada smatraju da su ugrožena njihova potrošačka prava, te kojim se isto tako pružaju mogućnosti nadležnim tijelima da pravodobno poduzimaju mjere iz područja zaštite potrošača, u </w:t>
      </w:r>
      <w:r>
        <w:lastRenderedPageBreak/>
        <w:t xml:space="preserve">budućem razdoblju potrebno je osigurati stabilnost, raspoloživost i pouzdanost rada, te kontinuirano unapređivanje navedenog sustava. </w:t>
      </w:r>
    </w:p>
    <w:p w:rsidR="00D849AA" w:rsidRDefault="00EE6D95">
      <w:pPr>
        <w:pStyle w:val="Normal6"/>
      </w:pPr>
      <w:r>
        <w:t xml:space="preserve">Uz gore navedeno, potreban je i kontinuiran razvoj ostalih mehanizama za pomoć potrošačima kao što su:savjetovanje putem besplatnog telefona za potrošače, daljnje financiranje rada Savjetovališta za zaštitu potrošača, podizanje razine javne svijesti o važnosti zaštite potrošača organiziranjem konferencija, seminara, radionica, okruglih stolova, izdavanjem informativnog materijala za potrošače, stručnih časopisa, provođenjem kampanja putem javnih medija, putem informacija danih na Internet-portalu Ministarstva gospodarstva te provođenjem projekata informiranja i edukacije potrošača u suradnji s udrugama za zaštitu potrošača. </w:t>
      </w:r>
    </w:p>
    <w:p w:rsidR="00D849AA" w:rsidRDefault="00EE6D95">
      <w:pPr>
        <w:pStyle w:val="Normal6"/>
      </w:pPr>
      <w:r>
        <w:t>Udruge za zaštitu potrošača jedan su od važnijih dionika u provođenju politike zaštite potrošača. Slijedom toga, potrebno je kontinuirano institucionalno i administrativno jačati ovaj dio civilnog društva, a kako bi na profesionalnoj razini provodilo savjetovanje, odnosno informiranje i edukaciju potrošača.</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0E4589" w:rsidRDefault="00EE6D95">
            <w:pPr>
              <w:rPr>
                <w:rFonts w:ascii="Arial" w:hAnsi="Arial" w:cs="Arial"/>
              </w:rPr>
            </w:pPr>
            <w:r w:rsidRPr="000E4589">
              <w:rPr>
                <w:rFonts w:ascii="Arial" w:hAnsi="Arial" w:cs="Arial"/>
              </w:rPr>
              <w:t>Pokazatelj učinka</w:t>
            </w:r>
          </w:p>
        </w:tc>
        <w:tc>
          <w:tcPr>
            <w:tcW w:w="1114" w:type="dxa"/>
            <w:shd w:val="clear" w:color="auto" w:fill="B5C0D8"/>
          </w:tcPr>
          <w:p w:rsidR="00D849AA" w:rsidRPr="000E4589" w:rsidRDefault="00EE6D95">
            <w:pPr>
              <w:pStyle w:val="CellHeader"/>
            </w:pPr>
            <w:r w:rsidRPr="000E4589">
              <w:t>Jedinica</w:t>
            </w:r>
          </w:p>
        </w:tc>
        <w:tc>
          <w:tcPr>
            <w:tcW w:w="1114" w:type="dxa"/>
            <w:shd w:val="clear" w:color="auto" w:fill="B5C0D8"/>
          </w:tcPr>
          <w:p w:rsidR="00D849AA" w:rsidRPr="000E4589" w:rsidRDefault="00EE6D95">
            <w:pPr>
              <w:pStyle w:val="CellHeader"/>
            </w:pPr>
            <w:r w:rsidRPr="000E4589">
              <w:t>Polazna vrijednost</w:t>
            </w:r>
          </w:p>
        </w:tc>
        <w:tc>
          <w:tcPr>
            <w:tcW w:w="1486" w:type="dxa"/>
            <w:shd w:val="clear" w:color="auto" w:fill="B5C0D8"/>
          </w:tcPr>
          <w:p w:rsidR="00D849AA" w:rsidRPr="000E4589" w:rsidRDefault="00EE6D95">
            <w:pPr>
              <w:pStyle w:val="CellHeader"/>
            </w:pPr>
            <w:r w:rsidRPr="000E4589">
              <w:t>Ciljana vrijednost (2014.)</w:t>
            </w:r>
          </w:p>
        </w:tc>
        <w:tc>
          <w:tcPr>
            <w:tcW w:w="1486" w:type="dxa"/>
            <w:shd w:val="clear" w:color="auto" w:fill="B5C0D8"/>
          </w:tcPr>
          <w:p w:rsidR="00D849AA" w:rsidRPr="000E4589" w:rsidRDefault="00EE6D95">
            <w:pPr>
              <w:pStyle w:val="CellHeader"/>
            </w:pPr>
            <w:r w:rsidRPr="000E4589">
              <w:t>Ciljana vrijednost (2015.)</w:t>
            </w:r>
          </w:p>
        </w:tc>
        <w:tc>
          <w:tcPr>
            <w:tcW w:w="1486" w:type="dxa"/>
            <w:shd w:val="clear" w:color="auto" w:fill="B5C0D8"/>
          </w:tcPr>
          <w:p w:rsidR="00D849AA" w:rsidRPr="000E4589" w:rsidRDefault="00EE6D95">
            <w:pPr>
              <w:pStyle w:val="CellHeader"/>
            </w:pPr>
            <w:r w:rsidRPr="000E4589">
              <w:t>Ciljana vrijednost (2016.)</w:t>
            </w:r>
          </w:p>
        </w:tc>
      </w:tr>
      <w:tr w:rsidR="00D849AA">
        <w:trPr>
          <w:jc w:val="center"/>
        </w:trPr>
        <w:tc>
          <w:tcPr>
            <w:tcW w:w="2229" w:type="dxa"/>
          </w:tcPr>
          <w:p w:rsidR="00D849AA" w:rsidRPr="000E4589" w:rsidRDefault="00EE6D95">
            <w:pPr>
              <w:pStyle w:val="CellColumn"/>
            </w:pPr>
            <w:r w:rsidRPr="000E4589">
              <w:t>Broj riješenih upita potrošača u Centralnom informacijskom sustavu za zaštitu potrošača</w:t>
            </w:r>
          </w:p>
        </w:tc>
        <w:tc>
          <w:tcPr>
            <w:tcW w:w="1114" w:type="dxa"/>
          </w:tcPr>
          <w:p w:rsidR="00D849AA" w:rsidRPr="000E4589" w:rsidRDefault="00EE6D95">
            <w:pPr>
              <w:rPr>
                <w:rFonts w:ascii="Arial" w:hAnsi="Arial" w:cs="Arial"/>
              </w:rPr>
            </w:pPr>
            <w:r w:rsidRPr="000E4589">
              <w:rPr>
                <w:rFonts w:ascii="Arial" w:hAnsi="Arial" w:cs="Arial"/>
              </w:rPr>
              <w:t>Broj</w:t>
            </w:r>
          </w:p>
        </w:tc>
        <w:tc>
          <w:tcPr>
            <w:tcW w:w="1114" w:type="dxa"/>
          </w:tcPr>
          <w:p w:rsidR="00D849AA" w:rsidRPr="000E4589" w:rsidRDefault="00EE6D95">
            <w:pPr>
              <w:rPr>
                <w:rFonts w:ascii="Arial" w:hAnsi="Arial" w:cs="Arial"/>
              </w:rPr>
            </w:pPr>
            <w:r w:rsidRPr="000E4589">
              <w:rPr>
                <w:rFonts w:ascii="Arial" w:hAnsi="Arial" w:cs="Arial"/>
              </w:rPr>
              <w:t>3100</w:t>
            </w:r>
          </w:p>
        </w:tc>
        <w:tc>
          <w:tcPr>
            <w:tcW w:w="1486" w:type="dxa"/>
          </w:tcPr>
          <w:p w:rsidR="00D849AA" w:rsidRPr="000E4589" w:rsidRDefault="00EE6D95">
            <w:pPr>
              <w:rPr>
                <w:rFonts w:ascii="Arial" w:hAnsi="Arial" w:cs="Arial"/>
              </w:rPr>
            </w:pPr>
            <w:r w:rsidRPr="000E4589">
              <w:rPr>
                <w:rFonts w:ascii="Arial" w:hAnsi="Arial" w:cs="Arial"/>
              </w:rPr>
              <w:t>3500</w:t>
            </w:r>
          </w:p>
        </w:tc>
        <w:tc>
          <w:tcPr>
            <w:tcW w:w="1486" w:type="dxa"/>
          </w:tcPr>
          <w:p w:rsidR="00D849AA" w:rsidRPr="000E4589" w:rsidRDefault="00EE6D95">
            <w:pPr>
              <w:rPr>
                <w:rFonts w:ascii="Arial" w:hAnsi="Arial" w:cs="Arial"/>
              </w:rPr>
            </w:pPr>
            <w:r w:rsidRPr="000E4589">
              <w:rPr>
                <w:rFonts w:ascii="Arial" w:hAnsi="Arial" w:cs="Arial"/>
              </w:rPr>
              <w:t>3500</w:t>
            </w:r>
          </w:p>
        </w:tc>
        <w:tc>
          <w:tcPr>
            <w:tcW w:w="1486" w:type="dxa"/>
          </w:tcPr>
          <w:p w:rsidR="00D849AA" w:rsidRPr="000E4589" w:rsidRDefault="00EE6D95">
            <w:pPr>
              <w:rPr>
                <w:rFonts w:ascii="Arial" w:hAnsi="Arial" w:cs="Arial"/>
              </w:rPr>
            </w:pPr>
            <w:r w:rsidRPr="000E4589">
              <w:rPr>
                <w:rFonts w:ascii="Arial" w:hAnsi="Arial" w:cs="Arial"/>
              </w:rPr>
              <w:t>3500</w:t>
            </w:r>
          </w:p>
        </w:tc>
      </w:tr>
      <w:tr w:rsidR="00D849AA">
        <w:trPr>
          <w:jc w:val="center"/>
        </w:trPr>
        <w:tc>
          <w:tcPr>
            <w:tcW w:w="2229" w:type="dxa"/>
          </w:tcPr>
          <w:p w:rsidR="00D849AA" w:rsidRPr="000E4589" w:rsidRDefault="00EE6D95">
            <w:pPr>
              <w:pStyle w:val="CellColumn"/>
            </w:pPr>
            <w:r w:rsidRPr="000E4589">
              <w:t>Broj pruženih savjeta putem besplatnog telefona</w:t>
            </w:r>
          </w:p>
        </w:tc>
        <w:tc>
          <w:tcPr>
            <w:tcW w:w="1114" w:type="dxa"/>
          </w:tcPr>
          <w:p w:rsidR="00D849AA" w:rsidRPr="000E4589" w:rsidRDefault="00EE6D95">
            <w:pPr>
              <w:rPr>
                <w:rFonts w:ascii="Arial" w:hAnsi="Arial" w:cs="Arial"/>
              </w:rPr>
            </w:pPr>
            <w:r w:rsidRPr="000E4589">
              <w:rPr>
                <w:rFonts w:ascii="Arial" w:hAnsi="Arial" w:cs="Arial"/>
              </w:rPr>
              <w:t>Broj</w:t>
            </w:r>
          </w:p>
        </w:tc>
        <w:tc>
          <w:tcPr>
            <w:tcW w:w="1114" w:type="dxa"/>
          </w:tcPr>
          <w:p w:rsidR="00D849AA" w:rsidRPr="000E4589" w:rsidRDefault="00EE6D95">
            <w:pPr>
              <w:rPr>
                <w:rFonts w:ascii="Arial" w:hAnsi="Arial" w:cs="Arial"/>
              </w:rPr>
            </w:pPr>
            <w:r w:rsidRPr="000E4589">
              <w:rPr>
                <w:rFonts w:ascii="Arial" w:hAnsi="Arial" w:cs="Arial"/>
              </w:rPr>
              <w:t>450</w:t>
            </w:r>
          </w:p>
        </w:tc>
        <w:tc>
          <w:tcPr>
            <w:tcW w:w="1486" w:type="dxa"/>
          </w:tcPr>
          <w:p w:rsidR="00D849AA" w:rsidRPr="000E4589" w:rsidRDefault="00EE6D95">
            <w:pPr>
              <w:rPr>
                <w:rFonts w:ascii="Arial" w:hAnsi="Arial" w:cs="Arial"/>
              </w:rPr>
            </w:pPr>
            <w:r w:rsidRPr="000E4589">
              <w:rPr>
                <w:rFonts w:ascii="Arial" w:hAnsi="Arial" w:cs="Arial"/>
              </w:rPr>
              <w:t>500</w:t>
            </w:r>
          </w:p>
        </w:tc>
        <w:tc>
          <w:tcPr>
            <w:tcW w:w="1486" w:type="dxa"/>
          </w:tcPr>
          <w:p w:rsidR="00D849AA" w:rsidRPr="000E4589" w:rsidRDefault="00EE6D95">
            <w:pPr>
              <w:rPr>
                <w:rFonts w:ascii="Arial" w:hAnsi="Arial" w:cs="Arial"/>
              </w:rPr>
            </w:pPr>
            <w:r w:rsidRPr="000E4589">
              <w:rPr>
                <w:rFonts w:ascii="Arial" w:hAnsi="Arial" w:cs="Arial"/>
              </w:rPr>
              <w:t>500</w:t>
            </w:r>
          </w:p>
        </w:tc>
        <w:tc>
          <w:tcPr>
            <w:tcW w:w="1486" w:type="dxa"/>
          </w:tcPr>
          <w:p w:rsidR="00D849AA" w:rsidRPr="000E4589" w:rsidRDefault="00EE6D95">
            <w:pPr>
              <w:rPr>
                <w:rFonts w:ascii="Arial" w:hAnsi="Arial" w:cs="Arial"/>
              </w:rPr>
            </w:pPr>
            <w:r w:rsidRPr="000E4589">
              <w:rPr>
                <w:rFonts w:ascii="Arial" w:hAnsi="Arial" w:cs="Arial"/>
              </w:rPr>
              <w:t>500</w:t>
            </w:r>
          </w:p>
        </w:tc>
      </w:tr>
      <w:tr w:rsidR="00D849AA">
        <w:trPr>
          <w:jc w:val="center"/>
        </w:trPr>
        <w:tc>
          <w:tcPr>
            <w:tcW w:w="2229" w:type="dxa"/>
          </w:tcPr>
          <w:p w:rsidR="00D849AA" w:rsidRPr="000E4589" w:rsidRDefault="00EE6D95">
            <w:pPr>
              <w:pStyle w:val="CellColumn"/>
            </w:pPr>
            <w:r w:rsidRPr="000E4589">
              <w:t>Broj pruženih savjeta putem Savjetovališta za zaštitu potrošača</w:t>
            </w:r>
          </w:p>
        </w:tc>
        <w:tc>
          <w:tcPr>
            <w:tcW w:w="1114" w:type="dxa"/>
          </w:tcPr>
          <w:p w:rsidR="00D849AA" w:rsidRPr="000E4589" w:rsidRDefault="00EE6D95">
            <w:pPr>
              <w:rPr>
                <w:rFonts w:ascii="Arial" w:hAnsi="Arial" w:cs="Arial"/>
              </w:rPr>
            </w:pPr>
            <w:r w:rsidRPr="000E4589">
              <w:rPr>
                <w:rFonts w:ascii="Arial" w:hAnsi="Arial" w:cs="Arial"/>
              </w:rPr>
              <w:t>Broj</w:t>
            </w:r>
          </w:p>
        </w:tc>
        <w:tc>
          <w:tcPr>
            <w:tcW w:w="1114" w:type="dxa"/>
          </w:tcPr>
          <w:p w:rsidR="00D849AA" w:rsidRPr="000E4589" w:rsidRDefault="00EE6D95">
            <w:pPr>
              <w:rPr>
                <w:rFonts w:ascii="Arial" w:hAnsi="Arial" w:cs="Arial"/>
              </w:rPr>
            </w:pPr>
            <w:r w:rsidRPr="000E4589">
              <w:rPr>
                <w:rFonts w:ascii="Arial" w:hAnsi="Arial" w:cs="Arial"/>
              </w:rPr>
              <w:t>19507</w:t>
            </w:r>
          </w:p>
        </w:tc>
        <w:tc>
          <w:tcPr>
            <w:tcW w:w="1486" w:type="dxa"/>
          </w:tcPr>
          <w:p w:rsidR="00D849AA" w:rsidRPr="000E4589" w:rsidRDefault="00EE6D95">
            <w:pPr>
              <w:rPr>
                <w:rFonts w:ascii="Arial" w:hAnsi="Arial" w:cs="Arial"/>
              </w:rPr>
            </w:pPr>
            <w:r w:rsidRPr="000E4589">
              <w:rPr>
                <w:rFonts w:ascii="Arial" w:hAnsi="Arial" w:cs="Arial"/>
              </w:rPr>
              <w:t>20000</w:t>
            </w:r>
          </w:p>
        </w:tc>
        <w:tc>
          <w:tcPr>
            <w:tcW w:w="1486" w:type="dxa"/>
          </w:tcPr>
          <w:p w:rsidR="00D849AA" w:rsidRPr="000E4589" w:rsidRDefault="00EE6D95">
            <w:pPr>
              <w:rPr>
                <w:rFonts w:ascii="Arial" w:hAnsi="Arial" w:cs="Arial"/>
              </w:rPr>
            </w:pPr>
            <w:r w:rsidRPr="000E4589">
              <w:rPr>
                <w:rFonts w:ascii="Arial" w:hAnsi="Arial" w:cs="Arial"/>
              </w:rPr>
              <w:t>20000</w:t>
            </w:r>
          </w:p>
        </w:tc>
        <w:tc>
          <w:tcPr>
            <w:tcW w:w="1486" w:type="dxa"/>
          </w:tcPr>
          <w:p w:rsidR="00D849AA" w:rsidRPr="000E4589" w:rsidRDefault="00EE6D95">
            <w:pPr>
              <w:rPr>
                <w:rFonts w:ascii="Arial" w:hAnsi="Arial" w:cs="Arial"/>
              </w:rPr>
            </w:pPr>
            <w:r w:rsidRPr="000E4589">
              <w:rPr>
                <w:rFonts w:ascii="Arial" w:hAnsi="Arial" w:cs="Arial"/>
              </w:rPr>
              <w:t>20000</w:t>
            </w:r>
          </w:p>
        </w:tc>
      </w:tr>
    </w:tbl>
    <w:p w:rsidR="00D849AA" w:rsidRDefault="00D849AA">
      <w:pPr>
        <w:jc w:val="left"/>
      </w:pPr>
    </w:p>
    <w:p w:rsidR="00D849AA" w:rsidRDefault="00EE6D95">
      <w:pPr>
        <w:pStyle w:val="Naslov5"/>
      </w:pPr>
      <w:r>
        <w:t>Procjena i ishodište potrebnih sredstava za značajnije aktivnosti/projekte</w:t>
      </w:r>
    </w:p>
    <w:p w:rsidR="00D849AA" w:rsidRDefault="00EE6D95">
      <w:pPr>
        <w:pStyle w:val="Naslov6"/>
      </w:pPr>
      <w:r>
        <w:t>A560054 NACIONALNI PROGRAM ZA  ZAŠTITU POTROŠAČA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rsidRPr="000E4589">
        <w:trPr>
          <w:jc w:val="center"/>
        </w:trPr>
        <w:tc>
          <w:tcPr>
            <w:tcW w:w="1486" w:type="dxa"/>
            <w:shd w:val="clear" w:color="auto" w:fill="B5C0D8"/>
          </w:tcPr>
          <w:p w:rsidR="00D849AA" w:rsidRPr="000E4589" w:rsidRDefault="00EE6D95">
            <w:pPr>
              <w:pStyle w:val="CellHeader"/>
            </w:pPr>
            <w:r w:rsidRPr="000E4589">
              <w:t>Naziv aktivnosti</w:t>
            </w:r>
          </w:p>
        </w:tc>
        <w:tc>
          <w:tcPr>
            <w:tcW w:w="1486" w:type="dxa"/>
            <w:shd w:val="clear" w:color="auto" w:fill="B5C0D8"/>
          </w:tcPr>
          <w:p w:rsidR="00D849AA" w:rsidRPr="000E4589" w:rsidRDefault="00EE6D95">
            <w:pPr>
              <w:pStyle w:val="CellHeader"/>
            </w:pPr>
            <w:r w:rsidRPr="000E4589">
              <w:t>Plan 2013.</w:t>
            </w:r>
          </w:p>
        </w:tc>
        <w:tc>
          <w:tcPr>
            <w:tcW w:w="1486" w:type="dxa"/>
            <w:shd w:val="clear" w:color="auto" w:fill="B5C0D8"/>
          </w:tcPr>
          <w:p w:rsidR="00D849AA" w:rsidRPr="000E4589" w:rsidRDefault="00EE6D95">
            <w:pPr>
              <w:pStyle w:val="CellHeader"/>
            </w:pPr>
            <w:r w:rsidRPr="000E4589">
              <w:t>Plan 2014.</w:t>
            </w:r>
          </w:p>
        </w:tc>
        <w:tc>
          <w:tcPr>
            <w:tcW w:w="1486" w:type="dxa"/>
            <w:shd w:val="clear" w:color="auto" w:fill="B5C0D8"/>
          </w:tcPr>
          <w:p w:rsidR="00D849AA" w:rsidRPr="000E4589" w:rsidRDefault="00EE6D95">
            <w:pPr>
              <w:pStyle w:val="CellHeader"/>
            </w:pPr>
            <w:r w:rsidRPr="000E4589">
              <w:t>Plan 2015.</w:t>
            </w:r>
          </w:p>
        </w:tc>
        <w:tc>
          <w:tcPr>
            <w:tcW w:w="1486" w:type="dxa"/>
            <w:shd w:val="clear" w:color="auto" w:fill="B5C0D8"/>
          </w:tcPr>
          <w:p w:rsidR="00D849AA" w:rsidRPr="000E4589" w:rsidRDefault="00EE6D95">
            <w:pPr>
              <w:pStyle w:val="CellHeader"/>
            </w:pPr>
            <w:r w:rsidRPr="000E4589">
              <w:t>Plan 2016.</w:t>
            </w:r>
          </w:p>
        </w:tc>
        <w:tc>
          <w:tcPr>
            <w:tcW w:w="1486" w:type="dxa"/>
            <w:shd w:val="clear" w:color="auto" w:fill="B5C0D8"/>
          </w:tcPr>
          <w:p w:rsidR="00D849AA" w:rsidRPr="000E4589" w:rsidRDefault="00EE6D95">
            <w:pPr>
              <w:pStyle w:val="CellHeader"/>
            </w:pPr>
            <w:r w:rsidRPr="000E4589">
              <w:t>Indeks 2014/2013</w:t>
            </w:r>
          </w:p>
        </w:tc>
      </w:tr>
      <w:tr w:rsidR="00D849AA" w:rsidRPr="000E4589">
        <w:trPr>
          <w:jc w:val="center"/>
        </w:trPr>
        <w:tc>
          <w:tcPr>
            <w:tcW w:w="1486" w:type="dxa"/>
          </w:tcPr>
          <w:p w:rsidR="00D849AA" w:rsidRPr="000E4589" w:rsidRDefault="00EE6D95">
            <w:pPr>
              <w:pStyle w:val="CellColumn"/>
            </w:pPr>
            <w:r w:rsidRPr="000E4589">
              <w:t>A560054</w:t>
            </w:r>
          </w:p>
        </w:tc>
        <w:tc>
          <w:tcPr>
            <w:tcW w:w="1486" w:type="dxa"/>
          </w:tcPr>
          <w:p w:rsidR="00D849AA" w:rsidRPr="000E4589" w:rsidRDefault="00EE6D95">
            <w:pPr>
              <w:rPr>
                <w:rFonts w:ascii="Arial" w:hAnsi="Arial" w:cs="Arial"/>
              </w:rPr>
            </w:pPr>
            <w:r w:rsidRPr="000E4589">
              <w:rPr>
                <w:rFonts w:ascii="Arial" w:hAnsi="Arial" w:cs="Arial"/>
              </w:rPr>
              <w:t>2.010.000</w:t>
            </w:r>
          </w:p>
        </w:tc>
        <w:tc>
          <w:tcPr>
            <w:tcW w:w="1486" w:type="dxa"/>
          </w:tcPr>
          <w:p w:rsidR="00D849AA" w:rsidRPr="000E4589" w:rsidRDefault="00EE6D95">
            <w:pPr>
              <w:rPr>
                <w:rFonts w:ascii="Arial" w:hAnsi="Arial" w:cs="Arial"/>
              </w:rPr>
            </w:pPr>
            <w:r w:rsidRPr="000E4589">
              <w:rPr>
                <w:rFonts w:ascii="Arial" w:hAnsi="Arial" w:cs="Arial"/>
              </w:rPr>
              <w:t>2.010.000</w:t>
            </w:r>
          </w:p>
        </w:tc>
        <w:tc>
          <w:tcPr>
            <w:tcW w:w="1486" w:type="dxa"/>
          </w:tcPr>
          <w:p w:rsidR="00D849AA" w:rsidRPr="000E4589" w:rsidRDefault="00EE6D95">
            <w:pPr>
              <w:rPr>
                <w:rFonts w:ascii="Arial" w:hAnsi="Arial" w:cs="Arial"/>
              </w:rPr>
            </w:pPr>
            <w:r w:rsidRPr="000E4589">
              <w:rPr>
                <w:rFonts w:ascii="Arial" w:hAnsi="Arial" w:cs="Arial"/>
              </w:rPr>
              <w:t>2.010.000</w:t>
            </w:r>
          </w:p>
        </w:tc>
        <w:tc>
          <w:tcPr>
            <w:tcW w:w="1486" w:type="dxa"/>
          </w:tcPr>
          <w:p w:rsidR="00D849AA" w:rsidRPr="000E4589" w:rsidRDefault="00EE6D95">
            <w:pPr>
              <w:rPr>
                <w:rFonts w:ascii="Arial" w:hAnsi="Arial" w:cs="Arial"/>
              </w:rPr>
            </w:pPr>
            <w:r w:rsidRPr="000E4589">
              <w:rPr>
                <w:rFonts w:ascii="Arial" w:hAnsi="Arial" w:cs="Arial"/>
              </w:rPr>
              <w:t>2.010.000</w:t>
            </w:r>
          </w:p>
        </w:tc>
        <w:tc>
          <w:tcPr>
            <w:tcW w:w="1486" w:type="dxa"/>
          </w:tcPr>
          <w:p w:rsidR="00D849AA" w:rsidRPr="000E4589" w:rsidRDefault="00EE6D95">
            <w:pPr>
              <w:rPr>
                <w:rFonts w:ascii="Arial" w:hAnsi="Arial" w:cs="Arial"/>
              </w:rPr>
            </w:pPr>
            <w:r w:rsidRPr="000E4589">
              <w:rPr>
                <w:rFonts w:ascii="Arial" w:hAnsi="Arial" w:cs="Arial"/>
              </w:rPr>
              <w:t>100,0</w:t>
            </w:r>
          </w:p>
        </w:tc>
      </w:tr>
    </w:tbl>
    <w:p w:rsidR="00D849AA" w:rsidRPr="000E4589" w:rsidRDefault="00D849AA">
      <w:pPr>
        <w:jc w:val="left"/>
        <w:rPr>
          <w:rFonts w:ascii="Arial" w:hAnsi="Arial" w:cs="Arial"/>
        </w:rPr>
      </w:pPr>
    </w:p>
    <w:p w:rsidR="00D849AA" w:rsidRDefault="00EE6D95">
      <w:pPr>
        <w:pStyle w:val="Normal6"/>
      </w:pPr>
      <w:r>
        <w:t xml:space="preserve">Provođenje javne kampanje u cilju podizanja svijesti, tiskanje brošura, organizacija konferencije, okruglih stolova, edukacija. Provođenje aktivnosti uz korištenje vanjskih suradnika i sl. </w:t>
      </w:r>
    </w:p>
    <w:p w:rsidR="00D849AA" w:rsidRDefault="00EE6D95">
      <w:pPr>
        <w:pStyle w:val="Normal6"/>
      </w:pPr>
      <w:r>
        <w:t xml:space="preserve">Centralni informacijski sustav zaštite potrošača (CISZP)- tekuće održavanje sustava </w:t>
      </w:r>
    </w:p>
    <w:p w:rsidR="00D849AA" w:rsidRDefault="00EE6D95">
      <w:pPr>
        <w:pStyle w:val="Normal6"/>
      </w:pPr>
      <w:r>
        <w:lastRenderedPageBreak/>
        <w:t>Financijska potpora za provođenje projekata udruga za zaštitu potrošača "Besplatno savjetovanje potrošača" u iznosu od 1.300.000,00  i projekta "Informiranje i edukacija potrošača" u iznosu od 250.000,00 kn.</w:t>
      </w:r>
    </w:p>
    <w:p w:rsidR="00D849AA" w:rsidRDefault="00EE6D95">
      <w:pPr>
        <w:pStyle w:val="Naslov6"/>
      </w:pPr>
      <w:r>
        <w:t>A822025 RAZVITAK ELEKTRONIČKOG POSLOVANJA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rsidRPr="000E4589">
        <w:trPr>
          <w:jc w:val="center"/>
        </w:trPr>
        <w:tc>
          <w:tcPr>
            <w:tcW w:w="1486" w:type="dxa"/>
            <w:shd w:val="clear" w:color="auto" w:fill="B5C0D8"/>
          </w:tcPr>
          <w:p w:rsidR="00D849AA" w:rsidRPr="000E4589" w:rsidRDefault="00EE6D95">
            <w:pPr>
              <w:pStyle w:val="CellHeader"/>
            </w:pPr>
            <w:r w:rsidRPr="000E4589">
              <w:t>Naziv aktivnosti</w:t>
            </w:r>
          </w:p>
        </w:tc>
        <w:tc>
          <w:tcPr>
            <w:tcW w:w="1486" w:type="dxa"/>
            <w:shd w:val="clear" w:color="auto" w:fill="B5C0D8"/>
          </w:tcPr>
          <w:p w:rsidR="00D849AA" w:rsidRPr="000E4589" w:rsidRDefault="00EE6D95">
            <w:pPr>
              <w:pStyle w:val="CellHeader"/>
            </w:pPr>
            <w:r w:rsidRPr="000E4589">
              <w:t>Plan 2013.</w:t>
            </w:r>
          </w:p>
        </w:tc>
        <w:tc>
          <w:tcPr>
            <w:tcW w:w="1486" w:type="dxa"/>
            <w:shd w:val="clear" w:color="auto" w:fill="B5C0D8"/>
          </w:tcPr>
          <w:p w:rsidR="00D849AA" w:rsidRPr="000E4589" w:rsidRDefault="00EE6D95">
            <w:pPr>
              <w:pStyle w:val="CellHeader"/>
            </w:pPr>
            <w:r w:rsidRPr="000E4589">
              <w:t>Plan 2014.</w:t>
            </w:r>
          </w:p>
        </w:tc>
        <w:tc>
          <w:tcPr>
            <w:tcW w:w="1486" w:type="dxa"/>
            <w:shd w:val="clear" w:color="auto" w:fill="B5C0D8"/>
          </w:tcPr>
          <w:p w:rsidR="00D849AA" w:rsidRPr="000E4589" w:rsidRDefault="00EE6D95">
            <w:pPr>
              <w:pStyle w:val="CellHeader"/>
            </w:pPr>
            <w:r w:rsidRPr="000E4589">
              <w:t>Plan 2015.</w:t>
            </w:r>
          </w:p>
        </w:tc>
        <w:tc>
          <w:tcPr>
            <w:tcW w:w="1486" w:type="dxa"/>
            <w:shd w:val="clear" w:color="auto" w:fill="B5C0D8"/>
          </w:tcPr>
          <w:p w:rsidR="00D849AA" w:rsidRPr="000E4589" w:rsidRDefault="00EE6D95">
            <w:pPr>
              <w:pStyle w:val="CellHeader"/>
            </w:pPr>
            <w:r w:rsidRPr="000E4589">
              <w:t>Plan 2016.</w:t>
            </w:r>
          </w:p>
        </w:tc>
        <w:tc>
          <w:tcPr>
            <w:tcW w:w="1486" w:type="dxa"/>
            <w:shd w:val="clear" w:color="auto" w:fill="B5C0D8"/>
          </w:tcPr>
          <w:p w:rsidR="00D849AA" w:rsidRPr="000E4589" w:rsidRDefault="00EE6D95">
            <w:pPr>
              <w:pStyle w:val="CellHeader"/>
            </w:pPr>
            <w:r w:rsidRPr="000E4589">
              <w:t>Indeks 2014/2013</w:t>
            </w:r>
          </w:p>
        </w:tc>
      </w:tr>
      <w:tr w:rsidR="00D849AA" w:rsidRPr="000E4589">
        <w:trPr>
          <w:jc w:val="center"/>
        </w:trPr>
        <w:tc>
          <w:tcPr>
            <w:tcW w:w="1486" w:type="dxa"/>
          </w:tcPr>
          <w:p w:rsidR="00D849AA" w:rsidRPr="000E4589" w:rsidRDefault="00EE6D95">
            <w:pPr>
              <w:pStyle w:val="CellColumn"/>
            </w:pPr>
            <w:r w:rsidRPr="000E4589">
              <w:t>A822025</w:t>
            </w:r>
          </w:p>
        </w:tc>
        <w:tc>
          <w:tcPr>
            <w:tcW w:w="1486" w:type="dxa"/>
          </w:tcPr>
          <w:p w:rsidR="00D849AA" w:rsidRPr="000E4589" w:rsidRDefault="00EE6D95">
            <w:pPr>
              <w:rPr>
                <w:rFonts w:ascii="Arial" w:hAnsi="Arial" w:cs="Arial"/>
              </w:rPr>
            </w:pPr>
            <w:r w:rsidRPr="000E4589">
              <w:rPr>
                <w:rFonts w:ascii="Arial" w:hAnsi="Arial" w:cs="Arial"/>
              </w:rPr>
              <w:t>1.350.000</w:t>
            </w:r>
          </w:p>
        </w:tc>
        <w:tc>
          <w:tcPr>
            <w:tcW w:w="1486" w:type="dxa"/>
          </w:tcPr>
          <w:p w:rsidR="00D849AA" w:rsidRPr="000E4589" w:rsidRDefault="00EE6D95">
            <w:pPr>
              <w:rPr>
                <w:rFonts w:ascii="Arial" w:hAnsi="Arial" w:cs="Arial"/>
              </w:rPr>
            </w:pPr>
            <w:r w:rsidRPr="000E4589">
              <w:rPr>
                <w:rFonts w:ascii="Arial" w:hAnsi="Arial" w:cs="Arial"/>
              </w:rPr>
              <w:t>1.300.000</w:t>
            </w:r>
          </w:p>
        </w:tc>
        <w:tc>
          <w:tcPr>
            <w:tcW w:w="1486" w:type="dxa"/>
          </w:tcPr>
          <w:p w:rsidR="00D849AA" w:rsidRPr="000E4589" w:rsidRDefault="00EE6D95">
            <w:pPr>
              <w:rPr>
                <w:rFonts w:ascii="Arial" w:hAnsi="Arial" w:cs="Arial"/>
              </w:rPr>
            </w:pPr>
            <w:r w:rsidRPr="000E4589">
              <w:rPr>
                <w:rFonts w:ascii="Arial" w:hAnsi="Arial" w:cs="Arial"/>
              </w:rPr>
              <w:t>1.200.000</w:t>
            </w:r>
          </w:p>
        </w:tc>
        <w:tc>
          <w:tcPr>
            <w:tcW w:w="1486" w:type="dxa"/>
          </w:tcPr>
          <w:p w:rsidR="00D849AA" w:rsidRPr="000E4589" w:rsidRDefault="00EE6D95">
            <w:pPr>
              <w:rPr>
                <w:rFonts w:ascii="Arial" w:hAnsi="Arial" w:cs="Arial"/>
              </w:rPr>
            </w:pPr>
            <w:r w:rsidRPr="000E4589">
              <w:rPr>
                <w:rFonts w:ascii="Arial" w:hAnsi="Arial" w:cs="Arial"/>
              </w:rPr>
              <w:t>1.200.000</w:t>
            </w:r>
          </w:p>
        </w:tc>
        <w:tc>
          <w:tcPr>
            <w:tcW w:w="1486" w:type="dxa"/>
          </w:tcPr>
          <w:p w:rsidR="00D849AA" w:rsidRPr="000E4589" w:rsidRDefault="00EE6D95">
            <w:pPr>
              <w:rPr>
                <w:rFonts w:ascii="Arial" w:hAnsi="Arial" w:cs="Arial"/>
              </w:rPr>
            </w:pPr>
            <w:r w:rsidRPr="000E4589">
              <w:rPr>
                <w:rFonts w:ascii="Arial" w:hAnsi="Arial" w:cs="Arial"/>
              </w:rPr>
              <w:t>96,3</w:t>
            </w:r>
          </w:p>
        </w:tc>
      </w:tr>
    </w:tbl>
    <w:p w:rsidR="00D849AA" w:rsidRPr="000E4589" w:rsidRDefault="00D849AA">
      <w:pPr>
        <w:jc w:val="left"/>
        <w:rPr>
          <w:rFonts w:ascii="Arial" w:hAnsi="Arial" w:cs="Arial"/>
        </w:rPr>
      </w:pPr>
    </w:p>
    <w:p w:rsidR="00D849AA" w:rsidRDefault="00EE6D95">
      <w:pPr>
        <w:pStyle w:val="Normal6"/>
      </w:pPr>
      <w:r>
        <w:t>Ministarstvo gospodarstva ima  status (nacionalnog) ovjerovitelja davatelja usluga certificiranja (NCARH) za Republiku Hrvatsku te vodi Evidenciju davatelja usluga certificiranja. Za usluge tehničke potpore i održavanja nacionalnog davatelja usluga certificiranja za Republiku Hrvatsku (NCARH), poslovi su povjereni Financijskoj agenciji (FINA), kao jedinom evidentiranom davatelju usluga izdavanja kvalificiranih certifikata u Republici Hrvatskoj.  Nadalje, Ministarstvo gospodarstva će u suradnji s Hrvatskom akreditacijskom agencijom uspostaviti sustav dobrovoljne akreditacije davatelja usluga certificiranja u području elektroničkog potpisa.</w:t>
      </w:r>
    </w:p>
    <w:p w:rsidR="00D849AA" w:rsidRDefault="00EE6D95">
      <w:pPr>
        <w:pStyle w:val="Naslov6"/>
      </w:pPr>
      <w:r>
        <w:t>A822034 IPA 2010 JAČANJE ADMINISTRATIVNIH KAPACITETA ZA PROVEDBU DIREKTIVE O USLUGAMA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rsidRPr="000E4589">
        <w:trPr>
          <w:jc w:val="center"/>
        </w:trPr>
        <w:tc>
          <w:tcPr>
            <w:tcW w:w="1486" w:type="dxa"/>
            <w:shd w:val="clear" w:color="auto" w:fill="B5C0D8"/>
          </w:tcPr>
          <w:p w:rsidR="00D849AA" w:rsidRPr="000E4589" w:rsidRDefault="00EE6D95">
            <w:pPr>
              <w:pStyle w:val="CellHeader"/>
            </w:pPr>
            <w:r w:rsidRPr="000E4589">
              <w:t>Naziv aktivnosti</w:t>
            </w:r>
          </w:p>
        </w:tc>
        <w:tc>
          <w:tcPr>
            <w:tcW w:w="1486" w:type="dxa"/>
            <w:shd w:val="clear" w:color="auto" w:fill="B5C0D8"/>
          </w:tcPr>
          <w:p w:rsidR="00D849AA" w:rsidRPr="000E4589" w:rsidRDefault="00EE6D95">
            <w:pPr>
              <w:pStyle w:val="CellHeader"/>
            </w:pPr>
            <w:r w:rsidRPr="000E4589">
              <w:t>Plan 2013.</w:t>
            </w:r>
          </w:p>
        </w:tc>
        <w:tc>
          <w:tcPr>
            <w:tcW w:w="1486" w:type="dxa"/>
            <w:shd w:val="clear" w:color="auto" w:fill="B5C0D8"/>
          </w:tcPr>
          <w:p w:rsidR="00D849AA" w:rsidRPr="000E4589" w:rsidRDefault="00EE6D95">
            <w:pPr>
              <w:pStyle w:val="CellHeader"/>
            </w:pPr>
            <w:r w:rsidRPr="000E4589">
              <w:t>Plan 2014.</w:t>
            </w:r>
          </w:p>
        </w:tc>
        <w:tc>
          <w:tcPr>
            <w:tcW w:w="1486" w:type="dxa"/>
            <w:shd w:val="clear" w:color="auto" w:fill="B5C0D8"/>
          </w:tcPr>
          <w:p w:rsidR="00D849AA" w:rsidRPr="000E4589" w:rsidRDefault="00EE6D95">
            <w:pPr>
              <w:pStyle w:val="CellHeader"/>
            </w:pPr>
            <w:r w:rsidRPr="000E4589">
              <w:t>Plan 2015.</w:t>
            </w:r>
          </w:p>
        </w:tc>
        <w:tc>
          <w:tcPr>
            <w:tcW w:w="1486" w:type="dxa"/>
            <w:shd w:val="clear" w:color="auto" w:fill="B5C0D8"/>
          </w:tcPr>
          <w:p w:rsidR="00D849AA" w:rsidRPr="000E4589" w:rsidRDefault="00EE6D95">
            <w:pPr>
              <w:pStyle w:val="CellHeader"/>
            </w:pPr>
            <w:r w:rsidRPr="000E4589">
              <w:t>Plan 2016.</w:t>
            </w:r>
          </w:p>
        </w:tc>
        <w:tc>
          <w:tcPr>
            <w:tcW w:w="1486" w:type="dxa"/>
            <w:shd w:val="clear" w:color="auto" w:fill="B5C0D8"/>
          </w:tcPr>
          <w:p w:rsidR="00D849AA" w:rsidRPr="000E4589" w:rsidRDefault="00EE6D95">
            <w:pPr>
              <w:pStyle w:val="CellHeader"/>
            </w:pPr>
            <w:r w:rsidRPr="000E4589">
              <w:t>Indeks 2014/2013</w:t>
            </w:r>
          </w:p>
        </w:tc>
      </w:tr>
      <w:tr w:rsidR="00D849AA" w:rsidRPr="000E4589">
        <w:trPr>
          <w:jc w:val="center"/>
        </w:trPr>
        <w:tc>
          <w:tcPr>
            <w:tcW w:w="1486" w:type="dxa"/>
          </w:tcPr>
          <w:p w:rsidR="00D849AA" w:rsidRPr="000E4589" w:rsidRDefault="00EE6D95">
            <w:pPr>
              <w:pStyle w:val="CellColumn"/>
            </w:pPr>
            <w:r w:rsidRPr="000E4589">
              <w:t>A822034</w:t>
            </w:r>
          </w:p>
        </w:tc>
        <w:tc>
          <w:tcPr>
            <w:tcW w:w="1486" w:type="dxa"/>
          </w:tcPr>
          <w:p w:rsidR="00D849AA" w:rsidRPr="000E4589" w:rsidRDefault="00EE6D95">
            <w:pPr>
              <w:rPr>
                <w:rFonts w:ascii="Arial" w:hAnsi="Arial" w:cs="Arial"/>
              </w:rPr>
            </w:pPr>
            <w:r w:rsidRPr="000E4589">
              <w:rPr>
                <w:rFonts w:ascii="Arial" w:hAnsi="Arial" w:cs="Arial"/>
              </w:rPr>
              <w:t>360.000</w:t>
            </w:r>
          </w:p>
        </w:tc>
        <w:tc>
          <w:tcPr>
            <w:tcW w:w="1486" w:type="dxa"/>
          </w:tcPr>
          <w:p w:rsidR="00D849AA" w:rsidRPr="000E4589" w:rsidRDefault="00EE6D95">
            <w:pPr>
              <w:rPr>
                <w:rFonts w:ascii="Arial" w:hAnsi="Arial" w:cs="Arial"/>
              </w:rPr>
            </w:pPr>
            <w:r w:rsidRPr="000E4589">
              <w:rPr>
                <w:rFonts w:ascii="Arial" w:hAnsi="Arial" w:cs="Arial"/>
              </w:rPr>
              <w:t>360.000</w:t>
            </w:r>
          </w:p>
        </w:tc>
        <w:tc>
          <w:tcPr>
            <w:tcW w:w="1486" w:type="dxa"/>
          </w:tcPr>
          <w:p w:rsidR="00D849AA" w:rsidRPr="000E4589" w:rsidRDefault="00EE6D95">
            <w:pPr>
              <w:rPr>
                <w:rFonts w:ascii="Arial" w:hAnsi="Arial" w:cs="Arial"/>
              </w:rPr>
            </w:pPr>
            <w:r w:rsidRPr="000E4589">
              <w:rPr>
                <w:rFonts w:ascii="Arial" w:hAnsi="Arial" w:cs="Arial"/>
              </w:rPr>
              <w:t>00</w:t>
            </w:r>
          </w:p>
        </w:tc>
        <w:tc>
          <w:tcPr>
            <w:tcW w:w="1486" w:type="dxa"/>
          </w:tcPr>
          <w:p w:rsidR="00D849AA" w:rsidRPr="000E4589" w:rsidRDefault="00EE6D95">
            <w:pPr>
              <w:rPr>
                <w:rFonts w:ascii="Arial" w:hAnsi="Arial" w:cs="Arial"/>
              </w:rPr>
            </w:pPr>
            <w:r w:rsidRPr="000E4589">
              <w:rPr>
                <w:rFonts w:ascii="Arial" w:hAnsi="Arial" w:cs="Arial"/>
              </w:rPr>
              <w:t>00</w:t>
            </w:r>
          </w:p>
        </w:tc>
        <w:tc>
          <w:tcPr>
            <w:tcW w:w="1486" w:type="dxa"/>
          </w:tcPr>
          <w:p w:rsidR="00D849AA" w:rsidRPr="000E4589" w:rsidRDefault="00EE6D95">
            <w:pPr>
              <w:rPr>
                <w:rFonts w:ascii="Arial" w:hAnsi="Arial" w:cs="Arial"/>
              </w:rPr>
            </w:pPr>
            <w:r w:rsidRPr="000E4589">
              <w:rPr>
                <w:rFonts w:ascii="Arial" w:hAnsi="Arial" w:cs="Arial"/>
              </w:rPr>
              <w:t>100,0</w:t>
            </w:r>
          </w:p>
        </w:tc>
      </w:tr>
    </w:tbl>
    <w:p w:rsidR="00D849AA" w:rsidRPr="000E4589" w:rsidRDefault="00D849AA">
      <w:pPr>
        <w:jc w:val="left"/>
        <w:rPr>
          <w:rFonts w:ascii="Arial" w:hAnsi="Arial" w:cs="Arial"/>
        </w:rPr>
      </w:pPr>
    </w:p>
    <w:p w:rsidR="00D849AA" w:rsidRDefault="00EE6D95">
      <w:pPr>
        <w:pStyle w:val="Normal6"/>
      </w:pPr>
      <w:r>
        <w:t>Iznos odobrenih sredstava projekta jačanje hrvatskih administrativnih kapaciteta za implementaciju Direktive 2006/123/EZ o uslugama na unutarnjem tržištu, do pristupanja Republike Hrvatske u Europsku uniju je 222.222 EUR, od čega će Republika Hrvatska sufinancirati 10%, odnosno 22.222 EUR.</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440"/>
        <w:gridCol w:w="1114"/>
        <w:gridCol w:w="1486"/>
        <w:gridCol w:w="1486"/>
        <w:gridCol w:w="1486"/>
      </w:tblGrid>
      <w:tr w:rsidR="00D849AA">
        <w:trPr>
          <w:jc w:val="center"/>
        </w:trPr>
        <w:tc>
          <w:tcPr>
            <w:tcW w:w="2229" w:type="dxa"/>
            <w:shd w:val="clear" w:color="auto" w:fill="B5C0D8"/>
          </w:tcPr>
          <w:p w:rsidR="00D849AA" w:rsidRPr="000E4589" w:rsidRDefault="00EE6D95">
            <w:pPr>
              <w:rPr>
                <w:rFonts w:ascii="Arial" w:hAnsi="Arial" w:cs="Arial"/>
              </w:rPr>
            </w:pPr>
            <w:r w:rsidRPr="000E4589">
              <w:rPr>
                <w:rFonts w:ascii="Arial" w:hAnsi="Arial" w:cs="Arial"/>
              </w:rPr>
              <w:t>Pokazatelj rezultata</w:t>
            </w:r>
          </w:p>
        </w:tc>
        <w:tc>
          <w:tcPr>
            <w:tcW w:w="1114" w:type="dxa"/>
            <w:shd w:val="clear" w:color="auto" w:fill="B5C0D8"/>
          </w:tcPr>
          <w:p w:rsidR="00D849AA" w:rsidRPr="000E4589" w:rsidRDefault="00EE6D95">
            <w:pPr>
              <w:pStyle w:val="CellHeader"/>
            </w:pPr>
            <w:r w:rsidRPr="000E4589">
              <w:t>Jedinica</w:t>
            </w:r>
          </w:p>
        </w:tc>
        <w:tc>
          <w:tcPr>
            <w:tcW w:w="1114" w:type="dxa"/>
            <w:shd w:val="clear" w:color="auto" w:fill="B5C0D8"/>
          </w:tcPr>
          <w:p w:rsidR="00D849AA" w:rsidRPr="000E4589" w:rsidRDefault="00EE6D95">
            <w:pPr>
              <w:pStyle w:val="CellHeader"/>
            </w:pPr>
            <w:r w:rsidRPr="000E4589">
              <w:t>Polazna vrijednost</w:t>
            </w:r>
          </w:p>
        </w:tc>
        <w:tc>
          <w:tcPr>
            <w:tcW w:w="1486" w:type="dxa"/>
            <w:shd w:val="clear" w:color="auto" w:fill="B5C0D8"/>
          </w:tcPr>
          <w:p w:rsidR="00D849AA" w:rsidRPr="000E4589" w:rsidRDefault="00EE6D95">
            <w:pPr>
              <w:pStyle w:val="CellHeader"/>
            </w:pPr>
            <w:r w:rsidRPr="000E4589">
              <w:t>Ciljana vrijednost (2014.)</w:t>
            </w:r>
          </w:p>
        </w:tc>
        <w:tc>
          <w:tcPr>
            <w:tcW w:w="1486" w:type="dxa"/>
            <w:shd w:val="clear" w:color="auto" w:fill="B5C0D8"/>
          </w:tcPr>
          <w:p w:rsidR="00D849AA" w:rsidRPr="000E4589" w:rsidRDefault="00EE6D95">
            <w:pPr>
              <w:pStyle w:val="CellHeader"/>
            </w:pPr>
            <w:r w:rsidRPr="000E4589">
              <w:t>Ciljana vrijednost (2015.)</w:t>
            </w:r>
          </w:p>
        </w:tc>
        <w:tc>
          <w:tcPr>
            <w:tcW w:w="1486" w:type="dxa"/>
            <w:shd w:val="clear" w:color="auto" w:fill="B5C0D8"/>
          </w:tcPr>
          <w:p w:rsidR="00D849AA" w:rsidRPr="000E4589" w:rsidRDefault="00EE6D95">
            <w:pPr>
              <w:pStyle w:val="CellHeader"/>
            </w:pPr>
            <w:r w:rsidRPr="000E4589">
              <w:t>Ciljana vrijednost (2016.)</w:t>
            </w:r>
          </w:p>
        </w:tc>
      </w:tr>
      <w:tr w:rsidR="00D849AA">
        <w:trPr>
          <w:jc w:val="center"/>
        </w:trPr>
        <w:tc>
          <w:tcPr>
            <w:tcW w:w="2229" w:type="dxa"/>
          </w:tcPr>
          <w:p w:rsidR="00D849AA" w:rsidRPr="000E4589" w:rsidRDefault="00EE6D95">
            <w:pPr>
              <w:pStyle w:val="CellColumn"/>
            </w:pPr>
            <w:r w:rsidRPr="000E4589">
              <w:t>Povećanje broja djelatnika u nadležnim tijelima osposobljenih za implementaciju Direktive o uslugama</w:t>
            </w:r>
          </w:p>
        </w:tc>
        <w:tc>
          <w:tcPr>
            <w:tcW w:w="1114" w:type="dxa"/>
          </w:tcPr>
          <w:p w:rsidR="00D849AA" w:rsidRPr="000E4589" w:rsidRDefault="00EE6D95">
            <w:pPr>
              <w:rPr>
                <w:rFonts w:ascii="Arial" w:hAnsi="Arial" w:cs="Arial"/>
              </w:rPr>
            </w:pPr>
            <w:r w:rsidRPr="000E4589">
              <w:rPr>
                <w:rFonts w:ascii="Arial" w:hAnsi="Arial" w:cs="Arial"/>
              </w:rPr>
              <w:t>Broj osposobljenih djelatnika</w:t>
            </w:r>
          </w:p>
        </w:tc>
        <w:tc>
          <w:tcPr>
            <w:tcW w:w="1114" w:type="dxa"/>
          </w:tcPr>
          <w:p w:rsidR="00D849AA" w:rsidRPr="000E4589" w:rsidRDefault="00EE6D95">
            <w:pPr>
              <w:rPr>
                <w:rFonts w:ascii="Arial" w:hAnsi="Arial" w:cs="Arial"/>
              </w:rPr>
            </w:pPr>
            <w:r w:rsidRPr="000E4589">
              <w:rPr>
                <w:rFonts w:ascii="Arial" w:hAnsi="Arial" w:cs="Arial"/>
              </w:rPr>
              <w:t>8</w:t>
            </w:r>
          </w:p>
        </w:tc>
        <w:tc>
          <w:tcPr>
            <w:tcW w:w="1486" w:type="dxa"/>
          </w:tcPr>
          <w:p w:rsidR="00D849AA" w:rsidRPr="000E4589" w:rsidRDefault="00EE6D95">
            <w:pPr>
              <w:rPr>
                <w:rFonts w:ascii="Arial" w:hAnsi="Arial" w:cs="Arial"/>
              </w:rPr>
            </w:pPr>
            <w:r w:rsidRPr="000E4589">
              <w:rPr>
                <w:rFonts w:ascii="Arial" w:hAnsi="Arial" w:cs="Arial"/>
              </w:rPr>
              <w:t>100</w:t>
            </w:r>
          </w:p>
        </w:tc>
        <w:tc>
          <w:tcPr>
            <w:tcW w:w="1486" w:type="dxa"/>
          </w:tcPr>
          <w:p w:rsidR="00D849AA" w:rsidRPr="000E4589" w:rsidRDefault="00EE6D95">
            <w:pPr>
              <w:rPr>
                <w:rFonts w:ascii="Arial" w:hAnsi="Arial" w:cs="Arial"/>
              </w:rPr>
            </w:pPr>
            <w:r w:rsidRPr="000E4589">
              <w:rPr>
                <w:rFonts w:ascii="Arial" w:hAnsi="Arial" w:cs="Arial"/>
              </w:rPr>
              <w:t>200</w:t>
            </w:r>
          </w:p>
        </w:tc>
        <w:tc>
          <w:tcPr>
            <w:tcW w:w="1486" w:type="dxa"/>
          </w:tcPr>
          <w:p w:rsidR="00D849AA" w:rsidRPr="000E4589" w:rsidRDefault="00EE6D95">
            <w:pPr>
              <w:rPr>
                <w:rFonts w:ascii="Arial" w:hAnsi="Arial" w:cs="Arial"/>
              </w:rPr>
            </w:pPr>
            <w:r w:rsidRPr="000E4589">
              <w:rPr>
                <w:rFonts w:ascii="Arial" w:hAnsi="Arial" w:cs="Arial"/>
              </w:rPr>
              <w:t>200</w:t>
            </w:r>
          </w:p>
        </w:tc>
      </w:tr>
    </w:tbl>
    <w:p w:rsidR="00D849AA" w:rsidRDefault="00D849AA">
      <w:pPr>
        <w:jc w:val="left"/>
      </w:pPr>
    </w:p>
    <w:p w:rsidR="00D849AA" w:rsidRDefault="00EE6D95">
      <w:pPr>
        <w:pStyle w:val="Naslov6"/>
      </w:pPr>
      <w:r>
        <w:t>A822035 RAZVOJ UNUTARNJEG TRŽIŠTA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0E4589" w:rsidRDefault="00EE6D95">
            <w:pPr>
              <w:pStyle w:val="CellHeader"/>
            </w:pPr>
            <w:r w:rsidRPr="000E4589">
              <w:t>Naziv aktivnosti</w:t>
            </w:r>
          </w:p>
        </w:tc>
        <w:tc>
          <w:tcPr>
            <w:tcW w:w="1486" w:type="dxa"/>
            <w:shd w:val="clear" w:color="auto" w:fill="B5C0D8"/>
          </w:tcPr>
          <w:p w:rsidR="00D849AA" w:rsidRPr="000E4589" w:rsidRDefault="00EE6D95">
            <w:pPr>
              <w:pStyle w:val="CellHeader"/>
            </w:pPr>
            <w:r w:rsidRPr="000E4589">
              <w:t>Plan 2013.</w:t>
            </w:r>
          </w:p>
        </w:tc>
        <w:tc>
          <w:tcPr>
            <w:tcW w:w="1486" w:type="dxa"/>
            <w:shd w:val="clear" w:color="auto" w:fill="B5C0D8"/>
          </w:tcPr>
          <w:p w:rsidR="00D849AA" w:rsidRPr="000E4589" w:rsidRDefault="00EE6D95">
            <w:pPr>
              <w:pStyle w:val="CellHeader"/>
            </w:pPr>
            <w:r w:rsidRPr="000E4589">
              <w:t>Plan 2014.</w:t>
            </w:r>
          </w:p>
        </w:tc>
        <w:tc>
          <w:tcPr>
            <w:tcW w:w="1486" w:type="dxa"/>
            <w:shd w:val="clear" w:color="auto" w:fill="B5C0D8"/>
          </w:tcPr>
          <w:p w:rsidR="00D849AA" w:rsidRPr="000E4589" w:rsidRDefault="00EE6D95">
            <w:pPr>
              <w:pStyle w:val="CellHeader"/>
            </w:pPr>
            <w:r w:rsidRPr="000E4589">
              <w:t>Plan 2015.</w:t>
            </w:r>
          </w:p>
        </w:tc>
        <w:tc>
          <w:tcPr>
            <w:tcW w:w="1486" w:type="dxa"/>
            <w:shd w:val="clear" w:color="auto" w:fill="B5C0D8"/>
          </w:tcPr>
          <w:p w:rsidR="00D849AA" w:rsidRPr="000E4589" w:rsidRDefault="00EE6D95">
            <w:pPr>
              <w:pStyle w:val="CellHeader"/>
            </w:pPr>
            <w:r w:rsidRPr="000E4589">
              <w:t>Plan 2016.</w:t>
            </w:r>
          </w:p>
        </w:tc>
        <w:tc>
          <w:tcPr>
            <w:tcW w:w="1486" w:type="dxa"/>
            <w:shd w:val="clear" w:color="auto" w:fill="B5C0D8"/>
          </w:tcPr>
          <w:p w:rsidR="00D849AA" w:rsidRPr="000E4589" w:rsidRDefault="00EE6D95">
            <w:pPr>
              <w:pStyle w:val="CellHeader"/>
            </w:pPr>
            <w:r w:rsidRPr="000E4589">
              <w:t>Indeks 2014/2013</w:t>
            </w:r>
          </w:p>
        </w:tc>
      </w:tr>
      <w:tr w:rsidR="00D849AA">
        <w:trPr>
          <w:jc w:val="center"/>
        </w:trPr>
        <w:tc>
          <w:tcPr>
            <w:tcW w:w="1486" w:type="dxa"/>
          </w:tcPr>
          <w:p w:rsidR="00D849AA" w:rsidRPr="000E4589" w:rsidRDefault="00EE6D95">
            <w:pPr>
              <w:pStyle w:val="CellColumn"/>
            </w:pPr>
            <w:r w:rsidRPr="000E4589">
              <w:t>A822035</w:t>
            </w:r>
          </w:p>
        </w:tc>
        <w:tc>
          <w:tcPr>
            <w:tcW w:w="1486" w:type="dxa"/>
          </w:tcPr>
          <w:p w:rsidR="00D849AA" w:rsidRPr="000E4589" w:rsidRDefault="00EE6D95">
            <w:pPr>
              <w:rPr>
                <w:rFonts w:ascii="Arial" w:hAnsi="Arial" w:cs="Arial"/>
              </w:rPr>
            </w:pPr>
            <w:r w:rsidRPr="000E4589">
              <w:rPr>
                <w:rFonts w:ascii="Arial" w:hAnsi="Arial" w:cs="Arial"/>
              </w:rPr>
              <w:t>120.000</w:t>
            </w:r>
          </w:p>
        </w:tc>
        <w:tc>
          <w:tcPr>
            <w:tcW w:w="1486" w:type="dxa"/>
          </w:tcPr>
          <w:p w:rsidR="00D849AA" w:rsidRPr="000E4589" w:rsidRDefault="00EE6D95">
            <w:pPr>
              <w:rPr>
                <w:rFonts w:ascii="Arial" w:hAnsi="Arial" w:cs="Arial"/>
              </w:rPr>
            </w:pPr>
            <w:r w:rsidRPr="000E4589">
              <w:rPr>
                <w:rFonts w:ascii="Arial" w:hAnsi="Arial" w:cs="Arial"/>
              </w:rPr>
              <w:t>240.000</w:t>
            </w:r>
          </w:p>
        </w:tc>
        <w:tc>
          <w:tcPr>
            <w:tcW w:w="1486" w:type="dxa"/>
          </w:tcPr>
          <w:p w:rsidR="00D849AA" w:rsidRPr="000E4589" w:rsidRDefault="00EE6D95">
            <w:pPr>
              <w:rPr>
                <w:rFonts w:ascii="Arial" w:hAnsi="Arial" w:cs="Arial"/>
              </w:rPr>
            </w:pPr>
            <w:r w:rsidRPr="000E4589">
              <w:rPr>
                <w:rFonts w:ascii="Arial" w:hAnsi="Arial" w:cs="Arial"/>
              </w:rPr>
              <w:t>240.000</w:t>
            </w:r>
          </w:p>
        </w:tc>
        <w:tc>
          <w:tcPr>
            <w:tcW w:w="1486" w:type="dxa"/>
          </w:tcPr>
          <w:p w:rsidR="00D849AA" w:rsidRPr="000E4589" w:rsidRDefault="00EE6D95">
            <w:pPr>
              <w:rPr>
                <w:rFonts w:ascii="Arial" w:hAnsi="Arial" w:cs="Arial"/>
              </w:rPr>
            </w:pPr>
            <w:r w:rsidRPr="000E4589">
              <w:rPr>
                <w:rFonts w:ascii="Arial" w:hAnsi="Arial" w:cs="Arial"/>
              </w:rPr>
              <w:t>240.000</w:t>
            </w:r>
          </w:p>
        </w:tc>
        <w:tc>
          <w:tcPr>
            <w:tcW w:w="1486" w:type="dxa"/>
          </w:tcPr>
          <w:p w:rsidR="00D849AA" w:rsidRPr="000E4589" w:rsidRDefault="00EE6D95">
            <w:pPr>
              <w:rPr>
                <w:rFonts w:ascii="Arial" w:hAnsi="Arial" w:cs="Arial"/>
              </w:rPr>
            </w:pPr>
            <w:r w:rsidRPr="000E4589">
              <w:rPr>
                <w:rFonts w:ascii="Arial" w:hAnsi="Arial" w:cs="Arial"/>
              </w:rPr>
              <w:t>200,0</w:t>
            </w:r>
          </w:p>
        </w:tc>
      </w:tr>
    </w:tbl>
    <w:p w:rsidR="00D849AA" w:rsidRDefault="00D849AA">
      <w:pPr>
        <w:jc w:val="left"/>
      </w:pPr>
    </w:p>
    <w:p w:rsidR="00D849AA" w:rsidRDefault="00EE6D95">
      <w:pPr>
        <w:pStyle w:val="Normal6"/>
      </w:pPr>
      <w:r>
        <w:lastRenderedPageBreak/>
        <w:t xml:space="preserve">Aktivnost podrazumijeva kontinuirani razvoj internetskih stranica o slobodi kretanja roba i pružanja usluga alata i mehanizama unutarnjeg tržišta, razvoj elektroničke Jedinstvene kontaktne točke za usluge te daljnji razvoj kompletnog sustava unutarnjeg tržišta u suradnji s ostalim tijelima državne uprave, ali i s poslovnim subjektima i građanima.   </w:t>
      </w:r>
    </w:p>
    <w:p w:rsidR="00D849AA" w:rsidRDefault="00EE6D95">
      <w:pPr>
        <w:pStyle w:val="Normal6"/>
      </w:pPr>
      <w:r>
        <w:t>Slijedom ulaska RH u EU treba predvidjeti više sredstava za razvoj unutarnjeg tržišta (sloboda kretanja roba i sloboda pružanja usluga). Napomena: za područje usluga do sada u DP nisu bila predviđena nikakva sredstva (osim IPA I 2010 - FFRAC projekta).</w:t>
      </w:r>
    </w:p>
    <w:p w:rsidR="00E20D6C" w:rsidRDefault="00E20D6C">
      <w:pPr>
        <w:pStyle w:val="Normal6"/>
      </w:pPr>
    </w:p>
    <w:p w:rsidR="00D849AA" w:rsidRDefault="00EE6D95">
      <w:pPr>
        <w:pStyle w:val="Naslov6"/>
      </w:pPr>
      <w:r>
        <w:t>K822056 EUROPSKI POTROŠAČKI CENTAR HRVATSKA (ECC-NET)</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0E4589" w:rsidRDefault="00EE6D95">
            <w:pPr>
              <w:pStyle w:val="CellHeader"/>
            </w:pPr>
            <w:r w:rsidRPr="000E4589">
              <w:t>Naziv aktivnosti</w:t>
            </w:r>
          </w:p>
        </w:tc>
        <w:tc>
          <w:tcPr>
            <w:tcW w:w="1486" w:type="dxa"/>
            <w:shd w:val="clear" w:color="auto" w:fill="B5C0D8"/>
          </w:tcPr>
          <w:p w:rsidR="00D849AA" w:rsidRPr="000E4589" w:rsidRDefault="00EE6D95">
            <w:pPr>
              <w:pStyle w:val="CellHeader"/>
            </w:pPr>
            <w:r w:rsidRPr="000E4589">
              <w:t>Plan 2013.</w:t>
            </w:r>
          </w:p>
        </w:tc>
        <w:tc>
          <w:tcPr>
            <w:tcW w:w="1486" w:type="dxa"/>
            <w:shd w:val="clear" w:color="auto" w:fill="B5C0D8"/>
          </w:tcPr>
          <w:p w:rsidR="00D849AA" w:rsidRPr="000E4589" w:rsidRDefault="00EE6D95">
            <w:pPr>
              <w:pStyle w:val="CellHeader"/>
            </w:pPr>
            <w:r w:rsidRPr="000E4589">
              <w:t>Plan 2014.</w:t>
            </w:r>
          </w:p>
        </w:tc>
        <w:tc>
          <w:tcPr>
            <w:tcW w:w="1486" w:type="dxa"/>
            <w:shd w:val="clear" w:color="auto" w:fill="B5C0D8"/>
          </w:tcPr>
          <w:p w:rsidR="00D849AA" w:rsidRPr="000E4589" w:rsidRDefault="00EE6D95">
            <w:pPr>
              <w:pStyle w:val="CellHeader"/>
            </w:pPr>
            <w:r w:rsidRPr="000E4589">
              <w:t>Plan 2015.</w:t>
            </w:r>
          </w:p>
        </w:tc>
        <w:tc>
          <w:tcPr>
            <w:tcW w:w="1486" w:type="dxa"/>
            <w:shd w:val="clear" w:color="auto" w:fill="B5C0D8"/>
          </w:tcPr>
          <w:p w:rsidR="00D849AA" w:rsidRPr="000E4589" w:rsidRDefault="00EE6D95">
            <w:pPr>
              <w:pStyle w:val="CellHeader"/>
            </w:pPr>
            <w:r w:rsidRPr="000E4589">
              <w:t>Plan 2016.</w:t>
            </w:r>
          </w:p>
        </w:tc>
        <w:tc>
          <w:tcPr>
            <w:tcW w:w="1486" w:type="dxa"/>
            <w:shd w:val="clear" w:color="auto" w:fill="B5C0D8"/>
          </w:tcPr>
          <w:p w:rsidR="00D849AA" w:rsidRPr="000E4589" w:rsidRDefault="00EE6D95">
            <w:pPr>
              <w:pStyle w:val="CellHeader"/>
            </w:pPr>
            <w:r w:rsidRPr="000E4589">
              <w:t>Indeks 2014/2013</w:t>
            </w:r>
          </w:p>
        </w:tc>
      </w:tr>
      <w:tr w:rsidR="00D849AA">
        <w:trPr>
          <w:jc w:val="center"/>
        </w:trPr>
        <w:tc>
          <w:tcPr>
            <w:tcW w:w="1486" w:type="dxa"/>
          </w:tcPr>
          <w:p w:rsidR="00D849AA" w:rsidRPr="000E4589" w:rsidRDefault="00EE6D95">
            <w:pPr>
              <w:pStyle w:val="CellColumn"/>
            </w:pPr>
            <w:r w:rsidRPr="000E4589">
              <w:t>K822056</w:t>
            </w:r>
          </w:p>
        </w:tc>
        <w:tc>
          <w:tcPr>
            <w:tcW w:w="1486" w:type="dxa"/>
          </w:tcPr>
          <w:p w:rsidR="00D849AA" w:rsidRPr="000E4589" w:rsidRDefault="00EE6D95">
            <w:pPr>
              <w:rPr>
                <w:rFonts w:ascii="Arial" w:hAnsi="Arial" w:cs="Arial"/>
              </w:rPr>
            </w:pPr>
            <w:r w:rsidRPr="000E4589">
              <w:rPr>
                <w:rFonts w:ascii="Arial" w:hAnsi="Arial" w:cs="Arial"/>
              </w:rPr>
              <w:t>00</w:t>
            </w:r>
          </w:p>
        </w:tc>
        <w:tc>
          <w:tcPr>
            <w:tcW w:w="1486" w:type="dxa"/>
          </w:tcPr>
          <w:p w:rsidR="00D849AA" w:rsidRPr="000E4589" w:rsidRDefault="00EE6D95">
            <w:pPr>
              <w:rPr>
                <w:rFonts w:ascii="Arial" w:hAnsi="Arial" w:cs="Arial"/>
              </w:rPr>
            </w:pPr>
            <w:r w:rsidRPr="000E4589">
              <w:rPr>
                <w:rFonts w:ascii="Arial" w:hAnsi="Arial" w:cs="Arial"/>
              </w:rPr>
              <w:t>408.000</w:t>
            </w:r>
          </w:p>
        </w:tc>
        <w:tc>
          <w:tcPr>
            <w:tcW w:w="1486" w:type="dxa"/>
          </w:tcPr>
          <w:p w:rsidR="00D849AA" w:rsidRPr="000E4589" w:rsidRDefault="00EE6D95">
            <w:pPr>
              <w:rPr>
                <w:rFonts w:ascii="Arial" w:hAnsi="Arial" w:cs="Arial"/>
              </w:rPr>
            </w:pPr>
            <w:r w:rsidRPr="000E4589">
              <w:rPr>
                <w:rFonts w:ascii="Arial" w:hAnsi="Arial" w:cs="Arial"/>
              </w:rPr>
              <w:t>408.000</w:t>
            </w:r>
          </w:p>
        </w:tc>
        <w:tc>
          <w:tcPr>
            <w:tcW w:w="1486" w:type="dxa"/>
          </w:tcPr>
          <w:p w:rsidR="00D849AA" w:rsidRPr="000E4589" w:rsidRDefault="00EE6D95">
            <w:pPr>
              <w:rPr>
                <w:rFonts w:ascii="Arial" w:hAnsi="Arial" w:cs="Arial"/>
              </w:rPr>
            </w:pPr>
            <w:r w:rsidRPr="000E4589">
              <w:rPr>
                <w:rFonts w:ascii="Arial" w:hAnsi="Arial" w:cs="Arial"/>
              </w:rPr>
              <w:t>408.000</w:t>
            </w:r>
          </w:p>
        </w:tc>
        <w:tc>
          <w:tcPr>
            <w:tcW w:w="1486" w:type="dxa"/>
          </w:tcPr>
          <w:p w:rsidR="00D849AA" w:rsidRPr="000E4589" w:rsidRDefault="00EE6D95">
            <w:pPr>
              <w:rPr>
                <w:rFonts w:ascii="Arial" w:hAnsi="Arial" w:cs="Arial"/>
              </w:rPr>
            </w:pPr>
            <w:r w:rsidRPr="000E4589">
              <w:rPr>
                <w:rFonts w:ascii="Arial" w:hAnsi="Arial" w:cs="Arial"/>
              </w:rPr>
              <w:t>0,0</w:t>
            </w:r>
          </w:p>
        </w:tc>
      </w:tr>
    </w:tbl>
    <w:p w:rsidR="00D849AA" w:rsidRDefault="00D849AA">
      <w:pPr>
        <w:jc w:val="left"/>
      </w:pPr>
    </w:p>
    <w:p w:rsidR="00D849AA" w:rsidRDefault="00EE6D95">
      <w:pPr>
        <w:pStyle w:val="Normal6"/>
      </w:pPr>
      <w:r>
        <w:t>ECC HR - Europski potrošački centar je započeo s radom 01.07.2013. godine. Ugovor o sufinanciranju traje 18 mjeseci (do 31.12.2014). Europska Komisija sufinancira  rad u 2013. i 2014. godini sa 70% sredstava (ukupno 108.359 € - cca 820.000 kn), a od 2015. godine sa 50%. Za 2013. godinu u državnom proračunu nisu bila predviđena sredstva. U srpnju 2013. godine, Europska Komisija je doznačila cca 570.000 kn, a ostatak istekom ugovornog razdoblja i usvajanjem završnog izvješća (cca 250.000 kn u prvom tromjesečju 2015.) U 2014. godini nije predviđeno doznačavanje sredstava iz Europske komisije.</w:t>
      </w:r>
    </w:p>
    <w:p w:rsidR="000E4589" w:rsidRDefault="000E4589" w:rsidP="000E4589">
      <w:pPr>
        <w:jc w:val="left"/>
      </w:pPr>
    </w:p>
    <w:p w:rsidR="000E4589" w:rsidRDefault="000E4589" w:rsidP="000E4589">
      <w:pPr>
        <w:pStyle w:val="Naslov4"/>
      </w:pPr>
      <w:r>
        <w:t>OBRAZLOŽENJE PROGRAMA</w:t>
      </w:r>
    </w:p>
    <w:p w:rsidR="00D849AA" w:rsidRDefault="00EE6D95">
      <w:pPr>
        <w:pStyle w:val="Naslov5"/>
      </w:pPr>
      <w:r>
        <w:t>3216 JAČANJE KONKURENTNOSTI GOSPODARSTVA POTICANJEM INVESTICIJA I UČINKOVITIM KORIŠTENJEM EU SREDSTAVA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0E4589" w:rsidRDefault="00D849AA">
            <w:pPr>
              <w:pStyle w:val="CellHeader"/>
            </w:pPr>
          </w:p>
        </w:tc>
        <w:tc>
          <w:tcPr>
            <w:tcW w:w="1486" w:type="dxa"/>
            <w:shd w:val="clear" w:color="auto" w:fill="B5C0D8"/>
          </w:tcPr>
          <w:p w:rsidR="00D849AA" w:rsidRPr="000E4589" w:rsidRDefault="00EE6D95">
            <w:pPr>
              <w:pStyle w:val="CellHeader"/>
            </w:pPr>
            <w:r w:rsidRPr="000E4589">
              <w:t>Plan 2013.</w:t>
            </w:r>
          </w:p>
        </w:tc>
        <w:tc>
          <w:tcPr>
            <w:tcW w:w="1486" w:type="dxa"/>
            <w:shd w:val="clear" w:color="auto" w:fill="B5C0D8"/>
          </w:tcPr>
          <w:p w:rsidR="00D849AA" w:rsidRPr="000E4589" w:rsidRDefault="00EE6D95">
            <w:pPr>
              <w:pStyle w:val="CellHeader"/>
            </w:pPr>
            <w:r w:rsidRPr="000E4589">
              <w:t>Plan 2014.</w:t>
            </w:r>
          </w:p>
        </w:tc>
        <w:tc>
          <w:tcPr>
            <w:tcW w:w="1486" w:type="dxa"/>
            <w:shd w:val="clear" w:color="auto" w:fill="B5C0D8"/>
          </w:tcPr>
          <w:p w:rsidR="00D849AA" w:rsidRPr="000E4589" w:rsidRDefault="00EE6D95">
            <w:pPr>
              <w:pStyle w:val="CellHeader"/>
            </w:pPr>
            <w:r w:rsidRPr="000E4589">
              <w:t>Plan 2015.</w:t>
            </w:r>
          </w:p>
        </w:tc>
        <w:tc>
          <w:tcPr>
            <w:tcW w:w="1486" w:type="dxa"/>
            <w:shd w:val="clear" w:color="auto" w:fill="B5C0D8"/>
          </w:tcPr>
          <w:p w:rsidR="00D849AA" w:rsidRPr="000E4589" w:rsidRDefault="00EE6D95">
            <w:pPr>
              <w:pStyle w:val="CellHeader"/>
            </w:pPr>
            <w:r w:rsidRPr="000E4589">
              <w:t>Plan 2016.</w:t>
            </w:r>
          </w:p>
        </w:tc>
        <w:tc>
          <w:tcPr>
            <w:tcW w:w="1486" w:type="dxa"/>
            <w:shd w:val="clear" w:color="auto" w:fill="B5C0D8"/>
          </w:tcPr>
          <w:p w:rsidR="00D849AA" w:rsidRPr="000E4589" w:rsidRDefault="00EE6D95">
            <w:pPr>
              <w:pStyle w:val="CellHeader"/>
            </w:pPr>
            <w:r w:rsidRPr="000E4589">
              <w:t>Indeks 2014/2013</w:t>
            </w:r>
          </w:p>
        </w:tc>
      </w:tr>
      <w:tr w:rsidR="00D849AA">
        <w:trPr>
          <w:jc w:val="center"/>
        </w:trPr>
        <w:tc>
          <w:tcPr>
            <w:tcW w:w="1486" w:type="dxa"/>
          </w:tcPr>
          <w:p w:rsidR="00D849AA" w:rsidRPr="000E4589" w:rsidRDefault="00EE6D95">
            <w:pPr>
              <w:pStyle w:val="CellColumn"/>
            </w:pPr>
            <w:r w:rsidRPr="000E4589">
              <w:t>3216</w:t>
            </w:r>
          </w:p>
        </w:tc>
        <w:tc>
          <w:tcPr>
            <w:tcW w:w="1486" w:type="dxa"/>
          </w:tcPr>
          <w:p w:rsidR="00D849AA" w:rsidRPr="000E4589" w:rsidRDefault="00EE6D95">
            <w:pPr>
              <w:rPr>
                <w:rFonts w:ascii="Arial" w:hAnsi="Arial" w:cs="Arial"/>
              </w:rPr>
            </w:pPr>
            <w:r w:rsidRPr="000E4589">
              <w:rPr>
                <w:rFonts w:ascii="Arial" w:hAnsi="Arial" w:cs="Arial"/>
              </w:rPr>
              <w:t>56.792.000</w:t>
            </w:r>
          </w:p>
        </w:tc>
        <w:tc>
          <w:tcPr>
            <w:tcW w:w="1486" w:type="dxa"/>
          </w:tcPr>
          <w:p w:rsidR="00D849AA" w:rsidRPr="000E4589" w:rsidRDefault="00EE6D95">
            <w:pPr>
              <w:rPr>
                <w:rFonts w:ascii="Arial" w:hAnsi="Arial" w:cs="Arial"/>
              </w:rPr>
            </w:pPr>
            <w:r w:rsidRPr="000E4589">
              <w:rPr>
                <w:rFonts w:ascii="Arial" w:hAnsi="Arial" w:cs="Arial"/>
              </w:rPr>
              <w:t>32.223.164</w:t>
            </w:r>
          </w:p>
        </w:tc>
        <w:tc>
          <w:tcPr>
            <w:tcW w:w="1486" w:type="dxa"/>
          </w:tcPr>
          <w:p w:rsidR="00D849AA" w:rsidRPr="000E4589" w:rsidRDefault="00EE6D95">
            <w:pPr>
              <w:rPr>
                <w:rFonts w:ascii="Arial" w:hAnsi="Arial" w:cs="Arial"/>
              </w:rPr>
            </w:pPr>
            <w:r w:rsidRPr="000E4589">
              <w:rPr>
                <w:rFonts w:ascii="Arial" w:hAnsi="Arial" w:cs="Arial"/>
              </w:rPr>
              <w:t>26.862.948</w:t>
            </w:r>
          </w:p>
        </w:tc>
        <w:tc>
          <w:tcPr>
            <w:tcW w:w="1486" w:type="dxa"/>
          </w:tcPr>
          <w:p w:rsidR="00D849AA" w:rsidRPr="000E4589" w:rsidRDefault="00EE6D95">
            <w:pPr>
              <w:rPr>
                <w:rFonts w:ascii="Arial" w:hAnsi="Arial" w:cs="Arial"/>
              </w:rPr>
            </w:pPr>
            <w:r w:rsidRPr="000E4589">
              <w:rPr>
                <w:rFonts w:ascii="Arial" w:hAnsi="Arial" w:cs="Arial"/>
              </w:rPr>
              <w:t>24.114.990</w:t>
            </w:r>
          </w:p>
        </w:tc>
        <w:tc>
          <w:tcPr>
            <w:tcW w:w="1486" w:type="dxa"/>
          </w:tcPr>
          <w:p w:rsidR="00D849AA" w:rsidRPr="000E4589" w:rsidRDefault="00EE6D95">
            <w:pPr>
              <w:rPr>
                <w:rFonts w:ascii="Arial" w:hAnsi="Arial" w:cs="Arial"/>
              </w:rPr>
            </w:pPr>
            <w:r w:rsidRPr="000E4589">
              <w:rPr>
                <w:rFonts w:ascii="Arial" w:hAnsi="Arial" w:cs="Arial"/>
              </w:rPr>
              <w:t>56,7</w:t>
            </w:r>
          </w:p>
        </w:tc>
      </w:tr>
    </w:tbl>
    <w:p w:rsidR="00D849AA" w:rsidRDefault="00D849AA">
      <w:pPr>
        <w:jc w:val="left"/>
      </w:pPr>
    </w:p>
    <w:p w:rsidR="00D849AA" w:rsidRDefault="00EE6D95">
      <w:pPr>
        <w:pStyle w:val="Naslov6"/>
      </w:pPr>
      <w:r>
        <w:t>Opis programa</w:t>
      </w:r>
    </w:p>
    <w:p w:rsidR="00D849AA" w:rsidRDefault="00EE6D95">
      <w:pPr>
        <w:pStyle w:val="Normal5"/>
      </w:pPr>
      <w:r>
        <w:t xml:space="preserve">U okviru programa Jačanje konkurentnosti gospodarstva poticanjem investicija i učinkovitim korištenjem EU sredstava je Operativni program za Regionalnu konkurentnost koji se provodi u sklopu Europskog fonda za regionalni razvoj (ERDF). Operativni program za Regionalnu konkurentnost odnosi na povećanje konkurentnosti kroz podršku malom i srednjem poduzetništvu, stvaranje povoljne poslovne klime, istraživanje i razvoj, infrastrukturu povezanu s poduzetništvom i turizmom, e-komunikacijama, obrazovanjem, zdravstvom i zapošljavanjem uz poštivanje načela ravnomjernog regionalnog razvoja. </w:t>
      </w:r>
    </w:p>
    <w:p w:rsidR="00D849AA" w:rsidRDefault="00EE6D95">
      <w:pPr>
        <w:pStyle w:val="Normal5"/>
      </w:pPr>
      <w:r>
        <w:t xml:space="preserve">Program je strukturiran unutar sljedećih prioriteta:  </w:t>
      </w:r>
    </w:p>
    <w:p w:rsidR="00D849AA" w:rsidRDefault="00EE6D95">
      <w:pPr>
        <w:pStyle w:val="Normal5"/>
      </w:pPr>
      <w:r>
        <w:t xml:space="preserve">Prioritetna os 1.: Jačanje konkurentnosti hrvatskog gospodarstva  </w:t>
      </w:r>
    </w:p>
    <w:p w:rsidR="00D849AA" w:rsidRDefault="00EE6D95">
      <w:pPr>
        <w:pStyle w:val="Normal5"/>
      </w:pPr>
      <w:r>
        <w:t xml:space="preserve">Prioritetna os 2.: Povećanje razvojnog potencijala hrvatskih regija  </w:t>
      </w:r>
    </w:p>
    <w:p w:rsidR="00D849AA" w:rsidRDefault="00EE6D95">
      <w:pPr>
        <w:pStyle w:val="Normal5"/>
      </w:pPr>
      <w:r>
        <w:lastRenderedPageBreak/>
        <w:t xml:space="preserve">Prioritetna os 3.: Tehnička pomoć </w:t>
      </w:r>
    </w:p>
    <w:p w:rsidR="00D849AA" w:rsidRDefault="00EE6D95">
      <w:pPr>
        <w:pStyle w:val="Normal5"/>
      </w:pPr>
      <w:r>
        <w:t>Sukladno Uredbi o tijelima u sustavu upravljanja i kontrole korištenja strukturnih instrumenata Europske unije u Republici Hrvatskoj (NN 97/12) Ministarstvo gospodarstva je imenovano kao Posredničko tijelo razine 1 koje je nadležno za provođenje Prioritetne osi 3. Tehnička pomoć koja ima za cilj pružanje pomoći za upravljanje i provedbu Operativnog programa Regionalna konkurentnost.</w:t>
      </w:r>
    </w:p>
    <w:p w:rsidR="00D849AA" w:rsidRDefault="00EE6D95">
      <w:pPr>
        <w:pStyle w:val="Naslov6"/>
      </w:pPr>
      <w:r>
        <w:t>Zakonske i druge pravne osnove</w:t>
      </w:r>
    </w:p>
    <w:p w:rsidR="00D849AA" w:rsidRDefault="00EE6D95">
      <w:pPr>
        <w:pStyle w:val="Normal5"/>
      </w:pPr>
      <w:r>
        <w:t xml:space="preserve">Zakon o uspostavi institucionalnog okvira za korištenje strukturnih instrumenata Europske unije u Republici Hrvatskoj (NN 78/12), Uredba o tijelima u sustavu upravljanja i kontrole korištenja strukturnih instrumenata Europske unije u Republici Hrvatskoj (NN 97/12), Operativni program Regionalna konkurentnost 2007. – 2013.  </w:t>
      </w:r>
    </w:p>
    <w:p w:rsidR="00D849AA" w:rsidRDefault="00E20D6C">
      <w:pPr>
        <w:pStyle w:val="Normal5"/>
      </w:pPr>
      <w:r>
        <w:t>Zakon</w:t>
      </w:r>
      <w:r w:rsidR="00EE6D95">
        <w:t xml:space="preserve"> o poticanju ulaganja (NN 138/06), Zakon o poticanju investicija i unapređenju investicijskog okruženja (NN111/12 i 28/13).</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 xml:space="preserve">Cilj 1. Učinkovito korištenje sredstava iz strukturnih instrumenata Kohezijske politike EU </w:t>
      </w:r>
    </w:p>
    <w:p w:rsidR="005F2AE2" w:rsidRDefault="00EE6D95" w:rsidP="005F2AE2">
      <w:pPr>
        <w:pStyle w:val="Normal6"/>
      </w:pPr>
      <w:r>
        <w:t>Sukladno Uredbi o tijelima u sustavu upravljanja i kontrole korištenja strukturnih instrumenata Europske unije u Republici Hrvatskoj (NN 97/12) Ministarstvo gospodarstva je imenovano kao Posredničko tijelo razine 1 koje je nadležno za provođenje Prioritetne osi 3. Tehnička pomoć iz Operativnog programa za regionalnu konkurentnost 2007. – 2013. (OPRK) koji se dijelom financira iz Europskog fonda za regionalni razvoj (ERDF). Cilj ovog Prioriteta je osigurati učinkovito i efikasno upravljanje Operativnim programom, razviti institucionalnu sposobnost za efikasno i efektivno upravljanje financijskim sredstvima, a time i povećanje kapaciteta za učinkovito korištenje strukturnih fondova koji stoje na raspolaganju Republici Hrvatskoj. Učinkovito upravljanje Operativnim programom postiže se uz kvalitetno kontrolno okruženje koje uključuje uspostavljanje organizacijske strukture i razvijanje sustava s kvalitetno uspostavljenim procedurama unutar svakog procesa. Upravljanje na učinkovit, transparentan i pravovremen način preduvjet je za ostvarivanje visoke razine iskorištenosti sredstava iz strukturnih instrumenata Kohezijske politike EU, a sve u cilju razvoja konkurentne ekonomije temeljene na učinkovitoj upotrebi resursa, znanju i inovacijama čije će rezultat biti ekonomska, socijalna i teritorijalna kohezija u Republici Hrvatskoj.</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0E4589" w:rsidRDefault="00EE6D95">
            <w:pPr>
              <w:rPr>
                <w:rFonts w:ascii="Arial" w:hAnsi="Arial" w:cs="Arial"/>
              </w:rPr>
            </w:pPr>
            <w:r w:rsidRPr="000E4589">
              <w:rPr>
                <w:rFonts w:ascii="Arial" w:hAnsi="Arial" w:cs="Arial"/>
              </w:rPr>
              <w:t>Pokazatelj učinka</w:t>
            </w:r>
          </w:p>
        </w:tc>
        <w:tc>
          <w:tcPr>
            <w:tcW w:w="1114" w:type="dxa"/>
            <w:shd w:val="clear" w:color="auto" w:fill="B5C0D8"/>
          </w:tcPr>
          <w:p w:rsidR="00D849AA" w:rsidRPr="000E4589" w:rsidRDefault="00EE6D95">
            <w:pPr>
              <w:pStyle w:val="CellHeader"/>
            </w:pPr>
            <w:r w:rsidRPr="000E4589">
              <w:t>Jedinica</w:t>
            </w:r>
          </w:p>
        </w:tc>
        <w:tc>
          <w:tcPr>
            <w:tcW w:w="1114" w:type="dxa"/>
            <w:shd w:val="clear" w:color="auto" w:fill="B5C0D8"/>
          </w:tcPr>
          <w:p w:rsidR="00D849AA" w:rsidRPr="000E4589" w:rsidRDefault="00EE6D95">
            <w:pPr>
              <w:pStyle w:val="CellHeader"/>
            </w:pPr>
            <w:r w:rsidRPr="000E4589">
              <w:t>Polazna vrijednost</w:t>
            </w:r>
          </w:p>
        </w:tc>
        <w:tc>
          <w:tcPr>
            <w:tcW w:w="1486" w:type="dxa"/>
            <w:shd w:val="clear" w:color="auto" w:fill="B5C0D8"/>
          </w:tcPr>
          <w:p w:rsidR="00D849AA" w:rsidRPr="000E4589" w:rsidRDefault="00EE6D95">
            <w:pPr>
              <w:pStyle w:val="CellHeader"/>
            </w:pPr>
            <w:r w:rsidRPr="000E4589">
              <w:t>Ciljana vrijednost (2014.)</w:t>
            </w:r>
          </w:p>
        </w:tc>
        <w:tc>
          <w:tcPr>
            <w:tcW w:w="1486" w:type="dxa"/>
            <w:shd w:val="clear" w:color="auto" w:fill="B5C0D8"/>
          </w:tcPr>
          <w:p w:rsidR="00D849AA" w:rsidRPr="000E4589" w:rsidRDefault="00EE6D95">
            <w:pPr>
              <w:pStyle w:val="CellHeader"/>
            </w:pPr>
            <w:r w:rsidRPr="000E4589">
              <w:t>Ciljana vrijednost (2015.)</w:t>
            </w:r>
          </w:p>
        </w:tc>
        <w:tc>
          <w:tcPr>
            <w:tcW w:w="1486" w:type="dxa"/>
            <w:shd w:val="clear" w:color="auto" w:fill="B5C0D8"/>
          </w:tcPr>
          <w:p w:rsidR="00D849AA" w:rsidRPr="000E4589" w:rsidRDefault="00EE6D95">
            <w:pPr>
              <w:pStyle w:val="CellHeader"/>
            </w:pPr>
            <w:r w:rsidRPr="000E4589">
              <w:t>Ciljana vrijednost (2016.)</w:t>
            </w:r>
          </w:p>
        </w:tc>
      </w:tr>
      <w:tr w:rsidR="00D849AA">
        <w:trPr>
          <w:jc w:val="center"/>
        </w:trPr>
        <w:tc>
          <w:tcPr>
            <w:tcW w:w="2229" w:type="dxa"/>
          </w:tcPr>
          <w:p w:rsidR="00D849AA" w:rsidRPr="000E4589" w:rsidRDefault="00EE6D95">
            <w:pPr>
              <w:pStyle w:val="CellColumn"/>
            </w:pPr>
            <w:r w:rsidRPr="000E4589">
              <w:t>Objavljeni pozivi za dodjelu bespovratnih sredstava</w:t>
            </w:r>
          </w:p>
        </w:tc>
        <w:tc>
          <w:tcPr>
            <w:tcW w:w="1114" w:type="dxa"/>
          </w:tcPr>
          <w:p w:rsidR="00D849AA" w:rsidRPr="000E4589" w:rsidRDefault="00EE6D95">
            <w:pPr>
              <w:rPr>
                <w:rFonts w:ascii="Arial" w:hAnsi="Arial" w:cs="Arial"/>
              </w:rPr>
            </w:pPr>
            <w:r w:rsidRPr="000E4589">
              <w:rPr>
                <w:rFonts w:ascii="Arial" w:hAnsi="Arial" w:cs="Arial"/>
              </w:rPr>
              <w:t>Broj</w:t>
            </w:r>
          </w:p>
        </w:tc>
        <w:tc>
          <w:tcPr>
            <w:tcW w:w="1114" w:type="dxa"/>
          </w:tcPr>
          <w:p w:rsidR="00D849AA" w:rsidRPr="000E4589" w:rsidRDefault="00EE6D95">
            <w:pPr>
              <w:rPr>
                <w:rFonts w:ascii="Arial" w:hAnsi="Arial" w:cs="Arial"/>
              </w:rPr>
            </w:pPr>
            <w:r w:rsidRPr="000E4589">
              <w:rPr>
                <w:rFonts w:ascii="Arial" w:hAnsi="Arial" w:cs="Arial"/>
              </w:rPr>
              <w:t>1</w:t>
            </w:r>
          </w:p>
        </w:tc>
        <w:tc>
          <w:tcPr>
            <w:tcW w:w="1486" w:type="dxa"/>
          </w:tcPr>
          <w:p w:rsidR="00D849AA" w:rsidRPr="000E4589" w:rsidRDefault="00EE6D95">
            <w:pPr>
              <w:rPr>
                <w:rFonts w:ascii="Arial" w:hAnsi="Arial" w:cs="Arial"/>
              </w:rPr>
            </w:pPr>
            <w:r w:rsidRPr="000E4589">
              <w:rPr>
                <w:rFonts w:ascii="Arial" w:hAnsi="Arial" w:cs="Arial"/>
              </w:rPr>
              <w:t>2</w:t>
            </w:r>
          </w:p>
        </w:tc>
        <w:tc>
          <w:tcPr>
            <w:tcW w:w="1486" w:type="dxa"/>
          </w:tcPr>
          <w:p w:rsidR="00D849AA" w:rsidRPr="000E4589" w:rsidRDefault="00EE6D95">
            <w:pPr>
              <w:rPr>
                <w:rFonts w:ascii="Arial" w:hAnsi="Arial" w:cs="Arial"/>
              </w:rPr>
            </w:pPr>
            <w:r w:rsidRPr="000E4589">
              <w:rPr>
                <w:rFonts w:ascii="Arial" w:hAnsi="Arial" w:cs="Arial"/>
              </w:rPr>
              <w:t>3</w:t>
            </w:r>
          </w:p>
        </w:tc>
        <w:tc>
          <w:tcPr>
            <w:tcW w:w="1486" w:type="dxa"/>
          </w:tcPr>
          <w:p w:rsidR="00D849AA" w:rsidRPr="000E4589" w:rsidRDefault="00EE6D95">
            <w:pPr>
              <w:rPr>
                <w:rFonts w:ascii="Arial" w:hAnsi="Arial" w:cs="Arial"/>
              </w:rPr>
            </w:pPr>
            <w:r w:rsidRPr="000E4589">
              <w:rPr>
                <w:rFonts w:ascii="Arial" w:hAnsi="Arial" w:cs="Arial"/>
              </w:rPr>
              <w:t>4</w:t>
            </w:r>
          </w:p>
        </w:tc>
      </w:tr>
      <w:tr w:rsidR="00D849AA">
        <w:trPr>
          <w:jc w:val="center"/>
        </w:trPr>
        <w:tc>
          <w:tcPr>
            <w:tcW w:w="2229" w:type="dxa"/>
          </w:tcPr>
          <w:p w:rsidR="00D849AA" w:rsidRPr="000E4589" w:rsidRDefault="00EE6D95">
            <w:pPr>
              <w:pStyle w:val="CellColumn"/>
            </w:pPr>
            <w:r w:rsidRPr="000E4589">
              <w:t>Sklopljeni ugovori za dodjelu bespovratnih sredstava</w:t>
            </w:r>
          </w:p>
        </w:tc>
        <w:tc>
          <w:tcPr>
            <w:tcW w:w="1114" w:type="dxa"/>
          </w:tcPr>
          <w:p w:rsidR="00D849AA" w:rsidRPr="000E4589" w:rsidRDefault="00EE6D95">
            <w:pPr>
              <w:rPr>
                <w:rFonts w:ascii="Arial" w:hAnsi="Arial" w:cs="Arial"/>
              </w:rPr>
            </w:pPr>
            <w:r w:rsidRPr="000E4589">
              <w:rPr>
                <w:rFonts w:ascii="Arial" w:hAnsi="Arial" w:cs="Arial"/>
              </w:rPr>
              <w:t>Broj</w:t>
            </w:r>
          </w:p>
        </w:tc>
        <w:tc>
          <w:tcPr>
            <w:tcW w:w="1114" w:type="dxa"/>
          </w:tcPr>
          <w:p w:rsidR="00D849AA" w:rsidRPr="000E4589" w:rsidRDefault="00EE6D95">
            <w:pPr>
              <w:rPr>
                <w:rFonts w:ascii="Arial" w:hAnsi="Arial" w:cs="Arial"/>
              </w:rPr>
            </w:pPr>
            <w:r w:rsidRPr="000E4589">
              <w:rPr>
                <w:rFonts w:ascii="Arial" w:hAnsi="Arial" w:cs="Arial"/>
              </w:rPr>
              <w:t>5</w:t>
            </w:r>
          </w:p>
        </w:tc>
        <w:tc>
          <w:tcPr>
            <w:tcW w:w="1486" w:type="dxa"/>
          </w:tcPr>
          <w:p w:rsidR="00D849AA" w:rsidRPr="000E4589" w:rsidRDefault="00EE6D95">
            <w:pPr>
              <w:rPr>
                <w:rFonts w:ascii="Arial" w:hAnsi="Arial" w:cs="Arial"/>
              </w:rPr>
            </w:pPr>
            <w:r w:rsidRPr="000E4589">
              <w:rPr>
                <w:rFonts w:ascii="Arial" w:hAnsi="Arial" w:cs="Arial"/>
              </w:rPr>
              <w:t>10</w:t>
            </w:r>
          </w:p>
        </w:tc>
        <w:tc>
          <w:tcPr>
            <w:tcW w:w="1486" w:type="dxa"/>
          </w:tcPr>
          <w:p w:rsidR="00D849AA" w:rsidRPr="000E4589" w:rsidRDefault="00EE6D95">
            <w:pPr>
              <w:rPr>
                <w:rFonts w:ascii="Arial" w:hAnsi="Arial" w:cs="Arial"/>
              </w:rPr>
            </w:pPr>
            <w:r w:rsidRPr="000E4589">
              <w:rPr>
                <w:rFonts w:ascii="Arial" w:hAnsi="Arial" w:cs="Arial"/>
              </w:rPr>
              <w:t>15</w:t>
            </w:r>
          </w:p>
        </w:tc>
        <w:tc>
          <w:tcPr>
            <w:tcW w:w="1486" w:type="dxa"/>
          </w:tcPr>
          <w:p w:rsidR="00D849AA" w:rsidRPr="000E4589" w:rsidRDefault="00EE6D95">
            <w:pPr>
              <w:rPr>
                <w:rFonts w:ascii="Arial" w:hAnsi="Arial" w:cs="Arial"/>
              </w:rPr>
            </w:pPr>
            <w:r w:rsidRPr="000E4589">
              <w:rPr>
                <w:rFonts w:ascii="Arial" w:hAnsi="Arial" w:cs="Arial"/>
              </w:rPr>
              <w:t>20</w:t>
            </w:r>
          </w:p>
        </w:tc>
      </w:tr>
      <w:tr w:rsidR="00D849AA">
        <w:trPr>
          <w:jc w:val="center"/>
        </w:trPr>
        <w:tc>
          <w:tcPr>
            <w:tcW w:w="2229" w:type="dxa"/>
          </w:tcPr>
          <w:p w:rsidR="00D849AA" w:rsidRPr="000E4589" w:rsidRDefault="00EE6D95">
            <w:pPr>
              <w:pStyle w:val="CellColumn"/>
            </w:pPr>
            <w:r w:rsidRPr="000E4589">
              <w:t xml:space="preserve">Iskorištenost alociranih sredstava </w:t>
            </w:r>
            <w:r w:rsidRPr="000E4589">
              <w:lastRenderedPageBreak/>
              <w:t>za tehničku pomoć</w:t>
            </w:r>
          </w:p>
        </w:tc>
        <w:tc>
          <w:tcPr>
            <w:tcW w:w="1114" w:type="dxa"/>
          </w:tcPr>
          <w:p w:rsidR="00D849AA" w:rsidRPr="000E4589" w:rsidRDefault="00EE6D95">
            <w:pPr>
              <w:rPr>
                <w:rFonts w:ascii="Arial" w:hAnsi="Arial" w:cs="Arial"/>
              </w:rPr>
            </w:pPr>
            <w:r w:rsidRPr="000E4589">
              <w:rPr>
                <w:rFonts w:ascii="Arial" w:hAnsi="Arial" w:cs="Arial"/>
              </w:rPr>
              <w:lastRenderedPageBreak/>
              <w:t>%</w:t>
            </w:r>
          </w:p>
        </w:tc>
        <w:tc>
          <w:tcPr>
            <w:tcW w:w="1114" w:type="dxa"/>
          </w:tcPr>
          <w:p w:rsidR="00D849AA" w:rsidRPr="000E4589" w:rsidRDefault="00EE6D95">
            <w:pPr>
              <w:rPr>
                <w:rFonts w:ascii="Arial" w:hAnsi="Arial" w:cs="Arial"/>
              </w:rPr>
            </w:pPr>
            <w:r w:rsidRPr="000E4589">
              <w:rPr>
                <w:rFonts w:ascii="Arial" w:hAnsi="Arial" w:cs="Arial"/>
              </w:rPr>
              <w:t>20</w:t>
            </w:r>
          </w:p>
        </w:tc>
        <w:tc>
          <w:tcPr>
            <w:tcW w:w="1486" w:type="dxa"/>
          </w:tcPr>
          <w:p w:rsidR="00D849AA" w:rsidRPr="000E4589" w:rsidRDefault="00EE6D95">
            <w:pPr>
              <w:rPr>
                <w:rFonts w:ascii="Arial" w:hAnsi="Arial" w:cs="Arial"/>
              </w:rPr>
            </w:pPr>
            <w:r w:rsidRPr="000E4589">
              <w:rPr>
                <w:rFonts w:ascii="Arial" w:hAnsi="Arial" w:cs="Arial"/>
              </w:rPr>
              <w:t>50</w:t>
            </w:r>
          </w:p>
        </w:tc>
        <w:tc>
          <w:tcPr>
            <w:tcW w:w="1486" w:type="dxa"/>
          </w:tcPr>
          <w:p w:rsidR="00D849AA" w:rsidRPr="000E4589" w:rsidRDefault="00EE6D95">
            <w:pPr>
              <w:rPr>
                <w:rFonts w:ascii="Arial" w:hAnsi="Arial" w:cs="Arial"/>
              </w:rPr>
            </w:pPr>
            <w:r w:rsidRPr="000E4589">
              <w:rPr>
                <w:rFonts w:ascii="Arial" w:hAnsi="Arial" w:cs="Arial"/>
              </w:rPr>
              <w:t>70</w:t>
            </w:r>
          </w:p>
        </w:tc>
        <w:tc>
          <w:tcPr>
            <w:tcW w:w="1486" w:type="dxa"/>
          </w:tcPr>
          <w:p w:rsidR="00D849AA" w:rsidRPr="000E4589" w:rsidRDefault="00EE6D95">
            <w:pPr>
              <w:rPr>
                <w:rFonts w:ascii="Arial" w:hAnsi="Arial" w:cs="Arial"/>
              </w:rPr>
            </w:pPr>
            <w:r w:rsidRPr="000E4589">
              <w:rPr>
                <w:rFonts w:ascii="Arial" w:hAnsi="Arial" w:cs="Arial"/>
              </w:rPr>
              <w:t>100</w:t>
            </w:r>
          </w:p>
        </w:tc>
      </w:tr>
      <w:tr w:rsidR="00D849AA">
        <w:trPr>
          <w:jc w:val="center"/>
        </w:trPr>
        <w:tc>
          <w:tcPr>
            <w:tcW w:w="2229" w:type="dxa"/>
          </w:tcPr>
          <w:p w:rsidR="00D849AA" w:rsidRPr="000E4589" w:rsidRDefault="00EE6D95">
            <w:pPr>
              <w:pStyle w:val="CellColumn"/>
            </w:pPr>
            <w:r w:rsidRPr="000E4589">
              <w:lastRenderedPageBreak/>
              <w:t>Strateški programski dokumenti</w:t>
            </w:r>
          </w:p>
        </w:tc>
        <w:tc>
          <w:tcPr>
            <w:tcW w:w="1114" w:type="dxa"/>
          </w:tcPr>
          <w:p w:rsidR="00D849AA" w:rsidRPr="000E4589" w:rsidRDefault="00EE6D95">
            <w:pPr>
              <w:rPr>
                <w:rFonts w:ascii="Arial" w:hAnsi="Arial" w:cs="Arial"/>
              </w:rPr>
            </w:pPr>
            <w:r w:rsidRPr="000E4589">
              <w:rPr>
                <w:rFonts w:ascii="Arial" w:hAnsi="Arial" w:cs="Arial"/>
              </w:rPr>
              <w:t>Broj</w:t>
            </w:r>
          </w:p>
        </w:tc>
        <w:tc>
          <w:tcPr>
            <w:tcW w:w="1114" w:type="dxa"/>
          </w:tcPr>
          <w:p w:rsidR="00D849AA" w:rsidRPr="000E4589" w:rsidRDefault="00EE6D95">
            <w:pPr>
              <w:rPr>
                <w:rFonts w:ascii="Arial" w:hAnsi="Arial" w:cs="Arial"/>
              </w:rPr>
            </w:pPr>
            <w:r w:rsidRPr="000E4589">
              <w:rPr>
                <w:rFonts w:ascii="Arial" w:hAnsi="Arial" w:cs="Arial"/>
              </w:rPr>
              <w:t>1</w:t>
            </w:r>
          </w:p>
        </w:tc>
        <w:tc>
          <w:tcPr>
            <w:tcW w:w="1486" w:type="dxa"/>
          </w:tcPr>
          <w:p w:rsidR="00D849AA" w:rsidRPr="000E4589" w:rsidRDefault="00EE6D95">
            <w:pPr>
              <w:rPr>
                <w:rFonts w:ascii="Arial" w:hAnsi="Arial" w:cs="Arial"/>
              </w:rPr>
            </w:pPr>
            <w:r w:rsidRPr="000E4589">
              <w:rPr>
                <w:rFonts w:ascii="Arial" w:hAnsi="Arial" w:cs="Arial"/>
              </w:rPr>
              <w:t>2</w:t>
            </w:r>
          </w:p>
        </w:tc>
        <w:tc>
          <w:tcPr>
            <w:tcW w:w="1486" w:type="dxa"/>
          </w:tcPr>
          <w:p w:rsidR="00D849AA" w:rsidRPr="000E4589" w:rsidRDefault="00EE6D95">
            <w:pPr>
              <w:rPr>
                <w:rFonts w:ascii="Arial" w:hAnsi="Arial" w:cs="Arial"/>
              </w:rPr>
            </w:pPr>
            <w:r w:rsidRPr="000E4589">
              <w:rPr>
                <w:rFonts w:ascii="Arial" w:hAnsi="Arial" w:cs="Arial"/>
              </w:rPr>
              <w:t>2</w:t>
            </w:r>
          </w:p>
        </w:tc>
        <w:tc>
          <w:tcPr>
            <w:tcW w:w="1486" w:type="dxa"/>
          </w:tcPr>
          <w:p w:rsidR="00D849AA" w:rsidRPr="000E4589" w:rsidRDefault="00EE6D95">
            <w:pPr>
              <w:rPr>
                <w:rFonts w:ascii="Arial" w:hAnsi="Arial" w:cs="Arial"/>
              </w:rPr>
            </w:pPr>
            <w:r w:rsidRPr="000E4589">
              <w:rPr>
                <w:rFonts w:ascii="Arial" w:hAnsi="Arial" w:cs="Arial"/>
              </w:rPr>
              <w:t>2</w:t>
            </w:r>
          </w:p>
        </w:tc>
      </w:tr>
      <w:tr w:rsidR="00D849AA">
        <w:trPr>
          <w:jc w:val="center"/>
        </w:trPr>
        <w:tc>
          <w:tcPr>
            <w:tcW w:w="2229" w:type="dxa"/>
          </w:tcPr>
          <w:p w:rsidR="00D849AA" w:rsidRPr="000E4589" w:rsidRDefault="00EE6D95">
            <w:pPr>
              <w:pStyle w:val="CellColumn"/>
            </w:pPr>
            <w:r w:rsidRPr="000E4589">
              <w:t>Visoko-tehnološke mreže za industriju</w:t>
            </w:r>
          </w:p>
        </w:tc>
        <w:tc>
          <w:tcPr>
            <w:tcW w:w="1114" w:type="dxa"/>
          </w:tcPr>
          <w:p w:rsidR="00D849AA" w:rsidRPr="000E4589" w:rsidRDefault="00EE6D95">
            <w:pPr>
              <w:rPr>
                <w:rFonts w:ascii="Arial" w:hAnsi="Arial" w:cs="Arial"/>
              </w:rPr>
            </w:pPr>
            <w:r w:rsidRPr="000E4589">
              <w:rPr>
                <w:rFonts w:ascii="Arial" w:hAnsi="Arial" w:cs="Arial"/>
              </w:rPr>
              <w:t>Broj</w:t>
            </w:r>
          </w:p>
        </w:tc>
        <w:tc>
          <w:tcPr>
            <w:tcW w:w="1114" w:type="dxa"/>
          </w:tcPr>
          <w:p w:rsidR="00D849AA" w:rsidRPr="000E4589" w:rsidRDefault="00EE6D95">
            <w:pPr>
              <w:rPr>
                <w:rFonts w:ascii="Arial" w:hAnsi="Arial" w:cs="Arial"/>
              </w:rPr>
            </w:pPr>
            <w:r w:rsidRPr="000E4589">
              <w:rPr>
                <w:rFonts w:ascii="Arial" w:hAnsi="Arial" w:cs="Arial"/>
              </w:rPr>
              <w:t>0</w:t>
            </w:r>
          </w:p>
        </w:tc>
        <w:tc>
          <w:tcPr>
            <w:tcW w:w="1486" w:type="dxa"/>
          </w:tcPr>
          <w:p w:rsidR="00D849AA" w:rsidRPr="000E4589" w:rsidRDefault="00EE6D95">
            <w:pPr>
              <w:rPr>
                <w:rFonts w:ascii="Arial" w:hAnsi="Arial" w:cs="Arial"/>
              </w:rPr>
            </w:pPr>
            <w:r w:rsidRPr="000E4589">
              <w:rPr>
                <w:rFonts w:ascii="Arial" w:hAnsi="Arial" w:cs="Arial"/>
              </w:rPr>
              <w:t>6</w:t>
            </w:r>
          </w:p>
        </w:tc>
        <w:tc>
          <w:tcPr>
            <w:tcW w:w="1486" w:type="dxa"/>
          </w:tcPr>
          <w:p w:rsidR="00D849AA" w:rsidRPr="000E4589" w:rsidRDefault="00EE6D95">
            <w:pPr>
              <w:rPr>
                <w:rFonts w:ascii="Arial" w:hAnsi="Arial" w:cs="Arial"/>
              </w:rPr>
            </w:pPr>
            <w:r w:rsidRPr="000E4589">
              <w:rPr>
                <w:rFonts w:ascii="Arial" w:hAnsi="Arial" w:cs="Arial"/>
              </w:rPr>
              <w:t>12</w:t>
            </w:r>
          </w:p>
        </w:tc>
        <w:tc>
          <w:tcPr>
            <w:tcW w:w="1486" w:type="dxa"/>
          </w:tcPr>
          <w:p w:rsidR="00D849AA" w:rsidRPr="000E4589" w:rsidRDefault="00EE6D95">
            <w:pPr>
              <w:rPr>
                <w:rFonts w:ascii="Arial" w:hAnsi="Arial" w:cs="Arial"/>
              </w:rPr>
            </w:pPr>
            <w:r w:rsidRPr="000E4589">
              <w:rPr>
                <w:rFonts w:ascii="Arial" w:hAnsi="Arial" w:cs="Arial"/>
              </w:rPr>
              <w:t>12</w:t>
            </w:r>
          </w:p>
        </w:tc>
      </w:tr>
      <w:tr w:rsidR="00D849AA">
        <w:trPr>
          <w:jc w:val="center"/>
        </w:trPr>
        <w:tc>
          <w:tcPr>
            <w:tcW w:w="2229" w:type="dxa"/>
          </w:tcPr>
          <w:p w:rsidR="00D849AA" w:rsidRPr="000E4589" w:rsidRDefault="00EE6D95">
            <w:pPr>
              <w:pStyle w:val="CellColumn"/>
            </w:pPr>
            <w:r w:rsidRPr="000E4589">
              <w:t>Klasteri konkurentnosti</w:t>
            </w:r>
          </w:p>
        </w:tc>
        <w:tc>
          <w:tcPr>
            <w:tcW w:w="1114" w:type="dxa"/>
          </w:tcPr>
          <w:p w:rsidR="00D849AA" w:rsidRPr="000E4589" w:rsidRDefault="00EE6D95">
            <w:pPr>
              <w:rPr>
                <w:rFonts w:ascii="Arial" w:hAnsi="Arial" w:cs="Arial"/>
              </w:rPr>
            </w:pPr>
            <w:r w:rsidRPr="000E4589">
              <w:rPr>
                <w:rFonts w:ascii="Arial" w:hAnsi="Arial" w:cs="Arial"/>
              </w:rPr>
              <w:t>Broj</w:t>
            </w:r>
          </w:p>
        </w:tc>
        <w:tc>
          <w:tcPr>
            <w:tcW w:w="1114" w:type="dxa"/>
          </w:tcPr>
          <w:p w:rsidR="00D849AA" w:rsidRPr="000E4589" w:rsidRDefault="00EE6D95">
            <w:pPr>
              <w:rPr>
                <w:rFonts w:ascii="Arial" w:hAnsi="Arial" w:cs="Arial"/>
              </w:rPr>
            </w:pPr>
            <w:r w:rsidRPr="000E4589">
              <w:rPr>
                <w:rFonts w:ascii="Arial" w:hAnsi="Arial" w:cs="Arial"/>
              </w:rPr>
              <w:t>0</w:t>
            </w:r>
          </w:p>
        </w:tc>
        <w:tc>
          <w:tcPr>
            <w:tcW w:w="1486" w:type="dxa"/>
          </w:tcPr>
          <w:p w:rsidR="00D849AA" w:rsidRPr="000E4589" w:rsidRDefault="00EE6D95">
            <w:pPr>
              <w:rPr>
                <w:rFonts w:ascii="Arial" w:hAnsi="Arial" w:cs="Arial"/>
              </w:rPr>
            </w:pPr>
            <w:r w:rsidRPr="000E4589">
              <w:rPr>
                <w:rFonts w:ascii="Arial" w:hAnsi="Arial" w:cs="Arial"/>
              </w:rPr>
              <w:t>12</w:t>
            </w:r>
          </w:p>
        </w:tc>
        <w:tc>
          <w:tcPr>
            <w:tcW w:w="1486" w:type="dxa"/>
          </w:tcPr>
          <w:p w:rsidR="00D849AA" w:rsidRPr="000E4589" w:rsidRDefault="00EE6D95">
            <w:pPr>
              <w:rPr>
                <w:rFonts w:ascii="Arial" w:hAnsi="Arial" w:cs="Arial"/>
              </w:rPr>
            </w:pPr>
            <w:r w:rsidRPr="000E4589">
              <w:rPr>
                <w:rFonts w:ascii="Arial" w:hAnsi="Arial" w:cs="Arial"/>
              </w:rPr>
              <w:t>15</w:t>
            </w:r>
          </w:p>
        </w:tc>
        <w:tc>
          <w:tcPr>
            <w:tcW w:w="1486" w:type="dxa"/>
          </w:tcPr>
          <w:p w:rsidR="00D849AA" w:rsidRPr="000E4589" w:rsidRDefault="00EE6D95">
            <w:pPr>
              <w:rPr>
                <w:rFonts w:ascii="Arial" w:hAnsi="Arial" w:cs="Arial"/>
              </w:rPr>
            </w:pPr>
            <w:r w:rsidRPr="000E4589">
              <w:rPr>
                <w:rFonts w:ascii="Arial" w:hAnsi="Arial" w:cs="Arial"/>
              </w:rPr>
              <w:t>15</w:t>
            </w:r>
          </w:p>
        </w:tc>
      </w:tr>
      <w:tr w:rsidR="00D849AA">
        <w:trPr>
          <w:jc w:val="center"/>
        </w:trPr>
        <w:tc>
          <w:tcPr>
            <w:tcW w:w="2229" w:type="dxa"/>
          </w:tcPr>
          <w:p w:rsidR="00D849AA" w:rsidRPr="000E4589" w:rsidRDefault="00EE6D95">
            <w:pPr>
              <w:pStyle w:val="CellColumn"/>
            </w:pPr>
            <w:r w:rsidRPr="000E4589">
              <w:t>Operativna podrška razvojnim programima i projektima</w:t>
            </w:r>
          </w:p>
        </w:tc>
        <w:tc>
          <w:tcPr>
            <w:tcW w:w="1114" w:type="dxa"/>
          </w:tcPr>
          <w:p w:rsidR="00D849AA" w:rsidRPr="000E4589" w:rsidRDefault="00EE6D95">
            <w:pPr>
              <w:rPr>
                <w:rFonts w:ascii="Arial" w:hAnsi="Arial" w:cs="Arial"/>
              </w:rPr>
            </w:pPr>
            <w:r w:rsidRPr="000E4589">
              <w:rPr>
                <w:rFonts w:ascii="Arial" w:hAnsi="Arial" w:cs="Arial"/>
              </w:rPr>
              <w:t>Broj</w:t>
            </w:r>
          </w:p>
        </w:tc>
        <w:tc>
          <w:tcPr>
            <w:tcW w:w="1114" w:type="dxa"/>
          </w:tcPr>
          <w:p w:rsidR="00D849AA" w:rsidRPr="000E4589" w:rsidRDefault="00EE6D95">
            <w:pPr>
              <w:rPr>
                <w:rFonts w:ascii="Arial" w:hAnsi="Arial" w:cs="Arial"/>
              </w:rPr>
            </w:pPr>
            <w:r w:rsidRPr="000E4589">
              <w:rPr>
                <w:rFonts w:ascii="Arial" w:hAnsi="Arial" w:cs="Arial"/>
              </w:rPr>
              <w:t>0</w:t>
            </w:r>
          </w:p>
        </w:tc>
        <w:tc>
          <w:tcPr>
            <w:tcW w:w="1486" w:type="dxa"/>
          </w:tcPr>
          <w:p w:rsidR="00D849AA" w:rsidRPr="000E4589" w:rsidRDefault="00EE6D95">
            <w:pPr>
              <w:rPr>
                <w:rFonts w:ascii="Arial" w:hAnsi="Arial" w:cs="Arial"/>
              </w:rPr>
            </w:pPr>
            <w:r w:rsidRPr="000E4589">
              <w:rPr>
                <w:rFonts w:ascii="Arial" w:hAnsi="Arial" w:cs="Arial"/>
              </w:rPr>
              <w:t>10</w:t>
            </w:r>
          </w:p>
        </w:tc>
        <w:tc>
          <w:tcPr>
            <w:tcW w:w="1486" w:type="dxa"/>
          </w:tcPr>
          <w:p w:rsidR="00D849AA" w:rsidRPr="000E4589" w:rsidRDefault="00EE6D95">
            <w:pPr>
              <w:rPr>
                <w:rFonts w:ascii="Arial" w:hAnsi="Arial" w:cs="Arial"/>
              </w:rPr>
            </w:pPr>
            <w:r w:rsidRPr="000E4589">
              <w:rPr>
                <w:rFonts w:ascii="Arial" w:hAnsi="Arial" w:cs="Arial"/>
              </w:rPr>
              <w:t>20</w:t>
            </w:r>
          </w:p>
        </w:tc>
        <w:tc>
          <w:tcPr>
            <w:tcW w:w="1486" w:type="dxa"/>
          </w:tcPr>
          <w:p w:rsidR="00D849AA" w:rsidRPr="000E4589" w:rsidRDefault="00EE6D95">
            <w:pPr>
              <w:rPr>
                <w:rFonts w:ascii="Arial" w:hAnsi="Arial" w:cs="Arial"/>
              </w:rPr>
            </w:pPr>
            <w:r w:rsidRPr="000E4589">
              <w:rPr>
                <w:rFonts w:ascii="Arial" w:hAnsi="Arial" w:cs="Arial"/>
              </w:rPr>
              <w:t>30</w:t>
            </w:r>
          </w:p>
        </w:tc>
      </w:tr>
    </w:tbl>
    <w:p w:rsidR="00D849AA" w:rsidRDefault="00D849AA">
      <w:pPr>
        <w:jc w:val="left"/>
      </w:pPr>
    </w:p>
    <w:p w:rsidR="00D849AA" w:rsidRDefault="00EE6D95">
      <w:pPr>
        <w:pStyle w:val="Naslov7"/>
      </w:pPr>
      <w:r>
        <w:t>Cilj 2. Provedba zakona o poticanju investicija i unapređenju investicijskog okruženja</w:t>
      </w:r>
    </w:p>
    <w:p w:rsidR="00D849AA" w:rsidRDefault="00EE6D95">
      <w:pPr>
        <w:pStyle w:val="Normal6"/>
      </w:pPr>
      <w:r>
        <w:t xml:space="preserve">Dana 10.10.2012. stupio je na snagu Zakon o poticanju investicija i unaprjeđenju investicijskog okruženja (NN 111/2012 i NN 28/13) čime se dodatno potiče investiranje i unaprjeđenje investicijskog okruženja što će rezultirati većom konkurentnošću države u privlačenju ulaganja i procijenjeno većim brojem korisnika poticajnih mjera.  </w:t>
      </w:r>
    </w:p>
    <w:p w:rsidR="00D849AA" w:rsidRDefault="00EE6D95">
      <w:pPr>
        <w:pStyle w:val="Normal6"/>
      </w:pPr>
      <w:r>
        <w:t>Također, dodatno će se poboljšati atraktivnost Republike Hrvatske kao ulagačke destinacije.</w:t>
      </w:r>
    </w:p>
    <w:p w:rsidR="00D849AA" w:rsidRDefault="00EE6D95">
      <w:pPr>
        <w:pStyle w:val="Naslov5"/>
      </w:pPr>
      <w:r>
        <w:t>Procjena i ishodište potrebnih sredstava za značajnije aktivnosti/projekte</w:t>
      </w:r>
    </w:p>
    <w:p w:rsidR="00D849AA" w:rsidRDefault="00EE6D95">
      <w:pPr>
        <w:pStyle w:val="Naslov6"/>
      </w:pPr>
      <w:r>
        <w:t>A560004 PROVEDBA MJERA ZA POTICANJE ULAGANJA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0E4589" w:rsidRDefault="00EE6D95">
            <w:pPr>
              <w:pStyle w:val="CellHeader"/>
            </w:pPr>
            <w:r w:rsidRPr="000E4589">
              <w:t>Naziv aktivnosti</w:t>
            </w:r>
          </w:p>
        </w:tc>
        <w:tc>
          <w:tcPr>
            <w:tcW w:w="1486" w:type="dxa"/>
            <w:shd w:val="clear" w:color="auto" w:fill="B5C0D8"/>
          </w:tcPr>
          <w:p w:rsidR="00D849AA" w:rsidRPr="000E4589" w:rsidRDefault="00EE6D95">
            <w:pPr>
              <w:pStyle w:val="CellHeader"/>
            </w:pPr>
            <w:r w:rsidRPr="000E4589">
              <w:t>Plan 2013.</w:t>
            </w:r>
          </w:p>
        </w:tc>
        <w:tc>
          <w:tcPr>
            <w:tcW w:w="1486" w:type="dxa"/>
            <w:shd w:val="clear" w:color="auto" w:fill="B5C0D8"/>
          </w:tcPr>
          <w:p w:rsidR="00D849AA" w:rsidRPr="000E4589" w:rsidRDefault="00EE6D95">
            <w:pPr>
              <w:pStyle w:val="CellHeader"/>
            </w:pPr>
            <w:r w:rsidRPr="000E4589">
              <w:t>Plan 2014.</w:t>
            </w:r>
          </w:p>
        </w:tc>
        <w:tc>
          <w:tcPr>
            <w:tcW w:w="1486" w:type="dxa"/>
            <w:shd w:val="clear" w:color="auto" w:fill="B5C0D8"/>
          </w:tcPr>
          <w:p w:rsidR="00D849AA" w:rsidRPr="000E4589" w:rsidRDefault="00EE6D95">
            <w:pPr>
              <w:pStyle w:val="CellHeader"/>
            </w:pPr>
            <w:r w:rsidRPr="000E4589">
              <w:t>Plan 2015.</w:t>
            </w:r>
          </w:p>
        </w:tc>
        <w:tc>
          <w:tcPr>
            <w:tcW w:w="1486" w:type="dxa"/>
            <w:shd w:val="clear" w:color="auto" w:fill="B5C0D8"/>
          </w:tcPr>
          <w:p w:rsidR="00D849AA" w:rsidRPr="000E4589" w:rsidRDefault="00EE6D95">
            <w:pPr>
              <w:pStyle w:val="CellHeader"/>
            </w:pPr>
            <w:r w:rsidRPr="000E4589">
              <w:t>Plan 2016.</w:t>
            </w:r>
          </w:p>
        </w:tc>
        <w:tc>
          <w:tcPr>
            <w:tcW w:w="1486" w:type="dxa"/>
            <w:shd w:val="clear" w:color="auto" w:fill="B5C0D8"/>
          </w:tcPr>
          <w:p w:rsidR="00D849AA" w:rsidRPr="000E4589" w:rsidRDefault="00EE6D95">
            <w:pPr>
              <w:pStyle w:val="CellHeader"/>
            </w:pPr>
            <w:r w:rsidRPr="000E4589">
              <w:t>Indeks 2014/2013</w:t>
            </w:r>
          </w:p>
        </w:tc>
      </w:tr>
      <w:tr w:rsidR="00D849AA">
        <w:trPr>
          <w:jc w:val="center"/>
        </w:trPr>
        <w:tc>
          <w:tcPr>
            <w:tcW w:w="1486" w:type="dxa"/>
          </w:tcPr>
          <w:p w:rsidR="00D849AA" w:rsidRPr="000E4589" w:rsidRDefault="00EE6D95">
            <w:pPr>
              <w:pStyle w:val="CellColumn"/>
            </w:pPr>
            <w:r w:rsidRPr="000E4589">
              <w:t>A560004</w:t>
            </w:r>
          </w:p>
        </w:tc>
        <w:tc>
          <w:tcPr>
            <w:tcW w:w="1486" w:type="dxa"/>
          </w:tcPr>
          <w:p w:rsidR="00D849AA" w:rsidRPr="000E4589" w:rsidRDefault="00EE6D95">
            <w:pPr>
              <w:rPr>
                <w:rFonts w:ascii="Arial" w:hAnsi="Arial" w:cs="Arial"/>
              </w:rPr>
            </w:pPr>
            <w:r w:rsidRPr="000E4589">
              <w:rPr>
                <w:rFonts w:ascii="Arial" w:hAnsi="Arial" w:cs="Arial"/>
              </w:rPr>
              <w:t>20.200.000</w:t>
            </w:r>
          </w:p>
        </w:tc>
        <w:tc>
          <w:tcPr>
            <w:tcW w:w="1486" w:type="dxa"/>
          </w:tcPr>
          <w:p w:rsidR="00D849AA" w:rsidRPr="000E4589" w:rsidRDefault="00EE6D95">
            <w:pPr>
              <w:rPr>
                <w:rFonts w:ascii="Arial" w:hAnsi="Arial" w:cs="Arial"/>
              </w:rPr>
            </w:pPr>
            <w:r w:rsidRPr="000E4589">
              <w:rPr>
                <w:rFonts w:ascii="Arial" w:hAnsi="Arial" w:cs="Arial"/>
              </w:rPr>
              <w:t>10.200.000</w:t>
            </w:r>
          </w:p>
        </w:tc>
        <w:tc>
          <w:tcPr>
            <w:tcW w:w="1486" w:type="dxa"/>
          </w:tcPr>
          <w:p w:rsidR="00D849AA" w:rsidRPr="000E4589" w:rsidRDefault="00EE6D95">
            <w:pPr>
              <w:rPr>
                <w:rFonts w:ascii="Arial" w:hAnsi="Arial" w:cs="Arial"/>
              </w:rPr>
            </w:pPr>
            <w:r w:rsidRPr="000E4589">
              <w:rPr>
                <w:rFonts w:ascii="Arial" w:hAnsi="Arial" w:cs="Arial"/>
              </w:rPr>
              <w:t>12.200.000</w:t>
            </w:r>
          </w:p>
        </w:tc>
        <w:tc>
          <w:tcPr>
            <w:tcW w:w="1486" w:type="dxa"/>
          </w:tcPr>
          <w:p w:rsidR="00D849AA" w:rsidRPr="000E4589" w:rsidRDefault="00EE6D95">
            <w:pPr>
              <w:rPr>
                <w:rFonts w:ascii="Arial" w:hAnsi="Arial" w:cs="Arial"/>
              </w:rPr>
            </w:pPr>
            <w:r w:rsidRPr="000E4589">
              <w:rPr>
                <w:rFonts w:ascii="Arial" w:hAnsi="Arial" w:cs="Arial"/>
              </w:rPr>
              <w:t>14.200.000</w:t>
            </w:r>
          </w:p>
        </w:tc>
        <w:tc>
          <w:tcPr>
            <w:tcW w:w="1486" w:type="dxa"/>
          </w:tcPr>
          <w:p w:rsidR="00D849AA" w:rsidRPr="000E4589" w:rsidRDefault="00EE6D95">
            <w:pPr>
              <w:rPr>
                <w:rFonts w:ascii="Arial" w:hAnsi="Arial" w:cs="Arial"/>
              </w:rPr>
            </w:pPr>
            <w:r w:rsidRPr="000E4589">
              <w:rPr>
                <w:rFonts w:ascii="Arial" w:hAnsi="Arial" w:cs="Arial"/>
              </w:rPr>
              <w:t>50,5</w:t>
            </w:r>
          </w:p>
        </w:tc>
      </w:tr>
    </w:tbl>
    <w:p w:rsidR="00D849AA" w:rsidRDefault="00D849AA">
      <w:pPr>
        <w:jc w:val="left"/>
      </w:pPr>
    </w:p>
    <w:p w:rsidR="00D849AA" w:rsidRDefault="00EE6D95">
      <w:pPr>
        <w:pStyle w:val="Normal6"/>
      </w:pPr>
      <w:r>
        <w:t>Navedena aktivnost vezana je za provedbu Zakona o poticanju investicija i unapređenju investicijskog okruženja. Sredstva planirana ovom aktivnošću isplaćuju se nositeljima Potvrde odnosno poduzetnicima koji imaju status nositelja poticajnih mjera. Poticaji s ove aktivnosti isplaćuju se za otvaranje novih radnih mjesta, usavršavanje povezano s otvaranjem novih radnih mjesta te kapitalne potpore za visokotehnološke proizvodne investicije</w:t>
      </w:r>
    </w:p>
    <w:p w:rsidR="00D849AA" w:rsidRDefault="00EE6D95">
      <w:pPr>
        <w:pStyle w:val="Naslov6"/>
      </w:pPr>
      <w:r>
        <w:t>A817047 PODRŠKA PRIPREMI PROJEKATA ZA JAČANJE HRVATSKOG GOSPODARSTVA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0E4589" w:rsidRDefault="00EE6D95">
            <w:pPr>
              <w:pStyle w:val="CellHeader"/>
            </w:pPr>
            <w:r w:rsidRPr="000E4589">
              <w:t>Naziv aktivnosti</w:t>
            </w:r>
          </w:p>
        </w:tc>
        <w:tc>
          <w:tcPr>
            <w:tcW w:w="1486" w:type="dxa"/>
            <w:shd w:val="clear" w:color="auto" w:fill="B5C0D8"/>
          </w:tcPr>
          <w:p w:rsidR="00D849AA" w:rsidRPr="000E4589" w:rsidRDefault="00EE6D95">
            <w:pPr>
              <w:pStyle w:val="CellHeader"/>
            </w:pPr>
            <w:r w:rsidRPr="000E4589">
              <w:t>Plan 2013.</w:t>
            </w:r>
          </w:p>
        </w:tc>
        <w:tc>
          <w:tcPr>
            <w:tcW w:w="1486" w:type="dxa"/>
            <w:shd w:val="clear" w:color="auto" w:fill="B5C0D8"/>
          </w:tcPr>
          <w:p w:rsidR="00D849AA" w:rsidRPr="000E4589" w:rsidRDefault="00EE6D95">
            <w:pPr>
              <w:pStyle w:val="CellHeader"/>
            </w:pPr>
            <w:r w:rsidRPr="000E4589">
              <w:t>Plan 2014.</w:t>
            </w:r>
          </w:p>
        </w:tc>
        <w:tc>
          <w:tcPr>
            <w:tcW w:w="1486" w:type="dxa"/>
            <w:shd w:val="clear" w:color="auto" w:fill="B5C0D8"/>
          </w:tcPr>
          <w:p w:rsidR="00D849AA" w:rsidRPr="000E4589" w:rsidRDefault="00EE6D95">
            <w:pPr>
              <w:pStyle w:val="CellHeader"/>
            </w:pPr>
            <w:r w:rsidRPr="000E4589">
              <w:t>Plan 2015.</w:t>
            </w:r>
          </w:p>
        </w:tc>
        <w:tc>
          <w:tcPr>
            <w:tcW w:w="1486" w:type="dxa"/>
            <w:shd w:val="clear" w:color="auto" w:fill="B5C0D8"/>
          </w:tcPr>
          <w:p w:rsidR="00D849AA" w:rsidRPr="000E4589" w:rsidRDefault="00EE6D95">
            <w:pPr>
              <w:pStyle w:val="CellHeader"/>
            </w:pPr>
            <w:r w:rsidRPr="000E4589">
              <w:t>Plan 2016.</w:t>
            </w:r>
          </w:p>
        </w:tc>
        <w:tc>
          <w:tcPr>
            <w:tcW w:w="1486" w:type="dxa"/>
            <w:shd w:val="clear" w:color="auto" w:fill="B5C0D8"/>
          </w:tcPr>
          <w:p w:rsidR="00D849AA" w:rsidRPr="000E4589" w:rsidRDefault="00EE6D95">
            <w:pPr>
              <w:pStyle w:val="CellHeader"/>
            </w:pPr>
            <w:r w:rsidRPr="000E4589">
              <w:t>Indeks 2014/2013</w:t>
            </w:r>
          </w:p>
        </w:tc>
      </w:tr>
      <w:tr w:rsidR="00D849AA">
        <w:trPr>
          <w:jc w:val="center"/>
        </w:trPr>
        <w:tc>
          <w:tcPr>
            <w:tcW w:w="1486" w:type="dxa"/>
          </w:tcPr>
          <w:p w:rsidR="00D849AA" w:rsidRPr="000E4589" w:rsidRDefault="00EE6D95">
            <w:pPr>
              <w:pStyle w:val="CellColumn"/>
            </w:pPr>
            <w:r w:rsidRPr="000E4589">
              <w:t>A817047</w:t>
            </w:r>
          </w:p>
        </w:tc>
        <w:tc>
          <w:tcPr>
            <w:tcW w:w="1486" w:type="dxa"/>
          </w:tcPr>
          <w:p w:rsidR="00D849AA" w:rsidRPr="000E4589" w:rsidRDefault="00EE6D95">
            <w:pPr>
              <w:rPr>
                <w:rFonts w:ascii="Arial" w:hAnsi="Arial" w:cs="Arial"/>
              </w:rPr>
            </w:pPr>
            <w:r w:rsidRPr="000E4589">
              <w:rPr>
                <w:rFonts w:ascii="Arial" w:hAnsi="Arial" w:cs="Arial"/>
              </w:rPr>
              <w:t>1.000.000</w:t>
            </w:r>
          </w:p>
        </w:tc>
        <w:tc>
          <w:tcPr>
            <w:tcW w:w="1486" w:type="dxa"/>
          </w:tcPr>
          <w:p w:rsidR="00D849AA" w:rsidRPr="000E4589" w:rsidRDefault="00EE6D95">
            <w:pPr>
              <w:rPr>
                <w:rFonts w:ascii="Arial" w:hAnsi="Arial" w:cs="Arial"/>
              </w:rPr>
            </w:pPr>
            <w:r w:rsidRPr="000E4589">
              <w:rPr>
                <w:rFonts w:ascii="Arial" w:hAnsi="Arial" w:cs="Arial"/>
              </w:rPr>
              <w:t>10.000.000</w:t>
            </w:r>
          </w:p>
        </w:tc>
        <w:tc>
          <w:tcPr>
            <w:tcW w:w="1486" w:type="dxa"/>
          </w:tcPr>
          <w:p w:rsidR="00D849AA" w:rsidRPr="000E4589" w:rsidRDefault="00EE6D95">
            <w:pPr>
              <w:rPr>
                <w:rFonts w:ascii="Arial" w:hAnsi="Arial" w:cs="Arial"/>
              </w:rPr>
            </w:pPr>
            <w:r w:rsidRPr="000E4589">
              <w:rPr>
                <w:rFonts w:ascii="Arial" w:hAnsi="Arial" w:cs="Arial"/>
              </w:rPr>
              <w:t>5.000.000</w:t>
            </w:r>
          </w:p>
        </w:tc>
        <w:tc>
          <w:tcPr>
            <w:tcW w:w="1486" w:type="dxa"/>
          </w:tcPr>
          <w:p w:rsidR="00D849AA" w:rsidRPr="000E4589" w:rsidRDefault="00EE6D95">
            <w:pPr>
              <w:rPr>
                <w:rFonts w:ascii="Arial" w:hAnsi="Arial" w:cs="Arial"/>
              </w:rPr>
            </w:pPr>
            <w:r w:rsidRPr="000E4589">
              <w:rPr>
                <w:rFonts w:ascii="Arial" w:hAnsi="Arial" w:cs="Arial"/>
              </w:rPr>
              <w:t>00</w:t>
            </w:r>
          </w:p>
        </w:tc>
        <w:tc>
          <w:tcPr>
            <w:tcW w:w="1486" w:type="dxa"/>
          </w:tcPr>
          <w:p w:rsidR="00D849AA" w:rsidRPr="000E4589" w:rsidRDefault="00EE6D95">
            <w:pPr>
              <w:rPr>
                <w:rFonts w:ascii="Arial" w:hAnsi="Arial" w:cs="Arial"/>
              </w:rPr>
            </w:pPr>
            <w:r w:rsidRPr="000E4589">
              <w:rPr>
                <w:rFonts w:ascii="Arial" w:hAnsi="Arial" w:cs="Arial"/>
              </w:rPr>
              <w:t>1000,0</w:t>
            </w:r>
          </w:p>
        </w:tc>
      </w:tr>
    </w:tbl>
    <w:p w:rsidR="00D849AA" w:rsidRDefault="00D849AA">
      <w:pPr>
        <w:jc w:val="left"/>
      </w:pPr>
    </w:p>
    <w:p w:rsidR="00D849AA" w:rsidRDefault="00EE6D95">
      <w:pPr>
        <w:pStyle w:val="Normal6"/>
      </w:pPr>
      <w:r>
        <w:lastRenderedPageBreak/>
        <w:t xml:space="preserve">Aktivnost A817047 je vezana za potporu pripremi projekata za korištenje EU fondova u svrhu postizanja strateškog prioriteta odnosno promicanja socijalne i ekonomske kohezije u Hrvatskoj, a na temelju poboljšane sveopće konkurentnosti.  </w:t>
      </w:r>
    </w:p>
    <w:p w:rsidR="00D849AA" w:rsidRDefault="00EE6D95">
      <w:pPr>
        <w:pStyle w:val="Normal6"/>
      </w:pPr>
      <w:r>
        <w:t>Kroz navedenu aktivnost planirani je pripremiti što veći broj kvalitetnih projektnih prijedloga kako bi se iskoristila sredstva iz Europskog fonda za regionalni razvoj (ERDF).</w:t>
      </w:r>
    </w:p>
    <w:p w:rsidR="009B5B8A" w:rsidRDefault="009B5B8A">
      <w:pPr>
        <w:pStyle w:val="Normal6"/>
      </w:pP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0E4589" w:rsidRDefault="00EE6D95">
            <w:pPr>
              <w:rPr>
                <w:rFonts w:ascii="Arial" w:hAnsi="Arial" w:cs="Arial"/>
              </w:rPr>
            </w:pPr>
            <w:r w:rsidRPr="000E4589">
              <w:rPr>
                <w:rFonts w:ascii="Arial" w:hAnsi="Arial" w:cs="Arial"/>
              </w:rPr>
              <w:t>Pokazatelj rezultata</w:t>
            </w:r>
          </w:p>
        </w:tc>
        <w:tc>
          <w:tcPr>
            <w:tcW w:w="1114" w:type="dxa"/>
            <w:shd w:val="clear" w:color="auto" w:fill="B5C0D8"/>
          </w:tcPr>
          <w:p w:rsidR="00D849AA" w:rsidRPr="000E4589" w:rsidRDefault="00EE6D95">
            <w:pPr>
              <w:pStyle w:val="CellHeader"/>
            </w:pPr>
            <w:r w:rsidRPr="000E4589">
              <w:t>Jedinica</w:t>
            </w:r>
          </w:p>
        </w:tc>
        <w:tc>
          <w:tcPr>
            <w:tcW w:w="1114" w:type="dxa"/>
            <w:shd w:val="clear" w:color="auto" w:fill="B5C0D8"/>
          </w:tcPr>
          <w:p w:rsidR="00D849AA" w:rsidRPr="000E4589" w:rsidRDefault="00EE6D95">
            <w:pPr>
              <w:pStyle w:val="CellHeader"/>
            </w:pPr>
            <w:r w:rsidRPr="000E4589">
              <w:t>Polazna vrijednost</w:t>
            </w:r>
          </w:p>
        </w:tc>
        <w:tc>
          <w:tcPr>
            <w:tcW w:w="1486" w:type="dxa"/>
            <w:shd w:val="clear" w:color="auto" w:fill="B5C0D8"/>
          </w:tcPr>
          <w:p w:rsidR="00D849AA" w:rsidRPr="000E4589" w:rsidRDefault="00EE6D95">
            <w:pPr>
              <w:pStyle w:val="CellHeader"/>
            </w:pPr>
            <w:r w:rsidRPr="000E4589">
              <w:t>Ciljana vrijednost (2014.)</w:t>
            </w:r>
          </w:p>
        </w:tc>
        <w:tc>
          <w:tcPr>
            <w:tcW w:w="1486" w:type="dxa"/>
            <w:shd w:val="clear" w:color="auto" w:fill="B5C0D8"/>
          </w:tcPr>
          <w:p w:rsidR="00D849AA" w:rsidRPr="000E4589" w:rsidRDefault="00EE6D95">
            <w:pPr>
              <w:pStyle w:val="CellHeader"/>
            </w:pPr>
            <w:r w:rsidRPr="000E4589">
              <w:t>Ciljana vrijednost (2015.)</w:t>
            </w:r>
          </w:p>
        </w:tc>
        <w:tc>
          <w:tcPr>
            <w:tcW w:w="1486" w:type="dxa"/>
            <w:shd w:val="clear" w:color="auto" w:fill="B5C0D8"/>
          </w:tcPr>
          <w:p w:rsidR="00D849AA" w:rsidRPr="000E4589" w:rsidRDefault="00EE6D95">
            <w:pPr>
              <w:pStyle w:val="CellHeader"/>
            </w:pPr>
            <w:r w:rsidRPr="000E4589">
              <w:t>Ciljana vrijednost (2016.)</w:t>
            </w:r>
          </w:p>
        </w:tc>
      </w:tr>
      <w:tr w:rsidR="00D849AA">
        <w:trPr>
          <w:jc w:val="center"/>
        </w:trPr>
        <w:tc>
          <w:tcPr>
            <w:tcW w:w="2229" w:type="dxa"/>
          </w:tcPr>
          <w:p w:rsidR="00D849AA" w:rsidRPr="000E4589" w:rsidRDefault="00EE6D95">
            <w:pPr>
              <w:pStyle w:val="CellColumn"/>
            </w:pPr>
            <w:r w:rsidRPr="000E4589">
              <w:t>Visoko-tehnološke mreže za industriju</w:t>
            </w:r>
          </w:p>
        </w:tc>
        <w:tc>
          <w:tcPr>
            <w:tcW w:w="1114" w:type="dxa"/>
          </w:tcPr>
          <w:p w:rsidR="00D849AA" w:rsidRPr="000E4589" w:rsidRDefault="00EE6D95">
            <w:pPr>
              <w:rPr>
                <w:rFonts w:ascii="Arial" w:hAnsi="Arial" w:cs="Arial"/>
              </w:rPr>
            </w:pPr>
            <w:r w:rsidRPr="000E4589">
              <w:rPr>
                <w:rFonts w:ascii="Arial" w:hAnsi="Arial" w:cs="Arial"/>
              </w:rPr>
              <w:t>Broj</w:t>
            </w:r>
          </w:p>
        </w:tc>
        <w:tc>
          <w:tcPr>
            <w:tcW w:w="1114" w:type="dxa"/>
          </w:tcPr>
          <w:p w:rsidR="00D849AA" w:rsidRPr="000E4589" w:rsidRDefault="00EE6D95">
            <w:pPr>
              <w:rPr>
                <w:rFonts w:ascii="Arial" w:hAnsi="Arial" w:cs="Arial"/>
              </w:rPr>
            </w:pPr>
            <w:r w:rsidRPr="000E4589">
              <w:rPr>
                <w:rFonts w:ascii="Arial" w:hAnsi="Arial" w:cs="Arial"/>
              </w:rPr>
              <w:t>0</w:t>
            </w:r>
          </w:p>
        </w:tc>
        <w:tc>
          <w:tcPr>
            <w:tcW w:w="1486" w:type="dxa"/>
          </w:tcPr>
          <w:p w:rsidR="00D849AA" w:rsidRPr="000E4589" w:rsidRDefault="00EE6D95">
            <w:pPr>
              <w:rPr>
                <w:rFonts w:ascii="Arial" w:hAnsi="Arial" w:cs="Arial"/>
              </w:rPr>
            </w:pPr>
            <w:r w:rsidRPr="000E4589">
              <w:rPr>
                <w:rFonts w:ascii="Arial" w:hAnsi="Arial" w:cs="Arial"/>
              </w:rPr>
              <w:t>6</w:t>
            </w:r>
          </w:p>
        </w:tc>
        <w:tc>
          <w:tcPr>
            <w:tcW w:w="1486" w:type="dxa"/>
          </w:tcPr>
          <w:p w:rsidR="00D849AA" w:rsidRPr="000E4589" w:rsidRDefault="00EE6D95">
            <w:pPr>
              <w:rPr>
                <w:rFonts w:ascii="Arial" w:hAnsi="Arial" w:cs="Arial"/>
              </w:rPr>
            </w:pPr>
            <w:r w:rsidRPr="000E4589">
              <w:rPr>
                <w:rFonts w:ascii="Arial" w:hAnsi="Arial" w:cs="Arial"/>
              </w:rPr>
              <w:t>12</w:t>
            </w:r>
          </w:p>
        </w:tc>
        <w:tc>
          <w:tcPr>
            <w:tcW w:w="1486" w:type="dxa"/>
          </w:tcPr>
          <w:p w:rsidR="00D849AA" w:rsidRPr="000E4589" w:rsidRDefault="00EE6D95">
            <w:pPr>
              <w:rPr>
                <w:rFonts w:ascii="Arial" w:hAnsi="Arial" w:cs="Arial"/>
              </w:rPr>
            </w:pPr>
            <w:r w:rsidRPr="000E4589">
              <w:rPr>
                <w:rFonts w:ascii="Arial" w:hAnsi="Arial" w:cs="Arial"/>
              </w:rPr>
              <w:t>12</w:t>
            </w:r>
          </w:p>
        </w:tc>
      </w:tr>
      <w:tr w:rsidR="00D849AA">
        <w:trPr>
          <w:jc w:val="center"/>
        </w:trPr>
        <w:tc>
          <w:tcPr>
            <w:tcW w:w="2229" w:type="dxa"/>
          </w:tcPr>
          <w:p w:rsidR="00D849AA" w:rsidRPr="000E4589" w:rsidRDefault="00EE6D95">
            <w:pPr>
              <w:pStyle w:val="CellColumn"/>
            </w:pPr>
            <w:r w:rsidRPr="000E4589">
              <w:t>Klasteri konkurentnosti</w:t>
            </w:r>
          </w:p>
        </w:tc>
        <w:tc>
          <w:tcPr>
            <w:tcW w:w="1114" w:type="dxa"/>
          </w:tcPr>
          <w:p w:rsidR="00D849AA" w:rsidRPr="000E4589" w:rsidRDefault="00EE6D95">
            <w:pPr>
              <w:rPr>
                <w:rFonts w:ascii="Arial" w:hAnsi="Arial" w:cs="Arial"/>
              </w:rPr>
            </w:pPr>
            <w:r w:rsidRPr="000E4589">
              <w:rPr>
                <w:rFonts w:ascii="Arial" w:hAnsi="Arial" w:cs="Arial"/>
              </w:rPr>
              <w:t>Broj</w:t>
            </w:r>
          </w:p>
        </w:tc>
        <w:tc>
          <w:tcPr>
            <w:tcW w:w="1114" w:type="dxa"/>
          </w:tcPr>
          <w:p w:rsidR="00D849AA" w:rsidRPr="000E4589" w:rsidRDefault="00EE6D95">
            <w:pPr>
              <w:rPr>
                <w:rFonts w:ascii="Arial" w:hAnsi="Arial" w:cs="Arial"/>
              </w:rPr>
            </w:pPr>
            <w:r w:rsidRPr="000E4589">
              <w:rPr>
                <w:rFonts w:ascii="Arial" w:hAnsi="Arial" w:cs="Arial"/>
              </w:rPr>
              <w:t>0</w:t>
            </w:r>
          </w:p>
        </w:tc>
        <w:tc>
          <w:tcPr>
            <w:tcW w:w="1486" w:type="dxa"/>
          </w:tcPr>
          <w:p w:rsidR="00D849AA" w:rsidRPr="000E4589" w:rsidRDefault="00EE6D95">
            <w:pPr>
              <w:rPr>
                <w:rFonts w:ascii="Arial" w:hAnsi="Arial" w:cs="Arial"/>
              </w:rPr>
            </w:pPr>
            <w:r w:rsidRPr="000E4589">
              <w:rPr>
                <w:rFonts w:ascii="Arial" w:hAnsi="Arial" w:cs="Arial"/>
              </w:rPr>
              <w:t>12</w:t>
            </w:r>
          </w:p>
        </w:tc>
        <w:tc>
          <w:tcPr>
            <w:tcW w:w="1486" w:type="dxa"/>
          </w:tcPr>
          <w:p w:rsidR="00D849AA" w:rsidRPr="000E4589" w:rsidRDefault="00EE6D95">
            <w:pPr>
              <w:rPr>
                <w:rFonts w:ascii="Arial" w:hAnsi="Arial" w:cs="Arial"/>
              </w:rPr>
            </w:pPr>
            <w:r w:rsidRPr="000E4589">
              <w:rPr>
                <w:rFonts w:ascii="Arial" w:hAnsi="Arial" w:cs="Arial"/>
              </w:rPr>
              <w:t>15</w:t>
            </w:r>
          </w:p>
        </w:tc>
        <w:tc>
          <w:tcPr>
            <w:tcW w:w="1486" w:type="dxa"/>
          </w:tcPr>
          <w:p w:rsidR="00D849AA" w:rsidRPr="000E4589" w:rsidRDefault="00EE6D95">
            <w:pPr>
              <w:rPr>
                <w:rFonts w:ascii="Arial" w:hAnsi="Arial" w:cs="Arial"/>
              </w:rPr>
            </w:pPr>
            <w:r w:rsidRPr="000E4589">
              <w:rPr>
                <w:rFonts w:ascii="Arial" w:hAnsi="Arial" w:cs="Arial"/>
              </w:rPr>
              <w:t>15</w:t>
            </w:r>
          </w:p>
        </w:tc>
      </w:tr>
      <w:tr w:rsidR="00D849AA">
        <w:trPr>
          <w:jc w:val="center"/>
        </w:trPr>
        <w:tc>
          <w:tcPr>
            <w:tcW w:w="2229" w:type="dxa"/>
          </w:tcPr>
          <w:p w:rsidR="00D849AA" w:rsidRPr="000E4589" w:rsidRDefault="00EE6D95">
            <w:pPr>
              <w:pStyle w:val="CellColumn"/>
            </w:pPr>
            <w:r w:rsidRPr="000E4589">
              <w:t>Operativna podrška razvojnim programima i projektima</w:t>
            </w:r>
          </w:p>
        </w:tc>
        <w:tc>
          <w:tcPr>
            <w:tcW w:w="1114" w:type="dxa"/>
          </w:tcPr>
          <w:p w:rsidR="00D849AA" w:rsidRPr="000E4589" w:rsidRDefault="00EE6D95">
            <w:pPr>
              <w:rPr>
                <w:rFonts w:ascii="Arial" w:hAnsi="Arial" w:cs="Arial"/>
              </w:rPr>
            </w:pPr>
            <w:r w:rsidRPr="000E4589">
              <w:rPr>
                <w:rFonts w:ascii="Arial" w:hAnsi="Arial" w:cs="Arial"/>
              </w:rPr>
              <w:t>Broj</w:t>
            </w:r>
          </w:p>
        </w:tc>
        <w:tc>
          <w:tcPr>
            <w:tcW w:w="1114" w:type="dxa"/>
          </w:tcPr>
          <w:p w:rsidR="00D849AA" w:rsidRPr="000E4589" w:rsidRDefault="00EE6D95">
            <w:pPr>
              <w:rPr>
                <w:rFonts w:ascii="Arial" w:hAnsi="Arial" w:cs="Arial"/>
              </w:rPr>
            </w:pPr>
            <w:r w:rsidRPr="000E4589">
              <w:rPr>
                <w:rFonts w:ascii="Arial" w:hAnsi="Arial" w:cs="Arial"/>
              </w:rPr>
              <w:t>0</w:t>
            </w:r>
          </w:p>
        </w:tc>
        <w:tc>
          <w:tcPr>
            <w:tcW w:w="1486" w:type="dxa"/>
          </w:tcPr>
          <w:p w:rsidR="00D849AA" w:rsidRPr="000E4589" w:rsidRDefault="00EE6D95">
            <w:pPr>
              <w:rPr>
                <w:rFonts w:ascii="Arial" w:hAnsi="Arial" w:cs="Arial"/>
              </w:rPr>
            </w:pPr>
            <w:r w:rsidRPr="000E4589">
              <w:rPr>
                <w:rFonts w:ascii="Arial" w:hAnsi="Arial" w:cs="Arial"/>
              </w:rPr>
              <w:t>10</w:t>
            </w:r>
          </w:p>
        </w:tc>
        <w:tc>
          <w:tcPr>
            <w:tcW w:w="1486" w:type="dxa"/>
          </w:tcPr>
          <w:p w:rsidR="00D849AA" w:rsidRPr="000E4589" w:rsidRDefault="00EE6D95">
            <w:pPr>
              <w:rPr>
                <w:rFonts w:ascii="Arial" w:hAnsi="Arial" w:cs="Arial"/>
              </w:rPr>
            </w:pPr>
            <w:r w:rsidRPr="000E4589">
              <w:rPr>
                <w:rFonts w:ascii="Arial" w:hAnsi="Arial" w:cs="Arial"/>
              </w:rPr>
              <w:t>20</w:t>
            </w:r>
          </w:p>
        </w:tc>
        <w:tc>
          <w:tcPr>
            <w:tcW w:w="1486" w:type="dxa"/>
          </w:tcPr>
          <w:p w:rsidR="00D849AA" w:rsidRPr="000E4589" w:rsidRDefault="00EE6D95">
            <w:pPr>
              <w:rPr>
                <w:rFonts w:ascii="Arial" w:hAnsi="Arial" w:cs="Arial"/>
              </w:rPr>
            </w:pPr>
            <w:r w:rsidRPr="000E4589">
              <w:rPr>
                <w:rFonts w:ascii="Arial" w:hAnsi="Arial" w:cs="Arial"/>
              </w:rPr>
              <w:t>30</w:t>
            </w:r>
          </w:p>
        </w:tc>
      </w:tr>
    </w:tbl>
    <w:p w:rsidR="00D849AA" w:rsidRDefault="00D849AA">
      <w:pPr>
        <w:jc w:val="left"/>
      </w:pPr>
    </w:p>
    <w:p w:rsidR="00D849AA" w:rsidRDefault="00EE6D95">
      <w:pPr>
        <w:pStyle w:val="Naslov6"/>
      </w:pPr>
      <w:r>
        <w:t>K822057 OP REGIONALNA KONKURENTNOST, PRIORITET 3</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0E4589" w:rsidRDefault="00EE6D95">
            <w:pPr>
              <w:pStyle w:val="CellHeader"/>
            </w:pPr>
            <w:r w:rsidRPr="000E4589">
              <w:t>Naziv aktivnosti</w:t>
            </w:r>
          </w:p>
        </w:tc>
        <w:tc>
          <w:tcPr>
            <w:tcW w:w="1486" w:type="dxa"/>
            <w:shd w:val="clear" w:color="auto" w:fill="B5C0D8"/>
          </w:tcPr>
          <w:p w:rsidR="00D849AA" w:rsidRPr="000E4589" w:rsidRDefault="00EE6D95">
            <w:pPr>
              <w:pStyle w:val="CellHeader"/>
            </w:pPr>
            <w:r w:rsidRPr="000E4589">
              <w:t>Plan 2013.</w:t>
            </w:r>
          </w:p>
        </w:tc>
        <w:tc>
          <w:tcPr>
            <w:tcW w:w="1486" w:type="dxa"/>
            <w:shd w:val="clear" w:color="auto" w:fill="B5C0D8"/>
          </w:tcPr>
          <w:p w:rsidR="00D849AA" w:rsidRPr="000E4589" w:rsidRDefault="00EE6D95">
            <w:pPr>
              <w:pStyle w:val="CellHeader"/>
            </w:pPr>
            <w:r w:rsidRPr="000E4589">
              <w:t>Plan 2014.</w:t>
            </w:r>
          </w:p>
        </w:tc>
        <w:tc>
          <w:tcPr>
            <w:tcW w:w="1486" w:type="dxa"/>
            <w:shd w:val="clear" w:color="auto" w:fill="B5C0D8"/>
          </w:tcPr>
          <w:p w:rsidR="00D849AA" w:rsidRPr="000E4589" w:rsidRDefault="00EE6D95">
            <w:pPr>
              <w:pStyle w:val="CellHeader"/>
            </w:pPr>
            <w:r w:rsidRPr="000E4589">
              <w:t>Plan 2015.</w:t>
            </w:r>
          </w:p>
        </w:tc>
        <w:tc>
          <w:tcPr>
            <w:tcW w:w="1486" w:type="dxa"/>
            <w:shd w:val="clear" w:color="auto" w:fill="B5C0D8"/>
          </w:tcPr>
          <w:p w:rsidR="00D849AA" w:rsidRPr="000E4589" w:rsidRDefault="00EE6D95">
            <w:pPr>
              <w:pStyle w:val="CellHeader"/>
            </w:pPr>
            <w:r w:rsidRPr="000E4589">
              <w:t>Plan 2016.</w:t>
            </w:r>
          </w:p>
        </w:tc>
        <w:tc>
          <w:tcPr>
            <w:tcW w:w="1486" w:type="dxa"/>
            <w:shd w:val="clear" w:color="auto" w:fill="B5C0D8"/>
          </w:tcPr>
          <w:p w:rsidR="00D849AA" w:rsidRPr="000E4589" w:rsidRDefault="00EE6D95">
            <w:pPr>
              <w:pStyle w:val="CellHeader"/>
            </w:pPr>
            <w:r w:rsidRPr="000E4589">
              <w:t>Indeks 2014/2013</w:t>
            </w:r>
          </w:p>
        </w:tc>
      </w:tr>
      <w:tr w:rsidR="00D849AA">
        <w:trPr>
          <w:jc w:val="center"/>
        </w:trPr>
        <w:tc>
          <w:tcPr>
            <w:tcW w:w="1486" w:type="dxa"/>
          </w:tcPr>
          <w:p w:rsidR="00D849AA" w:rsidRPr="000E4589" w:rsidRDefault="00EE6D95">
            <w:pPr>
              <w:pStyle w:val="CellColumn"/>
            </w:pPr>
            <w:r w:rsidRPr="000E4589">
              <w:t>K822057</w:t>
            </w:r>
          </w:p>
        </w:tc>
        <w:tc>
          <w:tcPr>
            <w:tcW w:w="1486" w:type="dxa"/>
          </w:tcPr>
          <w:p w:rsidR="00D849AA" w:rsidRPr="000E4589" w:rsidRDefault="00EE6D95">
            <w:pPr>
              <w:rPr>
                <w:rFonts w:ascii="Arial" w:hAnsi="Arial" w:cs="Arial"/>
              </w:rPr>
            </w:pPr>
            <w:r w:rsidRPr="000E4589">
              <w:rPr>
                <w:rFonts w:ascii="Arial" w:hAnsi="Arial" w:cs="Arial"/>
              </w:rPr>
              <w:t>00</w:t>
            </w:r>
          </w:p>
        </w:tc>
        <w:tc>
          <w:tcPr>
            <w:tcW w:w="1486" w:type="dxa"/>
          </w:tcPr>
          <w:p w:rsidR="00D849AA" w:rsidRPr="000E4589" w:rsidRDefault="00EE6D95">
            <w:pPr>
              <w:rPr>
                <w:rFonts w:ascii="Arial" w:hAnsi="Arial" w:cs="Arial"/>
              </w:rPr>
            </w:pPr>
            <w:r w:rsidRPr="000E4589">
              <w:rPr>
                <w:rFonts w:ascii="Arial" w:hAnsi="Arial" w:cs="Arial"/>
              </w:rPr>
              <w:t>3.343.667</w:t>
            </w:r>
          </w:p>
        </w:tc>
        <w:tc>
          <w:tcPr>
            <w:tcW w:w="1486" w:type="dxa"/>
          </w:tcPr>
          <w:p w:rsidR="00D849AA" w:rsidRPr="000E4589" w:rsidRDefault="00EE6D95">
            <w:pPr>
              <w:rPr>
                <w:rFonts w:ascii="Arial" w:hAnsi="Arial" w:cs="Arial"/>
              </w:rPr>
            </w:pPr>
            <w:r w:rsidRPr="000E4589">
              <w:rPr>
                <w:rFonts w:ascii="Arial" w:hAnsi="Arial" w:cs="Arial"/>
              </w:rPr>
              <w:t>59.948</w:t>
            </w:r>
          </w:p>
        </w:tc>
        <w:tc>
          <w:tcPr>
            <w:tcW w:w="1486" w:type="dxa"/>
          </w:tcPr>
          <w:p w:rsidR="00D849AA" w:rsidRPr="000E4589" w:rsidRDefault="00EE6D95">
            <w:pPr>
              <w:rPr>
                <w:rFonts w:ascii="Arial" w:hAnsi="Arial" w:cs="Arial"/>
              </w:rPr>
            </w:pPr>
            <w:r w:rsidRPr="000E4589">
              <w:rPr>
                <w:rFonts w:ascii="Arial" w:hAnsi="Arial" w:cs="Arial"/>
              </w:rPr>
              <w:t>11.990</w:t>
            </w:r>
          </w:p>
        </w:tc>
        <w:tc>
          <w:tcPr>
            <w:tcW w:w="1486" w:type="dxa"/>
          </w:tcPr>
          <w:p w:rsidR="00D849AA" w:rsidRPr="000E4589" w:rsidRDefault="00EE6D95">
            <w:pPr>
              <w:rPr>
                <w:rFonts w:ascii="Arial" w:hAnsi="Arial" w:cs="Arial"/>
              </w:rPr>
            </w:pPr>
            <w:r w:rsidRPr="000E4589">
              <w:rPr>
                <w:rFonts w:ascii="Arial" w:hAnsi="Arial" w:cs="Arial"/>
              </w:rPr>
              <w:t>0,0</w:t>
            </w:r>
          </w:p>
        </w:tc>
      </w:tr>
    </w:tbl>
    <w:p w:rsidR="00D849AA" w:rsidRDefault="00D849AA">
      <w:pPr>
        <w:jc w:val="left"/>
      </w:pPr>
    </w:p>
    <w:p w:rsidR="00D849AA" w:rsidRDefault="00EE6D95">
      <w:pPr>
        <w:pStyle w:val="Normal6"/>
      </w:pPr>
      <w:r>
        <w:t xml:space="preserve">Uredbom o tijelima u sustavu upravljanja i kontrole korištenja strukturnih instrumenata Europske unije u Republici Hrvatskoj (NN 97/12) Ministarstvo gospodarstva je imenovano kao Posredničko tijelo razine 1 koje je nadležno za provođenje Prioritetne osi 3. Tehnička pomoć koju provodi Sektor za programe i projekte Europske unije u sklopu Uprave za industriju, investicije i programe i projekte Europske unije. Cilj ovog Prioriteta je osigurati učinkovito i efikasno upravljanje Operativnim programom, razviti institucionalnu sposobnost za efikasno i efektivno upravljanje financijskim sredstvima. </w:t>
      </w:r>
    </w:p>
    <w:p w:rsidR="00D849AA" w:rsidRDefault="00EE6D95">
      <w:pPr>
        <w:pStyle w:val="Normal6"/>
      </w:pPr>
      <w:r>
        <w:t>Ukupno alocirani iznosi iz Operativnog programa regionalna konkurentnost 2007. – 2013. za operacije u sklopu Prioriteta 3. Tehnička pomoć je 13.906.102 EUR od čega je utrošeno 2.828.383,04 EUR.</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rsidRPr="000E4589">
        <w:trPr>
          <w:jc w:val="center"/>
        </w:trPr>
        <w:tc>
          <w:tcPr>
            <w:tcW w:w="2229" w:type="dxa"/>
            <w:shd w:val="clear" w:color="auto" w:fill="B5C0D8"/>
          </w:tcPr>
          <w:p w:rsidR="00D849AA" w:rsidRPr="000E4589" w:rsidRDefault="00EE6D95">
            <w:pPr>
              <w:rPr>
                <w:rFonts w:ascii="Arial" w:hAnsi="Arial" w:cs="Arial"/>
              </w:rPr>
            </w:pPr>
            <w:r w:rsidRPr="000E4589">
              <w:rPr>
                <w:rFonts w:ascii="Arial" w:hAnsi="Arial" w:cs="Arial"/>
              </w:rPr>
              <w:t>Pokazatelj rezultata</w:t>
            </w:r>
          </w:p>
        </w:tc>
        <w:tc>
          <w:tcPr>
            <w:tcW w:w="1114" w:type="dxa"/>
            <w:shd w:val="clear" w:color="auto" w:fill="B5C0D8"/>
          </w:tcPr>
          <w:p w:rsidR="00D849AA" w:rsidRPr="000E4589" w:rsidRDefault="00EE6D95">
            <w:pPr>
              <w:pStyle w:val="CellHeader"/>
            </w:pPr>
            <w:r w:rsidRPr="000E4589">
              <w:t>Jedinica</w:t>
            </w:r>
          </w:p>
        </w:tc>
        <w:tc>
          <w:tcPr>
            <w:tcW w:w="1114" w:type="dxa"/>
            <w:shd w:val="clear" w:color="auto" w:fill="B5C0D8"/>
          </w:tcPr>
          <w:p w:rsidR="00D849AA" w:rsidRPr="000E4589" w:rsidRDefault="00EE6D95">
            <w:pPr>
              <w:pStyle w:val="CellHeader"/>
            </w:pPr>
            <w:r w:rsidRPr="000E4589">
              <w:t>Polazna vrijednost</w:t>
            </w:r>
          </w:p>
        </w:tc>
        <w:tc>
          <w:tcPr>
            <w:tcW w:w="1486" w:type="dxa"/>
            <w:shd w:val="clear" w:color="auto" w:fill="B5C0D8"/>
          </w:tcPr>
          <w:p w:rsidR="00D849AA" w:rsidRPr="000E4589" w:rsidRDefault="00EE6D95">
            <w:pPr>
              <w:pStyle w:val="CellHeader"/>
            </w:pPr>
            <w:r w:rsidRPr="000E4589">
              <w:t>Ciljana vrijednost (2014.)</w:t>
            </w:r>
          </w:p>
        </w:tc>
        <w:tc>
          <w:tcPr>
            <w:tcW w:w="1486" w:type="dxa"/>
            <w:shd w:val="clear" w:color="auto" w:fill="B5C0D8"/>
          </w:tcPr>
          <w:p w:rsidR="00D849AA" w:rsidRPr="000E4589" w:rsidRDefault="00EE6D95">
            <w:pPr>
              <w:pStyle w:val="CellHeader"/>
            </w:pPr>
            <w:r w:rsidRPr="000E4589">
              <w:t>Ciljana vrijednost (2015.)</w:t>
            </w:r>
          </w:p>
        </w:tc>
        <w:tc>
          <w:tcPr>
            <w:tcW w:w="1486" w:type="dxa"/>
            <w:shd w:val="clear" w:color="auto" w:fill="B5C0D8"/>
          </w:tcPr>
          <w:p w:rsidR="00D849AA" w:rsidRPr="000E4589" w:rsidRDefault="00EE6D95">
            <w:pPr>
              <w:pStyle w:val="CellHeader"/>
            </w:pPr>
            <w:r w:rsidRPr="000E4589">
              <w:t>Ciljana vrijednost (2016.)</w:t>
            </w:r>
          </w:p>
        </w:tc>
      </w:tr>
      <w:tr w:rsidR="00D849AA" w:rsidRPr="000E4589">
        <w:trPr>
          <w:jc w:val="center"/>
        </w:trPr>
        <w:tc>
          <w:tcPr>
            <w:tcW w:w="2229" w:type="dxa"/>
          </w:tcPr>
          <w:p w:rsidR="00D849AA" w:rsidRPr="000E4589" w:rsidRDefault="00EE6D95">
            <w:pPr>
              <w:pStyle w:val="CellColumn"/>
            </w:pPr>
            <w:r w:rsidRPr="000E4589">
              <w:t>Objavljeni pozivi za dodjelu bespovratnih sredstava</w:t>
            </w:r>
          </w:p>
        </w:tc>
        <w:tc>
          <w:tcPr>
            <w:tcW w:w="1114" w:type="dxa"/>
          </w:tcPr>
          <w:p w:rsidR="00D849AA" w:rsidRPr="000E4589" w:rsidRDefault="00EE6D95">
            <w:pPr>
              <w:rPr>
                <w:rFonts w:ascii="Arial" w:hAnsi="Arial" w:cs="Arial"/>
              </w:rPr>
            </w:pPr>
            <w:r w:rsidRPr="000E4589">
              <w:rPr>
                <w:rFonts w:ascii="Arial" w:hAnsi="Arial" w:cs="Arial"/>
              </w:rPr>
              <w:t>Broj</w:t>
            </w:r>
          </w:p>
        </w:tc>
        <w:tc>
          <w:tcPr>
            <w:tcW w:w="1114" w:type="dxa"/>
          </w:tcPr>
          <w:p w:rsidR="00D849AA" w:rsidRPr="000E4589" w:rsidRDefault="00EE6D95">
            <w:pPr>
              <w:rPr>
                <w:rFonts w:ascii="Arial" w:hAnsi="Arial" w:cs="Arial"/>
              </w:rPr>
            </w:pPr>
            <w:r w:rsidRPr="000E4589">
              <w:rPr>
                <w:rFonts w:ascii="Arial" w:hAnsi="Arial" w:cs="Arial"/>
              </w:rPr>
              <w:t>1</w:t>
            </w:r>
          </w:p>
        </w:tc>
        <w:tc>
          <w:tcPr>
            <w:tcW w:w="1486" w:type="dxa"/>
          </w:tcPr>
          <w:p w:rsidR="00D849AA" w:rsidRPr="000E4589" w:rsidRDefault="00EE6D95">
            <w:pPr>
              <w:rPr>
                <w:rFonts w:ascii="Arial" w:hAnsi="Arial" w:cs="Arial"/>
              </w:rPr>
            </w:pPr>
            <w:r w:rsidRPr="000E4589">
              <w:rPr>
                <w:rFonts w:ascii="Arial" w:hAnsi="Arial" w:cs="Arial"/>
              </w:rPr>
              <w:t>2</w:t>
            </w:r>
          </w:p>
        </w:tc>
        <w:tc>
          <w:tcPr>
            <w:tcW w:w="1486" w:type="dxa"/>
          </w:tcPr>
          <w:p w:rsidR="00D849AA" w:rsidRPr="000E4589" w:rsidRDefault="00EE6D95">
            <w:pPr>
              <w:rPr>
                <w:rFonts w:ascii="Arial" w:hAnsi="Arial" w:cs="Arial"/>
              </w:rPr>
            </w:pPr>
            <w:r w:rsidRPr="000E4589">
              <w:rPr>
                <w:rFonts w:ascii="Arial" w:hAnsi="Arial" w:cs="Arial"/>
              </w:rPr>
              <w:t>3</w:t>
            </w:r>
          </w:p>
        </w:tc>
        <w:tc>
          <w:tcPr>
            <w:tcW w:w="1486" w:type="dxa"/>
          </w:tcPr>
          <w:p w:rsidR="00D849AA" w:rsidRPr="000E4589" w:rsidRDefault="00EE6D95">
            <w:pPr>
              <w:rPr>
                <w:rFonts w:ascii="Arial" w:hAnsi="Arial" w:cs="Arial"/>
              </w:rPr>
            </w:pPr>
            <w:r w:rsidRPr="000E4589">
              <w:rPr>
                <w:rFonts w:ascii="Arial" w:hAnsi="Arial" w:cs="Arial"/>
              </w:rPr>
              <w:t>4</w:t>
            </w:r>
          </w:p>
        </w:tc>
      </w:tr>
      <w:tr w:rsidR="00D849AA" w:rsidRPr="000E4589">
        <w:trPr>
          <w:jc w:val="center"/>
        </w:trPr>
        <w:tc>
          <w:tcPr>
            <w:tcW w:w="2229" w:type="dxa"/>
          </w:tcPr>
          <w:p w:rsidR="00D849AA" w:rsidRPr="000E4589" w:rsidRDefault="00EE6D95">
            <w:pPr>
              <w:pStyle w:val="CellColumn"/>
            </w:pPr>
            <w:r w:rsidRPr="000E4589">
              <w:t xml:space="preserve">Sklopljeni ugovori za dodjelu bespovratnih </w:t>
            </w:r>
            <w:r w:rsidRPr="000E4589">
              <w:lastRenderedPageBreak/>
              <w:t>sredstava</w:t>
            </w:r>
          </w:p>
        </w:tc>
        <w:tc>
          <w:tcPr>
            <w:tcW w:w="1114" w:type="dxa"/>
          </w:tcPr>
          <w:p w:rsidR="00D849AA" w:rsidRPr="000E4589" w:rsidRDefault="00EE6D95">
            <w:pPr>
              <w:rPr>
                <w:rFonts w:ascii="Arial" w:hAnsi="Arial" w:cs="Arial"/>
              </w:rPr>
            </w:pPr>
            <w:r w:rsidRPr="000E4589">
              <w:rPr>
                <w:rFonts w:ascii="Arial" w:hAnsi="Arial" w:cs="Arial"/>
              </w:rPr>
              <w:lastRenderedPageBreak/>
              <w:t>Broj</w:t>
            </w:r>
          </w:p>
        </w:tc>
        <w:tc>
          <w:tcPr>
            <w:tcW w:w="1114" w:type="dxa"/>
          </w:tcPr>
          <w:p w:rsidR="00D849AA" w:rsidRPr="000E4589" w:rsidRDefault="00EE6D95">
            <w:pPr>
              <w:rPr>
                <w:rFonts w:ascii="Arial" w:hAnsi="Arial" w:cs="Arial"/>
              </w:rPr>
            </w:pPr>
            <w:r w:rsidRPr="000E4589">
              <w:rPr>
                <w:rFonts w:ascii="Arial" w:hAnsi="Arial" w:cs="Arial"/>
              </w:rPr>
              <w:t>5</w:t>
            </w:r>
          </w:p>
        </w:tc>
        <w:tc>
          <w:tcPr>
            <w:tcW w:w="1486" w:type="dxa"/>
          </w:tcPr>
          <w:p w:rsidR="00D849AA" w:rsidRPr="000E4589" w:rsidRDefault="00EE6D95">
            <w:pPr>
              <w:rPr>
                <w:rFonts w:ascii="Arial" w:hAnsi="Arial" w:cs="Arial"/>
              </w:rPr>
            </w:pPr>
            <w:r w:rsidRPr="000E4589">
              <w:rPr>
                <w:rFonts w:ascii="Arial" w:hAnsi="Arial" w:cs="Arial"/>
              </w:rPr>
              <w:t>10</w:t>
            </w:r>
          </w:p>
        </w:tc>
        <w:tc>
          <w:tcPr>
            <w:tcW w:w="1486" w:type="dxa"/>
          </w:tcPr>
          <w:p w:rsidR="00D849AA" w:rsidRPr="000E4589" w:rsidRDefault="00EE6D95">
            <w:pPr>
              <w:rPr>
                <w:rFonts w:ascii="Arial" w:hAnsi="Arial" w:cs="Arial"/>
              </w:rPr>
            </w:pPr>
            <w:r w:rsidRPr="000E4589">
              <w:rPr>
                <w:rFonts w:ascii="Arial" w:hAnsi="Arial" w:cs="Arial"/>
              </w:rPr>
              <w:t>15</w:t>
            </w:r>
          </w:p>
        </w:tc>
        <w:tc>
          <w:tcPr>
            <w:tcW w:w="1486" w:type="dxa"/>
          </w:tcPr>
          <w:p w:rsidR="00D849AA" w:rsidRPr="000E4589" w:rsidRDefault="00EE6D95">
            <w:pPr>
              <w:rPr>
                <w:rFonts w:ascii="Arial" w:hAnsi="Arial" w:cs="Arial"/>
              </w:rPr>
            </w:pPr>
            <w:r w:rsidRPr="000E4589">
              <w:rPr>
                <w:rFonts w:ascii="Arial" w:hAnsi="Arial" w:cs="Arial"/>
              </w:rPr>
              <w:t>20</w:t>
            </w:r>
          </w:p>
        </w:tc>
      </w:tr>
      <w:tr w:rsidR="00D849AA" w:rsidRPr="000E4589">
        <w:trPr>
          <w:jc w:val="center"/>
        </w:trPr>
        <w:tc>
          <w:tcPr>
            <w:tcW w:w="2229" w:type="dxa"/>
          </w:tcPr>
          <w:p w:rsidR="00D849AA" w:rsidRPr="000E4589" w:rsidRDefault="00EE6D95">
            <w:pPr>
              <w:pStyle w:val="CellColumn"/>
            </w:pPr>
            <w:r w:rsidRPr="000E4589">
              <w:lastRenderedPageBreak/>
              <w:t>Iskorištenost alociranih sredstava za tehničku pomoć</w:t>
            </w:r>
          </w:p>
        </w:tc>
        <w:tc>
          <w:tcPr>
            <w:tcW w:w="1114" w:type="dxa"/>
          </w:tcPr>
          <w:p w:rsidR="00D849AA" w:rsidRPr="000E4589" w:rsidRDefault="00EE6D95">
            <w:pPr>
              <w:rPr>
                <w:rFonts w:ascii="Arial" w:hAnsi="Arial" w:cs="Arial"/>
              </w:rPr>
            </w:pPr>
            <w:r w:rsidRPr="000E4589">
              <w:rPr>
                <w:rFonts w:ascii="Arial" w:hAnsi="Arial" w:cs="Arial"/>
              </w:rPr>
              <w:t>%</w:t>
            </w:r>
          </w:p>
        </w:tc>
        <w:tc>
          <w:tcPr>
            <w:tcW w:w="1114" w:type="dxa"/>
          </w:tcPr>
          <w:p w:rsidR="00D849AA" w:rsidRPr="000E4589" w:rsidRDefault="00EE6D95">
            <w:pPr>
              <w:rPr>
                <w:rFonts w:ascii="Arial" w:hAnsi="Arial" w:cs="Arial"/>
              </w:rPr>
            </w:pPr>
            <w:r w:rsidRPr="000E4589">
              <w:rPr>
                <w:rFonts w:ascii="Arial" w:hAnsi="Arial" w:cs="Arial"/>
              </w:rPr>
              <w:t>20</w:t>
            </w:r>
          </w:p>
        </w:tc>
        <w:tc>
          <w:tcPr>
            <w:tcW w:w="1486" w:type="dxa"/>
          </w:tcPr>
          <w:p w:rsidR="00D849AA" w:rsidRPr="000E4589" w:rsidRDefault="00EE6D95">
            <w:pPr>
              <w:rPr>
                <w:rFonts w:ascii="Arial" w:hAnsi="Arial" w:cs="Arial"/>
              </w:rPr>
            </w:pPr>
            <w:r w:rsidRPr="000E4589">
              <w:rPr>
                <w:rFonts w:ascii="Arial" w:hAnsi="Arial" w:cs="Arial"/>
              </w:rPr>
              <w:t>50</w:t>
            </w:r>
          </w:p>
        </w:tc>
        <w:tc>
          <w:tcPr>
            <w:tcW w:w="1486" w:type="dxa"/>
          </w:tcPr>
          <w:p w:rsidR="00D849AA" w:rsidRPr="000E4589" w:rsidRDefault="00EE6D95">
            <w:pPr>
              <w:rPr>
                <w:rFonts w:ascii="Arial" w:hAnsi="Arial" w:cs="Arial"/>
              </w:rPr>
            </w:pPr>
            <w:r w:rsidRPr="000E4589">
              <w:rPr>
                <w:rFonts w:ascii="Arial" w:hAnsi="Arial" w:cs="Arial"/>
              </w:rPr>
              <w:t>70</w:t>
            </w:r>
          </w:p>
        </w:tc>
        <w:tc>
          <w:tcPr>
            <w:tcW w:w="1486" w:type="dxa"/>
          </w:tcPr>
          <w:p w:rsidR="00D849AA" w:rsidRPr="000E4589" w:rsidRDefault="00EE6D95">
            <w:pPr>
              <w:rPr>
                <w:rFonts w:ascii="Arial" w:hAnsi="Arial" w:cs="Arial"/>
              </w:rPr>
            </w:pPr>
            <w:r w:rsidRPr="000E4589">
              <w:rPr>
                <w:rFonts w:ascii="Arial" w:hAnsi="Arial" w:cs="Arial"/>
              </w:rPr>
              <w:t>100</w:t>
            </w:r>
          </w:p>
        </w:tc>
      </w:tr>
      <w:tr w:rsidR="00D849AA" w:rsidRPr="000E4589">
        <w:trPr>
          <w:jc w:val="center"/>
        </w:trPr>
        <w:tc>
          <w:tcPr>
            <w:tcW w:w="2229" w:type="dxa"/>
          </w:tcPr>
          <w:p w:rsidR="00D849AA" w:rsidRPr="000E4589" w:rsidRDefault="00EE6D95">
            <w:pPr>
              <w:pStyle w:val="CellColumn"/>
            </w:pPr>
            <w:r w:rsidRPr="000E4589">
              <w:t>Strateški programski dokumenti</w:t>
            </w:r>
          </w:p>
        </w:tc>
        <w:tc>
          <w:tcPr>
            <w:tcW w:w="1114" w:type="dxa"/>
          </w:tcPr>
          <w:p w:rsidR="00D849AA" w:rsidRPr="000E4589" w:rsidRDefault="00EE6D95">
            <w:pPr>
              <w:rPr>
                <w:rFonts w:ascii="Arial" w:hAnsi="Arial" w:cs="Arial"/>
              </w:rPr>
            </w:pPr>
            <w:r w:rsidRPr="000E4589">
              <w:rPr>
                <w:rFonts w:ascii="Arial" w:hAnsi="Arial" w:cs="Arial"/>
              </w:rPr>
              <w:t>Broj</w:t>
            </w:r>
          </w:p>
        </w:tc>
        <w:tc>
          <w:tcPr>
            <w:tcW w:w="1114" w:type="dxa"/>
          </w:tcPr>
          <w:p w:rsidR="00D849AA" w:rsidRPr="000E4589" w:rsidRDefault="00EE6D95">
            <w:pPr>
              <w:rPr>
                <w:rFonts w:ascii="Arial" w:hAnsi="Arial" w:cs="Arial"/>
              </w:rPr>
            </w:pPr>
            <w:r w:rsidRPr="000E4589">
              <w:rPr>
                <w:rFonts w:ascii="Arial" w:hAnsi="Arial" w:cs="Arial"/>
              </w:rPr>
              <w:t>1</w:t>
            </w:r>
          </w:p>
        </w:tc>
        <w:tc>
          <w:tcPr>
            <w:tcW w:w="1486" w:type="dxa"/>
          </w:tcPr>
          <w:p w:rsidR="00D849AA" w:rsidRPr="000E4589" w:rsidRDefault="00EE6D95">
            <w:pPr>
              <w:rPr>
                <w:rFonts w:ascii="Arial" w:hAnsi="Arial" w:cs="Arial"/>
              </w:rPr>
            </w:pPr>
            <w:r w:rsidRPr="000E4589">
              <w:rPr>
                <w:rFonts w:ascii="Arial" w:hAnsi="Arial" w:cs="Arial"/>
              </w:rPr>
              <w:t>2</w:t>
            </w:r>
          </w:p>
        </w:tc>
        <w:tc>
          <w:tcPr>
            <w:tcW w:w="1486" w:type="dxa"/>
          </w:tcPr>
          <w:p w:rsidR="00D849AA" w:rsidRPr="000E4589" w:rsidRDefault="00EE6D95">
            <w:pPr>
              <w:rPr>
                <w:rFonts w:ascii="Arial" w:hAnsi="Arial" w:cs="Arial"/>
              </w:rPr>
            </w:pPr>
            <w:r w:rsidRPr="000E4589">
              <w:rPr>
                <w:rFonts w:ascii="Arial" w:hAnsi="Arial" w:cs="Arial"/>
              </w:rPr>
              <w:t>2</w:t>
            </w:r>
          </w:p>
        </w:tc>
        <w:tc>
          <w:tcPr>
            <w:tcW w:w="1486" w:type="dxa"/>
          </w:tcPr>
          <w:p w:rsidR="00D849AA" w:rsidRPr="000E4589" w:rsidRDefault="00EE6D95">
            <w:pPr>
              <w:rPr>
                <w:rFonts w:ascii="Arial" w:hAnsi="Arial" w:cs="Arial"/>
              </w:rPr>
            </w:pPr>
            <w:r w:rsidRPr="000E4589">
              <w:rPr>
                <w:rFonts w:ascii="Arial" w:hAnsi="Arial" w:cs="Arial"/>
              </w:rPr>
              <w:t>2</w:t>
            </w:r>
          </w:p>
        </w:tc>
      </w:tr>
    </w:tbl>
    <w:p w:rsidR="00D849AA" w:rsidRDefault="00D849AA">
      <w:pPr>
        <w:jc w:val="left"/>
      </w:pPr>
    </w:p>
    <w:p w:rsidR="000E4589" w:rsidRDefault="000E4589" w:rsidP="000E4589">
      <w:pPr>
        <w:jc w:val="left"/>
      </w:pPr>
    </w:p>
    <w:p w:rsidR="000E4589" w:rsidRDefault="000E4589" w:rsidP="000E4589">
      <w:pPr>
        <w:pStyle w:val="Naslov4"/>
      </w:pPr>
      <w:r>
        <w:t>OBRAZLOŽENJE PROGRAMA</w:t>
      </w:r>
    </w:p>
    <w:p w:rsidR="00D849AA" w:rsidRDefault="00EE6D95">
      <w:pPr>
        <w:pStyle w:val="Naslov5"/>
      </w:pPr>
      <w:r>
        <w:t>3217 POVEĆANJE UČINKOVITOSTI PROVEDBE POSTUPAKA JAVNE NABAVE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rsidRPr="000E4589">
        <w:trPr>
          <w:jc w:val="center"/>
        </w:trPr>
        <w:tc>
          <w:tcPr>
            <w:tcW w:w="1486" w:type="dxa"/>
            <w:shd w:val="clear" w:color="auto" w:fill="B5C0D8"/>
          </w:tcPr>
          <w:p w:rsidR="00D849AA" w:rsidRPr="000E4589" w:rsidRDefault="00D849AA">
            <w:pPr>
              <w:pStyle w:val="CellHeader"/>
            </w:pPr>
          </w:p>
        </w:tc>
        <w:tc>
          <w:tcPr>
            <w:tcW w:w="1486" w:type="dxa"/>
            <w:shd w:val="clear" w:color="auto" w:fill="B5C0D8"/>
          </w:tcPr>
          <w:p w:rsidR="00D849AA" w:rsidRPr="000E4589" w:rsidRDefault="00EE6D95">
            <w:pPr>
              <w:pStyle w:val="CellHeader"/>
            </w:pPr>
            <w:r w:rsidRPr="000E4589">
              <w:t>Plan 2013.</w:t>
            </w:r>
          </w:p>
        </w:tc>
        <w:tc>
          <w:tcPr>
            <w:tcW w:w="1486" w:type="dxa"/>
            <w:shd w:val="clear" w:color="auto" w:fill="B5C0D8"/>
          </w:tcPr>
          <w:p w:rsidR="00D849AA" w:rsidRPr="000E4589" w:rsidRDefault="00EE6D95">
            <w:pPr>
              <w:pStyle w:val="CellHeader"/>
            </w:pPr>
            <w:r w:rsidRPr="000E4589">
              <w:t>Plan 2014.</w:t>
            </w:r>
          </w:p>
        </w:tc>
        <w:tc>
          <w:tcPr>
            <w:tcW w:w="1486" w:type="dxa"/>
            <w:shd w:val="clear" w:color="auto" w:fill="B5C0D8"/>
          </w:tcPr>
          <w:p w:rsidR="00D849AA" w:rsidRPr="000E4589" w:rsidRDefault="00EE6D95">
            <w:pPr>
              <w:pStyle w:val="CellHeader"/>
            </w:pPr>
            <w:r w:rsidRPr="000E4589">
              <w:t>Plan 2015.</w:t>
            </w:r>
          </w:p>
        </w:tc>
        <w:tc>
          <w:tcPr>
            <w:tcW w:w="1486" w:type="dxa"/>
            <w:shd w:val="clear" w:color="auto" w:fill="B5C0D8"/>
          </w:tcPr>
          <w:p w:rsidR="00D849AA" w:rsidRPr="000E4589" w:rsidRDefault="00EE6D95">
            <w:pPr>
              <w:pStyle w:val="CellHeader"/>
            </w:pPr>
            <w:r w:rsidRPr="000E4589">
              <w:t>Plan 2016.</w:t>
            </w:r>
          </w:p>
        </w:tc>
        <w:tc>
          <w:tcPr>
            <w:tcW w:w="1486" w:type="dxa"/>
            <w:shd w:val="clear" w:color="auto" w:fill="B5C0D8"/>
          </w:tcPr>
          <w:p w:rsidR="00D849AA" w:rsidRPr="000E4589" w:rsidRDefault="00EE6D95">
            <w:pPr>
              <w:pStyle w:val="CellHeader"/>
            </w:pPr>
            <w:r w:rsidRPr="000E4589">
              <w:t>Indeks 2014/2013</w:t>
            </w:r>
          </w:p>
        </w:tc>
      </w:tr>
      <w:tr w:rsidR="00D849AA" w:rsidRPr="000E4589">
        <w:trPr>
          <w:jc w:val="center"/>
        </w:trPr>
        <w:tc>
          <w:tcPr>
            <w:tcW w:w="1486" w:type="dxa"/>
          </w:tcPr>
          <w:p w:rsidR="00D849AA" w:rsidRPr="000E4589" w:rsidRDefault="00EE6D95">
            <w:pPr>
              <w:pStyle w:val="CellColumn"/>
            </w:pPr>
            <w:r w:rsidRPr="000E4589">
              <w:t>3217</w:t>
            </w:r>
          </w:p>
        </w:tc>
        <w:tc>
          <w:tcPr>
            <w:tcW w:w="1486" w:type="dxa"/>
          </w:tcPr>
          <w:p w:rsidR="00D849AA" w:rsidRPr="000E4589" w:rsidRDefault="00EE6D95">
            <w:pPr>
              <w:rPr>
                <w:rFonts w:ascii="Arial" w:hAnsi="Arial" w:cs="Arial"/>
              </w:rPr>
            </w:pPr>
            <w:r w:rsidRPr="000E4589">
              <w:rPr>
                <w:rFonts w:ascii="Arial" w:hAnsi="Arial" w:cs="Arial"/>
              </w:rPr>
              <w:t>4.501.000</w:t>
            </w:r>
          </w:p>
        </w:tc>
        <w:tc>
          <w:tcPr>
            <w:tcW w:w="1486" w:type="dxa"/>
          </w:tcPr>
          <w:p w:rsidR="00D849AA" w:rsidRPr="000E4589" w:rsidRDefault="00EE6D95">
            <w:pPr>
              <w:rPr>
                <w:rFonts w:ascii="Arial" w:hAnsi="Arial" w:cs="Arial"/>
              </w:rPr>
            </w:pPr>
            <w:r w:rsidRPr="000E4589">
              <w:rPr>
                <w:rFonts w:ascii="Arial" w:hAnsi="Arial" w:cs="Arial"/>
              </w:rPr>
              <w:t>3.261.221</w:t>
            </w:r>
          </w:p>
        </w:tc>
        <w:tc>
          <w:tcPr>
            <w:tcW w:w="1486" w:type="dxa"/>
          </w:tcPr>
          <w:p w:rsidR="00D849AA" w:rsidRPr="000E4589" w:rsidRDefault="00EE6D95">
            <w:pPr>
              <w:rPr>
                <w:rFonts w:ascii="Arial" w:hAnsi="Arial" w:cs="Arial"/>
              </w:rPr>
            </w:pPr>
            <w:r w:rsidRPr="000E4589">
              <w:rPr>
                <w:rFonts w:ascii="Arial" w:hAnsi="Arial" w:cs="Arial"/>
              </w:rPr>
              <w:t>4.101.000</w:t>
            </w:r>
          </w:p>
        </w:tc>
        <w:tc>
          <w:tcPr>
            <w:tcW w:w="1486" w:type="dxa"/>
          </w:tcPr>
          <w:p w:rsidR="00D849AA" w:rsidRPr="000E4589" w:rsidRDefault="00EE6D95">
            <w:pPr>
              <w:rPr>
                <w:rFonts w:ascii="Arial" w:hAnsi="Arial" w:cs="Arial"/>
              </w:rPr>
            </w:pPr>
            <w:r w:rsidRPr="000E4589">
              <w:rPr>
                <w:rFonts w:ascii="Arial" w:hAnsi="Arial" w:cs="Arial"/>
              </w:rPr>
              <w:t>4.106.000</w:t>
            </w:r>
          </w:p>
        </w:tc>
        <w:tc>
          <w:tcPr>
            <w:tcW w:w="1486" w:type="dxa"/>
          </w:tcPr>
          <w:p w:rsidR="00D849AA" w:rsidRPr="000E4589" w:rsidRDefault="00EE6D95">
            <w:pPr>
              <w:rPr>
                <w:rFonts w:ascii="Arial" w:hAnsi="Arial" w:cs="Arial"/>
              </w:rPr>
            </w:pPr>
            <w:r w:rsidRPr="000E4589">
              <w:rPr>
                <w:rFonts w:ascii="Arial" w:hAnsi="Arial" w:cs="Arial"/>
              </w:rPr>
              <w:t>72,4</w:t>
            </w:r>
          </w:p>
        </w:tc>
      </w:tr>
    </w:tbl>
    <w:p w:rsidR="00D849AA" w:rsidRPr="000E4589" w:rsidRDefault="00D849AA">
      <w:pPr>
        <w:jc w:val="left"/>
        <w:rPr>
          <w:rFonts w:ascii="Arial" w:hAnsi="Arial" w:cs="Arial"/>
        </w:rPr>
      </w:pPr>
    </w:p>
    <w:p w:rsidR="00D849AA" w:rsidRDefault="00EE6D95">
      <w:pPr>
        <w:pStyle w:val="Naslov6"/>
      </w:pPr>
      <w:r>
        <w:t>Opis programa</w:t>
      </w:r>
    </w:p>
    <w:p w:rsidR="00D849AA" w:rsidRDefault="00EE6D95">
      <w:pPr>
        <w:pStyle w:val="Normal5"/>
      </w:pPr>
      <w:r>
        <w:t>Ovaj program namijenjen je daljnjem razvoju sustava javne nabave temelji se na dodatnom povećanju transparentnosti i učinkovitosti u provođenju postupaka javne nabave, a sukladno zakonskom okviru kojim su u nacionalno zakonodavstvo prenesene odredbe relevantne pravne stečevine Europske unije. S tim ciljem će aktivnosti biti usmjerene na nastavak provedbe nadzornih mehanizama, jačanje kapaciteta naručitelja i ponuditelja na svim razinama kroz savjetodavne aktivnosti i provedbu programa izobrazbe te statističkog praćenja provedbe postupaka javne nabave u Republici Hrvatskoj.</w:t>
      </w:r>
    </w:p>
    <w:p w:rsidR="00D849AA" w:rsidRDefault="00EE6D95">
      <w:pPr>
        <w:pStyle w:val="Naslov6"/>
      </w:pPr>
      <w:r>
        <w:t>Zakonske i druge pravne osnove</w:t>
      </w:r>
    </w:p>
    <w:p w:rsidR="00D849AA" w:rsidRDefault="00EE6D95">
      <w:pPr>
        <w:pStyle w:val="Normal5"/>
      </w:pPr>
      <w:r>
        <w:t xml:space="preserve">Zakon o javnoj nabavi (Narodne novine br. 90/2011, 83/2013)   </w:t>
      </w:r>
    </w:p>
    <w:p w:rsidR="00D849AA" w:rsidRDefault="00EE6D95">
      <w:pPr>
        <w:pStyle w:val="Normal5"/>
      </w:pPr>
      <w:r>
        <w:t xml:space="preserve">Uredba o načinu izrade i postupanju s dokumentacijom za nadmetanje i ponudama (NN 10/2012) </w:t>
      </w:r>
    </w:p>
    <w:p w:rsidR="00D849AA" w:rsidRDefault="00EE6D95">
      <w:pPr>
        <w:pStyle w:val="Normal5"/>
      </w:pPr>
      <w:r>
        <w:t xml:space="preserve">Uredba o objavama javne nabave (NN 10/2012)  </w:t>
      </w:r>
    </w:p>
    <w:p w:rsidR="00D849AA" w:rsidRDefault="00EE6D95">
      <w:pPr>
        <w:pStyle w:val="Normal5"/>
      </w:pPr>
      <w:r>
        <w:t xml:space="preserve">Uredba o nadzoru nad provedbom Zakona o javnoj nabavi (NN 10/2012)       </w:t>
      </w:r>
    </w:p>
    <w:p w:rsidR="00D849AA" w:rsidRDefault="00EE6D95">
      <w:pPr>
        <w:pStyle w:val="Normal5"/>
      </w:pPr>
      <w:r>
        <w:t xml:space="preserve">Uredba o javnoj nabavi za potrebe obrane i sigurnosti  (NN 89/2012)   </w:t>
      </w:r>
    </w:p>
    <w:p w:rsidR="00D849AA" w:rsidRDefault="00EE6D95">
      <w:pPr>
        <w:pStyle w:val="Normal5"/>
      </w:pPr>
      <w:r>
        <w:t xml:space="preserve">Pravilnik o izobrazbi u području javne nabave (NN 06/2012) </w:t>
      </w:r>
    </w:p>
    <w:p w:rsidR="00D849AA" w:rsidRDefault="00EE6D95">
      <w:pPr>
        <w:pStyle w:val="Normal5"/>
      </w:pPr>
      <w:r>
        <w:t xml:space="preserve">Pravilnik o primjeni Jedinstvenog rječnika javne nabave (CPV) (NN 06/2012) </w:t>
      </w:r>
    </w:p>
    <w:p w:rsidR="00D849AA" w:rsidRDefault="00EE6D95">
      <w:pPr>
        <w:pStyle w:val="Normal5"/>
      </w:pPr>
      <w:r>
        <w:t xml:space="preserve">Pravilnik o popisu obveznika primjene Zakona o javnoj nabavi (NN 19/2012) </w:t>
      </w:r>
    </w:p>
    <w:p w:rsidR="00D849AA" w:rsidRDefault="00EE6D95">
      <w:pPr>
        <w:pStyle w:val="Normal5"/>
      </w:pPr>
      <w:r>
        <w:t>Strategija razvoja elektroničke javne nabave u Republici Hrvatskoj 2013-2016 (NN 54/13)</w:t>
      </w:r>
    </w:p>
    <w:p w:rsidR="009B5B8A" w:rsidRDefault="009B5B8A">
      <w:pPr>
        <w:pStyle w:val="Normal5"/>
      </w:pPr>
    </w:p>
    <w:p w:rsidR="00D849AA" w:rsidRDefault="00EE6D95">
      <w:pPr>
        <w:pStyle w:val="Naslov6"/>
      </w:pPr>
      <w:r>
        <w:lastRenderedPageBreak/>
        <w:t>Ciljevi provedbe programa u razdoblju 2014.-2016. i pokazatelji uspješnosti kojima će se mjeriti ostvarenje tih ciljeva</w:t>
      </w:r>
    </w:p>
    <w:p w:rsidR="00D849AA" w:rsidRDefault="00EE6D95">
      <w:pPr>
        <w:pStyle w:val="Naslov7"/>
      </w:pPr>
      <w:r>
        <w:t>Cilj 1. Nadzor nad provedbom Zakona o javnoj nabavi</w:t>
      </w:r>
    </w:p>
    <w:p w:rsidR="009B5B8A" w:rsidRDefault="00EE6D95" w:rsidP="009B5B8A">
      <w:pPr>
        <w:pStyle w:val="Normal6"/>
      </w:pPr>
      <w:r>
        <w:t>Nadzorom nad provedbom Zakona o javnoj nabavi smanjuje se rizik za nepravilnosti kod svih obveznika primjene Zakona o javnoj nabavi, uz mogućnost podnošenja optužnih prijedloga za prekršaje propisane Zakonom. Vrlo snažan preventivan učinak za počinitelje prekršaja imaju visoke novčane kazne koje odvraćaju od počinjenja nepravilnosti u postupcima.</w:t>
      </w:r>
    </w:p>
    <w:p w:rsidR="009B5B8A" w:rsidRDefault="009B5B8A" w:rsidP="000E4589">
      <w:pPr>
        <w:pStyle w:val="Normal6"/>
        <w:ind w:left="0"/>
      </w:pP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0E4589" w:rsidRDefault="00EE6D95">
            <w:pPr>
              <w:rPr>
                <w:rFonts w:ascii="Arial" w:hAnsi="Arial" w:cs="Arial"/>
              </w:rPr>
            </w:pPr>
            <w:r w:rsidRPr="000E4589">
              <w:rPr>
                <w:rFonts w:ascii="Arial" w:hAnsi="Arial" w:cs="Arial"/>
              </w:rPr>
              <w:t>Pokazatelj učinka</w:t>
            </w:r>
          </w:p>
        </w:tc>
        <w:tc>
          <w:tcPr>
            <w:tcW w:w="1114" w:type="dxa"/>
            <w:shd w:val="clear" w:color="auto" w:fill="B5C0D8"/>
          </w:tcPr>
          <w:p w:rsidR="00D849AA" w:rsidRPr="000E4589" w:rsidRDefault="00EE6D95">
            <w:pPr>
              <w:pStyle w:val="CellHeader"/>
            </w:pPr>
            <w:r w:rsidRPr="000E4589">
              <w:t>Jedinica</w:t>
            </w:r>
          </w:p>
        </w:tc>
        <w:tc>
          <w:tcPr>
            <w:tcW w:w="1114" w:type="dxa"/>
            <w:shd w:val="clear" w:color="auto" w:fill="B5C0D8"/>
          </w:tcPr>
          <w:p w:rsidR="00D849AA" w:rsidRPr="000E4589" w:rsidRDefault="00EE6D95">
            <w:pPr>
              <w:pStyle w:val="CellHeader"/>
            </w:pPr>
            <w:r w:rsidRPr="000E4589">
              <w:t>Polazna vrijednost</w:t>
            </w:r>
          </w:p>
        </w:tc>
        <w:tc>
          <w:tcPr>
            <w:tcW w:w="1486" w:type="dxa"/>
            <w:shd w:val="clear" w:color="auto" w:fill="B5C0D8"/>
          </w:tcPr>
          <w:p w:rsidR="00D849AA" w:rsidRPr="000E4589" w:rsidRDefault="00EE6D95">
            <w:pPr>
              <w:pStyle w:val="CellHeader"/>
            </w:pPr>
            <w:r w:rsidRPr="000E4589">
              <w:t>Ciljana vrijednost (2014.)</w:t>
            </w:r>
          </w:p>
        </w:tc>
        <w:tc>
          <w:tcPr>
            <w:tcW w:w="1486" w:type="dxa"/>
            <w:shd w:val="clear" w:color="auto" w:fill="B5C0D8"/>
          </w:tcPr>
          <w:p w:rsidR="00D849AA" w:rsidRPr="000E4589" w:rsidRDefault="00EE6D95">
            <w:pPr>
              <w:pStyle w:val="CellHeader"/>
            </w:pPr>
            <w:r w:rsidRPr="000E4589">
              <w:t>Ciljana vrijednost (2015.)</w:t>
            </w:r>
          </w:p>
        </w:tc>
        <w:tc>
          <w:tcPr>
            <w:tcW w:w="1486" w:type="dxa"/>
            <w:shd w:val="clear" w:color="auto" w:fill="B5C0D8"/>
          </w:tcPr>
          <w:p w:rsidR="00D849AA" w:rsidRPr="000E4589" w:rsidRDefault="00EE6D95">
            <w:pPr>
              <w:pStyle w:val="CellHeader"/>
            </w:pPr>
            <w:r w:rsidRPr="000E4589">
              <w:t>Ciljana vrijednost (2016.)</w:t>
            </w:r>
          </w:p>
        </w:tc>
      </w:tr>
      <w:tr w:rsidR="00D849AA">
        <w:trPr>
          <w:jc w:val="center"/>
        </w:trPr>
        <w:tc>
          <w:tcPr>
            <w:tcW w:w="2229" w:type="dxa"/>
          </w:tcPr>
          <w:p w:rsidR="00D849AA" w:rsidRPr="000E4589" w:rsidRDefault="00EE6D95">
            <w:pPr>
              <w:pStyle w:val="CellColumn"/>
            </w:pPr>
            <w:r w:rsidRPr="000E4589">
              <w:t>Proveden nadzor nad provedbom Zakona o javnoj nabavi</w:t>
            </w:r>
          </w:p>
        </w:tc>
        <w:tc>
          <w:tcPr>
            <w:tcW w:w="1114" w:type="dxa"/>
          </w:tcPr>
          <w:p w:rsidR="00D849AA" w:rsidRPr="000E4589" w:rsidRDefault="00EE6D95">
            <w:pPr>
              <w:rPr>
                <w:rFonts w:ascii="Arial" w:hAnsi="Arial" w:cs="Arial"/>
              </w:rPr>
            </w:pPr>
            <w:r w:rsidRPr="000E4589">
              <w:rPr>
                <w:rFonts w:ascii="Arial" w:hAnsi="Arial" w:cs="Arial"/>
              </w:rPr>
              <w:t>broj</w:t>
            </w:r>
          </w:p>
        </w:tc>
        <w:tc>
          <w:tcPr>
            <w:tcW w:w="1114" w:type="dxa"/>
          </w:tcPr>
          <w:p w:rsidR="00D849AA" w:rsidRPr="000E4589" w:rsidRDefault="00EE6D95">
            <w:pPr>
              <w:rPr>
                <w:rFonts w:ascii="Arial" w:hAnsi="Arial" w:cs="Arial"/>
              </w:rPr>
            </w:pPr>
            <w:r w:rsidRPr="000E4589">
              <w:rPr>
                <w:rFonts w:ascii="Arial" w:hAnsi="Arial" w:cs="Arial"/>
              </w:rPr>
              <w:t>50</w:t>
            </w:r>
          </w:p>
        </w:tc>
        <w:tc>
          <w:tcPr>
            <w:tcW w:w="1486" w:type="dxa"/>
          </w:tcPr>
          <w:p w:rsidR="00D849AA" w:rsidRPr="000E4589" w:rsidRDefault="00EE6D95">
            <w:pPr>
              <w:rPr>
                <w:rFonts w:ascii="Arial" w:hAnsi="Arial" w:cs="Arial"/>
              </w:rPr>
            </w:pPr>
            <w:r w:rsidRPr="000E4589">
              <w:rPr>
                <w:rFonts w:ascii="Arial" w:hAnsi="Arial" w:cs="Arial"/>
              </w:rPr>
              <w:t>50</w:t>
            </w:r>
          </w:p>
        </w:tc>
        <w:tc>
          <w:tcPr>
            <w:tcW w:w="1486" w:type="dxa"/>
          </w:tcPr>
          <w:p w:rsidR="00D849AA" w:rsidRPr="000E4589" w:rsidRDefault="00EE6D95">
            <w:pPr>
              <w:rPr>
                <w:rFonts w:ascii="Arial" w:hAnsi="Arial" w:cs="Arial"/>
              </w:rPr>
            </w:pPr>
            <w:r w:rsidRPr="000E4589">
              <w:rPr>
                <w:rFonts w:ascii="Arial" w:hAnsi="Arial" w:cs="Arial"/>
              </w:rPr>
              <w:t>50</w:t>
            </w:r>
          </w:p>
        </w:tc>
        <w:tc>
          <w:tcPr>
            <w:tcW w:w="1486" w:type="dxa"/>
          </w:tcPr>
          <w:p w:rsidR="00D849AA" w:rsidRPr="000E4589" w:rsidRDefault="00EE6D95">
            <w:pPr>
              <w:rPr>
                <w:rFonts w:ascii="Arial" w:hAnsi="Arial" w:cs="Arial"/>
              </w:rPr>
            </w:pPr>
            <w:r w:rsidRPr="000E4589">
              <w:rPr>
                <w:rFonts w:ascii="Arial" w:hAnsi="Arial" w:cs="Arial"/>
              </w:rPr>
              <w:t>50</w:t>
            </w:r>
          </w:p>
        </w:tc>
      </w:tr>
    </w:tbl>
    <w:p w:rsidR="00D849AA" w:rsidRDefault="00D849AA">
      <w:pPr>
        <w:jc w:val="left"/>
      </w:pPr>
    </w:p>
    <w:p w:rsidR="00D849AA" w:rsidRDefault="00EE6D95">
      <w:pPr>
        <w:pStyle w:val="Naslov7"/>
      </w:pPr>
      <w:r>
        <w:t>Cilj 2. Savjetodavne aktivnosti za sve sudionike sustava javne nabave</w:t>
      </w:r>
    </w:p>
    <w:p w:rsidR="00D849AA" w:rsidRDefault="00EE6D95">
      <w:pPr>
        <w:pStyle w:val="Normal6"/>
      </w:pPr>
      <w:r>
        <w:t>Davanjem mišljenja, uputa i pružanje stručne pomoći u svezi s primjenom zakonodavnog okvira u sustavu javne nabave dodatno se smanjuje rizik za nepravilnosti u postupcima javne nabave. Navedene savjetodavne aktivnosti nastavit će se provoditi na način dostupan svim sudionicima sustava javne nabave (naručitelji i ponuditelji) i to na svim razinama (nacionalna, regionalna, lokalna), a što uključuje izdavanje mišljenja i savjeta temeljem upita elektroničkom poštom ili redovnim dopisima, održavanje dana otvorenih vrata i Dežurnog savjetnika Uprave za sustav javne nabave.</w:t>
      </w:r>
    </w:p>
    <w:p w:rsidR="009B5B8A" w:rsidRDefault="009B5B8A">
      <w:pPr>
        <w:pStyle w:val="Normal6"/>
      </w:pP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rsidRPr="000E4589">
        <w:trPr>
          <w:jc w:val="center"/>
        </w:trPr>
        <w:tc>
          <w:tcPr>
            <w:tcW w:w="2229" w:type="dxa"/>
            <w:shd w:val="clear" w:color="auto" w:fill="B5C0D8"/>
          </w:tcPr>
          <w:p w:rsidR="00D849AA" w:rsidRPr="000E4589" w:rsidRDefault="00EE6D95">
            <w:pPr>
              <w:rPr>
                <w:rFonts w:ascii="Arial" w:hAnsi="Arial" w:cs="Arial"/>
              </w:rPr>
            </w:pPr>
            <w:r w:rsidRPr="000E4589">
              <w:rPr>
                <w:rFonts w:ascii="Arial" w:hAnsi="Arial" w:cs="Arial"/>
              </w:rPr>
              <w:t>Pokazatelj učinka</w:t>
            </w:r>
          </w:p>
        </w:tc>
        <w:tc>
          <w:tcPr>
            <w:tcW w:w="1114" w:type="dxa"/>
            <w:shd w:val="clear" w:color="auto" w:fill="B5C0D8"/>
          </w:tcPr>
          <w:p w:rsidR="00D849AA" w:rsidRPr="000E4589" w:rsidRDefault="00EE6D95">
            <w:pPr>
              <w:pStyle w:val="CellHeader"/>
            </w:pPr>
            <w:r w:rsidRPr="000E4589">
              <w:t>Jedinica</w:t>
            </w:r>
          </w:p>
        </w:tc>
        <w:tc>
          <w:tcPr>
            <w:tcW w:w="1114" w:type="dxa"/>
            <w:shd w:val="clear" w:color="auto" w:fill="B5C0D8"/>
          </w:tcPr>
          <w:p w:rsidR="00D849AA" w:rsidRPr="000E4589" w:rsidRDefault="00EE6D95">
            <w:pPr>
              <w:pStyle w:val="CellHeader"/>
            </w:pPr>
            <w:r w:rsidRPr="000E4589">
              <w:t>Polazna vrijednost</w:t>
            </w:r>
          </w:p>
        </w:tc>
        <w:tc>
          <w:tcPr>
            <w:tcW w:w="1486" w:type="dxa"/>
            <w:shd w:val="clear" w:color="auto" w:fill="B5C0D8"/>
          </w:tcPr>
          <w:p w:rsidR="00D849AA" w:rsidRPr="000E4589" w:rsidRDefault="00EE6D95">
            <w:pPr>
              <w:pStyle w:val="CellHeader"/>
            </w:pPr>
            <w:r w:rsidRPr="000E4589">
              <w:t>Ciljana vrijednost (2014.)</w:t>
            </w:r>
          </w:p>
        </w:tc>
        <w:tc>
          <w:tcPr>
            <w:tcW w:w="1486" w:type="dxa"/>
            <w:shd w:val="clear" w:color="auto" w:fill="B5C0D8"/>
          </w:tcPr>
          <w:p w:rsidR="00D849AA" w:rsidRPr="000E4589" w:rsidRDefault="00EE6D95">
            <w:pPr>
              <w:pStyle w:val="CellHeader"/>
            </w:pPr>
            <w:r w:rsidRPr="000E4589">
              <w:t>Ciljana vrijednost (2015.)</w:t>
            </w:r>
          </w:p>
        </w:tc>
        <w:tc>
          <w:tcPr>
            <w:tcW w:w="1486" w:type="dxa"/>
            <w:shd w:val="clear" w:color="auto" w:fill="B5C0D8"/>
          </w:tcPr>
          <w:p w:rsidR="00D849AA" w:rsidRPr="000E4589" w:rsidRDefault="00EE6D95">
            <w:pPr>
              <w:pStyle w:val="CellHeader"/>
            </w:pPr>
            <w:r w:rsidRPr="000E4589">
              <w:t>Ciljana vrijednost (2016.)</w:t>
            </w:r>
          </w:p>
        </w:tc>
      </w:tr>
      <w:tr w:rsidR="00D849AA" w:rsidRPr="000E4589">
        <w:trPr>
          <w:jc w:val="center"/>
        </w:trPr>
        <w:tc>
          <w:tcPr>
            <w:tcW w:w="2229" w:type="dxa"/>
          </w:tcPr>
          <w:p w:rsidR="00D849AA" w:rsidRPr="000E4589" w:rsidRDefault="00EE6D95">
            <w:pPr>
              <w:pStyle w:val="CellColumn"/>
            </w:pPr>
            <w:r w:rsidRPr="000E4589">
              <w:t>Provedene savjetodavne aktivnosti za sve sudionike sustava javne nabave</w:t>
            </w:r>
          </w:p>
        </w:tc>
        <w:tc>
          <w:tcPr>
            <w:tcW w:w="1114" w:type="dxa"/>
          </w:tcPr>
          <w:p w:rsidR="00D849AA" w:rsidRPr="000E4589" w:rsidRDefault="00EE6D95">
            <w:pPr>
              <w:rPr>
                <w:rFonts w:ascii="Arial" w:hAnsi="Arial" w:cs="Arial"/>
              </w:rPr>
            </w:pPr>
            <w:r w:rsidRPr="000E4589">
              <w:rPr>
                <w:rFonts w:ascii="Arial" w:hAnsi="Arial" w:cs="Arial"/>
              </w:rPr>
              <w:t>broj</w:t>
            </w:r>
          </w:p>
        </w:tc>
        <w:tc>
          <w:tcPr>
            <w:tcW w:w="1114" w:type="dxa"/>
          </w:tcPr>
          <w:p w:rsidR="00D849AA" w:rsidRPr="000E4589" w:rsidRDefault="00EE6D95">
            <w:pPr>
              <w:rPr>
                <w:rFonts w:ascii="Arial" w:hAnsi="Arial" w:cs="Arial"/>
              </w:rPr>
            </w:pPr>
            <w:r w:rsidRPr="000E4589">
              <w:rPr>
                <w:rFonts w:ascii="Arial" w:hAnsi="Arial" w:cs="Arial"/>
              </w:rPr>
              <w:t>3000</w:t>
            </w:r>
          </w:p>
        </w:tc>
        <w:tc>
          <w:tcPr>
            <w:tcW w:w="1486" w:type="dxa"/>
          </w:tcPr>
          <w:p w:rsidR="00D849AA" w:rsidRPr="000E4589" w:rsidRDefault="00EE6D95">
            <w:pPr>
              <w:rPr>
                <w:rFonts w:ascii="Arial" w:hAnsi="Arial" w:cs="Arial"/>
              </w:rPr>
            </w:pPr>
            <w:r w:rsidRPr="000E4589">
              <w:rPr>
                <w:rFonts w:ascii="Arial" w:hAnsi="Arial" w:cs="Arial"/>
              </w:rPr>
              <w:t>3000</w:t>
            </w:r>
          </w:p>
        </w:tc>
        <w:tc>
          <w:tcPr>
            <w:tcW w:w="1486" w:type="dxa"/>
          </w:tcPr>
          <w:p w:rsidR="00D849AA" w:rsidRPr="000E4589" w:rsidRDefault="00EE6D95">
            <w:pPr>
              <w:rPr>
                <w:rFonts w:ascii="Arial" w:hAnsi="Arial" w:cs="Arial"/>
              </w:rPr>
            </w:pPr>
            <w:r w:rsidRPr="000E4589">
              <w:rPr>
                <w:rFonts w:ascii="Arial" w:hAnsi="Arial" w:cs="Arial"/>
              </w:rPr>
              <w:t>3000</w:t>
            </w:r>
          </w:p>
        </w:tc>
        <w:tc>
          <w:tcPr>
            <w:tcW w:w="1486" w:type="dxa"/>
          </w:tcPr>
          <w:p w:rsidR="00D849AA" w:rsidRPr="000E4589" w:rsidRDefault="00EE6D95">
            <w:pPr>
              <w:rPr>
                <w:rFonts w:ascii="Arial" w:hAnsi="Arial" w:cs="Arial"/>
              </w:rPr>
            </w:pPr>
            <w:r w:rsidRPr="000E4589">
              <w:rPr>
                <w:rFonts w:ascii="Arial" w:hAnsi="Arial" w:cs="Arial"/>
              </w:rPr>
              <w:t>3000</w:t>
            </w:r>
          </w:p>
        </w:tc>
      </w:tr>
      <w:tr w:rsidR="00D849AA" w:rsidRPr="000E4589">
        <w:trPr>
          <w:jc w:val="center"/>
        </w:trPr>
        <w:tc>
          <w:tcPr>
            <w:tcW w:w="2229" w:type="dxa"/>
          </w:tcPr>
          <w:p w:rsidR="00D849AA" w:rsidRPr="000E4589" w:rsidRDefault="00EE6D95">
            <w:pPr>
              <w:pStyle w:val="CellColumn"/>
            </w:pPr>
            <w:r w:rsidRPr="000E4589">
              <w:t>Održavanje dana otvorenih vrata Uprave za sustav javne nabave</w:t>
            </w:r>
          </w:p>
        </w:tc>
        <w:tc>
          <w:tcPr>
            <w:tcW w:w="1114" w:type="dxa"/>
          </w:tcPr>
          <w:p w:rsidR="00D849AA" w:rsidRPr="000E4589" w:rsidRDefault="00EE6D95">
            <w:pPr>
              <w:rPr>
                <w:rFonts w:ascii="Arial" w:hAnsi="Arial" w:cs="Arial"/>
              </w:rPr>
            </w:pPr>
            <w:r w:rsidRPr="000E4589">
              <w:rPr>
                <w:rFonts w:ascii="Arial" w:hAnsi="Arial" w:cs="Arial"/>
              </w:rPr>
              <w:t>broj</w:t>
            </w:r>
          </w:p>
        </w:tc>
        <w:tc>
          <w:tcPr>
            <w:tcW w:w="1114" w:type="dxa"/>
          </w:tcPr>
          <w:p w:rsidR="00D849AA" w:rsidRPr="000E4589" w:rsidRDefault="00EE6D95">
            <w:pPr>
              <w:rPr>
                <w:rFonts w:ascii="Arial" w:hAnsi="Arial" w:cs="Arial"/>
              </w:rPr>
            </w:pPr>
            <w:r w:rsidRPr="000E4589">
              <w:rPr>
                <w:rFonts w:ascii="Arial" w:hAnsi="Arial" w:cs="Arial"/>
              </w:rPr>
              <w:t>8</w:t>
            </w:r>
          </w:p>
        </w:tc>
        <w:tc>
          <w:tcPr>
            <w:tcW w:w="1486" w:type="dxa"/>
          </w:tcPr>
          <w:p w:rsidR="00D849AA" w:rsidRPr="000E4589" w:rsidRDefault="00EE6D95">
            <w:pPr>
              <w:rPr>
                <w:rFonts w:ascii="Arial" w:hAnsi="Arial" w:cs="Arial"/>
              </w:rPr>
            </w:pPr>
            <w:r w:rsidRPr="000E4589">
              <w:rPr>
                <w:rFonts w:ascii="Arial" w:hAnsi="Arial" w:cs="Arial"/>
              </w:rPr>
              <w:t>8</w:t>
            </w:r>
          </w:p>
        </w:tc>
        <w:tc>
          <w:tcPr>
            <w:tcW w:w="1486" w:type="dxa"/>
          </w:tcPr>
          <w:p w:rsidR="00D849AA" w:rsidRPr="000E4589" w:rsidRDefault="00EE6D95">
            <w:pPr>
              <w:rPr>
                <w:rFonts w:ascii="Arial" w:hAnsi="Arial" w:cs="Arial"/>
              </w:rPr>
            </w:pPr>
            <w:r w:rsidRPr="000E4589">
              <w:rPr>
                <w:rFonts w:ascii="Arial" w:hAnsi="Arial" w:cs="Arial"/>
              </w:rPr>
              <w:t>8</w:t>
            </w:r>
          </w:p>
        </w:tc>
        <w:tc>
          <w:tcPr>
            <w:tcW w:w="1486" w:type="dxa"/>
          </w:tcPr>
          <w:p w:rsidR="00D849AA" w:rsidRPr="000E4589" w:rsidRDefault="00EE6D95">
            <w:pPr>
              <w:rPr>
                <w:rFonts w:ascii="Arial" w:hAnsi="Arial" w:cs="Arial"/>
              </w:rPr>
            </w:pPr>
            <w:r w:rsidRPr="000E4589">
              <w:rPr>
                <w:rFonts w:ascii="Arial" w:hAnsi="Arial" w:cs="Arial"/>
              </w:rPr>
              <w:t>8</w:t>
            </w:r>
          </w:p>
        </w:tc>
      </w:tr>
      <w:tr w:rsidR="00D849AA" w:rsidRPr="000E4589">
        <w:trPr>
          <w:jc w:val="center"/>
        </w:trPr>
        <w:tc>
          <w:tcPr>
            <w:tcW w:w="2229" w:type="dxa"/>
          </w:tcPr>
          <w:p w:rsidR="00D849AA" w:rsidRPr="000E4589" w:rsidRDefault="00EE6D95">
            <w:pPr>
              <w:pStyle w:val="CellColumn"/>
            </w:pPr>
            <w:r w:rsidRPr="000E4589">
              <w:t>Održavanje Dežurnog savjetnika Uprave za sustav javne nabave</w:t>
            </w:r>
          </w:p>
        </w:tc>
        <w:tc>
          <w:tcPr>
            <w:tcW w:w="1114" w:type="dxa"/>
          </w:tcPr>
          <w:p w:rsidR="00D849AA" w:rsidRPr="000E4589" w:rsidRDefault="00EE6D95">
            <w:pPr>
              <w:rPr>
                <w:rFonts w:ascii="Arial" w:hAnsi="Arial" w:cs="Arial"/>
              </w:rPr>
            </w:pPr>
            <w:r w:rsidRPr="000E4589">
              <w:rPr>
                <w:rFonts w:ascii="Arial" w:hAnsi="Arial" w:cs="Arial"/>
              </w:rPr>
              <w:t>broj</w:t>
            </w:r>
          </w:p>
        </w:tc>
        <w:tc>
          <w:tcPr>
            <w:tcW w:w="1114" w:type="dxa"/>
          </w:tcPr>
          <w:p w:rsidR="00D849AA" w:rsidRPr="000E4589" w:rsidRDefault="00EE6D95">
            <w:pPr>
              <w:rPr>
                <w:rFonts w:ascii="Arial" w:hAnsi="Arial" w:cs="Arial"/>
              </w:rPr>
            </w:pPr>
            <w:r w:rsidRPr="000E4589">
              <w:rPr>
                <w:rFonts w:ascii="Arial" w:hAnsi="Arial" w:cs="Arial"/>
              </w:rPr>
              <w:t>50</w:t>
            </w:r>
          </w:p>
        </w:tc>
        <w:tc>
          <w:tcPr>
            <w:tcW w:w="1486" w:type="dxa"/>
          </w:tcPr>
          <w:p w:rsidR="00D849AA" w:rsidRPr="000E4589" w:rsidRDefault="00EE6D95">
            <w:pPr>
              <w:rPr>
                <w:rFonts w:ascii="Arial" w:hAnsi="Arial" w:cs="Arial"/>
              </w:rPr>
            </w:pPr>
            <w:r w:rsidRPr="000E4589">
              <w:rPr>
                <w:rFonts w:ascii="Arial" w:hAnsi="Arial" w:cs="Arial"/>
              </w:rPr>
              <w:t>50</w:t>
            </w:r>
          </w:p>
        </w:tc>
        <w:tc>
          <w:tcPr>
            <w:tcW w:w="1486" w:type="dxa"/>
          </w:tcPr>
          <w:p w:rsidR="00D849AA" w:rsidRPr="000E4589" w:rsidRDefault="00EE6D95">
            <w:pPr>
              <w:rPr>
                <w:rFonts w:ascii="Arial" w:hAnsi="Arial" w:cs="Arial"/>
              </w:rPr>
            </w:pPr>
            <w:r w:rsidRPr="000E4589">
              <w:rPr>
                <w:rFonts w:ascii="Arial" w:hAnsi="Arial" w:cs="Arial"/>
              </w:rPr>
              <w:t>50</w:t>
            </w:r>
          </w:p>
        </w:tc>
        <w:tc>
          <w:tcPr>
            <w:tcW w:w="1486" w:type="dxa"/>
          </w:tcPr>
          <w:p w:rsidR="00D849AA" w:rsidRPr="000E4589" w:rsidRDefault="00EE6D95">
            <w:pPr>
              <w:rPr>
                <w:rFonts w:ascii="Arial" w:hAnsi="Arial" w:cs="Arial"/>
              </w:rPr>
            </w:pPr>
            <w:r w:rsidRPr="000E4589">
              <w:rPr>
                <w:rFonts w:ascii="Arial" w:hAnsi="Arial" w:cs="Arial"/>
              </w:rPr>
              <w:t>50</w:t>
            </w:r>
          </w:p>
        </w:tc>
      </w:tr>
    </w:tbl>
    <w:p w:rsidR="00D849AA" w:rsidRPr="000E4589" w:rsidRDefault="00D849AA">
      <w:pPr>
        <w:jc w:val="left"/>
        <w:rPr>
          <w:rFonts w:ascii="Arial" w:hAnsi="Arial" w:cs="Arial"/>
        </w:rPr>
      </w:pPr>
    </w:p>
    <w:p w:rsidR="00D849AA" w:rsidRDefault="00EE6D95">
      <w:pPr>
        <w:pStyle w:val="Naslov7"/>
      </w:pPr>
      <w:r>
        <w:lastRenderedPageBreak/>
        <w:t>Cilj 3. Provedba programa izobrazbe u području javne nabave</w:t>
      </w:r>
    </w:p>
    <w:p w:rsidR="00D849AA" w:rsidRDefault="00EE6D95">
      <w:pPr>
        <w:pStyle w:val="Normal6"/>
      </w:pPr>
      <w:r>
        <w:t>Nastavkom provedbe postojećih programa izobrazbe te uvođenjem novih sukladno potrebama sustava javne nabave povećat će se transparentnost i učinkovitost provedbe postupaka javne nabave te ojačati kapaciteti za njihovu provedbu na svim razinama. Nastavit će se izdavanje i obnavljanje certifikata u području javne nabave, a dio programa provodit će se u suradnji s gospodarskim udruženjima, kao što je Hrvatska gospodarska komora, pri čemu će programi fokusiranih na određene aspekte provedbe postupaka javne nabave. Po potrebi će se provoditi i programi izobrazbe i za sve druge ciljne skupine čije su aktivnosti vezane uz postupke javne nabave (primjerice, institucije s raznim kontrolnim i nadzornim ovlastima).</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0E4589" w:rsidRDefault="00EE6D95">
            <w:pPr>
              <w:rPr>
                <w:rFonts w:ascii="Arial" w:hAnsi="Arial" w:cs="Arial"/>
              </w:rPr>
            </w:pPr>
            <w:r w:rsidRPr="000E4589">
              <w:rPr>
                <w:rFonts w:ascii="Arial" w:hAnsi="Arial" w:cs="Arial"/>
              </w:rPr>
              <w:t>Pokazatelj učinka</w:t>
            </w:r>
          </w:p>
        </w:tc>
        <w:tc>
          <w:tcPr>
            <w:tcW w:w="1114" w:type="dxa"/>
            <w:shd w:val="clear" w:color="auto" w:fill="B5C0D8"/>
          </w:tcPr>
          <w:p w:rsidR="00D849AA" w:rsidRPr="000E4589" w:rsidRDefault="00EE6D95">
            <w:pPr>
              <w:pStyle w:val="CellHeader"/>
            </w:pPr>
            <w:r w:rsidRPr="000E4589">
              <w:t>Jedinica</w:t>
            </w:r>
          </w:p>
        </w:tc>
        <w:tc>
          <w:tcPr>
            <w:tcW w:w="1114" w:type="dxa"/>
            <w:shd w:val="clear" w:color="auto" w:fill="B5C0D8"/>
          </w:tcPr>
          <w:p w:rsidR="00D849AA" w:rsidRPr="000E4589" w:rsidRDefault="00EE6D95">
            <w:pPr>
              <w:pStyle w:val="CellHeader"/>
            </w:pPr>
            <w:r w:rsidRPr="000E4589">
              <w:t>Polazna vrijednost</w:t>
            </w:r>
          </w:p>
        </w:tc>
        <w:tc>
          <w:tcPr>
            <w:tcW w:w="1486" w:type="dxa"/>
            <w:shd w:val="clear" w:color="auto" w:fill="B5C0D8"/>
          </w:tcPr>
          <w:p w:rsidR="00D849AA" w:rsidRPr="000E4589" w:rsidRDefault="00EE6D95">
            <w:pPr>
              <w:pStyle w:val="CellHeader"/>
            </w:pPr>
            <w:r w:rsidRPr="000E4589">
              <w:t>Ciljana vrijednost (2014.)</w:t>
            </w:r>
          </w:p>
        </w:tc>
        <w:tc>
          <w:tcPr>
            <w:tcW w:w="1486" w:type="dxa"/>
            <w:shd w:val="clear" w:color="auto" w:fill="B5C0D8"/>
          </w:tcPr>
          <w:p w:rsidR="00D849AA" w:rsidRPr="000E4589" w:rsidRDefault="00EE6D95">
            <w:pPr>
              <w:pStyle w:val="CellHeader"/>
            </w:pPr>
            <w:r w:rsidRPr="000E4589">
              <w:t>Ciljana vrijednost (2015.)</w:t>
            </w:r>
          </w:p>
        </w:tc>
        <w:tc>
          <w:tcPr>
            <w:tcW w:w="1486" w:type="dxa"/>
            <w:shd w:val="clear" w:color="auto" w:fill="B5C0D8"/>
          </w:tcPr>
          <w:p w:rsidR="00D849AA" w:rsidRPr="000E4589" w:rsidRDefault="00EE6D95">
            <w:pPr>
              <w:pStyle w:val="CellHeader"/>
            </w:pPr>
            <w:r w:rsidRPr="000E4589">
              <w:t>Ciljana vrijednost (2016.)</w:t>
            </w:r>
          </w:p>
        </w:tc>
      </w:tr>
      <w:tr w:rsidR="00D849AA">
        <w:trPr>
          <w:jc w:val="center"/>
        </w:trPr>
        <w:tc>
          <w:tcPr>
            <w:tcW w:w="2229" w:type="dxa"/>
          </w:tcPr>
          <w:p w:rsidR="00D849AA" w:rsidRPr="000E4589" w:rsidRDefault="00EE6D95">
            <w:pPr>
              <w:pStyle w:val="CellColumn"/>
            </w:pPr>
            <w:r w:rsidRPr="000E4589">
              <w:t>Provedeni programi izobrazbe u području javne nabave</w:t>
            </w:r>
          </w:p>
        </w:tc>
        <w:tc>
          <w:tcPr>
            <w:tcW w:w="1114" w:type="dxa"/>
          </w:tcPr>
          <w:p w:rsidR="00D849AA" w:rsidRPr="000E4589" w:rsidRDefault="00EE6D95">
            <w:pPr>
              <w:rPr>
                <w:rFonts w:ascii="Arial" w:hAnsi="Arial" w:cs="Arial"/>
              </w:rPr>
            </w:pPr>
            <w:r w:rsidRPr="000E4589">
              <w:rPr>
                <w:rFonts w:ascii="Arial" w:hAnsi="Arial" w:cs="Arial"/>
              </w:rPr>
              <w:t>broj</w:t>
            </w:r>
          </w:p>
        </w:tc>
        <w:tc>
          <w:tcPr>
            <w:tcW w:w="1114" w:type="dxa"/>
          </w:tcPr>
          <w:p w:rsidR="00D849AA" w:rsidRPr="000E4589" w:rsidRDefault="00EE6D95">
            <w:pPr>
              <w:rPr>
                <w:rFonts w:ascii="Arial" w:hAnsi="Arial" w:cs="Arial"/>
              </w:rPr>
            </w:pPr>
            <w:r w:rsidRPr="000E4589">
              <w:rPr>
                <w:rFonts w:ascii="Arial" w:hAnsi="Arial" w:cs="Arial"/>
              </w:rPr>
              <w:t>10</w:t>
            </w:r>
          </w:p>
        </w:tc>
        <w:tc>
          <w:tcPr>
            <w:tcW w:w="1486" w:type="dxa"/>
          </w:tcPr>
          <w:p w:rsidR="00D849AA" w:rsidRPr="000E4589" w:rsidRDefault="00EE6D95">
            <w:pPr>
              <w:rPr>
                <w:rFonts w:ascii="Arial" w:hAnsi="Arial" w:cs="Arial"/>
              </w:rPr>
            </w:pPr>
            <w:r w:rsidRPr="000E4589">
              <w:rPr>
                <w:rFonts w:ascii="Arial" w:hAnsi="Arial" w:cs="Arial"/>
              </w:rPr>
              <w:t>10</w:t>
            </w:r>
          </w:p>
        </w:tc>
        <w:tc>
          <w:tcPr>
            <w:tcW w:w="1486" w:type="dxa"/>
          </w:tcPr>
          <w:p w:rsidR="00D849AA" w:rsidRPr="000E4589" w:rsidRDefault="00EE6D95">
            <w:pPr>
              <w:rPr>
                <w:rFonts w:ascii="Arial" w:hAnsi="Arial" w:cs="Arial"/>
              </w:rPr>
            </w:pPr>
            <w:r w:rsidRPr="000E4589">
              <w:rPr>
                <w:rFonts w:ascii="Arial" w:hAnsi="Arial" w:cs="Arial"/>
              </w:rPr>
              <w:t>10</w:t>
            </w:r>
          </w:p>
        </w:tc>
        <w:tc>
          <w:tcPr>
            <w:tcW w:w="1486" w:type="dxa"/>
          </w:tcPr>
          <w:p w:rsidR="00D849AA" w:rsidRPr="000E4589" w:rsidRDefault="00EE6D95">
            <w:pPr>
              <w:rPr>
                <w:rFonts w:ascii="Arial" w:hAnsi="Arial" w:cs="Arial"/>
              </w:rPr>
            </w:pPr>
            <w:r w:rsidRPr="000E4589">
              <w:rPr>
                <w:rFonts w:ascii="Arial" w:hAnsi="Arial" w:cs="Arial"/>
              </w:rPr>
              <w:t>10</w:t>
            </w:r>
          </w:p>
        </w:tc>
      </w:tr>
    </w:tbl>
    <w:p w:rsidR="00D849AA" w:rsidRDefault="00D849AA">
      <w:pPr>
        <w:jc w:val="left"/>
      </w:pPr>
    </w:p>
    <w:p w:rsidR="00D849AA" w:rsidRDefault="00EE6D95">
      <w:pPr>
        <w:pStyle w:val="Naslov7"/>
      </w:pPr>
      <w:r>
        <w:t>Cilj 4. Statističko praćenje provedbe postupaka javne nabave</w:t>
      </w:r>
    </w:p>
    <w:p w:rsidR="00D849AA" w:rsidRDefault="00EE6D95">
      <w:pPr>
        <w:pStyle w:val="Normal6"/>
      </w:pPr>
      <w:r>
        <w:t>Praćenje statističkih podatka o postupcima javne nabave omogućava praćenje razvoja sustava javne nabave te planiranje mjera za njegovo unaprjeđenje. Stoga će Uprava za sustav javne nabave nastaviti izrađivati godišnje statističko izvješće o javnim nabavama u Republici Hrvatskoj.</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0E4589" w:rsidRDefault="00EE6D95">
            <w:pPr>
              <w:rPr>
                <w:rFonts w:ascii="Arial" w:hAnsi="Arial" w:cs="Arial"/>
              </w:rPr>
            </w:pPr>
            <w:r w:rsidRPr="000E4589">
              <w:rPr>
                <w:rFonts w:ascii="Arial" w:hAnsi="Arial" w:cs="Arial"/>
              </w:rPr>
              <w:t>Pokazatelj učinka</w:t>
            </w:r>
          </w:p>
        </w:tc>
        <w:tc>
          <w:tcPr>
            <w:tcW w:w="1114" w:type="dxa"/>
            <w:shd w:val="clear" w:color="auto" w:fill="B5C0D8"/>
          </w:tcPr>
          <w:p w:rsidR="00D849AA" w:rsidRPr="000E4589" w:rsidRDefault="00EE6D95">
            <w:pPr>
              <w:pStyle w:val="CellHeader"/>
            </w:pPr>
            <w:r w:rsidRPr="000E4589">
              <w:t>Jedinica</w:t>
            </w:r>
          </w:p>
        </w:tc>
        <w:tc>
          <w:tcPr>
            <w:tcW w:w="1114" w:type="dxa"/>
            <w:shd w:val="clear" w:color="auto" w:fill="B5C0D8"/>
          </w:tcPr>
          <w:p w:rsidR="00D849AA" w:rsidRPr="000E4589" w:rsidRDefault="00EE6D95">
            <w:pPr>
              <w:pStyle w:val="CellHeader"/>
            </w:pPr>
            <w:r w:rsidRPr="000E4589">
              <w:t>Polazna vrijednost</w:t>
            </w:r>
          </w:p>
        </w:tc>
        <w:tc>
          <w:tcPr>
            <w:tcW w:w="1486" w:type="dxa"/>
            <w:shd w:val="clear" w:color="auto" w:fill="B5C0D8"/>
          </w:tcPr>
          <w:p w:rsidR="00D849AA" w:rsidRPr="000E4589" w:rsidRDefault="00EE6D95">
            <w:pPr>
              <w:pStyle w:val="CellHeader"/>
            </w:pPr>
            <w:r w:rsidRPr="000E4589">
              <w:t>Ciljana vrijednost (2014.)</w:t>
            </w:r>
          </w:p>
        </w:tc>
        <w:tc>
          <w:tcPr>
            <w:tcW w:w="1486" w:type="dxa"/>
            <w:shd w:val="clear" w:color="auto" w:fill="B5C0D8"/>
          </w:tcPr>
          <w:p w:rsidR="00D849AA" w:rsidRPr="000E4589" w:rsidRDefault="00EE6D95">
            <w:pPr>
              <w:pStyle w:val="CellHeader"/>
            </w:pPr>
            <w:r w:rsidRPr="000E4589">
              <w:t>Ciljana vrijednost (2015.)</w:t>
            </w:r>
          </w:p>
        </w:tc>
        <w:tc>
          <w:tcPr>
            <w:tcW w:w="1486" w:type="dxa"/>
            <w:shd w:val="clear" w:color="auto" w:fill="B5C0D8"/>
          </w:tcPr>
          <w:p w:rsidR="00D849AA" w:rsidRPr="000E4589" w:rsidRDefault="00EE6D95">
            <w:pPr>
              <w:pStyle w:val="CellHeader"/>
            </w:pPr>
            <w:r w:rsidRPr="000E4589">
              <w:t>Ciljana vrijednost (2016.)</w:t>
            </w:r>
          </w:p>
        </w:tc>
      </w:tr>
      <w:tr w:rsidR="00D849AA">
        <w:trPr>
          <w:jc w:val="center"/>
        </w:trPr>
        <w:tc>
          <w:tcPr>
            <w:tcW w:w="2229" w:type="dxa"/>
          </w:tcPr>
          <w:p w:rsidR="00D849AA" w:rsidRPr="000E4589" w:rsidRDefault="00EE6D95">
            <w:pPr>
              <w:pStyle w:val="CellColumn"/>
            </w:pPr>
            <w:r w:rsidRPr="000E4589">
              <w:t>Izrađeno godišnje statističko izvješće o javnoj nabavi</w:t>
            </w:r>
          </w:p>
        </w:tc>
        <w:tc>
          <w:tcPr>
            <w:tcW w:w="1114" w:type="dxa"/>
          </w:tcPr>
          <w:p w:rsidR="00D849AA" w:rsidRPr="000E4589" w:rsidRDefault="00EE6D95">
            <w:pPr>
              <w:rPr>
                <w:rFonts w:ascii="Arial" w:hAnsi="Arial" w:cs="Arial"/>
              </w:rPr>
            </w:pPr>
            <w:r w:rsidRPr="000E4589">
              <w:rPr>
                <w:rFonts w:ascii="Arial" w:hAnsi="Arial" w:cs="Arial"/>
              </w:rPr>
              <w:t>broj</w:t>
            </w:r>
          </w:p>
        </w:tc>
        <w:tc>
          <w:tcPr>
            <w:tcW w:w="1114" w:type="dxa"/>
          </w:tcPr>
          <w:p w:rsidR="00D849AA" w:rsidRPr="000E4589" w:rsidRDefault="00EE6D95">
            <w:pPr>
              <w:rPr>
                <w:rFonts w:ascii="Arial" w:hAnsi="Arial" w:cs="Arial"/>
              </w:rPr>
            </w:pPr>
            <w:r w:rsidRPr="000E4589">
              <w:rPr>
                <w:rFonts w:ascii="Arial" w:hAnsi="Arial" w:cs="Arial"/>
              </w:rPr>
              <w:t>1</w:t>
            </w:r>
          </w:p>
        </w:tc>
        <w:tc>
          <w:tcPr>
            <w:tcW w:w="1486" w:type="dxa"/>
          </w:tcPr>
          <w:p w:rsidR="00D849AA" w:rsidRPr="000E4589" w:rsidRDefault="00EE6D95">
            <w:pPr>
              <w:rPr>
                <w:rFonts w:ascii="Arial" w:hAnsi="Arial" w:cs="Arial"/>
              </w:rPr>
            </w:pPr>
            <w:r w:rsidRPr="000E4589">
              <w:rPr>
                <w:rFonts w:ascii="Arial" w:hAnsi="Arial" w:cs="Arial"/>
              </w:rPr>
              <w:t>1</w:t>
            </w:r>
          </w:p>
        </w:tc>
        <w:tc>
          <w:tcPr>
            <w:tcW w:w="1486" w:type="dxa"/>
          </w:tcPr>
          <w:p w:rsidR="00D849AA" w:rsidRPr="000E4589" w:rsidRDefault="00EE6D95">
            <w:pPr>
              <w:rPr>
                <w:rFonts w:ascii="Arial" w:hAnsi="Arial" w:cs="Arial"/>
              </w:rPr>
            </w:pPr>
            <w:r w:rsidRPr="000E4589">
              <w:rPr>
                <w:rFonts w:ascii="Arial" w:hAnsi="Arial" w:cs="Arial"/>
              </w:rPr>
              <w:t>1</w:t>
            </w:r>
          </w:p>
        </w:tc>
        <w:tc>
          <w:tcPr>
            <w:tcW w:w="1486" w:type="dxa"/>
          </w:tcPr>
          <w:p w:rsidR="00D849AA" w:rsidRPr="000E4589" w:rsidRDefault="00EE6D95">
            <w:pPr>
              <w:rPr>
                <w:rFonts w:ascii="Arial" w:hAnsi="Arial" w:cs="Arial"/>
              </w:rPr>
            </w:pPr>
            <w:r w:rsidRPr="000E4589">
              <w:rPr>
                <w:rFonts w:ascii="Arial" w:hAnsi="Arial" w:cs="Arial"/>
              </w:rPr>
              <w:t>1</w:t>
            </w:r>
          </w:p>
        </w:tc>
      </w:tr>
    </w:tbl>
    <w:p w:rsidR="00D849AA" w:rsidRDefault="00D849AA">
      <w:pPr>
        <w:jc w:val="left"/>
      </w:pPr>
    </w:p>
    <w:p w:rsidR="00D849AA" w:rsidRDefault="00EE6D95">
      <w:pPr>
        <w:pStyle w:val="Naslov5"/>
      </w:pPr>
      <w:r>
        <w:t>Procjena i ishodište potrebnih sredstava za značajnije aktivnosti/projekte</w:t>
      </w:r>
    </w:p>
    <w:p w:rsidR="00D849AA" w:rsidRDefault="00EE6D95">
      <w:pPr>
        <w:pStyle w:val="Naslov6"/>
      </w:pPr>
      <w:r>
        <w:t>A822043 ADMINISTRACIJA I UPRAVLJANJE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0E4589" w:rsidRDefault="00EE6D95">
            <w:pPr>
              <w:pStyle w:val="CellHeader"/>
            </w:pPr>
            <w:r w:rsidRPr="000E4589">
              <w:t>Naziv aktivnosti</w:t>
            </w:r>
          </w:p>
        </w:tc>
        <w:tc>
          <w:tcPr>
            <w:tcW w:w="1486" w:type="dxa"/>
            <w:shd w:val="clear" w:color="auto" w:fill="B5C0D8"/>
          </w:tcPr>
          <w:p w:rsidR="00D849AA" w:rsidRPr="000E4589" w:rsidRDefault="00EE6D95">
            <w:pPr>
              <w:pStyle w:val="CellHeader"/>
            </w:pPr>
            <w:r w:rsidRPr="000E4589">
              <w:t>Plan 2013.</w:t>
            </w:r>
          </w:p>
        </w:tc>
        <w:tc>
          <w:tcPr>
            <w:tcW w:w="1486" w:type="dxa"/>
            <w:shd w:val="clear" w:color="auto" w:fill="B5C0D8"/>
          </w:tcPr>
          <w:p w:rsidR="00D849AA" w:rsidRPr="000E4589" w:rsidRDefault="00EE6D95">
            <w:pPr>
              <w:pStyle w:val="CellHeader"/>
            </w:pPr>
            <w:r w:rsidRPr="000E4589">
              <w:t>Plan 2014.</w:t>
            </w:r>
          </w:p>
        </w:tc>
        <w:tc>
          <w:tcPr>
            <w:tcW w:w="1486" w:type="dxa"/>
            <w:shd w:val="clear" w:color="auto" w:fill="B5C0D8"/>
          </w:tcPr>
          <w:p w:rsidR="00D849AA" w:rsidRPr="000E4589" w:rsidRDefault="00EE6D95">
            <w:pPr>
              <w:pStyle w:val="CellHeader"/>
            </w:pPr>
            <w:r w:rsidRPr="000E4589">
              <w:t>Plan 2015.</w:t>
            </w:r>
          </w:p>
        </w:tc>
        <w:tc>
          <w:tcPr>
            <w:tcW w:w="1486" w:type="dxa"/>
            <w:shd w:val="clear" w:color="auto" w:fill="B5C0D8"/>
          </w:tcPr>
          <w:p w:rsidR="00D849AA" w:rsidRPr="000E4589" w:rsidRDefault="00EE6D95">
            <w:pPr>
              <w:pStyle w:val="CellHeader"/>
            </w:pPr>
            <w:r w:rsidRPr="000E4589">
              <w:t>Plan 2016.</w:t>
            </w:r>
          </w:p>
        </w:tc>
        <w:tc>
          <w:tcPr>
            <w:tcW w:w="1486" w:type="dxa"/>
            <w:shd w:val="clear" w:color="auto" w:fill="B5C0D8"/>
          </w:tcPr>
          <w:p w:rsidR="00D849AA" w:rsidRPr="000E4589" w:rsidRDefault="00EE6D95">
            <w:pPr>
              <w:pStyle w:val="CellHeader"/>
            </w:pPr>
            <w:r w:rsidRPr="000E4589">
              <w:t>Indeks 2014/2013</w:t>
            </w:r>
          </w:p>
        </w:tc>
      </w:tr>
      <w:tr w:rsidR="00D849AA">
        <w:trPr>
          <w:jc w:val="center"/>
        </w:trPr>
        <w:tc>
          <w:tcPr>
            <w:tcW w:w="1486" w:type="dxa"/>
          </w:tcPr>
          <w:p w:rsidR="00D849AA" w:rsidRPr="000E4589" w:rsidRDefault="00EE6D95">
            <w:pPr>
              <w:pStyle w:val="CellColumn"/>
            </w:pPr>
            <w:r w:rsidRPr="000E4589">
              <w:t>A822043</w:t>
            </w:r>
          </w:p>
        </w:tc>
        <w:tc>
          <w:tcPr>
            <w:tcW w:w="1486" w:type="dxa"/>
          </w:tcPr>
          <w:p w:rsidR="00D849AA" w:rsidRPr="000E4589" w:rsidRDefault="00EE6D95">
            <w:pPr>
              <w:rPr>
                <w:rFonts w:ascii="Arial" w:hAnsi="Arial" w:cs="Arial"/>
              </w:rPr>
            </w:pPr>
            <w:r w:rsidRPr="000E4589">
              <w:rPr>
                <w:rFonts w:ascii="Arial" w:hAnsi="Arial" w:cs="Arial"/>
              </w:rPr>
              <w:t>4.151.000</w:t>
            </w:r>
          </w:p>
        </w:tc>
        <w:tc>
          <w:tcPr>
            <w:tcW w:w="1486" w:type="dxa"/>
          </w:tcPr>
          <w:p w:rsidR="00D849AA" w:rsidRPr="000E4589" w:rsidRDefault="00EE6D95">
            <w:pPr>
              <w:rPr>
                <w:rFonts w:ascii="Arial" w:hAnsi="Arial" w:cs="Arial"/>
              </w:rPr>
            </w:pPr>
            <w:r w:rsidRPr="000E4589">
              <w:rPr>
                <w:rFonts w:ascii="Arial" w:hAnsi="Arial" w:cs="Arial"/>
              </w:rPr>
              <w:t>3.261.221</w:t>
            </w:r>
          </w:p>
        </w:tc>
        <w:tc>
          <w:tcPr>
            <w:tcW w:w="1486" w:type="dxa"/>
          </w:tcPr>
          <w:p w:rsidR="00D849AA" w:rsidRPr="000E4589" w:rsidRDefault="00EE6D95">
            <w:pPr>
              <w:rPr>
                <w:rFonts w:ascii="Arial" w:hAnsi="Arial" w:cs="Arial"/>
              </w:rPr>
            </w:pPr>
            <w:r w:rsidRPr="000E4589">
              <w:rPr>
                <w:rFonts w:ascii="Arial" w:hAnsi="Arial" w:cs="Arial"/>
              </w:rPr>
              <w:t>4.101.000</w:t>
            </w:r>
          </w:p>
        </w:tc>
        <w:tc>
          <w:tcPr>
            <w:tcW w:w="1486" w:type="dxa"/>
          </w:tcPr>
          <w:p w:rsidR="00D849AA" w:rsidRPr="000E4589" w:rsidRDefault="00EE6D95">
            <w:pPr>
              <w:rPr>
                <w:rFonts w:ascii="Arial" w:hAnsi="Arial" w:cs="Arial"/>
              </w:rPr>
            </w:pPr>
            <w:r w:rsidRPr="000E4589">
              <w:rPr>
                <w:rFonts w:ascii="Arial" w:hAnsi="Arial" w:cs="Arial"/>
              </w:rPr>
              <w:t>4.106.000</w:t>
            </w:r>
          </w:p>
        </w:tc>
        <w:tc>
          <w:tcPr>
            <w:tcW w:w="1486" w:type="dxa"/>
          </w:tcPr>
          <w:p w:rsidR="00D849AA" w:rsidRPr="000E4589" w:rsidRDefault="00EE6D95">
            <w:pPr>
              <w:rPr>
                <w:rFonts w:ascii="Arial" w:hAnsi="Arial" w:cs="Arial"/>
              </w:rPr>
            </w:pPr>
            <w:r w:rsidRPr="000E4589">
              <w:rPr>
                <w:rFonts w:ascii="Arial" w:hAnsi="Arial" w:cs="Arial"/>
              </w:rPr>
              <w:t>78,6</w:t>
            </w:r>
          </w:p>
        </w:tc>
      </w:tr>
    </w:tbl>
    <w:p w:rsidR="00D849AA" w:rsidRDefault="00D849AA">
      <w:pPr>
        <w:jc w:val="left"/>
      </w:pPr>
    </w:p>
    <w:p w:rsidR="00D849AA" w:rsidRDefault="00EE6D95">
      <w:pPr>
        <w:pStyle w:val="Normal6"/>
      </w:pPr>
      <w:r>
        <w:t xml:space="preserve">Kroz ovu aktivnost provodi se program Povećanja učinkovitosti provedbe postupaka javne nabave kroz mjere razvoja, unaprjeđenja i koordinacije politike mjere razvoja, unaprjeđenja i koordinacije politike cjelokupnog sustava javne nabave; mjere razvoja i unapređenja sustava koncesija za javne radove i nadzor nad njegovim provođenjem te </w:t>
      </w:r>
      <w:r>
        <w:lastRenderedPageBreak/>
        <w:t>razvoja i unaprjeđenja sustava javno-privatnog partnerstva; mjere u svrhu pravilne i ujednačene primjene zakona i provedbenih propisa u području javne nabave; provođenje nadzora nad provedbom zakona i provedbenih propisa u području javne nabave u svrhu sprječavanja ili otklanjanja nepravilnosti; davanje preporuka; prikupljanje, evidentiranje, obrađivanje i analiziranje podataka; pružanje stručne pomoći svim sudionicima u sustavu javne nabave; vođenje Portala javne nabave; pripremanje i provođenje izobrazbe u području javne nabave, izdavanje i obnavljanje certifikata u području javne nabave.</w:t>
      </w:r>
    </w:p>
    <w:p w:rsidR="00D849AA" w:rsidRDefault="00EE6D95">
      <w:pPr>
        <w:pStyle w:val="Naslov2"/>
      </w:pPr>
      <w:r>
        <w:t>04910 Ravnateljstvo za robne zalihe</w:t>
      </w:r>
    </w:p>
    <w:p w:rsidR="00D849AA" w:rsidRDefault="00EE6D95">
      <w:pPr>
        <w:pStyle w:val="Naslov4"/>
      </w:pPr>
      <w:r>
        <w:t>Uvod</w:t>
      </w:r>
    </w:p>
    <w:p w:rsidR="00D849AA" w:rsidRDefault="00EE6D95">
      <w:pPr>
        <w:pStyle w:val="Normal3"/>
      </w:pPr>
      <w:r>
        <w:t>Robne zalihe stvaraju se radi osiguranja osnovne opskrbe stanovništva i to u doba ratnog stanja ili neposredne ugroženosti neovisnosti, jedinstvenosti i opstojnosti Republike Hrvatske, u slučaju velikih prirodnih nepogoda i tehničko - tehnoloških i ekoloških katastrofa, te radi upućivanja žurne pomoći drugim državama u slučaju katastrofa, te u slučaju sudjelovanja snaga Republike Hrvatske u mirovnim i humanitarnim operacijama u inozemstvu. U prijedlogu proračuna predviđeno je financiranje rashoda iz općih prihoda i primitaka (11) i iz prihoda za posebne namjene (43).</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0E4589" w:rsidRDefault="00D849AA">
            <w:pPr>
              <w:pStyle w:val="CellHeader"/>
            </w:pPr>
          </w:p>
        </w:tc>
        <w:tc>
          <w:tcPr>
            <w:tcW w:w="1486" w:type="dxa"/>
            <w:shd w:val="clear" w:color="auto" w:fill="B5C0D8"/>
          </w:tcPr>
          <w:p w:rsidR="00D849AA" w:rsidRPr="000E4589" w:rsidRDefault="00EE6D95">
            <w:pPr>
              <w:pStyle w:val="CellHeader"/>
            </w:pPr>
            <w:r w:rsidRPr="000E4589">
              <w:t>Plan 2013.</w:t>
            </w:r>
          </w:p>
        </w:tc>
        <w:tc>
          <w:tcPr>
            <w:tcW w:w="1486" w:type="dxa"/>
            <w:shd w:val="clear" w:color="auto" w:fill="B5C0D8"/>
          </w:tcPr>
          <w:p w:rsidR="00D849AA" w:rsidRPr="000E4589" w:rsidRDefault="00EE6D95">
            <w:pPr>
              <w:pStyle w:val="CellHeader"/>
            </w:pPr>
            <w:r w:rsidRPr="000E4589">
              <w:t>Plan 2014.</w:t>
            </w:r>
          </w:p>
        </w:tc>
        <w:tc>
          <w:tcPr>
            <w:tcW w:w="1486" w:type="dxa"/>
            <w:shd w:val="clear" w:color="auto" w:fill="B5C0D8"/>
          </w:tcPr>
          <w:p w:rsidR="00D849AA" w:rsidRPr="000E4589" w:rsidRDefault="00EE6D95">
            <w:pPr>
              <w:pStyle w:val="CellHeader"/>
            </w:pPr>
            <w:r w:rsidRPr="000E4589">
              <w:t>Plan 2015.</w:t>
            </w:r>
          </w:p>
        </w:tc>
        <w:tc>
          <w:tcPr>
            <w:tcW w:w="1486" w:type="dxa"/>
            <w:shd w:val="clear" w:color="auto" w:fill="B5C0D8"/>
          </w:tcPr>
          <w:p w:rsidR="00D849AA" w:rsidRPr="000E4589" w:rsidRDefault="00EE6D95">
            <w:pPr>
              <w:pStyle w:val="CellHeader"/>
            </w:pPr>
            <w:r w:rsidRPr="000E4589">
              <w:t>Plan 2016.</w:t>
            </w:r>
          </w:p>
        </w:tc>
        <w:tc>
          <w:tcPr>
            <w:tcW w:w="1486" w:type="dxa"/>
            <w:shd w:val="clear" w:color="auto" w:fill="B5C0D8"/>
          </w:tcPr>
          <w:p w:rsidR="00D849AA" w:rsidRPr="000E4589" w:rsidRDefault="00EE6D95">
            <w:pPr>
              <w:pStyle w:val="CellHeader"/>
            </w:pPr>
            <w:r w:rsidRPr="000E4589">
              <w:t>Indeks 2014/2013</w:t>
            </w:r>
          </w:p>
        </w:tc>
      </w:tr>
      <w:tr w:rsidR="00D849AA">
        <w:trPr>
          <w:jc w:val="center"/>
        </w:trPr>
        <w:tc>
          <w:tcPr>
            <w:tcW w:w="1486" w:type="dxa"/>
          </w:tcPr>
          <w:p w:rsidR="00D849AA" w:rsidRPr="000E4589" w:rsidRDefault="00EE6D95">
            <w:pPr>
              <w:pStyle w:val="CellColumn"/>
            </w:pPr>
            <w:r w:rsidRPr="000E4589">
              <w:t>04910</w:t>
            </w:r>
          </w:p>
        </w:tc>
        <w:tc>
          <w:tcPr>
            <w:tcW w:w="1486" w:type="dxa"/>
          </w:tcPr>
          <w:p w:rsidR="00D849AA" w:rsidRPr="000E4589" w:rsidRDefault="00EE6D95">
            <w:pPr>
              <w:rPr>
                <w:rFonts w:ascii="Arial" w:hAnsi="Arial" w:cs="Arial"/>
              </w:rPr>
            </w:pPr>
            <w:r w:rsidRPr="000E4589">
              <w:rPr>
                <w:rFonts w:ascii="Arial" w:hAnsi="Arial" w:cs="Arial"/>
              </w:rPr>
              <w:t>25.043.180</w:t>
            </w:r>
          </w:p>
        </w:tc>
        <w:tc>
          <w:tcPr>
            <w:tcW w:w="1486" w:type="dxa"/>
          </w:tcPr>
          <w:p w:rsidR="00D849AA" w:rsidRPr="000E4589" w:rsidRDefault="00EE6D95">
            <w:pPr>
              <w:rPr>
                <w:rFonts w:ascii="Arial" w:hAnsi="Arial" w:cs="Arial"/>
              </w:rPr>
            </w:pPr>
            <w:r w:rsidRPr="000E4589">
              <w:rPr>
                <w:rFonts w:ascii="Arial" w:hAnsi="Arial" w:cs="Arial"/>
              </w:rPr>
              <w:t>35.375.000</w:t>
            </w:r>
          </w:p>
        </w:tc>
        <w:tc>
          <w:tcPr>
            <w:tcW w:w="1486" w:type="dxa"/>
          </w:tcPr>
          <w:p w:rsidR="00D849AA" w:rsidRPr="000E4589" w:rsidRDefault="00EE6D95">
            <w:pPr>
              <w:rPr>
                <w:rFonts w:ascii="Arial" w:hAnsi="Arial" w:cs="Arial"/>
              </w:rPr>
            </w:pPr>
            <w:r w:rsidRPr="000E4589">
              <w:rPr>
                <w:rFonts w:ascii="Arial" w:hAnsi="Arial" w:cs="Arial"/>
              </w:rPr>
              <w:t>40.898.516</w:t>
            </w:r>
          </w:p>
        </w:tc>
        <w:tc>
          <w:tcPr>
            <w:tcW w:w="1486" w:type="dxa"/>
          </w:tcPr>
          <w:p w:rsidR="00D849AA" w:rsidRPr="000E4589" w:rsidRDefault="00EE6D95">
            <w:pPr>
              <w:rPr>
                <w:rFonts w:ascii="Arial" w:hAnsi="Arial" w:cs="Arial"/>
              </w:rPr>
            </w:pPr>
            <w:r w:rsidRPr="000E4589">
              <w:rPr>
                <w:rFonts w:ascii="Arial" w:hAnsi="Arial" w:cs="Arial"/>
              </w:rPr>
              <w:t>45.731.693</w:t>
            </w:r>
          </w:p>
        </w:tc>
        <w:tc>
          <w:tcPr>
            <w:tcW w:w="1486" w:type="dxa"/>
          </w:tcPr>
          <w:p w:rsidR="00D849AA" w:rsidRPr="000E4589" w:rsidRDefault="00EE6D95">
            <w:pPr>
              <w:rPr>
                <w:rFonts w:ascii="Arial" w:hAnsi="Arial" w:cs="Arial"/>
              </w:rPr>
            </w:pPr>
            <w:r w:rsidRPr="000E4589">
              <w:rPr>
                <w:rFonts w:ascii="Arial" w:hAnsi="Arial" w:cs="Arial"/>
              </w:rPr>
              <w:t>141,2</w:t>
            </w:r>
          </w:p>
        </w:tc>
      </w:tr>
    </w:tbl>
    <w:p w:rsidR="00D849AA" w:rsidRDefault="00D849AA">
      <w:pPr>
        <w:jc w:val="left"/>
      </w:pPr>
    </w:p>
    <w:p w:rsidR="00D849AA" w:rsidRDefault="00EE6D95">
      <w:pPr>
        <w:pStyle w:val="Naslov4"/>
      </w:pPr>
      <w:r>
        <w:t>OBRAZLOŽENJE PROGRAMA</w:t>
      </w:r>
    </w:p>
    <w:p w:rsidR="00D849AA" w:rsidRDefault="00EE6D95">
      <w:pPr>
        <w:pStyle w:val="Naslov5"/>
      </w:pPr>
      <w:r>
        <w:t>4302 STVARANJE, OBNAVLJANJE I KORIŠTENJE ROBNIH ZALIHA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rsidRPr="000E4589">
        <w:trPr>
          <w:jc w:val="center"/>
        </w:trPr>
        <w:tc>
          <w:tcPr>
            <w:tcW w:w="1486" w:type="dxa"/>
            <w:shd w:val="clear" w:color="auto" w:fill="B5C0D8"/>
          </w:tcPr>
          <w:p w:rsidR="00D849AA" w:rsidRPr="000E4589" w:rsidRDefault="00D849AA">
            <w:pPr>
              <w:pStyle w:val="CellHeader"/>
            </w:pPr>
          </w:p>
        </w:tc>
        <w:tc>
          <w:tcPr>
            <w:tcW w:w="1486" w:type="dxa"/>
            <w:shd w:val="clear" w:color="auto" w:fill="B5C0D8"/>
          </w:tcPr>
          <w:p w:rsidR="00D849AA" w:rsidRPr="000E4589" w:rsidRDefault="00EE6D95">
            <w:pPr>
              <w:pStyle w:val="CellHeader"/>
            </w:pPr>
            <w:r w:rsidRPr="000E4589">
              <w:t>Plan 2013.</w:t>
            </w:r>
          </w:p>
        </w:tc>
        <w:tc>
          <w:tcPr>
            <w:tcW w:w="1486" w:type="dxa"/>
            <w:shd w:val="clear" w:color="auto" w:fill="B5C0D8"/>
          </w:tcPr>
          <w:p w:rsidR="00D849AA" w:rsidRPr="000E4589" w:rsidRDefault="00EE6D95">
            <w:pPr>
              <w:pStyle w:val="CellHeader"/>
            </w:pPr>
            <w:r w:rsidRPr="000E4589">
              <w:t>Plan 2014.</w:t>
            </w:r>
          </w:p>
        </w:tc>
        <w:tc>
          <w:tcPr>
            <w:tcW w:w="1486" w:type="dxa"/>
            <w:shd w:val="clear" w:color="auto" w:fill="B5C0D8"/>
          </w:tcPr>
          <w:p w:rsidR="00D849AA" w:rsidRPr="000E4589" w:rsidRDefault="00EE6D95">
            <w:pPr>
              <w:pStyle w:val="CellHeader"/>
            </w:pPr>
            <w:r w:rsidRPr="000E4589">
              <w:t>Plan 2015.</w:t>
            </w:r>
          </w:p>
        </w:tc>
        <w:tc>
          <w:tcPr>
            <w:tcW w:w="1486" w:type="dxa"/>
            <w:shd w:val="clear" w:color="auto" w:fill="B5C0D8"/>
          </w:tcPr>
          <w:p w:rsidR="00D849AA" w:rsidRPr="000E4589" w:rsidRDefault="00EE6D95">
            <w:pPr>
              <w:pStyle w:val="CellHeader"/>
            </w:pPr>
            <w:r w:rsidRPr="000E4589">
              <w:t>Plan 2016.</w:t>
            </w:r>
          </w:p>
        </w:tc>
        <w:tc>
          <w:tcPr>
            <w:tcW w:w="1486" w:type="dxa"/>
            <w:shd w:val="clear" w:color="auto" w:fill="B5C0D8"/>
          </w:tcPr>
          <w:p w:rsidR="00D849AA" w:rsidRPr="000E4589" w:rsidRDefault="00EE6D95">
            <w:pPr>
              <w:pStyle w:val="CellHeader"/>
            </w:pPr>
            <w:r w:rsidRPr="000E4589">
              <w:t>Indeks 2014/2013</w:t>
            </w:r>
          </w:p>
        </w:tc>
      </w:tr>
      <w:tr w:rsidR="00D849AA" w:rsidRPr="000E4589">
        <w:trPr>
          <w:jc w:val="center"/>
        </w:trPr>
        <w:tc>
          <w:tcPr>
            <w:tcW w:w="1486" w:type="dxa"/>
          </w:tcPr>
          <w:p w:rsidR="00D849AA" w:rsidRPr="000E4589" w:rsidRDefault="00EE6D95">
            <w:pPr>
              <w:pStyle w:val="CellColumn"/>
            </w:pPr>
            <w:r w:rsidRPr="000E4589">
              <w:t>4302</w:t>
            </w:r>
          </w:p>
        </w:tc>
        <w:tc>
          <w:tcPr>
            <w:tcW w:w="1486" w:type="dxa"/>
          </w:tcPr>
          <w:p w:rsidR="00D849AA" w:rsidRPr="000E4589" w:rsidRDefault="00EE6D95">
            <w:pPr>
              <w:rPr>
                <w:rFonts w:ascii="Arial" w:hAnsi="Arial" w:cs="Arial"/>
              </w:rPr>
            </w:pPr>
            <w:r w:rsidRPr="000E4589">
              <w:rPr>
                <w:rFonts w:ascii="Arial" w:hAnsi="Arial" w:cs="Arial"/>
              </w:rPr>
              <w:t>25.043.180</w:t>
            </w:r>
          </w:p>
        </w:tc>
        <w:tc>
          <w:tcPr>
            <w:tcW w:w="1486" w:type="dxa"/>
          </w:tcPr>
          <w:p w:rsidR="00D849AA" w:rsidRPr="000E4589" w:rsidRDefault="00EE6D95">
            <w:pPr>
              <w:rPr>
                <w:rFonts w:ascii="Arial" w:hAnsi="Arial" w:cs="Arial"/>
              </w:rPr>
            </w:pPr>
            <w:r w:rsidRPr="000E4589">
              <w:rPr>
                <w:rFonts w:ascii="Arial" w:hAnsi="Arial" w:cs="Arial"/>
              </w:rPr>
              <w:t>35.375.000</w:t>
            </w:r>
          </w:p>
        </w:tc>
        <w:tc>
          <w:tcPr>
            <w:tcW w:w="1486" w:type="dxa"/>
          </w:tcPr>
          <w:p w:rsidR="00D849AA" w:rsidRPr="000E4589" w:rsidRDefault="00EE6D95">
            <w:pPr>
              <w:rPr>
                <w:rFonts w:ascii="Arial" w:hAnsi="Arial" w:cs="Arial"/>
              </w:rPr>
            </w:pPr>
            <w:r w:rsidRPr="000E4589">
              <w:rPr>
                <w:rFonts w:ascii="Arial" w:hAnsi="Arial" w:cs="Arial"/>
              </w:rPr>
              <w:t>40.898.516</w:t>
            </w:r>
          </w:p>
        </w:tc>
        <w:tc>
          <w:tcPr>
            <w:tcW w:w="1486" w:type="dxa"/>
          </w:tcPr>
          <w:p w:rsidR="00D849AA" w:rsidRPr="000E4589" w:rsidRDefault="00EE6D95">
            <w:pPr>
              <w:rPr>
                <w:rFonts w:ascii="Arial" w:hAnsi="Arial" w:cs="Arial"/>
              </w:rPr>
            </w:pPr>
            <w:r w:rsidRPr="000E4589">
              <w:rPr>
                <w:rFonts w:ascii="Arial" w:hAnsi="Arial" w:cs="Arial"/>
              </w:rPr>
              <w:t>45.731.693</w:t>
            </w:r>
          </w:p>
        </w:tc>
        <w:tc>
          <w:tcPr>
            <w:tcW w:w="1486" w:type="dxa"/>
          </w:tcPr>
          <w:p w:rsidR="00D849AA" w:rsidRPr="000E4589" w:rsidRDefault="00EE6D95">
            <w:pPr>
              <w:rPr>
                <w:rFonts w:ascii="Arial" w:hAnsi="Arial" w:cs="Arial"/>
              </w:rPr>
            </w:pPr>
            <w:r w:rsidRPr="000E4589">
              <w:rPr>
                <w:rFonts w:ascii="Arial" w:hAnsi="Arial" w:cs="Arial"/>
              </w:rPr>
              <w:t>141,2</w:t>
            </w:r>
          </w:p>
        </w:tc>
      </w:tr>
    </w:tbl>
    <w:p w:rsidR="00D849AA" w:rsidRPr="000E4589" w:rsidRDefault="00D849AA">
      <w:pPr>
        <w:jc w:val="left"/>
        <w:rPr>
          <w:rFonts w:ascii="Arial" w:hAnsi="Arial" w:cs="Arial"/>
        </w:rPr>
      </w:pPr>
    </w:p>
    <w:p w:rsidR="00D849AA" w:rsidRDefault="00EE6D95">
      <w:pPr>
        <w:pStyle w:val="Naslov6"/>
      </w:pPr>
      <w:r>
        <w:t>Opis programa</w:t>
      </w:r>
    </w:p>
    <w:p w:rsidR="00D849AA" w:rsidRDefault="00EE6D95">
      <w:pPr>
        <w:pStyle w:val="Normal5"/>
      </w:pPr>
      <w:r>
        <w:t>Stvaranje, obnavljanje i korištenje robnih zaliha u doba ratnog stanja i neposredne ugroženosti neovisnosti, jedinstvenosti i opstojnosti Republike Hrvatske, te u slučajevima velikih prirodnih nepogoda i ekoloških katastrofa. Opći cilj programa je stvaranje, obnavljanje i korištenje robnih zaliha, a Posebni cilj je popuna strateških robnih zaliha u skladu s Bilancom strateških robnih zaliha i Zakonom o strateškim robnim zalihama. Navedeno je sadržano u Strateškom planu Ministarstva gospodarstva za razdoblje od 2013. - 2015. godine u Općem cilju 2 Konkurentno i dinamično, na znanju utemeljeno gospodarstvo, uz osiguranje jednakih uvjeta poslovanja u svim dijelovima RH, kao Posebni cilj 2.5. Stvaranje, obnavljanje i korištenje robnih zaliha.</w:t>
      </w:r>
    </w:p>
    <w:p w:rsidR="00D849AA" w:rsidRDefault="00EE6D95">
      <w:pPr>
        <w:pStyle w:val="Naslov6"/>
      </w:pPr>
      <w:r>
        <w:lastRenderedPageBreak/>
        <w:t>Zakonske i druge pravne osnove</w:t>
      </w:r>
    </w:p>
    <w:p w:rsidR="00D849AA" w:rsidRDefault="00EE6D95">
      <w:pPr>
        <w:pStyle w:val="Normal5"/>
      </w:pPr>
      <w:r>
        <w:t>Zakon o strateškim robnim zalihama N.N. 87/2002, Bilanca strateških robnih zaliha koja je donesena na sjednici Vlade Republike Hrvatske dana 11. lipnja 2004. godine.</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Cilj 1. Popuna strateških robnih zaliha u skladu s Bilancom i Zakonom o strateškim robnim zalihama</w:t>
      </w:r>
    </w:p>
    <w:p w:rsidR="00D849AA" w:rsidRDefault="00EE6D95">
      <w:pPr>
        <w:pStyle w:val="Normal6"/>
      </w:pPr>
      <w:r>
        <w:t>Sukladno Zakonu o strateškim robnim zalihama, te postojećoj Bilanci strateških robnih zaliha cilj nam je stvoriti robne zalihe koje čine osnovni poljoprivredno-prehrambeni i neprehrambeni proizvodi koji su nužno potrebni za život ljudi, naftni derivati te materijal i sirovine potrebni za proizvodnju, osobito ako imaju poseban značaj za obranu zemlje i zbrinjavanje stanovništva u slučaju velikih prirodnih nepogoda, tehničko-tehnoloških i ekoloških katastrofa. Cilj je popuniti Bilancu strateških robnih zaliha, te osigurati krajnjim korisnicima nesmetano i brzo korištenje robnih zaliha u slučaju potrebe, odnosno Zakonom određenim situacijama. Strateške robne zalihe čuvaju se u robi i novcu. Bilancom je predviđena popuna nedostajućih zaliha u petogodišnjem periodu, odnosno do 2008. godine. Kako proteklih godina nije izvršena predviđena popuna, cilj nam je izvršiti revidiranje postojeće Bilance i izvršiti njenu popunu kako bi u slučaju potrebe mogli osigurati krajnjim korisnicima nesmetano i brzo korištenje robnih zaliha.</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rsidRPr="000E4589">
        <w:trPr>
          <w:jc w:val="center"/>
        </w:trPr>
        <w:tc>
          <w:tcPr>
            <w:tcW w:w="2229" w:type="dxa"/>
            <w:shd w:val="clear" w:color="auto" w:fill="B5C0D8"/>
          </w:tcPr>
          <w:p w:rsidR="00D849AA" w:rsidRPr="000E4589" w:rsidRDefault="00EE6D95">
            <w:pPr>
              <w:rPr>
                <w:rFonts w:ascii="Arial" w:hAnsi="Arial" w:cs="Arial"/>
              </w:rPr>
            </w:pPr>
            <w:r w:rsidRPr="000E4589">
              <w:rPr>
                <w:rFonts w:ascii="Arial" w:hAnsi="Arial" w:cs="Arial"/>
              </w:rPr>
              <w:t>Pokazatelj učinka</w:t>
            </w:r>
          </w:p>
        </w:tc>
        <w:tc>
          <w:tcPr>
            <w:tcW w:w="1114" w:type="dxa"/>
            <w:shd w:val="clear" w:color="auto" w:fill="B5C0D8"/>
          </w:tcPr>
          <w:p w:rsidR="00D849AA" w:rsidRPr="000E4589" w:rsidRDefault="00EE6D95">
            <w:pPr>
              <w:pStyle w:val="CellHeader"/>
            </w:pPr>
            <w:r w:rsidRPr="000E4589">
              <w:t>Jedinica</w:t>
            </w:r>
          </w:p>
        </w:tc>
        <w:tc>
          <w:tcPr>
            <w:tcW w:w="1114" w:type="dxa"/>
            <w:shd w:val="clear" w:color="auto" w:fill="B5C0D8"/>
          </w:tcPr>
          <w:p w:rsidR="00D849AA" w:rsidRPr="000E4589" w:rsidRDefault="00EE6D95">
            <w:pPr>
              <w:pStyle w:val="CellHeader"/>
            </w:pPr>
            <w:r w:rsidRPr="000E4589">
              <w:t>Polazna vrijednost</w:t>
            </w:r>
          </w:p>
        </w:tc>
        <w:tc>
          <w:tcPr>
            <w:tcW w:w="1486" w:type="dxa"/>
            <w:shd w:val="clear" w:color="auto" w:fill="B5C0D8"/>
          </w:tcPr>
          <w:p w:rsidR="00D849AA" w:rsidRPr="000E4589" w:rsidRDefault="00EE6D95">
            <w:pPr>
              <w:pStyle w:val="CellHeader"/>
            </w:pPr>
            <w:r w:rsidRPr="000E4589">
              <w:t>Ciljana vrijednost (2014.)</w:t>
            </w:r>
          </w:p>
        </w:tc>
        <w:tc>
          <w:tcPr>
            <w:tcW w:w="1486" w:type="dxa"/>
            <w:shd w:val="clear" w:color="auto" w:fill="B5C0D8"/>
          </w:tcPr>
          <w:p w:rsidR="00D849AA" w:rsidRPr="000E4589" w:rsidRDefault="00EE6D95">
            <w:pPr>
              <w:pStyle w:val="CellHeader"/>
            </w:pPr>
            <w:r w:rsidRPr="000E4589">
              <w:t>Ciljana vrijednost (2015.)</w:t>
            </w:r>
          </w:p>
        </w:tc>
        <w:tc>
          <w:tcPr>
            <w:tcW w:w="1486" w:type="dxa"/>
            <w:shd w:val="clear" w:color="auto" w:fill="B5C0D8"/>
          </w:tcPr>
          <w:p w:rsidR="00D849AA" w:rsidRPr="000E4589" w:rsidRDefault="00EE6D95">
            <w:pPr>
              <w:pStyle w:val="CellHeader"/>
            </w:pPr>
            <w:r w:rsidRPr="000E4589">
              <w:t>Ciljana vrijednost (2016.)</w:t>
            </w:r>
          </w:p>
        </w:tc>
      </w:tr>
      <w:tr w:rsidR="00D849AA" w:rsidRPr="000E4589">
        <w:trPr>
          <w:jc w:val="center"/>
        </w:trPr>
        <w:tc>
          <w:tcPr>
            <w:tcW w:w="2229" w:type="dxa"/>
          </w:tcPr>
          <w:p w:rsidR="00D849AA" w:rsidRPr="000E4589" w:rsidRDefault="00EE6D95">
            <w:pPr>
              <w:pStyle w:val="CellColumn"/>
            </w:pPr>
            <w:r w:rsidRPr="000E4589">
              <w:t>% popunjenosti Bilance s poljoprivredno-prehrambenim proizvodima</w:t>
            </w:r>
          </w:p>
        </w:tc>
        <w:tc>
          <w:tcPr>
            <w:tcW w:w="1114" w:type="dxa"/>
          </w:tcPr>
          <w:p w:rsidR="00D849AA" w:rsidRPr="000E4589" w:rsidRDefault="00EE6D95">
            <w:pPr>
              <w:rPr>
                <w:rFonts w:ascii="Arial" w:hAnsi="Arial" w:cs="Arial"/>
              </w:rPr>
            </w:pPr>
            <w:r w:rsidRPr="000E4589">
              <w:rPr>
                <w:rFonts w:ascii="Arial" w:hAnsi="Arial" w:cs="Arial"/>
              </w:rPr>
              <w:t>%</w:t>
            </w:r>
          </w:p>
        </w:tc>
        <w:tc>
          <w:tcPr>
            <w:tcW w:w="1114" w:type="dxa"/>
          </w:tcPr>
          <w:p w:rsidR="00D849AA" w:rsidRPr="000E4589" w:rsidRDefault="00EE6D95">
            <w:pPr>
              <w:rPr>
                <w:rFonts w:ascii="Arial" w:hAnsi="Arial" w:cs="Arial"/>
              </w:rPr>
            </w:pPr>
            <w:r w:rsidRPr="000E4589">
              <w:rPr>
                <w:rFonts w:ascii="Arial" w:hAnsi="Arial" w:cs="Arial"/>
              </w:rPr>
              <w:t>80</w:t>
            </w:r>
          </w:p>
        </w:tc>
        <w:tc>
          <w:tcPr>
            <w:tcW w:w="1486" w:type="dxa"/>
          </w:tcPr>
          <w:p w:rsidR="00D849AA" w:rsidRPr="000E4589" w:rsidRDefault="00EE6D95">
            <w:pPr>
              <w:rPr>
                <w:rFonts w:ascii="Arial" w:hAnsi="Arial" w:cs="Arial"/>
              </w:rPr>
            </w:pPr>
            <w:r w:rsidRPr="000E4589">
              <w:rPr>
                <w:rFonts w:ascii="Arial" w:hAnsi="Arial" w:cs="Arial"/>
              </w:rPr>
              <w:t>82</w:t>
            </w:r>
          </w:p>
        </w:tc>
        <w:tc>
          <w:tcPr>
            <w:tcW w:w="1486" w:type="dxa"/>
          </w:tcPr>
          <w:p w:rsidR="00D849AA" w:rsidRPr="000E4589" w:rsidRDefault="00EE6D95">
            <w:pPr>
              <w:rPr>
                <w:rFonts w:ascii="Arial" w:hAnsi="Arial" w:cs="Arial"/>
              </w:rPr>
            </w:pPr>
            <w:r w:rsidRPr="000E4589">
              <w:rPr>
                <w:rFonts w:ascii="Arial" w:hAnsi="Arial" w:cs="Arial"/>
              </w:rPr>
              <w:t>85</w:t>
            </w:r>
          </w:p>
        </w:tc>
        <w:tc>
          <w:tcPr>
            <w:tcW w:w="1486" w:type="dxa"/>
          </w:tcPr>
          <w:p w:rsidR="00D849AA" w:rsidRPr="000E4589" w:rsidRDefault="00EE6D95">
            <w:pPr>
              <w:rPr>
                <w:rFonts w:ascii="Arial" w:hAnsi="Arial" w:cs="Arial"/>
              </w:rPr>
            </w:pPr>
            <w:r w:rsidRPr="000E4589">
              <w:rPr>
                <w:rFonts w:ascii="Arial" w:hAnsi="Arial" w:cs="Arial"/>
              </w:rPr>
              <w:t>85</w:t>
            </w:r>
          </w:p>
        </w:tc>
      </w:tr>
      <w:tr w:rsidR="00D849AA" w:rsidRPr="000E4589">
        <w:trPr>
          <w:jc w:val="center"/>
        </w:trPr>
        <w:tc>
          <w:tcPr>
            <w:tcW w:w="2229" w:type="dxa"/>
          </w:tcPr>
          <w:p w:rsidR="00D849AA" w:rsidRPr="000E4589" w:rsidRDefault="00EE6D95">
            <w:pPr>
              <w:pStyle w:val="CellColumn"/>
            </w:pPr>
            <w:r w:rsidRPr="000E4589">
              <w:t>% popunjenosti Bilance s neprehrambenim proizvodima</w:t>
            </w:r>
          </w:p>
        </w:tc>
        <w:tc>
          <w:tcPr>
            <w:tcW w:w="1114" w:type="dxa"/>
          </w:tcPr>
          <w:p w:rsidR="00D849AA" w:rsidRPr="000E4589" w:rsidRDefault="00EE6D95">
            <w:pPr>
              <w:rPr>
                <w:rFonts w:ascii="Arial" w:hAnsi="Arial" w:cs="Arial"/>
              </w:rPr>
            </w:pPr>
            <w:r w:rsidRPr="000E4589">
              <w:rPr>
                <w:rFonts w:ascii="Arial" w:hAnsi="Arial" w:cs="Arial"/>
              </w:rPr>
              <w:t>%</w:t>
            </w:r>
          </w:p>
        </w:tc>
        <w:tc>
          <w:tcPr>
            <w:tcW w:w="1114" w:type="dxa"/>
          </w:tcPr>
          <w:p w:rsidR="00D849AA" w:rsidRPr="000E4589" w:rsidRDefault="00EE6D95">
            <w:pPr>
              <w:rPr>
                <w:rFonts w:ascii="Arial" w:hAnsi="Arial" w:cs="Arial"/>
              </w:rPr>
            </w:pPr>
            <w:r w:rsidRPr="000E4589">
              <w:rPr>
                <w:rFonts w:ascii="Arial" w:hAnsi="Arial" w:cs="Arial"/>
              </w:rPr>
              <w:t>41</w:t>
            </w:r>
          </w:p>
        </w:tc>
        <w:tc>
          <w:tcPr>
            <w:tcW w:w="1486" w:type="dxa"/>
          </w:tcPr>
          <w:p w:rsidR="00D849AA" w:rsidRPr="000E4589" w:rsidRDefault="00EE6D95">
            <w:pPr>
              <w:rPr>
                <w:rFonts w:ascii="Arial" w:hAnsi="Arial" w:cs="Arial"/>
              </w:rPr>
            </w:pPr>
            <w:r w:rsidRPr="000E4589">
              <w:rPr>
                <w:rFonts w:ascii="Arial" w:hAnsi="Arial" w:cs="Arial"/>
              </w:rPr>
              <w:t>41</w:t>
            </w:r>
          </w:p>
        </w:tc>
        <w:tc>
          <w:tcPr>
            <w:tcW w:w="1486" w:type="dxa"/>
          </w:tcPr>
          <w:p w:rsidR="00D849AA" w:rsidRPr="000E4589" w:rsidRDefault="00EE6D95">
            <w:pPr>
              <w:rPr>
                <w:rFonts w:ascii="Arial" w:hAnsi="Arial" w:cs="Arial"/>
              </w:rPr>
            </w:pPr>
            <w:r w:rsidRPr="000E4589">
              <w:rPr>
                <w:rFonts w:ascii="Arial" w:hAnsi="Arial" w:cs="Arial"/>
              </w:rPr>
              <w:t>41</w:t>
            </w:r>
          </w:p>
        </w:tc>
        <w:tc>
          <w:tcPr>
            <w:tcW w:w="1486" w:type="dxa"/>
          </w:tcPr>
          <w:p w:rsidR="00D849AA" w:rsidRPr="000E4589" w:rsidRDefault="00EE6D95">
            <w:pPr>
              <w:rPr>
                <w:rFonts w:ascii="Arial" w:hAnsi="Arial" w:cs="Arial"/>
              </w:rPr>
            </w:pPr>
            <w:r w:rsidRPr="000E4589">
              <w:rPr>
                <w:rFonts w:ascii="Arial" w:hAnsi="Arial" w:cs="Arial"/>
              </w:rPr>
              <w:t>42</w:t>
            </w:r>
          </w:p>
        </w:tc>
      </w:tr>
    </w:tbl>
    <w:p w:rsidR="00D849AA" w:rsidRPr="000E4589" w:rsidRDefault="00D849AA">
      <w:pPr>
        <w:jc w:val="left"/>
        <w:rPr>
          <w:rFonts w:ascii="Arial" w:hAnsi="Arial" w:cs="Arial"/>
        </w:rPr>
      </w:pPr>
    </w:p>
    <w:p w:rsidR="00D849AA" w:rsidRDefault="00EE6D95">
      <w:pPr>
        <w:pStyle w:val="Naslov5"/>
      </w:pPr>
      <w:r>
        <w:t>Procjena i ishodište potrebnih sredstava za značajnije aktivnosti/projekte</w:t>
      </w:r>
    </w:p>
    <w:p w:rsidR="00D849AA" w:rsidRDefault="00EE6D95">
      <w:pPr>
        <w:pStyle w:val="Naslov6"/>
      </w:pPr>
      <w:r>
        <w:t>K561016 NABAVA ROBNIH ZALIHA REPUBLIKE HRVATSKE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rsidRPr="000E4589">
        <w:trPr>
          <w:jc w:val="center"/>
        </w:trPr>
        <w:tc>
          <w:tcPr>
            <w:tcW w:w="1486" w:type="dxa"/>
            <w:shd w:val="clear" w:color="auto" w:fill="B5C0D8"/>
          </w:tcPr>
          <w:p w:rsidR="00D849AA" w:rsidRPr="000E4589" w:rsidRDefault="00EE6D95">
            <w:pPr>
              <w:pStyle w:val="CellHeader"/>
            </w:pPr>
            <w:r w:rsidRPr="000E4589">
              <w:t>Naziv aktivnosti</w:t>
            </w:r>
          </w:p>
        </w:tc>
        <w:tc>
          <w:tcPr>
            <w:tcW w:w="1486" w:type="dxa"/>
            <w:shd w:val="clear" w:color="auto" w:fill="B5C0D8"/>
          </w:tcPr>
          <w:p w:rsidR="00D849AA" w:rsidRPr="000E4589" w:rsidRDefault="00EE6D95">
            <w:pPr>
              <w:pStyle w:val="CellHeader"/>
            </w:pPr>
            <w:r w:rsidRPr="000E4589">
              <w:t>Plan 2013.</w:t>
            </w:r>
          </w:p>
        </w:tc>
        <w:tc>
          <w:tcPr>
            <w:tcW w:w="1486" w:type="dxa"/>
            <w:shd w:val="clear" w:color="auto" w:fill="B5C0D8"/>
          </w:tcPr>
          <w:p w:rsidR="00D849AA" w:rsidRPr="000E4589" w:rsidRDefault="00EE6D95">
            <w:pPr>
              <w:pStyle w:val="CellHeader"/>
            </w:pPr>
            <w:r w:rsidRPr="000E4589">
              <w:t>Plan 2014.</w:t>
            </w:r>
          </w:p>
        </w:tc>
        <w:tc>
          <w:tcPr>
            <w:tcW w:w="1486" w:type="dxa"/>
            <w:shd w:val="clear" w:color="auto" w:fill="B5C0D8"/>
          </w:tcPr>
          <w:p w:rsidR="00D849AA" w:rsidRPr="000E4589" w:rsidRDefault="00EE6D95">
            <w:pPr>
              <w:pStyle w:val="CellHeader"/>
            </w:pPr>
            <w:r w:rsidRPr="000E4589">
              <w:t>Plan 2015.</w:t>
            </w:r>
          </w:p>
        </w:tc>
        <w:tc>
          <w:tcPr>
            <w:tcW w:w="1486" w:type="dxa"/>
            <w:shd w:val="clear" w:color="auto" w:fill="B5C0D8"/>
          </w:tcPr>
          <w:p w:rsidR="00D849AA" w:rsidRPr="000E4589" w:rsidRDefault="00EE6D95">
            <w:pPr>
              <w:pStyle w:val="CellHeader"/>
            </w:pPr>
            <w:r w:rsidRPr="000E4589">
              <w:t>Plan 2016.</w:t>
            </w:r>
          </w:p>
        </w:tc>
        <w:tc>
          <w:tcPr>
            <w:tcW w:w="1486" w:type="dxa"/>
            <w:shd w:val="clear" w:color="auto" w:fill="B5C0D8"/>
          </w:tcPr>
          <w:p w:rsidR="00D849AA" w:rsidRPr="000E4589" w:rsidRDefault="00EE6D95">
            <w:pPr>
              <w:pStyle w:val="CellHeader"/>
            </w:pPr>
            <w:r w:rsidRPr="000E4589">
              <w:t>Indeks 2014/2013</w:t>
            </w:r>
          </w:p>
        </w:tc>
      </w:tr>
      <w:tr w:rsidR="00D849AA" w:rsidRPr="000E4589">
        <w:trPr>
          <w:jc w:val="center"/>
        </w:trPr>
        <w:tc>
          <w:tcPr>
            <w:tcW w:w="1486" w:type="dxa"/>
          </w:tcPr>
          <w:p w:rsidR="00D849AA" w:rsidRPr="000E4589" w:rsidRDefault="00EE6D95">
            <w:pPr>
              <w:pStyle w:val="CellColumn"/>
            </w:pPr>
            <w:r w:rsidRPr="000E4589">
              <w:t>K561016</w:t>
            </w:r>
          </w:p>
        </w:tc>
        <w:tc>
          <w:tcPr>
            <w:tcW w:w="1486" w:type="dxa"/>
          </w:tcPr>
          <w:p w:rsidR="00D849AA" w:rsidRPr="000E4589" w:rsidRDefault="00EE6D95">
            <w:pPr>
              <w:rPr>
                <w:rFonts w:ascii="Arial" w:hAnsi="Arial" w:cs="Arial"/>
              </w:rPr>
            </w:pPr>
            <w:r w:rsidRPr="000E4589">
              <w:rPr>
                <w:rFonts w:ascii="Arial" w:hAnsi="Arial" w:cs="Arial"/>
              </w:rPr>
              <w:t>11.000.000</w:t>
            </w:r>
          </w:p>
        </w:tc>
        <w:tc>
          <w:tcPr>
            <w:tcW w:w="1486" w:type="dxa"/>
          </w:tcPr>
          <w:p w:rsidR="00D849AA" w:rsidRPr="000E4589" w:rsidRDefault="00EE6D95">
            <w:pPr>
              <w:rPr>
                <w:rFonts w:ascii="Arial" w:hAnsi="Arial" w:cs="Arial"/>
              </w:rPr>
            </w:pPr>
            <w:r w:rsidRPr="000E4589">
              <w:rPr>
                <w:rFonts w:ascii="Arial" w:hAnsi="Arial" w:cs="Arial"/>
              </w:rPr>
              <w:t>20.700.000</w:t>
            </w:r>
          </w:p>
        </w:tc>
        <w:tc>
          <w:tcPr>
            <w:tcW w:w="1486" w:type="dxa"/>
          </w:tcPr>
          <w:p w:rsidR="00D849AA" w:rsidRPr="000E4589" w:rsidRDefault="00EE6D95">
            <w:pPr>
              <w:rPr>
                <w:rFonts w:ascii="Arial" w:hAnsi="Arial" w:cs="Arial"/>
              </w:rPr>
            </w:pPr>
            <w:r w:rsidRPr="000E4589">
              <w:rPr>
                <w:rFonts w:ascii="Arial" w:hAnsi="Arial" w:cs="Arial"/>
              </w:rPr>
              <w:t>25.490.000</w:t>
            </w:r>
          </w:p>
        </w:tc>
        <w:tc>
          <w:tcPr>
            <w:tcW w:w="1486" w:type="dxa"/>
          </w:tcPr>
          <w:p w:rsidR="00D849AA" w:rsidRPr="000E4589" w:rsidRDefault="00EE6D95">
            <w:pPr>
              <w:rPr>
                <w:rFonts w:ascii="Arial" w:hAnsi="Arial" w:cs="Arial"/>
              </w:rPr>
            </w:pPr>
            <w:r w:rsidRPr="000E4589">
              <w:rPr>
                <w:rFonts w:ascii="Arial" w:hAnsi="Arial" w:cs="Arial"/>
              </w:rPr>
              <w:t>30.670.000</w:t>
            </w:r>
          </w:p>
        </w:tc>
        <w:tc>
          <w:tcPr>
            <w:tcW w:w="1486" w:type="dxa"/>
          </w:tcPr>
          <w:p w:rsidR="00D849AA" w:rsidRPr="000E4589" w:rsidRDefault="00EE6D95">
            <w:pPr>
              <w:rPr>
                <w:rFonts w:ascii="Arial" w:hAnsi="Arial" w:cs="Arial"/>
              </w:rPr>
            </w:pPr>
            <w:r w:rsidRPr="000E4589">
              <w:rPr>
                <w:rFonts w:ascii="Arial" w:hAnsi="Arial" w:cs="Arial"/>
              </w:rPr>
              <w:t>188,2</w:t>
            </w:r>
          </w:p>
        </w:tc>
      </w:tr>
    </w:tbl>
    <w:p w:rsidR="00D849AA" w:rsidRPr="000E4589" w:rsidRDefault="00D849AA">
      <w:pPr>
        <w:jc w:val="left"/>
        <w:rPr>
          <w:rFonts w:ascii="Arial" w:hAnsi="Arial" w:cs="Arial"/>
        </w:rPr>
      </w:pPr>
    </w:p>
    <w:p w:rsidR="00D849AA" w:rsidRDefault="00EE6D95">
      <w:pPr>
        <w:pStyle w:val="Normal6"/>
      </w:pPr>
      <w:r>
        <w:t xml:space="preserve">Bilancom strateških robnih zaliha utvrđeni su osnovi poljoprivredno-prehrambeni i neprehrambeni proizvodi koji su nužno potrebni za život ljudi, naftni derivati te materijal i sirovine potrebni za proizvodnju, osobito ako imaju poseban značaj za obranu zemlje i zbrinjavanje stanovništva u slučaju velikih prirodnih nepogoda i tehničko-tehnoloških i </w:t>
      </w:r>
      <w:r>
        <w:lastRenderedPageBreak/>
        <w:t>ekoloških katastrofa. Navedeni projekt ima svrhu popune nedostajućih količina strateških robnih zaliha koje su predviđene Bilancom. Trenutna popunjenost Bilance je 80 % poljoprivredno-prehrambenim proizvodima i 41 % neprehrambenim proizvodima. Cilj nam je izvršiti nabavu strateških robnih zaliha kako bi u slučaju potrebe mogli osigurati krajnjim korisnicima nesmetano i brzo korištenje robnih zaliha.</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0E4589" w:rsidRDefault="00EE6D95">
            <w:pPr>
              <w:rPr>
                <w:rFonts w:ascii="Arial" w:hAnsi="Arial" w:cs="Arial"/>
              </w:rPr>
            </w:pPr>
            <w:r w:rsidRPr="000E4589">
              <w:rPr>
                <w:rFonts w:ascii="Arial" w:hAnsi="Arial" w:cs="Arial"/>
              </w:rPr>
              <w:t>Pokazatelj rezultata</w:t>
            </w:r>
          </w:p>
        </w:tc>
        <w:tc>
          <w:tcPr>
            <w:tcW w:w="1114" w:type="dxa"/>
            <w:shd w:val="clear" w:color="auto" w:fill="B5C0D8"/>
          </w:tcPr>
          <w:p w:rsidR="00D849AA" w:rsidRPr="000E4589" w:rsidRDefault="00EE6D95">
            <w:pPr>
              <w:pStyle w:val="CellHeader"/>
            </w:pPr>
            <w:r w:rsidRPr="000E4589">
              <w:t>Jedinica</w:t>
            </w:r>
          </w:p>
        </w:tc>
        <w:tc>
          <w:tcPr>
            <w:tcW w:w="1114" w:type="dxa"/>
            <w:shd w:val="clear" w:color="auto" w:fill="B5C0D8"/>
          </w:tcPr>
          <w:p w:rsidR="00D849AA" w:rsidRPr="000E4589" w:rsidRDefault="00EE6D95">
            <w:pPr>
              <w:pStyle w:val="CellHeader"/>
            </w:pPr>
            <w:r w:rsidRPr="000E4589">
              <w:t>Polazna vrijednost</w:t>
            </w:r>
          </w:p>
        </w:tc>
        <w:tc>
          <w:tcPr>
            <w:tcW w:w="1486" w:type="dxa"/>
            <w:shd w:val="clear" w:color="auto" w:fill="B5C0D8"/>
          </w:tcPr>
          <w:p w:rsidR="00D849AA" w:rsidRPr="000E4589" w:rsidRDefault="00EE6D95">
            <w:pPr>
              <w:pStyle w:val="CellHeader"/>
            </w:pPr>
            <w:r w:rsidRPr="000E4589">
              <w:t>Ciljana vrijednost (2014.)</w:t>
            </w:r>
          </w:p>
        </w:tc>
        <w:tc>
          <w:tcPr>
            <w:tcW w:w="1486" w:type="dxa"/>
            <w:shd w:val="clear" w:color="auto" w:fill="B5C0D8"/>
          </w:tcPr>
          <w:p w:rsidR="00D849AA" w:rsidRPr="000E4589" w:rsidRDefault="00EE6D95">
            <w:pPr>
              <w:pStyle w:val="CellHeader"/>
            </w:pPr>
            <w:r w:rsidRPr="000E4589">
              <w:t>Ciljana vrijednost (2015.)</w:t>
            </w:r>
          </w:p>
        </w:tc>
        <w:tc>
          <w:tcPr>
            <w:tcW w:w="1486" w:type="dxa"/>
            <w:shd w:val="clear" w:color="auto" w:fill="B5C0D8"/>
          </w:tcPr>
          <w:p w:rsidR="00D849AA" w:rsidRPr="000E4589" w:rsidRDefault="00EE6D95">
            <w:pPr>
              <w:pStyle w:val="CellHeader"/>
            </w:pPr>
            <w:r w:rsidRPr="000E4589">
              <w:t>Ciljana vrijednost (2016.)</w:t>
            </w:r>
          </w:p>
        </w:tc>
      </w:tr>
      <w:tr w:rsidR="00D849AA">
        <w:trPr>
          <w:jc w:val="center"/>
        </w:trPr>
        <w:tc>
          <w:tcPr>
            <w:tcW w:w="2229" w:type="dxa"/>
          </w:tcPr>
          <w:p w:rsidR="00D849AA" w:rsidRPr="000E4589" w:rsidRDefault="00EE6D95">
            <w:pPr>
              <w:pStyle w:val="CellColumn"/>
            </w:pPr>
            <w:r w:rsidRPr="000E4589">
              <w:t>Popunjenost Bilance strateških robnih zaliha s poljoprivredno-prehrambenim proizvodima</w:t>
            </w:r>
          </w:p>
        </w:tc>
        <w:tc>
          <w:tcPr>
            <w:tcW w:w="1114" w:type="dxa"/>
          </w:tcPr>
          <w:p w:rsidR="00D849AA" w:rsidRPr="000E4589" w:rsidRDefault="00EE6D95">
            <w:pPr>
              <w:rPr>
                <w:rFonts w:ascii="Arial" w:hAnsi="Arial" w:cs="Arial"/>
              </w:rPr>
            </w:pPr>
            <w:r w:rsidRPr="000E4589">
              <w:rPr>
                <w:rFonts w:ascii="Arial" w:hAnsi="Arial" w:cs="Arial"/>
              </w:rPr>
              <w:t>%</w:t>
            </w:r>
          </w:p>
        </w:tc>
        <w:tc>
          <w:tcPr>
            <w:tcW w:w="1114" w:type="dxa"/>
          </w:tcPr>
          <w:p w:rsidR="00D849AA" w:rsidRPr="000E4589" w:rsidRDefault="00EE6D95">
            <w:pPr>
              <w:rPr>
                <w:rFonts w:ascii="Arial" w:hAnsi="Arial" w:cs="Arial"/>
              </w:rPr>
            </w:pPr>
            <w:r w:rsidRPr="000E4589">
              <w:rPr>
                <w:rFonts w:ascii="Arial" w:hAnsi="Arial" w:cs="Arial"/>
              </w:rPr>
              <w:t>80</w:t>
            </w:r>
          </w:p>
        </w:tc>
        <w:tc>
          <w:tcPr>
            <w:tcW w:w="1486" w:type="dxa"/>
          </w:tcPr>
          <w:p w:rsidR="00D849AA" w:rsidRPr="000E4589" w:rsidRDefault="00EE6D95">
            <w:pPr>
              <w:rPr>
                <w:rFonts w:ascii="Arial" w:hAnsi="Arial" w:cs="Arial"/>
              </w:rPr>
            </w:pPr>
            <w:r w:rsidRPr="000E4589">
              <w:rPr>
                <w:rFonts w:ascii="Arial" w:hAnsi="Arial" w:cs="Arial"/>
              </w:rPr>
              <w:t>82</w:t>
            </w:r>
          </w:p>
        </w:tc>
        <w:tc>
          <w:tcPr>
            <w:tcW w:w="1486" w:type="dxa"/>
          </w:tcPr>
          <w:p w:rsidR="00D849AA" w:rsidRPr="000E4589" w:rsidRDefault="00EE6D95">
            <w:pPr>
              <w:rPr>
                <w:rFonts w:ascii="Arial" w:hAnsi="Arial" w:cs="Arial"/>
              </w:rPr>
            </w:pPr>
            <w:r w:rsidRPr="000E4589">
              <w:rPr>
                <w:rFonts w:ascii="Arial" w:hAnsi="Arial" w:cs="Arial"/>
              </w:rPr>
              <w:t>85</w:t>
            </w:r>
          </w:p>
        </w:tc>
        <w:tc>
          <w:tcPr>
            <w:tcW w:w="1486" w:type="dxa"/>
          </w:tcPr>
          <w:p w:rsidR="00D849AA" w:rsidRPr="000E4589" w:rsidRDefault="00EE6D95">
            <w:pPr>
              <w:rPr>
                <w:rFonts w:ascii="Arial" w:hAnsi="Arial" w:cs="Arial"/>
              </w:rPr>
            </w:pPr>
            <w:r w:rsidRPr="000E4589">
              <w:rPr>
                <w:rFonts w:ascii="Arial" w:hAnsi="Arial" w:cs="Arial"/>
              </w:rPr>
              <w:t>85</w:t>
            </w:r>
          </w:p>
        </w:tc>
      </w:tr>
      <w:tr w:rsidR="00D849AA">
        <w:trPr>
          <w:jc w:val="center"/>
        </w:trPr>
        <w:tc>
          <w:tcPr>
            <w:tcW w:w="2229" w:type="dxa"/>
          </w:tcPr>
          <w:p w:rsidR="00D849AA" w:rsidRPr="000E4589" w:rsidRDefault="00EE6D95">
            <w:pPr>
              <w:pStyle w:val="CellColumn"/>
            </w:pPr>
            <w:r w:rsidRPr="000E4589">
              <w:t>Popunjenost Bilance strateških robnih zaliha s neprehrambenim proizvodima</w:t>
            </w:r>
          </w:p>
        </w:tc>
        <w:tc>
          <w:tcPr>
            <w:tcW w:w="1114" w:type="dxa"/>
          </w:tcPr>
          <w:p w:rsidR="00D849AA" w:rsidRPr="000E4589" w:rsidRDefault="00EE6D95">
            <w:pPr>
              <w:rPr>
                <w:rFonts w:ascii="Arial" w:hAnsi="Arial" w:cs="Arial"/>
              </w:rPr>
            </w:pPr>
            <w:r w:rsidRPr="000E4589">
              <w:rPr>
                <w:rFonts w:ascii="Arial" w:hAnsi="Arial" w:cs="Arial"/>
              </w:rPr>
              <w:t>%</w:t>
            </w:r>
          </w:p>
        </w:tc>
        <w:tc>
          <w:tcPr>
            <w:tcW w:w="1114" w:type="dxa"/>
          </w:tcPr>
          <w:p w:rsidR="00D849AA" w:rsidRPr="000E4589" w:rsidRDefault="00EE6D95">
            <w:pPr>
              <w:rPr>
                <w:rFonts w:ascii="Arial" w:hAnsi="Arial" w:cs="Arial"/>
              </w:rPr>
            </w:pPr>
            <w:r w:rsidRPr="000E4589">
              <w:rPr>
                <w:rFonts w:ascii="Arial" w:hAnsi="Arial" w:cs="Arial"/>
              </w:rPr>
              <w:t>41</w:t>
            </w:r>
          </w:p>
        </w:tc>
        <w:tc>
          <w:tcPr>
            <w:tcW w:w="1486" w:type="dxa"/>
          </w:tcPr>
          <w:p w:rsidR="00D849AA" w:rsidRPr="000E4589" w:rsidRDefault="00EE6D95">
            <w:pPr>
              <w:rPr>
                <w:rFonts w:ascii="Arial" w:hAnsi="Arial" w:cs="Arial"/>
              </w:rPr>
            </w:pPr>
            <w:r w:rsidRPr="000E4589">
              <w:rPr>
                <w:rFonts w:ascii="Arial" w:hAnsi="Arial" w:cs="Arial"/>
              </w:rPr>
              <w:t>41</w:t>
            </w:r>
          </w:p>
        </w:tc>
        <w:tc>
          <w:tcPr>
            <w:tcW w:w="1486" w:type="dxa"/>
          </w:tcPr>
          <w:p w:rsidR="00D849AA" w:rsidRPr="000E4589" w:rsidRDefault="00EE6D95">
            <w:pPr>
              <w:rPr>
                <w:rFonts w:ascii="Arial" w:hAnsi="Arial" w:cs="Arial"/>
              </w:rPr>
            </w:pPr>
            <w:r w:rsidRPr="000E4589">
              <w:rPr>
                <w:rFonts w:ascii="Arial" w:hAnsi="Arial" w:cs="Arial"/>
              </w:rPr>
              <w:t>41</w:t>
            </w:r>
          </w:p>
        </w:tc>
        <w:tc>
          <w:tcPr>
            <w:tcW w:w="1486" w:type="dxa"/>
          </w:tcPr>
          <w:p w:rsidR="00D849AA" w:rsidRPr="000E4589" w:rsidRDefault="00EE6D95">
            <w:pPr>
              <w:rPr>
                <w:rFonts w:ascii="Arial" w:hAnsi="Arial" w:cs="Arial"/>
              </w:rPr>
            </w:pPr>
            <w:r w:rsidRPr="000E4589">
              <w:rPr>
                <w:rFonts w:ascii="Arial" w:hAnsi="Arial" w:cs="Arial"/>
              </w:rPr>
              <w:t>42</w:t>
            </w:r>
          </w:p>
        </w:tc>
      </w:tr>
    </w:tbl>
    <w:p w:rsidR="00D849AA" w:rsidRDefault="00D849AA">
      <w:pPr>
        <w:jc w:val="left"/>
      </w:pPr>
    </w:p>
    <w:p w:rsidR="00D849AA" w:rsidRDefault="00EE6D95">
      <w:pPr>
        <w:pStyle w:val="Naslov2"/>
      </w:pPr>
      <w:r>
        <w:t>04965 Agencije u gospodarstvu</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0E4589" w:rsidRDefault="00D849AA">
            <w:pPr>
              <w:pStyle w:val="CellHeader"/>
            </w:pPr>
          </w:p>
        </w:tc>
        <w:tc>
          <w:tcPr>
            <w:tcW w:w="1486" w:type="dxa"/>
            <w:shd w:val="clear" w:color="auto" w:fill="B5C0D8"/>
          </w:tcPr>
          <w:p w:rsidR="00D849AA" w:rsidRPr="000E4589" w:rsidRDefault="00EE6D95">
            <w:pPr>
              <w:pStyle w:val="CellHeader"/>
            </w:pPr>
            <w:r w:rsidRPr="000E4589">
              <w:t>Plan 2013.</w:t>
            </w:r>
          </w:p>
        </w:tc>
        <w:tc>
          <w:tcPr>
            <w:tcW w:w="1486" w:type="dxa"/>
            <w:shd w:val="clear" w:color="auto" w:fill="B5C0D8"/>
          </w:tcPr>
          <w:p w:rsidR="00D849AA" w:rsidRPr="000E4589" w:rsidRDefault="00EE6D95">
            <w:pPr>
              <w:pStyle w:val="CellHeader"/>
            </w:pPr>
            <w:r w:rsidRPr="000E4589">
              <w:t>Plan 2014.</w:t>
            </w:r>
          </w:p>
        </w:tc>
        <w:tc>
          <w:tcPr>
            <w:tcW w:w="1486" w:type="dxa"/>
            <w:shd w:val="clear" w:color="auto" w:fill="B5C0D8"/>
          </w:tcPr>
          <w:p w:rsidR="00D849AA" w:rsidRPr="000E4589" w:rsidRDefault="00EE6D95">
            <w:pPr>
              <w:pStyle w:val="CellHeader"/>
            </w:pPr>
            <w:r w:rsidRPr="000E4589">
              <w:t>Plan 2015.</w:t>
            </w:r>
          </w:p>
        </w:tc>
        <w:tc>
          <w:tcPr>
            <w:tcW w:w="1486" w:type="dxa"/>
            <w:shd w:val="clear" w:color="auto" w:fill="B5C0D8"/>
          </w:tcPr>
          <w:p w:rsidR="00D849AA" w:rsidRPr="000E4589" w:rsidRDefault="00EE6D95">
            <w:pPr>
              <w:pStyle w:val="CellHeader"/>
            </w:pPr>
            <w:r w:rsidRPr="000E4589">
              <w:t>Plan 2016.</w:t>
            </w:r>
          </w:p>
        </w:tc>
        <w:tc>
          <w:tcPr>
            <w:tcW w:w="1486" w:type="dxa"/>
            <w:shd w:val="clear" w:color="auto" w:fill="B5C0D8"/>
          </w:tcPr>
          <w:p w:rsidR="00D849AA" w:rsidRPr="000E4589" w:rsidRDefault="00EE6D95">
            <w:pPr>
              <w:pStyle w:val="CellHeader"/>
            </w:pPr>
            <w:r w:rsidRPr="000E4589">
              <w:t>Indeks 2014/2013</w:t>
            </w:r>
          </w:p>
        </w:tc>
      </w:tr>
      <w:tr w:rsidR="00D849AA">
        <w:trPr>
          <w:jc w:val="center"/>
        </w:trPr>
        <w:tc>
          <w:tcPr>
            <w:tcW w:w="1486" w:type="dxa"/>
          </w:tcPr>
          <w:p w:rsidR="00D849AA" w:rsidRPr="000E4589" w:rsidRDefault="00EE6D95">
            <w:pPr>
              <w:pStyle w:val="CellColumn"/>
            </w:pPr>
            <w:r w:rsidRPr="000E4589">
              <w:t>44014</w:t>
            </w:r>
          </w:p>
        </w:tc>
        <w:tc>
          <w:tcPr>
            <w:tcW w:w="1486" w:type="dxa"/>
          </w:tcPr>
          <w:p w:rsidR="00D849AA" w:rsidRPr="000E4589" w:rsidRDefault="00EE6D95">
            <w:pPr>
              <w:rPr>
                <w:rFonts w:ascii="Arial" w:hAnsi="Arial" w:cs="Arial"/>
              </w:rPr>
            </w:pPr>
            <w:r w:rsidRPr="000E4589">
              <w:rPr>
                <w:rFonts w:ascii="Arial" w:hAnsi="Arial" w:cs="Arial"/>
              </w:rPr>
              <w:t>6.069.000</w:t>
            </w:r>
          </w:p>
        </w:tc>
        <w:tc>
          <w:tcPr>
            <w:tcW w:w="1486" w:type="dxa"/>
          </w:tcPr>
          <w:p w:rsidR="00D849AA" w:rsidRPr="000E4589" w:rsidRDefault="00EE6D95">
            <w:pPr>
              <w:rPr>
                <w:rFonts w:ascii="Arial" w:hAnsi="Arial" w:cs="Arial"/>
              </w:rPr>
            </w:pPr>
            <w:r w:rsidRPr="000E4589">
              <w:rPr>
                <w:rFonts w:ascii="Arial" w:hAnsi="Arial" w:cs="Arial"/>
              </w:rPr>
              <w:t>4.877.001</w:t>
            </w:r>
          </w:p>
        </w:tc>
        <w:tc>
          <w:tcPr>
            <w:tcW w:w="1486" w:type="dxa"/>
          </w:tcPr>
          <w:p w:rsidR="00D849AA" w:rsidRPr="000E4589" w:rsidRDefault="00EE6D95">
            <w:pPr>
              <w:rPr>
                <w:rFonts w:ascii="Arial" w:hAnsi="Arial" w:cs="Arial"/>
              </w:rPr>
            </w:pPr>
            <w:r w:rsidRPr="000E4589">
              <w:rPr>
                <w:rFonts w:ascii="Arial" w:hAnsi="Arial" w:cs="Arial"/>
              </w:rPr>
              <w:t>5.006.000</w:t>
            </w:r>
          </w:p>
        </w:tc>
        <w:tc>
          <w:tcPr>
            <w:tcW w:w="1486" w:type="dxa"/>
          </w:tcPr>
          <w:p w:rsidR="00D849AA" w:rsidRPr="000E4589" w:rsidRDefault="00EE6D95">
            <w:pPr>
              <w:rPr>
                <w:rFonts w:ascii="Arial" w:hAnsi="Arial" w:cs="Arial"/>
              </w:rPr>
            </w:pPr>
            <w:r w:rsidRPr="000E4589">
              <w:rPr>
                <w:rFonts w:ascii="Arial" w:hAnsi="Arial" w:cs="Arial"/>
              </w:rPr>
              <w:t>5.127.000</w:t>
            </w:r>
          </w:p>
        </w:tc>
        <w:tc>
          <w:tcPr>
            <w:tcW w:w="1486" w:type="dxa"/>
          </w:tcPr>
          <w:p w:rsidR="00D849AA" w:rsidRPr="000E4589" w:rsidRDefault="00EE6D95">
            <w:pPr>
              <w:rPr>
                <w:rFonts w:ascii="Arial" w:hAnsi="Arial" w:cs="Arial"/>
              </w:rPr>
            </w:pPr>
            <w:r w:rsidRPr="000E4589">
              <w:rPr>
                <w:rFonts w:ascii="Arial" w:hAnsi="Arial" w:cs="Arial"/>
              </w:rPr>
              <w:t>80,4</w:t>
            </w:r>
          </w:p>
        </w:tc>
      </w:tr>
      <w:tr w:rsidR="00D849AA">
        <w:trPr>
          <w:jc w:val="center"/>
        </w:trPr>
        <w:tc>
          <w:tcPr>
            <w:tcW w:w="1486" w:type="dxa"/>
          </w:tcPr>
          <w:p w:rsidR="00D849AA" w:rsidRPr="000E4589" w:rsidRDefault="00EE6D95">
            <w:pPr>
              <w:pStyle w:val="CellColumn"/>
            </w:pPr>
            <w:r w:rsidRPr="000E4589">
              <w:t>44389</w:t>
            </w:r>
          </w:p>
        </w:tc>
        <w:tc>
          <w:tcPr>
            <w:tcW w:w="1486" w:type="dxa"/>
          </w:tcPr>
          <w:p w:rsidR="00D849AA" w:rsidRPr="000E4589" w:rsidRDefault="00EE6D95">
            <w:pPr>
              <w:rPr>
                <w:rFonts w:ascii="Arial" w:hAnsi="Arial" w:cs="Arial"/>
              </w:rPr>
            </w:pPr>
            <w:r w:rsidRPr="000E4589">
              <w:rPr>
                <w:rFonts w:ascii="Arial" w:hAnsi="Arial" w:cs="Arial"/>
              </w:rPr>
              <w:t>6.000.000</w:t>
            </w:r>
          </w:p>
        </w:tc>
        <w:tc>
          <w:tcPr>
            <w:tcW w:w="1486" w:type="dxa"/>
          </w:tcPr>
          <w:p w:rsidR="00D849AA" w:rsidRPr="000E4589" w:rsidRDefault="00EE6D95">
            <w:pPr>
              <w:rPr>
                <w:rFonts w:ascii="Arial" w:hAnsi="Arial" w:cs="Arial"/>
              </w:rPr>
            </w:pPr>
            <w:r w:rsidRPr="000E4589">
              <w:rPr>
                <w:rFonts w:ascii="Arial" w:hAnsi="Arial" w:cs="Arial"/>
              </w:rPr>
              <w:t>4.778.621</w:t>
            </w:r>
          </w:p>
        </w:tc>
        <w:tc>
          <w:tcPr>
            <w:tcW w:w="1486" w:type="dxa"/>
          </w:tcPr>
          <w:p w:rsidR="00D849AA" w:rsidRPr="000E4589" w:rsidRDefault="00EE6D95">
            <w:pPr>
              <w:rPr>
                <w:rFonts w:ascii="Arial" w:hAnsi="Arial" w:cs="Arial"/>
              </w:rPr>
            </w:pPr>
            <w:r w:rsidRPr="000E4589">
              <w:rPr>
                <w:rFonts w:ascii="Arial" w:hAnsi="Arial" w:cs="Arial"/>
              </w:rPr>
              <w:t>5.815.729</w:t>
            </w:r>
          </w:p>
        </w:tc>
        <w:tc>
          <w:tcPr>
            <w:tcW w:w="1486" w:type="dxa"/>
          </w:tcPr>
          <w:p w:rsidR="00D849AA" w:rsidRPr="000E4589" w:rsidRDefault="00EE6D95">
            <w:pPr>
              <w:rPr>
                <w:rFonts w:ascii="Arial" w:hAnsi="Arial" w:cs="Arial"/>
              </w:rPr>
            </w:pPr>
            <w:r w:rsidRPr="000E4589">
              <w:rPr>
                <w:rFonts w:ascii="Arial" w:hAnsi="Arial" w:cs="Arial"/>
              </w:rPr>
              <w:t>6.914.599</w:t>
            </w:r>
          </w:p>
        </w:tc>
        <w:tc>
          <w:tcPr>
            <w:tcW w:w="1486" w:type="dxa"/>
          </w:tcPr>
          <w:p w:rsidR="00D849AA" w:rsidRPr="000E4589" w:rsidRDefault="00EE6D95">
            <w:pPr>
              <w:rPr>
                <w:rFonts w:ascii="Arial" w:hAnsi="Arial" w:cs="Arial"/>
              </w:rPr>
            </w:pPr>
            <w:r w:rsidRPr="000E4589">
              <w:rPr>
                <w:rFonts w:ascii="Arial" w:hAnsi="Arial" w:cs="Arial"/>
              </w:rPr>
              <w:t>79,6</w:t>
            </w:r>
          </w:p>
        </w:tc>
      </w:tr>
      <w:tr w:rsidR="00D849AA">
        <w:trPr>
          <w:jc w:val="center"/>
        </w:trPr>
        <w:tc>
          <w:tcPr>
            <w:tcW w:w="1486" w:type="dxa"/>
          </w:tcPr>
          <w:p w:rsidR="00D849AA" w:rsidRPr="000E4589" w:rsidRDefault="00EE6D95">
            <w:pPr>
              <w:pStyle w:val="CellColumn"/>
            </w:pPr>
            <w:r w:rsidRPr="000E4589">
              <w:t>47641</w:t>
            </w:r>
          </w:p>
        </w:tc>
        <w:tc>
          <w:tcPr>
            <w:tcW w:w="1486" w:type="dxa"/>
          </w:tcPr>
          <w:p w:rsidR="00D849AA" w:rsidRPr="000E4589" w:rsidRDefault="00EE6D95">
            <w:pPr>
              <w:rPr>
                <w:rFonts w:ascii="Arial" w:hAnsi="Arial" w:cs="Arial"/>
              </w:rPr>
            </w:pPr>
            <w:r w:rsidRPr="000E4589">
              <w:rPr>
                <w:rFonts w:ascii="Arial" w:hAnsi="Arial" w:cs="Arial"/>
              </w:rPr>
              <w:t>18.000.000</w:t>
            </w:r>
          </w:p>
        </w:tc>
        <w:tc>
          <w:tcPr>
            <w:tcW w:w="1486" w:type="dxa"/>
          </w:tcPr>
          <w:p w:rsidR="00D849AA" w:rsidRPr="000E4589" w:rsidRDefault="00EE6D95">
            <w:pPr>
              <w:rPr>
                <w:rFonts w:ascii="Arial" w:hAnsi="Arial" w:cs="Arial"/>
              </w:rPr>
            </w:pPr>
            <w:r w:rsidRPr="000E4589">
              <w:rPr>
                <w:rFonts w:ascii="Arial" w:hAnsi="Arial" w:cs="Arial"/>
              </w:rPr>
              <w:t>16.584.000</w:t>
            </w:r>
          </w:p>
        </w:tc>
        <w:tc>
          <w:tcPr>
            <w:tcW w:w="1486" w:type="dxa"/>
          </w:tcPr>
          <w:p w:rsidR="00D849AA" w:rsidRPr="000E4589" w:rsidRDefault="00EE6D95">
            <w:pPr>
              <w:rPr>
                <w:rFonts w:ascii="Arial" w:hAnsi="Arial" w:cs="Arial"/>
              </w:rPr>
            </w:pPr>
            <w:r w:rsidRPr="000E4589">
              <w:rPr>
                <w:rFonts w:ascii="Arial" w:hAnsi="Arial" w:cs="Arial"/>
              </w:rPr>
              <w:t>18.589.000</w:t>
            </w:r>
          </w:p>
        </w:tc>
        <w:tc>
          <w:tcPr>
            <w:tcW w:w="1486" w:type="dxa"/>
          </w:tcPr>
          <w:p w:rsidR="00D849AA" w:rsidRPr="000E4589" w:rsidRDefault="00EE6D95">
            <w:pPr>
              <w:rPr>
                <w:rFonts w:ascii="Arial" w:hAnsi="Arial" w:cs="Arial"/>
              </w:rPr>
            </w:pPr>
            <w:r w:rsidRPr="000E4589">
              <w:rPr>
                <w:rFonts w:ascii="Arial" w:hAnsi="Arial" w:cs="Arial"/>
              </w:rPr>
              <w:t>20.069.000</w:t>
            </w:r>
          </w:p>
        </w:tc>
        <w:tc>
          <w:tcPr>
            <w:tcW w:w="1486" w:type="dxa"/>
          </w:tcPr>
          <w:p w:rsidR="00D849AA" w:rsidRPr="000E4589" w:rsidRDefault="00EE6D95">
            <w:pPr>
              <w:rPr>
                <w:rFonts w:ascii="Arial" w:hAnsi="Arial" w:cs="Arial"/>
              </w:rPr>
            </w:pPr>
            <w:r w:rsidRPr="000E4589">
              <w:rPr>
                <w:rFonts w:ascii="Arial" w:hAnsi="Arial" w:cs="Arial"/>
              </w:rPr>
              <w:t>92,1</w:t>
            </w:r>
          </w:p>
        </w:tc>
      </w:tr>
      <w:tr w:rsidR="00D849AA">
        <w:trPr>
          <w:jc w:val="center"/>
        </w:trPr>
        <w:tc>
          <w:tcPr>
            <w:tcW w:w="1486" w:type="dxa"/>
          </w:tcPr>
          <w:p w:rsidR="00D849AA" w:rsidRPr="000E4589" w:rsidRDefault="00EE6D95">
            <w:pPr>
              <w:pStyle w:val="CellColumn"/>
            </w:pPr>
            <w:r w:rsidRPr="000E4589">
              <w:t>47797</w:t>
            </w:r>
          </w:p>
        </w:tc>
        <w:tc>
          <w:tcPr>
            <w:tcW w:w="1486" w:type="dxa"/>
          </w:tcPr>
          <w:p w:rsidR="00D849AA" w:rsidRPr="000E4589" w:rsidRDefault="00EE6D95">
            <w:pPr>
              <w:rPr>
                <w:rFonts w:ascii="Arial" w:hAnsi="Arial" w:cs="Arial"/>
              </w:rPr>
            </w:pPr>
            <w:r w:rsidRPr="000E4589">
              <w:rPr>
                <w:rFonts w:ascii="Arial" w:hAnsi="Arial" w:cs="Arial"/>
              </w:rPr>
              <w:t>529.016.747</w:t>
            </w:r>
          </w:p>
        </w:tc>
        <w:tc>
          <w:tcPr>
            <w:tcW w:w="1486" w:type="dxa"/>
          </w:tcPr>
          <w:p w:rsidR="00D849AA" w:rsidRPr="000E4589" w:rsidRDefault="00EE6D95">
            <w:pPr>
              <w:rPr>
                <w:rFonts w:ascii="Arial" w:hAnsi="Arial" w:cs="Arial"/>
              </w:rPr>
            </w:pPr>
            <w:r w:rsidRPr="000E4589">
              <w:rPr>
                <w:rFonts w:ascii="Arial" w:hAnsi="Arial" w:cs="Arial"/>
              </w:rPr>
              <w:t>428.344.756</w:t>
            </w:r>
          </w:p>
        </w:tc>
        <w:tc>
          <w:tcPr>
            <w:tcW w:w="1486" w:type="dxa"/>
          </w:tcPr>
          <w:p w:rsidR="00D849AA" w:rsidRPr="000E4589" w:rsidRDefault="00EE6D95">
            <w:pPr>
              <w:rPr>
                <w:rFonts w:ascii="Arial" w:hAnsi="Arial" w:cs="Arial"/>
              </w:rPr>
            </w:pPr>
            <w:r w:rsidRPr="000E4589">
              <w:rPr>
                <w:rFonts w:ascii="Arial" w:hAnsi="Arial" w:cs="Arial"/>
              </w:rPr>
              <w:t>548.849.336</w:t>
            </w:r>
          </w:p>
        </w:tc>
        <w:tc>
          <w:tcPr>
            <w:tcW w:w="1486" w:type="dxa"/>
          </w:tcPr>
          <w:p w:rsidR="00D849AA" w:rsidRPr="000E4589" w:rsidRDefault="00EE6D95">
            <w:pPr>
              <w:rPr>
                <w:rFonts w:ascii="Arial" w:hAnsi="Arial" w:cs="Arial"/>
              </w:rPr>
            </w:pPr>
            <w:r w:rsidRPr="000E4589">
              <w:rPr>
                <w:rFonts w:ascii="Arial" w:hAnsi="Arial" w:cs="Arial"/>
              </w:rPr>
              <w:t>539.511.940</w:t>
            </w:r>
          </w:p>
        </w:tc>
        <w:tc>
          <w:tcPr>
            <w:tcW w:w="1486" w:type="dxa"/>
          </w:tcPr>
          <w:p w:rsidR="00D849AA" w:rsidRPr="000E4589" w:rsidRDefault="00EE6D95">
            <w:pPr>
              <w:rPr>
                <w:rFonts w:ascii="Arial" w:hAnsi="Arial" w:cs="Arial"/>
              </w:rPr>
            </w:pPr>
            <w:r w:rsidRPr="000E4589">
              <w:rPr>
                <w:rFonts w:ascii="Arial" w:hAnsi="Arial" w:cs="Arial"/>
              </w:rPr>
              <w:t>81,0</w:t>
            </w:r>
          </w:p>
        </w:tc>
      </w:tr>
    </w:tbl>
    <w:p w:rsidR="00D849AA" w:rsidRDefault="00D849AA">
      <w:pPr>
        <w:jc w:val="left"/>
      </w:pPr>
    </w:p>
    <w:p w:rsidR="00D849AA" w:rsidRDefault="00EE6D95">
      <w:pPr>
        <w:pStyle w:val="Naslov3"/>
      </w:pPr>
      <w:r>
        <w:t>44014 Agencija za javno-privatno partnerstvo</w:t>
      </w:r>
    </w:p>
    <w:p w:rsidR="00D849AA" w:rsidRDefault="00EE6D95">
      <w:pPr>
        <w:pStyle w:val="Naslov4"/>
      </w:pPr>
      <w:r>
        <w:t>Uvod</w:t>
      </w:r>
    </w:p>
    <w:p w:rsidR="00D849AA" w:rsidRDefault="00EE6D95">
      <w:pPr>
        <w:pStyle w:val="Normal5"/>
      </w:pPr>
      <w:r>
        <w:t xml:space="preserve">Agencija za javno-privatno partnerstvo (dalje: Agencija) osnovana je 21. studenog 2008. godine temeljem Zakona o javno-privatnom partnerstvu (NN 129/08) (dalje Zakon o JPP-u) kojeg je Hrvatsko sabor usvojio 24. listopada 2008. godine. </w:t>
      </w:r>
    </w:p>
    <w:p w:rsidR="00D849AA" w:rsidRDefault="00EE6D95">
      <w:pPr>
        <w:pStyle w:val="Normal5"/>
      </w:pPr>
      <w:r>
        <w:t xml:space="preserve">U obavljanju aktivnosti propisanih Zakonom o JPP-u Agencija: </w:t>
      </w:r>
    </w:p>
    <w:p w:rsidR="00D849AA" w:rsidRDefault="00EE6D95">
      <w:pPr>
        <w:pStyle w:val="Normal5"/>
      </w:pPr>
      <w:r>
        <w:t xml:space="preserve">a) provodi postupak odobravanja prijedloga projekata JPP-a,  </w:t>
      </w:r>
    </w:p>
    <w:p w:rsidR="00D849AA" w:rsidRDefault="00EE6D95">
      <w:pPr>
        <w:pStyle w:val="Normal5"/>
      </w:pPr>
      <w:r>
        <w:t xml:space="preserve">b) objavljuje popis Informacija o projektima koji se namjeravaju provesti po modelu javno-privatnog partnerstva, </w:t>
      </w:r>
    </w:p>
    <w:p w:rsidR="00D849AA" w:rsidRDefault="00EE6D95">
      <w:pPr>
        <w:pStyle w:val="Normal5"/>
      </w:pPr>
      <w:r>
        <w:lastRenderedPageBreak/>
        <w:t xml:space="preserve">c) objavljuje popis odobrenih projekata JPP-a, </w:t>
      </w:r>
    </w:p>
    <w:p w:rsidR="00D849AA" w:rsidRDefault="00EE6D95">
      <w:pPr>
        <w:pStyle w:val="Normal5"/>
      </w:pPr>
      <w:r>
        <w:t xml:space="preserve">d) surađuje s javnim tijelima u postupku odabira privatnog partnera, </w:t>
      </w:r>
    </w:p>
    <w:p w:rsidR="00D849AA" w:rsidRDefault="00EE6D95">
      <w:pPr>
        <w:pStyle w:val="Normal5"/>
      </w:pPr>
      <w:r>
        <w:t xml:space="preserve">e) ustrojava i vodi Registar ugovora o javno-privatnom partnerstvu, </w:t>
      </w:r>
    </w:p>
    <w:p w:rsidR="00D849AA" w:rsidRDefault="00EE6D95">
      <w:pPr>
        <w:pStyle w:val="Normal5"/>
      </w:pPr>
      <w:r>
        <w:t xml:space="preserve">f) prati provedbu projekata JPP-a sukladno odredbama ovoga Zakona, </w:t>
      </w:r>
    </w:p>
    <w:p w:rsidR="00D849AA" w:rsidRDefault="00EE6D95">
      <w:pPr>
        <w:pStyle w:val="Normal5"/>
      </w:pPr>
      <w:r>
        <w:t xml:space="preserve">g) predlaže ovlaštenim predlagateljima izmjene i dopune ovoga Zakona,  </w:t>
      </w:r>
    </w:p>
    <w:p w:rsidR="00D849AA" w:rsidRDefault="00EE6D95">
      <w:pPr>
        <w:pStyle w:val="Normal5"/>
      </w:pPr>
      <w:r>
        <w:t xml:space="preserve">h) sudjeluje u izradi nacrta propisa iz područja javno-privatnog partnerstva, </w:t>
      </w:r>
    </w:p>
    <w:p w:rsidR="00D849AA" w:rsidRDefault="00EE6D95">
      <w:pPr>
        <w:pStyle w:val="Normal5"/>
      </w:pPr>
      <w:r>
        <w:t xml:space="preserve">i) izrađuje i objavljuje vodiče i priručnike za pripremu, ugovaranje i provedbu projekata JPP-a te daje upute i objašnjenja iz područja JPP-a, </w:t>
      </w:r>
    </w:p>
    <w:p w:rsidR="00D849AA" w:rsidRDefault="00EE6D95">
      <w:pPr>
        <w:pStyle w:val="Normal5"/>
      </w:pPr>
      <w:r>
        <w:t xml:space="preserve">j) donosi odluke u vezi s obavljanjem poslova iz nadležnosti Agencije propisanih ovim Zakonom, </w:t>
      </w:r>
    </w:p>
    <w:p w:rsidR="00D849AA" w:rsidRDefault="00EE6D95">
      <w:pPr>
        <w:pStyle w:val="Normal5"/>
      </w:pPr>
      <w:r>
        <w:t xml:space="preserve">k) sudjeluje u informiranju subjekata na tržištu javno-privatnog partnerstva o zakonodavnom i institucionalnom okviru JPP-a, u prijenosu znanja o JPP-u, te u promicanju najbolje prakse, </w:t>
      </w:r>
    </w:p>
    <w:p w:rsidR="00D849AA" w:rsidRDefault="00EE6D95">
      <w:pPr>
        <w:pStyle w:val="Normal5"/>
      </w:pPr>
      <w:r>
        <w:t xml:space="preserve">l) surađuje s inozemnim nacionalnim tijelima ovlaštenima za primjenu modela JPP-a i provedbu projekata JPP-a, te s međunarodnim organizacijama i institucijama u svrhu unapređenja domaće teorije i primjene modela JPP-a, te u svrhu izvršenja međunarodnih obveza Republike Hrvatske, prenesenih u ovlast Agencije, </w:t>
      </w:r>
    </w:p>
    <w:p w:rsidR="00D849AA" w:rsidRDefault="00EE6D95">
      <w:pPr>
        <w:pStyle w:val="Normal5"/>
      </w:pPr>
      <w:r>
        <w:t xml:space="preserve">m) surađuje s domaćim znanstvenim i istraživačkim institucijama, socijalnim partnerima, gospodarskim i nevladinim udrugama i drugim zainteresiranim stranama u svrhu unapređenja domaće teorije i primjene modela JPP-a, </w:t>
      </w:r>
    </w:p>
    <w:p w:rsidR="00D849AA" w:rsidRDefault="00EE6D95">
      <w:pPr>
        <w:pStyle w:val="Normal5"/>
      </w:pPr>
      <w:r>
        <w:t xml:space="preserve">n) obavlja druge poslove sukladno odredbama ovoga Zakona i Statuta Agencije. </w:t>
      </w:r>
    </w:p>
    <w:p w:rsidR="00D849AA" w:rsidRDefault="00EE6D95">
      <w:pPr>
        <w:pStyle w:val="Normal5"/>
      </w:pPr>
      <w:r>
        <w:t>U izradi financijskog plana Agencije za razdoblje 2014. – 2016. u najvećoj se mjeri vodilo računa o uštedama u stavkama najma poslovnog prostora i ostalih materijalnih troškova na način da se ostvare sve planirane aktivnosti.</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rsidRPr="000E4589">
        <w:trPr>
          <w:jc w:val="center"/>
        </w:trPr>
        <w:tc>
          <w:tcPr>
            <w:tcW w:w="1486" w:type="dxa"/>
            <w:shd w:val="clear" w:color="auto" w:fill="B5C0D8"/>
          </w:tcPr>
          <w:p w:rsidR="00D849AA" w:rsidRPr="000E4589" w:rsidRDefault="00D849AA">
            <w:pPr>
              <w:pStyle w:val="CellHeader"/>
            </w:pPr>
          </w:p>
        </w:tc>
        <w:tc>
          <w:tcPr>
            <w:tcW w:w="1486" w:type="dxa"/>
            <w:shd w:val="clear" w:color="auto" w:fill="B5C0D8"/>
          </w:tcPr>
          <w:p w:rsidR="00D849AA" w:rsidRPr="000E4589" w:rsidRDefault="00EE6D95">
            <w:pPr>
              <w:pStyle w:val="CellHeader"/>
            </w:pPr>
            <w:r w:rsidRPr="000E4589">
              <w:t>Plan 2013.</w:t>
            </w:r>
          </w:p>
        </w:tc>
        <w:tc>
          <w:tcPr>
            <w:tcW w:w="1486" w:type="dxa"/>
            <w:shd w:val="clear" w:color="auto" w:fill="B5C0D8"/>
          </w:tcPr>
          <w:p w:rsidR="00D849AA" w:rsidRPr="000E4589" w:rsidRDefault="00EE6D95">
            <w:pPr>
              <w:pStyle w:val="CellHeader"/>
            </w:pPr>
            <w:r w:rsidRPr="000E4589">
              <w:t>Plan 2014.</w:t>
            </w:r>
          </w:p>
        </w:tc>
        <w:tc>
          <w:tcPr>
            <w:tcW w:w="1486" w:type="dxa"/>
            <w:shd w:val="clear" w:color="auto" w:fill="B5C0D8"/>
          </w:tcPr>
          <w:p w:rsidR="00D849AA" w:rsidRPr="000E4589" w:rsidRDefault="00EE6D95">
            <w:pPr>
              <w:pStyle w:val="CellHeader"/>
            </w:pPr>
            <w:r w:rsidRPr="000E4589">
              <w:t>Plan 2015.</w:t>
            </w:r>
          </w:p>
        </w:tc>
        <w:tc>
          <w:tcPr>
            <w:tcW w:w="1486" w:type="dxa"/>
            <w:shd w:val="clear" w:color="auto" w:fill="B5C0D8"/>
          </w:tcPr>
          <w:p w:rsidR="00D849AA" w:rsidRPr="000E4589" w:rsidRDefault="00EE6D95">
            <w:pPr>
              <w:pStyle w:val="CellHeader"/>
            </w:pPr>
            <w:r w:rsidRPr="000E4589">
              <w:t>Plan 2016.</w:t>
            </w:r>
          </w:p>
        </w:tc>
        <w:tc>
          <w:tcPr>
            <w:tcW w:w="1486" w:type="dxa"/>
            <w:shd w:val="clear" w:color="auto" w:fill="B5C0D8"/>
          </w:tcPr>
          <w:p w:rsidR="00D849AA" w:rsidRPr="000E4589" w:rsidRDefault="00EE6D95">
            <w:pPr>
              <w:pStyle w:val="CellHeader"/>
            </w:pPr>
            <w:r w:rsidRPr="000E4589">
              <w:t>Indeks 2014/2013</w:t>
            </w:r>
          </w:p>
        </w:tc>
      </w:tr>
      <w:tr w:rsidR="00D849AA" w:rsidRPr="000E4589">
        <w:trPr>
          <w:jc w:val="center"/>
        </w:trPr>
        <w:tc>
          <w:tcPr>
            <w:tcW w:w="1486" w:type="dxa"/>
          </w:tcPr>
          <w:p w:rsidR="00D849AA" w:rsidRPr="000E4589" w:rsidRDefault="00EE6D95">
            <w:pPr>
              <w:pStyle w:val="CellColumn"/>
            </w:pPr>
            <w:r w:rsidRPr="000E4589">
              <w:t>44014</w:t>
            </w:r>
          </w:p>
        </w:tc>
        <w:tc>
          <w:tcPr>
            <w:tcW w:w="1486" w:type="dxa"/>
          </w:tcPr>
          <w:p w:rsidR="00D849AA" w:rsidRPr="000E4589" w:rsidRDefault="00EE6D95">
            <w:pPr>
              <w:rPr>
                <w:rFonts w:ascii="Arial" w:hAnsi="Arial" w:cs="Arial"/>
              </w:rPr>
            </w:pPr>
            <w:r w:rsidRPr="000E4589">
              <w:rPr>
                <w:rFonts w:ascii="Arial" w:hAnsi="Arial" w:cs="Arial"/>
              </w:rPr>
              <w:t>6.069.000</w:t>
            </w:r>
          </w:p>
        </w:tc>
        <w:tc>
          <w:tcPr>
            <w:tcW w:w="1486" w:type="dxa"/>
          </w:tcPr>
          <w:p w:rsidR="00D849AA" w:rsidRPr="000E4589" w:rsidRDefault="00EE6D95">
            <w:pPr>
              <w:rPr>
                <w:rFonts w:ascii="Arial" w:hAnsi="Arial" w:cs="Arial"/>
              </w:rPr>
            </w:pPr>
            <w:r w:rsidRPr="000E4589">
              <w:rPr>
                <w:rFonts w:ascii="Arial" w:hAnsi="Arial" w:cs="Arial"/>
              </w:rPr>
              <w:t>4.877.001</w:t>
            </w:r>
          </w:p>
        </w:tc>
        <w:tc>
          <w:tcPr>
            <w:tcW w:w="1486" w:type="dxa"/>
          </w:tcPr>
          <w:p w:rsidR="00D849AA" w:rsidRPr="000E4589" w:rsidRDefault="00EE6D95">
            <w:pPr>
              <w:rPr>
                <w:rFonts w:ascii="Arial" w:hAnsi="Arial" w:cs="Arial"/>
              </w:rPr>
            </w:pPr>
            <w:r w:rsidRPr="000E4589">
              <w:rPr>
                <w:rFonts w:ascii="Arial" w:hAnsi="Arial" w:cs="Arial"/>
              </w:rPr>
              <w:t>5.006.000</w:t>
            </w:r>
          </w:p>
        </w:tc>
        <w:tc>
          <w:tcPr>
            <w:tcW w:w="1486" w:type="dxa"/>
          </w:tcPr>
          <w:p w:rsidR="00D849AA" w:rsidRPr="000E4589" w:rsidRDefault="00EE6D95">
            <w:pPr>
              <w:rPr>
                <w:rFonts w:ascii="Arial" w:hAnsi="Arial" w:cs="Arial"/>
              </w:rPr>
            </w:pPr>
            <w:r w:rsidRPr="000E4589">
              <w:rPr>
                <w:rFonts w:ascii="Arial" w:hAnsi="Arial" w:cs="Arial"/>
              </w:rPr>
              <w:t>5.127.000</w:t>
            </w:r>
          </w:p>
        </w:tc>
        <w:tc>
          <w:tcPr>
            <w:tcW w:w="1486" w:type="dxa"/>
          </w:tcPr>
          <w:p w:rsidR="00D849AA" w:rsidRPr="000E4589" w:rsidRDefault="00EE6D95">
            <w:pPr>
              <w:rPr>
                <w:rFonts w:ascii="Arial" w:hAnsi="Arial" w:cs="Arial"/>
              </w:rPr>
            </w:pPr>
            <w:r w:rsidRPr="000E4589">
              <w:rPr>
                <w:rFonts w:ascii="Arial" w:hAnsi="Arial" w:cs="Arial"/>
              </w:rPr>
              <w:t>80,4</w:t>
            </w:r>
          </w:p>
        </w:tc>
      </w:tr>
    </w:tbl>
    <w:p w:rsidR="00D849AA" w:rsidRPr="000E4589" w:rsidRDefault="00D849AA">
      <w:pPr>
        <w:jc w:val="left"/>
        <w:rPr>
          <w:rFonts w:ascii="Arial" w:hAnsi="Arial" w:cs="Arial"/>
        </w:rPr>
      </w:pPr>
    </w:p>
    <w:p w:rsidR="00D849AA" w:rsidRDefault="00EE6D95">
      <w:pPr>
        <w:pStyle w:val="Naslov4"/>
      </w:pPr>
      <w:r>
        <w:t>OBRAZLOŽENJE PROGRAMA</w:t>
      </w:r>
    </w:p>
    <w:p w:rsidR="00D849AA" w:rsidRDefault="00EE6D95">
      <w:pPr>
        <w:pStyle w:val="Naslov5"/>
      </w:pPr>
      <w:r>
        <w:t>3219 JAČANJE JAVNO-PRIVATNOG PARTNERSTVA U RH</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rsidRPr="000E4589">
        <w:trPr>
          <w:jc w:val="center"/>
        </w:trPr>
        <w:tc>
          <w:tcPr>
            <w:tcW w:w="1486" w:type="dxa"/>
            <w:shd w:val="clear" w:color="auto" w:fill="B5C0D8"/>
          </w:tcPr>
          <w:p w:rsidR="00D849AA" w:rsidRPr="000E4589" w:rsidRDefault="00D849AA">
            <w:pPr>
              <w:pStyle w:val="CellHeader"/>
            </w:pPr>
          </w:p>
        </w:tc>
        <w:tc>
          <w:tcPr>
            <w:tcW w:w="1486" w:type="dxa"/>
            <w:shd w:val="clear" w:color="auto" w:fill="B5C0D8"/>
          </w:tcPr>
          <w:p w:rsidR="00D849AA" w:rsidRPr="000E4589" w:rsidRDefault="00EE6D95">
            <w:pPr>
              <w:pStyle w:val="CellHeader"/>
            </w:pPr>
            <w:r w:rsidRPr="000E4589">
              <w:t>Plan 2013.</w:t>
            </w:r>
          </w:p>
        </w:tc>
        <w:tc>
          <w:tcPr>
            <w:tcW w:w="1486" w:type="dxa"/>
            <w:shd w:val="clear" w:color="auto" w:fill="B5C0D8"/>
          </w:tcPr>
          <w:p w:rsidR="00D849AA" w:rsidRPr="000E4589" w:rsidRDefault="00EE6D95">
            <w:pPr>
              <w:pStyle w:val="CellHeader"/>
            </w:pPr>
            <w:r w:rsidRPr="000E4589">
              <w:t>Plan 2014.</w:t>
            </w:r>
          </w:p>
        </w:tc>
        <w:tc>
          <w:tcPr>
            <w:tcW w:w="1486" w:type="dxa"/>
            <w:shd w:val="clear" w:color="auto" w:fill="B5C0D8"/>
          </w:tcPr>
          <w:p w:rsidR="00D849AA" w:rsidRPr="000E4589" w:rsidRDefault="00EE6D95">
            <w:pPr>
              <w:pStyle w:val="CellHeader"/>
            </w:pPr>
            <w:r w:rsidRPr="000E4589">
              <w:t>Plan 2015.</w:t>
            </w:r>
          </w:p>
        </w:tc>
        <w:tc>
          <w:tcPr>
            <w:tcW w:w="1486" w:type="dxa"/>
            <w:shd w:val="clear" w:color="auto" w:fill="B5C0D8"/>
          </w:tcPr>
          <w:p w:rsidR="00D849AA" w:rsidRPr="000E4589" w:rsidRDefault="00EE6D95">
            <w:pPr>
              <w:pStyle w:val="CellHeader"/>
            </w:pPr>
            <w:r w:rsidRPr="000E4589">
              <w:t>Plan 2016.</w:t>
            </w:r>
          </w:p>
        </w:tc>
        <w:tc>
          <w:tcPr>
            <w:tcW w:w="1486" w:type="dxa"/>
            <w:shd w:val="clear" w:color="auto" w:fill="B5C0D8"/>
          </w:tcPr>
          <w:p w:rsidR="00D849AA" w:rsidRPr="000E4589" w:rsidRDefault="00EE6D95">
            <w:pPr>
              <w:pStyle w:val="CellHeader"/>
            </w:pPr>
            <w:r w:rsidRPr="000E4589">
              <w:t>Indeks 2014/2013</w:t>
            </w:r>
          </w:p>
        </w:tc>
      </w:tr>
      <w:tr w:rsidR="00D849AA" w:rsidRPr="000E4589">
        <w:trPr>
          <w:jc w:val="center"/>
        </w:trPr>
        <w:tc>
          <w:tcPr>
            <w:tcW w:w="1486" w:type="dxa"/>
          </w:tcPr>
          <w:p w:rsidR="00D849AA" w:rsidRPr="000E4589" w:rsidRDefault="00EE6D95">
            <w:pPr>
              <w:pStyle w:val="CellColumn"/>
            </w:pPr>
            <w:r w:rsidRPr="000E4589">
              <w:t>3219</w:t>
            </w:r>
          </w:p>
        </w:tc>
        <w:tc>
          <w:tcPr>
            <w:tcW w:w="1486" w:type="dxa"/>
          </w:tcPr>
          <w:p w:rsidR="00D849AA" w:rsidRPr="000E4589" w:rsidRDefault="00EE6D95">
            <w:pPr>
              <w:rPr>
                <w:rFonts w:ascii="Arial" w:hAnsi="Arial" w:cs="Arial"/>
              </w:rPr>
            </w:pPr>
            <w:r w:rsidRPr="000E4589">
              <w:rPr>
                <w:rFonts w:ascii="Arial" w:hAnsi="Arial" w:cs="Arial"/>
              </w:rPr>
              <w:t>6.069.000</w:t>
            </w:r>
          </w:p>
        </w:tc>
        <w:tc>
          <w:tcPr>
            <w:tcW w:w="1486" w:type="dxa"/>
          </w:tcPr>
          <w:p w:rsidR="00D849AA" w:rsidRPr="000E4589" w:rsidRDefault="00EE6D95">
            <w:pPr>
              <w:rPr>
                <w:rFonts w:ascii="Arial" w:hAnsi="Arial" w:cs="Arial"/>
              </w:rPr>
            </w:pPr>
            <w:r w:rsidRPr="000E4589">
              <w:rPr>
                <w:rFonts w:ascii="Arial" w:hAnsi="Arial" w:cs="Arial"/>
              </w:rPr>
              <w:t>4.877.001</w:t>
            </w:r>
          </w:p>
        </w:tc>
        <w:tc>
          <w:tcPr>
            <w:tcW w:w="1486" w:type="dxa"/>
          </w:tcPr>
          <w:p w:rsidR="00D849AA" w:rsidRPr="000E4589" w:rsidRDefault="00EE6D95">
            <w:pPr>
              <w:rPr>
                <w:rFonts w:ascii="Arial" w:hAnsi="Arial" w:cs="Arial"/>
              </w:rPr>
            </w:pPr>
            <w:r w:rsidRPr="000E4589">
              <w:rPr>
                <w:rFonts w:ascii="Arial" w:hAnsi="Arial" w:cs="Arial"/>
              </w:rPr>
              <w:t>5.006.000</w:t>
            </w:r>
          </w:p>
        </w:tc>
        <w:tc>
          <w:tcPr>
            <w:tcW w:w="1486" w:type="dxa"/>
          </w:tcPr>
          <w:p w:rsidR="00D849AA" w:rsidRPr="000E4589" w:rsidRDefault="00EE6D95">
            <w:pPr>
              <w:rPr>
                <w:rFonts w:ascii="Arial" w:hAnsi="Arial" w:cs="Arial"/>
              </w:rPr>
            </w:pPr>
            <w:r w:rsidRPr="000E4589">
              <w:rPr>
                <w:rFonts w:ascii="Arial" w:hAnsi="Arial" w:cs="Arial"/>
              </w:rPr>
              <w:t>5.127.000</w:t>
            </w:r>
          </w:p>
        </w:tc>
        <w:tc>
          <w:tcPr>
            <w:tcW w:w="1486" w:type="dxa"/>
          </w:tcPr>
          <w:p w:rsidR="00D849AA" w:rsidRPr="000E4589" w:rsidRDefault="00EE6D95">
            <w:pPr>
              <w:rPr>
                <w:rFonts w:ascii="Arial" w:hAnsi="Arial" w:cs="Arial"/>
              </w:rPr>
            </w:pPr>
            <w:r w:rsidRPr="000E4589">
              <w:rPr>
                <w:rFonts w:ascii="Arial" w:hAnsi="Arial" w:cs="Arial"/>
              </w:rPr>
              <w:t>80,4</w:t>
            </w:r>
          </w:p>
        </w:tc>
      </w:tr>
    </w:tbl>
    <w:p w:rsidR="00D849AA" w:rsidRPr="000E4589" w:rsidRDefault="00D849AA">
      <w:pPr>
        <w:jc w:val="left"/>
        <w:rPr>
          <w:rFonts w:ascii="Arial" w:hAnsi="Arial" w:cs="Arial"/>
        </w:rPr>
      </w:pPr>
    </w:p>
    <w:p w:rsidR="00D849AA" w:rsidRDefault="00EE6D95">
      <w:pPr>
        <w:pStyle w:val="Naslov6"/>
      </w:pPr>
      <w:r>
        <w:t>Opis programa</w:t>
      </w:r>
    </w:p>
    <w:p w:rsidR="00D849AA" w:rsidRDefault="00EE6D95">
      <w:r>
        <w:t xml:space="preserve">Primjena modela javno-privatnog partnerstva proizlazi iz posebnog cilja 2.6. Strateškog plana Ministarstva gospodarstva 2013.-2015. i to Djelovanje javno-privatnog partnerstva u Republici Hrvatskoj. </w:t>
      </w:r>
    </w:p>
    <w:p w:rsidR="00D849AA" w:rsidRDefault="00EE6D95">
      <w:r>
        <w:t xml:space="preserve">Primjenom javno-privatnog partnerstva doprinijet će se ubrzanju razvoja javne infrastrukture i </w:t>
      </w:r>
    </w:p>
    <w:p w:rsidR="00D849AA" w:rsidRDefault="00EE6D95">
      <w:r>
        <w:lastRenderedPageBreak/>
        <w:t xml:space="preserve">postizanje optimalnog odnosa između cijene i troška isporučene javne usluge; poticanju ponude projekata JPP-a primjenom visokih standarda pripreme i usklađenosti s usvojenim strategijama; izgradnji dugoročno stabilnog i poticajnog okruženja; transparentnim postupcima pripreme projekata osiguravanju kvalitetne i konkurentne ponude privatnih partnera, a time i najveća moguća vrijednost za novac javnom sektoru; stalnom jačaju administrativnih kapaciteta javnog sektora kvalitetnim sustavom informiranja i edukacije; usklađenju i unaprjeđenju propisa i standarda u svrhu podizanja razine učinkovitosti pripreme i primjene JPP-a; jačoj međunarodnoj suradnji u svrhu razmjene iskustava i primjenu najbolje prakse, te izgrađivanje uloge RH u okruženju kada je riječ o primjeni JPP-a, provedbi projekata JPP-a, zakonodavnim i institucionalnim prilagodbama, te informiranja i edukacije javnih tijela kao inicijatora JPP projekata, a u svrhu promocije i izvoza hrvatskih znanja i iskustava. </w:t>
      </w:r>
    </w:p>
    <w:p w:rsidR="009558C9" w:rsidRDefault="009558C9"/>
    <w:p w:rsidR="009558C9" w:rsidRDefault="00EE6D95">
      <w:r>
        <w:t xml:space="preserve">Ciljevi Strateškog plana Ministarstva gospodarstva proizlaze iz posebnih ciljeva: </w:t>
      </w:r>
    </w:p>
    <w:p w:rsidR="00D849AA" w:rsidRDefault="00EE6D95">
      <w:r>
        <w:t xml:space="preserve">Posebni cilj 2.6. Djelovanje javno-privatnog partnerstva u Republici Hrvatskoj </w:t>
      </w:r>
    </w:p>
    <w:p w:rsidR="00D849AA" w:rsidRDefault="00EE6D95">
      <w:r>
        <w:t xml:space="preserve">Ovaj posebni cilj provodi Agencija za javno-privatno partnerstvo koja ima za cilj uspješnu provedbu javno-privatnog partnerstva u RH, prije svega, postizanje konsenzusa o područjima primjene JPP-a od strateškog interesa za RH, uz dosljednu razradu usvojenog Strateškog okvira za razvoj u sektorskim strategijama i strategijama na nižim razinama, te provedbenim operativnim planovima. Primjenom javno-privatnog partnerstva doprinijet će ubrzanju razvoja javne infrastrukture i postizanje optimalnog odnosa između cijene i troška isporučene javne usluge; poticanju ponuda projekata JPP-a primjenom visokih standarda pripreme i usklađenosti s usvojenim strategijama; izgradnji dugoročno stabilnog i poticajnog okruženja; transparentnim postupcima pripreme projekata osiguravanju kvalitetne i konkurentne ponude privatnih partnera, a time i najveća moguća vrijednost za novac javnom sektoru; stalnom jačanju administrativnih kapaciteta javnog sektora kvalitetnim sustavom informiranja i edukacije; usklađenju i unaprjeđenju propisa i standarda u svrhu podizanja učinkovitosti pripreme i primjene JPP-a; jačoj međunarodnoj suradnji u svrhu razmjene iskustava i primjenu najbolje prakse, te izgrađivanje uglove RH u okruženju kada je riječ o primjeni JPP-a, provedbi projekata JPP-a zakonodavnim i institucionalnim prilagodbama, te informiranja i edukacije javnih tijela kao inicijatora JPP projekata, a u svrhu promocije i izvoza hrvatskih znanja i iskustava. </w:t>
      </w:r>
    </w:p>
    <w:p w:rsidR="009558C9" w:rsidRDefault="009558C9"/>
    <w:p w:rsidR="00D849AA" w:rsidRDefault="00EE6D95">
      <w:r>
        <w:t xml:space="preserve">Načini ostvarenja postavljenog cilja: </w:t>
      </w:r>
    </w:p>
    <w:p w:rsidR="00D849AA" w:rsidRDefault="00EE6D95">
      <w:r>
        <w:t xml:space="preserve">2.6.1. Unapređenje sustava javno-privatnog partnerstva </w:t>
      </w:r>
    </w:p>
    <w:p w:rsidR="00D849AA" w:rsidRDefault="00EE6D95">
      <w:r>
        <w:t xml:space="preserve">Djelotvornim upravljanjem procesima javno-privatnog partnerstva temeljem uspostavljenog zakonodavnog okvira, a u svrhu ostvarenja postavljenih ciljeva, Agencija za javno-privatno partnerstvo u okviru svojih nadležnosti provodi aktivnosti kako bi osigurala kontinuirano unapređenje sustava javno-privatnog partnerstva. Jedno od mjera je provođenje analize tržišta javno-privatnog partnerstva te izrade komparativnih polugodišnjih izvješća o stanju tržišta javno-privatnog partnerstva na temelju provedene analize u svrhu mjerenja napretka i dostignuća u provedbi projekata javno-privatnog partnerstva.  S ciljem što efikasnije provedbe projekata javno-privatnog partnerstva Agencija za javno-privatno partnerstvo predlaže usklađivanje propisa koji utječu na efikasnost tržišta javno-privatnog partnerstva. Usklađivanjem ovih propisa unaprijedit će se uvjeti za bržu i kvalitetniju provedbu projekata javno-privatnog partnerstva. Nadalje,  provedbom analiza zaprimljenih prijedloga projekata u vidu financijskih, pravih i tehničkih aspekata sukladno postupcima propisanim Zakonom o javno-privatnom partnerstvu osigurava se pravna sigurnost i dostupnost veće primjene modela javno-privatnog partnerstva u postupcima isporuke javnih građevina i javnih usluga.  </w:t>
      </w:r>
    </w:p>
    <w:p w:rsidR="00D849AA" w:rsidRDefault="00EE6D95">
      <w:r>
        <w:t xml:space="preserve">2.6.2. Nadzor provedbe ugovora o javno-privatnom partnerstvu </w:t>
      </w:r>
    </w:p>
    <w:p w:rsidR="00D849AA" w:rsidRDefault="00EE6D95">
      <w:r>
        <w:t xml:space="preserve">U svrhu praćenja provedbe projekata javno-privatnog partnerstva i unapređenja izvršavanja ugovorenih obveza javnog i privatnog partnera Agencija za javno-privatno partnerstvo provodi nadzor nad provedbom svih projekata javno-privatnog partnerstva. Nadzor se provodi uvidom u izvješća o provedbi projekata javno-privatnog partnerstva koje dostavljaju javni partneri sukladno Uredbi o </w:t>
      </w:r>
      <w:r>
        <w:lastRenderedPageBreak/>
        <w:t xml:space="preserve">provedbi projekata javno-privatnog partnerstva. Uspostavljanjem Registra ugovora o javno-privatnom partnerstvu te upisom svih sklopljenih ugovora omogućeno je evidentiranje i praćenje provedbe svih sklopljenih ugovora o javno-privatnom partnerstvu te se na transparentan način objavljuju bitni dijelovi ugovora o javno-privatnom partnerstvu, prvenstveno u pogledu cijena javnih usluga koje plaćaju porezni obveznici. Na kraju, propisanom obvezom javnom partneru o dostavljaju izmjena i/ili dopuna ugovora o javno-privatnom partnerstvu, kao i svih njegovih dodataka na suglasnost Agenciji, osigurava se kontrola nad promjenom ugovornih odredbi Na taj se način provode načela javne nabave u odnosu na ranije provedeni postupak dodjele ugovora o javno-privatnom partnerstvu. Osim navedenih mjera, u svrhu nadzora provedbe ugovora o javno-privatnom partnerstvu, Agencija za javno-privatno partnerstvo planira razviti višedimenzionalni, višekriterijski sustav za ocjenu uspjeha projekata javno-privatnog partnerstva. </w:t>
      </w:r>
    </w:p>
    <w:p w:rsidR="00D849AA" w:rsidRDefault="00EE6D95">
      <w:r>
        <w:t xml:space="preserve">2.6.3. Međunarodna suradnja </w:t>
      </w:r>
    </w:p>
    <w:p w:rsidR="00D849AA" w:rsidRDefault="00EE6D95">
      <w:r>
        <w:t xml:space="preserve">U području javno-privatnog partnerstva međunarodna suradnja Agencije za javno-privatno partnerstvo usmjerena je na provedbu utvrđenih prioriteta i ciljeva u okviru međunarodno preuzetih obveza Republike Hrvatske. Ona se odvija kroz  usku suradnju i razmjenu iskustva s međunarodnim organizacijama i institucijama  nadležnim za javno-privatno, kao što su EIB, EPEC, UNECE, OECD i ostali, zatim planiranje i provedbu projekata pomoći, organizaciju sudjelovanja zaposlenika Agencije za javno-privatno partnerstvo na međunarodnim seminarima, konferencijama i radnim tijelima o javno-privatnom partnerstvu. Osim toga, suradnja je ostvarena i na bilateralnoj osnovi s tijelima nadležnim za javno-privatno partnerstvo, posebice s zemljama u jugoistočnoj Europi. Svim nabrojanim aktivnostima Agencija za javno-privatno partnerstvo nastoji stvoriti pretpostavke za jačanje uloge Republike Hrvatske u području javno-privatnog partnerstva na međunarodnoj razini te time i osnaživanje pozitivne investicijske klime Republike Hrvatske.  </w:t>
      </w:r>
    </w:p>
    <w:p w:rsidR="00D849AA" w:rsidRDefault="00EE6D95">
      <w:r>
        <w:t xml:space="preserve">2.6.4 Informiranje i edukacija </w:t>
      </w:r>
    </w:p>
    <w:p w:rsidR="00D849AA" w:rsidRDefault="00EE6D95">
      <w:r>
        <w:t>Agencija za javno-privatno partnerstvo organizira radionice, seminare i konferencije gdje upoznaje sudionike s glavnim karakteristikama i specifičnostima JPP-a u RH, koristima za porezne obveznike, procesom sustavnog planiranja javnih usluga i javnih građevina, procesom pripreme i predlaganja projekata JPP-a, kriterijima za odobravanje prijedloga projekta i drugim pitanjima važnim za planiranje, programiranje i provedbu ugovora o javno-privatnom partnerstvu, a sve s ciljem pružanja informacija i izobrazbe svih dionika u postupcima javno-privatnog partnerstva. Nadalje, Agencija također sudjeluje u aktivnostima ostalih relevantnih institucija koje su od interesa za promidžbu dobre prakse u području javno-privatnog partnerstva, diseminacije znanja i iskustva, te informiranja šire javnosti.</w:t>
      </w:r>
    </w:p>
    <w:p w:rsidR="00D849AA" w:rsidRDefault="00EE6D95">
      <w:pPr>
        <w:pStyle w:val="Naslov6"/>
      </w:pPr>
      <w:r>
        <w:t>Zakonske i druge pravne osnove</w:t>
      </w:r>
    </w:p>
    <w:p w:rsidR="00D849AA" w:rsidRDefault="00EE6D95">
      <w:r>
        <w:t>Pravni temelji za planiranje aktivnosti Agencije su Zakon o javno-privatnom partnerstvu (NN 78/12) i Uredba o provedbi projekata javno-privatnog partnerstva (NN 88/12).</w:t>
      </w:r>
    </w:p>
    <w:p w:rsidR="00D849AA" w:rsidRDefault="00EE6D95">
      <w:pPr>
        <w:pStyle w:val="Naslov6"/>
      </w:pPr>
      <w:r>
        <w:t>Ciljevi provedbe programa u razdoblju 2014.-2016. i pokazatelji uspješnosti kojima će se mjeriti ostvarenje tih ciljeva</w:t>
      </w:r>
    </w:p>
    <w:p w:rsidR="00D849AA" w:rsidRDefault="000E4589">
      <w:pPr>
        <w:pStyle w:val="Naslov7"/>
      </w:pPr>
      <w:r>
        <w:t>Cilj 1.</w:t>
      </w:r>
      <w:r w:rsidR="00EE6D95">
        <w:t xml:space="preserve"> Odobravanje projekata javno-privatnog partnerstva </w:t>
      </w:r>
    </w:p>
    <w:p w:rsidR="00D849AA" w:rsidRDefault="00EE6D95">
      <w:pPr>
        <w:pStyle w:val="Normal6"/>
      </w:pPr>
      <w:r>
        <w:t xml:space="preserve">Cilj 2.6.: Odobravanje projekata javno-privatnog partnerstva </w:t>
      </w:r>
    </w:p>
    <w:p w:rsidR="00D849AA" w:rsidRDefault="00EE6D95">
      <w:pPr>
        <w:pStyle w:val="Normal6"/>
      </w:pPr>
      <w:r>
        <w:t xml:space="preserve">Sadašnji način pripreme projekata JPP-a zahtijeva bolju horizontalnu i vertikalnu koordinaciju svih sudionika, što je u planu u sljedećem trogodišnjem razdoblju. Uz to, potrebno je osnažiti administrativne kapacitete sudionika u pripremi prijedloga projekata JPP-a. U planu je korištenje ograničenih ljudskih resursa na racionalan način, jasnim odabirom prioritetnih sektora i područja za primjenu JPP-a. Cilj je na taj način ograničiti broj projektnih prijedloga, uz povećanje kvalitete njihove pripreme. Povećanje broja projektnih prijedloga moguće je samo jačanjem administrativnih kapaciteta, u čemu </w:t>
      </w:r>
      <w:r>
        <w:lastRenderedPageBreak/>
        <w:t xml:space="preserve">posebnu ulogu ima sustavna izobrazba, te zapošljavanje planiranog broja djelatnika i osiguravanjem dodatnih financijskih sredstava za </w:t>
      </w:r>
    </w:p>
    <w:p w:rsidR="00D849AA" w:rsidRDefault="00EE6D95">
      <w:pPr>
        <w:pStyle w:val="Normal6"/>
      </w:pPr>
      <w:r>
        <w:t>korištenje vanjskih konzultantskih usluga. U planu je također niz aktivnosti u suradnji s nadležnim tijelima JL(R)S, kao što su obilazak projektnih lokacija, radni sastanci s predstavnicima JL(R)S, radionice, savjetovanja i sl., kako bi se u najranijoj fazi prikupljanja potreba i oblikovanja planova i projektnih prijedloga JL(R)S vodilo računa o njihovom usklađivanju s prioritetima i ciljevima usvojenih strategija, a u suradnji s nadležnim ministarstvima. Cilj je na taj način u najranijoj mogućoj fazi spriječiti nepotrebno rasipanje vrlo ograničenih resursa za pripremu projekata, odbacivanjem u ranoj fazi prijedloga koji u startu ne ispunjavaju temeljne preduvjete za odobravanje, odnosno usmjeravanjem raspoloživih resursa na pripremu projekata koji te kriterije ispunjavaju, a po potrebi i udruživanjem raspoloživih resursa više JL(R)S radi pripremu zajedničkih (uvezanih) projekata.</w:t>
      </w:r>
    </w:p>
    <w:p w:rsidR="00D849AA" w:rsidRDefault="00EE6D95">
      <w:pPr>
        <w:pStyle w:val="Naslov5"/>
      </w:pPr>
      <w:r>
        <w:t>Procjena i ishodište potrebnih sredstava za značajnije aktivnosti/projekte</w:t>
      </w:r>
    </w:p>
    <w:p w:rsidR="00D849AA" w:rsidRDefault="00EE6D95">
      <w:pPr>
        <w:pStyle w:val="Naslov6"/>
      </w:pPr>
      <w:r>
        <w:t>A775008 ADMINISTRACIJA I UPRAVLJANJE AGENCIJE ZA JAVNO PRIVATNO PARTNERSTVO</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rsidRPr="000E4589">
        <w:trPr>
          <w:jc w:val="center"/>
        </w:trPr>
        <w:tc>
          <w:tcPr>
            <w:tcW w:w="1486" w:type="dxa"/>
            <w:shd w:val="clear" w:color="auto" w:fill="B5C0D8"/>
          </w:tcPr>
          <w:p w:rsidR="00D849AA" w:rsidRPr="000E4589" w:rsidRDefault="00EE6D95">
            <w:pPr>
              <w:pStyle w:val="CellHeader"/>
            </w:pPr>
            <w:r w:rsidRPr="000E4589">
              <w:t>Naziv aktivnosti</w:t>
            </w:r>
          </w:p>
        </w:tc>
        <w:tc>
          <w:tcPr>
            <w:tcW w:w="1486" w:type="dxa"/>
            <w:shd w:val="clear" w:color="auto" w:fill="B5C0D8"/>
          </w:tcPr>
          <w:p w:rsidR="00D849AA" w:rsidRPr="000E4589" w:rsidRDefault="00EE6D95">
            <w:pPr>
              <w:pStyle w:val="CellHeader"/>
            </w:pPr>
            <w:r w:rsidRPr="000E4589">
              <w:t>Plan 2013.</w:t>
            </w:r>
          </w:p>
        </w:tc>
        <w:tc>
          <w:tcPr>
            <w:tcW w:w="1486" w:type="dxa"/>
            <w:shd w:val="clear" w:color="auto" w:fill="B5C0D8"/>
          </w:tcPr>
          <w:p w:rsidR="00D849AA" w:rsidRPr="000E4589" w:rsidRDefault="00EE6D95">
            <w:pPr>
              <w:pStyle w:val="CellHeader"/>
            </w:pPr>
            <w:r w:rsidRPr="000E4589">
              <w:t>Plan 2014.</w:t>
            </w:r>
          </w:p>
        </w:tc>
        <w:tc>
          <w:tcPr>
            <w:tcW w:w="1486" w:type="dxa"/>
            <w:shd w:val="clear" w:color="auto" w:fill="B5C0D8"/>
          </w:tcPr>
          <w:p w:rsidR="00D849AA" w:rsidRPr="000E4589" w:rsidRDefault="00EE6D95">
            <w:pPr>
              <w:pStyle w:val="CellHeader"/>
            </w:pPr>
            <w:r w:rsidRPr="000E4589">
              <w:t>Plan 2015.</w:t>
            </w:r>
          </w:p>
        </w:tc>
        <w:tc>
          <w:tcPr>
            <w:tcW w:w="1486" w:type="dxa"/>
            <w:shd w:val="clear" w:color="auto" w:fill="B5C0D8"/>
          </w:tcPr>
          <w:p w:rsidR="00D849AA" w:rsidRPr="000E4589" w:rsidRDefault="00EE6D95">
            <w:pPr>
              <w:pStyle w:val="CellHeader"/>
            </w:pPr>
            <w:r w:rsidRPr="000E4589">
              <w:t>Plan 2016.</w:t>
            </w:r>
          </w:p>
        </w:tc>
        <w:tc>
          <w:tcPr>
            <w:tcW w:w="1486" w:type="dxa"/>
            <w:shd w:val="clear" w:color="auto" w:fill="B5C0D8"/>
          </w:tcPr>
          <w:p w:rsidR="00D849AA" w:rsidRPr="000E4589" w:rsidRDefault="00EE6D95">
            <w:pPr>
              <w:pStyle w:val="CellHeader"/>
            </w:pPr>
            <w:r w:rsidRPr="000E4589">
              <w:t>Indeks 2014/2013</w:t>
            </w:r>
          </w:p>
        </w:tc>
      </w:tr>
      <w:tr w:rsidR="00D849AA" w:rsidRPr="000E4589">
        <w:trPr>
          <w:jc w:val="center"/>
        </w:trPr>
        <w:tc>
          <w:tcPr>
            <w:tcW w:w="1486" w:type="dxa"/>
          </w:tcPr>
          <w:p w:rsidR="00D849AA" w:rsidRPr="000E4589" w:rsidRDefault="00EE6D95">
            <w:pPr>
              <w:pStyle w:val="CellColumn"/>
            </w:pPr>
            <w:r w:rsidRPr="000E4589">
              <w:t>A775008</w:t>
            </w:r>
          </w:p>
        </w:tc>
        <w:tc>
          <w:tcPr>
            <w:tcW w:w="1486" w:type="dxa"/>
          </w:tcPr>
          <w:p w:rsidR="00D849AA" w:rsidRPr="000E4589" w:rsidRDefault="00EE6D95">
            <w:pPr>
              <w:rPr>
                <w:rFonts w:ascii="Arial" w:hAnsi="Arial" w:cs="Arial"/>
              </w:rPr>
            </w:pPr>
            <w:r w:rsidRPr="000E4589">
              <w:rPr>
                <w:rFonts w:ascii="Arial" w:hAnsi="Arial" w:cs="Arial"/>
              </w:rPr>
              <w:t>5.331.000</w:t>
            </w:r>
          </w:p>
        </w:tc>
        <w:tc>
          <w:tcPr>
            <w:tcW w:w="1486" w:type="dxa"/>
          </w:tcPr>
          <w:p w:rsidR="00D849AA" w:rsidRPr="000E4589" w:rsidRDefault="00EE6D95">
            <w:pPr>
              <w:rPr>
                <w:rFonts w:ascii="Arial" w:hAnsi="Arial" w:cs="Arial"/>
              </w:rPr>
            </w:pPr>
            <w:r w:rsidRPr="000E4589">
              <w:rPr>
                <w:rFonts w:ascii="Arial" w:hAnsi="Arial" w:cs="Arial"/>
              </w:rPr>
              <w:t>4.032.000</w:t>
            </w:r>
          </w:p>
        </w:tc>
        <w:tc>
          <w:tcPr>
            <w:tcW w:w="1486" w:type="dxa"/>
          </w:tcPr>
          <w:p w:rsidR="00D849AA" w:rsidRPr="000E4589" w:rsidRDefault="00EE6D95">
            <w:pPr>
              <w:rPr>
                <w:rFonts w:ascii="Arial" w:hAnsi="Arial" w:cs="Arial"/>
              </w:rPr>
            </w:pPr>
            <w:r w:rsidRPr="000E4589">
              <w:rPr>
                <w:rFonts w:ascii="Arial" w:hAnsi="Arial" w:cs="Arial"/>
              </w:rPr>
              <w:t>4.100.000</w:t>
            </w:r>
          </w:p>
        </w:tc>
        <w:tc>
          <w:tcPr>
            <w:tcW w:w="1486" w:type="dxa"/>
          </w:tcPr>
          <w:p w:rsidR="00D849AA" w:rsidRPr="000E4589" w:rsidRDefault="00EE6D95">
            <w:pPr>
              <w:rPr>
                <w:rFonts w:ascii="Arial" w:hAnsi="Arial" w:cs="Arial"/>
              </w:rPr>
            </w:pPr>
            <w:r w:rsidRPr="000E4589">
              <w:rPr>
                <w:rFonts w:ascii="Arial" w:hAnsi="Arial" w:cs="Arial"/>
              </w:rPr>
              <w:t>4.450.000</w:t>
            </w:r>
          </w:p>
        </w:tc>
        <w:tc>
          <w:tcPr>
            <w:tcW w:w="1486" w:type="dxa"/>
          </w:tcPr>
          <w:p w:rsidR="00D849AA" w:rsidRPr="000E4589" w:rsidRDefault="00EE6D95">
            <w:pPr>
              <w:rPr>
                <w:rFonts w:ascii="Arial" w:hAnsi="Arial" w:cs="Arial"/>
              </w:rPr>
            </w:pPr>
            <w:r w:rsidRPr="000E4589">
              <w:rPr>
                <w:rFonts w:ascii="Arial" w:hAnsi="Arial" w:cs="Arial"/>
              </w:rPr>
              <w:t>75,6</w:t>
            </w:r>
          </w:p>
        </w:tc>
      </w:tr>
    </w:tbl>
    <w:p w:rsidR="00D849AA" w:rsidRDefault="00D849AA">
      <w:pPr>
        <w:jc w:val="left"/>
      </w:pPr>
    </w:p>
    <w:p w:rsidR="00D849AA" w:rsidRDefault="00EE6D95">
      <w:pPr>
        <w:pStyle w:val="Normal6"/>
      </w:pPr>
      <w:r>
        <w:t xml:space="preserve">Kroz aktivnosti Administracija i upravljanje Agencije za javno-privatno partnerstvo provodi se program JPP-a u okviru kojega su obuhvaćene radnje vezane za ocjenu i odobravanje Prijedloga projekta, praćenje provedbe ugovorenih projekata, međunarodnu suradnju (u okviru kojega je i provedba IPA TWL projekta Daljnje jačanje sustava JPP-a u RH) te pripremu i provedbu programa informiranja i edukacije sudionika na JPP tržištu. </w:t>
      </w:r>
    </w:p>
    <w:p w:rsidR="00D849AA" w:rsidRDefault="00EE6D95">
      <w:pPr>
        <w:pStyle w:val="Normal6"/>
      </w:pPr>
      <w:r>
        <w:t xml:space="preserve">Planirana financijska sredstva potrebna su za: </w:t>
      </w:r>
    </w:p>
    <w:p w:rsidR="00D849AA" w:rsidRDefault="00EE6D95">
      <w:pPr>
        <w:pStyle w:val="Normal6"/>
      </w:pPr>
      <w:r>
        <w:t xml:space="preserve">- jačanje administrativnog kapaciteta Agencije; </w:t>
      </w:r>
    </w:p>
    <w:p w:rsidR="00D849AA" w:rsidRDefault="00EE6D95">
      <w:pPr>
        <w:pStyle w:val="Normal6"/>
      </w:pPr>
      <w:r>
        <w:t xml:space="preserve">- jačanje kapaciteta za provedbu programa EU fondova u odnosu na JPP projekte; </w:t>
      </w:r>
    </w:p>
    <w:p w:rsidR="00D849AA" w:rsidRDefault="00EE6D95">
      <w:pPr>
        <w:pStyle w:val="Normal6"/>
      </w:pPr>
      <w:r>
        <w:t xml:space="preserve">- pripremu i provedbu programa edukacije sudionika na JPP tržištu; </w:t>
      </w:r>
    </w:p>
    <w:p w:rsidR="00D849AA" w:rsidRDefault="00EE6D95">
      <w:pPr>
        <w:pStyle w:val="Normal6"/>
      </w:pPr>
      <w:r>
        <w:t>- međunarodnu suradnju.</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0E4589" w:rsidRDefault="00EE6D95">
            <w:pPr>
              <w:rPr>
                <w:rFonts w:ascii="Arial" w:hAnsi="Arial" w:cs="Arial"/>
              </w:rPr>
            </w:pPr>
            <w:r w:rsidRPr="000E4589">
              <w:rPr>
                <w:rFonts w:ascii="Arial" w:hAnsi="Arial" w:cs="Arial"/>
              </w:rPr>
              <w:t>Pokazatelj rezultata</w:t>
            </w:r>
          </w:p>
        </w:tc>
        <w:tc>
          <w:tcPr>
            <w:tcW w:w="1114" w:type="dxa"/>
            <w:shd w:val="clear" w:color="auto" w:fill="B5C0D8"/>
          </w:tcPr>
          <w:p w:rsidR="00D849AA" w:rsidRPr="000E4589" w:rsidRDefault="00EE6D95">
            <w:pPr>
              <w:pStyle w:val="CellHeader"/>
              <w:rPr>
                <w:szCs w:val="20"/>
              </w:rPr>
            </w:pPr>
            <w:r w:rsidRPr="000E4589">
              <w:rPr>
                <w:szCs w:val="20"/>
              </w:rPr>
              <w:t>Jedinica</w:t>
            </w:r>
          </w:p>
        </w:tc>
        <w:tc>
          <w:tcPr>
            <w:tcW w:w="1114" w:type="dxa"/>
            <w:shd w:val="clear" w:color="auto" w:fill="B5C0D8"/>
          </w:tcPr>
          <w:p w:rsidR="00D849AA" w:rsidRPr="000E4589" w:rsidRDefault="00EE6D95">
            <w:pPr>
              <w:pStyle w:val="CellHeader"/>
              <w:rPr>
                <w:szCs w:val="20"/>
              </w:rPr>
            </w:pPr>
            <w:r w:rsidRPr="000E4589">
              <w:rPr>
                <w:szCs w:val="20"/>
              </w:rPr>
              <w:t>Polazna vrijednost</w:t>
            </w:r>
          </w:p>
        </w:tc>
        <w:tc>
          <w:tcPr>
            <w:tcW w:w="1486" w:type="dxa"/>
            <w:shd w:val="clear" w:color="auto" w:fill="B5C0D8"/>
          </w:tcPr>
          <w:p w:rsidR="00D849AA" w:rsidRPr="000E4589" w:rsidRDefault="00EE6D95">
            <w:pPr>
              <w:pStyle w:val="CellHeader"/>
              <w:rPr>
                <w:szCs w:val="20"/>
              </w:rPr>
            </w:pPr>
            <w:r w:rsidRPr="000E4589">
              <w:rPr>
                <w:szCs w:val="20"/>
              </w:rPr>
              <w:t>Ciljana vrijednost (2014.)</w:t>
            </w:r>
          </w:p>
        </w:tc>
        <w:tc>
          <w:tcPr>
            <w:tcW w:w="1486" w:type="dxa"/>
            <w:shd w:val="clear" w:color="auto" w:fill="B5C0D8"/>
          </w:tcPr>
          <w:p w:rsidR="00D849AA" w:rsidRPr="000E4589" w:rsidRDefault="00EE6D95">
            <w:pPr>
              <w:pStyle w:val="CellHeader"/>
              <w:rPr>
                <w:szCs w:val="20"/>
              </w:rPr>
            </w:pPr>
            <w:r w:rsidRPr="000E4589">
              <w:rPr>
                <w:szCs w:val="20"/>
              </w:rPr>
              <w:t>Ciljana vrijednost (2015.)</w:t>
            </w:r>
          </w:p>
        </w:tc>
        <w:tc>
          <w:tcPr>
            <w:tcW w:w="1486" w:type="dxa"/>
            <w:shd w:val="clear" w:color="auto" w:fill="B5C0D8"/>
          </w:tcPr>
          <w:p w:rsidR="00D849AA" w:rsidRPr="000E4589" w:rsidRDefault="00EE6D95">
            <w:pPr>
              <w:pStyle w:val="CellHeader"/>
              <w:rPr>
                <w:szCs w:val="20"/>
              </w:rPr>
            </w:pPr>
            <w:r w:rsidRPr="000E4589">
              <w:rPr>
                <w:szCs w:val="20"/>
              </w:rPr>
              <w:t>Ciljana vrijednost (2016.)</w:t>
            </w:r>
          </w:p>
        </w:tc>
      </w:tr>
      <w:tr w:rsidR="00D849AA">
        <w:trPr>
          <w:jc w:val="center"/>
        </w:trPr>
        <w:tc>
          <w:tcPr>
            <w:tcW w:w="2229" w:type="dxa"/>
          </w:tcPr>
          <w:p w:rsidR="00D849AA" w:rsidRPr="000E4589" w:rsidRDefault="00EE6D95">
            <w:pPr>
              <w:pStyle w:val="CellColumn"/>
              <w:rPr>
                <w:szCs w:val="20"/>
              </w:rPr>
            </w:pPr>
            <w:r w:rsidRPr="000E4589">
              <w:rPr>
                <w:szCs w:val="20"/>
              </w:rPr>
              <w:t>Polugodišnja izvješća o stanju JPP tržišta</w:t>
            </w:r>
          </w:p>
        </w:tc>
        <w:tc>
          <w:tcPr>
            <w:tcW w:w="1114" w:type="dxa"/>
          </w:tcPr>
          <w:p w:rsidR="00D849AA" w:rsidRPr="000E4589" w:rsidRDefault="00EE6D95">
            <w:pPr>
              <w:rPr>
                <w:rFonts w:ascii="Arial" w:hAnsi="Arial" w:cs="Arial"/>
              </w:rPr>
            </w:pPr>
            <w:r w:rsidRPr="000E4589">
              <w:rPr>
                <w:rFonts w:ascii="Arial" w:hAnsi="Arial" w:cs="Arial"/>
              </w:rPr>
              <w:t>BROJ</w:t>
            </w:r>
          </w:p>
        </w:tc>
        <w:tc>
          <w:tcPr>
            <w:tcW w:w="1114" w:type="dxa"/>
          </w:tcPr>
          <w:p w:rsidR="00D849AA" w:rsidRPr="000E4589" w:rsidRDefault="00EE6D95">
            <w:pPr>
              <w:rPr>
                <w:rFonts w:ascii="Arial" w:hAnsi="Arial" w:cs="Arial"/>
              </w:rPr>
            </w:pPr>
            <w:r w:rsidRPr="000E4589">
              <w:rPr>
                <w:rFonts w:ascii="Arial" w:hAnsi="Arial" w:cs="Arial"/>
              </w:rPr>
              <w:t>1</w:t>
            </w:r>
          </w:p>
        </w:tc>
        <w:tc>
          <w:tcPr>
            <w:tcW w:w="1486" w:type="dxa"/>
          </w:tcPr>
          <w:p w:rsidR="00D849AA" w:rsidRPr="000E4589" w:rsidRDefault="00EE6D95">
            <w:pPr>
              <w:rPr>
                <w:rFonts w:ascii="Arial" w:hAnsi="Arial" w:cs="Arial"/>
              </w:rPr>
            </w:pPr>
            <w:r w:rsidRPr="000E4589">
              <w:rPr>
                <w:rFonts w:ascii="Arial" w:hAnsi="Arial" w:cs="Arial"/>
              </w:rPr>
              <w:t>2</w:t>
            </w:r>
          </w:p>
        </w:tc>
        <w:tc>
          <w:tcPr>
            <w:tcW w:w="1486" w:type="dxa"/>
          </w:tcPr>
          <w:p w:rsidR="00D849AA" w:rsidRPr="000E4589" w:rsidRDefault="00EE6D95">
            <w:pPr>
              <w:rPr>
                <w:rFonts w:ascii="Arial" w:hAnsi="Arial" w:cs="Arial"/>
              </w:rPr>
            </w:pPr>
            <w:r w:rsidRPr="000E4589">
              <w:rPr>
                <w:rFonts w:ascii="Arial" w:hAnsi="Arial" w:cs="Arial"/>
              </w:rPr>
              <w:t>2</w:t>
            </w:r>
          </w:p>
        </w:tc>
        <w:tc>
          <w:tcPr>
            <w:tcW w:w="1486" w:type="dxa"/>
          </w:tcPr>
          <w:p w:rsidR="00D849AA" w:rsidRPr="000E4589" w:rsidRDefault="00EE6D95">
            <w:pPr>
              <w:rPr>
                <w:rFonts w:ascii="Arial" w:hAnsi="Arial" w:cs="Arial"/>
              </w:rPr>
            </w:pPr>
            <w:r w:rsidRPr="000E4589">
              <w:rPr>
                <w:rFonts w:ascii="Arial" w:hAnsi="Arial" w:cs="Arial"/>
              </w:rPr>
              <w:t>2</w:t>
            </w:r>
          </w:p>
        </w:tc>
      </w:tr>
      <w:tr w:rsidR="00D849AA">
        <w:trPr>
          <w:jc w:val="center"/>
        </w:trPr>
        <w:tc>
          <w:tcPr>
            <w:tcW w:w="2229" w:type="dxa"/>
          </w:tcPr>
          <w:p w:rsidR="00D849AA" w:rsidRPr="000E4589" w:rsidRDefault="00EE6D95">
            <w:pPr>
              <w:pStyle w:val="CellColumn"/>
              <w:rPr>
                <w:szCs w:val="20"/>
              </w:rPr>
            </w:pPr>
            <w:r w:rsidRPr="000E4589">
              <w:rPr>
                <w:szCs w:val="20"/>
              </w:rPr>
              <w:t>Postupovne inicijative radi usklađivanja propisa</w:t>
            </w:r>
          </w:p>
        </w:tc>
        <w:tc>
          <w:tcPr>
            <w:tcW w:w="1114" w:type="dxa"/>
          </w:tcPr>
          <w:p w:rsidR="00D849AA" w:rsidRPr="000E4589" w:rsidRDefault="00EE6D95">
            <w:pPr>
              <w:rPr>
                <w:rFonts w:ascii="Arial" w:hAnsi="Arial" w:cs="Arial"/>
              </w:rPr>
            </w:pPr>
            <w:r w:rsidRPr="000E4589">
              <w:rPr>
                <w:rFonts w:ascii="Arial" w:hAnsi="Arial" w:cs="Arial"/>
              </w:rPr>
              <w:t>BROJ</w:t>
            </w:r>
          </w:p>
        </w:tc>
        <w:tc>
          <w:tcPr>
            <w:tcW w:w="1114" w:type="dxa"/>
          </w:tcPr>
          <w:p w:rsidR="00D849AA" w:rsidRPr="000E4589" w:rsidRDefault="00EE6D95">
            <w:pPr>
              <w:rPr>
                <w:rFonts w:ascii="Arial" w:hAnsi="Arial" w:cs="Arial"/>
              </w:rPr>
            </w:pPr>
            <w:r w:rsidRPr="000E4589">
              <w:rPr>
                <w:rFonts w:ascii="Arial" w:hAnsi="Arial" w:cs="Arial"/>
              </w:rPr>
              <w:t>3</w:t>
            </w:r>
          </w:p>
        </w:tc>
        <w:tc>
          <w:tcPr>
            <w:tcW w:w="1486" w:type="dxa"/>
          </w:tcPr>
          <w:p w:rsidR="00D849AA" w:rsidRPr="000E4589" w:rsidRDefault="00EE6D95">
            <w:pPr>
              <w:rPr>
                <w:rFonts w:ascii="Arial" w:hAnsi="Arial" w:cs="Arial"/>
              </w:rPr>
            </w:pPr>
            <w:r w:rsidRPr="000E4589">
              <w:rPr>
                <w:rFonts w:ascii="Arial" w:hAnsi="Arial" w:cs="Arial"/>
              </w:rPr>
              <w:t>3</w:t>
            </w:r>
          </w:p>
        </w:tc>
        <w:tc>
          <w:tcPr>
            <w:tcW w:w="1486" w:type="dxa"/>
          </w:tcPr>
          <w:p w:rsidR="00D849AA" w:rsidRPr="000E4589" w:rsidRDefault="00EE6D95">
            <w:pPr>
              <w:rPr>
                <w:rFonts w:ascii="Arial" w:hAnsi="Arial" w:cs="Arial"/>
              </w:rPr>
            </w:pPr>
            <w:r w:rsidRPr="000E4589">
              <w:rPr>
                <w:rFonts w:ascii="Arial" w:hAnsi="Arial" w:cs="Arial"/>
              </w:rPr>
              <w:t>2</w:t>
            </w:r>
          </w:p>
        </w:tc>
        <w:tc>
          <w:tcPr>
            <w:tcW w:w="1486" w:type="dxa"/>
          </w:tcPr>
          <w:p w:rsidR="00D849AA" w:rsidRPr="000E4589" w:rsidRDefault="00EE6D95">
            <w:pPr>
              <w:rPr>
                <w:rFonts w:ascii="Arial" w:hAnsi="Arial" w:cs="Arial"/>
              </w:rPr>
            </w:pPr>
            <w:r w:rsidRPr="000E4589">
              <w:rPr>
                <w:rFonts w:ascii="Arial" w:hAnsi="Arial" w:cs="Arial"/>
              </w:rPr>
              <w:t>2</w:t>
            </w:r>
          </w:p>
        </w:tc>
      </w:tr>
      <w:tr w:rsidR="00D849AA">
        <w:trPr>
          <w:jc w:val="center"/>
        </w:trPr>
        <w:tc>
          <w:tcPr>
            <w:tcW w:w="2229" w:type="dxa"/>
          </w:tcPr>
          <w:p w:rsidR="00D849AA" w:rsidRPr="000E4589" w:rsidRDefault="00EE6D95">
            <w:pPr>
              <w:pStyle w:val="CellColumn"/>
              <w:rPr>
                <w:szCs w:val="20"/>
              </w:rPr>
            </w:pPr>
            <w:r w:rsidRPr="000E4589">
              <w:rPr>
                <w:szCs w:val="20"/>
              </w:rPr>
              <w:t xml:space="preserve">Rješenja o zaprimljenim prijedlozima projekata javno-privatnog </w:t>
            </w:r>
            <w:r w:rsidRPr="000E4589">
              <w:rPr>
                <w:szCs w:val="20"/>
              </w:rPr>
              <w:lastRenderedPageBreak/>
              <w:t>partnerstva</w:t>
            </w:r>
          </w:p>
        </w:tc>
        <w:tc>
          <w:tcPr>
            <w:tcW w:w="1114" w:type="dxa"/>
          </w:tcPr>
          <w:p w:rsidR="00D849AA" w:rsidRPr="000E4589" w:rsidRDefault="00EE6D95">
            <w:pPr>
              <w:rPr>
                <w:rFonts w:ascii="Arial" w:hAnsi="Arial" w:cs="Arial"/>
              </w:rPr>
            </w:pPr>
            <w:r w:rsidRPr="000E4589">
              <w:rPr>
                <w:rFonts w:ascii="Arial" w:hAnsi="Arial" w:cs="Arial"/>
              </w:rPr>
              <w:lastRenderedPageBreak/>
              <w:t>BROJ</w:t>
            </w:r>
          </w:p>
        </w:tc>
        <w:tc>
          <w:tcPr>
            <w:tcW w:w="1114" w:type="dxa"/>
          </w:tcPr>
          <w:p w:rsidR="00D849AA" w:rsidRPr="000E4589" w:rsidRDefault="00EE6D95">
            <w:pPr>
              <w:rPr>
                <w:rFonts w:ascii="Arial" w:hAnsi="Arial" w:cs="Arial"/>
              </w:rPr>
            </w:pPr>
            <w:r w:rsidRPr="000E4589">
              <w:rPr>
                <w:rFonts w:ascii="Arial" w:hAnsi="Arial" w:cs="Arial"/>
              </w:rPr>
              <w:t>3</w:t>
            </w:r>
          </w:p>
        </w:tc>
        <w:tc>
          <w:tcPr>
            <w:tcW w:w="1486" w:type="dxa"/>
          </w:tcPr>
          <w:p w:rsidR="00D849AA" w:rsidRPr="000E4589" w:rsidRDefault="00EE6D95">
            <w:pPr>
              <w:rPr>
                <w:rFonts w:ascii="Arial" w:hAnsi="Arial" w:cs="Arial"/>
              </w:rPr>
            </w:pPr>
            <w:r w:rsidRPr="000E4589">
              <w:rPr>
                <w:rFonts w:ascii="Arial" w:hAnsi="Arial" w:cs="Arial"/>
              </w:rPr>
              <w:t>5</w:t>
            </w:r>
          </w:p>
        </w:tc>
        <w:tc>
          <w:tcPr>
            <w:tcW w:w="1486" w:type="dxa"/>
          </w:tcPr>
          <w:p w:rsidR="00D849AA" w:rsidRPr="000E4589" w:rsidRDefault="00EE6D95">
            <w:pPr>
              <w:rPr>
                <w:rFonts w:ascii="Arial" w:hAnsi="Arial" w:cs="Arial"/>
              </w:rPr>
            </w:pPr>
            <w:r w:rsidRPr="000E4589">
              <w:rPr>
                <w:rFonts w:ascii="Arial" w:hAnsi="Arial" w:cs="Arial"/>
              </w:rPr>
              <w:t>5</w:t>
            </w:r>
          </w:p>
        </w:tc>
        <w:tc>
          <w:tcPr>
            <w:tcW w:w="1486" w:type="dxa"/>
          </w:tcPr>
          <w:p w:rsidR="00D849AA" w:rsidRPr="000E4589" w:rsidRDefault="00EE6D95">
            <w:pPr>
              <w:rPr>
                <w:rFonts w:ascii="Arial" w:hAnsi="Arial" w:cs="Arial"/>
              </w:rPr>
            </w:pPr>
            <w:r w:rsidRPr="000E4589">
              <w:rPr>
                <w:rFonts w:ascii="Arial" w:hAnsi="Arial" w:cs="Arial"/>
              </w:rPr>
              <w:t>5</w:t>
            </w:r>
          </w:p>
        </w:tc>
      </w:tr>
      <w:tr w:rsidR="00D849AA">
        <w:trPr>
          <w:jc w:val="center"/>
        </w:trPr>
        <w:tc>
          <w:tcPr>
            <w:tcW w:w="2229" w:type="dxa"/>
          </w:tcPr>
          <w:p w:rsidR="00D849AA" w:rsidRPr="000E4589" w:rsidRDefault="00EE6D95">
            <w:pPr>
              <w:pStyle w:val="CellColumn"/>
              <w:rPr>
                <w:szCs w:val="20"/>
              </w:rPr>
            </w:pPr>
            <w:r w:rsidRPr="000E4589">
              <w:rPr>
                <w:szCs w:val="20"/>
              </w:rPr>
              <w:lastRenderedPageBreak/>
              <w:t>Izvješća o provedbi projekta JPP-a</w:t>
            </w:r>
          </w:p>
        </w:tc>
        <w:tc>
          <w:tcPr>
            <w:tcW w:w="1114" w:type="dxa"/>
          </w:tcPr>
          <w:p w:rsidR="00D849AA" w:rsidRPr="000E4589" w:rsidRDefault="00EE6D95">
            <w:pPr>
              <w:rPr>
                <w:rFonts w:ascii="Arial" w:hAnsi="Arial" w:cs="Arial"/>
              </w:rPr>
            </w:pPr>
            <w:r w:rsidRPr="000E4589">
              <w:rPr>
                <w:rFonts w:ascii="Arial" w:hAnsi="Arial" w:cs="Arial"/>
              </w:rPr>
              <w:t>BROJ</w:t>
            </w:r>
          </w:p>
        </w:tc>
        <w:tc>
          <w:tcPr>
            <w:tcW w:w="1114" w:type="dxa"/>
          </w:tcPr>
          <w:p w:rsidR="00D849AA" w:rsidRPr="000E4589" w:rsidRDefault="00EE6D95">
            <w:pPr>
              <w:rPr>
                <w:rFonts w:ascii="Arial" w:hAnsi="Arial" w:cs="Arial"/>
              </w:rPr>
            </w:pPr>
            <w:r w:rsidRPr="000E4589">
              <w:rPr>
                <w:rFonts w:ascii="Arial" w:hAnsi="Arial" w:cs="Arial"/>
              </w:rPr>
              <w:t>12</w:t>
            </w:r>
          </w:p>
        </w:tc>
        <w:tc>
          <w:tcPr>
            <w:tcW w:w="1486" w:type="dxa"/>
          </w:tcPr>
          <w:p w:rsidR="00D849AA" w:rsidRPr="000E4589" w:rsidRDefault="00EE6D95">
            <w:pPr>
              <w:rPr>
                <w:rFonts w:ascii="Arial" w:hAnsi="Arial" w:cs="Arial"/>
              </w:rPr>
            </w:pPr>
            <w:r w:rsidRPr="000E4589">
              <w:rPr>
                <w:rFonts w:ascii="Arial" w:hAnsi="Arial" w:cs="Arial"/>
              </w:rPr>
              <w:t>3</w:t>
            </w:r>
          </w:p>
        </w:tc>
        <w:tc>
          <w:tcPr>
            <w:tcW w:w="1486" w:type="dxa"/>
          </w:tcPr>
          <w:p w:rsidR="00D849AA" w:rsidRPr="000E4589" w:rsidRDefault="00EE6D95">
            <w:pPr>
              <w:rPr>
                <w:rFonts w:ascii="Arial" w:hAnsi="Arial" w:cs="Arial"/>
              </w:rPr>
            </w:pPr>
            <w:r w:rsidRPr="000E4589">
              <w:rPr>
                <w:rFonts w:ascii="Arial" w:hAnsi="Arial" w:cs="Arial"/>
              </w:rPr>
              <w:t>5</w:t>
            </w:r>
          </w:p>
        </w:tc>
        <w:tc>
          <w:tcPr>
            <w:tcW w:w="1486" w:type="dxa"/>
          </w:tcPr>
          <w:p w:rsidR="00D849AA" w:rsidRPr="000E4589" w:rsidRDefault="00EE6D95">
            <w:pPr>
              <w:rPr>
                <w:rFonts w:ascii="Arial" w:hAnsi="Arial" w:cs="Arial"/>
              </w:rPr>
            </w:pPr>
            <w:r w:rsidRPr="000E4589">
              <w:rPr>
                <w:rFonts w:ascii="Arial" w:hAnsi="Arial" w:cs="Arial"/>
              </w:rPr>
              <w:t>5</w:t>
            </w:r>
          </w:p>
        </w:tc>
      </w:tr>
      <w:tr w:rsidR="00D849AA">
        <w:trPr>
          <w:jc w:val="center"/>
        </w:trPr>
        <w:tc>
          <w:tcPr>
            <w:tcW w:w="2229" w:type="dxa"/>
          </w:tcPr>
          <w:p w:rsidR="00D849AA" w:rsidRPr="000E4589" w:rsidRDefault="00EE6D95">
            <w:pPr>
              <w:pStyle w:val="CellColumn"/>
              <w:rPr>
                <w:szCs w:val="20"/>
              </w:rPr>
            </w:pPr>
            <w:r w:rsidRPr="000E4589">
              <w:rPr>
                <w:szCs w:val="20"/>
              </w:rPr>
              <w:t>Upisani ugovori o JPP-u u Registru</w:t>
            </w:r>
          </w:p>
        </w:tc>
        <w:tc>
          <w:tcPr>
            <w:tcW w:w="1114" w:type="dxa"/>
          </w:tcPr>
          <w:p w:rsidR="00D849AA" w:rsidRPr="000E4589" w:rsidRDefault="00EE6D95">
            <w:pPr>
              <w:rPr>
                <w:rFonts w:ascii="Arial" w:hAnsi="Arial" w:cs="Arial"/>
              </w:rPr>
            </w:pPr>
            <w:r w:rsidRPr="000E4589">
              <w:rPr>
                <w:rFonts w:ascii="Arial" w:hAnsi="Arial" w:cs="Arial"/>
              </w:rPr>
              <w:t>BROJ</w:t>
            </w:r>
          </w:p>
        </w:tc>
        <w:tc>
          <w:tcPr>
            <w:tcW w:w="1114" w:type="dxa"/>
          </w:tcPr>
          <w:p w:rsidR="00D849AA" w:rsidRPr="000E4589" w:rsidRDefault="00EE6D95">
            <w:pPr>
              <w:rPr>
                <w:rFonts w:ascii="Arial" w:hAnsi="Arial" w:cs="Arial"/>
              </w:rPr>
            </w:pPr>
            <w:r w:rsidRPr="000E4589">
              <w:rPr>
                <w:rFonts w:ascii="Arial" w:hAnsi="Arial" w:cs="Arial"/>
              </w:rPr>
              <w:t>13</w:t>
            </w:r>
          </w:p>
        </w:tc>
        <w:tc>
          <w:tcPr>
            <w:tcW w:w="1486" w:type="dxa"/>
          </w:tcPr>
          <w:p w:rsidR="00D849AA" w:rsidRPr="000E4589" w:rsidRDefault="00EE6D95">
            <w:pPr>
              <w:rPr>
                <w:rFonts w:ascii="Arial" w:hAnsi="Arial" w:cs="Arial"/>
              </w:rPr>
            </w:pPr>
            <w:r w:rsidRPr="000E4589">
              <w:rPr>
                <w:rFonts w:ascii="Arial" w:hAnsi="Arial" w:cs="Arial"/>
              </w:rPr>
              <w:t>3</w:t>
            </w:r>
          </w:p>
        </w:tc>
        <w:tc>
          <w:tcPr>
            <w:tcW w:w="1486" w:type="dxa"/>
          </w:tcPr>
          <w:p w:rsidR="00D849AA" w:rsidRPr="000E4589" w:rsidRDefault="00EE6D95">
            <w:pPr>
              <w:rPr>
                <w:rFonts w:ascii="Arial" w:hAnsi="Arial" w:cs="Arial"/>
              </w:rPr>
            </w:pPr>
            <w:r w:rsidRPr="000E4589">
              <w:rPr>
                <w:rFonts w:ascii="Arial" w:hAnsi="Arial" w:cs="Arial"/>
              </w:rPr>
              <w:t>5</w:t>
            </w:r>
          </w:p>
        </w:tc>
        <w:tc>
          <w:tcPr>
            <w:tcW w:w="1486" w:type="dxa"/>
          </w:tcPr>
          <w:p w:rsidR="00D849AA" w:rsidRPr="000E4589" w:rsidRDefault="00EE6D95">
            <w:pPr>
              <w:rPr>
                <w:rFonts w:ascii="Arial" w:hAnsi="Arial" w:cs="Arial"/>
              </w:rPr>
            </w:pPr>
            <w:r w:rsidRPr="000E4589">
              <w:rPr>
                <w:rFonts w:ascii="Arial" w:hAnsi="Arial" w:cs="Arial"/>
              </w:rPr>
              <w:t>5</w:t>
            </w:r>
          </w:p>
        </w:tc>
      </w:tr>
      <w:tr w:rsidR="00D849AA">
        <w:trPr>
          <w:jc w:val="center"/>
        </w:trPr>
        <w:tc>
          <w:tcPr>
            <w:tcW w:w="2229" w:type="dxa"/>
          </w:tcPr>
          <w:p w:rsidR="00D849AA" w:rsidRPr="000E4589" w:rsidRDefault="00EE6D95">
            <w:pPr>
              <w:pStyle w:val="CellColumn"/>
              <w:rPr>
                <w:szCs w:val="20"/>
              </w:rPr>
            </w:pPr>
            <w:r w:rsidRPr="000E4589">
              <w:rPr>
                <w:szCs w:val="20"/>
              </w:rPr>
              <w:t>Zaprimljeni prijedlozi izmjena i/ili dopuna ugovora o JPP-u</w:t>
            </w:r>
          </w:p>
        </w:tc>
        <w:tc>
          <w:tcPr>
            <w:tcW w:w="1114" w:type="dxa"/>
          </w:tcPr>
          <w:p w:rsidR="00D849AA" w:rsidRPr="000E4589" w:rsidRDefault="00EE6D95">
            <w:pPr>
              <w:rPr>
                <w:rFonts w:ascii="Arial" w:hAnsi="Arial" w:cs="Arial"/>
              </w:rPr>
            </w:pPr>
            <w:r w:rsidRPr="000E4589">
              <w:rPr>
                <w:rFonts w:ascii="Arial" w:hAnsi="Arial" w:cs="Arial"/>
              </w:rPr>
              <w:t>BROJ</w:t>
            </w:r>
          </w:p>
        </w:tc>
        <w:tc>
          <w:tcPr>
            <w:tcW w:w="1114" w:type="dxa"/>
          </w:tcPr>
          <w:p w:rsidR="00D849AA" w:rsidRPr="000E4589" w:rsidRDefault="00EE6D95">
            <w:pPr>
              <w:rPr>
                <w:rFonts w:ascii="Arial" w:hAnsi="Arial" w:cs="Arial"/>
              </w:rPr>
            </w:pPr>
            <w:r w:rsidRPr="000E4589">
              <w:rPr>
                <w:rFonts w:ascii="Arial" w:hAnsi="Arial" w:cs="Arial"/>
              </w:rPr>
              <w:t>0</w:t>
            </w:r>
          </w:p>
        </w:tc>
        <w:tc>
          <w:tcPr>
            <w:tcW w:w="1486" w:type="dxa"/>
          </w:tcPr>
          <w:p w:rsidR="00D849AA" w:rsidRPr="000E4589" w:rsidRDefault="00EE6D95">
            <w:pPr>
              <w:rPr>
                <w:rFonts w:ascii="Arial" w:hAnsi="Arial" w:cs="Arial"/>
              </w:rPr>
            </w:pPr>
            <w:r w:rsidRPr="000E4589">
              <w:rPr>
                <w:rFonts w:ascii="Arial" w:hAnsi="Arial" w:cs="Arial"/>
              </w:rPr>
              <w:t>1</w:t>
            </w:r>
          </w:p>
        </w:tc>
        <w:tc>
          <w:tcPr>
            <w:tcW w:w="1486" w:type="dxa"/>
          </w:tcPr>
          <w:p w:rsidR="00D849AA" w:rsidRPr="000E4589" w:rsidRDefault="00EE6D95">
            <w:pPr>
              <w:rPr>
                <w:rFonts w:ascii="Arial" w:hAnsi="Arial" w:cs="Arial"/>
              </w:rPr>
            </w:pPr>
            <w:r w:rsidRPr="000E4589">
              <w:rPr>
                <w:rFonts w:ascii="Arial" w:hAnsi="Arial" w:cs="Arial"/>
              </w:rPr>
              <w:t>1</w:t>
            </w:r>
          </w:p>
        </w:tc>
        <w:tc>
          <w:tcPr>
            <w:tcW w:w="1486" w:type="dxa"/>
          </w:tcPr>
          <w:p w:rsidR="00D849AA" w:rsidRPr="000E4589" w:rsidRDefault="00EE6D95">
            <w:pPr>
              <w:rPr>
                <w:rFonts w:ascii="Arial" w:hAnsi="Arial" w:cs="Arial"/>
              </w:rPr>
            </w:pPr>
            <w:r w:rsidRPr="000E4589">
              <w:rPr>
                <w:rFonts w:ascii="Arial" w:hAnsi="Arial" w:cs="Arial"/>
              </w:rPr>
              <w:t>1</w:t>
            </w:r>
          </w:p>
        </w:tc>
      </w:tr>
      <w:tr w:rsidR="00D849AA">
        <w:trPr>
          <w:jc w:val="center"/>
        </w:trPr>
        <w:tc>
          <w:tcPr>
            <w:tcW w:w="2229" w:type="dxa"/>
          </w:tcPr>
          <w:p w:rsidR="00D849AA" w:rsidRPr="000E4589" w:rsidRDefault="00EE6D95">
            <w:pPr>
              <w:pStyle w:val="CellColumn"/>
              <w:rPr>
                <w:szCs w:val="20"/>
              </w:rPr>
            </w:pPr>
            <w:r w:rsidRPr="000E4589">
              <w:rPr>
                <w:szCs w:val="20"/>
              </w:rPr>
              <w:t>Postupovne inicijative vezane uz međunarodnu suradnju</w:t>
            </w:r>
          </w:p>
        </w:tc>
        <w:tc>
          <w:tcPr>
            <w:tcW w:w="1114" w:type="dxa"/>
          </w:tcPr>
          <w:p w:rsidR="00D849AA" w:rsidRPr="000E4589" w:rsidRDefault="00EE6D95">
            <w:pPr>
              <w:rPr>
                <w:rFonts w:ascii="Arial" w:hAnsi="Arial" w:cs="Arial"/>
              </w:rPr>
            </w:pPr>
            <w:r w:rsidRPr="000E4589">
              <w:rPr>
                <w:rFonts w:ascii="Arial" w:hAnsi="Arial" w:cs="Arial"/>
              </w:rPr>
              <w:t>BROJ</w:t>
            </w:r>
          </w:p>
        </w:tc>
        <w:tc>
          <w:tcPr>
            <w:tcW w:w="1114" w:type="dxa"/>
          </w:tcPr>
          <w:p w:rsidR="00D849AA" w:rsidRPr="000E4589" w:rsidRDefault="00EE6D95">
            <w:pPr>
              <w:rPr>
                <w:rFonts w:ascii="Arial" w:hAnsi="Arial" w:cs="Arial"/>
              </w:rPr>
            </w:pPr>
            <w:r w:rsidRPr="000E4589">
              <w:rPr>
                <w:rFonts w:ascii="Arial" w:hAnsi="Arial" w:cs="Arial"/>
              </w:rPr>
              <w:t>84</w:t>
            </w:r>
          </w:p>
        </w:tc>
        <w:tc>
          <w:tcPr>
            <w:tcW w:w="1486" w:type="dxa"/>
          </w:tcPr>
          <w:p w:rsidR="00D849AA" w:rsidRPr="000E4589" w:rsidRDefault="00EE6D95">
            <w:pPr>
              <w:rPr>
                <w:rFonts w:ascii="Arial" w:hAnsi="Arial" w:cs="Arial"/>
              </w:rPr>
            </w:pPr>
            <w:r w:rsidRPr="000E4589">
              <w:rPr>
                <w:rFonts w:ascii="Arial" w:hAnsi="Arial" w:cs="Arial"/>
              </w:rPr>
              <w:t>20</w:t>
            </w:r>
          </w:p>
        </w:tc>
        <w:tc>
          <w:tcPr>
            <w:tcW w:w="1486" w:type="dxa"/>
          </w:tcPr>
          <w:p w:rsidR="00D849AA" w:rsidRPr="000E4589" w:rsidRDefault="00EE6D95">
            <w:pPr>
              <w:rPr>
                <w:rFonts w:ascii="Arial" w:hAnsi="Arial" w:cs="Arial"/>
              </w:rPr>
            </w:pPr>
            <w:r w:rsidRPr="000E4589">
              <w:rPr>
                <w:rFonts w:ascii="Arial" w:hAnsi="Arial" w:cs="Arial"/>
              </w:rPr>
              <w:t>22</w:t>
            </w:r>
          </w:p>
        </w:tc>
        <w:tc>
          <w:tcPr>
            <w:tcW w:w="1486" w:type="dxa"/>
          </w:tcPr>
          <w:p w:rsidR="00D849AA" w:rsidRPr="000E4589" w:rsidRDefault="00EE6D95">
            <w:pPr>
              <w:rPr>
                <w:rFonts w:ascii="Arial" w:hAnsi="Arial" w:cs="Arial"/>
              </w:rPr>
            </w:pPr>
            <w:r w:rsidRPr="000E4589">
              <w:rPr>
                <w:rFonts w:ascii="Arial" w:hAnsi="Arial" w:cs="Arial"/>
              </w:rPr>
              <w:t>24</w:t>
            </w:r>
          </w:p>
        </w:tc>
      </w:tr>
      <w:tr w:rsidR="00D849AA">
        <w:trPr>
          <w:jc w:val="center"/>
        </w:trPr>
        <w:tc>
          <w:tcPr>
            <w:tcW w:w="2229" w:type="dxa"/>
          </w:tcPr>
          <w:p w:rsidR="00D849AA" w:rsidRPr="000E4589" w:rsidRDefault="00EE6D95">
            <w:pPr>
              <w:pStyle w:val="CellColumn"/>
              <w:rPr>
                <w:szCs w:val="20"/>
              </w:rPr>
            </w:pPr>
            <w:r w:rsidRPr="000E4589">
              <w:rPr>
                <w:szCs w:val="20"/>
              </w:rPr>
              <w:t>Provedba edukativnih aktivnosti za javna tijela i poslovne subjekte</w:t>
            </w:r>
          </w:p>
        </w:tc>
        <w:tc>
          <w:tcPr>
            <w:tcW w:w="1114" w:type="dxa"/>
          </w:tcPr>
          <w:p w:rsidR="00D849AA" w:rsidRPr="000E4589" w:rsidRDefault="00EE6D95">
            <w:pPr>
              <w:rPr>
                <w:rFonts w:ascii="Arial" w:hAnsi="Arial" w:cs="Arial"/>
              </w:rPr>
            </w:pPr>
            <w:r w:rsidRPr="000E4589">
              <w:rPr>
                <w:rFonts w:ascii="Arial" w:hAnsi="Arial" w:cs="Arial"/>
              </w:rPr>
              <w:t>BROJ</w:t>
            </w:r>
          </w:p>
        </w:tc>
        <w:tc>
          <w:tcPr>
            <w:tcW w:w="1114" w:type="dxa"/>
          </w:tcPr>
          <w:p w:rsidR="00D849AA" w:rsidRPr="000E4589" w:rsidRDefault="00EE6D95">
            <w:pPr>
              <w:rPr>
                <w:rFonts w:ascii="Arial" w:hAnsi="Arial" w:cs="Arial"/>
              </w:rPr>
            </w:pPr>
            <w:r w:rsidRPr="000E4589">
              <w:rPr>
                <w:rFonts w:ascii="Arial" w:hAnsi="Arial" w:cs="Arial"/>
              </w:rPr>
              <w:t>35</w:t>
            </w:r>
          </w:p>
        </w:tc>
        <w:tc>
          <w:tcPr>
            <w:tcW w:w="1486" w:type="dxa"/>
          </w:tcPr>
          <w:p w:rsidR="00D849AA" w:rsidRPr="000E4589" w:rsidRDefault="00EE6D95">
            <w:pPr>
              <w:rPr>
                <w:rFonts w:ascii="Arial" w:hAnsi="Arial" w:cs="Arial"/>
              </w:rPr>
            </w:pPr>
            <w:r w:rsidRPr="000E4589">
              <w:rPr>
                <w:rFonts w:ascii="Arial" w:hAnsi="Arial" w:cs="Arial"/>
              </w:rPr>
              <w:t>12</w:t>
            </w:r>
          </w:p>
        </w:tc>
        <w:tc>
          <w:tcPr>
            <w:tcW w:w="1486" w:type="dxa"/>
          </w:tcPr>
          <w:p w:rsidR="00D849AA" w:rsidRPr="000E4589" w:rsidRDefault="00EE6D95">
            <w:pPr>
              <w:rPr>
                <w:rFonts w:ascii="Arial" w:hAnsi="Arial" w:cs="Arial"/>
              </w:rPr>
            </w:pPr>
            <w:r w:rsidRPr="000E4589">
              <w:rPr>
                <w:rFonts w:ascii="Arial" w:hAnsi="Arial" w:cs="Arial"/>
              </w:rPr>
              <w:t>12</w:t>
            </w:r>
          </w:p>
        </w:tc>
        <w:tc>
          <w:tcPr>
            <w:tcW w:w="1486" w:type="dxa"/>
          </w:tcPr>
          <w:p w:rsidR="00D849AA" w:rsidRPr="000E4589" w:rsidRDefault="00EE6D95">
            <w:pPr>
              <w:rPr>
                <w:rFonts w:ascii="Arial" w:hAnsi="Arial" w:cs="Arial"/>
              </w:rPr>
            </w:pPr>
            <w:r w:rsidRPr="000E4589">
              <w:rPr>
                <w:rFonts w:ascii="Arial" w:hAnsi="Arial" w:cs="Arial"/>
              </w:rPr>
              <w:t>12</w:t>
            </w:r>
          </w:p>
        </w:tc>
      </w:tr>
    </w:tbl>
    <w:p w:rsidR="00D849AA" w:rsidRDefault="00D849AA">
      <w:pPr>
        <w:jc w:val="left"/>
      </w:pPr>
    </w:p>
    <w:p w:rsidR="00D849AA" w:rsidRDefault="00EE6D95">
      <w:pPr>
        <w:pStyle w:val="Naslov3"/>
      </w:pPr>
      <w:r>
        <w:t>44389 Agencija za opremu pod tlakom</w:t>
      </w:r>
    </w:p>
    <w:p w:rsidR="00D849AA" w:rsidRDefault="00EE6D95">
      <w:pPr>
        <w:pStyle w:val="Naslov4"/>
      </w:pPr>
      <w:r>
        <w:t>Uvod</w:t>
      </w:r>
    </w:p>
    <w:p w:rsidR="00D849AA" w:rsidRDefault="00EE6D95">
      <w:pPr>
        <w:pStyle w:val="Normal5"/>
      </w:pPr>
      <w:r>
        <w:t xml:space="preserve">Agencija za opremu pod tlakom je ovlašteno tijelo za preglede i ispitivanje opreme pod tlakom visoke razine opasnosti. Agencija za opremu pod tlakom obavlja djelatnost sukladno članku 4. Zakona o tehničkim zahtjevima za proizvode i ocjenjivanju sukladnosti i tehničkim propisima donesenim na temelju tog Zakona: </w:t>
      </w:r>
    </w:p>
    <w:p w:rsidR="00D849AA" w:rsidRDefault="00EE6D95">
      <w:pPr>
        <w:pStyle w:val="Normal5"/>
      </w:pPr>
      <w:r>
        <w:t xml:space="preserve">1. razvrstavanje opreme pod tlakom prema razini opasnosti; </w:t>
      </w:r>
    </w:p>
    <w:p w:rsidR="00D849AA" w:rsidRDefault="00EE6D95">
      <w:pPr>
        <w:pStyle w:val="Normal5"/>
      </w:pPr>
      <w:r>
        <w:t xml:space="preserve">2. prvi pregled opreme pod tlakom visoke razine opasnosti; </w:t>
      </w:r>
    </w:p>
    <w:p w:rsidR="00D849AA" w:rsidRDefault="00EE6D95">
      <w:pPr>
        <w:pStyle w:val="Normal5"/>
      </w:pPr>
      <w:r>
        <w:t xml:space="preserve">3. periodički pregled opreme pod tlakom visoke razine opasnosti; </w:t>
      </w:r>
    </w:p>
    <w:p w:rsidR="00D849AA" w:rsidRDefault="00EE6D95">
      <w:pPr>
        <w:pStyle w:val="Normal5"/>
      </w:pPr>
      <w:r>
        <w:t xml:space="preserve">4. izvanredni pregled opreme pod tlakom visoke razine opasnosti; </w:t>
      </w:r>
    </w:p>
    <w:p w:rsidR="00D849AA" w:rsidRDefault="00EE6D95">
      <w:pPr>
        <w:pStyle w:val="Normal5"/>
      </w:pPr>
      <w:r>
        <w:t xml:space="preserve">5. pregled prije ponovnog puštanja u rad opreme pod tlakom visoke razine opasnosti; </w:t>
      </w:r>
    </w:p>
    <w:p w:rsidR="00D849AA" w:rsidRDefault="00EE6D95">
      <w:pPr>
        <w:pStyle w:val="Normal5"/>
      </w:pPr>
      <w:r>
        <w:t xml:space="preserve">6. provjera održavanja i podešavanja sigurnosnog pribora; </w:t>
      </w:r>
    </w:p>
    <w:p w:rsidR="00D849AA" w:rsidRDefault="00EE6D95">
      <w:pPr>
        <w:pStyle w:val="Normal5"/>
      </w:pPr>
      <w:r>
        <w:t xml:space="preserve">7. provođenje tehničkog nadzora nad postupcima popravaka i održavanja opreme pod tlakom visoke razine opasnosti; </w:t>
      </w:r>
    </w:p>
    <w:p w:rsidR="00D849AA" w:rsidRDefault="00EE6D95">
      <w:pPr>
        <w:pStyle w:val="Normal5"/>
      </w:pPr>
      <w:r>
        <w:t xml:space="preserve">8. vođenje evidencije opreme pod tlakom visoke razine opasnosti i dokumentacije opreme pod tlakom visoke razine opasnosti; </w:t>
      </w:r>
    </w:p>
    <w:p w:rsidR="00D849AA" w:rsidRDefault="00EE6D95">
      <w:pPr>
        <w:pStyle w:val="Normal5"/>
      </w:pPr>
      <w:r>
        <w:t xml:space="preserve">9. vođenje evidencije i provođenje tehničkog nadzora nad pravnim osobama koje obavljaju poslove ispitivanja i podešavanja sigurnosnog pribora i pripreme opreme pod tlakom visoke razine opasnosti za periodičke preglede; </w:t>
      </w:r>
    </w:p>
    <w:p w:rsidR="00D849AA" w:rsidRDefault="00EE6D95">
      <w:pPr>
        <w:pStyle w:val="Normal5"/>
      </w:pPr>
      <w:r>
        <w:t xml:space="preserve">10. obavješćivanje nadležnih inspekcijskih tijela o opremi pod tlakom koju je potrebno staviti izvan uporabe zbog neispunjavanja sigurnosnih zahtjeva; </w:t>
      </w:r>
    </w:p>
    <w:p w:rsidR="00D849AA" w:rsidRDefault="00EE6D95">
      <w:pPr>
        <w:pStyle w:val="Normal5"/>
      </w:pPr>
      <w:r>
        <w:t>11. sudjelovanje u procesu donošenja tehničkih specifikacija i izobrazbe iz područja opreme pod tlakom.</w:t>
      </w:r>
    </w:p>
    <w:p w:rsidR="009558C9" w:rsidRDefault="009558C9">
      <w:pPr>
        <w:pStyle w:val="Normal5"/>
      </w:pP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rsidRPr="000E4589">
        <w:trPr>
          <w:jc w:val="center"/>
        </w:trPr>
        <w:tc>
          <w:tcPr>
            <w:tcW w:w="1486" w:type="dxa"/>
            <w:shd w:val="clear" w:color="auto" w:fill="B5C0D8"/>
          </w:tcPr>
          <w:p w:rsidR="00D849AA" w:rsidRPr="000E4589" w:rsidRDefault="00D849AA">
            <w:pPr>
              <w:pStyle w:val="CellHeader"/>
            </w:pPr>
          </w:p>
        </w:tc>
        <w:tc>
          <w:tcPr>
            <w:tcW w:w="1486" w:type="dxa"/>
            <w:shd w:val="clear" w:color="auto" w:fill="B5C0D8"/>
          </w:tcPr>
          <w:p w:rsidR="00D849AA" w:rsidRPr="000E4589" w:rsidRDefault="00EE6D95">
            <w:pPr>
              <w:pStyle w:val="CellHeader"/>
            </w:pPr>
            <w:r w:rsidRPr="000E4589">
              <w:t>Plan 2013.</w:t>
            </w:r>
          </w:p>
        </w:tc>
        <w:tc>
          <w:tcPr>
            <w:tcW w:w="1486" w:type="dxa"/>
            <w:shd w:val="clear" w:color="auto" w:fill="B5C0D8"/>
          </w:tcPr>
          <w:p w:rsidR="00D849AA" w:rsidRPr="000E4589" w:rsidRDefault="00EE6D95">
            <w:pPr>
              <w:pStyle w:val="CellHeader"/>
            </w:pPr>
            <w:r w:rsidRPr="000E4589">
              <w:t>Plan 2014.</w:t>
            </w:r>
          </w:p>
        </w:tc>
        <w:tc>
          <w:tcPr>
            <w:tcW w:w="1486" w:type="dxa"/>
            <w:shd w:val="clear" w:color="auto" w:fill="B5C0D8"/>
          </w:tcPr>
          <w:p w:rsidR="00D849AA" w:rsidRPr="000E4589" w:rsidRDefault="00EE6D95">
            <w:pPr>
              <w:pStyle w:val="CellHeader"/>
            </w:pPr>
            <w:r w:rsidRPr="000E4589">
              <w:t>Plan 2015.</w:t>
            </w:r>
          </w:p>
        </w:tc>
        <w:tc>
          <w:tcPr>
            <w:tcW w:w="1486" w:type="dxa"/>
            <w:shd w:val="clear" w:color="auto" w:fill="B5C0D8"/>
          </w:tcPr>
          <w:p w:rsidR="00D849AA" w:rsidRPr="000E4589" w:rsidRDefault="00EE6D95">
            <w:pPr>
              <w:pStyle w:val="CellHeader"/>
            </w:pPr>
            <w:r w:rsidRPr="000E4589">
              <w:t>Plan 2016.</w:t>
            </w:r>
          </w:p>
        </w:tc>
        <w:tc>
          <w:tcPr>
            <w:tcW w:w="1486" w:type="dxa"/>
            <w:shd w:val="clear" w:color="auto" w:fill="B5C0D8"/>
          </w:tcPr>
          <w:p w:rsidR="00D849AA" w:rsidRPr="000E4589" w:rsidRDefault="00EE6D95">
            <w:pPr>
              <w:pStyle w:val="CellHeader"/>
            </w:pPr>
            <w:r w:rsidRPr="000E4589">
              <w:t>Indeks 2014/2013</w:t>
            </w:r>
          </w:p>
        </w:tc>
      </w:tr>
      <w:tr w:rsidR="00D849AA" w:rsidRPr="000E4589">
        <w:trPr>
          <w:jc w:val="center"/>
        </w:trPr>
        <w:tc>
          <w:tcPr>
            <w:tcW w:w="1486" w:type="dxa"/>
          </w:tcPr>
          <w:p w:rsidR="00D849AA" w:rsidRPr="000E4589" w:rsidRDefault="00EE6D95">
            <w:pPr>
              <w:pStyle w:val="CellColumn"/>
            </w:pPr>
            <w:r w:rsidRPr="000E4589">
              <w:t>44389</w:t>
            </w:r>
          </w:p>
        </w:tc>
        <w:tc>
          <w:tcPr>
            <w:tcW w:w="1486" w:type="dxa"/>
          </w:tcPr>
          <w:p w:rsidR="00D849AA" w:rsidRPr="000E4589" w:rsidRDefault="00EE6D95">
            <w:pPr>
              <w:rPr>
                <w:rFonts w:ascii="Arial" w:hAnsi="Arial" w:cs="Arial"/>
              </w:rPr>
            </w:pPr>
            <w:r w:rsidRPr="000E4589">
              <w:rPr>
                <w:rFonts w:ascii="Arial" w:hAnsi="Arial" w:cs="Arial"/>
              </w:rPr>
              <w:t>6.000.000</w:t>
            </w:r>
          </w:p>
        </w:tc>
        <w:tc>
          <w:tcPr>
            <w:tcW w:w="1486" w:type="dxa"/>
          </w:tcPr>
          <w:p w:rsidR="00D849AA" w:rsidRPr="000E4589" w:rsidRDefault="00EE6D95">
            <w:pPr>
              <w:rPr>
                <w:rFonts w:ascii="Arial" w:hAnsi="Arial" w:cs="Arial"/>
              </w:rPr>
            </w:pPr>
            <w:r w:rsidRPr="000E4589">
              <w:rPr>
                <w:rFonts w:ascii="Arial" w:hAnsi="Arial" w:cs="Arial"/>
              </w:rPr>
              <w:t>4.778.621</w:t>
            </w:r>
          </w:p>
        </w:tc>
        <w:tc>
          <w:tcPr>
            <w:tcW w:w="1486" w:type="dxa"/>
          </w:tcPr>
          <w:p w:rsidR="00D849AA" w:rsidRPr="000E4589" w:rsidRDefault="00EE6D95">
            <w:pPr>
              <w:rPr>
                <w:rFonts w:ascii="Arial" w:hAnsi="Arial" w:cs="Arial"/>
              </w:rPr>
            </w:pPr>
            <w:r w:rsidRPr="000E4589">
              <w:rPr>
                <w:rFonts w:ascii="Arial" w:hAnsi="Arial" w:cs="Arial"/>
              </w:rPr>
              <w:t>5.815.729</w:t>
            </w:r>
          </w:p>
        </w:tc>
        <w:tc>
          <w:tcPr>
            <w:tcW w:w="1486" w:type="dxa"/>
          </w:tcPr>
          <w:p w:rsidR="00D849AA" w:rsidRPr="000E4589" w:rsidRDefault="00EE6D95">
            <w:pPr>
              <w:rPr>
                <w:rFonts w:ascii="Arial" w:hAnsi="Arial" w:cs="Arial"/>
              </w:rPr>
            </w:pPr>
            <w:r w:rsidRPr="000E4589">
              <w:rPr>
                <w:rFonts w:ascii="Arial" w:hAnsi="Arial" w:cs="Arial"/>
              </w:rPr>
              <w:t>6.914.599</w:t>
            </w:r>
          </w:p>
        </w:tc>
        <w:tc>
          <w:tcPr>
            <w:tcW w:w="1486" w:type="dxa"/>
          </w:tcPr>
          <w:p w:rsidR="00D849AA" w:rsidRPr="000E4589" w:rsidRDefault="00EE6D95">
            <w:pPr>
              <w:rPr>
                <w:rFonts w:ascii="Arial" w:hAnsi="Arial" w:cs="Arial"/>
              </w:rPr>
            </w:pPr>
            <w:r w:rsidRPr="000E4589">
              <w:rPr>
                <w:rFonts w:ascii="Arial" w:hAnsi="Arial" w:cs="Arial"/>
              </w:rPr>
              <w:t>79,6</w:t>
            </w:r>
          </w:p>
        </w:tc>
      </w:tr>
    </w:tbl>
    <w:p w:rsidR="00D849AA" w:rsidRPr="000E4589" w:rsidRDefault="00D849AA">
      <w:pPr>
        <w:jc w:val="left"/>
        <w:rPr>
          <w:rFonts w:ascii="Arial" w:hAnsi="Arial" w:cs="Arial"/>
        </w:rPr>
      </w:pPr>
    </w:p>
    <w:p w:rsidR="00D849AA" w:rsidRDefault="00EE6D95">
      <w:pPr>
        <w:pStyle w:val="Naslov4"/>
      </w:pPr>
      <w:r>
        <w:t>OBRAZLOŽENJE PROGRAMA</w:t>
      </w:r>
    </w:p>
    <w:p w:rsidR="00D849AA" w:rsidRDefault="00EE6D95">
      <w:pPr>
        <w:pStyle w:val="Naslov5"/>
      </w:pPr>
      <w:r>
        <w:t>3218 UNAPREĐENJE SIGURNOSTI LJUDI, IMOVINE I OKOLIŠA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rsidRPr="000E4589">
        <w:trPr>
          <w:jc w:val="center"/>
        </w:trPr>
        <w:tc>
          <w:tcPr>
            <w:tcW w:w="1486" w:type="dxa"/>
            <w:shd w:val="clear" w:color="auto" w:fill="B5C0D8"/>
          </w:tcPr>
          <w:p w:rsidR="00D849AA" w:rsidRPr="000E4589" w:rsidRDefault="00D849AA">
            <w:pPr>
              <w:pStyle w:val="CellHeader"/>
            </w:pPr>
          </w:p>
        </w:tc>
        <w:tc>
          <w:tcPr>
            <w:tcW w:w="1486" w:type="dxa"/>
            <w:shd w:val="clear" w:color="auto" w:fill="B5C0D8"/>
          </w:tcPr>
          <w:p w:rsidR="00D849AA" w:rsidRPr="000E4589" w:rsidRDefault="00EE6D95">
            <w:pPr>
              <w:pStyle w:val="CellHeader"/>
            </w:pPr>
            <w:r w:rsidRPr="000E4589">
              <w:t>Plan 2013.</w:t>
            </w:r>
          </w:p>
        </w:tc>
        <w:tc>
          <w:tcPr>
            <w:tcW w:w="1486" w:type="dxa"/>
            <w:shd w:val="clear" w:color="auto" w:fill="B5C0D8"/>
          </w:tcPr>
          <w:p w:rsidR="00D849AA" w:rsidRPr="000E4589" w:rsidRDefault="00EE6D95">
            <w:pPr>
              <w:pStyle w:val="CellHeader"/>
            </w:pPr>
            <w:r w:rsidRPr="000E4589">
              <w:t>Plan 2014.</w:t>
            </w:r>
          </w:p>
        </w:tc>
        <w:tc>
          <w:tcPr>
            <w:tcW w:w="1486" w:type="dxa"/>
            <w:shd w:val="clear" w:color="auto" w:fill="B5C0D8"/>
          </w:tcPr>
          <w:p w:rsidR="00D849AA" w:rsidRPr="000E4589" w:rsidRDefault="00EE6D95">
            <w:pPr>
              <w:pStyle w:val="CellHeader"/>
            </w:pPr>
            <w:r w:rsidRPr="000E4589">
              <w:t>Plan 2015.</w:t>
            </w:r>
          </w:p>
        </w:tc>
        <w:tc>
          <w:tcPr>
            <w:tcW w:w="1486" w:type="dxa"/>
            <w:shd w:val="clear" w:color="auto" w:fill="B5C0D8"/>
          </w:tcPr>
          <w:p w:rsidR="00D849AA" w:rsidRPr="000E4589" w:rsidRDefault="00EE6D95">
            <w:pPr>
              <w:pStyle w:val="CellHeader"/>
            </w:pPr>
            <w:r w:rsidRPr="000E4589">
              <w:t>Plan 2016.</w:t>
            </w:r>
          </w:p>
        </w:tc>
        <w:tc>
          <w:tcPr>
            <w:tcW w:w="1486" w:type="dxa"/>
            <w:shd w:val="clear" w:color="auto" w:fill="B5C0D8"/>
          </w:tcPr>
          <w:p w:rsidR="00D849AA" w:rsidRPr="000E4589" w:rsidRDefault="00EE6D95">
            <w:pPr>
              <w:pStyle w:val="CellHeader"/>
            </w:pPr>
            <w:r w:rsidRPr="000E4589">
              <w:t>Indeks 2014/2013</w:t>
            </w:r>
          </w:p>
        </w:tc>
      </w:tr>
      <w:tr w:rsidR="00D849AA" w:rsidRPr="000E4589">
        <w:trPr>
          <w:jc w:val="center"/>
        </w:trPr>
        <w:tc>
          <w:tcPr>
            <w:tcW w:w="1486" w:type="dxa"/>
          </w:tcPr>
          <w:p w:rsidR="00D849AA" w:rsidRPr="000E4589" w:rsidRDefault="00EE6D95">
            <w:pPr>
              <w:pStyle w:val="CellColumn"/>
            </w:pPr>
            <w:r w:rsidRPr="000E4589">
              <w:t>3218</w:t>
            </w:r>
          </w:p>
        </w:tc>
        <w:tc>
          <w:tcPr>
            <w:tcW w:w="1486" w:type="dxa"/>
          </w:tcPr>
          <w:p w:rsidR="00D849AA" w:rsidRPr="000E4589" w:rsidRDefault="00EE6D95">
            <w:pPr>
              <w:rPr>
                <w:rFonts w:ascii="Arial" w:hAnsi="Arial" w:cs="Arial"/>
              </w:rPr>
            </w:pPr>
            <w:r w:rsidRPr="000E4589">
              <w:rPr>
                <w:rFonts w:ascii="Arial" w:hAnsi="Arial" w:cs="Arial"/>
              </w:rPr>
              <w:t>6.000.000</w:t>
            </w:r>
          </w:p>
        </w:tc>
        <w:tc>
          <w:tcPr>
            <w:tcW w:w="1486" w:type="dxa"/>
          </w:tcPr>
          <w:p w:rsidR="00D849AA" w:rsidRPr="000E4589" w:rsidRDefault="00EE6D95">
            <w:pPr>
              <w:rPr>
                <w:rFonts w:ascii="Arial" w:hAnsi="Arial" w:cs="Arial"/>
              </w:rPr>
            </w:pPr>
            <w:r w:rsidRPr="000E4589">
              <w:rPr>
                <w:rFonts w:ascii="Arial" w:hAnsi="Arial" w:cs="Arial"/>
              </w:rPr>
              <w:t>4.778.621</w:t>
            </w:r>
          </w:p>
        </w:tc>
        <w:tc>
          <w:tcPr>
            <w:tcW w:w="1486" w:type="dxa"/>
          </w:tcPr>
          <w:p w:rsidR="00D849AA" w:rsidRPr="000E4589" w:rsidRDefault="00EE6D95">
            <w:pPr>
              <w:rPr>
                <w:rFonts w:ascii="Arial" w:hAnsi="Arial" w:cs="Arial"/>
              </w:rPr>
            </w:pPr>
            <w:r w:rsidRPr="000E4589">
              <w:rPr>
                <w:rFonts w:ascii="Arial" w:hAnsi="Arial" w:cs="Arial"/>
              </w:rPr>
              <w:t>5.815.729</w:t>
            </w:r>
          </w:p>
        </w:tc>
        <w:tc>
          <w:tcPr>
            <w:tcW w:w="1486" w:type="dxa"/>
          </w:tcPr>
          <w:p w:rsidR="00D849AA" w:rsidRPr="000E4589" w:rsidRDefault="00EE6D95">
            <w:pPr>
              <w:rPr>
                <w:rFonts w:ascii="Arial" w:hAnsi="Arial" w:cs="Arial"/>
              </w:rPr>
            </w:pPr>
            <w:r w:rsidRPr="000E4589">
              <w:rPr>
                <w:rFonts w:ascii="Arial" w:hAnsi="Arial" w:cs="Arial"/>
              </w:rPr>
              <w:t>6.914.599</w:t>
            </w:r>
          </w:p>
        </w:tc>
        <w:tc>
          <w:tcPr>
            <w:tcW w:w="1486" w:type="dxa"/>
          </w:tcPr>
          <w:p w:rsidR="00D849AA" w:rsidRPr="000E4589" w:rsidRDefault="00EE6D95">
            <w:pPr>
              <w:rPr>
                <w:rFonts w:ascii="Arial" w:hAnsi="Arial" w:cs="Arial"/>
              </w:rPr>
            </w:pPr>
            <w:r w:rsidRPr="000E4589">
              <w:rPr>
                <w:rFonts w:ascii="Arial" w:hAnsi="Arial" w:cs="Arial"/>
              </w:rPr>
              <w:t>79,6</w:t>
            </w:r>
          </w:p>
        </w:tc>
      </w:tr>
    </w:tbl>
    <w:p w:rsidR="00D849AA" w:rsidRDefault="00D849AA">
      <w:pPr>
        <w:jc w:val="left"/>
      </w:pPr>
    </w:p>
    <w:p w:rsidR="00D849AA" w:rsidRDefault="00EE6D95">
      <w:pPr>
        <w:pStyle w:val="Naslov6"/>
      </w:pPr>
      <w:r>
        <w:t>Opis programa</w:t>
      </w:r>
    </w:p>
    <w:p w:rsidR="00D849AA" w:rsidRDefault="00EE6D95">
      <w:r>
        <w:t>Ovim programom Agencija osigurava sredstva za obavljanje poslova vezanih za preglede i ispitivanje opreme pod tlakom visoke razine opasnosti, a čija je djelatnost od interesa za Republiku Hrvatsku, zbog sigurnosti ljudi, imovine i okoliša. U procesu pridruživanja Europskoj uniji RH je uskladila tehničko zakonodavstvo (s direktivama 87/404/EEC, 97/23/EC i 1999/36/EC) na području opreme pod tlakom budući da je oprema pod tlakom zbog svojih specifičnosti, posebice opasnosti za ljude, materijalna dobra i okoliš izuzetno osjetljivo i zahtjevno područje koje se nastoji urediti kao u zemljama  Europske unije</w:t>
      </w:r>
    </w:p>
    <w:p w:rsidR="00D849AA" w:rsidRDefault="00EE6D95">
      <w:pPr>
        <w:pStyle w:val="Naslov6"/>
      </w:pPr>
      <w:r>
        <w:t>Zakonske i druge pravne osnove</w:t>
      </w:r>
    </w:p>
    <w:p w:rsidR="00D849AA" w:rsidRDefault="00EE6D95">
      <w:r>
        <w:t xml:space="preserve">Zakon o ustanovama  (N.N. br. 76/93, 29/97, 47/99, 35/08) </w:t>
      </w:r>
    </w:p>
    <w:p w:rsidR="00D849AA" w:rsidRDefault="00EE6D95">
      <w:r>
        <w:t xml:space="preserve">Zakon o tehničkim zahtjevima za proizvode i ocjenjivanje sukladnosti (N.N. 80/13) </w:t>
      </w:r>
    </w:p>
    <w:p w:rsidR="00D849AA" w:rsidRDefault="00EE6D95">
      <w:r>
        <w:t xml:space="preserve">Uredba o osnivanju Agencije za opremu pod tlakom (N.N. br. 132/08 i 29/11 i 90/12) </w:t>
      </w:r>
    </w:p>
    <w:p w:rsidR="00D849AA" w:rsidRDefault="00EE6D95">
      <w:r>
        <w:t>Pravilnik o pregledima i ispitivanju opreme pod tlakom (N.N. br. 138/08</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Cilj 1. Povećanje sigurnosti opreme pod tlakom visoke razine opasnosti</w:t>
      </w:r>
    </w:p>
    <w:p w:rsidR="00D849AA" w:rsidRDefault="00EE6D95">
      <w:pPr>
        <w:pStyle w:val="Normal6"/>
      </w:pPr>
      <w:r>
        <w:t>Agencija će svojim tehničkim pregledima opreme pod tlakom utjecati na povećanje sigurnosti opreme pod tlakom, odnosno sigurnosti ljudi, imovine i okoliša sukladno tehničkim propisima za područje opreme pod tlakom.</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0E4589" w:rsidRDefault="00EE6D95">
            <w:pPr>
              <w:rPr>
                <w:rFonts w:ascii="Arial" w:hAnsi="Arial" w:cs="Arial"/>
              </w:rPr>
            </w:pPr>
            <w:r w:rsidRPr="000E4589">
              <w:rPr>
                <w:rFonts w:ascii="Arial" w:hAnsi="Arial" w:cs="Arial"/>
              </w:rPr>
              <w:t>Pokazatelj učinka</w:t>
            </w:r>
          </w:p>
        </w:tc>
        <w:tc>
          <w:tcPr>
            <w:tcW w:w="1114" w:type="dxa"/>
            <w:shd w:val="clear" w:color="auto" w:fill="B5C0D8"/>
          </w:tcPr>
          <w:p w:rsidR="00D849AA" w:rsidRPr="000E4589" w:rsidRDefault="00EE6D95">
            <w:pPr>
              <w:pStyle w:val="CellHeader"/>
            </w:pPr>
            <w:r w:rsidRPr="000E4589">
              <w:t>Jedinica</w:t>
            </w:r>
          </w:p>
        </w:tc>
        <w:tc>
          <w:tcPr>
            <w:tcW w:w="1114" w:type="dxa"/>
            <w:shd w:val="clear" w:color="auto" w:fill="B5C0D8"/>
          </w:tcPr>
          <w:p w:rsidR="00D849AA" w:rsidRPr="000E4589" w:rsidRDefault="00EE6D95">
            <w:pPr>
              <w:pStyle w:val="CellHeader"/>
            </w:pPr>
            <w:r w:rsidRPr="000E4589">
              <w:t>Polazna vrijednost</w:t>
            </w:r>
          </w:p>
        </w:tc>
        <w:tc>
          <w:tcPr>
            <w:tcW w:w="1486" w:type="dxa"/>
            <w:shd w:val="clear" w:color="auto" w:fill="B5C0D8"/>
          </w:tcPr>
          <w:p w:rsidR="00D849AA" w:rsidRPr="000E4589" w:rsidRDefault="00EE6D95">
            <w:pPr>
              <w:pStyle w:val="CellHeader"/>
            </w:pPr>
            <w:r w:rsidRPr="000E4589">
              <w:t>Ciljana vrijednost (2014.)</w:t>
            </w:r>
          </w:p>
        </w:tc>
        <w:tc>
          <w:tcPr>
            <w:tcW w:w="1486" w:type="dxa"/>
            <w:shd w:val="clear" w:color="auto" w:fill="B5C0D8"/>
          </w:tcPr>
          <w:p w:rsidR="00D849AA" w:rsidRPr="000E4589" w:rsidRDefault="00EE6D95">
            <w:pPr>
              <w:pStyle w:val="CellHeader"/>
            </w:pPr>
            <w:r w:rsidRPr="000E4589">
              <w:t>Ciljana vrijednost (2015.)</w:t>
            </w:r>
          </w:p>
        </w:tc>
        <w:tc>
          <w:tcPr>
            <w:tcW w:w="1486" w:type="dxa"/>
            <w:shd w:val="clear" w:color="auto" w:fill="B5C0D8"/>
          </w:tcPr>
          <w:p w:rsidR="00D849AA" w:rsidRPr="000E4589" w:rsidRDefault="00EE6D95">
            <w:pPr>
              <w:pStyle w:val="CellHeader"/>
            </w:pPr>
            <w:r w:rsidRPr="000E4589">
              <w:t>Ciljana vrijednost (2016.)</w:t>
            </w:r>
          </w:p>
        </w:tc>
      </w:tr>
      <w:tr w:rsidR="00D849AA">
        <w:trPr>
          <w:jc w:val="center"/>
        </w:trPr>
        <w:tc>
          <w:tcPr>
            <w:tcW w:w="2229" w:type="dxa"/>
          </w:tcPr>
          <w:p w:rsidR="00D849AA" w:rsidRPr="000E4589" w:rsidRDefault="00EE6D95">
            <w:pPr>
              <w:pStyle w:val="CellColumn"/>
            </w:pPr>
            <w:r w:rsidRPr="000E4589">
              <w:t>Povećanje proračunskih prihoda</w:t>
            </w:r>
          </w:p>
        </w:tc>
        <w:tc>
          <w:tcPr>
            <w:tcW w:w="1114" w:type="dxa"/>
          </w:tcPr>
          <w:p w:rsidR="00D849AA" w:rsidRPr="000E4589" w:rsidRDefault="00EE6D95">
            <w:pPr>
              <w:rPr>
                <w:rFonts w:ascii="Arial" w:hAnsi="Arial" w:cs="Arial"/>
              </w:rPr>
            </w:pPr>
            <w:r w:rsidRPr="000E4589">
              <w:rPr>
                <w:rFonts w:ascii="Arial" w:hAnsi="Arial" w:cs="Arial"/>
              </w:rPr>
              <w:t>KN</w:t>
            </w:r>
          </w:p>
        </w:tc>
        <w:tc>
          <w:tcPr>
            <w:tcW w:w="1114" w:type="dxa"/>
          </w:tcPr>
          <w:p w:rsidR="00D849AA" w:rsidRPr="000E4589" w:rsidRDefault="00EE6D95">
            <w:pPr>
              <w:rPr>
                <w:rFonts w:ascii="Arial" w:hAnsi="Arial" w:cs="Arial"/>
              </w:rPr>
            </w:pPr>
            <w:r w:rsidRPr="000E4589">
              <w:rPr>
                <w:rFonts w:ascii="Arial" w:hAnsi="Arial" w:cs="Arial"/>
              </w:rPr>
              <w:t>2012 = 6.610.394</w:t>
            </w:r>
          </w:p>
        </w:tc>
        <w:tc>
          <w:tcPr>
            <w:tcW w:w="1486" w:type="dxa"/>
          </w:tcPr>
          <w:p w:rsidR="00D849AA" w:rsidRPr="000E4589" w:rsidRDefault="00EE6D95">
            <w:pPr>
              <w:rPr>
                <w:rFonts w:ascii="Arial" w:hAnsi="Arial" w:cs="Arial"/>
              </w:rPr>
            </w:pPr>
            <w:r w:rsidRPr="000E4589">
              <w:rPr>
                <w:rFonts w:ascii="Arial" w:hAnsi="Arial" w:cs="Arial"/>
              </w:rPr>
              <w:t>13.000.000</w:t>
            </w:r>
          </w:p>
        </w:tc>
        <w:tc>
          <w:tcPr>
            <w:tcW w:w="1486" w:type="dxa"/>
          </w:tcPr>
          <w:p w:rsidR="00D849AA" w:rsidRPr="000E4589" w:rsidRDefault="00EE6D95">
            <w:pPr>
              <w:rPr>
                <w:rFonts w:ascii="Arial" w:hAnsi="Arial" w:cs="Arial"/>
              </w:rPr>
            </w:pPr>
            <w:r w:rsidRPr="000E4589">
              <w:rPr>
                <w:rFonts w:ascii="Arial" w:hAnsi="Arial" w:cs="Arial"/>
              </w:rPr>
              <w:t>14.000.000</w:t>
            </w:r>
          </w:p>
        </w:tc>
        <w:tc>
          <w:tcPr>
            <w:tcW w:w="1486" w:type="dxa"/>
          </w:tcPr>
          <w:p w:rsidR="00D849AA" w:rsidRPr="000E4589" w:rsidRDefault="00EE6D95">
            <w:pPr>
              <w:rPr>
                <w:rFonts w:ascii="Arial" w:hAnsi="Arial" w:cs="Arial"/>
              </w:rPr>
            </w:pPr>
            <w:r w:rsidRPr="000E4589">
              <w:rPr>
                <w:rFonts w:ascii="Arial" w:hAnsi="Arial" w:cs="Arial"/>
              </w:rPr>
              <w:t>15.000.000</w:t>
            </w:r>
          </w:p>
        </w:tc>
      </w:tr>
    </w:tbl>
    <w:p w:rsidR="00D849AA" w:rsidRDefault="00EE6D95">
      <w:pPr>
        <w:pStyle w:val="Naslov5"/>
      </w:pPr>
      <w:r>
        <w:lastRenderedPageBreak/>
        <w:t>Procjena i ishodište potrebnih sredstava za značajnije aktivnosti/projekte</w:t>
      </w:r>
    </w:p>
    <w:p w:rsidR="00D849AA" w:rsidRDefault="00EE6D95">
      <w:pPr>
        <w:pStyle w:val="Naslov6"/>
      </w:pPr>
      <w:r>
        <w:t>A817022 ADMINISTRACIJA I UPRAVLJANJE AGENCIJE ZA OPREMU POD TLAKOM</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rsidRPr="000E4589">
        <w:trPr>
          <w:jc w:val="center"/>
        </w:trPr>
        <w:tc>
          <w:tcPr>
            <w:tcW w:w="1486" w:type="dxa"/>
            <w:shd w:val="clear" w:color="auto" w:fill="B5C0D8"/>
          </w:tcPr>
          <w:p w:rsidR="00D849AA" w:rsidRPr="000E4589" w:rsidRDefault="00EE6D95">
            <w:pPr>
              <w:pStyle w:val="CellHeader"/>
            </w:pPr>
            <w:r w:rsidRPr="000E4589">
              <w:t>Naziv aktivnosti</w:t>
            </w:r>
          </w:p>
        </w:tc>
        <w:tc>
          <w:tcPr>
            <w:tcW w:w="1486" w:type="dxa"/>
            <w:shd w:val="clear" w:color="auto" w:fill="B5C0D8"/>
          </w:tcPr>
          <w:p w:rsidR="00D849AA" w:rsidRPr="000E4589" w:rsidRDefault="00EE6D95">
            <w:pPr>
              <w:pStyle w:val="CellHeader"/>
            </w:pPr>
            <w:r w:rsidRPr="000E4589">
              <w:t>Plan 2013.</w:t>
            </w:r>
          </w:p>
        </w:tc>
        <w:tc>
          <w:tcPr>
            <w:tcW w:w="1486" w:type="dxa"/>
            <w:shd w:val="clear" w:color="auto" w:fill="B5C0D8"/>
          </w:tcPr>
          <w:p w:rsidR="00D849AA" w:rsidRPr="000E4589" w:rsidRDefault="00EE6D95">
            <w:pPr>
              <w:pStyle w:val="CellHeader"/>
            </w:pPr>
            <w:r w:rsidRPr="000E4589">
              <w:t>Plan 2014.</w:t>
            </w:r>
          </w:p>
        </w:tc>
        <w:tc>
          <w:tcPr>
            <w:tcW w:w="1486" w:type="dxa"/>
            <w:shd w:val="clear" w:color="auto" w:fill="B5C0D8"/>
          </w:tcPr>
          <w:p w:rsidR="00D849AA" w:rsidRPr="000E4589" w:rsidRDefault="00EE6D95">
            <w:pPr>
              <w:pStyle w:val="CellHeader"/>
            </w:pPr>
            <w:r w:rsidRPr="000E4589">
              <w:t>Plan 2015.</w:t>
            </w:r>
          </w:p>
        </w:tc>
        <w:tc>
          <w:tcPr>
            <w:tcW w:w="1486" w:type="dxa"/>
            <w:shd w:val="clear" w:color="auto" w:fill="B5C0D8"/>
          </w:tcPr>
          <w:p w:rsidR="00D849AA" w:rsidRPr="000E4589" w:rsidRDefault="00EE6D95">
            <w:pPr>
              <w:pStyle w:val="CellHeader"/>
            </w:pPr>
            <w:r w:rsidRPr="000E4589">
              <w:t>Plan 2016.</w:t>
            </w:r>
          </w:p>
        </w:tc>
        <w:tc>
          <w:tcPr>
            <w:tcW w:w="1486" w:type="dxa"/>
            <w:shd w:val="clear" w:color="auto" w:fill="B5C0D8"/>
          </w:tcPr>
          <w:p w:rsidR="00D849AA" w:rsidRPr="000E4589" w:rsidRDefault="00EE6D95">
            <w:pPr>
              <w:pStyle w:val="CellHeader"/>
            </w:pPr>
            <w:r w:rsidRPr="000E4589">
              <w:t>Indeks 2014/2013</w:t>
            </w:r>
          </w:p>
        </w:tc>
      </w:tr>
      <w:tr w:rsidR="00D849AA" w:rsidRPr="000E4589">
        <w:trPr>
          <w:jc w:val="center"/>
        </w:trPr>
        <w:tc>
          <w:tcPr>
            <w:tcW w:w="1486" w:type="dxa"/>
          </w:tcPr>
          <w:p w:rsidR="00D849AA" w:rsidRPr="000E4589" w:rsidRDefault="00EE6D95">
            <w:pPr>
              <w:pStyle w:val="CellColumn"/>
            </w:pPr>
            <w:r w:rsidRPr="000E4589">
              <w:t>A817022</w:t>
            </w:r>
          </w:p>
        </w:tc>
        <w:tc>
          <w:tcPr>
            <w:tcW w:w="1486" w:type="dxa"/>
          </w:tcPr>
          <w:p w:rsidR="00D849AA" w:rsidRPr="000E4589" w:rsidRDefault="00EE6D95">
            <w:pPr>
              <w:rPr>
                <w:rFonts w:ascii="Arial" w:hAnsi="Arial" w:cs="Arial"/>
              </w:rPr>
            </w:pPr>
            <w:r w:rsidRPr="000E4589">
              <w:rPr>
                <w:rFonts w:ascii="Arial" w:hAnsi="Arial" w:cs="Arial"/>
              </w:rPr>
              <w:t>5.990.900</w:t>
            </w:r>
          </w:p>
        </w:tc>
        <w:tc>
          <w:tcPr>
            <w:tcW w:w="1486" w:type="dxa"/>
          </w:tcPr>
          <w:p w:rsidR="00D849AA" w:rsidRPr="000E4589" w:rsidRDefault="00EE6D95">
            <w:pPr>
              <w:rPr>
                <w:rFonts w:ascii="Arial" w:hAnsi="Arial" w:cs="Arial"/>
              </w:rPr>
            </w:pPr>
            <w:r w:rsidRPr="000E4589">
              <w:rPr>
                <w:rFonts w:ascii="Arial" w:hAnsi="Arial" w:cs="Arial"/>
              </w:rPr>
              <w:t>4.398.621</w:t>
            </w:r>
          </w:p>
        </w:tc>
        <w:tc>
          <w:tcPr>
            <w:tcW w:w="1486" w:type="dxa"/>
          </w:tcPr>
          <w:p w:rsidR="00D849AA" w:rsidRPr="000E4589" w:rsidRDefault="00EE6D95">
            <w:pPr>
              <w:rPr>
                <w:rFonts w:ascii="Arial" w:hAnsi="Arial" w:cs="Arial"/>
              </w:rPr>
            </w:pPr>
            <w:r w:rsidRPr="000E4589">
              <w:rPr>
                <w:rFonts w:ascii="Arial" w:hAnsi="Arial" w:cs="Arial"/>
              </w:rPr>
              <w:t>5.424.379</w:t>
            </w:r>
          </w:p>
        </w:tc>
        <w:tc>
          <w:tcPr>
            <w:tcW w:w="1486" w:type="dxa"/>
          </w:tcPr>
          <w:p w:rsidR="00D849AA" w:rsidRPr="000E4589" w:rsidRDefault="00EE6D95">
            <w:pPr>
              <w:rPr>
                <w:rFonts w:ascii="Arial" w:hAnsi="Arial" w:cs="Arial"/>
              </w:rPr>
            </w:pPr>
            <w:r w:rsidRPr="000E4589">
              <w:rPr>
                <w:rFonts w:ascii="Arial" w:hAnsi="Arial" w:cs="Arial"/>
              </w:rPr>
              <w:t>6.514.599</w:t>
            </w:r>
          </w:p>
        </w:tc>
        <w:tc>
          <w:tcPr>
            <w:tcW w:w="1486" w:type="dxa"/>
          </w:tcPr>
          <w:p w:rsidR="00D849AA" w:rsidRPr="000E4589" w:rsidRDefault="00EE6D95">
            <w:pPr>
              <w:rPr>
                <w:rFonts w:ascii="Arial" w:hAnsi="Arial" w:cs="Arial"/>
              </w:rPr>
            </w:pPr>
            <w:r w:rsidRPr="000E4589">
              <w:rPr>
                <w:rFonts w:ascii="Arial" w:hAnsi="Arial" w:cs="Arial"/>
              </w:rPr>
              <w:t>73,4</w:t>
            </w:r>
          </w:p>
        </w:tc>
      </w:tr>
    </w:tbl>
    <w:p w:rsidR="00D849AA" w:rsidRDefault="00D849AA">
      <w:pPr>
        <w:jc w:val="left"/>
      </w:pPr>
    </w:p>
    <w:p w:rsidR="00D849AA" w:rsidRDefault="00EE6D95">
      <w:pPr>
        <w:pStyle w:val="Normal6"/>
      </w:pPr>
      <w:r>
        <w:t>Sredstva su namijenjena za rad Agencije, odnosno za obavljanje poslova pregleda opreme pod tlakom visoke razine opasnosti. Nadalje, sredstva su potrebna za ustrojavanje Agencije, odnosno zapošljavanje novih djelatnika Agencije i za materijalne rashode za troškove najma poslovnog prostora u Zagrebu i Rijeci. Djelatnici OPT-AGENCIJE u podružnicama izvan Zagreba su još uvijek u prostorijama Državnog inspektorata. Dodatno zapošljavanje inspektora je iz razloga provođenja Europske Direktive 97/23/EC (tlačna oprema), a koja zahtjeva preglede i ispitivanja cjevovoda kao dijela opreme pod tlakom (do 2008. godine cjevovodi se nisu pregledavali kao oprema pod tlakom). Ukoliko bi se navedeno ispunilo ostvario bi se veći broj pregleda opreme pod tlakom, veća kvaliteta pregleda čime bi se povećala sigurnost ljudi, imovine i okoliša. Isto tako ostvarili bi se i veći proračunski prihodi.</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217"/>
        <w:gridCol w:w="1486"/>
        <w:gridCol w:w="1486"/>
        <w:gridCol w:w="1486"/>
      </w:tblGrid>
      <w:tr w:rsidR="00D849AA">
        <w:trPr>
          <w:jc w:val="center"/>
        </w:trPr>
        <w:tc>
          <w:tcPr>
            <w:tcW w:w="2229" w:type="dxa"/>
            <w:shd w:val="clear" w:color="auto" w:fill="B5C0D8"/>
          </w:tcPr>
          <w:p w:rsidR="00D849AA" w:rsidRPr="000E4589" w:rsidRDefault="00EE6D95">
            <w:pPr>
              <w:rPr>
                <w:rFonts w:ascii="Arial" w:hAnsi="Arial" w:cs="Arial"/>
              </w:rPr>
            </w:pPr>
            <w:r w:rsidRPr="000E4589">
              <w:rPr>
                <w:rFonts w:ascii="Arial" w:hAnsi="Arial" w:cs="Arial"/>
              </w:rPr>
              <w:t>Pokazatelj rezultata</w:t>
            </w:r>
          </w:p>
        </w:tc>
        <w:tc>
          <w:tcPr>
            <w:tcW w:w="1114" w:type="dxa"/>
            <w:shd w:val="clear" w:color="auto" w:fill="B5C0D8"/>
          </w:tcPr>
          <w:p w:rsidR="00D849AA" w:rsidRPr="000E4589" w:rsidRDefault="00EE6D95">
            <w:pPr>
              <w:pStyle w:val="CellHeader"/>
            </w:pPr>
            <w:r w:rsidRPr="000E4589">
              <w:t>Jedinica</w:t>
            </w:r>
          </w:p>
        </w:tc>
        <w:tc>
          <w:tcPr>
            <w:tcW w:w="1114" w:type="dxa"/>
            <w:shd w:val="clear" w:color="auto" w:fill="B5C0D8"/>
          </w:tcPr>
          <w:p w:rsidR="00D849AA" w:rsidRPr="000E4589" w:rsidRDefault="00EE6D95">
            <w:pPr>
              <w:pStyle w:val="CellHeader"/>
            </w:pPr>
            <w:r w:rsidRPr="000E4589">
              <w:t>Polazna vrijednost</w:t>
            </w:r>
          </w:p>
        </w:tc>
        <w:tc>
          <w:tcPr>
            <w:tcW w:w="1486" w:type="dxa"/>
            <w:shd w:val="clear" w:color="auto" w:fill="B5C0D8"/>
          </w:tcPr>
          <w:p w:rsidR="00D849AA" w:rsidRPr="000E4589" w:rsidRDefault="00EE6D95">
            <w:pPr>
              <w:pStyle w:val="CellHeader"/>
            </w:pPr>
            <w:r w:rsidRPr="000E4589">
              <w:t>Ciljana vrijednost (2014.)</w:t>
            </w:r>
          </w:p>
        </w:tc>
        <w:tc>
          <w:tcPr>
            <w:tcW w:w="1486" w:type="dxa"/>
            <w:shd w:val="clear" w:color="auto" w:fill="B5C0D8"/>
          </w:tcPr>
          <w:p w:rsidR="00D849AA" w:rsidRPr="000E4589" w:rsidRDefault="00EE6D95">
            <w:pPr>
              <w:pStyle w:val="CellHeader"/>
            </w:pPr>
            <w:r w:rsidRPr="000E4589">
              <w:t>Ciljana vrijednost (2015.)</w:t>
            </w:r>
          </w:p>
        </w:tc>
        <w:tc>
          <w:tcPr>
            <w:tcW w:w="1486" w:type="dxa"/>
            <w:shd w:val="clear" w:color="auto" w:fill="B5C0D8"/>
          </w:tcPr>
          <w:p w:rsidR="00D849AA" w:rsidRPr="000E4589" w:rsidRDefault="00EE6D95">
            <w:pPr>
              <w:pStyle w:val="CellHeader"/>
            </w:pPr>
            <w:r w:rsidRPr="000E4589">
              <w:t>Ciljana vrijednost (2016.)</w:t>
            </w:r>
          </w:p>
        </w:tc>
      </w:tr>
      <w:tr w:rsidR="00D849AA">
        <w:trPr>
          <w:jc w:val="center"/>
        </w:trPr>
        <w:tc>
          <w:tcPr>
            <w:tcW w:w="2229" w:type="dxa"/>
          </w:tcPr>
          <w:p w:rsidR="00D849AA" w:rsidRPr="000E4589" w:rsidRDefault="00EE6D95">
            <w:pPr>
              <w:pStyle w:val="CellColumn"/>
            </w:pPr>
            <w:r w:rsidRPr="000E4589">
              <w:t>Povećanje broja tehničkih pregleda</w:t>
            </w:r>
          </w:p>
        </w:tc>
        <w:tc>
          <w:tcPr>
            <w:tcW w:w="1114" w:type="dxa"/>
          </w:tcPr>
          <w:p w:rsidR="00D849AA" w:rsidRPr="000E4589" w:rsidRDefault="00EE6D95">
            <w:pPr>
              <w:rPr>
                <w:rFonts w:ascii="Arial" w:hAnsi="Arial" w:cs="Arial"/>
              </w:rPr>
            </w:pPr>
            <w:r w:rsidRPr="000E4589">
              <w:rPr>
                <w:rFonts w:ascii="Arial" w:hAnsi="Arial" w:cs="Arial"/>
              </w:rPr>
              <w:t>KN</w:t>
            </w:r>
          </w:p>
        </w:tc>
        <w:tc>
          <w:tcPr>
            <w:tcW w:w="1114" w:type="dxa"/>
          </w:tcPr>
          <w:p w:rsidR="00D849AA" w:rsidRPr="000E4589" w:rsidRDefault="00EE6D95">
            <w:pPr>
              <w:rPr>
                <w:rFonts w:ascii="Arial" w:hAnsi="Arial" w:cs="Arial"/>
              </w:rPr>
            </w:pPr>
            <w:r w:rsidRPr="000E4589">
              <w:rPr>
                <w:rFonts w:ascii="Arial" w:hAnsi="Arial" w:cs="Arial"/>
              </w:rPr>
              <w:t>2012 = 10.874.000</w:t>
            </w:r>
          </w:p>
        </w:tc>
        <w:tc>
          <w:tcPr>
            <w:tcW w:w="1486" w:type="dxa"/>
          </w:tcPr>
          <w:p w:rsidR="00D849AA" w:rsidRPr="000E4589" w:rsidRDefault="00EE6D95">
            <w:pPr>
              <w:rPr>
                <w:rFonts w:ascii="Arial" w:hAnsi="Arial" w:cs="Arial"/>
              </w:rPr>
            </w:pPr>
            <w:r w:rsidRPr="000E4589">
              <w:rPr>
                <w:rFonts w:ascii="Arial" w:hAnsi="Arial" w:cs="Arial"/>
              </w:rPr>
              <w:t>15.000.000</w:t>
            </w:r>
          </w:p>
        </w:tc>
        <w:tc>
          <w:tcPr>
            <w:tcW w:w="1486" w:type="dxa"/>
          </w:tcPr>
          <w:p w:rsidR="00D849AA" w:rsidRPr="000E4589" w:rsidRDefault="00EE6D95">
            <w:pPr>
              <w:rPr>
                <w:rFonts w:ascii="Arial" w:hAnsi="Arial" w:cs="Arial"/>
              </w:rPr>
            </w:pPr>
            <w:r w:rsidRPr="000E4589">
              <w:rPr>
                <w:rFonts w:ascii="Arial" w:hAnsi="Arial" w:cs="Arial"/>
              </w:rPr>
              <w:t>16.000.000</w:t>
            </w:r>
          </w:p>
        </w:tc>
        <w:tc>
          <w:tcPr>
            <w:tcW w:w="1486" w:type="dxa"/>
          </w:tcPr>
          <w:p w:rsidR="00D849AA" w:rsidRPr="000E4589" w:rsidRDefault="00EE6D95">
            <w:pPr>
              <w:rPr>
                <w:rFonts w:ascii="Arial" w:hAnsi="Arial" w:cs="Arial"/>
              </w:rPr>
            </w:pPr>
            <w:r w:rsidRPr="000E4589">
              <w:rPr>
                <w:rFonts w:ascii="Arial" w:hAnsi="Arial" w:cs="Arial"/>
              </w:rPr>
              <w:t>17.000.000</w:t>
            </w:r>
          </w:p>
        </w:tc>
      </w:tr>
    </w:tbl>
    <w:p w:rsidR="00D849AA" w:rsidRDefault="00D849AA">
      <w:pPr>
        <w:jc w:val="left"/>
      </w:pPr>
    </w:p>
    <w:p w:rsidR="00D849AA" w:rsidRDefault="00EE6D95">
      <w:pPr>
        <w:pStyle w:val="Naslov3"/>
      </w:pPr>
      <w:r>
        <w:t>47641 Agencija za investicije i konkurentnost</w:t>
      </w:r>
    </w:p>
    <w:p w:rsidR="00D849AA" w:rsidRDefault="00EE6D95">
      <w:pPr>
        <w:pStyle w:val="Naslov4"/>
      </w:pPr>
      <w:r>
        <w:t>Uvod</w:t>
      </w:r>
    </w:p>
    <w:p w:rsidR="00D849AA" w:rsidRDefault="00EE6D95">
      <w:pPr>
        <w:pStyle w:val="Normal5"/>
      </w:pPr>
      <w:r>
        <w:t xml:space="preserve">Djelatnost Agencije za investicije i konkurentnost (u daljnjem tekstu AIK) utvrđena Zakonom o osnivanju Agencije za investicije i konkurentnost (Narodne novine, broj 53/12 i 56/13) je sustavna i operativna provedba politike i mjera za povećanje konkurentnosti hrvatskog gospodarstva s posebnim naglaskom na poticanje investicija pravnih osoba, poboljšanje učinkovitosti u primjeni inovacija i podrške primjeni financijskih mehanizama za podršku gospodarstvu uz uvjet poštivanja propisa iz ovlasti zaštite okoliša, odnosno načela održivog razvitka. </w:t>
      </w:r>
    </w:p>
    <w:p w:rsidR="00D849AA" w:rsidRDefault="00EE6D95">
      <w:pPr>
        <w:pStyle w:val="Normal5"/>
      </w:pPr>
      <w:r>
        <w:t xml:space="preserve">AIK daje stručnu i tehničku pomoć pri provedbi aktivnosti Radne skupine za poslovnu klimu i privatne investicije osnovane od Vlade RH. Aktivnosti provodi sukladno usvojenom „akcijskom planu“ odobrenom od VRH, a privatni investicijski projekti rješavaju se međusektorskom koordinacijom na razini radne skupine.  </w:t>
      </w:r>
    </w:p>
    <w:p w:rsidR="00D849AA" w:rsidRDefault="00EE6D95">
      <w:pPr>
        <w:pStyle w:val="Normal5"/>
      </w:pPr>
      <w:r>
        <w:t xml:space="preserve">AIK sudjeluje u radu odnosno vodi Operativnu  skupinu za pripremu i provedbu strateškog projekta u  skladu sa Zakonom o strateškim investicijskim projektnima u Republici Hrvatskoj (Narodne novine, broj 133/13). </w:t>
      </w:r>
    </w:p>
    <w:p w:rsidR="00D849AA" w:rsidRDefault="00EE6D95">
      <w:pPr>
        <w:pStyle w:val="Normal5"/>
      </w:pPr>
      <w:r>
        <w:lastRenderedPageBreak/>
        <w:t>AIK provodi pro-aktivni pristup poticanja investicija sukladno Strategiji poticanja investicija, pomaže u uklanjanju administrativnih barijera i vodi post investicijsku brigu, daje podršku primjeni novih financijskih mehanizama za podršku gospodarstvu (jamstveni fond za veliku industriju, fond za potporu velikim investitorima i sl.), pruža savjetodavne usluge trgovačkim društvima i pravnim osobama u provođenju investicija, organizira konferencije i forume za privlačenje investicija u zemlji i inozemstvu i koordinira svoje aktivnosti s gospodarskom diplomacijom i gospodarskom komorom, ustrojava i vodi bazu razvojnog potencijala i investicijskih projekata, potiče suradnju javnog, privatnog i znanstveno-istraživačkog sektora za jačanje izvrsnosti industrije kroz osnivanje nacionalnih klastera konkurentnosti te pružanje tehničko-administrativne i financijske podrške njihovu radu, sudjeluje u izradi strateških dokumenata namijenjenih jačanju konkurentnosti i prati njihovu realizaciju, daje podršku u provedbi politike i mjera sektorske specijalizacije regija, pruža podršku Vijeću za konkurentnost u području mjerenja konkurentnosti i izradi preporuka za unapređenje konkurentnosti, prati ključne aktivnosti tijela državne uprave i javnih institucija na svim razinama koje značajno utječu na ukupnu konkurentnost nacionalnog gospodarstva i daje preporuke za njihovo unapređenje s aspekta povećanja konkurentnosti, putem međunarodne suradnje razmjenjuje iskustva i dobru praksu u području unapređenja konkurentnosti i poticanja održivog razvitka, obavlja i druge poslove u skladu s ovim Zakonom, Statutom, Strateškim planom i drugim posebnim propisima iz područja djelatnosti AIK-a.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rsidRPr="000E4589">
        <w:trPr>
          <w:jc w:val="center"/>
        </w:trPr>
        <w:tc>
          <w:tcPr>
            <w:tcW w:w="1486" w:type="dxa"/>
            <w:shd w:val="clear" w:color="auto" w:fill="B5C0D8"/>
          </w:tcPr>
          <w:p w:rsidR="00D849AA" w:rsidRPr="000E4589" w:rsidRDefault="00D849AA">
            <w:pPr>
              <w:pStyle w:val="CellHeader"/>
            </w:pPr>
          </w:p>
        </w:tc>
        <w:tc>
          <w:tcPr>
            <w:tcW w:w="1486" w:type="dxa"/>
            <w:shd w:val="clear" w:color="auto" w:fill="B5C0D8"/>
          </w:tcPr>
          <w:p w:rsidR="00D849AA" w:rsidRPr="000E4589" w:rsidRDefault="00EE6D95">
            <w:pPr>
              <w:pStyle w:val="CellHeader"/>
            </w:pPr>
            <w:r w:rsidRPr="000E4589">
              <w:t>Plan 2013.</w:t>
            </w:r>
          </w:p>
        </w:tc>
        <w:tc>
          <w:tcPr>
            <w:tcW w:w="1486" w:type="dxa"/>
            <w:shd w:val="clear" w:color="auto" w:fill="B5C0D8"/>
          </w:tcPr>
          <w:p w:rsidR="00D849AA" w:rsidRPr="000E4589" w:rsidRDefault="00EE6D95">
            <w:pPr>
              <w:pStyle w:val="CellHeader"/>
            </w:pPr>
            <w:r w:rsidRPr="000E4589">
              <w:t>Plan 2014.</w:t>
            </w:r>
          </w:p>
        </w:tc>
        <w:tc>
          <w:tcPr>
            <w:tcW w:w="1486" w:type="dxa"/>
            <w:shd w:val="clear" w:color="auto" w:fill="B5C0D8"/>
          </w:tcPr>
          <w:p w:rsidR="00D849AA" w:rsidRPr="000E4589" w:rsidRDefault="00EE6D95">
            <w:pPr>
              <w:pStyle w:val="CellHeader"/>
            </w:pPr>
            <w:r w:rsidRPr="000E4589">
              <w:t>Plan 2015.</w:t>
            </w:r>
          </w:p>
        </w:tc>
        <w:tc>
          <w:tcPr>
            <w:tcW w:w="1486" w:type="dxa"/>
            <w:shd w:val="clear" w:color="auto" w:fill="B5C0D8"/>
          </w:tcPr>
          <w:p w:rsidR="00D849AA" w:rsidRPr="000E4589" w:rsidRDefault="00EE6D95">
            <w:pPr>
              <w:pStyle w:val="CellHeader"/>
            </w:pPr>
            <w:r w:rsidRPr="000E4589">
              <w:t>Plan 2016.</w:t>
            </w:r>
          </w:p>
        </w:tc>
        <w:tc>
          <w:tcPr>
            <w:tcW w:w="1486" w:type="dxa"/>
            <w:shd w:val="clear" w:color="auto" w:fill="B5C0D8"/>
          </w:tcPr>
          <w:p w:rsidR="00D849AA" w:rsidRPr="000E4589" w:rsidRDefault="00EE6D95">
            <w:pPr>
              <w:pStyle w:val="CellHeader"/>
            </w:pPr>
            <w:r w:rsidRPr="000E4589">
              <w:t>Indeks 2014/2013</w:t>
            </w:r>
          </w:p>
        </w:tc>
      </w:tr>
      <w:tr w:rsidR="00D849AA" w:rsidRPr="000E4589">
        <w:trPr>
          <w:jc w:val="center"/>
        </w:trPr>
        <w:tc>
          <w:tcPr>
            <w:tcW w:w="1486" w:type="dxa"/>
          </w:tcPr>
          <w:p w:rsidR="00D849AA" w:rsidRPr="000E4589" w:rsidRDefault="00EE6D95">
            <w:pPr>
              <w:pStyle w:val="CellColumn"/>
            </w:pPr>
            <w:r w:rsidRPr="000E4589">
              <w:t>47641</w:t>
            </w:r>
          </w:p>
        </w:tc>
        <w:tc>
          <w:tcPr>
            <w:tcW w:w="1486" w:type="dxa"/>
          </w:tcPr>
          <w:p w:rsidR="00D849AA" w:rsidRPr="000E4589" w:rsidRDefault="00EE6D95">
            <w:pPr>
              <w:rPr>
                <w:rFonts w:ascii="Arial" w:hAnsi="Arial" w:cs="Arial"/>
              </w:rPr>
            </w:pPr>
            <w:r w:rsidRPr="000E4589">
              <w:rPr>
                <w:rFonts w:ascii="Arial" w:hAnsi="Arial" w:cs="Arial"/>
              </w:rPr>
              <w:t>18.000.000</w:t>
            </w:r>
          </w:p>
        </w:tc>
        <w:tc>
          <w:tcPr>
            <w:tcW w:w="1486" w:type="dxa"/>
          </w:tcPr>
          <w:p w:rsidR="00D849AA" w:rsidRPr="000E4589" w:rsidRDefault="00EE6D95">
            <w:pPr>
              <w:rPr>
                <w:rFonts w:ascii="Arial" w:hAnsi="Arial" w:cs="Arial"/>
              </w:rPr>
            </w:pPr>
            <w:r w:rsidRPr="000E4589">
              <w:rPr>
                <w:rFonts w:ascii="Arial" w:hAnsi="Arial" w:cs="Arial"/>
              </w:rPr>
              <w:t>16.584.000</w:t>
            </w:r>
          </w:p>
        </w:tc>
        <w:tc>
          <w:tcPr>
            <w:tcW w:w="1486" w:type="dxa"/>
          </w:tcPr>
          <w:p w:rsidR="00D849AA" w:rsidRPr="000E4589" w:rsidRDefault="00EE6D95">
            <w:pPr>
              <w:rPr>
                <w:rFonts w:ascii="Arial" w:hAnsi="Arial" w:cs="Arial"/>
              </w:rPr>
            </w:pPr>
            <w:r w:rsidRPr="000E4589">
              <w:rPr>
                <w:rFonts w:ascii="Arial" w:hAnsi="Arial" w:cs="Arial"/>
              </w:rPr>
              <w:t>18.589.000</w:t>
            </w:r>
          </w:p>
        </w:tc>
        <w:tc>
          <w:tcPr>
            <w:tcW w:w="1486" w:type="dxa"/>
          </w:tcPr>
          <w:p w:rsidR="00D849AA" w:rsidRPr="000E4589" w:rsidRDefault="00EE6D95">
            <w:pPr>
              <w:rPr>
                <w:rFonts w:ascii="Arial" w:hAnsi="Arial" w:cs="Arial"/>
              </w:rPr>
            </w:pPr>
            <w:r w:rsidRPr="000E4589">
              <w:rPr>
                <w:rFonts w:ascii="Arial" w:hAnsi="Arial" w:cs="Arial"/>
              </w:rPr>
              <w:t>20.069.000</w:t>
            </w:r>
          </w:p>
        </w:tc>
        <w:tc>
          <w:tcPr>
            <w:tcW w:w="1486" w:type="dxa"/>
          </w:tcPr>
          <w:p w:rsidR="00D849AA" w:rsidRPr="000E4589" w:rsidRDefault="00EE6D95">
            <w:pPr>
              <w:rPr>
                <w:rFonts w:ascii="Arial" w:hAnsi="Arial" w:cs="Arial"/>
              </w:rPr>
            </w:pPr>
            <w:r w:rsidRPr="000E4589">
              <w:rPr>
                <w:rFonts w:ascii="Arial" w:hAnsi="Arial" w:cs="Arial"/>
              </w:rPr>
              <w:t>92,1</w:t>
            </w:r>
          </w:p>
        </w:tc>
      </w:tr>
    </w:tbl>
    <w:p w:rsidR="00D849AA" w:rsidRPr="000E4589" w:rsidRDefault="00D849AA">
      <w:pPr>
        <w:jc w:val="left"/>
        <w:rPr>
          <w:rFonts w:ascii="Arial" w:hAnsi="Arial" w:cs="Arial"/>
        </w:rPr>
      </w:pPr>
    </w:p>
    <w:p w:rsidR="00D849AA" w:rsidRDefault="00EE6D95">
      <w:pPr>
        <w:pStyle w:val="Naslov4"/>
      </w:pPr>
      <w:r>
        <w:t>OBRAZLOŽENJE PROGRAMA</w:t>
      </w:r>
    </w:p>
    <w:p w:rsidR="00D849AA" w:rsidRDefault="00EE6D95">
      <w:pPr>
        <w:pStyle w:val="Naslov5"/>
      </w:pPr>
      <w:r>
        <w:t>3223 PRIVLAČENJE INVESTICIJA I POVEĆANJE KONKURENTNOSTI</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rsidRPr="000E4589">
        <w:trPr>
          <w:jc w:val="center"/>
        </w:trPr>
        <w:tc>
          <w:tcPr>
            <w:tcW w:w="1486" w:type="dxa"/>
            <w:shd w:val="clear" w:color="auto" w:fill="B5C0D8"/>
          </w:tcPr>
          <w:p w:rsidR="00D849AA" w:rsidRPr="000E4589" w:rsidRDefault="00D849AA">
            <w:pPr>
              <w:pStyle w:val="CellHeader"/>
            </w:pPr>
          </w:p>
        </w:tc>
        <w:tc>
          <w:tcPr>
            <w:tcW w:w="1486" w:type="dxa"/>
            <w:shd w:val="clear" w:color="auto" w:fill="B5C0D8"/>
          </w:tcPr>
          <w:p w:rsidR="00D849AA" w:rsidRPr="000E4589" w:rsidRDefault="00EE6D95">
            <w:pPr>
              <w:pStyle w:val="CellHeader"/>
            </w:pPr>
            <w:r w:rsidRPr="000E4589">
              <w:t>Plan 2013.</w:t>
            </w:r>
          </w:p>
        </w:tc>
        <w:tc>
          <w:tcPr>
            <w:tcW w:w="1486" w:type="dxa"/>
            <w:shd w:val="clear" w:color="auto" w:fill="B5C0D8"/>
          </w:tcPr>
          <w:p w:rsidR="00D849AA" w:rsidRPr="000E4589" w:rsidRDefault="00EE6D95">
            <w:pPr>
              <w:pStyle w:val="CellHeader"/>
            </w:pPr>
            <w:r w:rsidRPr="000E4589">
              <w:t>Plan 2014.</w:t>
            </w:r>
          </w:p>
        </w:tc>
        <w:tc>
          <w:tcPr>
            <w:tcW w:w="1486" w:type="dxa"/>
            <w:shd w:val="clear" w:color="auto" w:fill="B5C0D8"/>
          </w:tcPr>
          <w:p w:rsidR="00D849AA" w:rsidRPr="000E4589" w:rsidRDefault="00EE6D95">
            <w:pPr>
              <w:pStyle w:val="CellHeader"/>
            </w:pPr>
            <w:r w:rsidRPr="000E4589">
              <w:t>Plan 2015.</w:t>
            </w:r>
          </w:p>
        </w:tc>
        <w:tc>
          <w:tcPr>
            <w:tcW w:w="1486" w:type="dxa"/>
            <w:shd w:val="clear" w:color="auto" w:fill="B5C0D8"/>
          </w:tcPr>
          <w:p w:rsidR="00D849AA" w:rsidRPr="000E4589" w:rsidRDefault="00EE6D95">
            <w:pPr>
              <w:pStyle w:val="CellHeader"/>
            </w:pPr>
            <w:r w:rsidRPr="000E4589">
              <w:t>Plan 2016.</w:t>
            </w:r>
          </w:p>
        </w:tc>
        <w:tc>
          <w:tcPr>
            <w:tcW w:w="1486" w:type="dxa"/>
            <w:shd w:val="clear" w:color="auto" w:fill="B5C0D8"/>
          </w:tcPr>
          <w:p w:rsidR="00D849AA" w:rsidRPr="000E4589" w:rsidRDefault="00EE6D95">
            <w:pPr>
              <w:pStyle w:val="CellHeader"/>
            </w:pPr>
            <w:r w:rsidRPr="000E4589">
              <w:t>Indeks 2014/2013</w:t>
            </w:r>
          </w:p>
        </w:tc>
      </w:tr>
      <w:tr w:rsidR="00D849AA" w:rsidRPr="000E4589">
        <w:trPr>
          <w:jc w:val="center"/>
        </w:trPr>
        <w:tc>
          <w:tcPr>
            <w:tcW w:w="1486" w:type="dxa"/>
          </w:tcPr>
          <w:p w:rsidR="00D849AA" w:rsidRPr="000E4589" w:rsidRDefault="00EE6D95">
            <w:pPr>
              <w:pStyle w:val="CellColumn"/>
            </w:pPr>
            <w:r w:rsidRPr="000E4589">
              <w:t>3223</w:t>
            </w:r>
          </w:p>
        </w:tc>
        <w:tc>
          <w:tcPr>
            <w:tcW w:w="1486" w:type="dxa"/>
          </w:tcPr>
          <w:p w:rsidR="00D849AA" w:rsidRPr="000E4589" w:rsidRDefault="00EE6D95">
            <w:pPr>
              <w:rPr>
                <w:rFonts w:ascii="Arial" w:hAnsi="Arial" w:cs="Arial"/>
              </w:rPr>
            </w:pPr>
            <w:r w:rsidRPr="000E4589">
              <w:rPr>
                <w:rFonts w:ascii="Arial" w:hAnsi="Arial" w:cs="Arial"/>
              </w:rPr>
              <w:t>18.000.000</w:t>
            </w:r>
          </w:p>
        </w:tc>
        <w:tc>
          <w:tcPr>
            <w:tcW w:w="1486" w:type="dxa"/>
          </w:tcPr>
          <w:p w:rsidR="00D849AA" w:rsidRPr="000E4589" w:rsidRDefault="00EE6D95">
            <w:pPr>
              <w:rPr>
                <w:rFonts w:ascii="Arial" w:hAnsi="Arial" w:cs="Arial"/>
              </w:rPr>
            </w:pPr>
            <w:r w:rsidRPr="000E4589">
              <w:rPr>
                <w:rFonts w:ascii="Arial" w:hAnsi="Arial" w:cs="Arial"/>
              </w:rPr>
              <w:t>16.584.000</w:t>
            </w:r>
          </w:p>
        </w:tc>
        <w:tc>
          <w:tcPr>
            <w:tcW w:w="1486" w:type="dxa"/>
          </w:tcPr>
          <w:p w:rsidR="00D849AA" w:rsidRPr="000E4589" w:rsidRDefault="00EE6D95">
            <w:pPr>
              <w:rPr>
                <w:rFonts w:ascii="Arial" w:hAnsi="Arial" w:cs="Arial"/>
              </w:rPr>
            </w:pPr>
            <w:r w:rsidRPr="000E4589">
              <w:rPr>
                <w:rFonts w:ascii="Arial" w:hAnsi="Arial" w:cs="Arial"/>
              </w:rPr>
              <w:t>18.589.000</w:t>
            </w:r>
          </w:p>
        </w:tc>
        <w:tc>
          <w:tcPr>
            <w:tcW w:w="1486" w:type="dxa"/>
          </w:tcPr>
          <w:p w:rsidR="00D849AA" w:rsidRPr="000E4589" w:rsidRDefault="00EE6D95">
            <w:pPr>
              <w:rPr>
                <w:rFonts w:ascii="Arial" w:hAnsi="Arial" w:cs="Arial"/>
              </w:rPr>
            </w:pPr>
            <w:r w:rsidRPr="000E4589">
              <w:rPr>
                <w:rFonts w:ascii="Arial" w:hAnsi="Arial" w:cs="Arial"/>
              </w:rPr>
              <w:t>20.069.000</w:t>
            </w:r>
          </w:p>
        </w:tc>
        <w:tc>
          <w:tcPr>
            <w:tcW w:w="1486" w:type="dxa"/>
          </w:tcPr>
          <w:p w:rsidR="00D849AA" w:rsidRPr="000E4589" w:rsidRDefault="00EE6D95">
            <w:pPr>
              <w:rPr>
                <w:rFonts w:ascii="Arial" w:hAnsi="Arial" w:cs="Arial"/>
              </w:rPr>
            </w:pPr>
            <w:r w:rsidRPr="000E4589">
              <w:rPr>
                <w:rFonts w:ascii="Arial" w:hAnsi="Arial" w:cs="Arial"/>
              </w:rPr>
              <w:t>92,1</w:t>
            </w:r>
          </w:p>
        </w:tc>
      </w:tr>
    </w:tbl>
    <w:p w:rsidR="00D849AA" w:rsidRDefault="00D849AA">
      <w:pPr>
        <w:jc w:val="left"/>
      </w:pPr>
    </w:p>
    <w:p w:rsidR="00D849AA" w:rsidRDefault="00EE6D95">
      <w:pPr>
        <w:pStyle w:val="Naslov6"/>
      </w:pPr>
      <w:r>
        <w:t>Opis programa</w:t>
      </w:r>
    </w:p>
    <w:p w:rsidR="00D849AA" w:rsidRDefault="00EE6D95">
      <w:r>
        <w:t xml:space="preserve">AIK djeluje kroz jedinstveni program privlačenja investicija i povećanja konkurentnosti, čiji su temeljni ciljevi upravo unaprjeđenje investicijske klime privlačenjem investicija i uklanjanjem prepreka za investicije te jačanje međunarodne konkurentnosti hrvatskog gospodarstva. </w:t>
      </w:r>
    </w:p>
    <w:p w:rsidR="00D849AA" w:rsidRDefault="00EE6D95">
      <w:r>
        <w:t>Program privlačenja investicija i povećanja konkurentnosti provodi se kroz 4 aktivnosti (A817048 Administracija i upravljanje, A864007 Promidžba i ulaganja i konkurentnosti, A864008 Privlačenje investicija,  A864009 Povećanje konkurentnosti) i 1 kapitalni projekt (K822048 Opremanje i informatizacija) čije su zadaće promoviranje Republike Hrvatske kao poželjne investicijske destinacije, priprema projekata i pružanje podrške investicijskim projektima  te pružanje podrške u unaprjeđenju konkurentnosti kroz izradu mjera i provedbu politike sektorske specijalizacije regija.</w:t>
      </w:r>
    </w:p>
    <w:p w:rsidR="002A2E03" w:rsidRDefault="002A2E03"/>
    <w:p w:rsidR="00D849AA" w:rsidRDefault="00EE6D95">
      <w:pPr>
        <w:pStyle w:val="Naslov6"/>
      </w:pPr>
      <w:r>
        <w:lastRenderedPageBreak/>
        <w:t>Zakonske i druge pravne osnove</w:t>
      </w:r>
    </w:p>
    <w:p w:rsidR="00D849AA" w:rsidRDefault="00EE6D95">
      <w:r>
        <w:t xml:space="preserve">Zakon o osnivanju Agencije za investicije i konkurentnost (Narodne novine, broj 53/12 i 56/13) </w:t>
      </w:r>
    </w:p>
    <w:p w:rsidR="00D849AA" w:rsidRDefault="00EE6D95">
      <w:r>
        <w:t xml:space="preserve">Zakon o strateškim investicijskim projektima u Republici Hrvatskoj (Narodne novine, broj 133/13) </w:t>
      </w:r>
    </w:p>
    <w:p w:rsidR="00D849AA" w:rsidRDefault="00EE6D95">
      <w:r>
        <w:t>Zakon o poticanju investicija i unapređenje investicijskog okruženja (Narodne novine, broj 111/12 i 28/13)</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 xml:space="preserve">Cilj 1. Povećanje konkurentnosti i pozicioniranje Hrvatske među vodeće destinacije za ulaganja </w:t>
      </w:r>
    </w:p>
    <w:p w:rsidR="00D849AA" w:rsidRDefault="00EE6D95">
      <w:pPr>
        <w:pStyle w:val="Normal6"/>
      </w:pPr>
      <w:r>
        <w:t xml:space="preserve">Cilj uključuje provedbu politike i mjera za povećanje konkurentnosti hrvatskog gospodarstva s posebnim naglaskom na stvaranje poslovne klime pogodne za poticanje investicija te poboljšanje ulagačkog okruženja i promidžbu  Republike Hrvatske kao poželjne ulagačke destinacije.  </w:t>
      </w:r>
    </w:p>
    <w:p w:rsidR="00D849AA" w:rsidRDefault="00EE6D95">
      <w:pPr>
        <w:pStyle w:val="Normal6"/>
      </w:pPr>
      <w:r>
        <w:t xml:space="preserve">Povećanje konkurentnosti i pozicioniranje Republike Hrvatske među vodeće destinacije za ulaganje provodit će se kroz podršku izradi strateških dokumenata u području povećanja konkurentnosti i poticanja ulaganja, te njihovu provedbu. AIK će napraviti analizu stanja te predložiti mjere za uklanjanje administrativnih barijera s ciljem poboljšanja poslovnog okruženja i povećanja konkurentnosti hrvatskog gospodarstva. </w:t>
      </w:r>
    </w:p>
    <w:p w:rsidR="00D849AA" w:rsidRDefault="00EE6D95">
      <w:pPr>
        <w:pStyle w:val="Normal6"/>
      </w:pPr>
      <w:r>
        <w:t xml:space="preserve">Kao polazišne osnove za definiranje mjera koristiti će pokazatelji po metodologiji godišnjih izvještaja „Global Competitivness Report“ Svjetskog ekonomskog foruma i „Doing Business“ Svjetske banke.  </w:t>
      </w:r>
    </w:p>
    <w:p w:rsidR="00D849AA" w:rsidRDefault="00EE6D95">
      <w:pPr>
        <w:pStyle w:val="Normal6"/>
      </w:pPr>
      <w:r>
        <w:t>Koristit će se i pozitivna iskustva Europske unije koja pokazuje kako su sektorsku specijalizaciju, identificiranjem niša u ključnim sektorima, kao i uspostavom klastera konkurentnosti i identificiranjem projekata koji će pridonijeti unapređenju konkurentnosti određenih sektora, ali i ukupnog hrvatskog gospodarstva. Sektorska specijalizacija i politika razvoja klastera pomoći će Republici Hrvatskoj da iskoristi svoj teritorijalni kapital i na taj način poveća svoju konkurentnost u odnosu na druge zemlje i ostale zemlje iz međunarodnog okruženja.</w:t>
      </w:r>
    </w:p>
    <w:p w:rsidR="00E000A0" w:rsidRDefault="00E000A0">
      <w:pPr>
        <w:pStyle w:val="Normal6"/>
      </w:pP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228"/>
        <w:gridCol w:w="1486"/>
        <w:gridCol w:w="1486"/>
        <w:gridCol w:w="1486"/>
      </w:tblGrid>
      <w:tr w:rsidR="00D849AA">
        <w:trPr>
          <w:jc w:val="center"/>
        </w:trPr>
        <w:tc>
          <w:tcPr>
            <w:tcW w:w="2229" w:type="dxa"/>
            <w:shd w:val="clear" w:color="auto" w:fill="B5C0D8"/>
          </w:tcPr>
          <w:p w:rsidR="00D849AA" w:rsidRPr="000E4589" w:rsidRDefault="00EE6D95">
            <w:pPr>
              <w:rPr>
                <w:rFonts w:ascii="Arial" w:hAnsi="Arial" w:cs="Arial"/>
              </w:rPr>
            </w:pPr>
            <w:r w:rsidRPr="000E4589">
              <w:rPr>
                <w:rFonts w:ascii="Arial" w:hAnsi="Arial" w:cs="Arial"/>
              </w:rPr>
              <w:t>Pokazatelj učinka</w:t>
            </w:r>
          </w:p>
        </w:tc>
        <w:tc>
          <w:tcPr>
            <w:tcW w:w="1114" w:type="dxa"/>
            <w:shd w:val="clear" w:color="auto" w:fill="B5C0D8"/>
          </w:tcPr>
          <w:p w:rsidR="00D849AA" w:rsidRPr="000E4589" w:rsidRDefault="00EE6D95">
            <w:pPr>
              <w:pStyle w:val="CellHeader"/>
            </w:pPr>
            <w:r w:rsidRPr="000E4589">
              <w:t>Jedinica</w:t>
            </w:r>
          </w:p>
        </w:tc>
        <w:tc>
          <w:tcPr>
            <w:tcW w:w="1114" w:type="dxa"/>
            <w:shd w:val="clear" w:color="auto" w:fill="B5C0D8"/>
          </w:tcPr>
          <w:p w:rsidR="00D849AA" w:rsidRPr="000E4589" w:rsidRDefault="00EE6D95">
            <w:pPr>
              <w:pStyle w:val="CellHeader"/>
            </w:pPr>
            <w:r w:rsidRPr="000E4589">
              <w:t>Polazna vrijednost</w:t>
            </w:r>
          </w:p>
        </w:tc>
        <w:tc>
          <w:tcPr>
            <w:tcW w:w="1486" w:type="dxa"/>
            <w:shd w:val="clear" w:color="auto" w:fill="B5C0D8"/>
          </w:tcPr>
          <w:p w:rsidR="00D849AA" w:rsidRPr="000E4589" w:rsidRDefault="00EE6D95">
            <w:pPr>
              <w:pStyle w:val="CellHeader"/>
            </w:pPr>
            <w:r w:rsidRPr="000E4589">
              <w:t>Ciljana vrijednost (2014.)</w:t>
            </w:r>
          </w:p>
        </w:tc>
        <w:tc>
          <w:tcPr>
            <w:tcW w:w="1486" w:type="dxa"/>
            <w:shd w:val="clear" w:color="auto" w:fill="B5C0D8"/>
          </w:tcPr>
          <w:p w:rsidR="00D849AA" w:rsidRPr="000E4589" w:rsidRDefault="00EE6D95">
            <w:pPr>
              <w:pStyle w:val="CellHeader"/>
            </w:pPr>
            <w:r w:rsidRPr="000E4589">
              <w:t>Ciljana vrijednost (2015.)</w:t>
            </w:r>
          </w:p>
        </w:tc>
        <w:tc>
          <w:tcPr>
            <w:tcW w:w="1486" w:type="dxa"/>
            <w:shd w:val="clear" w:color="auto" w:fill="B5C0D8"/>
          </w:tcPr>
          <w:p w:rsidR="00D849AA" w:rsidRPr="000E4589" w:rsidRDefault="00EE6D95">
            <w:pPr>
              <w:pStyle w:val="CellHeader"/>
            </w:pPr>
            <w:r w:rsidRPr="000E4589">
              <w:t>Ciljana vrijednost (2016.)</w:t>
            </w:r>
          </w:p>
        </w:tc>
      </w:tr>
      <w:tr w:rsidR="00D849AA">
        <w:trPr>
          <w:jc w:val="center"/>
        </w:trPr>
        <w:tc>
          <w:tcPr>
            <w:tcW w:w="2229" w:type="dxa"/>
          </w:tcPr>
          <w:p w:rsidR="00D849AA" w:rsidRPr="000E4589" w:rsidRDefault="00EE6D95">
            <w:pPr>
              <w:pStyle w:val="CellColumn"/>
            </w:pPr>
            <w:r w:rsidRPr="000E4589">
              <w:t>Povećana konkurentnost hrvatskog gospodarstva u međunarodnom okruženju</w:t>
            </w:r>
          </w:p>
        </w:tc>
        <w:tc>
          <w:tcPr>
            <w:tcW w:w="1114" w:type="dxa"/>
          </w:tcPr>
          <w:p w:rsidR="00D849AA" w:rsidRPr="000E4589" w:rsidRDefault="00EE6D95">
            <w:pPr>
              <w:rPr>
                <w:rFonts w:ascii="Arial" w:hAnsi="Arial" w:cs="Arial"/>
              </w:rPr>
            </w:pPr>
            <w:r w:rsidRPr="000E4589">
              <w:rPr>
                <w:rFonts w:ascii="Arial" w:hAnsi="Arial" w:cs="Arial"/>
              </w:rPr>
              <w:t>rang</w:t>
            </w:r>
          </w:p>
        </w:tc>
        <w:tc>
          <w:tcPr>
            <w:tcW w:w="1114" w:type="dxa"/>
          </w:tcPr>
          <w:p w:rsidR="00D849AA" w:rsidRPr="000E4589" w:rsidRDefault="00EE6D95">
            <w:pPr>
              <w:rPr>
                <w:rFonts w:ascii="Arial" w:hAnsi="Arial" w:cs="Arial"/>
              </w:rPr>
            </w:pPr>
            <w:r w:rsidRPr="000E4589">
              <w:rPr>
                <w:rFonts w:ascii="Arial" w:hAnsi="Arial" w:cs="Arial"/>
              </w:rPr>
              <w:t xml:space="preserve">WEF GCI </w:t>
            </w:r>
          </w:p>
          <w:p w:rsidR="00D849AA" w:rsidRPr="000E4589" w:rsidRDefault="00EE6D95">
            <w:pPr>
              <w:rPr>
                <w:rFonts w:ascii="Arial" w:hAnsi="Arial" w:cs="Arial"/>
              </w:rPr>
            </w:pPr>
            <w:r w:rsidRPr="000E4589">
              <w:rPr>
                <w:rFonts w:ascii="Arial" w:hAnsi="Arial" w:cs="Arial"/>
              </w:rPr>
              <w:t xml:space="preserve">2012/13 </w:t>
            </w:r>
          </w:p>
          <w:p w:rsidR="00D849AA" w:rsidRPr="000E4589" w:rsidRDefault="00EE6D95">
            <w:pPr>
              <w:rPr>
                <w:rFonts w:ascii="Arial" w:hAnsi="Arial" w:cs="Arial"/>
              </w:rPr>
            </w:pPr>
            <w:r w:rsidRPr="000E4589">
              <w:rPr>
                <w:rFonts w:ascii="Arial" w:hAnsi="Arial" w:cs="Arial"/>
              </w:rPr>
              <w:t>81</w:t>
            </w:r>
          </w:p>
        </w:tc>
        <w:tc>
          <w:tcPr>
            <w:tcW w:w="1486" w:type="dxa"/>
          </w:tcPr>
          <w:p w:rsidR="00D849AA" w:rsidRPr="000E4589" w:rsidRDefault="00EE6D95">
            <w:pPr>
              <w:rPr>
                <w:rFonts w:ascii="Arial" w:hAnsi="Arial" w:cs="Arial"/>
              </w:rPr>
            </w:pPr>
            <w:r w:rsidRPr="000E4589">
              <w:rPr>
                <w:rFonts w:ascii="Arial" w:hAnsi="Arial" w:cs="Arial"/>
              </w:rPr>
              <w:t>76</w:t>
            </w:r>
          </w:p>
        </w:tc>
        <w:tc>
          <w:tcPr>
            <w:tcW w:w="1486" w:type="dxa"/>
          </w:tcPr>
          <w:p w:rsidR="00D849AA" w:rsidRPr="000E4589" w:rsidRDefault="00EE6D95">
            <w:pPr>
              <w:rPr>
                <w:rFonts w:ascii="Arial" w:hAnsi="Arial" w:cs="Arial"/>
              </w:rPr>
            </w:pPr>
            <w:r w:rsidRPr="000E4589">
              <w:rPr>
                <w:rFonts w:ascii="Arial" w:hAnsi="Arial" w:cs="Arial"/>
              </w:rPr>
              <w:t>71</w:t>
            </w:r>
          </w:p>
        </w:tc>
        <w:tc>
          <w:tcPr>
            <w:tcW w:w="1486" w:type="dxa"/>
          </w:tcPr>
          <w:p w:rsidR="00D849AA" w:rsidRPr="000E4589" w:rsidRDefault="00EE6D95">
            <w:pPr>
              <w:rPr>
                <w:rFonts w:ascii="Arial" w:hAnsi="Arial" w:cs="Arial"/>
              </w:rPr>
            </w:pPr>
            <w:r w:rsidRPr="000E4589">
              <w:rPr>
                <w:rFonts w:ascii="Arial" w:hAnsi="Arial" w:cs="Arial"/>
              </w:rPr>
              <w:t>66</w:t>
            </w:r>
          </w:p>
        </w:tc>
      </w:tr>
      <w:tr w:rsidR="00D849AA">
        <w:trPr>
          <w:jc w:val="center"/>
        </w:trPr>
        <w:tc>
          <w:tcPr>
            <w:tcW w:w="2229" w:type="dxa"/>
          </w:tcPr>
          <w:p w:rsidR="00D849AA" w:rsidRPr="000E4589" w:rsidRDefault="00EE6D95">
            <w:pPr>
              <w:pStyle w:val="CellColumn"/>
            </w:pPr>
            <w:r w:rsidRPr="000E4589">
              <w:t>Unaprijeđeno poslovno okruženje kao i poboljšana investicijska klima</w:t>
            </w:r>
          </w:p>
        </w:tc>
        <w:tc>
          <w:tcPr>
            <w:tcW w:w="1114" w:type="dxa"/>
          </w:tcPr>
          <w:p w:rsidR="00D849AA" w:rsidRPr="000E4589" w:rsidRDefault="00EE6D95">
            <w:pPr>
              <w:rPr>
                <w:rFonts w:ascii="Arial" w:hAnsi="Arial" w:cs="Arial"/>
              </w:rPr>
            </w:pPr>
            <w:r w:rsidRPr="000E4589">
              <w:rPr>
                <w:rFonts w:ascii="Arial" w:hAnsi="Arial" w:cs="Arial"/>
              </w:rPr>
              <w:t>rang</w:t>
            </w:r>
          </w:p>
        </w:tc>
        <w:tc>
          <w:tcPr>
            <w:tcW w:w="1114" w:type="dxa"/>
          </w:tcPr>
          <w:p w:rsidR="00D849AA" w:rsidRPr="000E4589" w:rsidRDefault="00EE6D95">
            <w:pPr>
              <w:rPr>
                <w:rFonts w:ascii="Arial" w:hAnsi="Arial" w:cs="Arial"/>
              </w:rPr>
            </w:pPr>
            <w:r w:rsidRPr="000E4589">
              <w:rPr>
                <w:rFonts w:ascii="Arial" w:hAnsi="Arial" w:cs="Arial"/>
              </w:rPr>
              <w:t xml:space="preserve">DOING BUSSINES  </w:t>
            </w:r>
          </w:p>
          <w:p w:rsidR="00D849AA" w:rsidRPr="000E4589" w:rsidRDefault="00EE6D95">
            <w:pPr>
              <w:rPr>
                <w:rFonts w:ascii="Arial" w:hAnsi="Arial" w:cs="Arial"/>
              </w:rPr>
            </w:pPr>
            <w:r w:rsidRPr="000E4589">
              <w:rPr>
                <w:rFonts w:ascii="Arial" w:hAnsi="Arial" w:cs="Arial"/>
              </w:rPr>
              <w:t xml:space="preserve">2013 </w:t>
            </w:r>
          </w:p>
          <w:p w:rsidR="00D849AA" w:rsidRPr="000E4589" w:rsidRDefault="00EE6D95">
            <w:pPr>
              <w:rPr>
                <w:rFonts w:ascii="Arial" w:hAnsi="Arial" w:cs="Arial"/>
              </w:rPr>
            </w:pPr>
            <w:r w:rsidRPr="000E4589">
              <w:rPr>
                <w:rFonts w:ascii="Arial" w:hAnsi="Arial" w:cs="Arial"/>
              </w:rPr>
              <w:t>84</w:t>
            </w:r>
          </w:p>
        </w:tc>
        <w:tc>
          <w:tcPr>
            <w:tcW w:w="1486" w:type="dxa"/>
          </w:tcPr>
          <w:p w:rsidR="00D849AA" w:rsidRPr="000E4589" w:rsidRDefault="00EE6D95">
            <w:pPr>
              <w:rPr>
                <w:rFonts w:ascii="Arial" w:hAnsi="Arial" w:cs="Arial"/>
              </w:rPr>
            </w:pPr>
            <w:r w:rsidRPr="000E4589">
              <w:rPr>
                <w:rFonts w:ascii="Arial" w:hAnsi="Arial" w:cs="Arial"/>
              </w:rPr>
              <w:t>77</w:t>
            </w:r>
          </w:p>
        </w:tc>
        <w:tc>
          <w:tcPr>
            <w:tcW w:w="1486" w:type="dxa"/>
          </w:tcPr>
          <w:p w:rsidR="00D849AA" w:rsidRPr="000E4589" w:rsidRDefault="00EE6D95">
            <w:pPr>
              <w:rPr>
                <w:rFonts w:ascii="Arial" w:hAnsi="Arial" w:cs="Arial"/>
              </w:rPr>
            </w:pPr>
            <w:r w:rsidRPr="000E4589">
              <w:rPr>
                <w:rFonts w:ascii="Arial" w:hAnsi="Arial" w:cs="Arial"/>
              </w:rPr>
              <w:t>72</w:t>
            </w:r>
          </w:p>
        </w:tc>
        <w:tc>
          <w:tcPr>
            <w:tcW w:w="1486" w:type="dxa"/>
          </w:tcPr>
          <w:p w:rsidR="00D849AA" w:rsidRPr="000E4589" w:rsidRDefault="00EE6D95">
            <w:pPr>
              <w:rPr>
                <w:rFonts w:ascii="Arial" w:hAnsi="Arial" w:cs="Arial"/>
              </w:rPr>
            </w:pPr>
            <w:r w:rsidRPr="000E4589">
              <w:rPr>
                <w:rFonts w:ascii="Arial" w:hAnsi="Arial" w:cs="Arial"/>
              </w:rPr>
              <w:t>67</w:t>
            </w:r>
          </w:p>
        </w:tc>
      </w:tr>
    </w:tbl>
    <w:p w:rsidR="00D849AA" w:rsidRDefault="00D849AA">
      <w:pPr>
        <w:jc w:val="left"/>
      </w:pPr>
    </w:p>
    <w:p w:rsidR="00D849AA" w:rsidRDefault="00EE6D95">
      <w:pPr>
        <w:pStyle w:val="Naslov7"/>
      </w:pPr>
      <w:r>
        <w:lastRenderedPageBreak/>
        <w:t>Cilj 2. Privlačenje i realizacija ulagačkih projekata</w:t>
      </w:r>
    </w:p>
    <w:p w:rsidR="00D849AA" w:rsidRDefault="00EE6D95">
      <w:pPr>
        <w:pStyle w:val="Normal6"/>
      </w:pPr>
      <w:r>
        <w:t xml:space="preserve">Jedna od temeljnih aktivnosti AIK-a je proaktivno traženje, privlačenje i realizacija investicijskih projekata velikih tvrtki koji će rezultirati stvaranjem novih radnih mjesta kao i povećanjem proizvodnje te koji će omogućiti prijenos znanja i novih tehnologija. </w:t>
      </w:r>
    </w:p>
    <w:p w:rsidR="00D849AA" w:rsidRDefault="00EE6D95">
      <w:pPr>
        <w:pStyle w:val="Normal6"/>
      </w:pPr>
      <w:r>
        <w:t xml:space="preserve">AIK svim investitorima u okviru svojih nadležnosti stoji na raspolaganju za davanje informacija o mogućnostima i uvjetima ulaganja u Republiku Hrvatsku, kao i za vođenje investicijskog projekta od inicijalnog upita, organizacije posjete te post-investicijske brige.  </w:t>
      </w:r>
    </w:p>
    <w:p w:rsidR="00D849AA" w:rsidRDefault="00EE6D95">
      <w:pPr>
        <w:pStyle w:val="Normal6"/>
      </w:pPr>
      <w:r>
        <w:t>AIK osigurava podršku svim investitorima u procesu realizacije projekata u RH kroz pružanje svih operativnih usluga; od inicijalnog upita i organizacije posjeta lokacijama, preko pružanja informacija o potrebnim dozvolama i mogućnostima ostvarivanja poticaja za investicije do povezivanja s nadležnim tijelima državne uprave i ostalim subjektima neophodnim u realizaciji projekata. AIK uz navedene aktivnosti osigurava i široki spektar usluga investitorima i nakon realizacije samog investicijskog projekta s ciljem povećanja investicija.</w:t>
      </w:r>
    </w:p>
    <w:p w:rsidR="00E000A0" w:rsidRDefault="00E000A0">
      <w:pPr>
        <w:pStyle w:val="Normal6"/>
      </w:pP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0E4589" w:rsidRDefault="00EE6D95">
            <w:pPr>
              <w:rPr>
                <w:rFonts w:ascii="Arial" w:hAnsi="Arial" w:cs="Arial"/>
              </w:rPr>
            </w:pPr>
            <w:r w:rsidRPr="000E4589">
              <w:rPr>
                <w:rFonts w:ascii="Arial" w:hAnsi="Arial" w:cs="Arial"/>
              </w:rPr>
              <w:t>Pokazatelj učinka</w:t>
            </w:r>
          </w:p>
        </w:tc>
        <w:tc>
          <w:tcPr>
            <w:tcW w:w="1114" w:type="dxa"/>
            <w:shd w:val="clear" w:color="auto" w:fill="B5C0D8"/>
          </w:tcPr>
          <w:p w:rsidR="00D849AA" w:rsidRPr="000E4589" w:rsidRDefault="00EE6D95">
            <w:pPr>
              <w:pStyle w:val="CellHeader"/>
            </w:pPr>
            <w:r w:rsidRPr="000E4589">
              <w:t>Jedinica</w:t>
            </w:r>
          </w:p>
        </w:tc>
        <w:tc>
          <w:tcPr>
            <w:tcW w:w="1114" w:type="dxa"/>
            <w:shd w:val="clear" w:color="auto" w:fill="B5C0D8"/>
          </w:tcPr>
          <w:p w:rsidR="00D849AA" w:rsidRPr="000E4589" w:rsidRDefault="00EE6D95">
            <w:pPr>
              <w:pStyle w:val="CellHeader"/>
            </w:pPr>
            <w:r w:rsidRPr="000E4589">
              <w:t>Polazna vrijednost</w:t>
            </w:r>
          </w:p>
        </w:tc>
        <w:tc>
          <w:tcPr>
            <w:tcW w:w="1486" w:type="dxa"/>
            <w:shd w:val="clear" w:color="auto" w:fill="B5C0D8"/>
          </w:tcPr>
          <w:p w:rsidR="00D849AA" w:rsidRPr="000E4589" w:rsidRDefault="00EE6D95">
            <w:pPr>
              <w:pStyle w:val="CellHeader"/>
            </w:pPr>
            <w:r w:rsidRPr="000E4589">
              <w:t>Ciljana vrijednost (2014.)</w:t>
            </w:r>
          </w:p>
        </w:tc>
        <w:tc>
          <w:tcPr>
            <w:tcW w:w="1486" w:type="dxa"/>
            <w:shd w:val="clear" w:color="auto" w:fill="B5C0D8"/>
          </w:tcPr>
          <w:p w:rsidR="00D849AA" w:rsidRPr="000E4589" w:rsidRDefault="00EE6D95">
            <w:pPr>
              <w:pStyle w:val="CellHeader"/>
            </w:pPr>
            <w:r w:rsidRPr="000E4589">
              <w:t>Ciljana vrijednost (2015.)</w:t>
            </w:r>
          </w:p>
        </w:tc>
        <w:tc>
          <w:tcPr>
            <w:tcW w:w="1486" w:type="dxa"/>
            <w:shd w:val="clear" w:color="auto" w:fill="B5C0D8"/>
          </w:tcPr>
          <w:p w:rsidR="00D849AA" w:rsidRPr="000E4589" w:rsidRDefault="00EE6D95">
            <w:pPr>
              <w:pStyle w:val="CellHeader"/>
            </w:pPr>
            <w:r w:rsidRPr="000E4589">
              <w:t>Ciljana vrijednost (2016.)</w:t>
            </w:r>
          </w:p>
        </w:tc>
      </w:tr>
      <w:tr w:rsidR="00D849AA">
        <w:trPr>
          <w:jc w:val="center"/>
        </w:trPr>
        <w:tc>
          <w:tcPr>
            <w:tcW w:w="2229" w:type="dxa"/>
          </w:tcPr>
          <w:p w:rsidR="00D849AA" w:rsidRPr="000E4589" w:rsidRDefault="00EE6D95">
            <w:pPr>
              <w:pStyle w:val="CellColumn"/>
            </w:pPr>
            <w:r w:rsidRPr="000E4589">
              <w:t>Povećanje broja investicijskih projekata u portfelju AIK-a</w:t>
            </w:r>
          </w:p>
        </w:tc>
        <w:tc>
          <w:tcPr>
            <w:tcW w:w="1114" w:type="dxa"/>
          </w:tcPr>
          <w:p w:rsidR="00D849AA" w:rsidRPr="000E4589" w:rsidRDefault="00EE6D95">
            <w:pPr>
              <w:rPr>
                <w:rFonts w:ascii="Arial" w:hAnsi="Arial" w:cs="Arial"/>
              </w:rPr>
            </w:pPr>
            <w:r w:rsidRPr="000E4589">
              <w:rPr>
                <w:rFonts w:ascii="Arial" w:hAnsi="Arial" w:cs="Arial"/>
              </w:rPr>
              <w:t>broj</w:t>
            </w:r>
          </w:p>
        </w:tc>
        <w:tc>
          <w:tcPr>
            <w:tcW w:w="1114" w:type="dxa"/>
          </w:tcPr>
          <w:p w:rsidR="00D849AA" w:rsidRPr="000E4589" w:rsidRDefault="00EE6D95">
            <w:pPr>
              <w:rPr>
                <w:rFonts w:ascii="Arial" w:hAnsi="Arial" w:cs="Arial"/>
              </w:rPr>
            </w:pPr>
            <w:r w:rsidRPr="000E4589">
              <w:rPr>
                <w:rFonts w:ascii="Arial" w:hAnsi="Arial" w:cs="Arial"/>
              </w:rPr>
              <w:t>70</w:t>
            </w:r>
          </w:p>
        </w:tc>
        <w:tc>
          <w:tcPr>
            <w:tcW w:w="1486" w:type="dxa"/>
          </w:tcPr>
          <w:p w:rsidR="00D849AA" w:rsidRPr="000E4589" w:rsidRDefault="00EE6D95">
            <w:pPr>
              <w:rPr>
                <w:rFonts w:ascii="Arial" w:hAnsi="Arial" w:cs="Arial"/>
              </w:rPr>
            </w:pPr>
            <w:r w:rsidRPr="000E4589">
              <w:rPr>
                <w:rFonts w:ascii="Arial" w:hAnsi="Arial" w:cs="Arial"/>
              </w:rPr>
              <w:t>85</w:t>
            </w:r>
          </w:p>
        </w:tc>
        <w:tc>
          <w:tcPr>
            <w:tcW w:w="1486" w:type="dxa"/>
          </w:tcPr>
          <w:p w:rsidR="00D849AA" w:rsidRPr="000E4589" w:rsidRDefault="00EE6D95">
            <w:pPr>
              <w:rPr>
                <w:rFonts w:ascii="Arial" w:hAnsi="Arial" w:cs="Arial"/>
              </w:rPr>
            </w:pPr>
            <w:r w:rsidRPr="000E4589">
              <w:rPr>
                <w:rFonts w:ascii="Arial" w:hAnsi="Arial" w:cs="Arial"/>
              </w:rPr>
              <w:t>100</w:t>
            </w:r>
          </w:p>
        </w:tc>
        <w:tc>
          <w:tcPr>
            <w:tcW w:w="1486" w:type="dxa"/>
          </w:tcPr>
          <w:p w:rsidR="00D849AA" w:rsidRPr="000E4589" w:rsidRDefault="00EE6D95">
            <w:pPr>
              <w:rPr>
                <w:rFonts w:ascii="Arial" w:hAnsi="Arial" w:cs="Arial"/>
              </w:rPr>
            </w:pPr>
            <w:r w:rsidRPr="000E4589">
              <w:rPr>
                <w:rFonts w:ascii="Arial" w:hAnsi="Arial" w:cs="Arial"/>
              </w:rPr>
              <w:t>115</w:t>
            </w:r>
          </w:p>
        </w:tc>
      </w:tr>
    </w:tbl>
    <w:p w:rsidR="00D849AA" w:rsidRDefault="00D849AA">
      <w:pPr>
        <w:jc w:val="left"/>
      </w:pPr>
    </w:p>
    <w:p w:rsidR="00D849AA" w:rsidRDefault="00EE6D95">
      <w:pPr>
        <w:pStyle w:val="Naslov5"/>
      </w:pPr>
      <w:r>
        <w:t>Procjena i ishodište potrebnih sredstava za značajnije aktivnosti/projekte</w:t>
      </w:r>
    </w:p>
    <w:p w:rsidR="00D849AA" w:rsidRDefault="00EE6D95">
      <w:pPr>
        <w:pStyle w:val="Naslov6"/>
      </w:pPr>
      <w:r>
        <w:t>A864008 PRIVLAČENJE INVESTICIJA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rsidRPr="000E4589">
        <w:trPr>
          <w:jc w:val="center"/>
        </w:trPr>
        <w:tc>
          <w:tcPr>
            <w:tcW w:w="1486" w:type="dxa"/>
            <w:shd w:val="clear" w:color="auto" w:fill="B5C0D8"/>
          </w:tcPr>
          <w:p w:rsidR="00D849AA" w:rsidRPr="000E4589" w:rsidRDefault="00EE6D95">
            <w:pPr>
              <w:pStyle w:val="CellHeader"/>
            </w:pPr>
            <w:r w:rsidRPr="000E4589">
              <w:t>Naziv aktivnosti</w:t>
            </w:r>
          </w:p>
        </w:tc>
        <w:tc>
          <w:tcPr>
            <w:tcW w:w="1486" w:type="dxa"/>
            <w:shd w:val="clear" w:color="auto" w:fill="B5C0D8"/>
          </w:tcPr>
          <w:p w:rsidR="00D849AA" w:rsidRPr="000E4589" w:rsidRDefault="00EE6D95">
            <w:pPr>
              <w:pStyle w:val="CellHeader"/>
            </w:pPr>
            <w:r w:rsidRPr="000E4589">
              <w:t>Plan 2013.</w:t>
            </w:r>
          </w:p>
        </w:tc>
        <w:tc>
          <w:tcPr>
            <w:tcW w:w="1486" w:type="dxa"/>
            <w:shd w:val="clear" w:color="auto" w:fill="B5C0D8"/>
          </w:tcPr>
          <w:p w:rsidR="00D849AA" w:rsidRPr="000E4589" w:rsidRDefault="00EE6D95">
            <w:pPr>
              <w:pStyle w:val="CellHeader"/>
            </w:pPr>
            <w:r w:rsidRPr="000E4589">
              <w:t>Plan 2014.</w:t>
            </w:r>
          </w:p>
        </w:tc>
        <w:tc>
          <w:tcPr>
            <w:tcW w:w="1486" w:type="dxa"/>
            <w:shd w:val="clear" w:color="auto" w:fill="B5C0D8"/>
          </w:tcPr>
          <w:p w:rsidR="00D849AA" w:rsidRPr="000E4589" w:rsidRDefault="00EE6D95">
            <w:pPr>
              <w:pStyle w:val="CellHeader"/>
            </w:pPr>
            <w:r w:rsidRPr="000E4589">
              <w:t>Plan 2015.</w:t>
            </w:r>
          </w:p>
        </w:tc>
        <w:tc>
          <w:tcPr>
            <w:tcW w:w="1486" w:type="dxa"/>
            <w:shd w:val="clear" w:color="auto" w:fill="B5C0D8"/>
          </w:tcPr>
          <w:p w:rsidR="00D849AA" w:rsidRPr="000E4589" w:rsidRDefault="00EE6D95">
            <w:pPr>
              <w:pStyle w:val="CellHeader"/>
            </w:pPr>
            <w:r w:rsidRPr="000E4589">
              <w:t>Plan 2016.</w:t>
            </w:r>
          </w:p>
        </w:tc>
        <w:tc>
          <w:tcPr>
            <w:tcW w:w="1486" w:type="dxa"/>
            <w:shd w:val="clear" w:color="auto" w:fill="B5C0D8"/>
          </w:tcPr>
          <w:p w:rsidR="00D849AA" w:rsidRPr="000E4589" w:rsidRDefault="00EE6D95">
            <w:pPr>
              <w:pStyle w:val="CellHeader"/>
            </w:pPr>
            <w:r w:rsidRPr="000E4589">
              <w:t>Indeks 2014/2013</w:t>
            </w:r>
          </w:p>
        </w:tc>
      </w:tr>
      <w:tr w:rsidR="00D849AA" w:rsidRPr="000E4589">
        <w:trPr>
          <w:jc w:val="center"/>
        </w:trPr>
        <w:tc>
          <w:tcPr>
            <w:tcW w:w="1486" w:type="dxa"/>
          </w:tcPr>
          <w:p w:rsidR="00D849AA" w:rsidRPr="000E4589" w:rsidRDefault="00EE6D95">
            <w:pPr>
              <w:pStyle w:val="CellColumn"/>
            </w:pPr>
            <w:r w:rsidRPr="000E4589">
              <w:t>A864008</w:t>
            </w:r>
          </w:p>
        </w:tc>
        <w:tc>
          <w:tcPr>
            <w:tcW w:w="1486" w:type="dxa"/>
          </w:tcPr>
          <w:p w:rsidR="00D849AA" w:rsidRPr="000E4589" w:rsidRDefault="00EE6D95">
            <w:pPr>
              <w:rPr>
                <w:rFonts w:ascii="Arial" w:hAnsi="Arial" w:cs="Arial"/>
              </w:rPr>
            </w:pPr>
            <w:r w:rsidRPr="000E4589">
              <w:rPr>
                <w:rFonts w:ascii="Arial" w:hAnsi="Arial" w:cs="Arial"/>
              </w:rPr>
              <w:t>927.000</w:t>
            </w:r>
          </w:p>
        </w:tc>
        <w:tc>
          <w:tcPr>
            <w:tcW w:w="1486" w:type="dxa"/>
          </w:tcPr>
          <w:p w:rsidR="00D849AA" w:rsidRPr="000E4589" w:rsidRDefault="00EE6D95">
            <w:pPr>
              <w:rPr>
                <w:rFonts w:ascii="Arial" w:hAnsi="Arial" w:cs="Arial"/>
              </w:rPr>
            </w:pPr>
            <w:r w:rsidRPr="000E4589">
              <w:rPr>
                <w:rFonts w:ascii="Arial" w:hAnsi="Arial" w:cs="Arial"/>
              </w:rPr>
              <w:t>819.000</w:t>
            </w:r>
          </w:p>
        </w:tc>
        <w:tc>
          <w:tcPr>
            <w:tcW w:w="1486" w:type="dxa"/>
          </w:tcPr>
          <w:p w:rsidR="00D849AA" w:rsidRPr="000E4589" w:rsidRDefault="00EE6D95">
            <w:pPr>
              <w:rPr>
                <w:rFonts w:ascii="Arial" w:hAnsi="Arial" w:cs="Arial"/>
              </w:rPr>
            </w:pPr>
            <w:r w:rsidRPr="000E4589">
              <w:rPr>
                <w:rFonts w:ascii="Arial" w:hAnsi="Arial" w:cs="Arial"/>
              </w:rPr>
              <w:t>897.000</w:t>
            </w:r>
          </w:p>
        </w:tc>
        <w:tc>
          <w:tcPr>
            <w:tcW w:w="1486" w:type="dxa"/>
          </w:tcPr>
          <w:p w:rsidR="00D849AA" w:rsidRPr="000E4589" w:rsidRDefault="00EE6D95">
            <w:pPr>
              <w:rPr>
                <w:rFonts w:ascii="Arial" w:hAnsi="Arial" w:cs="Arial"/>
              </w:rPr>
            </w:pPr>
            <w:r w:rsidRPr="000E4589">
              <w:rPr>
                <w:rFonts w:ascii="Arial" w:hAnsi="Arial" w:cs="Arial"/>
              </w:rPr>
              <w:t>997.000</w:t>
            </w:r>
          </w:p>
        </w:tc>
        <w:tc>
          <w:tcPr>
            <w:tcW w:w="1486" w:type="dxa"/>
          </w:tcPr>
          <w:p w:rsidR="00D849AA" w:rsidRPr="000E4589" w:rsidRDefault="00EE6D95">
            <w:pPr>
              <w:rPr>
                <w:rFonts w:ascii="Arial" w:hAnsi="Arial" w:cs="Arial"/>
              </w:rPr>
            </w:pPr>
            <w:r w:rsidRPr="000E4589">
              <w:rPr>
                <w:rFonts w:ascii="Arial" w:hAnsi="Arial" w:cs="Arial"/>
              </w:rPr>
              <w:t>88,3</w:t>
            </w:r>
          </w:p>
        </w:tc>
      </w:tr>
    </w:tbl>
    <w:p w:rsidR="00D849AA" w:rsidRPr="000E4589" w:rsidRDefault="00D849AA">
      <w:pPr>
        <w:jc w:val="left"/>
        <w:rPr>
          <w:rFonts w:ascii="Arial" w:hAnsi="Arial" w:cs="Arial"/>
        </w:rPr>
      </w:pPr>
    </w:p>
    <w:p w:rsidR="00D849AA" w:rsidRDefault="00EE6D95">
      <w:pPr>
        <w:pStyle w:val="Normal6"/>
      </w:pPr>
      <w:r>
        <w:t xml:space="preserve">Privlačenje investicija obuhvaća pružanje sustavne potpore realizaciji investicijskih projekata, proaktivno privlačenje investicija, provođenje investicijske politike, unaprjeđenje investicijskog okruženja, te promociju Republike Hrvatske kao investicijske destinacije. </w:t>
      </w:r>
    </w:p>
    <w:p w:rsidR="00E000A0" w:rsidRDefault="00EE6D95" w:rsidP="00E000A0">
      <w:pPr>
        <w:pStyle w:val="Normal6"/>
      </w:pPr>
      <w:r>
        <w:t xml:space="preserve">U obavljanju aktivnosti privlačenja investicija, provodi se proaktivni pristup poticanja investicija. AIK priprema projekte za ponudu investitorima, pruža podršku postojećim i potencijalnim investitorima pri realizaciji investicijskih projekata </w:t>
      </w:r>
      <w:r w:rsidR="00E000A0">
        <w:t>te vodi postinvesticijsku brigu.</w:t>
      </w:r>
    </w:p>
    <w:p w:rsidR="00E000A0" w:rsidRDefault="00E000A0" w:rsidP="00E000A0">
      <w:pPr>
        <w:pStyle w:val="Normal6"/>
      </w:pPr>
    </w:p>
    <w:p w:rsidR="00E000A0" w:rsidRDefault="00E000A0" w:rsidP="00E000A0">
      <w:pPr>
        <w:pStyle w:val="Normal6"/>
      </w:pPr>
    </w:p>
    <w:p w:rsidR="00E000A0" w:rsidRDefault="00E000A0">
      <w:pPr>
        <w:pStyle w:val="Naslov8"/>
        <w:jc w:val="left"/>
      </w:pPr>
    </w:p>
    <w:p w:rsidR="000E4589" w:rsidRPr="000E4589" w:rsidRDefault="000E4589" w:rsidP="000E4589"/>
    <w:p w:rsidR="00D849AA" w:rsidRDefault="00EE6D95">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0E4589" w:rsidRDefault="00EE6D95">
            <w:pPr>
              <w:rPr>
                <w:rFonts w:ascii="Arial" w:hAnsi="Arial" w:cs="Arial"/>
              </w:rPr>
            </w:pPr>
            <w:r w:rsidRPr="000E4589">
              <w:rPr>
                <w:rFonts w:ascii="Arial" w:hAnsi="Arial" w:cs="Arial"/>
              </w:rPr>
              <w:t>Pokazatelj rezultata</w:t>
            </w:r>
          </w:p>
        </w:tc>
        <w:tc>
          <w:tcPr>
            <w:tcW w:w="1114" w:type="dxa"/>
            <w:shd w:val="clear" w:color="auto" w:fill="B5C0D8"/>
          </w:tcPr>
          <w:p w:rsidR="00D849AA" w:rsidRPr="000E4589" w:rsidRDefault="00EE6D95">
            <w:pPr>
              <w:pStyle w:val="CellHeader"/>
            </w:pPr>
            <w:r w:rsidRPr="000E4589">
              <w:t>Jedinica</w:t>
            </w:r>
          </w:p>
        </w:tc>
        <w:tc>
          <w:tcPr>
            <w:tcW w:w="1114" w:type="dxa"/>
            <w:shd w:val="clear" w:color="auto" w:fill="B5C0D8"/>
          </w:tcPr>
          <w:p w:rsidR="00D849AA" w:rsidRPr="000E4589" w:rsidRDefault="00EE6D95">
            <w:pPr>
              <w:pStyle w:val="CellHeader"/>
            </w:pPr>
            <w:r w:rsidRPr="000E4589">
              <w:t>Polazna vrijednost</w:t>
            </w:r>
          </w:p>
        </w:tc>
        <w:tc>
          <w:tcPr>
            <w:tcW w:w="1486" w:type="dxa"/>
            <w:shd w:val="clear" w:color="auto" w:fill="B5C0D8"/>
          </w:tcPr>
          <w:p w:rsidR="00D849AA" w:rsidRPr="000E4589" w:rsidRDefault="00EE6D95">
            <w:pPr>
              <w:pStyle w:val="CellHeader"/>
            </w:pPr>
            <w:r w:rsidRPr="000E4589">
              <w:t>Ciljana vrijednost (2014.)</w:t>
            </w:r>
          </w:p>
        </w:tc>
        <w:tc>
          <w:tcPr>
            <w:tcW w:w="1486" w:type="dxa"/>
            <w:shd w:val="clear" w:color="auto" w:fill="B5C0D8"/>
          </w:tcPr>
          <w:p w:rsidR="00D849AA" w:rsidRPr="000E4589" w:rsidRDefault="00EE6D95">
            <w:pPr>
              <w:pStyle w:val="CellHeader"/>
            </w:pPr>
            <w:r w:rsidRPr="000E4589">
              <w:t>Ciljana vrijednost (2015.)</w:t>
            </w:r>
          </w:p>
        </w:tc>
        <w:tc>
          <w:tcPr>
            <w:tcW w:w="1486" w:type="dxa"/>
            <w:shd w:val="clear" w:color="auto" w:fill="B5C0D8"/>
          </w:tcPr>
          <w:p w:rsidR="00D849AA" w:rsidRPr="000E4589" w:rsidRDefault="00EE6D95">
            <w:pPr>
              <w:pStyle w:val="CellHeader"/>
            </w:pPr>
            <w:r w:rsidRPr="000E4589">
              <w:t>Ciljana vrijednost (2016.)</w:t>
            </w:r>
          </w:p>
        </w:tc>
      </w:tr>
      <w:tr w:rsidR="00D849AA">
        <w:trPr>
          <w:jc w:val="center"/>
        </w:trPr>
        <w:tc>
          <w:tcPr>
            <w:tcW w:w="2229" w:type="dxa"/>
          </w:tcPr>
          <w:p w:rsidR="00D849AA" w:rsidRPr="000E4589" w:rsidRDefault="00EE6D95">
            <w:pPr>
              <w:pStyle w:val="CellColumn"/>
            </w:pPr>
            <w:r w:rsidRPr="000E4589">
              <w:t>Povećanje broja aktivnosti vezanih uz privlačenje investitora</w:t>
            </w:r>
          </w:p>
        </w:tc>
        <w:tc>
          <w:tcPr>
            <w:tcW w:w="1114" w:type="dxa"/>
          </w:tcPr>
          <w:p w:rsidR="00D849AA" w:rsidRPr="000E4589" w:rsidRDefault="00EE6D95">
            <w:pPr>
              <w:rPr>
                <w:rFonts w:ascii="Arial" w:hAnsi="Arial" w:cs="Arial"/>
              </w:rPr>
            </w:pPr>
            <w:r w:rsidRPr="000E4589">
              <w:rPr>
                <w:rFonts w:ascii="Arial" w:hAnsi="Arial" w:cs="Arial"/>
              </w:rPr>
              <w:t>broj</w:t>
            </w:r>
          </w:p>
        </w:tc>
        <w:tc>
          <w:tcPr>
            <w:tcW w:w="1114" w:type="dxa"/>
          </w:tcPr>
          <w:p w:rsidR="00D849AA" w:rsidRPr="000E4589" w:rsidRDefault="00EE6D95">
            <w:pPr>
              <w:rPr>
                <w:rFonts w:ascii="Arial" w:hAnsi="Arial" w:cs="Arial"/>
              </w:rPr>
            </w:pPr>
            <w:r w:rsidRPr="000E4589">
              <w:rPr>
                <w:rFonts w:ascii="Arial" w:hAnsi="Arial" w:cs="Arial"/>
              </w:rPr>
              <w:t>4</w:t>
            </w:r>
          </w:p>
        </w:tc>
        <w:tc>
          <w:tcPr>
            <w:tcW w:w="1486" w:type="dxa"/>
          </w:tcPr>
          <w:p w:rsidR="00D849AA" w:rsidRPr="000E4589" w:rsidRDefault="00EE6D95">
            <w:pPr>
              <w:rPr>
                <w:rFonts w:ascii="Arial" w:hAnsi="Arial" w:cs="Arial"/>
              </w:rPr>
            </w:pPr>
            <w:r w:rsidRPr="000E4589">
              <w:rPr>
                <w:rFonts w:ascii="Arial" w:hAnsi="Arial" w:cs="Arial"/>
              </w:rPr>
              <w:t>8</w:t>
            </w:r>
          </w:p>
        </w:tc>
        <w:tc>
          <w:tcPr>
            <w:tcW w:w="1486" w:type="dxa"/>
          </w:tcPr>
          <w:p w:rsidR="00D849AA" w:rsidRPr="000E4589" w:rsidRDefault="00EE6D95">
            <w:pPr>
              <w:rPr>
                <w:rFonts w:ascii="Arial" w:hAnsi="Arial" w:cs="Arial"/>
              </w:rPr>
            </w:pPr>
            <w:r w:rsidRPr="000E4589">
              <w:rPr>
                <w:rFonts w:ascii="Arial" w:hAnsi="Arial" w:cs="Arial"/>
              </w:rPr>
              <w:t>12</w:t>
            </w:r>
          </w:p>
        </w:tc>
        <w:tc>
          <w:tcPr>
            <w:tcW w:w="1486" w:type="dxa"/>
          </w:tcPr>
          <w:p w:rsidR="00D849AA" w:rsidRPr="000E4589" w:rsidRDefault="00EE6D95">
            <w:pPr>
              <w:rPr>
                <w:rFonts w:ascii="Arial" w:hAnsi="Arial" w:cs="Arial"/>
              </w:rPr>
            </w:pPr>
            <w:r w:rsidRPr="000E4589">
              <w:rPr>
                <w:rFonts w:ascii="Arial" w:hAnsi="Arial" w:cs="Arial"/>
              </w:rPr>
              <w:t>14</w:t>
            </w:r>
          </w:p>
        </w:tc>
      </w:tr>
      <w:tr w:rsidR="00D849AA">
        <w:trPr>
          <w:jc w:val="center"/>
        </w:trPr>
        <w:tc>
          <w:tcPr>
            <w:tcW w:w="2229" w:type="dxa"/>
          </w:tcPr>
          <w:p w:rsidR="00D849AA" w:rsidRPr="000E4589" w:rsidRDefault="00EE6D95">
            <w:pPr>
              <w:pStyle w:val="CellColumn"/>
            </w:pPr>
            <w:r w:rsidRPr="000E4589">
              <w:t>Povećanje broja pripremljenih investicijskih projekata i ulagačkih destinacija</w:t>
            </w:r>
          </w:p>
        </w:tc>
        <w:tc>
          <w:tcPr>
            <w:tcW w:w="1114" w:type="dxa"/>
          </w:tcPr>
          <w:p w:rsidR="00D849AA" w:rsidRPr="000E4589" w:rsidRDefault="00EE6D95">
            <w:pPr>
              <w:rPr>
                <w:rFonts w:ascii="Arial" w:hAnsi="Arial" w:cs="Arial"/>
              </w:rPr>
            </w:pPr>
            <w:r w:rsidRPr="000E4589">
              <w:rPr>
                <w:rFonts w:ascii="Arial" w:hAnsi="Arial" w:cs="Arial"/>
              </w:rPr>
              <w:t>broj</w:t>
            </w:r>
          </w:p>
        </w:tc>
        <w:tc>
          <w:tcPr>
            <w:tcW w:w="1114" w:type="dxa"/>
          </w:tcPr>
          <w:p w:rsidR="00D849AA" w:rsidRPr="000E4589" w:rsidRDefault="00EE6D95">
            <w:pPr>
              <w:rPr>
                <w:rFonts w:ascii="Arial" w:hAnsi="Arial" w:cs="Arial"/>
              </w:rPr>
            </w:pPr>
            <w:r w:rsidRPr="000E4589">
              <w:rPr>
                <w:rFonts w:ascii="Arial" w:hAnsi="Arial" w:cs="Arial"/>
              </w:rPr>
              <w:t>12</w:t>
            </w:r>
          </w:p>
        </w:tc>
        <w:tc>
          <w:tcPr>
            <w:tcW w:w="1486" w:type="dxa"/>
          </w:tcPr>
          <w:p w:rsidR="00D849AA" w:rsidRPr="000E4589" w:rsidRDefault="00EE6D95">
            <w:pPr>
              <w:rPr>
                <w:rFonts w:ascii="Arial" w:hAnsi="Arial" w:cs="Arial"/>
              </w:rPr>
            </w:pPr>
            <w:r w:rsidRPr="000E4589">
              <w:rPr>
                <w:rFonts w:ascii="Arial" w:hAnsi="Arial" w:cs="Arial"/>
              </w:rPr>
              <w:t>20</w:t>
            </w:r>
          </w:p>
        </w:tc>
        <w:tc>
          <w:tcPr>
            <w:tcW w:w="1486" w:type="dxa"/>
          </w:tcPr>
          <w:p w:rsidR="00D849AA" w:rsidRPr="000E4589" w:rsidRDefault="00EE6D95">
            <w:pPr>
              <w:rPr>
                <w:rFonts w:ascii="Arial" w:hAnsi="Arial" w:cs="Arial"/>
              </w:rPr>
            </w:pPr>
            <w:r w:rsidRPr="000E4589">
              <w:rPr>
                <w:rFonts w:ascii="Arial" w:hAnsi="Arial" w:cs="Arial"/>
              </w:rPr>
              <w:t>25</w:t>
            </w:r>
          </w:p>
        </w:tc>
        <w:tc>
          <w:tcPr>
            <w:tcW w:w="1486" w:type="dxa"/>
          </w:tcPr>
          <w:p w:rsidR="00D849AA" w:rsidRPr="000E4589" w:rsidRDefault="00EE6D95">
            <w:pPr>
              <w:rPr>
                <w:rFonts w:ascii="Arial" w:hAnsi="Arial" w:cs="Arial"/>
              </w:rPr>
            </w:pPr>
            <w:r w:rsidRPr="000E4589">
              <w:rPr>
                <w:rFonts w:ascii="Arial" w:hAnsi="Arial" w:cs="Arial"/>
              </w:rPr>
              <w:t>30</w:t>
            </w:r>
          </w:p>
        </w:tc>
      </w:tr>
      <w:tr w:rsidR="00D849AA">
        <w:trPr>
          <w:jc w:val="center"/>
        </w:trPr>
        <w:tc>
          <w:tcPr>
            <w:tcW w:w="2229" w:type="dxa"/>
          </w:tcPr>
          <w:p w:rsidR="00D849AA" w:rsidRPr="000E4589" w:rsidRDefault="00EE6D95">
            <w:pPr>
              <w:pStyle w:val="CellColumn"/>
            </w:pPr>
            <w:r w:rsidRPr="000E4589">
              <w:t>Povećanje broja aktivnosti vezanih uz podršku investitorima</w:t>
            </w:r>
          </w:p>
        </w:tc>
        <w:tc>
          <w:tcPr>
            <w:tcW w:w="1114" w:type="dxa"/>
          </w:tcPr>
          <w:p w:rsidR="00D849AA" w:rsidRPr="000E4589" w:rsidRDefault="00EE6D95">
            <w:pPr>
              <w:rPr>
                <w:rFonts w:ascii="Arial" w:hAnsi="Arial" w:cs="Arial"/>
              </w:rPr>
            </w:pPr>
            <w:r w:rsidRPr="000E4589">
              <w:rPr>
                <w:rFonts w:ascii="Arial" w:hAnsi="Arial" w:cs="Arial"/>
              </w:rPr>
              <w:t>broj</w:t>
            </w:r>
          </w:p>
        </w:tc>
        <w:tc>
          <w:tcPr>
            <w:tcW w:w="1114" w:type="dxa"/>
          </w:tcPr>
          <w:p w:rsidR="00D849AA" w:rsidRPr="000E4589" w:rsidRDefault="00EE6D95">
            <w:pPr>
              <w:rPr>
                <w:rFonts w:ascii="Arial" w:hAnsi="Arial" w:cs="Arial"/>
              </w:rPr>
            </w:pPr>
            <w:r w:rsidRPr="000E4589">
              <w:rPr>
                <w:rFonts w:ascii="Arial" w:hAnsi="Arial" w:cs="Arial"/>
              </w:rPr>
              <w:t>6</w:t>
            </w:r>
          </w:p>
        </w:tc>
        <w:tc>
          <w:tcPr>
            <w:tcW w:w="1486" w:type="dxa"/>
          </w:tcPr>
          <w:p w:rsidR="00D849AA" w:rsidRPr="000E4589" w:rsidRDefault="00EE6D95">
            <w:pPr>
              <w:rPr>
                <w:rFonts w:ascii="Arial" w:hAnsi="Arial" w:cs="Arial"/>
              </w:rPr>
            </w:pPr>
            <w:r w:rsidRPr="000E4589">
              <w:rPr>
                <w:rFonts w:ascii="Arial" w:hAnsi="Arial" w:cs="Arial"/>
              </w:rPr>
              <w:t>8</w:t>
            </w:r>
          </w:p>
        </w:tc>
        <w:tc>
          <w:tcPr>
            <w:tcW w:w="1486" w:type="dxa"/>
          </w:tcPr>
          <w:p w:rsidR="00D849AA" w:rsidRPr="000E4589" w:rsidRDefault="00EE6D95">
            <w:pPr>
              <w:rPr>
                <w:rFonts w:ascii="Arial" w:hAnsi="Arial" w:cs="Arial"/>
              </w:rPr>
            </w:pPr>
            <w:r w:rsidRPr="000E4589">
              <w:rPr>
                <w:rFonts w:ascii="Arial" w:hAnsi="Arial" w:cs="Arial"/>
              </w:rPr>
              <w:t>10</w:t>
            </w:r>
          </w:p>
        </w:tc>
        <w:tc>
          <w:tcPr>
            <w:tcW w:w="1486" w:type="dxa"/>
          </w:tcPr>
          <w:p w:rsidR="00D849AA" w:rsidRPr="000E4589" w:rsidRDefault="00EE6D95">
            <w:pPr>
              <w:rPr>
                <w:rFonts w:ascii="Arial" w:hAnsi="Arial" w:cs="Arial"/>
              </w:rPr>
            </w:pPr>
            <w:r w:rsidRPr="000E4589">
              <w:rPr>
                <w:rFonts w:ascii="Arial" w:hAnsi="Arial" w:cs="Arial"/>
              </w:rPr>
              <w:t>12</w:t>
            </w:r>
          </w:p>
        </w:tc>
      </w:tr>
      <w:tr w:rsidR="00D849AA">
        <w:trPr>
          <w:jc w:val="center"/>
        </w:trPr>
        <w:tc>
          <w:tcPr>
            <w:tcW w:w="2229" w:type="dxa"/>
          </w:tcPr>
          <w:p w:rsidR="00D849AA" w:rsidRPr="000E4589" w:rsidRDefault="00EE6D95">
            <w:pPr>
              <w:pStyle w:val="CellColumn"/>
            </w:pPr>
            <w:r w:rsidRPr="000E4589">
              <w:t>Povećanje broja kvalificiranih posjeta ulagača lokacijama u RH</w:t>
            </w:r>
          </w:p>
        </w:tc>
        <w:tc>
          <w:tcPr>
            <w:tcW w:w="1114" w:type="dxa"/>
          </w:tcPr>
          <w:p w:rsidR="00D849AA" w:rsidRPr="000E4589" w:rsidRDefault="00EE6D95">
            <w:pPr>
              <w:rPr>
                <w:rFonts w:ascii="Arial" w:hAnsi="Arial" w:cs="Arial"/>
              </w:rPr>
            </w:pPr>
            <w:r w:rsidRPr="000E4589">
              <w:rPr>
                <w:rFonts w:ascii="Arial" w:hAnsi="Arial" w:cs="Arial"/>
              </w:rPr>
              <w:t>broj</w:t>
            </w:r>
          </w:p>
        </w:tc>
        <w:tc>
          <w:tcPr>
            <w:tcW w:w="1114" w:type="dxa"/>
          </w:tcPr>
          <w:p w:rsidR="00D849AA" w:rsidRPr="000E4589" w:rsidRDefault="00EE6D95">
            <w:pPr>
              <w:rPr>
                <w:rFonts w:ascii="Arial" w:hAnsi="Arial" w:cs="Arial"/>
              </w:rPr>
            </w:pPr>
            <w:r w:rsidRPr="000E4589">
              <w:rPr>
                <w:rFonts w:ascii="Arial" w:hAnsi="Arial" w:cs="Arial"/>
              </w:rPr>
              <w:t>6</w:t>
            </w:r>
          </w:p>
        </w:tc>
        <w:tc>
          <w:tcPr>
            <w:tcW w:w="1486" w:type="dxa"/>
          </w:tcPr>
          <w:p w:rsidR="00D849AA" w:rsidRPr="000E4589" w:rsidRDefault="00EE6D95">
            <w:pPr>
              <w:rPr>
                <w:rFonts w:ascii="Arial" w:hAnsi="Arial" w:cs="Arial"/>
              </w:rPr>
            </w:pPr>
            <w:r w:rsidRPr="000E4589">
              <w:rPr>
                <w:rFonts w:ascii="Arial" w:hAnsi="Arial" w:cs="Arial"/>
              </w:rPr>
              <w:t>10</w:t>
            </w:r>
          </w:p>
        </w:tc>
        <w:tc>
          <w:tcPr>
            <w:tcW w:w="1486" w:type="dxa"/>
          </w:tcPr>
          <w:p w:rsidR="00D849AA" w:rsidRPr="000E4589" w:rsidRDefault="00EE6D95">
            <w:pPr>
              <w:rPr>
                <w:rFonts w:ascii="Arial" w:hAnsi="Arial" w:cs="Arial"/>
              </w:rPr>
            </w:pPr>
            <w:r w:rsidRPr="000E4589">
              <w:rPr>
                <w:rFonts w:ascii="Arial" w:hAnsi="Arial" w:cs="Arial"/>
              </w:rPr>
              <w:t>15</w:t>
            </w:r>
          </w:p>
        </w:tc>
        <w:tc>
          <w:tcPr>
            <w:tcW w:w="1486" w:type="dxa"/>
          </w:tcPr>
          <w:p w:rsidR="00D849AA" w:rsidRPr="000E4589" w:rsidRDefault="00EE6D95">
            <w:pPr>
              <w:rPr>
                <w:rFonts w:ascii="Arial" w:hAnsi="Arial" w:cs="Arial"/>
              </w:rPr>
            </w:pPr>
            <w:r w:rsidRPr="000E4589">
              <w:rPr>
                <w:rFonts w:ascii="Arial" w:hAnsi="Arial" w:cs="Arial"/>
              </w:rPr>
              <w:t>25</w:t>
            </w:r>
          </w:p>
        </w:tc>
      </w:tr>
    </w:tbl>
    <w:p w:rsidR="00D849AA" w:rsidRDefault="00D849AA">
      <w:pPr>
        <w:jc w:val="left"/>
      </w:pPr>
    </w:p>
    <w:p w:rsidR="00D849AA" w:rsidRDefault="00EE6D95">
      <w:pPr>
        <w:pStyle w:val="Naslov6"/>
      </w:pPr>
      <w:r>
        <w:t>A864009 POVEĆANJE KONKURENTNOSTI</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0E4589" w:rsidRDefault="00EE6D95">
            <w:pPr>
              <w:pStyle w:val="CellHeader"/>
            </w:pPr>
            <w:r w:rsidRPr="000E4589">
              <w:t>Naziv aktivnosti</w:t>
            </w:r>
          </w:p>
        </w:tc>
        <w:tc>
          <w:tcPr>
            <w:tcW w:w="1486" w:type="dxa"/>
            <w:shd w:val="clear" w:color="auto" w:fill="B5C0D8"/>
          </w:tcPr>
          <w:p w:rsidR="00D849AA" w:rsidRPr="000E4589" w:rsidRDefault="00EE6D95">
            <w:pPr>
              <w:pStyle w:val="CellHeader"/>
            </w:pPr>
            <w:r w:rsidRPr="000E4589">
              <w:t>Plan 2013.</w:t>
            </w:r>
          </w:p>
        </w:tc>
        <w:tc>
          <w:tcPr>
            <w:tcW w:w="1486" w:type="dxa"/>
            <w:shd w:val="clear" w:color="auto" w:fill="B5C0D8"/>
          </w:tcPr>
          <w:p w:rsidR="00D849AA" w:rsidRPr="000E4589" w:rsidRDefault="00EE6D95">
            <w:pPr>
              <w:pStyle w:val="CellHeader"/>
            </w:pPr>
            <w:r w:rsidRPr="000E4589">
              <w:t>Plan 2014.</w:t>
            </w:r>
          </w:p>
        </w:tc>
        <w:tc>
          <w:tcPr>
            <w:tcW w:w="1486" w:type="dxa"/>
            <w:shd w:val="clear" w:color="auto" w:fill="B5C0D8"/>
          </w:tcPr>
          <w:p w:rsidR="00D849AA" w:rsidRPr="000E4589" w:rsidRDefault="00EE6D95">
            <w:pPr>
              <w:pStyle w:val="CellHeader"/>
            </w:pPr>
            <w:r w:rsidRPr="000E4589">
              <w:t>Plan 2015.</w:t>
            </w:r>
          </w:p>
        </w:tc>
        <w:tc>
          <w:tcPr>
            <w:tcW w:w="1486" w:type="dxa"/>
            <w:shd w:val="clear" w:color="auto" w:fill="B5C0D8"/>
          </w:tcPr>
          <w:p w:rsidR="00D849AA" w:rsidRPr="000E4589" w:rsidRDefault="00EE6D95">
            <w:pPr>
              <w:pStyle w:val="CellHeader"/>
            </w:pPr>
            <w:r w:rsidRPr="000E4589">
              <w:t>Plan 2016.</w:t>
            </w:r>
          </w:p>
        </w:tc>
        <w:tc>
          <w:tcPr>
            <w:tcW w:w="1486" w:type="dxa"/>
            <w:shd w:val="clear" w:color="auto" w:fill="B5C0D8"/>
          </w:tcPr>
          <w:p w:rsidR="00D849AA" w:rsidRPr="000E4589" w:rsidRDefault="00EE6D95">
            <w:pPr>
              <w:pStyle w:val="CellHeader"/>
            </w:pPr>
            <w:r w:rsidRPr="000E4589">
              <w:t>Indeks 2014/2013</w:t>
            </w:r>
          </w:p>
        </w:tc>
      </w:tr>
      <w:tr w:rsidR="00D849AA">
        <w:trPr>
          <w:jc w:val="center"/>
        </w:trPr>
        <w:tc>
          <w:tcPr>
            <w:tcW w:w="1486" w:type="dxa"/>
          </w:tcPr>
          <w:p w:rsidR="00D849AA" w:rsidRPr="000E4589" w:rsidRDefault="00EE6D95">
            <w:pPr>
              <w:pStyle w:val="CellColumn"/>
            </w:pPr>
            <w:r w:rsidRPr="000E4589">
              <w:t>A864009</w:t>
            </w:r>
          </w:p>
        </w:tc>
        <w:tc>
          <w:tcPr>
            <w:tcW w:w="1486" w:type="dxa"/>
          </w:tcPr>
          <w:p w:rsidR="00D849AA" w:rsidRPr="000E4589" w:rsidRDefault="00EE6D95">
            <w:pPr>
              <w:rPr>
                <w:rFonts w:ascii="Arial" w:hAnsi="Arial" w:cs="Arial"/>
              </w:rPr>
            </w:pPr>
            <w:r w:rsidRPr="000E4589">
              <w:rPr>
                <w:rFonts w:ascii="Arial" w:hAnsi="Arial" w:cs="Arial"/>
              </w:rPr>
              <w:t>927.000</w:t>
            </w:r>
          </w:p>
        </w:tc>
        <w:tc>
          <w:tcPr>
            <w:tcW w:w="1486" w:type="dxa"/>
          </w:tcPr>
          <w:p w:rsidR="00D849AA" w:rsidRPr="000E4589" w:rsidRDefault="00EE6D95">
            <w:pPr>
              <w:rPr>
                <w:rFonts w:ascii="Arial" w:hAnsi="Arial" w:cs="Arial"/>
              </w:rPr>
            </w:pPr>
            <w:r w:rsidRPr="000E4589">
              <w:rPr>
                <w:rFonts w:ascii="Arial" w:hAnsi="Arial" w:cs="Arial"/>
              </w:rPr>
              <w:t>819.000</w:t>
            </w:r>
          </w:p>
        </w:tc>
        <w:tc>
          <w:tcPr>
            <w:tcW w:w="1486" w:type="dxa"/>
          </w:tcPr>
          <w:p w:rsidR="00D849AA" w:rsidRPr="000E4589" w:rsidRDefault="00EE6D95">
            <w:pPr>
              <w:rPr>
                <w:rFonts w:ascii="Arial" w:hAnsi="Arial" w:cs="Arial"/>
              </w:rPr>
            </w:pPr>
            <w:r w:rsidRPr="000E4589">
              <w:rPr>
                <w:rFonts w:ascii="Arial" w:hAnsi="Arial" w:cs="Arial"/>
              </w:rPr>
              <w:t>897.000</w:t>
            </w:r>
          </w:p>
        </w:tc>
        <w:tc>
          <w:tcPr>
            <w:tcW w:w="1486" w:type="dxa"/>
          </w:tcPr>
          <w:p w:rsidR="00D849AA" w:rsidRPr="000E4589" w:rsidRDefault="00EE6D95">
            <w:pPr>
              <w:rPr>
                <w:rFonts w:ascii="Arial" w:hAnsi="Arial" w:cs="Arial"/>
              </w:rPr>
            </w:pPr>
            <w:r w:rsidRPr="000E4589">
              <w:rPr>
                <w:rFonts w:ascii="Arial" w:hAnsi="Arial" w:cs="Arial"/>
              </w:rPr>
              <w:t>997.000</w:t>
            </w:r>
          </w:p>
        </w:tc>
        <w:tc>
          <w:tcPr>
            <w:tcW w:w="1486" w:type="dxa"/>
          </w:tcPr>
          <w:p w:rsidR="00D849AA" w:rsidRPr="000E4589" w:rsidRDefault="00EE6D95">
            <w:pPr>
              <w:rPr>
                <w:rFonts w:ascii="Arial" w:hAnsi="Arial" w:cs="Arial"/>
              </w:rPr>
            </w:pPr>
            <w:r w:rsidRPr="000E4589">
              <w:rPr>
                <w:rFonts w:ascii="Arial" w:hAnsi="Arial" w:cs="Arial"/>
              </w:rPr>
              <w:t>88,3</w:t>
            </w:r>
          </w:p>
        </w:tc>
      </w:tr>
    </w:tbl>
    <w:p w:rsidR="00D849AA" w:rsidRDefault="00D849AA">
      <w:pPr>
        <w:jc w:val="left"/>
      </w:pPr>
    </w:p>
    <w:p w:rsidR="00E000A0" w:rsidRDefault="00EE6D95" w:rsidP="00E000A0">
      <w:pPr>
        <w:pStyle w:val="Normal6"/>
      </w:pPr>
      <w:r>
        <w:t>Aktivnosti Sektora za konkurentnost u Agenciji za investicije i konkurentnost uključuje stvaranje kvalitativne podloge za poboljšanje konkurentnosti, vođenje baze razvojnog potencijala, provođenje analiza po pitanju ključnih komponenti konkurentnosti, praćenje trendova u zemlji i svijetu po pitanju konkurentnosti i razvoja ključnih sektora, podršku izradi strateških dokumenata namijenjenih jačanju konkurentnosti i njihovo provođenje, te podršku uspostavi i radu klastera konkurentnosti.</w:t>
      </w:r>
    </w:p>
    <w:p w:rsidR="00E000A0" w:rsidRDefault="00E000A0" w:rsidP="00E000A0">
      <w:pPr>
        <w:pStyle w:val="Normal6"/>
      </w:pP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0E4589" w:rsidRDefault="00EE6D95">
            <w:pPr>
              <w:rPr>
                <w:rFonts w:ascii="Arial" w:hAnsi="Arial" w:cs="Arial"/>
              </w:rPr>
            </w:pPr>
            <w:r w:rsidRPr="000E4589">
              <w:rPr>
                <w:rFonts w:ascii="Arial" w:hAnsi="Arial" w:cs="Arial"/>
              </w:rPr>
              <w:t>Pokazatelj rezultata</w:t>
            </w:r>
          </w:p>
        </w:tc>
        <w:tc>
          <w:tcPr>
            <w:tcW w:w="1114" w:type="dxa"/>
            <w:shd w:val="clear" w:color="auto" w:fill="B5C0D8"/>
          </w:tcPr>
          <w:p w:rsidR="00D849AA" w:rsidRPr="000E4589" w:rsidRDefault="00EE6D95">
            <w:pPr>
              <w:pStyle w:val="CellHeader"/>
            </w:pPr>
            <w:r w:rsidRPr="000E4589">
              <w:t>Jedinica</w:t>
            </w:r>
          </w:p>
        </w:tc>
        <w:tc>
          <w:tcPr>
            <w:tcW w:w="1114" w:type="dxa"/>
            <w:shd w:val="clear" w:color="auto" w:fill="B5C0D8"/>
          </w:tcPr>
          <w:p w:rsidR="00D849AA" w:rsidRPr="000E4589" w:rsidRDefault="00EE6D95">
            <w:pPr>
              <w:pStyle w:val="CellHeader"/>
            </w:pPr>
            <w:r w:rsidRPr="000E4589">
              <w:t>Polazna vrijednost</w:t>
            </w:r>
          </w:p>
        </w:tc>
        <w:tc>
          <w:tcPr>
            <w:tcW w:w="1486" w:type="dxa"/>
            <w:shd w:val="clear" w:color="auto" w:fill="B5C0D8"/>
          </w:tcPr>
          <w:p w:rsidR="00D849AA" w:rsidRPr="000E4589" w:rsidRDefault="00EE6D95">
            <w:pPr>
              <w:pStyle w:val="CellHeader"/>
            </w:pPr>
            <w:r w:rsidRPr="000E4589">
              <w:t>Ciljana vrijednost (2014.)</w:t>
            </w:r>
          </w:p>
        </w:tc>
        <w:tc>
          <w:tcPr>
            <w:tcW w:w="1486" w:type="dxa"/>
            <w:shd w:val="clear" w:color="auto" w:fill="B5C0D8"/>
          </w:tcPr>
          <w:p w:rsidR="00D849AA" w:rsidRPr="000E4589" w:rsidRDefault="00EE6D95">
            <w:pPr>
              <w:pStyle w:val="CellHeader"/>
            </w:pPr>
            <w:r w:rsidRPr="000E4589">
              <w:t>Ciljana vrijednost (2015.)</w:t>
            </w:r>
          </w:p>
        </w:tc>
        <w:tc>
          <w:tcPr>
            <w:tcW w:w="1486" w:type="dxa"/>
            <w:shd w:val="clear" w:color="auto" w:fill="B5C0D8"/>
          </w:tcPr>
          <w:p w:rsidR="00D849AA" w:rsidRPr="000E4589" w:rsidRDefault="00EE6D95">
            <w:pPr>
              <w:pStyle w:val="CellHeader"/>
            </w:pPr>
            <w:r w:rsidRPr="000E4589">
              <w:t>Ciljana vrijednost (2016.)</w:t>
            </w:r>
          </w:p>
        </w:tc>
      </w:tr>
      <w:tr w:rsidR="00D849AA">
        <w:trPr>
          <w:jc w:val="center"/>
        </w:trPr>
        <w:tc>
          <w:tcPr>
            <w:tcW w:w="2229" w:type="dxa"/>
          </w:tcPr>
          <w:p w:rsidR="00D849AA" w:rsidRPr="000E4589" w:rsidRDefault="00EE6D95">
            <w:pPr>
              <w:pStyle w:val="CellColumn"/>
            </w:pPr>
            <w:r w:rsidRPr="000E4589">
              <w:t>Izrada analize stanja i predlaganje aktivnosti za unapređenje konkurentnosti hrvatskog gospodarstva</w:t>
            </w:r>
          </w:p>
        </w:tc>
        <w:tc>
          <w:tcPr>
            <w:tcW w:w="1114" w:type="dxa"/>
          </w:tcPr>
          <w:p w:rsidR="00D849AA" w:rsidRPr="000E4589" w:rsidRDefault="00EE6D95">
            <w:pPr>
              <w:rPr>
                <w:rFonts w:ascii="Arial" w:hAnsi="Arial" w:cs="Arial"/>
              </w:rPr>
            </w:pPr>
            <w:r w:rsidRPr="000E4589">
              <w:rPr>
                <w:rFonts w:ascii="Arial" w:hAnsi="Arial" w:cs="Arial"/>
              </w:rPr>
              <w:t>broj</w:t>
            </w:r>
          </w:p>
        </w:tc>
        <w:tc>
          <w:tcPr>
            <w:tcW w:w="1114" w:type="dxa"/>
          </w:tcPr>
          <w:p w:rsidR="00D849AA" w:rsidRPr="000E4589" w:rsidRDefault="00EE6D95">
            <w:pPr>
              <w:rPr>
                <w:rFonts w:ascii="Arial" w:hAnsi="Arial" w:cs="Arial"/>
              </w:rPr>
            </w:pPr>
            <w:r w:rsidRPr="000E4589">
              <w:rPr>
                <w:rFonts w:ascii="Arial" w:hAnsi="Arial" w:cs="Arial"/>
              </w:rPr>
              <w:t>0</w:t>
            </w:r>
          </w:p>
        </w:tc>
        <w:tc>
          <w:tcPr>
            <w:tcW w:w="1486" w:type="dxa"/>
          </w:tcPr>
          <w:p w:rsidR="00D849AA" w:rsidRPr="000E4589" w:rsidRDefault="00EE6D95">
            <w:pPr>
              <w:rPr>
                <w:rFonts w:ascii="Arial" w:hAnsi="Arial" w:cs="Arial"/>
              </w:rPr>
            </w:pPr>
            <w:r w:rsidRPr="000E4589">
              <w:rPr>
                <w:rFonts w:ascii="Arial" w:hAnsi="Arial" w:cs="Arial"/>
              </w:rPr>
              <w:t>30</w:t>
            </w:r>
          </w:p>
        </w:tc>
        <w:tc>
          <w:tcPr>
            <w:tcW w:w="1486" w:type="dxa"/>
          </w:tcPr>
          <w:p w:rsidR="00D849AA" w:rsidRPr="000E4589" w:rsidRDefault="00EE6D95">
            <w:pPr>
              <w:rPr>
                <w:rFonts w:ascii="Arial" w:hAnsi="Arial" w:cs="Arial"/>
              </w:rPr>
            </w:pPr>
            <w:r w:rsidRPr="000E4589">
              <w:rPr>
                <w:rFonts w:ascii="Arial" w:hAnsi="Arial" w:cs="Arial"/>
              </w:rPr>
              <w:t>30</w:t>
            </w:r>
          </w:p>
        </w:tc>
        <w:tc>
          <w:tcPr>
            <w:tcW w:w="1486" w:type="dxa"/>
          </w:tcPr>
          <w:p w:rsidR="00D849AA" w:rsidRPr="000E4589" w:rsidRDefault="00EE6D95">
            <w:pPr>
              <w:rPr>
                <w:rFonts w:ascii="Arial" w:hAnsi="Arial" w:cs="Arial"/>
              </w:rPr>
            </w:pPr>
            <w:r w:rsidRPr="000E4589">
              <w:rPr>
                <w:rFonts w:ascii="Arial" w:hAnsi="Arial" w:cs="Arial"/>
              </w:rPr>
              <w:t>30</w:t>
            </w:r>
          </w:p>
        </w:tc>
      </w:tr>
      <w:tr w:rsidR="00D849AA">
        <w:trPr>
          <w:jc w:val="center"/>
        </w:trPr>
        <w:tc>
          <w:tcPr>
            <w:tcW w:w="2229" w:type="dxa"/>
          </w:tcPr>
          <w:p w:rsidR="00D849AA" w:rsidRPr="000E4589" w:rsidRDefault="00EE6D95">
            <w:pPr>
              <w:pStyle w:val="CellColumn"/>
            </w:pPr>
            <w:r w:rsidRPr="000E4589">
              <w:t>Izrada podloga za sektorske strategije</w:t>
            </w:r>
          </w:p>
        </w:tc>
        <w:tc>
          <w:tcPr>
            <w:tcW w:w="1114" w:type="dxa"/>
          </w:tcPr>
          <w:p w:rsidR="00D849AA" w:rsidRPr="000E4589" w:rsidRDefault="00EE6D95">
            <w:pPr>
              <w:rPr>
                <w:rFonts w:ascii="Arial" w:hAnsi="Arial" w:cs="Arial"/>
              </w:rPr>
            </w:pPr>
            <w:r w:rsidRPr="000E4589">
              <w:rPr>
                <w:rFonts w:ascii="Arial" w:hAnsi="Arial" w:cs="Arial"/>
              </w:rPr>
              <w:t>broj</w:t>
            </w:r>
          </w:p>
        </w:tc>
        <w:tc>
          <w:tcPr>
            <w:tcW w:w="1114" w:type="dxa"/>
          </w:tcPr>
          <w:p w:rsidR="00D849AA" w:rsidRPr="000E4589" w:rsidRDefault="00EE6D95">
            <w:pPr>
              <w:rPr>
                <w:rFonts w:ascii="Arial" w:hAnsi="Arial" w:cs="Arial"/>
              </w:rPr>
            </w:pPr>
            <w:r w:rsidRPr="000E4589">
              <w:rPr>
                <w:rFonts w:ascii="Arial" w:hAnsi="Arial" w:cs="Arial"/>
              </w:rPr>
              <w:t>3</w:t>
            </w:r>
          </w:p>
        </w:tc>
        <w:tc>
          <w:tcPr>
            <w:tcW w:w="1486" w:type="dxa"/>
          </w:tcPr>
          <w:p w:rsidR="00D849AA" w:rsidRPr="000E4589" w:rsidRDefault="00EE6D95">
            <w:pPr>
              <w:rPr>
                <w:rFonts w:ascii="Arial" w:hAnsi="Arial" w:cs="Arial"/>
              </w:rPr>
            </w:pPr>
            <w:r w:rsidRPr="000E4589">
              <w:rPr>
                <w:rFonts w:ascii="Arial" w:hAnsi="Arial" w:cs="Arial"/>
              </w:rPr>
              <w:t>9</w:t>
            </w:r>
          </w:p>
        </w:tc>
        <w:tc>
          <w:tcPr>
            <w:tcW w:w="1486" w:type="dxa"/>
          </w:tcPr>
          <w:p w:rsidR="00D849AA" w:rsidRPr="000E4589" w:rsidRDefault="00EE6D95">
            <w:pPr>
              <w:rPr>
                <w:rFonts w:ascii="Arial" w:hAnsi="Arial" w:cs="Arial"/>
              </w:rPr>
            </w:pPr>
            <w:r w:rsidRPr="000E4589">
              <w:rPr>
                <w:rFonts w:ascii="Arial" w:hAnsi="Arial" w:cs="Arial"/>
              </w:rPr>
              <w:t>0</w:t>
            </w:r>
          </w:p>
        </w:tc>
        <w:tc>
          <w:tcPr>
            <w:tcW w:w="1486" w:type="dxa"/>
          </w:tcPr>
          <w:p w:rsidR="00D849AA" w:rsidRPr="000E4589" w:rsidRDefault="00EE6D95">
            <w:pPr>
              <w:rPr>
                <w:rFonts w:ascii="Arial" w:hAnsi="Arial" w:cs="Arial"/>
              </w:rPr>
            </w:pPr>
            <w:r w:rsidRPr="000E4589">
              <w:rPr>
                <w:rFonts w:ascii="Arial" w:hAnsi="Arial" w:cs="Arial"/>
              </w:rPr>
              <w:t>0</w:t>
            </w:r>
          </w:p>
        </w:tc>
      </w:tr>
      <w:tr w:rsidR="00D849AA">
        <w:trPr>
          <w:jc w:val="center"/>
        </w:trPr>
        <w:tc>
          <w:tcPr>
            <w:tcW w:w="2229" w:type="dxa"/>
          </w:tcPr>
          <w:p w:rsidR="00D849AA" w:rsidRPr="000E4589" w:rsidRDefault="00EE6D95">
            <w:pPr>
              <w:pStyle w:val="CellColumn"/>
            </w:pPr>
            <w:r w:rsidRPr="000E4589">
              <w:lastRenderedPageBreak/>
              <w:t>Osnivanje klastera konkurentnosti</w:t>
            </w:r>
          </w:p>
        </w:tc>
        <w:tc>
          <w:tcPr>
            <w:tcW w:w="1114" w:type="dxa"/>
          </w:tcPr>
          <w:p w:rsidR="00D849AA" w:rsidRPr="000E4589" w:rsidRDefault="00EE6D95">
            <w:pPr>
              <w:rPr>
                <w:rFonts w:ascii="Arial" w:hAnsi="Arial" w:cs="Arial"/>
              </w:rPr>
            </w:pPr>
            <w:r w:rsidRPr="000E4589">
              <w:rPr>
                <w:rFonts w:ascii="Arial" w:hAnsi="Arial" w:cs="Arial"/>
              </w:rPr>
              <w:t>broj</w:t>
            </w:r>
          </w:p>
        </w:tc>
        <w:tc>
          <w:tcPr>
            <w:tcW w:w="1114" w:type="dxa"/>
          </w:tcPr>
          <w:p w:rsidR="00D849AA" w:rsidRPr="000E4589" w:rsidRDefault="00EE6D95">
            <w:pPr>
              <w:rPr>
                <w:rFonts w:ascii="Arial" w:hAnsi="Arial" w:cs="Arial"/>
              </w:rPr>
            </w:pPr>
            <w:r w:rsidRPr="000E4589">
              <w:rPr>
                <w:rFonts w:ascii="Arial" w:hAnsi="Arial" w:cs="Arial"/>
              </w:rPr>
              <w:t>3</w:t>
            </w:r>
          </w:p>
        </w:tc>
        <w:tc>
          <w:tcPr>
            <w:tcW w:w="1486" w:type="dxa"/>
          </w:tcPr>
          <w:p w:rsidR="00D849AA" w:rsidRPr="000E4589" w:rsidRDefault="00EE6D95">
            <w:pPr>
              <w:rPr>
                <w:rFonts w:ascii="Arial" w:hAnsi="Arial" w:cs="Arial"/>
              </w:rPr>
            </w:pPr>
            <w:r w:rsidRPr="000E4589">
              <w:rPr>
                <w:rFonts w:ascii="Arial" w:hAnsi="Arial" w:cs="Arial"/>
              </w:rPr>
              <w:t>12</w:t>
            </w:r>
          </w:p>
        </w:tc>
        <w:tc>
          <w:tcPr>
            <w:tcW w:w="1486" w:type="dxa"/>
          </w:tcPr>
          <w:p w:rsidR="00D849AA" w:rsidRPr="000E4589" w:rsidRDefault="00EE6D95">
            <w:pPr>
              <w:rPr>
                <w:rFonts w:ascii="Arial" w:hAnsi="Arial" w:cs="Arial"/>
              </w:rPr>
            </w:pPr>
            <w:r w:rsidRPr="000E4589">
              <w:rPr>
                <w:rFonts w:ascii="Arial" w:hAnsi="Arial" w:cs="Arial"/>
              </w:rPr>
              <w:t>0</w:t>
            </w:r>
          </w:p>
        </w:tc>
        <w:tc>
          <w:tcPr>
            <w:tcW w:w="1486" w:type="dxa"/>
          </w:tcPr>
          <w:p w:rsidR="00D849AA" w:rsidRPr="000E4589" w:rsidRDefault="00EE6D95">
            <w:pPr>
              <w:rPr>
                <w:rFonts w:ascii="Arial" w:hAnsi="Arial" w:cs="Arial"/>
              </w:rPr>
            </w:pPr>
            <w:r w:rsidRPr="000E4589">
              <w:rPr>
                <w:rFonts w:ascii="Arial" w:hAnsi="Arial" w:cs="Arial"/>
              </w:rPr>
              <w:t>0</w:t>
            </w:r>
          </w:p>
        </w:tc>
      </w:tr>
    </w:tbl>
    <w:p w:rsidR="00D849AA" w:rsidRDefault="00D849AA">
      <w:pPr>
        <w:jc w:val="left"/>
      </w:pPr>
    </w:p>
    <w:p w:rsidR="00D849AA" w:rsidRDefault="00EE6D95">
      <w:pPr>
        <w:pStyle w:val="Naslov3"/>
      </w:pPr>
      <w:r>
        <w:t>47797 Hrvatska agencija za obvezne zalihe nafte i naftnih derivata</w:t>
      </w:r>
    </w:p>
    <w:p w:rsidR="00D849AA" w:rsidRDefault="00EE6D95">
      <w:pPr>
        <w:pStyle w:val="Naslov4"/>
      </w:pPr>
      <w:r>
        <w:t>Uvod</w:t>
      </w:r>
    </w:p>
    <w:p w:rsidR="00D849AA" w:rsidRDefault="00EE6D95">
      <w:pPr>
        <w:pStyle w:val="Normal5"/>
      </w:pPr>
      <w:r>
        <w:t xml:space="preserve">U postupku usklađivanja zakonodavnog okvira Republike Hrvatske s pravnom stečevinom EU-a i Ugovora o zajednici za energiju, Hrvatski sabor je, u svibnju 2006. godine, donio Zakon o tržištu nafte i naftnih derivata (Narodne novine, broj 57/06,  18/11 i 144/12), (u daljnjem tekstu: Zakon). </w:t>
      </w:r>
    </w:p>
    <w:p w:rsidR="00D849AA" w:rsidRDefault="00EE6D95">
      <w:pPr>
        <w:pStyle w:val="Normal5"/>
      </w:pPr>
      <w:r>
        <w:t xml:space="preserve">Predmetnim Zakonom uređuje se obavljanje djelatnosti proizvodnje, transporta, trgovine i skladištenja nafte i naftnih derivata te propisuju mjere za sigurnu i pouzdanu opskrbu Republike Hrvatske naftom i naftnim derivatima u slučaju prijetnje energetskoj sigurnosti države, uslijed izvanrednih poremećaja opskrbe. Ujedno je tim Zakonom osnovana i Hrvatska agencija za obvezne zalihe nafte i naftnih derivata (u daljnjem tekstu: HANDA).  </w:t>
      </w:r>
    </w:p>
    <w:p w:rsidR="00D849AA" w:rsidRDefault="00EE6D95">
      <w:pPr>
        <w:pStyle w:val="Normal5"/>
      </w:pPr>
      <w:r>
        <w:t xml:space="preserve">Osnovna zadaća HANDA-e je osiguranje, odnosno formiranje obveznih zaliha nafte i naftnih derivata Republike Hrvatske kako bi se osigurala sigurna i pouzdana opskrba Republike Hrvatske naftom i naftnim derivatima u slučaju prijetnje energetskoj sigurnosti države, uslijed izvanrednih poremećaja opskrbe.  </w:t>
      </w:r>
    </w:p>
    <w:p w:rsidR="002A3D3D" w:rsidRDefault="00EE6D95" w:rsidP="002A3D3D">
      <w:pPr>
        <w:pStyle w:val="Normal5"/>
      </w:pPr>
      <w:r>
        <w:t>Uz formiranje obveznih zaliha nafte i naftnih derivata, djelatnosti i predmet poslovanja HANDA-e su i trgovina i skladištenje nafte i naftnih derivata, nadzor i upravljanje obveznim zalihama, kupovina i/ili gradnja terminala i/ili spremnika, pripadajućih lučkih i kopnenih postrojenja i instalacija te upravljanje istima, kontrola količine i kakvoće nafte i naftnih derivata, sudjelovanje u definiranju energetske politike, provedba međudržavnih ugovora i sporazuma, sklapanje opcijskih ugovora za kupnju naftnih derivata, upravljanje carinskim skladištima sirove nafte i trošarinskim skladištima naftnih derivata, upravljanje rizicima vezanim za fluktuacije cijene nafte i naftnih derivata te upravljanje valutnim rizicima, suradnja s domaćim i inozemnim energetskim tijelima i/ili subjektima te tijelima državne i javne uprave.</w:t>
      </w:r>
    </w:p>
    <w:p w:rsidR="009558C9" w:rsidRDefault="009558C9" w:rsidP="002A3D3D">
      <w:pPr>
        <w:pStyle w:val="Normal5"/>
      </w:pP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47797</w:t>
            </w:r>
          </w:p>
        </w:tc>
        <w:tc>
          <w:tcPr>
            <w:tcW w:w="1486" w:type="dxa"/>
          </w:tcPr>
          <w:p w:rsidR="00D849AA" w:rsidRDefault="00EE6D95">
            <w:r>
              <w:t>529.016.747</w:t>
            </w:r>
          </w:p>
        </w:tc>
        <w:tc>
          <w:tcPr>
            <w:tcW w:w="1486" w:type="dxa"/>
          </w:tcPr>
          <w:p w:rsidR="00D849AA" w:rsidRDefault="00EE6D95">
            <w:r>
              <w:t>428.344.756</w:t>
            </w:r>
          </w:p>
        </w:tc>
        <w:tc>
          <w:tcPr>
            <w:tcW w:w="1486" w:type="dxa"/>
          </w:tcPr>
          <w:p w:rsidR="00D849AA" w:rsidRDefault="00EE6D95">
            <w:r>
              <w:t>548.849.336</w:t>
            </w:r>
          </w:p>
        </w:tc>
        <w:tc>
          <w:tcPr>
            <w:tcW w:w="1486" w:type="dxa"/>
          </w:tcPr>
          <w:p w:rsidR="00D849AA" w:rsidRDefault="00EE6D95">
            <w:r>
              <w:t>539.511.940</w:t>
            </w:r>
          </w:p>
        </w:tc>
        <w:tc>
          <w:tcPr>
            <w:tcW w:w="1486" w:type="dxa"/>
          </w:tcPr>
          <w:p w:rsidR="00D849AA" w:rsidRDefault="00EE6D95">
            <w:r>
              <w:t>81,0</w:t>
            </w:r>
          </w:p>
        </w:tc>
      </w:tr>
    </w:tbl>
    <w:p w:rsidR="00D849AA" w:rsidRDefault="00EE6D95">
      <w:pPr>
        <w:pStyle w:val="Naslov4"/>
      </w:pPr>
      <w:r>
        <w:t>OBRAZLOŽENJE PROGRAMA</w:t>
      </w:r>
    </w:p>
    <w:p w:rsidR="00D849AA" w:rsidRDefault="00EE6D95">
      <w:pPr>
        <w:pStyle w:val="Naslov5"/>
      </w:pPr>
      <w:r>
        <w:t>3224 OSIGURANJE OBVEZNIH ZALIHA NAFTE I NAFTNIH DERIVATA REPUBLIKE HRVATSKE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3224</w:t>
            </w:r>
          </w:p>
        </w:tc>
        <w:tc>
          <w:tcPr>
            <w:tcW w:w="1486" w:type="dxa"/>
          </w:tcPr>
          <w:p w:rsidR="00D849AA" w:rsidRDefault="00EE6D95">
            <w:r>
              <w:t>529.016.747</w:t>
            </w:r>
          </w:p>
        </w:tc>
        <w:tc>
          <w:tcPr>
            <w:tcW w:w="1486" w:type="dxa"/>
          </w:tcPr>
          <w:p w:rsidR="00D849AA" w:rsidRDefault="00EE6D95">
            <w:r>
              <w:t>428.344.756</w:t>
            </w:r>
          </w:p>
        </w:tc>
        <w:tc>
          <w:tcPr>
            <w:tcW w:w="1486" w:type="dxa"/>
          </w:tcPr>
          <w:p w:rsidR="00D849AA" w:rsidRDefault="00EE6D95">
            <w:r>
              <w:t>548.849.336</w:t>
            </w:r>
          </w:p>
        </w:tc>
        <w:tc>
          <w:tcPr>
            <w:tcW w:w="1486" w:type="dxa"/>
          </w:tcPr>
          <w:p w:rsidR="00D849AA" w:rsidRDefault="00EE6D95">
            <w:r>
              <w:t>539.511.940</w:t>
            </w:r>
          </w:p>
        </w:tc>
        <w:tc>
          <w:tcPr>
            <w:tcW w:w="1486" w:type="dxa"/>
          </w:tcPr>
          <w:p w:rsidR="00D849AA" w:rsidRDefault="00EE6D95">
            <w:r>
              <w:t>81,0</w:t>
            </w:r>
          </w:p>
        </w:tc>
      </w:tr>
    </w:tbl>
    <w:p w:rsidR="00D849AA" w:rsidRDefault="00EE6D95">
      <w:pPr>
        <w:pStyle w:val="Naslov6"/>
      </w:pPr>
      <w:r>
        <w:lastRenderedPageBreak/>
        <w:t>Opis programa</w:t>
      </w:r>
    </w:p>
    <w:p w:rsidR="00D849AA" w:rsidRDefault="00EE6D95">
      <w:r>
        <w:t xml:space="preserve">Program se provodi radi provedbe energetske politike Europske unije koja je prihvaćenim energetskim Direktivama 2006/67/EZ i 2009/119/EZ, za svoje članice propisala obvezu držanja 90-dnevnih obveznih zaliha naftnih derivata za slučaj poremećaja opskrbe tržišta Europske unije.  </w:t>
      </w:r>
    </w:p>
    <w:p w:rsidR="00D849AA" w:rsidRDefault="00EE6D95">
      <w:r>
        <w:t xml:space="preserve">Nastavno na energetsku politiku Europske unije i prihvaćene energetske direktive, Hrvatski sabor je 2006. godine donio Zakon o tržištu nafte i naftnih derivata te je istim Zakonom osnovana Hrvatska agencija za obvezne zalihe nafte i naftnih derivata (dalje u tekstu: HANDA) sa zadaćom i misijom osiguranja, odnosno formiranja obveznih zaliha nafte i naftnih derivata Republike Hrvatske kako bi se osigurala sigurna i pouzdana opskrba Republike Hrvatske naftom i naftnim derivatima u slučaju prijetnje energetskoj sigurnosti države, uslijed izvanrednih poremećaja opskrbe. </w:t>
      </w:r>
    </w:p>
    <w:p w:rsidR="00D849AA" w:rsidRDefault="00EE6D95">
      <w:r>
        <w:t xml:space="preserve">Sukladno odredbama Zakona o tržištu nafte i naftnih derivata, HANDA obvezne zalihe nafte i naftnih derivata mora formirati u propisanoj količini i strukturi te iste skladištiti i njima upravljati.  </w:t>
      </w:r>
    </w:p>
    <w:p w:rsidR="00D849AA" w:rsidRDefault="00EE6D95">
      <w:r>
        <w:t xml:space="preserve">Program se provodi kroz tri aktivnosti: </w:t>
      </w:r>
    </w:p>
    <w:p w:rsidR="00D849AA" w:rsidRDefault="00EE6D95">
      <w:r>
        <w:t xml:space="preserve">A869001 Administracija i upravljanje  </w:t>
      </w:r>
    </w:p>
    <w:p w:rsidR="00D849AA" w:rsidRDefault="00EE6D95">
      <w:r>
        <w:t xml:space="preserve">K869002 Opremanje i informatizacija </w:t>
      </w:r>
    </w:p>
    <w:p w:rsidR="00D849AA" w:rsidRDefault="00EE6D95">
      <w:r>
        <w:t>K869003 Formiranje, skladištenje i upravljanje obveznim zalihama nafte i naftnih derivata</w:t>
      </w:r>
    </w:p>
    <w:p w:rsidR="00D849AA" w:rsidRDefault="00EE6D95">
      <w:pPr>
        <w:pStyle w:val="Naslov6"/>
      </w:pPr>
      <w:r>
        <w:t>Zakonske i druge pravne osnove</w:t>
      </w:r>
    </w:p>
    <w:p w:rsidR="00D849AA" w:rsidRDefault="00EE6D95">
      <w:r>
        <w:t xml:space="preserve">Direktiva 2006/67/EZ </w:t>
      </w:r>
    </w:p>
    <w:p w:rsidR="00D849AA" w:rsidRDefault="00EE6D95">
      <w:r>
        <w:t xml:space="preserve">Direktiva 2009/119/EZ </w:t>
      </w:r>
    </w:p>
    <w:p w:rsidR="00D849AA" w:rsidRDefault="00EE6D95">
      <w:r>
        <w:t xml:space="preserve">Zakon o tržištu nafte i naftnih derivata (Narodne novine, broj 57/06,  18/11 i 144/12) </w:t>
      </w:r>
    </w:p>
    <w:p w:rsidR="00D849AA" w:rsidRDefault="00EE6D95">
      <w:r>
        <w:t>Podzakonski propisi vezani uz provedbu Zakona o tržištu nafte i naftnih derivata</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Cilj 1. Osiguranje obveznih zaliha nafte i naftnih derivata Republike Hrvatske koje se koriste u slučaju poremećaja opskrbe na tržištu Republike Hrvatske</w:t>
      </w:r>
    </w:p>
    <w:p w:rsidR="00D849AA" w:rsidRDefault="00EE6D95">
      <w:pPr>
        <w:pStyle w:val="Normal6"/>
      </w:pPr>
      <w:r>
        <w:t xml:space="preserve">Opći cilj programa je osiguranje obveznih zaliha nafte i naftnih derivata Republike Hrvatske koje se koriste u slučaju poremećaja opskrbe na tržištu Republike Hrvatske ali i radi ispunjenja međunarodnih obveza Republike Hrvatske na temelju odluka Međunarodne agencije za energiju i Europske komisije, o puštanju obveznih zaliha nafte i naftnih derivata na tržište. Opći cilj  ostvariti će se provedbom tri posebna cilja: Formiranje, skladištenje i upravljanje obveznim zalihama nafte i naftnih derivata; Osiguranje dugoročno potrebnih skladišnih kapaciteta za formiranje i skladištenje obveznih zaliha nafte i naftnih derivata; Promocija i promicanje znanja i iskustava u formiranju obveznih zaliha nafte i naftnih derivata i sigurnosti opskrbe tržišta. </w:t>
      </w:r>
    </w:p>
    <w:p w:rsidR="00D849AA" w:rsidRDefault="00EE6D95">
      <w:pPr>
        <w:pStyle w:val="Normal6"/>
      </w:pPr>
      <w:r>
        <w:t xml:space="preserve">Budući da je HANDA tijekom 2012. godine jedina na vrijeme i u potpunosti, ispunila obvezu Republike Hrvatske preuzetu pregovorima o pristupanju Europskoj uniji da prije 31. srpnja 2012. godine formira obvezne zalihe svakog naftnog derivata (motornih benzina, dizelskog goriva, plinskog ulja, goriva za mlazne motore i loživog ulja) u količini 90 dana njegove prosječne potrošnje iz 2011. godine, time je potvrdila svoju lidersku poziciju u regiji u odnosu na sigurnost opskrbe i stvaranje obveznih zaliha nafte i naftnih derivata a što je i od strateškog značaja za Republiku Hrvatsku. </w:t>
      </w:r>
    </w:p>
    <w:p w:rsidR="00D849AA" w:rsidRDefault="00EE6D95">
      <w:pPr>
        <w:pStyle w:val="Normal6"/>
      </w:pPr>
      <w:r>
        <w:t xml:space="preserve">HANDA će u razdoblju 2014.-2016. održavati formirane obvezne zalihe nafte i naftnih derivata u propisanim količinama ali ujedno i provoditi aktivnosti u cilju osiguranja </w:t>
      </w:r>
      <w:r>
        <w:lastRenderedPageBreak/>
        <w:t>dugoročno potrebnih skladišnih kapaciteta za potrebne obvezne zalihe budući da trenutno na području Republike Hrvatske nema dovoljnog kapaciteta potrebnih skladišnih prostora pa stoga HANDA nastavlja s aktivnostima provedbe projekta "Rekonstrukcije i dogradnje skladišta naftnih derivata Brižine i luke posebne namjene - vojne luke Brižine" kao strateškog projekta za HANDA-u u smislu osiguranja skladišnih kapaciteta za obvezne zalihe u Republici Hrvatskoj ali i za MORH radi stvaranja uvjeta za čuvanje strategijskih pričuva goriva i maziva u Oružanim snagama RH.</w:t>
      </w:r>
    </w:p>
    <w:p w:rsidR="002A3D3D" w:rsidRDefault="002A3D3D">
      <w:pPr>
        <w:pStyle w:val="Normal6"/>
      </w:pP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0E4589" w:rsidRDefault="00EE6D95">
            <w:pPr>
              <w:rPr>
                <w:rFonts w:ascii="Arial" w:hAnsi="Arial" w:cs="Arial"/>
              </w:rPr>
            </w:pPr>
            <w:r w:rsidRPr="000E4589">
              <w:rPr>
                <w:rFonts w:ascii="Arial" w:hAnsi="Arial" w:cs="Arial"/>
              </w:rPr>
              <w:t>Pokazatelj učinka</w:t>
            </w:r>
          </w:p>
        </w:tc>
        <w:tc>
          <w:tcPr>
            <w:tcW w:w="1114" w:type="dxa"/>
            <w:shd w:val="clear" w:color="auto" w:fill="B5C0D8"/>
          </w:tcPr>
          <w:p w:rsidR="00D849AA" w:rsidRPr="000E4589" w:rsidRDefault="00EE6D95">
            <w:pPr>
              <w:pStyle w:val="CellHeader"/>
            </w:pPr>
            <w:r w:rsidRPr="000E4589">
              <w:t>Jedinica</w:t>
            </w:r>
          </w:p>
        </w:tc>
        <w:tc>
          <w:tcPr>
            <w:tcW w:w="1114" w:type="dxa"/>
            <w:shd w:val="clear" w:color="auto" w:fill="B5C0D8"/>
          </w:tcPr>
          <w:p w:rsidR="00D849AA" w:rsidRPr="000E4589" w:rsidRDefault="00EE6D95">
            <w:pPr>
              <w:pStyle w:val="CellHeader"/>
            </w:pPr>
            <w:r w:rsidRPr="000E4589">
              <w:t>Polazna vrijednost</w:t>
            </w:r>
          </w:p>
        </w:tc>
        <w:tc>
          <w:tcPr>
            <w:tcW w:w="1486" w:type="dxa"/>
            <w:shd w:val="clear" w:color="auto" w:fill="B5C0D8"/>
          </w:tcPr>
          <w:p w:rsidR="00D849AA" w:rsidRPr="000E4589" w:rsidRDefault="00EE6D95">
            <w:pPr>
              <w:pStyle w:val="CellHeader"/>
            </w:pPr>
            <w:r w:rsidRPr="000E4589">
              <w:t>Ciljana vrijednost (2014.)</w:t>
            </w:r>
          </w:p>
        </w:tc>
        <w:tc>
          <w:tcPr>
            <w:tcW w:w="1486" w:type="dxa"/>
            <w:shd w:val="clear" w:color="auto" w:fill="B5C0D8"/>
          </w:tcPr>
          <w:p w:rsidR="00D849AA" w:rsidRPr="000E4589" w:rsidRDefault="00EE6D95">
            <w:pPr>
              <w:pStyle w:val="CellHeader"/>
            </w:pPr>
            <w:r w:rsidRPr="000E4589">
              <w:t>Ciljana vrijednost (2015.)</w:t>
            </w:r>
          </w:p>
        </w:tc>
        <w:tc>
          <w:tcPr>
            <w:tcW w:w="1486" w:type="dxa"/>
            <w:shd w:val="clear" w:color="auto" w:fill="B5C0D8"/>
          </w:tcPr>
          <w:p w:rsidR="00D849AA" w:rsidRPr="000E4589" w:rsidRDefault="00EE6D95">
            <w:pPr>
              <w:pStyle w:val="CellHeader"/>
            </w:pPr>
            <w:r w:rsidRPr="000E4589">
              <w:t>Ciljana vrijednost (2016.)</w:t>
            </w:r>
          </w:p>
        </w:tc>
      </w:tr>
      <w:tr w:rsidR="00D849AA">
        <w:trPr>
          <w:jc w:val="center"/>
        </w:trPr>
        <w:tc>
          <w:tcPr>
            <w:tcW w:w="2229" w:type="dxa"/>
          </w:tcPr>
          <w:p w:rsidR="00D849AA" w:rsidRPr="000E4589" w:rsidRDefault="00EE6D95">
            <w:pPr>
              <w:pStyle w:val="CellColumn"/>
            </w:pPr>
            <w:r w:rsidRPr="000E4589">
              <w:t>Formirane i uskladištene obvezne zalihe nafte i naftnih derivata u količini i strukturi određenoj važećim pravnim propisima</w:t>
            </w:r>
          </w:p>
        </w:tc>
        <w:tc>
          <w:tcPr>
            <w:tcW w:w="1114" w:type="dxa"/>
          </w:tcPr>
          <w:p w:rsidR="00D849AA" w:rsidRPr="000E4589" w:rsidRDefault="00EE6D95">
            <w:pPr>
              <w:rPr>
                <w:rFonts w:ascii="Arial" w:hAnsi="Arial" w:cs="Arial"/>
              </w:rPr>
            </w:pPr>
            <w:r w:rsidRPr="000E4589">
              <w:rPr>
                <w:rFonts w:ascii="Arial" w:hAnsi="Arial" w:cs="Arial"/>
              </w:rPr>
              <w:t>(broj dana)</w:t>
            </w:r>
          </w:p>
        </w:tc>
        <w:tc>
          <w:tcPr>
            <w:tcW w:w="1114" w:type="dxa"/>
          </w:tcPr>
          <w:p w:rsidR="00D849AA" w:rsidRPr="000E4589" w:rsidRDefault="00EE6D95">
            <w:pPr>
              <w:rPr>
                <w:rFonts w:ascii="Arial" w:hAnsi="Arial" w:cs="Arial"/>
              </w:rPr>
            </w:pPr>
            <w:r w:rsidRPr="000E4589">
              <w:rPr>
                <w:rFonts w:ascii="Arial" w:hAnsi="Arial" w:cs="Arial"/>
              </w:rPr>
              <w:t>90/61</w:t>
            </w:r>
          </w:p>
        </w:tc>
        <w:tc>
          <w:tcPr>
            <w:tcW w:w="1486" w:type="dxa"/>
          </w:tcPr>
          <w:p w:rsidR="00D849AA" w:rsidRPr="000E4589" w:rsidRDefault="00EE6D95">
            <w:pPr>
              <w:rPr>
                <w:rFonts w:ascii="Arial" w:hAnsi="Arial" w:cs="Arial"/>
              </w:rPr>
            </w:pPr>
            <w:r w:rsidRPr="000E4589">
              <w:rPr>
                <w:rFonts w:ascii="Arial" w:hAnsi="Arial" w:cs="Arial"/>
              </w:rPr>
              <w:t>90/61</w:t>
            </w:r>
          </w:p>
        </w:tc>
        <w:tc>
          <w:tcPr>
            <w:tcW w:w="1486" w:type="dxa"/>
          </w:tcPr>
          <w:p w:rsidR="00D849AA" w:rsidRPr="000E4589" w:rsidRDefault="00EE6D95">
            <w:pPr>
              <w:rPr>
                <w:rFonts w:ascii="Arial" w:hAnsi="Arial" w:cs="Arial"/>
              </w:rPr>
            </w:pPr>
            <w:r w:rsidRPr="000E4589">
              <w:rPr>
                <w:rFonts w:ascii="Arial" w:hAnsi="Arial" w:cs="Arial"/>
              </w:rPr>
              <w:t>90/61</w:t>
            </w:r>
          </w:p>
        </w:tc>
        <w:tc>
          <w:tcPr>
            <w:tcW w:w="1486" w:type="dxa"/>
          </w:tcPr>
          <w:p w:rsidR="00D849AA" w:rsidRPr="000E4589" w:rsidRDefault="00EE6D95">
            <w:pPr>
              <w:rPr>
                <w:rFonts w:ascii="Arial" w:hAnsi="Arial" w:cs="Arial"/>
              </w:rPr>
            </w:pPr>
            <w:r w:rsidRPr="000E4589">
              <w:rPr>
                <w:rFonts w:ascii="Arial" w:hAnsi="Arial" w:cs="Arial"/>
              </w:rPr>
              <w:t>90/61</w:t>
            </w:r>
          </w:p>
        </w:tc>
      </w:tr>
      <w:tr w:rsidR="00D849AA">
        <w:trPr>
          <w:jc w:val="center"/>
        </w:trPr>
        <w:tc>
          <w:tcPr>
            <w:tcW w:w="2229" w:type="dxa"/>
          </w:tcPr>
          <w:p w:rsidR="00D849AA" w:rsidRPr="000E4589" w:rsidRDefault="00EE6D95">
            <w:pPr>
              <w:pStyle w:val="CellColumn"/>
            </w:pPr>
            <w:r w:rsidRPr="000E4589">
              <w:t>Osigurani dugoročno potrebni skladišni kapaciteti (m3)</w:t>
            </w:r>
          </w:p>
        </w:tc>
        <w:tc>
          <w:tcPr>
            <w:tcW w:w="1114" w:type="dxa"/>
          </w:tcPr>
          <w:p w:rsidR="00D849AA" w:rsidRPr="000E4589" w:rsidRDefault="00EE6D95">
            <w:pPr>
              <w:rPr>
                <w:rFonts w:ascii="Arial" w:hAnsi="Arial" w:cs="Arial"/>
              </w:rPr>
            </w:pPr>
            <w:r w:rsidRPr="000E4589">
              <w:rPr>
                <w:rFonts w:ascii="Arial" w:hAnsi="Arial" w:cs="Arial"/>
              </w:rPr>
              <w:t>m3</w:t>
            </w:r>
          </w:p>
        </w:tc>
        <w:tc>
          <w:tcPr>
            <w:tcW w:w="1114" w:type="dxa"/>
          </w:tcPr>
          <w:p w:rsidR="00D849AA" w:rsidRPr="000E4589" w:rsidRDefault="00EE6D95">
            <w:pPr>
              <w:rPr>
                <w:rFonts w:ascii="Arial" w:hAnsi="Arial" w:cs="Arial"/>
              </w:rPr>
            </w:pPr>
            <w:r w:rsidRPr="000E4589">
              <w:rPr>
                <w:rFonts w:ascii="Arial" w:hAnsi="Arial" w:cs="Arial"/>
              </w:rPr>
              <w:t>0</w:t>
            </w:r>
          </w:p>
        </w:tc>
        <w:tc>
          <w:tcPr>
            <w:tcW w:w="1486" w:type="dxa"/>
          </w:tcPr>
          <w:p w:rsidR="00D849AA" w:rsidRPr="000E4589" w:rsidRDefault="00EE6D95">
            <w:pPr>
              <w:rPr>
                <w:rFonts w:ascii="Arial" w:hAnsi="Arial" w:cs="Arial"/>
              </w:rPr>
            </w:pPr>
            <w:r w:rsidRPr="000E4589">
              <w:rPr>
                <w:rFonts w:ascii="Arial" w:hAnsi="Arial" w:cs="Arial"/>
              </w:rPr>
              <w:t>580.000</w:t>
            </w:r>
          </w:p>
        </w:tc>
        <w:tc>
          <w:tcPr>
            <w:tcW w:w="1486" w:type="dxa"/>
          </w:tcPr>
          <w:p w:rsidR="00D849AA" w:rsidRPr="000E4589" w:rsidRDefault="00EE6D95">
            <w:pPr>
              <w:rPr>
                <w:rFonts w:ascii="Arial" w:hAnsi="Arial" w:cs="Arial"/>
              </w:rPr>
            </w:pPr>
            <w:r w:rsidRPr="000E4589">
              <w:rPr>
                <w:rFonts w:ascii="Arial" w:hAnsi="Arial" w:cs="Arial"/>
              </w:rPr>
              <w:t>750.000</w:t>
            </w:r>
          </w:p>
        </w:tc>
        <w:tc>
          <w:tcPr>
            <w:tcW w:w="1486" w:type="dxa"/>
          </w:tcPr>
          <w:p w:rsidR="00D849AA" w:rsidRPr="000E4589" w:rsidRDefault="00EE6D95">
            <w:pPr>
              <w:rPr>
                <w:rFonts w:ascii="Arial" w:hAnsi="Arial" w:cs="Arial"/>
              </w:rPr>
            </w:pPr>
            <w:r w:rsidRPr="000E4589">
              <w:rPr>
                <w:rFonts w:ascii="Arial" w:hAnsi="Arial" w:cs="Arial"/>
              </w:rPr>
              <w:t>750.000</w:t>
            </w:r>
          </w:p>
        </w:tc>
      </w:tr>
    </w:tbl>
    <w:p w:rsidR="00D849AA" w:rsidRDefault="00D849AA">
      <w:pPr>
        <w:jc w:val="left"/>
      </w:pPr>
    </w:p>
    <w:p w:rsidR="00D849AA" w:rsidRDefault="00EE6D95">
      <w:pPr>
        <w:pStyle w:val="Naslov5"/>
      </w:pPr>
      <w:r>
        <w:t>Procjena i ishodište potrebnih sredstava za značajnije aktivnosti/projekte</w:t>
      </w:r>
    </w:p>
    <w:p w:rsidR="00D849AA" w:rsidRDefault="00EE6D95">
      <w:pPr>
        <w:pStyle w:val="Naslov6"/>
      </w:pPr>
      <w:r>
        <w:t>A869001 ADMINISTRACIJA I UPRAVLJANJE HANDA-e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rsidRPr="000E4589">
        <w:trPr>
          <w:jc w:val="center"/>
        </w:trPr>
        <w:tc>
          <w:tcPr>
            <w:tcW w:w="1486" w:type="dxa"/>
            <w:shd w:val="clear" w:color="auto" w:fill="B5C0D8"/>
          </w:tcPr>
          <w:p w:rsidR="00D849AA" w:rsidRPr="000E4589" w:rsidRDefault="00EE6D95">
            <w:pPr>
              <w:pStyle w:val="CellHeader"/>
            </w:pPr>
            <w:r w:rsidRPr="000E4589">
              <w:t>Naziv aktivnosti</w:t>
            </w:r>
          </w:p>
        </w:tc>
        <w:tc>
          <w:tcPr>
            <w:tcW w:w="1486" w:type="dxa"/>
            <w:shd w:val="clear" w:color="auto" w:fill="B5C0D8"/>
          </w:tcPr>
          <w:p w:rsidR="00D849AA" w:rsidRPr="000E4589" w:rsidRDefault="00EE6D95">
            <w:pPr>
              <w:pStyle w:val="CellHeader"/>
            </w:pPr>
            <w:r w:rsidRPr="000E4589">
              <w:t>Plan 2013.</w:t>
            </w:r>
          </w:p>
        </w:tc>
        <w:tc>
          <w:tcPr>
            <w:tcW w:w="1486" w:type="dxa"/>
            <w:shd w:val="clear" w:color="auto" w:fill="B5C0D8"/>
          </w:tcPr>
          <w:p w:rsidR="00D849AA" w:rsidRPr="000E4589" w:rsidRDefault="00EE6D95">
            <w:pPr>
              <w:pStyle w:val="CellHeader"/>
            </w:pPr>
            <w:r w:rsidRPr="000E4589">
              <w:t>Plan 2014.</w:t>
            </w:r>
          </w:p>
        </w:tc>
        <w:tc>
          <w:tcPr>
            <w:tcW w:w="1486" w:type="dxa"/>
            <w:shd w:val="clear" w:color="auto" w:fill="B5C0D8"/>
          </w:tcPr>
          <w:p w:rsidR="00D849AA" w:rsidRPr="000E4589" w:rsidRDefault="00EE6D95">
            <w:pPr>
              <w:pStyle w:val="CellHeader"/>
            </w:pPr>
            <w:r w:rsidRPr="000E4589">
              <w:t>Plan 2015.</w:t>
            </w:r>
          </w:p>
        </w:tc>
        <w:tc>
          <w:tcPr>
            <w:tcW w:w="1486" w:type="dxa"/>
            <w:shd w:val="clear" w:color="auto" w:fill="B5C0D8"/>
          </w:tcPr>
          <w:p w:rsidR="00D849AA" w:rsidRPr="000E4589" w:rsidRDefault="00EE6D95">
            <w:pPr>
              <w:pStyle w:val="CellHeader"/>
            </w:pPr>
            <w:r w:rsidRPr="000E4589">
              <w:t>Plan 2016.</w:t>
            </w:r>
          </w:p>
        </w:tc>
        <w:tc>
          <w:tcPr>
            <w:tcW w:w="1486" w:type="dxa"/>
            <w:shd w:val="clear" w:color="auto" w:fill="B5C0D8"/>
          </w:tcPr>
          <w:p w:rsidR="00D849AA" w:rsidRPr="000E4589" w:rsidRDefault="00EE6D95">
            <w:pPr>
              <w:pStyle w:val="CellHeader"/>
            </w:pPr>
            <w:r w:rsidRPr="000E4589">
              <w:t>Indeks 2014/2013</w:t>
            </w:r>
          </w:p>
        </w:tc>
      </w:tr>
      <w:tr w:rsidR="00D849AA" w:rsidRPr="000E4589">
        <w:trPr>
          <w:jc w:val="center"/>
        </w:trPr>
        <w:tc>
          <w:tcPr>
            <w:tcW w:w="1486" w:type="dxa"/>
          </w:tcPr>
          <w:p w:rsidR="00D849AA" w:rsidRPr="000E4589" w:rsidRDefault="00EE6D95">
            <w:pPr>
              <w:pStyle w:val="CellColumn"/>
            </w:pPr>
            <w:r w:rsidRPr="000E4589">
              <w:t>A869001</w:t>
            </w:r>
          </w:p>
        </w:tc>
        <w:tc>
          <w:tcPr>
            <w:tcW w:w="1486" w:type="dxa"/>
          </w:tcPr>
          <w:p w:rsidR="00D849AA" w:rsidRPr="000E4589" w:rsidRDefault="00EE6D95">
            <w:pPr>
              <w:rPr>
                <w:rFonts w:ascii="Arial" w:hAnsi="Arial" w:cs="Arial"/>
              </w:rPr>
            </w:pPr>
            <w:r w:rsidRPr="000E4589">
              <w:rPr>
                <w:rFonts w:ascii="Arial" w:hAnsi="Arial" w:cs="Arial"/>
              </w:rPr>
              <w:t>16.612.247</w:t>
            </w:r>
          </w:p>
        </w:tc>
        <w:tc>
          <w:tcPr>
            <w:tcW w:w="1486" w:type="dxa"/>
          </w:tcPr>
          <w:p w:rsidR="00D849AA" w:rsidRPr="000E4589" w:rsidRDefault="00EE6D95">
            <w:pPr>
              <w:rPr>
                <w:rFonts w:ascii="Arial" w:hAnsi="Arial" w:cs="Arial"/>
              </w:rPr>
            </w:pPr>
            <w:r w:rsidRPr="000E4589">
              <w:rPr>
                <w:rFonts w:ascii="Arial" w:hAnsi="Arial" w:cs="Arial"/>
              </w:rPr>
              <w:t>4.774.880</w:t>
            </w:r>
          </w:p>
        </w:tc>
        <w:tc>
          <w:tcPr>
            <w:tcW w:w="1486" w:type="dxa"/>
          </w:tcPr>
          <w:p w:rsidR="00D849AA" w:rsidRPr="000E4589" w:rsidRDefault="00EE6D95">
            <w:pPr>
              <w:rPr>
                <w:rFonts w:ascii="Arial" w:hAnsi="Arial" w:cs="Arial"/>
              </w:rPr>
            </w:pPr>
            <w:r w:rsidRPr="000E4589">
              <w:rPr>
                <w:rFonts w:ascii="Arial" w:hAnsi="Arial" w:cs="Arial"/>
              </w:rPr>
              <w:t>7.498.526</w:t>
            </w:r>
          </w:p>
        </w:tc>
        <w:tc>
          <w:tcPr>
            <w:tcW w:w="1486" w:type="dxa"/>
          </w:tcPr>
          <w:p w:rsidR="00D849AA" w:rsidRPr="000E4589" w:rsidRDefault="00EE6D95">
            <w:pPr>
              <w:rPr>
                <w:rFonts w:ascii="Arial" w:hAnsi="Arial" w:cs="Arial"/>
              </w:rPr>
            </w:pPr>
            <w:r w:rsidRPr="000E4589">
              <w:rPr>
                <w:rFonts w:ascii="Arial" w:hAnsi="Arial" w:cs="Arial"/>
              </w:rPr>
              <w:t>7.634.982</w:t>
            </w:r>
          </w:p>
        </w:tc>
        <w:tc>
          <w:tcPr>
            <w:tcW w:w="1486" w:type="dxa"/>
          </w:tcPr>
          <w:p w:rsidR="00D849AA" w:rsidRPr="000E4589" w:rsidRDefault="00EE6D95">
            <w:pPr>
              <w:rPr>
                <w:rFonts w:ascii="Arial" w:hAnsi="Arial" w:cs="Arial"/>
              </w:rPr>
            </w:pPr>
            <w:r w:rsidRPr="000E4589">
              <w:rPr>
                <w:rFonts w:ascii="Arial" w:hAnsi="Arial" w:cs="Arial"/>
              </w:rPr>
              <w:t>28,7</w:t>
            </w:r>
          </w:p>
        </w:tc>
      </w:tr>
    </w:tbl>
    <w:p w:rsidR="00D849AA" w:rsidRPr="000E4589" w:rsidRDefault="00D849AA">
      <w:pPr>
        <w:jc w:val="left"/>
        <w:rPr>
          <w:rFonts w:ascii="Arial" w:hAnsi="Arial" w:cs="Arial"/>
        </w:rPr>
      </w:pPr>
    </w:p>
    <w:p w:rsidR="00D849AA" w:rsidRDefault="00EE6D95">
      <w:pPr>
        <w:pStyle w:val="Normal6"/>
      </w:pPr>
      <w:r>
        <w:t>Aktivnost se odnosi na troškove (rashode) za provedbu djelatnosti i poslovanja HANDA-e s ciljem stvaranja uvjeta za rad HANDA-e vezanog uz provedbu zakonom propisanih djelatnosti i poslovanja.</w:t>
      </w:r>
    </w:p>
    <w:p w:rsidR="00D849AA" w:rsidRDefault="00EE6D95">
      <w:pPr>
        <w:pStyle w:val="Naslov6"/>
      </w:pPr>
      <w:r>
        <w:t>K869002 OPREMANJE I INFORMATIZACIJA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0E4589" w:rsidRDefault="00EE6D95">
            <w:pPr>
              <w:pStyle w:val="CellHeader"/>
            </w:pPr>
            <w:r w:rsidRPr="000E4589">
              <w:t>Naziv aktivnosti</w:t>
            </w:r>
          </w:p>
        </w:tc>
        <w:tc>
          <w:tcPr>
            <w:tcW w:w="1486" w:type="dxa"/>
            <w:shd w:val="clear" w:color="auto" w:fill="B5C0D8"/>
          </w:tcPr>
          <w:p w:rsidR="00D849AA" w:rsidRPr="000E4589" w:rsidRDefault="00EE6D95">
            <w:pPr>
              <w:pStyle w:val="CellHeader"/>
            </w:pPr>
            <w:r w:rsidRPr="000E4589">
              <w:t>Plan 2013.</w:t>
            </w:r>
          </w:p>
        </w:tc>
        <w:tc>
          <w:tcPr>
            <w:tcW w:w="1486" w:type="dxa"/>
            <w:shd w:val="clear" w:color="auto" w:fill="B5C0D8"/>
          </w:tcPr>
          <w:p w:rsidR="00D849AA" w:rsidRPr="000E4589" w:rsidRDefault="00EE6D95">
            <w:pPr>
              <w:pStyle w:val="CellHeader"/>
            </w:pPr>
            <w:r w:rsidRPr="000E4589">
              <w:t>Plan 2014.</w:t>
            </w:r>
          </w:p>
        </w:tc>
        <w:tc>
          <w:tcPr>
            <w:tcW w:w="1486" w:type="dxa"/>
            <w:shd w:val="clear" w:color="auto" w:fill="B5C0D8"/>
          </w:tcPr>
          <w:p w:rsidR="00D849AA" w:rsidRPr="000E4589" w:rsidRDefault="00EE6D95">
            <w:pPr>
              <w:pStyle w:val="CellHeader"/>
            </w:pPr>
            <w:r w:rsidRPr="000E4589">
              <w:t>Plan 2015.</w:t>
            </w:r>
          </w:p>
        </w:tc>
        <w:tc>
          <w:tcPr>
            <w:tcW w:w="1486" w:type="dxa"/>
            <w:shd w:val="clear" w:color="auto" w:fill="B5C0D8"/>
          </w:tcPr>
          <w:p w:rsidR="00D849AA" w:rsidRPr="000E4589" w:rsidRDefault="00EE6D95">
            <w:pPr>
              <w:pStyle w:val="CellHeader"/>
            </w:pPr>
            <w:r w:rsidRPr="000E4589">
              <w:t>Plan 2016.</w:t>
            </w:r>
          </w:p>
        </w:tc>
        <w:tc>
          <w:tcPr>
            <w:tcW w:w="1486" w:type="dxa"/>
            <w:shd w:val="clear" w:color="auto" w:fill="B5C0D8"/>
          </w:tcPr>
          <w:p w:rsidR="00D849AA" w:rsidRPr="000E4589" w:rsidRDefault="00EE6D95">
            <w:pPr>
              <w:pStyle w:val="CellHeader"/>
            </w:pPr>
            <w:r w:rsidRPr="000E4589">
              <w:t>Indeks 2014/2013</w:t>
            </w:r>
          </w:p>
        </w:tc>
      </w:tr>
      <w:tr w:rsidR="00D849AA">
        <w:trPr>
          <w:jc w:val="center"/>
        </w:trPr>
        <w:tc>
          <w:tcPr>
            <w:tcW w:w="1486" w:type="dxa"/>
          </w:tcPr>
          <w:p w:rsidR="00D849AA" w:rsidRPr="000E4589" w:rsidRDefault="00EE6D95">
            <w:pPr>
              <w:pStyle w:val="CellColumn"/>
            </w:pPr>
            <w:r w:rsidRPr="000E4589">
              <w:t>K869002</w:t>
            </w:r>
          </w:p>
        </w:tc>
        <w:tc>
          <w:tcPr>
            <w:tcW w:w="1486" w:type="dxa"/>
          </w:tcPr>
          <w:p w:rsidR="00D849AA" w:rsidRPr="000E4589" w:rsidRDefault="00EE6D95">
            <w:pPr>
              <w:rPr>
                <w:rFonts w:ascii="Arial" w:hAnsi="Arial" w:cs="Arial"/>
              </w:rPr>
            </w:pPr>
            <w:r w:rsidRPr="000E4589">
              <w:rPr>
                <w:rFonts w:ascii="Arial" w:hAnsi="Arial" w:cs="Arial"/>
              </w:rPr>
              <w:t>279.000</w:t>
            </w:r>
          </w:p>
        </w:tc>
        <w:tc>
          <w:tcPr>
            <w:tcW w:w="1486" w:type="dxa"/>
          </w:tcPr>
          <w:p w:rsidR="00D849AA" w:rsidRPr="000E4589" w:rsidRDefault="00EE6D95">
            <w:pPr>
              <w:rPr>
                <w:rFonts w:ascii="Arial" w:hAnsi="Arial" w:cs="Arial"/>
              </w:rPr>
            </w:pPr>
            <w:r w:rsidRPr="000E4589">
              <w:rPr>
                <w:rFonts w:ascii="Arial" w:hAnsi="Arial" w:cs="Arial"/>
              </w:rPr>
              <w:t>409.000</w:t>
            </w:r>
          </w:p>
        </w:tc>
        <w:tc>
          <w:tcPr>
            <w:tcW w:w="1486" w:type="dxa"/>
          </w:tcPr>
          <w:p w:rsidR="00D849AA" w:rsidRPr="000E4589" w:rsidRDefault="00EE6D95">
            <w:pPr>
              <w:rPr>
                <w:rFonts w:ascii="Arial" w:hAnsi="Arial" w:cs="Arial"/>
              </w:rPr>
            </w:pPr>
            <w:r w:rsidRPr="000E4589">
              <w:rPr>
                <w:rFonts w:ascii="Arial" w:hAnsi="Arial" w:cs="Arial"/>
              </w:rPr>
              <w:t>421.270</w:t>
            </w:r>
          </w:p>
        </w:tc>
        <w:tc>
          <w:tcPr>
            <w:tcW w:w="1486" w:type="dxa"/>
          </w:tcPr>
          <w:p w:rsidR="00D849AA" w:rsidRPr="000E4589" w:rsidRDefault="00EE6D95">
            <w:pPr>
              <w:rPr>
                <w:rFonts w:ascii="Arial" w:hAnsi="Arial" w:cs="Arial"/>
              </w:rPr>
            </w:pPr>
            <w:r w:rsidRPr="000E4589">
              <w:rPr>
                <w:rFonts w:ascii="Arial" w:hAnsi="Arial" w:cs="Arial"/>
              </w:rPr>
              <w:t>433.908</w:t>
            </w:r>
          </w:p>
        </w:tc>
        <w:tc>
          <w:tcPr>
            <w:tcW w:w="1486" w:type="dxa"/>
          </w:tcPr>
          <w:p w:rsidR="00D849AA" w:rsidRPr="000E4589" w:rsidRDefault="00EE6D95">
            <w:pPr>
              <w:rPr>
                <w:rFonts w:ascii="Arial" w:hAnsi="Arial" w:cs="Arial"/>
              </w:rPr>
            </w:pPr>
            <w:r w:rsidRPr="000E4589">
              <w:rPr>
                <w:rFonts w:ascii="Arial" w:hAnsi="Arial" w:cs="Arial"/>
              </w:rPr>
              <w:t>146,6</w:t>
            </w:r>
          </w:p>
        </w:tc>
      </w:tr>
    </w:tbl>
    <w:p w:rsidR="00D849AA" w:rsidRDefault="00D849AA">
      <w:pPr>
        <w:jc w:val="left"/>
      </w:pPr>
    </w:p>
    <w:p w:rsidR="00D849AA" w:rsidRDefault="00EE6D95">
      <w:pPr>
        <w:pStyle w:val="Normal6"/>
      </w:pPr>
      <w:r>
        <w:t>Aktivnost se odnosi na troškove (rashode) za nabavu nefinancijske imovine s ciljem stvaranja uvjeta za rad HANDA-e vezanih uz opremanje i informatizaciju, što podrazumijeva nabavku uredske opreme i namještaja, komunikacijske opreme, opreme za održavanje i zaštitu, uređaja i strojeva.</w:t>
      </w:r>
    </w:p>
    <w:p w:rsidR="00D849AA" w:rsidRDefault="00EE6D95">
      <w:pPr>
        <w:pStyle w:val="Naslov6"/>
      </w:pPr>
      <w:r>
        <w:lastRenderedPageBreak/>
        <w:t>K869003 FORMIRANJE, SKLADIŠTENJE I UPRAVLJANJE OBVEZNIM ZALIHAMA NAFTE I NAFTNIM DERIVATIMA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rsidRPr="000E4589">
        <w:trPr>
          <w:jc w:val="center"/>
        </w:trPr>
        <w:tc>
          <w:tcPr>
            <w:tcW w:w="1486" w:type="dxa"/>
            <w:shd w:val="clear" w:color="auto" w:fill="B5C0D8"/>
          </w:tcPr>
          <w:p w:rsidR="00D849AA" w:rsidRPr="000E4589" w:rsidRDefault="00EE6D95">
            <w:pPr>
              <w:pStyle w:val="CellHeader"/>
            </w:pPr>
            <w:r w:rsidRPr="000E4589">
              <w:t>Naziv aktivnosti</w:t>
            </w:r>
          </w:p>
        </w:tc>
        <w:tc>
          <w:tcPr>
            <w:tcW w:w="1486" w:type="dxa"/>
            <w:shd w:val="clear" w:color="auto" w:fill="B5C0D8"/>
          </w:tcPr>
          <w:p w:rsidR="00D849AA" w:rsidRPr="000E4589" w:rsidRDefault="00EE6D95">
            <w:pPr>
              <w:pStyle w:val="CellHeader"/>
            </w:pPr>
            <w:r w:rsidRPr="000E4589">
              <w:t>Plan 2013.</w:t>
            </w:r>
          </w:p>
        </w:tc>
        <w:tc>
          <w:tcPr>
            <w:tcW w:w="1486" w:type="dxa"/>
            <w:shd w:val="clear" w:color="auto" w:fill="B5C0D8"/>
          </w:tcPr>
          <w:p w:rsidR="00D849AA" w:rsidRPr="000E4589" w:rsidRDefault="00EE6D95">
            <w:pPr>
              <w:pStyle w:val="CellHeader"/>
            </w:pPr>
            <w:r w:rsidRPr="000E4589">
              <w:t>Plan 2014.</w:t>
            </w:r>
          </w:p>
        </w:tc>
        <w:tc>
          <w:tcPr>
            <w:tcW w:w="1486" w:type="dxa"/>
            <w:shd w:val="clear" w:color="auto" w:fill="B5C0D8"/>
          </w:tcPr>
          <w:p w:rsidR="00D849AA" w:rsidRPr="000E4589" w:rsidRDefault="00EE6D95">
            <w:pPr>
              <w:pStyle w:val="CellHeader"/>
            </w:pPr>
            <w:r w:rsidRPr="000E4589">
              <w:t>Plan 2015.</w:t>
            </w:r>
          </w:p>
        </w:tc>
        <w:tc>
          <w:tcPr>
            <w:tcW w:w="1486" w:type="dxa"/>
            <w:shd w:val="clear" w:color="auto" w:fill="B5C0D8"/>
          </w:tcPr>
          <w:p w:rsidR="00D849AA" w:rsidRPr="000E4589" w:rsidRDefault="00EE6D95">
            <w:pPr>
              <w:pStyle w:val="CellHeader"/>
            </w:pPr>
            <w:r w:rsidRPr="000E4589">
              <w:t>Plan 2016.</w:t>
            </w:r>
          </w:p>
        </w:tc>
        <w:tc>
          <w:tcPr>
            <w:tcW w:w="1486" w:type="dxa"/>
            <w:shd w:val="clear" w:color="auto" w:fill="B5C0D8"/>
          </w:tcPr>
          <w:p w:rsidR="00D849AA" w:rsidRPr="000E4589" w:rsidRDefault="00EE6D95">
            <w:pPr>
              <w:pStyle w:val="CellHeader"/>
            </w:pPr>
            <w:r w:rsidRPr="000E4589">
              <w:t>Indeks 2014/2013</w:t>
            </w:r>
          </w:p>
        </w:tc>
      </w:tr>
      <w:tr w:rsidR="00D849AA" w:rsidRPr="000E4589">
        <w:trPr>
          <w:jc w:val="center"/>
        </w:trPr>
        <w:tc>
          <w:tcPr>
            <w:tcW w:w="1486" w:type="dxa"/>
          </w:tcPr>
          <w:p w:rsidR="00D849AA" w:rsidRPr="000E4589" w:rsidRDefault="00EE6D95">
            <w:pPr>
              <w:pStyle w:val="CellColumn"/>
            </w:pPr>
            <w:r w:rsidRPr="000E4589">
              <w:t>K869003</w:t>
            </w:r>
          </w:p>
        </w:tc>
        <w:tc>
          <w:tcPr>
            <w:tcW w:w="1486" w:type="dxa"/>
          </w:tcPr>
          <w:p w:rsidR="00D849AA" w:rsidRPr="000E4589" w:rsidRDefault="00EE6D95">
            <w:pPr>
              <w:rPr>
                <w:rFonts w:ascii="Arial" w:hAnsi="Arial" w:cs="Arial"/>
              </w:rPr>
            </w:pPr>
            <w:r w:rsidRPr="000E4589">
              <w:rPr>
                <w:rFonts w:ascii="Arial" w:hAnsi="Arial" w:cs="Arial"/>
              </w:rPr>
              <w:t>512.125.500</w:t>
            </w:r>
          </w:p>
        </w:tc>
        <w:tc>
          <w:tcPr>
            <w:tcW w:w="1486" w:type="dxa"/>
          </w:tcPr>
          <w:p w:rsidR="00D849AA" w:rsidRPr="000E4589" w:rsidRDefault="00EE6D95">
            <w:pPr>
              <w:rPr>
                <w:rFonts w:ascii="Arial" w:hAnsi="Arial" w:cs="Arial"/>
              </w:rPr>
            </w:pPr>
            <w:r w:rsidRPr="000E4589">
              <w:rPr>
                <w:rFonts w:ascii="Arial" w:hAnsi="Arial" w:cs="Arial"/>
              </w:rPr>
              <w:t>423.160.876</w:t>
            </w:r>
          </w:p>
        </w:tc>
        <w:tc>
          <w:tcPr>
            <w:tcW w:w="1486" w:type="dxa"/>
          </w:tcPr>
          <w:p w:rsidR="00D849AA" w:rsidRPr="000E4589" w:rsidRDefault="00EE6D95">
            <w:pPr>
              <w:rPr>
                <w:rFonts w:ascii="Arial" w:hAnsi="Arial" w:cs="Arial"/>
              </w:rPr>
            </w:pPr>
            <w:r w:rsidRPr="000E4589">
              <w:rPr>
                <w:rFonts w:ascii="Arial" w:hAnsi="Arial" w:cs="Arial"/>
              </w:rPr>
              <w:t>540.929.540</w:t>
            </w:r>
          </w:p>
        </w:tc>
        <w:tc>
          <w:tcPr>
            <w:tcW w:w="1486" w:type="dxa"/>
          </w:tcPr>
          <w:p w:rsidR="00D849AA" w:rsidRPr="000E4589" w:rsidRDefault="00EE6D95">
            <w:pPr>
              <w:rPr>
                <w:rFonts w:ascii="Arial" w:hAnsi="Arial" w:cs="Arial"/>
              </w:rPr>
            </w:pPr>
            <w:r w:rsidRPr="000E4589">
              <w:rPr>
                <w:rFonts w:ascii="Arial" w:hAnsi="Arial" w:cs="Arial"/>
              </w:rPr>
              <w:t>531.443.050</w:t>
            </w:r>
          </w:p>
        </w:tc>
        <w:tc>
          <w:tcPr>
            <w:tcW w:w="1486" w:type="dxa"/>
          </w:tcPr>
          <w:p w:rsidR="00D849AA" w:rsidRPr="000E4589" w:rsidRDefault="00EE6D95">
            <w:pPr>
              <w:rPr>
                <w:rFonts w:ascii="Arial" w:hAnsi="Arial" w:cs="Arial"/>
              </w:rPr>
            </w:pPr>
            <w:r w:rsidRPr="000E4589">
              <w:rPr>
                <w:rFonts w:ascii="Arial" w:hAnsi="Arial" w:cs="Arial"/>
              </w:rPr>
              <w:t>82,6</w:t>
            </w:r>
          </w:p>
        </w:tc>
      </w:tr>
    </w:tbl>
    <w:p w:rsidR="00D849AA" w:rsidRPr="000E4589" w:rsidRDefault="00D849AA">
      <w:pPr>
        <w:jc w:val="left"/>
        <w:rPr>
          <w:rFonts w:ascii="Arial" w:hAnsi="Arial" w:cs="Arial"/>
        </w:rPr>
      </w:pPr>
    </w:p>
    <w:p w:rsidR="00D849AA" w:rsidRDefault="00EE6D95">
      <w:pPr>
        <w:pStyle w:val="Normal6"/>
      </w:pPr>
      <w:r>
        <w:t>Aktivnost se odnosi na troškove (rashode) za provedbu osnovne djelatnosti HANDA-e s ciljem stvaranja uvjeta za osiguranje obveznih zaliha nafte i naftnih derivata Republike Hrvatske što podrazumijeva formiranje, skladištenje i upravljanje obveznim zalihama nafte i naftnim derivatima te osiguranje dugoročno potrebnih skladišnih kapaciteta za obvezne zalihe.</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rsidRPr="000E4589">
        <w:trPr>
          <w:jc w:val="center"/>
        </w:trPr>
        <w:tc>
          <w:tcPr>
            <w:tcW w:w="2229" w:type="dxa"/>
            <w:shd w:val="clear" w:color="auto" w:fill="B5C0D8"/>
          </w:tcPr>
          <w:p w:rsidR="00D849AA" w:rsidRPr="000E4589" w:rsidRDefault="00EE6D95">
            <w:pPr>
              <w:rPr>
                <w:rFonts w:ascii="Arial" w:hAnsi="Arial" w:cs="Arial"/>
              </w:rPr>
            </w:pPr>
            <w:r w:rsidRPr="000E4589">
              <w:rPr>
                <w:rFonts w:ascii="Arial" w:hAnsi="Arial" w:cs="Arial"/>
              </w:rPr>
              <w:t>Pokazatelj rezultata</w:t>
            </w:r>
          </w:p>
        </w:tc>
        <w:tc>
          <w:tcPr>
            <w:tcW w:w="1114" w:type="dxa"/>
            <w:shd w:val="clear" w:color="auto" w:fill="B5C0D8"/>
          </w:tcPr>
          <w:p w:rsidR="00D849AA" w:rsidRPr="000E4589" w:rsidRDefault="00EE6D95">
            <w:pPr>
              <w:pStyle w:val="CellHeader"/>
            </w:pPr>
            <w:r w:rsidRPr="000E4589">
              <w:t>Jedinica</w:t>
            </w:r>
          </w:p>
        </w:tc>
        <w:tc>
          <w:tcPr>
            <w:tcW w:w="1114" w:type="dxa"/>
            <w:shd w:val="clear" w:color="auto" w:fill="B5C0D8"/>
          </w:tcPr>
          <w:p w:rsidR="00D849AA" w:rsidRPr="000E4589" w:rsidRDefault="00EE6D95">
            <w:pPr>
              <w:pStyle w:val="CellHeader"/>
            </w:pPr>
            <w:r w:rsidRPr="000E4589">
              <w:t>Polazna vrijednost</w:t>
            </w:r>
          </w:p>
        </w:tc>
        <w:tc>
          <w:tcPr>
            <w:tcW w:w="1486" w:type="dxa"/>
            <w:shd w:val="clear" w:color="auto" w:fill="B5C0D8"/>
          </w:tcPr>
          <w:p w:rsidR="00D849AA" w:rsidRPr="000E4589" w:rsidRDefault="00EE6D95">
            <w:pPr>
              <w:pStyle w:val="CellHeader"/>
            </w:pPr>
            <w:r w:rsidRPr="000E4589">
              <w:t>Ciljana vrijednost (2014.)</w:t>
            </w:r>
          </w:p>
        </w:tc>
        <w:tc>
          <w:tcPr>
            <w:tcW w:w="1486" w:type="dxa"/>
            <w:shd w:val="clear" w:color="auto" w:fill="B5C0D8"/>
          </w:tcPr>
          <w:p w:rsidR="00D849AA" w:rsidRPr="000E4589" w:rsidRDefault="00EE6D95">
            <w:pPr>
              <w:pStyle w:val="CellHeader"/>
            </w:pPr>
            <w:r w:rsidRPr="000E4589">
              <w:t>Ciljana vrijednost (2015.)</w:t>
            </w:r>
          </w:p>
        </w:tc>
        <w:tc>
          <w:tcPr>
            <w:tcW w:w="1486" w:type="dxa"/>
            <w:shd w:val="clear" w:color="auto" w:fill="B5C0D8"/>
          </w:tcPr>
          <w:p w:rsidR="00D849AA" w:rsidRPr="000E4589" w:rsidRDefault="00EE6D95">
            <w:pPr>
              <w:pStyle w:val="CellHeader"/>
            </w:pPr>
            <w:r w:rsidRPr="000E4589">
              <w:t>Ciljana vrijednost (2016.)</w:t>
            </w:r>
          </w:p>
        </w:tc>
      </w:tr>
      <w:tr w:rsidR="00D849AA" w:rsidRPr="000E4589">
        <w:trPr>
          <w:jc w:val="center"/>
        </w:trPr>
        <w:tc>
          <w:tcPr>
            <w:tcW w:w="2229" w:type="dxa"/>
          </w:tcPr>
          <w:p w:rsidR="00D849AA" w:rsidRPr="000E4589" w:rsidRDefault="00EE6D95">
            <w:pPr>
              <w:pStyle w:val="CellColumn"/>
            </w:pPr>
            <w:r w:rsidRPr="000E4589">
              <w:t>Količina nabavljene nafte i naftnih derivata</w:t>
            </w:r>
          </w:p>
        </w:tc>
        <w:tc>
          <w:tcPr>
            <w:tcW w:w="1114" w:type="dxa"/>
          </w:tcPr>
          <w:p w:rsidR="00D849AA" w:rsidRPr="000E4589" w:rsidRDefault="00190154">
            <w:pPr>
              <w:rPr>
                <w:rFonts w:ascii="Arial" w:hAnsi="Arial" w:cs="Arial"/>
              </w:rPr>
            </w:pPr>
            <w:r w:rsidRPr="000E4589">
              <w:rPr>
                <w:rFonts w:ascii="Arial" w:hAnsi="Arial" w:cs="Arial"/>
              </w:rPr>
              <w:t>tona</w:t>
            </w:r>
          </w:p>
        </w:tc>
        <w:tc>
          <w:tcPr>
            <w:tcW w:w="1114" w:type="dxa"/>
          </w:tcPr>
          <w:p w:rsidR="00D849AA" w:rsidRPr="000E4589" w:rsidRDefault="00EE6D95">
            <w:pPr>
              <w:rPr>
                <w:rFonts w:ascii="Arial" w:hAnsi="Arial" w:cs="Arial"/>
              </w:rPr>
            </w:pPr>
            <w:r w:rsidRPr="000E4589">
              <w:rPr>
                <w:rFonts w:ascii="Arial" w:hAnsi="Arial" w:cs="Arial"/>
              </w:rPr>
              <w:t>693.000</w:t>
            </w:r>
          </w:p>
        </w:tc>
        <w:tc>
          <w:tcPr>
            <w:tcW w:w="1486" w:type="dxa"/>
          </w:tcPr>
          <w:p w:rsidR="00D849AA" w:rsidRPr="000E4589" w:rsidRDefault="00EE6D95">
            <w:pPr>
              <w:rPr>
                <w:rFonts w:ascii="Arial" w:hAnsi="Arial" w:cs="Arial"/>
              </w:rPr>
            </w:pPr>
            <w:r w:rsidRPr="000E4589">
              <w:rPr>
                <w:rFonts w:ascii="Arial" w:hAnsi="Arial" w:cs="Arial"/>
              </w:rPr>
              <w:t>645.000</w:t>
            </w:r>
          </w:p>
        </w:tc>
        <w:tc>
          <w:tcPr>
            <w:tcW w:w="1486" w:type="dxa"/>
          </w:tcPr>
          <w:p w:rsidR="00D849AA" w:rsidRPr="000E4589" w:rsidRDefault="00EE6D95">
            <w:pPr>
              <w:rPr>
                <w:rFonts w:ascii="Arial" w:hAnsi="Arial" w:cs="Arial"/>
              </w:rPr>
            </w:pPr>
            <w:r w:rsidRPr="000E4589">
              <w:rPr>
                <w:rFonts w:ascii="Arial" w:hAnsi="Arial" w:cs="Arial"/>
              </w:rPr>
              <w:t>635.000</w:t>
            </w:r>
          </w:p>
        </w:tc>
        <w:tc>
          <w:tcPr>
            <w:tcW w:w="1486" w:type="dxa"/>
          </w:tcPr>
          <w:p w:rsidR="00D849AA" w:rsidRPr="000E4589" w:rsidRDefault="00EE6D95">
            <w:pPr>
              <w:rPr>
                <w:rFonts w:ascii="Arial" w:hAnsi="Arial" w:cs="Arial"/>
              </w:rPr>
            </w:pPr>
            <w:r w:rsidRPr="000E4589">
              <w:rPr>
                <w:rFonts w:ascii="Arial" w:hAnsi="Arial" w:cs="Arial"/>
              </w:rPr>
              <w:t>635.000</w:t>
            </w:r>
          </w:p>
        </w:tc>
      </w:tr>
      <w:tr w:rsidR="00D849AA" w:rsidRPr="000E4589">
        <w:trPr>
          <w:jc w:val="center"/>
        </w:trPr>
        <w:tc>
          <w:tcPr>
            <w:tcW w:w="2229" w:type="dxa"/>
          </w:tcPr>
          <w:p w:rsidR="00D849AA" w:rsidRPr="000E4589" w:rsidRDefault="00EE6D95">
            <w:pPr>
              <w:pStyle w:val="CellColumn"/>
            </w:pPr>
            <w:r w:rsidRPr="000E4589">
              <w:t>Izgrađeni kapacitet skladišnog prostora</w:t>
            </w:r>
          </w:p>
        </w:tc>
        <w:tc>
          <w:tcPr>
            <w:tcW w:w="1114" w:type="dxa"/>
          </w:tcPr>
          <w:p w:rsidR="00D849AA" w:rsidRPr="000E4589" w:rsidRDefault="00EE6D95">
            <w:pPr>
              <w:rPr>
                <w:rFonts w:ascii="Arial" w:hAnsi="Arial" w:cs="Arial"/>
              </w:rPr>
            </w:pPr>
            <w:r w:rsidRPr="000E4589">
              <w:rPr>
                <w:rFonts w:ascii="Arial" w:hAnsi="Arial" w:cs="Arial"/>
              </w:rPr>
              <w:t>m3</w:t>
            </w:r>
          </w:p>
        </w:tc>
        <w:tc>
          <w:tcPr>
            <w:tcW w:w="1114" w:type="dxa"/>
          </w:tcPr>
          <w:p w:rsidR="00D849AA" w:rsidRPr="000E4589" w:rsidRDefault="00EE6D95">
            <w:pPr>
              <w:rPr>
                <w:rFonts w:ascii="Arial" w:hAnsi="Arial" w:cs="Arial"/>
              </w:rPr>
            </w:pPr>
            <w:r w:rsidRPr="000E4589">
              <w:rPr>
                <w:rFonts w:ascii="Arial" w:hAnsi="Arial" w:cs="Arial"/>
              </w:rPr>
              <w:t>0</w:t>
            </w:r>
          </w:p>
        </w:tc>
        <w:tc>
          <w:tcPr>
            <w:tcW w:w="1486" w:type="dxa"/>
          </w:tcPr>
          <w:p w:rsidR="00D849AA" w:rsidRPr="000E4589" w:rsidRDefault="00EE6D95">
            <w:pPr>
              <w:rPr>
                <w:rFonts w:ascii="Arial" w:hAnsi="Arial" w:cs="Arial"/>
              </w:rPr>
            </w:pPr>
            <w:r w:rsidRPr="000E4589">
              <w:rPr>
                <w:rFonts w:ascii="Arial" w:hAnsi="Arial" w:cs="Arial"/>
              </w:rPr>
              <w:t>580.000</w:t>
            </w:r>
          </w:p>
        </w:tc>
        <w:tc>
          <w:tcPr>
            <w:tcW w:w="1486" w:type="dxa"/>
          </w:tcPr>
          <w:p w:rsidR="00D849AA" w:rsidRPr="000E4589" w:rsidRDefault="00EE6D95">
            <w:pPr>
              <w:rPr>
                <w:rFonts w:ascii="Arial" w:hAnsi="Arial" w:cs="Arial"/>
              </w:rPr>
            </w:pPr>
            <w:r w:rsidRPr="000E4589">
              <w:rPr>
                <w:rFonts w:ascii="Arial" w:hAnsi="Arial" w:cs="Arial"/>
              </w:rPr>
              <w:t>750.000</w:t>
            </w:r>
          </w:p>
        </w:tc>
        <w:tc>
          <w:tcPr>
            <w:tcW w:w="1486" w:type="dxa"/>
          </w:tcPr>
          <w:p w:rsidR="00D849AA" w:rsidRPr="000E4589" w:rsidRDefault="00EE6D95">
            <w:pPr>
              <w:rPr>
                <w:rFonts w:ascii="Arial" w:hAnsi="Arial" w:cs="Arial"/>
              </w:rPr>
            </w:pPr>
            <w:r w:rsidRPr="000E4589">
              <w:rPr>
                <w:rFonts w:ascii="Arial" w:hAnsi="Arial" w:cs="Arial"/>
              </w:rPr>
              <w:t>750.000</w:t>
            </w:r>
          </w:p>
        </w:tc>
      </w:tr>
    </w:tbl>
    <w:p w:rsidR="00D849AA" w:rsidRPr="000E4589" w:rsidRDefault="00D849AA">
      <w:pPr>
        <w:jc w:val="left"/>
        <w:rPr>
          <w:rFonts w:ascii="Arial" w:hAnsi="Arial" w:cs="Arial"/>
        </w:rPr>
      </w:pPr>
    </w:p>
    <w:p w:rsidR="00D849AA" w:rsidRDefault="00EE6D95">
      <w:pPr>
        <w:pStyle w:val="Naslov2"/>
      </w:pPr>
      <w:r>
        <w:t>04970 Državni zavod za mjeriteljstvo</w:t>
      </w:r>
    </w:p>
    <w:p w:rsidR="00D849AA" w:rsidRDefault="00EE6D95">
      <w:pPr>
        <w:pStyle w:val="Naslov4"/>
      </w:pPr>
      <w:r>
        <w:t>Uvod</w:t>
      </w:r>
    </w:p>
    <w:p w:rsidR="00D849AA" w:rsidRDefault="00EE6D95">
      <w:pPr>
        <w:pStyle w:val="Normal3"/>
      </w:pPr>
      <w:r>
        <w:t>Djelatnost Državnog zavod za mjeriteljstvo usmjerena je na osiguranje mjeriteljskog jedinstva Republike Hrvatske u funkciji slobodnog kretanja roba i usluga, a sa ciljem zaštite potrošača i osiguranja sigurnosti i zdravlja ljudi i životinja. Da bi se osigurala misija Državnog zavoda za mjeriteljstvo, i njegova vodeća uloga u upravljanju mjeriteljskim sustavom RH,  nužno je osigurati unapređenje sustava zakonskog mjeriteljstva, ispitivanja i žigosanja predmeta od plemenitih kovina, sustava homologacije vozila,sustava europske naplate cestarina (EENC) te mjeriteljske inspekcije i nadzora.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0E4589" w:rsidRDefault="00D849AA">
            <w:pPr>
              <w:pStyle w:val="CellHeader"/>
            </w:pPr>
          </w:p>
        </w:tc>
        <w:tc>
          <w:tcPr>
            <w:tcW w:w="1486" w:type="dxa"/>
            <w:shd w:val="clear" w:color="auto" w:fill="B5C0D8"/>
          </w:tcPr>
          <w:p w:rsidR="00D849AA" w:rsidRPr="000E4589" w:rsidRDefault="00EE6D95">
            <w:pPr>
              <w:pStyle w:val="CellHeader"/>
            </w:pPr>
            <w:r w:rsidRPr="000E4589">
              <w:t>Plan 2013.</w:t>
            </w:r>
          </w:p>
        </w:tc>
        <w:tc>
          <w:tcPr>
            <w:tcW w:w="1486" w:type="dxa"/>
            <w:shd w:val="clear" w:color="auto" w:fill="B5C0D8"/>
          </w:tcPr>
          <w:p w:rsidR="00D849AA" w:rsidRPr="000E4589" w:rsidRDefault="00EE6D95">
            <w:pPr>
              <w:pStyle w:val="CellHeader"/>
            </w:pPr>
            <w:r w:rsidRPr="000E4589">
              <w:t>Plan 2014.</w:t>
            </w:r>
          </w:p>
        </w:tc>
        <w:tc>
          <w:tcPr>
            <w:tcW w:w="1486" w:type="dxa"/>
            <w:shd w:val="clear" w:color="auto" w:fill="B5C0D8"/>
          </w:tcPr>
          <w:p w:rsidR="00D849AA" w:rsidRPr="000E4589" w:rsidRDefault="00EE6D95">
            <w:pPr>
              <w:pStyle w:val="CellHeader"/>
            </w:pPr>
            <w:r w:rsidRPr="000E4589">
              <w:t>Plan 2015.</w:t>
            </w:r>
          </w:p>
        </w:tc>
        <w:tc>
          <w:tcPr>
            <w:tcW w:w="1486" w:type="dxa"/>
            <w:shd w:val="clear" w:color="auto" w:fill="B5C0D8"/>
          </w:tcPr>
          <w:p w:rsidR="00D849AA" w:rsidRPr="000E4589" w:rsidRDefault="00EE6D95">
            <w:pPr>
              <w:pStyle w:val="CellHeader"/>
            </w:pPr>
            <w:r w:rsidRPr="000E4589">
              <w:t>Plan 2016.</w:t>
            </w:r>
          </w:p>
        </w:tc>
        <w:tc>
          <w:tcPr>
            <w:tcW w:w="1486" w:type="dxa"/>
            <w:shd w:val="clear" w:color="auto" w:fill="B5C0D8"/>
          </w:tcPr>
          <w:p w:rsidR="00D849AA" w:rsidRPr="000E4589" w:rsidRDefault="00EE6D95">
            <w:pPr>
              <w:pStyle w:val="CellHeader"/>
            </w:pPr>
            <w:r w:rsidRPr="000E4589">
              <w:t>Indeks 2014/2013</w:t>
            </w:r>
          </w:p>
        </w:tc>
      </w:tr>
      <w:tr w:rsidR="00D849AA">
        <w:trPr>
          <w:jc w:val="center"/>
        </w:trPr>
        <w:tc>
          <w:tcPr>
            <w:tcW w:w="1486" w:type="dxa"/>
          </w:tcPr>
          <w:p w:rsidR="00D849AA" w:rsidRPr="000E4589" w:rsidRDefault="00EE6D95">
            <w:pPr>
              <w:pStyle w:val="CellColumn"/>
            </w:pPr>
            <w:r w:rsidRPr="000E4589">
              <w:t>04970</w:t>
            </w:r>
          </w:p>
        </w:tc>
        <w:tc>
          <w:tcPr>
            <w:tcW w:w="1486" w:type="dxa"/>
          </w:tcPr>
          <w:p w:rsidR="00D849AA" w:rsidRPr="000E4589" w:rsidRDefault="00EE6D95">
            <w:pPr>
              <w:rPr>
                <w:rFonts w:ascii="Arial" w:hAnsi="Arial" w:cs="Arial"/>
              </w:rPr>
            </w:pPr>
            <w:r w:rsidRPr="000E4589">
              <w:rPr>
                <w:rFonts w:ascii="Arial" w:hAnsi="Arial" w:cs="Arial"/>
              </w:rPr>
              <w:t>19.959.964</w:t>
            </w:r>
          </w:p>
        </w:tc>
        <w:tc>
          <w:tcPr>
            <w:tcW w:w="1486" w:type="dxa"/>
          </w:tcPr>
          <w:p w:rsidR="00D849AA" w:rsidRPr="000E4589" w:rsidRDefault="00EE6D95">
            <w:pPr>
              <w:rPr>
                <w:rFonts w:ascii="Arial" w:hAnsi="Arial" w:cs="Arial"/>
              </w:rPr>
            </w:pPr>
            <w:r w:rsidRPr="000E4589">
              <w:rPr>
                <w:rFonts w:ascii="Arial" w:hAnsi="Arial" w:cs="Arial"/>
              </w:rPr>
              <w:t>19.459.294</w:t>
            </w:r>
          </w:p>
        </w:tc>
        <w:tc>
          <w:tcPr>
            <w:tcW w:w="1486" w:type="dxa"/>
          </w:tcPr>
          <w:p w:rsidR="00D849AA" w:rsidRPr="000E4589" w:rsidRDefault="00EE6D95">
            <w:pPr>
              <w:rPr>
                <w:rFonts w:ascii="Arial" w:hAnsi="Arial" w:cs="Arial"/>
              </w:rPr>
            </w:pPr>
            <w:r w:rsidRPr="000E4589">
              <w:rPr>
                <w:rFonts w:ascii="Arial" w:hAnsi="Arial" w:cs="Arial"/>
              </w:rPr>
              <w:t>21.351.000</w:t>
            </w:r>
          </w:p>
        </w:tc>
        <w:tc>
          <w:tcPr>
            <w:tcW w:w="1486" w:type="dxa"/>
          </w:tcPr>
          <w:p w:rsidR="00D849AA" w:rsidRPr="000E4589" w:rsidRDefault="00EE6D95">
            <w:pPr>
              <w:rPr>
                <w:rFonts w:ascii="Arial" w:hAnsi="Arial" w:cs="Arial"/>
              </w:rPr>
            </w:pPr>
            <w:r w:rsidRPr="000E4589">
              <w:rPr>
                <w:rFonts w:ascii="Arial" w:hAnsi="Arial" w:cs="Arial"/>
              </w:rPr>
              <w:t>21.870.465</w:t>
            </w:r>
          </w:p>
        </w:tc>
        <w:tc>
          <w:tcPr>
            <w:tcW w:w="1486" w:type="dxa"/>
          </w:tcPr>
          <w:p w:rsidR="00D849AA" w:rsidRPr="000E4589" w:rsidRDefault="00EE6D95">
            <w:pPr>
              <w:rPr>
                <w:rFonts w:ascii="Arial" w:hAnsi="Arial" w:cs="Arial"/>
              </w:rPr>
            </w:pPr>
            <w:r w:rsidRPr="000E4589">
              <w:rPr>
                <w:rFonts w:ascii="Arial" w:hAnsi="Arial" w:cs="Arial"/>
              </w:rPr>
              <w:t>97,5</w:t>
            </w:r>
          </w:p>
        </w:tc>
      </w:tr>
    </w:tbl>
    <w:p w:rsidR="00D849AA" w:rsidRDefault="00D849AA">
      <w:pPr>
        <w:jc w:val="left"/>
      </w:pPr>
    </w:p>
    <w:p w:rsidR="00D849AA" w:rsidRDefault="00EE6D95">
      <w:pPr>
        <w:pStyle w:val="Naslov4"/>
      </w:pPr>
      <w:r>
        <w:lastRenderedPageBreak/>
        <w:t>OBRAZLOŽENJE PROGRAMA</w:t>
      </w:r>
    </w:p>
    <w:p w:rsidR="00D849AA" w:rsidRDefault="00EE6D95">
      <w:pPr>
        <w:pStyle w:val="Naslov5"/>
      </w:pPr>
      <w:r>
        <w:t>3222 USPOSTAVA I KOORDINACIJA NACIONALNOG  MJERITELJSKOG SUSTAVA RH</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3222</w:t>
            </w:r>
          </w:p>
        </w:tc>
        <w:tc>
          <w:tcPr>
            <w:tcW w:w="1486" w:type="dxa"/>
          </w:tcPr>
          <w:p w:rsidR="00D849AA" w:rsidRDefault="00EE6D95">
            <w:r>
              <w:t>19.959.964</w:t>
            </w:r>
          </w:p>
        </w:tc>
        <w:tc>
          <w:tcPr>
            <w:tcW w:w="1486" w:type="dxa"/>
          </w:tcPr>
          <w:p w:rsidR="00D849AA" w:rsidRDefault="00EE6D95">
            <w:r>
              <w:t>19.459.294</w:t>
            </w:r>
          </w:p>
        </w:tc>
        <w:tc>
          <w:tcPr>
            <w:tcW w:w="1486" w:type="dxa"/>
          </w:tcPr>
          <w:p w:rsidR="00D849AA" w:rsidRDefault="00EE6D95">
            <w:r>
              <w:t>21.351.000</w:t>
            </w:r>
          </w:p>
        </w:tc>
        <w:tc>
          <w:tcPr>
            <w:tcW w:w="1486" w:type="dxa"/>
          </w:tcPr>
          <w:p w:rsidR="00D849AA" w:rsidRDefault="00EE6D95">
            <w:r>
              <w:t>21.870.465</w:t>
            </w:r>
          </w:p>
        </w:tc>
        <w:tc>
          <w:tcPr>
            <w:tcW w:w="1486" w:type="dxa"/>
          </w:tcPr>
          <w:p w:rsidR="00D849AA" w:rsidRDefault="00EE6D95">
            <w:r>
              <w:t>97,5</w:t>
            </w:r>
          </w:p>
        </w:tc>
      </w:tr>
    </w:tbl>
    <w:p w:rsidR="00D849AA" w:rsidRDefault="00D849AA">
      <w:pPr>
        <w:jc w:val="left"/>
      </w:pPr>
    </w:p>
    <w:p w:rsidR="00D849AA" w:rsidRDefault="00EE6D95">
      <w:pPr>
        <w:pStyle w:val="Naslov6"/>
      </w:pPr>
      <w:r>
        <w:t>Opis programa</w:t>
      </w:r>
    </w:p>
    <w:p w:rsidR="00D849AA" w:rsidRDefault="00EE6D95">
      <w:pPr>
        <w:pStyle w:val="Normal5"/>
      </w:pPr>
      <w:r>
        <w:t xml:space="preserve">Djelotvorno upravljanje mjeriteljskim sustavom osigurat će: </w:t>
      </w:r>
    </w:p>
    <w:p w:rsidR="00D849AA" w:rsidRDefault="00EE6D95">
      <w:pPr>
        <w:pStyle w:val="Normal5"/>
      </w:pPr>
      <w:r>
        <w:t xml:space="preserve">• stabilno i održivo funkcioniranje mjeriteljskog sustava Republike Hrvatske te njegovo neprekidno poboljšavanje. Glavni su ciljevi nacionalnoga mjeriteljskoga sustava ujednačenje sustava zakonitih mjernih jedinica s Međunarodnim sustavom jedinica (SI), osiguranje vjerodostojnosti rezultata mjerenja koja se provode u svrhu zaštite potrošača, zaštite života, zdravlja ljudi i životinja, zaštite okoliša, opće sigurnosti i zaštite prirodnih izvora te donošenje i provedba mjeriteljskih propisa. </w:t>
      </w:r>
    </w:p>
    <w:p w:rsidR="00D849AA" w:rsidRDefault="00EE6D95">
      <w:pPr>
        <w:pStyle w:val="Normal5"/>
      </w:pPr>
      <w:r>
        <w:t xml:space="preserve">• održavanjem i neprekidnim poboljšavanjem mjeriteljskog sustava potrebno je osigurati da mjeriteljska infrastruktura bude u funkciji poboljšanja konkurente sposobnosti nacionalne industrije i otvaranja pristupa vanjskim tržištima. Ona mora doprinositi stjecanju znanja o novim tehnologijama prije svega u mjerenju i ispitivanju te omogućiti njihovo prenošenje nacionalnoj industriji i gospodarstvu te osigurati prihvaćanje na međunarodnoj razini mjerenja i ispitivanja koja se provode u Republici Hrvatskoj i time omogućiti sklapanje međunarodnih trgovinskih sporazuma koji se odnose na slobodu kretanja roba. </w:t>
      </w:r>
    </w:p>
    <w:p w:rsidR="00D849AA" w:rsidRDefault="00EE6D95">
      <w:pPr>
        <w:pStyle w:val="Normal5"/>
      </w:pPr>
      <w:r>
        <w:t xml:space="preserve">• poboljšavanje nacionalnog sustava za ispitivanje i žigosanje (potvrđivanje) predmeta od plemenitih kovina na cijelom teritoriju Republike Hrvatske boljim opremanjem te osiguranjem odgovarajućih ljudskih resursa i prostora doprinijet će poboljšanju sposobnosti na ispitivanju i žigosanju.   </w:t>
      </w:r>
    </w:p>
    <w:p w:rsidR="00D849AA" w:rsidRDefault="00EE6D95">
      <w:pPr>
        <w:pStyle w:val="Normal5"/>
      </w:pPr>
      <w:r>
        <w:t xml:space="preserve">• djelotvorno upravljanje nacionalnim sustavom homologacije cestovnih vozila, traktora (opreme, dijelova itd.), sustavno usklađivanje pripadajućih propisa s međunarodnim propisima (EZ direktivama, UN/ECE pravilnicima) i time ostvarivanje osnovnog cilja sustava homologacije, a to je primjerena razina sigurnosti vozila u prometu i zaštite okoliša.  </w:t>
      </w:r>
    </w:p>
    <w:p w:rsidR="00D849AA" w:rsidRDefault="00EE6D95">
      <w:pPr>
        <w:pStyle w:val="Normal5"/>
      </w:pPr>
      <w:r>
        <w:t>• poboljšanje i djelotvorno obavljanje i inspekcijskih poslova koji se odnose na nadzor nad primjenom i izvršavanjem zakona, drugih propisa i općih akata u djelatnosti mjeriteljstva i prometu predmeta od plemenitih kovina kao i nadzor nad stručnim radom ovlaštenih mjeritelja i ovlaštenih pravnih osoba.</w:t>
      </w:r>
    </w:p>
    <w:p w:rsidR="002A3D3D" w:rsidRDefault="002A3D3D">
      <w:pPr>
        <w:pStyle w:val="Normal5"/>
      </w:pPr>
    </w:p>
    <w:p w:rsidR="00D849AA" w:rsidRDefault="00EE6D95">
      <w:pPr>
        <w:pStyle w:val="Naslov6"/>
      </w:pPr>
      <w:r>
        <w:t>Zakonske i druge pravne osnove</w:t>
      </w:r>
    </w:p>
    <w:p w:rsidR="00D849AA" w:rsidRDefault="00EE6D95">
      <w:pPr>
        <w:pStyle w:val="Normal5"/>
      </w:pPr>
      <w:r>
        <w:t xml:space="preserve">- Zakon o mjeriteljstvu (NN 163/2003),  </w:t>
      </w:r>
    </w:p>
    <w:p w:rsidR="00D849AA" w:rsidRDefault="00EE6D95">
      <w:pPr>
        <w:pStyle w:val="Normal5"/>
      </w:pPr>
      <w:r>
        <w:t xml:space="preserve">- Zakon o izmjenama i dopunama Zakona o mjeriteljstvu (NN 111/07) </w:t>
      </w:r>
    </w:p>
    <w:p w:rsidR="00D849AA" w:rsidRDefault="00EE6D95">
      <w:pPr>
        <w:pStyle w:val="Normal5"/>
      </w:pPr>
      <w:r>
        <w:t xml:space="preserve">- Zakon o nadzoru predmeta od plemenitih kovina ( NN 76/93 ),  </w:t>
      </w:r>
    </w:p>
    <w:p w:rsidR="00D849AA" w:rsidRDefault="00EE6D95">
      <w:pPr>
        <w:pStyle w:val="Normal5"/>
      </w:pPr>
      <w:r>
        <w:t xml:space="preserve">- Zakon o tehničkim zahtjevima za proizvode i ocjenjivanju sukladnosti (NN 20/10 ) </w:t>
      </w:r>
    </w:p>
    <w:p w:rsidR="00D849AA" w:rsidRDefault="00EE6D95">
      <w:pPr>
        <w:pStyle w:val="Normal5"/>
      </w:pPr>
      <w:r>
        <w:t xml:space="preserve">- Zakon o sigurnosti prometa ( homologacija – NN 105/04 ) </w:t>
      </w:r>
    </w:p>
    <w:p w:rsidR="00D849AA" w:rsidRDefault="00EE6D95">
      <w:pPr>
        <w:pStyle w:val="Normal5"/>
      </w:pPr>
      <w:r>
        <w:lastRenderedPageBreak/>
        <w:t xml:space="preserve">- Zakon o cestama ( homologacija NN 84/11) </w:t>
      </w:r>
    </w:p>
    <w:p w:rsidR="00D849AA" w:rsidRDefault="00EE6D95">
      <w:pPr>
        <w:pStyle w:val="Normal5"/>
      </w:pPr>
      <w:r>
        <w:t xml:space="preserve">- Zakon o zaštiti okoliša ( NN110/07) </w:t>
      </w:r>
    </w:p>
    <w:p w:rsidR="00D849AA" w:rsidRDefault="00EE6D95">
      <w:pPr>
        <w:pStyle w:val="Normal5"/>
      </w:pPr>
      <w:r>
        <w:t>- Zakon o računanju vremena ( NN 27/93, NN 33/96 )</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Cilj 1. Unapređenje sustava homologacije vozila/dijelova i sustava ocjene tehničke sukladnosti</w:t>
      </w:r>
    </w:p>
    <w:p w:rsidR="00D849AA" w:rsidRDefault="00EE6D95">
      <w:pPr>
        <w:pStyle w:val="Normal6"/>
      </w:pPr>
      <w:r>
        <w:t xml:space="preserve">U području sustava homologacije vozila, traktora za poljoprivredu i šumarstvo potrebno je osigurati trajno osuvremenjivanje propisa i njihovu provedbu. </w:t>
      </w:r>
    </w:p>
    <w:p w:rsidR="00D849AA" w:rsidRDefault="00EE6D95">
      <w:pPr>
        <w:pStyle w:val="Normal6"/>
      </w:pPr>
      <w:r>
        <w:t xml:space="preserve">Za kvalitetnu provedbu sustava homologacije potrebno je osigurati uspostavljanje odgovarajućeg posebnog informacijskog sustava vezanog za homologaciju vozila i dijelova (obaveza DZM-a kao tijela nadležnog za homologaciju vozila u Republici Hrvatskoj). Takav informacijski sustav osigurat će raspoloživost homologacijskih podataka o vozilima i necestovnim pokretnim strojevima koje Zavod dobiva od proizvođača (preko njihovih ovlaštenih dobavljača) u provedbi sustava homologacije drugim potencijalnim korisnicima takvih podataka (tehnički pregledi, registracija vozila, ovlaštene pravne osobe za stručne poslove u postupku homologacije, porezna uprava, tijela državne uprave za zaštitu okoliša itd.) uključujući i podatke koji se dostavljaju Europskoj komisiji te osigurati integriranje te baze u cjelovit informatički sustav elektroničkog upravljanja dokumentima i elektroničkog upravljanja poslovnim procesima. </w:t>
      </w:r>
    </w:p>
    <w:p w:rsidR="00D849AA" w:rsidRDefault="00EE6D95">
      <w:pPr>
        <w:pStyle w:val="Normal6"/>
      </w:pPr>
      <w:r>
        <w:t xml:space="preserve">Uspostaviti sustav nadzora sukladnosti necestovnih strojeva koji se stavljaju na tržište RH. </w:t>
      </w:r>
    </w:p>
    <w:p w:rsidR="00D849AA" w:rsidRDefault="00EE6D95">
      <w:pPr>
        <w:pStyle w:val="Normal6"/>
      </w:pPr>
      <w:r>
        <w:t>Provoditi trajno školovanje i osposobljavanje stručnjaka zavoda i ovlaštenih pravnih osoba za područje homologacije vozila.</w:t>
      </w:r>
    </w:p>
    <w:p w:rsidR="002A3D3D" w:rsidRDefault="002A3D3D">
      <w:pPr>
        <w:pStyle w:val="Normal6"/>
      </w:pP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Rješavanje zahtjeva u postupku homologacije, vozila, traktora i dijelova</w:t>
            </w:r>
          </w:p>
        </w:tc>
        <w:tc>
          <w:tcPr>
            <w:tcW w:w="1114" w:type="dxa"/>
          </w:tcPr>
          <w:p w:rsidR="00D849AA" w:rsidRDefault="00EE6D95">
            <w:r>
              <w:t>broj</w:t>
            </w:r>
          </w:p>
        </w:tc>
        <w:tc>
          <w:tcPr>
            <w:tcW w:w="1114" w:type="dxa"/>
          </w:tcPr>
          <w:p w:rsidR="00D849AA" w:rsidRDefault="00EE6D95">
            <w:r>
              <w:t>600</w:t>
            </w:r>
          </w:p>
        </w:tc>
        <w:tc>
          <w:tcPr>
            <w:tcW w:w="1486" w:type="dxa"/>
          </w:tcPr>
          <w:p w:rsidR="00D849AA" w:rsidRDefault="00EE6D95">
            <w:r>
              <w:t>900</w:t>
            </w:r>
          </w:p>
        </w:tc>
        <w:tc>
          <w:tcPr>
            <w:tcW w:w="1486" w:type="dxa"/>
          </w:tcPr>
          <w:p w:rsidR="00D849AA" w:rsidRDefault="00EE6D95">
            <w:r>
              <w:t>950</w:t>
            </w:r>
          </w:p>
        </w:tc>
        <w:tc>
          <w:tcPr>
            <w:tcW w:w="1486" w:type="dxa"/>
          </w:tcPr>
          <w:p w:rsidR="00D849AA" w:rsidRDefault="00EE6D95">
            <w:r>
              <w:t>1000</w:t>
            </w:r>
          </w:p>
        </w:tc>
      </w:tr>
    </w:tbl>
    <w:p w:rsidR="00D849AA" w:rsidRDefault="00D849AA">
      <w:pPr>
        <w:jc w:val="left"/>
      </w:pPr>
    </w:p>
    <w:p w:rsidR="00D849AA" w:rsidRDefault="00EE6D95">
      <w:pPr>
        <w:pStyle w:val="Naslov7"/>
      </w:pPr>
      <w:r>
        <w:t xml:space="preserve">Cilj 2. Razvoj i unapređenje zakonskog mjeriteljstva  </w:t>
      </w:r>
    </w:p>
    <w:p w:rsidR="00D849AA" w:rsidRDefault="00EE6D95">
      <w:pPr>
        <w:pStyle w:val="Normal6"/>
      </w:pPr>
      <w:r>
        <w:t xml:space="preserve">Razvoj i unapređenje zakonskog mjeriteljstva znači : </w:t>
      </w:r>
    </w:p>
    <w:p w:rsidR="00D849AA" w:rsidRDefault="00EE6D95">
      <w:pPr>
        <w:pStyle w:val="Normal6"/>
      </w:pPr>
      <w:r>
        <w:t xml:space="preserve">-cjelovito urediti sustav ovjeravanja- prijenos ovlasti i daljnji razvoj ovlaštenih servisa </w:t>
      </w:r>
    </w:p>
    <w:p w:rsidR="00D849AA" w:rsidRDefault="00EE6D95">
      <w:pPr>
        <w:pStyle w:val="Normal6"/>
      </w:pPr>
      <w:r>
        <w:t xml:space="preserve">-prihvaćanje i prijenos direktiva iz područja mjeriteljstva a ujedno i implementacijom istih poticati osposobljavanje proizvođača da urede modularni pristup i s prijavljenim tijelima omogućiti prvu ovjeru mjerila – konkurentnost gospodarstva </w:t>
      </w:r>
    </w:p>
    <w:p w:rsidR="00D849AA" w:rsidRDefault="00EE6D95">
      <w:pPr>
        <w:pStyle w:val="Normal6"/>
      </w:pPr>
      <w:r>
        <w:t xml:space="preserve">-nadzor nad ovjerenosti mjerila i razvoj inspekcije unutar DZM-a </w:t>
      </w:r>
    </w:p>
    <w:p w:rsidR="00D849AA" w:rsidRDefault="00EE6D95">
      <w:pPr>
        <w:pStyle w:val="Normal6"/>
      </w:pPr>
      <w:r>
        <w:t xml:space="preserve">-suradnja s mjeriteljskim institucijama izvan RH </w:t>
      </w:r>
    </w:p>
    <w:p w:rsidR="00D849AA" w:rsidRDefault="00EE6D95">
      <w:pPr>
        <w:pStyle w:val="Normal6"/>
      </w:pPr>
      <w:r>
        <w:lastRenderedPageBreak/>
        <w:t>-skrbiti o radu ovlaštenih tijela za ovjeravanje i trajno provoditi edukaciju s naglaskom na proširenje mjernih mogućnosti</w:t>
      </w:r>
    </w:p>
    <w:p w:rsidR="002A3D3D" w:rsidRDefault="002A3D3D">
      <w:pPr>
        <w:pStyle w:val="Normal6"/>
      </w:pP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Uspostavljanje modela nadzora i kontrole ovjeravanja</w:t>
            </w:r>
          </w:p>
        </w:tc>
        <w:tc>
          <w:tcPr>
            <w:tcW w:w="1114" w:type="dxa"/>
          </w:tcPr>
          <w:p w:rsidR="00D849AA" w:rsidRDefault="00EE6D95">
            <w:r>
              <w:t>%</w:t>
            </w:r>
          </w:p>
        </w:tc>
        <w:tc>
          <w:tcPr>
            <w:tcW w:w="1114" w:type="dxa"/>
          </w:tcPr>
          <w:p w:rsidR="00D849AA" w:rsidRDefault="00EE6D95">
            <w:r>
              <w:t>50</w:t>
            </w:r>
          </w:p>
        </w:tc>
        <w:tc>
          <w:tcPr>
            <w:tcW w:w="1486" w:type="dxa"/>
          </w:tcPr>
          <w:p w:rsidR="00D849AA" w:rsidRDefault="00EE6D95">
            <w:r>
              <w:t>60</w:t>
            </w:r>
          </w:p>
        </w:tc>
        <w:tc>
          <w:tcPr>
            <w:tcW w:w="1486" w:type="dxa"/>
          </w:tcPr>
          <w:p w:rsidR="00D849AA" w:rsidRDefault="00EE6D95">
            <w:r>
              <w:t>70</w:t>
            </w:r>
          </w:p>
        </w:tc>
        <w:tc>
          <w:tcPr>
            <w:tcW w:w="1486" w:type="dxa"/>
          </w:tcPr>
          <w:p w:rsidR="00D849AA" w:rsidRDefault="00EE6D95">
            <w:r>
              <w:t>80</w:t>
            </w:r>
          </w:p>
        </w:tc>
      </w:tr>
      <w:tr w:rsidR="00D849AA">
        <w:trPr>
          <w:jc w:val="center"/>
        </w:trPr>
        <w:tc>
          <w:tcPr>
            <w:tcW w:w="2229" w:type="dxa"/>
          </w:tcPr>
          <w:p w:rsidR="00D849AA" w:rsidRDefault="00EE6D95">
            <w:pPr>
              <w:pStyle w:val="CellColumn"/>
            </w:pPr>
            <w:r>
              <w:t>Suradnja sa nositeljima politike zapošljavanja</w:t>
            </w:r>
          </w:p>
        </w:tc>
        <w:tc>
          <w:tcPr>
            <w:tcW w:w="1114" w:type="dxa"/>
          </w:tcPr>
          <w:p w:rsidR="00D849AA" w:rsidRDefault="00EE6D95">
            <w:r>
              <w:t>%</w:t>
            </w:r>
          </w:p>
        </w:tc>
        <w:tc>
          <w:tcPr>
            <w:tcW w:w="1114" w:type="dxa"/>
          </w:tcPr>
          <w:p w:rsidR="00D849AA" w:rsidRDefault="00EE6D95">
            <w:r>
              <w:t>50</w:t>
            </w:r>
          </w:p>
        </w:tc>
        <w:tc>
          <w:tcPr>
            <w:tcW w:w="1486" w:type="dxa"/>
          </w:tcPr>
          <w:p w:rsidR="00D849AA" w:rsidRDefault="00EE6D95">
            <w:r>
              <w:t>50</w:t>
            </w:r>
          </w:p>
        </w:tc>
        <w:tc>
          <w:tcPr>
            <w:tcW w:w="1486" w:type="dxa"/>
          </w:tcPr>
          <w:p w:rsidR="00D849AA" w:rsidRDefault="00EE6D95">
            <w:r>
              <w:t>60</w:t>
            </w:r>
          </w:p>
        </w:tc>
        <w:tc>
          <w:tcPr>
            <w:tcW w:w="1486" w:type="dxa"/>
          </w:tcPr>
          <w:p w:rsidR="00D849AA" w:rsidRDefault="00EE6D95">
            <w:r>
              <w:t>70</w:t>
            </w:r>
          </w:p>
        </w:tc>
      </w:tr>
      <w:tr w:rsidR="00D849AA">
        <w:trPr>
          <w:jc w:val="center"/>
        </w:trPr>
        <w:tc>
          <w:tcPr>
            <w:tcW w:w="2229" w:type="dxa"/>
          </w:tcPr>
          <w:p w:rsidR="00D849AA" w:rsidRDefault="00EE6D95">
            <w:pPr>
              <w:pStyle w:val="CellColumn"/>
            </w:pPr>
            <w:r>
              <w:t>Kompletiranje postojećih i novih mjeriteljskih laboratorija</w:t>
            </w:r>
          </w:p>
        </w:tc>
        <w:tc>
          <w:tcPr>
            <w:tcW w:w="1114" w:type="dxa"/>
          </w:tcPr>
          <w:p w:rsidR="00D849AA" w:rsidRDefault="00EE6D95">
            <w:r>
              <w:t>broj</w:t>
            </w:r>
          </w:p>
        </w:tc>
        <w:tc>
          <w:tcPr>
            <w:tcW w:w="1114" w:type="dxa"/>
          </w:tcPr>
          <w:p w:rsidR="00D849AA" w:rsidRDefault="00EE6D95">
            <w:r>
              <w:t>5</w:t>
            </w:r>
          </w:p>
        </w:tc>
        <w:tc>
          <w:tcPr>
            <w:tcW w:w="1486" w:type="dxa"/>
          </w:tcPr>
          <w:p w:rsidR="00D849AA" w:rsidRDefault="00EE6D95">
            <w:r>
              <w:t>5</w:t>
            </w:r>
          </w:p>
        </w:tc>
        <w:tc>
          <w:tcPr>
            <w:tcW w:w="1486" w:type="dxa"/>
          </w:tcPr>
          <w:p w:rsidR="00D849AA" w:rsidRDefault="00EE6D95">
            <w:r>
              <w:t>8</w:t>
            </w:r>
          </w:p>
        </w:tc>
        <w:tc>
          <w:tcPr>
            <w:tcW w:w="1486" w:type="dxa"/>
          </w:tcPr>
          <w:p w:rsidR="00D849AA" w:rsidRDefault="00EE6D95">
            <w:r>
              <w:t>8</w:t>
            </w:r>
          </w:p>
        </w:tc>
      </w:tr>
      <w:tr w:rsidR="00D849AA">
        <w:trPr>
          <w:jc w:val="center"/>
        </w:trPr>
        <w:tc>
          <w:tcPr>
            <w:tcW w:w="2229" w:type="dxa"/>
          </w:tcPr>
          <w:p w:rsidR="00D849AA" w:rsidRDefault="00EE6D95">
            <w:pPr>
              <w:pStyle w:val="CellColumn"/>
            </w:pPr>
            <w:r>
              <w:t>Suradnja na regionalnom, europskom i međunarodnom planu</w:t>
            </w:r>
          </w:p>
        </w:tc>
        <w:tc>
          <w:tcPr>
            <w:tcW w:w="1114" w:type="dxa"/>
          </w:tcPr>
          <w:p w:rsidR="00D849AA" w:rsidRDefault="00EE6D95">
            <w:r>
              <w:t>broj</w:t>
            </w:r>
          </w:p>
        </w:tc>
        <w:tc>
          <w:tcPr>
            <w:tcW w:w="1114" w:type="dxa"/>
          </w:tcPr>
          <w:p w:rsidR="00D849AA" w:rsidRDefault="00EE6D95">
            <w:r>
              <w:t>3</w:t>
            </w:r>
          </w:p>
        </w:tc>
        <w:tc>
          <w:tcPr>
            <w:tcW w:w="1486" w:type="dxa"/>
          </w:tcPr>
          <w:p w:rsidR="00D849AA" w:rsidRDefault="00EE6D95">
            <w:r>
              <w:t>3</w:t>
            </w:r>
          </w:p>
        </w:tc>
        <w:tc>
          <w:tcPr>
            <w:tcW w:w="1486" w:type="dxa"/>
          </w:tcPr>
          <w:p w:rsidR="00D849AA" w:rsidRDefault="00EE6D95">
            <w:r>
              <w:t>6</w:t>
            </w:r>
          </w:p>
        </w:tc>
        <w:tc>
          <w:tcPr>
            <w:tcW w:w="1486" w:type="dxa"/>
          </w:tcPr>
          <w:p w:rsidR="00D849AA" w:rsidRDefault="00EE6D95">
            <w:r>
              <w:t>7</w:t>
            </w:r>
          </w:p>
        </w:tc>
      </w:tr>
      <w:tr w:rsidR="00D849AA">
        <w:trPr>
          <w:jc w:val="center"/>
        </w:trPr>
        <w:tc>
          <w:tcPr>
            <w:tcW w:w="2229" w:type="dxa"/>
          </w:tcPr>
          <w:p w:rsidR="00D849AA" w:rsidRDefault="00EE6D95">
            <w:pPr>
              <w:pStyle w:val="CellColumn"/>
            </w:pPr>
            <w:r>
              <w:t>Uspostavljen model prijenosa stručnih poslova na pravne osobe</w:t>
            </w:r>
          </w:p>
        </w:tc>
        <w:tc>
          <w:tcPr>
            <w:tcW w:w="1114" w:type="dxa"/>
          </w:tcPr>
          <w:p w:rsidR="00D849AA" w:rsidRDefault="00EE6D95">
            <w:r>
              <w:t>%</w:t>
            </w:r>
          </w:p>
        </w:tc>
        <w:tc>
          <w:tcPr>
            <w:tcW w:w="1114" w:type="dxa"/>
          </w:tcPr>
          <w:p w:rsidR="00D849AA" w:rsidRDefault="00EE6D95">
            <w:r>
              <w:t>0</w:t>
            </w:r>
          </w:p>
        </w:tc>
        <w:tc>
          <w:tcPr>
            <w:tcW w:w="1486" w:type="dxa"/>
          </w:tcPr>
          <w:p w:rsidR="00D849AA" w:rsidRDefault="00EE6D95">
            <w:r>
              <w:t>50</w:t>
            </w:r>
          </w:p>
        </w:tc>
        <w:tc>
          <w:tcPr>
            <w:tcW w:w="1486" w:type="dxa"/>
          </w:tcPr>
          <w:p w:rsidR="00D849AA" w:rsidRDefault="00EE6D95">
            <w:r>
              <w:t>100</w:t>
            </w:r>
          </w:p>
        </w:tc>
        <w:tc>
          <w:tcPr>
            <w:tcW w:w="1486" w:type="dxa"/>
          </w:tcPr>
          <w:p w:rsidR="00D849AA" w:rsidRDefault="00D849AA">
            <w:pPr>
              <w:jc w:val="left"/>
            </w:pPr>
          </w:p>
        </w:tc>
      </w:tr>
    </w:tbl>
    <w:p w:rsidR="00D849AA" w:rsidRDefault="00D849AA">
      <w:pPr>
        <w:jc w:val="left"/>
      </w:pPr>
    </w:p>
    <w:p w:rsidR="00D849AA" w:rsidRDefault="00EE6D95">
      <w:pPr>
        <w:pStyle w:val="Naslov7"/>
      </w:pPr>
      <w:r>
        <w:t>Cilj 3. Ostvarivanje načela zakonitosti</w:t>
      </w:r>
    </w:p>
    <w:p w:rsidR="00D849AA" w:rsidRDefault="00EE6D95">
      <w:pPr>
        <w:pStyle w:val="Normal6"/>
      </w:pPr>
      <w:r>
        <w:t>Načelo  zakonitosti kao temelj vladavine prava te usklađenost propisa sa zakonodavstvom EU predstavljaju ključno načelo prilikom donošenja novih zakonskih i podzakonskih akata iz područja mjeriteljstva i nadzora predmeta od plemenitih kovina. Zakonodavstvo i praksa  EU zahtijevaju da se hrvatski pravni sustav, u svim svojim segmentima, pa tako i mjeriteljstvu i nadzoru predmeta od plemenitih kovina, harmonizira sa europskim pravnim standardima.</w:t>
      </w:r>
    </w:p>
    <w:p w:rsidR="002A3D3D" w:rsidRDefault="002A3D3D">
      <w:pPr>
        <w:pStyle w:val="Normal6"/>
      </w:pP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Objavljen Zakon o mjeriteljstvu</w:t>
            </w:r>
          </w:p>
        </w:tc>
        <w:tc>
          <w:tcPr>
            <w:tcW w:w="1114" w:type="dxa"/>
          </w:tcPr>
          <w:p w:rsidR="00D849AA" w:rsidRDefault="00EE6D95">
            <w:r>
              <w:t>kom</w:t>
            </w:r>
          </w:p>
        </w:tc>
        <w:tc>
          <w:tcPr>
            <w:tcW w:w="1114" w:type="dxa"/>
          </w:tcPr>
          <w:p w:rsidR="00D849AA" w:rsidRDefault="00EE6D95">
            <w:r>
              <w:t>0</w:t>
            </w:r>
          </w:p>
        </w:tc>
        <w:tc>
          <w:tcPr>
            <w:tcW w:w="1486" w:type="dxa"/>
          </w:tcPr>
          <w:p w:rsidR="00D849AA" w:rsidRDefault="00EE6D95">
            <w:r>
              <w:t>1</w:t>
            </w:r>
          </w:p>
        </w:tc>
        <w:tc>
          <w:tcPr>
            <w:tcW w:w="1486" w:type="dxa"/>
          </w:tcPr>
          <w:p w:rsidR="00D849AA" w:rsidRDefault="00D849AA">
            <w:pPr>
              <w:jc w:val="left"/>
            </w:pPr>
          </w:p>
        </w:tc>
        <w:tc>
          <w:tcPr>
            <w:tcW w:w="1486" w:type="dxa"/>
          </w:tcPr>
          <w:p w:rsidR="00D849AA" w:rsidRDefault="00D849AA">
            <w:pPr>
              <w:jc w:val="left"/>
            </w:pPr>
          </w:p>
        </w:tc>
      </w:tr>
      <w:tr w:rsidR="00D849AA">
        <w:trPr>
          <w:jc w:val="center"/>
        </w:trPr>
        <w:tc>
          <w:tcPr>
            <w:tcW w:w="2229" w:type="dxa"/>
          </w:tcPr>
          <w:p w:rsidR="00D849AA" w:rsidRDefault="00EE6D95">
            <w:pPr>
              <w:pStyle w:val="CellColumn"/>
            </w:pPr>
            <w:r>
              <w:t>Objavljeni pravilnici</w:t>
            </w:r>
          </w:p>
        </w:tc>
        <w:tc>
          <w:tcPr>
            <w:tcW w:w="1114" w:type="dxa"/>
          </w:tcPr>
          <w:p w:rsidR="00D849AA" w:rsidRDefault="00EE6D95">
            <w:r>
              <w:t>%</w:t>
            </w:r>
          </w:p>
        </w:tc>
        <w:tc>
          <w:tcPr>
            <w:tcW w:w="1114" w:type="dxa"/>
          </w:tcPr>
          <w:p w:rsidR="00D849AA" w:rsidRDefault="00EE6D95">
            <w:r>
              <w:t>0</w:t>
            </w:r>
          </w:p>
        </w:tc>
        <w:tc>
          <w:tcPr>
            <w:tcW w:w="1486" w:type="dxa"/>
          </w:tcPr>
          <w:p w:rsidR="00D849AA" w:rsidRDefault="00EE6D95">
            <w:r>
              <w:t>40</w:t>
            </w:r>
          </w:p>
        </w:tc>
        <w:tc>
          <w:tcPr>
            <w:tcW w:w="1486" w:type="dxa"/>
          </w:tcPr>
          <w:p w:rsidR="00D849AA" w:rsidRDefault="00EE6D95">
            <w:r>
              <w:t>100</w:t>
            </w:r>
          </w:p>
        </w:tc>
        <w:tc>
          <w:tcPr>
            <w:tcW w:w="1486" w:type="dxa"/>
          </w:tcPr>
          <w:p w:rsidR="00D849AA" w:rsidRDefault="00D849AA">
            <w:pPr>
              <w:jc w:val="left"/>
            </w:pPr>
          </w:p>
        </w:tc>
      </w:tr>
      <w:tr w:rsidR="00D849AA">
        <w:trPr>
          <w:jc w:val="center"/>
        </w:trPr>
        <w:tc>
          <w:tcPr>
            <w:tcW w:w="2229" w:type="dxa"/>
          </w:tcPr>
          <w:p w:rsidR="00D849AA" w:rsidRDefault="00EE6D95">
            <w:pPr>
              <w:pStyle w:val="CellColumn"/>
            </w:pPr>
            <w:r>
              <w:t xml:space="preserve">Objavljen Zakon o nadzoru predmeta od </w:t>
            </w:r>
            <w:r>
              <w:lastRenderedPageBreak/>
              <w:t>plemenitih kovina</w:t>
            </w:r>
          </w:p>
        </w:tc>
        <w:tc>
          <w:tcPr>
            <w:tcW w:w="1114" w:type="dxa"/>
          </w:tcPr>
          <w:p w:rsidR="00D849AA" w:rsidRDefault="00EE6D95">
            <w:r>
              <w:lastRenderedPageBreak/>
              <w:t>kom</w:t>
            </w:r>
          </w:p>
        </w:tc>
        <w:tc>
          <w:tcPr>
            <w:tcW w:w="1114" w:type="dxa"/>
          </w:tcPr>
          <w:p w:rsidR="00D849AA" w:rsidRDefault="00EE6D95">
            <w:r>
              <w:t>0</w:t>
            </w:r>
          </w:p>
        </w:tc>
        <w:tc>
          <w:tcPr>
            <w:tcW w:w="1486" w:type="dxa"/>
          </w:tcPr>
          <w:p w:rsidR="00D849AA" w:rsidRDefault="00EE6D95">
            <w:r>
              <w:t>1</w:t>
            </w:r>
          </w:p>
        </w:tc>
        <w:tc>
          <w:tcPr>
            <w:tcW w:w="1486" w:type="dxa"/>
          </w:tcPr>
          <w:p w:rsidR="00D849AA" w:rsidRDefault="00D849AA">
            <w:pPr>
              <w:jc w:val="left"/>
            </w:pPr>
          </w:p>
        </w:tc>
        <w:tc>
          <w:tcPr>
            <w:tcW w:w="1486" w:type="dxa"/>
          </w:tcPr>
          <w:p w:rsidR="00D849AA" w:rsidRDefault="00D849AA">
            <w:pPr>
              <w:jc w:val="left"/>
            </w:pPr>
          </w:p>
        </w:tc>
      </w:tr>
      <w:tr w:rsidR="00D849AA">
        <w:trPr>
          <w:jc w:val="center"/>
        </w:trPr>
        <w:tc>
          <w:tcPr>
            <w:tcW w:w="2229" w:type="dxa"/>
          </w:tcPr>
          <w:p w:rsidR="00D849AA" w:rsidRDefault="00EE6D95">
            <w:pPr>
              <w:pStyle w:val="CellColumn"/>
            </w:pPr>
            <w:r>
              <w:lastRenderedPageBreak/>
              <w:t>Objavljeni pravilnici</w:t>
            </w:r>
          </w:p>
        </w:tc>
        <w:tc>
          <w:tcPr>
            <w:tcW w:w="1114" w:type="dxa"/>
          </w:tcPr>
          <w:p w:rsidR="00D849AA" w:rsidRDefault="00EE6D95">
            <w:r>
              <w:t>%</w:t>
            </w:r>
          </w:p>
        </w:tc>
        <w:tc>
          <w:tcPr>
            <w:tcW w:w="1114" w:type="dxa"/>
          </w:tcPr>
          <w:p w:rsidR="00D849AA" w:rsidRDefault="00EE6D95">
            <w:r>
              <w:t>0</w:t>
            </w:r>
          </w:p>
        </w:tc>
        <w:tc>
          <w:tcPr>
            <w:tcW w:w="1486" w:type="dxa"/>
          </w:tcPr>
          <w:p w:rsidR="00D849AA" w:rsidRDefault="00EE6D95">
            <w:r>
              <w:t>25</w:t>
            </w:r>
          </w:p>
        </w:tc>
        <w:tc>
          <w:tcPr>
            <w:tcW w:w="1486" w:type="dxa"/>
          </w:tcPr>
          <w:p w:rsidR="00D849AA" w:rsidRDefault="00EE6D95">
            <w:r>
              <w:t>100</w:t>
            </w:r>
          </w:p>
        </w:tc>
        <w:tc>
          <w:tcPr>
            <w:tcW w:w="1486" w:type="dxa"/>
          </w:tcPr>
          <w:p w:rsidR="00D849AA" w:rsidRDefault="00D849AA">
            <w:pPr>
              <w:jc w:val="left"/>
            </w:pPr>
          </w:p>
        </w:tc>
      </w:tr>
    </w:tbl>
    <w:p w:rsidR="00D849AA" w:rsidRDefault="00D849AA">
      <w:pPr>
        <w:jc w:val="left"/>
      </w:pPr>
    </w:p>
    <w:p w:rsidR="00D849AA" w:rsidRDefault="00EE6D95">
      <w:pPr>
        <w:pStyle w:val="Naslov7"/>
      </w:pPr>
      <w:r>
        <w:t>Cilj 4. Osuvremenjen sustav nadzora predmeta od plemenitih kovina</w:t>
      </w:r>
    </w:p>
    <w:p w:rsidR="00D849AA" w:rsidRDefault="00EE6D95">
      <w:pPr>
        <w:pStyle w:val="Normal6"/>
      </w:pPr>
      <w:r>
        <w:t xml:space="preserve">Potrebno je opremiti laboratorije Državnog zavoda za mjeriteljstvo koji provode ispitivanje i žigosanje predmeta od plemenitih kovina suvremenom opremom koja odgovara današnjem stupnju razvoja tehnike te ujednačiti tehničke mogućnosti i osposobljenost svih laboratorija lociranih u područnim jedinicama Državnog zavoda za mjeriteljstvo kako bi se na cjelokupnom teritoriju Republika Hrvatske osigurala istovjetna zaštita potrošača od mogućih prevara. Time bi se osiguralo međunarodno priznavanje ispitivanja i žigosanja i omogućilo potpisivanje odgovarajućih sporazuma na europskoj razini o međusobnome priznavanja takvih ispitivanja i žigova. </w:t>
      </w:r>
    </w:p>
    <w:p w:rsidR="00D849AA" w:rsidRDefault="00EE6D95">
      <w:pPr>
        <w:pStyle w:val="Normal6"/>
      </w:pPr>
      <w:r>
        <w:t xml:space="preserve">Sustav ispitivanja i žigosanja povezati s odgovarajućim europskim i međunarodnim sustavom sudjelovanjem u aktivnostima ispitivanja i žigosanja predmeta od plemenitih kovina te postati punopravnim članom europske Konvencije o nadzoru nad predmetima od plemenitih kovina i njihovu označivanju (Convention on the control and Marking of Articles of Precious Metals). </w:t>
      </w:r>
    </w:p>
    <w:p w:rsidR="00D849AA" w:rsidRDefault="00EE6D95">
      <w:pPr>
        <w:pStyle w:val="Normal6"/>
      </w:pPr>
      <w:r>
        <w:t xml:space="preserve">Osigurati primjereni stupanj informatičke podrške za sustav ispitivanja i žigosanja predmeta od plemenitih kovina i integriranje te baze u cjelovit informatički sustav elektroničkog upravljanja dokumentima i elektroničkog upravljanja poslovnim procesima </w:t>
      </w:r>
    </w:p>
    <w:p w:rsidR="00D849AA" w:rsidRDefault="00EE6D95">
      <w:pPr>
        <w:pStyle w:val="Normal6"/>
      </w:pPr>
      <w:r>
        <w:t>Provoditi trajno školovanje i osposobljavanje stručnjaka zavoda za praćenje razvoja i uvođenje novih metoda u područja ispitivanja predmeta od plemenitih kovina.</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Količina žigosanih predmeta od plemenitih kovina na tržištu</w:t>
            </w:r>
          </w:p>
        </w:tc>
        <w:tc>
          <w:tcPr>
            <w:tcW w:w="1114" w:type="dxa"/>
          </w:tcPr>
          <w:p w:rsidR="00D849AA" w:rsidRDefault="00EE6D95">
            <w:r>
              <w:t>broj</w:t>
            </w:r>
          </w:p>
        </w:tc>
        <w:tc>
          <w:tcPr>
            <w:tcW w:w="1114" w:type="dxa"/>
          </w:tcPr>
          <w:p w:rsidR="00D849AA" w:rsidRDefault="00EE6D95">
            <w:r>
              <w:t>320.000</w:t>
            </w:r>
          </w:p>
        </w:tc>
        <w:tc>
          <w:tcPr>
            <w:tcW w:w="1486" w:type="dxa"/>
          </w:tcPr>
          <w:p w:rsidR="00D849AA" w:rsidRDefault="00EE6D95">
            <w:r>
              <w:t>500.000</w:t>
            </w:r>
          </w:p>
        </w:tc>
        <w:tc>
          <w:tcPr>
            <w:tcW w:w="1486" w:type="dxa"/>
          </w:tcPr>
          <w:p w:rsidR="00D849AA" w:rsidRDefault="00EE6D95">
            <w:r>
              <w:t>700.000</w:t>
            </w:r>
          </w:p>
        </w:tc>
        <w:tc>
          <w:tcPr>
            <w:tcW w:w="1486" w:type="dxa"/>
          </w:tcPr>
          <w:p w:rsidR="00D849AA" w:rsidRDefault="00EE6D95">
            <w:r>
              <w:t>750.000</w:t>
            </w:r>
          </w:p>
        </w:tc>
      </w:tr>
      <w:tr w:rsidR="00D849AA">
        <w:trPr>
          <w:jc w:val="center"/>
        </w:trPr>
        <w:tc>
          <w:tcPr>
            <w:tcW w:w="2229" w:type="dxa"/>
          </w:tcPr>
          <w:p w:rsidR="00D849AA" w:rsidRDefault="00EE6D95">
            <w:pPr>
              <w:pStyle w:val="CellColumn"/>
            </w:pPr>
            <w:r>
              <w:t>Ispunjeni zahtjevi za žigosanje i ispitivanje predmeta od plemenitih kovina</w:t>
            </w:r>
          </w:p>
        </w:tc>
        <w:tc>
          <w:tcPr>
            <w:tcW w:w="1114" w:type="dxa"/>
          </w:tcPr>
          <w:p w:rsidR="00D849AA" w:rsidRDefault="00EE6D95">
            <w:r>
              <w:t>broj</w:t>
            </w:r>
          </w:p>
        </w:tc>
        <w:tc>
          <w:tcPr>
            <w:tcW w:w="1114" w:type="dxa"/>
          </w:tcPr>
          <w:p w:rsidR="00D849AA" w:rsidRDefault="00EE6D95">
            <w:r>
              <w:t>900</w:t>
            </w:r>
          </w:p>
        </w:tc>
        <w:tc>
          <w:tcPr>
            <w:tcW w:w="1486" w:type="dxa"/>
          </w:tcPr>
          <w:p w:rsidR="00D849AA" w:rsidRDefault="00EE6D95">
            <w:r>
              <w:t>1200</w:t>
            </w:r>
          </w:p>
        </w:tc>
        <w:tc>
          <w:tcPr>
            <w:tcW w:w="1486" w:type="dxa"/>
          </w:tcPr>
          <w:p w:rsidR="00D849AA" w:rsidRDefault="00EE6D95">
            <w:r>
              <w:t>1300</w:t>
            </w:r>
          </w:p>
        </w:tc>
        <w:tc>
          <w:tcPr>
            <w:tcW w:w="1486" w:type="dxa"/>
          </w:tcPr>
          <w:p w:rsidR="00D849AA" w:rsidRDefault="00EE6D95">
            <w:r>
              <w:t>1500</w:t>
            </w:r>
          </w:p>
        </w:tc>
      </w:tr>
    </w:tbl>
    <w:p w:rsidR="00D849AA" w:rsidRDefault="00D849AA">
      <w:pPr>
        <w:jc w:val="left"/>
      </w:pPr>
    </w:p>
    <w:p w:rsidR="00D849AA" w:rsidRDefault="00EE6D95">
      <w:pPr>
        <w:pStyle w:val="Naslov7"/>
      </w:pPr>
      <w:r>
        <w:t>Cilj 5. Povećanje stručnosti i kompetentnosti</w:t>
      </w:r>
    </w:p>
    <w:p w:rsidR="00D849AA" w:rsidRDefault="00EE6D95">
      <w:pPr>
        <w:pStyle w:val="Normal6"/>
      </w:pPr>
      <w:r>
        <w:t>Intelektualni resursi su jedan od najdostupnijih resursa s kojima Zavod raspolaže. Povećanje kompetencije službenika, stalna edukacija te uspostava odgovarajuće stručne strukture službenika jesu pretpostavka uspješno izvršenih radnih zadataka te preduvjet za daljnje unaprjeđenje poslovnih procesa. Prilikom izvršavanja svojih terenskih radnih zadataka službenicima treba omogućiti što bolju radnu okolinu uz pružanje zaštite zdravlja i sigurnosti života službenika. Unaprjeđenjem sustava zaštite na radu Zavod osigurava vođenje brige o sigurnosti i zdravlju službenika</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0E4589" w:rsidRDefault="00EE6D95">
            <w:pPr>
              <w:rPr>
                <w:rFonts w:ascii="Arial" w:hAnsi="Arial" w:cs="Arial"/>
              </w:rPr>
            </w:pPr>
            <w:r w:rsidRPr="000E4589">
              <w:rPr>
                <w:rFonts w:ascii="Arial" w:hAnsi="Arial" w:cs="Arial"/>
              </w:rPr>
              <w:lastRenderedPageBreak/>
              <w:t>Pokazatelj učinka</w:t>
            </w:r>
          </w:p>
        </w:tc>
        <w:tc>
          <w:tcPr>
            <w:tcW w:w="1114" w:type="dxa"/>
            <w:shd w:val="clear" w:color="auto" w:fill="B5C0D8"/>
          </w:tcPr>
          <w:p w:rsidR="00D849AA" w:rsidRPr="000E4589" w:rsidRDefault="00EE6D95">
            <w:pPr>
              <w:pStyle w:val="CellHeader"/>
            </w:pPr>
            <w:r w:rsidRPr="000E4589">
              <w:t>Jedinica</w:t>
            </w:r>
          </w:p>
        </w:tc>
        <w:tc>
          <w:tcPr>
            <w:tcW w:w="1114" w:type="dxa"/>
            <w:shd w:val="clear" w:color="auto" w:fill="B5C0D8"/>
          </w:tcPr>
          <w:p w:rsidR="00D849AA" w:rsidRPr="000E4589" w:rsidRDefault="00EE6D95">
            <w:pPr>
              <w:pStyle w:val="CellHeader"/>
            </w:pPr>
            <w:r w:rsidRPr="000E4589">
              <w:t>Polazna vrijednost</w:t>
            </w:r>
          </w:p>
        </w:tc>
        <w:tc>
          <w:tcPr>
            <w:tcW w:w="1486" w:type="dxa"/>
            <w:shd w:val="clear" w:color="auto" w:fill="B5C0D8"/>
          </w:tcPr>
          <w:p w:rsidR="00D849AA" w:rsidRPr="000E4589" w:rsidRDefault="00EE6D95">
            <w:pPr>
              <w:pStyle w:val="CellHeader"/>
            </w:pPr>
            <w:r w:rsidRPr="000E4589">
              <w:t>Ciljana vrijednost (2014.)</w:t>
            </w:r>
          </w:p>
        </w:tc>
        <w:tc>
          <w:tcPr>
            <w:tcW w:w="1486" w:type="dxa"/>
            <w:shd w:val="clear" w:color="auto" w:fill="B5C0D8"/>
          </w:tcPr>
          <w:p w:rsidR="00D849AA" w:rsidRPr="000E4589" w:rsidRDefault="00EE6D95">
            <w:pPr>
              <w:pStyle w:val="CellHeader"/>
            </w:pPr>
            <w:r w:rsidRPr="000E4589">
              <w:t>Ciljana vrijednost (2015.)</w:t>
            </w:r>
          </w:p>
        </w:tc>
        <w:tc>
          <w:tcPr>
            <w:tcW w:w="1486" w:type="dxa"/>
            <w:shd w:val="clear" w:color="auto" w:fill="B5C0D8"/>
          </w:tcPr>
          <w:p w:rsidR="00D849AA" w:rsidRPr="000E4589" w:rsidRDefault="00EE6D95">
            <w:pPr>
              <w:pStyle w:val="CellHeader"/>
            </w:pPr>
            <w:r w:rsidRPr="000E4589">
              <w:t>Ciljana vrijednost (2016.)</w:t>
            </w:r>
          </w:p>
        </w:tc>
      </w:tr>
      <w:tr w:rsidR="00D849AA">
        <w:trPr>
          <w:jc w:val="center"/>
        </w:trPr>
        <w:tc>
          <w:tcPr>
            <w:tcW w:w="2229" w:type="dxa"/>
          </w:tcPr>
          <w:p w:rsidR="00D849AA" w:rsidRPr="000E4589" w:rsidRDefault="00EE6D95">
            <w:pPr>
              <w:pStyle w:val="CellColumn"/>
            </w:pPr>
            <w:r w:rsidRPr="000E4589">
              <w:t>Povećana stručnost i kompetencije službenika</w:t>
            </w:r>
          </w:p>
        </w:tc>
        <w:tc>
          <w:tcPr>
            <w:tcW w:w="1114" w:type="dxa"/>
          </w:tcPr>
          <w:p w:rsidR="00D849AA" w:rsidRPr="000E4589" w:rsidRDefault="00EE6D95">
            <w:pPr>
              <w:rPr>
                <w:rFonts w:ascii="Arial" w:hAnsi="Arial" w:cs="Arial"/>
              </w:rPr>
            </w:pPr>
            <w:r w:rsidRPr="000E4589">
              <w:rPr>
                <w:rFonts w:ascii="Arial" w:hAnsi="Arial" w:cs="Arial"/>
              </w:rPr>
              <w:t>%</w:t>
            </w:r>
          </w:p>
        </w:tc>
        <w:tc>
          <w:tcPr>
            <w:tcW w:w="1114" w:type="dxa"/>
          </w:tcPr>
          <w:p w:rsidR="00D849AA" w:rsidRPr="000E4589" w:rsidRDefault="00EE6D95">
            <w:pPr>
              <w:rPr>
                <w:rFonts w:ascii="Arial" w:hAnsi="Arial" w:cs="Arial"/>
              </w:rPr>
            </w:pPr>
            <w:r w:rsidRPr="000E4589">
              <w:rPr>
                <w:rFonts w:ascii="Arial" w:hAnsi="Arial" w:cs="Arial"/>
              </w:rPr>
              <w:t>55</w:t>
            </w:r>
          </w:p>
        </w:tc>
        <w:tc>
          <w:tcPr>
            <w:tcW w:w="1486" w:type="dxa"/>
          </w:tcPr>
          <w:p w:rsidR="00D849AA" w:rsidRPr="000E4589" w:rsidRDefault="00EE6D95">
            <w:pPr>
              <w:rPr>
                <w:rFonts w:ascii="Arial" w:hAnsi="Arial" w:cs="Arial"/>
              </w:rPr>
            </w:pPr>
            <w:r w:rsidRPr="000E4589">
              <w:rPr>
                <w:rFonts w:ascii="Arial" w:hAnsi="Arial" w:cs="Arial"/>
              </w:rPr>
              <w:t>60</w:t>
            </w:r>
          </w:p>
        </w:tc>
        <w:tc>
          <w:tcPr>
            <w:tcW w:w="1486" w:type="dxa"/>
          </w:tcPr>
          <w:p w:rsidR="00D849AA" w:rsidRPr="000E4589" w:rsidRDefault="00EE6D95">
            <w:pPr>
              <w:rPr>
                <w:rFonts w:ascii="Arial" w:hAnsi="Arial" w:cs="Arial"/>
              </w:rPr>
            </w:pPr>
            <w:r w:rsidRPr="000E4589">
              <w:rPr>
                <w:rFonts w:ascii="Arial" w:hAnsi="Arial" w:cs="Arial"/>
              </w:rPr>
              <w:t>65</w:t>
            </w:r>
          </w:p>
        </w:tc>
        <w:tc>
          <w:tcPr>
            <w:tcW w:w="1486" w:type="dxa"/>
          </w:tcPr>
          <w:p w:rsidR="00D849AA" w:rsidRPr="000E4589" w:rsidRDefault="00EE6D95">
            <w:pPr>
              <w:rPr>
                <w:rFonts w:ascii="Arial" w:hAnsi="Arial" w:cs="Arial"/>
              </w:rPr>
            </w:pPr>
            <w:r w:rsidRPr="000E4589">
              <w:rPr>
                <w:rFonts w:ascii="Arial" w:hAnsi="Arial" w:cs="Arial"/>
              </w:rPr>
              <w:t>70</w:t>
            </w:r>
          </w:p>
        </w:tc>
      </w:tr>
      <w:tr w:rsidR="00D849AA">
        <w:trPr>
          <w:jc w:val="center"/>
        </w:trPr>
        <w:tc>
          <w:tcPr>
            <w:tcW w:w="2229" w:type="dxa"/>
          </w:tcPr>
          <w:p w:rsidR="00D849AA" w:rsidRPr="000E4589" w:rsidRDefault="00EE6D95">
            <w:pPr>
              <w:pStyle w:val="CellColumn"/>
            </w:pPr>
            <w:r w:rsidRPr="000E4589">
              <w:t>Uspostavljen sustav zaštite na radu</w:t>
            </w:r>
          </w:p>
        </w:tc>
        <w:tc>
          <w:tcPr>
            <w:tcW w:w="1114" w:type="dxa"/>
          </w:tcPr>
          <w:p w:rsidR="00D849AA" w:rsidRPr="000E4589" w:rsidRDefault="00EE6D95">
            <w:pPr>
              <w:rPr>
                <w:rFonts w:ascii="Arial" w:hAnsi="Arial" w:cs="Arial"/>
              </w:rPr>
            </w:pPr>
            <w:r w:rsidRPr="000E4589">
              <w:rPr>
                <w:rFonts w:ascii="Arial" w:hAnsi="Arial" w:cs="Arial"/>
              </w:rPr>
              <w:t>%</w:t>
            </w:r>
          </w:p>
        </w:tc>
        <w:tc>
          <w:tcPr>
            <w:tcW w:w="1114" w:type="dxa"/>
          </w:tcPr>
          <w:p w:rsidR="00D849AA" w:rsidRPr="000E4589" w:rsidRDefault="00EE6D95">
            <w:pPr>
              <w:rPr>
                <w:rFonts w:ascii="Arial" w:hAnsi="Arial" w:cs="Arial"/>
              </w:rPr>
            </w:pPr>
            <w:r w:rsidRPr="000E4589">
              <w:rPr>
                <w:rFonts w:ascii="Arial" w:hAnsi="Arial" w:cs="Arial"/>
              </w:rPr>
              <w:t>40</w:t>
            </w:r>
          </w:p>
        </w:tc>
        <w:tc>
          <w:tcPr>
            <w:tcW w:w="1486" w:type="dxa"/>
          </w:tcPr>
          <w:p w:rsidR="00D849AA" w:rsidRPr="000E4589" w:rsidRDefault="00EE6D95">
            <w:pPr>
              <w:rPr>
                <w:rFonts w:ascii="Arial" w:hAnsi="Arial" w:cs="Arial"/>
              </w:rPr>
            </w:pPr>
            <w:r w:rsidRPr="000E4589">
              <w:rPr>
                <w:rFonts w:ascii="Arial" w:hAnsi="Arial" w:cs="Arial"/>
              </w:rPr>
              <w:t>60</w:t>
            </w:r>
          </w:p>
        </w:tc>
        <w:tc>
          <w:tcPr>
            <w:tcW w:w="1486" w:type="dxa"/>
          </w:tcPr>
          <w:p w:rsidR="00D849AA" w:rsidRPr="000E4589" w:rsidRDefault="00EE6D95">
            <w:pPr>
              <w:rPr>
                <w:rFonts w:ascii="Arial" w:hAnsi="Arial" w:cs="Arial"/>
              </w:rPr>
            </w:pPr>
            <w:r w:rsidRPr="000E4589">
              <w:rPr>
                <w:rFonts w:ascii="Arial" w:hAnsi="Arial" w:cs="Arial"/>
              </w:rPr>
              <w:t>100</w:t>
            </w:r>
          </w:p>
        </w:tc>
        <w:tc>
          <w:tcPr>
            <w:tcW w:w="1486" w:type="dxa"/>
          </w:tcPr>
          <w:p w:rsidR="00D849AA" w:rsidRPr="000E4589" w:rsidRDefault="00D849AA">
            <w:pPr>
              <w:jc w:val="left"/>
              <w:rPr>
                <w:rFonts w:ascii="Arial" w:hAnsi="Arial" w:cs="Arial"/>
              </w:rPr>
            </w:pPr>
          </w:p>
        </w:tc>
      </w:tr>
    </w:tbl>
    <w:p w:rsidR="00D849AA" w:rsidRDefault="00D849AA">
      <w:pPr>
        <w:jc w:val="left"/>
      </w:pPr>
    </w:p>
    <w:p w:rsidR="00D849AA" w:rsidRDefault="00EE6D95">
      <w:pPr>
        <w:pStyle w:val="Naslov7"/>
      </w:pPr>
      <w:r>
        <w:t>Cilj 6. Djelotvorna organizacija</w:t>
      </w:r>
    </w:p>
    <w:p w:rsidR="00D849AA" w:rsidRDefault="00EE6D95">
      <w:pPr>
        <w:pStyle w:val="Normal6"/>
      </w:pPr>
      <w:r>
        <w:t>Definiranjem  i  opisom najvažnijih poslovnih procesa omogućeno je prepoznavanje realnih potreba poslovanja uz optimizaciju resursa s kojima Zavod raspolaže. Optimizacijom resursa pokušavaju se zadovoljiti realne potrebe poslovanja kroz smanjenje tekućih troškova koji su nužni za uspješno izvršavanje poslovnih procesa uz povećanje prihoda koji proizlaze iz mjeriteljske djelatnosti. Opremanje radnih mjesta potrebnom opremom osigurat će izvršavanje radnih zadataka službenika s povećanim stupnjem efikasnosti i za posljedicu će imati što kvalitetnije izvršene radne zadatke koje je potrebno nagraditi i motivirati kako bi se ta kvaliteta obavljene usluge i efikasnosti zadržala prilikom daljnjeg izvršavanja radnih zadataka.</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0E4589" w:rsidRDefault="00EE6D95">
            <w:pPr>
              <w:rPr>
                <w:rFonts w:ascii="Arial" w:hAnsi="Arial" w:cs="Arial"/>
              </w:rPr>
            </w:pPr>
            <w:r w:rsidRPr="000E4589">
              <w:rPr>
                <w:rFonts w:ascii="Arial" w:hAnsi="Arial" w:cs="Arial"/>
              </w:rPr>
              <w:t>Pokazatelj učinka</w:t>
            </w:r>
          </w:p>
        </w:tc>
        <w:tc>
          <w:tcPr>
            <w:tcW w:w="1114" w:type="dxa"/>
            <w:shd w:val="clear" w:color="auto" w:fill="B5C0D8"/>
          </w:tcPr>
          <w:p w:rsidR="00D849AA" w:rsidRPr="000E4589" w:rsidRDefault="00EE6D95">
            <w:pPr>
              <w:pStyle w:val="CellHeader"/>
            </w:pPr>
            <w:r w:rsidRPr="000E4589">
              <w:t>Jedinica</w:t>
            </w:r>
          </w:p>
        </w:tc>
        <w:tc>
          <w:tcPr>
            <w:tcW w:w="1114" w:type="dxa"/>
            <w:shd w:val="clear" w:color="auto" w:fill="B5C0D8"/>
          </w:tcPr>
          <w:p w:rsidR="00D849AA" w:rsidRPr="000E4589" w:rsidRDefault="00EE6D95">
            <w:pPr>
              <w:pStyle w:val="CellHeader"/>
            </w:pPr>
            <w:r w:rsidRPr="000E4589">
              <w:t>Polazna vrijednost</w:t>
            </w:r>
          </w:p>
        </w:tc>
        <w:tc>
          <w:tcPr>
            <w:tcW w:w="1486" w:type="dxa"/>
            <w:shd w:val="clear" w:color="auto" w:fill="B5C0D8"/>
          </w:tcPr>
          <w:p w:rsidR="00D849AA" w:rsidRPr="000E4589" w:rsidRDefault="00EE6D95">
            <w:pPr>
              <w:pStyle w:val="CellHeader"/>
            </w:pPr>
            <w:r w:rsidRPr="000E4589">
              <w:t>Ciljana vrijednost (2014.)</w:t>
            </w:r>
          </w:p>
        </w:tc>
        <w:tc>
          <w:tcPr>
            <w:tcW w:w="1486" w:type="dxa"/>
            <w:shd w:val="clear" w:color="auto" w:fill="B5C0D8"/>
          </w:tcPr>
          <w:p w:rsidR="00D849AA" w:rsidRPr="000E4589" w:rsidRDefault="00EE6D95">
            <w:pPr>
              <w:pStyle w:val="CellHeader"/>
            </w:pPr>
            <w:r w:rsidRPr="000E4589">
              <w:t>Ciljana vrijednost (2015.)</w:t>
            </w:r>
          </w:p>
        </w:tc>
        <w:tc>
          <w:tcPr>
            <w:tcW w:w="1486" w:type="dxa"/>
            <w:shd w:val="clear" w:color="auto" w:fill="B5C0D8"/>
          </w:tcPr>
          <w:p w:rsidR="00D849AA" w:rsidRPr="000E4589" w:rsidRDefault="00EE6D95">
            <w:pPr>
              <w:pStyle w:val="CellHeader"/>
            </w:pPr>
            <w:r w:rsidRPr="000E4589">
              <w:t>Ciljana vrijednost (2016.)</w:t>
            </w:r>
          </w:p>
        </w:tc>
      </w:tr>
      <w:tr w:rsidR="00D849AA">
        <w:trPr>
          <w:jc w:val="center"/>
        </w:trPr>
        <w:tc>
          <w:tcPr>
            <w:tcW w:w="2229" w:type="dxa"/>
          </w:tcPr>
          <w:p w:rsidR="00D849AA" w:rsidRPr="000E4589" w:rsidRDefault="00EE6D95">
            <w:pPr>
              <w:pStyle w:val="CellColumn"/>
            </w:pPr>
            <w:r w:rsidRPr="000E4589">
              <w:t>Izrađena knjiga poslovnih procesa</w:t>
            </w:r>
          </w:p>
        </w:tc>
        <w:tc>
          <w:tcPr>
            <w:tcW w:w="1114" w:type="dxa"/>
          </w:tcPr>
          <w:p w:rsidR="00D849AA" w:rsidRPr="000E4589" w:rsidRDefault="00EE6D95">
            <w:pPr>
              <w:rPr>
                <w:rFonts w:ascii="Arial" w:hAnsi="Arial" w:cs="Arial"/>
              </w:rPr>
            </w:pPr>
            <w:r w:rsidRPr="000E4589">
              <w:rPr>
                <w:rFonts w:ascii="Arial" w:hAnsi="Arial" w:cs="Arial"/>
              </w:rPr>
              <w:t>%</w:t>
            </w:r>
          </w:p>
        </w:tc>
        <w:tc>
          <w:tcPr>
            <w:tcW w:w="1114" w:type="dxa"/>
          </w:tcPr>
          <w:p w:rsidR="00D849AA" w:rsidRPr="000E4589" w:rsidRDefault="00EE6D95">
            <w:pPr>
              <w:rPr>
                <w:rFonts w:ascii="Arial" w:hAnsi="Arial" w:cs="Arial"/>
              </w:rPr>
            </w:pPr>
            <w:r w:rsidRPr="000E4589">
              <w:rPr>
                <w:rFonts w:ascii="Arial" w:hAnsi="Arial" w:cs="Arial"/>
              </w:rPr>
              <w:t>40</w:t>
            </w:r>
          </w:p>
        </w:tc>
        <w:tc>
          <w:tcPr>
            <w:tcW w:w="1486" w:type="dxa"/>
          </w:tcPr>
          <w:p w:rsidR="00D849AA" w:rsidRPr="000E4589" w:rsidRDefault="00EE6D95">
            <w:pPr>
              <w:rPr>
                <w:rFonts w:ascii="Arial" w:hAnsi="Arial" w:cs="Arial"/>
              </w:rPr>
            </w:pPr>
            <w:r w:rsidRPr="000E4589">
              <w:rPr>
                <w:rFonts w:ascii="Arial" w:hAnsi="Arial" w:cs="Arial"/>
              </w:rPr>
              <w:t>60</w:t>
            </w:r>
          </w:p>
        </w:tc>
        <w:tc>
          <w:tcPr>
            <w:tcW w:w="1486" w:type="dxa"/>
          </w:tcPr>
          <w:p w:rsidR="00D849AA" w:rsidRPr="000E4589" w:rsidRDefault="00EE6D95">
            <w:pPr>
              <w:rPr>
                <w:rFonts w:ascii="Arial" w:hAnsi="Arial" w:cs="Arial"/>
              </w:rPr>
            </w:pPr>
            <w:r w:rsidRPr="000E4589">
              <w:rPr>
                <w:rFonts w:ascii="Arial" w:hAnsi="Arial" w:cs="Arial"/>
              </w:rPr>
              <w:t>100</w:t>
            </w:r>
          </w:p>
        </w:tc>
        <w:tc>
          <w:tcPr>
            <w:tcW w:w="1486" w:type="dxa"/>
          </w:tcPr>
          <w:p w:rsidR="00D849AA" w:rsidRPr="000E4589" w:rsidRDefault="00D849AA">
            <w:pPr>
              <w:jc w:val="left"/>
              <w:rPr>
                <w:rFonts w:ascii="Arial" w:hAnsi="Arial" w:cs="Arial"/>
              </w:rPr>
            </w:pPr>
          </w:p>
        </w:tc>
      </w:tr>
      <w:tr w:rsidR="00D849AA">
        <w:trPr>
          <w:jc w:val="center"/>
        </w:trPr>
        <w:tc>
          <w:tcPr>
            <w:tcW w:w="2229" w:type="dxa"/>
          </w:tcPr>
          <w:p w:rsidR="00D849AA" w:rsidRPr="000E4589" w:rsidRDefault="00EE6D95">
            <w:pPr>
              <w:pStyle w:val="CellColumn"/>
            </w:pPr>
            <w:r w:rsidRPr="000E4589">
              <w:t>Primjena norme HRN ISO 9001</w:t>
            </w:r>
          </w:p>
        </w:tc>
        <w:tc>
          <w:tcPr>
            <w:tcW w:w="1114" w:type="dxa"/>
          </w:tcPr>
          <w:p w:rsidR="00D849AA" w:rsidRPr="000E4589" w:rsidRDefault="00EE6D95">
            <w:pPr>
              <w:rPr>
                <w:rFonts w:ascii="Arial" w:hAnsi="Arial" w:cs="Arial"/>
              </w:rPr>
            </w:pPr>
            <w:r w:rsidRPr="000E4589">
              <w:rPr>
                <w:rFonts w:ascii="Arial" w:hAnsi="Arial" w:cs="Arial"/>
              </w:rPr>
              <w:t>%</w:t>
            </w:r>
          </w:p>
        </w:tc>
        <w:tc>
          <w:tcPr>
            <w:tcW w:w="1114" w:type="dxa"/>
          </w:tcPr>
          <w:p w:rsidR="00D849AA" w:rsidRPr="000E4589" w:rsidRDefault="00EE6D95">
            <w:pPr>
              <w:rPr>
                <w:rFonts w:ascii="Arial" w:hAnsi="Arial" w:cs="Arial"/>
              </w:rPr>
            </w:pPr>
            <w:r w:rsidRPr="000E4589">
              <w:rPr>
                <w:rFonts w:ascii="Arial" w:hAnsi="Arial" w:cs="Arial"/>
              </w:rPr>
              <w:t>40</w:t>
            </w:r>
          </w:p>
        </w:tc>
        <w:tc>
          <w:tcPr>
            <w:tcW w:w="1486" w:type="dxa"/>
          </w:tcPr>
          <w:p w:rsidR="00D849AA" w:rsidRPr="000E4589" w:rsidRDefault="00EE6D95">
            <w:pPr>
              <w:rPr>
                <w:rFonts w:ascii="Arial" w:hAnsi="Arial" w:cs="Arial"/>
              </w:rPr>
            </w:pPr>
            <w:r w:rsidRPr="000E4589">
              <w:rPr>
                <w:rFonts w:ascii="Arial" w:hAnsi="Arial" w:cs="Arial"/>
              </w:rPr>
              <w:t>100</w:t>
            </w:r>
          </w:p>
        </w:tc>
        <w:tc>
          <w:tcPr>
            <w:tcW w:w="1486" w:type="dxa"/>
          </w:tcPr>
          <w:p w:rsidR="00D849AA" w:rsidRPr="000E4589" w:rsidRDefault="00D849AA">
            <w:pPr>
              <w:jc w:val="left"/>
              <w:rPr>
                <w:rFonts w:ascii="Arial" w:hAnsi="Arial" w:cs="Arial"/>
              </w:rPr>
            </w:pPr>
          </w:p>
        </w:tc>
        <w:tc>
          <w:tcPr>
            <w:tcW w:w="1486" w:type="dxa"/>
          </w:tcPr>
          <w:p w:rsidR="00D849AA" w:rsidRPr="000E4589" w:rsidRDefault="00D849AA">
            <w:pPr>
              <w:jc w:val="left"/>
              <w:rPr>
                <w:rFonts w:ascii="Arial" w:hAnsi="Arial" w:cs="Arial"/>
              </w:rPr>
            </w:pPr>
          </w:p>
        </w:tc>
      </w:tr>
      <w:tr w:rsidR="00D849AA">
        <w:trPr>
          <w:jc w:val="center"/>
        </w:trPr>
        <w:tc>
          <w:tcPr>
            <w:tcW w:w="2229" w:type="dxa"/>
          </w:tcPr>
          <w:p w:rsidR="00D849AA" w:rsidRPr="000E4589" w:rsidRDefault="00EE6D95">
            <w:pPr>
              <w:pStyle w:val="CellColumn"/>
            </w:pPr>
            <w:r w:rsidRPr="000E4589">
              <w:t>Primjena norme HRN ISO 17025 uz stalno praćenje i unapređenje rada i organizacije</w:t>
            </w:r>
          </w:p>
        </w:tc>
        <w:tc>
          <w:tcPr>
            <w:tcW w:w="1114" w:type="dxa"/>
          </w:tcPr>
          <w:p w:rsidR="00D849AA" w:rsidRPr="000E4589" w:rsidRDefault="00EE6D95">
            <w:pPr>
              <w:rPr>
                <w:rFonts w:ascii="Arial" w:hAnsi="Arial" w:cs="Arial"/>
              </w:rPr>
            </w:pPr>
            <w:r w:rsidRPr="000E4589">
              <w:rPr>
                <w:rFonts w:ascii="Arial" w:hAnsi="Arial" w:cs="Arial"/>
              </w:rPr>
              <w:t>%</w:t>
            </w:r>
          </w:p>
        </w:tc>
        <w:tc>
          <w:tcPr>
            <w:tcW w:w="1114" w:type="dxa"/>
          </w:tcPr>
          <w:p w:rsidR="00D849AA" w:rsidRPr="000E4589" w:rsidRDefault="00EE6D95">
            <w:pPr>
              <w:rPr>
                <w:rFonts w:ascii="Arial" w:hAnsi="Arial" w:cs="Arial"/>
              </w:rPr>
            </w:pPr>
            <w:r w:rsidRPr="000E4589">
              <w:rPr>
                <w:rFonts w:ascii="Arial" w:hAnsi="Arial" w:cs="Arial"/>
              </w:rPr>
              <w:t>40</w:t>
            </w:r>
          </w:p>
        </w:tc>
        <w:tc>
          <w:tcPr>
            <w:tcW w:w="1486" w:type="dxa"/>
          </w:tcPr>
          <w:p w:rsidR="00D849AA" w:rsidRPr="000E4589" w:rsidRDefault="00EE6D95">
            <w:pPr>
              <w:rPr>
                <w:rFonts w:ascii="Arial" w:hAnsi="Arial" w:cs="Arial"/>
              </w:rPr>
            </w:pPr>
            <w:r w:rsidRPr="000E4589">
              <w:rPr>
                <w:rFonts w:ascii="Arial" w:hAnsi="Arial" w:cs="Arial"/>
              </w:rPr>
              <w:t>100</w:t>
            </w:r>
          </w:p>
        </w:tc>
        <w:tc>
          <w:tcPr>
            <w:tcW w:w="1486" w:type="dxa"/>
          </w:tcPr>
          <w:p w:rsidR="00D849AA" w:rsidRPr="000E4589" w:rsidRDefault="00D849AA">
            <w:pPr>
              <w:jc w:val="left"/>
              <w:rPr>
                <w:rFonts w:ascii="Arial" w:hAnsi="Arial" w:cs="Arial"/>
              </w:rPr>
            </w:pPr>
          </w:p>
        </w:tc>
        <w:tc>
          <w:tcPr>
            <w:tcW w:w="1486" w:type="dxa"/>
          </w:tcPr>
          <w:p w:rsidR="00D849AA" w:rsidRPr="000E4589" w:rsidRDefault="00D849AA">
            <w:pPr>
              <w:jc w:val="left"/>
              <w:rPr>
                <w:rFonts w:ascii="Arial" w:hAnsi="Arial" w:cs="Arial"/>
              </w:rPr>
            </w:pPr>
          </w:p>
        </w:tc>
      </w:tr>
    </w:tbl>
    <w:p w:rsidR="00D849AA" w:rsidRDefault="00D849AA">
      <w:pPr>
        <w:jc w:val="left"/>
      </w:pPr>
    </w:p>
    <w:p w:rsidR="00D849AA" w:rsidRDefault="00EE6D95">
      <w:pPr>
        <w:pStyle w:val="Naslov5"/>
      </w:pPr>
      <w:r>
        <w:t>Procjena i ishodište potrebnih sredstava za značajnije aktivnosti/projekte</w:t>
      </w:r>
    </w:p>
    <w:p w:rsidR="00D849AA" w:rsidRDefault="00EE6D95">
      <w:pPr>
        <w:pStyle w:val="Naslov6"/>
      </w:pPr>
      <w:r>
        <w:t>A762000 ADMINISTRACIJA I UPRAVLJANJE DRŽAVNOG ZAVODA ZA MJERITELJSTVO</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A762000</w:t>
            </w:r>
          </w:p>
        </w:tc>
        <w:tc>
          <w:tcPr>
            <w:tcW w:w="1486" w:type="dxa"/>
          </w:tcPr>
          <w:p w:rsidR="00D849AA" w:rsidRDefault="00EE6D95">
            <w:r>
              <w:t>18.523.964</w:t>
            </w:r>
          </w:p>
        </w:tc>
        <w:tc>
          <w:tcPr>
            <w:tcW w:w="1486" w:type="dxa"/>
          </w:tcPr>
          <w:p w:rsidR="00D849AA" w:rsidRDefault="00EE6D95">
            <w:r>
              <w:t>18.174.294</w:t>
            </w:r>
          </w:p>
        </w:tc>
        <w:tc>
          <w:tcPr>
            <w:tcW w:w="1486" w:type="dxa"/>
          </w:tcPr>
          <w:p w:rsidR="00D849AA" w:rsidRDefault="00EE6D95">
            <w:r>
              <w:t>19.466.000</w:t>
            </w:r>
          </w:p>
        </w:tc>
        <w:tc>
          <w:tcPr>
            <w:tcW w:w="1486" w:type="dxa"/>
          </w:tcPr>
          <w:p w:rsidR="00D849AA" w:rsidRDefault="00EE6D95">
            <w:r>
              <w:t>19.960.465</w:t>
            </w:r>
          </w:p>
        </w:tc>
        <w:tc>
          <w:tcPr>
            <w:tcW w:w="1486" w:type="dxa"/>
          </w:tcPr>
          <w:p w:rsidR="00D849AA" w:rsidRDefault="00EE6D95">
            <w:r>
              <w:t>98,1</w:t>
            </w:r>
          </w:p>
        </w:tc>
      </w:tr>
    </w:tbl>
    <w:p w:rsidR="00D849AA" w:rsidRDefault="00D849AA">
      <w:pPr>
        <w:jc w:val="left"/>
      </w:pPr>
    </w:p>
    <w:p w:rsidR="00D849AA" w:rsidRDefault="00EE6D95">
      <w:pPr>
        <w:pStyle w:val="Normal6"/>
      </w:pPr>
      <w:r>
        <w:lastRenderedPageBreak/>
        <w:t>Ovaj program ima za cilj obavljanje svih stručnih i administrativnih poslova radi nesmetanog, racionalnog i uspješnog obavljanja djelatnosti Zavoda. Djelatnost Državnog zavoda za mjeriteljstvo usmjerena je na osiguranje mjeriteljskog jedinstva Republike Hrvatske u funkciji slobodnog kretanja roba i usluga, a sa ciljem zaštite potrošača i osiguranja sigurnosti i zdravlja ljudi i životinja.</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Povećanje broja riješenih zahtjeva u postupku homologacije vozila, traktora i dijelova</w:t>
            </w:r>
          </w:p>
        </w:tc>
        <w:tc>
          <w:tcPr>
            <w:tcW w:w="1114" w:type="dxa"/>
          </w:tcPr>
          <w:p w:rsidR="00D849AA" w:rsidRDefault="00EE6D95">
            <w:r>
              <w:t>broj</w:t>
            </w:r>
          </w:p>
        </w:tc>
        <w:tc>
          <w:tcPr>
            <w:tcW w:w="1114" w:type="dxa"/>
          </w:tcPr>
          <w:p w:rsidR="00D849AA" w:rsidRDefault="00EE6D95">
            <w:r>
              <w:t>613</w:t>
            </w:r>
          </w:p>
        </w:tc>
        <w:tc>
          <w:tcPr>
            <w:tcW w:w="1486" w:type="dxa"/>
          </w:tcPr>
          <w:p w:rsidR="00D849AA" w:rsidRDefault="00EE6D95">
            <w:r>
              <w:t>900</w:t>
            </w:r>
          </w:p>
        </w:tc>
        <w:tc>
          <w:tcPr>
            <w:tcW w:w="1486" w:type="dxa"/>
          </w:tcPr>
          <w:p w:rsidR="00D849AA" w:rsidRDefault="00EE6D95">
            <w:r>
              <w:t>950</w:t>
            </w:r>
          </w:p>
        </w:tc>
        <w:tc>
          <w:tcPr>
            <w:tcW w:w="1486" w:type="dxa"/>
          </w:tcPr>
          <w:p w:rsidR="00D849AA" w:rsidRDefault="00EE6D95">
            <w:r>
              <w:t>1000</w:t>
            </w:r>
          </w:p>
        </w:tc>
      </w:tr>
      <w:tr w:rsidR="00D849AA">
        <w:trPr>
          <w:jc w:val="center"/>
        </w:trPr>
        <w:tc>
          <w:tcPr>
            <w:tcW w:w="2229" w:type="dxa"/>
          </w:tcPr>
          <w:p w:rsidR="00D849AA" w:rsidRDefault="00EE6D95">
            <w:pPr>
              <w:pStyle w:val="CellColumn"/>
            </w:pPr>
            <w:r>
              <w:t>Povećanje broja ovjerenih mjerila</w:t>
            </w:r>
          </w:p>
        </w:tc>
        <w:tc>
          <w:tcPr>
            <w:tcW w:w="1114" w:type="dxa"/>
          </w:tcPr>
          <w:p w:rsidR="00D849AA" w:rsidRDefault="00EE6D95">
            <w:r>
              <w:t>broj</w:t>
            </w:r>
          </w:p>
        </w:tc>
        <w:tc>
          <w:tcPr>
            <w:tcW w:w="1114" w:type="dxa"/>
          </w:tcPr>
          <w:p w:rsidR="00D849AA" w:rsidRDefault="00EE6D95">
            <w:r>
              <w:t>500.000</w:t>
            </w:r>
          </w:p>
        </w:tc>
        <w:tc>
          <w:tcPr>
            <w:tcW w:w="1486" w:type="dxa"/>
          </w:tcPr>
          <w:p w:rsidR="00D849AA" w:rsidRDefault="00EE6D95">
            <w:r>
              <w:t>550.000</w:t>
            </w:r>
          </w:p>
        </w:tc>
        <w:tc>
          <w:tcPr>
            <w:tcW w:w="1486" w:type="dxa"/>
          </w:tcPr>
          <w:p w:rsidR="00D849AA" w:rsidRDefault="00EE6D95">
            <w:r>
              <w:t>580.000</w:t>
            </w:r>
          </w:p>
        </w:tc>
        <w:tc>
          <w:tcPr>
            <w:tcW w:w="1486" w:type="dxa"/>
          </w:tcPr>
          <w:p w:rsidR="00D849AA" w:rsidRDefault="00EE6D95">
            <w:r>
              <w:t>600.000</w:t>
            </w:r>
          </w:p>
        </w:tc>
      </w:tr>
      <w:tr w:rsidR="00D849AA">
        <w:trPr>
          <w:jc w:val="center"/>
        </w:trPr>
        <w:tc>
          <w:tcPr>
            <w:tcW w:w="2229" w:type="dxa"/>
          </w:tcPr>
          <w:p w:rsidR="00D849AA" w:rsidRDefault="00EE6D95">
            <w:pPr>
              <w:pStyle w:val="CellColumn"/>
            </w:pPr>
            <w:r>
              <w:t>Povećanje broja realiziranih zahtjeva za ispitivanje i žigosanje predmeta od plemenitih kovina</w:t>
            </w:r>
          </w:p>
        </w:tc>
        <w:tc>
          <w:tcPr>
            <w:tcW w:w="1114" w:type="dxa"/>
          </w:tcPr>
          <w:p w:rsidR="00D849AA" w:rsidRDefault="00EE6D95">
            <w:r>
              <w:t>broj</w:t>
            </w:r>
          </w:p>
        </w:tc>
        <w:tc>
          <w:tcPr>
            <w:tcW w:w="1114" w:type="dxa"/>
          </w:tcPr>
          <w:p w:rsidR="00D849AA" w:rsidRDefault="00EE6D95">
            <w:r>
              <w:t>900</w:t>
            </w:r>
          </w:p>
        </w:tc>
        <w:tc>
          <w:tcPr>
            <w:tcW w:w="1486" w:type="dxa"/>
          </w:tcPr>
          <w:p w:rsidR="00D849AA" w:rsidRDefault="00EE6D95">
            <w:r>
              <w:t>1.200</w:t>
            </w:r>
          </w:p>
        </w:tc>
        <w:tc>
          <w:tcPr>
            <w:tcW w:w="1486" w:type="dxa"/>
          </w:tcPr>
          <w:p w:rsidR="00D849AA" w:rsidRDefault="00EE6D95">
            <w:r>
              <w:t>1.300</w:t>
            </w:r>
          </w:p>
        </w:tc>
        <w:tc>
          <w:tcPr>
            <w:tcW w:w="1486" w:type="dxa"/>
          </w:tcPr>
          <w:p w:rsidR="00D849AA" w:rsidRDefault="00EE6D95">
            <w:r>
              <w:t>1.400</w:t>
            </w:r>
          </w:p>
        </w:tc>
      </w:tr>
      <w:tr w:rsidR="00D849AA">
        <w:trPr>
          <w:jc w:val="center"/>
        </w:trPr>
        <w:tc>
          <w:tcPr>
            <w:tcW w:w="2229" w:type="dxa"/>
          </w:tcPr>
          <w:p w:rsidR="00D849AA" w:rsidRDefault="00EE6D95">
            <w:pPr>
              <w:pStyle w:val="CellColumn"/>
            </w:pPr>
            <w:r>
              <w:t>Izrada nacrta zakona, njihove izmjene i dopune u području mjeriteljstva, homologacije vozila i nadzora predmeta od olemenitih lovina</w:t>
            </w:r>
          </w:p>
        </w:tc>
        <w:tc>
          <w:tcPr>
            <w:tcW w:w="1114" w:type="dxa"/>
          </w:tcPr>
          <w:p w:rsidR="00D849AA" w:rsidRDefault="00EE6D95">
            <w:r>
              <w:t>%</w:t>
            </w:r>
          </w:p>
        </w:tc>
        <w:tc>
          <w:tcPr>
            <w:tcW w:w="1114" w:type="dxa"/>
          </w:tcPr>
          <w:p w:rsidR="00D849AA" w:rsidRDefault="00EE6D95">
            <w:r>
              <w:t>40</w:t>
            </w:r>
          </w:p>
        </w:tc>
        <w:tc>
          <w:tcPr>
            <w:tcW w:w="1486" w:type="dxa"/>
          </w:tcPr>
          <w:p w:rsidR="00D849AA" w:rsidRDefault="00EE6D95">
            <w:r>
              <w:t>50</w:t>
            </w:r>
          </w:p>
        </w:tc>
        <w:tc>
          <w:tcPr>
            <w:tcW w:w="1486" w:type="dxa"/>
          </w:tcPr>
          <w:p w:rsidR="00D849AA" w:rsidRDefault="00EE6D95">
            <w:r>
              <w:t>60</w:t>
            </w:r>
          </w:p>
        </w:tc>
        <w:tc>
          <w:tcPr>
            <w:tcW w:w="1486" w:type="dxa"/>
          </w:tcPr>
          <w:p w:rsidR="00D849AA" w:rsidRDefault="00EE6D95">
            <w:r>
              <w:t>90</w:t>
            </w:r>
          </w:p>
        </w:tc>
      </w:tr>
    </w:tbl>
    <w:p w:rsidR="00D849AA" w:rsidRDefault="00D849AA">
      <w:pPr>
        <w:jc w:val="left"/>
      </w:pPr>
    </w:p>
    <w:p w:rsidR="00D849AA" w:rsidRDefault="00EE6D95">
      <w:pPr>
        <w:pStyle w:val="Naslov6"/>
      </w:pPr>
      <w:r>
        <w:t>K762001 OSIGURANJE POTREBNE RAZINE KVALITETE KROZ PROCESE AKREDITACIJE I CERTIFIKACIJE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K762001</w:t>
            </w:r>
          </w:p>
        </w:tc>
        <w:tc>
          <w:tcPr>
            <w:tcW w:w="1486" w:type="dxa"/>
          </w:tcPr>
          <w:p w:rsidR="00D849AA" w:rsidRDefault="00EE6D95">
            <w:r>
              <w:t>500.000</w:t>
            </w:r>
          </w:p>
        </w:tc>
        <w:tc>
          <w:tcPr>
            <w:tcW w:w="1486" w:type="dxa"/>
          </w:tcPr>
          <w:p w:rsidR="00D849AA" w:rsidRDefault="00EE6D95">
            <w:r>
              <w:t>500.000</w:t>
            </w:r>
          </w:p>
        </w:tc>
        <w:tc>
          <w:tcPr>
            <w:tcW w:w="1486" w:type="dxa"/>
          </w:tcPr>
          <w:p w:rsidR="00D849AA" w:rsidRDefault="00EE6D95">
            <w:r>
              <w:t>1.000.000</w:t>
            </w:r>
          </w:p>
        </w:tc>
        <w:tc>
          <w:tcPr>
            <w:tcW w:w="1486" w:type="dxa"/>
          </w:tcPr>
          <w:p w:rsidR="00D849AA" w:rsidRDefault="00EE6D95">
            <w:r>
              <w:t>1.000.000</w:t>
            </w:r>
          </w:p>
        </w:tc>
        <w:tc>
          <w:tcPr>
            <w:tcW w:w="1486" w:type="dxa"/>
          </w:tcPr>
          <w:p w:rsidR="00D849AA" w:rsidRDefault="00EE6D95">
            <w:r>
              <w:t>100,0</w:t>
            </w:r>
          </w:p>
        </w:tc>
      </w:tr>
    </w:tbl>
    <w:p w:rsidR="00D849AA" w:rsidRDefault="00D849AA">
      <w:pPr>
        <w:jc w:val="left"/>
      </w:pPr>
    </w:p>
    <w:p w:rsidR="00D849AA" w:rsidRDefault="00EE6D95">
      <w:pPr>
        <w:pStyle w:val="Normal6"/>
      </w:pPr>
      <w:r>
        <w:t>Definiranjem i opisom najvažnijih poslovnih procesa omogućeno je prepoznavanje realnih potreba poslovanja uz optimizaciju resursa s kojima Zavod raspolaže. Optimizacijom resursa pokušavaju se zadovoljiti realne potrebe poslovanja kroz smanjenje tekućih troškova koji su nužni za uspješno izvršavanje poslovnih procesa uz povećanje prihoda koji proizlaze iz mjeriteljske djelatnosti. Opremanje radnih mjesta potrebnom opremom osigurat će izvršavanje radnih zadataka službenika s povećanim stupnjem efikasnosti i za posljedicu će imati što kvalitetnije izvršene radne zadatke koje je potrebno nagraditi i motivirati kako bi se ta kvaliteta obavljene usluge i efikasnosti zadržala prilikom daljnjeg izvršavanja radnih zadataka.</w:t>
      </w:r>
    </w:p>
    <w:p w:rsidR="00B151E0" w:rsidRDefault="00B151E0">
      <w:pPr>
        <w:pStyle w:val="Normal6"/>
      </w:pPr>
    </w:p>
    <w:p w:rsidR="00D849AA" w:rsidRDefault="00EE6D95">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Certifikacija po normi HRN ISO 9001</w:t>
            </w:r>
          </w:p>
        </w:tc>
        <w:tc>
          <w:tcPr>
            <w:tcW w:w="1114" w:type="dxa"/>
          </w:tcPr>
          <w:p w:rsidR="00D849AA" w:rsidRDefault="00EE6D95">
            <w:r>
              <w:t>kom</w:t>
            </w:r>
          </w:p>
        </w:tc>
        <w:tc>
          <w:tcPr>
            <w:tcW w:w="1114" w:type="dxa"/>
          </w:tcPr>
          <w:p w:rsidR="00D849AA" w:rsidRDefault="00EE6D95">
            <w:r>
              <w:t>0</w:t>
            </w:r>
          </w:p>
        </w:tc>
        <w:tc>
          <w:tcPr>
            <w:tcW w:w="1486" w:type="dxa"/>
          </w:tcPr>
          <w:p w:rsidR="00D849AA" w:rsidRDefault="00EE6D95">
            <w:r>
              <w:t>0</w:t>
            </w:r>
          </w:p>
        </w:tc>
        <w:tc>
          <w:tcPr>
            <w:tcW w:w="1486" w:type="dxa"/>
          </w:tcPr>
          <w:p w:rsidR="00D849AA" w:rsidRDefault="00EE6D95">
            <w:r>
              <w:t>1</w:t>
            </w:r>
          </w:p>
        </w:tc>
        <w:tc>
          <w:tcPr>
            <w:tcW w:w="1486" w:type="dxa"/>
          </w:tcPr>
          <w:p w:rsidR="00D849AA" w:rsidRDefault="00D849AA">
            <w:pPr>
              <w:jc w:val="left"/>
            </w:pPr>
          </w:p>
        </w:tc>
      </w:tr>
      <w:tr w:rsidR="00D849AA">
        <w:trPr>
          <w:jc w:val="center"/>
        </w:trPr>
        <w:tc>
          <w:tcPr>
            <w:tcW w:w="2229" w:type="dxa"/>
          </w:tcPr>
          <w:p w:rsidR="00D849AA" w:rsidRDefault="00EE6D95">
            <w:pPr>
              <w:pStyle w:val="CellColumn"/>
            </w:pPr>
            <w:r>
              <w:t>Akreditirani umjerni i ispitni laboratoriji po normi HRN ISO 17025</w:t>
            </w:r>
          </w:p>
        </w:tc>
        <w:tc>
          <w:tcPr>
            <w:tcW w:w="1114" w:type="dxa"/>
          </w:tcPr>
          <w:p w:rsidR="00D849AA" w:rsidRDefault="00EE6D95">
            <w:r>
              <w:t>kom</w:t>
            </w:r>
          </w:p>
        </w:tc>
        <w:tc>
          <w:tcPr>
            <w:tcW w:w="1114" w:type="dxa"/>
          </w:tcPr>
          <w:p w:rsidR="00D849AA" w:rsidRDefault="00EE6D95">
            <w:r>
              <w:t>0</w:t>
            </w:r>
          </w:p>
        </w:tc>
        <w:tc>
          <w:tcPr>
            <w:tcW w:w="1486" w:type="dxa"/>
          </w:tcPr>
          <w:p w:rsidR="00D849AA" w:rsidRDefault="00EE6D95">
            <w:r>
              <w:t>0</w:t>
            </w:r>
          </w:p>
        </w:tc>
        <w:tc>
          <w:tcPr>
            <w:tcW w:w="1486" w:type="dxa"/>
          </w:tcPr>
          <w:p w:rsidR="00D849AA" w:rsidRDefault="00EE6D95">
            <w:r>
              <w:t>1</w:t>
            </w:r>
          </w:p>
        </w:tc>
        <w:tc>
          <w:tcPr>
            <w:tcW w:w="1486" w:type="dxa"/>
          </w:tcPr>
          <w:p w:rsidR="00D849AA" w:rsidRDefault="00D849AA">
            <w:pPr>
              <w:jc w:val="left"/>
            </w:pPr>
          </w:p>
        </w:tc>
      </w:tr>
    </w:tbl>
    <w:p w:rsidR="00D849AA" w:rsidRDefault="00D849AA">
      <w:pPr>
        <w:jc w:val="left"/>
      </w:pPr>
    </w:p>
    <w:p w:rsidR="00D849AA" w:rsidRDefault="00EE6D95">
      <w:pPr>
        <w:pStyle w:val="Naslov6"/>
      </w:pPr>
      <w:r>
        <w:t>K762002 IZGRADNJA I OPREMANJE POSLOVNOG PROSTORA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K762002</w:t>
            </w:r>
          </w:p>
        </w:tc>
        <w:tc>
          <w:tcPr>
            <w:tcW w:w="1486" w:type="dxa"/>
          </w:tcPr>
          <w:p w:rsidR="00D849AA" w:rsidRDefault="00EE6D95">
            <w:r>
              <w:t>50.000</w:t>
            </w:r>
          </w:p>
        </w:tc>
        <w:tc>
          <w:tcPr>
            <w:tcW w:w="1486" w:type="dxa"/>
          </w:tcPr>
          <w:p w:rsidR="00D849AA" w:rsidRDefault="00EE6D95">
            <w:r>
              <w:t>50.000</w:t>
            </w:r>
          </w:p>
        </w:tc>
        <w:tc>
          <w:tcPr>
            <w:tcW w:w="1486" w:type="dxa"/>
          </w:tcPr>
          <w:p w:rsidR="00D849AA" w:rsidRDefault="00EE6D95">
            <w:r>
              <w:t>50.000</w:t>
            </w:r>
          </w:p>
        </w:tc>
        <w:tc>
          <w:tcPr>
            <w:tcW w:w="1486" w:type="dxa"/>
          </w:tcPr>
          <w:p w:rsidR="00D849AA" w:rsidRDefault="00EE6D95">
            <w:r>
              <w:t>25.000</w:t>
            </w:r>
          </w:p>
        </w:tc>
        <w:tc>
          <w:tcPr>
            <w:tcW w:w="1486" w:type="dxa"/>
          </w:tcPr>
          <w:p w:rsidR="00D849AA" w:rsidRDefault="00EE6D95">
            <w:r>
              <w:t>100,0</w:t>
            </w:r>
          </w:p>
        </w:tc>
      </w:tr>
    </w:tbl>
    <w:p w:rsidR="00D849AA" w:rsidRDefault="00D849AA">
      <w:pPr>
        <w:jc w:val="left"/>
      </w:pPr>
    </w:p>
    <w:p w:rsidR="00D849AA" w:rsidRDefault="00EE6D95">
      <w:pPr>
        <w:pStyle w:val="Normal6"/>
      </w:pPr>
      <w:r>
        <w:t>Zavod je smješten na 3 lokacije u Zagrebu, 2 lokacije u Osijeku, te po 1 lokaciji u Rijeci i Splitu. Planira se objedinjavanje prostora, kao i adaptacija i opremanje, ali u narednom planskom razdoblju zbog štednje sredstva su planirana samo za manje zamjene dotrajalog namještaja i opreme.</w:t>
      </w:r>
    </w:p>
    <w:p w:rsidR="00D849AA" w:rsidRDefault="00EE6D95">
      <w:pPr>
        <w:pStyle w:val="Naslov6"/>
      </w:pPr>
      <w:r>
        <w:t>K762003 OBNOVA VOZNOG PARKA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K762003</w:t>
            </w:r>
          </w:p>
        </w:tc>
        <w:tc>
          <w:tcPr>
            <w:tcW w:w="1486" w:type="dxa"/>
          </w:tcPr>
          <w:p w:rsidR="00D849AA" w:rsidRDefault="00EE6D95">
            <w:r>
              <w:t>500.000</w:t>
            </w:r>
          </w:p>
        </w:tc>
        <w:tc>
          <w:tcPr>
            <w:tcW w:w="1486" w:type="dxa"/>
          </w:tcPr>
          <w:p w:rsidR="00D849AA" w:rsidRDefault="00EE6D95">
            <w:r>
              <w:t>500.000</w:t>
            </w:r>
          </w:p>
        </w:tc>
        <w:tc>
          <w:tcPr>
            <w:tcW w:w="1486" w:type="dxa"/>
          </w:tcPr>
          <w:p w:rsidR="00D849AA" w:rsidRDefault="00EE6D95">
            <w:r>
              <w:t>500.000</w:t>
            </w:r>
          </w:p>
        </w:tc>
        <w:tc>
          <w:tcPr>
            <w:tcW w:w="1486" w:type="dxa"/>
          </w:tcPr>
          <w:p w:rsidR="00D849AA" w:rsidRDefault="00EE6D95">
            <w:r>
              <w:t>500.000</w:t>
            </w:r>
          </w:p>
        </w:tc>
        <w:tc>
          <w:tcPr>
            <w:tcW w:w="1486" w:type="dxa"/>
          </w:tcPr>
          <w:p w:rsidR="00D849AA" w:rsidRDefault="00EE6D95">
            <w:r>
              <w:t>100,0</w:t>
            </w:r>
          </w:p>
        </w:tc>
      </w:tr>
    </w:tbl>
    <w:p w:rsidR="00D849AA" w:rsidRDefault="00D849AA">
      <w:pPr>
        <w:jc w:val="left"/>
      </w:pPr>
    </w:p>
    <w:p w:rsidR="00D849AA" w:rsidRDefault="00EE6D95">
      <w:pPr>
        <w:pStyle w:val="Normal6"/>
      </w:pPr>
      <w:r>
        <w:t>Zavod je smješten na lokacijama u Zagrebu, Osijeku, Rijeci i Splitu, a ovjeravanje mjerila vrši se po cijeloj Hrvatskoj. Stoga je nužno kontinuirano vršiti zamjenu dotrajalih vozila. S obzirom na dotrajalost vozila i broj prijeđenih kilometara, troškovi održavanja su veliki, te smo planirali nabavu vozila na operativni leasing. Ovakav trošak potreban je radi sigurnosti zaposlenika te radi uštede na potencijalnim popravcima.</w:t>
      </w:r>
    </w:p>
    <w:p w:rsidR="00D849AA" w:rsidRDefault="00EE6D95">
      <w:pPr>
        <w:pStyle w:val="Naslov2"/>
      </w:pPr>
      <w:r>
        <w:t>04980 Hrvatski zavod za norme</w:t>
      </w:r>
    </w:p>
    <w:p w:rsidR="00D849AA" w:rsidRDefault="00EE6D95">
      <w:pPr>
        <w:pStyle w:val="Naslov4"/>
      </w:pPr>
      <w:r>
        <w:t>Uvod</w:t>
      </w:r>
    </w:p>
    <w:p w:rsidR="00D849AA" w:rsidRDefault="00EE6D95">
      <w:pPr>
        <w:pStyle w:val="Normal3"/>
      </w:pPr>
      <w:r>
        <w:t xml:space="preserve">Hrvatski  zavod  za  norme  (u  daljnjem  tekstu:  HZN)  je  javna  ustanova  osnovana  kao nacionalno normirno tijelo Republike Hrvatske radi ostvarivanja zakonom utvrđenih ciljeva normizacije: povećanje razine sigurnosti proizvoda i procesa, čuvanje zdravlja i života ljudi te zaštita okoliša, promicanje kvalitete proizvoda, procesa i usluga, osiguranje svrsishodne uporabe rada, materijala i energije, poboljšanje proizvodne učinkovitosti, ograničenje raznolikosti, osiguranje spojivosti i zamjenjivosti te otklanjanje tehničkih zapreka u međunarodnoj trgovini. </w:t>
      </w:r>
    </w:p>
    <w:p w:rsidR="00D849AA" w:rsidRDefault="00EE6D95">
      <w:pPr>
        <w:pStyle w:val="Normal3"/>
      </w:pPr>
      <w:r>
        <w:t xml:space="preserve">U svojem radu HZN se vodi sljedećim načelima normizacije: konsenzusom, uključivanjem zainteresiranih strana, javnošću rada, stupnjem razvoja tehnike i koherentnošću zbirke normi. </w:t>
      </w:r>
    </w:p>
    <w:p w:rsidR="00D849AA" w:rsidRDefault="00EE6D95">
      <w:pPr>
        <w:pStyle w:val="Normal3"/>
      </w:pPr>
      <w:r>
        <w:lastRenderedPageBreak/>
        <w:t xml:space="preserve">Hrvatski zavod za norme je punopravni član Europskog odbora za normizaciju (European Committee for Standardization, CEN), Europskog odbor za elektrotehničku normizaciju (European Committee for Electrotechnical Standardization, CENELEC), Europskog instituta za telekomunikacijske norme (European Telecommunications Standards Institute, ETSI), Međunarodne organizacije za normizaciju (ISO) i Međunarodnog elektrotehničkog povjerenstva (IEC). </w:t>
      </w:r>
    </w:p>
    <w:p w:rsidR="00D849AA" w:rsidRDefault="00EE6D95">
      <w:pPr>
        <w:pStyle w:val="Normal3"/>
      </w:pPr>
      <w:r>
        <w:t xml:space="preserve">Vizija HZN-a je potpuno zadovoljavanje potreba svih nacionalnih korisnika norma razvojem, prihvaćanjem i uporabom europski i međunarodno usklađenih norma u svim tehničkim područjima. </w:t>
      </w:r>
    </w:p>
    <w:p w:rsidR="00D849AA" w:rsidRDefault="00EE6D95">
      <w:pPr>
        <w:pStyle w:val="Normal3"/>
      </w:pPr>
      <w:r>
        <w:t>Misija HZN-a je promicanje konkurentnosti hrvatske industrije prihvaćanjem norma usklađenih na europskoj i međunarodnoj razini i njihovom primjenom na način kojim će se poboljšati sigurnost proizvoda i kvaliteta života građana.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04980</w:t>
            </w:r>
          </w:p>
        </w:tc>
        <w:tc>
          <w:tcPr>
            <w:tcW w:w="1486" w:type="dxa"/>
          </w:tcPr>
          <w:p w:rsidR="00D849AA" w:rsidRDefault="00EE6D95">
            <w:r>
              <w:t>12.274.720</w:t>
            </w:r>
          </w:p>
        </w:tc>
        <w:tc>
          <w:tcPr>
            <w:tcW w:w="1486" w:type="dxa"/>
          </w:tcPr>
          <w:p w:rsidR="00D849AA" w:rsidRDefault="00EE6D95">
            <w:r>
              <w:t>11.755.000</w:t>
            </w:r>
          </w:p>
        </w:tc>
        <w:tc>
          <w:tcPr>
            <w:tcW w:w="1486" w:type="dxa"/>
          </w:tcPr>
          <w:p w:rsidR="00D849AA" w:rsidRDefault="00EE6D95">
            <w:r>
              <w:t>12.399.280</w:t>
            </w:r>
          </w:p>
        </w:tc>
        <w:tc>
          <w:tcPr>
            <w:tcW w:w="1486" w:type="dxa"/>
          </w:tcPr>
          <w:p w:rsidR="00D849AA" w:rsidRDefault="00EE6D95">
            <w:r>
              <w:t>13.053.106</w:t>
            </w:r>
          </w:p>
        </w:tc>
        <w:tc>
          <w:tcPr>
            <w:tcW w:w="1486" w:type="dxa"/>
          </w:tcPr>
          <w:p w:rsidR="00D849AA" w:rsidRDefault="00EE6D95">
            <w:r>
              <w:t>95,8</w:t>
            </w:r>
          </w:p>
        </w:tc>
      </w:tr>
    </w:tbl>
    <w:p w:rsidR="00D849AA" w:rsidRDefault="00D849AA">
      <w:pPr>
        <w:jc w:val="left"/>
      </w:pPr>
    </w:p>
    <w:p w:rsidR="00D849AA" w:rsidRDefault="00EE6D95">
      <w:pPr>
        <w:pStyle w:val="Naslov4"/>
      </w:pPr>
      <w:r>
        <w:t>OBRAZLOŽENJE PROGRAMA</w:t>
      </w:r>
    </w:p>
    <w:p w:rsidR="00D849AA" w:rsidRDefault="00EE6D95">
      <w:pPr>
        <w:pStyle w:val="Naslov5"/>
      </w:pPr>
      <w:r>
        <w:t>3220 RAZVOJ I ODRŽAVANJE NORMIZACIJSKOG SUSTAVA ZA RH</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3220</w:t>
            </w:r>
          </w:p>
        </w:tc>
        <w:tc>
          <w:tcPr>
            <w:tcW w:w="1486" w:type="dxa"/>
          </w:tcPr>
          <w:p w:rsidR="00D849AA" w:rsidRDefault="00EE6D95">
            <w:r>
              <w:t>12.274.720</w:t>
            </w:r>
          </w:p>
        </w:tc>
        <w:tc>
          <w:tcPr>
            <w:tcW w:w="1486" w:type="dxa"/>
          </w:tcPr>
          <w:p w:rsidR="00D849AA" w:rsidRDefault="00EE6D95">
            <w:r>
              <w:t>11.755.000</w:t>
            </w:r>
          </w:p>
        </w:tc>
        <w:tc>
          <w:tcPr>
            <w:tcW w:w="1486" w:type="dxa"/>
          </w:tcPr>
          <w:p w:rsidR="00D849AA" w:rsidRDefault="00EE6D95">
            <w:r>
              <w:t>12.399.280</w:t>
            </w:r>
          </w:p>
        </w:tc>
        <w:tc>
          <w:tcPr>
            <w:tcW w:w="1486" w:type="dxa"/>
          </w:tcPr>
          <w:p w:rsidR="00D849AA" w:rsidRDefault="00EE6D95">
            <w:r>
              <w:t>13.053.106</w:t>
            </w:r>
          </w:p>
        </w:tc>
        <w:tc>
          <w:tcPr>
            <w:tcW w:w="1486" w:type="dxa"/>
          </w:tcPr>
          <w:p w:rsidR="00D849AA" w:rsidRDefault="00EE6D95">
            <w:r>
              <w:t>95,8</w:t>
            </w:r>
          </w:p>
        </w:tc>
      </w:tr>
    </w:tbl>
    <w:p w:rsidR="00D849AA" w:rsidRDefault="00D849AA">
      <w:pPr>
        <w:jc w:val="left"/>
      </w:pPr>
    </w:p>
    <w:p w:rsidR="00D849AA" w:rsidRDefault="00EE6D95">
      <w:pPr>
        <w:pStyle w:val="Naslov6"/>
      </w:pPr>
      <w:r>
        <w:t>Opis programa</w:t>
      </w:r>
    </w:p>
    <w:p w:rsidR="00D849AA" w:rsidRDefault="00EE6D95">
      <w:pPr>
        <w:pStyle w:val="Normal5"/>
      </w:pPr>
      <w:r>
        <w:t xml:space="preserve">Djelatnost HZN-a obavlja se u jedinom programu Razvoj i održavanje normizacijskog sustava za RH (3220) i aktivnostima A651002 i A651012, koje se moraju realizirati u skladu s pravilima europskih i međunarodnih organizacija za normizaciju te Kodeksom dobre prakse za normizaciju Svjetske trgovinske organizacije. U poslovima nacionalne normizacije, prednost se daje prihvaćanju europskih odnosno međunarodnih norma kao hrvatskih norma u izvorniku s prijevodom ili bez prijevoda. Donošenje izvornih hrvatskih norma,  s  obzirom  na  to  da  one  mogu  predstavljati  tehničku  zapreku  u  trgovini, ograničeno je samo u slučajevima kada za određeni predmet normizacije ne postoje odgovarajuće europske ili međunarodne norme. </w:t>
      </w:r>
    </w:p>
    <w:p w:rsidR="00D849AA" w:rsidRDefault="00EE6D95">
      <w:pPr>
        <w:pStyle w:val="Normal5"/>
      </w:pPr>
      <w:r>
        <w:t xml:space="preserve">Normizacija je instrument za postizanje najboljeg stupnja uređenosti i olakšavanje tehničke suradnje u industriji i gospodarstvu. Norme su sporazumi između svih bitnih interesnih skupina (uključujući gospodarstvo u cjelini i državna tijela) koji služe za njihove vlastite potrebe. Ti se sporazumi uspostavljaju u tehničkim odborima u kojima se izrađuju norme, a temelje se na konsenzusu svih sudionika čime se onemogućuje nametanje pojedinačnih interesa i stjecanje posebne gospodarske prednosti bilo koje od strana. Norme upotrebljavaju ne samo gospodarski subjekti nego praktično sve organizirane skupine društva te država i njezina tijela. Normama se kodificira najbolja tehnička praksa te one obično predstavljaju trenutačno stanje tehnike. </w:t>
      </w:r>
    </w:p>
    <w:p w:rsidR="00D849AA" w:rsidRDefault="00EE6D95">
      <w:pPr>
        <w:pStyle w:val="Normal5"/>
      </w:pPr>
      <w:r>
        <w:lastRenderedPageBreak/>
        <w:t xml:space="preserve">Norme obuhvaćaju proizvode, sustave, procese i usluge te omogućuju racionalizaciju i osiguravanje kakvoće u industriji, tehnici i upravi. One osiguravaju mogućnost zajedničkoga rada i međusobnu zamjenjivost proizvoda i sustava, racionalno uređivanje tržišta i sporazumijevanje između tržišnih partnera. Norme pomažu slobodnom kretanju roba i usluga, pridonose sigurnosti osoba i imovine te olakšavaju zaštitu okoliša i poboljšavanje  kakvoće  u svim  područjima  života. U privredi norme osiguravaju sukladnost dijelova i funkcionalnu spojivost mreža, smanjuju troškove proizvodnje i skladištenja. </w:t>
      </w:r>
    </w:p>
    <w:p w:rsidR="00D849AA" w:rsidRDefault="00EE6D95">
      <w:pPr>
        <w:pStyle w:val="Normal5"/>
      </w:pPr>
      <w:r>
        <w:t xml:space="preserve">Norme omogućuju da se određene zadaće u svezi s izradbom tehničkih propisa delegiraju na nevladine organizacije čime se omogućuje deregulacija i poboljšavanje upravljanja jer pomažu  smanjivanju  razine  podrobnosti  u  zakonskom  uređivanju  bitnih  zahtjeva potrebnih za postizanje ciljeva propisa kao što su zaštita zdravlja, sigurnost i zaštita okoliša. </w:t>
      </w:r>
    </w:p>
    <w:p w:rsidR="00D849AA" w:rsidRDefault="00EE6D95">
      <w:pPr>
        <w:pStyle w:val="Normal5"/>
      </w:pPr>
      <w:r>
        <w:t>Europske norme i iz njih preuzete nacionalne norme komplementarne su s tehničkim propisima i pravnim sustavom EU-a te tako i s nacionalnim tehničkim propisima i nacionalnim pravnim sustavom te su na taj način temelj funkcioniranja jedinstvenoga europskog tržišta i jedan od temeljnih elemenata u sustavu infrastrukture kvalitete koji između ostalog uključuje postupke ocjene sukladnosti i nadzor nad tržištem.</w:t>
      </w:r>
    </w:p>
    <w:p w:rsidR="00D849AA" w:rsidRDefault="00EE6D95">
      <w:pPr>
        <w:pStyle w:val="Naslov6"/>
      </w:pPr>
      <w:r>
        <w:t>Zakonske i druge pravne osnove</w:t>
      </w:r>
    </w:p>
    <w:p w:rsidR="00D849AA" w:rsidRDefault="00EE6D95">
      <w:pPr>
        <w:pStyle w:val="Normal5"/>
      </w:pPr>
      <w:r>
        <w:t>Djelatnost HZN-a obuhvaća poslove koji se temelje na Zakonu o normizaciji (Narodne novine 163/2003) i Uredbi o osnivanju Hrvatskog zavoda za norme (Narodne novine 154/2004; Narodne novine 44/2005, Narodne novine 30/2010).</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 xml:space="preserve">Cilj 1. Razvoj i održavanje normizacijskog sustava u Republici Hrvatskoj </w:t>
      </w:r>
    </w:p>
    <w:p w:rsidR="00D849AA" w:rsidRDefault="00EE6D95">
      <w:pPr>
        <w:pStyle w:val="Normal6"/>
      </w:pPr>
      <w:r>
        <w:t xml:space="preserve">Ovim ciljem želi se postići razvoj i održavanje normizacijskog sustava koji će u cijelosti zadovoljiti potrebe gospodarstva, državne uprave i ostalih interesnih skupina u Republici Hrvatskoj. </w:t>
      </w:r>
    </w:p>
    <w:p w:rsidR="00D849AA" w:rsidRDefault="00EE6D95">
      <w:pPr>
        <w:pStyle w:val="Normal6"/>
      </w:pPr>
      <w:r>
        <w:t xml:space="preserve">Normizacija je trajan, dinamičan proces i Hrvatski zavod za norme neprekidno prati razvoj norma na europskoj i međunarodnoj razini te nastoji održati dinamiku prihvaćanja europskih norma u nacionalni sustav u skladu s dinamikom njihova razvoja na europskoj razini, a u rokovima koje utvrđuju europske normizacijske organizacije CEN i CENELEC. </w:t>
      </w:r>
    </w:p>
    <w:p w:rsidR="00D849AA" w:rsidRDefault="00EE6D95">
      <w:pPr>
        <w:pStyle w:val="Normal6"/>
      </w:pPr>
      <w:r>
        <w:t xml:space="preserve">Osiguranje tehničke podloge za provedbu tehničkih propisa, otklanjaju se tehničke zapreke u trgovini, dolazi do poboljšanja kvalitete proizvoda, procesa i usluga, osigurava se zamjenjivost proizvoda, prenošenje gospodarstvu novih tehničkih znanja i praksa aktivnim sudjelovanjem u procesu normizacije na europskoj i međunarodnoj razini te stjecanje znanja o novim pravcima razvoja i tehnologijama te njihovo prenošenje hrvatskoj industriji gospodarstvu. </w:t>
      </w:r>
    </w:p>
    <w:p w:rsidR="00D849AA" w:rsidRDefault="00EE6D95">
      <w:pPr>
        <w:pStyle w:val="Normal6"/>
      </w:pPr>
      <w:r>
        <w:t>Istim se omogućava aktivno sudjelovanje u europskoj i međunarodnoj normizaciji te promicanje interesa nacionalnih sudionika.</w:t>
      </w:r>
    </w:p>
    <w:p w:rsidR="00B151E0" w:rsidRDefault="00B151E0">
      <w:pPr>
        <w:pStyle w:val="Naslov8"/>
        <w:jc w:val="left"/>
      </w:pPr>
    </w:p>
    <w:p w:rsidR="00B151E0" w:rsidRDefault="00B151E0">
      <w:pPr>
        <w:pStyle w:val="Naslov8"/>
        <w:jc w:val="left"/>
      </w:pPr>
    </w:p>
    <w:p w:rsidR="00B151E0" w:rsidRDefault="00B151E0">
      <w:pPr>
        <w:pStyle w:val="Naslov8"/>
        <w:jc w:val="left"/>
      </w:pPr>
    </w:p>
    <w:p w:rsidR="00B151E0" w:rsidRDefault="00B151E0">
      <w:pPr>
        <w:pStyle w:val="Naslov8"/>
        <w:jc w:val="left"/>
      </w:pPr>
    </w:p>
    <w:p w:rsidR="00B151E0" w:rsidRDefault="00B151E0">
      <w:pPr>
        <w:pStyle w:val="Naslov8"/>
        <w:jc w:val="left"/>
      </w:pPr>
    </w:p>
    <w:p w:rsidR="00B151E0" w:rsidRDefault="00B151E0">
      <w:pPr>
        <w:pStyle w:val="Naslov8"/>
        <w:jc w:val="left"/>
      </w:pPr>
    </w:p>
    <w:p w:rsidR="00D849AA" w:rsidRDefault="00EE6D95">
      <w:pPr>
        <w:pStyle w:val="Naslov8"/>
        <w:jc w:val="left"/>
      </w:pPr>
      <w:r>
        <w:lastRenderedPageBreak/>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Broj prihvaćenih norma koje služe za potrebe korisnicima u Republici Hrvatskoj</w:t>
            </w:r>
          </w:p>
        </w:tc>
        <w:tc>
          <w:tcPr>
            <w:tcW w:w="1114" w:type="dxa"/>
          </w:tcPr>
          <w:p w:rsidR="00D849AA" w:rsidRDefault="00EE6D95">
            <w:r>
              <w:t>broj norma</w:t>
            </w:r>
          </w:p>
        </w:tc>
        <w:tc>
          <w:tcPr>
            <w:tcW w:w="1114" w:type="dxa"/>
          </w:tcPr>
          <w:p w:rsidR="00D849AA" w:rsidRDefault="00EE6D95">
            <w:r>
              <w:t>28713</w:t>
            </w:r>
          </w:p>
        </w:tc>
        <w:tc>
          <w:tcPr>
            <w:tcW w:w="1486" w:type="dxa"/>
          </w:tcPr>
          <w:p w:rsidR="00D849AA" w:rsidRDefault="00EE6D95">
            <w:r>
              <w:t>29100</w:t>
            </w:r>
          </w:p>
        </w:tc>
        <w:tc>
          <w:tcPr>
            <w:tcW w:w="1486" w:type="dxa"/>
          </w:tcPr>
          <w:p w:rsidR="00D849AA" w:rsidRDefault="00EE6D95">
            <w:r>
              <w:t>29500</w:t>
            </w:r>
          </w:p>
        </w:tc>
        <w:tc>
          <w:tcPr>
            <w:tcW w:w="1486" w:type="dxa"/>
          </w:tcPr>
          <w:p w:rsidR="00D849AA" w:rsidRDefault="00EE6D95">
            <w:r>
              <w:t>30000</w:t>
            </w:r>
          </w:p>
        </w:tc>
      </w:tr>
    </w:tbl>
    <w:p w:rsidR="00D849AA" w:rsidRDefault="00D849AA">
      <w:pPr>
        <w:jc w:val="left"/>
      </w:pPr>
    </w:p>
    <w:p w:rsidR="00D849AA" w:rsidRDefault="00EE6D95">
      <w:pPr>
        <w:pStyle w:val="Naslov5"/>
      </w:pPr>
      <w:r>
        <w:t>Procjena i ishodište potrebnih sredstava za značajnije aktivnosti/projekte</w:t>
      </w:r>
    </w:p>
    <w:p w:rsidR="00D849AA" w:rsidRDefault="00EE6D95">
      <w:pPr>
        <w:pStyle w:val="Naslov6"/>
      </w:pPr>
      <w:r>
        <w:t>A651002 ADMINISTRACIJA I UPRAVLJANJE HRVATSKOG ZAVODA ZA NORME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A651002</w:t>
            </w:r>
          </w:p>
        </w:tc>
        <w:tc>
          <w:tcPr>
            <w:tcW w:w="1486" w:type="dxa"/>
          </w:tcPr>
          <w:p w:rsidR="00D849AA" w:rsidRDefault="00EE6D95">
            <w:r>
              <w:t>11.774.720</w:t>
            </w:r>
          </w:p>
        </w:tc>
        <w:tc>
          <w:tcPr>
            <w:tcW w:w="1486" w:type="dxa"/>
          </w:tcPr>
          <w:p w:rsidR="00D849AA" w:rsidRDefault="00EE6D95">
            <w:r>
              <w:t>10.717.000</w:t>
            </w:r>
          </w:p>
        </w:tc>
        <w:tc>
          <w:tcPr>
            <w:tcW w:w="1486" w:type="dxa"/>
          </w:tcPr>
          <w:p w:rsidR="00D849AA" w:rsidRDefault="00EE6D95">
            <w:r>
              <w:t>11.653.780</w:t>
            </w:r>
          </w:p>
        </w:tc>
        <w:tc>
          <w:tcPr>
            <w:tcW w:w="1486" w:type="dxa"/>
          </w:tcPr>
          <w:p w:rsidR="00D849AA" w:rsidRDefault="00EE6D95">
            <w:r>
              <w:t>12.296.581</w:t>
            </w:r>
          </w:p>
        </w:tc>
        <w:tc>
          <w:tcPr>
            <w:tcW w:w="1486" w:type="dxa"/>
          </w:tcPr>
          <w:p w:rsidR="00D849AA" w:rsidRDefault="00EE6D95">
            <w:r>
              <w:t>91,0</w:t>
            </w:r>
          </w:p>
        </w:tc>
      </w:tr>
    </w:tbl>
    <w:p w:rsidR="00D849AA" w:rsidRDefault="00D849AA">
      <w:pPr>
        <w:jc w:val="left"/>
      </w:pPr>
    </w:p>
    <w:p w:rsidR="00D849AA" w:rsidRDefault="00EE6D95">
      <w:pPr>
        <w:pStyle w:val="Normal6"/>
      </w:pPr>
      <w:r>
        <w:t xml:space="preserve">Aktivnost A651002 je aktivnost HZN-a koja se realizira kroz jedini program HZN-a također u skladu s pravilima europskih i međunarodnih organizacija za normizaciju te Kodeksom dobre prakse za normizaciju Svjetske trgovinske organizacije. </w:t>
      </w:r>
    </w:p>
    <w:p w:rsidR="00D849AA" w:rsidRDefault="00EE6D95">
      <w:pPr>
        <w:pStyle w:val="Normal6"/>
      </w:pPr>
      <w:r>
        <w:t xml:space="preserve">HZN ima obvezu plaćanja članarina u europskim i međunarodnim organizacija  iz Državnog proračuna Republike Hrvatske sukladno člankom 13. Zakona o normizaciji, stavak 3. (Narodne novine 163/2003) te ovi rashodi čine oko 41 % materijalnih rashoda a njihov udio u ukupno planiranim rashodima iznosi oko 15 % ukupno planiranih sredstava. </w:t>
      </w:r>
    </w:p>
    <w:p w:rsidR="00D849AA" w:rsidRDefault="00EE6D95">
      <w:pPr>
        <w:pStyle w:val="Normal6"/>
      </w:pPr>
      <w:r>
        <w:t xml:space="preserve">Osim plaćanja međunarodnih članarina HZN ima izdatke i kod narudžba međunarodnih  norma  (ISO,  IEC), njemačkih norma  (DIN), britanskih (BS) te granskih norma (ASTM) te norma drugih normirnih tijela koje HZN pribavlja radi daljnje prodaje korisnicima u Republici Hrvatskoj. </w:t>
      </w:r>
    </w:p>
    <w:p w:rsidR="00D849AA" w:rsidRDefault="00EE6D95">
      <w:pPr>
        <w:pStyle w:val="Normal6"/>
      </w:pPr>
      <w:r>
        <w:t xml:space="preserve">Iz redovite djelatnosti HZN-a izdano je u 2012. godini izlaznih računa u iznosu od 2.958.844,67 kuna (HZN ispostavlja predračune, na osnovu uplate šalju se računi pa je naplaćenost 100%). Prihodi koje HZN ostvaruje prodajom norma, naplatom članarina i drugim aktivnostima uplaćuju se u Državnu riznicu pod šifrom 5681, vode se samo u evidencijama HZN-a i na stavci prihoda 65219 u sustavu Državne riznice. </w:t>
      </w:r>
    </w:p>
    <w:p w:rsidR="00D849AA" w:rsidRDefault="00EE6D95">
      <w:pPr>
        <w:pStyle w:val="Normal6"/>
      </w:pPr>
      <w:r>
        <w:t xml:space="preserve">Punopravno članstvo HZN-a u CEN-u i CENELEC-u donijelo je HZN-u nova prava, ali i obveze koje mora izvršavati. Sudjelovanje u radu upravnih i tehničkih tijela obveza je HZN-a jer time pridonosi razvoju europske normizacije i europskih norma. CEN  i  CENELEC  zapravo  čine  njihovi  članovi.  HZN  također  ima  obvezu preuzimanja tajništva europskih odbora u skladu sa svojim mogućnostima. Tajništva europskih tehničkih odbora preuzimaju nacionalna normirna tijela te pokrivaju sve troškove njihovog rada (organizacija sastanaka, troškovi putovanja, administracija, logistika i dr.). Članovi također preuzimaju organizaciju sastanka upravnih i tehničkih tijela. </w:t>
      </w:r>
    </w:p>
    <w:p w:rsidR="00D849AA" w:rsidRDefault="00EE6D95">
      <w:pPr>
        <w:pStyle w:val="Normal6"/>
      </w:pPr>
      <w:r>
        <w:t xml:space="preserve">Predstavnici HZN-a obvezni su sudjelovati u radu upravnih i tehničkih tijela CEN-a i CENELEC-a kao što su godišnje skupštine, sastanci upravnih vijeća i sastanci tehničkih vijeća (CEN General Assembly, CENELEC General Assembly, CEN Administrative Bord, CEN Technical Bord, CENELEC Technical Bord), te drugih stručnih tijela što čini </w:t>
      </w:r>
      <w:r>
        <w:lastRenderedPageBreak/>
        <w:t xml:space="preserve">oko 12 - 14 sastanaka na godišnjoj razini. Danom pristupanja Republike Hrvatske u  Europsku uniju  znatno  su  se  povećale obveze  Hrvatskog zavoda za norme u radu i aktivnostima Europskih i svjetskih normizacijskih tijela. </w:t>
      </w:r>
    </w:p>
    <w:p w:rsidR="00D849AA" w:rsidRDefault="00EE6D95">
      <w:pPr>
        <w:pStyle w:val="Normal6"/>
      </w:pPr>
      <w:r>
        <w:t xml:space="preserve">U 2014. godini HZN će biti domaćin i suorganizator nacionalnih i regionalnih radionice čiji će raspored i sadržaj biti definiraj od strane ISO-a u četvrtom kvartalu 2013. godine. </w:t>
      </w:r>
    </w:p>
    <w:p w:rsidR="00D849AA" w:rsidRDefault="00EE6D95">
      <w:pPr>
        <w:pStyle w:val="Normal6"/>
      </w:pPr>
      <w:r>
        <w:t xml:space="preserve">Radionice se organiziraju u sklopu provedbe akcijskog plana ISO-a (odbora ISO/DEVCO) za zemlje u razvoju (ISO Action Plan for Developing Countries) s ciljem podizanja svijesti kod interesnih skupina u zemljama u razvoju o ulozi norma i normizacije u gospodarskim aktivnostima, svjetskoj trgovini, poboljšanju konkurentnosti nacionalne industrije, održivom razvoju te poboljšanju nacionalne i regionalne suradnje razmjenom iskustava i informacija. </w:t>
      </w:r>
    </w:p>
    <w:p w:rsidR="00D849AA" w:rsidRDefault="00EE6D95">
      <w:pPr>
        <w:pStyle w:val="Normal6"/>
      </w:pPr>
      <w:r>
        <w:t xml:space="preserve">HZN je na 36.Generalnoj Skupštini ISO-a održanoj u ST. Petersburgu od 18. do 20. rujna 2013.g. izabran za „P“ člana DEVCO-a i time dobio dodatne zadaće na međunarodnom planu u svezi zemalja u razvoju. </w:t>
      </w:r>
    </w:p>
    <w:p w:rsidR="00D849AA" w:rsidRDefault="00EE6D95">
      <w:pPr>
        <w:pStyle w:val="Normal6"/>
      </w:pPr>
      <w:r>
        <w:t xml:space="preserve">U 2015. godini HZN predviđa organizaciju Generalnih skupština CEN-a i CENELEC- a (održavaju se zajedno). </w:t>
      </w:r>
    </w:p>
    <w:p w:rsidR="00D849AA" w:rsidRDefault="00EE6D95">
      <w:pPr>
        <w:pStyle w:val="Normal6"/>
      </w:pPr>
      <w:r>
        <w:t xml:space="preserve">Zaključkom Vlade Republike Hrvatske od 24. rujna 1998. godine, u tijeku postupka pristupanja Republike Hrvatske Svjetskoj trgovinskoj organizaciji (WTO), osnovana je Informativna središnjica Republike Hrvatske o tehničkim propisima, normama i postupcima ocjenjivanja sukladnosti u tadašnjem Državnom zavodu za normizaciju i mjeriteljstvo (DZNM). U skladu s Uredbom o osnivanju Hrvatskog zavoda za norme, poslove Informativne središnjice obavlja HZN. Dogovorom između Ministarstva gospodarstva, rada i poduzetništva i HZN-a utvrđeno je da se Vladi Republike Hrvatske predloži da HZN odredi kao Informativnu središnjicu i nacionalno notifikacijsko tijelo za tehničke zapreke u trgovini sukladno članku 10. Sporazuma o tehničkim zaprekama u trgovini (TBT) pri Svjetskoj trgovinskoj organizaciji (WTO). Za obavljanje poslova notifikacije potrebno je uspostaviti bazu podataka. Redoviti sastanci WTO/TBT-a održavaju se tri puta godišnje. </w:t>
      </w:r>
    </w:p>
    <w:p w:rsidR="00D849AA" w:rsidRDefault="00EE6D95">
      <w:pPr>
        <w:pStyle w:val="Normal6"/>
      </w:pPr>
      <w:r>
        <w:t xml:space="preserve">S obzirom da HZN obavlja poslove kontaktne točke za Codex Alimentarius (zajednički pothvat Organizacije za hranu i poljoprivredu Ujedinjenih naroda – FAO i Svjetske zdravstvene organizacije – WHO). Republika Hrvatska obvezna je pridržavati se Codexovih dokumenata na temelju WTO SPS sporazuma (odlukom Vlade Republike Hrvatske HZN je određen kao kontakt točka). </w:t>
      </w:r>
    </w:p>
    <w:p w:rsidR="00D849AA" w:rsidRDefault="00EE6D95">
      <w:pPr>
        <w:pStyle w:val="Normal6"/>
      </w:pPr>
      <w:r>
        <w:t xml:space="preserve">Temeljem Odluke Vlade republike Hrvatske KLASA: 022-03/13-04/320, URBROJ:50301-05/16-13-2, od 11. srpnja 2013., Hrvatski zavod za norme je određen tijelom u kojem će se osnovati Kontaktna točka za proizvode. </w:t>
      </w:r>
    </w:p>
    <w:p w:rsidR="00D849AA" w:rsidRDefault="00EE6D95">
      <w:pPr>
        <w:pStyle w:val="Normal6"/>
      </w:pPr>
      <w:r>
        <w:t xml:space="preserve">Temeljem Odluke Vlade republike Hrvatske KLASA: 022-03/13-04/331, URBROJ:50301-05/16-13-2, od 25. srpnja 2013., Hrvatski zavod za norme je određen za Kontaktnu  točku  za  provedbu  službenog  obavješćivanja  u  smislu  Uredbe  o postupcima službenog obavješćivanja u području norma, tehničkih propisa te propisa o uslugama informacijskog društva (»Narodne novine«, broj 40/2013). </w:t>
      </w:r>
    </w:p>
    <w:p w:rsidR="00D849AA" w:rsidRDefault="00EE6D95">
      <w:pPr>
        <w:pStyle w:val="Normal6"/>
      </w:pPr>
      <w:r>
        <w:t xml:space="preserve">HZN  kao  član  međunarodnih organizacija sudjeluje  u  radu  tijela  međunarodnih organizacija za normizaciju: </w:t>
      </w:r>
    </w:p>
    <w:p w:rsidR="00D849AA" w:rsidRDefault="00EE6D95">
      <w:pPr>
        <w:pStyle w:val="Normal6"/>
      </w:pPr>
      <w:r>
        <w:t xml:space="preserve">- Opća skupština ISO-a (Međunarodna organizacija za normizaciju) </w:t>
      </w:r>
    </w:p>
    <w:p w:rsidR="00D849AA" w:rsidRDefault="00EE6D95">
      <w:pPr>
        <w:pStyle w:val="Normal6"/>
      </w:pPr>
      <w:r>
        <w:t xml:space="preserve">- ISO/DEVCO (za zemlje u razvoju) </w:t>
      </w:r>
    </w:p>
    <w:p w:rsidR="00D849AA" w:rsidRDefault="00EE6D95">
      <w:pPr>
        <w:pStyle w:val="Normal6"/>
      </w:pPr>
      <w:r>
        <w:t xml:space="preserve">- ISO/CASCO (certifikacija, akreditacija i ocjenjivanje sukladnosti) </w:t>
      </w:r>
    </w:p>
    <w:p w:rsidR="00D849AA" w:rsidRDefault="00EE6D95">
      <w:pPr>
        <w:pStyle w:val="Normal6"/>
      </w:pPr>
      <w:r>
        <w:t xml:space="preserve">- ISO/COPOLCO (norme i potrošači) </w:t>
      </w:r>
    </w:p>
    <w:p w:rsidR="00D849AA" w:rsidRDefault="00EE6D95">
      <w:pPr>
        <w:pStyle w:val="Normal6"/>
      </w:pPr>
      <w:r>
        <w:t xml:space="preserve">- Opća skupština IEC-a (Međunarodno elektrotehničko povjerenstvo) </w:t>
      </w:r>
    </w:p>
    <w:p w:rsidR="00D849AA" w:rsidRDefault="00EE6D95">
      <w:pPr>
        <w:pStyle w:val="Normal6"/>
      </w:pPr>
      <w:r>
        <w:lastRenderedPageBreak/>
        <w:t xml:space="preserve">- godišnji sastanak IECEE-a (HZN je član IECEE sustava  </w:t>
      </w:r>
    </w:p>
    <w:p w:rsidR="00D849AA" w:rsidRDefault="00EE6D95">
      <w:pPr>
        <w:pStyle w:val="Normal6"/>
      </w:pPr>
      <w:r>
        <w:t xml:space="preserve">- međunarodna shema IEC-a za ispitivanje i certifikaciju električnih proizvoda) </w:t>
      </w:r>
    </w:p>
    <w:p w:rsidR="00D849AA" w:rsidRDefault="00EE6D95">
      <w:pPr>
        <w:pStyle w:val="Normal6"/>
      </w:pPr>
      <w:r>
        <w:t xml:space="preserve">- godišnji sastanak IECEx (HZN je član IECEEx sustava - međunarodna shema IEC-a za ispitivanje i certifikaciju protueksplozijske opreme) </w:t>
      </w:r>
    </w:p>
    <w:p w:rsidR="00D849AA" w:rsidRDefault="00EE6D95">
      <w:pPr>
        <w:pStyle w:val="Normal6"/>
      </w:pPr>
      <w:r>
        <w:t xml:space="preserve">- IEC/CAB (Tijelo za ocjenjivanje sukladnosti) </w:t>
      </w:r>
    </w:p>
    <w:p w:rsidR="00D849AA" w:rsidRDefault="00EE6D95">
      <w:pPr>
        <w:pStyle w:val="Normal6"/>
      </w:pPr>
      <w:r>
        <w:t xml:space="preserve">- HZN vodi tajništvo međunarodnog tehničkog pododbora IEC/TC 31/SC J </w:t>
      </w:r>
    </w:p>
    <w:p w:rsidR="00D849AA" w:rsidRDefault="00EE6D95">
      <w:pPr>
        <w:pStyle w:val="Normal6"/>
      </w:pPr>
      <w:r>
        <w:t xml:space="preserve">Predviđa se sudjelovanje u radu tri TO-a (tehnička odbora) koji će se održati u EU i državama zapadnog Balkana. </w:t>
      </w:r>
    </w:p>
    <w:p w:rsidR="00D849AA" w:rsidRDefault="00EE6D95">
      <w:pPr>
        <w:pStyle w:val="Normal6"/>
      </w:pPr>
      <w:r>
        <w:t xml:space="preserve">HZN će u okviru svoje djelatnosti a slijedom politike Vlade RH razvijati regionalnu suradnju sa sličnim institucijama u svome okruženju. U okviru toga predviđaju se radni posjeti institucijama u Bosni i Hercegovini, Crnoj Gori, Makedoniji i Srbiji. U okviru tih radnih sastanaka dogovarat će se najbolji način podrške HZN-a tim institucijama. </w:t>
      </w:r>
    </w:p>
    <w:p w:rsidR="00D849AA" w:rsidRDefault="00EE6D95">
      <w:pPr>
        <w:pStyle w:val="Normal6"/>
      </w:pPr>
      <w:r>
        <w:t xml:space="preserve">Osim poslova prihvaćanja europskih norma, tijekom navedenog razdoblja nastavit će se  i  rad  na  pripremi  prijevoda  europskih  i  međunarodnih  norma  i  njihovome izdavanju na hrvatskome jeziku. Najveći dio tih prijevoda služit će kao potpora odgovarajućem tehničkom zakonodavstvu te će se rad na prijevodima usmjeriti za zadovoljavanje potreba ministarstava i drugih državnih organizacija. </w:t>
      </w:r>
    </w:p>
    <w:p w:rsidR="00D849AA" w:rsidRDefault="00EE6D95">
      <w:pPr>
        <w:pStyle w:val="Normal6"/>
      </w:pPr>
      <w:r>
        <w:t xml:space="preserve">Za provođenje aktivnosti u pripremi prijevoda europskih norma iz područja graditeljstva (tzv. Eurokodova) kao hrvatskih norma i izradi nacionalnih dodataka, potrebno je nastaviti s provedbom Sporazuma o suradnji na postupku prihvaćanja eurokodova kao hrvatskih norma koji je u rujnu 2007. godine potpisan s Ministarstvom zaštite okoliša, prostornog uređenja i graditeljstva i Hrvatskom komorom arhitekata i inženjera u graditeljstvu – Razred inženjera građevinarstva. Sporazum uključuje i prioritete u radu na pratećim normama za građevne proizvode, norma za izvođenje građevinskih konstrukcija te norma za ocjenjivanje sukladnosti građevnih proizvoda i uporabljivosti građevinskih konstrukcija. </w:t>
      </w:r>
    </w:p>
    <w:p w:rsidR="00D849AA" w:rsidRDefault="00EE6D95">
      <w:pPr>
        <w:pStyle w:val="Normal6"/>
      </w:pPr>
      <w:r>
        <w:t xml:space="preserve">U razdoblju od potpisivanja Sporazuma do danas je prevedeno i lektorirano oko 6000 stranica eurokodova na hrvatski jezik od kojih je pripremljeno za tisak oko 4500 stranica. </w:t>
      </w:r>
    </w:p>
    <w:p w:rsidR="00D849AA" w:rsidRDefault="00EE6D95">
      <w:pPr>
        <w:pStyle w:val="Normal6"/>
      </w:pPr>
      <w:r>
        <w:t xml:space="preserve">U slijedećem razdoblju aktivnosti će uključivati: </w:t>
      </w:r>
    </w:p>
    <w:p w:rsidR="00D849AA" w:rsidRDefault="00EE6D95">
      <w:pPr>
        <w:pStyle w:val="Normal6"/>
      </w:pPr>
      <w:r>
        <w:t xml:space="preserve">- izrada i lektoriranje nacionalnih dodataka za čelične konstrukcije </w:t>
      </w:r>
    </w:p>
    <w:p w:rsidR="00D849AA" w:rsidRDefault="00EE6D95">
      <w:pPr>
        <w:pStyle w:val="Normal6"/>
      </w:pPr>
      <w:r>
        <w:t xml:space="preserve">- prijevodi nacionalnih dodataka eurokodova sa hrvatskog na engleski jezik </w:t>
      </w:r>
    </w:p>
    <w:p w:rsidR="00D849AA" w:rsidRDefault="00EE6D95">
      <w:pPr>
        <w:pStyle w:val="Normal6"/>
      </w:pPr>
      <w:r>
        <w:t xml:space="preserve">- kompletiranje pojedinih skupina norma za projektiranje građevinskih konstrukcija nizova EN 1991, EN 1992, EN 1995 i EN 1997 poslove na normama nizova EN 1993, EN 1994 i EN 1999 s pripadajućom dokumentacijom. </w:t>
      </w:r>
    </w:p>
    <w:p w:rsidR="00D849AA" w:rsidRDefault="00EE6D95">
      <w:pPr>
        <w:pStyle w:val="Normal6"/>
      </w:pPr>
      <w:r>
        <w:t>Razmjerno svojem sudjelovanju u radu u europskim i međunarodnim tehničkim odborima HZN je također dužan organizirati i radne sastanke tih odbora. U dogovoru sa CEN-om i CENELEC-om HZN će u 2014. godini organizirati sastanke nekoliko europskih tehničkih odbora. Predviđamo da će biti oko pet sastanaka, s obvezom povećanja broja istih tijekom godina do punog alikvotnog udjela koji odgovara članstvu.</w:t>
      </w:r>
    </w:p>
    <w:p w:rsidR="002A3D3D" w:rsidRDefault="002A3D3D">
      <w:pPr>
        <w:pStyle w:val="Normal6"/>
      </w:pPr>
    </w:p>
    <w:p w:rsidR="002A3D3D" w:rsidRDefault="002A3D3D">
      <w:pPr>
        <w:pStyle w:val="Normal6"/>
      </w:pPr>
    </w:p>
    <w:p w:rsidR="002A3D3D" w:rsidRDefault="002A3D3D">
      <w:pPr>
        <w:pStyle w:val="Normal6"/>
      </w:pPr>
    </w:p>
    <w:p w:rsidR="00B151E0" w:rsidRDefault="00B151E0">
      <w:pPr>
        <w:pStyle w:val="Normal6"/>
      </w:pPr>
    </w:p>
    <w:p w:rsidR="00B151E0" w:rsidRDefault="00B151E0">
      <w:pPr>
        <w:pStyle w:val="Normal6"/>
      </w:pPr>
    </w:p>
    <w:p w:rsidR="00B151E0" w:rsidRDefault="00B151E0">
      <w:pPr>
        <w:pStyle w:val="Normal6"/>
      </w:pPr>
    </w:p>
    <w:p w:rsidR="00D849AA" w:rsidRDefault="00EE6D95">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2229"/>
        <w:gridCol w:w="119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Prihvaćene usklađene europske norme</w:t>
            </w:r>
          </w:p>
        </w:tc>
        <w:tc>
          <w:tcPr>
            <w:tcW w:w="1114" w:type="dxa"/>
          </w:tcPr>
          <w:p w:rsidR="00D849AA" w:rsidRDefault="00EE6D95">
            <w:r>
              <w:t>% broja norma</w:t>
            </w:r>
          </w:p>
        </w:tc>
        <w:tc>
          <w:tcPr>
            <w:tcW w:w="1114" w:type="dxa"/>
          </w:tcPr>
          <w:p w:rsidR="00D849AA" w:rsidRDefault="00EE6D95">
            <w:r>
              <w:t>95%</w:t>
            </w:r>
          </w:p>
        </w:tc>
        <w:tc>
          <w:tcPr>
            <w:tcW w:w="1486" w:type="dxa"/>
          </w:tcPr>
          <w:p w:rsidR="00D849AA" w:rsidRDefault="00EE6D95">
            <w:r>
              <w:t>95%</w:t>
            </w:r>
          </w:p>
        </w:tc>
        <w:tc>
          <w:tcPr>
            <w:tcW w:w="1486" w:type="dxa"/>
          </w:tcPr>
          <w:p w:rsidR="00D849AA" w:rsidRDefault="00EE6D95">
            <w:r>
              <w:t>95%</w:t>
            </w:r>
          </w:p>
        </w:tc>
        <w:tc>
          <w:tcPr>
            <w:tcW w:w="1486" w:type="dxa"/>
          </w:tcPr>
          <w:p w:rsidR="00D849AA" w:rsidRDefault="00EE6D95">
            <w:r>
              <w:t>95%</w:t>
            </w:r>
          </w:p>
        </w:tc>
      </w:tr>
      <w:tr w:rsidR="00D849AA">
        <w:trPr>
          <w:jc w:val="center"/>
        </w:trPr>
        <w:tc>
          <w:tcPr>
            <w:tcW w:w="2229" w:type="dxa"/>
          </w:tcPr>
          <w:p w:rsidR="00D849AA" w:rsidRDefault="00EE6D95">
            <w:pPr>
              <w:pStyle w:val="CellColumn"/>
            </w:pPr>
            <w:r>
              <w:t>Prihvaćene europske i međunarodne norme</w:t>
            </w:r>
          </w:p>
        </w:tc>
        <w:tc>
          <w:tcPr>
            <w:tcW w:w="1114" w:type="dxa"/>
          </w:tcPr>
          <w:p w:rsidR="00D849AA" w:rsidRDefault="00EE6D95">
            <w:r>
              <w:t>% broja norma</w:t>
            </w:r>
          </w:p>
        </w:tc>
        <w:tc>
          <w:tcPr>
            <w:tcW w:w="1114" w:type="dxa"/>
          </w:tcPr>
          <w:p w:rsidR="00D849AA" w:rsidRDefault="00EE6D95">
            <w:r>
              <w:t>90 EN (40% ISO, IEC)</w:t>
            </w:r>
          </w:p>
        </w:tc>
        <w:tc>
          <w:tcPr>
            <w:tcW w:w="1486" w:type="dxa"/>
          </w:tcPr>
          <w:p w:rsidR="00D849AA" w:rsidRDefault="00EE6D95">
            <w:r>
              <w:t>90 EN (40% ISO, IEC)</w:t>
            </w:r>
          </w:p>
        </w:tc>
        <w:tc>
          <w:tcPr>
            <w:tcW w:w="1486" w:type="dxa"/>
          </w:tcPr>
          <w:p w:rsidR="00D849AA" w:rsidRDefault="00EE6D95">
            <w:r>
              <w:t>90 EN (40% ISO, IEC)</w:t>
            </w:r>
          </w:p>
        </w:tc>
        <w:tc>
          <w:tcPr>
            <w:tcW w:w="1486" w:type="dxa"/>
          </w:tcPr>
          <w:p w:rsidR="00D849AA" w:rsidRDefault="00EE6D95">
            <w:r>
              <w:t>90 EN (40% ISO, IEC)</w:t>
            </w:r>
          </w:p>
        </w:tc>
      </w:tr>
      <w:tr w:rsidR="00D849AA">
        <w:trPr>
          <w:jc w:val="center"/>
        </w:trPr>
        <w:tc>
          <w:tcPr>
            <w:tcW w:w="2229" w:type="dxa"/>
          </w:tcPr>
          <w:p w:rsidR="00D849AA" w:rsidRDefault="00EE6D95">
            <w:pPr>
              <w:pStyle w:val="CellColumn"/>
            </w:pPr>
            <w:r>
              <w:t>Zastupljenost interesnih skupina u tehničkim odborima HZN-a</w:t>
            </w:r>
          </w:p>
        </w:tc>
        <w:tc>
          <w:tcPr>
            <w:tcW w:w="1114" w:type="dxa"/>
          </w:tcPr>
          <w:p w:rsidR="00D849AA" w:rsidRDefault="00EE6D95">
            <w:r>
              <w:t>broj tehničkih odbora HZN-a</w:t>
            </w:r>
          </w:p>
        </w:tc>
        <w:tc>
          <w:tcPr>
            <w:tcW w:w="1114" w:type="dxa"/>
          </w:tcPr>
          <w:p w:rsidR="00D849AA" w:rsidRDefault="00EE6D95">
            <w:r>
              <w:t>173</w:t>
            </w:r>
          </w:p>
        </w:tc>
        <w:tc>
          <w:tcPr>
            <w:tcW w:w="1486" w:type="dxa"/>
          </w:tcPr>
          <w:p w:rsidR="00D849AA" w:rsidRDefault="00EE6D95">
            <w:r>
              <w:t>169</w:t>
            </w:r>
          </w:p>
        </w:tc>
        <w:tc>
          <w:tcPr>
            <w:tcW w:w="1486" w:type="dxa"/>
          </w:tcPr>
          <w:p w:rsidR="00D849AA" w:rsidRDefault="00EE6D95">
            <w:r>
              <w:t>165</w:t>
            </w:r>
          </w:p>
        </w:tc>
        <w:tc>
          <w:tcPr>
            <w:tcW w:w="1486" w:type="dxa"/>
          </w:tcPr>
          <w:p w:rsidR="00D849AA" w:rsidRDefault="00EE6D95">
            <w:r>
              <w:t>165</w:t>
            </w:r>
          </w:p>
        </w:tc>
      </w:tr>
      <w:tr w:rsidR="00D849AA">
        <w:trPr>
          <w:jc w:val="center"/>
        </w:trPr>
        <w:tc>
          <w:tcPr>
            <w:tcW w:w="2229" w:type="dxa"/>
          </w:tcPr>
          <w:p w:rsidR="00D849AA" w:rsidRDefault="00EE6D95">
            <w:pPr>
              <w:pStyle w:val="CellColumn"/>
            </w:pPr>
            <w:r>
              <w:t>Sudjelovanje stručnjaka iz Republike Hrvatske u radu europskih i međunarodnih tehničkih obora</w:t>
            </w:r>
          </w:p>
        </w:tc>
        <w:tc>
          <w:tcPr>
            <w:tcW w:w="1114" w:type="dxa"/>
          </w:tcPr>
          <w:p w:rsidR="00D849AA" w:rsidRDefault="00EE6D95">
            <w:r>
              <w:t>Broj radnih dokumenata CEN‑a, CENELEC-a, ETSI-a, ISO-a i IEC-a</w:t>
            </w:r>
          </w:p>
        </w:tc>
        <w:tc>
          <w:tcPr>
            <w:tcW w:w="1114" w:type="dxa"/>
          </w:tcPr>
          <w:p w:rsidR="00D849AA" w:rsidRDefault="00EE6D95">
            <w:r>
              <w:t>1600</w:t>
            </w:r>
          </w:p>
        </w:tc>
        <w:tc>
          <w:tcPr>
            <w:tcW w:w="1486" w:type="dxa"/>
          </w:tcPr>
          <w:p w:rsidR="00D849AA" w:rsidRDefault="00EE6D95">
            <w:r>
              <w:t>1650</w:t>
            </w:r>
          </w:p>
        </w:tc>
        <w:tc>
          <w:tcPr>
            <w:tcW w:w="1486" w:type="dxa"/>
          </w:tcPr>
          <w:p w:rsidR="00D849AA" w:rsidRDefault="00EE6D95">
            <w:r>
              <w:t>1700</w:t>
            </w:r>
          </w:p>
        </w:tc>
        <w:tc>
          <w:tcPr>
            <w:tcW w:w="1486" w:type="dxa"/>
          </w:tcPr>
          <w:p w:rsidR="00D849AA" w:rsidRDefault="00EE6D95">
            <w:r>
              <w:t>1750</w:t>
            </w:r>
          </w:p>
        </w:tc>
      </w:tr>
    </w:tbl>
    <w:p w:rsidR="00D849AA" w:rsidRDefault="00D849AA">
      <w:pPr>
        <w:jc w:val="left"/>
      </w:pPr>
    </w:p>
    <w:p w:rsidR="00D849AA" w:rsidRDefault="00EE6D95">
      <w:pPr>
        <w:pStyle w:val="Naslov6"/>
      </w:pPr>
      <w:r>
        <w:t>A651012 PROJEKT CIP E-COMMENTS</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A651012</w:t>
            </w:r>
          </w:p>
        </w:tc>
        <w:tc>
          <w:tcPr>
            <w:tcW w:w="1486" w:type="dxa"/>
          </w:tcPr>
          <w:p w:rsidR="00D849AA" w:rsidRDefault="00EE6D95">
            <w:r>
              <w:t>00</w:t>
            </w:r>
          </w:p>
        </w:tc>
        <w:tc>
          <w:tcPr>
            <w:tcW w:w="1486" w:type="dxa"/>
          </w:tcPr>
          <w:p w:rsidR="00D849AA" w:rsidRDefault="00EE6D95">
            <w:r>
              <w:t>378.000</w:t>
            </w:r>
          </w:p>
        </w:tc>
        <w:tc>
          <w:tcPr>
            <w:tcW w:w="1486" w:type="dxa"/>
          </w:tcPr>
          <w:p w:rsidR="00D849AA" w:rsidRDefault="00EE6D95">
            <w:r>
              <w:t>210.000</w:t>
            </w:r>
          </w:p>
        </w:tc>
        <w:tc>
          <w:tcPr>
            <w:tcW w:w="1486" w:type="dxa"/>
          </w:tcPr>
          <w:p w:rsidR="00D849AA" w:rsidRDefault="00EE6D95">
            <w:r>
              <w:t>210.000</w:t>
            </w:r>
          </w:p>
        </w:tc>
        <w:tc>
          <w:tcPr>
            <w:tcW w:w="1486" w:type="dxa"/>
          </w:tcPr>
          <w:p w:rsidR="00D849AA" w:rsidRDefault="00EE6D95">
            <w:r>
              <w:t>0,0</w:t>
            </w:r>
          </w:p>
        </w:tc>
      </w:tr>
    </w:tbl>
    <w:p w:rsidR="00D849AA" w:rsidRDefault="00D849AA">
      <w:pPr>
        <w:jc w:val="left"/>
      </w:pPr>
    </w:p>
    <w:p w:rsidR="00D849AA" w:rsidRDefault="00EE6D95">
      <w:pPr>
        <w:pStyle w:val="Normal6"/>
      </w:pPr>
      <w:r>
        <w:t>HZN je za 2014. godinu otvorio novu aktivnost A651012 kako bi se mogao realizirati projekt CIP E_Comments. Europska komisija je u studenome 2011. godine odobrila proračun za projekte vezane uz podršku malim i srednjim poduzećima (SME) u okviru Okvirnog programa za konkurentnost i inovacije (Competitiveness and Innovation Framework Programme – CIP. Jedan od projekata je razvoj, prilagodba i implementacija sustava za komentirane nacrta norma na internetskim strancima nacionalnih normirnih tijela u cilju poticanja malih i srednjih poduzeća da sudjeluju u procesu europske i nacionalne normizacije. Kao član europskih organizacija za normizaciju CEN-a i CENELEC-a HZN se uključio u projekt u kojem sudjeluje sedam nacionalnih normirnih tijela. Projekt će biti potpisan krajem 2013. godine, a Europska komisija je već odobrila tehničku stranu projekta u vrijednosti za HZN je 128.652,11  EUR  odnosno  oko  964.000,00  HRK  kroz  četiri  godine.  Europska komisija i EFTA sufinanciraju projekt u iznosu od 95 %, a HZN u iznosu od 5 % potrebnih sredstava. U prvoj godini je potrebno osigurati sredstva za licence, uspostavu sustava, održavanje, uslugu udomljavanja servisa na udaljenome poslužitelju (hosting) i prevođenja, a za sljedeće tri godine je potrebno osigurati sredstva za održavanje, uslugu udomljavanja servisa na udaljenome poslužitelju (hosting) i prevođenje.</w:t>
      </w:r>
    </w:p>
    <w:p w:rsidR="00D849AA" w:rsidRDefault="00EE6D95">
      <w:pPr>
        <w:pStyle w:val="Naslov6"/>
      </w:pPr>
      <w:r>
        <w:lastRenderedPageBreak/>
        <w:t>K651011 INFORMATIZACIJA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K651011</w:t>
            </w:r>
          </w:p>
        </w:tc>
        <w:tc>
          <w:tcPr>
            <w:tcW w:w="1486" w:type="dxa"/>
          </w:tcPr>
          <w:p w:rsidR="00D849AA" w:rsidRDefault="00EE6D95">
            <w:r>
              <w:t>500.000</w:t>
            </w:r>
          </w:p>
        </w:tc>
        <w:tc>
          <w:tcPr>
            <w:tcW w:w="1486" w:type="dxa"/>
          </w:tcPr>
          <w:p w:rsidR="00D849AA" w:rsidRDefault="00EE6D95">
            <w:r>
              <w:t>660.000</w:t>
            </w:r>
          </w:p>
        </w:tc>
        <w:tc>
          <w:tcPr>
            <w:tcW w:w="1486" w:type="dxa"/>
          </w:tcPr>
          <w:p w:rsidR="00D849AA" w:rsidRDefault="00EE6D95">
            <w:r>
              <w:t>535.500</w:t>
            </w:r>
          </w:p>
        </w:tc>
        <w:tc>
          <w:tcPr>
            <w:tcW w:w="1486" w:type="dxa"/>
          </w:tcPr>
          <w:p w:rsidR="00D849AA" w:rsidRDefault="00EE6D95">
            <w:r>
              <w:t>546.525</w:t>
            </w:r>
          </w:p>
        </w:tc>
        <w:tc>
          <w:tcPr>
            <w:tcW w:w="1486" w:type="dxa"/>
          </w:tcPr>
          <w:p w:rsidR="00D849AA" w:rsidRDefault="00EE6D95">
            <w:r>
              <w:t>132,0</w:t>
            </w:r>
          </w:p>
        </w:tc>
      </w:tr>
    </w:tbl>
    <w:p w:rsidR="00D849AA" w:rsidRDefault="00D849AA">
      <w:pPr>
        <w:jc w:val="left"/>
      </w:pPr>
    </w:p>
    <w:p w:rsidR="00D849AA" w:rsidRDefault="00EE6D95">
      <w:pPr>
        <w:pStyle w:val="Normal6"/>
      </w:pPr>
      <w:r>
        <w:t xml:space="preserve">Radi unapređivanja poslovanja u svim područjima iz djelokruga HZN-a potrebno je trajno poboljšavati postojeći informatički sustav radi osiguranja njegove kompatibilnosti s odgovarajućim sustavima europskih i međunarodnih normizacijskih organizacija te ubrzanja pristupa odgovarajućim aplikacijama putem internetskog pretraživača kako djelatnicima zavoda tako i članovima HZN-a i članovima tehničkih odbora. </w:t>
      </w:r>
    </w:p>
    <w:p w:rsidR="00D849AA" w:rsidRDefault="00EE6D95">
      <w:pPr>
        <w:pStyle w:val="Normal6"/>
      </w:pPr>
      <w:r>
        <w:t>Razvoj informatičkog sustava HZN-a nužan je i zbog ispunjavanja šestog uvjeta za članstvo u europskim organizacijama CEN i CENELEC kojim se zahtijeva da sve nacionalne normirne organizacije imaju na raspolaganju odgovarajuća telekomunikacijska sredstva i informacijsku infrastrukturu koja im omogućuje primjerenu komunikaciju u obavljanju zajedničkih poslova.</w:t>
      </w:r>
    </w:p>
    <w:p w:rsidR="00D849AA" w:rsidRDefault="00EE6D95">
      <w:pPr>
        <w:pStyle w:val="Naslov2"/>
      </w:pPr>
      <w:r>
        <w:t>04985 Hrvatska akreditacijska agencija</w:t>
      </w:r>
    </w:p>
    <w:p w:rsidR="00D849AA" w:rsidRDefault="00EE6D95">
      <w:pPr>
        <w:pStyle w:val="Naslov4"/>
      </w:pPr>
      <w:r>
        <w:t>Uvod</w:t>
      </w:r>
    </w:p>
    <w:p w:rsidR="00D849AA" w:rsidRDefault="00EE6D95">
      <w:pPr>
        <w:pStyle w:val="Normal3"/>
      </w:pPr>
      <w:r>
        <w:t xml:space="preserve">Hrvatska akreditacijska agencija (dalje u tekstu: HAA) je javna ustanova koja obavlja poslove nacionalne službe za akreditaciju u RH. HAA predstavlja Republiku Hrvatsku u europskim i međunarodnim organizacijama za akreditaciju i sudjeluje u njihovu radu.   </w:t>
      </w:r>
    </w:p>
    <w:p w:rsidR="00D849AA" w:rsidRDefault="00EE6D95">
      <w:pPr>
        <w:pStyle w:val="Normal3"/>
      </w:pPr>
      <w:r>
        <w:t>Sukladno Zakonu o akreditaciji i Uredbi o osnivanju HAA obavlja slijedeće poslove: akreditiranje ispitnih i umjernih laboratorija, akreditiranje pravnih ili fizičkih osoba za potvrđivanje proizvoda, sustava upravljanja i osoblja, akreditiranje pravnih ili fizičkih osoba koje obavljaju tehnički nadzor ili slične radnje, druga ocjenjivanja ili potvrđivanja osposobljenosti za provođenje postupaka ocjenjivanja sukladnosti, uključujući utvrđivanje ispunjavanja zahtjeva za ocjenjivanje sukladnosti u skladu s propisima za ocjenjivanje sukladnosti za pravne ili fizičke osobe. Cilj HAA je stalno povećanje broja akreditiranih institucija (laboratorija, certifikacijskih i inspekcijskih tijela) potrebnih za provedbu novih tehničkih propisa, usklađenih sa zakonodavstvom EU (direktive novog i starog pristupa i drugi propisi za sigurnost proizvoda).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04985</w:t>
            </w:r>
          </w:p>
        </w:tc>
        <w:tc>
          <w:tcPr>
            <w:tcW w:w="1486" w:type="dxa"/>
          </w:tcPr>
          <w:p w:rsidR="00D849AA" w:rsidRDefault="00EE6D95">
            <w:r>
              <w:t>9.276.970</w:t>
            </w:r>
          </w:p>
        </w:tc>
        <w:tc>
          <w:tcPr>
            <w:tcW w:w="1486" w:type="dxa"/>
          </w:tcPr>
          <w:p w:rsidR="00D849AA" w:rsidRDefault="00EE6D95">
            <w:r>
              <w:t>8.547.050</w:t>
            </w:r>
          </w:p>
        </w:tc>
        <w:tc>
          <w:tcPr>
            <w:tcW w:w="1486" w:type="dxa"/>
          </w:tcPr>
          <w:p w:rsidR="00D849AA" w:rsidRDefault="00EE6D95">
            <w:r>
              <w:t>9.712.050</w:t>
            </w:r>
          </w:p>
        </w:tc>
        <w:tc>
          <w:tcPr>
            <w:tcW w:w="1486" w:type="dxa"/>
          </w:tcPr>
          <w:p w:rsidR="00D849AA" w:rsidRDefault="00EE6D95">
            <w:r>
              <w:t>10.088.370</w:t>
            </w:r>
          </w:p>
        </w:tc>
        <w:tc>
          <w:tcPr>
            <w:tcW w:w="1486" w:type="dxa"/>
          </w:tcPr>
          <w:p w:rsidR="00D849AA" w:rsidRDefault="00EE6D95">
            <w:r>
              <w:t>92,1</w:t>
            </w:r>
          </w:p>
        </w:tc>
      </w:tr>
    </w:tbl>
    <w:p w:rsidR="00D849AA" w:rsidRDefault="00D849AA">
      <w:pPr>
        <w:jc w:val="left"/>
      </w:pPr>
    </w:p>
    <w:p w:rsidR="00D849AA" w:rsidRDefault="00EE6D95">
      <w:pPr>
        <w:pStyle w:val="Naslov4"/>
      </w:pPr>
      <w:r>
        <w:t>OBRAZLOŽENJE PROGRAMA</w:t>
      </w:r>
    </w:p>
    <w:p w:rsidR="00D849AA" w:rsidRDefault="00EE6D95">
      <w:pPr>
        <w:pStyle w:val="Naslov5"/>
      </w:pPr>
      <w:r>
        <w:t>3221 ODRŽAVANJE I RAZVOJ SUSTAVA AKREDITACIJE U RH</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3221</w:t>
            </w:r>
          </w:p>
        </w:tc>
        <w:tc>
          <w:tcPr>
            <w:tcW w:w="1486" w:type="dxa"/>
          </w:tcPr>
          <w:p w:rsidR="00D849AA" w:rsidRDefault="00EE6D95">
            <w:r>
              <w:t>9.276.970</w:t>
            </w:r>
          </w:p>
        </w:tc>
        <w:tc>
          <w:tcPr>
            <w:tcW w:w="1486" w:type="dxa"/>
          </w:tcPr>
          <w:p w:rsidR="00D849AA" w:rsidRDefault="00EE6D95">
            <w:r>
              <w:t>8.547.050</w:t>
            </w:r>
          </w:p>
        </w:tc>
        <w:tc>
          <w:tcPr>
            <w:tcW w:w="1486" w:type="dxa"/>
          </w:tcPr>
          <w:p w:rsidR="00D849AA" w:rsidRDefault="00EE6D95">
            <w:r>
              <w:t>9.712.050</w:t>
            </w:r>
          </w:p>
        </w:tc>
        <w:tc>
          <w:tcPr>
            <w:tcW w:w="1486" w:type="dxa"/>
          </w:tcPr>
          <w:p w:rsidR="00D849AA" w:rsidRDefault="00EE6D95">
            <w:r>
              <w:t>10.088.370</w:t>
            </w:r>
          </w:p>
        </w:tc>
        <w:tc>
          <w:tcPr>
            <w:tcW w:w="1486" w:type="dxa"/>
          </w:tcPr>
          <w:p w:rsidR="00D849AA" w:rsidRDefault="00EE6D95">
            <w:r>
              <w:t>92,1</w:t>
            </w:r>
          </w:p>
        </w:tc>
      </w:tr>
    </w:tbl>
    <w:p w:rsidR="00D849AA" w:rsidRDefault="00EE6D95">
      <w:pPr>
        <w:pStyle w:val="Naslov6"/>
      </w:pPr>
      <w:r>
        <w:lastRenderedPageBreak/>
        <w:t>Opis programa</w:t>
      </w:r>
    </w:p>
    <w:p w:rsidR="00D849AA" w:rsidRDefault="00EE6D95">
      <w:pPr>
        <w:pStyle w:val="Normal5"/>
      </w:pPr>
      <w:r>
        <w:t xml:space="preserve">HAA je nacionalno akreditacijsko tijelo i osnovana je s ciljem da: osigura kompetentno tržište usluga ispitivanja, mjerenja, umjeravanja, certifikacije i inspekcije na području RH; osigura priznavanje izvještaja o ispitivanju i certifikata o sukladnosti izdanih u RH na drugim tržištima; daje tehničku potporu hrvatskom gospodarstvu u ostvarivanju konkurentnosti na međunarodnom tržištu;  osigurava povjerenje u sigurnost i kvalitetu proizvoda i usluga na hrvatskom tržištu; daje tehničku potporu tijelima državne uprave u provedbi propisa u području sigurnosti i zdravlja građana, zaštite okoliša, zaštite potrošača i drugih javnih interesa. </w:t>
      </w:r>
    </w:p>
    <w:p w:rsidR="00D849AA" w:rsidRDefault="00EE6D95">
      <w:pPr>
        <w:pStyle w:val="Normal5"/>
      </w:pPr>
      <w:r>
        <w:t>HAA je u zahtjevnom trogodišnjem postupku evaluacije, od strane Europske organizacije za akreditaciju (EA), ocijenjena kao kompetentna i pouzdana institucija te je na sjednici Vijeća za multilateralne sporazume (EA MAC) održanoj u Frankfurtu 27. travnja 2010. godine odlučeno da se sa HAA zaključe Multilateralni sporazumi o priznavanju akreditacije (EA MLA) za sve prijavljene i ocijenjene akreditacijske sheme.  Dana 29. travnja 2010. godine zaključen je Multilateralni sporazum o uzajamnom priznavanju akreditacije za ispitne i umjerne laboratorije s Međunarodnom organizacijom za akreditaciju laboratorija (ILAC MRA)</w:t>
      </w:r>
    </w:p>
    <w:p w:rsidR="00D849AA" w:rsidRDefault="00EE6D95">
      <w:pPr>
        <w:pStyle w:val="Naslov6"/>
      </w:pPr>
      <w:r>
        <w:t>Zakonske i druge pravne osnove</w:t>
      </w:r>
    </w:p>
    <w:p w:rsidR="00D849AA" w:rsidRDefault="00EE6D95">
      <w:pPr>
        <w:pStyle w:val="Normal5"/>
      </w:pPr>
      <w:r>
        <w:t xml:space="preserve">Uredba Vlade Republike Hrvatske (NN 158/04, NN 44/05 i NN 30/10),  Zakon o akreditaciji (NN 158/03, 75/09 i 56/13), EU Uredba o akreditaciji 765/2008. </w:t>
      </w:r>
    </w:p>
    <w:p w:rsidR="00D849AA" w:rsidRDefault="00EE6D95">
      <w:pPr>
        <w:pStyle w:val="Normal5"/>
      </w:pPr>
      <w:r>
        <w:t xml:space="preserve">Sustav upravljanja poslovanjem HAA uspostavljen je  u skladu sa zahtjevima norme HRN EN ISO/IEC 17011:2005. </w:t>
      </w:r>
    </w:p>
    <w:p w:rsidR="00D849AA" w:rsidRDefault="00EE6D95">
      <w:pPr>
        <w:pStyle w:val="Normal5"/>
      </w:pPr>
      <w:r>
        <w:t>U dokumentaciju su također ugrađene upute i preporuke Europske suradnje na akreditaciji (EA) i međunarodnih organizacija za akreditaciju ILAC i IAF.</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Cilj 1. Održavanje i razvoj sustava akreditacije u RH - Povećanje broja akreditiranih tijela</w:t>
      </w:r>
    </w:p>
    <w:p w:rsidR="00D849AA" w:rsidRDefault="00EE6D95">
      <w:pPr>
        <w:pStyle w:val="Normal6"/>
      </w:pPr>
      <w:r>
        <w:t xml:space="preserve">Glavni cilj HAA je održavanje i razvoj, tj. stalno  proširivanje područja akreditacije i povećanje broja akreditiranih institucija (laboratorija, certifikacijskih i inspekcijskih tijela) potrebnih za provedbu novih tehničkih propisa, usklađenih sa zakonodavstvom EU (direktive „novog“ i „starog“ pristupa i drugi propisi za sigurnost proizvoda, zaštitu okoliša, zaštitu zdravlja, zaštitu potrošača). HAA izravno pridonosi uređivanju hrvatskog tržišta proizvoda i usluga, te stvaranju uvjeta za punopravno uključivanje u unutarnje tržište EU i međunarodne razmjene proizvoda, usluga i informacija. </w:t>
      </w:r>
    </w:p>
    <w:p w:rsidR="00D849AA" w:rsidRDefault="00EE6D95">
      <w:pPr>
        <w:pStyle w:val="Normal6"/>
      </w:pPr>
      <w:r>
        <w:t xml:space="preserve">Povećanje broja akreditiranih tijela utječe na opći i posebni uspjeh gospodarstva, budući da akreditacija, odnosno ocjenjivanje stručne i tehničke osposobljenosti laboratorija, certifikacijskih i inspekcijskih tijela, postaje glavni oslonac ministarstvima u provedbi propisa  i u značajnijoj je mjeri podigla kvalitetu usluga ispitivanja, mjerenja, certifikacije i inspekcije na hrvatskom tržištu, a samim time i konkurentnosti hrvatskog gospodarstva na tržištu EU i šire.  </w:t>
      </w:r>
    </w:p>
    <w:p w:rsidR="00D849AA" w:rsidRDefault="00EE6D95">
      <w:pPr>
        <w:pStyle w:val="Normal6"/>
      </w:pPr>
      <w:r>
        <w:t xml:space="preserve">Neprovođenje akreditacije imalo bi za posljedicu ugrožavanje konkurentnosti hrvatskog gospodarstva za izlazak na tržišta EU i šire radi nemogućnosti dokazivanja sigurnosti i kvalitete proizvoda u kompetentnim institucijama koje su ocjenjene prema međunarodnim kriterijima (akreditiranim institucijama). </w:t>
      </w:r>
    </w:p>
    <w:p w:rsidR="00D849AA" w:rsidRDefault="00EE6D95">
      <w:pPr>
        <w:pStyle w:val="Normal6"/>
      </w:pPr>
      <w:r>
        <w:lastRenderedPageBreak/>
        <w:t xml:space="preserve">Neposredni korisnici usluga HAA su: ispitni, umjerni i medicinski laboratoriji, inspekcijska tijela, certifikacijska tijela za proizvode, certifikacijska tijela za sustave upravljanja: za kvalitetu QMS, za okoliš EMS, certifikacijska tijela za osobe. </w:t>
      </w:r>
    </w:p>
    <w:p w:rsidR="00D849AA" w:rsidRDefault="00EE6D95">
      <w:pPr>
        <w:pStyle w:val="Normal6"/>
      </w:pPr>
      <w:r>
        <w:t>Neposredni korisnici su tijela državne uprave u čijoj su nadležnosti propisi u određenom području: dokazivanje kompetentne provedbe tehničkog zakonodavstva radi osiguranja slobode kretanja i sigurnosti proizvoda na tržištu EU, sigurnost proizvoda, zaštita okoliša, zaštita zdravlja, zaštita potrošača, odnosno gospodarstvo – uvjet konkurentnosti na međunarodnom tržištu.</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Broj obavljenih redovnih godišnjih nadzora nad akreditiranim tijelima i obavljenih akreditacijskih postupaka prema novim prijavama za akreditaciju</w:t>
            </w:r>
          </w:p>
        </w:tc>
        <w:tc>
          <w:tcPr>
            <w:tcW w:w="1114" w:type="dxa"/>
          </w:tcPr>
          <w:p w:rsidR="00D849AA" w:rsidRDefault="00EE6D95">
            <w:r>
              <w:t>Broj</w:t>
            </w:r>
          </w:p>
        </w:tc>
        <w:tc>
          <w:tcPr>
            <w:tcW w:w="1114" w:type="dxa"/>
          </w:tcPr>
          <w:p w:rsidR="00D849AA" w:rsidRDefault="00EE6D95">
            <w:r>
              <w:t>360</w:t>
            </w:r>
          </w:p>
        </w:tc>
        <w:tc>
          <w:tcPr>
            <w:tcW w:w="1486" w:type="dxa"/>
          </w:tcPr>
          <w:p w:rsidR="00D849AA" w:rsidRDefault="00EE6D95">
            <w:r>
              <w:t>380</w:t>
            </w:r>
          </w:p>
        </w:tc>
        <w:tc>
          <w:tcPr>
            <w:tcW w:w="1486" w:type="dxa"/>
          </w:tcPr>
          <w:p w:rsidR="00D849AA" w:rsidRDefault="00EE6D95">
            <w:r>
              <w:t>400</w:t>
            </w:r>
          </w:p>
        </w:tc>
        <w:tc>
          <w:tcPr>
            <w:tcW w:w="1486" w:type="dxa"/>
          </w:tcPr>
          <w:p w:rsidR="00D849AA" w:rsidRDefault="00EE6D95">
            <w:r>
              <w:t>420</w:t>
            </w:r>
          </w:p>
        </w:tc>
      </w:tr>
    </w:tbl>
    <w:p w:rsidR="00D849AA" w:rsidRDefault="00D849AA">
      <w:pPr>
        <w:jc w:val="left"/>
      </w:pPr>
    </w:p>
    <w:p w:rsidR="00D849AA" w:rsidRDefault="00EE6D95">
      <w:pPr>
        <w:pStyle w:val="Naslov7"/>
      </w:pPr>
      <w:r>
        <w:t>Cilj 2. Održavanje i razvoj sustava akreditacije u RH - Povećanje broja ocjenitelja</w:t>
      </w:r>
    </w:p>
    <w:p w:rsidR="00D849AA" w:rsidRDefault="00EE6D95">
      <w:pPr>
        <w:pStyle w:val="Normal6"/>
      </w:pPr>
      <w:r>
        <w:t>Kako bi se povećao broj akreditiranih tijela, treba povećati odnosno osposobiti veći broj vodećih ocjenitelja, stručnih ocjenitelja i eksperata po svim područjima i shemama. Ocjenitelji su zaposlenici HAA kao i vanjski suradnici iz raznih institucija – fakulteti, instituti, gospodarstvo ovisno o području akreditacije. Tokom godine vrši se revizija  ocjenitelja i neki se brišu iz evidencije a dodaju se novi ili se postojećima proširuju nove sheme i nova područja.</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Povećanje broja ocjenitelja</w:t>
            </w:r>
          </w:p>
        </w:tc>
        <w:tc>
          <w:tcPr>
            <w:tcW w:w="1114" w:type="dxa"/>
          </w:tcPr>
          <w:p w:rsidR="00D849AA" w:rsidRDefault="00EE6D95">
            <w:r>
              <w:t>Broj</w:t>
            </w:r>
          </w:p>
        </w:tc>
        <w:tc>
          <w:tcPr>
            <w:tcW w:w="1114" w:type="dxa"/>
          </w:tcPr>
          <w:p w:rsidR="00D849AA" w:rsidRDefault="00EE6D95">
            <w:r>
              <w:t>280</w:t>
            </w:r>
          </w:p>
        </w:tc>
        <w:tc>
          <w:tcPr>
            <w:tcW w:w="1486" w:type="dxa"/>
          </w:tcPr>
          <w:p w:rsidR="00D849AA" w:rsidRDefault="00EE6D95">
            <w:r>
              <w:t>285</w:t>
            </w:r>
          </w:p>
        </w:tc>
        <w:tc>
          <w:tcPr>
            <w:tcW w:w="1486" w:type="dxa"/>
          </w:tcPr>
          <w:p w:rsidR="00D849AA" w:rsidRDefault="00EE6D95">
            <w:r>
              <w:t>290</w:t>
            </w:r>
          </w:p>
        </w:tc>
        <w:tc>
          <w:tcPr>
            <w:tcW w:w="1486" w:type="dxa"/>
          </w:tcPr>
          <w:p w:rsidR="00D849AA" w:rsidRDefault="00EE6D95">
            <w:r>
              <w:t>295</w:t>
            </w:r>
          </w:p>
        </w:tc>
      </w:tr>
    </w:tbl>
    <w:p w:rsidR="00D849AA" w:rsidRDefault="00D849AA">
      <w:pPr>
        <w:jc w:val="left"/>
      </w:pPr>
    </w:p>
    <w:p w:rsidR="00D849AA" w:rsidRDefault="00EE6D95">
      <w:pPr>
        <w:pStyle w:val="Naslov5"/>
      </w:pPr>
      <w:r>
        <w:t>Procjena i ishodište potrebnih sredstava za značajnije aktivnosti/projekte</w:t>
      </w:r>
    </w:p>
    <w:p w:rsidR="00D849AA" w:rsidRDefault="00EE6D95">
      <w:pPr>
        <w:pStyle w:val="Naslov6"/>
      </w:pPr>
      <w:r>
        <w:t>A652002 ADMINISTRACIJA I UPRAVLJANJE HRVATSKE AKREDITACIJSKE AGENCIJE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A652002</w:t>
            </w:r>
          </w:p>
        </w:tc>
        <w:tc>
          <w:tcPr>
            <w:tcW w:w="1486" w:type="dxa"/>
          </w:tcPr>
          <w:p w:rsidR="00D849AA" w:rsidRDefault="00EE6D95">
            <w:r>
              <w:t>9.126.970</w:t>
            </w:r>
          </w:p>
        </w:tc>
        <w:tc>
          <w:tcPr>
            <w:tcW w:w="1486" w:type="dxa"/>
          </w:tcPr>
          <w:p w:rsidR="00D849AA" w:rsidRDefault="00EE6D95">
            <w:r>
              <w:t>8.407.050</w:t>
            </w:r>
          </w:p>
        </w:tc>
        <w:tc>
          <w:tcPr>
            <w:tcW w:w="1486" w:type="dxa"/>
          </w:tcPr>
          <w:p w:rsidR="00D849AA" w:rsidRDefault="00EE6D95">
            <w:r>
              <w:t>9.572.050</w:t>
            </w:r>
          </w:p>
        </w:tc>
        <w:tc>
          <w:tcPr>
            <w:tcW w:w="1486" w:type="dxa"/>
          </w:tcPr>
          <w:p w:rsidR="00D849AA" w:rsidRDefault="00EE6D95">
            <w:r>
              <w:t>9.908.370</w:t>
            </w:r>
          </w:p>
        </w:tc>
        <w:tc>
          <w:tcPr>
            <w:tcW w:w="1486" w:type="dxa"/>
          </w:tcPr>
          <w:p w:rsidR="00D849AA" w:rsidRDefault="00EE6D95">
            <w:r>
              <w:t>92,1</w:t>
            </w:r>
          </w:p>
        </w:tc>
      </w:tr>
    </w:tbl>
    <w:p w:rsidR="00D849AA" w:rsidRDefault="00D849AA">
      <w:pPr>
        <w:jc w:val="left"/>
      </w:pPr>
    </w:p>
    <w:p w:rsidR="00D849AA" w:rsidRDefault="00EE6D95">
      <w:pPr>
        <w:pStyle w:val="Normal6"/>
      </w:pPr>
      <w:r>
        <w:t xml:space="preserve">Aktivnost Administracija i upravljanje HAA odnosno razvoj akreditacijskog sustava glavna je aktivnost HAA i putem te aktivnosti provodi svoje poslovanje - akreditiranje ispitnih i umjernih laboratorija; akreditiranje pravnih ili fizičkih osoba za potvrđivanje proizvoda, sustava upravljanja i osoblja; akreditiranje pravnih ili fizičkih osoba koje obavljaju tehnički nadzor ili slične radnje i dr. </w:t>
      </w:r>
    </w:p>
    <w:p w:rsidR="00D849AA" w:rsidRDefault="00EE6D95">
      <w:pPr>
        <w:pStyle w:val="Normal6"/>
      </w:pPr>
      <w:r>
        <w:t xml:space="preserve">HAA za postupke akreditacije angažira vanjske stručne suradnike i eksperte iz zemlje i inozemstva, a prema prirodi, vrsti i specifičnosti postupka. Vanjski suradnici HAA su stručnjaci i ocjenitelji koji obavljaju postupke ocjenjivanja i nadzor nad radom akreditiranih tijela, a osnovom kojih se izdaje potvrda o akreditaciji. Te troškove snose akreditirane pravne osobe i uplaćuju ih direktno u Državni proračun. </w:t>
      </w:r>
    </w:p>
    <w:p w:rsidR="00D849AA" w:rsidRDefault="00EE6D95">
      <w:pPr>
        <w:pStyle w:val="Normal6"/>
      </w:pPr>
      <w:r>
        <w:t xml:space="preserve">HAA vanjske suradnike isplaćuje sa stavke -  Intelektualne usluge,  i ta stavka je značajna za redovno poslovanje HAA. Izvršenjem te stavke ujedno se izvršava osnovna djelatnost HAA - provođenje postupka akreditacije i nadzora. </w:t>
      </w:r>
    </w:p>
    <w:p w:rsidR="00D849AA" w:rsidRDefault="00EE6D95">
      <w:pPr>
        <w:pStyle w:val="Normal6"/>
      </w:pPr>
      <w:r>
        <w:t xml:space="preserve">Povećanjem broja akreditacija povećavaju se troškovi intelektualnih usluga i troškovi službenih putovanja kako zaposlenika tako i angažiranih vanjskih suradnika jer se akreditacije provode na terenu kod korisnika po cijeloj RH. Međutim, treba naglasiti da se povećanjem poslova akreditacije  povećavaju  istovremeno i prihodi od akreditacije, tj. uplate u Državni proračun koje sada iznose oko 97 % od ukupnih rashoda poslovanja HAA. </w:t>
      </w:r>
    </w:p>
    <w:p w:rsidR="00D849AA" w:rsidRDefault="00EE6D95">
      <w:pPr>
        <w:pStyle w:val="Normal6"/>
      </w:pPr>
      <w:r>
        <w:t xml:space="preserve">Provođenjem postupaka akreditacije HAA izravno doprinosi uređivanju hrvatskog tržišta proizvoda i usluga, te stvaranju uvjeta za punopravno uključivanje u unutarnje tržište EU i međunarodne razmjene proizvoda, usluga i informacija. </w:t>
      </w:r>
    </w:p>
    <w:p w:rsidR="00D849AA" w:rsidRDefault="00EE6D95">
      <w:pPr>
        <w:pStyle w:val="Normal6"/>
      </w:pPr>
      <w:r>
        <w:t xml:space="preserve">Rashodi za zaposlene planirani su u okviru dobivenih premalih limita te u skladu s poreznim propisima, brojem zaposlenih i utvrđenim koeficijentima za javne službenike uvećani za minuli rad.  HAA će imati poteškoća sa isplatom plaće tokom 2014. godine. </w:t>
      </w:r>
    </w:p>
    <w:p w:rsidR="00D849AA" w:rsidRDefault="00EE6D95">
      <w:pPr>
        <w:pStyle w:val="Normal6"/>
      </w:pPr>
      <w:r>
        <w:t xml:space="preserve">Nadležno Ministarstvo naložilo je HAA da se iseli iz postojećih prostora na adresi Ulica grada Vukovara 78 zbog potrebe Ministarstva gospodarstva za tim prostorom koji sada koristi HAA. Trenutna odluka je da se čeka sa seljenjem ali pitanje prostora nije riješeno. HAA je oduzeto cca 75 m2 radnog prostora i predano na korištenje djelatnicima MINGO-a – Ravnateljstvo za robne zalihe. </w:t>
      </w:r>
    </w:p>
    <w:p w:rsidR="00D849AA" w:rsidRDefault="00EE6D95">
      <w:pPr>
        <w:pStyle w:val="Normal6"/>
      </w:pPr>
      <w:r>
        <w:t xml:space="preserve">S obzirom na to HAA je za 2014. godinu planirala troškove najma poslovnog prostora, te troškove  režija i troškove preseljenja. </w:t>
      </w:r>
    </w:p>
    <w:p w:rsidR="00D849AA" w:rsidRDefault="00EE6D95">
      <w:pPr>
        <w:pStyle w:val="Normal6"/>
      </w:pPr>
      <w:r>
        <w:t xml:space="preserve">Zbog toga su stavke – energija – 3223; komunalne usluge – 3234; zakupnine i najamnine – 3235 i usluge tekućeg i investicijskog održavanja – 3232 povećane.  </w:t>
      </w:r>
    </w:p>
    <w:p w:rsidR="00D849AA" w:rsidRDefault="00EE6D95">
      <w:pPr>
        <w:pStyle w:val="Normal6"/>
      </w:pPr>
      <w:r>
        <w:t xml:space="preserve">Kako je HAA potpisnica multilateralnih sporazuma o akreditaciji na razini EA i ILAC-a, članarine su se povećale, te su shodno tome planirana potrebna sredstva za 2014. godinu i naredne godine. </w:t>
      </w:r>
    </w:p>
    <w:p w:rsidR="00D849AA" w:rsidRDefault="00EE6D95">
      <w:pPr>
        <w:pStyle w:val="Normal6"/>
      </w:pPr>
      <w:r>
        <w:t xml:space="preserve">Ostali materijalni rashodi i  financijski rashodi  planirani su u najosnovnijim iznosima potrebnim za redovno poslovanje i tekuće održavanje opreme. </w:t>
      </w:r>
    </w:p>
    <w:p w:rsidR="00D849AA" w:rsidRDefault="00EE6D95">
      <w:pPr>
        <w:pStyle w:val="Normal6"/>
      </w:pPr>
      <w:r>
        <w:t>Ukupni financijski plan HAA za 2014. godinu izrađen je racionalno na način koji osigurava nesmetano obavljanje poslovanja radi kojeg je HAA osnovana radi funkcioniranja unutarnjeg tržišta i priznavanja rezultata rada tijela za ocjenjivanje sukladnosti iz RH na europskom i svjetskom tržištu u razmjeni proizvoda, usluga i informacija.</w:t>
      </w:r>
    </w:p>
    <w:p w:rsidR="002A3D3D" w:rsidRDefault="002A3D3D">
      <w:pPr>
        <w:pStyle w:val="Normal6"/>
      </w:pPr>
    </w:p>
    <w:p w:rsidR="00D849AA" w:rsidRDefault="00EE6D95">
      <w:pPr>
        <w:pStyle w:val="Naslov6"/>
      </w:pPr>
      <w:r>
        <w:lastRenderedPageBreak/>
        <w:t>K652006 INFORMATIZACIJA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K652006</w:t>
            </w:r>
          </w:p>
        </w:tc>
        <w:tc>
          <w:tcPr>
            <w:tcW w:w="1486" w:type="dxa"/>
          </w:tcPr>
          <w:p w:rsidR="00D849AA" w:rsidRDefault="00EE6D95">
            <w:r>
              <w:t>150.000</w:t>
            </w:r>
          </w:p>
        </w:tc>
        <w:tc>
          <w:tcPr>
            <w:tcW w:w="1486" w:type="dxa"/>
          </w:tcPr>
          <w:p w:rsidR="00D849AA" w:rsidRDefault="00EE6D95">
            <w:r>
              <w:t>140.000</w:t>
            </w:r>
          </w:p>
        </w:tc>
        <w:tc>
          <w:tcPr>
            <w:tcW w:w="1486" w:type="dxa"/>
          </w:tcPr>
          <w:p w:rsidR="00D849AA" w:rsidRDefault="00EE6D95">
            <w:r>
              <w:t>140.000</w:t>
            </w:r>
          </w:p>
        </w:tc>
        <w:tc>
          <w:tcPr>
            <w:tcW w:w="1486" w:type="dxa"/>
          </w:tcPr>
          <w:p w:rsidR="00D849AA" w:rsidRDefault="00EE6D95">
            <w:r>
              <w:t>180.000</w:t>
            </w:r>
          </w:p>
        </w:tc>
        <w:tc>
          <w:tcPr>
            <w:tcW w:w="1486" w:type="dxa"/>
          </w:tcPr>
          <w:p w:rsidR="00D849AA" w:rsidRDefault="00EE6D95">
            <w:r>
              <w:t>93,3</w:t>
            </w:r>
          </w:p>
        </w:tc>
      </w:tr>
    </w:tbl>
    <w:p w:rsidR="00D849AA" w:rsidRDefault="00D849AA">
      <w:pPr>
        <w:jc w:val="left"/>
      </w:pPr>
    </w:p>
    <w:p w:rsidR="00D849AA" w:rsidRDefault="00EE6D95">
      <w:pPr>
        <w:pStyle w:val="Normal6"/>
      </w:pPr>
      <w:r>
        <w:t>S obzirom da računalna oprema predstavlja kritičnu opremu za održavanje radnih procesa u HAA, predviđa se kontinuirana nadogradnja postojeće računalne opreme i adekvatna zamjena dijela starije računalne opreme koja se neće moći nadograditi. HAA ima uspostavljenu bazu podataka – implementiranu na platformi Centrix poslovnog rješenja, prilagođenog potrebama i specifičnostima djelatnosti HAA. Poslovno rješenje je projektirano tako da omogućava kontinuiranu nadogradnju i poboljšavanje u skladu s potrebama.  Tokom 2014. godine HAA planira nastavak nadogradnje programa za planiranje i izvještavanje u postupcima početnih akreditacija i nadzora nad akreditiranim tijelima u petogodišnjem ciklusu trajanja jedne akreditacije. Osim toga obveza je HAA nastaviti nadogradnju informatičkog sustava za podršku poslovanju  u skladu sa specifikacijom, tj. standardiziranim skupom zahtjeva pod nazivom Standardni projekt elektroničkog uredskog poslovanja.</w:t>
      </w:r>
    </w:p>
    <w:p w:rsidR="00D849AA" w:rsidRDefault="00EE6D95">
      <w:pPr>
        <w:pStyle w:val="Naslov1"/>
      </w:pPr>
      <w:r>
        <w:lastRenderedPageBreak/>
        <w:t>051 MINISTARSTVO PODUZETNIŠTVA I OBRTA</w:t>
      </w:r>
    </w:p>
    <w:p w:rsidR="00D849AA" w:rsidRDefault="00EE6D95">
      <w:pPr>
        <w:pStyle w:val="Naslov4"/>
      </w:pPr>
      <w:r>
        <w:t>Uvod</w:t>
      </w:r>
    </w:p>
    <w:p w:rsidR="00D849AA" w:rsidRDefault="00EE6D95">
      <w:pPr>
        <w:pStyle w:val="Normal3"/>
      </w:pPr>
      <w:r>
        <w:t>Ministarstvo poduzetništva i obrta obavlja upravne i druge poslove koji se odnose na malo i srednje poduzetništvo; obrtništvo; zadrugarstvo; poticanje izvoza i stranih ulaganja, te unapređenja konkurentnosti u području maloga i srednjega poduzetništva; ravnomjerni regionalni razvoj poduzetništva; djelovanje instrumenata gospodarskog sustava i mjera gospodarske politike na razvoj obrtništva, zadrugarstva, malog i srednjeg poduzetništva te poslovanje obrtnika i poduzetnika; poticanje primjene inovacija, novih tehnologija i osnivanja i poslovanja slobodnih i poduzetničkih zona u području maloga i srednjega poduzetništva; sustavno poticanje poduzetništva, djelovanje instrumenata gospodarskog sustava i mjera gospodarske politike na razvoj obrtništva, zadrugarstva, maloga i srednjega poduzetništva, te poslovanje obrtnika i poduzetnika; poticanje sudjelovanja malih i srednjih poduzetnika u poslovima javne nabave i javno-privatnog partnerstva; ostvarivanje međunarodne suradnje u području obrtništva te maloga i srednjega poduzetništva; pripreme i provedbu strateških i operativnih dokumenata i programa za korištenje sredstava fondova Europske unije i ostalih međunarodnih izvora financiranja namijenjenih unapređenju konkurentnosti obrtništva, zadrugarstva, maloga i srednjega poduzetništva; pripremu i provedbu posebnih programa Vlade Republike Hrvatske u području ekonomskog razvoja i konkurentnosti obrtništva, zadrugarstva, malog i srednjeg poduzetništva. Tijela koja obuhvaća Razdjel su: 05105 Ministarstvo poduzetništva i obrta, 05110 Hrvatska agencija za malo gospodarstvo i investicije (dalje u tekstu: HAMAG INVEST).</w:t>
      </w:r>
    </w:p>
    <w:tbl>
      <w:tblPr>
        <w:tblStyle w:val="Reetkatablice"/>
        <w:tblW w:w="0" w:type="auto"/>
        <w:jc w:val="center"/>
        <w:tblLook w:val="04A0" w:firstRow="1" w:lastRow="0" w:firstColumn="1" w:lastColumn="0" w:noHBand="0" w:noVBand="1"/>
      </w:tblPr>
      <w:tblGrid>
        <w:gridCol w:w="1486"/>
        <w:gridCol w:w="1486"/>
        <w:gridCol w:w="1496"/>
        <w:gridCol w:w="1486"/>
        <w:gridCol w:w="1486"/>
        <w:gridCol w:w="1486"/>
      </w:tblGrid>
      <w:tr w:rsidR="00D849AA">
        <w:trPr>
          <w:jc w:val="center"/>
        </w:trPr>
        <w:tc>
          <w:tcPr>
            <w:tcW w:w="1486" w:type="dxa"/>
            <w:shd w:val="clear" w:color="auto" w:fill="B5C0D8"/>
          </w:tcPr>
          <w:p w:rsidR="00D849AA" w:rsidRPr="00B151E0" w:rsidRDefault="00D849AA">
            <w:pPr>
              <w:pStyle w:val="CellHeader"/>
            </w:pPr>
          </w:p>
        </w:tc>
        <w:tc>
          <w:tcPr>
            <w:tcW w:w="1486" w:type="dxa"/>
            <w:shd w:val="clear" w:color="auto" w:fill="B5C0D8"/>
          </w:tcPr>
          <w:p w:rsidR="00D849AA" w:rsidRPr="00B151E0" w:rsidRDefault="00EE6D95">
            <w:pPr>
              <w:pStyle w:val="CellHeader"/>
            </w:pPr>
            <w:r w:rsidRPr="00B151E0">
              <w:t>Plan 2013.</w:t>
            </w:r>
          </w:p>
        </w:tc>
        <w:tc>
          <w:tcPr>
            <w:tcW w:w="1486" w:type="dxa"/>
            <w:shd w:val="clear" w:color="auto" w:fill="B5C0D8"/>
          </w:tcPr>
          <w:p w:rsidR="00D849AA" w:rsidRPr="00B151E0" w:rsidRDefault="00EE6D95">
            <w:pPr>
              <w:pStyle w:val="CellHeader"/>
            </w:pPr>
            <w:r w:rsidRPr="00B151E0">
              <w:t>Plan 2014.</w:t>
            </w:r>
          </w:p>
        </w:tc>
        <w:tc>
          <w:tcPr>
            <w:tcW w:w="1486" w:type="dxa"/>
            <w:shd w:val="clear" w:color="auto" w:fill="B5C0D8"/>
          </w:tcPr>
          <w:p w:rsidR="00D849AA" w:rsidRPr="00B151E0" w:rsidRDefault="00EE6D95">
            <w:pPr>
              <w:pStyle w:val="CellHeader"/>
            </w:pPr>
            <w:r w:rsidRPr="00B151E0">
              <w:t>Plan 2015.</w:t>
            </w:r>
          </w:p>
        </w:tc>
        <w:tc>
          <w:tcPr>
            <w:tcW w:w="1486" w:type="dxa"/>
            <w:shd w:val="clear" w:color="auto" w:fill="B5C0D8"/>
          </w:tcPr>
          <w:p w:rsidR="00D849AA" w:rsidRPr="00B151E0" w:rsidRDefault="00EE6D95">
            <w:pPr>
              <w:pStyle w:val="CellHeader"/>
            </w:pPr>
            <w:r w:rsidRPr="00B151E0">
              <w:t>Plan 2016.</w:t>
            </w:r>
          </w:p>
        </w:tc>
        <w:tc>
          <w:tcPr>
            <w:tcW w:w="1486" w:type="dxa"/>
            <w:shd w:val="clear" w:color="auto" w:fill="B5C0D8"/>
          </w:tcPr>
          <w:p w:rsidR="00D849AA" w:rsidRPr="00B151E0" w:rsidRDefault="00EE6D95">
            <w:pPr>
              <w:pStyle w:val="CellHeader"/>
            </w:pPr>
            <w:r w:rsidRPr="00B151E0">
              <w:t>Indeks 2014/2013</w:t>
            </w:r>
          </w:p>
        </w:tc>
      </w:tr>
      <w:tr w:rsidR="00D849AA">
        <w:trPr>
          <w:jc w:val="center"/>
        </w:trPr>
        <w:tc>
          <w:tcPr>
            <w:tcW w:w="1486" w:type="dxa"/>
          </w:tcPr>
          <w:p w:rsidR="00D849AA" w:rsidRPr="00B151E0" w:rsidRDefault="00EE6D95">
            <w:pPr>
              <w:pStyle w:val="CellColumn"/>
            </w:pPr>
            <w:r w:rsidRPr="00B151E0">
              <w:t>05105 Ministarstvo poduzetništva i obrta</w:t>
            </w:r>
          </w:p>
        </w:tc>
        <w:tc>
          <w:tcPr>
            <w:tcW w:w="1486" w:type="dxa"/>
          </w:tcPr>
          <w:p w:rsidR="00D849AA" w:rsidRPr="00B151E0" w:rsidRDefault="00EE6D95">
            <w:pPr>
              <w:rPr>
                <w:rFonts w:ascii="Arial" w:hAnsi="Arial" w:cs="Arial"/>
              </w:rPr>
            </w:pPr>
            <w:r w:rsidRPr="00B151E0">
              <w:rPr>
                <w:rFonts w:ascii="Arial" w:hAnsi="Arial" w:cs="Arial"/>
              </w:rPr>
              <w:t>575.236.481</w:t>
            </w:r>
          </w:p>
        </w:tc>
        <w:tc>
          <w:tcPr>
            <w:tcW w:w="1486" w:type="dxa"/>
          </w:tcPr>
          <w:p w:rsidR="00D849AA" w:rsidRPr="00B151E0" w:rsidRDefault="00EE6D95">
            <w:pPr>
              <w:rPr>
                <w:rFonts w:ascii="Arial" w:hAnsi="Arial" w:cs="Arial"/>
              </w:rPr>
            </w:pPr>
            <w:r w:rsidRPr="00B151E0">
              <w:rPr>
                <w:rFonts w:ascii="Arial" w:hAnsi="Arial" w:cs="Arial"/>
              </w:rPr>
              <w:t>876.455.579</w:t>
            </w:r>
          </w:p>
        </w:tc>
        <w:tc>
          <w:tcPr>
            <w:tcW w:w="1486" w:type="dxa"/>
          </w:tcPr>
          <w:p w:rsidR="00D849AA" w:rsidRPr="00B151E0" w:rsidRDefault="00EE6D95">
            <w:pPr>
              <w:rPr>
                <w:rFonts w:ascii="Arial" w:hAnsi="Arial" w:cs="Arial"/>
              </w:rPr>
            </w:pPr>
            <w:r w:rsidRPr="00B151E0">
              <w:rPr>
                <w:rFonts w:ascii="Arial" w:hAnsi="Arial" w:cs="Arial"/>
              </w:rPr>
              <w:t>549.058.451</w:t>
            </w:r>
          </w:p>
        </w:tc>
        <w:tc>
          <w:tcPr>
            <w:tcW w:w="1486" w:type="dxa"/>
          </w:tcPr>
          <w:p w:rsidR="00D849AA" w:rsidRPr="00B151E0" w:rsidRDefault="00EE6D95">
            <w:pPr>
              <w:rPr>
                <w:rFonts w:ascii="Arial" w:hAnsi="Arial" w:cs="Arial"/>
              </w:rPr>
            </w:pPr>
            <w:r w:rsidRPr="00B151E0">
              <w:rPr>
                <w:rFonts w:ascii="Arial" w:hAnsi="Arial" w:cs="Arial"/>
              </w:rPr>
              <w:t>218.642.296</w:t>
            </w:r>
          </w:p>
        </w:tc>
        <w:tc>
          <w:tcPr>
            <w:tcW w:w="1486" w:type="dxa"/>
          </w:tcPr>
          <w:p w:rsidR="00D849AA" w:rsidRPr="00B151E0" w:rsidRDefault="00EE6D95">
            <w:pPr>
              <w:rPr>
                <w:rFonts w:ascii="Arial" w:hAnsi="Arial" w:cs="Arial"/>
              </w:rPr>
            </w:pPr>
            <w:r w:rsidRPr="00B151E0">
              <w:rPr>
                <w:rFonts w:ascii="Arial" w:hAnsi="Arial" w:cs="Arial"/>
              </w:rPr>
              <w:t>152,4</w:t>
            </w:r>
          </w:p>
        </w:tc>
      </w:tr>
      <w:tr w:rsidR="00D849AA">
        <w:trPr>
          <w:jc w:val="center"/>
        </w:trPr>
        <w:tc>
          <w:tcPr>
            <w:tcW w:w="1486" w:type="dxa"/>
          </w:tcPr>
          <w:p w:rsidR="00D849AA" w:rsidRPr="00B151E0" w:rsidRDefault="00EE6D95">
            <w:pPr>
              <w:pStyle w:val="CellColumn"/>
            </w:pPr>
            <w:r w:rsidRPr="00B151E0">
              <w:t>05110 Hrvatska agencija za malo gospodarstvo i investicije</w:t>
            </w:r>
          </w:p>
        </w:tc>
        <w:tc>
          <w:tcPr>
            <w:tcW w:w="1486" w:type="dxa"/>
          </w:tcPr>
          <w:p w:rsidR="00D849AA" w:rsidRPr="00B151E0" w:rsidRDefault="00EE6D95">
            <w:pPr>
              <w:rPr>
                <w:rFonts w:ascii="Arial" w:hAnsi="Arial" w:cs="Arial"/>
              </w:rPr>
            </w:pPr>
            <w:r w:rsidRPr="00B151E0">
              <w:rPr>
                <w:rFonts w:ascii="Arial" w:hAnsi="Arial" w:cs="Arial"/>
              </w:rPr>
              <w:t>125.219.881</w:t>
            </w:r>
          </w:p>
        </w:tc>
        <w:tc>
          <w:tcPr>
            <w:tcW w:w="1486" w:type="dxa"/>
          </w:tcPr>
          <w:p w:rsidR="00D849AA" w:rsidRPr="00B151E0" w:rsidRDefault="00EE6D95">
            <w:pPr>
              <w:rPr>
                <w:rFonts w:ascii="Arial" w:hAnsi="Arial" w:cs="Arial"/>
              </w:rPr>
            </w:pPr>
            <w:r w:rsidRPr="00B151E0">
              <w:rPr>
                <w:rFonts w:ascii="Arial" w:hAnsi="Arial" w:cs="Arial"/>
              </w:rPr>
              <w:t>158.164.504</w:t>
            </w:r>
          </w:p>
        </w:tc>
        <w:tc>
          <w:tcPr>
            <w:tcW w:w="1486" w:type="dxa"/>
          </w:tcPr>
          <w:p w:rsidR="00D849AA" w:rsidRPr="00B151E0" w:rsidRDefault="00EE6D95">
            <w:pPr>
              <w:rPr>
                <w:rFonts w:ascii="Arial" w:hAnsi="Arial" w:cs="Arial"/>
              </w:rPr>
            </w:pPr>
            <w:r w:rsidRPr="00B151E0">
              <w:rPr>
                <w:rFonts w:ascii="Arial" w:hAnsi="Arial" w:cs="Arial"/>
              </w:rPr>
              <w:t>101.142.000</w:t>
            </w:r>
          </w:p>
        </w:tc>
        <w:tc>
          <w:tcPr>
            <w:tcW w:w="1486" w:type="dxa"/>
          </w:tcPr>
          <w:p w:rsidR="00D849AA" w:rsidRPr="00B151E0" w:rsidRDefault="00EE6D95">
            <w:pPr>
              <w:rPr>
                <w:rFonts w:ascii="Arial" w:hAnsi="Arial" w:cs="Arial"/>
              </w:rPr>
            </w:pPr>
            <w:r w:rsidRPr="00B151E0">
              <w:rPr>
                <w:rFonts w:ascii="Arial" w:hAnsi="Arial" w:cs="Arial"/>
              </w:rPr>
              <w:t>127.808.000</w:t>
            </w:r>
          </w:p>
        </w:tc>
        <w:tc>
          <w:tcPr>
            <w:tcW w:w="1486" w:type="dxa"/>
          </w:tcPr>
          <w:p w:rsidR="00D849AA" w:rsidRPr="00B151E0" w:rsidRDefault="00EE6D95">
            <w:pPr>
              <w:rPr>
                <w:rFonts w:ascii="Arial" w:hAnsi="Arial" w:cs="Arial"/>
              </w:rPr>
            </w:pPr>
            <w:r w:rsidRPr="00B151E0">
              <w:rPr>
                <w:rFonts w:ascii="Arial" w:hAnsi="Arial" w:cs="Arial"/>
              </w:rPr>
              <w:t>126,3</w:t>
            </w:r>
          </w:p>
        </w:tc>
      </w:tr>
      <w:tr w:rsidR="00D849AA">
        <w:trPr>
          <w:jc w:val="center"/>
        </w:trPr>
        <w:tc>
          <w:tcPr>
            <w:tcW w:w="1486" w:type="dxa"/>
            <w:shd w:val="clear" w:color="auto" w:fill="B5C0D8"/>
          </w:tcPr>
          <w:p w:rsidR="00D849AA" w:rsidRPr="00B151E0" w:rsidRDefault="00EE6D95">
            <w:pPr>
              <w:pStyle w:val="CellColumn"/>
            </w:pPr>
            <w:r w:rsidRPr="00B151E0">
              <w:t>Ukupno 051</w:t>
            </w:r>
          </w:p>
        </w:tc>
        <w:tc>
          <w:tcPr>
            <w:tcW w:w="1486" w:type="dxa"/>
            <w:shd w:val="clear" w:color="auto" w:fill="B5C0D8"/>
          </w:tcPr>
          <w:p w:rsidR="00D849AA" w:rsidRPr="00B151E0" w:rsidRDefault="00EE6D95">
            <w:pPr>
              <w:rPr>
                <w:rFonts w:ascii="Arial" w:hAnsi="Arial" w:cs="Arial"/>
              </w:rPr>
            </w:pPr>
            <w:r w:rsidRPr="00B151E0">
              <w:rPr>
                <w:rFonts w:ascii="Arial" w:hAnsi="Arial" w:cs="Arial"/>
              </w:rPr>
              <w:t>700.456.362</w:t>
            </w:r>
          </w:p>
        </w:tc>
        <w:tc>
          <w:tcPr>
            <w:tcW w:w="1486" w:type="dxa"/>
            <w:shd w:val="clear" w:color="auto" w:fill="B5C0D8"/>
          </w:tcPr>
          <w:p w:rsidR="00D849AA" w:rsidRPr="00B151E0" w:rsidRDefault="00EE6D95">
            <w:pPr>
              <w:rPr>
                <w:rFonts w:ascii="Arial" w:hAnsi="Arial" w:cs="Arial"/>
              </w:rPr>
            </w:pPr>
            <w:r w:rsidRPr="00B151E0">
              <w:rPr>
                <w:rFonts w:ascii="Arial" w:hAnsi="Arial" w:cs="Arial"/>
              </w:rPr>
              <w:t>1.034.620.083</w:t>
            </w:r>
          </w:p>
        </w:tc>
        <w:tc>
          <w:tcPr>
            <w:tcW w:w="1486" w:type="dxa"/>
            <w:shd w:val="clear" w:color="auto" w:fill="B5C0D8"/>
          </w:tcPr>
          <w:p w:rsidR="00D849AA" w:rsidRPr="00B151E0" w:rsidRDefault="00EE6D95">
            <w:pPr>
              <w:rPr>
                <w:rFonts w:ascii="Arial" w:hAnsi="Arial" w:cs="Arial"/>
              </w:rPr>
            </w:pPr>
            <w:r w:rsidRPr="00B151E0">
              <w:rPr>
                <w:rFonts w:ascii="Arial" w:hAnsi="Arial" w:cs="Arial"/>
              </w:rPr>
              <w:t>650.200.451</w:t>
            </w:r>
          </w:p>
        </w:tc>
        <w:tc>
          <w:tcPr>
            <w:tcW w:w="1486" w:type="dxa"/>
            <w:shd w:val="clear" w:color="auto" w:fill="B5C0D8"/>
          </w:tcPr>
          <w:p w:rsidR="00D849AA" w:rsidRPr="00B151E0" w:rsidRDefault="00EE6D95">
            <w:pPr>
              <w:rPr>
                <w:rFonts w:ascii="Arial" w:hAnsi="Arial" w:cs="Arial"/>
              </w:rPr>
            </w:pPr>
            <w:r w:rsidRPr="00B151E0">
              <w:rPr>
                <w:rFonts w:ascii="Arial" w:hAnsi="Arial" w:cs="Arial"/>
              </w:rPr>
              <w:t>346.450.296</w:t>
            </w:r>
          </w:p>
        </w:tc>
        <w:tc>
          <w:tcPr>
            <w:tcW w:w="1486" w:type="dxa"/>
            <w:shd w:val="clear" w:color="auto" w:fill="B5C0D8"/>
          </w:tcPr>
          <w:p w:rsidR="00D849AA" w:rsidRPr="00B151E0" w:rsidRDefault="00EE6D95">
            <w:pPr>
              <w:rPr>
                <w:rFonts w:ascii="Arial" w:hAnsi="Arial" w:cs="Arial"/>
              </w:rPr>
            </w:pPr>
            <w:r w:rsidRPr="00B151E0">
              <w:rPr>
                <w:rFonts w:ascii="Arial" w:hAnsi="Arial" w:cs="Arial"/>
              </w:rPr>
              <w:t>147,7</w:t>
            </w:r>
          </w:p>
        </w:tc>
      </w:tr>
    </w:tbl>
    <w:p w:rsidR="00D849AA" w:rsidRDefault="00D849AA">
      <w:pPr>
        <w:jc w:val="left"/>
      </w:pPr>
    </w:p>
    <w:p w:rsidR="00D849AA" w:rsidRDefault="00EE6D95">
      <w:pPr>
        <w:pStyle w:val="Naslov2"/>
      </w:pPr>
      <w:r>
        <w:t>05105 Ministarstvo poduzetništva i obrta</w:t>
      </w:r>
    </w:p>
    <w:p w:rsidR="00D849AA" w:rsidRDefault="00EE6D95">
      <w:pPr>
        <w:pStyle w:val="Naslov4"/>
      </w:pPr>
      <w:r>
        <w:t>Uvod</w:t>
      </w:r>
    </w:p>
    <w:p w:rsidR="00D849AA" w:rsidRDefault="00EE6D95">
      <w:pPr>
        <w:pStyle w:val="Normal3"/>
      </w:pPr>
      <w:r>
        <w:t xml:space="preserve">Ministarstvo poduzetništva i obrta kroz mjere za jačanje konkurentnosti malog i srednjeg poduzetništva provodi gospodarske mjere sukladno cilju gospodarske politike, a to je do 2015. godine postupno povećavati stopu rasta gospodarstva kako bi se do 2015. godine kretala na razini od oko 5%. Opći cilj Ministarstva poduzetništva i obrta u sektoru malog gospodarstva u Hrvatskoj je unaprijediti politike i mjere poticanja razvoja malog gospodarstva. U cilju jačanja položaja i uloge malog i srednjeg poduzetništva te obrtništva, sukladno programu Vlade Republike za mandat 2011-2015, kroz programe horizontalnih potpora, navedenom sektoru osigurati će se </w:t>
      </w:r>
      <w:r>
        <w:lastRenderedPageBreak/>
        <w:t>preduvjeti za rast investicija te konkurentno i na znanju temeljeno gospodarstvo. Pokazatelji poslovanja malog gospodarstva u Republici Hrvatskoj, u usporedbi s ostalim europskim zemljama, ne pokazuju velika odstupanja, a po udjelu u ukupnom gospodarstvu malo i srednje poduzetništvo je izjednačeno pokazateljima u EU. Za osnaživanje konkurentnosti značajno je stvaranje uvjeta za produktivnije poslovanje poduzetnika koje doprinosi međunarodnoj konkurentnosti. Sustav poticaja poduzetništva i obrta obuhvaća potpore namijenjene rastu proizvodnih gospodarskih subjekata i brzo rastućim djelatnostima kojima je cilj povećanje udjela gospodarstva temeljenog na visokim tehnologijama. Potporama za povećanje ukupnih ulaganja u razvojne projekte malog i srednjeg poduzetništva imaju za cilj podizanje ukupne razine gospodarskih djelatnosti kojima su poslovni rezultat novi proizvodi i nove vrijednosti, te izvoz uz primjenu EU i međunarodnih normi. Poticanjem razvoja malog i srednjeg poduzetništva kroz projekte i mjere, potiče se gospodarske subjekte na primjenu novih tehnologija i prijenos znanja (know-how), uvođenje međunarodnih standarda, tržišno pozicioniranje te na zaštitu intelektualnog i industrijskog vlasništva. Hrvatskom poduzetništvu, osobito proizvođačkom sektoru, nužna je intenzivna tehnološka obnova kako bi se u srednjem i dugom roku povećala produktivnost i konkurentnost na domaćem, ali i na međunarodnom tržištu, te osigurao rast poslovnih aktivnosti. Sustavnim pristupom poticanju istraživanja i razvoja, kreativnosti te inovacijskih aktivnosti, odnosno razvoju novih proizvoda i usluga srednje i visoke tehnološke razine, koji su temelj za ostvarivanje veće dodane vrijednosti, omogućiti će se jačanje konkurentske pozicije na tržištu. Provoditi će se posebni poticaji za poduzetničko aktiviranje i programe poduzetničkog obrazovanja za zapošljavanje mladih i visokoobrazovanih ljudi. Posebne mjere usmjeriti će se na poduzetništvo žena i zapošljavanje žena s naglaskom na tzv. teže zapošljive skupine. Koordinacijom poticajnih mjera i podrškom daljnjem razvoju aktivnih poduzetničkih zona, poslovne infrastrukture i potpornih institucija poduzetništva povećat će se učinkovitost i pristupačnost poduzetničke infrastrukture i stvoriti jača podrška potrebna poslovanju malog i srednjeg poduzetništva naročito u uvjetima ulaska i konkurentnosti na zajedničkom tržištu EU. Ukupan razvoj poduzetništva i obrtništva kroz sustav poticaja zadržat će se programskom obliku, «Poduzetničkom impulsu» za 2014. godinu. Malom i srednjem poduzetništvu i obrtništvu osim „Poduzetničkog impulsa“ namijenjen je i Operativni program za regionalnu konkurentnost iz EU IPA sredstava, sastavnica III C (Prioritet 2. Jačanje konkurentnosti hrvatskog gospodarstva, Mjera 2.1. Poboljšanje poslovne klime). Ministarstvo obavlja upravne i druge poslove koji se odnose na sudjelovanje u radu tijela Europske unije na područjima iz nadležnosti ministarstva.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05105</w:t>
            </w:r>
          </w:p>
        </w:tc>
        <w:tc>
          <w:tcPr>
            <w:tcW w:w="1486" w:type="dxa"/>
          </w:tcPr>
          <w:p w:rsidR="00D849AA" w:rsidRDefault="00EE6D95">
            <w:r>
              <w:t>575.236.481</w:t>
            </w:r>
          </w:p>
        </w:tc>
        <w:tc>
          <w:tcPr>
            <w:tcW w:w="1486" w:type="dxa"/>
          </w:tcPr>
          <w:p w:rsidR="00D849AA" w:rsidRDefault="00EE6D95">
            <w:r>
              <w:t>876.455.579</w:t>
            </w:r>
          </w:p>
        </w:tc>
        <w:tc>
          <w:tcPr>
            <w:tcW w:w="1486" w:type="dxa"/>
          </w:tcPr>
          <w:p w:rsidR="00D849AA" w:rsidRDefault="00EE6D95">
            <w:r>
              <w:t>549.058.451</w:t>
            </w:r>
          </w:p>
        </w:tc>
        <w:tc>
          <w:tcPr>
            <w:tcW w:w="1486" w:type="dxa"/>
          </w:tcPr>
          <w:p w:rsidR="00D849AA" w:rsidRDefault="00EE6D95">
            <w:r>
              <w:t>218.642.296</w:t>
            </w:r>
          </w:p>
        </w:tc>
        <w:tc>
          <w:tcPr>
            <w:tcW w:w="1486" w:type="dxa"/>
          </w:tcPr>
          <w:p w:rsidR="00D849AA" w:rsidRDefault="00EE6D95">
            <w:r>
              <w:t>152,4</w:t>
            </w:r>
          </w:p>
        </w:tc>
      </w:tr>
    </w:tbl>
    <w:p w:rsidR="00D849AA" w:rsidRDefault="00D849AA">
      <w:pPr>
        <w:jc w:val="left"/>
      </w:pPr>
    </w:p>
    <w:p w:rsidR="00D849AA" w:rsidRDefault="00EE6D95">
      <w:pPr>
        <w:pStyle w:val="Naslov4"/>
      </w:pPr>
      <w:r>
        <w:t>OBRAZLOŽENJE PROGRAMA</w:t>
      </w:r>
    </w:p>
    <w:p w:rsidR="00D849AA" w:rsidRDefault="00EE6D95">
      <w:pPr>
        <w:pStyle w:val="Naslov5"/>
      </w:pPr>
      <w:r>
        <w:t>3202 JAČANJE KONKURENTNOSTI MALOG I SREDNJEG PODUZETNIŠTVA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3202</w:t>
            </w:r>
          </w:p>
        </w:tc>
        <w:tc>
          <w:tcPr>
            <w:tcW w:w="1486" w:type="dxa"/>
          </w:tcPr>
          <w:p w:rsidR="00D849AA" w:rsidRDefault="00EE6D95">
            <w:r>
              <w:t>575.236.481</w:t>
            </w:r>
          </w:p>
        </w:tc>
        <w:tc>
          <w:tcPr>
            <w:tcW w:w="1486" w:type="dxa"/>
          </w:tcPr>
          <w:p w:rsidR="00D849AA" w:rsidRDefault="00EE6D95">
            <w:r>
              <w:t>876.455.579</w:t>
            </w:r>
          </w:p>
        </w:tc>
        <w:tc>
          <w:tcPr>
            <w:tcW w:w="1486" w:type="dxa"/>
          </w:tcPr>
          <w:p w:rsidR="00D849AA" w:rsidRDefault="00EE6D95">
            <w:r>
              <w:t>549.058.451</w:t>
            </w:r>
          </w:p>
        </w:tc>
        <w:tc>
          <w:tcPr>
            <w:tcW w:w="1486" w:type="dxa"/>
          </w:tcPr>
          <w:p w:rsidR="00D849AA" w:rsidRDefault="00EE6D95">
            <w:r>
              <w:t>218.642.296</w:t>
            </w:r>
          </w:p>
        </w:tc>
        <w:tc>
          <w:tcPr>
            <w:tcW w:w="1486" w:type="dxa"/>
          </w:tcPr>
          <w:p w:rsidR="00D849AA" w:rsidRDefault="00EE6D95">
            <w:r>
              <w:t>152,4</w:t>
            </w:r>
          </w:p>
        </w:tc>
      </w:tr>
    </w:tbl>
    <w:p w:rsidR="00D849AA" w:rsidRDefault="00D849AA">
      <w:pPr>
        <w:jc w:val="left"/>
      </w:pPr>
    </w:p>
    <w:p w:rsidR="00D849AA" w:rsidRDefault="00EE6D95">
      <w:pPr>
        <w:pStyle w:val="Naslov6"/>
      </w:pPr>
      <w:r>
        <w:lastRenderedPageBreak/>
        <w:t>Opis programa</w:t>
      </w:r>
    </w:p>
    <w:p w:rsidR="00D849AA" w:rsidRDefault="00EE6D95">
      <w:pPr>
        <w:pStyle w:val="Normal5"/>
      </w:pPr>
      <w:r>
        <w:t xml:space="preserve">Ukupan razvoj poduzetništva i obrtništva kroz sustav poticaja u glavnini će se zadržati u «Poduzetničkom impulsu» za 2014. godinu kroz temeljna programska područja kojima se jača konkurentnost, povoljno financira i jamstvima olakšava ulaganja u poduzetništvo i obrtništvo kao i održava kontinuitet u obrazovanju za poduzetništvo i obrtništvo i unaprjeđuje poduzetnička infrastruktura. EU projekti i institucionalna podrška razvoju poduzetništva i obrta uskladit će se uvjetima u kojima je Hrvatska punopravna članica EU. Poduzetnički impuls – Program poticanja poduzetništva i obrtništva za 2014. godinu slijedi Strategiju razvoja poduzetništva 2014-2020. Opći strateški cilj je povećanje konkurentnosti maloga gospodarstva u Hrvatskoj. Realizacija općeg cilja ostvarit će se mjerama koje će se odnositi na pet strateških ciljeva: </w:t>
      </w:r>
    </w:p>
    <w:p w:rsidR="00D849AA" w:rsidRDefault="00EE6D95">
      <w:pPr>
        <w:pStyle w:val="Normal5"/>
      </w:pPr>
      <w:r>
        <w:t xml:space="preserve">1. POBOLJŠANJE EKONOMSKE USPJEŠNOSTI - Unapređenje ekonomske uspješnosti maloga gospodarstva u sektorima proizvođačkih i uslužnih djelatnosti većim ulaganjem u R&amp;D, višim stupnjem inovacija, rastom izvoza te daljnjim razvojem poslovnih mreža i povezanosti. </w:t>
      </w:r>
    </w:p>
    <w:p w:rsidR="00D849AA" w:rsidRDefault="00EE6D95">
      <w:pPr>
        <w:pStyle w:val="Normal5"/>
      </w:pPr>
      <w:r>
        <w:t xml:space="preserve">2. POBOLJŠAN PRISTUP FINANCIRANJU - Razvijanje raznih financijskih mogućnosti za subjekte maloga gospodarstva i uklanjanje financijskog jaza za malo gospodarstvo. </w:t>
      </w:r>
    </w:p>
    <w:p w:rsidR="00D849AA" w:rsidRDefault="00EE6D95">
      <w:pPr>
        <w:pStyle w:val="Normal5"/>
      </w:pPr>
      <w:r>
        <w:t xml:space="preserve">3. PROMOCIJA PODUZETNIŠTVA - Pružanje potpore osnivanju novih poduzeća, rast broja aktivnih poduzeća i jačanje institucija koje pružaju potporu poduzetnicima kako bi se na taj način pridonijelo ravnomjernijem i uravnoteženom razvoju hrvatskih regija. </w:t>
      </w:r>
    </w:p>
    <w:p w:rsidR="00D849AA" w:rsidRDefault="00EE6D95">
      <w:pPr>
        <w:pStyle w:val="Normal5"/>
      </w:pPr>
      <w:r>
        <w:t xml:space="preserve">4. POBOLJŠANJE PODUZETNICKIH VJEŠTINA - Pružanje potpore većem razvoju subjekata maloga gospodarstva jačanjem njihove uprave, uvođenjem i djelovanjem većeg broja visokokvalificiranih zaposlenika te podupiranjem </w:t>
      </w:r>
    </w:p>
    <w:p w:rsidR="00D849AA" w:rsidRDefault="00EE6D95">
      <w:pPr>
        <w:pStyle w:val="Normal5"/>
      </w:pPr>
      <w:r>
        <w:t xml:space="preserve">cjeloživotnog učenja zaposlenih u subjektima maloga gospodarstva. </w:t>
      </w:r>
    </w:p>
    <w:p w:rsidR="00D849AA" w:rsidRDefault="00EE6D95">
      <w:pPr>
        <w:pStyle w:val="Normal5"/>
      </w:pPr>
      <w:r>
        <w:t xml:space="preserve">5. POBOLJŠANO POSLOVNO OKRUŽENJE - Nadgradnja ostvarenog napretka uklanjanjem preostalih administrativnih opterećenja i olakšavanjem poslovanja u Hrvatskoj. </w:t>
      </w:r>
    </w:p>
    <w:p w:rsidR="00D849AA" w:rsidRDefault="00EE6D95">
      <w:pPr>
        <w:pStyle w:val="Normal5"/>
      </w:pPr>
      <w:r>
        <w:t xml:space="preserve"> </w:t>
      </w:r>
    </w:p>
    <w:p w:rsidR="00D849AA" w:rsidRDefault="00EE6D95">
      <w:pPr>
        <w:pStyle w:val="Normal5"/>
      </w:pPr>
      <w:r>
        <w:t xml:space="preserve">Republika Hrvatska ulaskom u Europsku Uniju ima na raspolaganju sredstva iz Strukturnih fondova, odnosno Europskog fonda za regionalni razvoj (ERDF) namijenjenih postizanju ujednačenog razvoja svih država, odnosno regija Europske unije te financiranju provedbe aktivnosti koje proizlaze iz zajedničkih europskih politika. </w:t>
      </w:r>
    </w:p>
    <w:p w:rsidR="00D849AA" w:rsidRDefault="00EE6D95">
      <w:pPr>
        <w:pStyle w:val="Normal5"/>
      </w:pPr>
      <w:r>
        <w:t xml:space="preserve">Sukladno Zakonu o uspostavi institucionalnog okvira za korištenje strukturnih instrumenata Europske unije u Republici Hrvatskoj („Narodne novine“ br. 78/2012) i Uredbi o tijelima u sustavu upravljanja i kontrole korištenja strukturnih instrumenata Europske unije u Republici Hrvatskoj („Narodne novine“ broj 97/2012), Ministarstvo poduzetništva i obrta je imenovano Provedbenim tijelom razine 1 (članak 8. navedene Uredbe) za provedbu prioritetne osi 2 – intervencije iz područja malog i srednjeg poduzetništva i poslovne klime Operativnog programa Regionalna konkurentnost 2007-2013 (OPRK 2007-2013). </w:t>
      </w:r>
    </w:p>
    <w:p w:rsidR="00D849AA" w:rsidRDefault="00EE6D95">
      <w:pPr>
        <w:pStyle w:val="Normal5"/>
      </w:pPr>
      <w:r>
        <w:t xml:space="preserve">Natječaji u nadležnosti Ministarstva poduzetništva i obrta sukladni su Europskoj strategiji za pametan, održiv i uključiv rast – EUROPA 2020, općem strateškom cilju Strategije razvoja poduzetništva 2013.-2020. godine – povećanju konkurentnosti malih i srednjih poduzetnika u Hrvatskoj i Nacionalnom strateškom referentnom okviru 2013 i Operativnom programu za regionalnu konkurentnost 2007-2013. </w:t>
      </w:r>
    </w:p>
    <w:p w:rsidR="00D849AA" w:rsidRDefault="00EE6D95">
      <w:pPr>
        <w:pStyle w:val="Normal5"/>
      </w:pPr>
      <w:r>
        <w:t xml:space="preserve">Pravo na dodjelu bespovratnih sredstava iz Europskih fondova, odnosno konkretno iz Europskog fonda za regionalni razvoj (EFRR), mali i srednji poduzetnici mogu ostvariti putem javnog natječaja.  </w:t>
      </w:r>
    </w:p>
    <w:p w:rsidR="00D849AA" w:rsidRDefault="00EE6D95">
      <w:pPr>
        <w:pStyle w:val="Normal5"/>
      </w:pPr>
      <w:r>
        <w:t xml:space="preserve">Natječaji su namijenjeni pravnim i fizičkim osobama koje se definiraju kao subjekti malog gospodarstva, prijavitelj treba imati sjedište na području Republike Hrvatske te je bitno da se </w:t>
      </w:r>
      <w:r>
        <w:lastRenderedPageBreak/>
        <w:t xml:space="preserve">projekt provodi na teritoriju Republike Hrvatske. Pri tom osnivač tvrtke može biti osoba i/ ili tvrtka iz drugih zemalja (EU ili drugih). </w:t>
      </w:r>
    </w:p>
    <w:p w:rsidR="00D849AA" w:rsidRDefault="00EE6D95">
      <w:pPr>
        <w:pStyle w:val="Normal5"/>
      </w:pPr>
      <w:r>
        <w:t xml:space="preserve">Planira se objava dvije sheme potpora ukupne vrijednosti preko 33 milijuna EUR: </w:t>
      </w:r>
    </w:p>
    <w:p w:rsidR="00D849AA" w:rsidRDefault="00EE6D95">
      <w:pPr>
        <w:pStyle w:val="Normal5"/>
      </w:pPr>
      <w:r>
        <w:t>1.</w:t>
      </w:r>
      <w:r>
        <w:tab/>
        <w:t xml:space="preserve">Povećanje gospodarske aktivnosti i konkurentnosti malih i srednjih poduzeća (Increasing SME’s economic activity and competitiveness) – prema Općim pravilima o skupnim izuzećima (GBER) sukladno Karti regionalnih potpora  </w:t>
      </w:r>
    </w:p>
    <w:p w:rsidR="00D849AA" w:rsidRDefault="00EE6D95">
      <w:pPr>
        <w:pStyle w:val="Normal5"/>
      </w:pPr>
      <w:r>
        <w:t>2.</w:t>
      </w:r>
      <w:r>
        <w:tab/>
        <w:t xml:space="preserve">Primjena informacijske i komunikacijske tehnologije za poboljšanje poslovnih procesa (Implementation of ICT for Improvement of Business Processes) – prema pravilima o potporama male vrijednosti (de minimis). </w:t>
      </w:r>
    </w:p>
    <w:p w:rsidR="00D849AA" w:rsidRDefault="00EE6D95">
      <w:pPr>
        <w:pStyle w:val="Normal5"/>
      </w:pPr>
      <w:r>
        <w:t xml:space="preserve"> </w:t>
      </w:r>
    </w:p>
    <w:p w:rsidR="00D849AA" w:rsidRDefault="00EE6D95">
      <w:pPr>
        <w:pStyle w:val="Normal5"/>
      </w:pPr>
      <w:r>
        <w:t xml:space="preserve">Obuhvat bespovratnih potpora provedenih u 2013. godini se zadržava, odnosno, provedba mjera temelji na manjem broju mjera i većem iznosu potpora, a mjere se provode i potpore odobravaju temeljem projektnog sažetka (sažeti opis ulaganja s vremenskim okvirom i utjecajem na rezultate poslovanja) koji prati takve dokumente u sustavu darovnica (grant shema) EU. Utvrđuju se zajednički uvjeti i kriteriji na razini svake programske skupine i posebni uvjeti i kriteriji povezani s potprogramima tj. mjerama, a uz provedbene pokazatelje mjere se pokazatelji rezultata i ocjenjivat će se učinak mjera prema metodi koja je u izradi. U provedbi će se učiniti daljnja poboljšanja infrastrukture za provedbu poticajnih mjera kroz elektroničke prijave i elektroničku komunikaciju, te smanjiti dokumentacija.  </w:t>
      </w:r>
    </w:p>
    <w:p w:rsidR="00D849AA" w:rsidRDefault="00EE6D95">
      <w:pPr>
        <w:pStyle w:val="Normal5"/>
      </w:pPr>
      <w:r>
        <w:t xml:space="preserve"> </w:t>
      </w:r>
    </w:p>
    <w:p w:rsidR="00D849AA" w:rsidRDefault="00EE6D95">
      <w:pPr>
        <w:pStyle w:val="Normal5"/>
      </w:pPr>
      <w:r>
        <w:t xml:space="preserve">Za očekivati je da će se u 2014. godini nacionalni poticaji iz sredstava proračuna smanjiti radi prilagodbe financiranju iz sredstava EU i usmjeriti kroz poseban program sa specifičnim mjerama za malo i srednje poduzetništvo i obrtništvo. U tom slučaju plan poticanja poduzetništva i obrtništva kao programski dokument postao bi dopuna programima za Strukturne fondove EU, a planira se provedbenim mjerama obuhvatiti strateško poslovno planiranje i upravljanje, aktivnosti podrške i pomoći malom gospodarstvu za poslovanje na izvoznim tržištima (koje nije moguće programirati u okviru Strukturnih fondova) i tehnička pomoć korisnicima, izravno ili neizravno kroz mrežu potpornih institucija poduzetništva, na pripremi kvalitetnih projekata za financiranje iz programa pod Strukturnim fondovima EU. Izmjenama i dopunama Zakona o poticanju razvoja malog gospodarstva (NN br. 29/02, 63/07, 53/12 i 56/13) definicija mikro, malih i srednjih poduzeća usklađena je s istovjetnom definicijom Europske komisije (EK), Europske investicijske banke (EIB) i Europskog investicijskog fonda (EIF), čime su stvoreni preduvjeti za bolje iskorištenje mehanizama potpora namijenjenih srednjem i malom poduzetništvu kroz programe EU. Dio izmjena i dopuna navedenog Zakona odnosi se na djelatnost HAMAG INVEST-a, tj. novu ulogu HAMAG INVEST-a u privlačenju investicija u malo i srednje gospodarstvo. Cilj je da HAMAG INVEST bude potpora zakonodavcu za predlaganje mjera uklanjanja birokratskih i ostalih prepreka za investiranje. Isto tako, povećanjem Jamstvenog fonda Agencije i provedbom novih jamstvenih programa omogućuje se kreditiranje prilagođeno potrebama poduzetnika i poduzetničkih projekata. Uvedena su jamstva za leasing i činidbena jamstva, značajno su poboljšani uvjeti financiranja inovacija te povećani maksimalni iznosi jamstava. HAMAG INVEST pruža savjetodavnu i operativnu podršku potencijalnim investitorima kroz informacije gdje mogu ulagati (stvaranje investicijske karte Republike Hrvatske), informacije u što mogu ulagati (stvaranje kataloga investicijskih projekata RH) te informacije o poticajima i regulativi. HAMAG INVEST nastavlja s provedbom aktivnosti osobnih menadžera za investicijske projekte kojima je zadaća uklanjanje birokratskih prepreka, kulturoloških i poslovnih razlika i predstavljanje komparativnih prednosti RH, organizacija susreta između stranih investitora i domaćih poduzetnika, organizacija međunarodnih foruma, konferencija i sudjelovanje na sajmovima). Od 1. srpnja 2014. Izmjenama i dopunama Zakona o poticanju razvoja malog gospodarstva predviđena je provedba spajanja HAMAG INVEST-a i Poslovno inovacijske agencije BICRO.  Novim Zakonom o poticanju investicija i unapređenju </w:t>
      </w:r>
      <w:r>
        <w:lastRenderedPageBreak/>
        <w:t>investicijskog okruženja (NN 11/12) osiguran je potreban pravni okvir kojim će se stvoriti pretpostavke za povećanje broja, ali i kvalitete, investicijskih projekata u realizaciji radi unosa nove opreme i suvremenih tehnologija, veće zaposlenosti i izobrazbe zaposlenika, razvoja proizvoda i usluga više dodane vrijednosti, povećanja poduzetničke konkurentnosti, ravnomjernog regionalnog razvoja te učinkovitijeg raspolaganja resursima i korištenja teritorijalnog kapitala. Poticanje investicija i unapređenje investicijsko poduzetničkog okruženja predstavlja sustav poticajnih mjera za investiranje i poticajnih mjera za pravovremeno ostvarenje potrebnih investicijskih aktivnosti u okviru potpune usklađenosti predmetnog investicijskog projekta s pravnom stečevinom koja određuje način i rokove ispunjenja svih potrebnih investicijskih aktivnosti. Poticajne mjere uređene ovim Zakonom odnose se na projekte investiranja i jačanja konkurentske sposobnosti u proizvodno-prerađivačkim aktivnostima, razvojno-inovacijskim aktivnostima, aktivnostima poslovne podrške i aktivnostima usluga visoke dodane vrijednosti i turističkim aktivnostima. Poticajne mjere obuhvaćaju poticaje za mikro-poduzetnike, porezne poticaje, carinske poticaje, poticaje za opravdane troškove novih radnih mjesta povezanih s investicijskim projektom, poticaje za opravdane troškove usavršavanja povezanih s investicijskim projektom. Ministarstvo će u narednom razdoblju pokrenuti aktivnosti na izmjenama i dopunama zakonodavstva iz svoje nadležnosti u cilju njegova poboljšanja i usklađivanja s uvjetima poslovanja malih i srednjih poduzetnika na zajedničkom tržištu EU: - izmijeniti će se i dopuniti Zakon o obrtu (NN 77/93, 90/96, 102/98, 64/01, 71/01, 49/03- Pročišćeni tekst, 68/07, 79/07 i 40/10)- Novi Zakon o zadrugama (NN 31/2011) također će se analizirati i izraditi odgovarajući prijedlozi izmjena i dopuna - isto tako i Novi Zakon o zabrani i sprječavanju obavljanja neregistrirane djelatnosti (NN 61/2011) - razmatra se izmjena i dopuna ili izrada novog Zakona o slobodnim zonama, - razmotrit će se potreba zakonskog uređivanja poticajnih ulaganja u izgradnju poduzetničkih i poslovnih zona, - posebno će se analizirati i uključivati u koordinacije, te davati prijedlozi za izmjene zakonodavstva povezanog s poslovnim okruženjem i drugim propisima kojima je posljedica otežano poslovanje ili prevelika normiranost koja je prepreka poboljšanju obavljanja poduzetničkih djelatnosti.</w:t>
      </w:r>
    </w:p>
    <w:p w:rsidR="00D849AA" w:rsidRDefault="00EE6D95">
      <w:pPr>
        <w:pStyle w:val="Naslov6"/>
      </w:pPr>
      <w:r>
        <w:t>Zakonske i druge pravne osnove</w:t>
      </w:r>
    </w:p>
    <w:p w:rsidR="00D849AA" w:rsidRDefault="00EE6D95">
      <w:pPr>
        <w:pStyle w:val="Normal5"/>
      </w:pPr>
      <w:r>
        <w:t xml:space="preserve">Zakon o poticanju razvoja malog gospodarstva (NN 29/02) i Zakon o izmjenama i dopunama Zakona o poticanju razvoja malog gospodarstva (NN 63/07, 53/12 i 56/13);  </w:t>
      </w:r>
    </w:p>
    <w:p w:rsidR="00D849AA" w:rsidRDefault="00EE6D95">
      <w:pPr>
        <w:pStyle w:val="Normal5"/>
      </w:pPr>
      <w:r>
        <w:t xml:space="preserve">- Zakon o poticanju ulaganja i izmjene i dopune (NN 138/06, 61/11)  </w:t>
      </w:r>
    </w:p>
    <w:p w:rsidR="00D849AA" w:rsidRDefault="00EE6D95">
      <w:pPr>
        <w:pStyle w:val="Normal5"/>
      </w:pPr>
      <w:r>
        <w:t xml:space="preserve">- Zakon o državnim potporama (NN 140/05);  </w:t>
      </w:r>
    </w:p>
    <w:p w:rsidR="00D849AA" w:rsidRDefault="00EE6D95">
      <w:pPr>
        <w:pStyle w:val="Normal5"/>
      </w:pPr>
      <w:r>
        <w:t xml:space="preserve">- Uredba o državnim potporama (50/06);  </w:t>
      </w:r>
    </w:p>
    <w:p w:rsidR="00D849AA" w:rsidRDefault="00EE6D95">
      <w:pPr>
        <w:pStyle w:val="Normal5"/>
      </w:pPr>
      <w:r>
        <w:t xml:space="preserve">- Odluka o objavljivanju pravila o potporama male vrijednosti (NN 45/07);  </w:t>
      </w:r>
    </w:p>
    <w:p w:rsidR="00D849AA" w:rsidRDefault="00EE6D95">
      <w:pPr>
        <w:pStyle w:val="Normal5"/>
      </w:pPr>
      <w:r>
        <w:t xml:space="preserve">- Odluka o objavljivanju popisa pravila o državnim potporama (NN 012/09);  </w:t>
      </w:r>
    </w:p>
    <w:p w:rsidR="00D849AA" w:rsidRDefault="00EE6D95">
      <w:pPr>
        <w:pStyle w:val="Normal5"/>
      </w:pPr>
      <w:r>
        <w:t xml:space="preserve">- Plan poticanja poduzetništva za 2014. godinu „Poduzetnički impuls“;  </w:t>
      </w:r>
    </w:p>
    <w:p w:rsidR="00D849AA" w:rsidRDefault="00EE6D95">
      <w:pPr>
        <w:pStyle w:val="Normal5"/>
      </w:pPr>
      <w:r>
        <w:t xml:space="preserve">- Izmjene i dopune Strategije razvoja klastera u Republici Hrvatskoj 2011.-2020.  </w:t>
      </w:r>
    </w:p>
    <w:p w:rsidR="00D849AA" w:rsidRDefault="00EE6D95">
      <w:pPr>
        <w:pStyle w:val="Normal5"/>
      </w:pPr>
      <w:r>
        <w:t xml:space="preserve">- Strategija razvoja ženskog poduzetništva u RH 2010.-2013. i Akcijski plan za provedbu Strategije i nova Strategija razvoja ženskog poduzetništva 2014.-2017. </w:t>
      </w:r>
    </w:p>
    <w:p w:rsidR="00D849AA" w:rsidRDefault="00EE6D95">
      <w:pPr>
        <w:pStyle w:val="Normal5"/>
      </w:pPr>
      <w:r>
        <w:t>- Strategija učenja za poduzetništvo 2010.-2014.; Strategija razvoja zadružnog poduzetništva 2014.-2020.</w:t>
      </w:r>
    </w:p>
    <w:p w:rsidR="00D849AA" w:rsidRDefault="00EE6D95">
      <w:pPr>
        <w:pStyle w:val="Naslov6"/>
      </w:pPr>
      <w:r>
        <w:lastRenderedPageBreak/>
        <w:t>Ciljevi provedbe programa u razdoblju 2014.-2016. i pokazatelji uspješnosti kojima će se mjeriti ostvarenje tih ciljeva</w:t>
      </w:r>
    </w:p>
    <w:p w:rsidR="00D849AA" w:rsidRDefault="00EE6D95">
      <w:pPr>
        <w:pStyle w:val="Naslov7"/>
      </w:pPr>
      <w:r>
        <w:t xml:space="preserve">Cilj 1. Jačanje konkurentnosti malog i srednjeg poduzetništva i obrtništva </w:t>
      </w:r>
    </w:p>
    <w:p w:rsidR="00D849AA" w:rsidRDefault="00EE6D95">
      <w:pPr>
        <w:pStyle w:val="Normal6"/>
      </w:pPr>
      <w:r>
        <w:t xml:space="preserve">Jačanju konkurentnosti hrvatskog malog i srednjeg poduzetništva i obrtništva se dugoročno teži stvaranjem povoljnih uvjeta za rast investicija i povećanjem udjela subjekata s novim i proizvodima s višom dodanom vrijednošću. Konkurentnost i tržišni položaj malih i srednjih gospodarskih subjekata izravno zavisi o poslovnom okruženju, o olakšavanju poreznog tereta smanjenjem poreza i drugih davanja, o poticajima za povećanje zaposlenosti i jačanje sustava socijalne sigurnosti, o smanjenju troškova države, te o povećanju udjela znanosti, inovacija i novih tehnologija u poduzetništvu uključivo i inovacije u uslužnom sektoru.  </w:t>
      </w:r>
    </w:p>
    <w:p w:rsidR="00D849AA" w:rsidRDefault="00EE6D95">
      <w:pPr>
        <w:pStyle w:val="Normal6"/>
      </w:pPr>
      <w:r>
        <w:t xml:space="preserve">Prema podacima financijskih izvještaja za 2012. godinu, malo gospodarstvo u Republici Hrvatskoj čini 71.243 mikro trgovačkih društava (od 1-9 zaposlenih), 11.533 malih (od 10- 49 zaposlenih) i 1.299 srednje velikih (od 50 - 249 zaposlenih). Zadruga obveznica podnošenja financijskih izvještaja je 1.046, a 4.128 obrta posluje u sustavu poreza na dobit, što je ukupno 82.249 subjekata koji zapošljavaju 113.617 osoba. Ukoliko broju zaposlenih u obrtništvu dodamo i vlasnike obrta dolazimo do brojke od 196.811 osoba koje rade u obrtništvu. Najveći je udio mikro subjekata 80%, mali subjekti čine udio od 13%, srednji subjekti 1,5%, a zadruge 1,2%. Oni su u 2012. godini zapošljavali 567.764 zaposlenika što je u odnosu na 2011. godinu povećanje od 2,7%, dok je po ukupnim prihodima malo gospodarstvo raslo za 1,4%, a po prihodima od izvoza 11,3%. Uloga malog i srednjeg poduzetništva u gospodarstvu Hrvatske je izuzetno značajna: ono čini 99,7% ukupnog gospodarstva, najveći je poslodavac u Hrvatskoj (65,5% zaposlenosti), značajno doprinosi bruto domaćem proizvodu (50,2%) i izvozu (42%).  </w:t>
      </w:r>
    </w:p>
    <w:p w:rsidR="00D849AA" w:rsidRDefault="00EE6D95">
      <w:pPr>
        <w:pStyle w:val="Normal6"/>
      </w:pPr>
      <w:r>
        <w:t xml:space="preserve">Vlada Republike Hrvatske na sjednici 9. svibnja 2013. usvojila prijedlog Strategije razvoja poduzetništva u Republici Hrvatskoj 2013. - 2020. (dalje u tekstu: Strategija) i uputila je na donošenje Hrvatskom saboru.  </w:t>
      </w:r>
    </w:p>
    <w:p w:rsidR="00D849AA" w:rsidRDefault="00EE6D95">
      <w:pPr>
        <w:pStyle w:val="Normal6"/>
      </w:pPr>
      <w:r>
        <w:t xml:space="preserve"> </w:t>
      </w:r>
    </w:p>
    <w:p w:rsidR="00D849AA" w:rsidRDefault="00EE6D95">
      <w:pPr>
        <w:pStyle w:val="Normal6"/>
      </w:pPr>
      <w:r>
        <w:t xml:space="preserve">U Strategiji je navedeno da se slika poželjne budućnosti maloga gospodarstva u Republici Hrvatskoj može opisati kao "konkurentno i ravnomjerno razvijeno hrvatsko malo gospodarstvo, koje se temelji na rastućem broju uspješnih poslovnih subjekata, kontinuiranom povećanju izvoza, visokom stupnju inovacija, kvalitetno obrazovanom, fleksibilnom menadžmentu, inovativnom proizvodnom procesu, povoljnom poslovnom okruženju i olakšanom pristupu financijskim i ostalim instrumentima kako bi se održale povoljne stope rasta te dostigli najviši EU standardi".  </w:t>
      </w:r>
    </w:p>
    <w:p w:rsidR="00D849AA" w:rsidRDefault="00EE6D95">
      <w:pPr>
        <w:pStyle w:val="Normal6"/>
      </w:pPr>
      <w:r>
        <w:t xml:space="preserve">Opći cilj Strategije je povećanje konkurentnosti maloga gospodarstva u Hrvatskoj, a kao pokazatelj ukupne ciljane vrijednosti Strategije je povećanje bruto dodane vrijednost malih i srednjih poduzeća po zaposleniku za 40%, a sama realizacija općeg cilja bit će ostvarena mjerama koje se odnose na pet strateških ciljeva Strategije:  </w:t>
      </w:r>
    </w:p>
    <w:p w:rsidR="00D849AA" w:rsidRDefault="00EE6D95">
      <w:pPr>
        <w:pStyle w:val="Normal6"/>
      </w:pPr>
      <w:r>
        <w:t xml:space="preserve">1. Poboljšanje ekonomske uspješnosti - unapređenje ekonomske uspješnosti maloga gospodarstva u sektorima proizvođačkih i uslužnih djelatnosti većim ulaganjem u R&amp;D, višim stupnjem inovacija, rastom izvoza te daljnjim razvojem poslovnih mreža i povezanosti.  </w:t>
      </w:r>
    </w:p>
    <w:p w:rsidR="00D849AA" w:rsidRDefault="00EE6D95">
      <w:pPr>
        <w:pStyle w:val="Normal6"/>
      </w:pPr>
      <w:r>
        <w:t xml:space="preserve">2. Poboljšan pristup financiranju - razvijanje raznih financijskih mogućnosti za subjekte maloga gospodarstva i uklanjanje financijskog jaza za malo gospodarstvo.  </w:t>
      </w:r>
    </w:p>
    <w:p w:rsidR="00D849AA" w:rsidRDefault="00EE6D95">
      <w:pPr>
        <w:pStyle w:val="Normal6"/>
      </w:pPr>
      <w:r>
        <w:t xml:space="preserve">3. Promocija poduzetništva - pružanje potpore osnivanju novih poduzeća, rast broja aktivnih poduzeća i jačanje institucija koje pružaju potporu poduzetnicima kako bi se na taj način pridonijelo ravnomjernijem i uravnoteženom razvoju hrvatskih regija.  </w:t>
      </w:r>
    </w:p>
    <w:p w:rsidR="00D849AA" w:rsidRDefault="00EE6D95">
      <w:pPr>
        <w:pStyle w:val="Normal6"/>
      </w:pPr>
      <w:r>
        <w:lastRenderedPageBreak/>
        <w:t xml:space="preserve">4. Poboljšanje poduzetničkih vještina - pružanje potpore većem razvoju subjekata maloga gospodarstva jačanjem njihove uprave, uvođenjem i djelovanjem većeg broja visokokvalificiranih zaposlenika te podupiranjem cjeloživotnog učenja zaposlenih u subjektima maloga gospodarstva.  </w:t>
      </w:r>
    </w:p>
    <w:p w:rsidR="00D849AA" w:rsidRDefault="00EE6D95">
      <w:pPr>
        <w:pStyle w:val="Normal6"/>
      </w:pPr>
      <w:r>
        <w:t xml:space="preserve">5. Poboljšano poslovno okruženje - nadgradnja ostvarenog napretka uklanjanjem preostalih administrativnih opterećenja i olakšavanjem poslovanja u Hrvatskoj.  </w:t>
      </w:r>
    </w:p>
    <w:p w:rsidR="00D849AA" w:rsidRDefault="00EE6D95">
      <w:pPr>
        <w:pStyle w:val="Normal6"/>
      </w:pPr>
      <w:r>
        <w:t>Operacionalizacija, odnosno ostvarivanje gore navedenih strateških ciljeva temeljit će se na pojedinim akcijskim planovima. To znači da će se strateški ciljevi Strategije ostvarivati, s jedne strane, provedbom postojećih programa, kao što su Poduzetnički impuls 2013. i Operativni program Regionalna konkurentnost 2007. - 2013., odnosno provedbom novih programa za programsko razdoblje 2014. - 2020. Kako je u tijeku priprema programskih dokumenata za korištenje Strukturnih fondova za razdoblje 2014-2020, prioriteti i mjere koji će biti namijenjeni za poticanje poduzetništva temeljit će se između ostalog i na ciljevima iz ove Strategije.</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Broj potpora za nove tehnologije</w:t>
            </w:r>
          </w:p>
        </w:tc>
        <w:tc>
          <w:tcPr>
            <w:tcW w:w="1114" w:type="dxa"/>
          </w:tcPr>
          <w:p w:rsidR="00D849AA" w:rsidRDefault="00EE6D95">
            <w:r>
              <w:t>Broj</w:t>
            </w:r>
          </w:p>
        </w:tc>
        <w:tc>
          <w:tcPr>
            <w:tcW w:w="1114" w:type="dxa"/>
          </w:tcPr>
          <w:p w:rsidR="00D849AA" w:rsidRDefault="00EE6D95">
            <w:r>
              <w:t>100</w:t>
            </w:r>
          </w:p>
        </w:tc>
        <w:tc>
          <w:tcPr>
            <w:tcW w:w="1486" w:type="dxa"/>
          </w:tcPr>
          <w:p w:rsidR="00D849AA" w:rsidRDefault="00EE6D95">
            <w:r>
              <w:t>110</w:t>
            </w:r>
          </w:p>
        </w:tc>
        <w:tc>
          <w:tcPr>
            <w:tcW w:w="1486" w:type="dxa"/>
          </w:tcPr>
          <w:p w:rsidR="00D849AA" w:rsidRDefault="00EE6D95">
            <w:r>
              <w:t>120</w:t>
            </w:r>
          </w:p>
        </w:tc>
        <w:tc>
          <w:tcPr>
            <w:tcW w:w="1486" w:type="dxa"/>
          </w:tcPr>
          <w:p w:rsidR="00D849AA" w:rsidRDefault="00EE6D95">
            <w:r>
              <w:t>N/P</w:t>
            </w:r>
          </w:p>
        </w:tc>
      </w:tr>
      <w:tr w:rsidR="00D849AA">
        <w:trPr>
          <w:jc w:val="center"/>
        </w:trPr>
        <w:tc>
          <w:tcPr>
            <w:tcW w:w="2229" w:type="dxa"/>
          </w:tcPr>
          <w:p w:rsidR="00D849AA" w:rsidRDefault="00EE6D95">
            <w:pPr>
              <w:pStyle w:val="CellColumn"/>
            </w:pPr>
            <w:r>
              <w:t>Broj potpora za zaštitu intelektualnog i industrijskog vlasništva</w:t>
            </w:r>
          </w:p>
        </w:tc>
        <w:tc>
          <w:tcPr>
            <w:tcW w:w="1114" w:type="dxa"/>
          </w:tcPr>
          <w:p w:rsidR="00D849AA" w:rsidRDefault="00EE6D95">
            <w:r>
              <w:t>Broj</w:t>
            </w:r>
          </w:p>
        </w:tc>
        <w:tc>
          <w:tcPr>
            <w:tcW w:w="1114" w:type="dxa"/>
          </w:tcPr>
          <w:p w:rsidR="00D849AA" w:rsidRDefault="00EE6D95">
            <w:r>
              <w:t>160</w:t>
            </w:r>
          </w:p>
        </w:tc>
        <w:tc>
          <w:tcPr>
            <w:tcW w:w="1486" w:type="dxa"/>
          </w:tcPr>
          <w:p w:rsidR="00D849AA" w:rsidRDefault="00EE6D95">
            <w:r>
              <w:t>190</w:t>
            </w:r>
          </w:p>
        </w:tc>
        <w:tc>
          <w:tcPr>
            <w:tcW w:w="1486" w:type="dxa"/>
          </w:tcPr>
          <w:p w:rsidR="00D849AA" w:rsidRDefault="00EE6D95">
            <w:r>
              <w:t>200</w:t>
            </w:r>
          </w:p>
        </w:tc>
        <w:tc>
          <w:tcPr>
            <w:tcW w:w="1486" w:type="dxa"/>
          </w:tcPr>
          <w:p w:rsidR="00D849AA" w:rsidRDefault="00EE6D95">
            <w:r>
              <w:t>N/P</w:t>
            </w:r>
          </w:p>
        </w:tc>
      </w:tr>
      <w:tr w:rsidR="00D849AA">
        <w:trPr>
          <w:jc w:val="center"/>
        </w:trPr>
        <w:tc>
          <w:tcPr>
            <w:tcW w:w="2229" w:type="dxa"/>
          </w:tcPr>
          <w:p w:rsidR="00D849AA" w:rsidRDefault="00EE6D95">
            <w:pPr>
              <w:pStyle w:val="CellColumn"/>
            </w:pPr>
            <w:r>
              <w:t>Broj novih ili poboljšanih proizvoda/usluga</w:t>
            </w:r>
          </w:p>
        </w:tc>
        <w:tc>
          <w:tcPr>
            <w:tcW w:w="1114" w:type="dxa"/>
          </w:tcPr>
          <w:p w:rsidR="00D849AA" w:rsidRDefault="00EE6D95">
            <w:r>
              <w:t>Broj</w:t>
            </w:r>
          </w:p>
        </w:tc>
        <w:tc>
          <w:tcPr>
            <w:tcW w:w="1114" w:type="dxa"/>
          </w:tcPr>
          <w:p w:rsidR="00D849AA" w:rsidRDefault="00EE6D95">
            <w:r>
              <w:t>120</w:t>
            </w:r>
          </w:p>
        </w:tc>
        <w:tc>
          <w:tcPr>
            <w:tcW w:w="1486" w:type="dxa"/>
          </w:tcPr>
          <w:p w:rsidR="00D849AA" w:rsidRDefault="00EE6D95">
            <w:r>
              <w:t>150</w:t>
            </w:r>
          </w:p>
        </w:tc>
        <w:tc>
          <w:tcPr>
            <w:tcW w:w="1486" w:type="dxa"/>
          </w:tcPr>
          <w:p w:rsidR="00D849AA" w:rsidRDefault="00EE6D95">
            <w:r>
              <w:t>160</w:t>
            </w:r>
          </w:p>
        </w:tc>
        <w:tc>
          <w:tcPr>
            <w:tcW w:w="1486" w:type="dxa"/>
          </w:tcPr>
          <w:p w:rsidR="00D849AA" w:rsidRDefault="00EE6D95">
            <w:r>
              <w:t>N/P</w:t>
            </w:r>
          </w:p>
        </w:tc>
      </w:tr>
      <w:tr w:rsidR="00D849AA">
        <w:trPr>
          <w:jc w:val="center"/>
        </w:trPr>
        <w:tc>
          <w:tcPr>
            <w:tcW w:w="2229" w:type="dxa"/>
          </w:tcPr>
          <w:p w:rsidR="00D849AA" w:rsidRDefault="00EE6D95">
            <w:pPr>
              <w:pStyle w:val="CellColumn"/>
            </w:pPr>
            <w:r>
              <w:t>Broj novoosnovanih subjekata (mladi, početnici)</w:t>
            </w:r>
          </w:p>
        </w:tc>
        <w:tc>
          <w:tcPr>
            <w:tcW w:w="1114" w:type="dxa"/>
          </w:tcPr>
          <w:p w:rsidR="00D849AA" w:rsidRDefault="00EE6D95">
            <w:r>
              <w:t>Broj</w:t>
            </w:r>
          </w:p>
        </w:tc>
        <w:tc>
          <w:tcPr>
            <w:tcW w:w="1114" w:type="dxa"/>
          </w:tcPr>
          <w:p w:rsidR="00D849AA" w:rsidRDefault="00EE6D95">
            <w:r>
              <w:t>60</w:t>
            </w:r>
          </w:p>
        </w:tc>
        <w:tc>
          <w:tcPr>
            <w:tcW w:w="1486" w:type="dxa"/>
          </w:tcPr>
          <w:p w:rsidR="00D849AA" w:rsidRDefault="00EE6D95">
            <w:r>
              <w:t>70</w:t>
            </w:r>
          </w:p>
        </w:tc>
        <w:tc>
          <w:tcPr>
            <w:tcW w:w="1486" w:type="dxa"/>
          </w:tcPr>
          <w:p w:rsidR="00D849AA" w:rsidRDefault="00EE6D95">
            <w:r>
              <w:t>80</w:t>
            </w:r>
          </w:p>
        </w:tc>
        <w:tc>
          <w:tcPr>
            <w:tcW w:w="1486" w:type="dxa"/>
          </w:tcPr>
          <w:p w:rsidR="00D849AA" w:rsidRDefault="00EE6D95">
            <w:r>
              <w:t>N/P</w:t>
            </w:r>
          </w:p>
        </w:tc>
      </w:tr>
      <w:tr w:rsidR="00D849AA">
        <w:trPr>
          <w:jc w:val="center"/>
        </w:trPr>
        <w:tc>
          <w:tcPr>
            <w:tcW w:w="2229" w:type="dxa"/>
          </w:tcPr>
          <w:p w:rsidR="00D849AA" w:rsidRDefault="00EE6D95">
            <w:pPr>
              <w:pStyle w:val="CellColumn"/>
            </w:pPr>
            <w:r>
              <w:t>Broj novih i osnovanih održivih klastera</w:t>
            </w:r>
          </w:p>
        </w:tc>
        <w:tc>
          <w:tcPr>
            <w:tcW w:w="1114" w:type="dxa"/>
          </w:tcPr>
          <w:p w:rsidR="00D849AA" w:rsidRDefault="00EE6D95">
            <w:r>
              <w:t>Broj</w:t>
            </w:r>
          </w:p>
        </w:tc>
        <w:tc>
          <w:tcPr>
            <w:tcW w:w="1114" w:type="dxa"/>
          </w:tcPr>
          <w:p w:rsidR="00D849AA" w:rsidRDefault="00EE6D95">
            <w:r>
              <w:t>40</w:t>
            </w:r>
          </w:p>
        </w:tc>
        <w:tc>
          <w:tcPr>
            <w:tcW w:w="1486" w:type="dxa"/>
          </w:tcPr>
          <w:p w:rsidR="00D849AA" w:rsidRDefault="00EE6D95">
            <w:r>
              <w:t>50</w:t>
            </w:r>
          </w:p>
        </w:tc>
        <w:tc>
          <w:tcPr>
            <w:tcW w:w="1486" w:type="dxa"/>
          </w:tcPr>
          <w:p w:rsidR="00D849AA" w:rsidRDefault="00EE6D95">
            <w:r>
              <w:t>60</w:t>
            </w:r>
          </w:p>
        </w:tc>
        <w:tc>
          <w:tcPr>
            <w:tcW w:w="1486" w:type="dxa"/>
          </w:tcPr>
          <w:p w:rsidR="00D849AA" w:rsidRDefault="00EE6D95">
            <w:r>
              <w:t>N/P</w:t>
            </w:r>
          </w:p>
        </w:tc>
      </w:tr>
      <w:tr w:rsidR="00D849AA">
        <w:trPr>
          <w:jc w:val="center"/>
        </w:trPr>
        <w:tc>
          <w:tcPr>
            <w:tcW w:w="2229" w:type="dxa"/>
          </w:tcPr>
          <w:p w:rsidR="00D849AA" w:rsidRDefault="00EE6D95">
            <w:pPr>
              <w:pStyle w:val="CellColumn"/>
            </w:pPr>
            <w:r>
              <w:t>Broj polaznika poduzetničkog obrazovanja</w:t>
            </w:r>
          </w:p>
        </w:tc>
        <w:tc>
          <w:tcPr>
            <w:tcW w:w="1114" w:type="dxa"/>
          </w:tcPr>
          <w:p w:rsidR="00D849AA" w:rsidRDefault="00EE6D95">
            <w:r>
              <w:t>Broj</w:t>
            </w:r>
          </w:p>
        </w:tc>
        <w:tc>
          <w:tcPr>
            <w:tcW w:w="1114" w:type="dxa"/>
          </w:tcPr>
          <w:p w:rsidR="00D849AA" w:rsidRDefault="00EE6D95">
            <w:r>
              <w:t>700</w:t>
            </w:r>
          </w:p>
        </w:tc>
        <w:tc>
          <w:tcPr>
            <w:tcW w:w="1486" w:type="dxa"/>
          </w:tcPr>
          <w:p w:rsidR="00D849AA" w:rsidRDefault="00EE6D95">
            <w:r>
              <w:t>1200</w:t>
            </w:r>
          </w:p>
        </w:tc>
        <w:tc>
          <w:tcPr>
            <w:tcW w:w="1486" w:type="dxa"/>
          </w:tcPr>
          <w:p w:rsidR="00D849AA" w:rsidRDefault="00EE6D95">
            <w:r>
              <w:t>1700</w:t>
            </w:r>
          </w:p>
        </w:tc>
        <w:tc>
          <w:tcPr>
            <w:tcW w:w="1486" w:type="dxa"/>
          </w:tcPr>
          <w:p w:rsidR="00D849AA" w:rsidRDefault="00EE6D95">
            <w:r>
              <w:t>N/P</w:t>
            </w:r>
          </w:p>
        </w:tc>
      </w:tr>
      <w:tr w:rsidR="00D849AA">
        <w:trPr>
          <w:jc w:val="center"/>
        </w:trPr>
        <w:tc>
          <w:tcPr>
            <w:tcW w:w="2229" w:type="dxa"/>
          </w:tcPr>
          <w:p w:rsidR="00D849AA" w:rsidRDefault="00EE6D95">
            <w:pPr>
              <w:pStyle w:val="CellColumn"/>
            </w:pPr>
            <w:r>
              <w:t>Broj nastupa hrvatskih tvrtki na inozemnim sajmovima</w:t>
            </w:r>
          </w:p>
        </w:tc>
        <w:tc>
          <w:tcPr>
            <w:tcW w:w="1114" w:type="dxa"/>
          </w:tcPr>
          <w:p w:rsidR="00D849AA" w:rsidRDefault="00EE6D95">
            <w:r>
              <w:t>Broj</w:t>
            </w:r>
          </w:p>
        </w:tc>
        <w:tc>
          <w:tcPr>
            <w:tcW w:w="1114" w:type="dxa"/>
          </w:tcPr>
          <w:p w:rsidR="00D849AA" w:rsidRDefault="00EE6D95">
            <w:r>
              <w:t>175</w:t>
            </w:r>
          </w:p>
        </w:tc>
        <w:tc>
          <w:tcPr>
            <w:tcW w:w="1486" w:type="dxa"/>
          </w:tcPr>
          <w:p w:rsidR="00D849AA" w:rsidRDefault="00EE6D95">
            <w:r>
              <w:t>190</w:t>
            </w:r>
          </w:p>
        </w:tc>
        <w:tc>
          <w:tcPr>
            <w:tcW w:w="1486" w:type="dxa"/>
          </w:tcPr>
          <w:p w:rsidR="00D849AA" w:rsidRDefault="00EE6D95">
            <w:r>
              <w:t>200</w:t>
            </w:r>
          </w:p>
        </w:tc>
        <w:tc>
          <w:tcPr>
            <w:tcW w:w="1486" w:type="dxa"/>
          </w:tcPr>
          <w:p w:rsidR="00D849AA" w:rsidRDefault="00EE6D95">
            <w:r>
              <w:t>N/P</w:t>
            </w:r>
          </w:p>
        </w:tc>
      </w:tr>
    </w:tbl>
    <w:p w:rsidR="00D849AA" w:rsidRDefault="00D849AA">
      <w:pPr>
        <w:jc w:val="left"/>
      </w:pPr>
    </w:p>
    <w:p w:rsidR="00D849AA" w:rsidRDefault="00EE6D95">
      <w:pPr>
        <w:pStyle w:val="Naslov7"/>
      </w:pPr>
      <w:r>
        <w:t>Cilj 2. Potpora malom i srednjem poduzetništvu za učinkovitu prilagodbu europskom tržištu i korištenju sredstava EU</w:t>
      </w:r>
    </w:p>
    <w:p w:rsidR="00D849AA" w:rsidRDefault="00EE6D95">
      <w:pPr>
        <w:pStyle w:val="Normal6"/>
      </w:pPr>
      <w:r>
        <w:t xml:space="preserve">2.1. Djelotvorno korištenje instrumenata kohezijske politike EU </w:t>
      </w:r>
    </w:p>
    <w:p w:rsidR="00D849AA" w:rsidRDefault="00EE6D95">
      <w:pPr>
        <w:pStyle w:val="Normal6"/>
      </w:pPr>
      <w:r>
        <w:t xml:space="preserve">Republika Hrvatska će ulaskom u Europsku Uniju imati na raspolaganju sredstva iz Strukturnih fondova, odnosno Europskog fonda za regionalni razvoj (dalje u tekstu: </w:t>
      </w:r>
      <w:r>
        <w:lastRenderedPageBreak/>
        <w:t xml:space="preserve">ERDF) namijenjenih postizanju ujednačenog razvoja svih država, odnosno regija Europske unije te financiranju provedbe aktivnosti koje proizlaze iz zajedničkih europskih politika. </w:t>
      </w:r>
    </w:p>
    <w:p w:rsidR="00D849AA" w:rsidRDefault="00EE6D95">
      <w:pPr>
        <w:pStyle w:val="Normal6"/>
      </w:pPr>
      <w:r>
        <w:t xml:space="preserve"> </w:t>
      </w:r>
    </w:p>
    <w:p w:rsidR="00D849AA" w:rsidRDefault="00EE6D95">
      <w:pPr>
        <w:pStyle w:val="Normal6"/>
      </w:pPr>
      <w:r>
        <w:t xml:space="preserve">Iz ERDFa u načelu je moguće financirati sljedeće: </w:t>
      </w:r>
    </w:p>
    <w:p w:rsidR="00D849AA" w:rsidRDefault="00EE6D95">
      <w:pPr>
        <w:pStyle w:val="Normal6"/>
      </w:pPr>
      <w:r>
        <w:t>1.</w:t>
      </w:r>
      <w:r>
        <w:tab/>
        <w:t xml:space="preserve">Izravnu pomoć ulaganjima u tvrtke (ponajviše za malo i srednje poduzetništvo) s ciljem povećanja ili modernizacije proizvodnje te stvaranja novih i održivih radnih mjesta;   </w:t>
      </w:r>
    </w:p>
    <w:p w:rsidR="00D849AA" w:rsidRDefault="00EE6D95">
      <w:pPr>
        <w:pStyle w:val="Normal6"/>
      </w:pPr>
      <w:r>
        <w:t>2.</w:t>
      </w:r>
      <w:r>
        <w:tab/>
        <w:t xml:space="preserve">Infrastrukturne projekte ključne za gospodarski razvoj određenog područja </w:t>
      </w:r>
    </w:p>
    <w:p w:rsidR="00D849AA" w:rsidRDefault="00EE6D95">
      <w:pPr>
        <w:pStyle w:val="Normal6"/>
      </w:pPr>
      <w:r>
        <w:t>3.</w:t>
      </w:r>
      <w:r>
        <w:tab/>
        <w:t xml:space="preserve">Financijske instrumente (pogotvo one koji nedostaju na tržištu) radi olakšavanja pristupa kapitalu MSP </w:t>
      </w:r>
    </w:p>
    <w:p w:rsidR="00D849AA" w:rsidRDefault="00EE6D95">
      <w:pPr>
        <w:pStyle w:val="Normal6"/>
      </w:pPr>
      <w:r>
        <w:t>4.</w:t>
      </w:r>
      <w:r>
        <w:tab/>
        <w:t xml:space="preserve">Mjere tehničke pomoći, koje se odnose na poboljšanje kvalitete izvedbe projekata za koje su odobrena sredstva Europske Unije (npr. savjetodavne usluge) </w:t>
      </w:r>
    </w:p>
    <w:p w:rsidR="00D849AA" w:rsidRDefault="00EE6D95">
      <w:pPr>
        <w:pStyle w:val="Normal6"/>
      </w:pPr>
      <w:r>
        <w:t>5.</w:t>
      </w:r>
      <w:r>
        <w:tab/>
        <w:t xml:space="preserve">Krajnji cilj je prije svega ulaganjima stvoriti održiva radna mjesta (posebno u sektoru malog i srednjeg poduzetništva), jačati mogućnost novih izvora zarade, odnosno smanjiti ovisnost o granama koje nisu dugoročno održive te poticati gospodarsku raznolikost, posebice u ruralnim područjima.   </w:t>
      </w:r>
    </w:p>
    <w:p w:rsidR="00D849AA" w:rsidRDefault="00EE6D95">
      <w:pPr>
        <w:pStyle w:val="Normal6"/>
      </w:pPr>
      <w:r>
        <w:t xml:space="preserve"> </w:t>
      </w:r>
    </w:p>
    <w:p w:rsidR="00D849AA" w:rsidRDefault="00EE6D95">
      <w:pPr>
        <w:pStyle w:val="Normal6"/>
      </w:pPr>
      <w:r>
        <w:t xml:space="preserve">Kroz tematski cilj 2. Jačanje konkurentnosti MSP, poljoprivrednog sektora i sektora ribarstva i akvakulture (EUROPA 2020), kroz ERDF financirat će se sljedeći investicijski prioriteti:  </w:t>
      </w:r>
    </w:p>
    <w:p w:rsidR="00D849AA" w:rsidRDefault="00EE6D95">
      <w:pPr>
        <w:pStyle w:val="Normal6"/>
      </w:pPr>
      <w:r>
        <w:t>-</w:t>
      </w:r>
      <w:r>
        <w:tab/>
        <w:t xml:space="preserve">Promocija poduzetništva s naglaskom na olakšavanje ekonomskog iskorištavanja novih ideja i jačanje stvaranja novih firmi, uključivo  kroz poslovne inkubatore.  </w:t>
      </w:r>
    </w:p>
    <w:p w:rsidR="00D849AA" w:rsidRDefault="00EE6D95">
      <w:pPr>
        <w:pStyle w:val="Normal6"/>
      </w:pPr>
      <w:r>
        <w:t>-</w:t>
      </w:r>
      <w:r>
        <w:tab/>
        <w:t xml:space="preserve">Razvoj i implementacija novih poslovnih modela za MSP s naglaskom na internacionalizaciji. </w:t>
      </w:r>
    </w:p>
    <w:p w:rsidR="00D849AA" w:rsidRDefault="00EE6D95">
      <w:pPr>
        <w:pStyle w:val="Normal6"/>
      </w:pPr>
      <w:r>
        <w:t>-</w:t>
      </w:r>
      <w:r>
        <w:tab/>
        <w:t xml:space="preserve">Podrška stvaranju i širenju naprednih kapaciteta za proizvode i razvoj usluga. </w:t>
      </w:r>
    </w:p>
    <w:p w:rsidR="00D849AA" w:rsidRDefault="00EE6D95">
      <w:pPr>
        <w:pStyle w:val="Normal6"/>
      </w:pPr>
      <w:r>
        <w:t>-</w:t>
      </w:r>
      <w:r>
        <w:tab/>
        <w:t xml:space="preserve">Podrška stvaranju kapaciteta MSP za bavljenje rastom i inovativnim procesima. </w:t>
      </w:r>
    </w:p>
    <w:p w:rsidR="00D849AA" w:rsidRDefault="00EE6D95">
      <w:pPr>
        <w:pStyle w:val="Normal6"/>
      </w:pPr>
      <w:r>
        <w:t xml:space="preserve"> </w:t>
      </w:r>
    </w:p>
    <w:p w:rsidR="00D849AA" w:rsidRDefault="00EE6D95">
      <w:pPr>
        <w:pStyle w:val="Normal6"/>
      </w:pPr>
      <w:r>
        <w:t xml:space="preserve">Kroz Europski socijalni fond (dalje u tekstu:ESF) financirat će se aktivnosti vezane za jačanje konkurentnosti MSP kroz promociju prilagodljivosti poduzeća i radnika te povećanje investicija u ljudske resurse. </w:t>
      </w:r>
    </w:p>
    <w:p w:rsidR="00D849AA" w:rsidRDefault="00EE6D95">
      <w:pPr>
        <w:pStyle w:val="Normal6"/>
      </w:pPr>
      <w:r>
        <w:t xml:space="preserve"> </w:t>
      </w:r>
    </w:p>
    <w:p w:rsidR="00D849AA" w:rsidRDefault="00EE6D95">
      <w:pPr>
        <w:pStyle w:val="Normal6"/>
      </w:pPr>
      <w:r>
        <w:t xml:space="preserve">2.2. Kreiranje mjera gospodarske politike za razvoj područja malog gospodarstva prema načelima Akta EU o malom gospodarstvu (SMALL BUSINESS ACT FOR EUROPE) </w:t>
      </w:r>
    </w:p>
    <w:p w:rsidR="00D849AA" w:rsidRDefault="00EE6D95">
      <w:pPr>
        <w:pStyle w:val="Normal6"/>
      </w:pPr>
      <w:r>
        <w:t xml:space="preserve">Ministarstvo poduzetništva i obrta nositelj je koordinacije svih aktivnosti vezano za EU Akt o malom gospodarstvu.  S obzirom da se radi o relevantnom europskom dokumentu koji određuje smjernice razvoja malog i srednjeg poduzetništva, ciljeve razvojne politike potrebno je maksimalno prilagoditi najvišim razinama uspješnosti po svim načelima SBA: </w:t>
      </w:r>
    </w:p>
    <w:p w:rsidR="00D849AA" w:rsidRDefault="00EE6D95">
      <w:pPr>
        <w:pStyle w:val="Normal6"/>
      </w:pPr>
      <w:r>
        <w:t>1.</w:t>
      </w:r>
      <w:r>
        <w:tab/>
        <w:t xml:space="preserve">Stvoriti okruženje u kojem poduzetnici i obiteljska poduzeća mogu napredovati i u kojem se poduzetništvo nagrađuje, </w:t>
      </w:r>
    </w:p>
    <w:p w:rsidR="00D849AA" w:rsidRDefault="00EE6D95">
      <w:pPr>
        <w:pStyle w:val="Normal6"/>
      </w:pPr>
      <w:r>
        <w:t>2.</w:t>
      </w:r>
      <w:r>
        <w:tab/>
        <w:t xml:space="preserve">Osigurati da se poštenim poduzetnicima koji su doživjeli stečaj brzo pruži druga prilika, </w:t>
      </w:r>
    </w:p>
    <w:p w:rsidR="00D849AA" w:rsidRDefault="00EE6D95">
      <w:pPr>
        <w:pStyle w:val="Normal6"/>
      </w:pPr>
      <w:r>
        <w:t>3.</w:t>
      </w:r>
      <w:r>
        <w:tab/>
        <w:t xml:space="preserve">Osmisliti pravila u skladu s načelom „Počnimo od najmanjih“, </w:t>
      </w:r>
    </w:p>
    <w:p w:rsidR="00D849AA" w:rsidRDefault="00EE6D95">
      <w:pPr>
        <w:pStyle w:val="Normal6"/>
      </w:pPr>
      <w:r>
        <w:t>4.</w:t>
      </w:r>
      <w:r>
        <w:tab/>
        <w:t xml:space="preserve">Učiniti državne uprave osjetljivima na potrebe malog i srednjeg poduzetništva, </w:t>
      </w:r>
    </w:p>
    <w:p w:rsidR="00D849AA" w:rsidRDefault="00EE6D95">
      <w:pPr>
        <w:pStyle w:val="Normal6"/>
      </w:pPr>
      <w:r>
        <w:lastRenderedPageBreak/>
        <w:t>5.</w:t>
      </w:r>
      <w:r>
        <w:tab/>
        <w:t xml:space="preserve">Prilagoditi sredstva javnog interesa potrebama malog i srednjeg poduzetništva: olakšati sudjelovanje malog i srednjeg poduzetništva u javnoj nabavi i omogućiti bolje korištenje mogućnosti Državne potpore za malo i srednje poduzetništvo, </w:t>
      </w:r>
    </w:p>
    <w:p w:rsidR="00D849AA" w:rsidRDefault="00EE6D95">
      <w:pPr>
        <w:pStyle w:val="Normal6"/>
      </w:pPr>
      <w:r>
        <w:t>6.</w:t>
      </w:r>
      <w:r>
        <w:tab/>
        <w:t xml:space="preserve">Olakšati pristup malom i srednjem poduzetništvu financijama te razviti zakonsko i poslovno okruženje koje pruža podršku pravovremenim uplatama u poslovnim transakcijama, </w:t>
      </w:r>
    </w:p>
    <w:p w:rsidR="00D849AA" w:rsidRDefault="00EE6D95">
      <w:pPr>
        <w:pStyle w:val="Normal6"/>
      </w:pPr>
      <w:r>
        <w:t>7.</w:t>
      </w:r>
      <w:r>
        <w:tab/>
        <w:t xml:space="preserve">Pomoći malom i srednjem poduzetništvu da ima više koristi od mogućnosti koje se nude na jedinstvenom tržištu, </w:t>
      </w:r>
    </w:p>
    <w:p w:rsidR="00D849AA" w:rsidRDefault="00EE6D95">
      <w:pPr>
        <w:pStyle w:val="Normal6"/>
      </w:pPr>
      <w:r>
        <w:t>8.</w:t>
      </w:r>
      <w:r>
        <w:tab/>
        <w:t xml:space="preserve">Promovirati unapređenje vještina u malom i srednjem poduzetništvu, kao i sve oblike inovacija, </w:t>
      </w:r>
    </w:p>
    <w:p w:rsidR="00D849AA" w:rsidRDefault="00EE6D95">
      <w:pPr>
        <w:pStyle w:val="Normal6"/>
      </w:pPr>
      <w:r>
        <w:t>9.</w:t>
      </w:r>
      <w:r>
        <w:tab/>
        <w:t xml:space="preserve">Omogućiti malom i srednjem poduzetništvu da pretvori ekološke izazove u prilike, </w:t>
      </w:r>
    </w:p>
    <w:p w:rsidR="00D849AA" w:rsidRDefault="00EE6D95">
      <w:pPr>
        <w:pStyle w:val="Normal6"/>
      </w:pPr>
      <w:r>
        <w:t>10.</w:t>
      </w:r>
      <w:r>
        <w:tab/>
        <w:t xml:space="preserve">Poticati i pružati podršku malom i srednjem poduzetništvu da se koristi rastom tržišta. </w:t>
      </w:r>
    </w:p>
    <w:p w:rsidR="00D849AA" w:rsidRDefault="00EE6D95">
      <w:pPr>
        <w:pStyle w:val="Normal6"/>
      </w:pPr>
      <w:r>
        <w:t xml:space="preserve"> </w:t>
      </w:r>
    </w:p>
    <w:p w:rsidR="00D849AA" w:rsidRDefault="00EE6D95">
      <w:pPr>
        <w:pStyle w:val="Normal6"/>
      </w:pPr>
      <w:r>
        <w:t xml:space="preserve">2.3. Učinkovito korištenje sredstava Programa Unije  </w:t>
      </w:r>
    </w:p>
    <w:p w:rsidR="00D849AA" w:rsidRDefault="00EE6D95">
      <w:pPr>
        <w:pStyle w:val="Normal6"/>
      </w:pPr>
      <w:r>
        <w:t xml:space="preserve">U Strateškom planu Ministarstva poduzetništva i obrta za 2013.-2015. - Posebni cilj  2.3. Učinkovito korištenje sredstava Programa Unije CIP-EIP (PROGRAM ZA PODUZETNIŠTVO I INOVACIJE). Programi Unije predstavljaju integrirani niz aktivnosti koje usvaja Europska unija u svrhu promicanja suradnje između država članica u različitim područjima povezanim sa zajedničkim politikama EU.  </w:t>
      </w:r>
    </w:p>
    <w:p w:rsidR="00D849AA" w:rsidRDefault="00EE6D95">
      <w:pPr>
        <w:pStyle w:val="Normal6"/>
      </w:pPr>
      <w:r>
        <w:t xml:space="preserve"> </w:t>
      </w:r>
    </w:p>
    <w:p w:rsidR="00D849AA" w:rsidRDefault="00EE6D95">
      <w:pPr>
        <w:pStyle w:val="Normal6"/>
      </w:pPr>
      <w:r>
        <w:t xml:space="preserve">U pripremama za sljedeći višegodišnji financijski okvir (Multiannual Financial Framework) za razdoblje 2014.-2020. odlučeno je da će aktivnosti koje se do kraja 2013. godine provode u okviru CIP-EIP programa biti nastavljene kroz dva nova programa: „Horizon 2020“ i „Programme for the Competitiveness of enterprises and small and medium sized enterprises (COSME)“. Kroz program „Horizon 2020“ poticat će se sve aktivnosti vezano za inovacije, eko inovacije, javne nabave vezano za inovativne aktivnosti i dio financijskih instrumenata (venture capital instruments), a kroz program „COSME“ aktivnosti vezane za podizanje konkurentnosti i rasta MSP, Europska poduzetnička mreža, aktivnosti vezano za SBA, SEECEL, promocija poduzetništva, dio financijskih instrumenata, internacionalizacija MSP tj. njihov izlazak na tržišta izvan EU. Iz same ideje o kreiranju novog programa Horizon 2020 sa izuzetno velikim budžetom od 80 bill €, razvidno je kako EU kao jedan od svojih prioriteta dodatno naglašava istraživanje i inovacije u cilju povećanja konkurentnosti europskog gospodarstva, a s obzirom na njegovu strukturu (2/3 radnih mjesta u MSP) primarno je poticati inovativne kapacitete upravo u tom sektoru i to kroz transfer  inovacija, tehnologija i znanja.  </w:t>
      </w:r>
    </w:p>
    <w:p w:rsidR="00D849AA" w:rsidRDefault="00EE6D95">
      <w:pPr>
        <w:pStyle w:val="Normal6"/>
      </w:pPr>
      <w:r>
        <w:t xml:space="preserve"> </w:t>
      </w:r>
    </w:p>
    <w:p w:rsidR="00D849AA" w:rsidRDefault="00EE6D95">
      <w:pPr>
        <w:pStyle w:val="Normal6"/>
      </w:pPr>
      <w:r>
        <w:t xml:space="preserve">U pripremi za sudjelovanje u novim programima Hrvatska bi, stoga, trebala dodatno povećati svoje napore u njihovoj promociji, ali i kreiranju nacionalnih projekata i inicijativa koje mogu pomoći u stvaranju boljeg okruženja za rast inovacijske sposobnosti poduzeća. Također, potrebno je povećati suradnju MINPO-a sa institucijama kao što su Ministarstvo znanosti i Hrvatski institut za tehnologiju, te raditi na povezivanju sektora MSP sa znanošću. </w:t>
      </w:r>
    </w:p>
    <w:p w:rsidR="00D849AA" w:rsidRDefault="00EE6D95">
      <w:pPr>
        <w:pStyle w:val="Normal6"/>
      </w:pPr>
      <w:r>
        <w:t xml:space="preserve"> </w:t>
      </w:r>
    </w:p>
    <w:p w:rsidR="00D849AA" w:rsidRDefault="00EE6D95">
      <w:pPr>
        <w:pStyle w:val="Normal6"/>
      </w:pPr>
      <w:r>
        <w:t xml:space="preserve">2.4. SEECEL - Regionalni centar za razvoj poduzetničkih kompetencija za zemlje jugoistočne Europe s ciljem jačanja konkurentnosti temeljene na znanju </w:t>
      </w:r>
    </w:p>
    <w:p w:rsidR="00D849AA" w:rsidRDefault="00EE6D95">
      <w:pPr>
        <w:pStyle w:val="Normal6"/>
      </w:pPr>
      <w:r>
        <w:t xml:space="preserve"> </w:t>
      </w:r>
    </w:p>
    <w:p w:rsidR="00D849AA" w:rsidRDefault="00EE6D95">
      <w:pPr>
        <w:pStyle w:val="Normal6"/>
      </w:pPr>
      <w:r>
        <w:lastRenderedPageBreak/>
        <w:t xml:space="preserve">«Regionalni centar za razvoj poduzetničkih kompetencija za zemlje Jugoistočne Europe – SEECEL» prvi je rezultat institucionalnog oblika provedbe “European Charter for SME for Western Balkans countries – Europska povelja za malo gospodarstvo”, odnosno sada SBA Small Business Act for Europe.  </w:t>
      </w:r>
    </w:p>
    <w:p w:rsidR="00D849AA" w:rsidRDefault="00EE6D95">
      <w:pPr>
        <w:pStyle w:val="Normal6"/>
      </w:pPr>
      <w:r>
        <w:t xml:space="preserve">Na zajedničkoj konferenciji nacionalnih koordinatora za Europsku povelju 2006. godine na inicijativu RH predloženo je da se organizira strukturirana regionalna suradnja i osnuje Regionalni centar za razvoj poduzetničkih kompetencija u suglasju s Europskom poveljom s lociranjem centra u Hrvatskoj  u čemu dobiva podršku svih zemalja u regiji kao i Europske komisije. Slijedom rezultata studije izvodljivosti izrađuje se projekt «Regionalni centar za razvoj poduzetničkih kompetencija za zemlje Jugoistočne Europe – SEECEL» koji prijavljuje na IPA regionalni višekorisnički paket financiranja, komponenta Jačanje konkurentnosti.  </w:t>
      </w:r>
    </w:p>
    <w:p w:rsidR="00D849AA" w:rsidRDefault="00EE6D95">
      <w:pPr>
        <w:pStyle w:val="Normal6"/>
      </w:pPr>
      <w:r>
        <w:t xml:space="preserve">To je prvi slučaj da kroz paket za jačanje konkurentnosti, država iz IPA grupacije dobije financiranje iz paketa koji je izvan okvira dogovorenih za IPA nacionalni paket. To je veliki uspjeh za Hrvatsku imajući u vidu da takav centar još ne postoji ni u zemljama članicama, a dio je glavnih prioriteta EU. Razdoblje IPA regionalnog višekorisničkog paketa 2009-2012 - komponenta Jačanje konkurentnosti, uspješno je završeno. </w:t>
      </w:r>
    </w:p>
    <w:p w:rsidR="00D849AA" w:rsidRDefault="00EE6D95">
      <w:pPr>
        <w:pStyle w:val="Normal6"/>
      </w:pPr>
      <w:r>
        <w:t xml:space="preserve">U tijeku je provedba sljedeće generacije projekta čije financiranje je planirano za period 2013.-2016. u iznosu od 3,0 mil EUR-a, te sufinanciranje od strane RH u iznosu od 550.000 eura. Na taj način Hrvatska je osigurala vodeću poziciju u cijelom procesu. Projekt je potpuno podržan od strane svih zemalja u regiji, a uz 7 zemalja uključenih u prvotni projektni prijedlog (Albanija, Bosna i Hercegovina, Crna Gora, Hrvatska, Kosovo, Makedonija, Srbija) DG Enlargment uključuje i Tursku. Interes za suradnju iskazuju i zemlje članice EU. SEECEL-ova misija je unaprjeđenje učenja za poduzetništvo na razini osnovnih škola i visokog školstva te razvoj sustava praćenja potreba za edukacijom poduzetnika, a sve s ciljem jačanja konkurentnosti.  </w:t>
      </w:r>
    </w:p>
    <w:p w:rsidR="00D849AA" w:rsidRDefault="00EE6D95">
      <w:pPr>
        <w:pStyle w:val="Normal6"/>
      </w:pPr>
      <w:r>
        <w:t xml:space="preserve"> </w:t>
      </w:r>
    </w:p>
    <w:p w:rsidR="00D849AA" w:rsidRDefault="00EE6D95">
      <w:pPr>
        <w:pStyle w:val="Normal6"/>
      </w:pPr>
      <w:r>
        <w:t xml:space="preserve">2.5. DUNAVSKA STRATEGIJA Makroregionalni program za učinkovitiji razvoj dunavske regije </w:t>
      </w:r>
    </w:p>
    <w:p w:rsidR="00D849AA" w:rsidRDefault="00EE6D95">
      <w:pPr>
        <w:pStyle w:val="Normal6"/>
      </w:pPr>
      <w:r>
        <w:t xml:space="preserve">Dunavska strategija je novi program EU za makroregiju u kojem sudjeluje osam članica EU-a te šest nečlanica Unije i Podunavlja koje čine Njemačka, Austrija, Češka, Slovačka, Slovenija, Mađarska, Bugarska i Rumunjska, te Hrvatska, Srbija, Bosna i Hercegovina, Crna Gora, Ukrajina i Moldavija. Navedenih 14 zemalja imaju više od 115 milijuna stanovnika i uključuju se u projekt stvaranja druge makroregije u Europi. Aktivnosti su utvrđene akcijskim planom Europske strategije za razvoj dunavske regije - dokumenta koji je u lipnju 2011. usvojen od strane Europskog Vijeća. </w:t>
      </w:r>
    </w:p>
    <w:p w:rsidR="00D849AA" w:rsidRDefault="00EE6D95">
      <w:pPr>
        <w:pStyle w:val="Normal6"/>
      </w:pPr>
      <w:r>
        <w:t xml:space="preserve">Sudjelovanje RH u su-koordinaciji s Ministarstvom gospodarstva Baden-Württemberga u prioritetnom području 8 „Podrška razvoju konkurentnosti, uključujući razvoj klastera“, otvara nove mogućnosti za društveno-gospodarski razvoj Hrvatske kroz implementaciju prekograničnih i trans-nacionalnih projekata sa zemljama regije. Ono je, također, prilika za daljnje jačanje nacionalnih, regionalnih i lokalnih institucionalnih kapaciteta i primjenu iskustava i znanja stečenih u hrvatskim pretpristupnim pregovorima. </w:t>
      </w:r>
    </w:p>
    <w:p w:rsidR="00D849AA" w:rsidRDefault="00EE6D95">
      <w:pPr>
        <w:pStyle w:val="Normal6"/>
      </w:pPr>
      <w:r>
        <w:t>Kako je Europska strategija za razvoj dunavske regije prvenstveno mehanizam za suradnju koji ne zahtjeva stvaranje nove EU strukture ili institucija, te je upućen na financiranje iz postojećih EU programa I fondova provodi se Akcijskim planom za razvoj dunavske regije koji daje detaljne informacije o mogućim organizacijama, strukturama, centrima, udrugama i mrežama koje mogu biti uključene u implementaciju aktivnosti i projekata.</w:t>
      </w:r>
    </w:p>
    <w:p w:rsidR="00B151E0" w:rsidRDefault="00B151E0">
      <w:pPr>
        <w:pStyle w:val="Normal6"/>
      </w:pPr>
    </w:p>
    <w:p w:rsidR="00B151E0" w:rsidRDefault="00B151E0">
      <w:pPr>
        <w:pStyle w:val="Normal6"/>
      </w:pPr>
    </w:p>
    <w:p w:rsidR="00D849AA" w:rsidRDefault="00EE6D95">
      <w:pPr>
        <w:pStyle w:val="Naslov8"/>
        <w:jc w:val="left"/>
      </w:pPr>
      <w:r>
        <w:lastRenderedPageBreak/>
        <w:t>Pokazatelji učinka</w:t>
      </w:r>
    </w:p>
    <w:tbl>
      <w:tblPr>
        <w:tblStyle w:val="Reetkatablice"/>
        <w:tblW w:w="0" w:type="auto"/>
        <w:jc w:val="center"/>
        <w:tblLook w:val="04A0" w:firstRow="1" w:lastRow="0" w:firstColumn="1" w:lastColumn="0" w:noHBand="0" w:noVBand="1"/>
      </w:tblPr>
      <w:tblGrid>
        <w:gridCol w:w="2229"/>
        <w:gridCol w:w="1238"/>
        <w:gridCol w:w="1238"/>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Razina iskorištenosti planiranih sredstava</w:t>
            </w:r>
          </w:p>
        </w:tc>
        <w:tc>
          <w:tcPr>
            <w:tcW w:w="1114" w:type="dxa"/>
          </w:tcPr>
          <w:p w:rsidR="00D849AA" w:rsidRDefault="00EE6D95">
            <w:r>
              <w:t>%</w:t>
            </w:r>
          </w:p>
        </w:tc>
        <w:tc>
          <w:tcPr>
            <w:tcW w:w="1114" w:type="dxa"/>
          </w:tcPr>
          <w:p w:rsidR="00D849AA" w:rsidRDefault="00EE6D95">
            <w:r>
              <w:t>18</w:t>
            </w:r>
          </w:p>
        </w:tc>
        <w:tc>
          <w:tcPr>
            <w:tcW w:w="1486" w:type="dxa"/>
          </w:tcPr>
          <w:p w:rsidR="00D849AA" w:rsidRDefault="00EE6D95">
            <w:r>
              <w:t>56</w:t>
            </w:r>
          </w:p>
        </w:tc>
        <w:tc>
          <w:tcPr>
            <w:tcW w:w="1486" w:type="dxa"/>
          </w:tcPr>
          <w:p w:rsidR="00D849AA" w:rsidRDefault="00EE6D95">
            <w:r>
              <w:t>82</w:t>
            </w:r>
          </w:p>
        </w:tc>
        <w:tc>
          <w:tcPr>
            <w:tcW w:w="1486" w:type="dxa"/>
          </w:tcPr>
          <w:p w:rsidR="00D849AA" w:rsidRDefault="00EE6D95">
            <w:r>
              <w:t>100</w:t>
            </w:r>
          </w:p>
        </w:tc>
      </w:tr>
      <w:tr w:rsidR="00D849AA">
        <w:trPr>
          <w:jc w:val="center"/>
        </w:trPr>
        <w:tc>
          <w:tcPr>
            <w:tcW w:w="2229" w:type="dxa"/>
          </w:tcPr>
          <w:p w:rsidR="00D849AA" w:rsidRDefault="00EE6D95">
            <w:pPr>
              <w:pStyle w:val="CellColumn"/>
            </w:pPr>
            <w:r>
              <w:t>Kvaliteta suradnje s ključnim dionicima</w:t>
            </w:r>
          </w:p>
        </w:tc>
        <w:tc>
          <w:tcPr>
            <w:tcW w:w="1114" w:type="dxa"/>
          </w:tcPr>
          <w:p w:rsidR="00D849AA" w:rsidRDefault="00EE6D95">
            <w:r>
              <w:t xml:space="preserve">Broj </w:t>
            </w:r>
          </w:p>
          <w:p w:rsidR="00D849AA" w:rsidRDefault="00EE6D95">
            <w:r>
              <w:t xml:space="preserve"> </w:t>
            </w:r>
          </w:p>
          <w:p w:rsidR="00D849AA" w:rsidRDefault="00EE6D95">
            <w:r>
              <w:t xml:space="preserve">% </w:t>
            </w:r>
          </w:p>
          <w:p w:rsidR="00D849AA" w:rsidRDefault="00EE6D95">
            <w:r>
              <w:t xml:space="preserve"> </w:t>
            </w:r>
          </w:p>
          <w:p w:rsidR="00D849AA" w:rsidRDefault="00EE6D95">
            <w:r>
              <w:t xml:space="preserve"> </w:t>
            </w:r>
          </w:p>
          <w:p w:rsidR="00D849AA" w:rsidRDefault="00EE6D95" w:rsidP="00B151E0">
            <w:r>
              <w:t xml:space="preserve"> </w:t>
            </w:r>
            <w:r w:rsidR="00B151E0">
              <w:t>R</w:t>
            </w:r>
            <w:r>
              <w:t>azina uspješnosti prema SME Performance Review</w:t>
            </w:r>
          </w:p>
        </w:tc>
        <w:tc>
          <w:tcPr>
            <w:tcW w:w="1114" w:type="dxa"/>
          </w:tcPr>
          <w:p w:rsidR="00D849AA" w:rsidRDefault="00EE6D95">
            <w:r>
              <w:t xml:space="preserve">30-40 dionika, </w:t>
            </w:r>
          </w:p>
          <w:p w:rsidR="00D849AA" w:rsidRDefault="00EE6D95">
            <w:r>
              <w:t xml:space="preserve">50% aktivnih </w:t>
            </w:r>
          </w:p>
          <w:p w:rsidR="00D849AA" w:rsidRDefault="00EE6D95">
            <w:r>
              <w:t xml:space="preserve"> </w:t>
            </w:r>
          </w:p>
          <w:p w:rsidR="00D849AA" w:rsidRDefault="00EE6D95">
            <w:r>
              <w:t xml:space="preserve"> </w:t>
            </w:r>
          </w:p>
          <w:p w:rsidR="00D849AA" w:rsidRDefault="00EE6D95">
            <w:r>
              <w:t>Razina uspješnosti po pojedinim načelima SBA prema SME Performance Review iz 2013.</w:t>
            </w:r>
          </w:p>
        </w:tc>
        <w:tc>
          <w:tcPr>
            <w:tcW w:w="1486" w:type="dxa"/>
          </w:tcPr>
          <w:p w:rsidR="00D849AA" w:rsidRDefault="00EE6D95">
            <w:r>
              <w:t xml:space="preserve">40-50 dionika, </w:t>
            </w:r>
          </w:p>
          <w:p w:rsidR="00D849AA" w:rsidRDefault="00EE6D95">
            <w:r>
              <w:t xml:space="preserve">75% aktivnih </w:t>
            </w:r>
          </w:p>
          <w:p w:rsidR="00D849AA" w:rsidRDefault="00EE6D95">
            <w:r>
              <w:t xml:space="preserve"> </w:t>
            </w:r>
          </w:p>
          <w:p w:rsidR="00D849AA" w:rsidRDefault="00EE6D95">
            <w:r>
              <w:t xml:space="preserve"> </w:t>
            </w:r>
          </w:p>
          <w:p w:rsidR="00D849AA" w:rsidRDefault="00EE6D95">
            <w:r>
              <w:t xml:space="preserve"> </w:t>
            </w:r>
          </w:p>
          <w:p w:rsidR="00D849AA" w:rsidRDefault="00EE6D95">
            <w:r>
              <w:t>Povećanje razine uspješnosti – min 1 razina više</w:t>
            </w:r>
          </w:p>
        </w:tc>
        <w:tc>
          <w:tcPr>
            <w:tcW w:w="1486" w:type="dxa"/>
          </w:tcPr>
          <w:p w:rsidR="00D849AA" w:rsidRDefault="00EE6D95">
            <w:r>
              <w:t xml:space="preserve">40-50 dionika, </w:t>
            </w:r>
          </w:p>
          <w:p w:rsidR="00D849AA" w:rsidRDefault="00EE6D95">
            <w:r>
              <w:t xml:space="preserve">100% aktivnih </w:t>
            </w:r>
          </w:p>
          <w:p w:rsidR="00D849AA" w:rsidRDefault="00EE6D95">
            <w:r>
              <w:t xml:space="preserve"> </w:t>
            </w:r>
          </w:p>
          <w:p w:rsidR="00D849AA" w:rsidRDefault="00EE6D95">
            <w:r>
              <w:t xml:space="preserve"> </w:t>
            </w:r>
          </w:p>
          <w:p w:rsidR="00D849AA" w:rsidRDefault="00EE6D95">
            <w:r>
              <w:t xml:space="preserve"> </w:t>
            </w:r>
          </w:p>
          <w:p w:rsidR="00D849AA" w:rsidRDefault="00EE6D95">
            <w:r>
              <w:t>Povećanje razine uspješnosti – min 1 razina više</w:t>
            </w:r>
          </w:p>
        </w:tc>
        <w:tc>
          <w:tcPr>
            <w:tcW w:w="1486" w:type="dxa"/>
          </w:tcPr>
          <w:p w:rsidR="00D849AA" w:rsidRDefault="00EE6D95">
            <w:r>
              <w:t xml:space="preserve">40-50 dionika, </w:t>
            </w:r>
          </w:p>
          <w:p w:rsidR="00D849AA" w:rsidRDefault="00EE6D95">
            <w:r>
              <w:t xml:space="preserve">100% aktivnih </w:t>
            </w:r>
          </w:p>
          <w:p w:rsidR="00D849AA" w:rsidRDefault="00EE6D95">
            <w:r>
              <w:t xml:space="preserve"> </w:t>
            </w:r>
          </w:p>
          <w:p w:rsidR="00D849AA" w:rsidRDefault="00EE6D95">
            <w:r>
              <w:t xml:space="preserve"> </w:t>
            </w:r>
          </w:p>
          <w:p w:rsidR="00D849AA" w:rsidRDefault="00EE6D95">
            <w:r>
              <w:t xml:space="preserve"> </w:t>
            </w:r>
          </w:p>
          <w:p w:rsidR="00D849AA" w:rsidRDefault="00EE6D95">
            <w:r>
              <w:t>Povećanje razine uspješnosti – min 1 razina više</w:t>
            </w:r>
          </w:p>
        </w:tc>
      </w:tr>
      <w:tr w:rsidR="00D849AA">
        <w:trPr>
          <w:jc w:val="center"/>
        </w:trPr>
        <w:tc>
          <w:tcPr>
            <w:tcW w:w="2229" w:type="dxa"/>
          </w:tcPr>
          <w:p w:rsidR="00D849AA" w:rsidRDefault="00EE6D95">
            <w:pPr>
              <w:pStyle w:val="CellColumn"/>
            </w:pPr>
            <w:r>
              <w:t>Veća inovacijska sposobnost MSP-a i njihova bolja povezanost sa znanstvenim institucijama</w:t>
            </w:r>
          </w:p>
        </w:tc>
        <w:tc>
          <w:tcPr>
            <w:tcW w:w="1114" w:type="dxa"/>
          </w:tcPr>
          <w:p w:rsidR="00D849AA" w:rsidRDefault="00EE6D95">
            <w:r>
              <w:t>Broj</w:t>
            </w:r>
          </w:p>
        </w:tc>
        <w:tc>
          <w:tcPr>
            <w:tcW w:w="1114" w:type="dxa"/>
          </w:tcPr>
          <w:p w:rsidR="00D849AA" w:rsidRDefault="00EE6D95">
            <w:r>
              <w:t>0</w:t>
            </w:r>
          </w:p>
        </w:tc>
        <w:tc>
          <w:tcPr>
            <w:tcW w:w="1486" w:type="dxa"/>
          </w:tcPr>
          <w:p w:rsidR="00D849AA" w:rsidRDefault="00EE6D95">
            <w:r>
              <w:t>2</w:t>
            </w:r>
          </w:p>
        </w:tc>
        <w:tc>
          <w:tcPr>
            <w:tcW w:w="1486" w:type="dxa"/>
          </w:tcPr>
          <w:p w:rsidR="00D849AA" w:rsidRDefault="00EE6D95">
            <w:r>
              <w:t>3</w:t>
            </w:r>
          </w:p>
        </w:tc>
        <w:tc>
          <w:tcPr>
            <w:tcW w:w="1486" w:type="dxa"/>
          </w:tcPr>
          <w:p w:rsidR="00D849AA" w:rsidRDefault="00EE6D95">
            <w:r>
              <w:t>3</w:t>
            </w:r>
          </w:p>
        </w:tc>
      </w:tr>
      <w:tr w:rsidR="00D849AA">
        <w:trPr>
          <w:jc w:val="center"/>
        </w:trPr>
        <w:tc>
          <w:tcPr>
            <w:tcW w:w="2229" w:type="dxa"/>
          </w:tcPr>
          <w:p w:rsidR="00D849AA" w:rsidRDefault="00EE6D95">
            <w:pPr>
              <w:pStyle w:val="CellColumn"/>
            </w:pPr>
            <w:r>
              <w:t xml:space="preserve">Razina iskorištenosti planiranih sredstava </w:t>
            </w:r>
          </w:p>
          <w:p w:rsidR="00D849AA" w:rsidRDefault="00EE6D95">
            <w:pPr>
              <w:pStyle w:val="CellColumn"/>
            </w:pPr>
            <w:r>
              <w:t>Izgradnja SEECEL centra</w:t>
            </w:r>
          </w:p>
        </w:tc>
        <w:tc>
          <w:tcPr>
            <w:tcW w:w="1114" w:type="dxa"/>
          </w:tcPr>
          <w:p w:rsidR="00D849AA" w:rsidRDefault="00EE6D95">
            <w:r>
              <w:t xml:space="preserve">% </w:t>
            </w:r>
          </w:p>
          <w:p w:rsidR="00D849AA" w:rsidRDefault="00EE6D95">
            <w:r>
              <w:t>%</w:t>
            </w:r>
          </w:p>
        </w:tc>
        <w:tc>
          <w:tcPr>
            <w:tcW w:w="1114" w:type="dxa"/>
          </w:tcPr>
          <w:p w:rsidR="00D849AA" w:rsidRDefault="00EE6D95">
            <w:r>
              <w:t xml:space="preserve">0 </w:t>
            </w:r>
          </w:p>
          <w:p w:rsidR="00D849AA" w:rsidRDefault="00EE6D95">
            <w:r>
              <w:t>0</w:t>
            </w:r>
          </w:p>
        </w:tc>
        <w:tc>
          <w:tcPr>
            <w:tcW w:w="1486" w:type="dxa"/>
          </w:tcPr>
          <w:p w:rsidR="00D849AA" w:rsidRDefault="00EE6D95">
            <w:r>
              <w:t xml:space="preserve">30 </w:t>
            </w:r>
          </w:p>
          <w:p w:rsidR="00D849AA" w:rsidRDefault="00EE6D95">
            <w:r>
              <w:t>20</w:t>
            </w:r>
          </w:p>
        </w:tc>
        <w:tc>
          <w:tcPr>
            <w:tcW w:w="1486" w:type="dxa"/>
          </w:tcPr>
          <w:p w:rsidR="00D849AA" w:rsidRDefault="00EE6D95">
            <w:r>
              <w:t xml:space="preserve">70 </w:t>
            </w:r>
          </w:p>
          <w:p w:rsidR="00D849AA" w:rsidRDefault="00EE6D95">
            <w:r>
              <w:t>70</w:t>
            </w:r>
          </w:p>
        </w:tc>
        <w:tc>
          <w:tcPr>
            <w:tcW w:w="1486" w:type="dxa"/>
          </w:tcPr>
          <w:p w:rsidR="00D849AA" w:rsidRDefault="00EE6D95">
            <w:r>
              <w:t xml:space="preserve">100 </w:t>
            </w:r>
          </w:p>
          <w:p w:rsidR="00D849AA" w:rsidRDefault="00EE6D95">
            <w:r>
              <w:t>100</w:t>
            </w:r>
          </w:p>
        </w:tc>
      </w:tr>
      <w:tr w:rsidR="00D849AA">
        <w:trPr>
          <w:jc w:val="center"/>
        </w:trPr>
        <w:tc>
          <w:tcPr>
            <w:tcW w:w="2229" w:type="dxa"/>
          </w:tcPr>
          <w:p w:rsidR="00D849AA" w:rsidRDefault="00EE6D95">
            <w:pPr>
              <w:pStyle w:val="CellColumn"/>
            </w:pPr>
            <w:r>
              <w:t>Održane radionice za razvoj klastera</w:t>
            </w:r>
          </w:p>
        </w:tc>
        <w:tc>
          <w:tcPr>
            <w:tcW w:w="1114" w:type="dxa"/>
          </w:tcPr>
          <w:p w:rsidR="00D849AA" w:rsidRDefault="00EE6D95">
            <w:r>
              <w:t>Broj</w:t>
            </w:r>
          </w:p>
        </w:tc>
        <w:tc>
          <w:tcPr>
            <w:tcW w:w="1114" w:type="dxa"/>
          </w:tcPr>
          <w:p w:rsidR="00D849AA" w:rsidRDefault="00EE6D95">
            <w:r>
              <w:t>1</w:t>
            </w:r>
          </w:p>
        </w:tc>
        <w:tc>
          <w:tcPr>
            <w:tcW w:w="1486" w:type="dxa"/>
          </w:tcPr>
          <w:p w:rsidR="00D849AA" w:rsidRDefault="00EE6D95">
            <w:r>
              <w:t>2</w:t>
            </w:r>
          </w:p>
        </w:tc>
        <w:tc>
          <w:tcPr>
            <w:tcW w:w="1486" w:type="dxa"/>
          </w:tcPr>
          <w:p w:rsidR="00D849AA" w:rsidRDefault="00EE6D95">
            <w:r>
              <w:t>2</w:t>
            </w:r>
          </w:p>
        </w:tc>
        <w:tc>
          <w:tcPr>
            <w:tcW w:w="1486" w:type="dxa"/>
          </w:tcPr>
          <w:p w:rsidR="00D849AA" w:rsidRDefault="00EE6D95">
            <w:r>
              <w:t>2</w:t>
            </w:r>
          </w:p>
        </w:tc>
      </w:tr>
      <w:tr w:rsidR="00D849AA">
        <w:trPr>
          <w:jc w:val="center"/>
        </w:trPr>
        <w:tc>
          <w:tcPr>
            <w:tcW w:w="2229" w:type="dxa"/>
          </w:tcPr>
          <w:p w:rsidR="00D849AA" w:rsidRDefault="00EE6D95">
            <w:pPr>
              <w:pStyle w:val="CellColumn"/>
            </w:pPr>
            <w:r>
              <w:t>Koordinacija provedbe Prioritetnog područja 8 između MINPO-a RH i MINGO Baden Württemberg</w:t>
            </w:r>
          </w:p>
        </w:tc>
        <w:tc>
          <w:tcPr>
            <w:tcW w:w="1114" w:type="dxa"/>
          </w:tcPr>
          <w:p w:rsidR="00D849AA" w:rsidRDefault="00EE6D95">
            <w:r>
              <w:t>Broj</w:t>
            </w:r>
          </w:p>
        </w:tc>
        <w:tc>
          <w:tcPr>
            <w:tcW w:w="1114" w:type="dxa"/>
          </w:tcPr>
          <w:p w:rsidR="00D849AA" w:rsidRDefault="00EE6D95">
            <w:r>
              <w:t>6</w:t>
            </w:r>
          </w:p>
        </w:tc>
        <w:tc>
          <w:tcPr>
            <w:tcW w:w="1486" w:type="dxa"/>
          </w:tcPr>
          <w:p w:rsidR="00D849AA" w:rsidRDefault="00EE6D95">
            <w:r>
              <w:t>6</w:t>
            </w:r>
          </w:p>
        </w:tc>
        <w:tc>
          <w:tcPr>
            <w:tcW w:w="1486" w:type="dxa"/>
          </w:tcPr>
          <w:p w:rsidR="00D849AA" w:rsidRDefault="00EE6D95">
            <w:r>
              <w:t>7</w:t>
            </w:r>
          </w:p>
        </w:tc>
        <w:tc>
          <w:tcPr>
            <w:tcW w:w="1486" w:type="dxa"/>
          </w:tcPr>
          <w:p w:rsidR="00D849AA" w:rsidRDefault="00EE6D95">
            <w:r>
              <w:t>8</w:t>
            </w:r>
          </w:p>
        </w:tc>
      </w:tr>
      <w:tr w:rsidR="00D849AA">
        <w:trPr>
          <w:jc w:val="center"/>
        </w:trPr>
        <w:tc>
          <w:tcPr>
            <w:tcW w:w="2229" w:type="dxa"/>
          </w:tcPr>
          <w:p w:rsidR="00D849AA" w:rsidRDefault="00EE6D95">
            <w:pPr>
              <w:pStyle w:val="CellColumn"/>
            </w:pPr>
            <w:r>
              <w:t>Broj prijavljenih projektnih prijedloga</w:t>
            </w:r>
          </w:p>
        </w:tc>
        <w:tc>
          <w:tcPr>
            <w:tcW w:w="1114" w:type="dxa"/>
          </w:tcPr>
          <w:p w:rsidR="00D849AA" w:rsidRDefault="00EE6D95">
            <w:r>
              <w:t>Broj</w:t>
            </w:r>
          </w:p>
        </w:tc>
        <w:tc>
          <w:tcPr>
            <w:tcW w:w="1114" w:type="dxa"/>
          </w:tcPr>
          <w:p w:rsidR="00D849AA" w:rsidRDefault="00EE6D95">
            <w:r>
              <w:t>7</w:t>
            </w:r>
          </w:p>
        </w:tc>
        <w:tc>
          <w:tcPr>
            <w:tcW w:w="1486" w:type="dxa"/>
          </w:tcPr>
          <w:p w:rsidR="00D849AA" w:rsidRDefault="00EE6D95">
            <w:r>
              <w:t>7</w:t>
            </w:r>
          </w:p>
        </w:tc>
        <w:tc>
          <w:tcPr>
            <w:tcW w:w="1486" w:type="dxa"/>
          </w:tcPr>
          <w:p w:rsidR="00D849AA" w:rsidRDefault="00EE6D95">
            <w:r>
              <w:t>8</w:t>
            </w:r>
          </w:p>
        </w:tc>
        <w:tc>
          <w:tcPr>
            <w:tcW w:w="1486" w:type="dxa"/>
          </w:tcPr>
          <w:p w:rsidR="00D849AA" w:rsidRDefault="00EE6D95">
            <w:r>
              <w:t>9</w:t>
            </w:r>
          </w:p>
        </w:tc>
      </w:tr>
    </w:tbl>
    <w:p w:rsidR="00D849AA" w:rsidRDefault="00D849AA">
      <w:pPr>
        <w:jc w:val="left"/>
      </w:pPr>
    </w:p>
    <w:p w:rsidR="00D849AA" w:rsidRDefault="00EE6D95">
      <w:pPr>
        <w:pStyle w:val="Naslov5"/>
      </w:pPr>
      <w:r>
        <w:lastRenderedPageBreak/>
        <w:t>Procjena i ishodište potrebnih sredstava za značajnije aktivnosti/projekte</w:t>
      </w:r>
    </w:p>
    <w:p w:rsidR="00D849AA" w:rsidRDefault="00EE6D95">
      <w:pPr>
        <w:pStyle w:val="Naslov6"/>
      </w:pPr>
      <w:r>
        <w:t>A560091 SUBVENCIJE KAMATA ZA PODUZETNIČKE KREDITE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A560091</w:t>
            </w:r>
          </w:p>
        </w:tc>
        <w:tc>
          <w:tcPr>
            <w:tcW w:w="1486" w:type="dxa"/>
          </w:tcPr>
          <w:p w:rsidR="00D849AA" w:rsidRDefault="00EE6D95">
            <w:r>
              <w:t>40.289.043</w:t>
            </w:r>
          </w:p>
        </w:tc>
        <w:tc>
          <w:tcPr>
            <w:tcW w:w="1486" w:type="dxa"/>
          </w:tcPr>
          <w:p w:rsidR="00D849AA" w:rsidRDefault="00EE6D95">
            <w:r>
              <w:t>49.150.870</w:t>
            </w:r>
          </w:p>
        </w:tc>
        <w:tc>
          <w:tcPr>
            <w:tcW w:w="1486" w:type="dxa"/>
          </w:tcPr>
          <w:p w:rsidR="00D849AA" w:rsidRDefault="00EE6D95">
            <w:r>
              <w:t>35.510.400</w:t>
            </w:r>
          </w:p>
        </w:tc>
        <w:tc>
          <w:tcPr>
            <w:tcW w:w="1486" w:type="dxa"/>
          </w:tcPr>
          <w:p w:rsidR="00D849AA" w:rsidRDefault="00EE6D95">
            <w:r>
              <w:t>30.325.960</w:t>
            </w:r>
          </w:p>
        </w:tc>
        <w:tc>
          <w:tcPr>
            <w:tcW w:w="1486" w:type="dxa"/>
          </w:tcPr>
          <w:p w:rsidR="00D849AA" w:rsidRDefault="00EE6D95">
            <w:r>
              <w:t>122,0</w:t>
            </w:r>
          </w:p>
        </w:tc>
      </w:tr>
    </w:tbl>
    <w:p w:rsidR="00D849AA" w:rsidRDefault="00D849AA">
      <w:pPr>
        <w:jc w:val="left"/>
      </w:pPr>
    </w:p>
    <w:p w:rsidR="00D849AA" w:rsidRDefault="00EE6D95">
      <w:pPr>
        <w:pStyle w:val="Normal6"/>
      </w:pPr>
      <w:r>
        <w:t xml:space="preserve">Poticanje boljeg financiranja malog i srednjeg poduzetništva i obrtništva temelji se na  pravilima za državne potpore u obliku subvencija kamata na poduzetničke kredite. U razdoblju od 2004. do 2007. godine provedena je kreditna linija „Lokalni projekti razvoja – Poduzetnik“ u suradnji sa županijama/Gradom Zagrebom i svim većim poslovnim bankama u Hrvatskoj, a temeljem tripartitnog ugovora. Krediti su odobravani za 6 kreditnih potprograma „Poduzetnik“, „Branitelji“, „Socijalne usluge“, „Nove tehnologije“, „Poduzetništvo žena“ „Poduzetništvo mladih. Rok otplate kredita je do10 godina u koji je uključen poček od najviše 2 godine. Ukupno je odobreno 3.778 kredita u vrijednosti 4.065.823.913 kuna, te se prema roku otplate subvencije moraju i dalje uredno servisirati. Krajnji rok za otplatu anuiteta po odobrenim  kreditima je 2019. godina. </w:t>
      </w:r>
    </w:p>
    <w:p w:rsidR="00D849AA" w:rsidRDefault="00EE6D95">
      <w:pPr>
        <w:pStyle w:val="Normal6"/>
      </w:pPr>
      <w:r>
        <w:t xml:space="preserve">U 2009. godini započela je provedba dva kreditna projekta, „Lokalni projekti razvoja malog gospodarstva“ (LPR-MG) i „Lokalni projekti razvoja –mikrokreditiranje“ (LPR-MK) po modelu uvedenom prilikom provedbe kreditnog projekta LPR-P, tj. uz sudjelovanje županija/Grada Zagreba i poslovnih banaka. </w:t>
      </w:r>
    </w:p>
    <w:p w:rsidR="00D849AA" w:rsidRDefault="00EE6D95">
      <w:pPr>
        <w:pStyle w:val="Normal6"/>
      </w:pPr>
      <w:r>
        <w:t xml:space="preserve"> LPR-MG je kreditna linija za poticanje investicija za kredite u vrijednosti od 200.000 kuna do 5 milijuna kuna uz uvjete promjenljive kamate, stvoreni kreditni potencijal iznosi 1,44 milijarde kuna. U kreditnu liniju uključeno je i operativno provodi 19 županija. Subvencije kamata su različite jer su različiti iznosi ugovornih obveze za kamate kako po poslovnim bankama tako i na razini županija/Grada Zagreba. </w:t>
      </w:r>
    </w:p>
    <w:p w:rsidR="00D849AA" w:rsidRDefault="00EE6D95">
      <w:pPr>
        <w:pStyle w:val="Normal6"/>
      </w:pPr>
      <w:r>
        <w:t xml:space="preserve">LPR-MK se provodi za kredite u vrijednosti od 35.000 do 200.000 kuna, u kreditnoj liniji sudjeluje 11 županija i Grad Zagreb, a stvoreni kreditni potencijal iznosi 90,0 milijuna kuna.  </w:t>
      </w:r>
    </w:p>
    <w:p w:rsidR="00D849AA" w:rsidRDefault="00EE6D95" w:rsidP="00B151E0">
      <w:pPr>
        <w:pStyle w:val="Normal6"/>
      </w:pPr>
      <w:r>
        <w:t xml:space="preserve">Razmatra se provođenje nove kreditne linije, koja bi predstavljala nastavak LPR-MG i LPR-MK, a po istom modelu uz sudjelovanje županija/Grada Zagreba i poslovnih banaka, a kojom bi se subvencionirala kamata na poduzetničke kredite za financiranje projekata iz proizvodne i uslužne djelatnosti sukladno utvrđenoj Nacionalnoj klasifikacijskoj djelatnosti. </w:t>
      </w:r>
    </w:p>
    <w:p w:rsidR="00D849AA" w:rsidRDefault="00EE6D95" w:rsidP="00B151E0">
      <w:pPr>
        <w:pStyle w:val="Normal6"/>
      </w:pPr>
      <w:r>
        <w:t xml:space="preserve">U svrhu provedbe mjera za kreditiranje poduzetnika početnika i mladih do 30 godina, HBOR je u rujnu 2013. godine započeo provedbu novih  kreditnih programa uz subvenciju kamatne stope od 2% poena od strane Ministarstva poduzetništva i obrta. Program "Poduzetništvo mladih", koji kreditira društva koja su u većinskom vlasništvu jedne ili više osoba mlađih od 30 godina i čiju upravu vodi osoba u dobi do 30 godina i program Početnici", u kojem su korisnici mali i srednji poduzetnici koji posluju manje od dvije godine i mlađi su od 55 godina. Kamatna stopa iznosi u konačnici 2%.  </w:t>
      </w:r>
    </w:p>
    <w:p w:rsidR="00D849AA" w:rsidRDefault="00EE6D95">
      <w:pPr>
        <w:pStyle w:val="Normal6"/>
      </w:pPr>
      <w:r>
        <w:t>Početkom 2014. godine trebalo bi započeti s provođenjem nove  kreditne linije „Program za likvidnost MINPO-a“, linije za povoljno mikrokreditiranje gospodarskih subjekata s rokom otplate od 4 godine. Maksimalni iznos kredita bio bi do 50.000,00 kuna, sa subvencioniranom kamatnom stopom od 0,99%.</w:t>
      </w:r>
    </w:p>
    <w:p w:rsidR="00B151E0" w:rsidRDefault="00B151E0">
      <w:pPr>
        <w:pStyle w:val="Normal6"/>
      </w:pPr>
    </w:p>
    <w:p w:rsidR="00B151E0" w:rsidRDefault="00B151E0">
      <w:pPr>
        <w:pStyle w:val="Normal6"/>
      </w:pPr>
    </w:p>
    <w:p w:rsidR="00D849AA" w:rsidRDefault="00EE6D95">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Broj odobrenih  kredita</w:t>
            </w:r>
          </w:p>
        </w:tc>
        <w:tc>
          <w:tcPr>
            <w:tcW w:w="1114" w:type="dxa"/>
          </w:tcPr>
          <w:p w:rsidR="00D849AA" w:rsidRDefault="00EE6D95">
            <w:r>
              <w:t>Broj kredita</w:t>
            </w:r>
          </w:p>
        </w:tc>
        <w:tc>
          <w:tcPr>
            <w:tcW w:w="1114" w:type="dxa"/>
          </w:tcPr>
          <w:p w:rsidR="00D849AA" w:rsidRDefault="00EE6D95">
            <w:r>
              <w:t>180</w:t>
            </w:r>
          </w:p>
        </w:tc>
        <w:tc>
          <w:tcPr>
            <w:tcW w:w="1486" w:type="dxa"/>
          </w:tcPr>
          <w:p w:rsidR="00D849AA" w:rsidRDefault="00EE6D95">
            <w:r>
              <w:t>145</w:t>
            </w:r>
          </w:p>
        </w:tc>
        <w:tc>
          <w:tcPr>
            <w:tcW w:w="1486" w:type="dxa"/>
          </w:tcPr>
          <w:p w:rsidR="00D849AA" w:rsidRDefault="00EE6D95">
            <w:r>
              <w:t>155</w:t>
            </w:r>
          </w:p>
        </w:tc>
        <w:tc>
          <w:tcPr>
            <w:tcW w:w="1486" w:type="dxa"/>
          </w:tcPr>
          <w:p w:rsidR="00D849AA" w:rsidRDefault="00EE6D95">
            <w:r>
              <w:t>155</w:t>
            </w:r>
          </w:p>
        </w:tc>
      </w:tr>
    </w:tbl>
    <w:p w:rsidR="00D849AA" w:rsidRDefault="00D849AA">
      <w:pPr>
        <w:jc w:val="left"/>
      </w:pPr>
    </w:p>
    <w:p w:rsidR="00D849AA" w:rsidRDefault="00EE6D95">
      <w:pPr>
        <w:pStyle w:val="Naslov6"/>
      </w:pPr>
      <w:r>
        <w:t>A817051 RAZVOJ PODUZETNIČKE INFRASTRUKTURE I POSLOVNOG OKRUŽENJA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A817051</w:t>
            </w:r>
          </w:p>
        </w:tc>
        <w:tc>
          <w:tcPr>
            <w:tcW w:w="1486" w:type="dxa"/>
          </w:tcPr>
          <w:p w:rsidR="00D849AA" w:rsidRDefault="00EE6D95">
            <w:r>
              <w:t>29.099.095</w:t>
            </w:r>
          </w:p>
        </w:tc>
        <w:tc>
          <w:tcPr>
            <w:tcW w:w="1486" w:type="dxa"/>
          </w:tcPr>
          <w:p w:rsidR="00D849AA" w:rsidRDefault="00EE6D95">
            <w:r>
              <w:t>18.030.000</w:t>
            </w:r>
          </w:p>
        </w:tc>
        <w:tc>
          <w:tcPr>
            <w:tcW w:w="1486" w:type="dxa"/>
          </w:tcPr>
          <w:p w:rsidR="00D849AA" w:rsidRDefault="00EE6D95">
            <w:r>
              <w:t>10.230.000</w:t>
            </w:r>
          </w:p>
        </w:tc>
        <w:tc>
          <w:tcPr>
            <w:tcW w:w="1486" w:type="dxa"/>
          </w:tcPr>
          <w:p w:rsidR="00D849AA" w:rsidRDefault="00EE6D95">
            <w:r>
              <w:t>10.230.000</w:t>
            </w:r>
          </w:p>
        </w:tc>
        <w:tc>
          <w:tcPr>
            <w:tcW w:w="1486" w:type="dxa"/>
          </w:tcPr>
          <w:p w:rsidR="00D849AA" w:rsidRDefault="00EE6D95">
            <w:r>
              <w:t>62,0</w:t>
            </w:r>
          </w:p>
        </w:tc>
      </w:tr>
    </w:tbl>
    <w:p w:rsidR="00D849AA" w:rsidRDefault="00D849AA">
      <w:pPr>
        <w:jc w:val="left"/>
      </w:pPr>
    </w:p>
    <w:p w:rsidR="00D849AA" w:rsidRDefault="00EE6D95">
      <w:pPr>
        <w:pStyle w:val="Normal6"/>
      </w:pPr>
      <w:r>
        <w:t xml:space="preserve">Strateškim planom MINPO-a, u vezi s navedenom aktivnosti A817051 Razvoj poduzetničke infrastrukture i poslovnog okruženja, definirani su sljedeći ciljevi: </w:t>
      </w:r>
    </w:p>
    <w:p w:rsidR="00D849AA" w:rsidRDefault="00EE6D95">
      <w:pPr>
        <w:pStyle w:val="Normal6"/>
      </w:pPr>
      <w:r>
        <w:t>•</w:t>
      </w:r>
      <w:r>
        <w:tab/>
        <w:t xml:space="preserve">opći cilj – Povećanje konkurentnosti malog gospodarstva   </w:t>
      </w:r>
    </w:p>
    <w:p w:rsidR="00D849AA" w:rsidRDefault="00EE6D95">
      <w:pPr>
        <w:pStyle w:val="Normal6"/>
      </w:pPr>
      <w:r>
        <w:t>•</w:t>
      </w:r>
      <w:r>
        <w:tab/>
        <w:t xml:space="preserve">posebni cilj – Učinkovita poduzetnička infrastruktura. </w:t>
      </w:r>
    </w:p>
    <w:p w:rsidR="00D849AA" w:rsidRDefault="00EE6D95">
      <w:pPr>
        <w:pStyle w:val="Normal6"/>
      </w:pPr>
      <w:r>
        <w:t xml:space="preserve"> </w:t>
      </w:r>
    </w:p>
    <w:p w:rsidR="00D849AA" w:rsidRDefault="00EE6D95">
      <w:pPr>
        <w:pStyle w:val="Normal6"/>
      </w:pPr>
      <w:r>
        <w:t xml:space="preserve">Za ostvarivanje ovog posebnog cilja potrebna je učinkovita provedba projekata namijenjenih sufinanciranju razvoja poduzetničke infrastrukture, kao i praćenje rezultata provedbe istih u cilju podizanja „infrastrukturne kvalitete“ i „kvalitete poslovne podrške“ unutar sustava poduzetničkih zona i poduzetničkih potpornih institucija u RH, te daljnjeg razvoja investicijskog okruženja i ukupnih gospodarskih aktivnosti u RH.  </w:t>
      </w:r>
    </w:p>
    <w:p w:rsidR="00D849AA" w:rsidRDefault="00EE6D95">
      <w:pPr>
        <w:pStyle w:val="Normal6"/>
      </w:pPr>
      <w:r>
        <w:t xml:space="preserve">Također, ostvarenje ovog posebnog cilja utječe na uspostavljanje konkurentnog, tehnološki naprednog, inovativnog i izvozno orijentiranog malog i srednjeg poduzetništva, te pridonosi i regionalnom razvoju, kao i razvoju projekata povezivanja poduzetništva sa sveučilištima i istraživačkim (znanstvenim) institucijama. </w:t>
      </w:r>
    </w:p>
    <w:p w:rsidR="00D849AA" w:rsidRDefault="00EE6D95">
      <w:pPr>
        <w:pStyle w:val="Normal6"/>
      </w:pPr>
      <w:r>
        <w:t xml:space="preserve">Aktivnost A817051 odnosi se na dodjele bespovratnih novčanih potpora kako slijedi: </w:t>
      </w:r>
    </w:p>
    <w:p w:rsidR="00D849AA" w:rsidRDefault="00EE6D95">
      <w:pPr>
        <w:pStyle w:val="Normal6"/>
      </w:pPr>
      <w:r>
        <w:t>1.</w:t>
      </w:r>
      <w:r>
        <w:tab/>
        <w:t xml:space="preserve">Odobravanje bespovratnih novčanih potpora za razvoj poduzetničkih zona, odnosno sufinanciranje razvoja/izgradnje poduzetničkih zona - doprinosi ostvarenju preduvjeta za daljnji razvoj malog i srednjeg poduzetništva, te za povećanje konkurentnosti tog dijela gospodarstva u RH.  </w:t>
      </w:r>
    </w:p>
    <w:p w:rsidR="00D849AA" w:rsidRDefault="00EE6D95">
      <w:pPr>
        <w:pStyle w:val="Normal6"/>
      </w:pPr>
      <w:r>
        <w:t xml:space="preserve">Izgradnjom poduzetničkih zona u smislu infrastrukturne opremljenosti i prometne povezanosti, te razvojem dodatnih usluga koje se pružaju poduzetnicima koji svoju djelatnost obavljaju u zoni, stvaraju su preduvjeti za realizaciju novih investicijskih projekata, kako domaćih, tako i stranih investitora, što pridonosi ostvarenju općeg cilja.  </w:t>
      </w:r>
    </w:p>
    <w:p w:rsidR="00D849AA" w:rsidRDefault="00EE6D95">
      <w:pPr>
        <w:pStyle w:val="Normal6"/>
      </w:pPr>
      <w:r>
        <w:t xml:space="preserve">Stvaranje učinkovite poduzetničke infrastrukture kroz razvoj poduzetničkih zona, kako bi iste bile na razini međunarodnih standarda, utječe i na povećanje broja aktivnih poduzetnika u poduzetničkim zonama, čime se potiče rast ukupnih gospodarskih aktivnosti, novo zapošljavanje i ravnomjeran regionalni razvoj RH. </w:t>
      </w:r>
    </w:p>
    <w:p w:rsidR="00D849AA" w:rsidRDefault="00EE6D95">
      <w:pPr>
        <w:pStyle w:val="Normal6"/>
      </w:pPr>
      <w:r>
        <w:t>2.</w:t>
      </w:r>
      <w:r>
        <w:tab/>
        <w:t xml:space="preserve">Odobravanje bespovratnih novčanih potpora namijenjenih razvoju poduzetničkih potpornih institucija - potiče se povećanje njihove infrastrukturne opremljenosti, te kvalitativno i kvantitativno unapređenje usluga koje pružaju poduzetnicima, olakšava se </w:t>
      </w:r>
      <w:r>
        <w:lastRenderedPageBreak/>
        <w:t>ulazak u poduzetništvo i pruža pomoć pri rastu i razvoju malih i srednjih poduzetnika, te pomoć poduzetnicima početnicima kroz inkubiranje i inovativni i tehnološki razvoj.</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9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Povećanje broja sufinanciranih poduzetničkih zona</w:t>
            </w:r>
          </w:p>
        </w:tc>
        <w:tc>
          <w:tcPr>
            <w:tcW w:w="1114" w:type="dxa"/>
          </w:tcPr>
          <w:p w:rsidR="00D849AA" w:rsidRDefault="00EE6D95">
            <w:r>
              <w:t>Broj korisnika potpora godišnje</w:t>
            </w:r>
          </w:p>
        </w:tc>
        <w:tc>
          <w:tcPr>
            <w:tcW w:w="1114" w:type="dxa"/>
          </w:tcPr>
          <w:p w:rsidR="00D849AA" w:rsidRDefault="00EE6D95">
            <w:r>
              <w:t>5</w:t>
            </w:r>
          </w:p>
        </w:tc>
        <w:tc>
          <w:tcPr>
            <w:tcW w:w="1486" w:type="dxa"/>
          </w:tcPr>
          <w:p w:rsidR="00D849AA" w:rsidRDefault="00EE6D95">
            <w:r>
              <w:t>7</w:t>
            </w:r>
          </w:p>
        </w:tc>
        <w:tc>
          <w:tcPr>
            <w:tcW w:w="1486" w:type="dxa"/>
          </w:tcPr>
          <w:p w:rsidR="00D849AA" w:rsidRDefault="00EE6D95">
            <w:r>
              <w:t>9</w:t>
            </w:r>
          </w:p>
        </w:tc>
        <w:tc>
          <w:tcPr>
            <w:tcW w:w="1486" w:type="dxa"/>
          </w:tcPr>
          <w:p w:rsidR="00D849AA" w:rsidRDefault="00EE6D95">
            <w:r>
              <w:t>10</w:t>
            </w:r>
          </w:p>
        </w:tc>
      </w:tr>
      <w:tr w:rsidR="00D849AA">
        <w:trPr>
          <w:jc w:val="center"/>
        </w:trPr>
        <w:tc>
          <w:tcPr>
            <w:tcW w:w="2229" w:type="dxa"/>
          </w:tcPr>
          <w:p w:rsidR="00D849AA" w:rsidRDefault="00EE6D95">
            <w:pPr>
              <w:pStyle w:val="CellColumn"/>
            </w:pPr>
            <w:r>
              <w:t>Povećanje broja aktivnih poduzetnika u jpoduzetničkim zonama u RH</w:t>
            </w:r>
          </w:p>
        </w:tc>
        <w:tc>
          <w:tcPr>
            <w:tcW w:w="1114" w:type="dxa"/>
          </w:tcPr>
          <w:p w:rsidR="00D849AA" w:rsidRDefault="00EE6D95">
            <w:r>
              <w:t>Broj poduzetnika</w:t>
            </w:r>
          </w:p>
        </w:tc>
        <w:tc>
          <w:tcPr>
            <w:tcW w:w="1114" w:type="dxa"/>
          </w:tcPr>
          <w:p w:rsidR="00D849AA" w:rsidRDefault="00EE6D95">
            <w:r>
              <w:t>2830</w:t>
            </w:r>
          </w:p>
        </w:tc>
        <w:tc>
          <w:tcPr>
            <w:tcW w:w="1486" w:type="dxa"/>
          </w:tcPr>
          <w:p w:rsidR="00D849AA" w:rsidRDefault="00EE6D95">
            <w:r>
              <w:t>2840</w:t>
            </w:r>
          </w:p>
        </w:tc>
        <w:tc>
          <w:tcPr>
            <w:tcW w:w="1486" w:type="dxa"/>
          </w:tcPr>
          <w:p w:rsidR="00D849AA" w:rsidRDefault="00EE6D95">
            <w:r>
              <w:t>2855</w:t>
            </w:r>
          </w:p>
        </w:tc>
        <w:tc>
          <w:tcPr>
            <w:tcW w:w="1486" w:type="dxa"/>
          </w:tcPr>
          <w:p w:rsidR="00D849AA" w:rsidRDefault="00EE6D95">
            <w:r>
              <w:t>2870</w:t>
            </w:r>
          </w:p>
        </w:tc>
      </w:tr>
      <w:tr w:rsidR="00D849AA">
        <w:trPr>
          <w:jc w:val="center"/>
        </w:trPr>
        <w:tc>
          <w:tcPr>
            <w:tcW w:w="2229" w:type="dxa"/>
          </w:tcPr>
          <w:p w:rsidR="00D849AA" w:rsidRDefault="00EE6D95">
            <w:pPr>
              <w:pStyle w:val="CellColumn"/>
            </w:pPr>
            <w:r>
              <w:t>Povećanje broja sufinanciranih poduzetničkih potpornih institucija</w:t>
            </w:r>
          </w:p>
        </w:tc>
        <w:tc>
          <w:tcPr>
            <w:tcW w:w="1114" w:type="dxa"/>
          </w:tcPr>
          <w:p w:rsidR="00D849AA" w:rsidRDefault="00EE6D95">
            <w:r>
              <w:t>Broj korisnika potpora godišnje</w:t>
            </w:r>
          </w:p>
        </w:tc>
        <w:tc>
          <w:tcPr>
            <w:tcW w:w="1114" w:type="dxa"/>
          </w:tcPr>
          <w:p w:rsidR="00D849AA" w:rsidRDefault="00EE6D95">
            <w:r>
              <w:t>25</w:t>
            </w:r>
          </w:p>
        </w:tc>
        <w:tc>
          <w:tcPr>
            <w:tcW w:w="1486" w:type="dxa"/>
          </w:tcPr>
          <w:p w:rsidR="00D849AA" w:rsidRDefault="00EE6D95">
            <w:r>
              <w:t>30</w:t>
            </w:r>
          </w:p>
        </w:tc>
        <w:tc>
          <w:tcPr>
            <w:tcW w:w="1486" w:type="dxa"/>
          </w:tcPr>
          <w:p w:rsidR="00D849AA" w:rsidRDefault="00EE6D95">
            <w:r>
              <w:t>35</w:t>
            </w:r>
          </w:p>
        </w:tc>
        <w:tc>
          <w:tcPr>
            <w:tcW w:w="1486" w:type="dxa"/>
          </w:tcPr>
          <w:p w:rsidR="00D849AA" w:rsidRDefault="00EE6D95">
            <w:r>
              <w:t>40</w:t>
            </w:r>
          </w:p>
        </w:tc>
      </w:tr>
      <w:tr w:rsidR="00D849AA">
        <w:trPr>
          <w:jc w:val="center"/>
        </w:trPr>
        <w:tc>
          <w:tcPr>
            <w:tcW w:w="2229" w:type="dxa"/>
          </w:tcPr>
          <w:p w:rsidR="00D849AA" w:rsidRDefault="00EE6D95">
            <w:pPr>
              <w:pStyle w:val="CellColumn"/>
            </w:pPr>
            <w:r>
              <w:t>Povećanje broja poduzetnika koji koriste usluge poduzetničkih potpornih institucija</w:t>
            </w:r>
          </w:p>
        </w:tc>
        <w:tc>
          <w:tcPr>
            <w:tcW w:w="1114" w:type="dxa"/>
          </w:tcPr>
          <w:p w:rsidR="00D849AA" w:rsidRDefault="00EE6D95">
            <w:r>
              <w:t>Broj poduzetnika</w:t>
            </w:r>
          </w:p>
        </w:tc>
        <w:tc>
          <w:tcPr>
            <w:tcW w:w="1114" w:type="dxa"/>
          </w:tcPr>
          <w:p w:rsidR="00D849AA" w:rsidRDefault="00EE6D95">
            <w:r>
              <w:t>7570</w:t>
            </w:r>
          </w:p>
        </w:tc>
        <w:tc>
          <w:tcPr>
            <w:tcW w:w="1486" w:type="dxa"/>
          </w:tcPr>
          <w:p w:rsidR="00D849AA" w:rsidRDefault="00EE6D95">
            <w:r>
              <w:t>7600</w:t>
            </w:r>
          </w:p>
        </w:tc>
        <w:tc>
          <w:tcPr>
            <w:tcW w:w="1486" w:type="dxa"/>
          </w:tcPr>
          <w:p w:rsidR="00D849AA" w:rsidRDefault="00EE6D95">
            <w:r>
              <w:t>7630</w:t>
            </w:r>
          </w:p>
        </w:tc>
        <w:tc>
          <w:tcPr>
            <w:tcW w:w="1486" w:type="dxa"/>
          </w:tcPr>
          <w:p w:rsidR="00D849AA" w:rsidRDefault="00EE6D95">
            <w:r>
              <w:t>7670</w:t>
            </w:r>
          </w:p>
        </w:tc>
      </w:tr>
      <w:tr w:rsidR="00D849AA">
        <w:trPr>
          <w:jc w:val="center"/>
        </w:trPr>
        <w:tc>
          <w:tcPr>
            <w:tcW w:w="2229" w:type="dxa"/>
          </w:tcPr>
          <w:p w:rsidR="00D849AA" w:rsidRDefault="00EE6D95">
            <w:pPr>
              <w:pStyle w:val="CellColumn"/>
            </w:pPr>
            <w:r>
              <w:t>Broj poduzetnika - korisnika poduzetničkih potpornih institucija</w:t>
            </w:r>
          </w:p>
        </w:tc>
        <w:tc>
          <w:tcPr>
            <w:tcW w:w="1114" w:type="dxa"/>
          </w:tcPr>
          <w:p w:rsidR="00D849AA" w:rsidRDefault="00EE6D95">
            <w:r>
              <w:t>Broj poduzetnika</w:t>
            </w:r>
          </w:p>
        </w:tc>
        <w:tc>
          <w:tcPr>
            <w:tcW w:w="1114" w:type="dxa"/>
          </w:tcPr>
          <w:p w:rsidR="00D849AA" w:rsidRDefault="00EE6D95">
            <w:r>
              <w:t>500</w:t>
            </w:r>
          </w:p>
        </w:tc>
        <w:tc>
          <w:tcPr>
            <w:tcW w:w="1486" w:type="dxa"/>
          </w:tcPr>
          <w:p w:rsidR="00D849AA" w:rsidRDefault="00EE6D95">
            <w:r>
              <w:t>505</w:t>
            </w:r>
          </w:p>
        </w:tc>
        <w:tc>
          <w:tcPr>
            <w:tcW w:w="1486" w:type="dxa"/>
          </w:tcPr>
          <w:p w:rsidR="00D849AA" w:rsidRDefault="00EE6D95">
            <w:r>
              <w:t>510</w:t>
            </w:r>
          </w:p>
        </w:tc>
        <w:tc>
          <w:tcPr>
            <w:tcW w:w="1486" w:type="dxa"/>
          </w:tcPr>
          <w:p w:rsidR="00D849AA" w:rsidRDefault="00EE6D95">
            <w:r>
              <w:t>520</w:t>
            </w:r>
          </w:p>
        </w:tc>
      </w:tr>
    </w:tbl>
    <w:p w:rsidR="00D849AA" w:rsidRDefault="00D849AA">
      <w:pPr>
        <w:jc w:val="left"/>
      </w:pPr>
    </w:p>
    <w:p w:rsidR="00D849AA" w:rsidRDefault="00EE6D95">
      <w:pPr>
        <w:pStyle w:val="Naslov6"/>
      </w:pPr>
      <w:r>
        <w:t>A822041 OP KONKURENTNOST I KOHEZIJA 2014-2020</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A822041</w:t>
            </w:r>
          </w:p>
        </w:tc>
        <w:tc>
          <w:tcPr>
            <w:tcW w:w="1486" w:type="dxa"/>
          </w:tcPr>
          <w:p w:rsidR="00D849AA" w:rsidRDefault="00EE6D95">
            <w:r>
              <w:t>500.000</w:t>
            </w:r>
          </w:p>
        </w:tc>
        <w:tc>
          <w:tcPr>
            <w:tcW w:w="1486" w:type="dxa"/>
          </w:tcPr>
          <w:p w:rsidR="00D849AA" w:rsidRDefault="00EE6D95">
            <w:r>
              <w:t>20.817.839</w:t>
            </w:r>
          </w:p>
        </w:tc>
        <w:tc>
          <w:tcPr>
            <w:tcW w:w="1486" w:type="dxa"/>
          </w:tcPr>
          <w:p w:rsidR="00D849AA" w:rsidRDefault="00EE6D95">
            <w:r>
              <w:t>186.648.483</w:t>
            </w:r>
          </w:p>
        </w:tc>
        <w:tc>
          <w:tcPr>
            <w:tcW w:w="1486" w:type="dxa"/>
          </w:tcPr>
          <w:p w:rsidR="00D849AA" w:rsidRDefault="00EE6D95">
            <w:r>
              <w:t>20.533.676</w:t>
            </w:r>
          </w:p>
        </w:tc>
        <w:tc>
          <w:tcPr>
            <w:tcW w:w="1486" w:type="dxa"/>
          </w:tcPr>
          <w:p w:rsidR="00D849AA" w:rsidRDefault="00EE6D95">
            <w:r>
              <w:t>4163,6</w:t>
            </w:r>
          </w:p>
        </w:tc>
      </w:tr>
    </w:tbl>
    <w:p w:rsidR="00D849AA" w:rsidRDefault="00D849AA">
      <w:pPr>
        <w:jc w:val="left"/>
      </w:pPr>
    </w:p>
    <w:p w:rsidR="00D849AA" w:rsidRDefault="00EE6D95">
      <w:pPr>
        <w:pStyle w:val="Normal6"/>
      </w:pPr>
      <w:r>
        <w:t xml:space="preserve">Operativni program Konkurentnost i kohezija 2014-2020 će se financirati putem Strukturnih fondova, odnosno Europskog fonda za regionalni razvoj kao i Kohezijskog fonda, i usmjeren je na daljnje podizanje razine konkurentnosti i regionalnog razvoja uz značajno veće iznose alokacija i drugačije načine provedbe projekata uz veći broj shema bespovratnih potpora namijenjenih poduzetnicima, znanstvenim organizacijama, regionalnim i lokalnim institucijama, itd. </w:t>
      </w:r>
    </w:p>
    <w:p w:rsidR="00D849AA" w:rsidRDefault="00EE6D95">
      <w:pPr>
        <w:pStyle w:val="Normal6"/>
      </w:pPr>
      <w:r>
        <w:t xml:space="preserve">Kroz tematski cilj 2. Jačanje konkurentnosti MSP, poljoprivrednog sektora i sektora ribarstva i akvakulture (EUROPA 2020), kroz ERDF financirat će se sljedeći investicijski prioriteti:  </w:t>
      </w:r>
    </w:p>
    <w:p w:rsidR="00D849AA" w:rsidRDefault="00EE6D95">
      <w:pPr>
        <w:pStyle w:val="Normal6"/>
      </w:pPr>
      <w:r>
        <w:t xml:space="preserve">- Promocija poduzetništva s naglaskom na olakšavanje ekonomskog iskorištavanja novih ideja i jačanje stvaranja novih firmi, uključivo  kroz poslovne inkubatore.  </w:t>
      </w:r>
    </w:p>
    <w:p w:rsidR="00D849AA" w:rsidRDefault="00EE6D95">
      <w:pPr>
        <w:pStyle w:val="Normal6"/>
      </w:pPr>
      <w:r>
        <w:lastRenderedPageBreak/>
        <w:t xml:space="preserve">- Razvoj i implementacija novih poslovnih modela za MSP s naglaskom na internacionalizaciji. </w:t>
      </w:r>
    </w:p>
    <w:p w:rsidR="00D849AA" w:rsidRDefault="00EE6D95">
      <w:pPr>
        <w:pStyle w:val="Normal6"/>
      </w:pPr>
      <w:r>
        <w:t xml:space="preserve">- Podrška stvaranju i širenju naprednih kapaciteta za proizvode i razvoj usluga. </w:t>
      </w:r>
    </w:p>
    <w:p w:rsidR="00D849AA" w:rsidRDefault="00EE6D95">
      <w:pPr>
        <w:pStyle w:val="Normal6"/>
      </w:pPr>
      <w:r>
        <w:t xml:space="preserve">- Podrška stvaranju kapaciteta MSP za bavljenje rastom i inovativnim procesima. </w:t>
      </w:r>
    </w:p>
    <w:p w:rsidR="00D849AA" w:rsidRDefault="00EE6D95">
      <w:pPr>
        <w:pStyle w:val="Normal6"/>
      </w:pPr>
      <w:r>
        <w:t xml:space="preserve"> </w:t>
      </w:r>
    </w:p>
    <w:p w:rsidR="00D849AA" w:rsidRDefault="00EE6D95">
      <w:pPr>
        <w:pStyle w:val="Normal6"/>
      </w:pPr>
      <w:r>
        <w:t xml:space="preserve">Kroz Europski socijalni fond (dalje u tekstu:ESF) financirat će se aktivnosti vezane za jačanje konkurentnosti MSP kroz promociju prilagodljivosti poduzeća i radnika te povećanje investicija u ljudske resurse. </w:t>
      </w:r>
    </w:p>
    <w:p w:rsidR="00D849AA" w:rsidRDefault="00EE6D95">
      <w:pPr>
        <w:pStyle w:val="Normal6"/>
      </w:pPr>
      <w:r>
        <w:t>Imajući u vidu buduću perspektivu razvoja u procesu programiranja za strukturne fondove, unutar ERDF-a planira se izgradnja Regionalnog centra za razvoj poduzetničkih kompetencija za zemlje jugoistočne Europe SEECEL-a kao modernog centra s prostorima za treninge, smještajnim kapacitetima za polaznike treninga, inovativnim parkom i Nacionalnim centrom E4E koordinacije za implementaciju Strategije učenja za poduzetništvo. Izgradnjom samog kompleksa SEECEL-a kroz ERDF čija je vrijednost 30.000.000,00 eura, značajno bi se ojačala vrijednost već sada izrazito uspješnog projekta i u Dunavskoj strategiji.</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2.1.6.1. Financijska vrijednost ugovorenih radova za SEECEL</w:t>
            </w:r>
          </w:p>
        </w:tc>
        <w:tc>
          <w:tcPr>
            <w:tcW w:w="1114" w:type="dxa"/>
          </w:tcPr>
          <w:p w:rsidR="00D849AA" w:rsidRDefault="00EE6D95">
            <w:r>
              <w:t>EUR</w:t>
            </w:r>
          </w:p>
        </w:tc>
        <w:tc>
          <w:tcPr>
            <w:tcW w:w="1114" w:type="dxa"/>
          </w:tcPr>
          <w:p w:rsidR="00D849AA" w:rsidRDefault="00EE6D95">
            <w:r>
              <w:t>0</w:t>
            </w:r>
          </w:p>
        </w:tc>
        <w:tc>
          <w:tcPr>
            <w:tcW w:w="1486" w:type="dxa"/>
          </w:tcPr>
          <w:p w:rsidR="00D849AA" w:rsidRDefault="00EE6D95">
            <w:r>
              <w:t>5,9 mil €</w:t>
            </w:r>
          </w:p>
        </w:tc>
        <w:tc>
          <w:tcPr>
            <w:tcW w:w="1486" w:type="dxa"/>
          </w:tcPr>
          <w:p w:rsidR="00D849AA" w:rsidRDefault="00EE6D95">
            <w:r>
              <w:t>21,2 mil €</w:t>
            </w:r>
          </w:p>
        </w:tc>
        <w:tc>
          <w:tcPr>
            <w:tcW w:w="1486" w:type="dxa"/>
          </w:tcPr>
          <w:p w:rsidR="00D849AA" w:rsidRDefault="00EE6D95">
            <w:r>
              <w:t>30 mil €</w:t>
            </w:r>
          </w:p>
        </w:tc>
      </w:tr>
    </w:tbl>
    <w:p w:rsidR="00D849AA" w:rsidRDefault="00D849AA">
      <w:pPr>
        <w:jc w:val="left"/>
      </w:pPr>
    </w:p>
    <w:p w:rsidR="00D849AA" w:rsidRDefault="00EE6D95">
      <w:pPr>
        <w:pStyle w:val="Naslov6"/>
      </w:pPr>
      <w:r>
        <w:t>A822055 PROVEDBA MJERA ZA POTICANJE INVESTICIJA MALIH I SREDNJIH PODUZETNIKA I OBRTNIKA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A822055</w:t>
            </w:r>
          </w:p>
        </w:tc>
        <w:tc>
          <w:tcPr>
            <w:tcW w:w="1486" w:type="dxa"/>
          </w:tcPr>
          <w:p w:rsidR="00D849AA" w:rsidRDefault="00EE6D95">
            <w:r>
              <w:t>10.000.000</w:t>
            </w:r>
          </w:p>
        </w:tc>
        <w:tc>
          <w:tcPr>
            <w:tcW w:w="1486" w:type="dxa"/>
          </w:tcPr>
          <w:p w:rsidR="00D849AA" w:rsidRDefault="00EE6D95">
            <w:r>
              <w:t>56.590.537</w:t>
            </w:r>
          </w:p>
        </w:tc>
        <w:tc>
          <w:tcPr>
            <w:tcW w:w="1486" w:type="dxa"/>
          </w:tcPr>
          <w:p w:rsidR="00D849AA" w:rsidRDefault="00EE6D95">
            <w:r>
              <w:t>63.629.975</w:t>
            </w:r>
          </w:p>
        </w:tc>
        <w:tc>
          <w:tcPr>
            <w:tcW w:w="1486" w:type="dxa"/>
          </w:tcPr>
          <w:p w:rsidR="00D849AA" w:rsidRDefault="00EE6D95">
            <w:r>
              <w:t>65.503.860</w:t>
            </w:r>
          </w:p>
        </w:tc>
        <w:tc>
          <w:tcPr>
            <w:tcW w:w="1486" w:type="dxa"/>
          </w:tcPr>
          <w:p w:rsidR="00D849AA" w:rsidRDefault="00EE6D95">
            <w:r>
              <w:t>565,9</w:t>
            </w:r>
          </w:p>
        </w:tc>
      </w:tr>
    </w:tbl>
    <w:p w:rsidR="00D849AA" w:rsidRDefault="00D849AA">
      <w:pPr>
        <w:jc w:val="left"/>
      </w:pPr>
    </w:p>
    <w:p w:rsidR="00D849AA" w:rsidRDefault="00EE6D95">
      <w:pPr>
        <w:pStyle w:val="Normal6"/>
      </w:pPr>
      <w:r>
        <w:t xml:space="preserve">U okviru aktivnosti pod nazivom „Provedba mjera za poticanje investicija malih i srednjih poduzetnika i obrtnika“ planirana su proračunska sredstva za provedbu Zakona o poticanju ulaganja (NN 138/06, 61/11) i Uredbe o poticanju ulaganja (NN 64/07), te novog Zakona o poticanju investicija i unapređenju investicijskog okruženja (NN 111/12, 28/13) i Uredbe o poticanju investicija i unapređenju investicijskog okruženja (NN 40/13). </w:t>
      </w:r>
    </w:p>
    <w:p w:rsidR="00D849AA" w:rsidRDefault="00EE6D95">
      <w:pPr>
        <w:pStyle w:val="Normal6"/>
      </w:pPr>
      <w:r>
        <w:t xml:space="preserve"> Strateškim planom MINPO-a, u vezi s navedenom aktivnosti A822055, definirani su sljedeći ciljevi: </w:t>
      </w:r>
    </w:p>
    <w:p w:rsidR="00D849AA" w:rsidRDefault="00EE6D95">
      <w:pPr>
        <w:pStyle w:val="Normal6"/>
      </w:pPr>
      <w:r>
        <w:t>•</w:t>
      </w:r>
      <w:r>
        <w:tab/>
        <w:t xml:space="preserve">opći cilj – povećanje konkurentnosti malog gospodarstva   </w:t>
      </w:r>
    </w:p>
    <w:p w:rsidR="00D849AA" w:rsidRDefault="00EE6D95">
      <w:pPr>
        <w:pStyle w:val="Normal6"/>
      </w:pPr>
      <w:r>
        <w:t>•</w:t>
      </w:r>
      <w:r>
        <w:tab/>
        <w:t xml:space="preserve">posebni cilj - učinkovita provedba sustava poticajnih mjera za investicije u Republici Hrvatskoj, te razvoj i unapređivanje istoga. </w:t>
      </w:r>
    </w:p>
    <w:p w:rsidR="00D849AA" w:rsidRDefault="00EE6D95">
      <w:pPr>
        <w:pStyle w:val="Normal6"/>
      </w:pPr>
      <w:r>
        <w:t xml:space="preserve"> </w:t>
      </w:r>
    </w:p>
    <w:p w:rsidR="00D849AA" w:rsidRDefault="00EE6D95">
      <w:pPr>
        <w:pStyle w:val="Normal6"/>
      </w:pPr>
      <w:r>
        <w:t xml:space="preserve">Ostvarenje općeg cilja potiče se daljnjom učinkovitom provedbom sustava poticajnih mjera za investicije (postojeći zakoni), kao i praćenjem rezultata provedbe istog u cilju </w:t>
      </w:r>
      <w:r>
        <w:lastRenderedPageBreak/>
        <w:t xml:space="preserve">razvoja mogućnosti za privlačenje novih investicijskih projekata i daljnjeg razvoja ukupnih gospodarskih aktivnosti u RH. </w:t>
      </w:r>
    </w:p>
    <w:p w:rsidR="00D849AA" w:rsidRDefault="00EE6D95">
      <w:pPr>
        <w:pStyle w:val="Normal6"/>
      </w:pPr>
      <w:r>
        <w:t xml:space="preserve">Učinkovita provedba postojećih mjera za poticanje investicija subjekata malog gospodarstva trebala bi rezultirati povećanjem investicija i ukupnih gospodarskih aktivnosti istih, odnosno gospodarskim rastom, te jačanjem konkurentne sposobnosti hrvatskoga malog gospodarstva putem dodjeljivanja poticajnih mjera onim projektima ulaganja kojima se osiguravaju sljedeći ciljevi: unos nove opreme i suvremenih tehnologija,  uvođenje novih proizvodnih postupaka i novih proizvoda, veća zaposlenost i izobrazba zaposlenika, modernizacija poslovanja, povećanje gospodarske aktivnosti u dijelovima RH u kojima gospodarski rast i zaposlenost zaostaju za državnim prosjekom, itd. </w:t>
      </w:r>
    </w:p>
    <w:p w:rsidR="00D849AA" w:rsidRDefault="00EE6D95">
      <w:pPr>
        <w:pStyle w:val="Normal6"/>
      </w:pPr>
      <w:r>
        <w:t xml:space="preserve">Postojeći sustav poticajnih mjera za investicije je i instrument regionalnog razvoja RH, odnosno instrument jačanja regionalne konkurentnosti, te pridonosi izgradnji gospodarskog modela temeljenog na investicijama u proizvode/usluge visoke dodane vrijednosti. </w:t>
      </w:r>
    </w:p>
    <w:p w:rsidR="00D849AA" w:rsidRDefault="00EE6D95">
      <w:pPr>
        <w:pStyle w:val="Normal6"/>
      </w:pPr>
      <w:r>
        <w:t xml:space="preserve">Prema Zakonu o poticanju ulaganja i Zakonu o poticanju investicija i unapređenju investicijskog okruženja, a u okviru sustava poticajnih mjera za ulaganja i otvaranje novih radnih mjesta povezanih s tim ulaganjima, u državnom proračunu na poziciji Ministarstva poduzetništva i obrta osiguravaju se sredstva za sljedeće bespovratne novčane potpore, odnosno poticaje: </w:t>
      </w:r>
    </w:p>
    <w:p w:rsidR="00D849AA" w:rsidRDefault="00EE6D95">
      <w:pPr>
        <w:pStyle w:val="Normal6"/>
      </w:pPr>
      <w:r>
        <w:t xml:space="preserve">1. bespovratna novčana potpora za opravdane troškove otvaranja novih radnih mjesta povezanih s ulaganjem/investicijskim projektom  </w:t>
      </w:r>
    </w:p>
    <w:p w:rsidR="00D849AA" w:rsidRDefault="00EE6D95">
      <w:pPr>
        <w:pStyle w:val="Normal6"/>
      </w:pPr>
      <w:r>
        <w:t xml:space="preserve">2. bespovratna novčana potpora za opravdane troškove usavršavanja povezanih s ulaganjem/investicijskim projektom </w:t>
      </w:r>
    </w:p>
    <w:p w:rsidR="00D849AA" w:rsidRDefault="00EE6D95">
      <w:pPr>
        <w:pStyle w:val="Normal6"/>
      </w:pPr>
      <w:r>
        <w:t xml:space="preserve">3. bespovratna novčana potpora za kupnju opreme/strojeva za investicije u razvojno-inovacijske aktivnosti </w:t>
      </w:r>
    </w:p>
    <w:p w:rsidR="00D849AA" w:rsidRDefault="00EE6D95">
      <w:pPr>
        <w:pStyle w:val="Normal6"/>
      </w:pPr>
      <w:r>
        <w:t xml:space="preserve">4. poticajne mjere za velike projekte ulaganja - bespovratna novčana potpora za opravdane troškove ulaganja u dugotrajnu imovinu, odnosno troškove izgradnje nove tvornice ili industrijskog postrojenja i troškove kupnje novih strojeva u ukupnom maksimalnom iznosu do 1 milijun eura, te bespovratna novčana potpora za opravdane troškove ulaganja u infrastrukturne objekte i priključke u maksimalnom iznosu do 0,5 milijuna eura </w:t>
      </w:r>
    </w:p>
    <w:p w:rsidR="00D849AA" w:rsidRDefault="00EE6D95">
      <w:pPr>
        <w:pStyle w:val="Normal6"/>
      </w:pPr>
      <w:r>
        <w:t xml:space="preserve">5. poticajne mjere za kapitalne troškove investicijskog projekta - bespovratna novčana potpora za kapitalne troškove (opravdani troškovi ulaganja u dugotrajnu imovinu) u maksimalnom iznosu do 1 milijun eura. </w:t>
      </w:r>
    </w:p>
    <w:p w:rsidR="00D849AA" w:rsidRDefault="00EE6D95">
      <w:pPr>
        <w:pStyle w:val="Normal6"/>
      </w:pPr>
      <w:r>
        <w:t xml:space="preserve"> </w:t>
      </w:r>
    </w:p>
    <w:p w:rsidR="00D849AA" w:rsidRDefault="00EE6D95">
      <w:pPr>
        <w:pStyle w:val="Normal6"/>
      </w:pPr>
      <w:r>
        <w:t xml:space="preserve">Potpore pod točkom 1. odobravaju se u 100%-tnom iznosu za nezaposlene osobe koje su bile minimalno tri mjeseca u evidenciji Hrvatskog zavoda za zapošljavanje, te za osobe koje se prvi puta zapošljavaju. Temeljem novog Zakona, potpore pod točkom 1. odobravaju se u 40%-tnom iznosu i ukoliko zapošljavanje povezano s investicijom ne ispunjava navedene uvjete.   </w:t>
      </w:r>
    </w:p>
    <w:p w:rsidR="00D849AA" w:rsidRDefault="00EE6D95">
      <w:pPr>
        <w:pStyle w:val="Normal6"/>
      </w:pPr>
      <w:r>
        <w:t>Potpore pod točkom 1. i točkom 2. se isplaćuju po primitku dostavljenog zahtjeva za isplatom potpora koji sadrži svu propisanu dokumentaciju/dokaze, i to po isteku prve godine od otvaranja novih radnih mjesta.</w:t>
      </w:r>
    </w:p>
    <w:p w:rsidR="00B151E0" w:rsidRDefault="00B151E0">
      <w:pPr>
        <w:pStyle w:val="Normal6"/>
      </w:pPr>
    </w:p>
    <w:p w:rsidR="00B151E0" w:rsidRDefault="00B151E0">
      <w:pPr>
        <w:pStyle w:val="Normal6"/>
      </w:pPr>
    </w:p>
    <w:p w:rsidR="00B151E0" w:rsidRDefault="00B151E0">
      <w:pPr>
        <w:pStyle w:val="Normal6"/>
      </w:pPr>
    </w:p>
    <w:p w:rsidR="00B151E0" w:rsidRDefault="00B151E0">
      <w:pPr>
        <w:pStyle w:val="Normal6"/>
      </w:pPr>
    </w:p>
    <w:p w:rsidR="00D849AA" w:rsidRDefault="00EE6D95">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2229"/>
        <w:gridCol w:w="1114"/>
        <w:gridCol w:w="1366"/>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Povećanje ukupne vrijednosti odobrenih investicijskih projekata</w:t>
            </w:r>
          </w:p>
        </w:tc>
        <w:tc>
          <w:tcPr>
            <w:tcW w:w="1114" w:type="dxa"/>
          </w:tcPr>
          <w:p w:rsidR="00D849AA" w:rsidRDefault="00EE6D95">
            <w:r>
              <w:t>Iznos u HRK</w:t>
            </w:r>
          </w:p>
        </w:tc>
        <w:tc>
          <w:tcPr>
            <w:tcW w:w="1114" w:type="dxa"/>
          </w:tcPr>
          <w:p w:rsidR="00D849AA" w:rsidRDefault="00EE6D95">
            <w:r>
              <w:t>4.000.000.000</w:t>
            </w:r>
          </w:p>
        </w:tc>
        <w:tc>
          <w:tcPr>
            <w:tcW w:w="1486" w:type="dxa"/>
          </w:tcPr>
          <w:p w:rsidR="00D849AA" w:rsidRDefault="00EE6D95">
            <w:r>
              <w:t>5.000.000.000</w:t>
            </w:r>
          </w:p>
        </w:tc>
        <w:tc>
          <w:tcPr>
            <w:tcW w:w="1486" w:type="dxa"/>
          </w:tcPr>
          <w:p w:rsidR="00D849AA" w:rsidRDefault="00EE6D95">
            <w:r>
              <w:t>6.500.000.000</w:t>
            </w:r>
          </w:p>
        </w:tc>
        <w:tc>
          <w:tcPr>
            <w:tcW w:w="1486" w:type="dxa"/>
          </w:tcPr>
          <w:p w:rsidR="00D849AA" w:rsidRDefault="00EE6D95">
            <w:r>
              <w:t>8.500.000.000</w:t>
            </w:r>
          </w:p>
        </w:tc>
      </w:tr>
      <w:tr w:rsidR="00D849AA">
        <w:trPr>
          <w:jc w:val="center"/>
        </w:trPr>
        <w:tc>
          <w:tcPr>
            <w:tcW w:w="2229" w:type="dxa"/>
          </w:tcPr>
          <w:p w:rsidR="00D849AA" w:rsidRDefault="00EE6D95">
            <w:pPr>
              <w:pStyle w:val="CellColumn"/>
            </w:pPr>
            <w:r>
              <w:t>Povećanje broja isplaćenih bespovratnih novčanih potpora za otvaranje novih radnih mjesta povezanih s investicijskim projektom</w:t>
            </w:r>
          </w:p>
        </w:tc>
        <w:tc>
          <w:tcPr>
            <w:tcW w:w="1114" w:type="dxa"/>
          </w:tcPr>
          <w:p w:rsidR="00D849AA" w:rsidRDefault="00EE6D95">
            <w:r>
              <w:t>Broj isplaćenih potpora</w:t>
            </w:r>
          </w:p>
        </w:tc>
        <w:tc>
          <w:tcPr>
            <w:tcW w:w="1114" w:type="dxa"/>
          </w:tcPr>
          <w:p w:rsidR="00D849AA" w:rsidRDefault="00EE6D95">
            <w:r>
              <w:t>400</w:t>
            </w:r>
          </w:p>
        </w:tc>
        <w:tc>
          <w:tcPr>
            <w:tcW w:w="1486" w:type="dxa"/>
          </w:tcPr>
          <w:p w:rsidR="00D849AA" w:rsidRDefault="00EE6D95">
            <w:r>
              <w:t>800</w:t>
            </w:r>
          </w:p>
        </w:tc>
        <w:tc>
          <w:tcPr>
            <w:tcW w:w="1486" w:type="dxa"/>
          </w:tcPr>
          <w:p w:rsidR="00D849AA" w:rsidRDefault="00EE6D95">
            <w:r>
              <w:t>1100</w:t>
            </w:r>
          </w:p>
        </w:tc>
        <w:tc>
          <w:tcPr>
            <w:tcW w:w="1486" w:type="dxa"/>
          </w:tcPr>
          <w:p w:rsidR="00D849AA" w:rsidRDefault="00EE6D95">
            <w:r>
              <w:t>1400</w:t>
            </w:r>
          </w:p>
        </w:tc>
      </w:tr>
      <w:tr w:rsidR="00D849AA">
        <w:trPr>
          <w:jc w:val="center"/>
        </w:trPr>
        <w:tc>
          <w:tcPr>
            <w:tcW w:w="2229" w:type="dxa"/>
          </w:tcPr>
          <w:p w:rsidR="00D849AA" w:rsidRDefault="00EE6D95">
            <w:pPr>
              <w:pStyle w:val="CellColumn"/>
            </w:pPr>
            <w:r>
              <w:t>Povećanje broja isplaćenih bespovratnih novčanih potpora za otvaranje radnih mjesta povezanih s investicijskim projektom</w:t>
            </w:r>
          </w:p>
        </w:tc>
        <w:tc>
          <w:tcPr>
            <w:tcW w:w="1114" w:type="dxa"/>
          </w:tcPr>
          <w:p w:rsidR="00D849AA" w:rsidRDefault="00EE6D95">
            <w:r>
              <w:t>Broj isplaćenih potpora</w:t>
            </w:r>
          </w:p>
        </w:tc>
        <w:tc>
          <w:tcPr>
            <w:tcW w:w="1114" w:type="dxa"/>
          </w:tcPr>
          <w:p w:rsidR="00D849AA" w:rsidRDefault="00EE6D95">
            <w:r>
              <w:t>400</w:t>
            </w:r>
          </w:p>
        </w:tc>
        <w:tc>
          <w:tcPr>
            <w:tcW w:w="1486" w:type="dxa"/>
          </w:tcPr>
          <w:p w:rsidR="00D849AA" w:rsidRDefault="00EE6D95">
            <w:r>
              <w:t>800</w:t>
            </w:r>
          </w:p>
        </w:tc>
        <w:tc>
          <w:tcPr>
            <w:tcW w:w="1486" w:type="dxa"/>
          </w:tcPr>
          <w:p w:rsidR="00D849AA" w:rsidRDefault="00EE6D95">
            <w:r>
              <w:t>1100</w:t>
            </w:r>
          </w:p>
        </w:tc>
        <w:tc>
          <w:tcPr>
            <w:tcW w:w="1486" w:type="dxa"/>
          </w:tcPr>
          <w:p w:rsidR="00D849AA" w:rsidRDefault="00EE6D95">
            <w:r>
              <w:t>1400</w:t>
            </w:r>
          </w:p>
        </w:tc>
      </w:tr>
    </w:tbl>
    <w:p w:rsidR="00D849AA" w:rsidRDefault="00D849AA">
      <w:pPr>
        <w:jc w:val="left"/>
      </w:pPr>
    </w:p>
    <w:p w:rsidR="00D849AA" w:rsidRDefault="00EE6D95">
      <w:pPr>
        <w:pStyle w:val="Naslov6"/>
      </w:pPr>
      <w:r>
        <w:t>K822018 OP REGIONALNA KONKURENTNOST, PRIORITET 2 I 3</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K822018</w:t>
            </w:r>
          </w:p>
        </w:tc>
        <w:tc>
          <w:tcPr>
            <w:tcW w:w="1486" w:type="dxa"/>
          </w:tcPr>
          <w:p w:rsidR="00D849AA" w:rsidRDefault="00EE6D95">
            <w:r>
              <w:t>67.138.786</w:t>
            </w:r>
          </w:p>
        </w:tc>
        <w:tc>
          <w:tcPr>
            <w:tcW w:w="1486" w:type="dxa"/>
          </w:tcPr>
          <w:p w:rsidR="00D849AA" w:rsidRDefault="00EE6D95">
            <w:r>
              <w:t>224.251.302</w:t>
            </w:r>
          </w:p>
        </w:tc>
        <w:tc>
          <w:tcPr>
            <w:tcW w:w="1486" w:type="dxa"/>
          </w:tcPr>
          <w:p w:rsidR="00D849AA" w:rsidRDefault="00EE6D95">
            <w:r>
              <w:t>89.721.817</w:t>
            </w:r>
          </w:p>
        </w:tc>
        <w:tc>
          <w:tcPr>
            <w:tcW w:w="1486" w:type="dxa"/>
          </w:tcPr>
          <w:p w:rsidR="00D849AA" w:rsidRDefault="00EE6D95">
            <w:r>
              <w:t>25.830.800</w:t>
            </w:r>
          </w:p>
        </w:tc>
        <w:tc>
          <w:tcPr>
            <w:tcW w:w="1486" w:type="dxa"/>
          </w:tcPr>
          <w:p w:rsidR="00D849AA" w:rsidRDefault="00EE6D95">
            <w:r>
              <w:t>334,0</w:t>
            </w:r>
          </w:p>
        </w:tc>
      </w:tr>
    </w:tbl>
    <w:p w:rsidR="00D849AA" w:rsidRDefault="00D849AA">
      <w:pPr>
        <w:jc w:val="left"/>
      </w:pPr>
    </w:p>
    <w:p w:rsidR="00D849AA" w:rsidRDefault="00EE6D95">
      <w:pPr>
        <w:pStyle w:val="Normal6"/>
      </w:pPr>
      <w:r>
        <w:t xml:space="preserve">Sukladno Zakonu o uspostavi institucionalnog okvira za korištenje strukturnih instrumenata Europske unije u Republici Hrvatskoj („Narodne novine“ br. 78/2012) i Uredbi o tijelima u sustavu upravljanja i kontrole korištenja strukturnih instrumenata Europske unije u Republici Hrvatskoj („Narodne novine“ broj 97/2012), Ministarstvo poduzetništva i obrta je imenovano Provedbenim tijelom razine 1 (članak 8. navedene Uredbe) za provedbu prioritetne osi 2 – intervencije iz područja malog i srednjeg poduzetništva i poslovne klime Operativnog programa Regionalna konkurentnost 2007-2013 (OPRK 2007-2013).  </w:t>
      </w:r>
    </w:p>
    <w:p w:rsidR="00D849AA" w:rsidRDefault="00EE6D95">
      <w:pPr>
        <w:pStyle w:val="Normal6"/>
      </w:pPr>
      <w:r>
        <w:t xml:space="preserve">Republika Hrvatska od 01. srpnja 2013. godine ima na raspolaganju sredstva iz Strukturnih fondova, odnosno Europskog fonda za regionalni razvoj (ERDF) namijenjenih postizanju ujednačenog razvoja svih država, odnosno regija Europske unije te financiranju provedbe aktivnosti koje proizlaze iz zajedničkih europskih politika. </w:t>
      </w:r>
    </w:p>
    <w:p w:rsidR="00D849AA" w:rsidRDefault="00EE6D95">
      <w:pPr>
        <w:pStyle w:val="Normal6"/>
      </w:pPr>
      <w:r>
        <w:t xml:space="preserve">Kroz navedenu proračunsku aktivnost financira se provedba ugovora o uslugama, provedba ugovora o nabavi kao i bespovratna sredstva za male i srednje poduzetnike. Navedeni projekti iz Instrumenta pretpristupne pomoći (IPA) su danom pristupanja Republike Hrvatske Europskoj uniji postali projekti strukturnih i kohezijskih fondova.  </w:t>
      </w:r>
    </w:p>
    <w:p w:rsidR="00D849AA" w:rsidRDefault="00EE6D95">
      <w:pPr>
        <w:pStyle w:val="Normal6"/>
      </w:pPr>
      <w:r>
        <w:t xml:space="preserve"> </w:t>
      </w:r>
    </w:p>
    <w:p w:rsidR="00D849AA" w:rsidRDefault="00EE6D95">
      <w:pPr>
        <w:pStyle w:val="Normal6"/>
      </w:pPr>
      <w:r>
        <w:lastRenderedPageBreak/>
        <w:t xml:space="preserve">Kroz istu proračunsku aktivnost a sukladno OPRK 2007-2013 financirat će se shema bespovratnih potpora namijenjena jačanju konkurentnosti malog i srednjeg poduzetništva u proizvodnom, ali i uslužnom sektoru (određene djelatnosti) te kroz posebnu shemu potpora za poduzetnike u turizmu. Shemom će se financirati poduzetnička ulaganja u nove tehnologije, izgradnju proizvodnih pogone/poslovnih prostora, energetsku učinkovitost, a za poduzetnike u turizmu radi se o ulaganjima u smještajne kapacitete. Osim u ulaganja materijalnu i nematerijalnu imovinu, bit će prihvatljivi i troškovi treninga, konzultantskih usluga i nastupa na sajmovima.  </w:t>
      </w:r>
    </w:p>
    <w:p w:rsidR="00D849AA" w:rsidRDefault="00EE6D95">
      <w:pPr>
        <w:pStyle w:val="Normal6"/>
      </w:pPr>
      <w:r>
        <w:t xml:space="preserve">Uz navedenu financirati će se i shema bespovratnih potpora za primjenu informacijskih i komunikacijskih tehnologija za poboljšanje poslovnih procesa. </w:t>
      </w:r>
    </w:p>
    <w:p w:rsidR="00D849AA" w:rsidRDefault="00EE6D95">
      <w:pPr>
        <w:pStyle w:val="Normal6"/>
      </w:pPr>
      <w:r>
        <w:t>Također, osigurana su i sredstva u svojstvu korisnika za Prioritet 3 OPRK 2007-2013. Navedena sredstva su namijenjena jačanju sposobnosti tijela Operativne strukture za kvalitetnu provedbu i upravljanje ovim Operativnim programom te izradi budućih programskih dokumenata i pripadajućih projektnih prijedloga.</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Broj i financijska vrijednost uspješno  provedenih ugovorenih projekata o uslugama</w:t>
            </w:r>
          </w:p>
        </w:tc>
        <w:tc>
          <w:tcPr>
            <w:tcW w:w="1114" w:type="dxa"/>
          </w:tcPr>
          <w:p w:rsidR="00D849AA" w:rsidRDefault="00EE6D95">
            <w:r>
              <w:t xml:space="preserve">Broj  </w:t>
            </w:r>
          </w:p>
          <w:p w:rsidR="00D849AA" w:rsidRDefault="00EE6D95">
            <w:r>
              <w:t>EUR</w:t>
            </w:r>
          </w:p>
        </w:tc>
        <w:tc>
          <w:tcPr>
            <w:tcW w:w="1114" w:type="dxa"/>
          </w:tcPr>
          <w:p w:rsidR="00D849AA" w:rsidRDefault="00EE6D95">
            <w:r>
              <w:t xml:space="preserve">4 </w:t>
            </w:r>
          </w:p>
          <w:p w:rsidR="00D849AA" w:rsidRDefault="00EE6D95">
            <w:r>
              <w:t>8,6 mil €</w:t>
            </w:r>
          </w:p>
        </w:tc>
        <w:tc>
          <w:tcPr>
            <w:tcW w:w="1486" w:type="dxa"/>
          </w:tcPr>
          <w:p w:rsidR="00D849AA" w:rsidRDefault="00EE6D95">
            <w:r>
              <w:t xml:space="preserve">9 </w:t>
            </w:r>
          </w:p>
          <w:p w:rsidR="00D849AA" w:rsidRDefault="00EE6D95">
            <w:r>
              <w:t>13,3 mil €</w:t>
            </w:r>
          </w:p>
        </w:tc>
        <w:tc>
          <w:tcPr>
            <w:tcW w:w="1486" w:type="dxa"/>
          </w:tcPr>
          <w:p w:rsidR="00D849AA" w:rsidRDefault="00EE6D95">
            <w:r>
              <w:t xml:space="preserve">12 </w:t>
            </w:r>
          </w:p>
          <w:p w:rsidR="00D849AA" w:rsidRDefault="00EE6D95">
            <w:r>
              <w:t>18,5 mil €</w:t>
            </w:r>
          </w:p>
        </w:tc>
        <w:tc>
          <w:tcPr>
            <w:tcW w:w="1486" w:type="dxa"/>
          </w:tcPr>
          <w:p w:rsidR="00D849AA" w:rsidRDefault="00EE6D95">
            <w:r>
              <w:t xml:space="preserve">12 </w:t>
            </w:r>
          </w:p>
          <w:p w:rsidR="00D849AA" w:rsidRDefault="00EE6D95">
            <w:r>
              <w:t>18,5 mil €</w:t>
            </w:r>
          </w:p>
        </w:tc>
      </w:tr>
      <w:tr w:rsidR="00D849AA">
        <w:trPr>
          <w:jc w:val="center"/>
        </w:trPr>
        <w:tc>
          <w:tcPr>
            <w:tcW w:w="2229" w:type="dxa"/>
          </w:tcPr>
          <w:p w:rsidR="00D849AA" w:rsidRDefault="00EE6D95">
            <w:pPr>
              <w:pStyle w:val="CellColumn"/>
            </w:pPr>
            <w:r>
              <w:t>Broj i financijska vrijednost uspješno  provedenih ugovorenih projekata o nabavi</w:t>
            </w:r>
          </w:p>
        </w:tc>
        <w:tc>
          <w:tcPr>
            <w:tcW w:w="1114" w:type="dxa"/>
          </w:tcPr>
          <w:p w:rsidR="00D849AA" w:rsidRDefault="00EE6D95">
            <w:r>
              <w:t xml:space="preserve">Broj  </w:t>
            </w:r>
          </w:p>
          <w:p w:rsidR="00D849AA" w:rsidRDefault="00EE6D95">
            <w:r>
              <w:t>EUR</w:t>
            </w:r>
          </w:p>
        </w:tc>
        <w:tc>
          <w:tcPr>
            <w:tcW w:w="1114" w:type="dxa"/>
          </w:tcPr>
          <w:p w:rsidR="00D849AA" w:rsidRDefault="00EE6D95">
            <w:r>
              <w:t xml:space="preserve">1 </w:t>
            </w:r>
          </w:p>
          <w:p w:rsidR="00D849AA" w:rsidRDefault="00EE6D95">
            <w:r>
              <w:t>357.8 €</w:t>
            </w:r>
          </w:p>
        </w:tc>
        <w:tc>
          <w:tcPr>
            <w:tcW w:w="1486" w:type="dxa"/>
          </w:tcPr>
          <w:p w:rsidR="00D849AA" w:rsidRDefault="00EE6D95">
            <w:r>
              <w:t xml:space="preserve">3 </w:t>
            </w:r>
          </w:p>
          <w:p w:rsidR="00D849AA" w:rsidRDefault="00EE6D95">
            <w:r>
              <w:t>1 mil €</w:t>
            </w:r>
          </w:p>
        </w:tc>
        <w:tc>
          <w:tcPr>
            <w:tcW w:w="1486" w:type="dxa"/>
          </w:tcPr>
          <w:p w:rsidR="00D849AA" w:rsidRDefault="00EE6D95">
            <w:r>
              <w:t xml:space="preserve">3 </w:t>
            </w:r>
          </w:p>
          <w:p w:rsidR="00D849AA" w:rsidRDefault="00EE6D95">
            <w:r>
              <w:t>1 mil €</w:t>
            </w:r>
          </w:p>
        </w:tc>
        <w:tc>
          <w:tcPr>
            <w:tcW w:w="1486" w:type="dxa"/>
          </w:tcPr>
          <w:p w:rsidR="00D849AA" w:rsidRDefault="00EE6D95">
            <w:r>
              <w:t xml:space="preserve">3 </w:t>
            </w:r>
          </w:p>
          <w:p w:rsidR="00D849AA" w:rsidRDefault="00EE6D95">
            <w:r>
              <w:t>1 mil €</w:t>
            </w:r>
          </w:p>
        </w:tc>
      </w:tr>
      <w:tr w:rsidR="00D849AA">
        <w:trPr>
          <w:jc w:val="center"/>
        </w:trPr>
        <w:tc>
          <w:tcPr>
            <w:tcW w:w="2229" w:type="dxa"/>
          </w:tcPr>
          <w:p w:rsidR="00D849AA" w:rsidRDefault="00EE6D95">
            <w:pPr>
              <w:pStyle w:val="CellColumn"/>
            </w:pPr>
            <w:r>
              <w:t>Broj i financijska vrijednost objavljenih poziva za dodjelu bespovratnih sredstava</w:t>
            </w:r>
          </w:p>
        </w:tc>
        <w:tc>
          <w:tcPr>
            <w:tcW w:w="1114" w:type="dxa"/>
          </w:tcPr>
          <w:p w:rsidR="00D849AA" w:rsidRDefault="00EE6D95">
            <w:r>
              <w:t xml:space="preserve">Broj  </w:t>
            </w:r>
          </w:p>
          <w:p w:rsidR="00D849AA" w:rsidRDefault="00EE6D95">
            <w:r>
              <w:t>EUR</w:t>
            </w:r>
          </w:p>
        </w:tc>
        <w:tc>
          <w:tcPr>
            <w:tcW w:w="1114" w:type="dxa"/>
          </w:tcPr>
          <w:p w:rsidR="00D849AA" w:rsidRDefault="00EE6D95">
            <w:r>
              <w:t xml:space="preserve">1 </w:t>
            </w:r>
          </w:p>
          <w:p w:rsidR="00D849AA" w:rsidRDefault="00EE6D95">
            <w:r>
              <w:t>8,8 mil €</w:t>
            </w:r>
          </w:p>
        </w:tc>
        <w:tc>
          <w:tcPr>
            <w:tcW w:w="1486" w:type="dxa"/>
          </w:tcPr>
          <w:p w:rsidR="00D849AA" w:rsidRDefault="00EE6D95">
            <w:r>
              <w:t xml:space="preserve">1 </w:t>
            </w:r>
          </w:p>
          <w:p w:rsidR="00D849AA" w:rsidRDefault="00EE6D95">
            <w:r>
              <w:t>8,8 mil €</w:t>
            </w:r>
          </w:p>
        </w:tc>
        <w:tc>
          <w:tcPr>
            <w:tcW w:w="1486" w:type="dxa"/>
          </w:tcPr>
          <w:p w:rsidR="00D849AA" w:rsidRDefault="00EE6D95">
            <w:r>
              <w:t xml:space="preserve">1 </w:t>
            </w:r>
          </w:p>
          <w:p w:rsidR="00D849AA" w:rsidRDefault="00EE6D95">
            <w:r>
              <w:t>8,8 mil €</w:t>
            </w:r>
          </w:p>
        </w:tc>
        <w:tc>
          <w:tcPr>
            <w:tcW w:w="1486" w:type="dxa"/>
          </w:tcPr>
          <w:p w:rsidR="00D849AA" w:rsidRDefault="00EE6D95">
            <w:r>
              <w:t xml:space="preserve">1 </w:t>
            </w:r>
          </w:p>
          <w:p w:rsidR="00D849AA" w:rsidRDefault="00EE6D95">
            <w:r>
              <w:t>8,8 mil €</w:t>
            </w:r>
          </w:p>
        </w:tc>
      </w:tr>
      <w:tr w:rsidR="00D849AA">
        <w:trPr>
          <w:jc w:val="center"/>
        </w:trPr>
        <w:tc>
          <w:tcPr>
            <w:tcW w:w="2229" w:type="dxa"/>
          </w:tcPr>
          <w:p w:rsidR="00D849AA" w:rsidRDefault="00EE6D95">
            <w:pPr>
              <w:pStyle w:val="CellColumn"/>
            </w:pPr>
            <w:r>
              <w:t>Broj i financijska vrijednost uspješno provedenih ugovorenih projekata</w:t>
            </w:r>
          </w:p>
        </w:tc>
        <w:tc>
          <w:tcPr>
            <w:tcW w:w="1114" w:type="dxa"/>
          </w:tcPr>
          <w:p w:rsidR="00D849AA" w:rsidRDefault="00EE6D95">
            <w:r>
              <w:t xml:space="preserve">Broj  </w:t>
            </w:r>
          </w:p>
          <w:p w:rsidR="00D849AA" w:rsidRDefault="00EE6D95">
            <w:r>
              <w:t>EUR</w:t>
            </w:r>
          </w:p>
        </w:tc>
        <w:tc>
          <w:tcPr>
            <w:tcW w:w="1114" w:type="dxa"/>
          </w:tcPr>
          <w:p w:rsidR="00D849AA" w:rsidRDefault="00EE6D95">
            <w:r>
              <w:t>0</w:t>
            </w:r>
          </w:p>
        </w:tc>
        <w:tc>
          <w:tcPr>
            <w:tcW w:w="1486" w:type="dxa"/>
          </w:tcPr>
          <w:p w:rsidR="00D849AA" w:rsidRDefault="00EE6D95">
            <w:r>
              <w:t xml:space="preserve">54 </w:t>
            </w:r>
          </w:p>
          <w:p w:rsidR="00D849AA" w:rsidRDefault="00EE6D95">
            <w:r>
              <w:t>7,9 mil €</w:t>
            </w:r>
          </w:p>
        </w:tc>
        <w:tc>
          <w:tcPr>
            <w:tcW w:w="1486" w:type="dxa"/>
          </w:tcPr>
          <w:p w:rsidR="00D849AA" w:rsidRDefault="00EE6D95">
            <w:r>
              <w:t xml:space="preserve">60 </w:t>
            </w:r>
          </w:p>
          <w:p w:rsidR="00D849AA" w:rsidRDefault="00EE6D95">
            <w:r>
              <w:t>8,8 mil €</w:t>
            </w:r>
          </w:p>
        </w:tc>
        <w:tc>
          <w:tcPr>
            <w:tcW w:w="1486" w:type="dxa"/>
          </w:tcPr>
          <w:p w:rsidR="00D849AA" w:rsidRDefault="00EE6D95">
            <w:r>
              <w:t xml:space="preserve">60 </w:t>
            </w:r>
          </w:p>
          <w:p w:rsidR="00D849AA" w:rsidRDefault="00EE6D95">
            <w:r>
              <w:t>8,8 mil €</w:t>
            </w:r>
          </w:p>
        </w:tc>
      </w:tr>
      <w:tr w:rsidR="00D849AA">
        <w:trPr>
          <w:jc w:val="center"/>
        </w:trPr>
        <w:tc>
          <w:tcPr>
            <w:tcW w:w="2229" w:type="dxa"/>
          </w:tcPr>
          <w:p w:rsidR="00D849AA" w:rsidRDefault="00EE6D95">
            <w:pPr>
              <w:pStyle w:val="CellColumn"/>
            </w:pPr>
            <w:r>
              <w:t>Broj i financijska vrijednost objavljenih poziva za dodjelu bespovratnih sredstava</w:t>
            </w:r>
          </w:p>
        </w:tc>
        <w:tc>
          <w:tcPr>
            <w:tcW w:w="1114" w:type="dxa"/>
          </w:tcPr>
          <w:p w:rsidR="00D849AA" w:rsidRDefault="00EE6D95">
            <w:r>
              <w:t xml:space="preserve">Broj  </w:t>
            </w:r>
          </w:p>
          <w:p w:rsidR="00D849AA" w:rsidRDefault="00EE6D95">
            <w:r>
              <w:t>EUR</w:t>
            </w:r>
          </w:p>
        </w:tc>
        <w:tc>
          <w:tcPr>
            <w:tcW w:w="1114" w:type="dxa"/>
          </w:tcPr>
          <w:p w:rsidR="00D849AA" w:rsidRDefault="00EE6D95">
            <w:r>
              <w:t>0</w:t>
            </w:r>
          </w:p>
        </w:tc>
        <w:tc>
          <w:tcPr>
            <w:tcW w:w="1486" w:type="dxa"/>
          </w:tcPr>
          <w:p w:rsidR="00D849AA" w:rsidRDefault="00EE6D95">
            <w:r>
              <w:t xml:space="preserve">3 </w:t>
            </w:r>
          </w:p>
          <w:p w:rsidR="00D849AA" w:rsidRDefault="00EE6D95">
            <w:r>
              <w:t>239,5 mil €</w:t>
            </w:r>
          </w:p>
        </w:tc>
        <w:tc>
          <w:tcPr>
            <w:tcW w:w="1486" w:type="dxa"/>
          </w:tcPr>
          <w:p w:rsidR="00D849AA" w:rsidRDefault="00EE6D95">
            <w:r>
              <w:t xml:space="preserve">4 </w:t>
            </w:r>
          </w:p>
          <w:p w:rsidR="00D849AA" w:rsidRDefault="00EE6D95">
            <w:r>
              <w:t>439,5 mil €</w:t>
            </w:r>
          </w:p>
        </w:tc>
        <w:tc>
          <w:tcPr>
            <w:tcW w:w="1486" w:type="dxa"/>
          </w:tcPr>
          <w:p w:rsidR="00D849AA" w:rsidRDefault="00EE6D95">
            <w:r>
              <w:t xml:space="preserve">5 </w:t>
            </w:r>
          </w:p>
          <w:p w:rsidR="00D849AA" w:rsidRDefault="00EE6D95">
            <w:r>
              <w:t>639,5 mil €</w:t>
            </w:r>
          </w:p>
        </w:tc>
      </w:tr>
    </w:tbl>
    <w:p w:rsidR="00D849AA" w:rsidRDefault="00D849AA">
      <w:pPr>
        <w:jc w:val="left"/>
      </w:pPr>
    </w:p>
    <w:p w:rsidR="00B151E0" w:rsidRDefault="00B151E0">
      <w:pPr>
        <w:jc w:val="left"/>
      </w:pPr>
    </w:p>
    <w:p w:rsidR="00B151E0" w:rsidRDefault="00B151E0">
      <w:pPr>
        <w:jc w:val="left"/>
      </w:pPr>
    </w:p>
    <w:p w:rsidR="00D849AA" w:rsidRDefault="00EE6D95">
      <w:pPr>
        <w:pStyle w:val="Naslov6"/>
      </w:pPr>
      <w:r>
        <w:lastRenderedPageBreak/>
        <w:t>T544022 ULAGANJE U FONDOVE ZA GOSPODARSKU SURADNJU</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T544022</w:t>
            </w:r>
          </w:p>
        </w:tc>
        <w:tc>
          <w:tcPr>
            <w:tcW w:w="1486" w:type="dxa"/>
          </w:tcPr>
          <w:p w:rsidR="00D849AA" w:rsidRDefault="00EE6D95">
            <w:r>
              <w:t>345.000.000</w:t>
            </w:r>
          </w:p>
        </w:tc>
        <w:tc>
          <w:tcPr>
            <w:tcW w:w="1486" w:type="dxa"/>
          </w:tcPr>
          <w:p w:rsidR="00D849AA" w:rsidRDefault="00EE6D95">
            <w:r>
              <w:t>435.000.000</w:t>
            </w:r>
          </w:p>
        </w:tc>
        <w:tc>
          <w:tcPr>
            <w:tcW w:w="1486" w:type="dxa"/>
          </w:tcPr>
          <w:p w:rsidR="00D849AA" w:rsidRDefault="00EE6D95">
            <w:r>
              <w:t>100.000.000</w:t>
            </w:r>
          </w:p>
        </w:tc>
        <w:tc>
          <w:tcPr>
            <w:tcW w:w="1486" w:type="dxa"/>
          </w:tcPr>
          <w:p w:rsidR="00D849AA" w:rsidRDefault="00EE6D95">
            <w:r>
              <w:t>00</w:t>
            </w:r>
          </w:p>
        </w:tc>
        <w:tc>
          <w:tcPr>
            <w:tcW w:w="1486" w:type="dxa"/>
          </w:tcPr>
          <w:p w:rsidR="00D849AA" w:rsidRDefault="00EE6D95">
            <w:r>
              <w:t>126,1</w:t>
            </w:r>
          </w:p>
        </w:tc>
      </w:tr>
    </w:tbl>
    <w:p w:rsidR="00D849AA" w:rsidRDefault="00D849AA">
      <w:pPr>
        <w:jc w:val="left"/>
      </w:pPr>
    </w:p>
    <w:p w:rsidR="00D849AA" w:rsidRDefault="00EE6D95">
      <w:pPr>
        <w:pStyle w:val="Normal6"/>
      </w:pPr>
      <w:r>
        <w:t>Ulaganje u fondove za gospodarsku suradnju (dalje u tekstu: FGS) temelji se na Odluci o sudjelovanju u fondovima za gospodarsku suradnju (NN broj 40/13) Pravilniku o sudjelovanju Vlade RH u FGS-ovima (NN 47/13), Odluci o imenovanju kvalificiranog ulagatelja za sudjelovanje u osnivanju FGS-ova (NN 96/10), Zakonu o investicijskim fondovima (NN 150/05), Zakonu o alternativnim investicijskim fondovima (NN 16/13), Prospektima i Statutima FGS-ova te Ugovoru o nalogu za obavljanje poslova ulaganja u FGS-ove od 26. siječnja 2011. godine i Dodatku I istome od 26. siječnja 2012. godine sklopljenima između Ministarstva poduzetništva i obrta i HBOR-a. Vlada RH donijela je Odluku o sudjelovanju u  FGS-ova u svrhu poticanja razvoja gospodarstva, očuvanja sadašnjih i stvaranja novih radnih mjesta, jačanja postojećih i pokretanja novih gospodarskih subjekata, putem vlasničkog restrukturiranja ulaganjem dodatnog kapitala, u suradnji sa zainteresiranim privatnim ulagateljima, sudjelovati u FGS-ovima – investicijskih fondova koji se osnivaju i posluju u skladu sa Zakonom o investicijskim fondovima i od 01.07.2014. Zakona o alternativnim investicijskim fondovima, kao otvoreni investicijski fondovi rizičnog kapitala s privatnom ponudom. Ovom Odlukom Vlada RH utvrdila je kako će ukupni iznos sredstava kojim će RH sudjelovati u osnivanju FGS-a iznositi najviše do milijardu kuna. Vlada RH je donijela i Odluku o imenovanju kvalificiranog ulagatelja za sudjelovanje u osnivanju FGS-ova kojom je imenovala HBOR kvalificiranim ulagateljem, koji u svoje ime, a za račun Vlade RH u svaki od FGS-ova ulaže iznos koji odgovara iznosu koji u isti FGS ulažu privatni ulagatelji Vlada RH ujedno i solidarno jamči za obvezu kvalificiranog ulagatelja. Iznosi ulaganja ovise o broju kvalitetnih projekata i veličini investicija, s time da se očekuje veća dinamika ulaganja u narednom razdoblju. Ugovor o nalogu za obavljanje poslova ulaganja u FGS-ova predviđa ukupnu obvezu Vlade RH za uplatu u FGS-ove od milijarde kuna, te više ne postoji limit, kao prijašnjih godina od 1/5 iznosa ukupno preuzete obveze od milijardu kuna. Iz gore navedenog proizlazi potreba za osiguravanjem 435 milijuna kuna za ulaganje u FGS-ove tijekom 2014. godine. Predmetni iznos predstavlja maksimalnu godišnju obvezu uplate Vlade RH u 2014. godini do milijardu kuna, s time da je iznos od 100 milijuna kuna, koji je rebalansom proračuna smanjen u 2013. godini prebačen kao plan obveze za FGS u 2015. godini. Hrvatska ima značajan potencijal za razvoj ulaganja fondova rizičnog kapitala čiji investicijski ciklus traje do 5 godina. Dobra likvidnost bankarskog sustava uz povećanje raspoloživog kapitala mogu pridonijeti da ulaganja fondova rizičnog kapitala u Hrvatsku porastu i da u tom području Hrvatska uhvati korak s ostalim zemljama regije, a za kojima trenutačno zaostaje.</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Broj projekata u koje su investirali FGS</w:t>
            </w:r>
          </w:p>
        </w:tc>
        <w:tc>
          <w:tcPr>
            <w:tcW w:w="1114" w:type="dxa"/>
          </w:tcPr>
          <w:p w:rsidR="00D849AA" w:rsidRDefault="00EE6D95">
            <w:r>
              <w:t>Broj odobrenih projekata</w:t>
            </w:r>
          </w:p>
        </w:tc>
        <w:tc>
          <w:tcPr>
            <w:tcW w:w="1114" w:type="dxa"/>
          </w:tcPr>
          <w:p w:rsidR="00D849AA" w:rsidRDefault="00EE6D95">
            <w:r>
              <w:t>14</w:t>
            </w:r>
          </w:p>
        </w:tc>
        <w:tc>
          <w:tcPr>
            <w:tcW w:w="1486" w:type="dxa"/>
          </w:tcPr>
          <w:p w:rsidR="00D849AA" w:rsidRDefault="00EE6D95">
            <w:r>
              <w:t>20</w:t>
            </w:r>
          </w:p>
        </w:tc>
        <w:tc>
          <w:tcPr>
            <w:tcW w:w="1486" w:type="dxa"/>
          </w:tcPr>
          <w:p w:rsidR="00D849AA" w:rsidRDefault="00EE6D95">
            <w:r>
              <w:t>25</w:t>
            </w:r>
          </w:p>
        </w:tc>
        <w:tc>
          <w:tcPr>
            <w:tcW w:w="1486" w:type="dxa"/>
          </w:tcPr>
          <w:p w:rsidR="00D849AA" w:rsidRDefault="00EE6D95">
            <w:r>
              <w:t>28</w:t>
            </w:r>
          </w:p>
        </w:tc>
      </w:tr>
    </w:tbl>
    <w:p w:rsidR="00D849AA" w:rsidRDefault="00D849AA">
      <w:pPr>
        <w:jc w:val="left"/>
      </w:pPr>
    </w:p>
    <w:p w:rsidR="00D849AA" w:rsidRDefault="00EE6D95">
      <w:pPr>
        <w:pStyle w:val="Naslov2"/>
      </w:pPr>
      <w:r>
        <w:lastRenderedPageBreak/>
        <w:t>05110 Hrvatska agencija za malo gospodarstvo i investicije</w:t>
      </w:r>
    </w:p>
    <w:p w:rsidR="00D849AA" w:rsidRDefault="00EE6D95">
      <w:pPr>
        <w:pStyle w:val="Naslov4"/>
      </w:pPr>
      <w:r>
        <w:t>Uvod</w:t>
      </w:r>
    </w:p>
    <w:p w:rsidR="00D849AA" w:rsidRDefault="00EE6D95">
      <w:pPr>
        <w:pStyle w:val="Normal3"/>
      </w:pPr>
      <w:r>
        <w:t xml:space="preserve">Hrvatska agencija za malo gospodarstvo investicije (HAMAG INVEST) najveća je agencija za poticanje poduzetništva u Republici Hrvatskoj, a osnovana je s ciljem pružanja kvalitetne potpore u poslovanju subjekata malog i srednjeg gospodarstva, što omogućava lakši i brži ekonomski razvoj na nacionalnoj razini. Osiguravajući podršku infrastrukturnim i intelektualnim kapacitetima poduzetničkog sektora, poboljšava se produktivnost u nacionalnom gospodarstvu, a standardi kvalitete se podižu na višu razinu. Cjelokupna djelatnost Agencije usmjerena je na razvoj malog i srednjeg poduzetništva, privlačenje investicija u unapređenje investicijskog okruženja. Niz je aktivnosti i mjera kojima HAMAG INVEST potiče razvoj poduzetništva i konkurentnost gospodarskih subjekata od kojih su svakako najprepoznatljivije izdavanje jamstava i bespovratnih potpora. Programe i aktivnosti HAMAG INVEST kreira sukladno zahtjevima i potrebama  tržišta, kako bi njihova namjena bila ostvarena </w:t>
      </w:r>
    </w:p>
    <w:p w:rsidR="00D849AA" w:rsidRDefault="00EE6D95">
      <w:pPr>
        <w:pStyle w:val="Normal3"/>
      </w:pPr>
      <w:r>
        <w:t xml:space="preserve">Uspješnom suradnjom s domaćim i inozemnim partnerima HAMAG INVEST kontinuirano  ulaže u jačanje vlastitih kapaciteta koje ga čine neizostavnom karikom razvoja malog i srednjeg poduzetništva. U prilog tome govori i činjenica da ulaskom Republike Hrvatske u Europsku uniju Agenciju očekuje važna uloga posredničkog tijela za provedbu strukturnih fondova EU. </w:t>
      </w:r>
    </w:p>
    <w:p w:rsidR="00D849AA" w:rsidRDefault="00EE6D95">
      <w:pPr>
        <w:pStyle w:val="Normal3"/>
      </w:pPr>
      <w:r>
        <w:t>U 2013. godini donesen je Zakon o izmjenama i dopunama Zakona o poticanju razvoja malog gospodarstva (NN 56/20) kojim je definirano spajanje HAMAG INVEST-a i BICRO-a. Upravo spajanjem ovih dviju agencija postiže se sinergija u budućim rezultatima koji se vide u jačanju konkurentnosti subjekata malog gospodarstva, pristupa financijskim sredstvima, posebno za inovativne projekte. Na ovaj način različiti izvori financiranja biti će objedinjeni čime će se izbjeći preklapanja, a osigurati pokrivenost svih faza razvoja novih tehnologija i inovacija adekvatnom podrškom. Ojačat će se potencijal obiju agencija za provođenjem instrumenata pomoći subjektima malog gospodarstva, uz uštede u općim funkcijama i prostorima obavljanja poslova.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05110</w:t>
            </w:r>
          </w:p>
        </w:tc>
        <w:tc>
          <w:tcPr>
            <w:tcW w:w="1486" w:type="dxa"/>
          </w:tcPr>
          <w:p w:rsidR="00D849AA" w:rsidRDefault="00EE6D95">
            <w:r>
              <w:t>125.219.881</w:t>
            </w:r>
          </w:p>
        </w:tc>
        <w:tc>
          <w:tcPr>
            <w:tcW w:w="1486" w:type="dxa"/>
          </w:tcPr>
          <w:p w:rsidR="00D849AA" w:rsidRDefault="00EE6D95">
            <w:r>
              <w:t>158.164.504</w:t>
            </w:r>
          </w:p>
        </w:tc>
        <w:tc>
          <w:tcPr>
            <w:tcW w:w="1486" w:type="dxa"/>
          </w:tcPr>
          <w:p w:rsidR="00D849AA" w:rsidRDefault="00EE6D95">
            <w:r>
              <w:t>101.142.000</w:t>
            </w:r>
          </w:p>
        </w:tc>
        <w:tc>
          <w:tcPr>
            <w:tcW w:w="1486" w:type="dxa"/>
          </w:tcPr>
          <w:p w:rsidR="00D849AA" w:rsidRDefault="00EE6D95">
            <w:r>
              <w:t>127.808.000</w:t>
            </w:r>
          </w:p>
        </w:tc>
        <w:tc>
          <w:tcPr>
            <w:tcW w:w="1486" w:type="dxa"/>
          </w:tcPr>
          <w:p w:rsidR="00D849AA" w:rsidRDefault="00EE6D95">
            <w:r>
              <w:t>126,3</w:t>
            </w:r>
          </w:p>
        </w:tc>
      </w:tr>
    </w:tbl>
    <w:p w:rsidR="00D849AA" w:rsidRDefault="00D849AA">
      <w:pPr>
        <w:jc w:val="left"/>
      </w:pPr>
    </w:p>
    <w:p w:rsidR="00D849AA" w:rsidRDefault="00EE6D95">
      <w:pPr>
        <w:pStyle w:val="Naslov4"/>
      </w:pPr>
      <w:r>
        <w:t>OBRAZLOŽENJE PROGRAMA</w:t>
      </w:r>
    </w:p>
    <w:p w:rsidR="00D849AA" w:rsidRDefault="00EE6D95">
      <w:pPr>
        <w:pStyle w:val="Naslov5"/>
      </w:pPr>
      <w:r>
        <w:t>3202 JAČANJE KONKURENTNOSTI MALOG I SREDNJEG PODUZETNIŠTVA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3202</w:t>
            </w:r>
          </w:p>
        </w:tc>
        <w:tc>
          <w:tcPr>
            <w:tcW w:w="1486" w:type="dxa"/>
          </w:tcPr>
          <w:p w:rsidR="00D849AA" w:rsidRDefault="00EE6D95">
            <w:r>
              <w:t>125.219.881</w:t>
            </w:r>
          </w:p>
        </w:tc>
        <w:tc>
          <w:tcPr>
            <w:tcW w:w="1486" w:type="dxa"/>
          </w:tcPr>
          <w:p w:rsidR="00D849AA" w:rsidRDefault="00EE6D95">
            <w:r>
              <w:t>158.164.504</w:t>
            </w:r>
          </w:p>
        </w:tc>
        <w:tc>
          <w:tcPr>
            <w:tcW w:w="1486" w:type="dxa"/>
          </w:tcPr>
          <w:p w:rsidR="00D849AA" w:rsidRDefault="00EE6D95">
            <w:r>
              <w:t>101.142.000</w:t>
            </w:r>
          </w:p>
        </w:tc>
        <w:tc>
          <w:tcPr>
            <w:tcW w:w="1486" w:type="dxa"/>
          </w:tcPr>
          <w:p w:rsidR="00D849AA" w:rsidRDefault="00EE6D95">
            <w:r>
              <w:t>127.808.000</w:t>
            </w:r>
          </w:p>
        </w:tc>
        <w:tc>
          <w:tcPr>
            <w:tcW w:w="1486" w:type="dxa"/>
          </w:tcPr>
          <w:p w:rsidR="00D849AA" w:rsidRDefault="00EE6D95">
            <w:r>
              <w:t>126,3</w:t>
            </w:r>
          </w:p>
        </w:tc>
      </w:tr>
    </w:tbl>
    <w:p w:rsidR="00D849AA" w:rsidRDefault="00D849AA">
      <w:pPr>
        <w:jc w:val="left"/>
      </w:pPr>
    </w:p>
    <w:p w:rsidR="00D849AA" w:rsidRDefault="00EE6D95">
      <w:pPr>
        <w:pStyle w:val="Naslov6"/>
      </w:pPr>
      <w:r>
        <w:t>Opis programa</w:t>
      </w:r>
    </w:p>
    <w:p w:rsidR="00D849AA" w:rsidRDefault="00EE6D95">
      <w:pPr>
        <w:pStyle w:val="Normal5"/>
      </w:pPr>
      <w:r>
        <w:t xml:space="preserve">Ovaj program ima za cilj poticanje razvoja malog gospodarstva nizom mjera koje HAMAG INVEST provodi u cilju olakšanog pristupa poduzetnika izvorima financiranja kroz izdavanje jamstava, izdavanje mikrokredita te dodjelu bespovratnih potpora. </w:t>
      </w:r>
    </w:p>
    <w:p w:rsidR="00D849AA" w:rsidRDefault="00EE6D95">
      <w:pPr>
        <w:pStyle w:val="Normal5"/>
      </w:pPr>
      <w:r>
        <w:lastRenderedPageBreak/>
        <w:t>Programe i aktivnosti HAMAG INVEST kreira sukladno zahtjevima i potrebama  tržišta, kako bi u potpunosti ostvarili svoju namjenu.</w:t>
      </w:r>
    </w:p>
    <w:p w:rsidR="00D849AA" w:rsidRDefault="00EE6D95">
      <w:pPr>
        <w:pStyle w:val="Naslov6"/>
      </w:pPr>
      <w:r>
        <w:t>Zakonske i druge pravne osnove</w:t>
      </w:r>
    </w:p>
    <w:p w:rsidR="00D849AA" w:rsidRDefault="00EE6D95">
      <w:pPr>
        <w:pStyle w:val="Normal5"/>
      </w:pPr>
      <w:r>
        <w:t xml:space="preserve">Zakon o poticanju razvoja malog gospodarstva (NN 29/2002)  </w:t>
      </w:r>
    </w:p>
    <w:p w:rsidR="00D849AA" w:rsidRDefault="00EE6D95">
      <w:pPr>
        <w:pStyle w:val="Normal5"/>
      </w:pPr>
      <w:r>
        <w:t xml:space="preserve">Zakon o izmjenama i dopunama Zakona o poticanju razvoja malog gospodarstva (NN 63/07) </w:t>
      </w:r>
    </w:p>
    <w:p w:rsidR="00D849AA" w:rsidRDefault="00EE6D95">
      <w:pPr>
        <w:pStyle w:val="Normal5"/>
      </w:pPr>
      <w:r>
        <w:t xml:space="preserve">Zakon o izmjenama i dopunama Zakona o poticanju razvoja malog gospodarstva (NN  53/12) </w:t>
      </w:r>
    </w:p>
    <w:p w:rsidR="00D849AA" w:rsidRDefault="00EE6D95">
      <w:pPr>
        <w:pStyle w:val="Normal5"/>
      </w:pPr>
      <w:r>
        <w:t xml:space="preserve">Zakon o izmjenama i dopunama Zakona o poticanju razvoja malog gospodarstva (NN  56/13) </w:t>
      </w:r>
    </w:p>
    <w:p w:rsidR="00D849AA" w:rsidRDefault="00EE6D95">
      <w:pPr>
        <w:pStyle w:val="Normal5"/>
      </w:pPr>
      <w:r>
        <w:t xml:space="preserve">Program Vlade Republike Hrvatske o poticanju malog i srednjeg poduzetništva 2008. – 2012. </w:t>
      </w:r>
    </w:p>
    <w:p w:rsidR="00D849AA" w:rsidRDefault="00EE6D95">
      <w:pPr>
        <w:pStyle w:val="Normal5"/>
      </w:pPr>
      <w:r>
        <w:t xml:space="preserve">odobrenim od Vlade RH 18. travnja 2008. godine </w:t>
      </w:r>
    </w:p>
    <w:p w:rsidR="00D849AA" w:rsidRDefault="00EE6D95">
      <w:pPr>
        <w:pStyle w:val="Normal5"/>
      </w:pPr>
      <w:r>
        <w:t xml:space="preserve">„Poduzetnički impuls“ – Plan poticanja poduzetništva i obrtništva za 2012. godinu prihvaćen na 17. sjednici Vlade Republike Hrvatske od 22. ožujka 2012. </w:t>
      </w:r>
    </w:p>
    <w:p w:rsidR="00D849AA" w:rsidRDefault="00EE6D95">
      <w:pPr>
        <w:pStyle w:val="Normal5"/>
      </w:pPr>
      <w:r>
        <w:t xml:space="preserve">„Poduzetnički impuls“ – Program poticanja poduzetništva i obrta za 2013. godinu prihvaćen na 73. sjednici Vlade Republike Hrvatske od 24. siječnja 2013. </w:t>
      </w:r>
    </w:p>
    <w:p w:rsidR="00D849AA" w:rsidRDefault="00EE6D95">
      <w:pPr>
        <w:pStyle w:val="Normal5"/>
      </w:pPr>
      <w:r>
        <w:t xml:space="preserve">Zakon o državnim potporama (NN 140/05) </w:t>
      </w:r>
    </w:p>
    <w:p w:rsidR="00D849AA" w:rsidRDefault="00EE6D95">
      <w:pPr>
        <w:pStyle w:val="Normal5"/>
      </w:pPr>
      <w:r>
        <w:t xml:space="preserve">Zakon o izmjenama Zakona o državnim potporama (NN 49/2011) </w:t>
      </w:r>
    </w:p>
    <w:p w:rsidR="00D849AA" w:rsidRDefault="00EE6D95">
      <w:pPr>
        <w:pStyle w:val="Normal5"/>
      </w:pPr>
      <w:r>
        <w:t xml:space="preserve">Zakon o državnim potporama (NN 72/13) </w:t>
      </w:r>
    </w:p>
    <w:p w:rsidR="00D849AA" w:rsidRDefault="00EE6D95">
      <w:pPr>
        <w:pStyle w:val="Normal5"/>
      </w:pPr>
      <w:r>
        <w:t xml:space="preserve">Uredba o državnim potporama (NN 50/06) </w:t>
      </w:r>
    </w:p>
    <w:p w:rsidR="00D849AA" w:rsidRDefault="00EE6D95">
      <w:pPr>
        <w:pStyle w:val="Normal5"/>
      </w:pPr>
      <w:r>
        <w:t xml:space="preserve">Odluka Vlade RH o usvajanju jamstvenih programa i općih uvjeta za izdavanje jamstava HAMAG-a (NN51/12) (Jamstveni programi: Novi poduzetnici, Poljoprivrednici, Likvidnost, Rast, Financisjki leasnig, Inovacije, Činidbena jamstva i Opći uvjeti za izdavanje jamstava) </w:t>
      </w:r>
    </w:p>
    <w:p w:rsidR="00D849AA" w:rsidRDefault="00EE6D95">
      <w:pPr>
        <w:pStyle w:val="Normal5"/>
      </w:pPr>
      <w:r>
        <w:t xml:space="preserve">Odluka Vlade RH o usvajanju izmjena jamstvenih programa i općih uvjeta za izdavanje jamstava HAMAG-a (NN 20/13) (Izmjene Jamstvenih programa: Novi poduzetnici, Poljoprivrednici, Likvidnost, Rast, Financisjki leasnig, Inovacije, Činidbena jamstva i Općih uvjeta za izdavanje jamstava) </w:t>
      </w:r>
    </w:p>
    <w:p w:rsidR="00D849AA" w:rsidRDefault="00EE6D95">
      <w:pPr>
        <w:pStyle w:val="Normal5"/>
      </w:pPr>
      <w:r>
        <w:t>Odluka Vlade RH o usvajanju jamstvenog programa Investicijom do uspjeha (NN 20/13)</w:t>
      </w:r>
    </w:p>
    <w:p w:rsidR="00D849AA" w:rsidRDefault="00EE6D95">
      <w:pPr>
        <w:pStyle w:val="Naslov6"/>
      </w:pPr>
      <w:r>
        <w:t>Ciljevi provedbe programa u razdoblju 2014.-2016. i pokazatelji uspješnosti kojima će se mjeriti ostvarenje tih ciljeva</w:t>
      </w:r>
    </w:p>
    <w:p w:rsidR="00D849AA" w:rsidRDefault="00EE6D95">
      <w:pPr>
        <w:pStyle w:val="Naslov5"/>
      </w:pPr>
      <w:r>
        <w:t>Procjena i ishodište potrebnih sredstava za značajnije aktivnosti/projekte</w:t>
      </w:r>
    </w:p>
    <w:p w:rsidR="00D849AA" w:rsidRDefault="00EE6D95">
      <w:pPr>
        <w:pStyle w:val="Naslov6"/>
      </w:pPr>
      <w:r>
        <w:t>A560095 MLADI U PODUZETNIŠTVU I PODUZETNICI POČETNICI-MIKROKREDITI</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A560095</w:t>
            </w:r>
          </w:p>
        </w:tc>
        <w:tc>
          <w:tcPr>
            <w:tcW w:w="1486" w:type="dxa"/>
          </w:tcPr>
          <w:p w:rsidR="00D849AA" w:rsidRDefault="00EE6D95">
            <w:r>
              <w:t>2.140.000</w:t>
            </w:r>
          </w:p>
        </w:tc>
        <w:tc>
          <w:tcPr>
            <w:tcW w:w="1486" w:type="dxa"/>
          </w:tcPr>
          <w:p w:rsidR="00D849AA" w:rsidRDefault="00EE6D95">
            <w:r>
              <w:t>5.000.000</w:t>
            </w:r>
          </w:p>
        </w:tc>
        <w:tc>
          <w:tcPr>
            <w:tcW w:w="1486" w:type="dxa"/>
          </w:tcPr>
          <w:p w:rsidR="00D849AA" w:rsidRDefault="00EE6D95">
            <w:r>
              <w:t>10.000.000</w:t>
            </w:r>
          </w:p>
        </w:tc>
        <w:tc>
          <w:tcPr>
            <w:tcW w:w="1486" w:type="dxa"/>
          </w:tcPr>
          <w:p w:rsidR="00D849AA" w:rsidRDefault="00EE6D95">
            <w:r>
              <w:t>10.000.000</w:t>
            </w:r>
          </w:p>
        </w:tc>
        <w:tc>
          <w:tcPr>
            <w:tcW w:w="1486" w:type="dxa"/>
          </w:tcPr>
          <w:p w:rsidR="00D849AA" w:rsidRDefault="00EE6D95">
            <w:r>
              <w:t>233,6</w:t>
            </w:r>
          </w:p>
        </w:tc>
      </w:tr>
    </w:tbl>
    <w:p w:rsidR="00D849AA" w:rsidRDefault="00D849AA">
      <w:pPr>
        <w:jc w:val="left"/>
      </w:pPr>
    </w:p>
    <w:p w:rsidR="00D849AA" w:rsidRDefault="00EE6D95">
      <w:pPr>
        <w:pStyle w:val="Normal6"/>
      </w:pPr>
      <w:r>
        <w:t xml:space="preserve">HAMAG INVEST po prvi put kreće u područje mikro kreditiranja poduzetništva u Republici Hrvatskoj. U svojoj, skoro 20 godišnjoj povijesti HAMAG INVEST je izdavao jamstva za kredite poduzetnika koje su odobravale druge institucije. Ovim programom HAMAG INVEST  postaje i kreditor poduzetništvu RH te tako omogućuje njegov lakši razvoj kroz pristup financijskim sredstvima za mikro poduzeća. Programom se omogućuje </w:t>
      </w:r>
      <w:r>
        <w:lastRenderedPageBreak/>
        <w:t>osnivanje mikro poduzeća te rast novoosnovanih mikro poduzeća sa sredstvima kredita koja će koristiti uz subvencioniranu kamatnu stopu.</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Broj izdanih mikrokredita</w:t>
            </w:r>
          </w:p>
        </w:tc>
        <w:tc>
          <w:tcPr>
            <w:tcW w:w="1114" w:type="dxa"/>
          </w:tcPr>
          <w:p w:rsidR="00D849AA" w:rsidRDefault="00EE6D95">
            <w:r>
              <w:t>broj</w:t>
            </w:r>
          </w:p>
        </w:tc>
        <w:tc>
          <w:tcPr>
            <w:tcW w:w="1114" w:type="dxa"/>
          </w:tcPr>
          <w:p w:rsidR="00D849AA" w:rsidRDefault="00EE6D95">
            <w:r>
              <w:t>32</w:t>
            </w:r>
          </w:p>
        </w:tc>
        <w:tc>
          <w:tcPr>
            <w:tcW w:w="1486" w:type="dxa"/>
          </w:tcPr>
          <w:p w:rsidR="00D849AA" w:rsidRDefault="00EE6D95">
            <w:r>
              <w:t>60</w:t>
            </w:r>
          </w:p>
        </w:tc>
        <w:tc>
          <w:tcPr>
            <w:tcW w:w="1486" w:type="dxa"/>
          </w:tcPr>
          <w:p w:rsidR="00D849AA" w:rsidRDefault="00EE6D95">
            <w:r>
              <w:t>100</w:t>
            </w:r>
          </w:p>
        </w:tc>
        <w:tc>
          <w:tcPr>
            <w:tcW w:w="1486" w:type="dxa"/>
          </w:tcPr>
          <w:p w:rsidR="00D849AA" w:rsidRDefault="00EE6D95">
            <w:r>
              <w:t>110</w:t>
            </w:r>
          </w:p>
        </w:tc>
      </w:tr>
    </w:tbl>
    <w:p w:rsidR="00D849AA" w:rsidRDefault="00D849AA">
      <w:pPr>
        <w:jc w:val="left"/>
      </w:pPr>
    </w:p>
    <w:p w:rsidR="00D849AA" w:rsidRDefault="00EE6D95">
      <w:pPr>
        <w:pStyle w:val="Naslov6"/>
      </w:pPr>
      <w:r>
        <w:t>A563026 JAMSTVA ZA MALO GOSPODARSTVO</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A563026</w:t>
            </w:r>
          </w:p>
        </w:tc>
        <w:tc>
          <w:tcPr>
            <w:tcW w:w="1486" w:type="dxa"/>
          </w:tcPr>
          <w:p w:rsidR="00D849AA" w:rsidRDefault="00EE6D95">
            <w:r>
              <w:t>34.900.000</w:t>
            </w:r>
          </w:p>
        </w:tc>
        <w:tc>
          <w:tcPr>
            <w:tcW w:w="1486" w:type="dxa"/>
          </w:tcPr>
          <w:p w:rsidR="00D849AA" w:rsidRDefault="00EE6D95">
            <w:r>
              <w:t>40.000.000</w:t>
            </w:r>
          </w:p>
        </w:tc>
        <w:tc>
          <w:tcPr>
            <w:tcW w:w="1486" w:type="dxa"/>
          </w:tcPr>
          <w:p w:rsidR="00D849AA" w:rsidRDefault="00EE6D95">
            <w:r>
              <w:t>45.000.000</w:t>
            </w:r>
          </w:p>
        </w:tc>
        <w:tc>
          <w:tcPr>
            <w:tcW w:w="1486" w:type="dxa"/>
          </w:tcPr>
          <w:p w:rsidR="00D849AA" w:rsidRDefault="00EE6D95">
            <w:r>
              <w:t>45.000.000</w:t>
            </w:r>
          </w:p>
        </w:tc>
        <w:tc>
          <w:tcPr>
            <w:tcW w:w="1486" w:type="dxa"/>
          </w:tcPr>
          <w:p w:rsidR="00D849AA" w:rsidRDefault="00EE6D95">
            <w:r>
              <w:t>114,6</w:t>
            </w:r>
          </w:p>
        </w:tc>
      </w:tr>
    </w:tbl>
    <w:p w:rsidR="00D849AA" w:rsidRDefault="00D849AA">
      <w:pPr>
        <w:jc w:val="left"/>
      </w:pPr>
    </w:p>
    <w:p w:rsidR="00D849AA" w:rsidRDefault="00EE6D95">
      <w:pPr>
        <w:pStyle w:val="Normal6"/>
      </w:pPr>
      <w:r>
        <w:t xml:space="preserve">Subjekti malog gospodarstva, posebice novoosnovani, često se susreću s problemom nedostatnog kolaterala uslijed čega im je onemogućen pristup kreditnim sredstvima, a samim tim i nemogućnost financiranja projekata. U interesu HAMAG INVEST-a je da podrži kvalitetne projekte jer njihovo ostvarenje utječe na smanjenje nezaposlenosti, jačanje gospodarskih subjekata i rast gospodarstva općenito. </w:t>
      </w:r>
    </w:p>
    <w:p w:rsidR="00D849AA" w:rsidRDefault="00EE6D95">
      <w:pPr>
        <w:pStyle w:val="Normal6"/>
      </w:pPr>
      <w:r>
        <w:t xml:space="preserve">Jamstvima koje izdaje na ime djelomičnog pokrića glavnice kredita; HAMAG INVEST omogućuje realizaciju kvalitetnih projekata koji ne bi mogli biti realizirani radi manjka kolaterala. Na ovaj način Agencija jamči banci ispunjenje obveze poduzetnika u djelu koji je pokriven jamstvom. </w:t>
      </w:r>
    </w:p>
    <w:p w:rsidR="00D849AA" w:rsidRDefault="00EE6D95">
      <w:pPr>
        <w:pStyle w:val="Normal6"/>
      </w:pPr>
      <w:r>
        <w:t xml:space="preserve">Jamstvo nije bespovratni financijski instrument i njegovim izdavanjem nastaje ugovorna obveza poduzetnika prema HAMAG INVEST-u na povrat iznosa koji je Agencija isplatila banci temeljem protestiranog jamstva. HAMAG INVEST jamči za glavnicu kredita u postotku koji je određen jamstvenim programom, a najviše do 80%. Jamstveni programi prilagođeni su gotovo svim skupinama i djelatnostima, od poduzetnika početnika do onih u fazi rasta, od ulaganja u poljoprivredu i industriju do ulaganja u inovacije ili turizam. Jamstveni programi se kreiraju i usklađuju s potrebama tržišta pa se ovisno o tome i mijenjaju, donose se novi ili ukidaju oni za kojima više nema potražnje na tržištu. Izmijenjena je definicija jamstva koje izdaje HAMAG INVEST na način da to jamstvo postaje jamstvo na prvi poziv banke čime ono postaje značajno primamljiv instrument osiguranja i prvoklasni kolateral. Očekujući značajno povećanje broja izdanih jamstava Vlada RH je u svibnju 2012. godine povećala jamstveni potencijal Agencije na 2 milijarde HRK te usvojila nove jamstvene programe koji bi trebali pojednostaviti i ubrzati proces odobravanja jamstava. Uvedena su i pisma namjere za poduzetničke projekte poduzetnika početnika čime je toj skupini olakšan pristup financijskim sredstvima. U 2013. godini je usvojen i jamstveni program Investicijom do uspjeha namijenjen ulaganjima u turizam i prerađivačku industriju. </w:t>
      </w:r>
    </w:p>
    <w:p w:rsidR="00D849AA" w:rsidRDefault="00EE6D95">
      <w:pPr>
        <w:pStyle w:val="Normal6"/>
      </w:pPr>
      <w:r>
        <w:t>Najvažniji uvjet za izdavanje jamstva je, u cijelosti zatvorena financijska konstrukcija projekta, likvidnost projekta, za čitavo vrijeme njegova trajanja, nepostojanje duga te nepostojanje duga prema državi, ekonomska opravdanost ulaganja kao i stručne i poduzetničke sposobnosti investitora. U posljednjih pet godina HAMAG INVEST je izdao skoro milijardu kuna jamstava čime je omogućio više od tri milijarde kuna investicija u gospodarstvo.</w:t>
      </w:r>
    </w:p>
    <w:p w:rsidR="00D849AA" w:rsidRDefault="00EE6D95">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Broj izdanih jamstava</w:t>
            </w:r>
          </w:p>
        </w:tc>
        <w:tc>
          <w:tcPr>
            <w:tcW w:w="1114" w:type="dxa"/>
          </w:tcPr>
          <w:p w:rsidR="00D849AA" w:rsidRDefault="00EE6D95">
            <w:r>
              <w:t>broj</w:t>
            </w:r>
          </w:p>
        </w:tc>
        <w:tc>
          <w:tcPr>
            <w:tcW w:w="1114" w:type="dxa"/>
          </w:tcPr>
          <w:p w:rsidR="00D849AA" w:rsidRDefault="00EE6D95">
            <w:r>
              <w:t>300</w:t>
            </w:r>
          </w:p>
        </w:tc>
        <w:tc>
          <w:tcPr>
            <w:tcW w:w="1486" w:type="dxa"/>
          </w:tcPr>
          <w:p w:rsidR="00D849AA" w:rsidRDefault="00EE6D95">
            <w:r>
              <w:t>400</w:t>
            </w:r>
          </w:p>
        </w:tc>
        <w:tc>
          <w:tcPr>
            <w:tcW w:w="1486" w:type="dxa"/>
          </w:tcPr>
          <w:p w:rsidR="00D849AA" w:rsidRDefault="00EE6D95">
            <w:r>
              <w:t>500</w:t>
            </w:r>
          </w:p>
        </w:tc>
        <w:tc>
          <w:tcPr>
            <w:tcW w:w="1486" w:type="dxa"/>
          </w:tcPr>
          <w:p w:rsidR="00D849AA" w:rsidRDefault="00EE6D95">
            <w:r>
              <w:t>500</w:t>
            </w:r>
          </w:p>
        </w:tc>
      </w:tr>
    </w:tbl>
    <w:p w:rsidR="00D849AA" w:rsidRDefault="00D849AA">
      <w:pPr>
        <w:jc w:val="left"/>
      </w:pPr>
    </w:p>
    <w:p w:rsidR="00D849AA" w:rsidRDefault="00EE6D95">
      <w:pPr>
        <w:pStyle w:val="Naslov6"/>
      </w:pPr>
      <w:r>
        <w:t>A563119 POTICANJE MALOG I SREDNJEG PODUZETNIŠTVA-PODUZETNIČKI IMPULS</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A563119</w:t>
            </w:r>
          </w:p>
        </w:tc>
        <w:tc>
          <w:tcPr>
            <w:tcW w:w="1486" w:type="dxa"/>
          </w:tcPr>
          <w:p w:rsidR="00D849AA" w:rsidRDefault="00EE6D95">
            <w:r>
              <w:t>74.349.881</w:t>
            </w:r>
          </w:p>
        </w:tc>
        <w:tc>
          <w:tcPr>
            <w:tcW w:w="1486" w:type="dxa"/>
          </w:tcPr>
          <w:p w:rsidR="00D849AA" w:rsidRDefault="00EE6D95">
            <w:r>
              <w:t>100.000.000</w:t>
            </w:r>
          </w:p>
        </w:tc>
        <w:tc>
          <w:tcPr>
            <w:tcW w:w="1486" w:type="dxa"/>
          </w:tcPr>
          <w:p w:rsidR="00D849AA" w:rsidRDefault="00EE6D95">
            <w:r>
              <w:t>33.400.000</w:t>
            </w:r>
          </w:p>
        </w:tc>
        <w:tc>
          <w:tcPr>
            <w:tcW w:w="1486" w:type="dxa"/>
          </w:tcPr>
          <w:p w:rsidR="00D849AA" w:rsidRDefault="00EE6D95">
            <w:r>
              <w:t>58.100.000</w:t>
            </w:r>
          </w:p>
        </w:tc>
        <w:tc>
          <w:tcPr>
            <w:tcW w:w="1486" w:type="dxa"/>
          </w:tcPr>
          <w:p w:rsidR="00D849AA" w:rsidRDefault="00EE6D95">
            <w:r>
              <w:t>134,5</w:t>
            </w:r>
          </w:p>
        </w:tc>
      </w:tr>
    </w:tbl>
    <w:p w:rsidR="00D849AA" w:rsidRDefault="00D849AA">
      <w:pPr>
        <w:jc w:val="left"/>
      </w:pPr>
    </w:p>
    <w:p w:rsidR="00D849AA" w:rsidRDefault="00EE6D95">
      <w:pPr>
        <w:pStyle w:val="Normal6"/>
      </w:pPr>
      <w:r>
        <w:t xml:space="preserve">HAMAG INVEST bespovratne potpore dodjeljuje sukladno programskim dokumentima Ministarstva poduzetništva i obrta. Bespovratne potpore namijenjene su subjektima malog gospodarstva, a dodjeljuju se s ciljem rasta i razvoja poduzetništva. HAMAG INVEST poduzetničku klimu razvija i potiče od 2006. godine te mikro, male i srednje poduzetnike stavlja u središte gospodarskog prosperiteta kao glavne pokretače razvoja.  </w:t>
      </w:r>
    </w:p>
    <w:p w:rsidR="00D849AA" w:rsidRDefault="00EE6D95">
      <w:pPr>
        <w:pStyle w:val="Normal6"/>
      </w:pPr>
      <w:r>
        <w:t xml:space="preserve">Konkurentnost se povećava kroz jačanje kapaciteta za istraživanje i razvoj novih proizvoda, poticanje održivog rasta primjenom novih i unapređenjem postojećih tehnologija i tehnoloških postupaka, promicanjem zelenog gospodarstva, uvođenjem proizvoda s višom dodanom vrijednosti te kroz jačanje prepoznatljivosti tržišnih pozicija i olakšavanje pristupa pojedinim tržišnim segmentima. Povećanje konkurentnosti subjekata malog gospodarstva dovodi do njihovog bržeg rasta i razvoja, širenja poslovanja, povećanja zaposlenosti i prisutnosti na stranim tržištima.  </w:t>
      </w:r>
    </w:p>
    <w:p w:rsidR="00D849AA" w:rsidRDefault="00EE6D95">
      <w:pPr>
        <w:pStyle w:val="Normal6"/>
      </w:pPr>
      <w:r>
        <w:t xml:space="preserve">Istraživanje i razvoj te komercijalizacija inovacija predstavljaju krucijalan segment razvoja malog i srednjeg poduzetništva te se putem sustava bespovratnih potpora direktno potiču poduzeća na uvođenje i primjenu znanja u svojem poslovanju s ciljem razvoja inovativnih proizvoda, usluga i procesa.  </w:t>
      </w:r>
    </w:p>
    <w:p w:rsidR="00D849AA" w:rsidRDefault="00EE6D95">
      <w:pPr>
        <w:pStyle w:val="Normal6"/>
      </w:pPr>
      <w:r>
        <w:t>HAMAG INVEST kroz programe dodjele bespovratnih potpora podupire jačanje konkurentnosti mikro, malih i srednjih poduzeća, s posebnim naglaskom na proizvodne i ICT industrije te razvoj inovativnog poduzetništva.</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Broj korisnika bespovratnih potpora</w:t>
            </w:r>
          </w:p>
        </w:tc>
        <w:tc>
          <w:tcPr>
            <w:tcW w:w="1114" w:type="dxa"/>
          </w:tcPr>
          <w:p w:rsidR="00D849AA" w:rsidRDefault="00EE6D95">
            <w:r>
              <w:t>broj</w:t>
            </w:r>
          </w:p>
        </w:tc>
        <w:tc>
          <w:tcPr>
            <w:tcW w:w="1114" w:type="dxa"/>
          </w:tcPr>
          <w:p w:rsidR="00D849AA" w:rsidRDefault="00EE6D95">
            <w:r>
              <w:t>225</w:t>
            </w:r>
          </w:p>
        </w:tc>
        <w:tc>
          <w:tcPr>
            <w:tcW w:w="1486" w:type="dxa"/>
          </w:tcPr>
          <w:p w:rsidR="00D849AA" w:rsidRDefault="00EE6D95">
            <w:r>
              <w:t>220</w:t>
            </w:r>
          </w:p>
        </w:tc>
        <w:tc>
          <w:tcPr>
            <w:tcW w:w="1486" w:type="dxa"/>
          </w:tcPr>
          <w:p w:rsidR="00D849AA" w:rsidRDefault="00EE6D95">
            <w:r>
              <w:t>240</w:t>
            </w:r>
          </w:p>
        </w:tc>
        <w:tc>
          <w:tcPr>
            <w:tcW w:w="1486" w:type="dxa"/>
          </w:tcPr>
          <w:p w:rsidR="00D849AA" w:rsidRDefault="00EE6D95">
            <w:r>
              <w:t>260</w:t>
            </w:r>
          </w:p>
        </w:tc>
      </w:tr>
    </w:tbl>
    <w:p w:rsidR="00D849AA" w:rsidRDefault="00D849AA">
      <w:pPr>
        <w:jc w:val="left"/>
      </w:pPr>
    </w:p>
    <w:p w:rsidR="00D849AA" w:rsidRDefault="00EE6D95">
      <w:pPr>
        <w:pStyle w:val="Naslov1"/>
      </w:pPr>
      <w:r>
        <w:lastRenderedPageBreak/>
        <w:t>055 MINISTARSTVO KULTURE</w:t>
      </w:r>
    </w:p>
    <w:p w:rsidR="00D849AA" w:rsidRDefault="00EE6D95">
      <w:pPr>
        <w:pStyle w:val="Naslov4"/>
      </w:pPr>
      <w:r>
        <w:t>Uvod</w:t>
      </w:r>
    </w:p>
    <w:p w:rsidR="00D849AA" w:rsidRDefault="00EE6D95">
      <w:pPr>
        <w:pStyle w:val="Normal3"/>
      </w:pPr>
      <w:r>
        <w:t xml:space="preserve">Ministarstvo kulture, sukladno djelokrugu rada definiranim Zakonom o ustrojstvu i djelokrugu središnjih tijela državne uprave (NN 199/03, 30/04, 22/05, 44/06, 5/08, 27/08, 77/09, 150/11, 22/12, 39/13, 124/13), obavlja upravne i druge stručne poslove u području kulture koji se odnose na: razvitak i unapređenje kulture, kulturnog i umjetničkog stvaralaštva, kulturnog života i kulturnih djelatnosti, osnivanja ustanova i drugih pravnih osoba u kulturi, promicanje kulturnih veza s drugim zemljama i međunarodnim institucijama, stručne i upravne poslove za Hrvatsko povjerenstvo za UNESCO; upravne poslove u području javnog informiranja; poticanje programa kulturnih potreba pripadnika hrvatskoga naroda u drugim zemljama; osiguravanje financijskih, materijalnih i drugih uvjeta za obavljanje i razvitak djelatnosti kulture, a osobito muzejske, galerijske, knjižničarske, arhivske, kazališne, glazbene i glazbeno-scenske, nakladničke, likovne i filmske. </w:t>
      </w:r>
    </w:p>
    <w:p w:rsidR="00D849AA" w:rsidRDefault="00EE6D95">
      <w:pPr>
        <w:pStyle w:val="Normal3"/>
      </w:pPr>
      <w:r>
        <w:t>Ministarstvo obavlja upravne i druge poslove koji se odnose na: istraživanje, proučavanje, praćenje, evidentiranje, dokumentiranje i promicanje kulturne baštine; središnju informacijsko-dokumentacijsku službu; utvrđivanje svojstva zaštićenih kulturnih dobara; propisivanje mjerila za utvrđivanje programa javnih potreba u kulturi Republike Hrvatske; skrb, usklađivanje i vođenje nadzora nad financiranjem programa zaštite kulturne baštine; osnivanje i nadzor nad ustanovama za obavljanje poslova djelatnosti zaštite kulturne baštine; ocjenjivanje uvjeta za rad pravnih i fizičkih osoba na restauratorskim, konzervatorskim i drugim poslovima zaštite kulturne baštine; osiguranje uvjeta za obrazovanje i usavršavanje stručnih radnika u poslovima zaštite kulturne baštine; provedbu nadzora prometa, uvoza i izvoza zaštićenih kulturnih dobara; utvrđivanje uvjeta za korištenje i namjenu kulturnih dobara, te upravljanje kulturnim dobrima sukladno propisima; utvrđivanje posebnih uvjeta građenja za zaštitu dijelova kulturne baštine; obavljanje inspekcijskih poslova zaštite kulturne baštine.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05505 Ministarstvo kulture</w:t>
            </w:r>
          </w:p>
        </w:tc>
        <w:tc>
          <w:tcPr>
            <w:tcW w:w="1486" w:type="dxa"/>
          </w:tcPr>
          <w:p w:rsidR="00D849AA" w:rsidRDefault="00EE6D95">
            <w:r>
              <w:t>446.399.965</w:t>
            </w:r>
          </w:p>
        </w:tc>
        <w:tc>
          <w:tcPr>
            <w:tcW w:w="1486" w:type="dxa"/>
          </w:tcPr>
          <w:p w:rsidR="00D849AA" w:rsidRDefault="00EE6D95">
            <w:r>
              <w:t>442.074.119</w:t>
            </w:r>
          </w:p>
        </w:tc>
        <w:tc>
          <w:tcPr>
            <w:tcW w:w="1486" w:type="dxa"/>
          </w:tcPr>
          <w:p w:rsidR="00D849AA" w:rsidRDefault="00EE6D95">
            <w:r>
              <w:t>425.265.934</w:t>
            </w:r>
          </w:p>
        </w:tc>
        <w:tc>
          <w:tcPr>
            <w:tcW w:w="1486" w:type="dxa"/>
          </w:tcPr>
          <w:p w:rsidR="00D849AA" w:rsidRDefault="00EE6D95">
            <w:r>
              <w:t>409.932.774</w:t>
            </w:r>
          </w:p>
        </w:tc>
        <w:tc>
          <w:tcPr>
            <w:tcW w:w="1486" w:type="dxa"/>
          </w:tcPr>
          <w:p w:rsidR="00D849AA" w:rsidRDefault="00EE6D95">
            <w:r>
              <w:t>99,0</w:t>
            </w:r>
          </w:p>
        </w:tc>
      </w:tr>
      <w:tr w:rsidR="00D849AA">
        <w:trPr>
          <w:jc w:val="center"/>
        </w:trPr>
        <w:tc>
          <w:tcPr>
            <w:tcW w:w="1486" w:type="dxa"/>
          </w:tcPr>
          <w:p w:rsidR="00D849AA" w:rsidRDefault="00EE6D95">
            <w:pPr>
              <w:pStyle w:val="CellColumn"/>
            </w:pPr>
            <w:r>
              <w:t>05535 Arhivi</w:t>
            </w:r>
          </w:p>
        </w:tc>
        <w:tc>
          <w:tcPr>
            <w:tcW w:w="1486" w:type="dxa"/>
          </w:tcPr>
          <w:p w:rsidR="00D849AA" w:rsidRDefault="00EE6D95">
            <w:r>
              <w:t>81.018.676</w:t>
            </w:r>
          </w:p>
        </w:tc>
        <w:tc>
          <w:tcPr>
            <w:tcW w:w="1486" w:type="dxa"/>
          </w:tcPr>
          <w:p w:rsidR="00D849AA" w:rsidRDefault="00EE6D95">
            <w:r>
              <w:t>74.226.325</w:t>
            </w:r>
          </w:p>
        </w:tc>
        <w:tc>
          <w:tcPr>
            <w:tcW w:w="1486" w:type="dxa"/>
          </w:tcPr>
          <w:p w:rsidR="00D849AA" w:rsidRDefault="00EE6D95">
            <w:r>
              <w:t>69.008.944</w:t>
            </w:r>
          </w:p>
        </w:tc>
        <w:tc>
          <w:tcPr>
            <w:tcW w:w="1486" w:type="dxa"/>
          </w:tcPr>
          <w:p w:rsidR="00D849AA" w:rsidRDefault="00EE6D95">
            <w:r>
              <w:t>70.635.844</w:t>
            </w:r>
          </w:p>
        </w:tc>
        <w:tc>
          <w:tcPr>
            <w:tcW w:w="1486" w:type="dxa"/>
          </w:tcPr>
          <w:p w:rsidR="00D849AA" w:rsidRDefault="00EE6D95">
            <w:r>
              <w:t>91,6</w:t>
            </w:r>
          </w:p>
        </w:tc>
      </w:tr>
      <w:tr w:rsidR="00D849AA">
        <w:trPr>
          <w:jc w:val="center"/>
        </w:trPr>
        <w:tc>
          <w:tcPr>
            <w:tcW w:w="1486" w:type="dxa"/>
          </w:tcPr>
          <w:p w:rsidR="00D849AA" w:rsidRDefault="00EE6D95">
            <w:pPr>
              <w:pStyle w:val="CellColumn"/>
            </w:pPr>
            <w:r>
              <w:t>05540 Muzeji i galerije</w:t>
            </w:r>
          </w:p>
        </w:tc>
        <w:tc>
          <w:tcPr>
            <w:tcW w:w="1486" w:type="dxa"/>
          </w:tcPr>
          <w:p w:rsidR="00D849AA" w:rsidRDefault="00EE6D95">
            <w:r>
              <w:t>80.979.778</w:t>
            </w:r>
          </w:p>
        </w:tc>
        <w:tc>
          <w:tcPr>
            <w:tcW w:w="1486" w:type="dxa"/>
          </w:tcPr>
          <w:p w:rsidR="00D849AA" w:rsidRDefault="00EE6D95">
            <w:r>
              <w:t>76.206.780</w:t>
            </w:r>
          </w:p>
        </w:tc>
        <w:tc>
          <w:tcPr>
            <w:tcW w:w="1486" w:type="dxa"/>
          </w:tcPr>
          <w:p w:rsidR="00D849AA" w:rsidRDefault="00EE6D95">
            <w:r>
              <w:t>71.004.879</w:t>
            </w:r>
          </w:p>
        </w:tc>
        <w:tc>
          <w:tcPr>
            <w:tcW w:w="1486" w:type="dxa"/>
          </w:tcPr>
          <w:p w:rsidR="00D849AA" w:rsidRDefault="00EE6D95">
            <w:r>
              <w:t>70.608.391</w:t>
            </w:r>
          </w:p>
        </w:tc>
        <w:tc>
          <w:tcPr>
            <w:tcW w:w="1486" w:type="dxa"/>
          </w:tcPr>
          <w:p w:rsidR="00D849AA" w:rsidRDefault="00EE6D95">
            <w:r>
              <w:t>94,1</w:t>
            </w:r>
          </w:p>
        </w:tc>
      </w:tr>
      <w:tr w:rsidR="00D849AA">
        <w:trPr>
          <w:jc w:val="center"/>
        </w:trPr>
        <w:tc>
          <w:tcPr>
            <w:tcW w:w="1486" w:type="dxa"/>
          </w:tcPr>
          <w:p w:rsidR="00D849AA" w:rsidRDefault="00EE6D95">
            <w:pPr>
              <w:pStyle w:val="CellColumn"/>
            </w:pPr>
            <w:r>
              <w:t>05565 Ostali proračunski korisnici iz područja kulture</w:t>
            </w:r>
          </w:p>
        </w:tc>
        <w:tc>
          <w:tcPr>
            <w:tcW w:w="1486" w:type="dxa"/>
          </w:tcPr>
          <w:p w:rsidR="00D849AA" w:rsidRDefault="00EE6D95">
            <w:r>
              <w:t>209.431.007</w:t>
            </w:r>
          </w:p>
        </w:tc>
        <w:tc>
          <w:tcPr>
            <w:tcW w:w="1486" w:type="dxa"/>
          </w:tcPr>
          <w:p w:rsidR="00D849AA" w:rsidRDefault="00EE6D95">
            <w:r>
              <w:t>200.253.594</w:t>
            </w:r>
          </w:p>
        </w:tc>
        <w:tc>
          <w:tcPr>
            <w:tcW w:w="1486" w:type="dxa"/>
          </w:tcPr>
          <w:p w:rsidR="00D849AA" w:rsidRDefault="00EE6D95">
            <w:r>
              <w:t>197.807.837</w:t>
            </w:r>
          </w:p>
        </w:tc>
        <w:tc>
          <w:tcPr>
            <w:tcW w:w="1486" w:type="dxa"/>
          </w:tcPr>
          <w:p w:rsidR="00D849AA" w:rsidRDefault="00EE6D95">
            <w:r>
              <w:t>195.337.731</w:t>
            </w:r>
          </w:p>
        </w:tc>
        <w:tc>
          <w:tcPr>
            <w:tcW w:w="1486" w:type="dxa"/>
          </w:tcPr>
          <w:p w:rsidR="00D849AA" w:rsidRDefault="00EE6D95">
            <w:r>
              <w:t>95,6</w:t>
            </w:r>
          </w:p>
        </w:tc>
      </w:tr>
      <w:tr w:rsidR="00D849AA">
        <w:trPr>
          <w:jc w:val="center"/>
        </w:trPr>
        <w:tc>
          <w:tcPr>
            <w:tcW w:w="1486" w:type="dxa"/>
            <w:shd w:val="clear" w:color="auto" w:fill="B5C0D8"/>
          </w:tcPr>
          <w:p w:rsidR="00D849AA" w:rsidRDefault="00EE6D95">
            <w:pPr>
              <w:pStyle w:val="CellColumn"/>
            </w:pPr>
            <w:r>
              <w:t>Ukupno 055</w:t>
            </w:r>
          </w:p>
        </w:tc>
        <w:tc>
          <w:tcPr>
            <w:tcW w:w="1486" w:type="dxa"/>
            <w:shd w:val="clear" w:color="auto" w:fill="B5C0D8"/>
          </w:tcPr>
          <w:p w:rsidR="00D849AA" w:rsidRDefault="00EE6D95">
            <w:r>
              <w:t>817.829.426</w:t>
            </w:r>
          </w:p>
        </w:tc>
        <w:tc>
          <w:tcPr>
            <w:tcW w:w="1486" w:type="dxa"/>
            <w:shd w:val="clear" w:color="auto" w:fill="B5C0D8"/>
          </w:tcPr>
          <w:p w:rsidR="00D849AA" w:rsidRDefault="00EE6D95">
            <w:r>
              <w:t>792.760.818</w:t>
            </w:r>
          </w:p>
        </w:tc>
        <w:tc>
          <w:tcPr>
            <w:tcW w:w="1486" w:type="dxa"/>
            <w:shd w:val="clear" w:color="auto" w:fill="B5C0D8"/>
          </w:tcPr>
          <w:p w:rsidR="00D849AA" w:rsidRDefault="00EE6D95">
            <w:r>
              <w:t>763.087.594</w:t>
            </w:r>
          </w:p>
        </w:tc>
        <w:tc>
          <w:tcPr>
            <w:tcW w:w="1486" w:type="dxa"/>
            <w:shd w:val="clear" w:color="auto" w:fill="B5C0D8"/>
          </w:tcPr>
          <w:p w:rsidR="00D849AA" w:rsidRDefault="00EE6D95">
            <w:r>
              <w:t>746.514.740</w:t>
            </w:r>
          </w:p>
        </w:tc>
        <w:tc>
          <w:tcPr>
            <w:tcW w:w="1486" w:type="dxa"/>
            <w:shd w:val="clear" w:color="auto" w:fill="B5C0D8"/>
          </w:tcPr>
          <w:p w:rsidR="00D849AA" w:rsidRDefault="00EE6D95">
            <w:r>
              <w:t>96,9</w:t>
            </w:r>
          </w:p>
        </w:tc>
      </w:tr>
    </w:tbl>
    <w:p w:rsidR="00D849AA" w:rsidRDefault="00D849AA">
      <w:pPr>
        <w:jc w:val="left"/>
      </w:pPr>
    </w:p>
    <w:p w:rsidR="00D849AA" w:rsidRDefault="00EE6D95">
      <w:pPr>
        <w:pStyle w:val="Naslov2"/>
      </w:pPr>
      <w:r>
        <w:lastRenderedPageBreak/>
        <w:t>05505 Ministarstvo kulture</w:t>
      </w:r>
    </w:p>
    <w:p w:rsidR="00D849AA" w:rsidRDefault="00EE6D95">
      <w:pPr>
        <w:pStyle w:val="Naslov4"/>
      </w:pPr>
      <w:r>
        <w:t>Uvod</w:t>
      </w:r>
    </w:p>
    <w:p w:rsidR="00D849AA" w:rsidRDefault="00EE6D95">
      <w:pPr>
        <w:pStyle w:val="Normal3"/>
      </w:pPr>
      <w:r>
        <w:t xml:space="preserve">Ministarstvo kulture ustrojeno je u četiri uprave, jednu samostalnu službu, glavno tajništvo te kabinet ministrice. Obavlja upravne i druge poslove na području kulture i kulturne baštine.  </w:t>
      </w:r>
    </w:p>
    <w:p w:rsidR="00D849AA" w:rsidRDefault="00EE6D95">
      <w:pPr>
        <w:pStyle w:val="Normal3"/>
      </w:pPr>
      <w:r>
        <w:t xml:space="preserve">U ovoj proračunskoj glavi nalazi se sedam programa: </w:t>
      </w:r>
    </w:p>
    <w:p w:rsidR="00D849AA" w:rsidRDefault="00EE6D95">
      <w:pPr>
        <w:pStyle w:val="Normal3"/>
      </w:pPr>
      <w:r>
        <w:t xml:space="preserve">1. P3901 - uređenje djelatnosti kulture </w:t>
      </w:r>
    </w:p>
    <w:p w:rsidR="00D849AA" w:rsidRDefault="00EE6D95">
      <w:pPr>
        <w:pStyle w:val="Normal3"/>
      </w:pPr>
      <w:r>
        <w:t xml:space="preserve">2. P3903 - muzejsko - galerijska djelatnost </w:t>
      </w:r>
    </w:p>
    <w:p w:rsidR="00D849AA" w:rsidRDefault="00EE6D95">
      <w:pPr>
        <w:pStyle w:val="Normal3"/>
      </w:pPr>
      <w:r>
        <w:t xml:space="preserve">3. P3904 - kazališna i glazbeno - scenska djelatnost </w:t>
      </w:r>
    </w:p>
    <w:p w:rsidR="00D849AA" w:rsidRDefault="00EE6D95">
      <w:pPr>
        <w:pStyle w:val="Normal3"/>
      </w:pPr>
      <w:r>
        <w:t xml:space="preserve">4. P3905 - knjižnična djelatnost </w:t>
      </w:r>
    </w:p>
    <w:p w:rsidR="00D849AA" w:rsidRDefault="00EE6D95">
      <w:pPr>
        <w:pStyle w:val="Normal3"/>
      </w:pPr>
      <w:r>
        <w:t xml:space="preserve">5. P3906 - programi audiovizualne djelatnosti </w:t>
      </w:r>
    </w:p>
    <w:p w:rsidR="00D849AA" w:rsidRDefault="00EE6D95">
      <w:pPr>
        <w:pStyle w:val="Normal3"/>
      </w:pPr>
      <w:r>
        <w:t xml:space="preserve">6. P3907 - ostale djelatnosti kulture </w:t>
      </w:r>
    </w:p>
    <w:p w:rsidR="00D849AA" w:rsidRDefault="00EE6D95">
      <w:pPr>
        <w:pStyle w:val="Normal3"/>
      </w:pPr>
      <w:r>
        <w:t xml:space="preserve">7. P3908 - zaštita kulturnih dobara </w:t>
      </w:r>
    </w:p>
    <w:p w:rsidR="00D849AA" w:rsidRDefault="00EE6D95">
      <w:pPr>
        <w:pStyle w:val="Normal3"/>
      </w:pPr>
      <w:r>
        <w:t>U programu ostale djelatnosti kulture planirane su dvije nove aktivnosti: Ruksak pun kulture te, Zaklada Hrvatska kuća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05505</w:t>
            </w:r>
          </w:p>
        </w:tc>
        <w:tc>
          <w:tcPr>
            <w:tcW w:w="1486" w:type="dxa"/>
          </w:tcPr>
          <w:p w:rsidR="00D849AA" w:rsidRDefault="00EE6D95">
            <w:r>
              <w:t>446.399.965</w:t>
            </w:r>
          </w:p>
        </w:tc>
        <w:tc>
          <w:tcPr>
            <w:tcW w:w="1486" w:type="dxa"/>
          </w:tcPr>
          <w:p w:rsidR="00D849AA" w:rsidRDefault="00EE6D95">
            <w:r>
              <w:t>442.074.119</w:t>
            </w:r>
          </w:p>
        </w:tc>
        <w:tc>
          <w:tcPr>
            <w:tcW w:w="1486" w:type="dxa"/>
          </w:tcPr>
          <w:p w:rsidR="00D849AA" w:rsidRDefault="00EE6D95">
            <w:r>
              <w:t>425.265.934</w:t>
            </w:r>
          </w:p>
        </w:tc>
        <w:tc>
          <w:tcPr>
            <w:tcW w:w="1486" w:type="dxa"/>
          </w:tcPr>
          <w:p w:rsidR="00D849AA" w:rsidRDefault="00EE6D95">
            <w:r>
              <w:t>409.932.774</w:t>
            </w:r>
          </w:p>
        </w:tc>
        <w:tc>
          <w:tcPr>
            <w:tcW w:w="1486" w:type="dxa"/>
          </w:tcPr>
          <w:p w:rsidR="00D849AA" w:rsidRDefault="00EE6D95">
            <w:r>
              <w:t>99,0</w:t>
            </w:r>
          </w:p>
        </w:tc>
      </w:tr>
    </w:tbl>
    <w:p w:rsidR="00D849AA" w:rsidRDefault="00D849AA">
      <w:pPr>
        <w:jc w:val="left"/>
      </w:pPr>
    </w:p>
    <w:p w:rsidR="00D849AA" w:rsidRDefault="00EE6D95">
      <w:pPr>
        <w:pStyle w:val="Naslov4"/>
      </w:pPr>
      <w:r>
        <w:t>OBRAZLOŽENJE PROGRAMA</w:t>
      </w:r>
    </w:p>
    <w:p w:rsidR="00D849AA" w:rsidRDefault="00EE6D95">
      <w:pPr>
        <w:pStyle w:val="Naslov5"/>
      </w:pPr>
      <w:r>
        <w:t>3901 UREĐENJE DJELATNOSTI KULTURE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3901</w:t>
            </w:r>
          </w:p>
        </w:tc>
        <w:tc>
          <w:tcPr>
            <w:tcW w:w="1486" w:type="dxa"/>
          </w:tcPr>
          <w:p w:rsidR="00D849AA" w:rsidRDefault="00EE6D95">
            <w:r>
              <w:t>67.670.985</w:t>
            </w:r>
          </w:p>
        </w:tc>
        <w:tc>
          <w:tcPr>
            <w:tcW w:w="1486" w:type="dxa"/>
          </w:tcPr>
          <w:p w:rsidR="00D849AA" w:rsidRDefault="00EE6D95">
            <w:r>
              <w:t>65.503.112</w:t>
            </w:r>
          </w:p>
        </w:tc>
        <w:tc>
          <w:tcPr>
            <w:tcW w:w="1486" w:type="dxa"/>
          </w:tcPr>
          <w:p w:rsidR="00D849AA" w:rsidRDefault="00EE6D95">
            <w:r>
              <w:t>66.078.861</w:t>
            </w:r>
          </w:p>
        </w:tc>
        <w:tc>
          <w:tcPr>
            <w:tcW w:w="1486" w:type="dxa"/>
          </w:tcPr>
          <w:p w:rsidR="00D849AA" w:rsidRDefault="00EE6D95">
            <w:r>
              <w:t>68.118.233</w:t>
            </w:r>
          </w:p>
        </w:tc>
        <w:tc>
          <w:tcPr>
            <w:tcW w:w="1486" w:type="dxa"/>
          </w:tcPr>
          <w:p w:rsidR="00D849AA" w:rsidRDefault="00EE6D95">
            <w:r>
              <w:t>96,8</w:t>
            </w:r>
          </w:p>
        </w:tc>
      </w:tr>
    </w:tbl>
    <w:p w:rsidR="00D849AA" w:rsidRDefault="00D849AA">
      <w:pPr>
        <w:jc w:val="left"/>
      </w:pPr>
    </w:p>
    <w:p w:rsidR="00D849AA" w:rsidRDefault="00EE6D95">
      <w:pPr>
        <w:pStyle w:val="Naslov6"/>
      </w:pPr>
      <w:r>
        <w:t>Opis programa</w:t>
      </w:r>
    </w:p>
    <w:p w:rsidR="00D849AA" w:rsidRDefault="00EE6D95">
      <w:pPr>
        <w:pStyle w:val="Normal5"/>
      </w:pPr>
      <w:r>
        <w:t>U okviru navedenog programa osiguravaju se plaće i materijalni rashodi za djelatnike koji obavljaju upravne, financijske i druge poslove, te za djelatnike koji obavljaju stručne poslove koji se odnose na istraživanje, praćenje, evidentiranje, dokumentiranje kulturne baštine, utvrđivanje posebnih uvijeta građenja za zaštitu dijelova kutlurne baštine te obavljanje inspekcijskih poslova zaštite kulturne baštine.</w:t>
      </w:r>
    </w:p>
    <w:p w:rsidR="00D849AA" w:rsidRDefault="00EE6D95">
      <w:pPr>
        <w:pStyle w:val="Naslov6"/>
      </w:pPr>
      <w:r>
        <w:t>Zakonske i druge pravne osnove</w:t>
      </w:r>
    </w:p>
    <w:p w:rsidR="00D849AA" w:rsidRDefault="00EE6D95">
      <w:pPr>
        <w:pStyle w:val="Normal5"/>
      </w:pPr>
      <w:r>
        <w:t>Zakon o ustrojstvu i djelokrugu ministarstava i drugih središnjih tijela državne uprave (NN 199/03, 30/04, 22/05, 44/06, 5/08, 27/08, 77/09, 150/11, 22/12, 39/13, 125/13)</w:t>
      </w:r>
    </w:p>
    <w:p w:rsidR="00D849AA" w:rsidRDefault="00EE6D95">
      <w:pPr>
        <w:pStyle w:val="Naslov6"/>
      </w:pPr>
      <w:r>
        <w:lastRenderedPageBreak/>
        <w:t>Ciljevi provedbe programa u razdoblju 2014.-2016. i pokazatelji uspješnosti kojima će se mjeriti ostvarenje tih ciljeva</w:t>
      </w:r>
    </w:p>
    <w:p w:rsidR="00D849AA" w:rsidRDefault="00EE6D95">
      <w:pPr>
        <w:pStyle w:val="Naslov7"/>
      </w:pPr>
      <w:r>
        <w:t>Cilj 1. Osiguranje optimalnih kapaciteta za uspješnu realizaciju programa Ministarstva</w:t>
      </w:r>
    </w:p>
    <w:p w:rsidR="00D849AA" w:rsidRDefault="00EE6D95">
      <w:pPr>
        <w:pStyle w:val="Normal6"/>
      </w:pPr>
      <w:r>
        <w:t>Ovim ciljem pokušava se optimalnim administrativnim kapacitetima te prostornim, materijalnim i tehničkim resursima osigurati uspješnu realizaciju svih programa u djelokrugu Ministarstva kulture.</w:t>
      </w:r>
    </w:p>
    <w:p w:rsidR="00D849AA" w:rsidRDefault="00EE6D95">
      <w:pPr>
        <w:pStyle w:val="Naslov5"/>
      </w:pPr>
      <w:r>
        <w:t>Procjena i ishodište potrebnih sredstava za značajnije aktivnosti/projekte</w:t>
      </w:r>
    </w:p>
    <w:p w:rsidR="00D849AA" w:rsidRDefault="00EE6D95">
      <w:pPr>
        <w:pStyle w:val="Naslov6"/>
      </w:pPr>
      <w:r>
        <w:t>A564000 ADMINISTRACIJA I UPRAVLJANJE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A564000</w:t>
            </w:r>
          </w:p>
        </w:tc>
        <w:tc>
          <w:tcPr>
            <w:tcW w:w="1486" w:type="dxa"/>
          </w:tcPr>
          <w:p w:rsidR="00D849AA" w:rsidRDefault="00EE6D95">
            <w:r>
              <w:t>65.670.985</w:t>
            </w:r>
          </w:p>
        </w:tc>
        <w:tc>
          <w:tcPr>
            <w:tcW w:w="1486" w:type="dxa"/>
          </w:tcPr>
          <w:p w:rsidR="00D849AA" w:rsidRDefault="00EE6D95">
            <w:r>
              <w:t>64.003.112</w:t>
            </w:r>
          </w:p>
        </w:tc>
        <w:tc>
          <w:tcPr>
            <w:tcW w:w="1486" w:type="dxa"/>
          </w:tcPr>
          <w:p w:rsidR="00D849AA" w:rsidRDefault="00EE6D95">
            <w:r>
              <w:t>64.578.861</w:t>
            </w:r>
          </w:p>
        </w:tc>
        <w:tc>
          <w:tcPr>
            <w:tcW w:w="1486" w:type="dxa"/>
          </w:tcPr>
          <w:p w:rsidR="00D849AA" w:rsidRDefault="00EE6D95">
            <w:r>
              <w:t>66.618.233</w:t>
            </w:r>
          </w:p>
        </w:tc>
        <w:tc>
          <w:tcPr>
            <w:tcW w:w="1486" w:type="dxa"/>
          </w:tcPr>
          <w:p w:rsidR="00D849AA" w:rsidRDefault="00EE6D95">
            <w:r>
              <w:t>97,5</w:t>
            </w:r>
          </w:p>
        </w:tc>
      </w:tr>
    </w:tbl>
    <w:p w:rsidR="00D849AA" w:rsidRDefault="00D849AA">
      <w:pPr>
        <w:jc w:val="left"/>
      </w:pPr>
    </w:p>
    <w:p w:rsidR="00D849AA" w:rsidRDefault="00EE6D95">
      <w:pPr>
        <w:pStyle w:val="Normal6"/>
      </w:pPr>
      <w:r>
        <w:t>U okviru ove aktivnosti osiguravaju se sredstva za plaće i materijalne rashode te sredstva za opremanje poslovnih prostora Ministarstva kulture te 19 konzervatorskog odjela koji su sastavni dio Ministarstva (KO Bjelovar, Dubrovnik, Gospić, Imotski, Karlovac, Krapina, Osijek, Požega, Pula, Rijeka, Sisak, Slavonski Brod, Split, Šibenik, Trogir, Varaždin, Vukovar, Zadar, Zagreb). U Ministarstvu kulture zaposleno je 195 djelatnika, a u konzervatorskim odjelima 216, što zajedno čini 411 zaposlenih. U konzervatorskim odjelima zaposlenici osim administrativnih poslova, obavljaju dokumentiranje, održavanje informatizacijske baze podataka Registra kulturnih dobara, istražne radove, izradu elaborata te inventarizaciju kulturnih dobara.</w:t>
      </w:r>
    </w:p>
    <w:p w:rsidR="00D849AA" w:rsidRDefault="00EE6D95">
      <w:pPr>
        <w:pStyle w:val="Naslov6"/>
      </w:pPr>
      <w:r>
        <w:t>K310252 INFORMATIZACIJA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K310252</w:t>
            </w:r>
          </w:p>
        </w:tc>
        <w:tc>
          <w:tcPr>
            <w:tcW w:w="1486" w:type="dxa"/>
          </w:tcPr>
          <w:p w:rsidR="00D849AA" w:rsidRDefault="00EE6D95">
            <w:r>
              <w:t>1.500.000</w:t>
            </w:r>
          </w:p>
        </w:tc>
        <w:tc>
          <w:tcPr>
            <w:tcW w:w="1486" w:type="dxa"/>
          </w:tcPr>
          <w:p w:rsidR="00D849AA" w:rsidRDefault="00EE6D95">
            <w:r>
              <w:t>1.500.000</w:t>
            </w:r>
          </w:p>
        </w:tc>
        <w:tc>
          <w:tcPr>
            <w:tcW w:w="1486" w:type="dxa"/>
          </w:tcPr>
          <w:p w:rsidR="00D849AA" w:rsidRDefault="00EE6D95">
            <w:r>
              <w:t>1.500.000</w:t>
            </w:r>
          </w:p>
        </w:tc>
        <w:tc>
          <w:tcPr>
            <w:tcW w:w="1486" w:type="dxa"/>
          </w:tcPr>
          <w:p w:rsidR="00D849AA" w:rsidRDefault="00EE6D95">
            <w:r>
              <w:t>1.500.000</w:t>
            </w:r>
          </w:p>
        </w:tc>
        <w:tc>
          <w:tcPr>
            <w:tcW w:w="1486" w:type="dxa"/>
          </w:tcPr>
          <w:p w:rsidR="00D849AA" w:rsidRDefault="00EE6D95">
            <w:r>
              <w:t>100,0</w:t>
            </w:r>
          </w:p>
        </w:tc>
      </w:tr>
    </w:tbl>
    <w:p w:rsidR="00D849AA" w:rsidRDefault="00D849AA">
      <w:pPr>
        <w:jc w:val="left"/>
      </w:pPr>
    </w:p>
    <w:p w:rsidR="00D849AA" w:rsidRDefault="00EE6D95">
      <w:pPr>
        <w:pStyle w:val="Normal6"/>
      </w:pPr>
      <w:r>
        <w:t>U okviru ove aktivnosti osiguravaju se sredstva za troškove licenci, održavanje poslovnih sustava, mrežnokomunikacijske i informatičke infrastrukture te nabavu opreme.Planirana sredstva ostaju na razini 2013. godine.</w:t>
      </w:r>
    </w:p>
    <w:p w:rsidR="00D849AA" w:rsidRDefault="00EE6D95">
      <w:pPr>
        <w:pStyle w:val="Naslov5"/>
      </w:pPr>
      <w:r>
        <w:t>3903 MUZEJSKO-GALERIJSKA DJELATNOST</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3903</w:t>
            </w:r>
          </w:p>
        </w:tc>
        <w:tc>
          <w:tcPr>
            <w:tcW w:w="1486" w:type="dxa"/>
          </w:tcPr>
          <w:p w:rsidR="00D849AA" w:rsidRDefault="00EE6D95">
            <w:r>
              <w:t>10.042.208</w:t>
            </w:r>
          </w:p>
        </w:tc>
        <w:tc>
          <w:tcPr>
            <w:tcW w:w="1486" w:type="dxa"/>
          </w:tcPr>
          <w:p w:rsidR="00D849AA" w:rsidRDefault="00EE6D95">
            <w:r>
              <w:t>10.528.480</w:t>
            </w:r>
          </w:p>
        </w:tc>
        <w:tc>
          <w:tcPr>
            <w:tcW w:w="1486" w:type="dxa"/>
          </w:tcPr>
          <w:p w:rsidR="00D849AA" w:rsidRDefault="00EE6D95">
            <w:r>
              <w:t>10.580.907</w:t>
            </w:r>
          </w:p>
        </w:tc>
        <w:tc>
          <w:tcPr>
            <w:tcW w:w="1486" w:type="dxa"/>
          </w:tcPr>
          <w:p w:rsidR="00D849AA" w:rsidRDefault="00EE6D95">
            <w:r>
              <w:t>10.632.128</w:t>
            </w:r>
          </w:p>
        </w:tc>
        <w:tc>
          <w:tcPr>
            <w:tcW w:w="1486" w:type="dxa"/>
          </w:tcPr>
          <w:p w:rsidR="00D849AA" w:rsidRDefault="00EE6D95">
            <w:r>
              <w:t>104,8</w:t>
            </w:r>
          </w:p>
        </w:tc>
      </w:tr>
    </w:tbl>
    <w:p w:rsidR="00D849AA" w:rsidRDefault="00D849AA">
      <w:pPr>
        <w:jc w:val="left"/>
      </w:pPr>
    </w:p>
    <w:p w:rsidR="00D849AA" w:rsidRDefault="00EE6D95">
      <w:pPr>
        <w:pStyle w:val="Naslov6"/>
      </w:pPr>
      <w:r>
        <w:t>Opis programa</w:t>
      </w:r>
    </w:p>
    <w:p w:rsidR="00D849AA" w:rsidRDefault="00EE6D95">
      <w:pPr>
        <w:pStyle w:val="Normal5"/>
      </w:pPr>
      <w:r>
        <w:t xml:space="preserve">Muzejske ustanove kroz sustav muzeja uspostavljaju jedinstven stručni pristup u obavljanju muzejske djelatnosti, stručni nadzor nad radom muzeja, izgradnju standardna djelatnosti te </w:t>
      </w:r>
      <w:r>
        <w:lastRenderedPageBreak/>
        <w:t>potiču kvalitetnije funkcioniranje muzeja u smislu očuvanja, zaštite, istraživanja i promocije muzejske baštine kao i ostvarivanja društvene uloge muzeja. Cilj i svrha sustava muzeja su povećanje razine inventiranosti, obrade i prezentacije muzejske građe, razvoj muzejske infrastrukture, podizanje razine zaštite i očuvanja muzejske građe te veća dostupnost kulturne baštine u digitalnom okruženju.</w:t>
      </w:r>
    </w:p>
    <w:p w:rsidR="00D849AA" w:rsidRDefault="00EE6D95">
      <w:pPr>
        <w:pStyle w:val="Naslov6"/>
      </w:pPr>
      <w:r>
        <w:t>Zakonske i druge pravne osnove</w:t>
      </w:r>
    </w:p>
    <w:p w:rsidR="00D849AA" w:rsidRDefault="00EE6D95">
      <w:pPr>
        <w:pStyle w:val="Normal5"/>
      </w:pPr>
      <w:r>
        <w:t>Zakoni: - Zakon o muzejima (NN 142/98, NN 65/09) - Zakon o Muzejima Ivana Meštrovića (NN 76/07) - Zakon o Spomen-području Jasenovac (NN 15/90; NN 28/90 Ispravak, NN 22/01) - Zakon o kulturnim vijećima, 2004. (NN 48/04, NN 44/09) - Zakon o ustanovama (NN 76/93; NN 29/97, NN 47/99 - Ispravak i NN 35/08) - Zakon o upravljanju javnim ustanovama u kulturi (NN 96/01) - Zakon o financiranju javnih potreba u kulturi (NN 47/90 , NN 27/93, NN 38/09) Pravilnici: - Pravilnik o načinu i mjerilima za povezivanje u sustav muzeja Republike Hrvatske (NN 120/02) - Pravilnik o dopuni pravilnika o načinu i mjerilima za povezivanje u sustav muzeja Republike Hrvatske (NN 82/06) - Pravilnik o uvjetima i načinu stjecanja stručnih zvanja u muzejskoj struci (NN 97/10) - Pravilnik o očevidniku muzeja, te muzeja, galerija i zbirki unutar ustanova i drugih pravnih osoba (NN 96/99) - Pravilnik o uvjetima i načinu ostvarivanja uvida u muzejsku građu i muzejsku dokumentaciju (NN 115/01) - Pravilnik o sadržaju i načinu vođenja muzejske dokumentacije o muzejskoj građi (NN 108/02) - Pravilnik o stručnim i tehničkim standardima za određivanje vrste muzeja, za njihov rad, te za smještaj muzejske građe i muzejske dokumentacije (NN 30/06) - Pravilnik o izboru i utvrđivanju programa javnih potreba u kulturi (NN 137/08, NN 57/09, 62/09)</w:t>
      </w:r>
    </w:p>
    <w:p w:rsidR="00D849AA" w:rsidRDefault="00EE6D95">
      <w:pPr>
        <w:pStyle w:val="Naslov5"/>
      </w:pPr>
      <w:r>
        <w:t>Procjena i ishodište potrebnih sredstava za značajnije aktivnosti/projekte</w:t>
      </w:r>
    </w:p>
    <w:p w:rsidR="00D849AA" w:rsidRDefault="00EE6D95">
      <w:pPr>
        <w:pStyle w:val="Naslov6"/>
      </w:pPr>
      <w:r>
        <w:t>A565027 PROGRAMI MUZEJSKO GALERIJSKE DJELATNOSTI</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A565027</w:t>
            </w:r>
          </w:p>
        </w:tc>
        <w:tc>
          <w:tcPr>
            <w:tcW w:w="1486" w:type="dxa"/>
          </w:tcPr>
          <w:p w:rsidR="00D849AA" w:rsidRDefault="00EE6D95">
            <w:r>
              <w:t>10.042.208</w:t>
            </w:r>
          </w:p>
        </w:tc>
        <w:tc>
          <w:tcPr>
            <w:tcW w:w="1486" w:type="dxa"/>
          </w:tcPr>
          <w:p w:rsidR="00D849AA" w:rsidRDefault="00EE6D95">
            <w:r>
              <w:t>10.528.480</w:t>
            </w:r>
          </w:p>
        </w:tc>
        <w:tc>
          <w:tcPr>
            <w:tcW w:w="1486" w:type="dxa"/>
          </w:tcPr>
          <w:p w:rsidR="00D849AA" w:rsidRDefault="00EE6D95">
            <w:r>
              <w:t>10.580.907</w:t>
            </w:r>
          </w:p>
        </w:tc>
        <w:tc>
          <w:tcPr>
            <w:tcW w:w="1486" w:type="dxa"/>
          </w:tcPr>
          <w:p w:rsidR="00D849AA" w:rsidRDefault="00EE6D95">
            <w:r>
              <w:t>10.632.128</w:t>
            </w:r>
          </w:p>
        </w:tc>
        <w:tc>
          <w:tcPr>
            <w:tcW w:w="1486" w:type="dxa"/>
          </w:tcPr>
          <w:p w:rsidR="00D849AA" w:rsidRDefault="00EE6D95">
            <w:r>
              <w:t>104,8</w:t>
            </w:r>
          </w:p>
        </w:tc>
      </w:tr>
    </w:tbl>
    <w:p w:rsidR="00D849AA" w:rsidRDefault="00D849AA">
      <w:pPr>
        <w:jc w:val="left"/>
      </w:pPr>
    </w:p>
    <w:p w:rsidR="00D849AA" w:rsidRDefault="00EE6D95">
      <w:pPr>
        <w:pStyle w:val="Normal6"/>
      </w:pPr>
      <w:r>
        <w:t>U 2014. godini planira se financiranje otprilike 150 programa muzeja kojima je osnivač grad, županija ili općina te ostalih programi strukovnih udruga i gradova koji provode muzejsko - galerijsku aktivnost.</w:t>
      </w:r>
    </w:p>
    <w:p w:rsidR="00D849AA" w:rsidRDefault="00EE6D95">
      <w:pPr>
        <w:pStyle w:val="Naslov5"/>
      </w:pPr>
      <w:r>
        <w:t>3904 KAZALIŠNA I GLAZBENO- SCENSKA DJELATNOST</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3904</w:t>
            </w:r>
          </w:p>
        </w:tc>
        <w:tc>
          <w:tcPr>
            <w:tcW w:w="1486" w:type="dxa"/>
          </w:tcPr>
          <w:p w:rsidR="00D849AA" w:rsidRDefault="00EE6D95">
            <w:r>
              <w:t>34.808.035</w:t>
            </w:r>
          </w:p>
        </w:tc>
        <w:tc>
          <w:tcPr>
            <w:tcW w:w="1486" w:type="dxa"/>
          </w:tcPr>
          <w:p w:rsidR="00D849AA" w:rsidRDefault="00EE6D95">
            <w:r>
              <w:t>34.131.946</w:t>
            </w:r>
          </w:p>
        </w:tc>
        <w:tc>
          <w:tcPr>
            <w:tcW w:w="1486" w:type="dxa"/>
          </w:tcPr>
          <w:p w:rsidR="00D849AA" w:rsidRDefault="00EE6D95">
            <w:r>
              <w:t>34.517.202</w:t>
            </w:r>
          </w:p>
        </w:tc>
        <w:tc>
          <w:tcPr>
            <w:tcW w:w="1486" w:type="dxa"/>
          </w:tcPr>
          <w:p w:rsidR="00D849AA" w:rsidRDefault="00EE6D95">
            <w:r>
              <w:t>34.893.599</w:t>
            </w:r>
          </w:p>
        </w:tc>
        <w:tc>
          <w:tcPr>
            <w:tcW w:w="1486" w:type="dxa"/>
          </w:tcPr>
          <w:p w:rsidR="00D849AA" w:rsidRDefault="00EE6D95">
            <w:r>
              <w:t>98,0</w:t>
            </w:r>
          </w:p>
        </w:tc>
      </w:tr>
    </w:tbl>
    <w:p w:rsidR="00D849AA" w:rsidRDefault="00D849AA">
      <w:pPr>
        <w:jc w:val="left"/>
      </w:pPr>
    </w:p>
    <w:p w:rsidR="00D849AA" w:rsidRDefault="00EE6D95">
      <w:pPr>
        <w:pStyle w:val="Naslov6"/>
      </w:pPr>
      <w:r>
        <w:t>Opis programa</w:t>
      </w:r>
    </w:p>
    <w:p w:rsidR="00D849AA" w:rsidRDefault="00EE6D95">
      <w:pPr>
        <w:pStyle w:val="Normal5"/>
      </w:pPr>
      <w:r>
        <w:t xml:space="preserve">Programi kazališne i glazbeno-scenske djelatnosti obuhvatili su dramsku, glazbeno-scensku i plesnu umjetnost kao i amatersko stvaralaštvo. Kroz brojne produkcije, manifestacije, gostovanja, seminare te druge programe različitih profila, u 2014. godini planira se poticanje djelatnosti temeljnih organizacijskih oblika koje predstavljaju javna i privatna kazališta, umjetničke organizacije, orkestri, ansambli te udruge kulturno-umjetničkog amaterizma. Financiranjem programa javnih potreba u kulturi u ovim područjima ostvaruje se cilj </w:t>
      </w:r>
      <w:r>
        <w:lastRenderedPageBreak/>
        <w:t>kontinuiranog razvoja izvedbenih umjetnosti i specifičnih znanja. U odnosu na 2013. godinu uočava se smanjenje sredstava.</w:t>
      </w:r>
    </w:p>
    <w:p w:rsidR="00D849AA" w:rsidRDefault="00EE6D95">
      <w:pPr>
        <w:pStyle w:val="Naslov6"/>
      </w:pPr>
      <w:r>
        <w:t>Zakonske i druge pravne osnove</w:t>
      </w:r>
    </w:p>
    <w:p w:rsidR="00D849AA" w:rsidRDefault="00EE6D95">
      <w:pPr>
        <w:pStyle w:val="Normal5"/>
      </w:pPr>
      <w:r>
        <w:t>- Zakon o financiranju javnih potreba u kulturi (NN 47/90, 27/93 i 38/09) - Pravilnik o izboru i utvrđivanju programa javnih potreba u kulturi (NN 137/08, 57/09 i 62/09) - Zakon o kulturnim vijećima (NN 48/04, 44/09) - Zakon o kazalištima (NN 71/06) - Pravilnik o kriterijima i standardima za osiguravanje sredstava za nacionalna kazališta (NN 116/08) - Odluka o osnovnom programskom i financijskom okviru Hrvatskog narodnog kazališta u Zagrebu za mandatno razdoblje 2009. – 2013. - Pravilnik o Očevidniku kazališta (NN 35/07) - Pravilnik o utvrđivanju kazališnih radnika koji se smatraju kazališni umjetnici (NN 35/07) - Pravilnik o statusu, ustrojstvu i financiranju Dubrovačkih ljetnih igara (NN 39/07) - Pravilnik o statusu, ustrojstvu i financiranju Splitskog ljeta (NN 60/94) - Pravilnik o statusu, ustrojstvu i financiranju Varaždinskih glazbenih večeri (NN 60/94) - Pravilnik o statusu, ustrojstvu i financiranju Osorskih glazbenih večeri (NN 60/94).</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Cilj 1. Poticanje razvoja nacionalnih, javnih, privatnih i regionalnih kazališta te umjetničkih organizacija i ansambala</w:t>
      </w:r>
    </w:p>
    <w:p w:rsidR="00D849AA" w:rsidRDefault="00EE6D95">
      <w:pPr>
        <w:pStyle w:val="Normal6"/>
      </w:pPr>
      <w:r>
        <w:t xml:space="preserve">Nacionalna kazališta kao istaknute kulturne institucije, repertoarno su vezane uz  suvremene dramske, operne i baletne produkcije, kao i one suvremenoga plesa, a također i uz baštinski repertoar hrvatskih i svjetskih klasika. Zbog naglašenog kulturnog, ali i prosvjetiteljsko-edukativnog aspekta njihova djelovanja, dosadašnja manjkava povezanost i nepodudarnost premijernih i repriznih naslova, unaprijedit će se podupiranjem značajnijih oblika programske suradnje. Namjera je u narednom periodu standardizirati sadržaj rada kazališta. Tako bi HNK u Zagrebu, kojemu su suosnivači Republika Hrvatska i Grad Zagreb, bilo jedino nacionalno kazalište kojemu će potpora biti četiri regionalna kazališta u Osijeku, Splitu, Varaždinu i Rijeci. Ostala javna gradska kazališta poticat će se na stvaranje repertoara sukladno interesima njihove publike.  </w:t>
      </w:r>
    </w:p>
    <w:p w:rsidR="00D849AA" w:rsidRDefault="00EE6D95">
      <w:pPr>
        <w:pStyle w:val="Normal6"/>
      </w:pPr>
      <w:r>
        <w:t xml:space="preserve">Ostvarenje premijernih naslova javnih i privatnih kazališta, suradnje umjetničkih organizacija i ansambala, poput glazbenih i plesnih, imat će za posljedicu kvalitetan repertoar, stabilnost razvoja, smanjenje troškova, veću mobilnost umjetnika, osobito mladih i bolju suradnju s lokalnom zajednicom. Jednako se odnosi na poticanje djelovanja regionalnih kazališta zbog veće dostupnosti kazališne umjetnosti i stvaranja perspektiva za širenje kvalitetno sondirane programske mreže. Ona je snažno prisutna naročito u primjeru glazbenih i kazališnih gostovanja na cijelom prostoru Republike Hrvatske, čime se pospješuje umjetnička produkcija, stvaralaštvo, interakcija umjetnika i publike te stabilnost mrežnog sustava.   </w:t>
      </w:r>
    </w:p>
    <w:p w:rsidR="00D849AA" w:rsidRDefault="00EE6D95">
      <w:pPr>
        <w:pStyle w:val="Normal6"/>
      </w:pPr>
      <w:r>
        <w:t>Poticanjem intenzivnijeg djelovanja privatnih kazališta (djeluju kao umjetničke organizacije i trgovačka društva), poticat će se njihova programska raznolikost i kvaliteta, time i stvaralaštvo samostalnih umjetnika, kao i razvoj organizacijskih struktura u provedbi kulturne politike. Pokazatelj rezultata pratit će se brojem novoupisanih privatnih kazališta u Očevidnik kazališta.</w:t>
      </w:r>
    </w:p>
    <w:p w:rsidR="00EE6D95" w:rsidRDefault="00EE6D95">
      <w:pPr>
        <w:pStyle w:val="Normal6"/>
      </w:pPr>
    </w:p>
    <w:p w:rsidR="00EE6D95" w:rsidRDefault="00EE6D95">
      <w:pPr>
        <w:pStyle w:val="Normal6"/>
      </w:pPr>
    </w:p>
    <w:p w:rsidR="00EE6D95" w:rsidRDefault="00EE6D95">
      <w:pPr>
        <w:pStyle w:val="Normal6"/>
      </w:pPr>
    </w:p>
    <w:p w:rsidR="00EE6D95" w:rsidRDefault="00EE6D95">
      <w:pPr>
        <w:pStyle w:val="Normal6"/>
      </w:pPr>
    </w:p>
    <w:p w:rsidR="00EE6D95" w:rsidRDefault="00EE6D95">
      <w:pPr>
        <w:pStyle w:val="Normal6"/>
      </w:pPr>
    </w:p>
    <w:p w:rsidR="00D849AA" w:rsidRDefault="00EE6D95">
      <w:pPr>
        <w:pStyle w:val="Naslov8"/>
        <w:jc w:val="left"/>
      </w:pPr>
      <w:r>
        <w:lastRenderedPageBreak/>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Poticanje razvoja izvedbenih umjetnosti unaprijedit će kulturnu proizvodnju i potrošnju, kvalitetu programa i stabilnost broja posjetitelja</w:t>
            </w:r>
          </w:p>
        </w:tc>
        <w:tc>
          <w:tcPr>
            <w:tcW w:w="1114" w:type="dxa"/>
          </w:tcPr>
          <w:p w:rsidR="00D849AA" w:rsidRDefault="00EE6D95">
            <w:r>
              <w:t>Broj</w:t>
            </w:r>
          </w:p>
        </w:tc>
        <w:tc>
          <w:tcPr>
            <w:tcW w:w="1114" w:type="dxa"/>
          </w:tcPr>
          <w:p w:rsidR="00D849AA" w:rsidRDefault="00EE6D95">
            <w:r>
              <w:t>1270</w:t>
            </w:r>
          </w:p>
        </w:tc>
        <w:tc>
          <w:tcPr>
            <w:tcW w:w="1486" w:type="dxa"/>
          </w:tcPr>
          <w:p w:rsidR="00D849AA" w:rsidRDefault="00EE6D95">
            <w:r>
              <w:t>1317</w:t>
            </w:r>
          </w:p>
        </w:tc>
        <w:tc>
          <w:tcPr>
            <w:tcW w:w="1486" w:type="dxa"/>
          </w:tcPr>
          <w:p w:rsidR="00D849AA" w:rsidRDefault="00EE6D95">
            <w:r>
              <w:t>1349</w:t>
            </w:r>
          </w:p>
        </w:tc>
        <w:tc>
          <w:tcPr>
            <w:tcW w:w="1486" w:type="dxa"/>
          </w:tcPr>
          <w:p w:rsidR="00D849AA" w:rsidRDefault="00EE6D95">
            <w:r>
              <w:t>1369</w:t>
            </w:r>
          </w:p>
        </w:tc>
      </w:tr>
    </w:tbl>
    <w:p w:rsidR="00D849AA" w:rsidRDefault="00D849AA">
      <w:pPr>
        <w:jc w:val="left"/>
      </w:pPr>
    </w:p>
    <w:p w:rsidR="00D849AA" w:rsidRDefault="00EE6D95">
      <w:pPr>
        <w:pStyle w:val="Naslov7"/>
      </w:pPr>
      <w:r>
        <w:t>Cilj 2. Potpora nakladništvu te poticanje stvaranja novih glazbenih i dramskih djela</w:t>
      </w:r>
    </w:p>
    <w:p w:rsidR="00D849AA" w:rsidRDefault="00EE6D95">
      <w:pPr>
        <w:pStyle w:val="Normal6"/>
      </w:pPr>
      <w:r>
        <w:t xml:space="preserve">Poticaji projektima nezavisnih nakladnika u okviru glazbene industrije obuhvaćaju notna, diskografska, publicistička, audiovizualna i multimedijalna izdanja. Jednako se odnosi na nove glazbene opuse suvremenih hrvatskih skladatelja te izdanja odlikovana Nagradom za dramsko djelo „Marin Držić“. Podrškom takvim programima, s jedne se strane stimuliraju stvaratelji, a s druge, omogućuje lakši put praizvedbama i izvedbama njihovih djela. Time se također promoviraju stvaralački potencijali  suvremenih hrvatskih skladatelja, hrvatski klasici, mladi interpreti i drugi glazbeni žanrovi (jazz i etno). Kroz diskografiju i publicistiku te objavljivanje vrijednih  partitura, često kapitalne vrijednosti, potiče se dokumentiranje izvedbi, trajno snimanje, pisanje i istraživanje prvenstveno građe vezane uz nacionalnu glazbenu kulturu. Notnim izdanjima, kao deficitarnoj kulturnoj djelatnosti, problematizira se i sintetizira skladateljsko pismo ovoga vremena, ali i antologijska ostvarenja ranijih stilskih razdoblja. </w:t>
      </w:r>
    </w:p>
    <w:p w:rsidR="00D849AA" w:rsidRDefault="00EE6D95">
      <w:pPr>
        <w:pStyle w:val="Normal6"/>
      </w:pPr>
      <w:r>
        <w:t xml:space="preserve">Kako je glazbeno nakladništvo nezaštićeno i destimulirano zbog slabosti sustava podrške lokalne samouprave (također i manjkave podrške drugih izvora financiranja), u predstojećem razdoblju predviđeno je povećanje broja izdanja unutar očekivanih proračunskih vrijednosti, kako bi se očuvala i promovirala nova i starija hrvatska glazbena umjetnost. To se prije svega odnosi na velike i veće glazbeno-scenske cjeline, simfonijsku literaturu, komorni repertoar i slično.  </w:t>
      </w:r>
    </w:p>
    <w:p w:rsidR="00D849AA" w:rsidRDefault="00EE6D95">
      <w:pPr>
        <w:pStyle w:val="Normal6"/>
      </w:pPr>
      <w:r>
        <w:t>Daljnji razvoj glazbenog i dramskog stvaralaštva poticat će se kontinuiranim nagrađivanjem osobitih postignuća, kao i potporama scenskom postavljanju nagrađenih djela. Stimuliranjem kreativnih disciplina, dat će značajan poticaj autorima i produkciji, ali i kvaliteti suvremenog hrvatskog stvaralaštva.</w:t>
      </w:r>
    </w:p>
    <w:p w:rsidR="00D849AA" w:rsidRDefault="00EE6D95">
      <w:pPr>
        <w:pStyle w:val="Naslov7"/>
      </w:pPr>
      <w:r>
        <w:t>Cilj 3. Potpora manifestacijama i gostovanjima programa izvedbenih umjetnosti</w:t>
      </w:r>
    </w:p>
    <w:p w:rsidR="00D849AA" w:rsidRDefault="00EE6D95">
      <w:pPr>
        <w:pStyle w:val="Normal6"/>
      </w:pPr>
      <w:r>
        <w:t xml:space="preserve">Veliki broj hrvatskih festivala (uključujući i one nacionalne) te kulturnih manifestacija, s međunarodnim predznakom ili bez njega, podržavaju se kontinuirano. Takvi programi koji promiču izvrsnost stvaralačke, reproduktivne i produkcijske scene panoramski pokazuju raznolikost njihovih profila - festivali nacionalnog statusa, festivali/kulturne priredbe hrvatskog ili međunarodnog značenja, regionalni festivali/kulturne priredbe, festivali/kulturne priredbe posvećene isključivo hrvatskoj glazbi ili jazzu te specijalistički festivali. Znatan dio njih uživa ugled i na svjetskoj sceni. Stabilnost potpora osigurat će njihovu stalnu aktivnost, međunarodnu suradnju te otvoriti mogućnost za ostvarenje koprodukcijskih projekata.    </w:t>
      </w:r>
    </w:p>
    <w:p w:rsidR="00D849AA" w:rsidRDefault="00EE6D95">
      <w:pPr>
        <w:pStyle w:val="Normal6"/>
      </w:pPr>
      <w:r>
        <w:lastRenderedPageBreak/>
        <w:t xml:space="preserve">Poticanjem gostovanja kroz kazališne, glazbene i plesne mrežne programe podiže se razina intenzivnog profesionalnog djelovanja, ostvaruje se ravnoteža kulturne ponude u svim hrvatskim regijama, kao i suradnja s lokalnim organizatorima. Kako se radi o mreži kulturnih aktivnosti na području cijele Republike Hrvatske (s naglaskom na područja od posebne državne skrbi i na otoke), cilj je potaknuti programsku raznovrsnost te stimulirati izvedbe suvremenog i klasičnog nacionalnog repertoara. </w:t>
      </w:r>
    </w:p>
    <w:p w:rsidR="00D849AA" w:rsidRDefault="00EE6D95">
      <w:pPr>
        <w:pStyle w:val="Normal6"/>
      </w:pPr>
      <w:r>
        <w:t>Izvrsnost se potiče stalnim umjetničkim i stručnim usavršavanjem kroz različite oblike kreativno-istraživačkih rezidencija, majstorskih radionica i profesionalnih natjecanja, čime se razvijaju individualni potencijali i potencijali umjetničkih skupina što u cjelini pridonosi kontinuiranom razvoju izvedbenih umjetnosti i njezinih posebnosti.</w:t>
      </w:r>
    </w:p>
    <w:p w:rsidR="00D849AA" w:rsidRDefault="00EE6D95">
      <w:pPr>
        <w:pStyle w:val="Naslov7"/>
      </w:pPr>
      <w:r>
        <w:t>Cilj 4. Potpora glazbenom i kazališnom amaterizmu te očuvanju tradicijske kulture</w:t>
      </w:r>
    </w:p>
    <w:p w:rsidR="00D849AA" w:rsidRDefault="00EE6D95">
      <w:pPr>
        <w:pStyle w:val="Normal6"/>
      </w:pPr>
      <w:r>
        <w:t>Amatersko stvaralaštvo potiče se kroz brojne kulturne manifestacije, smotre i festivale, radionice tradicijskih vještina i raznolike vrste programa pojedinačnih amaterskih kazališnih skupina te udruga koje njeguju glazbenu, kazališnu, plesnu i običajnu kulturu. Temeljni cilj – očuvanje regionalnih (zavičajnih) baštinskih vrijednosti – ostvarit će se tako da se kontinuirano podiže stručnost i kvaliteta  djelovanja amaterske zajednice, osobito u manjim hrvatskim sredinama. U predstojećem razdoblju očekuje se zadržavanje broja programa kojima će se i nadalje stimulirati razvoj cijele djelatnosti, njezina produktivnost i raznolikost, što su osnovni preduvjeti za očuvanje zavičajnih glazbenih tradicija, kao i tradicije kazališnog amaterizma.</w:t>
      </w:r>
    </w:p>
    <w:p w:rsidR="00D849AA" w:rsidRDefault="00EE6D95">
      <w:pPr>
        <w:pStyle w:val="Naslov5"/>
      </w:pPr>
      <w:r>
        <w:t>Procjena i ishodište potrebnih sredstava za značajnije aktivnosti/projekte</w:t>
      </w:r>
    </w:p>
    <w:p w:rsidR="00D849AA" w:rsidRDefault="00EE6D95">
      <w:pPr>
        <w:pStyle w:val="Naslov6"/>
      </w:pPr>
      <w:r>
        <w:t>A565030 PROGRAMI KAZALIŠNE I GLAZBENO SCENSKE DJELATNOSTI</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A565030</w:t>
            </w:r>
          </w:p>
        </w:tc>
        <w:tc>
          <w:tcPr>
            <w:tcW w:w="1486" w:type="dxa"/>
          </w:tcPr>
          <w:p w:rsidR="00D849AA" w:rsidRDefault="00EE6D95">
            <w:r>
              <w:t>34.808.035</w:t>
            </w:r>
          </w:p>
        </w:tc>
        <w:tc>
          <w:tcPr>
            <w:tcW w:w="1486" w:type="dxa"/>
          </w:tcPr>
          <w:p w:rsidR="00D849AA" w:rsidRDefault="00EE6D95">
            <w:r>
              <w:t>34.131.946</w:t>
            </w:r>
          </w:p>
        </w:tc>
        <w:tc>
          <w:tcPr>
            <w:tcW w:w="1486" w:type="dxa"/>
          </w:tcPr>
          <w:p w:rsidR="00D849AA" w:rsidRDefault="00EE6D95">
            <w:r>
              <w:t>34.517.202</w:t>
            </w:r>
          </w:p>
        </w:tc>
        <w:tc>
          <w:tcPr>
            <w:tcW w:w="1486" w:type="dxa"/>
          </w:tcPr>
          <w:p w:rsidR="00D849AA" w:rsidRDefault="00EE6D95">
            <w:r>
              <w:t>34.893.599</w:t>
            </w:r>
          </w:p>
        </w:tc>
        <w:tc>
          <w:tcPr>
            <w:tcW w:w="1486" w:type="dxa"/>
          </w:tcPr>
          <w:p w:rsidR="00D849AA" w:rsidRDefault="00EE6D95">
            <w:r>
              <w:t>98,0</w:t>
            </w:r>
          </w:p>
        </w:tc>
      </w:tr>
    </w:tbl>
    <w:p w:rsidR="00D849AA" w:rsidRDefault="00D849AA">
      <w:pPr>
        <w:jc w:val="left"/>
      </w:pPr>
    </w:p>
    <w:p w:rsidR="00D849AA" w:rsidRDefault="00EE6D95">
      <w:pPr>
        <w:pStyle w:val="Normal6"/>
      </w:pPr>
      <w:r>
        <w:t>Na temelju Poziva za predlaganje programa javnih potreba u kulturi Republike Hrvatske za 2014. godinu, nadležna Kulturna vijeća predložit će financiranje za: - programe glazbenih, dramskih i plesnih festivala - redovne programe javnih kazališta - programe glazbenih i kazališnih gostovanja - programe privatnih kazališta - programe suvremenih plesnih skupina - programe notnog i diskografskog nakladništva - programe međunarodnih majstorskih seminara i radionica (glazba) - programe međunarodnih glazbenih natjecanja. Također i za programe kulturno-umjetničkog i kazališnog amaterizma: - festivali, manifestacije, susreti, natjecanja i smotre tradicijskog, glazbenog i kazališnog stvaralaštva - programi kulturno-umjetničkih društava (folklorna društva, puhački orkestri, pjevački zborovi) i udruga.</w:t>
      </w:r>
    </w:p>
    <w:p w:rsidR="00EE6D95" w:rsidRDefault="00EE6D95">
      <w:pPr>
        <w:pStyle w:val="Normal6"/>
      </w:pPr>
    </w:p>
    <w:p w:rsidR="00EE6D95" w:rsidRDefault="00EE6D95">
      <w:pPr>
        <w:pStyle w:val="Normal6"/>
      </w:pPr>
    </w:p>
    <w:p w:rsidR="00EE6D95" w:rsidRDefault="00EE6D95">
      <w:pPr>
        <w:pStyle w:val="Normal6"/>
      </w:pPr>
    </w:p>
    <w:p w:rsidR="00EE6D95" w:rsidRDefault="00EE6D95">
      <w:pPr>
        <w:pStyle w:val="Normal6"/>
      </w:pPr>
    </w:p>
    <w:p w:rsidR="00EE6D95" w:rsidRDefault="00EE6D95">
      <w:pPr>
        <w:pStyle w:val="Normal6"/>
      </w:pPr>
    </w:p>
    <w:p w:rsidR="00EE6D95" w:rsidRDefault="00EE6D95">
      <w:pPr>
        <w:pStyle w:val="Normal6"/>
      </w:pPr>
    </w:p>
    <w:p w:rsidR="00EE6D95" w:rsidRDefault="00EE6D95">
      <w:pPr>
        <w:pStyle w:val="Normal6"/>
      </w:pPr>
    </w:p>
    <w:p w:rsidR="00D849AA" w:rsidRDefault="00EE6D95">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Ostvarenje premijernih naslova</w:t>
            </w:r>
          </w:p>
        </w:tc>
        <w:tc>
          <w:tcPr>
            <w:tcW w:w="1114" w:type="dxa"/>
          </w:tcPr>
          <w:p w:rsidR="00D849AA" w:rsidRDefault="00EE6D95">
            <w:r>
              <w:t>Broj</w:t>
            </w:r>
          </w:p>
        </w:tc>
        <w:tc>
          <w:tcPr>
            <w:tcW w:w="1114" w:type="dxa"/>
          </w:tcPr>
          <w:p w:rsidR="00D849AA" w:rsidRDefault="00EE6D95">
            <w:r>
              <w:t>181</w:t>
            </w:r>
          </w:p>
        </w:tc>
        <w:tc>
          <w:tcPr>
            <w:tcW w:w="1486" w:type="dxa"/>
          </w:tcPr>
          <w:p w:rsidR="00D849AA" w:rsidRDefault="00EE6D95">
            <w:r>
              <w:t>196</w:t>
            </w:r>
          </w:p>
        </w:tc>
        <w:tc>
          <w:tcPr>
            <w:tcW w:w="1486" w:type="dxa"/>
          </w:tcPr>
          <w:p w:rsidR="00D849AA" w:rsidRDefault="00EE6D95">
            <w:r>
              <w:t>207</w:t>
            </w:r>
          </w:p>
        </w:tc>
        <w:tc>
          <w:tcPr>
            <w:tcW w:w="1486" w:type="dxa"/>
          </w:tcPr>
          <w:p w:rsidR="00D849AA" w:rsidRDefault="00EE6D95">
            <w:r>
              <w:t>220</w:t>
            </w:r>
          </w:p>
        </w:tc>
      </w:tr>
      <w:tr w:rsidR="00D849AA">
        <w:trPr>
          <w:jc w:val="center"/>
        </w:trPr>
        <w:tc>
          <w:tcPr>
            <w:tcW w:w="2229" w:type="dxa"/>
          </w:tcPr>
          <w:p w:rsidR="00D849AA" w:rsidRDefault="00EE6D95">
            <w:pPr>
              <w:pStyle w:val="CellColumn"/>
            </w:pPr>
            <w:r>
              <w:t>Povećanje broja odobrenih programa nakladničke djelatnosti</w:t>
            </w:r>
          </w:p>
        </w:tc>
        <w:tc>
          <w:tcPr>
            <w:tcW w:w="1114" w:type="dxa"/>
          </w:tcPr>
          <w:p w:rsidR="00D849AA" w:rsidRDefault="00EE6D95">
            <w:r>
              <w:t>Broj</w:t>
            </w:r>
          </w:p>
        </w:tc>
        <w:tc>
          <w:tcPr>
            <w:tcW w:w="1114" w:type="dxa"/>
          </w:tcPr>
          <w:p w:rsidR="00D849AA" w:rsidRDefault="00EE6D95">
            <w:r>
              <w:t>55</w:t>
            </w:r>
          </w:p>
        </w:tc>
        <w:tc>
          <w:tcPr>
            <w:tcW w:w="1486" w:type="dxa"/>
          </w:tcPr>
          <w:p w:rsidR="00D849AA" w:rsidRDefault="00EE6D95">
            <w:r>
              <w:t>60</w:t>
            </w:r>
          </w:p>
        </w:tc>
        <w:tc>
          <w:tcPr>
            <w:tcW w:w="1486" w:type="dxa"/>
          </w:tcPr>
          <w:p w:rsidR="00D849AA" w:rsidRDefault="00EE6D95">
            <w:r>
              <w:t>65</w:t>
            </w:r>
          </w:p>
        </w:tc>
        <w:tc>
          <w:tcPr>
            <w:tcW w:w="1486" w:type="dxa"/>
          </w:tcPr>
          <w:p w:rsidR="00D849AA" w:rsidRDefault="00EE6D95">
            <w:r>
              <w:t>65</w:t>
            </w:r>
          </w:p>
        </w:tc>
      </w:tr>
      <w:tr w:rsidR="00D849AA">
        <w:trPr>
          <w:jc w:val="center"/>
        </w:trPr>
        <w:tc>
          <w:tcPr>
            <w:tcW w:w="2229" w:type="dxa"/>
          </w:tcPr>
          <w:p w:rsidR="00D849AA" w:rsidRDefault="00EE6D95">
            <w:pPr>
              <w:pStyle w:val="CellColumn"/>
            </w:pPr>
            <w:r>
              <w:t>Očuvanje statusa nacionalnih festivala</w:t>
            </w:r>
          </w:p>
        </w:tc>
        <w:tc>
          <w:tcPr>
            <w:tcW w:w="1114" w:type="dxa"/>
          </w:tcPr>
          <w:p w:rsidR="00D849AA" w:rsidRDefault="00EE6D95">
            <w:r>
              <w:t>Broj</w:t>
            </w:r>
          </w:p>
        </w:tc>
        <w:tc>
          <w:tcPr>
            <w:tcW w:w="1114" w:type="dxa"/>
          </w:tcPr>
          <w:p w:rsidR="00D849AA" w:rsidRDefault="00EE6D95">
            <w:r>
              <w:t>6</w:t>
            </w:r>
          </w:p>
        </w:tc>
        <w:tc>
          <w:tcPr>
            <w:tcW w:w="1486" w:type="dxa"/>
          </w:tcPr>
          <w:p w:rsidR="00D849AA" w:rsidRDefault="00EE6D95">
            <w:r>
              <w:t>6</w:t>
            </w:r>
          </w:p>
        </w:tc>
        <w:tc>
          <w:tcPr>
            <w:tcW w:w="1486" w:type="dxa"/>
          </w:tcPr>
          <w:p w:rsidR="00D849AA" w:rsidRDefault="00EE6D95">
            <w:r>
              <w:t>6</w:t>
            </w:r>
          </w:p>
        </w:tc>
        <w:tc>
          <w:tcPr>
            <w:tcW w:w="1486" w:type="dxa"/>
          </w:tcPr>
          <w:p w:rsidR="00D849AA" w:rsidRDefault="00EE6D95">
            <w:r>
              <w:t>6</w:t>
            </w:r>
          </w:p>
        </w:tc>
      </w:tr>
      <w:tr w:rsidR="00D849AA">
        <w:trPr>
          <w:jc w:val="center"/>
        </w:trPr>
        <w:tc>
          <w:tcPr>
            <w:tcW w:w="2229" w:type="dxa"/>
          </w:tcPr>
          <w:p w:rsidR="00D849AA" w:rsidRDefault="00EE6D95">
            <w:pPr>
              <w:pStyle w:val="CellColumn"/>
            </w:pPr>
            <w:r>
              <w:t>Povećanje broja programa vezanih uz očuvanje tradicijske kulture</w:t>
            </w:r>
          </w:p>
        </w:tc>
        <w:tc>
          <w:tcPr>
            <w:tcW w:w="1114" w:type="dxa"/>
          </w:tcPr>
          <w:p w:rsidR="00D849AA" w:rsidRDefault="00EE6D95">
            <w:r>
              <w:t>Broj</w:t>
            </w:r>
          </w:p>
        </w:tc>
        <w:tc>
          <w:tcPr>
            <w:tcW w:w="1114" w:type="dxa"/>
          </w:tcPr>
          <w:p w:rsidR="00D849AA" w:rsidRDefault="00EE6D95">
            <w:r>
              <w:t>50</w:t>
            </w:r>
          </w:p>
        </w:tc>
        <w:tc>
          <w:tcPr>
            <w:tcW w:w="1486" w:type="dxa"/>
          </w:tcPr>
          <w:p w:rsidR="00D849AA" w:rsidRDefault="00EE6D95">
            <w:r>
              <w:t>55</w:t>
            </w:r>
          </w:p>
        </w:tc>
        <w:tc>
          <w:tcPr>
            <w:tcW w:w="1486" w:type="dxa"/>
          </w:tcPr>
          <w:p w:rsidR="00D849AA" w:rsidRDefault="00EE6D95">
            <w:r>
              <w:t>55</w:t>
            </w:r>
          </w:p>
        </w:tc>
        <w:tc>
          <w:tcPr>
            <w:tcW w:w="1486" w:type="dxa"/>
          </w:tcPr>
          <w:p w:rsidR="00D849AA" w:rsidRDefault="00EE6D95">
            <w:r>
              <w:t>58</w:t>
            </w:r>
          </w:p>
        </w:tc>
      </w:tr>
    </w:tbl>
    <w:p w:rsidR="00B151E0" w:rsidRDefault="00B151E0" w:rsidP="00B151E0">
      <w:pPr>
        <w:jc w:val="left"/>
      </w:pPr>
    </w:p>
    <w:p w:rsidR="00B151E0" w:rsidRDefault="00B151E0" w:rsidP="00B151E0">
      <w:pPr>
        <w:pStyle w:val="Naslov4"/>
      </w:pPr>
      <w:r>
        <w:t>OBRAZLOŽENJE PROGRAMA</w:t>
      </w:r>
    </w:p>
    <w:p w:rsidR="00D849AA" w:rsidRDefault="00EE6D95" w:rsidP="00B151E0">
      <w:pPr>
        <w:pStyle w:val="Naslov5"/>
        <w:ind w:left="0" w:firstLine="357"/>
      </w:pPr>
      <w:r>
        <w:t>3905 KNJIŽNIČNA DJELATNOST</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3905</w:t>
            </w:r>
          </w:p>
        </w:tc>
        <w:tc>
          <w:tcPr>
            <w:tcW w:w="1486" w:type="dxa"/>
          </w:tcPr>
          <w:p w:rsidR="00D849AA" w:rsidRDefault="00EE6D95">
            <w:r>
              <w:t>51.730.000</w:t>
            </w:r>
          </w:p>
        </w:tc>
        <w:tc>
          <w:tcPr>
            <w:tcW w:w="1486" w:type="dxa"/>
          </w:tcPr>
          <w:p w:rsidR="00D849AA" w:rsidRDefault="00EE6D95">
            <w:r>
              <w:t>53.200.000</w:t>
            </w:r>
          </w:p>
        </w:tc>
        <w:tc>
          <w:tcPr>
            <w:tcW w:w="1486" w:type="dxa"/>
          </w:tcPr>
          <w:p w:rsidR="00D849AA" w:rsidRDefault="00EE6D95">
            <w:r>
              <w:t>54.200.000</w:t>
            </w:r>
          </w:p>
        </w:tc>
        <w:tc>
          <w:tcPr>
            <w:tcW w:w="1486" w:type="dxa"/>
          </w:tcPr>
          <w:p w:rsidR="00D849AA" w:rsidRDefault="00EE6D95">
            <w:r>
              <w:t>54.200.000</w:t>
            </w:r>
          </w:p>
        </w:tc>
        <w:tc>
          <w:tcPr>
            <w:tcW w:w="1486" w:type="dxa"/>
          </w:tcPr>
          <w:p w:rsidR="00D849AA" w:rsidRDefault="00EE6D95">
            <w:r>
              <w:t>102,8</w:t>
            </w:r>
          </w:p>
        </w:tc>
      </w:tr>
    </w:tbl>
    <w:p w:rsidR="00D849AA" w:rsidRDefault="00D849AA">
      <w:pPr>
        <w:jc w:val="left"/>
      </w:pPr>
    </w:p>
    <w:p w:rsidR="00D849AA" w:rsidRDefault="00EE6D95">
      <w:pPr>
        <w:pStyle w:val="Naslov6"/>
      </w:pPr>
      <w:r>
        <w:t>Opis programa</w:t>
      </w:r>
    </w:p>
    <w:p w:rsidR="00D849AA" w:rsidRDefault="00EE6D95">
      <w:pPr>
        <w:pStyle w:val="Normal5"/>
      </w:pPr>
      <w:r>
        <w:t>Program obuhvaća uz knjižničnu i djelatnost književnog izdavaštva. Godišnje se potpomogne oko 2000 projekata kroz potpore za izdavanje knjiga, časopisa i elektroničkih publikacija, otkup knjiga od nakladnika za narodne knjižnice te potpore za poticanje književnog stvaralaštva namijenjene autorima i prevoditeljima. Inozemni se izdavači također mogu natjecati za potporu objavljivanju djela hrvatskih autora na strane jezike. Na taj se način potiče učinkovitija promocija hrvatske knjige prilagođene osobitostima pojedinačnih kulturnih tržišta i posredno podupiru drugi oblici afirmacije Hrvatske na svjetskoj književnoj i kulturnoj sceni. Podupiru se književne manifestacije koje se kontinuirano održavaju, a uglavnom su vezane uz značajna imena i događaje hrvatske kulturne povijesti. Također se potpomažu i nastupi hrvatskih nakladnika i autora na domaćim i inozemnim književnim sajmovima u svrhu prezentiranja i promidžbe. Stimuliraju se književni programi u knjižarama koji promiču kulturu čitanja. Takvi programi su književno – autorske promocije, tematski književni susreti, organizacija književnih festivala. Sufinanciraju se nezavisne knjižare i povećava dostupnost knjiga i časopisa. Potpora knjižničnoj djelatnosti odnosi se na nabavu knjižne i neknjižne građe u narodnim knjižnicama, akcije i manifestacijama u knjižničnoj djelatnosti te potporu razvojnim programima i projektima u knjižničnoj djelatnosti.</w:t>
      </w:r>
    </w:p>
    <w:p w:rsidR="00D849AA" w:rsidRDefault="00EE6D95">
      <w:pPr>
        <w:pStyle w:val="Naslov6"/>
      </w:pPr>
      <w:r>
        <w:lastRenderedPageBreak/>
        <w:t>Zakonske i druge pravne osnove</w:t>
      </w:r>
    </w:p>
    <w:p w:rsidR="00D849AA" w:rsidRDefault="00EE6D95">
      <w:pPr>
        <w:pStyle w:val="Normal5"/>
      </w:pPr>
      <w:r>
        <w:t>- Zakon o financiranju javnih potreba u kulturi (“Narodne novine” br. 47/90 i 27/93) - Pravilnik o izboru i utvrđivanju programa javnih potreba u kulturi (“Narodne novine” br. 137/08, 57/09, 62/09) - Zakon o knjižnicama (NN 105/97, 5/98, 104/00, 69/09) - Pravilnik o matičnoj djelatnosti knjižnica u Republici Hrvatskoj (NN 43/01) - Standardi za narodne knjižnice u Republici Hrvatskoj (NN 58/99)</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Cilj 1. Poticanje književnog stvaralaštva</w:t>
      </w:r>
    </w:p>
    <w:p w:rsidR="00D849AA" w:rsidRDefault="00EE6D95">
      <w:pPr>
        <w:pStyle w:val="Normal6"/>
      </w:pPr>
      <w:r>
        <w:t xml:space="preserve">Kako se hrvatski jezik i kultura ubrajaju u jezike s malim brojem korisnika, treba naročito brinuti o afirmaciji i održavanju kvalitete književnog stvaralaštva i izdavaštva jer je briga o vlastitom jeziku ključna u zaštiti vlastitoga nacionalnog identiteta. </w:t>
      </w:r>
    </w:p>
    <w:p w:rsidR="00D849AA" w:rsidRDefault="00EE6D95">
      <w:pPr>
        <w:pStyle w:val="Normal6"/>
      </w:pPr>
      <w:r>
        <w:t>Nizom mjera – dodjeljivanjem direktnih potpora-stipendija autorima za rad na pojedinom projektu, dodjeljivanjem stimulacija-nagrada za ostvarena kvalitetna djela, osiguravanjem isplate dijela potpore izdavanju knjiga kroz autorske honorare te uvođenjem plaćanja naknade na temelju prava javne posudbe u narodnim knjižnicama nastoji se poboljšati status autora – književnika i prevoditelja te osigurati uvjete za egzistenciju i stvaranje kroz ovaj oblik umjetničke proizvodnje.</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Povećanje recepcije hrvatske knjige u zemlji i inozemstvu</w:t>
            </w:r>
          </w:p>
        </w:tc>
        <w:tc>
          <w:tcPr>
            <w:tcW w:w="1114" w:type="dxa"/>
          </w:tcPr>
          <w:p w:rsidR="00D849AA" w:rsidRDefault="00EE6D95">
            <w:r>
              <w:t>Broj</w:t>
            </w:r>
          </w:p>
        </w:tc>
        <w:tc>
          <w:tcPr>
            <w:tcW w:w="1114" w:type="dxa"/>
          </w:tcPr>
          <w:p w:rsidR="00D849AA" w:rsidRDefault="00EE6D95">
            <w:r>
              <w:t>3,42</w:t>
            </w:r>
          </w:p>
        </w:tc>
        <w:tc>
          <w:tcPr>
            <w:tcW w:w="1486" w:type="dxa"/>
          </w:tcPr>
          <w:p w:rsidR="00D849AA" w:rsidRDefault="00EE6D95">
            <w:r>
              <w:t>3,45</w:t>
            </w:r>
          </w:p>
        </w:tc>
        <w:tc>
          <w:tcPr>
            <w:tcW w:w="1486" w:type="dxa"/>
          </w:tcPr>
          <w:p w:rsidR="00D849AA" w:rsidRDefault="00EE6D95">
            <w:r>
              <w:t>3,50</w:t>
            </w:r>
          </w:p>
        </w:tc>
        <w:tc>
          <w:tcPr>
            <w:tcW w:w="1486" w:type="dxa"/>
          </w:tcPr>
          <w:p w:rsidR="00D849AA" w:rsidRDefault="00EE6D95">
            <w:r>
              <w:t>3,60</w:t>
            </w:r>
          </w:p>
        </w:tc>
      </w:tr>
    </w:tbl>
    <w:p w:rsidR="00D849AA" w:rsidRDefault="00D849AA">
      <w:pPr>
        <w:jc w:val="left"/>
      </w:pPr>
    </w:p>
    <w:p w:rsidR="00D849AA" w:rsidRDefault="00EE6D95">
      <w:pPr>
        <w:pStyle w:val="Naslov7"/>
      </w:pPr>
      <w:r>
        <w:t>Cilj 2. Potpora proizvodnji i distribuciji knjiga, časopisa i elektroničkih publikacija</w:t>
      </w:r>
    </w:p>
    <w:p w:rsidR="00D849AA" w:rsidRDefault="00EE6D95">
      <w:pPr>
        <w:pStyle w:val="Normal6"/>
      </w:pPr>
      <w:r>
        <w:t xml:space="preserve">Povećanjem broja potpora dodijeljenih autorima i prevoditeljima za književna djela, poboljšat će se interes autora za stvaranje, a nakladnika za izdavanje a time i udio domaće književnosti na tržištu te u suradnji s nakladnicima povećati broj objavljenih vrijednih naslova što će omogućiti približavanje književno-umjetničkih djela širokoj publici i na taj način afirmirati književno nakladništvo kao vodeću granu kulturne produkcije. Kako su književna djela i časopisi vrlo važni u očuvanju i promoviranju književne, jezične i kulturne baštine, treba osigurati njihovu dostupnost svim građanima Republike Hrvatske bez obzira na mjesto stanovanja, što će se učiniti povećanjem broja otkupljenih naslova kapitalnih djela hrvatske i svjetske književnosti za narodne knjižnice u većem broju primjeraka te mjerama za očuvanje časopisne produkcije na cijelom području Republike Hrvatske. </w:t>
      </w:r>
    </w:p>
    <w:p w:rsidR="00D849AA" w:rsidRDefault="00EE6D95">
      <w:pPr>
        <w:pStyle w:val="Normal6"/>
      </w:pPr>
      <w:r>
        <w:t>Polazeći od potrebe da se dosezi hrvatske kulture učine dostupnim i vidljivim u digitalnom okruženju, Ministarstvo kulture će poticati stvaranje kulturnih i kreativnih sadržaja te inicirati inovativne i kreativne procese s ciljem uključivanja postojećih i novih sadržaja na mrežne i mobilne platforme koje odgovaraju izazovima vremena. Povećanjem broja naslova dostupnih u e-formatu osigurat će se povećanje udjela e-knjiga na cjelokupnom tržištu knjiga.</w:t>
      </w:r>
    </w:p>
    <w:p w:rsidR="00D849AA" w:rsidRDefault="00EE6D95">
      <w:pPr>
        <w:pStyle w:val="Naslov7"/>
      </w:pPr>
      <w:r>
        <w:lastRenderedPageBreak/>
        <w:t>Cilj 3. Potpora razvoju knjižničnih usluga i zadovoljavanju potreba korisnika</w:t>
      </w:r>
    </w:p>
    <w:p w:rsidR="00D849AA" w:rsidRDefault="00EE6D95">
      <w:pPr>
        <w:pStyle w:val="Normal6"/>
      </w:pPr>
      <w:r>
        <w:t xml:space="preserve">Iako je širenje mreže narodnih knjižnica, sukladno Zakonu o knjižnicama, od interesa za Republiku Hrvatsku, zbog nedostatnih financijskih mogućnosti, lokalnoj je zajednici (općinama i gradovima) sve teže osigurati sredstva za osnivanje knjižnica i izgradnju njihovih knjižničnih fondova. Razvojem mreže bibliobusnih službi narodnih knjižnica u Republici Hrvatskoj omogućilo bi se fleksibilno i ekonomično pružanje knjižničnih usluga svim stanovnicima bez obzira na mjesto stanovanja i udaljenost od stacionarnih knjižnica (otoci, planinski krajevi, prigradska naselja… ), a povećanje broja kvalitetnih razvojnih programa u knjižničnoj djelatnosti rezultiralo bi osposobljavanjem djelatnika u knjižnicama za praćenje suvremenih kreativnih i tehnoloških dostignuća u struci. </w:t>
      </w:r>
    </w:p>
    <w:p w:rsidR="00D849AA" w:rsidRDefault="00EE6D95">
      <w:pPr>
        <w:pStyle w:val="Normal6"/>
      </w:pPr>
      <w:r>
        <w:t>Kao najrazvijenija mreža kulturnih ustanova u zemlji, mreža narodnih knjižnica može kvalitetnim akcijama i manifestacijama uspješno promicati čitanje i čitalačku kulturu putem različitih medija i za sve generacije.</w:t>
      </w:r>
    </w:p>
    <w:p w:rsidR="00D849AA" w:rsidRDefault="00EE6D95">
      <w:pPr>
        <w:pStyle w:val="Naslov7"/>
      </w:pPr>
      <w:r>
        <w:t>Cilj 4. Povećanje participacije knjige u kulturnom životu</w:t>
      </w:r>
    </w:p>
    <w:p w:rsidR="00D849AA" w:rsidRDefault="00EE6D95">
      <w:pPr>
        <w:pStyle w:val="Normal6"/>
      </w:pPr>
      <w:r>
        <w:t xml:space="preserve">Jačanje participacije i kulturne potrošnje uz afirmaciju sudjelovanja u kulturi s ciljem podizanja kvalitete života stanovništva bitni su za učinkovito funkcioniranje kulture kao sektora koji proizvodi dobra i stvara nove vrijednosti. Povećanjem broja kvalitetnih književno-autorskih predstavljanja, festivala, okruglih stolova, tribina i radionica povećat će se dostupnost knjige i promicati kultura čitanja s ciljem afirmacije književnosti kao jedne od vodećih grana kulturne produkcije. Uz sve to trebalo bi osigurati, odnosno stimulirati adekvatan tretman autora, knjiga i književnosti unutar medijskog prostora. </w:t>
      </w:r>
    </w:p>
    <w:p w:rsidR="00D849AA" w:rsidRDefault="00EE6D95">
      <w:pPr>
        <w:pStyle w:val="Normal6"/>
      </w:pPr>
      <w:r>
        <w:t xml:space="preserve">Izradom nacionalne strategije za poticanje čitanja povećat će se interes za čitanje svih dobnih skupina, interesnih skupina, naročito djece i mladih kao posebno važne ciljne skupine, povećat će se potpora drugih ustanova programima poticanja čitanja što će rezultirati povećanjem broja čitateljskih klubova, učlanjenja u knjižnice i u konačnici  kupnjom knjiga. </w:t>
      </w:r>
    </w:p>
    <w:p w:rsidR="00D849AA" w:rsidRDefault="00EE6D95">
      <w:pPr>
        <w:pStyle w:val="Normal6"/>
      </w:pPr>
      <w:r>
        <w:t xml:space="preserve">Ustanovljavanjem Dana čitanja, organizacijom nacionalne kampanje poticanja čitanja u koju su uključeni svi mediji rast će potpora kulturnim programima od teksta do proizvodnje kulturnih dobara. </w:t>
      </w:r>
    </w:p>
    <w:p w:rsidR="00D849AA" w:rsidRDefault="00EE6D95">
      <w:pPr>
        <w:pStyle w:val="Normal6"/>
      </w:pPr>
      <w:r>
        <w:t>Povećanje broja i kvalitete sufinanciranih prijevoda pokazatelj je porasta zanimanja za hrvatsku književnu produkciju i njezina statusa na međunarodnom književnom i knjižnom tržištu. Pojačanom participacijom olakšava se promidžba hrvatske književnosti, izgrađuje hrvatski kulturni proizvod i poboljšava percepcija, odnosno recepcija. Povećan broj uzajamnih gostovanja književnika i prevoditelja pridonosi jačanju razmjene i suradnje u području kulture.</w:t>
      </w:r>
    </w:p>
    <w:p w:rsidR="00D849AA" w:rsidRDefault="00EE6D95">
      <w:pPr>
        <w:pStyle w:val="Naslov5"/>
      </w:pPr>
      <w:r>
        <w:t>Procjena i ishodište potrebnih sredstava za značajnije aktivnosti/projekte</w:t>
      </w:r>
    </w:p>
    <w:p w:rsidR="00D849AA" w:rsidRDefault="00EE6D95">
      <w:pPr>
        <w:pStyle w:val="Naslov6"/>
      </w:pPr>
      <w:r>
        <w:t>A781002 KNJIŽEVNO IZDAVAŠTVO</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A781002</w:t>
            </w:r>
          </w:p>
        </w:tc>
        <w:tc>
          <w:tcPr>
            <w:tcW w:w="1486" w:type="dxa"/>
          </w:tcPr>
          <w:p w:rsidR="00D849AA" w:rsidRDefault="00EE6D95">
            <w:r>
              <w:t>29.000.000</w:t>
            </w:r>
          </w:p>
        </w:tc>
        <w:tc>
          <w:tcPr>
            <w:tcW w:w="1486" w:type="dxa"/>
          </w:tcPr>
          <w:p w:rsidR="00D849AA" w:rsidRDefault="00EE6D95">
            <w:r>
              <w:t>30.500.000</w:t>
            </w:r>
          </w:p>
        </w:tc>
        <w:tc>
          <w:tcPr>
            <w:tcW w:w="1486" w:type="dxa"/>
          </w:tcPr>
          <w:p w:rsidR="00D849AA" w:rsidRDefault="00EE6D95">
            <w:r>
              <w:t>31.500.000</w:t>
            </w:r>
          </w:p>
        </w:tc>
        <w:tc>
          <w:tcPr>
            <w:tcW w:w="1486" w:type="dxa"/>
          </w:tcPr>
          <w:p w:rsidR="00D849AA" w:rsidRDefault="00EE6D95">
            <w:r>
              <w:t>31.500.000</w:t>
            </w:r>
          </w:p>
        </w:tc>
        <w:tc>
          <w:tcPr>
            <w:tcW w:w="1486" w:type="dxa"/>
          </w:tcPr>
          <w:p w:rsidR="00D849AA" w:rsidRDefault="00EE6D95">
            <w:r>
              <w:t>105,2</w:t>
            </w:r>
          </w:p>
        </w:tc>
      </w:tr>
    </w:tbl>
    <w:p w:rsidR="00D849AA" w:rsidRDefault="00D849AA">
      <w:pPr>
        <w:jc w:val="left"/>
      </w:pPr>
    </w:p>
    <w:p w:rsidR="00D849AA" w:rsidRDefault="00EE6D95">
      <w:pPr>
        <w:pStyle w:val="Normal6"/>
      </w:pPr>
      <w:r>
        <w:t xml:space="preserve">Ova aktivnost sadrži: - Potpora izdavanju knjiga - Otkup knjiga za narodne knjižnice - Potpora za poticanje književnog stvaralaštva - Potpora časopisima i elektroničkim </w:t>
      </w:r>
      <w:r>
        <w:lastRenderedPageBreak/>
        <w:t>publikacijama - Potpora književnim manifestacijama - Potpora književnim programima knjižara - Potpora programima razmjene pisaca</w:t>
      </w:r>
    </w:p>
    <w:p w:rsidR="00EE6D95" w:rsidRDefault="00EE6D95">
      <w:pPr>
        <w:pStyle w:val="Naslov8"/>
        <w:jc w:val="left"/>
      </w:pPr>
    </w:p>
    <w:p w:rsidR="00EE6D95" w:rsidRDefault="00EE6D95">
      <w:pPr>
        <w:pStyle w:val="Naslov8"/>
        <w:jc w:val="left"/>
      </w:pP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6"/>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Povećanje broja objavljenih vrijednih naslova u okviru programa potpore izdavanju kniga i književnog stvaralaštva</w:t>
            </w:r>
          </w:p>
        </w:tc>
        <w:tc>
          <w:tcPr>
            <w:tcW w:w="1114" w:type="dxa"/>
          </w:tcPr>
          <w:p w:rsidR="00D849AA" w:rsidRDefault="00EE6D95">
            <w:r>
              <w:t>%</w:t>
            </w:r>
          </w:p>
        </w:tc>
        <w:tc>
          <w:tcPr>
            <w:tcW w:w="1114" w:type="dxa"/>
          </w:tcPr>
          <w:p w:rsidR="00D849AA" w:rsidRDefault="00EE6D95">
            <w:r>
              <w:t>0,78</w:t>
            </w:r>
          </w:p>
        </w:tc>
        <w:tc>
          <w:tcPr>
            <w:tcW w:w="1486" w:type="dxa"/>
          </w:tcPr>
          <w:p w:rsidR="00D849AA" w:rsidRDefault="00EE6D95">
            <w:r>
              <w:t>0,79</w:t>
            </w:r>
          </w:p>
        </w:tc>
        <w:tc>
          <w:tcPr>
            <w:tcW w:w="1486" w:type="dxa"/>
          </w:tcPr>
          <w:p w:rsidR="00D849AA" w:rsidRDefault="00EE6D95">
            <w:r>
              <w:t>0,80</w:t>
            </w:r>
          </w:p>
        </w:tc>
        <w:tc>
          <w:tcPr>
            <w:tcW w:w="1486" w:type="dxa"/>
          </w:tcPr>
          <w:p w:rsidR="00D849AA" w:rsidRDefault="00EE6D95">
            <w:r>
              <w:t>0,82</w:t>
            </w:r>
          </w:p>
        </w:tc>
      </w:tr>
      <w:tr w:rsidR="00D849AA">
        <w:trPr>
          <w:jc w:val="center"/>
        </w:trPr>
        <w:tc>
          <w:tcPr>
            <w:tcW w:w="2229" w:type="dxa"/>
          </w:tcPr>
          <w:p w:rsidR="00D849AA" w:rsidRDefault="00EE6D95">
            <w:pPr>
              <w:pStyle w:val="CellColumn"/>
            </w:pPr>
            <w:r>
              <w:t>Povećanje dosutpnosti vrijednih djela hrvatske i svjetske književnosti čitateljstvu</w:t>
            </w:r>
          </w:p>
        </w:tc>
        <w:tc>
          <w:tcPr>
            <w:tcW w:w="1114" w:type="dxa"/>
          </w:tcPr>
          <w:p w:rsidR="00D849AA" w:rsidRDefault="00EE6D95">
            <w:r>
              <w:t>Broj (prosječan)</w:t>
            </w:r>
          </w:p>
        </w:tc>
        <w:tc>
          <w:tcPr>
            <w:tcW w:w="1114" w:type="dxa"/>
          </w:tcPr>
          <w:p w:rsidR="00D849AA" w:rsidRDefault="00EE6D95">
            <w:r>
              <w:t>76</w:t>
            </w:r>
          </w:p>
        </w:tc>
        <w:tc>
          <w:tcPr>
            <w:tcW w:w="1486" w:type="dxa"/>
          </w:tcPr>
          <w:p w:rsidR="00D849AA" w:rsidRDefault="00EE6D95">
            <w:r>
              <w:t>77</w:t>
            </w:r>
          </w:p>
        </w:tc>
        <w:tc>
          <w:tcPr>
            <w:tcW w:w="1486" w:type="dxa"/>
          </w:tcPr>
          <w:p w:rsidR="00D849AA" w:rsidRDefault="00EE6D95">
            <w:r>
              <w:t>78</w:t>
            </w:r>
          </w:p>
        </w:tc>
        <w:tc>
          <w:tcPr>
            <w:tcW w:w="1486" w:type="dxa"/>
          </w:tcPr>
          <w:p w:rsidR="00D849AA" w:rsidRDefault="00EE6D95">
            <w:r>
              <w:t>80</w:t>
            </w:r>
          </w:p>
        </w:tc>
      </w:tr>
      <w:tr w:rsidR="00D849AA">
        <w:trPr>
          <w:jc w:val="center"/>
        </w:trPr>
        <w:tc>
          <w:tcPr>
            <w:tcW w:w="2229" w:type="dxa"/>
          </w:tcPr>
          <w:p w:rsidR="00D849AA" w:rsidRDefault="00EE6D95">
            <w:pPr>
              <w:pStyle w:val="CellColumn"/>
            </w:pPr>
            <w:r>
              <w:t>Povećanje broja elektroničkih publikacija čiji sadržaj većim dijelom obuhvaća područja kulture</w:t>
            </w:r>
          </w:p>
        </w:tc>
        <w:tc>
          <w:tcPr>
            <w:tcW w:w="1114" w:type="dxa"/>
          </w:tcPr>
          <w:p w:rsidR="00D849AA" w:rsidRDefault="00EE6D95">
            <w:r>
              <w:t>Broj</w:t>
            </w:r>
          </w:p>
        </w:tc>
        <w:tc>
          <w:tcPr>
            <w:tcW w:w="1114" w:type="dxa"/>
          </w:tcPr>
          <w:p w:rsidR="00D849AA" w:rsidRDefault="00EE6D95">
            <w:r>
              <w:t>17</w:t>
            </w:r>
          </w:p>
        </w:tc>
        <w:tc>
          <w:tcPr>
            <w:tcW w:w="1486" w:type="dxa"/>
          </w:tcPr>
          <w:p w:rsidR="00D849AA" w:rsidRDefault="00EE6D95">
            <w:r>
              <w:t>20</w:t>
            </w:r>
          </w:p>
        </w:tc>
        <w:tc>
          <w:tcPr>
            <w:tcW w:w="1486" w:type="dxa"/>
          </w:tcPr>
          <w:p w:rsidR="00D849AA" w:rsidRDefault="00EE6D95">
            <w:r>
              <w:t>22</w:t>
            </w:r>
          </w:p>
        </w:tc>
        <w:tc>
          <w:tcPr>
            <w:tcW w:w="1486" w:type="dxa"/>
          </w:tcPr>
          <w:p w:rsidR="00D849AA" w:rsidRDefault="00EE6D95">
            <w:r>
              <w:t>25</w:t>
            </w:r>
          </w:p>
        </w:tc>
      </w:tr>
    </w:tbl>
    <w:p w:rsidR="00D849AA" w:rsidRDefault="00D849AA">
      <w:pPr>
        <w:jc w:val="left"/>
      </w:pPr>
    </w:p>
    <w:p w:rsidR="00D849AA" w:rsidRDefault="00EE6D95">
      <w:pPr>
        <w:pStyle w:val="Naslov6"/>
      </w:pPr>
      <w:r>
        <w:t>A781003 PROGRAMI KNJIŽNIČNE DJELATNOSTI</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A781003</w:t>
            </w:r>
          </w:p>
        </w:tc>
        <w:tc>
          <w:tcPr>
            <w:tcW w:w="1486" w:type="dxa"/>
          </w:tcPr>
          <w:p w:rsidR="00D849AA" w:rsidRDefault="00EE6D95">
            <w:r>
              <w:t>18.000.000</w:t>
            </w:r>
          </w:p>
        </w:tc>
        <w:tc>
          <w:tcPr>
            <w:tcW w:w="1486" w:type="dxa"/>
          </w:tcPr>
          <w:p w:rsidR="00D849AA" w:rsidRDefault="00EE6D95">
            <w:r>
              <w:t>18.000.000</w:t>
            </w:r>
          </w:p>
        </w:tc>
        <w:tc>
          <w:tcPr>
            <w:tcW w:w="1486" w:type="dxa"/>
          </w:tcPr>
          <w:p w:rsidR="00D849AA" w:rsidRDefault="00EE6D95">
            <w:r>
              <w:t>18.000.000</w:t>
            </w:r>
          </w:p>
        </w:tc>
        <w:tc>
          <w:tcPr>
            <w:tcW w:w="1486" w:type="dxa"/>
          </w:tcPr>
          <w:p w:rsidR="00D849AA" w:rsidRDefault="00EE6D95">
            <w:r>
              <w:t>18.000.000</w:t>
            </w:r>
          </w:p>
        </w:tc>
        <w:tc>
          <w:tcPr>
            <w:tcW w:w="1486" w:type="dxa"/>
          </w:tcPr>
          <w:p w:rsidR="00D849AA" w:rsidRDefault="00EE6D95">
            <w:r>
              <w:t>100,0</w:t>
            </w:r>
          </w:p>
        </w:tc>
      </w:tr>
    </w:tbl>
    <w:p w:rsidR="00D849AA" w:rsidRDefault="00D849AA">
      <w:pPr>
        <w:jc w:val="left"/>
      </w:pPr>
    </w:p>
    <w:p w:rsidR="00D849AA" w:rsidRDefault="00EE6D95">
      <w:pPr>
        <w:pStyle w:val="Normal6"/>
      </w:pPr>
      <w:r>
        <w:t>U ovu aktivnost spada Potpora nabavi knjižne i neknjižne građe u narodnim knjižnicama - Potpora akcijama i manifestacijama u knjižničnoj djelatnosti - Potpora razvojnim programima i projektima u knjižničnoj djelatnosti.</w:t>
      </w:r>
    </w:p>
    <w:p w:rsidR="00D849AA" w:rsidRDefault="00EE6D95">
      <w:pPr>
        <w:pStyle w:val="Naslov6"/>
      </w:pPr>
      <w:r>
        <w:t>A784002 MATIČNE SLUŽBE KNJIŽNICA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A784002</w:t>
            </w:r>
          </w:p>
        </w:tc>
        <w:tc>
          <w:tcPr>
            <w:tcW w:w="1486" w:type="dxa"/>
          </w:tcPr>
          <w:p w:rsidR="00D849AA" w:rsidRDefault="00EE6D95">
            <w:r>
              <w:t>4.730.000</w:t>
            </w:r>
          </w:p>
        </w:tc>
        <w:tc>
          <w:tcPr>
            <w:tcW w:w="1486" w:type="dxa"/>
          </w:tcPr>
          <w:p w:rsidR="00D849AA" w:rsidRDefault="00EE6D95">
            <w:r>
              <w:t>4.700.000</w:t>
            </w:r>
          </w:p>
        </w:tc>
        <w:tc>
          <w:tcPr>
            <w:tcW w:w="1486" w:type="dxa"/>
          </w:tcPr>
          <w:p w:rsidR="00D849AA" w:rsidRDefault="00EE6D95">
            <w:r>
              <w:t>4.700.000</w:t>
            </w:r>
          </w:p>
        </w:tc>
        <w:tc>
          <w:tcPr>
            <w:tcW w:w="1486" w:type="dxa"/>
          </w:tcPr>
          <w:p w:rsidR="00D849AA" w:rsidRDefault="00EE6D95">
            <w:r>
              <w:t>4.700.000</w:t>
            </w:r>
          </w:p>
        </w:tc>
        <w:tc>
          <w:tcPr>
            <w:tcW w:w="1486" w:type="dxa"/>
          </w:tcPr>
          <w:p w:rsidR="00D849AA" w:rsidRDefault="00EE6D95">
            <w:r>
              <w:t>99,4</w:t>
            </w:r>
          </w:p>
        </w:tc>
      </w:tr>
    </w:tbl>
    <w:p w:rsidR="00D849AA" w:rsidRDefault="00D849AA">
      <w:pPr>
        <w:jc w:val="left"/>
      </w:pPr>
    </w:p>
    <w:p w:rsidR="00D849AA" w:rsidRDefault="00EE6D95">
      <w:pPr>
        <w:pStyle w:val="Normal6"/>
      </w:pPr>
      <w:r>
        <w:t xml:space="preserve">Putem ove aktivnosti osigurava se  potpora radu 20 županijskih matičnih službi (financiranje jednog djelatnika županijske matične službe i njegovih tekućih materijalnih </w:t>
      </w:r>
      <w:r>
        <w:lastRenderedPageBreak/>
        <w:t>troškova) u funkciji njihove temeljne i razvojne djelatnosti na unaprjeđenju knjižnične djelatnosti u RH. - Potpora programima središnjih knjižnica nacionalnih manjina (10 knjižnica u 2014.) s tendencijom povećanja s obzirom na najavljene potrebe manjinskih zajednica koje nisu obuhvaćene postojećim modelom.</w:t>
      </w:r>
    </w:p>
    <w:p w:rsidR="00B151E0" w:rsidRDefault="00B151E0" w:rsidP="00B151E0">
      <w:pPr>
        <w:jc w:val="left"/>
      </w:pPr>
    </w:p>
    <w:p w:rsidR="00B151E0" w:rsidRDefault="00B151E0" w:rsidP="00B151E0">
      <w:pPr>
        <w:pStyle w:val="Naslov4"/>
      </w:pPr>
      <w:r>
        <w:t>OBRAZLOŽENJE PROGRAMA</w:t>
      </w:r>
    </w:p>
    <w:p w:rsidR="00D849AA" w:rsidRDefault="00EE6D95">
      <w:pPr>
        <w:pStyle w:val="Naslov5"/>
      </w:pPr>
      <w:r>
        <w:t>3906 PROGRAMI AUDIO VIZUALNE DJELATNOSTI I MEDIJA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3906</w:t>
            </w:r>
          </w:p>
        </w:tc>
        <w:tc>
          <w:tcPr>
            <w:tcW w:w="1486" w:type="dxa"/>
          </w:tcPr>
          <w:p w:rsidR="00D849AA" w:rsidRDefault="00EE6D95">
            <w:r>
              <w:t>35.974.648</w:t>
            </w:r>
          </w:p>
        </w:tc>
        <w:tc>
          <w:tcPr>
            <w:tcW w:w="1486" w:type="dxa"/>
          </w:tcPr>
          <w:p w:rsidR="00D849AA" w:rsidRDefault="00EE6D95">
            <w:r>
              <w:t>31.253.178</w:t>
            </w:r>
          </w:p>
        </w:tc>
        <w:tc>
          <w:tcPr>
            <w:tcW w:w="1486" w:type="dxa"/>
          </w:tcPr>
          <w:p w:rsidR="00D849AA" w:rsidRDefault="00EE6D95">
            <w:r>
              <w:t>14.685.738</w:t>
            </w:r>
          </w:p>
        </w:tc>
        <w:tc>
          <w:tcPr>
            <w:tcW w:w="1486" w:type="dxa"/>
          </w:tcPr>
          <w:p w:rsidR="00D849AA" w:rsidRDefault="00EE6D95">
            <w:r>
              <w:t>14.795.436</w:t>
            </w:r>
          </w:p>
        </w:tc>
        <w:tc>
          <w:tcPr>
            <w:tcW w:w="1486" w:type="dxa"/>
          </w:tcPr>
          <w:p w:rsidR="00D849AA" w:rsidRDefault="00EE6D95">
            <w:r>
              <w:t>86,9</w:t>
            </w:r>
          </w:p>
        </w:tc>
      </w:tr>
    </w:tbl>
    <w:p w:rsidR="00D849AA" w:rsidRDefault="00D849AA">
      <w:pPr>
        <w:jc w:val="left"/>
      </w:pPr>
    </w:p>
    <w:p w:rsidR="00D849AA" w:rsidRDefault="00EE6D95">
      <w:pPr>
        <w:pStyle w:val="Naslov6"/>
      </w:pPr>
      <w:r>
        <w:t>Opis programa</w:t>
      </w:r>
    </w:p>
    <w:p w:rsidR="00D849AA" w:rsidRDefault="00EE6D95">
      <w:pPr>
        <w:pStyle w:val="Normal5"/>
      </w:pPr>
      <w:r>
        <w:t>Programi audiovizualne djelatnosti u glavi Ministarstva kulture obuhvaćaju informativne usluge Hrvatske izvještajne novinske agencije (HINA), program potpore izdavačkoj kući Edit,  program poticanja ulaganja u proizvodnju audiovizualnih djela te neprofitne medije.</w:t>
      </w:r>
    </w:p>
    <w:p w:rsidR="00D849AA" w:rsidRDefault="00EE6D95">
      <w:pPr>
        <w:pStyle w:val="Naslov6"/>
      </w:pPr>
      <w:r>
        <w:t>Zakonske i druge pravne osnove</w:t>
      </w:r>
    </w:p>
    <w:p w:rsidR="00D849AA" w:rsidRDefault="00EE6D95">
      <w:pPr>
        <w:pStyle w:val="Normal5"/>
      </w:pPr>
      <w:r>
        <w:t>- Zakon o audiovizualnim djelatnostima (NN 76/07,90/11) - Pravilnik o postupku, kriterijima i rokovima za provedbu Nacionalnog programa promicanja audiovizualnog stvaralaštva, (NN 115/10) - Pravilnik o statusu i financiranju Festivala igranog filma u Puli (NN 129/10) - Pravilnik o poticanju ulaganja u proizvodnju audiovizualnih djela (NN 86/12 i NN 104/12) - Odluka o objavljivanju pravila o državnoj potpori kinematografskoj i ostaloj audiovizualnoj djelatnosti (NN 46/08) - Zakon o ratifikaciji Europske konvencije o filmskoj koprodukciji br. 147 iz 1992., s konačnim prijedlogom zakona (NN-MU 4/04) - Zakon o potvrđivanju Protokola o pristupanju Republike Hrvatske marakeškom ugovoru o osnivanju svjetske trgovinske organizacije (NN-MU 13/00, NN-MU 14/00) - Zakon o potvrđivanju Europske konvencije za zaštitu audiovizualne baštine (NN-MU 5/07) - Uredba o objavi Ugovora o filmskoj koprodukciji između Vlade Republike Hrvatske i Vlade Talijanske Republike (NN-MU 11/07)</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Cilj 1. Razvoj proizvodnje, distribucije, prikazivanja, elektronske difuzije i promocije audiovizualnih djela</w:t>
      </w:r>
    </w:p>
    <w:p w:rsidR="00D849AA" w:rsidRDefault="00EE6D95">
      <w:pPr>
        <w:pStyle w:val="Normal6"/>
      </w:pPr>
      <w:r>
        <w:t xml:space="preserve">Za poboljšanje uvjeta i osiguranje dostatne razine za razvoj proizvodnje, distribucije, prikazivanja, elektronske difuzije i promocije audiovizualnih djela nužno je prije svega dugoročno osigurati stabilne i zakonske prilive Hrvatskog audiovizualnog centra iz svih propisanih, heterogenih izvora. Također, potrebna su i dodatna proračunska sredstva za programe od nacionalnog značaja kao što je to  program digitalizacije nezavisnih kinodvorana, započet, po uzoru na druge zemlje Unije, u kolovozu mjesecu 2011. i za koji su osigurana sredstva u okviru Državnog proračuna za 2013. godinu. Zakonom o izmjenama i dopuni Zakona o audiovizualnim djelatnostima (NN 90/2011) osigurava se povećanje ukupne mase sredstava koja su na raspolaganju Hrvatskom audiovizualnom centru za obavljanje svojih djelatnosti što će dovesti do povećanja razine sufinanciranja po </w:t>
      </w:r>
      <w:r>
        <w:lastRenderedPageBreak/>
        <w:t>pojedinom projektu i samim time do adekvatnog broja realiziranih projekata. Ciljana financijska potpora distribuciji kroz programe Hrvatskog audiovizualnog centra i posebice financijska potpora kinoprikazivaštvu kroz Nacionalni program digitalizacije nezavisnih kinodvorana rezultirat će očuvanjem lokalnih kina koja se danas nalaze u velikim teškoćama. Hrvatskoj su hitno potrebne ove mjere radi  harmonizacije i europeizacije kinorepertoara, te postizanja većeg tržišnog udjela hrvatskih i europskih djela u domaćoj eksploataciji.</w:t>
      </w:r>
    </w:p>
    <w:p w:rsidR="00EE6D95" w:rsidRDefault="00EE6D95">
      <w:pPr>
        <w:pStyle w:val="Naslov8"/>
        <w:jc w:val="left"/>
      </w:pP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Povećanje broja odlazaka u kino godišnje po glavi stanovnika</w:t>
            </w:r>
          </w:p>
        </w:tc>
        <w:tc>
          <w:tcPr>
            <w:tcW w:w="1114" w:type="dxa"/>
          </w:tcPr>
          <w:p w:rsidR="00D849AA" w:rsidRDefault="00EE6D95">
            <w:r>
              <w:t>Broj</w:t>
            </w:r>
          </w:p>
        </w:tc>
        <w:tc>
          <w:tcPr>
            <w:tcW w:w="1114" w:type="dxa"/>
          </w:tcPr>
          <w:p w:rsidR="00D849AA" w:rsidRDefault="00EE6D95">
            <w:r>
              <w:t>0,9</w:t>
            </w:r>
          </w:p>
        </w:tc>
        <w:tc>
          <w:tcPr>
            <w:tcW w:w="1486" w:type="dxa"/>
          </w:tcPr>
          <w:p w:rsidR="00D849AA" w:rsidRDefault="00EE6D95">
            <w:r>
              <w:t>1,0</w:t>
            </w:r>
          </w:p>
        </w:tc>
        <w:tc>
          <w:tcPr>
            <w:tcW w:w="1486" w:type="dxa"/>
          </w:tcPr>
          <w:p w:rsidR="00D849AA" w:rsidRDefault="00EE6D95">
            <w:r>
              <w:t>1,1</w:t>
            </w:r>
          </w:p>
        </w:tc>
        <w:tc>
          <w:tcPr>
            <w:tcW w:w="1486" w:type="dxa"/>
          </w:tcPr>
          <w:p w:rsidR="00D849AA" w:rsidRDefault="00EE6D95">
            <w:r>
              <w:t>1,2</w:t>
            </w:r>
          </w:p>
        </w:tc>
      </w:tr>
    </w:tbl>
    <w:p w:rsidR="00D849AA" w:rsidRDefault="00D849AA">
      <w:pPr>
        <w:jc w:val="left"/>
      </w:pPr>
    </w:p>
    <w:p w:rsidR="00D849AA" w:rsidRDefault="00EE6D95">
      <w:pPr>
        <w:pStyle w:val="Naslov7"/>
      </w:pPr>
      <w:r>
        <w:t>Cilj 2. Poticanje svestranih komplementarnih audiovizualnih djelantosti</w:t>
      </w:r>
    </w:p>
    <w:p w:rsidR="00D849AA" w:rsidRDefault="00EE6D95">
      <w:pPr>
        <w:pStyle w:val="Normal6"/>
      </w:pPr>
      <w:r>
        <w:t>Nužno je poticati širenje filmske i općenito audiovizualne kulture te specifičnih znanja vezanih uz audiovizualno stvaralaštvo kroz izdavaštvo, filmske festivale, i neprofesijsko stvaralaštvo, kao i poticati raznolike oblike edukacije – kako one namijenjene profesionalcima tako i one namijenjene mladim naraštajima i širokoj publici.</w:t>
      </w:r>
    </w:p>
    <w:p w:rsidR="00D849AA" w:rsidRDefault="00EE6D95">
      <w:pPr>
        <w:pStyle w:val="Naslov7"/>
      </w:pPr>
      <w:r>
        <w:t>Cilj 3. Očuvanje audiovizualne baštine unapređenje dostupnosti audiovizualnog nasljeđa</w:t>
      </w:r>
    </w:p>
    <w:p w:rsidR="00D849AA" w:rsidRDefault="00EE6D95">
      <w:pPr>
        <w:pStyle w:val="Normal6"/>
      </w:pPr>
      <w:r>
        <w:t>Za očuvanje audiovizualne baštine i unapređenje javne dostupnosti kulturno vrijednog domaćeg i svjetskog audiovizualnog nasljeđa potrebno je dovršiti nacionalni projekt Hrvatske kinoteke rješavanjem njenog neadekvatnog rezidentnog statusa u sklopu Hrvatskog državnog arhiva i osigurati dodatna sredstva nužno potrebna za očuvanje i obnovu domicilne građe i nabavu adekvatnog kataloga svjetske klasike.</w:t>
      </w:r>
    </w:p>
    <w:p w:rsidR="00D849AA" w:rsidRDefault="00EE6D95">
      <w:pPr>
        <w:pStyle w:val="Naslov7"/>
      </w:pPr>
      <w:r>
        <w:t>Cilj 4. Poticanje domaćih i inozemnih ulaganja u audiovizualni sektor</w:t>
      </w:r>
    </w:p>
    <w:p w:rsidR="00D849AA" w:rsidRDefault="00EE6D95">
      <w:pPr>
        <w:pStyle w:val="Normal6"/>
      </w:pPr>
      <w:r>
        <w:t>Usvajanjem Zakona o izmjenama i dopuni Zakona o audiovizualnim djelatnostima (NN 90/2011) stvorena je zakonska osnova za uvođenje sveoubuhvatnog paketa regulativnih, fiskalnih i promižbenih mjera nužnih za pozicioniranje Hrvatske kao destinacije za snimanje i oživljavanje te nekoć od vodećih izvoznih grana na dobrobit audivoizualnog sektora i domaćeg gospodarstva u cjelini. Taj cjelovit sustav mjera i poticaja namijenjen je domaćim i stranim ekipama koji svoje projekte realiziraju u Republici Hrvatskoj koristeći ovdašnje lokacije te tehničke i kreativne usluge domaće audiovizualne industrije. Uz izravne prihode audiovizualnog sektora,  ove mjere omogućuju izravne prihode drugim dijelovima privrede (transport, turizam, trgovina) te neizravne učinke vezane uz globalnu promociju Hrvatske kao turističke destinacije odnosno nove članice Europske unije. Prema članku 9. navedenog Zakona „financijski poticaj“ (za „ulaganja u proizvodnju audiovizualnih djela“) „izvršit će Ministarstvo kulture na teret državnog proračuna u okviru osiguranih sredstava namijenjenih za mjere poticaja.“</w:t>
      </w:r>
    </w:p>
    <w:p w:rsidR="00D849AA" w:rsidRDefault="00EE6D95">
      <w:pPr>
        <w:pStyle w:val="Naslov5"/>
      </w:pPr>
      <w:r>
        <w:lastRenderedPageBreak/>
        <w:t>Procjena i ishodište potrebnih sredstava za značajnije aktivnosti/projekte</w:t>
      </w:r>
    </w:p>
    <w:p w:rsidR="00D849AA" w:rsidRDefault="00EE6D95">
      <w:pPr>
        <w:pStyle w:val="Naslov6"/>
      </w:pPr>
      <w:r>
        <w:t>A565012 INFORMATIVNE USLUGE HINA-i</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A565012</w:t>
            </w:r>
          </w:p>
        </w:tc>
        <w:tc>
          <w:tcPr>
            <w:tcW w:w="1486" w:type="dxa"/>
          </w:tcPr>
          <w:p w:rsidR="00D849AA" w:rsidRDefault="00EE6D95">
            <w:r>
              <w:t>21.679.720</w:t>
            </w:r>
          </w:p>
        </w:tc>
        <w:tc>
          <w:tcPr>
            <w:tcW w:w="1486" w:type="dxa"/>
          </w:tcPr>
          <w:p w:rsidR="00D849AA" w:rsidRDefault="00EE6D95">
            <w:r>
              <w:t>16.679.720</w:t>
            </w:r>
          </w:p>
        </w:tc>
        <w:tc>
          <w:tcPr>
            <w:tcW w:w="1486" w:type="dxa"/>
          </w:tcPr>
          <w:p w:rsidR="00D849AA" w:rsidRDefault="00EE6D95">
            <w:r>
              <w:t>00</w:t>
            </w:r>
          </w:p>
        </w:tc>
        <w:tc>
          <w:tcPr>
            <w:tcW w:w="1486" w:type="dxa"/>
          </w:tcPr>
          <w:p w:rsidR="00D849AA" w:rsidRDefault="00EE6D95">
            <w:r>
              <w:t>00</w:t>
            </w:r>
          </w:p>
        </w:tc>
        <w:tc>
          <w:tcPr>
            <w:tcW w:w="1486" w:type="dxa"/>
          </w:tcPr>
          <w:p w:rsidR="00D849AA" w:rsidRDefault="00EE6D95">
            <w:r>
              <w:t>76,9</w:t>
            </w:r>
          </w:p>
        </w:tc>
      </w:tr>
    </w:tbl>
    <w:p w:rsidR="00D849AA" w:rsidRDefault="00D849AA">
      <w:pPr>
        <w:jc w:val="left"/>
      </w:pPr>
    </w:p>
    <w:p w:rsidR="00D849AA" w:rsidRDefault="00EE6D95">
      <w:pPr>
        <w:pStyle w:val="Normal6"/>
      </w:pPr>
      <w:r>
        <w:t>Zadaća HINA-e je prikupljanje i razašiljanje što potpunijih činjeničnih i objektivnih novinsko- agencijskih informacija o zbivanjima u Republici Hrvatskoj i svijetu za potrebe medija i drugih sudionika društvenoga, političkoga, kulturnog i gospodarskog života. Zakonom o Hrvatskoj izvještajnoj novinskoj agenciji "HINA" određuje se opseg i djelovanje te agencije.</w:t>
      </w:r>
    </w:p>
    <w:p w:rsidR="00D849AA" w:rsidRDefault="00EE6D95">
      <w:pPr>
        <w:pStyle w:val="Naslov6"/>
      </w:pPr>
      <w:r>
        <w:t>A729024 POTPORA IZDAVAČKOJ KUĆI EDIT</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A729024</w:t>
            </w:r>
          </w:p>
        </w:tc>
        <w:tc>
          <w:tcPr>
            <w:tcW w:w="1486" w:type="dxa"/>
          </w:tcPr>
          <w:p w:rsidR="00D849AA" w:rsidRDefault="00EE6D95">
            <w:r>
              <w:t>1.300.000</w:t>
            </w:r>
          </w:p>
        </w:tc>
        <w:tc>
          <w:tcPr>
            <w:tcW w:w="1486" w:type="dxa"/>
          </w:tcPr>
          <w:p w:rsidR="00D849AA" w:rsidRDefault="00EE6D95">
            <w:r>
              <w:t>1.300.000</w:t>
            </w:r>
          </w:p>
        </w:tc>
        <w:tc>
          <w:tcPr>
            <w:tcW w:w="1486" w:type="dxa"/>
          </w:tcPr>
          <w:p w:rsidR="00D849AA" w:rsidRDefault="00EE6D95">
            <w:r>
              <w:t>1.300.000</w:t>
            </w:r>
          </w:p>
        </w:tc>
        <w:tc>
          <w:tcPr>
            <w:tcW w:w="1486" w:type="dxa"/>
          </w:tcPr>
          <w:p w:rsidR="00D849AA" w:rsidRDefault="00EE6D95">
            <w:r>
              <w:t>1.300.000</w:t>
            </w:r>
          </w:p>
        </w:tc>
        <w:tc>
          <w:tcPr>
            <w:tcW w:w="1486" w:type="dxa"/>
          </w:tcPr>
          <w:p w:rsidR="00D849AA" w:rsidRDefault="00EE6D95">
            <w:r>
              <w:t>100,0</w:t>
            </w:r>
          </w:p>
        </w:tc>
      </w:tr>
    </w:tbl>
    <w:p w:rsidR="00D849AA" w:rsidRDefault="00D849AA">
      <w:pPr>
        <w:jc w:val="left"/>
      </w:pPr>
    </w:p>
    <w:p w:rsidR="00D849AA" w:rsidRDefault="00EE6D95">
      <w:pPr>
        <w:pStyle w:val="Normal6"/>
      </w:pPr>
      <w:r>
        <w:t>Novinsko-izdavačka ustanova – “EDIT” iz Rijeke je izdavačka kuća pripadnika talijanske manjine koji žive u Hrvatskoj i Sloveniji, a izdaje sljedeće tiskovine: - “LA VOCE DEL POPOLO” - dnevni list koji izlazi od 1945. godine i jedan je od šest dnevnih listova na talijanskom jeziku koji se tiska i distribuira van granica Italije. Svaki dan izlazi s novim informacijama na talijanskom jeziku; - “PANORAMA” - dvotjednik koji izlazi od 1952. godine i obrađuje široku lepezu tema vezanih, osim za manjinu, za sva društveno relevantna zbivanja; - “ARCOBALENO” - mjesečnik za djecu koji izlazi od 1949. godine i edukativnog je karaktera; - “LA BATTANA” - književna revija, izlazi od 1964. godine.</w:t>
      </w:r>
    </w:p>
    <w:p w:rsidR="00D849AA" w:rsidRDefault="00EE6D95">
      <w:pPr>
        <w:pStyle w:val="Naslov6"/>
      </w:pPr>
      <w:r>
        <w:t>A781007 PROGRAM POTICANJA ULAGANJA U PROIZVODNJU AUDIOVIZUALNIH DJELA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A781007</w:t>
            </w:r>
          </w:p>
        </w:tc>
        <w:tc>
          <w:tcPr>
            <w:tcW w:w="1486" w:type="dxa"/>
          </w:tcPr>
          <w:p w:rsidR="00D849AA" w:rsidRDefault="00EE6D95">
            <w:r>
              <w:t>10.000.000</w:t>
            </w:r>
          </w:p>
        </w:tc>
        <w:tc>
          <w:tcPr>
            <w:tcW w:w="1486" w:type="dxa"/>
          </w:tcPr>
          <w:p w:rsidR="00D849AA" w:rsidRDefault="00EE6D95">
            <w:r>
              <w:t>10.000.000</w:t>
            </w:r>
          </w:p>
        </w:tc>
        <w:tc>
          <w:tcPr>
            <w:tcW w:w="1486" w:type="dxa"/>
          </w:tcPr>
          <w:p w:rsidR="00D849AA" w:rsidRDefault="00EE6D95">
            <w:r>
              <w:t>10.000.000</w:t>
            </w:r>
          </w:p>
        </w:tc>
        <w:tc>
          <w:tcPr>
            <w:tcW w:w="1486" w:type="dxa"/>
          </w:tcPr>
          <w:p w:rsidR="00D849AA" w:rsidRDefault="00EE6D95">
            <w:r>
              <w:t>10.000.000</w:t>
            </w:r>
          </w:p>
        </w:tc>
        <w:tc>
          <w:tcPr>
            <w:tcW w:w="1486" w:type="dxa"/>
          </w:tcPr>
          <w:p w:rsidR="00D849AA" w:rsidRDefault="00EE6D95">
            <w:r>
              <w:t>100,0</w:t>
            </w:r>
          </w:p>
        </w:tc>
      </w:tr>
    </w:tbl>
    <w:p w:rsidR="00D849AA" w:rsidRDefault="00D849AA">
      <w:pPr>
        <w:jc w:val="left"/>
      </w:pPr>
    </w:p>
    <w:p w:rsidR="00D849AA" w:rsidRDefault="00EE6D95">
      <w:pPr>
        <w:pStyle w:val="Normal6"/>
      </w:pPr>
      <w:r>
        <w:t>Cilj ove aktivnosti jest rast prihoda u audiovizualnom (direktno) i ostalim gospodarskim sektorima (neposredno) kroz stvaranje povoljnijih uvjeta stranim i domaćim producentima koji odluče snimati u RH.</w:t>
      </w:r>
    </w:p>
    <w:p w:rsidR="00D849AA" w:rsidRDefault="00EE6D95">
      <w:pPr>
        <w:pStyle w:val="Naslov6"/>
      </w:pPr>
      <w:r>
        <w:t>A781008 NEPROFITNI MEDIJI</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A781008</w:t>
            </w:r>
          </w:p>
        </w:tc>
        <w:tc>
          <w:tcPr>
            <w:tcW w:w="1486" w:type="dxa"/>
          </w:tcPr>
          <w:p w:rsidR="00D849AA" w:rsidRDefault="00EE6D95">
            <w:r>
              <w:t>2.994.928</w:t>
            </w:r>
          </w:p>
        </w:tc>
        <w:tc>
          <w:tcPr>
            <w:tcW w:w="1486" w:type="dxa"/>
          </w:tcPr>
          <w:p w:rsidR="00D849AA" w:rsidRDefault="00EE6D95">
            <w:r>
              <w:t>3.273.458</w:t>
            </w:r>
          </w:p>
        </w:tc>
        <w:tc>
          <w:tcPr>
            <w:tcW w:w="1486" w:type="dxa"/>
          </w:tcPr>
          <w:p w:rsidR="00D849AA" w:rsidRDefault="00EE6D95">
            <w:r>
              <w:t>3.385.738</w:t>
            </w:r>
          </w:p>
        </w:tc>
        <w:tc>
          <w:tcPr>
            <w:tcW w:w="1486" w:type="dxa"/>
          </w:tcPr>
          <w:p w:rsidR="00D849AA" w:rsidRDefault="00EE6D95">
            <w:r>
              <w:t>3.495.436</w:t>
            </w:r>
          </w:p>
        </w:tc>
        <w:tc>
          <w:tcPr>
            <w:tcW w:w="1486" w:type="dxa"/>
          </w:tcPr>
          <w:p w:rsidR="00D849AA" w:rsidRDefault="00EE6D95">
            <w:r>
              <w:t>109,3</w:t>
            </w:r>
          </w:p>
        </w:tc>
      </w:tr>
    </w:tbl>
    <w:p w:rsidR="00D849AA" w:rsidRDefault="00D849AA">
      <w:pPr>
        <w:jc w:val="left"/>
      </w:pPr>
    </w:p>
    <w:p w:rsidR="00D849AA" w:rsidRDefault="00EE6D95">
      <w:pPr>
        <w:pStyle w:val="Normal6"/>
      </w:pPr>
      <w:r>
        <w:lastRenderedPageBreak/>
        <w:t>Cilj ove aktivnosti je omogućiti specijaliziranim organizacijama civilnog društva organizacijsku i stručnu podršku za daljnje unapređenje neprofitnih medija radi širenja prostora javnosti, kulture dijaloga te pravovremenog i istinitog informiranja građana i građanki o temama važnim za razvoj civilnog društva u RH.</w:t>
      </w:r>
    </w:p>
    <w:p w:rsidR="00EE6D95" w:rsidRDefault="00EE6D95">
      <w:pPr>
        <w:pStyle w:val="Naslov8"/>
        <w:jc w:val="left"/>
      </w:pPr>
    </w:p>
    <w:p w:rsidR="00EE6D95" w:rsidRDefault="00EE6D95">
      <w:pPr>
        <w:pStyle w:val="Naslov8"/>
        <w:jc w:val="left"/>
      </w:pP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Profesionalizacija postojećih neprofitnih medija i stavaranje novih</w:t>
            </w:r>
          </w:p>
        </w:tc>
        <w:tc>
          <w:tcPr>
            <w:tcW w:w="1114" w:type="dxa"/>
          </w:tcPr>
          <w:p w:rsidR="00D849AA" w:rsidRDefault="00EE6D95">
            <w:r>
              <w:t>Broj</w:t>
            </w:r>
          </w:p>
        </w:tc>
        <w:tc>
          <w:tcPr>
            <w:tcW w:w="1114" w:type="dxa"/>
          </w:tcPr>
          <w:p w:rsidR="00D849AA" w:rsidRDefault="00EE6D95">
            <w:r>
              <w:t>14</w:t>
            </w:r>
          </w:p>
        </w:tc>
        <w:tc>
          <w:tcPr>
            <w:tcW w:w="1486" w:type="dxa"/>
          </w:tcPr>
          <w:p w:rsidR="00D849AA" w:rsidRDefault="00EE6D95">
            <w:r>
              <w:t>14</w:t>
            </w:r>
          </w:p>
        </w:tc>
        <w:tc>
          <w:tcPr>
            <w:tcW w:w="1486" w:type="dxa"/>
          </w:tcPr>
          <w:p w:rsidR="00D849AA" w:rsidRDefault="00EE6D95">
            <w:r>
              <w:t>14</w:t>
            </w:r>
          </w:p>
        </w:tc>
        <w:tc>
          <w:tcPr>
            <w:tcW w:w="1486" w:type="dxa"/>
          </w:tcPr>
          <w:p w:rsidR="00D849AA" w:rsidRDefault="00EE6D95">
            <w:r>
              <w:t>14</w:t>
            </w:r>
          </w:p>
        </w:tc>
      </w:tr>
      <w:tr w:rsidR="00D849AA">
        <w:trPr>
          <w:jc w:val="center"/>
        </w:trPr>
        <w:tc>
          <w:tcPr>
            <w:tcW w:w="2229" w:type="dxa"/>
          </w:tcPr>
          <w:p w:rsidR="00D849AA" w:rsidRDefault="00EE6D95">
            <w:pPr>
              <w:pStyle w:val="CellColumn"/>
            </w:pPr>
            <w:r>
              <w:t>Proširenje tema, redakcija, publika i dosega neprofitnih medija</w:t>
            </w:r>
          </w:p>
        </w:tc>
        <w:tc>
          <w:tcPr>
            <w:tcW w:w="1114" w:type="dxa"/>
          </w:tcPr>
          <w:p w:rsidR="00D849AA" w:rsidRDefault="00EE6D95">
            <w:r>
              <w:t>Broj</w:t>
            </w:r>
          </w:p>
        </w:tc>
        <w:tc>
          <w:tcPr>
            <w:tcW w:w="1114" w:type="dxa"/>
          </w:tcPr>
          <w:p w:rsidR="00D849AA" w:rsidRDefault="00EE6D95">
            <w:r>
              <w:t>14</w:t>
            </w:r>
          </w:p>
        </w:tc>
        <w:tc>
          <w:tcPr>
            <w:tcW w:w="1486" w:type="dxa"/>
          </w:tcPr>
          <w:p w:rsidR="00D849AA" w:rsidRDefault="00EE6D95">
            <w:r>
              <w:t>14</w:t>
            </w:r>
          </w:p>
        </w:tc>
        <w:tc>
          <w:tcPr>
            <w:tcW w:w="1486" w:type="dxa"/>
          </w:tcPr>
          <w:p w:rsidR="00D849AA" w:rsidRDefault="00EE6D95">
            <w:r>
              <w:t>14</w:t>
            </w:r>
          </w:p>
        </w:tc>
        <w:tc>
          <w:tcPr>
            <w:tcW w:w="1486" w:type="dxa"/>
          </w:tcPr>
          <w:p w:rsidR="00D849AA" w:rsidRDefault="00EE6D95">
            <w:r>
              <w:t>16</w:t>
            </w:r>
          </w:p>
        </w:tc>
      </w:tr>
    </w:tbl>
    <w:p w:rsidR="00B151E0" w:rsidRDefault="00B151E0" w:rsidP="00B151E0">
      <w:pPr>
        <w:jc w:val="left"/>
      </w:pPr>
    </w:p>
    <w:p w:rsidR="00B151E0" w:rsidRDefault="00B151E0" w:rsidP="00B151E0">
      <w:pPr>
        <w:pStyle w:val="Naslov4"/>
      </w:pPr>
      <w:r>
        <w:t>OBRAZLOŽENJE PROGRAMA</w:t>
      </w:r>
    </w:p>
    <w:p w:rsidR="00D849AA" w:rsidRDefault="00EE6D95">
      <w:pPr>
        <w:pStyle w:val="Naslov5"/>
      </w:pPr>
      <w:r>
        <w:t>3907 OSTALE DJELATNOSTI KULTURE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3907</w:t>
            </w:r>
          </w:p>
        </w:tc>
        <w:tc>
          <w:tcPr>
            <w:tcW w:w="1486" w:type="dxa"/>
          </w:tcPr>
          <w:p w:rsidR="00D849AA" w:rsidRDefault="00EE6D95">
            <w:r>
              <w:t>116.098.361</w:t>
            </w:r>
          </w:p>
        </w:tc>
        <w:tc>
          <w:tcPr>
            <w:tcW w:w="1486" w:type="dxa"/>
          </w:tcPr>
          <w:p w:rsidR="00D849AA" w:rsidRDefault="00EE6D95">
            <w:r>
              <w:t>133.831.799</w:t>
            </w:r>
          </w:p>
        </w:tc>
        <w:tc>
          <w:tcPr>
            <w:tcW w:w="1486" w:type="dxa"/>
          </w:tcPr>
          <w:p w:rsidR="00D849AA" w:rsidRDefault="00EE6D95">
            <w:r>
              <w:t>134.659.839</w:t>
            </w:r>
          </w:p>
        </w:tc>
        <w:tc>
          <w:tcPr>
            <w:tcW w:w="1486" w:type="dxa"/>
          </w:tcPr>
          <w:p w:rsidR="00D849AA" w:rsidRDefault="00EE6D95">
            <w:r>
              <w:t>131.602.218</w:t>
            </w:r>
          </w:p>
        </w:tc>
        <w:tc>
          <w:tcPr>
            <w:tcW w:w="1486" w:type="dxa"/>
          </w:tcPr>
          <w:p w:rsidR="00D849AA" w:rsidRDefault="00EE6D95">
            <w:r>
              <w:t>115,3</w:t>
            </w:r>
          </w:p>
        </w:tc>
      </w:tr>
    </w:tbl>
    <w:p w:rsidR="00D849AA" w:rsidRDefault="00D849AA">
      <w:pPr>
        <w:jc w:val="left"/>
      </w:pPr>
    </w:p>
    <w:p w:rsidR="00D849AA" w:rsidRDefault="00EE6D95">
      <w:pPr>
        <w:pStyle w:val="Naslov6"/>
      </w:pPr>
      <w:r>
        <w:t>Opis programa</w:t>
      </w:r>
    </w:p>
    <w:p w:rsidR="00D849AA" w:rsidRDefault="00EE6D95">
      <w:pPr>
        <w:pStyle w:val="Normal5"/>
      </w:pPr>
      <w:r>
        <w:t>Ovaj program usmjeren je na unaprjeđenje razvoja svih segmenata suvremenog kulturnog i umjetničkog stvaralaštva (u riječi, slici, glazbi, plesu, kazalištu, filmu i drugim umjetničkim izričajima) u cjelini kulturnog ciklusa, kulturnog djelovanja i kulturnog života. Program obuhvaća potprograme:</w:t>
      </w:r>
    </w:p>
    <w:p w:rsidR="00D849AA" w:rsidRDefault="00EE6D95">
      <w:pPr>
        <w:pStyle w:val="Naslov6"/>
      </w:pPr>
      <w:r>
        <w:t>Zakonske i druge pravne osnove</w:t>
      </w:r>
    </w:p>
    <w:p w:rsidR="00D849AA" w:rsidRDefault="00EE6D95">
      <w:pPr>
        <w:pStyle w:val="Normal5"/>
      </w:pPr>
      <w:r>
        <w:t xml:space="preserve">- Zakon o financiranju javnih potreba u kulturi (NN 47/90 ,NN 27/93, NN 38/09) - Zakon o kulturnim vijećima, 2004. (NN 48/04, NN 44/09) - Pravilnik o izboru i utvrđivanju programa javnih potreba u kulturi (NN 137/08, NN 57/09, 62/09) - Zakon o potvrđivanju Memoranduma o razumijevanju između Europske zajednice i Republike Hrvatske o sudjelovanju Republike Hrvatske u programu Kultura (od 2007. do 2013.) (NN-MU 7/07) - Pravilnik o kriterijima za sufinanciranje projekata odobrenih u okviru programa za kulturu Europske unije Kultura 2007.-2013. (NN 120/07) - Zakon o pravima samostalnih umjetnika i poticanju kulturnog i umjetničkog stvaralaštva (NN 43/96, NN 44/96 - Ispravak) - Pravilnik o postupku i uvjetima za priznavanje prava samostalnih umjetnika na uplatu doprinosa za mirovinsko i invalidsko te </w:t>
      </w:r>
      <w:r>
        <w:lastRenderedPageBreak/>
        <w:t>zdravstveno osiguranje iz sredstava proračuna Republike Hrvatske (NN 119/04) - Zakon o 'Nagradi Vladimir Nazor' (NN 27/91)</w:t>
      </w:r>
    </w:p>
    <w:p w:rsidR="00D849AA" w:rsidRDefault="00EE6D95">
      <w:pPr>
        <w:pStyle w:val="Naslov5"/>
      </w:pPr>
      <w:r>
        <w:t>Procjena i ishodište potrebnih sredstava za značajnije aktivnosti/projekte</w:t>
      </w:r>
    </w:p>
    <w:p w:rsidR="00D849AA" w:rsidRDefault="00EE6D95">
      <w:pPr>
        <w:pStyle w:val="Naslov6"/>
      </w:pPr>
      <w:r>
        <w:t>A564015 HRVATSKO POVJERENSTVO ZA UNESCO</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A564015</w:t>
            </w:r>
          </w:p>
        </w:tc>
        <w:tc>
          <w:tcPr>
            <w:tcW w:w="1486" w:type="dxa"/>
          </w:tcPr>
          <w:p w:rsidR="00D849AA" w:rsidRDefault="00EE6D95">
            <w:r>
              <w:t>700.000</w:t>
            </w:r>
          </w:p>
        </w:tc>
        <w:tc>
          <w:tcPr>
            <w:tcW w:w="1486" w:type="dxa"/>
          </w:tcPr>
          <w:p w:rsidR="00D849AA" w:rsidRDefault="00EE6D95">
            <w:r>
              <w:t>700.000</w:t>
            </w:r>
          </w:p>
        </w:tc>
        <w:tc>
          <w:tcPr>
            <w:tcW w:w="1486" w:type="dxa"/>
          </w:tcPr>
          <w:p w:rsidR="00D849AA" w:rsidRDefault="00EE6D95">
            <w:r>
              <w:t>700.000</w:t>
            </w:r>
          </w:p>
        </w:tc>
        <w:tc>
          <w:tcPr>
            <w:tcW w:w="1486" w:type="dxa"/>
          </w:tcPr>
          <w:p w:rsidR="00D849AA" w:rsidRDefault="00EE6D95">
            <w:r>
              <w:t>700.000</w:t>
            </w:r>
          </w:p>
        </w:tc>
        <w:tc>
          <w:tcPr>
            <w:tcW w:w="1486" w:type="dxa"/>
          </w:tcPr>
          <w:p w:rsidR="00D849AA" w:rsidRDefault="00EE6D95">
            <w:r>
              <w:t>100,0</w:t>
            </w:r>
          </w:p>
        </w:tc>
      </w:tr>
    </w:tbl>
    <w:p w:rsidR="00D849AA" w:rsidRDefault="00D849AA">
      <w:pPr>
        <w:jc w:val="left"/>
      </w:pPr>
    </w:p>
    <w:p w:rsidR="00D849AA" w:rsidRDefault="00EE6D95">
      <w:pPr>
        <w:pStyle w:val="Normal6"/>
      </w:pPr>
      <w:r>
        <w:t>Hrvatsko povjerenstvo za UNESCO u koordinaciji s ministarstvima, vladinim i nevladinim organizacijama sudjelovat će u normativnom radu UNESCO-a, podupirat će dugoročne inicijative i projekte od nacionalne, regionalne i međunarodne važnosti, dijagnosticirat će područja unutar kojih u Hrvatskoj postoje vrhunska znanja koja se mogu formalizirati u okviru posebnih inicijativa i projekata putem UNESCO-a. Promicat će se programsko područje kulture poticanjem suvremenog umjetničkog stvaralaštva, pitanja vezanih uz kulturne politike, razvoj kulturnih industrija i mreža za prikupljanje informacija na području kulture i kulturnog upravljanja, kulturni razvoj i pluralizam, kulturnu raznolikost, međukulturalni dijalog, autorska prava i status umjetnika.</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216"/>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Povećanje broja hrvatskih dobara na UNESCO-vim popisima i kandidatura u programskim i radnim tijelima</w:t>
            </w:r>
          </w:p>
        </w:tc>
        <w:tc>
          <w:tcPr>
            <w:tcW w:w="1114" w:type="dxa"/>
          </w:tcPr>
          <w:p w:rsidR="00D849AA" w:rsidRDefault="00EE6D95">
            <w:r>
              <w:t>Broj dobara/tijela</w:t>
            </w:r>
          </w:p>
        </w:tc>
        <w:tc>
          <w:tcPr>
            <w:tcW w:w="1114" w:type="dxa"/>
          </w:tcPr>
          <w:p w:rsidR="00D849AA" w:rsidRDefault="00EE6D95">
            <w:r>
              <w:t>7/13</w:t>
            </w:r>
          </w:p>
        </w:tc>
        <w:tc>
          <w:tcPr>
            <w:tcW w:w="1486" w:type="dxa"/>
          </w:tcPr>
          <w:p w:rsidR="00D849AA" w:rsidRDefault="00EE6D95">
            <w:r>
              <w:t>8/15</w:t>
            </w:r>
          </w:p>
        </w:tc>
        <w:tc>
          <w:tcPr>
            <w:tcW w:w="1486" w:type="dxa"/>
          </w:tcPr>
          <w:p w:rsidR="00D849AA" w:rsidRDefault="00EE6D95">
            <w:r>
              <w:t>8/17</w:t>
            </w:r>
          </w:p>
        </w:tc>
        <w:tc>
          <w:tcPr>
            <w:tcW w:w="1486" w:type="dxa"/>
          </w:tcPr>
          <w:p w:rsidR="00D849AA" w:rsidRDefault="00EE6D95">
            <w:r>
              <w:t>9/19</w:t>
            </w:r>
          </w:p>
        </w:tc>
      </w:tr>
    </w:tbl>
    <w:p w:rsidR="00D849AA" w:rsidRDefault="00D849AA">
      <w:pPr>
        <w:jc w:val="left"/>
      </w:pPr>
    </w:p>
    <w:p w:rsidR="00D849AA" w:rsidRDefault="00EE6D95">
      <w:pPr>
        <w:pStyle w:val="Naslov6"/>
      </w:pPr>
      <w:r>
        <w:t>A565003 OSNOVNA DJELATNOST UDRUGA U KULTURI</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A565003</w:t>
            </w:r>
          </w:p>
        </w:tc>
        <w:tc>
          <w:tcPr>
            <w:tcW w:w="1486" w:type="dxa"/>
          </w:tcPr>
          <w:p w:rsidR="00D849AA" w:rsidRDefault="00EE6D95">
            <w:r>
              <w:t>6.000.000</w:t>
            </w:r>
          </w:p>
        </w:tc>
        <w:tc>
          <w:tcPr>
            <w:tcW w:w="1486" w:type="dxa"/>
          </w:tcPr>
          <w:p w:rsidR="00D849AA" w:rsidRDefault="00EE6D95">
            <w:r>
              <w:t>6.000.000</w:t>
            </w:r>
          </w:p>
        </w:tc>
        <w:tc>
          <w:tcPr>
            <w:tcW w:w="1486" w:type="dxa"/>
          </w:tcPr>
          <w:p w:rsidR="00D849AA" w:rsidRDefault="00EE6D95">
            <w:r>
              <w:t>6.000.000</w:t>
            </w:r>
          </w:p>
        </w:tc>
        <w:tc>
          <w:tcPr>
            <w:tcW w:w="1486" w:type="dxa"/>
          </w:tcPr>
          <w:p w:rsidR="00D849AA" w:rsidRDefault="00EE6D95">
            <w:r>
              <w:t>6.000.000</w:t>
            </w:r>
          </w:p>
        </w:tc>
        <w:tc>
          <w:tcPr>
            <w:tcW w:w="1486" w:type="dxa"/>
          </w:tcPr>
          <w:p w:rsidR="00D849AA" w:rsidRDefault="00EE6D95">
            <w:r>
              <w:t>100,0</w:t>
            </w:r>
          </w:p>
        </w:tc>
      </w:tr>
    </w:tbl>
    <w:p w:rsidR="00D849AA" w:rsidRDefault="00D849AA">
      <w:pPr>
        <w:jc w:val="left"/>
      </w:pPr>
    </w:p>
    <w:p w:rsidR="00D849AA" w:rsidRDefault="00EE6D95">
      <w:pPr>
        <w:pStyle w:val="Normal6"/>
      </w:pPr>
      <w:r>
        <w:t>Ova aktivnost obuhvaća institucionalnu potporu djelatnosti tridesetak strukovnih udruga u kulturi i umjetnosti. Neke od njih su: Hrvatska zajednica samostalnih umjetnika, Hrvatsko društvo pisaca, Društvo hrvatskih književnika, Hrvatsko muzejsko društvo, Hrvatsko arhivističko društvo, Hrvatsko društvo dramskih umjetnika, Hrvatsko društvo glazbenih umjetnika, itd. U 2014. godini planirana sredstva su na razini 2013. godine.</w:t>
      </w:r>
    </w:p>
    <w:p w:rsidR="00B151E0" w:rsidRDefault="00B151E0">
      <w:pPr>
        <w:pStyle w:val="Normal6"/>
      </w:pPr>
    </w:p>
    <w:p w:rsidR="00D849AA" w:rsidRDefault="00EE6D95">
      <w:pPr>
        <w:pStyle w:val="Naslov6"/>
      </w:pPr>
      <w:r>
        <w:lastRenderedPageBreak/>
        <w:t>A565011 NAGRADE ZA POSTIGNUĆA U KULTURI</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A565011</w:t>
            </w:r>
          </w:p>
        </w:tc>
        <w:tc>
          <w:tcPr>
            <w:tcW w:w="1486" w:type="dxa"/>
          </w:tcPr>
          <w:p w:rsidR="00D849AA" w:rsidRDefault="00EE6D95">
            <w:r>
              <w:t>1.600.000</w:t>
            </w:r>
          </w:p>
        </w:tc>
        <w:tc>
          <w:tcPr>
            <w:tcW w:w="1486" w:type="dxa"/>
          </w:tcPr>
          <w:p w:rsidR="00D849AA" w:rsidRDefault="00EE6D95">
            <w:r>
              <w:t>1.600.000</w:t>
            </w:r>
          </w:p>
        </w:tc>
        <w:tc>
          <w:tcPr>
            <w:tcW w:w="1486" w:type="dxa"/>
          </w:tcPr>
          <w:p w:rsidR="00D849AA" w:rsidRDefault="00EE6D95">
            <w:r>
              <w:t>1.600.000</w:t>
            </w:r>
          </w:p>
        </w:tc>
        <w:tc>
          <w:tcPr>
            <w:tcW w:w="1486" w:type="dxa"/>
          </w:tcPr>
          <w:p w:rsidR="00D849AA" w:rsidRDefault="00EE6D95">
            <w:r>
              <w:t>1.600.000</w:t>
            </w:r>
          </w:p>
        </w:tc>
        <w:tc>
          <w:tcPr>
            <w:tcW w:w="1486" w:type="dxa"/>
          </w:tcPr>
          <w:p w:rsidR="00D849AA" w:rsidRDefault="00EE6D95">
            <w:r>
              <w:t>100,0</w:t>
            </w:r>
          </w:p>
        </w:tc>
      </w:tr>
    </w:tbl>
    <w:p w:rsidR="00D849AA" w:rsidRDefault="00D849AA">
      <w:pPr>
        <w:jc w:val="left"/>
      </w:pPr>
    </w:p>
    <w:p w:rsidR="00D849AA" w:rsidRDefault="00EE6D95">
      <w:pPr>
        <w:pStyle w:val="Normal6"/>
      </w:pPr>
      <w:r>
        <w:t>Nagrade za postignuća u kulturi dodjeljuju se istaknutim pojedincima ili kolektivnim ostvarenjima za promicanje osobitih postignuća u kulturi i umjetničkom stvaralaštvu. Time se vrednuje i prepoznaje izvrsnost kao osobiti poticaj vrhunskim kreativnim dosezima različitih oblika umjetničkog djelovanja vezanim uz nacionalnu kulturu. Dodjeljuju se kao životne nagrade (priznanje za sveukupni stvaralački opus), kao godišnje nagrade (za umjetnička i kulturna ostvarenja koja su bila objavljena, izložena, prikazana ili izvedena) te kao poticajna sredstva (za nova djela): „Nagrada Vladimir Nazor“ (za umjetnička ostvarenja na području književnosti, glazbe, filma, likovnih i primijenjenih umjetnosti, kazališne umjetnosti te arhitekture i urbanizma), „Nagrada Iso Velikanović“ (za ostvarenja u području prevođenja književnih djela), „Nagrada Vicko Andrić“ (za postignuća u zaštiti kulturne baštine), „Nagrada Marin Držić“ (za poticanje hrvatskog dramskog i kazališnog stvaralaštva) te poticajna sredstva hrvatskom glazbenom stvaralaštvu (za nova djela suvremenih skladatelja).</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Stabilan broj negrada u kulturi i umjetnosti</w:t>
            </w:r>
          </w:p>
        </w:tc>
        <w:tc>
          <w:tcPr>
            <w:tcW w:w="1114" w:type="dxa"/>
          </w:tcPr>
          <w:p w:rsidR="00D849AA" w:rsidRDefault="00EE6D95">
            <w:r>
              <w:t>Broj</w:t>
            </w:r>
          </w:p>
        </w:tc>
        <w:tc>
          <w:tcPr>
            <w:tcW w:w="1114" w:type="dxa"/>
          </w:tcPr>
          <w:p w:rsidR="00D849AA" w:rsidRDefault="00EE6D95">
            <w:r>
              <w:t>16</w:t>
            </w:r>
          </w:p>
        </w:tc>
        <w:tc>
          <w:tcPr>
            <w:tcW w:w="1486" w:type="dxa"/>
          </w:tcPr>
          <w:p w:rsidR="00D849AA" w:rsidRDefault="00EE6D95">
            <w:r>
              <w:t>16</w:t>
            </w:r>
          </w:p>
        </w:tc>
        <w:tc>
          <w:tcPr>
            <w:tcW w:w="1486" w:type="dxa"/>
          </w:tcPr>
          <w:p w:rsidR="00D849AA" w:rsidRDefault="00EE6D95">
            <w:r>
              <w:t>16</w:t>
            </w:r>
          </w:p>
        </w:tc>
        <w:tc>
          <w:tcPr>
            <w:tcW w:w="1486" w:type="dxa"/>
          </w:tcPr>
          <w:p w:rsidR="00D849AA" w:rsidRDefault="00EE6D95">
            <w:r>
              <w:t>16</w:t>
            </w:r>
          </w:p>
        </w:tc>
      </w:tr>
    </w:tbl>
    <w:p w:rsidR="00D849AA" w:rsidRDefault="00D849AA">
      <w:pPr>
        <w:jc w:val="left"/>
      </w:pPr>
    </w:p>
    <w:p w:rsidR="00D849AA" w:rsidRDefault="00EE6D95">
      <w:pPr>
        <w:pStyle w:val="Naslov6"/>
      </w:pPr>
      <w:r>
        <w:t>A565015 ZDRAVSTVENO I MIROVINSKO OSIGURANJE UMJETNIKA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A565015</w:t>
            </w:r>
          </w:p>
        </w:tc>
        <w:tc>
          <w:tcPr>
            <w:tcW w:w="1486" w:type="dxa"/>
          </w:tcPr>
          <w:p w:rsidR="00D849AA" w:rsidRDefault="00EE6D95">
            <w:r>
              <w:t>32.863.100</w:t>
            </w:r>
          </w:p>
        </w:tc>
        <w:tc>
          <w:tcPr>
            <w:tcW w:w="1486" w:type="dxa"/>
          </w:tcPr>
          <w:p w:rsidR="00D849AA" w:rsidRDefault="00EE6D95">
            <w:r>
              <w:t>31.863.100</w:t>
            </w:r>
          </w:p>
        </w:tc>
        <w:tc>
          <w:tcPr>
            <w:tcW w:w="1486" w:type="dxa"/>
          </w:tcPr>
          <w:p w:rsidR="00D849AA" w:rsidRDefault="00EE6D95">
            <w:r>
              <w:t>32.863.100</w:t>
            </w:r>
          </w:p>
        </w:tc>
        <w:tc>
          <w:tcPr>
            <w:tcW w:w="1486" w:type="dxa"/>
          </w:tcPr>
          <w:p w:rsidR="00D849AA" w:rsidRDefault="00EE6D95">
            <w:r>
              <w:t>32.863.100</w:t>
            </w:r>
          </w:p>
        </w:tc>
        <w:tc>
          <w:tcPr>
            <w:tcW w:w="1486" w:type="dxa"/>
          </w:tcPr>
          <w:p w:rsidR="00D849AA" w:rsidRDefault="00EE6D95">
            <w:r>
              <w:t>97,0</w:t>
            </w:r>
          </w:p>
        </w:tc>
      </w:tr>
    </w:tbl>
    <w:p w:rsidR="00D849AA" w:rsidRDefault="00D849AA">
      <w:pPr>
        <w:jc w:val="left"/>
      </w:pPr>
    </w:p>
    <w:p w:rsidR="00D849AA" w:rsidRDefault="00EE6D95">
      <w:pPr>
        <w:pStyle w:val="Normal6"/>
      </w:pPr>
      <w:r>
        <w:t>U ovoj aktivnosti planiraju se sredstva za zdravstveno i mirovinsko osiguranje za 1319 samostalnih umjetnika iz područja likovnog, glazbenog, scenskog, književnog i filmskog stvaralaštva.</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Povećanje broja samostalnih umjetnika</w:t>
            </w:r>
          </w:p>
        </w:tc>
        <w:tc>
          <w:tcPr>
            <w:tcW w:w="1114" w:type="dxa"/>
          </w:tcPr>
          <w:p w:rsidR="00D849AA" w:rsidRDefault="00EE6D95">
            <w:r>
              <w:t>Broj</w:t>
            </w:r>
          </w:p>
        </w:tc>
        <w:tc>
          <w:tcPr>
            <w:tcW w:w="1114" w:type="dxa"/>
          </w:tcPr>
          <w:p w:rsidR="00D849AA" w:rsidRDefault="00EE6D95">
            <w:r>
              <w:t>1319</w:t>
            </w:r>
          </w:p>
        </w:tc>
        <w:tc>
          <w:tcPr>
            <w:tcW w:w="1486" w:type="dxa"/>
          </w:tcPr>
          <w:p w:rsidR="00D849AA" w:rsidRDefault="00EE6D95">
            <w:r>
              <w:t>1350</w:t>
            </w:r>
          </w:p>
        </w:tc>
        <w:tc>
          <w:tcPr>
            <w:tcW w:w="1486" w:type="dxa"/>
          </w:tcPr>
          <w:p w:rsidR="00D849AA" w:rsidRDefault="00EE6D95">
            <w:r>
              <w:t>1375</w:t>
            </w:r>
          </w:p>
        </w:tc>
        <w:tc>
          <w:tcPr>
            <w:tcW w:w="1486" w:type="dxa"/>
          </w:tcPr>
          <w:p w:rsidR="00D849AA" w:rsidRDefault="00EE6D95">
            <w:r>
              <w:t>1400</w:t>
            </w:r>
          </w:p>
        </w:tc>
      </w:tr>
    </w:tbl>
    <w:p w:rsidR="00D849AA" w:rsidRDefault="00D849AA">
      <w:pPr>
        <w:jc w:val="left"/>
      </w:pPr>
    </w:p>
    <w:p w:rsidR="00D849AA" w:rsidRDefault="00EE6D95">
      <w:pPr>
        <w:pStyle w:val="Naslov6"/>
      </w:pPr>
      <w:r>
        <w:lastRenderedPageBreak/>
        <w:t>A565021 MATICA HRVATSKA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A565021</w:t>
            </w:r>
          </w:p>
        </w:tc>
        <w:tc>
          <w:tcPr>
            <w:tcW w:w="1486" w:type="dxa"/>
          </w:tcPr>
          <w:p w:rsidR="00D849AA" w:rsidRDefault="00EE6D95">
            <w:r>
              <w:t>5.000.000</w:t>
            </w:r>
          </w:p>
        </w:tc>
        <w:tc>
          <w:tcPr>
            <w:tcW w:w="1486" w:type="dxa"/>
          </w:tcPr>
          <w:p w:rsidR="00D849AA" w:rsidRDefault="00EE6D95">
            <w:r>
              <w:t>5.000.000</w:t>
            </w:r>
          </w:p>
        </w:tc>
        <w:tc>
          <w:tcPr>
            <w:tcW w:w="1486" w:type="dxa"/>
          </w:tcPr>
          <w:p w:rsidR="00D849AA" w:rsidRDefault="00EE6D95">
            <w:r>
              <w:t>5.000.000</w:t>
            </w:r>
          </w:p>
        </w:tc>
        <w:tc>
          <w:tcPr>
            <w:tcW w:w="1486" w:type="dxa"/>
          </w:tcPr>
          <w:p w:rsidR="00D849AA" w:rsidRDefault="00EE6D95">
            <w:r>
              <w:t>5.000.000</w:t>
            </w:r>
          </w:p>
        </w:tc>
        <w:tc>
          <w:tcPr>
            <w:tcW w:w="1486" w:type="dxa"/>
          </w:tcPr>
          <w:p w:rsidR="00D849AA" w:rsidRDefault="00EE6D95">
            <w:r>
              <w:t>100,0</w:t>
            </w:r>
          </w:p>
        </w:tc>
      </w:tr>
    </w:tbl>
    <w:p w:rsidR="00D849AA" w:rsidRDefault="00D849AA">
      <w:pPr>
        <w:jc w:val="left"/>
      </w:pPr>
    </w:p>
    <w:p w:rsidR="00D849AA" w:rsidRDefault="00EE6D95">
      <w:pPr>
        <w:pStyle w:val="Normal6"/>
      </w:pPr>
      <w:r>
        <w:t>Svrha Matice hrvatske je promicanje narodnog i kulturnog identiteta u područjima umjetničkog, znanstvenog i duhovnog stvaralaštva, gospodarstva i javnog života, te skrb za društveni razvitak. Sredstva planirana za 2014. godinu su na razini 2013. godine.</w:t>
      </w:r>
    </w:p>
    <w:p w:rsidR="00D849AA" w:rsidRDefault="00EE6D95">
      <w:pPr>
        <w:pStyle w:val="Naslov6"/>
      </w:pPr>
      <w:r>
        <w:t>A565033 NOVE MEDIJSKE KULTURE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A565033</w:t>
            </w:r>
          </w:p>
        </w:tc>
        <w:tc>
          <w:tcPr>
            <w:tcW w:w="1486" w:type="dxa"/>
          </w:tcPr>
          <w:p w:rsidR="00D849AA" w:rsidRDefault="00EE6D95">
            <w:r>
              <w:t>5.881.929</w:t>
            </w:r>
          </w:p>
        </w:tc>
        <w:tc>
          <w:tcPr>
            <w:tcW w:w="1486" w:type="dxa"/>
          </w:tcPr>
          <w:p w:rsidR="00D849AA" w:rsidRDefault="00EE6D95">
            <w:r>
              <w:t>6.343.185</w:t>
            </w:r>
          </w:p>
        </w:tc>
        <w:tc>
          <w:tcPr>
            <w:tcW w:w="1486" w:type="dxa"/>
          </w:tcPr>
          <w:p w:rsidR="00D849AA" w:rsidRDefault="00EE6D95">
            <w:r>
              <w:t>6.526.456</w:t>
            </w:r>
          </w:p>
        </w:tc>
        <w:tc>
          <w:tcPr>
            <w:tcW w:w="1486" w:type="dxa"/>
          </w:tcPr>
          <w:p w:rsidR="00D849AA" w:rsidRDefault="00EE6D95">
            <w:r>
              <w:t>6.705.513</w:t>
            </w:r>
          </w:p>
        </w:tc>
        <w:tc>
          <w:tcPr>
            <w:tcW w:w="1486" w:type="dxa"/>
          </w:tcPr>
          <w:p w:rsidR="00D849AA" w:rsidRDefault="00EE6D95">
            <w:r>
              <w:t>107,8</w:t>
            </w:r>
          </w:p>
        </w:tc>
      </w:tr>
    </w:tbl>
    <w:p w:rsidR="00D849AA" w:rsidRDefault="00D849AA">
      <w:pPr>
        <w:jc w:val="left"/>
      </w:pPr>
    </w:p>
    <w:p w:rsidR="00D849AA" w:rsidRDefault="00EE6D95">
      <w:pPr>
        <w:pStyle w:val="Normal6"/>
      </w:pPr>
      <w:r>
        <w:t>Financiraju se programi koji se odnose na potprogramske djelatnosti novih medijskih kultura: projekte, manifestacije, umjetničke produkcije, dugotrajne i ostale programe. Podržavaju se programi koji pokazuju dugoročnost i stabilnost, programi koji pridonose razvoju civilnog društva i drugih organizacija u kulturi od interesa za Republiku Hrvatsku te pridonose stabilizaciji izvaninstitucionalne i neprofitne scene uključujući podršku njihovoj suradnji s javnim kulturnim institucijama te programi koji potiču transmedijalne, intermedijalne i interdisciplinarne oblike umjetničkog stvaralaštva. Aktivnost je usmjerena k promicanju suvremenog audiovizualnog urbanog izričaja, istraživačkih umjetničkih praksi i poticanju korištenja novih tehnologija u umjetničkoj produkciji. Aktivnosti uključuju glazbene, kazališne i umjetničke festivalske programe, produkcije, instalacije i izložbe projekte, edukativne programe i radionice, okrugle stolove i predavanja i manifestacije.</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Povećanje broja potpora za cjelogodišnje programe kulturnih klubova, centara i organizacija, cjelogodišnje umjetničke programe, programe informacijskih i/ili resursnih centara te klubova mladih</w:t>
            </w:r>
          </w:p>
        </w:tc>
        <w:tc>
          <w:tcPr>
            <w:tcW w:w="1114" w:type="dxa"/>
          </w:tcPr>
          <w:p w:rsidR="00D849AA" w:rsidRDefault="00EE6D95">
            <w:r>
              <w:t>Broj</w:t>
            </w:r>
          </w:p>
        </w:tc>
        <w:tc>
          <w:tcPr>
            <w:tcW w:w="1114" w:type="dxa"/>
          </w:tcPr>
          <w:p w:rsidR="00D849AA" w:rsidRDefault="00EE6D95">
            <w:r>
              <w:t>58</w:t>
            </w:r>
          </w:p>
        </w:tc>
        <w:tc>
          <w:tcPr>
            <w:tcW w:w="1486" w:type="dxa"/>
          </w:tcPr>
          <w:p w:rsidR="00D849AA" w:rsidRDefault="00EE6D95">
            <w:r>
              <w:t>61</w:t>
            </w:r>
          </w:p>
        </w:tc>
        <w:tc>
          <w:tcPr>
            <w:tcW w:w="1486" w:type="dxa"/>
          </w:tcPr>
          <w:p w:rsidR="00D849AA" w:rsidRDefault="00EE6D95">
            <w:r>
              <w:t>63</w:t>
            </w:r>
          </w:p>
        </w:tc>
        <w:tc>
          <w:tcPr>
            <w:tcW w:w="1486" w:type="dxa"/>
          </w:tcPr>
          <w:p w:rsidR="00D849AA" w:rsidRDefault="00EE6D95">
            <w:r>
              <w:t>66</w:t>
            </w:r>
          </w:p>
        </w:tc>
      </w:tr>
      <w:tr w:rsidR="00D849AA">
        <w:trPr>
          <w:jc w:val="center"/>
        </w:trPr>
        <w:tc>
          <w:tcPr>
            <w:tcW w:w="2229" w:type="dxa"/>
          </w:tcPr>
          <w:p w:rsidR="00D849AA" w:rsidRDefault="00EE6D95">
            <w:pPr>
              <w:pStyle w:val="CellColumn"/>
            </w:pPr>
            <w:r>
              <w:t>Povećanje broja potpora za razvojne inovativne programe novih kulturnih praksi i umjetničku produkciju</w:t>
            </w:r>
          </w:p>
        </w:tc>
        <w:tc>
          <w:tcPr>
            <w:tcW w:w="1114" w:type="dxa"/>
          </w:tcPr>
          <w:p w:rsidR="00D849AA" w:rsidRDefault="00EE6D95">
            <w:r>
              <w:t>Broj</w:t>
            </w:r>
          </w:p>
        </w:tc>
        <w:tc>
          <w:tcPr>
            <w:tcW w:w="1114" w:type="dxa"/>
          </w:tcPr>
          <w:p w:rsidR="00D849AA" w:rsidRDefault="00EE6D95">
            <w:r>
              <w:t>99</w:t>
            </w:r>
          </w:p>
        </w:tc>
        <w:tc>
          <w:tcPr>
            <w:tcW w:w="1486" w:type="dxa"/>
          </w:tcPr>
          <w:p w:rsidR="00D849AA" w:rsidRDefault="00EE6D95">
            <w:r>
              <w:t>106</w:t>
            </w:r>
          </w:p>
        </w:tc>
        <w:tc>
          <w:tcPr>
            <w:tcW w:w="1486" w:type="dxa"/>
          </w:tcPr>
          <w:p w:rsidR="00D849AA" w:rsidRDefault="00EE6D95">
            <w:r>
              <w:t>113</w:t>
            </w:r>
          </w:p>
        </w:tc>
        <w:tc>
          <w:tcPr>
            <w:tcW w:w="1486" w:type="dxa"/>
          </w:tcPr>
          <w:p w:rsidR="00D849AA" w:rsidRDefault="00EE6D95">
            <w:r>
              <w:t>120</w:t>
            </w:r>
          </w:p>
        </w:tc>
      </w:tr>
      <w:tr w:rsidR="00D849AA">
        <w:trPr>
          <w:jc w:val="center"/>
        </w:trPr>
        <w:tc>
          <w:tcPr>
            <w:tcW w:w="2229" w:type="dxa"/>
          </w:tcPr>
          <w:p w:rsidR="00D849AA" w:rsidRDefault="00EE6D95">
            <w:pPr>
              <w:pStyle w:val="CellColumn"/>
            </w:pPr>
            <w:r>
              <w:lastRenderedPageBreak/>
              <w:t>Povećanje broja potpora za edukacijske i medijacijske programe/projekte, seminare, radionice, predavanja, debate i sl.</w:t>
            </w:r>
          </w:p>
        </w:tc>
        <w:tc>
          <w:tcPr>
            <w:tcW w:w="1114" w:type="dxa"/>
          </w:tcPr>
          <w:p w:rsidR="00D849AA" w:rsidRDefault="00EE6D95">
            <w:r>
              <w:t>Broj</w:t>
            </w:r>
          </w:p>
        </w:tc>
        <w:tc>
          <w:tcPr>
            <w:tcW w:w="1114" w:type="dxa"/>
          </w:tcPr>
          <w:p w:rsidR="00D849AA" w:rsidRDefault="00EE6D95">
            <w:r>
              <w:t>14</w:t>
            </w:r>
          </w:p>
        </w:tc>
        <w:tc>
          <w:tcPr>
            <w:tcW w:w="1486" w:type="dxa"/>
          </w:tcPr>
          <w:p w:rsidR="00D849AA" w:rsidRDefault="00EE6D95">
            <w:r>
              <w:t>18</w:t>
            </w:r>
          </w:p>
        </w:tc>
        <w:tc>
          <w:tcPr>
            <w:tcW w:w="1486" w:type="dxa"/>
          </w:tcPr>
          <w:p w:rsidR="00D849AA" w:rsidRDefault="00EE6D95">
            <w:r>
              <w:t>22</w:t>
            </w:r>
          </w:p>
        </w:tc>
        <w:tc>
          <w:tcPr>
            <w:tcW w:w="1486" w:type="dxa"/>
          </w:tcPr>
          <w:p w:rsidR="00D849AA" w:rsidRDefault="00EE6D95">
            <w:r>
              <w:t>26</w:t>
            </w:r>
          </w:p>
        </w:tc>
      </w:tr>
    </w:tbl>
    <w:p w:rsidR="00D849AA" w:rsidRDefault="00D849AA">
      <w:pPr>
        <w:jc w:val="left"/>
      </w:pPr>
    </w:p>
    <w:p w:rsidR="00D849AA" w:rsidRDefault="00EE6D95">
      <w:pPr>
        <w:pStyle w:val="Naslov6"/>
      </w:pPr>
      <w:r>
        <w:t>A565034 MEĐUNARODNA KULTURNA SURADNJA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A565034</w:t>
            </w:r>
          </w:p>
        </w:tc>
        <w:tc>
          <w:tcPr>
            <w:tcW w:w="1486" w:type="dxa"/>
          </w:tcPr>
          <w:p w:rsidR="00D849AA" w:rsidRDefault="00EE6D95">
            <w:r>
              <w:t>12.226.166</w:t>
            </w:r>
          </w:p>
        </w:tc>
        <w:tc>
          <w:tcPr>
            <w:tcW w:w="1486" w:type="dxa"/>
          </w:tcPr>
          <w:p w:rsidR="00D849AA" w:rsidRDefault="00EE6D95">
            <w:r>
              <w:t>11.972.860</w:t>
            </w:r>
          </w:p>
        </w:tc>
        <w:tc>
          <w:tcPr>
            <w:tcW w:w="1486" w:type="dxa"/>
          </w:tcPr>
          <w:p w:rsidR="00D849AA" w:rsidRDefault="00EE6D95">
            <w:r>
              <w:t>13.626.279</w:t>
            </w:r>
          </w:p>
        </w:tc>
        <w:tc>
          <w:tcPr>
            <w:tcW w:w="1486" w:type="dxa"/>
          </w:tcPr>
          <w:p w:rsidR="00D849AA" w:rsidRDefault="00EE6D95">
            <w:r>
              <w:t>13.776.171</w:t>
            </w:r>
          </w:p>
        </w:tc>
        <w:tc>
          <w:tcPr>
            <w:tcW w:w="1486" w:type="dxa"/>
          </w:tcPr>
          <w:p w:rsidR="00D849AA" w:rsidRDefault="00EE6D95">
            <w:r>
              <w:t>97,9</w:t>
            </w:r>
          </w:p>
        </w:tc>
      </w:tr>
    </w:tbl>
    <w:p w:rsidR="00D849AA" w:rsidRDefault="00D849AA">
      <w:pPr>
        <w:jc w:val="left"/>
      </w:pPr>
    </w:p>
    <w:p w:rsidR="00D849AA" w:rsidRDefault="00EE6D95">
      <w:pPr>
        <w:pStyle w:val="Normal6"/>
      </w:pPr>
      <w:r>
        <w:t>Međunarodna bilateralna kulturna suradnja putem međudržavnih ugovora i programa koji omogućuju predstavljanje hrvatske kulture u drugim zemljama kao i kulture drugih zemalja u Hrvatskoj te putem pružanja potpore ustanovama i udrugama, umjetnicima i stručnjacima za uspostavljanje i razvijanje izravne i kontinuirane suradnje s partnerima u inozemstvu na svim područjima kulture i umjetnosti. Međunarodna multilateralna suradnja u sklopu međunarodnih organizacija i regionalnih inicijativa uključuje pružanje potpore umjetnicima i stručnjacima za sudjelovanje na međunarodnim kulturnim manifestacijama i susretima te u radu međunarodnih vladinih i nevladinih organizacija i asocijacija.</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Broj i različitost programa međunarodne kulturne suradnje</w:t>
            </w:r>
          </w:p>
        </w:tc>
        <w:tc>
          <w:tcPr>
            <w:tcW w:w="1114" w:type="dxa"/>
          </w:tcPr>
          <w:p w:rsidR="00D849AA" w:rsidRDefault="00EE6D95">
            <w:r>
              <w:t>Broj programa</w:t>
            </w:r>
          </w:p>
        </w:tc>
        <w:tc>
          <w:tcPr>
            <w:tcW w:w="1114" w:type="dxa"/>
          </w:tcPr>
          <w:p w:rsidR="00D849AA" w:rsidRDefault="00EE6D95">
            <w:r>
              <w:t>620</w:t>
            </w:r>
          </w:p>
        </w:tc>
        <w:tc>
          <w:tcPr>
            <w:tcW w:w="1486" w:type="dxa"/>
          </w:tcPr>
          <w:p w:rsidR="00D849AA" w:rsidRDefault="00EE6D95">
            <w:r>
              <w:t>650</w:t>
            </w:r>
          </w:p>
        </w:tc>
        <w:tc>
          <w:tcPr>
            <w:tcW w:w="1486" w:type="dxa"/>
          </w:tcPr>
          <w:p w:rsidR="00D849AA" w:rsidRDefault="00EE6D95">
            <w:r>
              <w:t>700</w:t>
            </w:r>
          </w:p>
        </w:tc>
        <w:tc>
          <w:tcPr>
            <w:tcW w:w="1486" w:type="dxa"/>
          </w:tcPr>
          <w:p w:rsidR="00D849AA" w:rsidRDefault="00EE6D95">
            <w:r>
              <w:t>750</w:t>
            </w:r>
          </w:p>
        </w:tc>
      </w:tr>
    </w:tbl>
    <w:p w:rsidR="00D849AA" w:rsidRDefault="00D849AA">
      <w:pPr>
        <w:jc w:val="left"/>
      </w:pPr>
    </w:p>
    <w:p w:rsidR="00D849AA" w:rsidRDefault="00EE6D95">
      <w:pPr>
        <w:pStyle w:val="Naslov6"/>
      </w:pPr>
      <w:r>
        <w:t>A565056 DAROVNI UGOVOR-OBVEZA RH TEMELJEM DAROVNOG UGOVORA PREMA GĐI TOPIĆ-MIMARA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A565056</w:t>
            </w:r>
          </w:p>
        </w:tc>
        <w:tc>
          <w:tcPr>
            <w:tcW w:w="1486" w:type="dxa"/>
          </w:tcPr>
          <w:p w:rsidR="00D849AA" w:rsidRDefault="00EE6D95">
            <w:r>
              <w:t>900.000</w:t>
            </w:r>
          </w:p>
        </w:tc>
        <w:tc>
          <w:tcPr>
            <w:tcW w:w="1486" w:type="dxa"/>
          </w:tcPr>
          <w:p w:rsidR="00D849AA" w:rsidRDefault="00EE6D95">
            <w:r>
              <w:t>950.000</w:t>
            </w:r>
          </w:p>
        </w:tc>
        <w:tc>
          <w:tcPr>
            <w:tcW w:w="1486" w:type="dxa"/>
          </w:tcPr>
          <w:p w:rsidR="00D849AA" w:rsidRDefault="00EE6D95">
            <w:r>
              <w:t>950.000</w:t>
            </w:r>
          </w:p>
        </w:tc>
        <w:tc>
          <w:tcPr>
            <w:tcW w:w="1486" w:type="dxa"/>
          </w:tcPr>
          <w:p w:rsidR="00D849AA" w:rsidRDefault="00EE6D95">
            <w:r>
              <w:t>950.000</w:t>
            </w:r>
          </w:p>
        </w:tc>
        <w:tc>
          <w:tcPr>
            <w:tcW w:w="1486" w:type="dxa"/>
          </w:tcPr>
          <w:p w:rsidR="00D849AA" w:rsidRDefault="00EE6D95">
            <w:r>
              <w:t>105,6</w:t>
            </w:r>
          </w:p>
        </w:tc>
      </w:tr>
    </w:tbl>
    <w:p w:rsidR="00D849AA" w:rsidRDefault="00D849AA">
      <w:pPr>
        <w:jc w:val="left"/>
      </w:pPr>
    </w:p>
    <w:p w:rsidR="00D849AA" w:rsidRDefault="00EE6D95">
      <w:pPr>
        <w:pStyle w:val="Normal6"/>
      </w:pPr>
      <w:r>
        <w:t xml:space="preserve">Ugovor o darovanju između slikara i kolekcionara Ante Topić-Mimara i Republike Hrvatske sklopljen je 5 listopada 1973. Darovalac daruje u trajno vlasništvo zbirku umjetnina koja se sastoji od slika, skulptura i staklenih i porculanskih predmeta, tekstila, ćilima, srebrnih predmeta i predmeta od slonovače. Ugovorne strane su sporazumne da će </w:t>
      </w:r>
      <w:r>
        <w:lastRenderedPageBreak/>
        <w:t>doživotno isplaćivati Anti Topić Mimari 1% od 10.000.000 USA, a nakon njegove smrti 0,5 % od iste vrijednosti njegovoj supruzi Weltrude. Ova obveza je još uvijek na snazi.</w:t>
      </w:r>
    </w:p>
    <w:p w:rsidR="00D849AA" w:rsidRDefault="00EE6D95">
      <w:pPr>
        <w:pStyle w:val="Naslov6"/>
      </w:pPr>
      <w:r>
        <w:t>A576226 KULTURNA KONTAKT TOČKA (EU-KKT)</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A576226</w:t>
            </w:r>
          </w:p>
        </w:tc>
        <w:tc>
          <w:tcPr>
            <w:tcW w:w="1486" w:type="dxa"/>
          </w:tcPr>
          <w:p w:rsidR="00D849AA" w:rsidRDefault="00EE6D95">
            <w:r>
              <w:t>1.559.000</w:t>
            </w:r>
          </w:p>
        </w:tc>
        <w:tc>
          <w:tcPr>
            <w:tcW w:w="1486" w:type="dxa"/>
          </w:tcPr>
          <w:p w:rsidR="00D849AA" w:rsidRDefault="00EE6D95">
            <w:r>
              <w:t>1.559.000</w:t>
            </w:r>
          </w:p>
        </w:tc>
        <w:tc>
          <w:tcPr>
            <w:tcW w:w="1486" w:type="dxa"/>
          </w:tcPr>
          <w:p w:rsidR="00D849AA" w:rsidRDefault="00EE6D95">
            <w:r>
              <w:t>1.559.000</w:t>
            </w:r>
          </w:p>
        </w:tc>
        <w:tc>
          <w:tcPr>
            <w:tcW w:w="1486" w:type="dxa"/>
          </w:tcPr>
          <w:p w:rsidR="00D849AA" w:rsidRDefault="00EE6D95">
            <w:r>
              <w:t>1.559.000</w:t>
            </w:r>
          </w:p>
        </w:tc>
        <w:tc>
          <w:tcPr>
            <w:tcW w:w="1486" w:type="dxa"/>
          </w:tcPr>
          <w:p w:rsidR="00D849AA" w:rsidRDefault="00EE6D95">
            <w:r>
              <w:t>100,0</w:t>
            </w:r>
          </w:p>
        </w:tc>
      </w:tr>
    </w:tbl>
    <w:p w:rsidR="00D849AA" w:rsidRDefault="00D849AA">
      <w:pPr>
        <w:jc w:val="left"/>
      </w:pPr>
    </w:p>
    <w:p w:rsidR="00D849AA" w:rsidRDefault="00EE6D95">
      <w:pPr>
        <w:pStyle w:val="Normal6"/>
      </w:pPr>
      <w:r>
        <w:t>Jačanje aktivne kulturne suradnje s Europskom unijom te uključivanje u europske aktivnosti i inicijative zemalja članica odvijat će se pojačanim promoviranjem programa Europske unije za kulturni, kreativni i audiovizualni sektor pod nazivom Kreativna Europa za razdoblje od 2014. do 2020. godine. S obzirom na kontinuitet u odnosu na program EU Kultura 2007. – 2013. naglasak će u sljedećem razdoblju biti stavljen na daljnju organizaciju informativnih dana, seminara i internih radionica za potencijalne korisnike novog programa Kreativna Europa te na tehničku pomoć institucijama zainteresiranima za prijavu i financijsko sudjelovanje u realizaciji projektnih prijedloga odobrenih na razini Unije. Nastavit će se suradnja sa svim europskim projektnim partnerima programa Kreativna Europa te predstavnicima Europske komisije i Izvršne agencije za kulturu, obrazovanje i audiovizualnu djelatnost. Jačanje prisutnosti hrvatske umjetnosti i kulture u zemljama Europske unije postići će sesinergijom u pomoći i financiranju aktivnosti i projekata programa Kreativna Europa na lokalnoj, regionalnoj i nacionalnoj razini kako bi se postigao kohezijski učinak i vidljivost sudjelovanja i financiranja europskih projekata u kojima zajednički sudjeluju hrvatske i druge kulturne institucije zemalja članica Unije.Provoditi će se intenzivna edukacija i suradnja s gradovima zainteresiranim za program Europska prijestolnica kulture te provesti natječaj na nacionalnoj razini. Sredstva planirana za 2014. godinu ne odstupaju od 2013. godine.</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Rast broja hrvatskih kulturnih ustanova i organizacija koje sudjeluju u programu EU Kreativna Europa 2014. - 2020.</w:t>
            </w:r>
          </w:p>
        </w:tc>
        <w:tc>
          <w:tcPr>
            <w:tcW w:w="1114" w:type="dxa"/>
          </w:tcPr>
          <w:p w:rsidR="00D849AA" w:rsidRDefault="00EE6D95">
            <w:r>
              <w:t>Broj</w:t>
            </w:r>
          </w:p>
        </w:tc>
        <w:tc>
          <w:tcPr>
            <w:tcW w:w="1114" w:type="dxa"/>
          </w:tcPr>
          <w:p w:rsidR="00D849AA" w:rsidRDefault="00EE6D95">
            <w:r>
              <w:t>17</w:t>
            </w:r>
          </w:p>
        </w:tc>
        <w:tc>
          <w:tcPr>
            <w:tcW w:w="1486" w:type="dxa"/>
          </w:tcPr>
          <w:p w:rsidR="00D849AA" w:rsidRDefault="00EE6D95">
            <w:r>
              <w:t>20</w:t>
            </w:r>
          </w:p>
        </w:tc>
        <w:tc>
          <w:tcPr>
            <w:tcW w:w="1486" w:type="dxa"/>
          </w:tcPr>
          <w:p w:rsidR="00D849AA" w:rsidRDefault="00EE6D95">
            <w:r>
              <w:t>23</w:t>
            </w:r>
          </w:p>
        </w:tc>
        <w:tc>
          <w:tcPr>
            <w:tcW w:w="1486" w:type="dxa"/>
          </w:tcPr>
          <w:p w:rsidR="00D849AA" w:rsidRDefault="00EE6D95">
            <w:r>
              <w:t>25</w:t>
            </w:r>
          </w:p>
        </w:tc>
      </w:tr>
    </w:tbl>
    <w:p w:rsidR="00D849AA" w:rsidRDefault="00D849AA">
      <w:pPr>
        <w:jc w:val="left"/>
      </w:pPr>
    </w:p>
    <w:p w:rsidR="00D849AA" w:rsidRDefault="00EE6D95">
      <w:pPr>
        <w:pStyle w:val="Naslov6"/>
      </w:pPr>
      <w:r>
        <w:t>A781006 ZAKLADA KULTURA NOVA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A781006</w:t>
            </w:r>
          </w:p>
        </w:tc>
        <w:tc>
          <w:tcPr>
            <w:tcW w:w="1486" w:type="dxa"/>
          </w:tcPr>
          <w:p w:rsidR="00D849AA" w:rsidRDefault="00EE6D95">
            <w:r>
              <w:t>6.988.166</w:t>
            </w:r>
          </w:p>
        </w:tc>
        <w:tc>
          <w:tcPr>
            <w:tcW w:w="1486" w:type="dxa"/>
          </w:tcPr>
          <w:p w:rsidR="00D849AA" w:rsidRDefault="00EE6D95">
            <w:r>
              <w:t>8.724.892</w:t>
            </w:r>
          </w:p>
        </w:tc>
        <w:tc>
          <w:tcPr>
            <w:tcW w:w="1486" w:type="dxa"/>
          </w:tcPr>
          <w:p w:rsidR="00D849AA" w:rsidRDefault="00EE6D95">
            <w:r>
              <w:t>9.024.156</w:t>
            </w:r>
          </w:p>
        </w:tc>
        <w:tc>
          <w:tcPr>
            <w:tcW w:w="1486" w:type="dxa"/>
          </w:tcPr>
          <w:p w:rsidR="00D849AA" w:rsidRDefault="00EE6D95">
            <w:r>
              <w:t>9.316.538</w:t>
            </w:r>
          </w:p>
        </w:tc>
        <w:tc>
          <w:tcPr>
            <w:tcW w:w="1486" w:type="dxa"/>
          </w:tcPr>
          <w:p w:rsidR="00D849AA" w:rsidRDefault="00EE6D95">
            <w:r>
              <w:t>124,8</w:t>
            </w:r>
          </w:p>
        </w:tc>
      </w:tr>
    </w:tbl>
    <w:p w:rsidR="00D849AA" w:rsidRDefault="00D849AA">
      <w:pPr>
        <w:jc w:val="left"/>
      </w:pPr>
    </w:p>
    <w:p w:rsidR="00D849AA" w:rsidRDefault="00EE6D95">
      <w:pPr>
        <w:pStyle w:val="Normal6"/>
      </w:pPr>
      <w:r>
        <w:t xml:space="preserve">Zaklada „Kultura nova“ pruža stručnu i financijsku potporu programima organizacija civilnog društva na području suvremene kulture i umjetnosti koji: potiču razvoj produkcijskih i organizacijskih kapaciteta nositelja programa; podižu razinu </w:t>
      </w:r>
      <w:r>
        <w:lastRenderedPageBreak/>
        <w:t>profesionalnog djelovanja putem neformalnog obrazovanja i stručnog usavršavanja; potiču uspostavljanje međusektorske suradnje; pospješuju programsko umrežavanje i suradnju na nacionalnoj, regionalnoj i međunarodnoj razini; potiču umjetničko stvaralaštvo i kulturno djelovanje mladih; potiču i druge programe usmjerene ostvarivanju svrhe Zaklade. Zaklada provodi i vlastite programe iz navedenih područja. Zaklada se financira iz dijela prihoda od igara na sreću te donacija i ostalih prihoda.</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Povećanje broja ostvarenih potpora organizacijama civilnog društva u području suvremene kulture i umjetnosti</w:t>
            </w:r>
          </w:p>
        </w:tc>
        <w:tc>
          <w:tcPr>
            <w:tcW w:w="1114" w:type="dxa"/>
          </w:tcPr>
          <w:p w:rsidR="00D849AA" w:rsidRDefault="00EE6D95">
            <w:r>
              <w:t>Broj</w:t>
            </w:r>
          </w:p>
        </w:tc>
        <w:tc>
          <w:tcPr>
            <w:tcW w:w="1114" w:type="dxa"/>
          </w:tcPr>
          <w:p w:rsidR="00D849AA" w:rsidRDefault="00EE6D95">
            <w:r>
              <w:t>38</w:t>
            </w:r>
          </w:p>
        </w:tc>
        <w:tc>
          <w:tcPr>
            <w:tcW w:w="1486" w:type="dxa"/>
          </w:tcPr>
          <w:p w:rsidR="00D849AA" w:rsidRDefault="00EE6D95">
            <w:r>
              <w:t>110</w:t>
            </w:r>
          </w:p>
        </w:tc>
        <w:tc>
          <w:tcPr>
            <w:tcW w:w="1486" w:type="dxa"/>
          </w:tcPr>
          <w:p w:rsidR="00D849AA" w:rsidRDefault="00EE6D95">
            <w:r>
              <w:t>130</w:t>
            </w:r>
          </w:p>
        </w:tc>
        <w:tc>
          <w:tcPr>
            <w:tcW w:w="1486" w:type="dxa"/>
          </w:tcPr>
          <w:p w:rsidR="00D849AA" w:rsidRDefault="00EE6D95">
            <w:r>
              <w:t>150</w:t>
            </w:r>
          </w:p>
        </w:tc>
      </w:tr>
    </w:tbl>
    <w:p w:rsidR="00D849AA" w:rsidRDefault="00D849AA">
      <w:pPr>
        <w:jc w:val="left"/>
      </w:pPr>
    </w:p>
    <w:p w:rsidR="00D849AA" w:rsidRDefault="00EE6D95">
      <w:pPr>
        <w:pStyle w:val="Naslov6"/>
      </w:pPr>
      <w:r>
        <w:t>A781009 RUKSAK (PUN) KULTURE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A781009</w:t>
            </w:r>
          </w:p>
        </w:tc>
        <w:tc>
          <w:tcPr>
            <w:tcW w:w="1486" w:type="dxa"/>
          </w:tcPr>
          <w:p w:rsidR="00D849AA" w:rsidRDefault="00EE6D95">
            <w:r>
              <w:t>00</w:t>
            </w:r>
          </w:p>
        </w:tc>
        <w:tc>
          <w:tcPr>
            <w:tcW w:w="1486" w:type="dxa"/>
          </w:tcPr>
          <w:p w:rsidR="00D849AA" w:rsidRDefault="00EE6D95">
            <w:r>
              <w:t>1.000.000</w:t>
            </w:r>
          </w:p>
        </w:tc>
        <w:tc>
          <w:tcPr>
            <w:tcW w:w="1486" w:type="dxa"/>
          </w:tcPr>
          <w:p w:rsidR="00D849AA" w:rsidRDefault="00EE6D95">
            <w:r>
              <w:t>1.000.000</w:t>
            </w:r>
          </w:p>
        </w:tc>
        <w:tc>
          <w:tcPr>
            <w:tcW w:w="1486" w:type="dxa"/>
          </w:tcPr>
          <w:p w:rsidR="00D849AA" w:rsidRDefault="00EE6D95">
            <w:r>
              <w:t>1.000.000</w:t>
            </w:r>
          </w:p>
        </w:tc>
        <w:tc>
          <w:tcPr>
            <w:tcW w:w="1486" w:type="dxa"/>
          </w:tcPr>
          <w:p w:rsidR="00D849AA" w:rsidRDefault="00EE6D95">
            <w:r>
              <w:t>0,0</w:t>
            </w:r>
          </w:p>
        </w:tc>
      </w:tr>
    </w:tbl>
    <w:p w:rsidR="00D849AA" w:rsidRDefault="00D849AA">
      <w:pPr>
        <w:jc w:val="left"/>
      </w:pPr>
    </w:p>
    <w:p w:rsidR="00D849AA" w:rsidRDefault="00EE6D95">
      <w:pPr>
        <w:pStyle w:val="Normal6"/>
      </w:pPr>
      <w:r>
        <w:t xml:space="preserve">Program Ruksak (pun) kulture interdisciplinarni je program i uključuje različite oblike umjetničkog i kulturnog izričaja iz različitih kulturnih i povijesnih razdoblja. </w:t>
      </w:r>
    </w:p>
    <w:p w:rsidR="00D849AA" w:rsidRDefault="00EE6D95">
      <w:pPr>
        <w:pStyle w:val="Normal6"/>
      </w:pPr>
      <w:r>
        <w:t xml:space="preserve">Sveobuhvatnost programa proizlazi iz uključivanja i (zajedničkog) prezentiranja svih umjetnosti u svim oblicima: glazbene, kazališne, vizualne i reproduktivne/izvedbene umjetnosti, filma, književnosti i kulturne baštine. </w:t>
      </w:r>
    </w:p>
    <w:p w:rsidR="00D849AA" w:rsidRDefault="00EE6D95">
      <w:pPr>
        <w:pStyle w:val="Normal6"/>
      </w:pPr>
      <w:r>
        <w:t>Projekt Ruksak (pun) kulture počeo se kao pilot projekt provoditi 2013. godine. Tijekom svoga razvoja on će se prilagođavati potrebama županija odnosno jedinica lokalne i područne (regionalne) samouprave, a Ministarstvo kulture i Ministarstvo znanosti, obrazovanja i sporta izradit će temeljne preporuke o njegovu provođenju.</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Povećanje broja djece i učenika uključenih u aktivnosti programa "Ruksak kulture"</w:t>
            </w:r>
          </w:p>
        </w:tc>
        <w:tc>
          <w:tcPr>
            <w:tcW w:w="1114" w:type="dxa"/>
          </w:tcPr>
          <w:p w:rsidR="00D849AA" w:rsidRDefault="00EE6D95">
            <w:r>
              <w:t>Broj</w:t>
            </w:r>
          </w:p>
        </w:tc>
        <w:tc>
          <w:tcPr>
            <w:tcW w:w="1114" w:type="dxa"/>
          </w:tcPr>
          <w:p w:rsidR="00D849AA" w:rsidRDefault="00EE6D95">
            <w:r>
              <w:t>450</w:t>
            </w:r>
          </w:p>
        </w:tc>
        <w:tc>
          <w:tcPr>
            <w:tcW w:w="1486" w:type="dxa"/>
          </w:tcPr>
          <w:p w:rsidR="00D849AA" w:rsidRDefault="00EE6D95">
            <w:r>
              <w:t>1000</w:t>
            </w:r>
          </w:p>
        </w:tc>
        <w:tc>
          <w:tcPr>
            <w:tcW w:w="1486" w:type="dxa"/>
          </w:tcPr>
          <w:p w:rsidR="00D849AA" w:rsidRDefault="00EE6D95">
            <w:r>
              <w:t>1500</w:t>
            </w:r>
          </w:p>
        </w:tc>
        <w:tc>
          <w:tcPr>
            <w:tcW w:w="1486" w:type="dxa"/>
          </w:tcPr>
          <w:p w:rsidR="00D849AA" w:rsidRDefault="00EE6D95">
            <w:r>
              <w:t>1700</w:t>
            </w:r>
          </w:p>
        </w:tc>
      </w:tr>
    </w:tbl>
    <w:p w:rsidR="00D849AA" w:rsidRDefault="00D849AA">
      <w:pPr>
        <w:jc w:val="left"/>
      </w:pPr>
    </w:p>
    <w:p w:rsidR="00D849AA" w:rsidRDefault="00EE6D95">
      <w:pPr>
        <w:pStyle w:val="Naslov6"/>
      </w:pPr>
      <w:r>
        <w:lastRenderedPageBreak/>
        <w:t>A781010 PROMOCIJA KULTURE PUTEM ZAKLADE "HRVATSKA KUĆA - CROATIA HOUSE"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A781010</w:t>
            </w:r>
          </w:p>
        </w:tc>
        <w:tc>
          <w:tcPr>
            <w:tcW w:w="1486" w:type="dxa"/>
          </w:tcPr>
          <w:p w:rsidR="00D849AA" w:rsidRDefault="00EE6D95">
            <w:r>
              <w:t>00</w:t>
            </w:r>
          </w:p>
        </w:tc>
        <w:tc>
          <w:tcPr>
            <w:tcW w:w="1486" w:type="dxa"/>
          </w:tcPr>
          <w:p w:rsidR="00D849AA" w:rsidRDefault="00EE6D95">
            <w:r>
              <w:t>1.091.153</w:t>
            </w:r>
          </w:p>
        </w:tc>
        <w:tc>
          <w:tcPr>
            <w:tcW w:w="1486" w:type="dxa"/>
          </w:tcPr>
          <w:p w:rsidR="00D849AA" w:rsidRDefault="00EE6D95">
            <w:r>
              <w:t>1.128.579</w:t>
            </w:r>
          </w:p>
        </w:tc>
        <w:tc>
          <w:tcPr>
            <w:tcW w:w="1486" w:type="dxa"/>
          </w:tcPr>
          <w:p w:rsidR="00D849AA" w:rsidRDefault="00EE6D95">
            <w:r>
              <w:t>1.165.146</w:t>
            </w:r>
          </w:p>
        </w:tc>
        <w:tc>
          <w:tcPr>
            <w:tcW w:w="1486" w:type="dxa"/>
          </w:tcPr>
          <w:p w:rsidR="00D849AA" w:rsidRDefault="00EE6D95">
            <w:r>
              <w:t>0,0</w:t>
            </w:r>
          </w:p>
        </w:tc>
      </w:tr>
    </w:tbl>
    <w:p w:rsidR="00D849AA" w:rsidRDefault="00D849AA">
      <w:pPr>
        <w:jc w:val="left"/>
      </w:pPr>
    </w:p>
    <w:p w:rsidR="00D849AA" w:rsidRDefault="00EE6D95">
      <w:pPr>
        <w:pStyle w:val="Normal6"/>
      </w:pPr>
      <w:r>
        <w:t>Po uzoru na brojne europske zemlje koje promociju nacionalne kulture, umjetnosti, jezika i nacionalne kulturne baštine prepuštaju za tu svrhu osnovanim pravnim osobama, koje u drugim zemljama osnivaju svoje podružnice, kulturne centre kojima je zadaća da u zemljama domaćina direktno prezentiraju nacionalnu kulturu i umjetnost, Ministarstvo kulture osnovat će Zakladu „Hrvatska kuća – CroatianHouse“ koja će financijski, stručno i organizacijski u inozemstvu putem svojih predstavništava, centara za kulturu i na drugi način promicati hrvatsku kulturu, umjetnost i jezik te kulturnubaštinu.</w:t>
      </w:r>
    </w:p>
    <w:p w:rsidR="00D849AA" w:rsidRDefault="00EE6D95">
      <w:pPr>
        <w:pStyle w:val="Naslov6"/>
      </w:pPr>
      <w:r>
        <w:t>A784003 PODUZETNIŠTVO U KULTURI</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A784003</w:t>
            </w:r>
          </w:p>
        </w:tc>
        <w:tc>
          <w:tcPr>
            <w:tcW w:w="1486" w:type="dxa"/>
          </w:tcPr>
          <w:p w:rsidR="00D849AA" w:rsidRDefault="00EE6D95">
            <w:r>
              <w:t>2.000.000</w:t>
            </w:r>
          </w:p>
        </w:tc>
        <w:tc>
          <w:tcPr>
            <w:tcW w:w="1486" w:type="dxa"/>
          </w:tcPr>
          <w:p w:rsidR="00D849AA" w:rsidRDefault="00EE6D95">
            <w:r>
              <w:t>2.000.000</w:t>
            </w:r>
          </w:p>
        </w:tc>
        <w:tc>
          <w:tcPr>
            <w:tcW w:w="1486" w:type="dxa"/>
          </w:tcPr>
          <w:p w:rsidR="00D849AA" w:rsidRDefault="00EE6D95">
            <w:r>
              <w:t>2.000.000</w:t>
            </w:r>
          </w:p>
        </w:tc>
        <w:tc>
          <w:tcPr>
            <w:tcW w:w="1486" w:type="dxa"/>
          </w:tcPr>
          <w:p w:rsidR="00D849AA" w:rsidRDefault="00EE6D95">
            <w:r>
              <w:t>2.000.000</w:t>
            </w:r>
          </w:p>
        </w:tc>
        <w:tc>
          <w:tcPr>
            <w:tcW w:w="1486" w:type="dxa"/>
          </w:tcPr>
          <w:p w:rsidR="00D849AA" w:rsidRDefault="00EE6D95">
            <w:r>
              <w:t>100,0</w:t>
            </w:r>
          </w:p>
        </w:tc>
      </w:tr>
    </w:tbl>
    <w:p w:rsidR="00D849AA" w:rsidRDefault="00D849AA">
      <w:pPr>
        <w:jc w:val="left"/>
      </w:pPr>
    </w:p>
    <w:p w:rsidR="00D849AA" w:rsidRDefault="00EE6D95">
      <w:pPr>
        <w:pStyle w:val="Normal6"/>
      </w:pPr>
      <w:r>
        <w:t>Program nepovratne državne potpore male vrijednosti (u suradnji s Ministarstvom gospodarstva, rada i poduzetništva) za poticanje poduzetništva u kulturi, promicanje kulturnih industrija i poduzetničkih projekata na području glazbe i glazbeno-scenske umjetnosti, dramske umjetnosti, knjige i nakladništva, likovne umjetnosti, novih medijskih kultura, međunarodne kulturne suradnje i europskih integracija, kulturno-umjetničkog amaterizma, investicija, zaštite i očuvanja kulturnih dobara, muzejsko-galerijske te filmske djelatnosti.</w:t>
      </w:r>
    </w:p>
    <w:p w:rsidR="00D849AA" w:rsidRDefault="00EE6D95">
      <w:pPr>
        <w:pStyle w:val="Naslov6"/>
      </w:pPr>
      <w:r>
        <w:t>A784006 GODIŠNJA ČLANARINA REPUBLIKE HRVATSKE ZA UNESCO</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A784006</w:t>
            </w:r>
          </w:p>
        </w:tc>
        <w:tc>
          <w:tcPr>
            <w:tcW w:w="1486" w:type="dxa"/>
          </w:tcPr>
          <w:p w:rsidR="00D849AA" w:rsidRDefault="00EE6D95">
            <w:r>
              <w:t>2.000.000</w:t>
            </w:r>
          </w:p>
        </w:tc>
        <w:tc>
          <w:tcPr>
            <w:tcW w:w="1486" w:type="dxa"/>
          </w:tcPr>
          <w:p w:rsidR="00D849AA" w:rsidRDefault="00EE6D95">
            <w:r>
              <w:t>2.550.000</w:t>
            </w:r>
          </w:p>
        </w:tc>
        <w:tc>
          <w:tcPr>
            <w:tcW w:w="1486" w:type="dxa"/>
          </w:tcPr>
          <w:p w:rsidR="00D849AA" w:rsidRDefault="00EE6D95">
            <w:r>
              <w:t>2.550.000</w:t>
            </w:r>
          </w:p>
        </w:tc>
        <w:tc>
          <w:tcPr>
            <w:tcW w:w="1486" w:type="dxa"/>
          </w:tcPr>
          <w:p w:rsidR="00D849AA" w:rsidRDefault="00EE6D95">
            <w:r>
              <w:t>2.550.000</w:t>
            </w:r>
          </w:p>
        </w:tc>
        <w:tc>
          <w:tcPr>
            <w:tcW w:w="1486" w:type="dxa"/>
          </w:tcPr>
          <w:p w:rsidR="00D849AA" w:rsidRDefault="00EE6D95">
            <w:r>
              <w:t>127,5</w:t>
            </w:r>
          </w:p>
        </w:tc>
      </w:tr>
    </w:tbl>
    <w:p w:rsidR="00D849AA" w:rsidRDefault="00D849AA">
      <w:pPr>
        <w:jc w:val="left"/>
      </w:pPr>
    </w:p>
    <w:p w:rsidR="00D849AA" w:rsidRDefault="00EE6D95">
      <w:pPr>
        <w:pStyle w:val="Normal6"/>
      </w:pPr>
      <w:r>
        <w:t>Služba za UNESCO pomaže pri provedbi mnogih projekata i inicijativa iz svih programskih područja UNESCO-a. Podupire dugoročne projekte i inicijative od nacionalnih i potencijalne regionalne i međunarodne važnosti, dijagnosticira područja unutar kojih u RH postoje vrhunska znanja koja se mogu formalizirati u okviru posebnih inicijativa i projekata putem UNESCO-a.</w:t>
      </w:r>
    </w:p>
    <w:p w:rsidR="00D849AA" w:rsidRDefault="00EE6D95">
      <w:pPr>
        <w:pStyle w:val="Naslov6"/>
      </w:pPr>
      <w:r>
        <w:t>A784007 PRIPREMA PROJEKTNE DOKUMENTACIJE ZA PROJEKTE EU</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A784007</w:t>
            </w:r>
          </w:p>
        </w:tc>
        <w:tc>
          <w:tcPr>
            <w:tcW w:w="1486" w:type="dxa"/>
          </w:tcPr>
          <w:p w:rsidR="00D849AA" w:rsidRDefault="00EE6D95">
            <w:r>
              <w:t>1.000.000</w:t>
            </w:r>
          </w:p>
        </w:tc>
        <w:tc>
          <w:tcPr>
            <w:tcW w:w="1486" w:type="dxa"/>
          </w:tcPr>
          <w:p w:rsidR="00D849AA" w:rsidRDefault="00EE6D95">
            <w:r>
              <w:t>1.000.000</w:t>
            </w:r>
          </w:p>
        </w:tc>
        <w:tc>
          <w:tcPr>
            <w:tcW w:w="1486" w:type="dxa"/>
          </w:tcPr>
          <w:p w:rsidR="00D849AA" w:rsidRDefault="00EE6D95">
            <w:r>
              <w:t>1.000.000</w:t>
            </w:r>
          </w:p>
        </w:tc>
        <w:tc>
          <w:tcPr>
            <w:tcW w:w="1486" w:type="dxa"/>
          </w:tcPr>
          <w:p w:rsidR="00D849AA" w:rsidRDefault="00EE6D95">
            <w:r>
              <w:t>1.000.000</w:t>
            </w:r>
          </w:p>
        </w:tc>
        <w:tc>
          <w:tcPr>
            <w:tcW w:w="1486" w:type="dxa"/>
          </w:tcPr>
          <w:p w:rsidR="00D849AA" w:rsidRDefault="00EE6D95">
            <w:r>
              <w:t>100,0</w:t>
            </w:r>
          </w:p>
        </w:tc>
      </w:tr>
    </w:tbl>
    <w:p w:rsidR="00D849AA" w:rsidRDefault="00D849AA">
      <w:pPr>
        <w:jc w:val="left"/>
      </w:pPr>
    </w:p>
    <w:p w:rsidR="00D849AA" w:rsidRDefault="00EE6D95">
      <w:pPr>
        <w:pStyle w:val="Normal6"/>
      </w:pPr>
      <w:r>
        <w:lastRenderedPageBreak/>
        <w:t>Ovom aktivnošću se pruža financijska pomoć u pripremi projektne dokumentacije za projekte koji će se predlagati za financiranje iz EU sredstava, pri čemu se težište stavlja na očuvanje kulturne baštine uz istodobno poticanje i osnaživanje gospodarskog korištenja njenih razvojnih potencijala, razvijanje održivih projekata korištenja kulturne baštine koji će pak potaknuti razvoj lokalnih zajednica.</w:t>
      </w:r>
    </w:p>
    <w:p w:rsidR="00D849AA" w:rsidRDefault="00EE6D95">
      <w:pPr>
        <w:pStyle w:val="Naslov6"/>
      </w:pPr>
      <w:r>
        <w:t>K564016 INFORMATIZACIJA USTANOVA KULTURE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K564016</w:t>
            </w:r>
          </w:p>
        </w:tc>
        <w:tc>
          <w:tcPr>
            <w:tcW w:w="1486" w:type="dxa"/>
          </w:tcPr>
          <w:p w:rsidR="00D849AA" w:rsidRDefault="00EE6D95">
            <w:r>
              <w:t>1.500.000</w:t>
            </w:r>
          </w:p>
        </w:tc>
        <w:tc>
          <w:tcPr>
            <w:tcW w:w="1486" w:type="dxa"/>
          </w:tcPr>
          <w:p w:rsidR="00D849AA" w:rsidRDefault="00EE6D95">
            <w:r>
              <w:t>1.500.000</w:t>
            </w:r>
          </w:p>
        </w:tc>
        <w:tc>
          <w:tcPr>
            <w:tcW w:w="1486" w:type="dxa"/>
          </w:tcPr>
          <w:p w:rsidR="00D849AA" w:rsidRDefault="00EE6D95">
            <w:r>
              <w:t>1.500.000</w:t>
            </w:r>
          </w:p>
        </w:tc>
        <w:tc>
          <w:tcPr>
            <w:tcW w:w="1486" w:type="dxa"/>
          </w:tcPr>
          <w:p w:rsidR="00D849AA" w:rsidRDefault="00EE6D95">
            <w:r>
              <w:t>1.500.000</w:t>
            </w:r>
          </w:p>
        </w:tc>
        <w:tc>
          <w:tcPr>
            <w:tcW w:w="1486" w:type="dxa"/>
          </w:tcPr>
          <w:p w:rsidR="00D849AA" w:rsidRDefault="00EE6D95">
            <w:r>
              <w:t>100,0</w:t>
            </w:r>
          </w:p>
        </w:tc>
      </w:tr>
    </w:tbl>
    <w:p w:rsidR="00D849AA" w:rsidRDefault="00D849AA">
      <w:pPr>
        <w:jc w:val="left"/>
      </w:pPr>
    </w:p>
    <w:p w:rsidR="00D849AA" w:rsidRDefault="00EE6D95">
      <w:pPr>
        <w:pStyle w:val="Normal6"/>
      </w:pPr>
      <w:r>
        <w:t>Aktivnost informatizacije ustanova kulture obuhvaća potporu nabave računalne opreme, razvoja informacijskih sustava i projekata, internetizaciju ustanova i udruga kulture te razvoju baza podataka kulturnih informacija ustanova kulture kojih nije osnivač Republika Hrvatska.</w:t>
      </w:r>
    </w:p>
    <w:p w:rsidR="00D849AA" w:rsidRDefault="00EE6D95">
      <w:pPr>
        <w:pStyle w:val="Naslov6"/>
      </w:pPr>
      <w:r>
        <w:t>K565018 IZGRADNJA, ODRŽAVANJE I OPREMANJE USTANOVA KULTURE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K565018</w:t>
            </w:r>
          </w:p>
        </w:tc>
        <w:tc>
          <w:tcPr>
            <w:tcW w:w="1486" w:type="dxa"/>
          </w:tcPr>
          <w:p w:rsidR="00D849AA" w:rsidRDefault="00EE6D95">
            <w:r>
              <w:t>33.200.000</w:t>
            </w:r>
          </w:p>
        </w:tc>
        <w:tc>
          <w:tcPr>
            <w:tcW w:w="1486" w:type="dxa"/>
          </w:tcPr>
          <w:p w:rsidR="00D849AA" w:rsidRDefault="00EE6D95">
            <w:r>
              <w:t>48.477.609</w:t>
            </w:r>
          </w:p>
        </w:tc>
        <w:tc>
          <w:tcPr>
            <w:tcW w:w="1486" w:type="dxa"/>
          </w:tcPr>
          <w:p w:rsidR="00D849AA" w:rsidRDefault="00EE6D95">
            <w:r>
              <w:t>46.132.269</w:t>
            </w:r>
          </w:p>
        </w:tc>
        <w:tc>
          <w:tcPr>
            <w:tcW w:w="1486" w:type="dxa"/>
          </w:tcPr>
          <w:p w:rsidR="00D849AA" w:rsidRDefault="00EE6D95">
            <w:r>
              <w:t>42.416.750</w:t>
            </w:r>
          </w:p>
        </w:tc>
        <w:tc>
          <w:tcPr>
            <w:tcW w:w="1486" w:type="dxa"/>
          </w:tcPr>
          <w:p w:rsidR="00D849AA" w:rsidRDefault="00EE6D95">
            <w:r>
              <w:t>146,0</w:t>
            </w:r>
          </w:p>
        </w:tc>
      </w:tr>
    </w:tbl>
    <w:p w:rsidR="00D849AA" w:rsidRDefault="00D849AA">
      <w:pPr>
        <w:jc w:val="left"/>
      </w:pPr>
    </w:p>
    <w:p w:rsidR="00D849AA" w:rsidRDefault="00EE6D95">
      <w:pPr>
        <w:pStyle w:val="Normal6"/>
      </w:pPr>
      <w:r>
        <w:t>U skladu sa Zakonom o financiranju javnih potreba u kulturi te na principu solidarnosti i uzajamnosti osiguravaju se sredstva za programe investicijske potpore ustanovama kulture kojima su osnivači jedinice lokalne uprave i samouprave (programi sanacije, adaptacije uređenja i opremanje muzeja, knjižnica, centara za kulturu).</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Stabilna investicijska potpora kulturnim ustanovama na lokalnoj razini (narodne knjižnice i centri/domovi kulture, muzeji, kazališta)</w:t>
            </w:r>
          </w:p>
        </w:tc>
        <w:tc>
          <w:tcPr>
            <w:tcW w:w="1114" w:type="dxa"/>
          </w:tcPr>
          <w:p w:rsidR="00D849AA" w:rsidRDefault="00EE6D95">
            <w:r>
              <w:t>Broj</w:t>
            </w:r>
          </w:p>
        </w:tc>
        <w:tc>
          <w:tcPr>
            <w:tcW w:w="1114" w:type="dxa"/>
          </w:tcPr>
          <w:p w:rsidR="00D849AA" w:rsidRDefault="00EE6D95">
            <w:r>
              <w:t>157</w:t>
            </w:r>
          </w:p>
        </w:tc>
        <w:tc>
          <w:tcPr>
            <w:tcW w:w="1486" w:type="dxa"/>
          </w:tcPr>
          <w:p w:rsidR="00D849AA" w:rsidRDefault="00EE6D95">
            <w:r>
              <w:t>157</w:t>
            </w:r>
          </w:p>
        </w:tc>
        <w:tc>
          <w:tcPr>
            <w:tcW w:w="1486" w:type="dxa"/>
          </w:tcPr>
          <w:p w:rsidR="00D849AA" w:rsidRDefault="00EE6D95">
            <w:r>
              <w:t>157</w:t>
            </w:r>
          </w:p>
        </w:tc>
        <w:tc>
          <w:tcPr>
            <w:tcW w:w="1486" w:type="dxa"/>
          </w:tcPr>
          <w:p w:rsidR="00D849AA" w:rsidRDefault="00EE6D95">
            <w:r>
              <w:t>157</w:t>
            </w:r>
          </w:p>
        </w:tc>
      </w:tr>
    </w:tbl>
    <w:p w:rsidR="00D849AA" w:rsidRDefault="00D849AA">
      <w:pPr>
        <w:jc w:val="left"/>
      </w:pPr>
    </w:p>
    <w:p w:rsidR="00D849AA" w:rsidRDefault="00EE6D95">
      <w:pPr>
        <w:pStyle w:val="Naslov6"/>
      </w:pPr>
      <w:r>
        <w:t>K565029 NACIONALNI PROGRAM DIGITALIZACIJE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K565029</w:t>
            </w:r>
          </w:p>
        </w:tc>
        <w:tc>
          <w:tcPr>
            <w:tcW w:w="1486" w:type="dxa"/>
          </w:tcPr>
          <w:p w:rsidR="00D849AA" w:rsidRDefault="00EE6D95">
            <w:r>
              <w:t>1.500.000</w:t>
            </w:r>
          </w:p>
        </w:tc>
        <w:tc>
          <w:tcPr>
            <w:tcW w:w="1486" w:type="dxa"/>
          </w:tcPr>
          <w:p w:rsidR="00D849AA" w:rsidRDefault="00EE6D95">
            <w:r>
              <w:t>1.500.000</w:t>
            </w:r>
          </w:p>
        </w:tc>
        <w:tc>
          <w:tcPr>
            <w:tcW w:w="1486" w:type="dxa"/>
          </w:tcPr>
          <w:p w:rsidR="00D849AA" w:rsidRDefault="00EE6D95">
            <w:r>
              <w:t>1.500.000</w:t>
            </w:r>
          </w:p>
        </w:tc>
        <w:tc>
          <w:tcPr>
            <w:tcW w:w="1486" w:type="dxa"/>
          </w:tcPr>
          <w:p w:rsidR="00D849AA" w:rsidRDefault="00EE6D95">
            <w:r>
              <w:t>1.500.000</w:t>
            </w:r>
          </w:p>
        </w:tc>
        <w:tc>
          <w:tcPr>
            <w:tcW w:w="1486" w:type="dxa"/>
          </w:tcPr>
          <w:p w:rsidR="00D849AA" w:rsidRDefault="00EE6D95">
            <w:r>
              <w:t>100,0</w:t>
            </w:r>
          </w:p>
        </w:tc>
      </w:tr>
    </w:tbl>
    <w:p w:rsidR="00D849AA" w:rsidRDefault="00D849AA">
      <w:pPr>
        <w:jc w:val="left"/>
      </w:pPr>
    </w:p>
    <w:p w:rsidR="00D849AA" w:rsidRDefault="00EE6D95">
      <w:pPr>
        <w:pStyle w:val="Normal6"/>
      </w:pPr>
      <w:r>
        <w:lastRenderedPageBreak/>
        <w:t>U svrhu uspostave jedinstvenog informacijskog sustava kulturnih dobara Republike Hrvatske Nacionalni program digitalizacije arhivske, knjižnične i muzejske građe nastavlja razvoj dostupnosti kulturne baštine u digitalnom okruženju u 2014. godini.</w:t>
      </w:r>
    </w:p>
    <w:p w:rsidR="00B151E0" w:rsidRDefault="00B151E0" w:rsidP="00B151E0">
      <w:pPr>
        <w:jc w:val="left"/>
      </w:pPr>
    </w:p>
    <w:p w:rsidR="00B151E0" w:rsidRDefault="00B151E0" w:rsidP="00B151E0">
      <w:pPr>
        <w:pStyle w:val="Naslov4"/>
      </w:pPr>
      <w:r>
        <w:t>OBRAZLOŽENJE PROGRAMA</w:t>
      </w:r>
    </w:p>
    <w:p w:rsidR="00D849AA" w:rsidRDefault="00EE6D95">
      <w:pPr>
        <w:pStyle w:val="Naslov5"/>
      </w:pPr>
      <w:r>
        <w:t>3908 ZAŠTITA KULTURNIH DOBARA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3908</w:t>
            </w:r>
          </w:p>
        </w:tc>
        <w:tc>
          <w:tcPr>
            <w:tcW w:w="1486" w:type="dxa"/>
          </w:tcPr>
          <w:p w:rsidR="00D849AA" w:rsidRDefault="00EE6D95">
            <w:r>
              <w:t>130.075.728</w:t>
            </w:r>
          </w:p>
        </w:tc>
        <w:tc>
          <w:tcPr>
            <w:tcW w:w="1486" w:type="dxa"/>
          </w:tcPr>
          <w:p w:rsidR="00D849AA" w:rsidRDefault="00EE6D95">
            <w:r>
              <w:t>113.625.604</w:t>
            </w:r>
          </w:p>
        </w:tc>
        <w:tc>
          <w:tcPr>
            <w:tcW w:w="1486" w:type="dxa"/>
          </w:tcPr>
          <w:p w:rsidR="00D849AA" w:rsidRDefault="00EE6D95">
            <w:r>
              <w:t>110.543.387</w:t>
            </w:r>
          </w:p>
        </w:tc>
        <w:tc>
          <w:tcPr>
            <w:tcW w:w="1486" w:type="dxa"/>
          </w:tcPr>
          <w:p w:rsidR="00D849AA" w:rsidRDefault="00EE6D95">
            <w:r>
              <w:t>95.691.160</w:t>
            </w:r>
          </w:p>
        </w:tc>
        <w:tc>
          <w:tcPr>
            <w:tcW w:w="1486" w:type="dxa"/>
          </w:tcPr>
          <w:p w:rsidR="00D849AA" w:rsidRDefault="00EE6D95">
            <w:r>
              <w:t>87,4</w:t>
            </w:r>
          </w:p>
        </w:tc>
      </w:tr>
    </w:tbl>
    <w:p w:rsidR="00D849AA" w:rsidRDefault="00D849AA">
      <w:pPr>
        <w:jc w:val="left"/>
      </w:pPr>
    </w:p>
    <w:p w:rsidR="00D849AA" w:rsidRDefault="00EE6D95">
      <w:pPr>
        <w:pStyle w:val="Naslov6"/>
      </w:pPr>
      <w:r>
        <w:t>Opis programa</w:t>
      </w:r>
    </w:p>
    <w:p w:rsidR="00D849AA" w:rsidRDefault="00EE6D95">
      <w:pPr>
        <w:pStyle w:val="Normal5"/>
      </w:pPr>
      <w:r>
        <w:t>Zaštitom i očuvanjem kulturne baštine Ministarstvo kulture osigurava postojanost kulturnih vrijednosti kao i potencijala za daljnji razvitak Republike Hrvatske, njenu afirmaciju, stimulaciju ekonomske konkurentnosti i kvalitetnijeg života u europskom okruženju. Kulturnu baštinu čine pokretna i nepokretna kulturna dobra od umjetničkoga, povijesnoga, paleontološkoga, arheološkoga, antropološkog i znanstvenog značenja kao i dokumentacija i bibliografska baština i zgrade, odnosno prostori u kojima se trajno čuvaju ili izlažu kulturna dobra i dokumentacija o njima. Kulturna baština također su i arheološka nalazišta i arheološke zone, krajolici i njihovi dijelovi koji svjedoče o čovjekovoj prisutnosti u prostoru te nematerijalni oblici kulturne baštine i pojave čovjekova duhovnog stvaralaštva u prošlosti. Vrijednosti kulturne baštine prepoznajemo kao starosne, povijesne, kulturne, umjetničke i autentične.</w:t>
      </w:r>
    </w:p>
    <w:p w:rsidR="00D849AA" w:rsidRDefault="00EE6D95">
      <w:pPr>
        <w:pStyle w:val="Naslov6"/>
      </w:pPr>
      <w:r>
        <w:t>Zakonske i druge pravne osnove</w:t>
      </w:r>
    </w:p>
    <w:p w:rsidR="00D849AA" w:rsidRDefault="00EE6D95">
      <w:pPr>
        <w:pStyle w:val="Normal5"/>
      </w:pPr>
      <w:r>
        <w:t xml:space="preserve">Glavne strateške smjernice ciljeva i aktivnosti ovoga Programa sadržane su u strateškim dokumentima”Strategija Vladinih programa za razdoblje 2011.-2013.”, ”Strategija Vladinih programa za razdoblje 2010.-2012.”, “Strateški okvir za razvoj 2006.–2013.“, ”Stratateški plan Ministarstva kulture 2010.-2012.”, ”Strategija razvoja arhivske službe u Republici Hrvatskoj”, ”Strategija razvoja kulturnog turizma”, “Strategija regionalnog razvoja Republike Hrvatske“ te “Operativni program za regionalnu konkurentnost“ i “Operativni programi za prekograničnu suradnju“. Zakoni: - Zakon o zaštiti i očuvanju kulturnih dobara (NN 69/99, NN 151/03; NN 157/03 Ispravak, NN 87/09, NN 88/10 ) - Zakon o obnovi ugrožene spomeničke cjeline Dubrovnika (NN 21/86, 26/93, NN 33/89, NN 128/99) Pravilnici: - Pravilnik o iskaznici inspektora zaštite kulturnih dobara te obrascu i načinu vođenja očevidnika o obavljenim nadzorima (NN 129/99) - Pravilnik o uvjetima za fizičke i pravne osobe radi dobivanja dopuštenja za obavljanje poslova na zaštiti i očuvanju kulturnih dobara (NN 74/03, NN 44/10) - Pravilnik o postupku i načinu izdavanja dopuštenja za obavljanje podvodnih aktivnosti u unutarnjim morskim vodama i teritorijalnom moru Republike Hrvatske koji su zaštićeni kao kulturno dobro (NN 22/09, NN 36/11 ) -Pravilnik o arheološkim istraživanjima (NN 102/10) - Pravilnik o registru kulturnih dobara Republike Hrvatske (NN 37/01, 4/08) - Pravilnik o stručnim zvanjima u konzervatorsko-restauratorskoj djelatnosti te uvjetima i načinu njihova stjecanja (NN 59/09) - Pravilnik o određivanju kulturnih predmeta koji se smatraju nacionalnim blagom država članica Europske unije (NN 38/04) - Pravilnik o sadržaju, obliku i načinu izdavanja službene iskaznice službenika Uprave za zaštitu kulturne baštine Ministarstva kulture i službene iskaznice službenika Gradskog zavoda za zaštitu spomenika kulture i prirode u Zagrebu (NN 110/04) - Pravilnik o mjerilima za utvrđivanje </w:t>
      </w:r>
      <w:r>
        <w:lastRenderedPageBreak/>
        <w:t>vrijednosti pokretnina koje imaju kulturnu, umjetničku ili povijesnu vrijednost (NN 77/04) - Pravilnik o označavanju nepokretnih kulturnih dobara i objekata u kojima su smještene zbirke kulturnih dobara (NN 12/06) - Pravilnik o uvjetima za davanje odobrenja radi izvoza i iznošenja kulturnih dobara iz Republike Hrvatske (NN 141/06)</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Cilj 1. Uspostava jedinstvenog informacijskog sustava kulturne baštine Republike Hrvatske</w:t>
      </w:r>
    </w:p>
    <w:p w:rsidR="00D849AA" w:rsidRDefault="00EE6D95">
      <w:pPr>
        <w:pStyle w:val="Normal6"/>
      </w:pPr>
      <w:r>
        <w:t>Ministarstvo kulture, Uprava za zaštitu kulturne baštine u suradnji sa Službom za informatizaciju će izraditi projekt revitalizacije i nadogradnje postojećeg informacijskog sustava koji će obuhvatiti podatke Registra, cjelokupnu dokumentaciju kulturne baštine te podatke koji su potrebni za podršku radnim procesima u upravljanju kulturnim dobrima. U razdoblju od tri godine osigurat će se dostupnost jedinstvenog informacijskog sustava kulturne baštine svim čimbenicima koji su uključeni u službu zaštite i očuvanja kulturne baštine, sustav upravljanja kulturnim dobrima i javnosti.</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Uspostavljen IT sustav kulturne baštine Republike Hrvatske</w:t>
            </w:r>
          </w:p>
        </w:tc>
        <w:tc>
          <w:tcPr>
            <w:tcW w:w="1114" w:type="dxa"/>
          </w:tcPr>
          <w:p w:rsidR="00D849AA" w:rsidRDefault="00EE6D95">
            <w:r>
              <w:t>%</w:t>
            </w:r>
          </w:p>
        </w:tc>
        <w:tc>
          <w:tcPr>
            <w:tcW w:w="1114" w:type="dxa"/>
          </w:tcPr>
          <w:p w:rsidR="00D849AA" w:rsidRDefault="00EE6D95">
            <w:r>
              <w:t>20</w:t>
            </w:r>
          </w:p>
        </w:tc>
        <w:tc>
          <w:tcPr>
            <w:tcW w:w="1486" w:type="dxa"/>
          </w:tcPr>
          <w:p w:rsidR="00D849AA" w:rsidRDefault="00EE6D95">
            <w:r>
              <w:t>30</w:t>
            </w:r>
          </w:p>
        </w:tc>
        <w:tc>
          <w:tcPr>
            <w:tcW w:w="1486" w:type="dxa"/>
          </w:tcPr>
          <w:p w:rsidR="00D849AA" w:rsidRDefault="00EE6D95">
            <w:r>
              <w:t>45</w:t>
            </w:r>
          </w:p>
        </w:tc>
        <w:tc>
          <w:tcPr>
            <w:tcW w:w="1486" w:type="dxa"/>
          </w:tcPr>
          <w:p w:rsidR="00D849AA" w:rsidRDefault="00EE6D95">
            <w:r>
              <w:t>70</w:t>
            </w:r>
          </w:p>
        </w:tc>
      </w:tr>
    </w:tbl>
    <w:p w:rsidR="00D849AA" w:rsidRDefault="00D849AA">
      <w:pPr>
        <w:jc w:val="left"/>
      </w:pPr>
    </w:p>
    <w:p w:rsidR="00D849AA" w:rsidRDefault="00EE6D95">
      <w:pPr>
        <w:pStyle w:val="Naslov7"/>
      </w:pPr>
      <w:r>
        <w:t>Cilj 2. Istraživanje, dookumentiranje i inventarizacija kulturnih dobara</w:t>
      </w:r>
    </w:p>
    <w:p w:rsidR="00D849AA" w:rsidRDefault="00EE6D95">
      <w:pPr>
        <w:pStyle w:val="Normal6"/>
      </w:pPr>
      <w:r>
        <w:t xml:space="preserve">Ministarstvo kulture kroz mrežu od devetnaest konzervatorskih odjela zajedno sa Upravom za zaštitu kulturne baštine i Gradskim zavodom za zaštitu spomenike kulture i prirode grada Zagreba, provodi prikupljanje podataka o kulturnoj baštini. Aktivnost objedinjuje dokumentiranje, istražne radove te izradu elaborata, inventarizaciju pokretnih kulturnih dobara, kao i pohranjivanje podataka. Prikupljeni podaci o kulturnoj baštini sustavno se uvode u informacijsku bazu podataka tvoreći jedinstven informacijski sustav. Time se omogućuje jednostavan i brz prijenos podataka i informacija koji se koristi u službene svrhe, za znanstveno istraživanje i u publicističke svrhe, za potrebe nastave i izlaganja te u druge opravdane svrhe za potrebe javnosti. </w:t>
      </w:r>
    </w:p>
    <w:p w:rsidR="00D849AA" w:rsidRDefault="00EE6D95">
      <w:pPr>
        <w:pStyle w:val="Normal6"/>
      </w:pPr>
      <w:r>
        <w:t xml:space="preserve">Jačanjem kriterija za unificiranost dokumentacije uz edukacijske programe, Ministarstvo kulture će pridonijeti kvaliteti prikupljenih i obnovljivih podataka važnih za zaštitu i očuvanje baštine. </w:t>
      </w:r>
    </w:p>
    <w:p w:rsidR="00D849AA" w:rsidRDefault="00EE6D95">
      <w:pPr>
        <w:pStyle w:val="Normal6"/>
      </w:pPr>
      <w:r>
        <w:t>Potrebno je kontinuirano provoditi istražne radove i dokumentiranje kulturnih dobara te će se u trogodišnjem razdoblju izraditi 40 arhitektonskih snimaka postojećeg stanja, 100 elaborata nepokretnih kulturnih dobara, 60 konzervatorskih podloga za zaštićene i registrirane povijesne cjeline, odnosno 40 inventarizacija zbirki.</w:t>
      </w:r>
    </w:p>
    <w:p w:rsidR="00D849AA" w:rsidRDefault="00EE6D95">
      <w:pPr>
        <w:pStyle w:val="Naslov7"/>
      </w:pPr>
      <w:r>
        <w:t>Cilj 3. Dostupnost kulturne baštine digitalnom okruženju</w:t>
      </w:r>
    </w:p>
    <w:p w:rsidR="00D849AA" w:rsidRDefault="00EE6D95">
      <w:pPr>
        <w:pStyle w:val="Normal6"/>
      </w:pPr>
      <w:r>
        <w:t xml:space="preserve">Nacionalni program digitalizacije arhivske, knjižnične i muzejske građe razvija sustavan i ujednačen pristup digitalizaciji građe kao i provedbu pojedinačnih projekata digitalizacije u kulturnim ustanovama, te oblikuje ponudu kulturnih sadržaja i usluga korištenjem </w:t>
      </w:r>
      <w:r>
        <w:lastRenderedPageBreak/>
        <w:t xml:space="preserve">digitalnih preslika. Mrežno je dostupno 226 digitaliziranih zbirki te provedeno 79 programa digitalizacije pokretne kulturne baštine. </w:t>
      </w:r>
    </w:p>
    <w:p w:rsidR="00D849AA" w:rsidRDefault="00EE6D95">
      <w:pPr>
        <w:pStyle w:val="Normal6"/>
      </w:pPr>
      <w:r>
        <w:t xml:space="preserve">Povećanjem broja programa digitalizacije, broja digitalnih zbirki te uključenih ustanova povećat će se zaštita, dostupnost i korištenje građe kulturne baštine (portal „Hrvatska kulturna baština“). Dio podataka o kulturnoj baštiti koji je pohranjen unutar sustava Ministarstva kulture, odnosno središnjeg dijela Uprave za zaštitu kulturne baštine potrebno je ujednačiti i obuhvatiti jedinstvenim informacijskim sustavom kako bi podaci o kulturnoj baštini bili dostupni svim subjektima u sustavu zaštite. </w:t>
      </w:r>
    </w:p>
    <w:p w:rsidR="00D849AA" w:rsidRDefault="00EE6D95">
      <w:pPr>
        <w:pStyle w:val="Normal6"/>
      </w:pPr>
      <w:r>
        <w:t xml:space="preserve">U slijedećem trogodišnjem razdoblju, Ministarstvo kulture će razviti i uspostaviti IT sustav ISKB kojim će se digitalizirati svi prikupljeni i obrađeni podaci o kulturnoj baštini na suvremenoj programskoj platformi uz očuvanje/konverziju svih podataka koji su do sada uneseni u bazu. Također, sustav će biti izrađen kao Geografsko-informacijski sustav (GIS) upravljanja kulturnom baštinom, povezan s Državnom geodetskom upravom i katastrom, s mogućnošću pretraživanja putem interaktivne karte i pretraživanja cjelokupnog fonda kulturne baštine Republike Hrvatske. </w:t>
      </w:r>
    </w:p>
    <w:p w:rsidR="00D849AA" w:rsidRDefault="00EE6D95">
      <w:pPr>
        <w:pStyle w:val="Normal6"/>
      </w:pPr>
      <w:r>
        <w:t xml:space="preserve">Ministarstvo kulture ima posebnu ulogu u promoviranju i poticanju kulturnih institucija na stvaranje atraktivnog sadržaja i usluga kojima hrvatska kulturna baština slobodno cirkulira unutar europskog digitalnog tržišta. Svojim programom digitalizacije kulturne baštine Ministarstvo kulture doprinosi razvoju jakog i učinkovitog sustava gospodarskog upravljanja definiranog strategijom Europa 2020. U tijeku je izrada Strategije digitalizacije kulturne baštine do 2020. godine kojom se definira infrastrukturni nacionalni sustav kojim se hrvatska kulturna baština uključuje u međunarodne kulturne portale kao dio europske kulturne baštine. </w:t>
      </w:r>
    </w:p>
    <w:p w:rsidR="00D849AA" w:rsidRDefault="00EE6D95">
      <w:pPr>
        <w:pStyle w:val="Normal6"/>
      </w:pPr>
      <w:r>
        <w:t>Infrastruktura digitalizacije kulturne baštine obuhvati će sve provajdere digitalnog sadržaja. Ključni provajderi digitalnog sadržaja u Hrvatskoj su definirani prema sadržaju stvarnih objekata kulturne baštine: Muzejski dokumentacijski centar – za građu pohranjenu u muzejima, Hrvatski državni arhiv – za građu pohranjenu u arhivima, Nacionalna i sveučilišna knjižnica – za građu pohranjenu u knjižnicama,  Hrvatski audiovizualni centar – za audiovizualnu građu, Ministarstvo kulture – materijalna i nematerijalna baština obrađena u sustavu Teuta. Jedan od prioritetnih projekata strategije je i izgradnja sustava e-knjige i e-nakladništva u cilju poticanja javno privatnog partnerstva.</w:t>
      </w:r>
    </w:p>
    <w:p w:rsidR="00D849AA" w:rsidRDefault="00EE6D95">
      <w:pPr>
        <w:pStyle w:val="Naslov5"/>
      </w:pPr>
      <w:r>
        <w:t>Procjena i ishodište potrebnih sredstava za značajnije aktivnosti/projekte</w:t>
      </w:r>
    </w:p>
    <w:p w:rsidR="00D849AA" w:rsidRDefault="00EE6D95">
      <w:pPr>
        <w:pStyle w:val="Naslov6"/>
      </w:pPr>
      <w:r>
        <w:t>A565010 ZAŠTITNI RADOVI NA NEPOKRETNIM SPOMENICIMA KULTURE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A565010</w:t>
            </w:r>
          </w:p>
        </w:tc>
        <w:tc>
          <w:tcPr>
            <w:tcW w:w="1486" w:type="dxa"/>
          </w:tcPr>
          <w:p w:rsidR="00D849AA" w:rsidRDefault="00EE6D95">
            <w:r>
              <w:t>76.431.528</w:t>
            </w:r>
          </w:p>
        </w:tc>
        <w:tc>
          <w:tcPr>
            <w:tcW w:w="1486" w:type="dxa"/>
          </w:tcPr>
          <w:p w:rsidR="00D849AA" w:rsidRDefault="00EE6D95">
            <w:r>
              <w:t>90.898.849</w:t>
            </w:r>
          </w:p>
        </w:tc>
        <w:tc>
          <w:tcPr>
            <w:tcW w:w="1486" w:type="dxa"/>
          </w:tcPr>
          <w:p w:rsidR="00D849AA" w:rsidRDefault="00EE6D95">
            <w:r>
              <w:t>100.043.387</w:t>
            </w:r>
          </w:p>
        </w:tc>
        <w:tc>
          <w:tcPr>
            <w:tcW w:w="1486" w:type="dxa"/>
          </w:tcPr>
          <w:p w:rsidR="00D849AA" w:rsidRDefault="00EE6D95">
            <w:r>
              <w:t>85.191.160</w:t>
            </w:r>
          </w:p>
        </w:tc>
        <w:tc>
          <w:tcPr>
            <w:tcW w:w="1486" w:type="dxa"/>
          </w:tcPr>
          <w:p w:rsidR="00D849AA" w:rsidRDefault="00EE6D95">
            <w:r>
              <w:t>118,9</w:t>
            </w:r>
          </w:p>
        </w:tc>
      </w:tr>
    </w:tbl>
    <w:p w:rsidR="00D849AA" w:rsidRDefault="00D849AA">
      <w:pPr>
        <w:jc w:val="left"/>
      </w:pPr>
    </w:p>
    <w:p w:rsidR="00D849AA" w:rsidRDefault="00EE6D95">
      <w:pPr>
        <w:pStyle w:val="Normal6"/>
      </w:pPr>
      <w:r>
        <w:t xml:space="preserve">Ministarstvo kulture je kroz mrežu od devetnaest konzervatorskih odjela zajedno sa Upravom za zaštitu kulturne baštine provodilo prikupljanje podataka o kulturnim dobrima. Aktivnost objedinjuje dokumentiranje, istražne radove te izradu elaborata, kao i pohranjivanje podataka. Prikupljeni podaci o kulturnim dobrima sustavno se uvode u informacijsku bazu podataka tvoreći jedinstven informacijski sustav. Jačanjem kriterija za unificiranost dokumentacije uz edukacijske programe, Ministarstvo kulture je pridonijelo kvaliteti prikupljenih i obnovljivih podataka važnih za zaštitu i očuvanje baštine. Također, prikupljanjem prijava za zaštitne radove na nepokretnim kulturnim dobrima i zaštićenim </w:t>
      </w:r>
      <w:r>
        <w:lastRenderedPageBreak/>
        <w:t>arheološkim lokalitetima prema Pozivu za predlaganje programa javnih potreba u kulturi Republike Hrvatske, izradom financijske dokumentacije, praćenjem provedbe programa i izradom izvješća o izvršenom programu osigurana je obnova i prezentacija nepokretnih kulturnih dobara i zaštićenih arheoloških lokaliteta Republike Hrvatske.</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Povećanje broja provedenih cjelovitih programa zaštite i očuvanja nepokretnih, pokretnih i nematerijalnih kulturnih dobara te programa zaštite i očuvanja  arheoloških zona</w:t>
            </w:r>
          </w:p>
        </w:tc>
        <w:tc>
          <w:tcPr>
            <w:tcW w:w="1114" w:type="dxa"/>
          </w:tcPr>
          <w:p w:rsidR="00D849AA" w:rsidRDefault="00EE6D95">
            <w:r>
              <w:t>Broj</w:t>
            </w:r>
          </w:p>
        </w:tc>
        <w:tc>
          <w:tcPr>
            <w:tcW w:w="1114" w:type="dxa"/>
          </w:tcPr>
          <w:p w:rsidR="00D849AA" w:rsidRDefault="00EE6D95">
            <w:r>
              <w:t>59</w:t>
            </w:r>
          </w:p>
        </w:tc>
        <w:tc>
          <w:tcPr>
            <w:tcW w:w="1486" w:type="dxa"/>
          </w:tcPr>
          <w:p w:rsidR="00D849AA" w:rsidRDefault="00EE6D95">
            <w:r>
              <w:t>59</w:t>
            </w:r>
          </w:p>
        </w:tc>
        <w:tc>
          <w:tcPr>
            <w:tcW w:w="1486" w:type="dxa"/>
          </w:tcPr>
          <w:p w:rsidR="00D849AA" w:rsidRDefault="00EE6D95">
            <w:r>
              <w:t>64</w:t>
            </w:r>
          </w:p>
        </w:tc>
        <w:tc>
          <w:tcPr>
            <w:tcW w:w="1486" w:type="dxa"/>
          </w:tcPr>
          <w:p w:rsidR="00D849AA" w:rsidRDefault="00EE6D95">
            <w:r>
              <w:t>66</w:t>
            </w:r>
          </w:p>
        </w:tc>
      </w:tr>
    </w:tbl>
    <w:p w:rsidR="00D849AA" w:rsidRDefault="00D849AA">
      <w:pPr>
        <w:jc w:val="left"/>
      </w:pPr>
    </w:p>
    <w:p w:rsidR="00D849AA" w:rsidRDefault="00EE6D95">
      <w:pPr>
        <w:pStyle w:val="Naslov6"/>
      </w:pPr>
      <w:r>
        <w:t>A565036 ZAŠTITA POKRETNIH SPOMENIKA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A565036</w:t>
            </w:r>
          </w:p>
        </w:tc>
        <w:tc>
          <w:tcPr>
            <w:tcW w:w="1486" w:type="dxa"/>
          </w:tcPr>
          <w:p w:rsidR="00D849AA" w:rsidRDefault="00EE6D95">
            <w:r>
              <w:t>9.000.000</w:t>
            </w:r>
          </w:p>
        </w:tc>
        <w:tc>
          <w:tcPr>
            <w:tcW w:w="1486" w:type="dxa"/>
          </w:tcPr>
          <w:p w:rsidR="00D849AA" w:rsidRDefault="00EE6D95">
            <w:r>
              <w:t>9.000.000</w:t>
            </w:r>
          </w:p>
        </w:tc>
        <w:tc>
          <w:tcPr>
            <w:tcW w:w="1486" w:type="dxa"/>
          </w:tcPr>
          <w:p w:rsidR="00D849AA" w:rsidRDefault="00EE6D95">
            <w:r>
              <w:t>10.000.000</w:t>
            </w:r>
          </w:p>
        </w:tc>
        <w:tc>
          <w:tcPr>
            <w:tcW w:w="1486" w:type="dxa"/>
          </w:tcPr>
          <w:p w:rsidR="00D849AA" w:rsidRDefault="00EE6D95">
            <w:r>
              <w:t>10.000.000</w:t>
            </w:r>
          </w:p>
        </w:tc>
        <w:tc>
          <w:tcPr>
            <w:tcW w:w="1486" w:type="dxa"/>
          </w:tcPr>
          <w:p w:rsidR="00D849AA" w:rsidRDefault="00EE6D95">
            <w:r>
              <w:t>100,0</w:t>
            </w:r>
          </w:p>
        </w:tc>
      </w:tr>
    </w:tbl>
    <w:p w:rsidR="00D849AA" w:rsidRDefault="00D849AA">
      <w:pPr>
        <w:jc w:val="left"/>
      </w:pPr>
    </w:p>
    <w:p w:rsidR="00D849AA" w:rsidRDefault="00EE6D95">
      <w:pPr>
        <w:pStyle w:val="Normal6"/>
      </w:pPr>
      <w:r>
        <w:t>Ministarstvo kulture kroz mrežu od devetnaest konzervatorskih odjela zajedno s Upravom za zaštitu kulturne baštine provodi prikupljanje podataka o kulturnim dobrima. Aktivnost objedinjuje dokumentiranje, istražne radove te izradu elaborata, inventarizaciju pokretnih kulturnih dobara, kao i pohranjivanje podataka. Jačanjem kriterija za unificiranost dokumentacije uz edukacijske programe, Ministarstvo kulture pridonosi kvaliteti prikupljenih i obnovljivih podataka važnih za zaštitu i očuvanje baštine. Do sada je istraženo i dokumentirano 10% zaštićenih kulturnih dobara, potrebno je kontinuirano provoditi dokumentiranje i istražne radove te će se u trogodišnjem razdoblju provesti 60 inventarizacija zbirki. Također, prikupljanjem prijava za zaštitne radove na pokretnim i nematerijalnim kulturnim dobrima prema Pozivu za predlaganje programa javnih potreba u kulturi Republike Hrvatske, izradom financijske dokumentacije, praćenjem provedbe programa i izradom izvješća o izvršenom programu osigurana je obnova i prezentacija pokretnih i nematerijalnih kulturnih dobara Republike Hrvatske.</w:t>
      </w:r>
    </w:p>
    <w:p w:rsidR="00D849AA" w:rsidRDefault="00EE6D95">
      <w:pPr>
        <w:pStyle w:val="Naslov6"/>
      </w:pPr>
      <w:r>
        <w:t>A784001 KONZERVATORSKO-ARHEOLOŠKA ISTRAŽIVANJA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A784001</w:t>
            </w:r>
          </w:p>
        </w:tc>
        <w:tc>
          <w:tcPr>
            <w:tcW w:w="1486" w:type="dxa"/>
          </w:tcPr>
          <w:p w:rsidR="00D849AA" w:rsidRDefault="00EE6D95">
            <w:r>
              <w:t>1.000.000</w:t>
            </w:r>
          </w:p>
        </w:tc>
        <w:tc>
          <w:tcPr>
            <w:tcW w:w="1486" w:type="dxa"/>
          </w:tcPr>
          <w:p w:rsidR="00D849AA" w:rsidRDefault="00EE6D95">
            <w:r>
              <w:t>500.000</w:t>
            </w:r>
          </w:p>
        </w:tc>
        <w:tc>
          <w:tcPr>
            <w:tcW w:w="1486" w:type="dxa"/>
          </w:tcPr>
          <w:p w:rsidR="00D849AA" w:rsidRDefault="00EE6D95">
            <w:r>
              <w:t>500.000</w:t>
            </w:r>
          </w:p>
        </w:tc>
        <w:tc>
          <w:tcPr>
            <w:tcW w:w="1486" w:type="dxa"/>
          </w:tcPr>
          <w:p w:rsidR="00D849AA" w:rsidRDefault="00EE6D95">
            <w:r>
              <w:t>500.000</w:t>
            </w:r>
          </w:p>
        </w:tc>
        <w:tc>
          <w:tcPr>
            <w:tcW w:w="1486" w:type="dxa"/>
          </w:tcPr>
          <w:p w:rsidR="00D849AA" w:rsidRDefault="00EE6D95">
            <w:r>
              <w:t>50,0</w:t>
            </w:r>
          </w:p>
        </w:tc>
      </w:tr>
    </w:tbl>
    <w:p w:rsidR="00D849AA" w:rsidRDefault="00D849AA">
      <w:pPr>
        <w:jc w:val="left"/>
      </w:pPr>
    </w:p>
    <w:p w:rsidR="00D849AA" w:rsidRDefault="00EE6D95">
      <w:pPr>
        <w:pStyle w:val="Normal6"/>
      </w:pPr>
      <w:r>
        <w:t xml:space="preserve">Obveza istraživanja kulturne baštine kojoj prijeti nepovratno uništenje propisana je Zakonom o zaštiti i očuvanju kulturnih dobara, na osobitu zaštitu kulturnih vrijednosti obvezuje i Ustav RH, a Europska konvencija o zaštiti arheološke baštine (revidirana 1992. </w:t>
      </w:r>
      <w:r>
        <w:lastRenderedPageBreak/>
        <w:t>godine) ratificirana je od Hrvatskog Sabora u travnju 2004. godine. U njoj je arheološka baština definirana kao suštinska za poznavanje povijesti čovječanstva, a Konvencija govori o ozbiljnoj ugroženosti arheološke baštine zbog rastućeg broja velikih graditeljskih pothvata, tajnih ili neznanstvenih istraživanja ili nedovoljno razvijene svijesti javnosti. Uslijed povećanja građevinskih aktivnosti na izgradnji infrastrukture (autoceste, magistralne ceste, plinovodi, vodna mreža, poslovne zone) Ministarstvo kulture aktivno je uključeno u rješavanje problema zaštite i istraživanja arheoloških lokaliteta ugroženih gradnjom.</w:t>
      </w:r>
    </w:p>
    <w:p w:rsidR="00D849AA" w:rsidRDefault="00EE6D95">
      <w:pPr>
        <w:pStyle w:val="Naslov6"/>
      </w:pPr>
      <w:r>
        <w:t>K781005 IPA I  2009 OBNOVA MAŠKOVIĆA HANA I GOSPODARSKA REVITALIZACIJA MJESTA VRANA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K781005</w:t>
            </w:r>
          </w:p>
        </w:tc>
        <w:tc>
          <w:tcPr>
            <w:tcW w:w="1486" w:type="dxa"/>
          </w:tcPr>
          <w:p w:rsidR="00D849AA" w:rsidRDefault="00EE6D95">
            <w:r>
              <w:t>16.144.200</w:t>
            </w:r>
          </w:p>
        </w:tc>
        <w:tc>
          <w:tcPr>
            <w:tcW w:w="1486" w:type="dxa"/>
          </w:tcPr>
          <w:p w:rsidR="00D849AA" w:rsidRDefault="00EE6D95">
            <w:r>
              <w:t>13.226.755</w:t>
            </w:r>
          </w:p>
        </w:tc>
        <w:tc>
          <w:tcPr>
            <w:tcW w:w="1486" w:type="dxa"/>
          </w:tcPr>
          <w:p w:rsidR="00D849AA" w:rsidRDefault="00EE6D95">
            <w:r>
              <w:t>00</w:t>
            </w:r>
          </w:p>
        </w:tc>
        <w:tc>
          <w:tcPr>
            <w:tcW w:w="1486" w:type="dxa"/>
          </w:tcPr>
          <w:p w:rsidR="00D849AA" w:rsidRDefault="00EE6D95">
            <w:r>
              <w:t>00</w:t>
            </w:r>
          </w:p>
        </w:tc>
        <w:tc>
          <w:tcPr>
            <w:tcW w:w="1486" w:type="dxa"/>
          </w:tcPr>
          <w:p w:rsidR="00D849AA" w:rsidRDefault="00EE6D95">
            <w:r>
              <w:t>81,9</w:t>
            </w:r>
          </w:p>
        </w:tc>
      </w:tr>
    </w:tbl>
    <w:p w:rsidR="00D849AA" w:rsidRDefault="00D849AA">
      <w:pPr>
        <w:jc w:val="left"/>
      </w:pPr>
    </w:p>
    <w:p w:rsidR="00D849AA" w:rsidRDefault="00EE6D95">
      <w:pPr>
        <w:pStyle w:val="Normal6"/>
      </w:pPr>
      <w:r>
        <w:t>Ovom aktivnosti Maškovića han u Vrani koji je registrirano nepokretno kulturno dobro i jedinstveni spomenik turskog graditeljstva u Hrvatskoj biti će obnovljen i revitaliziran a ujedno biti će to i početak ekonomskog oporavka mjesta Vrana. U sklopu projekta “Obnova Maškovića hana i ekonomska revitalizacija mjesta Vrana” – IPA 2009 – izrađen je glavni projekt obnove Maškovića hana i natječajna dokumentacija za radove. U tijeku je izrada Plana održivog gospodarskog razvoja mjesta Vrane i marketinškog plana Agencije Han. Projektom obnove predviđena je revitalizacija hana vraćanjem izvorne funkcije – prenoćišta. Tijekom 2014. godine očekuje se izvođenje radova obnove prema projektu te građevinski nadzor radova obnove.</w:t>
      </w:r>
    </w:p>
    <w:p w:rsidR="00D849AA" w:rsidRDefault="00EE6D95">
      <w:pPr>
        <w:pStyle w:val="Naslov2"/>
      </w:pPr>
      <w:r>
        <w:t>05535 Arhivi</w:t>
      </w:r>
    </w:p>
    <w:p w:rsidR="00D849AA" w:rsidRDefault="00EE6D95">
      <w:pPr>
        <w:pStyle w:val="Naslov4"/>
      </w:pPr>
      <w:r>
        <w:t>Uvod</w:t>
      </w:r>
    </w:p>
    <w:p w:rsidR="00D849AA" w:rsidRDefault="00EE6D95">
      <w:pPr>
        <w:pStyle w:val="Normal3"/>
      </w:pPr>
      <w:r>
        <w:t>Arhivsku službu u Republici Hrvatskoj čine Hrvatski državni arhiv, osamnaest područnih državnih arhiva te Hrvatsko memorijalni dokumentacijski centar Domovinskog rata.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05535</w:t>
            </w:r>
          </w:p>
        </w:tc>
        <w:tc>
          <w:tcPr>
            <w:tcW w:w="1486" w:type="dxa"/>
          </w:tcPr>
          <w:p w:rsidR="00D849AA" w:rsidRDefault="00EE6D95">
            <w:r>
              <w:t>81.018.676</w:t>
            </w:r>
          </w:p>
        </w:tc>
        <w:tc>
          <w:tcPr>
            <w:tcW w:w="1486" w:type="dxa"/>
          </w:tcPr>
          <w:p w:rsidR="00D849AA" w:rsidRDefault="00EE6D95">
            <w:r>
              <w:t>74.226.325</w:t>
            </w:r>
          </w:p>
        </w:tc>
        <w:tc>
          <w:tcPr>
            <w:tcW w:w="1486" w:type="dxa"/>
          </w:tcPr>
          <w:p w:rsidR="00D849AA" w:rsidRDefault="00EE6D95">
            <w:r>
              <w:t>69.008.944</w:t>
            </w:r>
          </w:p>
        </w:tc>
        <w:tc>
          <w:tcPr>
            <w:tcW w:w="1486" w:type="dxa"/>
          </w:tcPr>
          <w:p w:rsidR="00D849AA" w:rsidRDefault="00EE6D95">
            <w:r>
              <w:t>70.635.844</w:t>
            </w:r>
          </w:p>
        </w:tc>
        <w:tc>
          <w:tcPr>
            <w:tcW w:w="1486" w:type="dxa"/>
          </w:tcPr>
          <w:p w:rsidR="00D849AA" w:rsidRDefault="00EE6D95">
            <w:r>
              <w:t>91,6</w:t>
            </w:r>
          </w:p>
        </w:tc>
      </w:tr>
    </w:tbl>
    <w:p w:rsidR="00D849AA" w:rsidRDefault="00D849AA">
      <w:pPr>
        <w:jc w:val="left"/>
      </w:pPr>
    </w:p>
    <w:p w:rsidR="00D849AA" w:rsidRDefault="00EE6D95">
      <w:pPr>
        <w:pStyle w:val="Naslov4"/>
      </w:pPr>
      <w:r>
        <w:t>OBRAZLOŽENJE PROGRAMA</w:t>
      </w:r>
    </w:p>
    <w:p w:rsidR="00D849AA" w:rsidRDefault="00EE6D95">
      <w:pPr>
        <w:pStyle w:val="Naslov5"/>
      </w:pPr>
      <w:r>
        <w:t>3902 ARHIVSKA DJELATNOST</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3902</w:t>
            </w:r>
          </w:p>
        </w:tc>
        <w:tc>
          <w:tcPr>
            <w:tcW w:w="1486" w:type="dxa"/>
          </w:tcPr>
          <w:p w:rsidR="00D849AA" w:rsidRDefault="00EE6D95">
            <w:r>
              <w:t>81.018.676</w:t>
            </w:r>
          </w:p>
        </w:tc>
        <w:tc>
          <w:tcPr>
            <w:tcW w:w="1486" w:type="dxa"/>
          </w:tcPr>
          <w:p w:rsidR="00D849AA" w:rsidRDefault="00EE6D95">
            <w:r>
              <w:t>74.226.325</w:t>
            </w:r>
          </w:p>
        </w:tc>
        <w:tc>
          <w:tcPr>
            <w:tcW w:w="1486" w:type="dxa"/>
          </w:tcPr>
          <w:p w:rsidR="00D849AA" w:rsidRDefault="00EE6D95">
            <w:r>
              <w:t>69.008.944</w:t>
            </w:r>
          </w:p>
        </w:tc>
        <w:tc>
          <w:tcPr>
            <w:tcW w:w="1486" w:type="dxa"/>
          </w:tcPr>
          <w:p w:rsidR="00D849AA" w:rsidRDefault="00EE6D95">
            <w:r>
              <w:t>70.635.844</w:t>
            </w:r>
          </w:p>
        </w:tc>
        <w:tc>
          <w:tcPr>
            <w:tcW w:w="1486" w:type="dxa"/>
          </w:tcPr>
          <w:p w:rsidR="00D849AA" w:rsidRDefault="00EE6D95">
            <w:r>
              <w:t>91,6</w:t>
            </w:r>
          </w:p>
        </w:tc>
      </w:tr>
    </w:tbl>
    <w:p w:rsidR="00D849AA" w:rsidRDefault="00D849AA">
      <w:pPr>
        <w:jc w:val="left"/>
      </w:pPr>
    </w:p>
    <w:p w:rsidR="00D849AA" w:rsidRDefault="00EE6D95">
      <w:pPr>
        <w:pStyle w:val="Naslov6"/>
      </w:pPr>
      <w:r>
        <w:lastRenderedPageBreak/>
        <w:t>Opis programa</w:t>
      </w:r>
    </w:p>
    <w:p w:rsidR="00D849AA" w:rsidRDefault="00EE6D95">
      <w:pPr>
        <w:pStyle w:val="Normal5"/>
      </w:pPr>
      <w:r>
        <w:t>Temeljne zadaće arhiva su redovito preuzimanje novog gradiva koje nastaje radom državnih tijela i drugih javnih službe, te zaštita, obrada, osiguranje dostupnosti i poticanje korištenja arhivskog gradiva. Godišnje nastaje 2.500 dužnih metara gradiva trajne vrijednosti koje arhivi trebaju preuzeti te primjereno obraditi i zaštititi. Zbog neadekvatnih prostornih i tehničkih uvjeta većina arhiva nije u mogućnosti smjestiti gradivo.</w:t>
      </w:r>
    </w:p>
    <w:p w:rsidR="00D849AA" w:rsidRDefault="00EE6D95">
      <w:pPr>
        <w:pStyle w:val="Naslov6"/>
      </w:pPr>
      <w:r>
        <w:t>Zakonske i druge pravne osnove</w:t>
      </w:r>
    </w:p>
    <w:p w:rsidR="00D849AA" w:rsidRDefault="00EE6D95">
      <w:pPr>
        <w:pStyle w:val="Normal5"/>
      </w:pPr>
      <w:r>
        <w:t>Zakoni: - Zakon o arhivskom gradivu i arhivima (NN 105/97,NN 64/00, NN 65/09) - Zakon o Hrvatskom memorijalno-dokumentacijskom centru Domovinskog rata (NN 178/04) - Popis imalaca arhivske i registraturne građe prve i druge kategorije u nadležnosti arhiva Hrvatske (NN 15/89) Pravilnici: - Pravilnik o zaštiti i čuvanju arhivskog i registraturnog gradiva izvan arhiva (NN 63/04,106/07) - Pravilnik o uvjetima smještaja, opreme, zaštite i obrade arhivskog gradiva, broju i strukturi stručnog osoblja arhiva (NN 65/04) - Pravilnik o stručnom osposobljavanju i provjeri stručne osposobljenosti djelatnika u pismohranama (NN 93/04) - Pravilnik o korištenju arhivskoga gradiva (NN 67/99) - Pravilnik o predaji arhivskog gradiva arhivima (NN 90/02) - Pravilnik o vrednovanju te postupku odabiranja i izlučivanja arhivskog gradiva (NN 90/02) - Pravilnik o evidencijama u arhivima (NN 90/02, 106/07) - Pravilnik o uvjetima i načinu stjecanja stručnih zvanja u arhivskoj struci (NN 107/10) Uredbe: - Uredba o osnivanju Državnog arhiva u Gospiću (NN 101/99) - Uredba o osnivanju Državnog arhiva u Šibeniku (NN 7/07) - Uredba o osnivanju Državnog arhiva u Vukovaru (NN 7/07) - Uredba o osnivanju Državnog arhiva za Međimurje (NN 14/07) - Uredba o osnivanju Državnog arhiva u Križevcima (NN 77/08) - Uredba o osnivanju Državnog arhiva u Virovitici (NN 121/08)</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Cilj 1. Osiguranje uvjeta za dugoročno očuvanje gradiva u nadležnosti javnih arhiva</w:t>
      </w:r>
    </w:p>
    <w:p w:rsidR="00D849AA" w:rsidRDefault="00EE6D95">
      <w:pPr>
        <w:pStyle w:val="Normal6"/>
      </w:pPr>
      <w:r>
        <w:t xml:space="preserve">Većini arhiva nedostaje spremišnog prostora i/ili opreme za pohranu novoga gradiva koje je dospjelo ili dospijeva za preuzimanje prema zakonom utvrđenim rokovima. Uslijed toga gradivo se dulje zadržava u neprimjerenome prostoru izvan arhiva gdje je izloženo riziku ubrzanog propadanja i nije dostupno korisnicima. Prioritetni investicijski programi kojima će se povećati kapacitet arhiva za preuzimanje novog gradiva su: izgradnja novog spremišta Hrvatskog državnog arhiva u Kerestincu, dovršenje arhiva u Dubrovniku, rekonstrukcija zgrade za potrebe arhiva u Osijeku te uređenje i opremanje arhiva u Vukovaru. </w:t>
      </w:r>
    </w:p>
    <w:p w:rsidR="00D849AA" w:rsidRDefault="00EE6D95">
      <w:pPr>
        <w:pStyle w:val="Normal6"/>
      </w:pPr>
      <w:r>
        <w:t xml:space="preserve">Znatan dio spremišnih objekata nije namjenski građen za pohranu arhivskog gradiva, niti je opremljen tako da osigurava uvjete kakve određuju norme za dugoročno čuvanja arhivskog i knjižnog gradiva. Gradivo koje je smješteno u spremišta koja znatnije odstupaju od normiranih uvjeta ima znatno kraći očekivani životni vijek te je podložnije pojedinim čimbenicima koji dovode do njegova oštećivanja i propadanja. Za uređenje i opremanje spremišnih prostorija, kako bi udovoljavale normama, potrebno je osigurati razmjerno velika sredstva, te se stoga planira postupno smanjenje količine gradiva, koje se ne čuva u preporučenim uvjetima, u duljem razdoblju. </w:t>
      </w:r>
    </w:p>
    <w:p w:rsidR="00D849AA" w:rsidRDefault="00EE6D95">
      <w:pPr>
        <w:pStyle w:val="Normal6"/>
      </w:pPr>
      <w:r>
        <w:t>Među postupcima koje arhivi provode radi dugoročnog očuvanja arhivskog gradiva su i konzerviranje i restauriranje oštećenog i ugroženog gradiva, izrada i čuvanje sigurnosnih kopija, tehničko opremanje, čišćenje i sl. U sljedećem razdoblju zadržat će se postojeća razina i opseg ovih aktivnosti.</w:t>
      </w:r>
    </w:p>
    <w:p w:rsidR="00B151E0" w:rsidRDefault="00B151E0">
      <w:pPr>
        <w:pStyle w:val="Normal6"/>
      </w:pPr>
    </w:p>
    <w:p w:rsidR="00B151E0" w:rsidRDefault="00B151E0">
      <w:pPr>
        <w:pStyle w:val="Normal6"/>
      </w:pPr>
    </w:p>
    <w:p w:rsidR="00D849AA" w:rsidRDefault="00EE6D95">
      <w:pPr>
        <w:pStyle w:val="Naslov8"/>
        <w:jc w:val="left"/>
      </w:pPr>
      <w:r>
        <w:lastRenderedPageBreak/>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povećanje broja korištenih arhivskih jedinica</w:t>
            </w:r>
          </w:p>
        </w:tc>
        <w:tc>
          <w:tcPr>
            <w:tcW w:w="1114" w:type="dxa"/>
          </w:tcPr>
          <w:p w:rsidR="00D849AA" w:rsidRDefault="00EE6D95">
            <w:r>
              <w:t>Broj</w:t>
            </w:r>
          </w:p>
        </w:tc>
        <w:tc>
          <w:tcPr>
            <w:tcW w:w="1114" w:type="dxa"/>
          </w:tcPr>
          <w:p w:rsidR="00D849AA" w:rsidRDefault="00EE6D95">
            <w:r>
              <w:t>70.000</w:t>
            </w:r>
          </w:p>
        </w:tc>
        <w:tc>
          <w:tcPr>
            <w:tcW w:w="1486" w:type="dxa"/>
          </w:tcPr>
          <w:p w:rsidR="00D849AA" w:rsidRDefault="00EE6D95">
            <w:r>
              <w:t>75.000</w:t>
            </w:r>
          </w:p>
        </w:tc>
        <w:tc>
          <w:tcPr>
            <w:tcW w:w="1486" w:type="dxa"/>
          </w:tcPr>
          <w:p w:rsidR="00D849AA" w:rsidRDefault="00EE6D95">
            <w:r>
              <w:t>83.000</w:t>
            </w:r>
          </w:p>
        </w:tc>
        <w:tc>
          <w:tcPr>
            <w:tcW w:w="1486" w:type="dxa"/>
          </w:tcPr>
          <w:p w:rsidR="00D849AA" w:rsidRDefault="00EE6D95">
            <w:r>
              <w:t>93.000</w:t>
            </w:r>
          </w:p>
        </w:tc>
      </w:tr>
    </w:tbl>
    <w:p w:rsidR="00D849AA" w:rsidRDefault="00D849AA">
      <w:pPr>
        <w:jc w:val="left"/>
      </w:pPr>
    </w:p>
    <w:p w:rsidR="00D849AA" w:rsidRDefault="00EE6D95">
      <w:pPr>
        <w:pStyle w:val="Naslov7"/>
      </w:pPr>
      <w:r>
        <w:t>Cilj 2. Povećanje dostupnosti gradiva u arhivima</w:t>
      </w:r>
    </w:p>
    <w:p w:rsidR="00D849AA" w:rsidRDefault="00EE6D95">
      <w:pPr>
        <w:pStyle w:val="Normal6"/>
      </w:pPr>
      <w:r>
        <w:t xml:space="preserve">Dostupnost arhivskog gradiva i informacija o njemu u digitalnom okruženju ima neposredan učinak i na razinu interesa za njegovo korištenje i na stupanj obrađenosti i zaštite. Radi dostupnosti arhivi sređuju, opisuju i digitaliziraju arhivsko gradivo te izrađuju obavijesna pomagala. Iako je obveza tijela i ustanova koje predaju svoje gradivo nadležnom arhivu da ga prije toga primjereno srede i popišu, to u prošlosti često nije bio slučaj, a niti danas mnoga tijela ne uspijevaju svoje gradivo obraditi i popisati tako da se može dati na korištenje bez dodatne obrade. Postojeći resursi omogućuju obradu i popisivanje oko 2.500 dužnih metara gradiva godišnje. </w:t>
      </w:r>
    </w:p>
    <w:p w:rsidR="00D849AA" w:rsidRDefault="00EE6D95">
      <w:pPr>
        <w:pStyle w:val="Normal6"/>
      </w:pPr>
      <w:r>
        <w:t>Uz sređivanje i opis, velik utjecaj na dostupnost gradiva ima mogućnost pretraživanja i pristupa gradivu u elektroničkom obliku. Arhivi će nastaviti razvijati i puniti skupni elektronički katalog te digitalizirati gradivo za koje postoji izraženiji interes korisnika.</w:t>
      </w:r>
    </w:p>
    <w:p w:rsidR="00D849AA" w:rsidRDefault="00EE6D95">
      <w:pPr>
        <w:pStyle w:val="Naslov7"/>
      </w:pPr>
      <w:r>
        <w:t>Cilj 3. Povećanje kvalitete usluga korisnicima i posjetiteljima</w:t>
      </w:r>
    </w:p>
    <w:p w:rsidR="00D849AA" w:rsidRDefault="00EE6D95">
      <w:pPr>
        <w:pStyle w:val="Normal6"/>
      </w:pPr>
      <w:r>
        <w:t xml:space="preserve">Uz standardne usluge korisnicima, kao što su korištenje gradiva u čitaonici, izrada preslika, izvoda i sl., arhivi pripremaju i druge sadržaje i programe za korisnike i posjetitelje: izložbe, radionice, predavanja, sadržaje koji se mogu koristiti u obrazovnom procesu u nastavi pojedinih predmeta i dr. Ovakvim sadržajima i programima arhivi postaju relevantni i za osobe koje nisu posebno motivirane za istraživanje arhivskog gradiva, što je obično razmjerno intenzivan proces. </w:t>
      </w:r>
    </w:p>
    <w:p w:rsidR="00D849AA" w:rsidRDefault="00EE6D95">
      <w:pPr>
        <w:pStyle w:val="Normal6"/>
      </w:pPr>
      <w:r>
        <w:t>Usluge arhiva podliježu normama kvalitete koje se odnose na rok u kojem će se obraditi zahtjevi korisnika, radno vrijeme čitaonica, zadovoljstvo korisnika podrškom u istraživanju, komunikaciju s arhivom, mogućnosti naručivanja, kopiranja i dr. Arhivi će kontinuirano pratiti procese vezane uz obradu korisničkih zahtjeva i pružanje drugih usluga te njihovim optimiziranjem i raspodjelom resursa utjecati da se smanji učestalost usluga koje iz bilo kojih razloga odstupaju od norme kvalitete.</w:t>
      </w:r>
    </w:p>
    <w:p w:rsidR="00D849AA" w:rsidRDefault="00EE6D95">
      <w:pPr>
        <w:pStyle w:val="Naslov7"/>
      </w:pPr>
      <w:r>
        <w:t>Cilj 4. Podrška javnim tijelima i ustanovama u upravljanju njihovom dokumentacijom</w:t>
      </w:r>
    </w:p>
    <w:p w:rsidR="00D849AA" w:rsidRDefault="00EE6D95">
      <w:pPr>
        <w:pStyle w:val="Normal6"/>
      </w:pPr>
      <w:r>
        <w:t>Arhivi pružaju podršku tijelima, ustanovama i drugim organizacijama, čijim radom nastaje arhivsko gradivo koje će se predati arhivu, u upravljanju njihovom dokumentacijom, kako bi onaj dio, koji će se čuvati trajno, dospio u arhiv u što boljem stanju, čime se smanjuje potreba za dodatnom obradom u arhivu. Ove aktivnosti uključuju programe osposobljavanja i stručnog usavršavanja, podršku u analizi uredskog poslovanja i primjeni odgovarajućih nacionalnih i međunarodnih normi, podršku u izradi klasifikacijskih planova i popisa s rokovima čuvanja, davanje preporuka i savjeta o pojedinim pitanjima zaštite i obrade službene i poslovne dokumentacije i sl.</w:t>
      </w:r>
    </w:p>
    <w:p w:rsidR="00D849AA" w:rsidRDefault="00EE6D95">
      <w:pPr>
        <w:pStyle w:val="Naslov5"/>
      </w:pPr>
      <w:r>
        <w:lastRenderedPageBreak/>
        <w:t>Procjena i ishodište potrebnih sredstava za značajnije aktivnosti/projekte</w:t>
      </w:r>
    </w:p>
    <w:p w:rsidR="00D849AA" w:rsidRDefault="00EE6D95">
      <w:pPr>
        <w:pStyle w:val="Naslov6"/>
      </w:pPr>
      <w:r>
        <w:t>A565028 PROGRAMI ARHIVSKE DJELATNOSTI</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A565028</w:t>
            </w:r>
          </w:p>
        </w:tc>
        <w:tc>
          <w:tcPr>
            <w:tcW w:w="1486" w:type="dxa"/>
          </w:tcPr>
          <w:p w:rsidR="00D849AA" w:rsidRDefault="00EE6D95">
            <w:r>
              <w:t>13.000.000</w:t>
            </w:r>
          </w:p>
        </w:tc>
        <w:tc>
          <w:tcPr>
            <w:tcW w:w="1486" w:type="dxa"/>
          </w:tcPr>
          <w:p w:rsidR="00D849AA" w:rsidRDefault="00EE6D95">
            <w:r>
              <w:t>9.000.000</w:t>
            </w:r>
          </w:p>
        </w:tc>
        <w:tc>
          <w:tcPr>
            <w:tcW w:w="1486" w:type="dxa"/>
          </w:tcPr>
          <w:p w:rsidR="00D849AA" w:rsidRDefault="00EE6D95">
            <w:r>
              <w:t>9.000.000</w:t>
            </w:r>
          </w:p>
        </w:tc>
        <w:tc>
          <w:tcPr>
            <w:tcW w:w="1486" w:type="dxa"/>
          </w:tcPr>
          <w:p w:rsidR="00D849AA" w:rsidRDefault="00EE6D95">
            <w:r>
              <w:t>9.000.000</w:t>
            </w:r>
          </w:p>
        </w:tc>
        <w:tc>
          <w:tcPr>
            <w:tcW w:w="1486" w:type="dxa"/>
          </w:tcPr>
          <w:p w:rsidR="00D849AA" w:rsidRDefault="00EE6D95">
            <w:r>
              <w:t>69,2</w:t>
            </w:r>
          </w:p>
        </w:tc>
      </w:tr>
    </w:tbl>
    <w:p w:rsidR="00D849AA" w:rsidRDefault="00D849AA">
      <w:pPr>
        <w:jc w:val="left"/>
      </w:pPr>
    </w:p>
    <w:p w:rsidR="00D849AA" w:rsidRDefault="00EE6D95">
      <w:pPr>
        <w:pStyle w:val="Normal6"/>
      </w:pPr>
      <w:r>
        <w:t>Programi arhivske djelatnosti obuhvaćaju objavljivanje arhivskog gradiva i stručnih publikacija, posebne programe restauriranja i zaštitnog snimanja, projekte interventne ili ubrzane obrade gradiva, projekte istraživanja, sukcesije i restitucije arhivskog gradiva iz drugih zemalja, istraživačke i razvojne projekte na području arhivistike i arhivske djelatnosti, programe stručnog usavršavanja i druge projekte čiji je cilj unapređenje arhivske djelatnosti, uvođenje novih ili poboljšanje postojećih metodologija rada, poboljšanje uvjeta za čuvanje i korištenje arhivskog gradiva te programe rješavanja prostornih kapaciteta arhiva.</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Povećanje količine gradiva pohranjenog u arhivima (dužni metri)</w:t>
            </w:r>
          </w:p>
        </w:tc>
        <w:tc>
          <w:tcPr>
            <w:tcW w:w="1114" w:type="dxa"/>
          </w:tcPr>
          <w:p w:rsidR="00D849AA" w:rsidRDefault="00EE6D95">
            <w:r>
              <w:t>Broj</w:t>
            </w:r>
          </w:p>
        </w:tc>
        <w:tc>
          <w:tcPr>
            <w:tcW w:w="1114" w:type="dxa"/>
          </w:tcPr>
          <w:p w:rsidR="00D849AA" w:rsidRDefault="00EE6D95">
            <w:r>
              <w:t>106.800</w:t>
            </w:r>
          </w:p>
        </w:tc>
        <w:tc>
          <w:tcPr>
            <w:tcW w:w="1486" w:type="dxa"/>
          </w:tcPr>
          <w:p w:rsidR="00D849AA" w:rsidRDefault="00EE6D95">
            <w:r>
              <w:t>108.500</w:t>
            </w:r>
          </w:p>
        </w:tc>
        <w:tc>
          <w:tcPr>
            <w:tcW w:w="1486" w:type="dxa"/>
          </w:tcPr>
          <w:p w:rsidR="00D849AA" w:rsidRDefault="00EE6D95">
            <w:r>
              <w:t>110.000</w:t>
            </w:r>
          </w:p>
        </w:tc>
        <w:tc>
          <w:tcPr>
            <w:tcW w:w="1486" w:type="dxa"/>
          </w:tcPr>
          <w:p w:rsidR="00D849AA" w:rsidRDefault="00EE6D95">
            <w:r>
              <w:t>111.500</w:t>
            </w:r>
          </w:p>
        </w:tc>
      </w:tr>
    </w:tbl>
    <w:p w:rsidR="00D849AA" w:rsidRDefault="00D849AA">
      <w:pPr>
        <w:jc w:val="left"/>
      </w:pPr>
    </w:p>
    <w:p w:rsidR="00D849AA" w:rsidRDefault="00EE6D95">
      <w:pPr>
        <w:pStyle w:val="Naslov6"/>
      </w:pPr>
      <w:r>
        <w:t>A783000 ADMINISTRACIJA I UPRAVLJANJE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A783000</w:t>
            </w:r>
          </w:p>
        </w:tc>
        <w:tc>
          <w:tcPr>
            <w:tcW w:w="1486" w:type="dxa"/>
          </w:tcPr>
          <w:p w:rsidR="00D849AA" w:rsidRDefault="00EE6D95">
            <w:r>
              <w:t>68.018.676</w:t>
            </w:r>
          </w:p>
        </w:tc>
        <w:tc>
          <w:tcPr>
            <w:tcW w:w="1486" w:type="dxa"/>
          </w:tcPr>
          <w:p w:rsidR="00D849AA" w:rsidRDefault="00EE6D95">
            <w:r>
              <w:t>65.226.325</w:t>
            </w:r>
          </w:p>
        </w:tc>
        <w:tc>
          <w:tcPr>
            <w:tcW w:w="1486" w:type="dxa"/>
          </w:tcPr>
          <w:p w:rsidR="00D849AA" w:rsidRDefault="00EE6D95">
            <w:r>
              <w:t>60.008.944</w:t>
            </w:r>
          </w:p>
        </w:tc>
        <w:tc>
          <w:tcPr>
            <w:tcW w:w="1486" w:type="dxa"/>
          </w:tcPr>
          <w:p w:rsidR="00D849AA" w:rsidRDefault="00EE6D95">
            <w:r>
              <w:t>61.635.844</w:t>
            </w:r>
          </w:p>
        </w:tc>
        <w:tc>
          <w:tcPr>
            <w:tcW w:w="1486" w:type="dxa"/>
          </w:tcPr>
          <w:p w:rsidR="00D849AA" w:rsidRDefault="00EE6D95">
            <w:r>
              <w:t>95,9</w:t>
            </w:r>
          </w:p>
        </w:tc>
      </w:tr>
    </w:tbl>
    <w:p w:rsidR="00D849AA" w:rsidRDefault="00D849AA">
      <w:pPr>
        <w:jc w:val="left"/>
      </w:pPr>
    </w:p>
    <w:p w:rsidR="00D849AA" w:rsidRDefault="00EE6D95">
      <w:pPr>
        <w:pStyle w:val="Normal6"/>
      </w:pPr>
      <w:r>
        <w:t>Aktivnost obuhvaća osnovnu redovnu djelatnost državnih arhiva: preuzimanje, zaštitu i očuvanje arhivskog gradiva, osiguranje njegove dostupnosti, pružanje usluga korisnicima, stručni nadzor nad stvarateljima i imateljima gradiva izvan arhiva, vrednovanje i izlučivanje gradiva, sređivanje i opis gradiva u arhivu i dr. koja se obavlja u Hrvatskom državnom arhivu, 18 područnih državnih arhiva te Hrvatskom memorijalno-dokumentacijskom centru Domovinskog rata.</w:t>
      </w:r>
    </w:p>
    <w:p w:rsidR="00B151E0" w:rsidRDefault="00B151E0">
      <w:pPr>
        <w:pStyle w:val="Normal6"/>
      </w:pPr>
    </w:p>
    <w:p w:rsidR="00B151E0" w:rsidRDefault="00B151E0">
      <w:pPr>
        <w:pStyle w:val="Normal6"/>
      </w:pPr>
    </w:p>
    <w:p w:rsidR="00B151E0" w:rsidRDefault="00B151E0">
      <w:pPr>
        <w:pStyle w:val="Normal6"/>
      </w:pPr>
    </w:p>
    <w:p w:rsidR="00D849AA" w:rsidRDefault="00EE6D95">
      <w:pPr>
        <w:pStyle w:val="Naslov2"/>
      </w:pPr>
      <w:r>
        <w:lastRenderedPageBreak/>
        <w:t>05540 Muzeji i galerije</w:t>
      </w:r>
    </w:p>
    <w:p w:rsidR="00D849AA" w:rsidRDefault="00EE6D95">
      <w:pPr>
        <w:pStyle w:val="Naslov4"/>
      </w:pPr>
      <w:r>
        <w:t>Uvod</w:t>
      </w:r>
    </w:p>
    <w:p w:rsidR="00D849AA" w:rsidRDefault="00EE6D95">
      <w:pPr>
        <w:pStyle w:val="Normal3"/>
      </w:pPr>
      <w:r>
        <w:t>U glavi 05540 osigurana su sredstva za rad dvadeset nacionalnih muzeja.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05540</w:t>
            </w:r>
          </w:p>
        </w:tc>
        <w:tc>
          <w:tcPr>
            <w:tcW w:w="1486" w:type="dxa"/>
          </w:tcPr>
          <w:p w:rsidR="00D849AA" w:rsidRDefault="00EE6D95">
            <w:r>
              <w:t>80.979.778</w:t>
            </w:r>
          </w:p>
        </w:tc>
        <w:tc>
          <w:tcPr>
            <w:tcW w:w="1486" w:type="dxa"/>
          </w:tcPr>
          <w:p w:rsidR="00D849AA" w:rsidRDefault="00EE6D95">
            <w:r>
              <w:t>76.206.780</w:t>
            </w:r>
          </w:p>
        </w:tc>
        <w:tc>
          <w:tcPr>
            <w:tcW w:w="1486" w:type="dxa"/>
          </w:tcPr>
          <w:p w:rsidR="00D849AA" w:rsidRDefault="00EE6D95">
            <w:r>
              <w:t>71.004.879</w:t>
            </w:r>
          </w:p>
        </w:tc>
        <w:tc>
          <w:tcPr>
            <w:tcW w:w="1486" w:type="dxa"/>
          </w:tcPr>
          <w:p w:rsidR="00D849AA" w:rsidRDefault="00EE6D95">
            <w:r>
              <w:t>70.608.391</w:t>
            </w:r>
          </w:p>
        </w:tc>
        <w:tc>
          <w:tcPr>
            <w:tcW w:w="1486" w:type="dxa"/>
          </w:tcPr>
          <w:p w:rsidR="00D849AA" w:rsidRDefault="00EE6D95">
            <w:r>
              <w:t>94,1</w:t>
            </w:r>
          </w:p>
        </w:tc>
      </w:tr>
    </w:tbl>
    <w:p w:rsidR="00D849AA" w:rsidRDefault="00D849AA">
      <w:pPr>
        <w:jc w:val="left"/>
      </w:pPr>
    </w:p>
    <w:p w:rsidR="00D849AA" w:rsidRDefault="00EE6D95">
      <w:pPr>
        <w:pStyle w:val="Naslov4"/>
      </w:pPr>
      <w:r>
        <w:t>OBRAZLOŽENJE PROGRAMA</w:t>
      </w:r>
    </w:p>
    <w:p w:rsidR="00D849AA" w:rsidRDefault="00EE6D95">
      <w:pPr>
        <w:pStyle w:val="Naslov5"/>
      </w:pPr>
      <w:r>
        <w:t>3903 MUZEJSKO-GALERIJSKA DJELATNOST</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3903</w:t>
            </w:r>
          </w:p>
        </w:tc>
        <w:tc>
          <w:tcPr>
            <w:tcW w:w="1486" w:type="dxa"/>
          </w:tcPr>
          <w:p w:rsidR="00D849AA" w:rsidRDefault="00EE6D95">
            <w:r>
              <w:t>80.979.778</w:t>
            </w:r>
          </w:p>
        </w:tc>
        <w:tc>
          <w:tcPr>
            <w:tcW w:w="1486" w:type="dxa"/>
          </w:tcPr>
          <w:p w:rsidR="00D849AA" w:rsidRDefault="00EE6D95">
            <w:r>
              <w:t>76.206.780</w:t>
            </w:r>
          </w:p>
        </w:tc>
        <w:tc>
          <w:tcPr>
            <w:tcW w:w="1486" w:type="dxa"/>
          </w:tcPr>
          <w:p w:rsidR="00D849AA" w:rsidRDefault="00EE6D95">
            <w:r>
              <w:t>71.004.879</w:t>
            </w:r>
          </w:p>
        </w:tc>
        <w:tc>
          <w:tcPr>
            <w:tcW w:w="1486" w:type="dxa"/>
          </w:tcPr>
          <w:p w:rsidR="00D849AA" w:rsidRDefault="00EE6D95">
            <w:r>
              <w:t>70.608.391</w:t>
            </w:r>
          </w:p>
        </w:tc>
        <w:tc>
          <w:tcPr>
            <w:tcW w:w="1486" w:type="dxa"/>
          </w:tcPr>
          <w:p w:rsidR="00D849AA" w:rsidRDefault="00EE6D95">
            <w:r>
              <w:t>94,1</w:t>
            </w:r>
          </w:p>
        </w:tc>
      </w:tr>
    </w:tbl>
    <w:p w:rsidR="00D849AA" w:rsidRDefault="00D849AA">
      <w:pPr>
        <w:jc w:val="left"/>
      </w:pPr>
    </w:p>
    <w:p w:rsidR="00D849AA" w:rsidRDefault="00EE6D95">
      <w:pPr>
        <w:pStyle w:val="Naslov6"/>
      </w:pPr>
      <w:r>
        <w:t>Opis programa</w:t>
      </w:r>
    </w:p>
    <w:p w:rsidR="00D849AA" w:rsidRDefault="00EE6D95">
      <w:pPr>
        <w:pStyle w:val="Normal5"/>
      </w:pPr>
      <w:r>
        <w:t>Muzejske ustanove kroz sustav muzeja uspostavljaju jedinstven stručni pristup u obavljanju muzejske djelatnosti, stručni nadzor nad radom muzeja, izgradnju standardna djelatnosti te potiču kvalitetnije funkcioniranje muzeja u smislu očuvanja, zaštite, istraživanja i promocije muzejske baštine kao i ostvarivanja društvene uloge muzeja. Cilj i svrha sustava muzeja su povećanje razine inventiranosti, obrade i prezentacije muzejske građe, razvoj muzejske infrastrukture, podizanje razine zaštite i očuvanja muzejske građe te veća dostupnost kulturne baštine u digitalnom okruženju.</w:t>
      </w:r>
    </w:p>
    <w:p w:rsidR="00D849AA" w:rsidRDefault="00EE6D95">
      <w:pPr>
        <w:pStyle w:val="Naslov6"/>
      </w:pPr>
      <w:r>
        <w:t>Zakonske i druge pravne osnove</w:t>
      </w:r>
    </w:p>
    <w:p w:rsidR="00D849AA" w:rsidRDefault="00EE6D95">
      <w:pPr>
        <w:pStyle w:val="Normal5"/>
      </w:pPr>
      <w:r>
        <w:t>Zakoni: - Zakon o muzejima (NN 142/98, NN 65/09) - Zakon o Muzejima Ivana Meštrovića (NN 76/07) - Zakon o Spomen-području Jasenovac (NN 15/90; NN 28/90 Ispravak, NN 22/01) - Zakon o kulturnim vijećima, 2004. (NN 48/04, NN 44/09) - Zakon o ustanovama (NN 76/93; NN 29/97, NN 47/99 - Ispravak i NN 35/08) - Zakon o upravljanju javnim ustanovama u kulturi (NN 96/01) - Zakon o financiranju javnih potreba u kulturi (NN 47/90 , NN 27/93, NN 38/09) Pravilnici: - Pravilnik o načinu i mjerilima za povezivanje u sustav muzeja Republike Hrvatske (NN 120/02) - Pravilnik o dopuni pravilnika o načinu i mjerilima za povezivanje u sustav muzeja Republike Hrvatske (NN 82/06) - Pravilnik o uvjetima i načinu stjecanja stručnih zvanja u muzejskoj struci (NN 97/10) - Pravilnik o očevidniku muzeja, te muzeja, galerija i zbirki unutar ustanova i drugih pravnih osoba (NN 96/99) - Pravilnik o uvjetima i načinu ostvarivanja uvida u muzejsku građu i muzejsku dokumentaciju (NN 115/01) - Pravilnik o sadržaju i načinu vođenja muzejske dokumentacije o muzejskoj građi (NN 108/02) - Pravilnik o stručnim i tehničkim standardima za određivanje vrste muzeja, za njihov rad, te za smještaj muzejske građe i muzejske dokumentacije (NN 30/06) - Pravilnik o izboru i utvrđivanju programa javnih potreba u kulturi (NN 137/08, NN 57/09, 62/09)</w:t>
      </w:r>
    </w:p>
    <w:p w:rsidR="00D849AA" w:rsidRDefault="00EE6D95">
      <w:pPr>
        <w:pStyle w:val="Naslov6"/>
      </w:pPr>
      <w:r>
        <w:lastRenderedPageBreak/>
        <w:t>Ciljevi provedbe programa u razdoblju 2014.-2016. i pokazatelji uspješnosti kojima će se mjeriti ostvarenje tih ciljeva</w:t>
      </w:r>
    </w:p>
    <w:p w:rsidR="00D849AA" w:rsidRDefault="00EE6D95">
      <w:pPr>
        <w:pStyle w:val="Naslov7"/>
      </w:pPr>
      <w:r>
        <w:t>Cilj 1. Potpora programskim aktivnostima muzeja i galerija na državnom proračunu</w:t>
      </w:r>
    </w:p>
    <w:p w:rsidR="00D849AA" w:rsidRDefault="00EE6D95">
      <w:pPr>
        <w:pStyle w:val="Normal6"/>
      </w:pPr>
      <w:r>
        <w:t xml:space="preserve">Muzeji i galerije na državnom proračunu skrbe o 360 muzejskih zbirki koje sadrže ukupno 1.354.473 predmeta, od čega je oko 40% inventarizirano (533.900), a oko 23% (309.346) unešeno u bazu (računalno inventirano). Kod dijela arheoloških muzeja razina inventiranosti muzejske građe i dokumentacije je nedostatna. Inventarizacija muzejske građe i dokumentacije prioritetna je muzejska aktivnost. Potporama izložbama iz fundusa i onima vezanim za osnovnu djelatnost muzeja propisano i u Zakonu o muzejima – obradi, zaštiti, istraživanju i prezentaciju vlastitog fundusa i pripremi stalnog postava te onima koje studijski i znanstveno obrađuju građu i prezentiraju nova saznanja razvija se muzejska djelatnost i prezentira raznolika kulturna, prirodoslovna i tehnička dobra koja su dio sveukupne nacionalne kulturne baštine. Potporama izdavačkoj djelatnosti muzeja pridonosi se valorizaciji, kategorizaciji i prezentaciji fundusa.  </w:t>
      </w:r>
    </w:p>
    <w:p w:rsidR="00D849AA" w:rsidRDefault="00EE6D95">
      <w:pPr>
        <w:pStyle w:val="Normal6"/>
      </w:pPr>
      <w:r>
        <w:t xml:space="preserve">Međumuzejska suradnja podrazumijeva razmjenu programa, organizaciju zajedničkih izložaba i ostalih projekata,  suradnju na predlaganju izložaba za međunarodnu suradnju s naglaskom na reciprocitet pri razmjeni izložaba i definiranje troškova te na suradnju u popunama fundusa trajnim posudbama građe.  </w:t>
      </w:r>
    </w:p>
    <w:p w:rsidR="00D849AA" w:rsidRDefault="00EE6D95">
      <w:pPr>
        <w:pStyle w:val="Normal6"/>
      </w:pPr>
      <w:r>
        <w:t>Godišnje se sufinancira oko 100 programskih aktivnosti muzeja koji su na državnom proračunu. Podupire se suradnja muzeja s drugim regionalnim i nacionalnim  baštinskim i kulturnim institucijama s ciljem ostvarivanja zajedničkih i/ili kompleksnih projekata predstavljanja ukupnosti baštine pojedinih hrvatskih regija koji pokazuju povijesni kontinuitet u kulturnom, umjetničkom, gospodarskom i političkom životu.</w:t>
      </w:r>
    </w:p>
    <w:p w:rsidR="00D849AA" w:rsidRDefault="00EE6D95">
      <w:pPr>
        <w:pStyle w:val="Naslov7"/>
      </w:pPr>
      <w:r>
        <w:t>Cilj 2. Potpora programskim aktivnostima lokalnih, županijskih i ostalih muzeja</w:t>
      </w:r>
    </w:p>
    <w:p w:rsidR="00D849AA" w:rsidRDefault="00EE6D95">
      <w:pPr>
        <w:pStyle w:val="Normal6"/>
      </w:pPr>
      <w:r>
        <w:t>S obzirom na nedostatnu razinu inventiranosti muzejske građe potpora tematskim, studijskim, monografskim i ostalim izložbama, izložbama iz fundusa, pedagoško-edukativnim programima, programima nakladništva i razmjeni programa te onima koji pridonose obradi, zaštiti, istraživanju i prezentaciju vlastitog fundusa i pripremi stalnog postava povećava se razina inventiranosti muzejske građe i pridonosi se valorizaciji, kategorizaciji i prezentaciji fundusa. Lokalni, županijski i ostali muzeji skrbe o  1983 muzejske zbirke koje broje 4.510.769 predmeta. Oko 51% predmeta je inventarizirano (2.330.404), dok je 28% uneseno u bazu (1.262.324).</w:t>
      </w:r>
    </w:p>
    <w:p w:rsidR="00D849AA" w:rsidRDefault="00EE6D95">
      <w:pPr>
        <w:pStyle w:val="Naslov7"/>
      </w:pPr>
      <w:r>
        <w:t>Cilj 3. Potpora razvitku muzejske infrastrukture</w:t>
      </w:r>
    </w:p>
    <w:p w:rsidR="00D849AA" w:rsidRDefault="00EE6D95">
      <w:pPr>
        <w:pStyle w:val="Normal6"/>
      </w:pPr>
      <w:r>
        <w:t xml:space="preserve">Investicijska ulaganja u razvoj muzejske infrastrukture, valorizacija projekata muzejskih programa i postava, povezivanje novih muzeja u Sustav muzeja, primjena propisanih stručnih i tehničkih standarda usmjereno je na integriranje muzejskih projekata u ukupnu ponudu znanja i informacija o kulturnoj baštini te ulaganja u cilju osiguranja održivog kulturnog i gospodarskog razvoja. U trogodišnjem razdoblju program obuhvaća dovršetak obnove nove zgrade nacionalnog Hrvatskog povijesnog muzeja, Zagreb, Muzeja Apoksiomena, Mali Lošinj, Muzeja Alke, Sinj i Hrvatskog vojnog muzeja. </w:t>
      </w:r>
    </w:p>
    <w:p w:rsidR="00D849AA" w:rsidRDefault="00EE6D95">
      <w:pPr>
        <w:pStyle w:val="Normal6"/>
      </w:pPr>
      <w:r>
        <w:t xml:space="preserve">Realizacija novih stalnih postava obuhvaća nacionalne muzeje (Muzej hrvatskih arheoloških spomenika u Splitu, Arheološki muzej Zadar – postav Antike, Muzeji Hrvatskog zagorja – Dvor Veliki Tabor, Arheološki muzej Istre u Puli, Hrvatski športski muzej i Muzej Vučedolske kulture) i ostale kojih su osnivači gradovi i županije (Gradski muzej Vukovar, Prirodoslovni muzej Metković, Muzej Brodskog Posavlja, Slavonski </w:t>
      </w:r>
      <w:r>
        <w:lastRenderedPageBreak/>
        <w:t xml:space="preserve">Brod, Zavičajni muzej Slatina, Gradski muzej Nova Gradiška, Spomen galerija Kerdić u Davoru, Etnografski muzej Istre u Pazinu, Gradski muzej Požega). </w:t>
      </w:r>
    </w:p>
    <w:p w:rsidR="00D849AA" w:rsidRDefault="00EE6D95">
      <w:pPr>
        <w:pStyle w:val="Normal6"/>
      </w:pPr>
      <w:r>
        <w:t>Opremanje muzeja informatičkom opremom i muzejskim programima (M++) te uspostava suradnje i interoperabilnosti s ostalim informacijskim sustavima: knjižnica, arhiva, spomeničke baštine i dr.; instalacija sekundarne dokumentacije, dodatnih modula i kompletna programska podrška (razvoj i nadogradnja sustava); osiguranje mrežne dostupnosti podataka i dokumentacije baze muzejskih predmeta. Izrada informatičkog sustava upravljanja KD povezanog s postojećim sustavima/bazama podataka restauriranih umjetnina, muzejske građe i arhivske građe (BREUH, M++, Arhinet).</w:t>
      </w:r>
    </w:p>
    <w:p w:rsidR="00D849AA" w:rsidRDefault="00EE6D95">
      <w:pPr>
        <w:pStyle w:val="Naslov7"/>
      </w:pPr>
      <w:r>
        <w:t>Cilj 4. Podizanje kvalitete djelovanja muzeja, uspostavljanje jedinstvenih standarda i normi kroz Sustav muzeja (matičnost)</w:t>
      </w:r>
    </w:p>
    <w:p w:rsidR="00D849AA" w:rsidRDefault="00EE6D95">
      <w:pPr>
        <w:pStyle w:val="Normal6"/>
      </w:pPr>
      <w:r>
        <w:t xml:space="preserve">Povećanje aktivnosti usklađivanja i unapređenja stručnog rada putem uspostavljanja dinamike u razvoju sustava matičnosti i usklađivanje rada unutar Sustava muzeja i podizanje razine zaštite i očuvanja muzejske građe putem izrade planova preventivne zaštite i restauracije muzejske građe pridonijet će podizanju kvalitete djelovanja muzeja, uspostavljanju jedinstvenih standarda i normi za obavljanje muzejske djelatnosti kroz Sustav muzeja.  </w:t>
      </w:r>
    </w:p>
    <w:p w:rsidR="00D849AA" w:rsidRDefault="00EE6D95">
      <w:pPr>
        <w:pStyle w:val="Normal6"/>
      </w:pPr>
      <w:r>
        <w:t xml:space="preserve">Cilj provedbe programa Sustava muzeja obuhvaća jedinstveni stručni pristup u obavljanju muzejske djelatnosti – izgradnja standarda djelatnosti, promovirati diseminaciju muzejskih projekata i događanja, poticati, podupirati kvalitetnije funkcioniranje muzeja u smislu očuvanja, zaštite, znanstvenog istraživanja i promocije muzejske baštine kao i ostvarivanja društvene uloge muzeja, podupirati standarde rada u svim aspektima djelovanja i rada muzeja, jačati međumuzejsku suradnju kao i suradnju specijaliziranih stručnjaka  unutar i izvan muzeja kroz zajedničke projekte i međusobnu razmjenu aktivnosti i usluga, savjeta, jačati vezu i podupirati partnerstvo između muzeja i ostalih lokalnih, regionalnih i nacionalnih baštinskih i kulturnih institucija. Intenziviranje poslova stručne pomoći i suradnje nositelja provedbe matične djelatnosti prve i druge razine i izrada i provedba srednjoročnog plana aktivnosti Vijeća Sustava muzeja. Ravnomjerno i funkcionalno razvijanje Sustava muzeja, prioriteti u planiranju za područja s neravnomjernim brojem muzeja, pridonijet će razvoju mreže hrvatskih muzeja. </w:t>
      </w:r>
    </w:p>
    <w:p w:rsidR="00D849AA" w:rsidRDefault="00EE6D95">
      <w:pPr>
        <w:pStyle w:val="Normal6"/>
      </w:pPr>
      <w:r>
        <w:t>Razmjena znanja, stručnih iskustava i međusobna suradnja sa srodnim i ostalim institucijama i subjektima u kulturi i znanosti pridonijet će jačanju i razvijanju  partnerskih odnosa i suradnja.</w:t>
      </w:r>
    </w:p>
    <w:p w:rsidR="00D849AA" w:rsidRDefault="00EE6D95">
      <w:pPr>
        <w:pStyle w:val="Naslov5"/>
      </w:pPr>
      <w:r>
        <w:t>Procjena i ishodište potrebnih sredstava za značajnije aktivnosti/projekte</w:t>
      </w:r>
    </w:p>
    <w:p w:rsidR="00D849AA" w:rsidRDefault="00EE6D95">
      <w:pPr>
        <w:pStyle w:val="Naslov6"/>
      </w:pPr>
      <w:r>
        <w:t>A780000 ADMINISTRACIJA I UPRAVLJANJE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A780000</w:t>
            </w:r>
          </w:p>
        </w:tc>
        <w:tc>
          <w:tcPr>
            <w:tcW w:w="1486" w:type="dxa"/>
          </w:tcPr>
          <w:p w:rsidR="00D849AA" w:rsidRDefault="00EE6D95">
            <w:r>
              <w:t>67.229.778</w:t>
            </w:r>
          </w:p>
        </w:tc>
        <w:tc>
          <w:tcPr>
            <w:tcW w:w="1486" w:type="dxa"/>
          </w:tcPr>
          <w:p w:rsidR="00D849AA" w:rsidRDefault="00EE6D95">
            <w:r>
              <w:t>65.206.780</w:t>
            </w:r>
          </w:p>
        </w:tc>
        <w:tc>
          <w:tcPr>
            <w:tcW w:w="1486" w:type="dxa"/>
          </w:tcPr>
          <w:p w:rsidR="00D849AA" w:rsidRDefault="00EE6D95">
            <w:r>
              <w:t>60.004.879</w:t>
            </w:r>
          </w:p>
        </w:tc>
        <w:tc>
          <w:tcPr>
            <w:tcW w:w="1486" w:type="dxa"/>
          </w:tcPr>
          <w:p w:rsidR="00D849AA" w:rsidRDefault="00EE6D95">
            <w:r>
              <w:t>59.608.391</w:t>
            </w:r>
          </w:p>
        </w:tc>
        <w:tc>
          <w:tcPr>
            <w:tcW w:w="1486" w:type="dxa"/>
          </w:tcPr>
          <w:p w:rsidR="00D849AA" w:rsidRDefault="00EE6D95">
            <w:r>
              <w:t>97,0</w:t>
            </w:r>
          </w:p>
        </w:tc>
      </w:tr>
    </w:tbl>
    <w:p w:rsidR="00D849AA" w:rsidRDefault="00D849AA">
      <w:pPr>
        <w:jc w:val="left"/>
      </w:pPr>
    </w:p>
    <w:p w:rsidR="00D849AA" w:rsidRDefault="00EE6D95">
      <w:pPr>
        <w:pStyle w:val="Normal6"/>
      </w:pPr>
      <w:r>
        <w:t>U ovoj aktivnosti planiraju se rashodi za zaposlene za dvadeset nacionalnih muzeja te za njihove tekuće rashode.</w:t>
      </w:r>
    </w:p>
    <w:p w:rsidR="00B151E0" w:rsidRDefault="00B151E0">
      <w:pPr>
        <w:pStyle w:val="Normal6"/>
      </w:pPr>
    </w:p>
    <w:p w:rsidR="00B151E0" w:rsidRDefault="00B151E0">
      <w:pPr>
        <w:pStyle w:val="Normal6"/>
      </w:pPr>
    </w:p>
    <w:p w:rsidR="00D849AA" w:rsidRDefault="00EE6D95">
      <w:pPr>
        <w:pStyle w:val="Naslov6"/>
      </w:pPr>
      <w:r>
        <w:lastRenderedPageBreak/>
        <w:t>A780001 PROGRAMI MUZEJSKO GALERIJSKE DJELATNOSTI</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A780001</w:t>
            </w:r>
          </w:p>
        </w:tc>
        <w:tc>
          <w:tcPr>
            <w:tcW w:w="1486" w:type="dxa"/>
          </w:tcPr>
          <w:p w:rsidR="00D849AA" w:rsidRDefault="00EE6D95">
            <w:r>
              <w:t>13.750.000</w:t>
            </w:r>
          </w:p>
        </w:tc>
        <w:tc>
          <w:tcPr>
            <w:tcW w:w="1486" w:type="dxa"/>
          </w:tcPr>
          <w:p w:rsidR="00D849AA" w:rsidRDefault="00EE6D95">
            <w:r>
              <w:t>11.000.000</w:t>
            </w:r>
          </w:p>
        </w:tc>
        <w:tc>
          <w:tcPr>
            <w:tcW w:w="1486" w:type="dxa"/>
          </w:tcPr>
          <w:p w:rsidR="00D849AA" w:rsidRDefault="00EE6D95">
            <w:r>
              <w:t>11.000.000</w:t>
            </w:r>
          </w:p>
        </w:tc>
        <w:tc>
          <w:tcPr>
            <w:tcW w:w="1486" w:type="dxa"/>
          </w:tcPr>
          <w:p w:rsidR="00D849AA" w:rsidRDefault="00EE6D95">
            <w:r>
              <w:t>11.000.000</w:t>
            </w:r>
          </w:p>
        </w:tc>
        <w:tc>
          <w:tcPr>
            <w:tcW w:w="1486" w:type="dxa"/>
          </w:tcPr>
          <w:p w:rsidR="00D849AA" w:rsidRDefault="00EE6D95">
            <w:r>
              <w:t>80,0</w:t>
            </w:r>
          </w:p>
        </w:tc>
      </w:tr>
    </w:tbl>
    <w:p w:rsidR="00D849AA" w:rsidRDefault="00D849AA">
      <w:pPr>
        <w:jc w:val="left"/>
      </w:pPr>
    </w:p>
    <w:p w:rsidR="00D849AA" w:rsidRDefault="00EE6D95">
      <w:pPr>
        <w:pStyle w:val="Normal6"/>
      </w:pPr>
      <w:r>
        <w:t>Programi muzejsko-galerijske djelatnosti obuhvaćaju izložbe iz fundusa, zaštitu muzejskih fondova (restauracija i preventivna zaštita), istraživanja, otkup muzejske spomeničke građe, pedagoško-edukativne programe, nakladništvo, programi Sustava muzeja i dr. Prioritetne aktivnosti dvadeset državnih muzeja: intenzivnije inventariziranje i informatizacija u svim muzejima, registracija muzejskih i galerijskih zbirki, programi dokumentacije i digitalizacije muzejske građe, izrada smjernica za obradu muzejske građe, izrada prioriteta zaštite i restauriranja muzejske građe kao i revizija postojećeg stanja, izrada plana otkupne politike, definiranje kriterija za vrednovanje muzejsko-galerijskih programa, intenziviranje poslova stručne pomoći i suradnje nositelja provedbe matične djelatnosti prve i druge razine. U okviru financijskih mogućnosti osigurat će se odgovarajuća sredstva za radove adaptacija, uređenja i opremanja ostalih muzejskih ustanova kojima je osnivač Republika Hrvatska te opremanje muzeja informatičkom opremom i muzejskim programima (M++) te uspostava suradnje i interoperabilnosti s ostalim informacijskim sustavima. Planirana sredstva u odnosu na prethodnu godinu su za 20% smanjena.</w:t>
      </w:r>
    </w:p>
    <w:p w:rsidR="00B151E0" w:rsidRDefault="00B151E0">
      <w:pPr>
        <w:pStyle w:val="Normal6"/>
      </w:pPr>
    </w:p>
    <w:p w:rsidR="00B151E0" w:rsidRDefault="00B151E0">
      <w:pPr>
        <w:pStyle w:val="Normal6"/>
      </w:pPr>
    </w:p>
    <w:p w:rsidR="00B151E0" w:rsidRDefault="00B151E0">
      <w:pPr>
        <w:pStyle w:val="Normal6"/>
      </w:pPr>
    </w:p>
    <w:p w:rsidR="00B151E0" w:rsidRDefault="00B151E0">
      <w:pPr>
        <w:pStyle w:val="Normal6"/>
      </w:pPr>
    </w:p>
    <w:p w:rsidR="00B151E0" w:rsidRDefault="00B151E0">
      <w:pPr>
        <w:pStyle w:val="Normal6"/>
      </w:pPr>
    </w:p>
    <w:p w:rsidR="00B151E0" w:rsidRDefault="00B151E0">
      <w:pPr>
        <w:pStyle w:val="Normal6"/>
      </w:pPr>
    </w:p>
    <w:p w:rsidR="00B151E0" w:rsidRDefault="00B151E0">
      <w:pPr>
        <w:pStyle w:val="Normal6"/>
      </w:pPr>
    </w:p>
    <w:p w:rsidR="00B151E0" w:rsidRDefault="00B151E0">
      <w:pPr>
        <w:pStyle w:val="Normal6"/>
      </w:pPr>
    </w:p>
    <w:p w:rsidR="00B151E0" w:rsidRDefault="00B151E0">
      <w:pPr>
        <w:pStyle w:val="Normal6"/>
      </w:pPr>
    </w:p>
    <w:p w:rsidR="00B151E0" w:rsidRDefault="00B151E0">
      <w:pPr>
        <w:pStyle w:val="Normal6"/>
      </w:pPr>
    </w:p>
    <w:p w:rsidR="00B151E0" w:rsidRDefault="00B151E0">
      <w:pPr>
        <w:pStyle w:val="Normal6"/>
      </w:pPr>
    </w:p>
    <w:p w:rsidR="00B151E0" w:rsidRDefault="00B151E0">
      <w:pPr>
        <w:pStyle w:val="Normal6"/>
      </w:pPr>
    </w:p>
    <w:p w:rsidR="00B151E0" w:rsidRDefault="00B151E0">
      <w:pPr>
        <w:pStyle w:val="Normal6"/>
      </w:pPr>
    </w:p>
    <w:p w:rsidR="00B151E0" w:rsidRDefault="00B151E0">
      <w:pPr>
        <w:pStyle w:val="Normal6"/>
      </w:pPr>
    </w:p>
    <w:p w:rsidR="00B151E0" w:rsidRDefault="00B151E0">
      <w:pPr>
        <w:pStyle w:val="Normal6"/>
      </w:pPr>
    </w:p>
    <w:p w:rsidR="00B151E0" w:rsidRDefault="00B151E0">
      <w:pPr>
        <w:pStyle w:val="Normal6"/>
      </w:pPr>
    </w:p>
    <w:p w:rsidR="00B151E0" w:rsidRDefault="00B151E0">
      <w:pPr>
        <w:pStyle w:val="Normal6"/>
      </w:pPr>
    </w:p>
    <w:p w:rsidR="00B151E0" w:rsidRDefault="00B151E0">
      <w:pPr>
        <w:pStyle w:val="Normal6"/>
      </w:pPr>
    </w:p>
    <w:p w:rsidR="00B151E0" w:rsidRDefault="00B151E0">
      <w:pPr>
        <w:pStyle w:val="Normal6"/>
      </w:pPr>
    </w:p>
    <w:p w:rsidR="00D849AA" w:rsidRDefault="00EE6D95">
      <w:pPr>
        <w:pStyle w:val="Naslov2"/>
      </w:pPr>
      <w:r>
        <w:lastRenderedPageBreak/>
        <w:t>05565 Ostali proračunski korisnici iz područja kulture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01046</w:t>
            </w:r>
          </w:p>
        </w:tc>
        <w:tc>
          <w:tcPr>
            <w:tcW w:w="1486" w:type="dxa"/>
          </w:tcPr>
          <w:p w:rsidR="00D849AA" w:rsidRDefault="00EE6D95">
            <w:r>
              <w:t>11.949.796</w:t>
            </w:r>
          </w:p>
        </w:tc>
        <w:tc>
          <w:tcPr>
            <w:tcW w:w="1486" w:type="dxa"/>
          </w:tcPr>
          <w:p w:rsidR="00D849AA" w:rsidRDefault="00EE6D95">
            <w:r>
              <w:t>10.654.030</w:t>
            </w:r>
          </w:p>
        </w:tc>
        <w:tc>
          <w:tcPr>
            <w:tcW w:w="1486" w:type="dxa"/>
          </w:tcPr>
          <w:p w:rsidR="00D849AA" w:rsidRDefault="00EE6D95">
            <w:r>
              <w:t>10.555.504</w:t>
            </w:r>
          </w:p>
        </w:tc>
        <w:tc>
          <w:tcPr>
            <w:tcW w:w="1486" w:type="dxa"/>
          </w:tcPr>
          <w:p w:rsidR="00D849AA" w:rsidRDefault="00EE6D95">
            <w:r>
              <w:t>10.055.180</w:t>
            </w:r>
          </w:p>
        </w:tc>
        <w:tc>
          <w:tcPr>
            <w:tcW w:w="1486" w:type="dxa"/>
          </w:tcPr>
          <w:p w:rsidR="00D849AA" w:rsidRDefault="00EE6D95">
            <w:r>
              <w:t>89,1</w:t>
            </w:r>
          </w:p>
        </w:tc>
      </w:tr>
      <w:tr w:rsidR="00D849AA">
        <w:trPr>
          <w:jc w:val="center"/>
        </w:trPr>
        <w:tc>
          <w:tcPr>
            <w:tcW w:w="1486" w:type="dxa"/>
          </w:tcPr>
          <w:p w:rsidR="00D849AA" w:rsidRDefault="00EE6D95">
            <w:pPr>
              <w:pStyle w:val="CellColumn"/>
            </w:pPr>
            <w:r>
              <w:t>22339</w:t>
            </w:r>
          </w:p>
        </w:tc>
        <w:tc>
          <w:tcPr>
            <w:tcW w:w="1486" w:type="dxa"/>
          </w:tcPr>
          <w:p w:rsidR="00D849AA" w:rsidRDefault="00EE6D95">
            <w:r>
              <w:t>65.884.634</w:t>
            </w:r>
          </w:p>
        </w:tc>
        <w:tc>
          <w:tcPr>
            <w:tcW w:w="1486" w:type="dxa"/>
          </w:tcPr>
          <w:p w:rsidR="00D849AA" w:rsidRDefault="00EE6D95">
            <w:r>
              <w:t>62.404.613</w:t>
            </w:r>
          </w:p>
        </w:tc>
        <w:tc>
          <w:tcPr>
            <w:tcW w:w="1486" w:type="dxa"/>
          </w:tcPr>
          <w:p w:rsidR="00D849AA" w:rsidRDefault="00EE6D95">
            <w:r>
              <w:t>60.221.590</w:t>
            </w:r>
          </w:p>
        </w:tc>
        <w:tc>
          <w:tcPr>
            <w:tcW w:w="1486" w:type="dxa"/>
          </w:tcPr>
          <w:p w:rsidR="00D849AA" w:rsidRDefault="00EE6D95">
            <w:r>
              <w:t>59.386.372</w:t>
            </w:r>
          </w:p>
        </w:tc>
        <w:tc>
          <w:tcPr>
            <w:tcW w:w="1486" w:type="dxa"/>
          </w:tcPr>
          <w:p w:rsidR="00D849AA" w:rsidRDefault="00EE6D95">
            <w:r>
              <w:t>94,7</w:t>
            </w:r>
          </w:p>
        </w:tc>
      </w:tr>
      <w:tr w:rsidR="00D849AA">
        <w:trPr>
          <w:jc w:val="center"/>
        </w:trPr>
        <w:tc>
          <w:tcPr>
            <w:tcW w:w="1486" w:type="dxa"/>
          </w:tcPr>
          <w:p w:rsidR="00D849AA" w:rsidRDefault="00EE6D95">
            <w:pPr>
              <w:pStyle w:val="CellColumn"/>
            </w:pPr>
            <w:r>
              <w:t>23585</w:t>
            </w:r>
          </w:p>
        </w:tc>
        <w:tc>
          <w:tcPr>
            <w:tcW w:w="1486" w:type="dxa"/>
          </w:tcPr>
          <w:p w:rsidR="00D849AA" w:rsidRDefault="00EE6D95">
            <w:r>
              <w:t>2.763.900</w:t>
            </w:r>
          </w:p>
        </w:tc>
        <w:tc>
          <w:tcPr>
            <w:tcW w:w="1486" w:type="dxa"/>
          </w:tcPr>
          <w:p w:rsidR="00D849AA" w:rsidRDefault="00EE6D95">
            <w:r>
              <w:t>2.652.953</w:t>
            </w:r>
          </w:p>
        </w:tc>
        <w:tc>
          <w:tcPr>
            <w:tcW w:w="1486" w:type="dxa"/>
          </w:tcPr>
          <w:p w:rsidR="00D849AA" w:rsidRDefault="00EE6D95">
            <w:r>
              <w:t>2.509.894</w:t>
            </w:r>
          </w:p>
        </w:tc>
        <w:tc>
          <w:tcPr>
            <w:tcW w:w="1486" w:type="dxa"/>
          </w:tcPr>
          <w:p w:rsidR="00D849AA" w:rsidRDefault="00EE6D95">
            <w:r>
              <w:t>2.443.064</w:t>
            </w:r>
          </w:p>
        </w:tc>
        <w:tc>
          <w:tcPr>
            <w:tcW w:w="1486" w:type="dxa"/>
          </w:tcPr>
          <w:p w:rsidR="00D849AA" w:rsidRDefault="00EE6D95">
            <w:r>
              <w:t>96,0</w:t>
            </w:r>
          </w:p>
        </w:tc>
      </w:tr>
      <w:tr w:rsidR="00D849AA">
        <w:trPr>
          <w:jc w:val="center"/>
        </w:trPr>
        <w:tc>
          <w:tcPr>
            <w:tcW w:w="1486" w:type="dxa"/>
          </w:tcPr>
          <w:p w:rsidR="00D849AA" w:rsidRDefault="00EE6D95">
            <w:pPr>
              <w:pStyle w:val="CellColumn"/>
            </w:pPr>
            <w:r>
              <w:t>23608</w:t>
            </w:r>
          </w:p>
        </w:tc>
        <w:tc>
          <w:tcPr>
            <w:tcW w:w="1486" w:type="dxa"/>
          </w:tcPr>
          <w:p w:rsidR="00D849AA" w:rsidRDefault="00EE6D95">
            <w:r>
              <w:t>6.178.588</w:t>
            </w:r>
          </w:p>
        </w:tc>
        <w:tc>
          <w:tcPr>
            <w:tcW w:w="1486" w:type="dxa"/>
          </w:tcPr>
          <w:p w:rsidR="00D849AA" w:rsidRDefault="00EE6D95">
            <w:r>
              <w:t>2.138.039</w:t>
            </w:r>
          </w:p>
        </w:tc>
        <w:tc>
          <w:tcPr>
            <w:tcW w:w="1486" w:type="dxa"/>
          </w:tcPr>
          <w:p w:rsidR="00D849AA" w:rsidRDefault="00EE6D95">
            <w:r>
              <w:t>2.306.999</w:t>
            </w:r>
          </w:p>
        </w:tc>
        <w:tc>
          <w:tcPr>
            <w:tcW w:w="1486" w:type="dxa"/>
          </w:tcPr>
          <w:p w:rsidR="00D849AA" w:rsidRDefault="00EE6D95">
            <w:r>
              <w:t>2.354.807</w:t>
            </w:r>
          </w:p>
        </w:tc>
        <w:tc>
          <w:tcPr>
            <w:tcW w:w="1486" w:type="dxa"/>
          </w:tcPr>
          <w:p w:rsidR="00D849AA" w:rsidRDefault="00EE6D95">
            <w:r>
              <w:t>34,6</w:t>
            </w:r>
          </w:p>
        </w:tc>
      </w:tr>
      <w:tr w:rsidR="00D849AA">
        <w:trPr>
          <w:jc w:val="center"/>
        </w:trPr>
        <w:tc>
          <w:tcPr>
            <w:tcW w:w="1486" w:type="dxa"/>
          </w:tcPr>
          <w:p w:rsidR="00D849AA" w:rsidRDefault="00EE6D95">
            <w:pPr>
              <w:pStyle w:val="CellColumn"/>
            </w:pPr>
            <w:r>
              <w:t>25878</w:t>
            </w:r>
          </w:p>
        </w:tc>
        <w:tc>
          <w:tcPr>
            <w:tcW w:w="1486" w:type="dxa"/>
          </w:tcPr>
          <w:p w:rsidR="00D849AA" w:rsidRDefault="00EE6D95">
            <w:r>
              <w:t>85.825.227</w:t>
            </w:r>
          </w:p>
        </w:tc>
        <w:tc>
          <w:tcPr>
            <w:tcW w:w="1486" w:type="dxa"/>
          </w:tcPr>
          <w:p w:rsidR="00D849AA" w:rsidRDefault="00EE6D95">
            <w:r>
              <w:t>84.771.683</w:t>
            </w:r>
          </w:p>
        </w:tc>
        <w:tc>
          <w:tcPr>
            <w:tcW w:w="1486" w:type="dxa"/>
          </w:tcPr>
          <w:p w:rsidR="00D849AA" w:rsidRDefault="00EE6D95">
            <w:r>
              <w:t>84.169.240</w:t>
            </w:r>
          </w:p>
        </w:tc>
        <w:tc>
          <w:tcPr>
            <w:tcW w:w="1486" w:type="dxa"/>
          </w:tcPr>
          <w:p w:rsidR="00D849AA" w:rsidRDefault="00EE6D95">
            <w:r>
              <w:t>83.121.202</w:t>
            </w:r>
          </w:p>
        </w:tc>
        <w:tc>
          <w:tcPr>
            <w:tcW w:w="1486" w:type="dxa"/>
          </w:tcPr>
          <w:p w:rsidR="00D849AA" w:rsidRDefault="00EE6D95">
            <w:r>
              <w:t>98,8</w:t>
            </w:r>
          </w:p>
        </w:tc>
      </w:tr>
      <w:tr w:rsidR="00D849AA">
        <w:trPr>
          <w:jc w:val="center"/>
        </w:trPr>
        <w:tc>
          <w:tcPr>
            <w:tcW w:w="1486" w:type="dxa"/>
          </w:tcPr>
          <w:p w:rsidR="00D849AA" w:rsidRDefault="00EE6D95">
            <w:pPr>
              <w:pStyle w:val="CellColumn"/>
            </w:pPr>
            <w:r>
              <w:t>44926</w:t>
            </w:r>
          </w:p>
        </w:tc>
        <w:tc>
          <w:tcPr>
            <w:tcW w:w="1486" w:type="dxa"/>
          </w:tcPr>
          <w:p w:rsidR="00D849AA" w:rsidRDefault="00EE6D95">
            <w:r>
              <w:t>36.217.628</w:t>
            </w:r>
          </w:p>
        </w:tc>
        <w:tc>
          <w:tcPr>
            <w:tcW w:w="1486" w:type="dxa"/>
          </w:tcPr>
          <w:p w:rsidR="00D849AA" w:rsidRDefault="00EE6D95">
            <w:r>
              <w:t>36.076.324</w:t>
            </w:r>
          </w:p>
        </w:tc>
        <w:tc>
          <w:tcPr>
            <w:tcW w:w="1486" w:type="dxa"/>
          </w:tcPr>
          <w:p w:rsidR="00D849AA" w:rsidRDefault="00EE6D95">
            <w:r>
              <w:t>36.425.458</w:t>
            </w:r>
          </w:p>
        </w:tc>
        <w:tc>
          <w:tcPr>
            <w:tcW w:w="1486" w:type="dxa"/>
          </w:tcPr>
          <w:p w:rsidR="00D849AA" w:rsidRDefault="00EE6D95">
            <w:r>
              <w:t>36.338.857</w:t>
            </w:r>
          </w:p>
        </w:tc>
        <w:tc>
          <w:tcPr>
            <w:tcW w:w="1486" w:type="dxa"/>
          </w:tcPr>
          <w:p w:rsidR="00D849AA" w:rsidRDefault="00EE6D95">
            <w:r>
              <w:t>99,6</w:t>
            </w:r>
          </w:p>
        </w:tc>
      </w:tr>
      <w:tr w:rsidR="00D849AA">
        <w:trPr>
          <w:jc w:val="center"/>
        </w:trPr>
        <w:tc>
          <w:tcPr>
            <w:tcW w:w="1486" w:type="dxa"/>
          </w:tcPr>
          <w:p w:rsidR="00D849AA" w:rsidRDefault="00EE6D95">
            <w:pPr>
              <w:pStyle w:val="CellColumn"/>
            </w:pPr>
            <w:r>
              <w:t>45189</w:t>
            </w:r>
          </w:p>
        </w:tc>
        <w:tc>
          <w:tcPr>
            <w:tcW w:w="1486" w:type="dxa"/>
          </w:tcPr>
          <w:p w:rsidR="00D849AA" w:rsidRDefault="00EE6D95">
            <w:r>
              <w:t>611.234</w:t>
            </w:r>
          </w:p>
        </w:tc>
        <w:tc>
          <w:tcPr>
            <w:tcW w:w="1486" w:type="dxa"/>
          </w:tcPr>
          <w:p w:rsidR="00D849AA" w:rsidRDefault="00EE6D95">
            <w:r>
              <w:t>1.555.952</w:t>
            </w:r>
          </w:p>
        </w:tc>
        <w:tc>
          <w:tcPr>
            <w:tcW w:w="1486" w:type="dxa"/>
          </w:tcPr>
          <w:p w:rsidR="00D849AA" w:rsidRDefault="00EE6D95">
            <w:r>
              <w:t>1.619.152</w:t>
            </w:r>
          </w:p>
        </w:tc>
        <w:tc>
          <w:tcPr>
            <w:tcW w:w="1486" w:type="dxa"/>
          </w:tcPr>
          <w:p w:rsidR="00D849AA" w:rsidRDefault="00EE6D95">
            <w:r>
              <w:t>1.638.249</w:t>
            </w:r>
          </w:p>
        </w:tc>
        <w:tc>
          <w:tcPr>
            <w:tcW w:w="1486" w:type="dxa"/>
          </w:tcPr>
          <w:p w:rsidR="00D849AA" w:rsidRDefault="00EE6D95">
            <w:r>
              <w:t>254,6</w:t>
            </w:r>
          </w:p>
        </w:tc>
      </w:tr>
    </w:tbl>
    <w:p w:rsidR="00D849AA" w:rsidRDefault="00D849AA">
      <w:pPr>
        <w:jc w:val="left"/>
      </w:pPr>
    </w:p>
    <w:p w:rsidR="00461569" w:rsidRDefault="00461569">
      <w:pPr>
        <w:jc w:val="left"/>
      </w:pPr>
    </w:p>
    <w:p w:rsidR="00D849AA" w:rsidRDefault="00EE6D95">
      <w:pPr>
        <w:pStyle w:val="Naslov3"/>
      </w:pPr>
      <w:r>
        <w:t>01046 Ansambl Lado</w:t>
      </w:r>
    </w:p>
    <w:p w:rsidR="00D849AA" w:rsidRDefault="00EE6D95">
      <w:pPr>
        <w:pStyle w:val="Naslov4"/>
      </w:pPr>
      <w:r>
        <w:t>Uvod</w:t>
      </w:r>
    </w:p>
    <w:p w:rsidR="00D849AA" w:rsidRDefault="00EE6D95">
      <w:pPr>
        <w:pStyle w:val="Normal5"/>
      </w:pPr>
      <w:r>
        <w:t>LADO je nacionalni profesionalni folklorni ansambl čiji je cilj istraživanje, prikupljanje, umjetnička obrada i scenski prikaz hrvatske glazbene i plesne tradicije. Svojim programima pridonose njegovanju raznolikosti i vrijednosti tradicijske kulture i baštine.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01046</w:t>
            </w:r>
          </w:p>
        </w:tc>
        <w:tc>
          <w:tcPr>
            <w:tcW w:w="1486" w:type="dxa"/>
          </w:tcPr>
          <w:p w:rsidR="00D849AA" w:rsidRDefault="00EE6D95">
            <w:r>
              <w:t>11.949.796</w:t>
            </w:r>
          </w:p>
        </w:tc>
        <w:tc>
          <w:tcPr>
            <w:tcW w:w="1486" w:type="dxa"/>
          </w:tcPr>
          <w:p w:rsidR="00D849AA" w:rsidRDefault="00EE6D95">
            <w:r>
              <w:t>10.654.030</w:t>
            </w:r>
          </w:p>
        </w:tc>
        <w:tc>
          <w:tcPr>
            <w:tcW w:w="1486" w:type="dxa"/>
          </w:tcPr>
          <w:p w:rsidR="00D849AA" w:rsidRDefault="00EE6D95">
            <w:r>
              <w:t>10.555.504</w:t>
            </w:r>
          </w:p>
        </w:tc>
        <w:tc>
          <w:tcPr>
            <w:tcW w:w="1486" w:type="dxa"/>
          </w:tcPr>
          <w:p w:rsidR="00D849AA" w:rsidRDefault="00EE6D95">
            <w:r>
              <w:t>10.055.180</w:t>
            </w:r>
          </w:p>
        </w:tc>
        <w:tc>
          <w:tcPr>
            <w:tcW w:w="1486" w:type="dxa"/>
          </w:tcPr>
          <w:p w:rsidR="00D849AA" w:rsidRDefault="00EE6D95">
            <w:r>
              <w:t>89,1</w:t>
            </w:r>
          </w:p>
        </w:tc>
      </w:tr>
    </w:tbl>
    <w:p w:rsidR="00D849AA" w:rsidRDefault="00D849AA">
      <w:pPr>
        <w:jc w:val="left"/>
      </w:pPr>
    </w:p>
    <w:p w:rsidR="00D849AA" w:rsidRDefault="00EE6D95">
      <w:pPr>
        <w:pStyle w:val="Naslov4"/>
      </w:pPr>
      <w:r>
        <w:t>OBRAZLOŽENJE PROGRAMA</w:t>
      </w:r>
    </w:p>
    <w:p w:rsidR="00D849AA" w:rsidRDefault="00EE6D95">
      <w:pPr>
        <w:pStyle w:val="Naslov5"/>
      </w:pPr>
      <w:r>
        <w:t>3904 KAZALIŠNA I GLAZBENO- SCENSKA DJELATNOST</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3904</w:t>
            </w:r>
          </w:p>
        </w:tc>
        <w:tc>
          <w:tcPr>
            <w:tcW w:w="1486" w:type="dxa"/>
          </w:tcPr>
          <w:p w:rsidR="00D849AA" w:rsidRDefault="00EE6D95">
            <w:r>
              <w:t>11.949.796</w:t>
            </w:r>
          </w:p>
        </w:tc>
        <w:tc>
          <w:tcPr>
            <w:tcW w:w="1486" w:type="dxa"/>
          </w:tcPr>
          <w:p w:rsidR="00D849AA" w:rsidRDefault="00EE6D95">
            <w:r>
              <w:t>10.654.030</w:t>
            </w:r>
          </w:p>
        </w:tc>
        <w:tc>
          <w:tcPr>
            <w:tcW w:w="1486" w:type="dxa"/>
          </w:tcPr>
          <w:p w:rsidR="00D849AA" w:rsidRDefault="00EE6D95">
            <w:r>
              <w:t>10.555.504</w:t>
            </w:r>
          </w:p>
        </w:tc>
        <w:tc>
          <w:tcPr>
            <w:tcW w:w="1486" w:type="dxa"/>
          </w:tcPr>
          <w:p w:rsidR="00D849AA" w:rsidRDefault="00EE6D95">
            <w:r>
              <w:t>10.055.180</w:t>
            </w:r>
          </w:p>
        </w:tc>
        <w:tc>
          <w:tcPr>
            <w:tcW w:w="1486" w:type="dxa"/>
          </w:tcPr>
          <w:p w:rsidR="00D849AA" w:rsidRDefault="00EE6D95">
            <w:r>
              <w:t>89,1</w:t>
            </w:r>
          </w:p>
        </w:tc>
      </w:tr>
    </w:tbl>
    <w:p w:rsidR="00D849AA" w:rsidRDefault="00D849AA">
      <w:pPr>
        <w:jc w:val="left"/>
      </w:pPr>
    </w:p>
    <w:p w:rsidR="00D849AA" w:rsidRDefault="00EE6D95">
      <w:pPr>
        <w:pStyle w:val="Naslov6"/>
      </w:pPr>
      <w:r>
        <w:t>Opis programa</w:t>
      </w:r>
    </w:p>
    <w:p w:rsidR="00D849AA" w:rsidRDefault="00EE6D95">
      <w:r>
        <w:t>Programi se planiraju ostvariti kako novim tako i repriznim koreografijama, vokalno - instrumentalnim programima te edukacijom putem umjetničkih radionica.</w:t>
      </w:r>
    </w:p>
    <w:p w:rsidR="00D849AA" w:rsidRDefault="00EE6D95">
      <w:pPr>
        <w:pStyle w:val="Naslov6"/>
      </w:pPr>
      <w:r>
        <w:lastRenderedPageBreak/>
        <w:t>Zakonske i druge pravne osnove</w:t>
      </w:r>
    </w:p>
    <w:p w:rsidR="00D849AA" w:rsidRDefault="00EE6D95">
      <w:r>
        <w:t>Zakon o financiranju javnih potreba u kulturi (NN 47/90, 27/93 i 38/09) - Pravilnik o izboru i utvrđivanju programa javnih potreba u kulturi (NN 137/08, 57/09 i 62/09) - Zakon o ustanovama (NN 76/93; NN 29/97, NN 47/99 - Ispravak i NN 35/08) - Zakon o upravljanju javnim ustanovama u kulturi (NN 96/01) - Zakon o kulturnim vijećima (NN 48/04, 44/09)</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Cilj 1. Održavanje standarda ukupnog broja programa</w:t>
      </w:r>
    </w:p>
    <w:p w:rsidR="00D849AA" w:rsidRDefault="00EE6D95">
      <w:pPr>
        <w:pStyle w:val="Normal6"/>
      </w:pPr>
      <w:r>
        <w:t>Ansambl Lado svojim izvedbama visoke umjetničke razine participira u očuvanju hrvatske glazbene baštine i pučke tradicijske kulture. Programe nastoje ostvariti kroz scensko predstavljanje plesne i glazbene tradicije svih folklornih regija Republike Hrvatske te tradiciju Hrvata koji stoljećima naseljavaju BiH, Vojvodinu i Crnu Goru. Korisnik i primatelj njihovih koncertnih nastupa je publika u RH i u inozemstvu.</w:t>
      </w:r>
    </w:p>
    <w:p w:rsidR="00D849AA" w:rsidRDefault="00EE6D95">
      <w:pPr>
        <w:pStyle w:val="Naslov5"/>
      </w:pPr>
      <w:r>
        <w:t>Procjena i ishodište potrebnih sredstava za značajnije aktivnosti/projekte</w:t>
      </w:r>
    </w:p>
    <w:p w:rsidR="00D849AA" w:rsidRDefault="00EE6D95">
      <w:pPr>
        <w:pStyle w:val="Naslov6"/>
      </w:pPr>
      <w:r>
        <w:t>A836001 ADMINISTRACIJA I UPRAVLJANJE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A836001</w:t>
            </w:r>
          </w:p>
        </w:tc>
        <w:tc>
          <w:tcPr>
            <w:tcW w:w="1486" w:type="dxa"/>
          </w:tcPr>
          <w:p w:rsidR="00D849AA" w:rsidRDefault="00EE6D95">
            <w:r>
              <w:t>11.549.796</w:t>
            </w:r>
          </w:p>
        </w:tc>
        <w:tc>
          <w:tcPr>
            <w:tcW w:w="1486" w:type="dxa"/>
          </w:tcPr>
          <w:p w:rsidR="00D849AA" w:rsidRDefault="00EE6D95">
            <w:r>
              <w:t>10.404.030</w:t>
            </w:r>
          </w:p>
        </w:tc>
        <w:tc>
          <w:tcPr>
            <w:tcW w:w="1486" w:type="dxa"/>
          </w:tcPr>
          <w:p w:rsidR="00D849AA" w:rsidRDefault="00EE6D95">
            <w:r>
              <w:t>10.305.504</w:t>
            </w:r>
          </w:p>
        </w:tc>
        <w:tc>
          <w:tcPr>
            <w:tcW w:w="1486" w:type="dxa"/>
          </w:tcPr>
          <w:p w:rsidR="00D849AA" w:rsidRDefault="00EE6D95">
            <w:r>
              <w:t>9.805.180</w:t>
            </w:r>
          </w:p>
        </w:tc>
        <w:tc>
          <w:tcPr>
            <w:tcW w:w="1486" w:type="dxa"/>
          </w:tcPr>
          <w:p w:rsidR="00D849AA" w:rsidRDefault="00EE6D95">
            <w:r>
              <w:t>90,1</w:t>
            </w:r>
          </w:p>
        </w:tc>
      </w:tr>
    </w:tbl>
    <w:p w:rsidR="00D849AA" w:rsidRDefault="00D849AA">
      <w:pPr>
        <w:jc w:val="left"/>
      </w:pPr>
    </w:p>
    <w:p w:rsidR="00D849AA" w:rsidRDefault="00EE6D95">
      <w:pPr>
        <w:pStyle w:val="Normal6"/>
      </w:pPr>
      <w:r>
        <w:t>U 2014. godini u ovoj aktivnosti se planiraju sredstva za plaće za zaposlene te materijalne rashode.</w:t>
      </w:r>
    </w:p>
    <w:p w:rsidR="00D849AA" w:rsidRDefault="00EE6D95">
      <w:pPr>
        <w:pStyle w:val="Naslov6"/>
      </w:pPr>
      <w:r>
        <w:t>A836002 PROGRAMI ANSAMBLA LADA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A836002</w:t>
            </w:r>
          </w:p>
        </w:tc>
        <w:tc>
          <w:tcPr>
            <w:tcW w:w="1486" w:type="dxa"/>
          </w:tcPr>
          <w:p w:rsidR="00D849AA" w:rsidRDefault="00EE6D95">
            <w:r>
              <w:t>400.000</w:t>
            </w:r>
          </w:p>
        </w:tc>
        <w:tc>
          <w:tcPr>
            <w:tcW w:w="1486" w:type="dxa"/>
          </w:tcPr>
          <w:p w:rsidR="00D849AA" w:rsidRDefault="00EE6D95">
            <w:r>
              <w:t>250.000</w:t>
            </w:r>
          </w:p>
        </w:tc>
        <w:tc>
          <w:tcPr>
            <w:tcW w:w="1486" w:type="dxa"/>
          </w:tcPr>
          <w:p w:rsidR="00D849AA" w:rsidRDefault="00EE6D95">
            <w:r>
              <w:t>250.000</w:t>
            </w:r>
          </w:p>
        </w:tc>
        <w:tc>
          <w:tcPr>
            <w:tcW w:w="1486" w:type="dxa"/>
          </w:tcPr>
          <w:p w:rsidR="00D849AA" w:rsidRDefault="00EE6D95">
            <w:r>
              <w:t>250.000</w:t>
            </w:r>
          </w:p>
        </w:tc>
        <w:tc>
          <w:tcPr>
            <w:tcW w:w="1486" w:type="dxa"/>
          </w:tcPr>
          <w:p w:rsidR="00D849AA" w:rsidRDefault="00EE6D95">
            <w:r>
              <w:t>62,5</w:t>
            </w:r>
          </w:p>
        </w:tc>
      </w:tr>
    </w:tbl>
    <w:p w:rsidR="00D849AA" w:rsidRDefault="00D849AA">
      <w:pPr>
        <w:jc w:val="left"/>
      </w:pPr>
    </w:p>
    <w:p w:rsidR="00D849AA" w:rsidRDefault="00EE6D95">
      <w:pPr>
        <w:pStyle w:val="Normal6"/>
      </w:pPr>
      <w:r>
        <w:t>Održavanjem standarda novih programa u 2014. godini, na svojim koncertima i gostovanjima u Republici Hrvatskoj i inozemstvu, LADO planira izvesti veliki broj plesnih koreografija kao i vokalnih, instrumentalnih i vokalno-instrumentalnih skladbi. U ansamblu nastupa 41 plesača (istodobno pjevači) i 14 glazbenika koji sviraju veliki broj različitih tradicijskih i klasičnih glazbala.</w:t>
      </w:r>
    </w:p>
    <w:p w:rsidR="00D849AA" w:rsidRDefault="00EE6D95">
      <w:pPr>
        <w:pStyle w:val="Naslov3"/>
      </w:pPr>
      <w:r>
        <w:t>22339 Hrvatski restauratorski zavod</w:t>
      </w:r>
    </w:p>
    <w:p w:rsidR="00D849AA" w:rsidRDefault="00EE6D95">
      <w:pPr>
        <w:pStyle w:val="Naslov4"/>
      </w:pPr>
      <w:r>
        <w:t>Uvod</w:t>
      </w:r>
    </w:p>
    <w:p w:rsidR="00D849AA" w:rsidRDefault="00EE6D95">
      <w:pPr>
        <w:pStyle w:val="Normal5"/>
      </w:pPr>
      <w:r>
        <w:t>Osnovna djelatnost Zavoda je konzerviranje i restauriranje nepokretnih kulturnih dobara (graditeljskog naslijeđa, zidnih slika i mozaika, kamene plastike, štukatura, arheoloških nalazišta) i pokretnih kulturnih dobara (štafelajnog slikarstva, drvene polikromirane skulpture, arheoloških nalaza, umjetnina na papiru, namještaja, predmeta od tekstila i metala) te drugih predmeta kulturnog, povijesnog ili tehničkog značaja. Zavod se financira iz državnog proračuna.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22339</w:t>
            </w:r>
          </w:p>
        </w:tc>
        <w:tc>
          <w:tcPr>
            <w:tcW w:w="1486" w:type="dxa"/>
          </w:tcPr>
          <w:p w:rsidR="00D849AA" w:rsidRDefault="00EE6D95">
            <w:r>
              <w:t>65.884.634</w:t>
            </w:r>
          </w:p>
        </w:tc>
        <w:tc>
          <w:tcPr>
            <w:tcW w:w="1486" w:type="dxa"/>
          </w:tcPr>
          <w:p w:rsidR="00D849AA" w:rsidRDefault="00EE6D95">
            <w:r>
              <w:t>62.404.613</w:t>
            </w:r>
          </w:p>
        </w:tc>
        <w:tc>
          <w:tcPr>
            <w:tcW w:w="1486" w:type="dxa"/>
          </w:tcPr>
          <w:p w:rsidR="00D849AA" w:rsidRDefault="00EE6D95">
            <w:r>
              <w:t>60.221.590</w:t>
            </w:r>
          </w:p>
        </w:tc>
        <w:tc>
          <w:tcPr>
            <w:tcW w:w="1486" w:type="dxa"/>
          </w:tcPr>
          <w:p w:rsidR="00D849AA" w:rsidRDefault="00EE6D95">
            <w:r>
              <w:t>59.386.372</w:t>
            </w:r>
          </w:p>
        </w:tc>
        <w:tc>
          <w:tcPr>
            <w:tcW w:w="1486" w:type="dxa"/>
          </w:tcPr>
          <w:p w:rsidR="00D849AA" w:rsidRDefault="00EE6D95">
            <w:r>
              <w:t>94,7</w:t>
            </w:r>
          </w:p>
        </w:tc>
      </w:tr>
    </w:tbl>
    <w:p w:rsidR="00D849AA" w:rsidRDefault="00D849AA">
      <w:pPr>
        <w:jc w:val="left"/>
      </w:pPr>
    </w:p>
    <w:p w:rsidR="00D849AA" w:rsidRDefault="00EE6D95">
      <w:pPr>
        <w:pStyle w:val="Naslov4"/>
      </w:pPr>
      <w:r>
        <w:t>OBRAZLOŽENJE PROGRAMA</w:t>
      </w:r>
    </w:p>
    <w:p w:rsidR="00D849AA" w:rsidRDefault="00EE6D95">
      <w:pPr>
        <w:pStyle w:val="Naslov5"/>
      </w:pPr>
      <w:r>
        <w:t>3908 ZAŠTITA KULTURNIH DOBARA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3908</w:t>
            </w:r>
          </w:p>
        </w:tc>
        <w:tc>
          <w:tcPr>
            <w:tcW w:w="1486" w:type="dxa"/>
          </w:tcPr>
          <w:p w:rsidR="00D849AA" w:rsidRDefault="00EE6D95">
            <w:r>
              <w:t>65.884.634</w:t>
            </w:r>
          </w:p>
        </w:tc>
        <w:tc>
          <w:tcPr>
            <w:tcW w:w="1486" w:type="dxa"/>
          </w:tcPr>
          <w:p w:rsidR="00D849AA" w:rsidRDefault="00EE6D95">
            <w:r>
              <w:t>62.404.613</w:t>
            </w:r>
          </w:p>
        </w:tc>
        <w:tc>
          <w:tcPr>
            <w:tcW w:w="1486" w:type="dxa"/>
          </w:tcPr>
          <w:p w:rsidR="00D849AA" w:rsidRDefault="00EE6D95">
            <w:r>
              <w:t>60.221.590</w:t>
            </w:r>
          </w:p>
        </w:tc>
        <w:tc>
          <w:tcPr>
            <w:tcW w:w="1486" w:type="dxa"/>
          </w:tcPr>
          <w:p w:rsidR="00D849AA" w:rsidRDefault="00EE6D95">
            <w:r>
              <w:t>59.386.372</w:t>
            </w:r>
          </w:p>
        </w:tc>
        <w:tc>
          <w:tcPr>
            <w:tcW w:w="1486" w:type="dxa"/>
          </w:tcPr>
          <w:p w:rsidR="00D849AA" w:rsidRDefault="00EE6D95">
            <w:r>
              <w:t>94,7</w:t>
            </w:r>
          </w:p>
        </w:tc>
      </w:tr>
    </w:tbl>
    <w:p w:rsidR="00D849AA" w:rsidRDefault="00D849AA">
      <w:pPr>
        <w:jc w:val="left"/>
      </w:pPr>
    </w:p>
    <w:p w:rsidR="00D849AA" w:rsidRDefault="00EE6D95">
      <w:pPr>
        <w:pStyle w:val="Naslov6"/>
      </w:pPr>
      <w:r>
        <w:t>Opis programa</w:t>
      </w:r>
    </w:p>
    <w:p w:rsidR="00D849AA" w:rsidRDefault="00EE6D95">
      <w:r>
        <w:t>Program zaštite kulturnih dobara provodi Hrvatski restauratorski zavod, a odnosi se na konzerviranje i restauriranje nepokretnih kulturnih dobara (graditeljskog naslijeđa, zidnih slika i mozaika, kamene plastike, štukatura, arheoloških nalazišta), pokretnih kulturnih dobara (štafelajnog slikarstva, drvene polikromirane skulpture, arheoloških nalaza, umjetnina na papiru, namještaja, predmeta od tekstila i metala) te drugih predmeta kulturnog, povijesnog ili tehničkog značaja.</w:t>
      </w:r>
    </w:p>
    <w:p w:rsidR="00D849AA" w:rsidRDefault="00EE6D95">
      <w:pPr>
        <w:pStyle w:val="Naslov6"/>
      </w:pPr>
      <w:r>
        <w:t>Zakonske i druge pravne osnove</w:t>
      </w:r>
    </w:p>
    <w:p w:rsidR="00D849AA" w:rsidRDefault="00EE6D95">
      <w:r>
        <w:t>- Uredba o spajanju javnih ustanova restauratorske djelatnosti (NN 2/97, NN 119/01)</w:t>
      </w:r>
    </w:p>
    <w:p w:rsidR="00D849AA" w:rsidRDefault="00EE6D95">
      <w:pPr>
        <w:pStyle w:val="Naslov5"/>
      </w:pPr>
      <w:r>
        <w:t>Procjena i ishodište potrebnih sredstava za značajnije aktivnosti/projekte</w:t>
      </w:r>
    </w:p>
    <w:p w:rsidR="00D849AA" w:rsidRDefault="00EE6D95">
      <w:pPr>
        <w:pStyle w:val="Naslov6"/>
      </w:pPr>
      <w:r>
        <w:t>A834001 PROGRAMI HRVATSKOG RESTAURATORSKOG ZAVODA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A834001</w:t>
            </w:r>
          </w:p>
        </w:tc>
        <w:tc>
          <w:tcPr>
            <w:tcW w:w="1486" w:type="dxa"/>
          </w:tcPr>
          <w:p w:rsidR="00D849AA" w:rsidRDefault="00EE6D95">
            <w:r>
              <w:t>22.500.020</w:t>
            </w:r>
          </w:p>
        </w:tc>
        <w:tc>
          <w:tcPr>
            <w:tcW w:w="1486" w:type="dxa"/>
          </w:tcPr>
          <w:p w:rsidR="00D849AA" w:rsidRDefault="00EE6D95">
            <w:r>
              <w:t>21.000.000</w:t>
            </w:r>
          </w:p>
        </w:tc>
        <w:tc>
          <w:tcPr>
            <w:tcW w:w="1486" w:type="dxa"/>
          </w:tcPr>
          <w:p w:rsidR="00D849AA" w:rsidRDefault="00EE6D95">
            <w:r>
              <w:t>21.000.000</w:t>
            </w:r>
          </w:p>
        </w:tc>
        <w:tc>
          <w:tcPr>
            <w:tcW w:w="1486" w:type="dxa"/>
          </w:tcPr>
          <w:p w:rsidR="00D849AA" w:rsidRDefault="00EE6D95">
            <w:r>
              <w:t>21.000.000</w:t>
            </w:r>
          </w:p>
        </w:tc>
        <w:tc>
          <w:tcPr>
            <w:tcW w:w="1486" w:type="dxa"/>
          </w:tcPr>
          <w:p w:rsidR="00D849AA" w:rsidRDefault="00EE6D95">
            <w:r>
              <w:t>93,3</w:t>
            </w:r>
          </w:p>
        </w:tc>
      </w:tr>
    </w:tbl>
    <w:p w:rsidR="00D849AA" w:rsidRDefault="00D849AA">
      <w:pPr>
        <w:jc w:val="left"/>
      </w:pPr>
    </w:p>
    <w:p w:rsidR="00D849AA" w:rsidRDefault="00EE6D95">
      <w:pPr>
        <w:pStyle w:val="Normal6"/>
      </w:pPr>
      <w:r>
        <w:t>Ovom aktivnosti provode se sustavna konzervatorsko-restauratorska istraživanja zaštićenih kulturnih dobara uz izradu konzervatorsko-tehničke dokumentacije. Također se provode konzervatorsko-restauratorski radovi na pokretnim i nepokretnim kulturnim dobrima koji obuhvaćaju graditeljsko nasljeđe, umjetnine i druge predmete od kulturnog, povijesnog i tehničkog značaja, njihovu obnovu, uređenje i prezentiranje. HRZ obavlja stručna vještačenja, utvrđivanje stanja kulturnih dobara, uzroka, vrsta i stupnjeva oštećenja, provodi stručni nadzor i promidžbu konzervatorsko-restauratorske djelatnosti.</w:t>
      </w:r>
    </w:p>
    <w:p w:rsidR="00B151E0" w:rsidRDefault="00B151E0">
      <w:pPr>
        <w:pStyle w:val="Normal6"/>
      </w:pPr>
    </w:p>
    <w:p w:rsidR="00B151E0" w:rsidRDefault="00B151E0">
      <w:pPr>
        <w:pStyle w:val="Normal6"/>
      </w:pPr>
    </w:p>
    <w:p w:rsidR="00B151E0" w:rsidRDefault="00B151E0">
      <w:pPr>
        <w:pStyle w:val="Normal6"/>
      </w:pPr>
    </w:p>
    <w:p w:rsidR="00B151E0" w:rsidRDefault="00B151E0">
      <w:pPr>
        <w:pStyle w:val="Normal6"/>
      </w:pPr>
    </w:p>
    <w:p w:rsidR="00D849AA" w:rsidRDefault="00EE6D95">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Povećanje broja provedenih cjelovitih programa Hrvatskog restauratorskog zavoda i Zavoda za obnovu Dubrovnika</w:t>
            </w:r>
          </w:p>
        </w:tc>
        <w:tc>
          <w:tcPr>
            <w:tcW w:w="1114" w:type="dxa"/>
          </w:tcPr>
          <w:p w:rsidR="00D849AA" w:rsidRDefault="00EE6D95">
            <w:r>
              <w:t>Broj</w:t>
            </w:r>
          </w:p>
        </w:tc>
        <w:tc>
          <w:tcPr>
            <w:tcW w:w="1114" w:type="dxa"/>
          </w:tcPr>
          <w:p w:rsidR="00D849AA" w:rsidRDefault="00EE6D95">
            <w:r>
              <w:t>24</w:t>
            </w:r>
          </w:p>
        </w:tc>
        <w:tc>
          <w:tcPr>
            <w:tcW w:w="1486" w:type="dxa"/>
          </w:tcPr>
          <w:p w:rsidR="00D849AA" w:rsidRDefault="00EE6D95">
            <w:r>
              <w:t>24</w:t>
            </w:r>
          </w:p>
        </w:tc>
        <w:tc>
          <w:tcPr>
            <w:tcW w:w="1486" w:type="dxa"/>
          </w:tcPr>
          <w:p w:rsidR="00D849AA" w:rsidRDefault="00EE6D95">
            <w:r>
              <w:t>25</w:t>
            </w:r>
          </w:p>
        </w:tc>
        <w:tc>
          <w:tcPr>
            <w:tcW w:w="1486" w:type="dxa"/>
          </w:tcPr>
          <w:p w:rsidR="00D849AA" w:rsidRDefault="00EE6D95">
            <w:r>
              <w:t>26</w:t>
            </w:r>
          </w:p>
        </w:tc>
      </w:tr>
    </w:tbl>
    <w:p w:rsidR="00D849AA" w:rsidRDefault="00D849AA">
      <w:pPr>
        <w:jc w:val="left"/>
      </w:pPr>
    </w:p>
    <w:p w:rsidR="00D849AA" w:rsidRDefault="00EE6D95">
      <w:pPr>
        <w:pStyle w:val="Naslov6"/>
      </w:pPr>
      <w:r>
        <w:t>A834002 ADMINISTRACIJA I UPRAVLJANJE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A834002</w:t>
            </w:r>
          </w:p>
        </w:tc>
        <w:tc>
          <w:tcPr>
            <w:tcW w:w="1486" w:type="dxa"/>
          </w:tcPr>
          <w:p w:rsidR="00D849AA" w:rsidRDefault="00EE6D95">
            <w:r>
              <w:t>43.384.614</w:t>
            </w:r>
          </w:p>
        </w:tc>
        <w:tc>
          <w:tcPr>
            <w:tcW w:w="1486" w:type="dxa"/>
          </w:tcPr>
          <w:p w:rsidR="00D849AA" w:rsidRDefault="00EE6D95">
            <w:r>
              <w:t>41.404.613</w:t>
            </w:r>
          </w:p>
        </w:tc>
        <w:tc>
          <w:tcPr>
            <w:tcW w:w="1486" w:type="dxa"/>
          </w:tcPr>
          <w:p w:rsidR="00D849AA" w:rsidRDefault="00EE6D95">
            <w:r>
              <w:t>39.221.590</w:t>
            </w:r>
          </w:p>
        </w:tc>
        <w:tc>
          <w:tcPr>
            <w:tcW w:w="1486" w:type="dxa"/>
          </w:tcPr>
          <w:p w:rsidR="00D849AA" w:rsidRDefault="00EE6D95">
            <w:r>
              <w:t>38.386.372</w:t>
            </w:r>
          </w:p>
        </w:tc>
        <w:tc>
          <w:tcPr>
            <w:tcW w:w="1486" w:type="dxa"/>
          </w:tcPr>
          <w:p w:rsidR="00D849AA" w:rsidRDefault="00EE6D95">
            <w:r>
              <w:t>95,4</w:t>
            </w:r>
          </w:p>
        </w:tc>
      </w:tr>
    </w:tbl>
    <w:p w:rsidR="00D849AA" w:rsidRDefault="00D849AA">
      <w:pPr>
        <w:jc w:val="left"/>
      </w:pPr>
    </w:p>
    <w:p w:rsidR="00D849AA" w:rsidRDefault="00EE6D95">
      <w:pPr>
        <w:pStyle w:val="Normal6"/>
      </w:pPr>
      <w:r>
        <w:t>U 2014. godini planiraju se osigurati sredstva za plaće za zaposlene te materijalne rashode. Osigurani su materijalni preduvjeti za obavljanje konzervatorsko - restauratorske djelatnosti kroz održavanje prostora i opreme u funkcionalnom stanju. Za obavljanje svoje djelatnosti, Zavod koristi prostore na dvanaest lokacija u Zagrebu i četrnaest lokacija izvan Zagreba. Obavljanje djelatnosti zahtjeva osiguranje posebnih uvjeta s gledišta zaštite na radu te korištenja različite opreme i uređaja.</w:t>
      </w:r>
    </w:p>
    <w:p w:rsidR="00B151E0" w:rsidRDefault="00B151E0">
      <w:pPr>
        <w:pStyle w:val="Normal6"/>
      </w:pPr>
    </w:p>
    <w:p w:rsidR="00D849AA" w:rsidRDefault="00EE6D95">
      <w:pPr>
        <w:pStyle w:val="Naslov3"/>
      </w:pPr>
      <w:r>
        <w:t>23585 Hrvatska knjižnica za slijepe</w:t>
      </w:r>
    </w:p>
    <w:p w:rsidR="00D849AA" w:rsidRDefault="00EE6D95">
      <w:pPr>
        <w:pStyle w:val="Naslov4"/>
      </w:pPr>
      <w:r>
        <w:t>Uvod</w:t>
      </w:r>
    </w:p>
    <w:p w:rsidR="00D849AA" w:rsidRDefault="00EE6D95">
      <w:pPr>
        <w:pStyle w:val="Normal5"/>
      </w:pPr>
      <w:r>
        <w:t>Osnovne djelatnosti su: tiskanje i snimanje knjiga s područja stručne literature i lijepe književnosti, tiskanje i snimanje časopisa, nabava knjižnične građe u tehnikama dostupnim slijepima (na brajici i u zvučnoj tehnici), stručna obrada, čuvanje, zaštita i popravak knjižnične građe, izrada biltena i kataloga, redovna posudba knjiga u svim tehnikama, pomoć korisnicima pri izboru i korištenju knjižnične građe, informacijskih pomagala i izvora, vođenje dokumentacije o građi i korisnicima.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23585</w:t>
            </w:r>
          </w:p>
        </w:tc>
        <w:tc>
          <w:tcPr>
            <w:tcW w:w="1486" w:type="dxa"/>
          </w:tcPr>
          <w:p w:rsidR="00D849AA" w:rsidRDefault="00EE6D95">
            <w:r>
              <w:t>2.763.900</w:t>
            </w:r>
          </w:p>
        </w:tc>
        <w:tc>
          <w:tcPr>
            <w:tcW w:w="1486" w:type="dxa"/>
          </w:tcPr>
          <w:p w:rsidR="00D849AA" w:rsidRDefault="00EE6D95">
            <w:r>
              <w:t>2.652.953</w:t>
            </w:r>
          </w:p>
        </w:tc>
        <w:tc>
          <w:tcPr>
            <w:tcW w:w="1486" w:type="dxa"/>
          </w:tcPr>
          <w:p w:rsidR="00D849AA" w:rsidRDefault="00EE6D95">
            <w:r>
              <w:t>2.509.894</w:t>
            </w:r>
          </w:p>
        </w:tc>
        <w:tc>
          <w:tcPr>
            <w:tcW w:w="1486" w:type="dxa"/>
          </w:tcPr>
          <w:p w:rsidR="00D849AA" w:rsidRDefault="00EE6D95">
            <w:r>
              <w:t>2.443.064</w:t>
            </w:r>
          </w:p>
        </w:tc>
        <w:tc>
          <w:tcPr>
            <w:tcW w:w="1486" w:type="dxa"/>
          </w:tcPr>
          <w:p w:rsidR="00D849AA" w:rsidRDefault="00EE6D95">
            <w:r>
              <w:t>96,0</w:t>
            </w:r>
          </w:p>
        </w:tc>
      </w:tr>
    </w:tbl>
    <w:p w:rsidR="00D849AA" w:rsidRDefault="00D849AA">
      <w:pPr>
        <w:jc w:val="left"/>
      </w:pPr>
    </w:p>
    <w:p w:rsidR="00D849AA" w:rsidRDefault="00EE6D95">
      <w:pPr>
        <w:pStyle w:val="Naslov4"/>
      </w:pPr>
      <w:r>
        <w:lastRenderedPageBreak/>
        <w:t>OBRAZLOŽENJE PROGRAMA</w:t>
      </w:r>
    </w:p>
    <w:p w:rsidR="00D849AA" w:rsidRDefault="00EE6D95">
      <w:pPr>
        <w:pStyle w:val="Naslov5"/>
      </w:pPr>
      <w:r>
        <w:t>3905 KNJIŽNIČNA DJELATNOST</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3905</w:t>
            </w:r>
          </w:p>
        </w:tc>
        <w:tc>
          <w:tcPr>
            <w:tcW w:w="1486" w:type="dxa"/>
          </w:tcPr>
          <w:p w:rsidR="00D849AA" w:rsidRDefault="00EE6D95">
            <w:r>
              <w:t>2.763.900</w:t>
            </w:r>
          </w:p>
        </w:tc>
        <w:tc>
          <w:tcPr>
            <w:tcW w:w="1486" w:type="dxa"/>
          </w:tcPr>
          <w:p w:rsidR="00D849AA" w:rsidRDefault="00EE6D95">
            <w:r>
              <w:t>2.652.953</w:t>
            </w:r>
          </w:p>
        </w:tc>
        <w:tc>
          <w:tcPr>
            <w:tcW w:w="1486" w:type="dxa"/>
          </w:tcPr>
          <w:p w:rsidR="00D849AA" w:rsidRDefault="00EE6D95">
            <w:r>
              <w:t>2.509.894</w:t>
            </w:r>
          </w:p>
        </w:tc>
        <w:tc>
          <w:tcPr>
            <w:tcW w:w="1486" w:type="dxa"/>
          </w:tcPr>
          <w:p w:rsidR="00D849AA" w:rsidRDefault="00EE6D95">
            <w:r>
              <w:t>2.443.064</w:t>
            </w:r>
          </w:p>
        </w:tc>
        <w:tc>
          <w:tcPr>
            <w:tcW w:w="1486" w:type="dxa"/>
          </w:tcPr>
          <w:p w:rsidR="00D849AA" w:rsidRDefault="00EE6D95">
            <w:r>
              <w:t>96,0</w:t>
            </w:r>
          </w:p>
        </w:tc>
      </w:tr>
    </w:tbl>
    <w:p w:rsidR="00D849AA" w:rsidRDefault="00D849AA">
      <w:pPr>
        <w:jc w:val="left"/>
      </w:pPr>
    </w:p>
    <w:p w:rsidR="00D849AA" w:rsidRDefault="00EE6D95">
      <w:pPr>
        <w:pStyle w:val="Naslov6"/>
      </w:pPr>
      <w:r>
        <w:t>Opis programa</w:t>
      </w:r>
    </w:p>
    <w:p w:rsidR="00D849AA" w:rsidRDefault="00EE6D95">
      <w:r>
        <w:t>Knjižnica je izdavač knjiga i časopisa za slijepe i slabovidne osobe. Jedina knjižnica za slijepe u Hrvatskoj surađuje s ostalim narodnim knjižnicama prezentacijom svoga rada i fonda kroz zajedničke akcije na širenju knjižničnih usluga za slijepe i slabovidne. Korisnici knjižnice su prije svega slijepe i slabovidne osobe, a potom i svi oni koji iz nekog razloga ne mogu čitati standardni tisak (disleksija, moždani udar, tjelesna oštećenja i sl.). Knjige se najvećim dijelom korisnicima šalju poštom na kućne adrese po cijeloj Hrvatskoj pa i u inozemstvo.</w:t>
      </w:r>
    </w:p>
    <w:p w:rsidR="00D849AA" w:rsidRDefault="00EE6D95">
      <w:pPr>
        <w:pStyle w:val="Naslov6"/>
      </w:pPr>
      <w:r>
        <w:t>Zakonske i druge pravne osnove</w:t>
      </w:r>
    </w:p>
    <w:p w:rsidR="00D849AA" w:rsidRDefault="00EE6D95">
      <w:r>
        <w:t>Uredba o osnivanju Hrvatske knjižnice za slijepe (NN 115/99)</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Cilj 1. Održavanje kontinuiteta knjižničnih usluga za slijepe i slabovidne osobe</w:t>
      </w:r>
    </w:p>
    <w:p w:rsidR="00D849AA" w:rsidRDefault="00EE6D95">
      <w:pPr>
        <w:pStyle w:val="Normal6"/>
      </w:pPr>
      <w:r>
        <w:t>Održavanje kontinuiteta knjižničnih usluga za slijepe i slabovidne osobe u cilju uključenja svih stanovnika s posebnim potrebama i dostupnosti informacija.</w:t>
      </w:r>
    </w:p>
    <w:p w:rsidR="00D849AA" w:rsidRDefault="00EE6D95">
      <w:pPr>
        <w:pStyle w:val="Naslov5"/>
      </w:pPr>
      <w:r>
        <w:t>Procjena i ishodište potrebnih sredstava za značajnije aktivnosti/projekte</w:t>
      </w:r>
    </w:p>
    <w:p w:rsidR="00D849AA" w:rsidRDefault="00EE6D95">
      <w:pPr>
        <w:pStyle w:val="Naslov6"/>
      </w:pPr>
      <w:r>
        <w:t>A835001 ADMINISTRACIJA I UPRAVLJANJE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A835001</w:t>
            </w:r>
          </w:p>
        </w:tc>
        <w:tc>
          <w:tcPr>
            <w:tcW w:w="1486" w:type="dxa"/>
          </w:tcPr>
          <w:p w:rsidR="00D849AA" w:rsidRDefault="00EE6D95">
            <w:r>
              <w:t>2.763.900</w:t>
            </w:r>
          </w:p>
        </w:tc>
        <w:tc>
          <w:tcPr>
            <w:tcW w:w="1486" w:type="dxa"/>
          </w:tcPr>
          <w:p w:rsidR="00D849AA" w:rsidRDefault="00EE6D95">
            <w:r>
              <w:t>2.652.953</w:t>
            </w:r>
          </w:p>
        </w:tc>
        <w:tc>
          <w:tcPr>
            <w:tcW w:w="1486" w:type="dxa"/>
          </w:tcPr>
          <w:p w:rsidR="00D849AA" w:rsidRDefault="00EE6D95">
            <w:r>
              <w:t>2.509.894</w:t>
            </w:r>
          </w:p>
        </w:tc>
        <w:tc>
          <w:tcPr>
            <w:tcW w:w="1486" w:type="dxa"/>
          </w:tcPr>
          <w:p w:rsidR="00D849AA" w:rsidRDefault="00EE6D95">
            <w:r>
              <w:t>2.443.064</w:t>
            </w:r>
          </w:p>
        </w:tc>
        <w:tc>
          <w:tcPr>
            <w:tcW w:w="1486" w:type="dxa"/>
          </w:tcPr>
          <w:p w:rsidR="00D849AA" w:rsidRDefault="00EE6D95">
            <w:r>
              <w:t>96,0</w:t>
            </w:r>
          </w:p>
        </w:tc>
      </w:tr>
    </w:tbl>
    <w:p w:rsidR="00D849AA" w:rsidRDefault="00D849AA">
      <w:pPr>
        <w:jc w:val="left"/>
      </w:pPr>
    </w:p>
    <w:p w:rsidR="00D849AA" w:rsidRDefault="00EE6D95">
      <w:pPr>
        <w:pStyle w:val="Normal6"/>
      </w:pPr>
      <w:r>
        <w:t>U ovoj aktivnosti planirana su sredstva za obavljanje redovite knjižnične i nakladničke djelatnosti Knjižnice, te sredstva za ulaganje u prostor i opremu.</w:t>
      </w:r>
    </w:p>
    <w:p w:rsidR="00D849AA" w:rsidRDefault="00EE6D95">
      <w:pPr>
        <w:pStyle w:val="Naslov3"/>
      </w:pPr>
      <w:r>
        <w:t>23608 Zavod za obnovu Dubrovnika</w:t>
      </w:r>
    </w:p>
    <w:p w:rsidR="00D849AA" w:rsidRDefault="00EE6D95">
      <w:pPr>
        <w:pStyle w:val="Naslov4"/>
      </w:pPr>
      <w:r>
        <w:t>Uvod</w:t>
      </w:r>
    </w:p>
    <w:p w:rsidR="00D849AA" w:rsidRDefault="00EE6D95">
      <w:pPr>
        <w:pStyle w:val="Normal5"/>
      </w:pPr>
      <w:r>
        <w:t xml:space="preserve">Osnovna djelatnost Zavoda uključuje pripremne radnje (snimke postojećeg stanja, arheološka i druga istraživanja, tender dokumentaciju radova na obnovi, suglasnosti i dozvole nadležnih institucija), poslove nadzora ( odabir izvoditelja, stručni nadzor), osiguranje sredstava ( zakonski izvori financiranja, drugi izvori kao joint ventures, koncesije, donacije i drugo), </w:t>
      </w:r>
      <w:r>
        <w:lastRenderedPageBreak/>
        <w:t>promociju ( povijesne jezgre, metoda i rezultata obnove), odnose s javnošću i administrativne i tehničke poslove servisiranja programa i ustanove kao takve.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23608</w:t>
            </w:r>
          </w:p>
        </w:tc>
        <w:tc>
          <w:tcPr>
            <w:tcW w:w="1486" w:type="dxa"/>
          </w:tcPr>
          <w:p w:rsidR="00D849AA" w:rsidRDefault="00EE6D95">
            <w:r>
              <w:t>6.178.588</w:t>
            </w:r>
          </w:p>
        </w:tc>
        <w:tc>
          <w:tcPr>
            <w:tcW w:w="1486" w:type="dxa"/>
          </w:tcPr>
          <w:p w:rsidR="00D849AA" w:rsidRDefault="00EE6D95">
            <w:r>
              <w:t>2.138.039</w:t>
            </w:r>
          </w:p>
        </w:tc>
        <w:tc>
          <w:tcPr>
            <w:tcW w:w="1486" w:type="dxa"/>
          </w:tcPr>
          <w:p w:rsidR="00D849AA" w:rsidRDefault="00EE6D95">
            <w:r>
              <w:t>2.306.999</w:t>
            </w:r>
          </w:p>
        </w:tc>
        <w:tc>
          <w:tcPr>
            <w:tcW w:w="1486" w:type="dxa"/>
          </w:tcPr>
          <w:p w:rsidR="00D849AA" w:rsidRDefault="00EE6D95">
            <w:r>
              <w:t>2.354.807</w:t>
            </w:r>
          </w:p>
        </w:tc>
        <w:tc>
          <w:tcPr>
            <w:tcW w:w="1486" w:type="dxa"/>
          </w:tcPr>
          <w:p w:rsidR="00D849AA" w:rsidRDefault="00EE6D95">
            <w:r>
              <w:t>34,6</w:t>
            </w:r>
          </w:p>
        </w:tc>
      </w:tr>
    </w:tbl>
    <w:p w:rsidR="00D849AA" w:rsidRDefault="00D849AA">
      <w:pPr>
        <w:jc w:val="left"/>
      </w:pPr>
    </w:p>
    <w:p w:rsidR="00D849AA" w:rsidRDefault="00EE6D95">
      <w:pPr>
        <w:pStyle w:val="Naslov4"/>
      </w:pPr>
      <w:r>
        <w:t>OBRAZLOŽENJE PROGRAMA</w:t>
      </w:r>
    </w:p>
    <w:p w:rsidR="00D849AA" w:rsidRDefault="00EE6D95">
      <w:pPr>
        <w:pStyle w:val="Naslov5"/>
      </w:pPr>
      <w:r>
        <w:t>3908 ZAŠTITA KULTURNIH DOBARA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3908</w:t>
            </w:r>
          </w:p>
        </w:tc>
        <w:tc>
          <w:tcPr>
            <w:tcW w:w="1486" w:type="dxa"/>
          </w:tcPr>
          <w:p w:rsidR="00D849AA" w:rsidRDefault="00EE6D95">
            <w:r>
              <w:t>6.178.588</w:t>
            </w:r>
          </w:p>
        </w:tc>
        <w:tc>
          <w:tcPr>
            <w:tcW w:w="1486" w:type="dxa"/>
          </w:tcPr>
          <w:p w:rsidR="00D849AA" w:rsidRDefault="00EE6D95">
            <w:r>
              <w:t>2.138.039</w:t>
            </w:r>
          </w:p>
        </w:tc>
        <w:tc>
          <w:tcPr>
            <w:tcW w:w="1486" w:type="dxa"/>
          </w:tcPr>
          <w:p w:rsidR="00D849AA" w:rsidRDefault="00EE6D95">
            <w:r>
              <w:t>2.306.999</w:t>
            </w:r>
          </w:p>
        </w:tc>
        <w:tc>
          <w:tcPr>
            <w:tcW w:w="1486" w:type="dxa"/>
          </w:tcPr>
          <w:p w:rsidR="00D849AA" w:rsidRDefault="00EE6D95">
            <w:r>
              <w:t>2.354.807</w:t>
            </w:r>
          </w:p>
        </w:tc>
        <w:tc>
          <w:tcPr>
            <w:tcW w:w="1486" w:type="dxa"/>
          </w:tcPr>
          <w:p w:rsidR="00D849AA" w:rsidRDefault="00EE6D95">
            <w:r>
              <w:t>34,6</w:t>
            </w:r>
          </w:p>
        </w:tc>
      </w:tr>
    </w:tbl>
    <w:p w:rsidR="00D849AA" w:rsidRDefault="00D849AA">
      <w:pPr>
        <w:jc w:val="left"/>
      </w:pPr>
    </w:p>
    <w:p w:rsidR="00D849AA" w:rsidRDefault="00EE6D95">
      <w:pPr>
        <w:pStyle w:val="Naslov6"/>
      </w:pPr>
      <w:r>
        <w:t>Opis programa</w:t>
      </w:r>
    </w:p>
    <w:p w:rsidR="00D849AA" w:rsidRDefault="00EE6D95">
      <w:r>
        <w:t>Program Zaštite kulturnih dobara odnosi se na obnovu povijesne jezgre Dubrovnika koju provodi Zavod. Obnova povijesne jezgre uključuje: pripremne radnje (snimke postojećeg stanja, arheološka i druga istraživanja, tender dokumentaciju radova na obnovi, suglasnosti i dozvole nadležnih institucija), poslove nadzora (odabir izvoditelja, stručni nadzor), osiguranje sredstava (zakonski izvori financiranja, drugi izvori kao joint ventures, koncesije, donacije i drugo), promociju ( povijesne jezgre, metoda i rezultata obnove), odnose s javnošću, administrativne i tehničke poslove servisiranja programa i ustanove kao takve.</w:t>
      </w:r>
    </w:p>
    <w:p w:rsidR="00D849AA" w:rsidRDefault="00EE6D95">
      <w:pPr>
        <w:pStyle w:val="Naslov6"/>
      </w:pPr>
      <w:r>
        <w:t>Zakonske i druge pravne osnove</w:t>
      </w:r>
    </w:p>
    <w:p w:rsidR="00D849AA" w:rsidRDefault="00EE6D95">
      <w:r>
        <w:t>- Zakon o zaštiti spomenika kulture (1996.); - Zakon o obnovi spomeničke cjeline Dubrovnika (1999.).</w:t>
      </w:r>
    </w:p>
    <w:p w:rsidR="00D849AA" w:rsidRDefault="00EE6D95">
      <w:pPr>
        <w:pStyle w:val="Naslov5"/>
      </w:pPr>
      <w:r>
        <w:t>Procjena i ishodište potrebnih sredstava za značajnije aktivnosti/projekte</w:t>
      </w:r>
    </w:p>
    <w:p w:rsidR="00D849AA" w:rsidRDefault="00EE6D95">
      <w:pPr>
        <w:pStyle w:val="Naslov6"/>
      </w:pPr>
      <w:r>
        <w:t>A833001 PROGRAMI ZAVODA ZA OBNOVU DUBROVNIKA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A833001</w:t>
            </w:r>
          </w:p>
        </w:tc>
        <w:tc>
          <w:tcPr>
            <w:tcW w:w="1486" w:type="dxa"/>
          </w:tcPr>
          <w:p w:rsidR="00D849AA" w:rsidRDefault="00EE6D95">
            <w:r>
              <w:t>5.000.000</w:t>
            </w:r>
          </w:p>
        </w:tc>
        <w:tc>
          <w:tcPr>
            <w:tcW w:w="1486" w:type="dxa"/>
          </w:tcPr>
          <w:p w:rsidR="00D849AA" w:rsidRDefault="00EE6D95">
            <w:r>
              <w:t>1.000.000</w:t>
            </w:r>
          </w:p>
        </w:tc>
        <w:tc>
          <w:tcPr>
            <w:tcW w:w="1486" w:type="dxa"/>
          </w:tcPr>
          <w:p w:rsidR="00D849AA" w:rsidRDefault="00EE6D95">
            <w:r>
              <w:t>1.000.000</w:t>
            </w:r>
          </w:p>
        </w:tc>
        <w:tc>
          <w:tcPr>
            <w:tcW w:w="1486" w:type="dxa"/>
          </w:tcPr>
          <w:p w:rsidR="00D849AA" w:rsidRDefault="00EE6D95">
            <w:r>
              <w:t>1.000.000</w:t>
            </w:r>
          </w:p>
        </w:tc>
        <w:tc>
          <w:tcPr>
            <w:tcW w:w="1486" w:type="dxa"/>
          </w:tcPr>
          <w:p w:rsidR="00D849AA" w:rsidRDefault="00EE6D95">
            <w:r>
              <w:t>20,0</w:t>
            </w:r>
          </w:p>
        </w:tc>
      </w:tr>
    </w:tbl>
    <w:p w:rsidR="00D849AA" w:rsidRDefault="00D849AA">
      <w:pPr>
        <w:jc w:val="left"/>
      </w:pPr>
    </w:p>
    <w:p w:rsidR="00D849AA" w:rsidRDefault="00EE6D95">
      <w:pPr>
        <w:pStyle w:val="Normal6"/>
      </w:pPr>
      <w:r>
        <w:t>Kroz ovu aktivnost Zavod izrađuje prijave za zaštitne radove na kulturnim dobrima, prema Pozivu za predlaganje programa javnih potreba u kulturi Republike Hrvatske. Provodi programe obnove povijesne jezgre Dubrovnika. Zavod izrađuje i provodi financijsku dokumentaciju, prati programe, vrši nadzor te izrađuje izvješća po završenom programu. Istraživanjem, dokumentiranjem, inventarizacijom kulturnih dobara, izradom projekata sanacije i njihovim provođenjem unapređuje stanje i vodi brigu o kulturnoj baštini Dubrovnika.</w:t>
      </w:r>
    </w:p>
    <w:p w:rsidR="00D849AA" w:rsidRDefault="00EE6D95">
      <w:pPr>
        <w:pStyle w:val="Naslov6"/>
      </w:pPr>
      <w:r>
        <w:lastRenderedPageBreak/>
        <w:t>A833002 ADMINISTRACIJA I UPRAVLJANJE ZAVODOM ZA OBNOVU DUBROVNIKA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A833002</w:t>
            </w:r>
          </w:p>
        </w:tc>
        <w:tc>
          <w:tcPr>
            <w:tcW w:w="1486" w:type="dxa"/>
          </w:tcPr>
          <w:p w:rsidR="00D849AA" w:rsidRDefault="00EE6D95">
            <w:r>
              <w:t>1.178.588</w:t>
            </w:r>
          </w:p>
        </w:tc>
        <w:tc>
          <w:tcPr>
            <w:tcW w:w="1486" w:type="dxa"/>
          </w:tcPr>
          <w:p w:rsidR="00D849AA" w:rsidRDefault="00EE6D95">
            <w:r>
              <w:t>1.138.039</w:t>
            </w:r>
          </w:p>
        </w:tc>
        <w:tc>
          <w:tcPr>
            <w:tcW w:w="1486" w:type="dxa"/>
          </w:tcPr>
          <w:p w:rsidR="00D849AA" w:rsidRDefault="00EE6D95">
            <w:r>
              <w:t>1.306.999</w:t>
            </w:r>
          </w:p>
        </w:tc>
        <w:tc>
          <w:tcPr>
            <w:tcW w:w="1486" w:type="dxa"/>
          </w:tcPr>
          <w:p w:rsidR="00D849AA" w:rsidRDefault="00EE6D95">
            <w:r>
              <w:t>1.354.807</w:t>
            </w:r>
          </w:p>
        </w:tc>
        <w:tc>
          <w:tcPr>
            <w:tcW w:w="1486" w:type="dxa"/>
          </w:tcPr>
          <w:p w:rsidR="00D849AA" w:rsidRDefault="00EE6D95">
            <w:r>
              <w:t>96,6</w:t>
            </w:r>
          </w:p>
        </w:tc>
      </w:tr>
    </w:tbl>
    <w:p w:rsidR="00D849AA" w:rsidRDefault="00D849AA">
      <w:pPr>
        <w:jc w:val="left"/>
      </w:pPr>
    </w:p>
    <w:p w:rsidR="00D849AA" w:rsidRDefault="00EE6D95">
      <w:pPr>
        <w:pStyle w:val="Normal6"/>
      </w:pPr>
      <w:r>
        <w:t>U ovoj aktivnosti osiguravaju su sredstva za plaće i materijalne rashode. Osiguravaju se materijalni preduvjeti za obavljanje djelatnosti Zavoda kroz održavanje prostora i opreme u funkcionalnom stanju.</w:t>
      </w:r>
    </w:p>
    <w:p w:rsidR="00D849AA" w:rsidRDefault="00EE6D95">
      <w:pPr>
        <w:pStyle w:val="Naslov3"/>
      </w:pPr>
      <w:r>
        <w:t>25878 Hrvatsko narodno kazalište</w:t>
      </w:r>
    </w:p>
    <w:p w:rsidR="00D849AA" w:rsidRDefault="00EE6D95">
      <w:pPr>
        <w:pStyle w:val="Naslov4"/>
      </w:pPr>
      <w:r>
        <w:t>Uvod</w:t>
      </w:r>
    </w:p>
    <w:p w:rsidR="00D849AA" w:rsidRDefault="00EE6D95">
      <w:pPr>
        <w:pStyle w:val="Normal5"/>
      </w:pPr>
      <w:r>
        <w:t>Hrvatsko narodno kazalište u Zagrebu središnje je nacionalno kazalište, čiji osnivači su Republika Hrvatska i Grad Zagreb. Predstavljajući bogat i raznovrstan repertoar triju kontinuiranih umjetničkih cjelina – opere, drame i baleta, ostvaruju se djela visoke umjetničke razine, u izvedbi najvećih umjetnika i pisaca, glumaca, redatelja, scenografa i kostimografa, svjetski poznatih opernih i baletnih prvaka, dirigenata i koreografa. Umjetničko-estetska pozicija središnje nacionalne kuće podrazumijeva postavljanje djela svjetske klasike, nacionalne tradicije i suvremenog stvaralaštva.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25878</w:t>
            </w:r>
          </w:p>
        </w:tc>
        <w:tc>
          <w:tcPr>
            <w:tcW w:w="1486" w:type="dxa"/>
          </w:tcPr>
          <w:p w:rsidR="00D849AA" w:rsidRDefault="00EE6D95">
            <w:r>
              <w:t>85.825.227</w:t>
            </w:r>
          </w:p>
        </w:tc>
        <w:tc>
          <w:tcPr>
            <w:tcW w:w="1486" w:type="dxa"/>
          </w:tcPr>
          <w:p w:rsidR="00D849AA" w:rsidRDefault="00EE6D95">
            <w:r>
              <w:t>84.771.683</w:t>
            </w:r>
          </w:p>
        </w:tc>
        <w:tc>
          <w:tcPr>
            <w:tcW w:w="1486" w:type="dxa"/>
          </w:tcPr>
          <w:p w:rsidR="00D849AA" w:rsidRDefault="00EE6D95">
            <w:r>
              <w:t>84.169.240</w:t>
            </w:r>
          </w:p>
        </w:tc>
        <w:tc>
          <w:tcPr>
            <w:tcW w:w="1486" w:type="dxa"/>
          </w:tcPr>
          <w:p w:rsidR="00D849AA" w:rsidRDefault="00EE6D95">
            <w:r>
              <w:t>83.121.202</w:t>
            </w:r>
          </w:p>
        </w:tc>
        <w:tc>
          <w:tcPr>
            <w:tcW w:w="1486" w:type="dxa"/>
          </w:tcPr>
          <w:p w:rsidR="00D849AA" w:rsidRDefault="00EE6D95">
            <w:r>
              <w:t>98,8</w:t>
            </w:r>
          </w:p>
        </w:tc>
      </w:tr>
    </w:tbl>
    <w:p w:rsidR="00D849AA" w:rsidRDefault="00D849AA">
      <w:pPr>
        <w:jc w:val="left"/>
      </w:pPr>
    </w:p>
    <w:p w:rsidR="00D849AA" w:rsidRDefault="00EE6D95">
      <w:pPr>
        <w:pStyle w:val="Naslov4"/>
      </w:pPr>
      <w:r>
        <w:t>OBRAZLOŽENJE PROGRAMA</w:t>
      </w:r>
    </w:p>
    <w:p w:rsidR="00D849AA" w:rsidRDefault="00EE6D95">
      <w:pPr>
        <w:pStyle w:val="Naslov5"/>
      </w:pPr>
      <w:r>
        <w:t>3904 KAZALIŠNA I GLAZBENO- SCENSKA DJELATNOST</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3904</w:t>
            </w:r>
          </w:p>
        </w:tc>
        <w:tc>
          <w:tcPr>
            <w:tcW w:w="1486" w:type="dxa"/>
          </w:tcPr>
          <w:p w:rsidR="00D849AA" w:rsidRDefault="00EE6D95">
            <w:r>
              <w:t>85.825.227</w:t>
            </w:r>
          </w:p>
        </w:tc>
        <w:tc>
          <w:tcPr>
            <w:tcW w:w="1486" w:type="dxa"/>
          </w:tcPr>
          <w:p w:rsidR="00D849AA" w:rsidRDefault="00EE6D95">
            <w:r>
              <w:t>84.771.683</w:t>
            </w:r>
          </w:p>
        </w:tc>
        <w:tc>
          <w:tcPr>
            <w:tcW w:w="1486" w:type="dxa"/>
          </w:tcPr>
          <w:p w:rsidR="00D849AA" w:rsidRDefault="00EE6D95">
            <w:r>
              <w:t>84.169.240</w:t>
            </w:r>
          </w:p>
        </w:tc>
        <w:tc>
          <w:tcPr>
            <w:tcW w:w="1486" w:type="dxa"/>
          </w:tcPr>
          <w:p w:rsidR="00D849AA" w:rsidRDefault="00EE6D95">
            <w:r>
              <w:t>83.121.202</w:t>
            </w:r>
          </w:p>
        </w:tc>
        <w:tc>
          <w:tcPr>
            <w:tcW w:w="1486" w:type="dxa"/>
          </w:tcPr>
          <w:p w:rsidR="00D849AA" w:rsidRDefault="00EE6D95">
            <w:r>
              <w:t>98,8</w:t>
            </w:r>
          </w:p>
        </w:tc>
      </w:tr>
    </w:tbl>
    <w:p w:rsidR="00D849AA" w:rsidRDefault="00D849AA">
      <w:pPr>
        <w:jc w:val="left"/>
      </w:pPr>
    </w:p>
    <w:p w:rsidR="00D849AA" w:rsidRDefault="00EE6D95">
      <w:pPr>
        <w:pStyle w:val="Naslov6"/>
      </w:pPr>
      <w:r>
        <w:t>Opis programa</w:t>
      </w:r>
    </w:p>
    <w:p w:rsidR="00D849AA" w:rsidRDefault="00EE6D95">
      <w:r>
        <w:t>Programska aktivnost HNK u Zagrebu obuhvaća financiranje i ostvarivanje programa Opere, Drame i Baleta, koje ostvaruju premijerni i reprizni program, te programe gostovanja. Uspješno se ostvaruju program pripreme i izvedbe produkcija visoke umjetničke razine, razni oblici programske suradnje te izvršavanje osnovne kulturne misije HNK u Zagrebu, kao središnjeg nacionalnog kazališta.</w:t>
      </w:r>
    </w:p>
    <w:p w:rsidR="00D849AA" w:rsidRDefault="00EE6D95">
      <w:pPr>
        <w:pStyle w:val="Naslov6"/>
      </w:pPr>
      <w:r>
        <w:lastRenderedPageBreak/>
        <w:t>Zakonske i druge pravne osnove</w:t>
      </w:r>
    </w:p>
    <w:p w:rsidR="00D849AA" w:rsidRDefault="00EE6D95">
      <w:r>
        <w:t>- Zakon o kazalištima (NN 71/06, 121/13) - Pravilnik o očevidniku kazališta (NN 35/2007) - Pravilnik o utvrđivanju kazališnih radnika koji se smatraju kazališni umjetnici (NN 39/07) - Pravilnik o kriterijima i standardima za osiguravanje sredstva za nacionalna kazališta (NN 116/08)</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Cilj 1. Održavanje standarda ukupnog broja izvedbi</w:t>
      </w:r>
    </w:p>
    <w:p w:rsidR="00D849AA" w:rsidRDefault="00EE6D95">
      <w:pPr>
        <w:pStyle w:val="Normal6"/>
      </w:pPr>
      <w:r>
        <w:t>Ostvarivanjem repertoara HNK u Zagrebu ispunjavaju se javne potrebe u kulturi Republike Hrvatske i Grada Zagreba. Repertoar triju umjetničkih cjelina –Opere, Drame i Baleta obuhvaća premijerne i reprizne izvedbe i programe gostovanja. Ostvaruje se visoka umjetnička razina programa, uprizoruju se djela klasičnog i nacionalnog repertoara, što obuhvaća djela domaće i svjetske baštine te suvremenih djela. Ostvaruju se uvjeti za kreativnost umjetnika . Održavanje ukupnog broja premijernih i repriznih izvedbi,gostovanja i popratnih programa važna je sastavnica u održavanju programske kvalitete. Krajnji korisnici ostvarenog programa su domaća i inozemna publika.</w:t>
      </w:r>
    </w:p>
    <w:p w:rsidR="00D849AA" w:rsidRDefault="00EE6D95">
      <w:pPr>
        <w:pStyle w:val="Naslov5"/>
      </w:pPr>
      <w:r>
        <w:t>Procjena i ishodište potrebnih sredstava za značajnije aktivnosti/projekte</w:t>
      </w:r>
    </w:p>
    <w:p w:rsidR="00D849AA" w:rsidRDefault="00EE6D95">
      <w:pPr>
        <w:pStyle w:val="Naslov6"/>
      </w:pPr>
      <w:r>
        <w:t>A832001 ADMINISTRACIJA I UPRAVLJANJE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A832001</w:t>
            </w:r>
          </w:p>
        </w:tc>
        <w:tc>
          <w:tcPr>
            <w:tcW w:w="1486" w:type="dxa"/>
          </w:tcPr>
          <w:p w:rsidR="00D849AA" w:rsidRDefault="00EE6D95">
            <w:r>
              <w:t>72.547.780</w:t>
            </w:r>
          </w:p>
        </w:tc>
        <w:tc>
          <w:tcPr>
            <w:tcW w:w="1486" w:type="dxa"/>
          </w:tcPr>
          <w:p w:rsidR="00D849AA" w:rsidRDefault="00EE6D95">
            <w:r>
              <w:t>71.830.506</w:t>
            </w:r>
          </w:p>
        </w:tc>
        <w:tc>
          <w:tcPr>
            <w:tcW w:w="1486" w:type="dxa"/>
          </w:tcPr>
          <w:p w:rsidR="00D849AA" w:rsidRDefault="00EE6D95">
            <w:r>
              <w:t>71.228.063</w:t>
            </w:r>
          </w:p>
        </w:tc>
        <w:tc>
          <w:tcPr>
            <w:tcW w:w="1486" w:type="dxa"/>
          </w:tcPr>
          <w:p w:rsidR="00D849AA" w:rsidRDefault="00EE6D95">
            <w:r>
              <w:t>70.180.025</w:t>
            </w:r>
          </w:p>
        </w:tc>
        <w:tc>
          <w:tcPr>
            <w:tcW w:w="1486" w:type="dxa"/>
          </w:tcPr>
          <w:p w:rsidR="00D849AA" w:rsidRDefault="00EE6D95">
            <w:r>
              <w:t>99,0</w:t>
            </w:r>
          </w:p>
        </w:tc>
      </w:tr>
    </w:tbl>
    <w:p w:rsidR="00D849AA" w:rsidRDefault="00D849AA">
      <w:pPr>
        <w:jc w:val="left"/>
      </w:pPr>
    </w:p>
    <w:p w:rsidR="00D849AA" w:rsidRDefault="00EE6D95">
      <w:pPr>
        <w:pStyle w:val="Normal6"/>
      </w:pPr>
      <w:r>
        <w:t>Ovom aktivnosti se osiguravaju sredstva za plaće te materijalne rashode. Ministarstvo sudjeluje u financiranju 255 djelatnika HNK Zagreb što čini 51 % od ukupnog broja.</w:t>
      </w:r>
    </w:p>
    <w:p w:rsidR="00D849AA" w:rsidRDefault="00EE6D95">
      <w:pPr>
        <w:pStyle w:val="Naslov6"/>
      </w:pPr>
      <w:r>
        <w:t>A832002 PROGRAMI HRVATSKOG NARODNOG KAZALIŠTA U ZAGREBU</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A832002</w:t>
            </w:r>
          </w:p>
        </w:tc>
        <w:tc>
          <w:tcPr>
            <w:tcW w:w="1486" w:type="dxa"/>
          </w:tcPr>
          <w:p w:rsidR="00D849AA" w:rsidRDefault="00EE6D95">
            <w:r>
              <w:t>13.277.447</w:t>
            </w:r>
          </w:p>
        </w:tc>
        <w:tc>
          <w:tcPr>
            <w:tcW w:w="1486" w:type="dxa"/>
          </w:tcPr>
          <w:p w:rsidR="00D849AA" w:rsidRDefault="00EE6D95">
            <w:r>
              <w:t>12.941.177</w:t>
            </w:r>
          </w:p>
        </w:tc>
        <w:tc>
          <w:tcPr>
            <w:tcW w:w="1486" w:type="dxa"/>
          </w:tcPr>
          <w:p w:rsidR="00D849AA" w:rsidRDefault="00EE6D95">
            <w:r>
              <w:t>12.941.177</w:t>
            </w:r>
          </w:p>
        </w:tc>
        <w:tc>
          <w:tcPr>
            <w:tcW w:w="1486" w:type="dxa"/>
          </w:tcPr>
          <w:p w:rsidR="00D849AA" w:rsidRDefault="00EE6D95">
            <w:r>
              <w:t>12.941.177</w:t>
            </w:r>
          </w:p>
        </w:tc>
        <w:tc>
          <w:tcPr>
            <w:tcW w:w="1486" w:type="dxa"/>
          </w:tcPr>
          <w:p w:rsidR="00D849AA" w:rsidRDefault="00EE6D95">
            <w:r>
              <w:t>97,5</w:t>
            </w:r>
          </w:p>
        </w:tc>
      </w:tr>
    </w:tbl>
    <w:p w:rsidR="00D849AA" w:rsidRDefault="00D849AA">
      <w:pPr>
        <w:jc w:val="left"/>
      </w:pPr>
    </w:p>
    <w:p w:rsidR="00D849AA" w:rsidRDefault="00EE6D95">
      <w:pPr>
        <w:pStyle w:val="Normal6"/>
      </w:pPr>
      <w:r>
        <w:t>Programska aktivnost HNK u Zagrebu obuhvaća financiranje programa triju umjetničkih cjelina: Opere, Drame i Baleta. Ostvarenjem njihova repertoara izvršene su minimalne obveze svake programske djelatnosti u jednoj kalendarskoj godini.</w:t>
      </w:r>
    </w:p>
    <w:p w:rsidR="00B151E0" w:rsidRDefault="00B151E0">
      <w:pPr>
        <w:pStyle w:val="Normal6"/>
      </w:pPr>
    </w:p>
    <w:p w:rsidR="00D849AA" w:rsidRDefault="00EE6D95">
      <w:pPr>
        <w:pStyle w:val="Naslov3"/>
      </w:pPr>
      <w:r>
        <w:t>44926 Hrvatski audiovizualni centar</w:t>
      </w:r>
    </w:p>
    <w:p w:rsidR="00D849AA" w:rsidRDefault="00EE6D95">
      <w:pPr>
        <w:pStyle w:val="Naslov4"/>
      </w:pPr>
      <w:r>
        <w:t>Uvod</w:t>
      </w:r>
    </w:p>
    <w:p w:rsidR="00D849AA" w:rsidRDefault="00EE6D95">
      <w:pPr>
        <w:pStyle w:val="Normal5"/>
      </w:pPr>
      <w:r>
        <w:t xml:space="preserve">Sredstva za rad Centra i provedbu Nacionalnog programa osiguravaju se iz državnog proračuna te iz dijela ukupnog godišnjeg bruto-prihoda ostvarenog obavljanjem audiovizualnih djelatnosti: Hrvatske radiotelevizije, nakladnika televizijskih programa na nacionalnoj razini, nakladnika televizijskih programa na regionalnoj razini, operatora sustava </w:t>
      </w:r>
      <w:r>
        <w:lastRenderedPageBreak/>
        <w:t>kabelske distribucije, operatora u nepokretnim i pokretnim telekomunikacijskim mrežama, davatelja usluga pristupa Internetu i osoba koje javno prikazuju audiovizualna djela.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44926</w:t>
            </w:r>
          </w:p>
        </w:tc>
        <w:tc>
          <w:tcPr>
            <w:tcW w:w="1486" w:type="dxa"/>
          </w:tcPr>
          <w:p w:rsidR="00D849AA" w:rsidRDefault="00EE6D95">
            <w:r>
              <w:t>36.217.628</w:t>
            </w:r>
          </w:p>
        </w:tc>
        <w:tc>
          <w:tcPr>
            <w:tcW w:w="1486" w:type="dxa"/>
          </w:tcPr>
          <w:p w:rsidR="00D849AA" w:rsidRDefault="00EE6D95">
            <w:r>
              <w:t>36.076.324</w:t>
            </w:r>
          </w:p>
        </w:tc>
        <w:tc>
          <w:tcPr>
            <w:tcW w:w="1486" w:type="dxa"/>
          </w:tcPr>
          <w:p w:rsidR="00D849AA" w:rsidRDefault="00EE6D95">
            <w:r>
              <w:t>36.425.458</w:t>
            </w:r>
          </w:p>
        </w:tc>
        <w:tc>
          <w:tcPr>
            <w:tcW w:w="1486" w:type="dxa"/>
          </w:tcPr>
          <w:p w:rsidR="00D849AA" w:rsidRDefault="00EE6D95">
            <w:r>
              <w:t>36.338.857</w:t>
            </w:r>
          </w:p>
        </w:tc>
        <w:tc>
          <w:tcPr>
            <w:tcW w:w="1486" w:type="dxa"/>
          </w:tcPr>
          <w:p w:rsidR="00D849AA" w:rsidRDefault="00EE6D95">
            <w:r>
              <w:t>99,6</w:t>
            </w:r>
          </w:p>
        </w:tc>
      </w:tr>
    </w:tbl>
    <w:p w:rsidR="00D849AA" w:rsidRDefault="00D849AA">
      <w:pPr>
        <w:jc w:val="left"/>
      </w:pPr>
    </w:p>
    <w:p w:rsidR="00D849AA" w:rsidRDefault="00EE6D95">
      <w:pPr>
        <w:pStyle w:val="Naslov4"/>
      </w:pPr>
      <w:r>
        <w:t>OBRAZLOŽENJE PROGRAMA</w:t>
      </w:r>
    </w:p>
    <w:p w:rsidR="00D849AA" w:rsidRDefault="00EE6D95">
      <w:pPr>
        <w:pStyle w:val="Naslov5"/>
      </w:pPr>
      <w:r>
        <w:t>3906 PROGRAMI AUDIO VIZUALNE DJELATNOSTI I MEDIJA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3906</w:t>
            </w:r>
          </w:p>
        </w:tc>
        <w:tc>
          <w:tcPr>
            <w:tcW w:w="1486" w:type="dxa"/>
          </w:tcPr>
          <w:p w:rsidR="00D849AA" w:rsidRDefault="00EE6D95">
            <w:r>
              <w:t>36.217.628</w:t>
            </w:r>
          </w:p>
        </w:tc>
        <w:tc>
          <w:tcPr>
            <w:tcW w:w="1486" w:type="dxa"/>
          </w:tcPr>
          <w:p w:rsidR="00D849AA" w:rsidRDefault="00EE6D95">
            <w:r>
              <w:t>36.076.324</w:t>
            </w:r>
          </w:p>
        </w:tc>
        <w:tc>
          <w:tcPr>
            <w:tcW w:w="1486" w:type="dxa"/>
          </w:tcPr>
          <w:p w:rsidR="00D849AA" w:rsidRDefault="00EE6D95">
            <w:r>
              <w:t>36.425.458</w:t>
            </w:r>
          </w:p>
        </w:tc>
        <w:tc>
          <w:tcPr>
            <w:tcW w:w="1486" w:type="dxa"/>
          </w:tcPr>
          <w:p w:rsidR="00D849AA" w:rsidRDefault="00EE6D95">
            <w:r>
              <w:t>36.338.857</w:t>
            </w:r>
          </w:p>
        </w:tc>
        <w:tc>
          <w:tcPr>
            <w:tcW w:w="1486" w:type="dxa"/>
          </w:tcPr>
          <w:p w:rsidR="00D849AA" w:rsidRDefault="00EE6D95">
            <w:r>
              <w:t>99,6</w:t>
            </w:r>
          </w:p>
        </w:tc>
      </w:tr>
    </w:tbl>
    <w:p w:rsidR="00D849AA" w:rsidRDefault="00D849AA">
      <w:pPr>
        <w:jc w:val="left"/>
      </w:pPr>
    </w:p>
    <w:p w:rsidR="00D849AA" w:rsidRDefault="00EE6D95">
      <w:pPr>
        <w:pStyle w:val="Naslov6"/>
      </w:pPr>
      <w:r>
        <w:t>Opis programa</w:t>
      </w:r>
    </w:p>
    <w:p w:rsidR="00D849AA" w:rsidRDefault="00EE6D95">
      <w:r>
        <w:t>U 2014. godini Hrvatski audiovizualni centar provodi Nacionalni program promicanja audiovizualnog stvaralaštva i putem javnog natječaja raspodijeljuje sredstva za poticanje audiovizualnih djelatnosti i komplementarnih djelatnosti. Pod audiovizualnim djelatnostima smatraju se razvoj, proizvodnja, promocija, distribucija i prikazivanje audiovizualnih djela: igranih i dokumentarnih filmova, animiranih filmova i eksperimentalnih filmova. Komplementarne djelatnosti su zaštita audiovizualne baštine uključujući kinotečnu djelatnost, filmski festivali i druge audiovizualne manifestacije, te djelatnosti razvijanja audiovizualne kulture, programi promocije i prodaje hrvatskih audiovizualnih djela, međunarodna suradnja, proučavanje i kritičko vrednovanje audiovizualnih djelatnosti, izdavaštvo u području audiovizualnih djelatnosti, programi stručnog usavršavanja i programi audiovizualnih udruga i organizacija.</w:t>
      </w:r>
    </w:p>
    <w:p w:rsidR="00D849AA" w:rsidRDefault="00EE6D95">
      <w:pPr>
        <w:pStyle w:val="Naslov6"/>
      </w:pPr>
      <w:r>
        <w:t>Zakonske i druge pravne osnove</w:t>
      </w:r>
    </w:p>
    <w:p w:rsidR="00D849AA" w:rsidRDefault="00EE6D95">
      <w:r>
        <w:t>- Zakon o audiovizualnim djelatnostima (NN 76/07, 90/11) - Pravilnik o postupku, kriterijima i rokovima za provedbu Nacionalnog programa promicanja audiovizualnog stvaralaštva, (NN 152/09) - Pravilnik o statusu i financiranju Festivala igranog filma u Puli (NN 74/08) Odluke: - Odluka o objavljivanju pravila o državnoj potpori kinematografskoj i ostaloj audiovizualnoj djelatnosti (NN 46/08) Međunarodni pravni propisi: - Zakon o ratifikaciji Europske konvencije o filmskoj koprodukciji br. 147 iz 1992., s konačnim prijedlogom zakona (NN-MU 4/04) - Zakon o potvrđivanju Protokola o pristupanju Republike Hrvatske marakeškom ugovoru o osnivanju svjetske trgovinske organizacije (NN-MU 13/00, NN-MU 14/00) - Zakon o potvrđivanju Europske konvencije za zaštitu audiovizualne baštine (NN-MU 5/07) - Uredba o objavi Ugovora o filmskoj koprodukciji između Vlade Republike Hrvatske i Vlade Talijanske Republike (NN-MU 11/07)</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Cilj 1. Razvoj proizvodnje, distribucije, prikazivanja, elektronske difuzije i promocije audiovizualnih djela</w:t>
      </w:r>
    </w:p>
    <w:p w:rsidR="00D849AA" w:rsidRDefault="00EE6D95">
      <w:pPr>
        <w:pStyle w:val="Normal6"/>
      </w:pPr>
      <w:r>
        <w:t xml:space="preserve">Za poboljšanje uvjeta i osiguranje dostatne razine za razvoj proizvodnje, distribucije, prikazivanja, elektronske difuzije i promocije audiovizualnih djela nužno je prije svega </w:t>
      </w:r>
      <w:r>
        <w:lastRenderedPageBreak/>
        <w:t>dugoročno osigurati stabilne i zakonske prilive Hrvatskog audiovizualnog centra iz svih propisanih, heterogenih izvora. Također, potrebna su i dodatna proračunska sredstva za programe od nacionalnog značaja kao što je to  program digitalizacije nezavisnih kinodvorana, započet, po uzoru na druge zemlje Unije, u kolovozu mjesecu 2011. i za koji su osigurana sredstva u okviru Državnog proračuna za 2013. godinu. Zakonom o izmjenama i dopuni Zakona o audiovizualnim djelatnostima (NN 90/2011) osigurava se povećanje ukupne mase sredstava koja su na raspolaganju Hrvatskom audiovizualnom centru za obavljanje svojih djelatnosti što će dovesti do povećanja razine sufinanciranja po pojedinom projektu i samim time do adekvatnog broja realiziranih projekata. Ciljana financijska potpora distribuciji kroz programe Hrvatskog audiovizualnog centra i posebice financijska potpora kinoprikazivaštvu kroz Nacionalni program digitalizacije nezavisnih kinodvorana rezultirat će očuvanjem lokalnih kina koja se danas nalaze u velikim teškoćama. Hrvatskoj su hitno potrebne ove mjere radi  harmonizacije i europeizacije kinorepertoara, te postizanja većeg tržišnog udjela hrvatskih i europskih djela u domaćoj eksploataciji.</w:t>
      </w:r>
    </w:p>
    <w:p w:rsidR="00D849AA" w:rsidRDefault="00EE6D95">
      <w:pPr>
        <w:pStyle w:val="Naslov7"/>
      </w:pPr>
      <w:r>
        <w:t>Cilj 2. Poticanje svestranih komplementarnih audiovizualnih djelatnosti</w:t>
      </w:r>
    </w:p>
    <w:p w:rsidR="00D849AA" w:rsidRDefault="00EE6D95">
      <w:pPr>
        <w:pStyle w:val="Normal6"/>
      </w:pPr>
      <w:r>
        <w:t>Nužno je poticati širenje filmske i općenito audiovizualne kulture te specifičnih znanja vezanih uz audiovizualno stvaralaštvo kroz izdavaštvo, filmske festivale, i neprofesijsko stvaralaštvo, kao i poticati raznolike oblike edukacije – kako one namijenjene profesionalcima tako i one namijenjene mladim naraštajima i širokoj publici.</w:t>
      </w:r>
    </w:p>
    <w:p w:rsidR="00D849AA" w:rsidRDefault="00EE6D95">
      <w:pPr>
        <w:pStyle w:val="Naslov5"/>
      </w:pPr>
      <w:r>
        <w:t>Procjena i ishodište potrebnih sredstava za značajnije aktivnosti/projekte</w:t>
      </w:r>
    </w:p>
    <w:p w:rsidR="00D849AA" w:rsidRDefault="00EE6D95">
      <w:pPr>
        <w:pStyle w:val="Naslov6"/>
      </w:pPr>
      <w:r>
        <w:t>A785006 ADMINISTRACIJA I UPRAVLJANJE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A785006</w:t>
            </w:r>
          </w:p>
        </w:tc>
        <w:tc>
          <w:tcPr>
            <w:tcW w:w="1486" w:type="dxa"/>
          </w:tcPr>
          <w:p w:rsidR="00D849AA" w:rsidRDefault="00EE6D95">
            <w:r>
              <w:t>1.617.628</w:t>
            </w:r>
          </w:p>
        </w:tc>
        <w:tc>
          <w:tcPr>
            <w:tcW w:w="1486" w:type="dxa"/>
          </w:tcPr>
          <w:p w:rsidR="00D849AA" w:rsidRDefault="00EE6D95">
            <w:r>
              <w:t>1.476.324</w:t>
            </w:r>
          </w:p>
        </w:tc>
        <w:tc>
          <w:tcPr>
            <w:tcW w:w="1486" w:type="dxa"/>
          </w:tcPr>
          <w:p w:rsidR="00D849AA" w:rsidRDefault="00EE6D95">
            <w:r>
              <w:t>1.825.458</w:t>
            </w:r>
          </w:p>
        </w:tc>
        <w:tc>
          <w:tcPr>
            <w:tcW w:w="1486" w:type="dxa"/>
          </w:tcPr>
          <w:p w:rsidR="00D849AA" w:rsidRDefault="00EE6D95">
            <w:r>
              <w:t>1.738.857</w:t>
            </w:r>
          </w:p>
        </w:tc>
        <w:tc>
          <w:tcPr>
            <w:tcW w:w="1486" w:type="dxa"/>
          </w:tcPr>
          <w:p w:rsidR="00D849AA" w:rsidRDefault="00EE6D95">
            <w:r>
              <w:t>91,3</w:t>
            </w:r>
          </w:p>
        </w:tc>
      </w:tr>
    </w:tbl>
    <w:p w:rsidR="00D849AA" w:rsidRDefault="00D849AA">
      <w:pPr>
        <w:jc w:val="left"/>
      </w:pPr>
    </w:p>
    <w:p w:rsidR="00D849AA" w:rsidRDefault="00EE6D95">
      <w:pPr>
        <w:pStyle w:val="Normal6"/>
      </w:pPr>
      <w:r>
        <w:t>U 2014. godini planiraju se osigurati sredstva za devet zaposlenih djelatnika HAVC-a te njegove tekuće rashode.</w:t>
      </w:r>
    </w:p>
    <w:p w:rsidR="00D849AA" w:rsidRDefault="00EE6D95">
      <w:pPr>
        <w:pStyle w:val="Naslov6"/>
      </w:pPr>
      <w:r>
        <w:t>A785007 KULTURNA KONTAKT TOČKA PROGRAMA MEDIA - MEDIA desk</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A785007</w:t>
            </w:r>
          </w:p>
        </w:tc>
        <w:tc>
          <w:tcPr>
            <w:tcW w:w="1486" w:type="dxa"/>
          </w:tcPr>
          <w:p w:rsidR="00D849AA" w:rsidRDefault="00EE6D95">
            <w:r>
              <w:t>600.000</w:t>
            </w:r>
          </w:p>
        </w:tc>
        <w:tc>
          <w:tcPr>
            <w:tcW w:w="1486" w:type="dxa"/>
          </w:tcPr>
          <w:p w:rsidR="00D849AA" w:rsidRDefault="00EE6D95">
            <w:r>
              <w:t>600.000</w:t>
            </w:r>
          </w:p>
        </w:tc>
        <w:tc>
          <w:tcPr>
            <w:tcW w:w="1486" w:type="dxa"/>
          </w:tcPr>
          <w:p w:rsidR="00D849AA" w:rsidRDefault="00EE6D95">
            <w:r>
              <w:t>600.000</w:t>
            </w:r>
          </w:p>
        </w:tc>
        <w:tc>
          <w:tcPr>
            <w:tcW w:w="1486" w:type="dxa"/>
          </w:tcPr>
          <w:p w:rsidR="00D849AA" w:rsidRDefault="00EE6D95">
            <w:r>
              <w:t>600.000</w:t>
            </w:r>
          </w:p>
        </w:tc>
        <w:tc>
          <w:tcPr>
            <w:tcW w:w="1486" w:type="dxa"/>
          </w:tcPr>
          <w:p w:rsidR="00D849AA" w:rsidRDefault="00EE6D95">
            <w:r>
              <w:t>100,0</w:t>
            </w:r>
          </w:p>
        </w:tc>
      </w:tr>
    </w:tbl>
    <w:p w:rsidR="00D849AA" w:rsidRDefault="00D849AA">
      <w:pPr>
        <w:jc w:val="left"/>
      </w:pPr>
    </w:p>
    <w:p w:rsidR="00D849AA" w:rsidRDefault="00EE6D95">
      <w:pPr>
        <w:pStyle w:val="Normal6"/>
      </w:pPr>
      <w:r>
        <w:t>Hrvatski MEDIA desk osnovan je u okviru HAVC-a i radi na promociji i širenju informacija o programu MEDIA 2007, pruža savjetodavnu pomoć svima onima koji žele sudjelovati u njemu te blisko surađuje s Izvršnom agencijom za obrazovanje, audiovizualnu politiku i kulturu (EACEA).</w:t>
      </w:r>
    </w:p>
    <w:p w:rsidR="00B151E0" w:rsidRDefault="00B151E0">
      <w:pPr>
        <w:pStyle w:val="Normal6"/>
      </w:pPr>
    </w:p>
    <w:p w:rsidR="00B151E0" w:rsidRDefault="00B151E0">
      <w:pPr>
        <w:pStyle w:val="Normal6"/>
      </w:pPr>
    </w:p>
    <w:p w:rsidR="00B151E0" w:rsidRDefault="00B151E0">
      <w:pPr>
        <w:pStyle w:val="Normal6"/>
      </w:pPr>
    </w:p>
    <w:p w:rsidR="00D849AA" w:rsidRDefault="00EE6D95">
      <w:pPr>
        <w:pStyle w:val="Naslov6"/>
      </w:pPr>
      <w:r>
        <w:lastRenderedPageBreak/>
        <w:t>A785009 PROGRAMI HRVATSKOG AUDIOVIZUALNOG CENTRA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A785009</w:t>
            </w:r>
          </w:p>
        </w:tc>
        <w:tc>
          <w:tcPr>
            <w:tcW w:w="1486" w:type="dxa"/>
          </w:tcPr>
          <w:p w:rsidR="00D849AA" w:rsidRDefault="00EE6D95">
            <w:r>
              <w:t>34.000.000</w:t>
            </w:r>
          </w:p>
        </w:tc>
        <w:tc>
          <w:tcPr>
            <w:tcW w:w="1486" w:type="dxa"/>
          </w:tcPr>
          <w:p w:rsidR="00D849AA" w:rsidRDefault="00EE6D95">
            <w:r>
              <w:t>34.000.000</w:t>
            </w:r>
          </w:p>
        </w:tc>
        <w:tc>
          <w:tcPr>
            <w:tcW w:w="1486" w:type="dxa"/>
          </w:tcPr>
          <w:p w:rsidR="00D849AA" w:rsidRDefault="00EE6D95">
            <w:r>
              <w:t>34.000.000</w:t>
            </w:r>
          </w:p>
        </w:tc>
        <w:tc>
          <w:tcPr>
            <w:tcW w:w="1486" w:type="dxa"/>
          </w:tcPr>
          <w:p w:rsidR="00D849AA" w:rsidRDefault="00EE6D95">
            <w:r>
              <w:t>34.000.000</w:t>
            </w:r>
          </w:p>
        </w:tc>
        <w:tc>
          <w:tcPr>
            <w:tcW w:w="1486" w:type="dxa"/>
          </w:tcPr>
          <w:p w:rsidR="00D849AA" w:rsidRDefault="00EE6D95">
            <w:r>
              <w:t>100,0</w:t>
            </w:r>
          </w:p>
        </w:tc>
      </w:tr>
    </w:tbl>
    <w:p w:rsidR="00D849AA" w:rsidRDefault="00D849AA">
      <w:pPr>
        <w:jc w:val="left"/>
      </w:pPr>
    </w:p>
    <w:p w:rsidR="00D849AA" w:rsidRDefault="00EE6D95">
      <w:pPr>
        <w:pStyle w:val="Normal6"/>
      </w:pPr>
      <w:r>
        <w:t>Programi HAVC-a obuhvaćaju potporu audiovizualnom stvaralaštvu, komplementarnim djelatnostima te međunarodnoj suradnji i promociji.</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216"/>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Povećanje ukupnog prometa audiovizualnih djela (kino i kućni video)</w:t>
            </w:r>
          </w:p>
        </w:tc>
        <w:tc>
          <w:tcPr>
            <w:tcW w:w="1114" w:type="dxa"/>
          </w:tcPr>
          <w:p w:rsidR="00D849AA" w:rsidRDefault="00EE6D95">
            <w:r>
              <w:t>HRK</w:t>
            </w:r>
          </w:p>
        </w:tc>
        <w:tc>
          <w:tcPr>
            <w:tcW w:w="1114" w:type="dxa"/>
          </w:tcPr>
          <w:p w:rsidR="00D849AA" w:rsidRDefault="00EE6D95">
            <w:r>
              <w:t>154.960.000</w:t>
            </w:r>
          </w:p>
        </w:tc>
        <w:tc>
          <w:tcPr>
            <w:tcW w:w="1486" w:type="dxa"/>
          </w:tcPr>
          <w:p w:rsidR="00D849AA" w:rsidRDefault="00EE6D95">
            <w:r>
              <w:t>157.940.000</w:t>
            </w:r>
          </w:p>
        </w:tc>
        <w:tc>
          <w:tcPr>
            <w:tcW w:w="1486" w:type="dxa"/>
          </w:tcPr>
          <w:p w:rsidR="00D849AA" w:rsidRDefault="00EE6D95">
            <w:r>
              <w:t>160.000.000</w:t>
            </w:r>
          </w:p>
        </w:tc>
        <w:tc>
          <w:tcPr>
            <w:tcW w:w="1486" w:type="dxa"/>
          </w:tcPr>
          <w:p w:rsidR="00D849AA" w:rsidRDefault="00EE6D95">
            <w:r>
              <w:t>164.000.000</w:t>
            </w:r>
          </w:p>
        </w:tc>
      </w:tr>
      <w:tr w:rsidR="00D849AA">
        <w:trPr>
          <w:jc w:val="center"/>
        </w:trPr>
        <w:tc>
          <w:tcPr>
            <w:tcW w:w="2229" w:type="dxa"/>
          </w:tcPr>
          <w:p w:rsidR="00D849AA" w:rsidRDefault="00EE6D95">
            <w:pPr>
              <w:pStyle w:val="CellColumn"/>
            </w:pPr>
            <w:r>
              <w:t>Povećanje broja obnovljenih kulturno vrijednih naslova - digitalna restauracija</w:t>
            </w:r>
          </w:p>
        </w:tc>
        <w:tc>
          <w:tcPr>
            <w:tcW w:w="1114" w:type="dxa"/>
          </w:tcPr>
          <w:p w:rsidR="00D849AA" w:rsidRDefault="00EE6D95">
            <w:r>
              <w:t>Broj</w:t>
            </w:r>
          </w:p>
        </w:tc>
        <w:tc>
          <w:tcPr>
            <w:tcW w:w="1114" w:type="dxa"/>
          </w:tcPr>
          <w:p w:rsidR="00D849AA" w:rsidRDefault="00EE6D95">
            <w:r>
              <w:t>22</w:t>
            </w:r>
          </w:p>
        </w:tc>
        <w:tc>
          <w:tcPr>
            <w:tcW w:w="1486" w:type="dxa"/>
          </w:tcPr>
          <w:p w:rsidR="00D849AA" w:rsidRDefault="00EE6D95">
            <w:r>
              <w:t>23</w:t>
            </w:r>
          </w:p>
        </w:tc>
        <w:tc>
          <w:tcPr>
            <w:tcW w:w="1486" w:type="dxa"/>
          </w:tcPr>
          <w:p w:rsidR="00D849AA" w:rsidRDefault="00EE6D95">
            <w:r>
              <w:t>24</w:t>
            </w:r>
          </w:p>
        </w:tc>
        <w:tc>
          <w:tcPr>
            <w:tcW w:w="1486" w:type="dxa"/>
          </w:tcPr>
          <w:p w:rsidR="00D849AA" w:rsidRDefault="00EE6D95">
            <w:r>
              <w:t>25</w:t>
            </w:r>
          </w:p>
        </w:tc>
      </w:tr>
    </w:tbl>
    <w:p w:rsidR="00D849AA" w:rsidRDefault="00D849AA">
      <w:pPr>
        <w:jc w:val="left"/>
      </w:pPr>
    </w:p>
    <w:p w:rsidR="00D849AA" w:rsidRDefault="00EE6D95">
      <w:pPr>
        <w:pStyle w:val="Naslov3"/>
      </w:pPr>
      <w:r>
        <w:t>45189 Međunarodni centar za podvodnu arheologiju</w:t>
      </w:r>
    </w:p>
    <w:p w:rsidR="00D849AA" w:rsidRDefault="00EE6D95">
      <w:pPr>
        <w:pStyle w:val="Naslov4"/>
      </w:pPr>
      <w:r>
        <w:t>Uvod</w:t>
      </w:r>
    </w:p>
    <w:p w:rsidR="00D849AA" w:rsidRDefault="00EE6D95">
      <w:pPr>
        <w:pStyle w:val="Normal5"/>
      </w:pPr>
      <w:r>
        <w:t>Ministarstvo kulture osigurava sredstva za osnovne troškove Centra, dok će sredstva potrebna za provođenje pojedinih programa biti osigurana iz različitih izvora, ovisno o programu ili projektu. Sredstva za međunarodne programe i projekte će se osigurati iz međunarodnih izvora.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45189</w:t>
            </w:r>
          </w:p>
        </w:tc>
        <w:tc>
          <w:tcPr>
            <w:tcW w:w="1486" w:type="dxa"/>
          </w:tcPr>
          <w:p w:rsidR="00D849AA" w:rsidRDefault="00EE6D95">
            <w:r>
              <w:t>611.234</w:t>
            </w:r>
          </w:p>
        </w:tc>
        <w:tc>
          <w:tcPr>
            <w:tcW w:w="1486" w:type="dxa"/>
          </w:tcPr>
          <w:p w:rsidR="00D849AA" w:rsidRDefault="00EE6D95">
            <w:r>
              <w:t>1.555.952</w:t>
            </w:r>
          </w:p>
        </w:tc>
        <w:tc>
          <w:tcPr>
            <w:tcW w:w="1486" w:type="dxa"/>
          </w:tcPr>
          <w:p w:rsidR="00D849AA" w:rsidRDefault="00EE6D95">
            <w:r>
              <w:t>1.619.152</w:t>
            </w:r>
          </w:p>
        </w:tc>
        <w:tc>
          <w:tcPr>
            <w:tcW w:w="1486" w:type="dxa"/>
          </w:tcPr>
          <w:p w:rsidR="00D849AA" w:rsidRDefault="00EE6D95">
            <w:r>
              <w:t>1.638.249</w:t>
            </w:r>
          </w:p>
        </w:tc>
        <w:tc>
          <w:tcPr>
            <w:tcW w:w="1486" w:type="dxa"/>
          </w:tcPr>
          <w:p w:rsidR="00D849AA" w:rsidRDefault="00EE6D95">
            <w:r>
              <w:t>254,6</w:t>
            </w:r>
          </w:p>
        </w:tc>
      </w:tr>
    </w:tbl>
    <w:p w:rsidR="00D849AA" w:rsidRDefault="00D849AA">
      <w:pPr>
        <w:jc w:val="left"/>
      </w:pPr>
    </w:p>
    <w:p w:rsidR="00D849AA" w:rsidRDefault="00EE6D95">
      <w:pPr>
        <w:pStyle w:val="Naslov4"/>
      </w:pPr>
      <w:r>
        <w:t>OBRAZLOŽENJE PROGRAMA</w:t>
      </w:r>
    </w:p>
    <w:p w:rsidR="00D849AA" w:rsidRDefault="00EE6D95">
      <w:pPr>
        <w:pStyle w:val="Naslov5"/>
      </w:pPr>
      <w:r>
        <w:t>3908 ZAŠTITA KULTURNIH DOBARA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3908</w:t>
            </w:r>
          </w:p>
        </w:tc>
        <w:tc>
          <w:tcPr>
            <w:tcW w:w="1486" w:type="dxa"/>
          </w:tcPr>
          <w:p w:rsidR="00D849AA" w:rsidRDefault="00EE6D95">
            <w:r>
              <w:t>611.234</w:t>
            </w:r>
          </w:p>
        </w:tc>
        <w:tc>
          <w:tcPr>
            <w:tcW w:w="1486" w:type="dxa"/>
          </w:tcPr>
          <w:p w:rsidR="00D849AA" w:rsidRDefault="00EE6D95">
            <w:r>
              <w:t>1.555.952</w:t>
            </w:r>
          </w:p>
        </w:tc>
        <w:tc>
          <w:tcPr>
            <w:tcW w:w="1486" w:type="dxa"/>
          </w:tcPr>
          <w:p w:rsidR="00D849AA" w:rsidRDefault="00EE6D95">
            <w:r>
              <w:t>1.619.152</w:t>
            </w:r>
          </w:p>
        </w:tc>
        <w:tc>
          <w:tcPr>
            <w:tcW w:w="1486" w:type="dxa"/>
          </w:tcPr>
          <w:p w:rsidR="00D849AA" w:rsidRDefault="00EE6D95">
            <w:r>
              <w:t>1.638.249</w:t>
            </w:r>
          </w:p>
        </w:tc>
        <w:tc>
          <w:tcPr>
            <w:tcW w:w="1486" w:type="dxa"/>
          </w:tcPr>
          <w:p w:rsidR="00D849AA" w:rsidRDefault="00EE6D95">
            <w:r>
              <w:t>254,6</w:t>
            </w:r>
          </w:p>
        </w:tc>
      </w:tr>
    </w:tbl>
    <w:p w:rsidR="00D849AA" w:rsidRDefault="00D849AA">
      <w:pPr>
        <w:jc w:val="left"/>
      </w:pPr>
    </w:p>
    <w:p w:rsidR="00D849AA" w:rsidRDefault="00EE6D95">
      <w:pPr>
        <w:pStyle w:val="Naslov6"/>
      </w:pPr>
      <w:r>
        <w:lastRenderedPageBreak/>
        <w:t>Opis programa</w:t>
      </w:r>
    </w:p>
    <w:p w:rsidR="00D849AA" w:rsidRDefault="00EE6D95">
      <w:r>
        <w:t>Program zaštite kulturnih dobara odnosi se na rekognosciranje, istraživanje i zaštitu podvodnih arheoloških nalazišta u Republici Hrvatskoj.</w:t>
      </w:r>
    </w:p>
    <w:p w:rsidR="00D849AA" w:rsidRDefault="00EE6D95">
      <w:pPr>
        <w:pStyle w:val="Naslov6"/>
      </w:pPr>
      <w:r>
        <w:t>Zakonske i druge pravne osnove</w:t>
      </w:r>
    </w:p>
    <w:p w:rsidR="00D849AA" w:rsidRDefault="00EE6D95">
      <w:r>
        <w:t>Konvencija o zaštiti podvodne kulturne baštine iz 2001.</w:t>
      </w:r>
    </w:p>
    <w:p w:rsidR="00D849AA" w:rsidRDefault="00EE6D95">
      <w:pPr>
        <w:pStyle w:val="Naslov5"/>
      </w:pPr>
      <w:r>
        <w:t>Procjena i ishodište potrebnih sredstava za značajnije aktivnosti/projekte</w:t>
      </w:r>
    </w:p>
    <w:p w:rsidR="00D849AA" w:rsidRDefault="00EE6D95">
      <w:pPr>
        <w:pStyle w:val="Naslov6"/>
      </w:pPr>
      <w:r>
        <w:t>A843001 ADMINISTRACIJA I UPRAVLJANJE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A843001</w:t>
            </w:r>
          </w:p>
        </w:tc>
        <w:tc>
          <w:tcPr>
            <w:tcW w:w="1486" w:type="dxa"/>
          </w:tcPr>
          <w:p w:rsidR="00D849AA" w:rsidRDefault="00EE6D95">
            <w:r>
              <w:t>611.234</w:t>
            </w:r>
          </w:p>
        </w:tc>
        <w:tc>
          <w:tcPr>
            <w:tcW w:w="1486" w:type="dxa"/>
          </w:tcPr>
          <w:p w:rsidR="00D849AA" w:rsidRDefault="00EE6D95">
            <w:r>
              <w:t>1.055.952</w:t>
            </w:r>
          </w:p>
        </w:tc>
        <w:tc>
          <w:tcPr>
            <w:tcW w:w="1486" w:type="dxa"/>
          </w:tcPr>
          <w:p w:rsidR="00D849AA" w:rsidRDefault="00EE6D95">
            <w:r>
              <w:t>1.119.152</w:t>
            </w:r>
          </w:p>
        </w:tc>
        <w:tc>
          <w:tcPr>
            <w:tcW w:w="1486" w:type="dxa"/>
          </w:tcPr>
          <w:p w:rsidR="00D849AA" w:rsidRDefault="00EE6D95">
            <w:r>
              <w:t>1.138.249</w:t>
            </w:r>
          </w:p>
        </w:tc>
        <w:tc>
          <w:tcPr>
            <w:tcW w:w="1486" w:type="dxa"/>
          </w:tcPr>
          <w:p w:rsidR="00D849AA" w:rsidRDefault="00EE6D95">
            <w:r>
              <w:t>172,8</w:t>
            </w:r>
          </w:p>
        </w:tc>
      </w:tr>
    </w:tbl>
    <w:p w:rsidR="00D849AA" w:rsidRDefault="00D849AA">
      <w:pPr>
        <w:jc w:val="left"/>
      </w:pPr>
    </w:p>
    <w:p w:rsidR="00D849AA" w:rsidRDefault="00EE6D95">
      <w:pPr>
        <w:pStyle w:val="Normal6"/>
      </w:pPr>
      <w:r>
        <w:t>Glavna aktivnost centra za podvodnu arheologiju u Zadru je provođenje aktivnosti obrazovanja u polju istraživanja, konzerviranja i restauriranja podvodne kulturne baštine. Osim glavne aktivnosti Centra u periodu 2011.-2013. godine Centar provodi i dio programskih aktivnosti; razvijanje i širenje najsuvremenijih metoda istraživanja u podvodnoj arhelogiji, konzervaciji i restauraciji, obuci i razmjeni znanja. Centar će imati značajnu regionalnu dimenziju u pogledu obučavanja i širenja znanja i istraživanja. Težište će biti na zemljama jugoistočne Europe i šire mediteranske regije. S obzirom na karakter arheoloških nalaza i nalazišta, predviđa se intenzivna suradnja sa susjednim zemljama.</w:t>
      </w:r>
    </w:p>
    <w:p w:rsidR="00D849AA" w:rsidRDefault="00EE6D95">
      <w:pPr>
        <w:pStyle w:val="Naslov6"/>
      </w:pPr>
      <w:r>
        <w:t>A843002 PROGRAMI MEĐUNARODNOG CENTRA ZA PODVODNU ARHEOLOGIJU</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A843002</w:t>
            </w:r>
          </w:p>
        </w:tc>
        <w:tc>
          <w:tcPr>
            <w:tcW w:w="1486" w:type="dxa"/>
          </w:tcPr>
          <w:p w:rsidR="00D849AA" w:rsidRDefault="00EE6D95">
            <w:r>
              <w:t>00</w:t>
            </w:r>
          </w:p>
        </w:tc>
        <w:tc>
          <w:tcPr>
            <w:tcW w:w="1486" w:type="dxa"/>
          </w:tcPr>
          <w:p w:rsidR="00D849AA" w:rsidRDefault="00EE6D95">
            <w:r>
              <w:t>500.000</w:t>
            </w:r>
          </w:p>
        </w:tc>
        <w:tc>
          <w:tcPr>
            <w:tcW w:w="1486" w:type="dxa"/>
          </w:tcPr>
          <w:p w:rsidR="00D849AA" w:rsidRDefault="00EE6D95">
            <w:r>
              <w:t>500.000</w:t>
            </w:r>
          </w:p>
        </w:tc>
        <w:tc>
          <w:tcPr>
            <w:tcW w:w="1486" w:type="dxa"/>
          </w:tcPr>
          <w:p w:rsidR="00D849AA" w:rsidRDefault="00EE6D95">
            <w:r>
              <w:t>500.000</w:t>
            </w:r>
          </w:p>
        </w:tc>
        <w:tc>
          <w:tcPr>
            <w:tcW w:w="1486" w:type="dxa"/>
          </w:tcPr>
          <w:p w:rsidR="00D849AA" w:rsidRDefault="00EE6D95">
            <w:r>
              <w:t>0,0</w:t>
            </w:r>
          </w:p>
        </w:tc>
      </w:tr>
    </w:tbl>
    <w:p w:rsidR="00D849AA" w:rsidRDefault="00D849AA">
      <w:pPr>
        <w:jc w:val="left"/>
      </w:pPr>
    </w:p>
    <w:p w:rsidR="00D849AA" w:rsidRDefault="00EE6D95">
      <w:pPr>
        <w:pStyle w:val="Normal6"/>
      </w:pPr>
      <w:r>
        <w:t>Međunarodni centar za podvodnu arheologiju je i do sada imao programe koji su bili vođeni kao zaštitni radovi. Ovom aktivnošću je samo drugačije prikazano financiranje programa.</w:t>
      </w:r>
    </w:p>
    <w:p w:rsidR="00D849AA" w:rsidRDefault="00EE6D95">
      <w:pPr>
        <w:pStyle w:val="Naslov1"/>
      </w:pPr>
      <w:r>
        <w:lastRenderedPageBreak/>
        <w:t>060 MINISTARSTVO POLJOPRIVREDE</w:t>
      </w:r>
    </w:p>
    <w:p w:rsidR="00D849AA" w:rsidRDefault="00EE6D95">
      <w:pPr>
        <w:pStyle w:val="Naslov4"/>
      </w:pPr>
      <w:r>
        <w:t>Uvod</w:t>
      </w:r>
    </w:p>
    <w:p w:rsidR="00D849AA" w:rsidRDefault="00EE6D95">
      <w:pPr>
        <w:pStyle w:val="Normal3"/>
      </w:pPr>
      <w:r>
        <w:t xml:space="preserve">Ministarstvo poljoprivrede odgovorno je za provođenje poljoprivredne politike Vlade Republike Hrvatske i održivo i skladno korištenje funkcija šuma i voda i trajno poboljšavanje njihova stanja. Ministarstvo poljoprivrede obavlja upravne i druge poslove koji se odnose na stalno povećanje konkurentnosti hrvatske poljoprivrede kroz poticanje proizvodnje, potporu dohotku poljoprivrednim gospodarstvima, kapitalna ulaganja i ruralni razvitak; povećanje trenda rasta poticaja u poljoprivredi; nove investicije i poticaji za ekološku i organsku proizvodnju, prerađivačku industriju, ribarstvo te osiguranje zdravstvene ispravnosti i kakvoće hrane, zaštita i prilagođavanje korištenja voda i šuma potrebama ukupnog gospodarskog razvitka Republike Hrvatske, razvoj gospodarenja lovištima i divljači i razvoj drvne industrije. </w:t>
      </w:r>
    </w:p>
    <w:p w:rsidR="00D849AA" w:rsidRDefault="00EE6D95">
      <w:pPr>
        <w:pStyle w:val="Normal3"/>
      </w:pPr>
      <w:r>
        <w:t xml:space="preserve">U Državnom proračunu Republike Hrvatske unutar razdjela organizacijske klasifikacije Ministarstva poljoprivrede strukturirane su sljedeće glave: </w:t>
      </w:r>
    </w:p>
    <w:p w:rsidR="00D849AA" w:rsidRDefault="00EE6D95">
      <w:pPr>
        <w:pStyle w:val="Normal3"/>
      </w:pPr>
      <w:r>
        <w:t xml:space="preserve">06005 - Ministarstvo poljoprivrede </w:t>
      </w:r>
    </w:p>
    <w:p w:rsidR="00D849AA" w:rsidRDefault="00EE6D95">
      <w:pPr>
        <w:pStyle w:val="Normal3"/>
      </w:pPr>
      <w:r>
        <w:t xml:space="preserve">06025 - Hrvatska agencija za hranu </w:t>
      </w:r>
    </w:p>
    <w:p w:rsidR="00D849AA" w:rsidRDefault="00EE6D95">
      <w:pPr>
        <w:pStyle w:val="Normal3"/>
      </w:pPr>
      <w:r>
        <w:t xml:space="preserve">06030 - Agencija za plaćanja u poljoprivredi, ribarstvu i ruralnom razvoju </w:t>
      </w:r>
    </w:p>
    <w:p w:rsidR="00D849AA" w:rsidRDefault="00EE6D95">
      <w:pPr>
        <w:pStyle w:val="Normal3"/>
      </w:pPr>
      <w:r>
        <w:t xml:space="preserve">06035 - Hrvatski centar za poljoprivredu, hranu i selo </w:t>
      </w:r>
    </w:p>
    <w:p w:rsidR="00D849AA" w:rsidRDefault="00EE6D95">
      <w:pPr>
        <w:pStyle w:val="Normal3"/>
      </w:pPr>
      <w:r>
        <w:t xml:space="preserve">06040 – Agencija za poljoprivredno zemljište </w:t>
      </w:r>
    </w:p>
    <w:p w:rsidR="00D849AA" w:rsidRDefault="00EE6D95">
      <w:pPr>
        <w:pStyle w:val="Normal3"/>
      </w:pPr>
      <w:r>
        <w:t xml:space="preserve">06045 – Hrvatska poljoprivredna agencija </w:t>
      </w:r>
    </w:p>
    <w:p w:rsidR="00D849AA" w:rsidRDefault="00EE6D95">
      <w:pPr>
        <w:pStyle w:val="Normal3"/>
      </w:pPr>
      <w:r>
        <w:t xml:space="preserve">06050 - Poljoprivredna savjetodavna služba </w:t>
      </w:r>
    </w:p>
    <w:p w:rsidR="00D849AA" w:rsidRDefault="00EE6D95">
      <w:pPr>
        <w:pStyle w:val="Normal3"/>
      </w:pPr>
      <w:r>
        <w:t>Ministarstvo poljoprivrede u provedbi mjera iz svoje nadležnosti surađuje sa brojnim institucijama uz proračunsko sufinanciranje njihovih pojedinih aktivnosti.</w:t>
      </w:r>
    </w:p>
    <w:tbl>
      <w:tblPr>
        <w:tblStyle w:val="Reetkatablice"/>
        <w:tblW w:w="0" w:type="auto"/>
        <w:jc w:val="center"/>
        <w:tblLook w:val="04A0" w:firstRow="1" w:lastRow="0" w:firstColumn="1" w:lastColumn="0" w:noHBand="0" w:noVBand="1"/>
      </w:tblPr>
      <w:tblGrid>
        <w:gridCol w:w="1495"/>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06005 Ministarstvo poljoprivrede</w:t>
            </w:r>
          </w:p>
        </w:tc>
        <w:tc>
          <w:tcPr>
            <w:tcW w:w="1486" w:type="dxa"/>
          </w:tcPr>
          <w:p w:rsidR="00D849AA" w:rsidRDefault="00EE6D95">
            <w:r>
              <w:t>4.175.051.555</w:t>
            </w:r>
          </w:p>
        </w:tc>
        <w:tc>
          <w:tcPr>
            <w:tcW w:w="1486" w:type="dxa"/>
          </w:tcPr>
          <w:p w:rsidR="00D849AA" w:rsidRDefault="00EE6D95">
            <w:r>
              <w:t>4.853.923.912</w:t>
            </w:r>
          </w:p>
        </w:tc>
        <w:tc>
          <w:tcPr>
            <w:tcW w:w="1486" w:type="dxa"/>
          </w:tcPr>
          <w:p w:rsidR="00D849AA" w:rsidRDefault="00EE6D95">
            <w:r>
              <w:t>7.056.937.387</w:t>
            </w:r>
          </w:p>
        </w:tc>
        <w:tc>
          <w:tcPr>
            <w:tcW w:w="1486" w:type="dxa"/>
          </w:tcPr>
          <w:p w:rsidR="00D849AA" w:rsidRDefault="00EE6D95">
            <w:r>
              <w:t>7.560.283.635</w:t>
            </w:r>
          </w:p>
        </w:tc>
        <w:tc>
          <w:tcPr>
            <w:tcW w:w="1486" w:type="dxa"/>
          </w:tcPr>
          <w:p w:rsidR="00D849AA" w:rsidRDefault="00EE6D95">
            <w:r>
              <w:t>116,3</w:t>
            </w:r>
          </w:p>
        </w:tc>
      </w:tr>
      <w:tr w:rsidR="00D849AA">
        <w:trPr>
          <w:jc w:val="center"/>
        </w:trPr>
        <w:tc>
          <w:tcPr>
            <w:tcW w:w="1486" w:type="dxa"/>
          </w:tcPr>
          <w:p w:rsidR="00D849AA" w:rsidRDefault="00EE6D95">
            <w:pPr>
              <w:pStyle w:val="CellColumn"/>
            </w:pPr>
            <w:r>
              <w:t>06025 Hrvatska agencija za hranu</w:t>
            </w:r>
          </w:p>
        </w:tc>
        <w:tc>
          <w:tcPr>
            <w:tcW w:w="1486" w:type="dxa"/>
          </w:tcPr>
          <w:p w:rsidR="00D849AA" w:rsidRDefault="00EE6D95">
            <w:r>
              <w:t>4.230.720</w:t>
            </w:r>
          </w:p>
        </w:tc>
        <w:tc>
          <w:tcPr>
            <w:tcW w:w="1486" w:type="dxa"/>
          </w:tcPr>
          <w:p w:rsidR="00D849AA" w:rsidRDefault="00EE6D95">
            <w:r>
              <w:t>4.548.820</w:t>
            </w:r>
          </w:p>
        </w:tc>
        <w:tc>
          <w:tcPr>
            <w:tcW w:w="1486" w:type="dxa"/>
          </w:tcPr>
          <w:p w:rsidR="00D849AA" w:rsidRDefault="00EE6D95">
            <w:r>
              <w:t>4.896.402</w:t>
            </w:r>
          </w:p>
        </w:tc>
        <w:tc>
          <w:tcPr>
            <w:tcW w:w="1486" w:type="dxa"/>
          </w:tcPr>
          <w:p w:rsidR="00D849AA" w:rsidRDefault="00EE6D95">
            <w:r>
              <w:t>4.871.970</w:t>
            </w:r>
          </w:p>
        </w:tc>
        <w:tc>
          <w:tcPr>
            <w:tcW w:w="1486" w:type="dxa"/>
          </w:tcPr>
          <w:p w:rsidR="00D849AA" w:rsidRDefault="00EE6D95">
            <w:r>
              <w:t>107,5</w:t>
            </w:r>
          </w:p>
        </w:tc>
      </w:tr>
      <w:tr w:rsidR="00D849AA">
        <w:trPr>
          <w:jc w:val="center"/>
        </w:trPr>
        <w:tc>
          <w:tcPr>
            <w:tcW w:w="1486" w:type="dxa"/>
          </w:tcPr>
          <w:p w:rsidR="00D849AA" w:rsidRDefault="00EE6D95">
            <w:pPr>
              <w:pStyle w:val="CellColumn"/>
            </w:pPr>
            <w:r>
              <w:t>06030 Agencija za plaćanja u poljoprivredi, ribarstvu i ruralnom razvoju</w:t>
            </w:r>
          </w:p>
        </w:tc>
        <w:tc>
          <w:tcPr>
            <w:tcW w:w="1486" w:type="dxa"/>
          </w:tcPr>
          <w:p w:rsidR="00D849AA" w:rsidRDefault="00EE6D95">
            <w:r>
              <w:t>146.679.978</w:t>
            </w:r>
          </w:p>
        </w:tc>
        <w:tc>
          <w:tcPr>
            <w:tcW w:w="1486" w:type="dxa"/>
          </w:tcPr>
          <w:p w:rsidR="00D849AA" w:rsidRDefault="00EE6D95">
            <w:r>
              <w:t>141.598.113</w:t>
            </w:r>
          </w:p>
        </w:tc>
        <w:tc>
          <w:tcPr>
            <w:tcW w:w="1486" w:type="dxa"/>
          </w:tcPr>
          <w:p w:rsidR="00D849AA" w:rsidRDefault="00EE6D95">
            <w:r>
              <w:t>150.535.007</w:t>
            </w:r>
          </w:p>
        </w:tc>
        <w:tc>
          <w:tcPr>
            <w:tcW w:w="1486" w:type="dxa"/>
          </w:tcPr>
          <w:p w:rsidR="00D849AA" w:rsidRDefault="00EE6D95">
            <w:r>
              <w:t>145.024.599</w:t>
            </w:r>
          </w:p>
        </w:tc>
        <w:tc>
          <w:tcPr>
            <w:tcW w:w="1486" w:type="dxa"/>
          </w:tcPr>
          <w:p w:rsidR="00D849AA" w:rsidRDefault="00EE6D95">
            <w:r>
              <w:t>96,5</w:t>
            </w:r>
          </w:p>
        </w:tc>
      </w:tr>
      <w:tr w:rsidR="00D849AA">
        <w:trPr>
          <w:jc w:val="center"/>
        </w:trPr>
        <w:tc>
          <w:tcPr>
            <w:tcW w:w="1486" w:type="dxa"/>
          </w:tcPr>
          <w:p w:rsidR="00D849AA" w:rsidRDefault="00EE6D95">
            <w:pPr>
              <w:pStyle w:val="CellColumn"/>
            </w:pPr>
            <w:r>
              <w:t>06035 Hrvatski centar za poljoprivredu, hranu i selo</w:t>
            </w:r>
          </w:p>
        </w:tc>
        <w:tc>
          <w:tcPr>
            <w:tcW w:w="1486" w:type="dxa"/>
          </w:tcPr>
          <w:p w:rsidR="00D849AA" w:rsidRDefault="00EE6D95">
            <w:r>
              <w:t>44.200.000</w:t>
            </w:r>
          </w:p>
        </w:tc>
        <w:tc>
          <w:tcPr>
            <w:tcW w:w="1486" w:type="dxa"/>
          </w:tcPr>
          <w:p w:rsidR="00D849AA" w:rsidRDefault="00EE6D95">
            <w:r>
              <w:t>37.213.870</w:t>
            </w:r>
          </w:p>
        </w:tc>
        <w:tc>
          <w:tcPr>
            <w:tcW w:w="1486" w:type="dxa"/>
          </w:tcPr>
          <w:p w:rsidR="00D849AA" w:rsidRDefault="00EE6D95">
            <w:r>
              <w:t>36.913.870</w:t>
            </w:r>
          </w:p>
        </w:tc>
        <w:tc>
          <w:tcPr>
            <w:tcW w:w="1486" w:type="dxa"/>
          </w:tcPr>
          <w:p w:rsidR="00D849AA" w:rsidRDefault="00EE6D95">
            <w:r>
              <w:t>36.913.870</w:t>
            </w:r>
          </w:p>
        </w:tc>
        <w:tc>
          <w:tcPr>
            <w:tcW w:w="1486" w:type="dxa"/>
          </w:tcPr>
          <w:p w:rsidR="00D849AA" w:rsidRDefault="00EE6D95">
            <w:r>
              <w:t>84,2</w:t>
            </w:r>
          </w:p>
        </w:tc>
      </w:tr>
      <w:tr w:rsidR="00D849AA">
        <w:trPr>
          <w:jc w:val="center"/>
        </w:trPr>
        <w:tc>
          <w:tcPr>
            <w:tcW w:w="1486" w:type="dxa"/>
          </w:tcPr>
          <w:p w:rsidR="00D849AA" w:rsidRDefault="00EE6D95">
            <w:pPr>
              <w:pStyle w:val="CellColumn"/>
            </w:pPr>
            <w:r>
              <w:lastRenderedPageBreak/>
              <w:t>06040 Agencija za poljoprivredno zemljište</w:t>
            </w:r>
          </w:p>
        </w:tc>
        <w:tc>
          <w:tcPr>
            <w:tcW w:w="1486" w:type="dxa"/>
          </w:tcPr>
          <w:p w:rsidR="00D849AA" w:rsidRDefault="00EE6D95">
            <w:r>
              <w:t>17.552.121</w:t>
            </w:r>
          </w:p>
        </w:tc>
        <w:tc>
          <w:tcPr>
            <w:tcW w:w="1486" w:type="dxa"/>
          </w:tcPr>
          <w:p w:rsidR="00D849AA" w:rsidRDefault="00EE6D95">
            <w:r>
              <w:t>17.180.776</w:t>
            </w:r>
          </w:p>
        </w:tc>
        <w:tc>
          <w:tcPr>
            <w:tcW w:w="1486" w:type="dxa"/>
          </w:tcPr>
          <w:p w:rsidR="00D849AA" w:rsidRDefault="00EE6D95">
            <w:r>
              <w:t>22.113.511</w:t>
            </w:r>
          </w:p>
        </w:tc>
        <w:tc>
          <w:tcPr>
            <w:tcW w:w="1486" w:type="dxa"/>
          </w:tcPr>
          <w:p w:rsidR="00D849AA" w:rsidRDefault="00EE6D95">
            <w:r>
              <w:t>21.297.311</w:t>
            </w:r>
          </w:p>
        </w:tc>
        <w:tc>
          <w:tcPr>
            <w:tcW w:w="1486" w:type="dxa"/>
          </w:tcPr>
          <w:p w:rsidR="00D849AA" w:rsidRDefault="00EE6D95">
            <w:r>
              <w:t>97,9</w:t>
            </w:r>
          </w:p>
        </w:tc>
      </w:tr>
      <w:tr w:rsidR="00D849AA">
        <w:trPr>
          <w:jc w:val="center"/>
        </w:trPr>
        <w:tc>
          <w:tcPr>
            <w:tcW w:w="1486" w:type="dxa"/>
          </w:tcPr>
          <w:p w:rsidR="00D849AA" w:rsidRDefault="00EE6D95">
            <w:pPr>
              <w:pStyle w:val="CellColumn"/>
            </w:pPr>
            <w:r>
              <w:t>06045 Hrvatska poljoprivredna agencija</w:t>
            </w:r>
          </w:p>
        </w:tc>
        <w:tc>
          <w:tcPr>
            <w:tcW w:w="1486" w:type="dxa"/>
          </w:tcPr>
          <w:p w:rsidR="00D849AA" w:rsidRDefault="00EE6D95">
            <w:r>
              <w:t>57.897.650</w:t>
            </w:r>
          </w:p>
        </w:tc>
        <w:tc>
          <w:tcPr>
            <w:tcW w:w="1486" w:type="dxa"/>
          </w:tcPr>
          <w:p w:rsidR="00D849AA" w:rsidRDefault="00EE6D95">
            <w:r>
              <w:t>57.797.650</w:t>
            </w:r>
          </w:p>
        </w:tc>
        <w:tc>
          <w:tcPr>
            <w:tcW w:w="1486" w:type="dxa"/>
          </w:tcPr>
          <w:p w:rsidR="00D849AA" w:rsidRDefault="00EE6D95">
            <w:r>
              <w:t>60.997.650</w:t>
            </w:r>
          </w:p>
        </w:tc>
        <w:tc>
          <w:tcPr>
            <w:tcW w:w="1486" w:type="dxa"/>
          </w:tcPr>
          <w:p w:rsidR="00D849AA" w:rsidRDefault="00EE6D95">
            <w:r>
              <w:t>65.101.115</w:t>
            </w:r>
          </w:p>
        </w:tc>
        <w:tc>
          <w:tcPr>
            <w:tcW w:w="1486" w:type="dxa"/>
          </w:tcPr>
          <w:p w:rsidR="00D849AA" w:rsidRDefault="00EE6D95">
            <w:r>
              <w:t>99,8</w:t>
            </w:r>
          </w:p>
        </w:tc>
      </w:tr>
      <w:tr w:rsidR="00D849AA">
        <w:trPr>
          <w:jc w:val="center"/>
        </w:trPr>
        <w:tc>
          <w:tcPr>
            <w:tcW w:w="1486" w:type="dxa"/>
          </w:tcPr>
          <w:p w:rsidR="00D849AA" w:rsidRDefault="00EE6D95">
            <w:pPr>
              <w:pStyle w:val="CellColumn"/>
            </w:pPr>
            <w:r>
              <w:t>06050 Poljoprivredna savjetodavna služba</w:t>
            </w:r>
          </w:p>
        </w:tc>
        <w:tc>
          <w:tcPr>
            <w:tcW w:w="1486" w:type="dxa"/>
          </w:tcPr>
          <w:p w:rsidR="00D849AA" w:rsidRDefault="00EE6D95">
            <w:r>
              <w:t>42.043.335</w:t>
            </w:r>
          </w:p>
        </w:tc>
        <w:tc>
          <w:tcPr>
            <w:tcW w:w="1486" w:type="dxa"/>
          </w:tcPr>
          <w:p w:rsidR="00D849AA" w:rsidRDefault="00EE6D95">
            <w:r>
              <w:t>39.995.300</w:t>
            </w:r>
          </w:p>
        </w:tc>
        <w:tc>
          <w:tcPr>
            <w:tcW w:w="1486" w:type="dxa"/>
          </w:tcPr>
          <w:p w:rsidR="00D849AA" w:rsidRDefault="00EE6D95">
            <w:r>
              <w:t>43.775.023</w:t>
            </w:r>
          </w:p>
        </w:tc>
        <w:tc>
          <w:tcPr>
            <w:tcW w:w="1486" w:type="dxa"/>
          </w:tcPr>
          <w:p w:rsidR="00D849AA" w:rsidRDefault="00EE6D95">
            <w:r>
              <w:t>43.847.068</w:t>
            </w:r>
          </w:p>
        </w:tc>
        <w:tc>
          <w:tcPr>
            <w:tcW w:w="1486" w:type="dxa"/>
          </w:tcPr>
          <w:p w:rsidR="00D849AA" w:rsidRDefault="00EE6D95">
            <w:r>
              <w:t>95,1</w:t>
            </w:r>
          </w:p>
        </w:tc>
      </w:tr>
      <w:tr w:rsidR="00D849AA">
        <w:trPr>
          <w:jc w:val="center"/>
        </w:trPr>
        <w:tc>
          <w:tcPr>
            <w:tcW w:w="1486" w:type="dxa"/>
            <w:shd w:val="clear" w:color="auto" w:fill="B5C0D8"/>
          </w:tcPr>
          <w:p w:rsidR="00D849AA" w:rsidRDefault="00EE6D95">
            <w:pPr>
              <w:pStyle w:val="CellColumn"/>
            </w:pPr>
            <w:r>
              <w:t>Ukupno 060</w:t>
            </w:r>
          </w:p>
        </w:tc>
        <w:tc>
          <w:tcPr>
            <w:tcW w:w="1486" w:type="dxa"/>
            <w:shd w:val="clear" w:color="auto" w:fill="B5C0D8"/>
          </w:tcPr>
          <w:p w:rsidR="00D849AA" w:rsidRDefault="00EE6D95">
            <w:r>
              <w:t>4.487.655.359</w:t>
            </w:r>
          </w:p>
        </w:tc>
        <w:tc>
          <w:tcPr>
            <w:tcW w:w="1486" w:type="dxa"/>
            <w:shd w:val="clear" w:color="auto" w:fill="B5C0D8"/>
          </w:tcPr>
          <w:p w:rsidR="00D849AA" w:rsidRDefault="00EE6D95">
            <w:r>
              <w:t>5.152.258.441</w:t>
            </w:r>
          </w:p>
        </w:tc>
        <w:tc>
          <w:tcPr>
            <w:tcW w:w="1486" w:type="dxa"/>
            <w:shd w:val="clear" w:color="auto" w:fill="B5C0D8"/>
          </w:tcPr>
          <w:p w:rsidR="00D849AA" w:rsidRDefault="00EE6D95">
            <w:r>
              <w:t>7.376.168.850</w:t>
            </w:r>
          </w:p>
        </w:tc>
        <w:tc>
          <w:tcPr>
            <w:tcW w:w="1486" w:type="dxa"/>
            <w:shd w:val="clear" w:color="auto" w:fill="B5C0D8"/>
          </w:tcPr>
          <w:p w:rsidR="00D849AA" w:rsidRDefault="00EE6D95">
            <w:r>
              <w:t>7.877.339.568</w:t>
            </w:r>
          </w:p>
        </w:tc>
        <w:tc>
          <w:tcPr>
            <w:tcW w:w="1486" w:type="dxa"/>
            <w:shd w:val="clear" w:color="auto" w:fill="B5C0D8"/>
          </w:tcPr>
          <w:p w:rsidR="00D849AA" w:rsidRDefault="00EE6D95">
            <w:r>
              <w:t>114,8</w:t>
            </w:r>
          </w:p>
        </w:tc>
      </w:tr>
    </w:tbl>
    <w:p w:rsidR="00D849AA" w:rsidRDefault="00D849AA">
      <w:pPr>
        <w:jc w:val="left"/>
      </w:pPr>
    </w:p>
    <w:p w:rsidR="00D849AA" w:rsidRDefault="00EE6D95">
      <w:pPr>
        <w:pStyle w:val="Naslov2"/>
      </w:pPr>
      <w:r>
        <w:t>06005 Ministarstvo poljoprivrede</w:t>
      </w:r>
    </w:p>
    <w:p w:rsidR="00D849AA" w:rsidRDefault="00EE6D95">
      <w:pPr>
        <w:pStyle w:val="Naslov4"/>
      </w:pPr>
      <w:r>
        <w:t>Uvod</w:t>
      </w:r>
    </w:p>
    <w:p w:rsidR="00D849AA" w:rsidRDefault="00EE6D95">
      <w:pPr>
        <w:pStyle w:val="Normal3"/>
      </w:pPr>
      <w:r>
        <w:t xml:space="preserve">Ministarstvo poljoprivrede obavlja upravne i druge poslove u području poljoprivrede, ribarstva, šumarstva, ruralnog razvoja, gospodarenja i raspolaganja poljoprivrednim zemljištem u vlasništvu države, poljoprivredne politike, tržišnih i strukturnih potpora upoljoprivredi, prehrambene i duhanske industrije i veterinarstva, i to: biljne proizvodnje i agroekologije, zaštitu biljnih sorti i priznavanje sorti poljoprivrednog bilja, promet i primjenu gnojiva i poboljšivača tla, biljnog zdravstva, prometa i primjene sredstava za zaštitu bilja,uzgoj uzgojno valjanih životinja, propisuje uvjete za proizvodnju i promet grožđa, vina i drugih proizvoda od grožđa i vina. Ministarstvo propisuje mjere upravljanja i gospodarenja biološkim bogatstvima mora i slatkih voda; određivanje i kontrolu ribolovnog napora; određivanje granica između unutarnjeg i vanjskoga ribolovnog mora, granica ribolovnih zona, propisuje namjene, vrste i količine ribolovnih alata i opreme u ribolovu, propisuje i uvjete za uzgoj ribe i drugih vodenih organizama, uvjete za obavljanje ribolova i uvjete za priznavanje organizacija proizvođača u ribarstvu. Ministarstvo obavlja upravne i druge poslove koji se odnose na šumarstvo, zaštitu šuma, uređivanje pravnih odnosa na šumama i šumskom zemljištu u vlasništvu države, osim imovinskopravnih poslova; drvnu industriju i lovstvo; inspekcijske poslove koji se odnose na šumarstvo i lovstvo; provodi međunarodne sporazume u dijelu koji se odnose na šumarstvo; uređenje odnosa i uvjeta proizvodnje, prometa i uporabe šumskog sjemena i šumskih sadnica, šumarske ekologije, zaštite šuma od elementarnih nepogoda i antropogenih utjecaja, požara, očuvanje šumskih genetskih izvora i šumskog reprodukcijskog materijala. Ministarstvo obavlja i upravne i druge poslove koji se odnose na: upravljanje vodama i vodnogospodarskim sustavom; praćenje i prilagođavanje vodno-gospodarskog razvitka s potrebama gospodarskog razvitka; uređenje vodotoka i drugih voda i zaštitu od štetnog djelovanja voda i leda; zaštitu od erozije i bujica: hidromelioracijsku odvodnju i navodnjavanje zemljišta; upravljanje vodnim dobrom i njegovo korištenje; provedbu zaštite voda i zaštite mora od zagađivanja s kopna; osiguravanje zalihe voda u svrhu vodoopskrbe naselja s pitkom vodom i gospodarstva s industrijskom vodom; korištenje vodnih snaga: planiranje i usklađivanje razvoja i izgradnje javnih vodoopskrbnih sustava i javnih kanalizacijskih sustava od državnog interesa; inspekcijske poslove na zaštiti od voda, korištenju voda i zaštiti voda od zagađivanja. Ministarstvo provodi i koordinira mjere ruralnog razvoja, razvitka seoskog prostora, ekološke i održive poljoprivrede, poljoprivrednog zadrugarstva i drugih oblika udruživanja u poljoprivredi i ribarstvu, promicanje autohtonih proizvoda, marketinške pripreme poljoprivredno-prehrambenih proizvoda, očuvanja izvornih i zaštićenih pasmina domaćih životinja. Ministarstvo </w:t>
      </w:r>
      <w:r>
        <w:lastRenderedPageBreak/>
        <w:t>uređuje pravne odnose na poljoprivrednom zemljištu, osim imovinskopravnih poslova, pokreće i vodi postupak komasacije, osim imovinskopravnih poslova, prenamjene poljoprivrednog zemljišta u građevinsko, zaštitu poljoprivrednog zemljišta, vođenje evidencije o poljoprivrednom zemljištu. Ministarstvo provodi mjere poticajne politike u poljoprivredi i ribarstvu, te njihovu prilagodbu mjerilima Svjetske trgovinske organizacije, uređuje i koordinira sufinanciranje poljoprivrede, ribarstva i prerade poljoprivrednih proizvoda proračunskim sredstvima. Ministarstvo obavlja upravne i druge poslove koji se odnose na zdravstvenu ispravnost, higijenu i kakvoću hrane, hrane za životinje i organizaciju službenih kontrola. Ministarstvo provodi mjere radi otkrivanja i sprječavanja pojava zaraznih bolesti životinja, zaštitu životinja i veterinarske lijekove, propisuje uvjete i kontrolu životinja i proizvoda životinjskog podrijetla u proizvodnji i prometu. Ministarstvo obavlja poslove fitosanitarne i granične veterinarske inspekcije, inspekcijske poslove u poljoprivredi, ribarstvu, veterinarstvu te, u skladu s posebnim propisom, o hrani inspekcijske poslove koji se odnose na zdravstvenu ispravnosti i higijenu hrane i hrane za životinje te kakvoću primarnih poljoprivrednih proizvoda, hrane i hrane za životinje. Ministarstvo koordinira i usklađuje hrvatsku poljoprivrednu politiku i politiku ruralnog razvoja s odgovarajućim politikama Europske unije u dijelu koji se odnosi na poljoprivredu, prehranu, ruralni razvoj i ribarstvo, provodi projekte iz fondova i programa EU i ostalih oblika međunarodne pomoći. Ministarstvo obavlja poslove koji se odnose na sudjelovanje Republike Hrvatske u radu tijela Europske unije u područjima iz njegove nadležnosti. Ministarstvo obavlja i druge poslove koji su mu stavljeni u nadležnost posebnim propisima.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06005</w:t>
            </w:r>
          </w:p>
        </w:tc>
        <w:tc>
          <w:tcPr>
            <w:tcW w:w="1486" w:type="dxa"/>
          </w:tcPr>
          <w:p w:rsidR="00D849AA" w:rsidRDefault="00EE6D95">
            <w:r>
              <w:t>4.175.051.555</w:t>
            </w:r>
          </w:p>
        </w:tc>
        <w:tc>
          <w:tcPr>
            <w:tcW w:w="1486" w:type="dxa"/>
          </w:tcPr>
          <w:p w:rsidR="00D849AA" w:rsidRDefault="00EE6D95">
            <w:r>
              <w:t>4.853.923.912</w:t>
            </w:r>
          </w:p>
        </w:tc>
        <w:tc>
          <w:tcPr>
            <w:tcW w:w="1486" w:type="dxa"/>
          </w:tcPr>
          <w:p w:rsidR="00D849AA" w:rsidRDefault="00EE6D95">
            <w:r>
              <w:t>7.056.937.387</w:t>
            </w:r>
          </w:p>
        </w:tc>
        <w:tc>
          <w:tcPr>
            <w:tcW w:w="1486" w:type="dxa"/>
          </w:tcPr>
          <w:p w:rsidR="00D849AA" w:rsidRDefault="00EE6D95">
            <w:r>
              <w:t>7.560.283.635</w:t>
            </w:r>
          </w:p>
        </w:tc>
        <w:tc>
          <w:tcPr>
            <w:tcW w:w="1486" w:type="dxa"/>
          </w:tcPr>
          <w:p w:rsidR="00D849AA" w:rsidRDefault="00EE6D95">
            <w:r>
              <w:t>116,3</w:t>
            </w:r>
          </w:p>
        </w:tc>
      </w:tr>
    </w:tbl>
    <w:p w:rsidR="00D849AA" w:rsidRDefault="00D849AA">
      <w:pPr>
        <w:jc w:val="left"/>
      </w:pPr>
    </w:p>
    <w:p w:rsidR="00D849AA" w:rsidRDefault="00EE6D95">
      <w:pPr>
        <w:pStyle w:val="Naslov4"/>
      </w:pPr>
      <w:r>
        <w:t>OBRAZLOŽENJE PROGRAMA</w:t>
      </w:r>
    </w:p>
    <w:p w:rsidR="00D849AA" w:rsidRDefault="00EE6D95">
      <w:pPr>
        <w:pStyle w:val="Naslov5"/>
      </w:pPr>
      <w:r>
        <w:t>3001 UPRAVLJANJE POLJOPRIVREDOM, RIBARSTVOM I RURALNIM RAZVOJEM</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3001</w:t>
            </w:r>
          </w:p>
        </w:tc>
        <w:tc>
          <w:tcPr>
            <w:tcW w:w="1486" w:type="dxa"/>
          </w:tcPr>
          <w:p w:rsidR="00D849AA" w:rsidRDefault="00EE6D95">
            <w:r>
              <w:t>271.267.222</w:t>
            </w:r>
          </w:p>
        </w:tc>
        <w:tc>
          <w:tcPr>
            <w:tcW w:w="1486" w:type="dxa"/>
          </w:tcPr>
          <w:p w:rsidR="00D849AA" w:rsidRDefault="00EE6D95">
            <w:r>
              <w:t>285.825.675</w:t>
            </w:r>
          </w:p>
        </w:tc>
        <w:tc>
          <w:tcPr>
            <w:tcW w:w="1486" w:type="dxa"/>
          </w:tcPr>
          <w:p w:rsidR="00D849AA" w:rsidRDefault="00EE6D95">
            <w:r>
              <w:t>247.304.809</w:t>
            </w:r>
          </w:p>
        </w:tc>
        <w:tc>
          <w:tcPr>
            <w:tcW w:w="1486" w:type="dxa"/>
          </w:tcPr>
          <w:p w:rsidR="00D849AA" w:rsidRDefault="00EE6D95">
            <w:r>
              <w:t>234.534.797</w:t>
            </w:r>
          </w:p>
        </w:tc>
        <w:tc>
          <w:tcPr>
            <w:tcW w:w="1486" w:type="dxa"/>
          </w:tcPr>
          <w:p w:rsidR="00D849AA" w:rsidRDefault="00EE6D95">
            <w:r>
              <w:t>105,4</w:t>
            </w:r>
          </w:p>
        </w:tc>
      </w:tr>
    </w:tbl>
    <w:p w:rsidR="00D849AA" w:rsidRDefault="00D849AA">
      <w:pPr>
        <w:jc w:val="left"/>
      </w:pPr>
    </w:p>
    <w:p w:rsidR="00D849AA" w:rsidRDefault="00EE6D95">
      <w:pPr>
        <w:pStyle w:val="Naslov6"/>
      </w:pPr>
      <w:r>
        <w:t>Opis programa</w:t>
      </w:r>
    </w:p>
    <w:p w:rsidR="00D849AA" w:rsidRDefault="00EE6D95">
      <w:pPr>
        <w:pStyle w:val="Normal5"/>
      </w:pPr>
      <w:r>
        <w:t>Za redovito poslovanje i obavljanje svih djelatnosti u ministarstvu kroz aktivnosti koje su obuhvaćene ovim programom financirat će se troškovi ukupnih rashoda za zaposlene, korištenja usluga i dobara, nabave neproizvedene imovine i nabave proizvedene dugotrajne imovine.</w:t>
      </w:r>
    </w:p>
    <w:p w:rsidR="00D849AA" w:rsidRDefault="00EE6D95">
      <w:pPr>
        <w:pStyle w:val="Naslov6"/>
      </w:pPr>
      <w:r>
        <w:t>Zakonske i druge pravne osnove</w:t>
      </w:r>
    </w:p>
    <w:p w:rsidR="00D849AA" w:rsidRDefault="00EE6D95">
      <w:pPr>
        <w:pStyle w:val="Normal5"/>
      </w:pPr>
      <w:r>
        <w:t xml:space="preserve">Zakon o potvrđivanju Sporazuma o financiranju između Vlade Republike Hrvatske i Europske Komisije u vezi s nacionalnim programom za Hrvatsku u okviru programa IPA – komponenta pomoć u tranziciji i jačanje institucija za 2011. Godinu – 3. Dio („NN – Međunarodni ugovori“). </w:t>
      </w:r>
    </w:p>
    <w:p w:rsidR="00D849AA" w:rsidRDefault="00EE6D95">
      <w:pPr>
        <w:pStyle w:val="Normal5"/>
      </w:pPr>
      <w:r>
        <w:lastRenderedPageBreak/>
        <w:t xml:space="preserve">Okvirni Sporazum između Europske Komisije i Vlade Republike Hrvatske u svezi sudjelovanja Republike Hrvatske u programima pomoći Europske Zajednice ( „NN – Međunarodni ugovori“ Br. 8/2002 i 11/2002). </w:t>
      </w:r>
    </w:p>
    <w:p w:rsidR="00D849AA" w:rsidRDefault="00EE6D95">
      <w:pPr>
        <w:pStyle w:val="Normal5"/>
      </w:pPr>
      <w:r>
        <w:t xml:space="preserve">Okvirni Sporazum između Vlade Republike Hrvatske i Komisije Europskih Zajednica o pravilima za suradnju u svezi financijske pomoći Europske Zajednice Republici Hrvatskoj u provedbi pomoći u okviru instrumenta pretpristupne pomoći (IPA) („NN – Međunarodni ugovori“ br. 10/07). </w:t>
      </w:r>
    </w:p>
    <w:p w:rsidR="00D849AA" w:rsidRDefault="00EE6D95">
      <w:pPr>
        <w:pStyle w:val="Normal5"/>
      </w:pPr>
      <w:r>
        <w:t xml:space="preserve">Zakona o zajedničkoj organizaciji tržišta poljoprivrednih proizvoda i posebnim mjerama i pravilima vezanim za tržište poljoprivrednih proizvoda („NN“ 82/2013). </w:t>
      </w:r>
    </w:p>
    <w:p w:rsidR="00D849AA" w:rsidRDefault="00EE6D95">
      <w:pPr>
        <w:pStyle w:val="Normal5"/>
      </w:pPr>
      <w:r>
        <w:t xml:space="preserve">Zakona o poljoprivredi („NN“, br. 149/2009, 127/2010, 50/2012 i 120/2012.) </w:t>
      </w:r>
    </w:p>
    <w:p w:rsidR="00D849AA" w:rsidRDefault="00EE6D95">
      <w:pPr>
        <w:pStyle w:val="Normal5"/>
      </w:pPr>
      <w:r>
        <w:t>Pravilnik o prikupljanju podataka i izvješćivanju o cijenama poljoprivrednih proizvoda („NN“ 87/10 i 107/10).</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Cilj 1. Izvještavanje za nacionalne potrebe i potrebe Europske Komisije o cijenama određenih poljoprivrednih proizvoda</w:t>
      </w:r>
    </w:p>
    <w:p w:rsidR="00D849AA" w:rsidRDefault="00EE6D95">
      <w:pPr>
        <w:pStyle w:val="Normal6"/>
      </w:pPr>
      <w:r>
        <w:t xml:space="preserve">Sustav koji se odnosi na prikupljanje, obradu i  kontrolu podataka o cijenama i količinama određenih poljoprivrednih proizvoda te izvještavanje o cijenama istih za nacionalne potrebe i potrebe Europske Komisije. Sustav je uspostavljen kako bi sudionici poljoprivrednog tržišta bili kontinuirano informirani o aktualnom stanju u svezi cijena određenih poljoprivrednih proizvoda. </w:t>
      </w:r>
    </w:p>
    <w:p w:rsidR="00D849AA" w:rsidRDefault="00EE6D95">
      <w:pPr>
        <w:pStyle w:val="Normal6"/>
      </w:pPr>
      <w:r>
        <w:t>Sustav izvještavanja Europske komisije služi u cilju mogućih intervencija na tržištu ukoliko dođe do određenih negativnih kretanja na tržištu.</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Sustav za izvještavanje Europske Komisije o cijenama poljoprivrednih proizvoda</w:t>
            </w:r>
          </w:p>
        </w:tc>
        <w:tc>
          <w:tcPr>
            <w:tcW w:w="1114" w:type="dxa"/>
          </w:tcPr>
          <w:p w:rsidR="00D849AA" w:rsidRDefault="00EE6D95">
            <w:r>
              <w:t>%</w:t>
            </w:r>
          </w:p>
        </w:tc>
        <w:tc>
          <w:tcPr>
            <w:tcW w:w="1114" w:type="dxa"/>
          </w:tcPr>
          <w:p w:rsidR="00D849AA" w:rsidRDefault="00EE6D95">
            <w:r>
              <w:t>80</w:t>
            </w:r>
          </w:p>
        </w:tc>
        <w:tc>
          <w:tcPr>
            <w:tcW w:w="1486" w:type="dxa"/>
          </w:tcPr>
          <w:p w:rsidR="00D849AA" w:rsidRDefault="00EE6D95">
            <w:r>
              <w:t>100</w:t>
            </w:r>
          </w:p>
        </w:tc>
        <w:tc>
          <w:tcPr>
            <w:tcW w:w="1486" w:type="dxa"/>
          </w:tcPr>
          <w:p w:rsidR="00D849AA" w:rsidRDefault="00EE6D95">
            <w:r>
              <w:t>100</w:t>
            </w:r>
          </w:p>
        </w:tc>
        <w:tc>
          <w:tcPr>
            <w:tcW w:w="1486" w:type="dxa"/>
          </w:tcPr>
          <w:p w:rsidR="00D849AA" w:rsidRDefault="00EE6D95">
            <w:r>
              <w:t>100</w:t>
            </w:r>
          </w:p>
        </w:tc>
      </w:tr>
    </w:tbl>
    <w:p w:rsidR="00D849AA" w:rsidRDefault="00D849AA">
      <w:pPr>
        <w:jc w:val="left"/>
      </w:pPr>
    </w:p>
    <w:p w:rsidR="00D849AA" w:rsidRDefault="00EE6D95">
      <w:pPr>
        <w:pStyle w:val="Naslov5"/>
      </w:pPr>
      <w:r>
        <w:t>Procjena i ishodište potrebnih sredstava za značajnije aktivnosti/projekte</w:t>
      </w:r>
    </w:p>
    <w:p w:rsidR="00D849AA" w:rsidRDefault="00EE6D95">
      <w:pPr>
        <w:pStyle w:val="Naslov6"/>
      </w:pPr>
      <w:r>
        <w:t>A568116 POLJOPRIVREDNO INFORMACIJSKI CENTAR - PROVEDBA I USPOSTAVA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A568116</w:t>
            </w:r>
          </w:p>
        </w:tc>
        <w:tc>
          <w:tcPr>
            <w:tcW w:w="1486" w:type="dxa"/>
          </w:tcPr>
          <w:p w:rsidR="00D849AA" w:rsidRDefault="00EE6D95">
            <w:r>
              <w:t>92.000</w:t>
            </w:r>
          </w:p>
        </w:tc>
        <w:tc>
          <w:tcPr>
            <w:tcW w:w="1486" w:type="dxa"/>
          </w:tcPr>
          <w:p w:rsidR="00D849AA" w:rsidRDefault="00EE6D95">
            <w:r>
              <w:t>90.000</w:t>
            </w:r>
          </w:p>
        </w:tc>
        <w:tc>
          <w:tcPr>
            <w:tcW w:w="1486" w:type="dxa"/>
          </w:tcPr>
          <w:p w:rsidR="00D849AA" w:rsidRDefault="00EE6D95">
            <w:r>
              <w:t>90.000</w:t>
            </w:r>
          </w:p>
        </w:tc>
        <w:tc>
          <w:tcPr>
            <w:tcW w:w="1486" w:type="dxa"/>
          </w:tcPr>
          <w:p w:rsidR="00D849AA" w:rsidRDefault="00EE6D95">
            <w:r>
              <w:t>90.000</w:t>
            </w:r>
          </w:p>
        </w:tc>
        <w:tc>
          <w:tcPr>
            <w:tcW w:w="1486" w:type="dxa"/>
          </w:tcPr>
          <w:p w:rsidR="00D849AA" w:rsidRDefault="00EE6D95">
            <w:r>
              <w:t>97,8</w:t>
            </w:r>
          </w:p>
        </w:tc>
      </w:tr>
    </w:tbl>
    <w:p w:rsidR="00D849AA" w:rsidRDefault="00D849AA">
      <w:pPr>
        <w:jc w:val="left"/>
      </w:pPr>
    </w:p>
    <w:p w:rsidR="00D849AA" w:rsidRDefault="00EE6D95">
      <w:pPr>
        <w:pStyle w:val="Normal6"/>
      </w:pPr>
      <w:r>
        <w:lastRenderedPageBreak/>
        <w:t xml:space="preserve">Poljoprivredni informacijski centar je informacijski sustav Ministarstva i obavlja slijedeće poslove: prikuplja i koristi podatke i informacije i propisane evidencije iz djelokruga središnjih tijela državne uprave, jedinica područne (regionalne) i lokalne samouprave, ustanova i slično od važnosti za poljoprivredu; prikuplja, obrađuje podatke i informacije za potrebe izvješćivanja javnosti o poljoprivredi i provedbi mjera poljoprivredne politike; razmjenjuje podatke i informacije s nadležnim inozemnim ustanovama i službama u poljoprivredi. </w:t>
      </w:r>
    </w:p>
    <w:p w:rsidR="00D849AA" w:rsidRDefault="00EE6D95">
      <w:pPr>
        <w:pStyle w:val="Normal6"/>
      </w:pPr>
      <w:r>
        <w:t xml:space="preserve">U sklopu Poljoprivrednog informacijskog centra uspostavljena je baza statističkih podataka, koja se nalazi na Portalu Ministarstva poljoprivrede, razvijen je softver koji obrađuje podatke vanjskotrgovinske razmjene, izrađeno je Zeleno izvješće i izračunate su proizvodno potrošne bilance poljoprivredno prehrambenih proizvoda.  </w:t>
      </w:r>
    </w:p>
    <w:p w:rsidR="00D849AA" w:rsidRDefault="00EE6D95">
      <w:pPr>
        <w:pStyle w:val="Normal6"/>
      </w:pPr>
      <w:r>
        <w:t>Sredstva su potrebna za održavanje softver-a za obradu podataka vanjsko-trgovinske razmjene, za intelektualne usluge izračuna proizvodno potrošnih bilanci (u 2014. godini izračunat će se proizvodno potrošne bilance za 2012. i 2013. godinu dok će se u 2015. i 2016. godini proizvodno potrošne bilance računati za tržnu i za kalendarsku godinu) te za stručno usavršavanje djelatnika u svezi metodologije izračuna proizvodno potrošnih bilanci.</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Koordinacija izrade zelenog izvješća</w:t>
            </w:r>
          </w:p>
        </w:tc>
        <w:tc>
          <w:tcPr>
            <w:tcW w:w="1114" w:type="dxa"/>
          </w:tcPr>
          <w:p w:rsidR="00D849AA" w:rsidRDefault="00EE6D95">
            <w:r>
              <w:t>kom</w:t>
            </w:r>
          </w:p>
        </w:tc>
        <w:tc>
          <w:tcPr>
            <w:tcW w:w="1114" w:type="dxa"/>
          </w:tcPr>
          <w:p w:rsidR="00D849AA" w:rsidRDefault="00EE6D95">
            <w:r>
              <w:t>1</w:t>
            </w:r>
          </w:p>
        </w:tc>
        <w:tc>
          <w:tcPr>
            <w:tcW w:w="1486" w:type="dxa"/>
          </w:tcPr>
          <w:p w:rsidR="00D849AA" w:rsidRDefault="00EE6D95">
            <w:r>
              <w:t>1</w:t>
            </w:r>
          </w:p>
        </w:tc>
        <w:tc>
          <w:tcPr>
            <w:tcW w:w="1486" w:type="dxa"/>
          </w:tcPr>
          <w:p w:rsidR="00D849AA" w:rsidRDefault="00EE6D95">
            <w:r>
              <w:t>1</w:t>
            </w:r>
          </w:p>
        </w:tc>
        <w:tc>
          <w:tcPr>
            <w:tcW w:w="1486" w:type="dxa"/>
          </w:tcPr>
          <w:p w:rsidR="00D849AA" w:rsidRDefault="00EE6D95">
            <w:r>
              <w:t>1</w:t>
            </w:r>
          </w:p>
        </w:tc>
      </w:tr>
      <w:tr w:rsidR="00D849AA">
        <w:trPr>
          <w:jc w:val="center"/>
        </w:trPr>
        <w:tc>
          <w:tcPr>
            <w:tcW w:w="2229" w:type="dxa"/>
          </w:tcPr>
          <w:p w:rsidR="00D849AA" w:rsidRDefault="00EE6D95">
            <w:pPr>
              <w:pStyle w:val="CellColumn"/>
            </w:pPr>
            <w:r>
              <w:t>Koordinacija izrade proizvodno potrošne bilance poljoprivredno prehrambenih proizvoda</w:t>
            </w:r>
          </w:p>
        </w:tc>
        <w:tc>
          <w:tcPr>
            <w:tcW w:w="1114" w:type="dxa"/>
          </w:tcPr>
          <w:p w:rsidR="00D849AA" w:rsidRDefault="00EE6D95">
            <w:r>
              <w:t>%</w:t>
            </w:r>
          </w:p>
        </w:tc>
        <w:tc>
          <w:tcPr>
            <w:tcW w:w="1114" w:type="dxa"/>
          </w:tcPr>
          <w:p w:rsidR="00D849AA" w:rsidRDefault="00EE6D95">
            <w:r>
              <w:t>100</w:t>
            </w:r>
          </w:p>
        </w:tc>
        <w:tc>
          <w:tcPr>
            <w:tcW w:w="1486" w:type="dxa"/>
          </w:tcPr>
          <w:p w:rsidR="00D849AA" w:rsidRDefault="00EE6D95">
            <w:r>
              <w:t>100</w:t>
            </w:r>
          </w:p>
        </w:tc>
        <w:tc>
          <w:tcPr>
            <w:tcW w:w="1486" w:type="dxa"/>
          </w:tcPr>
          <w:p w:rsidR="00D849AA" w:rsidRDefault="00EE6D95">
            <w:r>
              <w:t>100</w:t>
            </w:r>
          </w:p>
        </w:tc>
        <w:tc>
          <w:tcPr>
            <w:tcW w:w="1486" w:type="dxa"/>
          </w:tcPr>
          <w:p w:rsidR="00D849AA" w:rsidRDefault="00EE6D95">
            <w:r>
              <w:t>100</w:t>
            </w:r>
          </w:p>
        </w:tc>
      </w:tr>
    </w:tbl>
    <w:p w:rsidR="00D849AA" w:rsidRDefault="00D849AA">
      <w:pPr>
        <w:jc w:val="left"/>
      </w:pPr>
    </w:p>
    <w:p w:rsidR="00D849AA" w:rsidRDefault="00EE6D95">
      <w:pPr>
        <w:pStyle w:val="Naslov6"/>
      </w:pPr>
      <w:r>
        <w:t>A568268 TRŽIŠNO INFORMACIJSKI SUSTAV U POLJOPRIVREDI I OPREMANJE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A568268</w:t>
            </w:r>
          </w:p>
        </w:tc>
        <w:tc>
          <w:tcPr>
            <w:tcW w:w="1486" w:type="dxa"/>
          </w:tcPr>
          <w:p w:rsidR="00D849AA" w:rsidRDefault="00EE6D95">
            <w:r>
              <w:t>170.000</w:t>
            </w:r>
          </w:p>
        </w:tc>
        <w:tc>
          <w:tcPr>
            <w:tcW w:w="1486" w:type="dxa"/>
          </w:tcPr>
          <w:p w:rsidR="00D849AA" w:rsidRDefault="00EE6D95">
            <w:r>
              <w:t>111.975</w:t>
            </w:r>
          </w:p>
        </w:tc>
        <w:tc>
          <w:tcPr>
            <w:tcW w:w="1486" w:type="dxa"/>
          </w:tcPr>
          <w:p w:rsidR="00D849AA" w:rsidRDefault="00EE6D95">
            <w:r>
              <w:t>124.475</w:t>
            </w:r>
          </w:p>
        </w:tc>
        <w:tc>
          <w:tcPr>
            <w:tcW w:w="1486" w:type="dxa"/>
          </w:tcPr>
          <w:p w:rsidR="00D849AA" w:rsidRDefault="00EE6D95">
            <w:r>
              <w:t>43.625</w:t>
            </w:r>
          </w:p>
        </w:tc>
        <w:tc>
          <w:tcPr>
            <w:tcW w:w="1486" w:type="dxa"/>
          </w:tcPr>
          <w:p w:rsidR="00D849AA" w:rsidRDefault="00EE6D95">
            <w:r>
              <w:t>65,9</w:t>
            </w:r>
          </w:p>
        </w:tc>
      </w:tr>
    </w:tbl>
    <w:p w:rsidR="00D849AA" w:rsidRDefault="00D849AA">
      <w:pPr>
        <w:jc w:val="left"/>
      </w:pPr>
    </w:p>
    <w:p w:rsidR="00D849AA" w:rsidRDefault="00EE6D95">
      <w:pPr>
        <w:pStyle w:val="Normal6"/>
      </w:pPr>
      <w:r>
        <w:t xml:space="preserve">Tržišni cjenovni informacijski sustav u poljoprivredi (u daljnjem tekstu: TISUP) organizacijski predstavlja ustrojstvenu jedinicu ministarstva nadležnog za poljoprivredu i nadležan je za prikupljanje podataka o cijenama i količinama određenih poljoprivrednih proizvoda s domaćeg reprezentativnog tržišta, njihovu administrativnu kontrolu i kontrolu na terenu, obradu i izvješćivanje o cijenama za nacionalne potrebe te izvješćivanje Europske komisije. </w:t>
      </w:r>
    </w:p>
    <w:p w:rsidR="00D849AA" w:rsidRDefault="00EE6D95">
      <w:pPr>
        <w:pStyle w:val="Normal6"/>
      </w:pPr>
      <w:r>
        <w:t xml:space="preserve">Sukladno legislativi Europske unije, obveza je država članica uspostava tržišnih informacijski sustava odnosno sustava za praćenje i izvješćivanje o cijenama određenih poljoprivrednih proizvoda s reprezentativnih tržišta, kako bi se mogle provoditi mjere propisane Zajedničkom organizacijom tržišta Europske unije. </w:t>
      </w:r>
    </w:p>
    <w:p w:rsidR="00D849AA" w:rsidRDefault="00EE6D95">
      <w:pPr>
        <w:pStyle w:val="Normal6"/>
      </w:pPr>
      <w:r>
        <w:lastRenderedPageBreak/>
        <w:t>Za zaprimanje i obradu podataka unutar informacijskog sustava (IS) TISUP-a, sukladno zahtjevima provedbenih propisa, biti će potrebno izvršiti određene prilagodbe IS. TISUP-ov softver „Jupiter“ i WEB aplikaciju za unos podataka potrebno je nadograditi sukladno novim zahtjevima za dostavom podataka u DG Agri i praćenjem i izvješćivanjem za nacionalne potrebe. Za to je potreban software s maksimalnim mogućnostima automatizacije radnih procesa, s ugrađenim unakrsnim administrativnim provjerama, maksimalno prilagodljiv potrebama korisnika bez intervencije programera što aktualni softver nije.</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Uspostava  sustava praćenja cijena i količina za određene grupe poljoprivrednih proizvoda na domaćem tržištu sukladno regulativama EU</w:t>
            </w:r>
          </w:p>
        </w:tc>
        <w:tc>
          <w:tcPr>
            <w:tcW w:w="1114" w:type="dxa"/>
          </w:tcPr>
          <w:p w:rsidR="00D849AA" w:rsidRDefault="00EE6D95">
            <w:r>
              <w:t>%</w:t>
            </w:r>
          </w:p>
        </w:tc>
        <w:tc>
          <w:tcPr>
            <w:tcW w:w="1114" w:type="dxa"/>
          </w:tcPr>
          <w:p w:rsidR="00D849AA" w:rsidRDefault="00EE6D95">
            <w:r>
              <w:t>58,33</w:t>
            </w:r>
          </w:p>
        </w:tc>
        <w:tc>
          <w:tcPr>
            <w:tcW w:w="1486" w:type="dxa"/>
          </w:tcPr>
          <w:p w:rsidR="00D849AA" w:rsidRDefault="00EE6D95">
            <w:r>
              <w:t>100</w:t>
            </w:r>
          </w:p>
        </w:tc>
        <w:tc>
          <w:tcPr>
            <w:tcW w:w="1486" w:type="dxa"/>
          </w:tcPr>
          <w:p w:rsidR="00D849AA" w:rsidRDefault="00EE6D95">
            <w:r>
              <w:t>100</w:t>
            </w:r>
          </w:p>
        </w:tc>
        <w:tc>
          <w:tcPr>
            <w:tcW w:w="1486" w:type="dxa"/>
          </w:tcPr>
          <w:p w:rsidR="00D849AA" w:rsidRDefault="00EE6D95">
            <w:r>
              <w:t>100</w:t>
            </w:r>
          </w:p>
        </w:tc>
      </w:tr>
    </w:tbl>
    <w:p w:rsidR="00D849AA" w:rsidRDefault="00D849AA">
      <w:pPr>
        <w:jc w:val="left"/>
      </w:pPr>
    </w:p>
    <w:p w:rsidR="00D849AA" w:rsidRDefault="00EE6D95">
      <w:pPr>
        <w:pStyle w:val="Naslov6"/>
      </w:pPr>
      <w:r>
        <w:t>A650133 USPOSTAVA SUSTAVA POLJOPRIVREDNIH KNJIGOVODSTVENIH PODATAKA FADN</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A650133</w:t>
            </w:r>
          </w:p>
        </w:tc>
        <w:tc>
          <w:tcPr>
            <w:tcW w:w="1486" w:type="dxa"/>
          </w:tcPr>
          <w:p w:rsidR="00D849AA" w:rsidRDefault="00EE6D95">
            <w:r>
              <w:t>50.000</w:t>
            </w:r>
          </w:p>
        </w:tc>
        <w:tc>
          <w:tcPr>
            <w:tcW w:w="1486" w:type="dxa"/>
          </w:tcPr>
          <w:p w:rsidR="00D849AA" w:rsidRDefault="00EE6D95">
            <w:r>
              <w:t>81.750</w:t>
            </w:r>
          </w:p>
        </w:tc>
        <w:tc>
          <w:tcPr>
            <w:tcW w:w="1486" w:type="dxa"/>
          </w:tcPr>
          <w:p w:rsidR="00D849AA" w:rsidRDefault="00EE6D95">
            <w:r>
              <w:t>85.110</w:t>
            </w:r>
          </w:p>
        </w:tc>
        <w:tc>
          <w:tcPr>
            <w:tcW w:w="1486" w:type="dxa"/>
          </w:tcPr>
          <w:p w:rsidR="00D849AA" w:rsidRDefault="00EE6D95">
            <w:r>
              <w:t>113.750</w:t>
            </w:r>
          </w:p>
        </w:tc>
        <w:tc>
          <w:tcPr>
            <w:tcW w:w="1486" w:type="dxa"/>
          </w:tcPr>
          <w:p w:rsidR="00D849AA" w:rsidRDefault="00EE6D95">
            <w:r>
              <w:t>163,5</w:t>
            </w:r>
          </w:p>
        </w:tc>
      </w:tr>
    </w:tbl>
    <w:p w:rsidR="00D849AA" w:rsidRDefault="00D849AA">
      <w:pPr>
        <w:jc w:val="left"/>
      </w:pPr>
    </w:p>
    <w:p w:rsidR="00D849AA" w:rsidRDefault="00EE6D95">
      <w:pPr>
        <w:pStyle w:val="Normal6"/>
      </w:pPr>
      <w:r>
        <w:t xml:space="preserve">Uspostava Sustava poljoprivrednih knjigovodstvenih podataka u poljoprivredi (FADN – Farm Accountancy Data Network) te provedba FADN istraživanja obveza je svih država članica Europske unije. Obveza ustroja FADN sustava u RH proizlazi iz Zakona o poljoprivredi (»Narodne novine«, broj 149/09, 127/10, 50/12 i 120/12, članak 26.), a predstavlja instrument Europske Komisije za vrednovanje dohotka poljoprivrednih gospodarstava te utjecaja Zajedničke poljoprivredne politike EU.  </w:t>
      </w:r>
    </w:p>
    <w:p w:rsidR="00D849AA" w:rsidRDefault="00EE6D95">
      <w:pPr>
        <w:pStyle w:val="Normal6"/>
      </w:pPr>
      <w:r>
        <w:t xml:space="preserve">Temeljem uzorka poljoprivrednih gospodarstava (uzimajući u obzir regionalni aspekt, aspekt veličine gospodarstva i vrste proizvodnje), svake godine se prikupljaju knjigovodstveni podaci iz kojih se izračunavaju strukturni i ekonomski pokazatelji poljoprivrednih gospodarstava, neophodni za izradu analiza poljoprivrednog sektora i kreiranje poljoprivredne politike. Ministarstvo poljoprivrede je odgovorno za organizaciju i stručnu provedbu FADN sustava, dok je Poljoprivredna savjetodavna služba (PSS), postavljena kao tijelo za organizaciju i provedbu FADN istraživanja (»Narodne novine«, broj 50/2012). U uspostavi FADN-a sredstva su potrebna za intelektualne usluge izračuna Standardnog outputa (u 2014. godini isplata druge rate izračuna SO 2010 temeljem Ugovora sklopljenog 2013. godine i u 2016. godini izračun SO 2013), za intelektualne usluge vezane za izradu analiza FADN podataka, za stručno usavršavanje djelatnika (sudjelovanje na Pacioli radionici) i za prisustvovanje sjednicama FADN odbora Europske komisije. U provedbi FADN-a sredstva su potrebna za troškove prikupljanja podatka, edukaciju prikupljača podataka, za daljnji razvoj aplikacije za unos i obradu podataka kao i za pilot projekt uključivanja računovodstvenih servisa za prikupljanje podataka. U 2013. </w:t>
      </w:r>
      <w:r>
        <w:lastRenderedPageBreak/>
        <w:t>godini provođena su dva FADN istraživanja. Za računovodstvenu 2012. godini provedeno je pilot istraživanje na uzorku od 1.002 PG te je započeto prikupljanje podataka za računovodstvenu 2013. godinu na punom uzorku od 1.251 PG. U 2014., 2015. i 2016. godini FADN istraživanje će se provoditi na punom uzorku s tim da smo od 2016. godine obvezni provoditi FADN istraživanje na dvije statističke regije.</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Povećanje broja poljoprivrednih gospodarstava uključenih u FADN istraživanja</w:t>
            </w:r>
          </w:p>
        </w:tc>
        <w:tc>
          <w:tcPr>
            <w:tcW w:w="1114" w:type="dxa"/>
          </w:tcPr>
          <w:p w:rsidR="00D849AA" w:rsidRDefault="00EE6D95">
            <w:r>
              <w:t>Broj</w:t>
            </w:r>
          </w:p>
        </w:tc>
        <w:tc>
          <w:tcPr>
            <w:tcW w:w="1114" w:type="dxa"/>
          </w:tcPr>
          <w:p w:rsidR="00D849AA" w:rsidRDefault="00EE6D95">
            <w:r>
              <w:t>1002</w:t>
            </w:r>
          </w:p>
        </w:tc>
        <w:tc>
          <w:tcPr>
            <w:tcW w:w="1486" w:type="dxa"/>
          </w:tcPr>
          <w:p w:rsidR="00D849AA" w:rsidRDefault="00EE6D95">
            <w:r>
              <w:t>1.251</w:t>
            </w:r>
          </w:p>
        </w:tc>
        <w:tc>
          <w:tcPr>
            <w:tcW w:w="1486" w:type="dxa"/>
          </w:tcPr>
          <w:p w:rsidR="00D849AA" w:rsidRDefault="00EE6D95">
            <w:r>
              <w:t>1.251</w:t>
            </w:r>
          </w:p>
        </w:tc>
        <w:tc>
          <w:tcPr>
            <w:tcW w:w="1486" w:type="dxa"/>
          </w:tcPr>
          <w:p w:rsidR="00D849AA" w:rsidRDefault="00EE6D95">
            <w:r>
              <w:t>1.251</w:t>
            </w:r>
          </w:p>
        </w:tc>
      </w:tr>
    </w:tbl>
    <w:p w:rsidR="00D849AA" w:rsidRDefault="00D849AA">
      <w:pPr>
        <w:jc w:val="left"/>
      </w:pPr>
    </w:p>
    <w:p w:rsidR="00D849AA" w:rsidRDefault="00EE6D95">
      <w:pPr>
        <w:pStyle w:val="Naslov6"/>
      </w:pPr>
      <w:r>
        <w:t>T820045 IPA 2011 PRIPREMA HRVATSKE AGENCIJE ZA PLAĆANJE ZA RAZDOBLJE NAKON 2013. GODINE U PROVEDBI ZPP-A I ZRP-A- TWINNING</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T820045</w:t>
            </w:r>
          </w:p>
        </w:tc>
        <w:tc>
          <w:tcPr>
            <w:tcW w:w="1486" w:type="dxa"/>
          </w:tcPr>
          <w:p w:rsidR="00D849AA" w:rsidRDefault="00EE6D95">
            <w:r>
              <w:t>6.979.375</w:t>
            </w:r>
          </w:p>
        </w:tc>
        <w:tc>
          <w:tcPr>
            <w:tcW w:w="1486" w:type="dxa"/>
          </w:tcPr>
          <w:p w:rsidR="00D849AA" w:rsidRDefault="00EE6D95">
            <w:r>
              <w:t>11.628.000</w:t>
            </w:r>
          </w:p>
        </w:tc>
        <w:tc>
          <w:tcPr>
            <w:tcW w:w="1486" w:type="dxa"/>
          </w:tcPr>
          <w:p w:rsidR="00D849AA" w:rsidRDefault="00EE6D95">
            <w:r>
              <w:t>1.292.000</w:t>
            </w:r>
          </w:p>
        </w:tc>
        <w:tc>
          <w:tcPr>
            <w:tcW w:w="1486" w:type="dxa"/>
          </w:tcPr>
          <w:p w:rsidR="00D849AA" w:rsidRDefault="00EE6D95">
            <w:r>
              <w:t>00</w:t>
            </w:r>
          </w:p>
        </w:tc>
        <w:tc>
          <w:tcPr>
            <w:tcW w:w="1486" w:type="dxa"/>
          </w:tcPr>
          <w:p w:rsidR="00D849AA" w:rsidRDefault="00EE6D95">
            <w:r>
              <w:t>166,6</w:t>
            </w:r>
          </w:p>
        </w:tc>
      </w:tr>
    </w:tbl>
    <w:p w:rsidR="00D849AA" w:rsidRDefault="00D849AA">
      <w:pPr>
        <w:jc w:val="left"/>
      </w:pPr>
    </w:p>
    <w:p w:rsidR="00D849AA" w:rsidRDefault="00EE6D95">
      <w:pPr>
        <w:pStyle w:val="Normal6"/>
      </w:pPr>
      <w:r>
        <w:t>Agencija za plaćanja, anticipirajući potrebu prilagodbe za buduće programsko razdoblje, pripremila je novi projekt u okviru IPA instrumenta za 2011. - za izgradnju i jačanje institucija, ponovo sa tri ugovora (twinning, tehnička pomoć i nabava opreme) kako bi lakše i brže odgovorila na novi izazov prilagodbe sustava, procedura i poslovnih procesa novim okolnostima.</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Povećanje udjela izravnih plaćanja koja nisu vezana uz proizvodnju ('nevezana' plaćanja)</w:t>
            </w:r>
          </w:p>
        </w:tc>
        <w:tc>
          <w:tcPr>
            <w:tcW w:w="1114" w:type="dxa"/>
          </w:tcPr>
          <w:p w:rsidR="00D849AA" w:rsidRDefault="00EE6D95">
            <w:r>
              <w:t>%</w:t>
            </w:r>
          </w:p>
        </w:tc>
        <w:tc>
          <w:tcPr>
            <w:tcW w:w="1114" w:type="dxa"/>
          </w:tcPr>
          <w:p w:rsidR="00D849AA" w:rsidRDefault="00EE6D95">
            <w:r>
              <w:t>51</w:t>
            </w:r>
          </w:p>
        </w:tc>
        <w:tc>
          <w:tcPr>
            <w:tcW w:w="1486" w:type="dxa"/>
          </w:tcPr>
          <w:p w:rsidR="00D849AA" w:rsidRDefault="00EE6D95">
            <w:r>
              <w:t>86</w:t>
            </w:r>
          </w:p>
        </w:tc>
        <w:tc>
          <w:tcPr>
            <w:tcW w:w="1486" w:type="dxa"/>
          </w:tcPr>
          <w:p w:rsidR="00D849AA" w:rsidRDefault="00EE6D95">
            <w:r>
              <w:t>86</w:t>
            </w:r>
          </w:p>
        </w:tc>
        <w:tc>
          <w:tcPr>
            <w:tcW w:w="1486" w:type="dxa"/>
          </w:tcPr>
          <w:p w:rsidR="00D849AA" w:rsidRDefault="00EE6D95">
            <w:r>
              <w:t>86</w:t>
            </w:r>
          </w:p>
        </w:tc>
      </w:tr>
    </w:tbl>
    <w:p w:rsidR="00D849AA" w:rsidRDefault="00D849AA">
      <w:pPr>
        <w:jc w:val="left"/>
      </w:pPr>
    </w:p>
    <w:p w:rsidR="00B151E0" w:rsidRDefault="00B151E0" w:rsidP="00B151E0">
      <w:pPr>
        <w:jc w:val="left"/>
      </w:pPr>
    </w:p>
    <w:p w:rsidR="00B151E0" w:rsidRDefault="00B151E0" w:rsidP="00B151E0">
      <w:pPr>
        <w:pStyle w:val="Naslov4"/>
      </w:pPr>
      <w:r>
        <w:lastRenderedPageBreak/>
        <w:t>OBRAZLOŽENJE PROGRAMA</w:t>
      </w:r>
    </w:p>
    <w:p w:rsidR="00D849AA" w:rsidRDefault="00EE6D95">
      <w:pPr>
        <w:pStyle w:val="Naslov5"/>
      </w:pPr>
      <w:r>
        <w:t>3002 POLJOPRIVREDA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3002</w:t>
            </w:r>
          </w:p>
        </w:tc>
        <w:tc>
          <w:tcPr>
            <w:tcW w:w="1486" w:type="dxa"/>
          </w:tcPr>
          <w:p w:rsidR="00D849AA" w:rsidRDefault="00EE6D95">
            <w:r>
              <w:t>1.860.755.273</w:t>
            </w:r>
          </w:p>
        </w:tc>
        <w:tc>
          <w:tcPr>
            <w:tcW w:w="1486" w:type="dxa"/>
          </w:tcPr>
          <w:p w:rsidR="00D849AA" w:rsidRDefault="00EE6D95">
            <w:r>
              <w:t>2.427.007.046</w:t>
            </w:r>
          </w:p>
        </w:tc>
        <w:tc>
          <w:tcPr>
            <w:tcW w:w="1486" w:type="dxa"/>
          </w:tcPr>
          <w:p w:rsidR="00D849AA" w:rsidRDefault="00EE6D95">
            <w:r>
              <w:t>2.686.012.576</w:t>
            </w:r>
          </w:p>
        </w:tc>
        <w:tc>
          <w:tcPr>
            <w:tcW w:w="1486" w:type="dxa"/>
          </w:tcPr>
          <w:p w:rsidR="00D849AA" w:rsidRDefault="00EE6D95">
            <w:r>
              <w:t>2.943.681.070</w:t>
            </w:r>
          </w:p>
        </w:tc>
        <w:tc>
          <w:tcPr>
            <w:tcW w:w="1486" w:type="dxa"/>
          </w:tcPr>
          <w:p w:rsidR="00D849AA" w:rsidRDefault="00EE6D95">
            <w:r>
              <w:t>130,4</w:t>
            </w:r>
          </w:p>
        </w:tc>
      </w:tr>
    </w:tbl>
    <w:p w:rsidR="00D849AA" w:rsidRDefault="00D849AA">
      <w:pPr>
        <w:jc w:val="left"/>
      </w:pPr>
    </w:p>
    <w:p w:rsidR="00D849AA" w:rsidRDefault="00EE6D95">
      <w:pPr>
        <w:pStyle w:val="Naslov6"/>
      </w:pPr>
      <w:r>
        <w:t>Opis programa</w:t>
      </w:r>
    </w:p>
    <w:p w:rsidR="00D849AA" w:rsidRDefault="00EE6D95">
      <w:pPr>
        <w:pStyle w:val="Normal5"/>
      </w:pPr>
      <w:r>
        <w:t xml:space="preserve">Programom su obuhvaćene aktivnosti u sklopu kojih će se u najvećoj mjeri financirati poticanje poljoprivredne proizvodnje putem izravnih plaćanja radi osiguranja stabilnosti dohotka proizvođača. Ovaj segment u ukupnom proračunu Ministarstva poljoprivrede financijski je najizdašniji i u tom aspektu najznačajniji. Uz aktivnosti za provedbu mjera stabilizacije tržišta poljoprivrednih proizvoda u slučaju mogućih poremećaja na tržištu (intervencija), ovim se aktivnostima omogućuje olakšano buduće integriranje RH u jedinstveno tržište EU gdje je obvezna primjena jedinstvene poljoprivredne politike, posebice na području tržišno-cjenovnih mjera. </w:t>
      </w:r>
    </w:p>
    <w:p w:rsidR="00D849AA" w:rsidRDefault="00EE6D95">
      <w:pPr>
        <w:pStyle w:val="Normal5"/>
      </w:pPr>
      <w:r>
        <w:t xml:space="preserve">Ovim programom obuhvaćene su aktivnosti na unaprjeđenju stanja u biljnoj i stočarskoj proizvodnji. U biljnoj proizvodnji navedeno se posebice odnosi na sektore voćarstva i povrćarstva, uz uspostavu sustava kontrole sukladnosti s tržišnim standardima i sustava potpora proizvođačkim grupama i proizvođačkim organizacijama. U stočarskoj proizvodnji naglasak je posebice na aktivnostima za unaprjeđenje tržišta mlijeka i mesa, daljnjem praćenju i unaprjeđenju uzgojnog rada te nastavku uspostave uzgojnih organizacija u stočarstvu.  </w:t>
      </w:r>
    </w:p>
    <w:p w:rsidR="00D849AA" w:rsidRDefault="00EE6D95">
      <w:pPr>
        <w:pStyle w:val="Normal5"/>
      </w:pPr>
      <w:r>
        <w:t xml:space="preserve">U sklopu programa, primijenjenim istraživanjima u poljoprivredi (VIP) omogućuje se prijenos znanstvenih spoznaja u praktičnoj primjeni. </w:t>
      </w:r>
    </w:p>
    <w:p w:rsidR="00D849AA" w:rsidRDefault="00EE6D95">
      <w:pPr>
        <w:pStyle w:val="Normal5"/>
      </w:pPr>
      <w:r>
        <w:t xml:space="preserve">Realizacija programa doprinijet će ostvarenju ciljeva utvrđenih Strategijom Vladinih programa za razdoblje 2014. – 2016., i to: </w:t>
      </w:r>
    </w:p>
    <w:p w:rsidR="00D849AA" w:rsidRDefault="00EE6D95">
      <w:pPr>
        <w:pStyle w:val="Normal5"/>
      </w:pPr>
      <w:r>
        <w:t xml:space="preserve">Posebnog cilja 1.2. Provedba financiranja poljoprivrednog i ribarskog sektora sustavu EU putem: </w:t>
      </w:r>
    </w:p>
    <w:p w:rsidR="00D849AA" w:rsidRDefault="00EE6D95">
      <w:pPr>
        <w:pStyle w:val="Normal5"/>
      </w:pPr>
      <w:r>
        <w:t xml:space="preserve">1.2.1  Reforme sustava poljoprivredne potpore </w:t>
      </w:r>
    </w:p>
    <w:p w:rsidR="00D849AA" w:rsidRDefault="00EE6D95">
      <w:pPr>
        <w:pStyle w:val="Normal5"/>
      </w:pPr>
      <w:r>
        <w:t xml:space="preserve">Posebnog cilja 1.5. Poboljšanje tržišnih mehanizama za prodaju poljoprivredno-prehrambenih i ribarskih proizvoda kroz: </w:t>
      </w:r>
    </w:p>
    <w:p w:rsidR="00D849AA" w:rsidRDefault="00EE6D95">
      <w:pPr>
        <w:pStyle w:val="Normal5"/>
      </w:pPr>
      <w:r>
        <w:t xml:space="preserve">1.5.1. Uspostavu mehanizama uređenja tržišta poljoprivrednih proizvoda </w:t>
      </w:r>
    </w:p>
    <w:p w:rsidR="00D849AA" w:rsidRDefault="00EE6D95">
      <w:pPr>
        <w:pStyle w:val="Normal5"/>
      </w:pPr>
      <w:r>
        <w:t xml:space="preserve">1.5.2 Istraživanja u poljoprivredi </w:t>
      </w:r>
    </w:p>
    <w:p w:rsidR="00D849AA" w:rsidRDefault="00EE6D95">
      <w:pPr>
        <w:pStyle w:val="Normal5"/>
      </w:pPr>
      <w:r>
        <w:t xml:space="preserve">1.5.4. Potporu jačanju konkurentnosti prehrambene industrije na tržištu </w:t>
      </w:r>
    </w:p>
    <w:p w:rsidR="00D849AA" w:rsidRDefault="00EE6D95">
      <w:pPr>
        <w:pStyle w:val="Normal5"/>
      </w:pPr>
      <w:r>
        <w:t xml:space="preserve">1.5.5. Potpuniju primjenu mehanizama uređenja tržišta poljoprivrednih proizvoda </w:t>
      </w:r>
    </w:p>
    <w:p w:rsidR="00D849AA" w:rsidRDefault="00EE6D95">
      <w:pPr>
        <w:pStyle w:val="Normal5"/>
      </w:pPr>
      <w:r>
        <w:t>1.5.6. Pripremu za novi okvir mehanizama uređenja tržišta poljoprivrednih proizvoda   Europske unije–reforma mjera.</w:t>
      </w:r>
    </w:p>
    <w:p w:rsidR="00D849AA" w:rsidRDefault="00EE6D95">
      <w:pPr>
        <w:pStyle w:val="Naslov6"/>
      </w:pPr>
      <w:r>
        <w:t>Zakonske i druge pravne osnove</w:t>
      </w:r>
    </w:p>
    <w:p w:rsidR="00D849AA" w:rsidRDefault="00EE6D95">
      <w:pPr>
        <w:pStyle w:val="Normal5"/>
      </w:pPr>
      <w:r>
        <w:t xml:space="preserve">- Zakon o poljoprivredi (NN, br. 149/09, 127/10, 50/12 i 120/12)  </w:t>
      </w:r>
    </w:p>
    <w:p w:rsidR="00D849AA" w:rsidRDefault="00EE6D95">
      <w:pPr>
        <w:pStyle w:val="Normal5"/>
      </w:pPr>
      <w:r>
        <w:t xml:space="preserve">- Zakon o zajedničkoj organizaciji tržišta poljoprivrednih proizvoda i posebnim mjerama i       </w:t>
      </w:r>
    </w:p>
    <w:p w:rsidR="00D849AA" w:rsidRDefault="00EE6D95">
      <w:pPr>
        <w:pStyle w:val="Normal5"/>
      </w:pPr>
      <w:r>
        <w:t xml:space="preserve">  pravilima vezanim za tržište poljoprivrednih proizvoda (»Narodne novine«, br. 82/13) </w:t>
      </w:r>
    </w:p>
    <w:p w:rsidR="00D849AA" w:rsidRDefault="00EE6D95">
      <w:pPr>
        <w:pStyle w:val="Normal5"/>
      </w:pPr>
      <w:r>
        <w:lastRenderedPageBreak/>
        <w:t>- Zakon o potpori poljoprivredi i ruralnom razvoju (NN, br.80/13)</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Cilj 1. Reforma sustava potpore</w:t>
      </w:r>
    </w:p>
    <w:p w:rsidR="00D849AA" w:rsidRDefault="00EE6D95">
      <w:pPr>
        <w:pStyle w:val="Normal6"/>
      </w:pPr>
      <w:r>
        <w:t xml:space="preserve">Kako je regulirano Ugovorom o pristupanju RH u EU, Hrvatska od 2013. godine kreće s primjenom europskog modela izravnih plaćanja u sklopu Zajedničke poljoprivredne politike (ZPP) u 2013. godini, u skladu s pravilima Uredbe Vijeća (EZ) br. 73/2009 od 19. siječnja 2009. kojom se utvrđuju zajednička pravila za programe izravne potpore za poljoprivrednike u okviru Zajedničke poljoprivredne politike i određeni programi potpore za poljoprivrednike, te kojom se izmjenjuju i dopunjuju Uredbe (EZ) br. 1290/2005, (EZ) br. 247/2006, (EZ) br. 378/2007, te ukida Uredba (EZ) br. 1782/2003. Ugovorom o pristupanju utvrđeno je sljedeće: </w:t>
      </w:r>
    </w:p>
    <w:p w:rsidR="00D849AA" w:rsidRDefault="00EE6D95">
      <w:pPr>
        <w:pStyle w:val="Normal6"/>
      </w:pPr>
      <w:r>
        <w:t xml:space="preserve">- plafon (omotnica) na godišnjoj razini za izravna plaćanja od 373 milijuna € </w:t>
      </w:r>
    </w:p>
    <w:p w:rsidR="00D849AA" w:rsidRDefault="00EE6D95">
      <w:pPr>
        <w:pStyle w:val="Normal6"/>
      </w:pPr>
      <w:r>
        <w:t xml:space="preserve">- plafon (omotnica) na godišnjoj razini za izravna plaćanja za razminirano poljoprivredno zemljište od 9,6 milijuna € </w:t>
      </w:r>
    </w:p>
    <w:p w:rsidR="00D849AA" w:rsidRDefault="00EE6D95">
      <w:pPr>
        <w:pStyle w:val="Normal6"/>
      </w:pPr>
      <w:r>
        <w:t xml:space="preserve">- dinamika sufinanciranja izravnih plaćanja iz EU proračuna (EAGF – European Agricultural Guarantee Fund) prema rasporedu - 25, 30, 35, 40, 50, 60, 70, 80, 90 i 100% vrijednosti plafona u razdoblju od 10 godina koja se primjenjuje na obje omotnice </w:t>
      </w:r>
    </w:p>
    <w:p w:rsidR="00D849AA" w:rsidRDefault="00EE6D95">
      <w:pPr>
        <w:pStyle w:val="Normal6"/>
      </w:pPr>
      <w:r>
        <w:t xml:space="preserve">- mogućnost nadopune izravnih plaćanja nacionalnim sredstvima (eng. "top-ups" ili "CNDP – Complementary National Direct Payments") do 100% vrijednosti plafona od prve godine primjene </w:t>
      </w:r>
    </w:p>
    <w:p w:rsidR="00D849AA" w:rsidRDefault="00EE6D95">
      <w:pPr>
        <w:pStyle w:val="Normal6"/>
      </w:pPr>
      <w:r>
        <w:t>Program izravne potpore koji se primjenjuje od proizvodne 2013. financirati će se iz EU proračuna od 2014. godine sukladno navedenoj dinamici, počevši sa 25% u 2014. za 2013. godinu.</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Povećanje dohotka poljoprivrednika i ribara</w:t>
            </w:r>
          </w:p>
        </w:tc>
        <w:tc>
          <w:tcPr>
            <w:tcW w:w="1114" w:type="dxa"/>
          </w:tcPr>
          <w:p w:rsidR="00D849AA" w:rsidRDefault="00EE6D95">
            <w:r>
              <w:t>INDEKS</w:t>
            </w:r>
          </w:p>
        </w:tc>
        <w:tc>
          <w:tcPr>
            <w:tcW w:w="1114" w:type="dxa"/>
          </w:tcPr>
          <w:p w:rsidR="00D849AA" w:rsidRDefault="00EE6D95">
            <w:r>
              <w:t>100</w:t>
            </w:r>
          </w:p>
        </w:tc>
        <w:tc>
          <w:tcPr>
            <w:tcW w:w="1486" w:type="dxa"/>
          </w:tcPr>
          <w:p w:rsidR="00D849AA" w:rsidRDefault="00EE6D95">
            <w:r>
              <w:t>110</w:t>
            </w:r>
          </w:p>
        </w:tc>
        <w:tc>
          <w:tcPr>
            <w:tcW w:w="1486" w:type="dxa"/>
          </w:tcPr>
          <w:p w:rsidR="00D849AA" w:rsidRDefault="00EE6D95">
            <w:r>
              <w:t>110</w:t>
            </w:r>
          </w:p>
        </w:tc>
        <w:tc>
          <w:tcPr>
            <w:tcW w:w="1486" w:type="dxa"/>
          </w:tcPr>
          <w:p w:rsidR="00D849AA" w:rsidRDefault="00EE6D95">
            <w:r>
              <w:t>110</w:t>
            </w:r>
          </w:p>
        </w:tc>
      </w:tr>
    </w:tbl>
    <w:p w:rsidR="00D849AA" w:rsidRDefault="00D849AA">
      <w:pPr>
        <w:jc w:val="left"/>
      </w:pPr>
    </w:p>
    <w:p w:rsidR="00D849AA" w:rsidRDefault="00EE6D95">
      <w:pPr>
        <w:pStyle w:val="Naslov5"/>
      </w:pPr>
      <w:r>
        <w:t>Procjena i ishodište potrebnih sredstava za značajnije aktivnosti/projekte</w:t>
      </w:r>
    </w:p>
    <w:p w:rsidR="00D849AA" w:rsidRDefault="00EE6D95">
      <w:pPr>
        <w:pStyle w:val="Naslov6"/>
      </w:pPr>
      <w:r>
        <w:t>A568058 ISTRAŽIVANJE U POLJOPRIVREDI (VIJEĆE ZA ISTRAŽIVANJE U POLJOPRIVREDI)</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A568058</w:t>
            </w:r>
          </w:p>
        </w:tc>
        <w:tc>
          <w:tcPr>
            <w:tcW w:w="1486" w:type="dxa"/>
          </w:tcPr>
          <w:p w:rsidR="00D849AA" w:rsidRDefault="00EE6D95">
            <w:r>
              <w:t>2.100.000</w:t>
            </w:r>
          </w:p>
        </w:tc>
        <w:tc>
          <w:tcPr>
            <w:tcW w:w="1486" w:type="dxa"/>
          </w:tcPr>
          <w:p w:rsidR="00D849AA" w:rsidRDefault="00EE6D95">
            <w:r>
              <w:t>3.000.000</w:t>
            </w:r>
          </w:p>
        </w:tc>
        <w:tc>
          <w:tcPr>
            <w:tcW w:w="1486" w:type="dxa"/>
          </w:tcPr>
          <w:p w:rsidR="00D849AA" w:rsidRDefault="00EE6D95">
            <w:r>
              <w:t>2.000.000</w:t>
            </w:r>
          </w:p>
        </w:tc>
        <w:tc>
          <w:tcPr>
            <w:tcW w:w="1486" w:type="dxa"/>
          </w:tcPr>
          <w:p w:rsidR="00D849AA" w:rsidRDefault="00EE6D95">
            <w:r>
              <w:t>2.000.000</w:t>
            </w:r>
          </w:p>
        </w:tc>
        <w:tc>
          <w:tcPr>
            <w:tcW w:w="1486" w:type="dxa"/>
          </w:tcPr>
          <w:p w:rsidR="00D849AA" w:rsidRDefault="00EE6D95">
            <w:r>
              <w:t>142,9</w:t>
            </w:r>
          </w:p>
        </w:tc>
      </w:tr>
    </w:tbl>
    <w:p w:rsidR="00D849AA" w:rsidRDefault="00D849AA">
      <w:pPr>
        <w:jc w:val="left"/>
      </w:pPr>
    </w:p>
    <w:p w:rsidR="00D849AA" w:rsidRDefault="00EE6D95">
      <w:pPr>
        <w:pStyle w:val="Normal6"/>
      </w:pPr>
      <w:r>
        <w:lastRenderedPageBreak/>
        <w:t xml:space="preserve">Ministarstvo poljoprivrede putem Vijeća za istraživanja u poljoprivredi (VIP) utvrđuje politiku i uvjete financiranja razvojnih i primijenjenih istraživanja u poljoprivredi i ruralnim područjima. </w:t>
      </w:r>
    </w:p>
    <w:p w:rsidR="00D849AA" w:rsidRDefault="00EE6D95">
      <w:pPr>
        <w:pStyle w:val="Normal6"/>
      </w:pPr>
      <w:r>
        <w:t xml:space="preserve">Kroz Vijeće za istraživanja u poljoprivredi (VIP) potiču se strateška poljoprivredna istraživanja koja imaju za cilj primjenjivost rezultata istraživanja na obiteljskim poljoprivrednim gospodarstvima čime se doprinosi konkurentnijoj poljoprivrednoj proizvodnji. Kroz program se potiče sudjelovanje samih poljoprivrednih proizvođača u postavljanju prioriteta istraživanja, provedbi i financiranju istraživanja kako bi nova znanja imala najučinkovitiju primjenu.   </w:t>
      </w:r>
    </w:p>
    <w:p w:rsidR="00D849AA" w:rsidRDefault="00EE6D95">
      <w:pPr>
        <w:pStyle w:val="Normal6"/>
      </w:pPr>
      <w:r>
        <w:t xml:space="preserve">U razdoblju od 2014.do 2016. planira se nastavak sufinanciranja projekata koji su u tijeku, (11. i 12. VIP natječaj), te se planiraju i novi natječaji sa svrhom sufinanciranja novih istraživačkih projekata. U 2014. planiraju se godišnja sredstva u iznosu od 3.000.000 kn koja će se utrošiti za intelektualne usluge unutar kojih su stvorene obveze iz 2012. i 2013.. Ostatak sredstava predviđen je za troškove administracije projekata te provedbu novih natječaja u okviru kojih se namjerava financirati i projekte kojima će se izvršiti istraživanje u svrhu izrade specifikacije koje će za rezultat imati standardiziranu kvalitetu autohtonog proizvoda uključujući i sirovine, definirana fizička, kemijska, mikrobiološka ili organoleptička svojstva, način proizvodnje i dr. sukladno Zakonu o zaštićenim oznakama izvornosti, zaštićenim oznakama zemljopisnog podrijetla i zajamčeno tradicionalnim specijalitetima poljoprivrednih i prehrambenih proizvoda (NN br. 80/13) i Pravilniku o zaštićenim oznakama izvornosti, zaštićenim oznakama zemljopisnog podrijetla i zajamčeno tradicionalnim specijalitetima poljoprivrednih i prehrambenih proizvoda (NN br. 86/13). </w:t>
      </w:r>
    </w:p>
    <w:p w:rsidR="00D849AA" w:rsidRDefault="00EE6D95">
      <w:pPr>
        <w:pStyle w:val="Normal6"/>
      </w:pPr>
      <w:r>
        <w:t>Također, VIP sudjeluje u promicanju znanstveno – izdavačke djelatnosti sufinanciranjem troškova izdavanja znanstveno-stručnih knjiga iz područja biotehničkih znanosti pa se dio raspoloživih sredstava planira i za tu svrhu.</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Povećanje broja sufinanciranih istraživanja</w:t>
            </w:r>
          </w:p>
        </w:tc>
        <w:tc>
          <w:tcPr>
            <w:tcW w:w="1114" w:type="dxa"/>
          </w:tcPr>
          <w:p w:rsidR="00D849AA" w:rsidRDefault="00EE6D95">
            <w:r>
              <w:t>Broj</w:t>
            </w:r>
          </w:p>
        </w:tc>
        <w:tc>
          <w:tcPr>
            <w:tcW w:w="1114" w:type="dxa"/>
          </w:tcPr>
          <w:p w:rsidR="00D849AA" w:rsidRDefault="00EE6D95">
            <w:r>
              <w:t>242</w:t>
            </w:r>
          </w:p>
        </w:tc>
        <w:tc>
          <w:tcPr>
            <w:tcW w:w="1486" w:type="dxa"/>
          </w:tcPr>
          <w:p w:rsidR="00D849AA" w:rsidRDefault="00EE6D95">
            <w:r>
              <w:t>278</w:t>
            </w:r>
          </w:p>
        </w:tc>
        <w:tc>
          <w:tcPr>
            <w:tcW w:w="1486" w:type="dxa"/>
          </w:tcPr>
          <w:p w:rsidR="00D849AA" w:rsidRDefault="00EE6D95">
            <w:r>
              <w:t>300</w:t>
            </w:r>
          </w:p>
        </w:tc>
        <w:tc>
          <w:tcPr>
            <w:tcW w:w="1486" w:type="dxa"/>
          </w:tcPr>
          <w:p w:rsidR="00D849AA" w:rsidRDefault="00EE6D95">
            <w:r>
              <w:t>322</w:t>
            </w:r>
          </w:p>
        </w:tc>
      </w:tr>
    </w:tbl>
    <w:p w:rsidR="00D849AA" w:rsidRDefault="00D849AA">
      <w:pPr>
        <w:jc w:val="left"/>
      </w:pPr>
    </w:p>
    <w:p w:rsidR="00D849AA" w:rsidRDefault="00EE6D95">
      <w:pPr>
        <w:pStyle w:val="Naslov6"/>
      </w:pPr>
      <w:r>
        <w:t>A819058 ZPP - IZRAVNA PLAČANJA POLJOPRIVREDNIM PROIZVOĐAČIMA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A819058</w:t>
            </w:r>
          </w:p>
        </w:tc>
        <w:tc>
          <w:tcPr>
            <w:tcW w:w="1486" w:type="dxa"/>
          </w:tcPr>
          <w:p w:rsidR="00D849AA" w:rsidRDefault="00EE6D95">
            <w:r>
              <w:t>00</w:t>
            </w:r>
          </w:p>
        </w:tc>
        <w:tc>
          <w:tcPr>
            <w:tcW w:w="1486" w:type="dxa"/>
          </w:tcPr>
          <w:p w:rsidR="00D849AA" w:rsidRDefault="00EE6D95">
            <w:r>
              <w:t>2.078.451.960</w:t>
            </w:r>
          </w:p>
        </w:tc>
        <w:tc>
          <w:tcPr>
            <w:tcW w:w="1486" w:type="dxa"/>
          </w:tcPr>
          <w:p w:rsidR="00D849AA" w:rsidRDefault="00EE6D95">
            <w:r>
              <w:t>2.333.457.491</w:t>
            </w:r>
          </w:p>
        </w:tc>
        <w:tc>
          <w:tcPr>
            <w:tcW w:w="1486" w:type="dxa"/>
          </w:tcPr>
          <w:p w:rsidR="00D849AA" w:rsidRDefault="00EE6D95">
            <w:r>
              <w:t>2.611.125.985</w:t>
            </w:r>
          </w:p>
        </w:tc>
        <w:tc>
          <w:tcPr>
            <w:tcW w:w="1486" w:type="dxa"/>
          </w:tcPr>
          <w:p w:rsidR="00D849AA" w:rsidRDefault="00EE6D95">
            <w:r>
              <w:t>0,0</w:t>
            </w:r>
          </w:p>
        </w:tc>
      </w:tr>
    </w:tbl>
    <w:p w:rsidR="00D849AA" w:rsidRDefault="00D849AA">
      <w:pPr>
        <w:jc w:val="left"/>
      </w:pPr>
    </w:p>
    <w:p w:rsidR="00D849AA" w:rsidRDefault="00EE6D95">
      <w:pPr>
        <w:pStyle w:val="Normal6"/>
      </w:pPr>
      <w:r>
        <w:t xml:space="preserve">Sredinom 2013. godine usvojen je novi Zakon o potpori poljoprivredi i ruralnom razvoju (Narodne novine br. 80/13) budući se od 1. srpnja 2013. godine u području izravne potpore u poljoprivredi izravno primjenjuju odredbe Uredbe Vijeća (EZ-a) br. 73/2009. Kao sekundarni izvor prava Europske unije navedena Uredba je nakon pristupanja Europskoj uniji neposredno i u cijelosti primjenjiva u Republici Hrvatskoj, te se navedenim Zakonom osigurava njezina provedba kao i provedba svih njenih izmjena i </w:t>
      </w:r>
      <w:r>
        <w:lastRenderedPageBreak/>
        <w:t xml:space="preserve">dopuna. Program izravne potpore koji će se financirati iz EU proračuna prema rasporedu - 25, 30, 35, 40, 50, 60, 70, 80, 90 i 100% vrijednosti plafona u razdoblju od 10 godina, obuhvaća: </w:t>
      </w:r>
    </w:p>
    <w:p w:rsidR="00D849AA" w:rsidRDefault="00EE6D95">
      <w:pPr>
        <w:pStyle w:val="Normal6"/>
      </w:pPr>
      <w:r>
        <w:t xml:space="preserve">1. Prava na plaćanja: </w:t>
      </w:r>
    </w:p>
    <w:p w:rsidR="00D849AA" w:rsidRDefault="00EE6D95">
      <w:pPr>
        <w:pStyle w:val="Normal6"/>
      </w:pPr>
      <w:r>
        <w:t xml:space="preserve">- regionalno plaćanje (po hektaru) </w:t>
      </w:r>
    </w:p>
    <w:p w:rsidR="00D849AA" w:rsidRDefault="00EE6D95">
      <w:pPr>
        <w:pStyle w:val="Normal6"/>
      </w:pPr>
      <w:r>
        <w:t xml:space="preserve">- plaćanje iz nacionalne rezerve (za sektore mlijeka, tova goveda, ovaca i koza te duhana temeljem referentne godine) </w:t>
      </w:r>
    </w:p>
    <w:p w:rsidR="00D849AA" w:rsidRDefault="00EE6D95">
      <w:pPr>
        <w:pStyle w:val="Normal6"/>
      </w:pPr>
      <w:r>
        <w:t xml:space="preserve">- plaćanje iz posebne nacionalne rezerve za razminirano zemljište (po hektaru) </w:t>
      </w:r>
    </w:p>
    <w:p w:rsidR="00D849AA" w:rsidRDefault="00EE6D95">
      <w:pPr>
        <w:pStyle w:val="Normal6"/>
      </w:pPr>
      <w:r>
        <w:t xml:space="preserve">2. Proizvodno vezana plaćanja:  </w:t>
      </w:r>
    </w:p>
    <w:p w:rsidR="00D849AA" w:rsidRDefault="00EE6D95">
      <w:pPr>
        <w:pStyle w:val="Normal6"/>
      </w:pPr>
      <w:r>
        <w:t xml:space="preserve">- premije za krave dojilje, ovce i koze </w:t>
      </w:r>
    </w:p>
    <w:p w:rsidR="00D849AA" w:rsidRDefault="00EE6D95">
      <w:pPr>
        <w:pStyle w:val="Normal6"/>
      </w:pPr>
      <w:r>
        <w:t xml:space="preserve">- dopunska premija za ovce i koze </w:t>
      </w:r>
    </w:p>
    <w:p w:rsidR="00D849AA" w:rsidRDefault="00EE6D95">
      <w:pPr>
        <w:pStyle w:val="Normal6"/>
      </w:pPr>
      <w:r>
        <w:t xml:space="preserve">3. Specifičnu potporu </w:t>
      </w:r>
    </w:p>
    <w:p w:rsidR="00D849AA" w:rsidRDefault="00EE6D95">
      <w:pPr>
        <w:pStyle w:val="Normal6"/>
      </w:pPr>
      <w:r>
        <w:t>U 2014. godini prvi puta će krenuti financiranje programa iz EAGF fonda (European Agricultural Guarantee Fund) i to za proizvodnu 2013. godinu u iznosu od 25% od plafona ukupne omotnice za provedbu programa izravnih plaćanja i iznosi 722.869.150 kuna. U 2013. godini izravna plaćanja isplaćivana su za 2012. godinu u cijelosti iz državnog proračuna i to sa stavke A568024 – Izravna plaćanja u poljoprivredi.</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Povećanje udjela izravnih plaćanja koja nisu vezana uz proizvodnju ('nevezana' plaćanja)</w:t>
            </w:r>
          </w:p>
        </w:tc>
        <w:tc>
          <w:tcPr>
            <w:tcW w:w="1114" w:type="dxa"/>
          </w:tcPr>
          <w:p w:rsidR="00D849AA" w:rsidRDefault="00EE6D95">
            <w:r>
              <w:t>%</w:t>
            </w:r>
          </w:p>
        </w:tc>
        <w:tc>
          <w:tcPr>
            <w:tcW w:w="1114" w:type="dxa"/>
          </w:tcPr>
          <w:p w:rsidR="00D849AA" w:rsidRDefault="00EE6D95">
            <w:r>
              <w:t>51</w:t>
            </w:r>
          </w:p>
        </w:tc>
        <w:tc>
          <w:tcPr>
            <w:tcW w:w="1486" w:type="dxa"/>
          </w:tcPr>
          <w:p w:rsidR="00D849AA" w:rsidRDefault="00EE6D95">
            <w:r>
              <w:t>86</w:t>
            </w:r>
          </w:p>
        </w:tc>
        <w:tc>
          <w:tcPr>
            <w:tcW w:w="1486" w:type="dxa"/>
          </w:tcPr>
          <w:p w:rsidR="00D849AA" w:rsidRDefault="00EE6D95">
            <w:r>
              <w:t>86</w:t>
            </w:r>
          </w:p>
        </w:tc>
        <w:tc>
          <w:tcPr>
            <w:tcW w:w="1486" w:type="dxa"/>
          </w:tcPr>
          <w:p w:rsidR="00D849AA" w:rsidRDefault="00EE6D95">
            <w:r>
              <w:t>86</w:t>
            </w:r>
          </w:p>
        </w:tc>
      </w:tr>
      <w:tr w:rsidR="00D849AA">
        <w:trPr>
          <w:jc w:val="center"/>
        </w:trPr>
        <w:tc>
          <w:tcPr>
            <w:tcW w:w="2229" w:type="dxa"/>
          </w:tcPr>
          <w:p w:rsidR="00D849AA" w:rsidRDefault="00EE6D95">
            <w:pPr>
              <w:pStyle w:val="CellColumn"/>
            </w:pPr>
            <w:r>
              <w:t>Povećanje postotka evidentiranog korištenog poljoprivrednog zemljišta u ARKOD-u u odnosu na posjede evidentirane u Upisniku poljoprivrednih gospodarstava</w:t>
            </w:r>
          </w:p>
        </w:tc>
        <w:tc>
          <w:tcPr>
            <w:tcW w:w="1114" w:type="dxa"/>
          </w:tcPr>
          <w:p w:rsidR="00D849AA" w:rsidRDefault="00EE6D95">
            <w:r>
              <w:t>%</w:t>
            </w:r>
          </w:p>
        </w:tc>
        <w:tc>
          <w:tcPr>
            <w:tcW w:w="1114" w:type="dxa"/>
          </w:tcPr>
          <w:p w:rsidR="00D849AA" w:rsidRDefault="00EE6D95">
            <w:r>
              <w:t>20</w:t>
            </w:r>
          </w:p>
        </w:tc>
        <w:tc>
          <w:tcPr>
            <w:tcW w:w="1486" w:type="dxa"/>
          </w:tcPr>
          <w:p w:rsidR="00D849AA" w:rsidRDefault="00EE6D95">
            <w:r>
              <w:t>100</w:t>
            </w:r>
          </w:p>
        </w:tc>
        <w:tc>
          <w:tcPr>
            <w:tcW w:w="1486" w:type="dxa"/>
          </w:tcPr>
          <w:p w:rsidR="00D849AA" w:rsidRDefault="00EE6D95">
            <w:r>
              <w:t>100</w:t>
            </w:r>
          </w:p>
        </w:tc>
        <w:tc>
          <w:tcPr>
            <w:tcW w:w="1486" w:type="dxa"/>
          </w:tcPr>
          <w:p w:rsidR="00D849AA" w:rsidRDefault="00EE6D95">
            <w:r>
              <w:t>100</w:t>
            </w:r>
          </w:p>
        </w:tc>
      </w:tr>
    </w:tbl>
    <w:p w:rsidR="00D849AA" w:rsidRDefault="00D849AA">
      <w:pPr>
        <w:jc w:val="left"/>
      </w:pPr>
    </w:p>
    <w:p w:rsidR="00D849AA" w:rsidRDefault="00EE6D95">
      <w:pPr>
        <w:pStyle w:val="Naslov6"/>
      </w:pPr>
      <w:r>
        <w:t>A820055 IZRAVNA PLAĆANJA U POLJOPRIVREDI</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A820055</w:t>
            </w:r>
          </w:p>
        </w:tc>
        <w:tc>
          <w:tcPr>
            <w:tcW w:w="1486" w:type="dxa"/>
          </w:tcPr>
          <w:p w:rsidR="00D849AA" w:rsidRDefault="00EE6D95">
            <w:r>
              <w:t>1.708.655.273</w:t>
            </w:r>
          </w:p>
        </w:tc>
        <w:tc>
          <w:tcPr>
            <w:tcW w:w="1486" w:type="dxa"/>
          </w:tcPr>
          <w:p w:rsidR="00D849AA" w:rsidRDefault="00EE6D95">
            <w:r>
              <w:t>167.594.780</w:t>
            </w:r>
          </w:p>
        </w:tc>
        <w:tc>
          <w:tcPr>
            <w:tcW w:w="1486" w:type="dxa"/>
          </w:tcPr>
          <w:p w:rsidR="00D849AA" w:rsidRDefault="00EE6D95">
            <w:r>
              <w:t>167.594.780</w:t>
            </w:r>
          </w:p>
        </w:tc>
        <w:tc>
          <w:tcPr>
            <w:tcW w:w="1486" w:type="dxa"/>
          </w:tcPr>
          <w:p w:rsidR="00D849AA" w:rsidRDefault="00EE6D95">
            <w:r>
              <w:t>167.594.780</w:t>
            </w:r>
          </w:p>
        </w:tc>
        <w:tc>
          <w:tcPr>
            <w:tcW w:w="1486" w:type="dxa"/>
          </w:tcPr>
          <w:p w:rsidR="00D849AA" w:rsidRDefault="00EE6D95">
            <w:r>
              <w:t>9,8</w:t>
            </w:r>
          </w:p>
        </w:tc>
      </w:tr>
    </w:tbl>
    <w:p w:rsidR="00D849AA" w:rsidRDefault="00D849AA">
      <w:pPr>
        <w:jc w:val="left"/>
      </w:pPr>
    </w:p>
    <w:p w:rsidR="00D849AA" w:rsidRDefault="00EE6D95">
      <w:pPr>
        <w:pStyle w:val="Normal6"/>
      </w:pPr>
      <w:r>
        <w:t xml:space="preserve">Osim provedbe Uredbe Vijeća (EZ-a) br. 73/2009 novim Zakonom o potpori poljoprivredi i ruralnom razvoju uređeno je i područje ostalih potpora poljoprivredi i ruralnom razvoju </w:t>
      </w:r>
      <w:r>
        <w:lastRenderedPageBreak/>
        <w:t>koje su u nadležnosti Ministarstva poljoprivrede. One se između ostalih odnose i na plaćanja u iznimno osjetljivim sektorima za koje je Republika Hrvatska dobila mogućnost da iz državnog proračuna može tri godine nakon pristupanja isplaćivati ove potpore koje nisu sukladne Zajedničkoj poljoprivrednoj politici EU u ukupnom godišnjem iznosu od 167.594.780 kuna. Za provedbu Programa izravne potpore sukladno odredbama Zajedničke poljoprivredne politike EU u 2014. godini, kada se isplaćuju potpore za 2013. godinu, otvorena je nova stavka A819058 ZPP - IZRAVNA PLAĆANJA POLJOPRIVREDNIM PROIZVOĐAČIMA.</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Smanjenje broja pojedinačnih poticaja</w:t>
            </w:r>
          </w:p>
        </w:tc>
        <w:tc>
          <w:tcPr>
            <w:tcW w:w="1114" w:type="dxa"/>
          </w:tcPr>
          <w:p w:rsidR="00D849AA" w:rsidRDefault="00EE6D95">
            <w:r>
              <w:t>Broj</w:t>
            </w:r>
          </w:p>
        </w:tc>
        <w:tc>
          <w:tcPr>
            <w:tcW w:w="1114" w:type="dxa"/>
          </w:tcPr>
          <w:p w:rsidR="00D849AA" w:rsidRDefault="00EE6D95">
            <w:r>
              <w:t>37</w:t>
            </w:r>
          </w:p>
        </w:tc>
        <w:tc>
          <w:tcPr>
            <w:tcW w:w="1486" w:type="dxa"/>
          </w:tcPr>
          <w:p w:rsidR="00D849AA" w:rsidRDefault="00EE6D95">
            <w:r>
              <w:t>6</w:t>
            </w:r>
          </w:p>
        </w:tc>
        <w:tc>
          <w:tcPr>
            <w:tcW w:w="1486" w:type="dxa"/>
          </w:tcPr>
          <w:p w:rsidR="00D849AA" w:rsidRDefault="00EE6D95">
            <w:r>
              <w:t>6</w:t>
            </w:r>
          </w:p>
        </w:tc>
        <w:tc>
          <w:tcPr>
            <w:tcW w:w="1486" w:type="dxa"/>
          </w:tcPr>
          <w:p w:rsidR="00D849AA" w:rsidRDefault="00EE6D95">
            <w:r>
              <w:t>6</w:t>
            </w:r>
          </w:p>
        </w:tc>
      </w:tr>
    </w:tbl>
    <w:p w:rsidR="00D849AA" w:rsidRDefault="00D849AA">
      <w:pPr>
        <w:jc w:val="left"/>
      </w:pPr>
    </w:p>
    <w:p w:rsidR="00D849AA" w:rsidRDefault="00EE6D95">
      <w:pPr>
        <w:pStyle w:val="Naslov6"/>
      </w:pPr>
      <w:r>
        <w:t>A821058 ZPP - MJERE UREĐENJA TRŽIŠTA POLJOPRIVREDNIH PROIZVODA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A821058</w:t>
            </w:r>
          </w:p>
        </w:tc>
        <w:tc>
          <w:tcPr>
            <w:tcW w:w="1486" w:type="dxa"/>
          </w:tcPr>
          <w:p w:rsidR="00D849AA" w:rsidRDefault="00EE6D95">
            <w:r>
              <w:t>00</w:t>
            </w:r>
          </w:p>
        </w:tc>
        <w:tc>
          <w:tcPr>
            <w:tcW w:w="1486" w:type="dxa"/>
          </w:tcPr>
          <w:p w:rsidR="00D849AA" w:rsidRDefault="00EE6D95">
            <w:r>
              <w:t>126.320.306</w:t>
            </w:r>
          </w:p>
        </w:tc>
        <w:tc>
          <w:tcPr>
            <w:tcW w:w="1486" w:type="dxa"/>
          </w:tcPr>
          <w:p w:rsidR="00D849AA" w:rsidRDefault="00EE6D95">
            <w:r>
              <w:t>131.320.305</w:t>
            </w:r>
          </w:p>
        </w:tc>
        <w:tc>
          <w:tcPr>
            <w:tcW w:w="1486" w:type="dxa"/>
          </w:tcPr>
          <w:p w:rsidR="00D849AA" w:rsidRDefault="00EE6D95">
            <w:r>
              <w:t>131.320.305</w:t>
            </w:r>
          </w:p>
        </w:tc>
        <w:tc>
          <w:tcPr>
            <w:tcW w:w="1486" w:type="dxa"/>
          </w:tcPr>
          <w:p w:rsidR="00D849AA" w:rsidRDefault="00EE6D95">
            <w:r>
              <w:t>0,0</w:t>
            </w:r>
          </w:p>
        </w:tc>
      </w:tr>
    </w:tbl>
    <w:p w:rsidR="00D849AA" w:rsidRDefault="00D849AA">
      <w:pPr>
        <w:jc w:val="left"/>
      </w:pPr>
    </w:p>
    <w:p w:rsidR="00D849AA" w:rsidRDefault="00EE6D95">
      <w:pPr>
        <w:pStyle w:val="Normal6"/>
      </w:pPr>
      <w:r>
        <w:t xml:space="preserve">Zakon o zajedničkoj organizaciji tržišta poljoprivrednih proizvoda i posebnim mjerama i pravilima vezanim za tržište poljoprivrednih proizvoda (»Narodne novine«, br. 82/13) osigurava primjenu mjera uređenja tržišta poljoprivrednih i prehrambenih proizvoda temeljem Uredbe Vijeća br. 1234/2007 kroz sustav tržišnih intervencija  te mjera informiranja i promocije za poljoprivredne proizvode </w:t>
      </w:r>
    </w:p>
    <w:p w:rsidR="00D849AA" w:rsidRDefault="00EE6D95">
      <w:pPr>
        <w:pStyle w:val="Normal6"/>
      </w:pPr>
      <w:r>
        <w:t xml:space="preserve">Zakon o uređenju tržišta poljoprivrednih proizvoda obuhvaća širok spektar mjera i pravila koje su uređene Uredbom 1234/2007 godine  i to: mjere tržnih intervencija, pravila vezana uz trženje i proizvodnju, pravila tržišnog natjecanja, posebne odredbe za pojedine sektore i mjere informiranja i promocije.  </w:t>
      </w:r>
    </w:p>
    <w:p w:rsidR="00D849AA" w:rsidRDefault="00EE6D95">
      <w:pPr>
        <w:pStyle w:val="Normal6"/>
      </w:pPr>
      <w:r>
        <w:t xml:space="preserve">Najintenzivnija je provedba mjera u području: </w:t>
      </w:r>
    </w:p>
    <w:p w:rsidR="00D849AA" w:rsidRDefault="00EE6D95">
      <w:pPr>
        <w:pStyle w:val="Normal6"/>
      </w:pPr>
      <w:r>
        <w:t xml:space="preserve">- tržnih intervencija (javne intervencije, potpora privatnom skladištenju, posebne interventne mjere, prilagodba ponude zahtjevima tržišta, proizvodna ograničenja i sustav posebnih pomoći); </w:t>
      </w:r>
    </w:p>
    <w:p w:rsidR="00D849AA" w:rsidRDefault="00EE6D95">
      <w:pPr>
        <w:pStyle w:val="Normal6"/>
      </w:pPr>
      <w:r>
        <w:t xml:space="preserve">-  posebne mjere za pojedine sektore (mlijeko i mliječni proizvodi, šećer, vino i hmelj). </w:t>
      </w:r>
    </w:p>
    <w:p w:rsidR="00D849AA" w:rsidRDefault="00EE6D95">
      <w:pPr>
        <w:pStyle w:val="Normal6"/>
      </w:pPr>
      <w:r>
        <w:t xml:space="preserve">- sustav trgovine s trećim zemljama. Republika Hrvatska, odnosno tvrtke, imaju pravo participirati u mjerama izvoznih subvencija koje provodi Europska Komisija.  </w:t>
      </w:r>
    </w:p>
    <w:p w:rsidR="00D849AA" w:rsidRDefault="00EE6D95">
      <w:pPr>
        <w:pStyle w:val="Normal6"/>
      </w:pPr>
      <w:r>
        <w:t xml:space="preserve">Slijedom toga u području 21 sektora, koje pokriva uređenje tržišta, u primjeni su različite mjere čiju provedbu nalaže Europska komisija. Stoga u proračunu Republike Hrvatske nužno je osigurati financijska sredstva za provedbu tekućih mjera, ali i osigurati sredstva za mjere koje mogu biti pokrenute od strane EU komisije. Pri tome stalna je provedba jednog dijela mjera kao što su potpore za nacionalni pčelarski program, potpore za shemu školskog voća, nacionalni vinarski program, potpore za shemu školskog mlijeka, potpore za mjere informiranja i promocije te proizvođačke organizacije u sektoru voća i povrća. Povremene aktivnosti ovisno o odlukama Europske Komisije pokreću se za javne </w:t>
      </w:r>
      <w:r>
        <w:lastRenderedPageBreak/>
        <w:t>intervencije (interventne kupnje i prodaje roba, privatno skladištenje) te iste nije sa sigurnošću moguće predviđati. Planirana sredstva za provedbu ovih mjera u prvom koraku se moraju osigurati u 100% iznosu na poziciji državnog proračuna, a tek po provođenju mjere može se tražiti povrat sredstva od EU i on se zbog rokova isplate ne odražava na godinu troška već veže jednu ili čak dvije proračunske godine. Isto tako moguće su nepredviđene interventne mjere (kriza na tržištu uslijed pada cijena, pojave biljnih ili životinjskih bolesti) uslijed kojih je moguće pokretanje mjera pomoći, te se stoga moraju predvidjeti sredstva proračuna u 100% iznosu sredstva za provedbu takvih mjera.</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Povećanje broja mjera koje se nalaze u primjeni iz Zakona o uređenju tržišta poljoprivrednih proizvoda</w:t>
            </w:r>
          </w:p>
        </w:tc>
        <w:tc>
          <w:tcPr>
            <w:tcW w:w="1114" w:type="dxa"/>
          </w:tcPr>
          <w:p w:rsidR="00D849AA" w:rsidRDefault="00EE6D95">
            <w:r>
              <w:t>Broj</w:t>
            </w:r>
          </w:p>
        </w:tc>
        <w:tc>
          <w:tcPr>
            <w:tcW w:w="1114" w:type="dxa"/>
          </w:tcPr>
          <w:p w:rsidR="00D849AA" w:rsidRDefault="00EE6D95">
            <w:r>
              <w:t>1</w:t>
            </w:r>
          </w:p>
        </w:tc>
        <w:tc>
          <w:tcPr>
            <w:tcW w:w="1486" w:type="dxa"/>
          </w:tcPr>
          <w:p w:rsidR="00D849AA" w:rsidRDefault="00EE6D95">
            <w:r>
              <w:t>7</w:t>
            </w:r>
          </w:p>
        </w:tc>
        <w:tc>
          <w:tcPr>
            <w:tcW w:w="1486" w:type="dxa"/>
          </w:tcPr>
          <w:p w:rsidR="00D849AA" w:rsidRDefault="00EE6D95">
            <w:r>
              <w:t>7</w:t>
            </w:r>
          </w:p>
        </w:tc>
        <w:tc>
          <w:tcPr>
            <w:tcW w:w="1486" w:type="dxa"/>
          </w:tcPr>
          <w:p w:rsidR="00D849AA" w:rsidRDefault="00EE6D95">
            <w:r>
              <w:t>7</w:t>
            </w:r>
          </w:p>
        </w:tc>
      </w:tr>
      <w:tr w:rsidR="00D849AA">
        <w:trPr>
          <w:jc w:val="center"/>
        </w:trPr>
        <w:tc>
          <w:tcPr>
            <w:tcW w:w="2229" w:type="dxa"/>
          </w:tcPr>
          <w:p w:rsidR="00D849AA" w:rsidRDefault="00EE6D95">
            <w:pPr>
              <w:pStyle w:val="CellColumn"/>
            </w:pPr>
            <w:r>
              <w:t>Povećanje broja sektora s proizvođačkim organizacijama</w:t>
            </w:r>
          </w:p>
        </w:tc>
        <w:tc>
          <w:tcPr>
            <w:tcW w:w="1114" w:type="dxa"/>
          </w:tcPr>
          <w:p w:rsidR="00D849AA" w:rsidRDefault="00EE6D95">
            <w:r>
              <w:t>Broj</w:t>
            </w:r>
          </w:p>
        </w:tc>
        <w:tc>
          <w:tcPr>
            <w:tcW w:w="1114" w:type="dxa"/>
          </w:tcPr>
          <w:p w:rsidR="00D849AA" w:rsidRDefault="00EE6D95">
            <w:r>
              <w:t>0</w:t>
            </w:r>
          </w:p>
        </w:tc>
        <w:tc>
          <w:tcPr>
            <w:tcW w:w="1486" w:type="dxa"/>
          </w:tcPr>
          <w:p w:rsidR="00D849AA" w:rsidRDefault="00EE6D95">
            <w:r>
              <w:t>2</w:t>
            </w:r>
          </w:p>
        </w:tc>
        <w:tc>
          <w:tcPr>
            <w:tcW w:w="1486" w:type="dxa"/>
          </w:tcPr>
          <w:p w:rsidR="00D849AA" w:rsidRDefault="00EE6D95">
            <w:r>
              <w:t>3</w:t>
            </w:r>
          </w:p>
        </w:tc>
        <w:tc>
          <w:tcPr>
            <w:tcW w:w="1486" w:type="dxa"/>
          </w:tcPr>
          <w:p w:rsidR="00D849AA" w:rsidRDefault="00EE6D95">
            <w:r>
              <w:t>4</w:t>
            </w:r>
          </w:p>
        </w:tc>
      </w:tr>
    </w:tbl>
    <w:p w:rsidR="00D849AA" w:rsidRDefault="00D849AA">
      <w:pPr>
        <w:jc w:val="left"/>
      </w:pPr>
    </w:p>
    <w:p w:rsidR="00D849AA" w:rsidRDefault="00EE6D95">
      <w:pPr>
        <w:pStyle w:val="Naslov6"/>
      </w:pPr>
      <w:r>
        <w:t>T821044 HORIZONTALNE MJERE POTPORE  U PREHRAMBENO - PRERAĐIVAČKOJ INDUSTRIJI</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T821044</w:t>
            </w:r>
          </w:p>
        </w:tc>
        <w:tc>
          <w:tcPr>
            <w:tcW w:w="1486" w:type="dxa"/>
          </w:tcPr>
          <w:p w:rsidR="00D849AA" w:rsidRDefault="00EE6D95">
            <w:r>
              <w:t>00</w:t>
            </w:r>
          </w:p>
        </w:tc>
        <w:tc>
          <w:tcPr>
            <w:tcW w:w="1486" w:type="dxa"/>
          </w:tcPr>
          <w:p w:rsidR="00D849AA" w:rsidRDefault="00EE6D95">
            <w:r>
              <w:t>50.000.000</w:t>
            </w:r>
          </w:p>
        </w:tc>
        <w:tc>
          <w:tcPr>
            <w:tcW w:w="1486" w:type="dxa"/>
          </w:tcPr>
          <w:p w:rsidR="00D849AA" w:rsidRDefault="00EE6D95">
            <w:r>
              <w:t>50.000.000</w:t>
            </w:r>
          </w:p>
        </w:tc>
        <w:tc>
          <w:tcPr>
            <w:tcW w:w="1486" w:type="dxa"/>
          </w:tcPr>
          <w:p w:rsidR="00D849AA" w:rsidRDefault="00EE6D95">
            <w:r>
              <w:t>30.000.000</w:t>
            </w:r>
          </w:p>
        </w:tc>
        <w:tc>
          <w:tcPr>
            <w:tcW w:w="1486" w:type="dxa"/>
          </w:tcPr>
          <w:p w:rsidR="00D849AA" w:rsidRDefault="00EE6D95">
            <w:r>
              <w:t>0,0</w:t>
            </w:r>
          </w:p>
        </w:tc>
      </w:tr>
    </w:tbl>
    <w:p w:rsidR="00D849AA" w:rsidRDefault="00D849AA">
      <w:pPr>
        <w:jc w:val="left"/>
      </w:pPr>
    </w:p>
    <w:p w:rsidR="00D849AA" w:rsidRDefault="00EE6D95">
      <w:pPr>
        <w:pStyle w:val="Normal6"/>
      </w:pPr>
      <w:r>
        <w:t>Mjerom potpore područjima s težim uvjetima gospodarenja za brdsko-planinska područja i otoke te ostala područja (obuhvaćaju katastarske općine više nadmorske visine i povećanog nagiba terena, i to one s prosječnom nadmorskom visinom od najmanje 600 m ili  prosječnim nagibom terena od najmanje 20% ili  prosječnom nadmorskom visinom od 500 – 600 m, uz prosječni nagib terena od najmanje 15% , te otoke i poluotok Pelješac) podupire se gospodarenje na područjima s otežanim uvjetima proizvodnje  a time i očuvanju naseljenosti kao i bioraznolikosti područja RH.</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Broj korisnika potpore</w:t>
            </w:r>
          </w:p>
        </w:tc>
        <w:tc>
          <w:tcPr>
            <w:tcW w:w="1114" w:type="dxa"/>
          </w:tcPr>
          <w:p w:rsidR="00D849AA" w:rsidRDefault="00EE6D95">
            <w:r>
              <w:t>broj</w:t>
            </w:r>
          </w:p>
        </w:tc>
        <w:tc>
          <w:tcPr>
            <w:tcW w:w="1114" w:type="dxa"/>
          </w:tcPr>
          <w:p w:rsidR="00D849AA" w:rsidRDefault="00EE6D95">
            <w:r>
              <w:t>60.176</w:t>
            </w:r>
          </w:p>
        </w:tc>
        <w:tc>
          <w:tcPr>
            <w:tcW w:w="1486" w:type="dxa"/>
          </w:tcPr>
          <w:p w:rsidR="00D849AA" w:rsidRDefault="00EE6D95">
            <w:r>
              <w:t>61.981</w:t>
            </w:r>
          </w:p>
        </w:tc>
        <w:tc>
          <w:tcPr>
            <w:tcW w:w="1486" w:type="dxa"/>
          </w:tcPr>
          <w:p w:rsidR="00D849AA" w:rsidRDefault="00EE6D95">
            <w:r>
              <w:t>63.840</w:t>
            </w:r>
          </w:p>
        </w:tc>
        <w:tc>
          <w:tcPr>
            <w:tcW w:w="1486" w:type="dxa"/>
          </w:tcPr>
          <w:p w:rsidR="00D849AA" w:rsidRDefault="00EE6D95">
            <w:r>
              <w:t>65.755</w:t>
            </w:r>
          </w:p>
        </w:tc>
      </w:tr>
    </w:tbl>
    <w:p w:rsidR="00D849AA" w:rsidRDefault="00D849AA">
      <w:pPr>
        <w:jc w:val="left"/>
      </w:pPr>
    </w:p>
    <w:p w:rsidR="00B151E0" w:rsidRDefault="00B151E0" w:rsidP="00B151E0">
      <w:pPr>
        <w:jc w:val="left"/>
      </w:pPr>
    </w:p>
    <w:p w:rsidR="00B151E0" w:rsidRDefault="00B151E0" w:rsidP="00B151E0">
      <w:pPr>
        <w:pStyle w:val="Naslov4"/>
      </w:pPr>
      <w:r>
        <w:lastRenderedPageBreak/>
        <w:t>OBRAZLOŽENJE PROGRAMA</w:t>
      </w:r>
    </w:p>
    <w:p w:rsidR="00D849AA" w:rsidRDefault="00EE6D95">
      <w:pPr>
        <w:pStyle w:val="Naslov5"/>
      </w:pPr>
      <w:r>
        <w:t>3003 VETERINARSTVO I SIGURNOST HRANE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3003</w:t>
            </w:r>
          </w:p>
        </w:tc>
        <w:tc>
          <w:tcPr>
            <w:tcW w:w="1486" w:type="dxa"/>
          </w:tcPr>
          <w:p w:rsidR="00D849AA" w:rsidRDefault="00EE6D95">
            <w:r>
              <w:t>350.489.305</w:t>
            </w:r>
          </w:p>
        </w:tc>
        <w:tc>
          <w:tcPr>
            <w:tcW w:w="1486" w:type="dxa"/>
          </w:tcPr>
          <w:p w:rsidR="00D849AA" w:rsidRDefault="00EE6D95">
            <w:r>
              <w:t>302.185.755</w:t>
            </w:r>
          </w:p>
        </w:tc>
        <w:tc>
          <w:tcPr>
            <w:tcW w:w="1486" w:type="dxa"/>
          </w:tcPr>
          <w:p w:rsidR="00D849AA" w:rsidRDefault="00EE6D95">
            <w:r>
              <w:t>262.752.700</w:t>
            </w:r>
          </w:p>
        </w:tc>
        <w:tc>
          <w:tcPr>
            <w:tcW w:w="1486" w:type="dxa"/>
          </w:tcPr>
          <w:p w:rsidR="00D849AA" w:rsidRDefault="00EE6D95">
            <w:r>
              <w:t>261.509.000</w:t>
            </w:r>
          </w:p>
        </w:tc>
        <w:tc>
          <w:tcPr>
            <w:tcW w:w="1486" w:type="dxa"/>
          </w:tcPr>
          <w:p w:rsidR="00D849AA" w:rsidRDefault="00EE6D95">
            <w:r>
              <w:t>86,2</w:t>
            </w:r>
          </w:p>
        </w:tc>
      </w:tr>
    </w:tbl>
    <w:p w:rsidR="00D849AA" w:rsidRDefault="00D849AA">
      <w:pPr>
        <w:jc w:val="left"/>
      </w:pPr>
    </w:p>
    <w:p w:rsidR="00D849AA" w:rsidRDefault="00EE6D95">
      <w:pPr>
        <w:pStyle w:val="Naslov6"/>
      </w:pPr>
      <w:r>
        <w:t>Opis programa</w:t>
      </w:r>
    </w:p>
    <w:p w:rsidR="00D849AA" w:rsidRDefault="00EE6D95">
      <w:pPr>
        <w:pStyle w:val="Normal5"/>
      </w:pPr>
      <w:r>
        <w:t xml:space="preserve">Zbog sve većeg broja bolesti i kriza u području sigurnosti hrane i hrane za životinje, te zdravlja životinja i zdravstvene zaštite bilja, globalizacije i liberalizacije tržišta, raznolikog izbora hrane te sve većih zahtjeva potrošača uveden je integrirani pristup sigurnosti hrane čiji je cilj osiguranje visoke razine sigurnosti hrane i hrane za životinje a u svrhu zaštite zdravlja ljudi, životinja te zdravstvene zaštite bilja te zaštite interesa potrošača.  </w:t>
      </w:r>
    </w:p>
    <w:p w:rsidR="00D849AA" w:rsidRDefault="00EE6D95">
      <w:pPr>
        <w:pStyle w:val="Normal5"/>
      </w:pPr>
      <w:r>
        <w:t xml:space="preserve">Sustav koji osigurava sigurnost hrane zajednički je svim državama Europske unije, no jednako tako omogućuje raznolikost budući da ostavlja prostor za proizvodnju poljoprivrednih i prehrambenih proizvoda čija je posebna kakvoća vezana uz određene regije ili određene tradicionalne načine proizvodnje.  </w:t>
      </w:r>
    </w:p>
    <w:p w:rsidR="00D849AA" w:rsidRDefault="00EE6D95">
      <w:pPr>
        <w:pStyle w:val="Normal5"/>
      </w:pPr>
      <w:r>
        <w:t xml:space="preserve">Sustav sigurnosti i kakvoće hrane i hrane za životinje uključuje nadležna tijela -  Ministarstvo poljoprivrede (MP) i Ministarstvo zdravlja (MIZ), tijela nadležna za provođenje službenih kontrola hrane i hrane za životinje (Ministarstvo poljoprivrede, Ministarstvo zdravlja  i Državni inspektorat), te druge institucije u Republici Hrvatskoj (kontrolna tijela, službeni i referentni laboratoriji, Hrvatska agencija za hranu). U navedenom sustavu, MP predstavlja nacionalnu kontakt točku prema Europskoj komisiji u području sigurnosti hrane i hrane za životinje, odgovorno je za  koordinaciju svih aktivnosti u području službenih kontrola, između svih tijela i institucija u RH uključenih u sustav sigurnosti hrane i hrane za životinje.  </w:t>
      </w:r>
    </w:p>
    <w:p w:rsidR="00D849AA" w:rsidRDefault="00EE6D95">
      <w:pPr>
        <w:pStyle w:val="Normal5"/>
      </w:pPr>
      <w:r>
        <w:t xml:space="preserve">Unapređenje sustava sigurnosti i kakvoće hrane i hrane za životinje u narednom trogodišnjem razdoblju MP će ostvariti provedbom monitoringa ostataka štetnih tvari u hrani i živim životinjama, monitoringa hrane za životinje, praćenja mora i školjkaša, unapređenjem HR RASFF sustava, uspostavom sustava službenih i referentnih laboratorija za hranu i hranu za životinje za potrebe službenih kontrola, komunikacijom sa javnosti i jačanjem svijesti javnosti o sigurnosti hrane te uspostavom sustava certifikacijskih tijela.  </w:t>
      </w:r>
    </w:p>
    <w:p w:rsidR="00D849AA" w:rsidRDefault="00EE6D95">
      <w:pPr>
        <w:pStyle w:val="Normal5"/>
      </w:pPr>
      <w:r>
        <w:t xml:space="preserve">U cilju unapređenja sustava sigurnosti i kakvoće hrane i hrane za životinje nužno je provoditi službene kontrole hrane životinjskog podrijetla i hrane za životinje u objektima u poslovanju s hranom životinjskog podrijetla i hranom za životinje, koje se moraju provoditi redovito na temelju analize rizika i s odgovarajućom učestalosti, prema planu kontrola u cilju zaštite zdravlja ljudi i zaštite interesa potrošača, te zaštite zdravlja i dobrobiti životinja, a uključuju i uzorkovanje i laboratorijske analize, kada uzorke pri provođenju službenih kontrola u objektima u poslovanju s hranom životinjskog podrijetla i hranom za životinje uzima državni veterinarski inspektor odnosno službeni veterinar sukladno propisanom. Službene kontrole provode se i u međunarodnom prometu u cilju stavljanja na tržište EU, Republike Hrvatske te trećih zemalja zdravstveno ispravne odnosno sigurne hrane.  </w:t>
      </w:r>
    </w:p>
    <w:p w:rsidR="00D849AA" w:rsidRDefault="00EE6D95">
      <w:pPr>
        <w:pStyle w:val="Normal5"/>
      </w:pPr>
      <w:r>
        <w:t xml:space="preserve">Strategija kojom se učinkovito smanjuje pojava zaraznih bolesti životinja, identična je strategiji Europske unije  „bolje spriječiti nego liječiti“ („prevention is better than cure”), kojom se može doći do zacrtanog cilja. Sprječavanjem pojave zaraznih bolesti, znatno se umanjuje sociološko-ekonomski učinak kojeg suzbijanje zaraznih bolesti može imati na posjednike, te državni proračun.  Cilj je staviti veći fokus na preventivne mjere, nadziranje, kontrolu i istraživanje u svrhu smanjenja broja pojave zaraznih bolesti, a na taj način umanjiti </w:t>
      </w:r>
      <w:r>
        <w:lastRenderedPageBreak/>
        <w:t xml:space="preserve">negativne učinke do kojih dolazi nakon izbijanja zaraznih bolesti životinja. Također takva strategija objedinjuje puno više od same kontrole zaraznih bolesti životinja, što više, ona  u zdravlju životinja objedinjuje i javno zdravstvo, sigurnost hrane, dobrobit životinja, održivi razvoj i istraživanje. Prioriteti moraju biti razmotreni na način da se osiguraju sredstva i izvori u područjima od najveće koristi za građane Republike Hrvatske. Očekivani rezultati ovakve strategije moraju biti mjerljivi, snažni i učinkoviti.  </w:t>
      </w:r>
    </w:p>
    <w:p w:rsidR="00D849AA" w:rsidRDefault="00EE6D95">
      <w:pPr>
        <w:pStyle w:val="Normal5"/>
      </w:pPr>
      <w:r>
        <w:t xml:space="preserve">Redovito se izrađuju i ažuriraju državni programi monitoringa rezidua, mora i živih školjkaša, te hrane za životinje čija provedba osigurava stavljanje na tržište zdravstveno ispravne hrane životinjskog podrijetla.  </w:t>
      </w:r>
    </w:p>
    <w:p w:rsidR="00D849AA" w:rsidRDefault="00EE6D95">
      <w:pPr>
        <w:pStyle w:val="Normal5"/>
      </w:pPr>
      <w:r>
        <w:t>Izrađen je Nacionalni program unapređenja objekata u poslovanju s hranom životinjskog podrijetla i objekata u poslovanju s nusproizvodima životinjskog podrijetla koji nisu za prehranu ljudi, koji ima za cilj u konačnici usklađenost svih objekata sa propisanim zahtjevima usklađenim sa standardima EU. Provođenjem Programa omogućuje se subjektima u poslovanju s hranom životinjskog podrijetla i s nusproizvodima sustavno usklađivanje ne dovodeći u pitanje sigurnost hrane koja se stavlja na tržište.</w:t>
      </w:r>
    </w:p>
    <w:p w:rsidR="00D849AA" w:rsidRDefault="00EE6D95">
      <w:pPr>
        <w:pStyle w:val="Naslov6"/>
      </w:pPr>
      <w:r>
        <w:t>Zakonske i druge pravne osnove</w:t>
      </w:r>
    </w:p>
    <w:p w:rsidR="00D849AA" w:rsidRDefault="00EE6D95">
      <w:pPr>
        <w:pStyle w:val="Normal5"/>
      </w:pPr>
      <w:r>
        <w:t xml:space="preserve">- Zakon o veterinarstvu NN, br. 82/13) </w:t>
      </w:r>
    </w:p>
    <w:p w:rsidR="00D849AA" w:rsidRDefault="00EE6D95">
      <w:pPr>
        <w:pStyle w:val="Normal5"/>
      </w:pPr>
      <w:r>
        <w:t xml:space="preserve">- Zakon o hrani (NN br. 81/13) </w:t>
      </w:r>
    </w:p>
    <w:p w:rsidR="00D849AA" w:rsidRDefault="00EE6D95">
      <w:pPr>
        <w:pStyle w:val="Normal5"/>
      </w:pPr>
      <w:r>
        <w:t xml:space="preserve">- Zakon o službenim kontrolama koje se provode sukladno propisima o hrani, hrani za životinje, o zdravlju i dobrobiti životinja (NN, 81/13) </w:t>
      </w:r>
    </w:p>
    <w:p w:rsidR="00D849AA" w:rsidRDefault="00EE6D95">
      <w:pPr>
        <w:pStyle w:val="Normal5"/>
      </w:pPr>
      <w:r>
        <w:t xml:space="preserve">- Zakon o higijeni hrane i mikrobiološkim kriterijima za hranu  </w:t>
      </w:r>
    </w:p>
    <w:p w:rsidR="00D849AA" w:rsidRDefault="00EE6D95">
      <w:pPr>
        <w:pStyle w:val="Normal5"/>
      </w:pPr>
      <w:r>
        <w:t xml:space="preserve">- Pravilnik o visini pristojbi i naknada za službene kontrole hrane životinjskog podrijetla i hrane za životinje („Narodne novine“, broj 79/09-107/09),;  </w:t>
      </w:r>
    </w:p>
    <w:p w:rsidR="00D849AA" w:rsidRDefault="00EE6D95">
      <w:pPr>
        <w:pStyle w:val="Normal5"/>
      </w:pPr>
      <w:r>
        <w:t xml:space="preserve">- Pravilnik o izdavanju certifikata za žive životinje i proizvode životinjskog podrijetla u međunarodnom prometu („Narodne novine“, broj 137/08 i 97/09);  </w:t>
      </w:r>
    </w:p>
    <w:p w:rsidR="00D849AA" w:rsidRDefault="00EE6D95">
      <w:pPr>
        <w:pStyle w:val="Normal5"/>
      </w:pPr>
      <w:r>
        <w:t xml:space="preserve">- Godišnja Naredba o mjerama zaštite životinja od zaraznih i nametničkih bolesti i njihovom financiranju  </w:t>
      </w:r>
    </w:p>
    <w:p w:rsidR="00D849AA" w:rsidRDefault="00EE6D95">
      <w:pPr>
        <w:pStyle w:val="Normal5"/>
      </w:pPr>
      <w:r>
        <w:t xml:space="preserve">- Pravilnik o veterinarskim uvjetima za stavljanje u promet goveda i svinja („Narodne novine“ br. 71/2012)  </w:t>
      </w:r>
    </w:p>
    <w:p w:rsidR="00D849AA" w:rsidRDefault="00EE6D95">
      <w:pPr>
        <w:pStyle w:val="Normal5"/>
      </w:pPr>
      <w:r>
        <w:t xml:space="preserve">- Pravilnik o veterinarsko-zdravstvenim uvjetima za stavljanje u promet ovaca i koza („Narodne novine“ br.  51/2009)  </w:t>
      </w:r>
    </w:p>
    <w:p w:rsidR="00D849AA" w:rsidRDefault="00EE6D95">
      <w:pPr>
        <w:pStyle w:val="Normal5"/>
      </w:pPr>
      <w:r>
        <w:t xml:space="preserve">- Pravilnik za kontrolu salmonela i drugih određenih uzročnika zoonoza koji se prenose hranom („Narodne novine“ br., 105/06)  </w:t>
      </w:r>
    </w:p>
    <w:p w:rsidR="00D849AA" w:rsidRDefault="00EE6D95">
      <w:pPr>
        <w:pStyle w:val="Normal5"/>
      </w:pPr>
      <w:r>
        <w:t>- Pravilnik o smjernicama za izradu i provedbu programa nadziranja influence ptica u peradi i divljih ptica („Narodne novine“ br. 71/2012)</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Cilj 1. Povećanje sigurne hrane životinjskog podrijetla i hrane za životinje na tržištu Republike Hrvatske</w:t>
      </w:r>
    </w:p>
    <w:p w:rsidR="00D849AA" w:rsidRDefault="00EE6D95">
      <w:pPr>
        <w:pStyle w:val="Normal6"/>
      </w:pPr>
      <w:r>
        <w:t>Provođenjem službenih kontrola hrane životinjskog podrijetla i hrane za životinje u objektima u poslovanju s hranom osigurava se da objekt udovoljava propisima o hrani te se sprečava stavljanje na tržište zdravstveno neispravne hrane.</w:t>
      </w:r>
    </w:p>
    <w:p w:rsidR="00B151E0" w:rsidRDefault="00B151E0">
      <w:pPr>
        <w:pStyle w:val="Naslov8"/>
        <w:jc w:val="left"/>
      </w:pPr>
    </w:p>
    <w:p w:rsidR="00B151E0" w:rsidRDefault="00B151E0">
      <w:pPr>
        <w:pStyle w:val="Naslov8"/>
        <w:jc w:val="left"/>
      </w:pPr>
    </w:p>
    <w:p w:rsidR="00D849AA" w:rsidRDefault="00EE6D95">
      <w:pPr>
        <w:pStyle w:val="Naslov8"/>
        <w:jc w:val="left"/>
      </w:pPr>
      <w:r>
        <w:lastRenderedPageBreak/>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Povećanje sigurnosti hrane životinjskog podrijetla i hrane za životinje na tržištu RH</w:t>
            </w:r>
          </w:p>
        </w:tc>
        <w:tc>
          <w:tcPr>
            <w:tcW w:w="1114" w:type="dxa"/>
          </w:tcPr>
          <w:p w:rsidR="00D849AA" w:rsidRDefault="00EE6D95">
            <w:r>
              <w:t>%</w:t>
            </w:r>
          </w:p>
        </w:tc>
        <w:tc>
          <w:tcPr>
            <w:tcW w:w="1114" w:type="dxa"/>
          </w:tcPr>
          <w:p w:rsidR="00D849AA" w:rsidRDefault="00EE6D95">
            <w:r>
              <w:t>0</w:t>
            </w:r>
          </w:p>
        </w:tc>
        <w:tc>
          <w:tcPr>
            <w:tcW w:w="1486" w:type="dxa"/>
          </w:tcPr>
          <w:p w:rsidR="00D849AA" w:rsidRDefault="00EE6D95">
            <w:r>
              <w:t>80</w:t>
            </w:r>
          </w:p>
        </w:tc>
        <w:tc>
          <w:tcPr>
            <w:tcW w:w="1486" w:type="dxa"/>
          </w:tcPr>
          <w:p w:rsidR="00D849AA" w:rsidRDefault="00EE6D95">
            <w:r>
              <w:t>90</w:t>
            </w:r>
          </w:p>
        </w:tc>
        <w:tc>
          <w:tcPr>
            <w:tcW w:w="1486" w:type="dxa"/>
          </w:tcPr>
          <w:p w:rsidR="00D849AA" w:rsidRDefault="00EE6D95">
            <w:r>
              <w:t>99</w:t>
            </w:r>
          </w:p>
        </w:tc>
      </w:tr>
    </w:tbl>
    <w:p w:rsidR="00D849AA" w:rsidRDefault="00D849AA">
      <w:pPr>
        <w:jc w:val="left"/>
      </w:pPr>
    </w:p>
    <w:p w:rsidR="00D849AA" w:rsidRDefault="00EE6D95">
      <w:pPr>
        <w:pStyle w:val="Naslov7"/>
      </w:pPr>
      <w:r>
        <w:t>Cilj 2.  Unaprjeđenje  HR RASFF sustava</w:t>
      </w:r>
    </w:p>
    <w:p w:rsidR="00D849AA" w:rsidRDefault="00EE6D95">
      <w:pPr>
        <w:pStyle w:val="Normal6"/>
      </w:pPr>
      <w:r>
        <w:t xml:space="preserve">Unapređenjem HR Sustava brzog uzbunjivanja za hranu i hranu za životinje (eng. Rapid Alert System for Food and Feed - RASFF) omogućava se brza i djelotvorna međusobna razmjena informacija sa EU RASFF-om, koji je krovna organizacija za brzo uzbunjivanje u EU, i članicama mreže RASFF sustava. Kako bi HR RASFF sustav učinkovito funkcionirao uspostavljena je nacionalna procedura brzog uzbunjivanja za hranu i hranu za životinje te 24-satno dežurstvo nacionalne kontakt točke  </w:t>
      </w:r>
    </w:p>
    <w:p w:rsidR="00D849AA" w:rsidRDefault="00EE6D95">
      <w:pPr>
        <w:pStyle w:val="Normal6"/>
      </w:pPr>
      <w:r>
        <w:t xml:space="preserve">Slijedom navedenog, radi osiguravanja pravovremene i kontinuirane komunikacije i razmjene podataka te pravovremenog poduzimanja aktivnosti i mjera u slučaju potrebe za zaštitom zdravlja ljudi i/ili sprječavanjem pojave bolesti ili širenja bolesti koje potječu od hrane ili hrane za životinje potrebno je adekvatno educirati sudionike HR RASFF sustava navedene u nacionalnoj proceduri kao i osobe koje provode službene kontrole te osigurati informatičku i komunikacijsku opremu. Potrebno je i osigurati sredstva za održavanje pasivnog 24-satnog dežurstva za nacionalnu kontakt točku i prikupljanje podataka vezano uz ispitivanja uzoraka uzetih tijekom provođenje službenih kontrola te ishodovanje procjena rizika i izrade analiza rizika. </w:t>
      </w:r>
    </w:p>
    <w:p w:rsidR="00D849AA" w:rsidRDefault="00EE6D95">
      <w:pPr>
        <w:pStyle w:val="Normal6"/>
      </w:pPr>
      <w:r>
        <w:t>Cilj je osiguranje pravovremenog poduzimanja aktivnosti i mjera osoba uključenih u provedbu službenih kontrola hrane i hrane za životinje te nesmetano i brzo kolanje informacija i podataka potrebnih za svrsishodno funkcioniranje RASFF sustava te na taj način povećanje razine zaštite zdravlja ljudi sprječavanjem pojave bolesti ili širenja bolesti koje potječu od hrane ili hrane za životinje.</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Povećanje broja educiranih osoba koje sudjeluju u HR RASFF sustavu</w:t>
            </w:r>
          </w:p>
        </w:tc>
        <w:tc>
          <w:tcPr>
            <w:tcW w:w="1114" w:type="dxa"/>
          </w:tcPr>
          <w:p w:rsidR="00D849AA" w:rsidRDefault="00EE6D95">
            <w:r>
              <w:t>Broj</w:t>
            </w:r>
          </w:p>
        </w:tc>
        <w:tc>
          <w:tcPr>
            <w:tcW w:w="1114" w:type="dxa"/>
          </w:tcPr>
          <w:p w:rsidR="00D849AA" w:rsidRDefault="00EE6D95">
            <w:r>
              <w:t>0</w:t>
            </w:r>
          </w:p>
        </w:tc>
        <w:tc>
          <w:tcPr>
            <w:tcW w:w="1486" w:type="dxa"/>
          </w:tcPr>
          <w:p w:rsidR="00D849AA" w:rsidRDefault="00EE6D95">
            <w:r>
              <w:t>160</w:t>
            </w:r>
          </w:p>
        </w:tc>
        <w:tc>
          <w:tcPr>
            <w:tcW w:w="1486" w:type="dxa"/>
          </w:tcPr>
          <w:p w:rsidR="00D849AA" w:rsidRDefault="00EE6D95">
            <w:r>
              <w:t>200</w:t>
            </w:r>
          </w:p>
        </w:tc>
        <w:tc>
          <w:tcPr>
            <w:tcW w:w="1486" w:type="dxa"/>
          </w:tcPr>
          <w:p w:rsidR="00D849AA" w:rsidRDefault="00EE6D95">
            <w:r>
              <w:t>240</w:t>
            </w:r>
          </w:p>
        </w:tc>
      </w:tr>
    </w:tbl>
    <w:p w:rsidR="00D849AA" w:rsidRDefault="00D849AA">
      <w:pPr>
        <w:jc w:val="left"/>
      </w:pPr>
    </w:p>
    <w:p w:rsidR="00D849AA" w:rsidRDefault="00EE6D95">
      <w:pPr>
        <w:pStyle w:val="Naslov7"/>
      </w:pPr>
      <w:r>
        <w:t>Cilj 3. Smanjenje broja slučajeva bjesnoće u Hrvatskoj</w:t>
      </w:r>
    </w:p>
    <w:p w:rsidR="00D849AA" w:rsidRDefault="00EE6D95">
      <w:pPr>
        <w:pStyle w:val="Normal6"/>
      </w:pPr>
      <w:r>
        <w:t xml:space="preserve">Europska unija provodi regionalni projekt iskorjenjivanja životinjskih bolesti u zemljama zapadnog Balkana, u okviru kojeg svaka zemlja provodi vlastiti (nacionalni) projekt. U Hrvatskoj je započela provedba nacionalnog projekta iskorjenjivanja bjesnoće (iz programa IPA 2008), koji obuhvaća oralnu vakcinaciju lisica, testiranje uzoraka s ciljem utvrđivanja uspješnosti cijepljenja te epidemiološku analizu rezultata. Za uspješno </w:t>
      </w:r>
      <w:r>
        <w:lastRenderedPageBreak/>
        <w:t>iskorjenjivanje bjesnoće potrebno je oralnu vakcinaciju provoditi minimalno pet godina, što je osigurano projektima iz programa IPA 2008 i IPA 2010.  Ovi projekti uključuju i komponentu javnih kampanja kojima će se javnost upoznati s važnošću iskorjenjivanja bjesnoće te aktivnostima projekta.</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Bjesnoća iskorijenjena u RH</w:t>
            </w:r>
          </w:p>
        </w:tc>
        <w:tc>
          <w:tcPr>
            <w:tcW w:w="1114" w:type="dxa"/>
          </w:tcPr>
          <w:p w:rsidR="00D849AA" w:rsidRDefault="00EE6D95">
            <w:r>
              <w:t>%</w:t>
            </w:r>
          </w:p>
        </w:tc>
        <w:tc>
          <w:tcPr>
            <w:tcW w:w="1114" w:type="dxa"/>
          </w:tcPr>
          <w:p w:rsidR="00D849AA" w:rsidRDefault="00EE6D95">
            <w:r>
              <w:t>0</w:t>
            </w:r>
          </w:p>
        </w:tc>
        <w:tc>
          <w:tcPr>
            <w:tcW w:w="1486" w:type="dxa"/>
          </w:tcPr>
          <w:p w:rsidR="00D849AA" w:rsidRDefault="00EE6D95">
            <w:r>
              <w:t>20</w:t>
            </w:r>
          </w:p>
        </w:tc>
        <w:tc>
          <w:tcPr>
            <w:tcW w:w="1486" w:type="dxa"/>
          </w:tcPr>
          <w:p w:rsidR="00D849AA" w:rsidRDefault="00EE6D95">
            <w:r>
              <w:t>20</w:t>
            </w:r>
          </w:p>
        </w:tc>
        <w:tc>
          <w:tcPr>
            <w:tcW w:w="1486" w:type="dxa"/>
          </w:tcPr>
          <w:p w:rsidR="00D849AA" w:rsidRDefault="00EE6D95">
            <w:r>
              <w:t>25</w:t>
            </w:r>
          </w:p>
        </w:tc>
      </w:tr>
    </w:tbl>
    <w:p w:rsidR="00D849AA" w:rsidRDefault="00D849AA">
      <w:pPr>
        <w:jc w:val="left"/>
      </w:pPr>
    </w:p>
    <w:p w:rsidR="00D849AA" w:rsidRDefault="00EE6D95">
      <w:pPr>
        <w:pStyle w:val="Naslov5"/>
      </w:pPr>
      <w:r>
        <w:t>Procjena i ishodište potrebnih sredstava za značajnije aktivnosti/projekte</w:t>
      </w:r>
    </w:p>
    <w:p w:rsidR="00D849AA" w:rsidRDefault="00EE6D95">
      <w:pPr>
        <w:pStyle w:val="Naslov6"/>
      </w:pPr>
      <w:r>
        <w:t>A401116 SLUŽBENE KONTROLE VETERINARSKE INSPEKCIJE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A401116</w:t>
            </w:r>
          </w:p>
        </w:tc>
        <w:tc>
          <w:tcPr>
            <w:tcW w:w="1486" w:type="dxa"/>
          </w:tcPr>
          <w:p w:rsidR="00D849AA" w:rsidRDefault="00EE6D95">
            <w:r>
              <w:t>54.840.000</w:t>
            </w:r>
          </w:p>
        </w:tc>
        <w:tc>
          <w:tcPr>
            <w:tcW w:w="1486" w:type="dxa"/>
          </w:tcPr>
          <w:p w:rsidR="00D849AA" w:rsidRDefault="00EE6D95">
            <w:r>
              <w:t>54.140.000</w:t>
            </w:r>
          </w:p>
        </w:tc>
        <w:tc>
          <w:tcPr>
            <w:tcW w:w="1486" w:type="dxa"/>
          </w:tcPr>
          <w:p w:rsidR="00D849AA" w:rsidRDefault="00EE6D95">
            <w:r>
              <w:t>55.140.000</w:t>
            </w:r>
          </w:p>
        </w:tc>
        <w:tc>
          <w:tcPr>
            <w:tcW w:w="1486" w:type="dxa"/>
          </w:tcPr>
          <w:p w:rsidR="00D849AA" w:rsidRDefault="00EE6D95">
            <w:r>
              <w:t>55.140.000</w:t>
            </w:r>
          </w:p>
        </w:tc>
        <w:tc>
          <w:tcPr>
            <w:tcW w:w="1486" w:type="dxa"/>
          </w:tcPr>
          <w:p w:rsidR="00D849AA" w:rsidRDefault="00EE6D95">
            <w:r>
              <w:t>98,7</w:t>
            </w:r>
          </w:p>
        </w:tc>
      </w:tr>
    </w:tbl>
    <w:p w:rsidR="00D849AA" w:rsidRDefault="00D849AA">
      <w:pPr>
        <w:jc w:val="left"/>
      </w:pPr>
    </w:p>
    <w:p w:rsidR="00D849AA" w:rsidRDefault="00EE6D95">
      <w:pPr>
        <w:pStyle w:val="Normal6"/>
      </w:pPr>
      <w:r>
        <w:t xml:space="preserve">Aktivnost obuhvaća sredstva namijenjena financiranju službenih kontrola hrane životinjskog podrijetla i hrane za životinje u objektima u poslovanju s hranom životinjskog podrijetla i hranom za životinje, koje se moraju provoditi redovito na temelju analize rizika i s odgovarajućom učestalosti, prema planu kontrola u cilju zaštite zdravlja ljudi i zaštite interesa potrošača, te zaštite zdravlja i dobrobiti životinja, a uključuju i troškove uzorkovanja i laboratorijskih analiza, kada uzorke pri provođenju službenih kontrola u objektima u poslovanju s hranom životinjskog podrijetla i hranom za životinje uzima državni veterinarski inspektor odnosno službeni veterinar sukladno propisanom. Službene kontrole provode se i u međunarodnom prometu u cilju izvoza i uvoza hrane odnosno stavljanja na tržište Republike Hrvatske zdravstveno ispravne odnosno sigurne hrane.   </w:t>
      </w:r>
    </w:p>
    <w:p w:rsidR="00D849AA" w:rsidRDefault="00EE6D95">
      <w:pPr>
        <w:pStyle w:val="Normal6"/>
      </w:pPr>
      <w:r>
        <w:t>Za provedene službene kontrole obračunavaju se pristojbe objektima u poslovanju s hranom životinjskog podrijetla i hranom za životinje te plaćaju naknade osobama ovlaštenim za provođenje službenih kontrola (kontrolna tijela), a sve putem propisane računalne aplikacije putem koje se obračunavaju pristojbe i naknade.</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Povećanje broja educiranih osoba ovlaštenih za provođenje službenih kontrola</w:t>
            </w:r>
          </w:p>
        </w:tc>
        <w:tc>
          <w:tcPr>
            <w:tcW w:w="1114" w:type="dxa"/>
          </w:tcPr>
          <w:p w:rsidR="00D849AA" w:rsidRDefault="00EE6D95">
            <w:r>
              <w:t>Broj</w:t>
            </w:r>
          </w:p>
        </w:tc>
        <w:tc>
          <w:tcPr>
            <w:tcW w:w="1114" w:type="dxa"/>
          </w:tcPr>
          <w:p w:rsidR="00D849AA" w:rsidRDefault="00EE6D95">
            <w:r>
              <w:t>30</w:t>
            </w:r>
          </w:p>
        </w:tc>
        <w:tc>
          <w:tcPr>
            <w:tcW w:w="1486" w:type="dxa"/>
          </w:tcPr>
          <w:p w:rsidR="00D849AA" w:rsidRDefault="00EE6D95">
            <w:r>
              <w:t>580</w:t>
            </w:r>
          </w:p>
        </w:tc>
        <w:tc>
          <w:tcPr>
            <w:tcW w:w="1486" w:type="dxa"/>
          </w:tcPr>
          <w:p w:rsidR="00D849AA" w:rsidRDefault="00EE6D95">
            <w:r>
              <w:t>611</w:t>
            </w:r>
          </w:p>
        </w:tc>
        <w:tc>
          <w:tcPr>
            <w:tcW w:w="1486" w:type="dxa"/>
          </w:tcPr>
          <w:p w:rsidR="00D849AA" w:rsidRDefault="00EE6D95">
            <w:r>
              <w:t>615</w:t>
            </w:r>
          </w:p>
        </w:tc>
      </w:tr>
    </w:tbl>
    <w:p w:rsidR="00D849AA" w:rsidRDefault="00D849AA">
      <w:pPr>
        <w:jc w:val="left"/>
      </w:pPr>
    </w:p>
    <w:p w:rsidR="00D849AA" w:rsidRDefault="00EE6D95">
      <w:pPr>
        <w:pStyle w:val="Naslov6"/>
      </w:pPr>
      <w:r>
        <w:lastRenderedPageBreak/>
        <w:t>A401134 UNAPREĐENJE HR RASFF SUSTAVA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A401134</w:t>
            </w:r>
          </w:p>
        </w:tc>
        <w:tc>
          <w:tcPr>
            <w:tcW w:w="1486" w:type="dxa"/>
          </w:tcPr>
          <w:p w:rsidR="00D849AA" w:rsidRDefault="00EE6D95">
            <w:r>
              <w:t>170.000</w:t>
            </w:r>
          </w:p>
        </w:tc>
        <w:tc>
          <w:tcPr>
            <w:tcW w:w="1486" w:type="dxa"/>
          </w:tcPr>
          <w:p w:rsidR="00D849AA" w:rsidRDefault="00EE6D95">
            <w:r>
              <w:t>120.000</w:t>
            </w:r>
          </w:p>
        </w:tc>
        <w:tc>
          <w:tcPr>
            <w:tcW w:w="1486" w:type="dxa"/>
          </w:tcPr>
          <w:p w:rsidR="00D849AA" w:rsidRDefault="00EE6D95">
            <w:r>
              <w:t>120.000</w:t>
            </w:r>
          </w:p>
        </w:tc>
        <w:tc>
          <w:tcPr>
            <w:tcW w:w="1486" w:type="dxa"/>
          </w:tcPr>
          <w:p w:rsidR="00D849AA" w:rsidRDefault="00EE6D95">
            <w:r>
              <w:t>120.000</w:t>
            </w:r>
          </w:p>
        </w:tc>
        <w:tc>
          <w:tcPr>
            <w:tcW w:w="1486" w:type="dxa"/>
          </w:tcPr>
          <w:p w:rsidR="00D849AA" w:rsidRDefault="00EE6D95">
            <w:r>
              <w:t>70,6</w:t>
            </w:r>
          </w:p>
        </w:tc>
      </w:tr>
    </w:tbl>
    <w:p w:rsidR="00D849AA" w:rsidRDefault="00D849AA">
      <w:pPr>
        <w:jc w:val="left"/>
      </w:pPr>
    </w:p>
    <w:p w:rsidR="00D849AA" w:rsidRDefault="00EE6D95">
      <w:pPr>
        <w:pStyle w:val="Normal6"/>
      </w:pPr>
      <w:r>
        <w:t xml:space="preserve">Sustav brzog uzbunjivanja za hranu i hranu za životinje (eng. Rapid Alert System for Food and Feed - RASFF) je mrežni sustav izvještavanja o hrani odnosno hrani za životinje koja predstavlja izravan ili neizravan rizik za zdravlje ljudi, a koji je ključan instrument za osiguranje sigurnosti hrane i hrane za životinje u Europi. Razmjena informacija kroz RASFF sustav pomaže državama članicama (EU, EEA) da djeluju brže i koordinirano kao odgovor na zdravstvene prijetnje koje potječu od hrane ili hrane za životinje. Kako bi RASFF sustav učinkovito funkcionirao potrebno je da svaka država članica RASFF sustava uspostavi učinkovit sustav brzog uzbunjivanja za hranu i hranu za životinje na nacionalnoj razini. Osim toga sve članice RASFF sustava moraju uspostaviti sustav koji je u funkciji svih 7 dana u tjednu i 24 sata na dan kako bi se osiguralo pravovremeno poduzimanje kontrolnih aktivnosti i mjera.   </w:t>
      </w:r>
    </w:p>
    <w:p w:rsidR="00D849AA" w:rsidRDefault="00EE6D95">
      <w:pPr>
        <w:pStyle w:val="Normal6"/>
      </w:pPr>
      <w:r>
        <w:t xml:space="preserve">Slijedom navedenog, MP je uspostavilo sustav brzog uzbunjivanja za hranu i hranu za životinje na nacionalnoj razini odnosno razini Republike Hrvatske (HR RASFF), a način funkcioniranja HR RASFF sustava je propisan Pravilnikom o sustavu brzog uzbunjivanja za hranu i hranu za životinje (NN br. 134/09). MP je odgovorno za upravljanje i koordiniranjem HR RASFF sustavom te je određeno za nacionalnu kontakt točku za RASFF prema Europskoj Komisiji. Danom ulaska Republike Hrvatske u Europsku Uniju, RH će postati punopravna članica RASFF sustava iako već sada sudjeluje u RASFF sustavu i razmjenjuje informacije i podatke s Europskom komisijom. Tijela nadležna za provođenje službenih kontrola (MP, MZ i DI) poduzimaju kontrolne aktivnosti i mjere na temelju RASFF obavijesti zaprimljenih od strane Europske komisije. Obzirom na složenu strukturu HR RASFF sustava kojim upravlja MP i koji uključuje sva tijela nadležna za provođenje službenih kontrola (MP, MZ, DI), HAH i laboratorije, postoji problem učinkovitog funkcioniranja tog sustava na nacionalnoj razini odnosno HR RASFF sustava. Osim toga, do dana ulaska RH u EU potrebno je ispuniti obvezu da je HR RASFF sustav u funkciji svih 7 dana u tjednu i 24 sata na dan. Slijedom navedenog, nema pravovremene i kontinuirane komunikacije i razmjene podataka te pravovremenog poduzimanja kontrolnih aktivnosti i mjera. Navedeni problemi funkcioniranja HR RASFF sustava su rezultat nedovoljnog broja adekvatno educiranih ljudi, nedostatka informatičke opremljenosti te nedostatka financijskih sredstava.   </w:t>
      </w:r>
    </w:p>
    <w:p w:rsidR="00D849AA" w:rsidRDefault="00EE6D95">
      <w:pPr>
        <w:pStyle w:val="Normal6"/>
      </w:pPr>
      <w:r>
        <w:t xml:space="preserve">U svrhu učinkovitog funkcioniranja HR RASFF sustava, MP je od 2010. godine pute sredstava Svjetske banke radila na izradi web-aplikacija HR RASFF ICT sustava i prateće dokumentacije.  Web-aplikacija HR RASFF ICT sustava je postavljena na server MP. U tijeku je njeno aktivno testiranje u radnom okruženju.    </w:t>
      </w:r>
    </w:p>
    <w:p w:rsidR="00D849AA" w:rsidRDefault="00EE6D95">
      <w:pPr>
        <w:pStyle w:val="Normal6"/>
      </w:pPr>
      <w:r>
        <w:t xml:space="preserve">Predložena sredstva koristiti će se za dovršavanje i održanje web-aplikacije HR RASFF ICT, održavanje informatičke i komunikacijske opreme, edukacije osoba koje sudjeluju u HR RASFF sustavu, uključujući osobe koje provode službene kontrole, kao i za unapređenje funkcioniranja HR RASFF ICT sustava te njegovo kontinuirano usklađivanje sa adekvatnim sustavom Europske unije, troškove pasivnog 24-satnog dežurstva za nacionalnu kontakt točku, prikupljanja podataka vezano uz ispitivanja uzoraka uzetih tijekom provođenje službenih kontrola i njihovo objedinjavanje u završna izvješća koja će služiti kao temelj za analizu rizika na području RH.  </w:t>
      </w:r>
    </w:p>
    <w:p w:rsidR="00D849AA" w:rsidRDefault="00EE6D95">
      <w:pPr>
        <w:pStyle w:val="Normal6"/>
      </w:pPr>
      <w:r>
        <w:t xml:space="preserve">Unapređenjem funkcioniranja HR RASFF sustava pravovremeno će se poduzimati aktivnosti i mjere te će se tako povećati učinkovitost organizacije službenih kontrola i cjelokupnog sustava sigurnosti hrane i hrane za životinje, a posljedično će se povećati i </w:t>
      </w:r>
      <w:r>
        <w:lastRenderedPageBreak/>
        <w:t>razina zaštite zdravlja ljudi sprječavanjem pojave bolesti ili širenja bolesti koje potječu od hrane ili hrane za životinje.</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Povećanje broja educiranih osoba koje sudjeluju u HR RASFF sustavu</w:t>
            </w:r>
          </w:p>
        </w:tc>
        <w:tc>
          <w:tcPr>
            <w:tcW w:w="1114" w:type="dxa"/>
          </w:tcPr>
          <w:p w:rsidR="00D849AA" w:rsidRDefault="00EE6D95">
            <w:r>
              <w:t>Broj</w:t>
            </w:r>
          </w:p>
        </w:tc>
        <w:tc>
          <w:tcPr>
            <w:tcW w:w="1114" w:type="dxa"/>
          </w:tcPr>
          <w:p w:rsidR="00D849AA" w:rsidRDefault="00EE6D95">
            <w:r>
              <w:t>0</w:t>
            </w:r>
          </w:p>
        </w:tc>
        <w:tc>
          <w:tcPr>
            <w:tcW w:w="1486" w:type="dxa"/>
          </w:tcPr>
          <w:p w:rsidR="00D849AA" w:rsidRDefault="00EE6D95">
            <w:r>
              <w:t>160</w:t>
            </w:r>
          </w:p>
        </w:tc>
        <w:tc>
          <w:tcPr>
            <w:tcW w:w="1486" w:type="dxa"/>
          </w:tcPr>
          <w:p w:rsidR="00D849AA" w:rsidRDefault="00EE6D95">
            <w:r>
              <w:t>200</w:t>
            </w:r>
          </w:p>
        </w:tc>
        <w:tc>
          <w:tcPr>
            <w:tcW w:w="1486" w:type="dxa"/>
          </w:tcPr>
          <w:p w:rsidR="00D849AA" w:rsidRDefault="00EE6D95">
            <w:r>
              <w:t>240</w:t>
            </w:r>
          </w:p>
        </w:tc>
      </w:tr>
    </w:tbl>
    <w:p w:rsidR="00D849AA" w:rsidRDefault="00D849AA">
      <w:pPr>
        <w:jc w:val="left"/>
      </w:pPr>
    </w:p>
    <w:p w:rsidR="00D849AA" w:rsidRDefault="00EE6D95">
      <w:pPr>
        <w:pStyle w:val="Naslov6"/>
      </w:pPr>
      <w:r>
        <w:t>A568001 ZDRAVSTVENA ZAŠTITA ŽIVOTINJA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A568001</w:t>
            </w:r>
          </w:p>
        </w:tc>
        <w:tc>
          <w:tcPr>
            <w:tcW w:w="1486" w:type="dxa"/>
          </w:tcPr>
          <w:p w:rsidR="00D849AA" w:rsidRDefault="00EE6D95">
            <w:r>
              <w:t>184.247.000</w:t>
            </w:r>
          </w:p>
        </w:tc>
        <w:tc>
          <w:tcPr>
            <w:tcW w:w="1486" w:type="dxa"/>
          </w:tcPr>
          <w:p w:rsidR="00D849AA" w:rsidRDefault="00EE6D95">
            <w:r>
              <w:t>184.709.000</w:t>
            </w:r>
          </w:p>
        </w:tc>
        <w:tc>
          <w:tcPr>
            <w:tcW w:w="1486" w:type="dxa"/>
          </w:tcPr>
          <w:p w:rsidR="00D849AA" w:rsidRDefault="00EE6D95">
            <w:r>
              <w:t>145.709.000</w:t>
            </w:r>
          </w:p>
        </w:tc>
        <w:tc>
          <w:tcPr>
            <w:tcW w:w="1486" w:type="dxa"/>
          </w:tcPr>
          <w:p w:rsidR="00D849AA" w:rsidRDefault="00EE6D95">
            <w:r>
              <w:t>145.709.000</w:t>
            </w:r>
          </w:p>
        </w:tc>
        <w:tc>
          <w:tcPr>
            <w:tcW w:w="1486" w:type="dxa"/>
          </w:tcPr>
          <w:p w:rsidR="00D849AA" w:rsidRDefault="00EE6D95">
            <w:r>
              <w:t>100,2</w:t>
            </w:r>
          </w:p>
        </w:tc>
      </w:tr>
    </w:tbl>
    <w:p w:rsidR="00D849AA" w:rsidRDefault="00EE6D95">
      <w:pPr>
        <w:pStyle w:val="Normal6"/>
      </w:pPr>
      <w:r>
        <w:t>U svrhu zaštite i unaprjeđenja zdravstvenog statusa životinja u Republici Hrvatskoj (RH), a osobito životinja koje se koriste za proizvodnju hrane, MP - Uprava za veterinarstvo i sigurnost hrane određuje provedbu preventivnih mjera te mjera za rano otkrivanje, nadziranje, kontrolu i iskorjenjivanje bolesti životinja, uključujući zoonoze, bolesti koje izazivaju značajne ekonomske štete, te druge bolesti životinja od interesa za RH. U tu svrhu i u skladu sa Zakonom o veterinarstvu (Narodne novine br. 82/2013) i podzakonskim propisima provodi se uzorkovanje i laboratorijsko pretraživanje, provedba preventivnih biosigurnosnih mjera, cijepljenje, klanje ili usmrćivanje i neškodljivo uklanjanje životinja.</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Povećanje broja certificiranih „službeno slobodnih“ stada u  odnosu na ukupan broj stada</w:t>
            </w:r>
          </w:p>
        </w:tc>
        <w:tc>
          <w:tcPr>
            <w:tcW w:w="1114" w:type="dxa"/>
          </w:tcPr>
          <w:p w:rsidR="00D849AA" w:rsidRDefault="00EE6D95">
            <w:r>
              <w:t>%</w:t>
            </w:r>
          </w:p>
        </w:tc>
        <w:tc>
          <w:tcPr>
            <w:tcW w:w="1114" w:type="dxa"/>
          </w:tcPr>
          <w:p w:rsidR="00D849AA" w:rsidRDefault="00EE6D95">
            <w:r>
              <w:t>0</w:t>
            </w:r>
          </w:p>
        </w:tc>
        <w:tc>
          <w:tcPr>
            <w:tcW w:w="1486" w:type="dxa"/>
          </w:tcPr>
          <w:p w:rsidR="00D849AA" w:rsidRDefault="00EE6D95">
            <w:r>
              <w:t>80</w:t>
            </w:r>
          </w:p>
        </w:tc>
        <w:tc>
          <w:tcPr>
            <w:tcW w:w="1486" w:type="dxa"/>
          </w:tcPr>
          <w:p w:rsidR="00D849AA" w:rsidRDefault="00EE6D95">
            <w:r>
              <w:t>88</w:t>
            </w:r>
          </w:p>
        </w:tc>
        <w:tc>
          <w:tcPr>
            <w:tcW w:w="1486" w:type="dxa"/>
          </w:tcPr>
          <w:p w:rsidR="00D849AA" w:rsidRDefault="00EE6D95">
            <w:r>
              <w:t>92</w:t>
            </w:r>
          </w:p>
        </w:tc>
      </w:tr>
      <w:tr w:rsidR="00D849AA">
        <w:trPr>
          <w:jc w:val="center"/>
        </w:trPr>
        <w:tc>
          <w:tcPr>
            <w:tcW w:w="2229" w:type="dxa"/>
          </w:tcPr>
          <w:p w:rsidR="00D849AA" w:rsidRDefault="00EE6D95">
            <w:pPr>
              <w:pStyle w:val="CellColumn"/>
            </w:pPr>
            <w:r>
              <w:t>Povećanje broja subjekata koji drže životinje i postupaju s njima sukladno propisima o dobrobiti u odnosu na ukupan broj subjekata koji drže životinje</w:t>
            </w:r>
          </w:p>
        </w:tc>
        <w:tc>
          <w:tcPr>
            <w:tcW w:w="1114" w:type="dxa"/>
          </w:tcPr>
          <w:p w:rsidR="00D849AA" w:rsidRDefault="00EE6D95">
            <w:r>
              <w:t>%</w:t>
            </w:r>
          </w:p>
        </w:tc>
        <w:tc>
          <w:tcPr>
            <w:tcW w:w="1114" w:type="dxa"/>
          </w:tcPr>
          <w:p w:rsidR="00D849AA" w:rsidRDefault="00EE6D95">
            <w:r>
              <w:t>40</w:t>
            </w:r>
          </w:p>
        </w:tc>
        <w:tc>
          <w:tcPr>
            <w:tcW w:w="1486" w:type="dxa"/>
          </w:tcPr>
          <w:p w:rsidR="00D849AA" w:rsidRDefault="00EE6D95">
            <w:r>
              <w:t>85</w:t>
            </w:r>
          </w:p>
        </w:tc>
        <w:tc>
          <w:tcPr>
            <w:tcW w:w="1486" w:type="dxa"/>
          </w:tcPr>
          <w:p w:rsidR="00D849AA" w:rsidRDefault="00EE6D95">
            <w:r>
              <w:t>92</w:t>
            </w:r>
          </w:p>
        </w:tc>
        <w:tc>
          <w:tcPr>
            <w:tcW w:w="1486" w:type="dxa"/>
          </w:tcPr>
          <w:p w:rsidR="00D849AA" w:rsidRDefault="00EE6D95">
            <w:r>
              <w:t>95</w:t>
            </w:r>
          </w:p>
        </w:tc>
      </w:tr>
      <w:tr w:rsidR="00D849AA">
        <w:trPr>
          <w:jc w:val="center"/>
        </w:trPr>
        <w:tc>
          <w:tcPr>
            <w:tcW w:w="2229" w:type="dxa"/>
          </w:tcPr>
          <w:p w:rsidR="00D849AA" w:rsidRDefault="00EE6D95">
            <w:pPr>
              <w:pStyle w:val="CellColumn"/>
            </w:pPr>
            <w:r>
              <w:t>Smanjenje broja slučajeva bolesti i  životinja izlučenih iz uzgoja</w:t>
            </w:r>
          </w:p>
        </w:tc>
        <w:tc>
          <w:tcPr>
            <w:tcW w:w="1114" w:type="dxa"/>
          </w:tcPr>
          <w:p w:rsidR="00D849AA" w:rsidRDefault="00EE6D95">
            <w:r>
              <w:t>Broj</w:t>
            </w:r>
          </w:p>
        </w:tc>
        <w:tc>
          <w:tcPr>
            <w:tcW w:w="1114" w:type="dxa"/>
          </w:tcPr>
          <w:p w:rsidR="00D849AA" w:rsidRDefault="00EE6D95">
            <w:r>
              <w:t>2.161</w:t>
            </w:r>
          </w:p>
        </w:tc>
        <w:tc>
          <w:tcPr>
            <w:tcW w:w="1486" w:type="dxa"/>
          </w:tcPr>
          <w:p w:rsidR="00D849AA" w:rsidRDefault="00EE6D95">
            <w:r>
              <w:t>850</w:t>
            </w:r>
          </w:p>
        </w:tc>
        <w:tc>
          <w:tcPr>
            <w:tcW w:w="1486" w:type="dxa"/>
          </w:tcPr>
          <w:p w:rsidR="00D849AA" w:rsidRDefault="00EE6D95">
            <w:r>
              <w:t>750</w:t>
            </w:r>
          </w:p>
        </w:tc>
        <w:tc>
          <w:tcPr>
            <w:tcW w:w="1486" w:type="dxa"/>
          </w:tcPr>
          <w:p w:rsidR="00D849AA" w:rsidRDefault="00EE6D95">
            <w:r>
              <w:t>600</w:t>
            </w:r>
          </w:p>
        </w:tc>
      </w:tr>
    </w:tbl>
    <w:p w:rsidR="00B151E0" w:rsidRDefault="00B151E0" w:rsidP="00B151E0">
      <w:pPr>
        <w:jc w:val="left"/>
      </w:pPr>
    </w:p>
    <w:p w:rsidR="00B151E0" w:rsidRDefault="00B151E0" w:rsidP="00B151E0">
      <w:pPr>
        <w:pStyle w:val="Naslov4"/>
      </w:pPr>
      <w:r>
        <w:t>OBRAZLOŽENJE PROGRAMA</w:t>
      </w:r>
    </w:p>
    <w:p w:rsidR="00D849AA" w:rsidRDefault="00EE6D95">
      <w:pPr>
        <w:pStyle w:val="Naslov5"/>
      </w:pPr>
      <w:r>
        <w:t>3004 RURALNI RAZVOJ</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3004</w:t>
            </w:r>
          </w:p>
        </w:tc>
        <w:tc>
          <w:tcPr>
            <w:tcW w:w="1486" w:type="dxa"/>
          </w:tcPr>
          <w:p w:rsidR="00D849AA" w:rsidRDefault="00EE6D95">
            <w:r>
              <w:t>593.312.920</w:t>
            </w:r>
          </w:p>
        </w:tc>
        <w:tc>
          <w:tcPr>
            <w:tcW w:w="1486" w:type="dxa"/>
          </w:tcPr>
          <w:p w:rsidR="00D849AA" w:rsidRDefault="00EE6D95">
            <w:r>
              <w:t>584.354.360</w:t>
            </w:r>
          </w:p>
        </w:tc>
        <w:tc>
          <w:tcPr>
            <w:tcW w:w="1486" w:type="dxa"/>
          </w:tcPr>
          <w:p w:rsidR="00D849AA" w:rsidRDefault="00EE6D95">
            <w:r>
              <w:t>2.250.941.040</w:t>
            </w:r>
          </w:p>
        </w:tc>
        <w:tc>
          <w:tcPr>
            <w:tcW w:w="1486" w:type="dxa"/>
          </w:tcPr>
          <w:p w:rsidR="00D849AA" w:rsidRDefault="00EE6D95">
            <w:r>
              <w:t>2.730.275.273</w:t>
            </w:r>
          </w:p>
        </w:tc>
        <w:tc>
          <w:tcPr>
            <w:tcW w:w="1486" w:type="dxa"/>
          </w:tcPr>
          <w:p w:rsidR="00D849AA" w:rsidRDefault="00EE6D95">
            <w:r>
              <w:t>98,5</w:t>
            </w:r>
          </w:p>
        </w:tc>
      </w:tr>
    </w:tbl>
    <w:p w:rsidR="00D849AA" w:rsidRDefault="00D849AA">
      <w:pPr>
        <w:jc w:val="left"/>
      </w:pPr>
    </w:p>
    <w:p w:rsidR="00D849AA" w:rsidRDefault="00EE6D95">
      <w:pPr>
        <w:pStyle w:val="Naslov6"/>
      </w:pPr>
      <w:r>
        <w:t>Opis programa</w:t>
      </w:r>
    </w:p>
    <w:p w:rsidR="00D849AA" w:rsidRDefault="00EE6D95">
      <w:pPr>
        <w:pStyle w:val="Normal5"/>
      </w:pPr>
      <w:r>
        <w:t xml:space="preserve">Poticaji za držanje izvornih i zaštićenih pasmina domaćih životinja podrazumijevaju godišnja plaćanja poljoprivrednim gospodarstvima po grlu/kljunu izvorne i zaštićene pasmine. Ulaskom u EU ovakav vid potpore  se zadržava (EU financiranje), uz manje prilagodbe uvjeta za dodjelu potpora u skladu s pravilima EU. Također potpore se dodjeljuju u obliku kapitalne pomoći poljoprivrednim proizvođačima – poljoprivrednim gospodarstvima, subjektima uključenim u preradu poljoprivrednih proizvoda, jedinicama lokalne samouprave te poduzetnicima u ruralnim područjima, u vidu sufinanciranja investicija u dugotrajnu imovinu (intenzitet potpore od50 do 100%). </w:t>
      </w:r>
    </w:p>
    <w:p w:rsidR="00D849AA" w:rsidRDefault="00EE6D95">
      <w:pPr>
        <w:pStyle w:val="Normal5"/>
      </w:pPr>
      <w:r>
        <w:t>Ulaskom u EU ovakav vid potpore  se zadržava (EU financiranje), uz manje prilagodbe uvjeta za dodjelu potpora u skladu s pravilima EU. Premija osiguranja poljoprivredne proizvodnje subvencionirana je sredstvima Državnog proračuna u iznosu od 25%. Naposljetku imamo i potpore u obliku tekuće donacije organizatorima znanstvenostručnih, gospodarskih i lokalnih manifestacija, temeljem javnog natječaja. Ulaskom u EU ovakav vid potpore  se zadržava (domaće financiranje). Realizacija ovoga programa povezana je s ostvarenjem ciljeva utvrđenih Strategijom Vladinih programa za razdoblje 2011. – 2013.: Konkurentniji poljoprivredno-prehrambeni i ribarski sektor, Prilagodba sustava potpora poljoprivrednoj proizvodnji i ribarstvu sustavu Europske unije te Poboljšanje uvjeta života na ruralnom prostoru.</w:t>
      </w:r>
    </w:p>
    <w:p w:rsidR="00D849AA" w:rsidRDefault="00EE6D95">
      <w:pPr>
        <w:pStyle w:val="Naslov6"/>
      </w:pPr>
      <w:r>
        <w:t>Zakonske i druge pravne osnove</w:t>
      </w:r>
    </w:p>
    <w:p w:rsidR="00D849AA" w:rsidRDefault="00EE6D95">
      <w:pPr>
        <w:pStyle w:val="Normal5"/>
      </w:pPr>
      <w:r>
        <w:t xml:space="preserve">Zakon o državnoj potpori poljoprivredi i ruralnom razvoju (»Narodne novine», BR. 120/12 i 136/12) </w:t>
      </w:r>
    </w:p>
    <w:p w:rsidR="00D849AA" w:rsidRDefault="00EE6D95">
      <w:pPr>
        <w:pStyle w:val="Normal5"/>
      </w:pPr>
      <w:r>
        <w:t xml:space="preserve">Pravilnik o izravnim plaćanjima u poljoprivredi, potporama za očuvanje izvornih i zaštićenih pasmina domaćih životinja, potporama za ekološku i integriranu poljoprivrednu proizvodnju i potporama za područja s težim uvjetima gospodarenja u poljoprivredi (NN 12/11, 54/11, 81/11, 129/11, 148/11) </w:t>
      </w:r>
    </w:p>
    <w:p w:rsidR="00D849AA" w:rsidRDefault="00EE6D95">
      <w:pPr>
        <w:pStyle w:val="Normal5"/>
      </w:pPr>
      <w:r>
        <w:t xml:space="preserve">Pravilnik o provedbi izravnih plaćanja i IAKS mjera ruralnog razvoja (NN 145/12 i 29/13) </w:t>
      </w:r>
    </w:p>
    <w:p w:rsidR="00D849AA" w:rsidRDefault="00EE6D95">
      <w:pPr>
        <w:pStyle w:val="Normal5"/>
      </w:pPr>
      <w:r>
        <w:t xml:space="preserve">Pravilnik o ostvarivanju prava na potporu osiguranja od mogućih šteta proizvodnji u poljoprivredi (»Narodne novine«, br. 12/11 i 33/12). </w:t>
      </w:r>
    </w:p>
    <w:p w:rsidR="00D849AA" w:rsidRDefault="00EE6D95">
      <w:pPr>
        <w:pStyle w:val="Normal5"/>
      </w:pPr>
      <w:r>
        <w:t xml:space="preserve">Zakon o potvrđivanju Sporazuma između Vlade Republike Hrvatske i Komisije Europskih zajednica o pravilima za suradnju u vezi s financijskom pomoći europske komisije Republici Hrvatskoj i provedbe pomoći u okviru komponente V. (IPARD) Instrumenta pretpristupne pomoći (IPA) (»Narodne novine«, br. 10/08.) </w:t>
      </w:r>
    </w:p>
    <w:p w:rsidR="00D849AA" w:rsidRDefault="00EE6D95">
      <w:pPr>
        <w:pStyle w:val="Normal5"/>
      </w:pPr>
      <w:r>
        <w:lastRenderedPageBreak/>
        <w:t>Zakon o potvrđivanju Višegodišnjeg sporazuma o financiranju 2007. – 2010. Između Komisije Europskih zajednica u ime Europske zajednice i Vlade Republike Hrvatske (»Narodne novine«, br. 1/10,6/12.)</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Cilj 1. Povećanje konkurentnosti poljoprivredne proizvodnje</w:t>
      </w:r>
    </w:p>
    <w:p w:rsidR="00D849AA" w:rsidRDefault="00EE6D95">
      <w:pPr>
        <w:pStyle w:val="Normal6"/>
      </w:pPr>
      <w:r>
        <w:t>Povećanje konkurentnosti proizvodnje na poljoprivrednim gospodarstvima i u subjektima uključenim u preradu poljoprivrednih proizvoda ostvarit će se davanjem potpora za investicije u dugotrajnu imovinu, izgradnja i rekonstrukcija proizvodnih objekata te opremanje proizvodnih objekata, u stočarstvu, biljnoj proizvodnji, prehrambenoj industriji. Potpore trebaju doprinijeti postizanju ekonomije obujma, modernizaciji tehnoloških procesa i primjeni EU standarda u proizvodnji, a koji se odnose na zaštitu okoliša, zdravlje i dobrobit životinja te sigurnost na radu.</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Povećanje bruto dodane vrijednosti</w:t>
            </w:r>
          </w:p>
        </w:tc>
        <w:tc>
          <w:tcPr>
            <w:tcW w:w="1114" w:type="dxa"/>
          </w:tcPr>
          <w:p w:rsidR="00D849AA" w:rsidRDefault="00EE6D95">
            <w:r>
              <w:t>%</w:t>
            </w:r>
          </w:p>
        </w:tc>
        <w:tc>
          <w:tcPr>
            <w:tcW w:w="1114" w:type="dxa"/>
          </w:tcPr>
          <w:p w:rsidR="00D849AA" w:rsidRDefault="00EE6D95">
            <w:r>
              <w:t>0</w:t>
            </w:r>
          </w:p>
        </w:tc>
        <w:tc>
          <w:tcPr>
            <w:tcW w:w="1486" w:type="dxa"/>
          </w:tcPr>
          <w:p w:rsidR="00D849AA" w:rsidRDefault="00EE6D95">
            <w:r>
              <w:t>3</w:t>
            </w:r>
          </w:p>
        </w:tc>
        <w:tc>
          <w:tcPr>
            <w:tcW w:w="1486" w:type="dxa"/>
          </w:tcPr>
          <w:p w:rsidR="00D849AA" w:rsidRDefault="00EE6D95">
            <w:r>
              <w:t>4</w:t>
            </w:r>
          </w:p>
        </w:tc>
        <w:tc>
          <w:tcPr>
            <w:tcW w:w="1486" w:type="dxa"/>
          </w:tcPr>
          <w:p w:rsidR="00D849AA" w:rsidRDefault="00EE6D95">
            <w:r>
              <w:t>5</w:t>
            </w:r>
          </w:p>
        </w:tc>
      </w:tr>
    </w:tbl>
    <w:p w:rsidR="00D849AA" w:rsidRDefault="00D849AA">
      <w:pPr>
        <w:jc w:val="left"/>
      </w:pPr>
    </w:p>
    <w:p w:rsidR="00D849AA" w:rsidRDefault="00EE6D95">
      <w:pPr>
        <w:pStyle w:val="Naslov7"/>
      </w:pPr>
      <w:r>
        <w:t>Cilj 2. Očuvanje biološke raznolikosti</w:t>
      </w:r>
    </w:p>
    <w:p w:rsidR="00D849AA" w:rsidRDefault="00EE6D95">
      <w:pPr>
        <w:pStyle w:val="Normal6"/>
      </w:pPr>
      <w:r>
        <w:t>Očuvanje biološke raznolikosti ostvarit će se davanjem potpora poljoprivrednim gospodarstvima za držanje zaštićenih i izvornih pasmina domaćih životinja. Potpore se daju po grlu/kljunu životinje.</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Povećanje broja životinja</w:t>
            </w:r>
          </w:p>
        </w:tc>
        <w:tc>
          <w:tcPr>
            <w:tcW w:w="1114" w:type="dxa"/>
          </w:tcPr>
          <w:p w:rsidR="00D849AA" w:rsidRDefault="00EE6D95">
            <w:r>
              <w:t>Broj</w:t>
            </w:r>
          </w:p>
        </w:tc>
        <w:tc>
          <w:tcPr>
            <w:tcW w:w="1114" w:type="dxa"/>
          </w:tcPr>
          <w:p w:rsidR="00D849AA" w:rsidRDefault="00EE6D95">
            <w:r>
              <w:t>1</w:t>
            </w:r>
          </w:p>
        </w:tc>
        <w:tc>
          <w:tcPr>
            <w:tcW w:w="1486" w:type="dxa"/>
          </w:tcPr>
          <w:p w:rsidR="00D849AA" w:rsidRDefault="00EE6D95">
            <w:r>
              <w:t>1,1</w:t>
            </w:r>
          </w:p>
        </w:tc>
        <w:tc>
          <w:tcPr>
            <w:tcW w:w="1486" w:type="dxa"/>
          </w:tcPr>
          <w:p w:rsidR="00D849AA" w:rsidRDefault="00EE6D95">
            <w:r>
              <w:t>1,1</w:t>
            </w:r>
          </w:p>
        </w:tc>
        <w:tc>
          <w:tcPr>
            <w:tcW w:w="1486" w:type="dxa"/>
          </w:tcPr>
          <w:p w:rsidR="00D849AA" w:rsidRDefault="00EE6D95">
            <w:r>
              <w:t>1,2</w:t>
            </w:r>
          </w:p>
        </w:tc>
      </w:tr>
    </w:tbl>
    <w:p w:rsidR="00D849AA" w:rsidRDefault="00D849AA">
      <w:pPr>
        <w:jc w:val="left"/>
      </w:pPr>
    </w:p>
    <w:p w:rsidR="00D849AA" w:rsidRDefault="00EE6D95">
      <w:pPr>
        <w:pStyle w:val="Naslov7"/>
      </w:pPr>
      <w:r>
        <w:t>Cilj 3. Diversifikacija dohotka u ruralnim područjima</w:t>
      </w:r>
    </w:p>
    <w:p w:rsidR="00D849AA" w:rsidRDefault="00EE6D95">
      <w:pPr>
        <w:pStyle w:val="Normal6"/>
      </w:pPr>
      <w:r>
        <w:t>Diversifikacija dohotka u ruralnim područjima ostvariti će se davanjem potpora poljoprivrednim gospodarstvima i poduzetnicima u ruralnim područjima za investicije u dugotrajnu imovinu - izgradnja i rekonstrukcija objekata, opremanje objekata u sektorima prerade i izravne prodaje na poljoprivrednim gospodarstvima, ruralnog turizma, tradicionalnih obrta i korištenja obnovljivih izvora energije. Potpore trebaju doprinijeti diversifikaciji djelatnosti na poljoprivrednim gospodarstvima i na ruralnim područjima općenito.</w:t>
      </w:r>
    </w:p>
    <w:p w:rsidR="00B151E0" w:rsidRDefault="00B151E0">
      <w:pPr>
        <w:pStyle w:val="Normal6"/>
      </w:pPr>
    </w:p>
    <w:p w:rsidR="00B151E0" w:rsidRDefault="00B151E0">
      <w:pPr>
        <w:pStyle w:val="Normal6"/>
      </w:pPr>
    </w:p>
    <w:p w:rsidR="00B151E0" w:rsidRDefault="00B151E0">
      <w:pPr>
        <w:pStyle w:val="Normal6"/>
      </w:pPr>
    </w:p>
    <w:p w:rsidR="00D849AA" w:rsidRDefault="00EE6D95">
      <w:pPr>
        <w:pStyle w:val="Naslov8"/>
        <w:jc w:val="left"/>
      </w:pPr>
      <w:r>
        <w:lastRenderedPageBreak/>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 xml:space="preserve">Povećanje broja  diversificiranih </w:t>
            </w:r>
          </w:p>
          <w:p w:rsidR="00D849AA" w:rsidRDefault="00EE6D95">
            <w:pPr>
              <w:pStyle w:val="CellColumn"/>
            </w:pPr>
            <w:r>
              <w:t>gospodarstava</w:t>
            </w:r>
          </w:p>
        </w:tc>
        <w:tc>
          <w:tcPr>
            <w:tcW w:w="1114" w:type="dxa"/>
          </w:tcPr>
          <w:p w:rsidR="00D849AA" w:rsidRDefault="00EE6D95">
            <w:r>
              <w:t>Broj</w:t>
            </w:r>
          </w:p>
        </w:tc>
        <w:tc>
          <w:tcPr>
            <w:tcW w:w="1114" w:type="dxa"/>
          </w:tcPr>
          <w:p w:rsidR="00D849AA" w:rsidRDefault="00EE6D95">
            <w:r>
              <w:t>1</w:t>
            </w:r>
          </w:p>
        </w:tc>
        <w:tc>
          <w:tcPr>
            <w:tcW w:w="1486" w:type="dxa"/>
          </w:tcPr>
          <w:p w:rsidR="00D849AA" w:rsidRDefault="00EE6D95">
            <w:r>
              <w:t>1,05</w:t>
            </w:r>
          </w:p>
        </w:tc>
        <w:tc>
          <w:tcPr>
            <w:tcW w:w="1486" w:type="dxa"/>
          </w:tcPr>
          <w:p w:rsidR="00D849AA" w:rsidRDefault="00EE6D95">
            <w:r>
              <w:t>1,1</w:t>
            </w:r>
          </w:p>
        </w:tc>
        <w:tc>
          <w:tcPr>
            <w:tcW w:w="1486" w:type="dxa"/>
          </w:tcPr>
          <w:p w:rsidR="00D849AA" w:rsidRDefault="00EE6D95">
            <w:r>
              <w:t>1,2</w:t>
            </w:r>
          </w:p>
        </w:tc>
      </w:tr>
    </w:tbl>
    <w:p w:rsidR="00D849AA" w:rsidRDefault="00D849AA">
      <w:pPr>
        <w:jc w:val="left"/>
      </w:pPr>
    </w:p>
    <w:p w:rsidR="00D849AA" w:rsidRDefault="00EE6D95">
      <w:pPr>
        <w:pStyle w:val="Naslov7"/>
      </w:pPr>
      <w:r>
        <w:t>Cilj 4. Povećanje informiranosti poljoprivrednika</w:t>
      </w:r>
    </w:p>
    <w:p w:rsidR="00D849AA" w:rsidRDefault="00EE6D95">
      <w:pPr>
        <w:pStyle w:val="Normal6"/>
      </w:pPr>
      <w:r>
        <w:t>Bolje informiranje poljoprivrednika ostvarit će se davanjem potpora organizatorima znanstveno-stručnih, gospodarskih i lokalnih manifestacija za promidžbu programa potpora poljoprivredi i ruralnom razvoju, rada ustanova u poljoprivredi, poljoprivredne tehnologije i lokalnih događanja.</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Povećanje broja  gospodarstava / poljoprivrednika uključenih u sustav informiranja</w:t>
            </w:r>
          </w:p>
        </w:tc>
        <w:tc>
          <w:tcPr>
            <w:tcW w:w="1114" w:type="dxa"/>
          </w:tcPr>
          <w:p w:rsidR="00D849AA" w:rsidRDefault="00EE6D95">
            <w:r>
              <w:t>Broj</w:t>
            </w:r>
          </w:p>
        </w:tc>
        <w:tc>
          <w:tcPr>
            <w:tcW w:w="1114" w:type="dxa"/>
          </w:tcPr>
          <w:p w:rsidR="00D849AA" w:rsidRDefault="00EE6D95">
            <w:r>
              <w:t>1</w:t>
            </w:r>
          </w:p>
        </w:tc>
        <w:tc>
          <w:tcPr>
            <w:tcW w:w="1486" w:type="dxa"/>
          </w:tcPr>
          <w:p w:rsidR="00D849AA" w:rsidRDefault="00EE6D95">
            <w:r>
              <w:t>1,1</w:t>
            </w:r>
          </w:p>
        </w:tc>
        <w:tc>
          <w:tcPr>
            <w:tcW w:w="1486" w:type="dxa"/>
          </w:tcPr>
          <w:p w:rsidR="00D849AA" w:rsidRDefault="00EE6D95">
            <w:r>
              <w:t>1,2</w:t>
            </w:r>
          </w:p>
        </w:tc>
        <w:tc>
          <w:tcPr>
            <w:tcW w:w="1486" w:type="dxa"/>
          </w:tcPr>
          <w:p w:rsidR="00D849AA" w:rsidRDefault="00EE6D95">
            <w:r>
              <w:t>1,3</w:t>
            </w:r>
          </w:p>
        </w:tc>
      </w:tr>
    </w:tbl>
    <w:p w:rsidR="00D849AA" w:rsidRDefault="00D849AA">
      <w:pPr>
        <w:jc w:val="left"/>
      </w:pPr>
    </w:p>
    <w:p w:rsidR="00D849AA" w:rsidRDefault="00EE6D95">
      <w:pPr>
        <w:pStyle w:val="Naslov5"/>
      </w:pPr>
      <w:r>
        <w:t>Procjena i ishodište potrebnih sredstava za značajnije aktivnosti/projekte</w:t>
      </w:r>
    </w:p>
    <w:p w:rsidR="00D849AA" w:rsidRDefault="00EE6D95">
      <w:pPr>
        <w:pStyle w:val="Naslov6"/>
      </w:pPr>
      <w:r>
        <w:t>A568022 OČUVANJE IZVORNIH I ZAŠTIĆENIH PASMINA DOMAĆIH ŽIVOTINJA RURALNI RAZVITAK</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A568022</w:t>
            </w:r>
          </w:p>
        </w:tc>
        <w:tc>
          <w:tcPr>
            <w:tcW w:w="1486" w:type="dxa"/>
          </w:tcPr>
          <w:p w:rsidR="00D849AA" w:rsidRDefault="00EE6D95">
            <w:r>
              <w:t>23.000.000</w:t>
            </w:r>
          </w:p>
        </w:tc>
        <w:tc>
          <w:tcPr>
            <w:tcW w:w="1486" w:type="dxa"/>
          </w:tcPr>
          <w:p w:rsidR="00D849AA" w:rsidRDefault="00EE6D95">
            <w:r>
              <w:t>20.000.000</w:t>
            </w:r>
          </w:p>
        </w:tc>
        <w:tc>
          <w:tcPr>
            <w:tcW w:w="1486" w:type="dxa"/>
          </w:tcPr>
          <w:p w:rsidR="00D849AA" w:rsidRDefault="00EE6D95">
            <w:r>
              <w:t>00</w:t>
            </w:r>
          </w:p>
        </w:tc>
        <w:tc>
          <w:tcPr>
            <w:tcW w:w="1486" w:type="dxa"/>
          </w:tcPr>
          <w:p w:rsidR="00D849AA" w:rsidRDefault="00EE6D95">
            <w:r>
              <w:t>00</w:t>
            </w:r>
          </w:p>
        </w:tc>
        <w:tc>
          <w:tcPr>
            <w:tcW w:w="1486" w:type="dxa"/>
          </w:tcPr>
          <w:p w:rsidR="00D849AA" w:rsidRDefault="00EE6D95">
            <w:r>
              <w:t>87,0</w:t>
            </w:r>
          </w:p>
        </w:tc>
      </w:tr>
    </w:tbl>
    <w:p w:rsidR="00D849AA" w:rsidRDefault="00D849AA">
      <w:pPr>
        <w:jc w:val="left"/>
      </w:pPr>
    </w:p>
    <w:p w:rsidR="00D849AA" w:rsidRDefault="00EE6D95">
      <w:pPr>
        <w:pStyle w:val="Normal6"/>
      </w:pPr>
      <w:r>
        <w:t>Mjerom potpore izvornih i zaštićenih pasmina, nastoji se očuvati od gubitka zatečeni fond autohtonih pasmina domaćih životinja što predstavlja zaštitu nacionalnog, genetskog i kulturnog nasljeđa u Republici Hrvatskoj. Istovremeno se na taj način značajno doprinosi očuvanju i razvoju bioraznolikosti područja RH. Ova mjera potpore postoji više godina a ovdje se pojavljuje kao nova aktivnost zbog repozicioniranja u Proračunu i nove strukture proračuna zbog pristupanja RH u EU te radi veće preglednosti proračuna i ažurnijeg praćenja izvršenja mjere.</w:t>
      </w:r>
    </w:p>
    <w:p w:rsidR="00B151E0" w:rsidRDefault="00B151E0">
      <w:pPr>
        <w:pStyle w:val="Normal6"/>
      </w:pPr>
    </w:p>
    <w:p w:rsidR="00B151E0" w:rsidRDefault="00B151E0">
      <w:pPr>
        <w:pStyle w:val="Normal6"/>
      </w:pPr>
    </w:p>
    <w:p w:rsidR="00B151E0" w:rsidRDefault="00B151E0">
      <w:pPr>
        <w:pStyle w:val="Normal6"/>
      </w:pPr>
    </w:p>
    <w:p w:rsidR="00D849AA" w:rsidRDefault="00EE6D95">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Broj korisnika potpore</w:t>
            </w:r>
          </w:p>
        </w:tc>
        <w:tc>
          <w:tcPr>
            <w:tcW w:w="1114" w:type="dxa"/>
          </w:tcPr>
          <w:p w:rsidR="00D849AA" w:rsidRDefault="00EE6D95">
            <w:r>
              <w:t>Broj</w:t>
            </w:r>
          </w:p>
        </w:tc>
        <w:tc>
          <w:tcPr>
            <w:tcW w:w="1114" w:type="dxa"/>
          </w:tcPr>
          <w:p w:rsidR="00D849AA" w:rsidRDefault="00EE6D95">
            <w:r>
              <w:t>2.740</w:t>
            </w:r>
          </w:p>
        </w:tc>
        <w:tc>
          <w:tcPr>
            <w:tcW w:w="1486" w:type="dxa"/>
          </w:tcPr>
          <w:p w:rsidR="00D849AA" w:rsidRDefault="00EE6D95">
            <w:r>
              <w:t>2.795</w:t>
            </w:r>
          </w:p>
        </w:tc>
        <w:tc>
          <w:tcPr>
            <w:tcW w:w="1486" w:type="dxa"/>
          </w:tcPr>
          <w:p w:rsidR="00D849AA" w:rsidRDefault="00EE6D95">
            <w:r>
              <w:t>2.850</w:t>
            </w:r>
          </w:p>
        </w:tc>
        <w:tc>
          <w:tcPr>
            <w:tcW w:w="1486" w:type="dxa"/>
          </w:tcPr>
          <w:p w:rsidR="00D849AA" w:rsidRDefault="00EE6D95">
            <w:r>
              <w:t>2.907</w:t>
            </w:r>
          </w:p>
        </w:tc>
      </w:tr>
    </w:tbl>
    <w:p w:rsidR="00D849AA" w:rsidRDefault="00D849AA">
      <w:pPr>
        <w:jc w:val="left"/>
      </w:pPr>
    </w:p>
    <w:p w:rsidR="00D849AA" w:rsidRDefault="00EE6D95">
      <w:pPr>
        <w:pStyle w:val="Naslov6"/>
      </w:pPr>
      <w:r>
        <w:t>A820058 ZPP - MJERE RURALNOG RAZVOJA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A820058</w:t>
            </w:r>
          </w:p>
        </w:tc>
        <w:tc>
          <w:tcPr>
            <w:tcW w:w="1486" w:type="dxa"/>
          </w:tcPr>
          <w:p w:rsidR="00D849AA" w:rsidRDefault="00EE6D95">
            <w:r>
              <w:t>00</w:t>
            </w:r>
          </w:p>
        </w:tc>
        <w:tc>
          <w:tcPr>
            <w:tcW w:w="1486" w:type="dxa"/>
          </w:tcPr>
          <w:p w:rsidR="00D849AA" w:rsidRDefault="00EE6D95">
            <w:r>
              <w:t>75.000.000</w:t>
            </w:r>
          </w:p>
        </w:tc>
        <w:tc>
          <w:tcPr>
            <w:tcW w:w="1486" w:type="dxa"/>
          </w:tcPr>
          <w:p w:rsidR="00D849AA" w:rsidRDefault="00EE6D95">
            <w:r>
              <w:t>1.966.641.640</w:t>
            </w:r>
          </w:p>
        </w:tc>
        <w:tc>
          <w:tcPr>
            <w:tcW w:w="1486" w:type="dxa"/>
          </w:tcPr>
          <w:p w:rsidR="00D849AA" w:rsidRDefault="00EE6D95">
            <w:r>
              <w:t>2.445.975.873</w:t>
            </w:r>
          </w:p>
        </w:tc>
        <w:tc>
          <w:tcPr>
            <w:tcW w:w="1486" w:type="dxa"/>
          </w:tcPr>
          <w:p w:rsidR="00D849AA" w:rsidRDefault="00EE6D95">
            <w:r>
              <w:t>0,0</w:t>
            </w:r>
          </w:p>
        </w:tc>
      </w:tr>
    </w:tbl>
    <w:p w:rsidR="00D849AA" w:rsidRDefault="00D849AA">
      <w:pPr>
        <w:jc w:val="left"/>
      </w:pPr>
    </w:p>
    <w:p w:rsidR="00D849AA" w:rsidRDefault="00EE6D95">
      <w:pPr>
        <w:pStyle w:val="Normal6"/>
      </w:pPr>
      <w:r>
        <w:t>Stupanjem u punopravno članstvo u Europskoj uniji, Republici Hrvatskoj otvorena je mogućnost korištenja strukturnih fondova Europske unije, uključujući i EAFRD. Kroz odabrane mjere, kao što su prijenos znanja, savjetovanje, ulaganje u materijalnu imovinu i navodnjavanje, razvoj i obnova sela, diversifikacija, poticaj osiguranju od elementarnih nepogoda, udruživanje proizvođača I kooperacija, kao i ekološka proizvodnja , agro-okolišna te plaćanja područjima s ograničenjima u proizvodnji, cilj je obnoviti i potaknuti razvoj proizvodnje  i životne uvjete na ruralnom području kao i očuvati i unaprijediti brigu o okolišu.</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Broj korisnika potpore</w:t>
            </w:r>
          </w:p>
        </w:tc>
        <w:tc>
          <w:tcPr>
            <w:tcW w:w="1114" w:type="dxa"/>
          </w:tcPr>
          <w:p w:rsidR="00D849AA" w:rsidRDefault="00EE6D95">
            <w:r>
              <w:t>broj</w:t>
            </w:r>
          </w:p>
        </w:tc>
        <w:tc>
          <w:tcPr>
            <w:tcW w:w="1114" w:type="dxa"/>
          </w:tcPr>
          <w:p w:rsidR="00D849AA" w:rsidRDefault="00EE6D95">
            <w:r>
              <w:t>0</w:t>
            </w:r>
          </w:p>
        </w:tc>
        <w:tc>
          <w:tcPr>
            <w:tcW w:w="1486" w:type="dxa"/>
          </w:tcPr>
          <w:p w:rsidR="00D849AA" w:rsidRDefault="00EE6D95">
            <w:r>
              <w:t>180</w:t>
            </w:r>
          </w:p>
        </w:tc>
        <w:tc>
          <w:tcPr>
            <w:tcW w:w="1486" w:type="dxa"/>
          </w:tcPr>
          <w:p w:rsidR="00D849AA" w:rsidRDefault="00EE6D95">
            <w:r>
              <w:t>1750</w:t>
            </w:r>
          </w:p>
        </w:tc>
        <w:tc>
          <w:tcPr>
            <w:tcW w:w="1486" w:type="dxa"/>
          </w:tcPr>
          <w:p w:rsidR="00D849AA" w:rsidRDefault="00EE6D95">
            <w:r>
              <w:t>2200</w:t>
            </w:r>
          </w:p>
        </w:tc>
      </w:tr>
    </w:tbl>
    <w:p w:rsidR="00D849AA" w:rsidRDefault="00D849AA">
      <w:pPr>
        <w:jc w:val="left"/>
      </w:pPr>
    </w:p>
    <w:p w:rsidR="00D849AA" w:rsidRDefault="00EE6D95">
      <w:pPr>
        <w:pStyle w:val="Naslov6"/>
      </w:pPr>
      <w:r>
        <w:t>T401118 IPARD</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T401118</w:t>
            </w:r>
          </w:p>
        </w:tc>
        <w:tc>
          <w:tcPr>
            <w:tcW w:w="1486" w:type="dxa"/>
          </w:tcPr>
          <w:p w:rsidR="00D849AA" w:rsidRDefault="00EE6D95">
            <w:r>
              <w:t>275.000.000</w:t>
            </w:r>
          </w:p>
        </w:tc>
        <w:tc>
          <w:tcPr>
            <w:tcW w:w="1486" w:type="dxa"/>
          </w:tcPr>
          <w:p w:rsidR="00D849AA" w:rsidRDefault="00EE6D95">
            <w:r>
              <w:t>250.000.000</w:t>
            </w:r>
          </w:p>
        </w:tc>
        <w:tc>
          <w:tcPr>
            <w:tcW w:w="1486" w:type="dxa"/>
          </w:tcPr>
          <w:p w:rsidR="00D849AA" w:rsidRDefault="00EE6D95">
            <w:r>
              <w:t>280.000.000</w:t>
            </w:r>
          </w:p>
        </w:tc>
        <w:tc>
          <w:tcPr>
            <w:tcW w:w="1486" w:type="dxa"/>
          </w:tcPr>
          <w:p w:rsidR="00D849AA" w:rsidRDefault="00EE6D95">
            <w:r>
              <w:t>280.000.000</w:t>
            </w:r>
          </w:p>
        </w:tc>
        <w:tc>
          <w:tcPr>
            <w:tcW w:w="1486" w:type="dxa"/>
          </w:tcPr>
          <w:p w:rsidR="00D849AA" w:rsidRDefault="00EE6D95">
            <w:r>
              <w:t>90,9</w:t>
            </w:r>
          </w:p>
        </w:tc>
      </w:tr>
    </w:tbl>
    <w:p w:rsidR="00D849AA" w:rsidRDefault="00D849AA">
      <w:pPr>
        <w:jc w:val="left"/>
      </w:pPr>
    </w:p>
    <w:p w:rsidR="00D849AA" w:rsidRDefault="00EE6D95">
      <w:pPr>
        <w:pStyle w:val="Normal6"/>
      </w:pPr>
      <w:r>
        <w:t>Pokazatelji se odnose na provedbu mjera iz IPARD programa i to : mjere 101 ulaganja u poljoprivredna gospodarstva, i mjere 103 ulaganja u preradu i trženje poljoprivrednih i ribljih proizvoda, mjere 301 poboljšanje i razvoj ruralne infrastrukture i mjere 302 diversifikacija i razvoj ruralnih gospodarskih aktivnosti, mjere 202 priprema i provedba lokalnih strategija ruralnog razvoja i mjere 501 tehnička pomoć. Potpore kroz ove mjere trebaju rezultirati povećanjem obujma proizvodnje, modernizaciji tehnološkog procesa i dostizanju standarda EU u proizvodnji, a koji se odnose na zaštitu okoliša, zdravlje ljudi i životinja, dobrobiti životinja te sigurnosti na radu.</w:t>
      </w:r>
    </w:p>
    <w:p w:rsidR="00B151E0" w:rsidRDefault="00B151E0">
      <w:pPr>
        <w:pStyle w:val="Normal6"/>
      </w:pPr>
    </w:p>
    <w:p w:rsidR="00B151E0" w:rsidRDefault="00B151E0">
      <w:pPr>
        <w:pStyle w:val="Normal6"/>
      </w:pPr>
    </w:p>
    <w:p w:rsidR="00D849AA" w:rsidRDefault="00EE6D95">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Broj korisnika potpore</w:t>
            </w:r>
          </w:p>
        </w:tc>
        <w:tc>
          <w:tcPr>
            <w:tcW w:w="1114" w:type="dxa"/>
          </w:tcPr>
          <w:p w:rsidR="00D849AA" w:rsidRDefault="00EE6D95">
            <w:r>
              <w:t>Broj</w:t>
            </w:r>
          </w:p>
        </w:tc>
        <w:tc>
          <w:tcPr>
            <w:tcW w:w="1114" w:type="dxa"/>
          </w:tcPr>
          <w:p w:rsidR="00D849AA" w:rsidRDefault="00EE6D95">
            <w:r>
              <w:t>220</w:t>
            </w:r>
          </w:p>
        </w:tc>
        <w:tc>
          <w:tcPr>
            <w:tcW w:w="1486" w:type="dxa"/>
          </w:tcPr>
          <w:p w:rsidR="00D849AA" w:rsidRDefault="00EE6D95">
            <w:r>
              <w:t>350</w:t>
            </w:r>
          </w:p>
        </w:tc>
        <w:tc>
          <w:tcPr>
            <w:tcW w:w="1486" w:type="dxa"/>
          </w:tcPr>
          <w:p w:rsidR="00D849AA" w:rsidRDefault="00EE6D95">
            <w:r>
              <w:t>450</w:t>
            </w:r>
          </w:p>
        </w:tc>
        <w:tc>
          <w:tcPr>
            <w:tcW w:w="1486" w:type="dxa"/>
          </w:tcPr>
          <w:p w:rsidR="00D849AA" w:rsidRDefault="00EE6D95">
            <w:r>
              <w:t>450</w:t>
            </w:r>
          </w:p>
        </w:tc>
      </w:tr>
    </w:tbl>
    <w:p w:rsidR="00D849AA" w:rsidRDefault="00D849AA">
      <w:pPr>
        <w:jc w:val="left"/>
      </w:pPr>
    </w:p>
    <w:p w:rsidR="00D849AA" w:rsidRDefault="00EE6D95">
      <w:pPr>
        <w:pStyle w:val="Naslov6"/>
      </w:pPr>
      <w:r>
        <w:t>T820053 EKOLOŠKA POLJOPRIVREDNA PROIZVODNJA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T820053</w:t>
            </w:r>
          </w:p>
        </w:tc>
        <w:tc>
          <w:tcPr>
            <w:tcW w:w="1486" w:type="dxa"/>
          </w:tcPr>
          <w:p w:rsidR="00D849AA" w:rsidRDefault="00EE6D95">
            <w:r>
              <w:t>65.000.000</w:t>
            </w:r>
          </w:p>
        </w:tc>
        <w:tc>
          <w:tcPr>
            <w:tcW w:w="1486" w:type="dxa"/>
          </w:tcPr>
          <w:p w:rsidR="00D849AA" w:rsidRDefault="00EE6D95">
            <w:r>
              <w:t>70.000.000</w:t>
            </w:r>
          </w:p>
        </w:tc>
        <w:tc>
          <w:tcPr>
            <w:tcW w:w="1486" w:type="dxa"/>
          </w:tcPr>
          <w:p w:rsidR="00D849AA" w:rsidRDefault="00EE6D95">
            <w:r>
              <w:t>00</w:t>
            </w:r>
          </w:p>
        </w:tc>
        <w:tc>
          <w:tcPr>
            <w:tcW w:w="1486" w:type="dxa"/>
          </w:tcPr>
          <w:p w:rsidR="00D849AA" w:rsidRDefault="00EE6D95">
            <w:r>
              <w:t>00</w:t>
            </w:r>
          </w:p>
        </w:tc>
        <w:tc>
          <w:tcPr>
            <w:tcW w:w="1486" w:type="dxa"/>
          </w:tcPr>
          <w:p w:rsidR="00D849AA" w:rsidRDefault="00EE6D95">
            <w:r>
              <w:t>107,7</w:t>
            </w:r>
          </w:p>
        </w:tc>
      </w:tr>
    </w:tbl>
    <w:p w:rsidR="00D849AA" w:rsidRDefault="00D849AA">
      <w:pPr>
        <w:jc w:val="left"/>
      </w:pPr>
    </w:p>
    <w:p w:rsidR="00D849AA" w:rsidRDefault="00EE6D95">
      <w:pPr>
        <w:pStyle w:val="Normal6"/>
      </w:pPr>
      <w:r>
        <w:t>Mjerom potpore ekološkoj poljoprivrednoj proizvodnji, (koja je poseban je sustav održivoga gospodarenja u poljoprivredi i obuhvaća uzgoj bilja i životinja, proizvodnju hrane, sirovina i prirodnih vlakana te preradu primarnih proizvoda, najpovoljnije koristeći plodnost tla i raspoložive vode, prirodna svojstva biljaka, životinja i krajobraza, povećanje prinosa i otpornosti biljaka uz propisanu uporabu gnojiva, sredstava za zaštitu bilja i životinja), potiče se zadržavanje postojećih uz stimuliranje novih proizvođača u grani poljoprivredne proizvodnje za čijim proizvodima se zbog utjecaja na zdravlje ljudi konstantno povećava potražnja na tržištu.</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Broj korisnika potpore</w:t>
            </w:r>
          </w:p>
        </w:tc>
        <w:tc>
          <w:tcPr>
            <w:tcW w:w="1114" w:type="dxa"/>
          </w:tcPr>
          <w:p w:rsidR="00D849AA" w:rsidRDefault="00EE6D95">
            <w:r>
              <w:t>Broj</w:t>
            </w:r>
          </w:p>
        </w:tc>
        <w:tc>
          <w:tcPr>
            <w:tcW w:w="1114" w:type="dxa"/>
          </w:tcPr>
          <w:p w:rsidR="00D849AA" w:rsidRDefault="00EE6D95">
            <w:r>
              <w:t>1874</w:t>
            </w:r>
          </w:p>
        </w:tc>
        <w:tc>
          <w:tcPr>
            <w:tcW w:w="1486" w:type="dxa"/>
          </w:tcPr>
          <w:p w:rsidR="00D849AA" w:rsidRDefault="00EE6D95">
            <w:r>
              <w:t>1964</w:t>
            </w:r>
          </w:p>
        </w:tc>
        <w:tc>
          <w:tcPr>
            <w:tcW w:w="1486" w:type="dxa"/>
          </w:tcPr>
          <w:p w:rsidR="00D849AA" w:rsidRDefault="00EE6D95">
            <w:r>
              <w:t>2050</w:t>
            </w:r>
          </w:p>
        </w:tc>
        <w:tc>
          <w:tcPr>
            <w:tcW w:w="1486" w:type="dxa"/>
          </w:tcPr>
          <w:p w:rsidR="00D849AA" w:rsidRDefault="00EE6D95">
            <w:r>
              <w:t>2141</w:t>
            </w:r>
          </w:p>
        </w:tc>
      </w:tr>
    </w:tbl>
    <w:p w:rsidR="00D849AA" w:rsidRDefault="00D849AA">
      <w:pPr>
        <w:jc w:val="left"/>
      </w:pPr>
    </w:p>
    <w:p w:rsidR="00B151E0" w:rsidRDefault="00B151E0" w:rsidP="00B151E0">
      <w:pPr>
        <w:jc w:val="left"/>
      </w:pPr>
    </w:p>
    <w:p w:rsidR="00B151E0" w:rsidRDefault="00B151E0" w:rsidP="00B151E0">
      <w:pPr>
        <w:pStyle w:val="Naslov4"/>
      </w:pPr>
      <w:r>
        <w:t>OBRAZLOŽENJE PROGRAMA</w:t>
      </w:r>
    </w:p>
    <w:p w:rsidR="00D849AA" w:rsidRDefault="00EE6D95">
      <w:pPr>
        <w:pStyle w:val="Naslov5"/>
      </w:pPr>
      <w:r>
        <w:t>3005 RIBARSTVO</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3005</w:t>
            </w:r>
          </w:p>
        </w:tc>
        <w:tc>
          <w:tcPr>
            <w:tcW w:w="1486" w:type="dxa"/>
          </w:tcPr>
          <w:p w:rsidR="00D849AA" w:rsidRDefault="00EE6D95">
            <w:r>
              <w:t>271.054.539</w:t>
            </w:r>
          </w:p>
        </w:tc>
        <w:tc>
          <w:tcPr>
            <w:tcW w:w="1486" w:type="dxa"/>
          </w:tcPr>
          <w:p w:rsidR="00D849AA" w:rsidRDefault="00EE6D95">
            <w:r>
              <w:t>209.792.229</w:t>
            </w:r>
          </w:p>
        </w:tc>
        <w:tc>
          <w:tcPr>
            <w:tcW w:w="1486" w:type="dxa"/>
          </w:tcPr>
          <w:p w:rsidR="00D849AA" w:rsidRDefault="00EE6D95">
            <w:r>
              <w:t>467.560.000</w:t>
            </w:r>
          </w:p>
        </w:tc>
        <w:tc>
          <w:tcPr>
            <w:tcW w:w="1486" w:type="dxa"/>
          </w:tcPr>
          <w:p w:rsidR="00D849AA" w:rsidRDefault="00EE6D95">
            <w:r>
              <w:t>483.890.000</w:t>
            </w:r>
          </w:p>
        </w:tc>
        <w:tc>
          <w:tcPr>
            <w:tcW w:w="1486" w:type="dxa"/>
          </w:tcPr>
          <w:p w:rsidR="00D849AA" w:rsidRDefault="00EE6D95">
            <w:r>
              <w:t>77,4</w:t>
            </w:r>
          </w:p>
        </w:tc>
      </w:tr>
    </w:tbl>
    <w:p w:rsidR="00D849AA" w:rsidRDefault="00D849AA">
      <w:pPr>
        <w:jc w:val="left"/>
      </w:pPr>
    </w:p>
    <w:p w:rsidR="00D849AA" w:rsidRDefault="00EE6D95">
      <w:pPr>
        <w:pStyle w:val="Naslov6"/>
      </w:pPr>
      <w:r>
        <w:t>Opis programa</w:t>
      </w:r>
    </w:p>
    <w:p w:rsidR="00D849AA" w:rsidRDefault="00EE6D95">
      <w:pPr>
        <w:pStyle w:val="Normal5"/>
      </w:pPr>
      <w:r>
        <w:t xml:space="preserve">U cilju uspostave ribarstvene politike u skladu sa zahtjevima Europske unije, i obzirom na potrebu jačanja konkurentnosti ribarskog sektora na zajedničkom tržištu EU, kroz program Ribarstvo predviđena su financiranja glavnih aktivnosti kako bi se postigli navedeni ciljevi. Pravna stečevina EU u dijelu ribarstva obuhvaćena je kroz Zajedničku ribarstvenu politiku EU </w:t>
      </w:r>
      <w:r>
        <w:lastRenderedPageBreak/>
        <w:t xml:space="preserve">koja sadrži: upravljanje resursima i flotom, nadzor i kontrolu, strukturne i tržišne mjere, državnu potporu te međunarodne ugovore, te je sukladno tomu i koncipiran sam Državni proračun RH. Novim Zakonom o morskom ribarstvu („Narodne novine“, br. 81/13) implementirane su sve uredbe EU iz područja ribarstva, te je istim stvoren i nacionalni pravni temelj za njihovu provedbu, te su određena nadležna tijela i kaznene odredbe. Važno je napomenuti da je Republika Hrvatska danom ulaska u EU dobila mogućnost korištenja financijskih sredstava kroz Europski ribarski fond za programsko razdoblje 2007.-2013. godina, te sredstva EU u okviru Nacionalnog programa prikupljanja sredstava i sredstava EU u okviru provedbe sustava nadzora i inspekcije. Ne manje značajna mogućnost je i provedba i financiranje državnih potpora (postojećih i novih) u sektoru ribarstva. </w:t>
      </w:r>
    </w:p>
    <w:p w:rsidR="00D849AA" w:rsidRDefault="00EE6D95">
      <w:pPr>
        <w:pStyle w:val="Normal5"/>
      </w:pPr>
      <w:r>
        <w:t xml:space="preserve">Održivo gospodarenje ribljim resursima temeljna je odrednica politike ribarstva koja je uređena odgovarajućim zakonodavnim okvirom. Cilj održivog upravljanja živim bogatstvima jest postići odgovorno i održivo iskorištavanje ribljih resursa na ekološki uravnotežen te gospodarski i društveno opravdan način kroz mjere za zaštitu, očuvanje i obnovu resursa i eko-sustava. </w:t>
      </w:r>
    </w:p>
    <w:p w:rsidR="00D849AA" w:rsidRDefault="00EE6D95">
      <w:pPr>
        <w:pStyle w:val="Normal5"/>
      </w:pPr>
      <w:r>
        <w:t xml:space="preserve">Mjere očuvanja i upravljanja se moraju zasnivati na najboljim dostupnim znanstvenim spoznajama i osiguravati dugoročnu održivost podjednako ribljih resursa kao i djelatnosti ribarstva te je stoga neophodan učinkovit sustav prikupljanja podataka o stanju resursa i ribolovnim aktivnostima. </w:t>
      </w:r>
    </w:p>
    <w:p w:rsidR="00D849AA" w:rsidRDefault="00EE6D95">
      <w:pPr>
        <w:pStyle w:val="Normal5"/>
      </w:pPr>
      <w:r>
        <w:t>Također, održivo gospodarenje ribljim resursima nije moguće bez učinkovitog sustava nadzora i kontrole kroz rad inspekcijskih službi i sustav satelitskog praćenja plovila. Uspostava funkcionalnog i odgovarajućeg sustava satelitskog praćenja plovila (VMS) u sklopu Ribarskog monitoring centra jedna je od značajnijih aktivnosti u procesu prilagodbe u okviru Zajedničke ribarstvene politike EU.</w:t>
      </w:r>
    </w:p>
    <w:p w:rsidR="00D849AA" w:rsidRDefault="00EE6D95">
      <w:pPr>
        <w:pStyle w:val="Naslov6"/>
      </w:pPr>
      <w:r>
        <w:t>Zakonske i druge pravne osnove</w:t>
      </w:r>
    </w:p>
    <w:p w:rsidR="00D849AA" w:rsidRDefault="00EE6D95">
      <w:pPr>
        <w:pStyle w:val="Normal5"/>
      </w:pPr>
      <w:r>
        <w:t xml:space="preserve">Zakon o morskom ribarstvu („Narodne novine«, br. 81/13) </w:t>
      </w:r>
    </w:p>
    <w:p w:rsidR="00D849AA" w:rsidRDefault="00EE6D95">
      <w:pPr>
        <w:pStyle w:val="Normal5"/>
      </w:pPr>
      <w:r>
        <w:t xml:space="preserve">Zakon o slatkovodnom ribarstvu („Narodne novine“, br. 106/01, 7/03, 174/04, 10/05- </w:t>
      </w:r>
    </w:p>
    <w:p w:rsidR="00D849AA" w:rsidRDefault="00EE6D95">
      <w:pPr>
        <w:pStyle w:val="Normal5"/>
      </w:pPr>
      <w:r>
        <w:t xml:space="preserve">ispravak i 49/05-pročišćeni tekst), </w:t>
      </w:r>
    </w:p>
    <w:p w:rsidR="00D849AA" w:rsidRDefault="00EE6D95">
      <w:pPr>
        <w:pStyle w:val="Normal5"/>
      </w:pPr>
      <w:r>
        <w:t xml:space="preserve">Pravilnik o sustavu nadzora i praćenja ribarskih plovila i ribarstvenom monitoring centru </w:t>
      </w:r>
    </w:p>
    <w:p w:rsidR="00D849AA" w:rsidRDefault="00EE6D95">
      <w:pPr>
        <w:pStyle w:val="Normal5"/>
      </w:pPr>
      <w:r>
        <w:t xml:space="preserve">(»Narodne novine«, br. 66/10) </w:t>
      </w:r>
    </w:p>
    <w:p w:rsidR="00D849AA" w:rsidRDefault="00EE6D95">
      <w:pPr>
        <w:pStyle w:val="Normal5"/>
      </w:pPr>
      <w:r>
        <w:t>Pravilnik o sadržaju Plana prikupljanja podataka o morskom ribarstvu i sadržaju godišnjih izvješća o stanju ribarstva (»Narodne novine«, br. 120/11).</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 xml:space="preserve">Cilj 1. Održivo upravljanje živim bogatstvima u ribarstvu </w:t>
      </w:r>
    </w:p>
    <w:p w:rsidR="00D849AA" w:rsidRDefault="00EE6D95">
      <w:pPr>
        <w:pStyle w:val="Normal6"/>
      </w:pPr>
      <w:r>
        <w:t xml:space="preserve">Ovim ciljem uređuje se gospodarenje i zaštitu obnovljivih bioloških bogatstava mora i slatkih voda, način i uvjete obavljanja ribolova i uzgoja, praćenje ulova i uzgoja kroz prikupljanje podataka i sustav praćenja plovila, nadzor i inspekciju. Održivo upravljanje živim bogatstvima u ribarstvu, kao temeljna odrednica politike ribarstvima zakonodavni okvir u Zakonu o morskom ribarstvu i Zakonu o slatkovodnom ribarstvu. Ostvarivanjem ovog cilja ide se u smjeru uspostave učinkovitog sustava prikupljanja podataka, nadzora i kontrole (satelitski sustav nadzora, nacionalni program prikupljanja podataka, iskrcajna mjesta i sl). </w:t>
      </w:r>
    </w:p>
    <w:p w:rsidR="00D849AA" w:rsidRDefault="00EE6D95">
      <w:pPr>
        <w:pStyle w:val="Normal6"/>
      </w:pPr>
      <w:r>
        <w:t xml:space="preserve">Temeljem ostvarivanja ovoga cilja jedino je moguće donositi kvalitetne mjere ribarske politike. Uspostava ovoga sustava je započeta kroz niz aktivnosti vezanih uz uvođenje </w:t>
      </w:r>
      <w:r>
        <w:lastRenderedPageBreak/>
        <w:t>Ribarstvenog monitoring centra, geoinformacijskog sustava, te osnaživanje ribarske inspekcije u svim segmentima.</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83"/>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Plovila obuhvaćena Planovima upravljanja</w:t>
            </w:r>
          </w:p>
        </w:tc>
        <w:tc>
          <w:tcPr>
            <w:tcW w:w="1114" w:type="dxa"/>
          </w:tcPr>
          <w:p w:rsidR="00D849AA" w:rsidRDefault="00EE6D95">
            <w:r>
              <w:t>Broj</w:t>
            </w:r>
          </w:p>
        </w:tc>
        <w:tc>
          <w:tcPr>
            <w:tcW w:w="1114" w:type="dxa"/>
          </w:tcPr>
          <w:p w:rsidR="00D849AA" w:rsidRDefault="00EE6D95">
            <w:r>
              <w:t xml:space="preserve">0 </w:t>
            </w:r>
          </w:p>
          <w:p w:rsidR="00D849AA" w:rsidRDefault="00EE6D95">
            <w:r>
              <w:t>(u ovome trenu nema izrađenih Planova upravljanja)</w:t>
            </w:r>
          </w:p>
        </w:tc>
        <w:tc>
          <w:tcPr>
            <w:tcW w:w="1486" w:type="dxa"/>
          </w:tcPr>
          <w:p w:rsidR="00D849AA" w:rsidRDefault="00EE6D95">
            <w:r>
              <w:t>300</w:t>
            </w:r>
          </w:p>
        </w:tc>
        <w:tc>
          <w:tcPr>
            <w:tcW w:w="1486" w:type="dxa"/>
          </w:tcPr>
          <w:p w:rsidR="00D849AA" w:rsidRDefault="00EE6D95">
            <w:r>
              <w:t>350</w:t>
            </w:r>
          </w:p>
        </w:tc>
        <w:tc>
          <w:tcPr>
            <w:tcW w:w="1486" w:type="dxa"/>
          </w:tcPr>
          <w:p w:rsidR="00D849AA" w:rsidRDefault="00EE6D95">
            <w:r>
              <w:t>350</w:t>
            </w:r>
          </w:p>
        </w:tc>
      </w:tr>
      <w:tr w:rsidR="00D849AA">
        <w:trPr>
          <w:jc w:val="center"/>
        </w:trPr>
        <w:tc>
          <w:tcPr>
            <w:tcW w:w="2229" w:type="dxa"/>
          </w:tcPr>
          <w:p w:rsidR="00D849AA" w:rsidRDefault="00EE6D95">
            <w:pPr>
              <w:pStyle w:val="CellColumn"/>
            </w:pPr>
            <w:r>
              <w:t>Povećanje broja plovila pokrivenih satelitskim sustavom nadzora plovila (VMS)</w:t>
            </w:r>
          </w:p>
        </w:tc>
        <w:tc>
          <w:tcPr>
            <w:tcW w:w="1114" w:type="dxa"/>
          </w:tcPr>
          <w:p w:rsidR="00D849AA" w:rsidRDefault="00EE6D95">
            <w:r>
              <w:t>Broj</w:t>
            </w:r>
          </w:p>
        </w:tc>
        <w:tc>
          <w:tcPr>
            <w:tcW w:w="1114" w:type="dxa"/>
          </w:tcPr>
          <w:p w:rsidR="00D849AA" w:rsidRDefault="00EE6D95">
            <w:r>
              <w:t>256</w:t>
            </w:r>
          </w:p>
        </w:tc>
        <w:tc>
          <w:tcPr>
            <w:tcW w:w="1486" w:type="dxa"/>
          </w:tcPr>
          <w:p w:rsidR="00D849AA" w:rsidRDefault="00EE6D95">
            <w:r>
              <w:t>400</w:t>
            </w:r>
          </w:p>
        </w:tc>
        <w:tc>
          <w:tcPr>
            <w:tcW w:w="1486" w:type="dxa"/>
          </w:tcPr>
          <w:p w:rsidR="00D849AA" w:rsidRDefault="00EE6D95">
            <w:r>
              <w:t>450</w:t>
            </w:r>
          </w:p>
        </w:tc>
        <w:tc>
          <w:tcPr>
            <w:tcW w:w="1486" w:type="dxa"/>
          </w:tcPr>
          <w:p w:rsidR="00D849AA" w:rsidRDefault="00EE6D95">
            <w:r>
              <w:t>500</w:t>
            </w:r>
          </w:p>
        </w:tc>
      </w:tr>
      <w:tr w:rsidR="00D849AA">
        <w:trPr>
          <w:jc w:val="center"/>
        </w:trPr>
        <w:tc>
          <w:tcPr>
            <w:tcW w:w="2229" w:type="dxa"/>
          </w:tcPr>
          <w:p w:rsidR="00D849AA" w:rsidRDefault="00EE6D95">
            <w:pPr>
              <w:pStyle w:val="CellColumn"/>
            </w:pPr>
            <w:r>
              <w:t>Povećanje broja plovila pokrivenih sustavom automatske identifikacije plovila (AIS)</w:t>
            </w:r>
          </w:p>
        </w:tc>
        <w:tc>
          <w:tcPr>
            <w:tcW w:w="1114" w:type="dxa"/>
          </w:tcPr>
          <w:p w:rsidR="00D849AA" w:rsidRDefault="00EE6D95">
            <w:r>
              <w:t>Broj</w:t>
            </w:r>
          </w:p>
        </w:tc>
        <w:tc>
          <w:tcPr>
            <w:tcW w:w="1114" w:type="dxa"/>
          </w:tcPr>
          <w:p w:rsidR="00D849AA" w:rsidRDefault="00EE6D95">
            <w:r>
              <w:t>0</w:t>
            </w:r>
          </w:p>
        </w:tc>
        <w:tc>
          <w:tcPr>
            <w:tcW w:w="1486" w:type="dxa"/>
          </w:tcPr>
          <w:p w:rsidR="00D849AA" w:rsidRDefault="00EE6D95">
            <w:r>
              <w:t>280</w:t>
            </w:r>
          </w:p>
        </w:tc>
        <w:tc>
          <w:tcPr>
            <w:tcW w:w="1486" w:type="dxa"/>
          </w:tcPr>
          <w:p w:rsidR="00D849AA" w:rsidRDefault="00EE6D95">
            <w:r>
              <w:t>400</w:t>
            </w:r>
          </w:p>
        </w:tc>
        <w:tc>
          <w:tcPr>
            <w:tcW w:w="1486" w:type="dxa"/>
          </w:tcPr>
          <w:p w:rsidR="00D849AA" w:rsidRDefault="00EE6D95">
            <w:r>
              <w:t>450</w:t>
            </w:r>
          </w:p>
        </w:tc>
      </w:tr>
      <w:tr w:rsidR="00D849AA">
        <w:trPr>
          <w:jc w:val="center"/>
        </w:trPr>
        <w:tc>
          <w:tcPr>
            <w:tcW w:w="2229" w:type="dxa"/>
          </w:tcPr>
          <w:p w:rsidR="00D849AA" w:rsidRDefault="00EE6D95">
            <w:pPr>
              <w:pStyle w:val="CellColumn"/>
            </w:pPr>
            <w:r>
              <w:t>Povećanje broja inspekcijskih nadzora</w:t>
            </w:r>
          </w:p>
        </w:tc>
        <w:tc>
          <w:tcPr>
            <w:tcW w:w="1114" w:type="dxa"/>
          </w:tcPr>
          <w:p w:rsidR="00D849AA" w:rsidRDefault="00EE6D95">
            <w:r>
              <w:t>Broj</w:t>
            </w:r>
          </w:p>
        </w:tc>
        <w:tc>
          <w:tcPr>
            <w:tcW w:w="1114" w:type="dxa"/>
          </w:tcPr>
          <w:p w:rsidR="00D849AA" w:rsidRDefault="00EE6D95">
            <w:r>
              <w:t>4800</w:t>
            </w:r>
          </w:p>
        </w:tc>
        <w:tc>
          <w:tcPr>
            <w:tcW w:w="1486" w:type="dxa"/>
          </w:tcPr>
          <w:p w:rsidR="00D849AA" w:rsidRDefault="00EE6D95">
            <w:r>
              <w:t>7000</w:t>
            </w:r>
          </w:p>
        </w:tc>
        <w:tc>
          <w:tcPr>
            <w:tcW w:w="1486" w:type="dxa"/>
          </w:tcPr>
          <w:p w:rsidR="00D849AA" w:rsidRDefault="00EE6D95">
            <w:r>
              <w:t>7500</w:t>
            </w:r>
          </w:p>
        </w:tc>
        <w:tc>
          <w:tcPr>
            <w:tcW w:w="1486" w:type="dxa"/>
          </w:tcPr>
          <w:p w:rsidR="00D849AA" w:rsidRDefault="00EE6D95">
            <w:r>
              <w:t>8000</w:t>
            </w:r>
          </w:p>
        </w:tc>
      </w:tr>
      <w:tr w:rsidR="00D849AA">
        <w:trPr>
          <w:jc w:val="center"/>
        </w:trPr>
        <w:tc>
          <w:tcPr>
            <w:tcW w:w="2229" w:type="dxa"/>
          </w:tcPr>
          <w:p w:rsidR="00D849AA" w:rsidRDefault="00EE6D95">
            <w:pPr>
              <w:pStyle w:val="CellColumn"/>
            </w:pPr>
            <w:r>
              <w:t>Povećanje udjela flote pokrivene elektronskim očevidnicima</w:t>
            </w:r>
          </w:p>
        </w:tc>
        <w:tc>
          <w:tcPr>
            <w:tcW w:w="1114" w:type="dxa"/>
          </w:tcPr>
          <w:p w:rsidR="00D849AA" w:rsidRDefault="00EE6D95">
            <w:r>
              <w:t>%</w:t>
            </w:r>
          </w:p>
        </w:tc>
        <w:tc>
          <w:tcPr>
            <w:tcW w:w="1114" w:type="dxa"/>
          </w:tcPr>
          <w:p w:rsidR="00D849AA" w:rsidRDefault="00EE6D95">
            <w:r>
              <w:t>0</w:t>
            </w:r>
          </w:p>
        </w:tc>
        <w:tc>
          <w:tcPr>
            <w:tcW w:w="1486" w:type="dxa"/>
          </w:tcPr>
          <w:p w:rsidR="00D849AA" w:rsidRDefault="00EE6D95">
            <w:r>
              <w:t>6</w:t>
            </w:r>
          </w:p>
        </w:tc>
        <w:tc>
          <w:tcPr>
            <w:tcW w:w="1486" w:type="dxa"/>
          </w:tcPr>
          <w:p w:rsidR="00D849AA" w:rsidRDefault="00EE6D95">
            <w:r>
              <w:t>10</w:t>
            </w:r>
          </w:p>
        </w:tc>
        <w:tc>
          <w:tcPr>
            <w:tcW w:w="1486" w:type="dxa"/>
          </w:tcPr>
          <w:p w:rsidR="00D849AA" w:rsidRDefault="00EE6D95">
            <w:r>
              <w:t>20</w:t>
            </w:r>
          </w:p>
        </w:tc>
      </w:tr>
      <w:tr w:rsidR="00D849AA">
        <w:trPr>
          <w:jc w:val="center"/>
        </w:trPr>
        <w:tc>
          <w:tcPr>
            <w:tcW w:w="2229" w:type="dxa"/>
          </w:tcPr>
          <w:p w:rsidR="00D849AA" w:rsidRDefault="00EE6D95">
            <w:pPr>
              <w:pStyle w:val="CellColumn"/>
            </w:pPr>
            <w:r>
              <w:t>Povećanje broja segmenata flote obuhvaćene sustavom prikupljanja podataka (metieri)</w:t>
            </w:r>
          </w:p>
        </w:tc>
        <w:tc>
          <w:tcPr>
            <w:tcW w:w="1114" w:type="dxa"/>
          </w:tcPr>
          <w:p w:rsidR="00D849AA" w:rsidRDefault="00EE6D95">
            <w:r>
              <w:t>Broj</w:t>
            </w:r>
          </w:p>
        </w:tc>
        <w:tc>
          <w:tcPr>
            <w:tcW w:w="1114" w:type="dxa"/>
          </w:tcPr>
          <w:p w:rsidR="00D849AA" w:rsidRDefault="00EE6D95">
            <w:r>
              <w:t>0</w:t>
            </w:r>
          </w:p>
        </w:tc>
        <w:tc>
          <w:tcPr>
            <w:tcW w:w="1486" w:type="dxa"/>
          </w:tcPr>
          <w:p w:rsidR="00D849AA" w:rsidRDefault="00EE6D95">
            <w:r>
              <w:t>6</w:t>
            </w:r>
          </w:p>
        </w:tc>
        <w:tc>
          <w:tcPr>
            <w:tcW w:w="1486" w:type="dxa"/>
          </w:tcPr>
          <w:p w:rsidR="00D849AA" w:rsidRDefault="00EE6D95">
            <w:r>
              <w:t>10</w:t>
            </w:r>
          </w:p>
        </w:tc>
        <w:tc>
          <w:tcPr>
            <w:tcW w:w="1486" w:type="dxa"/>
          </w:tcPr>
          <w:p w:rsidR="00D849AA" w:rsidRDefault="00EE6D95">
            <w:r>
              <w:t>20</w:t>
            </w:r>
          </w:p>
        </w:tc>
      </w:tr>
      <w:tr w:rsidR="00D849AA">
        <w:trPr>
          <w:jc w:val="center"/>
        </w:trPr>
        <w:tc>
          <w:tcPr>
            <w:tcW w:w="2229" w:type="dxa"/>
          </w:tcPr>
          <w:p w:rsidR="00D849AA" w:rsidRDefault="00EE6D95">
            <w:pPr>
              <w:pStyle w:val="CellColumn"/>
            </w:pPr>
            <w:r>
              <w:t>Povećani stupanj usklađenosti rezultata znanstvenih podataka s podacima iz ulova</w:t>
            </w:r>
          </w:p>
        </w:tc>
        <w:tc>
          <w:tcPr>
            <w:tcW w:w="1114" w:type="dxa"/>
          </w:tcPr>
          <w:p w:rsidR="00D849AA" w:rsidRDefault="00EE6D95">
            <w:r>
              <w:t>%</w:t>
            </w:r>
          </w:p>
        </w:tc>
        <w:tc>
          <w:tcPr>
            <w:tcW w:w="1114" w:type="dxa"/>
          </w:tcPr>
          <w:p w:rsidR="00D849AA" w:rsidRDefault="00EE6D95">
            <w:r>
              <w:t>&lt;20 % (trenutno ne postoji detaljna analiza)</w:t>
            </w:r>
          </w:p>
        </w:tc>
        <w:tc>
          <w:tcPr>
            <w:tcW w:w="1486" w:type="dxa"/>
          </w:tcPr>
          <w:p w:rsidR="00D849AA" w:rsidRDefault="00EE6D95">
            <w:r>
              <w:t>70</w:t>
            </w:r>
          </w:p>
        </w:tc>
        <w:tc>
          <w:tcPr>
            <w:tcW w:w="1486" w:type="dxa"/>
          </w:tcPr>
          <w:p w:rsidR="00D849AA" w:rsidRDefault="00EE6D95">
            <w:r>
              <w:t>75</w:t>
            </w:r>
          </w:p>
        </w:tc>
        <w:tc>
          <w:tcPr>
            <w:tcW w:w="1486" w:type="dxa"/>
          </w:tcPr>
          <w:p w:rsidR="00D849AA" w:rsidRDefault="00EE6D95">
            <w:r>
              <w:t>75</w:t>
            </w:r>
          </w:p>
        </w:tc>
      </w:tr>
    </w:tbl>
    <w:p w:rsidR="00D849AA" w:rsidRDefault="00D849AA">
      <w:pPr>
        <w:jc w:val="left"/>
      </w:pPr>
    </w:p>
    <w:p w:rsidR="00D849AA" w:rsidRDefault="00EE6D95">
      <w:pPr>
        <w:pStyle w:val="Naslov7"/>
      </w:pPr>
      <w:r>
        <w:t xml:space="preserve">Cilj 2. Provedba financiranja poljoprivrednog i ribarskog sektora sustavu EU  </w:t>
      </w:r>
    </w:p>
    <w:p w:rsidR="00D849AA" w:rsidRDefault="00EE6D95">
      <w:pPr>
        <w:pStyle w:val="Normal6"/>
      </w:pPr>
      <w:r>
        <w:t xml:space="preserve">Ovim ciljem doprinijet će se unaprjeđenju sektora te postizanju cilja a to je „Postizanje konkurentnog, modernog i dinamičnog sektora ribarstva i akvakulture kroz održivo iskorištenje resursa.“. U razdoblju 2014. godine RH će koristiti sredstva EU kroz Europski ribarski fond. Strateškim dokumentima dijagnosticirani su problemi i potrebe ribarskog sektora te su određeni prioriteti i ciljevi. S obzirom na navedeno te vremensku kratkoću provedbe određene su tri mjere koje će se provoditi a koje su namijenjene samom sektoru </w:t>
      </w:r>
      <w:r>
        <w:lastRenderedPageBreak/>
        <w:t xml:space="preserve">a to su trajna i privremena obustava ribolovne aktivnosti te modernizacija postojećih uzgajališta te mjera namjena administraciji, odnosno tehnička pomoć. </w:t>
      </w:r>
    </w:p>
    <w:p w:rsidR="00D849AA" w:rsidRDefault="00EE6D95">
      <w:pPr>
        <w:pStyle w:val="Normal6"/>
      </w:pPr>
      <w:r>
        <w:t>U programskom razdoblju 2014.-2020. godini ribarski sektor moći će koristiti sredstva kroz Europski fond za pomorstvo i ribarstvo, kojim će RH operativnim programom predvidjeti sve segmente ribarstva te pokriti ribarstvo u cjelini, odnosno kako uzgoj, ulov tako i preradu i popratnu infrastrukturu (luke, iskrcajna mjesta.). Da bi ribari, uzgajivači i prerađivači u ribarstvu mogli konkurentno sudjelovati na zajedničkom tržištu EU ovakvo sufinanciranje je neophodno. Također, pri utvrđivanju mjera sufinanciranja potrebno je voditi je uzeti u obzir i racionalnog upravljanja resursima mora i kopnenih voda, kroz sufinanciranje određenih mjera (trajno ili privremeno odustajanje od ribolova, preusmjeravanje u druge djelatnosti) a koje imaju za cilj usklađivanje ribolovnog napora sa stanjem resursa.</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Povećanje broja korisnika strukturnih potpora u ukupnom broju korisnika potpora  u sektoru ribarstva</w:t>
            </w:r>
          </w:p>
        </w:tc>
        <w:tc>
          <w:tcPr>
            <w:tcW w:w="1114" w:type="dxa"/>
          </w:tcPr>
          <w:p w:rsidR="00D849AA" w:rsidRDefault="00EE6D95">
            <w:r>
              <w:t>%</w:t>
            </w:r>
          </w:p>
        </w:tc>
        <w:tc>
          <w:tcPr>
            <w:tcW w:w="1114" w:type="dxa"/>
          </w:tcPr>
          <w:p w:rsidR="00D849AA" w:rsidRDefault="00EE6D95">
            <w:r>
              <w:t>U ovom trenutku ne postoji početna analiza</w:t>
            </w:r>
          </w:p>
        </w:tc>
        <w:tc>
          <w:tcPr>
            <w:tcW w:w="1486" w:type="dxa"/>
          </w:tcPr>
          <w:p w:rsidR="00D849AA" w:rsidRDefault="00EE6D95">
            <w:r>
              <w:t>40</w:t>
            </w:r>
          </w:p>
        </w:tc>
        <w:tc>
          <w:tcPr>
            <w:tcW w:w="1486" w:type="dxa"/>
          </w:tcPr>
          <w:p w:rsidR="00D849AA" w:rsidRDefault="00EE6D95">
            <w:r>
              <w:t>40</w:t>
            </w:r>
          </w:p>
        </w:tc>
        <w:tc>
          <w:tcPr>
            <w:tcW w:w="1486" w:type="dxa"/>
          </w:tcPr>
          <w:p w:rsidR="00D849AA" w:rsidRDefault="00EE6D95">
            <w:r>
              <w:t>40</w:t>
            </w:r>
          </w:p>
        </w:tc>
      </w:tr>
    </w:tbl>
    <w:p w:rsidR="00D849AA" w:rsidRDefault="00D849AA">
      <w:pPr>
        <w:jc w:val="left"/>
      </w:pPr>
    </w:p>
    <w:p w:rsidR="00D849AA" w:rsidRDefault="00EE6D95">
      <w:pPr>
        <w:pStyle w:val="Naslov7"/>
      </w:pPr>
      <w:r>
        <w:t>Cilj 3. Poboljšanje tržišnih mehanizama za prodaju poljoprivredno prehrambenih i ribarskih proizvoda</w:t>
      </w:r>
    </w:p>
    <w:p w:rsidR="00D849AA" w:rsidRDefault="00EE6D95">
      <w:pPr>
        <w:pStyle w:val="Normal6"/>
      </w:pPr>
      <w:r>
        <w:t xml:space="preserve">Poboljšanje tržišnih mehanizama za prodaju ribarskih proizvoda obuhvaća reguliranje tržišta proizvoda ribarstva kroz uspostavu odgovarajuće infrastrukture (ribarske luke, iskrcajna mjesta...), uspostavu adekvatnih i konkurentnih udruženja u ribarstvu kao i uspostavu mjera tržišnih intervencija te informiranja potrošača. Ovaj cilj će se realizirati kroz financiranje mjera od zajedničkog interesa na lokalnoj i državnoj razini. Cilj reforme zajedničke ribarstvene politike u segmentu zajedničke organizacije tržišta je da tržišno usmjereni instrumenti izravno ili neizravno doprinesu postizanju ciljeva zajedničke ribarstvene politike. U tom smislu potrebno je jačati ulogu organizacija proizvođača i njihovo zajedničko upravljanje pravima pristupa te djelatnosti proizvodnje i marketinga, omogućiti tržišne mjere kojima se povećava pregovaračka moć proizvođača (u ribarstvu i akvakulturi), poboljšava prognoziranje, sprečavanje i savladavanje kriza na tržištu te jača transparentnost i učinkovitost tržišta, omogućiti kreiranje partnerstva za održivu proizvodnju, iskorištavanje resursa i potrošnju; certificiranje (eko-oznake), promidžbu i informiranje potrošača te doprinijeti stvaranju tržišnih mjera u pogledu odbacivanja ulova. U RH su uspostavljeni svi potrebni mehanizmi za provedbu zajedničke organizacije tržišta a daljnjim koracima potrebno je osnažiti ulogu postojećih ribarskih zadruga koje u svojim postavkama mogu zadovoljiti uvjete kako bi prerasle u organizacije proizvođača, a koje su temelj za provođenje mjera uređenja tržišta u EU. </w:t>
      </w:r>
    </w:p>
    <w:p w:rsidR="00D849AA" w:rsidRDefault="00EE6D95">
      <w:pPr>
        <w:pStyle w:val="Normal6"/>
      </w:pPr>
      <w:r>
        <w:t>Organizirano trženje, te postojanje jasnih kanala prodaje jedan je od preduvjeta koje je potrebno osigurati kako bi i proizvodi hrvatskog ribarstva bili ravnopravni i konkurentni u nastupu  na jedinstvenom tržištu EU. To se prvenstveno na značaj organizacijama proizvođača u ribarstvu te uspostavi organiziranog sustava trženja, te je RH započela sa ulaganjima u ribarske zadruge koje objedinjavanjem ponude mogu odgovoriti izazovima zajedničkog tržišta.</w:t>
      </w:r>
    </w:p>
    <w:p w:rsidR="00D849AA" w:rsidRDefault="00EE6D95">
      <w:pPr>
        <w:pStyle w:val="Naslov8"/>
        <w:jc w:val="left"/>
      </w:pPr>
      <w:r>
        <w:lastRenderedPageBreak/>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Povećanje broja priznatih ribarskih zadruga</w:t>
            </w:r>
          </w:p>
        </w:tc>
        <w:tc>
          <w:tcPr>
            <w:tcW w:w="1114" w:type="dxa"/>
          </w:tcPr>
          <w:p w:rsidR="00D849AA" w:rsidRDefault="00EE6D95">
            <w:r>
              <w:t>Broj</w:t>
            </w:r>
          </w:p>
        </w:tc>
        <w:tc>
          <w:tcPr>
            <w:tcW w:w="1114" w:type="dxa"/>
          </w:tcPr>
          <w:p w:rsidR="00D849AA" w:rsidRDefault="00EE6D95">
            <w:r>
              <w:t>0</w:t>
            </w:r>
          </w:p>
        </w:tc>
        <w:tc>
          <w:tcPr>
            <w:tcW w:w="1486" w:type="dxa"/>
          </w:tcPr>
          <w:p w:rsidR="00D849AA" w:rsidRDefault="00EE6D95">
            <w:r>
              <w:t>12</w:t>
            </w:r>
          </w:p>
        </w:tc>
        <w:tc>
          <w:tcPr>
            <w:tcW w:w="1486" w:type="dxa"/>
          </w:tcPr>
          <w:p w:rsidR="00D849AA" w:rsidRDefault="00EE6D95">
            <w:r>
              <w:t>15</w:t>
            </w:r>
          </w:p>
        </w:tc>
        <w:tc>
          <w:tcPr>
            <w:tcW w:w="1486" w:type="dxa"/>
          </w:tcPr>
          <w:p w:rsidR="00D849AA" w:rsidRDefault="00EE6D95">
            <w:r>
              <w:t>18</w:t>
            </w:r>
          </w:p>
        </w:tc>
      </w:tr>
      <w:tr w:rsidR="00D849AA">
        <w:trPr>
          <w:jc w:val="center"/>
        </w:trPr>
        <w:tc>
          <w:tcPr>
            <w:tcW w:w="2229" w:type="dxa"/>
          </w:tcPr>
          <w:p w:rsidR="00D849AA" w:rsidRDefault="00EE6D95">
            <w:pPr>
              <w:pStyle w:val="CellColumn"/>
            </w:pPr>
            <w:r>
              <w:t>Povećanje broja priznatih organizacija proizvođača u ribarstvu</w:t>
            </w:r>
          </w:p>
        </w:tc>
        <w:tc>
          <w:tcPr>
            <w:tcW w:w="1114" w:type="dxa"/>
          </w:tcPr>
          <w:p w:rsidR="00D849AA" w:rsidRDefault="00EE6D95">
            <w:r>
              <w:t>Broj</w:t>
            </w:r>
          </w:p>
        </w:tc>
        <w:tc>
          <w:tcPr>
            <w:tcW w:w="1114" w:type="dxa"/>
          </w:tcPr>
          <w:p w:rsidR="00D849AA" w:rsidRDefault="00EE6D95">
            <w:r>
              <w:t>0</w:t>
            </w:r>
          </w:p>
        </w:tc>
        <w:tc>
          <w:tcPr>
            <w:tcW w:w="1486" w:type="dxa"/>
          </w:tcPr>
          <w:p w:rsidR="00D849AA" w:rsidRDefault="00EE6D95">
            <w:r>
              <w:t>2</w:t>
            </w:r>
          </w:p>
        </w:tc>
        <w:tc>
          <w:tcPr>
            <w:tcW w:w="1486" w:type="dxa"/>
          </w:tcPr>
          <w:p w:rsidR="00D849AA" w:rsidRDefault="00EE6D95">
            <w:r>
              <w:t>3</w:t>
            </w:r>
          </w:p>
        </w:tc>
        <w:tc>
          <w:tcPr>
            <w:tcW w:w="1486" w:type="dxa"/>
          </w:tcPr>
          <w:p w:rsidR="00D849AA" w:rsidRDefault="00EE6D95">
            <w:r>
              <w:t>4</w:t>
            </w:r>
          </w:p>
        </w:tc>
      </w:tr>
      <w:tr w:rsidR="00D849AA">
        <w:trPr>
          <w:jc w:val="center"/>
        </w:trPr>
        <w:tc>
          <w:tcPr>
            <w:tcW w:w="2229" w:type="dxa"/>
          </w:tcPr>
          <w:p w:rsidR="00D849AA" w:rsidRDefault="00EE6D95">
            <w:pPr>
              <w:pStyle w:val="CellColumn"/>
            </w:pPr>
            <w:r>
              <w:t>Veći udio gospodarskih ribara udružen u ribarske zadruge ili organizacije proizvođača u odnosu na ukupan broj ribara</w:t>
            </w:r>
          </w:p>
        </w:tc>
        <w:tc>
          <w:tcPr>
            <w:tcW w:w="1114" w:type="dxa"/>
          </w:tcPr>
          <w:p w:rsidR="00D849AA" w:rsidRDefault="00EE6D95">
            <w:r>
              <w:t>%</w:t>
            </w:r>
          </w:p>
        </w:tc>
        <w:tc>
          <w:tcPr>
            <w:tcW w:w="1114" w:type="dxa"/>
          </w:tcPr>
          <w:p w:rsidR="00D849AA" w:rsidRDefault="00EE6D95">
            <w:r>
              <w:t>10</w:t>
            </w:r>
          </w:p>
        </w:tc>
        <w:tc>
          <w:tcPr>
            <w:tcW w:w="1486" w:type="dxa"/>
          </w:tcPr>
          <w:p w:rsidR="00D849AA" w:rsidRDefault="00EE6D95">
            <w:r>
              <w:t>25</w:t>
            </w:r>
          </w:p>
        </w:tc>
        <w:tc>
          <w:tcPr>
            <w:tcW w:w="1486" w:type="dxa"/>
          </w:tcPr>
          <w:p w:rsidR="00D849AA" w:rsidRDefault="00EE6D95">
            <w:r>
              <w:t>30</w:t>
            </w:r>
          </w:p>
        </w:tc>
        <w:tc>
          <w:tcPr>
            <w:tcW w:w="1486" w:type="dxa"/>
          </w:tcPr>
          <w:p w:rsidR="00D849AA" w:rsidRDefault="00EE6D95">
            <w:r>
              <w:t>40</w:t>
            </w:r>
          </w:p>
        </w:tc>
      </w:tr>
    </w:tbl>
    <w:p w:rsidR="00D849AA" w:rsidRDefault="00D849AA">
      <w:pPr>
        <w:jc w:val="left"/>
      </w:pPr>
    </w:p>
    <w:p w:rsidR="00D849AA" w:rsidRDefault="00EE6D95">
      <w:pPr>
        <w:pStyle w:val="Naslov5"/>
      </w:pPr>
      <w:r>
        <w:t>Procjena i ishodište potrebnih sredstava za značajnije aktivnosti/projekte</w:t>
      </w:r>
    </w:p>
    <w:p w:rsidR="00D849AA" w:rsidRDefault="00EE6D95">
      <w:pPr>
        <w:pStyle w:val="Naslov6"/>
      </w:pPr>
      <w:r>
        <w:t>A650134 INTERVENCIJE NA TRŽIŠTU PROIZVODA RIBARSTVA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A650134</w:t>
            </w:r>
          </w:p>
        </w:tc>
        <w:tc>
          <w:tcPr>
            <w:tcW w:w="1486" w:type="dxa"/>
          </w:tcPr>
          <w:p w:rsidR="00D849AA" w:rsidRDefault="00EE6D95">
            <w:r>
              <w:t>99.341.915</w:t>
            </w:r>
          </w:p>
        </w:tc>
        <w:tc>
          <w:tcPr>
            <w:tcW w:w="1486" w:type="dxa"/>
          </w:tcPr>
          <w:p w:rsidR="00D849AA" w:rsidRDefault="00EE6D95">
            <w:r>
              <w:t>70.000.000</w:t>
            </w:r>
          </w:p>
        </w:tc>
        <w:tc>
          <w:tcPr>
            <w:tcW w:w="1486" w:type="dxa"/>
          </w:tcPr>
          <w:p w:rsidR="00D849AA" w:rsidRDefault="00EE6D95">
            <w:r>
              <w:t>80.000.000</w:t>
            </w:r>
          </w:p>
        </w:tc>
        <w:tc>
          <w:tcPr>
            <w:tcW w:w="1486" w:type="dxa"/>
          </w:tcPr>
          <w:p w:rsidR="00D849AA" w:rsidRDefault="00EE6D95">
            <w:r>
              <w:t>80.000.000</w:t>
            </w:r>
          </w:p>
        </w:tc>
        <w:tc>
          <w:tcPr>
            <w:tcW w:w="1486" w:type="dxa"/>
          </w:tcPr>
          <w:p w:rsidR="00D849AA" w:rsidRDefault="00EE6D95">
            <w:r>
              <w:t>70,5</w:t>
            </w:r>
          </w:p>
        </w:tc>
      </w:tr>
    </w:tbl>
    <w:p w:rsidR="00D849AA" w:rsidRDefault="00D849AA">
      <w:pPr>
        <w:jc w:val="left"/>
      </w:pPr>
    </w:p>
    <w:p w:rsidR="00D849AA" w:rsidRDefault="00EE6D95">
      <w:pPr>
        <w:pStyle w:val="Normal6"/>
      </w:pPr>
      <w:r>
        <w:t xml:space="preserve">Sukladno Ugovoru o pristupanju Republike Hrvatske Europskoj uniji (točka 4. Priloga IV, sukladno članku 16.) („Narodne novine“ Međunarodni ugovori, br. 2/2012) (u daljnjem tekstu: Ugovor o pristupanju) utvrđen je program potpora u sektoru ribarstva koje je planirano zadržati kao postojeće potpore tijekom tri godine od dana pristupanja.  </w:t>
      </w:r>
    </w:p>
    <w:p w:rsidR="00D849AA" w:rsidRDefault="00EE6D95">
      <w:pPr>
        <w:pStyle w:val="Normal6"/>
      </w:pPr>
      <w:r>
        <w:t xml:space="preserve">Pravni temelj za provedbu svih oblika postojećih potpora u sektoru ribarstva, a sukladno Ugovoru o pristupanju, utvrđen je u članku 59. Zakona o morskom ribarstvu („Narodne novine“, br. 81/13). Prikazane postojeće nacionalne potpore u sektoru ribarstva nisu imale isti ni kontinuirani pravni temelj, radi čega je utvrđen jedinstveni temelj u navedenom Zakonu. Obzirom na Ugovor o pristupanju i mogućnost zadržavanja modela postojeće potpore u ribarstva tijekom naredne tri godine, intencija je zadržavanje prikazanih modela kako je navedeno te njihovo modificiranje u pojedinim segmentima s ciljem postepenog prestanka korištenja istih i korištenja dostupnih mehanizama potpore EU u dijelu ribarstva.  </w:t>
      </w:r>
    </w:p>
    <w:p w:rsidR="00D849AA" w:rsidRDefault="00EE6D95">
      <w:pPr>
        <w:pStyle w:val="Normal6"/>
      </w:pPr>
      <w:r>
        <w:t>Postojeće državne potpore koje RH planira provoditi u narednom trogodišnjem razdoblju, a koje će se financirati iz državnog proračuna RH su: Održavanje eko sustava ribnjaka, Razvoj ribarskih zadruga, Sufinanciranje dijela troškova zbog otežanih uvjeta i povećanih troškova poslovanja u ribarstvu, Tržišna kompenzacija, Model poticanja proizvodnje u ribarstvu, Otkup povlastica ili alata unutar povlastica za obavljanje gospodarskog ribolova na moru, Potpore investicijama u ribarska plovila.</w:t>
      </w:r>
    </w:p>
    <w:p w:rsidR="00D849AA" w:rsidRDefault="00EE6D95">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Modernizacija ribarske flote bez povećanja njenog kapaciteta</w:t>
            </w:r>
          </w:p>
        </w:tc>
        <w:tc>
          <w:tcPr>
            <w:tcW w:w="1114" w:type="dxa"/>
          </w:tcPr>
          <w:p w:rsidR="00D849AA" w:rsidRDefault="00EE6D95">
            <w:r>
              <w:t>Broj</w:t>
            </w:r>
          </w:p>
        </w:tc>
        <w:tc>
          <w:tcPr>
            <w:tcW w:w="1114" w:type="dxa"/>
          </w:tcPr>
          <w:p w:rsidR="00D849AA" w:rsidRDefault="00EE6D95">
            <w:r>
              <w:t xml:space="preserve">0 </w:t>
            </w:r>
          </w:p>
          <w:p w:rsidR="00D849AA" w:rsidRDefault="00EE6D95">
            <w:r>
              <w:t>(u ovome trenu se ne provodi ova mjera</w:t>
            </w:r>
          </w:p>
        </w:tc>
        <w:tc>
          <w:tcPr>
            <w:tcW w:w="1486" w:type="dxa"/>
          </w:tcPr>
          <w:p w:rsidR="00D849AA" w:rsidRDefault="00EE6D95">
            <w:r>
              <w:t>30</w:t>
            </w:r>
          </w:p>
        </w:tc>
        <w:tc>
          <w:tcPr>
            <w:tcW w:w="1486" w:type="dxa"/>
          </w:tcPr>
          <w:p w:rsidR="00D849AA" w:rsidRDefault="00EE6D95">
            <w:r>
              <w:t>40</w:t>
            </w:r>
          </w:p>
        </w:tc>
        <w:tc>
          <w:tcPr>
            <w:tcW w:w="1486" w:type="dxa"/>
          </w:tcPr>
          <w:p w:rsidR="00D849AA" w:rsidRDefault="00EE6D95">
            <w:r>
              <w:t>50</w:t>
            </w:r>
          </w:p>
        </w:tc>
      </w:tr>
    </w:tbl>
    <w:p w:rsidR="00D849AA" w:rsidRDefault="00D849AA">
      <w:pPr>
        <w:jc w:val="left"/>
      </w:pPr>
    </w:p>
    <w:p w:rsidR="00D849AA" w:rsidRDefault="00EE6D95">
      <w:pPr>
        <w:pStyle w:val="Naslov6"/>
      </w:pPr>
      <w:r>
        <w:t>A828057 OPERATIVNI PROGRAM RIBARSTVA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A828057</w:t>
            </w:r>
          </w:p>
        </w:tc>
        <w:tc>
          <w:tcPr>
            <w:tcW w:w="1486" w:type="dxa"/>
          </w:tcPr>
          <w:p w:rsidR="00D849AA" w:rsidRDefault="00EE6D95">
            <w:r>
              <w:t>00</w:t>
            </w:r>
          </w:p>
        </w:tc>
        <w:tc>
          <w:tcPr>
            <w:tcW w:w="1486" w:type="dxa"/>
          </w:tcPr>
          <w:p w:rsidR="00D849AA" w:rsidRDefault="00EE6D95">
            <w:r>
              <w:t>81.250.000</w:t>
            </w:r>
          </w:p>
        </w:tc>
        <w:tc>
          <w:tcPr>
            <w:tcW w:w="1486" w:type="dxa"/>
          </w:tcPr>
          <w:p w:rsidR="00D849AA" w:rsidRDefault="00EE6D95">
            <w:r>
              <w:t>311.250.000</w:t>
            </w:r>
          </w:p>
        </w:tc>
        <w:tc>
          <w:tcPr>
            <w:tcW w:w="1486" w:type="dxa"/>
          </w:tcPr>
          <w:p w:rsidR="00D849AA" w:rsidRDefault="00EE6D95">
            <w:r>
              <w:t>315.750.000</w:t>
            </w:r>
          </w:p>
        </w:tc>
        <w:tc>
          <w:tcPr>
            <w:tcW w:w="1486" w:type="dxa"/>
          </w:tcPr>
          <w:p w:rsidR="00D849AA" w:rsidRDefault="00EE6D95">
            <w:r>
              <w:t>0,0</w:t>
            </w:r>
          </w:p>
        </w:tc>
      </w:tr>
    </w:tbl>
    <w:p w:rsidR="00D849AA" w:rsidRDefault="00D849AA">
      <w:pPr>
        <w:jc w:val="left"/>
      </w:pPr>
    </w:p>
    <w:p w:rsidR="00D849AA" w:rsidRDefault="00EE6D95">
      <w:pPr>
        <w:pStyle w:val="Normal6"/>
      </w:pPr>
      <w:r>
        <w:t xml:space="preserve">Republika Hrvatska danom stupanja u EU, a temeljem Ugovora o pristupanju ima mogućnost korištenja sredstva u okviru Europskog fonda za ribarstvo (EFF) u iznosu od 8,7 mil. EUR-a. Kako bi se predviđena sredstva mogla koristiti nužan preduvjet je izrađen Nacionalni strateški plan razvoja ribarstva kao temeljni dokument i Operativni program ribarstva kao tehnički dokument. Nacionalni strateški plan utvrđuje stanje, ciljeve i prioritete ribarskog sektora kako bi se izabrale mjere koje se žele provoditi odnosno financirati, kao i okvirni opis sustava za cjelokupnu provedbu, a sukladno propisima EU.  </w:t>
      </w:r>
    </w:p>
    <w:p w:rsidR="00D849AA" w:rsidRDefault="00EE6D95">
      <w:pPr>
        <w:pStyle w:val="Normal6"/>
      </w:pPr>
      <w:r>
        <w:t xml:space="preserve">Republici Hrvatskoj je omogućeno iskorištenje navedenih sredstava po principu n+2, dakle do kraja 2015. godine. Kako se radi o ipak relativno kratkoj provedbi i ograničenim financijskim sredstvima, temeljem konzultacija sa dionicima sektora i utvrđenim ciljevima i prioritetima u NSP-u predviđeno je provoditi tri (3) mjere namijenjene sektoru i mjeru tehničke pomoći. Predviđene tri mjere su trajna i privremena obustava ribolovne aktivnosti te mjera proizvodnih investicija u postojeća uzgajališta.  </w:t>
      </w:r>
    </w:p>
    <w:p w:rsidR="00D849AA" w:rsidRDefault="00EE6D95">
      <w:pPr>
        <w:pStyle w:val="Normal6"/>
      </w:pPr>
      <w:r>
        <w:t>Mjera trajne obustave ribolovne aktivnosti je vrlo važna mjera koju RH planira provoditi kroz provedbu EFF-a kako za same korisnike tako i za održivost resursa mora i adekvatnog ribolovnog napora. Isti princip je i za privremenu obustavu koja ima za cilj zaštititi prvenstveno područja rastilišta i mrjestilišta od prekomjernog izlova uz mogućnost financijskog obeštećenja sudionika ribolova na tim područjima zbog nemogućnosti obavljanja ribolova. EU Također, ništa manje važna mjera je i mjera proizvodnih investicija u akvakulturi koja ima za cilj ojačati sektor akvakulture u svim segmentima.</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Plovila obuhvaćena mjerom trajne obustave ribolovne aktivnosti</w:t>
            </w:r>
          </w:p>
        </w:tc>
        <w:tc>
          <w:tcPr>
            <w:tcW w:w="1114" w:type="dxa"/>
          </w:tcPr>
          <w:p w:rsidR="00D849AA" w:rsidRDefault="00EE6D95">
            <w:r>
              <w:t>Broj</w:t>
            </w:r>
          </w:p>
        </w:tc>
        <w:tc>
          <w:tcPr>
            <w:tcW w:w="1114" w:type="dxa"/>
          </w:tcPr>
          <w:p w:rsidR="00D849AA" w:rsidRDefault="00EE6D95">
            <w:r>
              <w:t xml:space="preserve">0 </w:t>
            </w:r>
          </w:p>
          <w:p w:rsidR="00D849AA" w:rsidRDefault="00EE6D95">
            <w:r>
              <w:t>(u ovome trenu se ne provodi ova mjera</w:t>
            </w:r>
          </w:p>
        </w:tc>
        <w:tc>
          <w:tcPr>
            <w:tcW w:w="1486" w:type="dxa"/>
          </w:tcPr>
          <w:p w:rsidR="00D849AA" w:rsidRDefault="00EE6D95">
            <w:r>
              <w:t>10</w:t>
            </w:r>
          </w:p>
        </w:tc>
        <w:tc>
          <w:tcPr>
            <w:tcW w:w="1486" w:type="dxa"/>
          </w:tcPr>
          <w:p w:rsidR="00D849AA" w:rsidRDefault="00EE6D95">
            <w:r>
              <w:t>20</w:t>
            </w:r>
          </w:p>
        </w:tc>
        <w:tc>
          <w:tcPr>
            <w:tcW w:w="1486" w:type="dxa"/>
          </w:tcPr>
          <w:p w:rsidR="00D849AA" w:rsidRDefault="00EE6D95">
            <w:r>
              <w:t>20</w:t>
            </w:r>
          </w:p>
        </w:tc>
      </w:tr>
    </w:tbl>
    <w:p w:rsidR="00B151E0" w:rsidRDefault="00B151E0" w:rsidP="00B151E0">
      <w:pPr>
        <w:pStyle w:val="Naslov4"/>
      </w:pPr>
      <w:r>
        <w:lastRenderedPageBreak/>
        <w:t>OBRAZLOŽENJE PROGRAMA</w:t>
      </w:r>
    </w:p>
    <w:p w:rsidR="00D849AA" w:rsidRDefault="00EE6D95">
      <w:pPr>
        <w:pStyle w:val="Naslov5"/>
      </w:pPr>
      <w:r>
        <w:t>3006 GOSPODARENJE I ZAŠTITA ŠUMSKIH RESURSA, LOVIŠTA I DIVLJAČI</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3006</w:t>
            </w:r>
          </w:p>
        </w:tc>
        <w:tc>
          <w:tcPr>
            <w:tcW w:w="1486" w:type="dxa"/>
          </w:tcPr>
          <w:p w:rsidR="00D849AA" w:rsidRDefault="00EE6D95">
            <w:r>
              <w:t>7.035.000</w:t>
            </w:r>
          </w:p>
        </w:tc>
        <w:tc>
          <w:tcPr>
            <w:tcW w:w="1486" w:type="dxa"/>
          </w:tcPr>
          <w:p w:rsidR="00D849AA" w:rsidRDefault="00EE6D95">
            <w:r>
              <w:t>6.990.000</w:t>
            </w:r>
          </w:p>
        </w:tc>
        <w:tc>
          <w:tcPr>
            <w:tcW w:w="1486" w:type="dxa"/>
          </w:tcPr>
          <w:p w:rsidR="00D849AA" w:rsidRDefault="00EE6D95">
            <w:r>
              <w:t>7.560.000</w:t>
            </w:r>
          </w:p>
        </w:tc>
        <w:tc>
          <w:tcPr>
            <w:tcW w:w="1486" w:type="dxa"/>
          </w:tcPr>
          <w:p w:rsidR="00D849AA" w:rsidRDefault="00EE6D95">
            <w:r>
              <w:t>7.510.000</w:t>
            </w:r>
          </w:p>
        </w:tc>
        <w:tc>
          <w:tcPr>
            <w:tcW w:w="1486" w:type="dxa"/>
          </w:tcPr>
          <w:p w:rsidR="00D849AA" w:rsidRDefault="00EE6D95">
            <w:r>
              <w:t>99,4</w:t>
            </w:r>
          </w:p>
        </w:tc>
      </w:tr>
    </w:tbl>
    <w:p w:rsidR="00D849AA" w:rsidRDefault="00D849AA">
      <w:pPr>
        <w:jc w:val="left"/>
      </w:pPr>
    </w:p>
    <w:p w:rsidR="00D849AA" w:rsidRDefault="00EE6D95">
      <w:pPr>
        <w:pStyle w:val="Naslov6"/>
      </w:pPr>
      <w:r>
        <w:t>Opis programa</w:t>
      </w:r>
    </w:p>
    <w:p w:rsidR="00D849AA" w:rsidRDefault="00EE6D95">
      <w:pPr>
        <w:pStyle w:val="Normal5"/>
      </w:pPr>
      <w:r>
        <w:t xml:space="preserve">Gospodarenje šumama treba provoditi na način koji će osigurati trajno održanje i unapređenje biološke i krajobrazne raznolikosti, uz stalnu skrb za zaštitu šumskih ekosustava, poštujući sveeuropske kriterije održivog gospodarenja šumama. Cilj programa gospodarenja šumama u Republici Hrvatskoj je poboljšanje stanja šuma i šumskog zemljišta te održivo i skladno korištenje funkcija šuma. </w:t>
      </w:r>
    </w:p>
    <w:p w:rsidR="00D849AA" w:rsidRDefault="00EE6D95">
      <w:pPr>
        <w:pStyle w:val="Normal5"/>
      </w:pPr>
      <w:r>
        <w:t xml:space="preserve">Održivo gospodarenje šumskim resursima neophodan je preduvjet kako za očuvanje zdravlja i vitalnosti šumskih ekosustava, njihov doprinos globalnom ciklusu ugljika, ublažavanje posljedica klimatskih promjena, poticanje proizvodnih i socijalnih funkcija šume i poboljšanje biološke raznolikosti, tako i za korištenje šuma i šumskog zemljišta te zahvate u prostoru. Ono daje neophodnu osnovu za ispunjavanje potreba investicijskih projekata u skladu s recentnim socijalno-gospodarskim prilikama i potrebama Republike Hrvatske </w:t>
      </w:r>
    </w:p>
    <w:p w:rsidR="00D849AA" w:rsidRDefault="00EE6D95">
      <w:pPr>
        <w:pStyle w:val="Normal5"/>
      </w:pPr>
      <w:r>
        <w:t xml:space="preserve">Stroge ekološke, socijalne i ekonomske standarde gospodarenja šumskim resursima u vlasništvu Republike Hrvatske potrebno je zadržati na postojećoj razini s težnjom njihova daljnjeg unapređenja, dok je u šumama šumoposjednika potrebno dodatno poticati razvoj u smjeru dostizanja odnosnih standarda i njihove dugoročne primjene, također sa svrhom ostvarivanja cilja održivog gospodarenja. </w:t>
      </w:r>
    </w:p>
    <w:p w:rsidR="00D849AA" w:rsidRDefault="00EE6D95">
      <w:pPr>
        <w:pStyle w:val="Normal5"/>
      </w:pPr>
      <w:r>
        <w:t xml:space="preserve">Zaštita šuma i očuvanje genetskih resursa jedna su od temeljnih postavki održivog gospodarenja šumama. Stoga je kroz niz mjera i aktivnosti potrebno poticati zaštitu šumskih resursa od utjecaja različitih biotskih i abiotskih čimbenika, kao i stvoriti preduvjete za obnovu šuma kvalitetnim i staništu prilagođenim šumskim reprodukcijskim materijalom u cilju očuvanja genetske raznolikosti i stabilnosti šumskih ekosustava. Da bi se potrebne mjere pravovremene primijenile potrebno je uspostavljanje cjelovite mreže nadzora zbog sagledavanja kretanja negativnih procesa. </w:t>
      </w:r>
    </w:p>
    <w:p w:rsidR="00D849AA" w:rsidRDefault="00EE6D95">
      <w:pPr>
        <w:pStyle w:val="Normal5"/>
      </w:pPr>
      <w:r>
        <w:t xml:space="preserve">Ispunjavanjem preuzetih međunarodnih obveza, Republika Hrvatska potvrđuje svoju predanost održivomu gospodarenju šumskim resursima i jednakom vrednovanju svih funkcija šuma. Stoga je potrebno daljnje aktivno sudjelovanje Republike Hrvatske na međunarodnim šumarskim forumima i stalna prisutnost pri kreiranju općih šumarskih politika i akcija, poglavito u dijelu održivog gospodarenja šumskim ekosustavima, očuvanja bioraznolikosti te zaštite šumskih ekosustava i genetskih resursa. </w:t>
      </w:r>
    </w:p>
    <w:p w:rsidR="00D849AA" w:rsidRDefault="00EE6D95">
      <w:pPr>
        <w:pStyle w:val="Normal5"/>
      </w:pPr>
      <w:r>
        <w:t xml:space="preserve">Program gospodarenja lovištima i divljači obavlja upravne i stručne poslove u svezi provedbe propisa lovno-gospodarskih osnova, programa uzgoja i zaštite divljači. Navedenim se pridonosi održanju prirodnih odnosa između vrsta, očuvanju biološke raznolikosti te zaštiti divljači i njenih prirodnih staništa. Kroz zakupe i koncesije na lovištima usmjerava se razvoj gospodarstva i turističke ponude u sklopu lovno- turističkih aranžmana. Također se potiče napučivanje lovišta vrstama divljači zbog održanja bioraznolikosti u područjima gdje je došlo do narušavanja prirodnih odnosa između vrsta. Unaprjeđivanje postojeće baze podataka </w:t>
      </w:r>
      <w:r>
        <w:lastRenderedPageBreak/>
        <w:t xml:space="preserve">(Središnja lovna evidencija) predstavlja dio razvoja predmetnog gospodarstva, a ima za svrhu mogućnost uvida u postojeće stanje vezano uz brojnost divljači te stanje očuvanja staništa. </w:t>
      </w:r>
    </w:p>
    <w:p w:rsidR="00D849AA" w:rsidRDefault="00EE6D95">
      <w:pPr>
        <w:pStyle w:val="Normal5"/>
      </w:pPr>
      <w:r>
        <w:t>Ovaj program usmjeren je na poticanje unapređenja prerade drva, proizvodnje namještaja i proizvodnje celuloze i papira, u funkciji održivog razvoja i konkurentnosti istih. Svrha programa je proizvodnja proizvoda veće dodane vrijednosti, prilagođavanje tržišnim uvjetima Europske unije, ravnomjeran razvoj drvne industrije u svim hrvatskim regijama i poticanje znanja i izvrsnosti kao pokretača dugoročnog gospodarskog razvoja drvoprerađivačkog sektora. Program će se realizirati ulaganjem u obrazovanje i usavršavanje ljudskih resursa, primjenu novih tehnologija i tehnoloških procesa, povećanje energetske učinkovitosti i zaštitu okoliša te marketing i promidžbu finalnih proizvoda od drva.</w:t>
      </w:r>
    </w:p>
    <w:p w:rsidR="00D849AA" w:rsidRDefault="00EE6D95">
      <w:pPr>
        <w:pStyle w:val="Naslov6"/>
      </w:pPr>
      <w:r>
        <w:t>Zakonske i druge pravne osnove</w:t>
      </w:r>
    </w:p>
    <w:p w:rsidR="00D849AA" w:rsidRDefault="00EE6D95">
      <w:pPr>
        <w:pStyle w:val="Normal5"/>
      </w:pPr>
      <w:r>
        <w:t xml:space="preserve">Zakon o šumama (NN 140/05, 82/06, 129/08, 80/10, 124/10, 25/12 i 68/12) </w:t>
      </w:r>
    </w:p>
    <w:p w:rsidR="00D849AA" w:rsidRDefault="00EE6D95">
      <w:pPr>
        <w:pStyle w:val="Normal5"/>
      </w:pPr>
      <w:r>
        <w:t xml:space="preserve">Zakon o šumskom reprodukcijskom materijalu (NN 75/09, 61/11 i 56/13) </w:t>
      </w:r>
    </w:p>
    <w:p w:rsidR="00D849AA" w:rsidRDefault="00EE6D95">
      <w:pPr>
        <w:pStyle w:val="Normal5"/>
      </w:pPr>
      <w:r>
        <w:t xml:space="preserve">Zakon o biljnom zdravstvu (NN 75/05 i 55/11) </w:t>
      </w:r>
    </w:p>
    <w:p w:rsidR="00D849AA" w:rsidRDefault="00EE6D95">
      <w:pPr>
        <w:pStyle w:val="Normal5"/>
      </w:pPr>
      <w:r>
        <w:t xml:space="preserve">Pravilnik o načinu motrenja oštećenosti šumskih ekosustava (NN 76/13) </w:t>
      </w:r>
    </w:p>
    <w:p w:rsidR="00D849AA" w:rsidRDefault="00EE6D95">
      <w:pPr>
        <w:pStyle w:val="Normal5"/>
      </w:pPr>
      <w:r>
        <w:t xml:space="preserve">Pravilnik o načinu prikupljanja podataka, vođenju registra te uvjetima korištenja podataka o šumskim požarima (NN 75/13) </w:t>
      </w:r>
    </w:p>
    <w:p w:rsidR="00D849AA" w:rsidRDefault="00EE6D95">
      <w:pPr>
        <w:pStyle w:val="Normal5"/>
      </w:pPr>
      <w:r>
        <w:t xml:space="preserve">Zakon o priznavanju svojti šumskog drveća i grmlja (NN 113/03 i 33/05)  </w:t>
      </w:r>
    </w:p>
    <w:p w:rsidR="00D849AA" w:rsidRDefault="00EE6D95">
      <w:pPr>
        <w:pStyle w:val="Normal5"/>
      </w:pPr>
      <w:r>
        <w:t xml:space="preserve">Pravilnik o načinu motrenja oštećenosti šumskih ekosustava (NN 67/10) </w:t>
      </w:r>
    </w:p>
    <w:p w:rsidR="00D849AA" w:rsidRDefault="00EE6D95">
      <w:pPr>
        <w:pStyle w:val="Normal5"/>
      </w:pPr>
      <w:r>
        <w:t xml:space="preserve">Zaključak Vlade Republike Hrvatske (Klasa:910-04/07-01/11, Urbroj: 5030114-11-2 od 27.listopada 2011. god.) o sufinanciranju osnivanja Regionalnog ureda Europskog šumarskog instituta za jugoistočnu Europu (EFISEE) </w:t>
      </w:r>
    </w:p>
    <w:p w:rsidR="00D849AA" w:rsidRDefault="00EE6D95">
      <w:pPr>
        <w:pStyle w:val="Normal5"/>
      </w:pPr>
      <w:r>
        <w:t>Zakon o lovstvu (NN 140/05 i 75/09) i Plan gospodarenja smeđim medvjedom</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Cilj 1. Održivi razvoj šuma i šumskog zemljišta</w:t>
      </w:r>
    </w:p>
    <w:p w:rsidR="00D849AA" w:rsidRDefault="00EE6D95">
      <w:pPr>
        <w:pStyle w:val="Normal6"/>
      </w:pPr>
      <w:r>
        <w:t>Održivo gospodarenje šumama neophodan je alat za očuvanje zdravlja i vitalnosti šumskih ekosustava, njihov doprinos globalnom ciklusu ugljika, ublažavanje posljedica klimatskih promjena, poticanje proizvodnih i socijalnih funkcija šume te poboljšanje biološke raznolikosti.</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Ukupna površina šuma i šumskih zemljišta</w:t>
            </w:r>
          </w:p>
        </w:tc>
        <w:tc>
          <w:tcPr>
            <w:tcW w:w="1114" w:type="dxa"/>
          </w:tcPr>
          <w:p w:rsidR="00D849AA" w:rsidRDefault="00EE6D95">
            <w:r>
              <w:t>ha</w:t>
            </w:r>
          </w:p>
        </w:tc>
        <w:tc>
          <w:tcPr>
            <w:tcW w:w="1114" w:type="dxa"/>
          </w:tcPr>
          <w:p w:rsidR="00D849AA" w:rsidRDefault="00EE6D95">
            <w:r>
              <w:t>2.688.876</w:t>
            </w:r>
          </w:p>
        </w:tc>
        <w:tc>
          <w:tcPr>
            <w:tcW w:w="1486" w:type="dxa"/>
          </w:tcPr>
          <w:p w:rsidR="00D849AA" w:rsidRDefault="00EE6D95">
            <w:r>
              <w:t>2.688.876</w:t>
            </w:r>
          </w:p>
        </w:tc>
        <w:tc>
          <w:tcPr>
            <w:tcW w:w="1486" w:type="dxa"/>
          </w:tcPr>
          <w:p w:rsidR="00D849AA" w:rsidRDefault="00EE6D95">
            <w:r>
              <w:t>2.688.876</w:t>
            </w:r>
          </w:p>
        </w:tc>
        <w:tc>
          <w:tcPr>
            <w:tcW w:w="1486" w:type="dxa"/>
          </w:tcPr>
          <w:p w:rsidR="00D849AA" w:rsidRDefault="00EE6D95">
            <w:r>
              <w:t>2.688.876</w:t>
            </w:r>
          </w:p>
        </w:tc>
      </w:tr>
    </w:tbl>
    <w:p w:rsidR="00D849AA" w:rsidRDefault="00D849AA">
      <w:pPr>
        <w:jc w:val="left"/>
      </w:pPr>
    </w:p>
    <w:p w:rsidR="00D849AA" w:rsidRDefault="00EE6D95">
      <w:pPr>
        <w:pStyle w:val="Naslov7"/>
      </w:pPr>
      <w:r>
        <w:t>Cilj 2. Očuvanje genetske raznolikosti i zaštita šuma</w:t>
      </w:r>
    </w:p>
    <w:p w:rsidR="00D849AA" w:rsidRDefault="00EE6D95">
      <w:pPr>
        <w:pStyle w:val="Normal6"/>
      </w:pPr>
      <w:r>
        <w:t xml:space="preserve">Osiguravanjem staništu prilagođenog reprodukcijskog materijala lokalnih genetskih populacija osigurava se očuvanje genetske raznolikosti i stabilnosti šumskih ekosustava. Trajnim provođenjem mjera zaštite šumskih ekosustava značajno se doprinosi ublažavanju </w:t>
      </w:r>
      <w:r>
        <w:lastRenderedPageBreak/>
        <w:t>posljedica klimatskih promjena, očuvanju biološke raznolikosti, osiguravanju općekorisnih funkcija šuma, kao i vezivanju znatnih količine CO2 iz atmosfere u drvnu masu.</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Ukupna površina šuma i šumskih zemljišta</w:t>
            </w:r>
          </w:p>
        </w:tc>
        <w:tc>
          <w:tcPr>
            <w:tcW w:w="1114" w:type="dxa"/>
          </w:tcPr>
          <w:p w:rsidR="00D849AA" w:rsidRDefault="00EE6D95">
            <w:r>
              <w:t>ha</w:t>
            </w:r>
          </w:p>
        </w:tc>
        <w:tc>
          <w:tcPr>
            <w:tcW w:w="1114" w:type="dxa"/>
          </w:tcPr>
          <w:p w:rsidR="00D849AA" w:rsidRDefault="00EE6D95">
            <w:r>
              <w:t>2.688.876</w:t>
            </w:r>
          </w:p>
        </w:tc>
        <w:tc>
          <w:tcPr>
            <w:tcW w:w="1486" w:type="dxa"/>
          </w:tcPr>
          <w:p w:rsidR="00D849AA" w:rsidRDefault="00EE6D95">
            <w:r>
              <w:t>2.688.876</w:t>
            </w:r>
          </w:p>
        </w:tc>
        <w:tc>
          <w:tcPr>
            <w:tcW w:w="1486" w:type="dxa"/>
          </w:tcPr>
          <w:p w:rsidR="00D849AA" w:rsidRDefault="00EE6D95">
            <w:r>
              <w:t>2.688.876</w:t>
            </w:r>
          </w:p>
        </w:tc>
        <w:tc>
          <w:tcPr>
            <w:tcW w:w="1486" w:type="dxa"/>
          </w:tcPr>
          <w:p w:rsidR="00D849AA" w:rsidRDefault="00EE6D95">
            <w:r>
              <w:t>2.688.876</w:t>
            </w:r>
          </w:p>
        </w:tc>
      </w:tr>
    </w:tbl>
    <w:p w:rsidR="00D849AA" w:rsidRDefault="00D849AA">
      <w:pPr>
        <w:jc w:val="left"/>
      </w:pPr>
    </w:p>
    <w:p w:rsidR="00D849AA" w:rsidRDefault="00EE6D95">
      <w:pPr>
        <w:pStyle w:val="Naslov7"/>
      </w:pPr>
      <w:r>
        <w:t>Cilj 3. Implementacija međunarodnih obveza iz područja šumarstva</w:t>
      </w:r>
    </w:p>
    <w:p w:rsidR="00D849AA" w:rsidRDefault="00EE6D95">
      <w:pPr>
        <w:pStyle w:val="Normal6"/>
      </w:pPr>
      <w:r>
        <w:t>Nastaviti s aktivnim sudjelovanjem na međunarodnoj šumarskoj sceni (UN, EU, OECD, FOREST EUROPE i dr.). Ovime se nastavlja doprinos Republike Hrvatske pri  kreiranju općih šumarskih politika i akcija na europskom, ali i svjetskom nivou, kako u dijelu održivog gospodarenja šumskim resursima, ruralnog razvoja, održivog razvoja i očuvanja biološke raznolikosti, tako i u dijelu adaptacije šuma i njihovog utjecaja na ublažavanje posljedica klimatskih promjena.</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Ukupna površina šuma i šumskih zemljišta</w:t>
            </w:r>
          </w:p>
        </w:tc>
        <w:tc>
          <w:tcPr>
            <w:tcW w:w="1114" w:type="dxa"/>
          </w:tcPr>
          <w:p w:rsidR="00D849AA" w:rsidRDefault="00EE6D95">
            <w:r>
              <w:t>ha</w:t>
            </w:r>
          </w:p>
        </w:tc>
        <w:tc>
          <w:tcPr>
            <w:tcW w:w="1114" w:type="dxa"/>
          </w:tcPr>
          <w:p w:rsidR="00D849AA" w:rsidRDefault="00EE6D95">
            <w:r>
              <w:t>2.688.876</w:t>
            </w:r>
          </w:p>
        </w:tc>
        <w:tc>
          <w:tcPr>
            <w:tcW w:w="1486" w:type="dxa"/>
          </w:tcPr>
          <w:p w:rsidR="00D849AA" w:rsidRDefault="00EE6D95">
            <w:r>
              <w:t>2.688.876</w:t>
            </w:r>
          </w:p>
        </w:tc>
        <w:tc>
          <w:tcPr>
            <w:tcW w:w="1486" w:type="dxa"/>
          </w:tcPr>
          <w:p w:rsidR="00D849AA" w:rsidRDefault="00EE6D95">
            <w:r>
              <w:t>2.688.876</w:t>
            </w:r>
          </w:p>
        </w:tc>
        <w:tc>
          <w:tcPr>
            <w:tcW w:w="1486" w:type="dxa"/>
          </w:tcPr>
          <w:p w:rsidR="00D849AA" w:rsidRDefault="00EE6D95">
            <w:r>
              <w:t>2.688.876</w:t>
            </w:r>
          </w:p>
        </w:tc>
      </w:tr>
    </w:tbl>
    <w:p w:rsidR="00D849AA" w:rsidRDefault="00D849AA">
      <w:pPr>
        <w:jc w:val="left"/>
      </w:pPr>
    </w:p>
    <w:p w:rsidR="00D849AA" w:rsidRDefault="00EE6D95">
      <w:pPr>
        <w:pStyle w:val="Naslov7"/>
      </w:pPr>
      <w:r>
        <w:t>Cilj 4. Razvoj gospodarenja lovištima i divljači</w:t>
      </w:r>
    </w:p>
    <w:p w:rsidR="00D849AA" w:rsidRDefault="00EE6D95">
      <w:pPr>
        <w:pStyle w:val="Normal6"/>
      </w:pPr>
      <w:r>
        <w:t>Unapređenje lovstva s ciljem poboljšanja gospodarenja lovištima i divljači, povećanja brojnog stanja divljači čije je brojno stanje ispod propisanoga, te njihovo praćenje.</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rsidP="00B151E0">
            <w:pPr>
              <w:pStyle w:val="CellColumn"/>
            </w:pPr>
            <w:r>
              <w:t>Povećanje i/ili održavanje deficitarne divljači u RH</w:t>
            </w:r>
          </w:p>
        </w:tc>
        <w:tc>
          <w:tcPr>
            <w:tcW w:w="1114" w:type="dxa"/>
          </w:tcPr>
          <w:p w:rsidR="00D849AA" w:rsidRDefault="00EE6D95">
            <w:r>
              <w:t xml:space="preserve">grlo i/ili </w:t>
            </w:r>
          </w:p>
          <w:p w:rsidR="00D849AA" w:rsidRDefault="00EE6D95">
            <w:r>
              <w:t>broja</w:t>
            </w:r>
          </w:p>
        </w:tc>
        <w:tc>
          <w:tcPr>
            <w:tcW w:w="1114" w:type="dxa"/>
          </w:tcPr>
          <w:p w:rsidR="00D849AA" w:rsidRDefault="00EE6D95">
            <w:r>
              <w:t>80.590</w:t>
            </w:r>
          </w:p>
        </w:tc>
        <w:tc>
          <w:tcPr>
            <w:tcW w:w="1486" w:type="dxa"/>
          </w:tcPr>
          <w:p w:rsidR="00D849AA" w:rsidRDefault="00EE6D95">
            <w:r>
              <w:t>83.200</w:t>
            </w:r>
          </w:p>
        </w:tc>
        <w:tc>
          <w:tcPr>
            <w:tcW w:w="1486" w:type="dxa"/>
          </w:tcPr>
          <w:p w:rsidR="00D849AA" w:rsidRDefault="00EE6D95">
            <w:r>
              <w:t>83.350</w:t>
            </w:r>
          </w:p>
        </w:tc>
        <w:tc>
          <w:tcPr>
            <w:tcW w:w="1486" w:type="dxa"/>
          </w:tcPr>
          <w:p w:rsidR="00D849AA" w:rsidRDefault="00EE6D95">
            <w:r>
              <w:t>83.550</w:t>
            </w:r>
          </w:p>
        </w:tc>
      </w:tr>
    </w:tbl>
    <w:p w:rsidR="00D849AA" w:rsidRDefault="00D849AA">
      <w:pPr>
        <w:jc w:val="left"/>
      </w:pPr>
    </w:p>
    <w:p w:rsidR="00D849AA" w:rsidRDefault="00EE6D95">
      <w:pPr>
        <w:pStyle w:val="Naslov5"/>
      </w:pPr>
      <w:r>
        <w:lastRenderedPageBreak/>
        <w:t>Procjena i ishodište potrebnih sredstava za značajnije aktivnosti/projekte</w:t>
      </w:r>
    </w:p>
    <w:p w:rsidR="00D849AA" w:rsidRDefault="00EE6D95">
      <w:pPr>
        <w:pStyle w:val="Naslov6"/>
      </w:pPr>
      <w:r>
        <w:t>A820038 UNAPREĐENJE ŠUMARSTVA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A820038</w:t>
            </w:r>
          </w:p>
        </w:tc>
        <w:tc>
          <w:tcPr>
            <w:tcW w:w="1486" w:type="dxa"/>
          </w:tcPr>
          <w:p w:rsidR="00D849AA" w:rsidRDefault="00EE6D95">
            <w:r>
              <w:t>1.110.000</w:t>
            </w:r>
          </w:p>
        </w:tc>
        <w:tc>
          <w:tcPr>
            <w:tcW w:w="1486" w:type="dxa"/>
          </w:tcPr>
          <w:p w:rsidR="00D849AA" w:rsidRDefault="00EE6D95">
            <w:r>
              <w:t>1.080.000</w:t>
            </w:r>
          </w:p>
        </w:tc>
        <w:tc>
          <w:tcPr>
            <w:tcW w:w="1486" w:type="dxa"/>
          </w:tcPr>
          <w:p w:rsidR="00D849AA" w:rsidRDefault="00EE6D95">
            <w:r>
              <w:t>1.230.000</w:t>
            </w:r>
          </w:p>
        </w:tc>
        <w:tc>
          <w:tcPr>
            <w:tcW w:w="1486" w:type="dxa"/>
          </w:tcPr>
          <w:p w:rsidR="00D849AA" w:rsidRDefault="00EE6D95">
            <w:r>
              <w:t>1.230.000</w:t>
            </w:r>
          </w:p>
        </w:tc>
        <w:tc>
          <w:tcPr>
            <w:tcW w:w="1486" w:type="dxa"/>
          </w:tcPr>
          <w:p w:rsidR="00D849AA" w:rsidRDefault="00EE6D95">
            <w:r>
              <w:t>97,3</w:t>
            </w:r>
          </w:p>
        </w:tc>
      </w:tr>
    </w:tbl>
    <w:p w:rsidR="00D849AA" w:rsidRDefault="00D849AA">
      <w:pPr>
        <w:jc w:val="left"/>
      </w:pPr>
    </w:p>
    <w:p w:rsidR="00D849AA" w:rsidRDefault="00EE6D95">
      <w:pPr>
        <w:pStyle w:val="Normal6"/>
      </w:pPr>
      <w:r>
        <w:t>Aktivnosti se odnose na odobravanje i provedbu šumskogospodarskih planova kojima se propisuje uzgoj i zaštita šuma te korištenje šuma i šumskog zemljišta. Osim navedenog aktivnosti će se koristiti za izradu šumarskog informacijskog sustava te održavanje baze Nacionalne inventure šumskih resursa RH (CRONFI).</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Površina šuma i šumskih zemljišta kojima se gospodari temeljem šumskogospodarskih planova</w:t>
            </w:r>
          </w:p>
        </w:tc>
        <w:tc>
          <w:tcPr>
            <w:tcW w:w="1114" w:type="dxa"/>
          </w:tcPr>
          <w:p w:rsidR="00D849AA" w:rsidRDefault="00EE6D95">
            <w:r>
              <w:t>ha</w:t>
            </w:r>
          </w:p>
        </w:tc>
        <w:tc>
          <w:tcPr>
            <w:tcW w:w="1114" w:type="dxa"/>
          </w:tcPr>
          <w:p w:rsidR="00D849AA" w:rsidRDefault="00EE6D95">
            <w:r>
              <w:t>2.186.457</w:t>
            </w:r>
          </w:p>
        </w:tc>
        <w:tc>
          <w:tcPr>
            <w:tcW w:w="1486" w:type="dxa"/>
          </w:tcPr>
          <w:p w:rsidR="00D849AA" w:rsidRDefault="00EE6D95">
            <w:r>
              <w:t>2.195.000</w:t>
            </w:r>
          </w:p>
        </w:tc>
        <w:tc>
          <w:tcPr>
            <w:tcW w:w="1486" w:type="dxa"/>
          </w:tcPr>
          <w:p w:rsidR="00D849AA" w:rsidRDefault="00EE6D95">
            <w:r>
              <w:t>2.205.000</w:t>
            </w:r>
          </w:p>
        </w:tc>
        <w:tc>
          <w:tcPr>
            <w:tcW w:w="1486" w:type="dxa"/>
          </w:tcPr>
          <w:p w:rsidR="00D849AA" w:rsidRDefault="00EE6D95">
            <w:r>
              <w:t>2.215.000</w:t>
            </w:r>
          </w:p>
        </w:tc>
      </w:tr>
    </w:tbl>
    <w:p w:rsidR="00D849AA" w:rsidRDefault="00D849AA">
      <w:pPr>
        <w:jc w:val="left"/>
      </w:pPr>
    </w:p>
    <w:p w:rsidR="00D849AA" w:rsidRDefault="00EE6D95">
      <w:pPr>
        <w:pStyle w:val="Naslov6"/>
      </w:pPr>
      <w:r>
        <w:t>A821038 MJERE ŠUMARSKE POLITIKE U PRIVATNIM ŠUMAMA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A821038</w:t>
            </w:r>
          </w:p>
        </w:tc>
        <w:tc>
          <w:tcPr>
            <w:tcW w:w="1486" w:type="dxa"/>
          </w:tcPr>
          <w:p w:rsidR="00D849AA" w:rsidRDefault="00EE6D95">
            <w:r>
              <w:t>80.000</w:t>
            </w:r>
          </w:p>
        </w:tc>
        <w:tc>
          <w:tcPr>
            <w:tcW w:w="1486" w:type="dxa"/>
          </w:tcPr>
          <w:p w:rsidR="00D849AA" w:rsidRDefault="00EE6D95">
            <w:r>
              <w:t>120.000</w:t>
            </w:r>
          </w:p>
        </w:tc>
        <w:tc>
          <w:tcPr>
            <w:tcW w:w="1486" w:type="dxa"/>
          </w:tcPr>
          <w:p w:rsidR="00D849AA" w:rsidRDefault="00EE6D95">
            <w:r>
              <w:t>130.000</w:t>
            </w:r>
          </w:p>
        </w:tc>
        <w:tc>
          <w:tcPr>
            <w:tcW w:w="1486" w:type="dxa"/>
          </w:tcPr>
          <w:p w:rsidR="00D849AA" w:rsidRDefault="00EE6D95">
            <w:r>
              <w:t>130.000</w:t>
            </w:r>
          </w:p>
        </w:tc>
        <w:tc>
          <w:tcPr>
            <w:tcW w:w="1486" w:type="dxa"/>
          </w:tcPr>
          <w:p w:rsidR="00D849AA" w:rsidRDefault="00EE6D95">
            <w:r>
              <w:t>150,0</w:t>
            </w:r>
          </w:p>
        </w:tc>
      </w:tr>
    </w:tbl>
    <w:p w:rsidR="00D849AA" w:rsidRDefault="00D849AA">
      <w:pPr>
        <w:jc w:val="left"/>
      </w:pPr>
    </w:p>
    <w:p w:rsidR="00D849AA" w:rsidRDefault="00EE6D95">
      <w:pPr>
        <w:pStyle w:val="Normal6"/>
      </w:pPr>
      <w:r>
        <w:t>Aktivnosti se odnose na izradu letaka, brošura, plakata za privatne šume te financiranje održavanja programa za upisnik šumoposjednika.</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Površina šuma i šumskih zemljišta kojima se gospodari temeljem šumskogospodarskih planova</w:t>
            </w:r>
          </w:p>
        </w:tc>
        <w:tc>
          <w:tcPr>
            <w:tcW w:w="1114" w:type="dxa"/>
          </w:tcPr>
          <w:p w:rsidR="00D849AA" w:rsidRDefault="00EE6D95">
            <w:r>
              <w:t>ha</w:t>
            </w:r>
          </w:p>
        </w:tc>
        <w:tc>
          <w:tcPr>
            <w:tcW w:w="1114" w:type="dxa"/>
          </w:tcPr>
          <w:p w:rsidR="00D849AA" w:rsidRDefault="00EE6D95">
            <w:r>
              <w:t>2.186.457</w:t>
            </w:r>
          </w:p>
        </w:tc>
        <w:tc>
          <w:tcPr>
            <w:tcW w:w="1486" w:type="dxa"/>
          </w:tcPr>
          <w:p w:rsidR="00D849AA" w:rsidRDefault="00EE6D95">
            <w:r>
              <w:t>2.195.000</w:t>
            </w:r>
          </w:p>
        </w:tc>
        <w:tc>
          <w:tcPr>
            <w:tcW w:w="1486" w:type="dxa"/>
          </w:tcPr>
          <w:p w:rsidR="00D849AA" w:rsidRDefault="00EE6D95">
            <w:r>
              <w:t>2.205.000</w:t>
            </w:r>
          </w:p>
        </w:tc>
        <w:tc>
          <w:tcPr>
            <w:tcW w:w="1486" w:type="dxa"/>
          </w:tcPr>
          <w:p w:rsidR="00D849AA" w:rsidRDefault="00EE6D95">
            <w:r>
              <w:t>2.215.000</w:t>
            </w:r>
          </w:p>
        </w:tc>
      </w:tr>
    </w:tbl>
    <w:p w:rsidR="00D849AA" w:rsidRDefault="00D849AA">
      <w:pPr>
        <w:jc w:val="left"/>
      </w:pPr>
    </w:p>
    <w:p w:rsidR="00D849AA" w:rsidRDefault="00EE6D95">
      <w:pPr>
        <w:pStyle w:val="Naslov6"/>
      </w:pPr>
      <w:r>
        <w:lastRenderedPageBreak/>
        <w:t>K568285 GOSPODARENJE SMEĐIM MEDVJEDOM</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K568285</w:t>
            </w:r>
          </w:p>
        </w:tc>
        <w:tc>
          <w:tcPr>
            <w:tcW w:w="1486" w:type="dxa"/>
          </w:tcPr>
          <w:p w:rsidR="00D849AA" w:rsidRDefault="00EE6D95">
            <w:r>
              <w:t>80.000</w:t>
            </w:r>
          </w:p>
        </w:tc>
        <w:tc>
          <w:tcPr>
            <w:tcW w:w="1486" w:type="dxa"/>
          </w:tcPr>
          <w:p w:rsidR="00D849AA" w:rsidRDefault="00EE6D95">
            <w:r>
              <w:t>80.000</w:t>
            </w:r>
          </w:p>
        </w:tc>
        <w:tc>
          <w:tcPr>
            <w:tcW w:w="1486" w:type="dxa"/>
          </w:tcPr>
          <w:p w:rsidR="00D849AA" w:rsidRDefault="00EE6D95">
            <w:r>
              <w:t>80.000</w:t>
            </w:r>
          </w:p>
        </w:tc>
        <w:tc>
          <w:tcPr>
            <w:tcW w:w="1486" w:type="dxa"/>
          </w:tcPr>
          <w:p w:rsidR="00D849AA" w:rsidRDefault="00EE6D95">
            <w:r>
              <w:t>80.000</w:t>
            </w:r>
          </w:p>
        </w:tc>
        <w:tc>
          <w:tcPr>
            <w:tcW w:w="1486" w:type="dxa"/>
          </w:tcPr>
          <w:p w:rsidR="00D849AA" w:rsidRDefault="00EE6D95">
            <w:r>
              <w:t>100,0</w:t>
            </w:r>
          </w:p>
        </w:tc>
      </w:tr>
    </w:tbl>
    <w:p w:rsidR="00D849AA" w:rsidRDefault="00D849AA">
      <w:pPr>
        <w:jc w:val="left"/>
      </w:pPr>
    </w:p>
    <w:p w:rsidR="00D849AA" w:rsidRDefault="00EE6D95">
      <w:pPr>
        <w:pStyle w:val="Normal6"/>
      </w:pPr>
      <w:r>
        <w:t>Aktivnost se odnosi na izvršenje plana gospodarenja smeđim medvjedom kako bi se smanjile štete na poljoprivrednim kulturama i stoci koje smeđi medvjed uzrokuje.</w:t>
      </w:r>
    </w:p>
    <w:p w:rsidR="00D849AA" w:rsidRDefault="00EE6D95">
      <w:pPr>
        <w:pStyle w:val="Naslov6"/>
      </w:pPr>
      <w:r>
        <w:t>K828038 MJERE ZAŠTITE ŠUMA OD BIOTSKIH I ABIOTSKIH ČIMBENIKA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K828038</w:t>
            </w:r>
          </w:p>
        </w:tc>
        <w:tc>
          <w:tcPr>
            <w:tcW w:w="1486" w:type="dxa"/>
          </w:tcPr>
          <w:p w:rsidR="00D849AA" w:rsidRDefault="00EE6D95">
            <w:r>
              <w:t>1.200.000</w:t>
            </w:r>
          </w:p>
        </w:tc>
        <w:tc>
          <w:tcPr>
            <w:tcW w:w="1486" w:type="dxa"/>
          </w:tcPr>
          <w:p w:rsidR="00D849AA" w:rsidRDefault="00EE6D95">
            <w:r>
              <w:t>1.300.000</w:t>
            </w:r>
          </w:p>
        </w:tc>
        <w:tc>
          <w:tcPr>
            <w:tcW w:w="1486" w:type="dxa"/>
          </w:tcPr>
          <w:p w:rsidR="00D849AA" w:rsidRDefault="00EE6D95">
            <w:r>
              <w:t>1.500.000</w:t>
            </w:r>
          </w:p>
        </w:tc>
        <w:tc>
          <w:tcPr>
            <w:tcW w:w="1486" w:type="dxa"/>
          </w:tcPr>
          <w:p w:rsidR="00D849AA" w:rsidRDefault="00EE6D95">
            <w:r>
              <w:t>1.500.000</w:t>
            </w:r>
          </w:p>
        </w:tc>
        <w:tc>
          <w:tcPr>
            <w:tcW w:w="1486" w:type="dxa"/>
          </w:tcPr>
          <w:p w:rsidR="00D849AA" w:rsidRDefault="00EE6D95">
            <w:r>
              <w:t>108,3</w:t>
            </w:r>
          </w:p>
        </w:tc>
      </w:tr>
    </w:tbl>
    <w:p w:rsidR="00D849AA" w:rsidRDefault="00D849AA">
      <w:pPr>
        <w:jc w:val="left"/>
      </w:pPr>
    </w:p>
    <w:p w:rsidR="00D849AA" w:rsidRDefault="00EE6D95">
      <w:pPr>
        <w:pStyle w:val="Normal6"/>
      </w:pPr>
      <w:r>
        <w:t>Kako bi se osigurala vitalnost i proizvodnost šumskih ekosustava nužno je provoditi trajno motrenje oštećenosti šumskih ekosustava pod utjecajem atmosferskog onečišćenja i drugih čimbenika. Nadalje, s obzirom na jačanje trgovinskih tokova i protok robe potrebno je radi pravovremenog upozoravanja o pojavi štetnih organizama i davanja preporuka za njihovo suzbijanje obavljati izvještajno-prognozne poslove u šumarstvu.</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305"/>
        <w:gridCol w:w="1486"/>
        <w:gridCol w:w="1486"/>
        <w:gridCol w:w="1486"/>
      </w:tblGrid>
      <w:tr w:rsidR="00D849AA" w:rsidTr="00337A23">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305"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rsidTr="00337A23">
        <w:trPr>
          <w:jc w:val="center"/>
        </w:trPr>
        <w:tc>
          <w:tcPr>
            <w:tcW w:w="2229" w:type="dxa"/>
          </w:tcPr>
          <w:p w:rsidR="00D849AA" w:rsidRDefault="00EE6D95">
            <w:pPr>
              <w:pStyle w:val="CellColumn"/>
            </w:pPr>
            <w:r>
              <w:t>Povećanje broja parametara i točaka na kojima se motri oštećenost šumskih ekosustava od atmosferskog onečišćenja</w:t>
            </w:r>
          </w:p>
        </w:tc>
        <w:tc>
          <w:tcPr>
            <w:tcW w:w="1114" w:type="dxa"/>
          </w:tcPr>
          <w:p w:rsidR="00D849AA" w:rsidRDefault="00EE6D95">
            <w:r>
              <w:t>Broj</w:t>
            </w:r>
          </w:p>
        </w:tc>
        <w:tc>
          <w:tcPr>
            <w:tcW w:w="1305" w:type="dxa"/>
          </w:tcPr>
          <w:p w:rsidR="00D849AA" w:rsidRDefault="00EE6D95">
            <w:r>
              <w:t>9 parametara91 točka</w:t>
            </w:r>
          </w:p>
        </w:tc>
        <w:tc>
          <w:tcPr>
            <w:tcW w:w="1486" w:type="dxa"/>
          </w:tcPr>
          <w:p w:rsidR="00D849AA" w:rsidRDefault="00EE6D95">
            <w:r>
              <w:t>9 parametara91 točka</w:t>
            </w:r>
          </w:p>
        </w:tc>
        <w:tc>
          <w:tcPr>
            <w:tcW w:w="1486" w:type="dxa"/>
          </w:tcPr>
          <w:p w:rsidR="00D849AA" w:rsidRDefault="00EE6D95">
            <w:r>
              <w:t>9 parametara92 točke</w:t>
            </w:r>
          </w:p>
        </w:tc>
        <w:tc>
          <w:tcPr>
            <w:tcW w:w="1486" w:type="dxa"/>
          </w:tcPr>
          <w:p w:rsidR="00D849AA" w:rsidRDefault="00EE6D95">
            <w:r>
              <w:t>9 parametara 93 točke</w:t>
            </w:r>
          </w:p>
        </w:tc>
      </w:tr>
    </w:tbl>
    <w:p w:rsidR="00337A23" w:rsidRDefault="00337A23" w:rsidP="00337A23">
      <w:pPr>
        <w:jc w:val="left"/>
      </w:pPr>
    </w:p>
    <w:p w:rsidR="00337A23" w:rsidRDefault="00337A23" w:rsidP="00337A23">
      <w:pPr>
        <w:pStyle w:val="Naslov4"/>
      </w:pPr>
      <w:r>
        <w:t>OBRAZLOŽENJE PROGRAMA</w:t>
      </w:r>
    </w:p>
    <w:p w:rsidR="00D849AA" w:rsidRDefault="00EE6D95">
      <w:pPr>
        <w:pStyle w:val="Naslov5"/>
      </w:pPr>
      <w:r>
        <w:t>3007 SUSTAV NAVODNJAVANJA I ZAŠTITE OD ŠTETNOG DJELOVANJA VODA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3007</w:t>
            </w:r>
          </w:p>
        </w:tc>
        <w:tc>
          <w:tcPr>
            <w:tcW w:w="1486" w:type="dxa"/>
          </w:tcPr>
          <w:p w:rsidR="00D849AA" w:rsidRDefault="00EE6D95">
            <w:r>
              <w:t>80.695.000</w:t>
            </w:r>
          </w:p>
        </w:tc>
        <w:tc>
          <w:tcPr>
            <w:tcW w:w="1486" w:type="dxa"/>
          </w:tcPr>
          <w:p w:rsidR="00D849AA" w:rsidRDefault="00EE6D95">
            <w:r>
              <w:t>109.820.000</w:t>
            </w:r>
          </w:p>
        </w:tc>
        <w:tc>
          <w:tcPr>
            <w:tcW w:w="1486" w:type="dxa"/>
          </w:tcPr>
          <w:p w:rsidR="00D849AA" w:rsidRDefault="00EE6D95">
            <w:r>
              <w:t>69.620.000</w:t>
            </w:r>
          </w:p>
        </w:tc>
        <w:tc>
          <w:tcPr>
            <w:tcW w:w="1486" w:type="dxa"/>
          </w:tcPr>
          <w:p w:rsidR="00D849AA" w:rsidRDefault="00EE6D95">
            <w:r>
              <w:t>25.020.000</w:t>
            </w:r>
          </w:p>
        </w:tc>
        <w:tc>
          <w:tcPr>
            <w:tcW w:w="1486" w:type="dxa"/>
          </w:tcPr>
          <w:p w:rsidR="00D849AA" w:rsidRDefault="00EE6D95">
            <w:r>
              <w:t>136,1</w:t>
            </w:r>
          </w:p>
        </w:tc>
      </w:tr>
    </w:tbl>
    <w:p w:rsidR="00D849AA" w:rsidRDefault="00D849AA">
      <w:pPr>
        <w:jc w:val="left"/>
      </w:pPr>
    </w:p>
    <w:p w:rsidR="00D849AA" w:rsidRDefault="00EE6D95">
      <w:pPr>
        <w:pStyle w:val="Naslov6"/>
      </w:pPr>
      <w:r>
        <w:lastRenderedPageBreak/>
        <w:t>Opis programa</w:t>
      </w:r>
    </w:p>
    <w:p w:rsidR="00D849AA" w:rsidRDefault="00EE6D95">
      <w:pPr>
        <w:pStyle w:val="Normal5"/>
      </w:pPr>
      <w:r>
        <w:t xml:space="preserve">Navodnjavanje i zaštita poljoprivrednih površina od štetnog djelovanja voda od presudne je važnosti u razvoju, stabilnosti i gospodarskoj isplativosti svake cjelovite poljoprivredne proizvodnje.   </w:t>
      </w:r>
    </w:p>
    <w:p w:rsidR="00D849AA" w:rsidRDefault="00EE6D95">
      <w:pPr>
        <w:pStyle w:val="Normal5"/>
      </w:pPr>
      <w:r>
        <w:t>Provedbom Nacionalnog projekta navodnjavanja i gospodarenja poljoprivrednim zemljištem i vodama u RH (NAPNAV) nastavljaju se aktivnosti započete 2004. godine koje imaju za krajnji cilj izgradnju infrastrukture za sustavnu primjenu navodnjavanja na cca 65.000 ha do 2020. godine čime će se omogućiti stabilizacija te povećanje poljoprivredne proizvodnje, a time i povećanje konkurentnosti iste na domaćem i stranom tržištu, povećanje vrijednosti poljoprivrednog sektora u ukupnom gospodarstvu i racionalnije gospodarenje vodnim resursima kao i smanjenje mogućih šteta od suše. Razvojem sustava zaštite od štetnog djelovanja odnosno povećanjem funkcionalnosti istog smanjit će se mogućnost nastanka štetnih posljedica izazvanih štetnim djelovanjem voda.</w:t>
      </w:r>
    </w:p>
    <w:p w:rsidR="00D849AA" w:rsidRDefault="00EE6D95">
      <w:pPr>
        <w:pStyle w:val="Naslov6"/>
      </w:pPr>
      <w:r>
        <w:t>Zakonske i druge pravne osnove</w:t>
      </w:r>
    </w:p>
    <w:p w:rsidR="00D849AA" w:rsidRDefault="00EE6D95">
      <w:pPr>
        <w:pStyle w:val="Normal5"/>
      </w:pPr>
      <w:r>
        <w:t xml:space="preserve">Zakon o vodama („Narodne novine“, broj 153/09,130/11 i 56/13);  </w:t>
      </w:r>
    </w:p>
    <w:p w:rsidR="00D849AA" w:rsidRDefault="00EE6D95">
      <w:pPr>
        <w:pStyle w:val="Normal5"/>
      </w:pPr>
      <w:r>
        <w:t xml:space="preserve">Zakon o financiranju vodnoga gospodarstva („Narodne novine“, broj 153/09 i 56/13);  </w:t>
      </w:r>
    </w:p>
    <w:p w:rsidR="00D849AA" w:rsidRDefault="00EE6D95">
      <w:pPr>
        <w:pStyle w:val="Normal5"/>
      </w:pPr>
      <w:r>
        <w:t xml:space="preserve">Strategija upravljanja vodama („Narodne novine“, broj 91/08);  </w:t>
      </w:r>
    </w:p>
    <w:p w:rsidR="00D849AA" w:rsidRDefault="00EE6D95">
      <w:pPr>
        <w:pStyle w:val="Normal5"/>
      </w:pPr>
      <w:r>
        <w:t>Nacionalni projekt navodnjavanja i gospodarenja poljoprivrednim zemljištem i vodama u Republici Hrvatskoj – NAPNAV (Agronomski i Građevinski fakultet Sveučilišta u Zagrebu, srpanj 2005.); Pravilnik o upravljanju i uređenju sustava za navodnjavanje („Narodne novine“, broj 83/10)</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 xml:space="preserve">Cilj 1. Sustav  navodnjavanja  i  zaštite  od  štetnog  djelovanja  voda </w:t>
      </w:r>
    </w:p>
    <w:p w:rsidR="00D849AA" w:rsidRDefault="00EE6D95">
      <w:pPr>
        <w:pStyle w:val="Normal6"/>
      </w:pPr>
      <w:r>
        <w:t xml:space="preserve">Realizacijom NAPNAV-a cilj je povećati broj poljoprivrednih površina pod navodnjavanjem u svrhu boljeg gospodarenja poljoprivrednim zemljištem i vodama u uvjetima navodnjavanja.  </w:t>
      </w:r>
    </w:p>
    <w:p w:rsidR="00D849AA" w:rsidRDefault="00EE6D95">
      <w:pPr>
        <w:pStyle w:val="Normal6"/>
      </w:pPr>
      <w:r>
        <w:t>Povećanjem funkcionalnosti sustava zaštite od štetnog djelovanja voda smanjuje se mogućnost nastanka šteta izazvanih štetnim djelovanjem voda.</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Povećanje površina pod navodnjavanjem što rezultira kvalitetnijom i povećanom poljoprivrednom proizvodnjom</w:t>
            </w:r>
          </w:p>
        </w:tc>
        <w:tc>
          <w:tcPr>
            <w:tcW w:w="1114" w:type="dxa"/>
          </w:tcPr>
          <w:p w:rsidR="00D849AA" w:rsidRDefault="00EE6D95">
            <w:r>
              <w:t>ha</w:t>
            </w:r>
          </w:p>
        </w:tc>
        <w:tc>
          <w:tcPr>
            <w:tcW w:w="1114" w:type="dxa"/>
          </w:tcPr>
          <w:p w:rsidR="00D849AA" w:rsidRDefault="00EE6D95">
            <w:r>
              <w:t>15.540</w:t>
            </w:r>
          </w:p>
        </w:tc>
        <w:tc>
          <w:tcPr>
            <w:tcW w:w="1486" w:type="dxa"/>
          </w:tcPr>
          <w:p w:rsidR="00D849AA" w:rsidRDefault="00EE6D95">
            <w:r>
              <w:t>17.529</w:t>
            </w:r>
          </w:p>
        </w:tc>
        <w:tc>
          <w:tcPr>
            <w:tcW w:w="1486" w:type="dxa"/>
          </w:tcPr>
          <w:p w:rsidR="00D849AA" w:rsidRDefault="00EE6D95">
            <w:r>
              <w:t>17.729</w:t>
            </w:r>
          </w:p>
        </w:tc>
        <w:tc>
          <w:tcPr>
            <w:tcW w:w="1486" w:type="dxa"/>
          </w:tcPr>
          <w:p w:rsidR="00D849AA" w:rsidRDefault="00EE6D95">
            <w:r>
              <w:t>18.280</w:t>
            </w:r>
          </w:p>
        </w:tc>
      </w:tr>
      <w:tr w:rsidR="00D849AA">
        <w:trPr>
          <w:jc w:val="center"/>
        </w:trPr>
        <w:tc>
          <w:tcPr>
            <w:tcW w:w="2229" w:type="dxa"/>
          </w:tcPr>
          <w:p w:rsidR="00D849AA" w:rsidRDefault="00EE6D95">
            <w:pPr>
              <w:pStyle w:val="CellColumn"/>
            </w:pPr>
            <w:r>
              <w:t xml:space="preserve">Povećanje postotka funkcionalnosti sustava zaštite od štetnog  djelovanja voda, čime se </w:t>
            </w:r>
            <w:r>
              <w:lastRenderedPageBreak/>
              <w:t>smanjuju mogućnosti nastanka šteta izazvanih štetnim djelovanjem voda</w:t>
            </w:r>
          </w:p>
        </w:tc>
        <w:tc>
          <w:tcPr>
            <w:tcW w:w="1114" w:type="dxa"/>
          </w:tcPr>
          <w:p w:rsidR="00D849AA" w:rsidRDefault="00EE6D95">
            <w:r>
              <w:lastRenderedPageBreak/>
              <w:t>%</w:t>
            </w:r>
          </w:p>
        </w:tc>
        <w:tc>
          <w:tcPr>
            <w:tcW w:w="1114" w:type="dxa"/>
          </w:tcPr>
          <w:p w:rsidR="00D849AA" w:rsidRDefault="00EE6D95">
            <w:r>
              <w:t>76</w:t>
            </w:r>
          </w:p>
        </w:tc>
        <w:tc>
          <w:tcPr>
            <w:tcW w:w="1486" w:type="dxa"/>
          </w:tcPr>
          <w:p w:rsidR="00D849AA" w:rsidRDefault="00EE6D95">
            <w:r>
              <w:t>79</w:t>
            </w:r>
          </w:p>
        </w:tc>
        <w:tc>
          <w:tcPr>
            <w:tcW w:w="1486" w:type="dxa"/>
          </w:tcPr>
          <w:p w:rsidR="00D849AA" w:rsidRDefault="00EE6D95">
            <w:r>
              <w:t>82</w:t>
            </w:r>
          </w:p>
        </w:tc>
        <w:tc>
          <w:tcPr>
            <w:tcW w:w="1486" w:type="dxa"/>
          </w:tcPr>
          <w:p w:rsidR="00D849AA" w:rsidRDefault="00EE6D95">
            <w:r>
              <w:t>84</w:t>
            </w:r>
          </w:p>
        </w:tc>
      </w:tr>
    </w:tbl>
    <w:p w:rsidR="00D849AA" w:rsidRDefault="00D849AA">
      <w:pPr>
        <w:jc w:val="left"/>
      </w:pPr>
    </w:p>
    <w:p w:rsidR="00D849AA" w:rsidRDefault="00EE6D95">
      <w:pPr>
        <w:pStyle w:val="Naslov5"/>
      </w:pPr>
      <w:r>
        <w:t>Procjena i ishodište potrebnih sredstava za značajnije aktivnosti/projekte</w:t>
      </w:r>
    </w:p>
    <w:p w:rsidR="00D849AA" w:rsidRDefault="00EE6D95">
      <w:pPr>
        <w:pStyle w:val="Naslov6"/>
      </w:pPr>
      <w:r>
        <w:t>K650048 NAVODNJAVANJE BIĐ - BOSUTSKOG POLJA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K650048</w:t>
            </w:r>
          </w:p>
        </w:tc>
        <w:tc>
          <w:tcPr>
            <w:tcW w:w="1486" w:type="dxa"/>
          </w:tcPr>
          <w:p w:rsidR="00D849AA" w:rsidRDefault="00EE6D95">
            <w:r>
              <w:t>10.922.000</w:t>
            </w:r>
          </w:p>
        </w:tc>
        <w:tc>
          <w:tcPr>
            <w:tcW w:w="1486" w:type="dxa"/>
          </w:tcPr>
          <w:p w:rsidR="00D849AA" w:rsidRDefault="00EE6D95">
            <w:r>
              <w:t>32.800.000</w:t>
            </w:r>
          </w:p>
        </w:tc>
        <w:tc>
          <w:tcPr>
            <w:tcW w:w="1486" w:type="dxa"/>
          </w:tcPr>
          <w:p w:rsidR="00D849AA" w:rsidRDefault="00EE6D95">
            <w:r>
              <w:t>30.150.000</w:t>
            </w:r>
          </w:p>
        </w:tc>
        <w:tc>
          <w:tcPr>
            <w:tcW w:w="1486" w:type="dxa"/>
          </w:tcPr>
          <w:p w:rsidR="00D849AA" w:rsidRDefault="00EE6D95">
            <w:r>
              <w:t>00</w:t>
            </w:r>
          </w:p>
        </w:tc>
        <w:tc>
          <w:tcPr>
            <w:tcW w:w="1486" w:type="dxa"/>
          </w:tcPr>
          <w:p w:rsidR="00D849AA" w:rsidRDefault="00EE6D95">
            <w:r>
              <w:t>300,3</w:t>
            </w:r>
          </w:p>
        </w:tc>
      </w:tr>
    </w:tbl>
    <w:p w:rsidR="00D849AA" w:rsidRDefault="00D849AA">
      <w:pPr>
        <w:jc w:val="left"/>
      </w:pPr>
    </w:p>
    <w:p w:rsidR="00D849AA" w:rsidRDefault="00EE6D95">
      <w:pPr>
        <w:pStyle w:val="Normal6"/>
      </w:pPr>
      <w:r>
        <w:t>Aktivnost obuhvaća financiranje  Nacionalnog pilot projekta navodnjavanja Biđ-bosutskog polja odnosno  izgradnju dovodnog melioracijskog kanala za navodnjavanje duljine 14,7 km iz kojeg će se neposredno zahvaćati voda za navodnjavanje cca 4.000 ha poljoprivrednih površina iz  postojećih i planiranih sustava navodnjavanja u zoni kanala.</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Broj izgrađenih vodnih građevina za navodnjavanje,  osim kanalske mreže</w:t>
            </w:r>
          </w:p>
        </w:tc>
        <w:tc>
          <w:tcPr>
            <w:tcW w:w="1114" w:type="dxa"/>
          </w:tcPr>
          <w:p w:rsidR="00D849AA" w:rsidRDefault="00EE6D95">
            <w:r>
              <w:t>broj</w:t>
            </w:r>
          </w:p>
        </w:tc>
        <w:tc>
          <w:tcPr>
            <w:tcW w:w="1114" w:type="dxa"/>
          </w:tcPr>
          <w:p w:rsidR="00D849AA" w:rsidRDefault="00EE6D95">
            <w:r>
              <w:t>13</w:t>
            </w:r>
          </w:p>
        </w:tc>
        <w:tc>
          <w:tcPr>
            <w:tcW w:w="1486" w:type="dxa"/>
          </w:tcPr>
          <w:p w:rsidR="00D849AA" w:rsidRDefault="00EE6D95">
            <w:r>
              <w:t>16</w:t>
            </w:r>
          </w:p>
        </w:tc>
        <w:tc>
          <w:tcPr>
            <w:tcW w:w="1486" w:type="dxa"/>
          </w:tcPr>
          <w:p w:rsidR="00D849AA" w:rsidRDefault="00EE6D95">
            <w:r>
              <w:t>17</w:t>
            </w:r>
          </w:p>
        </w:tc>
        <w:tc>
          <w:tcPr>
            <w:tcW w:w="1486" w:type="dxa"/>
          </w:tcPr>
          <w:p w:rsidR="00D849AA" w:rsidRDefault="00EE6D95">
            <w:r>
              <w:t>22</w:t>
            </w:r>
          </w:p>
        </w:tc>
      </w:tr>
    </w:tbl>
    <w:p w:rsidR="00D849AA" w:rsidRDefault="00D849AA">
      <w:pPr>
        <w:jc w:val="left"/>
      </w:pPr>
    </w:p>
    <w:p w:rsidR="00D849AA" w:rsidRDefault="00EE6D95">
      <w:pPr>
        <w:pStyle w:val="Naslov6"/>
      </w:pPr>
      <w:r>
        <w:t>K819042 SUSTAV NAVODNJAVANJA KAPINCI - VAŠKA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K819042</w:t>
            </w:r>
          </w:p>
        </w:tc>
        <w:tc>
          <w:tcPr>
            <w:tcW w:w="1486" w:type="dxa"/>
          </w:tcPr>
          <w:p w:rsidR="00D849AA" w:rsidRDefault="00EE6D95">
            <w:r>
              <w:t>17.000.000</w:t>
            </w:r>
          </w:p>
        </w:tc>
        <w:tc>
          <w:tcPr>
            <w:tcW w:w="1486" w:type="dxa"/>
          </w:tcPr>
          <w:p w:rsidR="00D849AA" w:rsidRDefault="00EE6D95">
            <w:r>
              <w:t>30.000.000</w:t>
            </w:r>
          </w:p>
        </w:tc>
        <w:tc>
          <w:tcPr>
            <w:tcW w:w="1486" w:type="dxa"/>
          </w:tcPr>
          <w:p w:rsidR="00D849AA" w:rsidRDefault="00EE6D95">
            <w:r>
              <w:t>15.000.000</w:t>
            </w:r>
          </w:p>
        </w:tc>
        <w:tc>
          <w:tcPr>
            <w:tcW w:w="1486" w:type="dxa"/>
          </w:tcPr>
          <w:p w:rsidR="00D849AA" w:rsidRDefault="00EE6D95">
            <w:r>
              <w:t>00</w:t>
            </w:r>
          </w:p>
        </w:tc>
        <w:tc>
          <w:tcPr>
            <w:tcW w:w="1486" w:type="dxa"/>
          </w:tcPr>
          <w:p w:rsidR="00D849AA" w:rsidRDefault="00EE6D95">
            <w:r>
              <w:t>176,5</w:t>
            </w:r>
          </w:p>
        </w:tc>
      </w:tr>
    </w:tbl>
    <w:p w:rsidR="00D849AA" w:rsidRDefault="00D849AA">
      <w:pPr>
        <w:jc w:val="left"/>
      </w:pPr>
    </w:p>
    <w:p w:rsidR="00D849AA" w:rsidRDefault="00EE6D95">
      <w:pPr>
        <w:pStyle w:val="Normal6"/>
      </w:pPr>
      <w:r>
        <w:t>Aktivnost obuhvaća sufinanciranje izgradnje sustava navodnjavanja Kapinci-Vaška sveukupnog obuhvata 1260 ha na području Virovitičko-podravske županije.</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Broj izgrađenih vodnih građevina za navodnjavanje,  osim kanalske mreže</w:t>
            </w:r>
          </w:p>
        </w:tc>
        <w:tc>
          <w:tcPr>
            <w:tcW w:w="1114" w:type="dxa"/>
          </w:tcPr>
          <w:p w:rsidR="00D849AA" w:rsidRDefault="00EE6D95">
            <w:r>
              <w:t>broj</w:t>
            </w:r>
          </w:p>
        </w:tc>
        <w:tc>
          <w:tcPr>
            <w:tcW w:w="1114" w:type="dxa"/>
          </w:tcPr>
          <w:p w:rsidR="00D849AA" w:rsidRDefault="00EE6D95">
            <w:r>
              <w:t>13</w:t>
            </w:r>
          </w:p>
        </w:tc>
        <w:tc>
          <w:tcPr>
            <w:tcW w:w="1486" w:type="dxa"/>
          </w:tcPr>
          <w:p w:rsidR="00D849AA" w:rsidRDefault="00EE6D95">
            <w:r>
              <w:t>16</w:t>
            </w:r>
          </w:p>
        </w:tc>
        <w:tc>
          <w:tcPr>
            <w:tcW w:w="1486" w:type="dxa"/>
          </w:tcPr>
          <w:p w:rsidR="00D849AA" w:rsidRDefault="00EE6D95">
            <w:r>
              <w:t>17</w:t>
            </w:r>
          </w:p>
        </w:tc>
        <w:tc>
          <w:tcPr>
            <w:tcW w:w="1486" w:type="dxa"/>
          </w:tcPr>
          <w:p w:rsidR="00D849AA" w:rsidRDefault="00EE6D95">
            <w:r>
              <w:t>22</w:t>
            </w:r>
          </w:p>
        </w:tc>
      </w:tr>
    </w:tbl>
    <w:p w:rsidR="00D849AA" w:rsidRDefault="00EE6D95">
      <w:pPr>
        <w:pStyle w:val="Naslov6"/>
      </w:pPr>
      <w:r>
        <w:lastRenderedPageBreak/>
        <w:t>K821050 SUSTAV NAVODNJAVANJA VALTURA - BAKRANJŠA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K821050</w:t>
            </w:r>
          </w:p>
        </w:tc>
        <w:tc>
          <w:tcPr>
            <w:tcW w:w="1486" w:type="dxa"/>
          </w:tcPr>
          <w:p w:rsidR="00D849AA" w:rsidRDefault="00EE6D95">
            <w:r>
              <w:t>14.000.000</w:t>
            </w:r>
          </w:p>
        </w:tc>
        <w:tc>
          <w:tcPr>
            <w:tcW w:w="1486" w:type="dxa"/>
          </w:tcPr>
          <w:p w:rsidR="00D849AA" w:rsidRDefault="00EE6D95">
            <w:r>
              <w:t>7.000.000</w:t>
            </w:r>
          </w:p>
        </w:tc>
        <w:tc>
          <w:tcPr>
            <w:tcW w:w="1486" w:type="dxa"/>
          </w:tcPr>
          <w:p w:rsidR="00D849AA" w:rsidRDefault="00EE6D95">
            <w:r>
              <w:t>5.000.000</w:t>
            </w:r>
          </w:p>
        </w:tc>
        <w:tc>
          <w:tcPr>
            <w:tcW w:w="1486" w:type="dxa"/>
          </w:tcPr>
          <w:p w:rsidR="00D849AA" w:rsidRDefault="00EE6D95">
            <w:r>
              <w:t>00</w:t>
            </w:r>
          </w:p>
        </w:tc>
        <w:tc>
          <w:tcPr>
            <w:tcW w:w="1486" w:type="dxa"/>
          </w:tcPr>
          <w:p w:rsidR="00D849AA" w:rsidRDefault="00EE6D95">
            <w:r>
              <w:t>50,0</w:t>
            </w:r>
          </w:p>
        </w:tc>
      </w:tr>
    </w:tbl>
    <w:p w:rsidR="00D849AA" w:rsidRDefault="00D849AA">
      <w:pPr>
        <w:jc w:val="left"/>
      </w:pPr>
    </w:p>
    <w:p w:rsidR="00D849AA" w:rsidRDefault="00EE6D95">
      <w:pPr>
        <w:pStyle w:val="Normal6"/>
      </w:pPr>
      <w:r>
        <w:t>Aktivnost obuhvaća sufinanciranje izgradnje akumulacije Bakranjša, crpne stanice i tlačne distributivne mreže za proširenje sustava navodnjavanja Kaznionice Valtura u Istarskoj županiji čime će biti omogućeno navodnjavanje ukupno 440 ha poljoprivrednih površina.</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Broj izgrađenih vodnih građevina za navodnjavanje,  osim kanalske mreže</w:t>
            </w:r>
          </w:p>
        </w:tc>
        <w:tc>
          <w:tcPr>
            <w:tcW w:w="1114" w:type="dxa"/>
          </w:tcPr>
          <w:p w:rsidR="00D849AA" w:rsidRDefault="00EE6D95">
            <w:r>
              <w:t>Broj</w:t>
            </w:r>
          </w:p>
        </w:tc>
        <w:tc>
          <w:tcPr>
            <w:tcW w:w="1114" w:type="dxa"/>
          </w:tcPr>
          <w:p w:rsidR="00D849AA" w:rsidRDefault="00EE6D95">
            <w:r>
              <w:t>13</w:t>
            </w:r>
          </w:p>
        </w:tc>
        <w:tc>
          <w:tcPr>
            <w:tcW w:w="1486" w:type="dxa"/>
          </w:tcPr>
          <w:p w:rsidR="00D849AA" w:rsidRDefault="00EE6D95">
            <w:r>
              <w:t>16</w:t>
            </w:r>
          </w:p>
        </w:tc>
        <w:tc>
          <w:tcPr>
            <w:tcW w:w="1486" w:type="dxa"/>
          </w:tcPr>
          <w:p w:rsidR="00D849AA" w:rsidRDefault="00EE6D95">
            <w:r>
              <w:t>17</w:t>
            </w:r>
          </w:p>
        </w:tc>
        <w:tc>
          <w:tcPr>
            <w:tcW w:w="1486" w:type="dxa"/>
          </w:tcPr>
          <w:p w:rsidR="00D849AA" w:rsidRDefault="00EE6D95">
            <w:r>
              <w:t>22</w:t>
            </w:r>
          </w:p>
        </w:tc>
      </w:tr>
    </w:tbl>
    <w:p w:rsidR="00D849AA" w:rsidRDefault="00D849AA">
      <w:pPr>
        <w:jc w:val="left"/>
      </w:pPr>
    </w:p>
    <w:p w:rsidR="00D849AA" w:rsidRDefault="00EE6D95">
      <w:pPr>
        <w:pStyle w:val="Naslov6"/>
      </w:pPr>
      <w:r>
        <w:t>K828052 OBNOVA I UREĐENJE DETALJNIH MELIORACIJSKIH GRAĐEVINA ZA ODVODNJU I NAVODNJAVANJE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K828052</w:t>
            </w:r>
          </w:p>
        </w:tc>
        <w:tc>
          <w:tcPr>
            <w:tcW w:w="1486" w:type="dxa"/>
          </w:tcPr>
          <w:p w:rsidR="00D849AA" w:rsidRDefault="00EE6D95">
            <w:r>
              <w:t>10.000.000</w:t>
            </w:r>
          </w:p>
        </w:tc>
        <w:tc>
          <w:tcPr>
            <w:tcW w:w="1486" w:type="dxa"/>
          </w:tcPr>
          <w:p w:rsidR="00D849AA" w:rsidRDefault="00EE6D95">
            <w:r>
              <w:t>20.000.000</w:t>
            </w:r>
          </w:p>
        </w:tc>
        <w:tc>
          <w:tcPr>
            <w:tcW w:w="1486" w:type="dxa"/>
          </w:tcPr>
          <w:p w:rsidR="00D849AA" w:rsidRDefault="00EE6D95">
            <w:r>
              <w:t>15.000.000</w:t>
            </w:r>
          </w:p>
        </w:tc>
        <w:tc>
          <w:tcPr>
            <w:tcW w:w="1486" w:type="dxa"/>
          </w:tcPr>
          <w:p w:rsidR="00D849AA" w:rsidRDefault="00EE6D95">
            <w:r>
              <w:t>15.000.000</w:t>
            </w:r>
          </w:p>
        </w:tc>
        <w:tc>
          <w:tcPr>
            <w:tcW w:w="1486" w:type="dxa"/>
          </w:tcPr>
          <w:p w:rsidR="00D849AA" w:rsidRDefault="00EE6D95">
            <w:r>
              <w:t>200,0</w:t>
            </w:r>
          </w:p>
        </w:tc>
      </w:tr>
    </w:tbl>
    <w:p w:rsidR="00D849AA" w:rsidRDefault="00D849AA">
      <w:pPr>
        <w:jc w:val="left"/>
      </w:pPr>
    </w:p>
    <w:p w:rsidR="00D849AA" w:rsidRDefault="00EE6D95">
      <w:pPr>
        <w:pStyle w:val="Normal6"/>
      </w:pPr>
      <w:r>
        <w:t>Aktivnost obuhvaća financiranje radova na obnovi i uređenju detaljnih melioracijskih građevina za odvodnju i navodnjavanje (kanali 3. i 4. reda) na području cijele Republike Hrvatske odnosno dovođenje istih u funkcionalno stanje čime se omogućuje navodnjavanje i odvodnja viška voda sa poljoprivrednih površina odnosno zaštita od štetnog djelovanja voda.</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Dužina detaljne kanalske mreže za odvodnju i navodnjavanje</w:t>
            </w:r>
          </w:p>
        </w:tc>
        <w:tc>
          <w:tcPr>
            <w:tcW w:w="1114" w:type="dxa"/>
          </w:tcPr>
          <w:p w:rsidR="00D849AA" w:rsidRDefault="00EE6D95">
            <w:r>
              <w:t>km</w:t>
            </w:r>
          </w:p>
        </w:tc>
        <w:tc>
          <w:tcPr>
            <w:tcW w:w="1114" w:type="dxa"/>
          </w:tcPr>
          <w:p w:rsidR="00D849AA" w:rsidRDefault="00EE6D95">
            <w:r>
              <w:t>11.957</w:t>
            </w:r>
          </w:p>
        </w:tc>
        <w:tc>
          <w:tcPr>
            <w:tcW w:w="1486" w:type="dxa"/>
          </w:tcPr>
          <w:p w:rsidR="00D849AA" w:rsidRDefault="00EE6D95">
            <w:r>
              <w:t>14.000</w:t>
            </w:r>
          </w:p>
        </w:tc>
        <w:tc>
          <w:tcPr>
            <w:tcW w:w="1486" w:type="dxa"/>
          </w:tcPr>
          <w:p w:rsidR="00D849AA" w:rsidRDefault="00EE6D95">
            <w:r>
              <w:t>18.000</w:t>
            </w:r>
          </w:p>
        </w:tc>
        <w:tc>
          <w:tcPr>
            <w:tcW w:w="1486" w:type="dxa"/>
          </w:tcPr>
          <w:p w:rsidR="00D849AA" w:rsidRDefault="00EE6D95">
            <w:r>
              <w:t>20.000</w:t>
            </w:r>
          </w:p>
        </w:tc>
      </w:tr>
    </w:tbl>
    <w:p w:rsidR="00D849AA" w:rsidRDefault="00D849AA">
      <w:pPr>
        <w:jc w:val="left"/>
      </w:pPr>
    </w:p>
    <w:p w:rsidR="00337A23" w:rsidRDefault="00337A23">
      <w:pPr>
        <w:jc w:val="left"/>
      </w:pPr>
    </w:p>
    <w:p w:rsidR="00337A23" w:rsidRDefault="00337A23">
      <w:pPr>
        <w:jc w:val="left"/>
      </w:pPr>
    </w:p>
    <w:p w:rsidR="00337A23" w:rsidRDefault="00337A23">
      <w:pPr>
        <w:jc w:val="left"/>
      </w:pPr>
    </w:p>
    <w:p w:rsidR="00337A23" w:rsidRDefault="00337A23" w:rsidP="00337A23">
      <w:pPr>
        <w:pStyle w:val="Naslov4"/>
      </w:pPr>
      <w:r>
        <w:lastRenderedPageBreak/>
        <w:t>OBRAZLOŽENJE PROGRAMA</w:t>
      </w:r>
    </w:p>
    <w:p w:rsidR="00D849AA" w:rsidRDefault="00EE6D95">
      <w:pPr>
        <w:pStyle w:val="Naslov5"/>
      </w:pPr>
      <w:r>
        <w:t>3207 POTICANJE RAZVOJA INDUSTRIJSKE PRERADE DRVA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3207</w:t>
            </w:r>
          </w:p>
        </w:tc>
        <w:tc>
          <w:tcPr>
            <w:tcW w:w="1486" w:type="dxa"/>
          </w:tcPr>
          <w:p w:rsidR="00D849AA" w:rsidRDefault="00EE6D95">
            <w:r>
              <w:t>50.850.000</w:t>
            </w:r>
          </w:p>
        </w:tc>
        <w:tc>
          <w:tcPr>
            <w:tcW w:w="1486" w:type="dxa"/>
          </w:tcPr>
          <w:p w:rsidR="00D849AA" w:rsidRDefault="00EE6D95">
            <w:r>
              <w:t>79.657.000</w:t>
            </w:r>
          </w:p>
        </w:tc>
        <w:tc>
          <w:tcPr>
            <w:tcW w:w="1486" w:type="dxa"/>
          </w:tcPr>
          <w:p w:rsidR="00D849AA" w:rsidRDefault="00EE6D95">
            <w:r>
              <w:t>62.650.000</w:t>
            </w:r>
          </w:p>
        </w:tc>
        <w:tc>
          <w:tcPr>
            <w:tcW w:w="1486" w:type="dxa"/>
          </w:tcPr>
          <w:p w:rsidR="00D849AA" w:rsidRDefault="00EE6D95">
            <w:r>
              <w:t>88.150.000</w:t>
            </w:r>
          </w:p>
        </w:tc>
        <w:tc>
          <w:tcPr>
            <w:tcW w:w="1486" w:type="dxa"/>
          </w:tcPr>
          <w:p w:rsidR="00D849AA" w:rsidRDefault="00EE6D95">
            <w:r>
              <w:t>156,6</w:t>
            </w:r>
          </w:p>
        </w:tc>
      </w:tr>
    </w:tbl>
    <w:p w:rsidR="00D849AA" w:rsidRDefault="00D849AA">
      <w:pPr>
        <w:jc w:val="left"/>
      </w:pPr>
    </w:p>
    <w:p w:rsidR="00D849AA" w:rsidRDefault="00EE6D95">
      <w:pPr>
        <w:pStyle w:val="Naslov6"/>
      </w:pPr>
      <w:r>
        <w:t>Opis programa</w:t>
      </w:r>
    </w:p>
    <w:p w:rsidR="00D849AA" w:rsidRDefault="00EE6D95">
      <w:pPr>
        <w:pStyle w:val="Normal5"/>
      </w:pPr>
      <w:r>
        <w:t>Ovaj program usmjeren je na poticanje unapređenja prerade drva, proizvodnje namještaja i proizvodnje celuloze i papira, u funkciji održivog razvoja i konkurentnosti istih. Svrha programa je proizvodnja proizvoda veće dodane vrijednosti, prilagođavanje tržišnim uvjetima Europske unije, ravnomjeran razvoj drvne industrije u svim hrvatskim regijama i poticanje znanja i izvrsnosti kao pokretača dugoročnog gospodarskog razvoja drvoprerađivačkog sektora. Program će se realizirati ulaganjem u obrazovanje i usavršavanje ljudskih resursa, primjenu novih tehnologija i tehnoloških procesa, povećanje energetske učinkovitosti i zaštitu okoliša te marketing i promidžbu finalnih proizvoda od drva.</w:t>
      </w:r>
    </w:p>
    <w:p w:rsidR="00D849AA" w:rsidRDefault="00EE6D95">
      <w:pPr>
        <w:pStyle w:val="Naslov6"/>
      </w:pPr>
      <w:r>
        <w:t>Zakonske i druge pravne osnove</w:t>
      </w:r>
    </w:p>
    <w:p w:rsidR="00D849AA" w:rsidRDefault="00EE6D95">
      <w:pPr>
        <w:pStyle w:val="Normal5"/>
      </w:pPr>
      <w:r>
        <w:t xml:space="preserve">Operativni program razvoja prerade drva i proizvodnje namještaja 2011.- 2014. i Izmjene i dopune Operativnog programa razvoja prerade drva i proizvodnje namještaja 2011.- 2014. </w:t>
      </w:r>
    </w:p>
    <w:p w:rsidR="00D849AA" w:rsidRDefault="00EE6D95">
      <w:pPr>
        <w:pStyle w:val="Normal5"/>
      </w:pPr>
      <w:r>
        <w:t xml:space="preserve">Pravilnik o tehničkim zahtjevima za drvne ploče, </w:t>
      </w:r>
    </w:p>
    <w:p w:rsidR="00D849AA" w:rsidRDefault="00EE6D95">
      <w:pPr>
        <w:pStyle w:val="Normal5"/>
      </w:pPr>
      <w:r>
        <w:t xml:space="preserve">Strategije razvoja prerade drva i proizvodnje namještaja 2014.-2020. </w:t>
      </w:r>
    </w:p>
    <w:p w:rsidR="00D849AA" w:rsidRDefault="00EE6D95">
      <w:pPr>
        <w:pStyle w:val="Normal5"/>
      </w:pPr>
      <w:r>
        <w:t>Strategije razvoja dizajna namještaja 2014. -2020., Zakona o preradi i uporabi drva i proizvoda od drva (planiran za donošenje u 2014. godini) i Pravilnika o tehničkim zahtjevima i ocjenu sukladnosti namještaja i dijelova namještaja (planiran za donošenje u 2014. godini).</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Cilj 1. Postići razvijenu i konkurentnu drvnu industriju</w:t>
      </w:r>
    </w:p>
    <w:p w:rsidR="00D849AA" w:rsidRDefault="00EE6D95">
      <w:pPr>
        <w:pStyle w:val="Normal6"/>
      </w:pPr>
      <w:r>
        <w:t>Cilj je usmjeren na razvoj drvne industrije prema održivosti i konkurentnosti, sinergijom svih zainteresiranih strana. U svrhu ostvarenja postavljenog cilja izrađeni su provedbeni propisi kojima su definirane razvojne mjere i aktivnosti.</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Postotno povećanje izvoza i indeksa pokrivenosti uvoza izvozom drva, proizvoda od drva i namještaja</w:t>
            </w:r>
          </w:p>
        </w:tc>
        <w:tc>
          <w:tcPr>
            <w:tcW w:w="1114" w:type="dxa"/>
          </w:tcPr>
          <w:p w:rsidR="00D849AA" w:rsidRDefault="00EE6D95">
            <w:r>
              <w:t>Broj</w:t>
            </w:r>
          </w:p>
        </w:tc>
        <w:tc>
          <w:tcPr>
            <w:tcW w:w="1114" w:type="dxa"/>
          </w:tcPr>
          <w:p w:rsidR="00D849AA" w:rsidRDefault="00EE6D95">
            <w:r>
              <w:t>100</w:t>
            </w:r>
          </w:p>
        </w:tc>
        <w:tc>
          <w:tcPr>
            <w:tcW w:w="1486" w:type="dxa"/>
          </w:tcPr>
          <w:p w:rsidR="00D849AA" w:rsidRDefault="00EE6D95">
            <w:r>
              <w:t>105</w:t>
            </w:r>
          </w:p>
        </w:tc>
        <w:tc>
          <w:tcPr>
            <w:tcW w:w="1486" w:type="dxa"/>
          </w:tcPr>
          <w:p w:rsidR="00D849AA" w:rsidRDefault="00EE6D95">
            <w:r>
              <w:t>110</w:t>
            </w:r>
          </w:p>
        </w:tc>
        <w:tc>
          <w:tcPr>
            <w:tcW w:w="1486" w:type="dxa"/>
          </w:tcPr>
          <w:p w:rsidR="00D849AA" w:rsidRDefault="00EE6D95">
            <w:r>
              <w:t>115</w:t>
            </w:r>
          </w:p>
        </w:tc>
      </w:tr>
    </w:tbl>
    <w:p w:rsidR="00D849AA" w:rsidRDefault="00D849AA">
      <w:pPr>
        <w:jc w:val="left"/>
      </w:pPr>
    </w:p>
    <w:p w:rsidR="00D849AA" w:rsidRDefault="00EE6D95">
      <w:pPr>
        <w:pStyle w:val="Naslov5"/>
      </w:pPr>
      <w:r>
        <w:lastRenderedPageBreak/>
        <w:t>Procjena i ishodište potrebnih sredstava za značajnije aktivnosti/projekte</w:t>
      </w:r>
    </w:p>
    <w:p w:rsidR="00D849AA" w:rsidRDefault="00EE6D95">
      <w:pPr>
        <w:pStyle w:val="Naslov6"/>
      </w:pPr>
      <w:r>
        <w:t>A819039 AKTIVNOSTI ZA ODRŽIVI RAZVOJ DRVNE INDUSTRIJE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A819039</w:t>
            </w:r>
          </w:p>
        </w:tc>
        <w:tc>
          <w:tcPr>
            <w:tcW w:w="1486" w:type="dxa"/>
          </w:tcPr>
          <w:p w:rsidR="00D849AA" w:rsidRDefault="00EE6D95">
            <w:r>
              <w:t>350.000</w:t>
            </w:r>
          </w:p>
        </w:tc>
        <w:tc>
          <w:tcPr>
            <w:tcW w:w="1486" w:type="dxa"/>
          </w:tcPr>
          <w:p w:rsidR="00D849AA" w:rsidRDefault="00EE6D95">
            <w:r>
              <w:t>270.000</w:t>
            </w:r>
          </w:p>
        </w:tc>
        <w:tc>
          <w:tcPr>
            <w:tcW w:w="1486" w:type="dxa"/>
          </w:tcPr>
          <w:p w:rsidR="00D849AA" w:rsidRDefault="00EE6D95">
            <w:r>
              <w:t>850.000</w:t>
            </w:r>
          </w:p>
        </w:tc>
        <w:tc>
          <w:tcPr>
            <w:tcW w:w="1486" w:type="dxa"/>
          </w:tcPr>
          <w:p w:rsidR="00D849AA" w:rsidRDefault="00EE6D95">
            <w:r>
              <w:t>950.000</w:t>
            </w:r>
          </w:p>
        </w:tc>
        <w:tc>
          <w:tcPr>
            <w:tcW w:w="1486" w:type="dxa"/>
          </w:tcPr>
          <w:p w:rsidR="00D849AA" w:rsidRDefault="00EE6D95">
            <w:r>
              <w:t>77,1</w:t>
            </w:r>
          </w:p>
        </w:tc>
      </w:tr>
    </w:tbl>
    <w:p w:rsidR="00D849AA" w:rsidRDefault="00D849AA">
      <w:pPr>
        <w:jc w:val="left"/>
      </w:pPr>
    </w:p>
    <w:p w:rsidR="00D849AA" w:rsidRDefault="00EE6D95">
      <w:pPr>
        <w:pStyle w:val="Normal6"/>
      </w:pPr>
      <w:r>
        <w:t xml:space="preserve">Ovom aktivnosti financirati će se donošenje i provedba Zakona o preradi i uporabi drva, proizvodima od drva i namještaju te podzakonskih akata koji će se temeljem istoga donijeti. Ustrojiti će se Drvnotehnološka inspekcija, uspostaviti tržište drvom i proizvodima primarne prerade drva, pomoći otvaranju centra izvrsnosti u polju drvne tehnologije radi jačanja kapaciteta za istraživanje drva i razvoj proizvoda od drva i namještaja, novih materijala i tehnologija.Da bi drvna industrija Republike Hrvatske bila i dalje konkurentna na domaćem, a posebice na inozemnom tržištu, odnosno da bi se osigurao njen održivi razvoj potrebno je uspostaviti primjeren zakonodavni okvir u kojem će ista djelovati. Slijedom toga planiraju se u narednom fiskalnom razdoblju izraditi i donijeti sljedeći zakonski i podzakonski akti: </w:t>
      </w:r>
    </w:p>
    <w:p w:rsidR="00D849AA" w:rsidRDefault="00EE6D95">
      <w:pPr>
        <w:pStyle w:val="Normal6"/>
      </w:pPr>
      <w:r>
        <w:t xml:space="preserve">1) Zakon o preradi i uporabi drva, proizvodima od drva i namještaju </w:t>
      </w:r>
    </w:p>
    <w:p w:rsidR="00D849AA" w:rsidRDefault="00EE6D95">
      <w:pPr>
        <w:pStyle w:val="Normal6"/>
      </w:pPr>
      <w:r>
        <w:t xml:space="preserve">2) Pravilnik o minimalnim tehničkim uvjetima za ishođenje licencije za proizvodnju i izvođenje radova iz polja drvne tehnologije </w:t>
      </w:r>
    </w:p>
    <w:p w:rsidR="00D849AA" w:rsidRDefault="00EE6D95">
      <w:pPr>
        <w:pStyle w:val="Normal6"/>
      </w:pPr>
      <w:r>
        <w:t xml:space="preserve">3) Pravilnik o tehničkim zahtjevima i ocjenjivanju sukladnosti za namještaj i dijelove namještaja </w:t>
      </w:r>
    </w:p>
    <w:p w:rsidR="00D849AA" w:rsidRDefault="00EE6D95">
      <w:pPr>
        <w:pStyle w:val="Normal6"/>
      </w:pPr>
      <w:r>
        <w:t xml:space="preserve">4) Pravilnik o sadržaju i načinu vođenja središnje evidencije prerade drva, proizvoda od drva i namještaja </w:t>
      </w:r>
    </w:p>
    <w:p w:rsidR="00D849AA" w:rsidRDefault="00EE6D95">
      <w:pPr>
        <w:pStyle w:val="Normal6"/>
      </w:pPr>
      <w:r>
        <w:t xml:space="preserve">5) Pravilnik o standardizaciji i kategorizaciji uredskog namještaja u tijelima državne uprave </w:t>
      </w:r>
    </w:p>
    <w:p w:rsidR="00D849AA" w:rsidRDefault="00EE6D95">
      <w:pPr>
        <w:pStyle w:val="Normal6"/>
      </w:pPr>
      <w:r>
        <w:t>6) Uredba o ustrojstvu Drvnotehnološke inspekcije u Ministarstvu poljoprivrede.</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84"/>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Povećanje/zadržavanje broja radnih mjesta i/ili broj novih radnih mjesta</w:t>
            </w:r>
          </w:p>
        </w:tc>
        <w:tc>
          <w:tcPr>
            <w:tcW w:w="1114" w:type="dxa"/>
          </w:tcPr>
          <w:p w:rsidR="00D849AA" w:rsidRDefault="00EE6D95">
            <w:r>
              <w:t>Broj</w:t>
            </w:r>
          </w:p>
        </w:tc>
        <w:tc>
          <w:tcPr>
            <w:tcW w:w="1114" w:type="dxa"/>
          </w:tcPr>
          <w:p w:rsidR="00D849AA" w:rsidRDefault="00EE6D95">
            <w:r>
              <w:t>19.959</w:t>
            </w:r>
          </w:p>
        </w:tc>
        <w:tc>
          <w:tcPr>
            <w:tcW w:w="1486" w:type="dxa"/>
          </w:tcPr>
          <w:p w:rsidR="00D849AA" w:rsidRDefault="00EE6D95">
            <w:r>
              <w:t>20.000</w:t>
            </w:r>
          </w:p>
        </w:tc>
        <w:tc>
          <w:tcPr>
            <w:tcW w:w="1486" w:type="dxa"/>
          </w:tcPr>
          <w:p w:rsidR="00D849AA" w:rsidRDefault="00EE6D95">
            <w:r>
              <w:t>21.000</w:t>
            </w:r>
          </w:p>
        </w:tc>
        <w:tc>
          <w:tcPr>
            <w:tcW w:w="1486" w:type="dxa"/>
          </w:tcPr>
          <w:p w:rsidR="00D849AA" w:rsidRDefault="00EE6D95">
            <w:r>
              <w:t>22.000</w:t>
            </w:r>
          </w:p>
        </w:tc>
      </w:tr>
    </w:tbl>
    <w:p w:rsidR="00D849AA" w:rsidRDefault="00D849AA">
      <w:pPr>
        <w:jc w:val="left"/>
      </w:pPr>
    </w:p>
    <w:p w:rsidR="00D849AA" w:rsidRDefault="00EE6D95">
      <w:pPr>
        <w:pStyle w:val="Naslov6"/>
      </w:pPr>
      <w:r>
        <w:t>K828006 MJERE RAZVOJA KONKURENTNOSTI DRVNOG SEKTORA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K828006</w:t>
            </w:r>
          </w:p>
        </w:tc>
        <w:tc>
          <w:tcPr>
            <w:tcW w:w="1486" w:type="dxa"/>
          </w:tcPr>
          <w:p w:rsidR="00D849AA" w:rsidRDefault="00EE6D95">
            <w:r>
              <w:t>50.500.000</w:t>
            </w:r>
          </w:p>
        </w:tc>
        <w:tc>
          <w:tcPr>
            <w:tcW w:w="1486" w:type="dxa"/>
          </w:tcPr>
          <w:p w:rsidR="00D849AA" w:rsidRDefault="00EE6D95">
            <w:r>
              <w:t>79.387.000</w:t>
            </w:r>
          </w:p>
        </w:tc>
        <w:tc>
          <w:tcPr>
            <w:tcW w:w="1486" w:type="dxa"/>
          </w:tcPr>
          <w:p w:rsidR="00D849AA" w:rsidRDefault="00EE6D95">
            <w:r>
              <w:t>61.800.000</w:t>
            </w:r>
          </w:p>
        </w:tc>
        <w:tc>
          <w:tcPr>
            <w:tcW w:w="1486" w:type="dxa"/>
          </w:tcPr>
          <w:p w:rsidR="00D849AA" w:rsidRDefault="00EE6D95">
            <w:r>
              <w:t>87.200.000</w:t>
            </w:r>
          </w:p>
        </w:tc>
        <w:tc>
          <w:tcPr>
            <w:tcW w:w="1486" w:type="dxa"/>
          </w:tcPr>
          <w:p w:rsidR="00D849AA" w:rsidRDefault="00EE6D95">
            <w:r>
              <w:t>157,2</w:t>
            </w:r>
          </w:p>
        </w:tc>
      </w:tr>
    </w:tbl>
    <w:p w:rsidR="00D849AA" w:rsidRDefault="00951E4F" w:rsidP="00951E4F">
      <w:pPr>
        <w:ind w:left="372" w:firstLine="708"/>
        <w:jc w:val="left"/>
      </w:pPr>
      <w:r>
        <w:t>Ovom aktivnosti se financira:</w:t>
      </w:r>
    </w:p>
    <w:p w:rsidR="00337A23" w:rsidRDefault="00337A23">
      <w:pPr>
        <w:jc w:val="left"/>
      </w:pPr>
    </w:p>
    <w:p w:rsidR="00D849AA" w:rsidRDefault="00EE6D95">
      <w:pPr>
        <w:pStyle w:val="Normal6"/>
      </w:pPr>
      <w:r>
        <w:lastRenderedPageBreak/>
        <w:t xml:space="preserve">1) Podizanje vrijednosti ljudskog kapitala, stjecanje znanja, vještina, stavova i vrijednost. Obrazovanje i usavršavanje povećava konkurentnost osiguranjem potrebne kvalitete ljudskih resursa. </w:t>
      </w:r>
    </w:p>
    <w:p w:rsidR="00D849AA" w:rsidRDefault="00EE6D95">
      <w:pPr>
        <w:pStyle w:val="Normal6"/>
      </w:pPr>
      <w:r>
        <w:t xml:space="preserve">2) Primjena novih tehnologija i tehnoloških procesa, odnosno sustavno ulaganje u tehnološki razvitak. </w:t>
      </w:r>
    </w:p>
    <w:p w:rsidR="00D849AA" w:rsidRDefault="00EE6D95">
      <w:pPr>
        <w:pStyle w:val="Normal6"/>
      </w:pPr>
      <w:r>
        <w:t xml:space="preserve">3) Povećanje energetske učinkovitosti i zaštite okoliša te promjena poslovne politike drvoprerađivača s tim u skladu, jer ukupna potrošnja energije gotovo uvijek raste s ekonomskim napretkom, a kako bi se podržalo povećanje energetske učinkovitosti, nužne su nove tehnologije i inovacije koje dovode do promjena u energetski intenzivnoj drvnoj industriji. </w:t>
      </w:r>
    </w:p>
    <w:p w:rsidR="00D849AA" w:rsidRDefault="00EE6D95">
      <w:pPr>
        <w:pStyle w:val="Normal6"/>
      </w:pPr>
      <w:r>
        <w:t xml:space="preserve">4) Marketing i promidžba finalnih proizvoda od drva zauzimaju prioritetno mjesta u svijesti potrošača, te sustavnim podizanjem kvalitete proizvoda i primjenom dizajna, posljedično pozitivno utječe na prepoznatljivost industrije. Marketinške i promotivne aktivnosti pomažu prodaji proizvoda, čime se generiraju novčana sredstva koja se koriste za razvoj novih proizvoda. </w:t>
      </w:r>
    </w:p>
    <w:p w:rsidR="00D849AA" w:rsidRDefault="00EE6D95">
      <w:pPr>
        <w:pStyle w:val="Normal6"/>
      </w:pPr>
      <w:r>
        <w:t xml:space="preserve">5) Drvna industrija od iznimne je, strateške važnosti za gospodarstvo Republike Hrvatske, zbog udjela u ukupnom izvozu roba iz Republike Hrvatske, udjela u BDP-u, zbog broja zaposlenih, kao i velikog značaja za gospodarstvo ruralnih krajeva Republike Hrvatske. </w:t>
      </w:r>
    </w:p>
    <w:p w:rsidR="00D849AA" w:rsidRDefault="00EE6D95">
      <w:pPr>
        <w:pStyle w:val="Normal6"/>
      </w:pPr>
      <w:r>
        <w:t>Sagledavajući stanje u drvnoj industriji, nameće se potreba iznalaženja rješenja način koji će osigurati ne samo kontinuitet proizvodnje kao primarni kratkoročni cilj, već i zaokret ka trendu povećanja proizvodnje namještaja, odnosno gotovih proizvoda od drva. Dugoročni je cilj ustrojiti drvnu industriju kao profitabilnu i izvozno usmjerenu.</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Stečena stručna znanja i vještine, specifične kvalifikacije, te upravljačke vještine</w:t>
            </w:r>
          </w:p>
        </w:tc>
        <w:tc>
          <w:tcPr>
            <w:tcW w:w="1114" w:type="dxa"/>
          </w:tcPr>
          <w:p w:rsidR="00D849AA" w:rsidRDefault="00EE6D95">
            <w:r>
              <w:t>Broj</w:t>
            </w:r>
          </w:p>
        </w:tc>
        <w:tc>
          <w:tcPr>
            <w:tcW w:w="1114" w:type="dxa"/>
          </w:tcPr>
          <w:p w:rsidR="00D849AA" w:rsidRDefault="00EE6D95">
            <w:r>
              <w:t>25</w:t>
            </w:r>
          </w:p>
        </w:tc>
        <w:tc>
          <w:tcPr>
            <w:tcW w:w="1486" w:type="dxa"/>
          </w:tcPr>
          <w:p w:rsidR="00D849AA" w:rsidRDefault="00EE6D95">
            <w:r>
              <w:t>35</w:t>
            </w:r>
          </w:p>
        </w:tc>
        <w:tc>
          <w:tcPr>
            <w:tcW w:w="1486" w:type="dxa"/>
          </w:tcPr>
          <w:p w:rsidR="00D849AA" w:rsidRDefault="00EE6D95">
            <w:r>
              <w:t>50</w:t>
            </w:r>
          </w:p>
        </w:tc>
        <w:tc>
          <w:tcPr>
            <w:tcW w:w="1486" w:type="dxa"/>
          </w:tcPr>
          <w:p w:rsidR="00D849AA" w:rsidRDefault="00EE6D95">
            <w:r>
              <w:t>60</w:t>
            </w:r>
          </w:p>
        </w:tc>
      </w:tr>
      <w:tr w:rsidR="00D849AA" w:rsidTr="00337A23">
        <w:trPr>
          <w:trHeight w:val="1759"/>
          <w:jc w:val="center"/>
        </w:trPr>
        <w:tc>
          <w:tcPr>
            <w:tcW w:w="2229" w:type="dxa"/>
          </w:tcPr>
          <w:p w:rsidR="00D849AA" w:rsidRDefault="00EE6D95">
            <w:pPr>
              <w:pStyle w:val="CellColumn"/>
            </w:pPr>
            <w:r>
              <w:t>Povećanje  broja instalirane suvremene tehnologije i tehnoloških procesa za obradu drva i proizvodnju namještaja</w:t>
            </w:r>
          </w:p>
        </w:tc>
        <w:tc>
          <w:tcPr>
            <w:tcW w:w="1114" w:type="dxa"/>
          </w:tcPr>
          <w:p w:rsidR="00D849AA" w:rsidRDefault="00EE6D95">
            <w:r>
              <w:t>Broj</w:t>
            </w:r>
          </w:p>
        </w:tc>
        <w:tc>
          <w:tcPr>
            <w:tcW w:w="1114" w:type="dxa"/>
          </w:tcPr>
          <w:p w:rsidR="00D849AA" w:rsidRDefault="00EE6D95">
            <w:r>
              <w:t>300</w:t>
            </w:r>
          </w:p>
        </w:tc>
        <w:tc>
          <w:tcPr>
            <w:tcW w:w="1486" w:type="dxa"/>
          </w:tcPr>
          <w:p w:rsidR="00D849AA" w:rsidRDefault="00EE6D95">
            <w:r>
              <w:t>320</w:t>
            </w:r>
          </w:p>
        </w:tc>
        <w:tc>
          <w:tcPr>
            <w:tcW w:w="1486" w:type="dxa"/>
          </w:tcPr>
          <w:p w:rsidR="00D849AA" w:rsidRDefault="00EE6D95">
            <w:r>
              <w:t>340</w:t>
            </w:r>
          </w:p>
        </w:tc>
        <w:tc>
          <w:tcPr>
            <w:tcW w:w="1486" w:type="dxa"/>
          </w:tcPr>
          <w:p w:rsidR="00D849AA" w:rsidRDefault="00EE6D95">
            <w:r>
              <w:t>360</w:t>
            </w:r>
          </w:p>
        </w:tc>
      </w:tr>
      <w:tr w:rsidR="00D849AA">
        <w:trPr>
          <w:jc w:val="center"/>
        </w:trPr>
        <w:tc>
          <w:tcPr>
            <w:tcW w:w="2229" w:type="dxa"/>
          </w:tcPr>
          <w:p w:rsidR="00D849AA" w:rsidRDefault="00EE6D95">
            <w:pPr>
              <w:pStyle w:val="CellColumn"/>
            </w:pPr>
            <w:r>
              <w:t>Povećanje broja instaliranih postrojenja za energetsko iskorištavanje drvne biomase i zaštitu okoliša</w:t>
            </w:r>
          </w:p>
        </w:tc>
        <w:tc>
          <w:tcPr>
            <w:tcW w:w="1114" w:type="dxa"/>
          </w:tcPr>
          <w:p w:rsidR="00D849AA" w:rsidRDefault="00EE6D95">
            <w:r>
              <w:t>Broj</w:t>
            </w:r>
          </w:p>
        </w:tc>
        <w:tc>
          <w:tcPr>
            <w:tcW w:w="1114" w:type="dxa"/>
          </w:tcPr>
          <w:p w:rsidR="00D849AA" w:rsidRDefault="00EE6D95">
            <w:r>
              <w:t>55</w:t>
            </w:r>
          </w:p>
        </w:tc>
        <w:tc>
          <w:tcPr>
            <w:tcW w:w="1486" w:type="dxa"/>
          </w:tcPr>
          <w:p w:rsidR="00D849AA" w:rsidRDefault="00EE6D95">
            <w:r>
              <w:t>65</w:t>
            </w:r>
          </w:p>
        </w:tc>
        <w:tc>
          <w:tcPr>
            <w:tcW w:w="1486" w:type="dxa"/>
          </w:tcPr>
          <w:p w:rsidR="00D849AA" w:rsidRDefault="00EE6D95">
            <w:r>
              <w:t>80</w:t>
            </w:r>
          </w:p>
        </w:tc>
        <w:tc>
          <w:tcPr>
            <w:tcW w:w="1486" w:type="dxa"/>
          </w:tcPr>
          <w:p w:rsidR="00D849AA" w:rsidRDefault="00EE6D95">
            <w:r>
              <w:t>95</w:t>
            </w:r>
          </w:p>
        </w:tc>
      </w:tr>
      <w:tr w:rsidR="00D849AA">
        <w:trPr>
          <w:jc w:val="center"/>
        </w:trPr>
        <w:tc>
          <w:tcPr>
            <w:tcW w:w="2229" w:type="dxa"/>
          </w:tcPr>
          <w:p w:rsidR="00D849AA" w:rsidRDefault="00EE6D95">
            <w:pPr>
              <w:pStyle w:val="CellColumn"/>
            </w:pPr>
            <w:r>
              <w:t xml:space="preserve">Indeks povećanja prodaje finalnih proizvoda  na domaćem i </w:t>
            </w:r>
            <w:r>
              <w:lastRenderedPageBreak/>
              <w:t>međunarodnom tržištu</w:t>
            </w:r>
          </w:p>
        </w:tc>
        <w:tc>
          <w:tcPr>
            <w:tcW w:w="1114" w:type="dxa"/>
          </w:tcPr>
          <w:p w:rsidR="00D849AA" w:rsidRDefault="00EE6D95">
            <w:r>
              <w:lastRenderedPageBreak/>
              <w:t>Broj</w:t>
            </w:r>
          </w:p>
        </w:tc>
        <w:tc>
          <w:tcPr>
            <w:tcW w:w="1114" w:type="dxa"/>
          </w:tcPr>
          <w:p w:rsidR="00D849AA" w:rsidRDefault="00EE6D95">
            <w:r>
              <w:t>100</w:t>
            </w:r>
          </w:p>
        </w:tc>
        <w:tc>
          <w:tcPr>
            <w:tcW w:w="1486" w:type="dxa"/>
          </w:tcPr>
          <w:p w:rsidR="00D849AA" w:rsidRDefault="00EE6D95">
            <w:r>
              <w:t>105</w:t>
            </w:r>
          </w:p>
        </w:tc>
        <w:tc>
          <w:tcPr>
            <w:tcW w:w="1486" w:type="dxa"/>
          </w:tcPr>
          <w:p w:rsidR="00D849AA" w:rsidRDefault="00EE6D95">
            <w:r>
              <w:t>110</w:t>
            </w:r>
          </w:p>
        </w:tc>
        <w:tc>
          <w:tcPr>
            <w:tcW w:w="1486" w:type="dxa"/>
          </w:tcPr>
          <w:p w:rsidR="00D849AA" w:rsidRDefault="00EE6D95">
            <w:r>
              <w:t>115</w:t>
            </w:r>
          </w:p>
        </w:tc>
      </w:tr>
    </w:tbl>
    <w:p w:rsidR="00337A23" w:rsidRDefault="00337A23" w:rsidP="00337A23">
      <w:pPr>
        <w:pStyle w:val="Naslov4"/>
      </w:pPr>
      <w:r>
        <w:lastRenderedPageBreak/>
        <w:t>OBRAZLOŽENJE PROGRAMA</w:t>
      </w:r>
    </w:p>
    <w:p w:rsidR="00D849AA" w:rsidRDefault="00EE6D95">
      <w:pPr>
        <w:pStyle w:val="Naslov5"/>
      </w:pPr>
      <w:r>
        <w:t>3406 RAZVOJ SUSTAVA JAVNE ODVODNJE I ZAŠTITE VODA I MORA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3406</w:t>
            </w:r>
          </w:p>
        </w:tc>
        <w:tc>
          <w:tcPr>
            <w:tcW w:w="1486" w:type="dxa"/>
          </w:tcPr>
          <w:p w:rsidR="00D849AA" w:rsidRDefault="00EE6D95">
            <w:r>
              <w:t>680.479.796</w:t>
            </w:r>
          </w:p>
        </w:tc>
        <w:tc>
          <w:tcPr>
            <w:tcW w:w="1486" w:type="dxa"/>
          </w:tcPr>
          <w:p w:rsidR="00D849AA" w:rsidRDefault="00EE6D95">
            <w:r>
              <w:t>845.901.607</w:t>
            </w:r>
          </w:p>
        </w:tc>
        <w:tc>
          <w:tcPr>
            <w:tcW w:w="1486" w:type="dxa"/>
          </w:tcPr>
          <w:p w:rsidR="00D849AA" w:rsidRDefault="00EE6D95">
            <w:r>
              <w:t>1.001.266.262</w:t>
            </w:r>
          </w:p>
        </w:tc>
        <w:tc>
          <w:tcPr>
            <w:tcW w:w="1486" w:type="dxa"/>
          </w:tcPr>
          <w:p w:rsidR="00D849AA" w:rsidRDefault="00EE6D95">
            <w:r>
              <w:t>784.443.495</w:t>
            </w:r>
          </w:p>
        </w:tc>
        <w:tc>
          <w:tcPr>
            <w:tcW w:w="1486" w:type="dxa"/>
          </w:tcPr>
          <w:p w:rsidR="00D849AA" w:rsidRDefault="00EE6D95">
            <w:r>
              <w:t>124,3</w:t>
            </w:r>
          </w:p>
        </w:tc>
      </w:tr>
    </w:tbl>
    <w:p w:rsidR="00D849AA" w:rsidRDefault="00D849AA">
      <w:pPr>
        <w:jc w:val="left"/>
      </w:pPr>
    </w:p>
    <w:p w:rsidR="00D849AA" w:rsidRDefault="00EE6D95">
      <w:pPr>
        <w:pStyle w:val="Naslov6"/>
      </w:pPr>
      <w:r>
        <w:t>Opis programa</w:t>
      </w:r>
    </w:p>
    <w:p w:rsidR="00D849AA" w:rsidRDefault="00EE6D95">
      <w:pPr>
        <w:pStyle w:val="Normal5"/>
      </w:pPr>
      <w:r>
        <w:t>Program  se  odnosi</w:t>
      </w:r>
      <w:r>
        <w:tab/>
        <w:t>na  ulaganje  u  rekonstrukciju  i  gradnju  sustava  javne odvodnje uključujući  i  pročišćavanje  otpadnih  voda,  ulaganje  u  rekonstrukciju  i gradnju vodnih građevina za odvodnju otpadnih voda, uključujući uređaje za pročišćavanje i za zbrinjavanje mulja,   te pripremu projektne i studijske dokumentacije sukladno EU regulativi te apliciranjem projekata za EU fondove. Veći dio projekata koji se provode unutar ovoga programa su infrastrukturni projekti koji osim komponente odvodnje uključuju i komponentu vodoopskrbe i to rekonstrukciju i gradnju vodoopskrbne mreže, gradnju vodnih građevina uključujući i uređaje za kondicioniranje vode, te smanjenje gubitaka u vodoopskrbnoj mreži.</w:t>
      </w:r>
    </w:p>
    <w:p w:rsidR="00D849AA" w:rsidRDefault="00EE6D95">
      <w:pPr>
        <w:pStyle w:val="Naslov6"/>
      </w:pPr>
      <w:r>
        <w:t>Zakonske i druge pravne osnove</w:t>
      </w:r>
    </w:p>
    <w:p w:rsidR="00D849AA" w:rsidRDefault="00EE6D95">
      <w:pPr>
        <w:pStyle w:val="Normal5"/>
      </w:pPr>
      <w:r>
        <w:t>Zakon o vodama („Narodne novine“, broj 153/2009, 63/11, 130/11  i 56/13); Strategija upravljanja vodama („Narodne novine“, broj 91/2008); Zakon o financiranju vodnoga gospodarstva („Narodne novine“, broj 153/2009, 90/11 i 56/13), Operativni program okoliš, međunarodni ugovori.</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C</w:t>
      </w:r>
      <w:r w:rsidR="00337A23">
        <w:t>ilj 1. Zaštita</w:t>
      </w:r>
      <w:r>
        <w:t xml:space="preserve">  vode  i  more  od  onečišćenja</w:t>
      </w:r>
    </w:p>
    <w:p w:rsidR="00D849AA" w:rsidRDefault="00EE6D95">
      <w:pPr>
        <w:pStyle w:val="Normal6"/>
      </w:pPr>
      <w:r>
        <w:t>Cilj podrazumijeva postizanje i očuvanje dobroga stanja voda, sprečavanje onečišćenja voda, sprečavanje promjena hidro morfoloških karakteristika voda koje su pod takvim rizicima i sanaciju stanja voda gdje je ono narušeno u svrhu očuvanja zdravlja ljudi i okoliša.</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rsidP="00951E4F">
            <w:pPr>
              <w:pStyle w:val="CellColumn"/>
            </w:pPr>
            <w:r>
              <w:t>Povećanje</w:t>
            </w:r>
            <w:r w:rsidR="00951E4F">
              <w:t xml:space="preserve"> </w:t>
            </w:r>
            <w:r>
              <w:t>postotka mogućnosti</w:t>
            </w:r>
            <w:r w:rsidR="00951E4F">
              <w:t xml:space="preserve"> </w:t>
            </w:r>
            <w:r>
              <w:t>priključenja na sustave javne odvodnje</w:t>
            </w:r>
          </w:p>
        </w:tc>
        <w:tc>
          <w:tcPr>
            <w:tcW w:w="1114" w:type="dxa"/>
          </w:tcPr>
          <w:p w:rsidR="00D849AA" w:rsidRDefault="00EE6D95">
            <w:r>
              <w:t>%</w:t>
            </w:r>
          </w:p>
        </w:tc>
        <w:tc>
          <w:tcPr>
            <w:tcW w:w="1114" w:type="dxa"/>
          </w:tcPr>
          <w:p w:rsidR="00D849AA" w:rsidRDefault="00EE6D95">
            <w:r>
              <w:t>43</w:t>
            </w:r>
          </w:p>
        </w:tc>
        <w:tc>
          <w:tcPr>
            <w:tcW w:w="1486" w:type="dxa"/>
          </w:tcPr>
          <w:p w:rsidR="00D849AA" w:rsidRDefault="00EE6D95">
            <w:r>
              <w:t>48</w:t>
            </w:r>
          </w:p>
        </w:tc>
        <w:tc>
          <w:tcPr>
            <w:tcW w:w="1486" w:type="dxa"/>
          </w:tcPr>
          <w:p w:rsidR="00D849AA" w:rsidRDefault="00EE6D95">
            <w:r>
              <w:t>50</w:t>
            </w:r>
          </w:p>
        </w:tc>
        <w:tc>
          <w:tcPr>
            <w:tcW w:w="1486" w:type="dxa"/>
          </w:tcPr>
          <w:p w:rsidR="00D849AA" w:rsidRDefault="00EE6D95">
            <w:r>
              <w:t>52</w:t>
            </w:r>
          </w:p>
        </w:tc>
      </w:tr>
    </w:tbl>
    <w:p w:rsidR="00D849AA" w:rsidRDefault="00EE6D95">
      <w:pPr>
        <w:pStyle w:val="Naslov5"/>
      </w:pPr>
      <w:r>
        <w:lastRenderedPageBreak/>
        <w:t>Procjena i ishodište potrebnih sredstava za značajnije aktivnosti/projekte</w:t>
      </w:r>
    </w:p>
    <w:p w:rsidR="00D849AA" w:rsidRDefault="00EE6D95">
      <w:pPr>
        <w:pStyle w:val="Naslov6"/>
      </w:pPr>
      <w:r>
        <w:t>K819057 OPERATIVNI PROGRAM OKOLIŠ PRIORITET II I III</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K819057</w:t>
            </w:r>
          </w:p>
        </w:tc>
        <w:tc>
          <w:tcPr>
            <w:tcW w:w="1486" w:type="dxa"/>
          </w:tcPr>
          <w:p w:rsidR="00D849AA" w:rsidRDefault="00EE6D95">
            <w:r>
              <w:t>00</w:t>
            </w:r>
          </w:p>
        </w:tc>
        <w:tc>
          <w:tcPr>
            <w:tcW w:w="1486" w:type="dxa"/>
          </w:tcPr>
          <w:p w:rsidR="00D849AA" w:rsidRDefault="00EE6D95">
            <w:r>
              <w:t>295.304.802</w:t>
            </w:r>
          </w:p>
        </w:tc>
        <w:tc>
          <w:tcPr>
            <w:tcW w:w="1486" w:type="dxa"/>
          </w:tcPr>
          <w:p w:rsidR="00D849AA" w:rsidRDefault="00EE6D95">
            <w:r>
              <w:t>454.647.807</w:t>
            </w:r>
          </w:p>
        </w:tc>
        <w:tc>
          <w:tcPr>
            <w:tcW w:w="1486" w:type="dxa"/>
          </w:tcPr>
          <w:p w:rsidR="00D849AA" w:rsidRDefault="00EE6D95">
            <w:r>
              <w:t>382.876.353</w:t>
            </w:r>
          </w:p>
        </w:tc>
        <w:tc>
          <w:tcPr>
            <w:tcW w:w="1486" w:type="dxa"/>
          </w:tcPr>
          <w:p w:rsidR="00D849AA" w:rsidRDefault="00EE6D95">
            <w:r>
              <w:t>0,0</w:t>
            </w:r>
          </w:p>
        </w:tc>
      </w:tr>
    </w:tbl>
    <w:p w:rsidR="00D849AA" w:rsidRDefault="00D849AA">
      <w:pPr>
        <w:jc w:val="left"/>
      </w:pPr>
    </w:p>
    <w:p w:rsidR="00D849AA" w:rsidRDefault="00EE6D95">
      <w:pPr>
        <w:pStyle w:val="Normal6"/>
      </w:pPr>
      <w:r>
        <w:t xml:space="preserve">Dosadašnje stavke iz OP Okoliš prioritet II koje su se odnosile na projekte koji su već u provedbi, odobrene projekte, projekte čije se odobrenje očekuje te nove aktivnosti, kao i tehnička pomoć iz OP Okoliš Prioritet III ujedinjene su u jednu zajedničku stavku. </w:t>
      </w:r>
    </w:p>
    <w:p w:rsidR="00D849AA" w:rsidRDefault="00EE6D95">
      <w:pPr>
        <w:pStyle w:val="Normal6"/>
      </w:pPr>
      <w:r>
        <w:t xml:space="preserve">Projekti u provedbi: Slavonski Brod, Drniš, Knin, Sisak i Piprema projekata za strukturne fondove. </w:t>
      </w:r>
    </w:p>
    <w:p w:rsidR="00D849AA" w:rsidRDefault="00EE6D95">
      <w:pPr>
        <w:pStyle w:val="Normal6"/>
      </w:pPr>
      <w:r>
        <w:t xml:space="preserve">Projekti koji su odobreni i u tijeku su natječajni postupci: Poreč, Osijek </w:t>
      </w:r>
    </w:p>
    <w:p w:rsidR="00D849AA" w:rsidRDefault="00EE6D95">
      <w:pPr>
        <w:pStyle w:val="Normal6"/>
      </w:pPr>
      <w:r>
        <w:t xml:space="preserve">Projekti čije se odobrenje očekuje: Vukovar, Čakovec </w:t>
      </w:r>
    </w:p>
    <w:p w:rsidR="00D849AA" w:rsidRDefault="00EE6D95">
      <w:pPr>
        <w:pStyle w:val="Normal6"/>
      </w:pPr>
      <w:r>
        <w:t xml:space="preserve">OP Okoliš Prioritet III Tehnička pomoć: iz projekta je predviđeno pokrivanje troškova Sektora. </w:t>
      </w:r>
    </w:p>
    <w:p w:rsidR="00D849AA" w:rsidRDefault="00EE6D95">
      <w:pPr>
        <w:pStyle w:val="Normal6"/>
      </w:pPr>
      <w:r>
        <w:t>Aktivnosti se odnose primarno na izgradnju  i rekonstrukciju kanalizacijske mreže u svrhu boljeg priključenja stanovništva i gospodarskih subjekata na sustav odvodnje, ali i na radnje potrebne za priključenje stanovništva na vodoopskrbnu mrežu  radi  poboljšanja  opskrbe  stanovništva  pitkom  vodom.  Također se odnosi i na izgradnju uređaja za pročišćavanje otpadnih voda u svrhu zaštite voda i očuvanja vodnih resursa u Republici Hrvatskoj što će rezultirati zaštitom i očuvanjem okoliša u cjelini.</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Povećanje dužine izgrađene magistralne ili sekundarne mreže odvodnje otpadnih voda izražena u km</w:t>
            </w:r>
          </w:p>
        </w:tc>
        <w:tc>
          <w:tcPr>
            <w:tcW w:w="1114" w:type="dxa"/>
          </w:tcPr>
          <w:p w:rsidR="00D849AA" w:rsidRDefault="00EE6D95">
            <w:r>
              <w:t>km</w:t>
            </w:r>
          </w:p>
        </w:tc>
        <w:tc>
          <w:tcPr>
            <w:tcW w:w="1114" w:type="dxa"/>
          </w:tcPr>
          <w:p w:rsidR="00D849AA" w:rsidRDefault="00EE6D95">
            <w:r>
              <w:t>0</w:t>
            </w:r>
          </w:p>
        </w:tc>
        <w:tc>
          <w:tcPr>
            <w:tcW w:w="1486" w:type="dxa"/>
          </w:tcPr>
          <w:p w:rsidR="00D849AA" w:rsidRDefault="00EE6D95">
            <w:r>
              <w:t>65,1</w:t>
            </w:r>
          </w:p>
        </w:tc>
        <w:tc>
          <w:tcPr>
            <w:tcW w:w="1486" w:type="dxa"/>
          </w:tcPr>
          <w:p w:rsidR="00D849AA" w:rsidRDefault="00EE6D95">
            <w:r>
              <w:t>65,1</w:t>
            </w:r>
          </w:p>
        </w:tc>
        <w:tc>
          <w:tcPr>
            <w:tcW w:w="1486" w:type="dxa"/>
          </w:tcPr>
          <w:p w:rsidR="00D849AA" w:rsidRDefault="00EE6D95">
            <w:r>
              <w:t>217,9</w:t>
            </w:r>
          </w:p>
        </w:tc>
      </w:tr>
      <w:tr w:rsidR="00D849AA">
        <w:trPr>
          <w:jc w:val="center"/>
        </w:trPr>
        <w:tc>
          <w:tcPr>
            <w:tcW w:w="2229" w:type="dxa"/>
          </w:tcPr>
          <w:p w:rsidR="00D849AA" w:rsidRDefault="00EE6D95">
            <w:pPr>
              <w:pStyle w:val="CellColumn"/>
            </w:pPr>
            <w:r>
              <w:t>Povećanje broja izgrađenih vodnih građevina (osim mreže) uključujući i uređaje za pročišćavanje i za zbrinjavanje mulja</w:t>
            </w:r>
          </w:p>
        </w:tc>
        <w:tc>
          <w:tcPr>
            <w:tcW w:w="1114" w:type="dxa"/>
          </w:tcPr>
          <w:p w:rsidR="00D849AA" w:rsidRDefault="00EE6D95">
            <w:r>
              <w:t>broj</w:t>
            </w:r>
          </w:p>
        </w:tc>
        <w:tc>
          <w:tcPr>
            <w:tcW w:w="1114" w:type="dxa"/>
          </w:tcPr>
          <w:p w:rsidR="00D849AA" w:rsidRDefault="00EE6D95">
            <w:r>
              <w:t>0</w:t>
            </w:r>
          </w:p>
        </w:tc>
        <w:tc>
          <w:tcPr>
            <w:tcW w:w="1486" w:type="dxa"/>
          </w:tcPr>
          <w:p w:rsidR="00D849AA" w:rsidRDefault="00EE6D95">
            <w:r>
              <w:t>2 UPOV</w:t>
            </w:r>
          </w:p>
        </w:tc>
        <w:tc>
          <w:tcPr>
            <w:tcW w:w="1486" w:type="dxa"/>
          </w:tcPr>
          <w:p w:rsidR="00D849AA" w:rsidRDefault="00EE6D95">
            <w:r>
              <w:t>3 UPOV</w:t>
            </w:r>
          </w:p>
        </w:tc>
        <w:tc>
          <w:tcPr>
            <w:tcW w:w="1486" w:type="dxa"/>
          </w:tcPr>
          <w:p w:rsidR="00D849AA" w:rsidRDefault="00EE6D95">
            <w:r>
              <w:t>9UPOV</w:t>
            </w:r>
          </w:p>
        </w:tc>
      </w:tr>
      <w:tr w:rsidR="00D849AA">
        <w:trPr>
          <w:jc w:val="center"/>
        </w:trPr>
        <w:tc>
          <w:tcPr>
            <w:tcW w:w="2229" w:type="dxa"/>
          </w:tcPr>
          <w:p w:rsidR="00D849AA" w:rsidRDefault="00EE6D95">
            <w:pPr>
              <w:pStyle w:val="CellColumn"/>
            </w:pPr>
            <w:r>
              <w:t>Broj pripremljenih projekata s potpunom dokumentacijom za EU</w:t>
            </w:r>
          </w:p>
        </w:tc>
        <w:tc>
          <w:tcPr>
            <w:tcW w:w="1114" w:type="dxa"/>
          </w:tcPr>
          <w:p w:rsidR="00D849AA" w:rsidRDefault="00EE6D95">
            <w:r>
              <w:t>broj</w:t>
            </w:r>
          </w:p>
        </w:tc>
        <w:tc>
          <w:tcPr>
            <w:tcW w:w="1114" w:type="dxa"/>
          </w:tcPr>
          <w:p w:rsidR="00D849AA" w:rsidRDefault="00EE6D95">
            <w:r>
              <w:t>0</w:t>
            </w:r>
          </w:p>
        </w:tc>
        <w:tc>
          <w:tcPr>
            <w:tcW w:w="1486" w:type="dxa"/>
          </w:tcPr>
          <w:p w:rsidR="00D849AA" w:rsidRDefault="00EE6D95">
            <w:r>
              <w:t>0</w:t>
            </w:r>
          </w:p>
        </w:tc>
        <w:tc>
          <w:tcPr>
            <w:tcW w:w="1486" w:type="dxa"/>
          </w:tcPr>
          <w:p w:rsidR="00D849AA" w:rsidRDefault="00EE6D95">
            <w:r>
              <w:t>16</w:t>
            </w:r>
          </w:p>
        </w:tc>
        <w:tc>
          <w:tcPr>
            <w:tcW w:w="1486" w:type="dxa"/>
          </w:tcPr>
          <w:p w:rsidR="00D849AA" w:rsidRDefault="00EE6D95">
            <w:r>
              <w:t>16</w:t>
            </w:r>
          </w:p>
        </w:tc>
      </w:tr>
    </w:tbl>
    <w:p w:rsidR="00D849AA" w:rsidRDefault="00D849AA">
      <w:pPr>
        <w:jc w:val="left"/>
      </w:pPr>
    </w:p>
    <w:p w:rsidR="00D849AA" w:rsidRDefault="00EE6D95">
      <w:pPr>
        <w:pStyle w:val="Naslov6"/>
      </w:pPr>
      <w:r>
        <w:lastRenderedPageBreak/>
        <w:t>K820056 PROJEKT IZGRADNJE VODOKOMUNALNE INFRASTRUKTURE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K820056</w:t>
            </w:r>
          </w:p>
        </w:tc>
        <w:tc>
          <w:tcPr>
            <w:tcW w:w="1486" w:type="dxa"/>
          </w:tcPr>
          <w:p w:rsidR="00D849AA" w:rsidRDefault="00EE6D95">
            <w:r>
              <w:t>227.400.000</w:t>
            </w:r>
          </w:p>
        </w:tc>
        <w:tc>
          <w:tcPr>
            <w:tcW w:w="1486" w:type="dxa"/>
          </w:tcPr>
          <w:p w:rsidR="00D849AA" w:rsidRDefault="00EE6D95">
            <w:r>
              <w:t>300.000.000</w:t>
            </w:r>
          </w:p>
        </w:tc>
        <w:tc>
          <w:tcPr>
            <w:tcW w:w="1486" w:type="dxa"/>
          </w:tcPr>
          <w:p w:rsidR="00D849AA" w:rsidRDefault="00EE6D95">
            <w:r>
              <w:t>450.000.000</w:t>
            </w:r>
          </w:p>
        </w:tc>
        <w:tc>
          <w:tcPr>
            <w:tcW w:w="1486" w:type="dxa"/>
          </w:tcPr>
          <w:p w:rsidR="00D849AA" w:rsidRDefault="00EE6D95">
            <w:r>
              <w:t>230.000.000</w:t>
            </w:r>
          </w:p>
        </w:tc>
        <w:tc>
          <w:tcPr>
            <w:tcW w:w="1486" w:type="dxa"/>
          </w:tcPr>
          <w:p w:rsidR="00D849AA" w:rsidRDefault="00EE6D95">
            <w:r>
              <w:t>131,9</w:t>
            </w:r>
          </w:p>
        </w:tc>
      </w:tr>
    </w:tbl>
    <w:p w:rsidR="00D849AA" w:rsidRDefault="00D849AA">
      <w:pPr>
        <w:jc w:val="left"/>
      </w:pPr>
    </w:p>
    <w:p w:rsidR="00D849AA" w:rsidRDefault="00EE6D95">
      <w:pPr>
        <w:pStyle w:val="Normal6"/>
      </w:pPr>
      <w:r>
        <w:t xml:space="preserve">Projektom je predviđeno financiranje podprojekata vodno-komunalne infrastrukture (sustava vodoopskrbe i sustava javne odvodnje) u jedinicama lokalne samouprave, koje nemaju dovoljno vlastitih sredstava da zatvore financijsku konstrukciju za izgradnju potrebne vodno-komunalne infrastrukture. </w:t>
      </w:r>
    </w:p>
    <w:p w:rsidR="00D849AA" w:rsidRDefault="00EE6D95">
      <w:pPr>
        <w:pStyle w:val="Normal6"/>
      </w:pPr>
      <w:r>
        <w:t xml:space="preserve">Za provedbu Projekta osigurana su sredstva zajmova Europske investicijske banke (EIB) i Razvojne banke Vijeća Europe (CEB) u iznosima od po 75 milijuna eura, tj. u ukupnom iznosu od 150 milijuna eura zajmova. </w:t>
      </w:r>
    </w:p>
    <w:p w:rsidR="00D849AA" w:rsidRDefault="00EE6D95">
      <w:pPr>
        <w:pStyle w:val="Normal6"/>
      </w:pPr>
      <w:r>
        <w:t xml:space="preserve">Provedbom cjelokupnog Projekta „Financiranje vodno-komunalne infrastrukture“ ostvarili bi se preduvjeti za razvoj gospodarstva i doprinijelo razvoju lokalne zajednice, te potaknule investicije. </w:t>
      </w:r>
    </w:p>
    <w:p w:rsidR="00D849AA" w:rsidRDefault="00EE6D95">
      <w:pPr>
        <w:pStyle w:val="Normal6"/>
      </w:pPr>
      <w:r>
        <w:t>Veći dio projekata koji se provode unutar ovoga programa su infrastrukturni projekti koji osim komponente odvodnje uključuju i komponentu vodoopskrbe i to rekonstrukciju i gradnju vodoopskrbne mreže, gradnju vodnih građevina uključujući i uređaje za kondicioniranje vode, te smanjenje gubitaka u vodoopskrbnoj mreži.</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Povećanje dužine izgrađene magistralne ili sekundarne mreže odvodnje otpadnih voda izražena u km</w:t>
            </w:r>
          </w:p>
        </w:tc>
        <w:tc>
          <w:tcPr>
            <w:tcW w:w="1114" w:type="dxa"/>
          </w:tcPr>
          <w:p w:rsidR="00D849AA" w:rsidRDefault="00EE6D95">
            <w:r>
              <w:t>km</w:t>
            </w:r>
          </w:p>
        </w:tc>
        <w:tc>
          <w:tcPr>
            <w:tcW w:w="1114" w:type="dxa"/>
          </w:tcPr>
          <w:p w:rsidR="00D849AA" w:rsidRDefault="00EE6D95">
            <w:r>
              <w:t>0</w:t>
            </w:r>
          </w:p>
        </w:tc>
        <w:tc>
          <w:tcPr>
            <w:tcW w:w="1486" w:type="dxa"/>
          </w:tcPr>
          <w:p w:rsidR="00D849AA" w:rsidRDefault="00EE6D95">
            <w:r>
              <w:t>64</w:t>
            </w:r>
          </w:p>
        </w:tc>
        <w:tc>
          <w:tcPr>
            <w:tcW w:w="1486" w:type="dxa"/>
          </w:tcPr>
          <w:p w:rsidR="00D849AA" w:rsidRDefault="00EE6D95">
            <w:r>
              <w:t>137</w:t>
            </w:r>
          </w:p>
        </w:tc>
        <w:tc>
          <w:tcPr>
            <w:tcW w:w="1486" w:type="dxa"/>
          </w:tcPr>
          <w:p w:rsidR="00D849AA" w:rsidRDefault="00EE6D95">
            <w:r>
              <w:t>210</w:t>
            </w:r>
          </w:p>
        </w:tc>
      </w:tr>
      <w:tr w:rsidR="00D849AA">
        <w:trPr>
          <w:jc w:val="center"/>
        </w:trPr>
        <w:tc>
          <w:tcPr>
            <w:tcW w:w="2229" w:type="dxa"/>
          </w:tcPr>
          <w:p w:rsidR="00D849AA" w:rsidRDefault="00EE6D95">
            <w:pPr>
              <w:pStyle w:val="CellColumn"/>
            </w:pPr>
            <w:r>
              <w:t>Povećanje broja izgrađenih vodnih građevina (osim mreže) uključujući i uređaje za pročišćavanje i za zbrinjavanje mulja</w:t>
            </w:r>
          </w:p>
        </w:tc>
        <w:tc>
          <w:tcPr>
            <w:tcW w:w="1114" w:type="dxa"/>
          </w:tcPr>
          <w:p w:rsidR="00D849AA" w:rsidRDefault="00EE6D95">
            <w:r>
              <w:t>broj</w:t>
            </w:r>
          </w:p>
        </w:tc>
        <w:tc>
          <w:tcPr>
            <w:tcW w:w="1114" w:type="dxa"/>
          </w:tcPr>
          <w:p w:rsidR="00D849AA" w:rsidRDefault="00EE6D95">
            <w:r>
              <w:t>0</w:t>
            </w:r>
          </w:p>
        </w:tc>
        <w:tc>
          <w:tcPr>
            <w:tcW w:w="1486" w:type="dxa"/>
          </w:tcPr>
          <w:p w:rsidR="00D849AA" w:rsidRDefault="00EE6D95">
            <w:r>
              <w:t>5</w:t>
            </w:r>
          </w:p>
        </w:tc>
        <w:tc>
          <w:tcPr>
            <w:tcW w:w="1486" w:type="dxa"/>
          </w:tcPr>
          <w:p w:rsidR="00D849AA" w:rsidRDefault="00EE6D95">
            <w:r>
              <w:t>11</w:t>
            </w:r>
          </w:p>
        </w:tc>
        <w:tc>
          <w:tcPr>
            <w:tcW w:w="1486" w:type="dxa"/>
          </w:tcPr>
          <w:p w:rsidR="00D849AA" w:rsidRDefault="00EE6D95">
            <w:r>
              <w:t>17</w:t>
            </w:r>
          </w:p>
        </w:tc>
      </w:tr>
      <w:tr w:rsidR="00D849AA">
        <w:trPr>
          <w:jc w:val="center"/>
        </w:trPr>
        <w:tc>
          <w:tcPr>
            <w:tcW w:w="2229" w:type="dxa"/>
          </w:tcPr>
          <w:p w:rsidR="00D849AA" w:rsidRDefault="00EE6D95">
            <w:pPr>
              <w:pStyle w:val="CellColumn"/>
            </w:pPr>
            <w:r>
              <w:t>Broj pripremljenih projekata s potpunom dokumentacijom za EU</w:t>
            </w:r>
          </w:p>
        </w:tc>
        <w:tc>
          <w:tcPr>
            <w:tcW w:w="1114" w:type="dxa"/>
          </w:tcPr>
          <w:p w:rsidR="00D849AA" w:rsidRDefault="00EE6D95">
            <w:r>
              <w:t>broj</w:t>
            </w:r>
          </w:p>
        </w:tc>
        <w:tc>
          <w:tcPr>
            <w:tcW w:w="1114" w:type="dxa"/>
          </w:tcPr>
          <w:p w:rsidR="00D849AA" w:rsidRDefault="00EE6D95">
            <w:r>
              <w:t>0</w:t>
            </w:r>
          </w:p>
        </w:tc>
        <w:tc>
          <w:tcPr>
            <w:tcW w:w="1486" w:type="dxa"/>
          </w:tcPr>
          <w:p w:rsidR="00D849AA" w:rsidRDefault="00EE6D95">
            <w:r>
              <w:t>12</w:t>
            </w:r>
          </w:p>
        </w:tc>
        <w:tc>
          <w:tcPr>
            <w:tcW w:w="1486" w:type="dxa"/>
          </w:tcPr>
          <w:p w:rsidR="00D849AA" w:rsidRDefault="00EE6D95">
            <w:r>
              <w:t>25</w:t>
            </w:r>
          </w:p>
        </w:tc>
        <w:tc>
          <w:tcPr>
            <w:tcW w:w="1486" w:type="dxa"/>
          </w:tcPr>
          <w:p w:rsidR="00D849AA" w:rsidRDefault="00EE6D95">
            <w:r>
              <w:t>38</w:t>
            </w:r>
          </w:p>
        </w:tc>
      </w:tr>
    </w:tbl>
    <w:p w:rsidR="00D849AA" w:rsidRDefault="00D849AA">
      <w:pPr>
        <w:jc w:val="left"/>
      </w:pPr>
    </w:p>
    <w:p w:rsidR="00337A23" w:rsidRDefault="00337A23">
      <w:pPr>
        <w:jc w:val="left"/>
      </w:pPr>
    </w:p>
    <w:p w:rsidR="00337A23" w:rsidRDefault="00337A23">
      <w:pPr>
        <w:jc w:val="left"/>
      </w:pPr>
    </w:p>
    <w:p w:rsidR="00D849AA" w:rsidRDefault="00EE6D95">
      <w:pPr>
        <w:pStyle w:val="Naslov6"/>
      </w:pPr>
      <w:r>
        <w:lastRenderedPageBreak/>
        <w:t>T650040 PROJEKT ZAŠTITE JADRANA OD ONEČIŠĆENJA IBRD I DOMAĆA KOMPONENTA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T650040</w:t>
            </w:r>
          </w:p>
        </w:tc>
        <w:tc>
          <w:tcPr>
            <w:tcW w:w="1486" w:type="dxa"/>
          </w:tcPr>
          <w:p w:rsidR="00D849AA" w:rsidRDefault="00EE6D95">
            <w:r>
              <w:t>162.800.000</w:t>
            </w:r>
          </w:p>
        </w:tc>
        <w:tc>
          <w:tcPr>
            <w:tcW w:w="1486" w:type="dxa"/>
          </w:tcPr>
          <w:p w:rsidR="00D849AA" w:rsidRDefault="00EE6D95">
            <w:r>
              <w:t>221.100.000</w:t>
            </w:r>
          </w:p>
        </w:tc>
        <w:tc>
          <w:tcPr>
            <w:tcW w:w="1486" w:type="dxa"/>
          </w:tcPr>
          <w:p w:rsidR="00D849AA" w:rsidRDefault="00EE6D95">
            <w:r>
              <w:t>00</w:t>
            </w:r>
          </w:p>
        </w:tc>
        <w:tc>
          <w:tcPr>
            <w:tcW w:w="1486" w:type="dxa"/>
          </w:tcPr>
          <w:p w:rsidR="00D849AA" w:rsidRDefault="00EE6D95">
            <w:r>
              <w:t>00</w:t>
            </w:r>
          </w:p>
        </w:tc>
        <w:tc>
          <w:tcPr>
            <w:tcW w:w="1486" w:type="dxa"/>
          </w:tcPr>
          <w:p w:rsidR="00D849AA" w:rsidRDefault="00EE6D95">
            <w:r>
              <w:t>135,8</w:t>
            </w:r>
          </w:p>
        </w:tc>
      </w:tr>
    </w:tbl>
    <w:p w:rsidR="00D849AA" w:rsidRDefault="00D849AA">
      <w:pPr>
        <w:jc w:val="left"/>
      </w:pPr>
    </w:p>
    <w:p w:rsidR="00D849AA" w:rsidRDefault="00EE6D95">
      <w:pPr>
        <w:pStyle w:val="Normal6"/>
      </w:pPr>
      <w:r>
        <w:t xml:space="preserve">Projekt Jadran je složena i sveobuhvatna investicija koja uključuje intervencije na više razina, sa svrhom zaštite i očuvanja kakvoće mora, stvaranja uvjeta za siguran ekonomski razvoj u skladu sa zahtjevima zaštite okoliša te očuvanje i poboljšanje postignutog stupnja zaštite okoliša. </w:t>
      </w:r>
    </w:p>
    <w:p w:rsidR="00D849AA" w:rsidRDefault="00EE6D95">
      <w:pPr>
        <w:pStyle w:val="Normal6"/>
      </w:pPr>
      <w:r>
        <w:t xml:space="preserve">Ugovor o zajmu za drugu fazu Projekta između Međunarodne banke za obnovu i razvoj (IBRD) i Vlade Republike Hrvatske potpisan u veljači 2009. godine. Ugovor o kreditu za drugu fazu Projekta prati i darovnica (darovnica 92704) Globalnog fonda za zaštitu okoliša (GEF). </w:t>
      </w:r>
    </w:p>
    <w:p w:rsidR="00D849AA" w:rsidRDefault="00EE6D95">
      <w:pPr>
        <w:pStyle w:val="Normal6"/>
      </w:pPr>
      <w:r>
        <w:t xml:space="preserve">Program ima tri komponente. </w:t>
      </w:r>
    </w:p>
    <w:p w:rsidR="00D849AA" w:rsidRDefault="00EE6D95">
      <w:pPr>
        <w:pStyle w:val="Normal6"/>
      </w:pPr>
      <w:r>
        <w:t xml:space="preserve">- ulaganja u priobalnu infrastrukturu za zaštitu okoliša  </w:t>
      </w:r>
    </w:p>
    <w:p w:rsidR="00D849AA" w:rsidRDefault="00EE6D95">
      <w:pPr>
        <w:pStyle w:val="Normal6"/>
      </w:pPr>
      <w:r>
        <w:t xml:space="preserve">- institucionalnog jačanja i upravljanja programom </w:t>
      </w:r>
    </w:p>
    <w:p w:rsidR="00D849AA" w:rsidRDefault="00EE6D95">
      <w:pPr>
        <w:pStyle w:val="Normal6"/>
      </w:pPr>
      <w:r>
        <w:t>- Jačanje sustava za nadzor kakvoće priobalnih voda</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72"/>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Povećanje dužine izgrađene magistralne ili sekundarne mreže odvodnje otpadnih voda izražena u km</w:t>
            </w:r>
          </w:p>
        </w:tc>
        <w:tc>
          <w:tcPr>
            <w:tcW w:w="1114" w:type="dxa"/>
          </w:tcPr>
          <w:p w:rsidR="00D849AA" w:rsidRDefault="00EE6D95">
            <w:r>
              <w:t>km</w:t>
            </w:r>
          </w:p>
        </w:tc>
        <w:tc>
          <w:tcPr>
            <w:tcW w:w="1114" w:type="dxa"/>
          </w:tcPr>
          <w:p w:rsidR="00D849AA" w:rsidRDefault="00EE6D95">
            <w:r>
              <w:t>84,6</w:t>
            </w:r>
          </w:p>
        </w:tc>
        <w:tc>
          <w:tcPr>
            <w:tcW w:w="1486" w:type="dxa"/>
          </w:tcPr>
          <w:p w:rsidR="00D849AA" w:rsidRDefault="00EE6D95">
            <w:r>
              <w:t xml:space="preserve">163,9 </w:t>
            </w:r>
          </w:p>
          <w:p w:rsidR="00D849AA" w:rsidRDefault="00EE6D95">
            <w:r>
              <w:t>Projekt službeno završava 2014.</w:t>
            </w:r>
          </w:p>
        </w:tc>
        <w:tc>
          <w:tcPr>
            <w:tcW w:w="1486" w:type="dxa"/>
          </w:tcPr>
          <w:p w:rsidR="00D849AA" w:rsidRDefault="00EE6D95">
            <w:r>
              <w:t>163,9</w:t>
            </w:r>
          </w:p>
        </w:tc>
        <w:tc>
          <w:tcPr>
            <w:tcW w:w="1486" w:type="dxa"/>
          </w:tcPr>
          <w:p w:rsidR="00D849AA" w:rsidRDefault="00EE6D95">
            <w:r>
              <w:t>163,9</w:t>
            </w:r>
          </w:p>
        </w:tc>
      </w:tr>
      <w:tr w:rsidR="00D849AA">
        <w:trPr>
          <w:jc w:val="center"/>
        </w:trPr>
        <w:tc>
          <w:tcPr>
            <w:tcW w:w="2229" w:type="dxa"/>
          </w:tcPr>
          <w:p w:rsidR="00D849AA" w:rsidRDefault="00EE6D95">
            <w:pPr>
              <w:pStyle w:val="CellColumn"/>
            </w:pPr>
            <w:r>
              <w:t>Povećanje broja izgrađenih vodnih građevina (osim mreže) uključujući i uređaje za pročišćavanje i za zbrinjavanje mulja</w:t>
            </w:r>
          </w:p>
        </w:tc>
        <w:tc>
          <w:tcPr>
            <w:tcW w:w="1114" w:type="dxa"/>
          </w:tcPr>
          <w:p w:rsidR="00D849AA" w:rsidRDefault="00EE6D95">
            <w:r>
              <w:t>broj</w:t>
            </w:r>
          </w:p>
        </w:tc>
        <w:tc>
          <w:tcPr>
            <w:tcW w:w="1114" w:type="dxa"/>
          </w:tcPr>
          <w:p w:rsidR="00D849AA" w:rsidRDefault="00EE6D95">
            <w:r>
              <w:t xml:space="preserve">6 UPOV-a </w:t>
            </w:r>
          </w:p>
          <w:p w:rsidR="00D849AA" w:rsidRDefault="00EE6D95">
            <w:r>
              <w:t>6 podmorskih ispusta</w:t>
            </w:r>
          </w:p>
        </w:tc>
        <w:tc>
          <w:tcPr>
            <w:tcW w:w="1486" w:type="dxa"/>
          </w:tcPr>
          <w:p w:rsidR="00D849AA" w:rsidRDefault="00EE6D95">
            <w:r>
              <w:t xml:space="preserve">16 UPOV-a </w:t>
            </w:r>
          </w:p>
          <w:p w:rsidR="00D849AA" w:rsidRDefault="00EE6D95">
            <w:r>
              <w:t xml:space="preserve">12 podmorskih ispusta </w:t>
            </w:r>
          </w:p>
          <w:p w:rsidR="00D849AA" w:rsidRDefault="00EE6D95">
            <w:r>
              <w:t>Projekt službeno završava 2014</w:t>
            </w:r>
          </w:p>
        </w:tc>
        <w:tc>
          <w:tcPr>
            <w:tcW w:w="1486" w:type="dxa"/>
          </w:tcPr>
          <w:p w:rsidR="00D849AA" w:rsidRDefault="00EE6D95">
            <w:r>
              <w:t xml:space="preserve">16 UPOV-a </w:t>
            </w:r>
          </w:p>
          <w:p w:rsidR="00D849AA" w:rsidRDefault="00EE6D95">
            <w:r>
              <w:t>12 podmorskih ispusta</w:t>
            </w:r>
          </w:p>
        </w:tc>
        <w:tc>
          <w:tcPr>
            <w:tcW w:w="1486" w:type="dxa"/>
          </w:tcPr>
          <w:p w:rsidR="00D849AA" w:rsidRDefault="00EE6D95">
            <w:r>
              <w:t xml:space="preserve">16 UPOV-a </w:t>
            </w:r>
          </w:p>
          <w:p w:rsidR="00D849AA" w:rsidRDefault="00EE6D95">
            <w:r>
              <w:t>12 podmorskih ispusta</w:t>
            </w:r>
          </w:p>
        </w:tc>
      </w:tr>
      <w:tr w:rsidR="00D849AA">
        <w:trPr>
          <w:jc w:val="center"/>
        </w:trPr>
        <w:tc>
          <w:tcPr>
            <w:tcW w:w="2229" w:type="dxa"/>
          </w:tcPr>
          <w:p w:rsidR="00D849AA" w:rsidRDefault="00EE6D95">
            <w:pPr>
              <w:pStyle w:val="CellColumn"/>
            </w:pPr>
            <w:r>
              <w:t>Broj pripremljenih projekata s potpunom dokumentacijom za EU</w:t>
            </w:r>
          </w:p>
        </w:tc>
        <w:tc>
          <w:tcPr>
            <w:tcW w:w="1114" w:type="dxa"/>
          </w:tcPr>
          <w:p w:rsidR="00D849AA" w:rsidRDefault="00EE6D95">
            <w:r>
              <w:t>broj</w:t>
            </w:r>
          </w:p>
        </w:tc>
        <w:tc>
          <w:tcPr>
            <w:tcW w:w="1114" w:type="dxa"/>
          </w:tcPr>
          <w:p w:rsidR="00D849AA" w:rsidRDefault="00EE6D95">
            <w:r>
              <w:t>0</w:t>
            </w:r>
          </w:p>
        </w:tc>
        <w:tc>
          <w:tcPr>
            <w:tcW w:w="1486" w:type="dxa"/>
          </w:tcPr>
          <w:p w:rsidR="00D849AA" w:rsidRDefault="00EE6D95">
            <w:r>
              <w:t xml:space="preserve">4 </w:t>
            </w:r>
          </w:p>
          <w:p w:rsidR="00D849AA" w:rsidRDefault="00EE6D95">
            <w:r>
              <w:t>Projekt službeno završava 2014</w:t>
            </w:r>
          </w:p>
        </w:tc>
        <w:tc>
          <w:tcPr>
            <w:tcW w:w="1486" w:type="dxa"/>
          </w:tcPr>
          <w:p w:rsidR="00D849AA" w:rsidRDefault="00EE6D95">
            <w:r>
              <w:t>4</w:t>
            </w:r>
          </w:p>
        </w:tc>
        <w:tc>
          <w:tcPr>
            <w:tcW w:w="1486" w:type="dxa"/>
          </w:tcPr>
          <w:p w:rsidR="00D849AA" w:rsidRDefault="00EE6D95">
            <w:r>
              <w:t>4</w:t>
            </w:r>
          </w:p>
        </w:tc>
      </w:tr>
    </w:tbl>
    <w:p w:rsidR="00D849AA" w:rsidRDefault="00D849AA">
      <w:pPr>
        <w:jc w:val="left"/>
      </w:pPr>
    </w:p>
    <w:p w:rsidR="00337A23" w:rsidRDefault="00337A23">
      <w:pPr>
        <w:jc w:val="left"/>
      </w:pPr>
    </w:p>
    <w:p w:rsidR="00337A23" w:rsidRDefault="00337A23" w:rsidP="00337A23">
      <w:pPr>
        <w:jc w:val="left"/>
      </w:pPr>
    </w:p>
    <w:p w:rsidR="00337A23" w:rsidRDefault="00337A23" w:rsidP="00337A23">
      <w:pPr>
        <w:pStyle w:val="Naslov4"/>
      </w:pPr>
      <w:r>
        <w:lastRenderedPageBreak/>
        <w:t>OBRAZLOŽENJE PROGRAMA</w:t>
      </w:r>
    </w:p>
    <w:p w:rsidR="00D849AA" w:rsidRDefault="00EE6D95">
      <w:pPr>
        <w:pStyle w:val="Naslov5"/>
      </w:pPr>
      <w:r>
        <w:t>3508 RAZVOJ I UPRAVLJANJE VODOOPSKRBNIM SUSTAVOM</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3508</w:t>
            </w:r>
          </w:p>
        </w:tc>
        <w:tc>
          <w:tcPr>
            <w:tcW w:w="1486" w:type="dxa"/>
          </w:tcPr>
          <w:p w:rsidR="00D849AA" w:rsidRDefault="00EE6D95">
            <w:r>
              <w:t>9.112.500</w:t>
            </w:r>
          </w:p>
        </w:tc>
        <w:tc>
          <w:tcPr>
            <w:tcW w:w="1486" w:type="dxa"/>
          </w:tcPr>
          <w:p w:rsidR="00D849AA" w:rsidRDefault="00EE6D95">
            <w:r>
              <w:t>2.390.240</w:t>
            </w:r>
          </w:p>
        </w:tc>
        <w:tc>
          <w:tcPr>
            <w:tcW w:w="1486" w:type="dxa"/>
          </w:tcPr>
          <w:p w:rsidR="00D849AA" w:rsidRDefault="00EE6D95">
            <w:r>
              <w:t>1.270.000</w:t>
            </w:r>
          </w:p>
        </w:tc>
        <w:tc>
          <w:tcPr>
            <w:tcW w:w="1486" w:type="dxa"/>
          </w:tcPr>
          <w:p w:rsidR="00D849AA" w:rsidRDefault="00EE6D95">
            <w:r>
              <w:t>1.270.000</w:t>
            </w:r>
          </w:p>
        </w:tc>
        <w:tc>
          <w:tcPr>
            <w:tcW w:w="1486" w:type="dxa"/>
          </w:tcPr>
          <w:p w:rsidR="00D849AA" w:rsidRDefault="00EE6D95">
            <w:r>
              <w:t>26,2</w:t>
            </w:r>
          </w:p>
        </w:tc>
      </w:tr>
    </w:tbl>
    <w:p w:rsidR="00D849AA" w:rsidRDefault="00D849AA">
      <w:pPr>
        <w:jc w:val="left"/>
      </w:pPr>
    </w:p>
    <w:p w:rsidR="00D849AA" w:rsidRDefault="00EE6D95">
      <w:pPr>
        <w:pStyle w:val="Naslov6"/>
      </w:pPr>
      <w:r>
        <w:t>Opis programa</w:t>
      </w:r>
    </w:p>
    <w:p w:rsidR="00D849AA" w:rsidRDefault="00EE6D95">
      <w:pPr>
        <w:pStyle w:val="Normal5"/>
      </w:pPr>
      <w:r>
        <w:t xml:space="preserve">Ovim programom unaprijedit će se upravljanje, povećati stupanj korištenja te smanjiti gubitak vode iz vodoopskrbne mreže kroz ulaganja u razvojne programe vodoopskrbe na području Republike Hrvatske. Ostvarenje razvojnih ciljeva vodnog gospodarstva ubrzava se korištenjem sredstava iz fondova Europske unije, i to iz kohezijskog i strukturnih fondova na način da se ulaže u rekonstrukciju i gradnju magistralne i sekundarne vodoopskrbne mreže, u gradnju vodnih građevina uključujući i uređaje za kondicioniranje vode, te smanjenje gubitaka u vodoopskrbnoj mreži. </w:t>
      </w:r>
    </w:p>
    <w:p w:rsidR="00D849AA" w:rsidRDefault="00EE6D95">
      <w:pPr>
        <w:pStyle w:val="Normal5"/>
      </w:pPr>
      <w:r>
        <w:t xml:space="preserve">Sve bitne aktivnosti koje su se odnosile na pokazatelje učinka su ukinute. Aktivnosti koje su ostale su A820042 -  Vijeće za vodne usluge i  K819037 -  IPA 2009 Jačanje kapaciteta za implementaciju direktive o UN, koje ne pridonose definiranim pokazateljima učinaka, odnosno postavljenim ciljevima. </w:t>
      </w:r>
    </w:p>
    <w:p w:rsidR="00D849AA" w:rsidRDefault="00EE6D95">
      <w:pPr>
        <w:pStyle w:val="Normal5"/>
      </w:pPr>
      <w:r>
        <w:t>Pokazatelji učinka i pokazatelji rezultata prikazani su s obzirom na sredstva koja se ulažu iz sredstava Hrvatskih voda, a pridonose ostvarivanju definiranih ciljeva.</w:t>
      </w:r>
    </w:p>
    <w:p w:rsidR="00D849AA" w:rsidRDefault="00EE6D95">
      <w:pPr>
        <w:pStyle w:val="Naslov6"/>
      </w:pPr>
      <w:r>
        <w:t>Zakonske i druge pravne osnove</w:t>
      </w:r>
    </w:p>
    <w:p w:rsidR="00D849AA" w:rsidRDefault="00EE6D95">
      <w:pPr>
        <w:pStyle w:val="Normal5"/>
      </w:pPr>
      <w:r>
        <w:t>Zakon o vodama („Narodne novine“, broj 153/2009, 63/11, 130/11  i 56/13); Strategija upravljanja vodama („Narodne novine“, broj 91/2008); Zakon o financiranju vodnoga gospodarstva („Narodne novine“, broj 153/2009, 90/11 i 56/13).</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 xml:space="preserve">Cilj 1.  Osiguranje  dovoljnih  količina  voda  zadovoljavajuće  kakvoće </w:t>
      </w:r>
    </w:p>
    <w:p w:rsidR="00D849AA" w:rsidRDefault="00EE6D95">
      <w:pPr>
        <w:pStyle w:val="Normal6"/>
      </w:pPr>
      <w:r>
        <w:t xml:space="preserve">Cilj je usmjeren na osiguranje dovoljnih količina voda zadovoljavajuće kakvoće za postojeće i razvojne potrebe svih korisnika iz postojećih ili novih izvora vodeći računa o prirodnim mogućnostima obnovljivosti resursa, postizanju odgovarajućeg standarda i razini sigurnosti opskrbe vodom za sve korisnike. </w:t>
      </w:r>
    </w:p>
    <w:p w:rsidR="00D849AA" w:rsidRDefault="00EE6D95">
      <w:pPr>
        <w:pStyle w:val="Normal6"/>
      </w:pPr>
      <w:r>
        <w:t>Ostvarenje ovoga cilja uključuje povećanje stupnja opskrbljenosti stanovništva iz javnih vodoopskrbnih sustava sa sadašnjih 85% na prosječno 87% odnosno povećanje broja stanovnika koji imaju mogućnost korištenja zdravstveno ispravne vode namijenjene ljudskoj potrošnji za sva naselja veća od 50 stanovnika.</w:t>
      </w:r>
    </w:p>
    <w:p w:rsidR="00337A23" w:rsidRDefault="00337A23">
      <w:pPr>
        <w:pStyle w:val="Normal6"/>
      </w:pPr>
    </w:p>
    <w:p w:rsidR="00337A23" w:rsidRDefault="00337A23">
      <w:pPr>
        <w:pStyle w:val="Normal6"/>
      </w:pPr>
    </w:p>
    <w:p w:rsidR="00337A23" w:rsidRDefault="00337A23">
      <w:pPr>
        <w:pStyle w:val="Normal6"/>
      </w:pPr>
    </w:p>
    <w:p w:rsidR="00337A23" w:rsidRDefault="00337A23">
      <w:pPr>
        <w:pStyle w:val="Normal6"/>
      </w:pPr>
    </w:p>
    <w:p w:rsidR="00D849AA" w:rsidRDefault="00EE6D95">
      <w:pPr>
        <w:pStyle w:val="Naslov8"/>
        <w:jc w:val="left"/>
      </w:pPr>
      <w:r>
        <w:lastRenderedPageBreak/>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Povećanje postotka mogućnosti priključenja  na  sustav javne vodoopskrbe</w:t>
            </w:r>
          </w:p>
        </w:tc>
        <w:tc>
          <w:tcPr>
            <w:tcW w:w="1114" w:type="dxa"/>
          </w:tcPr>
          <w:p w:rsidR="00D849AA" w:rsidRDefault="00EE6D95">
            <w:r>
              <w:t>%</w:t>
            </w:r>
          </w:p>
        </w:tc>
        <w:tc>
          <w:tcPr>
            <w:tcW w:w="1114" w:type="dxa"/>
          </w:tcPr>
          <w:p w:rsidR="00D849AA" w:rsidRDefault="00EE6D95">
            <w:r>
              <w:t>85</w:t>
            </w:r>
          </w:p>
        </w:tc>
        <w:tc>
          <w:tcPr>
            <w:tcW w:w="1486" w:type="dxa"/>
          </w:tcPr>
          <w:p w:rsidR="00D849AA" w:rsidRDefault="00EE6D95">
            <w:r>
              <w:t>89</w:t>
            </w:r>
          </w:p>
        </w:tc>
        <w:tc>
          <w:tcPr>
            <w:tcW w:w="1486" w:type="dxa"/>
          </w:tcPr>
          <w:p w:rsidR="00D849AA" w:rsidRDefault="00EE6D95">
            <w:r>
              <w:t>90</w:t>
            </w:r>
          </w:p>
        </w:tc>
        <w:tc>
          <w:tcPr>
            <w:tcW w:w="1486" w:type="dxa"/>
          </w:tcPr>
          <w:p w:rsidR="00D849AA" w:rsidRDefault="00EE6D95">
            <w:r>
              <w:t>91</w:t>
            </w:r>
          </w:p>
        </w:tc>
      </w:tr>
    </w:tbl>
    <w:p w:rsidR="00D849AA" w:rsidRDefault="00D849AA">
      <w:pPr>
        <w:jc w:val="left"/>
      </w:pPr>
    </w:p>
    <w:p w:rsidR="00D849AA" w:rsidRDefault="00EE6D95">
      <w:pPr>
        <w:pStyle w:val="Naslov2"/>
      </w:pPr>
      <w:r>
        <w:t>06025 Hrvatska agencija za hranu</w:t>
      </w:r>
    </w:p>
    <w:p w:rsidR="00D849AA" w:rsidRDefault="00EE6D95">
      <w:pPr>
        <w:pStyle w:val="Naslov4"/>
      </w:pPr>
      <w:r>
        <w:t>Uvod</w:t>
      </w:r>
    </w:p>
    <w:p w:rsidR="00D849AA" w:rsidRDefault="00EE6D95">
      <w:pPr>
        <w:pStyle w:val="Normal3"/>
      </w:pPr>
      <w:r>
        <w:t xml:space="preserve">Hrvatska agencija za hranu (HAH) teži da se pozicionira kao prepoznatljiva i relevantna institucija koja svoj rad bazira na znanstvenom i stručnom pristupu procjeni rizika glede zdravstvene ispravnosti hrane i hrane za životinje i na obavještavanju o rezultatima procjene rizika, a koja u svome radu teži izvrsnosti i liderstvu u regiji. </w:t>
      </w:r>
    </w:p>
    <w:p w:rsidR="00D849AA" w:rsidRDefault="00EE6D95">
      <w:pPr>
        <w:pStyle w:val="Normal3"/>
      </w:pPr>
      <w:r>
        <w:t xml:space="preserve">Vjerujemo kako jedino osiguranjem kvalitete svojih izlaznih dokumenata i usluga, možemo odgovoriti na sve veće potrebe i očekivanja svih dionika u području sigurnosti hrane, u okviru svojih nadležnosti definiranih Zakonom o hrani (NN br.81/13). </w:t>
      </w:r>
    </w:p>
    <w:p w:rsidR="00D849AA" w:rsidRDefault="00EE6D95">
      <w:pPr>
        <w:pStyle w:val="Normal3"/>
      </w:pPr>
      <w:r>
        <w:t xml:space="preserve">HAH je usredotočena na temeljne vrijednosti znanstvene izvrsnosti, samostalnosti, otvorenosti i transparentnosti. </w:t>
      </w:r>
    </w:p>
    <w:p w:rsidR="00D849AA" w:rsidRDefault="00EE6D95">
      <w:pPr>
        <w:pStyle w:val="Normal3"/>
      </w:pPr>
      <w:r>
        <w:t>Krajnji cilj je stručna i znanstvena potpora u području zaštite javnog zdravlja potrošača i jačanja povjerenja potrošača u sigurnost hrane te opskrbu hranom.</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06025</w:t>
            </w:r>
          </w:p>
        </w:tc>
        <w:tc>
          <w:tcPr>
            <w:tcW w:w="1486" w:type="dxa"/>
          </w:tcPr>
          <w:p w:rsidR="00D849AA" w:rsidRDefault="00EE6D95">
            <w:r>
              <w:t>4.230.720</w:t>
            </w:r>
          </w:p>
        </w:tc>
        <w:tc>
          <w:tcPr>
            <w:tcW w:w="1486" w:type="dxa"/>
          </w:tcPr>
          <w:p w:rsidR="00D849AA" w:rsidRDefault="00EE6D95">
            <w:r>
              <w:t>4.548.820</w:t>
            </w:r>
          </w:p>
        </w:tc>
        <w:tc>
          <w:tcPr>
            <w:tcW w:w="1486" w:type="dxa"/>
          </w:tcPr>
          <w:p w:rsidR="00D849AA" w:rsidRDefault="00EE6D95">
            <w:r>
              <w:t>4.896.402</w:t>
            </w:r>
          </w:p>
        </w:tc>
        <w:tc>
          <w:tcPr>
            <w:tcW w:w="1486" w:type="dxa"/>
          </w:tcPr>
          <w:p w:rsidR="00D849AA" w:rsidRDefault="00EE6D95">
            <w:r>
              <w:t>4.871.970</w:t>
            </w:r>
          </w:p>
        </w:tc>
        <w:tc>
          <w:tcPr>
            <w:tcW w:w="1486" w:type="dxa"/>
          </w:tcPr>
          <w:p w:rsidR="00D849AA" w:rsidRDefault="00EE6D95">
            <w:r>
              <w:t>107,5</w:t>
            </w:r>
          </w:p>
        </w:tc>
      </w:tr>
    </w:tbl>
    <w:p w:rsidR="00D849AA" w:rsidRDefault="00D849AA">
      <w:pPr>
        <w:jc w:val="left"/>
      </w:pPr>
    </w:p>
    <w:p w:rsidR="00D849AA" w:rsidRDefault="00EE6D95">
      <w:pPr>
        <w:pStyle w:val="Naslov4"/>
      </w:pPr>
      <w:r>
        <w:t>OBRAZLOŽENJE PROGRAMA</w:t>
      </w:r>
    </w:p>
    <w:p w:rsidR="00D849AA" w:rsidRDefault="00EE6D95">
      <w:pPr>
        <w:pStyle w:val="Naslov5"/>
      </w:pPr>
      <w:r>
        <w:t>3001 UPRAVLJANJE POLJOPRIVREDOM, RIBARSTVOM I RURALNIM RAZVOJEM</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3001</w:t>
            </w:r>
          </w:p>
        </w:tc>
        <w:tc>
          <w:tcPr>
            <w:tcW w:w="1486" w:type="dxa"/>
          </w:tcPr>
          <w:p w:rsidR="00D849AA" w:rsidRDefault="00EE6D95">
            <w:r>
              <w:t>4.230.720</w:t>
            </w:r>
          </w:p>
        </w:tc>
        <w:tc>
          <w:tcPr>
            <w:tcW w:w="1486" w:type="dxa"/>
          </w:tcPr>
          <w:p w:rsidR="00D849AA" w:rsidRDefault="00EE6D95">
            <w:r>
              <w:t>4.548.820</w:t>
            </w:r>
          </w:p>
        </w:tc>
        <w:tc>
          <w:tcPr>
            <w:tcW w:w="1486" w:type="dxa"/>
          </w:tcPr>
          <w:p w:rsidR="00D849AA" w:rsidRDefault="00EE6D95">
            <w:r>
              <w:t>4.896.402</w:t>
            </w:r>
          </w:p>
        </w:tc>
        <w:tc>
          <w:tcPr>
            <w:tcW w:w="1486" w:type="dxa"/>
          </w:tcPr>
          <w:p w:rsidR="00D849AA" w:rsidRDefault="00EE6D95">
            <w:r>
              <w:t>4.871.970</w:t>
            </w:r>
          </w:p>
        </w:tc>
        <w:tc>
          <w:tcPr>
            <w:tcW w:w="1486" w:type="dxa"/>
          </w:tcPr>
          <w:p w:rsidR="00D849AA" w:rsidRDefault="00EE6D95">
            <w:r>
              <w:t>107,5</w:t>
            </w:r>
          </w:p>
        </w:tc>
      </w:tr>
    </w:tbl>
    <w:p w:rsidR="00D849AA" w:rsidRDefault="00D849AA">
      <w:pPr>
        <w:jc w:val="left"/>
      </w:pPr>
    </w:p>
    <w:p w:rsidR="00D849AA" w:rsidRDefault="00EE6D95">
      <w:pPr>
        <w:pStyle w:val="Naslov6"/>
      </w:pPr>
      <w:r>
        <w:lastRenderedPageBreak/>
        <w:t>Opis programa</w:t>
      </w:r>
    </w:p>
    <w:p w:rsidR="00D849AA" w:rsidRDefault="00EE6D95">
      <w:pPr>
        <w:pStyle w:val="Normal5"/>
      </w:pPr>
      <w:r>
        <w:t>Ovim Programom  obuhvaćene su aktivnosti  financiranja redovnog rada HAH-a    te  izrade znanstvenih projekata i znanstvenih studija koji su neophodni za pružanje  transparentnih i neovisnih znanstvenih savjeta i mišljenja u svrhu znanstvene i stručne potpore povezane s rizicima hrane u RH.</w:t>
      </w:r>
    </w:p>
    <w:p w:rsidR="00D849AA" w:rsidRDefault="00EE6D95">
      <w:pPr>
        <w:pStyle w:val="Naslov6"/>
      </w:pPr>
      <w:r>
        <w:t>Zakonske i druge pravne osnove</w:t>
      </w:r>
    </w:p>
    <w:p w:rsidR="00D849AA" w:rsidRDefault="00EE6D95">
      <w:pPr>
        <w:pStyle w:val="Normal5"/>
      </w:pPr>
      <w:r>
        <w:t>Zakon o hrani (NN 81/13)</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Cilj 1. Uspostavljanje nacionalne baze podataka o prehrambenim navikama</w:t>
      </w:r>
    </w:p>
    <w:p w:rsidR="00D849AA" w:rsidRDefault="00EE6D95">
      <w:pPr>
        <w:pStyle w:val="Normal6"/>
      </w:pPr>
      <w:r>
        <w:t>U cilju unapređenja procjene rizika u području sigurnosti hrane, prehrambene navike  predstavljaju osnovu za njenu provedbu. Korist od ovakve baze podataka je višeznačna, kako za HAH u obavljanju svoje glavne djelatnosti, tako i za širu zajednicu i sve sudionike u sustavu sigurnosti hrane.</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Broj provedenih ispitivanja na određenim ciljanim skupinama</w:t>
            </w:r>
          </w:p>
        </w:tc>
        <w:tc>
          <w:tcPr>
            <w:tcW w:w="1114" w:type="dxa"/>
          </w:tcPr>
          <w:p w:rsidR="00D849AA" w:rsidRDefault="00EE6D95">
            <w:r>
              <w:t>Broj</w:t>
            </w:r>
          </w:p>
        </w:tc>
        <w:tc>
          <w:tcPr>
            <w:tcW w:w="1114" w:type="dxa"/>
          </w:tcPr>
          <w:p w:rsidR="00D849AA" w:rsidRDefault="00EE6D95">
            <w:r>
              <w:t>0</w:t>
            </w:r>
          </w:p>
        </w:tc>
        <w:tc>
          <w:tcPr>
            <w:tcW w:w="1486" w:type="dxa"/>
          </w:tcPr>
          <w:p w:rsidR="00D849AA" w:rsidRDefault="00EE6D95">
            <w:r>
              <w:t>3</w:t>
            </w:r>
          </w:p>
        </w:tc>
        <w:tc>
          <w:tcPr>
            <w:tcW w:w="1486" w:type="dxa"/>
          </w:tcPr>
          <w:p w:rsidR="00D849AA" w:rsidRDefault="00EE6D95">
            <w:r>
              <w:t>4</w:t>
            </w:r>
          </w:p>
        </w:tc>
        <w:tc>
          <w:tcPr>
            <w:tcW w:w="1486" w:type="dxa"/>
          </w:tcPr>
          <w:p w:rsidR="00D849AA" w:rsidRDefault="00EE6D95">
            <w:r>
              <w:t>5</w:t>
            </w:r>
          </w:p>
        </w:tc>
      </w:tr>
    </w:tbl>
    <w:p w:rsidR="00D849AA" w:rsidRDefault="00D849AA">
      <w:pPr>
        <w:jc w:val="left"/>
      </w:pPr>
    </w:p>
    <w:p w:rsidR="00D849AA" w:rsidRDefault="00EE6D95">
      <w:pPr>
        <w:pStyle w:val="Naslov7"/>
      </w:pPr>
      <w:r>
        <w:t>Cilj 2. Utvrđivanje štetnih tvari u hrani i hrani za životinje</w:t>
      </w:r>
    </w:p>
    <w:p w:rsidR="00D849AA" w:rsidRDefault="00EE6D95">
      <w:pPr>
        <w:pStyle w:val="Normal6"/>
      </w:pPr>
      <w:r>
        <w:t>HAH ima jasne smjernice djelovanja uključujući sve teme koje imaju izravan ili neizravan utjecaj na sigurnost hrane i hrane za životinje kao i zaštitu bilja te zdravlje i dobrobit životinja. Kako bi HAH mogla predstavljati neovisno tijelo za znanstvenu procjenu rizika u hrani i neovisan izvor savjeta, nužno je osigurati rezultate službenih kontrola te rezultate monitoringa, kao i znanstvenih studija realiziranih kroz mrežu institucija definiranu Pravilnikom o pravilima uspostave nacionalne mreže institucija u području sigurnosti hrane i hrane za životinje (NN 43/10) te Pravilnikom o izdavanju znanstvenog mišljenja i pružanju znanstvene i tehničke potpore (NN 130/09).</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Broj rezultata službenih kontrola, broj rezultata monitoringa i broj znanstveno stručnih istraživanja</w:t>
            </w:r>
          </w:p>
        </w:tc>
        <w:tc>
          <w:tcPr>
            <w:tcW w:w="1114" w:type="dxa"/>
          </w:tcPr>
          <w:p w:rsidR="00D849AA" w:rsidRDefault="00EE6D95">
            <w:r>
              <w:t>Broj</w:t>
            </w:r>
          </w:p>
        </w:tc>
        <w:tc>
          <w:tcPr>
            <w:tcW w:w="1114" w:type="dxa"/>
          </w:tcPr>
          <w:p w:rsidR="00D849AA" w:rsidRDefault="00EE6D95">
            <w:r>
              <w:t>4</w:t>
            </w:r>
          </w:p>
        </w:tc>
        <w:tc>
          <w:tcPr>
            <w:tcW w:w="1486" w:type="dxa"/>
          </w:tcPr>
          <w:p w:rsidR="00D849AA" w:rsidRDefault="00EE6D95">
            <w:r>
              <w:t>18</w:t>
            </w:r>
          </w:p>
        </w:tc>
        <w:tc>
          <w:tcPr>
            <w:tcW w:w="1486" w:type="dxa"/>
          </w:tcPr>
          <w:p w:rsidR="00D849AA" w:rsidRDefault="00EE6D95">
            <w:r>
              <w:t>21</w:t>
            </w:r>
          </w:p>
        </w:tc>
        <w:tc>
          <w:tcPr>
            <w:tcW w:w="1486" w:type="dxa"/>
          </w:tcPr>
          <w:p w:rsidR="00D849AA" w:rsidRDefault="00EE6D95">
            <w:r>
              <w:t>24</w:t>
            </w:r>
          </w:p>
        </w:tc>
      </w:tr>
    </w:tbl>
    <w:p w:rsidR="00D849AA" w:rsidRDefault="00EE6D95">
      <w:pPr>
        <w:pStyle w:val="Naslov7"/>
      </w:pPr>
      <w:r>
        <w:lastRenderedPageBreak/>
        <w:t>Cilj 3. Unaprijeđenje procesa pružanja znanstvene i tehničke potpore za pripremu i usvajanje mjera RH u području sigurnosti hrane i prehrane ljudi</w:t>
      </w:r>
    </w:p>
    <w:p w:rsidR="00D849AA" w:rsidRDefault="00EE6D95">
      <w:pPr>
        <w:pStyle w:val="Normal6"/>
      </w:pPr>
      <w:r>
        <w:t xml:space="preserve">Uzimajući u obzir Pravilnik o izdavanju znanstvenog mišljenja i pružanju znanstvene i tehničke potpore, HAH ima zadatak donositi znanstvene dokumente na zahtjev nadležnog tijela, ali i na vlastitu inicijativu. U okviru toga, a u ovisnosti o rezultatima istraživanja vezano uz štetne tvari u hrani i hrani za životinje, rezultati istraživanja prehrambenih navika i sastava hrane, rezultati službenih kontrola i monitoringa, HAH je u mogućnosti dati potpunija znanstvena mišljenja te znanstvene i tehničke potpore nadležnom tijelu. </w:t>
      </w:r>
    </w:p>
    <w:p w:rsidR="00D849AA" w:rsidRDefault="00EE6D95">
      <w:pPr>
        <w:pStyle w:val="Normal6"/>
      </w:pPr>
      <w:r>
        <w:t>U okviru zadataka predviđenih Akcijskim planom za hranu i prehranu  predviđeno je intenziviranje aktivnosti u suradnji sa Ministarstvom zdravlja, Hrvatskim zavodom za javno zdravstvo te ostalim dionicima sustava sigurnosti hrane.</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Broj izlaznih dokumenata u obliku znanstvenih mišljenja i stručne ili tehničke pomoći</w:t>
            </w:r>
          </w:p>
        </w:tc>
        <w:tc>
          <w:tcPr>
            <w:tcW w:w="1114" w:type="dxa"/>
          </w:tcPr>
          <w:p w:rsidR="00D849AA" w:rsidRDefault="00EE6D95">
            <w:r>
              <w:t>Broj</w:t>
            </w:r>
          </w:p>
        </w:tc>
        <w:tc>
          <w:tcPr>
            <w:tcW w:w="1114" w:type="dxa"/>
          </w:tcPr>
          <w:p w:rsidR="00D849AA" w:rsidRDefault="00EE6D95">
            <w:r>
              <w:t>35</w:t>
            </w:r>
          </w:p>
        </w:tc>
        <w:tc>
          <w:tcPr>
            <w:tcW w:w="1486" w:type="dxa"/>
          </w:tcPr>
          <w:p w:rsidR="00D849AA" w:rsidRDefault="00EE6D95">
            <w:r>
              <w:t>80</w:t>
            </w:r>
          </w:p>
        </w:tc>
        <w:tc>
          <w:tcPr>
            <w:tcW w:w="1486" w:type="dxa"/>
          </w:tcPr>
          <w:p w:rsidR="00D849AA" w:rsidRDefault="00EE6D95">
            <w:r>
              <w:t>90</w:t>
            </w:r>
          </w:p>
        </w:tc>
        <w:tc>
          <w:tcPr>
            <w:tcW w:w="1486" w:type="dxa"/>
          </w:tcPr>
          <w:p w:rsidR="00D849AA" w:rsidRDefault="00EE6D95">
            <w:r>
              <w:t>100</w:t>
            </w:r>
          </w:p>
        </w:tc>
      </w:tr>
      <w:tr w:rsidR="00D849AA">
        <w:trPr>
          <w:jc w:val="center"/>
        </w:trPr>
        <w:tc>
          <w:tcPr>
            <w:tcW w:w="2229" w:type="dxa"/>
          </w:tcPr>
          <w:p w:rsidR="00D849AA" w:rsidRDefault="00EE6D95">
            <w:pPr>
              <w:pStyle w:val="CellColumn"/>
            </w:pPr>
            <w:r>
              <w:t>Znanstvena i stručna potpora</w:t>
            </w:r>
          </w:p>
        </w:tc>
        <w:tc>
          <w:tcPr>
            <w:tcW w:w="1114" w:type="dxa"/>
          </w:tcPr>
          <w:p w:rsidR="00D849AA" w:rsidRDefault="00EE6D95">
            <w:r>
              <w:t>Broj</w:t>
            </w:r>
          </w:p>
        </w:tc>
        <w:tc>
          <w:tcPr>
            <w:tcW w:w="1114" w:type="dxa"/>
          </w:tcPr>
          <w:p w:rsidR="00D849AA" w:rsidRDefault="00EE6D95">
            <w:r>
              <w:t>0</w:t>
            </w:r>
          </w:p>
        </w:tc>
        <w:tc>
          <w:tcPr>
            <w:tcW w:w="1486" w:type="dxa"/>
          </w:tcPr>
          <w:p w:rsidR="00D849AA" w:rsidRDefault="00EE6D95">
            <w:r>
              <w:t>4</w:t>
            </w:r>
          </w:p>
        </w:tc>
        <w:tc>
          <w:tcPr>
            <w:tcW w:w="1486" w:type="dxa"/>
          </w:tcPr>
          <w:p w:rsidR="00D849AA" w:rsidRDefault="00EE6D95">
            <w:r>
              <w:t>5</w:t>
            </w:r>
          </w:p>
        </w:tc>
        <w:tc>
          <w:tcPr>
            <w:tcW w:w="1486" w:type="dxa"/>
          </w:tcPr>
          <w:p w:rsidR="00D849AA" w:rsidRDefault="00EE6D95">
            <w:r>
              <w:t>6</w:t>
            </w:r>
          </w:p>
        </w:tc>
      </w:tr>
    </w:tbl>
    <w:p w:rsidR="00D849AA" w:rsidRDefault="00D849AA">
      <w:pPr>
        <w:jc w:val="left"/>
      </w:pPr>
    </w:p>
    <w:p w:rsidR="00D849AA" w:rsidRDefault="00EE6D95">
      <w:pPr>
        <w:pStyle w:val="Naslov7"/>
      </w:pPr>
      <w:r>
        <w:t>Cilj 4. Jačanje komunikacije i dijaloga</w:t>
      </w:r>
    </w:p>
    <w:p w:rsidR="00D849AA" w:rsidRDefault="00EE6D95">
      <w:pPr>
        <w:pStyle w:val="Normal6"/>
      </w:pPr>
      <w:r>
        <w:t>Kontinuiranim radom na unapređivanju dijaloga sa zainteresiranim stranama i stalnim kontaktima sa komunikatorima i upraviteljima rizika u RH i procjeniteljima rizika u zemljama članicama EU, ali i drugim zainteresiranim stranama HAH ima za cilj osigurati pravovremene i relevantne informacije na svim područjima svoga rada. U tom smislu publicirat će stručne i popularne materijale vezane uz rizike porijeklom iz hrane, a namijenjene ciljanim skupinama potrošača kao i proizvođačima hrane.</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Broj pisanih materijala potrebnih za edukaciju potrošača i proizvođača vezano uz rizike porijeklom od hrane i hrane za životinje</w:t>
            </w:r>
          </w:p>
        </w:tc>
        <w:tc>
          <w:tcPr>
            <w:tcW w:w="1114" w:type="dxa"/>
          </w:tcPr>
          <w:p w:rsidR="00D849AA" w:rsidRDefault="00EE6D95">
            <w:r>
              <w:t>Broj</w:t>
            </w:r>
          </w:p>
        </w:tc>
        <w:tc>
          <w:tcPr>
            <w:tcW w:w="1114" w:type="dxa"/>
          </w:tcPr>
          <w:p w:rsidR="00D849AA" w:rsidRDefault="00EE6D95">
            <w:r>
              <w:t>12</w:t>
            </w:r>
          </w:p>
        </w:tc>
        <w:tc>
          <w:tcPr>
            <w:tcW w:w="1486" w:type="dxa"/>
          </w:tcPr>
          <w:p w:rsidR="00D849AA" w:rsidRDefault="00EE6D95">
            <w:r>
              <w:t>24</w:t>
            </w:r>
          </w:p>
        </w:tc>
        <w:tc>
          <w:tcPr>
            <w:tcW w:w="1486" w:type="dxa"/>
          </w:tcPr>
          <w:p w:rsidR="00D849AA" w:rsidRDefault="00EE6D95">
            <w:r>
              <w:t>27</w:t>
            </w:r>
          </w:p>
        </w:tc>
        <w:tc>
          <w:tcPr>
            <w:tcW w:w="1486" w:type="dxa"/>
          </w:tcPr>
          <w:p w:rsidR="00D849AA" w:rsidRDefault="00EE6D95">
            <w:r>
              <w:t>30</w:t>
            </w:r>
          </w:p>
        </w:tc>
      </w:tr>
      <w:tr w:rsidR="00D849AA">
        <w:trPr>
          <w:jc w:val="center"/>
        </w:trPr>
        <w:tc>
          <w:tcPr>
            <w:tcW w:w="2229" w:type="dxa"/>
          </w:tcPr>
          <w:p w:rsidR="00D849AA" w:rsidRDefault="00EE6D95">
            <w:pPr>
              <w:pStyle w:val="CellColumn"/>
            </w:pPr>
            <w:r>
              <w:t>Broj organiziranih seminara na području sigurnosti hrane</w:t>
            </w:r>
          </w:p>
        </w:tc>
        <w:tc>
          <w:tcPr>
            <w:tcW w:w="1114" w:type="dxa"/>
          </w:tcPr>
          <w:p w:rsidR="00D849AA" w:rsidRDefault="00EE6D95">
            <w:r>
              <w:t>Broj</w:t>
            </w:r>
          </w:p>
        </w:tc>
        <w:tc>
          <w:tcPr>
            <w:tcW w:w="1114" w:type="dxa"/>
          </w:tcPr>
          <w:p w:rsidR="00D849AA" w:rsidRDefault="00EE6D95">
            <w:r>
              <w:t>6</w:t>
            </w:r>
          </w:p>
        </w:tc>
        <w:tc>
          <w:tcPr>
            <w:tcW w:w="1486" w:type="dxa"/>
          </w:tcPr>
          <w:p w:rsidR="00D849AA" w:rsidRDefault="00EE6D95">
            <w:r>
              <w:t>14</w:t>
            </w:r>
          </w:p>
        </w:tc>
        <w:tc>
          <w:tcPr>
            <w:tcW w:w="1486" w:type="dxa"/>
          </w:tcPr>
          <w:p w:rsidR="00D849AA" w:rsidRDefault="00EE6D95">
            <w:r>
              <w:t>15</w:t>
            </w:r>
          </w:p>
        </w:tc>
        <w:tc>
          <w:tcPr>
            <w:tcW w:w="1486" w:type="dxa"/>
          </w:tcPr>
          <w:p w:rsidR="00D849AA" w:rsidRDefault="00EE6D95">
            <w:r>
              <w:t>16</w:t>
            </w:r>
          </w:p>
        </w:tc>
      </w:tr>
    </w:tbl>
    <w:p w:rsidR="00D849AA" w:rsidRDefault="00EE6D95">
      <w:pPr>
        <w:pStyle w:val="Naslov5"/>
      </w:pPr>
      <w:r>
        <w:lastRenderedPageBreak/>
        <w:t>Procjena i ishodište potrebnih sredstava za značajnije aktivnosti/projekte</w:t>
      </w:r>
    </w:p>
    <w:p w:rsidR="00D849AA" w:rsidRDefault="00EE6D95">
      <w:pPr>
        <w:pStyle w:val="Naslov6"/>
      </w:pPr>
      <w:r>
        <w:t>A815001 ADMINISTRACIJA I UPRAVLJANJE HRVATSKE AGENCIJE ZA HRANU</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A815001</w:t>
            </w:r>
          </w:p>
        </w:tc>
        <w:tc>
          <w:tcPr>
            <w:tcW w:w="1486" w:type="dxa"/>
          </w:tcPr>
          <w:p w:rsidR="00D849AA" w:rsidRDefault="00EE6D95">
            <w:r>
              <w:t>4.152.820</w:t>
            </w:r>
          </w:p>
        </w:tc>
        <w:tc>
          <w:tcPr>
            <w:tcW w:w="1486" w:type="dxa"/>
          </w:tcPr>
          <w:p w:rsidR="00D849AA" w:rsidRDefault="00EE6D95">
            <w:r>
              <w:t>4.232.820</w:t>
            </w:r>
          </w:p>
        </w:tc>
        <w:tc>
          <w:tcPr>
            <w:tcW w:w="1486" w:type="dxa"/>
          </w:tcPr>
          <w:p w:rsidR="00D849AA" w:rsidRDefault="00EE6D95">
            <w:r>
              <w:t>4.794.470</w:t>
            </w:r>
          </w:p>
        </w:tc>
        <w:tc>
          <w:tcPr>
            <w:tcW w:w="1486" w:type="dxa"/>
          </w:tcPr>
          <w:p w:rsidR="00D849AA" w:rsidRDefault="00EE6D95">
            <w:r>
              <w:t>4.788.470</w:t>
            </w:r>
          </w:p>
        </w:tc>
        <w:tc>
          <w:tcPr>
            <w:tcW w:w="1486" w:type="dxa"/>
          </w:tcPr>
          <w:p w:rsidR="00D849AA" w:rsidRDefault="00EE6D95">
            <w:r>
              <w:t>101,9</w:t>
            </w:r>
          </w:p>
        </w:tc>
      </w:tr>
    </w:tbl>
    <w:p w:rsidR="00D849AA" w:rsidRDefault="00D849AA">
      <w:pPr>
        <w:jc w:val="left"/>
      </w:pPr>
    </w:p>
    <w:p w:rsidR="00D849AA" w:rsidRDefault="00EE6D95">
      <w:pPr>
        <w:pStyle w:val="Normal6"/>
      </w:pPr>
      <w:r>
        <w:t>Ovim Programom  obuhvaćeni su troškovi za plaće zaposlenih, stručno usavršavanje zaposlenih, te troškovi redovnog poslovanja HAH-a, kao i aktivnosti poput izrade znanstvenih projekata i znanstvenih studija koji su neophodni za pružanje transparentnih i neovisnih znanstvenih savjeta i mišljenja u svrhu znanstvene i stručne potpore povezane s rizicima hrane u RH.</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Broj zaposlenika; redovno uredsko poslovanje; rad predstavničkih tijela</w:t>
            </w:r>
          </w:p>
        </w:tc>
        <w:tc>
          <w:tcPr>
            <w:tcW w:w="1114" w:type="dxa"/>
          </w:tcPr>
          <w:p w:rsidR="00D849AA" w:rsidRDefault="00EE6D95">
            <w:r>
              <w:t>Broj</w:t>
            </w:r>
          </w:p>
        </w:tc>
        <w:tc>
          <w:tcPr>
            <w:tcW w:w="1114" w:type="dxa"/>
          </w:tcPr>
          <w:p w:rsidR="00D849AA" w:rsidRDefault="00EE6D95">
            <w:r>
              <w:t>21</w:t>
            </w:r>
          </w:p>
        </w:tc>
        <w:tc>
          <w:tcPr>
            <w:tcW w:w="1486" w:type="dxa"/>
          </w:tcPr>
          <w:p w:rsidR="00D849AA" w:rsidRDefault="00EE6D95">
            <w:r>
              <w:t>33</w:t>
            </w:r>
          </w:p>
        </w:tc>
        <w:tc>
          <w:tcPr>
            <w:tcW w:w="1486" w:type="dxa"/>
          </w:tcPr>
          <w:p w:rsidR="00D849AA" w:rsidRDefault="00EE6D95">
            <w:r>
              <w:t>33</w:t>
            </w:r>
          </w:p>
        </w:tc>
        <w:tc>
          <w:tcPr>
            <w:tcW w:w="1486" w:type="dxa"/>
          </w:tcPr>
          <w:p w:rsidR="00D849AA" w:rsidRDefault="00EE6D95">
            <w:r>
              <w:t>33</w:t>
            </w:r>
          </w:p>
        </w:tc>
      </w:tr>
    </w:tbl>
    <w:p w:rsidR="00D849AA" w:rsidRDefault="00D849AA">
      <w:pPr>
        <w:jc w:val="left"/>
      </w:pPr>
    </w:p>
    <w:p w:rsidR="00D849AA" w:rsidRDefault="00EE6D95">
      <w:pPr>
        <w:pStyle w:val="Naslov6"/>
      </w:pPr>
      <w:r>
        <w:t>K815000 OPREMANJE HRVATSKE AGENCIJE ZA HRANU</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K815000</w:t>
            </w:r>
          </w:p>
        </w:tc>
        <w:tc>
          <w:tcPr>
            <w:tcW w:w="1486" w:type="dxa"/>
          </w:tcPr>
          <w:p w:rsidR="00D849AA" w:rsidRDefault="00EE6D95">
            <w:r>
              <w:t>47.500</w:t>
            </w:r>
          </w:p>
        </w:tc>
        <w:tc>
          <w:tcPr>
            <w:tcW w:w="1486" w:type="dxa"/>
          </w:tcPr>
          <w:p w:rsidR="00D849AA" w:rsidRDefault="00EE6D95">
            <w:r>
              <w:t>56.500</w:t>
            </w:r>
          </w:p>
        </w:tc>
        <w:tc>
          <w:tcPr>
            <w:tcW w:w="1486" w:type="dxa"/>
          </w:tcPr>
          <w:p w:rsidR="00D849AA" w:rsidRDefault="00EE6D95">
            <w:r>
              <w:t>76.000</w:t>
            </w:r>
          </w:p>
        </w:tc>
        <w:tc>
          <w:tcPr>
            <w:tcW w:w="1486" w:type="dxa"/>
          </w:tcPr>
          <w:p w:rsidR="00D849AA" w:rsidRDefault="00EE6D95">
            <w:r>
              <w:t>76.000</w:t>
            </w:r>
          </w:p>
        </w:tc>
        <w:tc>
          <w:tcPr>
            <w:tcW w:w="1486" w:type="dxa"/>
          </w:tcPr>
          <w:p w:rsidR="00D849AA" w:rsidRDefault="00EE6D95">
            <w:r>
              <w:t>118,9</w:t>
            </w:r>
          </w:p>
        </w:tc>
      </w:tr>
    </w:tbl>
    <w:p w:rsidR="00D849AA" w:rsidRDefault="00D849AA">
      <w:pPr>
        <w:jc w:val="left"/>
      </w:pPr>
    </w:p>
    <w:p w:rsidR="00D849AA" w:rsidRDefault="00EE6D95">
      <w:pPr>
        <w:pStyle w:val="Normal6"/>
      </w:pPr>
      <w:r>
        <w:t>Ova aktivnost podrazumijeva opremanje tehničkom opremom i licencama potrebnim za obavljanje redovitih aktivnosti Agencije. Radi dotrajalosti starih službenih automobila planira se nabava novih automobila u 2014. g.</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Broj nabavljene tehničke opreme</w:t>
            </w:r>
          </w:p>
        </w:tc>
        <w:tc>
          <w:tcPr>
            <w:tcW w:w="1114" w:type="dxa"/>
          </w:tcPr>
          <w:p w:rsidR="00D849AA" w:rsidRDefault="00EE6D95">
            <w:r>
              <w:t>Broj</w:t>
            </w:r>
          </w:p>
        </w:tc>
        <w:tc>
          <w:tcPr>
            <w:tcW w:w="1114" w:type="dxa"/>
          </w:tcPr>
          <w:p w:rsidR="00D849AA" w:rsidRDefault="00EE6D95">
            <w:r>
              <w:t>21</w:t>
            </w:r>
          </w:p>
        </w:tc>
        <w:tc>
          <w:tcPr>
            <w:tcW w:w="1486" w:type="dxa"/>
          </w:tcPr>
          <w:p w:rsidR="00D849AA" w:rsidRDefault="00EE6D95">
            <w:r>
              <w:t>33</w:t>
            </w:r>
          </w:p>
        </w:tc>
        <w:tc>
          <w:tcPr>
            <w:tcW w:w="1486" w:type="dxa"/>
          </w:tcPr>
          <w:p w:rsidR="00D849AA" w:rsidRDefault="00EE6D95">
            <w:r>
              <w:t>33</w:t>
            </w:r>
          </w:p>
        </w:tc>
        <w:tc>
          <w:tcPr>
            <w:tcW w:w="1486" w:type="dxa"/>
          </w:tcPr>
          <w:p w:rsidR="00D849AA" w:rsidRDefault="00EE6D95">
            <w:r>
              <w:t>33</w:t>
            </w:r>
          </w:p>
        </w:tc>
      </w:tr>
      <w:tr w:rsidR="00D849AA">
        <w:trPr>
          <w:jc w:val="center"/>
        </w:trPr>
        <w:tc>
          <w:tcPr>
            <w:tcW w:w="2229" w:type="dxa"/>
          </w:tcPr>
          <w:p w:rsidR="00D849AA" w:rsidRDefault="00EE6D95">
            <w:pPr>
              <w:pStyle w:val="CellColumn"/>
            </w:pPr>
            <w:r>
              <w:t>novi prostor i opremanje</w:t>
            </w:r>
          </w:p>
        </w:tc>
        <w:tc>
          <w:tcPr>
            <w:tcW w:w="1114" w:type="dxa"/>
          </w:tcPr>
          <w:p w:rsidR="00D849AA" w:rsidRDefault="00EE6D95">
            <w:r>
              <w:t>Broj</w:t>
            </w:r>
          </w:p>
        </w:tc>
        <w:tc>
          <w:tcPr>
            <w:tcW w:w="1114" w:type="dxa"/>
          </w:tcPr>
          <w:p w:rsidR="00D849AA" w:rsidRDefault="00EE6D95">
            <w:r>
              <w:t>300</w:t>
            </w:r>
          </w:p>
        </w:tc>
        <w:tc>
          <w:tcPr>
            <w:tcW w:w="1486" w:type="dxa"/>
          </w:tcPr>
          <w:p w:rsidR="00D849AA" w:rsidRDefault="00EE6D95">
            <w:r>
              <w:t>600</w:t>
            </w:r>
          </w:p>
        </w:tc>
        <w:tc>
          <w:tcPr>
            <w:tcW w:w="1486" w:type="dxa"/>
          </w:tcPr>
          <w:p w:rsidR="00D849AA" w:rsidRDefault="00EE6D95">
            <w:r>
              <w:t>600</w:t>
            </w:r>
          </w:p>
        </w:tc>
        <w:tc>
          <w:tcPr>
            <w:tcW w:w="1486" w:type="dxa"/>
          </w:tcPr>
          <w:p w:rsidR="00D849AA" w:rsidRDefault="00EE6D95">
            <w:r>
              <w:t>600</w:t>
            </w:r>
          </w:p>
        </w:tc>
      </w:tr>
      <w:tr w:rsidR="00D849AA">
        <w:trPr>
          <w:jc w:val="center"/>
        </w:trPr>
        <w:tc>
          <w:tcPr>
            <w:tcW w:w="2229" w:type="dxa"/>
          </w:tcPr>
          <w:p w:rsidR="00D849AA" w:rsidRDefault="00EE6D95">
            <w:pPr>
              <w:pStyle w:val="CellColumn"/>
            </w:pPr>
            <w:r>
              <w:t>obnova voznog parka</w:t>
            </w:r>
          </w:p>
        </w:tc>
        <w:tc>
          <w:tcPr>
            <w:tcW w:w="1114" w:type="dxa"/>
          </w:tcPr>
          <w:p w:rsidR="00D849AA" w:rsidRDefault="00EE6D95">
            <w:r>
              <w:t>Broj</w:t>
            </w:r>
          </w:p>
        </w:tc>
        <w:tc>
          <w:tcPr>
            <w:tcW w:w="1114" w:type="dxa"/>
          </w:tcPr>
          <w:p w:rsidR="00D849AA" w:rsidRDefault="00EE6D95">
            <w:r>
              <w:t>2</w:t>
            </w:r>
          </w:p>
        </w:tc>
        <w:tc>
          <w:tcPr>
            <w:tcW w:w="1486" w:type="dxa"/>
          </w:tcPr>
          <w:p w:rsidR="00D849AA" w:rsidRDefault="00EE6D95">
            <w:r>
              <w:t>2</w:t>
            </w:r>
          </w:p>
        </w:tc>
        <w:tc>
          <w:tcPr>
            <w:tcW w:w="1486" w:type="dxa"/>
          </w:tcPr>
          <w:p w:rsidR="00D849AA" w:rsidRDefault="00EE6D95">
            <w:r>
              <w:t>2</w:t>
            </w:r>
          </w:p>
        </w:tc>
        <w:tc>
          <w:tcPr>
            <w:tcW w:w="1486" w:type="dxa"/>
          </w:tcPr>
          <w:p w:rsidR="00D849AA" w:rsidRDefault="00EE6D95">
            <w:r>
              <w:t>2</w:t>
            </w:r>
          </w:p>
        </w:tc>
      </w:tr>
    </w:tbl>
    <w:p w:rsidR="00D849AA" w:rsidRDefault="00D849AA">
      <w:pPr>
        <w:jc w:val="left"/>
      </w:pPr>
    </w:p>
    <w:p w:rsidR="00D849AA" w:rsidRDefault="00EE6D95">
      <w:pPr>
        <w:pStyle w:val="Naslov6"/>
      </w:pPr>
      <w:r>
        <w:lastRenderedPageBreak/>
        <w:t>K815006 UKUPNA PREHRAMBENA STUDIJA - FP7</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K815006</w:t>
            </w:r>
          </w:p>
        </w:tc>
        <w:tc>
          <w:tcPr>
            <w:tcW w:w="1486" w:type="dxa"/>
          </w:tcPr>
          <w:p w:rsidR="00D849AA" w:rsidRDefault="00EE6D95">
            <w:r>
              <w:t>30.400</w:t>
            </w:r>
          </w:p>
        </w:tc>
        <w:tc>
          <w:tcPr>
            <w:tcW w:w="1486" w:type="dxa"/>
          </w:tcPr>
          <w:p w:rsidR="00D849AA" w:rsidRDefault="00EE6D95">
            <w:r>
              <w:t>72.000</w:t>
            </w:r>
          </w:p>
        </w:tc>
        <w:tc>
          <w:tcPr>
            <w:tcW w:w="1486" w:type="dxa"/>
          </w:tcPr>
          <w:p w:rsidR="00D849AA" w:rsidRDefault="00EE6D95">
            <w:r>
              <w:t>25.932</w:t>
            </w:r>
          </w:p>
        </w:tc>
        <w:tc>
          <w:tcPr>
            <w:tcW w:w="1486" w:type="dxa"/>
          </w:tcPr>
          <w:p w:rsidR="00D849AA" w:rsidRDefault="00EE6D95">
            <w:r>
              <w:t>7.500</w:t>
            </w:r>
          </w:p>
        </w:tc>
        <w:tc>
          <w:tcPr>
            <w:tcW w:w="1486" w:type="dxa"/>
          </w:tcPr>
          <w:p w:rsidR="00D849AA" w:rsidRDefault="00EE6D95">
            <w:r>
              <w:t>236,8</w:t>
            </w:r>
          </w:p>
        </w:tc>
      </w:tr>
    </w:tbl>
    <w:p w:rsidR="00D849AA" w:rsidRDefault="00D849AA">
      <w:pPr>
        <w:jc w:val="left"/>
      </w:pPr>
    </w:p>
    <w:p w:rsidR="00D849AA" w:rsidRDefault="00EE6D95">
      <w:pPr>
        <w:pStyle w:val="Normal6"/>
      </w:pPr>
      <w:r>
        <w:t xml:space="preserve">Total Diet Study (TDS) podrazumijeva ukupnu izloženost kontaminantima porijeklom iz hrane u onom obliku u kojem se hrana konzumira, (ne podrazumijeva sirove namirnice, osim onih koje se u tom obliku konzumiraju), a sve u svrhu dobivanja podataka o stvarnoj  izloženosti svim kontaminantima porijeklom iz prehrane. </w:t>
      </w:r>
    </w:p>
    <w:p w:rsidR="00D849AA" w:rsidRDefault="00EE6D95">
      <w:pPr>
        <w:pStyle w:val="Normal6"/>
      </w:pPr>
      <w:r>
        <w:t xml:space="preserve">Ciljevi projekta: </w:t>
      </w:r>
    </w:p>
    <w:p w:rsidR="00D849AA" w:rsidRDefault="00EE6D95">
      <w:pPr>
        <w:pStyle w:val="Normal6"/>
      </w:pPr>
      <w:r>
        <w:t xml:space="preserve">1.Identificiranje potrebe za informacijama o izloženosti koje se mogu dobiti putem TDS-a (studija o ukupnoj prehrani) </w:t>
      </w:r>
    </w:p>
    <w:p w:rsidR="00D849AA" w:rsidRDefault="00EE6D95">
      <w:pPr>
        <w:pStyle w:val="Normal6"/>
      </w:pPr>
      <w:r>
        <w:t xml:space="preserve">2.Razvoj TDS-a u Europi </w:t>
      </w:r>
    </w:p>
    <w:p w:rsidR="00D849AA" w:rsidRDefault="00EE6D95">
      <w:pPr>
        <w:pStyle w:val="Normal6"/>
      </w:pPr>
      <w:r>
        <w:t xml:space="preserve">3.Harmonizacija TDS-a </w:t>
      </w:r>
    </w:p>
    <w:p w:rsidR="00D849AA" w:rsidRDefault="00EE6D95">
      <w:pPr>
        <w:pStyle w:val="Normal6"/>
      </w:pPr>
      <w:r>
        <w:t xml:space="preserve">4.Omogućavanje uporabe europske baze podataka o TDS-u procjenjivačima I upravljačima rizikom </w:t>
      </w:r>
    </w:p>
    <w:p w:rsidR="00D849AA" w:rsidRDefault="00EE6D95">
      <w:pPr>
        <w:pStyle w:val="Normal6"/>
      </w:pPr>
      <w:r>
        <w:t>5.Procjena unosa kontaminata kroz ukupnu prehranu</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Stvaranje baze podataka za provođenje TDS-a</w:t>
            </w:r>
          </w:p>
        </w:tc>
        <w:tc>
          <w:tcPr>
            <w:tcW w:w="1114" w:type="dxa"/>
          </w:tcPr>
          <w:p w:rsidR="00D849AA" w:rsidRDefault="00EE6D95">
            <w:r>
              <w:t>Broj</w:t>
            </w:r>
          </w:p>
        </w:tc>
        <w:tc>
          <w:tcPr>
            <w:tcW w:w="1114" w:type="dxa"/>
          </w:tcPr>
          <w:p w:rsidR="00D849AA" w:rsidRDefault="00EE6D95">
            <w:r>
              <w:t>0</w:t>
            </w:r>
          </w:p>
        </w:tc>
        <w:tc>
          <w:tcPr>
            <w:tcW w:w="1486" w:type="dxa"/>
          </w:tcPr>
          <w:p w:rsidR="00D849AA" w:rsidRDefault="00EE6D95">
            <w:r>
              <w:t>3</w:t>
            </w:r>
          </w:p>
        </w:tc>
        <w:tc>
          <w:tcPr>
            <w:tcW w:w="1486" w:type="dxa"/>
          </w:tcPr>
          <w:p w:rsidR="00D849AA" w:rsidRDefault="00EE6D95">
            <w:r>
              <w:t>4</w:t>
            </w:r>
          </w:p>
        </w:tc>
        <w:tc>
          <w:tcPr>
            <w:tcW w:w="1486" w:type="dxa"/>
          </w:tcPr>
          <w:p w:rsidR="00D849AA" w:rsidRDefault="00EE6D95">
            <w:r>
              <w:t>5</w:t>
            </w:r>
          </w:p>
        </w:tc>
      </w:tr>
    </w:tbl>
    <w:p w:rsidR="00D849AA" w:rsidRDefault="00D849AA">
      <w:pPr>
        <w:jc w:val="left"/>
      </w:pPr>
    </w:p>
    <w:p w:rsidR="00D849AA" w:rsidRDefault="00EE6D95">
      <w:pPr>
        <w:pStyle w:val="Naslov6"/>
      </w:pPr>
      <w:r>
        <w:t>T815008 KONTAKTNA TOČKA EUROPSKE AGENCIJE ZA SIGURNOST HRANE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T815008</w:t>
            </w:r>
          </w:p>
        </w:tc>
        <w:tc>
          <w:tcPr>
            <w:tcW w:w="1486" w:type="dxa"/>
          </w:tcPr>
          <w:p w:rsidR="00D849AA" w:rsidRDefault="00EE6D95">
            <w:r>
              <w:t>00</w:t>
            </w:r>
          </w:p>
        </w:tc>
        <w:tc>
          <w:tcPr>
            <w:tcW w:w="1486" w:type="dxa"/>
          </w:tcPr>
          <w:p w:rsidR="00D849AA" w:rsidRDefault="00EE6D95">
            <w:r>
              <w:t>187.500</w:t>
            </w:r>
          </w:p>
        </w:tc>
        <w:tc>
          <w:tcPr>
            <w:tcW w:w="1486" w:type="dxa"/>
          </w:tcPr>
          <w:p w:rsidR="00D849AA" w:rsidRDefault="00EE6D95">
            <w:r>
              <w:t>00</w:t>
            </w:r>
          </w:p>
        </w:tc>
        <w:tc>
          <w:tcPr>
            <w:tcW w:w="1486" w:type="dxa"/>
          </w:tcPr>
          <w:p w:rsidR="00D849AA" w:rsidRDefault="00EE6D95">
            <w:r>
              <w:t>00</w:t>
            </w:r>
          </w:p>
        </w:tc>
        <w:tc>
          <w:tcPr>
            <w:tcW w:w="1486" w:type="dxa"/>
          </w:tcPr>
          <w:p w:rsidR="00D849AA" w:rsidRDefault="00EE6D95">
            <w:r>
              <w:t>0,0</w:t>
            </w:r>
          </w:p>
        </w:tc>
      </w:tr>
    </w:tbl>
    <w:p w:rsidR="00D849AA" w:rsidRDefault="00D849AA">
      <w:pPr>
        <w:jc w:val="left"/>
      </w:pPr>
    </w:p>
    <w:p w:rsidR="00D849AA" w:rsidRDefault="00EE6D95">
      <w:pPr>
        <w:pStyle w:val="Normal6"/>
      </w:pPr>
      <w:r>
        <w:t xml:space="preserve">Focal Point djeluje kao poveznica između Europske agencije za sigurnost hrane (EFSA) i nacionalnih institucija za sigurnost hrane, istraživačkih instituta, potrošača te dionika u zemljama članicama EU. Focal Point mreža se sastoji od članova iz 27 zemalja članica EU, Islanda i Norveške, te promatrača iz Švicarske i pretpristupnih zemalja. Focal Point mreža je svojim aktivnostima značajno doprinijela poboljšanju znanstvene suradnje između EFSA-e i zemalja članica EU.Hrvatska agencija za hranu (HAH) imenovana je 2009. godine kao Focal Point za Hrvatsku.  </w:t>
      </w:r>
    </w:p>
    <w:p w:rsidR="00D849AA" w:rsidRDefault="00EE6D95">
      <w:pPr>
        <w:pStyle w:val="Normal6"/>
      </w:pPr>
      <w:r>
        <w:t xml:space="preserve">Ciljevi aktivnosti: </w:t>
      </w:r>
    </w:p>
    <w:p w:rsidR="00D849AA" w:rsidRDefault="00EE6D95">
      <w:pPr>
        <w:pStyle w:val="Normal6"/>
      </w:pPr>
      <w:r>
        <w:t xml:space="preserve">-osigurati bržu i jednostavniju razmjenu znanstvenih informacija između nacionalnih institucija i EFSA-e, </w:t>
      </w:r>
    </w:p>
    <w:p w:rsidR="00D849AA" w:rsidRDefault="00EE6D95">
      <w:pPr>
        <w:pStyle w:val="Normal6"/>
      </w:pPr>
      <w:r>
        <w:lastRenderedPageBreak/>
        <w:t xml:space="preserve">-podrška aktivnostima koje su određene člankom 36. (EU FoodLaw, 178/02) kojim se određuje uspostava nacionalne mreže institucija sa institutima, fakultetima, laboratorijima, upravljačima rizika, procjeniteljima rizika, dionicima i EFSA-om, </w:t>
      </w:r>
    </w:p>
    <w:p w:rsidR="00D849AA" w:rsidRDefault="00EE6D95">
      <w:pPr>
        <w:pStyle w:val="Normal6"/>
      </w:pPr>
      <w:r>
        <w:t xml:space="preserve">-podrška u popularizaciji EFSA-ine baze podataka o znanstvenicima, </w:t>
      </w:r>
    </w:p>
    <w:p w:rsidR="00D849AA" w:rsidRDefault="00EE6D95">
      <w:pPr>
        <w:pStyle w:val="Normal6"/>
      </w:pPr>
      <w:r>
        <w:t>-podizanje vidljivosti znanstvenog rada i dosega EFSA-e.</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razmjena znanstvenih informacija između nacionalnih institucija i EFSA-e,</w:t>
            </w:r>
          </w:p>
        </w:tc>
        <w:tc>
          <w:tcPr>
            <w:tcW w:w="1114" w:type="dxa"/>
          </w:tcPr>
          <w:p w:rsidR="00D849AA" w:rsidRDefault="00EE6D95">
            <w:r>
              <w:t>Broj</w:t>
            </w:r>
          </w:p>
        </w:tc>
        <w:tc>
          <w:tcPr>
            <w:tcW w:w="1114" w:type="dxa"/>
          </w:tcPr>
          <w:p w:rsidR="00D849AA" w:rsidRDefault="00EE6D95">
            <w:r>
              <w:t>0</w:t>
            </w:r>
          </w:p>
        </w:tc>
        <w:tc>
          <w:tcPr>
            <w:tcW w:w="1486" w:type="dxa"/>
          </w:tcPr>
          <w:p w:rsidR="00D849AA" w:rsidRDefault="00EE6D95">
            <w:r>
              <w:t>3</w:t>
            </w:r>
          </w:p>
        </w:tc>
        <w:tc>
          <w:tcPr>
            <w:tcW w:w="1486" w:type="dxa"/>
          </w:tcPr>
          <w:p w:rsidR="00D849AA" w:rsidRDefault="00EE6D95">
            <w:r>
              <w:t>4</w:t>
            </w:r>
          </w:p>
        </w:tc>
        <w:tc>
          <w:tcPr>
            <w:tcW w:w="1486" w:type="dxa"/>
          </w:tcPr>
          <w:p w:rsidR="00D849AA" w:rsidRDefault="00EE6D95">
            <w:r>
              <w:t>5</w:t>
            </w:r>
          </w:p>
        </w:tc>
      </w:tr>
    </w:tbl>
    <w:p w:rsidR="00D849AA" w:rsidRDefault="00D849AA">
      <w:pPr>
        <w:jc w:val="left"/>
      </w:pPr>
    </w:p>
    <w:p w:rsidR="00D849AA" w:rsidRDefault="00EE6D95">
      <w:pPr>
        <w:pStyle w:val="Naslov2"/>
      </w:pPr>
      <w:r>
        <w:t>06030 Agencija za plaćanja u poljoprivredi, ribarstvu i ruralnom razvoju</w:t>
      </w:r>
    </w:p>
    <w:p w:rsidR="00D849AA" w:rsidRDefault="00EE6D95">
      <w:pPr>
        <w:pStyle w:val="Naslov4"/>
      </w:pPr>
      <w:r>
        <w:t>Uvod</w:t>
      </w:r>
    </w:p>
    <w:p w:rsidR="00D849AA" w:rsidRDefault="00EE6D95">
      <w:pPr>
        <w:pStyle w:val="Normal3"/>
      </w:pPr>
      <w:r>
        <w:t xml:space="preserve">Agencija za plaćanja u poljoprivredi, ribarstvu i ruralnom razvoju je osnovana Zakonom o osnivanju Agencije za plaćanja u poljoprivredi, ribarstvu i ruralnom razvoju (NN 30/09, 56/13) kao javna ustanova radi operativne provedbe mjera tržišne i strukturne potpore u poljoprivredi, ribarstvu i ruralnom razvoju, a započela je s radom danom upisa u sudski registar 18. prosinca 2009. godine. Osnivač Agencije je Republika Hrvatska, a osnivačka prava i dužnosti u ime osnivača obavlja Ministarstvo poljoprivrede.  </w:t>
      </w:r>
    </w:p>
    <w:p w:rsidR="00D849AA" w:rsidRDefault="00EE6D95">
      <w:pPr>
        <w:pStyle w:val="Normal3"/>
      </w:pPr>
      <w:r>
        <w:t xml:space="preserve">Operativna provedba mjera tržišne i strukturne potpore u poljoprivredi, ribarstvu i ruralnom razvoju podrazumjeva zaprimanje zahtjeva poljoprivrednika za potpore, administrativne kontrole zahtjeva, kontrole na terenu, odobravanje zahtjeva i na koncu isplatu potpora. Za navedenu provedbu Agencija je izgradila vrlo složenu informatičku infrastrukturu te uspostavila Integrirani administrativni i kontrolni sustav (IAKS) koji obuhvaća niz standarda i procesa koji su definirani na razini EU kojih su se zemlje članice dužne pridržavati prilikom zaprimanja, obrade, kontrole i praćenja zahtjeva poljoprivrednika za izravna plaćanja, a u svrhu poboljšanja učinkovitosti i nadzora potpore. </w:t>
      </w:r>
    </w:p>
    <w:p w:rsidR="00D849AA" w:rsidRDefault="00EE6D95">
      <w:pPr>
        <w:pStyle w:val="Normal3"/>
      </w:pPr>
      <w:r>
        <w:t xml:space="preserve">Preduvjet za korištenje poljoprivrednih EU fondova je akreditacija Agencije i njenog kontrolnog i upravljačkog sustava, a da bi bila akreditirana Agencija mora imati unutarnje ustrojstvo i sustav unutarnjih kontrola koji je usklađen s kriterijima u pogledu internog okruženja, kontrolnih aktivnosti, informacija i komunikacije te praćenja (nadzora). Agencija  je akreditirana za korištenje sredstava Europskog poljoprivrednog jamstvenog fonda (EAGF) vezano uz provedbu izravnih plaćanja i mjera Zajedničke organizacije tržišta dok se akreditaciju za korištenje sredstava Europskog poljoprivrednog fonda za ruralni razvoj (EAFRD) očekuje u 2014. godini. </w:t>
      </w:r>
    </w:p>
    <w:p w:rsidR="00D849AA" w:rsidRDefault="00EE6D95">
      <w:pPr>
        <w:pStyle w:val="Normal3"/>
      </w:pPr>
      <w:r>
        <w:t xml:space="preserve">Agencija za plaćanja u poljoprivredi, ribarstvu i ruralnom razvoju ima za cilj postati temeljna poveznica između hrvatskih poljoprivrednika i institucija na nacionalnom i europskom nivou koje kroz svoje programe i fondove financiraju razvoj ovog značajnog sektora. </w:t>
      </w:r>
    </w:p>
    <w:p w:rsidR="00D849AA" w:rsidRDefault="00EE6D95">
      <w:pPr>
        <w:pStyle w:val="Normal3"/>
      </w:pPr>
      <w:r>
        <w:t xml:space="preserve">Misija Agencija za plaćanja u poljoprivredi, ribarstvu i ruralnom razvoju je provoditi kontrolne aktivnosti propisane nacionalnim i europskim zakonodavstvom i kroz jasne radne procedure omogućiti našim korisnicima ostvarivanje prava na potporu iz djelokruga poljoprivrede, ribarstva i </w:t>
      </w:r>
      <w:r>
        <w:lastRenderedPageBreak/>
        <w:t>ruralnog razvoja pri tome razvijati konkurentna i napredna poljoprivredna gospodarstva uz očuvanje ruralnog prostora i poboljšanje kvalitete života u ruralnom prostoru.</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06030</w:t>
            </w:r>
          </w:p>
        </w:tc>
        <w:tc>
          <w:tcPr>
            <w:tcW w:w="1486" w:type="dxa"/>
          </w:tcPr>
          <w:p w:rsidR="00D849AA" w:rsidRDefault="00EE6D95">
            <w:r>
              <w:t>146.679.978</w:t>
            </w:r>
          </w:p>
        </w:tc>
        <w:tc>
          <w:tcPr>
            <w:tcW w:w="1486" w:type="dxa"/>
          </w:tcPr>
          <w:p w:rsidR="00D849AA" w:rsidRDefault="00EE6D95">
            <w:r>
              <w:t>141.598.113</w:t>
            </w:r>
          </w:p>
        </w:tc>
        <w:tc>
          <w:tcPr>
            <w:tcW w:w="1486" w:type="dxa"/>
          </w:tcPr>
          <w:p w:rsidR="00D849AA" w:rsidRDefault="00EE6D95">
            <w:r>
              <w:t>150.535.007</w:t>
            </w:r>
          </w:p>
        </w:tc>
        <w:tc>
          <w:tcPr>
            <w:tcW w:w="1486" w:type="dxa"/>
          </w:tcPr>
          <w:p w:rsidR="00D849AA" w:rsidRDefault="00EE6D95">
            <w:r>
              <w:t>145.024.599</w:t>
            </w:r>
          </w:p>
        </w:tc>
        <w:tc>
          <w:tcPr>
            <w:tcW w:w="1486" w:type="dxa"/>
          </w:tcPr>
          <w:p w:rsidR="00D849AA" w:rsidRDefault="00EE6D95">
            <w:r>
              <w:t>96,5</w:t>
            </w:r>
          </w:p>
        </w:tc>
      </w:tr>
    </w:tbl>
    <w:p w:rsidR="00D849AA" w:rsidRDefault="00D849AA">
      <w:pPr>
        <w:jc w:val="left"/>
      </w:pPr>
    </w:p>
    <w:p w:rsidR="00D849AA" w:rsidRDefault="00EE6D95">
      <w:pPr>
        <w:pStyle w:val="Naslov4"/>
      </w:pPr>
      <w:r>
        <w:t>OBRAZLOŽENJE PROGRAMA</w:t>
      </w:r>
    </w:p>
    <w:p w:rsidR="00D849AA" w:rsidRDefault="00EE6D95">
      <w:pPr>
        <w:pStyle w:val="Naslov5"/>
      </w:pPr>
      <w:r>
        <w:t>3001 UPRAVLJANJE POLJOPRIVREDOM, RIBARSTVOM I RURALNIM RAZVOJEM</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3001</w:t>
            </w:r>
          </w:p>
        </w:tc>
        <w:tc>
          <w:tcPr>
            <w:tcW w:w="1486" w:type="dxa"/>
          </w:tcPr>
          <w:p w:rsidR="00D849AA" w:rsidRDefault="00EE6D95">
            <w:r>
              <w:t>116.622.916</w:t>
            </w:r>
          </w:p>
        </w:tc>
        <w:tc>
          <w:tcPr>
            <w:tcW w:w="1486" w:type="dxa"/>
          </w:tcPr>
          <w:p w:rsidR="00D849AA" w:rsidRDefault="00EE6D95">
            <w:r>
              <w:t>133.153.114</w:t>
            </w:r>
          </w:p>
        </w:tc>
        <w:tc>
          <w:tcPr>
            <w:tcW w:w="1486" w:type="dxa"/>
          </w:tcPr>
          <w:p w:rsidR="00D849AA" w:rsidRDefault="00EE6D95">
            <w:r>
              <w:t>139.775.182</w:t>
            </w:r>
          </w:p>
        </w:tc>
        <w:tc>
          <w:tcPr>
            <w:tcW w:w="1486" w:type="dxa"/>
          </w:tcPr>
          <w:p w:rsidR="00D849AA" w:rsidRDefault="00EE6D95">
            <w:r>
              <w:t>138.680.259</w:t>
            </w:r>
          </w:p>
        </w:tc>
        <w:tc>
          <w:tcPr>
            <w:tcW w:w="1486" w:type="dxa"/>
          </w:tcPr>
          <w:p w:rsidR="00D849AA" w:rsidRDefault="00EE6D95">
            <w:r>
              <w:t>114,2</w:t>
            </w:r>
          </w:p>
        </w:tc>
      </w:tr>
    </w:tbl>
    <w:p w:rsidR="00D849AA" w:rsidRDefault="00D849AA">
      <w:pPr>
        <w:jc w:val="left"/>
      </w:pPr>
    </w:p>
    <w:p w:rsidR="00D849AA" w:rsidRDefault="00EE6D95">
      <w:pPr>
        <w:pStyle w:val="Naslov6"/>
      </w:pPr>
      <w:r>
        <w:t>Opis programa</w:t>
      </w:r>
    </w:p>
    <w:p w:rsidR="00D849AA" w:rsidRDefault="00EE6D95">
      <w:pPr>
        <w:pStyle w:val="Normal5"/>
      </w:pPr>
      <w:r>
        <w:t xml:space="preserve">Zajednička poljoprivredna politika EU je skup pravila i mjera kojima se regulira proizvodnja, prodaja i plasiranje poljoprivrednih proizvoda u EU, a ima za cilj povećanje poljoprivredne proizvodnje, osiguranje životnog standarda poljoprivrednika te stabiliziranje tržišta i stalnu opskrbu kupaca zdravstveno ispravnim i kvalitetnim proizvodima. U svrhu ostvarivanja ciljeva ZPP-a, iz sredstava Europskog fonda za jamstva u poljoprivredi (EAGF) i Europskoga poljoprivrednog fonda za ruralni razvoj (EAFRD) vrši se financiranje različitih mjera. Iz EAGF-a se financiraju izravna plaćanja i mjera zajedničke organizacije tržišta dok se iz EAFRD-a financiraju mjere ruralnog razvoja. Zadaća Agencije je provedba izravnih plaćanja, mjera zajedničke organizacije tržišta i mjera ruralnog razvoja koje se financiraju iz poljoprivrednih fondova EU. </w:t>
      </w:r>
    </w:p>
    <w:p w:rsidR="00D849AA" w:rsidRDefault="00EE6D95">
      <w:pPr>
        <w:pStyle w:val="Normal5"/>
      </w:pPr>
      <w:r>
        <w:t xml:space="preserve">Izravna plaćanja obuhvaćaju jedinstveno plaćanje na regionalnoj razini po gospodarstvu (eng. Single Payment Scheme - SPS), proizvodno vezana plaćanja u sektoru ovaca i koza te krava dojilja, specifična plaćanja i plaćanja u iznimno osjetljivim sektorima za proizvodne godine 2013. do 2015. U provedbi izravnih plaćanja Agencija koristi računalne baze podataka koje sadrži podatke o svakom korisniku koji podnosi zahtjev za izravna plaćanja i njegovom poljoprivrednom gospodarstvu kao i postupke nužne za pravilnu provedbu izravnih plaćanja koji zajedno čine Integrirani administrativni i kontrolni sustav (IAKS), a to su: jedinstvena identifikacija korisnika koji podnose zahtjeve, sustav za identifikaciju zemljišnih parcela (ARKOD sustav), sustav za identifikaciju i registraciju životinja (JRDŽ), sustav za identifikaciju i registraciju prava na plaćanje, podnošenje zahtjeva, administrativna kontrola zahtjeva i kontrola na terenu. </w:t>
      </w:r>
    </w:p>
    <w:p w:rsidR="00D849AA" w:rsidRDefault="00EE6D95">
      <w:pPr>
        <w:pStyle w:val="Normal5"/>
      </w:pPr>
      <w:r>
        <w:t xml:space="preserve">U sklopu reformskog paketa Zajedničke poljoprivredne politike EU za razdoblje 2014-2020 na razini EU predviđa se uvođenje novog sustava izravnih plaćanja. Međutim zbog kašnjenja dogovora na razini EU s primjenom novog sustava izravnih plaćanja će se započeti 2015. godine, a u 2014. godini nastaviti će se s provedbom postojećeg sustava izravnih plaćanja. Osnovne odrednice novog sustava, koji će se provoditi od 2015., su uvođenje modela osnovnog plaćanja (eng. Basic Payment Scheme – BPS) koji će zamijeniti SPS. Uz BPS, izravna plaćanja uključivati će plaćanja za poljoprivrednu praksu s povoljnim učinkom na </w:t>
      </w:r>
      <w:r>
        <w:lastRenderedPageBreak/>
        <w:t xml:space="preserve">klimu i okoliš, plaćanja za poljoprivrednike u težim uvjetima gospodarenja, plaćanja za mlade poljoprivrednike, plaćanja za mala gospodarstva i dobrovoljna proizvodno vezana potpora.  </w:t>
      </w:r>
    </w:p>
    <w:p w:rsidR="00D849AA" w:rsidRDefault="00EE6D95">
      <w:pPr>
        <w:pStyle w:val="Normal5"/>
      </w:pPr>
      <w:r>
        <w:t xml:space="preserve">Mjere zajedničke organizacije tržišta (ZOT) koje provodi Agencija, a financiraju se iz EAGF-a su: trgovinski mehanizmi (sustav carinskih kvota, uvozno/izvoznih dozvola i izvoznih naknada), sustav ograničavanja proizvodnje (kvote) u sektoru mlijeka, sustav ograničavanja proizvodnje (kvote) u sektoru šećera, javne intervencije i privatno skladištenje, potpora opskrbi polaznika odgojno-obrazovnih ustanova voćem i povrćem te prerađevinama voća i povrća (shema „školsko voće“),  potpora za opskrbu redovnih polaznika odgojno-obrazovnih ustanova mlijekom i mliječnim proizvodima, programi potpore u sektoru vina, potpora sektoru pčelarstva i mjere informiranja i promidžbe. </w:t>
      </w:r>
    </w:p>
    <w:p w:rsidR="00D849AA" w:rsidRDefault="00EE6D95">
      <w:pPr>
        <w:pStyle w:val="Normal5"/>
      </w:pPr>
      <w:r>
        <w:t xml:space="preserve">Sustav mjera strukturne politike u ribarstvu omogućuju sufinanciranje investicija i projekata i  to investicije na ribarskim plovilima (kupnja ribarske opreme i alata), u akvakulturi, preradi ribe, ribarskim lukama i ostalim segmentima značajnim za sektor ribarstva. </w:t>
      </w:r>
    </w:p>
    <w:p w:rsidR="00D849AA" w:rsidRDefault="00EE6D95">
      <w:pPr>
        <w:pStyle w:val="Normal5"/>
      </w:pPr>
      <w:r>
        <w:t xml:space="preserve">Provedba navedenih mjera financiranih iz EU fondova podrazumjeva da akreditirana Agencija obavlja odobravanje plaćanja (koje obuhvaća utvrđivanje zadovoljavaju li podnositelji zahtjeva potrebne uvjete),  izvršenje plaćanja na račune podnositelja zahtjeva te računovodstvo obveza i izvršenih plaćanja. </w:t>
      </w:r>
    </w:p>
    <w:p w:rsidR="00D849AA" w:rsidRDefault="00EE6D95">
      <w:pPr>
        <w:pStyle w:val="Normal5"/>
      </w:pPr>
      <w:r>
        <w:t>Kroz aktivnosti koje su obuhvaćene ovim programom, u Agenciji za plaćanja u poljoprivredi, ribarstvu i ruralnom razvoju financirati će se troškovi  ukupnih rashoda za zaposlene, korištenja usluga i dobara, nabave neproizvedene imovine i nabave proizvedene dugotrajne imovine.</w:t>
      </w:r>
    </w:p>
    <w:p w:rsidR="00D849AA" w:rsidRDefault="00EE6D95">
      <w:pPr>
        <w:pStyle w:val="Naslov6"/>
      </w:pPr>
      <w:r>
        <w:t>Zakonske i druge pravne osnove</w:t>
      </w:r>
    </w:p>
    <w:p w:rsidR="00D849AA" w:rsidRDefault="00EE6D95">
      <w:pPr>
        <w:pStyle w:val="Normal5"/>
      </w:pPr>
      <w:r>
        <w:t xml:space="preserve">Zakon o potvrđivanju Ugovora o zajmu 7360-HR za „Projekt pravnog i institucionalnog usklađivanja u području poljoprivrede s pravnom stečevinom EU“ (NN – Međunarodni ugovori 10/06); Zakon o osnivanju Agencije za plaćanja u poljoprivredi, ribarstvu i ruralnom razvoju (NN 30/2009) Zakon o izmjeni i dopunama Zakona o osnivanju Agencije za plaćanja u poljoprivredi, ribarstvu i ruralnom razvoju(56/13) . </w:t>
      </w:r>
    </w:p>
    <w:p w:rsidR="00D849AA" w:rsidRDefault="00EE6D95">
      <w:pPr>
        <w:pStyle w:val="Normal5"/>
      </w:pPr>
      <w:r>
        <w:t xml:space="preserve">Zakon o poljoprivredi ("Narodne novine", br. 149/09, 127/10, 50/12, 120/12)  </w:t>
      </w:r>
    </w:p>
    <w:p w:rsidR="00D849AA" w:rsidRDefault="00EE6D95">
      <w:pPr>
        <w:pStyle w:val="Normal5"/>
      </w:pPr>
      <w:r>
        <w:t xml:space="preserve">Zakon o uređenju tržišta poljoprivrednih proizvoda ("Narodne novine", br. 149/09, 22/11, 120/12)  </w:t>
      </w:r>
    </w:p>
    <w:p w:rsidR="00D849AA" w:rsidRDefault="00EE6D95">
      <w:pPr>
        <w:pStyle w:val="Normal5"/>
      </w:pPr>
      <w:r>
        <w:t xml:space="preserve">Zakon o potpori poljoprivredi i ruralnom razvoju ("Narodne novine" br. 80/13)  </w:t>
      </w:r>
    </w:p>
    <w:p w:rsidR="00D849AA" w:rsidRDefault="00EE6D95">
      <w:pPr>
        <w:pStyle w:val="Normal5"/>
      </w:pPr>
      <w:r>
        <w:t xml:space="preserve">Zakon o potpori poljoprivredi i ruralnom razvoju ("Narodne novine" br. 120/12, 136/12)  </w:t>
      </w:r>
    </w:p>
    <w:p w:rsidR="00D849AA" w:rsidRDefault="00EE6D95">
      <w:pPr>
        <w:pStyle w:val="Normal5"/>
      </w:pPr>
      <w:r>
        <w:t xml:space="preserve">Zakon o ekološkoj proizvodnji i označavanju ekoloških proizvoda ("Narodne novine", br. 139/10)  </w:t>
      </w:r>
    </w:p>
    <w:p w:rsidR="00D849AA" w:rsidRDefault="00EE6D95">
      <w:pPr>
        <w:pStyle w:val="Normal5"/>
      </w:pPr>
      <w:r>
        <w:t xml:space="preserve">Zakon o veterinarstvu ("Narodne novine", br. 41/07, 155/08, 55/11)  </w:t>
      </w:r>
    </w:p>
    <w:p w:rsidR="00D849AA" w:rsidRDefault="00EE6D95">
      <w:pPr>
        <w:pStyle w:val="Normal5"/>
      </w:pPr>
      <w:r>
        <w:t xml:space="preserve">Zakon o stočarstvu ("Narodne novine", br. 70/97, 36/98, 151/03 i 132/06) </w:t>
      </w:r>
    </w:p>
    <w:p w:rsidR="00D849AA" w:rsidRDefault="00EE6D95">
      <w:pPr>
        <w:pStyle w:val="Normal5"/>
      </w:pPr>
      <w:r>
        <w:t xml:space="preserve">Pravilnik o provedbi izravnih plaćanja i IAKS mjera ruralnog razvoja ("Narodne novine", br. 145/12, 29/13)  </w:t>
      </w:r>
    </w:p>
    <w:p w:rsidR="00D849AA" w:rsidRDefault="00EE6D95">
      <w:pPr>
        <w:pStyle w:val="Normal5"/>
      </w:pPr>
      <w:r>
        <w:t xml:space="preserve">Pravilnik o provedbi izravnih plaćanja i pojedinih mjera ruralnog razvoja za 2012. godinu ("Narodne novine", br. 25/12, 51/12, 121/12)  </w:t>
      </w:r>
    </w:p>
    <w:p w:rsidR="00D849AA" w:rsidRDefault="00EE6D95">
      <w:pPr>
        <w:pStyle w:val="Normal5"/>
      </w:pPr>
      <w:r>
        <w:t xml:space="preserve">Pravilnik o izravnim plaćanjima u poljoprivredi, potporama za očuvanje izvornih i zaštićenih pasmina domaćih životinja, potporama za ekološku i integriranu proizvodnju i potporama za područja s težim uvjetima gospodarenja u poljoprivredi ("Narodne novine", br. 12/11, 54/11, 81/11, 129/11, 148/11)  </w:t>
      </w:r>
    </w:p>
    <w:p w:rsidR="00D849AA" w:rsidRDefault="00EE6D95">
      <w:pPr>
        <w:pStyle w:val="Normal5"/>
      </w:pPr>
      <w:r>
        <w:t xml:space="preserve">Pravilnik o dobrim poljoprivrednim i okolišnim uvjetima ("Narodne novine", br. 65/13) </w:t>
      </w:r>
    </w:p>
    <w:p w:rsidR="00D849AA" w:rsidRDefault="00EE6D95">
      <w:pPr>
        <w:pStyle w:val="Normal5"/>
      </w:pPr>
      <w:r>
        <w:lastRenderedPageBreak/>
        <w:t xml:space="preserve">Zakon o poljoprivrednom zemljištu ("Narodne novine", br. 39/13)  </w:t>
      </w:r>
    </w:p>
    <w:p w:rsidR="00D849AA" w:rsidRDefault="00EE6D95">
      <w:pPr>
        <w:pStyle w:val="Normal5"/>
      </w:pPr>
      <w:r>
        <w:t xml:space="preserve">Zakon o porezu na dohodak ("Narodne novine", br. 177/04, 73/08 i 80/10)  </w:t>
      </w:r>
    </w:p>
    <w:p w:rsidR="00D849AA" w:rsidRDefault="00EE6D95">
      <w:pPr>
        <w:pStyle w:val="Normal5"/>
      </w:pPr>
      <w:r>
        <w:t xml:space="preserve">Zakon o zaštiti od elementarnih nepogoda ("Narodne novine", br. 73/97)  </w:t>
      </w:r>
    </w:p>
    <w:p w:rsidR="00D849AA" w:rsidRDefault="00EE6D95">
      <w:pPr>
        <w:pStyle w:val="Normal5"/>
      </w:pPr>
      <w:r>
        <w:t xml:space="preserve">Pravilnik o uljima od ploda i komine maslina ("Narodne novine", br.  7/09 i  112/09)  </w:t>
      </w:r>
    </w:p>
    <w:p w:rsidR="00D849AA" w:rsidRDefault="00EE6D95">
      <w:pPr>
        <w:pStyle w:val="Normal5"/>
      </w:pPr>
      <w:r>
        <w:t xml:space="preserve">Uredba o potporama proizvođačkim organizacijama u sektoru voća i povrća ("Narodne novine", br. 70/2010) </w:t>
      </w:r>
    </w:p>
    <w:p w:rsidR="00D849AA" w:rsidRDefault="00EE6D95">
      <w:pPr>
        <w:pStyle w:val="Normal5"/>
      </w:pPr>
      <w:r>
        <w:t xml:space="preserve">Uredba o tržnom redu za žitarice ("Narodne novine", br. 75/08, 80/08, 114/08, 125/08)  </w:t>
      </w:r>
    </w:p>
    <w:p w:rsidR="00D849AA" w:rsidRDefault="00EE6D95">
      <w:pPr>
        <w:pStyle w:val="Normal5"/>
      </w:pPr>
      <w:r>
        <w:t xml:space="preserve">Uredba o objavi međunarodnog sporazuma o maslinovom ulju i konzumnim maslinama iz 2005. godine ("Narodne novine", br. 3/07)  </w:t>
      </w:r>
    </w:p>
    <w:p w:rsidR="00D849AA" w:rsidRDefault="00EE6D95">
      <w:pPr>
        <w:pStyle w:val="Normal5"/>
      </w:pPr>
      <w:r>
        <w:t>EU regulative</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Cilj 1. Provedba Zajedničke poljoprivredne politike i Zajedničke ribarske politike   Provedba Zajedničke poljoprivredne politike i Zajedničke ribarske politike</w:t>
      </w:r>
    </w:p>
    <w:p w:rsidR="00D849AA" w:rsidRDefault="00EE6D95">
      <w:pPr>
        <w:pStyle w:val="Normal6"/>
      </w:pPr>
      <w:r>
        <w:t xml:space="preserve">Zajednička poljoprivredna politika EU je skup pravila i mjera kojima se regulira proizvodnja, prodaja i plasiranje poljoprivrednih proizvoda u EU, a ima za cilj povećanje poljoprivredne proizvodnje, osiguranje životnog standarda poljoprivrednika te stabiliziranje tržišta i stalnu opskrbu kupaca zdravstveno ispravnim i kvalitetnim proizvodima. U svrhu ostvarivanja ciljeva ZPP-a, iz sredstava Europskog fonda za jamstva u poljoprivredi (EAGF) i Europskoga poljoprivrednog fonda za ruralni razvoj (EAFRD) vrši se financiranje različitih mjera. Iz EAGF-a se financiraju izravna plaćanja i mjera zajedničke organizacije tržišta dok se iz EAFRD-a financiraju mjere ruralnog razvoja. Zadaća Agencije je provedba izravnih plaćanja, mjera zajedničke organizacije tržišta i mjera ruralnog razvoja koje se financiraju iz poljoprivrednih fondova EU. </w:t>
      </w:r>
    </w:p>
    <w:p w:rsidR="00D849AA" w:rsidRDefault="00EE6D95">
      <w:pPr>
        <w:pStyle w:val="Normal6"/>
      </w:pPr>
      <w:r>
        <w:t xml:space="preserve">Za korištenje potpora u okviru ZPP-a i ZRP-a mjera korisnik podnosi zahtjev za potporu Agencija koja utvrđuje zadovoljava li podnositelj zahtjeva propisane uvjete. Provjere obuhvaćaju administrativnu kontrolu koju djelatnici Agencije provode nad svim zahtjevima i kontrolu na terenu koja se provodi u određenom postotku, ne manjem od 5% zahtjeva. Administrativna kontrola zahtjeva obuhvaća kontrolu usklađenosti podnesenih zahtjeva s propisima kojima se uređuju izravna plaćanja, mjere zajedničke organizacije tržišta, mjere ruralnog razvoja i mjere u ribarstvu, a kontrole na terenu obuhvaćaju kontrolu prihvatljivosti zahtjeva s obzirom na uvjete pod kojima se potpore dodjeljuju, i kod određenih mjera, kontrole ispunjavanja uvjeta višestruke sukladnosti. </w:t>
      </w:r>
    </w:p>
    <w:p w:rsidR="00D849AA" w:rsidRDefault="00EE6D95">
      <w:pPr>
        <w:pStyle w:val="Normal6"/>
      </w:pPr>
      <w:r>
        <w:t>Nakon provedenih svih provjera prihvatljivosti zahtjeva vrši se odobravnje zahtjeva i isplata potpora.</w:t>
      </w:r>
    </w:p>
    <w:p w:rsidR="00D849AA" w:rsidRDefault="00EE6D95">
      <w:pPr>
        <w:pStyle w:val="Naslov5"/>
      </w:pPr>
      <w:r>
        <w:t>Procjena i ishodište potrebnih sredstava za značajnije aktivnosti/projekte</w:t>
      </w:r>
    </w:p>
    <w:p w:rsidR="00D849AA" w:rsidRDefault="00EE6D95">
      <w:pPr>
        <w:pStyle w:val="Naslov6"/>
      </w:pPr>
      <w:r>
        <w:t>A841001 ADMINISTRACIJA I UPRAVLJANJE AGENCIJE ZA PLAĆANJA U POLJOPRIVREDI, RIBARSTVU I RURALNOM RAZVOJU</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A841001</w:t>
            </w:r>
          </w:p>
        </w:tc>
        <w:tc>
          <w:tcPr>
            <w:tcW w:w="1486" w:type="dxa"/>
          </w:tcPr>
          <w:p w:rsidR="00D849AA" w:rsidRDefault="00EE6D95">
            <w:r>
              <w:t>101.251.740</w:t>
            </w:r>
          </w:p>
        </w:tc>
        <w:tc>
          <w:tcPr>
            <w:tcW w:w="1486" w:type="dxa"/>
          </w:tcPr>
          <w:p w:rsidR="00D849AA" w:rsidRDefault="00EE6D95">
            <w:r>
              <w:t>112.499.314</w:t>
            </w:r>
          </w:p>
        </w:tc>
        <w:tc>
          <w:tcPr>
            <w:tcW w:w="1486" w:type="dxa"/>
          </w:tcPr>
          <w:p w:rsidR="00D849AA" w:rsidRDefault="00EE6D95">
            <w:r>
              <w:t>117.357.503</w:t>
            </w:r>
          </w:p>
        </w:tc>
        <w:tc>
          <w:tcPr>
            <w:tcW w:w="1486" w:type="dxa"/>
          </w:tcPr>
          <w:p w:rsidR="00D849AA" w:rsidRDefault="00EE6D95">
            <w:r>
              <w:t>124.282.580</w:t>
            </w:r>
          </w:p>
        </w:tc>
        <w:tc>
          <w:tcPr>
            <w:tcW w:w="1486" w:type="dxa"/>
          </w:tcPr>
          <w:p w:rsidR="00D849AA" w:rsidRDefault="00EE6D95">
            <w:r>
              <w:t>111,1</w:t>
            </w:r>
          </w:p>
        </w:tc>
      </w:tr>
    </w:tbl>
    <w:p w:rsidR="00D849AA" w:rsidRDefault="00D849AA">
      <w:pPr>
        <w:jc w:val="left"/>
      </w:pPr>
    </w:p>
    <w:p w:rsidR="00D849AA" w:rsidRDefault="00EE6D95">
      <w:pPr>
        <w:pStyle w:val="Normal6"/>
      </w:pPr>
      <w:r>
        <w:lastRenderedPageBreak/>
        <w:t xml:space="preserve">Kroz ovu aktivnost financirati će se troškovi  ukupnih rashoda za zaposlene, korištenja usluga i dobara, nabave neproizvedene imovine i nabave proizvedene dugotrajne imovine kao i ostali rashodi kojima se osigurava redovito poslovanje Agencije.  </w:t>
      </w:r>
    </w:p>
    <w:p w:rsidR="00D849AA" w:rsidRDefault="00EE6D95">
      <w:pPr>
        <w:pStyle w:val="Normal6"/>
      </w:pPr>
      <w:r>
        <w:t xml:space="preserve">Zaposlen dovoljan broj djelatnika, sukladno analizama obima posla, jamči kvalitenu i pravovremenu provedbu administrativne kontrole zahtjeva i kontrole na terenu. Da bi se zaposlenici zadržali u Agenciji posebna pažnja će se posvetiti politici zadržavanja kadrova i to na svim razinama, primjenjujući glavnu motivacija u zadržavanju djelatnika, a to je zadržavanje postojeće razine plaća. Uredbom o izmjenama i dopunama Uredbe o nazivima radnih mjesta i koeficjentima složenosti poslova u javnim službama (NN72/13) definirani su novi nazivi i koeficjenti složenosti poslova u Agenciji za plaćanja u poljoprivredi, ribarstvu i ruralnom razvoju. Planirani broj zaposlenika u 2014.g., sukladno novoj sistematiozaciji radnih mjesta, jest 679 radnika. </w:t>
      </w:r>
    </w:p>
    <w:p w:rsidR="00D849AA" w:rsidRDefault="00EE6D95">
      <w:pPr>
        <w:pStyle w:val="Normal6"/>
      </w:pPr>
      <w:r>
        <w:t xml:space="preserve">Radi potrebe angažiranja velikog broja kontrolora u određenom razdoblju godine, provedba kontrole na terenu za izravna plaćanja će se povjeriti, kao tehnički servis, drugom tijelu za koje Agencija osigurava opremu za rad, procedure i IT aplikaciju za rad i vrši superkontrolu rada tog tehničkog servisa. </w:t>
      </w:r>
    </w:p>
    <w:p w:rsidR="00D849AA" w:rsidRDefault="00EE6D95">
      <w:pPr>
        <w:pStyle w:val="Normal6"/>
      </w:pPr>
      <w:r>
        <w:t xml:space="preserve">Radi kvalitetnijeg, efikasnijeg i učinkovitog obavljanja zadanih poslova za svaku godinu se izrađuje Plan izobrazbe zaposlenika na temelju kataloga edukacijskih tema. Sve pohađane edukacije se evidentiraju i prati se provedba Plana. Organizacijska jedinica Agencije zadužena za upravljanje ljudskim potencijalima upravljat će edukacijama na način da identificira potrebe za edukacijama temeljem individualnih planova, rezervira sredstava za edukacije, organizira edukacije i prati provedbu plana.     </w:t>
      </w:r>
    </w:p>
    <w:p w:rsidR="00D849AA" w:rsidRDefault="00EE6D95">
      <w:pPr>
        <w:pStyle w:val="Normal6"/>
      </w:pPr>
      <w:r>
        <w:t>Agencija utvrđuje detaljne postupke za zaprimanje, evidentiranje i obradu zahtjeva, uključujući opis svih dokumenata koji se moraju koristiti, stoga svaki djelatnik Agencije pri obavljanju poslova vezanih za kontrole aktivnosti u svom radu korisiti pisane procedure kako bi se osiguralo ujednačeno i ispravno postupanje. Radi osiguranja dostupnosti svih važećih verzija pisanih procedura svim zaposlenicima Agencije, uspostavlja se sustav upravljanja pisanim procedurama.</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Postići punu zaposlenost sukladno Pravilniku o unutarnjem ustroju i sistematizaciji radnih mjesta</w:t>
            </w:r>
          </w:p>
        </w:tc>
        <w:tc>
          <w:tcPr>
            <w:tcW w:w="1114" w:type="dxa"/>
          </w:tcPr>
          <w:p w:rsidR="00D849AA" w:rsidRDefault="00EE6D95">
            <w:r>
              <w:t>broj</w:t>
            </w:r>
          </w:p>
        </w:tc>
        <w:tc>
          <w:tcPr>
            <w:tcW w:w="1114" w:type="dxa"/>
          </w:tcPr>
          <w:p w:rsidR="00D849AA" w:rsidRDefault="00EE6D95">
            <w:r>
              <w:t>632</w:t>
            </w:r>
          </w:p>
        </w:tc>
        <w:tc>
          <w:tcPr>
            <w:tcW w:w="1486" w:type="dxa"/>
          </w:tcPr>
          <w:p w:rsidR="00D849AA" w:rsidRDefault="00EE6D95">
            <w:r>
              <w:t>679</w:t>
            </w:r>
          </w:p>
        </w:tc>
        <w:tc>
          <w:tcPr>
            <w:tcW w:w="1486" w:type="dxa"/>
          </w:tcPr>
          <w:p w:rsidR="00D849AA" w:rsidRDefault="00EE6D95">
            <w:r>
              <w:t>679</w:t>
            </w:r>
          </w:p>
        </w:tc>
        <w:tc>
          <w:tcPr>
            <w:tcW w:w="1486" w:type="dxa"/>
          </w:tcPr>
          <w:p w:rsidR="00D849AA" w:rsidRDefault="00EE6D95">
            <w:r>
              <w:t>679</w:t>
            </w:r>
          </w:p>
        </w:tc>
      </w:tr>
      <w:tr w:rsidR="00D849AA">
        <w:trPr>
          <w:jc w:val="center"/>
        </w:trPr>
        <w:tc>
          <w:tcPr>
            <w:tcW w:w="2229" w:type="dxa"/>
          </w:tcPr>
          <w:p w:rsidR="00D849AA" w:rsidRDefault="00EE6D95">
            <w:pPr>
              <w:pStyle w:val="CellColumn"/>
            </w:pPr>
            <w:r>
              <w:t>Realizacija Plana izobrazbe zaposlenika</w:t>
            </w:r>
          </w:p>
        </w:tc>
        <w:tc>
          <w:tcPr>
            <w:tcW w:w="1114" w:type="dxa"/>
          </w:tcPr>
          <w:p w:rsidR="00D849AA" w:rsidRDefault="00EE6D95">
            <w:r>
              <w:t>postotak</w:t>
            </w:r>
          </w:p>
        </w:tc>
        <w:tc>
          <w:tcPr>
            <w:tcW w:w="1114" w:type="dxa"/>
          </w:tcPr>
          <w:p w:rsidR="00D849AA" w:rsidRDefault="00EE6D95">
            <w:r>
              <w:t>75</w:t>
            </w:r>
          </w:p>
        </w:tc>
        <w:tc>
          <w:tcPr>
            <w:tcW w:w="1486" w:type="dxa"/>
          </w:tcPr>
          <w:p w:rsidR="00D849AA" w:rsidRDefault="00EE6D95">
            <w:r>
              <w:t>100</w:t>
            </w:r>
          </w:p>
        </w:tc>
        <w:tc>
          <w:tcPr>
            <w:tcW w:w="1486" w:type="dxa"/>
          </w:tcPr>
          <w:p w:rsidR="00D849AA" w:rsidRDefault="00EE6D95">
            <w:r>
              <w:t>100</w:t>
            </w:r>
          </w:p>
        </w:tc>
        <w:tc>
          <w:tcPr>
            <w:tcW w:w="1486" w:type="dxa"/>
          </w:tcPr>
          <w:p w:rsidR="00D849AA" w:rsidRDefault="00EE6D95">
            <w:r>
              <w:t>100</w:t>
            </w:r>
          </w:p>
        </w:tc>
      </w:tr>
      <w:tr w:rsidR="00D849AA">
        <w:trPr>
          <w:jc w:val="center"/>
        </w:trPr>
        <w:tc>
          <w:tcPr>
            <w:tcW w:w="2229" w:type="dxa"/>
          </w:tcPr>
          <w:p w:rsidR="00D849AA" w:rsidRDefault="00EE6D95">
            <w:pPr>
              <w:pStyle w:val="CellColumn"/>
            </w:pPr>
            <w:r>
              <w:t>Korištenje pisanih procedura u radu</w:t>
            </w:r>
          </w:p>
        </w:tc>
        <w:tc>
          <w:tcPr>
            <w:tcW w:w="1114" w:type="dxa"/>
          </w:tcPr>
          <w:p w:rsidR="00D849AA" w:rsidRDefault="00EE6D95">
            <w:r>
              <w:t>postotak</w:t>
            </w:r>
          </w:p>
        </w:tc>
        <w:tc>
          <w:tcPr>
            <w:tcW w:w="1114" w:type="dxa"/>
          </w:tcPr>
          <w:p w:rsidR="00D849AA" w:rsidRDefault="00EE6D95">
            <w:r>
              <w:t>60</w:t>
            </w:r>
          </w:p>
        </w:tc>
        <w:tc>
          <w:tcPr>
            <w:tcW w:w="1486" w:type="dxa"/>
          </w:tcPr>
          <w:p w:rsidR="00D849AA" w:rsidRDefault="00EE6D95">
            <w:r>
              <w:t>100</w:t>
            </w:r>
          </w:p>
        </w:tc>
        <w:tc>
          <w:tcPr>
            <w:tcW w:w="1486" w:type="dxa"/>
          </w:tcPr>
          <w:p w:rsidR="00D849AA" w:rsidRDefault="00EE6D95">
            <w:r>
              <w:t>100</w:t>
            </w:r>
          </w:p>
        </w:tc>
        <w:tc>
          <w:tcPr>
            <w:tcW w:w="1486" w:type="dxa"/>
          </w:tcPr>
          <w:p w:rsidR="00D849AA" w:rsidRDefault="00EE6D95">
            <w:r>
              <w:t>100</w:t>
            </w:r>
          </w:p>
        </w:tc>
      </w:tr>
    </w:tbl>
    <w:p w:rsidR="00D849AA" w:rsidRDefault="00D849AA">
      <w:pPr>
        <w:jc w:val="left"/>
      </w:pPr>
    </w:p>
    <w:p w:rsidR="00337A23" w:rsidRDefault="00337A23">
      <w:pPr>
        <w:jc w:val="left"/>
      </w:pPr>
    </w:p>
    <w:p w:rsidR="00337A23" w:rsidRDefault="00337A23">
      <w:pPr>
        <w:jc w:val="left"/>
      </w:pPr>
    </w:p>
    <w:p w:rsidR="00D849AA" w:rsidRDefault="00EE6D95">
      <w:pPr>
        <w:pStyle w:val="Naslov6"/>
      </w:pPr>
      <w:r>
        <w:lastRenderedPageBreak/>
        <w:t>K841002 INFORMATIZACIJA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K841002</w:t>
            </w:r>
          </w:p>
        </w:tc>
        <w:tc>
          <w:tcPr>
            <w:tcW w:w="1486" w:type="dxa"/>
          </w:tcPr>
          <w:p w:rsidR="00D849AA" w:rsidRDefault="00EE6D95">
            <w:r>
              <w:t>15.251.176</w:t>
            </w:r>
          </w:p>
        </w:tc>
        <w:tc>
          <w:tcPr>
            <w:tcW w:w="1486" w:type="dxa"/>
          </w:tcPr>
          <w:p w:rsidR="00D849AA" w:rsidRDefault="00EE6D95">
            <w:r>
              <w:t>20.653.800</w:t>
            </w:r>
          </w:p>
        </w:tc>
        <w:tc>
          <w:tcPr>
            <w:tcW w:w="1486" w:type="dxa"/>
          </w:tcPr>
          <w:p w:rsidR="00D849AA" w:rsidRDefault="00EE6D95">
            <w:r>
              <w:t>22.417.679</w:t>
            </w:r>
          </w:p>
        </w:tc>
        <w:tc>
          <w:tcPr>
            <w:tcW w:w="1486" w:type="dxa"/>
          </w:tcPr>
          <w:p w:rsidR="00D849AA" w:rsidRDefault="00EE6D95">
            <w:r>
              <w:t>14.397.679</w:t>
            </w:r>
          </w:p>
        </w:tc>
        <w:tc>
          <w:tcPr>
            <w:tcW w:w="1486" w:type="dxa"/>
          </w:tcPr>
          <w:p w:rsidR="00D849AA" w:rsidRDefault="00EE6D95">
            <w:r>
              <w:t>135,4</w:t>
            </w:r>
          </w:p>
        </w:tc>
      </w:tr>
    </w:tbl>
    <w:p w:rsidR="00D849AA" w:rsidRDefault="00D849AA">
      <w:pPr>
        <w:jc w:val="left"/>
      </w:pPr>
    </w:p>
    <w:p w:rsidR="00D849AA" w:rsidRDefault="00EE6D95">
      <w:pPr>
        <w:pStyle w:val="Normal6"/>
      </w:pPr>
      <w:r>
        <w:t xml:space="preserve">Informacijski sustav Agencije za plaćanja u poljoprivredi, ribarstvu i ruralnom razvoju je potrebno održavati i nadograđivati  kako bi pružao kvalitetnu podršku provedbi mnogobrojnih horizontalnih i vertikalnih poslovnih procesa potrebnih za administriranje, kontrolu i isplatu izravnih, strukturnih i tržišnih potpora. </w:t>
      </w:r>
    </w:p>
    <w:p w:rsidR="00D849AA" w:rsidRDefault="00EE6D95">
      <w:pPr>
        <w:pStyle w:val="Normal6"/>
      </w:pPr>
      <w:r>
        <w:t xml:space="preserve">Priojekti koj su planirani za 2014. godinu u tu svrhu jesu: </w:t>
      </w:r>
    </w:p>
    <w:p w:rsidR="00D849AA" w:rsidRDefault="00EE6D95">
      <w:pPr>
        <w:pStyle w:val="Normal6"/>
      </w:pPr>
      <w:r>
        <w:t xml:space="preserve">- nabava Firewall sustava; </w:t>
      </w:r>
    </w:p>
    <w:p w:rsidR="00D849AA" w:rsidRDefault="00EE6D95">
      <w:pPr>
        <w:pStyle w:val="Normal6"/>
      </w:pPr>
      <w:r>
        <w:t xml:space="preserve">- penetracijsko testiranje sustava; </w:t>
      </w:r>
    </w:p>
    <w:p w:rsidR="00D849AA" w:rsidRDefault="00EE6D95">
      <w:pPr>
        <w:pStyle w:val="Normal6"/>
      </w:pPr>
      <w:r>
        <w:t xml:space="preserve">- nadogradnja BIPA; </w:t>
      </w:r>
    </w:p>
    <w:p w:rsidR="00D849AA" w:rsidRDefault="00EE6D95">
      <w:pPr>
        <w:pStyle w:val="Normal6"/>
      </w:pPr>
      <w:r>
        <w:t xml:space="preserve">- nadogradnja izvještajnog sustava Agencije; </w:t>
      </w:r>
    </w:p>
    <w:p w:rsidR="00D849AA" w:rsidRDefault="00EE6D95">
      <w:pPr>
        <w:pStyle w:val="Normal6"/>
      </w:pPr>
      <w:r>
        <w:t xml:space="preserve">- strateško planiranje IT-a; </w:t>
      </w:r>
    </w:p>
    <w:p w:rsidR="00D849AA" w:rsidRDefault="00EE6D95">
      <w:pPr>
        <w:pStyle w:val="Normal6"/>
      </w:pPr>
      <w:r>
        <w:t xml:space="preserve">- ulaganje u trjane licence; </w:t>
      </w:r>
    </w:p>
    <w:p w:rsidR="00D849AA" w:rsidRDefault="00EE6D95">
      <w:pPr>
        <w:pStyle w:val="Normal6"/>
      </w:pPr>
      <w:r>
        <w:t xml:space="preserve">- održavanje kroz jednogodišnje licence; </w:t>
      </w:r>
    </w:p>
    <w:p w:rsidR="00D849AA" w:rsidRDefault="00EE6D95">
      <w:pPr>
        <w:pStyle w:val="Normal6"/>
      </w:pPr>
      <w:r>
        <w:t xml:space="preserve">- aplikacija za praćenje usklađenosti sa ISO normom (ZIH); </w:t>
      </w:r>
    </w:p>
    <w:p w:rsidR="00D849AA" w:rsidRDefault="00EE6D95">
      <w:pPr>
        <w:pStyle w:val="Normal6"/>
      </w:pPr>
      <w:r>
        <w:t xml:space="preserve">- Leaming managament system - osnovni paket s početnim funkcionalnostima; </w:t>
      </w:r>
    </w:p>
    <w:p w:rsidR="00D849AA" w:rsidRDefault="00EE6D95">
      <w:pPr>
        <w:pStyle w:val="Normal6"/>
      </w:pPr>
      <w:r>
        <w:t xml:space="preserve">- održavanje integriranog sustava administriranja potpora Agencije (ISAP); </w:t>
      </w:r>
    </w:p>
    <w:p w:rsidR="00D849AA" w:rsidRDefault="00EE6D95">
      <w:pPr>
        <w:pStyle w:val="Normal6"/>
      </w:pPr>
      <w:r>
        <w:t xml:space="preserve">- održavanje infrastrukture; </w:t>
      </w:r>
    </w:p>
    <w:p w:rsidR="00D849AA" w:rsidRDefault="00EE6D95">
      <w:pPr>
        <w:pStyle w:val="Normal6"/>
      </w:pPr>
      <w:r>
        <w:t xml:space="preserve">- nadogradnja informacijskog sustava Agencije (ISA) </w:t>
      </w:r>
    </w:p>
    <w:p w:rsidR="00D849AA" w:rsidRDefault="00EE6D95">
      <w:pPr>
        <w:pStyle w:val="Normal6"/>
      </w:pPr>
      <w:r>
        <w:t xml:space="preserve">Nadogradnjom izvještajnog sustava Agencije nastavio bi se projekt Implementacije OLAP (Online Analytical Processing) sustava – Datawarehouse (skladišta podataka) za izvještajni sustav cjelokupne Agencije koji će omogućiti  moderno i fleksibilno poslovno izvješćivanje.  </w:t>
      </w:r>
    </w:p>
    <w:p w:rsidR="00D849AA" w:rsidRDefault="00EE6D95">
      <w:pPr>
        <w:pStyle w:val="Normal6"/>
      </w:pPr>
      <w:r>
        <w:t xml:space="preserve">Sustav omogućava brzu obradu  i analizu podataka koja daje odgovor na višedimenzijske upite te izradu izvještaja u svrhu kvalitetnijeg poslovnog odlučivanja. </w:t>
      </w:r>
    </w:p>
    <w:p w:rsidR="00D849AA" w:rsidRDefault="00EE6D95">
      <w:pPr>
        <w:pStyle w:val="Normal6"/>
      </w:pPr>
      <w:r>
        <w:t xml:space="preserve">Nadogradnja Informacijskog sustava (ISA) je projekt neophodan za uspješno i opetovano akreditiranje Agencije.  Sukladno konstantnim i promjenjivim zahtjevima i propisima RH i EU koji reguliraju područja plaćanja u poljoprivredi, ribarstvu i ruralnom razvoju postoji potreba za izradom novih ili doradom postojećih sustava i funkcionalnosti preko koji se realiziraju prateći procesi i aktivnosti. </w:t>
      </w:r>
    </w:p>
    <w:p w:rsidR="00D849AA" w:rsidRDefault="00EE6D95">
      <w:pPr>
        <w:pStyle w:val="Normal6"/>
      </w:pPr>
      <w:r>
        <w:t>Akreditiranje Agencije za plaćanje je kontinuiran, složen i trajan proces. Praćenje stotine nalaza i preporuka desetaka unutarnjih i vanjskih revizija te izradu pratećih izvještaja traži efikasan i pregledan  sustav. Projektom nadogradnje BIPA-e će se optimizirati postojeći sustav evidencije, praćenja i izvršavanja revizorskih nalaza.</w:t>
      </w:r>
    </w:p>
    <w:p w:rsidR="00337A23" w:rsidRDefault="00337A23">
      <w:pPr>
        <w:pStyle w:val="Normal6"/>
      </w:pPr>
    </w:p>
    <w:p w:rsidR="00337A23" w:rsidRDefault="00337A23">
      <w:pPr>
        <w:pStyle w:val="Normal6"/>
      </w:pPr>
    </w:p>
    <w:p w:rsidR="00337A23" w:rsidRDefault="00337A23">
      <w:pPr>
        <w:pStyle w:val="Normal6"/>
      </w:pPr>
    </w:p>
    <w:p w:rsidR="00337A23" w:rsidRDefault="00337A23">
      <w:pPr>
        <w:pStyle w:val="Normal6"/>
      </w:pPr>
    </w:p>
    <w:p w:rsidR="00D849AA" w:rsidRDefault="00EE6D95">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Nadogradnja sustava sigurnosti</w:t>
            </w:r>
          </w:p>
        </w:tc>
        <w:tc>
          <w:tcPr>
            <w:tcW w:w="1114" w:type="dxa"/>
          </w:tcPr>
          <w:p w:rsidR="00D849AA" w:rsidRDefault="00EE6D95">
            <w:r>
              <w:t>%</w:t>
            </w:r>
          </w:p>
        </w:tc>
        <w:tc>
          <w:tcPr>
            <w:tcW w:w="1114" w:type="dxa"/>
          </w:tcPr>
          <w:p w:rsidR="00D849AA" w:rsidRDefault="00EE6D95">
            <w:r>
              <w:t>90</w:t>
            </w:r>
          </w:p>
        </w:tc>
        <w:tc>
          <w:tcPr>
            <w:tcW w:w="1486" w:type="dxa"/>
          </w:tcPr>
          <w:p w:rsidR="00D849AA" w:rsidRDefault="00EE6D95">
            <w:r>
              <w:t>100</w:t>
            </w:r>
          </w:p>
        </w:tc>
        <w:tc>
          <w:tcPr>
            <w:tcW w:w="1486" w:type="dxa"/>
          </w:tcPr>
          <w:p w:rsidR="00D849AA" w:rsidRDefault="00EE6D95">
            <w:r>
              <w:t>100</w:t>
            </w:r>
          </w:p>
        </w:tc>
        <w:tc>
          <w:tcPr>
            <w:tcW w:w="1486" w:type="dxa"/>
          </w:tcPr>
          <w:p w:rsidR="00D849AA" w:rsidRDefault="00EE6D95">
            <w:r>
              <w:t>100</w:t>
            </w:r>
          </w:p>
        </w:tc>
      </w:tr>
      <w:tr w:rsidR="00D849AA">
        <w:trPr>
          <w:jc w:val="center"/>
        </w:trPr>
        <w:tc>
          <w:tcPr>
            <w:tcW w:w="2229" w:type="dxa"/>
          </w:tcPr>
          <w:p w:rsidR="00D849AA" w:rsidRDefault="00EE6D95">
            <w:pPr>
              <w:pStyle w:val="CellColumn"/>
            </w:pPr>
            <w:r>
              <w:t>Funkcionalnost ISA</w:t>
            </w:r>
          </w:p>
        </w:tc>
        <w:tc>
          <w:tcPr>
            <w:tcW w:w="1114" w:type="dxa"/>
          </w:tcPr>
          <w:p w:rsidR="00D849AA" w:rsidRDefault="00EE6D95">
            <w:r>
              <w:t>%</w:t>
            </w:r>
          </w:p>
        </w:tc>
        <w:tc>
          <w:tcPr>
            <w:tcW w:w="1114" w:type="dxa"/>
          </w:tcPr>
          <w:p w:rsidR="00D849AA" w:rsidRDefault="00EE6D95">
            <w:r>
              <w:t>80</w:t>
            </w:r>
          </w:p>
        </w:tc>
        <w:tc>
          <w:tcPr>
            <w:tcW w:w="1486" w:type="dxa"/>
          </w:tcPr>
          <w:p w:rsidR="00D849AA" w:rsidRDefault="00EE6D95">
            <w:r>
              <w:t>100</w:t>
            </w:r>
          </w:p>
        </w:tc>
        <w:tc>
          <w:tcPr>
            <w:tcW w:w="1486" w:type="dxa"/>
          </w:tcPr>
          <w:p w:rsidR="00D849AA" w:rsidRDefault="00EE6D95">
            <w:r>
              <w:t>100</w:t>
            </w:r>
          </w:p>
        </w:tc>
        <w:tc>
          <w:tcPr>
            <w:tcW w:w="1486" w:type="dxa"/>
          </w:tcPr>
          <w:p w:rsidR="00D849AA" w:rsidRDefault="00EE6D95">
            <w:r>
              <w:t>100</w:t>
            </w:r>
          </w:p>
        </w:tc>
      </w:tr>
    </w:tbl>
    <w:p w:rsidR="00D849AA" w:rsidRDefault="00D849AA">
      <w:pPr>
        <w:jc w:val="left"/>
      </w:pPr>
    </w:p>
    <w:p w:rsidR="00D849AA" w:rsidRDefault="00EE6D95">
      <w:pPr>
        <w:pStyle w:val="Naslov6"/>
      </w:pPr>
      <w:r>
        <w:t>K841004 KUPOVINA POSLOVNE ZGRADE-WMD</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K841004</w:t>
            </w:r>
          </w:p>
        </w:tc>
        <w:tc>
          <w:tcPr>
            <w:tcW w:w="1486" w:type="dxa"/>
          </w:tcPr>
          <w:p w:rsidR="00D849AA" w:rsidRDefault="00EE6D95">
            <w:r>
              <w:t>120.000</w:t>
            </w:r>
          </w:p>
        </w:tc>
        <w:tc>
          <w:tcPr>
            <w:tcW w:w="1486" w:type="dxa"/>
          </w:tcPr>
          <w:p w:rsidR="00D849AA" w:rsidRDefault="00EE6D95">
            <w:r>
              <w:t>00</w:t>
            </w:r>
          </w:p>
        </w:tc>
        <w:tc>
          <w:tcPr>
            <w:tcW w:w="1486" w:type="dxa"/>
          </w:tcPr>
          <w:p w:rsidR="00D849AA" w:rsidRDefault="00EE6D95">
            <w:r>
              <w:t>00</w:t>
            </w:r>
          </w:p>
        </w:tc>
        <w:tc>
          <w:tcPr>
            <w:tcW w:w="1486" w:type="dxa"/>
          </w:tcPr>
          <w:p w:rsidR="00D849AA" w:rsidRDefault="00EE6D95">
            <w:r>
              <w:t>00</w:t>
            </w:r>
          </w:p>
        </w:tc>
        <w:tc>
          <w:tcPr>
            <w:tcW w:w="1486" w:type="dxa"/>
          </w:tcPr>
          <w:p w:rsidR="00D849AA" w:rsidRDefault="00EE6D95">
            <w:r>
              <w:t>0,0</w:t>
            </w:r>
          </w:p>
        </w:tc>
      </w:tr>
    </w:tbl>
    <w:p w:rsidR="00D849AA" w:rsidRDefault="00D849AA">
      <w:pPr>
        <w:jc w:val="left"/>
      </w:pPr>
    </w:p>
    <w:p w:rsidR="00D849AA" w:rsidRDefault="00EE6D95">
      <w:pPr>
        <w:pStyle w:val="Normal6"/>
      </w:pPr>
      <w:r>
        <w:t>Aktivnost potrebno ukinuti jer zasada ne postoje potrebne suglasnosti i odluke kojima bi se planirala realizacija ove aktivnosti.</w:t>
      </w:r>
    </w:p>
    <w:p w:rsidR="00337A23" w:rsidRDefault="00337A23" w:rsidP="00337A23">
      <w:pPr>
        <w:jc w:val="left"/>
      </w:pPr>
    </w:p>
    <w:p w:rsidR="00337A23" w:rsidRDefault="00337A23" w:rsidP="00337A23">
      <w:pPr>
        <w:pStyle w:val="Naslov4"/>
      </w:pPr>
      <w:r>
        <w:t>OBRAZLOŽENJE PROGRAMA</w:t>
      </w:r>
    </w:p>
    <w:p w:rsidR="00D849AA" w:rsidRDefault="00EE6D95">
      <w:pPr>
        <w:pStyle w:val="Naslov5"/>
      </w:pPr>
      <w:r>
        <w:t>3002 POLJOPRIVREDA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3002</w:t>
            </w:r>
          </w:p>
        </w:tc>
        <w:tc>
          <w:tcPr>
            <w:tcW w:w="1486" w:type="dxa"/>
          </w:tcPr>
          <w:p w:rsidR="00D849AA" w:rsidRDefault="00EE6D95">
            <w:r>
              <w:t>30.057.062</w:t>
            </w:r>
          </w:p>
        </w:tc>
        <w:tc>
          <w:tcPr>
            <w:tcW w:w="1486" w:type="dxa"/>
          </w:tcPr>
          <w:p w:rsidR="00D849AA" w:rsidRDefault="00EE6D95">
            <w:r>
              <w:t>8.444.999</w:t>
            </w:r>
          </w:p>
        </w:tc>
        <w:tc>
          <w:tcPr>
            <w:tcW w:w="1486" w:type="dxa"/>
          </w:tcPr>
          <w:p w:rsidR="00D849AA" w:rsidRDefault="00EE6D95">
            <w:r>
              <w:t>10.759.825</w:t>
            </w:r>
          </w:p>
        </w:tc>
        <w:tc>
          <w:tcPr>
            <w:tcW w:w="1486" w:type="dxa"/>
          </w:tcPr>
          <w:p w:rsidR="00D849AA" w:rsidRDefault="00EE6D95">
            <w:r>
              <w:t>6.344.340</w:t>
            </w:r>
          </w:p>
        </w:tc>
        <w:tc>
          <w:tcPr>
            <w:tcW w:w="1486" w:type="dxa"/>
          </w:tcPr>
          <w:p w:rsidR="00D849AA" w:rsidRDefault="00EE6D95">
            <w:r>
              <w:t>28,1</w:t>
            </w:r>
          </w:p>
        </w:tc>
      </w:tr>
    </w:tbl>
    <w:p w:rsidR="00D849AA" w:rsidRDefault="00D849AA">
      <w:pPr>
        <w:jc w:val="left"/>
      </w:pPr>
    </w:p>
    <w:p w:rsidR="00D849AA" w:rsidRDefault="00EE6D95">
      <w:pPr>
        <w:pStyle w:val="Naslov6"/>
      </w:pPr>
      <w:r>
        <w:t>Opis programa</w:t>
      </w:r>
    </w:p>
    <w:p w:rsidR="00D849AA" w:rsidRDefault="00EE6D95">
      <w:pPr>
        <w:pStyle w:val="Normal5"/>
      </w:pPr>
      <w:r>
        <w:t xml:space="preserve">Cilj programa je uspostava LPIS-a u sklopu IAKS-a, koji  služi kao podrška u upravljanju potporama u poljoprivredi. </w:t>
      </w:r>
    </w:p>
    <w:p w:rsidR="00D849AA" w:rsidRDefault="00EE6D95">
      <w:pPr>
        <w:pStyle w:val="Normal5"/>
      </w:pPr>
      <w:r>
        <w:t xml:space="preserve">Ispunjenje cilja sagleda se kroz nekoliko specifičnih ciljeva, kao što su uspostava administrativne strukture za inicijalnu uspostavu, te kasniji razvoj i održavanje sustava, uspostava informacijsko-komunikacijske infrastrukture kao podrške uvođenju sustava, raspoloživost prostornih podloga potrebnih za uspostavu LPIS-a (DOF, DKP, DMR, SRPJ). </w:t>
      </w:r>
    </w:p>
    <w:p w:rsidR="00D849AA" w:rsidRDefault="00EE6D95">
      <w:pPr>
        <w:pStyle w:val="Normal5"/>
      </w:pPr>
      <w:r>
        <w:t xml:space="preserve">Sve EU zemlje dužne su uspostaviti IAKS, kojim zemlje članice dodjeljuju, prate i kontroliraju izravna plaćanja poljoprivrednicima. Osnovni elementi navedenog sustava su: kompjuterizirana baza podataka, sustav identifikacije zemljišnih čestica, sustav za identifikaciju i registraciju prava na potporu, sustav za zaprimanje i obradu zahtjeva za potporu, integrirani sustav kontrole, sustav za identifikaciju poljoprivrednika koji podnose zahtjev za potporu, sustav za identifikaciju i registraciju životinja. Navedenim sustavom definirane su procedure zaprimanja zahtjeva, administrativne i inspekcijske kontrole, obrade zahtjeva i plaćanja, a ustrojavanje istog treba osigurati učinkovitiju isplatu izravnih plaćanja, te bolji nadzor i sprečavanje nepravilnosti. </w:t>
      </w:r>
    </w:p>
    <w:p w:rsidR="00D849AA" w:rsidRDefault="00EE6D95">
      <w:pPr>
        <w:pStyle w:val="Normal5"/>
      </w:pPr>
      <w:r>
        <w:lastRenderedPageBreak/>
        <w:t>Redovitim ažuriranjem ARKOD-a i Upisnika poljoprivrednih gospodarstava, Vinogradarskog registra, Upisnika subjekata u ekološkoj proizvodnji te ostalih evidencija osiguravamo funkcioniranje operativnih i funkcionalnih registara.</w:t>
      </w:r>
    </w:p>
    <w:p w:rsidR="00D849AA" w:rsidRDefault="00EE6D95">
      <w:pPr>
        <w:pStyle w:val="Naslov6"/>
      </w:pPr>
      <w:r>
        <w:t>Zakonske i druge pravne osnove</w:t>
      </w:r>
    </w:p>
    <w:p w:rsidR="00D849AA" w:rsidRDefault="00EE6D95">
      <w:pPr>
        <w:pStyle w:val="Normal5"/>
      </w:pPr>
      <w:r>
        <w:t xml:space="preserve">Zakon o poljoprivredi ("Narodne novine", br. 149/09, 127/10, 50/12, 120/12)  </w:t>
      </w:r>
    </w:p>
    <w:p w:rsidR="00D849AA" w:rsidRDefault="00EE6D95">
      <w:pPr>
        <w:pStyle w:val="Normal5"/>
      </w:pPr>
      <w:r>
        <w:t xml:space="preserve">Zakon o uređenju tržišta poljoprivrednih proizvoda ("Narodne novine", br. 149/09, 22/11, 120/12)  </w:t>
      </w:r>
    </w:p>
    <w:p w:rsidR="00D849AA" w:rsidRDefault="00EE6D95">
      <w:pPr>
        <w:pStyle w:val="Normal5"/>
      </w:pPr>
      <w:r>
        <w:t xml:space="preserve">Zakon o potpori poljoprivredi i ruralnom razvoju ("Narodne novine" br. 80/13)  </w:t>
      </w:r>
    </w:p>
    <w:p w:rsidR="00D849AA" w:rsidRDefault="00EE6D95">
      <w:pPr>
        <w:pStyle w:val="Normal5"/>
      </w:pPr>
      <w:r>
        <w:t xml:space="preserve">Zakon o potpori poljoprivredi i ruralnom razvoju ("Narodne novine" br. 120/12, 136/12)  </w:t>
      </w:r>
    </w:p>
    <w:p w:rsidR="00D849AA" w:rsidRDefault="00EE6D95">
      <w:pPr>
        <w:pStyle w:val="Normal5"/>
      </w:pPr>
      <w:r>
        <w:t xml:space="preserve">Zakon o ekološkoj proizvodnji i označavanju ekoloških proizvoda ("Narodne novine", br. 139/10)  </w:t>
      </w:r>
    </w:p>
    <w:p w:rsidR="00D849AA" w:rsidRDefault="00EE6D95">
      <w:pPr>
        <w:pStyle w:val="Normal5"/>
      </w:pPr>
      <w:r>
        <w:t xml:space="preserve">Zakon o veterinarstvu ("Narodne novine", br. 41/07, 155/08, 55/11)  </w:t>
      </w:r>
    </w:p>
    <w:p w:rsidR="00D849AA" w:rsidRDefault="00EE6D95">
      <w:pPr>
        <w:pStyle w:val="Normal5"/>
      </w:pPr>
      <w:r>
        <w:t xml:space="preserve">Zakon o stočarstvu ("Narodne novine", br. 70/97, 36/98, 151/03 i 132/06) </w:t>
      </w:r>
    </w:p>
    <w:p w:rsidR="00D849AA" w:rsidRDefault="00EE6D95">
      <w:pPr>
        <w:pStyle w:val="Normal5"/>
      </w:pPr>
      <w:r>
        <w:t xml:space="preserve">Pravilnik o provedbi izravnih plaćanja i IAKS mjera ruralnog razvoja ("Narodne novine", br. 145/12, 29/13)  </w:t>
      </w:r>
    </w:p>
    <w:p w:rsidR="00D849AA" w:rsidRDefault="00EE6D95">
      <w:pPr>
        <w:pStyle w:val="Normal5"/>
      </w:pPr>
      <w:r>
        <w:t xml:space="preserve">Pravilnik o provedbi izravnih plaćanja i pojedinih mjera ruralnog razvoja za 2012. godinu ("Narodne novine", br. 25/12, 51/12, 121/12)  </w:t>
      </w:r>
    </w:p>
    <w:p w:rsidR="00D849AA" w:rsidRDefault="00EE6D95">
      <w:pPr>
        <w:pStyle w:val="Normal5"/>
      </w:pPr>
      <w:r>
        <w:t xml:space="preserve">Pravilnik o izravnim plaćanjima u poljoprivredi, potporama za očuvanje izvornih i zaštićenih pasmina domaćih životinja, potporama za ekološku i integriranu proizvodnju i potporama za područja s težim uvjetima gospodarenja u poljoprivredi ("Narodne novine", br. 12/11, 54/11, 81/11, 129/11, 148/11)  </w:t>
      </w:r>
    </w:p>
    <w:p w:rsidR="00D849AA" w:rsidRDefault="00EE6D95">
      <w:pPr>
        <w:pStyle w:val="Normal5"/>
      </w:pPr>
      <w:r>
        <w:t xml:space="preserve">Pravilnik o dobrim poljoprivrednim i okolišnim uvjetima ("Narodne novine", br. 65/13) </w:t>
      </w:r>
    </w:p>
    <w:p w:rsidR="00D849AA" w:rsidRDefault="00EE6D95">
      <w:pPr>
        <w:pStyle w:val="Normal5"/>
      </w:pPr>
      <w:r>
        <w:t xml:space="preserve">Pravilnik o Upisniku poljoprivrednih gospodarstava ("Narodne novine", br. 76/11, 42/13)  </w:t>
      </w:r>
    </w:p>
    <w:p w:rsidR="00D849AA" w:rsidRDefault="00EE6D95">
      <w:pPr>
        <w:pStyle w:val="Normal5"/>
      </w:pPr>
      <w:r>
        <w:t xml:space="preserve">Pravilnik o dopunskim djelatnostima na OPG-u ("Narodne novine", br.  20/13)  </w:t>
      </w:r>
    </w:p>
    <w:p w:rsidR="00D849AA" w:rsidRDefault="00EE6D95">
      <w:pPr>
        <w:pStyle w:val="Normal5"/>
      </w:pPr>
      <w:r>
        <w:t xml:space="preserve">Pravilnik o evidenciji uporabe poljoprivrednog zemljišta (ARKOD) ("Narodne novine", br. 149/11,131/12 i 24/13)  </w:t>
      </w:r>
    </w:p>
    <w:p w:rsidR="00D849AA" w:rsidRDefault="00EE6D95">
      <w:pPr>
        <w:pStyle w:val="Normal5"/>
      </w:pPr>
      <w:r>
        <w:t xml:space="preserve">Pravilnik o registru vinograda, obveznim izjavama, pratećim dokumentima i podrumskoj evidenciji ("Narodne novine", br. 121/10 i 132/10, 78/11 , 48/13)  </w:t>
      </w:r>
    </w:p>
    <w:p w:rsidR="00D849AA" w:rsidRDefault="00EE6D95">
      <w:pPr>
        <w:pStyle w:val="Normal5"/>
      </w:pPr>
      <w:r>
        <w:t xml:space="preserve">Pravilnik o uvjetima i načinu upisa u upisnik ekološke proizvodnje poljoprivrednih i prehrambenih proizvoda ("Narodne novine", br. 13/02 i 112/07)  </w:t>
      </w:r>
    </w:p>
    <w:p w:rsidR="00D849AA" w:rsidRDefault="00EE6D95">
      <w:pPr>
        <w:pStyle w:val="Normal5"/>
      </w:pPr>
      <w:r>
        <w:t xml:space="preserve">Pravilnik o područjima s  težim uvjetima gospodarenja u poljoprivredi ("Narodne novine", br. 44/11)  </w:t>
      </w:r>
    </w:p>
    <w:p w:rsidR="00D849AA" w:rsidRDefault="00EE6D95">
      <w:pPr>
        <w:pStyle w:val="Normal5"/>
      </w:pPr>
      <w:r>
        <w:t xml:space="preserve">Pravilnik o integriranoj proizvodnji poljoprivrednih proizvoda ("Narodne novine", br. 32/10)  </w:t>
      </w:r>
    </w:p>
    <w:p w:rsidR="00D849AA" w:rsidRDefault="00EE6D95">
      <w:pPr>
        <w:pStyle w:val="Normal5"/>
      </w:pPr>
      <w:r>
        <w:t xml:space="preserve">Pravilnikom o vođenju Upisnika registriranih i odobrenih objekata te o postupcima registriranja i odobravanja objekata u poslovanju s hranom ("Narodne novine", br. 125/08, 55/09 i 130/10) </w:t>
      </w:r>
    </w:p>
    <w:p w:rsidR="00D849AA" w:rsidRDefault="00EE6D95">
      <w:pPr>
        <w:pStyle w:val="Normal5"/>
      </w:pPr>
      <w:r>
        <w:t xml:space="preserve">Pravilnik o obveznom označavanju i registraciji  goveda ("Narodne novine",  br. 99/07, 41/08) </w:t>
      </w:r>
    </w:p>
    <w:p w:rsidR="00D849AA" w:rsidRDefault="00EE6D95">
      <w:pPr>
        <w:pStyle w:val="Normal5"/>
      </w:pPr>
      <w:r>
        <w:t xml:space="preserve">Pravilnik o provođenju obveznog označavanja i registracije goveda ("Narodne novine", br. 108/13)  </w:t>
      </w:r>
    </w:p>
    <w:p w:rsidR="00D849AA" w:rsidRDefault="00EE6D95">
      <w:pPr>
        <w:pStyle w:val="Normal5"/>
      </w:pPr>
      <w:r>
        <w:t xml:space="preserve">Pravilnik o obveznom označavanju i registraciji ovaca i koza ("Narodne novine", br. 111/07, 135/08, 154/08 i 81/11)  </w:t>
      </w:r>
    </w:p>
    <w:p w:rsidR="00D849AA" w:rsidRDefault="00EE6D95">
      <w:pPr>
        <w:pStyle w:val="Normal5"/>
      </w:pPr>
      <w:r>
        <w:lastRenderedPageBreak/>
        <w:t xml:space="preserve">Pravilnik o provođenju obveznog označavanja i registracije ovaca i koza ("Narodne novine", br. 111/07, 128/08, 154/08, 9/10 i 110/10)  </w:t>
      </w:r>
    </w:p>
    <w:p w:rsidR="00D849AA" w:rsidRDefault="00EE6D95">
      <w:pPr>
        <w:pStyle w:val="Normal5"/>
      </w:pPr>
      <w:r>
        <w:t xml:space="preserve">Pravilnik o smjernicama i postupku elektronskog označavanja ovaca i koza ("Narodne novine", br. 148/08)  </w:t>
      </w:r>
    </w:p>
    <w:p w:rsidR="00D849AA" w:rsidRDefault="00EE6D95">
      <w:pPr>
        <w:pStyle w:val="Normal5"/>
      </w:pPr>
      <w:r>
        <w:t xml:space="preserve">Pravilnik o obveznom označavanju i registraciji svinja ("Narodne novine", br. 51/07, 50/08, 156/08 , 148/09, 12/11)  </w:t>
      </w:r>
    </w:p>
    <w:p w:rsidR="00D849AA" w:rsidRDefault="00EE6D95">
      <w:pPr>
        <w:pStyle w:val="Normal5"/>
      </w:pPr>
      <w:r>
        <w:t xml:space="preserve">Pravilnik o identifikaciji kopitara ("Narodne novine", br. 123/09)  </w:t>
      </w:r>
    </w:p>
    <w:p w:rsidR="00D849AA" w:rsidRDefault="00EE6D95">
      <w:pPr>
        <w:pStyle w:val="Normal5"/>
      </w:pPr>
      <w:r>
        <w:t xml:space="preserve">Pravilnik o vođenju matičnih knjiga i uzgojnih upisnika te upisu uzgojno valjanih životinja ("Narodne novine", br. 164/04)  </w:t>
      </w:r>
    </w:p>
    <w:p w:rsidR="00D849AA" w:rsidRDefault="00EE6D95">
      <w:pPr>
        <w:pStyle w:val="Normal5"/>
      </w:pPr>
      <w:r>
        <w:t xml:space="preserve">Pravilnik o uvjetima koje moraju ispunjavati uzgojne organizacije za bavljenje uzgojem uzgojno valjanih životinja, te sadržaju očevidnika uzgojnih organizacija ("Narodne novine", br. 164/04)  </w:t>
      </w:r>
    </w:p>
    <w:p w:rsidR="00D849AA" w:rsidRDefault="00EE6D95">
      <w:pPr>
        <w:pStyle w:val="Normal5"/>
      </w:pPr>
      <w:r>
        <w:t xml:space="preserve"> „Pravilnik o registraciji primarnih proizvođača hrane za životinje ("Narodne novine", br. 153/11)“ </w:t>
      </w:r>
    </w:p>
    <w:p w:rsidR="00D849AA" w:rsidRDefault="00EE6D95">
      <w:pPr>
        <w:pStyle w:val="Normal5"/>
      </w:pPr>
      <w:r>
        <w:t xml:space="preserve">Tržišna potpora – uređenje unutarnjeg tržišta </w:t>
      </w:r>
    </w:p>
    <w:p w:rsidR="00D849AA" w:rsidRDefault="00EE6D95">
      <w:pPr>
        <w:pStyle w:val="Normal5"/>
      </w:pPr>
      <w:r>
        <w:t>EU regulative</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 xml:space="preserve">Cilj 1. Povećanje postotka evidentiranog korištenog poljoprivrednog zemljišta u ARKOD-u </w:t>
      </w:r>
    </w:p>
    <w:p w:rsidR="00D849AA" w:rsidRDefault="00EE6D95">
      <w:pPr>
        <w:pStyle w:val="Normal6"/>
      </w:pPr>
      <w:r>
        <w:t>Sve EU zemlje dužne su uspostaviti IAKS, kojim zemlje članice dodjeljuju, prate i kontroliraju izravna plaćanja poljoprivrednicima. Osnovni elementi navedenog sustava su: kompjuterizirana baza podataka, sustav identifikacije zemljišnih čestica, sustav za identifikaciju i registraciju prava na potporu, sustav za zaprimanje i obradu zahtjeva za potporu, integrirani sustav kontrole, sustav za identifikaciju poljoprivrednika koji podnose zahtjev za potporu, sustav za identifikaciju i registraciju životinja. Navedenim sustavom definirane su procedure zaprimanja zahtjeva, administrativne i inspekcijske kontrole, obrade zahtjeva i plaćanja, a ustrojavanje istog treba osigurati učinkovitiju isplatu izravnih plaćanja, te bolji nadzor i sprečavanje nepravilnosti.</w:t>
      </w:r>
    </w:p>
    <w:p w:rsidR="00D849AA" w:rsidRDefault="00EE6D95" w:rsidP="00AD0345">
      <w:pPr>
        <w:pStyle w:val="Naslov7"/>
      </w:pPr>
      <w:r>
        <w:t>Cilj 2. Procjena i ishodište potrebnih sredstava za značajnije aktivnosti/projekte</w:t>
      </w:r>
    </w:p>
    <w:p w:rsidR="00337A23" w:rsidRDefault="00337A23" w:rsidP="00337A23"/>
    <w:p w:rsidR="00337A23" w:rsidRDefault="00337A23" w:rsidP="00337A23">
      <w:pPr>
        <w:pStyle w:val="Naslov5"/>
      </w:pPr>
      <w:r>
        <w:t>Procjena i ishodište potrebnih sredstava za značajnije aktivnosti/projekte</w:t>
      </w:r>
    </w:p>
    <w:p w:rsidR="00D849AA" w:rsidRDefault="00EE6D95">
      <w:pPr>
        <w:pStyle w:val="Naslov6"/>
      </w:pPr>
      <w:r>
        <w:t>K650068 USPOSTAVA INTERGRIRANOG ADMINISTRATIVNOG  KONTROLNOG SUSTAVA - LPIS</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K650068</w:t>
            </w:r>
          </w:p>
        </w:tc>
        <w:tc>
          <w:tcPr>
            <w:tcW w:w="1486" w:type="dxa"/>
          </w:tcPr>
          <w:p w:rsidR="00D849AA" w:rsidRDefault="00EE6D95">
            <w:r>
              <w:t>30.057.062</w:t>
            </w:r>
          </w:p>
        </w:tc>
        <w:tc>
          <w:tcPr>
            <w:tcW w:w="1486" w:type="dxa"/>
          </w:tcPr>
          <w:p w:rsidR="00D849AA" w:rsidRDefault="00EE6D95">
            <w:r>
              <w:t>8.444.999</w:t>
            </w:r>
          </w:p>
        </w:tc>
        <w:tc>
          <w:tcPr>
            <w:tcW w:w="1486" w:type="dxa"/>
          </w:tcPr>
          <w:p w:rsidR="00D849AA" w:rsidRDefault="00EE6D95">
            <w:r>
              <w:t>10.759.825</w:t>
            </w:r>
          </w:p>
        </w:tc>
        <w:tc>
          <w:tcPr>
            <w:tcW w:w="1486" w:type="dxa"/>
          </w:tcPr>
          <w:p w:rsidR="00D849AA" w:rsidRDefault="00EE6D95">
            <w:r>
              <w:t>6.344.340</w:t>
            </w:r>
          </w:p>
        </w:tc>
        <w:tc>
          <w:tcPr>
            <w:tcW w:w="1486" w:type="dxa"/>
          </w:tcPr>
          <w:p w:rsidR="00D849AA" w:rsidRDefault="00EE6D95">
            <w:r>
              <w:t>28,1</w:t>
            </w:r>
          </w:p>
        </w:tc>
      </w:tr>
    </w:tbl>
    <w:p w:rsidR="00D849AA" w:rsidRDefault="00D849AA">
      <w:pPr>
        <w:jc w:val="left"/>
      </w:pPr>
    </w:p>
    <w:p w:rsidR="00D849AA" w:rsidRDefault="00EE6D95">
      <w:pPr>
        <w:pStyle w:val="Normal6"/>
      </w:pPr>
      <w:r>
        <w:t xml:space="preserve">Sustav za identifikaciju zemljišnih parcela – ARKOD, predstavlja bazu prostornih podataka svih poljoprivrednih površina i služi za administraciju, praćenje i kontrolu </w:t>
      </w:r>
      <w:r>
        <w:lastRenderedPageBreak/>
        <w:t xml:space="preserve">korištenja potpora vezanih uz površinu. On je sastavni dio Integriranog administrativnog i kontrolnog sustava (IAKS). Uspostavljen je temeljem orto-foto karata koje se periodički obnavljaju, a na kojima se evidentiraju sve promjene korištenja zemljišta.  </w:t>
      </w:r>
    </w:p>
    <w:p w:rsidR="00D849AA" w:rsidRDefault="00EE6D95">
      <w:pPr>
        <w:pStyle w:val="Normal6"/>
      </w:pPr>
      <w:r>
        <w:t xml:space="preserve">Sukladno smjernicama Europske komisije ortofoto snimke (DOF) u LPIS sustavu ne smiju biti starije od 5 godine ( preporuka 3 godine); kako su najstarije snimke u ARKOD sustavu iz 2011 potrebno je pokrenuti nabavu novog DOF-a za dvogodišnje razdoblje 2014-2015 (50%-50% teritorija RH) kako bi za kampanju 2016 imali snimke ne starije od 5 godina. </w:t>
      </w:r>
    </w:p>
    <w:p w:rsidR="00D849AA" w:rsidRDefault="00EE6D95">
      <w:pPr>
        <w:pStyle w:val="Normal6"/>
      </w:pPr>
      <w:r>
        <w:t xml:space="preserve">Nastavno na nove Uredbe za 2015 za izravna plaćanja i horizontalna pitanja, implementacija mjera povezanih sa novim CAP-om zahtijevati će dodatnu prilagodbu ARKOD sustava za njihovu potpunu integraciju. Pod ovim zadacima prije svega se misli na pripremu potrebne tehničke dokumentacije za provedbu, izrada metodologije, projektnih zadataka, funkcionalnih zahtjeva i specifikacija.  </w:t>
      </w:r>
    </w:p>
    <w:p w:rsidR="00D849AA" w:rsidRDefault="00EE6D95">
      <w:pPr>
        <w:pStyle w:val="Normal6"/>
      </w:pPr>
      <w:r>
        <w:t xml:space="preserve">Kako bi sustav bio spreman za podršku i administriranje AO mjera i mjera RR sukladno Programu ruralnog razvoja 2014-2022,, potrebno je provesti detaljnu analizu svih predloženih mjera,te izraditi metodologiju primjene, projektne zadatke (za eventualne nadopune prostornih podataka (pedološki podaci, meteoorološki podaci -oborine/vjetar/insolacija, podaci o ograničima u poljoprivrednoj priozvodnji -LFA, vjetrozaštitni pojasevi, cvjetne trake, itd.)        </w:t>
      </w:r>
    </w:p>
    <w:p w:rsidR="00D849AA" w:rsidRDefault="00EE6D95">
      <w:pPr>
        <w:pStyle w:val="Normal6"/>
      </w:pPr>
      <w:r>
        <w:t xml:space="preserve">Sukladno Zakonu o državnoj izmjeri te Sporazumu o suradnji između APPRRR i DGU od 05.05.2013. članak 8, Agencija će kao jedan od korisnika prostornih podataka iz nadležnosti DGU, sufinancirati održavanje podataka i proizvoda koje koristi u redovitom poslovanju (podaci TTB-a, DKP-a,TK25, SRPJ). Ovdje su također uključene i dodatne aktivnosti vezano uz pružanje tehničke i logističke podrške kod provedbe projekata koje će pokretati i voditi Agencija,dakle ciklička nabava novog DOF-a, kontrola kvalitete, održavanje i produkcija novih prostornih podataka, itd.        </w:t>
      </w:r>
    </w:p>
    <w:p w:rsidR="00D849AA" w:rsidRDefault="00EE6D95">
      <w:pPr>
        <w:pStyle w:val="Normal6"/>
      </w:pPr>
      <w:r>
        <w:t xml:space="preserve">Stupanjem na snagu Zakona o NIPP-u, Agencija kao značajan korisnik dužna je uključiti se u pripremu i razvoj preduvjeta za ravnopravno uključivanje na tehničkoj razini, što bi značilo dodatan razvoj infrastrikture (hardvere i softvere) za mogućnosti praćenja promjena, otvaranja dodatnih WEB servisa prema drugim subjektima, te organiziranje prostornih podataka na način koji će biti u skladu sa potrebama za pružanjem i korištenjem prostornih podataka iz raznih izvora. Aktivnosti će uključivati pripremu metodolške podloge, te projektnih zadatka za izradu funkcionalnih zahtjeva i specifikacija za omogućavanje implemntacije unutar ARKOD sustava.      </w:t>
      </w:r>
    </w:p>
    <w:p w:rsidR="00D849AA" w:rsidRDefault="00EE6D95">
      <w:pPr>
        <w:pStyle w:val="Normal6"/>
      </w:pPr>
      <w:r>
        <w:t xml:space="preserve">Člankom 68. Pravilnika o provedbi izravnih plaćanja i IAKS mjera ruralnog razvoja (NN, 145/12, 29/13), predviđeno je provođenje kontrola na terenu u najmanje 5% svih poljoprivrednih gospodarstava, za svaku vrstu potpore prijavljene na jedinstvenom  Zahtjevu.  </w:t>
      </w:r>
    </w:p>
    <w:p w:rsidR="00D849AA" w:rsidRDefault="00EE6D95">
      <w:pPr>
        <w:pStyle w:val="Normal6"/>
      </w:pPr>
      <w:r>
        <w:t xml:space="preserve">Ukupan broj kontrola na terenu višestruke sukladnosti (GAEC-a i SMR-a), obavljenih svake godine obuhvaća najmanje 1% svih poljoprivrednih gospodarstava. </w:t>
      </w:r>
    </w:p>
    <w:p w:rsidR="00D849AA" w:rsidRDefault="00EE6D95">
      <w:pPr>
        <w:pStyle w:val="Normal6"/>
      </w:pPr>
      <w:r>
        <w:t xml:space="preserve">Cilj kontrole na terenu je provjeriti prihvatljivost zahtjeva poljoprivrednika koji su podnijeli zahtjev za potpore na način da se utvrdi činjenično stanje na poljoprivrednom gospodarstvu i usporedi sa navodima iz zahtjeva korisnika i uvjetima za davanje potpore, a prije njihove isplate u  tekućoj godini.  </w:t>
      </w:r>
    </w:p>
    <w:p w:rsidR="00D849AA" w:rsidRDefault="00EE6D95">
      <w:pPr>
        <w:pStyle w:val="Normal6"/>
      </w:pPr>
      <w:r>
        <w:t xml:space="preserve">Prema načinu izvođenja, kontrole na terenu se provode na tri načina.  </w:t>
      </w:r>
    </w:p>
    <w:p w:rsidR="00D849AA" w:rsidRDefault="00EE6D95">
      <w:pPr>
        <w:pStyle w:val="Normal6"/>
      </w:pPr>
      <w:r>
        <w:t xml:space="preserve">1. Fizičkim izlaskom kontrolora na poljoprivredno gospodarstvo (PG),radi provođenja: </w:t>
      </w:r>
    </w:p>
    <w:p w:rsidR="00D849AA" w:rsidRDefault="00EE6D95">
      <w:pPr>
        <w:pStyle w:val="Normal6"/>
      </w:pPr>
      <w:r>
        <w:t xml:space="preserve">- Klasične kontrole na terenu prihvatljivosti za plaćanje površina i kontrola GAEC-a, </w:t>
      </w:r>
    </w:p>
    <w:p w:rsidR="00D849AA" w:rsidRDefault="00EE6D95">
      <w:pPr>
        <w:pStyle w:val="Normal6"/>
      </w:pPr>
      <w:r>
        <w:t xml:space="preserve">- Klasične kontrole na terenu prihvatljivosti za plaćanje u stočarstvu i dijela standardnih zahtjeva za upravljanjem SMR-ova   </w:t>
      </w:r>
    </w:p>
    <w:p w:rsidR="00D849AA" w:rsidRDefault="00EE6D95">
      <w:pPr>
        <w:pStyle w:val="Normal6"/>
      </w:pPr>
      <w:r>
        <w:lastRenderedPageBreak/>
        <w:t xml:space="preserve">2. Korištenjem satelitskih i/ili avionskih snimaka radi provođenja: </w:t>
      </w:r>
    </w:p>
    <w:p w:rsidR="00D849AA" w:rsidRDefault="00EE6D95">
      <w:pPr>
        <w:pStyle w:val="Normal6"/>
      </w:pPr>
      <w:r>
        <w:t xml:space="preserve">- Kontrole na terenu prihvatljivosti površina daljinskim istraživanjem (CwRS) </w:t>
      </w:r>
    </w:p>
    <w:p w:rsidR="00D849AA" w:rsidRDefault="00EE6D95">
      <w:pPr>
        <w:pStyle w:val="Normal6"/>
      </w:pPr>
      <w:r>
        <w:t xml:space="preserve">3. Kombinacijom ovih dvaju načina, radi provođenja: </w:t>
      </w:r>
    </w:p>
    <w:p w:rsidR="00D849AA" w:rsidRDefault="00EE6D95">
      <w:pPr>
        <w:pStyle w:val="Normal6"/>
      </w:pPr>
      <w:r>
        <w:t xml:space="preserve">- Kontrole na terenu poštivanja dijela dobrih poljoprivrednih i okolišnih uvjeta (GAEC-a) </w:t>
      </w:r>
    </w:p>
    <w:p w:rsidR="00D849AA" w:rsidRDefault="00EE6D95">
      <w:pPr>
        <w:pStyle w:val="Normal6"/>
      </w:pPr>
      <w:r>
        <w:t>daljinskim istraživanjem (CwRS-om) i dijela GAEC-a klasičnom kontrolom na terenu.</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Održavanje referentnog sustava za evidentiranje korištenja poljoprivrednog zemljišta</w:t>
            </w:r>
          </w:p>
        </w:tc>
        <w:tc>
          <w:tcPr>
            <w:tcW w:w="1114" w:type="dxa"/>
          </w:tcPr>
          <w:p w:rsidR="00D849AA" w:rsidRDefault="00EE6D95">
            <w:r>
              <w:t>%</w:t>
            </w:r>
          </w:p>
        </w:tc>
        <w:tc>
          <w:tcPr>
            <w:tcW w:w="1114" w:type="dxa"/>
          </w:tcPr>
          <w:p w:rsidR="00D849AA" w:rsidRDefault="00EE6D95">
            <w:r>
              <w:t>100</w:t>
            </w:r>
          </w:p>
        </w:tc>
        <w:tc>
          <w:tcPr>
            <w:tcW w:w="1486" w:type="dxa"/>
          </w:tcPr>
          <w:p w:rsidR="00D849AA" w:rsidRDefault="00EE6D95">
            <w:r>
              <w:t>100</w:t>
            </w:r>
          </w:p>
        </w:tc>
        <w:tc>
          <w:tcPr>
            <w:tcW w:w="1486" w:type="dxa"/>
          </w:tcPr>
          <w:p w:rsidR="00D849AA" w:rsidRDefault="00EE6D95">
            <w:r>
              <w:t>100</w:t>
            </w:r>
          </w:p>
        </w:tc>
        <w:tc>
          <w:tcPr>
            <w:tcW w:w="1486" w:type="dxa"/>
          </w:tcPr>
          <w:p w:rsidR="00D849AA" w:rsidRDefault="00EE6D95">
            <w:r>
              <w:t>100</w:t>
            </w:r>
          </w:p>
        </w:tc>
      </w:tr>
    </w:tbl>
    <w:p w:rsidR="00D849AA" w:rsidRDefault="00D849AA">
      <w:pPr>
        <w:jc w:val="left"/>
      </w:pPr>
    </w:p>
    <w:p w:rsidR="00D849AA" w:rsidRDefault="00EE6D95">
      <w:pPr>
        <w:pStyle w:val="Naslov2"/>
      </w:pPr>
      <w:r>
        <w:t>06035 Hrvatski centar za poljoprivredu, hranu i selo</w:t>
      </w:r>
    </w:p>
    <w:p w:rsidR="00D849AA" w:rsidRDefault="00EE6D95">
      <w:pPr>
        <w:pStyle w:val="Naslov4"/>
      </w:pPr>
      <w:r>
        <w:t>Uvod</w:t>
      </w:r>
    </w:p>
    <w:p w:rsidR="00D849AA" w:rsidRDefault="00EE6D95">
      <w:pPr>
        <w:pStyle w:val="Normal3"/>
      </w:pPr>
      <w:r>
        <w:t xml:space="preserve">UVOD </w:t>
      </w:r>
    </w:p>
    <w:p w:rsidR="00D849AA" w:rsidRDefault="00EE6D95">
      <w:pPr>
        <w:pStyle w:val="Normal3"/>
      </w:pPr>
      <w:r>
        <w:t xml:space="preserve">Hrvatski centar za poljoprivredu, hranu i selo (dalje u tekstu: Centar), Svetošimunska cesta 25, 10000 Zagreb, osnovan je na temelju Zakona o osnivanju Hrvatskog centra za poljoprivredu, hranu i selo (NN 25/09, 124/10) (dalje u tekstu: Zakon). </w:t>
      </w:r>
    </w:p>
    <w:p w:rsidR="00D849AA" w:rsidRDefault="00EE6D95">
      <w:pPr>
        <w:pStyle w:val="Normal3"/>
      </w:pPr>
      <w:r>
        <w:t xml:space="preserve">Djelatnost Centra se obavlja temeljem članka 3. Zakona putem ustrojstvenih jedinica koje sukladno Statutu čine: Ured ravnateljice (UR), Zavod za zaštitu bilja (ZZB), Zavod za vinogradarstvo i vinarstvo (ZVV), Zavod za voćarstvo (ZV) te Zavod za sjemenarstvo i rasadničarstvo (ZSR), dok  se Zavod za  tlo sukladno Zakonu o poljoprivrednom zemljištu (NN 39/13 ) izdvojio iz Centra   23. srpnja 2013. i prešao  u Agenciju za poljoprivredno zemljište. </w:t>
      </w:r>
    </w:p>
    <w:p w:rsidR="00D849AA" w:rsidRDefault="00EE6D95">
      <w:pPr>
        <w:pStyle w:val="Normal3"/>
      </w:pPr>
      <w:r>
        <w:t>U Državnom proračunu Republike Hrvatske, unutar organizacijske klasifikacije Ministarstva poljoprivrede (060), Hrvatski centar za poljoprivredu, hranu i selo strukturiran je na poziciji glave 06035.</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06035</w:t>
            </w:r>
          </w:p>
        </w:tc>
        <w:tc>
          <w:tcPr>
            <w:tcW w:w="1486" w:type="dxa"/>
          </w:tcPr>
          <w:p w:rsidR="00D849AA" w:rsidRDefault="00EE6D95">
            <w:r>
              <w:t>44.200.000</w:t>
            </w:r>
          </w:p>
        </w:tc>
        <w:tc>
          <w:tcPr>
            <w:tcW w:w="1486" w:type="dxa"/>
          </w:tcPr>
          <w:p w:rsidR="00D849AA" w:rsidRDefault="00EE6D95">
            <w:r>
              <w:t>37.213.870</w:t>
            </w:r>
          </w:p>
        </w:tc>
        <w:tc>
          <w:tcPr>
            <w:tcW w:w="1486" w:type="dxa"/>
          </w:tcPr>
          <w:p w:rsidR="00D849AA" w:rsidRDefault="00EE6D95">
            <w:r>
              <w:t>36.913.870</w:t>
            </w:r>
          </w:p>
        </w:tc>
        <w:tc>
          <w:tcPr>
            <w:tcW w:w="1486" w:type="dxa"/>
          </w:tcPr>
          <w:p w:rsidR="00D849AA" w:rsidRDefault="00EE6D95">
            <w:r>
              <w:t>36.913.870</w:t>
            </w:r>
          </w:p>
        </w:tc>
        <w:tc>
          <w:tcPr>
            <w:tcW w:w="1486" w:type="dxa"/>
          </w:tcPr>
          <w:p w:rsidR="00D849AA" w:rsidRDefault="00EE6D95">
            <w:r>
              <w:t>84,2</w:t>
            </w:r>
          </w:p>
        </w:tc>
      </w:tr>
    </w:tbl>
    <w:p w:rsidR="00D849AA" w:rsidRDefault="00D849AA">
      <w:pPr>
        <w:jc w:val="left"/>
      </w:pPr>
    </w:p>
    <w:p w:rsidR="00D849AA" w:rsidRDefault="00EE6D95">
      <w:pPr>
        <w:pStyle w:val="Naslov4"/>
      </w:pPr>
      <w:r>
        <w:lastRenderedPageBreak/>
        <w:t>OBRAZLOŽENJE PROGRAMA</w:t>
      </w:r>
    </w:p>
    <w:p w:rsidR="00D849AA" w:rsidRDefault="00EE6D95">
      <w:pPr>
        <w:pStyle w:val="Naslov5"/>
      </w:pPr>
      <w:r>
        <w:t>3001 UPRAVLJANJE POLJOPRIVREDOM, RIBARSTVOM I RURALNIM RAZVOJEM</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3001</w:t>
            </w:r>
          </w:p>
        </w:tc>
        <w:tc>
          <w:tcPr>
            <w:tcW w:w="1486" w:type="dxa"/>
          </w:tcPr>
          <w:p w:rsidR="00D849AA" w:rsidRDefault="00EE6D95">
            <w:r>
              <w:t>38.942.000</w:t>
            </w:r>
          </w:p>
        </w:tc>
        <w:tc>
          <w:tcPr>
            <w:tcW w:w="1486" w:type="dxa"/>
          </w:tcPr>
          <w:p w:rsidR="00D849AA" w:rsidRDefault="00EE6D95">
            <w:r>
              <w:t>33.085.870</w:t>
            </w:r>
          </w:p>
        </w:tc>
        <w:tc>
          <w:tcPr>
            <w:tcW w:w="1486" w:type="dxa"/>
          </w:tcPr>
          <w:p w:rsidR="00D849AA" w:rsidRDefault="00EE6D95">
            <w:r>
              <w:t>32.785.870</w:t>
            </w:r>
          </w:p>
        </w:tc>
        <w:tc>
          <w:tcPr>
            <w:tcW w:w="1486" w:type="dxa"/>
          </w:tcPr>
          <w:p w:rsidR="00D849AA" w:rsidRDefault="00EE6D95">
            <w:r>
              <w:t>32.785.870</w:t>
            </w:r>
          </w:p>
        </w:tc>
        <w:tc>
          <w:tcPr>
            <w:tcW w:w="1486" w:type="dxa"/>
          </w:tcPr>
          <w:p w:rsidR="00D849AA" w:rsidRDefault="00EE6D95">
            <w:r>
              <w:t>85,0</w:t>
            </w:r>
          </w:p>
        </w:tc>
      </w:tr>
    </w:tbl>
    <w:p w:rsidR="00D849AA" w:rsidRDefault="00D849AA">
      <w:pPr>
        <w:jc w:val="left"/>
      </w:pPr>
    </w:p>
    <w:p w:rsidR="00D849AA" w:rsidRDefault="00EE6D95">
      <w:pPr>
        <w:pStyle w:val="Naslov6"/>
      </w:pPr>
      <w:r>
        <w:t>Opis programa</w:t>
      </w:r>
    </w:p>
    <w:p w:rsidR="00D849AA" w:rsidRDefault="00EE6D95">
      <w:pPr>
        <w:pStyle w:val="Normal5"/>
      </w:pPr>
      <w:r>
        <w:t xml:space="preserve">VIZIJA </w:t>
      </w:r>
    </w:p>
    <w:p w:rsidR="00D849AA" w:rsidRDefault="00EE6D95">
      <w:pPr>
        <w:pStyle w:val="Normal5"/>
      </w:pPr>
      <w:r>
        <w:t xml:space="preserve">Olakšati i potaknuti procese prilagodbe, rasta i razvoja poljoprivrednog sektora i cjelokupnog ruralnog prostora u odnosu na izazove globalizacije, prehrambenih ekoloških i klimatskih izazova pred poljoprivredom. </w:t>
      </w:r>
    </w:p>
    <w:p w:rsidR="00D849AA" w:rsidRDefault="00EE6D95">
      <w:pPr>
        <w:pStyle w:val="Normal5"/>
      </w:pPr>
      <w:r>
        <w:t xml:space="preserve">MISIJA </w:t>
      </w:r>
    </w:p>
    <w:p w:rsidR="00D849AA" w:rsidRDefault="00EE6D95">
      <w:pPr>
        <w:pStyle w:val="Normal5"/>
      </w:pPr>
      <w:r>
        <w:t xml:space="preserve">Razvijanje vrsnosti stručnog i istraživačkog rada, te vrsnosti servisiranja poljoprivrede i poljoprivrednika, u području nadzora, javnih ovlasti, prijenosa znanja i tehnologija iz područja poljoprivrede i srodnih znanosti u strukture uprave i gospodarstva, koji se bave poljoprivrednom politikom i proizvodnjom. </w:t>
      </w:r>
    </w:p>
    <w:p w:rsidR="00D849AA" w:rsidRDefault="00EE6D95">
      <w:pPr>
        <w:pStyle w:val="Normal5"/>
      </w:pPr>
      <w:r>
        <w:t xml:space="preserve">CILJEVI </w:t>
      </w:r>
    </w:p>
    <w:p w:rsidR="00D849AA" w:rsidRDefault="00EE6D95">
      <w:pPr>
        <w:pStyle w:val="Normal5"/>
      </w:pPr>
      <w:r>
        <w:t xml:space="preserve">1. Provođenje istraživanja, nadzora, javnih ovlasti u svrhu povećanja učinkovitosti i konkurentnosti poljoprivredne proizvodnje </w:t>
      </w:r>
    </w:p>
    <w:p w:rsidR="00D849AA" w:rsidRDefault="00EE6D95">
      <w:pPr>
        <w:pStyle w:val="Normal5"/>
      </w:pPr>
      <w:r>
        <w:t xml:space="preserve">1.1.: Unapređenje uzgoja poljoprivednih kultura </w:t>
      </w:r>
    </w:p>
    <w:p w:rsidR="00D849AA" w:rsidRDefault="00EE6D95">
      <w:pPr>
        <w:pStyle w:val="Normal5"/>
      </w:pPr>
      <w:r>
        <w:t xml:space="preserve">1.2.: Zaštita poljoprivrednih kultura od štetnih organizama </w:t>
      </w:r>
    </w:p>
    <w:p w:rsidR="00D849AA" w:rsidRDefault="00EE6D95">
      <w:pPr>
        <w:pStyle w:val="Normal5"/>
      </w:pPr>
      <w:r>
        <w:t xml:space="preserve">1.3: Kakvoća poljoprivrednih proizvoda i proizvoda dobivenih preradom </w:t>
      </w:r>
    </w:p>
    <w:p w:rsidR="00D849AA" w:rsidRDefault="00EE6D95">
      <w:pPr>
        <w:pStyle w:val="Normal5"/>
      </w:pPr>
      <w:r>
        <w:t xml:space="preserve">1.4: Unapređenje sustava kvalitete </w:t>
      </w:r>
    </w:p>
    <w:p w:rsidR="00D849AA" w:rsidRDefault="00EE6D95">
      <w:pPr>
        <w:pStyle w:val="Normal5"/>
      </w:pPr>
      <w:r>
        <w:t xml:space="preserve">Provođenje istraživanja, nadzora, javnih ovlasti u svrhu povećanja učinkovitosti i konkurentnosti poljoprivredne proizvodnje. </w:t>
      </w:r>
    </w:p>
    <w:p w:rsidR="00D849AA" w:rsidRDefault="00EE6D95">
      <w:pPr>
        <w:pStyle w:val="Normal5"/>
      </w:pPr>
      <w:r>
        <w:t xml:space="preserve">Stvaranje “kritične mase” stručnog i znanstvenog potencijala koji će biti sposoban u stvaranju kvalitetnih podloga državnoj upravi i matičnom Ministarstvu radi formuliranja i provođenja poljoprivredne politike. Ovaj cilj podrazumijeva i prijenos znanja i tehnologija, u područje srodnih znanosti te u strukture gospodarstva, istraživanja i javne ovlasti ispitivanja poljoprivrednih proizvoda i nadzor u području glavnih i rubnih ili nedovoljno pokrivenih područja proizvodnje. Naveden opći cilj proizlazi iz Zakona o osnivanju Hrvatskog centra za poljoprivredu, hranu i selo (NN 25/09, 124/10). </w:t>
      </w:r>
    </w:p>
    <w:p w:rsidR="00D849AA" w:rsidRDefault="00EE6D95">
      <w:pPr>
        <w:pStyle w:val="Normal5"/>
      </w:pPr>
      <w:r>
        <w:t>Realizacija programa doprinjet će ostvarivanju ciljeva utvrđenih Strategijom Vladinih mjera programa za razdoblje 2014-2016, i to posebno cilja Zaštita zdravkha ljudi, životinja i bilja, te zaštita interesa potrošača.</w:t>
      </w:r>
    </w:p>
    <w:p w:rsidR="00D849AA" w:rsidRDefault="00EE6D95">
      <w:pPr>
        <w:pStyle w:val="Naslov6"/>
      </w:pPr>
      <w:r>
        <w:t>Zakonske i druge pravne osnove</w:t>
      </w:r>
    </w:p>
    <w:p w:rsidR="00D849AA" w:rsidRDefault="00EE6D95">
      <w:pPr>
        <w:pStyle w:val="Normal5"/>
      </w:pPr>
      <w:r>
        <w:t xml:space="preserve">Zakon o osnivanju Hrvatskog centra za pojoprivredu , hrabu i selo ( NN 25/09 i 124/10), Zakona o biljnom zdrastvu ( N.N 75/05, 25/09 i 55/11), Zakona o sredstvima za zaštitu bilja ( N.N. 70/05 i 25/09), Zakona o sjemenu, sadnom materjalu i priznavanju sorti pojoprivrednog </w:t>
      </w:r>
      <w:r>
        <w:lastRenderedPageBreak/>
        <w:t>bilja (NN 140/05, 35/08, 55/11), Zakon  o zštiti biljnih sorti  ( NN 131/97, 62/00, 67/08 i 124/10), Zakon o vinu ( NN 96/03, 25/09 i 55/11=.</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 xml:space="preserve">Cilj 1. </w:t>
      </w:r>
      <w:r w:rsidR="00C664CD">
        <w:t xml:space="preserve">Unapređenje uzgoja poljoprivrednih kultura </w:t>
      </w:r>
    </w:p>
    <w:p w:rsidR="00D849AA" w:rsidRDefault="00EE6D95">
      <w:pPr>
        <w:pStyle w:val="Normal6"/>
      </w:pPr>
      <w:r>
        <w:t xml:space="preserve">Unapređenje uzgoja poljoprivrednih kultura će obuhvatiti jezgričavo i koštićavo voće (jabuka, kruška, šljiva, trešnja, višnja, marelica…), mediteranske kulture (maslina, agrumi, smokva ...), sjemenarsku proizvodnju, vinovu lozu itd.,  </w:t>
      </w:r>
    </w:p>
    <w:p w:rsidR="00D849AA" w:rsidRDefault="00EE6D95">
      <w:pPr>
        <w:pStyle w:val="Normal6"/>
      </w:pPr>
      <w:r>
        <w:t xml:space="preserve">Praćenje i istraživanje će se obavljati na vlastitim pokušalištima u Zelini, Kaštelima, Osijeku i drugim površinama koje koristi Centar. </w:t>
      </w:r>
    </w:p>
    <w:p w:rsidR="00D849AA" w:rsidRDefault="00EE6D95">
      <w:pPr>
        <w:pStyle w:val="Normal6"/>
      </w:pPr>
      <w:r>
        <w:t xml:space="preserve">Način ostvarenja posebnog cilja: </w:t>
      </w:r>
    </w:p>
    <w:p w:rsidR="00D849AA" w:rsidRDefault="00EE6D95">
      <w:pPr>
        <w:pStyle w:val="Normal6"/>
      </w:pPr>
      <w:r>
        <w:t>1.1.1</w:t>
      </w:r>
      <w:r>
        <w:tab/>
        <w:t xml:space="preserve">Unapređenje voćarstva i vinogradarstva u Republici Hrvatskoj </w:t>
      </w:r>
    </w:p>
    <w:p w:rsidR="00D849AA" w:rsidRDefault="00EE6D95">
      <w:pPr>
        <w:pStyle w:val="Normal6"/>
      </w:pPr>
      <w:r>
        <w:t xml:space="preserve">Sukladno Zakona o osnivanju Hrvatskog centra za poljoprivredu, hranu i selo (NN 25/09), članak 3, Zakonu o sjemenu, sadnom materijalu i priznavanju sorti poljoprivrednog bilja (NN 140/05, 35/08), Pravilniku o upisu sorti u popis sorti voćnih vrsta (NN 89/09), Pravilniku o stavljanju na tržište reprodukcijskog sadnog materijala i sadnica namijenjenih za proizvodnju voća (NN 100/09, 153/09), Pravilniku o očuvanju i održivoj uporabi biljnih genetskih izvora (NN 89/09), EU Direktivi Vijeća (Council Directive) 2008/90/EC o stavljanju na tržište reprodukcijskog sadnog materijala voćnih vrsta i sadnica voća namijenjenih za proizvodnju, provode se postupci unapređenja voćarske proizvodnje u Republici Hrvatskoj. </w:t>
      </w:r>
    </w:p>
    <w:p w:rsidR="00D849AA" w:rsidRDefault="00EE6D95">
      <w:pPr>
        <w:pStyle w:val="Normal6"/>
      </w:pPr>
      <w:r>
        <w:t xml:space="preserve">Po ugledu na vodeće europske vinogradarske zemlje, potrebno je utemeljenje referentnih vinograda u svim vinogradarskim proizvodnim jedinicama Republike Hrvatske (vinogorja, značajni položaji) pogotovo one koje imaju proizvode vrhunske kvalitete. Referentni punktovi su zemljopisno ograničeni dijelovi vinogorja s pogodnim okolišnim uvjetima, obzirom na klimu, tlo, nadmorsku visinu, ekspoziciju, kao i sortiment, koji omogućuju proizvodnju grožđa i vina posebne kakvoće. Referentni punktovi služit će kao višegodišnji poligoni za praćenje dinamike dozrijevanja grožđa najznačajnijih sorata vinove loze Republike Hrvatske. Pratit će se niz pokazatelja priroda i kakvoće grožđa koji su uvjetovani klimatskim i geomorfološkim činbenicima. Podaci prikupljeni iz ovih istraživanja bili bi temeljem uspostave baze podataka koji su potrebni za banku podataka autentičnih vina Republike Hrvatske i EU, kao i za sveopće unapređenje našeg vinogradarstva. Pokazatelju učinaka bit će iskazani u okviru A842001 Administracija i upravljanje HCPHS .  </w:t>
      </w:r>
    </w:p>
    <w:p w:rsidR="00D849AA" w:rsidRDefault="00EE6D95">
      <w:pPr>
        <w:pStyle w:val="Normal6"/>
      </w:pPr>
      <w:r>
        <w:t>1.1.1.1</w:t>
      </w:r>
      <w:r>
        <w:tab/>
        <w:t xml:space="preserve">Podizanje i održavanje matičnih nasada </w:t>
      </w:r>
    </w:p>
    <w:p w:rsidR="00D849AA" w:rsidRDefault="00EE6D95">
      <w:pPr>
        <w:pStyle w:val="Normal6"/>
      </w:pPr>
      <w:r>
        <w:t xml:space="preserve">Podizanje matičnih nasada, tj. provođenje programa proizvodnje reprodukcijskoga sadnog materijala voćnih vrsta djelatnost je Zavoda za voćarstvo HCPHS-a, kao što je bilo uređeno Uredbom o osnivanju istog (NN 100/2001). Na Pokušalištu HCPHS-a u D. Zelini na T7 posađen je matični nasad na površini od 1 ha. Matični nasad je prijavljen u sustav stručnog nadzora poljoprivrednog reprodukcijskog materijala (NN 100/09, 153/09, 72/10, 30/11). Sadrži sadnice: višnje Oblačinske, šljive Stanley, jabuke Golden delicious klon B, Summerred, Granny smith i Idared. Na tabli T2 posađeno je i umatičeno 20 sorti lijeske. </w:t>
      </w:r>
    </w:p>
    <w:p w:rsidR="00D849AA" w:rsidRDefault="00EE6D95">
      <w:pPr>
        <w:pStyle w:val="Normal6"/>
      </w:pPr>
      <w:r>
        <w:t xml:space="preserve">Ciljevi: Distribucija reprodukscijskog materijala iz zasnovanog matičnjaka. </w:t>
      </w:r>
    </w:p>
    <w:p w:rsidR="00D849AA" w:rsidRDefault="00EE6D95">
      <w:pPr>
        <w:pStyle w:val="Normal6"/>
      </w:pPr>
      <w:r>
        <w:t>1.1.1.2</w:t>
      </w:r>
      <w:r>
        <w:tab/>
        <w:t xml:space="preserve">Introdukcija novih sorti i održavanje introdukcijskih nasada, prikupljanje i analiza podataka </w:t>
      </w:r>
    </w:p>
    <w:p w:rsidR="00D849AA" w:rsidRDefault="00EE6D95">
      <w:pPr>
        <w:pStyle w:val="Normal6"/>
      </w:pPr>
      <w:r>
        <w:t xml:space="preserve">Suradnjom s vodećim europskim oplemenjivačkim kućama, te s institucijama iz područja voćarstva, Zavod za voćarstvo HCPHS-a, radi na introdukciji novih i potencijalno </w:t>
      </w:r>
      <w:r>
        <w:lastRenderedPageBreak/>
        <w:t xml:space="preserve">vrijednih sorti voća s kojima hrvatsko tržište još nije upoznato, a dobro su prihvaćene na tržištu u Europi. Cilj je istražiti njihovu prikladnost za uzgoj u našim agro-ekološkim uvjetima. Također se razvija i suradnja u razmjeni iskustava vezano za tehnologije proizvodnje u voćarstvu. Poslovi uvođenja i istraživanja novih sorti uključuju pred-introdukciju i introdukciju. Nakon obrade rezultata iz pred-introdukcijskih pokusa započinje proces introdukcije u smislu detaljnijih istraživanja na većem broju sadnica onih sorti koje su se pokazale perspektivne i pogodne za uzgoj u našim uvjetima.  </w:t>
      </w:r>
    </w:p>
    <w:p w:rsidR="00D849AA" w:rsidRDefault="00EE6D95">
      <w:pPr>
        <w:pStyle w:val="Normal6"/>
      </w:pPr>
      <w:r>
        <w:t xml:space="preserve">Zavod za voćarstvo istražuje i nove tehnologije uzgoja voćarskih kultura. Istraživanje uzgoja agruma na skeletnim tlima se provodi u suradnji s poljoprivrednim proizvođačima. Agrumi se intenzivno mogu uzgajati u Dubrovačko-neretvanskoj i dijelom u Splitsko-dalmatinskoj županiji. Međutim, iako Republika Hrvatska kod mandarine ima samodostatnost (i višak kojeg izvozi), ostale vrste agruma uvoze se u znatnim količinama. Istražit će se reakcija različitih kombinacija podloga i sorata agruma: limun, naranča i klementina i preporuka za uzgoj na većim površinama ili ograničeni uzgoj uz daljnja istraživanja. Uzgoj masline u gustom sklopu u Republici Hrvatskoj dosad nije istraživan, a rezultati istraživanja imali bi svoju primjenjivu vrijednost, posebice na višim površinama. Za tu namjenu HCPHS je sredinom 2010. godine pripremio i posadio pokusno-proizvodnu površinu od 1,5 ha u Kaštel Štafiliću za istraživanje uzgoja masline u gustom sklopu. Projekt se odvija u suradnji s Udrugom maslinara “Lotnjak” Klis te na taj način osiguravamo transfer znanja do naših proizvođača-maslinara. Cilj je pokusa da se uzgojem u gustom sklopu utvrde prednosti i nedostatci gustog uzgoja masline u odnosu na klasični uzgoj te ocijeni ponašanje domaćih, udomaćenih i novih introduciranih sorata u našim agroekološkim uvjetima, na području srednje Dalmacije.  </w:t>
      </w:r>
    </w:p>
    <w:p w:rsidR="00D849AA" w:rsidRDefault="00EE6D95">
      <w:pPr>
        <w:pStyle w:val="Normal6"/>
      </w:pPr>
      <w:r>
        <w:t xml:space="preserve">Cilj: Nastaviti s aktivnostima introdukcije novih i vodećih sorti voćnih vrsta u smislu održavanja kontakata s vodećim europskim oplemenjivačkim institucijama: Research and Breeding Institute of Pomology, Holovousy - Republika Češka, Better3Fruit NV - Belgija, Fresh Forward Marketing BV – Nizozemska, Consorzio Italiano Vivaisti C.I.V. - Italija, Cameo Europe - Francuska, Artevos - Njemačka, DCA Bologna - Italija, SNC Elaris – Francuska, IFO-Francuska, itd., dobivanje podataka o pomološkim i gospodarskim obilježjima odabranih sorti koje služe kao osnova za izradu preporučene sortne liste, dobivanje rezultata istraživanja novih tehnologija uzgoja. </w:t>
      </w:r>
    </w:p>
    <w:p w:rsidR="00D849AA" w:rsidRDefault="00EE6D95">
      <w:pPr>
        <w:pStyle w:val="Normal6"/>
      </w:pPr>
      <w:r>
        <w:t xml:space="preserve">Klonska selekcija i kolekcija starih sorata </w:t>
      </w:r>
    </w:p>
    <w:p w:rsidR="00D849AA" w:rsidRDefault="00EE6D95">
      <w:pPr>
        <w:pStyle w:val="Normal6"/>
      </w:pPr>
      <w:r>
        <w:t xml:space="preserve">Klonska selekcija sastoji se od pomološkog i tehnološkog vrednovanja autohtonih genotipova voćnih vrsta u cilju odabira i daljnjeg selekcioniranja novih sorti poboljšanih svojstava koje su pogodne za uzgoj u našim agro-ekološkim uvjetima. Trenutno se provodi projekt 'Pomološko-tehnološkog vrednovanja autohtonih genotipova šljive' u suradnji s Agronomskim fakultetom. Pomološka identifikacija domaćih genotipova šljive iz Slavonije i Like ima za cilj identificirati sorte šljive, zatim zasnivanje matičnih nasada u svrhu komercijalnog uzgoja onih sorti koje će pokazati dobra pomološka i tehnološka svojstva.  </w:t>
      </w:r>
    </w:p>
    <w:p w:rsidR="00D849AA" w:rsidRDefault="00EE6D95">
      <w:pPr>
        <w:pStyle w:val="Normal6"/>
      </w:pPr>
      <w:r>
        <w:t xml:space="preserve">Zavod za voćarstvo HCPHS-a, provodi klonsku selekciju marelica i trešnji. U sklopu navedenih istraživanja obavlja se identifikacija i kolekcioniranje naših autohtonih tipova i sorti voćnih vrsta. Održavanje i proširenje kolekcije starih sorti voćnih vrsta ima za cilj očuvanje vrijednih genetskih resursa domaćih voćnih vrsta. Do sada je posađena kolekcija starih sorti jabuka koja se sastoji od 13 sorti. Planirano je daljnje proširenje kolekcije na sve ostale gospodarski vrijedne voćne vrste. </w:t>
      </w:r>
    </w:p>
    <w:p w:rsidR="00D849AA" w:rsidRDefault="00EE6D95">
      <w:pPr>
        <w:pStyle w:val="Normal6"/>
      </w:pPr>
      <w:r>
        <w:t>1.1.2</w:t>
      </w:r>
      <w:r>
        <w:tab/>
        <w:t xml:space="preserve">Osiguranje kvalitetnog reprodukcijskog materijala u poljoprivredi </w:t>
      </w:r>
    </w:p>
    <w:p w:rsidR="00D849AA" w:rsidRDefault="00EE6D95">
      <w:pPr>
        <w:pStyle w:val="Normal6"/>
      </w:pPr>
      <w:r>
        <w:t xml:space="preserve">Osnovna pretpostavka poljoprivredne proizvodnje je reprodukcijski sadni materijal. Hrvatska je u posljednjih desetak godina administrativnim mjerama uspjela postići da se u proizvodnji gotovo 100% koristilo certificirano sjeme. U tom razdoblju znatno je porasla i prosječna proizvodnja po jedinici površine dok je sortiment pa i tehnologija proizvodnje </w:t>
      </w:r>
      <w:r>
        <w:lastRenderedPageBreak/>
        <w:t xml:space="preserve">ostala na sličnoj razini. S obzirom na presudnu važnost potencijala rodnosti sorti na prinos te kvalitetu sjemena za uspješno zasnivanje usjeva, država se pobrinula da kroz regulativu i svoje službe osigura da se na tržištu pojavljuje samo deklarirano sjeme provjerenih sorti poljoprivrednog bilja.  </w:t>
      </w:r>
    </w:p>
    <w:p w:rsidR="00D849AA" w:rsidRDefault="00EE6D95">
      <w:pPr>
        <w:pStyle w:val="Normal6"/>
      </w:pPr>
      <w:r>
        <w:t xml:space="preserve">Sorte poljoprivrednog bilja koje selekcionerske kuće namjeravaju stavljati u promet prethodno moraju proći postupak priznavanja. Ovaj postupak podrazumijeva ispitivanje sorte kandidata u pogledu gospodarske vrijednosti (VCU) i različitosti, ujednačenosti i stabilnosti (DUS). VCU ispitivanje podrazumijeva usporedbu sorte kandidata na većem broju lokacija sa sortama standardima, a to su najprodavanije sorte u Republici Hrvatskoj, u pogledu najvažnijih gospodarskih pokazatelja kao što su prinos, kakvoća proizvoda, otpornost na polijeganje i slično. DUS ispitivanje treba pokazati da se nova sorta razlikuje od bilo koje druge poznate priznate sorte te da je u svojim svojstvima stabilna i uniformna. Na osnovi rezultata ovakvog ispitivanja stručno povjerenstvo predlaže uvrštavanje nove odgovarajuće sorte na sortnu listu. </w:t>
      </w:r>
    </w:p>
    <w:p w:rsidR="00D849AA" w:rsidRDefault="00EE6D95">
      <w:pPr>
        <w:pStyle w:val="Normal6"/>
      </w:pPr>
      <w:r>
        <w:t xml:space="preserve">S obzirom na raznovrsnost reprodukcijskog materijala koji se koristi u poljoprivredi, nadzor nad njegovom proizvodnjom uključuje nadzor nad proizvodnjom sjemena i nadzor nad proizvodnjom sadnog materijala. </w:t>
      </w:r>
    </w:p>
    <w:p w:rsidR="00D849AA" w:rsidRDefault="00EE6D95">
      <w:pPr>
        <w:pStyle w:val="Normal6"/>
      </w:pPr>
      <w:r>
        <w:t xml:space="preserve">Kako je trend u zemljama EU obavljanje mnogih od navedenih poslova u režiji zainteresiranih subjekata, ali pod nadzorom nadležne institucije, takvo izvođenje zadataka je predviđeno i u Hrvatskoj odredbama prethodno spomenutog zakona, a HCPHS-ZSR je određen za odobravanje takvih postupaka ali i kontrolu njihove provedbe.  </w:t>
      </w:r>
    </w:p>
    <w:p w:rsidR="00D849AA" w:rsidRDefault="00EE6D95">
      <w:pPr>
        <w:pStyle w:val="Normal6"/>
      </w:pPr>
      <w:r>
        <w:t>1.1.2.1</w:t>
      </w:r>
      <w:r>
        <w:tab/>
        <w:t xml:space="preserve">Postupak ispitivanja sorti u svrhu upisa sorte u Sortnu listu  </w:t>
      </w:r>
    </w:p>
    <w:p w:rsidR="00D849AA" w:rsidRDefault="00EE6D95">
      <w:pPr>
        <w:pStyle w:val="Normal6"/>
      </w:pPr>
      <w:r>
        <w:t xml:space="preserve">Da bi se sorta upisala u Sortnu listu i time omogućila njena proizvodnja i trženje potrebno je provesti postupak utvrđivanja gospodarske vrijednosti (VCU) i postupak utvrđivanja različitosti ujednačenosti i postojanosti sorte. Republika Hrvatska u svoje zakonodavstvo vezano za postupak priznavanja sorti ugrađuje odredbe iz direktiva i odluka EU kojima se propisuje obveza provođenja VCU i DUS ispitivanja, te način njihova provođenja.  </w:t>
      </w:r>
    </w:p>
    <w:p w:rsidR="00D849AA" w:rsidRDefault="00EE6D95">
      <w:pPr>
        <w:pStyle w:val="Normal6"/>
      </w:pPr>
      <w:r>
        <w:t xml:space="preserve">Uvažavajući spomenute obveze, a prije svega radi zaštite domaće poljoprivredne proizvodnje, od 1999. godine u kontinuitetu se provodi postupak priznavanja koji je usklađen s odredbama iz direktiva i odluka EU. Republika Hrvatska je dobila ekvivalencu za DUS ispitivanje 2006. godine temeljem Council Decision of 18. July 2006, on the eqivalence of the official examination of varieties carried out in Croatia. Hrvatska je jedina zemlja koja je dobila ekvivalencu za DUS ispitivanje.  </w:t>
      </w:r>
    </w:p>
    <w:p w:rsidR="00D849AA" w:rsidRDefault="00EE6D95">
      <w:pPr>
        <w:pStyle w:val="Normal6"/>
      </w:pPr>
      <w:r>
        <w:t xml:space="preserve">U postupak ispitivanja spada ispitivanje sorti u pokusnom polju i laboratoriju. Ispitivanja na 4 do 6 lokacija na teritoriju Republike Hrvatske provodi HCPHS-ZSR sukladno važećim Pravilnicima. Lokacije su raspoređene tako da pokriju različita pedološko klimatska područja i daju što opširniji uvid u ponašanje sorte u različitim uvjetima. Ovisno o biljnoj vrsti na požetom materijalu obavljaju se različite kemijske i tehnološke analize kojima se upotpunjuje slika o vrijednosti sorte. DUS ispitivanje sorti provodi se u skladu s posebnim propisom kojim se utvrđuje različitost, ujednačenost i postojanost (DUS) biljnih sorti u postupku priznavanja (u daljnjem tekstu: sorti kandidata) i International Union for the Protection of new Varieties of Plants (u daljnjem tekstu: UPOV) tehničkim vodičima preuzetim prema Uredbi o pristupanju Međunarodnoj konvenciji za zaštitu novih biljnih sorti (»Narodne novine«, Međunarodni ugovori, broj 1/01) te Community Plant Variety Office (u daljnjem tekstu: CPVO) tehničkim vodičima. Za statističku analizu pokusnih podataka primjenjuje se najpogodniji odnosno najučinkovitiji statistički model, a za usporedbu sorti kandidata sa standardima primjenjuju se odgovarajući statistički testovi. </w:t>
      </w:r>
    </w:p>
    <w:p w:rsidR="00D849AA" w:rsidRDefault="00EE6D95">
      <w:pPr>
        <w:pStyle w:val="Normal6"/>
      </w:pPr>
      <w:r>
        <w:t>Postupak ispitivanja sorti voćnih vrsta u svrhu upisa sorti u Popis sorti voćnih vrsta</w:t>
      </w:r>
      <w:r w:rsidR="00AD0345">
        <w:t>.</w:t>
      </w:r>
      <w:r>
        <w:t xml:space="preserve"> </w:t>
      </w:r>
    </w:p>
    <w:p w:rsidR="00D849AA" w:rsidRDefault="00EE6D95">
      <w:pPr>
        <w:pStyle w:val="Normal6"/>
      </w:pPr>
      <w:r>
        <w:t xml:space="preserve">Sukladno Zakonu o sjemenu, sadnom materijalu i priznavanju sorti poljoprivrednog bilja (NN 140/05, 35/08, 55/11 ), članku 4., stavku 3., Zavod za voćarstvo zadužen je i za </w:t>
      </w:r>
      <w:r>
        <w:lastRenderedPageBreak/>
        <w:t xml:space="preserve">provođenje postupka priznavanja sorti voćnih vrsta. U pripremi su izmjene i dopune Pravilnika o upisu sorti u popis sorti voćnih vrsta (NN 98/09), gdje se Zavod za voćarstvo imenuje kao nezavisna ustanova koja će provoditi test različitosti, ujednačenosti i postojanosti (DUS test) za nove sorte voćnih vrsta koje se prijavljuju na Popis sorti. </w:t>
      </w:r>
    </w:p>
    <w:p w:rsidR="00D849AA" w:rsidRDefault="00EE6D95">
      <w:pPr>
        <w:pStyle w:val="Normal6"/>
      </w:pPr>
      <w:r>
        <w:t xml:space="preserve">Postupak ispitivanja sorti za Preporučenu sortnu listu za voćne vrste provodi se sukladno članku 69., stavka 6. Zakona o sjemenu, sadnom materijalu i priznavanju sorti poljoprivrednog bilja (NN 140/05, 35/08, 55/11). Zavod za voćarstvo je zadužen za provođenje poslova ispitivanja i uvrštavanja sorti na Preporučenu sortnu listu za voćne vrste, a koji se provodi na temelju Programa ispitivanja sorti za Preporučenu sortnu listu za voćne vrste (stavak 5. istoga članka).  </w:t>
      </w:r>
    </w:p>
    <w:p w:rsidR="00D849AA" w:rsidRDefault="00EE6D95">
      <w:pPr>
        <w:pStyle w:val="Normal6"/>
      </w:pPr>
      <w:r>
        <w:t>1.1.2.2</w:t>
      </w:r>
      <w:r>
        <w:tab/>
        <w:t xml:space="preserve">Nadzor proizvodnje reprodukcijskog materijala u poljoprivredi </w:t>
      </w:r>
    </w:p>
    <w:p w:rsidR="00D849AA" w:rsidRDefault="00EE6D95">
      <w:pPr>
        <w:pStyle w:val="Normal6"/>
      </w:pPr>
      <w:r>
        <w:t xml:space="preserve">Poljoprivredna proizvodnja obuhvaća vrlo široku lepezu biljnih vrsta čija proizvodnja reprodukcijskog materijala se značajno razlikuje. Stoga su posebnim propisima uređeni zahtjevi kojima mora udovoljavati reprodukcijski materijal za pojedine grupe poljoprivrednog bilja. Generalno, barem što se tiče tehničkog obavljanja nadzora i kasnije izdavanja odgovarajućih dokumenata o sortnoj pripadnosti i kakvoći materijala, možemo sve podijeliti u dvije grupe. Prvu čine ratarsko bilje i povrće koje reguliraju Pravilnici o stavljanju na tržište sjemena. Drugu grupu čine voće i vinova loza regulirani u pravilnicima o stavljanju na tržište ovog materijala. </w:t>
      </w:r>
    </w:p>
    <w:p w:rsidR="00D849AA" w:rsidRDefault="00EE6D95">
      <w:pPr>
        <w:pStyle w:val="Normal6"/>
      </w:pPr>
      <w:r>
        <w:t xml:space="preserve">Nadzor proizvodnje sjemena </w:t>
      </w:r>
    </w:p>
    <w:p w:rsidR="00D849AA" w:rsidRDefault="00EE6D95">
      <w:pPr>
        <w:pStyle w:val="Normal6"/>
      </w:pPr>
      <w:r>
        <w:t xml:space="preserve">Nadzor sjemenskih usjeva počinje vođenjem evidencije o prijavljenim površinama za proizvodnju sjemena poljoprivrednog bilja. Hrvatska proizvodi sjeme posljednjih deset godina na površini od 25 do 30.000 hektara. Za obavljanje nadzora nad proizvodnjom na toj površini organizira se mreža nadzornika koji pregledavaju sjemenske usjeve. Pregledi sjemenskih usjeva, ovisno o biljnoj vrsti, obavljaju se od dva do šest puta. O svakom pregledu sastavlja se zapisnik u koji se osim općih podataka unose detalji nalaza s kontrolnih točaka raspoređenih po cijeloj površini usjeva. Radi povećanja učinkovitosti nadzora svake godine organiziraju se redovite godišnje radionice (dani polja) za nadzornike sjemenskih usjeva žitarica, uljarica, kukuruza i povrća kako bi se osiguralo njihovo kontinuirano napredovanje u znanjima. U nadzor proizvodnje sjemena spada i provjeravanje proizvođača u smislu njihovog udovoljavanja uvjetima za upis u upisnik dobavljača sjemena. Naime svaki proizvođač obvezan je voditi odgovarajuće evidencije o svojoj proizvodnji sukladno opisima koje je sam sastavio. Za proizvedeno sjeme koje udovoljava propisanim standardima HCPHS – ZSR izdaje odgovarajuće Uvjerenje o priznavanju sjemenskog usjeva. Od ukupne proizvodnje obavlja se naknadna kontrola 10% sjemenskih usjeva na kontrolnim poljima kako bi se provjerilo učinkovitost provedenih nadzora. Za tako proizvedeno i kontrolirano sjeme nakon dorade i ispitivanja kakvoće, ako udovoljava minimalnim propisanim standardima, izdaje se certifikat uz otpremnicu i certifikat u obliku etikete koji se pričvršćuje na svako pojedinačno pakiranje. Zakonsku osnovu za postupanje čine Pravilnici usklađeni s odgovarajućim Direktivama EU: </w:t>
      </w:r>
    </w:p>
    <w:p w:rsidR="00D849AA" w:rsidRDefault="00EE6D95">
      <w:pPr>
        <w:pStyle w:val="Normal6"/>
      </w:pPr>
      <w:r>
        <w:t>-</w:t>
      </w:r>
      <w:r>
        <w:tab/>
        <w:t xml:space="preserve">Pravilnik o stavljanju na tržište sjemena žitarica (NN 83/09) </w:t>
      </w:r>
    </w:p>
    <w:p w:rsidR="00D849AA" w:rsidRDefault="00EE6D95">
      <w:pPr>
        <w:pStyle w:val="Normal6"/>
      </w:pPr>
      <w:r>
        <w:t>-</w:t>
      </w:r>
      <w:r>
        <w:tab/>
        <w:t xml:space="preserve">Pravilnik o stavljanju na tržište sjemena krmnog bilja (NN 129/07) </w:t>
      </w:r>
    </w:p>
    <w:p w:rsidR="00D849AA" w:rsidRDefault="00EE6D95">
      <w:pPr>
        <w:pStyle w:val="Normal6"/>
      </w:pPr>
      <w:r>
        <w:t>-</w:t>
      </w:r>
      <w:r>
        <w:tab/>
        <w:t xml:space="preserve">Pravilnik o stavljanju na tržište sjemena povrća (NN 129/07) </w:t>
      </w:r>
    </w:p>
    <w:p w:rsidR="00D849AA" w:rsidRDefault="00EE6D95">
      <w:pPr>
        <w:pStyle w:val="Normal6"/>
      </w:pPr>
      <w:r>
        <w:t>-</w:t>
      </w:r>
      <w:r>
        <w:tab/>
        <w:t xml:space="preserve">Pravilnik o stavljanju na tržište sjemena uljanog i predivog bilja (NN 126/07) </w:t>
      </w:r>
    </w:p>
    <w:p w:rsidR="00D849AA" w:rsidRDefault="00EE6D95">
      <w:pPr>
        <w:pStyle w:val="Normal6"/>
      </w:pPr>
      <w:r>
        <w:t>-</w:t>
      </w:r>
      <w:r>
        <w:tab/>
        <w:t xml:space="preserve">Pravilnik o stavljanju na tržište sjemena krumpira (NN 129/07) </w:t>
      </w:r>
    </w:p>
    <w:p w:rsidR="00D849AA" w:rsidRDefault="00EE6D95">
      <w:pPr>
        <w:pStyle w:val="Normal6"/>
      </w:pPr>
      <w:r>
        <w:t>-</w:t>
      </w:r>
      <w:r>
        <w:tab/>
        <w:t xml:space="preserve">Pravilnik o stavljanju na tržište sjemena repa (NN 72/07) </w:t>
      </w:r>
    </w:p>
    <w:p w:rsidR="00D849AA" w:rsidRDefault="00EE6D95">
      <w:pPr>
        <w:pStyle w:val="Normal6"/>
      </w:pPr>
      <w:r>
        <w:t>-</w:t>
      </w:r>
      <w:r>
        <w:tab/>
        <w:t xml:space="preserve">Pravilnik o postupku stručnog nadzora i nadzora pod stručnom kontrolom nad proizvodnjom poljoprivrednog reprodukcijskog materijala (NN 144/09, 30/11, 50/11) </w:t>
      </w:r>
    </w:p>
    <w:p w:rsidR="00D849AA" w:rsidRDefault="00EE6D95">
      <w:pPr>
        <w:pStyle w:val="Normal6"/>
      </w:pPr>
      <w:r>
        <w:lastRenderedPageBreak/>
        <w:t xml:space="preserve">Nadzor proizvodnje poljoprivrednog sadnog materijala </w:t>
      </w:r>
    </w:p>
    <w:p w:rsidR="00D849AA" w:rsidRDefault="00EE6D95">
      <w:pPr>
        <w:pStyle w:val="Normal6"/>
      </w:pPr>
      <w:r>
        <w:t xml:space="preserve">Ovaj nadzor podrazumijeva nadzor nad proizvodnjom voćnog i loznog poljoprivrednog sadnog materijala. Njime se osigurava kvaliteta istoga na tržištu, tj, zagarantirano je njegovo podrijetlo, autentičnost sorte i podloge te vegetativna razvijenost i zdravstveno stanje. Nadzor podrazumijeva zaprimanje prijava, provjere potpunosti i valjanosti dokumentacije, unos podataka iz prijave u računalnu bazu podataka, provjere nasada na objektima proizvodnje, sastavljanje zapisnika o obavljenom pregledu, unos podataka prikupljenih u nadzoru u bazu te izdavanje Uvjerenja o sadnom materijalu. Izdavanje obrazaca certifikata za sadni materijal obavlja se nakon klasiranja sadnog materijala. Količine izdanih certifikata se sravnjuju sa stanjem iz Uvjerenja.  </w:t>
      </w:r>
    </w:p>
    <w:p w:rsidR="00D849AA" w:rsidRDefault="00EE6D95">
      <w:pPr>
        <w:pStyle w:val="Normal6"/>
      </w:pPr>
      <w:r>
        <w:t xml:space="preserve">Zakonsku osnovu za postupanje čine: </w:t>
      </w:r>
    </w:p>
    <w:p w:rsidR="00D849AA" w:rsidRDefault="00EE6D95">
      <w:pPr>
        <w:pStyle w:val="Normal6"/>
      </w:pPr>
      <w:r>
        <w:t>-</w:t>
      </w:r>
      <w:r>
        <w:tab/>
        <w:t xml:space="preserve">Pravilnik o postupku stručnog nadzora i nadzora pod stručnom kontrolom nad proizvodnjom poljoprivrednog reprodukcijskog materijala(NN 144/09, 30/11, 50/11). </w:t>
      </w:r>
    </w:p>
    <w:p w:rsidR="00D849AA" w:rsidRDefault="00EE6D95">
      <w:pPr>
        <w:pStyle w:val="Normal6"/>
      </w:pPr>
      <w:r>
        <w:t>-</w:t>
      </w:r>
      <w:r>
        <w:tab/>
        <w:t xml:space="preserve">Pravilnik o stavljanju na tržište materijala za vegetativno umnažanje loze (NN 133/06, 67/10, 30/11) </w:t>
      </w:r>
    </w:p>
    <w:p w:rsidR="00D849AA" w:rsidRDefault="00EE6D95">
      <w:pPr>
        <w:pStyle w:val="Normal6"/>
      </w:pPr>
      <w:r>
        <w:t>-</w:t>
      </w:r>
      <w:r>
        <w:tab/>
        <w:t xml:space="preserve">Pravilnik o stavljanju na tržište reprodukcijskog sadnog materijala i sadnica namijenjenih za proizvodnju voća (NN 100/09, 153/09, 72/10, 30/11) </w:t>
      </w:r>
    </w:p>
    <w:p w:rsidR="00D849AA" w:rsidRDefault="00EE6D95">
      <w:pPr>
        <w:pStyle w:val="Normal6"/>
      </w:pPr>
      <w:r>
        <w:t>-</w:t>
      </w:r>
      <w:r>
        <w:tab/>
        <w:t xml:space="preserve">Pravilnik o upisu sorti u popis sorti voćnih vrsta (NN 98/09) </w:t>
      </w:r>
    </w:p>
    <w:p w:rsidR="00D849AA" w:rsidRDefault="00EE6D95">
      <w:pPr>
        <w:pStyle w:val="Normal6"/>
      </w:pPr>
      <w:r>
        <w:t>1.1.2.3</w:t>
      </w:r>
      <w:r>
        <w:tab/>
        <w:t xml:space="preserve">Odobravanje obavljanja pojedinih poslova iz sjemenarske sheme zainteresiranim poslovnim subjektima </w:t>
      </w:r>
    </w:p>
    <w:p w:rsidR="00D849AA" w:rsidRDefault="00EE6D95">
      <w:pPr>
        <w:pStyle w:val="Normal6"/>
      </w:pPr>
      <w:r>
        <w:t xml:space="preserve">Ovaj način rada u regulativi Republike Hrvatske pojavljuje se donošenjem sada važećeg Zakona o sjemenu, sadnom materijalu i priznavanju sorti poljoprivrednog bilja (NN140/2005). Ovim Zakonom i pratećim pravilnicima predviđene su mogućnosti da pojedini subjekti obavljaju neke poslove pod nadzorom HCPHS - ZSR. Do sada su to poslovi ispitivanja sjemena i uzorkovanja pri čemu MP vodi upisnik subjekata a provjere, nadzor i educiranje obavlja ZSR. U slučajevima nadzora nad pakiranjem i pečaćenjem sjemena ove poslove obavlja u potpunosti ZSR i svi dorađivači sjemena su uključeni u sustav. Nadzor nad proizvodnjom sjemena je predviđen za posljednje kategorije reprodukcijskog materijala no za sada još svi subjekti koriste sustav službenog nadzora koji obavlja Zavod. Povećavanjem broja educiranih nadzornika zaposlenih u firmama koje se bave pojedinim segmentima sjemenarstva odnosno rasadničarstva može se očekivati rast interesa njihovih poslodavaca da se sami organiziraju pojedine poslove nadzora koje im sada odrađuje H </w:t>
      </w:r>
    </w:p>
    <w:p w:rsidR="00D849AA" w:rsidRDefault="00EE6D95">
      <w:pPr>
        <w:pStyle w:val="Normal6"/>
      </w:pPr>
      <w:r>
        <w:t>HCPHS-ZRS. Pokazatelji učinaka bit će iskazani u okviru A 842001 Administracija i upravljanje HCPHS u okviru kojih su i planirani troškovi</w:t>
      </w:r>
    </w:p>
    <w:p w:rsidR="00D849AA" w:rsidRDefault="00EE6D95">
      <w:pPr>
        <w:pStyle w:val="Naslov7"/>
      </w:pPr>
      <w:r>
        <w:t xml:space="preserve">Cilj 2. </w:t>
      </w:r>
      <w:r w:rsidR="00337A23">
        <w:t xml:space="preserve">Zaštita poljoprivrednih kultura od štetnih organizama </w:t>
      </w:r>
    </w:p>
    <w:p w:rsidR="00D849AA" w:rsidRDefault="00EE6D95">
      <w:pPr>
        <w:pStyle w:val="Normal6"/>
      </w:pPr>
      <w:r>
        <w:t xml:space="preserve">Sve poljoprivredne kulture napadaju različiti štetnici, uzročnici bolesti te korovi koje nazivamo štetnim organizimima. Primarni cilj biljnog zdravstva jest zaštita bilja, biljnih proizvoda i drugih nadziranih predmeta od štetnih organizama bilja, sprječavanje unošenja i širenja štetnih organizama bilja, utvrđivanje prisutnosti i određivanje vrsta štetnih organizama, omogućavanje optimalne proizvodnje i trgovine biljem, zaštita okoliša od posljedica djelovanja štetnih organizama bilja i kemijskih sredstava za zaštitu bilja koja se koriste za niihovo suzbijanje, uvođenje biološke zaštite bilja i usmjeravanje razvoja zdravstvene zaštite bilja, omogućavanje izobrazbe i podizanja svijesti stanovništva o važnosti pravilne zdravstvene zaštite bilja. Jedan od važnih uvjeta poljoprivredne proizvodnje je uspješno ostvarena zaštita kultiviranih biljaka od štetnih organizama. Zavod za zaštitu bilja HCPHS-a provodeći aktivnosti u skladu sa Zakonom o biljnom zdravstvu (NN 75/05, 25/09, 55/11) i Zakonom o sredstvima za zaštitu bilja (NN70/05, </w:t>
      </w:r>
      <w:r>
        <w:lastRenderedPageBreak/>
        <w:t xml:space="preserve">25/09) te njihovim pratećim propisima predstavlja vrlo značajnu sastavnicu u sustavu zaštite poljoprivrednih kultura prateći direktive EU i EPPO standarde. </w:t>
      </w:r>
    </w:p>
    <w:p w:rsidR="00D849AA" w:rsidRDefault="00EE6D95">
      <w:pPr>
        <w:pStyle w:val="Normal6"/>
      </w:pPr>
      <w:r>
        <w:t xml:space="preserve">Način ostvarenja posebnog cilja: </w:t>
      </w:r>
    </w:p>
    <w:p w:rsidR="00D849AA" w:rsidRDefault="00EE6D95">
      <w:pPr>
        <w:pStyle w:val="Normal6"/>
      </w:pPr>
      <w:r>
        <w:t>1.2.1</w:t>
      </w:r>
      <w:r>
        <w:tab/>
        <w:t xml:space="preserve">Sustavno praćenje zdravstvenog stanja bilja u cilju otkrivanja gospodarskih i karantenskih štetnih organizama te razrađivanje, istraživanje i predlaganje mjera i metoda zaštite  </w:t>
      </w:r>
    </w:p>
    <w:p w:rsidR="00D849AA" w:rsidRDefault="00EE6D95">
      <w:pPr>
        <w:pStyle w:val="Normal6"/>
      </w:pPr>
      <w:r>
        <w:t xml:space="preserve">Da bi se spriječilo propadanje poljoprivrednih usjeva i prinosa poljoprivrednih proizvoda te zajamčila sigurnost trajne opskrbe stanovništva hranom biljnog podrijetla, prijeko je potrebno provoditi zaštitu bilja od štetnih organizama (ŠO), kao i edukaciju subjekata uključenih u poslove zaštite bilja. Republika Hrvatska u svoje fitosanitarno zakonodavstvo ugrađuje odredbe iz direktiva i odluka EU kojima se propisuje obveza praćenja određenih štetnih organizama bilja, način njihova praćenja, te provedba određenih fitosanitarnih mjera. Uvažavajući spomenute obveze, a prije svega radi zaštite domaće poljoprivredne proizvodnje, od 2001. godine u kontinuitetu se provode programi posebnog nadzora nad određenim štetnim organizmima bilja na temelju odobrenih godišnjih programa koje određuje ministar, na prijedlog čelnika nadležne uprave. </w:t>
      </w:r>
    </w:p>
    <w:p w:rsidR="00D849AA" w:rsidRDefault="00EE6D95">
      <w:pPr>
        <w:pStyle w:val="Normal6"/>
      </w:pPr>
      <w:r>
        <w:t xml:space="preserve">Stalni nadzor određenih štetnih organizama bilja, procjena rizika od unošenja ili širenja (pest risk assesment - PRA), a temeljem toga i provođenje odgovarajućih mjera (pest risk management) uključujući obavješćivanje zainteresirane javnosti (risk communication) i primjena na međunarodnoj razini prihvaćenih fitosanitarnih standarda, obveza je određena međunarodnim ugovorima koje je Republika Hrvatska potpisala (Sporazum o primjeni sanitarnih i fitosanitarnih mjera u okviru WTO i Međunarodna konvencija o zaštiti bilja u okviru FAO). Ako se tijekom pregleda bilja i biljnih proizvoda pronađe karantenski štetni organizam obavještava se nadležna uprava MP koja provodi daljnje postupke za sprječavanje njegovog širenja na području Republike Hrvatske. Od godine do godine dodaje se novi program ili stari prestaje, sukladno Direktivama i odlukama EU i EPPO-preporukama. U svrhu upoznavanja javnosti s problematikom štetnih organizama kontinuirano se izdaju brošure i plakati čime se naglašava važnost pravovremenog otkrivanja štetnog organizma. Ujedno se stručno usavršavaju fitosanitarni inspektori, djelatnici Poljoprivredno savjetodavne službe te osobe prema Pravilniku o uspostavi akcijskog okvira za postizanje održive uporabe pesticida (NN 142/2012) - modul za distributere i modul za savjetnike. </w:t>
      </w:r>
    </w:p>
    <w:p w:rsidR="00D849AA" w:rsidRDefault="00EE6D95">
      <w:pPr>
        <w:pStyle w:val="Normal6"/>
      </w:pPr>
      <w:r>
        <w:t xml:space="preserve">Također, sustavno praćenje zdravstvenog stanja bilja tijekom vegetacije i biljnih proizvoda na otvorenom, u zaštićenim prostorima i u skladištima, radi prikupljanja podataka o pojavi, intenzitetu napada, populaciji i proširenosti štetnih i korisnih organizama za bilje i biljne proizvode te sustavno vođenje evidencije o tome u formi baze podataka provodi se u sklopu izvještajno prognoznih poslova (IPP). Na temelju podataka o razvoju i proširenju populacije štetnih organizama određuju se optimalni rokovi za njihovo suzbijanje. Nastaviti će se s nadograđivanjem i usavršavanjem postojećih baza podataka i softverskih aplikacija o pojavi, otkrivanju, intenzitetu napada, populaciji i rasprostranjenosti ŠO vezanih uz aktivnosti izvještajno-prognoznih poslova, programa posebnog nadzora te u budućnosti i za potrebe procjene rizika od štetnih organizama (PRA). Program istraživanja primjene tehnike sterilnih kukaca (SIT tehnike prvenstveno se bavi štetnim organizmima agruma , te istražuje primjenu nepesticidne metode suzbijanja - tehnike sterilnih kukaca (SIT) za suzbijanje sredozemne voćne muhe - Ceratitis capitata Wiedemann, u dolini Neretve. C. capitata je štetni organizam koji pričinjava značajne štete u proizvodnji neretvanske mandarine, najznačajnijoj voćnoj kulturi tog kraja od čije se ukupne količine proizvedenog svježeg ploda, više od 80% izvozi na tržište EU, tržište regije ali i nova značajna tržišta (Rusija), a ukupna vrijednost proizvodnje prelazi 20 mil. EUR.. Program se provodi u suradnji s Međunarodnom agencijom za atomsku energiju (IAEA) i MP kroz projekt tehničke suradnje. Ovo je ekološki prihvatljiva, biološka i selektivna metoda zaštite, koja nema negativnih utjecaja </w:t>
      </w:r>
      <w:r>
        <w:lastRenderedPageBreak/>
        <w:t xml:space="preserve">na okoliš, a u našim je uvjetima istraživana primjena u svrhu suzbijanja tijekom 2010-2012 godine na području doline Neretve. Planira se u razdoblju od 2013. do 2015. godine proširenje primjene ove metode zaštite agruma i uvođenje drugih nepesticidnih metoda suzbijanja štetnih organizama agruma na što veće površine u dolini Neretve i druga ugrožena područja. </w:t>
      </w:r>
    </w:p>
    <w:p w:rsidR="00D849AA" w:rsidRDefault="00EE6D95">
      <w:pPr>
        <w:pStyle w:val="Normal6"/>
      </w:pPr>
      <w:r>
        <w:t xml:space="preserve">U zdravstvene preglede bilja i biljnih proizvoda spadaju vizualni pregledi i laboratorijske analize. Vizualne preglede poljoprivrednog reprodukcijskoga sjemenskog i sadnog materijala obavlja Zavod za zaštitu bilja i fitosanitarna inspekcija sukladno pravilnicima. Laboratorijskim analizama utvrđuje se štetni organizam prisutan na uzorkovanom biljnom materijalu. Završetkom izgradnje nove poslovne zgrade Zavoda u rujnu 2012. uređeni su uredi i laboratoriji i opremljeni potrebnim namještajem. Planira se nastaviti s opremanjem dijagnostičkih laboratorija suvremenom opremom koja će omogućiti brže i kvalitetnije provođenje laboratorijskih analiza. Preseljenjem u nove prostore stvoren je preduvjet za uvođenje jedinstvenog sustava zaprimanja uzoraka za sve dijagnostičke laboratorije. Sukladno tome, planira se uvesti interni sustav kvalitete u dva područja: upravljanje i administracija te laboratorijske metode. </w:t>
      </w:r>
    </w:p>
    <w:p w:rsidR="00D849AA" w:rsidRDefault="00EE6D95">
      <w:pPr>
        <w:pStyle w:val="Normal6"/>
      </w:pPr>
      <w:r>
        <w:t>1.2.2</w:t>
      </w:r>
      <w:r>
        <w:tab/>
        <w:t xml:space="preserve">Registracija sredstava za zaštitu bilja i njihova kontrola u prometu </w:t>
      </w:r>
    </w:p>
    <w:p w:rsidR="00D849AA" w:rsidRDefault="00EE6D95">
      <w:pPr>
        <w:pStyle w:val="Normal6"/>
      </w:pPr>
      <w:r>
        <w:t xml:space="preserve">Republika Hrvatska je propise u području sredstava za zaštitu bilja (SZB) uskladila s pravnom stečevinom EU i to s Direktivom Vijeća 91/414/EEC i svim ostalim direktivama i odlukama iz tog područja. U području SZB namjera je prije svega unaprijediti nacionalni sustav registracije SZB, urediti njihovo stavljanje na tržište i staviti pod nadzor njihovu uporabu. Propisi EU koji uređuju registraciju i stavljanje na tržište SZB također nalažu svakoj državi članici određivanje nadležnog državnog tijela za koordinaciju poslova, a predstavljaju jedan od niza propisa kojima se osigurava sustav sigurnosti hrane (engl. food safety system).  </w:t>
      </w:r>
    </w:p>
    <w:p w:rsidR="00D849AA" w:rsidRDefault="00EE6D95">
      <w:pPr>
        <w:pStyle w:val="Normal6"/>
      </w:pPr>
      <w:r>
        <w:t xml:space="preserve">Dopušteno je stavljanje na tržište SZB tek nakon obavljene procjene rizika za zdravlje ljudi, životinja te utjecaja na okoliš. Procjena se obavlja na temelju dokumentacije koja sadrži rezultate znanstvenih i stručnih istraživanja u sljedećim područjima: identitet i fizikalno-kemijska svojstva aktivnih tvari i pripravaka, učinkovitost, ekotoksikologija, ponašanje u okolišu, ostaci pesticida u hrani i hrani za životinje, toksikologija sisavaca i izloženost primjenitelja, radnika i drugih nazočnih osoba.  </w:t>
      </w:r>
    </w:p>
    <w:p w:rsidR="00D849AA" w:rsidRDefault="00EE6D95">
      <w:pPr>
        <w:pStyle w:val="Normal6"/>
      </w:pPr>
      <w:r>
        <w:t xml:space="preserve">Radi zaštite zdravlja ljudi i životinja i sprječavanja štetnog utjecaja na okoliš, a posebice utjecaja na podzemne vode, provodi se ocjenjivanje aktivnih tvari i pripravaka SZB, te njihovo redovito ponovno ocjenjivanje, uzimajući pri tom u obzir razvoj znanosti i novih tehnologija te iskustva koja se temelje na stvarnoj uporabi SZB i utjecaju određenih aktivnih tvari.  </w:t>
      </w:r>
    </w:p>
    <w:p w:rsidR="00D849AA" w:rsidRDefault="00EE6D95">
      <w:pPr>
        <w:pStyle w:val="Normal6"/>
      </w:pPr>
      <w:r>
        <w:t xml:space="preserve">Cilj Nacionalnog programa postregistracijske kontrole sredstava za zaštitu bilja je provjera ispravnosti registriranih sredstava za zaštitu bilja na osnovi odabrane aktivne tvari koja se nalaze u prometu te provjera jesu li njihova fizikalno kemijska svojstva sukladna rješenjima o registraciji u Republici Hrvatskoj. Svaka promjena u sredstvu može dovesti do promjene učinkovitosti sredstva ili opasnosti za ljude, životinje ili okoliš. </w:t>
      </w:r>
    </w:p>
    <w:p w:rsidR="00D849AA" w:rsidRDefault="00EE6D95">
      <w:pPr>
        <w:pStyle w:val="Normal6"/>
      </w:pPr>
      <w:r>
        <w:t xml:space="preserve">Uz provjeru ispravnosti cilj je upozoriti vlasnike rješenja o registraciji ili njihove zakonske zastupnike u Republici Hrvatskoj o uočenim nepravilnostima i ukloniti neispravna sredstva za zaštitu bilja iz prometa u Republici Hrvatskoj. </w:t>
      </w:r>
    </w:p>
    <w:p w:rsidR="00D849AA" w:rsidRDefault="00EE6D95">
      <w:pPr>
        <w:pStyle w:val="Normal6"/>
      </w:pPr>
      <w:r>
        <w:t>U cilju kvalitetne provedbe spomenutih aktivnosti potrebno je nastavit s daljnjim jačanjem kapaciteta stručnjaka Zavoda za zaštitu bilja putem treninga i radionica za ocjenjivače dokumentacije za registraciju sredstava za zaštitu bilja, te treninga i radionice za laboratorijsko osoblje Zavoda za zaštitu bilja.  Dio pokazatelju učinaka bit će prikazani u okviru A842001 Administracija i upravljanje, a dio u okviru A842006 Otkrivanje i dijagnostgiciranje štetnih organizama</w:t>
      </w:r>
    </w:p>
    <w:p w:rsidR="00D849AA" w:rsidRDefault="00EE6D95">
      <w:pPr>
        <w:pStyle w:val="Naslov7"/>
      </w:pPr>
      <w:r>
        <w:lastRenderedPageBreak/>
        <w:t xml:space="preserve">Cilj 3. </w:t>
      </w:r>
      <w:r w:rsidR="00337A23">
        <w:t>Kakvoća poljoprivrednih proizvoda i proizvoda pri puštanju u promet na tržištu (sljedivost u kakvoći, zaštita potrošaća, zaštita legalne proizvodnje)</w:t>
      </w:r>
    </w:p>
    <w:p w:rsidR="00D849AA" w:rsidRDefault="00EE6D95">
      <w:pPr>
        <w:pStyle w:val="Normal6"/>
      </w:pPr>
      <w:r>
        <w:t xml:space="preserve">Utvrđivanje kakvoće poljoprivrednih proizvoda provodi se na temelju važaćih zakona i pripadajućih pravilnika te uredbi EU. U utvrđivanju kakvoće provjeravaju se sljedivost od polja do finalnog proizvoda te različiti parametri kakvoće: fizikalno kemijska svojstva, organoleptična svojstva, mikrobiološka svojstva i autentičnost proizvoda. </w:t>
      </w:r>
    </w:p>
    <w:p w:rsidR="00D849AA" w:rsidRDefault="00EE6D95">
      <w:pPr>
        <w:pStyle w:val="Normal6"/>
      </w:pPr>
      <w:r>
        <w:t xml:space="preserve">Način ostvarenja posebnog cilja: </w:t>
      </w:r>
    </w:p>
    <w:p w:rsidR="00D849AA" w:rsidRDefault="00EE6D95">
      <w:pPr>
        <w:pStyle w:val="Normal6"/>
      </w:pPr>
      <w:r>
        <w:t xml:space="preserve">1.3.1 Ispitivanje kakvoće grožđa, mošta, vina, proizvoda od grožđa i vina, voćnih vina te vinskog i voćnog octa </w:t>
      </w:r>
    </w:p>
    <w:p w:rsidR="00D849AA" w:rsidRDefault="00EE6D95">
      <w:pPr>
        <w:pStyle w:val="Normal6"/>
      </w:pPr>
      <w:r>
        <w:t xml:space="preserve">Temelj: nacionalna legislativa i europske direktive: </w:t>
      </w:r>
    </w:p>
    <w:p w:rsidR="00D849AA" w:rsidRDefault="00EE6D95">
      <w:pPr>
        <w:pStyle w:val="Normal6"/>
      </w:pPr>
      <w:r>
        <w:t>-</w:t>
      </w:r>
      <w:r>
        <w:tab/>
        <w:t xml:space="preserve">Zakon o vinu RH (NN 96/03, 25/09, 55/11 </w:t>
      </w:r>
    </w:p>
    <w:p w:rsidR="00D849AA" w:rsidRDefault="00EE6D95">
      <w:pPr>
        <w:pStyle w:val="Normal6"/>
      </w:pPr>
      <w:r>
        <w:t>-</w:t>
      </w:r>
      <w:r>
        <w:tab/>
        <w:t xml:space="preserve">Zakon o uređenju tržišta poljoprivrednih proizvoda (NN 149/09), </w:t>
      </w:r>
    </w:p>
    <w:p w:rsidR="00D849AA" w:rsidRDefault="00EE6D95">
      <w:pPr>
        <w:pStyle w:val="Normal6"/>
      </w:pPr>
      <w:r>
        <w:t>-</w:t>
      </w:r>
      <w:r>
        <w:tab/>
        <w:t xml:space="preserve">Uredba (EZ) br. 1234/2007  kojom se uvodi zajedničko uređenje poljoprivrednih tržišta i specifične odredbe za određene poljoprivredne proizvode), </w:t>
      </w:r>
    </w:p>
    <w:p w:rsidR="00D849AA" w:rsidRDefault="00EE6D95">
      <w:pPr>
        <w:pStyle w:val="Normal6"/>
      </w:pPr>
      <w:r>
        <w:t>-</w:t>
      </w:r>
      <w:r>
        <w:tab/>
        <w:t xml:space="preserve">Uredba  (EZ) br. 555/2008 o propisivanju podrobnih pravila za provedbu Uredbe Vijeća (EZ-a) br. 479/2008 o organizaciji zajedničkoga tržišta vinom u vezi s potpornim programima, trgovinom s trećim drţavama, opsegom vinogradarskih površina i nadzorom u vinskome sektoru  </w:t>
      </w:r>
    </w:p>
    <w:p w:rsidR="00D849AA" w:rsidRDefault="00EE6D95">
      <w:pPr>
        <w:pStyle w:val="Normal6"/>
      </w:pPr>
      <w:r>
        <w:t>-</w:t>
      </w:r>
      <w:r>
        <w:tab/>
        <w:t xml:space="preserve">Uredba (EZ) br. 606/2009 o kategorijama proizvoda vinove loze, enološkim postupcima i ograničenjima, </w:t>
      </w:r>
    </w:p>
    <w:p w:rsidR="00D849AA" w:rsidRDefault="00EE6D95">
      <w:pPr>
        <w:pStyle w:val="Normal6"/>
      </w:pPr>
      <w:r>
        <w:t>-</w:t>
      </w:r>
      <w:r>
        <w:tab/>
        <w:t xml:space="preserve">Uredba (EZ) br. 607/2009 o zaštićenim oznakama izvornosti i zemljopisnog podrijetla. </w:t>
      </w:r>
    </w:p>
    <w:p w:rsidR="00D849AA" w:rsidRDefault="00EE6D95">
      <w:pPr>
        <w:pStyle w:val="Normal6"/>
      </w:pPr>
      <w:r>
        <w:t>1.3.1.1</w:t>
      </w:r>
      <w:r>
        <w:tab/>
        <w:t xml:space="preserve">Provjera podataka o proizvodnji i prometu, donošenje rješenja za promet, inspekcijski nadzor </w:t>
      </w:r>
    </w:p>
    <w:p w:rsidR="00D849AA" w:rsidRDefault="00EE6D95">
      <w:pPr>
        <w:pStyle w:val="Normal6"/>
      </w:pPr>
      <w:r>
        <w:t xml:space="preserve">Svaki proizvod, sukladno Zakonu o vinu (NN 96/03), s naglaskom na vino, voćno vino i ostale proizvode na bazi vina i voćnih vina, na tržištu Republike Hrvatske jedinstveno se deklarira i dodatno označava; osim zakonodavno uređenom etiketom i deklaracijom te kontrolnom evidencijskom markicom koju izdaje HCPHS. To je markica sljedivosti i kao sastavni dio rješenja po upravnom postupku,  osigurava i omogućuje provjeru od boce do grozda. Donošenje rješenja uključuje cijeli niz postupaka, propisanih nacionalnim zakonodavstvom i pravnom stečevinom EU.  </w:t>
      </w:r>
    </w:p>
    <w:p w:rsidR="00D849AA" w:rsidRDefault="00EE6D95">
      <w:pPr>
        <w:pStyle w:val="Normal6"/>
      </w:pPr>
      <w:r>
        <w:t xml:space="preserve">U području vinogradarstva oni uključuju: provedbu postupaka zaštite kontroliranog zemljopisnog podrijetla vina te izdavanje prijedloga MP o zaštiti kontroliranog zemljopisnog podrijetla za vina, sukladno Zakonu o vinu (NN 96/03, 25/09, 55/11) i pratećim podzakonskim aktima, izdavanje rješenja o prometu grožđa te praćenje sadržaja šećera u grožđu s ciljem davanja preporuke o početku roka berbe. </w:t>
      </w:r>
    </w:p>
    <w:p w:rsidR="00D849AA" w:rsidRDefault="00EE6D95">
      <w:pPr>
        <w:pStyle w:val="Normal6"/>
      </w:pPr>
      <w:r>
        <w:t xml:space="preserve">U području vinarstva održavaju se baze podataka svih fizičkih i pravnih subjekata koji prometuju vinom, voćnim vinima i drugim proizvodima na bazi vina i voćnih vina, baze uvoznika i izvoznika, temeljem Zakona o vinu (NN 96/03, 25/09, 55/11) i pratećih podzakonskih akata. Izdaju se rješenja o stavljanju u promet mošta, vina i drugih proizvoda od grožđa i vina te voćnih vina kao i vinskoga i voćnog octa temeljem Zakona o vinu (NN 96/03, 25/09, 55/11) i pratećih podzakonskih akata. </w:t>
      </w:r>
    </w:p>
    <w:p w:rsidR="00D849AA" w:rsidRDefault="00EE6D95">
      <w:pPr>
        <w:pStyle w:val="Normal6"/>
      </w:pPr>
      <w:r>
        <w:t xml:space="preserve">Izdaju se svjedodžbe o kakvoći vina i drugih proizvoda od grožđa i vina te voćnih vina i voćnog octa koja se izvoze temeljem Zakona o vinu (NN 96/03, 25/09, 55/11. Uz svjedodžbu koju se izdaje radi nacionalne carinske kontrole, izdaju se specifični dokumenti; VI1 dokument za izvoz u EU, dodatna uvjerenja za SAD, Rusiju, Japan i </w:t>
      </w:r>
      <w:r>
        <w:lastRenderedPageBreak/>
        <w:t xml:space="preserve">druge zemlje po potrebi. Izdaju se i dokumenti koji prate vina za potrebe međunarodnih sajmova i druge prezentacijske svrhe.  </w:t>
      </w:r>
    </w:p>
    <w:p w:rsidR="00D849AA" w:rsidRDefault="00EE6D95">
      <w:pPr>
        <w:pStyle w:val="Normal6"/>
      </w:pPr>
      <w:r>
        <w:t xml:space="preserve">Izdaju se svjedodžbe o kakvoći vina i drugih proizvoda od grožđa i vina te voćnih vina i voćnog octa koja se uvoze temeljem Zakona o vinu (NN 96/03, 25/09, 55/11). </w:t>
      </w:r>
    </w:p>
    <w:p w:rsidR="00D849AA" w:rsidRDefault="00EE6D95">
      <w:pPr>
        <w:pStyle w:val="Normal6"/>
      </w:pPr>
      <w:r>
        <w:t xml:space="preserve">U suradnji s Državnim inspektoratom i Ministarstvom poljoprivrede, sukladno Zakonu o vinu (NN 96/03) izdaju se mišljenja o kakvoći po inspekcijskim postupcima.  </w:t>
      </w:r>
    </w:p>
    <w:p w:rsidR="00D849AA" w:rsidRDefault="00EE6D95">
      <w:pPr>
        <w:pStyle w:val="Normal6"/>
      </w:pPr>
      <w:r>
        <w:t xml:space="preserve">Nadzor u preradi grožđa i proizvodnji vrhunskih, predikatnih i desertnih vina koji se obavlja u suradnji s vinarskom inspekcijom MP. </w:t>
      </w:r>
    </w:p>
    <w:p w:rsidR="00D849AA" w:rsidRDefault="00EE6D95">
      <w:pPr>
        <w:pStyle w:val="Normal6"/>
      </w:pPr>
      <w:r>
        <w:t>1.3.1.2</w:t>
      </w:r>
      <w:r>
        <w:tab/>
        <w:t xml:space="preserve">Ispitivanja fizikalno-kemijskih i organoleptičnih (senzornih) svojstava proizvoda </w:t>
      </w:r>
    </w:p>
    <w:p w:rsidR="00D849AA" w:rsidRDefault="00EE6D95">
      <w:pPr>
        <w:pStyle w:val="Normal6"/>
      </w:pPr>
      <w:r>
        <w:t xml:space="preserve">Ispitivanje kakvoće vina, proizvoda od grožđa i vina, voćnih vina, te vinskog i voćnog octa odvija se u Laboratoriju za fizikalno-kemijska ispitivanja i Laboratoriju za senzorna ispitivanja Zavoda za vinogradarstvo i vinarstvo, HCPHS-a. Utvrđivanje i kontrola kvalitete provodi se u vinima hrvatske proizvodnje kao i u vinima iz uvoza, svih kategorija kvalitete na temelju javnih ovlasti. Postupku ispitivanja, prethodi provjera svih administrativnih podataka o proizvođaču i proizvodu, temeljem Zakona o vinu i velikog broja pratećih pravilnika, te Zakona o uređenju tržišta poljoprivrednih proizvoda (NN 149/09), Pravilnika o registru vinograda, obveznim izjavama, pratećim dokumentima I podrumskoj evidenciji (NN 121/10, 132/10, 78/11) i Pravilnika o zaštićenim oznakama izvornosti i zaštićenim oznakama zemljopisnog podrijetla, tradicionalnim izrazima i označavanju vina (NN 141/10). </w:t>
      </w:r>
    </w:p>
    <w:p w:rsidR="00D849AA" w:rsidRDefault="00EE6D95">
      <w:pPr>
        <w:pStyle w:val="Normal6"/>
      </w:pPr>
      <w:r>
        <w:t xml:space="preserve">Nakon provjere svih administrativnih podataka o proizvodnji i prometu, provodi se postupak fizikalno kemijskog i senzornog ispitivanja proizvoda. Ovaj postupak obavlja se u laboratorijima Zavoda za vinogradarstvo i vinarstvo HCPHS-a, sukladno Zakonu o vinu (NN 96/03), Pravilniku o uvjetima analize mošta, vina i drugih proizvoda od grožđa i vina, voćnih vina i drugih proizvoda na bazi voćnih vina (NN 102/04), Pravilniku o ovlašćivanju ispitnih laboratorija za kontrolu kakvoće hrane (NN 92/06), Pravilniku o organoleptičnom ocjenjivanju mošta i vina (NN 106/04) i dr. </w:t>
      </w:r>
    </w:p>
    <w:p w:rsidR="00D849AA" w:rsidRDefault="00EE6D95">
      <w:pPr>
        <w:pStyle w:val="Normal6"/>
      </w:pPr>
      <w:r>
        <w:t xml:space="preserve">Po završenim svim segmentima ispitivanjima, sukladno Zakonu o općem upravnom postupku (NN 47/09) donosi se rješenje o stavljanju proizvoda u promet. Sastavni dio rješenja su evidencijske markice, odnosno vrpce kojima se proizvod označava na tržištu i koje su znak sigurnosti za potrošača. </w:t>
      </w:r>
    </w:p>
    <w:p w:rsidR="00D849AA" w:rsidRDefault="00EE6D95">
      <w:pPr>
        <w:pStyle w:val="Normal6"/>
      </w:pPr>
      <w:r>
        <w:t xml:space="preserve">„Banka podataka autentičnih vina EU“. </w:t>
      </w:r>
    </w:p>
    <w:p w:rsidR="00D849AA" w:rsidRDefault="00EE6D95">
      <w:pPr>
        <w:pStyle w:val="Normal6"/>
      </w:pPr>
      <w:r>
        <w:t xml:space="preserve">S ciljem uspostave banke podataka autentičnih vina Europske unije (EC 555/09), Republika Hrvatska mora, počev s berbom 2013., svake godine dostaviti rezultate izotopskih analiza instituciji određenoj propisima Europske unije. </w:t>
      </w:r>
    </w:p>
    <w:p w:rsidR="00D849AA" w:rsidRDefault="00EE6D95">
      <w:pPr>
        <w:pStyle w:val="Normal6"/>
      </w:pPr>
      <w:r>
        <w:t>Uzimanje uzoraka grožđa, vinifikaciju, izotopne analize i slanje svih obveznih podataka instituciji provodi Zavod za vinogradarstvo i vinarstvo. Pokazatelju učinaka bit će iskazani u okviru aktivnosti 842001 Administracija i upravljanje HCPHS</w:t>
      </w:r>
    </w:p>
    <w:p w:rsidR="00D849AA" w:rsidRDefault="00EE6D95">
      <w:pPr>
        <w:pStyle w:val="Naslov7"/>
      </w:pPr>
      <w:r>
        <w:t xml:space="preserve">Cilj 4. </w:t>
      </w:r>
      <w:r w:rsidR="00337A23">
        <w:t>Unapređenje sustava kvalitete</w:t>
      </w:r>
    </w:p>
    <w:p w:rsidR="00D849AA" w:rsidRDefault="00EE6D95">
      <w:pPr>
        <w:pStyle w:val="Normal6"/>
      </w:pPr>
      <w:r>
        <w:t xml:space="preserve">Unapređenje sustava kvalitete u laboratorijima HCPHS–a temelji se na zadaćama i odredbama određenim u Zakonu o osnivanju Hrvatskog centra za poljjoprivredu hranu i selo (NN 25/09), te drugima zakonskim aktima vezanim za proizvodnju hrane i pića. </w:t>
      </w:r>
    </w:p>
    <w:p w:rsidR="00D849AA" w:rsidRDefault="00EE6D95">
      <w:pPr>
        <w:pStyle w:val="Normal6"/>
      </w:pPr>
      <w:r>
        <w:t xml:space="preserve">Način ostvarenja posebnog cilja: </w:t>
      </w:r>
    </w:p>
    <w:p w:rsidR="00D849AA" w:rsidRDefault="00EE6D95">
      <w:pPr>
        <w:pStyle w:val="Normal6"/>
      </w:pPr>
      <w:r>
        <w:t>1.4.1</w:t>
      </w:r>
      <w:r>
        <w:tab/>
        <w:t xml:space="preserve">Laboratoriji za fizikalno-kemijska ispitivanja </w:t>
      </w:r>
    </w:p>
    <w:p w:rsidR="00D849AA" w:rsidRDefault="00EE6D95">
      <w:pPr>
        <w:pStyle w:val="Normal6"/>
      </w:pPr>
      <w:r>
        <w:t xml:space="preserve">Laboratorij za fizikalno kemijska ispitivanja Zavoda za vinogradarstvo i vinarstvo, HCPHS-a akreditiran je prema zahtjevima norme HRN EN ISO/IEC 17025:2007. od </w:t>
      </w:r>
      <w:r>
        <w:lastRenderedPageBreak/>
        <w:t xml:space="preserve">2002. godine, a temeljem Zakona o akreditaciji (NN 158/03, 75/09), od 2002. godine, za područje kontrole kvalitete vina te jakih alkoholnih i alkoholnih pića, referentni laboratorij Ministarstva poljoprivrede, za provođenje fizikalno-kemijskih analiza mošta, vina, voćnih vina i drugih proizvoda od grožđa i vina koje se provode radi inspekcijskog nadzora prema članku 13. Pravilnika o uvjetima analize mošta, vina i drugih proizvoda od grožđa i vina, voćnih vina i drugih proizvoda na bazi voćnih vina (NN 102/04, 64/05), službeni ovlašteni laboratorij Ministarstva poljoprivrede, za provođenje fizikalno-kemijskih analiza mošta, vina i drugih proizvoda od grožđa i vina, voćnih vina i drugih proizvoda od voćnih vina temeljem članka 17. stavka 1. Zakona o vinu (NN 96/03 i 55/11) i članka 6. stavka 1. Pravilnika o uvjetima analize mošta, vina, drugih proizvoda od grožđa i vina te voćnih vina i drugih proizvoda na bazi voćnih vina (NN 102/04 i 64/05) službeni ovlašteni laboratorij Ministarstva poljoprivrede, za obavljanje specijalizirane djelatnosti s mogućnošću izdavanja međunarodnih certifikata za analizu alkoholnih pića (određivanje hlapivih komponenata i metanola u alkoholnim pićima) na temelju članka 81. stavka 6. Zakona o hrani (NN 46/07) i Pravilnika o ovlaštenim ispitnim laboratorijima za kontrolu kakvoće hrane (NN 92/06). </w:t>
      </w:r>
    </w:p>
    <w:p w:rsidR="00D849AA" w:rsidRDefault="00EE6D95">
      <w:pPr>
        <w:pStyle w:val="Normal6"/>
      </w:pPr>
      <w:r>
        <w:t xml:space="preserve">Prema gore navedenim zaduženjima Laboratorij za fizikalno kemijska ispitivanja Zavoda za vinogradarstvo i vinarstvo, Hrvatskog centra za poljoprivredu, hranu i selo, ima u cilju i nadalje provoditi sva ispitivanja temeljena na važećim propisima. Prema zahtjevima službene kontrole proizvoda uvodit će se nove analitičke metode koje se nakon validacije mogu uvoditi i u sustav norme HRN EN ISO/IEC 17025:2007.  </w:t>
      </w:r>
    </w:p>
    <w:p w:rsidR="00D849AA" w:rsidRDefault="00EE6D95">
      <w:pPr>
        <w:pStyle w:val="Normal6"/>
      </w:pPr>
      <w:r>
        <w:t xml:space="preserve">Za potrebe utvrđivanja autentičnosti podrijetla vina (dokazivanje nedopuštenog dodavanja šećera i vode), uvode se metode za određivanje omjera stabilnih izotopa elemenata kisika i ugljika u vinu.  </w:t>
      </w:r>
    </w:p>
    <w:p w:rsidR="00D849AA" w:rsidRDefault="00EE6D95">
      <w:pPr>
        <w:pStyle w:val="Normal6"/>
      </w:pPr>
      <w:r>
        <w:t>1.4.2</w:t>
      </w:r>
      <w:r>
        <w:tab/>
        <w:t xml:space="preserve">Laboratorij za senzorna ocjenjivanja </w:t>
      </w:r>
    </w:p>
    <w:p w:rsidR="00D849AA" w:rsidRDefault="00EE6D95">
      <w:pPr>
        <w:pStyle w:val="Normal6"/>
      </w:pPr>
      <w:r>
        <w:t xml:space="preserve">Laboratorij za senzorna ispitivanja Zavoda za vinogradarstvo i vinarstvo, HCPHS-a akreditiran je prema zahtjevima norme HRN EN ISO/IEC 17025:2007. od 2006. godine a temeljem Zakona o akreditaciji (NN 158/03, 75/09), od 2002. godine, za područje kontrole kvalitete vina. Ministarstvo poljoprivrede ovlastilo je Zavod za vinogradarstvo i vinarstvo za provedbu senzornih ispitivanja sukladno Zakonu o vinu. Cilj je nastaviti razvoj u ovom području sukladno normi HRN EN ISO/IEC 17025:2007. te proširiti područje i na voćna vina.  </w:t>
      </w:r>
    </w:p>
    <w:p w:rsidR="00D849AA" w:rsidRDefault="00EE6D95">
      <w:pPr>
        <w:pStyle w:val="Normal6"/>
      </w:pPr>
      <w:r>
        <w:t>1.4.3</w:t>
      </w:r>
      <w:r>
        <w:tab/>
        <w:t xml:space="preserve">Laboratoriji za dijagnostiku Zavoda za zaštitu bilja </w:t>
      </w:r>
    </w:p>
    <w:p w:rsidR="00D849AA" w:rsidRDefault="00EE6D95">
      <w:pPr>
        <w:pStyle w:val="Normal6"/>
      </w:pPr>
      <w:r>
        <w:t xml:space="preserve">U svrhu uključivanja stručnjaka – dijagnostičara Zavoda za zaštitu bilja u projekte u području biljne karantene sa stručnjacima EU cilj je opremiti specijalističke laboratorije Zavoda za zaštitu bilja (laboratorij za bakteriologiju, laboratorij za herbologiju, laboratorij za mikologiju, laboratorij za nematologiju, laboratorij za virologiju i laboratorij za zoologiju). i akreditirati 6 najvažnijih metoda koje se koriste u laboratorijima za dokazivanje ŠO. Laboratoriji Zavoda, su u postupku pridobivanja akreditacije za metode koje se u njima koriste u svrhu ispitivanja zdravstvene kontrole uvoznog i domaćeg reprodukcijskog materijala i programa posebnih nadzora sukladno normi HRN ISO/IEC 17025 i EU direktivama. </w:t>
      </w:r>
    </w:p>
    <w:p w:rsidR="00D849AA" w:rsidRDefault="00EE6D95">
      <w:pPr>
        <w:pStyle w:val="Normal6"/>
      </w:pPr>
      <w:r>
        <w:t>1.4.4</w:t>
      </w:r>
      <w:r>
        <w:tab/>
        <w:t xml:space="preserve">Laboratorij Zavoda za sjemenarstvo i rasadničarstvo </w:t>
      </w:r>
    </w:p>
    <w:p w:rsidR="00D849AA" w:rsidRDefault="00EE6D95">
      <w:pPr>
        <w:pStyle w:val="Normal6"/>
      </w:pPr>
      <w:r>
        <w:t xml:space="preserve">ZSR u laboratoriju ima akreditirano 16 metoda, i to za ispitivanje sjemena prema trenutnim zahtjevima certifikacije 7 metoda i u bio-tehnološkom dijelu laboratorija 9 metoda za detekciju GMO-a. </w:t>
      </w:r>
    </w:p>
    <w:p w:rsidR="00D849AA" w:rsidRDefault="00EE6D95">
      <w:pPr>
        <w:pStyle w:val="Normal6"/>
      </w:pPr>
      <w:r>
        <w:t xml:space="preserve">Nije jasno hoće li se regulativa mijenjati ili ne. Ako i kada se potvrdi da je Heubah test obavezan prići će se akreditaciji i ove metode za dio laboratorija koji testira sjeme. Kako sada izgleda to neće biti u slijedeće barem dvije godine jer se vode polemike o utjecaju neonikotida na pomor pčela što je i bio uzrok uvođenja testa. </w:t>
      </w:r>
    </w:p>
    <w:p w:rsidR="00D849AA" w:rsidRDefault="00EE6D95">
      <w:pPr>
        <w:pStyle w:val="Normal6"/>
      </w:pPr>
      <w:r>
        <w:lastRenderedPageBreak/>
        <w:t xml:space="preserve">U bio-tehnološkom dijelu laboratorija uvođenje novih metoda ovisi o pojavi novih tehnologija. Ako se pojave raditi će se na akreditaciji novih metoda.  </w:t>
      </w:r>
    </w:p>
    <w:p w:rsidR="00D849AA" w:rsidRDefault="00EE6D95">
      <w:pPr>
        <w:pStyle w:val="Normal6"/>
      </w:pPr>
      <w:r>
        <w:t>U okviru ovog cilja prikazat ćemo kao pokazatelje učinka akreditirane labaratorije s brojem akreditacija koji su u sklopu Zavoda HCPHS.</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238"/>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Laboratorij za fizikalno kemijska ispitivanja ZVV</w:t>
            </w:r>
          </w:p>
        </w:tc>
        <w:tc>
          <w:tcPr>
            <w:tcW w:w="1114" w:type="dxa"/>
          </w:tcPr>
          <w:p w:rsidR="00D849AA" w:rsidRDefault="00EE6D95">
            <w:r>
              <w:t>Broj akreditiranih ih metoda</w:t>
            </w:r>
          </w:p>
        </w:tc>
        <w:tc>
          <w:tcPr>
            <w:tcW w:w="1114" w:type="dxa"/>
          </w:tcPr>
          <w:p w:rsidR="00D849AA" w:rsidRDefault="00EE6D95">
            <w:r>
              <w:t>23</w:t>
            </w:r>
          </w:p>
        </w:tc>
        <w:tc>
          <w:tcPr>
            <w:tcW w:w="1486" w:type="dxa"/>
          </w:tcPr>
          <w:p w:rsidR="00D849AA" w:rsidRDefault="00EE6D95">
            <w:r>
              <w:t>24</w:t>
            </w:r>
          </w:p>
        </w:tc>
        <w:tc>
          <w:tcPr>
            <w:tcW w:w="1486" w:type="dxa"/>
          </w:tcPr>
          <w:p w:rsidR="00D849AA" w:rsidRDefault="00EE6D95">
            <w:r>
              <w:t>50</w:t>
            </w:r>
          </w:p>
        </w:tc>
        <w:tc>
          <w:tcPr>
            <w:tcW w:w="1486" w:type="dxa"/>
          </w:tcPr>
          <w:p w:rsidR="00D849AA" w:rsidRDefault="00EE6D95">
            <w:r>
              <w:t>52</w:t>
            </w:r>
          </w:p>
        </w:tc>
      </w:tr>
      <w:tr w:rsidR="00D849AA">
        <w:trPr>
          <w:jc w:val="center"/>
        </w:trPr>
        <w:tc>
          <w:tcPr>
            <w:tcW w:w="2229" w:type="dxa"/>
          </w:tcPr>
          <w:p w:rsidR="00D849AA" w:rsidRDefault="00EE6D95">
            <w:pPr>
              <w:pStyle w:val="CellColumn"/>
            </w:pPr>
            <w:r>
              <w:t>Laboratorij za senzorna ispitivanja ZVV,</w:t>
            </w:r>
          </w:p>
        </w:tc>
        <w:tc>
          <w:tcPr>
            <w:tcW w:w="1114" w:type="dxa"/>
          </w:tcPr>
          <w:p w:rsidR="00D849AA" w:rsidRDefault="00EE6D95">
            <w:r>
              <w:t>Broj akreditiranih ih metoda</w:t>
            </w:r>
          </w:p>
        </w:tc>
        <w:tc>
          <w:tcPr>
            <w:tcW w:w="1114" w:type="dxa"/>
          </w:tcPr>
          <w:p w:rsidR="00D849AA" w:rsidRDefault="00EE6D95">
            <w:r>
              <w:t>1</w:t>
            </w:r>
          </w:p>
        </w:tc>
        <w:tc>
          <w:tcPr>
            <w:tcW w:w="1486" w:type="dxa"/>
          </w:tcPr>
          <w:p w:rsidR="00D849AA" w:rsidRDefault="00EE6D95">
            <w:r>
              <w:t>1</w:t>
            </w:r>
          </w:p>
        </w:tc>
        <w:tc>
          <w:tcPr>
            <w:tcW w:w="1486" w:type="dxa"/>
          </w:tcPr>
          <w:p w:rsidR="00D849AA" w:rsidRDefault="00EE6D95">
            <w:r>
              <w:t>2</w:t>
            </w:r>
          </w:p>
        </w:tc>
        <w:tc>
          <w:tcPr>
            <w:tcW w:w="1486" w:type="dxa"/>
          </w:tcPr>
          <w:p w:rsidR="00D849AA" w:rsidRDefault="00EE6D95">
            <w:r>
              <w:t>2</w:t>
            </w:r>
          </w:p>
        </w:tc>
      </w:tr>
      <w:tr w:rsidR="00D849AA">
        <w:trPr>
          <w:jc w:val="center"/>
        </w:trPr>
        <w:tc>
          <w:tcPr>
            <w:tcW w:w="2229" w:type="dxa"/>
          </w:tcPr>
          <w:p w:rsidR="00D849AA" w:rsidRDefault="00EE6D95">
            <w:pPr>
              <w:pStyle w:val="CellColumn"/>
            </w:pPr>
            <w:r>
              <w:t>Laboratoriji za dijagnostiku ZZB</w:t>
            </w:r>
          </w:p>
        </w:tc>
        <w:tc>
          <w:tcPr>
            <w:tcW w:w="1114" w:type="dxa"/>
          </w:tcPr>
          <w:p w:rsidR="00D849AA" w:rsidRDefault="00EE6D95">
            <w:r>
              <w:t>Broj akreditiranih ih metoda</w:t>
            </w:r>
          </w:p>
        </w:tc>
        <w:tc>
          <w:tcPr>
            <w:tcW w:w="1114" w:type="dxa"/>
          </w:tcPr>
          <w:p w:rsidR="00D849AA" w:rsidRDefault="00EE6D95">
            <w:r>
              <w:t>2</w:t>
            </w:r>
          </w:p>
        </w:tc>
        <w:tc>
          <w:tcPr>
            <w:tcW w:w="1486" w:type="dxa"/>
          </w:tcPr>
          <w:p w:rsidR="00D849AA" w:rsidRDefault="00EE6D95">
            <w:r>
              <w:t>2</w:t>
            </w:r>
          </w:p>
        </w:tc>
        <w:tc>
          <w:tcPr>
            <w:tcW w:w="1486" w:type="dxa"/>
          </w:tcPr>
          <w:p w:rsidR="00D849AA" w:rsidRDefault="00EE6D95">
            <w:r>
              <w:t>3</w:t>
            </w:r>
          </w:p>
        </w:tc>
        <w:tc>
          <w:tcPr>
            <w:tcW w:w="1486" w:type="dxa"/>
          </w:tcPr>
          <w:p w:rsidR="00D849AA" w:rsidRDefault="00EE6D95">
            <w:r>
              <w:t>4</w:t>
            </w:r>
          </w:p>
        </w:tc>
      </w:tr>
      <w:tr w:rsidR="00D849AA">
        <w:trPr>
          <w:jc w:val="center"/>
        </w:trPr>
        <w:tc>
          <w:tcPr>
            <w:tcW w:w="2229" w:type="dxa"/>
          </w:tcPr>
          <w:p w:rsidR="00D849AA" w:rsidRDefault="00EE6D95">
            <w:pPr>
              <w:pStyle w:val="CellColumn"/>
            </w:pPr>
            <w:r>
              <w:t>Laboratorij za ispitivanje sjemena ZSR</w:t>
            </w:r>
          </w:p>
        </w:tc>
        <w:tc>
          <w:tcPr>
            <w:tcW w:w="1114" w:type="dxa"/>
          </w:tcPr>
          <w:p w:rsidR="00D849AA" w:rsidRDefault="00EE6D95">
            <w:r>
              <w:t>Broj akreditiranih ih metoda</w:t>
            </w:r>
          </w:p>
        </w:tc>
        <w:tc>
          <w:tcPr>
            <w:tcW w:w="1114" w:type="dxa"/>
          </w:tcPr>
          <w:p w:rsidR="00D849AA" w:rsidRDefault="00EE6D95">
            <w:r>
              <w:t>7</w:t>
            </w:r>
          </w:p>
        </w:tc>
        <w:tc>
          <w:tcPr>
            <w:tcW w:w="1486" w:type="dxa"/>
          </w:tcPr>
          <w:p w:rsidR="00D849AA" w:rsidRDefault="00EE6D95">
            <w:r>
              <w:t>7</w:t>
            </w:r>
          </w:p>
        </w:tc>
        <w:tc>
          <w:tcPr>
            <w:tcW w:w="1486" w:type="dxa"/>
          </w:tcPr>
          <w:p w:rsidR="00D849AA" w:rsidRDefault="00EE6D95">
            <w:r>
              <w:t>7</w:t>
            </w:r>
          </w:p>
        </w:tc>
        <w:tc>
          <w:tcPr>
            <w:tcW w:w="1486" w:type="dxa"/>
          </w:tcPr>
          <w:p w:rsidR="00D849AA" w:rsidRDefault="00EE6D95">
            <w:r>
              <w:t>8</w:t>
            </w:r>
          </w:p>
        </w:tc>
      </w:tr>
      <w:tr w:rsidR="00D849AA">
        <w:trPr>
          <w:jc w:val="center"/>
        </w:trPr>
        <w:tc>
          <w:tcPr>
            <w:tcW w:w="2229" w:type="dxa"/>
          </w:tcPr>
          <w:p w:rsidR="00D849AA" w:rsidRDefault="00EE6D95">
            <w:pPr>
              <w:pStyle w:val="CellColumn"/>
            </w:pPr>
            <w:r>
              <w:t>Laboratorij za biotehnološke analize ZSR</w:t>
            </w:r>
          </w:p>
        </w:tc>
        <w:tc>
          <w:tcPr>
            <w:tcW w:w="1114" w:type="dxa"/>
          </w:tcPr>
          <w:p w:rsidR="00D849AA" w:rsidRDefault="00EE6D95">
            <w:r>
              <w:t>Broj akreditiranih ih metoda</w:t>
            </w:r>
          </w:p>
        </w:tc>
        <w:tc>
          <w:tcPr>
            <w:tcW w:w="1114" w:type="dxa"/>
          </w:tcPr>
          <w:p w:rsidR="00D849AA" w:rsidRDefault="00EE6D95">
            <w:r>
              <w:t>9</w:t>
            </w:r>
          </w:p>
        </w:tc>
        <w:tc>
          <w:tcPr>
            <w:tcW w:w="1486" w:type="dxa"/>
          </w:tcPr>
          <w:p w:rsidR="00D849AA" w:rsidRDefault="00EE6D95">
            <w:r>
              <w:t>9</w:t>
            </w:r>
          </w:p>
        </w:tc>
        <w:tc>
          <w:tcPr>
            <w:tcW w:w="1486" w:type="dxa"/>
          </w:tcPr>
          <w:p w:rsidR="00D849AA" w:rsidRDefault="00EE6D95">
            <w:r>
              <w:t>9</w:t>
            </w:r>
          </w:p>
        </w:tc>
        <w:tc>
          <w:tcPr>
            <w:tcW w:w="1486" w:type="dxa"/>
          </w:tcPr>
          <w:p w:rsidR="00D849AA" w:rsidRDefault="00EE6D95">
            <w:r>
              <w:t>9</w:t>
            </w:r>
          </w:p>
        </w:tc>
      </w:tr>
    </w:tbl>
    <w:p w:rsidR="00D849AA" w:rsidRDefault="00D849AA">
      <w:pPr>
        <w:jc w:val="left"/>
      </w:pPr>
    </w:p>
    <w:p w:rsidR="00D849AA" w:rsidRDefault="00EE6D95">
      <w:pPr>
        <w:pStyle w:val="Naslov5"/>
      </w:pPr>
      <w:r>
        <w:t>Procjena i ishodište potrebnih sredstava za značajnije aktivnosti/projekte</w:t>
      </w:r>
    </w:p>
    <w:p w:rsidR="00D849AA" w:rsidRDefault="00EE6D95">
      <w:pPr>
        <w:pStyle w:val="Naslov6"/>
      </w:pPr>
      <w:r>
        <w:t>A842001 ADMINISTRACIJA I UPRAVLJANJE HRVATSKOG CENTRA ZA POLJOPRIVREDU, HRANU I SELO</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A842001</w:t>
            </w:r>
          </w:p>
        </w:tc>
        <w:tc>
          <w:tcPr>
            <w:tcW w:w="1486" w:type="dxa"/>
          </w:tcPr>
          <w:p w:rsidR="00D849AA" w:rsidRDefault="00EE6D95">
            <w:r>
              <w:t>36.673.800</w:t>
            </w:r>
          </w:p>
        </w:tc>
        <w:tc>
          <w:tcPr>
            <w:tcW w:w="1486" w:type="dxa"/>
          </w:tcPr>
          <w:p w:rsidR="00D849AA" w:rsidRDefault="00EE6D95">
            <w:r>
              <w:t>31.711.870</w:t>
            </w:r>
          </w:p>
        </w:tc>
        <w:tc>
          <w:tcPr>
            <w:tcW w:w="1486" w:type="dxa"/>
          </w:tcPr>
          <w:p w:rsidR="00D849AA" w:rsidRDefault="00EE6D95">
            <w:r>
              <w:t>31.411.870</w:t>
            </w:r>
          </w:p>
        </w:tc>
        <w:tc>
          <w:tcPr>
            <w:tcW w:w="1486" w:type="dxa"/>
          </w:tcPr>
          <w:p w:rsidR="00D849AA" w:rsidRDefault="00EE6D95">
            <w:r>
              <w:t>31.411.870</w:t>
            </w:r>
          </w:p>
        </w:tc>
        <w:tc>
          <w:tcPr>
            <w:tcW w:w="1486" w:type="dxa"/>
          </w:tcPr>
          <w:p w:rsidR="00D849AA" w:rsidRDefault="00EE6D95">
            <w:r>
              <w:t>86,5</w:t>
            </w:r>
          </w:p>
        </w:tc>
      </w:tr>
    </w:tbl>
    <w:p w:rsidR="00D849AA" w:rsidRDefault="00D849AA">
      <w:pPr>
        <w:jc w:val="left"/>
      </w:pPr>
    </w:p>
    <w:p w:rsidR="00D849AA" w:rsidRDefault="00EE6D95">
      <w:pPr>
        <w:pStyle w:val="Normal6"/>
      </w:pPr>
      <w:r>
        <w:t>U planu proračuna za 104-2016 g.planirane su naknade za zaposlene , materijalni i financijski rashodi vezani za obavljanje redovnih djelatnosti HCPHS, a koje se odnose na istraživanje, analize , te stručne i znanstvene podloge za potrebe planiranja, provođenja i kontrole mjera poljoprivrede i ruralne politike, povećanja konkurentnosti domaće proizvodnje i agrobiznisa, te direktiva EU, ako i sve javne ovlasti u području ispitivanja kakvoće vina, zaštite bilja i izdavanja certifikata u području sjemena i sadnog materijala.</w:t>
      </w:r>
    </w:p>
    <w:p w:rsidR="00337A23" w:rsidRDefault="00337A23">
      <w:pPr>
        <w:pStyle w:val="Normal6"/>
      </w:pPr>
    </w:p>
    <w:p w:rsidR="00337A23" w:rsidRDefault="00337A23">
      <w:pPr>
        <w:pStyle w:val="Normal6"/>
      </w:pPr>
    </w:p>
    <w:p w:rsidR="00337A23" w:rsidRDefault="00337A23">
      <w:pPr>
        <w:pStyle w:val="Normal6"/>
      </w:pPr>
    </w:p>
    <w:p w:rsidR="00337A23" w:rsidRDefault="00337A23">
      <w:pPr>
        <w:pStyle w:val="Normal6"/>
      </w:pPr>
    </w:p>
    <w:p w:rsidR="00D849AA" w:rsidRDefault="00EE6D95">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2229"/>
        <w:gridCol w:w="129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Broj referentnih vinograda</w:t>
            </w:r>
          </w:p>
        </w:tc>
        <w:tc>
          <w:tcPr>
            <w:tcW w:w="1114" w:type="dxa"/>
          </w:tcPr>
          <w:p w:rsidR="00D849AA" w:rsidRDefault="00EE6D95">
            <w:r>
              <w:t>broj</w:t>
            </w:r>
          </w:p>
        </w:tc>
        <w:tc>
          <w:tcPr>
            <w:tcW w:w="1114" w:type="dxa"/>
          </w:tcPr>
          <w:p w:rsidR="00D849AA" w:rsidRDefault="00EE6D95">
            <w:r>
              <w:t>0</w:t>
            </w:r>
          </w:p>
        </w:tc>
        <w:tc>
          <w:tcPr>
            <w:tcW w:w="1486" w:type="dxa"/>
          </w:tcPr>
          <w:p w:rsidR="00D849AA" w:rsidRDefault="00EE6D95">
            <w:r>
              <w:t>25</w:t>
            </w:r>
          </w:p>
        </w:tc>
        <w:tc>
          <w:tcPr>
            <w:tcW w:w="1486" w:type="dxa"/>
          </w:tcPr>
          <w:p w:rsidR="00D849AA" w:rsidRDefault="00EE6D95">
            <w:r>
              <w:t>25</w:t>
            </w:r>
          </w:p>
        </w:tc>
        <w:tc>
          <w:tcPr>
            <w:tcW w:w="1486" w:type="dxa"/>
          </w:tcPr>
          <w:p w:rsidR="00D849AA" w:rsidRDefault="00EE6D95">
            <w:r>
              <w:t>25</w:t>
            </w:r>
          </w:p>
        </w:tc>
      </w:tr>
      <w:tr w:rsidR="00D849AA">
        <w:trPr>
          <w:jc w:val="center"/>
        </w:trPr>
        <w:tc>
          <w:tcPr>
            <w:tcW w:w="2229" w:type="dxa"/>
          </w:tcPr>
          <w:p w:rsidR="00D849AA" w:rsidRDefault="00EE6D95">
            <w:pPr>
              <w:pStyle w:val="CellColumn"/>
            </w:pPr>
            <w:r>
              <w:t>Broj sorti u ispitivanju</w:t>
            </w:r>
          </w:p>
        </w:tc>
        <w:tc>
          <w:tcPr>
            <w:tcW w:w="1114" w:type="dxa"/>
          </w:tcPr>
          <w:p w:rsidR="00D849AA" w:rsidRDefault="00EE6D95">
            <w:r>
              <w:t>broj sorti</w:t>
            </w:r>
          </w:p>
        </w:tc>
        <w:tc>
          <w:tcPr>
            <w:tcW w:w="1114" w:type="dxa"/>
          </w:tcPr>
          <w:p w:rsidR="00D849AA" w:rsidRDefault="00EE6D95">
            <w:r>
              <w:t>272</w:t>
            </w:r>
          </w:p>
        </w:tc>
        <w:tc>
          <w:tcPr>
            <w:tcW w:w="1486" w:type="dxa"/>
          </w:tcPr>
          <w:p w:rsidR="00D849AA" w:rsidRDefault="00EE6D95">
            <w:r>
              <w:t>272</w:t>
            </w:r>
          </w:p>
        </w:tc>
        <w:tc>
          <w:tcPr>
            <w:tcW w:w="1486" w:type="dxa"/>
          </w:tcPr>
          <w:p w:rsidR="00D849AA" w:rsidRDefault="00EE6D95">
            <w:r>
              <w:t>250</w:t>
            </w:r>
          </w:p>
        </w:tc>
        <w:tc>
          <w:tcPr>
            <w:tcW w:w="1486" w:type="dxa"/>
          </w:tcPr>
          <w:p w:rsidR="00D849AA" w:rsidRDefault="00EE6D95">
            <w:r>
              <w:t>250</w:t>
            </w:r>
          </w:p>
        </w:tc>
      </w:tr>
      <w:tr w:rsidR="00D849AA">
        <w:trPr>
          <w:jc w:val="center"/>
        </w:trPr>
        <w:tc>
          <w:tcPr>
            <w:tcW w:w="2229" w:type="dxa"/>
          </w:tcPr>
          <w:p w:rsidR="00D849AA" w:rsidRDefault="00EE6D95">
            <w:pPr>
              <w:pStyle w:val="CellColumn"/>
            </w:pPr>
            <w:r>
              <w:t>Broj ispitivanih sorti u VCU pokusima</w:t>
            </w:r>
          </w:p>
        </w:tc>
        <w:tc>
          <w:tcPr>
            <w:tcW w:w="1114" w:type="dxa"/>
          </w:tcPr>
          <w:p w:rsidR="00D849AA" w:rsidRDefault="00EE6D95">
            <w:r>
              <w:t>broj sorti</w:t>
            </w:r>
          </w:p>
        </w:tc>
        <w:tc>
          <w:tcPr>
            <w:tcW w:w="1114" w:type="dxa"/>
          </w:tcPr>
          <w:p w:rsidR="00D849AA" w:rsidRDefault="00EE6D95">
            <w:r>
              <w:t>272</w:t>
            </w:r>
          </w:p>
        </w:tc>
        <w:tc>
          <w:tcPr>
            <w:tcW w:w="1486" w:type="dxa"/>
          </w:tcPr>
          <w:p w:rsidR="00D849AA" w:rsidRDefault="00EE6D95">
            <w:r>
              <w:t>272</w:t>
            </w:r>
          </w:p>
        </w:tc>
        <w:tc>
          <w:tcPr>
            <w:tcW w:w="1486" w:type="dxa"/>
          </w:tcPr>
          <w:p w:rsidR="00D849AA" w:rsidRDefault="00EE6D95">
            <w:r>
              <w:t>250</w:t>
            </w:r>
          </w:p>
        </w:tc>
        <w:tc>
          <w:tcPr>
            <w:tcW w:w="1486" w:type="dxa"/>
          </w:tcPr>
          <w:p w:rsidR="00D849AA" w:rsidRDefault="00EE6D95">
            <w:r>
              <w:t>250</w:t>
            </w:r>
          </w:p>
        </w:tc>
      </w:tr>
      <w:tr w:rsidR="00D849AA">
        <w:trPr>
          <w:jc w:val="center"/>
        </w:trPr>
        <w:tc>
          <w:tcPr>
            <w:tcW w:w="2229" w:type="dxa"/>
          </w:tcPr>
          <w:p w:rsidR="00D849AA" w:rsidRDefault="00EE6D95">
            <w:pPr>
              <w:pStyle w:val="CellColumn"/>
            </w:pPr>
            <w:r>
              <w:t>Broj ispitivanih sorti u DUS pokusima</w:t>
            </w:r>
          </w:p>
        </w:tc>
        <w:tc>
          <w:tcPr>
            <w:tcW w:w="1114" w:type="dxa"/>
          </w:tcPr>
          <w:p w:rsidR="00D849AA" w:rsidRDefault="00EE6D95">
            <w:r>
              <w:t>broj sorti</w:t>
            </w:r>
          </w:p>
        </w:tc>
        <w:tc>
          <w:tcPr>
            <w:tcW w:w="1114" w:type="dxa"/>
          </w:tcPr>
          <w:p w:rsidR="00D849AA" w:rsidRDefault="00EE6D95">
            <w:r>
              <w:t>82</w:t>
            </w:r>
          </w:p>
        </w:tc>
        <w:tc>
          <w:tcPr>
            <w:tcW w:w="1486" w:type="dxa"/>
          </w:tcPr>
          <w:p w:rsidR="00D849AA" w:rsidRDefault="00EE6D95">
            <w:r>
              <w:t>93</w:t>
            </w:r>
          </w:p>
        </w:tc>
        <w:tc>
          <w:tcPr>
            <w:tcW w:w="1486" w:type="dxa"/>
          </w:tcPr>
          <w:p w:rsidR="00D849AA" w:rsidRDefault="00EE6D95">
            <w:r>
              <w:t>80</w:t>
            </w:r>
          </w:p>
        </w:tc>
        <w:tc>
          <w:tcPr>
            <w:tcW w:w="1486" w:type="dxa"/>
          </w:tcPr>
          <w:p w:rsidR="00D849AA" w:rsidRDefault="00EE6D95">
            <w:r>
              <w:t>80</w:t>
            </w:r>
          </w:p>
        </w:tc>
      </w:tr>
      <w:tr w:rsidR="00D849AA">
        <w:trPr>
          <w:jc w:val="center"/>
        </w:trPr>
        <w:tc>
          <w:tcPr>
            <w:tcW w:w="2229" w:type="dxa"/>
          </w:tcPr>
          <w:p w:rsidR="00D849AA" w:rsidRDefault="00EE6D95">
            <w:pPr>
              <w:pStyle w:val="CellColumn"/>
            </w:pPr>
            <w:r>
              <w:t>Površina pregledanih usjeva</w:t>
            </w:r>
          </w:p>
        </w:tc>
        <w:tc>
          <w:tcPr>
            <w:tcW w:w="1114" w:type="dxa"/>
          </w:tcPr>
          <w:p w:rsidR="00D849AA" w:rsidRDefault="00EE6D95">
            <w:r>
              <w:t>broj hektara</w:t>
            </w:r>
          </w:p>
        </w:tc>
        <w:tc>
          <w:tcPr>
            <w:tcW w:w="1114" w:type="dxa"/>
          </w:tcPr>
          <w:p w:rsidR="00D849AA" w:rsidRDefault="00EE6D95">
            <w:r>
              <w:t>20.370</w:t>
            </w:r>
          </w:p>
        </w:tc>
        <w:tc>
          <w:tcPr>
            <w:tcW w:w="1486" w:type="dxa"/>
          </w:tcPr>
          <w:p w:rsidR="00D849AA" w:rsidRDefault="00EE6D95">
            <w:r>
              <w:t>21.670</w:t>
            </w:r>
          </w:p>
        </w:tc>
        <w:tc>
          <w:tcPr>
            <w:tcW w:w="1486" w:type="dxa"/>
          </w:tcPr>
          <w:p w:rsidR="00D849AA" w:rsidRDefault="00EE6D95">
            <w:r>
              <w:t>22.800</w:t>
            </w:r>
          </w:p>
        </w:tc>
        <w:tc>
          <w:tcPr>
            <w:tcW w:w="1486" w:type="dxa"/>
          </w:tcPr>
          <w:p w:rsidR="00D849AA" w:rsidRDefault="00EE6D95">
            <w:r>
              <w:t>22.800</w:t>
            </w:r>
          </w:p>
        </w:tc>
      </w:tr>
      <w:tr w:rsidR="00D849AA">
        <w:trPr>
          <w:jc w:val="center"/>
        </w:trPr>
        <w:tc>
          <w:tcPr>
            <w:tcW w:w="2229" w:type="dxa"/>
          </w:tcPr>
          <w:p w:rsidR="00D849AA" w:rsidRDefault="00EE6D95">
            <w:pPr>
              <w:pStyle w:val="CellColumn"/>
            </w:pPr>
            <w:r>
              <w:t>Broj izdanih certifikata o sjemenu na ambalaži</w:t>
            </w:r>
          </w:p>
        </w:tc>
        <w:tc>
          <w:tcPr>
            <w:tcW w:w="1114" w:type="dxa"/>
          </w:tcPr>
          <w:p w:rsidR="00D849AA" w:rsidRDefault="00EE6D95">
            <w:r>
              <w:t>broj komada</w:t>
            </w:r>
          </w:p>
        </w:tc>
        <w:tc>
          <w:tcPr>
            <w:tcW w:w="1114" w:type="dxa"/>
          </w:tcPr>
          <w:p w:rsidR="00D849AA" w:rsidRDefault="00EE6D95">
            <w:r>
              <w:t>3.626.807</w:t>
            </w:r>
          </w:p>
        </w:tc>
        <w:tc>
          <w:tcPr>
            <w:tcW w:w="1486" w:type="dxa"/>
          </w:tcPr>
          <w:p w:rsidR="00D849AA" w:rsidRDefault="00EE6D95">
            <w:r>
              <w:t>3.626.807</w:t>
            </w:r>
          </w:p>
        </w:tc>
        <w:tc>
          <w:tcPr>
            <w:tcW w:w="1486" w:type="dxa"/>
          </w:tcPr>
          <w:p w:rsidR="00D849AA" w:rsidRDefault="00EE6D95">
            <w:r>
              <w:t>3.700.000</w:t>
            </w:r>
          </w:p>
        </w:tc>
        <w:tc>
          <w:tcPr>
            <w:tcW w:w="1486" w:type="dxa"/>
          </w:tcPr>
          <w:p w:rsidR="00D849AA" w:rsidRDefault="00EE6D95">
            <w:r>
              <w:t>3.700.000</w:t>
            </w:r>
          </w:p>
        </w:tc>
      </w:tr>
      <w:tr w:rsidR="00D849AA">
        <w:trPr>
          <w:jc w:val="center"/>
        </w:trPr>
        <w:tc>
          <w:tcPr>
            <w:tcW w:w="2229" w:type="dxa"/>
          </w:tcPr>
          <w:p w:rsidR="00D849AA" w:rsidRDefault="00EE6D95">
            <w:pPr>
              <w:pStyle w:val="CellColumn"/>
            </w:pPr>
            <w:r>
              <w:t>Broj izdanih certifikata za sjeme uz otpremnicu</w:t>
            </w:r>
          </w:p>
        </w:tc>
        <w:tc>
          <w:tcPr>
            <w:tcW w:w="1114" w:type="dxa"/>
          </w:tcPr>
          <w:p w:rsidR="00D849AA" w:rsidRDefault="00EE6D95">
            <w:r>
              <w:t>broj komada</w:t>
            </w:r>
          </w:p>
        </w:tc>
        <w:tc>
          <w:tcPr>
            <w:tcW w:w="1114" w:type="dxa"/>
          </w:tcPr>
          <w:p w:rsidR="00D849AA" w:rsidRDefault="00EE6D95">
            <w:r>
              <w:t>4.671</w:t>
            </w:r>
          </w:p>
        </w:tc>
        <w:tc>
          <w:tcPr>
            <w:tcW w:w="1486" w:type="dxa"/>
          </w:tcPr>
          <w:p w:rsidR="00D849AA" w:rsidRDefault="00EE6D95">
            <w:r>
              <w:t>4.671</w:t>
            </w:r>
          </w:p>
        </w:tc>
        <w:tc>
          <w:tcPr>
            <w:tcW w:w="1486" w:type="dxa"/>
          </w:tcPr>
          <w:p w:rsidR="00D849AA" w:rsidRDefault="00EE6D95">
            <w:r>
              <w:t>4.500</w:t>
            </w:r>
          </w:p>
        </w:tc>
        <w:tc>
          <w:tcPr>
            <w:tcW w:w="1486" w:type="dxa"/>
          </w:tcPr>
          <w:p w:rsidR="00D849AA" w:rsidRDefault="00EE6D95">
            <w:r>
              <w:t>4.500broj komada</w:t>
            </w:r>
          </w:p>
        </w:tc>
      </w:tr>
      <w:tr w:rsidR="00D849AA">
        <w:trPr>
          <w:jc w:val="center"/>
        </w:trPr>
        <w:tc>
          <w:tcPr>
            <w:tcW w:w="2229" w:type="dxa"/>
          </w:tcPr>
          <w:p w:rsidR="00D849AA" w:rsidRDefault="00EE6D95">
            <w:pPr>
              <w:pStyle w:val="CellColumn"/>
            </w:pPr>
            <w:r>
              <w:t>Stručni nadzor voćnih sadnica</w:t>
            </w:r>
          </w:p>
        </w:tc>
        <w:tc>
          <w:tcPr>
            <w:tcW w:w="1114" w:type="dxa"/>
          </w:tcPr>
          <w:p w:rsidR="00D849AA" w:rsidRDefault="00EE6D95">
            <w:r>
              <w:t>broj komada</w:t>
            </w:r>
          </w:p>
        </w:tc>
        <w:tc>
          <w:tcPr>
            <w:tcW w:w="1114" w:type="dxa"/>
          </w:tcPr>
          <w:p w:rsidR="00D849AA" w:rsidRDefault="00EE6D95">
            <w:r>
              <w:t>5.500.000</w:t>
            </w:r>
          </w:p>
        </w:tc>
        <w:tc>
          <w:tcPr>
            <w:tcW w:w="1486" w:type="dxa"/>
          </w:tcPr>
          <w:p w:rsidR="00D849AA" w:rsidRDefault="00EE6D95">
            <w:r>
              <w:t>5.500.000</w:t>
            </w:r>
          </w:p>
        </w:tc>
        <w:tc>
          <w:tcPr>
            <w:tcW w:w="1486" w:type="dxa"/>
          </w:tcPr>
          <w:p w:rsidR="00D849AA" w:rsidRDefault="00EE6D95">
            <w:r>
              <w:t>5.500.000</w:t>
            </w:r>
          </w:p>
        </w:tc>
        <w:tc>
          <w:tcPr>
            <w:tcW w:w="1486" w:type="dxa"/>
          </w:tcPr>
          <w:p w:rsidR="00D849AA" w:rsidRDefault="00EE6D95">
            <w:r>
              <w:t>5.500.000</w:t>
            </w:r>
          </w:p>
        </w:tc>
      </w:tr>
      <w:tr w:rsidR="00D849AA">
        <w:trPr>
          <w:jc w:val="center"/>
        </w:trPr>
        <w:tc>
          <w:tcPr>
            <w:tcW w:w="2229" w:type="dxa"/>
          </w:tcPr>
          <w:p w:rsidR="00D849AA" w:rsidRDefault="00EE6D95">
            <w:pPr>
              <w:pStyle w:val="CellColumn"/>
            </w:pPr>
            <w:r>
              <w:t>Stručni nadzor matičnih stabala / grmova</w:t>
            </w:r>
          </w:p>
        </w:tc>
        <w:tc>
          <w:tcPr>
            <w:tcW w:w="1114" w:type="dxa"/>
          </w:tcPr>
          <w:p w:rsidR="00D849AA" w:rsidRDefault="00EE6D95">
            <w:r>
              <w:t>broj komada</w:t>
            </w:r>
          </w:p>
        </w:tc>
        <w:tc>
          <w:tcPr>
            <w:tcW w:w="1114" w:type="dxa"/>
          </w:tcPr>
          <w:p w:rsidR="00D849AA" w:rsidRDefault="00EE6D95">
            <w:r>
              <w:t>287.500</w:t>
            </w:r>
          </w:p>
        </w:tc>
        <w:tc>
          <w:tcPr>
            <w:tcW w:w="1486" w:type="dxa"/>
          </w:tcPr>
          <w:p w:rsidR="00D849AA" w:rsidRDefault="00EE6D95">
            <w:r>
              <w:t>287.500</w:t>
            </w:r>
          </w:p>
        </w:tc>
        <w:tc>
          <w:tcPr>
            <w:tcW w:w="1486" w:type="dxa"/>
          </w:tcPr>
          <w:p w:rsidR="00D849AA" w:rsidRDefault="00EE6D95">
            <w:r>
              <w:t>287.500</w:t>
            </w:r>
          </w:p>
        </w:tc>
        <w:tc>
          <w:tcPr>
            <w:tcW w:w="1486" w:type="dxa"/>
          </w:tcPr>
          <w:p w:rsidR="00D849AA" w:rsidRDefault="00EE6D95">
            <w:r>
              <w:t>287.500</w:t>
            </w:r>
          </w:p>
        </w:tc>
      </w:tr>
      <w:tr w:rsidR="00D849AA">
        <w:trPr>
          <w:jc w:val="center"/>
        </w:trPr>
        <w:tc>
          <w:tcPr>
            <w:tcW w:w="2229" w:type="dxa"/>
          </w:tcPr>
          <w:p w:rsidR="00D849AA" w:rsidRDefault="00EE6D95">
            <w:pPr>
              <w:pStyle w:val="CellColumn"/>
            </w:pPr>
            <w:r>
              <w:t>Stručni nadzor loznih cijepova</w:t>
            </w:r>
          </w:p>
        </w:tc>
        <w:tc>
          <w:tcPr>
            <w:tcW w:w="1114" w:type="dxa"/>
          </w:tcPr>
          <w:p w:rsidR="00D849AA" w:rsidRDefault="00EE6D95">
            <w:r>
              <w:t>broj komada</w:t>
            </w:r>
          </w:p>
        </w:tc>
        <w:tc>
          <w:tcPr>
            <w:tcW w:w="1114" w:type="dxa"/>
          </w:tcPr>
          <w:p w:rsidR="00D849AA" w:rsidRDefault="00EE6D95">
            <w:r>
              <w:t>6.500.000</w:t>
            </w:r>
          </w:p>
        </w:tc>
        <w:tc>
          <w:tcPr>
            <w:tcW w:w="1486" w:type="dxa"/>
          </w:tcPr>
          <w:p w:rsidR="00D849AA" w:rsidRDefault="00EE6D95">
            <w:r>
              <w:t>6.500.000</w:t>
            </w:r>
          </w:p>
        </w:tc>
        <w:tc>
          <w:tcPr>
            <w:tcW w:w="1486" w:type="dxa"/>
          </w:tcPr>
          <w:p w:rsidR="00D849AA" w:rsidRDefault="00EE6D95">
            <w:r>
              <w:t>6,500.000</w:t>
            </w:r>
          </w:p>
        </w:tc>
        <w:tc>
          <w:tcPr>
            <w:tcW w:w="1486" w:type="dxa"/>
          </w:tcPr>
          <w:p w:rsidR="00D849AA" w:rsidRDefault="00EE6D95">
            <w:r>
              <w:t>6.500.000</w:t>
            </w:r>
          </w:p>
        </w:tc>
      </w:tr>
      <w:tr w:rsidR="00D849AA">
        <w:trPr>
          <w:jc w:val="center"/>
        </w:trPr>
        <w:tc>
          <w:tcPr>
            <w:tcW w:w="2229" w:type="dxa"/>
          </w:tcPr>
          <w:p w:rsidR="00D849AA" w:rsidRDefault="00EE6D95">
            <w:pPr>
              <w:pStyle w:val="CellColumn"/>
            </w:pPr>
            <w:r>
              <w:t>Boj izdanih certifikata o sadnom materijalu</w:t>
            </w:r>
          </w:p>
        </w:tc>
        <w:tc>
          <w:tcPr>
            <w:tcW w:w="1114" w:type="dxa"/>
          </w:tcPr>
          <w:p w:rsidR="00D849AA" w:rsidRDefault="00EE6D95">
            <w:r>
              <w:t>broj komada</w:t>
            </w:r>
          </w:p>
        </w:tc>
        <w:tc>
          <w:tcPr>
            <w:tcW w:w="1114" w:type="dxa"/>
          </w:tcPr>
          <w:p w:rsidR="00D849AA" w:rsidRDefault="00EE6D95">
            <w:r>
              <w:t>1.274.543</w:t>
            </w:r>
          </w:p>
        </w:tc>
        <w:tc>
          <w:tcPr>
            <w:tcW w:w="1486" w:type="dxa"/>
          </w:tcPr>
          <w:p w:rsidR="00D849AA" w:rsidRDefault="00EE6D95">
            <w:r>
              <w:t>1.274.543</w:t>
            </w:r>
          </w:p>
        </w:tc>
        <w:tc>
          <w:tcPr>
            <w:tcW w:w="1486" w:type="dxa"/>
          </w:tcPr>
          <w:p w:rsidR="00D849AA" w:rsidRDefault="00EE6D95">
            <w:r>
              <w:t>1.274.543</w:t>
            </w:r>
          </w:p>
        </w:tc>
        <w:tc>
          <w:tcPr>
            <w:tcW w:w="1486" w:type="dxa"/>
          </w:tcPr>
          <w:p w:rsidR="00D849AA" w:rsidRDefault="00EE6D95">
            <w:r>
              <w:t>1.274.543</w:t>
            </w:r>
          </w:p>
        </w:tc>
      </w:tr>
      <w:tr w:rsidR="00D849AA">
        <w:trPr>
          <w:jc w:val="center"/>
        </w:trPr>
        <w:tc>
          <w:tcPr>
            <w:tcW w:w="2229" w:type="dxa"/>
          </w:tcPr>
          <w:p w:rsidR="00D849AA" w:rsidRDefault="00EE6D95">
            <w:pPr>
              <w:pStyle w:val="CellColumn"/>
            </w:pPr>
            <w:r>
              <w:t>Broj obavljenih pregleda laboratorija</w:t>
            </w:r>
          </w:p>
        </w:tc>
        <w:tc>
          <w:tcPr>
            <w:tcW w:w="1114" w:type="dxa"/>
          </w:tcPr>
          <w:p w:rsidR="00D849AA" w:rsidRDefault="00EE6D95">
            <w:r>
              <w:t>broj subjkata</w:t>
            </w:r>
          </w:p>
        </w:tc>
        <w:tc>
          <w:tcPr>
            <w:tcW w:w="1114" w:type="dxa"/>
          </w:tcPr>
          <w:p w:rsidR="00D849AA" w:rsidRDefault="00EE6D95">
            <w:r>
              <w:t>15</w:t>
            </w:r>
          </w:p>
        </w:tc>
        <w:tc>
          <w:tcPr>
            <w:tcW w:w="1486" w:type="dxa"/>
          </w:tcPr>
          <w:p w:rsidR="00D849AA" w:rsidRDefault="00EE6D95">
            <w:r>
              <w:t>15</w:t>
            </w:r>
          </w:p>
        </w:tc>
        <w:tc>
          <w:tcPr>
            <w:tcW w:w="1486" w:type="dxa"/>
          </w:tcPr>
          <w:p w:rsidR="00D849AA" w:rsidRDefault="00EE6D95">
            <w:r>
              <w:t>14</w:t>
            </w:r>
          </w:p>
        </w:tc>
        <w:tc>
          <w:tcPr>
            <w:tcW w:w="1486" w:type="dxa"/>
          </w:tcPr>
          <w:p w:rsidR="00D849AA" w:rsidRDefault="00EE6D95">
            <w:r>
              <w:t>14</w:t>
            </w:r>
          </w:p>
        </w:tc>
      </w:tr>
      <w:tr w:rsidR="00D849AA">
        <w:trPr>
          <w:jc w:val="center"/>
        </w:trPr>
        <w:tc>
          <w:tcPr>
            <w:tcW w:w="2229" w:type="dxa"/>
          </w:tcPr>
          <w:p w:rsidR="00D849AA" w:rsidRDefault="00EE6D95">
            <w:pPr>
              <w:pStyle w:val="CellColumn"/>
            </w:pPr>
            <w:r>
              <w:t>Broj pregled. dorađivača</w:t>
            </w:r>
          </w:p>
        </w:tc>
        <w:tc>
          <w:tcPr>
            <w:tcW w:w="1114" w:type="dxa"/>
          </w:tcPr>
          <w:p w:rsidR="00D849AA" w:rsidRDefault="00EE6D95">
            <w:r>
              <w:t>broj</w:t>
            </w:r>
          </w:p>
        </w:tc>
        <w:tc>
          <w:tcPr>
            <w:tcW w:w="1114" w:type="dxa"/>
          </w:tcPr>
          <w:p w:rsidR="00D849AA" w:rsidRDefault="00EE6D95">
            <w:r>
              <w:t>28</w:t>
            </w:r>
          </w:p>
        </w:tc>
        <w:tc>
          <w:tcPr>
            <w:tcW w:w="1486" w:type="dxa"/>
          </w:tcPr>
          <w:p w:rsidR="00D849AA" w:rsidRDefault="00EE6D95">
            <w:r>
              <w:t>28</w:t>
            </w:r>
          </w:p>
        </w:tc>
        <w:tc>
          <w:tcPr>
            <w:tcW w:w="1486" w:type="dxa"/>
          </w:tcPr>
          <w:p w:rsidR="00D849AA" w:rsidRDefault="00EE6D95">
            <w:r>
              <w:t>26</w:t>
            </w:r>
          </w:p>
        </w:tc>
        <w:tc>
          <w:tcPr>
            <w:tcW w:w="1486" w:type="dxa"/>
          </w:tcPr>
          <w:p w:rsidR="00D849AA" w:rsidRDefault="00EE6D95">
            <w:r>
              <w:t>25</w:t>
            </w:r>
          </w:p>
        </w:tc>
      </w:tr>
      <w:tr w:rsidR="00D849AA">
        <w:trPr>
          <w:jc w:val="center"/>
        </w:trPr>
        <w:tc>
          <w:tcPr>
            <w:tcW w:w="2229" w:type="dxa"/>
          </w:tcPr>
          <w:p w:rsidR="00D849AA" w:rsidRDefault="00EE6D95">
            <w:pPr>
              <w:pStyle w:val="CellColumn"/>
            </w:pPr>
            <w:r>
              <w:t>Broj pregledanih proizvođača</w:t>
            </w:r>
          </w:p>
        </w:tc>
        <w:tc>
          <w:tcPr>
            <w:tcW w:w="1114" w:type="dxa"/>
          </w:tcPr>
          <w:p w:rsidR="00D849AA" w:rsidRDefault="00EE6D95">
            <w:r>
              <w:t>broj</w:t>
            </w:r>
          </w:p>
        </w:tc>
        <w:tc>
          <w:tcPr>
            <w:tcW w:w="1114" w:type="dxa"/>
          </w:tcPr>
          <w:p w:rsidR="00D849AA" w:rsidRDefault="00EE6D95">
            <w:r>
              <w:t>180</w:t>
            </w:r>
          </w:p>
        </w:tc>
        <w:tc>
          <w:tcPr>
            <w:tcW w:w="1486" w:type="dxa"/>
          </w:tcPr>
          <w:p w:rsidR="00D849AA" w:rsidRDefault="00EE6D95">
            <w:r>
              <w:t>180</w:t>
            </w:r>
          </w:p>
        </w:tc>
        <w:tc>
          <w:tcPr>
            <w:tcW w:w="1486" w:type="dxa"/>
          </w:tcPr>
          <w:p w:rsidR="00D849AA" w:rsidRDefault="00EE6D95">
            <w:r>
              <w:t>180</w:t>
            </w:r>
          </w:p>
        </w:tc>
        <w:tc>
          <w:tcPr>
            <w:tcW w:w="1486" w:type="dxa"/>
          </w:tcPr>
          <w:p w:rsidR="00D849AA" w:rsidRDefault="00EE6D95">
            <w:r>
              <w:t>180</w:t>
            </w:r>
          </w:p>
        </w:tc>
      </w:tr>
      <w:tr w:rsidR="00D849AA">
        <w:trPr>
          <w:jc w:val="center"/>
        </w:trPr>
        <w:tc>
          <w:tcPr>
            <w:tcW w:w="2229" w:type="dxa"/>
          </w:tcPr>
          <w:p w:rsidR="00D849AA" w:rsidRDefault="00EE6D95">
            <w:pPr>
              <w:pStyle w:val="CellColumn"/>
            </w:pPr>
            <w:r>
              <w:t>Površina pregledanih usjeva</w:t>
            </w:r>
          </w:p>
        </w:tc>
        <w:tc>
          <w:tcPr>
            <w:tcW w:w="1114" w:type="dxa"/>
          </w:tcPr>
          <w:p w:rsidR="00D849AA" w:rsidRDefault="00EE6D95">
            <w:r>
              <w:t>broj ha</w:t>
            </w:r>
          </w:p>
        </w:tc>
        <w:tc>
          <w:tcPr>
            <w:tcW w:w="1114" w:type="dxa"/>
          </w:tcPr>
          <w:p w:rsidR="00D849AA" w:rsidRDefault="00EE6D95">
            <w:r>
              <w:t>900</w:t>
            </w:r>
          </w:p>
        </w:tc>
        <w:tc>
          <w:tcPr>
            <w:tcW w:w="1486" w:type="dxa"/>
          </w:tcPr>
          <w:p w:rsidR="00D849AA" w:rsidRDefault="00EE6D95">
            <w:r>
              <w:t>1.200</w:t>
            </w:r>
          </w:p>
        </w:tc>
        <w:tc>
          <w:tcPr>
            <w:tcW w:w="1486" w:type="dxa"/>
          </w:tcPr>
          <w:p w:rsidR="00D849AA" w:rsidRDefault="00EE6D95">
            <w:r>
              <w:t>1.300</w:t>
            </w:r>
          </w:p>
        </w:tc>
        <w:tc>
          <w:tcPr>
            <w:tcW w:w="1486" w:type="dxa"/>
          </w:tcPr>
          <w:p w:rsidR="00D849AA" w:rsidRDefault="00EE6D95">
            <w:r>
              <w:t>1.400</w:t>
            </w:r>
          </w:p>
        </w:tc>
      </w:tr>
      <w:tr w:rsidR="00D849AA">
        <w:trPr>
          <w:jc w:val="center"/>
        </w:trPr>
        <w:tc>
          <w:tcPr>
            <w:tcW w:w="2229" w:type="dxa"/>
          </w:tcPr>
          <w:p w:rsidR="00D849AA" w:rsidRDefault="00EE6D95">
            <w:pPr>
              <w:pStyle w:val="CellColumn"/>
            </w:pPr>
            <w:r>
              <w:t>Broj pregledanih sadnica</w:t>
            </w:r>
          </w:p>
        </w:tc>
        <w:tc>
          <w:tcPr>
            <w:tcW w:w="1114" w:type="dxa"/>
          </w:tcPr>
          <w:p w:rsidR="00D849AA" w:rsidRDefault="00EE6D95">
            <w:r>
              <w:t>broj komada</w:t>
            </w:r>
          </w:p>
        </w:tc>
        <w:tc>
          <w:tcPr>
            <w:tcW w:w="1114" w:type="dxa"/>
          </w:tcPr>
          <w:p w:rsidR="00D849AA" w:rsidRDefault="00EE6D95">
            <w:r>
              <w:t>4.774.742</w:t>
            </w:r>
          </w:p>
        </w:tc>
        <w:tc>
          <w:tcPr>
            <w:tcW w:w="1486" w:type="dxa"/>
          </w:tcPr>
          <w:p w:rsidR="00D849AA" w:rsidRDefault="00EE6D95">
            <w:r>
              <w:t>5.100.000</w:t>
            </w:r>
          </w:p>
        </w:tc>
        <w:tc>
          <w:tcPr>
            <w:tcW w:w="1486" w:type="dxa"/>
          </w:tcPr>
          <w:p w:rsidR="00D849AA" w:rsidRDefault="00EE6D95">
            <w:r>
              <w:t>5.600.000</w:t>
            </w:r>
          </w:p>
        </w:tc>
        <w:tc>
          <w:tcPr>
            <w:tcW w:w="1486" w:type="dxa"/>
          </w:tcPr>
          <w:p w:rsidR="00D849AA" w:rsidRDefault="00EE6D95">
            <w:r>
              <w:t>5.900.000</w:t>
            </w:r>
          </w:p>
        </w:tc>
      </w:tr>
      <w:tr w:rsidR="00D849AA">
        <w:trPr>
          <w:jc w:val="center"/>
        </w:trPr>
        <w:tc>
          <w:tcPr>
            <w:tcW w:w="2229" w:type="dxa"/>
          </w:tcPr>
          <w:p w:rsidR="00D849AA" w:rsidRDefault="00EE6D95">
            <w:pPr>
              <w:pStyle w:val="CellColumn"/>
            </w:pPr>
            <w:r>
              <w:t xml:space="preserve">Broj laboratorijskih analiza u sklopu </w:t>
            </w:r>
            <w:r>
              <w:lastRenderedPageBreak/>
              <w:t>zdravstvenih pregleda</w:t>
            </w:r>
          </w:p>
        </w:tc>
        <w:tc>
          <w:tcPr>
            <w:tcW w:w="1114" w:type="dxa"/>
          </w:tcPr>
          <w:p w:rsidR="00D849AA" w:rsidRDefault="00EE6D95">
            <w:r>
              <w:lastRenderedPageBreak/>
              <w:t>broj komada</w:t>
            </w:r>
          </w:p>
        </w:tc>
        <w:tc>
          <w:tcPr>
            <w:tcW w:w="1114" w:type="dxa"/>
          </w:tcPr>
          <w:p w:rsidR="00D849AA" w:rsidRDefault="00EE6D95">
            <w:r>
              <w:t>1.417</w:t>
            </w:r>
          </w:p>
        </w:tc>
        <w:tc>
          <w:tcPr>
            <w:tcW w:w="1486" w:type="dxa"/>
          </w:tcPr>
          <w:p w:rsidR="00D849AA" w:rsidRDefault="00EE6D95">
            <w:r>
              <w:t>1.450</w:t>
            </w:r>
          </w:p>
        </w:tc>
        <w:tc>
          <w:tcPr>
            <w:tcW w:w="1486" w:type="dxa"/>
          </w:tcPr>
          <w:p w:rsidR="00D849AA" w:rsidRDefault="00EE6D95">
            <w:r>
              <w:t>1.450</w:t>
            </w:r>
          </w:p>
        </w:tc>
        <w:tc>
          <w:tcPr>
            <w:tcW w:w="1486" w:type="dxa"/>
          </w:tcPr>
          <w:p w:rsidR="00D849AA" w:rsidRDefault="00EE6D95">
            <w:r>
              <w:t>1.450</w:t>
            </w:r>
          </w:p>
        </w:tc>
      </w:tr>
      <w:tr w:rsidR="00D849AA">
        <w:trPr>
          <w:jc w:val="center"/>
        </w:trPr>
        <w:tc>
          <w:tcPr>
            <w:tcW w:w="2229" w:type="dxa"/>
          </w:tcPr>
          <w:p w:rsidR="00D849AA" w:rsidRDefault="00EE6D95">
            <w:pPr>
              <w:pStyle w:val="CellColumn"/>
            </w:pPr>
            <w:r>
              <w:lastRenderedPageBreak/>
              <w:t>Broj izdanih zapisnika pri izvozu</w:t>
            </w:r>
          </w:p>
        </w:tc>
        <w:tc>
          <w:tcPr>
            <w:tcW w:w="1114" w:type="dxa"/>
          </w:tcPr>
          <w:p w:rsidR="00D849AA" w:rsidRDefault="00EE6D95">
            <w:r>
              <w:t>broj komada</w:t>
            </w:r>
          </w:p>
        </w:tc>
        <w:tc>
          <w:tcPr>
            <w:tcW w:w="1114" w:type="dxa"/>
          </w:tcPr>
          <w:p w:rsidR="00D849AA" w:rsidRDefault="00EE6D95">
            <w:r>
              <w:t>90</w:t>
            </w:r>
          </w:p>
        </w:tc>
        <w:tc>
          <w:tcPr>
            <w:tcW w:w="1486" w:type="dxa"/>
          </w:tcPr>
          <w:p w:rsidR="00D849AA" w:rsidRDefault="00EE6D95">
            <w:r>
              <w:t>110</w:t>
            </w:r>
          </w:p>
        </w:tc>
        <w:tc>
          <w:tcPr>
            <w:tcW w:w="1486" w:type="dxa"/>
          </w:tcPr>
          <w:p w:rsidR="00D849AA" w:rsidRDefault="00EE6D95">
            <w:r>
              <w:t>120</w:t>
            </w:r>
          </w:p>
        </w:tc>
        <w:tc>
          <w:tcPr>
            <w:tcW w:w="1486" w:type="dxa"/>
          </w:tcPr>
          <w:p w:rsidR="00D849AA" w:rsidRDefault="00EE6D95">
            <w:r>
              <w:t>130</w:t>
            </w:r>
          </w:p>
        </w:tc>
      </w:tr>
      <w:tr w:rsidR="00D849AA">
        <w:trPr>
          <w:jc w:val="center"/>
        </w:trPr>
        <w:tc>
          <w:tcPr>
            <w:tcW w:w="2229" w:type="dxa"/>
          </w:tcPr>
          <w:p w:rsidR="00D849AA" w:rsidRDefault="00EE6D95">
            <w:pPr>
              <w:pStyle w:val="CellColumn"/>
            </w:pPr>
            <w:r>
              <w:t>Broj izvješća IPP-a</w:t>
            </w:r>
          </w:p>
        </w:tc>
        <w:tc>
          <w:tcPr>
            <w:tcW w:w="1114" w:type="dxa"/>
          </w:tcPr>
          <w:p w:rsidR="00D849AA" w:rsidRDefault="00EE6D95">
            <w:r>
              <w:t>broj</w:t>
            </w:r>
          </w:p>
        </w:tc>
        <w:tc>
          <w:tcPr>
            <w:tcW w:w="1114" w:type="dxa"/>
          </w:tcPr>
          <w:p w:rsidR="00D849AA" w:rsidRDefault="00EE6D95">
            <w:r>
              <w:t>311</w:t>
            </w:r>
          </w:p>
        </w:tc>
        <w:tc>
          <w:tcPr>
            <w:tcW w:w="1486" w:type="dxa"/>
          </w:tcPr>
          <w:p w:rsidR="00D849AA" w:rsidRDefault="00EE6D95">
            <w:r>
              <w:t>3400</w:t>
            </w:r>
          </w:p>
        </w:tc>
        <w:tc>
          <w:tcPr>
            <w:tcW w:w="1486" w:type="dxa"/>
          </w:tcPr>
          <w:p w:rsidR="00D849AA" w:rsidRDefault="00EE6D95">
            <w:r>
              <w:t>3480</w:t>
            </w:r>
          </w:p>
        </w:tc>
        <w:tc>
          <w:tcPr>
            <w:tcW w:w="1486" w:type="dxa"/>
          </w:tcPr>
          <w:p w:rsidR="00D849AA" w:rsidRDefault="00EE6D95">
            <w:r>
              <w:t>3540</w:t>
            </w:r>
          </w:p>
        </w:tc>
      </w:tr>
      <w:tr w:rsidR="00D849AA">
        <w:trPr>
          <w:jc w:val="center"/>
        </w:trPr>
        <w:tc>
          <w:tcPr>
            <w:tcW w:w="2229" w:type="dxa"/>
          </w:tcPr>
          <w:p w:rsidR="00D849AA" w:rsidRDefault="00EE6D95">
            <w:pPr>
              <w:pStyle w:val="CellColumn"/>
            </w:pPr>
            <w:r>
              <w:t>Broj prognoza IPP-a</w:t>
            </w:r>
          </w:p>
        </w:tc>
        <w:tc>
          <w:tcPr>
            <w:tcW w:w="1114" w:type="dxa"/>
          </w:tcPr>
          <w:p w:rsidR="00D849AA" w:rsidRDefault="00EE6D95">
            <w:r>
              <w:t>broj</w:t>
            </w:r>
          </w:p>
        </w:tc>
        <w:tc>
          <w:tcPr>
            <w:tcW w:w="1114" w:type="dxa"/>
          </w:tcPr>
          <w:p w:rsidR="00D849AA" w:rsidRDefault="00EE6D95">
            <w:r>
              <w:t>14</w:t>
            </w:r>
          </w:p>
        </w:tc>
        <w:tc>
          <w:tcPr>
            <w:tcW w:w="1486" w:type="dxa"/>
          </w:tcPr>
          <w:p w:rsidR="00D849AA" w:rsidRDefault="00EE6D95">
            <w:r>
              <w:t>20</w:t>
            </w:r>
          </w:p>
        </w:tc>
        <w:tc>
          <w:tcPr>
            <w:tcW w:w="1486" w:type="dxa"/>
          </w:tcPr>
          <w:p w:rsidR="00D849AA" w:rsidRDefault="00EE6D95">
            <w:r>
              <w:t>30</w:t>
            </w:r>
          </w:p>
        </w:tc>
        <w:tc>
          <w:tcPr>
            <w:tcW w:w="1486" w:type="dxa"/>
          </w:tcPr>
          <w:p w:rsidR="00D849AA" w:rsidRDefault="00EE6D95">
            <w:r>
              <w:t>40</w:t>
            </w:r>
          </w:p>
        </w:tc>
      </w:tr>
      <w:tr w:rsidR="00D849AA">
        <w:trPr>
          <w:jc w:val="center"/>
        </w:trPr>
        <w:tc>
          <w:tcPr>
            <w:tcW w:w="2229" w:type="dxa"/>
          </w:tcPr>
          <w:p w:rsidR="00D849AA" w:rsidRDefault="00EE6D95">
            <w:pPr>
              <w:pStyle w:val="CellColumn"/>
            </w:pPr>
            <w:r>
              <w:t>Broj laboratorijskih analiza IPP-a</w:t>
            </w:r>
          </w:p>
        </w:tc>
        <w:tc>
          <w:tcPr>
            <w:tcW w:w="1114" w:type="dxa"/>
          </w:tcPr>
          <w:p w:rsidR="00D849AA" w:rsidRDefault="00EE6D95">
            <w:r>
              <w:t>broj</w:t>
            </w:r>
          </w:p>
        </w:tc>
        <w:tc>
          <w:tcPr>
            <w:tcW w:w="1114" w:type="dxa"/>
          </w:tcPr>
          <w:p w:rsidR="00D849AA" w:rsidRDefault="00EE6D95">
            <w:r>
              <w:t>1260</w:t>
            </w:r>
          </w:p>
        </w:tc>
        <w:tc>
          <w:tcPr>
            <w:tcW w:w="1486" w:type="dxa"/>
          </w:tcPr>
          <w:p w:rsidR="00D849AA" w:rsidRDefault="00EE6D95">
            <w:r>
              <w:t>1280</w:t>
            </w:r>
          </w:p>
        </w:tc>
        <w:tc>
          <w:tcPr>
            <w:tcW w:w="1486" w:type="dxa"/>
          </w:tcPr>
          <w:p w:rsidR="00D849AA" w:rsidRDefault="00EE6D95">
            <w:r>
              <w:t>1300</w:t>
            </w:r>
          </w:p>
        </w:tc>
        <w:tc>
          <w:tcPr>
            <w:tcW w:w="1486" w:type="dxa"/>
          </w:tcPr>
          <w:p w:rsidR="00D849AA" w:rsidRDefault="00EE6D95">
            <w:r>
              <w:t>1320</w:t>
            </w:r>
          </w:p>
        </w:tc>
      </w:tr>
      <w:tr w:rsidR="00D849AA">
        <w:trPr>
          <w:jc w:val="center"/>
        </w:trPr>
        <w:tc>
          <w:tcPr>
            <w:tcW w:w="2229" w:type="dxa"/>
          </w:tcPr>
          <w:p w:rsidR="00D849AA" w:rsidRDefault="00EE6D95">
            <w:pPr>
              <w:pStyle w:val="CellColumn"/>
            </w:pPr>
            <w:r>
              <w:t>Utvrđeni gospodarski štetni organizmi</w:t>
            </w:r>
          </w:p>
        </w:tc>
        <w:tc>
          <w:tcPr>
            <w:tcW w:w="1114" w:type="dxa"/>
          </w:tcPr>
          <w:p w:rsidR="00D849AA" w:rsidRDefault="00EE6D95">
            <w:r>
              <w:t>broj</w:t>
            </w:r>
          </w:p>
        </w:tc>
        <w:tc>
          <w:tcPr>
            <w:tcW w:w="1114" w:type="dxa"/>
          </w:tcPr>
          <w:p w:rsidR="00D849AA" w:rsidRDefault="00EE6D95">
            <w:r>
              <w:t>134</w:t>
            </w:r>
          </w:p>
        </w:tc>
        <w:tc>
          <w:tcPr>
            <w:tcW w:w="1486" w:type="dxa"/>
          </w:tcPr>
          <w:p w:rsidR="00D849AA" w:rsidRDefault="00EE6D95">
            <w:r>
              <w:t>140</w:t>
            </w:r>
          </w:p>
        </w:tc>
        <w:tc>
          <w:tcPr>
            <w:tcW w:w="1486" w:type="dxa"/>
          </w:tcPr>
          <w:p w:rsidR="00D849AA" w:rsidRDefault="00EE6D95">
            <w:r>
              <w:t>145</w:t>
            </w:r>
          </w:p>
        </w:tc>
        <w:tc>
          <w:tcPr>
            <w:tcW w:w="1486" w:type="dxa"/>
          </w:tcPr>
          <w:p w:rsidR="00D849AA" w:rsidRDefault="00EE6D95">
            <w:r>
              <w:t>150</w:t>
            </w:r>
          </w:p>
        </w:tc>
      </w:tr>
      <w:tr w:rsidR="00D849AA">
        <w:trPr>
          <w:jc w:val="center"/>
        </w:trPr>
        <w:tc>
          <w:tcPr>
            <w:tcW w:w="2229" w:type="dxa"/>
          </w:tcPr>
          <w:p w:rsidR="00D849AA" w:rsidRDefault="00EE6D95">
            <w:pPr>
              <w:pStyle w:val="CellColumn"/>
            </w:pPr>
            <w:r>
              <w:t>Broj laboratorijskih analiza na zahtjev pravnih i fizičkih poslova</w:t>
            </w:r>
          </w:p>
        </w:tc>
        <w:tc>
          <w:tcPr>
            <w:tcW w:w="1114" w:type="dxa"/>
          </w:tcPr>
          <w:p w:rsidR="00D849AA" w:rsidRDefault="00EE6D95">
            <w:r>
              <w:t>broj</w:t>
            </w:r>
          </w:p>
        </w:tc>
        <w:tc>
          <w:tcPr>
            <w:tcW w:w="1114" w:type="dxa"/>
          </w:tcPr>
          <w:p w:rsidR="00D849AA" w:rsidRDefault="00EE6D95">
            <w:r>
              <w:t>50</w:t>
            </w:r>
          </w:p>
        </w:tc>
        <w:tc>
          <w:tcPr>
            <w:tcW w:w="1486" w:type="dxa"/>
          </w:tcPr>
          <w:p w:rsidR="00D849AA" w:rsidRDefault="00EE6D95">
            <w:r>
              <w:t>60</w:t>
            </w:r>
          </w:p>
        </w:tc>
        <w:tc>
          <w:tcPr>
            <w:tcW w:w="1486" w:type="dxa"/>
          </w:tcPr>
          <w:p w:rsidR="00D849AA" w:rsidRDefault="00EE6D95">
            <w:r>
              <w:t>70</w:t>
            </w:r>
          </w:p>
        </w:tc>
        <w:tc>
          <w:tcPr>
            <w:tcW w:w="1486" w:type="dxa"/>
          </w:tcPr>
          <w:p w:rsidR="00D849AA" w:rsidRDefault="00EE6D95">
            <w:r>
              <w:t>80</w:t>
            </w:r>
          </w:p>
        </w:tc>
      </w:tr>
      <w:tr w:rsidR="00D849AA">
        <w:trPr>
          <w:jc w:val="center"/>
        </w:trPr>
        <w:tc>
          <w:tcPr>
            <w:tcW w:w="2229" w:type="dxa"/>
          </w:tcPr>
          <w:p w:rsidR="00D849AA" w:rsidRDefault="00EE6D95">
            <w:pPr>
              <w:pStyle w:val="CellColumn"/>
            </w:pPr>
            <w:r>
              <w:t>Bolji uvid u zdravstveno stanje bilja i biljnih proizvoda i pravovremeno otkrivanje štetnih organizama</w:t>
            </w:r>
          </w:p>
        </w:tc>
        <w:tc>
          <w:tcPr>
            <w:tcW w:w="1114" w:type="dxa"/>
          </w:tcPr>
          <w:p w:rsidR="00D849AA" w:rsidRDefault="00EE6D95">
            <w:r>
              <w:t>broj</w:t>
            </w:r>
          </w:p>
        </w:tc>
        <w:tc>
          <w:tcPr>
            <w:tcW w:w="1114" w:type="dxa"/>
          </w:tcPr>
          <w:p w:rsidR="00D849AA" w:rsidRDefault="00EE6D95">
            <w:r>
              <w:t>190</w:t>
            </w:r>
          </w:p>
        </w:tc>
        <w:tc>
          <w:tcPr>
            <w:tcW w:w="1486" w:type="dxa"/>
          </w:tcPr>
          <w:p w:rsidR="00D849AA" w:rsidRDefault="00EE6D95">
            <w:r>
              <w:t>210</w:t>
            </w:r>
          </w:p>
        </w:tc>
        <w:tc>
          <w:tcPr>
            <w:tcW w:w="1486" w:type="dxa"/>
          </w:tcPr>
          <w:p w:rsidR="00D849AA" w:rsidRDefault="00EE6D95">
            <w:r>
              <w:t>230</w:t>
            </w:r>
          </w:p>
        </w:tc>
        <w:tc>
          <w:tcPr>
            <w:tcW w:w="1486" w:type="dxa"/>
          </w:tcPr>
          <w:p w:rsidR="00D849AA" w:rsidRDefault="00EE6D95">
            <w:r>
              <w:t>250</w:t>
            </w:r>
          </w:p>
        </w:tc>
      </w:tr>
      <w:tr w:rsidR="00D849AA">
        <w:trPr>
          <w:jc w:val="center"/>
        </w:trPr>
        <w:tc>
          <w:tcPr>
            <w:tcW w:w="2229" w:type="dxa"/>
          </w:tcPr>
          <w:p w:rsidR="00D849AA" w:rsidRDefault="00EE6D95">
            <w:pPr>
              <w:pStyle w:val="CellColumn"/>
            </w:pPr>
            <w:r>
              <w:t>Broj analiza za programe P-1 i P-2</w:t>
            </w:r>
          </w:p>
        </w:tc>
        <w:tc>
          <w:tcPr>
            <w:tcW w:w="1114" w:type="dxa"/>
          </w:tcPr>
          <w:p w:rsidR="00D849AA" w:rsidRDefault="00EE6D95">
            <w:r>
              <w:t>broj</w:t>
            </w:r>
          </w:p>
        </w:tc>
        <w:tc>
          <w:tcPr>
            <w:tcW w:w="1114" w:type="dxa"/>
          </w:tcPr>
          <w:p w:rsidR="00D849AA" w:rsidRDefault="00EE6D95">
            <w:r>
              <w:t>77</w:t>
            </w:r>
          </w:p>
        </w:tc>
        <w:tc>
          <w:tcPr>
            <w:tcW w:w="1486" w:type="dxa"/>
          </w:tcPr>
          <w:p w:rsidR="00D849AA" w:rsidRDefault="00EE6D95">
            <w:r>
              <w:t>90</w:t>
            </w:r>
          </w:p>
        </w:tc>
        <w:tc>
          <w:tcPr>
            <w:tcW w:w="1486" w:type="dxa"/>
          </w:tcPr>
          <w:p w:rsidR="00D849AA" w:rsidRDefault="00EE6D95">
            <w:r>
              <w:t>100</w:t>
            </w:r>
          </w:p>
        </w:tc>
        <w:tc>
          <w:tcPr>
            <w:tcW w:w="1486" w:type="dxa"/>
          </w:tcPr>
          <w:p w:rsidR="00D849AA" w:rsidRDefault="00EE6D95">
            <w:r>
              <w:t>110</w:t>
            </w:r>
          </w:p>
        </w:tc>
      </w:tr>
      <w:tr w:rsidR="00D849AA">
        <w:trPr>
          <w:jc w:val="center"/>
        </w:trPr>
        <w:tc>
          <w:tcPr>
            <w:tcW w:w="2229" w:type="dxa"/>
          </w:tcPr>
          <w:p w:rsidR="00D849AA" w:rsidRDefault="00EE6D95">
            <w:pPr>
              <w:pStyle w:val="CellColumn"/>
            </w:pPr>
            <w:r>
              <w:t>Broj analiza SZB za kontrolu ispravnosti</w:t>
            </w:r>
          </w:p>
        </w:tc>
        <w:tc>
          <w:tcPr>
            <w:tcW w:w="1114" w:type="dxa"/>
          </w:tcPr>
          <w:p w:rsidR="00D849AA" w:rsidRDefault="00EE6D95">
            <w:r>
              <w:t>broj</w:t>
            </w:r>
          </w:p>
        </w:tc>
        <w:tc>
          <w:tcPr>
            <w:tcW w:w="1114" w:type="dxa"/>
          </w:tcPr>
          <w:p w:rsidR="00D849AA" w:rsidRDefault="00EE6D95">
            <w:r>
              <w:t>373</w:t>
            </w:r>
          </w:p>
        </w:tc>
        <w:tc>
          <w:tcPr>
            <w:tcW w:w="1486" w:type="dxa"/>
          </w:tcPr>
          <w:p w:rsidR="00D849AA" w:rsidRDefault="00EE6D95">
            <w:r>
              <w:t>400</w:t>
            </w:r>
          </w:p>
        </w:tc>
        <w:tc>
          <w:tcPr>
            <w:tcW w:w="1486" w:type="dxa"/>
          </w:tcPr>
          <w:p w:rsidR="00D849AA" w:rsidRDefault="00EE6D95">
            <w:r>
              <w:t>500</w:t>
            </w:r>
          </w:p>
        </w:tc>
        <w:tc>
          <w:tcPr>
            <w:tcW w:w="1486" w:type="dxa"/>
          </w:tcPr>
          <w:p w:rsidR="00D849AA" w:rsidRDefault="00EE6D95">
            <w:r>
              <w:t>600</w:t>
            </w:r>
          </w:p>
        </w:tc>
      </w:tr>
      <w:tr w:rsidR="00D849AA">
        <w:trPr>
          <w:jc w:val="center"/>
        </w:trPr>
        <w:tc>
          <w:tcPr>
            <w:tcW w:w="2229" w:type="dxa"/>
          </w:tcPr>
          <w:p w:rsidR="00D849AA" w:rsidRDefault="00EE6D95">
            <w:pPr>
              <w:pStyle w:val="CellColumn"/>
            </w:pPr>
            <w:r>
              <w:t>Broj održanih predavanja za FI</w:t>
            </w:r>
          </w:p>
        </w:tc>
        <w:tc>
          <w:tcPr>
            <w:tcW w:w="1114" w:type="dxa"/>
          </w:tcPr>
          <w:p w:rsidR="00D849AA" w:rsidRDefault="00EE6D95">
            <w:r>
              <w:t>broj</w:t>
            </w:r>
          </w:p>
        </w:tc>
        <w:tc>
          <w:tcPr>
            <w:tcW w:w="1114" w:type="dxa"/>
          </w:tcPr>
          <w:p w:rsidR="00D849AA" w:rsidRDefault="00EE6D95">
            <w:r>
              <w:t>3</w:t>
            </w:r>
          </w:p>
        </w:tc>
        <w:tc>
          <w:tcPr>
            <w:tcW w:w="1486" w:type="dxa"/>
          </w:tcPr>
          <w:p w:rsidR="00D849AA" w:rsidRDefault="00EE6D95">
            <w:r>
              <w:t>8</w:t>
            </w:r>
          </w:p>
        </w:tc>
        <w:tc>
          <w:tcPr>
            <w:tcW w:w="1486" w:type="dxa"/>
          </w:tcPr>
          <w:p w:rsidR="00D849AA" w:rsidRDefault="00EE6D95">
            <w:r>
              <w:t>10</w:t>
            </w:r>
          </w:p>
        </w:tc>
        <w:tc>
          <w:tcPr>
            <w:tcW w:w="1486" w:type="dxa"/>
          </w:tcPr>
          <w:p w:rsidR="00D849AA" w:rsidRDefault="00EE6D95">
            <w:r>
              <w:t>10</w:t>
            </w:r>
          </w:p>
        </w:tc>
      </w:tr>
      <w:tr w:rsidR="00D849AA">
        <w:trPr>
          <w:jc w:val="center"/>
        </w:trPr>
        <w:tc>
          <w:tcPr>
            <w:tcW w:w="2229" w:type="dxa"/>
          </w:tcPr>
          <w:p w:rsidR="00D849AA" w:rsidRDefault="00EE6D95">
            <w:pPr>
              <w:pStyle w:val="CellColumn"/>
            </w:pPr>
            <w:r>
              <w:t xml:space="preserve">Izdani prijedlozi o zaštiti zemljopisnog podrijetla vina, izdana rješanja za promet proizvoda, izdane svjedodžbe o uvozu i izvozu vina,  </w:t>
            </w:r>
          </w:p>
          <w:p w:rsidR="00D849AA" w:rsidRDefault="00EE6D95">
            <w:pPr>
              <w:pStyle w:val="CellColumn"/>
            </w:pPr>
            <w:r>
              <w:t>Provedena Fizikalno kemijska i senzorna ispitivanja</w:t>
            </w:r>
          </w:p>
        </w:tc>
        <w:tc>
          <w:tcPr>
            <w:tcW w:w="1114" w:type="dxa"/>
          </w:tcPr>
          <w:p w:rsidR="00D849AA" w:rsidRDefault="00EE6D95">
            <w:r>
              <w:t>Broj izdanih prijedloga o zaštiti zemljopisnog podrijetla vina</w:t>
            </w:r>
          </w:p>
        </w:tc>
        <w:tc>
          <w:tcPr>
            <w:tcW w:w="1114" w:type="dxa"/>
          </w:tcPr>
          <w:p w:rsidR="00D849AA" w:rsidRDefault="00EE6D95">
            <w:r>
              <w:t>300</w:t>
            </w:r>
          </w:p>
        </w:tc>
        <w:tc>
          <w:tcPr>
            <w:tcW w:w="1486" w:type="dxa"/>
          </w:tcPr>
          <w:p w:rsidR="00D849AA" w:rsidRDefault="00EE6D95">
            <w:r>
              <w:t>300</w:t>
            </w:r>
          </w:p>
        </w:tc>
        <w:tc>
          <w:tcPr>
            <w:tcW w:w="1486" w:type="dxa"/>
          </w:tcPr>
          <w:p w:rsidR="00D849AA" w:rsidRDefault="00EE6D95">
            <w:r>
              <w:t>100</w:t>
            </w:r>
          </w:p>
        </w:tc>
        <w:tc>
          <w:tcPr>
            <w:tcW w:w="1486" w:type="dxa"/>
          </w:tcPr>
          <w:p w:rsidR="00D849AA" w:rsidRDefault="00EE6D95">
            <w:r>
              <w:t>0</w:t>
            </w:r>
          </w:p>
        </w:tc>
      </w:tr>
      <w:tr w:rsidR="00D849AA">
        <w:trPr>
          <w:jc w:val="center"/>
        </w:trPr>
        <w:tc>
          <w:tcPr>
            <w:tcW w:w="2229" w:type="dxa"/>
          </w:tcPr>
          <w:p w:rsidR="00D849AA" w:rsidRDefault="00EE6D95">
            <w:pPr>
              <w:pStyle w:val="CellColumn"/>
            </w:pPr>
            <w:r>
              <w:t xml:space="preserve">Izdani prijedlozi o zaštiti zemljopisnog podrijetla vina, izdana rješanja za promet proizvoda, izdane svjedodžbe o uvozu i izvozu vina,  </w:t>
            </w:r>
          </w:p>
          <w:p w:rsidR="00D849AA" w:rsidRDefault="00EE6D95">
            <w:pPr>
              <w:pStyle w:val="CellColumn"/>
            </w:pPr>
            <w:r>
              <w:t>Provedena Fizikalno kemijska i senzorna ispitivanja</w:t>
            </w:r>
          </w:p>
        </w:tc>
        <w:tc>
          <w:tcPr>
            <w:tcW w:w="1114" w:type="dxa"/>
          </w:tcPr>
          <w:p w:rsidR="00D849AA" w:rsidRDefault="00EE6D95">
            <w:r>
              <w:t>Broj izdanih rješenja za promet vina</w:t>
            </w:r>
          </w:p>
        </w:tc>
        <w:tc>
          <w:tcPr>
            <w:tcW w:w="1114" w:type="dxa"/>
          </w:tcPr>
          <w:p w:rsidR="00D849AA" w:rsidRDefault="00EE6D95">
            <w:r>
              <w:t>3.280</w:t>
            </w:r>
          </w:p>
        </w:tc>
        <w:tc>
          <w:tcPr>
            <w:tcW w:w="1486" w:type="dxa"/>
          </w:tcPr>
          <w:p w:rsidR="00D849AA" w:rsidRDefault="00EE6D95">
            <w:r>
              <w:t>3.450</w:t>
            </w:r>
          </w:p>
        </w:tc>
        <w:tc>
          <w:tcPr>
            <w:tcW w:w="1486" w:type="dxa"/>
          </w:tcPr>
          <w:p w:rsidR="00D849AA" w:rsidRDefault="00EE6D95">
            <w:r>
              <w:t>1.300</w:t>
            </w:r>
          </w:p>
        </w:tc>
        <w:tc>
          <w:tcPr>
            <w:tcW w:w="1486" w:type="dxa"/>
          </w:tcPr>
          <w:p w:rsidR="00D849AA" w:rsidRDefault="00EE6D95">
            <w:r>
              <w:t>0</w:t>
            </w:r>
          </w:p>
        </w:tc>
      </w:tr>
      <w:tr w:rsidR="00D849AA">
        <w:trPr>
          <w:jc w:val="center"/>
        </w:trPr>
        <w:tc>
          <w:tcPr>
            <w:tcW w:w="2229" w:type="dxa"/>
          </w:tcPr>
          <w:p w:rsidR="00D849AA" w:rsidRDefault="00EE6D95">
            <w:pPr>
              <w:pStyle w:val="CellColumn"/>
            </w:pPr>
            <w:r>
              <w:lastRenderedPageBreak/>
              <w:t xml:space="preserve">Izdani prijedlozi o zaštiti zemljopisnog podrijetla vina, izdana rješanja za promet proizvoda, izdane svjedodžbe o uvozu i izvozu vina,  </w:t>
            </w:r>
          </w:p>
          <w:p w:rsidR="00D849AA" w:rsidRDefault="00EE6D95">
            <w:pPr>
              <w:pStyle w:val="CellColumn"/>
            </w:pPr>
            <w:r>
              <w:t>Provedena Fizikalno kemijska i senzorna ispitivanja</w:t>
            </w:r>
          </w:p>
        </w:tc>
        <w:tc>
          <w:tcPr>
            <w:tcW w:w="1114" w:type="dxa"/>
          </w:tcPr>
          <w:p w:rsidR="00D849AA" w:rsidRDefault="00EE6D95">
            <w:r>
              <w:t>Broj rješenja za pojačavanje vina</w:t>
            </w:r>
          </w:p>
        </w:tc>
        <w:tc>
          <w:tcPr>
            <w:tcW w:w="1114" w:type="dxa"/>
          </w:tcPr>
          <w:p w:rsidR="00D849AA" w:rsidRDefault="00EE6D95">
            <w:r>
              <w:t>57</w:t>
            </w:r>
          </w:p>
        </w:tc>
        <w:tc>
          <w:tcPr>
            <w:tcW w:w="1486" w:type="dxa"/>
          </w:tcPr>
          <w:p w:rsidR="00D849AA" w:rsidRDefault="00EE6D95">
            <w:r>
              <w:t>0</w:t>
            </w:r>
          </w:p>
        </w:tc>
        <w:tc>
          <w:tcPr>
            <w:tcW w:w="1486" w:type="dxa"/>
          </w:tcPr>
          <w:p w:rsidR="00D849AA" w:rsidRDefault="00EE6D95">
            <w:r>
              <w:t>0</w:t>
            </w:r>
          </w:p>
        </w:tc>
        <w:tc>
          <w:tcPr>
            <w:tcW w:w="1486" w:type="dxa"/>
          </w:tcPr>
          <w:p w:rsidR="00D849AA" w:rsidRDefault="00EE6D95">
            <w:r>
              <w:t>0</w:t>
            </w:r>
          </w:p>
        </w:tc>
      </w:tr>
      <w:tr w:rsidR="00D849AA">
        <w:trPr>
          <w:jc w:val="center"/>
        </w:trPr>
        <w:tc>
          <w:tcPr>
            <w:tcW w:w="2229" w:type="dxa"/>
          </w:tcPr>
          <w:p w:rsidR="00D849AA" w:rsidRDefault="00EE6D95">
            <w:pPr>
              <w:pStyle w:val="CellColumn"/>
            </w:pPr>
            <w:r>
              <w:t xml:space="preserve">Izdani prijedlozi o zaštiti zemljopisnog podrijetla vina, izdana rješanja za promet proizvoda, izdane svjedodžbe o uvozu i izvozu vina,  </w:t>
            </w:r>
          </w:p>
          <w:p w:rsidR="00D849AA" w:rsidRDefault="00EE6D95">
            <w:pPr>
              <w:pStyle w:val="CellColumn"/>
            </w:pPr>
            <w:r>
              <w:t>Provedena Fizikalno kemijska i senzorna ispitivanja</w:t>
            </w:r>
          </w:p>
        </w:tc>
        <w:tc>
          <w:tcPr>
            <w:tcW w:w="1114" w:type="dxa"/>
          </w:tcPr>
          <w:p w:rsidR="00D849AA" w:rsidRDefault="00EE6D95">
            <w:r>
              <w:t>Broj izdanih Svjedodžbi za uvoz</w:t>
            </w:r>
          </w:p>
        </w:tc>
        <w:tc>
          <w:tcPr>
            <w:tcW w:w="1114" w:type="dxa"/>
          </w:tcPr>
          <w:p w:rsidR="00D849AA" w:rsidRDefault="00EE6D95">
            <w:r>
              <w:t>1.772</w:t>
            </w:r>
          </w:p>
        </w:tc>
        <w:tc>
          <w:tcPr>
            <w:tcW w:w="1486" w:type="dxa"/>
          </w:tcPr>
          <w:p w:rsidR="00D849AA" w:rsidRDefault="00EE6D95">
            <w:r>
              <w:t>3046</w:t>
            </w:r>
          </w:p>
        </w:tc>
        <w:tc>
          <w:tcPr>
            <w:tcW w:w="1486" w:type="dxa"/>
          </w:tcPr>
          <w:p w:rsidR="00D849AA" w:rsidRDefault="00EE6D95">
            <w:r>
              <w:t>1.300</w:t>
            </w:r>
          </w:p>
        </w:tc>
        <w:tc>
          <w:tcPr>
            <w:tcW w:w="1486" w:type="dxa"/>
          </w:tcPr>
          <w:p w:rsidR="00D849AA" w:rsidRDefault="00EE6D95">
            <w:r>
              <w:t>0</w:t>
            </w:r>
          </w:p>
        </w:tc>
      </w:tr>
      <w:tr w:rsidR="00D849AA">
        <w:trPr>
          <w:jc w:val="center"/>
        </w:trPr>
        <w:tc>
          <w:tcPr>
            <w:tcW w:w="2229" w:type="dxa"/>
          </w:tcPr>
          <w:p w:rsidR="00D849AA" w:rsidRDefault="00EE6D95">
            <w:pPr>
              <w:pStyle w:val="CellColumn"/>
            </w:pPr>
            <w:r>
              <w:t xml:space="preserve">Izdani prijedlozi o zaštiti zemljopisnog podrijetla vina, izdana rješanja za promet proizvoda, izdane svjedodžbe o uvozu i izvozu vina,  </w:t>
            </w:r>
          </w:p>
          <w:p w:rsidR="00D849AA" w:rsidRDefault="00EE6D95">
            <w:pPr>
              <w:pStyle w:val="CellColumn"/>
            </w:pPr>
            <w:r>
              <w:t>Provedena Fizikalno kemijska i senzorna ispitivanja</w:t>
            </w:r>
          </w:p>
        </w:tc>
        <w:tc>
          <w:tcPr>
            <w:tcW w:w="1114" w:type="dxa"/>
          </w:tcPr>
          <w:p w:rsidR="00D849AA" w:rsidRDefault="00EE6D95">
            <w:r>
              <w:t>Broj izdanih Svjedodžbi za izvoz vina</w:t>
            </w:r>
          </w:p>
        </w:tc>
        <w:tc>
          <w:tcPr>
            <w:tcW w:w="1114" w:type="dxa"/>
          </w:tcPr>
          <w:p w:rsidR="00D849AA" w:rsidRDefault="00EE6D95">
            <w:r>
              <w:t>1.500</w:t>
            </w:r>
          </w:p>
        </w:tc>
        <w:tc>
          <w:tcPr>
            <w:tcW w:w="1486" w:type="dxa"/>
          </w:tcPr>
          <w:p w:rsidR="00D849AA" w:rsidRDefault="00EE6D95">
            <w:r>
              <w:t>2.503</w:t>
            </w:r>
          </w:p>
        </w:tc>
        <w:tc>
          <w:tcPr>
            <w:tcW w:w="1486" w:type="dxa"/>
          </w:tcPr>
          <w:p w:rsidR="00D849AA" w:rsidRDefault="00EE6D95">
            <w:r>
              <w:t>1.300</w:t>
            </w:r>
          </w:p>
        </w:tc>
        <w:tc>
          <w:tcPr>
            <w:tcW w:w="1486" w:type="dxa"/>
          </w:tcPr>
          <w:p w:rsidR="00D849AA" w:rsidRDefault="00EE6D95">
            <w:r>
              <w:t>0</w:t>
            </w:r>
          </w:p>
        </w:tc>
      </w:tr>
      <w:tr w:rsidR="00D849AA">
        <w:trPr>
          <w:jc w:val="center"/>
        </w:trPr>
        <w:tc>
          <w:tcPr>
            <w:tcW w:w="2229" w:type="dxa"/>
          </w:tcPr>
          <w:p w:rsidR="00D849AA" w:rsidRDefault="00EE6D95">
            <w:pPr>
              <w:pStyle w:val="CellColumn"/>
            </w:pPr>
            <w:r>
              <w:t xml:space="preserve">Izdani prijedlozi o zaštiti zemljopisnog podrijetla vina, izdana rješanja za promet proizvoda, izdane svjedodžbe o uvozu i izvozu vina,  </w:t>
            </w:r>
          </w:p>
          <w:p w:rsidR="00D849AA" w:rsidRDefault="00EE6D95">
            <w:pPr>
              <w:pStyle w:val="CellColumn"/>
            </w:pPr>
            <w:r>
              <w:t>Provedena Fizikalno kemijska i senzorna ispitivanja</w:t>
            </w:r>
          </w:p>
        </w:tc>
        <w:tc>
          <w:tcPr>
            <w:tcW w:w="1114" w:type="dxa"/>
          </w:tcPr>
          <w:p w:rsidR="00D849AA" w:rsidRDefault="00EE6D95">
            <w:r>
              <w:t>Broj analiziranih uzoraka fizikalno kem analiza</w:t>
            </w:r>
          </w:p>
        </w:tc>
        <w:tc>
          <w:tcPr>
            <w:tcW w:w="1114" w:type="dxa"/>
          </w:tcPr>
          <w:p w:rsidR="00D849AA" w:rsidRDefault="00EE6D95">
            <w:r>
              <w:t>5.275</w:t>
            </w:r>
          </w:p>
        </w:tc>
        <w:tc>
          <w:tcPr>
            <w:tcW w:w="1486" w:type="dxa"/>
          </w:tcPr>
          <w:p w:rsidR="00D849AA" w:rsidRDefault="00EE6D95">
            <w:r>
              <w:t>6.114</w:t>
            </w:r>
          </w:p>
        </w:tc>
        <w:tc>
          <w:tcPr>
            <w:tcW w:w="1486" w:type="dxa"/>
          </w:tcPr>
          <w:p w:rsidR="00D849AA" w:rsidRDefault="00EE6D95">
            <w:r>
              <w:t>6.200</w:t>
            </w:r>
          </w:p>
        </w:tc>
        <w:tc>
          <w:tcPr>
            <w:tcW w:w="1486" w:type="dxa"/>
          </w:tcPr>
          <w:p w:rsidR="00D849AA" w:rsidRDefault="00EE6D95">
            <w:r>
              <w:t>6.200</w:t>
            </w:r>
          </w:p>
        </w:tc>
      </w:tr>
      <w:tr w:rsidR="00D849AA">
        <w:trPr>
          <w:jc w:val="center"/>
        </w:trPr>
        <w:tc>
          <w:tcPr>
            <w:tcW w:w="2229" w:type="dxa"/>
          </w:tcPr>
          <w:p w:rsidR="00D849AA" w:rsidRDefault="00EE6D95">
            <w:pPr>
              <w:pStyle w:val="CellColumn"/>
            </w:pPr>
            <w:r>
              <w:t xml:space="preserve">Izdani prijedlozi o zaštiti zemljopisnog podrijetla vina, izdana rješanja za promet proizvoda, izdane svjedodžbe o uvozu i izvozu vina,  </w:t>
            </w:r>
          </w:p>
          <w:p w:rsidR="00D849AA" w:rsidRDefault="00EE6D95">
            <w:pPr>
              <w:pStyle w:val="CellColumn"/>
            </w:pPr>
            <w:r>
              <w:t>Provedena Fizikalno kemijska i senzorna ispitivanja</w:t>
            </w:r>
          </w:p>
        </w:tc>
        <w:tc>
          <w:tcPr>
            <w:tcW w:w="1114" w:type="dxa"/>
          </w:tcPr>
          <w:p w:rsidR="00D849AA" w:rsidRDefault="00EE6D95">
            <w:r>
              <w:t>Broj analiziranih uzoraka - senzorika</w:t>
            </w:r>
          </w:p>
        </w:tc>
        <w:tc>
          <w:tcPr>
            <w:tcW w:w="1114" w:type="dxa"/>
          </w:tcPr>
          <w:p w:rsidR="00D849AA" w:rsidRDefault="00EE6D95">
            <w:r>
              <w:t>5.074</w:t>
            </w:r>
          </w:p>
        </w:tc>
        <w:tc>
          <w:tcPr>
            <w:tcW w:w="1486" w:type="dxa"/>
          </w:tcPr>
          <w:p w:rsidR="00D849AA" w:rsidRDefault="00EE6D95">
            <w:r>
              <w:t>5.817</w:t>
            </w:r>
          </w:p>
        </w:tc>
        <w:tc>
          <w:tcPr>
            <w:tcW w:w="1486" w:type="dxa"/>
          </w:tcPr>
          <w:p w:rsidR="00D849AA" w:rsidRDefault="00EE6D95">
            <w:r>
              <w:t>5300</w:t>
            </w:r>
          </w:p>
        </w:tc>
        <w:tc>
          <w:tcPr>
            <w:tcW w:w="1486" w:type="dxa"/>
          </w:tcPr>
          <w:p w:rsidR="00D849AA" w:rsidRDefault="00EE6D95">
            <w:r>
              <w:t>5000</w:t>
            </w:r>
          </w:p>
        </w:tc>
      </w:tr>
    </w:tbl>
    <w:p w:rsidR="00D849AA" w:rsidRDefault="00D849AA">
      <w:pPr>
        <w:jc w:val="left"/>
      </w:pPr>
    </w:p>
    <w:p w:rsidR="00D849AA" w:rsidRDefault="00EE6D95">
      <w:pPr>
        <w:pStyle w:val="Naslov6"/>
      </w:pPr>
      <w:r>
        <w:lastRenderedPageBreak/>
        <w:t>K842002 OPREMANJE USTROJSTVENIH JEDINICA HRVATSKOG CENTRA ZA POLJOPRIVREDU, HRANU I SELO</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K842002</w:t>
            </w:r>
          </w:p>
        </w:tc>
        <w:tc>
          <w:tcPr>
            <w:tcW w:w="1486" w:type="dxa"/>
          </w:tcPr>
          <w:p w:rsidR="00D849AA" w:rsidRDefault="00EE6D95">
            <w:r>
              <w:t>1.871.200</w:t>
            </w:r>
          </w:p>
        </w:tc>
        <w:tc>
          <w:tcPr>
            <w:tcW w:w="1486" w:type="dxa"/>
          </w:tcPr>
          <w:p w:rsidR="00D849AA" w:rsidRDefault="00EE6D95">
            <w:r>
              <w:t>1.147.000</w:t>
            </w:r>
          </w:p>
        </w:tc>
        <w:tc>
          <w:tcPr>
            <w:tcW w:w="1486" w:type="dxa"/>
          </w:tcPr>
          <w:p w:rsidR="00D849AA" w:rsidRDefault="00EE6D95">
            <w:r>
              <w:t>1.147.000</w:t>
            </w:r>
          </w:p>
        </w:tc>
        <w:tc>
          <w:tcPr>
            <w:tcW w:w="1486" w:type="dxa"/>
          </w:tcPr>
          <w:p w:rsidR="00D849AA" w:rsidRDefault="00EE6D95">
            <w:r>
              <w:t>1.147.000</w:t>
            </w:r>
          </w:p>
        </w:tc>
        <w:tc>
          <w:tcPr>
            <w:tcW w:w="1486" w:type="dxa"/>
          </w:tcPr>
          <w:p w:rsidR="00D849AA" w:rsidRDefault="00EE6D95">
            <w:r>
              <w:t>61,3</w:t>
            </w:r>
          </w:p>
        </w:tc>
      </w:tr>
    </w:tbl>
    <w:p w:rsidR="00D849AA" w:rsidRDefault="00D849AA">
      <w:pPr>
        <w:jc w:val="left"/>
      </w:pPr>
    </w:p>
    <w:p w:rsidR="00D849AA" w:rsidRDefault="00EE6D95">
      <w:pPr>
        <w:pStyle w:val="Normal6"/>
      </w:pPr>
      <w:r>
        <w:t>Cilj je osposobiti ustrojstvene jedinice HCPHS-a za redovno obavljanje djelatnosti sukladno zakonskim propisima. Planirana sredstva predviđena su za manja ulaganja na tuđim iznajmljenim objektima, ulaganja u licence, a najveću stavku čini medicinska i labaratorijska oprema  koja je neophodna za kvalitetno obavljanje djelatnosti poglavito što je postojeća zastarjela i dotrajala.</w:t>
      </w:r>
    </w:p>
    <w:p w:rsidR="00D849AA" w:rsidRDefault="00EE6D95">
      <w:pPr>
        <w:pStyle w:val="Naslov6"/>
      </w:pPr>
      <w:r>
        <w:t>K842004 INFORMATIZACIJA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K842004</w:t>
            </w:r>
          </w:p>
        </w:tc>
        <w:tc>
          <w:tcPr>
            <w:tcW w:w="1486" w:type="dxa"/>
          </w:tcPr>
          <w:p w:rsidR="00D849AA" w:rsidRDefault="00EE6D95">
            <w:r>
              <w:t>137.000</w:t>
            </w:r>
          </w:p>
        </w:tc>
        <w:tc>
          <w:tcPr>
            <w:tcW w:w="1486" w:type="dxa"/>
          </w:tcPr>
          <w:p w:rsidR="00D849AA" w:rsidRDefault="00EE6D95">
            <w:r>
              <w:t>227.000</w:t>
            </w:r>
          </w:p>
        </w:tc>
        <w:tc>
          <w:tcPr>
            <w:tcW w:w="1486" w:type="dxa"/>
          </w:tcPr>
          <w:p w:rsidR="00D849AA" w:rsidRDefault="00EE6D95">
            <w:r>
              <w:t>227.000</w:t>
            </w:r>
          </w:p>
        </w:tc>
        <w:tc>
          <w:tcPr>
            <w:tcW w:w="1486" w:type="dxa"/>
          </w:tcPr>
          <w:p w:rsidR="00D849AA" w:rsidRDefault="00EE6D95">
            <w:r>
              <w:t>227.000</w:t>
            </w:r>
          </w:p>
        </w:tc>
        <w:tc>
          <w:tcPr>
            <w:tcW w:w="1486" w:type="dxa"/>
          </w:tcPr>
          <w:p w:rsidR="00D849AA" w:rsidRDefault="00EE6D95">
            <w:r>
              <w:t>165,7</w:t>
            </w:r>
          </w:p>
        </w:tc>
      </w:tr>
    </w:tbl>
    <w:p w:rsidR="00D849AA" w:rsidRDefault="00D849AA">
      <w:pPr>
        <w:jc w:val="left"/>
      </w:pPr>
    </w:p>
    <w:p w:rsidR="00D849AA" w:rsidRDefault="00EE6D95">
      <w:pPr>
        <w:pStyle w:val="Normal6"/>
      </w:pPr>
      <w:r>
        <w:t>Za potrebe rada rada ustrojstvene jedinic Zavoda za vinogradarstvo i vinarstvo potrebno je izvršiti ulaganje u program za donošenje Rješenja o kvaliteti vina sukladno ZKP, jer postojeći programi ne zadovoljavaju svim zahtjevima koji su određeni zakonskom regulativom, te protoku informacija izmešu stručnjaka unutar HCPHS kao i s MP. Također je nužna i sitna nabavka računalne opreme.</w:t>
      </w:r>
    </w:p>
    <w:p w:rsidR="00337A23" w:rsidRDefault="00337A23" w:rsidP="00337A23">
      <w:pPr>
        <w:pStyle w:val="Naslov4"/>
      </w:pPr>
      <w:r>
        <w:t>OBRAZLOŽENJE PROGRAMA</w:t>
      </w:r>
    </w:p>
    <w:p w:rsidR="00D849AA" w:rsidRDefault="00EE6D95">
      <w:pPr>
        <w:pStyle w:val="Naslov5"/>
      </w:pPr>
      <w:r>
        <w:t>3002 POLJOPRIVREDA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3002</w:t>
            </w:r>
          </w:p>
        </w:tc>
        <w:tc>
          <w:tcPr>
            <w:tcW w:w="1486" w:type="dxa"/>
          </w:tcPr>
          <w:p w:rsidR="00D849AA" w:rsidRDefault="00EE6D95">
            <w:r>
              <w:t>3.828.000</w:t>
            </w:r>
          </w:p>
        </w:tc>
        <w:tc>
          <w:tcPr>
            <w:tcW w:w="1486" w:type="dxa"/>
          </w:tcPr>
          <w:p w:rsidR="00D849AA" w:rsidRDefault="00EE6D95">
            <w:r>
              <w:t>3.078.000</w:t>
            </w:r>
          </w:p>
        </w:tc>
        <w:tc>
          <w:tcPr>
            <w:tcW w:w="1486" w:type="dxa"/>
          </w:tcPr>
          <w:p w:rsidR="00D849AA" w:rsidRDefault="00EE6D95">
            <w:r>
              <w:t>3.078.000</w:t>
            </w:r>
          </w:p>
        </w:tc>
        <w:tc>
          <w:tcPr>
            <w:tcW w:w="1486" w:type="dxa"/>
          </w:tcPr>
          <w:p w:rsidR="00D849AA" w:rsidRDefault="00EE6D95">
            <w:r>
              <w:t>3.078.000</w:t>
            </w:r>
          </w:p>
        </w:tc>
        <w:tc>
          <w:tcPr>
            <w:tcW w:w="1486" w:type="dxa"/>
          </w:tcPr>
          <w:p w:rsidR="00D849AA" w:rsidRDefault="00EE6D95">
            <w:r>
              <w:t>80,4</w:t>
            </w:r>
          </w:p>
        </w:tc>
      </w:tr>
    </w:tbl>
    <w:p w:rsidR="00D849AA" w:rsidRDefault="00D849AA">
      <w:pPr>
        <w:jc w:val="left"/>
      </w:pP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Cilj 1. Unapređenje sjemenarske proizvodnje</w:t>
      </w:r>
    </w:p>
    <w:p w:rsidR="00D849AA" w:rsidRDefault="00EE6D95">
      <w:pPr>
        <w:pStyle w:val="Naslov7"/>
      </w:pPr>
      <w:r>
        <w:t xml:space="preserve">Cilj 2. Implemantacija metode oslobađanja sterilnih kukaca u svrhu smanjenja uporabe pesticida </w:t>
      </w:r>
    </w:p>
    <w:p w:rsidR="00D849AA" w:rsidRDefault="00EE6D95">
      <w:pPr>
        <w:pStyle w:val="Normal6"/>
      </w:pPr>
      <w:r>
        <w:t>Cilj je implementirati metodu oslobađanja sterilnih kukaca mediteranske voćne muhe u svrhu smanjenja uporabe pesticida u zaštiti voćnih vrsta, u provom redu mandarina</w:t>
      </w:r>
    </w:p>
    <w:p w:rsidR="00D849AA" w:rsidRDefault="00EE6D95">
      <w:pPr>
        <w:pStyle w:val="Naslov7"/>
      </w:pPr>
      <w:r>
        <w:t xml:space="preserve">Cilj 3. Unapređenje voćarstva u RH , podizanje matičnih nasada </w:t>
      </w:r>
    </w:p>
    <w:p w:rsidR="00D849AA" w:rsidRDefault="00EE6D95">
      <w:pPr>
        <w:pStyle w:val="Normal6"/>
      </w:pPr>
      <w:r>
        <w:t>1.1.</w:t>
      </w:r>
      <w:r>
        <w:tab/>
        <w:t xml:space="preserve">Unapređenje voćarstva i vinogradarstva u Republici Hrvatskoj </w:t>
      </w:r>
    </w:p>
    <w:p w:rsidR="00D849AA" w:rsidRDefault="00EE6D95">
      <w:pPr>
        <w:pStyle w:val="Normal6"/>
      </w:pPr>
      <w:r>
        <w:lastRenderedPageBreak/>
        <w:t xml:space="preserve">Sukladno Zakona o osnivanju Hrvatskog centra za poljoprivredu, hranu i selo (NN 25/09), članak 3, Zakonu o sjemenu, sadnom materijalu i priznavanju sorti poljoprivrednog bilja (NN 140/05, 35/08), Pravilniku o upisu sorti u popis sorti voćnih vrsta (NN 89/09), Pravilniku o stavljanju na tržište reprodukcijskog sadnog materijala i sadnica namijenjenih za proizvodnju voća (NN 100/09, 153/09), Pravilniku o očuvanju i održivoj uporabi biljnih genetskih izvora (NN 89/09), EU Direktivi Vijeća (Council Directive) 2008/90/EC o stavljanju na tržište reprodukcijskog sadnog materijala voćnih vrsta i sadnica voća namijenjenih za proizvodnju, provode se postupci unapređenja voćarske proizvodnje u Republici Hrvatskoj. </w:t>
      </w:r>
    </w:p>
    <w:p w:rsidR="00D849AA" w:rsidRDefault="00EE6D95">
      <w:pPr>
        <w:pStyle w:val="Normal6"/>
      </w:pPr>
      <w:r>
        <w:t xml:space="preserve">Po ugledu na vodeće europske vinogradarske zemlje, potrebno je utemeljenje referentnih vinograda u svim vinogradarskim proizvodnim jedinicama Republike Hrvatske (vinogorja, značajni položaji) pogotovo one koje imaju proizvode vrhunske kvalitete. Referentni punktovi su zemljopisno ograničeni dijelovi vinogorja s pogodnim okolišnim uvjetima, obzirom na klimu, tlo, nadmorsku visinu, ekspoziciju, kao i sortiment, koji omogućuju proizvodnju grožđa i vina posebne kakvoće. Referentni punktovi služit će kao višegodišnji poligoni za praćenje dinamike dozrijevanja grožđa najznačajnijih sorata vinove loze Republike Hrvatske. Pratit će se niz pokazatelja priroda i kakvoće grožđa koji su uvjetovani klimatskim i geomorfološkim činbenicima. Podaci prikupljeni iz ovih istraživanja bili bi temelj uspostave baze podataka koji su potrebni za banku podataka autentičnih vina Republike Hrvatske i EU, kao i za sveopće unapređenje našeg vinogradarstva.  </w:t>
      </w:r>
    </w:p>
    <w:p w:rsidR="00D849AA" w:rsidRDefault="00EE6D95">
      <w:pPr>
        <w:pStyle w:val="Normal6"/>
      </w:pPr>
      <w:r>
        <w:t>1.2</w:t>
      </w:r>
      <w:r>
        <w:tab/>
        <w:t xml:space="preserve">Podizanje i održavanje matičnih nasada </w:t>
      </w:r>
    </w:p>
    <w:p w:rsidR="00D849AA" w:rsidRDefault="00EE6D95">
      <w:pPr>
        <w:pStyle w:val="Normal6"/>
      </w:pPr>
      <w:r>
        <w:t xml:space="preserve">Podizanje matičnih nasada, tj. provođenje programa proizvodnje reprodukcijskoga sadnog materijala voćnih vrsta djelatnost je Zavoda za voćarstvo HCPHS-a, kao što je bilo uređeno Uredbom o osnivanju istog (NN 100/2001). Na Pokušalištu HCPHS-a u D. Zelini na T7 posađen je matični nasad na površini od 1 ha. Matični nasad je prijavljen u sustav stručnog nadzora poljoprivrednog reprodukcijskog materijala (NN 100/09, 153/09, 72/10, 30/11). Sadrži sadnice: višnje Oblačinske, šljive Stanley, jabuke Golden delicious klon B, Summerred, Granny smith i Idared. Na tabli T2 posađeno je i umatičeno 20 sorti lijeske. </w:t>
      </w:r>
    </w:p>
    <w:p w:rsidR="00D849AA" w:rsidRDefault="00EE6D95">
      <w:pPr>
        <w:pStyle w:val="Normal6"/>
      </w:pPr>
      <w:r>
        <w:t xml:space="preserve">Ciljevi: Distribucija reprodukscijskog materijala iz zasnovanog matičnjaka. </w:t>
      </w:r>
    </w:p>
    <w:p w:rsidR="00D849AA" w:rsidRDefault="00EE6D95">
      <w:pPr>
        <w:pStyle w:val="Normal6"/>
      </w:pPr>
      <w:r>
        <w:t>1.2</w:t>
      </w:r>
      <w:r>
        <w:tab/>
        <w:t xml:space="preserve">Introdukcija novih sorti i održavanje introdukcijskih nasada, prikupljanje i analiza podataka </w:t>
      </w:r>
    </w:p>
    <w:p w:rsidR="00D849AA" w:rsidRDefault="00EE6D95">
      <w:pPr>
        <w:pStyle w:val="Normal6"/>
      </w:pPr>
      <w:r>
        <w:t xml:space="preserve">Suradnjom s vodećim europskim oplemenjivačkim kućama, te s institucijama iz područja voćarstva, Zavod za voćarstvo HCPHS-a, radi na introdukciji novih i potencijalno vrijednih sorti voća s kojima hrvatsko tržište još nije upoznato, a dobro su prihvaćene na tržištu u Europi. Cilj je istražiti njihovu prikladnost za uzgoj u našim agro-ekološkim uvjetima. Također se razvija i suradnja u razmjeni iskustava vezano za tehnologije proizvodnje u voćarstvu. Poslovi uvođenja i istraživanja novih sorti uključuju pred-introdukciju i introdukciju. Nakon obrade rezultata iz pred-introdukcijskih pokusa započinje proces introdukcije u smislu detaljnijih istraživanja na većem broju sadnica onih sorti koje su se pokazale perspektivne i pogodne za uzgoj u našim uvjetima.  </w:t>
      </w:r>
    </w:p>
    <w:p w:rsidR="00D849AA" w:rsidRDefault="00EE6D95">
      <w:pPr>
        <w:pStyle w:val="Normal6"/>
      </w:pPr>
      <w:r>
        <w:t xml:space="preserve">Zavod za voćarstvo istražuje i nove tehnologije uzgoja voćarskih kultura. Istraživanje uzgoja agruma na skeletnim tlima se provodi u suradnji s poljoprivrednim proizvođačima. Agrumi se intenzivno mogu uzgajati u Dubrovačko-neretvanskoj i dijelom u Splitsko-dalmatinskoj županiji. Međutim, iako Republika Hrvatska kod mandarine ima samodostatnost (i višak kojeg izvozi), ostale vrste agruma uvoze se u znatnim količinama. Istražit će se reakcija različitih kombinacija podloga i sorata agruma: limun, naranča i klementina i preporuka za uzgoj na većim površinama ili ograničeni uzgoj uz daljnja istraživanja. Uzgoj masline u gustom sklopu u Republici Hrvatskoj dosad nije istraživan, a rezultati istraživanja imali bi svoju primjenjivu vrijednost, posebice na višim površinama. Za tu namjenu HCPHS je sredinom 2010. godine pripremio i posadio pokusno-proizvodnu </w:t>
      </w:r>
      <w:r>
        <w:lastRenderedPageBreak/>
        <w:t xml:space="preserve">površinu od 1,5 ha u Kaštel Štafiliću za istraživanje uzgoja masline u gustom sklopu. Projekt se odvija u suradnji s Udrugom maslinara “Lotnjak” Klis te na taj način osiguravamo transfer znanja do naših proizvođača-maslinara. Cilj je pokusa da se uzgojem u gustom sklopu utvrde prednosti i nedostatci gustog uzgoja masline u odnosu na klasični uzgoj te ocijeni ponašanje domaćih, udomaćenih i novih introduciranih sorata u našim agroekološkim uvjetima, na području srednje Dalmacije.  </w:t>
      </w:r>
    </w:p>
    <w:p w:rsidR="00D849AA" w:rsidRDefault="00EE6D95">
      <w:pPr>
        <w:pStyle w:val="Normal6"/>
      </w:pPr>
      <w:r>
        <w:t xml:space="preserve">Cilj: Nastaviti s aktivnostima introdukcije novih i vodećih sorti voćnih vrsta u smislu održavanja kontakata s vodećim europskim oplemenjivačkim institucijama: Research and Breeding Institute of Pomology, Holovousy - Republika Češka, Better3Fruit NV - Belgija, Fresh Forward Marketing BV – Nizozemska, Consorzio Italiano Vivaisti C.I.V. - Italija, Cameo Europe - Francuska, Artevos - Njemačka, DCA Bologna - Italija, SNC Elaris – Francuska, IFO-Francuska, itd., dobivanje podataka o pomološkim i gospodarskim obilježjima odabranih sorti koje služe kao osnova za izradu preporučene sortne liste, dobivanje rezultata istraživanja novih tehnologija uzgoja. </w:t>
      </w:r>
    </w:p>
    <w:p w:rsidR="00D849AA" w:rsidRDefault="00EE6D95">
      <w:pPr>
        <w:pStyle w:val="Normal6"/>
      </w:pPr>
      <w:r>
        <w:t xml:space="preserve">Klonska selekcija i kolekcija starih sorata </w:t>
      </w:r>
    </w:p>
    <w:p w:rsidR="00D849AA" w:rsidRDefault="00EE6D95">
      <w:pPr>
        <w:pStyle w:val="Normal6"/>
      </w:pPr>
      <w:r>
        <w:t xml:space="preserve">Klonska selekcija sastoji se od pomološkog i tehnološkog vrednovanja autohtonih genotipova voćnih vrsta u cilju odabira i daljnjeg selekcioniranja novih sorti poboljšanih svojstava koje su pogodne za uzgoj u našim agro-ekološkim uvjetima. Trenutno se provodi projekt 'Pomološko-tehnološkog vrednovanja autohtonih genotipova šljive' u suradnji s Agronomskim fakultetom. Pomološka identifikacija domaćih genotipova šljive iz Slavonije i Like ima za cilj identificirati sorte šljive, zatim zasnivanje matičnih nasada u svrhu komercijalnog uzgoja onih sorti koje će pokazati dobra pomološka i tehnološka svojstva.  </w:t>
      </w:r>
    </w:p>
    <w:p w:rsidR="00D849AA" w:rsidRDefault="00EE6D95">
      <w:pPr>
        <w:pStyle w:val="Normal6"/>
      </w:pPr>
      <w:r>
        <w:t>Zavod za voćarstvo HCPHS-a, provodi klonsku selekciju marelica i trešnji. U sklopu navedenih istraživanja obavlja se identifikacija i kolekcioniranje naših autohtonih tipova i sorti voćnih vrsta. Održavanje i proširenje kolekcije starih sorti voćnih vrsta ima za cilj očuvanje vrijednih genetskih resursa domaćih voćnih vrsta. Do sada je posađena kolekcija starih sorti jabuka koja se sastoji od 13 sorti. Planirano je daljnje proširenje kolekcije na sve ostale gospodarski vrijedne voćne vrste.</w:t>
      </w:r>
    </w:p>
    <w:p w:rsidR="00D849AA" w:rsidRDefault="00EE6D95">
      <w:pPr>
        <w:pStyle w:val="Naslov5"/>
      </w:pPr>
      <w:r>
        <w:t>Procjena i ishodište potrebnih sredstava za značajnije aktivnosti/projekte</w:t>
      </w:r>
    </w:p>
    <w:p w:rsidR="00D849AA" w:rsidRDefault="00EE6D95">
      <w:pPr>
        <w:pStyle w:val="Naslov6"/>
      </w:pPr>
      <w:r>
        <w:t>A842016 POKUŠALIŠTA OSIJEK</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A842016</w:t>
            </w:r>
          </w:p>
        </w:tc>
        <w:tc>
          <w:tcPr>
            <w:tcW w:w="1486" w:type="dxa"/>
          </w:tcPr>
          <w:p w:rsidR="00D849AA" w:rsidRDefault="00EE6D95">
            <w:r>
              <w:t>2.122.000</w:t>
            </w:r>
          </w:p>
        </w:tc>
        <w:tc>
          <w:tcPr>
            <w:tcW w:w="1486" w:type="dxa"/>
          </w:tcPr>
          <w:p w:rsidR="00D849AA" w:rsidRDefault="00EE6D95">
            <w:r>
              <w:t>1.500.000</w:t>
            </w:r>
          </w:p>
        </w:tc>
        <w:tc>
          <w:tcPr>
            <w:tcW w:w="1486" w:type="dxa"/>
          </w:tcPr>
          <w:p w:rsidR="00D849AA" w:rsidRDefault="00EE6D95">
            <w:r>
              <w:t>1.500.000</w:t>
            </w:r>
          </w:p>
        </w:tc>
        <w:tc>
          <w:tcPr>
            <w:tcW w:w="1486" w:type="dxa"/>
          </w:tcPr>
          <w:p w:rsidR="00D849AA" w:rsidRDefault="00EE6D95">
            <w:r>
              <w:t>1.500.000</w:t>
            </w:r>
          </w:p>
        </w:tc>
        <w:tc>
          <w:tcPr>
            <w:tcW w:w="1486" w:type="dxa"/>
          </w:tcPr>
          <w:p w:rsidR="00D849AA" w:rsidRDefault="00EE6D95">
            <w:r>
              <w:t>70,7</w:t>
            </w:r>
          </w:p>
        </w:tc>
      </w:tr>
    </w:tbl>
    <w:p w:rsidR="00D849AA" w:rsidRDefault="00D849AA">
      <w:pPr>
        <w:jc w:val="left"/>
      </w:pPr>
    </w:p>
    <w:p w:rsidR="00D849AA" w:rsidRDefault="00EE6D95">
      <w:pPr>
        <w:pStyle w:val="Normal6"/>
      </w:pPr>
      <w:r>
        <w:t xml:space="preserve">Aktivnosti po ovom programu usmjerene su u dva pravca. Primarno je dovesti poljoprivredne površine u stanje ujednačenosti tla pogodnog za postavljanje pokusa za priznavanje sorti te pred i post-kontrolu sjemenarske proizvodnje. Drugi sekundarni cilj je provjeriti različite agrotenike i sorte radi pribavljanja podataka o isplativosti istih kako bi se rezultati stavili na uvid široj poljoprivrednoj javnosti.  </w:t>
      </w:r>
    </w:p>
    <w:p w:rsidR="00D849AA" w:rsidRDefault="00EE6D95">
      <w:pPr>
        <w:pStyle w:val="Normal6"/>
      </w:pPr>
      <w:r>
        <w:t xml:space="preserve">Na površinama na koje dolaze pokusi ne smije  biti vidljivih tragova prethodnih pokusa koji bi mogli utjecati na izražajnost sorti koje se ispituju. Za ovo je potrebno na odgovarajućoj površini rotirati različite usjeve kroz 3-5 godina ovisno o biljnoj vrsti, te pripremiti odgovarajuću plodosmjenu. Za postizanje drugog cilja provodi se proizvodnja ratarskih kultura na pojedinim tablama uz korištenje različitog ( najraširenijeg) sortimenta i različitih tehnika uzgoja ( obrade, gnojidbe i primjene pesticida) kako bi se dobio uvid u </w:t>
      </w:r>
      <w:r>
        <w:lastRenderedPageBreak/>
        <w:t>isplativost istih. Kao rezultat ostaje znatna količina poljoprivrednih proizvoda čija vrijednost treba pokriti trošak postavljanja i provođenja pokusa</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Broj ratarskih kultura koje se uzgajaju na poljoprivrednim površinama</w:t>
            </w:r>
          </w:p>
        </w:tc>
        <w:tc>
          <w:tcPr>
            <w:tcW w:w="1114" w:type="dxa"/>
          </w:tcPr>
          <w:p w:rsidR="00D849AA" w:rsidRDefault="00EE6D95">
            <w:r>
              <w:t>ha</w:t>
            </w:r>
          </w:p>
        </w:tc>
        <w:tc>
          <w:tcPr>
            <w:tcW w:w="1114" w:type="dxa"/>
          </w:tcPr>
          <w:p w:rsidR="00D849AA" w:rsidRDefault="00EE6D95">
            <w:r>
              <w:t>230</w:t>
            </w:r>
          </w:p>
        </w:tc>
        <w:tc>
          <w:tcPr>
            <w:tcW w:w="1486" w:type="dxa"/>
          </w:tcPr>
          <w:p w:rsidR="00D849AA" w:rsidRDefault="00EE6D95">
            <w:r>
              <w:t>230</w:t>
            </w:r>
          </w:p>
        </w:tc>
        <w:tc>
          <w:tcPr>
            <w:tcW w:w="1486" w:type="dxa"/>
          </w:tcPr>
          <w:p w:rsidR="00D849AA" w:rsidRDefault="00EE6D95">
            <w:r>
              <w:t>230</w:t>
            </w:r>
          </w:p>
        </w:tc>
        <w:tc>
          <w:tcPr>
            <w:tcW w:w="1486" w:type="dxa"/>
          </w:tcPr>
          <w:p w:rsidR="00D849AA" w:rsidRDefault="00EE6D95">
            <w:r>
              <w:t>230</w:t>
            </w:r>
          </w:p>
        </w:tc>
      </w:tr>
    </w:tbl>
    <w:p w:rsidR="00D849AA" w:rsidRDefault="00D849AA">
      <w:pPr>
        <w:jc w:val="left"/>
      </w:pPr>
    </w:p>
    <w:p w:rsidR="00D849AA" w:rsidRDefault="00EE6D95">
      <w:pPr>
        <w:pStyle w:val="Naslov6"/>
      </w:pPr>
      <w:r>
        <w:t>K842007 SIT TEHNIKA ZAŠTITE BILJA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K842007</w:t>
            </w:r>
          </w:p>
        </w:tc>
        <w:tc>
          <w:tcPr>
            <w:tcW w:w="1486" w:type="dxa"/>
          </w:tcPr>
          <w:p w:rsidR="00D849AA" w:rsidRDefault="00EE6D95">
            <w:r>
              <w:t>1.326.000</w:t>
            </w:r>
          </w:p>
        </w:tc>
        <w:tc>
          <w:tcPr>
            <w:tcW w:w="1486" w:type="dxa"/>
          </w:tcPr>
          <w:p w:rsidR="00D849AA" w:rsidRDefault="00EE6D95">
            <w:r>
              <w:t>1.263.000</w:t>
            </w:r>
          </w:p>
        </w:tc>
        <w:tc>
          <w:tcPr>
            <w:tcW w:w="1486" w:type="dxa"/>
          </w:tcPr>
          <w:p w:rsidR="00D849AA" w:rsidRDefault="00EE6D95">
            <w:r>
              <w:t>1.263.000</w:t>
            </w:r>
          </w:p>
        </w:tc>
        <w:tc>
          <w:tcPr>
            <w:tcW w:w="1486" w:type="dxa"/>
          </w:tcPr>
          <w:p w:rsidR="00D849AA" w:rsidRDefault="00EE6D95">
            <w:r>
              <w:t>1.263.000</w:t>
            </w:r>
          </w:p>
        </w:tc>
        <w:tc>
          <w:tcPr>
            <w:tcW w:w="1486" w:type="dxa"/>
          </w:tcPr>
          <w:p w:rsidR="00D849AA" w:rsidRDefault="00EE6D95">
            <w:r>
              <w:t>95,2</w:t>
            </w:r>
          </w:p>
        </w:tc>
      </w:tr>
    </w:tbl>
    <w:p w:rsidR="00D849AA" w:rsidRDefault="00D849AA">
      <w:pPr>
        <w:jc w:val="left"/>
      </w:pPr>
    </w:p>
    <w:p w:rsidR="00D849AA" w:rsidRDefault="00EE6D95">
      <w:pPr>
        <w:pStyle w:val="Normal6"/>
      </w:pPr>
      <w:r>
        <w:t>program je implemaentacija metode oslobađanja sterilnih kukaca i eliminiranje upotrebe sredstava za zaštitu bilja u zaštiti voćnih vrsta s naglaskom na mandarinu. program se provodi temelejm naredbe o sprečavanju širenja i suzbijanja sredozemne voćnemuhe ( NN 96/2009) u suradnji s Međunarodnom agencijom za atomsku energiju kro program tehničke suradnje IAEA TCP RER 5018. Planirana sredstva će se ostvariti donacijom IAEA, donacijom Dubrovačko neretvanske županije, donacijom otkupljivača i iz vlastitih namjenskih sredstava</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Tretirana površina</w:t>
            </w:r>
          </w:p>
        </w:tc>
        <w:tc>
          <w:tcPr>
            <w:tcW w:w="1114" w:type="dxa"/>
          </w:tcPr>
          <w:p w:rsidR="00D849AA" w:rsidRDefault="00EE6D95">
            <w:r>
              <w:t>ha</w:t>
            </w:r>
          </w:p>
        </w:tc>
        <w:tc>
          <w:tcPr>
            <w:tcW w:w="1114" w:type="dxa"/>
          </w:tcPr>
          <w:p w:rsidR="00D849AA" w:rsidRDefault="00EE6D95">
            <w:r>
              <w:t>4000</w:t>
            </w:r>
          </w:p>
        </w:tc>
        <w:tc>
          <w:tcPr>
            <w:tcW w:w="1486" w:type="dxa"/>
          </w:tcPr>
          <w:p w:rsidR="00D849AA" w:rsidRDefault="00EE6D95">
            <w:r>
              <w:t>6000</w:t>
            </w:r>
          </w:p>
        </w:tc>
        <w:tc>
          <w:tcPr>
            <w:tcW w:w="1486" w:type="dxa"/>
          </w:tcPr>
          <w:p w:rsidR="00D849AA" w:rsidRDefault="00EE6D95">
            <w:r>
              <w:t>7.500</w:t>
            </w:r>
          </w:p>
        </w:tc>
        <w:tc>
          <w:tcPr>
            <w:tcW w:w="1486" w:type="dxa"/>
          </w:tcPr>
          <w:p w:rsidR="00D849AA" w:rsidRDefault="00EE6D95">
            <w:r>
              <w:t>8000</w:t>
            </w:r>
          </w:p>
        </w:tc>
      </w:tr>
      <w:tr w:rsidR="00D849AA">
        <w:trPr>
          <w:jc w:val="center"/>
        </w:trPr>
        <w:tc>
          <w:tcPr>
            <w:tcW w:w="2229" w:type="dxa"/>
          </w:tcPr>
          <w:p w:rsidR="00D849AA" w:rsidRDefault="00EE6D95">
            <w:pPr>
              <w:pStyle w:val="CellColumn"/>
            </w:pPr>
            <w:r>
              <w:t>Opažačka mjesta</w:t>
            </w:r>
          </w:p>
        </w:tc>
        <w:tc>
          <w:tcPr>
            <w:tcW w:w="1114" w:type="dxa"/>
          </w:tcPr>
          <w:p w:rsidR="00D849AA" w:rsidRDefault="00EE6D95">
            <w:r>
              <w:t>broj</w:t>
            </w:r>
          </w:p>
        </w:tc>
        <w:tc>
          <w:tcPr>
            <w:tcW w:w="1114" w:type="dxa"/>
          </w:tcPr>
          <w:p w:rsidR="00D849AA" w:rsidRDefault="00EE6D95">
            <w:r>
              <w:t>150</w:t>
            </w:r>
          </w:p>
        </w:tc>
        <w:tc>
          <w:tcPr>
            <w:tcW w:w="1486" w:type="dxa"/>
          </w:tcPr>
          <w:p w:rsidR="00D849AA" w:rsidRDefault="00EE6D95">
            <w:r>
              <w:t>170</w:t>
            </w:r>
          </w:p>
        </w:tc>
        <w:tc>
          <w:tcPr>
            <w:tcW w:w="1486" w:type="dxa"/>
          </w:tcPr>
          <w:p w:rsidR="00D849AA" w:rsidRDefault="00EE6D95">
            <w:r>
              <w:t>200</w:t>
            </w:r>
          </w:p>
        </w:tc>
        <w:tc>
          <w:tcPr>
            <w:tcW w:w="1486" w:type="dxa"/>
          </w:tcPr>
          <w:p w:rsidR="00D849AA" w:rsidRDefault="00EE6D95">
            <w:r>
              <w:t>200</w:t>
            </w:r>
          </w:p>
        </w:tc>
      </w:tr>
    </w:tbl>
    <w:p w:rsidR="00D849AA" w:rsidRDefault="00D849AA">
      <w:pPr>
        <w:jc w:val="left"/>
      </w:pPr>
    </w:p>
    <w:p w:rsidR="00D849AA" w:rsidRDefault="00EE6D95">
      <w:pPr>
        <w:pStyle w:val="Naslov6"/>
      </w:pPr>
      <w:r>
        <w:t>K842008 POKUŠALIŠTA ZAVODA ZA VOĆARSTVO</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K842008</w:t>
            </w:r>
          </w:p>
        </w:tc>
        <w:tc>
          <w:tcPr>
            <w:tcW w:w="1486" w:type="dxa"/>
          </w:tcPr>
          <w:p w:rsidR="00D849AA" w:rsidRDefault="00EE6D95">
            <w:r>
              <w:t>380.000</w:t>
            </w:r>
          </w:p>
        </w:tc>
        <w:tc>
          <w:tcPr>
            <w:tcW w:w="1486" w:type="dxa"/>
          </w:tcPr>
          <w:p w:rsidR="00D849AA" w:rsidRDefault="00EE6D95">
            <w:r>
              <w:t>315.000</w:t>
            </w:r>
          </w:p>
        </w:tc>
        <w:tc>
          <w:tcPr>
            <w:tcW w:w="1486" w:type="dxa"/>
          </w:tcPr>
          <w:p w:rsidR="00D849AA" w:rsidRDefault="00EE6D95">
            <w:r>
              <w:t>315.000</w:t>
            </w:r>
          </w:p>
        </w:tc>
        <w:tc>
          <w:tcPr>
            <w:tcW w:w="1486" w:type="dxa"/>
          </w:tcPr>
          <w:p w:rsidR="00D849AA" w:rsidRDefault="00EE6D95">
            <w:r>
              <w:t>315.000</w:t>
            </w:r>
          </w:p>
        </w:tc>
        <w:tc>
          <w:tcPr>
            <w:tcW w:w="1486" w:type="dxa"/>
          </w:tcPr>
          <w:p w:rsidR="00D849AA" w:rsidRDefault="00EE6D95">
            <w:r>
              <w:t>82,9</w:t>
            </w:r>
          </w:p>
        </w:tc>
      </w:tr>
    </w:tbl>
    <w:p w:rsidR="00D849AA" w:rsidRDefault="00D849AA">
      <w:pPr>
        <w:jc w:val="left"/>
      </w:pPr>
    </w:p>
    <w:p w:rsidR="00D849AA" w:rsidRDefault="00EE6D95">
      <w:pPr>
        <w:pStyle w:val="Normal6"/>
      </w:pPr>
      <w:r>
        <w:t xml:space="preserve">Zavod za vočarstvo prpvodi istraživanja temeljem Zakona o sjemenum sadnom materijalu i priznavanju sorti poljoprivrdog bilja ( NN 140/054) na više pokušališta koja su smještena na lokalitetima Zelina ( grad Zagreb) ,Opuzen i Kaštela.  Kako aktivnosti koje se provode imaju isti cilj, a to je introdukcija novih sorata voća i novih tehnologija, smatramo zbog </w:t>
      </w:r>
      <w:r>
        <w:lastRenderedPageBreak/>
        <w:t xml:space="preserve">preklapanja većeg broja poslova, jednostavnijim rješenjem objedinti aktivnosti pod jednu aktivnost .  </w:t>
      </w:r>
    </w:p>
    <w:p w:rsidR="00D849AA" w:rsidRDefault="00EE6D95">
      <w:pPr>
        <w:pStyle w:val="Normal6"/>
      </w:pPr>
      <w:r>
        <w:t xml:space="preserve">Pokušalilšte Zelina ( 17,2ha ) osnovano je 2003 g. s ciljem realizacije primjenjenih istraživanja u voćarstvu što uključuje različita istraživanja sorti i podloga voćnih vrsta na razini predindukcije, introdukcije, sortnih pokusa, post-harvest pokusa, formiranja kolkcijskog nasada, te ostalih relevantnih stručnih i znanstvenih istraživanja.  </w:t>
      </w:r>
    </w:p>
    <w:p w:rsidR="00D849AA" w:rsidRDefault="00EE6D95">
      <w:pPr>
        <w:pStyle w:val="Normal6"/>
      </w:pPr>
      <w:r>
        <w:t xml:space="preserve">pokušalište Kaštela aktivirano je u travnju 2011 godine . HCPHS je pripremio površine i podigao pokusni nasad maslina u gustom sklopu na površini 1,5 Ha Kaštel Štafiliću. Uvođenjem ovakvih sustava uzgoja utjecalo bi se na cijenu proizvodnje, smanjenje visoke cijene radne snage- prvenstveno  kod berbe, problema pronalaska kvalitetne radne snage kad to zahijevaju određene tehnološke i pomološke operqacije, te boljim iskorištejem poljoprivrednih površina. Zbog smanjenja troškova program se provodi s lokalnim maslinarskim udrugama s ciljem transfera znanja i ciljem edukacije krajnjih korisnika o primjeni suvremenih metoda.  </w:t>
      </w:r>
    </w:p>
    <w:p w:rsidR="00D849AA" w:rsidRDefault="00EE6D95">
      <w:pPr>
        <w:pStyle w:val="Normal6"/>
      </w:pPr>
      <w:r>
        <w:t xml:space="preserve">Korisnik usluga su svi oni koji i se zravno i neizravno bave voćarskom proizvodnjom, među ostalim i znanstveno- obrazovne institucije, te Ministarstva koja se bave strateškim planiranjima.  </w:t>
      </w:r>
    </w:p>
    <w:p w:rsidR="00D849AA" w:rsidRDefault="00EE6D95">
      <w:pPr>
        <w:pStyle w:val="Normal6"/>
      </w:pPr>
      <w:r>
        <w:t>Primjenom rezultata istraživanja stvaraju se temeljne informacije koje su potrebne za odluke, planiranja, investiranja, što u konačnici  utječe na pozitivne financijske rezučtate poslovanja.</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Broj izdanih publikacija</w:t>
            </w:r>
          </w:p>
        </w:tc>
        <w:tc>
          <w:tcPr>
            <w:tcW w:w="1114" w:type="dxa"/>
          </w:tcPr>
          <w:p w:rsidR="00D849AA" w:rsidRDefault="00EE6D95">
            <w:r>
              <w:t>kom</w:t>
            </w:r>
          </w:p>
        </w:tc>
        <w:tc>
          <w:tcPr>
            <w:tcW w:w="1114" w:type="dxa"/>
          </w:tcPr>
          <w:p w:rsidR="00D849AA" w:rsidRDefault="00EE6D95">
            <w:r>
              <w:t>0</w:t>
            </w:r>
          </w:p>
        </w:tc>
        <w:tc>
          <w:tcPr>
            <w:tcW w:w="1486" w:type="dxa"/>
          </w:tcPr>
          <w:p w:rsidR="00D849AA" w:rsidRDefault="00EE6D95">
            <w:r>
              <w:t>6</w:t>
            </w:r>
          </w:p>
        </w:tc>
        <w:tc>
          <w:tcPr>
            <w:tcW w:w="1486" w:type="dxa"/>
          </w:tcPr>
          <w:p w:rsidR="00D849AA" w:rsidRDefault="00EE6D95">
            <w:r>
              <w:t>9</w:t>
            </w:r>
          </w:p>
        </w:tc>
        <w:tc>
          <w:tcPr>
            <w:tcW w:w="1486" w:type="dxa"/>
          </w:tcPr>
          <w:p w:rsidR="00D849AA" w:rsidRDefault="00EE6D95">
            <w:r>
              <w:t>9</w:t>
            </w:r>
          </w:p>
        </w:tc>
      </w:tr>
      <w:tr w:rsidR="00D849AA">
        <w:trPr>
          <w:jc w:val="center"/>
        </w:trPr>
        <w:tc>
          <w:tcPr>
            <w:tcW w:w="2229" w:type="dxa"/>
          </w:tcPr>
          <w:p w:rsidR="00D849AA" w:rsidRDefault="00EE6D95">
            <w:pPr>
              <w:pStyle w:val="CellColumn"/>
            </w:pPr>
            <w:r>
              <w:t>Broj održanih radionica</w:t>
            </w:r>
          </w:p>
        </w:tc>
        <w:tc>
          <w:tcPr>
            <w:tcW w:w="1114" w:type="dxa"/>
          </w:tcPr>
          <w:p w:rsidR="00D849AA" w:rsidRDefault="00EE6D95">
            <w:r>
              <w:t>broj održanih radionica</w:t>
            </w:r>
          </w:p>
        </w:tc>
        <w:tc>
          <w:tcPr>
            <w:tcW w:w="1114" w:type="dxa"/>
          </w:tcPr>
          <w:p w:rsidR="00D849AA" w:rsidRDefault="00EE6D95">
            <w:r>
              <w:t>3</w:t>
            </w:r>
          </w:p>
        </w:tc>
        <w:tc>
          <w:tcPr>
            <w:tcW w:w="1486" w:type="dxa"/>
          </w:tcPr>
          <w:p w:rsidR="00D849AA" w:rsidRDefault="00EE6D95">
            <w:r>
              <w:t>7</w:t>
            </w:r>
          </w:p>
        </w:tc>
        <w:tc>
          <w:tcPr>
            <w:tcW w:w="1486" w:type="dxa"/>
          </w:tcPr>
          <w:p w:rsidR="00D849AA" w:rsidRDefault="00EE6D95">
            <w:r>
              <w:t>9</w:t>
            </w:r>
          </w:p>
        </w:tc>
        <w:tc>
          <w:tcPr>
            <w:tcW w:w="1486" w:type="dxa"/>
          </w:tcPr>
          <w:p w:rsidR="00D849AA" w:rsidRDefault="00EE6D95">
            <w:r>
              <w:t>10</w:t>
            </w:r>
          </w:p>
        </w:tc>
      </w:tr>
    </w:tbl>
    <w:p w:rsidR="00D849AA" w:rsidRDefault="00D849AA">
      <w:pPr>
        <w:jc w:val="left"/>
      </w:pPr>
    </w:p>
    <w:p w:rsidR="00337A23" w:rsidRDefault="00337A23" w:rsidP="00337A23">
      <w:pPr>
        <w:pStyle w:val="Naslov4"/>
      </w:pPr>
      <w:r>
        <w:t>OBRAZLOŽENJE PROGRAMA</w:t>
      </w:r>
    </w:p>
    <w:p w:rsidR="00D849AA" w:rsidRDefault="00EE6D95">
      <w:pPr>
        <w:pStyle w:val="Naslov5"/>
      </w:pPr>
      <w:r>
        <w:t>3003 VETERINARSTVO I SIGURNOST HRANE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3003</w:t>
            </w:r>
          </w:p>
        </w:tc>
        <w:tc>
          <w:tcPr>
            <w:tcW w:w="1486" w:type="dxa"/>
          </w:tcPr>
          <w:p w:rsidR="00D849AA" w:rsidRDefault="00EE6D95">
            <w:r>
              <w:t>1.430.000</w:t>
            </w:r>
          </w:p>
        </w:tc>
        <w:tc>
          <w:tcPr>
            <w:tcW w:w="1486" w:type="dxa"/>
          </w:tcPr>
          <w:p w:rsidR="00D849AA" w:rsidRDefault="00EE6D95">
            <w:r>
              <w:t>1.050.000</w:t>
            </w:r>
          </w:p>
        </w:tc>
        <w:tc>
          <w:tcPr>
            <w:tcW w:w="1486" w:type="dxa"/>
          </w:tcPr>
          <w:p w:rsidR="00D849AA" w:rsidRDefault="00EE6D95">
            <w:r>
              <w:t>1.050.000</w:t>
            </w:r>
          </w:p>
        </w:tc>
        <w:tc>
          <w:tcPr>
            <w:tcW w:w="1486" w:type="dxa"/>
          </w:tcPr>
          <w:p w:rsidR="00D849AA" w:rsidRDefault="00EE6D95">
            <w:r>
              <w:t>1.050.000</w:t>
            </w:r>
          </w:p>
        </w:tc>
        <w:tc>
          <w:tcPr>
            <w:tcW w:w="1486" w:type="dxa"/>
          </w:tcPr>
          <w:p w:rsidR="00D849AA" w:rsidRDefault="00EE6D95">
            <w:r>
              <w:t>73,4</w:t>
            </w:r>
          </w:p>
        </w:tc>
      </w:tr>
    </w:tbl>
    <w:p w:rsidR="00D849AA" w:rsidRDefault="00D849AA">
      <w:pPr>
        <w:jc w:val="left"/>
      </w:pPr>
    </w:p>
    <w:p w:rsidR="00D849AA" w:rsidRDefault="00EE6D95">
      <w:pPr>
        <w:pStyle w:val="Naslov6"/>
      </w:pPr>
      <w:r>
        <w:t>Opis programa</w:t>
      </w:r>
    </w:p>
    <w:p w:rsidR="00D849AA" w:rsidRDefault="00EE6D95">
      <w:pPr>
        <w:pStyle w:val="Normal5"/>
      </w:pPr>
      <w:r>
        <w:t xml:space="preserve">RH kao i druge zemlje planira i provodi nacionalnu politiku biljnog zdrastva s ciljem zdrastvene zaštite bilja od štetnih organizama bilja  (ŠO)kao bi se spriječilo propradanje poljoprivrednih usjeva i prinosa, te zajmčila sigurnost trajne opskrbe stanovništva zdravom hranom biljnog podrijetla visoke kakvoće.  </w:t>
      </w:r>
    </w:p>
    <w:p w:rsidR="00D849AA" w:rsidRDefault="00EE6D95">
      <w:pPr>
        <w:pStyle w:val="Normal5"/>
      </w:pPr>
      <w:r>
        <w:lastRenderedPageBreak/>
        <w:t>Primarni cilj biljnog zdrastva jest zdrastvena zaštita bilja, biljnih proizvoda i drugih nadziranih predmeta od štetnih organizama bilja, sprećavanje unošenja u RH i širenja štetnih organizama bilja, utvrđivanje prisutnosti i određivanja vrsta štetnih organizama , omogućavanje optimalne proizvodnje i trgovine biljem, pravilna primjena SZB, zaštita okoliša od posljedica djelovanja štetnih organizama bilja, unošenje biološke zaštite bilja i usmjeravanje razvoja zdrastvene zaštite bilja, omogućavanje izobrazbe i podizanja svijesti stanovništva o važnosti pravilne zdrastvene zaštite bilja.</w:t>
      </w:r>
    </w:p>
    <w:p w:rsidR="00D849AA" w:rsidRDefault="00EE6D95">
      <w:pPr>
        <w:pStyle w:val="Naslov6"/>
      </w:pPr>
      <w:r>
        <w:t>Zakonske i druge pravne osnove</w:t>
      </w:r>
    </w:p>
    <w:p w:rsidR="00D849AA" w:rsidRDefault="00EE6D95">
      <w:pPr>
        <w:pStyle w:val="Normal5"/>
      </w:pPr>
      <w:r>
        <w:t>Zakon o osnivanju HCPHS ( NN 25/09i 124/10), Zakon o biljnom zdrastvu  ( NN 75/05, 25/09 i 55/11 , Zakon o sredstvima za zaštitu bilja ( NN 75/05 i 25/09)</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 xml:space="preserve">Cilj 1.  Otkrivanje i dijagnosticiranje štetnih organizama </w:t>
      </w:r>
    </w:p>
    <w:p w:rsidR="00D849AA" w:rsidRDefault="00EE6D95">
      <w:pPr>
        <w:pStyle w:val="Normal6"/>
      </w:pPr>
      <w:r>
        <w:t>U Odjelu za biljno zdrastvo , Odsjeku za štetne organizme bilja i biljne proizvodnje provode se u suradnji s MP programi posebnog nadzora ( PPN) koji obuhvaćaju otkrivanje karantenskih i gospodarskih štetnih organizama , izvještavanje o prisutnosti, pojavi i širenju štetnih organizama , razrađivanje i predlaganje  preventivnih mjera i mjera suzbijanja štetnih organizama. Predmetna aktivnost se u 2013 godini financirala iz izvora 11  znači državnog proračuna dok se ista sada financira iz namjenskih prihoda Centra i trebali bi ista biti fakturirani Ministarstvu poljoprivrede.</w:t>
      </w:r>
    </w:p>
    <w:p w:rsidR="00D849AA" w:rsidRDefault="00EE6D95">
      <w:pPr>
        <w:pStyle w:val="Naslov5"/>
      </w:pPr>
      <w:r>
        <w:t>Procjena i ishodište potrebnih sredstava za značajnije aktivnosti/projekte</w:t>
      </w:r>
    </w:p>
    <w:p w:rsidR="00D849AA" w:rsidRDefault="00EE6D95">
      <w:pPr>
        <w:pStyle w:val="Naslov6"/>
      </w:pPr>
      <w:r>
        <w:t>A842006 OTKRIVANJE I DIJAGNOSTICIRANJE ŠTETNIH ORGANIZAMA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A842006</w:t>
            </w:r>
          </w:p>
        </w:tc>
        <w:tc>
          <w:tcPr>
            <w:tcW w:w="1486" w:type="dxa"/>
          </w:tcPr>
          <w:p w:rsidR="00D849AA" w:rsidRDefault="00EE6D95">
            <w:r>
              <w:t>1.230.000</w:t>
            </w:r>
          </w:p>
        </w:tc>
        <w:tc>
          <w:tcPr>
            <w:tcW w:w="1486" w:type="dxa"/>
          </w:tcPr>
          <w:p w:rsidR="00D849AA" w:rsidRDefault="00EE6D95">
            <w:r>
              <w:t>1.050.000</w:t>
            </w:r>
          </w:p>
        </w:tc>
        <w:tc>
          <w:tcPr>
            <w:tcW w:w="1486" w:type="dxa"/>
          </w:tcPr>
          <w:p w:rsidR="00D849AA" w:rsidRDefault="00EE6D95">
            <w:r>
              <w:t>1.050.000</w:t>
            </w:r>
          </w:p>
        </w:tc>
        <w:tc>
          <w:tcPr>
            <w:tcW w:w="1486" w:type="dxa"/>
          </w:tcPr>
          <w:p w:rsidR="00D849AA" w:rsidRDefault="00EE6D95">
            <w:r>
              <w:t>1.050.000</w:t>
            </w:r>
          </w:p>
        </w:tc>
        <w:tc>
          <w:tcPr>
            <w:tcW w:w="1486" w:type="dxa"/>
          </w:tcPr>
          <w:p w:rsidR="00D849AA" w:rsidRDefault="00EE6D95">
            <w:r>
              <w:t>85,4</w:t>
            </w:r>
          </w:p>
        </w:tc>
      </w:tr>
    </w:tbl>
    <w:p w:rsidR="00D849AA" w:rsidRDefault="00D849AA">
      <w:pPr>
        <w:jc w:val="left"/>
      </w:pPr>
    </w:p>
    <w:p w:rsidR="00D849AA" w:rsidRDefault="00EE6D95">
      <w:pPr>
        <w:pStyle w:val="Normal6"/>
      </w:pPr>
      <w:r>
        <w:t xml:space="preserve">Zaštita poljoprivrednih kultura od štetnih organizama </w:t>
      </w:r>
    </w:p>
    <w:p w:rsidR="00D849AA" w:rsidRDefault="00EE6D95">
      <w:pPr>
        <w:pStyle w:val="Normal6"/>
      </w:pPr>
      <w:r>
        <w:t xml:space="preserve">Sve poljoprivredne kulture napadaju različiti štetnici, uzročnici bolesti te korovi koje nazivamo štetnim organizimima. Primarni cilj biljnog zdravstva jest zaštita bilja, biljnih proizvoda i drugih nadziranih predmeta od štetnih organizama bilja, sprječavanje unošenja i širenja štetnih organizama bilja, utvrđivanje prisutnosti i određivanje vrsta štetnih organizama, omogućavanje optimalne proizvodnje i trgovine biljem, zaštita okoliša od posljedica djelovanja štetnih organizama bilja i kemijskih sredstava za zaštitu bilja koja se koriste za niihovo suzbijanje, uvođenje biološke zaštite bilja i usmjeravanje razvoja zdravstvene zaštite bilja, omogućavanje izobrazbe i podizanja svijesti stanovništva o važnosti pravilne zdravstvene zaštite bilja. Jedan od važnih uvjeta poljoprivredne proizvodnje je uspješno ostvarena zaštita kultiviranih biljaka od štetnih organizama. Zavod za zaštitu bilja HCPHS-a provodeći aktivnosti u skladu sa Zakonom o biljnom zdravstvu (NN 75/05, 25/09, 55/11) i Zakonom o sredstvima za zaštitu bilja (NN70/05, 25/09) te njihovim pratećim propisima predstavlja vrlo značajnu sastavnicu u sustavu zaštite poljoprivrednih kultura prateći direktive EU i EPPO standarde. </w:t>
      </w:r>
    </w:p>
    <w:p w:rsidR="00D849AA" w:rsidRDefault="00EE6D95">
      <w:pPr>
        <w:pStyle w:val="Normal6"/>
      </w:pPr>
      <w:r>
        <w:t xml:space="preserve">Način ostvarenja posebnog cilja: </w:t>
      </w:r>
    </w:p>
    <w:p w:rsidR="00D849AA" w:rsidRDefault="00EE6D95">
      <w:pPr>
        <w:pStyle w:val="Normal6"/>
      </w:pPr>
      <w:r>
        <w:lastRenderedPageBreak/>
        <w:t>1.2.1</w:t>
      </w:r>
      <w:r>
        <w:tab/>
        <w:t xml:space="preserve">Sustavno praćenje zdravstvenog stanja bilja u cilju otkrivanja gospodarskih i karantenskih štetnih organizama te razrađivanje, istraživanje i predlaganje mjera i metoda zaštite  </w:t>
      </w:r>
    </w:p>
    <w:p w:rsidR="00D849AA" w:rsidRDefault="00EE6D95">
      <w:pPr>
        <w:pStyle w:val="Normal6"/>
      </w:pPr>
      <w:r>
        <w:t xml:space="preserve">Da bi se spriječilo propadanje poljoprivrednih usjeva i prinosa poljoprivrednih proizvoda te zajamčila sigurnost trajne opskrbe stanovništva hranom biljnog podrijetla, prijeko je potrebno provoditi zaštitu bilja od štetnih organizama (ŠO), kao i edukaciju subjekata uključenih u poslove zaštite bilja. Republika Hrvatska u svoje fitosanitarno zakonodavstvo ugrađuje odredbe iz direktiva i odluka EU kojima se propisuje obveza praćenja određenih štetnih organizama bilja, način njihova praćenja, te provedba određenih fitosanitarnih mjera. Uvažavajući spomenute obveze, a prije svega radi zaštite domaće poljoprivredne proizvodnje, od 2001. godine u kontinuitetu se provode programi posebnog nadzora nad određenim štetnim organizmima bilja na temelju odobrenih godišnjih programa koje određuje ministar, na prijedlog čelnika nadležne uprave. </w:t>
      </w:r>
    </w:p>
    <w:p w:rsidR="00D849AA" w:rsidRDefault="00EE6D95">
      <w:pPr>
        <w:pStyle w:val="Normal6"/>
      </w:pPr>
      <w:r>
        <w:t xml:space="preserve">Stalni nadzor određenih štetnih organizama bilja, procjena rizika od unošenja ili širenja (pest risk assesment - PRA), a temeljem toga i provođenje odgovarajućih mjera (pest risk management) uključujući obavješćivanje zainteresirane javnosti (risk communication) i primjena na međunarodnoj razini prihvaćenih fitosanitarnih standarda, obveza je određena međunarodnim ugovorima koje je Republika Hrvatska potpisala (Sporazum o primjeni sanitarnih i fitosanitarnih mjera u okviru WTO i Međunarodna konvencija o zaštiti bilja u okviru FAO). Ako se tijekom pregleda bilja i biljnih proizvoda pronađe karantenski štetni organizam obavještava se nadležna uprava MP koja provodi daljnje postupke za sprječavanje njegovog širenja na području Republike Hrvatske. Od godine do godine dodaje se novi program ili stari prestaje, sukladno Direktivama i odlukama EU i EPPO-preporukama. U svrhu upoznavanja javnosti s problematikom štetnih organizama kontinuirano se izdaju brošure i plakati čime se naglašava važnost pravovremenog otkrivanja štetnog organizma. Ujedno se stručno usavršavaju fitosanitarni inspektori, djelatnici Poljoprivredno savjetodavne službe te osobe prema Pravilniku o uspostavi akcijskog okvira za postizanje održive uporabe pesticida (NN 142/2012) - modul za distributere i modul za savjetnike. </w:t>
      </w:r>
    </w:p>
    <w:p w:rsidR="00D849AA" w:rsidRDefault="00EE6D95">
      <w:pPr>
        <w:pStyle w:val="Normal6"/>
      </w:pPr>
      <w:r>
        <w:t xml:space="preserve">Također, sustavno praćenje zdravstvenog stanja bilja tijekom vegetacije i biljnih proizvoda na otvorenom, u zaštićenim prostorima i u skladištima, radi prikupljanja podataka o pojavi, intenzitetu napada, populaciji i proširenosti štetnih i korisnih organizama za bilje i biljne proizvode te sustavno vođenje evidencije o tome u formi baze podataka provodi se u sklopu izvještajno prognoznih poslova (IPP). Na temelju podataka o razvoju i proširenju populacije štetnih organizama određuju se optimalni rokovi za njihovo suzbijanje. Nastaviti će se s nadograđivanjem i usavršavanjem postojećih baza podataka i softverskih aplikacija o pojavi, otkrivanju, intenzitetu napada, populaciji i rasprostranjenosti ŠO vezanih uz aktivnosti izvještajno-prognoznih poslova, programa posebnog nadzora te u budućnosti i za potrebe procjene rizika od štetnih organizama (PRA). Program istraživanja primjene tehnike sterilnih kukaca (SIT tehnike prvenstveno se bavi štetnim organizmima agruma , te istražuje primjenu nepesticidne metode suzbijanja - tehnike sterilnih kukaca (SIT) za suzbijanje sredozemne voćne muhe - Ceratitis capitata Wiedemann, u dolini Neretve. C. capitata je štetni organizam koji pričinjava značajne štete u proizvodnji neretvanske mandarine, najznačajnijoj voćnoj kulturi tog kraja od čije se ukupne količine proizvedenog svježeg ploda, više od 80% izvozi na tržište EU, tržište regije ali i nova značajna tržišta (Rusija), a ukupna vrijednost proizvodnje prelazi 20 mil. EUR.. Program se provodi u suradnji s Međunarodnom agencijom za atomsku energiju (IAEA) i MP kroz projekt tehničke suradnje. Ovo je ekološki prihvatljiva, biološka i selektivna metoda zaštite, koja nema negativnih utjecaja na okoliš, a u našim je uvjetima istraživana primjena u svrhu suzbijanja tijekom 2010-2012 godine na području doline Neretve. Planira se u razdoblju od 2013. do 2015. godine proširenje primjene ove metode zaštite agruma i uvođenje drugih nepesticidnih metoda </w:t>
      </w:r>
      <w:r>
        <w:lastRenderedPageBreak/>
        <w:t xml:space="preserve">suzbijanja štetnih organizama agruma na što veće površine u dolini Neretve i druga ugrožena područja. </w:t>
      </w:r>
    </w:p>
    <w:p w:rsidR="00D849AA" w:rsidRDefault="00EE6D95">
      <w:pPr>
        <w:pStyle w:val="Normal6"/>
      </w:pPr>
      <w:r>
        <w:t>U zdravstvene preglede bilja i biljnih proizvoda spadaju vizualni pregledi i laboratorijske analize. Vizualne preglede poljoprivrednog reprodukcijskoga sjemenskog i sadnog materijala obavlja Zavod za zaštitu bilja i fitosanitarna inspekcija sukladno pravilnicima. Laboratorijskim analizama utvrđuje se štetni organizam prisutan na uzorkovanom biljnom materijalu. Završetkom izgradnje nove poslovne zgrade Zavoda u rujnu 2012. uređeni su uredi i laboratoriji i opremljeni potrebnim namještajem. Planira se nastaviti s opremanjem dijagnostičkih laboratorija suvremenom opremom koja će omogućiti brže i kvalitetnije provođenje laboratorijskih analiza. Preseljenjem u nove prostore stvoren je preduvjet za uvođenje jedinstvenog sustava zaprimanja uzoraka za sve dijagnostičke laboratorije. Sukladno tome, planira se uvesti interni sustav kvalitete u dva područja: upravljanje i administracija te laboratorijske metode.</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372"/>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Sustavno praćenje zdravstvenog stanja bilja u cilju otkrivanja gospodarskih i karantenskih štetnih organizama, te razrađivanje, istraživanje i predlaganje mjera i metoda zaštite</w:t>
            </w:r>
          </w:p>
        </w:tc>
        <w:tc>
          <w:tcPr>
            <w:tcW w:w="1114" w:type="dxa"/>
          </w:tcPr>
          <w:p w:rsidR="00D849AA" w:rsidRDefault="00EE6D95">
            <w:r>
              <w:t>broj pregledanih lokaliteta u sklopu PPN</w:t>
            </w:r>
          </w:p>
        </w:tc>
        <w:tc>
          <w:tcPr>
            <w:tcW w:w="1114" w:type="dxa"/>
          </w:tcPr>
          <w:p w:rsidR="00D849AA" w:rsidRDefault="00EE6D95">
            <w:r>
              <w:t>730</w:t>
            </w:r>
          </w:p>
        </w:tc>
        <w:tc>
          <w:tcPr>
            <w:tcW w:w="1486" w:type="dxa"/>
          </w:tcPr>
          <w:p w:rsidR="00D849AA" w:rsidRDefault="00EE6D95">
            <w:r>
              <w:t>803</w:t>
            </w:r>
          </w:p>
        </w:tc>
        <w:tc>
          <w:tcPr>
            <w:tcW w:w="1486" w:type="dxa"/>
          </w:tcPr>
          <w:p w:rsidR="00D849AA" w:rsidRDefault="00EE6D95">
            <w:r>
              <w:t>843</w:t>
            </w:r>
          </w:p>
        </w:tc>
        <w:tc>
          <w:tcPr>
            <w:tcW w:w="1486" w:type="dxa"/>
          </w:tcPr>
          <w:p w:rsidR="00D849AA" w:rsidRDefault="00EE6D95">
            <w:r>
              <w:t>850</w:t>
            </w:r>
          </w:p>
        </w:tc>
      </w:tr>
      <w:tr w:rsidR="00D849AA">
        <w:trPr>
          <w:jc w:val="center"/>
        </w:trPr>
        <w:tc>
          <w:tcPr>
            <w:tcW w:w="2229" w:type="dxa"/>
          </w:tcPr>
          <w:p w:rsidR="00D849AA" w:rsidRDefault="00EE6D95">
            <w:pPr>
              <w:pStyle w:val="CellColumn"/>
            </w:pPr>
            <w:r>
              <w:t>Sustavno praćenje zdravstvenog stanja bilja u cilju otkrivanja gospodarskih i karantenskih štetnih organizama, te razrađivanje, istraživanje i predlaganje mjera i metoda zaštite</w:t>
            </w:r>
          </w:p>
        </w:tc>
        <w:tc>
          <w:tcPr>
            <w:tcW w:w="1114" w:type="dxa"/>
          </w:tcPr>
          <w:p w:rsidR="00D849AA" w:rsidRDefault="00EE6D95">
            <w:r>
              <w:t>broj vizualnih pregleda u sklopu PPN</w:t>
            </w:r>
          </w:p>
        </w:tc>
        <w:tc>
          <w:tcPr>
            <w:tcW w:w="1114" w:type="dxa"/>
          </w:tcPr>
          <w:p w:rsidR="00D849AA" w:rsidRDefault="00EE6D95">
            <w:r>
              <w:t>2063</w:t>
            </w:r>
          </w:p>
        </w:tc>
        <w:tc>
          <w:tcPr>
            <w:tcW w:w="1486" w:type="dxa"/>
          </w:tcPr>
          <w:p w:rsidR="00D849AA" w:rsidRDefault="00EE6D95">
            <w:r>
              <w:t>2080</w:t>
            </w:r>
          </w:p>
        </w:tc>
        <w:tc>
          <w:tcPr>
            <w:tcW w:w="1486" w:type="dxa"/>
          </w:tcPr>
          <w:p w:rsidR="00D849AA" w:rsidRDefault="00EE6D95">
            <w:r>
              <w:t>2110</w:t>
            </w:r>
          </w:p>
        </w:tc>
        <w:tc>
          <w:tcPr>
            <w:tcW w:w="1486" w:type="dxa"/>
          </w:tcPr>
          <w:p w:rsidR="00D849AA" w:rsidRDefault="00EE6D95">
            <w:r>
              <w:t>2130</w:t>
            </w:r>
          </w:p>
        </w:tc>
      </w:tr>
      <w:tr w:rsidR="00D849AA">
        <w:trPr>
          <w:jc w:val="center"/>
        </w:trPr>
        <w:tc>
          <w:tcPr>
            <w:tcW w:w="2229" w:type="dxa"/>
          </w:tcPr>
          <w:p w:rsidR="00D849AA" w:rsidRDefault="00EE6D95">
            <w:pPr>
              <w:pStyle w:val="CellColumn"/>
            </w:pPr>
            <w:r>
              <w:t>Sustavno praćenje zdravstvenog stanja bilja u cilju otkrivanja gospodarskih i karantenskih štetnih organizama, te razrađivanje, istraživanje i predlaganje mjera i metoda zaštite</w:t>
            </w:r>
          </w:p>
        </w:tc>
        <w:tc>
          <w:tcPr>
            <w:tcW w:w="1114" w:type="dxa"/>
          </w:tcPr>
          <w:p w:rsidR="00D849AA" w:rsidRDefault="00EE6D95">
            <w:r>
              <w:t>Broj labaratorijskih analiza u sklopu ppn-a</w:t>
            </w:r>
          </w:p>
        </w:tc>
        <w:tc>
          <w:tcPr>
            <w:tcW w:w="1114" w:type="dxa"/>
          </w:tcPr>
          <w:p w:rsidR="00D849AA" w:rsidRDefault="00EE6D95">
            <w:r>
              <w:t>2335</w:t>
            </w:r>
          </w:p>
        </w:tc>
        <w:tc>
          <w:tcPr>
            <w:tcW w:w="1486" w:type="dxa"/>
          </w:tcPr>
          <w:p w:rsidR="00D849AA" w:rsidRDefault="00EE6D95">
            <w:r>
              <w:t>2380</w:t>
            </w:r>
          </w:p>
        </w:tc>
        <w:tc>
          <w:tcPr>
            <w:tcW w:w="1486" w:type="dxa"/>
          </w:tcPr>
          <w:p w:rsidR="00D849AA" w:rsidRDefault="00EE6D95">
            <w:r>
              <w:t>2450</w:t>
            </w:r>
          </w:p>
        </w:tc>
        <w:tc>
          <w:tcPr>
            <w:tcW w:w="1486" w:type="dxa"/>
          </w:tcPr>
          <w:p w:rsidR="00D849AA" w:rsidRDefault="00EE6D95">
            <w:r>
              <w:t>2500</w:t>
            </w:r>
          </w:p>
        </w:tc>
      </w:tr>
      <w:tr w:rsidR="00D849AA">
        <w:trPr>
          <w:jc w:val="center"/>
        </w:trPr>
        <w:tc>
          <w:tcPr>
            <w:tcW w:w="2229" w:type="dxa"/>
          </w:tcPr>
          <w:p w:rsidR="00D849AA" w:rsidRDefault="00EE6D95">
            <w:pPr>
              <w:pStyle w:val="CellColumn"/>
            </w:pPr>
            <w:r>
              <w:t xml:space="preserve">Sustavno praćenje zdravstvenog stanja bilja u cilju otkrivanja gospodarskih i karantenskih štetnih </w:t>
            </w:r>
            <w:r>
              <w:lastRenderedPageBreak/>
              <w:t>organizama, te razrađivanje, istraživanje i predlaganje mjera i metoda zaštite</w:t>
            </w:r>
          </w:p>
        </w:tc>
        <w:tc>
          <w:tcPr>
            <w:tcW w:w="1114" w:type="dxa"/>
          </w:tcPr>
          <w:p w:rsidR="00D849AA" w:rsidRDefault="00EE6D95">
            <w:r>
              <w:lastRenderedPageBreak/>
              <w:t>Broj objavljenih brošura i plakata</w:t>
            </w:r>
          </w:p>
        </w:tc>
        <w:tc>
          <w:tcPr>
            <w:tcW w:w="1114" w:type="dxa"/>
          </w:tcPr>
          <w:p w:rsidR="00D849AA" w:rsidRDefault="00EE6D95">
            <w:r>
              <w:t>4</w:t>
            </w:r>
          </w:p>
        </w:tc>
        <w:tc>
          <w:tcPr>
            <w:tcW w:w="1486" w:type="dxa"/>
          </w:tcPr>
          <w:p w:rsidR="00D849AA" w:rsidRDefault="00EE6D95">
            <w:r>
              <w:t>5</w:t>
            </w:r>
          </w:p>
        </w:tc>
        <w:tc>
          <w:tcPr>
            <w:tcW w:w="1486" w:type="dxa"/>
          </w:tcPr>
          <w:p w:rsidR="00D849AA" w:rsidRDefault="00EE6D95">
            <w:r>
              <w:t>6</w:t>
            </w:r>
          </w:p>
        </w:tc>
        <w:tc>
          <w:tcPr>
            <w:tcW w:w="1486" w:type="dxa"/>
          </w:tcPr>
          <w:p w:rsidR="00D849AA" w:rsidRDefault="00EE6D95">
            <w:r>
              <w:t>7</w:t>
            </w:r>
          </w:p>
        </w:tc>
      </w:tr>
    </w:tbl>
    <w:p w:rsidR="00D849AA" w:rsidRDefault="00D849AA">
      <w:pPr>
        <w:jc w:val="left"/>
      </w:pPr>
    </w:p>
    <w:p w:rsidR="00D849AA" w:rsidRDefault="00D849AA">
      <w:pPr>
        <w:jc w:val="left"/>
      </w:pPr>
    </w:p>
    <w:p w:rsidR="00D849AA" w:rsidRDefault="00EE6D95">
      <w:pPr>
        <w:pStyle w:val="Naslov2"/>
      </w:pPr>
      <w:r>
        <w:t>06040 Agencija za poljoprivredno zemljište</w:t>
      </w:r>
    </w:p>
    <w:p w:rsidR="00D849AA" w:rsidRDefault="00EE6D95">
      <w:pPr>
        <w:pStyle w:val="Naslov4"/>
      </w:pPr>
      <w:r>
        <w:t>Uvod</w:t>
      </w:r>
    </w:p>
    <w:p w:rsidR="00D849AA" w:rsidRDefault="00EE6D95">
      <w:pPr>
        <w:pStyle w:val="Normal3"/>
      </w:pPr>
      <w:r>
        <w:t>Agenciju za poljoprivredno zemljište kao specijaliziranu javnu ustanovu je osnovala Vlada Republike Hrvatske Uredbom o osnivanju Agencije za poljoprivredno zemljište temeljem Zakona o poljoprivrednom zemljištu. Osnovna djelatnost Agencije za poljoprivredno zemljište je  raspolaganje državnim poljoprivrednim zemljištem:davanje u zakup, zakup ribnjaka, zakup zajedničkih pašnjaka, zamjena zemljišta u cilju okrupnjavanja, prodaja državnog zemljišta u iznimnim situacijama, privremeno korištenje, davanje u zakup bez javnog poziva znanstvenim institucijama; praćenje korištenja državnog poljoprivrednog zemljišta; stjecanje poljoprivrednog zemljišta u privatnom vlasništvu; gospodarenje zemljišnim fondom;vođenje evidencije o plaćanjima i korištenju državnog poljoprivrednog zemljišta; praćenje i ocjenjivanje učinaka raznih mjera poljoprivredne politike i mjera drugih politika na tržište poljoprivrednim zemljištem, povezivanje i koordinacija rada državnih tijela, ustanova, jedinica područne (regionalne) samouprave i jedinica lokalne samouprave po pitanju mjera zemljišne politike i drugih politika koje imaju utjecaj na tržište poljoprivrednim zemljištem; sudjelovanje u postupcima uređenja poljoprivrednog zemljišta u skladu s posebnim propisima; te obavljanje i drugih poslova u skladu propisima.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06040</w:t>
            </w:r>
          </w:p>
        </w:tc>
        <w:tc>
          <w:tcPr>
            <w:tcW w:w="1486" w:type="dxa"/>
          </w:tcPr>
          <w:p w:rsidR="00D849AA" w:rsidRDefault="00EE6D95">
            <w:r>
              <w:t>17.552.121</w:t>
            </w:r>
          </w:p>
        </w:tc>
        <w:tc>
          <w:tcPr>
            <w:tcW w:w="1486" w:type="dxa"/>
          </w:tcPr>
          <w:p w:rsidR="00D849AA" w:rsidRDefault="00EE6D95">
            <w:r>
              <w:t>17.180.776</w:t>
            </w:r>
          </w:p>
        </w:tc>
        <w:tc>
          <w:tcPr>
            <w:tcW w:w="1486" w:type="dxa"/>
          </w:tcPr>
          <w:p w:rsidR="00D849AA" w:rsidRDefault="00EE6D95">
            <w:r>
              <w:t>22.113.511</w:t>
            </w:r>
          </w:p>
        </w:tc>
        <w:tc>
          <w:tcPr>
            <w:tcW w:w="1486" w:type="dxa"/>
          </w:tcPr>
          <w:p w:rsidR="00D849AA" w:rsidRDefault="00EE6D95">
            <w:r>
              <w:t>21.297.311</w:t>
            </w:r>
          </w:p>
        </w:tc>
        <w:tc>
          <w:tcPr>
            <w:tcW w:w="1486" w:type="dxa"/>
          </w:tcPr>
          <w:p w:rsidR="00D849AA" w:rsidRDefault="00EE6D95">
            <w:r>
              <w:t>97,9</w:t>
            </w:r>
          </w:p>
        </w:tc>
      </w:tr>
    </w:tbl>
    <w:p w:rsidR="00D849AA" w:rsidRDefault="00D849AA">
      <w:pPr>
        <w:jc w:val="left"/>
      </w:pPr>
    </w:p>
    <w:p w:rsidR="00D849AA" w:rsidRDefault="00EE6D95">
      <w:pPr>
        <w:pStyle w:val="Naslov4"/>
      </w:pPr>
      <w:r>
        <w:t>OBRAZLOŽENJE PROGRAMA</w:t>
      </w:r>
    </w:p>
    <w:p w:rsidR="00D849AA" w:rsidRDefault="00EE6D95">
      <w:pPr>
        <w:pStyle w:val="Naslov5"/>
      </w:pPr>
      <w:r>
        <w:t>3001 UPRAVLJANJE POLJOPRIVREDOM, RIBARSTVOM I RURALNIM RAZVOJEM</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3001</w:t>
            </w:r>
          </w:p>
        </w:tc>
        <w:tc>
          <w:tcPr>
            <w:tcW w:w="1486" w:type="dxa"/>
          </w:tcPr>
          <w:p w:rsidR="00D849AA" w:rsidRDefault="00EE6D95">
            <w:r>
              <w:t>17.552.121</w:t>
            </w:r>
          </w:p>
        </w:tc>
        <w:tc>
          <w:tcPr>
            <w:tcW w:w="1486" w:type="dxa"/>
          </w:tcPr>
          <w:p w:rsidR="00D849AA" w:rsidRDefault="00EE6D95">
            <w:r>
              <w:t>17.180.776</w:t>
            </w:r>
          </w:p>
        </w:tc>
        <w:tc>
          <w:tcPr>
            <w:tcW w:w="1486" w:type="dxa"/>
          </w:tcPr>
          <w:p w:rsidR="00D849AA" w:rsidRDefault="00EE6D95">
            <w:r>
              <w:t>22.113.511</w:t>
            </w:r>
          </w:p>
        </w:tc>
        <w:tc>
          <w:tcPr>
            <w:tcW w:w="1486" w:type="dxa"/>
          </w:tcPr>
          <w:p w:rsidR="00D849AA" w:rsidRDefault="00EE6D95">
            <w:r>
              <w:t>21.297.311</w:t>
            </w:r>
          </w:p>
        </w:tc>
        <w:tc>
          <w:tcPr>
            <w:tcW w:w="1486" w:type="dxa"/>
          </w:tcPr>
          <w:p w:rsidR="00D849AA" w:rsidRDefault="00EE6D95">
            <w:r>
              <w:t>97,9</w:t>
            </w:r>
          </w:p>
        </w:tc>
      </w:tr>
    </w:tbl>
    <w:p w:rsidR="00D849AA" w:rsidRDefault="00D849AA">
      <w:pPr>
        <w:jc w:val="left"/>
      </w:pPr>
    </w:p>
    <w:p w:rsidR="00D849AA" w:rsidRDefault="00EE6D95">
      <w:pPr>
        <w:pStyle w:val="Naslov6"/>
      </w:pPr>
      <w:r>
        <w:lastRenderedPageBreak/>
        <w:t>Opis programa</w:t>
      </w:r>
    </w:p>
    <w:p w:rsidR="00D849AA" w:rsidRDefault="00EE6D95">
      <w:pPr>
        <w:pStyle w:val="Normal5"/>
      </w:pPr>
      <w:r>
        <w:t>Ovim programom su obuhvaćene aktivnosti u sklopu kojih će se u financirati redovan rad Agencije za poljoprivredno zemljište, te kupnja poljoprivrednog zemljišta u svrhu okrupnjavanja istog.</w:t>
      </w:r>
    </w:p>
    <w:p w:rsidR="00D849AA" w:rsidRDefault="00EE6D95">
      <w:pPr>
        <w:pStyle w:val="Naslov6"/>
      </w:pPr>
      <w:r>
        <w:t>Zakonske i druge pravne osnove</w:t>
      </w:r>
    </w:p>
    <w:p w:rsidR="00D849AA" w:rsidRDefault="00EE6D95">
      <w:pPr>
        <w:pStyle w:val="Normal5"/>
      </w:pPr>
      <w:r>
        <w:t>Zakon o poljoprivrednom zemljištu ( Narodne novine br.39/2013)</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Cilj 1. Povećanje površina poljoprivrednog zemljišta u vlasništvu Republike Hrvatske koja će se staviti u funkciju poljoprivredne proizvodnje</w:t>
      </w:r>
    </w:p>
    <w:p w:rsidR="00D849AA" w:rsidRDefault="00EE6D95">
      <w:pPr>
        <w:pStyle w:val="Normal6"/>
      </w:pPr>
      <w:r>
        <w:t>Zakon o poljoprivrednom zemljištu određuje da se poljoprivredno zemljište u vlasništvu RH daje u dugogodišnji zakup za poljoprivrednu proizvodnju i dugogodišnji zakup za ribnjake. Iznimno se manje čestice zemljišta mogu prodati, ako je to potrebno radi okrupnjavanja proizvodnih cjelina, zamijeniti za privatno poljoprivredno zemljište, dati u zakup znanstvenim i drugim institucijama čiji je osnivač RH, dati zemljište na privremeno korištenje. Uz raspolaganje ukupnim poljoprivrednim zemljištem u smislu davanja u dugogodišnji zakup i zakup ribnjaka, Agencija za poljoprivredno zemljište preuzima i evidencije naplate naknada za različite oblike korištenja državnog poljoprivrednog zemljišta.</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rsidP="00337A23">
            <w:pPr>
              <w:pStyle w:val="CellColumn"/>
            </w:pPr>
            <w:r>
              <w:t>Povećanje zemljišta u vlasništvu države kojim je raspolagano</w:t>
            </w:r>
          </w:p>
        </w:tc>
        <w:tc>
          <w:tcPr>
            <w:tcW w:w="1114" w:type="dxa"/>
          </w:tcPr>
          <w:p w:rsidR="00D849AA" w:rsidRDefault="00EE6D95">
            <w:r>
              <w:t>ha</w:t>
            </w:r>
          </w:p>
        </w:tc>
        <w:tc>
          <w:tcPr>
            <w:tcW w:w="1114" w:type="dxa"/>
          </w:tcPr>
          <w:p w:rsidR="00D849AA" w:rsidRDefault="00EE6D95">
            <w:r>
              <w:t>275.000</w:t>
            </w:r>
          </w:p>
        </w:tc>
        <w:tc>
          <w:tcPr>
            <w:tcW w:w="1486" w:type="dxa"/>
          </w:tcPr>
          <w:p w:rsidR="00D849AA" w:rsidRDefault="00EE6D95">
            <w:r>
              <w:t>550.000</w:t>
            </w:r>
          </w:p>
        </w:tc>
        <w:tc>
          <w:tcPr>
            <w:tcW w:w="1486" w:type="dxa"/>
          </w:tcPr>
          <w:p w:rsidR="00D849AA" w:rsidRDefault="00EE6D95">
            <w:r>
              <w:t>600.000</w:t>
            </w:r>
          </w:p>
        </w:tc>
        <w:tc>
          <w:tcPr>
            <w:tcW w:w="1486" w:type="dxa"/>
          </w:tcPr>
          <w:p w:rsidR="00D849AA" w:rsidRDefault="00EE6D95">
            <w:r>
              <w:t>700.000</w:t>
            </w:r>
          </w:p>
        </w:tc>
      </w:tr>
    </w:tbl>
    <w:p w:rsidR="00D849AA" w:rsidRDefault="00D849AA">
      <w:pPr>
        <w:jc w:val="left"/>
      </w:pPr>
    </w:p>
    <w:p w:rsidR="00D849AA" w:rsidRDefault="00EE6D95">
      <w:pPr>
        <w:pStyle w:val="Naslov7"/>
      </w:pPr>
      <w:r>
        <w:t xml:space="preserve">Cilj 2. Uspostava središnje evidencije o državnom poljoprivrednom zemljištu </w:t>
      </w:r>
    </w:p>
    <w:p w:rsidR="00D849AA" w:rsidRDefault="00EE6D95">
      <w:pPr>
        <w:pStyle w:val="Normal6"/>
      </w:pPr>
      <w:r>
        <w:t>Kroz uspostavu Informacijskog sustava omogućiti će se stvaranje središnje evidencije državnog poiljoprivrednog zemljišta, koju su do sada vodile jedinice lokalne samouprave. Na taj način pratiti će se i plaćanja za zakup i koncesiju državnog poljoprivrednog zemljišta.</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Uspostava informacijskog sustava</w:t>
            </w:r>
          </w:p>
        </w:tc>
        <w:tc>
          <w:tcPr>
            <w:tcW w:w="1114" w:type="dxa"/>
          </w:tcPr>
          <w:p w:rsidR="00D849AA" w:rsidRDefault="00EE6D95">
            <w:r>
              <w:t>%</w:t>
            </w:r>
          </w:p>
        </w:tc>
        <w:tc>
          <w:tcPr>
            <w:tcW w:w="1114" w:type="dxa"/>
          </w:tcPr>
          <w:p w:rsidR="00D849AA" w:rsidRDefault="00EE6D95">
            <w:r>
              <w:t>0</w:t>
            </w:r>
          </w:p>
        </w:tc>
        <w:tc>
          <w:tcPr>
            <w:tcW w:w="1486" w:type="dxa"/>
          </w:tcPr>
          <w:p w:rsidR="00D849AA" w:rsidRDefault="00EE6D95">
            <w:r>
              <w:t>35</w:t>
            </w:r>
          </w:p>
        </w:tc>
        <w:tc>
          <w:tcPr>
            <w:tcW w:w="1486" w:type="dxa"/>
          </w:tcPr>
          <w:p w:rsidR="00D849AA" w:rsidRDefault="00EE6D95">
            <w:r>
              <w:t>80</w:t>
            </w:r>
          </w:p>
        </w:tc>
        <w:tc>
          <w:tcPr>
            <w:tcW w:w="1486" w:type="dxa"/>
          </w:tcPr>
          <w:p w:rsidR="00D849AA" w:rsidRDefault="00EE6D95">
            <w:r>
              <w:t>100</w:t>
            </w:r>
          </w:p>
        </w:tc>
      </w:tr>
    </w:tbl>
    <w:p w:rsidR="00D849AA" w:rsidRDefault="00D849AA">
      <w:pPr>
        <w:jc w:val="left"/>
      </w:pPr>
    </w:p>
    <w:p w:rsidR="00D849AA" w:rsidRDefault="00EE6D95">
      <w:pPr>
        <w:pStyle w:val="Naslov5"/>
      </w:pPr>
      <w:r>
        <w:lastRenderedPageBreak/>
        <w:t>Procjena i ishodište potrebnih sredstava za značajnije aktivnosti/projekte</w:t>
      </w:r>
    </w:p>
    <w:p w:rsidR="00D849AA" w:rsidRDefault="00EE6D95">
      <w:pPr>
        <w:pStyle w:val="Naslov6"/>
      </w:pPr>
      <w:r>
        <w:t>A850001 ADMINISTRACIJA I UPRAVLJANJE AGENCIJE ZA POLJOPRIVREDNO ZEMLJIŠTE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A850001</w:t>
            </w:r>
          </w:p>
        </w:tc>
        <w:tc>
          <w:tcPr>
            <w:tcW w:w="1486" w:type="dxa"/>
          </w:tcPr>
          <w:p w:rsidR="00D849AA" w:rsidRDefault="00EE6D95">
            <w:r>
              <w:t>17.552.121</w:t>
            </w:r>
          </w:p>
        </w:tc>
        <w:tc>
          <w:tcPr>
            <w:tcW w:w="1486" w:type="dxa"/>
          </w:tcPr>
          <w:p w:rsidR="00D849AA" w:rsidRDefault="00EE6D95">
            <w:r>
              <w:t>14.831.076</w:t>
            </w:r>
          </w:p>
        </w:tc>
        <w:tc>
          <w:tcPr>
            <w:tcW w:w="1486" w:type="dxa"/>
          </w:tcPr>
          <w:p w:rsidR="00D849AA" w:rsidRDefault="00EE6D95">
            <w:r>
              <w:t>21.982.311</w:t>
            </w:r>
          </w:p>
        </w:tc>
        <w:tc>
          <w:tcPr>
            <w:tcW w:w="1486" w:type="dxa"/>
          </w:tcPr>
          <w:p w:rsidR="00D849AA" w:rsidRDefault="00EE6D95">
            <w:r>
              <w:t>21.297.311</w:t>
            </w:r>
          </w:p>
        </w:tc>
        <w:tc>
          <w:tcPr>
            <w:tcW w:w="1486" w:type="dxa"/>
          </w:tcPr>
          <w:p w:rsidR="00D849AA" w:rsidRDefault="00EE6D95">
            <w:r>
              <w:t>84,5</w:t>
            </w:r>
          </w:p>
        </w:tc>
      </w:tr>
    </w:tbl>
    <w:p w:rsidR="00D849AA" w:rsidRDefault="00D849AA">
      <w:pPr>
        <w:jc w:val="left"/>
      </w:pPr>
    </w:p>
    <w:p w:rsidR="00D849AA" w:rsidRDefault="00EE6D95">
      <w:pPr>
        <w:pStyle w:val="Normal6"/>
      </w:pPr>
      <w:r>
        <w:t>Za redovito poslovanje i obavljanje svih djelatnosti u Agenciji kroz navedenu aktivnosti financirat će se troškovi ukupnih rashoda za zaposlene, korištenja usluga i dobara, nabave neproizvedene imovine i nabave proizvedene dugotrajne imovine.</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466"/>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Povećanje poljoprivredne proizvodnje</w:t>
            </w:r>
          </w:p>
        </w:tc>
        <w:tc>
          <w:tcPr>
            <w:tcW w:w="1114" w:type="dxa"/>
          </w:tcPr>
          <w:p w:rsidR="00D849AA" w:rsidRDefault="00EE6D95">
            <w:r>
              <w:t>kn</w:t>
            </w:r>
          </w:p>
        </w:tc>
        <w:tc>
          <w:tcPr>
            <w:tcW w:w="1114" w:type="dxa"/>
          </w:tcPr>
          <w:p w:rsidR="00D849AA" w:rsidRDefault="00EE6D95">
            <w:r>
              <w:t>21.285.000.000</w:t>
            </w:r>
          </w:p>
        </w:tc>
        <w:tc>
          <w:tcPr>
            <w:tcW w:w="1486" w:type="dxa"/>
          </w:tcPr>
          <w:p w:rsidR="00D849AA" w:rsidRDefault="00EE6D95">
            <w:r>
              <w:t>22.035.000.000</w:t>
            </w:r>
          </w:p>
        </w:tc>
        <w:tc>
          <w:tcPr>
            <w:tcW w:w="1486" w:type="dxa"/>
          </w:tcPr>
          <w:p w:rsidR="00D849AA" w:rsidRDefault="00EE6D95">
            <w:r>
              <w:t>22.085.000.000</w:t>
            </w:r>
          </w:p>
        </w:tc>
        <w:tc>
          <w:tcPr>
            <w:tcW w:w="1486" w:type="dxa"/>
          </w:tcPr>
          <w:p w:rsidR="00D849AA" w:rsidRDefault="00EE6D95">
            <w:r>
              <w:t>22.835.000.000</w:t>
            </w:r>
          </w:p>
        </w:tc>
      </w:tr>
    </w:tbl>
    <w:p w:rsidR="00D849AA" w:rsidRDefault="00D849AA">
      <w:pPr>
        <w:jc w:val="left"/>
      </w:pPr>
    </w:p>
    <w:p w:rsidR="00D849AA" w:rsidRDefault="00EE6D95">
      <w:pPr>
        <w:pStyle w:val="Naslov6"/>
      </w:pPr>
      <w:r>
        <w:t>T842017 IPA PREKOGRANIČNI PROGRAM HRVATSKA SRBIJA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T842017</w:t>
            </w:r>
          </w:p>
        </w:tc>
        <w:tc>
          <w:tcPr>
            <w:tcW w:w="1486" w:type="dxa"/>
          </w:tcPr>
          <w:p w:rsidR="00D849AA" w:rsidRDefault="00EE6D95">
            <w:r>
              <w:t>00</w:t>
            </w:r>
          </w:p>
        </w:tc>
        <w:tc>
          <w:tcPr>
            <w:tcW w:w="1486" w:type="dxa"/>
          </w:tcPr>
          <w:p w:rsidR="00D849AA" w:rsidRDefault="00EE6D95">
            <w:r>
              <w:t>623.600</w:t>
            </w:r>
          </w:p>
        </w:tc>
        <w:tc>
          <w:tcPr>
            <w:tcW w:w="1486" w:type="dxa"/>
          </w:tcPr>
          <w:p w:rsidR="00D849AA" w:rsidRDefault="00EE6D95">
            <w:r>
              <w:t>00</w:t>
            </w:r>
          </w:p>
        </w:tc>
        <w:tc>
          <w:tcPr>
            <w:tcW w:w="1486" w:type="dxa"/>
          </w:tcPr>
          <w:p w:rsidR="00D849AA" w:rsidRDefault="00EE6D95">
            <w:r>
              <w:t>00</w:t>
            </w:r>
          </w:p>
        </w:tc>
        <w:tc>
          <w:tcPr>
            <w:tcW w:w="1486" w:type="dxa"/>
          </w:tcPr>
          <w:p w:rsidR="00D849AA" w:rsidRDefault="00EE6D95">
            <w:r>
              <w:t>0,0</w:t>
            </w:r>
          </w:p>
        </w:tc>
      </w:tr>
    </w:tbl>
    <w:p w:rsidR="00D849AA" w:rsidRDefault="00D849AA">
      <w:pPr>
        <w:jc w:val="left"/>
      </w:pPr>
    </w:p>
    <w:p w:rsidR="00D849AA" w:rsidRDefault="00EE6D95">
      <w:pPr>
        <w:pStyle w:val="Normal6"/>
      </w:pPr>
      <w:r>
        <w:t xml:space="preserve">Zavod za tlo i očuvanje zemljišta u suradnji s Institutom za ratarstvo i povrtarstvo –laboratorijem za zemljište i agroekologiju iz Novog Sada provodi projekt Crossborder programme Croatia-Serbia under the Instrument for Pre-Accession Assistance (IPA), Component II, allocations for 2008, 2009, 2010 and 2011, uropeAid/131909/M/ACT/IPA. Projekt pod naslovom “Agriculture in cooperation with nature – CHAIN” provodi se kroz mjeru 1.2. zaštita okoliša u trajanju od 24. mjeseca. Opći cilj: Doprinijeti razvoju zaštite okoliša upravljanjem rizicima onečišćenja iz poljoprivredne proizvodnje u pograničnom području Podunavlja. </w:t>
      </w:r>
    </w:p>
    <w:p w:rsidR="00D849AA" w:rsidRDefault="00EE6D95">
      <w:pPr>
        <w:pStyle w:val="Normal6"/>
      </w:pPr>
      <w:r>
        <w:t xml:space="preserve">Specifični cilj: Unaprijediti kontrolu onečišćenja tla i podzemne vode na poljoprivrednim površinama u pograničnom području Podunavlju. Projekt obuhvaća uspostavljanje zajedničkog monitoringa kvalitete poljoprivrednog zemljišta i podzemne vode u cilju doprinosa upravljanju rizicima onečišćenja iz poljoprivrede. Preduvjet za upravljanje rizicima onečišćenja iz poljoprivrede je njihova kvantifikacija. Instrument za kvantifikaciju onečišćenja je monitorig, </w:t>
      </w:r>
    </w:p>
    <w:p w:rsidR="00D849AA" w:rsidRDefault="00EE6D95">
      <w:pPr>
        <w:pStyle w:val="Normal6"/>
      </w:pPr>
      <w:r>
        <w:t>odnosno trajno praćenje fizikalnih i kemijskih svojstava tla i podzemne vode na poljoprivrednim površinama. Uz uspostavu monitoringa, značajnu ulogu u upravljanju rizicima, spriječavanju i smanjenju onečišćenja ima podizanje svijesti, u prvom redu, poljoprivrednih proizvođača kroz radionice i seminare o poljoprivrednoj proizvodnji po načelima dobre poljoprivredne i okolišne prakse.</w:t>
      </w:r>
    </w:p>
    <w:p w:rsidR="00D849AA" w:rsidRDefault="00EE6D95">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 xml:space="preserve">Broj zasnovanih </w:t>
            </w:r>
          </w:p>
          <w:p w:rsidR="00D849AA" w:rsidRDefault="00EE6D95">
            <w:pPr>
              <w:pStyle w:val="CellColumn"/>
            </w:pPr>
            <w:r>
              <w:t xml:space="preserve">kontrolnih lokacija za </w:t>
            </w:r>
          </w:p>
          <w:p w:rsidR="00D849AA" w:rsidRDefault="00EE6D95">
            <w:pPr>
              <w:pStyle w:val="CellColumn"/>
            </w:pPr>
            <w:r>
              <w:t xml:space="preserve">monitoring </w:t>
            </w:r>
          </w:p>
          <w:p w:rsidR="00D849AA" w:rsidRDefault="00EE6D95">
            <w:pPr>
              <w:pStyle w:val="CellColumn"/>
            </w:pPr>
            <w:r>
              <w:t>onečišćenja tla</w:t>
            </w:r>
          </w:p>
        </w:tc>
        <w:tc>
          <w:tcPr>
            <w:tcW w:w="1114" w:type="dxa"/>
          </w:tcPr>
          <w:p w:rsidR="00D849AA" w:rsidRDefault="00EE6D95">
            <w:r>
              <w:t>broj</w:t>
            </w:r>
          </w:p>
        </w:tc>
        <w:tc>
          <w:tcPr>
            <w:tcW w:w="1114" w:type="dxa"/>
          </w:tcPr>
          <w:p w:rsidR="00D849AA" w:rsidRDefault="00EE6D95">
            <w:r>
              <w:t>3</w:t>
            </w:r>
          </w:p>
        </w:tc>
        <w:tc>
          <w:tcPr>
            <w:tcW w:w="1486" w:type="dxa"/>
          </w:tcPr>
          <w:p w:rsidR="00D849AA" w:rsidRDefault="00EE6D95">
            <w:r>
              <w:t>5</w:t>
            </w:r>
          </w:p>
        </w:tc>
        <w:tc>
          <w:tcPr>
            <w:tcW w:w="1486" w:type="dxa"/>
          </w:tcPr>
          <w:p w:rsidR="00D849AA" w:rsidRDefault="00EE6D95">
            <w:r>
              <w:t>0</w:t>
            </w:r>
          </w:p>
        </w:tc>
        <w:tc>
          <w:tcPr>
            <w:tcW w:w="1486" w:type="dxa"/>
          </w:tcPr>
          <w:p w:rsidR="00D849AA" w:rsidRDefault="00EE6D95">
            <w:r>
              <w:t>0</w:t>
            </w:r>
          </w:p>
        </w:tc>
      </w:tr>
      <w:tr w:rsidR="00D849AA">
        <w:trPr>
          <w:jc w:val="center"/>
        </w:trPr>
        <w:tc>
          <w:tcPr>
            <w:tcW w:w="2229" w:type="dxa"/>
          </w:tcPr>
          <w:p w:rsidR="00D849AA" w:rsidRDefault="00EE6D95">
            <w:pPr>
              <w:pStyle w:val="CellColumn"/>
            </w:pPr>
            <w:r>
              <w:t xml:space="preserve">Broj sastanaka </w:t>
            </w:r>
          </w:p>
          <w:p w:rsidR="00D849AA" w:rsidRDefault="00EE6D95">
            <w:pPr>
              <w:pStyle w:val="CellColumn"/>
            </w:pPr>
            <w:r>
              <w:t xml:space="preserve">prekograničnog </w:t>
            </w:r>
          </w:p>
          <w:p w:rsidR="00D849AA" w:rsidRDefault="00EE6D95">
            <w:pPr>
              <w:pStyle w:val="CellColumn"/>
            </w:pPr>
            <w:r>
              <w:t>projektnog tima</w:t>
            </w:r>
          </w:p>
        </w:tc>
        <w:tc>
          <w:tcPr>
            <w:tcW w:w="1114" w:type="dxa"/>
          </w:tcPr>
          <w:p w:rsidR="00D849AA" w:rsidRDefault="00EE6D95">
            <w:r>
              <w:t>broj</w:t>
            </w:r>
          </w:p>
        </w:tc>
        <w:tc>
          <w:tcPr>
            <w:tcW w:w="1114" w:type="dxa"/>
          </w:tcPr>
          <w:p w:rsidR="00D849AA" w:rsidRDefault="00EE6D95">
            <w:r>
              <w:t>6</w:t>
            </w:r>
          </w:p>
        </w:tc>
        <w:tc>
          <w:tcPr>
            <w:tcW w:w="1486" w:type="dxa"/>
          </w:tcPr>
          <w:p w:rsidR="00D849AA" w:rsidRDefault="00EE6D95">
            <w:r>
              <w:t>24</w:t>
            </w:r>
          </w:p>
        </w:tc>
        <w:tc>
          <w:tcPr>
            <w:tcW w:w="1486" w:type="dxa"/>
          </w:tcPr>
          <w:p w:rsidR="00D849AA" w:rsidRDefault="00EE6D95">
            <w:r>
              <w:t>0</w:t>
            </w:r>
          </w:p>
        </w:tc>
        <w:tc>
          <w:tcPr>
            <w:tcW w:w="1486" w:type="dxa"/>
          </w:tcPr>
          <w:p w:rsidR="00D849AA" w:rsidRDefault="00EE6D95">
            <w:r>
              <w:t>0</w:t>
            </w:r>
          </w:p>
        </w:tc>
      </w:tr>
      <w:tr w:rsidR="00D849AA">
        <w:trPr>
          <w:jc w:val="center"/>
        </w:trPr>
        <w:tc>
          <w:tcPr>
            <w:tcW w:w="2229" w:type="dxa"/>
          </w:tcPr>
          <w:p w:rsidR="00D849AA" w:rsidRDefault="00EE6D95">
            <w:pPr>
              <w:pStyle w:val="CellColumn"/>
            </w:pPr>
            <w:r>
              <w:t xml:space="preserve">Broj analiziranih </w:t>
            </w:r>
          </w:p>
          <w:p w:rsidR="00D849AA" w:rsidRDefault="00EE6D95">
            <w:pPr>
              <w:pStyle w:val="CellColumn"/>
            </w:pPr>
            <w:r>
              <w:t>uzoraka tla</w:t>
            </w:r>
          </w:p>
        </w:tc>
        <w:tc>
          <w:tcPr>
            <w:tcW w:w="1114" w:type="dxa"/>
          </w:tcPr>
          <w:p w:rsidR="00D849AA" w:rsidRDefault="00EE6D95">
            <w:r>
              <w:t>broj</w:t>
            </w:r>
          </w:p>
        </w:tc>
        <w:tc>
          <w:tcPr>
            <w:tcW w:w="1114" w:type="dxa"/>
          </w:tcPr>
          <w:p w:rsidR="00D849AA" w:rsidRDefault="00EE6D95">
            <w:r>
              <w:t>57</w:t>
            </w:r>
          </w:p>
        </w:tc>
        <w:tc>
          <w:tcPr>
            <w:tcW w:w="1486" w:type="dxa"/>
          </w:tcPr>
          <w:p w:rsidR="00D849AA" w:rsidRDefault="00EE6D95">
            <w:r>
              <w:t>100</w:t>
            </w:r>
          </w:p>
        </w:tc>
        <w:tc>
          <w:tcPr>
            <w:tcW w:w="1486" w:type="dxa"/>
          </w:tcPr>
          <w:p w:rsidR="00D849AA" w:rsidRDefault="00EE6D95">
            <w:r>
              <w:t>0</w:t>
            </w:r>
          </w:p>
        </w:tc>
        <w:tc>
          <w:tcPr>
            <w:tcW w:w="1486" w:type="dxa"/>
          </w:tcPr>
          <w:p w:rsidR="00D849AA" w:rsidRDefault="00EE6D95">
            <w:r>
              <w:t>0</w:t>
            </w:r>
          </w:p>
        </w:tc>
      </w:tr>
      <w:tr w:rsidR="00D849AA">
        <w:trPr>
          <w:jc w:val="center"/>
        </w:trPr>
        <w:tc>
          <w:tcPr>
            <w:tcW w:w="2229" w:type="dxa"/>
          </w:tcPr>
          <w:p w:rsidR="00D849AA" w:rsidRDefault="00EE6D95">
            <w:pPr>
              <w:pStyle w:val="CellColumn"/>
            </w:pPr>
            <w:r>
              <w:t xml:space="preserve">Broj postavljenih </w:t>
            </w:r>
          </w:p>
          <w:p w:rsidR="00D849AA" w:rsidRDefault="00EE6D95">
            <w:pPr>
              <w:pStyle w:val="CellColumn"/>
            </w:pPr>
            <w:r>
              <w:t xml:space="preserve">pijezometara za </w:t>
            </w:r>
          </w:p>
          <w:p w:rsidR="00D849AA" w:rsidRDefault="00EE6D95">
            <w:pPr>
              <w:pStyle w:val="CellColumn"/>
            </w:pPr>
            <w:r>
              <w:t xml:space="preserve">praćenje kvalitete </w:t>
            </w:r>
          </w:p>
          <w:p w:rsidR="00D849AA" w:rsidRDefault="00EE6D95">
            <w:pPr>
              <w:pStyle w:val="CellColumn"/>
            </w:pPr>
            <w:r>
              <w:t>podzemne vode</w:t>
            </w:r>
          </w:p>
        </w:tc>
        <w:tc>
          <w:tcPr>
            <w:tcW w:w="1114" w:type="dxa"/>
          </w:tcPr>
          <w:p w:rsidR="00D849AA" w:rsidRDefault="00EE6D95">
            <w:r>
              <w:t>broj</w:t>
            </w:r>
          </w:p>
        </w:tc>
        <w:tc>
          <w:tcPr>
            <w:tcW w:w="1114" w:type="dxa"/>
          </w:tcPr>
          <w:p w:rsidR="00D849AA" w:rsidRDefault="00EE6D95">
            <w:r>
              <w:t>6</w:t>
            </w:r>
          </w:p>
        </w:tc>
        <w:tc>
          <w:tcPr>
            <w:tcW w:w="1486" w:type="dxa"/>
          </w:tcPr>
          <w:p w:rsidR="00D849AA" w:rsidRDefault="00EE6D95">
            <w:r>
              <w:t>10</w:t>
            </w:r>
          </w:p>
        </w:tc>
        <w:tc>
          <w:tcPr>
            <w:tcW w:w="1486" w:type="dxa"/>
          </w:tcPr>
          <w:p w:rsidR="00D849AA" w:rsidRDefault="00EE6D95">
            <w:r>
              <w:t>0</w:t>
            </w:r>
          </w:p>
        </w:tc>
        <w:tc>
          <w:tcPr>
            <w:tcW w:w="1486" w:type="dxa"/>
          </w:tcPr>
          <w:p w:rsidR="00D849AA" w:rsidRDefault="00EE6D95">
            <w:r>
              <w:t>0</w:t>
            </w:r>
          </w:p>
        </w:tc>
      </w:tr>
      <w:tr w:rsidR="00D849AA">
        <w:trPr>
          <w:jc w:val="center"/>
        </w:trPr>
        <w:tc>
          <w:tcPr>
            <w:tcW w:w="2229" w:type="dxa"/>
          </w:tcPr>
          <w:p w:rsidR="00D849AA" w:rsidRDefault="00EE6D95">
            <w:pPr>
              <w:pStyle w:val="CellColumn"/>
            </w:pPr>
            <w:r>
              <w:t xml:space="preserve">Broj analiziranih </w:t>
            </w:r>
          </w:p>
          <w:p w:rsidR="00D849AA" w:rsidRDefault="00EE6D95">
            <w:pPr>
              <w:pStyle w:val="CellColumn"/>
            </w:pPr>
            <w:r>
              <w:t xml:space="preserve">uzoraka podzemne </w:t>
            </w:r>
          </w:p>
          <w:p w:rsidR="00D849AA" w:rsidRDefault="00EE6D95">
            <w:pPr>
              <w:pStyle w:val="CellColumn"/>
            </w:pPr>
            <w:r>
              <w:t>vode</w:t>
            </w:r>
          </w:p>
        </w:tc>
        <w:tc>
          <w:tcPr>
            <w:tcW w:w="1114" w:type="dxa"/>
          </w:tcPr>
          <w:p w:rsidR="00D849AA" w:rsidRDefault="00EE6D95">
            <w:r>
              <w:t>broj</w:t>
            </w:r>
          </w:p>
        </w:tc>
        <w:tc>
          <w:tcPr>
            <w:tcW w:w="1114" w:type="dxa"/>
          </w:tcPr>
          <w:p w:rsidR="00D849AA" w:rsidRDefault="00EE6D95">
            <w:r>
              <w:t>0</w:t>
            </w:r>
          </w:p>
        </w:tc>
        <w:tc>
          <w:tcPr>
            <w:tcW w:w="1486" w:type="dxa"/>
          </w:tcPr>
          <w:p w:rsidR="00D849AA" w:rsidRDefault="00EE6D95">
            <w:r>
              <w:t>40</w:t>
            </w:r>
          </w:p>
        </w:tc>
        <w:tc>
          <w:tcPr>
            <w:tcW w:w="1486" w:type="dxa"/>
          </w:tcPr>
          <w:p w:rsidR="00D849AA" w:rsidRDefault="00EE6D95">
            <w:r>
              <w:t>0</w:t>
            </w:r>
          </w:p>
        </w:tc>
        <w:tc>
          <w:tcPr>
            <w:tcW w:w="1486" w:type="dxa"/>
          </w:tcPr>
          <w:p w:rsidR="00D849AA" w:rsidRDefault="00EE6D95">
            <w:r>
              <w:t>0</w:t>
            </w:r>
          </w:p>
        </w:tc>
      </w:tr>
    </w:tbl>
    <w:p w:rsidR="00D849AA" w:rsidRDefault="00D849AA">
      <w:pPr>
        <w:jc w:val="left"/>
      </w:pPr>
    </w:p>
    <w:p w:rsidR="00D849AA" w:rsidRDefault="00EE6D95">
      <w:pPr>
        <w:pStyle w:val="Naslov2"/>
      </w:pPr>
      <w:r>
        <w:t>06045 Hrvatska poljoprivredna agencija</w:t>
      </w:r>
    </w:p>
    <w:p w:rsidR="00D849AA" w:rsidRDefault="00EE6D95">
      <w:pPr>
        <w:pStyle w:val="Naslov4"/>
      </w:pPr>
      <w:r>
        <w:t>Uvod</w:t>
      </w:r>
    </w:p>
    <w:p w:rsidR="00D849AA" w:rsidRDefault="00EE6D95">
      <w:pPr>
        <w:pStyle w:val="Normal3"/>
      </w:pPr>
      <w:r>
        <w:t xml:space="preserve">Hrvatska poljoprivredna agencija, Ustanova za poslove u poljoprivredi, osnovana je Uredbom Vlade Republike Hrvatske (Narodne novine br. 63/94, 93/96, 11/97, 48/00, 08/01, 78/03, 28/09, 106/12). HPA je pravni  slijednik Hrvatskog stočarskog centra kojeg je osnovala Vlada Republike Hrvatske 1994. godine, kao specijaliziranu ustanovu za obavljanje poslova u stočarstvu i poljoprivredi. </w:t>
      </w:r>
    </w:p>
    <w:p w:rsidR="00D849AA" w:rsidRDefault="00EE6D95">
      <w:pPr>
        <w:pStyle w:val="Normal3"/>
      </w:pPr>
      <w:r>
        <w:t xml:space="preserve">Iz djelatnosti HPA nabrojanih u Uredbi Vlade RH o HPA vidljivo je da je HPA trenutačno ustrojena kao glavna institucija zadužena za  razvoj stočarske proizvodnje unutar poljoprivrednog sektora RH. </w:t>
      </w:r>
    </w:p>
    <w:p w:rsidR="00D849AA" w:rsidRDefault="00EE6D95">
      <w:pPr>
        <w:pStyle w:val="Normal3"/>
      </w:pPr>
      <w:r>
        <w:t xml:space="preserve">HPA je korisnički usmjerena javna institucija u svrhu razvoja i unapređenja stočarstva, podizanja konkurentnosti proizvodnje i kvalitete svih segmenata života poljoprivrednih proizvođača. </w:t>
      </w:r>
    </w:p>
    <w:p w:rsidR="00D849AA" w:rsidRDefault="00EE6D95">
      <w:pPr>
        <w:pStyle w:val="Normal3"/>
      </w:pPr>
      <w:r>
        <w:t xml:space="preserve">HPA mjerama koje provodi te razvojem i implementacijom najnovijih saznanja o stočarskoj proizvodnji na farmama hrvatskih stočarskih proizvođača utječe na trajno unapređenje poljoprivrednog, odnosno stočarskog sektora. </w:t>
      </w:r>
    </w:p>
    <w:p w:rsidR="00D849AA" w:rsidRDefault="00EE6D95">
      <w:pPr>
        <w:pStyle w:val="Normal3"/>
      </w:pPr>
      <w:r>
        <w:t>Svakodnevno je servis poljoprivrednim proizvođačima u organizaciji proizvodnje.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06045</w:t>
            </w:r>
          </w:p>
        </w:tc>
        <w:tc>
          <w:tcPr>
            <w:tcW w:w="1486" w:type="dxa"/>
          </w:tcPr>
          <w:p w:rsidR="00D849AA" w:rsidRDefault="00EE6D95">
            <w:r>
              <w:t>57.897.650</w:t>
            </w:r>
          </w:p>
        </w:tc>
        <w:tc>
          <w:tcPr>
            <w:tcW w:w="1486" w:type="dxa"/>
          </w:tcPr>
          <w:p w:rsidR="00D849AA" w:rsidRDefault="00EE6D95">
            <w:r>
              <w:t>57.797.650</w:t>
            </w:r>
          </w:p>
        </w:tc>
        <w:tc>
          <w:tcPr>
            <w:tcW w:w="1486" w:type="dxa"/>
          </w:tcPr>
          <w:p w:rsidR="00D849AA" w:rsidRDefault="00EE6D95">
            <w:r>
              <w:t>60.997.650</w:t>
            </w:r>
          </w:p>
        </w:tc>
        <w:tc>
          <w:tcPr>
            <w:tcW w:w="1486" w:type="dxa"/>
          </w:tcPr>
          <w:p w:rsidR="00D849AA" w:rsidRDefault="00EE6D95">
            <w:r>
              <w:t>65.101.115</w:t>
            </w:r>
          </w:p>
        </w:tc>
        <w:tc>
          <w:tcPr>
            <w:tcW w:w="1486" w:type="dxa"/>
          </w:tcPr>
          <w:p w:rsidR="00D849AA" w:rsidRDefault="00EE6D95">
            <w:r>
              <w:t>99,8</w:t>
            </w:r>
          </w:p>
        </w:tc>
      </w:tr>
    </w:tbl>
    <w:p w:rsidR="00D849AA" w:rsidRDefault="00D849AA">
      <w:pPr>
        <w:jc w:val="left"/>
      </w:pPr>
    </w:p>
    <w:p w:rsidR="00D849AA" w:rsidRDefault="00EE6D95">
      <w:pPr>
        <w:pStyle w:val="Naslov4"/>
      </w:pPr>
      <w:r>
        <w:t>OBRAZLOŽENJE PROGRAMA</w:t>
      </w:r>
    </w:p>
    <w:p w:rsidR="00D849AA" w:rsidRDefault="00EE6D95">
      <w:pPr>
        <w:pStyle w:val="Naslov5"/>
      </w:pPr>
      <w:r>
        <w:t>3001 UPRAVLJANJE POLJOPRIVREDOM, RIBARSTVOM I RURALNIM RAZVOJEM</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3001</w:t>
            </w:r>
          </w:p>
        </w:tc>
        <w:tc>
          <w:tcPr>
            <w:tcW w:w="1486" w:type="dxa"/>
          </w:tcPr>
          <w:p w:rsidR="00D849AA" w:rsidRDefault="00EE6D95">
            <w:r>
              <w:t>57.897.650</w:t>
            </w:r>
          </w:p>
        </w:tc>
        <w:tc>
          <w:tcPr>
            <w:tcW w:w="1486" w:type="dxa"/>
          </w:tcPr>
          <w:p w:rsidR="00D849AA" w:rsidRDefault="00EE6D95">
            <w:r>
              <w:t>57.797.650</w:t>
            </w:r>
          </w:p>
        </w:tc>
        <w:tc>
          <w:tcPr>
            <w:tcW w:w="1486" w:type="dxa"/>
          </w:tcPr>
          <w:p w:rsidR="00D849AA" w:rsidRDefault="00EE6D95">
            <w:r>
              <w:t>60.997.650</w:t>
            </w:r>
          </w:p>
        </w:tc>
        <w:tc>
          <w:tcPr>
            <w:tcW w:w="1486" w:type="dxa"/>
          </w:tcPr>
          <w:p w:rsidR="00D849AA" w:rsidRDefault="00EE6D95">
            <w:r>
              <w:t>65.101.115</w:t>
            </w:r>
          </w:p>
        </w:tc>
        <w:tc>
          <w:tcPr>
            <w:tcW w:w="1486" w:type="dxa"/>
          </w:tcPr>
          <w:p w:rsidR="00D849AA" w:rsidRDefault="00EE6D95">
            <w:r>
              <w:t>99,8</w:t>
            </w:r>
          </w:p>
        </w:tc>
      </w:tr>
    </w:tbl>
    <w:p w:rsidR="00D849AA" w:rsidRDefault="00D849AA">
      <w:pPr>
        <w:jc w:val="left"/>
      </w:pPr>
    </w:p>
    <w:p w:rsidR="00D849AA" w:rsidRDefault="00EE6D95">
      <w:pPr>
        <w:pStyle w:val="Naslov6"/>
      </w:pPr>
      <w:r>
        <w:t>Opis programa</w:t>
      </w:r>
    </w:p>
    <w:p w:rsidR="00D849AA" w:rsidRDefault="00EE6D95">
      <w:pPr>
        <w:pStyle w:val="Normal5"/>
      </w:pPr>
      <w:r>
        <w:t xml:space="preserve">Aktivnosti po ovom programu usmjerene su na jačanje i razvoj stočarske proizvodnje u RH. Cilj je da stočarska proizvodnja u RH dosegne razinu razvoja ostalih članica EU kako bi imali jednake mogućnosti na europskom tržištu stočarskih proizvoda, mesa i mlijeka. Isto tako u narednom razdoblju zadržati će se jedna od glavnih uloga u provedbi uzgojnih programa za uzgoj svih pasmina domaćih životinja koje imaju uzgojnu i gospodarsku namjenu. </w:t>
      </w:r>
    </w:p>
    <w:p w:rsidR="00D849AA" w:rsidRDefault="00EE6D95">
      <w:pPr>
        <w:pStyle w:val="Normal5"/>
      </w:pPr>
      <w:r>
        <w:t>Realizacija programa doprinijeti će ostvarenju ciljeva utvrđenih planom Agencije.</w:t>
      </w:r>
    </w:p>
    <w:p w:rsidR="00D849AA" w:rsidRDefault="00EE6D95">
      <w:pPr>
        <w:pStyle w:val="Naslov6"/>
      </w:pPr>
      <w:r>
        <w:t>Zakonske i druge pravne osnove</w:t>
      </w:r>
    </w:p>
    <w:p w:rsidR="00D849AA" w:rsidRDefault="00EE6D95">
      <w:pPr>
        <w:pStyle w:val="Normal5"/>
      </w:pPr>
      <w:r>
        <w:t>Zakon o poljoprivredi (NN br. 149/09), Zakon o stočarstvu (NN br. 70/97), Izmjene i dopune Zakona o stočarstu (NN br. 36/98; 151/03; 132,06), Zakon o veterinarstvu (NN br. 41/07), Pravilnici iz područja obveznog označavanja i registracije domaćih životinja; Pravilnik o vođenju matičnih knjiga i uzgojnih upisnika te upisu uzgojno valjanih životinja; Pravilnik o kakvoći svježeg sirovog mlijeka; Pravilnici o kakvoći trupova i polovica (goveđih, svinjskih i ovčjih), Uredba Vlade Republike Hrvatske o osnivanju HPA (Narodne novine br. 63/94, 93/96, 11/97, 48/00, 08/01, 78/03, 28/09, 106/12).</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Cilj 1. Jačanje i razvoj stočarske proizvodnje u RH</w:t>
      </w:r>
    </w:p>
    <w:p w:rsidR="00D849AA" w:rsidRDefault="00EE6D95">
      <w:pPr>
        <w:pStyle w:val="Normal6"/>
      </w:pPr>
      <w:r>
        <w:t xml:space="preserve">Jačanje i razvoj stočarske proizvodnje u RH jedan je od glavnih ciljeva djelovanja Hrvatske poljoprivredne agencije. </w:t>
      </w:r>
    </w:p>
    <w:p w:rsidR="00D849AA" w:rsidRDefault="00EE6D95">
      <w:pPr>
        <w:pStyle w:val="Normal6"/>
      </w:pPr>
      <w:r>
        <w:t>Cilj obuhvaća unapređenje proizvodnosti domaćih populacija stoke putem provedbe uzgojnih programa, razvoj stočarske proizvodnje provedbom operativnih programa razvoja. Podizanje konkurentnosti domaće proizvodnje putem marketinškog  promicanja stočarske proizvodnje te  informiranja i izobrazbe uzgajivača stoke.</w:t>
      </w:r>
    </w:p>
    <w:p w:rsidR="00337A23" w:rsidRDefault="00337A23">
      <w:pPr>
        <w:pStyle w:val="Normal6"/>
      </w:pPr>
    </w:p>
    <w:p w:rsidR="00337A23" w:rsidRDefault="00337A23">
      <w:pPr>
        <w:pStyle w:val="Normal6"/>
      </w:pPr>
    </w:p>
    <w:p w:rsidR="00337A23" w:rsidRDefault="00337A23">
      <w:pPr>
        <w:pStyle w:val="Normal6"/>
      </w:pPr>
    </w:p>
    <w:p w:rsidR="00D849AA" w:rsidRDefault="00EE6D95">
      <w:pPr>
        <w:pStyle w:val="Naslov8"/>
        <w:jc w:val="left"/>
      </w:pPr>
      <w:r>
        <w:lastRenderedPageBreak/>
        <w:t>Pokazatelji učinka</w:t>
      </w:r>
    </w:p>
    <w:tbl>
      <w:tblPr>
        <w:tblStyle w:val="Reetkatablice"/>
        <w:tblW w:w="0" w:type="auto"/>
        <w:jc w:val="center"/>
        <w:tblLook w:val="04A0" w:firstRow="1" w:lastRow="0" w:firstColumn="1" w:lastColumn="0" w:noHBand="0" w:noVBand="1"/>
      </w:tblPr>
      <w:tblGrid>
        <w:gridCol w:w="2229"/>
        <w:gridCol w:w="1205"/>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Povećanje broja grla obuhvaćenih kontrolom proizvodnih osobina</w:t>
            </w:r>
          </w:p>
        </w:tc>
        <w:tc>
          <w:tcPr>
            <w:tcW w:w="1114" w:type="dxa"/>
          </w:tcPr>
          <w:p w:rsidR="00D849AA" w:rsidRDefault="00EE6D95">
            <w:r>
              <w:t>Broj grla</w:t>
            </w:r>
          </w:p>
        </w:tc>
        <w:tc>
          <w:tcPr>
            <w:tcW w:w="1114" w:type="dxa"/>
          </w:tcPr>
          <w:p w:rsidR="00D849AA" w:rsidRDefault="00EE6D95">
            <w:r>
              <w:t>182.196</w:t>
            </w:r>
          </w:p>
        </w:tc>
        <w:tc>
          <w:tcPr>
            <w:tcW w:w="1486" w:type="dxa"/>
          </w:tcPr>
          <w:p w:rsidR="00D849AA" w:rsidRDefault="00EE6D95">
            <w:r>
              <w:t>184.500</w:t>
            </w:r>
          </w:p>
        </w:tc>
        <w:tc>
          <w:tcPr>
            <w:tcW w:w="1486" w:type="dxa"/>
          </w:tcPr>
          <w:p w:rsidR="00D849AA" w:rsidRDefault="00EE6D95">
            <w:r>
              <w:t>190.000</w:t>
            </w:r>
          </w:p>
        </w:tc>
        <w:tc>
          <w:tcPr>
            <w:tcW w:w="1486" w:type="dxa"/>
          </w:tcPr>
          <w:p w:rsidR="00D849AA" w:rsidRDefault="00EE6D95">
            <w:r>
              <w:t>200.000</w:t>
            </w:r>
          </w:p>
        </w:tc>
      </w:tr>
      <w:tr w:rsidR="00D849AA">
        <w:trPr>
          <w:jc w:val="center"/>
        </w:trPr>
        <w:tc>
          <w:tcPr>
            <w:tcW w:w="2229" w:type="dxa"/>
          </w:tcPr>
          <w:p w:rsidR="00D849AA" w:rsidRDefault="00EE6D95">
            <w:pPr>
              <w:pStyle w:val="CellColumn"/>
            </w:pPr>
            <w:r>
              <w:t>Povećanje broja grla s izračunatim uzgojnim vrijednostima</w:t>
            </w:r>
          </w:p>
        </w:tc>
        <w:tc>
          <w:tcPr>
            <w:tcW w:w="1114" w:type="dxa"/>
          </w:tcPr>
          <w:p w:rsidR="00D849AA" w:rsidRDefault="00EE6D95">
            <w:r>
              <w:t>Broj grla</w:t>
            </w:r>
          </w:p>
        </w:tc>
        <w:tc>
          <w:tcPr>
            <w:tcW w:w="1114" w:type="dxa"/>
          </w:tcPr>
          <w:p w:rsidR="00D849AA" w:rsidRDefault="00EE6D95">
            <w:r>
              <w:t>339.007</w:t>
            </w:r>
          </w:p>
        </w:tc>
        <w:tc>
          <w:tcPr>
            <w:tcW w:w="1486" w:type="dxa"/>
          </w:tcPr>
          <w:p w:rsidR="00D849AA" w:rsidRDefault="00EE6D95">
            <w:r>
              <w:t>343.800</w:t>
            </w:r>
          </w:p>
        </w:tc>
        <w:tc>
          <w:tcPr>
            <w:tcW w:w="1486" w:type="dxa"/>
          </w:tcPr>
          <w:p w:rsidR="00D849AA" w:rsidRDefault="00EE6D95">
            <w:r>
              <w:t>352.000</w:t>
            </w:r>
          </w:p>
        </w:tc>
        <w:tc>
          <w:tcPr>
            <w:tcW w:w="1486" w:type="dxa"/>
          </w:tcPr>
          <w:p w:rsidR="00D849AA" w:rsidRDefault="00EE6D95">
            <w:r>
              <w:t>360.300</w:t>
            </w:r>
          </w:p>
        </w:tc>
      </w:tr>
      <w:tr w:rsidR="00D849AA">
        <w:trPr>
          <w:jc w:val="center"/>
        </w:trPr>
        <w:tc>
          <w:tcPr>
            <w:tcW w:w="2229" w:type="dxa"/>
          </w:tcPr>
          <w:p w:rsidR="00D849AA" w:rsidRDefault="00EE6D95">
            <w:pPr>
              <w:pStyle w:val="CellColumn"/>
            </w:pPr>
            <w:r>
              <w:t>Povećanje broja vrsta i pasmina domaćih životinja s genomskom uzgojnom vrijednosti</w:t>
            </w:r>
          </w:p>
        </w:tc>
        <w:tc>
          <w:tcPr>
            <w:tcW w:w="1114" w:type="dxa"/>
          </w:tcPr>
          <w:p w:rsidR="00D849AA" w:rsidRDefault="00EE6D95">
            <w:r>
              <w:t>Broj grla s izračunatom genomskom uzgojnom vrijednosti</w:t>
            </w:r>
          </w:p>
        </w:tc>
        <w:tc>
          <w:tcPr>
            <w:tcW w:w="1114" w:type="dxa"/>
          </w:tcPr>
          <w:p w:rsidR="00D849AA" w:rsidRDefault="00EE6D95">
            <w:r>
              <w:t>26</w:t>
            </w:r>
          </w:p>
        </w:tc>
        <w:tc>
          <w:tcPr>
            <w:tcW w:w="1486" w:type="dxa"/>
          </w:tcPr>
          <w:p w:rsidR="00D849AA" w:rsidRDefault="00EE6D95">
            <w:r>
              <w:t>150</w:t>
            </w:r>
          </w:p>
        </w:tc>
        <w:tc>
          <w:tcPr>
            <w:tcW w:w="1486" w:type="dxa"/>
          </w:tcPr>
          <w:p w:rsidR="00D849AA" w:rsidRDefault="00EE6D95">
            <w:r>
              <w:t>305</w:t>
            </w:r>
          </w:p>
        </w:tc>
        <w:tc>
          <w:tcPr>
            <w:tcW w:w="1486" w:type="dxa"/>
          </w:tcPr>
          <w:p w:rsidR="00D849AA" w:rsidRDefault="00EE6D95">
            <w:r>
              <w:t>460</w:t>
            </w:r>
          </w:p>
        </w:tc>
      </w:tr>
    </w:tbl>
    <w:p w:rsidR="00D849AA" w:rsidRDefault="00D849AA">
      <w:pPr>
        <w:jc w:val="left"/>
      </w:pPr>
    </w:p>
    <w:p w:rsidR="00D849AA" w:rsidRDefault="00EE6D95">
      <w:pPr>
        <w:pStyle w:val="Naslov7"/>
      </w:pPr>
      <w:r>
        <w:t>Cilj 2. Razvoj jedinstvenog registra domaćih životinja</w:t>
      </w:r>
    </w:p>
    <w:p w:rsidR="00D849AA" w:rsidRDefault="00EE6D95">
      <w:pPr>
        <w:pStyle w:val="Normal6"/>
      </w:pPr>
      <w:r>
        <w:t xml:space="preserve">Sukladno Pravilniku o provođenju obveznog označavanja i registracije goveda (NN br. 81/11), a koji je kao podzakonski akt objavljen na temelju čl. 35. Zakona o veterinarstvu (NN br. 41/07), Jedinstveni registar domaćih životinja (JRDŽ) predstavlja temeljnu bazu podataka o domaćim životinjama, gospodarstvima i posjednicima u RH, koju vodi HPA u elektronskom obliku. </w:t>
      </w:r>
    </w:p>
    <w:p w:rsidR="00D849AA" w:rsidRDefault="00EE6D95">
      <w:pPr>
        <w:pStyle w:val="Normal6"/>
      </w:pPr>
      <w:r>
        <w:t>Glavne aktivnosti koje će HPA u ovom segmentu svojih djelatnosti provoditi odnose se na unapređenje registra farmi i registra domaćih životinja, izrada i primjena novih aplikacija za sustave u stočarstvu i unapređenje potpore AGRONET-u putem JRDŽ-a.</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Potpuna funkcionalnost Registra farmi i registra pojedinih vrsta domaćih životinja</w:t>
            </w:r>
          </w:p>
        </w:tc>
        <w:tc>
          <w:tcPr>
            <w:tcW w:w="1114" w:type="dxa"/>
          </w:tcPr>
          <w:p w:rsidR="00D849AA" w:rsidRDefault="00EE6D95">
            <w:r>
              <w:t>%</w:t>
            </w:r>
          </w:p>
        </w:tc>
        <w:tc>
          <w:tcPr>
            <w:tcW w:w="1114" w:type="dxa"/>
          </w:tcPr>
          <w:p w:rsidR="00D849AA" w:rsidRDefault="00EE6D95">
            <w:r>
              <w:t>90</w:t>
            </w:r>
          </w:p>
        </w:tc>
        <w:tc>
          <w:tcPr>
            <w:tcW w:w="1486" w:type="dxa"/>
          </w:tcPr>
          <w:p w:rsidR="00D849AA" w:rsidRDefault="00EE6D95">
            <w:r>
              <w:t>100</w:t>
            </w:r>
          </w:p>
        </w:tc>
        <w:tc>
          <w:tcPr>
            <w:tcW w:w="1486" w:type="dxa"/>
          </w:tcPr>
          <w:p w:rsidR="00D849AA" w:rsidRDefault="00EE6D95">
            <w:r>
              <w:t>100</w:t>
            </w:r>
          </w:p>
        </w:tc>
        <w:tc>
          <w:tcPr>
            <w:tcW w:w="1486" w:type="dxa"/>
          </w:tcPr>
          <w:p w:rsidR="00D849AA" w:rsidRDefault="00EE6D95">
            <w:r>
              <w:t>100</w:t>
            </w:r>
          </w:p>
        </w:tc>
      </w:tr>
      <w:tr w:rsidR="00D849AA">
        <w:trPr>
          <w:jc w:val="center"/>
        </w:trPr>
        <w:tc>
          <w:tcPr>
            <w:tcW w:w="2229" w:type="dxa"/>
          </w:tcPr>
          <w:p w:rsidR="00D849AA" w:rsidRDefault="00EE6D95">
            <w:pPr>
              <w:pStyle w:val="CellColumn"/>
            </w:pPr>
            <w:r>
              <w:t>Izrada i primjena novih aplikacija za sustave u stočarstvu</w:t>
            </w:r>
          </w:p>
        </w:tc>
        <w:tc>
          <w:tcPr>
            <w:tcW w:w="1114" w:type="dxa"/>
          </w:tcPr>
          <w:p w:rsidR="00D849AA" w:rsidRDefault="00EE6D95">
            <w:r>
              <w:t>%</w:t>
            </w:r>
          </w:p>
        </w:tc>
        <w:tc>
          <w:tcPr>
            <w:tcW w:w="1114" w:type="dxa"/>
          </w:tcPr>
          <w:p w:rsidR="00D849AA" w:rsidRDefault="00EE6D95">
            <w:r>
              <w:t>50</w:t>
            </w:r>
          </w:p>
        </w:tc>
        <w:tc>
          <w:tcPr>
            <w:tcW w:w="1486" w:type="dxa"/>
          </w:tcPr>
          <w:p w:rsidR="00D849AA" w:rsidRDefault="00EE6D95">
            <w:r>
              <w:t>80</w:t>
            </w:r>
          </w:p>
        </w:tc>
        <w:tc>
          <w:tcPr>
            <w:tcW w:w="1486" w:type="dxa"/>
          </w:tcPr>
          <w:p w:rsidR="00D849AA" w:rsidRDefault="00EE6D95">
            <w:r>
              <w:t>95</w:t>
            </w:r>
          </w:p>
        </w:tc>
        <w:tc>
          <w:tcPr>
            <w:tcW w:w="1486" w:type="dxa"/>
          </w:tcPr>
          <w:p w:rsidR="00D849AA" w:rsidRDefault="00EE6D95">
            <w:r>
              <w:t>100</w:t>
            </w:r>
          </w:p>
        </w:tc>
      </w:tr>
      <w:tr w:rsidR="00D849AA">
        <w:trPr>
          <w:jc w:val="center"/>
        </w:trPr>
        <w:tc>
          <w:tcPr>
            <w:tcW w:w="2229" w:type="dxa"/>
          </w:tcPr>
          <w:p w:rsidR="00D849AA" w:rsidRDefault="00EE6D95">
            <w:pPr>
              <w:pStyle w:val="CellColumn"/>
            </w:pPr>
            <w:r>
              <w:t>Unapređenje potpore AGRONET-u putem JRDŽ-a</w:t>
            </w:r>
          </w:p>
        </w:tc>
        <w:tc>
          <w:tcPr>
            <w:tcW w:w="1114" w:type="dxa"/>
          </w:tcPr>
          <w:p w:rsidR="00D849AA" w:rsidRDefault="00EE6D95">
            <w:r>
              <w:t>%</w:t>
            </w:r>
          </w:p>
        </w:tc>
        <w:tc>
          <w:tcPr>
            <w:tcW w:w="1114" w:type="dxa"/>
          </w:tcPr>
          <w:p w:rsidR="00D849AA" w:rsidRDefault="00EE6D95">
            <w:r>
              <w:t>75</w:t>
            </w:r>
          </w:p>
        </w:tc>
        <w:tc>
          <w:tcPr>
            <w:tcW w:w="1486" w:type="dxa"/>
          </w:tcPr>
          <w:p w:rsidR="00D849AA" w:rsidRDefault="00EE6D95">
            <w:r>
              <w:t>90</w:t>
            </w:r>
          </w:p>
        </w:tc>
        <w:tc>
          <w:tcPr>
            <w:tcW w:w="1486" w:type="dxa"/>
          </w:tcPr>
          <w:p w:rsidR="00D849AA" w:rsidRDefault="00EE6D95">
            <w:r>
              <w:t>95</w:t>
            </w:r>
          </w:p>
        </w:tc>
        <w:tc>
          <w:tcPr>
            <w:tcW w:w="1486" w:type="dxa"/>
          </w:tcPr>
          <w:p w:rsidR="00D849AA" w:rsidRDefault="00EE6D95">
            <w:r>
              <w:t>95</w:t>
            </w:r>
          </w:p>
        </w:tc>
      </w:tr>
    </w:tbl>
    <w:p w:rsidR="00D849AA" w:rsidRDefault="00D849AA">
      <w:pPr>
        <w:jc w:val="left"/>
      </w:pPr>
    </w:p>
    <w:p w:rsidR="00D849AA" w:rsidRDefault="00EE6D95">
      <w:pPr>
        <w:pStyle w:val="Naslov7"/>
      </w:pPr>
      <w:r>
        <w:lastRenderedPageBreak/>
        <w:t>Cilj 3. Unapređenje kvalitete stočarskih proizvoda sustavnom kontrolom kvalitete</w:t>
      </w:r>
    </w:p>
    <w:p w:rsidR="00D849AA" w:rsidRDefault="00EE6D95">
      <w:pPr>
        <w:pStyle w:val="Normal6"/>
      </w:pPr>
      <w:r>
        <w:t>U okviru ovog sektora djelatnosti HPA provodi kontrolu kvalitete svježeg sirovog mlijeka, stočne hrane i meda, a predstavlja i glavno nadzorno tijelo u provedbi sustava kontrole ocjene (kvalitete) trupova na liniji klanja.</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60"/>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Povećanje broja analiziranih uzoraka mlijeka</w:t>
            </w:r>
          </w:p>
        </w:tc>
        <w:tc>
          <w:tcPr>
            <w:tcW w:w="1114" w:type="dxa"/>
          </w:tcPr>
          <w:p w:rsidR="00D849AA" w:rsidRDefault="00EE6D95">
            <w:r>
              <w:t>Broj analiziranih uzoraka</w:t>
            </w:r>
          </w:p>
        </w:tc>
        <w:tc>
          <w:tcPr>
            <w:tcW w:w="1114" w:type="dxa"/>
          </w:tcPr>
          <w:p w:rsidR="00D849AA" w:rsidRDefault="00EE6D95">
            <w:r>
              <w:t>340.000</w:t>
            </w:r>
          </w:p>
        </w:tc>
        <w:tc>
          <w:tcPr>
            <w:tcW w:w="1486" w:type="dxa"/>
          </w:tcPr>
          <w:p w:rsidR="00D849AA" w:rsidRDefault="00EE6D95">
            <w:r>
              <w:t>350.000</w:t>
            </w:r>
          </w:p>
        </w:tc>
        <w:tc>
          <w:tcPr>
            <w:tcW w:w="1486" w:type="dxa"/>
          </w:tcPr>
          <w:p w:rsidR="00D849AA" w:rsidRDefault="00EE6D95">
            <w:r>
              <w:t>355.000</w:t>
            </w:r>
          </w:p>
        </w:tc>
        <w:tc>
          <w:tcPr>
            <w:tcW w:w="1486" w:type="dxa"/>
          </w:tcPr>
          <w:p w:rsidR="00D849AA" w:rsidRDefault="00EE6D95">
            <w:r>
              <w:t>360.000</w:t>
            </w:r>
          </w:p>
        </w:tc>
      </w:tr>
      <w:tr w:rsidR="00D849AA">
        <w:trPr>
          <w:jc w:val="center"/>
        </w:trPr>
        <w:tc>
          <w:tcPr>
            <w:tcW w:w="2229" w:type="dxa"/>
          </w:tcPr>
          <w:p w:rsidR="00D849AA" w:rsidRDefault="00EE6D95">
            <w:pPr>
              <w:pStyle w:val="CellColumn"/>
            </w:pPr>
            <w:r>
              <w:t>Povećanje broja farmi uključenih u sustav kvalitete stočne hrane</w:t>
            </w:r>
          </w:p>
        </w:tc>
        <w:tc>
          <w:tcPr>
            <w:tcW w:w="1114" w:type="dxa"/>
          </w:tcPr>
          <w:p w:rsidR="00D849AA" w:rsidRDefault="00EE6D95">
            <w:r>
              <w:t>Broj analiziranih uzoraka</w:t>
            </w:r>
          </w:p>
        </w:tc>
        <w:tc>
          <w:tcPr>
            <w:tcW w:w="1114" w:type="dxa"/>
          </w:tcPr>
          <w:p w:rsidR="00D849AA" w:rsidRDefault="00EE6D95">
            <w:r>
              <w:t>1.600</w:t>
            </w:r>
          </w:p>
        </w:tc>
        <w:tc>
          <w:tcPr>
            <w:tcW w:w="1486" w:type="dxa"/>
          </w:tcPr>
          <w:p w:rsidR="00D849AA" w:rsidRDefault="00EE6D95">
            <w:r>
              <w:t>3.000</w:t>
            </w:r>
          </w:p>
        </w:tc>
        <w:tc>
          <w:tcPr>
            <w:tcW w:w="1486" w:type="dxa"/>
          </w:tcPr>
          <w:p w:rsidR="00D849AA" w:rsidRDefault="00EE6D95">
            <w:r>
              <w:t>4.500</w:t>
            </w:r>
          </w:p>
        </w:tc>
        <w:tc>
          <w:tcPr>
            <w:tcW w:w="1486" w:type="dxa"/>
          </w:tcPr>
          <w:p w:rsidR="00D849AA" w:rsidRDefault="00EE6D95">
            <w:r>
              <w:t>5.500</w:t>
            </w:r>
          </w:p>
        </w:tc>
      </w:tr>
      <w:tr w:rsidR="00D849AA">
        <w:trPr>
          <w:jc w:val="center"/>
        </w:trPr>
        <w:tc>
          <w:tcPr>
            <w:tcW w:w="2229" w:type="dxa"/>
          </w:tcPr>
          <w:p w:rsidR="00D849AA" w:rsidRDefault="00EE6D95">
            <w:pPr>
              <w:pStyle w:val="CellColumn"/>
            </w:pPr>
            <w:r>
              <w:t>Povećanje broja farmi uključenih u sustav</w:t>
            </w:r>
          </w:p>
        </w:tc>
        <w:tc>
          <w:tcPr>
            <w:tcW w:w="1114" w:type="dxa"/>
          </w:tcPr>
          <w:p w:rsidR="00D849AA" w:rsidRDefault="00EE6D95">
            <w:r>
              <w:t>Broj ocjenjenih trupova</w:t>
            </w:r>
          </w:p>
        </w:tc>
        <w:tc>
          <w:tcPr>
            <w:tcW w:w="1114" w:type="dxa"/>
          </w:tcPr>
          <w:p w:rsidR="00D849AA" w:rsidRDefault="00EE6D95">
            <w:r>
              <w:t>1.310.000</w:t>
            </w:r>
          </w:p>
        </w:tc>
        <w:tc>
          <w:tcPr>
            <w:tcW w:w="1486" w:type="dxa"/>
          </w:tcPr>
          <w:p w:rsidR="00D849AA" w:rsidRDefault="00EE6D95">
            <w:r>
              <w:t>1.370.000</w:t>
            </w:r>
          </w:p>
        </w:tc>
        <w:tc>
          <w:tcPr>
            <w:tcW w:w="1486" w:type="dxa"/>
          </w:tcPr>
          <w:p w:rsidR="00D849AA" w:rsidRDefault="00EE6D95">
            <w:r>
              <w:t>1.450.000</w:t>
            </w:r>
          </w:p>
        </w:tc>
        <w:tc>
          <w:tcPr>
            <w:tcW w:w="1486" w:type="dxa"/>
          </w:tcPr>
          <w:p w:rsidR="00D849AA" w:rsidRDefault="00EE6D95">
            <w:r>
              <w:t>1.550.000</w:t>
            </w:r>
          </w:p>
        </w:tc>
      </w:tr>
    </w:tbl>
    <w:p w:rsidR="00D849AA" w:rsidRDefault="00D849AA">
      <w:pPr>
        <w:jc w:val="left"/>
      </w:pPr>
    </w:p>
    <w:p w:rsidR="00D849AA" w:rsidRDefault="00EE6D95">
      <w:pPr>
        <w:pStyle w:val="Naslov7"/>
      </w:pPr>
      <w:r>
        <w:t>Cilj 4. Stručna i tehnička potpora sustavima plaćanja u poljoprivredi i ruralnom razvoju</w:t>
      </w:r>
    </w:p>
    <w:p w:rsidR="00D849AA" w:rsidRDefault="00EE6D95">
      <w:pPr>
        <w:pStyle w:val="Normal6"/>
      </w:pPr>
      <w:r>
        <w:t>Realizacija cilja ostvaruje se kroz kontrolu prihvatljivosti za izravne mjere i IACS mjere na terenu, kroz pomoć poljoprivrenim proizvođačima pri podnošenju zahtjeva za novčanim potporama, kroz kontrolu finalnog ARKOD zapisa i provedbu sustava mliječnih kvota.</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Zadržavanje obuhvata udjela pružene pomoći pri popunjavanju zahtjeva</w:t>
            </w:r>
          </w:p>
        </w:tc>
        <w:tc>
          <w:tcPr>
            <w:tcW w:w="1114" w:type="dxa"/>
          </w:tcPr>
          <w:p w:rsidR="00D849AA" w:rsidRDefault="00EE6D95">
            <w:r>
              <w:t>% zahtjeva</w:t>
            </w:r>
          </w:p>
        </w:tc>
        <w:tc>
          <w:tcPr>
            <w:tcW w:w="1114" w:type="dxa"/>
          </w:tcPr>
          <w:p w:rsidR="00D849AA" w:rsidRDefault="00EE6D95">
            <w:r>
              <w:t>100</w:t>
            </w:r>
          </w:p>
        </w:tc>
        <w:tc>
          <w:tcPr>
            <w:tcW w:w="1486" w:type="dxa"/>
          </w:tcPr>
          <w:p w:rsidR="00D849AA" w:rsidRDefault="00EE6D95">
            <w:r>
              <w:t>100</w:t>
            </w:r>
          </w:p>
        </w:tc>
        <w:tc>
          <w:tcPr>
            <w:tcW w:w="1486" w:type="dxa"/>
          </w:tcPr>
          <w:p w:rsidR="00D849AA" w:rsidRDefault="00EE6D95">
            <w:r>
              <w:t>100</w:t>
            </w:r>
          </w:p>
        </w:tc>
        <w:tc>
          <w:tcPr>
            <w:tcW w:w="1486" w:type="dxa"/>
          </w:tcPr>
          <w:p w:rsidR="00D849AA" w:rsidRDefault="00EE6D95">
            <w:r>
              <w:t>100</w:t>
            </w:r>
          </w:p>
        </w:tc>
      </w:tr>
      <w:tr w:rsidR="00D849AA">
        <w:trPr>
          <w:jc w:val="center"/>
        </w:trPr>
        <w:tc>
          <w:tcPr>
            <w:tcW w:w="2229" w:type="dxa"/>
          </w:tcPr>
          <w:p w:rsidR="00D849AA" w:rsidRDefault="00EE6D95">
            <w:pPr>
              <w:pStyle w:val="CellColumn"/>
            </w:pPr>
            <w:r>
              <w:t>Zadržavanje udjela obavljenih kontrola</w:t>
            </w:r>
          </w:p>
        </w:tc>
        <w:tc>
          <w:tcPr>
            <w:tcW w:w="1114" w:type="dxa"/>
          </w:tcPr>
          <w:p w:rsidR="00D849AA" w:rsidRDefault="00EE6D95">
            <w:r>
              <w:t>% obavljenih kontrola</w:t>
            </w:r>
          </w:p>
        </w:tc>
        <w:tc>
          <w:tcPr>
            <w:tcW w:w="1114" w:type="dxa"/>
          </w:tcPr>
          <w:p w:rsidR="00D849AA" w:rsidRDefault="00EE6D95">
            <w:r>
              <w:t>100</w:t>
            </w:r>
          </w:p>
        </w:tc>
        <w:tc>
          <w:tcPr>
            <w:tcW w:w="1486" w:type="dxa"/>
          </w:tcPr>
          <w:p w:rsidR="00D849AA" w:rsidRDefault="00EE6D95">
            <w:r>
              <w:t>100</w:t>
            </w:r>
          </w:p>
        </w:tc>
        <w:tc>
          <w:tcPr>
            <w:tcW w:w="1486" w:type="dxa"/>
          </w:tcPr>
          <w:p w:rsidR="00D849AA" w:rsidRDefault="00EE6D95">
            <w:r>
              <w:t>100</w:t>
            </w:r>
          </w:p>
        </w:tc>
        <w:tc>
          <w:tcPr>
            <w:tcW w:w="1486" w:type="dxa"/>
          </w:tcPr>
          <w:p w:rsidR="00D849AA" w:rsidRDefault="00EE6D95">
            <w:r>
              <w:t>100</w:t>
            </w:r>
          </w:p>
        </w:tc>
      </w:tr>
    </w:tbl>
    <w:p w:rsidR="00D849AA" w:rsidRDefault="00337A23" w:rsidP="00337A23">
      <w:pPr>
        <w:pStyle w:val="Naslov5"/>
        <w:ind w:left="0" w:firstLine="539"/>
      </w:pPr>
      <w:r>
        <w:t>P</w:t>
      </w:r>
      <w:r w:rsidR="00EE6D95">
        <w:t>rocjena i ishodište potrebnih sredstava za značajnije aktivnosti/projekte</w:t>
      </w:r>
    </w:p>
    <w:p w:rsidR="00337A23" w:rsidRDefault="00337A23" w:rsidP="00337A23"/>
    <w:p w:rsidR="00337A23" w:rsidRPr="00337A23" w:rsidRDefault="00337A23" w:rsidP="00337A23"/>
    <w:p w:rsidR="00D849AA" w:rsidRDefault="00EE6D95">
      <w:pPr>
        <w:pStyle w:val="Naslov6"/>
      </w:pPr>
      <w:r>
        <w:lastRenderedPageBreak/>
        <w:t>A852001 ADMINISTRACIJA I UPRAVLJANJE HRVATSKE POLJOPRIVREDNE AGENCIJE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A852001</w:t>
            </w:r>
          </w:p>
        </w:tc>
        <w:tc>
          <w:tcPr>
            <w:tcW w:w="1486" w:type="dxa"/>
          </w:tcPr>
          <w:p w:rsidR="00D849AA" w:rsidRDefault="00EE6D95">
            <w:r>
              <w:t>57.097.650</w:t>
            </w:r>
          </w:p>
        </w:tc>
        <w:tc>
          <w:tcPr>
            <w:tcW w:w="1486" w:type="dxa"/>
          </w:tcPr>
          <w:p w:rsidR="00D849AA" w:rsidRDefault="00EE6D95">
            <w:r>
              <w:t>55.444.519</w:t>
            </w:r>
          </w:p>
        </w:tc>
        <w:tc>
          <w:tcPr>
            <w:tcW w:w="1486" w:type="dxa"/>
          </w:tcPr>
          <w:p w:rsidR="00D849AA" w:rsidRDefault="00EE6D95">
            <w:r>
              <w:t>53.599.500</w:t>
            </w:r>
          </w:p>
        </w:tc>
        <w:tc>
          <w:tcPr>
            <w:tcW w:w="1486" w:type="dxa"/>
          </w:tcPr>
          <w:p w:rsidR="00D849AA" w:rsidRDefault="00EE6D95">
            <w:r>
              <w:t>57.702.965</w:t>
            </w:r>
          </w:p>
        </w:tc>
        <w:tc>
          <w:tcPr>
            <w:tcW w:w="1486" w:type="dxa"/>
          </w:tcPr>
          <w:p w:rsidR="00D849AA" w:rsidRDefault="00EE6D95">
            <w:r>
              <w:t>97,1</w:t>
            </w:r>
          </w:p>
        </w:tc>
      </w:tr>
    </w:tbl>
    <w:p w:rsidR="00D849AA" w:rsidRDefault="00D849AA">
      <w:pPr>
        <w:jc w:val="left"/>
      </w:pPr>
    </w:p>
    <w:p w:rsidR="00D849AA" w:rsidRDefault="00EE6D95">
      <w:pPr>
        <w:pStyle w:val="Normal6"/>
      </w:pPr>
      <w:r>
        <w:t xml:space="preserve">U planu proračuna za 2014.-2016. planirane su naknade za zaposlene, materijalni i financijski rashodi vezani za obavljanje redovnih djelatnosti HPA. </w:t>
      </w:r>
    </w:p>
    <w:p w:rsidR="00D849AA" w:rsidRDefault="00EE6D95">
      <w:pPr>
        <w:pStyle w:val="Normal6"/>
      </w:pPr>
      <w:r>
        <w:t>HPA sudjeluje u provedbi uzgojnih programa kroz ispitivanje proizvodnih svojstava svih vrsta i pasmina domaćih životinja, obradi uzgojno selekcijskih podataka i izračunu uzgojnih vrijednosti za sva uzgojno valjana grla domaćih životinja. HPA  u okviru redovne djelatnosti provodi kontrolu kvalitete svježeg sirovog mlijeka, stočne hrane i meda te provedbu sustava kontrole ocjene (kvalitete) trupova na liniji klanja.</w:t>
      </w:r>
    </w:p>
    <w:p w:rsidR="00D849AA" w:rsidRDefault="00EE6D95">
      <w:pPr>
        <w:pStyle w:val="Naslov6"/>
      </w:pPr>
      <w:r>
        <w:t>K852006 INFORMATIZACIJA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K852006</w:t>
            </w:r>
          </w:p>
        </w:tc>
        <w:tc>
          <w:tcPr>
            <w:tcW w:w="1486" w:type="dxa"/>
          </w:tcPr>
          <w:p w:rsidR="00D849AA" w:rsidRDefault="00EE6D95">
            <w:r>
              <w:t>800.000</w:t>
            </w:r>
          </w:p>
        </w:tc>
        <w:tc>
          <w:tcPr>
            <w:tcW w:w="1486" w:type="dxa"/>
          </w:tcPr>
          <w:p w:rsidR="00D849AA" w:rsidRDefault="00EE6D95">
            <w:r>
              <w:t>2.353.131</w:t>
            </w:r>
          </w:p>
        </w:tc>
        <w:tc>
          <w:tcPr>
            <w:tcW w:w="1486" w:type="dxa"/>
          </w:tcPr>
          <w:p w:rsidR="00D849AA" w:rsidRDefault="00EE6D95">
            <w:r>
              <w:t>7.398.150</w:t>
            </w:r>
          </w:p>
        </w:tc>
        <w:tc>
          <w:tcPr>
            <w:tcW w:w="1486" w:type="dxa"/>
          </w:tcPr>
          <w:p w:rsidR="00D849AA" w:rsidRDefault="00EE6D95">
            <w:r>
              <w:t>7.398.150</w:t>
            </w:r>
          </w:p>
        </w:tc>
        <w:tc>
          <w:tcPr>
            <w:tcW w:w="1486" w:type="dxa"/>
          </w:tcPr>
          <w:p w:rsidR="00D849AA" w:rsidRDefault="00EE6D95">
            <w:r>
              <w:t>294,1</w:t>
            </w:r>
          </w:p>
        </w:tc>
      </w:tr>
    </w:tbl>
    <w:p w:rsidR="00D849AA" w:rsidRDefault="00D849AA">
      <w:pPr>
        <w:jc w:val="left"/>
      </w:pPr>
    </w:p>
    <w:p w:rsidR="00D849AA" w:rsidRDefault="00EE6D95">
      <w:pPr>
        <w:pStyle w:val="Normal6"/>
      </w:pPr>
      <w:r>
        <w:t>HPA vodi JRDŽ koji predstavlja temeljnu bazu podataka o domaćim životinjama gospodarstvima i posjednicima u RH u elektronskom obliku. Zbog podizanja standarda rada, eliminacije dupliciranja posla te bržeg i jednostavnijeg protoka informacija potrebna je nabavka računalne opreme. U narednom razdoblju u radu glavnog državnog laboratorija za kontrolu kvalitete mlijeka težište razvoja stavit će se na održavanje postojećeg sustava obnavljanjem opreme.</w:t>
      </w:r>
    </w:p>
    <w:p w:rsidR="00D849AA" w:rsidRDefault="00EE6D95">
      <w:pPr>
        <w:pStyle w:val="Naslov2"/>
      </w:pPr>
      <w:r>
        <w:t>06050 Poljoprivredna savjetodavna služba</w:t>
      </w:r>
    </w:p>
    <w:p w:rsidR="00D849AA" w:rsidRDefault="00EE6D95">
      <w:pPr>
        <w:pStyle w:val="Naslov4"/>
      </w:pPr>
      <w:r>
        <w:t>Uvod</w:t>
      </w:r>
    </w:p>
    <w:p w:rsidR="00D849AA" w:rsidRDefault="00EE6D95">
      <w:pPr>
        <w:pStyle w:val="Normal3"/>
      </w:pPr>
      <w:r>
        <w:t xml:space="preserve">Poljoprivredna savjetodavna služba je specijalizirana javna ustanova za obavljanje poslova poljoprivredno-savjetodavne djelatnosti u poljoprivredi, ruralnom razvoju i ribarstvu osnovana Zakonom o Poljoprivrednoj savjetodavnoj službi. Osnivač Službe je Republika Hrvatska (RH), a prava i dužnosti osnivača obavlja Ministarstvo poljoprivrede. Služba ima svojstvo pravne osobe s pravima i obvezama propisanim Zakonom o Poljoprivrednoj savjetodavnoj službi, Zakonom o ustanovama, posebnim zakonima i Statutom Službe. Sukladno Zakonu, poslove provođenja stručnog nadzora u integriranoj proizvodnji i organiziranje i izvođenje obrazovanja i osposobljavanja iz područja poljoprivrede, ribarstva i ruralnog razvoja Služba obavlja kao javnu ovlast. </w:t>
      </w:r>
    </w:p>
    <w:p w:rsidR="00D849AA" w:rsidRDefault="00EE6D95">
      <w:pPr>
        <w:pStyle w:val="Normal3"/>
      </w:pPr>
      <w:r>
        <w:t xml:space="preserve">Poslovi Službe, sukladno zakonskoj djelatnosti obavljaju se na području cijele RH u 111 ureda, odnosno ispostava. Poljoprivredni suradnici, poljoprivredni savjetnici, stručni suradnici, stručni savjetnici kao i viši stručni savjetnici uz svakodnevne stručne poslove obavljaju i specifične specijalističke poslove koji zahtijevaju svakodnevni obilazak klijenata i dostupnost klijentima na području cijele RH.  </w:t>
      </w:r>
    </w:p>
    <w:p w:rsidR="00D849AA" w:rsidRDefault="00EE6D95">
      <w:pPr>
        <w:pStyle w:val="Normal3"/>
      </w:pPr>
      <w:r>
        <w:t xml:space="preserve">Pravilnikom o unutarnjem ustrojstvu i sistematizaciji radnih mjesta Poljoprivredne savjetodavne službe sistematizirano je 300 radnih mjesta, trenutno je zaposleno 227 službenika. Budući da je u </w:t>
      </w:r>
      <w:r>
        <w:lastRenderedPageBreak/>
        <w:t xml:space="preserve">postupku donošenje Zakona o izmjenama Zakona o Poljoprivrednoj savjetodavnoj službi, planirano je preuzimanje 29 službenika Hrvatskih šuma d.o.o. </w:t>
      </w:r>
    </w:p>
    <w:p w:rsidR="00D849AA" w:rsidRDefault="00EE6D95">
      <w:pPr>
        <w:pStyle w:val="Normal3"/>
      </w:pPr>
      <w:r>
        <w:t>Temeljem Zakona o Poljoprivrednoj savjetodavnoj službi, Služba ostvaruje sredstva za rad iz državnog proračuna RH, obavljanjem svoje djelatnosti i iz drugih izvora na način i pod uvjetima propisanim Zakonom i Statutom Službe. Služba svojim korisnicima svoje usluge trenutno pruža besplatno.</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06050</w:t>
            </w:r>
          </w:p>
        </w:tc>
        <w:tc>
          <w:tcPr>
            <w:tcW w:w="1486" w:type="dxa"/>
          </w:tcPr>
          <w:p w:rsidR="00D849AA" w:rsidRDefault="00EE6D95">
            <w:r>
              <w:t>42.043.335</w:t>
            </w:r>
          </w:p>
        </w:tc>
        <w:tc>
          <w:tcPr>
            <w:tcW w:w="1486" w:type="dxa"/>
          </w:tcPr>
          <w:p w:rsidR="00D849AA" w:rsidRDefault="00EE6D95">
            <w:r>
              <w:t>39.995.300</w:t>
            </w:r>
          </w:p>
        </w:tc>
        <w:tc>
          <w:tcPr>
            <w:tcW w:w="1486" w:type="dxa"/>
          </w:tcPr>
          <w:p w:rsidR="00D849AA" w:rsidRDefault="00EE6D95">
            <w:r>
              <w:t>43.775.023</w:t>
            </w:r>
          </w:p>
        </w:tc>
        <w:tc>
          <w:tcPr>
            <w:tcW w:w="1486" w:type="dxa"/>
          </w:tcPr>
          <w:p w:rsidR="00D849AA" w:rsidRDefault="00EE6D95">
            <w:r>
              <w:t>43.847.068</w:t>
            </w:r>
          </w:p>
        </w:tc>
        <w:tc>
          <w:tcPr>
            <w:tcW w:w="1486" w:type="dxa"/>
          </w:tcPr>
          <w:p w:rsidR="00D849AA" w:rsidRDefault="00EE6D95">
            <w:r>
              <w:t>95,1</w:t>
            </w:r>
          </w:p>
        </w:tc>
      </w:tr>
    </w:tbl>
    <w:p w:rsidR="00D849AA" w:rsidRDefault="00D849AA">
      <w:pPr>
        <w:jc w:val="left"/>
      </w:pPr>
    </w:p>
    <w:p w:rsidR="00D849AA" w:rsidRDefault="00EE6D95">
      <w:pPr>
        <w:pStyle w:val="Naslov4"/>
      </w:pPr>
      <w:r>
        <w:t>OBRAZLOŽENJE PROGRAMA</w:t>
      </w:r>
    </w:p>
    <w:p w:rsidR="00D849AA" w:rsidRDefault="00EE6D95">
      <w:pPr>
        <w:pStyle w:val="Naslov5"/>
      </w:pPr>
      <w:r>
        <w:t>3001 UPRAVLJANJE POLJOPRIVREDOM, RIBARSTVOM I RURALNIM RAZVOJEM</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3001</w:t>
            </w:r>
          </w:p>
        </w:tc>
        <w:tc>
          <w:tcPr>
            <w:tcW w:w="1486" w:type="dxa"/>
          </w:tcPr>
          <w:p w:rsidR="00D849AA" w:rsidRDefault="00EE6D95">
            <w:r>
              <w:t>41.470.335</w:t>
            </w:r>
          </w:p>
        </w:tc>
        <w:tc>
          <w:tcPr>
            <w:tcW w:w="1486" w:type="dxa"/>
          </w:tcPr>
          <w:p w:rsidR="00D849AA" w:rsidRDefault="00EE6D95">
            <w:r>
              <w:t>39.452.300</w:t>
            </w:r>
          </w:p>
        </w:tc>
        <w:tc>
          <w:tcPr>
            <w:tcW w:w="1486" w:type="dxa"/>
          </w:tcPr>
          <w:p w:rsidR="00D849AA" w:rsidRDefault="00EE6D95">
            <w:r>
              <w:t>43.217.023</w:t>
            </w:r>
          </w:p>
        </w:tc>
        <w:tc>
          <w:tcPr>
            <w:tcW w:w="1486" w:type="dxa"/>
          </w:tcPr>
          <w:p w:rsidR="00D849AA" w:rsidRDefault="00EE6D95">
            <w:r>
              <w:t>43.289.068</w:t>
            </w:r>
          </w:p>
        </w:tc>
        <w:tc>
          <w:tcPr>
            <w:tcW w:w="1486" w:type="dxa"/>
          </w:tcPr>
          <w:p w:rsidR="00D849AA" w:rsidRDefault="00EE6D95">
            <w:r>
              <w:t>95,1</w:t>
            </w:r>
          </w:p>
        </w:tc>
      </w:tr>
    </w:tbl>
    <w:p w:rsidR="00D849AA" w:rsidRDefault="00D849AA">
      <w:pPr>
        <w:jc w:val="left"/>
      </w:pPr>
    </w:p>
    <w:p w:rsidR="00D849AA" w:rsidRDefault="00EE6D95">
      <w:pPr>
        <w:pStyle w:val="Naslov6"/>
      </w:pPr>
      <w:r>
        <w:t>Opis programa</w:t>
      </w:r>
    </w:p>
    <w:p w:rsidR="00D849AA" w:rsidRDefault="00EE6D95">
      <w:pPr>
        <w:pStyle w:val="Normal5"/>
      </w:pPr>
      <w:r>
        <w:t>Ovim programom su obuhvaćene aktivnosti u sklopu kojih će se u najvećoj mjeri financirati redovan rad Službe.</w:t>
      </w:r>
    </w:p>
    <w:p w:rsidR="00D849AA" w:rsidRDefault="00EE6D95">
      <w:pPr>
        <w:pStyle w:val="Naslov6"/>
      </w:pPr>
      <w:r>
        <w:t>Zakonske i druge pravne osnove</w:t>
      </w:r>
    </w:p>
    <w:p w:rsidR="00D849AA" w:rsidRDefault="00EE6D95">
      <w:pPr>
        <w:pStyle w:val="Normal5"/>
      </w:pPr>
      <w:r>
        <w:t xml:space="preserve">Zakon o Poljoprivrednoj savjetodavnoj službi (“Narodne novine” br. 50/12) </w:t>
      </w:r>
    </w:p>
    <w:p w:rsidR="00D849AA" w:rsidRDefault="00EE6D95">
      <w:pPr>
        <w:pStyle w:val="Normal5"/>
      </w:pPr>
      <w:r>
        <w:t xml:space="preserve">Zakon o poljoprivredi (“Narodne novine” br. 149/09, 127/10, 50/12 i 120/12) </w:t>
      </w:r>
    </w:p>
    <w:p w:rsidR="00D849AA" w:rsidRDefault="00EE6D95">
      <w:pPr>
        <w:pStyle w:val="Normal5"/>
      </w:pPr>
      <w:r>
        <w:t xml:space="preserve">Zakon o potpori poljoprivredi i ruralnom razvoju (“Narodne novine” br. 80/13) </w:t>
      </w:r>
    </w:p>
    <w:p w:rsidR="00D849AA" w:rsidRDefault="00EE6D95">
      <w:pPr>
        <w:pStyle w:val="Normal5"/>
      </w:pPr>
      <w:r>
        <w:t xml:space="preserve">Zakon o uređenju tržišta poljoprivrednih proizvoda (“Narodne novine” br. 149/09, 22/11 i 120/12) </w:t>
      </w:r>
    </w:p>
    <w:p w:rsidR="00D849AA" w:rsidRDefault="00EE6D95">
      <w:pPr>
        <w:pStyle w:val="Normal5"/>
      </w:pPr>
      <w:r>
        <w:t xml:space="preserve">Zakon o morskom ribarstvu (“Narodne novine” br. 81/13) </w:t>
      </w:r>
    </w:p>
    <w:p w:rsidR="00D849AA" w:rsidRDefault="00EE6D95">
      <w:pPr>
        <w:pStyle w:val="Normal5"/>
      </w:pPr>
      <w:r>
        <w:t xml:space="preserve">Pravilnik o uvjetima višestruke sukladnosti u poljoprivrednoj proizvodnji (“Narodne novine” br. 10/10) </w:t>
      </w:r>
    </w:p>
    <w:p w:rsidR="00D849AA" w:rsidRDefault="00EE6D95">
      <w:pPr>
        <w:pStyle w:val="Normal5"/>
      </w:pPr>
      <w:r>
        <w:t xml:space="preserve">Pravilnik o sustavu savjetovanja poljoprivrednika vezano za višestruku sukladnost (“Narodne novine” br. 22/10) </w:t>
      </w:r>
    </w:p>
    <w:p w:rsidR="00D849AA" w:rsidRDefault="00EE6D95">
      <w:pPr>
        <w:pStyle w:val="Normal5"/>
      </w:pPr>
      <w:r>
        <w:t xml:space="preserve">Pravilnik o integriranoj proizvodnji poljoprivrednih proizvoda (“Narodne novine” br. 137/12) </w:t>
      </w:r>
    </w:p>
    <w:p w:rsidR="00D849AA" w:rsidRDefault="00EE6D95">
      <w:pPr>
        <w:pStyle w:val="Normal5"/>
      </w:pPr>
      <w:r>
        <w:t xml:space="preserve">Pravilnik o uspostavi akcijskog okvira za postizanje održive uporabe pesticida (“Narodne novine” br.142/12) </w:t>
      </w:r>
    </w:p>
    <w:p w:rsidR="00D849AA" w:rsidRDefault="00EE6D95">
      <w:pPr>
        <w:pStyle w:val="Normal5"/>
      </w:pPr>
      <w:r>
        <w:t>Uredba vijeća (EZ-a) 73/2009 o utvrđivanju zajedničkih pravila za programe izravne potpore za poljoprivrednike u okviru zajedničke poljoprivredne politike i utvrđivanju određenih programa potpore za poljoprivrednike</w:t>
      </w:r>
    </w:p>
    <w:p w:rsidR="00D849AA" w:rsidRDefault="00EE6D95">
      <w:pPr>
        <w:pStyle w:val="Naslov6"/>
      </w:pPr>
      <w:r>
        <w:lastRenderedPageBreak/>
        <w:t>Ciljevi provedbe programa u razdoblju 2014.-2016. i pokazatelji uspješnosti kojima će se mjeriti ostvarenje tih ciljeva</w:t>
      </w:r>
    </w:p>
    <w:p w:rsidR="00D849AA" w:rsidRDefault="00EE6D95">
      <w:pPr>
        <w:pStyle w:val="Naslov7"/>
      </w:pPr>
      <w:r>
        <w:t>Cilj 1. Povećanje konkurentnosti poljoprivrednih gospodarstava i subjekata u ribarstvu</w:t>
      </w:r>
    </w:p>
    <w:p w:rsidR="00D849AA" w:rsidRDefault="00EE6D95">
      <w:pPr>
        <w:pStyle w:val="Normal6"/>
      </w:pPr>
      <w:r>
        <w:t xml:space="preserve">Stručno savjetovanje poljoprivrednih gospodarstava i subjekata u ribarstvu (korisnici) provodit će se individualnim savjetovanjem na gospodarstvu, radom sa skupinama poljoprivrednika (studijske grupe) te udruženjima poljoprivrednika i ribara (udruge, zadruge i proizvođačke organizacije), organiziranjem i izvođenjem stručnih predavanja, tečajeva i seminara, organiziranjem praktičnih prikaza i prezentacija, učionica na otvorenom, praćenjem pojave bolesti i štetočinja i davanjem preporuka za zaštitu bilja, organizacijom stručnih manifestacija i informiranjem putem medija, tiska, web portala i dr. s ciljem pružanja savjetodavnih usluga što većem broju korisnika. </w:t>
      </w:r>
    </w:p>
    <w:p w:rsidR="00D849AA" w:rsidRDefault="00EE6D95">
      <w:pPr>
        <w:pStyle w:val="Normal6"/>
      </w:pPr>
      <w:r>
        <w:t xml:space="preserve">Sukladno Pravilniku o sustavu savjetovanja poljoprivrednika vezano uz višestruku sukladnost Služba će provoditi sustav savjetovanja poljoprivrednih gospodarstava o uvjetima višestruke sukladnosti individualnim, skupnim i masovnim metodama. Cilj edukacije je sustavom savjetovanja obuhvatiti što veći broj poljoprivrednih gospodarstava korisnika izravnih plaćanja. </w:t>
      </w:r>
    </w:p>
    <w:p w:rsidR="00D849AA" w:rsidRDefault="00EE6D95">
      <w:pPr>
        <w:pStyle w:val="Normal6"/>
      </w:pPr>
      <w:r>
        <w:t xml:space="preserve">Stručno savjetovanje bit će usmjereno na mala (samoopskrbna) i srednja poljoprivredna gospodarstava i subjekte u ribarstvu koji se bave preradom primarnih proizvoda s dodanom vrijednosti i dopunskim djelatnostima te diverzifikacijom gospodarskih djelatnosti u ruralnom prostoru. Osim toga, organizirat će se prigodne manifestacije s ciljem promocije i povećanja trženja proizvoda. </w:t>
      </w:r>
    </w:p>
    <w:p w:rsidR="00D849AA" w:rsidRDefault="00EE6D95">
      <w:pPr>
        <w:pStyle w:val="Normal6"/>
      </w:pPr>
      <w:r>
        <w:t>Služba će pružati stručnu pomoć prilikom interesnog udruživanja i organiziranja poljoprivrednih gospodarstava i subjekata u ribarstvu zbog zajedničkog nastupa na tržištu te će posredovati kod povezivanja istih sa subjektima iz agrobiznisa.</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238"/>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Savjetovanje poljoprivrednika vezano uz višestruku sukladnost</w:t>
            </w:r>
          </w:p>
        </w:tc>
        <w:tc>
          <w:tcPr>
            <w:tcW w:w="1114" w:type="dxa"/>
          </w:tcPr>
          <w:p w:rsidR="00D849AA" w:rsidRDefault="00EE6D95">
            <w:r>
              <w:t>% korisnika izravnih plaćanja</w:t>
            </w:r>
          </w:p>
        </w:tc>
        <w:tc>
          <w:tcPr>
            <w:tcW w:w="1114" w:type="dxa"/>
          </w:tcPr>
          <w:p w:rsidR="00D849AA" w:rsidRDefault="00EE6D95">
            <w:r>
              <w:t>20</w:t>
            </w:r>
          </w:p>
        </w:tc>
        <w:tc>
          <w:tcPr>
            <w:tcW w:w="1486" w:type="dxa"/>
          </w:tcPr>
          <w:p w:rsidR="00D849AA" w:rsidRDefault="00EE6D95">
            <w:r>
              <w:t>30</w:t>
            </w:r>
          </w:p>
        </w:tc>
        <w:tc>
          <w:tcPr>
            <w:tcW w:w="1486" w:type="dxa"/>
          </w:tcPr>
          <w:p w:rsidR="00D849AA" w:rsidRDefault="00EE6D95">
            <w:r>
              <w:t>30</w:t>
            </w:r>
          </w:p>
        </w:tc>
        <w:tc>
          <w:tcPr>
            <w:tcW w:w="1486" w:type="dxa"/>
          </w:tcPr>
          <w:p w:rsidR="00D849AA" w:rsidRDefault="00EE6D95">
            <w:r>
              <w:t>30</w:t>
            </w:r>
          </w:p>
        </w:tc>
      </w:tr>
      <w:tr w:rsidR="00D849AA">
        <w:trPr>
          <w:jc w:val="center"/>
        </w:trPr>
        <w:tc>
          <w:tcPr>
            <w:tcW w:w="2229" w:type="dxa"/>
          </w:tcPr>
          <w:p w:rsidR="00D849AA" w:rsidRDefault="00EE6D95">
            <w:pPr>
              <w:pStyle w:val="CellColumn"/>
            </w:pPr>
            <w:r>
              <w:t>Savjetovanje PG-a i OPG-a o dopunskim djelatnostima poljoprivrede i trženju proizvoda i usluga</w:t>
            </w:r>
          </w:p>
        </w:tc>
        <w:tc>
          <w:tcPr>
            <w:tcW w:w="1114" w:type="dxa"/>
          </w:tcPr>
          <w:p w:rsidR="00D849AA" w:rsidRDefault="00EE6D95">
            <w:r>
              <w:t>Broj obuhvaćenih PG-a</w:t>
            </w:r>
          </w:p>
        </w:tc>
        <w:tc>
          <w:tcPr>
            <w:tcW w:w="1114" w:type="dxa"/>
          </w:tcPr>
          <w:p w:rsidR="00D849AA" w:rsidRDefault="00EE6D95">
            <w:r>
              <w:t>100</w:t>
            </w:r>
          </w:p>
        </w:tc>
        <w:tc>
          <w:tcPr>
            <w:tcW w:w="1486" w:type="dxa"/>
          </w:tcPr>
          <w:p w:rsidR="00D849AA" w:rsidRDefault="00EE6D95">
            <w:r>
              <w:t>200</w:t>
            </w:r>
          </w:p>
        </w:tc>
        <w:tc>
          <w:tcPr>
            <w:tcW w:w="1486" w:type="dxa"/>
          </w:tcPr>
          <w:p w:rsidR="00D849AA" w:rsidRDefault="00EE6D95">
            <w:r>
              <w:t>200</w:t>
            </w:r>
          </w:p>
        </w:tc>
        <w:tc>
          <w:tcPr>
            <w:tcW w:w="1486" w:type="dxa"/>
          </w:tcPr>
          <w:p w:rsidR="00D849AA" w:rsidRDefault="00EE6D95">
            <w:r>
              <w:t>200</w:t>
            </w:r>
          </w:p>
        </w:tc>
      </w:tr>
      <w:tr w:rsidR="00D849AA">
        <w:trPr>
          <w:jc w:val="center"/>
        </w:trPr>
        <w:tc>
          <w:tcPr>
            <w:tcW w:w="2229" w:type="dxa"/>
          </w:tcPr>
          <w:p w:rsidR="00D849AA" w:rsidRDefault="00EE6D95">
            <w:pPr>
              <w:pStyle w:val="CellColumn"/>
            </w:pPr>
            <w:r>
              <w:t>Stručna pomoć i posredovanje</w:t>
            </w:r>
          </w:p>
        </w:tc>
        <w:tc>
          <w:tcPr>
            <w:tcW w:w="1114" w:type="dxa"/>
          </w:tcPr>
          <w:p w:rsidR="00D849AA" w:rsidRDefault="00EE6D95">
            <w:r>
              <w:t>Broj interesnih udruženja i organizacija</w:t>
            </w:r>
          </w:p>
        </w:tc>
        <w:tc>
          <w:tcPr>
            <w:tcW w:w="1114" w:type="dxa"/>
          </w:tcPr>
          <w:p w:rsidR="00D849AA" w:rsidRDefault="00EE6D95">
            <w:r>
              <w:t>100</w:t>
            </w:r>
          </w:p>
        </w:tc>
        <w:tc>
          <w:tcPr>
            <w:tcW w:w="1486" w:type="dxa"/>
          </w:tcPr>
          <w:p w:rsidR="00D849AA" w:rsidRDefault="00EE6D95">
            <w:r>
              <w:t>250</w:t>
            </w:r>
          </w:p>
        </w:tc>
        <w:tc>
          <w:tcPr>
            <w:tcW w:w="1486" w:type="dxa"/>
          </w:tcPr>
          <w:p w:rsidR="00D849AA" w:rsidRDefault="00EE6D95">
            <w:r>
              <w:t>300</w:t>
            </w:r>
          </w:p>
        </w:tc>
        <w:tc>
          <w:tcPr>
            <w:tcW w:w="1486" w:type="dxa"/>
          </w:tcPr>
          <w:p w:rsidR="00D849AA" w:rsidRDefault="00EE6D95">
            <w:r>
              <w:t>300</w:t>
            </w:r>
          </w:p>
        </w:tc>
      </w:tr>
    </w:tbl>
    <w:p w:rsidR="00D849AA" w:rsidRDefault="00D849AA">
      <w:pPr>
        <w:jc w:val="left"/>
      </w:pPr>
    </w:p>
    <w:p w:rsidR="00337A23" w:rsidRDefault="00337A23">
      <w:pPr>
        <w:jc w:val="left"/>
      </w:pPr>
    </w:p>
    <w:p w:rsidR="00D849AA" w:rsidRDefault="00EE6D95">
      <w:pPr>
        <w:pStyle w:val="Naslov7"/>
      </w:pPr>
      <w:r>
        <w:lastRenderedPageBreak/>
        <w:t xml:space="preserve">Cilj 2. Učinkovitije korištenje nacionalnih i EU fondova </w:t>
      </w:r>
    </w:p>
    <w:p w:rsidR="00D849AA" w:rsidRDefault="00EE6D95">
      <w:pPr>
        <w:pStyle w:val="Normal6"/>
      </w:pPr>
      <w:r>
        <w:t xml:space="preserve">Posebna pozornost u radu Službe bit će usmjerena na informiranje i edukaciju korisnika vezano za programe održivog razvoja ruralnih područja i sektora ribarstva, odnosno pripremu projekata za poljoprivredna gospodarstva, osobito mala i srednja, kao i subjekte u ribarstvu kojima treba omogućiti bolje i veće iskorištenje sredstava iz nacionalnih i EU fondova kao i na projekte lokalne i regionalne (područne) samouprave. Informiranje korisnika provodit će se u okviru svakodnevnog savjetovanja individualnim pristupom ili masovnim metodama. </w:t>
      </w:r>
    </w:p>
    <w:p w:rsidR="00D849AA" w:rsidRDefault="00EE6D95">
      <w:pPr>
        <w:pStyle w:val="Normal6"/>
      </w:pPr>
      <w:r>
        <w:t xml:space="preserve">Naglasak će se staviti na ekonomski održive projekte u kojima će se, uz tehnološke pokazatelje, provjeravati sposobnost korisnika za korištenje programa (check liste) odnosno izrađivat će se ekonomske analize proizvodnje i poslovanja gospodarstva. </w:t>
      </w:r>
    </w:p>
    <w:p w:rsidR="00D849AA" w:rsidRDefault="00EE6D95">
      <w:pPr>
        <w:pStyle w:val="Normal6"/>
      </w:pPr>
      <w:r>
        <w:t>Služba će nakon provjere sposobnosti i prihvatljivosti potencijalnih korisnika pružiti pomoć oko izrade i prijave projekata na natječaj te stručno pratiti realizaciju projekata.</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Informiranje korisnika</w:t>
            </w:r>
          </w:p>
        </w:tc>
        <w:tc>
          <w:tcPr>
            <w:tcW w:w="1114" w:type="dxa"/>
          </w:tcPr>
          <w:p w:rsidR="00D849AA" w:rsidRDefault="00EE6D95">
            <w:r>
              <w:t>Broj korisnika</w:t>
            </w:r>
          </w:p>
        </w:tc>
        <w:tc>
          <w:tcPr>
            <w:tcW w:w="1114" w:type="dxa"/>
          </w:tcPr>
          <w:p w:rsidR="00D849AA" w:rsidRDefault="00EE6D95">
            <w:r>
              <w:t>10000</w:t>
            </w:r>
          </w:p>
        </w:tc>
        <w:tc>
          <w:tcPr>
            <w:tcW w:w="1486" w:type="dxa"/>
          </w:tcPr>
          <w:p w:rsidR="00D849AA" w:rsidRDefault="00EE6D95">
            <w:r>
              <w:t>30000</w:t>
            </w:r>
          </w:p>
        </w:tc>
        <w:tc>
          <w:tcPr>
            <w:tcW w:w="1486" w:type="dxa"/>
          </w:tcPr>
          <w:p w:rsidR="00D849AA" w:rsidRDefault="00EE6D95">
            <w:r>
              <w:t>50000</w:t>
            </w:r>
          </w:p>
        </w:tc>
        <w:tc>
          <w:tcPr>
            <w:tcW w:w="1486" w:type="dxa"/>
          </w:tcPr>
          <w:p w:rsidR="00D849AA" w:rsidRDefault="00EE6D95">
            <w:r>
              <w:t>50000</w:t>
            </w:r>
          </w:p>
        </w:tc>
      </w:tr>
      <w:tr w:rsidR="00D849AA">
        <w:trPr>
          <w:jc w:val="center"/>
        </w:trPr>
        <w:tc>
          <w:tcPr>
            <w:tcW w:w="2229" w:type="dxa"/>
          </w:tcPr>
          <w:p w:rsidR="00D849AA" w:rsidRDefault="00EE6D95">
            <w:pPr>
              <w:pStyle w:val="CellColumn"/>
            </w:pPr>
            <w:r>
              <w:t>Provjera prihvatljivosti projekata i korisnika</w:t>
            </w:r>
          </w:p>
        </w:tc>
        <w:tc>
          <w:tcPr>
            <w:tcW w:w="1114" w:type="dxa"/>
          </w:tcPr>
          <w:p w:rsidR="00D849AA" w:rsidRDefault="00EE6D95">
            <w:r>
              <w:t>Broj provjera korisnika (check lista)</w:t>
            </w:r>
          </w:p>
        </w:tc>
        <w:tc>
          <w:tcPr>
            <w:tcW w:w="1114" w:type="dxa"/>
          </w:tcPr>
          <w:p w:rsidR="00D849AA" w:rsidRDefault="00EE6D95">
            <w:r>
              <w:t>25</w:t>
            </w:r>
          </w:p>
        </w:tc>
        <w:tc>
          <w:tcPr>
            <w:tcW w:w="1486" w:type="dxa"/>
          </w:tcPr>
          <w:p w:rsidR="00D849AA" w:rsidRDefault="00EE6D95">
            <w:r>
              <w:t>50</w:t>
            </w:r>
          </w:p>
        </w:tc>
        <w:tc>
          <w:tcPr>
            <w:tcW w:w="1486" w:type="dxa"/>
          </w:tcPr>
          <w:p w:rsidR="00D849AA" w:rsidRDefault="00EE6D95">
            <w:r>
              <w:t>150</w:t>
            </w:r>
          </w:p>
        </w:tc>
        <w:tc>
          <w:tcPr>
            <w:tcW w:w="1486" w:type="dxa"/>
          </w:tcPr>
          <w:p w:rsidR="00D849AA" w:rsidRDefault="00EE6D95">
            <w:r>
              <w:t>200</w:t>
            </w:r>
          </w:p>
        </w:tc>
      </w:tr>
      <w:tr w:rsidR="00D849AA">
        <w:trPr>
          <w:jc w:val="center"/>
        </w:trPr>
        <w:tc>
          <w:tcPr>
            <w:tcW w:w="2229" w:type="dxa"/>
          </w:tcPr>
          <w:p w:rsidR="00D849AA" w:rsidRDefault="00EE6D95">
            <w:pPr>
              <w:pStyle w:val="CellColumn"/>
            </w:pPr>
            <w:r>
              <w:t>Obrada i broj prijavljenih zahtjeva</w:t>
            </w:r>
          </w:p>
        </w:tc>
        <w:tc>
          <w:tcPr>
            <w:tcW w:w="1114" w:type="dxa"/>
          </w:tcPr>
          <w:p w:rsidR="00D849AA" w:rsidRDefault="00EE6D95">
            <w:r>
              <w:t>Broj zahtjeva</w:t>
            </w:r>
          </w:p>
        </w:tc>
        <w:tc>
          <w:tcPr>
            <w:tcW w:w="1114" w:type="dxa"/>
          </w:tcPr>
          <w:p w:rsidR="00D849AA" w:rsidRDefault="00EE6D95">
            <w:r>
              <w:t>6</w:t>
            </w:r>
          </w:p>
        </w:tc>
        <w:tc>
          <w:tcPr>
            <w:tcW w:w="1486" w:type="dxa"/>
          </w:tcPr>
          <w:p w:rsidR="00D849AA" w:rsidRDefault="00EE6D95">
            <w:r>
              <w:t>16</w:t>
            </w:r>
          </w:p>
        </w:tc>
        <w:tc>
          <w:tcPr>
            <w:tcW w:w="1486" w:type="dxa"/>
          </w:tcPr>
          <w:p w:rsidR="00D849AA" w:rsidRDefault="00EE6D95">
            <w:r>
              <w:t>60</w:t>
            </w:r>
          </w:p>
        </w:tc>
        <w:tc>
          <w:tcPr>
            <w:tcW w:w="1486" w:type="dxa"/>
          </w:tcPr>
          <w:p w:rsidR="00D849AA" w:rsidRDefault="00EE6D95">
            <w:r>
              <w:t>100</w:t>
            </w:r>
          </w:p>
        </w:tc>
      </w:tr>
    </w:tbl>
    <w:p w:rsidR="00D849AA" w:rsidRDefault="00D849AA">
      <w:pPr>
        <w:jc w:val="left"/>
      </w:pPr>
    </w:p>
    <w:p w:rsidR="00D849AA" w:rsidRDefault="00EE6D95">
      <w:pPr>
        <w:pStyle w:val="Naslov7"/>
      </w:pPr>
      <w:r>
        <w:t>Cilj 3. Stručni nadzor integrirane proizvodnje</w:t>
      </w:r>
    </w:p>
    <w:p w:rsidR="00D849AA" w:rsidRDefault="00EE6D95">
      <w:pPr>
        <w:pStyle w:val="Normal6"/>
      </w:pPr>
      <w:r>
        <w:t xml:space="preserve">Provođenje stručnog nadzora u integriranoj proizvodnji kao javnu ovlast, obavljat će educirani tim stručnih savjetnika provjerom primjene zahtjeva propisanih Pravilnikom o integriranoj proizvodnji poljoprivrednih proizvoda i Tehnološkim uputama za integriranu proizvodnju na svakom poljoprivrednom gospodarstvu koje podnese zahtjev za stručni nadzor. </w:t>
      </w:r>
    </w:p>
    <w:p w:rsidR="00D849AA" w:rsidRDefault="00EE6D95">
      <w:pPr>
        <w:pStyle w:val="Normal6"/>
      </w:pPr>
      <w:r>
        <w:t>Nakon provedenog stručnog nadzora, poljoprivrednim gospodarstvima koja zadovoljavaju uvjete propisane Pravilnikom i Tehnološkim uputama za integriranu proizvodnju, ovlašteni djelatnik Službe izdat će potvrdu o statusu proizvoda proizvedenih u integriranoj proizvodnji.</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94"/>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Obavljeni nadzor</w:t>
            </w:r>
          </w:p>
        </w:tc>
        <w:tc>
          <w:tcPr>
            <w:tcW w:w="1114" w:type="dxa"/>
          </w:tcPr>
          <w:p w:rsidR="00D849AA" w:rsidRDefault="00EE6D95">
            <w:r>
              <w:t xml:space="preserve">Broj upisanih PG-a u Upisnik </w:t>
            </w:r>
            <w:r>
              <w:lastRenderedPageBreak/>
              <w:t>proizvođača u integriranoj proizvodnji</w:t>
            </w:r>
          </w:p>
        </w:tc>
        <w:tc>
          <w:tcPr>
            <w:tcW w:w="1114" w:type="dxa"/>
          </w:tcPr>
          <w:p w:rsidR="00D849AA" w:rsidRDefault="00EE6D95">
            <w:r>
              <w:lastRenderedPageBreak/>
              <w:t>742</w:t>
            </w:r>
          </w:p>
        </w:tc>
        <w:tc>
          <w:tcPr>
            <w:tcW w:w="1486" w:type="dxa"/>
          </w:tcPr>
          <w:p w:rsidR="00D849AA" w:rsidRDefault="00EE6D95">
            <w:r>
              <w:t>800</w:t>
            </w:r>
          </w:p>
        </w:tc>
        <w:tc>
          <w:tcPr>
            <w:tcW w:w="1486" w:type="dxa"/>
          </w:tcPr>
          <w:p w:rsidR="00D849AA" w:rsidRDefault="00EE6D95">
            <w:r>
              <w:t>2000</w:t>
            </w:r>
          </w:p>
        </w:tc>
        <w:tc>
          <w:tcPr>
            <w:tcW w:w="1486" w:type="dxa"/>
          </w:tcPr>
          <w:p w:rsidR="00D849AA" w:rsidRDefault="00EE6D95">
            <w:r>
              <w:t>3000</w:t>
            </w:r>
          </w:p>
        </w:tc>
      </w:tr>
      <w:tr w:rsidR="00D849AA">
        <w:trPr>
          <w:jc w:val="center"/>
        </w:trPr>
        <w:tc>
          <w:tcPr>
            <w:tcW w:w="2229" w:type="dxa"/>
          </w:tcPr>
          <w:p w:rsidR="00D849AA" w:rsidRDefault="00EE6D95">
            <w:pPr>
              <w:pStyle w:val="CellColumn"/>
            </w:pPr>
            <w:r>
              <w:lastRenderedPageBreak/>
              <w:t>Izdane potvrde</w:t>
            </w:r>
          </w:p>
        </w:tc>
        <w:tc>
          <w:tcPr>
            <w:tcW w:w="1114" w:type="dxa"/>
          </w:tcPr>
          <w:p w:rsidR="00D849AA" w:rsidRDefault="00EE6D95">
            <w:r>
              <w:t>% od obavljenog nadzora</w:t>
            </w:r>
          </w:p>
        </w:tc>
        <w:tc>
          <w:tcPr>
            <w:tcW w:w="1114" w:type="dxa"/>
          </w:tcPr>
          <w:p w:rsidR="00D849AA" w:rsidRDefault="00EE6D95">
            <w:r>
              <w:t>70</w:t>
            </w:r>
          </w:p>
        </w:tc>
        <w:tc>
          <w:tcPr>
            <w:tcW w:w="1486" w:type="dxa"/>
          </w:tcPr>
          <w:p w:rsidR="00D849AA" w:rsidRDefault="00EE6D95">
            <w:r>
              <w:t>70</w:t>
            </w:r>
          </w:p>
        </w:tc>
        <w:tc>
          <w:tcPr>
            <w:tcW w:w="1486" w:type="dxa"/>
          </w:tcPr>
          <w:p w:rsidR="00D849AA" w:rsidRDefault="00EE6D95">
            <w:r>
              <w:t>80</w:t>
            </w:r>
          </w:p>
        </w:tc>
        <w:tc>
          <w:tcPr>
            <w:tcW w:w="1486" w:type="dxa"/>
          </w:tcPr>
          <w:p w:rsidR="00D849AA" w:rsidRDefault="00EE6D95">
            <w:r>
              <w:t>90</w:t>
            </w:r>
          </w:p>
        </w:tc>
      </w:tr>
    </w:tbl>
    <w:p w:rsidR="00D849AA" w:rsidRDefault="00D849AA">
      <w:pPr>
        <w:jc w:val="left"/>
      </w:pPr>
    </w:p>
    <w:p w:rsidR="00D849AA" w:rsidRDefault="00EE6D95">
      <w:pPr>
        <w:pStyle w:val="Naslov7"/>
      </w:pPr>
      <w:r>
        <w:t>Cilj 4. Stručno obrazovanje i osposobljavanje poljoprivrednih gospodarstava i subjekata u ribarstvu</w:t>
      </w:r>
    </w:p>
    <w:p w:rsidR="00D849AA" w:rsidRDefault="00EE6D95">
      <w:pPr>
        <w:pStyle w:val="Normal6"/>
      </w:pPr>
      <w:r>
        <w:t xml:space="preserve">U prvoj godini Služba će osmisliti i izraditi programe izobrazbe iz područja poljoprivrede, ribarstva i ruralnog razvoja na temelju posebnih propisa, a u idućim godinama programi obrazovanja i osposobljavanja zasnivat će se na nacionalnom kvalifikacijskom okviru (NKO) za zanimanja u poljoprivredi, ruralnom razvoju i ribarstvu koja će biti uvjet za obavljanje djelatnosti. </w:t>
      </w:r>
    </w:p>
    <w:p w:rsidR="00D849AA" w:rsidRDefault="00EE6D95">
      <w:pPr>
        <w:pStyle w:val="Normal6"/>
      </w:pPr>
      <w:r>
        <w:t>Programi izobrazbe provodit će se na području cijele RH putem organiziranih tečajeva, seminara i radionica.</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Program izobrazbe</w:t>
            </w:r>
          </w:p>
        </w:tc>
        <w:tc>
          <w:tcPr>
            <w:tcW w:w="1114" w:type="dxa"/>
          </w:tcPr>
          <w:p w:rsidR="00D849AA" w:rsidRDefault="00EE6D95">
            <w:r>
              <w:t>Broj programa</w:t>
            </w:r>
          </w:p>
        </w:tc>
        <w:tc>
          <w:tcPr>
            <w:tcW w:w="1114" w:type="dxa"/>
          </w:tcPr>
          <w:p w:rsidR="00D849AA" w:rsidRDefault="00EE6D95">
            <w:r>
              <w:t>2</w:t>
            </w:r>
          </w:p>
        </w:tc>
        <w:tc>
          <w:tcPr>
            <w:tcW w:w="1486" w:type="dxa"/>
          </w:tcPr>
          <w:p w:rsidR="00D849AA" w:rsidRDefault="00EE6D95">
            <w:r>
              <w:t>4</w:t>
            </w:r>
          </w:p>
        </w:tc>
        <w:tc>
          <w:tcPr>
            <w:tcW w:w="1486" w:type="dxa"/>
          </w:tcPr>
          <w:p w:rsidR="00D849AA" w:rsidRDefault="00EE6D95">
            <w:r>
              <w:t>8</w:t>
            </w:r>
          </w:p>
        </w:tc>
        <w:tc>
          <w:tcPr>
            <w:tcW w:w="1486" w:type="dxa"/>
          </w:tcPr>
          <w:p w:rsidR="00D849AA" w:rsidRDefault="00EE6D95">
            <w:r>
              <w:t>10</w:t>
            </w:r>
          </w:p>
        </w:tc>
      </w:tr>
      <w:tr w:rsidR="00D849AA">
        <w:trPr>
          <w:jc w:val="center"/>
        </w:trPr>
        <w:tc>
          <w:tcPr>
            <w:tcW w:w="2229" w:type="dxa"/>
          </w:tcPr>
          <w:p w:rsidR="00D849AA" w:rsidRDefault="00EE6D95">
            <w:pPr>
              <w:pStyle w:val="CellColumn"/>
            </w:pPr>
            <w:r>
              <w:t>Organiziranje i izvođenje obrazovanja</w:t>
            </w:r>
          </w:p>
        </w:tc>
        <w:tc>
          <w:tcPr>
            <w:tcW w:w="1114" w:type="dxa"/>
          </w:tcPr>
          <w:p w:rsidR="00D849AA" w:rsidRDefault="00EE6D95">
            <w:r>
              <w:t>Broj korisnika po godini</w:t>
            </w:r>
          </w:p>
        </w:tc>
        <w:tc>
          <w:tcPr>
            <w:tcW w:w="1114" w:type="dxa"/>
          </w:tcPr>
          <w:p w:rsidR="00D849AA" w:rsidRDefault="00EE6D95">
            <w:r>
              <w:t>615</w:t>
            </w:r>
          </w:p>
        </w:tc>
        <w:tc>
          <w:tcPr>
            <w:tcW w:w="1486" w:type="dxa"/>
          </w:tcPr>
          <w:p w:rsidR="00D849AA" w:rsidRDefault="00EE6D95">
            <w:r>
              <w:t>25000</w:t>
            </w:r>
          </w:p>
        </w:tc>
        <w:tc>
          <w:tcPr>
            <w:tcW w:w="1486" w:type="dxa"/>
          </w:tcPr>
          <w:p w:rsidR="00D849AA" w:rsidRDefault="00EE6D95">
            <w:r>
              <w:t>30000</w:t>
            </w:r>
          </w:p>
        </w:tc>
        <w:tc>
          <w:tcPr>
            <w:tcW w:w="1486" w:type="dxa"/>
          </w:tcPr>
          <w:p w:rsidR="00D849AA" w:rsidRDefault="00EE6D95">
            <w:r>
              <w:t>15000</w:t>
            </w:r>
          </w:p>
        </w:tc>
      </w:tr>
    </w:tbl>
    <w:p w:rsidR="00D849AA" w:rsidRDefault="00D849AA">
      <w:pPr>
        <w:jc w:val="left"/>
      </w:pPr>
    </w:p>
    <w:p w:rsidR="00D849AA" w:rsidRDefault="00EE6D95">
      <w:pPr>
        <w:pStyle w:val="Naslov5"/>
      </w:pPr>
      <w:r>
        <w:t>Procjena i ishodište potrebnih sredstava za značajnije aktivnosti/projekte</w:t>
      </w:r>
    </w:p>
    <w:p w:rsidR="00D849AA" w:rsidRDefault="00EE6D95">
      <w:pPr>
        <w:pStyle w:val="Naslov6"/>
      </w:pPr>
      <w:r>
        <w:t>A865001 ADMINISTRACIJA I UPRAVLJANJE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A865001</w:t>
            </w:r>
          </w:p>
        </w:tc>
        <w:tc>
          <w:tcPr>
            <w:tcW w:w="1486" w:type="dxa"/>
          </w:tcPr>
          <w:p w:rsidR="00D849AA" w:rsidRDefault="00EE6D95">
            <w:r>
              <w:t>41.470.335</w:t>
            </w:r>
          </w:p>
        </w:tc>
        <w:tc>
          <w:tcPr>
            <w:tcW w:w="1486" w:type="dxa"/>
          </w:tcPr>
          <w:p w:rsidR="00D849AA" w:rsidRDefault="00EE6D95">
            <w:r>
              <w:t>39.452.300</w:t>
            </w:r>
          </w:p>
        </w:tc>
        <w:tc>
          <w:tcPr>
            <w:tcW w:w="1486" w:type="dxa"/>
          </w:tcPr>
          <w:p w:rsidR="00D849AA" w:rsidRDefault="00EE6D95">
            <w:r>
              <w:t>43.217.023</w:t>
            </w:r>
          </w:p>
        </w:tc>
        <w:tc>
          <w:tcPr>
            <w:tcW w:w="1486" w:type="dxa"/>
          </w:tcPr>
          <w:p w:rsidR="00D849AA" w:rsidRDefault="00EE6D95">
            <w:r>
              <w:t>43.289.068</w:t>
            </w:r>
          </w:p>
        </w:tc>
        <w:tc>
          <w:tcPr>
            <w:tcW w:w="1486" w:type="dxa"/>
          </w:tcPr>
          <w:p w:rsidR="00D849AA" w:rsidRDefault="00EE6D95">
            <w:r>
              <w:t>95,1</w:t>
            </w:r>
          </w:p>
        </w:tc>
      </w:tr>
    </w:tbl>
    <w:p w:rsidR="00D849AA" w:rsidRDefault="00D849AA">
      <w:pPr>
        <w:jc w:val="left"/>
      </w:pPr>
    </w:p>
    <w:p w:rsidR="00D849AA" w:rsidRDefault="00EE6D95">
      <w:pPr>
        <w:pStyle w:val="Normal6"/>
      </w:pPr>
      <w:r>
        <w:t>Za redovito poslovanje i obavljanje poljoprivredne savjetodavne djelatnosti u Službi kroz navedenu aktivnost financirat će se troškovi ukupnih rashoda za zaposlene, službenih putovanja, stručnog usavršavanja, korištenja privatnih automobila u službene svrhe, korištenja usluga i dobara, nabave neproizvedene i proizvedene dugotrajne imovine.</w:t>
      </w:r>
    </w:p>
    <w:p w:rsidR="00337A23" w:rsidRDefault="00337A23">
      <w:pPr>
        <w:pStyle w:val="Normal6"/>
      </w:pPr>
    </w:p>
    <w:p w:rsidR="00337A23" w:rsidRDefault="00337A23">
      <w:pPr>
        <w:pStyle w:val="Normal6"/>
      </w:pPr>
    </w:p>
    <w:p w:rsidR="00337A23" w:rsidRDefault="00337A23">
      <w:pPr>
        <w:pStyle w:val="Normal6"/>
      </w:pPr>
    </w:p>
    <w:p w:rsidR="00D849AA" w:rsidRDefault="00EE6D95">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2229"/>
        <w:gridCol w:w="1216"/>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Individualno savjetovanje</w:t>
            </w:r>
          </w:p>
        </w:tc>
        <w:tc>
          <w:tcPr>
            <w:tcW w:w="1114" w:type="dxa"/>
          </w:tcPr>
          <w:p w:rsidR="00D849AA" w:rsidRDefault="00EE6D95">
            <w:r>
              <w:t>Broj PG-a po djelatniku</w:t>
            </w:r>
          </w:p>
        </w:tc>
        <w:tc>
          <w:tcPr>
            <w:tcW w:w="1114" w:type="dxa"/>
          </w:tcPr>
          <w:p w:rsidR="00D849AA" w:rsidRDefault="00EE6D95">
            <w:r>
              <w:t>40</w:t>
            </w:r>
          </w:p>
        </w:tc>
        <w:tc>
          <w:tcPr>
            <w:tcW w:w="1486" w:type="dxa"/>
          </w:tcPr>
          <w:p w:rsidR="00D849AA" w:rsidRDefault="00EE6D95">
            <w:r>
              <w:t>50</w:t>
            </w:r>
          </w:p>
        </w:tc>
        <w:tc>
          <w:tcPr>
            <w:tcW w:w="1486" w:type="dxa"/>
          </w:tcPr>
          <w:p w:rsidR="00D849AA" w:rsidRDefault="00EE6D95">
            <w:r>
              <w:t>70</w:t>
            </w:r>
          </w:p>
        </w:tc>
        <w:tc>
          <w:tcPr>
            <w:tcW w:w="1486" w:type="dxa"/>
          </w:tcPr>
          <w:p w:rsidR="00D849AA" w:rsidRDefault="00EE6D95">
            <w:r>
              <w:t>70</w:t>
            </w:r>
          </w:p>
        </w:tc>
      </w:tr>
      <w:tr w:rsidR="00D849AA">
        <w:trPr>
          <w:jc w:val="center"/>
        </w:trPr>
        <w:tc>
          <w:tcPr>
            <w:tcW w:w="2229" w:type="dxa"/>
          </w:tcPr>
          <w:p w:rsidR="00D849AA" w:rsidRDefault="00EE6D95">
            <w:pPr>
              <w:pStyle w:val="CellColumn"/>
            </w:pPr>
            <w:r>
              <w:t>Savjeti putem masovnih medija</w:t>
            </w:r>
          </w:p>
        </w:tc>
        <w:tc>
          <w:tcPr>
            <w:tcW w:w="1114" w:type="dxa"/>
          </w:tcPr>
          <w:p w:rsidR="00D849AA" w:rsidRDefault="00EE6D95">
            <w:r>
              <w:t>Broj savjeta po djelatniku</w:t>
            </w:r>
          </w:p>
        </w:tc>
        <w:tc>
          <w:tcPr>
            <w:tcW w:w="1114" w:type="dxa"/>
          </w:tcPr>
          <w:p w:rsidR="00D849AA" w:rsidRDefault="00EE6D95">
            <w:r>
              <w:t>5</w:t>
            </w:r>
          </w:p>
        </w:tc>
        <w:tc>
          <w:tcPr>
            <w:tcW w:w="1486" w:type="dxa"/>
          </w:tcPr>
          <w:p w:rsidR="00D849AA" w:rsidRDefault="00EE6D95">
            <w:r>
              <w:t>10</w:t>
            </w:r>
          </w:p>
        </w:tc>
        <w:tc>
          <w:tcPr>
            <w:tcW w:w="1486" w:type="dxa"/>
          </w:tcPr>
          <w:p w:rsidR="00D849AA" w:rsidRDefault="00EE6D95">
            <w:r>
              <w:t>15</w:t>
            </w:r>
          </w:p>
        </w:tc>
        <w:tc>
          <w:tcPr>
            <w:tcW w:w="1486" w:type="dxa"/>
          </w:tcPr>
          <w:p w:rsidR="00D849AA" w:rsidRDefault="00EE6D95">
            <w:r>
              <w:t>15</w:t>
            </w:r>
          </w:p>
        </w:tc>
      </w:tr>
      <w:tr w:rsidR="00D849AA">
        <w:trPr>
          <w:jc w:val="center"/>
        </w:trPr>
        <w:tc>
          <w:tcPr>
            <w:tcW w:w="2229" w:type="dxa"/>
          </w:tcPr>
          <w:p w:rsidR="00D849AA" w:rsidRDefault="00EE6D95">
            <w:pPr>
              <w:pStyle w:val="CellColumn"/>
            </w:pPr>
            <w:r>
              <w:t>Skupne metode savjetovanja</w:t>
            </w:r>
          </w:p>
        </w:tc>
        <w:tc>
          <w:tcPr>
            <w:tcW w:w="1114" w:type="dxa"/>
          </w:tcPr>
          <w:p w:rsidR="00D849AA" w:rsidRDefault="00EE6D95">
            <w:r>
              <w:t>Broj savjetovanja po djelatniku</w:t>
            </w:r>
          </w:p>
        </w:tc>
        <w:tc>
          <w:tcPr>
            <w:tcW w:w="1114" w:type="dxa"/>
          </w:tcPr>
          <w:p w:rsidR="00D849AA" w:rsidRDefault="00EE6D95">
            <w:r>
              <w:t>5</w:t>
            </w:r>
          </w:p>
        </w:tc>
        <w:tc>
          <w:tcPr>
            <w:tcW w:w="1486" w:type="dxa"/>
          </w:tcPr>
          <w:p w:rsidR="00D849AA" w:rsidRDefault="00EE6D95">
            <w:r>
              <w:t>10</w:t>
            </w:r>
          </w:p>
        </w:tc>
        <w:tc>
          <w:tcPr>
            <w:tcW w:w="1486" w:type="dxa"/>
          </w:tcPr>
          <w:p w:rsidR="00D849AA" w:rsidRDefault="00EE6D95">
            <w:r>
              <w:t>10</w:t>
            </w:r>
          </w:p>
        </w:tc>
        <w:tc>
          <w:tcPr>
            <w:tcW w:w="1486" w:type="dxa"/>
          </w:tcPr>
          <w:p w:rsidR="00D849AA" w:rsidRDefault="00EE6D95">
            <w:r>
              <w:t>10</w:t>
            </w:r>
          </w:p>
        </w:tc>
      </w:tr>
    </w:tbl>
    <w:p w:rsidR="00D849AA" w:rsidRDefault="00D849AA">
      <w:pPr>
        <w:jc w:val="left"/>
      </w:pPr>
    </w:p>
    <w:p w:rsidR="00337A23" w:rsidRDefault="00337A23" w:rsidP="00337A23">
      <w:pPr>
        <w:pStyle w:val="Naslov4"/>
      </w:pPr>
      <w:r>
        <w:t>OBRAZLOŽENJE PROGRAMA</w:t>
      </w:r>
    </w:p>
    <w:p w:rsidR="00D849AA" w:rsidRDefault="00EE6D95">
      <w:pPr>
        <w:pStyle w:val="Naslov5"/>
      </w:pPr>
      <w:r>
        <w:t>3002 POLJOPRIVREDA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3002</w:t>
            </w:r>
          </w:p>
        </w:tc>
        <w:tc>
          <w:tcPr>
            <w:tcW w:w="1486" w:type="dxa"/>
          </w:tcPr>
          <w:p w:rsidR="00D849AA" w:rsidRDefault="00EE6D95">
            <w:r>
              <w:t>573.000</w:t>
            </w:r>
          </w:p>
        </w:tc>
        <w:tc>
          <w:tcPr>
            <w:tcW w:w="1486" w:type="dxa"/>
          </w:tcPr>
          <w:p w:rsidR="00D849AA" w:rsidRDefault="00EE6D95">
            <w:r>
              <w:t>543.000</w:t>
            </w:r>
          </w:p>
        </w:tc>
        <w:tc>
          <w:tcPr>
            <w:tcW w:w="1486" w:type="dxa"/>
          </w:tcPr>
          <w:p w:rsidR="00D849AA" w:rsidRDefault="00EE6D95">
            <w:r>
              <w:t>558.000</w:t>
            </w:r>
          </w:p>
        </w:tc>
        <w:tc>
          <w:tcPr>
            <w:tcW w:w="1486" w:type="dxa"/>
          </w:tcPr>
          <w:p w:rsidR="00D849AA" w:rsidRDefault="00EE6D95">
            <w:r>
              <w:t>558.000</w:t>
            </w:r>
          </w:p>
        </w:tc>
        <w:tc>
          <w:tcPr>
            <w:tcW w:w="1486" w:type="dxa"/>
          </w:tcPr>
          <w:p w:rsidR="00D849AA" w:rsidRDefault="00EE6D95">
            <w:r>
              <w:t>94,8</w:t>
            </w:r>
          </w:p>
        </w:tc>
      </w:tr>
    </w:tbl>
    <w:p w:rsidR="00D849AA" w:rsidRDefault="00D849AA">
      <w:pPr>
        <w:jc w:val="left"/>
      </w:pPr>
    </w:p>
    <w:p w:rsidR="00D849AA" w:rsidRDefault="00EE6D95">
      <w:pPr>
        <w:pStyle w:val="Naslov6"/>
      </w:pPr>
      <w:r>
        <w:t>Opis programa</w:t>
      </w:r>
    </w:p>
    <w:p w:rsidR="00D849AA" w:rsidRDefault="00EE6D95">
      <w:pPr>
        <w:pStyle w:val="Normal5"/>
      </w:pPr>
      <w:r>
        <w:t>Ovim programom su obuhvaćene aktivnosti u sklopu kojih će se financirati provođenje godišnjih FADN istraživanja. Podaci koji se prikupljaju godišnjim FADN istraživanjem kontroliraju se i obrađuju sukladno propisanoj metodologiji, u svrhu izrade agregiranih podataka i individualnih rezultata FADN istraživanja te analiza podataka i diseminacija rezultata.</w:t>
      </w:r>
    </w:p>
    <w:p w:rsidR="00D849AA" w:rsidRDefault="00EE6D95">
      <w:pPr>
        <w:pStyle w:val="Naslov6"/>
      </w:pPr>
      <w:r>
        <w:t>Zakonske i druge pravne osnove</w:t>
      </w:r>
    </w:p>
    <w:p w:rsidR="00D849AA" w:rsidRDefault="00EE6D95">
      <w:pPr>
        <w:pStyle w:val="Normal5"/>
      </w:pPr>
      <w:r>
        <w:t>Pravilnik o Sustavu poljoprivrednih knjigovodstvenih podataka (“Narodne novine” br. 70/13)</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Cilj 1. Provođenje godišnjeg FADN istraživanja</w:t>
      </w:r>
    </w:p>
    <w:p w:rsidR="00D849AA" w:rsidRDefault="00EE6D95">
      <w:pPr>
        <w:pStyle w:val="Normal6"/>
      </w:pPr>
      <w:r>
        <w:t xml:space="preserve">Sukladno Pravilniku o Sustavu poljoprivrednih knjigovodstvenih podataka – FADN (Engl. Farm Accuntancy Data Network), Služba će u svojstvu FADN agencije nastaviti s organizacijom i provođenjem godišnjih FADN istraživanja na uzorku poljoprivrednih gospodarstava prema propisanoj metodologiji. Puna uspostava FADN sustava nastupila je stupanjem RH u punopravno članstvo u EU na reprezentativnom uzorku poljoprivrednih gospodarstava.  </w:t>
      </w:r>
    </w:p>
    <w:p w:rsidR="00D849AA" w:rsidRDefault="00EE6D95">
      <w:pPr>
        <w:pStyle w:val="Normal6"/>
      </w:pPr>
      <w:r>
        <w:lastRenderedPageBreak/>
        <w:t xml:space="preserve">Strukturni, proizvodni, ekonomski i financijski podaci koji se prikupljaju godišnjim FADN istraživanjem sustavno se kontroliraju i obrađuju u bazi podataka sukladno propisanoj metodologiji, u svrhu izračuna agregiranih rezultata i individualnih podataka FADN istraživanja. </w:t>
      </w:r>
    </w:p>
    <w:p w:rsidR="00D849AA" w:rsidRDefault="00EE6D95">
      <w:pPr>
        <w:pStyle w:val="Normal6"/>
      </w:pPr>
      <w:r>
        <w:t>Nacionalno izvješće (tzv. Standardni rezultati) godišnjeg FADN istraživanja čini skup agregiranih (skupnih) podataka i rezultata koji se izračunavaju za potrebe nacionalne poljoprivredne politike i dostavljaju nadležnim državnim tijelima. Stupanjem u punopravno članstvo EU, FADN agencija u obvezi je Europskoj Komisiji dostavljati obrađene podatke FADN istraživanja u propisanoj formi izvješća (tzv. Farm Return) za sva poljoprivredna gospodarstva obuhvaćena u uzorku godišnjeg FADN istraživanja.</w:t>
      </w:r>
    </w:p>
    <w:p w:rsidR="00D849AA" w:rsidRDefault="00D849AA">
      <w:pPr>
        <w:jc w:val="left"/>
      </w:pPr>
    </w:p>
    <w:p w:rsidR="00D849AA" w:rsidRDefault="00EE6D95">
      <w:pPr>
        <w:pStyle w:val="Naslov5"/>
      </w:pPr>
      <w:r>
        <w:t>Procjena i ishodište potrebnih sredstava za značajnije aktivnosti/projekte</w:t>
      </w:r>
    </w:p>
    <w:p w:rsidR="00D849AA" w:rsidRDefault="00EE6D95">
      <w:pPr>
        <w:pStyle w:val="Naslov6"/>
      </w:pPr>
      <w:r>
        <w:t>A865002 PROVEDBA GODIŠNJIH FADN ISTRAŽIVANJA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A865002</w:t>
            </w:r>
          </w:p>
        </w:tc>
        <w:tc>
          <w:tcPr>
            <w:tcW w:w="1486" w:type="dxa"/>
          </w:tcPr>
          <w:p w:rsidR="00D849AA" w:rsidRDefault="00EE6D95">
            <w:r>
              <w:t>573.000</w:t>
            </w:r>
          </w:p>
        </w:tc>
        <w:tc>
          <w:tcPr>
            <w:tcW w:w="1486" w:type="dxa"/>
          </w:tcPr>
          <w:p w:rsidR="00D849AA" w:rsidRDefault="00EE6D95">
            <w:r>
              <w:t>543.000</w:t>
            </w:r>
          </w:p>
        </w:tc>
        <w:tc>
          <w:tcPr>
            <w:tcW w:w="1486" w:type="dxa"/>
          </w:tcPr>
          <w:p w:rsidR="00D849AA" w:rsidRDefault="00EE6D95">
            <w:r>
              <w:t>558.000</w:t>
            </w:r>
          </w:p>
        </w:tc>
        <w:tc>
          <w:tcPr>
            <w:tcW w:w="1486" w:type="dxa"/>
          </w:tcPr>
          <w:p w:rsidR="00D849AA" w:rsidRDefault="00EE6D95">
            <w:r>
              <w:t>558.000</w:t>
            </w:r>
          </w:p>
        </w:tc>
        <w:tc>
          <w:tcPr>
            <w:tcW w:w="1486" w:type="dxa"/>
          </w:tcPr>
          <w:p w:rsidR="00D849AA" w:rsidRDefault="00EE6D95">
            <w:r>
              <w:t>94,8</w:t>
            </w:r>
          </w:p>
        </w:tc>
      </w:tr>
    </w:tbl>
    <w:p w:rsidR="00D849AA" w:rsidRDefault="00D849AA">
      <w:pPr>
        <w:jc w:val="left"/>
      </w:pPr>
    </w:p>
    <w:p w:rsidR="00D849AA" w:rsidRDefault="00EE6D95">
      <w:pPr>
        <w:pStyle w:val="Normal6"/>
      </w:pPr>
      <w:r>
        <w:t>Za provedbu godišnjih FADN istraživanja u Službi kroz navedenu aktivnost financirat će se troškovi  službenih putovanja, stručnog usavršavanja, korištenja privatnih automobila u službene svrhe, korištenja usluga i nabave računalnih programa za potrebe istraživanja.</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Povećanje uzorka poljoprivrednih gospodarstava</w:t>
            </w:r>
          </w:p>
        </w:tc>
        <w:tc>
          <w:tcPr>
            <w:tcW w:w="1114" w:type="dxa"/>
          </w:tcPr>
          <w:p w:rsidR="00D849AA" w:rsidRDefault="00EE6D95">
            <w:r>
              <w:t>Broj PG-a</w:t>
            </w:r>
          </w:p>
        </w:tc>
        <w:tc>
          <w:tcPr>
            <w:tcW w:w="1114" w:type="dxa"/>
          </w:tcPr>
          <w:p w:rsidR="00D849AA" w:rsidRDefault="00EE6D95">
            <w:r>
              <w:t>1074</w:t>
            </w:r>
          </w:p>
        </w:tc>
        <w:tc>
          <w:tcPr>
            <w:tcW w:w="1486" w:type="dxa"/>
          </w:tcPr>
          <w:p w:rsidR="00D849AA" w:rsidRDefault="00EE6D95">
            <w:r>
              <w:t>1251</w:t>
            </w:r>
          </w:p>
        </w:tc>
        <w:tc>
          <w:tcPr>
            <w:tcW w:w="1486" w:type="dxa"/>
          </w:tcPr>
          <w:p w:rsidR="00D849AA" w:rsidRDefault="00EE6D95">
            <w:r>
              <w:t>1251</w:t>
            </w:r>
          </w:p>
        </w:tc>
        <w:tc>
          <w:tcPr>
            <w:tcW w:w="1486" w:type="dxa"/>
          </w:tcPr>
          <w:p w:rsidR="00D849AA" w:rsidRDefault="00EE6D95">
            <w:r>
              <w:t>1251</w:t>
            </w:r>
          </w:p>
        </w:tc>
      </w:tr>
    </w:tbl>
    <w:p w:rsidR="00D849AA" w:rsidRDefault="00D849AA">
      <w:pPr>
        <w:jc w:val="left"/>
      </w:pPr>
    </w:p>
    <w:p w:rsidR="00D849AA" w:rsidRDefault="00EE6D95">
      <w:pPr>
        <w:pStyle w:val="Naslov1"/>
      </w:pPr>
      <w:r>
        <w:lastRenderedPageBreak/>
        <w:t>061 MINISTARSTVO REGIONALNOGA RAZVOJA I FONDOVA EUROPSKE UNIJE</w:t>
      </w:r>
    </w:p>
    <w:p w:rsidR="00D849AA" w:rsidRDefault="00EE6D95">
      <w:pPr>
        <w:pStyle w:val="Naslov4"/>
      </w:pPr>
      <w:r>
        <w:t>Uvod</w:t>
      </w:r>
    </w:p>
    <w:p w:rsidR="00D849AA" w:rsidRDefault="00EE6D95">
      <w:pPr>
        <w:pStyle w:val="Normal3"/>
      </w:pPr>
      <w:r>
        <w:t xml:space="preserve">Ministarstvo regionalnoga razvoja i fondova Europske unije nositelj je politike ravnomjernog regionalnog razvoja čiji je cilj dodatno razvijati slabije razvijena područja u Republici Hrvatskoj i tako smanjiti regionalne razvojne nejednakosti u Republici Hrvatskoj. Regionalni razvoj jedna je od najvažnijih smjernica Europske unije koja čak trećinu svoga proračuna izdvaja za razvoj slabije razvijenih regija u EU, kroz kohezijsku politiku EU. Politika ravnomjernog regionalnog razvoja u Republici Hrvatskoj podrazumijeva planiranje, provođenje i koordinaciju aktivnosti regionalne razvojne politike i uspostave cjelovitog sustava programiranja, upravljanja i financiranja regionalnog razvoja. Donošenjem Zakona o regionalnom razvoju, a potom i prihvaćanjem Strategije regionalnog razvoja Republike Hrvatske, uspostavljeni su temelji upravljanja politikom regionalnog razvoja usmjereni prema izgradnji ukupnog razvojnog potencijala u Republici Hrvatskoj. Nastojeći smanjiti neuravnoteženost u razvoju pojedinih područja i pripomoći stvaranju preduvjeta za održivi gospodarski i društveni razvoj, ministarstvo provodi programe i mjere izgradnje i modernizacije objekata komunalne i socijalne infrastrukture, temeljene na partnerstvu i solidarnosti. U nadležnost Ministarstva regionalnoga razvoja i fondova EU nalazi se glava 20 - Agencija za regionalni razvoj Republike Hrvatske. Agencija za regionalni razvoj osnovana je 24. prosinca 2008. godine Uredbom o osnivanju Agencije za regionalni razvoj RH (Narodne novine, broj 155/08), kao provedbeno tijelo Ministarstva regionalnog razvoja, šumarstva i vodnoga gospodarstva za financiranje, nabavu, plaćanje i nadzor provedbe projekata regionalne razvojne politike Republike Hrvatske. Agencija je akreditirana od strane Europske komisije čime je potvrđena kao provedbeno i ugovarateljno tijelo za II B IPA komponentu koja uključuje transnacionalne programe i programe prekogranične suradnje. Provedba predstavlja financijsko upravljanje projektima, pripremu i izradu smjernica za natječajne procedure, provođenje postupaka nabave vezano za prijave projekata za dodjelu sredstava iz pojedinih programa, ocjenjivanje projektnih ideja, odabira projekata kojima će se dodijeliti financijska sredstva, priprema i zaključenje ugovora, vršenje plaćanja prema utvrđenim kriterijima i sklopljenim ugovorima te praćenje tijekova financijskih sredstava. Također, u nadležnosti ministarstva se nalazi i glava 25 - Središnja agencija za financiranje i ugovaranje programa i projekata Europske unije (SAFU). Temeljem međunarodnog sporazuma koje je Vlada Republike Hrvatske sklopila s Europskom komisijom, te Ugovora o pristupanju Republike Hrvatske Europskoj uniji i odluci Europske komisije koja proizlazi iz navedenog Ugovora, SAFU je tijelo nadležno za provedbu prve (I) komponente Instrumenata pretpristupne pomoći i Prijelaznog instrumenta. U skladu sa navedenim programima, SAFU ima ulogu provedbene agencije, što znači da je nadležna za provedbu postupaka javne nabave, ugovaranje, plaćanja i nadzor provedbe programa i projekata prema pravilima financijskog upravljanja i kontrole koje propisuje Europska komisija. SAFU je od strane Komisije akreditirana za nevedene poslove i obavlja ih u suradnji sa ostalim tijelima državne i javne uprave kao korisnicima projekata. Sukladno odredbama Zakona o uspostavi institucionalnog okvira za korištenje strukturnih instrumenata Europske unije u RH (Narodne novine, broj 78/12) i Uredbe o tijelima u sustavu upravljanja i kontrole korištenjastrukturnih instrumenata EU, SAFU je od 01. srpnja 2013. godine nadležna za obavljanje poslova Posredničkog tijela razine 2 u okviru strukturnih instrumenata:  </w:t>
      </w:r>
    </w:p>
    <w:p w:rsidR="00D849AA" w:rsidRDefault="00EE6D95">
      <w:pPr>
        <w:pStyle w:val="Normal3"/>
      </w:pPr>
      <w:r>
        <w:t xml:space="preserve">- Cjelokupnog Operativnog programa za regionalnu konkurentnost, </w:t>
      </w:r>
    </w:p>
    <w:p w:rsidR="00D849AA" w:rsidRDefault="00EE6D95">
      <w:pPr>
        <w:pStyle w:val="Normal3"/>
      </w:pPr>
      <w:r>
        <w:t xml:space="preserve">- Operativnog programa za okoliš - Prioritet 3. Tehnička pomoć,  </w:t>
      </w:r>
    </w:p>
    <w:p w:rsidR="00D849AA" w:rsidRDefault="00EE6D95">
      <w:pPr>
        <w:pStyle w:val="Normal3"/>
      </w:pPr>
      <w:r>
        <w:t xml:space="preserve">- Operativnog programa za promet - prioritet 2. Unapređenje sustava unutarnje plovidbe u Hrvatskoj i prioritet 3. Tehnička pomoć. </w:t>
      </w:r>
    </w:p>
    <w:p w:rsidR="00D849AA" w:rsidRDefault="00EE6D95">
      <w:pPr>
        <w:pStyle w:val="Normal3"/>
      </w:pPr>
      <w:r>
        <w:t>Kao Posredničko tijelo razine 2 SAFU sudjeluje u postupku evaluacije projektnih prijedloga te provodi nadzor nad provedbom tih projekta koje sufinancira proračun Europske unije.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06105 Ministarstvo regionalnoga razvoja i fondova Europske unije</w:t>
            </w:r>
          </w:p>
        </w:tc>
        <w:tc>
          <w:tcPr>
            <w:tcW w:w="1486" w:type="dxa"/>
          </w:tcPr>
          <w:p w:rsidR="00D849AA" w:rsidRDefault="00EE6D95">
            <w:r>
              <w:t>780.191.064</w:t>
            </w:r>
          </w:p>
        </w:tc>
        <w:tc>
          <w:tcPr>
            <w:tcW w:w="1486" w:type="dxa"/>
          </w:tcPr>
          <w:p w:rsidR="00D849AA" w:rsidRDefault="00EE6D95">
            <w:r>
              <w:t>725.624.274</w:t>
            </w:r>
          </w:p>
        </w:tc>
        <w:tc>
          <w:tcPr>
            <w:tcW w:w="1486" w:type="dxa"/>
          </w:tcPr>
          <w:p w:rsidR="00D849AA" w:rsidRDefault="00EE6D95">
            <w:r>
              <w:t>660.137.638</w:t>
            </w:r>
          </w:p>
        </w:tc>
        <w:tc>
          <w:tcPr>
            <w:tcW w:w="1486" w:type="dxa"/>
          </w:tcPr>
          <w:p w:rsidR="00D849AA" w:rsidRDefault="00EE6D95">
            <w:r>
              <w:t>587.567.261</w:t>
            </w:r>
          </w:p>
        </w:tc>
        <w:tc>
          <w:tcPr>
            <w:tcW w:w="1486" w:type="dxa"/>
          </w:tcPr>
          <w:p w:rsidR="00D849AA" w:rsidRDefault="00EE6D95">
            <w:r>
              <w:t>93,0</w:t>
            </w:r>
          </w:p>
        </w:tc>
      </w:tr>
      <w:tr w:rsidR="00D849AA">
        <w:trPr>
          <w:jc w:val="center"/>
        </w:trPr>
        <w:tc>
          <w:tcPr>
            <w:tcW w:w="1486" w:type="dxa"/>
          </w:tcPr>
          <w:p w:rsidR="00D849AA" w:rsidRDefault="00EE6D95">
            <w:pPr>
              <w:pStyle w:val="CellColumn"/>
            </w:pPr>
            <w:r>
              <w:t>06120 Agencija za regionalni razvoj Republike Hrvatske</w:t>
            </w:r>
          </w:p>
        </w:tc>
        <w:tc>
          <w:tcPr>
            <w:tcW w:w="1486" w:type="dxa"/>
          </w:tcPr>
          <w:p w:rsidR="00D849AA" w:rsidRDefault="00EE6D95">
            <w:r>
              <w:t>7.336.876</w:t>
            </w:r>
          </w:p>
        </w:tc>
        <w:tc>
          <w:tcPr>
            <w:tcW w:w="1486" w:type="dxa"/>
          </w:tcPr>
          <w:p w:rsidR="00D849AA" w:rsidRDefault="00EE6D95">
            <w:r>
              <w:t>8.467.200</w:t>
            </w:r>
          </w:p>
        </w:tc>
        <w:tc>
          <w:tcPr>
            <w:tcW w:w="1486" w:type="dxa"/>
          </w:tcPr>
          <w:p w:rsidR="00D849AA" w:rsidRDefault="00EE6D95">
            <w:r>
              <w:t>12.706.560</w:t>
            </w:r>
          </w:p>
        </w:tc>
        <w:tc>
          <w:tcPr>
            <w:tcW w:w="1486" w:type="dxa"/>
          </w:tcPr>
          <w:p w:rsidR="00D849AA" w:rsidRDefault="00EE6D95">
            <w:r>
              <w:t>12.706.560</w:t>
            </w:r>
          </w:p>
        </w:tc>
        <w:tc>
          <w:tcPr>
            <w:tcW w:w="1486" w:type="dxa"/>
          </w:tcPr>
          <w:p w:rsidR="00D849AA" w:rsidRDefault="00EE6D95">
            <w:r>
              <w:t>115,4</w:t>
            </w:r>
          </w:p>
        </w:tc>
      </w:tr>
      <w:tr w:rsidR="00D849AA">
        <w:trPr>
          <w:jc w:val="center"/>
        </w:trPr>
        <w:tc>
          <w:tcPr>
            <w:tcW w:w="1486" w:type="dxa"/>
          </w:tcPr>
          <w:p w:rsidR="00D849AA" w:rsidRDefault="00EE6D95">
            <w:pPr>
              <w:pStyle w:val="CellColumn"/>
            </w:pPr>
            <w:r>
              <w:t>06125 Središnja agencija za financiranje i ugovaranje programa i projekata Europske unije</w:t>
            </w:r>
          </w:p>
        </w:tc>
        <w:tc>
          <w:tcPr>
            <w:tcW w:w="1486" w:type="dxa"/>
          </w:tcPr>
          <w:p w:rsidR="00D849AA" w:rsidRDefault="00EE6D95">
            <w:r>
              <w:t>30.277.736</w:t>
            </w:r>
          </w:p>
        </w:tc>
        <w:tc>
          <w:tcPr>
            <w:tcW w:w="1486" w:type="dxa"/>
          </w:tcPr>
          <w:p w:rsidR="00D849AA" w:rsidRDefault="00EE6D95">
            <w:r>
              <w:t>32.168.029</w:t>
            </w:r>
          </w:p>
        </w:tc>
        <w:tc>
          <w:tcPr>
            <w:tcW w:w="1486" w:type="dxa"/>
          </w:tcPr>
          <w:p w:rsidR="00D849AA" w:rsidRDefault="00EE6D95">
            <w:r>
              <w:t>34.237.033</w:t>
            </w:r>
          </w:p>
        </w:tc>
        <w:tc>
          <w:tcPr>
            <w:tcW w:w="1486" w:type="dxa"/>
          </w:tcPr>
          <w:p w:rsidR="00D849AA" w:rsidRDefault="00EE6D95">
            <w:r>
              <w:t>34.073.658</w:t>
            </w:r>
          </w:p>
        </w:tc>
        <w:tc>
          <w:tcPr>
            <w:tcW w:w="1486" w:type="dxa"/>
          </w:tcPr>
          <w:p w:rsidR="00D849AA" w:rsidRDefault="00EE6D95">
            <w:r>
              <w:t>106,2</w:t>
            </w:r>
          </w:p>
        </w:tc>
      </w:tr>
      <w:tr w:rsidR="00D849AA">
        <w:trPr>
          <w:jc w:val="center"/>
        </w:trPr>
        <w:tc>
          <w:tcPr>
            <w:tcW w:w="1486" w:type="dxa"/>
            <w:shd w:val="clear" w:color="auto" w:fill="B5C0D8"/>
          </w:tcPr>
          <w:p w:rsidR="00D849AA" w:rsidRDefault="00EE6D95">
            <w:pPr>
              <w:pStyle w:val="CellColumn"/>
            </w:pPr>
            <w:r>
              <w:t>Ukupno 061</w:t>
            </w:r>
          </w:p>
        </w:tc>
        <w:tc>
          <w:tcPr>
            <w:tcW w:w="1486" w:type="dxa"/>
            <w:shd w:val="clear" w:color="auto" w:fill="B5C0D8"/>
          </w:tcPr>
          <w:p w:rsidR="00D849AA" w:rsidRDefault="00EE6D95">
            <w:r>
              <w:t>817.805.676</w:t>
            </w:r>
          </w:p>
        </w:tc>
        <w:tc>
          <w:tcPr>
            <w:tcW w:w="1486" w:type="dxa"/>
            <w:shd w:val="clear" w:color="auto" w:fill="B5C0D8"/>
          </w:tcPr>
          <w:p w:rsidR="00D849AA" w:rsidRDefault="00EE6D95">
            <w:r>
              <w:t>766.259.503</w:t>
            </w:r>
          </w:p>
        </w:tc>
        <w:tc>
          <w:tcPr>
            <w:tcW w:w="1486" w:type="dxa"/>
            <w:shd w:val="clear" w:color="auto" w:fill="B5C0D8"/>
          </w:tcPr>
          <w:p w:rsidR="00D849AA" w:rsidRDefault="00EE6D95">
            <w:r>
              <w:t>707.081.231</w:t>
            </w:r>
          </w:p>
        </w:tc>
        <w:tc>
          <w:tcPr>
            <w:tcW w:w="1486" w:type="dxa"/>
            <w:shd w:val="clear" w:color="auto" w:fill="B5C0D8"/>
          </w:tcPr>
          <w:p w:rsidR="00D849AA" w:rsidRDefault="00EE6D95">
            <w:r>
              <w:t>634.347.479</w:t>
            </w:r>
          </w:p>
        </w:tc>
        <w:tc>
          <w:tcPr>
            <w:tcW w:w="1486" w:type="dxa"/>
            <w:shd w:val="clear" w:color="auto" w:fill="B5C0D8"/>
          </w:tcPr>
          <w:p w:rsidR="00D849AA" w:rsidRDefault="00EE6D95">
            <w:r>
              <w:t>93,7</w:t>
            </w:r>
          </w:p>
        </w:tc>
      </w:tr>
    </w:tbl>
    <w:p w:rsidR="00D849AA" w:rsidRDefault="00D849AA">
      <w:pPr>
        <w:jc w:val="left"/>
      </w:pPr>
    </w:p>
    <w:p w:rsidR="00D849AA" w:rsidRDefault="00EE6D95">
      <w:pPr>
        <w:pStyle w:val="Naslov2"/>
      </w:pPr>
      <w:r>
        <w:t>06105 Ministarstvo regionalnoga razvoja i fondova Europske unije</w:t>
      </w:r>
    </w:p>
    <w:p w:rsidR="00D849AA" w:rsidRDefault="00EE6D95">
      <w:pPr>
        <w:pStyle w:val="Naslov4"/>
      </w:pPr>
      <w:r>
        <w:t>Uvod</w:t>
      </w:r>
    </w:p>
    <w:p w:rsidR="00D849AA" w:rsidRDefault="00EE6D95">
      <w:pPr>
        <w:pStyle w:val="Normal3"/>
      </w:pPr>
      <w:r>
        <w:t xml:space="preserve">Ministarstvo regionalnoga razvoja i fondova Europske unije obavlja upravne i druge poslove koje se odnose na planiranje i provođenje regionalne razvojne politike i uspostave cjelovitog sustava planiranja, programiranja, upravljanja i financiranja regionalnoga razvoja; koordinaciju sudionika i aktivnosti vezanih uz planiranje, programiranje, provedbu, praćenje provedbe i vrednovanje godišnjih i višegodišnjih regionalnih razvojnih programa i projekta koji su namjenjeni razvoju županija i širih regija, poticanju razvoja područja koja zaostaju za nacionalnim razvojnim prosjekom, poticanju razvoja prekogranične, međuregionalne i transnacionalne suradnje kao i na pripremu prioriteta i višegodišnjih i godišnjih strateških i operativnih dokumenata za korištenje sredstava fondova Europske unije i ostalih međunarodnih izvora financiranja namjenjenih regionalnom razvoju. Također, ministarstvo predlaže i koordinira provedbu državnih poticajnih mjera i regionalnih razvojnih programa i projekata, te praćenje njihove provedbe i vrednovanje njihovih učinaka; koordinira i vodi sve međuresorne radne skupine vezane za regionalni razvoj i koordinaciju svih poslova vezanih za usklađivanje s Europskom unijom na području regionalne politike i upravljanje strukturnim instrumentima. Ministarstvo surađuje i koordinira potrebnim aktivnostima s jedinicama lokalne i regionalne (područne) samouprave, te s ostalim sudionicima i nositeljima u pripremi, organizaciji i provedbi razvojnih programa i projekata. Priprema strateške dokumente koji uređuju nacionalne razvojne ciljeve i prioritete za korištenje sredstava iz fondova </w:t>
      </w:r>
      <w:r>
        <w:lastRenderedPageBreak/>
        <w:t>Europske unije te prati provedbu mjera i aktivnosti utvrđenih takvim strateškim dokumentima, koordinira poslove vezane uz upravljanje programima Europske unije koji su otvoreni u Republici Hrvatskoj te u okviru svog djelokruga surađuje s institucijama i tijelima Europske unije i državama članicama. Također, u nadležnosti ministarstva se nalazi i praćenje održivog razvoja Jadranskog mora, otoka i priobalja. Predlaže se razvojna politika i uspostava cjelovitog sustava planiranja, programiranja, upravljanja i financiranja razvoja otoka i priobalja, planiranje, izrada i provedba strateških dokumenata i projekata prometne, komunalne i društvene infrastrukture na otocima i u priobalju, pokretanje, usklađivanje i nadzor poslova određenih aktima i propisima kojima se uređuje razvitak otoka</w:t>
      </w:r>
      <w:r w:rsidR="00AA0B4F">
        <w:t xml:space="preserve"> i priobalja. Također, ministar</w:t>
      </w:r>
      <w:r>
        <w:t>s</w:t>
      </w:r>
      <w:r w:rsidR="00AA0B4F">
        <w:t>t</w:t>
      </w:r>
      <w:r>
        <w:t>vo obavlja upravne i druge poslove koji se odnose na sudjelovanje u radu tijela Europske unije na područjima iz svoje nadležnosti.</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AA0B4F" w:rsidRDefault="00D849AA">
            <w:pPr>
              <w:pStyle w:val="CellHeader"/>
            </w:pPr>
          </w:p>
        </w:tc>
        <w:tc>
          <w:tcPr>
            <w:tcW w:w="1486" w:type="dxa"/>
            <w:shd w:val="clear" w:color="auto" w:fill="B5C0D8"/>
          </w:tcPr>
          <w:p w:rsidR="00D849AA" w:rsidRPr="00AA0B4F" w:rsidRDefault="00EE6D95">
            <w:pPr>
              <w:pStyle w:val="CellHeader"/>
            </w:pPr>
            <w:r w:rsidRPr="00AA0B4F">
              <w:t>Plan 2013.</w:t>
            </w:r>
          </w:p>
        </w:tc>
        <w:tc>
          <w:tcPr>
            <w:tcW w:w="1486" w:type="dxa"/>
            <w:shd w:val="clear" w:color="auto" w:fill="B5C0D8"/>
          </w:tcPr>
          <w:p w:rsidR="00D849AA" w:rsidRPr="00AA0B4F" w:rsidRDefault="00EE6D95">
            <w:pPr>
              <w:pStyle w:val="CellHeader"/>
            </w:pPr>
            <w:r w:rsidRPr="00AA0B4F">
              <w:t>Plan 2014.</w:t>
            </w:r>
          </w:p>
        </w:tc>
        <w:tc>
          <w:tcPr>
            <w:tcW w:w="1486" w:type="dxa"/>
            <w:shd w:val="clear" w:color="auto" w:fill="B5C0D8"/>
          </w:tcPr>
          <w:p w:rsidR="00D849AA" w:rsidRPr="00AA0B4F" w:rsidRDefault="00EE6D95">
            <w:pPr>
              <w:pStyle w:val="CellHeader"/>
            </w:pPr>
            <w:r w:rsidRPr="00AA0B4F">
              <w:t>Plan 2015.</w:t>
            </w:r>
          </w:p>
        </w:tc>
        <w:tc>
          <w:tcPr>
            <w:tcW w:w="1486" w:type="dxa"/>
            <w:shd w:val="clear" w:color="auto" w:fill="B5C0D8"/>
          </w:tcPr>
          <w:p w:rsidR="00D849AA" w:rsidRPr="00AA0B4F" w:rsidRDefault="00EE6D95">
            <w:pPr>
              <w:pStyle w:val="CellHeader"/>
            </w:pPr>
            <w:r w:rsidRPr="00AA0B4F">
              <w:t>Plan 2016.</w:t>
            </w:r>
          </w:p>
        </w:tc>
        <w:tc>
          <w:tcPr>
            <w:tcW w:w="1486" w:type="dxa"/>
            <w:shd w:val="clear" w:color="auto" w:fill="B5C0D8"/>
          </w:tcPr>
          <w:p w:rsidR="00D849AA" w:rsidRPr="00AA0B4F" w:rsidRDefault="00EE6D95">
            <w:pPr>
              <w:pStyle w:val="CellHeader"/>
            </w:pPr>
            <w:r w:rsidRPr="00AA0B4F">
              <w:t>Indeks 2014/2013</w:t>
            </w:r>
          </w:p>
        </w:tc>
      </w:tr>
      <w:tr w:rsidR="00D849AA">
        <w:trPr>
          <w:jc w:val="center"/>
        </w:trPr>
        <w:tc>
          <w:tcPr>
            <w:tcW w:w="1486" w:type="dxa"/>
          </w:tcPr>
          <w:p w:rsidR="00D849AA" w:rsidRPr="00AA0B4F" w:rsidRDefault="00EE6D95">
            <w:pPr>
              <w:pStyle w:val="CellColumn"/>
            </w:pPr>
            <w:r w:rsidRPr="00AA0B4F">
              <w:t>06105</w:t>
            </w:r>
          </w:p>
        </w:tc>
        <w:tc>
          <w:tcPr>
            <w:tcW w:w="1486" w:type="dxa"/>
          </w:tcPr>
          <w:p w:rsidR="00D849AA" w:rsidRPr="00AA0B4F" w:rsidRDefault="00EE6D95">
            <w:pPr>
              <w:rPr>
                <w:rFonts w:ascii="Arial" w:hAnsi="Arial" w:cs="Arial"/>
              </w:rPr>
            </w:pPr>
            <w:r w:rsidRPr="00AA0B4F">
              <w:rPr>
                <w:rFonts w:ascii="Arial" w:hAnsi="Arial" w:cs="Arial"/>
              </w:rPr>
              <w:t>780.191.064</w:t>
            </w:r>
          </w:p>
        </w:tc>
        <w:tc>
          <w:tcPr>
            <w:tcW w:w="1486" w:type="dxa"/>
          </w:tcPr>
          <w:p w:rsidR="00D849AA" w:rsidRPr="00AA0B4F" w:rsidRDefault="00EE6D95">
            <w:pPr>
              <w:rPr>
                <w:rFonts w:ascii="Arial" w:hAnsi="Arial" w:cs="Arial"/>
              </w:rPr>
            </w:pPr>
            <w:r w:rsidRPr="00AA0B4F">
              <w:rPr>
                <w:rFonts w:ascii="Arial" w:hAnsi="Arial" w:cs="Arial"/>
              </w:rPr>
              <w:t>725.624.274</w:t>
            </w:r>
          </w:p>
        </w:tc>
        <w:tc>
          <w:tcPr>
            <w:tcW w:w="1486" w:type="dxa"/>
          </w:tcPr>
          <w:p w:rsidR="00D849AA" w:rsidRPr="00AA0B4F" w:rsidRDefault="00EE6D95">
            <w:pPr>
              <w:rPr>
                <w:rFonts w:ascii="Arial" w:hAnsi="Arial" w:cs="Arial"/>
              </w:rPr>
            </w:pPr>
            <w:r w:rsidRPr="00AA0B4F">
              <w:rPr>
                <w:rFonts w:ascii="Arial" w:hAnsi="Arial" w:cs="Arial"/>
              </w:rPr>
              <w:t>660.137.638</w:t>
            </w:r>
          </w:p>
        </w:tc>
        <w:tc>
          <w:tcPr>
            <w:tcW w:w="1486" w:type="dxa"/>
          </w:tcPr>
          <w:p w:rsidR="00D849AA" w:rsidRPr="00AA0B4F" w:rsidRDefault="00EE6D95">
            <w:pPr>
              <w:rPr>
                <w:rFonts w:ascii="Arial" w:hAnsi="Arial" w:cs="Arial"/>
              </w:rPr>
            </w:pPr>
            <w:r w:rsidRPr="00AA0B4F">
              <w:rPr>
                <w:rFonts w:ascii="Arial" w:hAnsi="Arial" w:cs="Arial"/>
              </w:rPr>
              <w:t>587.567.261</w:t>
            </w:r>
          </w:p>
        </w:tc>
        <w:tc>
          <w:tcPr>
            <w:tcW w:w="1486" w:type="dxa"/>
          </w:tcPr>
          <w:p w:rsidR="00D849AA" w:rsidRPr="00AA0B4F" w:rsidRDefault="00EE6D95">
            <w:pPr>
              <w:rPr>
                <w:rFonts w:ascii="Arial" w:hAnsi="Arial" w:cs="Arial"/>
              </w:rPr>
            </w:pPr>
            <w:r w:rsidRPr="00AA0B4F">
              <w:rPr>
                <w:rFonts w:ascii="Arial" w:hAnsi="Arial" w:cs="Arial"/>
              </w:rPr>
              <w:t>93,0</w:t>
            </w:r>
          </w:p>
        </w:tc>
      </w:tr>
    </w:tbl>
    <w:p w:rsidR="00D849AA" w:rsidRDefault="00D849AA">
      <w:pPr>
        <w:jc w:val="left"/>
      </w:pPr>
    </w:p>
    <w:p w:rsidR="00D849AA" w:rsidRDefault="00EE6D95">
      <w:pPr>
        <w:pStyle w:val="Naslov4"/>
      </w:pPr>
      <w:r>
        <w:t>OBRAZLOŽENJE PROGRAMA</w:t>
      </w:r>
    </w:p>
    <w:p w:rsidR="00D849AA" w:rsidRDefault="00EE6D95">
      <w:pPr>
        <w:pStyle w:val="Naslov5"/>
      </w:pPr>
      <w:r>
        <w:t>2201 STRATEŠKO PLANIRANJE I KOORDINACIJA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AA0B4F" w:rsidRDefault="00D849AA">
            <w:pPr>
              <w:pStyle w:val="CellHeader"/>
            </w:pPr>
          </w:p>
        </w:tc>
        <w:tc>
          <w:tcPr>
            <w:tcW w:w="1486" w:type="dxa"/>
            <w:shd w:val="clear" w:color="auto" w:fill="B5C0D8"/>
          </w:tcPr>
          <w:p w:rsidR="00D849AA" w:rsidRPr="00AA0B4F" w:rsidRDefault="00EE6D95">
            <w:pPr>
              <w:pStyle w:val="CellHeader"/>
            </w:pPr>
            <w:r w:rsidRPr="00AA0B4F">
              <w:t>Plan 2013.</w:t>
            </w:r>
          </w:p>
        </w:tc>
        <w:tc>
          <w:tcPr>
            <w:tcW w:w="1486" w:type="dxa"/>
            <w:shd w:val="clear" w:color="auto" w:fill="B5C0D8"/>
          </w:tcPr>
          <w:p w:rsidR="00D849AA" w:rsidRPr="00AA0B4F" w:rsidRDefault="00EE6D95">
            <w:pPr>
              <w:pStyle w:val="CellHeader"/>
            </w:pPr>
            <w:r w:rsidRPr="00AA0B4F">
              <w:t>Plan 2014.</w:t>
            </w:r>
          </w:p>
        </w:tc>
        <w:tc>
          <w:tcPr>
            <w:tcW w:w="1486" w:type="dxa"/>
            <w:shd w:val="clear" w:color="auto" w:fill="B5C0D8"/>
          </w:tcPr>
          <w:p w:rsidR="00D849AA" w:rsidRPr="00AA0B4F" w:rsidRDefault="00EE6D95">
            <w:pPr>
              <w:pStyle w:val="CellHeader"/>
            </w:pPr>
            <w:r w:rsidRPr="00AA0B4F">
              <w:t>Plan 2015.</w:t>
            </w:r>
          </w:p>
        </w:tc>
        <w:tc>
          <w:tcPr>
            <w:tcW w:w="1486" w:type="dxa"/>
            <w:shd w:val="clear" w:color="auto" w:fill="B5C0D8"/>
          </w:tcPr>
          <w:p w:rsidR="00D849AA" w:rsidRPr="00AA0B4F" w:rsidRDefault="00EE6D95">
            <w:pPr>
              <w:pStyle w:val="CellHeader"/>
            </w:pPr>
            <w:r w:rsidRPr="00AA0B4F">
              <w:t>Plan 2016.</w:t>
            </w:r>
          </w:p>
        </w:tc>
        <w:tc>
          <w:tcPr>
            <w:tcW w:w="1486" w:type="dxa"/>
            <w:shd w:val="clear" w:color="auto" w:fill="B5C0D8"/>
          </w:tcPr>
          <w:p w:rsidR="00D849AA" w:rsidRPr="00AA0B4F" w:rsidRDefault="00EE6D95">
            <w:pPr>
              <w:pStyle w:val="CellHeader"/>
            </w:pPr>
            <w:r w:rsidRPr="00AA0B4F">
              <w:t>Indeks 2014/2013</w:t>
            </w:r>
          </w:p>
        </w:tc>
      </w:tr>
      <w:tr w:rsidR="00D849AA">
        <w:trPr>
          <w:jc w:val="center"/>
        </w:trPr>
        <w:tc>
          <w:tcPr>
            <w:tcW w:w="1486" w:type="dxa"/>
          </w:tcPr>
          <w:p w:rsidR="00D849AA" w:rsidRPr="00AA0B4F" w:rsidRDefault="00EE6D95">
            <w:pPr>
              <w:pStyle w:val="CellColumn"/>
            </w:pPr>
            <w:r w:rsidRPr="00AA0B4F">
              <w:t>2201</w:t>
            </w:r>
          </w:p>
        </w:tc>
        <w:tc>
          <w:tcPr>
            <w:tcW w:w="1486" w:type="dxa"/>
          </w:tcPr>
          <w:p w:rsidR="00D849AA" w:rsidRPr="00AA0B4F" w:rsidRDefault="00EE6D95">
            <w:pPr>
              <w:rPr>
                <w:rFonts w:ascii="Arial" w:hAnsi="Arial" w:cs="Arial"/>
              </w:rPr>
            </w:pPr>
            <w:r w:rsidRPr="00AA0B4F">
              <w:rPr>
                <w:rFonts w:ascii="Arial" w:hAnsi="Arial" w:cs="Arial"/>
              </w:rPr>
              <w:t>16.970.268</w:t>
            </w:r>
          </w:p>
        </w:tc>
        <w:tc>
          <w:tcPr>
            <w:tcW w:w="1486" w:type="dxa"/>
          </w:tcPr>
          <w:p w:rsidR="00D849AA" w:rsidRPr="00AA0B4F" w:rsidRDefault="00EE6D95">
            <w:pPr>
              <w:rPr>
                <w:rFonts w:ascii="Arial" w:hAnsi="Arial" w:cs="Arial"/>
              </w:rPr>
            </w:pPr>
            <w:r w:rsidRPr="00AA0B4F">
              <w:rPr>
                <w:rFonts w:ascii="Arial" w:hAnsi="Arial" w:cs="Arial"/>
              </w:rPr>
              <w:t>10.628.118</w:t>
            </w:r>
          </w:p>
        </w:tc>
        <w:tc>
          <w:tcPr>
            <w:tcW w:w="1486" w:type="dxa"/>
          </w:tcPr>
          <w:p w:rsidR="00D849AA" w:rsidRPr="00AA0B4F" w:rsidRDefault="00EE6D95">
            <w:pPr>
              <w:rPr>
                <w:rFonts w:ascii="Arial" w:hAnsi="Arial" w:cs="Arial"/>
              </w:rPr>
            </w:pPr>
            <w:r w:rsidRPr="00AA0B4F">
              <w:rPr>
                <w:rFonts w:ascii="Arial" w:hAnsi="Arial" w:cs="Arial"/>
              </w:rPr>
              <w:t>4.546.450</w:t>
            </w:r>
          </w:p>
        </w:tc>
        <w:tc>
          <w:tcPr>
            <w:tcW w:w="1486" w:type="dxa"/>
          </w:tcPr>
          <w:p w:rsidR="00D849AA" w:rsidRPr="00AA0B4F" w:rsidRDefault="00EE6D95">
            <w:pPr>
              <w:rPr>
                <w:rFonts w:ascii="Arial" w:hAnsi="Arial" w:cs="Arial"/>
              </w:rPr>
            </w:pPr>
            <w:r w:rsidRPr="00AA0B4F">
              <w:rPr>
                <w:rFonts w:ascii="Arial" w:hAnsi="Arial" w:cs="Arial"/>
              </w:rPr>
              <w:t>2.300.000</w:t>
            </w:r>
          </w:p>
        </w:tc>
        <w:tc>
          <w:tcPr>
            <w:tcW w:w="1486" w:type="dxa"/>
          </w:tcPr>
          <w:p w:rsidR="00D849AA" w:rsidRPr="00AA0B4F" w:rsidRDefault="00EE6D95">
            <w:pPr>
              <w:rPr>
                <w:rFonts w:ascii="Arial" w:hAnsi="Arial" w:cs="Arial"/>
              </w:rPr>
            </w:pPr>
            <w:r w:rsidRPr="00AA0B4F">
              <w:rPr>
                <w:rFonts w:ascii="Arial" w:hAnsi="Arial" w:cs="Arial"/>
              </w:rPr>
              <w:t>62,6</w:t>
            </w:r>
          </w:p>
        </w:tc>
      </w:tr>
    </w:tbl>
    <w:p w:rsidR="00D849AA" w:rsidRDefault="00D849AA">
      <w:pPr>
        <w:jc w:val="left"/>
      </w:pPr>
    </w:p>
    <w:p w:rsidR="00D849AA" w:rsidRDefault="00EE6D95">
      <w:pPr>
        <w:pStyle w:val="Naslov6"/>
      </w:pPr>
      <w:r>
        <w:t>Opis programa</w:t>
      </w:r>
    </w:p>
    <w:p w:rsidR="00D849AA" w:rsidRDefault="00EE6D95">
      <w:pPr>
        <w:pStyle w:val="Normal5"/>
      </w:pPr>
      <w:r>
        <w:t xml:space="preserve">Program obuhvaća osnovne programske funkcije koje se odnose na izradu i praćenje provedbe nacionalnih strateških dokumenata za korištenje fondova Europske unije i sudjelovanje u Europskom semestru, koordinaciju fondova Europske unije, obrazovanje potencijalnih korisnika za korištenje sredstva Europske unije te informiranje javnosti o mogućnostima korištenja sredstva Europske unije. Dodatno, nakon ulaska u Europsku uniju Republika Hrvatska postala je prihvatljiva za sudjelovanje u donatorskim aktivnosti EGP i Švicarske Konfederacije. </w:t>
      </w:r>
    </w:p>
    <w:p w:rsidR="00D849AA" w:rsidRDefault="00EE6D95">
      <w:pPr>
        <w:pStyle w:val="Normal5"/>
      </w:pPr>
      <w:r>
        <w:t>Kroz program se provodi cilj Ministarstva – Ostvarenje nacionalnih razvojnih prioriteta kroz koordinaciju korištenja sredstava Europske unije. Pri tome se identificiranju mogućnosti da se određeni nacionalni razvojni prioriteti financiranju sredstvima Europske unije u područjima u kojima je to moguće i usklađeno s regulativom Europske unije. Obavljanjem koordinacijskih aktivnosti, osigurava se učinkovito usmjeravanje te korištenje raspoloživih sredstava EU na određene nacionalne razvojne prioritete.</w:t>
      </w:r>
    </w:p>
    <w:p w:rsidR="00D849AA" w:rsidRDefault="00EE6D95">
      <w:pPr>
        <w:pStyle w:val="Naslov6"/>
      </w:pPr>
      <w:r>
        <w:t>Zakonske i druge pravne osnove</w:t>
      </w:r>
    </w:p>
    <w:p w:rsidR="00D849AA" w:rsidRDefault="00EE6D95">
      <w:pPr>
        <w:pStyle w:val="Normal5"/>
      </w:pPr>
      <w:r>
        <w:t xml:space="preserve">1. Uredba (EZ-a) br. 1085/2006 kojom se uspostavlja instrument pretpristupne pomoći (Okvirna uredba o programu IPA). Stupivši na snagu od 1. siječnja 2007. godine, ovaj instrument predstavlja jedinstvenu pravnu osnovu za pružanje financijske pomoći državama kandidatkinjama (uključujući Hrvatsku). </w:t>
      </w:r>
    </w:p>
    <w:p w:rsidR="00D849AA" w:rsidRDefault="00EE6D95">
      <w:pPr>
        <w:pStyle w:val="Normal5"/>
      </w:pPr>
      <w:r>
        <w:lastRenderedPageBreak/>
        <w:t xml:space="preserve">2. Uredba (EZ-a) br. 718/2007 o provedbi Okvirne uredbe o programu IPA, koja sadrži detaljne važeće odredbe o upravljanju i kontroli (Provedbena uredba o programu IPA). </w:t>
      </w:r>
    </w:p>
    <w:p w:rsidR="00D849AA" w:rsidRDefault="00EE6D95">
      <w:pPr>
        <w:pStyle w:val="Normal5"/>
      </w:pPr>
      <w:r>
        <w:t xml:space="preserve">3. Dana 27. kolovoza 2007. godine Vlada Republike Hrvatske i Komisija Europskih zajednica sklopile su Okvirni sporazum odredivši pri tome opća pravila suradnje i provedbe pomoći u Okviru Instrumenta pretpristupne pomoći (IPA). Navedena pravila odnose se i na Prijelazni instrument pomoći za Republiku Hrvatsku. </w:t>
      </w:r>
    </w:p>
    <w:p w:rsidR="00D849AA" w:rsidRDefault="00EE6D95">
      <w:pPr>
        <w:pStyle w:val="Normal5"/>
      </w:pPr>
      <w:r>
        <w:t>Korištenje Programa Prijelaznog instrumenta temeljit će se na Provedbenoj odluci Europske komisije, dok će aktivnosti provedbe donatorskih aktivnosti iz Europskog  gospodarskog prostora biti podložene provedbi procedure za sklapanje međunarodnih sporazuma.</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Cilj 1. Ostvarivanje nacionalnih razvojnih prioriteta kroz koordinaciju korištenja sredstava Europske unije</w:t>
      </w:r>
    </w:p>
    <w:p w:rsidR="00D849AA" w:rsidRDefault="00EE6D95">
      <w:pPr>
        <w:pStyle w:val="Normal6"/>
      </w:pPr>
      <w:r>
        <w:t xml:space="preserve">U navedenom cilju Ministarstvo regionalnoga razvoja i fondova Europske unije identificira mogućnosti da se određeni nacionalni razvojni prioriteti financiraju sredstvima EU u područjima u kojima je to moguće i usklađeno sa regulatornim okvirom EU. Obavljanjem aktivnosti koordinacije kroz blisku suradnju sa sektorskim ministarstvima, Ministarstvo regionalnoga razvoja i fondova EU osigurava učinkovito usmjeravanje te korištenje raspoloživih EU sredstava na određene nacionalne razvojne prioritete.  </w:t>
      </w:r>
    </w:p>
    <w:p w:rsidR="00D849AA" w:rsidRDefault="00EE6D95">
      <w:pPr>
        <w:pStyle w:val="Normal6"/>
      </w:pPr>
      <w:r>
        <w:t xml:space="preserve">MRRFEU partnerski surađuje s tijelima EK s jedne strane te institucijama RH s druge strane kako bi se optimalno i učinkovito iskoristila sredstva za ispunjenje obveza RH. Sveoubuhvatnost posla očituje se ne samo kroz koordinaciju institucija RH i EK u pripremi projekata već i u pripremi strateških dokumenata u kojima MRRFEU predstavlja RH kao ravnopravnog partnera EK, kao i njenih predstavnika u institucijama EU. Ulaskom u EU, MRRFEU postaje koordinacijsko tijelo za upravljanje strukturnim instrumentima, te tako koordinira pripreme za korištenje strukturnih instrumenata EU. </w:t>
      </w:r>
    </w:p>
    <w:p w:rsidR="00D849AA" w:rsidRDefault="00EE6D95">
      <w:pPr>
        <w:pStyle w:val="Normal6"/>
      </w:pPr>
      <w:r>
        <w:t>MRRFEU priprema operativne programe u suradnji s partnerima, kako bi se stvorio okvir za pripremu i prijavu projekata koji su identificirani kao prioritetni. Svaki operativni program prolazi kroz nizove konzultacija kako bi se izbjegla moguća preklapanja na više razina: preklapanja s aktivnostima koje mogu imati slični utjecaj (rezultat), te preklapanja aktivnosti koje će se financirati kroz komponentu I programa IPA s aktivnostima koje će biti predmet tehničke pomoći unutar pojedinog operativnog programa. MRRFEU je nadležno za pravovremeno osposobljavanje nadležnih tijela za buduće upravljanje programom/ima i projektima u okviru korištenja strukturnih fondova nakon članstva u EU.</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AA0B4F" w:rsidRDefault="00EE6D95">
            <w:pPr>
              <w:rPr>
                <w:rFonts w:ascii="Arial" w:hAnsi="Arial" w:cs="Arial"/>
              </w:rPr>
            </w:pPr>
            <w:r w:rsidRPr="00AA0B4F">
              <w:rPr>
                <w:rFonts w:ascii="Arial" w:hAnsi="Arial" w:cs="Arial"/>
              </w:rPr>
              <w:t>Pokazatelj učinka</w:t>
            </w:r>
          </w:p>
        </w:tc>
        <w:tc>
          <w:tcPr>
            <w:tcW w:w="1114" w:type="dxa"/>
            <w:shd w:val="clear" w:color="auto" w:fill="B5C0D8"/>
          </w:tcPr>
          <w:p w:rsidR="00D849AA" w:rsidRPr="00AA0B4F" w:rsidRDefault="00EE6D95">
            <w:pPr>
              <w:pStyle w:val="CellHeader"/>
            </w:pPr>
            <w:r w:rsidRPr="00AA0B4F">
              <w:t>Jedinica</w:t>
            </w:r>
          </w:p>
        </w:tc>
        <w:tc>
          <w:tcPr>
            <w:tcW w:w="1114" w:type="dxa"/>
            <w:shd w:val="clear" w:color="auto" w:fill="B5C0D8"/>
          </w:tcPr>
          <w:p w:rsidR="00D849AA" w:rsidRPr="00AA0B4F" w:rsidRDefault="00EE6D95">
            <w:pPr>
              <w:pStyle w:val="CellHeader"/>
            </w:pPr>
            <w:r w:rsidRPr="00AA0B4F">
              <w:t>Polazna vrijednost</w:t>
            </w:r>
          </w:p>
        </w:tc>
        <w:tc>
          <w:tcPr>
            <w:tcW w:w="1486" w:type="dxa"/>
            <w:shd w:val="clear" w:color="auto" w:fill="B5C0D8"/>
          </w:tcPr>
          <w:p w:rsidR="00D849AA" w:rsidRPr="00AA0B4F" w:rsidRDefault="00EE6D95">
            <w:pPr>
              <w:pStyle w:val="CellHeader"/>
            </w:pPr>
            <w:r w:rsidRPr="00AA0B4F">
              <w:t>Ciljana vrijednost (2014.)</w:t>
            </w:r>
          </w:p>
        </w:tc>
        <w:tc>
          <w:tcPr>
            <w:tcW w:w="1486" w:type="dxa"/>
            <w:shd w:val="clear" w:color="auto" w:fill="B5C0D8"/>
          </w:tcPr>
          <w:p w:rsidR="00D849AA" w:rsidRPr="00AA0B4F" w:rsidRDefault="00EE6D95">
            <w:pPr>
              <w:pStyle w:val="CellHeader"/>
            </w:pPr>
            <w:r w:rsidRPr="00AA0B4F">
              <w:t>Ciljana vrijednost (2015.)</w:t>
            </w:r>
          </w:p>
        </w:tc>
        <w:tc>
          <w:tcPr>
            <w:tcW w:w="1486" w:type="dxa"/>
            <w:shd w:val="clear" w:color="auto" w:fill="B5C0D8"/>
          </w:tcPr>
          <w:p w:rsidR="00D849AA" w:rsidRPr="00AA0B4F" w:rsidRDefault="00EE6D95">
            <w:pPr>
              <w:pStyle w:val="CellHeader"/>
            </w:pPr>
            <w:r w:rsidRPr="00AA0B4F">
              <w:t>Ciljana vrijednost (2016.)</w:t>
            </w:r>
          </w:p>
        </w:tc>
      </w:tr>
      <w:tr w:rsidR="00D849AA">
        <w:trPr>
          <w:jc w:val="center"/>
        </w:trPr>
        <w:tc>
          <w:tcPr>
            <w:tcW w:w="2229" w:type="dxa"/>
          </w:tcPr>
          <w:p w:rsidR="00D849AA" w:rsidRPr="00AA0B4F" w:rsidRDefault="00EE6D95">
            <w:pPr>
              <w:pStyle w:val="CellColumn"/>
            </w:pPr>
            <w:r w:rsidRPr="00AA0B4F">
              <w:t>Ustrojen i funkcionalni sustav strateškog planiranja na nacionalnoj razini, usmjeren na glavne determinante gospodarskog i društvenog razvoja</w:t>
            </w:r>
          </w:p>
        </w:tc>
        <w:tc>
          <w:tcPr>
            <w:tcW w:w="1114" w:type="dxa"/>
          </w:tcPr>
          <w:p w:rsidR="00D849AA" w:rsidRPr="00AA0B4F" w:rsidRDefault="00EE6D95">
            <w:pPr>
              <w:rPr>
                <w:rFonts w:ascii="Arial" w:hAnsi="Arial" w:cs="Arial"/>
              </w:rPr>
            </w:pPr>
            <w:r w:rsidRPr="00AA0B4F">
              <w:rPr>
                <w:rFonts w:ascii="Arial" w:hAnsi="Arial" w:cs="Arial"/>
              </w:rPr>
              <w:t>%</w:t>
            </w:r>
          </w:p>
        </w:tc>
        <w:tc>
          <w:tcPr>
            <w:tcW w:w="1114" w:type="dxa"/>
          </w:tcPr>
          <w:p w:rsidR="00D849AA" w:rsidRPr="00AA0B4F" w:rsidRDefault="00EE6D95">
            <w:pPr>
              <w:rPr>
                <w:rFonts w:ascii="Arial" w:hAnsi="Arial" w:cs="Arial"/>
              </w:rPr>
            </w:pPr>
            <w:r w:rsidRPr="00AA0B4F">
              <w:rPr>
                <w:rFonts w:ascii="Arial" w:hAnsi="Arial" w:cs="Arial"/>
              </w:rPr>
              <w:t>N/A</w:t>
            </w:r>
          </w:p>
        </w:tc>
        <w:tc>
          <w:tcPr>
            <w:tcW w:w="1486" w:type="dxa"/>
          </w:tcPr>
          <w:p w:rsidR="00D849AA" w:rsidRPr="00AA0B4F" w:rsidRDefault="00EE6D95">
            <w:pPr>
              <w:rPr>
                <w:rFonts w:ascii="Arial" w:hAnsi="Arial" w:cs="Arial"/>
              </w:rPr>
            </w:pPr>
            <w:r w:rsidRPr="00AA0B4F">
              <w:rPr>
                <w:rFonts w:ascii="Arial" w:hAnsi="Arial" w:cs="Arial"/>
              </w:rPr>
              <w:t>40</w:t>
            </w:r>
          </w:p>
        </w:tc>
        <w:tc>
          <w:tcPr>
            <w:tcW w:w="1486" w:type="dxa"/>
          </w:tcPr>
          <w:p w:rsidR="00D849AA" w:rsidRPr="00AA0B4F" w:rsidRDefault="00EE6D95">
            <w:pPr>
              <w:rPr>
                <w:rFonts w:ascii="Arial" w:hAnsi="Arial" w:cs="Arial"/>
              </w:rPr>
            </w:pPr>
            <w:r w:rsidRPr="00AA0B4F">
              <w:rPr>
                <w:rFonts w:ascii="Arial" w:hAnsi="Arial" w:cs="Arial"/>
              </w:rPr>
              <w:t>75</w:t>
            </w:r>
          </w:p>
        </w:tc>
        <w:tc>
          <w:tcPr>
            <w:tcW w:w="1486" w:type="dxa"/>
          </w:tcPr>
          <w:p w:rsidR="00D849AA" w:rsidRPr="00AA0B4F" w:rsidRDefault="00EE6D95">
            <w:pPr>
              <w:rPr>
                <w:rFonts w:ascii="Arial" w:hAnsi="Arial" w:cs="Arial"/>
              </w:rPr>
            </w:pPr>
            <w:r w:rsidRPr="00AA0B4F">
              <w:rPr>
                <w:rFonts w:ascii="Arial" w:hAnsi="Arial" w:cs="Arial"/>
              </w:rPr>
              <w:t>100</w:t>
            </w:r>
          </w:p>
        </w:tc>
      </w:tr>
      <w:tr w:rsidR="00D849AA">
        <w:trPr>
          <w:jc w:val="center"/>
        </w:trPr>
        <w:tc>
          <w:tcPr>
            <w:tcW w:w="2229" w:type="dxa"/>
          </w:tcPr>
          <w:p w:rsidR="00D849AA" w:rsidRPr="00AA0B4F" w:rsidRDefault="00EE6D95">
            <w:pPr>
              <w:pStyle w:val="CellColumn"/>
            </w:pPr>
            <w:r w:rsidRPr="00AA0B4F">
              <w:t xml:space="preserve">Omjer vrijednosti programiranih </w:t>
            </w:r>
            <w:r w:rsidRPr="00AA0B4F">
              <w:lastRenderedPageBreak/>
              <w:t>projekata u odnosu na vrijednost alociranih sredstava</w:t>
            </w:r>
          </w:p>
        </w:tc>
        <w:tc>
          <w:tcPr>
            <w:tcW w:w="1114" w:type="dxa"/>
          </w:tcPr>
          <w:p w:rsidR="00D849AA" w:rsidRPr="00AA0B4F" w:rsidRDefault="00EE6D95">
            <w:pPr>
              <w:rPr>
                <w:rFonts w:ascii="Arial" w:hAnsi="Arial" w:cs="Arial"/>
              </w:rPr>
            </w:pPr>
            <w:r w:rsidRPr="00AA0B4F">
              <w:rPr>
                <w:rFonts w:ascii="Arial" w:hAnsi="Arial" w:cs="Arial"/>
              </w:rPr>
              <w:lastRenderedPageBreak/>
              <w:t>%</w:t>
            </w:r>
          </w:p>
        </w:tc>
        <w:tc>
          <w:tcPr>
            <w:tcW w:w="1114" w:type="dxa"/>
          </w:tcPr>
          <w:p w:rsidR="00D849AA" w:rsidRPr="00AA0B4F" w:rsidRDefault="00EE6D95">
            <w:pPr>
              <w:rPr>
                <w:rFonts w:ascii="Arial" w:hAnsi="Arial" w:cs="Arial"/>
              </w:rPr>
            </w:pPr>
            <w:r w:rsidRPr="00AA0B4F">
              <w:rPr>
                <w:rFonts w:ascii="Arial" w:hAnsi="Arial" w:cs="Arial"/>
              </w:rPr>
              <w:t>100</w:t>
            </w:r>
          </w:p>
        </w:tc>
        <w:tc>
          <w:tcPr>
            <w:tcW w:w="1486" w:type="dxa"/>
          </w:tcPr>
          <w:p w:rsidR="00D849AA" w:rsidRPr="00AA0B4F" w:rsidRDefault="00EE6D95">
            <w:pPr>
              <w:rPr>
                <w:rFonts w:ascii="Arial" w:hAnsi="Arial" w:cs="Arial"/>
              </w:rPr>
            </w:pPr>
            <w:r w:rsidRPr="00AA0B4F">
              <w:rPr>
                <w:rFonts w:ascii="Arial" w:hAnsi="Arial" w:cs="Arial"/>
              </w:rPr>
              <w:t>100</w:t>
            </w:r>
          </w:p>
        </w:tc>
        <w:tc>
          <w:tcPr>
            <w:tcW w:w="1486" w:type="dxa"/>
          </w:tcPr>
          <w:p w:rsidR="00D849AA" w:rsidRPr="00AA0B4F" w:rsidRDefault="00EE6D95">
            <w:pPr>
              <w:rPr>
                <w:rFonts w:ascii="Arial" w:hAnsi="Arial" w:cs="Arial"/>
              </w:rPr>
            </w:pPr>
            <w:r w:rsidRPr="00AA0B4F">
              <w:rPr>
                <w:rFonts w:ascii="Arial" w:hAnsi="Arial" w:cs="Arial"/>
              </w:rPr>
              <w:t>100</w:t>
            </w:r>
          </w:p>
        </w:tc>
        <w:tc>
          <w:tcPr>
            <w:tcW w:w="1486" w:type="dxa"/>
          </w:tcPr>
          <w:p w:rsidR="00D849AA" w:rsidRPr="00AA0B4F" w:rsidRDefault="00EE6D95">
            <w:pPr>
              <w:rPr>
                <w:rFonts w:ascii="Arial" w:hAnsi="Arial" w:cs="Arial"/>
              </w:rPr>
            </w:pPr>
            <w:r w:rsidRPr="00AA0B4F">
              <w:rPr>
                <w:rFonts w:ascii="Arial" w:hAnsi="Arial" w:cs="Arial"/>
              </w:rPr>
              <w:t>100</w:t>
            </w:r>
          </w:p>
        </w:tc>
      </w:tr>
      <w:tr w:rsidR="00D849AA">
        <w:trPr>
          <w:jc w:val="center"/>
        </w:trPr>
        <w:tc>
          <w:tcPr>
            <w:tcW w:w="2229" w:type="dxa"/>
          </w:tcPr>
          <w:p w:rsidR="00D849AA" w:rsidRPr="00AA0B4F" w:rsidRDefault="00EE6D95">
            <w:pPr>
              <w:pStyle w:val="CellColumn"/>
            </w:pPr>
            <w:r w:rsidRPr="00AA0B4F">
              <w:lastRenderedPageBreak/>
              <w:t>Ustrojen i funkcionalan sustav praćenja provedbe i vanjskog vrednovanja projekata/programa EU u cilju povećanja kvalitete učinka programa</w:t>
            </w:r>
          </w:p>
        </w:tc>
        <w:tc>
          <w:tcPr>
            <w:tcW w:w="1114" w:type="dxa"/>
          </w:tcPr>
          <w:p w:rsidR="00D849AA" w:rsidRPr="00AA0B4F" w:rsidRDefault="00EE6D95">
            <w:pPr>
              <w:rPr>
                <w:rFonts w:ascii="Arial" w:hAnsi="Arial" w:cs="Arial"/>
              </w:rPr>
            </w:pPr>
            <w:r w:rsidRPr="00AA0B4F">
              <w:rPr>
                <w:rFonts w:ascii="Arial" w:hAnsi="Arial" w:cs="Arial"/>
              </w:rPr>
              <w:t>%</w:t>
            </w:r>
          </w:p>
        </w:tc>
        <w:tc>
          <w:tcPr>
            <w:tcW w:w="1114" w:type="dxa"/>
          </w:tcPr>
          <w:p w:rsidR="00D849AA" w:rsidRPr="00AA0B4F" w:rsidRDefault="00EE6D95">
            <w:pPr>
              <w:rPr>
                <w:rFonts w:ascii="Arial" w:hAnsi="Arial" w:cs="Arial"/>
              </w:rPr>
            </w:pPr>
            <w:r w:rsidRPr="00AA0B4F">
              <w:rPr>
                <w:rFonts w:ascii="Arial" w:hAnsi="Arial" w:cs="Arial"/>
              </w:rPr>
              <w:t>100</w:t>
            </w:r>
          </w:p>
        </w:tc>
        <w:tc>
          <w:tcPr>
            <w:tcW w:w="1486" w:type="dxa"/>
          </w:tcPr>
          <w:p w:rsidR="00D849AA" w:rsidRPr="00AA0B4F" w:rsidRDefault="00EE6D95">
            <w:pPr>
              <w:rPr>
                <w:rFonts w:ascii="Arial" w:hAnsi="Arial" w:cs="Arial"/>
              </w:rPr>
            </w:pPr>
            <w:r w:rsidRPr="00AA0B4F">
              <w:rPr>
                <w:rFonts w:ascii="Arial" w:hAnsi="Arial" w:cs="Arial"/>
              </w:rPr>
              <w:t>100</w:t>
            </w:r>
          </w:p>
        </w:tc>
        <w:tc>
          <w:tcPr>
            <w:tcW w:w="1486" w:type="dxa"/>
          </w:tcPr>
          <w:p w:rsidR="00D849AA" w:rsidRPr="00AA0B4F" w:rsidRDefault="00EE6D95">
            <w:pPr>
              <w:rPr>
                <w:rFonts w:ascii="Arial" w:hAnsi="Arial" w:cs="Arial"/>
              </w:rPr>
            </w:pPr>
            <w:r w:rsidRPr="00AA0B4F">
              <w:rPr>
                <w:rFonts w:ascii="Arial" w:hAnsi="Arial" w:cs="Arial"/>
              </w:rPr>
              <w:t>100</w:t>
            </w:r>
          </w:p>
        </w:tc>
        <w:tc>
          <w:tcPr>
            <w:tcW w:w="1486" w:type="dxa"/>
          </w:tcPr>
          <w:p w:rsidR="00D849AA" w:rsidRPr="00AA0B4F" w:rsidRDefault="00EE6D95">
            <w:pPr>
              <w:rPr>
                <w:rFonts w:ascii="Arial" w:hAnsi="Arial" w:cs="Arial"/>
              </w:rPr>
            </w:pPr>
            <w:r w:rsidRPr="00AA0B4F">
              <w:rPr>
                <w:rFonts w:ascii="Arial" w:hAnsi="Arial" w:cs="Arial"/>
              </w:rPr>
              <w:t>100</w:t>
            </w:r>
          </w:p>
        </w:tc>
      </w:tr>
      <w:tr w:rsidR="00D849AA">
        <w:trPr>
          <w:jc w:val="center"/>
        </w:trPr>
        <w:tc>
          <w:tcPr>
            <w:tcW w:w="2229" w:type="dxa"/>
          </w:tcPr>
          <w:p w:rsidR="00D849AA" w:rsidRPr="00AA0B4F" w:rsidRDefault="00EE6D95">
            <w:pPr>
              <w:pStyle w:val="CellColumn"/>
            </w:pPr>
            <w:r w:rsidRPr="00AA0B4F">
              <w:t>Plan aktivnosti i Godišnje izvješće o radu (broj polaznika i sudionika te učestalost informativnih i obrazovnih aktivnosti</w:t>
            </w:r>
          </w:p>
        </w:tc>
        <w:tc>
          <w:tcPr>
            <w:tcW w:w="1114" w:type="dxa"/>
          </w:tcPr>
          <w:p w:rsidR="00D849AA" w:rsidRPr="00AA0B4F" w:rsidRDefault="00EE6D95">
            <w:pPr>
              <w:rPr>
                <w:rFonts w:ascii="Arial" w:hAnsi="Arial" w:cs="Arial"/>
              </w:rPr>
            </w:pPr>
            <w:r w:rsidRPr="00AA0B4F">
              <w:rPr>
                <w:rFonts w:ascii="Arial" w:hAnsi="Arial" w:cs="Arial"/>
              </w:rPr>
              <w:t>%</w:t>
            </w:r>
          </w:p>
        </w:tc>
        <w:tc>
          <w:tcPr>
            <w:tcW w:w="1114" w:type="dxa"/>
          </w:tcPr>
          <w:p w:rsidR="00D849AA" w:rsidRPr="00AA0B4F" w:rsidRDefault="00EE6D95">
            <w:pPr>
              <w:rPr>
                <w:rFonts w:ascii="Arial" w:hAnsi="Arial" w:cs="Arial"/>
              </w:rPr>
            </w:pPr>
            <w:r w:rsidRPr="00AA0B4F">
              <w:rPr>
                <w:rFonts w:ascii="Arial" w:hAnsi="Arial" w:cs="Arial"/>
              </w:rPr>
              <w:t>75</w:t>
            </w:r>
          </w:p>
        </w:tc>
        <w:tc>
          <w:tcPr>
            <w:tcW w:w="1486" w:type="dxa"/>
          </w:tcPr>
          <w:p w:rsidR="00D849AA" w:rsidRPr="00AA0B4F" w:rsidRDefault="00EE6D95">
            <w:pPr>
              <w:rPr>
                <w:rFonts w:ascii="Arial" w:hAnsi="Arial" w:cs="Arial"/>
              </w:rPr>
            </w:pPr>
            <w:r w:rsidRPr="00AA0B4F">
              <w:rPr>
                <w:rFonts w:ascii="Arial" w:hAnsi="Arial" w:cs="Arial"/>
              </w:rPr>
              <w:t>80</w:t>
            </w:r>
          </w:p>
        </w:tc>
        <w:tc>
          <w:tcPr>
            <w:tcW w:w="1486" w:type="dxa"/>
          </w:tcPr>
          <w:p w:rsidR="00D849AA" w:rsidRPr="00AA0B4F" w:rsidRDefault="00EE6D95">
            <w:pPr>
              <w:rPr>
                <w:rFonts w:ascii="Arial" w:hAnsi="Arial" w:cs="Arial"/>
              </w:rPr>
            </w:pPr>
            <w:r w:rsidRPr="00AA0B4F">
              <w:rPr>
                <w:rFonts w:ascii="Arial" w:hAnsi="Arial" w:cs="Arial"/>
              </w:rPr>
              <w:t>85</w:t>
            </w:r>
          </w:p>
        </w:tc>
        <w:tc>
          <w:tcPr>
            <w:tcW w:w="1486" w:type="dxa"/>
          </w:tcPr>
          <w:p w:rsidR="00D849AA" w:rsidRPr="00AA0B4F" w:rsidRDefault="00EE6D95">
            <w:pPr>
              <w:rPr>
                <w:rFonts w:ascii="Arial" w:hAnsi="Arial" w:cs="Arial"/>
              </w:rPr>
            </w:pPr>
            <w:r w:rsidRPr="00AA0B4F">
              <w:rPr>
                <w:rFonts w:ascii="Arial" w:hAnsi="Arial" w:cs="Arial"/>
              </w:rPr>
              <w:t>100</w:t>
            </w:r>
          </w:p>
        </w:tc>
      </w:tr>
    </w:tbl>
    <w:p w:rsidR="00D849AA" w:rsidRDefault="00D849AA">
      <w:pPr>
        <w:jc w:val="left"/>
      </w:pPr>
    </w:p>
    <w:p w:rsidR="00D849AA" w:rsidRDefault="00EE6D95">
      <w:pPr>
        <w:pStyle w:val="Naslov5"/>
      </w:pPr>
      <w:r>
        <w:t>Procjena i ishodište potrebnih sredstava za značajnije aktivnosti/projekte</w:t>
      </w:r>
    </w:p>
    <w:p w:rsidR="00D849AA" w:rsidRDefault="00EE6D95">
      <w:pPr>
        <w:pStyle w:val="Naslov6"/>
      </w:pPr>
      <w:r>
        <w:t>A758021 IPA 2008 JAČANJE KAPACITETA ZA UČINKOVITO UPRAVLJANJE SREDSTVIMA KOHEZIJSKE POLITIKE EU</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A758021</w:t>
            </w:r>
          </w:p>
        </w:tc>
        <w:tc>
          <w:tcPr>
            <w:tcW w:w="1486" w:type="dxa"/>
          </w:tcPr>
          <w:p w:rsidR="00D849AA" w:rsidRDefault="00EE6D95">
            <w:r>
              <w:t>5.250.000</w:t>
            </w:r>
          </w:p>
        </w:tc>
        <w:tc>
          <w:tcPr>
            <w:tcW w:w="1486" w:type="dxa"/>
          </w:tcPr>
          <w:p w:rsidR="00D849AA" w:rsidRDefault="00EE6D95">
            <w:r>
              <w:t>1.522.000</w:t>
            </w:r>
          </w:p>
        </w:tc>
        <w:tc>
          <w:tcPr>
            <w:tcW w:w="1486" w:type="dxa"/>
          </w:tcPr>
          <w:p w:rsidR="00D849AA" w:rsidRDefault="00EE6D95">
            <w:r>
              <w:t>00</w:t>
            </w:r>
          </w:p>
        </w:tc>
        <w:tc>
          <w:tcPr>
            <w:tcW w:w="1486" w:type="dxa"/>
          </w:tcPr>
          <w:p w:rsidR="00D849AA" w:rsidRDefault="00EE6D95">
            <w:r>
              <w:t>00</w:t>
            </w:r>
          </w:p>
        </w:tc>
        <w:tc>
          <w:tcPr>
            <w:tcW w:w="1486" w:type="dxa"/>
          </w:tcPr>
          <w:p w:rsidR="00D849AA" w:rsidRDefault="00EE6D95">
            <w:r>
              <w:t>29,0</w:t>
            </w:r>
          </w:p>
        </w:tc>
      </w:tr>
    </w:tbl>
    <w:p w:rsidR="00D849AA" w:rsidRDefault="00D849AA">
      <w:pPr>
        <w:jc w:val="left"/>
      </w:pPr>
    </w:p>
    <w:p w:rsidR="00D849AA" w:rsidRDefault="00EE6D95">
      <w:pPr>
        <w:pStyle w:val="Normal6"/>
      </w:pPr>
      <w:r>
        <w:t>Provedba aktivnosti usmjerena je prema učinkovitoj provedbi i upravljanju sredstvima kohezijske politike Europske unije u Hrvatskoj u skladu sa zahtjevima Europske unije. Glavna zadaća projekta je povećanje kapaciteta potrebnih za sveukupnu koordinaciju provedbe strukturnih fondova i Kohezijskog fonda u Hrvatskoj, tehnički ispravno i učinkovito financijsko upravljanje sredstvima kao i za učinkovito praćenje intervencija i programa.</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206"/>
        <w:gridCol w:w="1114"/>
        <w:gridCol w:w="1486"/>
        <w:gridCol w:w="1486"/>
        <w:gridCol w:w="1486"/>
      </w:tblGrid>
      <w:tr w:rsidR="00D849AA">
        <w:trPr>
          <w:jc w:val="center"/>
        </w:trPr>
        <w:tc>
          <w:tcPr>
            <w:tcW w:w="2229" w:type="dxa"/>
            <w:shd w:val="clear" w:color="auto" w:fill="B5C0D8"/>
          </w:tcPr>
          <w:p w:rsidR="00D849AA" w:rsidRPr="00AA0B4F" w:rsidRDefault="00EE6D95">
            <w:pPr>
              <w:rPr>
                <w:rFonts w:ascii="Arial" w:hAnsi="Arial" w:cs="Arial"/>
              </w:rPr>
            </w:pPr>
            <w:r w:rsidRPr="00AA0B4F">
              <w:rPr>
                <w:rFonts w:ascii="Arial" w:hAnsi="Arial" w:cs="Arial"/>
              </w:rPr>
              <w:t>Pokazatelj rezultata</w:t>
            </w:r>
          </w:p>
        </w:tc>
        <w:tc>
          <w:tcPr>
            <w:tcW w:w="1114" w:type="dxa"/>
            <w:shd w:val="clear" w:color="auto" w:fill="B5C0D8"/>
          </w:tcPr>
          <w:p w:rsidR="00D849AA" w:rsidRPr="00AA0B4F" w:rsidRDefault="00EE6D95">
            <w:pPr>
              <w:pStyle w:val="CellHeader"/>
            </w:pPr>
            <w:r w:rsidRPr="00AA0B4F">
              <w:t>Jedinica</w:t>
            </w:r>
          </w:p>
        </w:tc>
        <w:tc>
          <w:tcPr>
            <w:tcW w:w="1114" w:type="dxa"/>
            <w:shd w:val="clear" w:color="auto" w:fill="B5C0D8"/>
          </w:tcPr>
          <w:p w:rsidR="00D849AA" w:rsidRPr="00AA0B4F" w:rsidRDefault="00EE6D95">
            <w:pPr>
              <w:pStyle w:val="CellHeader"/>
            </w:pPr>
            <w:r w:rsidRPr="00AA0B4F">
              <w:t>Polazna vrijednost</w:t>
            </w:r>
          </w:p>
        </w:tc>
        <w:tc>
          <w:tcPr>
            <w:tcW w:w="1486" w:type="dxa"/>
            <w:shd w:val="clear" w:color="auto" w:fill="B5C0D8"/>
          </w:tcPr>
          <w:p w:rsidR="00D849AA" w:rsidRPr="00AA0B4F" w:rsidRDefault="00EE6D95">
            <w:pPr>
              <w:pStyle w:val="CellHeader"/>
            </w:pPr>
            <w:r w:rsidRPr="00AA0B4F">
              <w:t>Ciljana vrijednost (2014.)</w:t>
            </w:r>
          </w:p>
        </w:tc>
        <w:tc>
          <w:tcPr>
            <w:tcW w:w="1486" w:type="dxa"/>
            <w:shd w:val="clear" w:color="auto" w:fill="B5C0D8"/>
          </w:tcPr>
          <w:p w:rsidR="00D849AA" w:rsidRPr="00AA0B4F" w:rsidRDefault="00EE6D95">
            <w:pPr>
              <w:pStyle w:val="CellHeader"/>
            </w:pPr>
            <w:r w:rsidRPr="00AA0B4F">
              <w:t>Ciljana vrijednost (2015.)</w:t>
            </w:r>
          </w:p>
        </w:tc>
        <w:tc>
          <w:tcPr>
            <w:tcW w:w="1486" w:type="dxa"/>
            <w:shd w:val="clear" w:color="auto" w:fill="B5C0D8"/>
          </w:tcPr>
          <w:p w:rsidR="00D849AA" w:rsidRPr="00AA0B4F" w:rsidRDefault="00EE6D95">
            <w:pPr>
              <w:pStyle w:val="CellHeader"/>
            </w:pPr>
            <w:r w:rsidRPr="00AA0B4F">
              <w:t>Ciljana vrijednost (2016.)</w:t>
            </w:r>
          </w:p>
        </w:tc>
      </w:tr>
      <w:tr w:rsidR="00D849AA">
        <w:trPr>
          <w:jc w:val="center"/>
        </w:trPr>
        <w:tc>
          <w:tcPr>
            <w:tcW w:w="2229" w:type="dxa"/>
          </w:tcPr>
          <w:p w:rsidR="00D849AA" w:rsidRPr="00AA0B4F" w:rsidRDefault="00EE6D95">
            <w:pPr>
              <w:pStyle w:val="CellColumn"/>
            </w:pPr>
            <w:r w:rsidRPr="00AA0B4F">
              <w:t>Finalizirani programski dokumenti (NSRF i 4 Operativna programa) za korištenje strukturnih instrumenata u razdoblju  2007-2013</w:t>
            </w:r>
          </w:p>
        </w:tc>
        <w:tc>
          <w:tcPr>
            <w:tcW w:w="1114" w:type="dxa"/>
          </w:tcPr>
          <w:p w:rsidR="00D849AA" w:rsidRPr="00AA0B4F" w:rsidRDefault="00EE6D95">
            <w:pPr>
              <w:rPr>
                <w:rFonts w:ascii="Arial" w:hAnsi="Arial" w:cs="Arial"/>
              </w:rPr>
            </w:pPr>
            <w:r w:rsidRPr="00AA0B4F">
              <w:rPr>
                <w:rFonts w:ascii="Arial" w:hAnsi="Arial" w:cs="Arial"/>
              </w:rPr>
              <w:t>broj dokumenta</w:t>
            </w:r>
          </w:p>
        </w:tc>
        <w:tc>
          <w:tcPr>
            <w:tcW w:w="1114" w:type="dxa"/>
          </w:tcPr>
          <w:p w:rsidR="00D849AA" w:rsidRPr="00AA0B4F" w:rsidRDefault="00EE6D95">
            <w:pPr>
              <w:rPr>
                <w:rFonts w:ascii="Arial" w:hAnsi="Arial" w:cs="Arial"/>
              </w:rPr>
            </w:pPr>
            <w:r w:rsidRPr="00AA0B4F">
              <w:rPr>
                <w:rFonts w:ascii="Arial" w:hAnsi="Arial" w:cs="Arial"/>
              </w:rPr>
              <w:t>0</w:t>
            </w:r>
          </w:p>
        </w:tc>
        <w:tc>
          <w:tcPr>
            <w:tcW w:w="1486" w:type="dxa"/>
          </w:tcPr>
          <w:p w:rsidR="00D849AA" w:rsidRPr="00AA0B4F" w:rsidRDefault="00EE6D95">
            <w:pPr>
              <w:rPr>
                <w:rFonts w:ascii="Arial" w:hAnsi="Arial" w:cs="Arial"/>
              </w:rPr>
            </w:pPr>
            <w:r w:rsidRPr="00AA0B4F">
              <w:rPr>
                <w:rFonts w:ascii="Arial" w:hAnsi="Arial" w:cs="Arial"/>
              </w:rPr>
              <w:t>5</w:t>
            </w:r>
          </w:p>
        </w:tc>
        <w:tc>
          <w:tcPr>
            <w:tcW w:w="1486" w:type="dxa"/>
          </w:tcPr>
          <w:p w:rsidR="00D849AA" w:rsidRPr="00AA0B4F" w:rsidRDefault="00EE6D95">
            <w:pPr>
              <w:rPr>
                <w:rFonts w:ascii="Arial" w:hAnsi="Arial" w:cs="Arial"/>
              </w:rPr>
            </w:pPr>
            <w:r w:rsidRPr="00AA0B4F">
              <w:rPr>
                <w:rFonts w:ascii="Arial" w:hAnsi="Arial" w:cs="Arial"/>
              </w:rPr>
              <w:t>5</w:t>
            </w:r>
          </w:p>
        </w:tc>
        <w:tc>
          <w:tcPr>
            <w:tcW w:w="1486" w:type="dxa"/>
          </w:tcPr>
          <w:p w:rsidR="00D849AA" w:rsidRPr="00AA0B4F" w:rsidRDefault="00EE6D95">
            <w:pPr>
              <w:rPr>
                <w:rFonts w:ascii="Arial" w:hAnsi="Arial" w:cs="Arial"/>
              </w:rPr>
            </w:pPr>
            <w:r w:rsidRPr="00AA0B4F">
              <w:rPr>
                <w:rFonts w:ascii="Arial" w:hAnsi="Arial" w:cs="Arial"/>
              </w:rPr>
              <w:t>5</w:t>
            </w:r>
          </w:p>
        </w:tc>
      </w:tr>
      <w:tr w:rsidR="00D849AA">
        <w:trPr>
          <w:jc w:val="center"/>
        </w:trPr>
        <w:tc>
          <w:tcPr>
            <w:tcW w:w="2229" w:type="dxa"/>
          </w:tcPr>
          <w:p w:rsidR="00D849AA" w:rsidRPr="00AA0B4F" w:rsidRDefault="00EE6D95">
            <w:pPr>
              <w:pStyle w:val="CellColumn"/>
            </w:pPr>
            <w:r w:rsidRPr="00AA0B4F">
              <w:t xml:space="preserve">Izrađeni nacrti dokumenta (Partnerski </w:t>
            </w:r>
            <w:r w:rsidRPr="00AA0B4F">
              <w:lastRenderedPageBreak/>
              <w:t>sporazum i 2 Operativna programa) za korištenje strukturnih instrumenata u razdoblju 2014-2020</w:t>
            </w:r>
          </w:p>
        </w:tc>
        <w:tc>
          <w:tcPr>
            <w:tcW w:w="1114" w:type="dxa"/>
          </w:tcPr>
          <w:p w:rsidR="00D849AA" w:rsidRPr="00AA0B4F" w:rsidRDefault="00EE6D95">
            <w:pPr>
              <w:rPr>
                <w:rFonts w:ascii="Arial" w:hAnsi="Arial" w:cs="Arial"/>
              </w:rPr>
            </w:pPr>
            <w:r w:rsidRPr="00AA0B4F">
              <w:rPr>
                <w:rFonts w:ascii="Arial" w:hAnsi="Arial" w:cs="Arial"/>
              </w:rPr>
              <w:lastRenderedPageBreak/>
              <w:t>broj dokumenta</w:t>
            </w:r>
          </w:p>
        </w:tc>
        <w:tc>
          <w:tcPr>
            <w:tcW w:w="1114" w:type="dxa"/>
          </w:tcPr>
          <w:p w:rsidR="00D849AA" w:rsidRPr="00AA0B4F" w:rsidRDefault="00EE6D95">
            <w:pPr>
              <w:rPr>
                <w:rFonts w:ascii="Arial" w:hAnsi="Arial" w:cs="Arial"/>
              </w:rPr>
            </w:pPr>
            <w:r w:rsidRPr="00AA0B4F">
              <w:rPr>
                <w:rFonts w:ascii="Arial" w:hAnsi="Arial" w:cs="Arial"/>
              </w:rPr>
              <w:t>0</w:t>
            </w:r>
          </w:p>
        </w:tc>
        <w:tc>
          <w:tcPr>
            <w:tcW w:w="1486" w:type="dxa"/>
          </w:tcPr>
          <w:p w:rsidR="00D849AA" w:rsidRPr="00AA0B4F" w:rsidRDefault="00EE6D95">
            <w:pPr>
              <w:rPr>
                <w:rFonts w:ascii="Arial" w:hAnsi="Arial" w:cs="Arial"/>
              </w:rPr>
            </w:pPr>
            <w:r w:rsidRPr="00AA0B4F">
              <w:rPr>
                <w:rFonts w:ascii="Arial" w:hAnsi="Arial" w:cs="Arial"/>
              </w:rPr>
              <w:t>3</w:t>
            </w:r>
          </w:p>
        </w:tc>
        <w:tc>
          <w:tcPr>
            <w:tcW w:w="1486" w:type="dxa"/>
          </w:tcPr>
          <w:p w:rsidR="00D849AA" w:rsidRPr="00AA0B4F" w:rsidRDefault="00EE6D95">
            <w:pPr>
              <w:rPr>
                <w:rFonts w:ascii="Arial" w:hAnsi="Arial" w:cs="Arial"/>
              </w:rPr>
            </w:pPr>
            <w:r w:rsidRPr="00AA0B4F">
              <w:rPr>
                <w:rFonts w:ascii="Arial" w:hAnsi="Arial" w:cs="Arial"/>
              </w:rPr>
              <w:t>3</w:t>
            </w:r>
          </w:p>
        </w:tc>
        <w:tc>
          <w:tcPr>
            <w:tcW w:w="1486" w:type="dxa"/>
          </w:tcPr>
          <w:p w:rsidR="00D849AA" w:rsidRPr="00AA0B4F" w:rsidRDefault="00EE6D95">
            <w:pPr>
              <w:rPr>
                <w:rFonts w:ascii="Arial" w:hAnsi="Arial" w:cs="Arial"/>
              </w:rPr>
            </w:pPr>
            <w:r w:rsidRPr="00AA0B4F">
              <w:rPr>
                <w:rFonts w:ascii="Arial" w:hAnsi="Arial" w:cs="Arial"/>
              </w:rPr>
              <w:t>3</w:t>
            </w:r>
          </w:p>
        </w:tc>
      </w:tr>
      <w:tr w:rsidR="00D849AA">
        <w:trPr>
          <w:jc w:val="center"/>
        </w:trPr>
        <w:tc>
          <w:tcPr>
            <w:tcW w:w="2229" w:type="dxa"/>
          </w:tcPr>
          <w:p w:rsidR="00D849AA" w:rsidRPr="00AA0B4F" w:rsidRDefault="00EE6D95">
            <w:pPr>
              <w:pStyle w:val="CellColumn"/>
            </w:pPr>
            <w:r w:rsidRPr="00AA0B4F">
              <w:lastRenderedPageBreak/>
              <w:t>Opis sustava upravljanja i kontrola za kori</w:t>
            </w:r>
            <w:r w:rsidR="00AA0B4F">
              <w:t xml:space="preserve">štenje strukturnih instrumenata </w:t>
            </w:r>
            <w:r w:rsidRPr="00AA0B4F">
              <w:t>u razdoblju 2007-2013</w:t>
            </w:r>
          </w:p>
        </w:tc>
        <w:tc>
          <w:tcPr>
            <w:tcW w:w="1114" w:type="dxa"/>
          </w:tcPr>
          <w:p w:rsidR="00D849AA" w:rsidRPr="00AA0B4F" w:rsidRDefault="00EE6D95">
            <w:pPr>
              <w:rPr>
                <w:rFonts w:ascii="Arial" w:hAnsi="Arial" w:cs="Arial"/>
              </w:rPr>
            </w:pPr>
            <w:r w:rsidRPr="00AA0B4F">
              <w:rPr>
                <w:rFonts w:ascii="Arial" w:hAnsi="Arial" w:cs="Arial"/>
              </w:rPr>
              <w:t>broj opisanih sustava</w:t>
            </w:r>
          </w:p>
        </w:tc>
        <w:tc>
          <w:tcPr>
            <w:tcW w:w="1114" w:type="dxa"/>
          </w:tcPr>
          <w:p w:rsidR="00D849AA" w:rsidRPr="00AA0B4F" w:rsidRDefault="00EE6D95">
            <w:pPr>
              <w:rPr>
                <w:rFonts w:ascii="Arial" w:hAnsi="Arial" w:cs="Arial"/>
              </w:rPr>
            </w:pPr>
            <w:r w:rsidRPr="00AA0B4F">
              <w:rPr>
                <w:rFonts w:ascii="Arial" w:hAnsi="Arial" w:cs="Arial"/>
              </w:rPr>
              <w:t>0</w:t>
            </w:r>
          </w:p>
        </w:tc>
        <w:tc>
          <w:tcPr>
            <w:tcW w:w="1486" w:type="dxa"/>
          </w:tcPr>
          <w:p w:rsidR="00D849AA" w:rsidRPr="00AA0B4F" w:rsidRDefault="00EE6D95">
            <w:pPr>
              <w:rPr>
                <w:rFonts w:ascii="Arial" w:hAnsi="Arial" w:cs="Arial"/>
              </w:rPr>
            </w:pPr>
            <w:r w:rsidRPr="00AA0B4F">
              <w:rPr>
                <w:rFonts w:ascii="Arial" w:hAnsi="Arial" w:cs="Arial"/>
              </w:rPr>
              <w:t>4</w:t>
            </w:r>
          </w:p>
        </w:tc>
        <w:tc>
          <w:tcPr>
            <w:tcW w:w="1486" w:type="dxa"/>
          </w:tcPr>
          <w:p w:rsidR="00D849AA" w:rsidRPr="00AA0B4F" w:rsidRDefault="00EE6D95">
            <w:pPr>
              <w:rPr>
                <w:rFonts w:ascii="Arial" w:hAnsi="Arial" w:cs="Arial"/>
              </w:rPr>
            </w:pPr>
            <w:r w:rsidRPr="00AA0B4F">
              <w:rPr>
                <w:rFonts w:ascii="Arial" w:hAnsi="Arial" w:cs="Arial"/>
              </w:rPr>
              <w:t>4</w:t>
            </w:r>
          </w:p>
        </w:tc>
        <w:tc>
          <w:tcPr>
            <w:tcW w:w="1486" w:type="dxa"/>
          </w:tcPr>
          <w:p w:rsidR="00D849AA" w:rsidRPr="00AA0B4F" w:rsidRDefault="00EE6D95">
            <w:pPr>
              <w:rPr>
                <w:rFonts w:ascii="Arial" w:hAnsi="Arial" w:cs="Arial"/>
              </w:rPr>
            </w:pPr>
            <w:r w:rsidRPr="00AA0B4F">
              <w:rPr>
                <w:rFonts w:ascii="Arial" w:hAnsi="Arial" w:cs="Arial"/>
              </w:rPr>
              <w:t>4</w:t>
            </w:r>
          </w:p>
        </w:tc>
      </w:tr>
    </w:tbl>
    <w:p w:rsidR="00D849AA" w:rsidRDefault="00D849AA">
      <w:pPr>
        <w:jc w:val="left"/>
      </w:pPr>
    </w:p>
    <w:p w:rsidR="00D849AA" w:rsidRDefault="00EE6D95">
      <w:pPr>
        <w:pStyle w:val="Naslov6"/>
      </w:pPr>
      <w:r>
        <w:t>K758028 IPA 2013 FFRAC USPOSTAVA SUSTAVA ZA STRATEŠKO PLANIRANJE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AA0B4F" w:rsidRDefault="00EE6D95">
            <w:pPr>
              <w:pStyle w:val="CellHeader"/>
            </w:pPr>
            <w:r w:rsidRPr="00AA0B4F">
              <w:t>Naziv aktivnosti</w:t>
            </w:r>
          </w:p>
        </w:tc>
        <w:tc>
          <w:tcPr>
            <w:tcW w:w="1486" w:type="dxa"/>
            <w:shd w:val="clear" w:color="auto" w:fill="B5C0D8"/>
          </w:tcPr>
          <w:p w:rsidR="00D849AA" w:rsidRPr="00AA0B4F" w:rsidRDefault="00EE6D95">
            <w:pPr>
              <w:pStyle w:val="CellHeader"/>
            </w:pPr>
            <w:r w:rsidRPr="00AA0B4F">
              <w:t>Plan 2013.</w:t>
            </w:r>
          </w:p>
        </w:tc>
        <w:tc>
          <w:tcPr>
            <w:tcW w:w="1486" w:type="dxa"/>
            <w:shd w:val="clear" w:color="auto" w:fill="B5C0D8"/>
          </w:tcPr>
          <w:p w:rsidR="00D849AA" w:rsidRPr="00AA0B4F" w:rsidRDefault="00EE6D95">
            <w:pPr>
              <w:pStyle w:val="CellHeader"/>
            </w:pPr>
            <w:r w:rsidRPr="00AA0B4F">
              <w:t>Plan 2014.</w:t>
            </w:r>
          </w:p>
        </w:tc>
        <w:tc>
          <w:tcPr>
            <w:tcW w:w="1486" w:type="dxa"/>
            <w:shd w:val="clear" w:color="auto" w:fill="B5C0D8"/>
          </w:tcPr>
          <w:p w:rsidR="00D849AA" w:rsidRPr="00AA0B4F" w:rsidRDefault="00EE6D95">
            <w:pPr>
              <w:pStyle w:val="CellHeader"/>
            </w:pPr>
            <w:r w:rsidRPr="00AA0B4F">
              <w:t>Plan 2015.</w:t>
            </w:r>
          </w:p>
        </w:tc>
        <w:tc>
          <w:tcPr>
            <w:tcW w:w="1486" w:type="dxa"/>
            <w:shd w:val="clear" w:color="auto" w:fill="B5C0D8"/>
          </w:tcPr>
          <w:p w:rsidR="00D849AA" w:rsidRPr="00AA0B4F" w:rsidRDefault="00EE6D95">
            <w:pPr>
              <w:pStyle w:val="CellHeader"/>
            </w:pPr>
            <w:r w:rsidRPr="00AA0B4F">
              <w:t>Plan 2016.</w:t>
            </w:r>
          </w:p>
        </w:tc>
        <w:tc>
          <w:tcPr>
            <w:tcW w:w="1486" w:type="dxa"/>
            <w:shd w:val="clear" w:color="auto" w:fill="B5C0D8"/>
          </w:tcPr>
          <w:p w:rsidR="00D849AA" w:rsidRPr="00AA0B4F" w:rsidRDefault="00EE6D95">
            <w:pPr>
              <w:pStyle w:val="CellHeader"/>
            </w:pPr>
            <w:r w:rsidRPr="00AA0B4F">
              <w:t>Indeks 2014/2013</w:t>
            </w:r>
          </w:p>
        </w:tc>
      </w:tr>
      <w:tr w:rsidR="00D849AA">
        <w:trPr>
          <w:jc w:val="center"/>
        </w:trPr>
        <w:tc>
          <w:tcPr>
            <w:tcW w:w="1486" w:type="dxa"/>
          </w:tcPr>
          <w:p w:rsidR="00D849AA" w:rsidRPr="00AA0B4F" w:rsidRDefault="00EE6D95">
            <w:pPr>
              <w:pStyle w:val="CellColumn"/>
            </w:pPr>
            <w:r w:rsidRPr="00AA0B4F">
              <w:t>K758028</w:t>
            </w:r>
          </w:p>
        </w:tc>
        <w:tc>
          <w:tcPr>
            <w:tcW w:w="1486" w:type="dxa"/>
          </w:tcPr>
          <w:p w:rsidR="00D849AA" w:rsidRPr="00AA0B4F" w:rsidRDefault="00EE6D95">
            <w:pPr>
              <w:rPr>
                <w:rFonts w:ascii="Arial" w:hAnsi="Arial" w:cs="Arial"/>
              </w:rPr>
            </w:pPr>
            <w:r w:rsidRPr="00AA0B4F">
              <w:rPr>
                <w:rFonts w:ascii="Arial" w:hAnsi="Arial" w:cs="Arial"/>
              </w:rPr>
              <w:t>00</w:t>
            </w:r>
          </w:p>
        </w:tc>
        <w:tc>
          <w:tcPr>
            <w:tcW w:w="1486" w:type="dxa"/>
          </w:tcPr>
          <w:p w:rsidR="00D849AA" w:rsidRPr="00AA0B4F" w:rsidRDefault="00EE6D95">
            <w:pPr>
              <w:rPr>
                <w:rFonts w:ascii="Arial" w:hAnsi="Arial" w:cs="Arial"/>
              </w:rPr>
            </w:pPr>
            <w:r w:rsidRPr="00AA0B4F">
              <w:rPr>
                <w:rFonts w:ascii="Arial" w:hAnsi="Arial" w:cs="Arial"/>
              </w:rPr>
              <w:t>1.528.000</w:t>
            </w:r>
          </w:p>
        </w:tc>
        <w:tc>
          <w:tcPr>
            <w:tcW w:w="1486" w:type="dxa"/>
          </w:tcPr>
          <w:p w:rsidR="00D849AA" w:rsidRPr="00AA0B4F" w:rsidRDefault="00EE6D95">
            <w:pPr>
              <w:rPr>
                <w:rFonts w:ascii="Arial" w:hAnsi="Arial" w:cs="Arial"/>
              </w:rPr>
            </w:pPr>
            <w:r w:rsidRPr="00AA0B4F">
              <w:rPr>
                <w:rFonts w:ascii="Arial" w:hAnsi="Arial" w:cs="Arial"/>
              </w:rPr>
              <w:t>382.000</w:t>
            </w:r>
          </w:p>
        </w:tc>
        <w:tc>
          <w:tcPr>
            <w:tcW w:w="1486" w:type="dxa"/>
          </w:tcPr>
          <w:p w:rsidR="00D849AA" w:rsidRPr="00AA0B4F" w:rsidRDefault="00EE6D95">
            <w:pPr>
              <w:rPr>
                <w:rFonts w:ascii="Arial" w:hAnsi="Arial" w:cs="Arial"/>
              </w:rPr>
            </w:pPr>
            <w:r w:rsidRPr="00AA0B4F">
              <w:rPr>
                <w:rFonts w:ascii="Arial" w:hAnsi="Arial" w:cs="Arial"/>
              </w:rPr>
              <w:t>00</w:t>
            </w:r>
          </w:p>
        </w:tc>
        <w:tc>
          <w:tcPr>
            <w:tcW w:w="1486" w:type="dxa"/>
          </w:tcPr>
          <w:p w:rsidR="00D849AA" w:rsidRPr="00AA0B4F" w:rsidRDefault="00EE6D95">
            <w:pPr>
              <w:rPr>
                <w:rFonts w:ascii="Arial" w:hAnsi="Arial" w:cs="Arial"/>
              </w:rPr>
            </w:pPr>
            <w:r w:rsidRPr="00AA0B4F">
              <w:rPr>
                <w:rFonts w:ascii="Arial" w:hAnsi="Arial" w:cs="Arial"/>
              </w:rPr>
              <w:t>0,0</w:t>
            </w:r>
          </w:p>
        </w:tc>
      </w:tr>
    </w:tbl>
    <w:p w:rsidR="00D849AA" w:rsidRDefault="00D849AA">
      <w:pPr>
        <w:jc w:val="left"/>
      </w:pPr>
    </w:p>
    <w:p w:rsidR="00D849AA" w:rsidRDefault="00EE6D95">
      <w:pPr>
        <w:pStyle w:val="Normal6"/>
      </w:pPr>
      <w:r>
        <w:t xml:space="preserve">Aktivnost se definira kroz pretpostavke za uspostavu kvalitetnog i učinkovitog sustava za strateško planiranje. Sustav će omogućiti uvid u status postojećih strateških (nacionalnih i sektorskih) dokumenata te onih u izradi. Isto podrazumijeva praćenje učinkovitosti provedbe mjera putem usklađenih pokazatelja rezultata i učinka (kod postojećih dokumenata) te status procesa i procjenu roka završetka njihove izrade (u slučaju onih u izradi). Svrha sustava je učinkovitije provođenje mjera iz navedenih dokumenata te poboljšanje usklađenosti i komplementarnosti svih relevantnih strateških dokumenata u RH, kao i njihova usklađenost s relevantnim dokumentima Europske unije, posebice onima vezanima uz Kohezijsku politiku EU te uz ciklus Europskog semestra. </w:t>
      </w:r>
    </w:p>
    <w:p w:rsidR="00D849AA" w:rsidRDefault="00EE6D95">
      <w:pPr>
        <w:pStyle w:val="Normal6"/>
      </w:pPr>
      <w:r>
        <w:t xml:space="preserve">Očekivani rezultati aktivnosti su izrađen set preporuka vezanih uz: metodologiju pripreme i praćenja provedbe dokumenata, prilagodbu institucionalnog i zakonodavnog okvira za implementaciju učinkovitog sustava te definiranje osnovnih postavki informatičke potpore koja će olakšati upravljanje sustavom za strateško planiranje.  </w:t>
      </w:r>
    </w:p>
    <w:p w:rsidR="00D849AA" w:rsidRDefault="00EE6D95">
      <w:pPr>
        <w:pStyle w:val="Normal6"/>
      </w:pPr>
      <w:r>
        <w:t>Aktivnost će se realizirati putem instrumenta pretpristupne pomoći IPA za 2013., u sklopu Fleksibilnog instrumenta za jačanje administrativnih kapaciteta (FFRAC).</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AA0B4F" w:rsidRDefault="00EE6D95">
            <w:pPr>
              <w:rPr>
                <w:rFonts w:ascii="Arial" w:hAnsi="Arial" w:cs="Arial"/>
              </w:rPr>
            </w:pPr>
            <w:r w:rsidRPr="00AA0B4F">
              <w:rPr>
                <w:rFonts w:ascii="Arial" w:hAnsi="Arial" w:cs="Arial"/>
              </w:rPr>
              <w:t>Pokazatelj rezultata</w:t>
            </w:r>
          </w:p>
        </w:tc>
        <w:tc>
          <w:tcPr>
            <w:tcW w:w="1114" w:type="dxa"/>
            <w:shd w:val="clear" w:color="auto" w:fill="B5C0D8"/>
          </w:tcPr>
          <w:p w:rsidR="00D849AA" w:rsidRPr="00AA0B4F" w:rsidRDefault="00EE6D95">
            <w:pPr>
              <w:pStyle w:val="CellHeader"/>
            </w:pPr>
            <w:r w:rsidRPr="00AA0B4F">
              <w:t>Jedinica</w:t>
            </w:r>
          </w:p>
        </w:tc>
        <w:tc>
          <w:tcPr>
            <w:tcW w:w="1114" w:type="dxa"/>
            <w:shd w:val="clear" w:color="auto" w:fill="B5C0D8"/>
          </w:tcPr>
          <w:p w:rsidR="00D849AA" w:rsidRPr="00AA0B4F" w:rsidRDefault="00EE6D95">
            <w:pPr>
              <w:pStyle w:val="CellHeader"/>
            </w:pPr>
            <w:r w:rsidRPr="00AA0B4F">
              <w:t>Polazna vrijednost</w:t>
            </w:r>
          </w:p>
        </w:tc>
        <w:tc>
          <w:tcPr>
            <w:tcW w:w="1486" w:type="dxa"/>
            <w:shd w:val="clear" w:color="auto" w:fill="B5C0D8"/>
          </w:tcPr>
          <w:p w:rsidR="00D849AA" w:rsidRPr="00AA0B4F" w:rsidRDefault="00EE6D95">
            <w:pPr>
              <w:pStyle w:val="CellHeader"/>
            </w:pPr>
            <w:r w:rsidRPr="00AA0B4F">
              <w:t>Ciljana vrijednost (2014.)</w:t>
            </w:r>
          </w:p>
        </w:tc>
        <w:tc>
          <w:tcPr>
            <w:tcW w:w="1486" w:type="dxa"/>
            <w:shd w:val="clear" w:color="auto" w:fill="B5C0D8"/>
          </w:tcPr>
          <w:p w:rsidR="00D849AA" w:rsidRPr="00AA0B4F" w:rsidRDefault="00EE6D95">
            <w:pPr>
              <w:pStyle w:val="CellHeader"/>
            </w:pPr>
            <w:r w:rsidRPr="00AA0B4F">
              <w:t>Ciljana vrijednost (2015.)</w:t>
            </w:r>
          </w:p>
        </w:tc>
        <w:tc>
          <w:tcPr>
            <w:tcW w:w="1486" w:type="dxa"/>
            <w:shd w:val="clear" w:color="auto" w:fill="B5C0D8"/>
          </w:tcPr>
          <w:p w:rsidR="00D849AA" w:rsidRPr="00AA0B4F" w:rsidRDefault="00EE6D95">
            <w:pPr>
              <w:pStyle w:val="CellHeader"/>
            </w:pPr>
            <w:r w:rsidRPr="00AA0B4F">
              <w:t>Ciljana vrijednost (2016.)</w:t>
            </w:r>
          </w:p>
        </w:tc>
      </w:tr>
      <w:tr w:rsidR="00D849AA">
        <w:trPr>
          <w:jc w:val="center"/>
        </w:trPr>
        <w:tc>
          <w:tcPr>
            <w:tcW w:w="2229" w:type="dxa"/>
          </w:tcPr>
          <w:p w:rsidR="00D849AA" w:rsidRPr="00AA0B4F" w:rsidRDefault="00EE6D95">
            <w:pPr>
              <w:pStyle w:val="CellColumn"/>
            </w:pPr>
            <w:r w:rsidRPr="00AA0B4F">
              <w:t>Izrađen set preporuka za uspostavu sustava za strateško planiranje</w:t>
            </w:r>
          </w:p>
        </w:tc>
        <w:tc>
          <w:tcPr>
            <w:tcW w:w="1114" w:type="dxa"/>
          </w:tcPr>
          <w:p w:rsidR="00D849AA" w:rsidRPr="00AA0B4F" w:rsidRDefault="00EE6D95">
            <w:pPr>
              <w:rPr>
                <w:rFonts w:ascii="Arial" w:hAnsi="Arial" w:cs="Arial"/>
              </w:rPr>
            </w:pPr>
            <w:r w:rsidRPr="00AA0B4F">
              <w:rPr>
                <w:rFonts w:ascii="Arial" w:hAnsi="Arial" w:cs="Arial"/>
              </w:rPr>
              <w:t>broj</w:t>
            </w:r>
          </w:p>
        </w:tc>
        <w:tc>
          <w:tcPr>
            <w:tcW w:w="1114" w:type="dxa"/>
          </w:tcPr>
          <w:p w:rsidR="00D849AA" w:rsidRPr="00AA0B4F" w:rsidRDefault="00EE6D95">
            <w:pPr>
              <w:rPr>
                <w:rFonts w:ascii="Arial" w:hAnsi="Arial" w:cs="Arial"/>
              </w:rPr>
            </w:pPr>
            <w:r w:rsidRPr="00AA0B4F">
              <w:rPr>
                <w:rFonts w:ascii="Arial" w:hAnsi="Arial" w:cs="Arial"/>
              </w:rPr>
              <w:t>0</w:t>
            </w:r>
          </w:p>
        </w:tc>
        <w:tc>
          <w:tcPr>
            <w:tcW w:w="1486" w:type="dxa"/>
          </w:tcPr>
          <w:p w:rsidR="00D849AA" w:rsidRPr="00AA0B4F" w:rsidRDefault="00EE6D95">
            <w:pPr>
              <w:rPr>
                <w:rFonts w:ascii="Arial" w:hAnsi="Arial" w:cs="Arial"/>
              </w:rPr>
            </w:pPr>
            <w:r w:rsidRPr="00AA0B4F">
              <w:rPr>
                <w:rFonts w:ascii="Arial" w:hAnsi="Arial" w:cs="Arial"/>
              </w:rPr>
              <w:t>0</w:t>
            </w:r>
          </w:p>
        </w:tc>
        <w:tc>
          <w:tcPr>
            <w:tcW w:w="1486" w:type="dxa"/>
          </w:tcPr>
          <w:p w:rsidR="00D849AA" w:rsidRPr="00AA0B4F" w:rsidRDefault="00EE6D95">
            <w:pPr>
              <w:rPr>
                <w:rFonts w:ascii="Arial" w:hAnsi="Arial" w:cs="Arial"/>
              </w:rPr>
            </w:pPr>
            <w:r w:rsidRPr="00AA0B4F">
              <w:rPr>
                <w:rFonts w:ascii="Arial" w:hAnsi="Arial" w:cs="Arial"/>
              </w:rPr>
              <w:t>1</w:t>
            </w:r>
          </w:p>
        </w:tc>
        <w:tc>
          <w:tcPr>
            <w:tcW w:w="1486" w:type="dxa"/>
          </w:tcPr>
          <w:p w:rsidR="00D849AA" w:rsidRPr="00AA0B4F" w:rsidRDefault="00EE6D95">
            <w:pPr>
              <w:rPr>
                <w:rFonts w:ascii="Arial" w:hAnsi="Arial" w:cs="Arial"/>
              </w:rPr>
            </w:pPr>
            <w:r w:rsidRPr="00AA0B4F">
              <w:rPr>
                <w:rFonts w:ascii="Arial" w:hAnsi="Arial" w:cs="Arial"/>
              </w:rPr>
              <w:t>1</w:t>
            </w:r>
          </w:p>
        </w:tc>
      </w:tr>
    </w:tbl>
    <w:p w:rsidR="00D849AA" w:rsidRDefault="00D849AA">
      <w:pPr>
        <w:jc w:val="left"/>
      </w:pPr>
    </w:p>
    <w:p w:rsidR="00D849AA" w:rsidRDefault="00EE6D95">
      <w:pPr>
        <w:pStyle w:val="Naslov6"/>
      </w:pPr>
      <w:r>
        <w:lastRenderedPageBreak/>
        <w:t>K758031 RAZVOJ I ODRŽAVANJE INTEGRIRANOG INFORMACIJSKOG SUSTAVA ZA PRAĆENJE PROVEDBE PROGRAMA FINANCIRANIH STRUKTURNIM FONDOVIMA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K758031</w:t>
            </w:r>
          </w:p>
        </w:tc>
        <w:tc>
          <w:tcPr>
            <w:tcW w:w="1486" w:type="dxa"/>
          </w:tcPr>
          <w:p w:rsidR="00D849AA" w:rsidRDefault="00EE6D95">
            <w:r>
              <w:t>00</w:t>
            </w:r>
          </w:p>
        </w:tc>
        <w:tc>
          <w:tcPr>
            <w:tcW w:w="1486" w:type="dxa"/>
          </w:tcPr>
          <w:p w:rsidR="00D849AA" w:rsidRDefault="00EE6D95">
            <w:r>
              <w:t>1.000.000</w:t>
            </w:r>
          </w:p>
        </w:tc>
        <w:tc>
          <w:tcPr>
            <w:tcW w:w="1486" w:type="dxa"/>
          </w:tcPr>
          <w:p w:rsidR="00D849AA" w:rsidRDefault="00EE6D95">
            <w:r>
              <w:t>1.000.000</w:t>
            </w:r>
          </w:p>
        </w:tc>
        <w:tc>
          <w:tcPr>
            <w:tcW w:w="1486" w:type="dxa"/>
          </w:tcPr>
          <w:p w:rsidR="00D849AA" w:rsidRDefault="00EE6D95">
            <w:r>
              <w:t>1.000.000</w:t>
            </w:r>
          </w:p>
        </w:tc>
        <w:tc>
          <w:tcPr>
            <w:tcW w:w="1486" w:type="dxa"/>
          </w:tcPr>
          <w:p w:rsidR="00D849AA" w:rsidRDefault="00EE6D95">
            <w:r>
              <w:t>0,0</w:t>
            </w:r>
          </w:p>
        </w:tc>
      </w:tr>
    </w:tbl>
    <w:p w:rsidR="00D849AA" w:rsidRDefault="00D849AA">
      <w:pPr>
        <w:jc w:val="left"/>
      </w:pPr>
    </w:p>
    <w:p w:rsidR="00D849AA" w:rsidRDefault="00EE6D95">
      <w:pPr>
        <w:pStyle w:val="Normal6"/>
      </w:pPr>
      <w:r>
        <w:t>Aktivnost je usmjerena prema razvoju i održavanju informacijskog sustava za praćenje provedbe programa financiranih strukturnim fondovima EU, kao i prilagođavanje sustava zahtjevima e-kohezijske politike. Predviđa se razvoj novih funkcionalnosti kao podrška uspostavljenim poslovnim procesima za upravljanje strukturnim fondovima i Kohezijskim fondom te prilagodba već postojećih funkcionalnosti temeljem zahtjeva regulativa za razdoblje 2014-2020.</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AA0B4F" w:rsidRDefault="00EE6D95">
            <w:pPr>
              <w:rPr>
                <w:rFonts w:ascii="Arial" w:hAnsi="Arial" w:cs="Arial"/>
              </w:rPr>
            </w:pPr>
            <w:r w:rsidRPr="00AA0B4F">
              <w:rPr>
                <w:rFonts w:ascii="Arial" w:hAnsi="Arial" w:cs="Arial"/>
              </w:rPr>
              <w:t>Pokazatelj rezultata</w:t>
            </w:r>
          </w:p>
        </w:tc>
        <w:tc>
          <w:tcPr>
            <w:tcW w:w="1114" w:type="dxa"/>
            <w:shd w:val="clear" w:color="auto" w:fill="B5C0D8"/>
          </w:tcPr>
          <w:p w:rsidR="00D849AA" w:rsidRPr="00AA0B4F" w:rsidRDefault="00EE6D95">
            <w:pPr>
              <w:pStyle w:val="CellHeader"/>
            </w:pPr>
            <w:r w:rsidRPr="00AA0B4F">
              <w:t>Jedinica</w:t>
            </w:r>
          </w:p>
        </w:tc>
        <w:tc>
          <w:tcPr>
            <w:tcW w:w="1114" w:type="dxa"/>
            <w:shd w:val="clear" w:color="auto" w:fill="B5C0D8"/>
          </w:tcPr>
          <w:p w:rsidR="00D849AA" w:rsidRPr="00AA0B4F" w:rsidRDefault="00EE6D95">
            <w:pPr>
              <w:pStyle w:val="CellHeader"/>
            </w:pPr>
            <w:r w:rsidRPr="00AA0B4F">
              <w:t>Polazna vrijednost</w:t>
            </w:r>
          </w:p>
        </w:tc>
        <w:tc>
          <w:tcPr>
            <w:tcW w:w="1486" w:type="dxa"/>
            <w:shd w:val="clear" w:color="auto" w:fill="B5C0D8"/>
          </w:tcPr>
          <w:p w:rsidR="00D849AA" w:rsidRPr="00AA0B4F" w:rsidRDefault="00EE6D95">
            <w:pPr>
              <w:pStyle w:val="CellHeader"/>
            </w:pPr>
            <w:r w:rsidRPr="00AA0B4F">
              <w:t>Ciljana vrijednost (2014.)</w:t>
            </w:r>
          </w:p>
        </w:tc>
        <w:tc>
          <w:tcPr>
            <w:tcW w:w="1486" w:type="dxa"/>
            <w:shd w:val="clear" w:color="auto" w:fill="B5C0D8"/>
          </w:tcPr>
          <w:p w:rsidR="00D849AA" w:rsidRPr="00AA0B4F" w:rsidRDefault="00EE6D95">
            <w:pPr>
              <w:pStyle w:val="CellHeader"/>
            </w:pPr>
            <w:r w:rsidRPr="00AA0B4F">
              <w:t>Ciljana vrijednost (2015.)</w:t>
            </w:r>
          </w:p>
        </w:tc>
        <w:tc>
          <w:tcPr>
            <w:tcW w:w="1486" w:type="dxa"/>
            <w:shd w:val="clear" w:color="auto" w:fill="B5C0D8"/>
          </w:tcPr>
          <w:p w:rsidR="00D849AA" w:rsidRPr="00AA0B4F" w:rsidRDefault="00EE6D95">
            <w:pPr>
              <w:pStyle w:val="CellHeader"/>
            </w:pPr>
            <w:r w:rsidRPr="00AA0B4F">
              <w:t>Ciljana vrijednost (2016.)</w:t>
            </w:r>
          </w:p>
        </w:tc>
      </w:tr>
      <w:tr w:rsidR="00D849AA">
        <w:trPr>
          <w:jc w:val="center"/>
        </w:trPr>
        <w:tc>
          <w:tcPr>
            <w:tcW w:w="2229" w:type="dxa"/>
          </w:tcPr>
          <w:p w:rsidR="00D849AA" w:rsidRPr="00AA0B4F" w:rsidRDefault="00EE6D95">
            <w:pPr>
              <w:pStyle w:val="CellColumn"/>
            </w:pPr>
            <w:r w:rsidRPr="00AA0B4F">
              <w:t>Uspostavljen MIS sustav za praćenje implementacije u periodu 2014.-2020..</w:t>
            </w:r>
          </w:p>
        </w:tc>
        <w:tc>
          <w:tcPr>
            <w:tcW w:w="1114" w:type="dxa"/>
          </w:tcPr>
          <w:p w:rsidR="00D849AA" w:rsidRPr="00AA0B4F" w:rsidRDefault="00EE6D95">
            <w:pPr>
              <w:rPr>
                <w:rFonts w:ascii="Arial" w:hAnsi="Arial" w:cs="Arial"/>
              </w:rPr>
            </w:pPr>
            <w:r w:rsidRPr="00AA0B4F">
              <w:rPr>
                <w:rFonts w:ascii="Arial" w:hAnsi="Arial" w:cs="Arial"/>
              </w:rPr>
              <w:t>broj sustava</w:t>
            </w:r>
          </w:p>
        </w:tc>
        <w:tc>
          <w:tcPr>
            <w:tcW w:w="1114" w:type="dxa"/>
          </w:tcPr>
          <w:p w:rsidR="00D849AA" w:rsidRPr="00AA0B4F" w:rsidRDefault="00EE6D95">
            <w:pPr>
              <w:rPr>
                <w:rFonts w:ascii="Arial" w:hAnsi="Arial" w:cs="Arial"/>
              </w:rPr>
            </w:pPr>
            <w:r w:rsidRPr="00AA0B4F">
              <w:rPr>
                <w:rFonts w:ascii="Arial" w:hAnsi="Arial" w:cs="Arial"/>
              </w:rPr>
              <w:t>0</w:t>
            </w:r>
          </w:p>
        </w:tc>
        <w:tc>
          <w:tcPr>
            <w:tcW w:w="1486" w:type="dxa"/>
          </w:tcPr>
          <w:p w:rsidR="00D849AA" w:rsidRPr="00AA0B4F" w:rsidRDefault="00EE6D95">
            <w:pPr>
              <w:rPr>
                <w:rFonts w:ascii="Arial" w:hAnsi="Arial" w:cs="Arial"/>
              </w:rPr>
            </w:pPr>
            <w:r w:rsidRPr="00AA0B4F">
              <w:rPr>
                <w:rFonts w:ascii="Arial" w:hAnsi="Arial" w:cs="Arial"/>
              </w:rPr>
              <w:t>1</w:t>
            </w:r>
          </w:p>
        </w:tc>
        <w:tc>
          <w:tcPr>
            <w:tcW w:w="1486" w:type="dxa"/>
          </w:tcPr>
          <w:p w:rsidR="00D849AA" w:rsidRPr="00AA0B4F" w:rsidRDefault="00EE6D95">
            <w:pPr>
              <w:rPr>
                <w:rFonts w:ascii="Arial" w:hAnsi="Arial" w:cs="Arial"/>
              </w:rPr>
            </w:pPr>
            <w:r w:rsidRPr="00AA0B4F">
              <w:rPr>
                <w:rFonts w:ascii="Arial" w:hAnsi="Arial" w:cs="Arial"/>
              </w:rPr>
              <w:t>1</w:t>
            </w:r>
          </w:p>
        </w:tc>
        <w:tc>
          <w:tcPr>
            <w:tcW w:w="1486" w:type="dxa"/>
          </w:tcPr>
          <w:p w:rsidR="00D849AA" w:rsidRPr="00AA0B4F" w:rsidRDefault="00EE6D95">
            <w:pPr>
              <w:rPr>
                <w:rFonts w:ascii="Arial" w:hAnsi="Arial" w:cs="Arial"/>
              </w:rPr>
            </w:pPr>
            <w:r w:rsidRPr="00AA0B4F">
              <w:rPr>
                <w:rFonts w:ascii="Arial" w:hAnsi="Arial" w:cs="Arial"/>
              </w:rPr>
              <w:t>1</w:t>
            </w:r>
          </w:p>
        </w:tc>
      </w:tr>
    </w:tbl>
    <w:p w:rsidR="00D849AA" w:rsidRDefault="00D849AA">
      <w:pPr>
        <w:jc w:val="left"/>
      </w:pPr>
    </w:p>
    <w:p w:rsidR="00D849AA" w:rsidRDefault="00EE6D95">
      <w:pPr>
        <w:pStyle w:val="Naslov6"/>
      </w:pPr>
      <w:r>
        <w:t>T680025 IPA 2008 USPOSTAVA INTEGRIRANOG INFORMACIJSKOG SUSTAVA ZA UPRAVLJANJE KOHEZIJSKIM FONDOM I STRUKTURNIM FONDOVIMA MIS</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AA0B4F" w:rsidRDefault="00EE6D95">
            <w:pPr>
              <w:pStyle w:val="CellHeader"/>
            </w:pPr>
            <w:r w:rsidRPr="00AA0B4F">
              <w:t>Naziv aktivnosti</w:t>
            </w:r>
          </w:p>
        </w:tc>
        <w:tc>
          <w:tcPr>
            <w:tcW w:w="1486" w:type="dxa"/>
            <w:shd w:val="clear" w:color="auto" w:fill="B5C0D8"/>
          </w:tcPr>
          <w:p w:rsidR="00D849AA" w:rsidRPr="00AA0B4F" w:rsidRDefault="00EE6D95">
            <w:pPr>
              <w:pStyle w:val="CellHeader"/>
            </w:pPr>
            <w:r w:rsidRPr="00AA0B4F">
              <w:t>Plan 2013.</w:t>
            </w:r>
          </w:p>
        </w:tc>
        <w:tc>
          <w:tcPr>
            <w:tcW w:w="1486" w:type="dxa"/>
            <w:shd w:val="clear" w:color="auto" w:fill="B5C0D8"/>
          </w:tcPr>
          <w:p w:rsidR="00D849AA" w:rsidRPr="00AA0B4F" w:rsidRDefault="00EE6D95">
            <w:pPr>
              <w:pStyle w:val="CellHeader"/>
            </w:pPr>
            <w:r w:rsidRPr="00AA0B4F">
              <w:t>Plan 2014.</w:t>
            </w:r>
          </w:p>
        </w:tc>
        <w:tc>
          <w:tcPr>
            <w:tcW w:w="1486" w:type="dxa"/>
            <w:shd w:val="clear" w:color="auto" w:fill="B5C0D8"/>
          </w:tcPr>
          <w:p w:rsidR="00D849AA" w:rsidRPr="00AA0B4F" w:rsidRDefault="00EE6D95">
            <w:pPr>
              <w:pStyle w:val="CellHeader"/>
            </w:pPr>
            <w:r w:rsidRPr="00AA0B4F">
              <w:t>Plan 2015.</w:t>
            </w:r>
          </w:p>
        </w:tc>
        <w:tc>
          <w:tcPr>
            <w:tcW w:w="1486" w:type="dxa"/>
            <w:shd w:val="clear" w:color="auto" w:fill="B5C0D8"/>
          </w:tcPr>
          <w:p w:rsidR="00D849AA" w:rsidRPr="00AA0B4F" w:rsidRDefault="00EE6D95">
            <w:pPr>
              <w:pStyle w:val="CellHeader"/>
            </w:pPr>
            <w:r w:rsidRPr="00AA0B4F">
              <w:t>Plan 2016.</w:t>
            </w:r>
          </w:p>
        </w:tc>
        <w:tc>
          <w:tcPr>
            <w:tcW w:w="1486" w:type="dxa"/>
            <w:shd w:val="clear" w:color="auto" w:fill="B5C0D8"/>
          </w:tcPr>
          <w:p w:rsidR="00D849AA" w:rsidRPr="00AA0B4F" w:rsidRDefault="00EE6D95">
            <w:pPr>
              <w:pStyle w:val="CellHeader"/>
            </w:pPr>
            <w:r w:rsidRPr="00AA0B4F">
              <w:t>Indeks 2014/2013</w:t>
            </w:r>
          </w:p>
        </w:tc>
      </w:tr>
      <w:tr w:rsidR="00D849AA">
        <w:trPr>
          <w:jc w:val="center"/>
        </w:trPr>
        <w:tc>
          <w:tcPr>
            <w:tcW w:w="1486" w:type="dxa"/>
          </w:tcPr>
          <w:p w:rsidR="00D849AA" w:rsidRPr="00AA0B4F" w:rsidRDefault="00EE6D95">
            <w:pPr>
              <w:pStyle w:val="CellColumn"/>
            </w:pPr>
            <w:r w:rsidRPr="00AA0B4F">
              <w:t>T680025</w:t>
            </w:r>
          </w:p>
        </w:tc>
        <w:tc>
          <w:tcPr>
            <w:tcW w:w="1486" w:type="dxa"/>
          </w:tcPr>
          <w:p w:rsidR="00D849AA" w:rsidRPr="00AA0B4F" w:rsidRDefault="00EE6D95">
            <w:pPr>
              <w:rPr>
                <w:rFonts w:ascii="Arial" w:hAnsi="Arial" w:cs="Arial"/>
              </w:rPr>
            </w:pPr>
            <w:r w:rsidRPr="00AA0B4F">
              <w:rPr>
                <w:rFonts w:ascii="Arial" w:hAnsi="Arial" w:cs="Arial"/>
              </w:rPr>
              <w:t>3.321.326</w:t>
            </w:r>
          </w:p>
        </w:tc>
        <w:tc>
          <w:tcPr>
            <w:tcW w:w="1486" w:type="dxa"/>
          </w:tcPr>
          <w:p w:rsidR="00D849AA" w:rsidRPr="00AA0B4F" w:rsidRDefault="00EE6D95">
            <w:pPr>
              <w:rPr>
                <w:rFonts w:ascii="Arial" w:hAnsi="Arial" w:cs="Arial"/>
              </w:rPr>
            </w:pPr>
            <w:r w:rsidRPr="00AA0B4F">
              <w:rPr>
                <w:rFonts w:ascii="Arial" w:hAnsi="Arial" w:cs="Arial"/>
              </w:rPr>
              <w:t>1.338.675</w:t>
            </w:r>
          </w:p>
        </w:tc>
        <w:tc>
          <w:tcPr>
            <w:tcW w:w="1486" w:type="dxa"/>
          </w:tcPr>
          <w:p w:rsidR="00D849AA" w:rsidRPr="00AA0B4F" w:rsidRDefault="00EE6D95">
            <w:pPr>
              <w:rPr>
                <w:rFonts w:ascii="Arial" w:hAnsi="Arial" w:cs="Arial"/>
              </w:rPr>
            </w:pPr>
            <w:r w:rsidRPr="00AA0B4F">
              <w:rPr>
                <w:rFonts w:ascii="Arial" w:hAnsi="Arial" w:cs="Arial"/>
              </w:rPr>
              <w:t>00</w:t>
            </w:r>
          </w:p>
        </w:tc>
        <w:tc>
          <w:tcPr>
            <w:tcW w:w="1486" w:type="dxa"/>
          </w:tcPr>
          <w:p w:rsidR="00D849AA" w:rsidRPr="00AA0B4F" w:rsidRDefault="00EE6D95">
            <w:pPr>
              <w:rPr>
                <w:rFonts w:ascii="Arial" w:hAnsi="Arial" w:cs="Arial"/>
              </w:rPr>
            </w:pPr>
            <w:r w:rsidRPr="00AA0B4F">
              <w:rPr>
                <w:rFonts w:ascii="Arial" w:hAnsi="Arial" w:cs="Arial"/>
              </w:rPr>
              <w:t>00</w:t>
            </w:r>
          </w:p>
        </w:tc>
        <w:tc>
          <w:tcPr>
            <w:tcW w:w="1486" w:type="dxa"/>
          </w:tcPr>
          <w:p w:rsidR="00D849AA" w:rsidRPr="00AA0B4F" w:rsidRDefault="00EE6D95">
            <w:pPr>
              <w:rPr>
                <w:rFonts w:ascii="Arial" w:hAnsi="Arial" w:cs="Arial"/>
              </w:rPr>
            </w:pPr>
            <w:r w:rsidRPr="00AA0B4F">
              <w:rPr>
                <w:rFonts w:ascii="Arial" w:hAnsi="Arial" w:cs="Arial"/>
              </w:rPr>
              <w:t>40,3</w:t>
            </w:r>
          </w:p>
        </w:tc>
      </w:tr>
    </w:tbl>
    <w:p w:rsidR="00D849AA" w:rsidRDefault="00D849AA">
      <w:pPr>
        <w:jc w:val="left"/>
      </w:pPr>
    </w:p>
    <w:p w:rsidR="00D849AA" w:rsidRDefault="00EE6D95">
      <w:pPr>
        <w:pStyle w:val="Normal6"/>
      </w:pPr>
      <w:r>
        <w:t>Cilj navedene aktivnosti je razvoj i uspostava informacijskog sustava u skladu sa zahtjevima EU kohezijske politike, kojim bi se podržale sve institucije uključene u institucionalni okvir za korištenje strukturnih instrumenata EU u pohrani odgovarajućih podataka sa svrhom dobrog upravljanja, analize i praćenja provedbe projekata i Operativnih programa.</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AA0B4F" w:rsidRDefault="00EE6D95">
            <w:pPr>
              <w:rPr>
                <w:rFonts w:ascii="Arial" w:hAnsi="Arial" w:cs="Arial"/>
              </w:rPr>
            </w:pPr>
            <w:r w:rsidRPr="00AA0B4F">
              <w:rPr>
                <w:rFonts w:ascii="Arial" w:hAnsi="Arial" w:cs="Arial"/>
              </w:rPr>
              <w:t>Pokazatelj rezultata</w:t>
            </w:r>
          </w:p>
        </w:tc>
        <w:tc>
          <w:tcPr>
            <w:tcW w:w="1114" w:type="dxa"/>
            <w:shd w:val="clear" w:color="auto" w:fill="B5C0D8"/>
          </w:tcPr>
          <w:p w:rsidR="00D849AA" w:rsidRPr="00AA0B4F" w:rsidRDefault="00EE6D95">
            <w:pPr>
              <w:pStyle w:val="CellHeader"/>
            </w:pPr>
            <w:r w:rsidRPr="00AA0B4F">
              <w:t>Jedinica</w:t>
            </w:r>
          </w:p>
        </w:tc>
        <w:tc>
          <w:tcPr>
            <w:tcW w:w="1114" w:type="dxa"/>
            <w:shd w:val="clear" w:color="auto" w:fill="B5C0D8"/>
          </w:tcPr>
          <w:p w:rsidR="00D849AA" w:rsidRPr="00AA0B4F" w:rsidRDefault="00EE6D95">
            <w:pPr>
              <w:pStyle w:val="CellHeader"/>
            </w:pPr>
            <w:r w:rsidRPr="00AA0B4F">
              <w:t>Polazna vrijednost</w:t>
            </w:r>
          </w:p>
        </w:tc>
        <w:tc>
          <w:tcPr>
            <w:tcW w:w="1486" w:type="dxa"/>
            <w:shd w:val="clear" w:color="auto" w:fill="B5C0D8"/>
          </w:tcPr>
          <w:p w:rsidR="00D849AA" w:rsidRPr="00AA0B4F" w:rsidRDefault="00EE6D95">
            <w:pPr>
              <w:pStyle w:val="CellHeader"/>
            </w:pPr>
            <w:r w:rsidRPr="00AA0B4F">
              <w:t>Ciljana vrijednost (2014.)</w:t>
            </w:r>
          </w:p>
        </w:tc>
        <w:tc>
          <w:tcPr>
            <w:tcW w:w="1486" w:type="dxa"/>
            <w:shd w:val="clear" w:color="auto" w:fill="B5C0D8"/>
          </w:tcPr>
          <w:p w:rsidR="00D849AA" w:rsidRPr="00AA0B4F" w:rsidRDefault="00EE6D95">
            <w:pPr>
              <w:pStyle w:val="CellHeader"/>
            </w:pPr>
            <w:r w:rsidRPr="00AA0B4F">
              <w:t>Ciljana vrijednost (2015.)</w:t>
            </w:r>
          </w:p>
        </w:tc>
        <w:tc>
          <w:tcPr>
            <w:tcW w:w="1486" w:type="dxa"/>
            <w:shd w:val="clear" w:color="auto" w:fill="B5C0D8"/>
          </w:tcPr>
          <w:p w:rsidR="00D849AA" w:rsidRPr="00AA0B4F" w:rsidRDefault="00EE6D95">
            <w:pPr>
              <w:pStyle w:val="CellHeader"/>
            </w:pPr>
            <w:r w:rsidRPr="00AA0B4F">
              <w:t>Ciljana vrijednost (2016.)</w:t>
            </w:r>
          </w:p>
        </w:tc>
      </w:tr>
      <w:tr w:rsidR="00D849AA">
        <w:trPr>
          <w:jc w:val="center"/>
        </w:trPr>
        <w:tc>
          <w:tcPr>
            <w:tcW w:w="2229" w:type="dxa"/>
          </w:tcPr>
          <w:p w:rsidR="00D849AA" w:rsidRPr="00AA0B4F" w:rsidRDefault="00EE6D95">
            <w:pPr>
              <w:pStyle w:val="CellColumn"/>
            </w:pPr>
            <w:r w:rsidRPr="00AA0B4F">
              <w:t>Uspostavljen MIS sustav za praćenje implementacije u periodu 2014.-2020.</w:t>
            </w:r>
          </w:p>
        </w:tc>
        <w:tc>
          <w:tcPr>
            <w:tcW w:w="1114" w:type="dxa"/>
          </w:tcPr>
          <w:p w:rsidR="00D849AA" w:rsidRPr="00AA0B4F" w:rsidRDefault="00EE6D95">
            <w:pPr>
              <w:rPr>
                <w:rFonts w:ascii="Arial" w:hAnsi="Arial" w:cs="Arial"/>
              </w:rPr>
            </w:pPr>
            <w:r w:rsidRPr="00AA0B4F">
              <w:rPr>
                <w:rFonts w:ascii="Arial" w:hAnsi="Arial" w:cs="Arial"/>
              </w:rPr>
              <w:t>broj sustava</w:t>
            </w:r>
          </w:p>
        </w:tc>
        <w:tc>
          <w:tcPr>
            <w:tcW w:w="1114" w:type="dxa"/>
          </w:tcPr>
          <w:p w:rsidR="00D849AA" w:rsidRPr="00AA0B4F" w:rsidRDefault="00EE6D95">
            <w:pPr>
              <w:rPr>
                <w:rFonts w:ascii="Arial" w:hAnsi="Arial" w:cs="Arial"/>
              </w:rPr>
            </w:pPr>
            <w:r w:rsidRPr="00AA0B4F">
              <w:rPr>
                <w:rFonts w:ascii="Arial" w:hAnsi="Arial" w:cs="Arial"/>
              </w:rPr>
              <w:t>0</w:t>
            </w:r>
          </w:p>
        </w:tc>
        <w:tc>
          <w:tcPr>
            <w:tcW w:w="1486" w:type="dxa"/>
          </w:tcPr>
          <w:p w:rsidR="00D849AA" w:rsidRPr="00AA0B4F" w:rsidRDefault="00EE6D95">
            <w:pPr>
              <w:rPr>
                <w:rFonts w:ascii="Arial" w:hAnsi="Arial" w:cs="Arial"/>
              </w:rPr>
            </w:pPr>
            <w:r w:rsidRPr="00AA0B4F">
              <w:rPr>
                <w:rFonts w:ascii="Arial" w:hAnsi="Arial" w:cs="Arial"/>
              </w:rPr>
              <w:t>1</w:t>
            </w:r>
          </w:p>
        </w:tc>
        <w:tc>
          <w:tcPr>
            <w:tcW w:w="1486" w:type="dxa"/>
          </w:tcPr>
          <w:p w:rsidR="00D849AA" w:rsidRPr="00AA0B4F" w:rsidRDefault="00EE6D95">
            <w:pPr>
              <w:rPr>
                <w:rFonts w:ascii="Arial" w:hAnsi="Arial" w:cs="Arial"/>
              </w:rPr>
            </w:pPr>
            <w:r w:rsidRPr="00AA0B4F">
              <w:rPr>
                <w:rFonts w:ascii="Arial" w:hAnsi="Arial" w:cs="Arial"/>
              </w:rPr>
              <w:t>1</w:t>
            </w:r>
          </w:p>
        </w:tc>
        <w:tc>
          <w:tcPr>
            <w:tcW w:w="1486" w:type="dxa"/>
          </w:tcPr>
          <w:p w:rsidR="00D849AA" w:rsidRPr="00AA0B4F" w:rsidRDefault="00EE6D95">
            <w:pPr>
              <w:rPr>
                <w:rFonts w:ascii="Arial" w:hAnsi="Arial" w:cs="Arial"/>
              </w:rPr>
            </w:pPr>
            <w:r w:rsidRPr="00AA0B4F">
              <w:rPr>
                <w:rFonts w:ascii="Arial" w:hAnsi="Arial" w:cs="Arial"/>
              </w:rPr>
              <w:t>1</w:t>
            </w:r>
          </w:p>
        </w:tc>
      </w:tr>
    </w:tbl>
    <w:p w:rsidR="00D849AA" w:rsidRDefault="00EE6D95" w:rsidP="00AA0B4F">
      <w:pPr>
        <w:pStyle w:val="Naslov6"/>
        <w:ind w:left="0"/>
      </w:pPr>
      <w:r>
        <w:lastRenderedPageBreak/>
        <w:t>T758025 IPA TAIB 2011 FLEKSIBILNI INSTRUMENT (IPA FFRAC 2011 EX ANTE EVALUACIJA PODRŠKE U OKVIRU SCF 2014-2020)</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AA0B4F" w:rsidRDefault="00EE6D95">
            <w:pPr>
              <w:pStyle w:val="CellHeader"/>
            </w:pPr>
            <w:r w:rsidRPr="00AA0B4F">
              <w:t>Naziv aktivnosti</w:t>
            </w:r>
          </w:p>
        </w:tc>
        <w:tc>
          <w:tcPr>
            <w:tcW w:w="1486" w:type="dxa"/>
            <w:shd w:val="clear" w:color="auto" w:fill="B5C0D8"/>
          </w:tcPr>
          <w:p w:rsidR="00D849AA" w:rsidRPr="00AA0B4F" w:rsidRDefault="00EE6D95">
            <w:pPr>
              <w:pStyle w:val="CellHeader"/>
            </w:pPr>
            <w:r w:rsidRPr="00AA0B4F">
              <w:t>Plan 2013.</w:t>
            </w:r>
          </w:p>
        </w:tc>
        <w:tc>
          <w:tcPr>
            <w:tcW w:w="1486" w:type="dxa"/>
            <w:shd w:val="clear" w:color="auto" w:fill="B5C0D8"/>
          </w:tcPr>
          <w:p w:rsidR="00D849AA" w:rsidRPr="00AA0B4F" w:rsidRDefault="00EE6D95">
            <w:pPr>
              <w:pStyle w:val="CellHeader"/>
            </w:pPr>
            <w:r w:rsidRPr="00AA0B4F">
              <w:t>Plan 2014.</w:t>
            </w:r>
          </w:p>
        </w:tc>
        <w:tc>
          <w:tcPr>
            <w:tcW w:w="1486" w:type="dxa"/>
            <w:shd w:val="clear" w:color="auto" w:fill="B5C0D8"/>
          </w:tcPr>
          <w:p w:rsidR="00D849AA" w:rsidRPr="00AA0B4F" w:rsidRDefault="00EE6D95">
            <w:pPr>
              <w:pStyle w:val="CellHeader"/>
            </w:pPr>
            <w:r w:rsidRPr="00AA0B4F">
              <w:t>Plan 2015.</w:t>
            </w:r>
          </w:p>
        </w:tc>
        <w:tc>
          <w:tcPr>
            <w:tcW w:w="1486" w:type="dxa"/>
            <w:shd w:val="clear" w:color="auto" w:fill="B5C0D8"/>
          </w:tcPr>
          <w:p w:rsidR="00D849AA" w:rsidRPr="00AA0B4F" w:rsidRDefault="00EE6D95">
            <w:pPr>
              <w:pStyle w:val="CellHeader"/>
            </w:pPr>
            <w:r w:rsidRPr="00AA0B4F">
              <w:t>Plan 2016.</w:t>
            </w:r>
          </w:p>
        </w:tc>
        <w:tc>
          <w:tcPr>
            <w:tcW w:w="1486" w:type="dxa"/>
            <w:shd w:val="clear" w:color="auto" w:fill="B5C0D8"/>
          </w:tcPr>
          <w:p w:rsidR="00D849AA" w:rsidRPr="00AA0B4F" w:rsidRDefault="00EE6D95">
            <w:pPr>
              <w:pStyle w:val="CellHeader"/>
            </w:pPr>
            <w:r w:rsidRPr="00AA0B4F">
              <w:t>Indeks 2014/2013</w:t>
            </w:r>
          </w:p>
        </w:tc>
      </w:tr>
      <w:tr w:rsidR="00D849AA">
        <w:trPr>
          <w:jc w:val="center"/>
        </w:trPr>
        <w:tc>
          <w:tcPr>
            <w:tcW w:w="1486" w:type="dxa"/>
          </w:tcPr>
          <w:p w:rsidR="00D849AA" w:rsidRPr="00AA0B4F" w:rsidRDefault="00EE6D95">
            <w:pPr>
              <w:pStyle w:val="CellColumn"/>
            </w:pPr>
            <w:r w:rsidRPr="00AA0B4F">
              <w:t>T758025</w:t>
            </w:r>
          </w:p>
        </w:tc>
        <w:tc>
          <w:tcPr>
            <w:tcW w:w="1486" w:type="dxa"/>
          </w:tcPr>
          <w:p w:rsidR="00D849AA" w:rsidRPr="00AA0B4F" w:rsidRDefault="00EE6D95">
            <w:pPr>
              <w:rPr>
                <w:rFonts w:ascii="Arial" w:hAnsi="Arial" w:cs="Arial"/>
              </w:rPr>
            </w:pPr>
            <w:r w:rsidRPr="00AA0B4F">
              <w:rPr>
                <w:rFonts w:ascii="Arial" w:hAnsi="Arial" w:cs="Arial"/>
              </w:rPr>
              <w:t>1.650.000</w:t>
            </w:r>
          </w:p>
        </w:tc>
        <w:tc>
          <w:tcPr>
            <w:tcW w:w="1486" w:type="dxa"/>
          </w:tcPr>
          <w:p w:rsidR="00D849AA" w:rsidRPr="00AA0B4F" w:rsidRDefault="00EE6D95">
            <w:pPr>
              <w:rPr>
                <w:rFonts w:ascii="Arial" w:hAnsi="Arial" w:cs="Arial"/>
              </w:rPr>
            </w:pPr>
            <w:r w:rsidRPr="00AA0B4F">
              <w:rPr>
                <w:rFonts w:ascii="Arial" w:hAnsi="Arial" w:cs="Arial"/>
              </w:rPr>
              <w:t>00</w:t>
            </w:r>
          </w:p>
        </w:tc>
        <w:tc>
          <w:tcPr>
            <w:tcW w:w="1486" w:type="dxa"/>
          </w:tcPr>
          <w:p w:rsidR="00D849AA" w:rsidRPr="00AA0B4F" w:rsidRDefault="00EE6D95">
            <w:pPr>
              <w:rPr>
                <w:rFonts w:ascii="Arial" w:hAnsi="Arial" w:cs="Arial"/>
              </w:rPr>
            </w:pPr>
            <w:r w:rsidRPr="00AA0B4F">
              <w:rPr>
                <w:rFonts w:ascii="Arial" w:hAnsi="Arial" w:cs="Arial"/>
              </w:rPr>
              <w:t>00</w:t>
            </w:r>
          </w:p>
        </w:tc>
        <w:tc>
          <w:tcPr>
            <w:tcW w:w="1486" w:type="dxa"/>
          </w:tcPr>
          <w:p w:rsidR="00D849AA" w:rsidRPr="00AA0B4F" w:rsidRDefault="00EE6D95">
            <w:pPr>
              <w:rPr>
                <w:rFonts w:ascii="Arial" w:hAnsi="Arial" w:cs="Arial"/>
              </w:rPr>
            </w:pPr>
            <w:r w:rsidRPr="00AA0B4F">
              <w:rPr>
                <w:rFonts w:ascii="Arial" w:hAnsi="Arial" w:cs="Arial"/>
              </w:rPr>
              <w:t>00</w:t>
            </w:r>
          </w:p>
        </w:tc>
        <w:tc>
          <w:tcPr>
            <w:tcW w:w="1486" w:type="dxa"/>
          </w:tcPr>
          <w:p w:rsidR="00D849AA" w:rsidRPr="00AA0B4F" w:rsidRDefault="00EE6D95">
            <w:pPr>
              <w:rPr>
                <w:rFonts w:ascii="Arial" w:hAnsi="Arial" w:cs="Arial"/>
              </w:rPr>
            </w:pPr>
            <w:r w:rsidRPr="00AA0B4F">
              <w:rPr>
                <w:rFonts w:ascii="Arial" w:hAnsi="Arial" w:cs="Arial"/>
              </w:rPr>
              <w:t>0,0</w:t>
            </w:r>
          </w:p>
        </w:tc>
      </w:tr>
    </w:tbl>
    <w:p w:rsidR="00D849AA" w:rsidRDefault="00D849AA">
      <w:pPr>
        <w:jc w:val="left"/>
      </w:pPr>
    </w:p>
    <w:p w:rsidR="00D849AA" w:rsidRDefault="00EE6D95">
      <w:pPr>
        <w:pStyle w:val="Normal6"/>
      </w:pPr>
      <w:r>
        <w:t>Realizacija ove aktivnosti usmjerena je na provedbu i upravljanje fondovima kohezijske politike Europske unije u Hrvatskoj, u skladu sa zahtjevima Europske unije, te će se izvršiti evaluacija  i procjena utjecaja na okoliš programskih dokumenata pripremljenih za korištenje fondova kohezijske politike. Također, ojačat će se kapaciteti za provedu strateške procjene utjecaja na okoliš.</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317"/>
        <w:gridCol w:w="1114"/>
        <w:gridCol w:w="1486"/>
        <w:gridCol w:w="1486"/>
        <w:gridCol w:w="1486"/>
      </w:tblGrid>
      <w:tr w:rsidR="00D849AA">
        <w:trPr>
          <w:jc w:val="center"/>
        </w:trPr>
        <w:tc>
          <w:tcPr>
            <w:tcW w:w="2229" w:type="dxa"/>
            <w:shd w:val="clear" w:color="auto" w:fill="B5C0D8"/>
          </w:tcPr>
          <w:p w:rsidR="00D849AA" w:rsidRPr="00AA0B4F" w:rsidRDefault="00EE6D95">
            <w:pPr>
              <w:rPr>
                <w:rFonts w:ascii="Arial" w:hAnsi="Arial" w:cs="Arial"/>
              </w:rPr>
            </w:pPr>
            <w:r w:rsidRPr="00AA0B4F">
              <w:rPr>
                <w:rFonts w:ascii="Arial" w:hAnsi="Arial" w:cs="Arial"/>
              </w:rPr>
              <w:t>Pokazatelj rezultata</w:t>
            </w:r>
          </w:p>
        </w:tc>
        <w:tc>
          <w:tcPr>
            <w:tcW w:w="1114" w:type="dxa"/>
            <w:shd w:val="clear" w:color="auto" w:fill="B5C0D8"/>
          </w:tcPr>
          <w:p w:rsidR="00D849AA" w:rsidRPr="00AA0B4F" w:rsidRDefault="00EE6D95">
            <w:pPr>
              <w:pStyle w:val="CellHeader"/>
            </w:pPr>
            <w:r w:rsidRPr="00AA0B4F">
              <w:t>Jedinica</w:t>
            </w:r>
          </w:p>
        </w:tc>
        <w:tc>
          <w:tcPr>
            <w:tcW w:w="1114" w:type="dxa"/>
            <w:shd w:val="clear" w:color="auto" w:fill="B5C0D8"/>
          </w:tcPr>
          <w:p w:rsidR="00D849AA" w:rsidRPr="00AA0B4F" w:rsidRDefault="00EE6D95">
            <w:pPr>
              <w:pStyle w:val="CellHeader"/>
            </w:pPr>
            <w:r w:rsidRPr="00AA0B4F">
              <w:t>Polazna vrijednost</w:t>
            </w:r>
          </w:p>
        </w:tc>
        <w:tc>
          <w:tcPr>
            <w:tcW w:w="1486" w:type="dxa"/>
            <w:shd w:val="clear" w:color="auto" w:fill="B5C0D8"/>
          </w:tcPr>
          <w:p w:rsidR="00D849AA" w:rsidRPr="00AA0B4F" w:rsidRDefault="00EE6D95">
            <w:pPr>
              <w:pStyle w:val="CellHeader"/>
            </w:pPr>
            <w:r w:rsidRPr="00AA0B4F">
              <w:t>Ciljana vrijednost (2014.)</w:t>
            </w:r>
          </w:p>
        </w:tc>
        <w:tc>
          <w:tcPr>
            <w:tcW w:w="1486" w:type="dxa"/>
            <w:shd w:val="clear" w:color="auto" w:fill="B5C0D8"/>
          </w:tcPr>
          <w:p w:rsidR="00D849AA" w:rsidRPr="00AA0B4F" w:rsidRDefault="00EE6D95">
            <w:pPr>
              <w:pStyle w:val="CellHeader"/>
            </w:pPr>
            <w:r w:rsidRPr="00AA0B4F">
              <w:t>Ciljana vrijednost (2015.)</w:t>
            </w:r>
          </w:p>
        </w:tc>
        <w:tc>
          <w:tcPr>
            <w:tcW w:w="1486" w:type="dxa"/>
            <w:shd w:val="clear" w:color="auto" w:fill="B5C0D8"/>
          </w:tcPr>
          <w:p w:rsidR="00D849AA" w:rsidRPr="00AA0B4F" w:rsidRDefault="00EE6D95">
            <w:pPr>
              <w:pStyle w:val="CellHeader"/>
            </w:pPr>
            <w:r w:rsidRPr="00AA0B4F">
              <w:t>Ciljana vrijednost (2016.)</w:t>
            </w:r>
          </w:p>
        </w:tc>
      </w:tr>
      <w:tr w:rsidR="00D849AA">
        <w:trPr>
          <w:jc w:val="center"/>
        </w:trPr>
        <w:tc>
          <w:tcPr>
            <w:tcW w:w="2229" w:type="dxa"/>
          </w:tcPr>
          <w:p w:rsidR="00D849AA" w:rsidRPr="00AA0B4F" w:rsidRDefault="00EE6D95" w:rsidP="00AA0B4F">
            <w:pPr>
              <w:pStyle w:val="CellColumn"/>
            </w:pPr>
            <w:r w:rsidRPr="00AA0B4F">
              <w:t>Izvješća o ex ante</w:t>
            </w:r>
            <w:r w:rsidR="00AA0B4F" w:rsidRPr="00AA0B4F">
              <w:t xml:space="preserve"> </w:t>
            </w:r>
            <w:r w:rsidRPr="00AA0B4F">
              <w:t>evaluaciji izrađena za</w:t>
            </w:r>
            <w:r w:rsidR="00AA0B4F" w:rsidRPr="00AA0B4F">
              <w:t xml:space="preserve"> pojedine </w:t>
            </w:r>
            <w:r w:rsidRPr="00AA0B4F">
              <w:t>Operativne</w:t>
            </w:r>
            <w:r w:rsidR="00AA0B4F" w:rsidRPr="00AA0B4F">
              <w:t xml:space="preserve"> </w:t>
            </w:r>
            <w:r w:rsidRPr="00AA0B4F">
              <w:t>programe za strukturne fondove EU 2014-2020</w:t>
            </w:r>
          </w:p>
        </w:tc>
        <w:tc>
          <w:tcPr>
            <w:tcW w:w="1114" w:type="dxa"/>
          </w:tcPr>
          <w:p w:rsidR="00D849AA" w:rsidRPr="00AA0B4F" w:rsidRDefault="00EE6D95">
            <w:pPr>
              <w:rPr>
                <w:rFonts w:ascii="Arial" w:hAnsi="Arial" w:cs="Arial"/>
              </w:rPr>
            </w:pPr>
            <w:r w:rsidRPr="00AA0B4F">
              <w:rPr>
                <w:rFonts w:ascii="Arial" w:hAnsi="Arial" w:cs="Arial"/>
              </w:rPr>
              <w:t>broj dokumenata</w:t>
            </w:r>
          </w:p>
        </w:tc>
        <w:tc>
          <w:tcPr>
            <w:tcW w:w="1114" w:type="dxa"/>
          </w:tcPr>
          <w:p w:rsidR="00D849AA" w:rsidRPr="00AA0B4F" w:rsidRDefault="00EE6D95">
            <w:pPr>
              <w:rPr>
                <w:rFonts w:ascii="Arial" w:hAnsi="Arial" w:cs="Arial"/>
              </w:rPr>
            </w:pPr>
            <w:r w:rsidRPr="00AA0B4F">
              <w:rPr>
                <w:rFonts w:ascii="Arial" w:hAnsi="Arial" w:cs="Arial"/>
              </w:rPr>
              <w:t>3</w:t>
            </w:r>
          </w:p>
        </w:tc>
        <w:tc>
          <w:tcPr>
            <w:tcW w:w="1486" w:type="dxa"/>
          </w:tcPr>
          <w:p w:rsidR="00D849AA" w:rsidRPr="00AA0B4F" w:rsidRDefault="00EE6D95">
            <w:pPr>
              <w:rPr>
                <w:rFonts w:ascii="Arial" w:hAnsi="Arial" w:cs="Arial"/>
              </w:rPr>
            </w:pPr>
            <w:r w:rsidRPr="00AA0B4F">
              <w:rPr>
                <w:rFonts w:ascii="Arial" w:hAnsi="Arial" w:cs="Arial"/>
              </w:rPr>
              <w:t>3</w:t>
            </w:r>
          </w:p>
        </w:tc>
        <w:tc>
          <w:tcPr>
            <w:tcW w:w="1486" w:type="dxa"/>
          </w:tcPr>
          <w:p w:rsidR="00D849AA" w:rsidRPr="00AA0B4F" w:rsidRDefault="00EE6D95">
            <w:pPr>
              <w:rPr>
                <w:rFonts w:ascii="Arial" w:hAnsi="Arial" w:cs="Arial"/>
              </w:rPr>
            </w:pPr>
            <w:r w:rsidRPr="00AA0B4F">
              <w:rPr>
                <w:rFonts w:ascii="Arial" w:hAnsi="Arial" w:cs="Arial"/>
              </w:rPr>
              <w:t>3</w:t>
            </w:r>
          </w:p>
        </w:tc>
        <w:tc>
          <w:tcPr>
            <w:tcW w:w="1486" w:type="dxa"/>
          </w:tcPr>
          <w:p w:rsidR="00D849AA" w:rsidRPr="00AA0B4F" w:rsidRDefault="00EE6D95">
            <w:pPr>
              <w:rPr>
                <w:rFonts w:ascii="Arial" w:hAnsi="Arial" w:cs="Arial"/>
              </w:rPr>
            </w:pPr>
            <w:r w:rsidRPr="00AA0B4F">
              <w:rPr>
                <w:rFonts w:ascii="Arial" w:hAnsi="Arial" w:cs="Arial"/>
              </w:rPr>
              <w:t>3</w:t>
            </w:r>
          </w:p>
        </w:tc>
      </w:tr>
      <w:tr w:rsidR="00D849AA">
        <w:trPr>
          <w:jc w:val="center"/>
        </w:trPr>
        <w:tc>
          <w:tcPr>
            <w:tcW w:w="2229" w:type="dxa"/>
          </w:tcPr>
          <w:p w:rsidR="00D849AA" w:rsidRPr="00AA0B4F" w:rsidRDefault="00EE6D95" w:rsidP="00AA0B4F">
            <w:pPr>
              <w:pStyle w:val="CellColumn"/>
            </w:pPr>
            <w:r w:rsidRPr="00AA0B4F">
              <w:t>Izrađene strateške studije utjecaja za pojedine Operativne programe za</w:t>
            </w:r>
            <w:r w:rsidR="00AA0B4F" w:rsidRPr="00AA0B4F">
              <w:t xml:space="preserve"> </w:t>
            </w:r>
            <w:r w:rsidRPr="00AA0B4F">
              <w:t>strukturne fondove EU 2014-2020</w:t>
            </w:r>
          </w:p>
        </w:tc>
        <w:tc>
          <w:tcPr>
            <w:tcW w:w="1114" w:type="dxa"/>
          </w:tcPr>
          <w:p w:rsidR="00D849AA" w:rsidRPr="00AA0B4F" w:rsidRDefault="00EE6D95">
            <w:pPr>
              <w:rPr>
                <w:rFonts w:ascii="Arial" w:hAnsi="Arial" w:cs="Arial"/>
              </w:rPr>
            </w:pPr>
            <w:r w:rsidRPr="00AA0B4F">
              <w:rPr>
                <w:rFonts w:ascii="Arial" w:hAnsi="Arial" w:cs="Arial"/>
              </w:rPr>
              <w:t>broj dokumenata</w:t>
            </w:r>
          </w:p>
        </w:tc>
        <w:tc>
          <w:tcPr>
            <w:tcW w:w="1114" w:type="dxa"/>
          </w:tcPr>
          <w:p w:rsidR="00D849AA" w:rsidRPr="00AA0B4F" w:rsidRDefault="00EE6D95">
            <w:pPr>
              <w:rPr>
                <w:rFonts w:ascii="Arial" w:hAnsi="Arial" w:cs="Arial"/>
              </w:rPr>
            </w:pPr>
            <w:r w:rsidRPr="00AA0B4F">
              <w:rPr>
                <w:rFonts w:ascii="Arial" w:hAnsi="Arial" w:cs="Arial"/>
              </w:rPr>
              <w:t>0</w:t>
            </w:r>
          </w:p>
        </w:tc>
        <w:tc>
          <w:tcPr>
            <w:tcW w:w="1486" w:type="dxa"/>
          </w:tcPr>
          <w:p w:rsidR="00D849AA" w:rsidRPr="00AA0B4F" w:rsidRDefault="00EE6D95">
            <w:pPr>
              <w:rPr>
                <w:rFonts w:ascii="Arial" w:hAnsi="Arial" w:cs="Arial"/>
              </w:rPr>
            </w:pPr>
            <w:r w:rsidRPr="00AA0B4F">
              <w:rPr>
                <w:rFonts w:ascii="Arial" w:hAnsi="Arial" w:cs="Arial"/>
              </w:rPr>
              <w:t xml:space="preserve">min 1 - </w:t>
            </w:r>
          </w:p>
          <w:p w:rsidR="00D849AA" w:rsidRPr="00AA0B4F" w:rsidRDefault="00EE6D95">
            <w:pPr>
              <w:rPr>
                <w:rFonts w:ascii="Arial" w:hAnsi="Arial" w:cs="Arial"/>
              </w:rPr>
            </w:pPr>
            <w:r w:rsidRPr="00AA0B4F">
              <w:rPr>
                <w:rFonts w:ascii="Arial" w:hAnsi="Arial" w:cs="Arial"/>
              </w:rPr>
              <w:t>max 3</w:t>
            </w:r>
          </w:p>
        </w:tc>
        <w:tc>
          <w:tcPr>
            <w:tcW w:w="1486" w:type="dxa"/>
          </w:tcPr>
          <w:p w:rsidR="00D849AA" w:rsidRPr="00AA0B4F" w:rsidRDefault="00EE6D95">
            <w:pPr>
              <w:rPr>
                <w:rFonts w:ascii="Arial" w:hAnsi="Arial" w:cs="Arial"/>
              </w:rPr>
            </w:pPr>
            <w:r w:rsidRPr="00AA0B4F">
              <w:rPr>
                <w:rFonts w:ascii="Arial" w:hAnsi="Arial" w:cs="Arial"/>
              </w:rPr>
              <w:t xml:space="preserve">min 1 -  </w:t>
            </w:r>
          </w:p>
          <w:p w:rsidR="00D849AA" w:rsidRPr="00AA0B4F" w:rsidRDefault="00EE6D95">
            <w:pPr>
              <w:rPr>
                <w:rFonts w:ascii="Arial" w:hAnsi="Arial" w:cs="Arial"/>
              </w:rPr>
            </w:pPr>
            <w:r w:rsidRPr="00AA0B4F">
              <w:rPr>
                <w:rFonts w:ascii="Arial" w:hAnsi="Arial" w:cs="Arial"/>
              </w:rPr>
              <w:t>max 3</w:t>
            </w:r>
          </w:p>
        </w:tc>
        <w:tc>
          <w:tcPr>
            <w:tcW w:w="1486" w:type="dxa"/>
          </w:tcPr>
          <w:p w:rsidR="00D849AA" w:rsidRPr="00AA0B4F" w:rsidRDefault="00EE6D95">
            <w:pPr>
              <w:rPr>
                <w:rFonts w:ascii="Arial" w:hAnsi="Arial" w:cs="Arial"/>
              </w:rPr>
            </w:pPr>
            <w:r w:rsidRPr="00AA0B4F">
              <w:rPr>
                <w:rFonts w:ascii="Arial" w:hAnsi="Arial" w:cs="Arial"/>
              </w:rPr>
              <w:t xml:space="preserve">min 1 -  </w:t>
            </w:r>
          </w:p>
          <w:p w:rsidR="00D849AA" w:rsidRPr="00AA0B4F" w:rsidRDefault="00EE6D95">
            <w:pPr>
              <w:rPr>
                <w:rFonts w:ascii="Arial" w:hAnsi="Arial" w:cs="Arial"/>
              </w:rPr>
            </w:pPr>
            <w:r w:rsidRPr="00AA0B4F">
              <w:rPr>
                <w:rFonts w:ascii="Arial" w:hAnsi="Arial" w:cs="Arial"/>
              </w:rPr>
              <w:t>max 3</w:t>
            </w:r>
          </w:p>
        </w:tc>
      </w:tr>
    </w:tbl>
    <w:p w:rsidR="00D849AA" w:rsidRDefault="00D849AA">
      <w:pPr>
        <w:jc w:val="left"/>
      </w:pPr>
    </w:p>
    <w:p w:rsidR="00337A23" w:rsidRDefault="00337A23" w:rsidP="00337A23">
      <w:pPr>
        <w:pStyle w:val="Naslov4"/>
      </w:pPr>
      <w:r>
        <w:t>OBRAZLOŽENJE PROGRAMA</w:t>
      </w:r>
    </w:p>
    <w:p w:rsidR="00D849AA" w:rsidRDefault="00EE6D95">
      <w:pPr>
        <w:pStyle w:val="Naslov5"/>
      </w:pPr>
      <w:r>
        <w:t>2901 POTICANJE REGIONALNE INFRASTRUKTURE I GOSPODARSTVA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2901</w:t>
            </w:r>
          </w:p>
        </w:tc>
        <w:tc>
          <w:tcPr>
            <w:tcW w:w="1486" w:type="dxa"/>
          </w:tcPr>
          <w:p w:rsidR="00D849AA" w:rsidRDefault="00EE6D95">
            <w:r>
              <w:t>451.560.000</w:t>
            </w:r>
          </w:p>
        </w:tc>
        <w:tc>
          <w:tcPr>
            <w:tcW w:w="1486" w:type="dxa"/>
          </w:tcPr>
          <w:p w:rsidR="00D849AA" w:rsidRDefault="00EE6D95">
            <w:r>
              <w:t>449.793.156</w:t>
            </w:r>
          </w:p>
        </w:tc>
        <w:tc>
          <w:tcPr>
            <w:tcW w:w="1486" w:type="dxa"/>
          </w:tcPr>
          <w:p w:rsidR="00D849AA" w:rsidRDefault="00EE6D95">
            <w:r>
              <w:t>449.869.188</w:t>
            </w:r>
          </w:p>
        </w:tc>
        <w:tc>
          <w:tcPr>
            <w:tcW w:w="1486" w:type="dxa"/>
          </w:tcPr>
          <w:p w:rsidR="00D849AA" w:rsidRDefault="00EE6D95">
            <w:r>
              <w:t>329.535.261</w:t>
            </w:r>
          </w:p>
        </w:tc>
        <w:tc>
          <w:tcPr>
            <w:tcW w:w="1486" w:type="dxa"/>
          </w:tcPr>
          <w:p w:rsidR="00D849AA" w:rsidRDefault="00EE6D95">
            <w:r>
              <w:t>99,6</w:t>
            </w:r>
          </w:p>
        </w:tc>
      </w:tr>
    </w:tbl>
    <w:p w:rsidR="00D849AA" w:rsidRDefault="00D849AA">
      <w:pPr>
        <w:jc w:val="left"/>
      </w:pPr>
    </w:p>
    <w:p w:rsidR="00D849AA" w:rsidRDefault="00EE6D95">
      <w:pPr>
        <w:pStyle w:val="Naslov6"/>
      </w:pPr>
      <w:r>
        <w:t>Opis programa</w:t>
      </w:r>
    </w:p>
    <w:p w:rsidR="00D849AA" w:rsidRDefault="00EE6D95">
      <w:pPr>
        <w:pStyle w:val="Normal5"/>
      </w:pPr>
      <w:r>
        <w:t xml:space="preserve">Postojanje kvalitetne komunalne i socijalne infrastrukture te njeno učinkovito održavanje i upravljanje čine osnovne pretpostavke razvoja svih segmenata društveno-gospodarskog razvoja, podizanja kvalitete života te smanjivanja zaostajanja slabije razvijenih regija. </w:t>
      </w:r>
    </w:p>
    <w:p w:rsidR="00D849AA" w:rsidRDefault="00EE6D95">
      <w:pPr>
        <w:pStyle w:val="Normal5"/>
      </w:pPr>
      <w:r>
        <w:lastRenderedPageBreak/>
        <w:t xml:space="preserve">Cilj ovog Programa je usmjeren na rješavanje identificiranih prioritetnih potreba usuglašenih između svih zainteresiranih strana koji se odnose na izgradnju, sanaciju, nadogradnju i/ili opremanjem objekata komunalne i socijalne infrastrukture, i kao takvih prepoznatih u strateškim planskim dokumentima na svim razinama, a u cilju smanjivanja zaostajanja slabije razvijenih regija.  </w:t>
      </w:r>
    </w:p>
    <w:p w:rsidR="00D849AA" w:rsidRDefault="00EE6D95">
      <w:pPr>
        <w:pStyle w:val="Normal5"/>
      </w:pPr>
      <w:r>
        <w:t xml:space="preserve">U okviru ovog Programa provode se višegodišnji projekti EIB II i EIB III kojima se  financira obnova, izgradnja, nadogradnja i rekonstrukcija komunalne i socijalne infrastrukture u JLS-ima, u prvom redu potprojekti iz područja vodoopskrbe i odvodnje, lokalnih cesta, školskih objekata i dječjih vrtića. Osim višegodišnjih projekata provode se i godišnji razvojni programi - „Regionalni razvojni projekti“ i „Razvoj potpomognutih područja“, putem kojih se sufinanciraju manji infrastrukturni projekti čiji su nositelji jedinice lokalne ili regionalne samouprave u području izgradnje, nadogradnje i sanacije komunalne i socijalne infrastrukture, te izrade prostorne i druge planske, projektne i programske razvojne dokumentacije, kao i drugi projekti čija realizacija pridonosi podizanju ukupne kvalitete življenja stanovništva.  </w:t>
      </w:r>
    </w:p>
    <w:p w:rsidR="00D849AA" w:rsidRDefault="00EE6D95">
      <w:pPr>
        <w:pStyle w:val="Normal5"/>
      </w:pPr>
      <w:r>
        <w:t xml:space="preserve">Realizacijom višegodišnjih projekata i godišnjih programa u okviru Programa regionalnog razvoja nastoji se smanjiti negativni trend razvoja pojedinih područja, obnova i revitalizacija ratom stradalih područja, poboljšanje kvalitete života, povećanje obrazovnog standarda stanovništva, stvaranje preduvjeta za gospodarski i društveni razvoj. </w:t>
      </w:r>
    </w:p>
    <w:p w:rsidR="00D849AA" w:rsidRDefault="00EE6D95">
      <w:pPr>
        <w:pStyle w:val="Normal5"/>
      </w:pPr>
      <w:r>
        <w:t>Za realizaciju navedenih projekata i programa koristit će se dostupna sredstva iz domaćih izvora (državni proračun i proračuni jedinica regionalne i lokalne samouprave) i sredstva zajma Europske investicijske Banke (EIB II i EIB III).</w:t>
      </w:r>
    </w:p>
    <w:p w:rsidR="00D849AA" w:rsidRDefault="00EE6D95">
      <w:pPr>
        <w:pStyle w:val="Naslov6"/>
      </w:pPr>
      <w:r>
        <w:t>Zakonske i druge pravne osnove</w:t>
      </w:r>
    </w:p>
    <w:p w:rsidR="00D849AA" w:rsidRPr="00AA0B4F" w:rsidRDefault="00EE6D95">
      <w:pPr>
        <w:pStyle w:val="Normal5"/>
        <w:rPr>
          <w:b/>
        </w:rPr>
      </w:pPr>
      <w:r w:rsidRPr="00AA0B4F">
        <w:rPr>
          <w:b/>
        </w:rPr>
        <w:t xml:space="preserve">Međunarodni ugovori: </w:t>
      </w:r>
    </w:p>
    <w:p w:rsidR="00D849AA" w:rsidRDefault="00EE6D95">
      <w:pPr>
        <w:pStyle w:val="Normal5"/>
      </w:pPr>
      <w:r>
        <w:t xml:space="preserve">1.Zajam br. 22.881 – Okvirni višesektorski zajam za komunalnu infrastrukturu za projekt „Integralni razvoj lokalne zajednice“ ( EIB II), sklopljen  s  Europskom Investicijskom Bankom (Narodne novine/MU 7/05); </w:t>
      </w:r>
    </w:p>
    <w:p w:rsidR="00D849AA" w:rsidRDefault="00EE6D95">
      <w:pPr>
        <w:pStyle w:val="Normal5"/>
      </w:pPr>
      <w:r>
        <w:t xml:space="preserve">2.Zajam broj 31.806 - Projekt Zajam za kopnenu infrastrukturu (Integralni razvoj lokalne zajednice); sklopljen sa Europskom investicijskom bankom  (Narodne novine/MU 15/11).   </w:t>
      </w:r>
    </w:p>
    <w:p w:rsidR="00D849AA" w:rsidRDefault="00EE6D95">
      <w:pPr>
        <w:pStyle w:val="Normal5"/>
      </w:pPr>
      <w:r>
        <w:t xml:space="preserve"> </w:t>
      </w:r>
    </w:p>
    <w:p w:rsidR="00D849AA" w:rsidRPr="00AA0B4F" w:rsidRDefault="00EE6D95">
      <w:pPr>
        <w:pStyle w:val="Normal5"/>
        <w:rPr>
          <w:b/>
        </w:rPr>
      </w:pPr>
      <w:r w:rsidRPr="00AA0B4F">
        <w:rPr>
          <w:b/>
        </w:rPr>
        <w:t xml:space="preserve">Zakoni: </w:t>
      </w:r>
    </w:p>
    <w:p w:rsidR="00D849AA" w:rsidRDefault="00EE6D95">
      <w:pPr>
        <w:pStyle w:val="Normal5"/>
      </w:pPr>
      <w:r>
        <w:t xml:space="preserve">1.Zakon o regionalnom razvoju Republike Hrvatske (Narodne novine, broj 153/09); </w:t>
      </w:r>
    </w:p>
    <w:p w:rsidR="00D849AA" w:rsidRDefault="00EE6D95">
      <w:pPr>
        <w:pStyle w:val="Normal5"/>
      </w:pPr>
      <w:r>
        <w:t xml:space="preserve">2.Zakon o područjima posebne državne skrbi (Narodne novine, broj 86/08, 57/11); </w:t>
      </w:r>
    </w:p>
    <w:p w:rsidR="00D849AA" w:rsidRDefault="00EE6D95">
      <w:pPr>
        <w:pStyle w:val="Normal5"/>
      </w:pPr>
      <w:r>
        <w:t>3.Zakon o brdsko-planinskim područjima (Narodne novine, broj 12/02, 32/02, 117/03, 42/05, 90/05 i 80/08).</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 xml:space="preserve">Cilj 1. Poticanje konkurentnog i uravnoteženog regionalnoga razvoja </w:t>
      </w:r>
    </w:p>
    <w:p w:rsidR="00D849AA" w:rsidRDefault="00EE6D95">
      <w:pPr>
        <w:pStyle w:val="Normal6"/>
      </w:pPr>
      <w:r>
        <w:t xml:space="preserve">Cilj je politike regionalnoga razvoja Republike Hrvatske pridonijeti ukupnom nacionalnom rastu i razvoju stvaranjem uvjeta koji će smanjiti društvene i gospodarske razvojne nejednakosti među statističkim regijama i županijama, omogućiti svim područjima da postanu konkurentna te uspostaviti okvir za koordinirane nacionalne, regionalne i lokalne inicijative kojima je cilj unapređenje gospodarskog i društvenog razvoja zemlje. </w:t>
      </w:r>
    </w:p>
    <w:p w:rsidR="00D849AA" w:rsidRDefault="00EE6D95">
      <w:pPr>
        <w:pStyle w:val="Normal6"/>
      </w:pPr>
      <w:r>
        <w:t xml:space="preserve">U svrhu izjednačavanja uvjeta i kvalitete života u slabije razvijenim područjima (potpomognuta područja izdvojena temeljem indeksa razvijenosti) s ostalim područjima </w:t>
      </w:r>
      <w:r>
        <w:lastRenderedPageBreak/>
        <w:t>Republike Hrvatske intenzivno će se raditi na poboljšanju uvjeta života u svim segmentima. To se planira postići podizanjem kvalitete gospodarske, društvene i komunalne infrastrukture, jačanjem urbanih žarišta razvoja na tim područjima te smanjenjem njihove prometne izoliranosti tj. boljom prometnom dostupnosti. Diferenciranim ulaganjima u pojedina područja Republike Hrvatske nastoji se omogućiti slabije razvijenim područjima da ubrzaju svoj razvoj i smanje zaostajanje u razvijenosti za nacionalnim prosjekom. To se provodi na način da se, naravno tamo gdje je to gospodarski i društveno opravdano, u slabije razvijena  područja usmjerava veća koncentracija sredstava, odnosno veći intenzitet potpora. Takvim se pristupom želi, uz doprinos ukupnom gospodarskom razvoju hrvatskih regija, doprinijeti i smanjenju regionalnih razlika te teritorijalnoj, gospodarskoj i društvenoj koheziji.</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AA0B4F" w:rsidRDefault="00EE6D95">
            <w:pPr>
              <w:rPr>
                <w:rFonts w:ascii="Arial" w:hAnsi="Arial" w:cs="Arial"/>
              </w:rPr>
            </w:pPr>
            <w:r w:rsidRPr="00AA0B4F">
              <w:rPr>
                <w:rFonts w:ascii="Arial" w:hAnsi="Arial" w:cs="Arial"/>
              </w:rPr>
              <w:t>Pokazatelj učinka</w:t>
            </w:r>
          </w:p>
        </w:tc>
        <w:tc>
          <w:tcPr>
            <w:tcW w:w="1114" w:type="dxa"/>
            <w:shd w:val="clear" w:color="auto" w:fill="B5C0D8"/>
          </w:tcPr>
          <w:p w:rsidR="00D849AA" w:rsidRPr="00AA0B4F" w:rsidRDefault="00EE6D95">
            <w:pPr>
              <w:pStyle w:val="CellHeader"/>
            </w:pPr>
            <w:r w:rsidRPr="00AA0B4F">
              <w:t>Jedinica</w:t>
            </w:r>
          </w:p>
        </w:tc>
        <w:tc>
          <w:tcPr>
            <w:tcW w:w="1114" w:type="dxa"/>
            <w:shd w:val="clear" w:color="auto" w:fill="B5C0D8"/>
          </w:tcPr>
          <w:p w:rsidR="00D849AA" w:rsidRPr="00AA0B4F" w:rsidRDefault="00EE6D95">
            <w:pPr>
              <w:pStyle w:val="CellHeader"/>
            </w:pPr>
            <w:r w:rsidRPr="00AA0B4F">
              <w:t>Polazna vrijednost</w:t>
            </w:r>
          </w:p>
        </w:tc>
        <w:tc>
          <w:tcPr>
            <w:tcW w:w="1486" w:type="dxa"/>
            <w:shd w:val="clear" w:color="auto" w:fill="B5C0D8"/>
          </w:tcPr>
          <w:p w:rsidR="00D849AA" w:rsidRPr="00AA0B4F" w:rsidRDefault="00EE6D95">
            <w:pPr>
              <w:pStyle w:val="CellHeader"/>
            </w:pPr>
            <w:r w:rsidRPr="00AA0B4F">
              <w:t>Ciljana vrijednost (2014.)</w:t>
            </w:r>
          </w:p>
        </w:tc>
        <w:tc>
          <w:tcPr>
            <w:tcW w:w="1486" w:type="dxa"/>
            <w:shd w:val="clear" w:color="auto" w:fill="B5C0D8"/>
          </w:tcPr>
          <w:p w:rsidR="00D849AA" w:rsidRPr="00AA0B4F" w:rsidRDefault="00EE6D95">
            <w:pPr>
              <w:pStyle w:val="CellHeader"/>
            </w:pPr>
            <w:r w:rsidRPr="00AA0B4F">
              <w:t>Ciljana vrijednost (2015.)</w:t>
            </w:r>
          </w:p>
        </w:tc>
        <w:tc>
          <w:tcPr>
            <w:tcW w:w="1486" w:type="dxa"/>
            <w:shd w:val="clear" w:color="auto" w:fill="B5C0D8"/>
          </w:tcPr>
          <w:p w:rsidR="00D849AA" w:rsidRPr="00AA0B4F" w:rsidRDefault="00EE6D95">
            <w:pPr>
              <w:pStyle w:val="CellHeader"/>
            </w:pPr>
            <w:r w:rsidRPr="00AA0B4F">
              <w:t>Ciljana vrijednost (2016.)</w:t>
            </w:r>
          </w:p>
        </w:tc>
      </w:tr>
      <w:tr w:rsidR="00D849AA">
        <w:trPr>
          <w:jc w:val="center"/>
        </w:trPr>
        <w:tc>
          <w:tcPr>
            <w:tcW w:w="2229" w:type="dxa"/>
          </w:tcPr>
          <w:p w:rsidR="00D849AA" w:rsidRPr="00AA0B4F" w:rsidRDefault="00EE6D95">
            <w:pPr>
              <w:pStyle w:val="CellColumn"/>
            </w:pPr>
            <w:r w:rsidRPr="00AA0B4F">
              <w:t>Povećanje indeksa razvijenosti  JLPS, tj. povećanje standarda i kvalitete života stanovnika</w:t>
            </w:r>
          </w:p>
        </w:tc>
        <w:tc>
          <w:tcPr>
            <w:tcW w:w="1114" w:type="dxa"/>
          </w:tcPr>
          <w:p w:rsidR="00D849AA" w:rsidRPr="00AA0B4F" w:rsidRDefault="00EE6D95">
            <w:pPr>
              <w:rPr>
                <w:rFonts w:ascii="Arial" w:hAnsi="Arial" w:cs="Arial"/>
              </w:rPr>
            </w:pPr>
            <w:r w:rsidRPr="00AA0B4F">
              <w:rPr>
                <w:rFonts w:ascii="Arial" w:hAnsi="Arial" w:cs="Arial"/>
              </w:rPr>
              <w:t>%</w:t>
            </w:r>
          </w:p>
        </w:tc>
        <w:tc>
          <w:tcPr>
            <w:tcW w:w="1114" w:type="dxa"/>
          </w:tcPr>
          <w:p w:rsidR="00D849AA" w:rsidRPr="00AA0B4F" w:rsidRDefault="00EE6D95">
            <w:pPr>
              <w:rPr>
                <w:rFonts w:ascii="Arial" w:hAnsi="Arial" w:cs="Arial"/>
              </w:rPr>
            </w:pPr>
            <w:r w:rsidRPr="00AA0B4F">
              <w:rPr>
                <w:rFonts w:ascii="Arial" w:hAnsi="Arial" w:cs="Arial"/>
              </w:rPr>
              <w:t>0</w:t>
            </w:r>
          </w:p>
        </w:tc>
        <w:tc>
          <w:tcPr>
            <w:tcW w:w="1486" w:type="dxa"/>
          </w:tcPr>
          <w:p w:rsidR="00D849AA" w:rsidRPr="00AA0B4F" w:rsidRDefault="00EE6D95">
            <w:pPr>
              <w:rPr>
                <w:rFonts w:ascii="Arial" w:hAnsi="Arial" w:cs="Arial"/>
              </w:rPr>
            </w:pPr>
            <w:r w:rsidRPr="00AA0B4F">
              <w:rPr>
                <w:rFonts w:ascii="Arial" w:hAnsi="Arial" w:cs="Arial"/>
              </w:rPr>
              <w:t>15</w:t>
            </w:r>
          </w:p>
        </w:tc>
        <w:tc>
          <w:tcPr>
            <w:tcW w:w="1486" w:type="dxa"/>
          </w:tcPr>
          <w:p w:rsidR="00D849AA" w:rsidRPr="00AA0B4F" w:rsidRDefault="00EE6D95">
            <w:pPr>
              <w:rPr>
                <w:rFonts w:ascii="Arial" w:hAnsi="Arial" w:cs="Arial"/>
              </w:rPr>
            </w:pPr>
            <w:r w:rsidRPr="00AA0B4F">
              <w:rPr>
                <w:rFonts w:ascii="Arial" w:hAnsi="Arial" w:cs="Arial"/>
              </w:rPr>
              <w:t>15</w:t>
            </w:r>
          </w:p>
        </w:tc>
        <w:tc>
          <w:tcPr>
            <w:tcW w:w="1486" w:type="dxa"/>
          </w:tcPr>
          <w:p w:rsidR="00D849AA" w:rsidRPr="00AA0B4F" w:rsidRDefault="00EE6D95">
            <w:pPr>
              <w:rPr>
                <w:rFonts w:ascii="Arial" w:hAnsi="Arial" w:cs="Arial"/>
              </w:rPr>
            </w:pPr>
            <w:r w:rsidRPr="00AA0B4F">
              <w:rPr>
                <w:rFonts w:ascii="Arial" w:hAnsi="Arial" w:cs="Arial"/>
              </w:rPr>
              <w:t>15</w:t>
            </w:r>
          </w:p>
        </w:tc>
      </w:tr>
    </w:tbl>
    <w:p w:rsidR="00D849AA" w:rsidRDefault="00D849AA">
      <w:pPr>
        <w:jc w:val="left"/>
      </w:pPr>
    </w:p>
    <w:p w:rsidR="00D849AA" w:rsidRDefault="00EE6D95">
      <w:pPr>
        <w:pStyle w:val="Naslov5"/>
      </w:pPr>
      <w:r>
        <w:t>Procjena i ishodište potrebnih sredstava za značajnije aktivnosti/projekte</w:t>
      </w:r>
    </w:p>
    <w:p w:rsidR="00D849AA" w:rsidRDefault="00EE6D95">
      <w:pPr>
        <w:pStyle w:val="Naslov6"/>
      </w:pPr>
      <w:r>
        <w:t>A758019 PRIPREMA I PROVEDBA EU PROJEKATA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AA0B4F" w:rsidRDefault="00EE6D95">
            <w:pPr>
              <w:pStyle w:val="CellHeader"/>
            </w:pPr>
            <w:r w:rsidRPr="00AA0B4F">
              <w:t>Naziv aktivnosti</w:t>
            </w:r>
          </w:p>
        </w:tc>
        <w:tc>
          <w:tcPr>
            <w:tcW w:w="1486" w:type="dxa"/>
            <w:shd w:val="clear" w:color="auto" w:fill="B5C0D8"/>
          </w:tcPr>
          <w:p w:rsidR="00D849AA" w:rsidRPr="00AA0B4F" w:rsidRDefault="00EE6D95">
            <w:pPr>
              <w:pStyle w:val="CellHeader"/>
            </w:pPr>
            <w:r w:rsidRPr="00AA0B4F">
              <w:t>Plan 2013.</w:t>
            </w:r>
          </w:p>
        </w:tc>
        <w:tc>
          <w:tcPr>
            <w:tcW w:w="1486" w:type="dxa"/>
            <w:shd w:val="clear" w:color="auto" w:fill="B5C0D8"/>
          </w:tcPr>
          <w:p w:rsidR="00D849AA" w:rsidRPr="00AA0B4F" w:rsidRDefault="00EE6D95">
            <w:pPr>
              <w:pStyle w:val="CellHeader"/>
            </w:pPr>
            <w:r w:rsidRPr="00AA0B4F">
              <w:t>Plan 2014.</w:t>
            </w:r>
          </w:p>
        </w:tc>
        <w:tc>
          <w:tcPr>
            <w:tcW w:w="1486" w:type="dxa"/>
            <w:shd w:val="clear" w:color="auto" w:fill="B5C0D8"/>
          </w:tcPr>
          <w:p w:rsidR="00D849AA" w:rsidRPr="00AA0B4F" w:rsidRDefault="00EE6D95">
            <w:pPr>
              <w:pStyle w:val="CellHeader"/>
            </w:pPr>
            <w:r w:rsidRPr="00AA0B4F">
              <w:t>Plan 2015.</w:t>
            </w:r>
          </w:p>
        </w:tc>
        <w:tc>
          <w:tcPr>
            <w:tcW w:w="1486" w:type="dxa"/>
            <w:shd w:val="clear" w:color="auto" w:fill="B5C0D8"/>
          </w:tcPr>
          <w:p w:rsidR="00D849AA" w:rsidRPr="00AA0B4F" w:rsidRDefault="00EE6D95">
            <w:pPr>
              <w:pStyle w:val="CellHeader"/>
            </w:pPr>
            <w:r w:rsidRPr="00AA0B4F">
              <w:t>Plan 2016.</w:t>
            </w:r>
          </w:p>
        </w:tc>
        <w:tc>
          <w:tcPr>
            <w:tcW w:w="1486" w:type="dxa"/>
            <w:shd w:val="clear" w:color="auto" w:fill="B5C0D8"/>
          </w:tcPr>
          <w:p w:rsidR="00D849AA" w:rsidRPr="00AA0B4F" w:rsidRDefault="00EE6D95">
            <w:pPr>
              <w:pStyle w:val="CellHeader"/>
            </w:pPr>
            <w:r w:rsidRPr="00AA0B4F">
              <w:t>Indeks 2014/2013</w:t>
            </w:r>
          </w:p>
        </w:tc>
      </w:tr>
      <w:tr w:rsidR="00D849AA">
        <w:trPr>
          <w:jc w:val="center"/>
        </w:trPr>
        <w:tc>
          <w:tcPr>
            <w:tcW w:w="1486" w:type="dxa"/>
          </w:tcPr>
          <w:p w:rsidR="00D849AA" w:rsidRPr="00AA0B4F" w:rsidRDefault="00EE6D95">
            <w:pPr>
              <w:pStyle w:val="CellColumn"/>
            </w:pPr>
            <w:r w:rsidRPr="00AA0B4F">
              <w:t>A758019</w:t>
            </w:r>
          </w:p>
        </w:tc>
        <w:tc>
          <w:tcPr>
            <w:tcW w:w="1486" w:type="dxa"/>
          </w:tcPr>
          <w:p w:rsidR="00D849AA" w:rsidRPr="00AA0B4F" w:rsidRDefault="00EE6D95">
            <w:pPr>
              <w:rPr>
                <w:rFonts w:ascii="Arial" w:hAnsi="Arial" w:cs="Arial"/>
              </w:rPr>
            </w:pPr>
            <w:r w:rsidRPr="00AA0B4F">
              <w:rPr>
                <w:rFonts w:ascii="Arial" w:hAnsi="Arial" w:cs="Arial"/>
              </w:rPr>
              <w:t>34.700.000</w:t>
            </w:r>
          </w:p>
        </w:tc>
        <w:tc>
          <w:tcPr>
            <w:tcW w:w="1486" w:type="dxa"/>
          </w:tcPr>
          <w:p w:rsidR="00D849AA" w:rsidRPr="00AA0B4F" w:rsidRDefault="00EE6D95">
            <w:pPr>
              <w:rPr>
                <w:rFonts w:ascii="Arial" w:hAnsi="Arial" w:cs="Arial"/>
              </w:rPr>
            </w:pPr>
            <w:r w:rsidRPr="00AA0B4F">
              <w:rPr>
                <w:rFonts w:ascii="Arial" w:hAnsi="Arial" w:cs="Arial"/>
              </w:rPr>
              <w:t>35.000.000</w:t>
            </w:r>
          </w:p>
        </w:tc>
        <w:tc>
          <w:tcPr>
            <w:tcW w:w="1486" w:type="dxa"/>
          </w:tcPr>
          <w:p w:rsidR="00D849AA" w:rsidRPr="00AA0B4F" w:rsidRDefault="00EE6D95">
            <w:pPr>
              <w:rPr>
                <w:rFonts w:ascii="Arial" w:hAnsi="Arial" w:cs="Arial"/>
              </w:rPr>
            </w:pPr>
            <w:r w:rsidRPr="00AA0B4F">
              <w:rPr>
                <w:rFonts w:ascii="Arial" w:hAnsi="Arial" w:cs="Arial"/>
              </w:rPr>
              <w:t>65.000.000</w:t>
            </w:r>
          </w:p>
        </w:tc>
        <w:tc>
          <w:tcPr>
            <w:tcW w:w="1486" w:type="dxa"/>
          </w:tcPr>
          <w:p w:rsidR="00D849AA" w:rsidRPr="00AA0B4F" w:rsidRDefault="00EE6D95">
            <w:pPr>
              <w:rPr>
                <w:rFonts w:ascii="Arial" w:hAnsi="Arial" w:cs="Arial"/>
              </w:rPr>
            </w:pPr>
            <w:r w:rsidRPr="00AA0B4F">
              <w:rPr>
                <w:rFonts w:ascii="Arial" w:hAnsi="Arial" w:cs="Arial"/>
              </w:rPr>
              <w:t>65.000.000</w:t>
            </w:r>
          </w:p>
        </w:tc>
        <w:tc>
          <w:tcPr>
            <w:tcW w:w="1486" w:type="dxa"/>
          </w:tcPr>
          <w:p w:rsidR="00D849AA" w:rsidRPr="00AA0B4F" w:rsidRDefault="00EE6D95">
            <w:pPr>
              <w:rPr>
                <w:rFonts w:ascii="Arial" w:hAnsi="Arial" w:cs="Arial"/>
              </w:rPr>
            </w:pPr>
            <w:r w:rsidRPr="00AA0B4F">
              <w:rPr>
                <w:rFonts w:ascii="Arial" w:hAnsi="Arial" w:cs="Arial"/>
              </w:rPr>
              <w:t>100,9</w:t>
            </w:r>
          </w:p>
        </w:tc>
      </w:tr>
    </w:tbl>
    <w:p w:rsidR="00D849AA" w:rsidRDefault="00D849AA">
      <w:pPr>
        <w:jc w:val="left"/>
      </w:pPr>
    </w:p>
    <w:p w:rsidR="00D849AA" w:rsidRDefault="00EE6D95">
      <w:pPr>
        <w:pStyle w:val="Normal6"/>
      </w:pPr>
      <w:r>
        <w:t>Ova aktivnost obuhvaća pripremu i provedbu aktivnosti koje su usmjerene na stvaranje zalihe kvalitetnih projekata i jačanje apsorpcijskih kapaciteta regionalne i lokalne razine za korištenje EU sredstava. Aktivnost je usmjerena na potporu razvojnim projektima jedinica lokalne i područne (regionalne) samouprave koji su prihvatljivi za prijavu na natječaje u okviru operativnih programa, koji se već provode, ili je njihova provedba planirana, a financiraju se iz strukturnih fondova i Kohezijskog fonda Europske unije.</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rsidRPr="00950B90">
        <w:trPr>
          <w:jc w:val="center"/>
        </w:trPr>
        <w:tc>
          <w:tcPr>
            <w:tcW w:w="2229" w:type="dxa"/>
            <w:shd w:val="clear" w:color="auto" w:fill="B5C0D8"/>
          </w:tcPr>
          <w:p w:rsidR="00D849AA" w:rsidRPr="00950B90" w:rsidRDefault="00EE6D95">
            <w:pPr>
              <w:rPr>
                <w:rFonts w:ascii="Arial" w:hAnsi="Arial" w:cs="Arial"/>
              </w:rPr>
            </w:pPr>
            <w:r w:rsidRPr="00950B90">
              <w:rPr>
                <w:rFonts w:ascii="Arial" w:hAnsi="Arial" w:cs="Arial"/>
              </w:rPr>
              <w:t>Pokazatelj rezultata</w:t>
            </w:r>
          </w:p>
        </w:tc>
        <w:tc>
          <w:tcPr>
            <w:tcW w:w="1114" w:type="dxa"/>
            <w:shd w:val="clear" w:color="auto" w:fill="B5C0D8"/>
          </w:tcPr>
          <w:p w:rsidR="00D849AA" w:rsidRPr="00950B90" w:rsidRDefault="00EE6D95">
            <w:pPr>
              <w:pStyle w:val="CellHeader"/>
            </w:pPr>
            <w:r w:rsidRPr="00950B90">
              <w:t>Jedinica</w:t>
            </w:r>
          </w:p>
        </w:tc>
        <w:tc>
          <w:tcPr>
            <w:tcW w:w="1114" w:type="dxa"/>
            <w:shd w:val="clear" w:color="auto" w:fill="B5C0D8"/>
          </w:tcPr>
          <w:p w:rsidR="00D849AA" w:rsidRPr="00950B90" w:rsidRDefault="00EE6D95">
            <w:pPr>
              <w:pStyle w:val="CellHeader"/>
            </w:pPr>
            <w:r w:rsidRPr="00950B90">
              <w:t>Polazna vrijednost</w:t>
            </w:r>
          </w:p>
        </w:tc>
        <w:tc>
          <w:tcPr>
            <w:tcW w:w="1486" w:type="dxa"/>
            <w:shd w:val="clear" w:color="auto" w:fill="B5C0D8"/>
          </w:tcPr>
          <w:p w:rsidR="00D849AA" w:rsidRPr="00950B90" w:rsidRDefault="00EE6D95">
            <w:pPr>
              <w:pStyle w:val="CellHeader"/>
            </w:pPr>
            <w:r w:rsidRPr="00950B90">
              <w:t>Ciljana vrijednost (2014.)</w:t>
            </w:r>
          </w:p>
        </w:tc>
        <w:tc>
          <w:tcPr>
            <w:tcW w:w="1486" w:type="dxa"/>
            <w:shd w:val="clear" w:color="auto" w:fill="B5C0D8"/>
          </w:tcPr>
          <w:p w:rsidR="00D849AA" w:rsidRPr="00950B90" w:rsidRDefault="00EE6D95">
            <w:pPr>
              <w:pStyle w:val="CellHeader"/>
            </w:pPr>
            <w:r w:rsidRPr="00950B90">
              <w:t>Ciljana vrijednost (2015.)</w:t>
            </w:r>
          </w:p>
        </w:tc>
        <w:tc>
          <w:tcPr>
            <w:tcW w:w="1486" w:type="dxa"/>
            <w:shd w:val="clear" w:color="auto" w:fill="B5C0D8"/>
          </w:tcPr>
          <w:p w:rsidR="00D849AA" w:rsidRPr="00950B90" w:rsidRDefault="00EE6D95">
            <w:pPr>
              <w:pStyle w:val="CellHeader"/>
            </w:pPr>
            <w:r w:rsidRPr="00950B90">
              <w:t>Ciljana vrijednost (2016.)</w:t>
            </w:r>
          </w:p>
        </w:tc>
      </w:tr>
      <w:tr w:rsidR="00D849AA" w:rsidRPr="00950B90">
        <w:trPr>
          <w:jc w:val="center"/>
        </w:trPr>
        <w:tc>
          <w:tcPr>
            <w:tcW w:w="2229" w:type="dxa"/>
          </w:tcPr>
          <w:p w:rsidR="00D849AA" w:rsidRPr="00950B90" w:rsidRDefault="00EE6D95">
            <w:pPr>
              <w:pStyle w:val="CellColumn"/>
            </w:pPr>
            <w:r w:rsidRPr="00950B90">
              <w:t xml:space="preserve">Broj pripremljenih </w:t>
            </w:r>
          </w:p>
          <w:p w:rsidR="00D849AA" w:rsidRPr="00950B90" w:rsidRDefault="00EE6D95">
            <w:pPr>
              <w:pStyle w:val="CellColumn"/>
            </w:pPr>
            <w:r w:rsidRPr="00950B90">
              <w:t>regionalnih i lokalnih razvojnih projekata spremnih za prijavu na natječaje za dodjelu bespovratnih sredstva</w:t>
            </w:r>
          </w:p>
        </w:tc>
        <w:tc>
          <w:tcPr>
            <w:tcW w:w="1114" w:type="dxa"/>
          </w:tcPr>
          <w:p w:rsidR="00D849AA" w:rsidRPr="00950B90" w:rsidRDefault="00EE6D95">
            <w:pPr>
              <w:rPr>
                <w:rFonts w:ascii="Arial" w:hAnsi="Arial" w:cs="Arial"/>
              </w:rPr>
            </w:pPr>
            <w:r w:rsidRPr="00950B90">
              <w:rPr>
                <w:rFonts w:ascii="Arial" w:hAnsi="Arial" w:cs="Arial"/>
              </w:rPr>
              <w:t>broj</w:t>
            </w:r>
          </w:p>
        </w:tc>
        <w:tc>
          <w:tcPr>
            <w:tcW w:w="1114" w:type="dxa"/>
          </w:tcPr>
          <w:p w:rsidR="00D849AA" w:rsidRPr="00950B90" w:rsidRDefault="00EE6D95">
            <w:pPr>
              <w:rPr>
                <w:rFonts w:ascii="Arial" w:hAnsi="Arial" w:cs="Arial"/>
              </w:rPr>
            </w:pPr>
            <w:r w:rsidRPr="00950B90">
              <w:rPr>
                <w:rFonts w:ascii="Arial" w:hAnsi="Arial" w:cs="Arial"/>
              </w:rPr>
              <w:t>0</w:t>
            </w:r>
          </w:p>
        </w:tc>
        <w:tc>
          <w:tcPr>
            <w:tcW w:w="1486" w:type="dxa"/>
          </w:tcPr>
          <w:p w:rsidR="00D849AA" w:rsidRPr="00950B90" w:rsidRDefault="00EE6D95">
            <w:pPr>
              <w:rPr>
                <w:rFonts w:ascii="Arial" w:hAnsi="Arial" w:cs="Arial"/>
              </w:rPr>
            </w:pPr>
            <w:r w:rsidRPr="00950B90">
              <w:rPr>
                <w:rFonts w:ascii="Arial" w:hAnsi="Arial" w:cs="Arial"/>
              </w:rPr>
              <w:t>50</w:t>
            </w:r>
          </w:p>
        </w:tc>
        <w:tc>
          <w:tcPr>
            <w:tcW w:w="1486" w:type="dxa"/>
          </w:tcPr>
          <w:p w:rsidR="00D849AA" w:rsidRPr="00950B90" w:rsidRDefault="00EE6D95">
            <w:pPr>
              <w:rPr>
                <w:rFonts w:ascii="Arial" w:hAnsi="Arial" w:cs="Arial"/>
              </w:rPr>
            </w:pPr>
            <w:r w:rsidRPr="00950B90">
              <w:rPr>
                <w:rFonts w:ascii="Arial" w:hAnsi="Arial" w:cs="Arial"/>
              </w:rPr>
              <w:t>75</w:t>
            </w:r>
          </w:p>
        </w:tc>
        <w:tc>
          <w:tcPr>
            <w:tcW w:w="1486" w:type="dxa"/>
          </w:tcPr>
          <w:p w:rsidR="00D849AA" w:rsidRPr="00950B90" w:rsidRDefault="00EE6D95">
            <w:pPr>
              <w:rPr>
                <w:rFonts w:ascii="Arial" w:hAnsi="Arial" w:cs="Arial"/>
              </w:rPr>
            </w:pPr>
            <w:r w:rsidRPr="00950B90">
              <w:rPr>
                <w:rFonts w:ascii="Arial" w:hAnsi="Arial" w:cs="Arial"/>
              </w:rPr>
              <w:t>100</w:t>
            </w:r>
          </w:p>
        </w:tc>
      </w:tr>
      <w:tr w:rsidR="00D849AA" w:rsidRPr="00950B90">
        <w:trPr>
          <w:jc w:val="center"/>
        </w:trPr>
        <w:tc>
          <w:tcPr>
            <w:tcW w:w="2229" w:type="dxa"/>
          </w:tcPr>
          <w:p w:rsidR="00D849AA" w:rsidRPr="00950B90" w:rsidRDefault="00EE6D95" w:rsidP="00950B90">
            <w:pPr>
              <w:pStyle w:val="CellColumn"/>
            </w:pPr>
            <w:r w:rsidRPr="00950B90">
              <w:lastRenderedPageBreak/>
              <w:t>Uspješnost regionalnih i lokalnih razvojnih projekata kojima je pružena pomoć u pripremi na natječajima za dodjelu bespovratnih sredstva</w:t>
            </w:r>
          </w:p>
        </w:tc>
        <w:tc>
          <w:tcPr>
            <w:tcW w:w="1114" w:type="dxa"/>
          </w:tcPr>
          <w:p w:rsidR="00D849AA" w:rsidRPr="00950B90" w:rsidRDefault="00EE6D95">
            <w:pPr>
              <w:rPr>
                <w:rFonts w:ascii="Arial" w:hAnsi="Arial" w:cs="Arial"/>
              </w:rPr>
            </w:pPr>
            <w:r w:rsidRPr="00950B90">
              <w:rPr>
                <w:rFonts w:ascii="Arial" w:hAnsi="Arial" w:cs="Arial"/>
              </w:rPr>
              <w:t>%</w:t>
            </w:r>
          </w:p>
        </w:tc>
        <w:tc>
          <w:tcPr>
            <w:tcW w:w="1114" w:type="dxa"/>
          </w:tcPr>
          <w:p w:rsidR="00D849AA" w:rsidRPr="00950B90" w:rsidRDefault="00EE6D95">
            <w:pPr>
              <w:rPr>
                <w:rFonts w:ascii="Arial" w:hAnsi="Arial" w:cs="Arial"/>
              </w:rPr>
            </w:pPr>
            <w:r w:rsidRPr="00950B90">
              <w:rPr>
                <w:rFonts w:ascii="Arial" w:hAnsi="Arial" w:cs="Arial"/>
              </w:rPr>
              <w:t>0</w:t>
            </w:r>
          </w:p>
        </w:tc>
        <w:tc>
          <w:tcPr>
            <w:tcW w:w="1486" w:type="dxa"/>
          </w:tcPr>
          <w:p w:rsidR="00D849AA" w:rsidRPr="00950B90" w:rsidRDefault="00EE6D95">
            <w:pPr>
              <w:rPr>
                <w:rFonts w:ascii="Arial" w:hAnsi="Arial" w:cs="Arial"/>
              </w:rPr>
            </w:pPr>
            <w:r w:rsidRPr="00950B90">
              <w:rPr>
                <w:rFonts w:ascii="Arial" w:hAnsi="Arial" w:cs="Arial"/>
              </w:rPr>
              <w:t>55</w:t>
            </w:r>
          </w:p>
        </w:tc>
        <w:tc>
          <w:tcPr>
            <w:tcW w:w="1486" w:type="dxa"/>
          </w:tcPr>
          <w:p w:rsidR="00D849AA" w:rsidRPr="00950B90" w:rsidRDefault="00EE6D95">
            <w:pPr>
              <w:rPr>
                <w:rFonts w:ascii="Arial" w:hAnsi="Arial" w:cs="Arial"/>
              </w:rPr>
            </w:pPr>
            <w:r w:rsidRPr="00950B90">
              <w:rPr>
                <w:rFonts w:ascii="Arial" w:hAnsi="Arial" w:cs="Arial"/>
              </w:rPr>
              <w:t>60</w:t>
            </w:r>
          </w:p>
        </w:tc>
        <w:tc>
          <w:tcPr>
            <w:tcW w:w="1486" w:type="dxa"/>
          </w:tcPr>
          <w:p w:rsidR="00D849AA" w:rsidRPr="00950B90" w:rsidRDefault="00EE6D95">
            <w:pPr>
              <w:rPr>
                <w:rFonts w:ascii="Arial" w:hAnsi="Arial" w:cs="Arial"/>
              </w:rPr>
            </w:pPr>
            <w:r w:rsidRPr="00950B90">
              <w:rPr>
                <w:rFonts w:ascii="Arial" w:hAnsi="Arial" w:cs="Arial"/>
              </w:rPr>
              <w:t>75</w:t>
            </w:r>
          </w:p>
        </w:tc>
      </w:tr>
    </w:tbl>
    <w:p w:rsidR="00D849AA" w:rsidRDefault="00D849AA">
      <w:pPr>
        <w:jc w:val="left"/>
      </w:pPr>
    </w:p>
    <w:p w:rsidR="00D849AA" w:rsidRDefault="00EE6D95">
      <w:pPr>
        <w:pStyle w:val="Naslov6"/>
      </w:pPr>
      <w:r>
        <w:t>A828031 PROVEDBA STRATEGIJE I ZAKONA O REGIONALNOM RAZVOJU</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950B90" w:rsidRDefault="00EE6D95">
            <w:pPr>
              <w:pStyle w:val="CellHeader"/>
            </w:pPr>
            <w:r w:rsidRPr="00950B90">
              <w:t>Naziv aktivnosti</w:t>
            </w:r>
          </w:p>
        </w:tc>
        <w:tc>
          <w:tcPr>
            <w:tcW w:w="1486" w:type="dxa"/>
            <w:shd w:val="clear" w:color="auto" w:fill="B5C0D8"/>
          </w:tcPr>
          <w:p w:rsidR="00D849AA" w:rsidRPr="00950B90" w:rsidRDefault="00EE6D95">
            <w:pPr>
              <w:pStyle w:val="CellHeader"/>
            </w:pPr>
            <w:r w:rsidRPr="00950B90">
              <w:t>Plan 2013.</w:t>
            </w:r>
          </w:p>
        </w:tc>
        <w:tc>
          <w:tcPr>
            <w:tcW w:w="1486" w:type="dxa"/>
            <w:shd w:val="clear" w:color="auto" w:fill="B5C0D8"/>
          </w:tcPr>
          <w:p w:rsidR="00D849AA" w:rsidRPr="00950B90" w:rsidRDefault="00EE6D95">
            <w:pPr>
              <w:pStyle w:val="CellHeader"/>
            </w:pPr>
            <w:r w:rsidRPr="00950B90">
              <w:t>Plan 2014.</w:t>
            </w:r>
          </w:p>
        </w:tc>
        <w:tc>
          <w:tcPr>
            <w:tcW w:w="1486" w:type="dxa"/>
            <w:shd w:val="clear" w:color="auto" w:fill="B5C0D8"/>
          </w:tcPr>
          <w:p w:rsidR="00D849AA" w:rsidRPr="00950B90" w:rsidRDefault="00EE6D95">
            <w:pPr>
              <w:pStyle w:val="CellHeader"/>
            </w:pPr>
            <w:r w:rsidRPr="00950B90">
              <w:t>Plan 2015.</w:t>
            </w:r>
          </w:p>
        </w:tc>
        <w:tc>
          <w:tcPr>
            <w:tcW w:w="1486" w:type="dxa"/>
            <w:shd w:val="clear" w:color="auto" w:fill="B5C0D8"/>
          </w:tcPr>
          <w:p w:rsidR="00D849AA" w:rsidRPr="00950B90" w:rsidRDefault="00EE6D95">
            <w:pPr>
              <w:pStyle w:val="CellHeader"/>
            </w:pPr>
            <w:r w:rsidRPr="00950B90">
              <w:t>Plan 2016.</w:t>
            </w:r>
          </w:p>
        </w:tc>
        <w:tc>
          <w:tcPr>
            <w:tcW w:w="1486" w:type="dxa"/>
            <w:shd w:val="clear" w:color="auto" w:fill="B5C0D8"/>
          </w:tcPr>
          <w:p w:rsidR="00D849AA" w:rsidRPr="00950B90" w:rsidRDefault="00EE6D95">
            <w:pPr>
              <w:pStyle w:val="CellHeader"/>
            </w:pPr>
            <w:r w:rsidRPr="00950B90">
              <w:t>Indeks 2014/2013</w:t>
            </w:r>
          </w:p>
        </w:tc>
      </w:tr>
      <w:tr w:rsidR="00D849AA">
        <w:trPr>
          <w:jc w:val="center"/>
        </w:trPr>
        <w:tc>
          <w:tcPr>
            <w:tcW w:w="1486" w:type="dxa"/>
          </w:tcPr>
          <w:p w:rsidR="00D849AA" w:rsidRPr="00950B90" w:rsidRDefault="00EE6D95">
            <w:pPr>
              <w:pStyle w:val="CellColumn"/>
            </w:pPr>
            <w:r w:rsidRPr="00950B90">
              <w:t>A828031</w:t>
            </w:r>
          </w:p>
        </w:tc>
        <w:tc>
          <w:tcPr>
            <w:tcW w:w="1486" w:type="dxa"/>
          </w:tcPr>
          <w:p w:rsidR="00D849AA" w:rsidRPr="00950B90" w:rsidRDefault="00EE6D95">
            <w:pPr>
              <w:rPr>
                <w:rFonts w:ascii="Arial" w:hAnsi="Arial" w:cs="Arial"/>
              </w:rPr>
            </w:pPr>
            <w:r w:rsidRPr="00950B90">
              <w:rPr>
                <w:rFonts w:ascii="Arial" w:hAnsi="Arial" w:cs="Arial"/>
              </w:rPr>
              <w:t>500.000</w:t>
            </w:r>
          </w:p>
        </w:tc>
        <w:tc>
          <w:tcPr>
            <w:tcW w:w="1486" w:type="dxa"/>
          </w:tcPr>
          <w:p w:rsidR="00D849AA" w:rsidRPr="00950B90" w:rsidRDefault="00EE6D95">
            <w:pPr>
              <w:rPr>
                <w:rFonts w:ascii="Arial" w:hAnsi="Arial" w:cs="Arial"/>
              </w:rPr>
            </w:pPr>
            <w:r w:rsidRPr="00950B90">
              <w:rPr>
                <w:rFonts w:ascii="Arial" w:hAnsi="Arial" w:cs="Arial"/>
              </w:rPr>
              <w:t>3.800.000</w:t>
            </w:r>
          </w:p>
        </w:tc>
        <w:tc>
          <w:tcPr>
            <w:tcW w:w="1486" w:type="dxa"/>
          </w:tcPr>
          <w:p w:rsidR="00D849AA" w:rsidRPr="00950B90" w:rsidRDefault="00EE6D95">
            <w:pPr>
              <w:rPr>
                <w:rFonts w:ascii="Arial" w:hAnsi="Arial" w:cs="Arial"/>
              </w:rPr>
            </w:pPr>
            <w:r w:rsidRPr="00950B90">
              <w:rPr>
                <w:rFonts w:ascii="Arial" w:hAnsi="Arial" w:cs="Arial"/>
              </w:rPr>
              <w:t>2.050.000</w:t>
            </w:r>
          </w:p>
        </w:tc>
        <w:tc>
          <w:tcPr>
            <w:tcW w:w="1486" w:type="dxa"/>
          </w:tcPr>
          <w:p w:rsidR="00D849AA" w:rsidRPr="00950B90" w:rsidRDefault="00EE6D95">
            <w:pPr>
              <w:rPr>
                <w:rFonts w:ascii="Arial" w:hAnsi="Arial" w:cs="Arial"/>
              </w:rPr>
            </w:pPr>
            <w:r w:rsidRPr="00950B90">
              <w:rPr>
                <w:rFonts w:ascii="Arial" w:hAnsi="Arial" w:cs="Arial"/>
              </w:rPr>
              <w:t>1.000.000</w:t>
            </w:r>
          </w:p>
        </w:tc>
        <w:tc>
          <w:tcPr>
            <w:tcW w:w="1486" w:type="dxa"/>
          </w:tcPr>
          <w:p w:rsidR="00D849AA" w:rsidRPr="00950B90" w:rsidRDefault="00EE6D95">
            <w:pPr>
              <w:rPr>
                <w:rFonts w:ascii="Arial" w:hAnsi="Arial" w:cs="Arial"/>
              </w:rPr>
            </w:pPr>
            <w:r w:rsidRPr="00950B90">
              <w:rPr>
                <w:rFonts w:ascii="Arial" w:hAnsi="Arial" w:cs="Arial"/>
              </w:rPr>
              <w:t>760,0</w:t>
            </w:r>
          </w:p>
        </w:tc>
      </w:tr>
    </w:tbl>
    <w:p w:rsidR="00D849AA" w:rsidRDefault="00D849AA">
      <w:pPr>
        <w:jc w:val="left"/>
      </w:pPr>
    </w:p>
    <w:p w:rsidR="00D849AA" w:rsidRDefault="00EE6D95">
      <w:pPr>
        <w:pStyle w:val="Normal6"/>
      </w:pPr>
      <w:r>
        <w:t>Aktivnost će se realizirati kroz izradu planskih dokumenata regionalnoga razvoja odnosno pripremu Strategije regionalnog razvoja Republike Hrvatske (SRRRH) te ocjenu usklađenosti županijskih razvojnih strategija sa SRRRH. U okviru izrade SRRRH pripremat će se odgovarajuće strateške i analitičke podloge te provoditi proces informiranja i edukacije sudionika na područnoj (regionalnoj) i lokalnoj razini. Županijske razvojne strategije i regionalni razvojni projekti nastali kao krajnji rezultat procesa strateškog planiranja postaju važno sredstvo za usmjeravanje financijskih sredstava namijenjenih jačanju konkurentnosti hrvatskih regija.</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rsidRPr="00950B90">
        <w:trPr>
          <w:jc w:val="center"/>
        </w:trPr>
        <w:tc>
          <w:tcPr>
            <w:tcW w:w="2229" w:type="dxa"/>
            <w:shd w:val="clear" w:color="auto" w:fill="B5C0D8"/>
          </w:tcPr>
          <w:p w:rsidR="00D849AA" w:rsidRPr="00950B90" w:rsidRDefault="00EE6D95">
            <w:pPr>
              <w:rPr>
                <w:rFonts w:ascii="Arial" w:hAnsi="Arial" w:cs="Arial"/>
              </w:rPr>
            </w:pPr>
            <w:r w:rsidRPr="00950B90">
              <w:rPr>
                <w:rFonts w:ascii="Arial" w:hAnsi="Arial" w:cs="Arial"/>
              </w:rPr>
              <w:t>Pokazatelj rezultata</w:t>
            </w:r>
          </w:p>
        </w:tc>
        <w:tc>
          <w:tcPr>
            <w:tcW w:w="1114" w:type="dxa"/>
            <w:shd w:val="clear" w:color="auto" w:fill="B5C0D8"/>
          </w:tcPr>
          <w:p w:rsidR="00D849AA" w:rsidRPr="00950B90" w:rsidRDefault="00EE6D95">
            <w:pPr>
              <w:pStyle w:val="CellHeader"/>
            </w:pPr>
            <w:r w:rsidRPr="00950B90">
              <w:t>Jedinica</w:t>
            </w:r>
          </w:p>
        </w:tc>
        <w:tc>
          <w:tcPr>
            <w:tcW w:w="1114" w:type="dxa"/>
            <w:shd w:val="clear" w:color="auto" w:fill="B5C0D8"/>
          </w:tcPr>
          <w:p w:rsidR="00D849AA" w:rsidRPr="00950B90" w:rsidRDefault="00EE6D95">
            <w:pPr>
              <w:pStyle w:val="CellHeader"/>
            </w:pPr>
            <w:r w:rsidRPr="00950B90">
              <w:t>Polazna vrijednost</w:t>
            </w:r>
          </w:p>
        </w:tc>
        <w:tc>
          <w:tcPr>
            <w:tcW w:w="1486" w:type="dxa"/>
            <w:shd w:val="clear" w:color="auto" w:fill="B5C0D8"/>
          </w:tcPr>
          <w:p w:rsidR="00D849AA" w:rsidRPr="00950B90" w:rsidRDefault="00EE6D95">
            <w:pPr>
              <w:pStyle w:val="CellHeader"/>
            </w:pPr>
            <w:r w:rsidRPr="00950B90">
              <w:t>Ciljana vrijednost (2014.)</w:t>
            </w:r>
          </w:p>
        </w:tc>
        <w:tc>
          <w:tcPr>
            <w:tcW w:w="1486" w:type="dxa"/>
            <w:shd w:val="clear" w:color="auto" w:fill="B5C0D8"/>
          </w:tcPr>
          <w:p w:rsidR="00D849AA" w:rsidRPr="00950B90" w:rsidRDefault="00EE6D95">
            <w:pPr>
              <w:pStyle w:val="CellHeader"/>
            </w:pPr>
            <w:r w:rsidRPr="00950B90">
              <w:t>Ciljana vrijednost (2015.)</w:t>
            </w:r>
          </w:p>
        </w:tc>
        <w:tc>
          <w:tcPr>
            <w:tcW w:w="1486" w:type="dxa"/>
            <w:shd w:val="clear" w:color="auto" w:fill="B5C0D8"/>
          </w:tcPr>
          <w:p w:rsidR="00D849AA" w:rsidRPr="00950B90" w:rsidRDefault="00EE6D95">
            <w:pPr>
              <w:pStyle w:val="CellHeader"/>
            </w:pPr>
            <w:r w:rsidRPr="00950B90">
              <w:t>Ciljana vrijednost (2016.)</w:t>
            </w:r>
          </w:p>
        </w:tc>
      </w:tr>
      <w:tr w:rsidR="00D849AA" w:rsidRPr="00950B90">
        <w:trPr>
          <w:jc w:val="center"/>
        </w:trPr>
        <w:tc>
          <w:tcPr>
            <w:tcW w:w="2229" w:type="dxa"/>
          </w:tcPr>
          <w:p w:rsidR="00D849AA" w:rsidRPr="00950B90" w:rsidRDefault="00EE6D95">
            <w:pPr>
              <w:pStyle w:val="CellColumn"/>
            </w:pPr>
            <w:r w:rsidRPr="00950B90">
              <w:t>Tablica s vrijednostima indeksa razvijenosti svih JLS u RH</w:t>
            </w:r>
          </w:p>
        </w:tc>
        <w:tc>
          <w:tcPr>
            <w:tcW w:w="1114" w:type="dxa"/>
          </w:tcPr>
          <w:p w:rsidR="00D849AA" w:rsidRPr="00950B90" w:rsidRDefault="00EE6D95">
            <w:pPr>
              <w:rPr>
                <w:rFonts w:ascii="Arial" w:hAnsi="Arial" w:cs="Arial"/>
              </w:rPr>
            </w:pPr>
            <w:r w:rsidRPr="00950B90">
              <w:rPr>
                <w:rFonts w:ascii="Arial" w:hAnsi="Arial" w:cs="Arial"/>
              </w:rPr>
              <w:t>kom</w:t>
            </w:r>
          </w:p>
        </w:tc>
        <w:tc>
          <w:tcPr>
            <w:tcW w:w="1114" w:type="dxa"/>
          </w:tcPr>
          <w:p w:rsidR="00D849AA" w:rsidRPr="00950B90" w:rsidRDefault="00EE6D95">
            <w:pPr>
              <w:rPr>
                <w:rFonts w:ascii="Arial" w:hAnsi="Arial" w:cs="Arial"/>
              </w:rPr>
            </w:pPr>
            <w:r w:rsidRPr="00950B90">
              <w:rPr>
                <w:rFonts w:ascii="Arial" w:hAnsi="Arial" w:cs="Arial"/>
              </w:rPr>
              <w:t>1</w:t>
            </w:r>
          </w:p>
        </w:tc>
        <w:tc>
          <w:tcPr>
            <w:tcW w:w="1486" w:type="dxa"/>
          </w:tcPr>
          <w:p w:rsidR="00D849AA" w:rsidRPr="00950B90" w:rsidRDefault="00EE6D95">
            <w:pPr>
              <w:rPr>
                <w:rFonts w:ascii="Arial" w:hAnsi="Arial" w:cs="Arial"/>
              </w:rPr>
            </w:pPr>
            <w:r w:rsidRPr="00950B90">
              <w:rPr>
                <w:rFonts w:ascii="Arial" w:hAnsi="Arial" w:cs="Arial"/>
              </w:rPr>
              <w:t>2</w:t>
            </w:r>
          </w:p>
        </w:tc>
        <w:tc>
          <w:tcPr>
            <w:tcW w:w="1486" w:type="dxa"/>
          </w:tcPr>
          <w:p w:rsidR="00D849AA" w:rsidRPr="00950B90" w:rsidRDefault="00EE6D95">
            <w:pPr>
              <w:rPr>
                <w:rFonts w:ascii="Arial" w:hAnsi="Arial" w:cs="Arial"/>
              </w:rPr>
            </w:pPr>
            <w:r w:rsidRPr="00950B90">
              <w:rPr>
                <w:rFonts w:ascii="Arial" w:hAnsi="Arial" w:cs="Arial"/>
              </w:rPr>
              <w:t>2</w:t>
            </w:r>
          </w:p>
        </w:tc>
        <w:tc>
          <w:tcPr>
            <w:tcW w:w="1486" w:type="dxa"/>
          </w:tcPr>
          <w:p w:rsidR="00D849AA" w:rsidRPr="00950B90" w:rsidRDefault="00EE6D95">
            <w:pPr>
              <w:rPr>
                <w:rFonts w:ascii="Arial" w:hAnsi="Arial" w:cs="Arial"/>
              </w:rPr>
            </w:pPr>
            <w:r w:rsidRPr="00950B90">
              <w:rPr>
                <w:rFonts w:ascii="Arial" w:hAnsi="Arial" w:cs="Arial"/>
              </w:rPr>
              <w:t>2</w:t>
            </w:r>
          </w:p>
        </w:tc>
      </w:tr>
      <w:tr w:rsidR="00D849AA" w:rsidRPr="00950B90">
        <w:trPr>
          <w:jc w:val="center"/>
        </w:trPr>
        <w:tc>
          <w:tcPr>
            <w:tcW w:w="2229" w:type="dxa"/>
          </w:tcPr>
          <w:p w:rsidR="00D849AA" w:rsidRPr="00950B90" w:rsidRDefault="00EE6D95">
            <w:pPr>
              <w:pStyle w:val="CellColumn"/>
            </w:pPr>
            <w:r w:rsidRPr="00950B90">
              <w:t>Tablica s vrijednostima indeksa razvijenosti svih JPS u RH</w:t>
            </w:r>
          </w:p>
        </w:tc>
        <w:tc>
          <w:tcPr>
            <w:tcW w:w="1114" w:type="dxa"/>
          </w:tcPr>
          <w:p w:rsidR="00D849AA" w:rsidRPr="00950B90" w:rsidRDefault="00EE6D95">
            <w:pPr>
              <w:rPr>
                <w:rFonts w:ascii="Arial" w:hAnsi="Arial" w:cs="Arial"/>
              </w:rPr>
            </w:pPr>
            <w:r w:rsidRPr="00950B90">
              <w:rPr>
                <w:rFonts w:ascii="Arial" w:hAnsi="Arial" w:cs="Arial"/>
              </w:rPr>
              <w:t>kom</w:t>
            </w:r>
          </w:p>
        </w:tc>
        <w:tc>
          <w:tcPr>
            <w:tcW w:w="1114" w:type="dxa"/>
          </w:tcPr>
          <w:p w:rsidR="00D849AA" w:rsidRPr="00950B90" w:rsidRDefault="00EE6D95">
            <w:pPr>
              <w:rPr>
                <w:rFonts w:ascii="Arial" w:hAnsi="Arial" w:cs="Arial"/>
              </w:rPr>
            </w:pPr>
            <w:r w:rsidRPr="00950B90">
              <w:rPr>
                <w:rFonts w:ascii="Arial" w:hAnsi="Arial" w:cs="Arial"/>
              </w:rPr>
              <w:t>1</w:t>
            </w:r>
          </w:p>
        </w:tc>
        <w:tc>
          <w:tcPr>
            <w:tcW w:w="1486" w:type="dxa"/>
          </w:tcPr>
          <w:p w:rsidR="00D849AA" w:rsidRPr="00950B90" w:rsidRDefault="00EE6D95">
            <w:pPr>
              <w:rPr>
                <w:rFonts w:ascii="Arial" w:hAnsi="Arial" w:cs="Arial"/>
              </w:rPr>
            </w:pPr>
            <w:r w:rsidRPr="00950B90">
              <w:rPr>
                <w:rFonts w:ascii="Arial" w:hAnsi="Arial" w:cs="Arial"/>
              </w:rPr>
              <w:t>2</w:t>
            </w:r>
          </w:p>
        </w:tc>
        <w:tc>
          <w:tcPr>
            <w:tcW w:w="1486" w:type="dxa"/>
          </w:tcPr>
          <w:p w:rsidR="00D849AA" w:rsidRPr="00950B90" w:rsidRDefault="00EE6D95">
            <w:pPr>
              <w:rPr>
                <w:rFonts w:ascii="Arial" w:hAnsi="Arial" w:cs="Arial"/>
              </w:rPr>
            </w:pPr>
            <w:r w:rsidRPr="00950B90">
              <w:rPr>
                <w:rFonts w:ascii="Arial" w:hAnsi="Arial" w:cs="Arial"/>
              </w:rPr>
              <w:t>2</w:t>
            </w:r>
          </w:p>
        </w:tc>
        <w:tc>
          <w:tcPr>
            <w:tcW w:w="1486" w:type="dxa"/>
          </w:tcPr>
          <w:p w:rsidR="00D849AA" w:rsidRPr="00950B90" w:rsidRDefault="00EE6D95">
            <w:pPr>
              <w:rPr>
                <w:rFonts w:ascii="Arial" w:hAnsi="Arial" w:cs="Arial"/>
              </w:rPr>
            </w:pPr>
            <w:r w:rsidRPr="00950B90">
              <w:rPr>
                <w:rFonts w:ascii="Arial" w:hAnsi="Arial" w:cs="Arial"/>
              </w:rPr>
              <w:t>2</w:t>
            </w:r>
          </w:p>
        </w:tc>
      </w:tr>
      <w:tr w:rsidR="00D849AA" w:rsidRPr="00950B90">
        <w:trPr>
          <w:jc w:val="center"/>
        </w:trPr>
        <w:tc>
          <w:tcPr>
            <w:tcW w:w="2229" w:type="dxa"/>
          </w:tcPr>
          <w:p w:rsidR="00D849AA" w:rsidRPr="00950B90" w:rsidRDefault="00EE6D95">
            <w:pPr>
              <w:pStyle w:val="CellColumn"/>
            </w:pPr>
            <w:r w:rsidRPr="00950B90">
              <w:t>Odluka o ocjenjivanju i razvrstavanju JLPS prema indeksu razvijenosti</w:t>
            </w:r>
          </w:p>
        </w:tc>
        <w:tc>
          <w:tcPr>
            <w:tcW w:w="1114" w:type="dxa"/>
          </w:tcPr>
          <w:p w:rsidR="00D849AA" w:rsidRPr="00950B90" w:rsidRDefault="00EE6D95">
            <w:pPr>
              <w:rPr>
                <w:rFonts w:ascii="Arial" w:hAnsi="Arial" w:cs="Arial"/>
              </w:rPr>
            </w:pPr>
            <w:r w:rsidRPr="00950B90">
              <w:rPr>
                <w:rFonts w:ascii="Arial" w:hAnsi="Arial" w:cs="Arial"/>
              </w:rPr>
              <w:t>kom</w:t>
            </w:r>
          </w:p>
        </w:tc>
        <w:tc>
          <w:tcPr>
            <w:tcW w:w="1114" w:type="dxa"/>
          </w:tcPr>
          <w:p w:rsidR="00D849AA" w:rsidRPr="00950B90" w:rsidRDefault="00EE6D95">
            <w:pPr>
              <w:rPr>
                <w:rFonts w:ascii="Arial" w:hAnsi="Arial" w:cs="Arial"/>
              </w:rPr>
            </w:pPr>
            <w:r w:rsidRPr="00950B90">
              <w:rPr>
                <w:rFonts w:ascii="Arial" w:hAnsi="Arial" w:cs="Arial"/>
              </w:rPr>
              <w:t>1</w:t>
            </w:r>
          </w:p>
        </w:tc>
        <w:tc>
          <w:tcPr>
            <w:tcW w:w="1486" w:type="dxa"/>
          </w:tcPr>
          <w:p w:rsidR="00D849AA" w:rsidRPr="00950B90" w:rsidRDefault="00EE6D95">
            <w:pPr>
              <w:rPr>
                <w:rFonts w:ascii="Arial" w:hAnsi="Arial" w:cs="Arial"/>
              </w:rPr>
            </w:pPr>
            <w:r w:rsidRPr="00950B90">
              <w:rPr>
                <w:rFonts w:ascii="Arial" w:hAnsi="Arial" w:cs="Arial"/>
              </w:rPr>
              <w:t>2</w:t>
            </w:r>
          </w:p>
        </w:tc>
        <w:tc>
          <w:tcPr>
            <w:tcW w:w="1486" w:type="dxa"/>
          </w:tcPr>
          <w:p w:rsidR="00D849AA" w:rsidRPr="00950B90" w:rsidRDefault="00EE6D95">
            <w:pPr>
              <w:rPr>
                <w:rFonts w:ascii="Arial" w:hAnsi="Arial" w:cs="Arial"/>
              </w:rPr>
            </w:pPr>
            <w:r w:rsidRPr="00950B90">
              <w:rPr>
                <w:rFonts w:ascii="Arial" w:hAnsi="Arial" w:cs="Arial"/>
              </w:rPr>
              <w:t>2</w:t>
            </w:r>
          </w:p>
        </w:tc>
        <w:tc>
          <w:tcPr>
            <w:tcW w:w="1486" w:type="dxa"/>
          </w:tcPr>
          <w:p w:rsidR="00D849AA" w:rsidRPr="00950B90" w:rsidRDefault="00EE6D95">
            <w:pPr>
              <w:rPr>
                <w:rFonts w:ascii="Arial" w:hAnsi="Arial" w:cs="Arial"/>
              </w:rPr>
            </w:pPr>
            <w:r w:rsidRPr="00950B90">
              <w:rPr>
                <w:rFonts w:ascii="Arial" w:hAnsi="Arial" w:cs="Arial"/>
              </w:rPr>
              <w:t>2</w:t>
            </w:r>
          </w:p>
        </w:tc>
      </w:tr>
      <w:tr w:rsidR="00D849AA" w:rsidRPr="00950B90">
        <w:trPr>
          <w:jc w:val="center"/>
        </w:trPr>
        <w:tc>
          <w:tcPr>
            <w:tcW w:w="2229" w:type="dxa"/>
          </w:tcPr>
          <w:p w:rsidR="00D849AA" w:rsidRPr="00950B90" w:rsidRDefault="00EE6D95">
            <w:pPr>
              <w:pStyle w:val="CellColumn"/>
            </w:pPr>
            <w:r w:rsidRPr="00950B90">
              <w:t>Usvojena Strategija regionalnoga razvoja Republike Hrvatske 2014.-2020.</w:t>
            </w:r>
          </w:p>
        </w:tc>
        <w:tc>
          <w:tcPr>
            <w:tcW w:w="1114" w:type="dxa"/>
          </w:tcPr>
          <w:p w:rsidR="00D849AA" w:rsidRPr="00950B90" w:rsidRDefault="00EE6D95">
            <w:pPr>
              <w:rPr>
                <w:rFonts w:ascii="Arial" w:hAnsi="Arial" w:cs="Arial"/>
              </w:rPr>
            </w:pPr>
            <w:r w:rsidRPr="00950B90">
              <w:rPr>
                <w:rFonts w:ascii="Arial" w:hAnsi="Arial" w:cs="Arial"/>
              </w:rPr>
              <w:t>broj</w:t>
            </w:r>
          </w:p>
        </w:tc>
        <w:tc>
          <w:tcPr>
            <w:tcW w:w="1114" w:type="dxa"/>
          </w:tcPr>
          <w:p w:rsidR="00D849AA" w:rsidRPr="00950B90" w:rsidRDefault="00EE6D95">
            <w:pPr>
              <w:rPr>
                <w:rFonts w:ascii="Arial" w:hAnsi="Arial" w:cs="Arial"/>
              </w:rPr>
            </w:pPr>
            <w:r w:rsidRPr="00950B90">
              <w:rPr>
                <w:rFonts w:ascii="Arial" w:hAnsi="Arial" w:cs="Arial"/>
              </w:rPr>
              <w:t>0</w:t>
            </w:r>
          </w:p>
        </w:tc>
        <w:tc>
          <w:tcPr>
            <w:tcW w:w="1486" w:type="dxa"/>
          </w:tcPr>
          <w:p w:rsidR="00D849AA" w:rsidRPr="00950B90" w:rsidRDefault="00EE6D95">
            <w:pPr>
              <w:rPr>
                <w:rFonts w:ascii="Arial" w:hAnsi="Arial" w:cs="Arial"/>
              </w:rPr>
            </w:pPr>
            <w:r w:rsidRPr="00950B90">
              <w:rPr>
                <w:rFonts w:ascii="Arial" w:hAnsi="Arial" w:cs="Arial"/>
              </w:rPr>
              <w:t>1</w:t>
            </w:r>
          </w:p>
        </w:tc>
        <w:tc>
          <w:tcPr>
            <w:tcW w:w="1486" w:type="dxa"/>
          </w:tcPr>
          <w:p w:rsidR="00D849AA" w:rsidRPr="00950B90" w:rsidRDefault="00EE6D95">
            <w:pPr>
              <w:rPr>
                <w:rFonts w:ascii="Arial" w:hAnsi="Arial" w:cs="Arial"/>
              </w:rPr>
            </w:pPr>
            <w:r w:rsidRPr="00950B90">
              <w:rPr>
                <w:rFonts w:ascii="Arial" w:hAnsi="Arial" w:cs="Arial"/>
              </w:rPr>
              <w:t>1</w:t>
            </w:r>
          </w:p>
        </w:tc>
        <w:tc>
          <w:tcPr>
            <w:tcW w:w="1486" w:type="dxa"/>
          </w:tcPr>
          <w:p w:rsidR="00D849AA" w:rsidRPr="00950B90" w:rsidRDefault="00EE6D95">
            <w:pPr>
              <w:rPr>
                <w:rFonts w:ascii="Arial" w:hAnsi="Arial" w:cs="Arial"/>
              </w:rPr>
            </w:pPr>
            <w:r w:rsidRPr="00950B90">
              <w:rPr>
                <w:rFonts w:ascii="Arial" w:hAnsi="Arial" w:cs="Arial"/>
              </w:rPr>
              <w:t>1</w:t>
            </w:r>
          </w:p>
        </w:tc>
      </w:tr>
      <w:tr w:rsidR="00D849AA" w:rsidRPr="00950B90">
        <w:trPr>
          <w:jc w:val="center"/>
        </w:trPr>
        <w:tc>
          <w:tcPr>
            <w:tcW w:w="2229" w:type="dxa"/>
          </w:tcPr>
          <w:p w:rsidR="00D849AA" w:rsidRPr="00950B90" w:rsidRDefault="00EE6D95">
            <w:pPr>
              <w:pStyle w:val="CellColumn"/>
            </w:pPr>
            <w:r w:rsidRPr="00950B90">
              <w:t xml:space="preserve">Izrađene ocjene usklađenosti ŽRS-a sa SRR RH za razdoblje </w:t>
            </w:r>
            <w:r w:rsidRPr="00950B90">
              <w:lastRenderedPageBreak/>
              <w:t>2014.-2020.</w:t>
            </w:r>
          </w:p>
        </w:tc>
        <w:tc>
          <w:tcPr>
            <w:tcW w:w="1114" w:type="dxa"/>
          </w:tcPr>
          <w:p w:rsidR="00D849AA" w:rsidRPr="00950B90" w:rsidRDefault="00EE6D95">
            <w:pPr>
              <w:rPr>
                <w:rFonts w:ascii="Arial" w:hAnsi="Arial" w:cs="Arial"/>
              </w:rPr>
            </w:pPr>
            <w:r w:rsidRPr="00950B90">
              <w:rPr>
                <w:rFonts w:ascii="Arial" w:hAnsi="Arial" w:cs="Arial"/>
              </w:rPr>
              <w:lastRenderedPageBreak/>
              <w:t>broj</w:t>
            </w:r>
          </w:p>
        </w:tc>
        <w:tc>
          <w:tcPr>
            <w:tcW w:w="1114" w:type="dxa"/>
          </w:tcPr>
          <w:p w:rsidR="00D849AA" w:rsidRPr="00950B90" w:rsidRDefault="00EE6D95">
            <w:pPr>
              <w:rPr>
                <w:rFonts w:ascii="Arial" w:hAnsi="Arial" w:cs="Arial"/>
              </w:rPr>
            </w:pPr>
            <w:r w:rsidRPr="00950B90">
              <w:rPr>
                <w:rFonts w:ascii="Arial" w:hAnsi="Arial" w:cs="Arial"/>
              </w:rPr>
              <w:t>0</w:t>
            </w:r>
          </w:p>
        </w:tc>
        <w:tc>
          <w:tcPr>
            <w:tcW w:w="1486" w:type="dxa"/>
          </w:tcPr>
          <w:p w:rsidR="00D849AA" w:rsidRPr="00950B90" w:rsidRDefault="00EE6D95">
            <w:pPr>
              <w:rPr>
                <w:rFonts w:ascii="Arial" w:hAnsi="Arial" w:cs="Arial"/>
              </w:rPr>
            </w:pPr>
            <w:r w:rsidRPr="00950B90">
              <w:rPr>
                <w:rFonts w:ascii="Arial" w:hAnsi="Arial" w:cs="Arial"/>
              </w:rPr>
              <w:t>21</w:t>
            </w:r>
          </w:p>
        </w:tc>
        <w:tc>
          <w:tcPr>
            <w:tcW w:w="1486" w:type="dxa"/>
          </w:tcPr>
          <w:p w:rsidR="00D849AA" w:rsidRPr="00950B90" w:rsidRDefault="00EE6D95">
            <w:pPr>
              <w:rPr>
                <w:rFonts w:ascii="Arial" w:hAnsi="Arial" w:cs="Arial"/>
              </w:rPr>
            </w:pPr>
            <w:r w:rsidRPr="00950B90">
              <w:rPr>
                <w:rFonts w:ascii="Arial" w:hAnsi="Arial" w:cs="Arial"/>
              </w:rPr>
              <w:t>21</w:t>
            </w:r>
          </w:p>
        </w:tc>
        <w:tc>
          <w:tcPr>
            <w:tcW w:w="1486" w:type="dxa"/>
          </w:tcPr>
          <w:p w:rsidR="00D849AA" w:rsidRPr="00950B90" w:rsidRDefault="00EE6D95">
            <w:pPr>
              <w:rPr>
                <w:rFonts w:ascii="Arial" w:hAnsi="Arial" w:cs="Arial"/>
              </w:rPr>
            </w:pPr>
            <w:r w:rsidRPr="00950B90">
              <w:rPr>
                <w:rFonts w:ascii="Arial" w:hAnsi="Arial" w:cs="Arial"/>
              </w:rPr>
              <w:t>21</w:t>
            </w:r>
          </w:p>
        </w:tc>
      </w:tr>
      <w:tr w:rsidR="00D849AA" w:rsidRPr="00950B90">
        <w:trPr>
          <w:jc w:val="center"/>
        </w:trPr>
        <w:tc>
          <w:tcPr>
            <w:tcW w:w="2229" w:type="dxa"/>
          </w:tcPr>
          <w:p w:rsidR="00D849AA" w:rsidRPr="00950B90" w:rsidRDefault="00EE6D95">
            <w:pPr>
              <w:pStyle w:val="CellColumn"/>
            </w:pPr>
            <w:r w:rsidRPr="00950B90">
              <w:lastRenderedPageBreak/>
              <w:t xml:space="preserve">Usvojeni teritorijalni </w:t>
            </w:r>
          </w:p>
          <w:p w:rsidR="00D849AA" w:rsidRPr="00950B90" w:rsidRDefault="00EE6D95">
            <w:pPr>
              <w:pStyle w:val="CellColumn"/>
            </w:pPr>
            <w:r w:rsidRPr="00950B90">
              <w:t>programi</w:t>
            </w:r>
          </w:p>
        </w:tc>
        <w:tc>
          <w:tcPr>
            <w:tcW w:w="1114" w:type="dxa"/>
          </w:tcPr>
          <w:p w:rsidR="00D849AA" w:rsidRPr="00950B90" w:rsidRDefault="00EE6D95">
            <w:pPr>
              <w:rPr>
                <w:rFonts w:ascii="Arial" w:hAnsi="Arial" w:cs="Arial"/>
              </w:rPr>
            </w:pPr>
            <w:r w:rsidRPr="00950B90">
              <w:rPr>
                <w:rFonts w:ascii="Arial" w:hAnsi="Arial" w:cs="Arial"/>
              </w:rPr>
              <w:t>broj</w:t>
            </w:r>
          </w:p>
        </w:tc>
        <w:tc>
          <w:tcPr>
            <w:tcW w:w="1114" w:type="dxa"/>
          </w:tcPr>
          <w:p w:rsidR="00D849AA" w:rsidRPr="00950B90" w:rsidRDefault="00EE6D95">
            <w:pPr>
              <w:rPr>
                <w:rFonts w:ascii="Arial" w:hAnsi="Arial" w:cs="Arial"/>
              </w:rPr>
            </w:pPr>
            <w:r w:rsidRPr="00950B90">
              <w:rPr>
                <w:rFonts w:ascii="Arial" w:hAnsi="Arial" w:cs="Arial"/>
              </w:rPr>
              <w:t>0</w:t>
            </w:r>
          </w:p>
        </w:tc>
        <w:tc>
          <w:tcPr>
            <w:tcW w:w="1486" w:type="dxa"/>
          </w:tcPr>
          <w:p w:rsidR="00D849AA" w:rsidRPr="00950B90" w:rsidRDefault="00EE6D95">
            <w:pPr>
              <w:rPr>
                <w:rFonts w:ascii="Arial" w:hAnsi="Arial" w:cs="Arial"/>
              </w:rPr>
            </w:pPr>
            <w:r w:rsidRPr="00950B90">
              <w:rPr>
                <w:rFonts w:ascii="Arial" w:hAnsi="Arial" w:cs="Arial"/>
              </w:rPr>
              <w:t>1</w:t>
            </w:r>
          </w:p>
        </w:tc>
        <w:tc>
          <w:tcPr>
            <w:tcW w:w="1486" w:type="dxa"/>
          </w:tcPr>
          <w:p w:rsidR="00D849AA" w:rsidRPr="00950B90" w:rsidRDefault="00EE6D95">
            <w:pPr>
              <w:rPr>
                <w:rFonts w:ascii="Arial" w:hAnsi="Arial" w:cs="Arial"/>
              </w:rPr>
            </w:pPr>
            <w:r w:rsidRPr="00950B90">
              <w:rPr>
                <w:rFonts w:ascii="Arial" w:hAnsi="Arial" w:cs="Arial"/>
              </w:rPr>
              <w:t>2</w:t>
            </w:r>
          </w:p>
        </w:tc>
        <w:tc>
          <w:tcPr>
            <w:tcW w:w="1486" w:type="dxa"/>
          </w:tcPr>
          <w:p w:rsidR="00D849AA" w:rsidRPr="00950B90" w:rsidRDefault="00EE6D95">
            <w:pPr>
              <w:rPr>
                <w:rFonts w:ascii="Arial" w:hAnsi="Arial" w:cs="Arial"/>
              </w:rPr>
            </w:pPr>
            <w:r w:rsidRPr="00950B90">
              <w:rPr>
                <w:rFonts w:ascii="Arial" w:hAnsi="Arial" w:cs="Arial"/>
              </w:rPr>
              <w:t>2</w:t>
            </w:r>
          </w:p>
        </w:tc>
      </w:tr>
    </w:tbl>
    <w:p w:rsidR="00D849AA" w:rsidRDefault="00D849AA">
      <w:pPr>
        <w:jc w:val="left"/>
      </w:pPr>
    </w:p>
    <w:p w:rsidR="00D849AA" w:rsidRDefault="00EE6D95">
      <w:pPr>
        <w:pStyle w:val="Naslov6"/>
      </w:pPr>
      <w:r>
        <w:t>K549110 RAZVOJ POTPOMOGNUTIH PODRUČJA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950B90" w:rsidRDefault="00EE6D95">
            <w:pPr>
              <w:pStyle w:val="CellHeader"/>
            </w:pPr>
            <w:r w:rsidRPr="00950B90">
              <w:t>Naziv aktivnosti</w:t>
            </w:r>
          </w:p>
        </w:tc>
        <w:tc>
          <w:tcPr>
            <w:tcW w:w="1486" w:type="dxa"/>
            <w:shd w:val="clear" w:color="auto" w:fill="B5C0D8"/>
          </w:tcPr>
          <w:p w:rsidR="00D849AA" w:rsidRPr="00950B90" w:rsidRDefault="00EE6D95">
            <w:pPr>
              <w:pStyle w:val="CellHeader"/>
            </w:pPr>
            <w:r w:rsidRPr="00950B90">
              <w:t>Plan 2013.</w:t>
            </w:r>
          </w:p>
        </w:tc>
        <w:tc>
          <w:tcPr>
            <w:tcW w:w="1486" w:type="dxa"/>
            <w:shd w:val="clear" w:color="auto" w:fill="B5C0D8"/>
          </w:tcPr>
          <w:p w:rsidR="00D849AA" w:rsidRPr="00950B90" w:rsidRDefault="00EE6D95">
            <w:pPr>
              <w:pStyle w:val="CellHeader"/>
            </w:pPr>
            <w:r w:rsidRPr="00950B90">
              <w:t>Plan 2014.</w:t>
            </w:r>
          </w:p>
        </w:tc>
        <w:tc>
          <w:tcPr>
            <w:tcW w:w="1486" w:type="dxa"/>
            <w:shd w:val="clear" w:color="auto" w:fill="B5C0D8"/>
          </w:tcPr>
          <w:p w:rsidR="00D849AA" w:rsidRPr="00950B90" w:rsidRDefault="00EE6D95">
            <w:pPr>
              <w:pStyle w:val="CellHeader"/>
            </w:pPr>
            <w:r w:rsidRPr="00950B90">
              <w:t>Plan 2015.</w:t>
            </w:r>
          </w:p>
        </w:tc>
        <w:tc>
          <w:tcPr>
            <w:tcW w:w="1486" w:type="dxa"/>
            <w:shd w:val="clear" w:color="auto" w:fill="B5C0D8"/>
          </w:tcPr>
          <w:p w:rsidR="00D849AA" w:rsidRPr="00950B90" w:rsidRDefault="00EE6D95">
            <w:pPr>
              <w:pStyle w:val="CellHeader"/>
            </w:pPr>
            <w:r w:rsidRPr="00950B90">
              <w:t>Plan 2016.</w:t>
            </w:r>
          </w:p>
        </w:tc>
        <w:tc>
          <w:tcPr>
            <w:tcW w:w="1486" w:type="dxa"/>
            <w:shd w:val="clear" w:color="auto" w:fill="B5C0D8"/>
          </w:tcPr>
          <w:p w:rsidR="00D849AA" w:rsidRPr="00950B90" w:rsidRDefault="00EE6D95">
            <w:pPr>
              <w:pStyle w:val="CellHeader"/>
            </w:pPr>
            <w:r w:rsidRPr="00950B90">
              <w:t>Indeks 2014/2013</w:t>
            </w:r>
          </w:p>
        </w:tc>
      </w:tr>
      <w:tr w:rsidR="00D849AA">
        <w:trPr>
          <w:jc w:val="center"/>
        </w:trPr>
        <w:tc>
          <w:tcPr>
            <w:tcW w:w="1486" w:type="dxa"/>
          </w:tcPr>
          <w:p w:rsidR="00D849AA" w:rsidRPr="00950B90" w:rsidRDefault="00EE6D95">
            <w:pPr>
              <w:pStyle w:val="CellColumn"/>
            </w:pPr>
            <w:r w:rsidRPr="00950B90">
              <w:t>K549110</w:t>
            </w:r>
          </w:p>
        </w:tc>
        <w:tc>
          <w:tcPr>
            <w:tcW w:w="1486" w:type="dxa"/>
          </w:tcPr>
          <w:p w:rsidR="00D849AA" w:rsidRPr="00950B90" w:rsidRDefault="00EE6D95">
            <w:pPr>
              <w:rPr>
                <w:rFonts w:ascii="Arial" w:hAnsi="Arial" w:cs="Arial"/>
              </w:rPr>
            </w:pPr>
            <w:r w:rsidRPr="00950B90">
              <w:rPr>
                <w:rFonts w:ascii="Arial" w:hAnsi="Arial" w:cs="Arial"/>
              </w:rPr>
              <w:t>52.800.000</w:t>
            </w:r>
          </w:p>
        </w:tc>
        <w:tc>
          <w:tcPr>
            <w:tcW w:w="1486" w:type="dxa"/>
          </w:tcPr>
          <w:p w:rsidR="00D849AA" w:rsidRPr="00950B90" w:rsidRDefault="00EE6D95">
            <w:pPr>
              <w:rPr>
                <w:rFonts w:ascii="Arial" w:hAnsi="Arial" w:cs="Arial"/>
              </w:rPr>
            </w:pPr>
            <w:r w:rsidRPr="00950B90">
              <w:rPr>
                <w:rFonts w:ascii="Arial" w:hAnsi="Arial" w:cs="Arial"/>
              </w:rPr>
              <w:t>60.000.000</w:t>
            </w:r>
          </w:p>
        </w:tc>
        <w:tc>
          <w:tcPr>
            <w:tcW w:w="1486" w:type="dxa"/>
          </w:tcPr>
          <w:p w:rsidR="00D849AA" w:rsidRPr="00950B90" w:rsidRDefault="00EE6D95">
            <w:pPr>
              <w:rPr>
                <w:rFonts w:ascii="Arial" w:hAnsi="Arial" w:cs="Arial"/>
              </w:rPr>
            </w:pPr>
            <w:r w:rsidRPr="00950B90">
              <w:rPr>
                <w:rFonts w:ascii="Arial" w:hAnsi="Arial" w:cs="Arial"/>
              </w:rPr>
              <w:t>60.000.000</w:t>
            </w:r>
          </w:p>
        </w:tc>
        <w:tc>
          <w:tcPr>
            <w:tcW w:w="1486" w:type="dxa"/>
          </w:tcPr>
          <w:p w:rsidR="00D849AA" w:rsidRPr="00950B90" w:rsidRDefault="00EE6D95">
            <w:pPr>
              <w:rPr>
                <w:rFonts w:ascii="Arial" w:hAnsi="Arial" w:cs="Arial"/>
              </w:rPr>
            </w:pPr>
            <w:r w:rsidRPr="00950B90">
              <w:rPr>
                <w:rFonts w:ascii="Arial" w:hAnsi="Arial" w:cs="Arial"/>
              </w:rPr>
              <w:t>60.000.000</w:t>
            </w:r>
          </w:p>
        </w:tc>
        <w:tc>
          <w:tcPr>
            <w:tcW w:w="1486" w:type="dxa"/>
          </w:tcPr>
          <w:p w:rsidR="00D849AA" w:rsidRPr="00950B90" w:rsidRDefault="00EE6D95">
            <w:pPr>
              <w:rPr>
                <w:rFonts w:ascii="Arial" w:hAnsi="Arial" w:cs="Arial"/>
              </w:rPr>
            </w:pPr>
            <w:r w:rsidRPr="00950B90">
              <w:rPr>
                <w:rFonts w:ascii="Arial" w:hAnsi="Arial" w:cs="Arial"/>
              </w:rPr>
              <w:t>113,6</w:t>
            </w:r>
          </w:p>
        </w:tc>
      </w:tr>
    </w:tbl>
    <w:p w:rsidR="00D849AA" w:rsidRDefault="00D849AA">
      <w:pPr>
        <w:jc w:val="left"/>
      </w:pPr>
    </w:p>
    <w:p w:rsidR="00D849AA" w:rsidRDefault="00EE6D95">
      <w:pPr>
        <w:pStyle w:val="Normal6"/>
      </w:pPr>
      <w:r>
        <w:t xml:space="preserve">Ovom se aktivnosti sufinanciraju  projekti kojima su nositelji jedinice regionalne i lokalne samouprave, koje u svome razvoju zaostaju za prosjekom Republike Hrvatske, a za koje se ocjenjuje da će pridonijeti znatnijem razvoju pojedinih područja i stvoriti preduvjete za održivi gospodarski i društveni razvoj, te poboljšati standard i kvalitetu lokalnog stanovništva. Riječ je o projektima koji su premali da bi se financirali iz drugih izvora, a na tim područjima je radi ujednačavanja razvoja potrebna prisutnost Ministarstva, bilo zbog nedovoljnih financijskih ili organizacijskih kapaciteta same lokalne zajednice.  </w:t>
      </w:r>
    </w:p>
    <w:p w:rsidR="00D849AA" w:rsidRDefault="00EE6D95">
      <w:pPr>
        <w:pStyle w:val="Normal6"/>
      </w:pPr>
      <w:r>
        <w:t xml:space="preserve">Osim sufinanciranja manjih infrastrukturnih projekata čiji su nositelji JLPS, u okviru spomenute aktivnosti nastoji se poticati i educirati jedinice lokalne samouprave u korištenju jeftinijeg i ekološki prihvatljivog energenta (pelete) odnosno domaće drvne biomase putem financiranja  ugradnje kotlova na drvo i pelete u objektima javne namjene  JLS.  </w:t>
      </w:r>
    </w:p>
    <w:p w:rsidR="00D849AA" w:rsidRDefault="00EE6D95">
      <w:pPr>
        <w:pStyle w:val="Normal6"/>
      </w:pPr>
      <w:r>
        <w:t>Planirana sredstva u iznosu 60.000.000,00 kn, potrebna su temeljem brojnih zahtjeva jedinica lokalne samouprave  za pomoć u sufinanciranju njihovih razvojnih projekata.</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950B90" w:rsidRDefault="00EE6D95">
            <w:pPr>
              <w:rPr>
                <w:rFonts w:ascii="Arial" w:hAnsi="Arial" w:cs="Arial"/>
              </w:rPr>
            </w:pPr>
            <w:r w:rsidRPr="00950B90">
              <w:rPr>
                <w:rFonts w:ascii="Arial" w:hAnsi="Arial" w:cs="Arial"/>
              </w:rPr>
              <w:t>Pokazatelj rezultata</w:t>
            </w:r>
          </w:p>
        </w:tc>
        <w:tc>
          <w:tcPr>
            <w:tcW w:w="1114" w:type="dxa"/>
            <w:shd w:val="clear" w:color="auto" w:fill="B5C0D8"/>
          </w:tcPr>
          <w:p w:rsidR="00D849AA" w:rsidRPr="00950B90" w:rsidRDefault="00EE6D95">
            <w:pPr>
              <w:pStyle w:val="CellHeader"/>
            </w:pPr>
            <w:r w:rsidRPr="00950B90">
              <w:t>Jedinica</w:t>
            </w:r>
          </w:p>
        </w:tc>
        <w:tc>
          <w:tcPr>
            <w:tcW w:w="1114" w:type="dxa"/>
            <w:shd w:val="clear" w:color="auto" w:fill="B5C0D8"/>
          </w:tcPr>
          <w:p w:rsidR="00D849AA" w:rsidRPr="00950B90" w:rsidRDefault="00EE6D95">
            <w:pPr>
              <w:pStyle w:val="CellHeader"/>
            </w:pPr>
            <w:r w:rsidRPr="00950B90">
              <w:t>Polazna vrijednost</w:t>
            </w:r>
          </w:p>
        </w:tc>
        <w:tc>
          <w:tcPr>
            <w:tcW w:w="1486" w:type="dxa"/>
            <w:shd w:val="clear" w:color="auto" w:fill="B5C0D8"/>
          </w:tcPr>
          <w:p w:rsidR="00D849AA" w:rsidRPr="00950B90" w:rsidRDefault="00EE6D95">
            <w:pPr>
              <w:pStyle w:val="CellHeader"/>
            </w:pPr>
            <w:r w:rsidRPr="00950B90">
              <w:t>Ciljana vrijednost (2014.)</w:t>
            </w:r>
          </w:p>
        </w:tc>
        <w:tc>
          <w:tcPr>
            <w:tcW w:w="1486" w:type="dxa"/>
            <w:shd w:val="clear" w:color="auto" w:fill="B5C0D8"/>
          </w:tcPr>
          <w:p w:rsidR="00D849AA" w:rsidRPr="00950B90" w:rsidRDefault="00EE6D95">
            <w:pPr>
              <w:pStyle w:val="CellHeader"/>
            </w:pPr>
            <w:r w:rsidRPr="00950B90">
              <w:t>Ciljana vrijednost (2015.)</w:t>
            </w:r>
          </w:p>
        </w:tc>
        <w:tc>
          <w:tcPr>
            <w:tcW w:w="1486" w:type="dxa"/>
            <w:shd w:val="clear" w:color="auto" w:fill="B5C0D8"/>
          </w:tcPr>
          <w:p w:rsidR="00D849AA" w:rsidRPr="00950B90" w:rsidRDefault="00EE6D95">
            <w:pPr>
              <w:pStyle w:val="CellHeader"/>
            </w:pPr>
            <w:r w:rsidRPr="00950B90">
              <w:t>Ciljana vrijednost (2016.)</w:t>
            </w:r>
          </w:p>
        </w:tc>
      </w:tr>
      <w:tr w:rsidR="00D849AA">
        <w:trPr>
          <w:jc w:val="center"/>
        </w:trPr>
        <w:tc>
          <w:tcPr>
            <w:tcW w:w="2229" w:type="dxa"/>
          </w:tcPr>
          <w:p w:rsidR="00D849AA" w:rsidRPr="00950B90" w:rsidRDefault="00EE6D95" w:rsidP="00950B90">
            <w:pPr>
              <w:pStyle w:val="CellColumn"/>
            </w:pPr>
            <w:r w:rsidRPr="00950B90">
              <w:t xml:space="preserve">Povećanje broja renoviranih, </w:t>
            </w:r>
            <w:r w:rsidR="00950B90">
              <w:t>o</w:t>
            </w:r>
            <w:r w:rsidRPr="00950B90">
              <w:t>bnovljenih i izgrađenih objekata socijalne, komunalne ili gospodarske infrastrukture</w:t>
            </w:r>
          </w:p>
        </w:tc>
        <w:tc>
          <w:tcPr>
            <w:tcW w:w="1114" w:type="dxa"/>
          </w:tcPr>
          <w:p w:rsidR="00D849AA" w:rsidRPr="00950B90" w:rsidRDefault="00EE6D95">
            <w:pPr>
              <w:rPr>
                <w:rFonts w:ascii="Arial" w:hAnsi="Arial" w:cs="Arial"/>
              </w:rPr>
            </w:pPr>
            <w:r w:rsidRPr="00950B90">
              <w:rPr>
                <w:rFonts w:ascii="Arial" w:hAnsi="Arial" w:cs="Arial"/>
              </w:rPr>
              <w:t>broj</w:t>
            </w:r>
          </w:p>
        </w:tc>
        <w:tc>
          <w:tcPr>
            <w:tcW w:w="1114" w:type="dxa"/>
          </w:tcPr>
          <w:p w:rsidR="00D849AA" w:rsidRPr="00950B90" w:rsidRDefault="00EE6D95">
            <w:pPr>
              <w:rPr>
                <w:rFonts w:ascii="Arial" w:hAnsi="Arial" w:cs="Arial"/>
              </w:rPr>
            </w:pPr>
            <w:r w:rsidRPr="00950B90">
              <w:rPr>
                <w:rFonts w:ascii="Arial" w:hAnsi="Arial" w:cs="Arial"/>
              </w:rPr>
              <w:t>0</w:t>
            </w:r>
          </w:p>
        </w:tc>
        <w:tc>
          <w:tcPr>
            <w:tcW w:w="1486" w:type="dxa"/>
          </w:tcPr>
          <w:p w:rsidR="00D849AA" w:rsidRPr="00950B90" w:rsidRDefault="00EE6D95">
            <w:pPr>
              <w:rPr>
                <w:rFonts w:ascii="Arial" w:hAnsi="Arial" w:cs="Arial"/>
              </w:rPr>
            </w:pPr>
            <w:r w:rsidRPr="00950B90">
              <w:rPr>
                <w:rFonts w:ascii="Arial" w:hAnsi="Arial" w:cs="Arial"/>
              </w:rPr>
              <w:t>140</w:t>
            </w:r>
          </w:p>
        </w:tc>
        <w:tc>
          <w:tcPr>
            <w:tcW w:w="1486" w:type="dxa"/>
          </w:tcPr>
          <w:p w:rsidR="00D849AA" w:rsidRPr="00950B90" w:rsidRDefault="00EE6D95">
            <w:pPr>
              <w:rPr>
                <w:rFonts w:ascii="Arial" w:hAnsi="Arial" w:cs="Arial"/>
              </w:rPr>
            </w:pPr>
            <w:r w:rsidRPr="00950B90">
              <w:rPr>
                <w:rFonts w:ascii="Arial" w:hAnsi="Arial" w:cs="Arial"/>
              </w:rPr>
              <w:t>160</w:t>
            </w:r>
          </w:p>
        </w:tc>
        <w:tc>
          <w:tcPr>
            <w:tcW w:w="1486" w:type="dxa"/>
          </w:tcPr>
          <w:p w:rsidR="00D849AA" w:rsidRPr="00950B90" w:rsidRDefault="00EE6D95">
            <w:pPr>
              <w:rPr>
                <w:rFonts w:ascii="Arial" w:hAnsi="Arial" w:cs="Arial"/>
              </w:rPr>
            </w:pPr>
            <w:r w:rsidRPr="00950B90">
              <w:rPr>
                <w:rFonts w:ascii="Arial" w:hAnsi="Arial" w:cs="Arial"/>
              </w:rPr>
              <w:t>180</w:t>
            </w:r>
          </w:p>
        </w:tc>
      </w:tr>
      <w:tr w:rsidR="00D849AA">
        <w:trPr>
          <w:jc w:val="center"/>
        </w:trPr>
        <w:tc>
          <w:tcPr>
            <w:tcW w:w="2229" w:type="dxa"/>
          </w:tcPr>
          <w:p w:rsidR="00D849AA" w:rsidRPr="00950B90" w:rsidRDefault="00EE6D95">
            <w:pPr>
              <w:pStyle w:val="CellColumn"/>
            </w:pPr>
            <w:r w:rsidRPr="00950B90">
              <w:t>Povećanje broja distribuiranih i ugrađenih kotlova na drvo i pelete u objektima javne namjene u JLS</w:t>
            </w:r>
          </w:p>
        </w:tc>
        <w:tc>
          <w:tcPr>
            <w:tcW w:w="1114" w:type="dxa"/>
          </w:tcPr>
          <w:p w:rsidR="00D849AA" w:rsidRPr="00950B90" w:rsidRDefault="00EE6D95">
            <w:pPr>
              <w:rPr>
                <w:rFonts w:ascii="Arial" w:hAnsi="Arial" w:cs="Arial"/>
              </w:rPr>
            </w:pPr>
            <w:r w:rsidRPr="00950B90">
              <w:rPr>
                <w:rFonts w:ascii="Arial" w:hAnsi="Arial" w:cs="Arial"/>
              </w:rPr>
              <w:t>broj</w:t>
            </w:r>
          </w:p>
        </w:tc>
        <w:tc>
          <w:tcPr>
            <w:tcW w:w="1114" w:type="dxa"/>
          </w:tcPr>
          <w:p w:rsidR="00D849AA" w:rsidRPr="00950B90" w:rsidRDefault="00EE6D95">
            <w:pPr>
              <w:rPr>
                <w:rFonts w:ascii="Arial" w:hAnsi="Arial" w:cs="Arial"/>
              </w:rPr>
            </w:pPr>
            <w:r w:rsidRPr="00950B90">
              <w:rPr>
                <w:rFonts w:ascii="Arial" w:hAnsi="Arial" w:cs="Arial"/>
              </w:rPr>
              <w:t>0</w:t>
            </w:r>
          </w:p>
        </w:tc>
        <w:tc>
          <w:tcPr>
            <w:tcW w:w="1486" w:type="dxa"/>
          </w:tcPr>
          <w:p w:rsidR="00D849AA" w:rsidRPr="00950B90" w:rsidRDefault="00EE6D95">
            <w:pPr>
              <w:rPr>
                <w:rFonts w:ascii="Arial" w:hAnsi="Arial" w:cs="Arial"/>
              </w:rPr>
            </w:pPr>
            <w:r w:rsidRPr="00950B90">
              <w:rPr>
                <w:rFonts w:ascii="Arial" w:hAnsi="Arial" w:cs="Arial"/>
              </w:rPr>
              <w:t>30</w:t>
            </w:r>
          </w:p>
        </w:tc>
        <w:tc>
          <w:tcPr>
            <w:tcW w:w="1486" w:type="dxa"/>
          </w:tcPr>
          <w:p w:rsidR="00D849AA" w:rsidRPr="00950B90" w:rsidRDefault="00EE6D95">
            <w:pPr>
              <w:rPr>
                <w:rFonts w:ascii="Arial" w:hAnsi="Arial" w:cs="Arial"/>
              </w:rPr>
            </w:pPr>
            <w:r w:rsidRPr="00950B90">
              <w:rPr>
                <w:rFonts w:ascii="Arial" w:hAnsi="Arial" w:cs="Arial"/>
              </w:rPr>
              <w:t>40</w:t>
            </w:r>
          </w:p>
        </w:tc>
        <w:tc>
          <w:tcPr>
            <w:tcW w:w="1486" w:type="dxa"/>
          </w:tcPr>
          <w:p w:rsidR="00D849AA" w:rsidRPr="00950B90" w:rsidRDefault="00EE6D95">
            <w:pPr>
              <w:rPr>
                <w:rFonts w:ascii="Arial" w:hAnsi="Arial" w:cs="Arial"/>
              </w:rPr>
            </w:pPr>
            <w:r w:rsidRPr="00950B90">
              <w:rPr>
                <w:rFonts w:ascii="Arial" w:hAnsi="Arial" w:cs="Arial"/>
              </w:rPr>
              <w:t>40</w:t>
            </w:r>
          </w:p>
        </w:tc>
      </w:tr>
    </w:tbl>
    <w:p w:rsidR="00D849AA" w:rsidRDefault="00D849AA">
      <w:pPr>
        <w:jc w:val="left"/>
      </w:pPr>
    </w:p>
    <w:p w:rsidR="00950B90" w:rsidRDefault="00950B90">
      <w:pPr>
        <w:jc w:val="left"/>
      </w:pPr>
    </w:p>
    <w:p w:rsidR="00950B90" w:rsidRDefault="00950B90">
      <w:pPr>
        <w:jc w:val="left"/>
      </w:pPr>
    </w:p>
    <w:p w:rsidR="00D849AA" w:rsidRDefault="00EE6D95">
      <w:pPr>
        <w:pStyle w:val="Naslov6"/>
      </w:pPr>
      <w:r>
        <w:lastRenderedPageBreak/>
        <w:t>K570341 REGIONALNI RAZVOJNI PROJEKTI</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950B90" w:rsidRDefault="00EE6D95">
            <w:pPr>
              <w:pStyle w:val="CellHeader"/>
            </w:pPr>
            <w:r w:rsidRPr="00950B90">
              <w:t>Naziv aktivnosti</w:t>
            </w:r>
          </w:p>
        </w:tc>
        <w:tc>
          <w:tcPr>
            <w:tcW w:w="1486" w:type="dxa"/>
            <w:shd w:val="clear" w:color="auto" w:fill="B5C0D8"/>
          </w:tcPr>
          <w:p w:rsidR="00D849AA" w:rsidRPr="00950B90" w:rsidRDefault="00EE6D95">
            <w:pPr>
              <w:pStyle w:val="CellHeader"/>
            </w:pPr>
            <w:r w:rsidRPr="00950B90">
              <w:t>Plan 2013.</w:t>
            </w:r>
          </w:p>
        </w:tc>
        <w:tc>
          <w:tcPr>
            <w:tcW w:w="1486" w:type="dxa"/>
            <w:shd w:val="clear" w:color="auto" w:fill="B5C0D8"/>
          </w:tcPr>
          <w:p w:rsidR="00D849AA" w:rsidRPr="00950B90" w:rsidRDefault="00EE6D95">
            <w:pPr>
              <w:pStyle w:val="CellHeader"/>
            </w:pPr>
            <w:r w:rsidRPr="00950B90">
              <w:t>Plan 2014.</w:t>
            </w:r>
          </w:p>
        </w:tc>
        <w:tc>
          <w:tcPr>
            <w:tcW w:w="1486" w:type="dxa"/>
            <w:shd w:val="clear" w:color="auto" w:fill="B5C0D8"/>
          </w:tcPr>
          <w:p w:rsidR="00D849AA" w:rsidRPr="00950B90" w:rsidRDefault="00EE6D95">
            <w:pPr>
              <w:pStyle w:val="CellHeader"/>
            </w:pPr>
            <w:r w:rsidRPr="00950B90">
              <w:t>Plan 2015.</w:t>
            </w:r>
          </w:p>
        </w:tc>
        <w:tc>
          <w:tcPr>
            <w:tcW w:w="1486" w:type="dxa"/>
            <w:shd w:val="clear" w:color="auto" w:fill="B5C0D8"/>
          </w:tcPr>
          <w:p w:rsidR="00D849AA" w:rsidRPr="00950B90" w:rsidRDefault="00EE6D95">
            <w:pPr>
              <w:pStyle w:val="CellHeader"/>
            </w:pPr>
            <w:r w:rsidRPr="00950B90">
              <w:t>Plan 2016.</w:t>
            </w:r>
          </w:p>
        </w:tc>
        <w:tc>
          <w:tcPr>
            <w:tcW w:w="1486" w:type="dxa"/>
            <w:shd w:val="clear" w:color="auto" w:fill="B5C0D8"/>
          </w:tcPr>
          <w:p w:rsidR="00D849AA" w:rsidRPr="00950B90" w:rsidRDefault="00EE6D95">
            <w:pPr>
              <w:pStyle w:val="CellHeader"/>
            </w:pPr>
            <w:r w:rsidRPr="00950B90">
              <w:t>Indeks 2014/2013</w:t>
            </w:r>
          </w:p>
        </w:tc>
      </w:tr>
      <w:tr w:rsidR="00D849AA">
        <w:trPr>
          <w:jc w:val="center"/>
        </w:trPr>
        <w:tc>
          <w:tcPr>
            <w:tcW w:w="1486" w:type="dxa"/>
          </w:tcPr>
          <w:p w:rsidR="00D849AA" w:rsidRPr="00950B90" w:rsidRDefault="00EE6D95">
            <w:pPr>
              <w:pStyle w:val="CellColumn"/>
            </w:pPr>
            <w:r w:rsidRPr="00950B90">
              <w:t>K570341</w:t>
            </w:r>
          </w:p>
        </w:tc>
        <w:tc>
          <w:tcPr>
            <w:tcW w:w="1486" w:type="dxa"/>
          </w:tcPr>
          <w:p w:rsidR="00D849AA" w:rsidRPr="00950B90" w:rsidRDefault="00EE6D95">
            <w:pPr>
              <w:rPr>
                <w:rFonts w:ascii="Arial" w:hAnsi="Arial" w:cs="Arial"/>
              </w:rPr>
            </w:pPr>
            <w:r w:rsidRPr="00950B90">
              <w:rPr>
                <w:rFonts w:ascii="Arial" w:hAnsi="Arial" w:cs="Arial"/>
              </w:rPr>
              <w:t>3.500.000</w:t>
            </w:r>
          </w:p>
        </w:tc>
        <w:tc>
          <w:tcPr>
            <w:tcW w:w="1486" w:type="dxa"/>
          </w:tcPr>
          <w:p w:rsidR="00D849AA" w:rsidRPr="00950B90" w:rsidRDefault="00EE6D95">
            <w:pPr>
              <w:rPr>
                <w:rFonts w:ascii="Arial" w:hAnsi="Arial" w:cs="Arial"/>
              </w:rPr>
            </w:pPr>
            <w:r w:rsidRPr="00950B90">
              <w:rPr>
                <w:rFonts w:ascii="Arial" w:hAnsi="Arial" w:cs="Arial"/>
              </w:rPr>
              <w:t>5.000.000</w:t>
            </w:r>
          </w:p>
        </w:tc>
        <w:tc>
          <w:tcPr>
            <w:tcW w:w="1486" w:type="dxa"/>
          </w:tcPr>
          <w:p w:rsidR="00D849AA" w:rsidRPr="00950B90" w:rsidRDefault="00EE6D95">
            <w:pPr>
              <w:rPr>
                <w:rFonts w:ascii="Arial" w:hAnsi="Arial" w:cs="Arial"/>
              </w:rPr>
            </w:pPr>
            <w:r w:rsidRPr="00950B90">
              <w:rPr>
                <w:rFonts w:ascii="Arial" w:hAnsi="Arial" w:cs="Arial"/>
              </w:rPr>
              <w:t>10.000.000</w:t>
            </w:r>
          </w:p>
        </w:tc>
        <w:tc>
          <w:tcPr>
            <w:tcW w:w="1486" w:type="dxa"/>
          </w:tcPr>
          <w:p w:rsidR="00D849AA" w:rsidRPr="00950B90" w:rsidRDefault="00EE6D95">
            <w:pPr>
              <w:rPr>
                <w:rFonts w:ascii="Arial" w:hAnsi="Arial" w:cs="Arial"/>
              </w:rPr>
            </w:pPr>
            <w:r w:rsidRPr="00950B90">
              <w:rPr>
                <w:rFonts w:ascii="Arial" w:hAnsi="Arial" w:cs="Arial"/>
              </w:rPr>
              <w:t>15.000.000</w:t>
            </w:r>
          </w:p>
        </w:tc>
        <w:tc>
          <w:tcPr>
            <w:tcW w:w="1486" w:type="dxa"/>
          </w:tcPr>
          <w:p w:rsidR="00D849AA" w:rsidRPr="00950B90" w:rsidRDefault="00EE6D95">
            <w:pPr>
              <w:rPr>
                <w:rFonts w:ascii="Arial" w:hAnsi="Arial" w:cs="Arial"/>
              </w:rPr>
            </w:pPr>
            <w:r w:rsidRPr="00950B90">
              <w:rPr>
                <w:rFonts w:ascii="Arial" w:hAnsi="Arial" w:cs="Arial"/>
              </w:rPr>
              <w:t>142,9</w:t>
            </w:r>
          </w:p>
        </w:tc>
      </w:tr>
    </w:tbl>
    <w:p w:rsidR="00D849AA" w:rsidRDefault="00D849AA">
      <w:pPr>
        <w:jc w:val="left"/>
      </w:pPr>
    </w:p>
    <w:p w:rsidR="00D849AA" w:rsidRDefault="00EE6D95">
      <w:pPr>
        <w:pStyle w:val="Normal6"/>
      </w:pPr>
      <w:r>
        <w:t xml:space="preserve">Iz navedene aktivnosti usmjeravaju se sredstava za regionalne razvojne projekte, a na prijedlog jedinica lokalne samouprave i drugih prihvatljivih podnositelja. Sufinanciraju se manji infrastrukturni projekti u području izgradnje, nadogradnje i sanacije komunalne i socijalne infrastrukture, te izrade prostorne i druge planske, projektne i programske razvojne dokumentacije, kao i drugi projekti čija realizacija pridonosi podizanju ukupne kvalitete življenja stanovništva. </w:t>
      </w:r>
    </w:p>
    <w:p w:rsidR="00D849AA" w:rsidRDefault="00EE6D95">
      <w:pPr>
        <w:pStyle w:val="Normal6"/>
      </w:pPr>
      <w:r>
        <w:t>Planirana sredstva u iznosu 5.000.000,00 kn, potrebna su temeljem brojnih zahtjeva jedinica lokalne samouprave za pomoć u sufinanciranju i ranije preuzetih obaveza.</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950B90" w:rsidRDefault="00EE6D95">
            <w:pPr>
              <w:rPr>
                <w:rFonts w:ascii="Arial" w:hAnsi="Arial" w:cs="Arial"/>
              </w:rPr>
            </w:pPr>
            <w:r w:rsidRPr="00950B90">
              <w:rPr>
                <w:rFonts w:ascii="Arial" w:hAnsi="Arial" w:cs="Arial"/>
              </w:rPr>
              <w:t>Pokazatelj rezultata</w:t>
            </w:r>
          </w:p>
        </w:tc>
        <w:tc>
          <w:tcPr>
            <w:tcW w:w="1114" w:type="dxa"/>
            <w:shd w:val="clear" w:color="auto" w:fill="B5C0D8"/>
          </w:tcPr>
          <w:p w:rsidR="00D849AA" w:rsidRPr="00950B90" w:rsidRDefault="00EE6D95">
            <w:pPr>
              <w:pStyle w:val="CellHeader"/>
            </w:pPr>
            <w:r w:rsidRPr="00950B90">
              <w:t>Jedinica</w:t>
            </w:r>
          </w:p>
        </w:tc>
        <w:tc>
          <w:tcPr>
            <w:tcW w:w="1114" w:type="dxa"/>
            <w:shd w:val="clear" w:color="auto" w:fill="B5C0D8"/>
          </w:tcPr>
          <w:p w:rsidR="00D849AA" w:rsidRPr="00950B90" w:rsidRDefault="00EE6D95">
            <w:pPr>
              <w:pStyle w:val="CellHeader"/>
            </w:pPr>
            <w:r w:rsidRPr="00950B90">
              <w:t>Polazna vrijednost</w:t>
            </w:r>
          </w:p>
        </w:tc>
        <w:tc>
          <w:tcPr>
            <w:tcW w:w="1486" w:type="dxa"/>
            <w:shd w:val="clear" w:color="auto" w:fill="B5C0D8"/>
          </w:tcPr>
          <w:p w:rsidR="00D849AA" w:rsidRPr="00950B90" w:rsidRDefault="00EE6D95">
            <w:pPr>
              <w:pStyle w:val="CellHeader"/>
            </w:pPr>
            <w:r w:rsidRPr="00950B90">
              <w:t>Ciljana vrijednost (2014.)</w:t>
            </w:r>
          </w:p>
        </w:tc>
        <w:tc>
          <w:tcPr>
            <w:tcW w:w="1486" w:type="dxa"/>
            <w:shd w:val="clear" w:color="auto" w:fill="B5C0D8"/>
          </w:tcPr>
          <w:p w:rsidR="00D849AA" w:rsidRPr="00950B90" w:rsidRDefault="00EE6D95">
            <w:pPr>
              <w:pStyle w:val="CellHeader"/>
            </w:pPr>
            <w:r w:rsidRPr="00950B90">
              <w:t>Ciljana vrijednost (2015.)</w:t>
            </w:r>
          </w:p>
        </w:tc>
        <w:tc>
          <w:tcPr>
            <w:tcW w:w="1486" w:type="dxa"/>
            <w:shd w:val="clear" w:color="auto" w:fill="B5C0D8"/>
          </w:tcPr>
          <w:p w:rsidR="00D849AA" w:rsidRPr="00950B90" w:rsidRDefault="00EE6D95">
            <w:pPr>
              <w:pStyle w:val="CellHeader"/>
            </w:pPr>
            <w:r w:rsidRPr="00950B90">
              <w:t>Ciljana vrijednost (2016.)</w:t>
            </w:r>
          </w:p>
        </w:tc>
      </w:tr>
      <w:tr w:rsidR="00D849AA">
        <w:trPr>
          <w:jc w:val="center"/>
        </w:trPr>
        <w:tc>
          <w:tcPr>
            <w:tcW w:w="2229" w:type="dxa"/>
          </w:tcPr>
          <w:p w:rsidR="00D849AA" w:rsidRPr="00950B90" w:rsidRDefault="00EE6D95">
            <w:pPr>
              <w:pStyle w:val="CellColumn"/>
            </w:pPr>
            <w:r w:rsidRPr="00950B90">
              <w:t>Povećanje broja regionalnih razvojnih projekata</w:t>
            </w:r>
          </w:p>
        </w:tc>
        <w:tc>
          <w:tcPr>
            <w:tcW w:w="1114" w:type="dxa"/>
          </w:tcPr>
          <w:p w:rsidR="00D849AA" w:rsidRPr="00950B90" w:rsidRDefault="00EE6D95">
            <w:pPr>
              <w:rPr>
                <w:rFonts w:ascii="Arial" w:hAnsi="Arial" w:cs="Arial"/>
              </w:rPr>
            </w:pPr>
            <w:r w:rsidRPr="00950B90">
              <w:rPr>
                <w:rFonts w:ascii="Arial" w:hAnsi="Arial" w:cs="Arial"/>
              </w:rPr>
              <w:t>broj</w:t>
            </w:r>
          </w:p>
        </w:tc>
        <w:tc>
          <w:tcPr>
            <w:tcW w:w="1114" w:type="dxa"/>
          </w:tcPr>
          <w:p w:rsidR="00D849AA" w:rsidRPr="00950B90" w:rsidRDefault="00EE6D95">
            <w:pPr>
              <w:rPr>
                <w:rFonts w:ascii="Arial" w:hAnsi="Arial" w:cs="Arial"/>
              </w:rPr>
            </w:pPr>
            <w:r w:rsidRPr="00950B90">
              <w:rPr>
                <w:rFonts w:ascii="Arial" w:hAnsi="Arial" w:cs="Arial"/>
              </w:rPr>
              <w:t>0</w:t>
            </w:r>
          </w:p>
        </w:tc>
        <w:tc>
          <w:tcPr>
            <w:tcW w:w="1486" w:type="dxa"/>
          </w:tcPr>
          <w:p w:rsidR="00D849AA" w:rsidRPr="00950B90" w:rsidRDefault="00EE6D95">
            <w:pPr>
              <w:rPr>
                <w:rFonts w:ascii="Arial" w:hAnsi="Arial" w:cs="Arial"/>
              </w:rPr>
            </w:pPr>
            <w:r w:rsidRPr="00950B90">
              <w:rPr>
                <w:rFonts w:ascii="Arial" w:hAnsi="Arial" w:cs="Arial"/>
              </w:rPr>
              <w:t>20</w:t>
            </w:r>
          </w:p>
        </w:tc>
        <w:tc>
          <w:tcPr>
            <w:tcW w:w="1486" w:type="dxa"/>
          </w:tcPr>
          <w:p w:rsidR="00D849AA" w:rsidRPr="00950B90" w:rsidRDefault="00EE6D95">
            <w:pPr>
              <w:rPr>
                <w:rFonts w:ascii="Arial" w:hAnsi="Arial" w:cs="Arial"/>
              </w:rPr>
            </w:pPr>
            <w:r w:rsidRPr="00950B90">
              <w:rPr>
                <w:rFonts w:ascii="Arial" w:hAnsi="Arial" w:cs="Arial"/>
              </w:rPr>
              <w:t>40</w:t>
            </w:r>
          </w:p>
        </w:tc>
        <w:tc>
          <w:tcPr>
            <w:tcW w:w="1486" w:type="dxa"/>
          </w:tcPr>
          <w:p w:rsidR="00D849AA" w:rsidRPr="00950B90" w:rsidRDefault="00EE6D95">
            <w:pPr>
              <w:rPr>
                <w:rFonts w:ascii="Arial" w:hAnsi="Arial" w:cs="Arial"/>
              </w:rPr>
            </w:pPr>
            <w:r w:rsidRPr="00950B90">
              <w:rPr>
                <w:rFonts w:ascii="Arial" w:hAnsi="Arial" w:cs="Arial"/>
              </w:rPr>
              <w:t>60</w:t>
            </w:r>
          </w:p>
        </w:tc>
      </w:tr>
    </w:tbl>
    <w:p w:rsidR="00D849AA" w:rsidRDefault="00D849AA">
      <w:pPr>
        <w:jc w:val="left"/>
      </w:pPr>
    </w:p>
    <w:p w:rsidR="00D849AA" w:rsidRDefault="00EE6D95">
      <w:pPr>
        <w:pStyle w:val="Naslov6"/>
      </w:pPr>
      <w:r>
        <w:t>K820022 OP REGIONALNA KONKURENTNOST PRIORITET 1 I 3</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rsidRPr="00950B90">
        <w:trPr>
          <w:jc w:val="center"/>
        </w:trPr>
        <w:tc>
          <w:tcPr>
            <w:tcW w:w="1486" w:type="dxa"/>
            <w:shd w:val="clear" w:color="auto" w:fill="B5C0D8"/>
          </w:tcPr>
          <w:p w:rsidR="00D849AA" w:rsidRPr="00950B90" w:rsidRDefault="00EE6D95">
            <w:pPr>
              <w:pStyle w:val="CellHeader"/>
            </w:pPr>
            <w:r w:rsidRPr="00950B90">
              <w:t>Naziv aktivnosti</w:t>
            </w:r>
          </w:p>
        </w:tc>
        <w:tc>
          <w:tcPr>
            <w:tcW w:w="1486" w:type="dxa"/>
            <w:shd w:val="clear" w:color="auto" w:fill="B5C0D8"/>
          </w:tcPr>
          <w:p w:rsidR="00D849AA" w:rsidRPr="00950B90" w:rsidRDefault="00EE6D95">
            <w:pPr>
              <w:pStyle w:val="CellHeader"/>
            </w:pPr>
            <w:r w:rsidRPr="00950B90">
              <w:t>Plan 2013.</w:t>
            </w:r>
          </w:p>
        </w:tc>
        <w:tc>
          <w:tcPr>
            <w:tcW w:w="1486" w:type="dxa"/>
            <w:shd w:val="clear" w:color="auto" w:fill="B5C0D8"/>
          </w:tcPr>
          <w:p w:rsidR="00D849AA" w:rsidRPr="00950B90" w:rsidRDefault="00EE6D95">
            <w:pPr>
              <w:pStyle w:val="CellHeader"/>
            </w:pPr>
            <w:r w:rsidRPr="00950B90">
              <w:t>Plan 2014.</w:t>
            </w:r>
          </w:p>
        </w:tc>
        <w:tc>
          <w:tcPr>
            <w:tcW w:w="1486" w:type="dxa"/>
            <w:shd w:val="clear" w:color="auto" w:fill="B5C0D8"/>
          </w:tcPr>
          <w:p w:rsidR="00D849AA" w:rsidRPr="00950B90" w:rsidRDefault="00EE6D95">
            <w:pPr>
              <w:pStyle w:val="CellHeader"/>
            </w:pPr>
            <w:r w:rsidRPr="00950B90">
              <w:t>Plan 2015.</w:t>
            </w:r>
          </w:p>
        </w:tc>
        <w:tc>
          <w:tcPr>
            <w:tcW w:w="1486" w:type="dxa"/>
            <w:shd w:val="clear" w:color="auto" w:fill="B5C0D8"/>
          </w:tcPr>
          <w:p w:rsidR="00D849AA" w:rsidRPr="00950B90" w:rsidRDefault="00EE6D95">
            <w:pPr>
              <w:pStyle w:val="CellHeader"/>
            </w:pPr>
            <w:r w:rsidRPr="00950B90">
              <w:t>Plan 2016.</w:t>
            </w:r>
          </w:p>
        </w:tc>
        <w:tc>
          <w:tcPr>
            <w:tcW w:w="1486" w:type="dxa"/>
            <w:shd w:val="clear" w:color="auto" w:fill="B5C0D8"/>
          </w:tcPr>
          <w:p w:rsidR="00D849AA" w:rsidRPr="00950B90" w:rsidRDefault="00EE6D95">
            <w:pPr>
              <w:pStyle w:val="CellHeader"/>
            </w:pPr>
            <w:r w:rsidRPr="00950B90">
              <w:t>Indeks 2014/2013</w:t>
            </w:r>
          </w:p>
        </w:tc>
      </w:tr>
      <w:tr w:rsidR="00D849AA" w:rsidRPr="00950B90">
        <w:trPr>
          <w:jc w:val="center"/>
        </w:trPr>
        <w:tc>
          <w:tcPr>
            <w:tcW w:w="1486" w:type="dxa"/>
          </w:tcPr>
          <w:p w:rsidR="00D849AA" w:rsidRPr="00950B90" w:rsidRDefault="00EE6D95">
            <w:pPr>
              <w:pStyle w:val="CellColumn"/>
            </w:pPr>
            <w:r w:rsidRPr="00950B90">
              <w:t>K820022</w:t>
            </w:r>
          </w:p>
        </w:tc>
        <w:tc>
          <w:tcPr>
            <w:tcW w:w="1486" w:type="dxa"/>
          </w:tcPr>
          <w:p w:rsidR="00D849AA" w:rsidRPr="00950B90" w:rsidRDefault="00EE6D95">
            <w:pPr>
              <w:rPr>
                <w:rFonts w:ascii="Arial" w:hAnsi="Arial" w:cs="Arial"/>
              </w:rPr>
            </w:pPr>
            <w:r w:rsidRPr="00950B90">
              <w:rPr>
                <w:rFonts w:ascii="Arial" w:hAnsi="Arial" w:cs="Arial"/>
              </w:rPr>
              <w:t>80.960.000</w:t>
            </w:r>
          </w:p>
        </w:tc>
        <w:tc>
          <w:tcPr>
            <w:tcW w:w="1486" w:type="dxa"/>
          </w:tcPr>
          <w:p w:rsidR="00D849AA" w:rsidRPr="00950B90" w:rsidRDefault="00EE6D95">
            <w:pPr>
              <w:rPr>
                <w:rFonts w:ascii="Arial" w:hAnsi="Arial" w:cs="Arial"/>
              </w:rPr>
            </w:pPr>
            <w:r w:rsidRPr="00950B90">
              <w:rPr>
                <w:rFonts w:ascii="Arial" w:hAnsi="Arial" w:cs="Arial"/>
              </w:rPr>
              <w:t>190.481.366</w:t>
            </w:r>
          </w:p>
        </w:tc>
        <w:tc>
          <w:tcPr>
            <w:tcW w:w="1486" w:type="dxa"/>
          </w:tcPr>
          <w:p w:rsidR="00D849AA" w:rsidRPr="00950B90" w:rsidRDefault="00EE6D95">
            <w:pPr>
              <w:rPr>
                <w:rFonts w:ascii="Arial" w:hAnsi="Arial" w:cs="Arial"/>
              </w:rPr>
            </w:pPr>
            <w:r w:rsidRPr="00950B90">
              <w:rPr>
                <w:rFonts w:ascii="Arial" w:hAnsi="Arial" w:cs="Arial"/>
              </w:rPr>
              <w:t>130.353.730</w:t>
            </w:r>
          </w:p>
        </w:tc>
        <w:tc>
          <w:tcPr>
            <w:tcW w:w="1486" w:type="dxa"/>
          </w:tcPr>
          <w:p w:rsidR="00D849AA" w:rsidRPr="00950B90" w:rsidRDefault="00EE6D95">
            <w:pPr>
              <w:rPr>
                <w:rFonts w:ascii="Arial" w:hAnsi="Arial" w:cs="Arial"/>
              </w:rPr>
            </w:pPr>
            <w:r w:rsidRPr="00950B90">
              <w:rPr>
                <w:rFonts w:ascii="Arial" w:hAnsi="Arial" w:cs="Arial"/>
              </w:rPr>
              <w:t>88.264.795</w:t>
            </w:r>
          </w:p>
        </w:tc>
        <w:tc>
          <w:tcPr>
            <w:tcW w:w="1486" w:type="dxa"/>
          </w:tcPr>
          <w:p w:rsidR="00D849AA" w:rsidRPr="00950B90" w:rsidRDefault="00EE6D95">
            <w:pPr>
              <w:rPr>
                <w:rFonts w:ascii="Arial" w:hAnsi="Arial" w:cs="Arial"/>
              </w:rPr>
            </w:pPr>
            <w:r w:rsidRPr="00950B90">
              <w:rPr>
                <w:rFonts w:ascii="Arial" w:hAnsi="Arial" w:cs="Arial"/>
              </w:rPr>
              <w:t>235,3</w:t>
            </w:r>
          </w:p>
        </w:tc>
      </w:tr>
    </w:tbl>
    <w:p w:rsidR="00D849AA" w:rsidRPr="00950B90" w:rsidRDefault="00D849AA">
      <w:pPr>
        <w:jc w:val="left"/>
        <w:rPr>
          <w:rFonts w:ascii="Arial" w:hAnsi="Arial" w:cs="Arial"/>
        </w:rPr>
      </w:pPr>
    </w:p>
    <w:p w:rsidR="00D849AA" w:rsidRDefault="00EE6D95">
      <w:pPr>
        <w:pStyle w:val="Normal6"/>
      </w:pPr>
      <w:r>
        <w:t>U okviru Operativnog programa „Regionalna konkurentnost“ 2007-2013 Ministarstvo regionalnoga razvoja i fondova Europske unije nadležno je za upravljanje prioritetnom osi 1 - Razvoj i unaprjeđenje regionalne infrastrukture i jačanje atraktivnosti regija. Tijekom 2014. godine planira se zaključivanje ugovora za 3 poziva, od čega se dva odnose na dodjelu bespovratnih sredstava za projekte javne poslovne infrastrukture, a jedan na dodjelu bespovratnih sredstava za pripremu regionalnih projekata za financijsku perspektivu 2014.-2020. U okviru ovih poziva dodijelit će se ukupno 44.450.000 EUR  (333.375.000 kuna). Pri dodjeli sredstava prednost se daje projektima koji dolaze iz potpomognutih područja te se na taj način doprinosi ujednačenom razvoju cijelog prostora Republike Hrvatske.</w:t>
      </w:r>
    </w:p>
    <w:p w:rsidR="00337A23" w:rsidRDefault="00337A23">
      <w:pPr>
        <w:pStyle w:val="Normal6"/>
      </w:pPr>
    </w:p>
    <w:p w:rsidR="00337A23" w:rsidRDefault="00337A23">
      <w:pPr>
        <w:pStyle w:val="Normal6"/>
      </w:pPr>
    </w:p>
    <w:p w:rsidR="00337A23" w:rsidRDefault="00337A23">
      <w:pPr>
        <w:pStyle w:val="Normal6"/>
      </w:pPr>
    </w:p>
    <w:p w:rsidR="00337A23" w:rsidRDefault="00337A23">
      <w:pPr>
        <w:pStyle w:val="Normal6"/>
      </w:pPr>
    </w:p>
    <w:p w:rsidR="00337A23" w:rsidRDefault="00337A23">
      <w:pPr>
        <w:pStyle w:val="Normal6"/>
      </w:pPr>
    </w:p>
    <w:p w:rsidR="00337A23" w:rsidRDefault="00337A23">
      <w:pPr>
        <w:pStyle w:val="Normal6"/>
      </w:pPr>
    </w:p>
    <w:p w:rsidR="00D849AA" w:rsidRDefault="00EE6D95">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950B90" w:rsidRDefault="00EE6D95">
            <w:pPr>
              <w:rPr>
                <w:rFonts w:ascii="Arial" w:hAnsi="Arial" w:cs="Arial"/>
              </w:rPr>
            </w:pPr>
            <w:r w:rsidRPr="00950B90">
              <w:rPr>
                <w:rFonts w:ascii="Arial" w:hAnsi="Arial" w:cs="Arial"/>
              </w:rPr>
              <w:t>Pokazatelj rezultata</w:t>
            </w:r>
          </w:p>
        </w:tc>
        <w:tc>
          <w:tcPr>
            <w:tcW w:w="1114" w:type="dxa"/>
            <w:shd w:val="clear" w:color="auto" w:fill="B5C0D8"/>
          </w:tcPr>
          <w:p w:rsidR="00D849AA" w:rsidRPr="00950B90" w:rsidRDefault="00EE6D95">
            <w:pPr>
              <w:pStyle w:val="CellHeader"/>
            </w:pPr>
            <w:r w:rsidRPr="00950B90">
              <w:t>Jedinica</w:t>
            </w:r>
          </w:p>
        </w:tc>
        <w:tc>
          <w:tcPr>
            <w:tcW w:w="1114" w:type="dxa"/>
            <w:shd w:val="clear" w:color="auto" w:fill="B5C0D8"/>
          </w:tcPr>
          <w:p w:rsidR="00D849AA" w:rsidRPr="00950B90" w:rsidRDefault="00EE6D95">
            <w:pPr>
              <w:pStyle w:val="CellHeader"/>
            </w:pPr>
            <w:r w:rsidRPr="00950B90">
              <w:t>Polazna vrijednost</w:t>
            </w:r>
          </w:p>
        </w:tc>
        <w:tc>
          <w:tcPr>
            <w:tcW w:w="1486" w:type="dxa"/>
            <w:shd w:val="clear" w:color="auto" w:fill="B5C0D8"/>
          </w:tcPr>
          <w:p w:rsidR="00D849AA" w:rsidRPr="00950B90" w:rsidRDefault="00EE6D95">
            <w:pPr>
              <w:pStyle w:val="CellHeader"/>
            </w:pPr>
            <w:r w:rsidRPr="00950B90">
              <w:t>Ciljana vrijednost (2014.)</w:t>
            </w:r>
          </w:p>
        </w:tc>
        <w:tc>
          <w:tcPr>
            <w:tcW w:w="1486" w:type="dxa"/>
            <w:shd w:val="clear" w:color="auto" w:fill="B5C0D8"/>
          </w:tcPr>
          <w:p w:rsidR="00D849AA" w:rsidRPr="00950B90" w:rsidRDefault="00EE6D95">
            <w:pPr>
              <w:pStyle w:val="CellHeader"/>
            </w:pPr>
            <w:r w:rsidRPr="00950B90">
              <w:t>Ciljana vrijednost (2015.)</w:t>
            </w:r>
          </w:p>
        </w:tc>
        <w:tc>
          <w:tcPr>
            <w:tcW w:w="1486" w:type="dxa"/>
            <w:shd w:val="clear" w:color="auto" w:fill="B5C0D8"/>
          </w:tcPr>
          <w:p w:rsidR="00D849AA" w:rsidRPr="00950B90" w:rsidRDefault="00EE6D95">
            <w:pPr>
              <w:pStyle w:val="CellHeader"/>
            </w:pPr>
            <w:r w:rsidRPr="00950B90">
              <w:t>Ciljana vrijednost (2016.)</w:t>
            </w:r>
          </w:p>
        </w:tc>
      </w:tr>
      <w:tr w:rsidR="00D849AA">
        <w:trPr>
          <w:jc w:val="center"/>
        </w:trPr>
        <w:tc>
          <w:tcPr>
            <w:tcW w:w="2229" w:type="dxa"/>
          </w:tcPr>
          <w:p w:rsidR="00D849AA" w:rsidRPr="00950B90" w:rsidRDefault="00EE6D95">
            <w:pPr>
              <w:pStyle w:val="CellColumn"/>
            </w:pPr>
            <w:r w:rsidRPr="00950B90">
              <w:t>Broj i financijska vrijednost objavljenih poziva za dodjelu bespovratnih sredstava</w:t>
            </w:r>
          </w:p>
        </w:tc>
        <w:tc>
          <w:tcPr>
            <w:tcW w:w="1114" w:type="dxa"/>
          </w:tcPr>
          <w:p w:rsidR="00D849AA" w:rsidRPr="00950B90" w:rsidRDefault="00EE6D95">
            <w:pPr>
              <w:rPr>
                <w:rFonts w:ascii="Arial" w:hAnsi="Arial" w:cs="Arial"/>
              </w:rPr>
            </w:pPr>
            <w:r w:rsidRPr="00950B90">
              <w:rPr>
                <w:rFonts w:ascii="Arial" w:hAnsi="Arial" w:cs="Arial"/>
              </w:rPr>
              <w:t xml:space="preserve">Broj </w:t>
            </w:r>
          </w:p>
          <w:p w:rsidR="00D849AA" w:rsidRPr="00950B90" w:rsidRDefault="00EE6D95">
            <w:pPr>
              <w:rPr>
                <w:rFonts w:ascii="Arial" w:hAnsi="Arial" w:cs="Arial"/>
              </w:rPr>
            </w:pPr>
            <w:r w:rsidRPr="00950B90">
              <w:rPr>
                <w:rFonts w:ascii="Arial" w:hAnsi="Arial" w:cs="Arial"/>
              </w:rPr>
              <w:t>EUR</w:t>
            </w:r>
          </w:p>
        </w:tc>
        <w:tc>
          <w:tcPr>
            <w:tcW w:w="1114" w:type="dxa"/>
          </w:tcPr>
          <w:p w:rsidR="00D849AA" w:rsidRPr="00950B90" w:rsidRDefault="00EE6D95">
            <w:pPr>
              <w:rPr>
                <w:rFonts w:ascii="Arial" w:hAnsi="Arial" w:cs="Arial"/>
              </w:rPr>
            </w:pPr>
            <w:r w:rsidRPr="00950B90">
              <w:rPr>
                <w:rFonts w:ascii="Arial" w:hAnsi="Arial" w:cs="Arial"/>
              </w:rPr>
              <w:t xml:space="preserve">3 natječaja </w:t>
            </w:r>
          </w:p>
          <w:p w:rsidR="00D849AA" w:rsidRPr="00950B90" w:rsidRDefault="00EE6D95">
            <w:pPr>
              <w:rPr>
                <w:rFonts w:ascii="Arial" w:hAnsi="Arial" w:cs="Arial"/>
              </w:rPr>
            </w:pPr>
            <w:r w:rsidRPr="00950B90">
              <w:rPr>
                <w:rFonts w:ascii="Arial" w:hAnsi="Arial" w:cs="Arial"/>
              </w:rPr>
              <w:t>27 mil €</w:t>
            </w:r>
          </w:p>
        </w:tc>
        <w:tc>
          <w:tcPr>
            <w:tcW w:w="1486" w:type="dxa"/>
          </w:tcPr>
          <w:p w:rsidR="00D849AA" w:rsidRPr="00950B90" w:rsidRDefault="00EE6D95">
            <w:pPr>
              <w:rPr>
                <w:rFonts w:ascii="Arial" w:hAnsi="Arial" w:cs="Arial"/>
              </w:rPr>
            </w:pPr>
            <w:r w:rsidRPr="00950B90">
              <w:rPr>
                <w:rFonts w:ascii="Arial" w:hAnsi="Arial" w:cs="Arial"/>
              </w:rPr>
              <w:t xml:space="preserve">5 natječaja </w:t>
            </w:r>
          </w:p>
          <w:p w:rsidR="00D849AA" w:rsidRPr="00950B90" w:rsidRDefault="00EE6D95">
            <w:pPr>
              <w:rPr>
                <w:rFonts w:ascii="Arial" w:hAnsi="Arial" w:cs="Arial"/>
              </w:rPr>
            </w:pPr>
            <w:r w:rsidRPr="00950B90">
              <w:rPr>
                <w:rFonts w:ascii="Arial" w:hAnsi="Arial" w:cs="Arial"/>
              </w:rPr>
              <w:t>62,16 mil€</w:t>
            </w:r>
          </w:p>
        </w:tc>
        <w:tc>
          <w:tcPr>
            <w:tcW w:w="1486" w:type="dxa"/>
          </w:tcPr>
          <w:p w:rsidR="00D849AA" w:rsidRPr="00950B90" w:rsidRDefault="00EE6D95">
            <w:pPr>
              <w:rPr>
                <w:rFonts w:ascii="Arial" w:hAnsi="Arial" w:cs="Arial"/>
              </w:rPr>
            </w:pPr>
            <w:r w:rsidRPr="00950B90">
              <w:rPr>
                <w:rFonts w:ascii="Arial" w:hAnsi="Arial" w:cs="Arial"/>
              </w:rPr>
              <w:t xml:space="preserve">5 natječaja </w:t>
            </w:r>
          </w:p>
          <w:p w:rsidR="00D849AA" w:rsidRPr="00950B90" w:rsidRDefault="00EE6D95">
            <w:pPr>
              <w:rPr>
                <w:rFonts w:ascii="Arial" w:hAnsi="Arial" w:cs="Arial"/>
              </w:rPr>
            </w:pPr>
            <w:r w:rsidRPr="00950B90">
              <w:rPr>
                <w:rFonts w:ascii="Arial" w:hAnsi="Arial" w:cs="Arial"/>
              </w:rPr>
              <w:t>62,16 mil €</w:t>
            </w:r>
          </w:p>
        </w:tc>
        <w:tc>
          <w:tcPr>
            <w:tcW w:w="1486" w:type="dxa"/>
          </w:tcPr>
          <w:p w:rsidR="00D849AA" w:rsidRPr="00950B90" w:rsidRDefault="00EE6D95">
            <w:pPr>
              <w:rPr>
                <w:rFonts w:ascii="Arial" w:hAnsi="Arial" w:cs="Arial"/>
              </w:rPr>
            </w:pPr>
            <w:r w:rsidRPr="00950B90">
              <w:rPr>
                <w:rFonts w:ascii="Arial" w:hAnsi="Arial" w:cs="Arial"/>
              </w:rPr>
              <w:t xml:space="preserve">5 natječaja </w:t>
            </w:r>
          </w:p>
          <w:p w:rsidR="00D849AA" w:rsidRPr="00950B90" w:rsidRDefault="00EE6D95">
            <w:pPr>
              <w:rPr>
                <w:rFonts w:ascii="Arial" w:hAnsi="Arial" w:cs="Arial"/>
              </w:rPr>
            </w:pPr>
            <w:r w:rsidRPr="00950B90">
              <w:rPr>
                <w:rFonts w:ascii="Arial" w:hAnsi="Arial" w:cs="Arial"/>
              </w:rPr>
              <w:t>62,16 mil €</w:t>
            </w:r>
          </w:p>
        </w:tc>
      </w:tr>
      <w:tr w:rsidR="00D849AA">
        <w:trPr>
          <w:jc w:val="center"/>
        </w:trPr>
        <w:tc>
          <w:tcPr>
            <w:tcW w:w="2229" w:type="dxa"/>
          </w:tcPr>
          <w:p w:rsidR="00D849AA" w:rsidRPr="00950B90" w:rsidRDefault="00EE6D95">
            <w:pPr>
              <w:pStyle w:val="CellColumn"/>
            </w:pPr>
            <w:r w:rsidRPr="00950B90">
              <w:t>Broj i financijska vrijednost ugovorenih projekata izgradnje poslovne infrastrukture</w:t>
            </w:r>
          </w:p>
        </w:tc>
        <w:tc>
          <w:tcPr>
            <w:tcW w:w="1114" w:type="dxa"/>
          </w:tcPr>
          <w:p w:rsidR="00D849AA" w:rsidRPr="00950B90" w:rsidRDefault="00EE6D95">
            <w:pPr>
              <w:rPr>
                <w:rFonts w:ascii="Arial" w:hAnsi="Arial" w:cs="Arial"/>
              </w:rPr>
            </w:pPr>
            <w:r w:rsidRPr="00950B90">
              <w:rPr>
                <w:rFonts w:ascii="Arial" w:hAnsi="Arial" w:cs="Arial"/>
              </w:rPr>
              <w:t xml:space="preserve">Broj </w:t>
            </w:r>
          </w:p>
          <w:p w:rsidR="00D849AA" w:rsidRPr="00950B90" w:rsidRDefault="00EE6D95">
            <w:pPr>
              <w:rPr>
                <w:rFonts w:ascii="Arial" w:hAnsi="Arial" w:cs="Arial"/>
              </w:rPr>
            </w:pPr>
            <w:r w:rsidRPr="00950B90">
              <w:rPr>
                <w:rFonts w:ascii="Arial" w:hAnsi="Arial" w:cs="Arial"/>
              </w:rPr>
              <w:t>EUR</w:t>
            </w:r>
          </w:p>
        </w:tc>
        <w:tc>
          <w:tcPr>
            <w:tcW w:w="1114" w:type="dxa"/>
          </w:tcPr>
          <w:p w:rsidR="00D849AA" w:rsidRPr="00950B90" w:rsidRDefault="00EE6D95">
            <w:pPr>
              <w:rPr>
                <w:rFonts w:ascii="Arial" w:hAnsi="Arial" w:cs="Arial"/>
              </w:rPr>
            </w:pPr>
            <w:r w:rsidRPr="00950B90">
              <w:rPr>
                <w:rFonts w:ascii="Arial" w:hAnsi="Arial" w:cs="Arial"/>
              </w:rPr>
              <w:t xml:space="preserve">25 ugovora </w:t>
            </w:r>
          </w:p>
          <w:p w:rsidR="00D849AA" w:rsidRPr="00950B90" w:rsidRDefault="00EE6D95">
            <w:pPr>
              <w:rPr>
                <w:rFonts w:ascii="Arial" w:hAnsi="Arial" w:cs="Arial"/>
              </w:rPr>
            </w:pPr>
            <w:r w:rsidRPr="00950B90">
              <w:rPr>
                <w:rFonts w:ascii="Arial" w:hAnsi="Arial" w:cs="Arial"/>
              </w:rPr>
              <w:t xml:space="preserve">19 </w:t>
            </w:r>
          </w:p>
          <w:p w:rsidR="00D849AA" w:rsidRPr="00950B90" w:rsidRDefault="00EE6D95">
            <w:pPr>
              <w:rPr>
                <w:rFonts w:ascii="Arial" w:hAnsi="Arial" w:cs="Arial"/>
              </w:rPr>
            </w:pPr>
            <w:r w:rsidRPr="00950B90">
              <w:rPr>
                <w:rFonts w:ascii="Arial" w:hAnsi="Arial" w:cs="Arial"/>
              </w:rPr>
              <w:t>mil €</w:t>
            </w:r>
          </w:p>
        </w:tc>
        <w:tc>
          <w:tcPr>
            <w:tcW w:w="1486" w:type="dxa"/>
          </w:tcPr>
          <w:p w:rsidR="00D849AA" w:rsidRPr="00950B90" w:rsidRDefault="00EE6D95">
            <w:pPr>
              <w:rPr>
                <w:rFonts w:ascii="Arial" w:hAnsi="Arial" w:cs="Arial"/>
              </w:rPr>
            </w:pPr>
            <w:r w:rsidRPr="00950B90">
              <w:rPr>
                <w:rFonts w:ascii="Arial" w:hAnsi="Arial" w:cs="Arial"/>
              </w:rPr>
              <w:t xml:space="preserve">55 ugovora </w:t>
            </w:r>
          </w:p>
          <w:p w:rsidR="00D849AA" w:rsidRPr="00950B90" w:rsidRDefault="00EE6D95">
            <w:pPr>
              <w:rPr>
                <w:rFonts w:ascii="Arial" w:hAnsi="Arial" w:cs="Arial"/>
              </w:rPr>
            </w:pPr>
            <w:r w:rsidRPr="00950B90">
              <w:rPr>
                <w:rFonts w:ascii="Arial" w:hAnsi="Arial" w:cs="Arial"/>
              </w:rPr>
              <w:t>62,16 mil €</w:t>
            </w:r>
          </w:p>
        </w:tc>
        <w:tc>
          <w:tcPr>
            <w:tcW w:w="1486" w:type="dxa"/>
          </w:tcPr>
          <w:p w:rsidR="00D849AA" w:rsidRPr="00950B90" w:rsidRDefault="00EE6D95">
            <w:pPr>
              <w:rPr>
                <w:rFonts w:ascii="Arial" w:hAnsi="Arial" w:cs="Arial"/>
              </w:rPr>
            </w:pPr>
            <w:r w:rsidRPr="00950B90">
              <w:rPr>
                <w:rFonts w:ascii="Arial" w:hAnsi="Arial" w:cs="Arial"/>
              </w:rPr>
              <w:t xml:space="preserve">55 ugovora </w:t>
            </w:r>
          </w:p>
          <w:p w:rsidR="00D849AA" w:rsidRPr="00950B90" w:rsidRDefault="00EE6D95">
            <w:pPr>
              <w:rPr>
                <w:rFonts w:ascii="Arial" w:hAnsi="Arial" w:cs="Arial"/>
              </w:rPr>
            </w:pPr>
            <w:r w:rsidRPr="00950B90">
              <w:rPr>
                <w:rFonts w:ascii="Arial" w:hAnsi="Arial" w:cs="Arial"/>
              </w:rPr>
              <w:t>62,16 mil €</w:t>
            </w:r>
          </w:p>
        </w:tc>
        <w:tc>
          <w:tcPr>
            <w:tcW w:w="1486" w:type="dxa"/>
          </w:tcPr>
          <w:p w:rsidR="00D849AA" w:rsidRPr="00950B90" w:rsidRDefault="00EE6D95">
            <w:pPr>
              <w:rPr>
                <w:rFonts w:ascii="Arial" w:hAnsi="Arial" w:cs="Arial"/>
              </w:rPr>
            </w:pPr>
            <w:r w:rsidRPr="00950B90">
              <w:rPr>
                <w:rFonts w:ascii="Arial" w:hAnsi="Arial" w:cs="Arial"/>
              </w:rPr>
              <w:t xml:space="preserve">55 ugovora </w:t>
            </w:r>
          </w:p>
          <w:p w:rsidR="00D849AA" w:rsidRPr="00950B90" w:rsidRDefault="00EE6D95">
            <w:pPr>
              <w:rPr>
                <w:rFonts w:ascii="Arial" w:hAnsi="Arial" w:cs="Arial"/>
              </w:rPr>
            </w:pPr>
            <w:r w:rsidRPr="00950B90">
              <w:rPr>
                <w:rFonts w:ascii="Arial" w:hAnsi="Arial" w:cs="Arial"/>
              </w:rPr>
              <w:t>62,16 mil €</w:t>
            </w:r>
          </w:p>
        </w:tc>
      </w:tr>
      <w:tr w:rsidR="00D849AA">
        <w:trPr>
          <w:jc w:val="center"/>
        </w:trPr>
        <w:tc>
          <w:tcPr>
            <w:tcW w:w="2229" w:type="dxa"/>
          </w:tcPr>
          <w:p w:rsidR="00D849AA" w:rsidRPr="00950B90" w:rsidRDefault="00EE6D95">
            <w:pPr>
              <w:pStyle w:val="CellColumn"/>
            </w:pPr>
            <w:r w:rsidRPr="00950B90">
              <w:t>Iskorištenost alociranih sredstava</w:t>
            </w:r>
          </w:p>
        </w:tc>
        <w:tc>
          <w:tcPr>
            <w:tcW w:w="1114" w:type="dxa"/>
          </w:tcPr>
          <w:p w:rsidR="00D849AA" w:rsidRPr="00950B90" w:rsidRDefault="00EE6D95">
            <w:pPr>
              <w:rPr>
                <w:rFonts w:ascii="Arial" w:hAnsi="Arial" w:cs="Arial"/>
              </w:rPr>
            </w:pPr>
            <w:r w:rsidRPr="00950B90">
              <w:rPr>
                <w:rFonts w:ascii="Arial" w:hAnsi="Arial" w:cs="Arial"/>
              </w:rPr>
              <w:t>%</w:t>
            </w:r>
          </w:p>
        </w:tc>
        <w:tc>
          <w:tcPr>
            <w:tcW w:w="1114" w:type="dxa"/>
          </w:tcPr>
          <w:p w:rsidR="00D849AA" w:rsidRPr="00950B90" w:rsidRDefault="00EE6D95">
            <w:pPr>
              <w:rPr>
                <w:rFonts w:ascii="Arial" w:hAnsi="Arial" w:cs="Arial"/>
              </w:rPr>
            </w:pPr>
            <w:r w:rsidRPr="00950B90">
              <w:rPr>
                <w:rFonts w:ascii="Arial" w:hAnsi="Arial" w:cs="Arial"/>
              </w:rPr>
              <w:t>14,55</w:t>
            </w:r>
          </w:p>
        </w:tc>
        <w:tc>
          <w:tcPr>
            <w:tcW w:w="1486" w:type="dxa"/>
          </w:tcPr>
          <w:p w:rsidR="00D849AA" w:rsidRPr="00950B90" w:rsidRDefault="00EE6D95">
            <w:pPr>
              <w:rPr>
                <w:rFonts w:ascii="Arial" w:hAnsi="Arial" w:cs="Arial"/>
              </w:rPr>
            </w:pPr>
            <w:r w:rsidRPr="00950B90">
              <w:rPr>
                <w:rFonts w:ascii="Arial" w:hAnsi="Arial" w:cs="Arial"/>
              </w:rPr>
              <w:t>25</w:t>
            </w:r>
          </w:p>
        </w:tc>
        <w:tc>
          <w:tcPr>
            <w:tcW w:w="1486" w:type="dxa"/>
          </w:tcPr>
          <w:p w:rsidR="00D849AA" w:rsidRPr="00950B90" w:rsidRDefault="00EE6D95">
            <w:pPr>
              <w:rPr>
                <w:rFonts w:ascii="Arial" w:hAnsi="Arial" w:cs="Arial"/>
              </w:rPr>
            </w:pPr>
            <w:r w:rsidRPr="00950B90">
              <w:rPr>
                <w:rFonts w:ascii="Arial" w:hAnsi="Arial" w:cs="Arial"/>
              </w:rPr>
              <w:t>50</w:t>
            </w:r>
          </w:p>
        </w:tc>
        <w:tc>
          <w:tcPr>
            <w:tcW w:w="1486" w:type="dxa"/>
          </w:tcPr>
          <w:p w:rsidR="00D849AA" w:rsidRPr="00950B90" w:rsidRDefault="00EE6D95">
            <w:pPr>
              <w:rPr>
                <w:rFonts w:ascii="Arial" w:hAnsi="Arial" w:cs="Arial"/>
              </w:rPr>
            </w:pPr>
            <w:r w:rsidRPr="00950B90">
              <w:rPr>
                <w:rFonts w:ascii="Arial" w:hAnsi="Arial" w:cs="Arial"/>
              </w:rPr>
              <w:t>90</w:t>
            </w:r>
          </w:p>
        </w:tc>
      </w:tr>
    </w:tbl>
    <w:p w:rsidR="00D849AA" w:rsidRDefault="00D849AA">
      <w:pPr>
        <w:jc w:val="left"/>
      </w:pPr>
    </w:p>
    <w:p w:rsidR="00D849AA" w:rsidRDefault="00EE6D95">
      <w:pPr>
        <w:pStyle w:val="Naslov6"/>
      </w:pPr>
      <w:r>
        <w:t>K821021 INTEGRALNI RAZVOJ LOKALNE ZAJEDNICE EIB III</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K821021</w:t>
            </w:r>
          </w:p>
        </w:tc>
        <w:tc>
          <w:tcPr>
            <w:tcW w:w="1486" w:type="dxa"/>
          </w:tcPr>
          <w:p w:rsidR="00D849AA" w:rsidRDefault="00EE6D95">
            <w:r>
              <w:t>50.000.000</w:t>
            </w:r>
          </w:p>
        </w:tc>
        <w:tc>
          <w:tcPr>
            <w:tcW w:w="1486" w:type="dxa"/>
          </w:tcPr>
          <w:p w:rsidR="00D849AA" w:rsidRDefault="00EE6D95">
            <w:r>
              <w:t>29.384.340</w:t>
            </w:r>
          </w:p>
        </w:tc>
        <w:tc>
          <w:tcPr>
            <w:tcW w:w="1486" w:type="dxa"/>
          </w:tcPr>
          <w:p w:rsidR="00D849AA" w:rsidRDefault="00EE6D95">
            <w:r>
              <w:t>117.185.689</w:t>
            </w:r>
          </w:p>
        </w:tc>
        <w:tc>
          <w:tcPr>
            <w:tcW w:w="1486" w:type="dxa"/>
          </w:tcPr>
          <w:p w:rsidR="00D849AA" w:rsidRDefault="00EE6D95">
            <w:r>
              <w:t>33.185.117</w:t>
            </w:r>
          </w:p>
        </w:tc>
        <w:tc>
          <w:tcPr>
            <w:tcW w:w="1486" w:type="dxa"/>
          </w:tcPr>
          <w:p w:rsidR="00D849AA" w:rsidRDefault="00EE6D95">
            <w:r>
              <w:t>58,8</w:t>
            </w:r>
          </w:p>
        </w:tc>
      </w:tr>
    </w:tbl>
    <w:p w:rsidR="00D849AA" w:rsidRDefault="00D849AA">
      <w:pPr>
        <w:jc w:val="left"/>
      </w:pPr>
    </w:p>
    <w:p w:rsidR="00D849AA" w:rsidRDefault="00EE6D95">
      <w:pPr>
        <w:pStyle w:val="Normal6"/>
      </w:pPr>
      <w:r>
        <w:t xml:space="preserve">Provedba Projekta EIB III usmjerena je prema smanjenju neuravnoteženosti u razvoju pojedinih područja i pripomoći stvaranju preduvjeta za održivi gospodarski i društveni razvoj te integralno upravljanje razvojem lokalne zajednice. Sveukupni razvojni cilj Projekta je poboljšati životne standarde zajednica putem izgradnje, nadogradnje, sanacije i rekonstrukcije objekata kroz sljedeće komponente projekta: </w:t>
      </w:r>
    </w:p>
    <w:p w:rsidR="00D849AA" w:rsidRDefault="00EE6D95">
      <w:pPr>
        <w:pStyle w:val="Normal6"/>
      </w:pPr>
      <w:r>
        <w:t xml:space="preserve">a) prometnu infrastrukturu (nerazvrstane ceste, lokalne ceste, županijske ceste u naseljima, nogostupi, pješačke staze, mostovi, javne površine i parkirališta, prometna infrastruktura u gospodarskim zonama i slično); </w:t>
      </w:r>
    </w:p>
    <w:p w:rsidR="00D849AA" w:rsidRDefault="00EE6D95">
      <w:pPr>
        <w:pStyle w:val="Normal6"/>
      </w:pPr>
      <w:r>
        <w:t xml:space="preserve">b) elektro-infrastrukturu (niskonaponske mreže, trafo-stanica, javna rasvjeta, visokonaponska mreža, elektro-infrastruktura u gospodarskim zonama); </w:t>
      </w:r>
    </w:p>
    <w:p w:rsidR="00D849AA" w:rsidRDefault="00EE6D95">
      <w:pPr>
        <w:pStyle w:val="Normal6"/>
      </w:pPr>
      <w:r>
        <w:t xml:space="preserve">c) socijalnu infrastrukturu (objekti predškolskog odgoja, domovi za starije i nemoćne, športske dvorane, igrališta, domovi kulture, domovi zdravlja i ambulante, objekti lokalne samouprave, tržnice, kolodvori, muzeji, knjižnice);  </w:t>
      </w:r>
    </w:p>
    <w:p w:rsidR="00D849AA" w:rsidRDefault="00EE6D95">
      <w:pPr>
        <w:pStyle w:val="Normal6"/>
      </w:pPr>
      <w:r>
        <w:t xml:space="preserve">d) komponentu zaštite okoliša (odlagališta čvrstog otpada, objekti za reciklažu otpada. </w:t>
      </w:r>
    </w:p>
    <w:p w:rsidR="00D849AA" w:rsidRDefault="00EE6D95">
      <w:pPr>
        <w:pStyle w:val="Normal6"/>
      </w:pPr>
      <w:r>
        <w:t xml:space="preserve">Za realizaciju ove aktivnosti koristit će se dostupna sredstva iz domaćih izvora (državni proračun i proračuni JLS) i sredstva zajma EIB III. Ukupni troškovi povezani s Projektom procijenjeni su na 67,8 milijuna EUR-a. Planirano razdoblje </w:t>
      </w:r>
      <w:r w:rsidR="00950B90">
        <w:t>provedbe Projekta je  2012.- 2015.</w:t>
      </w:r>
      <w:r>
        <w:t>, a područje implementacije je područje trinaest kontinentalnih županija.</w:t>
      </w:r>
    </w:p>
    <w:p w:rsidR="00337A23" w:rsidRDefault="00337A23">
      <w:pPr>
        <w:pStyle w:val="Normal6"/>
      </w:pPr>
    </w:p>
    <w:p w:rsidR="00337A23" w:rsidRDefault="00337A23">
      <w:pPr>
        <w:pStyle w:val="Normal6"/>
      </w:pPr>
    </w:p>
    <w:p w:rsidR="00337A23" w:rsidRDefault="00337A23">
      <w:pPr>
        <w:pStyle w:val="Normal6"/>
      </w:pPr>
    </w:p>
    <w:p w:rsidR="00D849AA" w:rsidRDefault="00EE6D95">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950B90" w:rsidRDefault="00EE6D95">
            <w:pPr>
              <w:rPr>
                <w:rFonts w:ascii="Arial" w:hAnsi="Arial" w:cs="Arial"/>
              </w:rPr>
            </w:pPr>
            <w:r w:rsidRPr="00950B90">
              <w:rPr>
                <w:rFonts w:ascii="Arial" w:hAnsi="Arial" w:cs="Arial"/>
              </w:rPr>
              <w:t>Pokazatelj rezultata</w:t>
            </w:r>
          </w:p>
        </w:tc>
        <w:tc>
          <w:tcPr>
            <w:tcW w:w="1114" w:type="dxa"/>
            <w:shd w:val="clear" w:color="auto" w:fill="B5C0D8"/>
          </w:tcPr>
          <w:p w:rsidR="00D849AA" w:rsidRPr="00950B90" w:rsidRDefault="00EE6D95">
            <w:pPr>
              <w:pStyle w:val="CellHeader"/>
            </w:pPr>
            <w:r w:rsidRPr="00950B90">
              <w:t>Jedinica</w:t>
            </w:r>
          </w:p>
        </w:tc>
        <w:tc>
          <w:tcPr>
            <w:tcW w:w="1114" w:type="dxa"/>
            <w:shd w:val="clear" w:color="auto" w:fill="B5C0D8"/>
          </w:tcPr>
          <w:p w:rsidR="00D849AA" w:rsidRPr="00950B90" w:rsidRDefault="00EE6D95">
            <w:pPr>
              <w:pStyle w:val="CellHeader"/>
            </w:pPr>
            <w:r w:rsidRPr="00950B90">
              <w:t>Polazna vrijednost</w:t>
            </w:r>
          </w:p>
        </w:tc>
        <w:tc>
          <w:tcPr>
            <w:tcW w:w="1486" w:type="dxa"/>
            <w:shd w:val="clear" w:color="auto" w:fill="B5C0D8"/>
          </w:tcPr>
          <w:p w:rsidR="00D849AA" w:rsidRPr="00950B90" w:rsidRDefault="00EE6D95">
            <w:pPr>
              <w:pStyle w:val="CellHeader"/>
            </w:pPr>
            <w:r w:rsidRPr="00950B90">
              <w:t>Ciljana vrijednost (2014.)</w:t>
            </w:r>
          </w:p>
        </w:tc>
        <w:tc>
          <w:tcPr>
            <w:tcW w:w="1486" w:type="dxa"/>
            <w:shd w:val="clear" w:color="auto" w:fill="B5C0D8"/>
          </w:tcPr>
          <w:p w:rsidR="00D849AA" w:rsidRPr="00950B90" w:rsidRDefault="00EE6D95">
            <w:pPr>
              <w:pStyle w:val="CellHeader"/>
            </w:pPr>
            <w:r w:rsidRPr="00950B90">
              <w:t>Ciljana vrijednost (2015.)</w:t>
            </w:r>
          </w:p>
        </w:tc>
        <w:tc>
          <w:tcPr>
            <w:tcW w:w="1486" w:type="dxa"/>
            <w:shd w:val="clear" w:color="auto" w:fill="B5C0D8"/>
          </w:tcPr>
          <w:p w:rsidR="00D849AA" w:rsidRPr="00950B90" w:rsidRDefault="00EE6D95">
            <w:pPr>
              <w:pStyle w:val="CellHeader"/>
            </w:pPr>
            <w:r w:rsidRPr="00950B90">
              <w:t>Ciljana vrijednost (2016.)</w:t>
            </w:r>
          </w:p>
        </w:tc>
      </w:tr>
      <w:tr w:rsidR="00D849AA">
        <w:trPr>
          <w:jc w:val="center"/>
        </w:trPr>
        <w:tc>
          <w:tcPr>
            <w:tcW w:w="2229" w:type="dxa"/>
          </w:tcPr>
          <w:p w:rsidR="00D849AA" w:rsidRPr="00950B90" w:rsidRDefault="00EE6D95">
            <w:pPr>
              <w:pStyle w:val="CellColumn"/>
            </w:pPr>
            <w:r w:rsidRPr="00950B90">
              <w:t>Povećanje broja izgrađenih objekata prometne i elektro-infrastrukture te zaštite okoliša</w:t>
            </w:r>
          </w:p>
        </w:tc>
        <w:tc>
          <w:tcPr>
            <w:tcW w:w="1114" w:type="dxa"/>
          </w:tcPr>
          <w:p w:rsidR="00D849AA" w:rsidRPr="00950B90" w:rsidRDefault="00EE6D95">
            <w:pPr>
              <w:rPr>
                <w:rFonts w:ascii="Arial" w:hAnsi="Arial" w:cs="Arial"/>
              </w:rPr>
            </w:pPr>
            <w:r w:rsidRPr="00950B90">
              <w:rPr>
                <w:rFonts w:ascii="Arial" w:hAnsi="Arial" w:cs="Arial"/>
              </w:rPr>
              <w:t>broj</w:t>
            </w:r>
          </w:p>
        </w:tc>
        <w:tc>
          <w:tcPr>
            <w:tcW w:w="1114" w:type="dxa"/>
          </w:tcPr>
          <w:p w:rsidR="00D849AA" w:rsidRPr="00950B90" w:rsidRDefault="00EE6D95">
            <w:pPr>
              <w:rPr>
                <w:rFonts w:ascii="Arial" w:hAnsi="Arial" w:cs="Arial"/>
              </w:rPr>
            </w:pPr>
            <w:r w:rsidRPr="00950B90">
              <w:rPr>
                <w:rFonts w:ascii="Arial" w:hAnsi="Arial" w:cs="Arial"/>
              </w:rPr>
              <w:t>0</w:t>
            </w:r>
          </w:p>
        </w:tc>
        <w:tc>
          <w:tcPr>
            <w:tcW w:w="1486" w:type="dxa"/>
          </w:tcPr>
          <w:p w:rsidR="00D849AA" w:rsidRPr="00950B90" w:rsidRDefault="00EE6D95">
            <w:pPr>
              <w:rPr>
                <w:rFonts w:ascii="Arial" w:hAnsi="Arial" w:cs="Arial"/>
              </w:rPr>
            </w:pPr>
            <w:r w:rsidRPr="00950B90">
              <w:rPr>
                <w:rFonts w:ascii="Arial" w:hAnsi="Arial" w:cs="Arial"/>
              </w:rPr>
              <w:t>30</w:t>
            </w:r>
          </w:p>
        </w:tc>
        <w:tc>
          <w:tcPr>
            <w:tcW w:w="1486" w:type="dxa"/>
          </w:tcPr>
          <w:p w:rsidR="00D849AA" w:rsidRPr="00950B90" w:rsidRDefault="00EE6D95">
            <w:pPr>
              <w:rPr>
                <w:rFonts w:ascii="Arial" w:hAnsi="Arial" w:cs="Arial"/>
              </w:rPr>
            </w:pPr>
            <w:r w:rsidRPr="00950B90">
              <w:rPr>
                <w:rFonts w:ascii="Arial" w:hAnsi="Arial" w:cs="Arial"/>
              </w:rPr>
              <w:t>60</w:t>
            </w:r>
          </w:p>
        </w:tc>
        <w:tc>
          <w:tcPr>
            <w:tcW w:w="1486" w:type="dxa"/>
          </w:tcPr>
          <w:p w:rsidR="00D849AA" w:rsidRPr="00950B90" w:rsidRDefault="00EE6D95">
            <w:pPr>
              <w:rPr>
                <w:rFonts w:ascii="Arial" w:hAnsi="Arial" w:cs="Arial"/>
              </w:rPr>
            </w:pPr>
            <w:r w:rsidRPr="00950B90">
              <w:rPr>
                <w:rFonts w:ascii="Arial" w:hAnsi="Arial" w:cs="Arial"/>
              </w:rPr>
              <w:t>65</w:t>
            </w:r>
          </w:p>
        </w:tc>
      </w:tr>
      <w:tr w:rsidR="00D849AA">
        <w:trPr>
          <w:jc w:val="center"/>
        </w:trPr>
        <w:tc>
          <w:tcPr>
            <w:tcW w:w="2229" w:type="dxa"/>
          </w:tcPr>
          <w:p w:rsidR="00D849AA" w:rsidRPr="00950B90" w:rsidRDefault="00EE6D95">
            <w:pPr>
              <w:pStyle w:val="CellColumn"/>
            </w:pPr>
            <w:r w:rsidRPr="00950B90">
              <w:t>Povećanje broja izgrađenih objekata socijalne infrastrukture</w:t>
            </w:r>
          </w:p>
        </w:tc>
        <w:tc>
          <w:tcPr>
            <w:tcW w:w="1114" w:type="dxa"/>
          </w:tcPr>
          <w:p w:rsidR="00D849AA" w:rsidRPr="00950B90" w:rsidRDefault="00EE6D95">
            <w:pPr>
              <w:rPr>
                <w:rFonts w:ascii="Arial" w:hAnsi="Arial" w:cs="Arial"/>
              </w:rPr>
            </w:pPr>
            <w:r w:rsidRPr="00950B90">
              <w:rPr>
                <w:rFonts w:ascii="Arial" w:hAnsi="Arial" w:cs="Arial"/>
              </w:rPr>
              <w:t>broj</w:t>
            </w:r>
          </w:p>
        </w:tc>
        <w:tc>
          <w:tcPr>
            <w:tcW w:w="1114" w:type="dxa"/>
          </w:tcPr>
          <w:p w:rsidR="00D849AA" w:rsidRPr="00950B90" w:rsidRDefault="00EE6D95">
            <w:pPr>
              <w:rPr>
                <w:rFonts w:ascii="Arial" w:hAnsi="Arial" w:cs="Arial"/>
              </w:rPr>
            </w:pPr>
            <w:r w:rsidRPr="00950B90">
              <w:rPr>
                <w:rFonts w:ascii="Arial" w:hAnsi="Arial" w:cs="Arial"/>
              </w:rPr>
              <w:t>0</w:t>
            </w:r>
          </w:p>
        </w:tc>
        <w:tc>
          <w:tcPr>
            <w:tcW w:w="1486" w:type="dxa"/>
          </w:tcPr>
          <w:p w:rsidR="00D849AA" w:rsidRPr="00950B90" w:rsidRDefault="00EE6D95">
            <w:pPr>
              <w:rPr>
                <w:rFonts w:ascii="Arial" w:hAnsi="Arial" w:cs="Arial"/>
              </w:rPr>
            </w:pPr>
            <w:r w:rsidRPr="00950B90">
              <w:rPr>
                <w:rFonts w:ascii="Arial" w:hAnsi="Arial" w:cs="Arial"/>
              </w:rPr>
              <w:t>20</w:t>
            </w:r>
          </w:p>
        </w:tc>
        <w:tc>
          <w:tcPr>
            <w:tcW w:w="1486" w:type="dxa"/>
          </w:tcPr>
          <w:p w:rsidR="00D849AA" w:rsidRPr="00950B90" w:rsidRDefault="00EE6D95">
            <w:pPr>
              <w:rPr>
                <w:rFonts w:ascii="Arial" w:hAnsi="Arial" w:cs="Arial"/>
              </w:rPr>
            </w:pPr>
            <w:r w:rsidRPr="00950B90">
              <w:rPr>
                <w:rFonts w:ascii="Arial" w:hAnsi="Arial" w:cs="Arial"/>
              </w:rPr>
              <w:t>40</w:t>
            </w:r>
          </w:p>
        </w:tc>
        <w:tc>
          <w:tcPr>
            <w:tcW w:w="1486" w:type="dxa"/>
          </w:tcPr>
          <w:p w:rsidR="00D849AA" w:rsidRPr="00950B90" w:rsidRDefault="00EE6D95">
            <w:pPr>
              <w:rPr>
                <w:rFonts w:ascii="Arial" w:hAnsi="Arial" w:cs="Arial"/>
              </w:rPr>
            </w:pPr>
            <w:r w:rsidRPr="00950B90">
              <w:rPr>
                <w:rFonts w:ascii="Arial" w:hAnsi="Arial" w:cs="Arial"/>
              </w:rPr>
              <w:t>45</w:t>
            </w:r>
          </w:p>
        </w:tc>
      </w:tr>
    </w:tbl>
    <w:p w:rsidR="00D849AA" w:rsidRDefault="00D849AA">
      <w:pPr>
        <w:jc w:val="left"/>
      </w:pPr>
    </w:p>
    <w:p w:rsidR="00D849AA" w:rsidRDefault="00EE6D95">
      <w:pPr>
        <w:pStyle w:val="Naslov6"/>
      </w:pPr>
      <w:r>
        <w:t>T570346 PROGRAM INTEGRALNOG RAZVOJA LOKALNE ZAJEDNICE (EIB)</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950B90" w:rsidRDefault="00EE6D95">
            <w:pPr>
              <w:pStyle w:val="CellHeader"/>
            </w:pPr>
            <w:r w:rsidRPr="00950B90">
              <w:t>Naziv aktivnosti</w:t>
            </w:r>
          </w:p>
        </w:tc>
        <w:tc>
          <w:tcPr>
            <w:tcW w:w="1486" w:type="dxa"/>
            <w:shd w:val="clear" w:color="auto" w:fill="B5C0D8"/>
          </w:tcPr>
          <w:p w:rsidR="00D849AA" w:rsidRPr="00950B90" w:rsidRDefault="00EE6D95">
            <w:pPr>
              <w:pStyle w:val="CellHeader"/>
            </w:pPr>
            <w:r w:rsidRPr="00950B90">
              <w:t>Plan 2013.</w:t>
            </w:r>
          </w:p>
        </w:tc>
        <w:tc>
          <w:tcPr>
            <w:tcW w:w="1486" w:type="dxa"/>
            <w:shd w:val="clear" w:color="auto" w:fill="B5C0D8"/>
          </w:tcPr>
          <w:p w:rsidR="00D849AA" w:rsidRPr="00950B90" w:rsidRDefault="00EE6D95">
            <w:pPr>
              <w:pStyle w:val="CellHeader"/>
            </w:pPr>
            <w:r w:rsidRPr="00950B90">
              <w:t>Plan 2014.</w:t>
            </w:r>
          </w:p>
        </w:tc>
        <w:tc>
          <w:tcPr>
            <w:tcW w:w="1486" w:type="dxa"/>
            <w:shd w:val="clear" w:color="auto" w:fill="B5C0D8"/>
          </w:tcPr>
          <w:p w:rsidR="00D849AA" w:rsidRPr="00950B90" w:rsidRDefault="00EE6D95">
            <w:pPr>
              <w:pStyle w:val="CellHeader"/>
            </w:pPr>
            <w:r w:rsidRPr="00950B90">
              <w:t>Plan 2015.</w:t>
            </w:r>
          </w:p>
        </w:tc>
        <w:tc>
          <w:tcPr>
            <w:tcW w:w="1486" w:type="dxa"/>
            <w:shd w:val="clear" w:color="auto" w:fill="B5C0D8"/>
          </w:tcPr>
          <w:p w:rsidR="00D849AA" w:rsidRPr="00950B90" w:rsidRDefault="00EE6D95">
            <w:pPr>
              <w:pStyle w:val="CellHeader"/>
            </w:pPr>
            <w:r w:rsidRPr="00950B90">
              <w:t>Plan 2016.</w:t>
            </w:r>
          </w:p>
        </w:tc>
        <w:tc>
          <w:tcPr>
            <w:tcW w:w="1486" w:type="dxa"/>
            <w:shd w:val="clear" w:color="auto" w:fill="B5C0D8"/>
          </w:tcPr>
          <w:p w:rsidR="00D849AA" w:rsidRPr="00950B90" w:rsidRDefault="00EE6D95">
            <w:pPr>
              <w:pStyle w:val="CellHeader"/>
            </w:pPr>
            <w:r w:rsidRPr="00950B90">
              <w:t>Indeks 2014/2013</w:t>
            </w:r>
          </w:p>
        </w:tc>
      </w:tr>
      <w:tr w:rsidR="00D849AA">
        <w:trPr>
          <w:jc w:val="center"/>
        </w:trPr>
        <w:tc>
          <w:tcPr>
            <w:tcW w:w="1486" w:type="dxa"/>
          </w:tcPr>
          <w:p w:rsidR="00D849AA" w:rsidRPr="00950B90" w:rsidRDefault="00EE6D95">
            <w:pPr>
              <w:pStyle w:val="CellColumn"/>
            </w:pPr>
            <w:r w:rsidRPr="00950B90">
              <w:t>T570346</w:t>
            </w:r>
          </w:p>
        </w:tc>
        <w:tc>
          <w:tcPr>
            <w:tcW w:w="1486" w:type="dxa"/>
          </w:tcPr>
          <w:p w:rsidR="00D849AA" w:rsidRPr="00950B90" w:rsidRDefault="00EE6D95">
            <w:pPr>
              <w:rPr>
                <w:rFonts w:ascii="Arial" w:hAnsi="Arial" w:cs="Arial"/>
              </w:rPr>
            </w:pPr>
            <w:r w:rsidRPr="00950B90">
              <w:rPr>
                <w:rFonts w:ascii="Arial" w:hAnsi="Arial" w:cs="Arial"/>
              </w:rPr>
              <w:t>153.000.000</w:t>
            </w:r>
          </w:p>
        </w:tc>
        <w:tc>
          <w:tcPr>
            <w:tcW w:w="1486" w:type="dxa"/>
          </w:tcPr>
          <w:p w:rsidR="00D849AA" w:rsidRPr="00950B90" w:rsidRDefault="00EE6D95">
            <w:pPr>
              <w:rPr>
                <w:rFonts w:ascii="Arial" w:hAnsi="Arial" w:cs="Arial"/>
              </w:rPr>
            </w:pPr>
            <w:r w:rsidRPr="00950B90">
              <w:rPr>
                <w:rFonts w:ascii="Arial" w:hAnsi="Arial" w:cs="Arial"/>
              </w:rPr>
              <w:t>65.000.000</w:t>
            </w:r>
          </w:p>
        </w:tc>
        <w:tc>
          <w:tcPr>
            <w:tcW w:w="1486" w:type="dxa"/>
          </w:tcPr>
          <w:p w:rsidR="00D849AA" w:rsidRPr="00950B90" w:rsidRDefault="00EE6D95">
            <w:pPr>
              <w:rPr>
                <w:rFonts w:ascii="Arial" w:hAnsi="Arial" w:cs="Arial"/>
              </w:rPr>
            </w:pPr>
            <w:r w:rsidRPr="00950B90">
              <w:rPr>
                <w:rFonts w:ascii="Arial" w:hAnsi="Arial" w:cs="Arial"/>
              </w:rPr>
              <w:t>00</w:t>
            </w:r>
          </w:p>
        </w:tc>
        <w:tc>
          <w:tcPr>
            <w:tcW w:w="1486" w:type="dxa"/>
          </w:tcPr>
          <w:p w:rsidR="00D849AA" w:rsidRPr="00950B90" w:rsidRDefault="00EE6D95">
            <w:pPr>
              <w:rPr>
                <w:rFonts w:ascii="Arial" w:hAnsi="Arial" w:cs="Arial"/>
              </w:rPr>
            </w:pPr>
            <w:r w:rsidRPr="00950B90">
              <w:rPr>
                <w:rFonts w:ascii="Arial" w:hAnsi="Arial" w:cs="Arial"/>
              </w:rPr>
              <w:t>00</w:t>
            </w:r>
          </w:p>
        </w:tc>
        <w:tc>
          <w:tcPr>
            <w:tcW w:w="1486" w:type="dxa"/>
          </w:tcPr>
          <w:p w:rsidR="00D849AA" w:rsidRPr="00950B90" w:rsidRDefault="00EE6D95">
            <w:pPr>
              <w:rPr>
                <w:rFonts w:ascii="Arial" w:hAnsi="Arial" w:cs="Arial"/>
              </w:rPr>
            </w:pPr>
            <w:r w:rsidRPr="00950B90">
              <w:rPr>
                <w:rFonts w:ascii="Arial" w:hAnsi="Arial" w:cs="Arial"/>
              </w:rPr>
              <w:t>42,5</w:t>
            </w:r>
          </w:p>
        </w:tc>
      </w:tr>
    </w:tbl>
    <w:p w:rsidR="00D849AA" w:rsidRDefault="00D849AA">
      <w:pPr>
        <w:jc w:val="left"/>
      </w:pPr>
    </w:p>
    <w:p w:rsidR="00D849AA" w:rsidRDefault="00EE6D95">
      <w:pPr>
        <w:pStyle w:val="Normal6"/>
      </w:pPr>
      <w:r>
        <w:t xml:space="preserve">Projekt EIB II provodi se od 2005. godine, te se njime financira obnova, izgradnja, nadogradnja i rekonstrukcija komunalne i socijalne infrastrukture u JLS-ima, u prvom redu potprojekata iz područja vodoopskrbe i odvodnje, lokalnih cesta, školskih objekata i dječjih vrtića. Cilj  je povećati kvalitetu i dostupnost komunalnih usluga, obrazovnog standarda, zdravstvene zaštite, skrbi o posebno ranjivim skupinama (djeca,stariji), smanjiti neuravnoteženost u razvoju pojedinih područja i stvoriti preduvjete za održivi gospodarski i društveni razvoj. U realizaciji ovog Programa sudjeluje i 293 jedinica lokalne samouprave sa područja cijele Republike Hrvatske, a sam portfelj potprojekata čini 566 potprojekata. Potprojekti se realiziraju kroz dvije osnovne komponente komunalnu i socijalnu.  </w:t>
      </w:r>
    </w:p>
    <w:p w:rsidR="00D849AA" w:rsidRDefault="00EE6D95">
      <w:pPr>
        <w:pStyle w:val="Normal6"/>
      </w:pPr>
      <w:r>
        <w:t xml:space="preserve">U komponenti komunalne infrastrukture prioriteti se daju objektima lokalnih i nerazvrstanih cesta, objektima vodoopskrbe i odvodnje, nogostupima i javnoj rasvjeti. Cilj realizacije potprojekata komunalne infrastrukture je prije svega unaprijediti život na području pojedinih naselja, te stvoriti preduvjete za gospodarski i društveni razvoj. Izgradnja i sanacija komunalne infrastrukture omogućava brži i jednostavniji protok ljudi, roba i usluga, povećanje stupanja sigurnosti svih sudionika u prometu, povećanje nivoa komunalnih usluga i broj komunalnih priključaka, bolju iskorištenost prirodnih resursa uz očuvanje prirodnog okoliša. Komponenta komunalne infrastrukture sadrži 389 potprojekata.  </w:t>
      </w:r>
    </w:p>
    <w:p w:rsidR="00D849AA" w:rsidRDefault="00EE6D95">
      <w:pPr>
        <w:pStyle w:val="Normal6"/>
      </w:pPr>
      <w:r>
        <w:t xml:space="preserve">Komponenta socijalne infrastrukture obuhvaća školske objekte (škole, školsko-špotrske dvorane, đački domovi), dječje vrtiće i jaslice, objekte javne namjene kao što su domovi zdravlja i ambulante, domovi za starije i nemoćne, te ostale objekte javne namjene koji pridonose jačanju socijalne kohezije (domovi kulture, knjižnice). Realizacija potprojekta iz socijalne infrastrukture podići će obrazovni standard, povećati skrb o djeci i starijima, a prije svega unaprijediti i poboljšati način života lokalnog stanovništva. Komponenta socijalne infrastrukture sadrži 177 potprojekata. </w:t>
      </w:r>
    </w:p>
    <w:p w:rsidR="00D849AA" w:rsidRDefault="00EE6D95">
      <w:pPr>
        <w:pStyle w:val="Normal6"/>
      </w:pPr>
      <w:r>
        <w:lastRenderedPageBreak/>
        <w:t xml:space="preserve">Za realizaciju ove aktivnosti koristiti će se dostupna sredstva iz domaćih izvora (državni proračun i proračuni JLS) i sredstva zajma EIB II.  </w:t>
      </w:r>
    </w:p>
    <w:p w:rsidR="00D849AA" w:rsidRDefault="00EE6D95">
      <w:pPr>
        <w:pStyle w:val="Normal6"/>
      </w:pPr>
      <w:r>
        <w:t>Zbog problema kod izvođenja radova odnosno problema u poslovanju izvoditelja radova (problemi s likvidnošću, predstečajne nagodbe) uslijed čega su uslijedili raskidi ugovora te nova pokretanja postupaka javne nabave u 2013. godini, sva osigurana proračunska sredstva za 2013. godinu nisu iskorištena, te ni Projekt neće biti okončan u 2013. godini kao što je bilo planirano. Stoga je potrebno osigurati sredstva u 2014. godini u iznosu od 65.000.000,00 kn za okončanje Projekta.</w:t>
      </w:r>
    </w:p>
    <w:p w:rsidR="00337A23" w:rsidRDefault="00337A23" w:rsidP="00337A23">
      <w:pPr>
        <w:pStyle w:val="Naslov4"/>
      </w:pPr>
      <w:r>
        <w:t>OBRAZLOŽENJE PROGRAMA</w:t>
      </w:r>
    </w:p>
    <w:p w:rsidR="00D849AA" w:rsidRDefault="00EE6D95">
      <w:pPr>
        <w:pStyle w:val="Naslov5"/>
      </w:pPr>
      <w:r>
        <w:t>2903 PREKOGRANIČNA I TRANSNACIONALNA SURADNJA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950B90" w:rsidRDefault="00D849AA">
            <w:pPr>
              <w:pStyle w:val="CellHeader"/>
            </w:pPr>
          </w:p>
        </w:tc>
        <w:tc>
          <w:tcPr>
            <w:tcW w:w="1486" w:type="dxa"/>
            <w:shd w:val="clear" w:color="auto" w:fill="B5C0D8"/>
          </w:tcPr>
          <w:p w:rsidR="00D849AA" w:rsidRPr="00950B90" w:rsidRDefault="00EE6D95">
            <w:pPr>
              <w:pStyle w:val="CellHeader"/>
            </w:pPr>
            <w:r w:rsidRPr="00950B90">
              <w:t>Plan 2013.</w:t>
            </w:r>
          </w:p>
        </w:tc>
        <w:tc>
          <w:tcPr>
            <w:tcW w:w="1486" w:type="dxa"/>
            <w:shd w:val="clear" w:color="auto" w:fill="B5C0D8"/>
          </w:tcPr>
          <w:p w:rsidR="00D849AA" w:rsidRPr="00950B90" w:rsidRDefault="00EE6D95">
            <w:pPr>
              <w:pStyle w:val="CellHeader"/>
            </w:pPr>
            <w:r w:rsidRPr="00950B90">
              <w:t>Plan 2014.</w:t>
            </w:r>
          </w:p>
        </w:tc>
        <w:tc>
          <w:tcPr>
            <w:tcW w:w="1486" w:type="dxa"/>
            <w:shd w:val="clear" w:color="auto" w:fill="B5C0D8"/>
          </w:tcPr>
          <w:p w:rsidR="00D849AA" w:rsidRPr="00950B90" w:rsidRDefault="00EE6D95">
            <w:pPr>
              <w:pStyle w:val="CellHeader"/>
            </w:pPr>
            <w:r w:rsidRPr="00950B90">
              <w:t>Plan 2015.</w:t>
            </w:r>
          </w:p>
        </w:tc>
        <w:tc>
          <w:tcPr>
            <w:tcW w:w="1486" w:type="dxa"/>
            <w:shd w:val="clear" w:color="auto" w:fill="B5C0D8"/>
          </w:tcPr>
          <w:p w:rsidR="00D849AA" w:rsidRPr="00950B90" w:rsidRDefault="00EE6D95">
            <w:pPr>
              <w:pStyle w:val="CellHeader"/>
            </w:pPr>
            <w:r w:rsidRPr="00950B90">
              <w:t>Plan 2016.</w:t>
            </w:r>
          </w:p>
        </w:tc>
        <w:tc>
          <w:tcPr>
            <w:tcW w:w="1486" w:type="dxa"/>
            <w:shd w:val="clear" w:color="auto" w:fill="B5C0D8"/>
          </w:tcPr>
          <w:p w:rsidR="00D849AA" w:rsidRPr="00950B90" w:rsidRDefault="00EE6D95">
            <w:pPr>
              <w:pStyle w:val="CellHeader"/>
            </w:pPr>
            <w:r w:rsidRPr="00950B90">
              <w:t>Indeks 2014/2013</w:t>
            </w:r>
          </w:p>
        </w:tc>
      </w:tr>
      <w:tr w:rsidR="00D849AA">
        <w:trPr>
          <w:jc w:val="center"/>
        </w:trPr>
        <w:tc>
          <w:tcPr>
            <w:tcW w:w="1486" w:type="dxa"/>
          </w:tcPr>
          <w:p w:rsidR="00D849AA" w:rsidRPr="00950B90" w:rsidRDefault="00EE6D95">
            <w:pPr>
              <w:pStyle w:val="CellColumn"/>
            </w:pPr>
            <w:r w:rsidRPr="00950B90">
              <w:t>2903</w:t>
            </w:r>
          </w:p>
        </w:tc>
        <w:tc>
          <w:tcPr>
            <w:tcW w:w="1486" w:type="dxa"/>
          </w:tcPr>
          <w:p w:rsidR="00D849AA" w:rsidRPr="00950B90" w:rsidRDefault="00EE6D95">
            <w:pPr>
              <w:rPr>
                <w:rFonts w:ascii="Arial" w:hAnsi="Arial" w:cs="Arial"/>
              </w:rPr>
            </w:pPr>
            <w:r w:rsidRPr="00950B90">
              <w:rPr>
                <w:rFonts w:ascii="Arial" w:hAnsi="Arial" w:cs="Arial"/>
              </w:rPr>
              <w:t>30.599.843</w:t>
            </w:r>
          </w:p>
        </w:tc>
        <w:tc>
          <w:tcPr>
            <w:tcW w:w="1486" w:type="dxa"/>
          </w:tcPr>
          <w:p w:rsidR="00D849AA" w:rsidRPr="00950B90" w:rsidRDefault="00EE6D95">
            <w:pPr>
              <w:rPr>
                <w:rFonts w:ascii="Arial" w:hAnsi="Arial" w:cs="Arial"/>
              </w:rPr>
            </w:pPr>
            <w:r w:rsidRPr="00950B90">
              <w:rPr>
                <w:rFonts w:ascii="Arial" w:hAnsi="Arial" w:cs="Arial"/>
              </w:rPr>
              <w:t>52.283.000</w:t>
            </w:r>
          </w:p>
        </w:tc>
        <w:tc>
          <w:tcPr>
            <w:tcW w:w="1486" w:type="dxa"/>
          </w:tcPr>
          <w:p w:rsidR="00D849AA" w:rsidRPr="00950B90" w:rsidRDefault="00EE6D95">
            <w:pPr>
              <w:rPr>
                <w:rFonts w:ascii="Arial" w:hAnsi="Arial" w:cs="Arial"/>
              </w:rPr>
            </w:pPr>
            <w:r w:rsidRPr="00950B90">
              <w:rPr>
                <w:rFonts w:ascii="Arial" w:hAnsi="Arial" w:cs="Arial"/>
              </w:rPr>
              <w:t>35.937.000</w:t>
            </w:r>
          </w:p>
        </w:tc>
        <w:tc>
          <w:tcPr>
            <w:tcW w:w="1486" w:type="dxa"/>
          </w:tcPr>
          <w:p w:rsidR="00D849AA" w:rsidRPr="00950B90" w:rsidRDefault="00EE6D95">
            <w:pPr>
              <w:rPr>
                <w:rFonts w:ascii="Arial" w:hAnsi="Arial" w:cs="Arial"/>
              </w:rPr>
            </w:pPr>
            <w:r w:rsidRPr="00950B90">
              <w:rPr>
                <w:rFonts w:ascii="Arial" w:hAnsi="Arial" w:cs="Arial"/>
              </w:rPr>
              <w:t>35.947.000</w:t>
            </w:r>
          </w:p>
        </w:tc>
        <w:tc>
          <w:tcPr>
            <w:tcW w:w="1486" w:type="dxa"/>
          </w:tcPr>
          <w:p w:rsidR="00D849AA" w:rsidRPr="00950B90" w:rsidRDefault="00EE6D95">
            <w:pPr>
              <w:rPr>
                <w:rFonts w:ascii="Arial" w:hAnsi="Arial" w:cs="Arial"/>
              </w:rPr>
            </w:pPr>
            <w:r w:rsidRPr="00950B90">
              <w:rPr>
                <w:rFonts w:ascii="Arial" w:hAnsi="Arial" w:cs="Arial"/>
              </w:rPr>
              <w:t>170,9</w:t>
            </w:r>
          </w:p>
        </w:tc>
      </w:tr>
    </w:tbl>
    <w:p w:rsidR="00D849AA" w:rsidRDefault="00D849AA">
      <w:pPr>
        <w:jc w:val="left"/>
      </w:pPr>
    </w:p>
    <w:p w:rsidR="00D849AA" w:rsidRDefault="00EE6D95">
      <w:pPr>
        <w:pStyle w:val="Naslov6"/>
      </w:pPr>
      <w:r>
        <w:t>Opis programa</w:t>
      </w:r>
    </w:p>
    <w:p w:rsidR="00D849AA" w:rsidRDefault="00EE6D95">
      <w:pPr>
        <w:pStyle w:val="Normal5"/>
      </w:pPr>
      <w:r>
        <w:t xml:space="preserve">Europska teritorijalna suradnja odnosi se na stvaranje podloge za razvoj koordinirane, sustavne i strateški usmjerene suradnje na lokalnoj, regionalnoj i središnjoj državnoj razini, s partnerima iz susjednih zemalja i ostalih regija Europske unije, kako bi se kroz zajednički pristup na odgovarajućoj administrativno-teritorijalnoj razini smanjio negativan utjecaj granica i promovirala društveno-gospodarska kohezija. </w:t>
      </w:r>
    </w:p>
    <w:p w:rsidR="00D849AA" w:rsidRDefault="00EE6D95">
      <w:pPr>
        <w:pStyle w:val="Normal5"/>
      </w:pPr>
      <w:r>
        <w:t xml:space="preserve">Geopolitički i geostrateški položaj Republike Hrvatske daju izrazito veliko značenje ovom cilju. Jedinstven oblik Republike Hrvatske i dugačka granica sa susjednim državama pružaju čvrste osnove za uključivanje u programe prekogranične suradnje. Gotovo sve županije, osim Bjelovarsko-bilogorske, Požeško-slavonske i Grada Zagreba, dijele granicu s drugim državama te su prihvatljive za uključivanje u prekogranične programe suradnje, dok je za sudjelovanje u programima transnacionalne i međuregionalne suradnje prihvatljiv je cjelokupan teritorij Republike Hrvatske. </w:t>
      </w:r>
    </w:p>
    <w:p w:rsidR="00D849AA" w:rsidRDefault="00EE6D95">
      <w:pPr>
        <w:pStyle w:val="Normal5"/>
      </w:pPr>
      <w:r>
        <w:t xml:space="preserve">U financijskom razdoblju 2007.-2013. Republika Hrvatska je sudjelovala u 6 prekograničnih programa (Jadranska prekogranična suradnja, Mađarska – Hrvatska, Slovenija – Hrvatska, Hrvatska – Bosna i Hercegovina, Hrvatska – Crna Gora i Hrvatska – Srbija) i 2 transnacionalna programa (Jugoistočna Europa i Mediteran). Dok je sudjelovanje u transnacionalnim programima u pretpristupnom razdoblju bilo ograničeno u smislu raspoložive IPA alokacije i mogućnosti preuzimanja vodeće uloge u projektima, u programima prekogranične suradnje Republika Hrvatska je sudjelovala u punom kapacitetu kao i države članice Europske unije te je imala jednaka prava i obveze. </w:t>
      </w:r>
    </w:p>
    <w:p w:rsidR="00D849AA" w:rsidRDefault="00EE6D95">
      <w:pPr>
        <w:pStyle w:val="Normal5"/>
      </w:pPr>
      <w:r>
        <w:t xml:space="preserve">Poseban izazov za Republiku Hrvatsku u 2012. i 2013. godini predstavlja početak procesa programiranja programa u kojima će sudjelovati u budućem programskom razdoblju 2014.-2020. te uspostava upravljačkog i kontrolnog sustava za programe kojima će u navedenom razdoblju upravljati. Hrvatska će sudjelovati u najmanje 5 programa prekogranične suradnje i to u tri bilateralna programa s državama članicama Europske unije (s Italijom, Mađarskom i Slovenijom) i dva programa prekogranične suradnje s državama nečlanicama Europske unije (trilateralni program Hrvatska – Bosna i Hercegovina – Crna Gora i bilateralni program Hrvatska – Srbija). </w:t>
      </w:r>
    </w:p>
    <w:p w:rsidR="00D849AA" w:rsidRDefault="00EE6D95">
      <w:pPr>
        <w:pStyle w:val="Normal5"/>
      </w:pPr>
      <w:r>
        <w:lastRenderedPageBreak/>
        <w:t xml:space="preserve">U novom razdoblju 2014. – 2020. Hrvatska će sudjelovati u četiri programa transnacionalne suradnje (Dunavski program, Jadransko-jonski program, Mediteran i Središnja Europa), a pristupanjem u Europsku uniju Hrvatskoj se otvara mogućnost sudjelovanja i u trećem dijelu europske teritorijalne suradnje, međuregionalnoj suradnji – i to u sljedećim programima: ESPON, INTERACT, INTERREG EUROPE i URBACT. </w:t>
      </w:r>
    </w:p>
    <w:p w:rsidR="00D849AA" w:rsidRDefault="00EE6D95">
      <w:pPr>
        <w:pStyle w:val="Normal5"/>
      </w:pPr>
      <w:r>
        <w:t xml:space="preserve">Prekogranična, transnacionalna i međuregionalna suradnja važan su element u politici gospodarske i društvene kohezije Europske unije te doprinose ispunjenju sveukupnih ciljeva politike regionalnog razvoja Republike Hrvatske.  </w:t>
      </w:r>
    </w:p>
    <w:p w:rsidR="00D849AA" w:rsidRDefault="00EE6D95">
      <w:pPr>
        <w:pStyle w:val="Normal5"/>
      </w:pPr>
      <w:r>
        <w:t>Sam proces programiranja značajno će doprinositi ostvarenju posebnog cilja posebno kroz organizaciju radionica, konferencija i partnerskih konzultacija što jasno prikazuju pokazatelji rezultata po pitanju organiziranih radionica te broja sudionika.</w:t>
      </w:r>
    </w:p>
    <w:p w:rsidR="00D849AA" w:rsidRDefault="00EE6D95">
      <w:pPr>
        <w:pStyle w:val="Naslov6"/>
      </w:pPr>
      <w:r>
        <w:t>Zakonske i druge pravne osnove</w:t>
      </w:r>
    </w:p>
    <w:p w:rsidR="00D849AA" w:rsidRDefault="00EE6D95">
      <w:pPr>
        <w:pStyle w:val="Normal5"/>
      </w:pPr>
      <w:r>
        <w:t xml:space="preserve">1. Zakon o potvrđivanju Sporazuma o financiranju između Vlade Republike Hrvatske i Komisije Europskih zajednica koji se odnosi na »IPA prekogranični program Mađarska – Hrvatska« u okviru Instrumenta pretpristupne pomoći (Narodne novine, međunarodni ugovori, broj 10/2009)  </w:t>
      </w:r>
    </w:p>
    <w:p w:rsidR="00D849AA" w:rsidRDefault="00EE6D95">
      <w:pPr>
        <w:pStyle w:val="Normal5"/>
      </w:pPr>
      <w:r>
        <w:t xml:space="preserve">2. Zakon o potvrđivanju Sporazuma o financiranju između Vlade Republike Hrvatske i Europske komisije koji se odnosi na »IPA program prekogranične suradnje Mađarska – Hrvatska« u okviru Instrumenta pretpristupne pomoći (Narodne novine, međunarodni ugovori, broj 8/2011)  </w:t>
      </w:r>
    </w:p>
    <w:p w:rsidR="00D849AA" w:rsidRDefault="00EE6D95">
      <w:pPr>
        <w:pStyle w:val="Normal5"/>
      </w:pPr>
      <w:r>
        <w:t xml:space="preserve">3. Zakon o potvrđivanju Sporazuma o financiranju između Vlade Republike Hrvatske i Komisije Europskih zajednica koji se odnosi na »IPA prekogranični program Slovenija – Hrvatska« u okviru Instrumenta pretpristupne pomoći (Narodne novine, međunarodni ugovori, broj 10/2009)  </w:t>
      </w:r>
    </w:p>
    <w:p w:rsidR="00D849AA" w:rsidRDefault="00EE6D95">
      <w:pPr>
        <w:pStyle w:val="Normal5"/>
      </w:pPr>
      <w:r>
        <w:t xml:space="preserve">4. Zakon o potvrđivanju Sporazuma o financiranju između Vlade Republike Hrvatske i Europske komisije koji se odnosi na »IPA program prekogranične suradnje Slovenija – Hrvatska« u okviru Instrumenta pretpristupne pomoći (Narodne novine, međunarodni ugovori, broj 9/2011)  </w:t>
      </w:r>
    </w:p>
    <w:p w:rsidR="00D849AA" w:rsidRDefault="00EE6D95">
      <w:pPr>
        <w:pStyle w:val="Normal5"/>
      </w:pPr>
      <w:r>
        <w:t xml:space="preserve">5. Zakona o potvrđivanju Sporazuma o financiranju između Vlade Republike Hrvatske i Komisije Europskih zajednica koji se odnosi na »IPA – program Jadranska prekogranična suradnja« u okviru Instrumenta pretpristupne pomoći (Narodne novine, međunarodni ugovori, broj 10/2009)  </w:t>
      </w:r>
    </w:p>
    <w:p w:rsidR="00D849AA" w:rsidRDefault="00EE6D95">
      <w:pPr>
        <w:pStyle w:val="Normal5"/>
      </w:pPr>
      <w:r>
        <w:t xml:space="preserve">6. Zakon o potvrđivanju Sporazuma o financiranju između Vlade Republike Hrvatske i Europske komisije koji se odnosi na »IPA program jadranske prekogranične suradnje« u okviru Instrumenta pretpristupne pomoći (Narodne novine, međunarodni ugovori, broj 9/2011)  </w:t>
      </w:r>
    </w:p>
    <w:p w:rsidR="00D849AA" w:rsidRDefault="00EE6D95">
      <w:pPr>
        <w:pStyle w:val="Normal5"/>
      </w:pPr>
      <w:r>
        <w:t xml:space="preserve">7. Zakon o potvrđivanju Sporazuma o financiranju između Vlade Republike Hrvatske i Komisije Europskih zajednica o Programu prekogranične suradnje između Republike Hrvatske i Republike Srbije u okviru komponente prekogranična suradnja programa IPA za 2007. godinu (Narodne novine, međunarodni ugovori, broj 3/2009)  </w:t>
      </w:r>
    </w:p>
    <w:p w:rsidR="00D849AA" w:rsidRDefault="00EE6D95">
      <w:pPr>
        <w:pStyle w:val="Normal5"/>
      </w:pPr>
      <w:r>
        <w:t xml:space="preserve">8. Zakon o potvrđivanju Sporazuma o financiranju između Vlade Republike Hrvatske i Komisije Europskih zajednica o Programu prekogranične suradnje Hrvatska – Srbija, u okviru komponente prekogranična suradnja programa IPA, za 2008. godinu (Narodne novine, međunarodni ugovori, broj 10/2009)  </w:t>
      </w:r>
    </w:p>
    <w:p w:rsidR="00D849AA" w:rsidRDefault="00EE6D95">
      <w:pPr>
        <w:pStyle w:val="Normal5"/>
      </w:pPr>
      <w:r>
        <w:t xml:space="preserve">9. Zakon o potvrđivanju Sporazuma o financiranju između Vlade Republike Hrvatske i Europske komisije o Programu prekogranične suradnje Hrvatska – Srbija u okviru komponente prekogranična suradnja programa IPA, za 2009. godinu (Narodne novine, međunarodni ugovori, broj 4/2011)  </w:t>
      </w:r>
    </w:p>
    <w:p w:rsidR="00D849AA" w:rsidRDefault="00EE6D95">
      <w:pPr>
        <w:pStyle w:val="Normal5"/>
      </w:pPr>
      <w:r>
        <w:lastRenderedPageBreak/>
        <w:t xml:space="preserve">10. Dodatak Sporazumu o financiranju između Republike Hrvatske i Europske komisije o Programu prekogranične suradnje Hrvatska – Srbija u okviru komponente prekogranična suradnja programa IPA za 2008. godinu (Narodne novine, međunarodni ugovori, broj 1/2012)  </w:t>
      </w:r>
    </w:p>
    <w:p w:rsidR="00D849AA" w:rsidRDefault="00EE6D95">
      <w:pPr>
        <w:pStyle w:val="Normal5"/>
      </w:pPr>
      <w:r>
        <w:t xml:space="preserve">11. Zakon o potvrđivanju Sporazuma o financiranju između Vlade Republike Hrvatske i Europske komisije o Programu prekogranične suradnje Hrvatska– Srbija u okviru komponente prekogranična suradnja programa IPA, za 2010. godinu (Narodne novine, međunarodni ugovori, broj 5/2012)  </w:t>
      </w:r>
    </w:p>
    <w:p w:rsidR="00D849AA" w:rsidRDefault="00EE6D95">
      <w:pPr>
        <w:pStyle w:val="Normal5"/>
      </w:pPr>
      <w:r>
        <w:t xml:space="preserve">12. Zakon o potvrđivanju Sporazuma o financiranju između Vlade Republike Hrvatske i Europske komisije o Programu prekogranične suradnje Hrvatska – Srbija u okviru komponente Prekogranična suradnja programa IPA, za 2011. godinu (Narodne novine, međunarodni ugovori, broj 1/2013) </w:t>
      </w:r>
    </w:p>
    <w:p w:rsidR="00D849AA" w:rsidRDefault="00EE6D95">
      <w:pPr>
        <w:pStyle w:val="Normal5"/>
      </w:pPr>
      <w:r>
        <w:t xml:space="preserve">13. Zakon o potvrđivanju Sporazuma o financiranju između Vlade Republike Hrvatske i Komisije Europskih zajednica o Programu prekogranične suradnje između Republike Hrvatske i Bosne i Hercegovine u okviru komponente prekogranična suradnja programa IPA za 2007. godinu (Narodne novine, međunarodni ugovori, broj 3/2009)  </w:t>
      </w:r>
    </w:p>
    <w:p w:rsidR="00D849AA" w:rsidRDefault="00EE6D95">
      <w:pPr>
        <w:pStyle w:val="Normal5"/>
      </w:pPr>
      <w:r>
        <w:t xml:space="preserve">14. Zakon o potvrđivanju Sporazuma o financiranju između Vlade Republike Hrvatske i Komisije Europskih zajednica o Programu prekogranične suradnje Hrvatska – Bosna i Hercegovina, u okviru komponente prekogranična suradnja programa IPA, za 2008. godinu (Narodne novine, međunarodni ugovori, broj 10/2009)  </w:t>
      </w:r>
    </w:p>
    <w:p w:rsidR="00D849AA" w:rsidRDefault="00EE6D95">
      <w:pPr>
        <w:pStyle w:val="Normal5"/>
      </w:pPr>
      <w:r>
        <w:t xml:space="preserve">15. Dodatak Sporazumu o financiranju između Vlade Republike Hrvatske i Europske komisije o Programu prekogranične suradnje Hrvatska – Bosna i Hercegovina u okviru IPA komponente prekogranična suradnja za 2007. godinu (Narodne novine, međunarodni ugovori, broj 6/2010)  </w:t>
      </w:r>
    </w:p>
    <w:p w:rsidR="00D849AA" w:rsidRDefault="00EE6D95">
      <w:pPr>
        <w:pStyle w:val="Normal5"/>
      </w:pPr>
      <w:r>
        <w:t xml:space="preserve">16. Zakon o potvrđivanju Sporazuma o financiranju između Vlade Republike Hrvatske i Europske komisije o Programu prekogranične suradnje Hrvatska – Bosna i Hercegovina u okviru komponente prekogranična suradnja programa IPA, za 2009. godinu (Narodne novine, međunarodni ugovori, broj 4/2011)  </w:t>
      </w:r>
    </w:p>
    <w:p w:rsidR="00D849AA" w:rsidRDefault="00EE6D95">
      <w:pPr>
        <w:pStyle w:val="Normal5"/>
      </w:pPr>
      <w:r>
        <w:t xml:space="preserve">17. Dodatak Sporazumu o financiranju između Republike Hrvatske i Europske komisije o Programu prekogranične suradnje Hrvatska – Bosna i Hercegovina u okviru komponente prekogranična suradnja programa IPA za 2008. godinu (Narodne novine, međunarodni ugovori, broj 15/2011)  </w:t>
      </w:r>
    </w:p>
    <w:p w:rsidR="00D849AA" w:rsidRDefault="00EE6D95">
      <w:pPr>
        <w:pStyle w:val="Normal5"/>
      </w:pPr>
      <w:r>
        <w:t xml:space="preserve">18. Zakon o potvrđivanju Sporazuma o financiranju između Vlade Republike Hrvatske i Europske komisije o Programu prekogranične suradnje Hrvatska – Bosna i Hercegovina u okviru komponente prekogranična suradnja programa IPA, za 2010. godinu (Narodne novine, međunarodni ugovori, broj 5/2012)  </w:t>
      </w:r>
    </w:p>
    <w:p w:rsidR="00D849AA" w:rsidRDefault="00EE6D95">
      <w:pPr>
        <w:pStyle w:val="Normal5"/>
      </w:pPr>
      <w:r>
        <w:t xml:space="preserve">19. Zakon o potvrđivanju Sporazuma o financiranju između Vlade Republike Hrvatske i Europske komisije o Programu prekogranične suradnje Hrvatska – Bosna i Hercegovina u okviru komponente Prekogranična suradnja programa IPA, za 2011. godinu (Narodne novine, međunarodni ugovori, broj 1/2013) </w:t>
      </w:r>
    </w:p>
    <w:p w:rsidR="00D849AA" w:rsidRDefault="00EE6D95">
      <w:pPr>
        <w:pStyle w:val="Normal5"/>
      </w:pPr>
      <w:r>
        <w:t xml:space="preserve">20. Zakon o potvrđivanju Sporazuma o financiranju između Vlade Republike Hrvatske i Komisije Europskih zajednica o Programu prekogranične suradnje između Republike Hrvatske i Crne Gore u okviru komponente prekogranična suradnja programa IPA za 2007. godinu (Narodne novine, međunarodni ugovori, broj 3/2009)  </w:t>
      </w:r>
    </w:p>
    <w:p w:rsidR="00D849AA" w:rsidRDefault="00EE6D95">
      <w:pPr>
        <w:pStyle w:val="Normal5"/>
      </w:pPr>
      <w:r>
        <w:t xml:space="preserve">21. Zakon o potvrđivanju Sporazuma o financiranju između Vlade Republike Hrvatske i Komisije Europskih zajednica o Programu prekogranične suradnje Hrvatska – Crna Gora, u okviru komponente prekogranična suradnja programa IPA, za 2008. godinu (Narodne novine, međunarodni ugovori, broj 10/2009)  </w:t>
      </w:r>
    </w:p>
    <w:p w:rsidR="00D849AA" w:rsidRDefault="00EE6D95">
      <w:pPr>
        <w:pStyle w:val="Normal5"/>
      </w:pPr>
      <w:r>
        <w:lastRenderedPageBreak/>
        <w:t xml:space="preserve">22. Dodatak Sporazumu o financiranju između Vlade Republike Hrvatske i Europske komisije o Programu prekogranične suradnje Hrvatska – Crna Gora u okviru IPA komponente prekogranična suradnja za 2007. godinu (Narodne novine, međunarodni ugovori, broj 6/2010)  </w:t>
      </w:r>
    </w:p>
    <w:p w:rsidR="00D849AA" w:rsidRDefault="00EE6D95">
      <w:pPr>
        <w:pStyle w:val="Normal5"/>
      </w:pPr>
      <w:r>
        <w:t xml:space="preserve">23. Zakon o potvrđivanju Sporazuma o financiranju između Vlade Republike Hrvatske i Europske komisije o Programu prekogranične suradnje Hrvatska – Crna Gora u okviru komponente prekogranična suradnja programa IPA, za 2009. godinu (Narodne novine, međunarodni ugovori, broj 4/2011)  </w:t>
      </w:r>
    </w:p>
    <w:p w:rsidR="00D849AA" w:rsidRDefault="00EE6D95">
      <w:pPr>
        <w:pStyle w:val="Normal5"/>
      </w:pPr>
      <w:r>
        <w:t xml:space="preserve">24. Dodatak Sporazumu o financiranju između Republike Hrvatske i Europske komisije o Programu prekogranične suradnje Hrvatska – Crna Gora u okviru komponente prekogranična suradnja programa IPA za 2008. godinu (Narodne novine, međunarodni ugovori, broj 15/2011)  </w:t>
      </w:r>
    </w:p>
    <w:p w:rsidR="00D849AA" w:rsidRDefault="00EE6D95">
      <w:pPr>
        <w:pStyle w:val="Normal5"/>
      </w:pPr>
      <w:r>
        <w:t xml:space="preserve">25. Zakon o potvrđivanju Sporazuma o financiranju između Vlade Republike Hrvatske i Europske komisije o Programu prekogranične suradnje Hrvatska – Crna Gora u okviru komponente prekogranična suradnja programa IPA, za 2010. godinu (Narodne novine, međunarodni ugovori, broj 5/2012)  </w:t>
      </w:r>
    </w:p>
    <w:p w:rsidR="00D849AA" w:rsidRDefault="00EE6D95">
      <w:pPr>
        <w:pStyle w:val="Normal5"/>
      </w:pPr>
      <w:r>
        <w:t xml:space="preserve">26. Dodatak sporazumima o financiranju između Vlade Republike Hrvatske i Europske komisije o: Programu prekogranične suradnje Hrvatska – Bosna i Hercegovina, Programu prekogranične suradnje Hrvatska – Crna Gora, Programu prekogranične suradnje Hrvatska – Srbija, Programu financiranja sudjelovanja Hrvatske u transnacionalnim programima europske teritorijalne suradnje Europskog fonda za regionalni razvoj »Jugoistočna Europa« i »Mediteran«, u okviru IPA komponente prekogranična suradnja za 2007. i 2008. godinu (Narodne novine, međunarodni ugovori, broj 6/2010) </w:t>
      </w:r>
    </w:p>
    <w:p w:rsidR="00D849AA" w:rsidRDefault="00EE6D95">
      <w:pPr>
        <w:pStyle w:val="Normal5"/>
      </w:pPr>
      <w:r>
        <w:t xml:space="preserve">27. Sporazum o financiranju između Vlade Republike Hrvatske i Europske komisije o Programu prekogranične suradnje Hrvatska – Crna Gora u okviru komponente Prekogranična suradnja programa IPA, za 2011. godinu (Narodne novine, međunarodni ugovori, broj 1/2013) </w:t>
      </w:r>
    </w:p>
    <w:p w:rsidR="00D849AA" w:rsidRDefault="00EE6D95">
      <w:pPr>
        <w:pStyle w:val="Normal5"/>
      </w:pPr>
      <w:r>
        <w:t xml:space="preserve">28. Zakon o potvrđivanju Sporazuma o financiranju između Vlade Republike Hrvatske i Komisije Europskih zajednica o Programu financiranja sudjelovanja Republike Hrvatske u transnacionalnim programima europske teritorijalne suradnje Europskog fonda za regionalni razvoj »Jugoistočna Europa« i »Mediteran« u okviru komponente prekogranična suradnja Instrumenta za pretpristupnu pomoć (IPA) za 2007. godinu (Narodne novine, međunarodni ugovori, broj 3/2009)  </w:t>
      </w:r>
    </w:p>
    <w:p w:rsidR="00D849AA" w:rsidRDefault="00EE6D95">
      <w:pPr>
        <w:pStyle w:val="Normal5"/>
      </w:pPr>
      <w:r>
        <w:t xml:space="preserve">29. Zakon o potvrđivanju Sporazuma o financiranju između Vlade Republike Hrvatske i Komisije europskih zajednica o Programu financiranja sudjelovanja Hrvatske u transnacionalnim programima europske teritorijalne suradnje Europskog fonda za regionalni razvoj »Jugoistočna Europa« i »Mediteran« u okviru komponente prekogranična suradnja Instrumenta za pretpristupnu pomoć (IPA), za 2008. godinu (Narodne novine, međunarodni ugovori, broj 9/2009)  </w:t>
      </w:r>
    </w:p>
    <w:p w:rsidR="00D849AA" w:rsidRDefault="00EE6D95">
      <w:pPr>
        <w:pStyle w:val="Normal5"/>
      </w:pPr>
      <w:r>
        <w:t xml:space="preserve">30. Zakon o potvrđivanju Sporazuma o financiranju između Vlade Republike Hrvatske i Europske komisije o Programu financiranja sudjelovanja Hrvatske u transnacionalnim programima europske teritorijalne suradnje Europskog fonda za regionalni razvoj »Jugoistočna Europa« i »Mediteran« u okviru komponente prekogranična suradnja Instrumenta za pretpristupnu pomoć (IPA), za 2009. godinu (Narodne novine, međunarodni ugovori, broj 4/2011)  </w:t>
      </w:r>
    </w:p>
    <w:p w:rsidR="00D849AA" w:rsidRDefault="00EE6D95">
      <w:pPr>
        <w:pStyle w:val="Normal5"/>
      </w:pPr>
      <w:r>
        <w:t xml:space="preserve">31. Zakon o potvrđivanju Sporazuma o financiranju između Vlade Republike Hrvatske, Europske komisije i Upravljačkog tijela sa sjedištem u Mađarskoj o integraciji sredstava iz instrumenta pretpristupne pomoći u okviru Programa transnacionalne suradnje Jugoistočna Europa za pomoć iz Europskog fonda za regionalni razvoj u sklopu cilja Europska teritorijalna suradnja (Narodne novine, međunarodni ugovori, broj 4/2013)  </w:t>
      </w:r>
    </w:p>
    <w:p w:rsidR="00D849AA" w:rsidRDefault="00EE6D95">
      <w:pPr>
        <w:pStyle w:val="Normal5"/>
      </w:pPr>
      <w:r>
        <w:t xml:space="preserve">32. Zakon o potvrđivanju Sporazuma o financiranju između Vlade Republike Hrvatske, Europske komisije i Zajedničkog upravljačkog tijela sa sjedištem u Francuskoj o integraciji </w:t>
      </w:r>
      <w:r>
        <w:lastRenderedPageBreak/>
        <w:t xml:space="preserve">sredstava iz Instrumenta pretpristupne pomoći u okviru Programa transnacionalne suradnje Mediteran za pomoć iz Europskog fonda za regionalni razvoj u sklopu cilja Europska teritorijalna suradnja (Narodne novine, međunarodni ugovori, broj 4/2013). </w:t>
      </w:r>
    </w:p>
    <w:p w:rsidR="00D849AA" w:rsidRDefault="00EE6D95">
      <w:pPr>
        <w:pStyle w:val="Normal5"/>
      </w:pPr>
      <w:r>
        <w:t xml:space="preserve">33. Regulativa Europske komisije o Europskoj teritorijalnoj suradnji (nacrt) </w:t>
      </w:r>
    </w:p>
    <w:p w:rsidR="00D849AA" w:rsidRDefault="00EE6D95">
      <w:pPr>
        <w:pStyle w:val="Normal5"/>
      </w:pPr>
      <w:r>
        <w:t>34. Regulativa Europske komisije o zajedničkim odredbama (nacrt)</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Cilj 1. Razvoj teritorijalne suradnje</w:t>
      </w:r>
    </w:p>
    <w:p w:rsidR="00D849AA" w:rsidRDefault="00EE6D95">
      <w:pPr>
        <w:pStyle w:val="Normal6"/>
      </w:pPr>
      <w:r>
        <w:t xml:space="preserve">Opći cilj „Razvoj teritorijalne suradnje“ odnosi se na stvaranje podloge za razvoj koordinirane, sustavne i strateški usmjerene suradnje na lokalnoj, regionalnoj i središnjoj državnoj razini, s partnerima iz susjednih zemalja i ostalih regija Europske unije, kako bi se kroz zajednički pristup na odgovarajućoj administrativno-teritorijalnoj razini smanjio negativan utjecaj granica i promovirala društveno-gospodarska kohezija. </w:t>
      </w:r>
    </w:p>
    <w:p w:rsidR="00D849AA" w:rsidRDefault="00EE6D95">
      <w:pPr>
        <w:pStyle w:val="Normal6"/>
      </w:pPr>
      <w:r>
        <w:t>Cilj će se ostvariti jačanjem prekogranične, transnacionalne i međuregionalne suradnje putem zajedničkih lokalnih, regionalnih i nacionalnih inicijativa, odnosno provedbom i završetkom programa prekogranične i transnacionalne suradnje u kojima je Republika Hrvatska sudjelovala u razdoblju 2007.-2013.  te uključivanjem u nove prekogranične, transnacionalne i međuregionalne programe suradnje u razdoblju 2014.-2020.</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950B90" w:rsidRDefault="00EE6D95">
            <w:pPr>
              <w:rPr>
                <w:rFonts w:ascii="Arial" w:hAnsi="Arial" w:cs="Arial"/>
              </w:rPr>
            </w:pPr>
            <w:r w:rsidRPr="00950B90">
              <w:rPr>
                <w:rFonts w:ascii="Arial" w:hAnsi="Arial" w:cs="Arial"/>
              </w:rPr>
              <w:t>Pokazatelj učinka</w:t>
            </w:r>
          </w:p>
        </w:tc>
        <w:tc>
          <w:tcPr>
            <w:tcW w:w="1114" w:type="dxa"/>
            <w:shd w:val="clear" w:color="auto" w:fill="B5C0D8"/>
          </w:tcPr>
          <w:p w:rsidR="00D849AA" w:rsidRPr="00950B90" w:rsidRDefault="00EE6D95">
            <w:pPr>
              <w:pStyle w:val="CellHeader"/>
            </w:pPr>
            <w:r w:rsidRPr="00950B90">
              <w:t>Jedinica</w:t>
            </w:r>
          </w:p>
        </w:tc>
        <w:tc>
          <w:tcPr>
            <w:tcW w:w="1114" w:type="dxa"/>
            <w:shd w:val="clear" w:color="auto" w:fill="B5C0D8"/>
          </w:tcPr>
          <w:p w:rsidR="00D849AA" w:rsidRPr="00950B90" w:rsidRDefault="00EE6D95">
            <w:pPr>
              <w:pStyle w:val="CellHeader"/>
            </w:pPr>
            <w:r w:rsidRPr="00950B90">
              <w:t>Polazna vrijednost</w:t>
            </w:r>
          </w:p>
        </w:tc>
        <w:tc>
          <w:tcPr>
            <w:tcW w:w="1486" w:type="dxa"/>
            <w:shd w:val="clear" w:color="auto" w:fill="B5C0D8"/>
          </w:tcPr>
          <w:p w:rsidR="00D849AA" w:rsidRPr="00950B90" w:rsidRDefault="00EE6D95">
            <w:pPr>
              <w:pStyle w:val="CellHeader"/>
            </w:pPr>
            <w:r w:rsidRPr="00950B90">
              <w:t>Ciljana vrijednost (2014.)</w:t>
            </w:r>
          </w:p>
        </w:tc>
        <w:tc>
          <w:tcPr>
            <w:tcW w:w="1486" w:type="dxa"/>
            <w:shd w:val="clear" w:color="auto" w:fill="B5C0D8"/>
          </w:tcPr>
          <w:p w:rsidR="00D849AA" w:rsidRPr="00950B90" w:rsidRDefault="00EE6D95">
            <w:pPr>
              <w:pStyle w:val="CellHeader"/>
            </w:pPr>
            <w:r w:rsidRPr="00950B90">
              <w:t>Ciljana vrijednost (2015.)</w:t>
            </w:r>
          </w:p>
        </w:tc>
        <w:tc>
          <w:tcPr>
            <w:tcW w:w="1486" w:type="dxa"/>
            <w:shd w:val="clear" w:color="auto" w:fill="B5C0D8"/>
          </w:tcPr>
          <w:p w:rsidR="00D849AA" w:rsidRPr="00950B90" w:rsidRDefault="00EE6D95">
            <w:pPr>
              <w:pStyle w:val="CellHeader"/>
            </w:pPr>
            <w:r w:rsidRPr="00950B90">
              <w:t>Ciljana vrijednost (2016.)</w:t>
            </w:r>
          </w:p>
        </w:tc>
      </w:tr>
      <w:tr w:rsidR="00D849AA">
        <w:trPr>
          <w:jc w:val="center"/>
        </w:trPr>
        <w:tc>
          <w:tcPr>
            <w:tcW w:w="2229" w:type="dxa"/>
          </w:tcPr>
          <w:p w:rsidR="00D849AA" w:rsidRPr="00950B90" w:rsidRDefault="00EE6D95">
            <w:pPr>
              <w:pStyle w:val="CellColumn"/>
            </w:pPr>
            <w:r w:rsidRPr="00950B90">
              <w:t>Povećanje stope iskorištenosti sredstava po pojedinom prekograničnom i transnacionalnom programu</w:t>
            </w:r>
          </w:p>
        </w:tc>
        <w:tc>
          <w:tcPr>
            <w:tcW w:w="1114" w:type="dxa"/>
          </w:tcPr>
          <w:p w:rsidR="00D849AA" w:rsidRPr="00950B90" w:rsidRDefault="00EE6D95">
            <w:pPr>
              <w:rPr>
                <w:rFonts w:ascii="Arial" w:hAnsi="Arial" w:cs="Arial"/>
              </w:rPr>
            </w:pPr>
            <w:r w:rsidRPr="00950B90">
              <w:rPr>
                <w:rFonts w:ascii="Arial" w:hAnsi="Arial" w:cs="Arial"/>
              </w:rPr>
              <w:t>%</w:t>
            </w:r>
          </w:p>
        </w:tc>
        <w:tc>
          <w:tcPr>
            <w:tcW w:w="1114" w:type="dxa"/>
          </w:tcPr>
          <w:p w:rsidR="00D849AA" w:rsidRPr="00950B90" w:rsidRDefault="00EE6D95">
            <w:pPr>
              <w:rPr>
                <w:rFonts w:ascii="Arial" w:hAnsi="Arial" w:cs="Arial"/>
              </w:rPr>
            </w:pPr>
            <w:r w:rsidRPr="00950B90">
              <w:rPr>
                <w:rFonts w:ascii="Arial" w:hAnsi="Arial" w:cs="Arial"/>
              </w:rPr>
              <w:t>70</w:t>
            </w:r>
          </w:p>
        </w:tc>
        <w:tc>
          <w:tcPr>
            <w:tcW w:w="1486" w:type="dxa"/>
          </w:tcPr>
          <w:p w:rsidR="00D849AA" w:rsidRPr="00950B90" w:rsidRDefault="00EE6D95">
            <w:pPr>
              <w:rPr>
                <w:rFonts w:ascii="Arial" w:hAnsi="Arial" w:cs="Arial"/>
              </w:rPr>
            </w:pPr>
            <w:r w:rsidRPr="00950B90">
              <w:rPr>
                <w:rFonts w:ascii="Arial" w:hAnsi="Arial" w:cs="Arial"/>
              </w:rPr>
              <w:t>80</w:t>
            </w:r>
          </w:p>
        </w:tc>
        <w:tc>
          <w:tcPr>
            <w:tcW w:w="1486" w:type="dxa"/>
          </w:tcPr>
          <w:p w:rsidR="00D849AA" w:rsidRPr="00950B90" w:rsidRDefault="00EE6D95">
            <w:pPr>
              <w:rPr>
                <w:rFonts w:ascii="Arial" w:hAnsi="Arial" w:cs="Arial"/>
              </w:rPr>
            </w:pPr>
            <w:r w:rsidRPr="00950B90">
              <w:rPr>
                <w:rFonts w:ascii="Arial" w:hAnsi="Arial" w:cs="Arial"/>
              </w:rPr>
              <w:t>90</w:t>
            </w:r>
          </w:p>
        </w:tc>
        <w:tc>
          <w:tcPr>
            <w:tcW w:w="1486" w:type="dxa"/>
          </w:tcPr>
          <w:p w:rsidR="00D849AA" w:rsidRPr="00950B90" w:rsidRDefault="00EE6D95">
            <w:pPr>
              <w:rPr>
                <w:rFonts w:ascii="Arial" w:hAnsi="Arial" w:cs="Arial"/>
              </w:rPr>
            </w:pPr>
            <w:r w:rsidRPr="00950B90">
              <w:rPr>
                <w:rFonts w:ascii="Arial" w:hAnsi="Arial" w:cs="Arial"/>
              </w:rPr>
              <w:t>90</w:t>
            </w:r>
          </w:p>
        </w:tc>
      </w:tr>
    </w:tbl>
    <w:p w:rsidR="00D849AA" w:rsidRDefault="00D849AA">
      <w:pPr>
        <w:jc w:val="left"/>
      </w:pPr>
    </w:p>
    <w:p w:rsidR="00D849AA" w:rsidRDefault="00EE6D95">
      <w:pPr>
        <w:pStyle w:val="Naslov5"/>
      </w:pPr>
      <w:r>
        <w:t>Procjena i ishodište potrebnih sredstava za značajnije aktivnosti/projekte</w:t>
      </w:r>
    </w:p>
    <w:p w:rsidR="00D849AA" w:rsidRDefault="00EE6D95">
      <w:pPr>
        <w:pStyle w:val="Naslov6"/>
      </w:pPr>
      <w:r>
        <w:t>A680031 ETS SREDIŠNJA EUROPA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950B90" w:rsidRDefault="00EE6D95">
            <w:pPr>
              <w:pStyle w:val="CellHeader"/>
            </w:pPr>
            <w:r w:rsidRPr="00950B90">
              <w:t>Naziv aktivnosti</w:t>
            </w:r>
          </w:p>
        </w:tc>
        <w:tc>
          <w:tcPr>
            <w:tcW w:w="1486" w:type="dxa"/>
            <w:shd w:val="clear" w:color="auto" w:fill="B5C0D8"/>
          </w:tcPr>
          <w:p w:rsidR="00D849AA" w:rsidRPr="00950B90" w:rsidRDefault="00EE6D95">
            <w:pPr>
              <w:pStyle w:val="CellHeader"/>
            </w:pPr>
            <w:r w:rsidRPr="00950B90">
              <w:t>Plan 2013.</w:t>
            </w:r>
          </w:p>
        </w:tc>
        <w:tc>
          <w:tcPr>
            <w:tcW w:w="1486" w:type="dxa"/>
            <w:shd w:val="clear" w:color="auto" w:fill="B5C0D8"/>
          </w:tcPr>
          <w:p w:rsidR="00D849AA" w:rsidRPr="00950B90" w:rsidRDefault="00EE6D95">
            <w:pPr>
              <w:pStyle w:val="CellHeader"/>
            </w:pPr>
            <w:r w:rsidRPr="00950B90">
              <w:t>Plan 2014.</w:t>
            </w:r>
          </w:p>
        </w:tc>
        <w:tc>
          <w:tcPr>
            <w:tcW w:w="1486" w:type="dxa"/>
            <w:shd w:val="clear" w:color="auto" w:fill="B5C0D8"/>
          </w:tcPr>
          <w:p w:rsidR="00D849AA" w:rsidRPr="00950B90" w:rsidRDefault="00EE6D95">
            <w:pPr>
              <w:pStyle w:val="CellHeader"/>
            </w:pPr>
            <w:r w:rsidRPr="00950B90">
              <w:t>Plan 2015.</w:t>
            </w:r>
          </w:p>
        </w:tc>
        <w:tc>
          <w:tcPr>
            <w:tcW w:w="1486" w:type="dxa"/>
            <w:shd w:val="clear" w:color="auto" w:fill="B5C0D8"/>
          </w:tcPr>
          <w:p w:rsidR="00D849AA" w:rsidRPr="00950B90" w:rsidRDefault="00EE6D95">
            <w:pPr>
              <w:pStyle w:val="CellHeader"/>
            </w:pPr>
            <w:r w:rsidRPr="00950B90">
              <w:t>Plan 2016.</w:t>
            </w:r>
          </w:p>
        </w:tc>
        <w:tc>
          <w:tcPr>
            <w:tcW w:w="1486" w:type="dxa"/>
            <w:shd w:val="clear" w:color="auto" w:fill="B5C0D8"/>
          </w:tcPr>
          <w:p w:rsidR="00D849AA" w:rsidRPr="00950B90" w:rsidRDefault="00EE6D95">
            <w:pPr>
              <w:pStyle w:val="CellHeader"/>
            </w:pPr>
            <w:r w:rsidRPr="00950B90">
              <w:t>Indeks 2014/2013</w:t>
            </w:r>
          </w:p>
        </w:tc>
      </w:tr>
      <w:tr w:rsidR="00D849AA">
        <w:trPr>
          <w:jc w:val="center"/>
        </w:trPr>
        <w:tc>
          <w:tcPr>
            <w:tcW w:w="1486" w:type="dxa"/>
          </w:tcPr>
          <w:p w:rsidR="00D849AA" w:rsidRPr="00950B90" w:rsidRDefault="00EE6D95">
            <w:pPr>
              <w:pStyle w:val="CellColumn"/>
            </w:pPr>
            <w:r w:rsidRPr="00950B90">
              <w:t>A680031</w:t>
            </w:r>
          </w:p>
        </w:tc>
        <w:tc>
          <w:tcPr>
            <w:tcW w:w="1486" w:type="dxa"/>
          </w:tcPr>
          <w:p w:rsidR="00D849AA" w:rsidRPr="00950B90" w:rsidRDefault="00EE6D95">
            <w:pPr>
              <w:rPr>
                <w:rFonts w:ascii="Arial" w:hAnsi="Arial" w:cs="Arial"/>
              </w:rPr>
            </w:pPr>
            <w:r w:rsidRPr="00950B90">
              <w:rPr>
                <w:rFonts w:ascii="Arial" w:hAnsi="Arial" w:cs="Arial"/>
              </w:rPr>
              <w:t>00</w:t>
            </w:r>
          </w:p>
        </w:tc>
        <w:tc>
          <w:tcPr>
            <w:tcW w:w="1486" w:type="dxa"/>
          </w:tcPr>
          <w:p w:rsidR="00D849AA" w:rsidRPr="00950B90" w:rsidRDefault="00EE6D95">
            <w:pPr>
              <w:rPr>
                <w:rFonts w:ascii="Arial" w:hAnsi="Arial" w:cs="Arial"/>
              </w:rPr>
            </w:pPr>
            <w:r w:rsidRPr="00950B90">
              <w:rPr>
                <w:rFonts w:ascii="Arial" w:hAnsi="Arial" w:cs="Arial"/>
              </w:rPr>
              <w:t>200.000</w:t>
            </w:r>
          </w:p>
        </w:tc>
        <w:tc>
          <w:tcPr>
            <w:tcW w:w="1486" w:type="dxa"/>
          </w:tcPr>
          <w:p w:rsidR="00D849AA" w:rsidRPr="00950B90" w:rsidRDefault="00EE6D95">
            <w:pPr>
              <w:rPr>
                <w:rFonts w:ascii="Arial" w:hAnsi="Arial" w:cs="Arial"/>
              </w:rPr>
            </w:pPr>
            <w:r w:rsidRPr="00950B90">
              <w:rPr>
                <w:rFonts w:ascii="Arial" w:hAnsi="Arial" w:cs="Arial"/>
              </w:rPr>
              <w:t>200.000</w:t>
            </w:r>
          </w:p>
        </w:tc>
        <w:tc>
          <w:tcPr>
            <w:tcW w:w="1486" w:type="dxa"/>
          </w:tcPr>
          <w:p w:rsidR="00D849AA" w:rsidRPr="00950B90" w:rsidRDefault="00EE6D95">
            <w:pPr>
              <w:rPr>
                <w:rFonts w:ascii="Arial" w:hAnsi="Arial" w:cs="Arial"/>
              </w:rPr>
            </w:pPr>
            <w:r w:rsidRPr="00950B90">
              <w:rPr>
                <w:rFonts w:ascii="Arial" w:hAnsi="Arial" w:cs="Arial"/>
              </w:rPr>
              <w:t>200.000</w:t>
            </w:r>
          </w:p>
        </w:tc>
        <w:tc>
          <w:tcPr>
            <w:tcW w:w="1486" w:type="dxa"/>
          </w:tcPr>
          <w:p w:rsidR="00D849AA" w:rsidRPr="00950B90" w:rsidRDefault="00EE6D95">
            <w:pPr>
              <w:rPr>
                <w:rFonts w:ascii="Arial" w:hAnsi="Arial" w:cs="Arial"/>
              </w:rPr>
            </w:pPr>
            <w:r w:rsidRPr="00950B90">
              <w:rPr>
                <w:rFonts w:ascii="Arial" w:hAnsi="Arial" w:cs="Arial"/>
              </w:rPr>
              <w:t>0,0</w:t>
            </w:r>
          </w:p>
        </w:tc>
      </w:tr>
    </w:tbl>
    <w:p w:rsidR="00D849AA" w:rsidRDefault="00D849AA">
      <w:pPr>
        <w:jc w:val="left"/>
      </w:pPr>
    </w:p>
    <w:p w:rsidR="00D849AA" w:rsidRDefault="00EE6D95">
      <w:pPr>
        <w:pStyle w:val="Normal6"/>
      </w:pPr>
      <w:r>
        <w:t xml:space="preserve">Transnacionalni program Središnja Europa nastavak je programa iz razdoblja 2007. – 2013. u kojem će u razdoblju 2014. – 2020. sudjelovati Republika Hrvatska. Programsko područje obuhvaća 9 država članica Europske unije: Hrvatsku, Austriju, Sloveniju, Mađarsku, Slovačku, Češku, Poljsku, Njemačku i Italiju. </w:t>
      </w:r>
    </w:p>
    <w:p w:rsidR="00D849AA" w:rsidRDefault="00EE6D95">
      <w:pPr>
        <w:pStyle w:val="Normal6"/>
      </w:pPr>
      <w:r>
        <w:lastRenderedPageBreak/>
        <w:t xml:space="preserve">Program će biti usredotočen na istraživanje, razvoj, inovacije, samanjenje emisije ugljičnog dioksida, prirodno i kutlurno nasljeđe te trasnport u području obuhvaćenom programom. </w:t>
      </w:r>
    </w:p>
    <w:p w:rsidR="00D849AA" w:rsidRDefault="00EE6D95">
      <w:pPr>
        <w:pStyle w:val="Normal6"/>
      </w:pPr>
      <w:r>
        <w:t>Kroz aktivnost će se uplaćivati obavezno nacionalno sufinanciranje po godini te troškovi povezani s nacionalnom kontakt točkom koji će se planirati tek od 2015. godine. Za troškove nacionalne kontakt točke primat će se i uplate Upravljačkog tijela smještenog u Beču.</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950B90" w:rsidRDefault="00EE6D95">
            <w:pPr>
              <w:rPr>
                <w:rFonts w:ascii="Arial" w:hAnsi="Arial" w:cs="Arial"/>
              </w:rPr>
            </w:pPr>
            <w:r w:rsidRPr="00950B90">
              <w:rPr>
                <w:rFonts w:ascii="Arial" w:hAnsi="Arial" w:cs="Arial"/>
              </w:rPr>
              <w:t>Pokazatelj rezultata</w:t>
            </w:r>
          </w:p>
        </w:tc>
        <w:tc>
          <w:tcPr>
            <w:tcW w:w="1114" w:type="dxa"/>
            <w:shd w:val="clear" w:color="auto" w:fill="B5C0D8"/>
          </w:tcPr>
          <w:p w:rsidR="00D849AA" w:rsidRPr="00950B90" w:rsidRDefault="00EE6D95">
            <w:pPr>
              <w:pStyle w:val="CellHeader"/>
            </w:pPr>
            <w:r w:rsidRPr="00950B90">
              <w:t>Jedinica</w:t>
            </w:r>
          </w:p>
        </w:tc>
        <w:tc>
          <w:tcPr>
            <w:tcW w:w="1114" w:type="dxa"/>
            <w:shd w:val="clear" w:color="auto" w:fill="B5C0D8"/>
          </w:tcPr>
          <w:p w:rsidR="00D849AA" w:rsidRPr="00950B90" w:rsidRDefault="00EE6D95">
            <w:pPr>
              <w:pStyle w:val="CellHeader"/>
            </w:pPr>
            <w:r w:rsidRPr="00950B90">
              <w:t>Polazna vrijednost</w:t>
            </w:r>
          </w:p>
        </w:tc>
        <w:tc>
          <w:tcPr>
            <w:tcW w:w="1486" w:type="dxa"/>
            <w:shd w:val="clear" w:color="auto" w:fill="B5C0D8"/>
          </w:tcPr>
          <w:p w:rsidR="00D849AA" w:rsidRPr="00950B90" w:rsidRDefault="00EE6D95">
            <w:pPr>
              <w:pStyle w:val="CellHeader"/>
            </w:pPr>
            <w:r w:rsidRPr="00950B90">
              <w:t>Ciljana vrijednost (2014.)</w:t>
            </w:r>
          </w:p>
        </w:tc>
        <w:tc>
          <w:tcPr>
            <w:tcW w:w="1486" w:type="dxa"/>
            <w:shd w:val="clear" w:color="auto" w:fill="B5C0D8"/>
          </w:tcPr>
          <w:p w:rsidR="00D849AA" w:rsidRPr="00950B90" w:rsidRDefault="00EE6D95">
            <w:pPr>
              <w:pStyle w:val="CellHeader"/>
            </w:pPr>
            <w:r w:rsidRPr="00950B90">
              <w:t>Ciljana vrijednost (2015.)</w:t>
            </w:r>
          </w:p>
        </w:tc>
        <w:tc>
          <w:tcPr>
            <w:tcW w:w="1486" w:type="dxa"/>
            <w:shd w:val="clear" w:color="auto" w:fill="B5C0D8"/>
          </w:tcPr>
          <w:p w:rsidR="00D849AA" w:rsidRPr="00950B90" w:rsidRDefault="00EE6D95">
            <w:pPr>
              <w:pStyle w:val="CellHeader"/>
            </w:pPr>
            <w:r w:rsidRPr="00950B90">
              <w:t>Ciljana vrijednost (2016.)</w:t>
            </w:r>
          </w:p>
        </w:tc>
      </w:tr>
      <w:tr w:rsidR="00D849AA">
        <w:trPr>
          <w:jc w:val="center"/>
        </w:trPr>
        <w:tc>
          <w:tcPr>
            <w:tcW w:w="2229" w:type="dxa"/>
          </w:tcPr>
          <w:p w:rsidR="00D849AA" w:rsidRPr="00950B90" w:rsidRDefault="00EE6D95">
            <w:pPr>
              <w:pStyle w:val="CellColumn"/>
            </w:pPr>
            <w:r w:rsidRPr="00950B90">
              <w:t>Povećanje broja održanih informativnih i edukativnih radionica, konferencija, tzv. kick-off sastanaka</w:t>
            </w:r>
          </w:p>
        </w:tc>
        <w:tc>
          <w:tcPr>
            <w:tcW w:w="1114" w:type="dxa"/>
          </w:tcPr>
          <w:p w:rsidR="00D849AA" w:rsidRPr="00950B90" w:rsidRDefault="00EE6D95">
            <w:pPr>
              <w:rPr>
                <w:rFonts w:ascii="Arial" w:hAnsi="Arial" w:cs="Arial"/>
              </w:rPr>
            </w:pPr>
            <w:r w:rsidRPr="00950B90">
              <w:rPr>
                <w:rFonts w:ascii="Arial" w:hAnsi="Arial" w:cs="Arial"/>
              </w:rPr>
              <w:t>broj</w:t>
            </w:r>
          </w:p>
        </w:tc>
        <w:tc>
          <w:tcPr>
            <w:tcW w:w="1114" w:type="dxa"/>
          </w:tcPr>
          <w:p w:rsidR="00D849AA" w:rsidRPr="00950B90" w:rsidRDefault="00EE6D95">
            <w:pPr>
              <w:rPr>
                <w:rFonts w:ascii="Arial" w:hAnsi="Arial" w:cs="Arial"/>
              </w:rPr>
            </w:pPr>
            <w:r w:rsidRPr="00950B90">
              <w:rPr>
                <w:rFonts w:ascii="Arial" w:hAnsi="Arial" w:cs="Arial"/>
              </w:rPr>
              <w:t>0</w:t>
            </w:r>
          </w:p>
        </w:tc>
        <w:tc>
          <w:tcPr>
            <w:tcW w:w="1486" w:type="dxa"/>
          </w:tcPr>
          <w:p w:rsidR="00D849AA" w:rsidRPr="00950B90" w:rsidRDefault="00EE6D95">
            <w:pPr>
              <w:rPr>
                <w:rFonts w:ascii="Arial" w:hAnsi="Arial" w:cs="Arial"/>
              </w:rPr>
            </w:pPr>
            <w:r w:rsidRPr="00950B90">
              <w:rPr>
                <w:rFonts w:ascii="Arial" w:hAnsi="Arial" w:cs="Arial"/>
              </w:rPr>
              <w:t>2</w:t>
            </w:r>
          </w:p>
        </w:tc>
        <w:tc>
          <w:tcPr>
            <w:tcW w:w="1486" w:type="dxa"/>
          </w:tcPr>
          <w:p w:rsidR="00D849AA" w:rsidRPr="00950B90" w:rsidRDefault="00EE6D95">
            <w:pPr>
              <w:rPr>
                <w:rFonts w:ascii="Arial" w:hAnsi="Arial" w:cs="Arial"/>
              </w:rPr>
            </w:pPr>
            <w:r w:rsidRPr="00950B90">
              <w:rPr>
                <w:rFonts w:ascii="Arial" w:hAnsi="Arial" w:cs="Arial"/>
              </w:rPr>
              <w:t>5</w:t>
            </w:r>
          </w:p>
        </w:tc>
        <w:tc>
          <w:tcPr>
            <w:tcW w:w="1486" w:type="dxa"/>
          </w:tcPr>
          <w:p w:rsidR="00D849AA" w:rsidRPr="00950B90" w:rsidRDefault="00EE6D95">
            <w:pPr>
              <w:rPr>
                <w:rFonts w:ascii="Arial" w:hAnsi="Arial" w:cs="Arial"/>
              </w:rPr>
            </w:pPr>
            <w:r w:rsidRPr="00950B90">
              <w:rPr>
                <w:rFonts w:ascii="Arial" w:hAnsi="Arial" w:cs="Arial"/>
              </w:rPr>
              <w:t>10</w:t>
            </w:r>
          </w:p>
        </w:tc>
      </w:tr>
      <w:tr w:rsidR="00D849AA">
        <w:trPr>
          <w:jc w:val="center"/>
        </w:trPr>
        <w:tc>
          <w:tcPr>
            <w:tcW w:w="2229" w:type="dxa"/>
          </w:tcPr>
          <w:p w:rsidR="00D849AA" w:rsidRPr="00950B90" w:rsidRDefault="00EE6D95">
            <w:pPr>
              <w:pStyle w:val="CellColumn"/>
            </w:pPr>
            <w:r w:rsidRPr="00950B90">
              <w:t>Financijska vrijednost ugovorenih projekata s hrvatskim partnerima</w:t>
            </w:r>
          </w:p>
        </w:tc>
        <w:tc>
          <w:tcPr>
            <w:tcW w:w="1114" w:type="dxa"/>
          </w:tcPr>
          <w:p w:rsidR="00D849AA" w:rsidRPr="00950B90" w:rsidRDefault="00EE6D95">
            <w:pPr>
              <w:rPr>
                <w:rFonts w:ascii="Arial" w:hAnsi="Arial" w:cs="Arial"/>
              </w:rPr>
            </w:pPr>
            <w:r w:rsidRPr="00950B90">
              <w:rPr>
                <w:rFonts w:ascii="Arial" w:hAnsi="Arial" w:cs="Arial"/>
              </w:rPr>
              <w:t>milijuni EUR</w:t>
            </w:r>
          </w:p>
        </w:tc>
        <w:tc>
          <w:tcPr>
            <w:tcW w:w="1114" w:type="dxa"/>
          </w:tcPr>
          <w:p w:rsidR="00D849AA" w:rsidRPr="00950B90" w:rsidRDefault="00EE6D95">
            <w:pPr>
              <w:rPr>
                <w:rFonts w:ascii="Arial" w:hAnsi="Arial" w:cs="Arial"/>
              </w:rPr>
            </w:pPr>
            <w:r w:rsidRPr="00950B90">
              <w:rPr>
                <w:rFonts w:ascii="Arial" w:hAnsi="Arial" w:cs="Arial"/>
              </w:rPr>
              <w:t>0</w:t>
            </w:r>
          </w:p>
        </w:tc>
        <w:tc>
          <w:tcPr>
            <w:tcW w:w="1486" w:type="dxa"/>
          </w:tcPr>
          <w:p w:rsidR="00D849AA" w:rsidRPr="00950B90" w:rsidRDefault="00EE6D95">
            <w:pPr>
              <w:rPr>
                <w:rFonts w:ascii="Arial" w:hAnsi="Arial" w:cs="Arial"/>
              </w:rPr>
            </w:pPr>
            <w:r w:rsidRPr="00950B90">
              <w:rPr>
                <w:rFonts w:ascii="Arial" w:hAnsi="Arial" w:cs="Arial"/>
              </w:rPr>
              <w:t>0</w:t>
            </w:r>
          </w:p>
        </w:tc>
        <w:tc>
          <w:tcPr>
            <w:tcW w:w="1486" w:type="dxa"/>
          </w:tcPr>
          <w:p w:rsidR="00D849AA" w:rsidRPr="00950B90" w:rsidRDefault="00EE6D95">
            <w:pPr>
              <w:rPr>
                <w:rFonts w:ascii="Arial" w:hAnsi="Arial" w:cs="Arial"/>
              </w:rPr>
            </w:pPr>
            <w:r w:rsidRPr="00950B90">
              <w:rPr>
                <w:rFonts w:ascii="Arial" w:hAnsi="Arial" w:cs="Arial"/>
              </w:rPr>
              <w:t>4,5</w:t>
            </w:r>
          </w:p>
        </w:tc>
        <w:tc>
          <w:tcPr>
            <w:tcW w:w="1486" w:type="dxa"/>
          </w:tcPr>
          <w:p w:rsidR="00D849AA" w:rsidRPr="00950B90" w:rsidRDefault="00EE6D95">
            <w:pPr>
              <w:rPr>
                <w:rFonts w:ascii="Arial" w:hAnsi="Arial" w:cs="Arial"/>
              </w:rPr>
            </w:pPr>
            <w:r w:rsidRPr="00950B90">
              <w:rPr>
                <w:rFonts w:ascii="Arial" w:hAnsi="Arial" w:cs="Arial"/>
              </w:rPr>
              <w:t>4,5</w:t>
            </w:r>
          </w:p>
        </w:tc>
      </w:tr>
    </w:tbl>
    <w:p w:rsidR="00D849AA" w:rsidRDefault="00D849AA">
      <w:pPr>
        <w:jc w:val="left"/>
      </w:pPr>
    </w:p>
    <w:p w:rsidR="00D849AA" w:rsidRDefault="00EE6D95">
      <w:pPr>
        <w:pStyle w:val="Naslov6"/>
      </w:pPr>
      <w:r>
        <w:t>K819043 IPA II 2010 PROGRAM PREKOGRANIČNE SURADNJE HRVATSKA-CRNA GORA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K819043</w:t>
            </w:r>
          </w:p>
        </w:tc>
        <w:tc>
          <w:tcPr>
            <w:tcW w:w="1486" w:type="dxa"/>
          </w:tcPr>
          <w:p w:rsidR="00D849AA" w:rsidRDefault="00EE6D95">
            <w:r>
              <w:t>2.625.200</w:t>
            </w:r>
          </w:p>
        </w:tc>
        <w:tc>
          <w:tcPr>
            <w:tcW w:w="1486" w:type="dxa"/>
          </w:tcPr>
          <w:p w:rsidR="00D849AA" w:rsidRDefault="00EE6D95">
            <w:r>
              <w:t>1.092.000</w:t>
            </w:r>
          </w:p>
        </w:tc>
        <w:tc>
          <w:tcPr>
            <w:tcW w:w="1486" w:type="dxa"/>
          </w:tcPr>
          <w:p w:rsidR="00D849AA" w:rsidRDefault="00EE6D95">
            <w:r>
              <w:t>00</w:t>
            </w:r>
          </w:p>
        </w:tc>
        <w:tc>
          <w:tcPr>
            <w:tcW w:w="1486" w:type="dxa"/>
          </w:tcPr>
          <w:p w:rsidR="00D849AA" w:rsidRDefault="00EE6D95">
            <w:r>
              <w:t>00</w:t>
            </w:r>
          </w:p>
        </w:tc>
        <w:tc>
          <w:tcPr>
            <w:tcW w:w="1486" w:type="dxa"/>
          </w:tcPr>
          <w:p w:rsidR="00D849AA" w:rsidRDefault="00EE6D95">
            <w:r>
              <w:t>41,6</w:t>
            </w:r>
          </w:p>
        </w:tc>
      </w:tr>
    </w:tbl>
    <w:p w:rsidR="00D849AA" w:rsidRDefault="00D849AA">
      <w:pPr>
        <w:jc w:val="left"/>
      </w:pPr>
    </w:p>
    <w:p w:rsidR="00D849AA" w:rsidRDefault="00EE6D95">
      <w:pPr>
        <w:pStyle w:val="Normal6"/>
      </w:pPr>
      <w:r>
        <w:t xml:space="preserve">Program prekogranične suradnje Hrvatska - Crna Gora provodi se kroz poboljšanje kvalitete života u pograničnom području između Republike Hrvatske i Crne Gore stvaranjem povoljnih ekoloških i društveno-gospodarskih uvjeta u programskom području, kao i poboljšanjem suradnje u zajednički odabranim sektorima i razvojem dobrosusjedskih odnosa.   </w:t>
      </w:r>
    </w:p>
    <w:p w:rsidR="00D849AA" w:rsidRDefault="00EE6D95">
      <w:pPr>
        <w:pStyle w:val="Normal6"/>
      </w:pPr>
      <w:r>
        <w:t>Definirani su i sljedeći specifični ciljevi programa: uspostaviti suradnju između institucija nadležnih za zaštitu okoliša te prirode i kulturne baštine provedbom zajedničkih programa, obrazovanjem, prijenosom znanja i iskustva te aktivnostima podizanja svijesti; stvoriti prepoznatljivu turističku ponudu temeljenu na prirodnim i kulturnim bogatstvima i ponovno uspostaviti društvene veze u prekograničnom području promicanjem tradicionalne i suvremene kulture; pojačati i poboljšati suradnju između institucija, građana i građanskih udruga u područjima kao što su turizam, obrazovanje, kultura i druga kako bi se potaknuo razvoj zajednice i poboljšali susjedski odnosi.</w:t>
      </w:r>
    </w:p>
    <w:p w:rsidR="00337A23" w:rsidRDefault="00337A23">
      <w:pPr>
        <w:pStyle w:val="Normal6"/>
      </w:pPr>
    </w:p>
    <w:p w:rsidR="00337A23" w:rsidRDefault="00337A23">
      <w:pPr>
        <w:pStyle w:val="Normal6"/>
      </w:pPr>
    </w:p>
    <w:p w:rsidR="00337A23" w:rsidRDefault="00337A23">
      <w:pPr>
        <w:pStyle w:val="Normal6"/>
      </w:pPr>
    </w:p>
    <w:p w:rsidR="00D849AA" w:rsidRDefault="00EE6D95">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950B90" w:rsidRDefault="00EE6D95">
            <w:pPr>
              <w:rPr>
                <w:rFonts w:ascii="Arial" w:hAnsi="Arial" w:cs="Arial"/>
              </w:rPr>
            </w:pPr>
            <w:r w:rsidRPr="00950B90">
              <w:rPr>
                <w:rFonts w:ascii="Arial" w:hAnsi="Arial" w:cs="Arial"/>
              </w:rPr>
              <w:t>Pokazatelj rezultata</w:t>
            </w:r>
          </w:p>
        </w:tc>
        <w:tc>
          <w:tcPr>
            <w:tcW w:w="1114" w:type="dxa"/>
            <w:shd w:val="clear" w:color="auto" w:fill="B5C0D8"/>
          </w:tcPr>
          <w:p w:rsidR="00D849AA" w:rsidRPr="00950B90" w:rsidRDefault="00EE6D95">
            <w:pPr>
              <w:pStyle w:val="CellHeader"/>
            </w:pPr>
            <w:r w:rsidRPr="00950B90">
              <w:t>Jedinica</w:t>
            </w:r>
          </w:p>
        </w:tc>
        <w:tc>
          <w:tcPr>
            <w:tcW w:w="1114" w:type="dxa"/>
            <w:shd w:val="clear" w:color="auto" w:fill="B5C0D8"/>
          </w:tcPr>
          <w:p w:rsidR="00D849AA" w:rsidRPr="00950B90" w:rsidRDefault="00EE6D95">
            <w:pPr>
              <w:pStyle w:val="CellHeader"/>
            </w:pPr>
            <w:r w:rsidRPr="00950B90">
              <w:t>Polazna vrijednost</w:t>
            </w:r>
          </w:p>
        </w:tc>
        <w:tc>
          <w:tcPr>
            <w:tcW w:w="1486" w:type="dxa"/>
            <w:shd w:val="clear" w:color="auto" w:fill="B5C0D8"/>
          </w:tcPr>
          <w:p w:rsidR="00D849AA" w:rsidRPr="00950B90" w:rsidRDefault="00EE6D95">
            <w:pPr>
              <w:pStyle w:val="CellHeader"/>
            </w:pPr>
            <w:r w:rsidRPr="00950B90">
              <w:t>Ciljana vrijednost (2014.)</w:t>
            </w:r>
          </w:p>
        </w:tc>
        <w:tc>
          <w:tcPr>
            <w:tcW w:w="1486" w:type="dxa"/>
            <w:shd w:val="clear" w:color="auto" w:fill="B5C0D8"/>
          </w:tcPr>
          <w:p w:rsidR="00D849AA" w:rsidRPr="00950B90" w:rsidRDefault="00EE6D95">
            <w:pPr>
              <w:pStyle w:val="CellHeader"/>
            </w:pPr>
            <w:r w:rsidRPr="00950B90">
              <w:t>Ciljana vrijednost (2015.)</w:t>
            </w:r>
          </w:p>
        </w:tc>
        <w:tc>
          <w:tcPr>
            <w:tcW w:w="1486" w:type="dxa"/>
            <w:shd w:val="clear" w:color="auto" w:fill="B5C0D8"/>
          </w:tcPr>
          <w:p w:rsidR="00D849AA" w:rsidRPr="00950B90" w:rsidRDefault="00EE6D95">
            <w:pPr>
              <w:pStyle w:val="CellHeader"/>
            </w:pPr>
            <w:r w:rsidRPr="00950B90">
              <w:t>Ciljana vrijednost (2016.)</w:t>
            </w:r>
          </w:p>
        </w:tc>
      </w:tr>
      <w:tr w:rsidR="00D849AA">
        <w:trPr>
          <w:jc w:val="center"/>
        </w:trPr>
        <w:tc>
          <w:tcPr>
            <w:tcW w:w="2229" w:type="dxa"/>
          </w:tcPr>
          <w:p w:rsidR="00D849AA" w:rsidRPr="00950B90" w:rsidRDefault="00EE6D95">
            <w:pPr>
              <w:pStyle w:val="CellColumn"/>
            </w:pPr>
            <w:r w:rsidRPr="00950B90">
              <w:t>Povećanje broja održanih informativnih i edukativnih radionica, konferencija, tzv. kick-off sastanaka uključujući i sastanke vezane uz programiranje za program 2014. - 2020.</w:t>
            </w:r>
          </w:p>
        </w:tc>
        <w:tc>
          <w:tcPr>
            <w:tcW w:w="1114" w:type="dxa"/>
          </w:tcPr>
          <w:p w:rsidR="00D849AA" w:rsidRPr="00950B90" w:rsidRDefault="00EE6D95">
            <w:pPr>
              <w:rPr>
                <w:rFonts w:ascii="Arial" w:hAnsi="Arial" w:cs="Arial"/>
              </w:rPr>
            </w:pPr>
            <w:r w:rsidRPr="00950B90">
              <w:rPr>
                <w:rFonts w:ascii="Arial" w:hAnsi="Arial" w:cs="Arial"/>
              </w:rPr>
              <w:t>broj</w:t>
            </w:r>
          </w:p>
        </w:tc>
        <w:tc>
          <w:tcPr>
            <w:tcW w:w="1114" w:type="dxa"/>
          </w:tcPr>
          <w:p w:rsidR="00D849AA" w:rsidRPr="00950B90" w:rsidRDefault="00EE6D95">
            <w:pPr>
              <w:rPr>
                <w:rFonts w:ascii="Arial" w:hAnsi="Arial" w:cs="Arial"/>
              </w:rPr>
            </w:pPr>
            <w:r w:rsidRPr="00950B90">
              <w:rPr>
                <w:rFonts w:ascii="Arial" w:hAnsi="Arial" w:cs="Arial"/>
              </w:rPr>
              <w:t>76</w:t>
            </w:r>
          </w:p>
        </w:tc>
        <w:tc>
          <w:tcPr>
            <w:tcW w:w="1486" w:type="dxa"/>
          </w:tcPr>
          <w:p w:rsidR="00D849AA" w:rsidRPr="00950B90" w:rsidRDefault="00EE6D95">
            <w:pPr>
              <w:rPr>
                <w:rFonts w:ascii="Arial" w:hAnsi="Arial" w:cs="Arial"/>
              </w:rPr>
            </w:pPr>
            <w:r w:rsidRPr="00950B90">
              <w:rPr>
                <w:rFonts w:ascii="Arial" w:hAnsi="Arial" w:cs="Arial"/>
              </w:rPr>
              <w:t>78</w:t>
            </w:r>
          </w:p>
        </w:tc>
        <w:tc>
          <w:tcPr>
            <w:tcW w:w="1486" w:type="dxa"/>
          </w:tcPr>
          <w:p w:rsidR="00D849AA" w:rsidRPr="00950B90" w:rsidRDefault="00EE6D95">
            <w:pPr>
              <w:rPr>
                <w:rFonts w:ascii="Arial" w:hAnsi="Arial" w:cs="Arial"/>
              </w:rPr>
            </w:pPr>
            <w:r w:rsidRPr="00950B90">
              <w:rPr>
                <w:rFonts w:ascii="Arial" w:hAnsi="Arial" w:cs="Arial"/>
              </w:rPr>
              <w:t>81</w:t>
            </w:r>
          </w:p>
        </w:tc>
        <w:tc>
          <w:tcPr>
            <w:tcW w:w="1486" w:type="dxa"/>
          </w:tcPr>
          <w:p w:rsidR="00D849AA" w:rsidRPr="00950B90" w:rsidRDefault="00EE6D95">
            <w:pPr>
              <w:rPr>
                <w:rFonts w:ascii="Arial" w:hAnsi="Arial" w:cs="Arial"/>
              </w:rPr>
            </w:pPr>
            <w:r w:rsidRPr="00950B90">
              <w:rPr>
                <w:rFonts w:ascii="Arial" w:hAnsi="Arial" w:cs="Arial"/>
              </w:rPr>
              <w:t>81</w:t>
            </w:r>
          </w:p>
        </w:tc>
      </w:tr>
      <w:tr w:rsidR="00D849AA">
        <w:trPr>
          <w:jc w:val="center"/>
        </w:trPr>
        <w:tc>
          <w:tcPr>
            <w:tcW w:w="2229" w:type="dxa"/>
          </w:tcPr>
          <w:p w:rsidR="00D849AA" w:rsidRPr="00950B90" w:rsidRDefault="00EE6D95">
            <w:pPr>
              <w:pStyle w:val="CellColumn"/>
            </w:pPr>
            <w:r w:rsidRPr="00950B90">
              <w:t>Broj prijavljenih projektnih prijedloga na natječaje</w:t>
            </w:r>
          </w:p>
        </w:tc>
        <w:tc>
          <w:tcPr>
            <w:tcW w:w="1114" w:type="dxa"/>
          </w:tcPr>
          <w:p w:rsidR="00D849AA" w:rsidRPr="00950B90" w:rsidRDefault="00EE6D95">
            <w:pPr>
              <w:rPr>
                <w:rFonts w:ascii="Arial" w:hAnsi="Arial" w:cs="Arial"/>
              </w:rPr>
            </w:pPr>
            <w:r w:rsidRPr="00950B90">
              <w:rPr>
                <w:rFonts w:ascii="Arial" w:hAnsi="Arial" w:cs="Arial"/>
              </w:rPr>
              <w:t>broj</w:t>
            </w:r>
          </w:p>
        </w:tc>
        <w:tc>
          <w:tcPr>
            <w:tcW w:w="1114" w:type="dxa"/>
          </w:tcPr>
          <w:p w:rsidR="00D849AA" w:rsidRPr="00950B90" w:rsidRDefault="00EE6D95">
            <w:pPr>
              <w:rPr>
                <w:rFonts w:ascii="Arial" w:hAnsi="Arial" w:cs="Arial"/>
              </w:rPr>
            </w:pPr>
            <w:r w:rsidRPr="00950B90">
              <w:rPr>
                <w:rFonts w:ascii="Arial" w:hAnsi="Arial" w:cs="Arial"/>
              </w:rPr>
              <w:t>137</w:t>
            </w:r>
          </w:p>
        </w:tc>
        <w:tc>
          <w:tcPr>
            <w:tcW w:w="1486" w:type="dxa"/>
          </w:tcPr>
          <w:p w:rsidR="00D849AA" w:rsidRPr="00950B90" w:rsidRDefault="00EE6D95">
            <w:pPr>
              <w:rPr>
                <w:rFonts w:ascii="Arial" w:hAnsi="Arial" w:cs="Arial"/>
              </w:rPr>
            </w:pPr>
            <w:r w:rsidRPr="00950B90">
              <w:rPr>
                <w:rFonts w:ascii="Arial" w:hAnsi="Arial" w:cs="Arial"/>
              </w:rPr>
              <w:t>137</w:t>
            </w:r>
          </w:p>
        </w:tc>
        <w:tc>
          <w:tcPr>
            <w:tcW w:w="1486" w:type="dxa"/>
          </w:tcPr>
          <w:p w:rsidR="00D849AA" w:rsidRPr="00950B90" w:rsidRDefault="00EE6D95">
            <w:pPr>
              <w:rPr>
                <w:rFonts w:ascii="Arial" w:hAnsi="Arial" w:cs="Arial"/>
              </w:rPr>
            </w:pPr>
            <w:r w:rsidRPr="00950B90">
              <w:rPr>
                <w:rFonts w:ascii="Arial" w:hAnsi="Arial" w:cs="Arial"/>
              </w:rPr>
              <w:t>137</w:t>
            </w:r>
          </w:p>
        </w:tc>
        <w:tc>
          <w:tcPr>
            <w:tcW w:w="1486" w:type="dxa"/>
          </w:tcPr>
          <w:p w:rsidR="00D849AA" w:rsidRPr="00950B90" w:rsidRDefault="00EE6D95">
            <w:pPr>
              <w:rPr>
                <w:rFonts w:ascii="Arial" w:hAnsi="Arial" w:cs="Arial"/>
              </w:rPr>
            </w:pPr>
            <w:r w:rsidRPr="00950B90">
              <w:rPr>
                <w:rFonts w:ascii="Arial" w:hAnsi="Arial" w:cs="Arial"/>
              </w:rPr>
              <w:t>137</w:t>
            </w:r>
          </w:p>
        </w:tc>
      </w:tr>
      <w:tr w:rsidR="00D849AA">
        <w:trPr>
          <w:jc w:val="center"/>
        </w:trPr>
        <w:tc>
          <w:tcPr>
            <w:tcW w:w="2229" w:type="dxa"/>
          </w:tcPr>
          <w:p w:rsidR="00D849AA" w:rsidRPr="00950B90" w:rsidRDefault="00EE6D95">
            <w:pPr>
              <w:pStyle w:val="CellColumn"/>
            </w:pPr>
            <w:r w:rsidRPr="00950B90">
              <w:t>Postotak ugovorenosti alokacija</w:t>
            </w:r>
          </w:p>
        </w:tc>
        <w:tc>
          <w:tcPr>
            <w:tcW w:w="1114" w:type="dxa"/>
          </w:tcPr>
          <w:p w:rsidR="00D849AA" w:rsidRPr="00950B90" w:rsidRDefault="00EE6D95">
            <w:pPr>
              <w:rPr>
                <w:rFonts w:ascii="Arial" w:hAnsi="Arial" w:cs="Arial"/>
              </w:rPr>
            </w:pPr>
            <w:r w:rsidRPr="00950B90">
              <w:rPr>
                <w:rFonts w:ascii="Arial" w:hAnsi="Arial" w:cs="Arial"/>
              </w:rPr>
              <w:t>%</w:t>
            </w:r>
          </w:p>
        </w:tc>
        <w:tc>
          <w:tcPr>
            <w:tcW w:w="1114" w:type="dxa"/>
          </w:tcPr>
          <w:p w:rsidR="00D849AA" w:rsidRPr="00950B90" w:rsidRDefault="00EE6D95">
            <w:pPr>
              <w:rPr>
                <w:rFonts w:ascii="Arial" w:hAnsi="Arial" w:cs="Arial"/>
              </w:rPr>
            </w:pPr>
            <w:r w:rsidRPr="00950B90">
              <w:rPr>
                <w:rFonts w:ascii="Arial" w:hAnsi="Arial" w:cs="Arial"/>
              </w:rPr>
              <w:t>90</w:t>
            </w:r>
          </w:p>
        </w:tc>
        <w:tc>
          <w:tcPr>
            <w:tcW w:w="1486" w:type="dxa"/>
          </w:tcPr>
          <w:p w:rsidR="00D849AA" w:rsidRPr="00950B90" w:rsidRDefault="00EE6D95">
            <w:pPr>
              <w:rPr>
                <w:rFonts w:ascii="Arial" w:hAnsi="Arial" w:cs="Arial"/>
              </w:rPr>
            </w:pPr>
            <w:r w:rsidRPr="00950B90">
              <w:rPr>
                <w:rFonts w:ascii="Arial" w:hAnsi="Arial" w:cs="Arial"/>
              </w:rPr>
              <w:t>90</w:t>
            </w:r>
          </w:p>
        </w:tc>
        <w:tc>
          <w:tcPr>
            <w:tcW w:w="1486" w:type="dxa"/>
          </w:tcPr>
          <w:p w:rsidR="00D849AA" w:rsidRPr="00950B90" w:rsidRDefault="00EE6D95">
            <w:pPr>
              <w:rPr>
                <w:rFonts w:ascii="Arial" w:hAnsi="Arial" w:cs="Arial"/>
              </w:rPr>
            </w:pPr>
            <w:r w:rsidRPr="00950B90">
              <w:rPr>
                <w:rFonts w:ascii="Arial" w:hAnsi="Arial" w:cs="Arial"/>
              </w:rPr>
              <w:t>90</w:t>
            </w:r>
          </w:p>
        </w:tc>
        <w:tc>
          <w:tcPr>
            <w:tcW w:w="1486" w:type="dxa"/>
          </w:tcPr>
          <w:p w:rsidR="00D849AA" w:rsidRPr="00950B90" w:rsidRDefault="00EE6D95">
            <w:pPr>
              <w:rPr>
                <w:rFonts w:ascii="Arial" w:hAnsi="Arial" w:cs="Arial"/>
              </w:rPr>
            </w:pPr>
            <w:r w:rsidRPr="00950B90">
              <w:rPr>
                <w:rFonts w:ascii="Arial" w:hAnsi="Arial" w:cs="Arial"/>
              </w:rPr>
              <w:t>90</w:t>
            </w:r>
          </w:p>
        </w:tc>
      </w:tr>
    </w:tbl>
    <w:p w:rsidR="00D849AA" w:rsidRDefault="00D849AA">
      <w:pPr>
        <w:jc w:val="left"/>
      </w:pPr>
    </w:p>
    <w:p w:rsidR="00D849AA" w:rsidRDefault="00EE6D95">
      <w:pPr>
        <w:pStyle w:val="Naslov6"/>
      </w:pPr>
      <w:r>
        <w:t>K820041 IPA II 2010 PROGRAM PREKOGRANIČNE SURADNJE HRVATSKA-BOSNA I HERCEGOVINA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950B90" w:rsidRDefault="00EE6D95">
            <w:pPr>
              <w:pStyle w:val="CellHeader"/>
            </w:pPr>
            <w:r w:rsidRPr="00950B90">
              <w:t>Naziv aktivnosti</w:t>
            </w:r>
          </w:p>
        </w:tc>
        <w:tc>
          <w:tcPr>
            <w:tcW w:w="1486" w:type="dxa"/>
            <w:shd w:val="clear" w:color="auto" w:fill="B5C0D8"/>
          </w:tcPr>
          <w:p w:rsidR="00D849AA" w:rsidRPr="00950B90" w:rsidRDefault="00EE6D95">
            <w:pPr>
              <w:pStyle w:val="CellHeader"/>
            </w:pPr>
            <w:r w:rsidRPr="00950B90">
              <w:t>Plan 2013.</w:t>
            </w:r>
          </w:p>
        </w:tc>
        <w:tc>
          <w:tcPr>
            <w:tcW w:w="1486" w:type="dxa"/>
            <w:shd w:val="clear" w:color="auto" w:fill="B5C0D8"/>
          </w:tcPr>
          <w:p w:rsidR="00D849AA" w:rsidRPr="00950B90" w:rsidRDefault="00EE6D95">
            <w:pPr>
              <w:pStyle w:val="CellHeader"/>
            </w:pPr>
            <w:r w:rsidRPr="00950B90">
              <w:t>Plan 2014.</w:t>
            </w:r>
          </w:p>
        </w:tc>
        <w:tc>
          <w:tcPr>
            <w:tcW w:w="1486" w:type="dxa"/>
            <w:shd w:val="clear" w:color="auto" w:fill="B5C0D8"/>
          </w:tcPr>
          <w:p w:rsidR="00D849AA" w:rsidRPr="00950B90" w:rsidRDefault="00EE6D95">
            <w:pPr>
              <w:pStyle w:val="CellHeader"/>
            </w:pPr>
            <w:r w:rsidRPr="00950B90">
              <w:t>Plan 2015.</w:t>
            </w:r>
          </w:p>
        </w:tc>
        <w:tc>
          <w:tcPr>
            <w:tcW w:w="1486" w:type="dxa"/>
            <w:shd w:val="clear" w:color="auto" w:fill="B5C0D8"/>
          </w:tcPr>
          <w:p w:rsidR="00D849AA" w:rsidRPr="00950B90" w:rsidRDefault="00EE6D95">
            <w:pPr>
              <w:pStyle w:val="CellHeader"/>
            </w:pPr>
            <w:r w:rsidRPr="00950B90">
              <w:t>Plan 2016.</w:t>
            </w:r>
          </w:p>
        </w:tc>
        <w:tc>
          <w:tcPr>
            <w:tcW w:w="1486" w:type="dxa"/>
            <w:shd w:val="clear" w:color="auto" w:fill="B5C0D8"/>
          </w:tcPr>
          <w:p w:rsidR="00D849AA" w:rsidRPr="00950B90" w:rsidRDefault="00EE6D95">
            <w:pPr>
              <w:pStyle w:val="CellHeader"/>
            </w:pPr>
            <w:r w:rsidRPr="00950B90">
              <w:t>Indeks 2014/2013</w:t>
            </w:r>
          </w:p>
        </w:tc>
      </w:tr>
      <w:tr w:rsidR="00D849AA">
        <w:trPr>
          <w:jc w:val="center"/>
        </w:trPr>
        <w:tc>
          <w:tcPr>
            <w:tcW w:w="1486" w:type="dxa"/>
          </w:tcPr>
          <w:p w:rsidR="00D849AA" w:rsidRPr="00950B90" w:rsidRDefault="00EE6D95">
            <w:pPr>
              <w:pStyle w:val="CellColumn"/>
            </w:pPr>
            <w:r w:rsidRPr="00950B90">
              <w:t>K820041</w:t>
            </w:r>
          </w:p>
        </w:tc>
        <w:tc>
          <w:tcPr>
            <w:tcW w:w="1486" w:type="dxa"/>
          </w:tcPr>
          <w:p w:rsidR="00D849AA" w:rsidRPr="00950B90" w:rsidRDefault="00EE6D95">
            <w:pPr>
              <w:rPr>
                <w:rFonts w:ascii="Arial" w:hAnsi="Arial" w:cs="Arial"/>
              </w:rPr>
            </w:pPr>
            <w:r w:rsidRPr="00950B90">
              <w:rPr>
                <w:rFonts w:ascii="Arial" w:hAnsi="Arial" w:cs="Arial"/>
              </w:rPr>
              <w:t>768.700</w:t>
            </w:r>
          </w:p>
        </w:tc>
        <w:tc>
          <w:tcPr>
            <w:tcW w:w="1486" w:type="dxa"/>
          </w:tcPr>
          <w:p w:rsidR="00D849AA" w:rsidRPr="00950B90" w:rsidRDefault="00EE6D95">
            <w:pPr>
              <w:rPr>
                <w:rFonts w:ascii="Arial" w:hAnsi="Arial" w:cs="Arial"/>
              </w:rPr>
            </w:pPr>
            <w:r w:rsidRPr="00950B90">
              <w:rPr>
                <w:rFonts w:ascii="Arial" w:hAnsi="Arial" w:cs="Arial"/>
              </w:rPr>
              <w:t>1.020.000</w:t>
            </w:r>
          </w:p>
        </w:tc>
        <w:tc>
          <w:tcPr>
            <w:tcW w:w="1486" w:type="dxa"/>
          </w:tcPr>
          <w:p w:rsidR="00D849AA" w:rsidRPr="00950B90" w:rsidRDefault="00EE6D95">
            <w:pPr>
              <w:rPr>
                <w:rFonts w:ascii="Arial" w:hAnsi="Arial" w:cs="Arial"/>
              </w:rPr>
            </w:pPr>
            <w:r w:rsidRPr="00950B90">
              <w:rPr>
                <w:rFonts w:ascii="Arial" w:hAnsi="Arial" w:cs="Arial"/>
              </w:rPr>
              <w:t>00</w:t>
            </w:r>
          </w:p>
        </w:tc>
        <w:tc>
          <w:tcPr>
            <w:tcW w:w="1486" w:type="dxa"/>
          </w:tcPr>
          <w:p w:rsidR="00D849AA" w:rsidRPr="00950B90" w:rsidRDefault="00EE6D95">
            <w:pPr>
              <w:rPr>
                <w:rFonts w:ascii="Arial" w:hAnsi="Arial" w:cs="Arial"/>
              </w:rPr>
            </w:pPr>
            <w:r w:rsidRPr="00950B90">
              <w:rPr>
                <w:rFonts w:ascii="Arial" w:hAnsi="Arial" w:cs="Arial"/>
              </w:rPr>
              <w:t>00</w:t>
            </w:r>
          </w:p>
        </w:tc>
        <w:tc>
          <w:tcPr>
            <w:tcW w:w="1486" w:type="dxa"/>
          </w:tcPr>
          <w:p w:rsidR="00D849AA" w:rsidRPr="00950B90" w:rsidRDefault="00EE6D95">
            <w:pPr>
              <w:rPr>
                <w:rFonts w:ascii="Arial" w:hAnsi="Arial" w:cs="Arial"/>
              </w:rPr>
            </w:pPr>
            <w:r w:rsidRPr="00950B90">
              <w:rPr>
                <w:rFonts w:ascii="Arial" w:hAnsi="Arial" w:cs="Arial"/>
              </w:rPr>
              <w:t>132,7</w:t>
            </w:r>
          </w:p>
        </w:tc>
      </w:tr>
    </w:tbl>
    <w:p w:rsidR="00D849AA" w:rsidRDefault="00D849AA">
      <w:pPr>
        <w:jc w:val="left"/>
      </w:pPr>
    </w:p>
    <w:p w:rsidR="00D849AA" w:rsidRDefault="00EE6D95">
      <w:pPr>
        <w:pStyle w:val="Normal6"/>
      </w:pPr>
      <w:r>
        <w:t xml:space="preserve">Aktivnost se provodi na način da potiče stvaranje prekograničnih mreža i partnerstava, razvoj zajedničkih prekograničnih djelovanja u smjeru revitalizacije gospodarstva, zaštite prirode i okoliša, te jačanje socijalne kohezije na programskom području s neospornim prirodnim i kulturnim potencijalom koji nije dovoljno iskorišten.   </w:t>
      </w:r>
    </w:p>
    <w:p w:rsidR="00D849AA" w:rsidRDefault="00EE6D95">
      <w:pPr>
        <w:pStyle w:val="Normal6"/>
      </w:pPr>
      <w:r>
        <w:t>Dodatni je cilj programa izgradnja kapaciteta lokalnih, regionalnih i državnih institucija za upravljanje EU programima, te priprema za upravljanje budućim programima prekogranične suradnje. Do povećanja iznosa u 2014. godini dolazi prvenstveno zbog isplate korisnika programa koji se bilježe kao rashodi na izvoru 51 navedene aktivnosti.</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rsidRPr="00950B90">
        <w:trPr>
          <w:jc w:val="center"/>
        </w:trPr>
        <w:tc>
          <w:tcPr>
            <w:tcW w:w="2229" w:type="dxa"/>
            <w:shd w:val="clear" w:color="auto" w:fill="B5C0D8"/>
          </w:tcPr>
          <w:p w:rsidR="00D849AA" w:rsidRPr="00950B90" w:rsidRDefault="00EE6D95">
            <w:pPr>
              <w:rPr>
                <w:rFonts w:ascii="Arial" w:hAnsi="Arial" w:cs="Arial"/>
              </w:rPr>
            </w:pPr>
            <w:r w:rsidRPr="00950B90">
              <w:rPr>
                <w:rFonts w:ascii="Arial" w:hAnsi="Arial" w:cs="Arial"/>
              </w:rPr>
              <w:t>Pokazatelj rezultata</w:t>
            </w:r>
          </w:p>
        </w:tc>
        <w:tc>
          <w:tcPr>
            <w:tcW w:w="1114" w:type="dxa"/>
            <w:shd w:val="clear" w:color="auto" w:fill="B5C0D8"/>
          </w:tcPr>
          <w:p w:rsidR="00D849AA" w:rsidRPr="00950B90" w:rsidRDefault="00EE6D95">
            <w:pPr>
              <w:pStyle w:val="CellHeader"/>
            </w:pPr>
            <w:r w:rsidRPr="00950B90">
              <w:t>Jedinica</w:t>
            </w:r>
          </w:p>
        </w:tc>
        <w:tc>
          <w:tcPr>
            <w:tcW w:w="1114" w:type="dxa"/>
            <w:shd w:val="clear" w:color="auto" w:fill="B5C0D8"/>
          </w:tcPr>
          <w:p w:rsidR="00D849AA" w:rsidRPr="00950B90" w:rsidRDefault="00EE6D95">
            <w:pPr>
              <w:pStyle w:val="CellHeader"/>
            </w:pPr>
            <w:r w:rsidRPr="00950B90">
              <w:t>Polazna vrijednost</w:t>
            </w:r>
          </w:p>
        </w:tc>
        <w:tc>
          <w:tcPr>
            <w:tcW w:w="1486" w:type="dxa"/>
            <w:shd w:val="clear" w:color="auto" w:fill="B5C0D8"/>
          </w:tcPr>
          <w:p w:rsidR="00D849AA" w:rsidRPr="00950B90" w:rsidRDefault="00EE6D95">
            <w:pPr>
              <w:pStyle w:val="CellHeader"/>
            </w:pPr>
            <w:r w:rsidRPr="00950B90">
              <w:t>Ciljana vrijednost (2014.)</w:t>
            </w:r>
          </w:p>
        </w:tc>
        <w:tc>
          <w:tcPr>
            <w:tcW w:w="1486" w:type="dxa"/>
            <w:shd w:val="clear" w:color="auto" w:fill="B5C0D8"/>
          </w:tcPr>
          <w:p w:rsidR="00D849AA" w:rsidRPr="00950B90" w:rsidRDefault="00EE6D95">
            <w:pPr>
              <w:pStyle w:val="CellHeader"/>
            </w:pPr>
            <w:r w:rsidRPr="00950B90">
              <w:t>Ciljana vrijednost (2015.)</w:t>
            </w:r>
          </w:p>
        </w:tc>
        <w:tc>
          <w:tcPr>
            <w:tcW w:w="1486" w:type="dxa"/>
            <w:shd w:val="clear" w:color="auto" w:fill="B5C0D8"/>
          </w:tcPr>
          <w:p w:rsidR="00D849AA" w:rsidRPr="00950B90" w:rsidRDefault="00EE6D95">
            <w:pPr>
              <w:pStyle w:val="CellHeader"/>
            </w:pPr>
            <w:r w:rsidRPr="00950B90">
              <w:t>Ciljana vrijednost (2016.)</w:t>
            </w:r>
          </w:p>
        </w:tc>
      </w:tr>
      <w:tr w:rsidR="00D849AA" w:rsidRPr="00950B90">
        <w:trPr>
          <w:jc w:val="center"/>
        </w:trPr>
        <w:tc>
          <w:tcPr>
            <w:tcW w:w="2229" w:type="dxa"/>
          </w:tcPr>
          <w:p w:rsidR="00D849AA" w:rsidRPr="00950B90" w:rsidRDefault="00EE6D95">
            <w:pPr>
              <w:pStyle w:val="CellColumn"/>
            </w:pPr>
            <w:r w:rsidRPr="00950B90">
              <w:t xml:space="preserve">Povećanje broja održanih informativnih i edukativnih radionica, konferencija, tzv. kick-off sastanaka uključujući i sastanke </w:t>
            </w:r>
            <w:r w:rsidRPr="00950B90">
              <w:lastRenderedPageBreak/>
              <w:t xml:space="preserve">vezane uz programiranje za  </w:t>
            </w:r>
          </w:p>
          <w:p w:rsidR="00D849AA" w:rsidRPr="00950B90" w:rsidRDefault="00EE6D95">
            <w:pPr>
              <w:pStyle w:val="CellColumn"/>
            </w:pPr>
            <w:r w:rsidRPr="00950B90">
              <w:t>program 2014. - 2020.</w:t>
            </w:r>
          </w:p>
        </w:tc>
        <w:tc>
          <w:tcPr>
            <w:tcW w:w="1114" w:type="dxa"/>
          </w:tcPr>
          <w:p w:rsidR="00D849AA" w:rsidRPr="00950B90" w:rsidRDefault="00EE6D95">
            <w:pPr>
              <w:rPr>
                <w:rFonts w:ascii="Arial" w:hAnsi="Arial" w:cs="Arial"/>
              </w:rPr>
            </w:pPr>
            <w:r w:rsidRPr="00950B90">
              <w:rPr>
                <w:rFonts w:ascii="Arial" w:hAnsi="Arial" w:cs="Arial"/>
              </w:rPr>
              <w:lastRenderedPageBreak/>
              <w:t>broj</w:t>
            </w:r>
          </w:p>
        </w:tc>
        <w:tc>
          <w:tcPr>
            <w:tcW w:w="1114" w:type="dxa"/>
          </w:tcPr>
          <w:p w:rsidR="00D849AA" w:rsidRPr="00950B90" w:rsidRDefault="00EE6D95">
            <w:pPr>
              <w:rPr>
                <w:rFonts w:ascii="Arial" w:hAnsi="Arial" w:cs="Arial"/>
              </w:rPr>
            </w:pPr>
            <w:r w:rsidRPr="00950B90">
              <w:rPr>
                <w:rFonts w:ascii="Arial" w:hAnsi="Arial" w:cs="Arial"/>
              </w:rPr>
              <w:t>58</w:t>
            </w:r>
          </w:p>
        </w:tc>
        <w:tc>
          <w:tcPr>
            <w:tcW w:w="1486" w:type="dxa"/>
          </w:tcPr>
          <w:p w:rsidR="00D849AA" w:rsidRPr="00950B90" w:rsidRDefault="00EE6D95">
            <w:pPr>
              <w:rPr>
                <w:rFonts w:ascii="Arial" w:hAnsi="Arial" w:cs="Arial"/>
              </w:rPr>
            </w:pPr>
            <w:r w:rsidRPr="00950B90">
              <w:rPr>
                <w:rFonts w:ascii="Arial" w:hAnsi="Arial" w:cs="Arial"/>
              </w:rPr>
              <w:t>68</w:t>
            </w:r>
          </w:p>
        </w:tc>
        <w:tc>
          <w:tcPr>
            <w:tcW w:w="1486" w:type="dxa"/>
          </w:tcPr>
          <w:p w:rsidR="00D849AA" w:rsidRPr="00950B90" w:rsidRDefault="00EE6D95">
            <w:pPr>
              <w:rPr>
                <w:rFonts w:ascii="Arial" w:hAnsi="Arial" w:cs="Arial"/>
              </w:rPr>
            </w:pPr>
            <w:r w:rsidRPr="00950B90">
              <w:rPr>
                <w:rFonts w:ascii="Arial" w:hAnsi="Arial" w:cs="Arial"/>
              </w:rPr>
              <w:t>78</w:t>
            </w:r>
          </w:p>
        </w:tc>
        <w:tc>
          <w:tcPr>
            <w:tcW w:w="1486" w:type="dxa"/>
          </w:tcPr>
          <w:p w:rsidR="00D849AA" w:rsidRPr="00950B90" w:rsidRDefault="00EE6D95">
            <w:pPr>
              <w:rPr>
                <w:rFonts w:ascii="Arial" w:hAnsi="Arial" w:cs="Arial"/>
              </w:rPr>
            </w:pPr>
            <w:r w:rsidRPr="00950B90">
              <w:rPr>
                <w:rFonts w:ascii="Arial" w:hAnsi="Arial" w:cs="Arial"/>
              </w:rPr>
              <w:t>78</w:t>
            </w:r>
          </w:p>
        </w:tc>
      </w:tr>
      <w:tr w:rsidR="00D849AA" w:rsidRPr="00950B90">
        <w:trPr>
          <w:jc w:val="center"/>
        </w:trPr>
        <w:tc>
          <w:tcPr>
            <w:tcW w:w="2229" w:type="dxa"/>
          </w:tcPr>
          <w:p w:rsidR="00D849AA" w:rsidRPr="00950B90" w:rsidRDefault="00EE6D95">
            <w:pPr>
              <w:pStyle w:val="CellColumn"/>
            </w:pPr>
            <w:r w:rsidRPr="00950B90">
              <w:lastRenderedPageBreak/>
              <w:t>Broj prijavljenih projektnih prijedloga na natječaje</w:t>
            </w:r>
          </w:p>
        </w:tc>
        <w:tc>
          <w:tcPr>
            <w:tcW w:w="1114" w:type="dxa"/>
          </w:tcPr>
          <w:p w:rsidR="00D849AA" w:rsidRPr="00950B90" w:rsidRDefault="00EE6D95">
            <w:pPr>
              <w:rPr>
                <w:rFonts w:ascii="Arial" w:hAnsi="Arial" w:cs="Arial"/>
              </w:rPr>
            </w:pPr>
            <w:r w:rsidRPr="00950B90">
              <w:rPr>
                <w:rFonts w:ascii="Arial" w:hAnsi="Arial" w:cs="Arial"/>
              </w:rPr>
              <w:t>broj</w:t>
            </w:r>
          </w:p>
        </w:tc>
        <w:tc>
          <w:tcPr>
            <w:tcW w:w="1114" w:type="dxa"/>
          </w:tcPr>
          <w:p w:rsidR="00D849AA" w:rsidRPr="00950B90" w:rsidRDefault="00EE6D95">
            <w:pPr>
              <w:rPr>
                <w:rFonts w:ascii="Arial" w:hAnsi="Arial" w:cs="Arial"/>
              </w:rPr>
            </w:pPr>
            <w:r w:rsidRPr="00950B90">
              <w:rPr>
                <w:rFonts w:ascii="Arial" w:hAnsi="Arial" w:cs="Arial"/>
              </w:rPr>
              <w:t>420</w:t>
            </w:r>
          </w:p>
        </w:tc>
        <w:tc>
          <w:tcPr>
            <w:tcW w:w="1486" w:type="dxa"/>
          </w:tcPr>
          <w:p w:rsidR="00D849AA" w:rsidRPr="00950B90" w:rsidRDefault="00EE6D95">
            <w:pPr>
              <w:rPr>
                <w:rFonts w:ascii="Arial" w:hAnsi="Arial" w:cs="Arial"/>
              </w:rPr>
            </w:pPr>
            <w:r w:rsidRPr="00950B90">
              <w:rPr>
                <w:rFonts w:ascii="Arial" w:hAnsi="Arial" w:cs="Arial"/>
              </w:rPr>
              <w:t>420</w:t>
            </w:r>
          </w:p>
        </w:tc>
        <w:tc>
          <w:tcPr>
            <w:tcW w:w="1486" w:type="dxa"/>
          </w:tcPr>
          <w:p w:rsidR="00D849AA" w:rsidRPr="00950B90" w:rsidRDefault="00EE6D95">
            <w:pPr>
              <w:rPr>
                <w:rFonts w:ascii="Arial" w:hAnsi="Arial" w:cs="Arial"/>
              </w:rPr>
            </w:pPr>
            <w:r w:rsidRPr="00950B90">
              <w:rPr>
                <w:rFonts w:ascii="Arial" w:hAnsi="Arial" w:cs="Arial"/>
              </w:rPr>
              <w:t>420</w:t>
            </w:r>
          </w:p>
        </w:tc>
        <w:tc>
          <w:tcPr>
            <w:tcW w:w="1486" w:type="dxa"/>
          </w:tcPr>
          <w:p w:rsidR="00D849AA" w:rsidRPr="00950B90" w:rsidRDefault="00EE6D95">
            <w:pPr>
              <w:rPr>
                <w:rFonts w:ascii="Arial" w:hAnsi="Arial" w:cs="Arial"/>
              </w:rPr>
            </w:pPr>
            <w:r w:rsidRPr="00950B90">
              <w:rPr>
                <w:rFonts w:ascii="Arial" w:hAnsi="Arial" w:cs="Arial"/>
              </w:rPr>
              <w:t>420</w:t>
            </w:r>
          </w:p>
        </w:tc>
      </w:tr>
      <w:tr w:rsidR="00D849AA" w:rsidRPr="00950B90">
        <w:trPr>
          <w:jc w:val="center"/>
        </w:trPr>
        <w:tc>
          <w:tcPr>
            <w:tcW w:w="2229" w:type="dxa"/>
          </w:tcPr>
          <w:p w:rsidR="00D849AA" w:rsidRPr="00950B90" w:rsidRDefault="00EE6D95">
            <w:pPr>
              <w:pStyle w:val="CellColumn"/>
            </w:pPr>
            <w:r w:rsidRPr="00950B90">
              <w:t>Postotak ugovorenosti alokacija</w:t>
            </w:r>
          </w:p>
        </w:tc>
        <w:tc>
          <w:tcPr>
            <w:tcW w:w="1114" w:type="dxa"/>
          </w:tcPr>
          <w:p w:rsidR="00D849AA" w:rsidRPr="00950B90" w:rsidRDefault="00EE6D95">
            <w:pPr>
              <w:rPr>
                <w:rFonts w:ascii="Arial" w:hAnsi="Arial" w:cs="Arial"/>
              </w:rPr>
            </w:pPr>
            <w:r w:rsidRPr="00950B90">
              <w:rPr>
                <w:rFonts w:ascii="Arial" w:hAnsi="Arial" w:cs="Arial"/>
              </w:rPr>
              <w:t>%</w:t>
            </w:r>
          </w:p>
        </w:tc>
        <w:tc>
          <w:tcPr>
            <w:tcW w:w="1114" w:type="dxa"/>
          </w:tcPr>
          <w:p w:rsidR="00D849AA" w:rsidRPr="00950B90" w:rsidRDefault="00EE6D95">
            <w:pPr>
              <w:rPr>
                <w:rFonts w:ascii="Arial" w:hAnsi="Arial" w:cs="Arial"/>
              </w:rPr>
            </w:pPr>
            <w:r w:rsidRPr="00950B90">
              <w:rPr>
                <w:rFonts w:ascii="Arial" w:hAnsi="Arial" w:cs="Arial"/>
              </w:rPr>
              <w:t>90</w:t>
            </w:r>
          </w:p>
        </w:tc>
        <w:tc>
          <w:tcPr>
            <w:tcW w:w="1486" w:type="dxa"/>
          </w:tcPr>
          <w:p w:rsidR="00D849AA" w:rsidRPr="00950B90" w:rsidRDefault="00EE6D95">
            <w:pPr>
              <w:rPr>
                <w:rFonts w:ascii="Arial" w:hAnsi="Arial" w:cs="Arial"/>
              </w:rPr>
            </w:pPr>
            <w:r w:rsidRPr="00950B90">
              <w:rPr>
                <w:rFonts w:ascii="Arial" w:hAnsi="Arial" w:cs="Arial"/>
              </w:rPr>
              <w:t>90</w:t>
            </w:r>
          </w:p>
        </w:tc>
        <w:tc>
          <w:tcPr>
            <w:tcW w:w="1486" w:type="dxa"/>
          </w:tcPr>
          <w:p w:rsidR="00D849AA" w:rsidRPr="00950B90" w:rsidRDefault="00EE6D95">
            <w:pPr>
              <w:rPr>
                <w:rFonts w:ascii="Arial" w:hAnsi="Arial" w:cs="Arial"/>
              </w:rPr>
            </w:pPr>
            <w:r w:rsidRPr="00950B90">
              <w:rPr>
                <w:rFonts w:ascii="Arial" w:hAnsi="Arial" w:cs="Arial"/>
              </w:rPr>
              <w:t>90</w:t>
            </w:r>
          </w:p>
        </w:tc>
        <w:tc>
          <w:tcPr>
            <w:tcW w:w="1486" w:type="dxa"/>
          </w:tcPr>
          <w:p w:rsidR="00D849AA" w:rsidRPr="00950B90" w:rsidRDefault="00EE6D95">
            <w:pPr>
              <w:rPr>
                <w:rFonts w:ascii="Arial" w:hAnsi="Arial" w:cs="Arial"/>
              </w:rPr>
            </w:pPr>
            <w:r w:rsidRPr="00950B90">
              <w:rPr>
                <w:rFonts w:ascii="Arial" w:hAnsi="Arial" w:cs="Arial"/>
              </w:rPr>
              <w:t>90</w:t>
            </w:r>
          </w:p>
        </w:tc>
      </w:tr>
    </w:tbl>
    <w:p w:rsidR="00D849AA" w:rsidRDefault="00D849AA">
      <w:pPr>
        <w:jc w:val="left"/>
        <w:rPr>
          <w:rFonts w:ascii="Arial" w:hAnsi="Arial" w:cs="Arial"/>
        </w:rPr>
      </w:pPr>
    </w:p>
    <w:p w:rsidR="00D849AA" w:rsidRDefault="00EE6D95">
      <w:pPr>
        <w:pStyle w:val="Naslov6"/>
      </w:pPr>
      <w:r>
        <w:t>K821024 IPA II  TRANSNACIONALNI PROGRAM SEE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950B90" w:rsidRDefault="00EE6D95">
            <w:pPr>
              <w:pStyle w:val="CellHeader"/>
            </w:pPr>
            <w:r w:rsidRPr="00950B90">
              <w:t>Naziv aktivnosti</w:t>
            </w:r>
          </w:p>
        </w:tc>
        <w:tc>
          <w:tcPr>
            <w:tcW w:w="1486" w:type="dxa"/>
            <w:shd w:val="clear" w:color="auto" w:fill="B5C0D8"/>
          </w:tcPr>
          <w:p w:rsidR="00D849AA" w:rsidRPr="00950B90" w:rsidRDefault="00EE6D95">
            <w:pPr>
              <w:pStyle w:val="CellHeader"/>
            </w:pPr>
            <w:r w:rsidRPr="00950B90">
              <w:t>Plan 2013.</w:t>
            </w:r>
          </w:p>
        </w:tc>
        <w:tc>
          <w:tcPr>
            <w:tcW w:w="1486" w:type="dxa"/>
            <w:shd w:val="clear" w:color="auto" w:fill="B5C0D8"/>
          </w:tcPr>
          <w:p w:rsidR="00D849AA" w:rsidRPr="00950B90" w:rsidRDefault="00EE6D95">
            <w:pPr>
              <w:pStyle w:val="CellHeader"/>
            </w:pPr>
            <w:r w:rsidRPr="00950B90">
              <w:t>Plan 2014.</w:t>
            </w:r>
          </w:p>
        </w:tc>
        <w:tc>
          <w:tcPr>
            <w:tcW w:w="1486" w:type="dxa"/>
            <w:shd w:val="clear" w:color="auto" w:fill="B5C0D8"/>
          </w:tcPr>
          <w:p w:rsidR="00D849AA" w:rsidRPr="00950B90" w:rsidRDefault="00EE6D95">
            <w:pPr>
              <w:pStyle w:val="CellHeader"/>
            </w:pPr>
            <w:r w:rsidRPr="00950B90">
              <w:t>Plan 2015.</w:t>
            </w:r>
          </w:p>
        </w:tc>
        <w:tc>
          <w:tcPr>
            <w:tcW w:w="1486" w:type="dxa"/>
            <w:shd w:val="clear" w:color="auto" w:fill="B5C0D8"/>
          </w:tcPr>
          <w:p w:rsidR="00D849AA" w:rsidRPr="00950B90" w:rsidRDefault="00EE6D95">
            <w:pPr>
              <w:pStyle w:val="CellHeader"/>
            </w:pPr>
            <w:r w:rsidRPr="00950B90">
              <w:t>Plan 2016.</w:t>
            </w:r>
          </w:p>
        </w:tc>
        <w:tc>
          <w:tcPr>
            <w:tcW w:w="1486" w:type="dxa"/>
            <w:shd w:val="clear" w:color="auto" w:fill="B5C0D8"/>
          </w:tcPr>
          <w:p w:rsidR="00D849AA" w:rsidRPr="00950B90" w:rsidRDefault="00EE6D95">
            <w:pPr>
              <w:pStyle w:val="CellHeader"/>
            </w:pPr>
            <w:r w:rsidRPr="00950B90">
              <w:t>Indeks 2014/2013</w:t>
            </w:r>
          </w:p>
        </w:tc>
      </w:tr>
      <w:tr w:rsidR="00D849AA">
        <w:trPr>
          <w:jc w:val="center"/>
        </w:trPr>
        <w:tc>
          <w:tcPr>
            <w:tcW w:w="1486" w:type="dxa"/>
          </w:tcPr>
          <w:p w:rsidR="00D849AA" w:rsidRPr="00950B90" w:rsidRDefault="00EE6D95">
            <w:pPr>
              <w:pStyle w:val="CellColumn"/>
            </w:pPr>
            <w:r w:rsidRPr="00950B90">
              <w:t>K821024</w:t>
            </w:r>
          </w:p>
        </w:tc>
        <w:tc>
          <w:tcPr>
            <w:tcW w:w="1486" w:type="dxa"/>
          </w:tcPr>
          <w:p w:rsidR="00D849AA" w:rsidRPr="00950B90" w:rsidRDefault="00EE6D95">
            <w:pPr>
              <w:rPr>
                <w:rFonts w:ascii="Arial" w:hAnsi="Arial" w:cs="Arial"/>
              </w:rPr>
            </w:pPr>
            <w:r w:rsidRPr="00950B90">
              <w:rPr>
                <w:rFonts w:ascii="Arial" w:hAnsi="Arial" w:cs="Arial"/>
              </w:rPr>
              <w:t>635.000</w:t>
            </w:r>
          </w:p>
        </w:tc>
        <w:tc>
          <w:tcPr>
            <w:tcW w:w="1486" w:type="dxa"/>
          </w:tcPr>
          <w:p w:rsidR="00D849AA" w:rsidRPr="00950B90" w:rsidRDefault="00EE6D95">
            <w:pPr>
              <w:rPr>
                <w:rFonts w:ascii="Arial" w:hAnsi="Arial" w:cs="Arial"/>
              </w:rPr>
            </w:pPr>
            <w:r w:rsidRPr="00950B90">
              <w:rPr>
                <w:rFonts w:ascii="Arial" w:hAnsi="Arial" w:cs="Arial"/>
              </w:rPr>
              <w:t>780.000</w:t>
            </w:r>
          </w:p>
        </w:tc>
        <w:tc>
          <w:tcPr>
            <w:tcW w:w="1486" w:type="dxa"/>
          </w:tcPr>
          <w:p w:rsidR="00D849AA" w:rsidRPr="00950B90" w:rsidRDefault="00EE6D95">
            <w:pPr>
              <w:rPr>
                <w:rFonts w:ascii="Arial" w:hAnsi="Arial" w:cs="Arial"/>
              </w:rPr>
            </w:pPr>
            <w:r w:rsidRPr="00950B90">
              <w:rPr>
                <w:rFonts w:ascii="Arial" w:hAnsi="Arial" w:cs="Arial"/>
              </w:rPr>
              <w:t>780.000</w:t>
            </w:r>
          </w:p>
        </w:tc>
        <w:tc>
          <w:tcPr>
            <w:tcW w:w="1486" w:type="dxa"/>
          </w:tcPr>
          <w:p w:rsidR="00D849AA" w:rsidRPr="00950B90" w:rsidRDefault="00EE6D95">
            <w:pPr>
              <w:rPr>
                <w:rFonts w:ascii="Arial" w:hAnsi="Arial" w:cs="Arial"/>
              </w:rPr>
            </w:pPr>
            <w:r w:rsidRPr="00950B90">
              <w:rPr>
                <w:rFonts w:ascii="Arial" w:hAnsi="Arial" w:cs="Arial"/>
              </w:rPr>
              <w:t>780.000</w:t>
            </w:r>
          </w:p>
        </w:tc>
        <w:tc>
          <w:tcPr>
            <w:tcW w:w="1486" w:type="dxa"/>
          </w:tcPr>
          <w:p w:rsidR="00D849AA" w:rsidRPr="00950B90" w:rsidRDefault="00EE6D95">
            <w:pPr>
              <w:rPr>
                <w:rFonts w:ascii="Arial" w:hAnsi="Arial" w:cs="Arial"/>
              </w:rPr>
            </w:pPr>
            <w:r w:rsidRPr="00950B90">
              <w:rPr>
                <w:rFonts w:ascii="Arial" w:hAnsi="Arial" w:cs="Arial"/>
              </w:rPr>
              <w:t>122,8</w:t>
            </w:r>
          </w:p>
        </w:tc>
      </w:tr>
    </w:tbl>
    <w:p w:rsidR="00D849AA" w:rsidRDefault="00D849AA">
      <w:pPr>
        <w:jc w:val="left"/>
      </w:pPr>
    </w:p>
    <w:p w:rsidR="00D849AA" w:rsidRDefault="00EE6D95">
      <w:pPr>
        <w:pStyle w:val="Normal6"/>
      </w:pPr>
      <w:r>
        <w:t xml:space="preserve">Provedba ove aktivnosti usmjerena je prema cijelom području Mediterana koji je mjerljiv s međunarodnom konkurencijom u cilju osiguranja rasta i zaposlenosti za sljedeće generacije, te podržati teritorijalnu povezanost i aktivno intervenirati u korist zaštite okoliša u logici održivog razvoja.   </w:t>
      </w:r>
    </w:p>
    <w:p w:rsidR="00D849AA" w:rsidRDefault="00EE6D95">
      <w:pPr>
        <w:pStyle w:val="Normal6"/>
      </w:pPr>
      <w:r>
        <w:t>Programsko područje obuhvaća 16 europskih država: Hrvatsku, Rumunjsku, Bugarsku, Sloveniju, Mađarsku, Grčku, Albaniju, Crnu Goru, Srbiju, Bosnu i Hercegovinu, Makedoniju, Austriju, Slovačku, Italiju, Ukrajinu i Moldaviju. Transnacionalna suradnja usredotočena je na prioritetna područja koja se tiču inovacija, okoliša, održivog urbanog razvoja, te dostupnosti širokog spektra infrastrukture.</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950B90" w:rsidRDefault="00EE6D95">
            <w:pPr>
              <w:rPr>
                <w:rFonts w:ascii="Arial" w:hAnsi="Arial" w:cs="Arial"/>
              </w:rPr>
            </w:pPr>
            <w:r w:rsidRPr="00950B90">
              <w:rPr>
                <w:rFonts w:ascii="Arial" w:hAnsi="Arial" w:cs="Arial"/>
              </w:rPr>
              <w:t>Pokazatelj rezultata</w:t>
            </w:r>
          </w:p>
        </w:tc>
        <w:tc>
          <w:tcPr>
            <w:tcW w:w="1114" w:type="dxa"/>
            <w:shd w:val="clear" w:color="auto" w:fill="B5C0D8"/>
          </w:tcPr>
          <w:p w:rsidR="00D849AA" w:rsidRPr="00950B90" w:rsidRDefault="00EE6D95">
            <w:pPr>
              <w:pStyle w:val="CellHeader"/>
            </w:pPr>
            <w:r w:rsidRPr="00950B90">
              <w:t>Jedinica</w:t>
            </w:r>
          </w:p>
        </w:tc>
        <w:tc>
          <w:tcPr>
            <w:tcW w:w="1114" w:type="dxa"/>
            <w:shd w:val="clear" w:color="auto" w:fill="B5C0D8"/>
          </w:tcPr>
          <w:p w:rsidR="00D849AA" w:rsidRPr="00950B90" w:rsidRDefault="00EE6D95">
            <w:pPr>
              <w:pStyle w:val="CellHeader"/>
            </w:pPr>
            <w:r w:rsidRPr="00950B90">
              <w:t>Polazna vrijednost</w:t>
            </w:r>
          </w:p>
        </w:tc>
        <w:tc>
          <w:tcPr>
            <w:tcW w:w="1486" w:type="dxa"/>
            <w:shd w:val="clear" w:color="auto" w:fill="B5C0D8"/>
          </w:tcPr>
          <w:p w:rsidR="00D849AA" w:rsidRPr="00950B90" w:rsidRDefault="00EE6D95">
            <w:pPr>
              <w:pStyle w:val="CellHeader"/>
            </w:pPr>
            <w:r w:rsidRPr="00950B90">
              <w:t>Ciljana vrijednost (2014.)</w:t>
            </w:r>
          </w:p>
        </w:tc>
        <w:tc>
          <w:tcPr>
            <w:tcW w:w="1486" w:type="dxa"/>
            <w:shd w:val="clear" w:color="auto" w:fill="B5C0D8"/>
          </w:tcPr>
          <w:p w:rsidR="00D849AA" w:rsidRPr="00950B90" w:rsidRDefault="00EE6D95">
            <w:pPr>
              <w:pStyle w:val="CellHeader"/>
            </w:pPr>
            <w:r w:rsidRPr="00950B90">
              <w:t>Ciljana vrijednost (2015.)</w:t>
            </w:r>
          </w:p>
        </w:tc>
        <w:tc>
          <w:tcPr>
            <w:tcW w:w="1486" w:type="dxa"/>
            <w:shd w:val="clear" w:color="auto" w:fill="B5C0D8"/>
          </w:tcPr>
          <w:p w:rsidR="00D849AA" w:rsidRPr="00950B90" w:rsidRDefault="00EE6D95">
            <w:pPr>
              <w:pStyle w:val="CellHeader"/>
            </w:pPr>
            <w:r w:rsidRPr="00950B90">
              <w:t>Ciljana vrijednost (2016.)</w:t>
            </w:r>
          </w:p>
        </w:tc>
      </w:tr>
      <w:tr w:rsidR="00D849AA">
        <w:trPr>
          <w:jc w:val="center"/>
        </w:trPr>
        <w:tc>
          <w:tcPr>
            <w:tcW w:w="2229" w:type="dxa"/>
          </w:tcPr>
          <w:p w:rsidR="00D849AA" w:rsidRPr="00950B90" w:rsidRDefault="00EE6D95">
            <w:pPr>
              <w:pStyle w:val="CellColumn"/>
            </w:pPr>
            <w:r w:rsidRPr="00950B90">
              <w:t>Povećanje broja održanih informativnih i edukativnih radionica, konferencija, tzv. kick-off sastanaka</w:t>
            </w:r>
          </w:p>
        </w:tc>
        <w:tc>
          <w:tcPr>
            <w:tcW w:w="1114" w:type="dxa"/>
          </w:tcPr>
          <w:p w:rsidR="00D849AA" w:rsidRPr="00950B90" w:rsidRDefault="00EE6D95">
            <w:pPr>
              <w:rPr>
                <w:rFonts w:ascii="Arial" w:hAnsi="Arial" w:cs="Arial"/>
              </w:rPr>
            </w:pPr>
            <w:r w:rsidRPr="00950B90">
              <w:rPr>
                <w:rFonts w:ascii="Arial" w:hAnsi="Arial" w:cs="Arial"/>
              </w:rPr>
              <w:t>broj</w:t>
            </w:r>
          </w:p>
        </w:tc>
        <w:tc>
          <w:tcPr>
            <w:tcW w:w="1114" w:type="dxa"/>
          </w:tcPr>
          <w:p w:rsidR="00D849AA" w:rsidRPr="00950B90" w:rsidRDefault="00EE6D95">
            <w:pPr>
              <w:rPr>
                <w:rFonts w:ascii="Arial" w:hAnsi="Arial" w:cs="Arial"/>
              </w:rPr>
            </w:pPr>
            <w:r w:rsidRPr="00950B90">
              <w:rPr>
                <w:rFonts w:ascii="Arial" w:hAnsi="Arial" w:cs="Arial"/>
              </w:rPr>
              <w:t>6</w:t>
            </w:r>
          </w:p>
        </w:tc>
        <w:tc>
          <w:tcPr>
            <w:tcW w:w="1486" w:type="dxa"/>
          </w:tcPr>
          <w:p w:rsidR="00D849AA" w:rsidRPr="00950B90" w:rsidRDefault="00EE6D95">
            <w:pPr>
              <w:rPr>
                <w:rFonts w:ascii="Arial" w:hAnsi="Arial" w:cs="Arial"/>
              </w:rPr>
            </w:pPr>
            <w:r w:rsidRPr="00950B90">
              <w:rPr>
                <w:rFonts w:ascii="Arial" w:hAnsi="Arial" w:cs="Arial"/>
              </w:rPr>
              <w:t>7</w:t>
            </w:r>
          </w:p>
        </w:tc>
        <w:tc>
          <w:tcPr>
            <w:tcW w:w="1486" w:type="dxa"/>
          </w:tcPr>
          <w:p w:rsidR="00D849AA" w:rsidRPr="00950B90" w:rsidRDefault="00EE6D95">
            <w:pPr>
              <w:rPr>
                <w:rFonts w:ascii="Arial" w:hAnsi="Arial" w:cs="Arial"/>
              </w:rPr>
            </w:pPr>
            <w:r w:rsidRPr="00950B90">
              <w:rPr>
                <w:rFonts w:ascii="Arial" w:hAnsi="Arial" w:cs="Arial"/>
              </w:rPr>
              <w:t>8</w:t>
            </w:r>
          </w:p>
        </w:tc>
        <w:tc>
          <w:tcPr>
            <w:tcW w:w="1486" w:type="dxa"/>
          </w:tcPr>
          <w:p w:rsidR="00D849AA" w:rsidRPr="00950B90" w:rsidRDefault="00EE6D95">
            <w:pPr>
              <w:rPr>
                <w:rFonts w:ascii="Arial" w:hAnsi="Arial" w:cs="Arial"/>
              </w:rPr>
            </w:pPr>
            <w:r w:rsidRPr="00950B90">
              <w:rPr>
                <w:rFonts w:ascii="Arial" w:hAnsi="Arial" w:cs="Arial"/>
              </w:rPr>
              <w:t>8</w:t>
            </w:r>
          </w:p>
        </w:tc>
      </w:tr>
      <w:tr w:rsidR="00D849AA">
        <w:trPr>
          <w:jc w:val="center"/>
        </w:trPr>
        <w:tc>
          <w:tcPr>
            <w:tcW w:w="2229" w:type="dxa"/>
          </w:tcPr>
          <w:p w:rsidR="00D849AA" w:rsidRPr="00950B90" w:rsidRDefault="00EE6D95">
            <w:pPr>
              <w:pStyle w:val="CellColumn"/>
            </w:pPr>
            <w:r w:rsidRPr="00950B90">
              <w:t>Financijska vrijednost ugovorenih projekata</w:t>
            </w:r>
          </w:p>
        </w:tc>
        <w:tc>
          <w:tcPr>
            <w:tcW w:w="1114" w:type="dxa"/>
          </w:tcPr>
          <w:p w:rsidR="00D849AA" w:rsidRPr="00950B90" w:rsidRDefault="00EE6D95">
            <w:pPr>
              <w:rPr>
                <w:rFonts w:ascii="Arial" w:hAnsi="Arial" w:cs="Arial"/>
              </w:rPr>
            </w:pPr>
            <w:r w:rsidRPr="00950B90">
              <w:rPr>
                <w:rFonts w:ascii="Arial" w:hAnsi="Arial" w:cs="Arial"/>
              </w:rPr>
              <w:t>milijuni EUR</w:t>
            </w:r>
          </w:p>
        </w:tc>
        <w:tc>
          <w:tcPr>
            <w:tcW w:w="1114" w:type="dxa"/>
          </w:tcPr>
          <w:p w:rsidR="00D849AA" w:rsidRPr="00950B90" w:rsidRDefault="00EE6D95">
            <w:pPr>
              <w:rPr>
                <w:rFonts w:ascii="Arial" w:hAnsi="Arial" w:cs="Arial"/>
              </w:rPr>
            </w:pPr>
            <w:r w:rsidRPr="00950B90">
              <w:rPr>
                <w:rFonts w:ascii="Arial" w:hAnsi="Arial" w:cs="Arial"/>
              </w:rPr>
              <w:t>4,5</w:t>
            </w:r>
          </w:p>
        </w:tc>
        <w:tc>
          <w:tcPr>
            <w:tcW w:w="1486" w:type="dxa"/>
          </w:tcPr>
          <w:p w:rsidR="00D849AA" w:rsidRPr="00950B90" w:rsidRDefault="00EE6D95">
            <w:pPr>
              <w:rPr>
                <w:rFonts w:ascii="Arial" w:hAnsi="Arial" w:cs="Arial"/>
              </w:rPr>
            </w:pPr>
            <w:r w:rsidRPr="00950B90">
              <w:rPr>
                <w:rFonts w:ascii="Arial" w:hAnsi="Arial" w:cs="Arial"/>
              </w:rPr>
              <w:t>4,5</w:t>
            </w:r>
          </w:p>
        </w:tc>
        <w:tc>
          <w:tcPr>
            <w:tcW w:w="1486" w:type="dxa"/>
          </w:tcPr>
          <w:p w:rsidR="00D849AA" w:rsidRPr="00950B90" w:rsidRDefault="00EE6D95">
            <w:pPr>
              <w:rPr>
                <w:rFonts w:ascii="Arial" w:hAnsi="Arial" w:cs="Arial"/>
              </w:rPr>
            </w:pPr>
            <w:r w:rsidRPr="00950B90">
              <w:rPr>
                <w:rFonts w:ascii="Arial" w:hAnsi="Arial" w:cs="Arial"/>
              </w:rPr>
              <w:t>4,5</w:t>
            </w:r>
          </w:p>
        </w:tc>
        <w:tc>
          <w:tcPr>
            <w:tcW w:w="1486" w:type="dxa"/>
          </w:tcPr>
          <w:p w:rsidR="00D849AA" w:rsidRPr="00950B90" w:rsidRDefault="00EE6D95">
            <w:pPr>
              <w:rPr>
                <w:rFonts w:ascii="Arial" w:hAnsi="Arial" w:cs="Arial"/>
              </w:rPr>
            </w:pPr>
            <w:r w:rsidRPr="00950B90">
              <w:rPr>
                <w:rFonts w:ascii="Arial" w:hAnsi="Arial" w:cs="Arial"/>
              </w:rPr>
              <w:t>4,5</w:t>
            </w:r>
          </w:p>
        </w:tc>
      </w:tr>
    </w:tbl>
    <w:p w:rsidR="00D849AA" w:rsidRDefault="00D849AA">
      <w:pPr>
        <w:jc w:val="left"/>
      </w:pPr>
    </w:p>
    <w:p w:rsidR="00D849AA" w:rsidRDefault="00EE6D95">
      <w:pPr>
        <w:pStyle w:val="Naslov6"/>
      </w:pPr>
      <w:r>
        <w:t>K828011 IPA II PROGRAM PREKOGRANIČNE SURADNJE HRVATSKA-MAĐARSKA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950B90" w:rsidRDefault="00EE6D95">
            <w:pPr>
              <w:pStyle w:val="CellHeader"/>
            </w:pPr>
            <w:r w:rsidRPr="00950B90">
              <w:t>Naziv aktivnosti</w:t>
            </w:r>
          </w:p>
        </w:tc>
        <w:tc>
          <w:tcPr>
            <w:tcW w:w="1486" w:type="dxa"/>
            <w:shd w:val="clear" w:color="auto" w:fill="B5C0D8"/>
          </w:tcPr>
          <w:p w:rsidR="00D849AA" w:rsidRPr="00950B90" w:rsidRDefault="00EE6D95">
            <w:pPr>
              <w:pStyle w:val="CellHeader"/>
            </w:pPr>
            <w:r w:rsidRPr="00950B90">
              <w:t>Plan 2013.</w:t>
            </w:r>
          </w:p>
        </w:tc>
        <w:tc>
          <w:tcPr>
            <w:tcW w:w="1486" w:type="dxa"/>
            <w:shd w:val="clear" w:color="auto" w:fill="B5C0D8"/>
          </w:tcPr>
          <w:p w:rsidR="00D849AA" w:rsidRPr="00950B90" w:rsidRDefault="00EE6D95">
            <w:pPr>
              <w:pStyle w:val="CellHeader"/>
            </w:pPr>
            <w:r w:rsidRPr="00950B90">
              <w:t>Plan 2014.</w:t>
            </w:r>
          </w:p>
        </w:tc>
        <w:tc>
          <w:tcPr>
            <w:tcW w:w="1486" w:type="dxa"/>
            <w:shd w:val="clear" w:color="auto" w:fill="B5C0D8"/>
          </w:tcPr>
          <w:p w:rsidR="00D849AA" w:rsidRPr="00950B90" w:rsidRDefault="00EE6D95">
            <w:pPr>
              <w:pStyle w:val="CellHeader"/>
            </w:pPr>
            <w:r w:rsidRPr="00950B90">
              <w:t>Plan 2015.</w:t>
            </w:r>
          </w:p>
        </w:tc>
        <w:tc>
          <w:tcPr>
            <w:tcW w:w="1486" w:type="dxa"/>
            <w:shd w:val="clear" w:color="auto" w:fill="B5C0D8"/>
          </w:tcPr>
          <w:p w:rsidR="00D849AA" w:rsidRPr="00950B90" w:rsidRDefault="00EE6D95">
            <w:pPr>
              <w:pStyle w:val="CellHeader"/>
            </w:pPr>
            <w:r w:rsidRPr="00950B90">
              <w:t>Plan 2016.</w:t>
            </w:r>
          </w:p>
        </w:tc>
        <w:tc>
          <w:tcPr>
            <w:tcW w:w="1486" w:type="dxa"/>
            <w:shd w:val="clear" w:color="auto" w:fill="B5C0D8"/>
          </w:tcPr>
          <w:p w:rsidR="00D849AA" w:rsidRPr="00950B90" w:rsidRDefault="00EE6D95">
            <w:pPr>
              <w:pStyle w:val="CellHeader"/>
            </w:pPr>
            <w:r w:rsidRPr="00950B90">
              <w:t>Indeks 2014/2013</w:t>
            </w:r>
          </w:p>
        </w:tc>
      </w:tr>
      <w:tr w:rsidR="00D849AA">
        <w:trPr>
          <w:jc w:val="center"/>
        </w:trPr>
        <w:tc>
          <w:tcPr>
            <w:tcW w:w="1486" w:type="dxa"/>
          </w:tcPr>
          <w:p w:rsidR="00D849AA" w:rsidRPr="00950B90" w:rsidRDefault="00EE6D95">
            <w:pPr>
              <w:pStyle w:val="CellColumn"/>
            </w:pPr>
            <w:r w:rsidRPr="00950B90">
              <w:t>K828011</w:t>
            </w:r>
          </w:p>
        </w:tc>
        <w:tc>
          <w:tcPr>
            <w:tcW w:w="1486" w:type="dxa"/>
          </w:tcPr>
          <w:p w:rsidR="00D849AA" w:rsidRPr="00950B90" w:rsidRDefault="00EE6D95">
            <w:pPr>
              <w:rPr>
                <w:rFonts w:ascii="Arial" w:hAnsi="Arial" w:cs="Arial"/>
              </w:rPr>
            </w:pPr>
            <w:r w:rsidRPr="00950B90">
              <w:rPr>
                <w:rFonts w:ascii="Arial" w:hAnsi="Arial" w:cs="Arial"/>
              </w:rPr>
              <w:t>3.230.000</w:t>
            </w:r>
          </w:p>
        </w:tc>
        <w:tc>
          <w:tcPr>
            <w:tcW w:w="1486" w:type="dxa"/>
          </w:tcPr>
          <w:p w:rsidR="00D849AA" w:rsidRPr="00950B90" w:rsidRDefault="00EE6D95">
            <w:pPr>
              <w:rPr>
                <w:rFonts w:ascii="Arial" w:hAnsi="Arial" w:cs="Arial"/>
              </w:rPr>
            </w:pPr>
            <w:r w:rsidRPr="00950B90">
              <w:rPr>
                <w:rFonts w:ascii="Arial" w:hAnsi="Arial" w:cs="Arial"/>
              </w:rPr>
              <w:t>4.335.000</w:t>
            </w:r>
          </w:p>
        </w:tc>
        <w:tc>
          <w:tcPr>
            <w:tcW w:w="1486" w:type="dxa"/>
          </w:tcPr>
          <w:p w:rsidR="00D849AA" w:rsidRPr="00950B90" w:rsidRDefault="00EE6D95">
            <w:pPr>
              <w:rPr>
                <w:rFonts w:ascii="Arial" w:hAnsi="Arial" w:cs="Arial"/>
              </w:rPr>
            </w:pPr>
            <w:r w:rsidRPr="00950B90">
              <w:rPr>
                <w:rFonts w:ascii="Arial" w:hAnsi="Arial" w:cs="Arial"/>
              </w:rPr>
              <w:t>4.315.000</w:t>
            </w:r>
          </w:p>
        </w:tc>
        <w:tc>
          <w:tcPr>
            <w:tcW w:w="1486" w:type="dxa"/>
          </w:tcPr>
          <w:p w:rsidR="00D849AA" w:rsidRPr="00950B90" w:rsidRDefault="00EE6D95">
            <w:pPr>
              <w:rPr>
                <w:rFonts w:ascii="Arial" w:hAnsi="Arial" w:cs="Arial"/>
              </w:rPr>
            </w:pPr>
            <w:r w:rsidRPr="00950B90">
              <w:rPr>
                <w:rFonts w:ascii="Arial" w:hAnsi="Arial" w:cs="Arial"/>
              </w:rPr>
              <w:t>4.315.000</w:t>
            </w:r>
          </w:p>
        </w:tc>
        <w:tc>
          <w:tcPr>
            <w:tcW w:w="1486" w:type="dxa"/>
          </w:tcPr>
          <w:p w:rsidR="00D849AA" w:rsidRPr="00950B90" w:rsidRDefault="00EE6D95">
            <w:pPr>
              <w:rPr>
                <w:rFonts w:ascii="Arial" w:hAnsi="Arial" w:cs="Arial"/>
              </w:rPr>
            </w:pPr>
            <w:r w:rsidRPr="00950B90">
              <w:rPr>
                <w:rFonts w:ascii="Arial" w:hAnsi="Arial" w:cs="Arial"/>
              </w:rPr>
              <w:t>134,2</w:t>
            </w:r>
          </w:p>
        </w:tc>
      </w:tr>
    </w:tbl>
    <w:p w:rsidR="00D849AA" w:rsidRDefault="00D849AA">
      <w:pPr>
        <w:jc w:val="left"/>
      </w:pPr>
    </w:p>
    <w:p w:rsidR="00D849AA" w:rsidRDefault="00EE6D95">
      <w:pPr>
        <w:pStyle w:val="Normal6"/>
      </w:pPr>
      <w:r>
        <w:t>Cilj ove aktivnosti je poticanje razvoja temeljenog na kulturi i znanju kroz uspješno upravljanje prirodnom i kulturnom baštinom, te intenzivne društveno-gospodarske interakcije između dviju strana u programski prihvatljivom području. Program se provodi kroz dva programska prioriteta: održivi okoliš i turizam, te razvoj gospodarske suradnje i zajedničkih ljudskih kapaciteta.</w:t>
      </w:r>
    </w:p>
    <w:p w:rsidR="00950B90" w:rsidRDefault="00950B90">
      <w:pPr>
        <w:pStyle w:val="Normal6"/>
      </w:pP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Pr="00950B90" w:rsidRDefault="00EE6D95">
            <w:pPr>
              <w:pStyle w:val="CellColumn"/>
            </w:pPr>
            <w:r w:rsidRPr="00950B90">
              <w:t>Povećanje broja održanih informativnih i edukativnih radionica, konferencija, tzv. kick-off sastanaka uključujući i sastanke vezane uz programiranje za program 2014. - 2020.</w:t>
            </w:r>
          </w:p>
        </w:tc>
        <w:tc>
          <w:tcPr>
            <w:tcW w:w="1114" w:type="dxa"/>
          </w:tcPr>
          <w:p w:rsidR="00D849AA" w:rsidRPr="00950B90" w:rsidRDefault="00EE6D95">
            <w:pPr>
              <w:rPr>
                <w:rFonts w:ascii="Arial" w:hAnsi="Arial" w:cs="Arial"/>
              </w:rPr>
            </w:pPr>
            <w:r w:rsidRPr="00950B90">
              <w:rPr>
                <w:rFonts w:ascii="Arial" w:hAnsi="Arial" w:cs="Arial"/>
              </w:rPr>
              <w:t>broj</w:t>
            </w:r>
          </w:p>
        </w:tc>
        <w:tc>
          <w:tcPr>
            <w:tcW w:w="1114" w:type="dxa"/>
          </w:tcPr>
          <w:p w:rsidR="00D849AA" w:rsidRPr="00950B90" w:rsidRDefault="00EE6D95">
            <w:pPr>
              <w:rPr>
                <w:rFonts w:ascii="Arial" w:hAnsi="Arial" w:cs="Arial"/>
              </w:rPr>
            </w:pPr>
            <w:r w:rsidRPr="00950B90">
              <w:rPr>
                <w:rFonts w:ascii="Arial" w:hAnsi="Arial" w:cs="Arial"/>
              </w:rPr>
              <w:t>33</w:t>
            </w:r>
          </w:p>
        </w:tc>
        <w:tc>
          <w:tcPr>
            <w:tcW w:w="1486" w:type="dxa"/>
          </w:tcPr>
          <w:p w:rsidR="00D849AA" w:rsidRPr="00950B90" w:rsidRDefault="00EE6D95">
            <w:pPr>
              <w:rPr>
                <w:rFonts w:ascii="Arial" w:hAnsi="Arial" w:cs="Arial"/>
              </w:rPr>
            </w:pPr>
            <w:r w:rsidRPr="00950B90">
              <w:rPr>
                <w:rFonts w:ascii="Arial" w:hAnsi="Arial" w:cs="Arial"/>
              </w:rPr>
              <w:t>35</w:t>
            </w:r>
          </w:p>
        </w:tc>
        <w:tc>
          <w:tcPr>
            <w:tcW w:w="1486" w:type="dxa"/>
          </w:tcPr>
          <w:p w:rsidR="00D849AA" w:rsidRPr="00950B90" w:rsidRDefault="00EE6D95">
            <w:pPr>
              <w:rPr>
                <w:rFonts w:ascii="Arial" w:hAnsi="Arial" w:cs="Arial"/>
              </w:rPr>
            </w:pPr>
            <w:r w:rsidRPr="00950B90">
              <w:rPr>
                <w:rFonts w:ascii="Arial" w:hAnsi="Arial" w:cs="Arial"/>
              </w:rPr>
              <w:t>42</w:t>
            </w:r>
          </w:p>
        </w:tc>
        <w:tc>
          <w:tcPr>
            <w:tcW w:w="1486" w:type="dxa"/>
          </w:tcPr>
          <w:p w:rsidR="00D849AA" w:rsidRPr="00950B90" w:rsidRDefault="00EE6D95">
            <w:pPr>
              <w:rPr>
                <w:rFonts w:ascii="Arial" w:hAnsi="Arial" w:cs="Arial"/>
              </w:rPr>
            </w:pPr>
            <w:r w:rsidRPr="00950B90">
              <w:rPr>
                <w:rFonts w:ascii="Arial" w:hAnsi="Arial" w:cs="Arial"/>
              </w:rPr>
              <w:t>42</w:t>
            </w:r>
          </w:p>
        </w:tc>
      </w:tr>
      <w:tr w:rsidR="00D849AA">
        <w:trPr>
          <w:jc w:val="center"/>
        </w:trPr>
        <w:tc>
          <w:tcPr>
            <w:tcW w:w="2229" w:type="dxa"/>
          </w:tcPr>
          <w:p w:rsidR="00D849AA" w:rsidRPr="00950B90" w:rsidRDefault="00EE6D95">
            <w:pPr>
              <w:pStyle w:val="CellColumn"/>
            </w:pPr>
            <w:r w:rsidRPr="00950B90">
              <w:t>Povećanje broja prijavljenih projektnih prijedloga na natječaje</w:t>
            </w:r>
          </w:p>
        </w:tc>
        <w:tc>
          <w:tcPr>
            <w:tcW w:w="1114" w:type="dxa"/>
          </w:tcPr>
          <w:p w:rsidR="00D849AA" w:rsidRPr="00950B90" w:rsidRDefault="00EE6D95">
            <w:pPr>
              <w:rPr>
                <w:rFonts w:ascii="Arial" w:hAnsi="Arial" w:cs="Arial"/>
              </w:rPr>
            </w:pPr>
            <w:r w:rsidRPr="00950B90">
              <w:rPr>
                <w:rFonts w:ascii="Arial" w:hAnsi="Arial" w:cs="Arial"/>
              </w:rPr>
              <w:t>broj</w:t>
            </w:r>
          </w:p>
        </w:tc>
        <w:tc>
          <w:tcPr>
            <w:tcW w:w="1114" w:type="dxa"/>
          </w:tcPr>
          <w:p w:rsidR="00D849AA" w:rsidRPr="00950B90" w:rsidRDefault="00EE6D95">
            <w:pPr>
              <w:rPr>
                <w:rFonts w:ascii="Arial" w:hAnsi="Arial" w:cs="Arial"/>
              </w:rPr>
            </w:pPr>
            <w:r w:rsidRPr="00950B90">
              <w:rPr>
                <w:rFonts w:ascii="Arial" w:hAnsi="Arial" w:cs="Arial"/>
              </w:rPr>
              <w:t>210</w:t>
            </w:r>
          </w:p>
        </w:tc>
        <w:tc>
          <w:tcPr>
            <w:tcW w:w="1486" w:type="dxa"/>
          </w:tcPr>
          <w:p w:rsidR="00D849AA" w:rsidRPr="00950B90" w:rsidRDefault="00EE6D95">
            <w:pPr>
              <w:rPr>
                <w:rFonts w:ascii="Arial" w:hAnsi="Arial" w:cs="Arial"/>
              </w:rPr>
            </w:pPr>
            <w:r w:rsidRPr="00950B90">
              <w:rPr>
                <w:rFonts w:ascii="Arial" w:hAnsi="Arial" w:cs="Arial"/>
              </w:rPr>
              <w:t>300</w:t>
            </w:r>
          </w:p>
        </w:tc>
        <w:tc>
          <w:tcPr>
            <w:tcW w:w="1486" w:type="dxa"/>
          </w:tcPr>
          <w:p w:rsidR="00D849AA" w:rsidRPr="00950B90" w:rsidRDefault="00EE6D95">
            <w:pPr>
              <w:rPr>
                <w:rFonts w:ascii="Arial" w:hAnsi="Arial" w:cs="Arial"/>
              </w:rPr>
            </w:pPr>
            <w:r w:rsidRPr="00950B90">
              <w:rPr>
                <w:rFonts w:ascii="Arial" w:hAnsi="Arial" w:cs="Arial"/>
              </w:rPr>
              <w:t>370</w:t>
            </w:r>
          </w:p>
        </w:tc>
        <w:tc>
          <w:tcPr>
            <w:tcW w:w="1486" w:type="dxa"/>
          </w:tcPr>
          <w:p w:rsidR="00D849AA" w:rsidRPr="00950B90" w:rsidRDefault="00EE6D95">
            <w:pPr>
              <w:rPr>
                <w:rFonts w:ascii="Arial" w:hAnsi="Arial" w:cs="Arial"/>
              </w:rPr>
            </w:pPr>
            <w:r w:rsidRPr="00950B90">
              <w:rPr>
                <w:rFonts w:ascii="Arial" w:hAnsi="Arial" w:cs="Arial"/>
              </w:rPr>
              <w:t>370</w:t>
            </w:r>
          </w:p>
        </w:tc>
      </w:tr>
      <w:tr w:rsidR="00D849AA">
        <w:trPr>
          <w:jc w:val="center"/>
        </w:trPr>
        <w:tc>
          <w:tcPr>
            <w:tcW w:w="2229" w:type="dxa"/>
          </w:tcPr>
          <w:p w:rsidR="00D849AA" w:rsidRPr="00950B90" w:rsidRDefault="00EE6D95">
            <w:pPr>
              <w:pStyle w:val="CellColumn"/>
            </w:pPr>
            <w:r w:rsidRPr="00950B90">
              <w:t>Povećanje financijske vrijednosti ugovorenih projekata s natječaja</w:t>
            </w:r>
          </w:p>
        </w:tc>
        <w:tc>
          <w:tcPr>
            <w:tcW w:w="1114" w:type="dxa"/>
          </w:tcPr>
          <w:p w:rsidR="00D849AA" w:rsidRPr="00950B90" w:rsidRDefault="00EE6D95">
            <w:pPr>
              <w:rPr>
                <w:rFonts w:ascii="Arial" w:hAnsi="Arial" w:cs="Arial"/>
              </w:rPr>
            </w:pPr>
            <w:r w:rsidRPr="00950B90">
              <w:rPr>
                <w:rFonts w:ascii="Arial" w:hAnsi="Arial" w:cs="Arial"/>
              </w:rPr>
              <w:t>milijuni EUR</w:t>
            </w:r>
          </w:p>
        </w:tc>
        <w:tc>
          <w:tcPr>
            <w:tcW w:w="1114" w:type="dxa"/>
          </w:tcPr>
          <w:p w:rsidR="00D849AA" w:rsidRPr="00950B90" w:rsidRDefault="00EE6D95">
            <w:pPr>
              <w:rPr>
                <w:rFonts w:ascii="Arial" w:hAnsi="Arial" w:cs="Arial"/>
              </w:rPr>
            </w:pPr>
            <w:r w:rsidRPr="00950B90">
              <w:rPr>
                <w:rFonts w:ascii="Arial" w:hAnsi="Arial" w:cs="Arial"/>
              </w:rPr>
              <w:t>18</w:t>
            </w:r>
          </w:p>
        </w:tc>
        <w:tc>
          <w:tcPr>
            <w:tcW w:w="1486" w:type="dxa"/>
          </w:tcPr>
          <w:p w:rsidR="00D849AA" w:rsidRPr="00950B90" w:rsidRDefault="00EE6D95">
            <w:pPr>
              <w:rPr>
                <w:rFonts w:ascii="Arial" w:hAnsi="Arial" w:cs="Arial"/>
              </w:rPr>
            </w:pPr>
            <w:r w:rsidRPr="00950B90">
              <w:rPr>
                <w:rFonts w:ascii="Arial" w:hAnsi="Arial" w:cs="Arial"/>
              </w:rPr>
              <w:t>23</w:t>
            </w:r>
          </w:p>
        </w:tc>
        <w:tc>
          <w:tcPr>
            <w:tcW w:w="1486" w:type="dxa"/>
          </w:tcPr>
          <w:p w:rsidR="00D849AA" w:rsidRPr="00950B90" w:rsidRDefault="00EE6D95">
            <w:pPr>
              <w:rPr>
                <w:rFonts w:ascii="Arial" w:hAnsi="Arial" w:cs="Arial"/>
              </w:rPr>
            </w:pPr>
            <w:r w:rsidRPr="00950B90">
              <w:rPr>
                <w:rFonts w:ascii="Arial" w:hAnsi="Arial" w:cs="Arial"/>
              </w:rPr>
              <w:t>23</w:t>
            </w:r>
          </w:p>
        </w:tc>
        <w:tc>
          <w:tcPr>
            <w:tcW w:w="1486" w:type="dxa"/>
          </w:tcPr>
          <w:p w:rsidR="00D849AA" w:rsidRPr="00950B90" w:rsidRDefault="00EE6D95">
            <w:pPr>
              <w:rPr>
                <w:rFonts w:ascii="Arial" w:hAnsi="Arial" w:cs="Arial"/>
              </w:rPr>
            </w:pPr>
            <w:r w:rsidRPr="00950B90">
              <w:rPr>
                <w:rFonts w:ascii="Arial" w:hAnsi="Arial" w:cs="Arial"/>
              </w:rPr>
              <w:t>23</w:t>
            </w:r>
          </w:p>
        </w:tc>
      </w:tr>
    </w:tbl>
    <w:p w:rsidR="00D849AA" w:rsidRDefault="00D849AA">
      <w:pPr>
        <w:jc w:val="left"/>
      </w:pPr>
    </w:p>
    <w:p w:rsidR="00D849AA" w:rsidRDefault="00EE6D95">
      <w:pPr>
        <w:pStyle w:val="Naslov6"/>
      </w:pPr>
      <w:r>
        <w:t>K828012 IPA II PROGRAM PREKOGRANIČNE SURADNJE SLOVENIJA-HRVATSKA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950B90" w:rsidRDefault="00EE6D95">
            <w:pPr>
              <w:pStyle w:val="CellHeader"/>
            </w:pPr>
            <w:r w:rsidRPr="00950B90">
              <w:t>Naziv aktivnosti</w:t>
            </w:r>
          </w:p>
        </w:tc>
        <w:tc>
          <w:tcPr>
            <w:tcW w:w="1486" w:type="dxa"/>
            <w:shd w:val="clear" w:color="auto" w:fill="B5C0D8"/>
          </w:tcPr>
          <w:p w:rsidR="00D849AA" w:rsidRPr="00950B90" w:rsidRDefault="00EE6D95">
            <w:pPr>
              <w:pStyle w:val="CellHeader"/>
            </w:pPr>
            <w:r w:rsidRPr="00950B90">
              <w:t>Plan 2013.</w:t>
            </w:r>
          </w:p>
        </w:tc>
        <w:tc>
          <w:tcPr>
            <w:tcW w:w="1486" w:type="dxa"/>
            <w:shd w:val="clear" w:color="auto" w:fill="B5C0D8"/>
          </w:tcPr>
          <w:p w:rsidR="00D849AA" w:rsidRPr="00950B90" w:rsidRDefault="00EE6D95">
            <w:pPr>
              <w:pStyle w:val="CellHeader"/>
            </w:pPr>
            <w:r w:rsidRPr="00950B90">
              <w:t>Plan 2014.</w:t>
            </w:r>
          </w:p>
        </w:tc>
        <w:tc>
          <w:tcPr>
            <w:tcW w:w="1486" w:type="dxa"/>
            <w:shd w:val="clear" w:color="auto" w:fill="B5C0D8"/>
          </w:tcPr>
          <w:p w:rsidR="00D849AA" w:rsidRPr="00950B90" w:rsidRDefault="00EE6D95">
            <w:pPr>
              <w:pStyle w:val="CellHeader"/>
            </w:pPr>
            <w:r w:rsidRPr="00950B90">
              <w:t>Plan 2015.</w:t>
            </w:r>
          </w:p>
        </w:tc>
        <w:tc>
          <w:tcPr>
            <w:tcW w:w="1486" w:type="dxa"/>
            <w:shd w:val="clear" w:color="auto" w:fill="B5C0D8"/>
          </w:tcPr>
          <w:p w:rsidR="00D849AA" w:rsidRPr="00950B90" w:rsidRDefault="00EE6D95">
            <w:pPr>
              <w:pStyle w:val="CellHeader"/>
            </w:pPr>
            <w:r w:rsidRPr="00950B90">
              <w:t>Plan 2016.</w:t>
            </w:r>
          </w:p>
        </w:tc>
        <w:tc>
          <w:tcPr>
            <w:tcW w:w="1486" w:type="dxa"/>
            <w:shd w:val="clear" w:color="auto" w:fill="B5C0D8"/>
          </w:tcPr>
          <w:p w:rsidR="00D849AA" w:rsidRPr="00950B90" w:rsidRDefault="00EE6D95">
            <w:pPr>
              <w:pStyle w:val="CellHeader"/>
            </w:pPr>
            <w:r w:rsidRPr="00950B90">
              <w:t>Indeks 2014/2013</w:t>
            </w:r>
          </w:p>
        </w:tc>
      </w:tr>
      <w:tr w:rsidR="00D849AA">
        <w:trPr>
          <w:jc w:val="center"/>
        </w:trPr>
        <w:tc>
          <w:tcPr>
            <w:tcW w:w="1486" w:type="dxa"/>
          </w:tcPr>
          <w:p w:rsidR="00D849AA" w:rsidRPr="00950B90" w:rsidRDefault="00EE6D95">
            <w:pPr>
              <w:pStyle w:val="CellColumn"/>
            </w:pPr>
            <w:r w:rsidRPr="00950B90">
              <w:t>K828012</w:t>
            </w:r>
          </w:p>
        </w:tc>
        <w:tc>
          <w:tcPr>
            <w:tcW w:w="1486" w:type="dxa"/>
          </w:tcPr>
          <w:p w:rsidR="00D849AA" w:rsidRPr="00950B90" w:rsidRDefault="00EE6D95">
            <w:pPr>
              <w:rPr>
                <w:rFonts w:ascii="Arial" w:hAnsi="Arial" w:cs="Arial"/>
              </w:rPr>
            </w:pPr>
            <w:r w:rsidRPr="00950B90">
              <w:rPr>
                <w:rFonts w:ascii="Arial" w:hAnsi="Arial" w:cs="Arial"/>
              </w:rPr>
              <w:t>2.576.500</w:t>
            </w:r>
          </w:p>
        </w:tc>
        <w:tc>
          <w:tcPr>
            <w:tcW w:w="1486" w:type="dxa"/>
          </w:tcPr>
          <w:p w:rsidR="00D849AA" w:rsidRPr="00950B90" w:rsidRDefault="00EE6D95">
            <w:pPr>
              <w:rPr>
                <w:rFonts w:ascii="Arial" w:hAnsi="Arial" w:cs="Arial"/>
              </w:rPr>
            </w:pPr>
            <w:r w:rsidRPr="00950B90">
              <w:rPr>
                <w:rFonts w:ascii="Arial" w:hAnsi="Arial" w:cs="Arial"/>
              </w:rPr>
              <w:t>2.325.000</w:t>
            </w:r>
          </w:p>
        </w:tc>
        <w:tc>
          <w:tcPr>
            <w:tcW w:w="1486" w:type="dxa"/>
          </w:tcPr>
          <w:p w:rsidR="00D849AA" w:rsidRPr="00950B90" w:rsidRDefault="00EE6D95">
            <w:pPr>
              <w:rPr>
                <w:rFonts w:ascii="Arial" w:hAnsi="Arial" w:cs="Arial"/>
              </w:rPr>
            </w:pPr>
            <w:r w:rsidRPr="00950B90">
              <w:rPr>
                <w:rFonts w:ascii="Arial" w:hAnsi="Arial" w:cs="Arial"/>
              </w:rPr>
              <w:t>2.305.000</w:t>
            </w:r>
          </w:p>
        </w:tc>
        <w:tc>
          <w:tcPr>
            <w:tcW w:w="1486" w:type="dxa"/>
          </w:tcPr>
          <w:p w:rsidR="00D849AA" w:rsidRPr="00950B90" w:rsidRDefault="00EE6D95">
            <w:pPr>
              <w:rPr>
                <w:rFonts w:ascii="Arial" w:hAnsi="Arial" w:cs="Arial"/>
              </w:rPr>
            </w:pPr>
            <w:r w:rsidRPr="00950B90">
              <w:rPr>
                <w:rFonts w:ascii="Arial" w:hAnsi="Arial" w:cs="Arial"/>
              </w:rPr>
              <w:t>2.305.000</w:t>
            </w:r>
          </w:p>
        </w:tc>
        <w:tc>
          <w:tcPr>
            <w:tcW w:w="1486" w:type="dxa"/>
          </w:tcPr>
          <w:p w:rsidR="00D849AA" w:rsidRPr="00950B90" w:rsidRDefault="00EE6D95">
            <w:pPr>
              <w:rPr>
                <w:rFonts w:ascii="Arial" w:hAnsi="Arial" w:cs="Arial"/>
              </w:rPr>
            </w:pPr>
            <w:r w:rsidRPr="00950B90">
              <w:rPr>
                <w:rFonts w:ascii="Arial" w:hAnsi="Arial" w:cs="Arial"/>
              </w:rPr>
              <w:t>90,2</w:t>
            </w:r>
          </w:p>
        </w:tc>
      </w:tr>
    </w:tbl>
    <w:p w:rsidR="00D849AA" w:rsidRDefault="00D849AA">
      <w:pPr>
        <w:jc w:val="left"/>
      </w:pPr>
    </w:p>
    <w:p w:rsidR="00D849AA" w:rsidRDefault="00EE6D95">
      <w:pPr>
        <w:pStyle w:val="Normal6"/>
      </w:pPr>
      <w:r>
        <w:t xml:space="preserve">Provedbom navedene aktivnosti želi se stvoriti dinamično prekogranično područje između Hrvatske i Slovenije s intenzivnom interakcijom između razvojnih aktera i njihovih dionika u pograničnom područja, prema unaprijed definiranim zajedničkim ciljevima.  </w:t>
      </w:r>
    </w:p>
    <w:p w:rsidR="00D849AA" w:rsidRDefault="00EE6D95">
      <w:pPr>
        <w:pStyle w:val="Normal6"/>
      </w:pPr>
      <w:r>
        <w:t xml:space="preserve">Operativni program postavlja okvir za implementaciju programske strategije na temelju analize socioekonomske situacije u prekograničnom području Hrvatske i Slovenije i ključnih potencijala pograničnog područja. Područja suradnje koja su pokazala najveći potencijal za prekograničnu suradnju su gospodarske aktivnosti, osobito turizam, i zaštita okoliša. Navedena područja stoga su odabrana kao prioriteti operativnoga programa. Prvi od navedenih prioriteta raščlanjen je na mjere koje obuhvaćaju turizam i ruralni razvoj, razvoj poduzetništva, te društvenu integraciju. U drugom prioritetu definirane su mjere usmjerene na zaštitu okoliša, te na očuvanje prirodne i kulturne baštine. Postavljeni ciljevi </w:t>
      </w:r>
      <w:r>
        <w:lastRenderedPageBreak/>
        <w:t>programa smjeraju povećanju konkurentnosti ključnih sektora, podupiranju suradnje među različitim sektorima, te zaštiti prirodnih resursa za trajan održivi razvoj.</w:t>
      </w:r>
    </w:p>
    <w:p w:rsidR="00950B90" w:rsidRDefault="00950B90">
      <w:pPr>
        <w:pStyle w:val="Naslov8"/>
        <w:jc w:val="left"/>
      </w:pP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950B90" w:rsidRDefault="00EE6D95">
            <w:pPr>
              <w:rPr>
                <w:rFonts w:ascii="Arial" w:hAnsi="Arial" w:cs="Arial"/>
              </w:rPr>
            </w:pPr>
            <w:r w:rsidRPr="00950B90">
              <w:rPr>
                <w:rFonts w:ascii="Arial" w:hAnsi="Arial" w:cs="Arial"/>
              </w:rPr>
              <w:t>Pokazatelj rezultata</w:t>
            </w:r>
          </w:p>
        </w:tc>
        <w:tc>
          <w:tcPr>
            <w:tcW w:w="1114" w:type="dxa"/>
            <w:shd w:val="clear" w:color="auto" w:fill="B5C0D8"/>
          </w:tcPr>
          <w:p w:rsidR="00D849AA" w:rsidRPr="00950B90" w:rsidRDefault="00EE6D95">
            <w:pPr>
              <w:pStyle w:val="CellHeader"/>
            </w:pPr>
            <w:r w:rsidRPr="00950B90">
              <w:t>Jedinica</w:t>
            </w:r>
          </w:p>
        </w:tc>
        <w:tc>
          <w:tcPr>
            <w:tcW w:w="1114" w:type="dxa"/>
            <w:shd w:val="clear" w:color="auto" w:fill="B5C0D8"/>
          </w:tcPr>
          <w:p w:rsidR="00D849AA" w:rsidRPr="00950B90" w:rsidRDefault="00EE6D95">
            <w:pPr>
              <w:pStyle w:val="CellHeader"/>
            </w:pPr>
            <w:r w:rsidRPr="00950B90">
              <w:t>Polazna vrijednost</w:t>
            </w:r>
          </w:p>
        </w:tc>
        <w:tc>
          <w:tcPr>
            <w:tcW w:w="1486" w:type="dxa"/>
            <w:shd w:val="clear" w:color="auto" w:fill="B5C0D8"/>
          </w:tcPr>
          <w:p w:rsidR="00D849AA" w:rsidRPr="00950B90" w:rsidRDefault="00EE6D95">
            <w:pPr>
              <w:pStyle w:val="CellHeader"/>
            </w:pPr>
            <w:r w:rsidRPr="00950B90">
              <w:t>Ciljana vrijednost (2014.)</w:t>
            </w:r>
          </w:p>
        </w:tc>
        <w:tc>
          <w:tcPr>
            <w:tcW w:w="1486" w:type="dxa"/>
            <w:shd w:val="clear" w:color="auto" w:fill="B5C0D8"/>
          </w:tcPr>
          <w:p w:rsidR="00D849AA" w:rsidRPr="00950B90" w:rsidRDefault="00EE6D95">
            <w:pPr>
              <w:pStyle w:val="CellHeader"/>
            </w:pPr>
            <w:r w:rsidRPr="00950B90">
              <w:t>Ciljana vrijednost (2015.)</w:t>
            </w:r>
          </w:p>
        </w:tc>
        <w:tc>
          <w:tcPr>
            <w:tcW w:w="1486" w:type="dxa"/>
            <w:shd w:val="clear" w:color="auto" w:fill="B5C0D8"/>
          </w:tcPr>
          <w:p w:rsidR="00D849AA" w:rsidRPr="00950B90" w:rsidRDefault="00EE6D95">
            <w:pPr>
              <w:pStyle w:val="CellHeader"/>
            </w:pPr>
            <w:r w:rsidRPr="00950B90">
              <w:t>Ciljana vrijednost (2016.)</w:t>
            </w:r>
          </w:p>
        </w:tc>
      </w:tr>
      <w:tr w:rsidR="00D849AA">
        <w:trPr>
          <w:jc w:val="center"/>
        </w:trPr>
        <w:tc>
          <w:tcPr>
            <w:tcW w:w="2229" w:type="dxa"/>
          </w:tcPr>
          <w:p w:rsidR="00D849AA" w:rsidRPr="00950B90" w:rsidRDefault="00EE6D95">
            <w:pPr>
              <w:pStyle w:val="CellColumn"/>
            </w:pPr>
            <w:r w:rsidRPr="00950B90">
              <w:t>Povećanje broja održanih informativnih i edukativnih radionica, konferencija, tzv. kick-off sastanakauključujući i sastanke vezane uz programiranje za program 2014. - 2020.</w:t>
            </w:r>
          </w:p>
        </w:tc>
        <w:tc>
          <w:tcPr>
            <w:tcW w:w="1114" w:type="dxa"/>
          </w:tcPr>
          <w:p w:rsidR="00D849AA" w:rsidRPr="00950B90" w:rsidRDefault="00EE6D95">
            <w:pPr>
              <w:rPr>
                <w:rFonts w:ascii="Arial" w:hAnsi="Arial" w:cs="Arial"/>
              </w:rPr>
            </w:pPr>
            <w:r w:rsidRPr="00950B90">
              <w:rPr>
                <w:rFonts w:ascii="Arial" w:hAnsi="Arial" w:cs="Arial"/>
              </w:rPr>
              <w:t>broj</w:t>
            </w:r>
          </w:p>
        </w:tc>
        <w:tc>
          <w:tcPr>
            <w:tcW w:w="1114" w:type="dxa"/>
          </w:tcPr>
          <w:p w:rsidR="00D849AA" w:rsidRPr="00950B90" w:rsidRDefault="00EE6D95">
            <w:pPr>
              <w:rPr>
                <w:rFonts w:ascii="Arial" w:hAnsi="Arial" w:cs="Arial"/>
              </w:rPr>
            </w:pPr>
            <w:r w:rsidRPr="00950B90">
              <w:rPr>
                <w:rFonts w:ascii="Arial" w:hAnsi="Arial" w:cs="Arial"/>
              </w:rPr>
              <w:t>32</w:t>
            </w:r>
          </w:p>
        </w:tc>
        <w:tc>
          <w:tcPr>
            <w:tcW w:w="1486" w:type="dxa"/>
          </w:tcPr>
          <w:p w:rsidR="00D849AA" w:rsidRPr="00950B90" w:rsidRDefault="00EE6D95">
            <w:pPr>
              <w:rPr>
                <w:rFonts w:ascii="Arial" w:hAnsi="Arial" w:cs="Arial"/>
              </w:rPr>
            </w:pPr>
            <w:r w:rsidRPr="00950B90">
              <w:rPr>
                <w:rFonts w:ascii="Arial" w:hAnsi="Arial" w:cs="Arial"/>
              </w:rPr>
              <w:t>34</w:t>
            </w:r>
          </w:p>
        </w:tc>
        <w:tc>
          <w:tcPr>
            <w:tcW w:w="1486" w:type="dxa"/>
          </w:tcPr>
          <w:p w:rsidR="00D849AA" w:rsidRPr="00950B90" w:rsidRDefault="00EE6D95">
            <w:pPr>
              <w:rPr>
                <w:rFonts w:ascii="Arial" w:hAnsi="Arial" w:cs="Arial"/>
              </w:rPr>
            </w:pPr>
            <w:r w:rsidRPr="00950B90">
              <w:rPr>
                <w:rFonts w:ascii="Arial" w:hAnsi="Arial" w:cs="Arial"/>
              </w:rPr>
              <w:t>37</w:t>
            </w:r>
          </w:p>
        </w:tc>
        <w:tc>
          <w:tcPr>
            <w:tcW w:w="1486" w:type="dxa"/>
          </w:tcPr>
          <w:p w:rsidR="00D849AA" w:rsidRPr="00950B90" w:rsidRDefault="00EE6D95">
            <w:pPr>
              <w:rPr>
                <w:rFonts w:ascii="Arial" w:hAnsi="Arial" w:cs="Arial"/>
              </w:rPr>
            </w:pPr>
            <w:r w:rsidRPr="00950B90">
              <w:rPr>
                <w:rFonts w:ascii="Arial" w:hAnsi="Arial" w:cs="Arial"/>
              </w:rPr>
              <w:t>37</w:t>
            </w:r>
          </w:p>
        </w:tc>
      </w:tr>
      <w:tr w:rsidR="00D849AA">
        <w:trPr>
          <w:jc w:val="center"/>
        </w:trPr>
        <w:tc>
          <w:tcPr>
            <w:tcW w:w="2229" w:type="dxa"/>
          </w:tcPr>
          <w:p w:rsidR="00D849AA" w:rsidRPr="00950B90" w:rsidRDefault="00EE6D95">
            <w:pPr>
              <w:pStyle w:val="CellColumn"/>
            </w:pPr>
            <w:r w:rsidRPr="00950B90">
              <w:t>Povećanje broja prijavljenih projektnih prijedloga na natječaje</w:t>
            </w:r>
          </w:p>
        </w:tc>
        <w:tc>
          <w:tcPr>
            <w:tcW w:w="1114" w:type="dxa"/>
          </w:tcPr>
          <w:p w:rsidR="00D849AA" w:rsidRPr="00950B90" w:rsidRDefault="00EE6D95">
            <w:pPr>
              <w:rPr>
                <w:rFonts w:ascii="Arial" w:hAnsi="Arial" w:cs="Arial"/>
              </w:rPr>
            </w:pPr>
            <w:r w:rsidRPr="00950B90">
              <w:rPr>
                <w:rFonts w:ascii="Arial" w:hAnsi="Arial" w:cs="Arial"/>
              </w:rPr>
              <w:t>broj</w:t>
            </w:r>
          </w:p>
        </w:tc>
        <w:tc>
          <w:tcPr>
            <w:tcW w:w="1114" w:type="dxa"/>
          </w:tcPr>
          <w:p w:rsidR="00D849AA" w:rsidRPr="00950B90" w:rsidRDefault="00EE6D95">
            <w:pPr>
              <w:rPr>
                <w:rFonts w:ascii="Arial" w:hAnsi="Arial" w:cs="Arial"/>
              </w:rPr>
            </w:pPr>
            <w:r w:rsidRPr="00950B90">
              <w:rPr>
                <w:rFonts w:ascii="Arial" w:hAnsi="Arial" w:cs="Arial"/>
              </w:rPr>
              <w:t>330</w:t>
            </w:r>
          </w:p>
        </w:tc>
        <w:tc>
          <w:tcPr>
            <w:tcW w:w="1486" w:type="dxa"/>
          </w:tcPr>
          <w:p w:rsidR="00D849AA" w:rsidRPr="00950B90" w:rsidRDefault="00EE6D95">
            <w:pPr>
              <w:rPr>
                <w:rFonts w:ascii="Arial" w:hAnsi="Arial" w:cs="Arial"/>
              </w:rPr>
            </w:pPr>
            <w:r w:rsidRPr="00950B90">
              <w:rPr>
                <w:rFonts w:ascii="Arial" w:hAnsi="Arial" w:cs="Arial"/>
              </w:rPr>
              <w:t>440</w:t>
            </w:r>
          </w:p>
        </w:tc>
        <w:tc>
          <w:tcPr>
            <w:tcW w:w="1486" w:type="dxa"/>
          </w:tcPr>
          <w:p w:rsidR="00D849AA" w:rsidRPr="00950B90" w:rsidRDefault="00EE6D95">
            <w:pPr>
              <w:rPr>
                <w:rFonts w:ascii="Arial" w:hAnsi="Arial" w:cs="Arial"/>
              </w:rPr>
            </w:pPr>
            <w:r w:rsidRPr="00950B90">
              <w:rPr>
                <w:rFonts w:ascii="Arial" w:hAnsi="Arial" w:cs="Arial"/>
              </w:rPr>
              <w:t>550</w:t>
            </w:r>
          </w:p>
        </w:tc>
        <w:tc>
          <w:tcPr>
            <w:tcW w:w="1486" w:type="dxa"/>
          </w:tcPr>
          <w:p w:rsidR="00D849AA" w:rsidRPr="00950B90" w:rsidRDefault="00EE6D95">
            <w:pPr>
              <w:rPr>
                <w:rFonts w:ascii="Arial" w:hAnsi="Arial" w:cs="Arial"/>
              </w:rPr>
            </w:pPr>
            <w:r w:rsidRPr="00950B90">
              <w:rPr>
                <w:rFonts w:ascii="Arial" w:hAnsi="Arial" w:cs="Arial"/>
              </w:rPr>
              <w:t>550</w:t>
            </w:r>
          </w:p>
        </w:tc>
      </w:tr>
      <w:tr w:rsidR="00D849AA">
        <w:trPr>
          <w:jc w:val="center"/>
        </w:trPr>
        <w:tc>
          <w:tcPr>
            <w:tcW w:w="2229" w:type="dxa"/>
          </w:tcPr>
          <w:p w:rsidR="00D849AA" w:rsidRPr="00950B90" w:rsidRDefault="00EE6D95">
            <w:pPr>
              <w:pStyle w:val="CellColumn"/>
            </w:pPr>
            <w:r w:rsidRPr="00950B90">
              <w:t>Povećanje financijske vrijednosti ugovorenih projekata s natječaja</w:t>
            </w:r>
          </w:p>
        </w:tc>
        <w:tc>
          <w:tcPr>
            <w:tcW w:w="1114" w:type="dxa"/>
          </w:tcPr>
          <w:p w:rsidR="00D849AA" w:rsidRPr="00950B90" w:rsidRDefault="00EE6D95">
            <w:pPr>
              <w:rPr>
                <w:rFonts w:ascii="Arial" w:hAnsi="Arial" w:cs="Arial"/>
              </w:rPr>
            </w:pPr>
            <w:r w:rsidRPr="00950B90">
              <w:rPr>
                <w:rFonts w:ascii="Arial" w:hAnsi="Arial" w:cs="Arial"/>
              </w:rPr>
              <w:t>milijuni EUR</w:t>
            </w:r>
          </w:p>
        </w:tc>
        <w:tc>
          <w:tcPr>
            <w:tcW w:w="1114" w:type="dxa"/>
          </w:tcPr>
          <w:p w:rsidR="00D849AA" w:rsidRPr="00950B90" w:rsidRDefault="00EE6D95">
            <w:pPr>
              <w:rPr>
                <w:rFonts w:ascii="Arial" w:hAnsi="Arial" w:cs="Arial"/>
              </w:rPr>
            </w:pPr>
            <w:r w:rsidRPr="00950B90">
              <w:rPr>
                <w:rFonts w:ascii="Arial" w:hAnsi="Arial" w:cs="Arial"/>
              </w:rPr>
              <w:t>14</w:t>
            </w:r>
          </w:p>
        </w:tc>
        <w:tc>
          <w:tcPr>
            <w:tcW w:w="1486" w:type="dxa"/>
          </w:tcPr>
          <w:p w:rsidR="00D849AA" w:rsidRPr="00950B90" w:rsidRDefault="00EE6D95">
            <w:pPr>
              <w:rPr>
                <w:rFonts w:ascii="Arial" w:hAnsi="Arial" w:cs="Arial"/>
              </w:rPr>
            </w:pPr>
            <w:r w:rsidRPr="00950B90">
              <w:rPr>
                <w:rFonts w:ascii="Arial" w:hAnsi="Arial" w:cs="Arial"/>
              </w:rPr>
              <w:t>20</w:t>
            </w:r>
          </w:p>
        </w:tc>
        <w:tc>
          <w:tcPr>
            <w:tcW w:w="1486" w:type="dxa"/>
          </w:tcPr>
          <w:p w:rsidR="00D849AA" w:rsidRPr="00950B90" w:rsidRDefault="00EE6D95">
            <w:pPr>
              <w:rPr>
                <w:rFonts w:ascii="Arial" w:hAnsi="Arial" w:cs="Arial"/>
              </w:rPr>
            </w:pPr>
            <w:r w:rsidRPr="00950B90">
              <w:rPr>
                <w:rFonts w:ascii="Arial" w:hAnsi="Arial" w:cs="Arial"/>
              </w:rPr>
              <w:t>20</w:t>
            </w:r>
          </w:p>
        </w:tc>
        <w:tc>
          <w:tcPr>
            <w:tcW w:w="1486" w:type="dxa"/>
          </w:tcPr>
          <w:p w:rsidR="00D849AA" w:rsidRPr="00950B90" w:rsidRDefault="00EE6D95">
            <w:pPr>
              <w:rPr>
                <w:rFonts w:ascii="Arial" w:hAnsi="Arial" w:cs="Arial"/>
              </w:rPr>
            </w:pPr>
            <w:r w:rsidRPr="00950B90">
              <w:rPr>
                <w:rFonts w:ascii="Arial" w:hAnsi="Arial" w:cs="Arial"/>
              </w:rPr>
              <w:t>20</w:t>
            </w:r>
          </w:p>
        </w:tc>
      </w:tr>
    </w:tbl>
    <w:p w:rsidR="00D849AA" w:rsidRDefault="00D849AA">
      <w:pPr>
        <w:jc w:val="left"/>
      </w:pPr>
    </w:p>
    <w:p w:rsidR="00D849AA" w:rsidRDefault="00EE6D95">
      <w:pPr>
        <w:pStyle w:val="Naslov6"/>
      </w:pPr>
      <w:r>
        <w:t>K828013 IPA II PROGRAM JADRANSKE PREKOGRANIČNE SURADNJE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950B90" w:rsidRDefault="00EE6D95">
            <w:pPr>
              <w:pStyle w:val="CellHeader"/>
            </w:pPr>
            <w:r w:rsidRPr="00950B90">
              <w:t>Naziv aktivnosti</w:t>
            </w:r>
          </w:p>
        </w:tc>
        <w:tc>
          <w:tcPr>
            <w:tcW w:w="1486" w:type="dxa"/>
            <w:shd w:val="clear" w:color="auto" w:fill="B5C0D8"/>
          </w:tcPr>
          <w:p w:rsidR="00D849AA" w:rsidRPr="00950B90" w:rsidRDefault="00EE6D95">
            <w:pPr>
              <w:pStyle w:val="CellHeader"/>
            </w:pPr>
            <w:r w:rsidRPr="00950B90">
              <w:t>Plan 2013.</w:t>
            </w:r>
          </w:p>
        </w:tc>
        <w:tc>
          <w:tcPr>
            <w:tcW w:w="1486" w:type="dxa"/>
            <w:shd w:val="clear" w:color="auto" w:fill="B5C0D8"/>
          </w:tcPr>
          <w:p w:rsidR="00D849AA" w:rsidRPr="00950B90" w:rsidRDefault="00EE6D95">
            <w:pPr>
              <w:pStyle w:val="CellHeader"/>
            </w:pPr>
            <w:r w:rsidRPr="00950B90">
              <w:t>Plan 2014.</w:t>
            </w:r>
          </w:p>
        </w:tc>
        <w:tc>
          <w:tcPr>
            <w:tcW w:w="1486" w:type="dxa"/>
            <w:shd w:val="clear" w:color="auto" w:fill="B5C0D8"/>
          </w:tcPr>
          <w:p w:rsidR="00D849AA" w:rsidRPr="00950B90" w:rsidRDefault="00EE6D95">
            <w:pPr>
              <w:pStyle w:val="CellHeader"/>
            </w:pPr>
            <w:r w:rsidRPr="00950B90">
              <w:t>Plan 2015.</w:t>
            </w:r>
          </w:p>
        </w:tc>
        <w:tc>
          <w:tcPr>
            <w:tcW w:w="1486" w:type="dxa"/>
            <w:shd w:val="clear" w:color="auto" w:fill="B5C0D8"/>
          </w:tcPr>
          <w:p w:rsidR="00D849AA" w:rsidRPr="00950B90" w:rsidRDefault="00EE6D95">
            <w:pPr>
              <w:pStyle w:val="CellHeader"/>
            </w:pPr>
            <w:r w:rsidRPr="00950B90">
              <w:t>Plan 2016.</w:t>
            </w:r>
          </w:p>
        </w:tc>
        <w:tc>
          <w:tcPr>
            <w:tcW w:w="1486" w:type="dxa"/>
            <w:shd w:val="clear" w:color="auto" w:fill="B5C0D8"/>
          </w:tcPr>
          <w:p w:rsidR="00D849AA" w:rsidRPr="00950B90" w:rsidRDefault="00EE6D95">
            <w:pPr>
              <w:pStyle w:val="CellHeader"/>
            </w:pPr>
            <w:r w:rsidRPr="00950B90">
              <w:t>Indeks 2014/2013</w:t>
            </w:r>
          </w:p>
        </w:tc>
      </w:tr>
      <w:tr w:rsidR="00D849AA">
        <w:trPr>
          <w:jc w:val="center"/>
        </w:trPr>
        <w:tc>
          <w:tcPr>
            <w:tcW w:w="1486" w:type="dxa"/>
          </w:tcPr>
          <w:p w:rsidR="00D849AA" w:rsidRPr="00950B90" w:rsidRDefault="00EE6D95">
            <w:pPr>
              <w:pStyle w:val="CellColumn"/>
            </w:pPr>
            <w:r w:rsidRPr="00950B90">
              <w:t>K828013</w:t>
            </w:r>
          </w:p>
        </w:tc>
        <w:tc>
          <w:tcPr>
            <w:tcW w:w="1486" w:type="dxa"/>
          </w:tcPr>
          <w:p w:rsidR="00D849AA" w:rsidRPr="00950B90" w:rsidRDefault="00EE6D95">
            <w:pPr>
              <w:rPr>
                <w:rFonts w:ascii="Arial" w:hAnsi="Arial" w:cs="Arial"/>
              </w:rPr>
            </w:pPr>
            <w:r w:rsidRPr="00950B90">
              <w:rPr>
                <w:rFonts w:ascii="Arial" w:hAnsi="Arial" w:cs="Arial"/>
              </w:rPr>
              <w:t>2.530.000</w:t>
            </w:r>
          </w:p>
        </w:tc>
        <w:tc>
          <w:tcPr>
            <w:tcW w:w="1486" w:type="dxa"/>
          </w:tcPr>
          <w:p w:rsidR="00D849AA" w:rsidRPr="00950B90" w:rsidRDefault="00EE6D95">
            <w:pPr>
              <w:rPr>
                <w:rFonts w:ascii="Arial" w:hAnsi="Arial" w:cs="Arial"/>
              </w:rPr>
            </w:pPr>
            <w:r w:rsidRPr="00950B90">
              <w:rPr>
                <w:rFonts w:ascii="Arial" w:hAnsi="Arial" w:cs="Arial"/>
              </w:rPr>
              <w:t>3.515.000</w:t>
            </w:r>
          </w:p>
        </w:tc>
        <w:tc>
          <w:tcPr>
            <w:tcW w:w="1486" w:type="dxa"/>
          </w:tcPr>
          <w:p w:rsidR="00D849AA" w:rsidRPr="00950B90" w:rsidRDefault="00EE6D95">
            <w:pPr>
              <w:rPr>
                <w:rFonts w:ascii="Arial" w:hAnsi="Arial" w:cs="Arial"/>
              </w:rPr>
            </w:pPr>
            <w:r w:rsidRPr="00950B90">
              <w:rPr>
                <w:rFonts w:ascii="Arial" w:hAnsi="Arial" w:cs="Arial"/>
              </w:rPr>
              <w:t>1.485.000</w:t>
            </w:r>
          </w:p>
        </w:tc>
        <w:tc>
          <w:tcPr>
            <w:tcW w:w="1486" w:type="dxa"/>
          </w:tcPr>
          <w:p w:rsidR="00D849AA" w:rsidRPr="00950B90" w:rsidRDefault="00EE6D95">
            <w:pPr>
              <w:rPr>
                <w:rFonts w:ascii="Arial" w:hAnsi="Arial" w:cs="Arial"/>
              </w:rPr>
            </w:pPr>
            <w:r w:rsidRPr="00950B90">
              <w:rPr>
                <w:rFonts w:ascii="Arial" w:hAnsi="Arial" w:cs="Arial"/>
              </w:rPr>
              <w:t>1.495.000</w:t>
            </w:r>
          </w:p>
        </w:tc>
        <w:tc>
          <w:tcPr>
            <w:tcW w:w="1486" w:type="dxa"/>
          </w:tcPr>
          <w:p w:rsidR="00D849AA" w:rsidRPr="00950B90" w:rsidRDefault="00EE6D95">
            <w:pPr>
              <w:rPr>
                <w:rFonts w:ascii="Arial" w:hAnsi="Arial" w:cs="Arial"/>
              </w:rPr>
            </w:pPr>
            <w:r w:rsidRPr="00950B90">
              <w:rPr>
                <w:rFonts w:ascii="Arial" w:hAnsi="Arial" w:cs="Arial"/>
              </w:rPr>
              <w:t>138,9</w:t>
            </w:r>
          </w:p>
        </w:tc>
      </w:tr>
    </w:tbl>
    <w:p w:rsidR="00D849AA" w:rsidRDefault="00D849AA">
      <w:pPr>
        <w:jc w:val="left"/>
      </w:pPr>
    </w:p>
    <w:p w:rsidR="00D849AA" w:rsidRDefault="00EE6D95">
      <w:pPr>
        <w:pStyle w:val="Normal6"/>
      </w:pPr>
      <w:r>
        <w:t xml:space="preserve">Provedba aktivnosti je usmjerena prema ciljevima kohezijske politike Europske unije u pretpristupnim procesima i kroz prekograničnu suradnju pospješuje zahtjeve država kandidatkinja/potencijalnih kandidatkinja za podrškom u procesu institucionalnog razvoja i kompetencije za upravljanje instrumentima Zajednice, usmjerava sve države sudionice ka zajedničkim ciljevima kojima se ostvaruju novi i korisni oblici integracije i odnosi između teritorija, te povećava opću konkurentnost jadranskog područja.  </w:t>
      </w:r>
    </w:p>
    <w:p w:rsidR="00D849AA" w:rsidRDefault="00EE6D95">
      <w:pPr>
        <w:pStyle w:val="Normal6"/>
      </w:pPr>
      <w:r>
        <w:t xml:space="preserve">Prioriteti programa su jačanje istraživanja i inovacija kako bi se pospješio razvoj jadranskog područja kroz gospodarsku, društvenu i institucionalnu suradnju; promicanje, razvoj i zaštita prirodnih i kulturnih bogatstava zajedničkim upravljanjem tehnološkim i prirodnim rizicima, te jačanje i integracija postojećih infrastrukturnih mreža, promicanje i razvoj prometnih, informacijskih i komunikacijskih usluga. </w:t>
      </w:r>
    </w:p>
    <w:p w:rsidR="00D849AA" w:rsidRDefault="00EE6D95">
      <w:pPr>
        <w:pStyle w:val="Normal6"/>
      </w:pPr>
      <w:r>
        <w:t>Po prvi puta se cijelokupni rashodi ove aktivnosti u potpunosti planiraju na izvoru 51 te se ni na koji način ne opterećuje nacionalna komponenta proračuna. Uplate koje su pristigle od dosadašnje potrošnje dostatni su za financiranje svih potrebnih aktivnosti nacionalnog tijela i kontrolonog sustava.</w:t>
      </w:r>
    </w:p>
    <w:p w:rsidR="00950B90" w:rsidRDefault="00950B90">
      <w:pPr>
        <w:pStyle w:val="Normal6"/>
      </w:pPr>
    </w:p>
    <w:p w:rsidR="00D849AA" w:rsidRDefault="00EE6D95">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950B90" w:rsidRDefault="00EE6D95">
            <w:pPr>
              <w:rPr>
                <w:rFonts w:ascii="Arial" w:hAnsi="Arial" w:cs="Arial"/>
              </w:rPr>
            </w:pPr>
            <w:r w:rsidRPr="00950B90">
              <w:rPr>
                <w:rFonts w:ascii="Arial" w:hAnsi="Arial" w:cs="Arial"/>
              </w:rPr>
              <w:t>Pokazatelj rezultata</w:t>
            </w:r>
          </w:p>
        </w:tc>
        <w:tc>
          <w:tcPr>
            <w:tcW w:w="1114" w:type="dxa"/>
            <w:shd w:val="clear" w:color="auto" w:fill="B5C0D8"/>
          </w:tcPr>
          <w:p w:rsidR="00D849AA" w:rsidRPr="00950B90" w:rsidRDefault="00EE6D95">
            <w:pPr>
              <w:pStyle w:val="CellHeader"/>
            </w:pPr>
            <w:r w:rsidRPr="00950B90">
              <w:t>Jedinica</w:t>
            </w:r>
          </w:p>
        </w:tc>
        <w:tc>
          <w:tcPr>
            <w:tcW w:w="1114" w:type="dxa"/>
            <w:shd w:val="clear" w:color="auto" w:fill="B5C0D8"/>
          </w:tcPr>
          <w:p w:rsidR="00D849AA" w:rsidRPr="00950B90" w:rsidRDefault="00EE6D95">
            <w:pPr>
              <w:pStyle w:val="CellHeader"/>
            </w:pPr>
            <w:r w:rsidRPr="00950B90">
              <w:t>Polazna vrijednost</w:t>
            </w:r>
          </w:p>
        </w:tc>
        <w:tc>
          <w:tcPr>
            <w:tcW w:w="1486" w:type="dxa"/>
            <w:shd w:val="clear" w:color="auto" w:fill="B5C0D8"/>
          </w:tcPr>
          <w:p w:rsidR="00D849AA" w:rsidRPr="00950B90" w:rsidRDefault="00EE6D95">
            <w:pPr>
              <w:pStyle w:val="CellHeader"/>
            </w:pPr>
            <w:r w:rsidRPr="00950B90">
              <w:t>Ciljana vrijednost (2014.)</w:t>
            </w:r>
          </w:p>
        </w:tc>
        <w:tc>
          <w:tcPr>
            <w:tcW w:w="1486" w:type="dxa"/>
            <w:shd w:val="clear" w:color="auto" w:fill="B5C0D8"/>
          </w:tcPr>
          <w:p w:rsidR="00D849AA" w:rsidRPr="00950B90" w:rsidRDefault="00EE6D95">
            <w:pPr>
              <w:pStyle w:val="CellHeader"/>
            </w:pPr>
            <w:r w:rsidRPr="00950B90">
              <w:t>Ciljana vrijednost (2015.)</w:t>
            </w:r>
          </w:p>
        </w:tc>
        <w:tc>
          <w:tcPr>
            <w:tcW w:w="1486" w:type="dxa"/>
            <w:shd w:val="clear" w:color="auto" w:fill="B5C0D8"/>
          </w:tcPr>
          <w:p w:rsidR="00D849AA" w:rsidRPr="00950B90" w:rsidRDefault="00EE6D95">
            <w:pPr>
              <w:pStyle w:val="CellHeader"/>
            </w:pPr>
            <w:r w:rsidRPr="00950B90">
              <w:t>Ciljana vrijednost (2016.)</w:t>
            </w:r>
          </w:p>
        </w:tc>
      </w:tr>
      <w:tr w:rsidR="00D849AA">
        <w:trPr>
          <w:jc w:val="center"/>
        </w:trPr>
        <w:tc>
          <w:tcPr>
            <w:tcW w:w="2229" w:type="dxa"/>
          </w:tcPr>
          <w:p w:rsidR="00D849AA" w:rsidRPr="00950B90" w:rsidRDefault="00EE6D95">
            <w:pPr>
              <w:pStyle w:val="CellColumn"/>
            </w:pPr>
            <w:r w:rsidRPr="00950B90">
              <w:t>Povećanje broja održanih informativnih i edukativnih radionica, konferencija, tzv. kick-off sastanaka</w:t>
            </w:r>
          </w:p>
        </w:tc>
        <w:tc>
          <w:tcPr>
            <w:tcW w:w="1114" w:type="dxa"/>
          </w:tcPr>
          <w:p w:rsidR="00D849AA" w:rsidRPr="00950B90" w:rsidRDefault="00EE6D95">
            <w:pPr>
              <w:rPr>
                <w:rFonts w:ascii="Arial" w:hAnsi="Arial" w:cs="Arial"/>
              </w:rPr>
            </w:pPr>
            <w:r w:rsidRPr="00950B90">
              <w:rPr>
                <w:rFonts w:ascii="Arial" w:hAnsi="Arial" w:cs="Arial"/>
              </w:rPr>
              <w:t>broj</w:t>
            </w:r>
          </w:p>
        </w:tc>
        <w:tc>
          <w:tcPr>
            <w:tcW w:w="1114" w:type="dxa"/>
          </w:tcPr>
          <w:p w:rsidR="00D849AA" w:rsidRPr="00950B90" w:rsidRDefault="00EE6D95">
            <w:pPr>
              <w:rPr>
                <w:rFonts w:ascii="Arial" w:hAnsi="Arial" w:cs="Arial"/>
              </w:rPr>
            </w:pPr>
            <w:r w:rsidRPr="00950B90">
              <w:rPr>
                <w:rFonts w:ascii="Arial" w:hAnsi="Arial" w:cs="Arial"/>
              </w:rPr>
              <w:t>21</w:t>
            </w:r>
          </w:p>
        </w:tc>
        <w:tc>
          <w:tcPr>
            <w:tcW w:w="1486" w:type="dxa"/>
          </w:tcPr>
          <w:p w:rsidR="00D849AA" w:rsidRPr="00950B90" w:rsidRDefault="00EE6D95">
            <w:pPr>
              <w:rPr>
                <w:rFonts w:ascii="Arial" w:hAnsi="Arial" w:cs="Arial"/>
              </w:rPr>
            </w:pPr>
            <w:r w:rsidRPr="00950B90">
              <w:rPr>
                <w:rFonts w:ascii="Arial" w:hAnsi="Arial" w:cs="Arial"/>
              </w:rPr>
              <w:t>23</w:t>
            </w:r>
          </w:p>
        </w:tc>
        <w:tc>
          <w:tcPr>
            <w:tcW w:w="1486" w:type="dxa"/>
          </w:tcPr>
          <w:p w:rsidR="00D849AA" w:rsidRPr="00950B90" w:rsidRDefault="00EE6D95">
            <w:pPr>
              <w:rPr>
                <w:rFonts w:ascii="Arial" w:hAnsi="Arial" w:cs="Arial"/>
              </w:rPr>
            </w:pPr>
            <w:r w:rsidRPr="00950B90">
              <w:rPr>
                <w:rFonts w:ascii="Arial" w:hAnsi="Arial" w:cs="Arial"/>
              </w:rPr>
              <w:t>26</w:t>
            </w:r>
          </w:p>
        </w:tc>
        <w:tc>
          <w:tcPr>
            <w:tcW w:w="1486" w:type="dxa"/>
          </w:tcPr>
          <w:p w:rsidR="00D849AA" w:rsidRPr="00950B90" w:rsidRDefault="00EE6D95">
            <w:pPr>
              <w:rPr>
                <w:rFonts w:ascii="Arial" w:hAnsi="Arial" w:cs="Arial"/>
              </w:rPr>
            </w:pPr>
            <w:r w:rsidRPr="00950B90">
              <w:rPr>
                <w:rFonts w:ascii="Arial" w:hAnsi="Arial" w:cs="Arial"/>
              </w:rPr>
              <w:t>26</w:t>
            </w:r>
          </w:p>
        </w:tc>
      </w:tr>
      <w:tr w:rsidR="00D849AA">
        <w:trPr>
          <w:jc w:val="center"/>
        </w:trPr>
        <w:tc>
          <w:tcPr>
            <w:tcW w:w="2229" w:type="dxa"/>
          </w:tcPr>
          <w:p w:rsidR="00D849AA" w:rsidRPr="00950B90" w:rsidRDefault="00EE6D95">
            <w:pPr>
              <w:pStyle w:val="CellColumn"/>
            </w:pPr>
            <w:r w:rsidRPr="00950B90">
              <w:t>Povećanje broja prijavljenih projektnih prijedloga na natječaje</w:t>
            </w:r>
          </w:p>
        </w:tc>
        <w:tc>
          <w:tcPr>
            <w:tcW w:w="1114" w:type="dxa"/>
          </w:tcPr>
          <w:p w:rsidR="00D849AA" w:rsidRPr="00950B90" w:rsidRDefault="00EE6D95">
            <w:pPr>
              <w:rPr>
                <w:rFonts w:ascii="Arial" w:hAnsi="Arial" w:cs="Arial"/>
              </w:rPr>
            </w:pPr>
            <w:r w:rsidRPr="00950B90">
              <w:rPr>
                <w:rFonts w:ascii="Arial" w:hAnsi="Arial" w:cs="Arial"/>
              </w:rPr>
              <w:t>broj</w:t>
            </w:r>
          </w:p>
        </w:tc>
        <w:tc>
          <w:tcPr>
            <w:tcW w:w="1114" w:type="dxa"/>
          </w:tcPr>
          <w:p w:rsidR="00D849AA" w:rsidRPr="00950B90" w:rsidRDefault="00EE6D95">
            <w:pPr>
              <w:rPr>
                <w:rFonts w:ascii="Arial" w:hAnsi="Arial" w:cs="Arial"/>
              </w:rPr>
            </w:pPr>
            <w:r w:rsidRPr="00950B90">
              <w:rPr>
                <w:rFonts w:ascii="Arial" w:hAnsi="Arial" w:cs="Arial"/>
              </w:rPr>
              <w:t>572</w:t>
            </w:r>
          </w:p>
        </w:tc>
        <w:tc>
          <w:tcPr>
            <w:tcW w:w="1486" w:type="dxa"/>
          </w:tcPr>
          <w:p w:rsidR="00D849AA" w:rsidRPr="00950B90" w:rsidRDefault="00EE6D95">
            <w:pPr>
              <w:rPr>
                <w:rFonts w:ascii="Arial" w:hAnsi="Arial" w:cs="Arial"/>
              </w:rPr>
            </w:pPr>
            <w:r w:rsidRPr="00950B90">
              <w:rPr>
                <w:rFonts w:ascii="Arial" w:hAnsi="Arial" w:cs="Arial"/>
              </w:rPr>
              <w:t>572</w:t>
            </w:r>
          </w:p>
        </w:tc>
        <w:tc>
          <w:tcPr>
            <w:tcW w:w="1486" w:type="dxa"/>
          </w:tcPr>
          <w:p w:rsidR="00D849AA" w:rsidRPr="00950B90" w:rsidRDefault="00EE6D95">
            <w:pPr>
              <w:rPr>
                <w:rFonts w:ascii="Arial" w:hAnsi="Arial" w:cs="Arial"/>
              </w:rPr>
            </w:pPr>
            <w:r w:rsidRPr="00950B90">
              <w:rPr>
                <w:rFonts w:ascii="Arial" w:hAnsi="Arial" w:cs="Arial"/>
              </w:rPr>
              <w:t>572</w:t>
            </w:r>
          </w:p>
        </w:tc>
        <w:tc>
          <w:tcPr>
            <w:tcW w:w="1486" w:type="dxa"/>
          </w:tcPr>
          <w:p w:rsidR="00D849AA" w:rsidRPr="00950B90" w:rsidRDefault="00EE6D95">
            <w:pPr>
              <w:rPr>
                <w:rFonts w:ascii="Arial" w:hAnsi="Arial" w:cs="Arial"/>
              </w:rPr>
            </w:pPr>
            <w:r w:rsidRPr="00950B90">
              <w:rPr>
                <w:rFonts w:ascii="Arial" w:hAnsi="Arial" w:cs="Arial"/>
              </w:rPr>
              <w:t>572</w:t>
            </w:r>
          </w:p>
        </w:tc>
      </w:tr>
      <w:tr w:rsidR="00D849AA">
        <w:trPr>
          <w:jc w:val="center"/>
        </w:trPr>
        <w:tc>
          <w:tcPr>
            <w:tcW w:w="2229" w:type="dxa"/>
          </w:tcPr>
          <w:p w:rsidR="00D849AA" w:rsidRPr="00950B90" w:rsidRDefault="00EE6D95">
            <w:pPr>
              <w:pStyle w:val="CellColumn"/>
            </w:pPr>
            <w:r w:rsidRPr="00950B90">
              <w:t>Povećanje financijske vrijednosti ugovorenih projekata s natječaja</w:t>
            </w:r>
          </w:p>
        </w:tc>
        <w:tc>
          <w:tcPr>
            <w:tcW w:w="1114" w:type="dxa"/>
          </w:tcPr>
          <w:p w:rsidR="00D849AA" w:rsidRPr="00950B90" w:rsidRDefault="00EE6D95">
            <w:pPr>
              <w:rPr>
                <w:rFonts w:ascii="Arial" w:hAnsi="Arial" w:cs="Arial"/>
              </w:rPr>
            </w:pPr>
            <w:r w:rsidRPr="00950B90">
              <w:rPr>
                <w:rFonts w:ascii="Arial" w:hAnsi="Arial" w:cs="Arial"/>
              </w:rPr>
              <w:t>milijuni EUR</w:t>
            </w:r>
          </w:p>
        </w:tc>
        <w:tc>
          <w:tcPr>
            <w:tcW w:w="1114" w:type="dxa"/>
          </w:tcPr>
          <w:p w:rsidR="00D849AA" w:rsidRPr="00950B90" w:rsidRDefault="00EE6D95">
            <w:pPr>
              <w:rPr>
                <w:rFonts w:ascii="Arial" w:hAnsi="Arial" w:cs="Arial"/>
              </w:rPr>
            </w:pPr>
            <w:r w:rsidRPr="00950B90">
              <w:rPr>
                <w:rFonts w:ascii="Arial" w:hAnsi="Arial" w:cs="Arial"/>
              </w:rPr>
              <w:t>50</w:t>
            </w:r>
          </w:p>
        </w:tc>
        <w:tc>
          <w:tcPr>
            <w:tcW w:w="1486" w:type="dxa"/>
          </w:tcPr>
          <w:p w:rsidR="00D849AA" w:rsidRPr="00950B90" w:rsidRDefault="00EE6D95">
            <w:pPr>
              <w:rPr>
                <w:rFonts w:ascii="Arial" w:hAnsi="Arial" w:cs="Arial"/>
              </w:rPr>
            </w:pPr>
            <w:r w:rsidRPr="00950B90">
              <w:rPr>
                <w:rFonts w:ascii="Arial" w:hAnsi="Arial" w:cs="Arial"/>
              </w:rPr>
              <w:t>50</w:t>
            </w:r>
          </w:p>
        </w:tc>
        <w:tc>
          <w:tcPr>
            <w:tcW w:w="1486" w:type="dxa"/>
          </w:tcPr>
          <w:p w:rsidR="00D849AA" w:rsidRPr="00950B90" w:rsidRDefault="00EE6D95">
            <w:pPr>
              <w:rPr>
                <w:rFonts w:ascii="Arial" w:hAnsi="Arial" w:cs="Arial"/>
              </w:rPr>
            </w:pPr>
            <w:r w:rsidRPr="00950B90">
              <w:rPr>
                <w:rFonts w:ascii="Arial" w:hAnsi="Arial" w:cs="Arial"/>
              </w:rPr>
              <w:t>50</w:t>
            </w:r>
          </w:p>
        </w:tc>
        <w:tc>
          <w:tcPr>
            <w:tcW w:w="1486" w:type="dxa"/>
          </w:tcPr>
          <w:p w:rsidR="00D849AA" w:rsidRPr="00950B90" w:rsidRDefault="00EE6D95">
            <w:pPr>
              <w:rPr>
                <w:rFonts w:ascii="Arial" w:hAnsi="Arial" w:cs="Arial"/>
              </w:rPr>
            </w:pPr>
            <w:r w:rsidRPr="00950B90">
              <w:rPr>
                <w:rFonts w:ascii="Arial" w:hAnsi="Arial" w:cs="Arial"/>
              </w:rPr>
              <w:t>50</w:t>
            </w:r>
          </w:p>
        </w:tc>
      </w:tr>
    </w:tbl>
    <w:p w:rsidR="00D849AA" w:rsidRDefault="00D849AA">
      <w:pPr>
        <w:jc w:val="left"/>
      </w:pPr>
    </w:p>
    <w:p w:rsidR="00D849AA" w:rsidRDefault="00EE6D95">
      <w:pPr>
        <w:pStyle w:val="Naslov6"/>
      </w:pPr>
      <w:r>
        <w:t>K828039 IPA II 2010 PROGRAM PREKOGRANIČNE SURADNJE HRVATSKA-SRBIJA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950B90" w:rsidRDefault="00EE6D95">
            <w:pPr>
              <w:pStyle w:val="CellHeader"/>
            </w:pPr>
            <w:r w:rsidRPr="00950B90">
              <w:t>Naziv aktivnosti</w:t>
            </w:r>
          </w:p>
        </w:tc>
        <w:tc>
          <w:tcPr>
            <w:tcW w:w="1486" w:type="dxa"/>
            <w:shd w:val="clear" w:color="auto" w:fill="B5C0D8"/>
          </w:tcPr>
          <w:p w:rsidR="00D849AA" w:rsidRPr="00950B90" w:rsidRDefault="00EE6D95">
            <w:pPr>
              <w:pStyle w:val="CellHeader"/>
            </w:pPr>
            <w:r w:rsidRPr="00950B90">
              <w:t>Plan 2013.</w:t>
            </w:r>
          </w:p>
        </w:tc>
        <w:tc>
          <w:tcPr>
            <w:tcW w:w="1486" w:type="dxa"/>
            <w:shd w:val="clear" w:color="auto" w:fill="B5C0D8"/>
          </w:tcPr>
          <w:p w:rsidR="00D849AA" w:rsidRPr="00950B90" w:rsidRDefault="00EE6D95">
            <w:pPr>
              <w:pStyle w:val="CellHeader"/>
            </w:pPr>
            <w:r w:rsidRPr="00950B90">
              <w:t>Plan 2014.</w:t>
            </w:r>
          </w:p>
        </w:tc>
        <w:tc>
          <w:tcPr>
            <w:tcW w:w="1486" w:type="dxa"/>
            <w:shd w:val="clear" w:color="auto" w:fill="B5C0D8"/>
          </w:tcPr>
          <w:p w:rsidR="00D849AA" w:rsidRPr="00950B90" w:rsidRDefault="00EE6D95">
            <w:pPr>
              <w:pStyle w:val="CellHeader"/>
            </w:pPr>
            <w:r w:rsidRPr="00950B90">
              <w:t>Plan 2015.</w:t>
            </w:r>
          </w:p>
        </w:tc>
        <w:tc>
          <w:tcPr>
            <w:tcW w:w="1486" w:type="dxa"/>
            <w:shd w:val="clear" w:color="auto" w:fill="B5C0D8"/>
          </w:tcPr>
          <w:p w:rsidR="00D849AA" w:rsidRPr="00950B90" w:rsidRDefault="00EE6D95">
            <w:pPr>
              <w:pStyle w:val="CellHeader"/>
            </w:pPr>
            <w:r w:rsidRPr="00950B90">
              <w:t>Plan 2016.</w:t>
            </w:r>
          </w:p>
        </w:tc>
        <w:tc>
          <w:tcPr>
            <w:tcW w:w="1486" w:type="dxa"/>
            <w:shd w:val="clear" w:color="auto" w:fill="B5C0D8"/>
          </w:tcPr>
          <w:p w:rsidR="00D849AA" w:rsidRPr="00950B90" w:rsidRDefault="00EE6D95">
            <w:pPr>
              <w:pStyle w:val="CellHeader"/>
            </w:pPr>
            <w:r w:rsidRPr="00950B90">
              <w:t>Indeks 2014/2013</w:t>
            </w:r>
          </w:p>
        </w:tc>
      </w:tr>
      <w:tr w:rsidR="00D849AA">
        <w:trPr>
          <w:jc w:val="center"/>
        </w:trPr>
        <w:tc>
          <w:tcPr>
            <w:tcW w:w="1486" w:type="dxa"/>
          </w:tcPr>
          <w:p w:rsidR="00D849AA" w:rsidRPr="00950B90" w:rsidRDefault="00EE6D95">
            <w:pPr>
              <w:pStyle w:val="CellColumn"/>
            </w:pPr>
            <w:r w:rsidRPr="00950B90">
              <w:t>K828039</w:t>
            </w:r>
          </w:p>
        </w:tc>
        <w:tc>
          <w:tcPr>
            <w:tcW w:w="1486" w:type="dxa"/>
          </w:tcPr>
          <w:p w:rsidR="00D849AA" w:rsidRPr="00950B90" w:rsidRDefault="00EE6D95">
            <w:pPr>
              <w:rPr>
                <w:rFonts w:ascii="Arial" w:hAnsi="Arial" w:cs="Arial"/>
              </w:rPr>
            </w:pPr>
            <w:r w:rsidRPr="00950B90">
              <w:rPr>
                <w:rFonts w:ascii="Arial" w:hAnsi="Arial" w:cs="Arial"/>
              </w:rPr>
              <w:t>734.068</w:t>
            </w:r>
          </w:p>
        </w:tc>
        <w:tc>
          <w:tcPr>
            <w:tcW w:w="1486" w:type="dxa"/>
          </w:tcPr>
          <w:p w:rsidR="00D849AA" w:rsidRPr="00950B90" w:rsidRDefault="00EE6D95">
            <w:pPr>
              <w:rPr>
                <w:rFonts w:ascii="Arial" w:hAnsi="Arial" w:cs="Arial"/>
              </w:rPr>
            </w:pPr>
            <w:r w:rsidRPr="00950B90">
              <w:rPr>
                <w:rFonts w:ascii="Arial" w:hAnsi="Arial" w:cs="Arial"/>
              </w:rPr>
              <w:t>1.710.000</w:t>
            </w:r>
          </w:p>
        </w:tc>
        <w:tc>
          <w:tcPr>
            <w:tcW w:w="1486" w:type="dxa"/>
          </w:tcPr>
          <w:p w:rsidR="00D849AA" w:rsidRPr="00950B90" w:rsidRDefault="00EE6D95">
            <w:pPr>
              <w:rPr>
                <w:rFonts w:ascii="Arial" w:hAnsi="Arial" w:cs="Arial"/>
              </w:rPr>
            </w:pPr>
            <w:r w:rsidRPr="00950B90">
              <w:rPr>
                <w:rFonts w:ascii="Arial" w:hAnsi="Arial" w:cs="Arial"/>
              </w:rPr>
              <w:t>00</w:t>
            </w:r>
          </w:p>
        </w:tc>
        <w:tc>
          <w:tcPr>
            <w:tcW w:w="1486" w:type="dxa"/>
          </w:tcPr>
          <w:p w:rsidR="00D849AA" w:rsidRPr="00950B90" w:rsidRDefault="00EE6D95">
            <w:pPr>
              <w:rPr>
                <w:rFonts w:ascii="Arial" w:hAnsi="Arial" w:cs="Arial"/>
              </w:rPr>
            </w:pPr>
            <w:r w:rsidRPr="00950B90">
              <w:rPr>
                <w:rFonts w:ascii="Arial" w:hAnsi="Arial" w:cs="Arial"/>
              </w:rPr>
              <w:t>00</w:t>
            </w:r>
          </w:p>
        </w:tc>
        <w:tc>
          <w:tcPr>
            <w:tcW w:w="1486" w:type="dxa"/>
          </w:tcPr>
          <w:p w:rsidR="00D849AA" w:rsidRPr="00950B90" w:rsidRDefault="00EE6D95">
            <w:pPr>
              <w:rPr>
                <w:rFonts w:ascii="Arial" w:hAnsi="Arial" w:cs="Arial"/>
              </w:rPr>
            </w:pPr>
            <w:r w:rsidRPr="00950B90">
              <w:rPr>
                <w:rFonts w:ascii="Arial" w:hAnsi="Arial" w:cs="Arial"/>
              </w:rPr>
              <w:t>232,9</w:t>
            </w:r>
          </w:p>
        </w:tc>
      </w:tr>
    </w:tbl>
    <w:p w:rsidR="00D849AA" w:rsidRDefault="00D849AA">
      <w:pPr>
        <w:jc w:val="left"/>
      </w:pPr>
    </w:p>
    <w:p w:rsidR="00D849AA" w:rsidRDefault="00EE6D95">
      <w:pPr>
        <w:pStyle w:val="Normal6"/>
      </w:pPr>
      <w:r>
        <w:t xml:space="preserve">Cilj aktivnosti prekograničnog programa Hrvatska – Srbija je poticati prekograničnu suradnju pograničnih područja Republike Hrvatske i Republike Srbije radi povećanja raznolikosti i unapređenja regionalnog gospodarstva na socijalno i ekološki održiv način, uz istovremeno poboljšavanje dobrosusjedskih odnosa uzduž granice. Dodatni programski cilj jest izgradnja kapaciteta lokalnih, regionalnih i državnih institucija za upravljanje programima Europske unije i pripremanje tih institucija za upravljanje budućim programima prekogranične suradnje.  </w:t>
      </w:r>
    </w:p>
    <w:p w:rsidR="00D849AA" w:rsidRDefault="00EE6D95">
      <w:pPr>
        <w:pStyle w:val="Normal6"/>
      </w:pPr>
      <w:r>
        <w:t>Kroz program se za financiranje odabiru projekti koji pripadaju sljedećim prioritetima: održivi društveno-ekonomski razvoj, zaštita okoliša, te poboljšanje međuljudskih odnosa.</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950B90" w:rsidRDefault="00EE6D95">
            <w:pPr>
              <w:rPr>
                <w:rFonts w:ascii="Arial" w:hAnsi="Arial" w:cs="Arial"/>
              </w:rPr>
            </w:pPr>
            <w:r w:rsidRPr="00950B90">
              <w:rPr>
                <w:rFonts w:ascii="Arial" w:hAnsi="Arial" w:cs="Arial"/>
              </w:rPr>
              <w:t>Pokazatelj rezultata</w:t>
            </w:r>
          </w:p>
        </w:tc>
        <w:tc>
          <w:tcPr>
            <w:tcW w:w="1114" w:type="dxa"/>
            <w:shd w:val="clear" w:color="auto" w:fill="B5C0D8"/>
          </w:tcPr>
          <w:p w:rsidR="00D849AA" w:rsidRPr="00950B90" w:rsidRDefault="00EE6D95">
            <w:pPr>
              <w:pStyle w:val="CellHeader"/>
            </w:pPr>
            <w:r w:rsidRPr="00950B90">
              <w:t>Jedinica</w:t>
            </w:r>
          </w:p>
        </w:tc>
        <w:tc>
          <w:tcPr>
            <w:tcW w:w="1114" w:type="dxa"/>
            <w:shd w:val="clear" w:color="auto" w:fill="B5C0D8"/>
          </w:tcPr>
          <w:p w:rsidR="00D849AA" w:rsidRPr="00950B90" w:rsidRDefault="00EE6D95">
            <w:pPr>
              <w:pStyle w:val="CellHeader"/>
            </w:pPr>
            <w:r w:rsidRPr="00950B90">
              <w:t>Polazna vrijednost</w:t>
            </w:r>
          </w:p>
        </w:tc>
        <w:tc>
          <w:tcPr>
            <w:tcW w:w="1486" w:type="dxa"/>
            <w:shd w:val="clear" w:color="auto" w:fill="B5C0D8"/>
          </w:tcPr>
          <w:p w:rsidR="00D849AA" w:rsidRPr="00950B90" w:rsidRDefault="00EE6D95">
            <w:pPr>
              <w:pStyle w:val="CellHeader"/>
            </w:pPr>
            <w:r w:rsidRPr="00950B90">
              <w:t>Ciljana vrijednost (2014.)</w:t>
            </w:r>
          </w:p>
        </w:tc>
        <w:tc>
          <w:tcPr>
            <w:tcW w:w="1486" w:type="dxa"/>
            <w:shd w:val="clear" w:color="auto" w:fill="B5C0D8"/>
          </w:tcPr>
          <w:p w:rsidR="00D849AA" w:rsidRPr="00950B90" w:rsidRDefault="00EE6D95">
            <w:pPr>
              <w:pStyle w:val="CellHeader"/>
            </w:pPr>
            <w:r w:rsidRPr="00950B90">
              <w:t>Ciljana vrijednost (2015.)</w:t>
            </w:r>
          </w:p>
        </w:tc>
        <w:tc>
          <w:tcPr>
            <w:tcW w:w="1486" w:type="dxa"/>
            <w:shd w:val="clear" w:color="auto" w:fill="B5C0D8"/>
          </w:tcPr>
          <w:p w:rsidR="00D849AA" w:rsidRPr="00950B90" w:rsidRDefault="00EE6D95">
            <w:pPr>
              <w:pStyle w:val="CellHeader"/>
            </w:pPr>
            <w:r w:rsidRPr="00950B90">
              <w:t>Ciljana vrijednost (2016.)</w:t>
            </w:r>
          </w:p>
        </w:tc>
      </w:tr>
      <w:tr w:rsidR="00D849AA">
        <w:trPr>
          <w:jc w:val="center"/>
        </w:trPr>
        <w:tc>
          <w:tcPr>
            <w:tcW w:w="2229" w:type="dxa"/>
          </w:tcPr>
          <w:p w:rsidR="00D849AA" w:rsidRPr="00950B90" w:rsidRDefault="00EE6D95">
            <w:pPr>
              <w:pStyle w:val="CellColumn"/>
            </w:pPr>
            <w:r w:rsidRPr="00950B90">
              <w:t xml:space="preserve">Povećanje broja održanih informativnih i edukativnih radionica, konferencija, tzv. kick-off sastanaka uključujući i sastanke vezane uz programiranje za </w:t>
            </w:r>
            <w:r w:rsidRPr="00950B90">
              <w:lastRenderedPageBreak/>
              <w:t>program 2014. - 2020.</w:t>
            </w:r>
          </w:p>
        </w:tc>
        <w:tc>
          <w:tcPr>
            <w:tcW w:w="1114" w:type="dxa"/>
          </w:tcPr>
          <w:p w:rsidR="00D849AA" w:rsidRPr="00950B90" w:rsidRDefault="00EE6D95">
            <w:pPr>
              <w:rPr>
                <w:rFonts w:ascii="Arial" w:hAnsi="Arial" w:cs="Arial"/>
              </w:rPr>
            </w:pPr>
            <w:r w:rsidRPr="00950B90">
              <w:rPr>
                <w:rFonts w:ascii="Arial" w:hAnsi="Arial" w:cs="Arial"/>
              </w:rPr>
              <w:lastRenderedPageBreak/>
              <w:t>broj</w:t>
            </w:r>
          </w:p>
        </w:tc>
        <w:tc>
          <w:tcPr>
            <w:tcW w:w="1114" w:type="dxa"/>
          </w:tcPr>
          <w:p w:rsidR="00D849AA" w:rsidRPr="00950B90" w:rsidRDefault="00EE6D95">
            <w:pPr>
              <w:rPr>
                <w:rFonts w:ascii="Arial" w:hAnsi="Arial" w:cs="Arial"/>
              </w:rPr>
            </w:pPr>
            <w:r w:rsidRPr="00950B90">
              <w:rPr>
                <w:rFonts w:ascii="Arial" w:hAnsi="Arial" w:cs="Arial"/>
              </w:rPr>
              <w:t>50</w:t>
            </w:r>
          </w:p>
        </w:tc>
        <w:tc>
          <w:tcPr>
            <w:tcW w:w="1486" w:type="dxa"/>
          </w:tcPr>
          <w:p w:rsidR="00D849AA" w:rsidRPr="00950B90" w:rsidRDefault="00EE6D95">
            <w:pPr>
              <w:rPr>
                <w:rFonts w:ascii="Arial" w:hAnsi="Arial" w:cs="Arial"/>
              </w:rPr>
            </w:pPr>
            <w:r w:rsidRPr="00950B90">
              <w:rPr>
                <w:rFonts w:ascii="Arial" w:hAnsi="Arial" w:cs="Arial"/>
              </w:rPr>
              <w:t>60</w:t>
            </w:r>
          </w:p>
        </w:tc>
        <w:tc>
          <w:tcPr>
            <w:tcW w:w="1486" w:type="dxa"/>
          </w:tcPr>
          <w:p w:rsidR="00D849AA" w:rsidRPr="00950B90" w:rsidRDefault="00EE6D95">
            <w:pPr>
              <w:rPr>
                <w:rFonts w:ascii="Arial" w:hAnsi="Arial" w:cs="Arial"/>
              </w:rPr>
            </w:pPr>
            <w:r w:rsidRPr="00950B90">
              <w:rPr>
                <w:rFonts w:ascii="Arial" w:hAnsi="Arial" w:cs="Arial"/>
              </w:rPr>
              <w:t>70</w:t>
            </w:r>
          </w:p>
        </w:tc>
        <w:tc>
          <w:tcPr>
            <w:tcW w:w="1486" w:type="dxa"/>
          </w:tcPr>
          <w:p w:rsidR="00D849AA" w:rsidRPr="00950B90" w:rsidRDefault="00EE6D95">
            <w:pPr>
              <w:rPr>
                <w:rFonts w:ascii="Arial" w:hAnsi="Arial" w:cs="Arial"/>
              </w:rPr>
            </w:pPr>
            <w:r w:rsidRPr="00950B90">
              <w:rPr>
                <w:rFonts w:ascii="Arial" w:hAnsi="Arial" w:cs="Arial"/>
              </w:rPr>
              <w:t>70</w:t>
            </w:r>
          </w:p>
        </w:tc>
      </w:tr>
      <w:tr w:rsidR="00D849AA">
        <w:trPr>
          <w:jc w:val="center"/>
        </w:trPr>
        <w:tc>
          <w:tcPr>
            <w:tcW w:w="2229" w:type="dxa"/>
          </w:tcPr>
          <w:p w:rsidR="00D849AA" w:rsidRPr="00950B90" w:rsidRDefault="00EE6D95">
            <w:pPr>
              <w:pStyle w:val="CellColumn"/>
            </w:pPr>
            <w:r w:rsidRPr="00950B90">
              <w:lastRenderedPageBreak/>
              <w:t>Broj prijavljenih projektnih prijedloga na natječaje</w:t>
            </w:r>
          </w:p>
        </w:tc>
        <w:tc>
          <w:tcPr>
            <w:tcW w:w="1114" w:type="dxa"/>
          </w:tcPr>
          <w:p w:rsidR="00D849AA" w:rsidRPr="00950B90" w:rsidRDefault="00EE6D95">
            <w:pPr>
              <w:rPr>
                <w:rFonts w:ascii="Arial" w:hAnsi="Arial" w:cs="Arial"/>
              </w:rPr>
            </w:pPr>
            <w:r w:rsidRPr="00950B90">
              <w:rPr>
                <w:rFonts w:ascii="Arial" w:hAnsi="Arial" w:cs="Arial"/>
              </w:rPr>
              <w:t>%</w:t>
            </w:r>
          </w:p>
        </w:tc>
        <w:tc>
          <w:tcPr>
            <w:tcW w:w="1114" w:type="dxa"/>
          </w:tcPr>
          <w:p w:rsidR="00D849AA" w:rsidRPr="00950B90" w:rsidRDefault="00EE6D95">
            <w:pPr>
              <w:rPr>
                <w:rFonts w:ascii="Arial" w:hAnsi="Arial" w:cs="Arial"/>
              </w:rPr>
            </w:pPr>
            <w:r w:rsidRPr="00950B90">
              <w:rPr>
                <w:rFonts w:ascii="Arial" w:hAnsi="Arial" w:cs="Arial"/>
              </w:rPr>
              <w:t>420</w:t>
            </w:r>
          </w:p>
        </w:tc>
        <w:tc>
          <w:tcPr>
            <w:tcW w:w="1486" w:type="dxa"/>
          </w:tcPr>
          <w:p w:rsidR="00D849AA" w:rsidRPr="00950B90" w:rsidRDefault="00EE6D95">
            <w:pPr>
              <w:rPr>
                <w:rFonts w:ascii="Arial" w:hAnsi="Arial" w:cs="Arial"/>
              </w:rPr>
            </w:pPr>
            <w:r w:rsidRPr="00950B90">
              <w:rPr>
                <w:rFonts w:ascii="Arial" w:hAnsi="Arial" w:cs="Arial"/>
              </w:rPr>
              <w:t>420</w:t>
            </w:r>
          </w:p>
        </w:tc>
        <w:tc>
          <w:tcPr>
            <w:tcW w:w="1486" w:type="dxa"/>
          </w:tcPr>
          <w:p w:rsidR="00D849AA" w:rsidRPr="00950B90" w:rsidRDefault="00EE6D95">
            <w:pPr>
              <w:rPr>
                <w:rFonts w:ascii="Arial" w:hAnsi="Arial" w:cs="Arial"/>
              </w:rPr>
            </w:pPr>
            <w:r w:rsidRPr="00950B90">
              <w:rPr>
                <w:rFonts w:ascii="Arial" w:hAnsi="Arial" w:cs="Arial"/>
              </w:rPr>
              <w:t>420</w:t>
            </w:r>
          </w:p>
        </w:tc>
        <w:tc>
          <w:tcPr>
            <w:tcW w:w="1486" w:type="dxa"/>
          </w:tcPr>
          <w:p w:rsidR="00D849AA" w:rsidRPr="00950B90" w:rsidRDefault="00EE6D95">
            <w:pPr>
              <w:rPr>
                <w:rFonts w:ascii="Arial" w:hAnsi="Arial" w:cs="Arial"/>
              </w:rPr>
            </w:pPr>
            <w:r w:rsidRPr="00950B90">
              <w:rPr>
                <w:rFonts w:ascii="Arial" w:hAnsi="Arial" w:cs="Arial"/>
              </w:rPr>
              <w:t>420</w:t>
            </w:r>
          </w:p>
        </w:tc>
      </w:tr>
      <w:tr w:rsidR="00D849AA">
        <w:trPr>
          <w:jc w:val="center"/>
        </w:trPr>
        <w:tc>
          <w:tcPr>
            <w:tcW w:w="2229" w:type="dxa"/>
          </w:tcPr>
          <w:p w:rsidR="00D849AA" w:rsidRPr="00950B90" w:rsidRDefault="00EE6D95">
            <w:pPr>
              <w:pStyle w:val="CellColumn"/>
            </w:pPr>
            <w:r w:rsidRPr="00950B90">
              <w:t>Postotak ugovorenosti alokacija</w:t>
            </w:r>
          </w:p>
        </w:tc>
        <w:tc>
          <w:tcPr>
            <w:tcW w:w="1114" w:type="dxa"/>
          </w:tcPr>
          <w:p w:rsidR="00D849AA" w:rsidRPr="00950B90" w:rsidRDefault="00EE6D95">
            <w:pPr>
              <w:rPr>
                <w:rFonts w:ascii="Arial" w:hAnsi="Arial" w:cs="Arial"/>
              </w:rPr>
            </w:pPr>
            <w:r w:rsidRPr="00950B90">
              <w:rPr>
                <w:rFonts w:ascii="Arial" w:hAnsi="Arial" w:cs="Arial"/>
              </w:rPr>
              <w:t>EUR</w:t>
            </w:r>
          </w:p>
        </w:tc>
        <w:tc>
          <w:tcPr>
            <w:tcW w:w="1114" w:type="dxa"/>
          </w:tcPr>
          <w:p w:rsidR="00D849AA" w:rsidRPr="00950B90" w:rsidRDefault="00EE6D95">
            <w:pPr>
              <w:rPr>
                <w:rFonts w:ascii="Arial" w:hAnsi="Arial" w:cs="Arial"/>
              </w:rPr>
            </w:pPr>
            <w:r w:rsidRPr="00950B90">
              <w:rPr>
                <w:rFonts w:ascii="Arial" w:hAnsi="Arial" w:cs="Arial"/>
              </w:rPr>
              <w:t>90</w:t>
            </w:r>
          </w:p>
        </w:tc>
        <w:tc>
          <w:tcPr>
            <w:tcW w:w="1486" w:type="dxa"/>
          </w:tcPr>
          <w:p w:rsidR="00D849AA" w:rsidRPr="00950B90" w:rsidRDefault="00EE6D95">
            <w:pPr>
              <w:rPr>
                <w:rFonts w:ascii="Arial" w:hAnsi="Arial" w:cs="Arial"/>
              </w:rPr>
            </w:pPr>
            <w:r w:rsidRPr="00950B90">
              <w:rPr>
                <w:rFonts w:ascii="Arial" w:hAnsi="Arial" w:cs="Arial"/>
              </w:rPr>
              <w:t>90</w:t>
            </w:r>
          </w:p>
        </w:tc>
        <w:tc>
          <w:tcPr>
            <w:tcW w:w="1486" w:type="dxa"/>
          </w:tcPr>
          <w:p w:rsidR="00D849AA" w:rsidRPr="00950B90" w:rsidRDefault="00EE6D95">
            <w:pPr>
              <w:rPr>
                <w:rFonts w:ascii="Arial" w:hAnsi="Arial" w:cs="Arial"/>
              </w:rPr>
            </w:pPr>
            <w:r w:rsidRPr="00950B90">
              <w:rPr>
                <w:rFonts w:ascii="Arial" w:hAnsi="Arial" w:cs="Arial"/>
              </w:rPr>
              <w:t>90</w:t>
            </w:r>
          </w:p>
        </w:tc>
        <w:tc>
          <w:tcPr>
            <w:tcW w:w="1486" w:type="dxa"/>
          </w:tcPr>
          <w:p w:rsidR="00D849AA" w:rsidRPr="00950B90" w:rsidRDefault="00EE6D95">
            <w:pPr>
              <w:rPr>
                <w:rFonts w:ascii="Arial" w:hAnsi="Arial" w:cs="Arial"/>
              </w:rPr>
            </w:pPr>
            <w:r w:rsidRPr="00950B90">
              <w:rPr>
                <w:rFonts w:ascii="Arial" w:hAnsi="Arial" w:cs="Arial"/>
              </w:rPr>
              <w:t>90</w:t>
            </w:r>
          </w:p>
        </w:tc>
      </w:tr>
    </w:tbl>
    <w:p w:rsidR="00D849AA" w:rsidRDefault="00D849AA">
      <w:pPr>
        <w:jc w:val="left"/>
      </w:pPr>
    </w:p>
    <w:p w:rsidR="00D849AA" w:rsidRDefault="00EE6D95">
      <w:pPr>
        <w:pStyle w:val="Naslov6"/>
      </w:pPr>
      <w:r>
        <w:t>T680028 IPA II 2012 PROGRAM PREKOGRANIČNE SURADNJE HRVATSKA – SRBIJA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950B90" w:rsidRDefault="00EE6D95">
            <w:pPr>
              <w:pStyle w:val="CellHeader"/>
            </w:pPr>
            <w:r w:rsidRPr="00950B90">
              <w:t>Naziv aktivnosti</w:t>
            </w:r>
          </w:p>
        </w:tc>
        <w:tc>
          <w:tcPr>
            <w:tcW w:w="1486" w:type="dxa"/>
            <w:shd w:val="clear" w:color="auto" w:fill="B5C0D8"/>
          </w:tcPr>
          <w:p w:rsidR="00D849AA" w:rsidRPr="00950B90" w:rsidRDefault="00EE6D95">
            <w:pPr>
              <w:pStyle w:val="CellHeader"/>
            </w:pPr>
            <w:r w:rsidRPr="00950B90">
              <w:t>Plan 2013.</w:t>
            </w:r>
          </w:p>
        </w:tc>
        <w:tc>
          <w:tcPr>
            <w:tcW w:w="1486" w:type="dxa"/>
            <w:shd w:val="clear" w:color="auto" w:fill="B5C0D8"/>
          </w:tcPr>
          <w:p w:rsidR="00D849AA" w:rsidRPr="00950B90" w:rsidRDefault="00EE6D95">
            <w:pPr>
              <w:pStyle w:val="CellHeader"/>
            </w:pPr>
            <w:r w:rsidRPr="00950B90">
              <w:t>Plan 2014.</w:t>
            </w:r>
          </w:p>
        </w:tc>
        <w:tc>
          <w:tcPr>
            <w:tcW w:w="1486" w:type="dxa"/>
            <w:shd w:val="clear" w:color="auto" w:fill="B5C0D8"/>
          </w:tcPr>
          <w:p w:rsidR="00D849AA" w:rsidRPr="00950B90" w:rsidRDefault="00EE6D95">
            <w:pPr>
              <w:pStyle w:val="CellHeader"/>
            </w:pPr>
            <w:r w:rsidRPr="00950B90">
              <w:t>Plan 2015.</w:t>
            </w:r>
          </w:p>
        </w:tc>
        <w:tc>
          <w:tcPr>
            <w:tcW w:w="1486" w:type="dxa"/>
            <w:shd w:val="clear" w:color="auto" w:fill="B5C0D8"/>
          </w:tcPr>
          <w:p w:rsidR="00D849AA" w:rsidRPr="00950B90" w:rsidRDefault="00EE6D95">
            <w:pPr>
              <w:pStyle w:val="CellHeader"/>
            </w:pPr>
            <w:r w:rsidRPr="00950B90">
              <w:t>Plan 2016.</w:t>
            </w:r>
          </w:p>
        </w:tc>
        <w:tc>
          <w:tcPr>
            <w:tcW w:w="1486" w:type="dxa"/>
            <w:shd w:val="clear" w:color="auto" w:fill="B5C0D8"/>
          </w:tcPr>
          <w:p w:rsidR="00D849AA" w:rsidRPr="00950B90" w:rsidRDefault="00EE6D95">
            <w:pPr>
              <w:pStyle w:val="CellHeader"/>
            </w:pPr>
            <w:r w:rsidRPr="00950B90">
              <w:t>Indeks 2014/2013</w:t>
            </w:r>
          </w:p>
        </w:tc>
      </w:tr>
      <w:tr w:rsidR="00D849AA">
        <w:trPr>
          <w:jc w:val="center"/>
        </w:trPr>
        <w:tc>
          <w:tcPr>
            <w:tcW w:w="1486" w:type="dxa"/>
          </w:tcPr>
          <w:p w:rsidR="00D849AA" w:rsidRPr="00950B90" w:rsidRDefault="00EE6D95">
            <w:pPr>
              <w:pStyle w:val="CellColumn"/>
            </w:pPr>
            <w:r w:rsidRPr="00950B90">
              <w:t>T680028</w:t>
            </w:r>
          </w:p>
        </w:tc>
        <w:tc>
          <w:tcPr>
            <w:tcW w:w="1486" w:type="dxa"/>
          </w:tcPr>
          <w:p w:rsidR="00D849AA" w:rsidRPr="00950B90" w:rsidRDefault="00EE6D95">
            <w:pPr>
              <w:rPr>
                <w:rFonts w:ascii="Arial" w:hAnsi="Arial" w:cs="Arial"/>
              </w:rPr>
            </w:pPr>
            <w:r w:rsidRPr="00950B90">
              <w:rPr>
                <w:rFonts w:ascii="Arial" w:hAnsi="Arial" w:cs="Arial"/>
              </w:rPr>
              <w:t>5.000</w:t>
            </w:r>
          </w:p>
        </w:tc>
        <w:tc>
          <w:tcPr>
            <w:tcW w:w="1486" w:type="dxa"/>
          </w:tcPr>
          <w:p w:rsidR="00D849AA" w:rsidRPr="00950B90" w:rsidRDefault="00EE6D95">
            <w:pPr>
              <w:rPr>
                <w:rFonts w:ascii="Arial" w:hAnsi="Arial" w:cs="Arial"/>
              </w:rPr>
            </w:pPr>
            <w:r w:rsidRPr="00950B90">
              <w:rPr>
                <w:rFonts w:ascii="Arial" w:hAnsi="Arial" w:cs="Arial"/>
              </w:rPr>
              <w:t>5.130.000</w:t>
            </w:r>
          </w:p>
        </w:tc>
        <w:tc>
          <w:tcPr>
            <w:tcW w:w="1486" w:type="dxa"/>
          </w:tcPr>
          <w:p w:rsidR="00D849AA" w:rsidRPr="00950B90" w:rsidRDefault="00EE6D95">
            <w:pPr>
              <w:rPr>
                <w:rFonts w:ascii="Arial" w:hAnsi="Arial" w:cs="Arial"/>
              </w:rPr>
            </w:pPr>
            <w:r w:rsidRPr="00950B90">
              <w:rPr>
                <w:rFonts w:ascii="Arial" w:hAnsi="Arial" w:cs="Arial"/>
              </w:rPr>
              <w:t>5.130.000</w:t>
            </w:r>
          </w:p>
        </w:tc>
        <w:tc>
          <w:tcPr>
            <w:tcW w:w="1486" w:type="dxa"/>
          </w:tcPr>
          <w:p w:rsidR="00D849AA" w:rsidRPr="00950B90" w:rsidRDefault="00EE6D95">
            <w:pPr>
              <w:rPr>
                <w:rFonts w:ascii="Arial" w:hAnsi="Arial" w:cs="Arial"/>
              </w:rPr>
            </w:pPr>
            <w:r w:rsidRPr="00950B90">
              <w:rPr>
                <w:rFonts w:ascii="Arial" w:hAnsi="Arial" w:cs="Arial"/>
              </w:rPr>
              <w:t>5.130.000</w:t>
            </w:r>
          </w:p>
        </w:tc>
        <w:tc>
          <w:tcPr>
            <w:tcW w:w="1486" w:type="dxa"/>
          </w:tcPr>
          <w:p w:rsidR="00D849AA" w:rsidRPr="00950B90" w:rsidRDefault="00EE6D95">
            <w:pPr>
              <w:rPr>
                <w:rFonts w:ascii="Arial" w:hAnsi="Arial" w:cs="Arial"/>
              </w:rPr>
            </w:pPr>
            <w:r w:rsidRPr="00950B90">
              <w:rPr>
                <w:rFonts w:ascii="Arial" w:hAnsi="Arial" w:cs="Arial"/>
              </w:rPr>
              <w:t>102600,0</w:t>
            </w:r>
          </w:p>
        </w:tc>
      </w:tr>
    </w:tbl>
    <w:p w:rsidR="00D849AA" w:rsidRDefault="00D849AA">
      <w:pPr>
        <w:jc w:val="left"/>
      </w:pPr>
    </w:p>
    <w:p w:rsidR="00D849AA" w:rsidRDefault="00EE6D95">
      <w:pPr>
        <w:pStyle w:val="Normal6"/>
      </w:pPr>
      <w:r>
        <w:t xml:space="preserve">Cilj aktivnosti prekograničnog programa Hrvatska – Srbija je poticati prekograničnu suradnju pograničnih područja Republike Hrvatske i Republike Srbije radi povećanja raznolikosti i unapređenja regionalnog gospodarstva na socijalno i ekološki održiv način, uz istovremeno poboljšavanje dobrosusjedskih odnosa uzduž granice. Dodatni programski cilj jest izgradnja kapaciteta lokalnih, regionalnih i državnih institucija za upravljanje programima Europske unije i pripremanje tih institucija za upravljanje budućim programima prekogranične suradnje.  </w:t>
      </w:r>
    </w:p>
    <w:p w:rsidR="00D849AA" w:rsidRDefault="00EE6D95">
      <w:pPr>
        <w:pStyle w:val="Normal6"/>
      </w:pPr>
      <w:r>
        <w:t>Kroz program se za financiranje odabiru projekti koji pripadaju sljedećim prioritetima: održivi društveno-ekonomski razvoj, zaštita okoliša, te poboljšanje međuljudskih odnosa.</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rsidRPr="00950B90">
        <w:trPr>
          <w:jc w:val="center"/>
        </w:trPr>
        <w:tc>
          <w:tcPr>
            <w:tcW w:w="2229" w:type="dxa"/>
            <w:shd w:val="clear" w:color="auto" w:fill="B5C0D8"/>
          </w:tcPr>
          <w:p w:rsidR="00D849AA" w:rsidRPr="00950B90" w:rsidRDefault="00EE6D95">
            <w:pPr>
              <w:rPr>
                <w:rFonts w:ascii="Arial" w:hAnsi="Arial" w:cs="Arial"/>
              </w:rPr>
            </w:pPr>
            <w:r w:rsidRPr="00950B90">
              <w:rPr>
                <w:rFonts w:ascii="Arial" w:hAnsi="Arial" w:cs="Arial"/>
              </w:rPr>
              <w:t>Pokazatelj rezultata</w:t>
            </w:r>
          </w:p>
        </w:tc>
        <w:tc>
          <w:tcPr>
            <w:tcW w:w="1114" w:type="dxa"/>
            <w:shd w:val="clear" w:color="auto" w:fill="B5C0D8"/>
          </w:tcPr>
          <w:p w:rsidR="00D849AA" w:rsidRPr="00950B90" w:rsidRDefault="00EE6D95">
            <w:pPr>
              <w:pStyle w:val="CellHeader"/>
            </w:pPr>
            <w:r w:rsidRPr="00950B90">
              <w:t>Jedinica</w:t>
            </w:r>
          </w:p>
        </w:tc>
        <w:tc>
          <w:tcPr>
            <w:tcW w:w="1114" w:type="dxa"/>
            <w:shd w:val="clear" w:color="auto" w:fill="B5C0D8"/>
          </w:tcPr>
          <w:p w:rsidR="00D849AA" w:rsidRPr="00950B90" w:rsidRDefault="00EE6D95">
            <w:pPr>
              <w:pStyle w:val="CellHeader"/>
            </w:pPr>
            <w:r w:rsidRPr="00950B90">
              <w:t>Polazna vrijednost</w:t>
            </w:r>
          </w:p>
        </w:tc>
        <w:tc>
          <w:tcPr>
            <w:tcW w:w="1486" w:type="dxa"/>
            <w:shd w:val="clear" w:color="auto" w:fill="B5C0D8"/>
          </w:tcPr>
          <w:p w:rsidR="00D849AA" w:rsidRPr="00950B90" w:rsidRDefault="00EE6D95">
            <w:pPr>
              <w:pStyle w:val="CellHeader"/>
            </w:pPr>
            <w:r w:rsidRPr="00950B90">
              <w:t>Ciljana vrijednost (2014.)</w:t>
            </w:r>
          </w:p>
        </w:tc>
        <w:tc>
          <w:tcPr>
            <w:tcW w:w="1486" w:type="dxa"/>
            <w:shd w:val="clear" w:color="auto" w:fill="B5C0D8"/>
          </w:tcPr>
          <w:p w:rsidR="00D849AA" w:rsidRPr="00950B90" w:rsidRDefault="00EE6D95">
            <w:pPr>
              <w:pStyle w:val="CellHeader"/>
            </w:pPr>
            <w:r w:rsidRPr="00950B90">
              <w:t>Ciljana vrijednost (2015.)</w:t>
            </w:r>
          </w:p>
        </w:tc>
        <w:tc>
          <w:tcPr>
            <w:tcW w:w="1486" w:type="dxa"/>
            <w:shd w:val="clear" w:color="auto" w:fill="B5C0D8"/>
          </w:tcPr>
          <w:p w:rsidR="00D849AA" w:rsidRPr="00950B90" w:rsidRDefault="00EE6D95">
            <w:pPr>
              <w:pStyle w:val="CellHeader"/>
            </w:pPr>
            <w:r w:rsidRPr="00950B90">
              <w:t>Ciljana vrijednost (2016.)</w:t>
            </w:r>
          </w:p>
        </w:tc>
      </w:tr>
      <w:tr w:rsidR="00D849AA" w:rsidRPr="00950B90">
        <w:trPr>
          <w:jc w:val="center"/>
        </w:trPr>
        <w:tc>
          <w:tcPr>
            <w:tcW w:w="2229" w:type="dxa"/>
          </w:tcPr>
          <w:p w:rsidR="00D849AA" w:rsidRPr="00950B90" w:rsidRDefault="00EE6D95">
            <w:pPr>
              <w:pStyle w:val="CellColumn"/>
            </w:pPr>
            <w:r w:rsidRPr="00950B90">
              <w:t>Povećanje broja održanih informativnih i edukativnih radionica, konferencija, tzv. kick-off sastanaka uključujući i sastanke vezane uz programiranje za program 2014. - 2020.</w:t>
            </w:r>
          </w:p>
        </w:tc>
        <w:tc>
          <w:tcPr>
            <w:tcW w:w="1114" w:type="dxa"/>
          </w:tcPr>
          <w:p w:rsidR="00D849AA" w:rsidRPr="00950B90" w:rsidRDefault="00EE6D95">
            <w:pPr>
              <w:rPr>
                <w:rFonts w:ascii="Arial" w:hAnsi="Arial" w:cs="Arial"/>
              </w:rPr>
            </w:pPr>
            <w:r w:rsidRPr="00950B90">
              <w:rPr>
                <w:rFonts w:ascii="Arial" w:hAnsi="Arial" w:cs="Arial"/>
              </w:rPr>
              <w:t>broj</w:t>
            </w:r>
          </w:p>
        </w:tc>
        <w:tc>
          <w:tcPr>
            <w:tcW w:w="1114" w:type="dxa"/>
          </w:tcPr>
          <w:p w:rsidR="00D849AA" w:rsidRPr="00950B90" w:rsidRDefault="00EE6D95">
            <w:pPr>
              <w:rPr>
                <w:rFonts w:ascii="Arial" w:hAnsi="Arial" w:cs="Arial"/>
              </w:rPr>
            </w:pPr>
            <w:r w:rsidRPr="00950B90">
              <w:rPr>
                <w:rFonts w:ascii="Arial" w:hAnsi="Arial" w:cs="Arial"/>
              </w:rPr>
              <w:t>0</w:t>
            </w:r>
          </w:p>
        </w:tc>
        <w:tc>
          <w:tcPr>
            <w:tcW w:w="1486" w:type="dxa"/>
          </w:tcPr>
          <w:p w:rsidR="00D849AA" w:rsidRPr="00950B90" w:rsidRDefault="00EE6D95">
            <w:pPr>
              <w:rPr>
                <w:rFonts w:ascii="Arial" w:hAnsi="Arial" w:cs="Arial"/>
              </w:rPr>
            </w:pPr>
            <w:r w:rsidRPr="00950B90">
              <w:rPr>
                <w:rFonts w:ascii="Arial" w:hAnsi="Arial" w:cs="Arial"/>
              </w:rPr>
              <w:t>5</w:t>
            </w:r>
          </w:p>
        </w:tc>
        <w:tc>
          <w:tcPr>
            <w:tcW w:w="1486" w:type="dxa"/>
          </w:tcPr>
          <w:p w:rsidR="00D849AA" w:rsidRPr="00950B90" w:rsidRDefault="00EE6D95">
            <w:pPr>
              <w:rPr>
                <w:rFonts w:ascii="Arial" w:hAnsi="Arial" w:cs="Arial"/>
              </w:rPr>
            </w:pPr>
            <w:r w:rsidRPr="00950B90">
              <w:rPr>
                <w:rFonts w:ascii="Arial" w:hAnsi="Arial" w:cs="Arial"/>
              </w:rPr>
              <w:t>5</w:t>
            </w:r>
          </w:p>
        </w:tc>
        <w:tc>
          <w:tcPr>
            <w:tcW w:w="1486" w:type="dxa"/>
          </w:tcPr>
          <w:p w:rsidR="00D849AA" w:rsidRPr="00950B90" w:rsidRDefault="00EE6D95">
            <w:pPr>
              <w:rPr>
                <w:rFonts w:ascii="Arial" w:hAnsi="Arial" w:cs="Arial"/>
              </w:rPr>
            </w:pPr>
            <w:r w:rsidRPr="00950B90">
              <w:rPr>
                <w:rFonts w:ascii="Arial" w:hAnsi="Arial" w:cs="Arial"/>
              </w:rPr>
              <w:t>5</w:t>
            </w:r>
          </w:p>
        </w:tc>
      </w:tr>
      <w:tr w:rsidR="00D849AA" w:rsidRPr="00950B90">
        <w:trPr>
          <w:jc w:val="center"/>
        </w:trPr>
        <w:tc>
          <w:tcPr>
            <w:tcW w:w="2229" w:type="dxa"/>
          </w:tcPr>
          <w:p w:rsidR="00D849AA" w:rsidRPr="00950B90" w:rsidRDefault="00EE6D95">
            <w:pPr>
              <w:pStyle w:val="CellColumn"/>
            </w:pPr>
            <w:r w:rsidRPr="00950B90">
              <w:t>Broj prijavljenih projektnih prijedloga na natječaje</w:t>
            </w:r>
          </w:p>
        </w:tc>
        <w:tc>
          <w:tcPr>
            <w:tcW w:w="1114" w:type="dxa"/>
          </w:tcPr>
          <w:p w:rsidR="00D849AA" w:rsidRPr="00950B90" w:rsidRDefault="00EE6D95">
            <w:pPr>
              <w:rPr>
                <w:rFonts w:ascii="Arial" w:hAnsi="Arial" w:cs="Arial"/>
              </w:rPr>
            </w:pPr>
            <w:r w:rsidRPr="00950B90">
              <w:rPr>
                <w:rFonts w:ascii="Arial" w:hAnsi="Arial" w:cs="Arial"/>
              </w:rPr>
              <w:t>%</w:t>
            </w:r>
          </w:p>
        </w:tc>
        <w:tc>
          <w:tcPr>
            <w:tcW w:w="1114" w:type="dxa"/>
          </w:tcPr>
          <w:p w:rsidR="00D849AA" w:rsidRPr="00950B90" w:rsidRDefault="00EE6D95">
            <w:pPr>
              <w:rPr>
                <w:rFonts w:ascii="Arial" w:hAnsi="Arial" w:cs="Arial"/>
              </w:rPr>
            </w:pPr>
            <w:r w:rsidRPr="00950B90">
              <w:rPr>
                <w:rFonts w:ascii="Arial" w:hAnsi="Arial" w:cs="Arial"/>
              </w:rPr>
              <w:t>0</w:t>
            </w:r>
          </w:p>
        </w:tc>
        <w:tc>
          <w:tcPr>
            <w:tcW w:w="1486" w:type="dxa"/>
          </w:tcPr>
          <w:p w:rsidR="00D849AA" w:rsidRPr="00950B90" w:rsidRDefault="00EE6D95">
            <w:pPr>
              <w:rPr>
                <w:rFonts w:ascii="Arial" w:hAnsi="Arial" w:cs="Arial"/>
              </w:rPr>
            </w:pPr>
            <w:r w:rsidRPr="00950B90">
              <w:rPr>
                <w:rFonts w:ascii="Arial" w:hAnsi="Arial" w:cs="Arial"/>
              </w:rPr>
              <w:t>120</w:t>
            </w:r>
          </w:p>
        </w:tc>
        <w:tc>
          <w:tcPr>
            <w:tcW w:w="1486" w:type="dxa"/>
          </w:tcPr>
          <w:p w:rsidR="00D849AA" w:rsidRPr="00950B90" w:rsidRDefault="00EE6D95">
            <w:pPr>
              <w:rPr>
                <w:rFonts w:ascii="Arial" w:hAnsi="Arial" w:cs="Arial"/>
              </w:rPr>
            </w:pPr>
            <w:r w:rsidRPr="00950B90">
              <w:rPr>
                <w:rFonts w:ascii="Arial" w:hAnsi="Arial" w:cs="Arial"/>
              </w:rPr>
              <w:t>120</w:t>
            </w:r>
          </w:p>
        </w:tc>
        <w:tc>
          <w:tcPr>
            <w:tcW w:w="1486" w:type="dxa"/>
          </w:tcPr>
          <w:p w:rsidR="00D849AA" w:rsidRPr="00950B90" w:rsidRDefault="00EE6D95">
            <w:pPr>
              <w:rPr>
                <w:rFonts w:ascii="Arial" w:hAnsi="Arial" w:cs="Arial"/>
              </w:rPr>
            </w:pPr>
            <w:r w:rsidRPr="00950B90">
              <w:rPr>
                <w:rFonts w:ascii="Arial" w:hAnsi="Arial" w:cs="Arial"/>
              </w:rPr>
              <w:t>120</w:t>
            </w:r>
          </w:p>
        </w:tc>
      </w:tr>
      <w:tr w:rsidR="00D849AA" w:rsidRPr="00950B90">
        <w:trPr>
          <w:jc w:val="center"/>
        </w:trPr>
        <w:tc>
          <w:tcPr>
            <w:tcW w:w="2229" w:type="dxa"/>
          </w:tcPr>
          <w:p w:rsidR="00D849AA" w:rsidRPr="00950B90" w:rsidRDefault="00EE6D95">
            <w:pPr>
              <w:pStyle w:val="CellColumn"/>
            </w:pPr>
            <w:r w:rsidRPr="00950B90">
              <w:t>Postotak ugovorenosti alokacija</w:t>
            </w:r>
          </w:p>
        </w:tc>
        <w:tc>
          <w:tcPr>
            <w:tcW w:w="1114" w:type="dxa"/>
          </w:tcPr>
          <w:p w:rsidR="00D849AA" w:rsidRPr="00950B90" w:rsidRDefault="00EE6D95">
            <w:pPr>
              <w:rPr>
                <w:rFonts w:ascii="Arial" w:hAnsi="Arial" w:cs="Arial"/>
              </w:rPr>
            </w:pPr>
            <w:r w:rsidRPr="00950B90">
              <w:rPr>
                <w:rFonts w:ascii="Arial" w:hAnsi="Arial" w:cs="Arial"/>
              </w:rPr>
              <w:t>EUR</w:t>
            </w:r>
          </w:p>
        </w:tc>
        <w:tc>
          <w:tcPr>
            <w:tcW w:w="1114" w:type="dxa"/>
          </w:tcPr>
          <w:p w:rsidR="00D849AA" w:rsidRPr="00950B90" w:rsidRDefault="00EE6D95">
            <w:pPr>
              <w:rPr>
                <w:rFonts w:ascii="Arial" w:hAnsi="Arial" w:cs="Arial"/>
              </w:rPr>
            </w:pPr>
            <w:r w:rsidRPr="00950B90">
              <w:rPr>
                <w:rFonts w:ascii="Arial" w:hAnsi="Arial" w:cs="Arial"/>
              </w:rPr>
              <w:t>0</w:t>
            </w:r>
          </w:p>
        </w:tc>
        <w:tc>
          <w:tcPr>
            <w:tcW w:w="1486" w:type="dxa"/>
          </w:tcPr>
          <w:p w:rsidR="00D849AA" w:rsidRPr="00950B90" w:rsidRDefault="00EE6D95">
            <w:pPr>
              <w:rPr>
                <w:rFonts w:ascii="Arial" w:hAnsi="Arial" w:cs="Arial"/>
              </w:rPr>
            </w:pPr>
            <w:r w:rsidRPr="00950B90">
              <w:rPr>
                <w:rFonts w:ascii="Arial" w:hAnsi="Arial" w:cs="Arial"/>
              </w:rPr>
              <w:t>90</w:t>
            </w:r>
          </w:p>
        </w:tc>
        <w:tc>
          <w:tcPr>
            <w:tcW w:w="1486" w:type="dxa"/>
          </w:tcPr>
          <w:p w:rsidR="00D849AA" w:rsidRPr="00950B90" w:rsidRDefault="00EE6D95">
            <w:pPr>
              <w:rPr>
                <w:rFonts w:ascii="Arial" w:hAnsi="Arial" w:cs="Arial"/>
              </w:rPr>
            </w:pPr>
            <w:r w:rsidRPr="00950B90">
              <w:rPr>
                <w:rFonts w:ascii="Arial" w:hAnsi="Arial" w:cs="Arial"/>
              </w:rPr>
              <w:t>90</w:t>
            </w:r>
          </w:p>
        </w:tc>
        <w:tc>
          <w:tcPr>
            <w:tcW w:w="1486" w:type="dxa"/>
          </w:tcPr>
          <w:p w:rsidR="00D849AA" w:rsidRPr="00950B90" w:rsidRDefault="00EE6D95">
            <w:pPr>
              <w:rPr>
                <w:rFonts w:ascii="Arial" w:hAnsi="Arial" w:cs="Arial"/>
              </w:rPr>
            </w:pPr>
            <w:r w:rsidRPr="00950B90">
              <w:rPr>
                <w:rFonts w:ascii="Arial" w:hAnsi="Arial" w:cs="Arial"/>
              </w:rPr>
              <w:t>90</w:t>
            </w:r>
          </w:p>
        </w:tc>
      </w:tr>
    </w:tbl>
    <w:p w:rsidR="00D849AA" w:rsidRPr="00950B90" w:rsidRDefault="00D849AA">
      <w:pPr>
        <w:jc w:val="left"/>
        <w:rPr>
          <w:rFonts w:ascii="Arial" w:hAnsi="Arial" w:cs="Arial"/>
        </w:rPr>
      </w:pPr>
    </w:p>
    <w:p w:rsidR="00D849AA" w:rsidRDefault="00EE6D95">
      <w:pPr>
        <w:pStyle w:val="Naslov6"/>
      </w:pPr>
      <w:r>
        <w:lastRenderedPageBreak/>
        <w:t>T758026 EX-ANTE EVALUACIJA PROGRAMA PREKOGRANIČNE  SURADNJE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950B90" w:rsidRDefault="00EE6D95">
            <w:pPr>
              <w:pStyle w:val="CellHeader"/>
            </w:pPr>
            <w:r w:rsidRPr="00950B90">
              <w:t>Naziv aktivnosti</w:t>
            </w:r>
          </w:p>
        </w:tc>
        <w:tc>
          <w:tcPr>
            <w:tcW w:w="1486" w:type="dxa"/>
            <w:shd w:val="clear" w:color="auto" w:fill="B5C0D8"/>
          </w:tcPr>
          <w:p w:rsidR="00D849AA" w:rsidRPr="00950B90" w:rsidRDefault="00EE6D95">
            <w:pPr>
              <w:pStyle w:val="CellHeader"/>
            </w:pPr>
            <w:r w:rsidRPr="00950B90">
              <w:t>Plan 2013.</w:t>
            </w:r>
          </w:p>
        </w:tc>
        <w:tc>
          <w:tcPr>
            <w:tcW w:w="1486" w:type="dxa"/>
            <w:shd w:val="clear" w:color="auto" w:fill="B5C0D8"/>
          </w:tcPr>
          <w:p w:rsidR="00D849AA" w:rsidRPr="00950B90" w:rsidRDefault="00EE6D95">
            <w:pPr>
              <w:pStyle w:val="CellHeader"/>
            </w:pPr>
            <w:r w:rsidRPr="00950B90">
              <w:t>Plan 2014.</w:t>
            </w:r>
          </w:p>
        </w:tc>
        <w:tc>
          <w:tcPr>
            <w:tcW w:w="1486" w:type="dxa"/>
            <w:shd w:val="clear" w:color="auto" w:fill="B5C0D8"/>
          </w:tcPr>
          <w:p w:rsidR="00D849AA" w:rsidRPr="00950B90" w:rsidRDefault="00EE6D95">
            <w:pPr>
              <w:pStyle w:val="CellHeader"/>
            </w:pPr>
            <w:r w:rsidRPr="00950B90">
              <w:t>Plan 2015.</w:t>
            </w:r>
          </w:p>
        </w:tc>
        <w:tc>
          <w:tcPr>
            <w:tcW w:w="1486" w:type="dxa"/>
            <w:shd w:val="clear" w:color="auto" w:fill="B5C0D8"/>
          </w:tcPr>
          <w:p w:rsidR="00D849AA" w:rsidRPr="00950B90" w:rsidRDefault="00EE6D95">
            <w:pPr>
              <w:pStyle w:val="CellHeader"/>
            </w:pPr>
            <w:r w:rsidRPr="00950B90">
              <w:t>Plan 2016.</w:t>
            </w:r>
          </w:p>
        </w:tc>
        <w:tc>
          <w:tcPr>
            <w:tcW w:w="1486" w:type="dxa"/>
            <w:shd w:val="clear" w:color="auto" w:fill="B5C0D8"/>
          </w:tcPr>
          <w:p w:rsidR="00D849AA" w:rsidRPr="00950B90" w:rsidRDefault="00EE6D95">
            <w:pPr>
              <w:pStyle w:val="CellHeader"/>
            </w:pPr>
            <w:r w:rsidRPr="00950B90">
              <w:t>Indeks 2014/2013</w:t>
            </w:r>
          </w:p>
        </w:tc>
      </w:tr>
      <w:tr w:rsidR="00D849AA">
        <w:trPr>
          <w:jc w:val="center"/>
        </w:trPr>
        <w:tc>
          <w:tcPr>
            <w:tcW w:w="1486" w:type="dxa"/>
          </w:tcPr>
          <w:p w:rsidR="00D849AA" w:rsidRPr="00950B90" w:rsidRDefault="00EE6D95">
            <w:pPr>
              <w:pStyle w:val="CellColumn"/>
            </w:pPr>
            <w:r w:rsidRPr="00950B90">
              <w:t>T758026</w:t>
            </w:r>
          </w:p>
        </w:tc>
        <w:tc>
          <w:tcPr>
            <w:tcW w:w="1486" w:type="dxa"/>
          </w:tcPr>
          <w:p w:rsidR="00D849AA" w:rsidRPr="00950B90" w:rsidRDefault="00EE6D95">
            <w:pPr>
              <w:rPr>
                <w:rFonts w:ascii="Arial" w:hAnsi="Arial" w:cs="Arial"/>
              </w:rPr>
            </w:pPr>
            <w:r w:rsidRPr="00950B90">
              <w:rPr>
                <w:rFonts w:ascii="Arial" w:hAnsi="Arial" w:cs="Arial"/>
              </w:rPr>
              <w:t>880.000</w:t>
            </w:r>
          </w:p>
        </w:tc>
        <w:tc>
          <w:tcPr>
            <w:tcW w:w="1486" w:type="dxa"/>
          </w:tcPr>
          <w:p w:rsidR="00D849AA" w:rsidRPr="00950B90" w:rsidRDefault="00EE6D95">
            <w:pPr>
              <w:rPr>
                <w:rFonts w:ascii="Arial" w:hAnsi="Arial" w:cs="Arial"/>
              </w:rPr>
            </w:pPr>
            <w:r w:rsidRPr="00950B90">
              <w:rPr>
                <w:rFonts w:ascii="Arial" w:hAnsi="Arial" w:cs="Arial"/>
              </w:rPr>
              <w:t>880.000</w:t>
            </w:r>
          </w:p>
        </w:tc>
        <w:tc>
          <w:tcPr>
            <w:tcW w:w="1486" w:type="dxa"/>
          </w:tcPr>
          <w:p w:rsidR="00D849AA" w:rsidRPr="00950B90" w:rsidRDefault="00EE6D95">
            <w:pPr>
              <w:rPr>
                <w:rFonts w:ascii="Arial" w:hAnsi="Arial" w:cs="Arial"/>
              </w:rPr>
            </w:pPr>
            <w:r w:rsidRPr="00950B90">
              <w:rPr>
                <w:rFonts w:ascii="Arial" w:hAnsi="Arial" w:cs="Arial"/>
              </w:rPr>
              <w:t>00</w:t>
            </w:r>
          </w:p>
        </w:tc>
        <w:tc>
          <w:tcPr>
            <w:tcW w:w="1486" w:type="dxa"/>
          </w:tcPr>
          <w:p w:rsidR="00D849AA" w:rsidRPr="00950B90" w:rsidRDefault="00EE6D95">
            <w:pPr>
              <w:rPr>
                <w:rFonts w:ascii="Arial" w:hAnsi="Arial" w:cs="Arial"/>
              </w:rPr>
            </w:pPr>
            <w:r w:rsidRPr="00950B90">
              <w:rPr>
                <w:rFonts w:ascii="Arial" w:hAnsi="Arial" w:cs="Arial"/>
              </w:rPr>
              <w:t>00</w:t>
            </w:r>
          </w:p>
        </w:tc>
        <w:tc>
          <w:tcPr>
            <w:tcW w:w="1486" w:type="dxa"/>
          </w:tcPr>
          <w:p w:rsidR="00D849AA" w:rsidRPr="00950B90" w:rsidRDefault="00EE6D95">
            <w:pPr>
              <w:rPr>
                <w:rFonts w:ascii="Arial" w:hAnsi="Arial" w:cs="Arial"/>
              </w:rPr>
            </w:pPr>
            <w:r w:rsidRPr="00950B90">
              <w:rPr>
                <w:rFonts w:ascii="Arial" w:hAnsi="Arial" w:cs="Arial"/>
              </w:rPr>
              <w:t>100,0</w:t>
            </w:r>
          </w:p>
        </w:tc>
      </w:tr>
    </w:tbl>
    <w:p w:rsidR="00D849AA" w:rsidRDefault="00D849AA">
      <w:pPr>
        <w:jc w:val="left"/>
      </w:pPr>
    </w:p>
    <w:p w:rsidR="00D849AA" w:rsidRDefault="00EE6D95">
      <w:pPr>
        <w:pStyle w:val="Normal6"/>
      </w:pPr>
      <w:r>
        <w:t xml:space="preserve">Cilj aktivnosti je nabava usluga ex-ante evaluacije za programe prekogranične suradnje s državama nečlanciama EU za razdoblje 2014. - 2020.  </w:t>
      </w:r>
    </w:p>
    <w:p w:rsidR="00D849AA" w:rsidRDefault="00EE6D95">
      <w:pPr>
        <w:pStyle w:val="Normal6"/>
      </w:pPr>
      <w:r>
        <w:t>Ex-ante evaluacija kao regulatorna obaveza prilikom izrade operativnih programa mora pratiti izradu svakog operativnog programa te ocjeniti njihovu usklađenost s regulativom, prikazanim analizama programskog područja, SWOT analizom i odabranom strategijom programa, usklađenošću sa strategijom EU 2020. Također, ex-ante evaluacija mora provjeriti i usklađenost upravljačkih struktura odnosno kapacitete upraljvačkih struktura.</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950B90" w:rsidRDefault="00EE6D95">
            <w:pPr>
              <w:rPr>
                <w:rFonts w:ascii="Arial" w:hAnsi="Arial" w:cs="Arial"/>
              </w:rPr>
            </w:pPr>
            <w:r w:rsidRPr="00950B90">
              <w:rPr>
                <w:rFonts w:ascii="Arial" w:hAnsi="Arial" w:cs="Arial"/>
              </w:rPr>
              <w:t>Pokazatelj rezultata</w:t>
            </w:r>
          </w:p>
        </w:tc>
        <w:tc>
          <w:tcPr>
            <w:tcW w:w="1114" w:type="dxa"/>
            <w:shd w:val="clear" w:color="auto" w:fill="B5C0D8"/>
          </w:tcPr>
          <w:p w:rsidR="00D849AA" w:rsidRPr="00950B90" w:rsidRDefault="00EE6D95">
            <w:pPr>
              <w:pStyle w:val="CellHeader"/>
            </w:pPr>
            <w:r w:rsidRPr="00950B90">
              <w:t>Jedinica</w:t>
            </w:r>
          </w:p>
        </w:tc>
        <w:tc>
          <w:tcPr>
            <w:tcW w:w="1114" w:type="dxa"/>
            <w:shd w:val="clear" w:color="auto" w:fill="B5C0D8"/>
          </w:tcPr>
          <w:p w:rsidR="00D849AA" w:rsidRPr="00950B90" w:rsidRDefault="00EE6D95">
            <w:pPr>
              <w:pStyle w:val="CellHeader"/>
            </w:pPr>
            <w:r w:rsidRPr="00950B90">
              <w:t>Polazna vrijednost</w:t>
            </w:r>
          </w:p>
        </w:tc>
        <w:tc>
          <w:tcPr>
            <w:tcW w:w="1486" w:type="dxa"/>
            <w:shd w:val="clear" w:color="auto" w:fill="B5C0D8"/>
          </w:tcPr>
          <w:p w:rsidR="00D849AA" w:rsidRPr="00950B90" w:rsidRDefault="00EE6D95">
            <w:pPr>
              <w:pStyle w:val="CellHeader"/>
            </w:pPr>
            <w:r w:rsidRPr="00950B90">
              <w:t>Ciljana vrijednost (2014.)</w:t>
            </w:r>
          </w:p>
        </w:tc>
        <w:tc>
          <w:tcPr>
            <w:tcW w:w="1486" w:type="dxa"/>
            <w:shd w:val="clear" w:color="auto" w:fill="B5C0D8"/>
          </w:tcPr>
          <w:p w:rsidR="00D849AA" w:rsidRPr="00950B90" w:rsidRDefault="00EE6D95">
            <w:pPr>
              <w:pStyle w:val="CellHeader"/>
            </w:pPr>
            <w:r w:rsidRPr="00950B90">
              <w:t>Ciljana vrijednost (2015.)</w:t>
            </w:r>
          </w:p>
        </w:tc>
        <w:tc>
          <w:tcPr>
            <w:tcW w:w="1486" w:type="dxa"/>
            <w:shd w:val="clear" w:color="auto" w:fill="B5C0D8"/>
          </w:tcPr>
          <w:p w:rsidR="00D849AA" w:rsidRPr="00950B90" w:rsidRDefault="00EE6D95">
            <w:pPr>
              <w:pStyle w:val="CellHeader"/>
            </w:pPr>
            <w:r w:rsidRPr="00950B90">
              <w:t>Ciljana vrijednost (2016.)</w:t>
            </w:r>
          </w:p>
        </w:tc>
      </w:tr>
      <w:tr w:rsidR="00D849AA">
        <w:trPr>
          <w:jc w:val="center"/>
        </w:trPr>
        <w:tc>
          <w:tcPr>
            <w:tcW w:w="2229" w:type="dxa"/>
          </w:tcPr>
          <w:p w:rsidR="00D849AA" w:rsidRPr="00950B90" w:rsidRDefault="00EE6D95">
            <w:pPr>
              <w:pStyle w:val="CellColumn"/>
            </w:pPr>
            <w:r w:rsidRPr="00950B90">
              <w:t>Broj dostavljenih nacrta izvješća</w:t>
            </w:r>
          </w:p>
        </w:tc>
        <w:tc>
          <w:tcPr>
            <w:tcW w:w="1114" w:type="dxa"/>
          </w:tcPr>
          <w:p w:rsidR="00D849AA" w:rsidRPr="00950B90" w:rsidRDefault="00EE6D95">
            <w:pPr>
              <w:rPr>
                <w:rFonts w:ascii="Arial" w:hAnsi="Arial" w:cs="Arial"/>
              </w:rPr>
            </w:pPr>
            <w:r w:rsidRPr="00950B90">
              <w:rPr>
                <w:rFonts w:ascii="Arial" w:hAnsi="Arial" w:cs="Arial"/>
              </w:rPr>
              <w:t>broj</w:t>
            </w:r>
          </w:p>
        </w:tc>
        <w:tc>
          <w:tcPr>
            <w:tcW w:w="1114" w:type="dxa"/>
          </w:tcPr>
          <w:p w:rsidR="00D849AA" w:rsidRPr="00950B90" w:rsidRDefault="00EE6D95">
            <w:pPr>
              <w:rPr>
                <w:rFonts w:ascii="Arial" w:hAnsi="Arial" w:cs="Arial"/>
              </w:rPr>
            </w:pPr>
            <w:r w:rsidRPr="00950B90">
              <w:rPr>
                <w:rFonts w:ascii="Arial" w:hAnsi="Arial" w:cs="Arial"/>
              </w:rPr>
              <w:t>0</w:t>
            </w:r>
          </w:p>
        </w:tc>
        <w:tc>
          <w:tcPr>
            <w:tcW w:w="1486" w:type="dxa"/>
          </w:tcPr>
          <w:p w:rsidR="00D849AA" w:rsidRPr="00950B90" w:rsidRDefault="00EE6D95">
            <w:pPr>
              <w:rPr>
                <w:rFonts w:ascii="Arial" w:hAnsi="Arial" w:cs="Arial"/>
              </w:rPr>
            </w:pPr>
            <w:r w:rsidRPr="00950B90">
              <w:rPr>
                <w:rFonts w:ascii="Arial" w:hAnsi="Arial" w:cs="Arial"/>
              </w:rPr>
              <w:t>2</w:t>
            </w:r>
          </w:p>
        </w:tc>
        <w:tc>
          <w:tcPr>
            <w:tcW w:w="1486" w:type="dxa"/>
          </w:tcPr>
          <w:p w:rsidR="00D849AA" w:rsidRPr="00950B90" w:rsidRDefault="00EE6D95">
            <w:pPr>
              <w:rPr>
                <w:rFonts w:ascii="Arial" w:hAnsi="Arial" w:cs="Arial"/>
              </w:rPr>
            </w:pPr>
            <w:r w:rsidRPr="00950B90">
              <w:rPr>
                <w:rFonts w:ascii="Arial" w:hAnsi="Arial" w:cs="Arial"/>
              </w:rPr>
              <w:t>0</w:t>
            </w:r>
          </w:p>
        </w:tc>
        <w:tc>
          <w:tcPr>
            <w:tcW w:w="1486" w:type="dxa"/>
          </w:tcPr>
          <w:p w:rsidR="00D849AA" w:rsidRPr="00950B90" w:rsidRDefault="00EE6D95">
            <w:pPr>
              <w:rPr>
                <w:rFonts w:ascii="Arial" w:hAnsi="Arial" w:cs="Arial"/>
              </w:rPr>
            </w:pPr>
            <w:r w:rsidRPr="00950B90">
              <w:rPr>
                <w:rFonts w:ascii="Arial" w:hAnsi="Arial" w:cs="Arial"/>
              </w:rPr>
              <w:t>0</w:t>
            </w:r>
          </w:p>
        </w:tc>
      </w:tr>
    </w:tbl>
    <w:p w:rsidR="00D849AA" w:rsidRDefault="00D849AA">
      <w:pPr>
        <w:jc w:val="left"/>
      </w:pPr>
    </w:p>
    <w:p w:rsidR="00337A23" w:rsidRDefault="00337A23" w:rsidP="00337A23">
      <w:pPr>
        <w:pStyle w:val="Naslov4"/>
      </w:pPr>
      <w:r>
        <w:t>OBRAZLOŽENJE PROGRAMA</w:t>
      </w:r>
    </w:p>
    <w:p w:rsidR="00D849AA" w:rsidRDefault="00EE6D95">
      <w:pPr>
        <w:pStyle w:val="Naslov5"/>
      </w:pPr>
      <w:r>
        <w:t>3211 POTICANJE GOSPODARSKIH AKTIVNOSTI NA OTOCIMA I U PRIOBALJU</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950B90" w:rsidRDefault="00D849AA">
            <w:pPr>
              <w:pStyle w:val="CellHeader"/>
            </w:pPr>
          </w:p>
        </w:tc>
        <w:tc>
          <w:tcPr>
            <w:tcW w:w="1486" w:type="dxa"/>
            <w:shd w:val="clear" w:color="auto" w:fill="B5C0D8"/>
          </w:tcPr>
          <w:p w:rsidR="00D849AA" w:rsidRPr="00950B90" w:rsidRDefault="00EE6D95">
            <w:pPr>
              <w:pStyle w:val="CellHeader"/>
            </w:pPr>
            <w:r w:rsidRPr="00950B90">
              <w:t>Plan 2013.</w:t>
            </w:r>
          </w:p>
        </w:tc>
        <w:tc>
          <w:tcPr>
            <w:tcW w:w="1486" w:type="dxa"/>
            <w:shd w:val="clear" w:color="auto" w:fill="B5C0D8"/>
          </w:tcPr>
          <w:p w:rsidR="00D849AA" w:rsidRPr="00950B90" w:rsidRDefault="00EE6D95">
            <w:pPr>
              <w:pStyle w:val="CellHeader"/>
            </w:pPr>
            <w:r w:rsidRPr="00950B90">
              <w:t>Plan 2014.</w:t>
            </w:r>
          </w:p>
        </w:tc>
        <w:tc>
          <w:tcPr>
            <w:tcW w:w="1486" w:type="dxa"/>
            <w:shd w:val="clear" w:color="auto" w:fill="B5C0D8"/>
          </w:tcPr>
          <w:p w:rsidR="00D849AA" w:rsidRPr="00950B90" w:rsidRDefault="00EE6D95">
            <w:pPr>
              <w:pStyle w:val="CellHeader"/>
            </w:pPr>
            <w:r w:rsidRPr="00950B90">
              <w:t>Plan 2015.</w:t>
            </w:r>
          </w:p>
        </w:tc>
        <w:tc>
          <w:tcPr>
            <w:tcW w:w="1486" w:type="dxa"/>
            <w:shd w:val="clear" w:color="auto" w:fill="B5C0D8"/>
          </w:tcPr>
          <w:p w:rsidR="00D849AA" w:rsidRPr="00950B90" w:rsidRDefault="00EE6D95">
            <w:pPr>
              <w:pStyle w:val="CellHeader"/>
            </w:pPr>
            <w:r w:rsidRPr="00950B90">
              <w:t>Plan 2016.</w:t>
            </w:r>
          </w:p>
        </w:tc>
        <w:tc>
          <w:tcPr>
            <w:tcW w:w="1486" w:type="dxa"/>
            <w:shd w:val="clear" w:color="auto" w:fill="B5C0D8"/>
          </w:tcPr>
          <w:p w:rsidR="00D849AA" w:rsidRPr="00950B90" w:rsidRDefault="00EE6D95">
            <w:pPr>
              <w:pStyle w:val="CellHeader"/>
            </w:pPr>
            <w:r w:rsidRPr="00950B90">
              <w:t>Indeks 2014/2013</w:t>
            </w:r>
          </w:p>
        </w:tc>
      </w:tr>
      <w:tr w:rsidR="00D849AA">
        <w:trPr>
          <w:jc w:val="center"/>
        </w:trPr>
        <w:tc>
          <w:tcPr>
            <w:tcW w:w="1486" w:type="dxa"/>
          </w:tcPr>
          <w:p w:rsidR="00D849AA" w:rsidRPr="00950B90" w:rsidRDefault="00EE6D95">
            <w:pPr>
              <w:pStyle w:val="CellColumn"/>
            </w:pPr>
            <w:r w:rsidRPr="00950B90">
              <w:t>3211</w:t>
            </w:r>
          </w:p>
        </w:tc>
        <w:tc>
          <w:tcPr>
            <w:tcW w:w="1486" w:type="dxa"/>
          </w:tcPr>
          <w:p w:rsidR="00D849AA" w:rsidRPr="00950B90" w:rsidRDefault="00EE6D95">
            <w:pPr>
              <w:rPr>
                <w:rFonts w:ascii="Arial" w:hAnsi="Arial" w:cs="Arial"/>
              </w:rPr>
            </w:pPr>
            <w:r w:rsidRPr="00950B90">
              <w:rPr>
                <w:rFonts w:ascii="Arial" w:hAnsi="Arial" w:cs="Arial"/>
              </w:rPr>
              <w:t>4.246.600</w:t>
            </w:r>
          </w:p>
        </w:tc>
        <w:tc>
          <w:tcPr>
            <w:tcW w:w="1486" w:type="dxa"/>
          </w:tcPr>
          <w:p w:rsidR="00D849AA" w:rsidRPr="00950B90" w:rsidRDefault="00EE6D95">
            <w:pPr>
              <w:rPr>
                <w:rFonts w:ascii="Arial" w:hAnsi="Arial" w:cs="Arial"/>
              </w:rPr>
            </w:pPr>
            <w:r w:rsidRPr="00950B90">
              <w:rPr>
                <w:rFonts w:ascii="Arial" w:hAnsi="Arial" w:cs="Arial"/>
              </w:rPr>
              <w:t>8.235.000</w:t>
            </w:r>
          </w:p>
        </w:tc>
        <w:tc>
          <w:tcPr>
            <w:tcW w:w="1486" w:type="dxa"/>
          </w:tcPr>
          <w:p w:rsidR="00D849AA" w:rsidRPr="00950B90" w:rsidRDefault="00EE6D95">
            <w:pPr>
              <w:rPr>
                <w:rFonts w:ascii="Arial" w:hAnsi="Arial" w:cs="Arial"/>
              </w:rPr>
            </w:pPr>
            <w:r w:rsidRPr="00950B90">
              <w:rPr>
                <w:rFonts w:ascii="Arial" w:hAnsi="Arial" w:cs="Arial"/>
              </w:rPr>
              <w:t>8.235.000</w:t>
            </w:r>
          </w:p>
        </w:tc>
        <w:tc>
          <w:tcPr>
            <w:tcW w:w="1486" w:type="dxa"/>
          </w:tcPr>
          <w:p w:rsidR="00D849AA" w:rsidRPr="00950B90" w:rsidRDefault="00EE6D95">
            <w:pPr>
              <w:rPr>
                <w:rFonts w:ascii="Arial" w:hAnsi="Arial" w:cs="Arial"/>
              </w:rPr>
            </w:pPr>
            <w:r w:rsidRPr="00950B90">
              <w:rPr>
                <w:rFonts w:ascii="Arial" w:hAnsi="Arial" w:cs="Arial"/>
              </w:rPr>
              <w:t>8.235.000</w:t>
            </w:r>
          </w:p>
        </w:tc>
        <w:tc>
          <w:tcPr>
            <w:tcW w:w="1486" w:type="dxa"/>
          </w:tcPr>
          <w:p w:rsidR="00D849AA" w:rsidRPr="00950B90" w:rsidRDefault="00EE6D95">
            <w:pPr>
              <w:rPr>
                <w:rFonts w:ascii="Arial" w:hAnsi="Arial" w:cs="Arial"/>
              </w:rPr>
            </w:pPr>
            <w:r w:rsidRPr="00950B90">
              <w:rPr>
                <w:rFonts w:ascii="Arial" w:hAnsi="Arial" w:cs="Arial"/>
              </w:rPr>
              <w:t>193,9</w:t>
            </w:r>
          </w:p>
        </w:tc>
      </w:tr>
    </w:tbl>
    <w:p w:rsidR="00D849AA" w:rsidRDefault="00D849AA">
      <w:pPr>
        <w:jc w:val="left"/>
      </w:pPr>
    </w:p>
    <w:p w:rsidR="00D849AA" w:rsidRDefault="00EE6D95">
      <w:pPr>
        <w:pStyle w:val="Naslov6"/>
      </w:pPr>
      <w:r>
        <w:t>Opis programa</w:t>
      </w:r>
    </w:p>
    <w:p w:rsidR="00D849AA" w:rsidRDefault="00EE6D95">
      <w:pPr>
        <w:pStyle w:val="Normal5"/>
      </w:pPr>
      <w:r>
        <w:t>Program poticanja gospodarskih aktivnosti na otocima provodi se kontinuirano od 2007. odnosno 2008. godine s namjerom da se poboljšaju uvjeti života na hrvatskim otocima i u području koje njima gravitira, na način da se prvenstveno stimulira proizvodnja i osnivanje tvrtki i obrta na otocima čime se omogućava zapošljavanje domicilnog radno sposobnog stanovništva, te se otvara mogućnost doseljavanja i ostalog stanovništva koje želi živjeti na otocima.</w:t>
      </w:r>
    </w:p>
    <w:p w:rsidR="00D849AA" w:rsidRDefault="00EE6D95">
      <w:pPr>
        <w:pStyle w:val="Naslov6"/>
      </w:pPr>
      <w:r>
        <w:t>Zakonske i druge pravne osnove</w:t>
      </w:r>
    </w:p>
    <w:p w:rsidR="00D849AA" w:rsidRDefault="00EE6D95">
      <w:pPr>
        <w:pStyle w:val="Normal5"/>
      </w:pPr>
      <w:r>
        <w:t xml:space="preserve">1. Nacionalni program razvitka otoka (1997.);  </w:t>
      </w:r>
    </w:p>
    <w:p w:rsidR="00D849AA" w:rsidRDefault="00EE6D95">
      <w:pPr>
        <w:pStyle w:val="Normal5"/>
      </w:pPr>
      <w:r>
        <w:t xml:space="preserve">2. Zakon o otocima (Narodne novine, broj 34/99, 149/99, 32/02 i 33/06); </w:t>
      </w:r>
    </w:p>
    <w:p w:rsidR="00D849AA" w:rsidRDefault="00EE6D95">
      <w:pPr>
        <w:pStyle w:val="Normal5"/>
      </w:pPr>
      <w:r>
        <w:lastRenderedPageBreak/>
        <w:t xml:space="preserve">3. Uredba o uvjetima, kriterijima, visini i načinu ostvarivanja prava dodjele državne potpore male vrijednosti otočnim poslodavcima za očuvanje radnih mjesta (Narodne novine, broj 77/06 i 66/07);  </w:t>
      </w:r>
    </w:p>
    <w:p w:rsidR="00D849AA" w:rsidRDefault="00EE6D95">
      <w:pPr>
        <w:pStyle w:val="Normal5"/>
      </w:pPr>
      <w:r>
        <w:t>4. Pravilnik o uvjetima, kriterijima i načinu označavanja proizvoda oznakom „Hrvatski otočni proizvod“ (Narodne novine, broj 47/07).</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Cilj 1. Održivi razvoj otoka</w:t>
      </w:r>
    </w:p>
    <w:p w:rsidR="00D849AA" w:rsidRDefault="00EE6D95">
      <w:pPr>
        <w:pStyle w:val="Normal6"/>
      </w:pPr>
      <w:r>
        <w:t>Pod ciljem Održivi razvoj otoka podrazumijeva se održivo korištenje otočnih potencijala, stalno poboljšanje otočnog življenja i izgradnja ekološki prihvatljive infrastrukture. Navedeni cilj, između ostalog, nastoji se postići kroz poticanje i razvoj svih grana gospodarstva, naročito tradicionalnih djelatnosti karakterističnih za navedena područja, koje se oslanjaju na njihove prirodne i geografske potencijale i komparativne prednosti.</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950B90" w:rsidRDefault="00EE6D95">
            <w:pPr>
              <w:rPr>
                <w:rFonts w:ascii="Arial" w:hAnsi="Arial" w:cs="Arial"/>
              </w:rPr>
            </w:pPr>
            <w:r w:rsidRPr="00950B90">
              <w:rPr>
                <w:rFonts w:ascii="Arial" w:hAnsi="Arial" w:cs="Arial"/>
              </w:rPr>
              <w:t>Pokazatelj učinka</w:t>
            </w:r>
          </w:p>
        </w:tc>
        <w:tc>
          <w:tcPr>
            <w:tcW w:w="1114" w:type="dxa"/>
            <w:shd w:val="clear" w:color="auto" w:fill="B5C0D8"/>
          </w:tcPr>
          <w:p w:rsidR="00D849AA" w:rsidRPr="00950B90" w:rsidRDefault="00EE6D95">
            <w:pPr>
              <w:pStyle w:val="CellHeader"/>
            </w:pPr>
            <w:r w:rsidRPr="00950B90">
              <w:t>Jedinica</w:t>
            </w:r>
          </w:p>
        </w:tc>
        <w:tc>
          <w:tcPr>
            <w:tcW w:w="1114" w:type="dxa"/>
            <w:shd w:val="clear" w:color="auto" w:fill="B5C0D8"/>
          </w:tcPr>
          <w:p w:rsidR="00D849AA" w:rsidRPr="00950B90" w:rsidRDefault="00EE6D95">
            <w:pPr>
              <w:pStyle w:val="CellHeader"/>
            </w:pPr>
            <w:r w:rsidRPr="00950B90">
              <w:t>Polazna vrijednost</w:t>
            </w:r>
          </w:p>
        </w:tc>
        <w:tc>
          <w:tcPr>
            <w:tcW w:w="1486" w:type="dxa"/>
            <w:shd w:val="clear" w:color="auto" w:fill="B5C0D8"/>
          </w:tcPr>
          <w:p w:rsidR="00D849AA" w:rsidRPr="00950B90" w:rsidRDefault="00EE6D95">
            <w:pPr>
              <w:pStyle w:val="CellHeader"/>
            </w:pPr>
            <w:r w:rsidRPr="00950B90">
              <w:t>Ciljana vrijednost (2014.)</w:t>
            </w:r>
          </w:p>
        </w:tc>
        <w:tc>
          <w:tcPr>
            <w:tcW w:w="1486" w:type="dxa"/>
            <w:shd w:val="clear" w:color="auto" w:fill="B5C0D8"/>
          </w:tcPr>
          <w:p w:rsidR="00D849AA" w:rsidRPr="00950B90" w:rsidRDefault="00EE6D95">
            <w:pPr>
              <w:pStyle w:val="CellHeader"/>
            </w:pPr>
            <w:r w:rsidRPr="00950B90">
              <w:t>Ciljana vrijednost (2015.)</w:t>
            </w:r>
          </w:p>
        </w:tc>
        <w:tc>
          <w:tcPr>
            <w:tcW w:w="1486" w:type="dxa"/>
            <w:shd w:val="clear" w:color="auto" w:fill="B5C0D8"/>
          </w:tcPr>
          <w:p w:rsidR="00D849AA" w:rsidRPr="00950B90" w:rsidRDefault="00EE6D95">
            <w:pPr>
              <w:pStyle w:val="CellHeader"/>
            </w:pPr>
            <w:r w:rsidRPr="00950B90">
              <w:t>Ciljana vrijednost (2016.)</w:t>
            </w:r>
          </w:p>
        </w:tc>
      </w:tr>
      <w:tr w:rsidR="00D849AA">
        <w:trPr>
          <w:jc w:val="center"/>
        </w:trPr>
        <w:tc>
          <w:tcPr>
            <w:tcW w:w="2229" w:type="dxa"/>
          </w:tcPr>
          <w:p w:rsidR="00D849AA" w:rsidRPr="00950B90" w:rsidRDefault="00EE6D95">
            <w:pPr>
              <w:pStyle w:val="CellColumn"/>
            </w:pPr>
            <w:r w:rsidRPr="00950B90">
              <w:t>Porast broja stanovnika na otocima</w:t>
            </w:r>
          </w:p>
        </w:tc>
        <w:tc>
          <w:tcPr>
            <w:tcW w:w="1114" w:type="dxa"/>
          </w:tcPr>
          <w:p w:rsidR="00D849AA" w:rsidRPr="00950B90" w:rsidRDefault="00EE6D95">
            <w:pPr>
              <w:rPr>
                <w:rFonts w:ascii="Arial" w:hAnsi="Arial" w:cs="Arial"/>
              </w:rPr>
            </w:pPr>
            <w:r w:rsidRPr="00950B90">
              <w:rPr>
                <w:rFonts w:ascii="Arial" w:hAnsi="Arial" w:cs="Arial"/>
              </w:rPr>
              <w:t>broj</w:t>
            </w:r>
          </w:p>
        </w:tc>
        <w:tc>
          <w:tcPr>
            <w:tcW w:w="1114" w:type="dxa"/>
          </w:tcPr>
          <w:p w:rsidR="00D849AA" w:rsidRPr="00950B90" w:rsidRDefault="00EE6D95">
            <w:pPr>
              <w:rPr>
                <w:rFonts w:ascii="Arial" w:hAnsi="Arial" w:cs="Arial"/>
              </w:rPr>
            </w:pPr>
            <w:r w:rsidRPr="00950B90">
              <w:rPr>
                <w:rFonts w:ascii="Arial" w:hAnsi="Arial" w:cs="Arial"/>
              </w:rPr>
              <w:t>131.407</w:t>
            </w:r>
          </w:p>
        </w:tc>
        <w:tc>
          <w:tcPr>
            <w:tcW w:w="1486" w:type="dxa"/>
          </w:tcPr>
          <w:p w:rsidR="00D849AA" w:rsidRPr="00950B90" w:rsidRDefault="00EE6D95">
            <w:pPr>
              <w:rPr>
                <w:rFonts w:ascii="Arial" w:hAnsi="Arial" w:cs="Arial"/>
              </w:rPr>
            </w:pPr>
            <w:r w:rsidRPr="00950B90">
              <w:rPr>
                <w:rFonts w:ascii="Arial" w:hAnsi="Arial" w:cs="Arial"/>
              </w:rPr>
              <w:t>131.407</w:t>
            </w:r>
          </w:p>
        </w:tc>
        <w:tc>
          <w:tcPr>
            <w:tcW w:w="1486" w:type="dxa"/>
          </w:tcPr>
          <w:p w:rsidR="00D849AA" w:rsidRPr="00950B90" w:rsidRDefault="00EE6D95">
            <w:pPr>
              <w:rPr>
                <w:rFonts w:ascii="Arial" w:hAnsi="Arial" w:cs="Arial"/>
              </w:rPr>
            </w:pPr>
            <w:r w:rsidRPr="00950B90">
              <w:rPr>
                <w:rFonts w:ascii="Arial" w:hAnsi="Arial" w:cs="Arial"/>
              </w:rPr>
              <w:t>131.407</w:t>
            </w:r>
          </w:p>
        </w:tc>
        <w:tc>
          <w:tcPr>
            <w:tcW w:w="1486" w:type="dxa"/>
          </w:tcPr>
          <w:p w:rsidR="00D849AA" w:rsidRPr="00950B90" w:rsidRDefault="00EE6D95">
            <w:pPr>
              <w:rPr>
                <w:rFonts w:ascii="Arial" w:hAnsi="Arial" w:cs="Arial"/>
              </w:rPr>
            </w:pPr>
            <w:r w:rsidRPr="00950B90">
              <w:rPr>
                <w:rFonts w:ascii="Arial" w:hAnsi="Arial" w:cs="Arial"/>
              </w:rPr>
              <w:t>131.407</w:t>
            </w:r>
          </w:p>
        </w:tc>
      </w:tr>
    </w:tbl>
    <w:p w:rsidR="00D849AA" w:rsidRDefault="00D849AA">
      <w:pPr>
        <w:jc w:val="left"/>
      </w:pPr>
    </w:p>
    <w:p w:rsidR="00D849AA" w:rsidRDefault="00EE6D95">
      <w:pPr>
        <w:pStyle w:val="Naslov5"/>
      </w:pPr>
      <w:r>
        <w:t>Procjena i ishodište potrebnih sredstava za značajnije aktivnosti/projekte</w:t>
      </w:r>
    </w:p>
    <w:p w:rsidR="00D849AA" w:rsidRDefault="00EE6D95">
      <w:pPr>
        <w:pStyle w:val="Naslov6"/>
      </w:pPr>
      <w:r>
        <w:t>A570356 POTICANJE OTOČNOG GOSPODARSTVA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950B90" w:rsidRDefault="00EE6D95">
            <w:pPr>
              <w:pStyle w:val="CellHeader"/>
            </w:pPr>
            <w:r w:rsidRPr="00950B90">
              <w:t>Naziv aktivnosti</w:t>
            </w:r>
          </w:p>
        </w:tc>
        <w:tc>
          <w:tcPr>
            <w:tcW w:w="1486" w:type="dxa"/>
            <w:shd w:val="clear" w:color="auto" w:fill="B5C0D8"/>
          </w:tcPr>
          <w:p w:rsidR="00D849AA" w:rsidRPr="00950B90" w:rsidRDefault="00EE6D95">
            <w:pPr>
              <w:pStyle w:val="CellHeader"/>
            </w:pPr>
            <w:r w:rsidRPr="00950B90">
              <w:t>Plan 2013.</w:t>
            </w:r>
          </w:p>
        </w:tc>
        <w:tc>
          <w:tcPr>
            <w:tcW w:w="1486" w:type="dxa"/>
            <w:shd w:val="clear" w:color="auto" w:fill="B5C0D8"/>
          </w:tcPr>
          <w:p w:rsidR="00D849AA" w:rsidRPr="00950B90" w:rsidRDefault="00EE6D95">
            <w:pPr>
              <w:pStyle w:val="CellHeader"/>
            </w:pPr>
            <w:r w:rsidRPr="00950B90">
              <w:t>Plan 2014.</w:t>
            </w:r>
          </w:p>
        </w:tc>
        <w:tc>
          <w:tcPr>
            <w:tcW w:w="1486" w:type="dxa"/>
            <w:shd w:val="clear" w:color="auto" w:fill="B5C0D8"/>
          </w:tcPr>
          <w:p w:rsidR="00D849AA" w:rsidRPr="00950B90" w:rsidRDefault="00EE6D95">
            <w:pPr>
              <w:pStyle w:val="CellHeader"/>
            </w:pPr>
            <w:r w:rsidRPr="00950B90">
              <w:t>Plan 2015.</w:t>
            </w:r>
          </w:p>
        </w:tc>
        <w:tc>
          <w:tcPr>
            <w:tcW w:w="1486" w:type="dxa"/>
            <w:shd w:val="clear" w:color="auto" w:fill="B5C0D8"/>
          </w:tcPr>
          <w:p w:rsidR="00D849AA" w:rsidRPr="00950B90" w:rsidRDefault="00EE6D95">
            <w:pPr>
              <w:pStyle w:val="CellHeader"/>
            </w:pPr>
            <w:r w:rsidRPr="00950B90">
              <w:t>Plan 2016.</w:t>
            </w:r>
          </w:p>
        </w:tc>
        <w:tc>
          <w:tcPr>
            <w:tcW w:w="1486" w:type="dxa"/>
            <w:shd w:val="clear" w:color="auto" w:fill="B5C0D8"/>
          </w:tcPr>
          <w:p w:rsidR="00D849AA" w:rsidRPr="00950B90" w:rsidRDefault="00EE6D95">
            <w:pPr>
              <w:pStyle w:val="CellHeader"/>
            </w:pPr>
            <w:r w:rsidRPr="00950B90">
              <w:t>Indeks 2014/2013</w:t>
            </w:r>
          </w:p>
        </w:tc>
      </w:tr>
      <w:tr w:rsidR="00D849AA">
        <w:trPr>
          <w:jc w:val="center"/>
        </w:trPr>
        <w:tc>
          <w:tcPr>
            <w:tcW w:w="1486" w:type="dxa"/>
          </w:tcPr>
          <w:p w:rsidR="00D849AA" w:rsidRPr="00950B90" w:rsidRDefault="00EE6D95">
            <w:pPr>
              <w:pStyle w:val="CellColumn"/>
            </w:pPr>
            <w:r w:rsidRPr="00950B90">
              <w:t>A570356</w:t>
            </w:r>
          </w:p>
        </w:tc>
        <w:tc>
          <w:tcPr>
            <w:tcW w:w="1486" w:type="dxa"/>
          </w:tcPr>
          <w:p w:rsidR="00D849AA" w:rsidRPr="00950B90" w:rsidRDefault="00EE6D95">
            <w:pPr>
              <w:rPr>
                <w:rFonts w:ascii="Arial" w:hAnsi="Arial" w:cs="Arial"/>
              </w:rPr>
            </w:pPr>
            <w:r w:rsidRPr="00950B90">
              <w:rPr>
                <w:rFonts w:ascii="Arial" w:hAnsi="Arial" w:cs="Arial"/>
              </w:rPr>
              <w:t>4.000.000</w:t>
            </w:r>
          </w:p>
        </w:tc>
        <w:tc>
          <w:tcPr>
            <w:tcW w:w="1486" w:type="dxa"/>
          </w:tcPr>
          <w:p w:rsidR="00D849AA" w:rsidRPr="00950B90" w:rsidRDefault="00EE6D95">
            <w:pPr>
              <w:rPr>
                <w:rFonts w:ascii="Arial" w:hAnsi="Arial" w:cs="Arial"/>
              </w:rPr>
            </w:pPr>
            <w:r w:rsidRPr="00950B90">
              <w:rPr>
                <w:rFonts w:ascii="Arial" w:hAnsi="Arial" w:cs="Arial"/>
              </w:rPr>
              <w:t>8.000.000</w:t>
            </w:r>
          </w:p>
        </w:tc>
        <w:tc>
          <w:tcPr>
            <w:tcW w:w="1486" w:type="dxa"/>
          </w:tcPr>
          <w:p w:rsidR="00D849AA" w:rsidRPr="00950B90" w:rsidRDefault="00EE6D95">
            <w:pPr>
              <w:rPr>
                <w:rFonts w:ascii="Arial" w:hAnsi="Arial" w:cs="Arial"/>
              </w:rPr>
            </w:pPr>
            <w:r w:rsidRPr="00950B90">
              <w:rPr>
                <w:rFonts w:ascii="Arial" w:hAnsi="Arial" w:cs="Arial"/>
              </w:rPr>
              <w:t>8.000.000</w:t>
            </w:r>
          </w:p>
        </w:tc>
        <w:tc>
          <w:tcPr>
            <w:tcW w:w="1486" w:type="dxa"/>
          </w:tcPr>
          <w:p w:rsidR="00D849AA" w:rsidRPr="00950B90" w:rsidRDefault="00EE6D95">
            <w:pPr>
              <w:rPr>
                <w:rFonts w:ascii="Arial" w:hAnsi="Arial" w:cs="Arial"/>
              </w:rPr>
            </w:pPr>
            <w:r w:rsidRPr="00950B90">
              <w:rPr>
                <w:rFonts w:ascii="Arial" w:hAnsi="Arial" w:cs="Arial"/>
              </w:rPr>
              <w:t>8.000.000</w:t>
            </w:r>
          </w:p>
        </w:tc>
        <w:tc>
          <w:tcPr>
            <w:tcW w:w="1486" w:type="dxa"/>
          </w:tcPr>
          <w:p w:rsidR="00D849AA" w:rsidRPr="00950B90" w:rsidRDefault="00EE6D95">
            <w:pPr>
              <w:rPr>
                <w:rFonts w:ascii="Arial" w:hAnsi="Arial" w:cs="Arial"/>
              </w:rPr>
            </w:pPr>
            <w:r w:rsidRPr="00950B90">
              <w:rPr>
                <w:rFonts w:ascii="Arial" w:hAnsi="Arial" w:cs="Arial"/>
              </w:rPr>
              <w:t>200,0</w:t>
            </w:r>
          </w:p>
        </w:tc>
      </w:tr>
    </w:tbl>
    <w:p w:rsidR="00D849AA" w:rsidRDefault="00D849AA">
      <w:pPr>
        <w:jc w:val="left"/>
      </w:pPr>
    </w:p>
    <w:p w:rsidR="00D849AA" w:rsidRDefault="00EE6D95">
      <w:pPr>
        <w:pStyle w:val="Normal6"/>
      </w:pPr>
      <w:r>
        <w:t>Kroz aktivnost Poticanje otočnog gospodarstva provodi se mjera od 2008. godine sukladno odredbi članka 26. Zakona o otocima. Cilj provođenja je poslodavcima koji imaju sjedište i svoju djelatnost obavljaju na otocima pomoći u poslovanju na način da za svakog zaposlenog djelatnika s prebivalištem na otoku dobiju iznos potpore u visini jedne prosječne mjesečne bruto plaće (na otocima I skupine – slabo razvijenim i nerazvijenim) ili pola toga iznosa (na otocima II skupine – razvijenijim otocima) te im se na taj način pomogne u smanjenju troškova njihovog poslovanja. Provodeći ovu mjeru smanjenju se troškovi poslovanja otočnim poslodavcima, a time se  stvaraju i uvjeti za očuvanje postojećih radnih mjesta ali i omogućuje lakše zapošljavanje novih djelatnika, čime se nastoji unaprijediti poslovanje i razvoj otočnih tvrtki kao i razvoj otočnog gospodarstva.</w:t>
      </w:r>
    </w:p>
    <w:p w:rsidR="00337A23" w:rsidRDefault="00337A23">
      <w:pPr>
        <w:pStyle w:val="Normal6"/>
      </w:pPr>
    </w:p>
    <w:p w:rsidR="00337A23" w:rsidRDefault="00337A23">
      <w:pPr>
        <w:pStyle w:val="Normal6"/>
      </w:pPr>
    </w:p>
    <w:p w:rsidR="00337A23" w:rsidRDefault="00337A23">
      <w:pPr>
        <w:pStyle w:val="Normal6"/>
      </w:pPr>
    </w:p>
    <w:p w:rsidR="00337A23" w:rsidRDefault="00337A23">
      <w:pPr>
        <w:pStyle w:val="Normal6"/>
      </w:pPr>
    </w:p>
    <w:p w:rsidR="00337A23" w:rsidRDefault="00337A23">
      <w:pPr>
        <w:pStyle w:val="Normal6"/>
      </w:pPr>
    </w:p>
    <w:p w:rsidR="00D849AA" w:rsidRDefault="00EE6D95">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rsidRPr="00950B90">
        <w:trPr>
          <w:jc w:val="center"/>
        </w:trPr>
        <w:tc>
          <w:tcPr>
            <w:tcW w:w="2229" w:type="dxa"/>
            <w:shd w:val="clear" w:color="auto" w:fill="B5C0D8"/>
          </w:tcPr>
          <w:p w:rsidR="00D849AA" w:rsidRPr="00950B90" w:rsidRDefault="00EE6D95">
            <w:pPr>
              <w:rPr>
                <w:rFonts w:ascii="Arial" w:hAnsi="Arial" w:cs="Arial"/>
              </w:rPr>
            </w:pPr>
            <w:r w:rsidRPr="00950B90">
              <w:rPr>
                <w:rFonts w:ascii="Arial" w:hAnsi="Arial" w:cs="Arial"/>
              </w:rPr>
              <w:t>Pokazatelj rezultata</w:t>
            </w:r>
          </w:p>
        </w:tc>
        <w:tc>
          <w:tcPr>
            <w:tcW w:w="1114" w:type="dxa"/>
            <w:shd w:val="clear" w:color="auto" w:fill="B5C0D8"/>
          </w:tcPr>
          <w:p w:rsidR="00D849AA" w:rsidRPr="00950B90" w:rsidRDefault="00EE6D95">
            <w:pPr>
              <w:pStyle w:val="CellHeader"/>
            </w:pPr>
            <w:r w:rsidRPr="00950B90">
              <w:t>Jedinica</w:t>
            </w:r>
          </w:p>
        </w:tc>
        <w:tc>
          <w:tcPr>
            <w:tcW w:w="1114" w:type="dxa"/>
            <w:shd w:val="clear" w:color="auto" w:fill="B5C0D8"/>
          </w:tcPr>
          <w:p w:rsidR="00D849AA" w:rsidRPr="00950B90" w:rsidRDefault="00EE6D95">
            <w:pPr>
              <w:pStyle w:val="CellHeader"/>
            </w:pPr>
            <w:r w:rsidRPr="00950B90">
              <w:t>Polazna vrijednost</w:t>
            </w:r>
          </w:p>
        </w:tc>
        <w:tc>
          <w:tcPr>
            <w:tcW w:w="1486" w:type="dxa"/>
            <w:shd w:val="clear" w:color="auto" w:fill="B5C0D8"/>
          </w:tcPr>
          <w:p w:rsidR="00D849AA" w:rsidRPr="00950B90" w:rsidRDefault="00EE6D95">
            <w:pPr>
              <w:pStyle w:val="CellHeader"/>
            </w:pPr>
            <w:r w:rsidRPr="00950B90">
              <w:t>Ciljana vrijednost (2014.)</w:t>
            </w:r>
          </w:p>
        </w:tc>
        <w:tc>
          <w:tcPr>
            <w:tcW w:w="1486" w:type="dxa"/>
            <w:shd w:val="clear" w:color="auto" w:fill="B5C0D8"/>
          </w:tcPr>
          <w:p w:rsidR="00D849AA" w:rsidRPr="00950B90" w:rsidRDefault="00EE6D95">
            <w:pPr>
              <w:pStyle w:val="CellHeader"/>
            </w:pPr>
            <w:r w:rsidRPr="00950B90">
              <w:t>Ciljana vrijednost (2015.)</w:t>
            </w:r>
          </w:p>
        </w:tc>
        <w:tc>
          <w:tcPr>
            <w:tcW w:w="1486" w:type="dxa"/>
            <w:shd w:val="clear" w:color="auto" w:fill="B5C0D8"/>
          </w:tcPr>
          <w:p w:rsidR="00D849AA" w:rsidRPr="00950B90" w:rsidRDefault="00EE6D95">
            <w:pPr>
              <w:pStyle w:val="CellHeader"/>
            </w:pPr>
            <w:r w:rsidRPr="00950B90">
              <w:t>Ciljana vrijednost (2016.)</w:t>
            </w:r>
          </w:p>
        </w:tc>
      </w:tr>
      <w:tr w:rsidR="00D849AA" w:rsidRPr="00950B90">
        <w:trPr>
          <w:jc w:val="center"/>
        </w:trPr>
        <w:tc>
          <w:tcPr>
            <w:tcW w:w="2229" w:type="dxa"/>
          </w:tcPr>
          <w:p w:rsidR="00D849AA" w:rsidRPr="00950B90" w:rsidRDefault="00EE6D95">
            <w:pPr>
              <w:pStyle w:val="CellColumn"/>
            </w:pPr>
            <w:r w:rsidRPr="00950B90">
              <w:t>Broj zaposlenih pri otočnim poslodavcima</w:t>
            </w:r>
          </w:p>
        </w:tc>
        <w:tc>
          <w:tcPr>
            <w:tcW w:w="1114" w:type="dxa"/>
          </w:tcPr>
          <w:p w:rsidR="00D849AA" w:rsidRPr="00950B90" w:rsidRDefault="00EE6D95">
            <w:pPr>
              <w:rPr>
                <w:rFonts w:ascii="Arial" w:hAnsi="Arial" w:cs="Arial"/>
              </w:rPr>
            </w:pPr>
            <w:r w:rsidRPr="00950B90">
              <w:rPr>
                <w:rFonts w:ascii="Arial" w:hAnsi="Arial" w:cs="Arial"/>
              </w:rPr>
              <w:t>broj</w:t>
            </w:r>
          </w:p>
        </w:tc>
        <w:tc>
          <w:tcPr>
            <w:tcW w:w="1114" w:type="dxa"/>
          </w:tcPr>
          <w:p w:rsidR="00D849AA" w:rsidRPr="00950B90" w:rsidRDefault="00EE6D95">
            <w:pPr>
              <w:rPr>
                <w:rFonts w:ascii="Arial" w:hAnsi="Arial" w:cs="Arial"/>
              </w:rPr>
            </w:pPr>
            <w:r w:rsidRPr="00950B90">
              <w:rPr>
                <w:rFonts w:ascii="Arial" w:hAnsi="Arial" w:cs="Arial"/>
              </w:rPr>
              <w:t>51.000</w:t>
            </w:r>
          </w:p>
        </w:tc>
        <w:tc>
          <w:tcPr>
            <w:tcW w:w="1486" w:type="dxa"/>
          </w:tcPr>
          <w:p w:rsidR="00D849AA" w:rsidRPr="00950B90" w:rsidRDefault="00EE6D95">
            <w:pPr>
              <w:rPr>
                <w:rFonts w:ascii="Arial" w:hAnsi="Arial" w:cs="Arial"/>
              </w:rPr>
            </w:pPr>
            <w:r w:rsidRPr="00950B90">
              <w:rPr>
                <w:rFonts w:ascii="Arial" w:hAnsi="Arial" w:cs="Arial"/>
              </w:rPr>
              <w:t>51.000</w:t>
            </w:r>
          </w:p>
        </w:tc>
        <w:tc>
          <w:tcPr>
            <w:tcW w:w="1486" w:type="dxa"/>
          </w:tcPr>
          <w:p w:rsidR="00D849AA" w:rsidRPr="00950B90" w:rsidRDefault="00EE6D95">
            <w:pPr>
              <w:rPr>
                <w:rFonts w:ascii="Arial" w:hAnsi="Arial" w:cs="Arial"/>
              </w:rPr>
            </w:pPr>
            <w:r w:rsidRPr="00950B90">
              <w:rPr>
                <w:rFonts w:ascii="Arial" w:hAnsi="Arial" w:cs="Arial"/>
              </w:rPr>
              <w:t>51.000</w:t>
            </w:r>
          </w:p>
        </w:tc>
        <w:tc>
          <w:tcPr>
            <w:tcW w:w="1486" w:type="dxa"/>
          </w:tcPr>
          <w:p w:rsidR="00D849AA" w:rsidRPr="00950B90" w:rsidRDefault="00EE6D95">
            <w:pPr>
              <w:rPr>
                <w:rFonts w:ascii="Arial" w:hAnsi="Arial" w:cs="Arial"/>
              </w:rPr>
            </w:pPr>
            <w:r w:rsidRPr="00950B90">
              <w:rPr>
                <w:rFonts w:ascii="Arial" w:hAnsi="Arial" w:cs="Arial"/>
              </w:rPr>
              <w:t>51.000</w:t>
            </w:r>
          </w:p>
        </w:tc>
      </w:tr>
    </w:tbl>
    <w:p w:rsidR="00D849AA" w:rsidRPr="00950B90" w:rsidRDefault="00D849AA">
      <w:pPr>
        <w:jc w:val="left"/>
        <w:rPr>
          <w:rFonts w:ascii="Arial" w:hAnsi="Arial" w:cs="Arial"/>
        </w:rPr>
      </w:pPr>
    </w:p>
    <w:p w:rsidR="00D849AA" w:rsidRDefault="00EE6D95">
      <w:pPr>
        <w:pStyle w:val="Naslov6"/>
      </w:pPr>
      <w:r>
        <w:t>A819012 HRVATSKI OTOČNI PROIZVOD</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950B90" w:rsidRDefault="00EE6D95">
            <w:pPr>
              <w:pStyle w:val="CellHeader"/>
            </w:pPr>
            <w:r w:rsidRPr="00950B90">
              <w:t>Naziv aktivnosti</w:t>
            </w:r>
          </w:p>
        </w:tc>
        <w:tc>
          <w:tcPr>
            <w:tcW w:w="1486" w:type="dxa"/>
            <w:shd w:val="clear" w:color="auto" w:fill="B5C0D8"/>
          </w:tcPr>
          <w:p w:rsidR="00D849AA" w:rsidRPr="00950B90" w:rsidRDefault="00EE6D95">
            <w:pPr>
              <w:pStyle w:val="CellHeader"/>
            </w:pPr>
            <w:r w:rsidRPr="00950B90">
              <w:t>Plan 2013.</w:t>
            </w:r>
          </w:p>
        </w:tc>
        <w:tc>
          <w:tcPr>
            <w:tcW w:w="1486" w:type="dxa"/>
            <w:shd w:val="clear" w:color="auto" w:fill="B5C0D8"/>
          </w:tcPr>
          <w:p w:rsidR="00D849AA" w:rsidRPr="00950B90" w:rsidRDefault="00EE6D95">
            <w:pPr>
              <w:pStyle w:val="CellHeader"/>
            </w:pPr>
            <w:r w:rsidRPr="00950B90">
              <w:t>Plan 2014.</w:t>
            </w:r>
          </w:p>
        </w:tc>
        <w:tc>
          <w:tcPr>
            <w:tcW w:w="1486" w:type="dxa"/>
            <w:shd w:val="clear" w:color="auto" w:fill="B5C0D8"/>
          </w:tcPr>
          <w:p w:rsidR="00D849AA" w:rsidRPr="00950B90" w:rsidRDefault="00EE6D95">
            <w:pPr>
              <w:pStyle w:val="CellHeader"/>
            </w:pPr>
            <w:r w:rsidRPr="00950B90">
              <w:t>Plan 2015.</w:t>
            </w:r>
          </w:p>
        </w:tc>
        <w:tc>
          <w:tcPr>
            <w:tcW w:w="1486" w:type="dxa"/>
            <w:shd w:val="clear" w:color="auto" w:fill="B5C0D8"/>
          </w:tcPr>
          <w:p w:rsidR="00D849AA" w:rsidRPr="00950B90" w:rsidRDefault="00EE6D95">
            <w:pPr>
              <w:pStyle w:val="CellHeader"/>
            </w:pPr>
            <w:r w:rsidRPr="00950B90">
              <w:t>Plan 2016.</w:t>
            </w:r>
          </w:p>
        </w:tc>
        <w:tc>
          <w:tcPr>
            <w:tcW w:w="1486" w:type="dxa"/>
            <w:shd w:val="clear" w:color="auto" w:fill="B5C0D8"/>
          </w:tcPr>
          <w:p w:rsidR="00D849AA" w:rsidRPr="00950B90" w:rsidRDefault="00EE6D95">
            <w:pPr>
              <w:pStyle w:val="CellHeader"/>
            </w:pPr>
            <w:r w:rsidRPr="00950B90">
              <w:t>Indeks 2014/2013</w:t>
            </w:r>
          </w:p>
        </w:tc>
      </w:tr>
      <w:tr w:rsidR="00D849AA">
        <w:trPr>
          <w:jc w:val="center"/>
        </w:trPr>
        <w:tc>
          <w:tcPr>
            <w:tcW w:w="1486" w:type="dxa"/>
          </w:tcPr>
          <w:p w:rsidR="00D849AA" w:rsidRPr="00950B90" w:rsidRDefault="00EE6D95">
            <w:pPr>
              <w:pStyle w:val="CellColumn"/>
            </w:pPr>
            <w:r w:rsidRPr="00950B90">
              <w:t>A819012</w:t>
            </w:r>
          </w:p>
        </w:tc>
        <w:tc>
          <w:tcPr>
            <w:tcW w:w="1486" w:type="dxa"/>
          </w:tcPr>
          <w:p w:rsidR="00D849AA" w:rsidRPr="00950B90" w:rsidRDefault="00EE6D95">
            <w:pPr>
              <w:rPr>
                <w:rFonts w:ascii="Arial" w:hAnsi="Arial" w:cs="Arial"/>
              </w:rPr>
            </w:pPr>
            <w:r w:rsidRPr="00950B90">
              <w:rPr>
                <w:rFonts w:ascii="Arial" w:hAnsi="Arial" w:cs="Arial"/>
              </w:rPr>
              <w:t>246.600</w:t>
            </w:r>
          </w:p>
        </w:tc>
        <w:tc>
          <w:tcPr>
            <w:tcW w:w="1486" w:type="dxa"/>
          </w:tcPr>
          <w:p w:rsidR="00D849AA" w:rsidRPr="00950B90" w:rsidRDefault="00EE6D95">
            <w:pPr>
              <w:rPr>
                <w:rFonts w:ascii="Arial" w:hAnsi="Arial" w:cs="Arial"/>
              </w:rPr>
            </w:pPr>
            <w:r w:rsidRPr="00950B90">
              <w:rPr>
                <w:rFonts w:ascii="Arial" w:hAnsi="Arial" w:cs="Arial"/>
              </w:rPr>
              <w:t>235.000</w:t>
            </w:r>
          </w:p>
        </w:tc>
        <w:tc>
          <w:tcPr>
            <w:tcW w:w="1486" w:type="dxa"/>
          </w:tcPr>
          <w:p w:rsidR="00D849AA" w:rsidRPr="00950B90" w:rsidRDefault="00EE6D95">
            <w:pPr>
              <w:rPr>
                <w:rFonts w:ascii="Arial" w:hAnsi="Arial" w:cs="Arial"/>
              </w:rPr>
            </w:pPr>
            <w:r w:rsidRPr="00950B90">
              <w:rPr>
                <w:rFonts w:ascii="Arial" w:hAnsi="Arial" w:cs="Arial"/>
              </w:rPr>
              <w:t>235.000</w:t>
            </w:r>
          </w:p>
        </w:tc>
        <w:tc>
          <w:tcPr>
            <w:tcW w:w="1486" w:type="dxa"/>
          </w:tcPr>
          <w:p w:rsidR="00D849AA" w:rsidRPr="00950B90" w:rsidRDefault="00EE6D95">
            <w:pPr>
              <w:rPr>
                <w:rFonts w:ascii="Arial" w:hAnsi="Arial" w:cs="Arial"/>
              </w:rPr>
            </w:pPr>
            <w:r w:rsidRPr="00950B90">
              <w:rPr>
                <w:rFonts w:ascii="Arial" w:hAnsi="Arial" w:cs="Arial"/>
              </w:rPr>
              <w:t>235.000</w:t>
            </w:r>
          </w:p>
        </w:tc>
        <w:tc>
          <w:tcPr>
            <w:tcW w:w="1486" w:type="dxa"/>
          </w:tcPr>
          <w:p w:rsidR="00D849AA" w:rsidRPr="00950B90" w:rsidRDefault="00EE6D95">
            <w:pPr>
              <w:rPr>
                <w:rFonts w:ascii="Arial" w:hAnsi="Arial" w:cs="Arial"/>
              </w:rPr>
            </w:pPr>
            <w:r w:rsidRPr="00950B90">
              <w:rPr>
                <w:rFonts w:ascii="Arial" w:hAnsi="Arial" w:cs="Arial"/>
              </w:rPr>
              <w:t>95,3</w:t>
            </w:r>
          </w:p>
        </w:tc>
      </w:tr>
    </w:tbl>
    <w:p w:rsidR="00D849AA" w:rsidRDefault="00D849AA">
      <w:pPr>
        <w:jc w:val="left"/>
      </w:pPr>
    </w:p>
    <w:p w:rsidR="00D849AA" w:rsidRDefault="00EE6D95">
      <w:pPr>
        <w:pStyle w:val="Normal6"/>
      </w:pPr>
      <w:r>
        <w:t>Kroz aktivnost Hrvatski otočni proizvod, sukladno članku 16. Zakona o otocima, regulira se vizualno označavanje otočnih proizvoda oznakom Hrvatski otočni proizvod. Projekt je pokrenut 2007. godine s namjerom poticanja otočnih proizvođača u proizvodnji izvornih i kvalitetnih proizvoda. Oznaku mogu koristiti otočni proizvođači (pravne i fizičke osobe-obrtnici koji imaju sjedište na otocima i koji svoju djelatnost obavljaju na otocima) određenih poljoprivrednih proizvoda i namirnica, te ostalih proizvoda u cilju promidžbe  i boljeg plasmana otočnih proizvoda na tržištu. Proizvodi označeni ovom oznakom potječu s ograničenih otočnih lokaliteta i rade se u malim serijama. Kroz projekt se nastoji voditi briga o otocima  poticanjem samozapošljavanja, te razvoj, zaštita, promocija i podizanje kvalitete izvorne, tradicionalne i ekološke proizvodnje.</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950B90" w:rsidRDefault="00EE6D95">
            <w:pPr>
              <w:rPr>
                <w:rFonts w:ascii="Arial" w:hAnsi="Arial" w:cs="Arial"/>
              </w:rPr>
            </w:pPr>
            <w:r w:rsidRPr="00950B90">
              <w:rPr>
                <w:rFonts w:ascii="Arial" w:hAnsi="Arial" w:cs="Arial"/>
              </w:rPr>
              <w:t>Pokazatelj rezultata</w:t>
            </w:r>
          </w:p>
        </w:tc>
        <w:tc>
          <w:tcPr>
            <w:tcW w:w="1114" w:type="dxa"/>
            <w:shd w:val="clear" w:color="auto" w:fill="B5C0D8"/>
          </w:tcPr>
          <w:p w:rsidR="00D849AA" w:rsidRPr="00950B90" w:rsidRDefault="00EE6D95">
            <w:pPr>
              <w:pStyle w:val="CellHeader"/>
            </w:pPr>
            <w:r w:rsidRPr="00950B90">
              <w:t>Jedinica</w:t>
            </w:r>
          </w:p>
        </w:tc>
        <w:tc>
          <w:tcPr>
            <w:tcW w:w="1114" w:type="dxa"/>
            <w:shd w:val="clear" w:color="auto" w:fill="B5C0D8"/>
          </w:tcPr>
          <w:p w:rsidR="00D849AA" w:rsidRPr="00950B90" w:rsidRDefault="00EE6D95">
            <w:pPr>
              <w:pStyle w:val="CellHeader"/>
            </w:pPr>
            <w:r w:rsidRPr="00950B90">
              <w:t>Polazna vrijednost</w:t>
            </w:r>
          </w:p>
        </w:tc>
        <w:tc>
          <w:tcPr>
            <w:tcW w:w="1486" w:type="dxa"/>
            <w:shd w:val="clear" w:color="auto" w:fill="B5C0D8"/>
          </w:tcPr>
          <w:p w:rsidR="00D849AA" w:rsidRPr="00950B90" w:rsidRDefault="00EE6D95">
            <w:pPr>
              <w:pStyle w:val="CellHeader"/>
            </w:pPr>
            <w:r w:rsidRPr="00950B90">
              <w:t>Ciljana vrijednost (2014.)</w:t>
            </w:r>
          </w:p>
        </w:tc>
        <w:tc>
          <w:tcPr>
            <w:tcW w:w="1486" w:type="dxa"/>
            <w:shd w:val="clear" w:color="auto" w:fill="B5C0D8"/>
          </w:tcPr>
          <w:p w:rsidR="00D849AA" w:rsidRPr="00950B90" w:rsidRDefault="00EE6D95">
            <w:pPr>
              <w:pStyle w:val="CellHeader"/>
            </w:pPr>
            <w:r w:rsidRPr="00950B90">
              <w:t>Ciljana vrijednost (2015.)</w:t>
            </w:r>
          </w:p>
        </w:tc>
        <w:tc>
          <w:tcPr>
            <w:tcW w:w="1486" w:type="dxa"/>
            <w:shd w:val="clear" w:color="auto" w:fill="B5C0D8"/>
          </w:tcPr>
          <w:p w:rsidR="00D849AA" w:rsidRPr="00950B90" w:rsidRDefault="00EE6D95">
            <w:pPr>
              <w:pStyle w:val="CellHeader"/>
            </w:pPr>
            <w:r w:rsidRPr="00950B90">
              <w:t>Ciljana vrijednost (2016.)</w:t>
            </w:r>
          </w:p>
        </w:tc>
      </w:tr>
      <w:tr w:rsidR="00D849AA">
        <w:trPr>
          <w:jc w:val="center"/>
        </w:trPr>
        <w:tc>
          <w:tcPr>
            <w:tcW w:w="2229" w:type="dxa"/>
          </w:tcPr>
          <w:p w:rsidR="00D849AA" w:rsidRPr="00950B90" w:rsidRDefault="00EE6D95">
            <w:pPr>
              <w:pStyle w:val="CellColumn"/>
            </w:pPr>
            <w:r w:rsidRPr="00950B90">
              <w:t>Broj brendiranih izvornih tradicionalnih otočnih proizvoda</w:t>
            </w:r>
          </w:p>
        </w:tc>
        <w:tc>
          <w:tcPr>
            <w:tcW w:w="1114" w:type="dxa"/>
          </w:tcPr>
          <w:p w:rsidR="00D849AA" w:rsidRPr="00950B90" w:rsidRDefault="00EE6D95">
            <w:pPr>
              <w:rPr>
                <w:rFonts w:ascii="Arial" w:hAnsi="Arial" w:cs="Arial"/>
              </w:rPr>
            </w:pPr>
            <w:r w:rsidRPr="00950B90">
              <w:rPr>
                <w:rFonts w:ascii="Arial" w:hAnsi="Arial" w:cs="Arial"/>
              </w:rPr>
              <w:t>broj</w:t>
            </w:r>
          </w:p>
        </w:tc>
        <w:tc>
          <w:tcPr>
            <w:tcW w:w="1114" w:type="dxa"/>
          </w:tcPr>
          <w:p w:rsidR="00D849AA" w:rsidRPr="00950B90" w:rsidRDefault="00EE6D95">
            <w:pPr>
              <w:rPr>
                <w:rFonts w:ascii="Arial" w:hAnsi="Arial" w:cs="Arial"/>
              </w:rPr>
            </w:pPr>
            <w:r w:rsidRPr="00950B90">
              <w:rPr>
                <w:rFonts w:ascii="Arial" w:hAnsi="Arial" w:cs="Arial"/>
              </w:rPr>
              <w:t>334</w:t>
            </w:r>
          </w:p>
        </w:tc>
        <w:tc>
          <w:tcPr>
            <w:tcW w:w="1486" w:type="dxa"/>
          </w:tcPr>
          <w:p w:rsidR="00D849AA" w:rsidRPr="00950B90" w:rsidRDefault="00EE6D95">
            <w:pPr>
              <w:rPr>
                <w:rFonts w:ascii="Arial" w:hAnsi="Arial" w:cs="Arial"/>
              </w:rPr>
            </w:pPr>
            <w:r w:rsidRPr="00950B90">
              <w:rPr>
                <w:rFonts w:ascii="Arial" w:hAnsi="Arial" w:cs="Arial"/>
              </w:rPr>
              <w:t>394</w:t>
            </w:r>
          </w:p>
        </w:tc>
        <w:tc>
          <w:tcPr>
            <w:tcW w:w="1486" w:type="dxa"/>
          </w:tcPr>
          <w:p w:rsidR="00D849AA" w:rsidRPr="00950B90" w:rsidRDefault="00EE6D95">
            <w:pPr>
              <w:rPr>
                <w:rFonts w:ascii="Arial" w:hAnsi="Arial" w:cs="Arial"/>
              </w:rPr>
            </w:pPr>
            <w:r w:rsidRPr="00950B90">
              <w:rPr>
                <w:rFonts w:ascii="Arial" w:hAnsi="Arial" w:cs="Arial"/>
              </w:rPr>
              <w:t>450</w:t>
            </w:r>
          </w:p>
        </w:tc>
        <w:tc>
          <w:tcPr>
            <w:tcW w:w="1486" w:type="dxa"/>
          </w:tcPr>
          <w:p w:rsidR="00D849AA" w:rsidRPr="00950B90" w:rsidRDefault="00EE6D95">
            <w:pPr>
              <w:rPr>
                <w:rFonts w:ascii="Arial" w:hAnsi="Arial" w:cs="Arial"/>
              </w:rPr>
            </w:pPr>
            <w:r w:rsidRPr="00950B90">
              <w:rPr>
                <w:rFonts w:ascii="Arial" w:hAnsi="Arial" w:cs="Arial"/>
              </w:rPr>
              <w:t>500</w:t>
            </w:r>
          </w:p>
        </w:tc>
      </w:tr>
    </w:tbl>
    <w:p w:rsidR="00D849AA" w:rsidRDefault="00D849AA">
      <w:pPr>
        <w:jc w:val="left"/>
      </w:pPr>
    </w:p>
    <w:p w:rsidR="00337A23" w:rsidRDefault="00337A23" w:rsidP="00337A23">
      <w:pPr>
        <w:pStyle w:val="Naslov4"/>
      </w:pPr>
      <w:r>
        <w:t>OBRAZLOŽENJE PROGRAMA</w:t>
      </w:r>
    </w:p>
    <w:p w:rsidR="00D849AA" w:rsidRDefault="00EE6D95">
      <w:pPr>
        <w:pStyle w:val="Naslov5"/>
      </w:pPr>
      <w:r>
        <w:t>3507 POTICANJE KOMUNALNE I DRUŠTVENE INFRASTRUKTURE NA OTOCIMA I U PRIOBALJU</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950B90" w:rsidRDefault="00D849AA">
            <w:pPr>
              <w:pStyle w:val="CellHeader"/>
            </w:pPr>
          </w:p>
        </w:tc>
        <w:tc>
          <w:tcPr>
            <w:tcW w:w="1486" w:type="dxa"/>
            <w:shd w:val="clear" w:color="auto" w:fill="B5C0D8"/>
          </w:tcPr>
          <w:p w:rsidR="00D849AA" w:rsidRPr="00950B90" w:rsidRDefault="00EE6D95">
            <w:pPr>
              <w:pStyle w:val="CellHeader"/>
            </w:pPr>
            <w:r w:rsidRPr="00950B90">
              <w:t>Plan 2013.</w:t>
            </w:r>
          </w:p>
        </w:tc>
        <w:tc>
          <w:tcPr>
            <w:tcW w:w="1486" w:type="dxa"/>
            <w:shd w:val="clear" w:color="auto" w:fill="B5C0D8"/>
          </w:tcPr>
          <w:p w:rsidR="00D849AA" w:rsidRPr="00950B90" w:rsidRDefault="00EE6D95">
            <w:pPr>
              <w:pStyle w:val="CellHeader"/>
            </w:pPr>
            <w:r w:rsidRPr="00950B90">
              <w:t>Plan 2014.</w:t>
            </w:r>
          </w:p>
        </w:tc>
        <w:tc>
          <w:tcPr>
            <w:tcW w:w="1486" w:type="dxa"/>
            <w:shd w:val="clear" w:color="auto" w:fill="B5C0D8"/>
          </w:tcPr>
          <w:p w:rsidR="00D849AA" w:rsidRPr="00950B90" w:rsidRDefault="00EE6D95">
            <w:pPr>
              <w:pStyle w:val="CellHeader"/>
            </w:pPr>
            <w:r w:rsidRPr="00950B90">
              <w:t>Plan 2015.</w:t>
            </w:r>
          </w:p>
        </w:tc>
        <w:tc>
          <w:tcPr>
            <w:tcW w:w="1486" w:type="dxa"/>
            <w:shd w:val="clear" w:color="auto" w:fill="B5C0D8"/>
          </w:tcPr>
          <w:p w:rsidR="00D849AA" w:rsidRPr="00950B90" w:rsidRDefault="00EE6D95">
            <w:pPr>
              <w:pStyle w:val="CellHeader"/>
            </w:pPr>
            <w:r w:rsidRPr="00950B90">
              <w:t>Plan 2016.</w:t>
            </w:r>
          </w:p>
        </w:tc>
        <w:tc>
          <w:tcPr>
            <w:tcW w:w="1486" w:type="dxa"/>
            <w:shd w:val="clear" w:color="auto" w:fill="B5C0D8"/>
          </w:tcPr>
          <w:p w:rsidR="00D849AA" w:rsidRPr="00950B90" w:rsidRDefault="00EE6D95">
            <w:pPr>
              <w:pStyle w:val="CellHeader"/>
            </w:pPr>
            <w:r w:rsidRPr="00950B90">
              <w:t>Indeks 2014/2013</w:t>
            </w:r>
          </w:p>
        </w:tc>
      </w:tr>
      <w:tr w:rsidR="00D849AA">
        <w:trPr>
          <w:jc w:val="center"/>
        </w:trPr>
        <w:tc>
          <w:tcPr>
            <w:tcW w:w="1486" w:type="dxa"/>
          </w:tcPr>
          <w:p w:rsidR="00D849AA" w:rsidRPr="00950B90" w:rsidRDefault="00EE6D95">
            <w:pPr>
              <w:pStyle w:val="CellColumn"/>
            </w:pPr>
            <w:r w:rsidRPr="00950B90">
              <w:t>3507</w:t>
            </w:r>
          </w:p>
        </w:tc>
        <w:tc>
          <w:tcPr>
            <w:tcW w:w="1486" w:type="dxa"/>
          </w:tcPr>
          <w:p w:rsidR="00D849AA" w:rsidRPr="00950B90" w:rsidRDefault="00EE6D95">
            <w:pPr>
              <w:rPr>
                <w:rFonts w:ascii="Arial" w:hAnsi="Arial" w:cs="Arial"/>
              </w:rPr>
            </w:pPr>
            <w:r w:rsidRPr="00950B90">
              <w:rPr>
                <w:rFonts w:ascii="Arial" w:hAnsi="Arial" w:cs="Arial"/>
              </w:rPr>
              <w:t>128.961.000</w:t>
            </w:r>
          </w:p>
        </w:tc>
        <w:tc>
          <w:tcPr>
            <w:tcW w:w="1486" w:type="dxa"/>
          </w:tcPr>
          <w:p w:rsidR="00D849AA" w:rsidRPr="00950B90" w:rsidRDefault="00EE6D95">
            <w:pPr>
              <w:rPr>
                <w:rFonts w:ascii="Arial" w:hAnsi="Arial" w:cs="Arial"/>
              </w:rPr>
            </w:pPr>
            <w:r w:rsidRPr="00950B90">
              <w:rPr>
                <w:rFonts w:ascii="Arial" w:hAnsi="Arial" w:cs="Arial"/>
              </w:rPr>
              <w:t>123.185.000</w:t>
            </w:r>
          </w:p>
        </w:tc>
        <w:tc>
          <w:tcPr>
            <w:tcW w:w="1486" w:type="dxa"/>
          </w:tcPr>
          <w:p w:rsidR="00D849AA" w:rsidRPr="00950B90" w:rsidRDefault="00EE6D95">
            <w:pPr>
              <w:rPr>
                <w:rFonts w:ascii="Arial" w:hAnsi="Arial" w:cs="Arial"/>
              </w:rPr>
            </w:pPr>
            <w:r w:rsidRPr="00950B90">
              <w:rPr>
                <w:rFonts w:ascii="Arial" w:hAnsi="Arial" w:cs="Arial"/>
              </w:rPr>
              <w:t>80.050.000</w:t>
            </w:r>
          </w:p>
        </w:tc>
        <w:tc>
          <w:tcPr>
            <w:tcW w:w="1486" w:type="dxa"/>
          </w:tcPr>
          <w:p w:rsidR="00D849AA" w:rsidRPr="00950B90" w:rsidRDefault="00EE6D95">
            <w:pPr>
              <w:rPr>
                <w:rFonts w:ascii="Arial" w:hAnsi="Arial" w:cs="Arial"/>
              </w:rPr>
            </w:pPr>
            <w:r w:rsidRPr="00950B90">
              <w:rPr>
                <w:rFonts w:ascii="Arial" w:hAnsi="Arial" w:cs="Arial"/>
              </w:rPr>
              <w:t>130.050.000</w:t>
            </w:r>
          </w:p>
        </w:tc>
        <w:tc>
          <w:tcPr>
            <w:tcW w:w="1486" w:type="dxa"/>
          </w:tcPr>
          <w:p w:rsidR="00D849AA" w:rsidRPr="00950B90" w:rsidRDefault="00EE6D95">
            <w:pPr>
              <w:rPr>
                <w:rFonts w:ascii="Arial" w:hAnsi="Arial" w:cs="Arial"/>
              </w:rPr>
            </w:pPr>
            <w:r w:rsidRPr="00950B90">
              <w:rPr>
                <w:rFonts w:ascii="Arial" w:hAnsi="Arial" w:cs="Arial"/>
              </w:rPr>
              <w:t>95,5</w:t>
            </w:r>
          </w:p>
        </w:tc>
      </w:tr>
    </w:tbl>
    <w:p w:rsidR="00D849AA" w:rsidRDefault="00D849AA">
      <w:pPr>
        <w:jc w:val="left"/>
      </w:pPr>
    </w:p>
    <w:p w:rsidR="00D849AA" w:rsidRDefault="00EE6D95">
      <w:pPr>
        <w:pStyle w:val="Naslov6"/>
      </w:pPr>
      <w:r>
        <w:lastRenderedPageBreak/>
        <w:t>Opis programa</w:t>
      </w:r>
    </w:p>
    <w:p w:rsidR="00D849AA" w:rsidRDefault="00EE6D95">
      <w:pPr>
        <w:pStyle w:val="Normal5"/>
      </w:pPr>
      <w:r>
        <w:t xml:space="preserve">Program je usmjeren prema sustavnom planiranju i izgradnji objekata komunalne i društvene infrastrukture obzirom na specifičan geografski položaj otoka i priobalja i na njihovu demografsku strukturu. Iako su pojedini otoci, odnosno njihova područja dosegli značajan nivo razvijenosti u odnosu na prethodno razdoblje, svakako je za naglasiti da je i dalje potrebno ulagati velike napore  za njihov daljnji razvoj kako bi se u konačnici postigao često ponavljan najveći cilj - ostanak stanovništva na navedenim područjima i povećanje njihovog ukupnog broja. </w:t>
      </w:r>
    </w:p>
    <w:p w:rsidR="00D849AA" w:rsidRDefault="00EE6D95">
      <w:pPr>
        <w:pStyle w:val="Normal5"/>
      </w:pPr>
      <w:r>
        <w:t>Program se provodi kroz čitav niz aktivnosti kojima se podržavaju projekti izgradnje komunalne i društvene infrastrukture, što obuhvaća izgradnju vodoopskrbe i odvodnje, objekte za potrebe zdravstva i socijalne skrbi, škola, dječjih vrtića, kulturnih i sakralnih objekata, itd.</w:t>
      </w:r>
    </w:p>
    <w:p w:rsidR="00D849AA" w:rsidRDefault="00EE6D95">
      <w:pPr>
        <w:pStyle w:val="Naslov6"/>
      </w:pPr>
      <w:r>
        <w:t>Zakonske i druge pravne osnove</w:t>
      </w:r>
    </w:p>
    <w:p w:rsidR="00D849AA" w:rsidRDefault="00EE6D95">
      <w:pPr>
        <w:pStyle w:val="Normal5"/>
      </w:pPr>
      <w:r>
        <w:t xml:space="preserve">1. Nacionalni program razvitka otoka (1997.); </w:t>
      </w:r>
    </w:p>
    <w:p w:rsidR="00D849AA" w:rsidRDefault="00EE6D95">
      <w:pPr>
        <w:pStyle w:val="Normal5"/>
      </w:pPr>
      <w:r>
        <w:t xml:space="preserve">2. Zakon o otocima (Narodne novine, broj 34/99, 149/99, 32/02, 33/06);  </w:t>
      </w:r>
    </w:p>
    <w:p w:rsidR="00D849AA" w:rsidRDefault="00EE6D95">
      <w:pPr>
        <w:pStyle w:val="Normal5"/>
      </w:pPr>
      <w:r>
        <w:t xml:space="preserve">3. Projekt „Izgradnja objekata komunalne i društvene infrastrukture na hrvatskim otocima – CEB IV“;  </w:t>
      </w:r>
    </w:p>
    <w:p w:rsidR="00D849AA" w:rsidRDefault="00EE6D95">
      <w:pPr>
        <w:pStyle w:val="Normal5"/>
      </w:pPr>
      <w:r>
        <w:t xml:space="preserve">4. Projekt „Integralni razvoj lokalne zajednice - EIB II“;  </w:t>
      </w:r>
    </w:p>
    <w:p w:rsidR="00D849AA" w:rsidRDefault="00EE6D95">
      <w:pPr>
        <w:pStyle w:val="Normal5"/>
      </w:pPr>
      <w:r>
        <w:t>5. "Projekt razvoja infrastrukture na otocima i u priobalju“ - EIB III.</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Cilj 1. Održivi razvoj otoka</w:t>
      </w:r>
    </w:p>
    <w:p w:rsidR="00D849AA" w:rsidRDefault="00EE6D95">
      <w:pPr>
        <w:pStyle w:val="Normal6"/>
      </w:pPr>
      <w:r>
        <w:t xml:space="preserve">Navedeni se cilj nastoji se postići kroz održivo korištenje otočnog potencijala, stalno poboljšanje otočnog življenja, izgradnjom ekološki prihvatljive infrastrukture kako bi se otočnom stanovništvu osigurao kvalitetan životni standard. Održivi razvoj otoka ima za cilj osiguranje dobrobiti stanovništva, razvoj gospodarstva i zaštitu prirodnog okoliša na otocima, a u svrhu izjednačavanja uvjeta i kvalitete života na tim područjima s razvijenijim područjima Republike Hrvatske. </w:t>
      </w:r>
    </w:p>
    <w:p w:rsidR="00D849AA" w:rsidRDefault="00EE6D95">
      <w:pPr>
        <w:pStyle w:val="Normal6"/>
      </w:pPr>
      <w:r>
        <w:t xml:space="preserve">Skrb o hrvatskim otocima odnosi se na poboljšanje uvjeta života na tim područjima u svim segmentima, kako bi se omogućio i inicirao ostanak i povratak stanovništva te demografski, društveni i gospodarski razvoj i napredak tih područja. </w:t>
      </w:r>
    </w:p>
    <w:p w:rsidR="00D849AA" w:rsidRDefault="00EE6D95">
      <w:pPr>
        <w:pStyle w:val="Normal6"/>
      </w:pPr>
      <w:r>
        <w:t xml:space="preserve">Navedeno se ostvaruje izgradnjom prometne, komunalne i društvene infrastrukture, stvaranjem boljih uvjeta života te poticanjem i promocijom komparativnih prednosti otoka. </w:t>
      </w:r>
    </w:p>
    <w:p w:rsidR="00D849AA" w:rsidRDefault="00EE6D95">
      <w:pPr>
        <w:pStyle w:val="Normal6"/>
      </w:pPr>
      <w:r>
        <w:t xml:space="preserve">Područje otoka obuhvaća 7 jedinica regionalne samouprave, odnosno 7 obalno-otočnih županija (Istarska, Primorsko-goranska, Ličko-senjska, Zadarska, Šibensko-kninska, Splitsko-dalmatinska i Dubrovačko-neretvanska) kojima otoci teritorijalno i administrativno pripadaju.   </w:t>
      </w:r>
    </w:p>
    <w:p w:rsidR="00D849AA" w:rsidRDefault="00EE6D95">
      <w:pPr>
        <w:pStyle w:val="Normal6"/>
      </w:pPr>
      <w:r>
        <w:t xml:space="preserve">Osnovni preduvjet za život stanovništva na otocima je svakako izgrađena komunalna i društvena infrastruktura, što podrazumijeva omogućavanje opskrbe domaćinstava pitkom vodom te zbrinjavanje otpadnih i oborinskih voda. Isto tako, neophodan je razvoj i društvene infrastrukture kroz izgradnju vrtića, škola, športskih dvorana, domova za starije i nemoćne i zdravstvenih ustanova, kao preduvjet stvaranja uvjeta za ostanak stanovništva na otocima i njihovo sustavno zbrinjavanje.  </w:t>
      </w:r>
    </w:p>
    <w:p w:rsidR="00D849AA" w:rsidRDefault="00EE6D95">
      <w:pPr>
        <w:pStyle w:val="Normal6"/>
      </w:pPr>
      <w:r>
        <w:lastRenderedPageBreak/>
        <w:t>U sljedećem trogodišnjem razdoblju, sukladno mogućnostima, na najefikasniji mogući način nastavit će se ulagati u izgradnju komunalne i društvene infrastrukture, a sve temeljem iskazanih prioriteta jedinica lokalne i područne samouprave na otocima.</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950B90" w:rsidRDefault="00EE6D95">
            <w:pPr>
              <w:rPr>
                <w:rFonts w:ascii="Arial" w:hAnsi="Arial" w:cs="Arial"/>
              </w:rPr>
            </w:pPr>
            <w:r w:rsidRPr="00950B90">
              <w:rPr>
                <w:rFonts w:ascii="Arial" w:hAnsi="Arial" w:cs="Arial"/>
              </w:rPr>
              <w:t>Pokazatelj učinka</w:t>
            </w:r>
          </w:p>
        </w:tc>
        <w:tc>
          <w:tcPr>
            <w:tcW w:w="1114" w:type="dxa"/>
            <w:shd w:val="clear" w:color="auto" w:fill="B5C0D8"/>
          </w:tcPr>
          <w:p w:rsidR="00D849AA" w:rsidRPr="00950B90" w:rsidRDefault="00EE6D95">
            <w:pPr>
              <w:pStyle w:val="CellHeader"/>
            </w:pPr>
            <w:r w:rsidRPr="00950B90">
              <w:t>Jedinica</w:t>
            </w:r>
          </w:p>
        </w:tc>
        <w:tc>
          <w:tcPr>
            <w:tcW w:w="1114" w:type="dxa"/>
            <w:shd w:val="clear" w:color="auto" w:fill="B5C0D8"/>
          </w:tcPr>
          <w:p w:rsidR="00D849AA" w:rsidRPr="00950B90" w:rsidRDefault="00EE6D95">
            <w:pPr>
              <w:pStyle w:val="CellHeader"/>
            </w:pPr>
            <w:r w:rsidRPr="00950B90">
              <w:t>Polazna vrijednost</w:t>
            </w:r>
          </w:p>
        </w:tc>
        <w:tc>
          <w:tcPr>
            <w:tcW w:w="1486" w:type="dxa"/>
            <w:shd w:val="clear" w:color="auto" w:fill="B5C0D8"/>
          </w:tcPr>
          <w:p w:rsidR="00D849AA" w:rsidRPr="00950B90" w:rsidRDefault="00EE6D95">
            <w:pPr>
              <w:pStyle w:val="CellHeader"/>
            </w:pPr>
            <w:r w:rsidRPr="00950B90">
              <w:t>Ciljana vrijednost (2014.)</w:t>
            </w:r>
          </w:p>
        </w:tc>
        <w:tc>
          <w:tcPr>
            <w:tcW w:w="1486" w:type="dxa"/>
            <w:shd w:val="clear" w:color="auto" w:fill="B5C0D8"/>
          </w:tcPr>
          <w:p w:rsidR="00D849AA" w:rsidRPr="00950B90" w:rsidRDefault="00EE6D95">
            <w:pPr>
              <w:pStyle w:val="CellHeader"/>
            </w:pPr>
            <w:r w:rsidRPr="00950B90">
              <w:t>Ciljana vrijednost (2015.)</w:t>
            </w:r>
          </w:p>
        </w:tc>
        <w:tc>
          <w:tcPr>
            <w:tcW w:w="1486" w:type="dxa"/>
            <w:shd w:val="clear" w:color="auto" w:fill="B5C0D8"/>
          </w:tcPr>
          <w:p w:rsidR="00D849AA" w:rsidRPr="00950B90" w:rsidRDefault="00EE6D95">
            <w:pPr>
              <w:pStyle w:val="CellHeader"/>
            </w:pPr>
            <w:r w:rsidRPr="00950B90">
              <w:t>Ciljana vrijednost (2016.)</w:t>
            </w:r>
          </w:p>
        </w:tc>
      </w:tr>
      <w:tr w:rsidR="00D849AA">
        <w:trPr>
          <w:jc w:val="center"/>
        </w:trPr>
        <w:tc>
          <w:tcPr>
            <w:tcW w:w="2229" w:type="dxa"/>
          </w:tcPr>
          <w:p w:rsidR="00D849AA" w:rsidRPr="00950B90" w:rsidRDefault="00EE6D95">
            <w:pPr>
              <w:pStyle w:val="CellColumn"/>
            </w:pPr>
            <w:r w:rsidRPr="00950B90">
              <w:t>Porast broja stanovnika na otocima</w:t>
            </w:r>
          </w:p>
        </w:tc>
        <w:tc>
          <w:tcPr>
            <w:tcW w:w="1114" w:type="dxa"/>
          </w:tcPr>
          <w:p w:rsidR="00D849AA" w:rsidRPr="00950B90" w:rsidRDefault="00EE6D95">
            <w:pPr>
              <w:rPr>
                <w:rFonts w:ascii="Arial" w:hAnsi="Arial" w:cs="Arial"/>
              </w:rPr>
            </w:pPr>
            <w:r w:rsidRPr="00950B90">
              <w:rPr>
                <w:rFonts w:ascii="Arial" w:hAnsi="Arial" w:cs="Arial"/>
              </w:rPr>
              <w:t>broj</w:t>
            </w:r>
          </w:p>
        </w:tc>
        <w:tc>
          <w:tcPr>
            <w:tcW w:w="1114" w:type="dxa"/>
          </w:tcPr>
          <w:p w:rsidR="00D849AA" w:rsidRPr="00950B90" w:rsidRDefault="00EE6D95">
            <w:pPr>
              <w:rPr>
                <w:rFonts w:ascii="Arial" w:hAnsi="Arial" w:cs="Arial"/>
              </w:rPr>
            </w:pPr>
            <w:r w:rsidRPr="00950B90">
              <w:rPr>
                <w:rFonts w:ascii="Arial" w:hAnsi="Arial" w:cs="Arial"/>
              </w:rPr>
              <w:t>131.407</w:t>
            </w:r>
          </w:p>
        </w:tc>
        <w:tc>
          <w:tcPr>
            <w:tcW w:w="1486" w:type="dxa"/>
          </w:tcPr>
          <w:p w:rsidR="00D849AA" w:rsidRPr="00950B90" w:rsidRDefault="00EE6D95">
            <w:pPr>
              <w:rPr>
                <w:rFonts w:ascii="Arial" w:hAnsi="Arial" w:cs="Arial"/>
              </w:rPr>
            </w:pPr>
            <w:r w:rsidRPr="00950B90">
              <w:rPr>
                <w:rFonts w:ascii="Arial" w:hAnsi="Arial" w:cs="Arial"/>
              </w:rPr>
              <w:t>131.407</w:t>
            </w:r>
          </w:p>
        </w:tc>
        <w:tc>
          <w:tcPr>
            <w:tcW w:w="1486" w:type="dxa"/>
          </w:tcPr>
          <w:p w:rsidR="00D849AA" w:rsidRPr="00950B90" w:rsidRDefault="00EE6D95">
            <w:pPr>
              <w:rPr>
                <w:rFonts w:ascii="Arial" w:hAnsi="Arial" w:cs="Arial"/>
              </w:rPr>
            </w:pPr>
            <w:r w:rsidRPr="00950B90">
              <w:rPr>
                <w:rFonts w:ascii="Arial" w:hAnsi="Arial" w:cs="Arial"/>
              </w:rPr>
              <w:t>131.407</w:t>
            </w:r>
          </w:p>
        </w:tc>
        <w:tc>
          <w:tcPr>
            <w:tcW w:w="1486" w:type="dxa"/>
          </w:tcPr>
          <w:p w:rsidR="00D849AA" w:rsidRPr="00950B90" w:rsidRDefault="00EE6D95">
            <w:pPr>
              <w:rPr>
                <w:rFonts w:ascii="Arial" w:hAnsi="Arial" w:cs="Arial"/>
              </w:rPr>
            </w:pPr>
            <w:r w:rsidRPr="00950B90">
              <w:rPr>
                <w:rFonts w:ascii="Arial" w:hAnsi="Arial" w:cs="Arial"/>
              </w:rPr>
              <w:t>131.407</w:t>
            </w:r>
          </w:p>
        </w:tc>
      </w:tr>
    </w:tbl>
    <w:p w:rsidR="00D849AA" w:rsidRDefault="00D849AA">
      <w:pPr>
        <w:jc w:val="left"/>
      </w:pPr>
    </w:p>
    <w:p w:rsidR="00D849AA" w:rsidRDefault="00EE6D95">
      <w:pPr>
        <w:pStyle w:val="Naslov5"/>
      </w:pPr>
      <w:r>
        <w:t>Procjena i ishodište potrebnih sredstava za značajnije aktivnosti/projekte</w:t>
      </w:r>
    </w:p>
    <w:p w:rsidR="00D849AA" w:rsidRDefault="00EE6D95">
      <w:pPr>
        <w:pStyle w:val="Naslov6"/>
      </w:pPr>
      <w:r>
        <w:t>T570462 IZGRADNJA OBJEKATA KOMUNALNE I DRUŠTVENE INFRASTRUKTURE NA HRVATSKIM OTOCIMA (CEB IV)</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950B90" w:rsidRDefault="00EE6D95">
            <w:pPr>
              <w:pStyle w:val="CellHeader"/>
            </w:pPr>
            <w:r w:rsidRPr="00950B90">
              <w:t>Naziv aktivnosti</w:t>
            </w:r>
          </w:p>
        </w:tc>
        <w:tc>
          <w:tcPr>
            <w:tcW w:w="1486" w:type="dxa"/>
            <w:shd w:val="clear" w:color="auto" w:fill="B5C0D8"/>
          </w:tcPr>
          <w:p w:rsidR="00D849AA" w:rsidRPr="00950B90" w:rsidRDefault="00EE6D95">
            <w:pPr>
              <w:pStyle w:val="CellHeader"/>
            </w:pPr>
            <w:r w:rsidRPr="00950B90">
              <w:t>Plan 2013.</w:t>
            </w:r>
          </w:p>
        </w:tc>
        <w:tc>
          <w:tcPr>
            <w:tcW w:w="1486" w:type="dxa"/>
            <w:shd w:val="clear" w:color="auto" w:fill="B5C0D8"/>
          </w:tcPr>
          <w:p w:rsidR="00D849AA" w:rsidRPr="00950B90" w:rsidRDefault="00EE6D95">
            <w:pPr>
              <w:pStyle w:val="CellHeader"/>
            </w:pPr>
            <w:r w:rsidRPr="00950B90">
              <w:t>Plan 2014.</w:t>
            </w:r>
          </w:p>
        </w:tc>
        <w:tc>
          <w:tcPr>
            <w:tcW w:w="1486" w:type="dxa"/>
            <w:shd w:val="clear" w:color="auto" w:fill="B5C0D8"/>
          </w:tcPr>
          <w:p w:rsidR="00D849AA" w:rsidRPr="00950B90" w:rsidRDefault="00EE6D95">
            <w:pPr>
              <w:pStyle w:val="CellHeader"/>
            </w:pPr>
            <w:r w:rsidRPr="00950B90">
              <w:t>Plan 2015.</w:t>
            </w:r>
          </w:p>
        </w:tc>
        <w:tc>
          <w:tcPr>
            <w:tcW w:w="1486" w:type="dxa"/>
            <w:shd w:val="clear" w:color="auto" w:fill="B5C0D8"/>
          </w:tcPr>
          <w:p w:rsidR="00D849AA" w:rsidRPr="00950B90" w:rsidRDefault="00EE6D95">
            <w:pPr>
              <w:pStyle w:val="CellHeader"/>
            </w:pPr>
            <w:r w:rsidRPr="00950B90">
              <w:t>Plan 2016.</w:t>
            </w:r>
          </w:p>
        </w:tc>
        <w:tc>
          <w:tcPr>
            <w:tcW w:w="1486" w:type="dxa"/>
            <w:shd w:val="clear" w:color="auto" w:fill="B5C0D8"/>
          </w:tcPr>
          <w:p w:rsidR="00D849AA" w:rsidRPr="00950B90" w:rsidRDefault="00EE6D95">
            <w:pPr>
              <w:pStyle w:val="CellHeader"/>
            </w:pPr>
            <w:r w:rsidRPr="00950B90">
              <w:t>Indeks 2014/2013</w:t>
            </w:r>
          </w:p>
        </w:tc>
      </w:tr>
      <w:tr w:rsidR="00D849AA">
        <w:trPr>
          <w:jc w:val="center"/>
        </w:trPr>
        <w:tc>
          <w:tcPr>
            <w:tcW w:w="1486" w:type="dxa"/>
          </w:tcPr>
          <w:p w:rsidR="00D849AA" w:rsidRPr="00950B90" w:rsidRDefault="00EE6D95">
            <w:pPr>
              <w:pStyle w:val="CellColumn"/>
            </w:pPr>
            <w:r w:rsidRPr="00950B90">
              <w:t>T570462</w:t>
            </w:r>
          </w:p>
        </w:tc>
        <w:tc>
          <w:tcPr>
            <w:tcW w:w="1486" w:type="dxa"/>
          </w:tcPr>
          <w:p w:rsidR="00D849AA" w:rsidRPr="00950B90" w:rsidRDefault="00EE6D95">
            <w:pPr>
              <w:rPr>
                <w:rFonts w:ascii="Arial" w:hAnsi="Arial" w:cs="Arial"/>
              </w:rPr>
            </w:pPr>
            <w:r w:rsidRPr="00950B90">
              <w:rPr>
                <w:rFonts w:ascii="Arial" w:hAnsi="Arial" w:cs="Arial"/>
              </w:rPr>
              <w:t>15.000.000</w:t>
            </w:r>
          </w:p>
        </w:tc>
        <w:tc>
          <w:tcPr>
            <w:tcW w:w="1486" w:type="dxa"/>
          </w:tcPr>
          <w:p w:rsidR="00D849AA" w:rsidRPr="00950B90" w:rsidRDefault="00EE6D95">
            <w:pPr>
              <w:rPr>
                <w:rFonts w:ascii="Arial" w:hAnsi="Arial" w:cs="Arial"/>
              </w:rPr>
            </w:pPr>
            <w:r w:rsidRPr="00950B90">
              <w:rPr>
                <w:rFonts w:ascii="Arial" w:hAnsi="Arial" w:cs="Arial"/>
              </w:rPr>
              <w:t>15.335.000</w:t>
            </w:r>
          </w:p>
        </w:tc>
        <w:tc>
          <w:tcPr>
            <w:tcW w:w="1486" w:type="dxa"/>
          </w:tcPr>
          <w:p w:rsidR="00D849AA" w:rsidRPr="00950B90" w:rsidRDefault="00EE6D95">
            <w:pPr>
              <w:rPr>
                <w:rFonts w:ascii="Arial" w:hAnsi="Arial" w:cs="Arial"/>
              </w:rPr>
            </w:pPr>
            <w:r w:rsidRPr="00950B90">
              <w:rPr>
                <w:rFonts w:ascii="Arial" w:hAnsi="Arial" w:cs="Arial"/>
              </w:rPr>
              <w:t>00</w:t>
            </w:r>
          </w:p>
        </w:tc>
        <w:tc>
          <w:tcPr>
            <w:tcW w:w="1486" w:type="dxa"/>
          </w:tcPr>
          <w:p w:rsidR="00D849AA" w:rsidRPr="00950B90" w:rsidRDefault="00EE6D95">
            <w:pPr>
              <w:rPr>
                <w:rFonts w:ascii="Arial" w:hAnsi="Arial" w:cs="Arial"/>
              </w:rPr>
            </w:pPr>
            <w:r w:rsidRPr="00950B90">
              <w:rPr>
                <w:rFonts w:ascii="Arial" w:hAnsi="Arial" w:cs="Arial"/>
              </w:rPr>
              <w:t>00</w:t>
            </w:r>
          </w:p>
        </w:tc>
        <w:tc>
          <w:tcPr>
            <w:tcW w:w="1486" w:type="dxa"/>
          </w:tcPr>
          <w:p w:rsidR="00D849AA" w:rsidRPr="00950B90" w:rsidRDefault="00EE6D95">
            <w:pPr>
              <w:rPr>
                <w:rFonts w:ascii="Arial" w:hAnsi="Arial" w:cs="Arial"/>
              </w:rPr>
            </w:pPr>
            <w:r w:rsidRPr="00950B90">
              <w:rPr>
                <w:rFonts w:ascii="Arial" w:hAnsi="Arial" w:cs="Arial"/>
              </w:rPr>
              <w:t>102,2</w:t>
            </w:r>
          </w:p>
        </w:tc>
      </w:tr>
    </w:tbl>
    <w:p w:rsidR="00D849AA" w:rsidRDefault="00D849AA">
      <w:pPr>
        <w:jc w:val="left"/>
      </w:pPr>
    </w:p>
    <w:p w:rsidR="00D849AA" w:rsidRDefault="00EE6D95">
      <w:pPr>
        <w:pStyle w:val="Normal6"/>
      </w:pPr>
      <w:r>
        <w:t>Provedba aktivnosti je usmjerena prema omogućavanju kvalitetne opskrbljenosti otoka pitkom vodom i energentima (domaćinstva, društveni i gospodarski objekti te gospodarske zone) grade se vodoopskrbni i energetski sustavi na područjima gdje je moguće priključivanje takvih sustava na postojeće. Da bi se zaštitila obalna područja otoka od zagađenja otpadnim vodama grade se sustavi odvodnje otpadnih i oborinskih voda. U cilju demografskog razvoja grade se dječji vrtići, škole i športske dvorane, kako bi djeca što dulje ostala u obiteljima ovih područja i time se stvorio preduvjet za smanjenje odljeva stanovništva. Budući da je populacija na otocima uglavnom starije dobi, neophodna je izgradnja domova za starije i nemoćne osobe.</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950B90" w:rsidRDefault="00EE6D95">
            <w:pPr>
              <w:rPr>
                <w:rFonts w:ascii="Arial" w:hAnsi="Arial" w:cs="Arial"/>
              </w:rPr>
            </w:pPr>
            <w:r w:rsidRPr="00950B90">
              <w:rPr>
                <w:rFonts w:ascii="Arial" w:hAnsi="Arial" w:cs="Arial"/>
              </w:rPr>
              <w:t>Pokazatelj rezultata</w:t>
            </w:r>
          </w:p>
        </w:tc>
        <w:tc>
          <w:tcPr>
            <w:tcW w:w="1114" w:type="dxa"/>
            <w:shd w:val="clear" w:color="auto" w:fill="B5C0D8"/>
          </w:tcPr>
          <w:p w:rsidR="00D849AA" w:rsidRPr="00950B90" w:rsidRDefault="00EE6D95">
            <w:pPr>
              <w:pStyle w:val="CellHeader"/>
            </w:pPr>
            <w:r w:rsidRPr="00950B90">
              <w:t>Jedinica</w:t>
            </w:r>
          </w:p>
        </w:tc>
        <w:tc>
          <w:tcPr>
            <w:tcW w:w="1114" w:type="dxa"/>
            <w:shd w:val="clear" w:color="auto" w:fill="B5C0D8"/>
          </w:tcPr>
          <w:p w:rsidR="00D849AA" w:rsidRPr="00950B90" w:rsidRDefault="00EE6D95">
            <w:pPr>
              <w:pStyle w:val="CellHeader"/>
            </w:pPr>
            <w:r w:rsidRPr="00950B90">
              <w:t>Polazna vrijednost</w:t>
            </w:r>
          </w:p>
        </w:tc>
        <w:tc>
          <w:tcPr>
            <w:tcW w:w="1486" w:type="dxa"/>
            <w:shd w:val="clear" w:color="auto" w:fill="B5C0D8"/>
          </w:tcPr>
          <w:p w:rsidR="00D849AA" w:rsidRPr="00950B90" w:rsidRDefault="00EE6D95">
            <w:pPr>
              <w:pStyle w:val="CellHeader"/>
            </w:pPr>
            <w:r w:rsidRPr="00950B90">
              <w:t>Ciljana vrijednost (2014.)</w:t>
            </w:r>
          </w:p>
        </w:tc>
        <w:tc>
          <w:tcPr>
            <w:tcW w:w="1486" w:type="dxa"/>
            <w:shd w:val="clear" w:color="auto" w:fill="B5C0D8"/>
          </w:tcPr>
          <w:p w:rsidR="00D849AA" w:rsidRPr="00950B90" w:rsidRDefault="00EE6D95">
            <w:pPr>
              <w:pStyle w:val="CellHeader"/>
            </w:pPr>
            <w:r w:rsidRPr="00950B90">
              <w:t>Ciljana vrijednost (2015.)</w:t>
            </w:r>
          </w:p>
        </w:tc>
        <w:tc>
          <w:tcPr>
            <w:tcW w:w="1486" w:type="dxa"/>
            <w:shd w:val="clear" w:color="auto" w:fill="B5C0D8"/>
          </w:tcPr>
          <w:p w:rsidR="00D849AA" w:rsidRPr="00950B90" w:rsidRDefault="00EE6D95">
            <w:pPr>
              <w:pStyle w:val="CellHeader"/>
            </w:pPr>
            <w:r w:rsidRPr="00950B90">
              <w:t>Ciljana vrijednost (2016.)</w:t>
            </w:r>
          </w:p>
        </w:tc>
      </w:tr>
      <w:tr w:rsidR="00D849AA">
        <w:trPr>
          <w:jc w:val="center"/>
        </w:trPr>
        <w:tc>
          <w:tcPr>
            <w:tcW w:w="2229" w:type="dxa"/>
          </w:tcPr>
          <w:p w:rsidR="00D849AA" w:rsidRPr="00950B90" w:rsidRDefault="00EE6D95">
            <w:pPr>
              <w:pStyle w:val="CellColumn"/>
            </w:pPr>
            <w:r w:rsidRPr="00950B90">
              <w:t>Broj izgrađenih objekata komunalne i društvene infrastrukture</w:t>
            </w:r>
          </w:p>
        </w:tc>
        <w:tc>
          <w:tcPr>
            <w:tcW w:w="1114" w:type="dxa"/>
          </w:tcPr>
          <w:p w:rsidR="00D849AA" w:rsidRPr="00950B90" w:rsidRDefault="00EE6D95">
            <w:pPr>
              <w:rPr>
                <w:rFonts w:ascii="Arial" w:hAnsi="Arial" w:cs="Arial"/>
              </w:rPr>
            </w:pPr>
            <w:r w:rsidRPr="00950B90">
              <w:rPr>
                <w:rFonts w:ascii="Arial" w:hAnsi="Arial" w:cs="Arial"/>
              </w:rPr>
              <w:t>Broj</w:t>
            </w:r>
          </w:p>
        </w:tc>
        <w:tc>
          <w:tcPr>
            <w:tcW w:w="1114" w:type="dxa"/>
          </w:tcPr>
          <w:p w:rsidR="00D849AA" w:rsidRPr="00950B90" w:rsidRDefault="00EE6D95">
            <w:pPr>
              <w:rPr>
                <w:rFonts w:ascii="Arial" w:hAnsi="Arial" w:cs="Arial"/>
              </w:rPr>
            </w:pPr>
            <w:r w:rsidRPr="00950B90">
              <w:rPr>
                <w:rFonts w:ascii="Arial" w:hAnsi="Arial" w:cs="Arial"/>
              </w:rPr>
              <w:t>93</w:t>
            </w:r>
          </w:p>
        </w:tc>
        <w:tc>
          <w:tcPr>
            <w:tcW w:w="1486" w:type="dxa"/>
          </w:tcPr>
          <w:p w:rsidR="00D849AA" w:rsidRPr="00950B90" w:rsidRDefault="00EE6D95">
            <w:pPr>
              <w:rPr>
                <w:rFonts w:ascii="Arial" w:hAnsi="Arial" w:cs="Arial"/>
              </w:rPr>
            </w:pPr>
            <w:r w:rsidRPr="00950B90">
              <w:rPr>
                <w:rFonts w:ascii="Arial" w:hAnsi="Arial" w:cs="Arial"/>
              </w:rPr>
              <w:t>98</w:t>
            </w:r>
          </w:p>
        </w:tc>
        <w:tc>
          <w:tcPr>
            <w:tcW w:w="1486" w:type="dxa"/>
          </w:tcPr>
          <w:p w:rsidR="00D849AA" w:rsidRPr="00950B90" w:rsidRDefault="00EE6D95">
            <w:pPr>
              <w:rPr>
                <w:rFonts w:ascii="Arial" w:hAnsi="Arial" w:cs="Arial"/>
              </w:rPr>
            </w:pPr>
            <w:r w:rsidRPr="00950B90">
              <w:rPr>
                <w:rFonts w:ascii="Arial" w:hAnsi="Arial" w:cs="Arial"/>
              </w:rPr>
              <w:t>0</w:t>
            </w:r>
          </w:p>
        </w:tc>
        <w:tc>
          <w:tcPr>
            <w:tcW w:w="1486" w:type="dxa"/>
          </w:tcPr>
          <w:p w:rsidR="00D849AA" w:rsidRPr="00950B90" w:rsidRDefault="00EE6D95">
            <w:pPr>
              <w:rPr>
                <w:rFonts w:ascii="Arial" w:hAnsi="Arial" w:cs="Arial"/>
              </w:rPr>
            </w:pPr>
            <w:r w:rsidRPr="00950B90">
              <w:rPr>
                <w:rFonts w:ascii="Arial" w:hAnsi="Arial" w:cs="Arial"/>
              </w:rPr>
              <w:t>0</w:t>
            </w:r>
          </w:p>
        </w:tc>
      </w:tr>
    </w:tbl>
    <w:p w:rsidR="00D849AA" w:rsidRDefault="00D849AA">
      <w:pPr>
        <w:jc w:val="left"/>
      </w:pPr>
    </w:p>
    <w:p w:rsidR="00D849AA" w:rsidRDefault="00EE6D95">
      <w:pPr>
        <w:pStyle w:val="Naslov6"/>
      </w:pPr>
      <w:r>
        <w:t>T821011 INTEGRALNI RAZVOJ LOKALNE ZAJEDNICE U PRIOBALJU (EIB II)</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950B90" w:rsidRDefault="00EE6D95">
            <w:pPr>
              <w:pStyle w:val="CellHeader"/>
            </w:pPr>
            <w:r w:rsidRPr="00950B90">
              <w:t>Naziv aktivnosti</w:t>
            </w:r>
          </w:p>
        </w:tc>
        <w:tc>
          <w:tcPr>
            <w:tcW w:w="1486" w:type="dxa"/>
            <w:shd w:val="clear" w:color="auto" w:fill="B5C0D8"/>
          </w:tcPr>
          <w:p w:rsidR="00D849AA" w:rsidRPr="00950B90" w:rsidRDefault="00EE6D95">
            <w:pPr>
              <w:pStyle w:val="CellHeader"/>
            </w:pPr>
            <w:r w:rsidRPr="00950B90">
              <w:t>Plan 2013.</w:t>
            </w:r>
          </w:p>
        </w:tc>
        <w:tc>
          <w:tcPr>
            <w:tcW w:w="1486" w:type="dxa"/>
            <w:shd w:val="clear" w:color="auto" w:fill="B5C0D8"/>
          </w:tcPr>
          <w:p w:rsidR="00D849AA" w:rsidRPr="00950B90" w:rsidRDefault="00EE6D95">
            <w:pPr>
              <w:pStyle w:val="CellHeader"/>
            </w:pPr>
            <w:r w:rsidRPr="00950B90">
              <w:t>Plan 2014.</w:t>
            </w:r>
          </w:p>
        </w:tc>
        <w:tc>
          <w:tcPr>
            <w:tcW w:w="1486" w:type="dxa"/>
            <w:shd w:val="clear" w:color="auto" w:fill="B5C0D8"/>
          </w:tcPr>
          <w:p w:rsidR="00D849AA" w:rsidRPr="00950B90" w:rsidRDefault="00EE6D95">
            <w:pPr>
              <w:pStyle w:val="CellHeader"/>
            </w:pPr>
            <w:r w:rsidRPr="00950B90">
              <w:t>Plan 2015.</w:t>
            </w:r>
          </w:p>
        </w:tc>
        <w:tc>
          <w:tcPr>
            <w:tcW w:w="1486" w:type="dxa"/>
            <w:shd w:val="clear" w:color="auto" w:fill="B5C0D8"/>
          </w:tcPr>
          <w:p w:rsidR="00D849AA" w:rsidRPr="00950B90" w:rsidRDefault="00EE6D95">
            <w:pPr>
              <w:pStyle w:val="CellHeader"/>
            </w:pPr>
            <w:r w:rsidRPr="00950B90">
              <w:t>Plan 2016.</w:t>
            </w:r>
          </w:p>
        </w:tc>
        <w:tc>
          <w:tcPr>
            <w:tcW w:w="1486" w:type="dxa"/>
            <w:shd w:val="clear" w:color="auto" w:fill="B5C0D8"/>
          </w:tcPr>
          <w:p w:rsidR="00D849AA" w:rsidRPr="00950B90" w:rsidRDefault="00EE6D95">
            <w:pPr>
              <w:pStyle w:val="CellHeader"/>
            </w:pPr>
            <w:r w:rsidRPr="00950B90">
              <w:t>Indeks 2014/2013</w:t>
            </w:r>
          </w:p>
        </w:tc>
      </w:tr>
      <w:tr w:rsidR="00D849AA">
        <w:trPr>
          <w:jc w:val="center"/>
        </w:trPr>
        <w:tc>
          <w:tcPr>
            <w:tcW w:w="1486" w:type="dxa"/>
          </w:tcPr>
          <w:p w:rsidR="00D849AA" w:rsidRPr="00950B90" w:rsidRDefault="00EE6D95">
            <w:pPr>
              <w:pStyle w:val="CellColumn"/>
            </w:pPr>
            <w:r w:rsidRPr="00950B90">
              <w:t>T821011</w:t>
            </w:r>
          </w:p>
        </w:tc>
        <w:tc>
          <w:tcPr>
            <w:tcW w:w="1486" w:type="dxa"/>
          </w:tcPr>
          <w:p w:rsidR="00D849AA" w:rsidRPr="00950B90" w:rsidRDefault="00EE6D95">
            <w:pPr>
              <w:rPr>
                <w:rFonts w:ascii="Arial" w:hAnsi="Arial" w:cs="Arial"/>
              </w:rPr>
            </w:pPr>
            <w:r w:rsidRPr="00950B90">
              <w:rPr>
                <w:rFonts w:ascii="Arial" w:hAnsi="Arial" w:cs="Arial"/>
              </w:rPr>
              <w:t>30.000.000</w:t>
            </w:r>
          </w:p>
        </w:tc>
        <w:tc>
          <w:tcPr>
            <w:tcW w:w="1486" w:type="dxa"/>
          </w:tcPr>
          <w:p w:rsidR="00D849AA" w:rsidRPr="00950B90" w:rsidRDefault="00EE6D95">
            <w:pPr>
              <w:rPr>
                <w:rFonts w:ascii="Arial" w:hAnsi="Arial" w:cs="Arial"/>
              </w:rPr>
            </w:pPr>
            <w:r w:rsidRPr="00950B90">
              <w:rPr>
                <w:rFonts w:ascii="Arial" w:hAnsi="Arial" w:cs="Arial"/>
              </w:rPr>
              <w:t>6.800.000</w:t>
            </w:r>
          </w:p>
        </w:tc>
        <w:tc>
          <w:tcPr>
            <w:tcW w:w="1486" w:type="dxa"/>
          </w:tcPr>
          <w:p w:rsidR="00D849AA" w:rsidRPr="00950B90" w:rsidRDefault="00EE6D95">
            <w:pPr>
              <w:rPr>
                <w:rFonts w:ascii="Arial" w:hAnsi="Arial" w:cs="Arial"/>
              </w:rPr>
            </w:pPr>
            <w:r w:rsidRPr="00950B90">
              <w:rPr>
                <w:rFonts w:ascii="Arial" w:hAnsi="Arial" w:cs="Arial"/>
              </w:rPr>
              <w:t>00</w:t>
            </w:r>
          </w:p>
        </w:tc>
        <w:tc>
          <w:tcPr>
            <w:tcW w:w="1486" w:type="dxa"/>
          </w:tcPr>
          <w:p w:rsidR="00D849AA" w:rsidRPr="00950B90" w:rsidRDefault="00EE6D95">
            <w:pPr>
              <w:rPr>
                <w:rFonts w:ascii="Arial" w:hAnsi="Arial" w:cs="Arial"/>
              </w:rPr>
            </w:pPr>
            <w:r w:rsidRPr="00950B90">
              <w:rPr>
                <w:rFonts w:ascii="Arial" w:hAnsi="Arial" w:cs="Arial"/>
              </w:rPr>
              <w:t>00</w:t>
            </w:r>
          </w:p>
        </w:tc>
        <w:tc>
          <w:tcPr>
            <w:tcW w:w="1486" w:type="dxa"/>
          </w:tcPr>
          <w:p w:rsidR="00D849AA" w:rsidRPr="00950B90" w:rsidRDefault="00EE6D95">
            <w:pPr>
              <w:rPr>
                <w:rFonts w:ascii="Arial" w:hAnsi="Arial" w:cs="Arial"/>
              </w:rPr>
            </w:pPr>
            <w:r w:rsidRPr="00950B90">
              <w:rPr>
                <w:rFonts w:ascii="Arial" w:hAnsi="Arial" w:cs="Arial"/>
              </w:rPr>
              <w:t>22,7</w:t>
            </w:r>
          </w:p>
        </w:tc>
      </w:tr>
    </w:tbl>
    <w:p w:rsidR="00D849AA" w:rsidRDefault="00D849AA">
      <w:pPr>
        <w:jc w:val="left"/>
      </w:pPr>
    </w:p>
    <w:p w:rsidR="00D849AA" w:rsidRDefault="00EE6D95">
      <w:pPr>
        <w:pStyle w:val="Normal6"/>
      </w:pPr>
      <w:r>
        <w:t>Projekt Integralni razvoj lokalne zajednice u priobalju obuhvaća obnovu i nadogradnju komunalne infrastrukture sa ciljem  poboljšavanja standarda i kvalitete življenja lokalnog stanovništva, smanjenja neuravnoteženosti u razvoju pojedinih područja uklanjanje i uspostavljanja preduvjeta za održivi gospodarski i društveni razvoj. Zajam je usmjeren na financiranje ograničenih potprojekata u području obnove urbanih naselja, opskrbe vodom i plinom, odvodnje otpadnih voda, odlaganja krutog otpada iz domaćinstava, lokalnih prometnica, obrazovanja i kulturnog nasljeđa. Projekt se financira sredstvima iz Zajma Europske investicijske banke u iznosu 25,2 mil. EUR u nadležnost MRRFEU i sredstvima Državnog proračuna Republike Hrvatske, a ovisno o svojoj ekonomskoj snazi i vrsti potprojekata, pojedine jedinice lokalne samouprave sufinanciraju izvođenje radova u određenom postotku. Glavne komponente projekta su: Projekt komunalne infrastrukture (vodoopskrba, kanalizacijski sustavi, opskrba plinom, cestovna infrastruktura), Projekt gospodarenja otpadom i zaštite okoliša, Projekti u zdravstvu, školstvu i kulturi, Projekt cestogradnje i Projekt urbane i ruralne modernizacije. Ukupno će se realizirati 58 potprojekata. Radi se o potprojektima koji su do ožujka 2012. godine imali pripremljenu svu potrebnu dokumentaciju i bili su spremni za provedbu.</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950B90" w:rsidRDefault="00EE6D95">
            <w:pPr>
              <w:rPr>
                <w:rFonts w:ascii="Arial" w:hAnsi="Arial" w:cs="Arial"/>
              </w:rPr>
            </w:pPr>
            <w:r w:rsidRPr="00950B90">
              <w:rPr>
                <w:rFonts w:ascii="Arial" w:hAnsi="Arial" w:cs="Arial"/>
              </w:rPr>
              <w:t>Pokazatelj rezultata</w:t>
            </w:r>
          </w:p>
        </w:tc>
        <w:tc>
          <w:tcPr>
            <w:tcW w:w="1114" w:type="dxa"/>
            <w:shd w:val="clear" w:color="auto" w:fill="B5C0D8"/>
          </w:tcPr>
          <w:p w:rsidR="00D849AA" w:rsidRPr="00950B90" w:rsidRDefault="00EE6D95">
            <w:pPr>
              <w:pStyle w:val="CellHeader"/>
            </w:pPr>
            <w:r w:rsidRPr="00950B90">
              <w:t>Jedinica</w:t>
            </w:r>
          </w:p>
        </w:tc>
        <w:tc>
          <w:tcPr>
            <w:tcW w:w="1114" w:type="dxa"/>
            <w:shd w:val="clear" w:color="auto" w:fill="B5C0D8"/>
          </w:tcPr>
          <w:p w:rsidR="00D849AA" w:rsidRPr="00950B90" w:rsidRDefault="00EE6D95">
            <w:pPr>
              <w:pStyle w:val="CellHeader"/>
            </w:pPr>
            <w:r w:rsidRPr="00950B90">
              <w:t>Polazna vrijednost</w:t>
            </w:r>
          </w:p>
        </w:tc>
        <w:tc>
          <w:tcPr>
            <w:tcW w:w="1486" w:type="dxa"/>
            <w:shd w:val="clear" w:color="auto" w:fill="B5C0D8"/>
          </w:tcPr>
          <w:p w:rsidR="00D849AA" w:rsidRPr="00950B90" w:rsidRDefault="00EE6D95">
            <w:pPr>
              <w:pStyle w:val="CellHeader"/>
            </w:pPr>
            <w:r w:rsidRPr="00950B90">
              <w:t>Ciljana vrijednost (2014.)</w:t>
            </w:r>
          </w:p>
        </w:tc>
        <w:tc>
          <w:tcPr>
            <w:tcW w:w="1486" w:type="dxa"/>
            <w:shd w:val="clear" w:color="auto" w:fill="B5C0D8"/>
          </w:tcPr>
          <w:p w:rsidR="00D849AA" w:rsidRPr="00950B90" w:rsidRDefault="00EE6D95">
            <w:pPr>
              <w:pStyle w:val="CellHeader"/>
            </w:pPr>
            <w:r w:rsidRPr="00950B90">
              <w:t>Ciljana vrijednost (2015.)</w:t>
            </w:r>
          </w:p>
        </w:tc>
        <w:tc>
          <w:tcPr>
            <w:tcW w:w="1486" w:type="dxa"/>
            <w:shd w:val="clear" w:color="auto" w:fill="B5C0D8"/>
          </w:tcPr>
          <w:p w:rsidR="00D849AA" w:rsidRPr="00950B90" w:rsidRDefault="00EE6D95">
            <w:pPr>
              <w:pStyle w:val="CellHeader"/>
            </w:pPr>
            <w:r w:rsidRPr="00950B90">
              <w:t>Ciljana vrijednost (2016.)</w:t>
            </w:r>
          </w:p>
        </w:tc>
      </w:tr>
      <w:tr w:rsidR="00D849AA">
        <w:trPr>
          <w:jc w:val="center"/>
        </w:trPr>
        <w:tc>
          <w:tcPr>
            <w:tcW w:w="2229" w:type="dxa"/>
          </w:tcPr>
          <w:p w:rsidR="00D849AA" w:rsidRPr="00950B90" w:rsidRDefault="00EE6D95">
            <w:pPr>
              <w:pStyle w:val="CellColumn"/>
            </w:pPr>
            <w:r w:rsidRPr="00950B90">
              <w:t>Broj izgrađenih objekata komunalne i društvene infrastrukture</w:t>
            </w:r>
          </w:p>
        </w:tc>
        <w:tc>
          <w:tcPr>
            <w:tcW w:w="1114" w:type="dxa"/>
          </w:tcPr>
          <w:p w:rsidR="00D849AA" w:rsidRPr="00950B90" w:rsidRDefault="00EE6D95">
            <w:pPr>
              <w:rPr>
                <w:rFonts w:ascii="Arial" w:hAnsi="Arial" w:cs="Arial"/>
              </w:rPr>
            </w:pPr>
            <w:r w:rsidRPr="00950B90">
              <w:rPr>
                <w:rFonts w:ascii="Arial" w:hAnsi="Arial" w:cs="Arial"/>
              </w:rPr>
              <w:t>broj</w:t>
            </w:r>
          </w:p>
        </w:tc>
        <w:tc>
          <w:tcPr>
            <w:tcW w:w="1114" w:type="dxa"/>
          </w:tcPr>
          <w:p w:rsidR="00D849AA" w:rsidRPr="00950B90" w:rsidRDefault="00EE6D95">
            <w:pPr>
              <w:rPr>
                <w:rFonts w:ascii="Arial" w:hAnsi="Arial" w:cs="Arial"/>
              </w:rPr>
            </w:pPr>
            <w:r w:rsidRPr="00950B90">
              <w:rPr>
                <w:rFonts w:ascii="Arial" w:hAnsi="Arial" w:cs="Arial"/>
              </w:rPr>
              <w:t>53</w:t>
            </w:r>
          </w:p>
        </w:tc>
        <w:tc>
          <w:tcPr>
            <w:tcW w:w="1486" w:type="dxa"/>
          </w:tcPr>
          <w:p w:rsidR="00D849AA" w:rsidRPr="00950B90" w:rsidRDefault="00EE6D95">
            <w:pPr>
              <w:rPr>
                <w:rFonts w:ascii="Arial" w:hAnsi="Arial" w:cs="Arial"/>
              </w:rPr>
            </w:pPr>
            <w:r w:rsidRPr="00950B90">
              <w:rPr>
                <w:rFonts w:ascii="Arial" w:hAnsi="Arial" w:cs="Arial"/>
              </w:rPr>
              <w:t>58</w:t>
            </w:r>
          </w:p>
        </w:tc>
        <w:tc>
          <w:tcPr>
            <w:tcW w:w="1486" w:type="dxa"/>
          </w:tcPr>
          <w:p w:rsidR="00D849AA" w:rsidRPr="00950B90" w:rsidRDefault="00EE6D95">
            <w:pPr>
              <w:rPr>
                <w:rFonts w:ascii="Arial" w:hAnsi="Arial" w:cs="Arial"/>
              </w:rPr>
            </w:pPr>
            <w:r w:rsidRPr="00950B90">
              <w:rPr>
                <w:rFonts w:ascii="Arial" w:hAnsi="Arial" w:cs="Arial"/>
              </w:rPr>
              <w:t>0</w:t>
            </w:r>
          </w:p>
        </w:tc>
        <w:tc>
          <w:tcPr>
            <w:tcW w:w="1486" w:type="dxa"/>
          </w:tcPr>
          <w:p w:rsidR="00D849AA" w:rsidRPr="00950B90" w:rsidRDefault="00EE6D95">
            <w:pPr>
              <w:rPr>
                <w:rFonts w:ascii="Arial" w:hAnsi="Arial" w:cs="Arial"/>
              </w:rPr>
            </w:pPr>
            <w:r w:rsidRPr="00950B90">
              <w:rPr>
                <w:rFonts w:ascii="Arial" w:hAnsi="Arial" w:cs="Arial"/>
              </w:rPr>
              <w:t>0</w:t>
            </w:r>
          </w:p>
        </w:tc>
      </w:tr>
    </w:tbl>
    <w:p w:rsidR="00D849AA" w:rsidRDefault="00D849AA">
      <w:pPr>
        <w:jc w:val="left"/>
      </w:pPr>
    </w:p>
    <w:p w:rsidR="00D849AA" w:rsidRDefault="00EE6D95">
      <w:pPr>
        <w:pStyle w:val="Naslov6"/>
      </w:pPr>
      <w:r>
        <w:t>T821032 PROJEKT RAZVOJA OTOKA i PRIOBALJA (EIB III)</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950B90" w:rsidRDefault="00EE6D95">
            <w:pPr>
              <w:pStyle w:val="CellHeader"/>
            </w:pPr>
            <w:r w:rsidRPr="00950B90">
              <w:t>Naziv aktivnosti</w:t>
            </w:r>
          </w:p>
        </w:tc>
        <w:tc>
          <w:tcPr>
            <w:tcW w:w="1486" w:type="dxa"/>
            <w:shd w:val="clear" w:color="auto" w:fill="B5C0D8"/>
          </w:tcPr>
          <w:p w:rsidR="00D849AA" w:rsidRPr="00950B90" w:rsidRDefault="00EE6D95">
            <w:pPr>
              <w:pStyle w:val="CellHeader"/>
            </w:pPr>
            <w:r w:rsidRPr="00950B90">
              <w:t>Plan 2013.</w:t>
            </w:r>
          </w:p>
        </w:tc>
        <w:tc>
          <w:tcPr>
            <w:tcW w:w="1486" w:type="dxa"/>
            <w:shd w:val="clear" w:color="auto" w:fill="B5C0D8"/>
          </w:tcPr>
          <w:p w:rsidR="00D849AA" w:rsidRPr="00950B90" w:rsidRDefault="00EE6D95">
            <w:pPr>
              <w:pStyle w:val="CellHeader"/>
            </w:pPr>
            <w:r w:rsidRPr="00950B90">
              <w:t>Plan 2014.</w:t>
            </w:r>
          </w:p>
        </w:tc>
        <w:tc>
          <w:tcPr>
            <w:tcW w:w="1486" w:type="dxa"/>
            <w:shd w:val="clear" w:color="auto" w:fill="B5C0D8"/>
          </w:tcPr>
          <w:p w:rsidR="00D849AA" w:rsidRPr="00950B90" w:rsidRDefault="00EE6D95">
            <w:pPr>
              <w:pStyle w:val="CellHeader"/>
            </w:pPr>
            <w:r w:rsidRPr="00950B90">
              <w:t>Plan 2015.</w:t>
            </w:r>
          </w:p>
        </w:tc>
        <w:tc>
          <w:tcPr>
            <w:tcW w:w="1486" w:type="dxa"/>
            <w:shd w:val="clear" w:color="auto" w:fill="B5C0D8"/>
          </w:tcPr>
          <w:p w:rsidR="00D849AA" w:rsidRPr="00950B90" w:rsidRDefault="00EE6D95">
            <w:pPr>
              <w:pStyle w:val="CellHeader"/>
            </w:pPr>
            <w:r w:rsidRPr="00950B90">
              <w:t>Plan 2016.</w:t>
            </w:r>
          </w:p>
        </w:tc>
        <w:tc>
          <w:tcPr>
            <w:tcW w:w="1486" w:type="dxa"/>
            <w:shd w:val="clear" w:color="auto" w:fill="B5C0D8"/>
          </w:tcPr>
          <w:p w:rsidR="00D849AA" w:rsidRPr="00950B90" w:rsidRDefault="00EE6D95">
            <w:pPr>
              <w:pStyle w:val="CellHeader"/>
            </w:pPr>
            <w:r w:rsidRPr="00950B90">
              <w:t>Indeks 2014/2013</w:t>
            </w:r>
          </w:p>
        </w:tc>
      </w:tr>
      <w:tr w:rsidR="00D849AA">
        <w:trPr>
          <w:jc w:val="center"/>
        </w:trPr>
        <w:tc>
          <w:tcPr>
            <w:tcW w:w="1486" w:type="dxa"/>
          </w:tcPr>
          <w:p w:rsidR="00D849AA" w:rsidRPr="00950B90" w:rsidRDefault="00EE6D95">
            <w:pPr>
              <w:pStyle w:val="CellColumn"/>
            </w:pPr>
            <w:r w:rsidRPr="00950B90">
              <w:t>T821032</w:t>
            </w:r>
          </w:p>
        </w:tc>
        <w:tc>
          <w:tcPr>
            <w:tcW w:w="1486" w:type="dxa"/>
          </w:tcPr>
          <w:p w:rsidR="00D849AA" w:rsidRPr="00950B90" w:rsidRDefault="00EE6D95">
            <w:pPr>
              <w:rPr>
                <w:rFonts w:ascii="Arial" w:hAnsi="Arial" w:cs="Arial"/>
              </w:rPr>
            </w:pPr>
            <w:r w:rsidRPr="00950B90">
              <w:rPr>
                <w:rFonts w:ascii="Arial" w:hAnsi="Arial" w:cs="Arial"/>
              </w:rPr>
              <w:t>50.000.000</w:t>
            </w:r>
          </w:p>
        </w:tc>
        <w:tc>
          <w:tcPr>
            <w:tcW w:w="1486" w:type="dxa"/>
          </w:tcPr>
          <w:p w:rsidR="00D849AA" w:rsidRPr="00950B90" w:rsidRDefault="00EE6D95">
            <w:pPr>
              <w:rPr>
                <w:rFonts w:ascii="Arial" w:hAnsi="Arial" w:cs="Arial"/>
              </w:rPr>
            </w:pPr>
            <w:r w:rsidRPr="00950B90">
              <w:rPr>
                <w:rFonts w:ascii="Arial" w:hAnsi="Arial" w:cs="Arial"/>
              </w:rPr>
              <w:t>71.000.000</w:t>
            </w:r>
          </w:p>
        </w:tc>
        <w:tc>
          <w:tcPr>
            <w:tcW w:w="1486" w:type="dxa"/>
          </w:tcPr>
          <w:p w:rsidR="00D849AA" w:rsidRPr="00950B90" w:rsidRDefault="00EE6D95">
            <w:pPr>
              <w:rPr>
                <w:rFonts w:ascii="Arial" w:hAnsi="Arial" w:cs="Arial"/>
              </w:rPr>
            </w:pPr>
            <w:r w:rsidRPr="00950B90">
              <w:rPr>
                <w:rFonts w:ascii="Arial" w:hAnsi="Arial" w:cs="Arial"/>
              </w:rPr>
              <w:t>50.000.000</w:t>
            </w:r>
          </w:p>
        </w:tc>
        <w:tc>
          <w:tcPr>
            <w:tcW w:w="1486" w:type="dxa"/>
          </w:tcPr>
          <w:p w:rsidR="00D849AA" w:rsidRPr="00950B90" w:rsidRDefault="00EE6D95">
            <w:pPr>
              <w:rPr>
                <w:rFonts w:ascii="Arial" w:hAnsi="Arial" w:cs="Arial"/>
              </w:rPr>
            </w:pPr>
            <w:r w:rsidRPr="00950B90">
              <w:rPr>
                <w:rFonts w:ascii="Arial" w:hAnsi="Arial" w:cs="Arial"/>
              </w:rPr>
              <w:t>100.000.000</w:t>
            </w:r>
          </w:p>
        </w:tc>
        <w:tc>
          <w:tcPr>
            <w:tcW w:w="1486" w:type="dxa"/>
          </w:tcPr>
          <w:p w:rsidR="00D849AA" w:rsidRPr="00950B90" w:rsidRDefault="00EE6D95">
            <w:pPr>
              <w:rPr>
                <w:rFonts w:ascii="Arial" w:hAnsi="Arial" w:cs="Arial"/>
              </w:rPr>
            </w:pPr>
            <w:r w:rsidRPr="00950B90">
              <w:rPr>
                <w:rFonts w:ascii="Arial" w:hAnsi="Arial" w:cs="Arial"/>
              </w:rPr>
              <w:t>142,0</w:t>
            </w:r>
          </w:p>
        </w:tc>
      </w:tr>
    </w:tbl>
    <w:p w:rsidR="00D849AA" w:rsidRDefault="00D849AA">
      <w:pPr>
        <w:jc w:val="left"/>
      </w:pPr>
    </w:p>
    <w:p w:rsidR="00D849AA" w:rsidRDefault="00EE6D95">
      <w:pPr>
        <w:pStyle w:val="Normal6"/>
      </w:pPr>
      <w:r>
        <w:t xml:space="preserve">Projekt razvoja infrastrukture na otocima i u priobalju (EIB III) odnosi se na poboljšanje životnih uvjeta i standarda lokalnih zajednica na otocima i u priobalju podizanjem kvalitete i dostupnosti komunalne, društvene i prometne infrastrukture, zdravstva, socijalne skrbi, obrazovanja, sporta, kulture, te na kvalitetu i sustavnu skrb ranjivih skupina stanovništva kao i na sustavnu skrb o zaštiti okoliša rješavanjem problema otpadnih voda i zbrinjavanja otpada te poboljšanjem prometne povezanosti kroz obnovu i/ili izgradnju odgovarajuće infrastrukture. Ugovor o financiranju potpisan je 15. rujna 2011. godine između Republike Hrvatske i Europske investicijske banke za otočnu i priobalnu infrastrukturu (Projekt razvoja infrastrukture na otocima i u priobalju) kojim se utvrđuje način podmirivanja financijskih obveza. Razdoblje provedbe Projekta je početak rujna 2011. godina, završetak 2016. godine, a rok korištenja zajma je 30. srpnja 2015. godine. Ukupni troškovi Projekta procijenjeni su na 50 mil. eura bez PDV-a (Ministarstvo regionalnoga razvoja i fondova Europske unije zajedno s Europskom investicijskom bankom); 25 mil. eura financirat će Europska investicijska banka, 25 mil. eura uvećano za sva fiskalna davanja financirat će se sredstvima državnog proračuna Republike Hrvatske. Također će i jedinice lokalne samouprave, ovisno o svojim mogućnostima i ugovorenim </w:t>
      </w:r>
      <w:r>
        <w:lastRenderedPageBreak/>
        <w:t>postocima, sudjelovati u financiranju odabranih potprojekata. Realizacija projekta EIB III pokrenuta je u 2012. godini, te je odabrano 7 potprojekata na otocima za financiranje tijekom 2012. godine (izgradnja sportske dvorane u Smokvici, dogradnja osnovne škole i izgradnja sportske dvorane u Orebiću, završetak izgradnje srednjoškolske dvorane u Supetru, dogradnja i nadogradnja dječjeg vrtića Vis i izgradnja jaslica u Visu, izgradnja jaslica i dječjeg vrtića u Baškoj, izgradnja školske sportske dvorane u Krku, školska sportska dvorana u Grohotama u Šolti). Do kraja prosinca 2012. godine dovršena su dva potprojekta na otocima (Baška i Krk), a realizacija preostalih 5 odabranih potprojekata nastavlja se tijekom 2013. godine.</w:t>
      </w:r>
    </w:p>
    <w:p w:rsidR="00950B90" w:rsidRDefault="00950B90">
      <w:pPr>
        <w:pStyle w:val="Normal6"/>
      </w:pP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950B90" w:rsidRDefault="00EE6D95">
            <w:pPr>
              <w:rPr>
                <w:rFonts w:ascii="Arial" w:hAnsi="Arial" w:cs="Arial"/>
              </w:rPr>
            </w:pPr>
            <w:r w:rsidRPr="00950B90">
              <w:rPr>
                <w:rFonts w:ascii="Arial" w:hAnsi="Arial" w:cs="Arial"/>
              </w:rPr>
              <w:t>Pokazatelj rezultata</w:t>
            </w:r>
          </w:p>
        </w:tc>
        <w:tc>
          <w:tcPr>
            <w:tcW w:w="1114" w:type="dxa"/>
            <w:shd w:val="clear" w:color="auto" w:fill="B5C0D8"/>
          </w:tcPr>
          <w:p w:rsidR="00D849AA" w:rsidRPr="00950B90" w:rsidRDefault="00EE6D95">
            <w:pPr>
              <w:pStyle w:val="CellHeader"/>
            </w:pPr>
            <w:r w:rsidRPr="00950B90">
              <w:t>Jedinica</w:t>
            </w:r>
          </w:p>
        </w:tc>
        <w:tc>
          <w:tcPr>
            <w:tcW w:w="1114" w:type="dxa"/>
            <w:shd w:val="clear" w:color="auto" w:fill="B5C0D8"/>
          </w:tcPr>
          <w:p w:rsidR="00D849AA" w:rsidRPr="00950B90" w:rsidRDefault="00EE6D95">
            <w:pPr>
              <w:pStyle w:val="CellHeader"/>
            </w:pPr>
            <w:r w:rsidRPr="00950B90">
              <w:t>Polazna vrijednost</w:t>
            </w:r>
          </w:p>
        </w:tc>
        <w:tc>
          <w:tcPr>
            <w:tcW w:w="1486" w:type="dxa"/>
            <w:shd w:val="clear" w:color="auto" w:fill="B5C0D8"/>
          </w:tcPr>
          <w:p w:rsidR="00D849AA" w:rsidRPr="00950B90" w:rsidRDefault="00EE6D95">
            <w:pPr>
              <w:pStyle w:val="CellHeader"/>
            </w:pPr>
            <w:r w:rsidRPr="00950B90">
              <w:t>Ciljana vrijednost (2014.)</w:t>
            </w:r>
          </w:p>
        </w:tc>
        <w:tc>
          <w:tcPr>
            <w:tcW w:w="1486" w:type="dxa"/>
            <w:shd w:val="clear" w:color="auto" w:fill="B5C0D8"/>
          </w:tcPr>
          <w:p w:rsidR="00D849AA" w:rsidRPr="00950B90" w:rsidRDefault="00EE6D95">
            <w:pPr>
              <w:pStyle w:val="CellHeader"/>
            </w:pPr>
            <w:r w:rsidRPr="00950B90">
              <w:t>Ciljana vrijednost (2015.)</w:t>
            </w:r>
          </w:p>
        </w:tc>
        <w:tc>
          <w:tcPr>
            <w:tcW w:w="1486" w:type="dxa"/>
            <w:shd w:val="clear" w:color="auto" w:fill="B5C0D8"/>
          </w:tcPr>
          <w:p w:rsidR="00D849AA" w:rsidRPr="00950B90" w:rsidRDefault="00EE6D95">
            <w:pPr>
              <w:pStyle w:val="CellHeader"/>
            </w:pPr>
            <w:r w:rsidRPr="00950B90">
              <w:t>Ciljana vrijednost (2016.)</w:t>
            </w:r>
          </w:p>
        </w:tc>
      </w:tr>
      <w:tr w:rsidR="00D849AA">
        <w:trPr>
          <w:jc w:val="center"/>
        </w:trPr>
        <w:tc>
          <w:tcPr>
            <w:tcW w:w="2229" w:type="dxa"/>
          </w:tcPr>
          <w:p w:rsidR="00D849AA" w:rsidRPr="00950B90" w:rsidRDefault="00EE6D95">
            <w:pPr>
              <w:pStyle w:val="CellColumn"/>
            </w:pPr>
            <w:r w:rsidRPr="00950B90">
              <w:t>Broj izgrađenih objekata komunalne i društvene infrastrukture</w:t>
            </w:r>
          </w:p>
        </w:tc>
        <w:tc>
          <w:tcPr>
            <w:tcW w:w="1114" w:type="dxa"/>
          </w:tcPr>
          <w:p w:rsidR="00D849AA" w:rsidRPr="00950B90" w:rsidRDefault="00EE6D95">
            <w:pPr>
              <w:rPr>
                <w:rFonts w:ascii="Arial" w:hAnsi="Arial" w:cs="Arial"/>
              </w:rPr>
            </w:pPr>
            <w:r w:rsidRPr="00950B90">
              <w:rPr>
                <w:rFonts w:ascii="Arial" w:hAnsi="Arial" w:cs="Arial"/>
              </w:rPr>
              <w:t>broj</w:t>
            </w:r>
          </w:p>
        </w:tc>
        <w:tc>
          <w:tcPr>
            <w:tcW w:w="1114" w:type="dxa"/>
          </w:tcPr>
          <w:p w:rsidR="00D849AA" w:rsidRPr="00950B90" w:rsidRDefault="00EE6D95">
            <w:pPr>
              <w:rPr>
                <w:rFonts w:ascii="Arial" w:hAnsi="Arial" w:cs="Arial"/>
              </w:rPr>
            </w:pPr>
            <w:r w:rsidRPr="00950B90">
              <w:rPr>
                <w:rFonts w:ascii="Arial" w:hAnsi="Arial" w:cs="Arial"/>
              </w:rPr>
              <w:t>8</w:t>
            </w:r>
          </w:p>
        </w:tc>
        <w:tc>
          <w:tcPr>
            <w:tcW w:w="1486" w:type="dxa"/>
          </w:tcPr>
          <w:p w:rsidR="00D849AA" w:rsidRPr="00950B90" w:rsidRDefault="00EE6D95">
            <w:pPr>
              <w:rPr>
                <w:rFonts w:ascii="Arial" w:hAnsi="Arial" w:cs="Arial"/>
              </w:rPr>
            </w:pPr>
            <w:r w:rsidRPr="00950B90">
              <w:rPr>
                <w:rFonts w:ascii="Arial" w:hAnsi="Arial" w:cs="Arial"/>
              </w:rPr>
              <w:t>18</w:t>
            </w:r>
          </w:p>
        </w:tc>
        <w:tc>
          <w:tcPr>
            <w:tcW w:w="1486" w:type="dxa"/>
          </w:tcPr>
          <w:p w:rsidR="00D849AA" w:rsidRPr="00950B90" w:rsidRDefault="00EE6D95">
            <w:pPr>
              <w:rPr>
                <w:rFonts w:ascii="Arial" w:hAnsi="Arial" w:cs="Arial"/>
              </w:rPr>
            </w:pPr>
            <w:r w:rsidRPr="00950B90">
              <w:rPr>
                <w:rFonts w:ascii="Arial" w:hAnsi="Arial" w:cs="Arial"/>
              </w:rPr>
              <w:t>19</w:t>
            </w:r>
          </w:p>
        </w:tc>
        <w:tc>
          <w:tcPr>
            <w:tcW w:w="1486" w:type="dxa"/>
          </w:tcPr>
          <w:p w:rsidR="00D849AA" w:rsidRPr="00950B90" w:rsidRDefault="00EE6D95">
            <w:pPr>
              <w:rPr>
                <w:rFonts w:ascii="Arial" w:hAnsi="Arial" w:cs="Arial"/>
              </w:rPr>
            </w:pPr>
            <w:r w:rsidRPr="00950B90">
              <w:rPr>
                <w:rFonts w:ascii="Arial" w:hAnsi="Arial" w:cs="Arial"/>
              </w:rPr>
              <w:t>22</w:t>
            </w:r>
          </w:p>
        </w:tc>
      </w:tr>
    </w:tbl>
    <w:p w:rsidR="00D849AA" w:rsidRDefault="00D849AA">
      <w:pPr>
        <w:jc w:val="left"/>
      </w:pPr>
    </w:p>
    <w:p w:rsidR="00337A23" w:rsidRDefault="00337A23" w:rsidP="00337A23">
      <w:pPr>
        <w:pStyle w:val="Naslov4"/>
      </w:pPr>
      <w:r>
        <w:t>OBRAZLOŽENJE PROGRAMA</w:t>
      </w:r>
    </w:p>
    <w:p w:rsidR="00D849AA" w:rsidRDefault="00337A23">
      <w:pPr>
        <w:pStyle w:val="Naslov5"/>
      </w:pPr>
      <w:r>
        <w:t>4</w:t>
      </w:r>
      <w:r w:rsidR="00EE6D95">
        <w:t>012 POBOLJŠANJE ŽIVOTNIH UVJETA STANOVNIŠTVA OTOKA I PRIOBALJA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950B90" w:rsidRDefault="00D849AA">
            <w:pPr>
              <w:pStyle w:val="CellHeader"/>
            </w:pPr>
          </w:p>
        </w:tc>
        <w:tc>
          <w:tcPr>
            <w:tcW w:w="1486" w:type="dxa"/>
            <w:shd w:val="clear" w:color="auto" w:fill="B5C0D8"/>
          </w:tcPr>
          <w:p w:rsidR="00D849AA" w:rsidRPr="00950B90" w:rsidRDefault="00EE6D95">
            <w:pPr>
              <w:pStyle w:val="CellHeader"/>
            </w:pPr>
            <w:r w:rsidRPr="00950B90">
              <w:t>Plan 2013.</w:t>
            </w:r>
          </w:p>
        </w:tc>
        <w:tc>
          <w:tcPr>
            <w:tcW w:w="1486" w:type="dxa"/>
            <w:shd w:val="clear" w:color="auto" w:fill="B5C0D8"/>
          </w:tcPr>
          <w:p w:rsidR="00D849AA" w:rsidRPr="00950B90" w:rsidRDefault="00EE6D95">
            <w:pPr>
              <w:pStyle w:val="CellHeader"/>
            </w:pPr>
            <w:r w:rsidRPr="00950B90">
              <w:t>Plan 2014.</w:t>
            </w:r>
          </w:p>
        </w:tc>
        <w:tc>
          <w:tcPr>
            <w:tcW w:w="1486" w:type="dxa"/>
            <w:shd w:val="clear" w:color="auto" w:fill="B5C0D8"/>
          </w:tcPr>
          <w:p w:rsidR="00D849AA" w:rsidRPr="00950B90" w:rsidRDefault="00EE6D95">
            <w:pPr>
              <w:pStyle w:val="CellHeader"/>
            </w:pPr>
            <w:r w:rsidRPr="00950B90">
              <w:t>Plan 2015.</w:t>
            </w:r>
          </w:p>
        </w:tc>
        <w:tc>
          <w:tcPr>
            <w:tcW w:w="1486" w:type="dxa"/>
            <w:shd w:val="clear" w:color="auto" w:fill="B5C0D8"/>
          </w:tcPr>
          <w:p w:rsidR="00D849AA" w:rsidRPr="00950B90" w:rsidRDefault="00EE6D95">
            <w:pPr>
              <w:pStyle w:val="CellHeader"/>
            </w:pPr>
            <w:r w:rsidRPr="00950B90">
              <w:t>Plan 2016.</w:t>
            </w:r>
          </w:p>
        </w:tc>
        <w:tc>
          <w:tcPr>
            <w:tcW w:w="1486" w:type="dxa"/>
            <w:shd w:val="clear" w:color="auto" w:fill="B5C0D8"/>
          </w:tcPr>
          <w:p w:rsidR="00D849AA" w:rsidRPr="00950B90" w:rsidRDefault="00EE6D95">
            <w:pPr>
              <w:pStyle w:val="CellHeader"/>
            </w:pPr>
            <w:r w:rsidRPr="00950B90">
              <w:t>Indeks 2014/2013</w:t>
            </w:r>
          </w:p>
        </w:tc>
      </w:tr>
      <w:tr w:rsidR="00D849AA">
        <w:trPr>
          <w:jc w:val="center"/>
        </w:trPr>
        <w:tc>
          <w:tcPr>
            <w:tcW w:w="1486" w:type="dxa"/>
          </w:tcPr>
          <w:p w:rsidR="00D849AA" w:rsidRPr="00950B90" w:rsidRDefault="00EE6D95">
            <w:pPr>
              <w:pStyle w:val="CellColumn"/>
            </w:pPr>
            <w:r w:rsidRPr="00950B90">
              <w:t>4012</w:t>
            </w:r>
          </w:p>
        </w:tc>
        <w:tc>
          <w:tcPr>
            <w:tcW w:w="1486" w:type="dxa"/>
          </w:tcPr>
          <w:p w:rsidR="00D849AA" w:rsidRPr="00950B90" w:rsidRDefault="00EE6D95">
            <w:pPr>
              <w:rPr>
                <w:rFonts w:ascii="Arial" w:hAnsi="Arial" w:cs="Arial"/>
              </w:rPr>
            </w:pPr>
            <w:r w:rsidRPr="00950B90">
              <w:rPr>
                <w:rFonts w:ascii="Arial" w:hAnsi="Arial" w:cs="Arial"/>
              </w:rPr>
              <w:t>37.400.000</w:t>
            </w:r>
          </w:p>
        </w:tc>
        <w:tc>
          <w:tcPr>
            <w:tcW w:w="1486" w:type="dxa"/>
          </w:tcPr>
          <w:p w:rsidR="00D849AA" w:rsidRPr="00950B90" w:rsidRDefault="00EE6D95">
            <w:pPr>
              <w:rPr>
                <w:rFonts w:ascii="Arial" w:hAnsi="Arial" w:cs="Arial"/>
              </w:rPr>
            </w:pPr>
            <w:r w:rsidRPr="00950B90">
              <w:rPr>
                <w:rFonts w:ascii="Arial" w:hAnsi="Arial" w:cs="Arial"/>
              </w:rPr>
              <w:t>41.500.000</w:t>
            </w:r>
          </w:p>
        </w:tc>
        <w:tc>
          <w:tcPr>
            <w:tcW w:w="1486" w:type="dxa"/>
          </w:tcPr>
          <w:p w:rsidR="00D849AA" w:rsidRPr="00950B90" w:rsidRDefault="00EE6D95">
            <w:pPr>
              <w:rPr>
                <w:rFonts w:ascii="Arial" w:hAnsi="Arial" w:cs="Arial"/>
              </w:rPr>
            </w:pPr>
            <w:r w:rsidRPr="00950B90">
              <w:rPr>
                <w:rFonts w:ascii="Arial" w:hAnsi="Arial" w:cs="Arial"/>
              </w:rPr>
              <w:t>41.500.000</w:t>
            </w:r>
          </w:p>
        </w:tc>
        <w:tc>
          <w:tcPr>
            <w:tcW w:w="1486" w:type="dxa"/>
          </w:tcPr>
          <w:p w:rsidR="00D849AA" w:rsidRPr="00950B90" w:rsidRDefault="00EE6D95">
            <w:pPr>
              <w:rPr>
                <w:rFonts w:ascii="Arial" w:hAnsi="Arial" w:cs="Arial"/>
              </w:rPr>
            </w:pPr>
            <w:r w:rsidRPr="00950B90">
              <w:rPr>
                <w:rFonts w:ascii="Arial" w:hAnsi="Arial" w:cs="Arial"/>
              </w:rPr>
              <w:t>41.500.000</w:t>
            </w:r>
          </w:p>
        </w:tc>
        <w:tc>
          <w:tcPr>
            <w:tcW w:w="1486" w:type="dxa"/>
          </w:tcPr>
          <w:p w:rsidR="00D849AA" w:rsidRPr="00950B90" w:rsidRDefault="00EE6D95">
            <w:pPr>
              <w:rPr>
                <w:rFonts w:ascii="Arial" w:hAnsi="Arial" w:cs="Arial"/>
              </w:rPr>
            </w:pPr>
            <w:r w:rsidRPr="00950B90">
              <w:rPr>
                <w:rFonts w:ascii="Arial" w:hAnsi="Arial" w:cs="Arial"/>
              </w:rPr>
              <w:t>111,0</w:t>
            </w:r>
          </w:p>
        </w:tc>
      </w:tr>
    </w:tbl>
    <w:p w:rsidR="00D849AA" w:rsidRDefault="00D849AA">
      <w:pPr>
        <w:jc w:val="left"/>
      </w:pPr>
    </w:p>
    <w:p w:rsidR="00D849AA" w:rsidRDefault="00EE6D95">
      <w:pPr>
        <w:pStyle w:val="Naslov6"/>
      </w:pPr>
      <w:r>
        <w:t>Opis programa</w:t>
      </w:r>
    </w:p>
    <w:p w:rsidR="00D849AA" w:rsidRDefault="00EE6D95">
      <w:pPr>
        <w:pStyle w:val="Normal5"/>
      </w:pPr>
      <w:r>
        <w:t xml:space="preserve">Sukladno članku 10. Zakona o otocima i Pravilniku o uvjetima, kriterijima i načinu ostvarivanja prava na besplatni javni otočni cestovni prijevoz (Narodne novine, broj  82/07, 35/11) provodi se mjera korištenja besplatnog javnog otočnog cestovnog prijevoza za učenike, studente, umirovljenike i osobe starije od 65 godina koji imaju prebivalište na otocima. Time se omogućava smanjenje troškova prijevoza otočnog stanovništva, što za posljedicu ima bolju mobilnost otočnog stanovništva te bolju povezanost mjesta na otoku i unaprjeđenje unutar-otočnog cestovnog prijevoza. Najveći učinak ove mjere odražava se na otočne obitelji sa školskom djecom, jer sad, zbog smanjena troškova prijevoza, većina učenika se svakodnevno vraća svojim obiteljima u mjestima na otocima, za razliku od prije kada su mnogi već u osnovnoj školi odlazili u veća mjesta i gradove izvan otoka (zbog visokih troškova prijevoza i neodgovarajuće usluge) što je dodatno utjecalo na povećanje iseljavanja s otoka.Temeljem članka 33. Zakona o otocima subvencionira se cijena vode na otocima tako da domaćinstva čiji članovi imaju prebivalište na otoku, a opskrbljuju se vodom vodonoscem ili cestovnim vozilom, plaćaju vodu, do 20 m3 mjesečno, odnosno do 150 m3 ukupne godišnje potrošnje po domaćinstvu, po cijeni koja je jednaka prosječnoj cijeni isporuke vode u matičnoj obalno-otočnoj županiji. Na taj način nastoji se smanjiti troškove vodoopskrbe otočnog stanovništva i </w:t>
      </w:r>
      <w:r>
        <w:lastRenderedPageBreak/>
        <w:t>ujednačiti ih s cijenama na kopnu. Sredstva se odobravaju otočnim komunalnim poduzećima u svrhu provođenja spomenute zakonske odredbe.</w:t>
      </w:r>
    </w:p>
    <w:p w:rsidR="00D849AA" w:rsidRDefault="00EE6D95">
      <w:pPr>
        <w:pStyle w:val="Naslov6"/>
      </w:pPr>
      <w:r>
        <w:t>Zakonske i druge pravne osnove</w:t>
      </w:r>
    </w:p>
    <w:p w:rsidR="00D849AA" w:rsidRDefault="00EE6D95">
      <w:pPr>
        <w:pStyle w:val="Normal5"/>
      </w:pPr>
      <w:r>
        <w:t xml:space="preserve">1. Nacionalni program razvitka otoka (1997.); </w:t>
      </w:r>
    </w:p>
    <w:p w:rsidR="00D849AA" w:rsidRDefault="00EE6D95">
      <w:pPr>
        <w:pStyle w:val="Normal5"/>
      </w:pPr>
      <w:r>
        <w:t xml:space="preserve">2. Zakon o otocima (Narodne novine, broj 34/99, 149/99, 32/02, 33/06);  </w:t>
      </w:r>
    </w:p>
    <w:p w:rsidR="00D849AA" w:rsidRDefault="00EE6D95">
      <w:pPr>
        <w:pStyle w:val="Normal5"/>
      </w:pPr>
      <w:r>
        <w:t>3. Pravilnik o uvjetima, kriterijima i načinu ostvarivanja prava na besplatni javni otočni cestovni prijevoz (Narodne novine, broj 82/07, 35/11).</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Cilj 1. Održivi razvoj otoka</w:t>
      </w:r>
    </w:p>
    <w:p w:rsidR="00D849AA" w:rsidRDefault="00EE6D95">
      <w:pPr>
        <w:pStyle w:val="Normal6"/>
      </w:pPr>
      <w:r>
        <w:t>Provedbom ovog cilja nastoji se dodatno poboljšati životne uvjete stanovništva na otocima i u priobalju kroz smanjene životnih troškova, što će utjecati na smanjenje migriranja u područja gdje su troškovi života niži a što u konačnici može rezultirati porastom broja stanovnika, te razvojem gospodarstva na navedenom području.</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950B90" w:rsidRDefault="00EE6D95">
            <w:pPr>
              <w:rPr>
                <w:rFonts w:ascii="Arial" w:hAnsi="Arial" w:cs="Arial"/>
              </w:rPr>
            </w:pPr>
            <w:r w:rsidRPr="00950B90">
              <w:rPr>
                <w:rFonts w:ascii="Arial" w:hAnsi="Arial" w:cs="Arial"/>
              </w:rPr>
              <w:t>Pokazatelj učinka</w:t>
            </w:r>
          </w:p>
        </w:tc>
        <w:tc>
          <w:tcPr>
            <w:tcW w:w="1114" w:type="dxa"/>
            <w:shd w:val="clear" w:color="auto" w:fill="B5C0D8"/>
          </w:tcPr>
          <w:p w:rsidR="00D849AA" w:rsidRPr="00950B90" w:rsidRDefault="00EE6D95">
            <w:pPr>
              <w:pStyle w:val="CellHeader"/>
            </w:pPr>
            <w:r w:rsidRPr="00950B90">
              <w:t>Jedinica</w:t>
            </w:r>
          </w:p>
        </w:tc>
        <w:tc>
          <w:tcPr>
            <w:tcW w:w="1114" w:type="dxa"/>
            <w:shd w:val="clear" w:color="auto" w:fill="B5C0D8"/>
          </w:tcPr>
          <w:p w:rsidR="00D849AA" w:rsidRPr="00950B90" w:rsidRDefault="00EE6D95">
            <w:pPr>
              <w:pStyle w:val="CellHeader"/>
            </w:pPr>
            <w:r w:rsidRPr="00950B90">
              <w:t>Polazna vrijednost</w:t>
            </w:r>
          </w:p>
        </w:tc>
        <w:tc>
          <w:tcPr>
            <w:tcW w:w="1486" w:type="dxa"/>
            <w:shd w:val="clear" w:color="auto" w:fill="B5C0D8"/>
          </w:tcPr>
          <w:p w:rsidR="00D849AA" w:rsidRPr="00950B90" w:rsidRDefault="00EE6D95">
            <w:pPr>
              <w:pStyle w:val="CellHeader"/>
            </w:pPr>
            <w:r w:rsidRPr="00950B90">
              <w:t>Ciljana vrijednost (2014.)</w:t>
            </w:r>
          </w:p>
        </w:tc>
        <w:tc>
          <w:tcPr>
            <w:tcW w:w="1486" w:type="dxa"/>
            <w:shd w:val="clear" w:color="auto" w:fill="B5C0D8"/>
          </w:tcPr>
          <w:p w:rsidR="00D849AA" w:rsidRPr="00950B90" w:rsidRDefault="00EE6D95">
            <w:pPr>
              <w:pStyle w:val="CellHeader"/>
            </w:pPr>
            <w:r w:rsidRPr="00950B90">
              <w:t>Ciljana vrijednost (2015.)</w:t>
            </w:r>
          </w:p>
        </w:tc>
        <w:tc>
          <w:tcPr>
            <w:tcW w:w="1486" w:type="dxa"/>
            <w:shd w:val="clear" w:color="auto" w:fill="B5C0D8"/>
          </w:tcPr>
          <w:p w:rsidR="00D849AA" w:rsidRPr="00950B90" w:rsidRDefault="00EE6D95">
            <w:pPr>
              <w:pStyle w:val="CellHeader"/>
            </w:pPr>
            <w:r w:rsidRPr="00950B90">
              <w:t>Ciljana vrijednost (2016.)</w:t>
            </w:r>
          </w:p>
        </w:tc>
      </w:tr>
      <w:tr w:rsidR="00D849AA">
        <w:trPr>
          <w:jc w:val="center"/>
        </w:trPr>
        <w:tc>
          <w:tcPr>
            <w:tcW w:w="2229" w:type="dxa"/>
          </w:tcPr>
          <w:p w:rsidR="00D849AA" w:rsidRPr="00950B90" w:rsidRDefault="00EE6D95">
            <w:pPr>
              <w:pStyle w:val="CellColumn"/>
            </w:pPr>
            <w:r w:rsidRPr="00950B90">
              <w:t>Porast broja stanovnika na otocima</w:t>
            </w:r>
          </w:p>
        </w:tc>
        <w:tc>
          <w:tcPr>
            <w:tcW w:w="1114" w:type="dxa"/>
          </w:tcPr>
          <w:p w:rsidR="00D849AA" w:rsidRPr="00950B90" w:rsidRDefault="00EE6D95">
            <w:pPr>
              <w:rPr>
                <w:rFonts w:ascii="Arial" w:hAnsi="Arial" w:cs="Arial"/>
              </w:rPr>
            </w:pPr>
            <w:r w:rsidRPr="00950B90">
              <w:rPr>
                <w:rFonts w:ascii="Arial" w:hAnsi="Arial" w:cs="Arial"/>
              </w:rPr>
              <w:t>broj</w:t>
            </w:r>
          </w:p>
        </w:tc>
        <w:tc>
          <w:tcPr>
            <w:tcW w:w="1114" w:type="dxa"/>
          </w:tcPr>
          <w:p w:rsidR="00D849AA" w:rsidRPr="00950B90" w:rsidRDefault="00EE6D95">
            <w:pPr>
              <w:rPr>
                <w:rFonts w:ascii="Arial" w:hAnsi="Arial" w:cs="Arial"/>
              </w:rPr>
            </w:pPr>
            <w:r w:rsidRPr="00950B90">
              <w:rPr>
                <w:rFonts w:ascii="Arial" w:hAnsi="Arial" w:cs="Arial"/>
              </w:rPr>
              <w:t>131.407</w:t>
            </w:r>
          </w:p>
        </w:tc>
        <w:tc>
          <w:tcPr>
            <w:tcW w:w="1486" w:type="dxa"/>
          </w:tcPr>
          <w:p w:rsidR="00D849AA" w:rsidRPr="00950B90" w:rsidRDefault="00EE6D95">
            <w:pPr>
              <w:rPr>
                <w:rFonts w:ascii="Arial" w:hAnsi="Arial" w:cs="Arial"/>
              </w:rPr>
            </w:pPr>
            <w:r w:rsidRPr="00950B90">
              <w:rPr>
                <w:rFonts w:ascii="Arial" w:hAnsi="Arial" w:cs="Arial"/>
              </w:rPr>
              <w:t>131.407</w:t>
            </w:r>
          </w:p>
        </w:tc>
        <w:tc>
          <w:tcPr>
            <w:tcW w:w="1486" w:type="dxa"/>
          </w:tcPr>
          <w:p w:rsidR="00D849AA" w:rsidRPr="00950B90" w:rsidRDefault="00EE6D95">
            <w:pPr>
              <w:rPr>
                <w:rFonts w:ascii="Arial" w:hAnsi="Arial" w:cs="Arial"/>
              </w:rPr>
            </w:pPr>
            <w:r w:rsidRPr="00950B90">
              <w:rPr>
                <w:rFonts w:ascii="Arial" w:hAnsi="Arial" w:cs="Arial"/>
              </w:rPr>
              <w:t>131.407</w:t>
            </w:r>
          </w:p>
        </w:tc>
        <w:tc>
          <w:tcPr>
            <w:tcW w:w="1486" w:type="dxa"/>
          </w:tcPr>
          <w:p w:rsidR="00D849AA" w:rsidRPr="00950B90" w:rsidRDefault="00EE6D95">
            <w:pPr>
              <w:rPr>
                <w:rFonts w:ascii="Arial" w:hAnsi="Arial" w:cs="Arial"/>
              </w:rPr>
            </w:pPr>
            <w:r w:rsidRPr="00950B90">
              <w:rPr>
                <w:rFonts w:ascii="Arial" w:hAnsi="Arial" w:cs="Arial"/>
              </w:rPr>
              <w:t>131.407</w:t>
            </w:r>
          </w:p>
        </w:tc>
      </w:tr>
    </w:tbl>
    <w:p w:rsidR="00D849AA" w:rsidRDefault="00D849AA">
      <w:pPr>
        <w:jc w:val="left"/>
      </w:pPr>
    </w:p>
    <w:p w:rsidR="00D849AA" w:rsidRDefault="00EE6D95">
      <w:pPr>
        <w:pStyle w:val="Naslov5"/>
      </w:pPr>
      <w:r>
        <w:t>Procjena i ishodište potrebnih sredstava za značajnije aktivnosti/projekte</w:t>
      </w:r>
    </w:p>
    <w:p w:rsidR="00D849AA" w:rsidRDefault="00EE6D95">
      <w:pPr>
        <w:pStyle w:val="Naslov6"/>
      </w:pPr>
      <w:r>
        <w:t>A570352 POTICANJE OTOČNOG JAVNOG CESTOVNOG PRIJEVOZA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950B90" w:rsidRDefault="00EE6D95">
            <w:pPr>
              <w:pStyle w:val="CellHeader"/>
            </w:pPr>
            <w:r w:rsidRPr="00950B90">
              <w:t>Naziv aktivnosti</w:t>
            </w:r>
          </w:p>
        </w:tc>
        <w:tc>
          <w:tcPr>
            <w:tcW w:w="1486" w:type="dxa"/>
            <w:shd w:val="clear" w:color="auto" w:fill="B5C0D8"/>
          </w:tcPr>
          <w:p w:rsidR="00D849AA" w:rsidRPr="00950B90" w:rsidRDefault="00EE6D95">
            <w:pPr>
              <w:pStyle w:val="CellHeader"/>
            </w:pPr>
            <w:r w:rsidRPr="00950B90">
              <w:t>Plan 2013.</w:t>
            </w:r>
          </w:p>
        </w:tc>
        <w:tc>
          <w:tcPr>
            <w:tcW w:w="1486" w:type="dxa"/>
            <w:shd w:val="clear" w:color="auto" w:fill="B5C0D8"/>
          </w:tcPr>
          <w:p w:rsidR="00D849AA" w:rsidRPr="00950B90" w:rsidRDefault="00EE6D95">
            <w:pPr>
              <w:pStyle w:val="CellHeader"/>
            </w:pPr>
            <w:r w:rsidRPr="00950B90">
              <w:t>Plan 2014.</w:t>
            </w:r>
          </w:p>
        </w:tc>
        <w:tc>
          <w:tcPr>
            <w:tcW w:w="1486" w:type="dxa"/>
            <w:shd w:val="clear" w:color="auto" w:fill="B5C0D8"/>
          </w:tcPr>
          <w:p w:rsidR="00D849AA" w:rsidRPr="00950B90" w:rsidRDefault="00EE6D95">
            <w:pPr>
              <w:pStyle w:val="CellHeader"/>
            </w:pPr>
            <w:r w:rsidRPr="00950B90">
              <w:t>Plan 2015.</w:t>
            </w:r>
          </w:p>
        </w:tc>
        <w:tc>
          <w:tcPr>
            <w:tcW w:w="1486" w:type="dxa"/>
            <w:shd w:val="clear" w:color="auto" w:fill="B5C0D8"/>
          </w:tcPr>
          <w:p w:rsidR="00D849AA" w:rsidRPr="00950B90" w:rsidRDefault="00EE6D95">
            <w:pPr>
              <w:pStyle w:val="CellHeader"/>
            </w:pPr>
            <w:r w:rsidRPr="00950B90">
              <w:t>Plan 2016.</w:t>
            </w:r>
          </w:p>
        </w:tc>
        <w:tc>
          <w:tcPr>
            <w:tcW w:w="1486" w:type="dxa"/>
            <w:shd w:val="clear" w:color="auto" w:fill="B5C0D8"/>
          </w:tcPr>
          <w:p w:rsidR="00D849AA" w:rsidRPr="00950B90" w:rsidRDefault="00EE6D95">
            <w:pPr>
              <w:pStyle w:val="CellHeader"/>
            </w:pPr>
            <w:r w:rsidRPr="00950B90">
              <w:t>Indeks 2014/2013</w:t>
            </w:r>
          </w:p>
        </w:tc>
      </w:tr>
      <w:tr w:rsidR="00D849AA">
        <w:trPr>
          <w:jc w:val="center"/>
        </w:trPr>
        <w:tc>
          <w:tcPr>
            <w:tcW w:w="1486" w:type="dxa"/>
          </w:tcPr>
          <w:p w:rsidR="00D849AA" w:rsidRPr="00950B90" w:rsidRDefault="00EE6D95">
            <w:pPr>
              <w:pStyle w:val="CellColumn"/>
            </w:pPr>
            <w:r w:rsidRPr="00950B90">
              <w:t>A570352</w:t>
            </w:r>
          </w:p>
        </w:tc>
        <w:tc>
          <w:tcPr>
            <w:tcW w:w="1486" w:type="dxa"/>
          </w:tcPr>
          <w:p w:rsidR="00D849AA" w:rsidRPr="00950B90" w:rsidRDefault="00EE6D95">
            <w:pPr>
              <w:rPr>
                <w:rFonts w:ascii="Arial" w:hAnsi="Arial" w:cs="Arial"/>
              </w:rPr>
            </w:pPr>
            <w:r w:rsidRPr="00950B90">
              <w:rPr>
                <w:rFonts w:ascii="Arial" w:hAnsi="Arial" w:cs="Arial"/>
              </w:rPr>
              <w:t>25.200.000</w:t>
            </w:r>
          </w:p>
        </w:tc>
        <w:tc>
          <w:tcPr>
            <w:tcW w:w="1486" w:type="dxa"/>
          </w:tcPr>
          <w:p w:rsidR="00D849AA" w:rsidRPr="00950B90" w:rsidRDefault="00EE6D95">
            <w:pPr>
              <w:rPr>
                <w:rFonts w:ascii="Arial" w:hAnsi="Arial" w:cs="Arial"/>
              </w:rPr>
            </w:pPr>
            <w:r w:rsidRPr="00950B90">
              <w:rPr>
                <w:rFonts w:ascii="Arial" w:hAnsi="Arial" w:cs="Arial"/>
              </w:rPr>
              <w:t>28.000.000</w:t>
            </w:r>
          </w:p>
        </w:tc>
        <w:tc>
          <w:tcPr>
            <w:tcW w:w="1486" w:type="dxa"/>
          </w:tcPr>
          <w:p w:rsidR="00D849AA" w:rsidRPr="00950B90" w:rsidRDefault="00EE6D95">
            <w:pPr>
              <w:rPr>
                <w:rFonts w:ascii="Arial" w:hAnsi="Arial" w:cs="Arial"/>
              </w:rPr>
            </w:pPr>
            <w:r w:rsidRPr="00950B90">
              <w:rPr>
                <w:rFonts w:ascii="Arial" w:hAnsi="Arial" w:cs="Arial"/>
              </w:rPr>
              <w:t>28.000.000</w:t>
            </w:r>
          </w:p>
        </w:tc>
        <w:tc>
          <w:tcPr>
            <w:tcW w:w="1486" w:type="dxa"/>
          </w:tcPr>
          <w:p w:rsidR="00D849AA" w:rsidRPr="00950B90" w:rsidRDefault="00EE6D95">
            <w:pPr>
              <w:rPr>
                <w:rFonts w:ascii="Arial" w:hAnsi="Arial" w:cs="Arial"/>
              </w:rPr>
            </w:pPr>
            <w:r w:rsidRPr="00950B90">
              <w:rPr>
                <w:rFonts w:ascii="Arial" w:hAnsi="Arial" w:cs="Arial"/>
              </w:rPr>
              <w:t>28.000.000</w:t>
            </w:r>
          </w:p>
        </w:tc>
        <w:tc>
          <w:tcPr>
            <w:tcW w:w="1486" w:type="dxa"/>
          </w:tcPr>
          <w:p w:rsidR="00D849AA" w:rsidRPr="00950B90" w:rsidRDefault="00EE6D95">
            <w:pPr>
              <w:rPr>
                <w:rFonts w:ascii="Arial" w:hAnsi="Arial" w:cs="Arial"/>
              </w:rPr>
            </w:pPr>
            <w:r w:rsidRPr="00950B90">
              <w:rPr>
                <w:rFonts w:ascii="Arial" w:hAnsi="Arial" w:cs="Arial"/>
              </w:rPr>
              <w:t>111,1</w:t>
            </w:r>
          </w:p>
        </w:tc>
      </w:tr>
    </w:tbl>
    <w:p w:rsidR="00D849AA" w:rsidRDefault="00D849AA">
      <w:pPr>
        <w:jc w:val="left"/>
      </w:pPr>
    </w:p>
    <w:p w:rsidR="00D849AA" w:rsidRDefault="00EE6D95">
      <w:pPr>
        <w:pStyle w:val="Normal6"/>
      </w:pPr>
      <w:r>
        <w:t>Aktivnost se provodi sukladno članku 10. Zakona o otocima i Pravilniku o uvjetima, kriterijima i načinu ostvarivanja prava na besplatni javni otočni cestovni prijevoz (Narodne novine, broj  82/07, 35/11) kroz mjere korištenja besplatnog javnog otočnog cestovnog prijevoza za učenike, studente, umirovljenike i osobe starije od 65 godina koji imaju prebivalište na otocima. Time se omogućava smanjenje troškova prijevoza otočnog stanovništva, što za posljedicu ima bolju mobilnost otočnog stanovništva te bolju povezanost mjesta na otoku i unaprjeđenje unutar-otočnog cestovnog prijevoza. Najveći učinak ove mjere odražava se na otočne obitelji sa školskom djecom, jer sad, zbog smanjena troškova prijevoza, većina učenika se svakodnevno vraća svojim obiteljima u mjestima na otocima, za razliku od prije kada su mnogi već u osnovnoj školi odlazili u veća mjesta i gradove izvan otoka (zbog visokih troškova prijevoza i neodgovarajuće usluge) što je dodatno utjecalo na povećanje iseljavanja s otoka.</w:t>
      </w:r>
    </w:p>
    <w:p w:rsidR="00337A23" w:rsidRDefault="00337A23">
      <w:pPr>
        <w:pStyle w:val="Normal6"/>
      </w:pPr>
    </w:p>
    <w:p w:rsidR="00D849AA" w:rsidRDefault="00EE6D95">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950B90" w:rsidRDefault="00EE6D95">
            <w:pPr>
              <w:rPr>
                <w:rFonts w:ascii="Arial" w:hAnsi="Arial" w:cs="Arial"/>
              </w:rPr>
            </w:pPr>
            <w:r w:rsidRPr="00950B90">
              <w:rPr>
                <w:rFonts w:ascii="Arial" w:hAnsi="Arial" w:cs="Arial"/>
              </w:rPr>
              <w:t>Pokazatelj rezultata</w:t>
            </w:r>
          </w:p>
        </w:tc>
        <w:tc>
          <w:tcPr>
            <w:tcW w:w="1114" w:type="dxa"/>
            <w:shd w:val="clear" w:color="auto" w:fill="B5C0D8"/>
          </w:tcPr>
          <w:p w:rsidR="00D849AA" w:rsidRPr="00950B90" w:rsidRDefault="00EE6D95">
            <w:pPr>
              <w:pStyle w:val="CellHeader"/>
            </w:pPr>
            <w:r w:rsidRPr="00950B90">
              <w:t>Jedinica</w:t>
            </w:r>
          </w:p>
        </w:tc>
        <w:tc>
          <w:tcPr>
            <w:tcW w:w="1114" w:type="dxa"/>
            <w:shd w:val="clear" w:color="auto" w:fill="B5C0D8"/>
          </w:tcPr>
          <w:p w:rsidR="00D849AA" w:rsidRPr="00950B90" w:rsidRDefault="00EE6D95">
            <w:pPr>
              <w:pStyle w:val="CellHeader"/>
            </w:pPr>
            <w:r w:rsidRPr="00950B90">
              <w:t>Polazna vrijednost</w:t>
            </w:r>
          </w:p>
        </w:tc>
        <w:tc>
          <w:tcPr>
            <w:tcW w:w="1486" w:type="dxa"/>
            <w:shd w:val="clear" w:color="auto" w:fill="B5C0D8"/>
          </w:tcPr>
          <w:p w:rsidR="00D849AA" w:rsidRPr="00950B90" w:rsidRDefault="00EE6D95">
            <w:pPr>
              <w:pStyle w:val="CellHeader"/>
            </w:pPr>
            <w:r w:rsidRPr="00950B90">
              <w:t>Ciljana vrijednost (2014.)</w:t>
            </w:r>
          </w:p>
        </w:tc>
        <w:tc>
          <w:tcPr>
            <w:tcW w:w="1486" w:type="dxa"/>
            <w:shd w:val="clear" w:color="auto" w:fill="B5C0D8"/>
          </w:tcPr>
          <w:p w:rsidR="00D849AA" w:rsidRPr="00950B90" w:rsidRDefault="00EE6D95">
            <w:pPr>
              <w:pStyle w:val="CellHeader"/>
            </w:pPr>
            <w:r w:rsidRPr="00950B90">
              <w:t>Ciljana vrijednost (2015.)</w:t>
            </w:r>
          </w:p>
        </w:tc>
        <w:tc>
          <w:tcPr>
            <w:tcW w:w="1486" w:type="dxa"/>
            <w:shd w:val="clear" w:color="auto" w:fill="B5C0D8"/>
          </w:tcPr>
          <w:p w:rsidR="00D849AA" w:rsidRPr="00950B90" w:rsidRDefault="00EE6D95">
            <w:pPr>
              <w:pStyle w:val="CellHeader"/>
            </w:pPr>
            <w:r w:rsidRPr="00950B90">
              <w:t>Ciljana vrijednost (2016.)</w:t>
            </w:r>
          </w:p>
        </w:tc>
      </w:tr>
      <w:tr w:rsidR="00D849AA">
        <w:trPr>
          <w:jc w:val="center"/>
        </w:trPr>
        <w:tc>
          <w:tcPr>
            <w:tcW w:w="2229" w:type="dxa"/>
          </w:tcPr>
          <w:p w:rsidR="00D849AA" w:rsidRPr="00950B90" w:rsidRDefault="00EE6D95">
            <w:pPr>
              <w:pStyle w:val="CellColumn"/>
            </w:pPr>
            <w:r w:rsidRPr="00950B90">
              <w:t>Broj otoka na kojima se vrši cestovni javni prijevoz</w:t>
            </w:r>
          </w:p>
        </w:tc>
        <w:tc>
          <w:tcPr>
            <w:tcW w:w="1114" w:type="dxa"/>
          </w:tcPr>
          <w:p w:rsidR="00D849AA" w:rsidRPr="00950B90" w:rsidRDefault="00EE6D95">
            <w:pPr>
              <w:rPr>
                <w:rFonts w:ascii="Arial" w:hAnsi="Arial" w:cs="Arial"/>
              </w:rPr>
            </w:pPr>
            <w:r w:rsidRPr="00950B90">
              <w:rPr>
                <w:rFonts w:ascii="Arial" w:hAnsi="Arial" w:cs="Arial"/>
              </w:rPr>
              <w:t>broj</w:t>
            </w:r>
          </w:p>
        </w:tc>
        <w:tc>
          <w:tcPr>
            <w:tcW w:w="1114" w:type="dxa"/>
          </w:tcPr>
          <w:p w:rsidR="00D849AA" w:rsidRPr="00950B90" w:rsidRDefault="00EE6D95">
            <w:pPr>
              <w:rPr>
                <w:rFonts w:ascii="Arial" w:hAnsi="Arial" w:cs="Arial"/>
              </w:rPr>
            </w:pPr>
            <w:r w:rsidRPr="00950B90">
              <w:rPr>
                <w:rFonts w:ascii="Arial" w:hAnsi="Arial" w:cs="Arial"/>
              </w:rPr>
              <w:t>18</w:t>
            </w:r>
          </w:p>
        </w:tc>
        <w:tc>
          <w:tcPr>
            <w:tcW w:w="1486" w:type="dxa"/>
          </w:tcPr>
          <w:p w:rsidR="00D849AA" w:rsidRPr="00950B90" w:rsidRDefault="00EE6D95">
            <w:pPr>
              <w:rPr>
                <w:rFonts w:ascii="Arial" w:hAnsi="Arial" w:cs="Arial"/>
              </w:rPr>
            </w:pPr>
            <w:r w:rsidRPr="00950B90">
              <w:rPr>
                <w:rFonts w:ascii="Arial" w:hAnsi="Arial" w:cs="Arial"/>
              </w:rPr>
              <w:t>18</w:t>
            </w:r>
          </w:p>
        </w:tc>
        <w:tc>
          <w:tcPr>
            <w:tcW w:w="1486" w:type="dxa"/>
          </w:tcPr>
          <w:p w:rsidR="00D849AA" w:rsidRPr="00950B90" w:rsidRDefault="00EE6D95">
            <w:pPr>
              <w:rPr>
                <w:rFonts w:ascii="Arial" w:hAnsi="Arial" w:cs="Arial"/>
              </w:rPr>
            </w:pPr>
            <w:r w:rsidRPr="00950B90">
              <w:rPr>
                <w:rFonts w:ascii="Arial" w:hAnsi="Arial" w:cs="Arial"/>
              </w:rPr>
              <w:t>18</w:t>
            </w:r>
          </w:p>
        </w:tc>
        <w:tc>
          <w:tcPr>
            <w:tcW w:w="1486" w:type="dxa"/>
          </w:tcPr>
          <w:p w:rsidR="00D849AA" w:rsidRPr="00950B90" w:rsidRDefault="00EE6D95">
            <w:pPr>
              <w:rPr>
                <w:rFonts w:ascii="Arial" w:hAnsi="Arial" w:cs="Arial"/>
              </w:rPr>
            </w:pPr>
            <w:r w:rsidRPr="00950B90">
              <w:rPr>
                <w:rFonts w:ascii="Arial" w:hAnsi="Arial" w:cs="Arial"/>
              </w:rPr>
              <w:t>18</w:t>
            </w:r>
          </w:p>
        </w:tc>
      </w:tr>
    </w:tbl>
    <w:p w:rsidR="00D849AA" w:rsidRDefault="00D849AA">
      <w:pPr>
        <w:jc w:val="left"/>
      </w:pPr>
    </w:p>
    <w:p w:rsidR="00D849AA" w:rsidRDefault="00EE6D95">
      <w:pPr>
        <w:pStyle w:val="Naslov6"/>
      </w:pPr>
      <w:r>
        <w:t>A570354 VODOOPSKRBA JADRANSKIH OTOKA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950B90" w:rsidRDefault="00EE6D95">
            <w:pPr>
              <w:pStyle w:val="CellHeader"/>
            </w:pPr>
            <w:r w:rsidRPr="00950B90">
              <w:t>Naziv aktivnosti</w:t>
            </w:r>
          </w:p>
        </w:tc>
        <w:tc>
          <w:tcPr>
            <w:tcW w:w="1486" w:type="dxa"/>
            <w:shd w:val="clear" w:color="auto" w:fill="B5C0D8"/>
          </w:tcPr>
          <w:p w:rsidR="00D849AA" w:rsidRPr="00950B90" w:rsidRDefault="00EE6D95">
            <w:pPr>
              <w:pStyle w:val="CellHeader"/>
            </w:pPr>
            <w:r w:rsidRPr="00950B90">
              <w:t>Plan 2013.</w:t>
            </w:r>
          </w:p>
        </w:tc>
        <w:tc>
          <w:tcPr>
            <w:tcW w:w="1486" w:type="dxa"/>
            <w:shd w:val="clear" w:color="auto" w:fill="B5C0D8"/>
          </w:tcPr>
          <w:p w:rsidR="00D849AA" w:rsidRPr="00950B90" w:rsidRDefault="00EE6D95">
            <w:pPr>
              <w:pStyle w:val="CellHeader"/>
            </w:pPr>
            <w:r w:rsidRPr="00950B90">
              <w:t>Plan 2014.</w:t>
            </w:r>
          </w:p>
        </w:tc>
        <w:tc>
          <w:tcPr>
            <w:tcW w:w="1486" w:type="dxa"/>
            <w:shd w:val="clear" w:color="auto" w:fill="B5C0D8"/>
          </w:tcPr>
          <w:p w:rsidR="00D849AA" w:rsidRPr="00950B90" w:rsidRDefault="00EE6D95">
            <w:pPr>
              <w:pStyle w:val="CellHeader"/>
            </w:pPr>
            <w:r w:rsidRPr="00950B90">
              <w:t>Plan 2015.</w:t>
            </w:r>
          </w:p>
        </w:tc>
        <w:tc>
          <w:tcPr>
            <w:tcW w:w="1486" w:type="dxa"/>
            <w:shd w:val="clear" w:color="auto" w:fill="B5C0D8"/>
          </w:tcPr>
          <w:p w:rsidR="00D849AA" w:rsidRPr="00950B90" w:rsidRDefault="00EE6D95">
            <w:pPr>
              <w:pStyle w:val="CellHeader"/>
            </w:pPr>
            <w:r w:rsidRPr="00950B90">
              <w:t>Plan 2016.</w:t>
            </w:r>
          </w:p>
        </w:tc>
        <w:tc>
          <w:tcPr>
            <w:tcW w:w="1486" w:type="dxa"/>
            <w:shd w:val="clear" w:color="auto" w:fill="B5C0D8"/>
          </w:tcPr>
          <w:p w:rsidR="00D849AA" w:rsidRPr="00950B90" w:rsidRDefault="00EE6D95">
            <w:pPr>
              <w:pStyle w:val="CellHeader"/>
            </w:pPr>
            <w:r w:rsidRPr="00950B90">
              <w:t>Indeks 2014/2013</w:t>
            </w:r>
          </w:p>
        </w:tc>
      </w:tr>
      <w:tr w:rsidR="00D849AA">
        <w:trPr>
          <w:jc w:val="center"/>
        </w:trPr>
        <w:tc>
          <w:tcPr>
            <w:tcW w:w="1486" w:type="dxa"/>
          </w:tcPr>
          <w:p w:rsidR="00D849AA" w:rsidRPr="00950B90" w:rsidRDefault="00EE6D95">
            <w:pPr>
              <w:pStyle w:val="CellColumn"/>
            </w:pPr>
            <w:r w:rsidRPr="00950B90">
              <w:t>A570354</w:t>
            </w:r>
          </w:p>
        </w:tc>
        <w:tc>
          <w:tcPr>
            <w:tcW w:w="1486" w:type="dxa"/>
          </w:tcPr>
          <w:p w:rsidR="00D849AA" w:rsidRPr="00950B90" w:rsidRDefault="00EE6D95">
            <w:pPr>
              <w:rPr>
                <w:rFonts w:ascii="Arial" w:hAnsi="Arial" w:cs="Arial"/>
              </w:rPr>
            </w:pPr>
            <w:r w:rsidRPr="00950B90">
              <w:rPr>
                <w:rFonts w:ascii="Arial" w:hAnsi="Arial" w:cs="Arial"/>
              </w:rPr>
              <w:t>11.700.000</w:t>
            </w:r>
          </w:p>
        </w:tc>
        <w:tc>
          <w:tcPr>
            <w:tcW w:w="1486" w:type="dxa"/>
          </w:tcPr>
          <w:p w:rsidR="00D849AA" w:rsidRPr="00950B90" w:rsidRDefault="00EE6D95">
            <w:pPr>
              <w:rPr>
                <w:rFonts w:ascii="Arial" w:hAnsi="Arial" w:cs="Arial"/>
              </w:rPr>
            </w:pPr>
            <w:r w:rsidRPr="00950B90">
              <w:rPr>
                <w:rFonts w:ascii="Arial" w:hAnsi="Arial" w:cs="Arial"/>
              </w:rPr>
              <w:t>13.000.000</w:t>
            </w:r>
          </w:p>
        </w:tc>
        <w:tc>
          <w:tcPr>
            <w:tcW w:w="1486" w:type="dxa"/>
          </w:tcPr>
          <w:p w:rsidR="00D849AA" w:rsidRPr="00950B90" w:rsidRDefault="00EE6D95">
            <w:pPr>
              <w:rPr>
                <w:rFonts w:ascii="Arial" w:hAnsi="Arial" w:cs="Arial"/>
              </w:rPr>
            </w:pPr>
            <w:r w:rsidRPr="00950B90">
              <w:rPr>
                <w:rFonts w:ascii="Arial" w:hAnsi="Arial" w:cs="Arial"/>
              </w:rPr>
              <w:t>13.000.000</w:t>
            </w:r>
          </w:p>
        </w:tc>
        <w:tc>
          <w:tcPr>
            <w:tcW w:w="1486" w:type="dxa"/>
          </w:tcPr>
          <w:p w:rsidR="00D849AA" w:rsidRPr="00950B90" w:rsidRDefault="00EE6D95">
            <w:pPr>
              <w:rPr>
                <w:rFonts w:ascii="Arial" w:hAnsi="Arial" w:cs="Arial"/>
              </w:rPr>
            </w:pPr>
            <w:r w:rsidRPr="00950B90">
              <w:rPr>
                <w:rFonts w:ascii="Arial" w:hAnsi="Arial" w:cs="Arial"/>
              </w:rPr>
              <w:t>13.000.000</w:t>
            </w:r>
          </w:p>
        </w:tc>
        <w:tc>
          <w:tcPr>
            <w:tcW w:w="1486" w:type="dxa"/>
          </w:tcPr>
          <w:p w:rsidR="00D849AA" w:rsidRPr="00950B90" w:rsidRDefault="00EE6D95">
            <w:pPr>
              <w:rPr>
                <w:rFonts w:ascii="Arial" w:hAnsi="Arial" w:cs="Arial"/>
              </w:rPr>
            </w:pPr>
            <w:r w:rsidRPr="00950B90">
              <w:rPr>
                <w:rFonts w:ascii="Arial" w:hAnsi="Arial" w:cs="Arial"/>
              </w:rPr>
              <w:t>111,1</w:t>
            </w:r>
          </w:p>
        </w:tc>
      </w:tr>
    </w:tbl>
    <w:p w:rsidR="00D849AA" w:rsidRDefault="00D849AA">
      <w:pPr>
        <w:jc w:val="left"/>
      </w:pPr>
    </w:p>
    <w:p w:rsidR="00D849AA" w:rsidRDefault="00EE6D95">
      <w:pPr>
        <w:pStyle w:val="Normal6"/>
      </w:pPr>
      <w:r>
        <w:t>Aktivnost se provodi temeljem članka 33. Zakona o otocima kojima se subvencionira cijena vode na otocima tako da domaćinstva čiji članovi imaju prebivalište na otoku, a opskrbljuju se vodom vodonoscem ili cestovnim vozilom, plaćaju vodu, do 20 m3 mjesečno, odnosno do 150 m3 ukupne godišnje potrošnje po domaćinstvu, po cijeni koja je jednaka prosječnoj cijeni isporuke vode u matičnoj obalno-otočnoj županiji. Na taj način nastoji se smanjiti troškove vodoopskrbe otočnog stanovništva i ujednačiti ih s cijenama na kopnu. Sredstva se odobravaju otočnim komunalnim poduzećima u svrhu provođenja spomenute zakonske odredbe.</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950B90" w:rsidRDefault="00EE6D95">
            <w:pPr>
              <w:rPr>
                <w:rFonts w:ascii="Arial" w:hAnsi="Arial" w:cs="Arial"/>
              </w:rPr>
            </w:pPr>
            <w:r w:rsidRPr="00950B90">
              <w:rPr>
                <w:rFonts w:ascii="Arial" w:hAnsi="Arial" w:cs="Arial"/>
              </w:rPr>
              <w:t>Pokazatelj rezultata</w:t>
            </w:r>
          </w:p>
        </w:tc>
        <w:tc>
          <w:tcPr>
            <w:tcW w:w="1114" w:type="dxa"/>
            <w:shd w:val="clear" w:color="auto" w:fill="B5C0D8"/>
          </w:tcPr>
          <w:p w:rsidR="00D849AA" w:rsidRPr="00950B90" w:rsidRDefault="00EE6D95">
            <w:pPr>
              <w:pStyle w:val="CellHeader"/>
            </w:pPr>
            <w:r w:rsidRPr="00950B90">
              <w:t>Jedinica</w:t>
            </w:r>
          </w:p>
        </w:tc>
        <w:tc>
          <w:tcPr>
            <w:tcW w:w="1114" w:type="dxa"/>
            <w:shd w:val="clear" w:color="auto" w:fill="B5C0D8"/>
          </w:tcPr>
          <w:p w:rsidR="00D849AA" w:rsidRPr="00950B90" w:rsidRDefault="00EE6D95">
            <w:pPr>
              <w:pStyle w:val="CellHeader"/>
            </w:pPr>
            <w:r w:rsidRPr="00950B90">
              <w:t>Polazna vrijednost</w:t>
            </w:r>
          </w:p>
        </w:tc>
        <w:tc>
          <w:tcPr>
            <w:tcW w:w="1486" w:type="dxa"/>
            <w:shd w:val="clear" w:color="auto" w:fill="B5C0D8"/>
          </w:tcPr>
          <w:p w:rsidR="00D849AA" w:rsidRPr="00950B90" w:rsidRDefault="00EE6D95">
            <w:pPr>
              <w:pStyle w:val="CellHeader"/>
            </w:pPr>
            <w:r w:rsidRPr="00950B90">
              <w:t>Ciljana vrijednost (2014.)</w:t>
            </w:r>
          </w:p>
        </w:tc>
        <w:tc>
          <w:tcPr>
            <w:tcW w:w="1486" w:type="dxa"/>
            <w:shd w:val="clear" w:color="auto" w:fill="B5C0D8"/>
          </w:tcPr>
          <w:p w:rsidR="00D849AA" w:rsidRPr="00950B90" w:rsidRDefault="00EE6D95">
            <w:pPr>
              <w:pStyle w:val="CellHeader"/>
            </w:pPr>
            <w:r w:rsidRPr="00950B90">
              <w:t>Ciljana vrijednost (2015.)</w:t>
            </w:r>
          </w:p>
        </w:tc>
        <w:tc>
          <w:tcPr>
            <w:tcW w:w="1486" w:type="dxa"/>
            <w:shd w:val="clear" w:color="auto" w:fill="B5C0D8"/>
          </w:tcPr>
          <w:p w:rsidR="00D849AA" w:rsidRPr="00950B90" w:rsidRDefault="00EE6D95">
            <w:pPr>
              <w:pStyle w:val="CellHeader"/>
            </w:pPr>
            <w:r w:rsidRPr="00950B90">
              <w:t>Ciljana vrijednost (2016.)</w:t>
            </w:r>
          </w:p>
        </w:tc>
      </w:tr>
      <w:tr w:rsidR="00D849AA">
        <w:trPr>
          <w:jc w:val="center"/>
        </w:trPr>
        <w:tc>
          <w:tcPr>
            <w:tcW w:w="2229" w:type="dxa"/>
          </w:tcPr>
          <w:p w:rsidR="00D849AA" w:rsidRPr="00950B90" w:rsidRDefault="00EE6D95">
            <w:pPr>
              <w:pStyle w:val="CellColumn"/>
            </w:pPr>
            <w:r w:rsidRPr="00950B90">
              <w:t>Broj kućanstava koja se opskrbljuju vodom brodom vodonoscem ili cestovnim vozilom, a nisu spojena na vodoopskrbni sustav</w:t>
            </w:r>
          </w:p>
        </w:tc>
        <w:tc>
          <w:tcPr>
            <w:tcW w:w="1114" w:type="dxa"/>
          </w:tcPr>
          <w:p w:rsidR="00D849AA" w:rsidRPr="00950B90" w:rsidRDefault="00EE6D95">
            <w:pPr>
              <w:rPr>
                <w:rFonts w:ascii="Arial" w:hAnsi="Arial" w:cs="Arial"/>
              </w:rPr>
            </w:pPr>
            <w:r w:rsidRPr="00950B90">
              <w:rPr>
                <w:rFonts w:ascii="Arial" w:hAnsi="Arial" w:cs="Arial"/>
              </w:rPr>
              <w:t>broj</w:t>
            </w:r>
          </w:p>
        </w:tc>
        <w:tc>
          <w:tcPr>
            <w:tcW w:w="1114" w:type="dxa"/>
          </w:tcPr>
          <w:p w:rsidR="00D849AA" w:rsidRPr="00950B90" w:rsidRDefault="00EE6D95">
            <w:pPr>
              <w:rPr>
                <w:rFonts w:ascii="Arial" w:hAnsi="Arial" w:cs="Arial"/>
              </w:rPr>
            </w:pPr>
            <w:r w:rsidRPr="00950B90">
              <w:rPr>
                <w:rFonts w:ascii="Arial" w:hAnsi="Arial" w:cs="Arial"/>
              </w:rPr>
              <w:t>6.187</w:t>
            </w:r>
          </w:p>
        </w:tc>
        <w:tc>
          <w:tcPr>
            <w:tcW w:w="1486" w:type="dxa"/>
          </w:tcPr>
          <w:p w:rsidR="00D849AA" w:rsidRPr="00950B90" w:rsidRDefault="00EE6D95">
            <w:pPr>
              <w:rPr>
                <w:rFonts w:ascii="Arial" w:hAnsi="Arial" w:cs="Arial"/>
              </w:rPr>
            </w:pPr>
            <w:r w:rsidRPr="00950B90">
              <w:rPr>
                <w:rFonts w:ascii="Arial" w:hAnsi="Arial" w:cs="Arial"/>
              </w:rPr>
              <w:t>6.187</w:t>
            </w:r>
          </w:p>
        </w:tc>
        <w:tc>
          <w:tcPr>
            <w:tcW w:w="1486" w:type="dxa"/>
          </w:tcPr>
          <w:p w:rsidR="00D849AA" w:rsidRPr="00950B90" w:rsidRDefault="00EE6D95">
            <w:pPr>
              <w:rPr>
                <w:rFonts w:ascii="Arial" w:hAnsi="Arial" w:cs="Arial"/>
              </w:rPr>
            </w:pPr>
            <w:r w:rsidRPr="00950B90">
              <w:rPr>
                <w:rFonts w:ascii="Arial" w:hAnsi="Arial" w:cs="Arial"/>
              </w:rPr>
              <w:t>6.187</w:t>
            </w:r>
          </w:p>
        </w:tc>
        <w:tc>
          <w:tcPr>
            <w:tcW w:w="1486" w:type="dxa"/>
          </w:tcPr>
          <w:p w:rsidR="00D849AA" w:rsidRPr="00950B90" w:rsidRDefault="00EE6D95">
            <w:pPr>
              <w:rPr>
                <w:rFonts w:ascii="Arial" w:hAnsi="Arial" w:cs="Arial"/>
              </w:rPr>
            </w:pPr>
            <w:r w:rsidRPr="00950B90">
              <w:rPr>
                <w:rFonts w:ascii="Arial" w:hAnsi="Arial" w:cs="Arial"/>
              </w:rPr>
              <w:t>6.187</w:t>
            </w:r>
          </w:p>
        </w:tc>
      </w:tr>
    </w:tbl>
    <w:p w:rsidR="00D849AA" w:rsidRDefault="00D849AA">
      <w:pPr>
        <w:jc w:val="left"/>
      </w:pPr>
    </w:p>
    <w:p w:rsidR="00D849AA" w:rsidRDefault="00EE6D95">
      <w:pPr>
        <w:pStyle w:val="Naslov2"/>
      </w:pPr>
      <w:r>
        <w:t>06120 Agencija za regionalni razvoj Republike Hrvatske</w:t>
      </w:r>
    </w:p>
    <w:p w:rsidR="00D849AA" w:rsidRDefault="00EE6D95">
      <w:pPr>
        <w:pStyle w:val="Naslov4"/>
      </w:pPr>
      <w:r>
        <w:t>Uvod</w:t>
      </w:r>
    </w:p>
    <w:p w:rsidR="00D849AA" w:rsidRDefault="00EE6D95" w:rsidP="00950B90">
      <w:pPr>
        <w:pStyle w:val="Normal3"/>
      </w:pPr>
      <w:r>
        <w:t xml:space="preserve">Agencija za regionalni razvoj Republike Hrvatske osnovana je 24. prosinca 2008. godine Uredbom o osnivanju Agencije za regionalni razvoj Republike Hrvatske (Narodne novine, broj 155/08), kao provedbeno tijelo Ministarstva regionalnog razvoja, šumarstva i vodnoga gospodarstva za financiranje, nabavu, plaćanje i nadzor provedbe projekata regionalne razvojne politike Republike Hrvatske. </w:t>
      </w:r>
    </w:p>
    <w:p w:rsidR="00337A23" w:rsidRDefault="00337A23" w:rsidP="00950B90">
      <w:pPr>
        <w:pStyle w:val="Normal3"/>
      </w:pPr>
    </w:p>
    <w:p w:rsidR="00D849AA" w:rsidRDefault="00EE6D95">
      <w:pPr>
        <w:pStyle w:val="Normal3"/>
      </w:pPr>
      <w:r>
        <w:lastRenderedPageBreak/>
        <w:t>•</w:t>
      </w:r>
      <w:r w:rsidRPr="00950B90">
        <w:rPr>
          <w:b/>
        </w:rPr>
        <w:tab/>
        <w:t>Provedba IPA programa</w:t>
      </w:r>
      <w:r>
        <w:t xml:space="preserve"> </w:t>
      </w:r>
    </w:p>
    <w:p w:rsidR="00D849AA" w:rsidRDefault="00EE6D95">
      <w:pPr>
        <w:pStyle w:val="Normal3"/>
      </w:pPr>
      <w:r>
        <w:t xml:space="preserve">Agencija za regionalni razvoj Republike Hrvatske je akreditirana od strane Europske komisije čime je potvrđena kao provedbeno i ugovarateljno tijelo za IIb IPA komponentu koja uključuje programe prekogranične suradnje Republika Hrvatska-Bosna i Hercegovina, Republika Hrvatska-Crna Gora, Republika Hrvatska-Republika Srbija, te transnacionalne programe Mediteran i Jugoistočna Europa (za alokacije 2007. – 2009.). </w:t>
      </w:r>
    </w:p>
    <w:p w:rsidR="00D849AA" w:rsidRDefault="00EE6D95">
      <w:pPr>
        <w:pStyle w:val="Normal3"/>
      </w:pPr>
      <w:r>
        <w:t xml:space="preserve">Provedba u navedenom kontekstu predstavlja financijsko upravljanje projektima, pripremu i izradu smjernica za natječajne procedure, provođenje postupaka nabave vezano uz prijave projekata za dodjelu sredstava iz pojedinih programa, ocjenjivanje projektnih ideja, odabira projekata kojima će se dodijeliti financijska sredstva, priprema i zaključenje ugovora, vršenje plaćanja prema utvrđenim kriterijima i sklopljenim ugovorima te praćenje tijekova financijskih sredstava. </w:t>
      </w:r>
    </w:p>
    <w:p w:rsidR="00D849AA" w:rsidRDefault="00EE6D95">
      <w:pPr>
        <w:pStyle w:val="Normal3"/>
      </w:pPr>
      <w:r>
        <w:t xml:space="preserve">Za programe prekogranične suradnje s državama članicama EU (Mađarska – Hrvatska, Slovenija – Hrvatska, Adriatic) te transnacionalne programe Jugoistočna Europa i Mediteran (za alokacije 2010. – 2013.) uspostavljeno je kontrolno tijelo unutar Ministarstva regionalnoga razvoja i fondova EU (MRRFEU), u kojem trenutno radi 14 kontrolora. Temeljem Ugovora između Agencije i MRRFEU za spomenute programe Agencija će od 01. travnja 2014. godine pa do zatvaranja programa za MRRFEU obavljati poslove prvostupanjske kontrole, kako bi se pripremila za buduću financijsku perspektivu 2014. – 2020. u kojoj će preuzeti funkciju kontrolnog tijela za sve programe prekogranične, transnacionalne i međuregionalne suradnje u kojima će sudjelovati Republika Hrvatska. Pored spomenute kontrolne funkcije, u Agenciji će biti smještena Zajednička tajništva za IPA programe prekogranične suradnje, kao i info točke/nacionalne kontakt točke za sve prekogranične, transnacionalne te međuregionalne programe. Prilikom izrade projekcija potrebnih sredstava za rashode za zaposlene uzeli smo u obzir predviđena nova zapošljavanja - 21 kontrolor, od kojih će 15 započeti s radom 01.04.2014. godine, a preostali u 2015. godini; 18 novih radnika za Zajednička tajništva te 9 info/nacionalnih kontakt točki koje će započeti s radom u 2015. godini. </w:t>
      </w:r>
    </w:p>
    <w:p w:rsidR="00D849AA" w:rsidRPr="00950B90" w:rsidRDefault="00EE6D95">
      <w:pPr>
        <w:pStyle w:val="Normal3"/>
        <w:rPr>
          <w:b/>
        </w:rPr>
      </w:pPr>
      <w:r w:rsidRPr="00950B90">
        <w:rPr>
          <w:b/>
        </w:rPr>
        <w:t xml:space="preserve"> </w:t>
      </w:r>
    </w:p>
    <w:p w:rsidR="00D849AA" w:rsidRPr="00950B90" w:rsidRDefault="00EE6D95">
      <w:pPr>
        <w:pStyle w:val="Normal3"/>
        <w:rPr>
          <w:b/>
        </w:rPr>
      </w:pPr>
      <w:r w:rsidRPr="00950B90">
        <w:rPr>
          <w:b/>
        </w:rPr>
        <w:t>•</w:t>
      </w:r>
      <w:r w:rsidRPr="00950B90">
        <w:rPr>
          <w:b/>
        </w:rPr>
        <w:tab/>
        <w:t xml:space="preserve">Nadležnosti Agencije sukladno nacionalnom zakonodavstvu  </w:t>
      </w:r>
    </w:p>
    <w:p w:rsidR="00D849AA" w:rsidRDefault="00EE6D95">
      <w:pPr>
        <w:pStyle w:val="Normal3"/>
      </w:pPr>
      <w:r>
        <w:t>Na temelju članka 17. Zakona o regionalnom razvoju Republike Hrvatske (Narodne novine, broj 153/09) zadužena je za ustrojavanje i vođenje Upisnika upravnih tijela jedinica područne (regionalne) samouprave, agencija i drugih pravnih osoba osnovanih s ciljem učinkovite koordinacije i poticanja regionalnog razvoja, te obavljanje administrativnih i stručnih poslova za potrebe rada Partnerskih vijeća statističkih regija.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950B90" w:rsidRDefault="00D849AA">
            <w:pPr>
              <w:pStyle w:val="CellHeader"/>
            </w:pPr>
          </w:p>
        </w:tc>
        <w:tc>
          <w:tcPr>
            <w:tcW w:w="1486" w:type="dxa"/>
            <w:shd w:val="clear" w:color="auto" w:fill="B5C0D8"/>
          </w:tcPr>
          <w:p w:rsidR="00D849AA" w:rsidRPr="00950B90" w:rsidRDefault="00EE6D95">
            <w:pPr>
              <w:pStyle w:val="CellHeader"/>
            </w:pPr>
            <w:r w:rsidRPr="00950B90">
              <w:t>Plan 2013.</w:t>
            </w:r>
          </w:p>
        </w:tc>
        <w:tc>
          <w:tcPr>
            <w:tcW w:w="1486" w:type="dxa"/>
            <w:shd w:val="clear" w:color="auto" w:fill="B5C0D8"/>
          </w:tcPr>
          <w:p w:rsidR="00D849AA" w:rsidRPr="00950B90" w:rsidRDefault="00EE6D95">
            <w:pPr>
              <w:pStyle w:val="CellHeader"/>
            </w:pPr>
            <w:r w:rsidRPr="00950B90">
              <w:t>Plan 2014.</w:t>
            </w:r>
          </w:p>
        </w:tc>
        <w:tc>
          <w:tcPr>
            <w:tcW w:w="1486" w:type="dxa"/>
            <w:shd w:val="clear" w:color="auto" w:fill="B5C0D8"/>
          </w:tcPr>
          <w:p w:rsidR="00D849AA" w:rsidRPr="00950B90" w:rsidRDefault="00EE6D95">
            <w:pPr>
              <w:pStyle w:val="CellHeader"/>
            </w:pPr>
            <w:r w:rsidRPr="00950B90">
              <w:t>Plan 2015.</w:t>
            </w:r>
          </w:p>
        </w:tc>
        <w:tc>
          <w:tcPr>
            <w:tcW w:w="1486" w:type="dxa"/>
            <w:shd w:val="clear" w:color="auto" w:fill="B5C0D8"/>
          </w:tcPr>
          <w:p w:rsidR="00D849AA" w:rsidRPr="00950B90" w:rsidRDefault="00EE6D95">
            <w:pPr>
              <w:pStyle w:val="CellHeader"/>
            </w:pPr>
            <w:r w:rsidRPr="00950B90">
              <w:t>Plan 2016.</w:t>
            </w:r>
          </w:p>
        </w:tc>
        <w:tc>
          <w:tcPr>
            <w:tcW w:w="1486" w:type="dxa"/>
            <w:shd w:val="clear" w:color="auto" w:fill="B5C0D8"/>
          </w:tcPr>
          <w:p w:rsidR="00D849AA" w:rsidRPr="00950B90" w:rsidRDefault="00EE6D95">
            <w:pPr>
              <w:pStyle w:val="CellHeader"/>
            </w:pPr>
            <w:r w:rsidRPr="00950B90">
              <w:t>Indeks 2014/2013</w:t>
            </w:r>
          </w:p>
        </w:tc>
      </w:tr>
      <w:tr w:rsidR="00D849AA">
        <w:trPr>
          <w:jc w:val="center"/>
        </w:trPr>
        <w:tc>
          <w:tcPr>
            <w:tcW w:w="1486" w:type="dxa"/>
          </w:tcPr>
          <w:p w:rsidR="00D849AA" w:rsidRPr="00950B90" w:rsidRDefault="00EE6D95">
            <w:pPr>
              <w:pStyle w:val="CellColumn"/>
            </w:pPr>
            <w:r w:rsidRPr="00950B90">
              <w:t>06120</w:t>
            </w:r>
          </w:p>
        </w:tc>
        <w:tc>
          <w:tcPr>
            <w:tcW w:w="1486" w:type="dxa"/>
          </w:tcPr>
          <w:p w:rsidR="00D849AA" w:rsidRPr="00950B90" w:rsidRDefault="00EE6D95">
            <w:pPr>
              <w:rPr>
                <w:rFonts w:ascii="Arial" w:hAnsi="Arial" w:cs="Arial"/>
              </w:rPr>
            </w:pPr>
            <w:r w:rsidRPr="00950B90">
              <w:rPr>
                <w:rFonts w:ascii="Arial" w:hAnsi="Arial" w:cs="Arial"/>
              </w:rPr>
              <w:t>7.336.876</w:t>
            </w:r>
          </w:p>
        </w:tc>
        <w:tc>
          <w:tcPr>
            <w:tcW w:w="1486" w:type="dxa"/>
          </w:tcPr>
          <w:p w:rsidR="00D849AA" w:rsidRPr="00950B90" w:rsidRDefault="00EE6D95">
            <w:pPr>
              <w:rPr>
                <w:rFonts w:ascii="Arial" w:hAnsi="Arial" w:cs="Arial"/>
              </w:rPr>
            </w:pPr>
            <w:r w:rsidRPr="00950B90">
              <w:rPr>
                <w:rFonts w:ascii="Arial" w:hAnsi="Arial" w:cs="Arial"/>
              </w:rPr>
              <w:t>8.467.200</w:t>
            </w:r>
          </w:p>
        </w:tc>
        <w:tc>
          <w:tcPr>
            <w:tcW w:w="1486" w:type="dxa"/>
          </w:tcPr>
          <w:p w:rsidR="00D849AA" w:rsidRPr="00950B90" w:rsidRDefault="00EE6D95">
            <w:pPr>
              <w:rPr>
                <w:rFonts w:ascii="Arial" w:hAnsi="Arial" w:cs="Arial"/>
              </w:rPr>
            </w:pPr>
            <w:r w:rsidRPr="00950B90">
              <w:rPr>
                <w:rFonts w:ascii="Arial" w:hAnsi="Arial" w:cs="Arial"/>
              </w:rPr>
              <w:t>12.706.560</w:t>
            </w:r>
          </w:p>
        </w:tc>
        <w:tc>
          <w:tcPr>
            <w:tcW w:w="1486" w:type="dxa"/>
          </w:tcPr>
          <w:p w:rsidR="00D849AA" w:rsidRPr="00950B90" w:rsidRDefault="00EE6D95">
            <w:pPr>
              <w:rPr>
                <w:rFonts w:ascii="Arial" w:hAnsi="Arial" w:cs="Arial"/>
              </w:rPr>
            </w:pPr>
            <w:r w:rsidRPr="00950B90">
              <w:rPr>
                <w:rFonts w:ascii="Arial" w:hAnsi="Arial" w:cs="Arial"/>
              </w:rPr>
              <w:t>12.706.560</w:t>
            </w:r>
          </w:p>
        </w:tc>
        <w:tc>
          <w:tcPr>
            <w:tcW w:w="1486" w:type="dxa"/>
          </w:tcPr>
          <w:p w:rsidR="00D849AA" w:rsidRPr="00950B90" w:rsidRDefault="00EE6D95">
            <w:pPr>
              <w:rPr>
                <w:rFonts w:ascii="Arial" w:hAnsi="Arial" w:cs="Arial"/>
              </w:rPr>
            </w:pPr>
            <w:r w:rsidRPr="00950B90">
              <w:rPr>
                <w:rFonts w:ascii="Arial" w:hAnsi="Arial" w:cs="Arial"/>
              </w:rPr>
              <w:t>115,4</w:t>
            </w:r>
          </w:p>
        </w:tc>
      </w:tr>
    </w:tbl>
    <w:p w:rsidR="00D849AA" w:rsidRDefault="00D849AA">
      <w:pPr>
        <w:jc w:val="left"/>
      </w:pPr>
    </w:p>
    <w:p w:rsidR="00337A23" w:rsidRDefault="00337A23">
      <w:pPr>
        <w:jc w:val="left"/>
      </w:pPr>
    </w:p>
    <w:p w:rsidR="00337A23" w:rsidRDefault="00337A23">
      <w:pPr>
        <w:jc w:val="left"/>
      </w:pPr>
    </w:p>
    <w:p w:rsidR="00337A23" w:rsidRDefault="00337A23">
      <w:pPr>
        <w:jc w:val="left"/>
      </w:pPr>
    </w:p>
    <w:p w:rsidR="00D849AA" w:rsidRDefault="00EE6D95">
      <w:pPr>
        <w:pStyle w:val="Naslov4"/>
      </w:pPr>
      <w:r>
        <w:lastRenderedPageBreak/>
        <w:t>OBRAZLOŽENJE PROGRAMA</w:t>
      </w:r>
    </w:p>
    <w:p w:rsidR="00D849AA" w:rsidRDefault="00EE6D95">
      <w:pPr>
        <w:pStyle w:val="Naslov5"/>
      </w:pPr>
      <w:r>
        <w:t>2901 POTICANJE REGIONALNE INFRASTRUKTURE I GOSPODARSTVA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950B90" w:rsidRDefault="00D849AA">
            <w:pPr>
              <w:pStyle w:val="CellHeader"/>
            </w:pPr>
          </w:p>
        </w:tc>
        <w:tc>
          <w:tcPr>
            <w:tcW w:w="1486" w:type="dxa"/>
            <w:shd w:val="clear" w:color="auto" w:fill="B5C0D8"/>
          </w:tcPr>
          <w:p w:rsidR="00D849AA" w:rsidRPr="00950B90" w:rsidRDefault="00EE6D95">
            <w:pPr>
              <w:pStyle w:val="CellHeader"/>
            </w:pPr>
            <w:r w:rsidRPr="00950B90">
              <w:t>Plan 2013.</w:t>
            </w:r>
          </w:p>
        </w:tc>
        <w:tc>
          <w:tcPr>
            <w:tcW w:w="1486" w:type="dxa"/>
            <w:shd w:val="clear" w:color="auto" w:fill="B5C0D8"/>
          </w:tcPr>
          <w:p w:rsidR="00D849AA" w:rsidRPr="00950B90" w:rsidRDefault="00EE6D95">
            <w:pPr>
              <w:pStyle w:val="CellHeader"/>
            </w:pPr>
            <w:r w:rsidRPr="00950B90">
              <w:t>Plan 2014.</w:t>
            </w:r>
          </w:p>
        </w:tc>
        <w:tc>
          <w:tcPr>
            <w:tcW w:w="1486" w:type="dxa"/>
            <w:shd w:val="clear" w:color="auto" w:fill="B5C0D8"/>
          </w:tcPr>
          <w:p w:rsidR="00D849AA" w:rsidRPr="00950B90" w:rsidRDefault="00EE6D95">
            <w:pPr>
              <w:pStyle w:val="CellHeader"/>
            </w:pPr>
            <w:r w:rsidRPr="00950B90">
              <w:t>Plan 2015.</w:t>
            </w:r>
          </w:p>
        </w:tc>
        <w:tc>
          <w:tcPr>
            <w:tcW w:w="1486" w:type="dxa"/>
            <w:shd w:val="clear" w:color="auto" w:fill="B5C0D8"/>
          </w:tcPr>
          <w:p w:rsidR="00D849AA" w:rsidRPr="00950B90" w:rsidRDefault="00EE6D95">
            <w:pPr>
              <w:pStyle w:val="CellHeader"/>
            </w:pPr>
            <w:r w:rsidRPr="00950B90">
              <w:t>Plan 2016.</w:t>
            </w:r>
          </w:p>
        </w:tc>
        <w:tc>
          <w:tcPr>
            <w:tcW w:w="1486" w:type="dxa"/>
            <w:shd w:val="clear" w:color="auto" w:fill="B5C0D8"/>
          </w:tcPr>
          <w:p w:rsidR="00D849AA" w:rsidRPr="00950B90" w:rsidRDefault="00EE6D95">
            <w:pPr>
              <w:pStyle w:val="CellHeader"/>
            </w:pPr>
            <w:r w:rsidRPr="00950B90">
              <w:t>Indeks 2014/2013</w:t>
            </w:r>
          </w:p>
        </w:tc>
      </w:tr>
      <w:tr w:rsidR="00D849AA">
        <w:trPr>
          <w:jc w:val="center"/>
        </w:trPr>
        <w:tc>
          <w:tcPr>
            <w:tcW w:w="1486" w:type="dxa"/>
          </w:tcPr>
          <w:p w:rsidR="00D849AA" w:rsidRPr="00950B90" w:rsidRDefault="00EE6D95">
            <w:pPr>
              <w:pStyle w:val="CellColumn"/>
            </w:pPr>
            <w:r w:rsidRPr="00950B90">
              <w:t>2901</w:t>
            </w:r>
          </w:p>
        </w:tc>
        <w:tc>
          <w:tcPr>
            <w:tcW w:w="1486" w:type="dxa"/>
          </w:tcPr>
          <w:p w:rsidR="00D849AA" w:rsidRPr="00950B90" w:rsidRDefault="00EE6D95">
            <w:pPr>
              <w:rPr>
                <w:rFonts w:ascii="Arial" w:hAnsi="Arial" w:cs="Arial"/>
              </w:rPr>
            </w:pPr>
            <w:r w:rsidRPr="00950B90">
              <w:rPr>
                <w:rFonts w:ascii="Arial" w:hAnsi="Arial" w:cs="Arial"/>
              </w:rPr>
              <w:t>7.336.876</w:t>
            </w:r>
          </w:p>
        </w:tc>
        <w:tc>
          <w:tcPr>
            <w:tcW w:w="1486" w:type="dxa"/>
          </w:tcPr>
          <w:p w:rsidR="00D849AA" w:rsidRPr="00950B90" w:rsidRDefault="00EE6D95">
            <w:pPr>
              <w:rPr>
                <w:rFonts w:ascii="Arial" w:hAnsi="Arial" w:cs="Arial"/>
              </w:rPr>
            </w:pPr>
            <w:r w:rsidRPr="00950B90">
              <w:rPr>
                <w:rFonts w:ascii="Arial" w:hAnsi="Arial" w:cs="Arial"/>
              </w:rPr>
              <w:t>8.467.200</w:t>
            </w:r>
          </w:p>
        </w:tc>
        <w:tc>
          <w:tcPr>
            <w:tcW w:w="1486" w:type="dxa"/>
          </w:tcPr>
          <w:p w:rsidR="00D849AA" w:rsidRPr="00950B90" w:rsidRDefault="00EE6D95">
            <w:pPr>
              <w:rPr>
                <w:rFonts w:ascii="Arial" w:hAnsi="Arial" w:cs="Arial"/>
              </w:rPr>
            </w:pPr>
            <w:r w:rsidRPr="00950B90">
              <w:rPr>
                <w:rFonts w:ascii="Arial" w:hAnsi="Arial" w:cs="Arial"/>
              </w:rPr>
              <w:t>12.706.560</w:t>
            </w:r>
          </w:p>
        </w:tc>
        <w:tc>
          <w:tcPr>
            <w:tcW w:w="1486" w:type="dxa"/>
          </w:tcPr>
          <w:p w:rsidR="00D849AA" w:rsidRPr="00950B90" w:rsidRDefault="00EE6D95">
            <w:pPr>
              <w:rPr>
                <w:rFonts w:ascii="Arial" w:hAnsi="Arial" w:cs="Arial"/>
              </w:rPr>
            </w:pPr>
            <w:r w:rsidRPr="00950B90">
              <w:rPr>
                <w:rFonts w:ascii="Arial" w:hAnsi="Arial" w:cs="Arial"/>
              </w:rPr>
              <w:t>12.706.560</w:t>
            </w:r>
          </w:p>
        </w:tc>
        <w:tc>
          <w:tcPr>
            <w:tcW w:w="1486" w:type="dxa"/>
          </w:tcPr>
          <w:p w:rsidR="00D849AA" w:rsidRPr="00950B90" w:rsidRDefault="00EE6D95">
            <w:pPr>
              <w:rPr>
                <w:rFonts w:ascii="Arial" w:hAnsi="Arial" w:cs="Arial"/>
              </w:rPr>
            </w:pPr>
            <w:r w:rsidRPr="00950B90">
              <w:rPr>
                <w:rFonts w:ascii="Arial" w:hAnsi="Arial" w:cs="Arial"/>
              </w:rPr>
              <w:t>115,4</w:t>
            </w:r>
          </w:p>
        </w:tc>
      </w:tr>
    </w:tbl>
    <w:p w:rsidR="00D849AA" w:rsidRDefault="00D849AA">
      <w:pPr>
        <w:jc w:val="left"/>
      </w:pPr>
    </w:p>
    <w:p w:rsidR="00D849AA" w:rsidRDefault="00EE6D95">
      <w:pPr>
        <w:pStyle w:val="Naslov6"/>
      </w:pPr>
      <w:r>
        <w:t>Opis programa</w:t>
      </w:r>
    </w:p>
    <w:p w:rsidR="00D849AA" w:rsidRDefault="00EE6D95">
      <w:pPr>
        <w:pStyle w:val="Normal5"/>
      </w:pPr>
      <w:r>
        <w:t xml:space="preserve">Prekogranična suradnja - obuhvaća programe prekogranične suradnje sa zemljama nečlanicama (Hrvatska – Bosna i Hercegovina, Hrvatska – Crna Gora, Hrvatska – Srbija) kojima se nastoji poboljšati kvalitetu života u pograničnim područjima; razviti prekogranične mreže, partnerstva i aktivnosti kroz oživljavanje gospodarstva, očuvanje okoliša i stvaranje socijalne povezanosti; razviti gospodarske i dobrosusjedske odnose. Transnacionalna suradnja - obuhvaća programe Mediteran i Jugoistočni europski prostor.   </w:t>
      </w:r>
    </w:p>
    <w:p w:rsidR="00D849AA" w:rsidRDefault="00EE6D95">
      <w:pPr>
        <w:pStyle w:val="Normal5"/>
      </w:pPr>
      <w:r>
        <w:t xml:space="preserve">Program Mediteran obuhvaća 9 država članica: Cipar, Francuska (4 regije), Grčka, Italija (18 regija), Malta, Portugal (2 regije), Slovenija, Španjolska (6 autonomnih regija i 2 autonomna grada), UK (Gibraltar), a program Jugoistočni europski prostor 16 država članica: Hrvatsku, Rumunjsku, Bugarsku, Sloveniju, Mađarsku, Grčku, Albaniju, Crnu Goru, Srbiju, Bosnu i Hercegovinu, Makedoniju, Austriju, Slovačku, regije Italije, Ukrajinu i Moldaviju.   </w:t>
      </w:r>
    </w:p>
    <w:p w:rsidR="00D849AA" w:rsidRDefault="00EE6D95">
      <w:pPr>
        <w:pStyle w:val="Normal5"/>
      </w:pPr>
      <w:r>
        <w:t xml:space="preserve">Razvoj poslovne infrastrukture obuhvaća razvoj poslovne infrastrukture, poboljšanje poduzetničke klime i jačanje poduzetništva i zaposlenosti, kako bi se doprinijelo ukupnom društveno-gospodarskom razvoju.   </w:t>
      </w:r>
    </w:p>
    <w:p w:rsidR="00D849AA" w:rsidRDefault="00EE6D95">
      <w:pPr>
        <w:pStyle w:val="Normal5"/>
      </w:pPr>
      <w:r>
        <w:t xml:space="preserve">Administrativna koordinacija regionalnih razvojnih projekata:   </w:t>
      </w:r>
    </w:p>
    <w:p w:rsidR="00D849AA" w:rsidRDefault="00EE6D95">
      <w:pPr>
        <w:pStyle w:val="Normal5"/>
      </w:pPr>
      <w:r>
        <w:t>Propisuje sadržaj i način vođenja Upisnika s ciljem učinkovite koordinacije i poticanja regionalnog razvoja, uvjete za upis u Upisnik, postupak upisa u Upisnik, međusobnu koordinaciju uključenih subjekata, provedbu edukacije regionalnih koordinatora te obrasce koji se koriste u vođenju Upisnika; propisuje osnivanje, sastav, djelokrug i način rada partnerskih vijeća statističkih regija u Republici Hrvatskoj. Partnerska vijeća osnivaju se kao savjetodavna tijela s ciljem definiranja zajedničkih prioriteta jedinica lokalne i područne (regionalne) samouprave te predlaganja razvojnih projekata na razini statističkih regija.</w:t>
      </w:r>
    </w:p>
    <w:p w:rsidR="00D849AA" w:rsidRDefault="00EE6D95">
      <w:pPr>
        <w:pStyle w:val="Naslov6"/>
      </w:pPr>
      <w:r>
        <w:t>Zakonske i druge pravne osnove</w:t>
      </w:r>
    </w:p>
    <w:p w:rsidR="00D849AA" w:rsidRDefault="00EE6D95">
      <w:pPr>
        <w:pStyle w:val="Normal5"/>
      </w:pPr>
      <w:r>
        <w:t xml:space="preserve">1. Operativni program Hrvatska - Bosna i Hercegovina 2007.-2013. i pripadajući Financijski sporazumi za svaku godinu;  </w:t>
      </w:r>
    </w:p>
    <w:p w:rsidR="00D849AA" w:rsidRDefault="00EE6D95">
      <w:pPr>
        <w:pStyle w:val="Normal5"/>
      </w:pPr>
      <w:r>
        <w:t xml:space="preserve">2. Operativni program Hrvatska - Crna Gora 2007.-2013. i pripadajući Financijski sporazumi za svaku godinu;  </w:t>
      </w:r>
    </w:p>
    <w:p w:rsidR="00D849AA" w:rsidRDefault="00EE6D95">
      <w:pPr>
        <w:pStyle w:val="Normal5"/>
      </w:pPr>
      <w:r>
        <w:t xml:space="preserve">3. Operativni program Hrvatska - Srbija 2007.-2013. i pripadajući Financijski sporazumi za svaku godinu;  </w:t>
      </w:r>
    </w:p>
    <w:p w:rsidR="00D849AA" w:rsidRDefault="00EE6D95">
      <w:pPr>
        <w:pStyle w:val="Normal5"/>
      </w:pPr>
      <w:r>
        <w:t xml:space="preserve">4. Financijski sporazumi za programe Jugoistočna Europa i Mediteran za 2007.,2008. i 2009. godinu;  </w:t>
      </w:r>
    </w:p>
    <w:p w:rsidR="00D849AA" w:rsidRDefault="00EE6D95">
      <w:pPr>
        <w:pStyle w:val="Normal5"/>
      </w:pPr>
      <w:r>
        <w:t xml:space="preserve">5. Operativni program Regionalna konkurentnost;   </w:t>
      </w:r>
    </w:p>
    <w:p w:rsidR="00D849AA" w:rsidRDefault="00EE6D95">
      <w:pPr>
        <w:pStyle w:val="Normal5"/>
      </w:pPr>
      <w:r>
        <w:t xml:space="preserve">6. Zakon o regionalnom razvoju (Narodne novine, broj 153/09)  </w:t>
      </w:r>
    </w:p>
    <w:p w:rsidR="00D849AA" w:rsidRDefault="00EE6D95">
      <w:pPr>
        <w:pStyle w:val="Normal5"/>
      </w:pPr>
      <w:r>
        <w:lastRenderedPageBreak/>
        <w:t xml:space="preserve">7. Pravilnik o upisniku upravnih tijela jedinica lokalne i područne (regionalne) samouprave, agencija i drugih pravnih osoba osnovanih s ciljem učinkovite koordinacije i poticanja regionalnog razvoja (Narodne novine, broj 53/10);  </w:t>
      </w:r>
    </w:p>
    <w:p w:rsidR="00D849AA" w:rsidRDefault="00EE6D95">
      <w:pPr>
        <w:pStyle w:val="Normal5"/>
      </w:pPr>
      <w:r>
        <w:t xml:space="preserve">8. Zakon o regionalnom razvoju Republike Hrvatske (Narodne novine, broj 153/09 );  </w:t>
      </w:r>
    </w:p>
    <w:p w:rsidR="00D849AA" w:rsidRDefault="00EE6D95">
      <w:pPr>
        <w:pStyle w:val="Normal5"/>
      </w:pPr>
      <w:r>
        <w:t>9. Uredba o osnivanju partnerskih vijeća statističkih regija (Narodne novine, broj 38/10).</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Cilj 1. Razvoj pograničnih i perifernih područja u Republici Hrvatskoj</w:t>
      </w:r>
    </w:p>
    <w:p w:rsidR="00D849AA" w:rsidRDefault="00EE6D95">
      <w:pPr>
        <w:pStyle w:val="Normal6"/>
      </w:pPr>
      <w:r>
        <w:t xml:space="preserve">Agencija za regionalni razvoj Republike Hrvatske je ugovarateljno i provedbeno tijelo za 3 prekogranična programa IPA IIb komponente sa zemljama nečlanicama (Hrvatska –Bosna i Hercegovina, Hrvatska – Crna Gora, Hrvatska – Srbija), unutar navedenog posebnog cilja nastoji se poboljšati kvalitetu života u pograničnim područjima; razviti prekogranične mreže, partnerstva i aktivnosti kroz oživljavanje gospodarstva, očuvanje okoliša i stvaranje socijalne povezanosti; razviti gospodarske i dobrosusjedske odnose.  </w:t>
      </w:r>
    </w:p>
    <w:p w:rsidR="00D849AA" w:rsidRDefault="00EE6D95">
      <w:pPr>
        <w:pStyle w:val="Normal6"/>
      </w:pPr>
      <w:r>
        <w:t>Agencija za regionalni razvoj Republike Hrvatske je i ugovarateljno i provedbeno tijelo za 2 transnacionalna programa: Mediteran i Jugoistočni europski prostor. Program Mediteran obuhvaća 9 država članica: Cipar, Francuska (4 regije), Grčka, Italija (18 regija), Malta, Portugal (2 regije), Slovenija, Španjolska (6 autonomnih regija i 2 autonomna grada), UK (Gibraltar), a program Jugoistočni europski prostor 16 država članica: Hrvatsku, Rumunjsku, Bugarsku, Sloveniju, Mađarsku, Grčku, Albaniju, Crnu Goru, Srbiju, Bosnu i Hercegovinu, Makedoniju, Austriju, Slovačku, regije Italije, Ukrajinu i Moldaviju.</w:t>
      </w:r>
    </w:p>
    <w:p w:rsidR="00D849AA" w:rsidRDefault="00EE6D95">
      <w:pPr>
        <w:pStyle w:val="Naslov7"/>
      </w:pPr>
      <w:r>
        <w:t>Cilj 2. Razvoj poslovne infrastrukture te poticanje učinkovite koordinacije regionalnog razvoja</w:t>
      </w:r>
    </w:p>
    <w:p w:rsidR="00D849AA" w:rsidRDefault="00EE6D95">
      <w:pPr>
        <w:pStyle w:val="Normal6"/>
      </w:pPr>
      <w:r>
        <w:t xml:space="preserve">Svrha razvoja poslovne infrastrukture je poboljšanje poduzetničke klime i jačanja poduzetništva i zaposlenosti, što bi u konačnici trebalo doprinijeti ukupnom društveno-gospodarskom razvoju. Potpora bržem razvoju poslovne infrastrukture planira se osigurati kroz ulaganja namijenjena podupiranju, proširenju i poboljšanju infrastrukture poduzetničkih centara, poduzetničkih inkubatora, tehnoloških parkova, poduzetničkih i slobodnih zona; unapređenju javne turističke i kulturne infrastrukture te osiguranju javnih pratećih usluga namijenjenih kvalitetnom upravljanju poslovnom infrastrukturom. Time se želi osigurati postizanje održivog razvoja i jačanje konkurentnosti poslovnog sektora uz povećanje broja zaposlenih.   </w:t>
      </w:r>
    </w:p>
    <w:p w:rsidR="00D849AA" w:rsidRDefault="00EE6D95">
      <w:pPr>
        <w:pStyle w:val="Normal6"/>
      </w:pPr>
      <w:r>
        <w:t>Agencija za regionalni razvoj Republike Hrvatske obavljati će poslove administrativne koordinacije regionalnih razvojnih projekata kroz: ustrojavanje i vođenje Upisnika upravnih tijela jedinica lokalne i područne (regionalne) samouprave, agencija i drugih pravnih osoba osnovanih s ciljem učinkovite koordinacije i poticanja regionalnog razvoja te obavljanja administrativnih i stručnih poslova za potrebe rada Partnerskih vijeća statističkih regija.</w:t>
      </w:r>
    </w:p>
    <w:p w:rsidR="00D849AA" w:rsidRDefault="00EE6D95">
      <w:pPr>
        <w:pStyle w:val="Naslov5"/>
      </w:pPr>
      <w:r>
        <w:t>Procjena i ishodište potrebnih sredstava za značajnije aktivnosti/projekte</w:t>
      </w:r>
    </w:p>
    <w:p w:rsidR="00D849AA" w:rsidRDefault="00EE6D95">
      <w:pPr>
        <w:pStyle w:val="Naslov6"/>
      </w:pPr>
      <w:r>
        <w:t>A828030 ADMINISTRACIJA I UPRAVLJANJE AGENCIJE ZA REGIONALNI RAZVOJ</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rsidRPr="00950B90">
        <w:trPr>
          <w:jc w:val="center"/>
        </w:trPr>
        <w:tc>
          <w:tcPr>
            <w:tcW w:w="1486" w:type="dxa"/>
            <w:shd w:val="clear" w:color="auto" w:fill="B5C0D8"/>
          </w:tcPr>
          <w:p w:rsidR="00D849AA" w:rsidRPr="00950B90" w:rsidRDefault="00EE6D95">
            <w:pPr>
              <w:pStyle w:val="CellHeader"/>
            </w:pPr>
            <w:r w:rsidRPr="00950B90">
              <w:t>Naziv aktivnosti</w:t>
            </w:r>
          </w:p>
        </w:tc>
        <w:tc>
          <w:tcPr>
            <w:tcW w:w="1486" w:type="dxa"/>
            <w:shd w:val="clear" w:color="auto" w:fill="B5C0D8"/>
          </w:tcPr>
          <w:p w:rsidR="00D849AA" w:rsidRPr="00950B90" w:rsidRDefault="00EE6D95">
            <w:pPr>
              <w:pStyle w:val="CellHeader"/>
            </w:pPr>
            <w:r w:rsidRPr="00950B90">
              <w:t>Plan 2013.</w:t>
            </w:r>
          </w:p>
        </w:tc>
        <w:tc>
          <w:tcPr>
            <w:tcW w:w="1486" w:type="dxa"/>
            <w:shd w:val="clear" w:color="auto" w:fill="B5C0D8"/>
          </w:tcPr>
          <w:p w:rsidR="00D849AA" w:rsidRPr="00950B90" w:rsidRDefault="00EE6D95">
            <w:pPr>
              <w:pStyle w:val="CellHeader"/>
            </w:pPr>
            <w:r w:rsidRPr="00950B90">
              <w:t>Plan 2014.</w:t>
            </w:r>
          </w:p>
        </w:tc>
        <w:tc>
          <w:tcPr>
            <w:tcW w:w="1486" w:type="dxa"/>
            <w:shd w:val="clear" w:color="auto" w:fill="B5C0D8"/>
          </w:tcPr>
          <w:p w:rsidR="00D849AA" w:rsidRPr="00950B90" w:rsidRDefault="00EE6D95">
            <w:pPr>
              <w:pStyle w:val="CellHeader"/>
            </w:pPr>
            <w:r w:rsidRPr="00950B90">
              <w:t>Plan 2015.</w:t>
            </w:r>
          </w:p>
        </w:tc>
        <w:tc>
          <w:tcPr>
            <w:tcW w:w="1486" w:type="dxa"/>
            <w:shd w:val="clear" w:color="auto" w:fill="B5C0D8"/>
          </w:tcPr>
          <w:p w:rsidR="00D849AA" w:rsidRPr="00950B90" w:rsidRDefault="00EE6D95">
            <w:pPr>
              <w:pStyle w:val="CellHeader"/>
            </w:pPr>
            <w:r w:rsidRPr="00950B90">
              <w:t>Plan 2016.</w:t>
            </w:r>
          </w:p>
        </w:tc>
        <w:tc>
          <w:tcPr>
            <w:tcW w:w="1486" w:type="dxa"/>
            <w:shd w:val="clear" w:color="auto" w:fill="B5C0D8"/>
          </w:tcPr>
          <w:p w:rsidR="00D849AA" w:rsidRPr="00950B90" w:rsidRDefault="00EE6D95">
            <w:pPr>
              <w:pStyle w:val="CellHeader"/>
            </w:pPr>
            <w:r w:rsidRPr="00950B90">
              <w:t>Indeks 2014/2013</w:t>
            </w:r>
          </w:p>
        </w:tc>
      </w:tr>
      <w:tr w:rsidR="00D849AA" w:rsidRPr="00950B90">
        <w:trPr>
          <w:jc w:val="center"/>
        </w:trPr>
        <w:tc>
          <w:tcPr>
            <w:tcW w:w="1486" w:type="dxa"/>
          </w:tcPr>
          <w:p w:rsidR="00D849AA" w:rsidRPr="00950B90" w:rsidRDefault="00EE6D95">
            <w:pPr>
              <w:pStyle w:val="CellColumn"/>
            </w:pPr>
            <w:r w:rsidRPr="00950B90">
              <w:t>A828030</w:t>
            </w:r>
          </w:p>
        </w:tc>
        <w:tc>
          <w:tcPr>
            <w:tcW w:w="1486" w:type="dxa"/>
          </w:tcPr>
          <w:p w:rsidR="00D849AA" w:rsidRPr="00950B90" w:rsidRDefault="00EE6D95">
            <w:pPr>
              <w:rPr>
                <w:rFonts w:ascii="Arial" w:hAnsi="Arial" w:cs="Arial"/>
              </w:rPr>
            </w:pPr>
            <w:r w:rsidRPr="00950B90">
              <w:rPr>
                <w:rFonts w:ascii="Arial" w:hAnsi="Arial" w:cs="Arial"/>
              </w:rPr>
              <w:t>7.056.876</w:t>
            </w:r>
          </w:p>
        </w:tc>
        <w:tc>
          <w:tcPr>
            <w:tcW w:w="1486" w:type="dxa"/>
          </w:tcPr>
          <w:p w:rsidR="00D849AA" w:rsidRPr="00950B90" w:rsidRDefault="00EE6D95">
            <w:pPr>
              <w:rPr>
                <w:rFonts w:ascii="Arial" w:hAnsi="Arial" w:cs="Arial"/>
              </w:rPr>
            </w:pPr>
            <w:r w:rsidRPr="00950B90">
              <w:rPr>
                <w:rFonts w:ascii="Arial" w:hAnsi="Arial" w:cs="Arial"/>
              </w:rPr>
              <w:t>8.137.200</w:t>
            </w:r>
          </w:p>
        </w:tc>
        <w:tc>
          <w:tcPr>
            <w:tcW w:w="1486" w:type="dxa"/>
          </w:tcPr>
          <w:p w:rsidR="00D849AA" w:rsidRPr="00950B90" w:rsidRDefault="00EE6D95">
            <w:pPr>
              <w:rPr>
                <w:rFonts w:ascii="Arial" w:hAnsi="Arial" w:cs="Arial"/>
              </w:rPr>
            </w:pPr>
            <w:r w:rsidRPr="00950B90">
              <w:rPr>
                <w:rFonts w:ascii="Arial" w:hAnsi="Arial" w:cs="Arial"/>
              </w:rPr>
              <w:t>12.141.360</w:t>
            </w:r>
          </w:p>
        </w:tc>
        <w:tc>
          <w:tcPr>
            <w:tcW w:w="1486" w:type="dxa"/>
          </w:tcPr>
          <w:p w:rsidR="00D849AA" w:rsidRPr="00950B90" w:rsidRDefault="00EE6D95">
            <w:pPr>
              <w:rPr>
                <w:rFonts w:ascii="Arial" w:hAnsi="Arial" w:cs="Arial"/>
              </w:rPr>
            </w:pPr>
            <w:r w:rsidRPr="00950B90">
              <w:rPr>
                <w:rFonts w:ascii="Arial" w:hAnsi="Arial" w:cs="Arial"/>
              </w:rPr>
              <w:t>12.141.360</w:t>
            </w:r>
          </w:p>
        </w:tc>
        <w:tc>
          <w:tcPr>
            <w:tcW w:w="1486" w:type="dxa"/>
          </w:tcPr>
          <w:p w:rsidR="00D849AA" w:rsidRPr="00950B90" w:rsidRDefault="00EE6D95">
            <w:pPr>
              <w:rPr>
                <w:rFonts w:ascii="Arial" w:hAnsi="Arial" w:cs="Arial"/>
              </w:rPr>
            </w:pPr>
            <w:r w:rsidRPr="00950B90">
              <w:rPr>
                <w:rFonts w:ascii="Arial" w:hAnsi="Arial" w:cs="Arial"/>
              </w:rPr>
              <w:t>115,3</w:t>
            </w:r>
          </w:p>
        </w:tc>
      </w:tr>
    </w:tbl>
    <w:p w:rsidR="00D849AA" w:rsidRPr="00950B90" w:rsidRDefault="00D849AA">
      <w:pPr>
        <w:jc w:val="left"/>
        <w:rPr>
          <w:rFonts w:ascii="Arial" w:hAnsi="Arial" w:cs="Arial"/>
        </w:rPr>
      </w:pPr>
    </w:p>
    <w:p w:rsidR="00D849AA" w:rsidRDefault="00EE6D95">
      <w:pPr>
        <w:pStyle w:val="Normal6"/>
      </w:pPr>
      <w:r>
        <w:t>Sredstva planirana u aktivnosti A828030 - Administracija i upravljanje Agencije za regionalni razvoj utrošiti će se na aktivnosti vezane za provedbu programa IPA II - Prekogranična suradnja i transnacionalna suradnja. Administrativna koordinacija regionalnih razvojnih projekata vezana je za aktivnosti vođenja upisnika regionalnih koordinatora, njihovu koordinaciju i edukaciju, te administrativne aktivnosti, promidžbu i organizaciju sastanaka Partnerskih vijeća statističkih regija.</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950B90" w:rsidRDefault="00EE6D95">
            <w:pPr>
              <w:rPr>
                <w:rFonts w:ascii="Arial" w:hAnsi="Arial" w:cs="Arial"/>
              </w:rPr>
            </w:pPr>
            <w:r w:rsidRPr="00950B90">
              <w:rPr>
                <w:rFonts w:ascii="Arial" w:hAnsi="Arial" w:cs="Arial"/>
              </w:rPr>
              <w:t>Pokazatelj rezultata</w:t>
            </w:r>
          </w:p>
        </w:tc>
        <w:tc>
          <w:tcPr>
            <w:tcW w:w="1114" w:type="dxa"/>
            <w:shd w:val="clear" w:color="auto" w:fill="B5C0D8"/>
          </w:tcPr>
          <w:p w:rsidR="00D849AA" w:rsidRPr="00950B90" w:rsidRDefault="00EE6D95">
            <w:pPr>
              <w:pStyle w:val="CellHeader"/>
            </w:pPr>
            <w:r w:rsidRPr="00950B90">
              <w:t>Jedinica</w:t>
            </w:r>
          </w:p>
        </w:tc>
        <w:tc>
          <w:tcPr>
            <w:tcW w:w="1114" w:type="dxa"/>
            <w:shd w:val="clear" w:color="auto" w:fill="B5C0D8"/>
          </w:tcPr>
          <w:p w:rsidR="00D849AA" w:rsidRPr="00950B90" w:rsidRDefault="00EE6D95">
            <w:pPr>
              <w:pStyle w:val="CellHeader"/>
            </w:pPr>
            <w:r w:rsidRPr="00950B90">
              <w:t>Polazna vrijednost</w:t>
            </w:r>
          </w:p>
        </w:tc>
        <w:tc>
          <w:tcPr>
            <w:tcW w:w="1486" w:type="dxa"/>
            <w:shd w:val="clear" w:color="auto" w:fill="B5C0D8"/>
          </w:tcPr>
          <w:p w:rsidR="00D849AA" w:rsidRPr="00950B90" w:rsidRDefault="00EE6D95">
            <w:pPr>
              <w:pStyle w:val="CellHeader"/>
            </w:pPr>
            <w:r w:rsidRPr="00950B90">
              <w:t>Ciljana vrijednost (2014.)</w:t>
            </w:r>
          </w:p>
        </w:tc>
        <w:tc>
          <w:tcPr>
            <w:tcW w:w="1486" w:type="dxa"/>
            <w:shd w:val="clear" w:color="auto" w:fill="B5C0D8"/>
          </w:tcPr>
          <w:p w:rsidR="00D849AA" w:rsidRPr="00950B90" w:rsidRDefault="00EE6D95">
            <w:pPr>
              <w:pStyle w:val="CellHeader"/>
            </w:pPr>
            <w:r w:rsidRPr="00950B90">
              <w:t>Ciljana vrijednost (2015.)</w:t>
            </w:r>
          </w:p>
        </w:tc>
        <w:tc>
          <w:tcPr>
            <w:tcW w:w="1486" w:type="dxa"/>
            <w:shd w:val="clear" w:color="auto" w:fill="B5C0D8"/>
          </w:tcPr>
          <w:p w:rsidR="00D849AA" w:rsidRPr="00950B90" w:rsidRDefault="00EE6D95">
            <w:pPr>
              <w:pStyle w:val="CellHeader"/>
            </w:pPr>
            <w:r w:rsidRPr="00950B90">
              <w:t>Ciljana vrijednost (2016.)</w:t>
            </w:r>
          </w:p>
        </w:tc>
      </w:tr>
      <w:tr w:rsidR="00D849AA">
        <w:trPr>
          <w:jc w:val="center"/>
        </w:trPr>
        <w:tc>
          <w:tcPr>
            <w:tcW w:w="2229" w:type="dxa"/>
          </w:tcPr>
          <w:p w:rsidR="00D849AA" w:rsidRPr="00950B90" w:rsidRDefault="00EE6D95" w:rsidP="00950B90">
            <w:pPr>
              <w:pStyle w:val="CellColumn"/>
            </w:pPr>
            <w:r w:rsidRPr="00950B90">
              <w:t>Stopa</w:t>
            </w:r>
            <w:r w:rsidR="00950B90" w:rsidRPr="00950B90">
              <w:t xml:space="preserve"> </w:t>
            </w:r>
            <w:r w:rsidRPr="00950B90">
              <w:t>ugovaranja po</w:t>
            </w:r>
            <w:r w:rsidR="00950B90" w:rsidRPr="00950B90">
              <w:t xml:space="preserve"> </w:t>
            </w:r>
            <w:r w:rsidRPr="00950B90">
              <w:t>navedenim</w:t>
            </w:r>
            <w:r w:rsidR="00950B90" w:rsidRPr="00950B90">
              <w:t xml:space="preserve"> </w:t>
            </w:r>
            <w:r w:rsidRPr="00950B90">
              <w:t>programima</w:t>
            </w:r>
            <w:r w:rsidR="00950B90" w:rsidRPr="00950B90">
              <w:t xml:space="preserve"> </w:t>
            </w:r>
            <w:r w:rsidRPr="00950B90">
              <w:t xml:space="preserve">prekogranične i </w:t>
            </w:r>
            <w:r w:rsidR="00950B90" w:rsidRPr="00950B90">
              <w:t>t</w:t>
            </w:r>
            <w:r w:rsidRPr="00950B90">
              <w:t>ransnacionalne</w:t>
            </w:r>
            <w:r w:rsidR="00950B90" w:rsidRPr="00950B90">
              <w:t xml:space="preserve"> </w:t>
            </w:r>
            <w:r w:rsidRPr="00950B90">
              <w:t>suradnje</w:t>
            </w:r>
            <w:r w:rsidR="00950B90" w:rsidRPr="00950B90">
              <w:t xml:space="preserve"> – </w:t>
            </w:r>
            <w:r w:rsidRPr="00950B90">
              <w:t>Stopa</w:t>
            </w:r>
            <w:r w:rsidR="00950B90" w:rsidRPr="00950B90">
              <w:t xml:space="preserve"> </w:t>
            </w:r>
            <w:r w:rsidRPr="00950B90">
              <w:t>ugovaranja po</w:t>
            </w:r>
            <w:r w:rsidR="00950B90" w:rsidRPr="00950B90">
              <w:t xml:space="preserve"> </w:t>
            </w:r>
            <w:r w:rsidRPr="00950B90">
              <w:t>navedenim</w:t>
            </w:r>
            <w:r w:rsidR="00950B90" w:rsidRPr="00950B90">
              <w:t xml:space="preserve"> </w:t>
            </w:r>
            <w:r w:rsidRPr="00950B90">
              <w:t>programima</w:t>
            </w:r>
            <w:r w:rsidR="00950B90" w:rsidRPr="00950B90">
              <w:t xml:space="preserve"> </w:t>
            </w:r>
            <w:r w:rsidRPr="00950B90">
              <w:t>prekogranične i</w:t>
            </w:r>
            <w:r w:rsidR="00950B90" w:rsidRPr="00950B90">
              <w:t xml:space="preserve"> </w:t>
            </w:r>
            <w:r w:rsidRPr="00950B90">
              <w:t>transnacionalne</w:t>
            </w:r>
            <w:r w:rsidR="00950B90" w:rsidRPr="00950B90">
              <w:t xml:space="preserve"> </w:t>
            </w:r>
            <w:r w:rsidRPr="00950B90">
              <w:t>suradnje</w:t>
            </w:r>
          </w:p>
        </w:tc>
        <w:tc>
          <w:tcPr>
            <w:tcW w:w="1114" w:type="dxa"/>
          </w:tcPr>
          <w:p w:rsidR="00D849AA" w:rsidRPr="00950B90" w:rsidRDefault="00EE6D95">
            <w:pPr>
              <w:rPr>
                <w:rFonts w:ascii="Arial" w:hAnsi="Arial" w:cs="Arial"/>
              </w:rPr>
            </w:pPr>
            <w:r w:rsidRPr="00950B90">
              <w:rPr>
                <w:rFonts w:ascii="Arial" w:hAnsi="Arial" w:cs="Arial"/>
              </w:rPr>
              <w:t>%</w:t>
            </w:r>
          </w:p>
        </w:tc>
        <w:tc>
          <w:tcPr>
            <w:tcW w:w="1114" w:type="dxa"/>
          </w:tcPr>
          <w:p w:rsidR="00D849AA" w:rsidRPr="00950B90" w:rsidRDefault="00EE6D95">
            <w:pPr>
              <w:rPr>
                <w:rFonts w:ascii="Arial" w:hAnsi="Arial" w:cs="Arial"/>
              </w:rPr>
            </w:pPr>
            <w:r w:rsidRPr="00950B90">
              <w:rPr>
                <w:rFonts w:ascii="Arial" w:hAnsi="Arial" w:cs="Arial"/>
              </w:rPr>
              <w:t>90%</w:t>
            </w:r>
          </w:p>
        </w:tc>
        <w:tc>
          <w:tcPr>
            <w:tcW w:w="1486" w:type="dxa"/>
          </w:tcPr>
          <w:p w:rsidR="00D849AA" w:rsidRPr="00950B90" w:rsidRDefault="00EE6D95">
            <w:pPr>
              <w:rPr>
                <w:rFonts w:ascii="Arial" w:hAnsi="Arial" w:cs="Arial"/>
              </w:rPr>
            </w:pPr>
            <w:r w:rsidRPr="00950B90">
              <w:rPr>
                <w:rFonts w:ascii="Arial" w:hAnsi="Arial" w:cs="Arial"/>
              </w:rPr>
              <w:t>90%</w:t>
            </w:r>
          </w:p>
        </w:tc>
        <w:tc>
          <w:tcPr>
            <w:tcW w:w="1486" w:type="dxa"/>
          </w:tcPr>
          <w:p w:rsidR="00D849AA" w:rsidRPr="00950B90" w:rsidRDefault="00EE6D95">
            <w:pPr>
              <w:rPr>
                <w:rFonts w:ascii="Arial" w:hAnsi="Arial" w:cs="Arial"/>
              </w:rPr>
            </w:pPr>
            <w:r w:rsidRPr="00950B90">
              <w:rPr>
                <w:rFonts w:ascii="Arial" w:hAnsi="Arial" w:cs="Arial"/>
              </w:rPr>
              <w:t>90%</w:t>
            </w:r>
          </w:p>
        </w:tc>
        <w:tc>
          <w:tcPr>
            <w:tcW w:w="1486" w:type="dxa"/>
          </w:tcPr>
          <w:p w:rsidR="00D849AA" w:rsidRPr="00950B90" w:rsidRDefault="00EE6D95">
            <w:pPr>
              <w:rPr>
                <w:rFonts w:ascii="Arial" w:hAnsi="Arial" w:cs="Arial"/>
              </w:rPr>
            </w:pPr>
            <w:r w:rsidRPr="00950B90">
              <w:rPr>
                <w:rFonts w:ascii="Arial" w:hAnsi="Arial" w:cs="Arial"/>
              </w:rPr>
              <w:t>90%</w:t>
            </w:r>
          </w:p>
        </w:tc>
      </w:tr>
      <w:tr w:rsidR="00D849AA">
        <w:trPr>
          <w:jc w:val="center"/>
        </w:trPr>
        <w:tc>
          <w:tcPr>
            <w:tcW w:w="2229" w:type="dxa"/>
          </w:tcPr>
          <w:p w:rsidR="00D849AA" w:rsidRPr="00950B90" w:rsidRDefault="00EE6D95">
            <w:pPr>
              <w:pStyle w:val="CellColumn"/>
            </w:pPr>
            <w:r w:rsidRPr="00950B90">
              <w:t>Plaćanje prihvatljivih troškova po sklopljenim ugovorima u određenim rokovima</w:t>
            </w:r>
          </w:p>
        </w:tc>
        <w:tc>
          <w:tcPr>
            <w:tcW w:w="1114" w:type="dxa"/>
          </w:tcPr>
          <w:p w:rsidR="00D849AA" w:rsidRPr="00950B90" w:rsidRDefault="00EE6D95">
            <w:pPr>
              <w:rPr>
                <w:rFonts w:ascii="Arial" w:hAnsi="Arial" w:cs="Arial"/>
              </w:rPr>
            </w:pPr>
            <w:r w:rsidRPr="00950B90">
              <w:rPr>
                <w:rFonts w:ascii="Arial" w:hAnsi="Arial" w:cs="Arial"/>
              </w:rPr>
              <w:t>%</w:t>
            </w:r>
          </w:p>
        </w:tc>
        <w:tc>
          <w:tcPr>
            <w:tcW w:w="1114" w:type="dxa"/>
          </w:tcPr>
          <w:p w:rsidR="00D849AA" w:rsidRPr="00950B90" w:rsidRDefault="00EE6D95">
            <w:pPr>
              <w:rPr>
                <w:rFonts w:ascii="Arial" w:hAnsi="Arial" w:cs="Arial"/>
              </w:rPr>
            </w:pPr>
            <w:r w:rsidRPr="00950B90">
              <w:rPr>
                <w:rFonts w:ascii="Arial" w:hAnsi="Arial" w:cs="Arial"/>
              </w:rPr>
              <w:t>100%</w:t>
            </w:r>
          </w:p>
        </w:tc>
        <w:tc>
          <w:tcPr>
            <w:tcW w:w="1486" w:type="dxa"/>
          </w:tcPr>
          <w:p w:rsidR="00D849AA" w:rsidRPr="00950B90" w:rsidRDefault="00EE6D95">
            <w:pPr>
              <w:rPr>
                <w:rFonts w:ascii="Arial" w:hAnsi="Arial" w:cs="Arial"/>
              </w:rPr>
            </w:pPr>
            <w:r w:rsidRPr="00950B90">
              <w:rPr>
                <w:rFonts w:ascii="Arial" w:hAnsi="Arial" w:cs="Arial"/>
              </w:rPr>
              <w:t>100%</w:t>
            </w:r>
          </w:p>
        </w:tc>
        <w:tc>
          <w:tcPr>
            <w:tcW w:w="1486" w:type="dxa"/>
          </w:tcPr>
          <w:p w:rsidR="00D849AA" w:rsidRPr="00950B90" w:rsidRDefault="00EE6D95">
            <w:pPr>
              <w:rPr>
                <w:rFonts w:ascii="Arial" w:hAnsi="Arial" w:cs="Arial"/>
              </w:rPr>
            </w:pPr>
            <w:r w:rsidRPr="00950B90">
              <w:rPr>
                <w:rFonts w:ascii="Arial" w:hAnsi="Arial" w:cs="Arial"/>
              </w:rPr>
              <w:t>100%</w:t>
            </w:r>
          </w:p>
        </w:tc>
        <w:tc>
          <w:tcPr>
            <w:tcW w:w="1486" w:type="dxa"/>
          </w:tcPr>
          <w:p w:rsidR="00D849AA" w:rsidRPr="00950B90" w:rsidRDefault="00EE6D95">
            <w:pPr>
              <w:rPr>
                <w:rFonts w:ascii="Arial" w:hAnsi="Arial" w:cs="Arial"/>
              </w:rPr>
            </w:pPr>
            <w:r w:rsidRPr="00950B90">
              <w:rPr>
                <w:rFonts w:ascii="Arial" w:hAnsi="Arial" w:cs="Arial"/>
              </w:rPr>
              <w:t>100%</w:t>
            </w:r>
          </w:p>
        </w:tc>
      </w:tr>
      <w:tr w:rsidR="00D849AA">
        <w:trPr>
          <w:jc w:val="center"/>
        </w:trPr>
        <w:tc>
          <w:tcPr>
            <w:tcW w:w="2229" w:type="dxa"/>
          </w:tcPr>
          <w:p w:rsidR="00D849AA" w:rsidRPr="00950B90" w:rsidRDefault="00EE6D95" w:rsidP="00950B90">
            <w:pPr>
              <w:pStyle w:val="CellColumn"/>
            </w:pPr>
            <w:r w:rsidRPr="00950B90">
              <w:t>Organizacija edukacija</w:t>
            </w:r>
            <w:r w:rsidR="00950B90" w:rsidRPr="00950B90">
              <w:t xml:space="preserve"> </w:t>
            </w:r>
            <w:r w:rsidRPr="00950B90">
              <w:t>regionalnih</w:t>
            </w:r>
            <w:r w:rsidR="00950B90" w:rsidRPr="00950B90">
              <w:t xml:space="preserve"> </w:t>
            </w:r>
            <w:r w:rsidRPr="00950B90">
              <w:t>koordinatora</w:t>
            </w:r>
          </w:p>
        </w:tc>
        <w:tc>
          <w:tcPr>
            <w:tcW w:w="1114" w:type="dxa"/>
          </w:tcPr>
          <w:p w:rsidR="00D849AA" w:rsidRPr="00950B90" w:rsidRDefault="00EE6D95">
            <w:pPr>
              <w:rPr>
                <w:rFonts w:ascii="Arial" w:hAnsi="Arial" w:cs="Arial"/>
              </w:rPr>
            </w:pPr>
            <w:r w:rsidRPr="00950B90">
              <w:rPr>
                <w:rFonts w:ascii="Arial" w:hAnsi="Arial" w:cs="Arial"/>
              </w:rPr>
              <w:t>broj</w:t>
            </w:r>
          </w:p>
        </w:tc>
        <w:tc>
          <w:tcPr>
            <w:tcW w:w="1114" w:type="dxa"/>
          </w:tcPr>
          <w:p w:rsidR="00D849AA" w:rsidRPr="00950B90" w:rsidRDefault="00EE6D95">
            <w:pPr>
              <w:rPr>
                <w:rFonts w:ascii="Arial" w:hAnsi="Arial" w:cs="Arial"/>
              </w:rPr>
            </w:pPr>
            <w:r w:rsidRPr="00950B90">
              <w:rPr>
                <w:rFonts w:ascii="Arial" w:hAnsi="Arial" w:cs="Arial"/>
              </w:rPr>
              <w:t>5</w:t>
            </w:r>
          </w:p>
        </w:tc>
        <w:tc>
          <w:tcPr>
            <w:tcW w:w="1486" w:type="dxa"/>
          </w:tcPr>
          <w:p w:rsidR="00D849AA" w:rsidRPr="00950B90" w:rsidRDefault="00EE6D95">
            <w:pPr>
              <w:rPr>
                <w:rFonts w:ascii="Arial" w:hAnsi="Arial" w:cs="Arial"/>
              </w:rPr>
            </w:pPr>
            <w:r w:rsidRPr="00950B90">
              <w:rPr>
                <w:rFonts w:ascii="Arial" w:hAnsi="Arial" w:cs="Arial"/>
              </w:rPr>
              <w:t>10</w:t>
            </w:r>
          </w:p>
        </w:tc>
        <w:tc>
          <w:tcPr>
            <w:tcW w:w="1486" w:type="dxa"/>
          </w:tcPr>
          <w:p w:rsidR="00D849AA" w:rsidRPr="00950B90" w:rsidRDefault="00EE6D95">
            <w:pPr>
              <w:rPr>
                <w:rFonts w:ascii="Arial" w:hAnsi="Arial" w:cs="Arial"/>
              </w:rPr>
            </w:pPr>
            <w:r w:rsidRPr="00950B90">
              <w:rPr>
                <w:rFonts w:ascii="Arial" w:hAnsi="Arial" w:cs="Arial"/>
              </w:rPr>
              <w:t>12</w:t>
            </w:r>
          </w:p>
        </w:tc>
        <w:tc>
          <w:tcPr>
            <w:tcW w:w="1486" w:type="dxa"/>
          </w:tcPr>
          <w:p w:rsidR="00D849AA" w:rsidRPr="00950B90" w:rsidRDefault="00EE6D95">
            <w:pPr>
              <w:rPr>
                <w:rFonts w:ascii="Arial" w:hAnsi="Arial" w:cs="Arial"/>
              </w:rPr>
            </w:pPr>
            <w:r w:rsidRPr="00950B90">
              <w:rPr>
                <w:rFonts w:ascii="Arial" w:hAnsi="Arial" w:cs="Arial"/>
              </w:rPr>
              <w:t>15</w:t>
            </w:r>
          </w:p>
        </w:tc>
      </w:tr>
      <w:tr w:rsidR="00D849AA">
        <w:trPr>
          <w:jc w:val="center"/>
        </w:trPr>
        <w:tc>
          <w:tcPr>
            <w:tcW w:w="2229" w:type="dxa"/>
          </w:tcPr>
          <w:p w:rsidR="00D849AA" w:rsidRPr="00950B90" w:rsidRDefault="00EE6D95">
            <w:pPr>
              <w:pStyle w:val="CellColumn"/>
            </w:pPr>
            <w:r w:rsidRPr="00950B90">
              <w:t>Održane sjednice Partnerskih vijeća</w:t>
            </w:r>
          </w:p>
        </w:tc>
        <w:tc>
          <w:tcPr>
            <w:tcW w:w="1114" w:type="dxa"/>
          </w:tcPr>
          <w:p w:rsidR="00D849AA" w:rsidRPr="00950B90" w:rsidRDefault="00EE6D95">
            <w:pPr>
              <w:rPr>
                <w:rFonts w:ascii="Arial" w:hAnsi="Arial" w:cs="Arial"/>
              </w:rPr>
            </w:pPr>
            <w:r w:rsidRPr="00950B90">
              <w:rPr>
                <w:rFonts w:ascii="Arial" w:hAnsi="Arial" w:cs="Arial"/>
              </w:rPr>
              <w:t>broj</w:t>
            </w:r>
          </w:p>
        </w:tc>
        <w:tc>
          <w:tcPr>
            <w:tcW w:w="1114" w:type="dxa"/>
          </w:tcPr>
          <w:p w:rsidR="00D849AA" w:rsidRPr="00950B90" w:rsidRDefault="00EE6D95">
            <w:pPr>
              <w:rPr>
                <w:rFonts w:ascii="Arial" w:hAnsi="Arial" w:cs="Arial"/>
              </w:rPr>
            </w:pPr>
            <w:r w:rsidRPr="00950B90">
              <w:rPr>
                <w:rFonts w:ascii="Arial" w:hAnsi="Arial" w:cs="Arial"/>
              </w:rPr>
              <w:t>2</w:t>
            </w:r>
          </w:p>
        </w:tc>
        <w:tc>
          <w:tcPr>
            <w:tcW w:w="1486" w:type="dxa"/>
          </w:tcPr>
          <w:p w:rsidR="00D849AA" w:rsidRPr="00950B90" w:rsidRDefault="00EE6D95">
            <w:pPr>
              <w:rPr>
                <w:rFonts w:ascii="Arial" w:hAnsi="Arial" w:cs="Arial"/>
              </w:rPr>
            </w:pPr>
            <w:r w:rsidRPr="00950B90">
              <w:rPr>
                <w:rFonts w:ascii="Arial" w:hAnsi="Arial" w:cs="Arial"/>
              </w:rPr>
              <w:t>4</w:t>
            </w:r>
          </w:p>
        </w:tc>
        <w:tc>
          <w:tcPr>
            <w:tcW w:w="1486" w:type="dxa"/>
          </w:tcPr>
          <w:p w:rsidR="00D849AA" w:rsidRPr="00950B90" w:rsidRDefault="00EE6D95">
            <w:pPr>
              <w:rPr>
                <w:rFonts w:ascii="Arial" w:hAnsi="Arial" w:cs="Arial"/>
              </w:rPr>
            </w:pPr>
            <w:r w:rsidRPr="00950B90">
              <w:rPr>
                <w:rFonts w:ascii="Arial" w:hAnsi="Arial" w:cs="Arial"/>
              </w:rPr>
              <w:t>4</w:t>
            </w:r>
          </w:p>
        </w:tc>
        <w:tc>
          <w:tcPr>
            <w:tcW w:w="1486" w:type="dxa"/>
          </w:tcPr>
          <w:p w:rsidR="00D849AA" w:rsidRPr="00950B90" w:rsidRDefault="00EE6D95">
            <w:pPr>
              <w:rPr>
                <w:rFonts w:ascii="Arial" w:hAnsi="Arial" w:cs="Arial"/>
              </w:rPr>
            </w:pPr>
            <w:r w:rsidRPr="00950B90">
              <w:rPr>
                <w:rFonts w:ascii="Arial" w:hAnsi="Arial" w:cs="Arial"/>
              </w:rPr>
              <w:t>4</w:t>
            </w:r>
          </w:p>
        </w:tc>
      </w:tr>
    </w:tbl>
    <w:p w:rsidR="00D849AA" w:rsidRDefault="00D849AA">
      <w:pPr>
        <w:jc w:val="left"/>
      </w:pPr>
    </w:p>
    <w:p w:rsidR="00D849AA" w:rsidRDefault="00EE6D95">
      <w:pPr>
        <w:pStyle w:val="Naslov2"/>
      </w:pPr>
      <w:r>
        <w:t>06125 Središnja agencija za financiranje i ugovaranje programa i projekata Europske unije</w:t>
      </w:r>
    </w:p>
    <w:p w:rsidR="00D849AA" w:rsidRDefault="00EE6D95">
      <w:pPr>
        <w:pStyle w:val="Naslov4"/>
      </w:pPr>
      <w:r>
        <w:t>Uvod</w:t>
      </w:r>
    </w:p>
    <w:p w:rsidR="00D849AA" w:rsidRDefault="00EE6D95">
      <w:pPr>
        <w:pStyle w:val="Normal3"/>
      </w:pPr>
      <w:r>
        <w:t xml:space="preserve">U nadležnosti Ministarstva regionalnoga razvoja i fondova Europske unije nalazi se glava 25-Središnja agencija za financiranje i ugovaranje programa i projekata Europske unije (SAFU). </w:t>
      </w:r>
    </w:p>
    <w:p w:rsidR="00D849AA" w:rsidRDefault="00EE6D95">
      <w:pPr>
        <w:pStyle w:val="Normal3"/>
      </w:pPr>
      <w:r>
        <w:t xml:space="preserve">Temeljem međunarodnog sporazuma koje je Vlada Republike Hrvatske sklopila s Europskom komisijom , te Ugovora o pristupanju Republike Hrvatske Europskoj uniji i odluci Europske komisije koja proizlazi iz navedenog Ugovora , SAFU je tijelo nadležno za provedbu prve (I) komponente Instrumenta pretpristupne pomoći i Prijelaznog instrumenta. </w:t>
      </w:r>
    </w:p>
    <w:p w:rsidR="00D849AA" w:rsidRDefault="00EE6D95">
      <w:pPr>
        <w:pStyle w:val="Normal3"/>
      </w:pPr>
      <w:r>
        <w:t xml:space="preserve">U sklopu navedenih programa, Središnja agencija za financiranje i ugovaranje programa i projekata Europske unije (SAFU) ima ulogu provedbene agencije, što znači da je nadležna za </w:t>
      </w:r>
      <w:r>
        <w:lastRenderedPageBreak/>
        <w:t xml:space="preserve">provedbu postupka javne nabave, ugovaranje, plaćanja i nadzor provedbe programa i projekata prema pravilima financijskog upravljanja i kontrole koje propisuje Europska komisija. SAFU je od strane Komisije akreditirana za navedene zadaće, i obavlja ih u suradnji sa ostalim tijelima državne i javne uprave kao korisnicima projekata.   </w:t>
      </w:r>
    </w:p>
    <w:p w:rsidR="00D849AA" w:rsidRDefault="00EE6D95">
      <w:pPr>
        <w:pStyle w:val="Normal3"/>
      </w:pPr>
      <w:r>
        <w:t xml:space="preserve">Sukladno odredbama Zakona o uspostavi institucionalnog okvira za korištenje strukturnih instrumenata Europske unije u Republici Hrvatskoj (Narodne novine, broj 78/12)  i Uredbe o tijelima u sustavu upravljanja i kontrole korištenja strukturnih instrumenata Europske unije u Republici Hrvatskoj (NN 97/12), SAFU je od 1. srpnja 2013. nadležna za obavljanje poslova Posredničkog tijela razine 2 u okviru strukturnih instrumenata: </w:t>
      </w:r>
    </w:p>
    <w:p w:rsidR="00D849AA" w:rsidRDefault="00EE6D95">
      <w:pPr>
        <w:pStyle w:val="Normal3"/>
      </w:pPr>
      <w:r>
        <w:t>•</w:t>
      </w:r>
      <w:r>
        <w:tab/>
        <w:t xml:space="preserve">Cjelokupnog Operativnog programa za regionalnu konkurentnost  </w:t>
      </w:r>
    </w:p>
    <w:p w:rsidR="00D849AA" w:rsidRDefault="00EE6D95">
      <w:pPr>
        <w:pStyle w:val="Normal3"/>
      </w:pPr>
      <w:r>
        <w:t>•</w:t>
      </w:r>
      <w:r>
        <w:tab/>
        <w:t xml:space="preserve">Operativnog programa za okoliš – Prioritet 3. Tehnička pomoć </w:t>
      </w:r>
    </w:p>
    <w:p w:rsidR="00D849AA" w:rsidRDefault="00EE6D95">
      <w:pPr>
        <w:pStyle w:val="Normal3"/>
      </w:pPr>
      <w:r>
        <w:t>•</w:t>
      </w:r>
      <w:r>
        <w:tab/>
        <w:t xml:space="preserve">Operativnog programa za promet – Prioritet 2. Unaprjeđenje sustava unutarnje plovidbe u </w:t>
      </w:r>
      <w:r>
        <w:tab/>
        <w:t xml:space="preserve">Hrvatskoj i prioritet 3. Tehnička pomoć </w:t>
      </w:r>
    </w:p>
    <w:p w:rsidR="00D849AA" w:rsidRDefault="00EE6D95" w:rsidP="00950B90">
      <w:pPr>
        <w:pStyle w:val="Normal3"/>
      </w:pPr>
      <w:r>
        <w:t xml:space="preserve">Kao Posredničko tijelo razine 2 SAFU sudjeluje u postupku evaluacije projektnih prijedloga te provodi nadzor nad provedbom projekata koje sufinancira proračun Europske unije.  </w:t>
      </w:r>
      <w:r>
        <w:tab/>
        <w:t xml:space="preserve"> </w:t>
      </w:r>
    </w:p>
    <w:p w:rsidR="00D849AA" w:rsidRDefault="00EE6D95">
      <w:pPr>
        <w:pStyle w:val="Normal3"/>
      </w:pPr>
      <w:r>
        <w:t xml:space="preserve">U sklopu gore navedenih operativnih programa, SAFU također ima ulogu partnera korisnicima, i to kod projekata za koje je postupak javne nabave pokrenut prije datuma hrvatskog članstva u Europskoj uniji prema posebnim pravilima Komisije za koje je SAFU stekla potrebnu akreditaciju. To u praksi znači da SAFU provodi projekte u ime i za račun pojedinih ministarstava (Ministarstvo regionalnoga razvoja i fondova EU; Ministarstvo znanosti, obrazovanja i sporta; Ministarstvo poduzetništva i obrta; Ministarstvo pomorstva, prometa i infrastrukture, Ministarstvo zaštite okoliša i prirode), odnosno relevantnih krajnjih korisnika projekata.  </w:t>
      </w:r>
    </w:p>
    <w:p w:rsidR="00D849AA" w:rsidRDefault="00EE6D95">
      <w:pPr>
        <w:pStyle w:val="Normal3"/>
      </w:pPr>
      <w:r>
        <w:t xml:space="preserve">Implementacijom projekata iz programa IPA i Tranzicijskog instrumenta koji su joj u nadležnosti, te kroz provedbu postupaka kontrole nad korištenjem sredstava iz strukturnih instrumenata, SAFU doprinosi ispravnom i učinkovitom korištenju bespovratnih sredstava iz europskog   proračuna, a koji su pak značajan izvor prihoda za hrvatski državni proračun. Provedbom spomenutih programa i projekata se s jedne strane osigurava bolji kapacitet državne i javne administracije za ispunjavanje obveza veznih uz neposrednu primjenu zajedničkih europskih propisa, a s druge strane realiziraju se investicije koje potiču gospodarski rast i zapošljavanje u Hrvatskoj. </w:t>
      </w:r>
    </w:p>
    <w:p w:rsidR="00D849AA" w:rsidRDefault="00EE6D95">
      <w:pPr>
        <w:pStyle w:val="Normal3"/>
      </w:pPr>
      <w:r>
        <w:t xml:space="preserve">Pored navedenih zadaća, SAFU sustavno provodi izobrazbu i diseminira stečena znanja prema ključnim partnerskim i korisničkim institucijama u sustavu upravljanja fondovima Europske unije. </w:t>
      </w:r>
    </w:p>
    <w:p w:rsidR="00D849AA" w:rsidRDefault="00EE6D95">
      <w:pPr>
        <w:pStyle w:val="Normal3"/>
      </w:pPr>
      <w:r>
        <w:t xml:space="preserve">Ukupan prijedlog financijskog plana za 2014. godinu iznosi 32.168.029 kn i za 6,24% je veći od financijskog plana za 2013. godinu. Navedeni iznos uključuje rashode planirane na izvoru 56 (2.549.143 kn) koji će se puniti sredstvima strukturnih fondova kao i rashode planirane na izvoru 31 (59.000 kn) koji će se ostvariti vlastitim prihodima (prodajom robe u čajnoj kuhinji).  </w:t>
      </w:r>
    </w:p>
    <w:p w:rsidR="00D849AA" w:rsidRDefault="00EE6D95">
      <w:pPr>
        <w:pStyle w:val="Normal3"/>
      </w:pPr>
      <w:r>
        <w:t xml:space="preserve">Prijedlog financijskog plana za 2014. godinu temeljen na izvorima 11 i 12 iznosi 29.559.886 kn i za 2,42% je manji od financijskog plana za 2013. godinu. Iz navedenog proizlazi da je osigurano realno smanjenje planiranih rashoda, dok će se troškovi ostvarivanja dodatnih ciljeva i aktivnosti SAFU u okviru korištenja strukturnih instrumenata koji uzrokuju nominalan rast rashoda financirati sredstvima strukturnih fondova, pridonoseći time njihovoj apsorpciji. </w:t>
      </w:r>
    </w:p>
    <w:p w:rsidR="00D849AA" w:rsidRDefault="00EE6D95">
      <w:pPr>
        <w:pStyle w:val="Normal3"/>
      </w:pPr>
      <w:r>
        <w:t xml:space="preserve">Nadalje, SAFU kao provedbeno tijelo za Instrument pretpristupne pomoći i Prijelazni instrument, ima obvezu raspisivati i provoditi nadmetanja sukladno hrvatskom Zakonu o javnoj nabavi. Dok su se u razdoblju prije 1. srpnja sva nadmetanja objavljivala besplatno na web stranicama SAFU i Europske komisije, hrvatski propisi nalažu objavu u Oglasniku javne nabave za što se plaća odgovarajuća financijska naknada. Obzirom da je provedba nadmetanja jedan od temeljnih poslova SAFU, to će tijekom 2014. rezultirati dodatnim troškovima koje SAFU do sada nije snosila, a mogući su i izdaci vezano uz vještačenja koje je potrebno organizirati na zahtjev Državne komisije za kontrolu postupaka javne nabave u slučaju pritužbi nezadovoljnih ponuditelja.  </w:t>
      </w:r>
    </w:p>
    <w:p w:rsidR="00D849AA" w:rsidRDefault="00EE6D95" w:rsidP="00950B90">
      <w:pPr>
        <w:pStyle w:val="Normal3"/>
      </w:pPr>
      <w:r>
        <w:lastRenderedPageBreak/>
        <w:t xml:space="preserve">Uz navedeno, SAFU je zadužena za nadzor provedbe projekta vodoopskrbe i odvodnje u gradu Karlovcu u ime i za račun tvrtke Vodovod i kanalizacija Karlovac d.o.o. kao korisnika, te Ministarstva poljoprivrede kao nadležnog sektorskog ministarstva. Budući da izvođač radova potražuje višemilijunske iznose eura naknade, planira se ugovoriti nezavisno stručno vještačenje kojim bi se dobila realna procjenu mogućih troškova za državni proračun i utvrdilo daljnje postupanje u sporu sa izvođačem. Isto je u skladu s preporukom Državnog odvjetništva Republike Hrvatske.  </w:t>
      </w:r>
    </w:p>
    <w:p w:rsidR="00D849AA" w:rsidRDefault="00EE6D95">
      <w:pPr>
        <w:pStyle w:val="Normal3"/>
      </w:pPr>
      <w:r>
        <w:t>Projekcije potreba za 2015. i 2016. godinu izrađene su na tragu prijedloga financijskog plana za 2014. godinu u limitima utvrđenim za razdoblje 2014. – 2016.</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950B90" w:rsidRDefault="00D849AA">
            <w:pPr>
              <w:pStyle w:val="CellHeader"/>
            </w:pPr>
          </w:p>
        </w:tc>
        <w:tc>
          <w:tcPr>
            <w:tcW w:w="1486" w:type="dxa"/>
            <w:shd w:val="clear" w:color="auto" w:fill="B5C0D8"/>
          </w:tcPr>
          <w:p w:rsidR="00D849AA" w:rsidRPr="00950B90" w:rsidRDefault="00EE6D95">
            <w:pPr>
              <w:pStyle w:val="CellHeader"/>
            </w:pPr>
            <w:r w:rsidRPr="00950B90">
              <w:t>Plan 2013.</w:t>
            </w:r>
          </w:p>
        </w:tc>
        <w:tc>
          <w:tcPr>
            <w:tcW w:w="1486" w:type="dxa"/>
            <w:shd w:val="clear" w:color="auto" w:fill="B5C0D8"/>
          </w:tcPr>
          <w:p w:rsidR="00D849AA" w:rsidRPr="00950B90" w:rsidRDefault="00EE6D95">
            <w:pPr>
              <w:pStyle w:val="CellHeader"/>
            </w:pPr>
            <w:r w:rsidRPr="00950B90">
              <w:t>Plan 2014.</w:t>
            </w:r>
          </w:p>
        </w:tc>
        <w:tc>
          <w:tcPr>
            <w:tcW w:w="1486" w:type="dxa"/>
            <w:shd w:val="clear" w:color="auto" w:fill="B5C0D8"/>
          </w:tcPr>
          <w:p w:rsidR="00D849AA" w:rsidRPr="00950B90" w:rsidRDefault="00EE6D95">
            <w:pPr>
              <w:pStyle w:val="CellHeader"/>
            </w:pPr>
            <w:r w:rsidRPr="00950B90">
              <w:t>Plan 2015.</w:t>
            </w:r>
          </w:p>
        </w:tc>
        <w:tc>
          <w:tcPr>
            <w:tcW w:w="1486" w:type="dxa"/>
            <w:shd w:val="clear" w:color="auto" w:fill="B5C0D8"/>
          </w:tcPr>
          <w:p w:rsidR="00D849AA" w:rsidRPr="00950B90" w:rsidRDefault="00EE6D95">
            <w:pPr>
              <w:pStyle w:val="CellHeader"/>
            </w:pPr>
            <w:r w:rsidRPr="00950B90">
              <w:t>Plan 2016.</w:t>
            </w:r>
          </w:p>
        </w:tc>
        <w:tc>
          <w:tcPr>
            <w:tcW w:w="1486" w:type="dxa"/>
            <w:shd w:val="clear" w:color="auto" w:fill="B5C0D8"/>
          </w:tcPr>
          <w:p w:rsidR="00D849AA" w:rsidRPr="00950B90" w:rsidRDefault="00EE6D95">
            <w:pPr>
              <w:pStyle w:val="CellHeader"/>
            </w:pPr>
            <w:r w:rsidRPr="00950B90">
              <w:t>Indeks 2014/2013</w:t>
            </w:r>
          </w:p>
        </w:tc>
      </w:tr>
      <w:tr w:rsidR="00D849AA">
        <w:trPr>
          <w:jc w:val="center"/>
        </w:trPr>
        <w:tc>
          <w:tcPr>
            <w:tcW w:w="1486" w:type="dxa"/>
          </w:tcPr>
          <w:p w:rsidR="00D849AA" w:rsidRPr="00950B90" w:rsidRDefault="00EE6D95">
            <w:pPr>
              <w:pStyle w:val="CellColumn"/>
            </w:pPr>
            <w:r w:rsidRPr="00950B90">
              <w:t>06125</w:t>
            </w:r>
          </w:p>
        </w:tc>
        <w:tc>
          <w:tcPr>
            <w:tcW w:w="1486" w:type="dxa"/>
          </w:tcPr>
          <w:p w:rsidR="00D849AA" w:rsidRPr="00950B90" w:rsidRDefault="00EE6D95">
            <w:pPr>
              <w:rPr>
                <w:rFonts w:ascii="Arial" w:hAnsi="Arial" w:cs="Arial"/>
              </w:rPr>
            </w:pPr>
            <w:r w:rsidRPr="00950B90">
              <w:rPr>
                <w:rFonts w:ascii="Arial" w:hAnsi="Arial" w:cs="Arial"/>
              </w:rPr>
              <w:t>30.277.736</w:t>
            </w:r>
          </w:p>
        </w:tc>
        <w:tc>
          <w:tcPr>
            <w:tcW w:w="1486" w:type="dxa"/>
          </w:tcPr>
          <w:p w:rsidR="00D849AA" w:rsidRPr="00950B90" w:rsidRDefault="00EE6D95">
            <w:pPr>
              <w:rPr>
                <w:rFonts w:ascii="Arial" w:hAnsi="Arial" w:cs="Arial"/>
              </w:rPr>
            </w:pPr>
            <w:r w:rsidRPr="00950B90">
              <w:rPr>
                <w:rFonts w:ascii="Arial" w:hAnsi="Arial" w:cs="Arial"/>
              </w:rPr>
              <w:t>32.168.029</w:t>
            </w:r>
          </w:p>
        </w:tc>
        <w:tc>
          <w:tcPr>
            <w:tcW w:w="1486" w:type="dxa"/>
          </w:tcPr>
          <w:p w:rsidR="00D849AA" w:rsidRPr="00950B90" w:rsidRDefault="00EE6D95">
            <w:pPr>
              <w:rPr>
                <w:rFonts w:ascii="Arial" w:hAnsi="Arial" w:cs="Arial"/>
              </w:rPr>
            </w:pPr>
            <w:r w:rsidRPr="00950B90">
              <w:rPr>
                <w:rFonts w:ascii="Arial" w:hAnsi="Arial" w:cs="Arial"/>
              </w:rPr>
              <w:t>34.237.033</w:t>
            </w:r>
          </w:p>
        </w:tc>
        <w:tc>
          <w:tcPr>
            <w:tcW w:w="1486" w:type="dxa"/>
          </w:tcPr>
          <w:p w:rsidR="00D849AA" w:rsidRPr="00950B90" w:rsidRDefault="00EE6D95">
            <w:pPr>
              <w:rPr>
                <w:rFonts w:ascii="Arial" w:hAnsi="Arial" w:cs="Arial"/>
              </w:rPr>
            </w:pPr>
            <w:r w:rsidRPr="00950B90">
              <w:rPr>
                <w:rFonts w:ascii="Arial" w:hAnsi="Arial" w:cs="Arial"/>
              </w:rPr>
              <w:t>34.073.658</w:t>
            </w:r>
          </w:p>
        </w:tc>
        <w:tc>
          <w:tcPr>
            <w:tcW w:w="1486" w:type="dxa"/>
          </w:tcPr>
          <w:p w:rsidR="00D849AA" w:rsidRPr="00950B90" w:rsidRDefault="00EE6D95">
            <w:pPr>
              <w:rPr>
                <w:rFonts w:ascii="Arial" w:hAnsi="Arial" w:cs="Arial"/>
              </w:rPr>
            </w:pPr>
            <w:r w:rsidRPr="00950B90">
              <w:rPr>
                <w:rFonts w:ascii="Arial" w:hAnsi="Arial" w:cs="Arial"/>
              </w:rPr>
              <w:t>106,2</w:t>
            </w:r>
          </w:p>
        </w:tc>
      </w:tr>
    </w:tbl>
    <w:p w:rsidR="00D849AA" w:rsidRDefault="00D849AA">
      <w:pPr>
        <w:jc w:val="left"/>
      </w:pPr>
    </w:p>
    <w:p w:rsidR="00D849AA" w:rsidRDefault="00EE6D95">
      <w:pPr>
        <w:pStyle w:val="Naslov4"/>
      </w:pPr>
      <w:r>
        <w:t>OBRAZLOŽENJE PROGRAMA</w:t>
      </w:r>
    </w:p>
    <w:p w:rsidR="00D849AA" w:rsidRDefault="00EE6D95">
      <w:pPr>
        <w:pStyle w:val="Naslov5"/>
      </w:pPr>
      <w:r>
        <w:t>2210 FINANCIRANJE I UGOVARANJE PRETPRISTUPNIH I FONDOVA EU</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950B90" w:rsidRDefault="00D849AA">
            <w:pPr>
              <w:pStyle w:val="CellHeader"/>
            </w:pPr>
          </w:p>
        </w:tc>
        <w:tc>
          <w:tcPr>
            <w:tcW w:w="1486" w:type="dxa"/>
            <w:shd w:val="clear" w:color="auto" w:fill="B5C0D8"/>
          </w:tcPr>
          <w:p w:rsidR="00D849AA" w:rsidRPr="00950B90" w:rsidRDefault="00EE6D95">
            <w:pPr>
              <w:pStyle w:val="CellHeader"/>
            </w:pPr>
            <w:r w:rsidRPr="00950B90">
              <w:t>Plan 2013.</w:t>
            </w:r>
          </w:p>
        </w:tc>
        <w:tc>
          <w:tcPr>
            <w:tcW w:w="1486" w:type="dxa"/>
            <w:shd w:val="clear" w:color="auto" w:fill="B5C0D8"/>
          </w:tcPr>
          <w:p w:rsidR="00D849AA" w:rsidRPr="00950B90" w:rsidRDefault="00EE6D95">
            <w:pPr>
              <w:pStyle w:val="CellHeader"/>
            </w:pPr>
            <w:r w:rsidRPr="00950B90">
              <w:t>Plan 2014.</w:t>
            </w:r>
          </w:p>
        </w:tc>
        <w:tc>
          <w:tcPr>
            <w:tcW w:w="1486" w:type="dxa"/>
            <w:shd w:val="clear" w:color="auto" w:fill="B5C0D8"/>
          </w:tcPr>
          <w:p w:rsidR="00D849AA" w:rsidRPr="00950B90" w:rsidRDefault="00EE6D95">
            <w:pPr>
              <w:pStyle w:val="CellHeader"/>
            </w:pPr>
            <w:r w:rsidRPr="00950B90">
              <w:t>Plan 2015.</w:t>
            </w:r>
          </w:p>
        </w:tc>
        <w:tc>
          <w:tcPr>
            <w:tcW w:w="1486" w:type="dxa"/>
            <w:shd w:val="clear" w:color="auto" w:fill="B5C0D8"/>
          </w:tcPr>
          <w:p w:rsidR="00D849AA" w:rsidRPr="00950B90" w:rsidRDefault="00EE6D95">
            <w:pPr>
              <w:pStyle w:val="CellHeader"/>
            </w:pPr>
            <w:r w:rsidRPr="00950B90">
              <w:t>Plan 2016.</w:t>
            </w:r>
          </w:p>
        </w:tc>
        <w:tc>
          <w:tcPr>
            <w:tcW w:w="1486" w:type="dxa"/>
            <w:shd w:val="clear" w:color="auto" w:fill="B5C0D8"/>
          </w:tcPr>
          <w:p w:rsidR="00D849AA" w:rsidRPr="00950B90" w:rsidRDefault="00EE6D95">
            <w:pPr>
              <w:pStyle w:val="CellHeader"/>
            </w:pPr>
            <w:r w:rsidRPr="00950B90">
              <w:t>Indeks 2014/2013</w:t>
            </w:r>
          </w:p>
        </w:tc>
      </w:tr>
      <w:tr w:rsidR="00D849AA">
        <w:trPr>
          <w:jc w:val="center"/>
        </w:trPr>
        <w:tc>
          <w:tcPr>
            <w:tcW w:w="1486" w:type="dxa"/>
          </w:tcPr>
          <w:p w:rsidR="00D849AA" w:rsidRPr="00950B90" w:rsidRDefault="00EE6D95">
            <w:pPr>
              <w:pStyle w:val="CellColumn"/>
            </w:pPr>
            <w:r w:rsidRPr="00950B90">
              <w:t>2210</w:t>
            </w:r>
          </w:p>
        </w:tc>
        <w:tc>
          <w:tcPr>
            <w:tcW w:w="1486" w:type="dxa"/>
          </w:tcPr>
          <w:p w:rsidR="00D849AA" w:rsidRPr="00950B90" w:rsidRDefault="00EE6D95">
            <w:pPr>
              <w:rPr>
                <w:rFonts w:ascii="Arial" w:hAnsi="Arial" w:cs="Arial"/>
              </w:rPr>
            </w:pPr>
            <w:r w:rsidRPr="00950B90">
              <w:rPr>
                <w:rFonts w:ascii="Arial" w:hAnsi="Arial" w:cs="Arial"/>
              </w:rPr>
              <w:t>30.277.736</w:t>
            </w:r>
          </w:p>
        </w:tc>
        <w:tc>
          <w:tcPr>
            <w:tcW w:w="1486" w:type="dxa"/>
          </w:tcPr>
          <w:p w:rsidR="00D849AA" w:rsidRPr="00950B90" w:rsidRDefault="00EE6D95">
            <w:pPr>
              <w:rPr>
                <w:rFonts w:ascii="Arial" w:hAnsi="Arial" w:cs="Arial"/>
              </w:rPr>
            </w:pPr>
            <w:r w:rsidRPr="00950B90">
              <w:rPr>
                <w:rFonts w:ascii="Arial" w:hAnsi="Arial" w:cs="Arial"/>
              </w:rPr>
              <w:t>32.168.029</w:t>
            </w:r>
          </w:p>
        </w:tc>
        <w:tc>
          <w:tcPr>
            <w:tcW w:w="1486" w:type="dxa"/>
          </w:tcPr>
          <w:p w:rsidR="00D849AA" w:rsidRPr="00950B90" w:rsidRDefault="00EE6D95">
            <w:pPr>
              <w:rPr>
                <w:rFonts w:ascii="Arial" w:hAnsi="Arial" w:cs="Arial"/>
              </w:rPr>
            </w:pPr>
            <w:r w:rsidRPr="00950B90">
              <w:rPr>
                <w:rFonts w:ascii="Arial" w:hAnsi="Arial" w:cs="Arial"/>
              </w:rPr>
              <w:t>34.237.033</w:t>
            </w:r>
          </w:p>
        </w:tc>
        <w:tc>
          <w:tcPr>
            <w:tcW w:w="1486" w:type="dxa"/>
          </w:tcPr>
          <w:p w:rsidR="00D849AA" w:rsidRPr="00950B90" w:rsidRDefault="00EE6D95">
            <w:pPr>
              <w:rPr>
                <w:rFonts w:ascii="Arial" w:hAnsi="Arial" w:cs="Arial"/>
              </w:rPr>
            </w:pPr>
            <w:r w:rsidRPr="00950B90">
              <w:rPr>
                <w:rFonts w:ascii="Arial" w:hAnsi="Arial" w:cs="Arial"/>
              </w:rPr>
              <w:t>34.073.658</w:t>
            </w:r>
          </w:p>
        </w:tc>
        <w:tc>
          <w:tcPr>
            <w:tcW w:w="1486" w:type="dxa"/>
          </w:tcPr>
          <w:p w:rsidR="00D849AA" w:rsidRPr="00950B90" w:rsidRDefault="00EE6D95">
            <w:pPr>
              <w:rPr>
                <w:rFonts w:ascii="Arial" w:hAnsi="Arial" w:cs="Arial"/>
              </w:rPr>
            </w:pPr>
            <w:r w:rsidRPr="00950B90">
              <w:rPr>
                <w:rFonts w:ascii="Arial" w:hAnsi="Arial" w:cs="Arial"/>
              </w:rPr>
              <w:t>106,2</w:t>
            </w:r>
          </w:p>
        </w:tc>
      </w:tr>
    </w:tbl>
    <w:p w:rsidR="00D849AA" w:rsidRDefault="00D849AA">
      <w:pPr>
        <w:jc w:val="left"/>
      </w:pPr>
    </w:p>
    <w:p w:rsidR="00D849AA" w:rsidRDefault="00EE6D95">
      <w:pPr>
        <w:pStyle w:val="Naslov6"/>
      </w:pPr>
      <w:r>
        <w:t>Opis programa</w:t>
      </w:r>
    </w:p>
    <w:p w:rsidR="00D849AA" w:rsidRDefault="00EE6D95">
      <w:pPr>
        <w:pStyle w:val="Normal5"/>
      </w:pPr>
      <w:r>
        <w:t xml:space="preserve">Poštujući dodijeljene joj odgovornosti i ovlasti, SAFU će učinkovitim financijskim upravljanjem projektima i očuvanjem odgovarajućeg administrativnog kapaciteta osiguravati visoke stope ugovorenosti EU programa iz njezine nadležnosti, a u cilju osiguranja visoke razine iskorištenosti navedenih sredstava. </w:t>
      </w:r>
    </w:p>
    <w:p w:rsidR="00D849AA" w:rsidRDefault="00EE6D95">
      <w:pPr>
        <w:pStyle w:val="Normal5"/>
      </w:pPr>
      <w:r>
        <w:t xml:space="preserve">Također će se nastaviti sa jačanjem administrativnog kapaciteta i diseminacijom stečenih znanja putem aktivnosti izobrazbe (seminari/radionice u okviru različitih programa za različite ciljne skupine) te tzv. on-the-job treninga odnosno učenja uz rad na konkretnim primjerima iz prakse. </w:t>
      </w:r>
    </w:p>
    <w:p w:rsidR="00D849AA" w:rsidRDefault="00EE6D95">
      <w:pPr>
        <w:pStyle w:val="Normal5"/>
      </w:pPr>
      <w:r>
        <w:t>Navedene aktivnosti u funkciji su ostvarenja općeg cilja Osiguranje visoke razine iskorištenosti sredstava fondova Europske unije s programom 2210  Financiranje i ugovaranje pretpristupnih i fondova Europske unije.</w:t>
      </w:r>
    </w:p>
    <w:p w:rsidR="00D849AA" w:rsidRDefault="00EE6D95">
      <w:pPr>
        <w:pStyle w:val="Naslov6"/>
      </w:pPr>
      <w:r>
        <w:t>Zakonske i druge pravne osnove</w:t>
      </w:r>
    </w:p>
    <w:p w:rsidR="00D849AA" w:rsidRDefault="00EE6D95">
      <w:pPr>
        <w:pStyle w:val="Normal5"/>
      </w:pPr>
      <w:r>
        <w:t xml:space="preserve">1. Uredba  o  osnivanju  Središnje  agencije  za  financiranje  i  ugovaranje  programa  i projekata Europske unije (Narodne novine, broj 90/2007, 114/2007, 29/2012, 56/2013);  </w:t>
      </w:r>
    </w:p>
    <w:p w:rsidR="00D849AA" w:rsidRDefault="00EE6D95">
      <w:pPr>
        <w:pStyle w:val="Normal5"/>
      </w:pPr>
      <w:r>
        <w:t xml:space="preserve">2. Okvirni sporazum između Vlade Republike Hrvatske i Komisije europskih zajednica o pravilima za suradnju u svezi financijske pomoći Europske zajednice Republici Hrvatskoj u provedbi pomoći u okviru Instrumenta pretpristupne pomoći (I  PA) (MU 10/2007); </w:t>
      </w:r>
    </w:p>
    <w:p w:rsidR="00D849AA" w:rsidRDefault="00EE6D95">
      <w:pPr>
        <w:pStyle w:val="Normal5"/>
      </w:pPr>
      <w:r>
        <w:t xml:space="preserve">3. Uredba o opsegu i sadržaju odgovornosti te ovlastima tijela nadležnih za upravljanje Instrumentom pretpristupne pomoći (IPA) (Narodne novine, broj 29/2012, 117/12 i 76/13); </w:t>
      </w:r>
    </w:p>
    <w:p w:rsidR="00D849AA" w:rsidRDefault="00EE6D95">
      <w:pPr>
        <w:pStyle w:val="Normal5"/>
      </w:pPr>
      <w:r>
        <w:lastRenderedPageBreak/>
        <w:t xml:space="preserve">4. Odluka Europske komisije od 13. lipnja 2013. godine o tehničkim odredbama za provedbu Prijelaznog instrumenta u Republici Hrvatskoj; </w:t>
      </w:r>
    </w:p>
    <w:p w:rsidR="00D849AA" w:rsidRDefault="00EE6D95">
      <w:pPr>
        <w:pStyle w:val="Normal5"/>
      </w:pPr>
      <w:r>
        <w:t xml:space="preserve">5. Zakon  o  uspostavi  institucionalnog  okvira  za  korištenje  strukturnih  instrumenata Europske unije u Republici Hrvatskoj (Narodne novine, broj 78/2012); </w:t>
      </w:r>
    </w:p>
    <w:p w:rsidR="00D849AA" w:rsidRDefault="00EE6D95">
      <w:pPr>
        <w:pStyle w:val="Normal5"/>
      </w:pPr>
      <w:r>
        <w:t>6. Uredba o tijelima u sustavu upravljanja i kontrole korištenja strukturnih instrumenata Europske unije u Republici Hrvatskoj (Narodne novine, broj 97/2012).</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Cilj 1. Kontinuirano održavanje visokih stopa ugovaranja i učinkovito upravljanje sredstvima iz IPA programa te Prijelaznog instrumenta u nadležnosti SAFU</w:t>
      </w:r>
    </w:p>
    <w:p w:rsidR="00D849AA" w:rsidRDefault="00EE6D95">
      <w:pPr>
        <w:pStyle w:val="Normal6"/>
      </w:pPr>
      <w:r>
        <w:t>Cilj programa ostvarivat će se provođenjem postupaka javne nabave sukladno definiranim planovima i procedurama, zatim sklapanjem i vođenjem ugovora, te provedbom programa izobrazbe za zaposlene u državnim i javnim institucijama angažiranim na projektima koji se sufinanciraju iz programa Europske unije.</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807829" w:rsidRDefault="00EE6D95">
            <w:pPr>
              <w:rPr>
                <w:rFonts w:ascii="Arial" w:hAnsi="Arial" w:cs="Arial"/>
              </w:rPr>
            </w:pPr>
            <w:r w:rsidRPr="00807829">
              <w:rPr>
                <w:rFonts w:ascii="Arial" w:hAnsi="Arial" w:cs="Arial"/>
              </w:rPr>
              <w:t>Pokazatelj učinka</w:t>
            </w:r>
          </w:p>
        </w:tc>
        <w:tc>
          <w:tcPr>
            <w:tcW w:w="1114" w:type="dxa"/>
            <w:shd w:val="clear" w:color="auto" w:fill="B5C0D8"/>
          </w:tcPr>
          <w:p w:rsidR="00D849AA" w:rsidRPr="00807829" w:rsidRDefault="00EE6D95">
            <w:pPr>
              <w:pStyle w:val="CellHeader"/>
            </w:pPr>
            <w:r w:rsidRPr="00807829">
              <w:t>Jedinica</w:t>
            </w:r>
          </w:p>
        </w:tc>
        <w:tc>
          <w:tcPr>
            <w:tcW w:w="1114" w:type="dxa"/>
            <w:shd w:val="clear" w:color="auto" w:fill="B5C0D8"/>
          </w:tcPr>
          <w:p w:rsidR="00D849AA" w:rsidRPr="00807829" w:rsidRDefault="00EE6D95">
            <w:pPr>
              <w:pStyle w:val="CellHeader"/>
            </w:pPr>
            <w:r w:rsidRPr="00807829">
              <w:t>Polazna vrijednost</w:t>
            </w:r>
          </w:p>
        </w:tc>
        <w:tc>
          <w:tcPr>
            <w:tcW w:w="1486" w:type="dxa"/>
            <w:shd w:val="clear" w:color="auto" w:fill="B5C0D8"/>
          </w:tcPr>
          <w:p w:rsidR="00D849AA" w:rsidRPr="00807829" w:rsidRDefault="00EE6D95">
            <w:pPr>
              <w:pStyle w:val="CellHeader"/>
            </w:pPr>
            <w:r w:rsidRPr="00807829">
              <w:t>Ciljana vrijednost (2014.)</w:t>
            </w:r>
          </w:p>
        </w:tc>
        <w:tc>
          <w:tcPr>
            <w:tcW w:w="1486" w:type="dxa"/>
            <w:shd w:val="clear" w:color="auto" w:fill="B5C0D8"/>
          </w:tcPr>
          <w:p w:rsidR="00D849AA" w:rsidRPr="00807829" w:rsidRDefault="00EE6D95">
            <w:pPr>
              <w:pStyle w:val="CellHeader"/>
            </w:pPr>
            <w:r w:rsidRPr="00807829">
              <w:t>Ciljana vrijednost (2015.)</w:t>
            </w:r>
          </w:p>
        </w:tc>
        <w:tc>
          <w:tcPr>
            <w:tcW w:w="1486" w:type="dxa"/>
            <w:shd w:val="clear" w:color="auto" w:fill="B5C0D8"/>
          </w:tcPr>
          <w:p w:rsidR="00D849AA" w:rsidRPr="00807829" w:rsidRDefault="00EE6D95">
            <w:pPr>
              <w:pStyle w:val="CellHeader"/>
            </w:pPr>
            <w:r w:rsidRPr="00807829">
              <w:t>Ciljana vrijednost (2016.)</w:t>
            </w:r>
          </w:p>
        </w:tc>
      </w:tr>
      <w:tr w:rsidR="00D849AA">
        <w:trPr>
          <w:jc w:val="center"/>
        </w:trPr>
        <w:tc>
          <w:tcPr>
            <w:tcW w:w="2229" w:type="dxa"/>
          </w:tcPr>
          <w:p w:rsidR="00D849AA" w:rsidRPr="00807829" w:rsidRDefault="00EE6D95">
            <w:pPr>
              <w:pStyle w:val="CellColumn"/>
            </w:pPr>
            <w:r w:rsidRPr="00807829">
              <w:t>Razina iskorištenosti sredstava iz IPA programa te Prijelaznog instrumenta u nadležnosti SAFU</w:t>
            </w:r>
          </w:p>
        </w:tc>
        <w:tc>
          <w:tcPr>
            <w:tcW w:w="1114" w:type="dxa"/>
          </w:tcPr>
          <w:p w:rsidR="00D849AA" w:rsidRPr="00807829" w:rsidRDefault="00EE6D95">
            <w:pPr>
              <w:rPr>
                <w:rFonts w:ascii="Arial" w:hAnsi="Arial" w:cs="Arial"/>
              </w:rPr>
            </w:pPr>
            <w:r w:rsidRPr="00807829">
              <w:rPr>
                <w:rFonts w:ascii="Arial" w:hAnsi="Arial" w:cs="Arial"/>
              </w:rPr>
              <w:t>%</w:t>
            </w:r>
          </w:p>
        </w:tc>
        <w:tc>
          <w:tcPr>
            <w:tcW w:w="1114" w:type="dxa"/>
          </w:tcPr>
          <w:p w:rsidR="00D849AA" w:rsidRPr="00807829" w:rsidRDefault="00EE6D95">
            <w:pPr>
              <w:rPr>
                <w:rFonts w:ascii="Arial" w:hAnsi="Arial" w:cs="Arial"/>
              </w:rPr>
            </w:pPr>
            <w:r w:rsidRPr="00807829">
              <w:rPr>
                <w:rFonts w:ascii="Arial" w:hAnsi="Arial" w:cs="Arial"/>
              </w:rPr>
              <w:t>n/a</w:t>
            </w:r>
          </w:p>
        </w:tc>
        <w:tc>
          <w:tcPr>
            <w:tcW w:w="1486" w:type="dxa"/>
          </w:tcPr>
          <w:p w:rsidR="00D849AA" w:rsidRPr="00807829" w:rsidRDefault="00EE6D95">
            <w:pPr>
              <w:rPr>
                <w:rFonts w:ascii="Arial" w:hAnsi="Arial" w:cs="Arial"/>
              </w:rPr>
            </w:pPr>
            <w:r w:rsidRPr="00807829">
              <w:rPr>
                <w:rFonts w:ascii="Arial" w:hAnsi="Arial" w:cs="Arial"/>
              </w:rPr>
              <w:t>Min 90</w:t>
            </w:r>
          </w:p>
        </w:tc>
        <w:tc>
          <w:tcPr>
            <w:tcW w:w="1486" w:type="dxa"/>
          </w:tcPr>
          <w:p w:rsidR="00D849AA" w:rsidRPr="00807829" w:rsidRDefault="00EE6D95">
            <w:pPr>
              <w:rPr>
                <w:rFonts w:ascii="Arial" w:hAnsi="Arial" w:cs="Arial"/>
              </w:rPr>
            </w:pPr>
            <w:r w:rsidRPr="00807829">
              <w:rPr>
                <w:rFonts w:ascii="Arial" w:hAnsi="Arial" w:cs="Arial"/>
              </w:rPr>
              <w:t>Min 90</w:t>
            </w:r>
          </w:p>
        </w:tc>
        <w:tc>
          <w:tcPr>
            <w:tcW w:w="1486" w:type="dxa"/>
          </w:tcPr>
          <w:p w:rsidR="00D849AA" w:rsidRPr="00807829" w:rsidRDefault="00EE6D95">
            <w:pPr>
              <w:rPr>
                <w:rFonts w:ascii="Arial" w:hAnsi="Arial" w:cs="Arial"/>
              </w:rPr>
            </w:pPr>
            <w:r w:rsidRPr="00807829">
              <w:rPr>
                <w:rFonts w:ascii="Arial" w:hAnsi="Arial" w:cs="Arial"/>
              </w:rPr>
              <w:t>Min 90</w:t>
            </w:r>
          </w:p>
        </w:tc>
      </w:tr>
    </w:tbl>
    <w:p w:rsidR="00D849AA" w:rsidRDefault="00D849AA">
      <w:pPr>
        <w:jc w:val="left"/>
      </w:pPr>
    </w:p>
    <w:p w:rsidR="00D849AA" w:rsidRDefault="00EE6D95">
      <w:pPr>
        <w:pStyle w:val="Naslov7"/>
      </w:pPr>
      <w:r>
        <w:t>Cilj 2. Učinkovito upravljanje sredstvima strukturnih instrumenata u nadležnosti SAFU</w:t>
      </w:r>
    </w:p>
    <w:p w:rsidR="00D849AA" w:rsidRDefault="00EE6D95">
      <w:pPr>
        <w:pStyle w:val="Normal6"/>
      </w:pPr>
      <w:r>
        <w:t>Cilj programa ostvarivat će se provedbom zadaća koje će SAFU obavljati u svojstvu Posredničkog tijela razine 2, te u svojstvu partnera korisnicima, u skladu sa strateškim, zakonodavnim i programskim okvirom usuglašenim između Republike Hrvatske i Europske unije.</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807829" w:rsidRDefault="00EE6D95">
            <w:pPr>
              <w:rPr>
                <w:rFonts w:ascii="Arial" w:hAnsi="Arial" w:cs="Arial"/>
              </w:rPr>
            </w:pPr>
            <w:r w:rsidRPr="00807829">
              <w:rPr>
                <w:rFonts w:ascii="Arial" w:hAnsi="Arial" w:cs="Arial"/>
              </w:rPr>
              <w:t>Pokazatelj učinka</w:t>
            </w:r>
          </w:p>
        </w:tc>
        <w:tc>
          <w:tcPr>
            <w:tcW w:w="1114" w:type="dxa"/>
            <w:shd w:val="clear" w:color="auto" w:fill="B5C0D8"/>
          </w:tcPr>
          <w:p w:rsidR="00D849AA" w:rsidRPr="00807829" w:rsidRDefault="00EE6D95">
            <w:pPr>
              <w:pStyle w:val="CellHeader"/>
            </w:pPr>
            <w:r w:rsidRPr="00807829">
              <w:t>Jedinica</w:t>
            </w:r>
          </w:p>
        </w:tc>
        <w:tc>
          <w:tcPr>
            <w:tcW w:w="1114" w:type="dxa"/>
            <w:shd w:val="clear" w:color="auto" w:fill="B5C0D8"/>
          </w:tcPr>
          <w:p w:rsidR="00D849AA" w:rsidRPr="00807829" w:rsidRDefault="00EE6D95">
            <w:pPr>
              <w:pStyle w:val="CellHeader"/>
            </w:pPr>
            <w:r w:rsidRPr="00807829">
              <w:t>Polazna vrijednost</w:t>
            </w:r>
          </w:p>
        </w:tc>
        <w:tc>
          <w:tcPr>
            <w:tcW w:w="1486" w:type="dxa"/>
            <w:shd w:val="clear" w:color="auto" w:fill="B5C0D8"/>
          </w:tcPr>
          <w:p w:rsidR="00D849AA" w:rsidRPr="00807829" w:rsidRDefault="00EE6D95">
            <w:pPr>
              <w:pStyle w:val="CellHeader"/>
            </w:pPr>
            <w:r w:rsidRPr="00807829">
              <w:t>Ciljana vrijednost (2014.)</w:t>
            </w:r>
          </w:p>
        </w:tc>
        <w:tc>
          <w:tcPr>
            <w:tcW w:w="1486" w:type="dxa"/>
            <w:shd w:val="clear" w:color="auto" w:fill="B5C0D8"/>
          </w:tcPr>
          <w:p w:rsidR="00D849AA" w:rsidRPr="00807829" w:rsidRDefault="00EE6D95">
            <w:pPr>
              <w:pStyle w:val="CellHeader"/>
            </w:pPr>
            <w:r w:rsidRPr="00807829">
              <w:t>Ciljana vrijednost (2015.)</w:t>
            </w:r>
          </w:p>
        </w:tc>
        <w:tc>
          <w:tcPr>
            <w:tcW w:w="1486" w:type="dxa"/>
            <w:shd w:val="clear" w:color="auto" w:fill="B5C0D8"/>
          </w:tcPr>
          <w:p w:rsidR="00D849AA" w:rsidRPr="00807829" w:rsidRDefault="00EE6D95">
            <w:pPr>
              <w:pStyle w:val="CellHeader"/>
            </w:pPr>
            <w:r w:rsidRPr="00807829">
              <w:t>Ciljana vrijednost (2016.)</w:t>
            </w:r>
          </w:p>
        </w:tc>
      </w:tr>
      <w:tr w:rsidR="00D849AA">
        <w:trPr>
          <w:jc w:val="center"/>
        </w:trPr>
        <w:tc>
          <w:tcPr>
            <w:tcW w:w="2229" w:type="dxa"/>
          </w:tcPr>
          <w:p w:rsidR="00D849AA" w:rsidRPr="00807829" w:rsidRDefault="00EE6D95">
            <w:pPr>
              <w:pStyle w:val="CellColumn"/>
            </w:pPr>
            <w:r w:rsidRPr="00807829">
              <w:t>Razina iskorištenosti sredstava iz strukturnih instrumenata u nadležnosti SAFU</w:t>
            </w:r>
          </w:p>
        </w:tc>
        <w:tc>
          <w:tcPr>
            <w:tcW w:w="1114" w:type="dxa"/>
          </w:tcPr>
          <w:p w:rsidR="00D849AA" w:rsidRPr="00807829" w:rsidRDefault="00EE6D95">
            <w:pPr>
              <w:rPr>
                <w:rFonts w:ascii="Arial" w:hAnsi="Arial" w:cs="Arial"/>
              </w:rPr>
            </w:pPr>
            <w:r w:rsidRPr="00807829">
              <w:rPr>
                <w:rFonts w:ascii="Arial" w:hAnsi="Arial" w:cs="Arial"/>
              </w:rPr>
              <w:t>%</w:t>
            </w:r>
          </w:p>
        </w:tc>
        <w:tc>
          <w:tcPr>
            <w:tcW w:w="1114" w:type="dxa"/>
          </w:tcPr>
          <w:p w:rsidR="00D849AA" w:rsidRPr="00807829" w:rsidRDefault="00EE6D95">
            <w:pPr>
              <w:rPr>
                <w:rFonts w:ascii="Arial" w:hAnsi="Arial" w:cs="Arial"/>
              </w:rPr>
            </w:pPr>
            <w:r w:rsidRPr="00807829">
              <w:rPr>
                <w:rFonts w:ascii="Arial" w:hAnsi="Arial" w:cs="Arial"/>
              </w:rPr>
              <w:t>n/a</w:t>
            </w:r>
          </w:p>
        </w:tc>
        <w:tc>
          <w:tcPr>
            <w:tcW w:w="1486" w:type="dxa"/>
          </w:tcPr>
          <w:p w:rsidR="00D849AA" w:rsidRPr="00807829" w:rsidRDefault="00EE6D95">
            <w:pPr>
              <w:rPr>
                <w:rFonts w:ascii="Arial" w:hAnsi="Arial" w:cs="Arial"/>
              </w:rPr>
            </w:pPr>
            <w:r w:rsidRPr="00807829">
              <w:rPr>
                <w:rFonts w:ascii="Arial" w:hAnsi="Arial" w:cs="Arial"/>
              </w:rPr>
              <w:t>Min 30</w:t>
            </w:r>
          </w:p>
        </w:tc>
        <w:tc>
          <w:tcPr>
            <w:tcW w:w="1486" w:type="dxa"/>
          </w:tcPr>
          <w:p w:rsidR="00D849AA" w:rsidRPr="00807829" w:rsidRDefault="00EE6D95">
            <w:pPr>
              <w:rPr>
                <w:rFonts w:ascii="Arial" w:hAnsi="Arial" w:cs="Arial"/>
              </w:rPr>
            </w:pPr>
            <w:r w:rsidRPr="00807829">
              <w:rPr>
                <w:rFonts w:ascii="Arial" w:hAnsi="Arial" w:cs="Arial"/>
              </w:rPr>
              <w:t>Min 50</w:t>
            </w:r>
          </w:p>
        </w:tc>
        <w:tc>
          <w:tcPr>
            <w:tcW w:w="1486" w:type="dxa"/>
          </w:tcPr>
          <w:p w:rsidR="00D849AA" w:rsidRPr="00807829" w:rsidRDefault="00EE6D95">
            <w:pPr>
              <w:rPr>
                <w:rFonts w:ascii="Arial" w:hAnsi="Arial" w:cs="Arial"/>
              </w:rPr>
            </w:pPr>
            <w:r w:rsidRPr="00807829">
              <w:rPr>
                <w:rFonts w:ascii="Arial" w:hAnsi="Arial" w:cs="Arial"/>
              </w:rPr>
              <w:t>Min 70</w:t>
            </w:r>
          </w:p>
        </w:tc>
      </w:tr>
    </w:tbl>
    <w:p w:rsidR="00D849AA" w:rsidRDefault="00D849AA">
      <w:pPr>
        <w:jc w:val="left"/>
      </w:pPr>
    </w:p>
    <w:p w:rsidR="00D849AA" w:rsidRDefault="00EE6D95">
      <w:pPr>
        <w:pStyle w:val="Naslov5"/>
      </w:pPr>
      <w:r>
        <w:lastRenderedPageBreak/>
        <w:t>Procjena i ishodište potrebnih sredstava za značajnije aktivnosti/projekte</w:t>
      </w:r>
    </w:p>
    <w:p w:rsidR="00D849AA" w:rsidRDefault="00EE6D95">
      <w:pPr>
        <w:pStyle w:val="Naslov6"/>
      </w:pPr>
      <w:r>
        <w:t>A825001 ADMINISTRACIJA I UPRAVLJANJE SREDIŠNJE AGENCIJE ZA FINANCIRANJE I UGOVARANJE PROGRAMA I PROJEKATA EUROPSKE UNIJE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807829" w:rsidRDefault="00EE6D95">
            <w:pPr>
              <w:pStyle w:val="CellHeader"/>
            </w:pPr>
            <w:r w:rsidRPr="00807829">
              <w:t>Naziv aktivnosti</w:t>
            </w:r>
          </w:p>
        </w:tc>
        <w:tc>
          <w:tcPr>
            <w:tcW w:w="1486" w:type="dxa"/>
            <w:shd w:val="clear" w:color="auto" w:fill="B5C0D8"/>
          </w:tcPr>
          <w:p w:rsidR="00D849AA" w:rsidRPr="00807829" w:rsidRDefault="00EE6D95">
            <w:pPr>
              <w:pStyle w:val="CellHeader"/>
            </w:pPr>
            <w:r w:rsidRPr="00807829">
              <w:t>Plan 2013.</w:t>
            </w:r>
          </w:p>
        </w:tc>
        <w:tc>
          <w:tcPr>
            <w:tcW w:w="1486" w:type="dxa"/>
            <w:shd w:val="clear" w:color="auto" w:fill="B5C0D8"/>
          </w:tcPr>
          <w:p w:rsidR="00D849AA" w:rsidRPr="00807829" w:rsidRDefault="00EE6D95">
            <w:pPr>
              <w:pStyle w:val="CellHeader"/>
            </w:pPr>
            <w:r w:rsidRPr="00807829">
              <w:t>Plan 2014.</w:t>
            </w:r>
          </w:p>
        </w:tc>
        <w:tc>
          <w:tcPr>
            <w:tcW w:w="1486" w:type="dxa"/>
            <w:shd w:val="clear" w:color="auto" w:fill="B5C0D8"/>
          </w:tcPr>
          <w:p w:rsidR="00D849AA" w:rsidRPr="00807829" w:rsidRDefault="00EE6D95">
            <w:pPr>
              <w:pStyle w:val="CellHeader"/>
            </w:pPr>
            <w:r w:rsidRPr="00807829">
              <w:t>Plan 2015.</w:t>
            </w:r>
          </w:p>
        </w:tc>
        <w:tc>
          <w:tcPr>
            <w:tcW w:w="1486" w:type="dxa"/>
            <w:shd w:val="clear" w:color="auto" w:fill="B5C0D8"/>
          </w:tcPr>
          <w:p w:rsidR="00D849AA" w:rsidRPr="00807829" w:rsidRDefault="00EE6D95">
            <w:pPr>
              <w:pStyle w:val="CellHeader"/>
            </w:pPr>
            <w:r w:rsidRPr="00807829">
              <w:t>Plan 2016.</w:t>
            </w:r>
          </w:p>
        </w:tc>
        <w:tc>
          <w:tcPr>
            <w:tcW w:w="1486" w:type="dxa"/>
            <w:shd w:val="clear" w:color="auto" w:fill="B5C0D8"/>
          </w:tcPr>
          <w:p w:rsidR="00D849AA" w:rsidRPr="00807829" w:rsidRDefault="00EE6D95">
            <w:pPr>
              <w:pStyle w:val="CellHeader"/>
            </w:pPr>
            <w:r w:rsidRPr="00807829">
              <w:t>Indeks 2014/2013</w:t>
            </w:r>
          </w:p>
        </w:tc>
      </w:tr>
      <w:tr w:rsidR="00D849AA">
        <w:trPr>
          <w:jc w:val="center"/>
        </w:trPr>
        <w:tc>
          <w:tcPr>
            <w:tcW w:w="1486" w:type="dxa"/>
          </w:tcPr>
          <w:p w:rsidR="00D849AA" w:rsidRPr="00807829" w:rsidRDefault="00EE6D95">
            <w:pPr>
              <w:pStyle w:val="CellColumn"/>
            </w:pPr>
            <w:r w:rsidRPr="00807829">
              <w:t>A825001</w:t>
            </w:r>
          </w:p>
        </w:tc>
        <w:tc>
          <w:tcPr>
            <w:tcW w:w="1486" w:type="dxa"/>
          </w:tcPr>
          <w:p w:rsidR="00D849AA" w:rsidRPr="00807829" w:rsidRDefault="00EE6D95">
            <w:pPr>
              <w:rPr>
                <w:rFonts w:ascii="Arial" w:hAnsi="Arial" w:cs="Arial"/>
              </w:rPr>
            </w:pPr>
            <w:r w:rsidRPr="00807829">
              <w:rPr>
                <w:rFonts w:ascii="Arial" w:hAnsi="Arial" w:cs="Arial"/>
              </w:rPr>
              <w:t>30.125.736</w:t>
            </w:r>
          </w:p>
        </w:tc>
        <w:tc>
          <w:tcPr>
            <w:tcW w:w="1486" w:type="dxa"/>
          </w:tcPr>
          <w:p w:rsidR="00D849AA" w:rsidRPr="00807829" w:rsidRDefault="00EE6D95">
            <w:pPr>
              <w:rPr>
                <w:rFonts w:ascii="Arial" w:hAnsi="Arial" w:cs="Arial"/>
              </w:rPr>
            </w:pPr>
            <w:r w:rsidRPr="00807829">
              <w:rPr>
                <w:rFonts w:ascii="Arial" w:hAnsi="Arial" w:cs="Arial"/>
              </w:rPr>
              <w:t>28.942.744</w:t>
            </w:r>
          </w:p>
        </w:tc>
        <w:tc>
          <w:tcPr>
            <w:tcW w:w="1486" w:type="dxa"/>
          </w:tcPr>
          <w:p w:rsidR="00D849AA" w:rsidRPr="00807829" w:rsidRDefault="00EE6D95">
            <w:pPr>
              <w:rPr>
                <w:rFonts w:ascii="Arial" w:hAnsi="Arial" w:cs="Arial"/>
              </w:rPr>
            </w:pPr>
            <w:r w:rsidRPr="00807829">
              <w:rPr>
                <w:rFonts w:ascii="Arial" w:hAnsi="Arial" w:cs="Arial"/>
              </w:rPr>
              <w:t>30.911.748</w:t>
            </w:r>
          </w:p>
        </w:tc>
        <w:tc>
          <w:tcPr>
            <w:tcW w:w="1486" w:type="dxa"/>
          </w:tcPr>
          <w:p w:rsidR="00D849AA" w:rsidRPr="00807829" w:rsidRDefault="00EE6D95">
            <w:pPr>
              <w:rPr>
                <w:rFonts w:ascii="Arial" w:hAnsi="Arial" w:cs="Arial"/>
              </w:rPr>
            </w:pPr>
            <w:r w:rsidRPr="00807829">
              <w:rPr>
                <w:rFonts w:ascii="Arial" w:hAnsi="Arial" w:cs="Arial"/>
              </w:rPr>
              <w:t>30.748.373</w:t>
            </w:r>
          </w:p>
        </w:tc>
        <w:tc>
          <w:tcPr>
            <w:tcW w:w="1486" w:type="dxa"/>
          </w:tcPr>
          <w:p w:rsidR="00D849AA" w:rsidRPr="00807829" w:rsidRDefault="00EE6D95">
            <w:pPr>
              <w:rPr>
                <w:rFonts w:ascii="Arial" w:hAnsi="Arial" w:cs="Arial"/>
              </w:rPr>
            </w:pPr>
            <w:r w:rsidRPr="00807829">
              <w:rPr>
                <w:rFonts w:ascii="Arial" w:hAnsi="Arial" w:cs="Arial"/>
              </w:rPr>
              <w:t>96,1</w:t>
            </w:r>
          </w:p>
        </w:tc>
      </w:tr>
    </w:tbl>
    <w:p w:rsidR="00D849AA" w:rsidRDefault="00D849AA">
      <w:pPr>
        <w:jc w:val="left"/>
      </w:pPr>
    </w:p>
    <w:p w:rsidR="00D849AA" w:rsidRDefault="00EE6D95">
      <w:pPr>
        <w:pStyle w:val="Normal6"/>
      </w:pPr>
      <w:r>
        <w:t xml:space="preserve">U okviru Instrumenta pretpristupne pomoći (komponenta I) i Prijelaznog instrumenta, SAFU obavlja aktivnosti potpore korisničkim institucijama u pripremi projektne i natječajne dokumentacije i kontrolira kvalitetu iste prije objave javnog nadmetanja. Obavlja poslove ugovaranja i vodi sklopljene ugovore, vrši plaćanja, obavlja poslove računovodstva te izvještava o financiranju svih projekata iz svoje nadležnosti.  </w:t>
      </w:r>
    </w:p>
    <w:p w:rsidR="00D849AA" w:rsidRDefault="00EE6D95">
      <w:pPr>
        <w:pStyle w:val="Normal6"/>
      </w:pPr>
      <w:r>
        <w:t xml:space="preserve"> </w:t>
      </w:r>
    </w:p>
    <w:p w:rsidR="00D849AA" w:rsidRDefault="00EE6D95" w:rsidP="00807829">
      <w:pPr>
        <w:pStyle w:val="Normal6"/>
      </w:pPr>
      <w:r>
        <w:t xml:space="preserve">U okviru strukturnih instrumenata, SAFU kao Posredničko tijelo razine 2 sudjeluje u pripremi uputa potencijalnim aplikantima u svrhu objave javnih poziva na dostavu projektnih prijedloga, zatim sudjeluje u evaluaciji projektnih prijedloga kroz provjeru prihvatljivosti korisnika i predloženih aktivnosti za financiranje iz relevantnog Operativnog programa, kontrolira kvalitetu natječajne dokumentacije, vrši nadzor nad provedbom odobrenih projekata kroz kontrolu izvješća i terenske posjete, provjerava zahtjeve za isplatama i račune, priprema potrebna narativna i financijska izvješća, provjerava i procesuira nepravilnosti u korištenju strukturnih instrumenata.  </w:t>
      </w:r>
    </w:p>
    <w:p w:rsidR="00D849AA" w:rsidRDefault="00EE6D95" w:rsidP="00807829">
      <w:pPr>
        <w:pStyle w:val="Normal6"/>
      </w:pPr>
      <w:r>
        <w:t xml:space="preserve">Kod projekata iz III komponente Instrumenta pretpristupne pomoći koji su nakon hrvatskog pristupanja Europskoj uniji prešli u strukturne instrumente, SAFU nastavlja obavljati poslove provedbenog tijela, što uključuje vođenje postupka evaluacije ponuda pristiglih na javni natječaj, sklapanje i vođenje ugovora, te potrebna izvještavanja. </w:t>
      </w:r>
    </w:p>
    <w:p w:rsidR="00D849AA" w:rsidRDefault="00EE6D95">
      <w:pPr>
        <w:pStyle w:val="Normal6"/>
      </w:pPr>
      <w:r>
        <w:t>SAFU također organizira i provodi edukacijske aktivnosti kroz organizaciju seminara i radionica iz područja pripreme i upravljanja projektima financiranim iz programa EU za korisnike projekata središnje državne i javne uprave. Provodi aktivnosti prijenosa znanja i vještina vezano uz kvalitetno upravljanje sredstvima iz EU programa na druge institucije koje se bave provedbom kroz pružanje konzultacija i uključivanje u radne aktivnosti i rad na konkretnim slučajevima zaposlenih u drugim provedbenim tijelima.</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807829" w:rsidRDefault="00EE6D95">
            <w:pPr>
              <w:rPr>
                <w:rFonts w:ascii="Arial" w:hAnsi="Arial" w:cs="Arial"/>
              </w:rPr>
            </w:pPr>
            <w:r w:rsidRPr="00807829">
              <w:rPr>
                <w:rFonts w:ascii="Arial" w:hAnsi="Arial" w:cs="Arial"/>
              </w:rPr>
              <w:t>Pokazatelj rezultata</w:t>
            </w:r>
          </w:p>
        </w:tc>
        <w:tc>
          <w:tcPr>
            <w:tcW w:w="1114" w:type="dxa"/>
            <w:shd w:val="clear" w:color="auto" w:fill="B5C0D8"/>
          </w:tcPr>
          <w:p w:rsidR="00D849AA" w:rsidRPr="00807829" w:rsidRDefault="00EE6D95">
            <w:pPr>
              <w:pStyle w:val="CellHeader"/>
            </w:pPr>
            <w:r w:rsidRPr="00807829">
              <w:t>Jedinica</w:t>
            </w:r>
          </w:p>
        </w:tc>
        <w:tc>
          <w:tcPr>
            <w:tcW w:w="1114" w:type="dxa"/>
            <w:shd w:val="clear" w:color="auto" w:fill="B5C0D8"/>
          </w:tcPr>
          <w:p w:rsidR="00D849AA" w:rsidRPr="00807829" w:rsidRDefault="00EE6D95">
            <w:pPr>
              <w:pStyle w:val="CellHeader"/>
            </w:pPr>
            <w:r w:rsidRPr="00807829">
              <w:t>Polazna vrijednost</w:t>
            </w:r>
          </w:p>
        </w:tc>
        <w:tc>
          <w:tcPr>
            <w:tcW w:w="1486" w:type="dxa"/>
            <w:shd w:val="clear" w:color="auto" w:fill="B5C0D8"/>
          </w:tcPr>
          <w:p w:rsidR="00D849AA" w:rsidRPr="00807829" w:rsidRDefault="00EE6D95">
            <w:pPr>
              <w:pStyle w:val="CellHeader"/>
            </w:pPr>
            <w:r w:rsidRPr="00807829">
              <w:t>Ciljana vrijednost (2014.)</w:t>
            </w:r>
          </w:p>
        </w:tc>
        <w:tc>
          <w:tcPr>
            <w:tcW w:w="1486" w:type="dxa"/>
            <w:shd w:val="clear" w:color="auto" w:fill="B5C0D8"/>
          </w:tcPr>
          <w:p w:rsidR="00D849AA" w:rsidRPr="00807829" w:rsidRDefault="00EE6D95">
            <w:pPr>
              <w:pStyle w:val="CellHeader"/>
            </w:pPr>
            <w:r w:rsidRPr="00807829">
              <w:t>Ciljana vrijednost (2015.)</w:t>
            </w:r>
          </w:p>
        </w:tc>
        <w:tc>
          <w:tcPr>
            <w:tcW w:w="1486" w:type="dxa"/>
            <w:shd w:val="clear" w:color="auto" w:fill="B5C0D8"/>
          </w:tcPr>
          <w:p w:rsidR="00D849AA" w:rsidRPr="00807829" w:rsidRDefault="00EE6D95">
            <w:pPr>
              <w:pStyle w:val="CellHeader"/>
            </w:pPr>
            <w:r w:rsidRPr="00807829">
              <w:t>Ciljana vrijednost (2016.)</w:t>
            </w:r>
          </w:p>
        </w:tc>
      </w:tr>
      <w:tr w:rsidR="00D849AA">
        <w:trPr>
          <w:jc w:val="center"/>
        </w:trPr>
        <w:tc>
          <w:tcPr>
            <w:tcW w:w="2229" w:type="dxa"/>
          </w:tcPr>
          <w:p w:rsidR="00D849AA" w:rsidRPr="00807829" w:rsidRDefault="00EE6D95">
            <w:pPr>
              <w:pStyle w:val="CellColumn"/>
            </w:pPr>
            <w:r w:rsidRPr="00807829">
              <w:t>Objavljena nadmetanja i potpisani ugovori u odnosu na plan nabave</w:t>
            </w:r>
          </w:p>
        </w:tc>
        <w:tc>
          <w:tcPr>
            <w:tcW w:w="1114" w:type="dxa"/>
          </w:tcPr>
          <w:p w:rsidR="00D849AA" w:rsidRPr="00807829" w:rsidRDefault="00EE6D95">
            <w:pPr>
              <w:rPr>
                <w:rFonts w:ascii="Arial" w:hAnsi="Arial" w:cs="Arial"/>
              </w:rPr>
            </w:pPr>
            <w:r w:rsidRPr="00807829">
              <w:rPr>
                <w:rFonts w:ascii="Arial" w:hAnsi="Arial" w:cs="Arial"/>
              </w:rPr>
              <w:t>%</w:t>
            </w:r>
          </w:p>
        </w:tc>
        <w:tc>
          <w:tcPr>
            <w:tcW w:w="1114" w:type="dxa"/>
          </w:tcPr>
          <w:p w:rsidR="00D849AA" w:rsidRPr="00807829" w:rsidRDefault="00EE6D95">
            <w:pPr>
              <w:rPr>
                <w:rFonts w:ascii="Arial" w:hAnsi="Arial" w:cs="Arial"/>
              </w:rPr>
            </w:pPr>
            <w:r w:rsidRPr="00807829">
              <w:rPr>
                <w:rFonts w:ascii="Arial" w:hAnsi="Arial" w:cs="Arial"/>
              </w:rPr>
              <w:t>n/a</w:t>
            </w:r>
          </w:p>
        </w:tc>
        <w:tc>
          <w:tcPr>
            <w:tcW w:w="1486" w:type="dxa"/>
          </w:tcPr>
          <w:p w:rsidR="00D849AA" w:rsidRPr="00807829" w:rsidRDefault="00EE6D95">
            <w:pPr>
              <w:rPr>
                <w:rFonts w:ascii="Arial" w:hAnsi="Arial" w:cs="Arial"/>
              </w:rPr>
            </w:pPr>
            <w:r w:rsidRPr="00807829">
              <w:rPr>
                <w:rFonts w:ascii="Arial" w:hAnsi="Arial" w:cs="Arial"/>
              </w:rPr>
              <w:t>100%</w:t>
            </w:r>
          </w:p>
        </w:tc>
        <w:tc>
          <w:tcPr>
            <w:tcW w:w="1486" w:type="dxa"/>
          </w:tcPr>
          <w:p w:rsidR="00D849AA" w:rsidRPr="00807829" w:rsidRDefault="00EE6D95">
            <w:pPr>
              <w:rPr>
                <w:rFonts w:ascii="Arial" w:hAnsi="Arial" w:cs="Arial"/>
              </w:rPr>
            </w:pPr>
            <w:r w:rsidRPr="00807829">
              <w:rPr>
                <w:rFonts w:ascii="Arial" w:hAnsi="Arial" w:cs="Arial"/>
              </w:rPr>
              <w:t>100%</w:t>
            </w:r>
          </w:p>
        </w:tc>
        <w:tc>
          <w:tcPr>
            <w:tcW w:w="1486" w:type="dxa"/>
          </w:tcPr>
          <w:p w:rsidR="00D849AA" w:rsidRPr="00807829" w:rsidRDefault="00EE6D95">
            <w:pPr>
              <w:rPr>
                <w:rFonts w:ascii="Arial" w:hAnsi="Arial" w:cs="Arial"/>
              </w:rPr>
            </w:pPr>
            <w:r w:rsidRPr="00807829">
              <w:rPr>
                <w:rFonts w:ascii="Arial" w:hAnsi="Arial" w:cs="Arial"/>
              </w:rPr>
              <w:t>100%</w:t>
            </w:r>
          </w:p>
        </w:tc>
      </w:tr>
      <w:tr w:rsidR="00D849AA">
        <w:trPr>
          <w:jc w:val="center"/>
        </w:trPr>
        <w:tc>
          <w:tcPr>
            <w:tcW w:w="2229" w:type="dxa"/>
          </w:tcPr>
          <w:p w:rsidR="00D849AA" w:rsidRPr="00807829" w:rsidRDefault="00EE6D95">
            <w:pPr>
              <w:pStyle w:val="CellColumn"/>
            </w:pPr>
            <w:r w:rsidRPr="00807829">
              <w:t>Ugovorenost (stopa ugovaranja) alociranih sredstava</w:t>
            </w:r>
          </w:p>
        </w:tc>
        <w:tc>
          <w:tcPr>
            <w:tcW w:w="1114" w:type="dxa"/>
          </w:tcPr>
          <w:p w:rsidR="00D849AA" w:rsidRPr="00807829" w:rsidRDefault="00EE6D95">
            <w:pPr>
              <w:rPr>
                <w:rFonts w:ascii="Arial" w:hAnsi="Arial" w:cs="Arial"/>
              </w:rPr>
            </w:pPr>
            <w:r w:rsidRPr="00807829">
              <w:rPr>
                <w:rFonts w:ascii="Arial" w:hAnsi="Arial" w:cs="Arial"/>
              </w:rPr>
              <w:t>%</w:t>
            </w:r>
          </w:p>
        </w:tc>
        <w:tc>
          <w:tcPr>
            <w:tcW w:w="1114" w:type="dxa"/>
          </w:tcPr>
          <w:p w:rsidR="00D849AA" w:rsidRPr="00807829" w:rsidRDefault="00EE6D95">
            <w:pPr>
              <w:rPr>
                <w:rFonts w:ascii="Arial" w:hAnsi="Arial" w:cs="Arial"/>
              </w:rPr>
            </w:pPr>
            <w:r w:rsidRPr="00807829">
              <w:rPr>
                <w:rFonts w:ascii="Arial" w:hAnsi="Arial" w:cs="Arial"/>
              </w:rPr>
              <w:t>n/a</w:t>
            </w:r>
          </w:p>
        </w:tc>
        <w:tc>
          <w:tcPr>
            <w:tcW w:w="1486" w:type="dxa"/>
          </w:tcPr>
          <w:p w:rsidR="00D849AA" w:rsidRPr="00807829" w:rsidRDefault="00EE6D95">
            <w:pPr>
              <w:rPr>
                <w:rFonts w:ascii="Arial" w:hAnsi="Arial" w:cs="Arial"/>
              </w:rPr>
            </w:pPr>
            <w:r w:rsidRPr="00807829">
              <w:rPr>
                <w:rFonts w:ascii="Arial" w:hAnsi="Arial" w:cs="Arial"/>
              </w:rPr>
              <w:t>Min 90</w:t>
            </w:r>
          </w:p>
        </w:tc>
        <w:tc>
          <w:tcPr>
            <w:tcW w:w="1486" w:type="dxa"/>
          </w:tcPr>
          <w:p w:rsidR="00D849AA" w:rsidRPr="00807829" w:rsidRDefault="00EE6D95">
            <w:pPr>
              <w:rPr>
                <w:rFonts w:ascii="Arial" w:hAnsi="Arial" w:cs="Arial"/>
              </w:rPr>
            </w:pPr>
            <w:r w:rsidRPr="00807829">
              <w:rPr>
                <w:rFonts w:ascii="Arial" w:hAnsi="Arial" w:cs="Arial"/>
              </w:rPr>
              <w:t>Min 90</w:t>
            </w:r>
          </w:p>
        </w:tc>
        <w:tc>
          <w:tcPr>
            <w:tcW w:w="1486" w:type="dxa"/>
          </w:tcPr>
          <w:p w:rsidR="00D849AA" w:rsidRPr="00807829" w:rsidRDefault="00EE6D95">
            <w:pPr>
              <w:rPr>
                <w:rFonts w:ascii="Arial" w:hAnsi="Arial" w:cs="Arial"/>
              </w:rPr>
            </w:pPr>
            <w:r w:rsidRPr="00807829">
              <w:rPr>
                <w:rFonts w:ascii="Arial" w:hAnsi="Arial" w:cs="Arial"/>
              </w:rPr>
              <w:t>Min 90</w:t>
            </w:r>
          </w:p>
        </w:tc>
      </w:tr>
      <w:tr w:rsidR="00D849AA">
        <w:trPr>
          <w:jc w:val="center"/>
        </w:trPr>
        <w:tc>
          <w:tcPr>
            <w:tcW w:w="2229" w:type="dxa"/>
          </w:tcPr>
          <w:p w:rsidR="00D849AA" w:rsidRPr="00807829" w:rsidRDefault="00EE6D95">
            <w:pPr>
              <w:pStyle w:val="CellColumn"/>
            </w:pPr>
            <w:r w:rsidRPr="00807829">
              <w:t xml:space="preserve">Broj održanih </w:t>
            </w:r>
            <w:r w:rsidRPr="00807829">
              <w:lastRenderedPageBreak/>
              <w:t xml:space="preserve">seminara/radionica/“o </w:t>
            </w:r>
          </w:p>
          <w:p w:rsidR="00D849AA" w:rsidRPr="00807829" w:rsidRDefault="00EE6D95">
            <w:pPr>
              <w:pStyle w:val="CellColumn"/>
            </w:pPr>
            <w:r w:rsidRPr="00807829">
              <w:t>n-the-job“ treninga u skladu sa godišnjim planom izobrazbe SAFU</w:t>
            </w:r>
          </w:p>
        </w:tc>
        <w:tc>
          <w:tcPr>
            <w:tcW w:w="1114" w:type="dxa"/>
          </w:tcPr>
          <w:p w:rsidR="00D849AA" w:rsidRPr="00807829" w:rsidRDefault="00EE6D95">
            <w:pPr>
              <w:rPr>
                <w:rFonts w:ascii="Arial" w:hAnsi="Arial" w:cs="Arial"/>
              </w:rPr>
            </w:pPr>
            <w:r w:rsidRPr="00807829">
              <w:rPr>
                <w:rFonts w:ascii="Arial" w:hAnsi="Arial" w:cs="Arial"/>
              </w:rPr>
              <w:lastRenderedPageBreak/>
              <w:t xml:space="preserve">Broj aktivnosti </w:t>
            </w:r>
            <w:r w:rsidRPr="00807829">
              <w:rPr>
                <w:rFonts w:ascii="Arial" w:hAnsi="Arial" w:cs="Arial"/>
              </w:rPr>
              <w:lastRenderedPageBreak/>
              <w:t>izobrazbe</w:t>
            </w:r>
          </w:p>
        </w:tc>
        <w:tc>
          <w:tcPr>
            <w:tcW w:w="1114" w:type="dxa"/>
          </w:tcPr>
          <w:p w:rsidR="00D849AA" w:rsidRPr="00807829" w:rsidRDefault="00EE6D95">
            <w:pPr>
              <w:rPr>
                <w:rFonts w:ascii="Arial" w:hAnsi="Arial" w:cs="Arial"/>
              </w:rPr>
            </w:pPr>
            <w:r w:rsidRPr="00807829">
              <w:rPr>
                <w:rFonts w:ascii="Arial" w:hAnsi="Arial" w:cs="Arial"/>
              </w:rPr>
              <w:lastRenderedPageBreak/>
              <w:t>120</w:t>
            </w:r>
          </w:p>
        </w:tc>
        <w:tc>
          <w:tcPr>
            <w:tcW w:w="1486" w:type="dxa"/>
          </w:tcPr>
          <w:p w:rsidR="00D849AA" w:rsidRPr="00807829" w:rsidRDefault="00EE6D95">
            <w:pPr>
              <w:rPr>
                <w:rFonts w:ascii="Arial" w:hAnsi="Arial" w:cs="Arial"/>
              </w:rPr>
            </w:pPr>
            <w:r w:rsidRPr="00807829">
              <w:rPr>
                <w:rFonts w:ascii="Arial" w:hAnsi="Arial" w:cs="Arial"/>
              </w:rPr>
              <w:t>120</w:t>
            </w:r>
          </w:p>
        </w:tc>
        <w:tc>
          <w:tcPr>
            <w:tcW w:w="1486" w:type="dxa"/>
          </w:tcPr>
          <w:p w:rsidR="00D849AA" w:rsidRPr="00807829" w:rsidRDefault="00EE6D95">
            <w:pPr>
              <w:rPr>
                <w:rFonts w:ascii="Arial" w:hAnsi="Arial" w:cs="Arial"/>
              </w:rPr>
            </w:pPr>
            <w:r w:rsidRPr="00807829">
              <w:rPr>
                <w:rFonts w:ascii="Arial" w:hAnsi="Arial" w:cs="Arial"/>
              </w:rPr>
              <w:t>120</w:t>
            </w:r>
          </w:p>
        </w:tc>
        <w:tc>
          <w:tcPr>
            <w:tcW w:w="1486" w:type="dxa"/>
          </w:tcPr>
          <w:p w:rsidR="00D849AA" w:rsidRPr="00807829" w:rsidRDefault="00EE6D95">
            <w:pPr>
              <w:rPr>
                <w:rFonts w:ascii="Arial" w:hAnsi="Arial" w:cs="Arial"/>
              </w:rPr>
            </w:pPr>
            <w:r w:rsidRPr="00807829">
              <w:rPr>
                <w:rFonts w:ascii="Arial" w:hAnsi="Arial" w:cs="Arial"/>
              </w:rPr>
              <w:t>120</w:t>
            </w:r>
          </w:p>
        </w:tc>
      </w:tr>
      <w:tr w:rsidR="00D849AA">
        <w:trPr>
          <w:jc w:val="center"/>
        </w:trPr>
        <w:tc>
          <w:tcPr>
            <w:tcW w:w="2229" w:type="dxa"/>
          </w:tcPr>
          <w:p w:rsidR="00D849AA" w:rsidRPr="00807829" w:rsidRDefault="00EE6D95">
            <w:pPr>
              <w:pStyle w:val="CellColumn"/>
            </w:pPr>
            <w:r w:rsidRPr="00807829">
              <w:lastRenderedPageBreak/>
              <w:t>Postotak novih zaposlenika u sustavu upravljanja EU programima u nadležnosti SAFU koji su prošli tzv. uvodne treninge po zapošljavanju.</w:t>
            </w:r>
          </w:p>
        </w:tc>
        <w:tc>
          <w:tcPr>
            <w:tcW w:w="1114" w:type="dxa"/>
          </w:tcPr>
          <w:p w:rsidR="00D849AA" w:rsidRPr="00807829" w:rsidRDefault="00EE6D95">
            <w:pPr>
              <w:rPr>
                <w:rFonts w:ascii="Arial" w:hAnsi="Arial" w:cs="Arial"/>
              </w:rPr>
            </w:pPr>
            <w:r w:rsidRPr="00807829">
              <w:rPr>
                <w:rFonts w:ascii="Arial" w:hAnsi="Arial" w:cs="Arial"/>
              </w:rPr>
              <w:t>%</w:t>
            </w:r>
          </w:p>
        </w:tc>
        <w:tc>
          <w:tcPr>
            <w:tcW w:w="1114" w:type="dxa"/>
          </w:tcPr>
          <w:p w:rsidR="00D849AA" w:rsidRPr="00807829" w:rsidRDefault="00EE6D95">
            <w:pPr>
              <w:rPr>
                <w:rFonts w:ascii="Arial" w:hAnsi="Arial" w:cs="Arial"/>
              </w:rPr>
            </w:pPr>
            <w:r w:rsidRPr="00807829">
              <w:rPr>
                <w:rFonts w:ascii="Arial" w:hAnsi="Arial" w:cs="Arial"/>
              </w:rPr>
              <w:t>100</w:t>
            </w:r>
          </w:p>
        </w:tc>
        <w:tc>
          <w:tcPr>
            <w:tcW w:w="1486" w:type="dxa"/>
          </w:tcPr>
          <w:p w:rsidR="00D849AA" w:rsidRPr="00807829" w:rsidRDefault="00EE6D95">
            <w:pPr>
              <w:rPr>
                <w:rFonts w:ascii="Arial" w:hAnsi="Arial" w:cs="Arial"/>
              </w:rPr>
            </w:pPr>
            <w:r w:rsidRPr="00807829">
              <w:rPr>
                <w:rFonts w:ascii="Arial" w:hAnsi="Arial" w:cs="Arial"/>
              </w:rPr>
              <w:t>100</w:t>
            </w:r>
          </w:p>
        </w:tc>
        <w:tc>
          <w:tcPr>
            <w:tcW w:w="1486" w:type="dxa"/>
          </w:tcPr>
          <w:p w:rsidR="00D849AA" w:rsidRPr="00807829" w:rsidRDefault="00EE6D95">
            <w:pPr>
              <w:rPr>
                <w:rFonts w:ascii="Arial" w:hAnsi="Arial" w:cs="Arial"/>
              </w:rPr>
            </w:pPr>
            <w:r w:rsidRPr="00807829">
              <w:rPr>
                <w:rFonts w:ascii="Arial" w:hAnsi="Arial" w:cs="Arial"/>
              </w:rPr>
              <w:t>100</w:t>
            </w:r>
          </w:p>
        </w:tc>
        <w:tc>
          <w:tcPr>
            <w:tcW w:w="1486" w:type="dxa"/>
          </w:tcPr>
          <w:p w:rsidR="00D849AA" w:rsidRPr="00807829" w:rsidRDefault="00EE6D95">
            <w:pPr>
              <w:rPr>
                <w:rFonts w:ascii="Arial" w:hAnsi="Arial" w:cs="Arial"/>
              </w:rPr>
            </w:pPr>
            <w:r w:rsidRPr="00807829">
              <w:rPr>
                <w:rFonts w:ascii="Arial" w:hAnsi="Arial" w:cs="Arial"/>
              </w:rPr>
              <w:t>100</w:t>
            </w:r>
          </w:p>
        </w:tc>
      </w:tr>
      <w:tr w:rsidR="00D849AA">
        <w:trPr>
          <w:jc w:val="center"/>
        </w:trPr>
        <w:tc>
          <w:tcPr>
            <w:tcW w:w="2229" w:type="dxa"/>
          </w:tcPr>
          <w:p w:rsidR="00D849AA" w:rsidRPr="00807829" w:rsidRDefault="00EE6D95">
            <w:pPr>
              <w:pStyle w:val="CellColumn"/>
            </w:pPr>
            <w:r w:rsidRPr="00807829">
              <w:t>Funkcije SAFU kao posredničkog tijela razine 2 definirane člankom 11. Zakona o uspostavi institucionalnog okvira za korištenje strukturnih instrumenata Europske unije u Republici Hrvatskoj (NN 78/12) izvršene</w:t>
            </w:r>
          </w:p>
        </w:tc>
        <w:tc>
          <w:tcPr>
            <w:tcW w:w="1114" w:type="dxa"/>
          </w:tcPr>
          <w:p w:rsidR="00D849AA" w:rsidRPr="00807829" w:rsidRDefault="00EE6D95">
            <w:pPr>
              <w:rPr>
                <w:rFonts w:ascii="Arial" w:hAnsi="Arial" w:cs="Arial"/>
              </w:rPr>
            </w:pPr>
            <w:r w:rsidRPr="00807829">
              <w:rPr>
                <w:rFonts w:ascii="Arial" w:hAnsi="Arial" w:cs="Arial"/>
              </w:rPr>
              <w:t>%</w:t>
            </w:r>
          </w:p>
        </w:tc>
        <w:tc>
          <w:tcPr>
            <w:tcW w:w="1114" w:type="dxa"/>
          </w:tcPr>
          <w:p w:rsidR="00D849AA" w:rsidRPr="00807829" w:rsidRDefault="00EE6D95">
            <w:pPr>
              <w:rPr>
                <w:rFonts w:ascii="Arial" w:hAnsi="Arial" w:cs="Arial"/>
              </w:rPr>
            </w:pPr>
            <w:r w:rsidRPr="00807829">
              <w:rPr>
                <w:rFonts w:ascii="Arial" w:hAnsi="Arial" w:cs="Arial"/>
              </w:rPr>
              <w:t>0</w:t>
            </w:r>
          </w:p>
        </w:tc>
        <w:tc>
          <w:tcPr>
            <w:tcW w:w="1486" w:type="dxa"/>
          </w:tcPr>
          <w:p w:rsidR="00D849AA" w:rsidRPr="00807829" w:rsidRDefault="00EE6D95">
            <w:pPr>
              <w:rPr>
                <w:rFonts w:ascii="Arial" w:hAnsi="Arial" w:cs="Arial"/>
              </w:rPr>
            </w:pPr>
            <w:r w:rsidRPr="00807829">
              <w:rPr>
                <w:rFonts w:ascii="Arial" w:hAnsi="Arial" w:cs="Arial"/>
              </w:rPr>
              <w:t>100</w:t>
            </w:r>
          </w:p>
        </w:tc>
        <w:tc>
          <w:tcPr>
            <w:tcW w:w="1486" w:type="dxa"/>
          </w:tcPr>
          <w:p w:rsidR="00D849AA" w:rsidRPr="00807829" w:rsidRDefault="00EE6D95">
            <w:pPr>
              <w:rPr>
                <w:rFonts w:ascii="Arial" w:hAnsi="Arial" w:cs="Arial"/>
              </w:rPr>
            </w:pPr>
            <w:r w:rsidRPr="00807829">
              <w:rPr>
                <w:rFonts w:ascii="Arial" w:hAnsi="Arial" w:cs="Arial"/>
              </w:rPr>
              <w:t>100</w:t>
            </w:r>
          </w:p>
        </w:tc>
        <w:tc>
          <w:tcPr>
            <w:tcW w:w="1486" w:type="dxa"/>
          </w:tcPr>
          <w:p w:rsidR="00D849AA" w:rsidRPr="00807829" w:rsidRDefault="00EE6D95">
            <w:pPr>
              <w:rPr>
                <w:rFonts w:ascii="Arial" w:hAnsi="Arial" w:cs="Arial"/>
              </w:rPr>
            </w:pPr>
            <w:r w:rsidRPr="00807829">
              <w:rPr>
                <w:rFonts w:ascii="Arial" w:hAnsi="Arial" w:cs="Arial"/>
              </w:rPr>
              <w:t>100</w:t>
            </w:r>
          </w:p>
        </w:tc>
      </w:tr>
      <w:tr w:rsidR="00D849AA">
        <w:trPr>
          <w:jc w:val="center"/>
        </w:trPr>
        <w:tc>
          <w:tcPr>
            <w:tcW w:w="2229" w:type="dxa"/>
          </w:tcPr>
          <w:p w:rsidR="00D849AA" w:rsidRPr="00807829" w:rsidRDefault="00EE6D95">
            <w:pPr>
              <w:pStyle w:val="CellColumn"/>
            </w:pPr>
            <w:r w:rsidRPr="00807829">
              <w:t>Pružena potpora korisnicima smanjenog kapaciteta kroz ulogu partnera u okviru posebno kompleksnih operacija</w:t>
            </w:r>
          </w:p>
        </w:tc>
        <w:tc>
          <w:tcPr>
            <w:tcW w:w="1114" w:type="dxa"/>
          </w:tcPr>
          <w:p w:rsidR="00D849AA" w:rsidRPr="00807829" w:rsidRDefault="00EE6D95">
            <w:pPr>
              <w:rPr>
                <w:rFonts w:ascii="Arial" w:hAnsi="Arial" w:cs="Arial"/>
              </w:rPr>
            </w:pPr>
            <w:r w:rsidRPr="00807829">
              <w:rPr>
                <w:rFonts w:ascii="Arial" w:hAnsi="Arial" w:cs="Arial"/>
              </w:rPr>
              <w:t>%</w:t>
            </w:r>
          </w:p>
        </w:tc>
        <w:tc>
          <w:tcPr>
            <w:tcW w:w="1114" w:type="dxa"/>
          </w:tcPr>
          <w:p w:rsidR="00D849AA" w:rsidRPr="00807829" w:rsidRDefault="00EE6D95">
            <w:pPr>
              <w:rPr>
                <w:rFonts w:ascii="Arial" w:hAnsi="Arial" w:cs="Arial"/>
              </w:rPr>
            </w:pPr>
            <w:r w:rsidRPr="00807829">
              <w:rPr>
                <w:rFonts w:ascii="Arial" w:hAnsi="Arial" w:cs="Arial"/>
              </w:rPr>
              <w:t>0</w:t>
            </w:r>
          </w:p>
        </w:tc>
        <w:tc>
          <w:tcPr>
            <w:tcW w:w="1486" w:type="dxa"/>
          </w:tcPr>
          <w:p w:rsidR="00D849AA" w:rsidRPr="00807829" w:rsidRDefault="00EE6D95">
            <w:pPr>
              <w:rPr>
                <w:rFonts w:ascii="Arial" w:hAnsi="Arial" w:cs="Arial"/>
              </w:rPr>
            </w:pPr>
            <w:r w:rsidRPr="00807829">
              <w:rPr>
                <w:rFonts w:ascii="Arial" w:hAnsi="Arial" w:cs="Arial"/>
              </w:rPr>
              <w:t>100</w:t>
            </w:r>
          </w:p>
        </w:tc>
        <w:tc>
          <w:tcPr>
            <w:tcW w:w="1486" w:type="dxa"/>
          </w:tcPr>
          <w:p w:rsidR="00D849AA" w:rsidRPr="00807829" w:rsidRDefault="00EE6D95">
            <w:pPr>
              <w:rPr>
                <w:rFonts w:ascii="Arial" w:hAnsi="Arial" w:cs="Arial"/>
              </w:rPr>
            </w:pPr>
            <w:r w:rsidRPr="00807829">
              <w:rPr>
                <w:rFonts w:ascii="Arial" w:hAnsi="Arial" w:cs="Arial"/>
              </w:rPr>
              <w:t>100</w:t>
            </w:r>
          </w:p>
        </w:tc>
        <w:tc>
          <w:tcPr>
            <w:tcW w:w="1486" w:type="dxa"/>
          </w:tcPr>
          <w:p w:rsidR="00D849AA" w:rsidRPr="00807829" w:rsidRDefault="00EE6D95">
            <w:pPr>
              <w:rPr>
                <w:rFonts w:ascii="Arial" w:hAnsi="Arial" w:cs="Arial"/>
              </w:rPr>
            </w:pPr>
            <w:r w:rsidRPr="00807829">
              <w:rPr>
                <w:rFonts w:ascii="Arial" w:hAnsi="Arial" w:cs="Arial"/>
              </w:rPr>
              <w:t>100</w:t>
            </w:r>
          </w:p>
        </w:tc>
      </w:tr>
      <w:tr w:rsidR="00D849AA">
        <w:trPr>
          <w:jc w:val="center"/>
        </w:trPr>
        <w:tc>
          <w:tcPr>
            <w:tcW w:w="2229" w:type="dxa"/>
          </w:tcPr>
          <w:p w:rsidR="00D849AA" w:rsidRPr="00807829" w:rsidRDefault="00EE6D95">
            <w:pPr>
              <w:pStyle w:val="CellColumn"/>
            </w:pPr>
            <w:r w:rsidRPr="00807829">
              <w:t xml:space="preserve">Postotak zaposlenih angažiranih na provedbi projekata financiranih iz strukturnih instrumenata u </w:t>
            </w:r>
          </w:p>
          <w:p w:rsidR="00D849AA" w:rsidRPr="00807829" w:rsidRDefault="00EE6D95">
            <w:pPr>
              <w:pStyle w:val="CellColumn"/>
            </w:pPr>
            <w:r w:rsidRPr="00807829">
              <w:t xml:space="preserve">nadležnosti SAFU koji je prošao temeljne </w:t>
            </w:r>
          </w:p>
          <w:p w:rsidR="00D849AA" w:rsidRPr="00807829" w:rsidRDefault="00EE6D95">
            <w:pPr>
              <w:pStyle w:val="CellColumn"/>
            </w:pPr>
            <w:r w:rsidRPr="00807829">
              <w:t>edukacije vezane uz pripremu i provedbu projekata</w:t>
            </w:r>
          </w:p>
        </w:tc>
        <w:tc>
          <w:tcPr>
            <w:tcW w:w="1114" w:type="dxa"/>
          </w:tcPr>
          <w:p w:rsidR="00D849AA" w:rsidRPr="00807829" w:rsidRDefault="00EE6D95">
            <w:pPr>
              <w:rPr>
                <w:rFonts w:ascii="Arial" w:hAnsi="Arial" w:cs="Arial"/>
              </w:rPr>
            </w:pPr>
            <w:r w:rsidRPr="00807829">
              <w:rPr>
                <w:rFonts w:ascii="Arial" w:hAnsi="Arial" w:cs="Arial"/>
              </w:rPr>
              <w:t>%</w:t>
            </w:r>
          </w:p>
        </w:tc>
        <w:tc>
          <w:tcPr>
            <w:tcW w:w="1114" w:type="dxa"/>
          </w:tcPr>
          <w:p w:rsidR="00D849AA" w:rsidRPr="00807829" w:rsidRDefault="00EE6D95">
            <w:pPr>
              <w:rPr>
                <w:rFonts w:ascii="Arial" w:hAnsi="Arial" w:cs="Arial"/>
              </w:rPr>
            </w:pPr>
            <w:r w:rsidRPr="00807829">
              <w:rPr>
                <w:rFonts w:ascii="Arial" w:hAnsi="Arial" w:cs="Arial"/>
              </w:rPr>
              <w:t>0</w:t>
            </w:r>
          </w:p>
        </w:tc>
        <w:tc>
          <w:tcPr>
            <w:tcW w:w="1486" w:type="dxa"/>
          </w:tcPr>
          <w:p w:rsidR="00D849AA" w:rsidRPr="00807829" w:rsidRDefault="00EE6D95">
            <w:pPr>
              <w:rPr>
                <w:rFonts w:ascii="Arial" w:hAnsi="Arial" w:cs="Arial"/>
              </w:rPr>
            </w:pPr>
            <w:r w:rsidRPr="00807829">
              <w:rPr>
                <w:rFonts w:ascii="Arial" w:hAnsi="Arial" w:cs="Arial"/>
              </w:rPr>
              <w:t>100</w:t>
            </w:r>
          </w:p>
        </w:tc>
        <w:tc>
          <w:tcPr>
            <w:tcW w:w="1486" w:type="dxa"/>
          </w:tcPr>
          <w:p w:rsidR="00D849AA" w:rsidRPr="00807829" w:rsidRDefault="00EE6D95">
            <w:pPr>
              <w:rPr>
                <w:rFonts w:ascii="Arial" w:hAnsi="Arial" w:cs="Arial"/>
              </w:rPr>
            </w:pPr>
            <w:r w:rsidRPr="00807829">
              <w:rPr>
                <w:rFonts w:ascii="Arial" w:hAnsi="Arial" w:cs="Arial"/>
              </w:rPr>
              <w:t>100</w:t>
            </w:r>
          </w:p>
        </w:tc>
        <w:tc>
          <w:tcPr>
            <w:tcW w:w="1486" w:type="dxa"/>
          </w:tcPr>
          <w:p w:rsidR="00D849AA" w:rsidRPr="00807829" w:rsidRDefault="00EE6D95">
            <w:pPr>
              <w:rPr>
                <w:rFonts w:ascii="Arial" w:hAnsi="Arial" w:cs="Arial"/>
              </w:rPr>
            </w:pPr>
            <w:r w:rsidRPr="00807829">
              <w:rPr>
                <w:rFonts w:ascii="Arial" w:hAnsi="Arial" w:cs="Arial"/>
              </w:rPr>
              <w:t>100</w:t>
            </w:r>
          </w:p>
        </w:tc>
      </w:tr>
      <w:tr w:rsidR="00D849AA">
        <w:trPr>
          <w:jc w:val="center"/>
        </w:trPr>
        <w:tc>
          <w:tcPr>
            <w:tcW w:w="2229" w:type="dxa"/>
          </w:tcPr>
          <w:p w:rsidR="00D849AA" w:rsidRPr="00807829" w:rsidRDefault="00EE6D95">
            <w:pPr>
              <w:pStyle w:val="CellColumn"/>
            </w:pPr>
            <w:r w:rsidRPr="00807829">
              <w:t>Interne procedure nužne za obavljanje funkcija Posredničkog tijela razine 2 kontinuirano ažurirane i prilagođene</w:t>
            </w:r>
          </w:p>
        </w:tc>
        <w:tc>
          <w:tcPr>
            <w:tcW w:w="1114" w:type="dxa"/>
          </w:tcPr>
          <w:p w:rsidR="00D849AA" w:rsidRPr="00807829" w:rsidRDefault="00EE6D95">
            <w:pPr>
              <w:rPr>
                <w:rFonts w:ascii="Arial" w:hAnsi="Arial" w:cs="Arial"/>
              </w:rPr>
            </w:pPr>
            <w:r w:rsidRPr="00807829">
              <w:rPr>
                <w:rFonts w:ascii="Arial" w:hAnsi="Arial" w:cs="Arial"/>
              </w:rPr>
              <w:t>%</w:t>
            </w:r>
          </w:p>
        </w:tc>
        <w:tc>
          <w:tcPr>
            <w:tcW w:w="1114" w:type="dxa"/>
          </w:tcPr>
          <w:p w:rsidR="00D849AA" w:rsidRPr="00807829" w:rsidRDefault="00EE6D95">
            <w:pPr>
              <w:rPr>
                <w:rFonts w:ascii="Arial" w:hAnsi="Arial" w:cs="Arial"/>
              </w:rPr>
            </w:pPr>
            <w:r w:rsidRPr="00807829">
              <w:rPr>
                <w:rFonts w:ascii="Arial" w:hAnsi="Arial" w:cs="Arial"/>
              </w:rPr>
              <w:t>0</w:t>
            </w:r>
          </w:p>
        </w:tc>
        <w:tc>
          <w:tcPr>
            <w:tcW w:w="1486" w:type="dxa"/>
          </w:tcPr>
          <w:p w:rsidR="00D849AA" w:rsidRPr="00807829" w:rsidRDefault="00EE6D95">
            <w:pPr>
              <w:rPr>
                <w:rFonts w:ascii="Arial" w:hAnsi="Arial" w:cs="Arial"/>
              </w:rPr>
            </w:pPr>
            <w:r w:rsidRPr="00807829">
              <w:rPr>
                <w:rFonts w:ascii="Arial" w:hAnsi="Arial" w:cs="Arial"/>
              </w:rPr>
              <w:t>100</w:t>
            </w:r>
          </w:p>
        </w:tc>
        <w:tc>
          <w:tcPr>
            <w:tcW w:w="1486" w:type="dxa"/>
          </w:tcPr>
          <w:p w:rsidR="00D849AA" w:rsidRPr="00807829" w:rsidRDefault="00EE6D95">
            <w:pPr>
              <w:rPr>
                <w:rFonts w:ascii="Arial" w:hAnsi="Arial" w:cs="Arial"/>
              </w:rPr>
            </w:pPr>
            <w:r w:rsidRPr="00807829">
              <w:rPr>
                <w:rFonts w:ascii="Arial" w:hAnsi="Arial" w:cs="Arial"/>
              </w:rPr>
              <w:t>100</w:t>
            </w:r>
          </w:p>
        </w:tc>
        <w:tc>
          <w:tcPr>
            <w:tcW w:w="1486" w:type="dxa"/>
          </w:tcPr>
          <w:p w:rsidR="00D849AA" w:rsidRPr="00807829" w:rsidRDefault="00EE6D95">
            <w:pPr>
              <w:rPr>
                <w:rFonts w:ascii="Arial" w:hAnsi="Arial" w:cs="Arial"/>
              </w:rPr>
            </w:pPr>
            <w:r w:rsidRPr="00807829">
              <w:rPr>
                <w:rFonts w:ascii="Arial" w:hAnsi="Arial" w:cs="Arial"/>
              </w:rPr>
              <w:t>100</w:t>
            </w:r>
          </w:p>
        </w:tc>
      </w:tr>
    </w:tbl>
    <w:p w:rsidR="00D849AA" w:rsidRDefault="00D849AA">
      <w:pPr>
        <w:jc w:val="left"/>
      </w:pPr>
    </w:p>
    <w:p w:rsidR="00D849AA" w:rsidRDefault="00EE6D95">
      <w:pPr>
        <w:pStyle w:val="Naslov1"/>
      </w:pPr>
      <w:r>
        <w:lastRenderedPageBreak/>
        <w:t>065 MINISTARSTVO POMORSTVA, PROMETA I INFRASTRUKTURE</w:t>
      </w:r>
    </w:p>
    <w:p w:rsidR="00D849AA" w:rsidRDefault="00EE6D95">
      <w:pPr>
        <w:pStyle w:val="Naslov4"/>
      </w:pPr>
      <w:r>
        <w:t>Uvod</w:t>
      </w:r>
    </w:p>
    <w:p w:rsidR="00D849AA" w:rsidRDefault="00EE6D95">
      <w:pPr>
        <w:pStyle w:val="Normal3"/>
      </w:pPr>
      <w:r>
        <w:t xml:space="preserve">Ministarstvo pomorstva, prometa i infrastrukture ustrojeno je temeljem Zakona o ustrojstvu i djelokrugu ministarstava i drugih središnjih tijela državne uprave (N.N. br. 150/11), kojeg je Hrvatski sabor donio na sjednici 22. prosinca 2011. godine.  </w:t>
      </w:r>
    </w:p>
    <w:p w:rsidR="00D849AA" w:rsidRDefault="00EE6D95">
      <w:pPr>
        <w:pStyle w:val="Normal3"/>
      </w:pPr>
      <w:r>
        <w:t xml:space="preserve"> Ministarstvo pomorstva, prometa i infrastrukture obavlja upravne i druge poslove koji se odnose na: unutarnji međunarodni pomorski, nautički, cestovni, željeznički, zračni i poštanski promet; sustav prometa žičarama, uspinjačama i vučnicama te promet na unutarnjim vodama s infrastrukturom tih vidova prometa; planiranje, izradu i provedbu strateških dokumenata i projekata prometne  infrastrukture, predlaže strategiju razvoja svih vidova prometa; zaštitu mora od onečišćenja s brodova; morske luke, pomorsko dobro i utvrđivanje granica pomorskog dobra, pomorsko  osiguranje i pomorske agencije; luke na unutarnjim plovnim putovima; kopnene robno-transportne centre; zračne luke; prijevozna sredstva osim onih poslova koje ulaze u djelokrug rada drugih ministarstava; elektroničke komunikacije (telekomunikacije i radijske komunikacije) i poštu; inspekcijske poslove: sigurnosti plovidbe na moru, unutarnjeg i međunarodnog cestovnog prometa i cesta, osim poslova iz djelokruga Ministarstva unutarnjih poslova, sigurnosti željezničkog prometa, sigurnosti prometa žičarama, uspinjačama i vučnicama, sigurnosti zračne plovidbe i sigurnosti plovidbe na unutarnjim vodama.  </w:t>
      </w:r>
    </w:p>
    <w:p w:rsidR="00D849AA" w:rsidRDefault="00EE6D95">
      <w:pPr>
        <w:pStyle w:val="Normal3"/>
      </w:pPr>
      <w:r>
        <w:t xml:space="preserve">Ministarstvo obavlja upravne i druge poslove koji se odnose na: elektroničke komunikacije (telekomunikacije i radijske komunikacije) i poštu, informacijsko društvo i poštanske usluge, pripremanje nacrta prijedloga zakona i drugih propisa iz područja elektroničkih komunikacija i poštanskih usluga, osiguravanje i provođenje utvrđene politike i primjenu zakona i drugih propisa iz  područja elektroničkih komunikacija i poštanskih usluga, predlaganje strategija, studija, smjernica i programa razvoja elektroničkih komunikacija i poštanskih usluga u Republici Hrvatskoj te predlaganje akcijskih planova za njihovu provedbu, izradu analiza i izvješća o stanju u području  elektroničkih komunikacijskih mreža i usluga te poštanskih usluga, prijedloga mjera i planova za  razvoj i poboljšanje stanja u području elektroničkih komunikacija, informacijskog društva i nacionalne informacijske infrastrukture te poštanskih usluga, suradnju u praćenju, utvrđivanju i analizi pokazatelja razvoja informacijskog društva, predlaganje projekata i programa razvoja informacijske i komunikacijske tehnologije (lCT) i usluga informacijskog društva, suradnju u planiranju, usklađivanju i provedbi aktivnosti razvoja nacionalne informacijske infrastrukture, pripremu prijedloga mjera i planova za poticanje razvoja i poboljšanje stanja na tržištu ICT usluga, aplikacija i proizvoda te u ICT infrastrukturi, pružanje stručne potpore u analitičkom pregledu i ocjeni usklađenosti zakonodavstva Republike Hrvatske s pravnom stečevinom Europske unije te sudjelovanje u radu europski i međunarodnih organizacija i institucija u području elektroničkih komunikacija, informacijskog društva i poštanskih usluga, te njihovih upravnih i radnih tijela i stručnih skupina, sudjelovanje na međudržavnim sastancima i pregovorima iz područja elektroničkih komunikacija, informacijskog društva i poštanskih usluga; inspekcijske poslove; poslove elektroničkih komunikacija (telekomunikacija i radijskih komunikacija) i pošte, unutarnjeg i međunarodnoga poštanskog prometa.  </w:t>
      </w:r>
    </w:p>
    <w:p w:rsidR="00D849AA" w:rsidRDefault="00EE6D95">
      <w:pPr>
        <w:pStyle w:val="Normal3"/>
      </w:pPr>
      <w:r>
        <w:t xml:space="preserve"> Ministarstvo obavlja upravne, stručne i druge poslove koji se odnose na organiziranje izrade strateških infrastrukturnih projekata i investicijskih programa za sve vidove prometa, od posebnog značenja za Republiku Hrvatsku i pripremanje prijedloga Vladi Republike Hrvatske za njihovo odobravanje i provedbu; organiziranje odgovarajućih velikih infrastrukturnih investicijskih radova u izgradnji objekata i uređaja prometne infrastrukture, osim njihove rekonstrukcije i održavanja, i drugih odgovarajućih krupnih infrastrukturnih radova od značaja za održivi razvitak Republike Hrvatske koji se u cijelosti ili u većoj mjeri financiraju sredstvima  državnog proračuna, te usklađuje aktivnosti drugih subjekata u izgradnji takvih objekata i prati i kontrolira te investicije, </w:t>
      </w:r>
      <w:r>
        <w:lastRenderedPageBreak/>
        <w:t xml:space="preserve">te obavlja stručne poslove koji se odnose na pokretanje, usklađivanje i nadzor poslova određenih aktima i propisima kojima se uređuje ukupni razvitak prometa.  </w:t>
      </w:r>
    </w:p>
    <w:p w:rsidR="00D849AA" w:rsidRDefault="00EE6D95">
      <w:pPr>
        <w:pStyle w:val="Normal3"/>
      </w:pPr>
      <w:r>
        <w:t xml:space="preserve"> Unutar Razdjela Ministarstva pomorstva, prometa i infrastrukture nalazi se slijedeća tijela: Agencija za obalni linijski promet, Agencija za vodne putove, Hrvatski hidrografski institut, Agencija za istraživanje nesreća u zračnom, pomorskom i željezničkom prometu i Agencija za sigurnost željezničkog prometa.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06505 Ministarstvo pomorstva, prometa i infrastrukture</w:t>
            </w:r>
          </w:p>
        </w:tc>
        <w:tc>
          <w:tcPr>
            <w:tcW w:w="1486" w:type="dxa"/>
          </w:tcPr>
          <w:p w:rsidR="00D849AA" w:rsidRDefault="00EE6D95">
            <w:r>
              <w:t>5.424.210.960</w:t>
            </w:r>
          </w:p>
        </w:tc>
        <w:tc>
          <w:tcPr>
            <w:tcW w:w="1486" w:type="dxa"/>
          </w:tcPr>
          <w:p w:rsidR="00D849AA" w:rsidRDefault="00EE6D95">
            <w:r>
              <w:t>5.647.105.605</w:t>
            </w:r>
          </w:p>
        </w:tc>
        <w:tc>
          <w:tcPr>
            <w:tcW w:w="1486" w:type="dxa"/>
          </w:tcPr>
          <w:p w:rsidR="00D849AA" w:rsidRDefault="00EE6D95">
            <w:r>
              <w:t>6.254.327.342</w:t>
            </w:r>
          </w:p>
        </w:tc>
        <w:tc>
          <w:tcPr>
            <w:tcW w:w="1486" w:type="dxa"/>
          </w:tcPr>
          <w:p w:rsidR="00D849AA" w:rsidRDefault="00EE6D95">
            <w:r>
              <w:t>6.583.551.882</w:t>
            </w:r>
          </w:p>
        </w:tc>
        <w:tc>
          <w:tcPr>
            <w:tcW w:w="1486" w:type="dxa"/>
          </w:tcPr>
          <w:p w:rsidR="00D849AA" w:rsidRDefault="00EE6D95">
            <w:r>
              <w:t>104,1</w:t>
            </w:r>
          </w:p>
        </w:tc>
      </w:tr>
      <w:tr w:rsidR="00D849AA">
        <w:trPr>
          <w:jc w:val="center"/>
        </w:trPr>
        <w:tc>
          <w:tcPr>
            <w:tcW w:w="1486" w:type="dxa"/>
          </w:tcPr>
          <w:p w:rsidR="00D849AA" w:rsidRDefault="00EE6D95">
            <w:pPr>
              <w:pStyle w:val="CellColumn"/>
            </w:pPr>
            <w:r>
              <w:t>06545 Agencija za obalni linijski promet</w:t>
            </w:r>
          </w:p>
        </w:tc>
        <w:tc>
          <w:tcPr>
            <w:tcW w:w="1486" w:type="dxa"/>
          </w:tcPr>
          <w:p w:rsidR="00D849AA" w:rsidRDefault="00EE6D95">
            <w:r>
              <w:t>357.799.100</w:t>
            </w:r>
          </w:p>
        </w:tc>
        <w:tc>
          <w:tcPr>
            <w:tcW w:w="1486" w:type="dxa"/>
          </w:tcPr>
          <w:p w:rsidR="00D849AA" w:rsidRDefault="00EE6D95">
            <w:r>
              <w:t>356.100.000</w:t>
            </w:r>
          </w:p>
        </w:tc>
        <w:tc>
          <w:tcPr>
            <w:tcW w:w="1486" w:type="dxa"/>
          </w:tcPr>
          <w:p w:rsidR="00D849AA" w:rsidRDefault="00EE6D95">
            <w:r>
              <w:t>330.730.600</w:t>
            </w:r>
          </w:p>
        </w:tc>
        <w:tc>
          <w:tcPr>
            <w:tcW w:w="1486" w:type="dxa"/>
          </w:tcPr>
          <w:p w:rsidR="00D849AA" w:rsidRDefault="00EE6D95">
            <w:r>
              <w:t>330.730.600</w:t>
            </w:r>
          </w:p>
        </w:tc>
        <w:tc>
          <w:tcPr>
            <w:tcW w:w="1486" w:type="dxa"/>
          </w:tcPr>
          <w:p w:rsidR="00D849AA" w:rsidRDefault="00EE6D95">
            <w:r>
              <w:t>99,5</w:t>
            </w:r>
          </w:p>
        </w:tc>
      </w:tr>
      <w:tr w:rsidR="00D849AA">
        <w:trPr>
          <w:jc w:val="center"/>
        </w:trPr>
        <w:tc>
          <w:tcPr>
            <w:tcW w:w="1486" w:type="dxa"/>
          </w:tcPr>
          <w:p w:rsidR="00D849AA" w:rsidRDefault="00EE6D95">
            <w:pPr>
              <w:pStyle w:val="CellColumn"/>
            </w:pPr>
            <w:r>
              <w:t>06550 Agencija za vodne putove</w:t>
            </w:r>
          </w:p>
        </w:tc>
        <w:tc>
          <w:tcPr>
            <w:tcW w:w="1486" w:type="dxa"/>
          </w:tcPr>
          <w:p w:rsidR="00D849AA" w:rsidRDefault="00EE6D95">
            <w:r>
              <w:t>21.464.575</w:t>
            </w:r>
          </w:p>
        </w:tc>
        <w:tc>
          <w:tcPr>
            <w:tcW w:w="1486" w:type="dxa"/>
          </w:tcPr>
          <w:p w:rsidR="00D849AA" w:rsidRDefault="00EE6D95">
            <w:r>
              <w:t>23.216.000</w:t>
            </w:r>
          </w:p>
        </w:tc>
        <w:tc>
          <w:tcPr>
            <w:tcW w:w="1486" w:type="dxa"/>
          </w:tcPr>
          <w:p w:rsidR="00D849AA" w:rsidRDefault="00EE6D95">
            <w:r>
              <w:t>23.200.000</w:t>
            </w:r>
          </w:p>
        </w:tc>
        <w:tc>
          <w:tcPr>
            <w:tcW w:w="1486" w:type="dxa"/>
          </w:tcPr>
          <w:p w:rsidR="00D849AA" w:rsidRDefault="00EE6D95">
            <w:r>
              <w:t>23.200.000</w:t>
            </w:r>
          </w:p>
        </w:tc>
        <w:tc>
          <w:tcPr>
            <w:tcW w:w="1486" w:type="dxa"/>
          </w:tcPr>
          <w:p w:rsidR="00D849AA" w:rsidRDefault="00EE6D95">
            <w:r>
              <w:t>108,2</w:t>
            </w:r>
          </w:p>
        </w:tc>
      </w:tr>
      <w:tr w:rsidR="00D849AA">
        <w:trPr>
          <w:jc w:val="center"/>
        </w:trPr>
        <w:tc>
          <w:tcPr>
            <w:tcW w:w="1486" w:type="dxa"/>
          </w:tcPr>
          <w:p w:rsidR="00D849AA" w:rsidRDefault="00EE6D95">
            <w:pPr>
              <w:pStyle w:val="CellColumn"/>
            </w:pPr>
            <w:r>
              <w:t>06551 Agencije u prometu i infrastrukturi</w:t>
            </w:r>
          </w:p>
        </w:tc>
        <w:tc>
          <w:tcPr>
            <w:tcW w:w="1486" w:type="dxa"/>
          </w:tcPr>
          <w:p w:rsidR="00D849AA" w:rsidRDefault="00EE6D95">
            <w:r>
              <w:t>17.575.560</w:t>
            </w:r>
          </w:p>
        </w:tc>
        <w:tc>
          <w:tcPr>
            <w:tcW w:w="1486" w:type="dxa"/>
          </w:tcPr>
          <w:p w:rsidR="00D849AA" w:rsidRDefault="00EE6D95">
            <w:r>
              <w:t>14.480.000</w:t>
            </w:r>
          </w:p>
        </w:tc>
        <w:tc>
          <w:tcPr>
            <w:tcW w:w="1486" w:type="dxa"/>
          </w:tcPr>
          <w:p w:rsidR="00D849AA" w:rsidRDefault="00EE6D95">
            <w:r>
              <w:t>12.925.000</w:t>
            </w:r>
          </w:p>
        </w:tc>
        <w:tc>
          <w:tcPr>
            <w:tcW w:w="1486" w:type="dxa"/>
          </w:tcPr>
          <w:p w:rsidR="00D849AA" w:rsidRDefault="00EE6D95">
            <w:r>
              <w:t>12.925.000</w:t>
            </w:r>
          </w:p>
        </w:tc>
        <w:tc>
          <w:tcPr>
            <w:tcW w:w="1486" w:type="dxa"/>
          </w:tcPr>
          <w:p w:rsidR="00D849AA" w:rsidRDefault="00EE6D95">
            <w:r>
              <w:t>82,4</w:t>
            </w:r>
          </w:p>
        </w:tc>
      </w:tr>
      <w:tr w:rsidR="00D849AA">
        <w:trPr>
          <w:jc w:val="center"/>
        </w:trPr>
        <w:tc>
          <w:tcPr>
            <w:tcW w:w="1486" w:type="dxa"/>
          </w:tcPr>
          <w:p w:rsidR="00D849AA" w:rsidRDefault="00EE6D95">
            <w:pPr>
              <w:pStyle w:val="CellColumn"/>
            </w:pPr>
            <w:r>
              <w:t>06560 Hrvatski hidrografski institut</w:t>
            </w:r>
          </w:p>
        </w:tc>
        <w:tc>
          <w:tcPr>
            <w:tcW w:w="1486" w:type="dxa"/>
          </w:tcPr>
          <w:p w:rsidR="00D849AA" w:rsidRDefault="00EE6D95">
            <w:r>
              <w:t>11.185.541</w:t>
            </w:r>
          </w:p>
        </w:tc>
        <w:tc>
          <w:tcPr>
            <w:tcW w:w="1486" w:type="dxa"/>
          </w:tcPr>
          <w:p w:rsidR="00D849AA" w:rsidRDefault="00EE6D95">
            <w:r>
              <w:t>11.190.000</w:t>
            </w:r>
          </w:p>
        </w:tc>
        <w:tc>
          <w:tcPr>
            <w:tcW w:w="1486" w:type="dxa"/>
          </w:tcPr>
          <w:p w:rsidR="00D849AA" w:rsidRDefault="00EE6D95">
            <w:r>
              <w:t>11.190.000</w:t>
            </w:r>
          </w:p>
        </w:tc>
        <w:tc>
          <w:tcPr>
            <w:tcW w:w="1486" w:type="dxa"/>
          </w:tcPr>
          <w:p w:rsidR="00D849AA" w:rsidRDefault="00EE6D95">
            <w:r>
              <w:t>11.190.000</w:t>
            </w:r>
          </w:p>
        </w:tc>
        <w:tc>
          <w:tcPr>
            <w:tcW w:w="1486" w:type="dxa"/>
          </w:tcPr>
          <w:p w:rsidR="00D849AA" w:rsidRDefault="00EE6D95">
            <w:r>
              <w:t>100,0</w:t>
            </w:r>
          </w:p>
        </w:tc>
      </w:tr>
      <w:tr w:rsidR="00D849AA">
        <w:trPr>
          <w:jc w:val="center"/>
        </w:trPr>
        <w:tc>
          <w:tcPr>
            <w:tcW w:w="1486" w:type="dxa"/>
            <w:shd w:val="clear" w:color="auto" w:fill="B5C0D8"/>
          </w:tcPr>
          <w:p w:rsidR="00D849AA" w:rsidRDefault="00EE6D95">
            <w:pPr>
              <w:pStyle w:val="CellColumn"/>
            </w:pPr>
            <w:r>
              <w:t>Ukupno 065</w:t>
            </w:r>
          </w:p>
        </w:tc>
        <w:tc>
          <w:tcPr>
            <w:tcW w:w="1486" w:type="dxa"/>
            <w:shd w:val="clear" w:color="auto" w:fill="B5C0D8"/>
          </w:tcPr>
          <w:p w:rsidR="00D849AA" w:rsidRDefault="00EE6D95">
            <w:r>
              <w:t>5.832.235.736</w:t>
            </w:r>
          </w:p>
        </w:tc>
        <w:tc>
          <w:tcPr>
            <w:tcW w:w="1486" w:type="dxa"/>
            <w:shd w:val="clear" w:color="auto" w:fill="B5C0D8"/>
          </w:tcPr>
          <w:p w:rsidR="00D849AA" w:rsidRDefault="00EE6D95">
            <w:r>
              <w:t>6.052.091.605</w:t>
            </w:r>
          </w:p>
        </w:tc>
        <w:tc>
          <w:tcPr>
            <w:tcW w:w="1486" w:type="dxa"/>
            <w:shd w:val="clear" w:color="auto" w:fill="B5C0D8"/>
          </w:tcPr>
          <w:p w:rsidR="00D849AA" w:rsidRDefault="00EE6D95">
            <w:r>
              <w:t>6.632.372.942</w:t>
            </w:r>
          </w:p>
        </w:tc>
        <w:tc>
          <w:tcPr>
            <w:tcW w:w="1486" w:type="dxa"/>
            <w:shd w:val="clear" w:color="auto" w:fill="B5C0D8"/>
          </w:tcPr>
          <w:p w:rsidR="00D849AA" w:rsidRDefault="00EE6D95">
            <w:r>
              <w:t>6.961.597.482</w:t>
            </w:r>
          </w:p>
        </w:tc>
        <w:tc>
          <w:tcPr>
            <w:tcW w:w="1486" w:type="dxa"/>
            <w:shd w:val="clear" w:color="auto" w:fill="B5C0D8"/>
          </w:tcPr>
          <w:p w:rsidR="00D849AA" w:rsidRDefault="00EE6D95">
            <w:r>
              <w:t>103,8</w:t>
            </w:r>
          </w:p>
        </w:tc>
      </w:tr>
    </w:tbl>
    <w:p w:rsidR="00D849AA" w:rsidRDefault="00D849AA">
      <w:pPr>
        <w:jc w:val="left"/>
      </w:pPr>
    </w:p>
    <w:p w:rsidR="00D849AA" w:rsidRDefault="00EE6D95">
      <w:pPr>
        <w:pStyle w:val="Naslov2"/>
      </w:pPr>
      <w:r>
        <w:t>06505 Ministarstvo pomorstva, prometa i infrastrukture</w:t>
      </w:r>
    </w:p>
    <w:p w:rsidR="00D849AA" w:rsidRDefault="00EE6D95">
      <w:pPr>
        <w:pStyle w:val="Naslov4"/>
      </w:pPr>
      <w:r>
        <w:t>Uvod</w:t>
      </w:r>
    </w:p>
    <w:p w:rsidR="00D849AA" w:rsidRDefault="00EE6D95">
      <w:pPr>
        <w:pStyle w:val="Normal3"/>
      </w:pPr>
      <w:r>
        <w:t>Najznačajniji poslovi i zadaci na razini Glave Ministarstva pomorstva, prometa i infrastrukture u narednom trogodišnjem razdoblju su stvaranje uvjeta i izgradnja kapaciteta koji će osigurati izradu kvalitetnih zakona i ostalih propisa te njihovo provođenje vezano uz zaštitu  mora, pomorskog dobra i vodnih putova unutarnjih  voda, osiguranje  prometne povezanosti  otoka međusobno i s kopnom, postizanje visoke razvijenosti elektroničkih komunikacija i tržišta poštanskih usluga, organiziranje izrade strateških  infrastrukturnih projekata i investicijskih programa od posebnog značaja za Republiku Hrvatsku, organiziranje radova na izgradnji suvremene prometne infrastrukture, koja će prometno povezati sve regije i razviti sve vidova prometa uz visok stupanj profesionalnosti i sigurnosti u pružanju prijevoznih usluga te poduzimanje svih mjera zaštite okoliša u transportu.</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06505</w:t>
            </w:r>
          </w:p>
        </w:tc>
        <w:tc>
          <w:tcPr>
            <w:tcW w:w="1486" w:type="dxa"/>
          </w:tcPr>
          <w:p w:rsidR="00D849AA" w:rsidRDefault="00EE6D95">
            <w:r>
              <w:t>5.424.210.960</w:t>
            </w:r>
          </w:p>
        </w:tc>
        <w:tc>
          <w:tcPr>
            <w:tcW w:w="1486" w:type="dxa"/>
          </w:tcPr>
          <w:p w:rsidR="00D849AA" w:rsidRDefault="00EE6D95">
            <w:r>
              <w:t>5.647.105.605</w:t>
            </w:r>
          </w:p>
        </w:tc>
        <w:tc>
          <w:tcPr>
            <w:tcW w:w="1486" w:type="dxa"/>
          </w:tcPr>
          <w:p w:rsidR="00D849AA" w:rsidRDefault="00EE6D95">
            <w:r>
              <w:t>6.254.327.342</w:t>
            </w:r>
          </w:p>
        </w:tc>
        <w:tc>
          <w:tcPr>
            <w:tcW w:w="1486" w:type="dxa"/>
          </w:tcPr>
          <w:p w:rsidR="00D849AA" w:rsidRDefault="00EE6D95">
            <w:r>
              <w:t>6.583.551.882</w:t>
            </w:r>
          </w:p>
        </w:tc>
        <w:tc>
          <w:tcPr>
            <w:tcW w:w="1486" w:type="dxa"/>
          </w:tcPr>
          <w:p w:rsidR="00D849AA" w:rsidRDefault="00EE6D95">
            <w:r>
              <w:t>104,1</w:t>
            </w:r>
          </w:p>
        </w:tc>
      </w:tr>
    </w:tbl>
    <w:p w:rsidR="00D849AA" w:rsidRDefault="00D849AA">
      <w:pPr>
        <w:jc w:val="left"/>
      </w:pPr>
    </w:p>
    <w:p w:rsidR="00D849AA" w:rsidRDefault="00EE6D95">
      <w:pPr>
        <w:pStyle w:val="Naslov4"/>
      </w:pPr>
      <w:r>
        <w:t>OBRAZLOŽENJE PROGRAMA</w:t>
      </w:r>
    </w:p>
    <w:p w:rsidR="00D849AA" w:rsidRDefault="00EE6D95">
      <w:pPr>
        <w:pStyle w:val="Naslov5"/>
      </w:pPr>
      <w:r>
        <w:t>3101 UPRAVLJANJE NA PODRUČJU PROMETNE POLITIKE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3101</w:t>
            </w:r>
          </w:p>
        </w:tc>
        <w:tc>
          <w:tcPr>
            <w:tcW w:w="1486" w:type="dxa"/>
          </w:tcPr>
          <w:p w:rsidR="00D849AA" w:rsidRDefault="00EE6D95">
            <w:r>
              <w:t>110.877.603</w:t>
            </w:r>
          </w:p>
        </w:tc>
        <w:tc>
          <w:tcPr>
            <w:tcW w:w="1486" w:type="dxa"/>
          </w:tcPr>
          <w:p w:rsidR="00D849AA" w:rsidRDefault="00EE6D95">
            <w:r>
              <w:t>112.951.000</w:t>
            </w:r>
          </w:p>
        </w:tc>
        <w:tc>
          <w:tcPr>
            <w:tcW w:w="1486" w:type="dxa"/>
          </w:tcPr>
          <w:p w:rsidR="00D849AA" w:rsidRDefault="00EE6D95">
            <w:r>
              <w:t>111.940.150</w:t>
            </w:r>
          </w:p>
        </w:tc>
        <w:tc>
          <w:tcPr>
            <w:tcW w:w="1486" w:type="dxa"/>
          </w:tcPr>
          <w:p w:rsidR="00D849AA" w:rsidRDefault="00EE6D95">
            <w:r>
              <w:t>111.159.000</w:t>
            </w:r>
          </w:p>
        </w:tc>
        <w:tc>
          <w:tcPr>
            <w:tcW w:w="1486" w:type="dxa"/>
          </w:tcPr>
          <w:p w:rsidR="00D849AA" w:rsidRDefault="00EE6D95">
            <w:r>
              <w:t>101,9</w:t>
            </w:r>
          </w:p>
        </w:tc>
      </w:tr>
    </w:tbl>
    <w:p w:rsidR="00D849AA" w:rsidRDefault="00D849AA">
      <w:pPr>
        <w:jc w:val="left"/>
      </w:pPr>
    </w:p>
    <w:p w:rsidR="00D849AA" w:rsidRDefault="00EE6D95">
      <w:pPr>
        <w:pStyle w:val="Naslov6"/>
      </w:pPr>
      <w:r>
        <w:t>Opis programa</w:t>
      </w:r>
    </w:p>
    <w:p w:rsidR="00D849AA" w:rsidRDefault="00EE6D95">
      <w:pPr>
        <w:pStyle w:val="Normal5"/>
      </w:pPr>
      <w:r>
        <w:t xml:space="preserve">Program će se izvršavati kroz šest aktivnosti i projekata, a to su: Administracija i upravljanje, Obnova voznog parka, Informatizacija Ministarstva, Obveze po sudskim sporovima, Rekonstrukcija, obnova i održavanje poslovnih zgrada Ministarstva, Provedba Projekta e-građani. </w:t>
      </w:r>
    </w:p>
    <w:p w:rsidR="00D849AA" w:rsidRDefault="00EE6D95">
      <w:pPr>
        <w:pStyle w:val="Normal5"/>
      </w:pPr>
      <w:r>
        <w:t>Sredstvima planiranim u okviru ovog programa financiraju se troškovi obavljanja redovite djelatnosti Ministarstva: plaće i ostali rashodi za zaposlene, materijalni troškovi, opremanje namještajem, informatičkom i ostalom opremom, informatizacija Ministarstva, stručno usavršavanje zaposlenika, obnova voznog parka, rekonstrukcija, obnova i održavanje poslovnih zgrada Ministarstva.</w:t>
      </w:r>
    </w:p>
    <w:p w:rsidR="00D849AA" w:rsidRDefault="00EE6D95">
      <w:pPr>
        <w:pStyle w:val="Naslov6"/>
      </w:pPr>
      <w:r>
        <w:t>Zakonske i druge pravne osnove</w:t>
      </w:r>
    </w:p>
    <w:p w:rsidR="00D849AA" w:rsidRDefault="00EE6D95">
      <w:pPr>
        <w:pStyle w:val="Normal5"/>
      </w:pPr>
      <w:r>
        <w:t xml:space="preserve">Zakon o sustavu državne uprave, </w:t>
      </w:r>
    </w:p>
    <w:p w:rsidR="00D849AA" w:rsidRDefault="00EE6D95">
      <w:pPr>
        <w:pStyle w:val="Normal5"/>
      </w:pPr>
      <w:r>
        <w:t xml:space="preserve">Uredba o načelima za unutarnje ustrojstvo tijela državne uprave, </w:t>
      </w:r>
    </w:p>
    <w:p w:rsidR="00D849AA" w:rsidRDefault="00EE6D95">
      <w:pPr>
        <w:pStyle w:val="Normal5"/>
      </w:pPr>
      <w:r>
        <w:t xml:space="preserve">Uredba o unutarnjem ustrojstvu Ministarstva pomorstva, prometa i infrastrukture (Narodne novine, broj 27/12, 36/12 i 79/13), </w:t>
      </w:r>
    </w:p>
    <w:p w:rsidR="00D849AA" w:rsidRDefault="00EE6D95">
      <w:pPr>
        <w:pStyle w:val="Normal5"/>
      </w:pPr>
      <w:r>
        <w:t xml:space="preserve">Kolektivni ugovor za državne službenike i namještenike (Narodne novine, broj 104/13), </w:t>
      </w:r>
    </w:p>
    <w:p w:rsidR="00D849AA" w:rsidRDefault="00EE6D95">
      <w:pPr>
        <w:pStyle w:val="Normal5"/>
      </w:pPr>
      <w:r>
        <w:t xml:space="preserve">Zakon o javnoj nabavi (Narodne novine, broj 90/11 i 83/13), </w:t>
      </w:r>
    </w:p>
    <w:p w:rsidR="00D849AA" w:rsidRDefault="00EE6D95">
      <w:pPr>
        <w:pStyle w:val="Normal5"/>
      </w:pPr>
      <w:r>
        <w:t xml:space="preserve">Zakon o upravljanju i raspolaganju imovinom u vlasništvu Republike Hrvatske (Narodne novine, broj 94/13), </w:t>
      </w:r>
    </w:p>
    <w:p w:rsidR="00D849AA" w:rsidRDefault="00EE6D95">
      <w:pPr>
        <w:pStyle w:val="Normal5"/>
      </w:pPr>
      <w:r>
        <w:t xml:space="preserve">Zakon o informacijskoj sigurnosti, </w:t>
      </w:r>
    </w:p>
    <w:p w:rsidR="00D849AA" w:rsidRDefault="00EE6D95">
      <w:pPr>
        <w:pStyle w:val="Normal5"/>
      </w:pPr>
      <w:r>
        <w:t xml:space="preserve">Zakon o proračunu, </w:t>
      </w:r>
    </w:p>
    <w:p w:rsidR="00D849AA" w:rsidRDefault="00EE6D95">
      <w:pPr>
        <w:pStyle w:val="Normal5"/>
      </w:pPr>
      <w:r>
        <w:t>Zakon o fiskalnoj odgovornosti i svi ostali relevantni propisi.</w:t>
      </w:r>
    </w:p>
    <w:p w:rsidR="00D849AA" w:rsidRDefault="00EE6D95">
      <w:pPr>
        <w:pStyle w:val="Naslov6"/>
      </w:pPr>
      <w:r>
        <w:lastRenderedPageBreak/>
        <w:t>Ciljevi provedbe programa u razdoblju 2014.-2016. i pokazatelji uspješnosti kojima će se mjeriti ostvarenje tih ciljeva</w:t>
      </w:r>
    </w:p>
    <w:p w:rsidR="00D849AA" w:rsidRDefault="00EE6D95">
      <w:pPr>
        <w:pStyle w:val="Naslov7"/>
      </w:pPr>
      <w:r>
        <w:t>Cilj 1. Povećanje kvalitete obavljanja poslova redovite djelatnosti Ministarstva</w:t>
      </w:r>
    </w:p>
    <w:p w:rsidR="00D849AA" w:rsidRDefault="00EE6D95">
      <w:pPr>
        <w:pStyle w:val="Normal6"/>
      </w:pPr>
      <w:r>
        <w:t>Povećati kvalitetu usluge prema korisnicima povećanjem ažurnosti i učinkovitosti poslovanja, smanjenje troškova poslovanja, viši nivo informatizacije u vidu unapređenja poslovanja primjenom suvremenih informatičkih rješenja, sigurnost informatičkog sustava, upravljanje i razvoj ljudskih potencijala, te osiguranje pravilnog, učinkovitog i ekonomičnog raspolaganja proračunskim i drugim sredstvima.</w:t>
      </w:r>
    </w:p>
    <w:p w:rsidR="00D849AA" w:rsidRDefault="00EE6D95">
      <w:pPr>
        <w:pStyle w:val="Naslov5"/>
      </w:pPr>
      <w:r>
        <w:t>Procjena i ishodište potrebnih sredstava za značajnije aktivnosti/projekte</w:t>
      </w:r>
    </w:p>
    <w:p w:rsidR="00D849AA" w:rsidRDefault="00EE6D95">
      <w:pPr>
        <w:pStyle w:val="Naslov6"/>
      </w:pPr>
      <w:r>
        <w:t>K570321 INFORMATIZACIJA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K570321</w:t>
            </w:r>
          </w:p>
        </w:tc>
        <w:tc>
          <w:tcPr>
            <w:tcW w:w="1486" w:type="dxa"/>
          </w:tcPr>
          <w:p w:rsidR="00D849AA" w:rsidRDefault="00EE6D95">
            <w:r>
              <w:t>11.162.603</w:t>
            </w:r>
          </w:p>
        </w:tc>
        <w:tc>
          <w:tcPr>
            <w:tcW w:w="1486" w:type="dxa"/>
          </w:tcPr>
          <w:p w:rsidR="00D849AA" w:rsidRDefault="00EE6D95">
            <w:r>
              <w:t>15.610.000</w:t>
            </w:r>
          </w:p>
        </w:tc>
        <w:tc>
          <w:tcPr>
            <w:tcW w:w="1486" w:type="dxa"/>
          </w:tcPr>
          <w:p w:rsidR="00D849AA" w:rsidRDefault="00EE6D95">
            <w:r>
              <w:t>14.520.000</w:t>
            </w:r>
          </w:p>
        </w:tc>
        <w:tc>
          <w:tcPr>
            <w:tcW w:w="1486" w:type="dxa"/>
          </w:tcPr>
          <w:p w:rsidR="00D849AA" w:rsidRDefault="00EE6D95">
            <w:r>
              <w:t>14.680.000</w:t>
            </w:r>
          </w:p>
        </w:tc>
        <w:tc>
          <w:tcPr>
            <w:tcW w:w="1486" w:type="dxa"/>
          </w:tcPr>
          <w:p w:rsidR="00D849AA" w:rsidRDefault="00EE6D95">
            <w:r>
              <w:t>139,8</w:t>
            </w:r>
          </w:p>
        </w:tc>
      </w:tr>
    </w:tbl>
    <w:p w:rsidR="00D849AA" w:rsidRDefault="00D849AA">
      <w:pPr>
        <w:jc w:val="left"/>
      </w:pPr>
    </w:p>
    <w:p w:rsidR="00D849AA" w:rsidRDefault="00EE6D95">
      <w:pPr>
        <w:pStyle w:val="Normal6"/>
      </w:pPr>
      <w:r>
        <w:t>Na ovom projektu planirana su sredstva za informatizaciju Ministarstva. Povećanje u odnosu na plan 2013. godine je zbog provedbe Zakona o trošarinama (NN, br. 22/2013 i 32/2013) te Odluke o obavljanju poslova podrške sustavu nadzora potrošnje plinskog ulja za gospodarske i javne namjene u plovidbi od 29. svibnja 2013., razvoj i održavanje inspekcijskog sustava CRIS, održavanje i integracija softvera za praćenje EU projekata, nabava licenci za softver za praćenje EU projekata, te održavanje postojećih aplikacija i obnavljanje postojećih licenci</w:t>
      </w:r>
    </w:p>
    <w:p w:rsidR="00D849AA" w:rsidRDefault="00EE6D95">
      <w:pPr>
        <w:pStyle w:val="Naslov6"/>
      </w:pPr>
      <w:r>
        <w:t>K810016 REKONSTRUKCIJA, OBNOVA I ODRŽAVANJE POSLOVNIH ZGRADA MINISTARSTVA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K810016</w:t>
            </w:r>
          </w:p>
        </w:tc>
        <w:tc>
          <w:tcPr>
            <w:tcW w:w="1486" w:type="dxa"/>
          </w:tcPr>
          <w:p w:rsidR="00D849AA" w:rsidRDefault="00EE6D95">
            <w:r>
              <w:t>1.566.000</w:t>
            </w:r>
          </w:p>
        </w:tc>
        <w:tc>
          <w:tcPr>
            <w:tcW w:w="1486" w:type="dxa"/>
          </w:tcPr>
          <w:p w:rsidR="00D849AA" w:rsidRDefault="00EE6D95">
            <w:r>
              <w:t>18.100.000</w:t>
            </w:r>
          </w:p>
        </w:tc>
        <w:tc>
          <w:tcPr>
            <w:tcW w:w="1486" w:type="dxa"/>
          </w:tcPr>
          <w:p w:rsidR="00D849AA" w:rsidRDefault="00EE6D95">
            <w:r>
              <w:t>17.500.000</w:t>
            </w:r>
          </w:p>
        </w:tc>
        <w:tc>
          <w:tcPr>
            <w:tcW w:w="1486" w:type="dxa"/>
          </w:tcPr>
          <w:p w:rsidR="00D849AA" w:rsidRDefault="00EE6D95">
            <w:r>
              <w:t>14.650.000</w:t>
            </w:r>
          </w:p>
        </w:tc>
        <w:tc>
          <w:tcPr>
            <w:tcW w:w="1486" w:type="dxa"/>
          </w:tcPr>
          <w:p w:rsidR="00D849AA" w:rsidRDefault="00EE6D95">
            <w:r>
              <w:t>1155,8</w:t>
            </w:r>
          </w:p>
        </w:tc>
      </w:tr>
    </w:tbl>
    <w:p w:rsidR="00D849AA" w:rsidRDefault="00D849AA">
      <w:pPr>
        <w:jc w:val="left"/>
      </w:pPr>
    </w:p>
    <w:p w:rsidR="00D849AA" w:rsidRDefault="00EE6D95">
      <w:pPr>
        <w:pStyle w:val="Normal6"/>
      </w:pPr>
      <w:r>
        <w:t>Na ovom projektu planirana su sredstva za trogodišnje razdoblje kojima bi se izvršila kompletna sanacija vanjske ovojnice (pročelja) zgrade, te izmjena instalacija (kanalizacije, električne instalacije itd.), a sve u cilju smanjenja potrošnje energenata i povećanja energetske učinkovitosti, te sprečavanja nastanka daljnje veće štete zbog neodržavanja poslovnog prostora.</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Smanjenje potrošnje električne energije</w:t>
            </w:r>
          </w:p>
        </w:tc>
        <w:tc>
          <w:tcPr>
            <w:tcW w:w="1114" w:type="dxa"/>
          </w:tcPr>
          <w:p w:rsidR="00D849AA" w:rsidRDefault="00EE6D95">
            <w:r>
              <w:t>%</w:t>
            </w:r>
          </w:p>
        </w:tc>
        <w:tc>
          <w:tcPr>
            <w:tcW w:w="1114" w:type="dxa"/>
          </w:tcPr>
          <w:p w:rsidR="00D849AA" w:rsidRDefault="00EE6D95">
            <w:r>
              <w:t>0</w:t>
            </w:r>
          </w:p>
        </w:tc>
        <w:tc>
          <w:tcPr>
            <w:tcW w:w="1486" w:type="dxa"/>
          </w:tcPr>
          <w:p w:rsidR="00D849AA" w:rsidRDefault="00EE6D95">
            <w:r>
              <w:t>10</w:t>
            </w:r>
          </w:p>
        </w:tc>
        <w:tc>
          <w:tcPr>
            <w:tcW w:w="1486" w:type="dxa"/>
          </w:tcPr>
          <w:p w:rsidR="00D849AA" w:rsidRDefault="00EE6D95">
            <w:r>
              <w:t>15</w:t>
            </w:r>
          </w:p>
        </w:tc>
        <w:tc>
          <w:tcPr>
            <w:tcW w:w="1486" w:type="dxa"/>
          </w:tcPr>
          <w:p w:rsidR="00D849AA" w:rsidRDefault="00EE6D95">
            <w:r>
              <w:t>20</w:t>
            </w:r>
          </w:p>
        </w:tc>
      </w:tr>
    </w:tbl>
    <w:p w:rsidR="00D849AA" w:rsidRDefault="00D849AA">
      <w:pPr>
        <w:jc w:val="left"/>
      </w:pPr>
    </w:p>
    <w:p w:rsidR="00337A23" w:rsidRDefault="00337A23" w:rsidP="00337A23">
      <w:pPr>
        <w:pStyle w:val="Naslov4"/>
      </w:pPr>
      <w:r>
        <w:lastRenderedPageBreak/>
        <w:t>OBRAZLOŽENJE PROGRAMA</w:t>
      </w:r>
    </w:p>
    <w:p w:rsidR="00D849AA" w:rsidRDefault="00EE6D95">
      <w:pPr>
        <w:pStyle w:val="Naslov5"/>
      </w:pPr>
      <w:r>
        <w:t>3107 RAZVOJ TRŽIŠTA POŠTANSKIH USLUGA I ELEKTRONIČKIH KOMUNIKACIJA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3107</w:t>
            </w:r>
          </w:p>
        </w:tc>
        <w:tc>
          <w:tcPr>
            <w:tcW w:w="1486" w:type="dxa"/>
          </w:tcPr>
          <w:p w:rsidR="00D849AA" w:rsidRDefault="00EE6D95">
            <w:r>
              <w:t>3.470.000</w:t>
            </w:r>
          </w:p>
        </w:tc>
        <w:tc>
          <w:tcPr>
            <w:tcW w:w="1486" w:type="dxa"/>
          </w:tcPr>
          <w:p w:rsidR="00D849AA" w:rsidRDefault="00EE6D95">
            <w:r>
              <w:t>23.800.000</w:t>
            </w:r>
          </w:p>
        </w:tc>
        <w:tc>
          <w:tcPr>
            <w:tcW w:w="1486" w:type="dxa"/>
          </w:tcPr>
          <w:p w:rsidR="00D849AA" w:rsidRDefault="00EE6D95">
            <w:r>
              <w:t>29.100.000</w:t>
            </w:r>
          </w:p>
        </w:tc>
        <w:tc>
          <w:tcPr>
            <w:tcW w:w="1486" w:type="dxa"/>
          </w:tcPr>
          <w:p w:rsidR="00D849AA" w:rsidRDefault="00EE6D95">
            <w:r>
              <w:t>23.100.000</w:t>
            </w:r>
          </w:p>
        </w:tc>
        <w:tc>
          <w:tcPr>
            <w:tcW w:w="1486" w:type="dxa"/>
          </w:tcPr>
          <w:p w:rsidR="00D849AA" w:rsidRDefault="00EE6D95">
            <w:r>
              <w:t>685,9</w:t>
            </w:r>
          </w:p>
        </w:tc>
      </w:tr>
    </w:tbl>
    <w:p w:rsidR="00D849AA" w:rsidRDefault="00D849AA">
      <w:pPr>
        <w:jc w:val="left"/>
      </w:pPr>
    </w:p>
    <w:p w:rsidR="00D849AA" w:rsidRDefault="00EE6D95">
      <w:pPr>
        <w:pStyle w:val="Naslov6"/>
      </w:pPr>
      <w:r>
        <w:t>Opis programa</w:t>
      </w:r>
    </w:p>
    <w:p w:rsidR="00D849AA" w:rsidRDefault="00EE6D95">
      <w:pPr>
        <w:pStyle w:val="Normal5"/>
      </w:pPr>
      <w:r>
        <w:t xml:space="preserve">U okviru ovog programa odvijaju se aktivnosti razvoja elektroničkih komunikacija i poštanskih usluga. </w:t>
      </w:r>
    </w:p>
    <w:p w:rsidR="00D849AA" w:rsidRDefault="00EE6D95">
      <w:pPr>
        <w:pStyle w:val="Normal5"/>
      </w:pPr>
      <w:r>
        <w:t xml:space="preserve">Republika Hrvatska, unatoč brzom razvoju infrastrukture širokopojasnog pristupa, još uvijek ima značajan zaostatak gustoće širokopojasnih priključaka za prosjekom država članica Europske unije. Jedan od glavnih razloga zaostajanja u gustoći širokopojasnih priključaka je nedostatan i neravnomjeran razvoj širokopojasne infrastrukture, naročito u područjima u kojima ne postoji dostatan komercijalni interes za ulaganja u tu infrastrukturu. </w:t>
      </w:r>
    </w:p>
    <w:p w:rsidR="00D849AA" w:rsidRDefault="00EE6D95">
      <w:pPr>
        <w:pStyle w:val="Normal5"/>
      </w:pPr>
      <w:r>
        <w:t xml:space="preserve">U sklopu strateške inicijative Europske unije "Digitalna agenda za Europu“ od država članica EU očekuje se da promiču razvoj i uporabu suvremenih e-usluga. Cilj je razvoj zajedničkog unutarnjeg tržišta elektroničkih komunikacija u Europskoj uniji, osiguranje dostupnosti širokopojasnog pristupa, djelotvorno tržišno natjecanje za pružatelje usluga te povećana potražnja za širokopojasnim uslugama od strane građana i poslovnih subjekata </w:t>
      </w:r>
    </w:p>
    <w:p w:rsidR="00D849AA" w:rsidRDefault="00EE6D95">
      <w:pPr>
        <w:pStyle w:val="Normal5"/>
      </w:pPr>
      <w:r>
        <w:t xml:space="preserve">U cilju poticanja razvoja širokopojasnog pristupa internetu donesena je Strategija razvoja širokopojasnog pristupa u Republici Hrvatskoj u razdoblju od 2012. do 2015. godine i Provedbeni program Strategije razvoja širokopojasnog pristupa u Republici Hrvatskoj za razdoblje od 2012. do 2013. godine ("Narodne novine", br. 144/11.), a u izradi je e Provedbeni program Strategije razvoja širokopojasnog pristupa u Republici Hrvatskoj za razdoblje od 20124.  do 2015. godine, čije donošenje se očekuje do kraja 2013. godine. </w:t>
      </w:r>
    </w:p>
    <w:p w:rsidR="00D849AA" w:rsidRDefault="00EE6D95">
      <w:pPr>
        <w:pStyle w:val="Normal5"/>
      </w:pPr>
      <w:r>
        <w:t xml:space="preserve">Novim Zakonom o poštanskim uslugama osigurana je potpuna liberalizacija tržišta poštanskih usluga u Republici Hrvatskoj od 1. siječnja 2013. godine, a Hrvatska pošta d.d. tim je Zakonom dobila pravo i obvezu obavljanja univerzalne poštanske usluga u trajanju od 15 godina, uz preispitivanje uvjeta za obavljanje ove usluge svakih pet godina, u kojem razdoblju nacionalno regulatorno tijelo (HAKOM) mora izraditi analizu stanja tržišta poštanskih usluga i utvrditi postoje li mogući drugi davatelji univerzalne poštanske usluge </w:t>
      </w:r>
    </w:p>
    <w:p w:rsidR="00D849AA" w:rsidRDefault="00EE6D95">
      <w:pPr>
        <w:pStyle w:val="Normal5"/>
      </w:pPr>
      <w:r>
        <w:t xml:space="preserve">Korisnicima poštanskih usluga na cijelom području Republike Hrvatske moraju se osigurati univerzalne poštanske usluge pod jednakim uvjetima glede određene kakvoće i pristupačne cijene, pa je Zakonom o poštanskim uslugama određeno da HP-Hrvatska pošta d.d. bude davatelj univerzalne poštanske usluge koji ima pravo, ali i obvezu obavljanja univerzalne poštanske usluge određene kakvoće uz pristupačne cijene na cijelom području Republike  </w:t>
      </w:r>
    </w:p>
    <w:p w:rsidR="00D849AA" w:rsidRDefault="00EE6D95">
      <w:pPr>
        <w:pStyle w:val="Normal5"/>
      </w:pPr>
      <w:r>
        <w:t xml:space="preserve">Hrvatske, što predstavlja nepravedno financijsko opterećenje. Obavljanje univerzalne poštanske usluge trebalo bi se financirati iz kompenzacijskog fonda, u koji će doprinose uplaćivati davatelj univerzalne usluge i davatelji zamjenskih poštanskih usluga, pri čemu iznos doprinosa davatelja zamjenskih poštanskih usluga ne može biti viši od 5 posto od ukupnoga godišnjeg prihoda. U slučaju da sredstva iz kompenzacijskog fonda nisu dostatna za podmirenje cjelokupne obveze financiranja nepravednog opterećenja davatelja univerzalne usluge, preostali nepodmireni iznos nepravednog opterećenja podmirit će se iz sredstava </w:t>
      </w:r>
      <w:r>
        <w:lastRenderedPageBreak/>
        <w:t>državnog proračuna Republike Hrvatske, u skladu s pravilima o državnim potporama, kada budu ispunjeni svi uvjeti za naknadu nepravednog opterećenja davatelja univerzalne usluge.</w:t>
      </w:r>
    </w:p>
    <w:p w:rsidR="00D849AA" w:rsidRDefault="00EE6D95">
      <w:pPr>
        <w:pStyle w:val="Naslov6"/>
      </w:pPr>
      <w:r>
        <w:t>Zakonske i druge pravne osnove</w:t>
      </w:r>
    </w:p>
    <w:p w:rsidR="00D849AA" w:rsidRDefault="00EE6D95">
      <w:pPr>
        <w:pStyle w:val="Normal5"/>
      </w:pPr>
      <w:r>
        <w:t xml:space="preserve">Zakon o poštanskim uslugama (NN br. 144/12.), </w:t>
      </w:r>
    </w:p>
    <w:p w:rsidR="00D849AA" w:rsidRDefault="00EE6D95">
      <w:pPr>
        <w:pStyle w:val="Normal5"/>
      </w:pPr>
      <w:r>
        <w:t xml:space="preserve">Zakon o elektroničkim komunikacijama (NN br. 73/08. i 90/11., 133/12., 80/13.), </w:t>
      </w:r>
    </w:p>
    <w:p w:rsidR="00D849AA" w:rsidRDefault="00EE6D95">
      <w:pPr>
        <w:pStyle w:val="Normal5"/>
      </w:pPr>
      <w:r>
        <w:t>Strategija razvoja širokopojasnog pristupa u Republici Hrvatskoj u razdoblju od 2012. do 2015. godine i Provedbeni program Strategije razvoja širokopojasnog pristupa  u Republici Hrvatskoj za razdoblje od 2012. do 2013. godine (NN br. 144/11.).</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Cilj 1. Vi soka i ujednačena razvijenost širokopojasnog pristupa internetu</w:t>
      </w:r>
    </w:p>
    <w:p w:rsidR="00D849AA" w:rsidRDefault="00EE6D95">
      <w:pPr>
        <w:pStyle w:val="Normal6"/>
      </w:pPr>
      <w:r>
        <w:t>Pristup internetu velikim brzinama putem širokopojasnih komunikacija otvara temeljne pretpostavke za ispunjavanje vizije informacijskog društva. Dostupnost širokopojasnog pristupa moguće je ostvariti ulaganjem u razvoj postojećih komunikacijskih mreža i izgradnju nove infrastrukture širokopojasnog pristupa. Veću dostupnost širokopojasnog pristupa u područjima gdje ne postoji dostatan komercijalni interes za ulaganja u infrastrukturu širokopojasnog pristupa moguće je ostvariti uz ciljane projekte na regionalnoj i lokalnoj razini. Na temelju „Studije o odabiru najpovoljnijih modela financiranja i poticajnih mjera za ulaganja u infrastrukturu širokopojasnog pristupa“, izrađuje se „ Okvirni nacionalni programi za razvoj infrastrukture širokopojasnog pristupa u područjima gdje ne postoji dostatan komercijalni interes za ulaganja“ koji će, nakon provedene notifikacije i odobrenja od strane Europske komisije  bit  podloga za izradu projekata jedinica lokalne i područne (regionalne) samouprave.</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 xml:space="preserve">Postotak kućanstava </w:t>
            </w:r>
          </w:p>
          <w:p w:rsidR="00D849AA" w:rsidRDefault="00EE6D95">
            <w:pPr>
              <w:pStyle w:val="CellColumn"/>
            </w:pPr>
            <w:r>
              <w:t xml:space="preserve">sa širokopojasnim </w:t>
            </w:r>
          </w:p>
          <w:p w:rsidR="00D849AA" w:rsidRDefault="00EE6D95">
            <w:pPr>
              <w:pStyle w:val="CellColumn"/>
            </w:pPr>
            <w:r>
              <w:t>pristupom od najmanje 30 M bit/s</w:t>
            </w:r>
          </w:p>
        </w:tc>
        <w:tc>
          <w:tcPr>
            <w:tcW w:w="1114" w:type="dxa"/>
          </w:tcPr>
          <w:p w:rsidR="00D849AA" w:rsidRDefault="00EE6D95">
            <w:r>
              <w:t>%</w:t>
            </w:r>
          </w:p>
        </w:tc>
        <w:tc>
          <w:tcPr>
            <w:tcW w:w="1114" w:type="dxa"/>
          </w:tcPr>
          <w:p w:rsidR="00D849AA" w:rsidRDefault="00EE6D95">
            <w:r>
              <w:t>0</w:t>
            </w:r>
          </w:p>
        </w:tc>
        <w:tc>
          <w:tcPr>
            <w:tcW w:w="1486" w:type="dxa"/>
          </w:tcPr>
          <w:p w:rsidR="00D849AA" w:rsidRDefault="00EE6D95">
            <w:r>
              <w:t>0</w:t>
            </w:r>
          </w:p>
        </w:tc>
        <w:tc>
          <w:tcPr>
            <w:tcW w:w="1486" w:type="dxa"/>
          </w:tcPr>
          <w:p w:rsidR="00D849AA" w:rsidRDefault="00EE6D95">
            <w:r>
              <w:t>10</w:t>
            </w:r>
          </w:p>
        </w:tc>
        <w:tc>
          <w:tcPr>
            <w:tcW w:w="1486" w:type="dxa"/>
          </w:tcPr>
          <w:p w:rsidR="00D849AA" w:rsidRDefault="00EE6D95">
            <w:r>
              <w:t>20</w:t>
            </w:r>
          </w:p>
        </w:tc>
      </w:tr>
      <w:tr w:rsidR="00D849AA">
        <w:trPr>
          <w:jc w:val="center"/>
        </w:trPr>
        <w:tc>
          <w:tcPr>
            <w:tcW w:w="2229" w:type="dxa"/>
          </w:tcPr>
          <w:p w:rsidR="00D849AA" w:rsidRDefault="00EE6D95">
            <w:pPr>
              <w:pStyle w:val="CellColumn"/>
            </w:pPr>
            <w:r>
              <w:t>Postotak jedinica lokalne regionalne) samouprave koje razvijaju infrastrukturu širokopojasnog pristupa</w:t>
            </w:r>
          </w:p>
        </w:tc>
        <w:tc>
          <w:tcPr>
            <w:tcW w:w="1114" w:type="dxa"/>
          </w:tcPr>
          <w:p w:rsidR="00D849AA" w:rsidRDefault="00EE6D95">
            <w:r>
              <w:t>%</w:t>
            </w:r>
          </w:p>
        </w:tc>
        <w:tc>
          <w:tcPr>
            <w:tcW w:w="1114" w:type="dxa"/>
          </w:tcPr>
          <w:p w:rsidR="00D849AA" w:rsidRDefault="00EE6D95">
            <w:r>
              <w:t>0</w:t>
            </w:r>
          </w:p>
        </w:tc>
        <w:tc>
          <w:tcPr>
            <w:tcW w:w="1486" w:type="dxa"/>
          </w:tcPr>
          <w:p w:rsidR="00D849AA" w:rsidRDefault="00EE6D95">
            <w:r>
              <w:t>5</w:t>
            </w:r>
          </w:p>
        </w:tc>
        <w:tc>
          <w:tcPr>
            <w:tcW w:w="1486" w:type="dxa"/>
          </w:tcPr>
          <w:p w:rsidR="00D849AA" w:rsidRDefault="00EE6D95">
            <w:r>
              <w:t>10</w:t>
            </w:r>
          </w:p>
        </w:tc>
        <w:tc>
          <w:tcPr>
            <w:tcW w:w="1486" w:type="dxa"/>
          </w:tcPr>
          <w:p w:rsidR="00D849AA" w:rsidRDefault="00EE6D95">
            <w:r>
              <w:t>15</w:t>
            </w:r>
          </w:p>
        </w:tc>
      </w:tr>
    </w:tbl>
    <w:p w:rsidR="00D849AA" w:rsidRDefault="00D849AA">
      <w:pPr>
        <w:jc w:val="left"/>
      </w:pPr>
    </w:p>
    <w:p w:rsidR="00D849AA" w:rsidRDefault="00EE6D95">
      <w:pPr>
        <w:pStyle w:val="Naslov7"/>
      </w:pPr>
      <w:r>
        <w:t>Cilj 2. Visoka kvaliteta i razvijeno tržište poštanskih usluga</w:t>
      </w:r>
    </w:p>
    <w:p w:rsidR="00D849AA" w:rsidRDefault="00EE6D95">
      <w:pPr>
        <w:pStyle w:val="Normal6"/>
      </w:pPr>
      <w:r>
        <w:t xml:space="preserve">Osiguranje visoke razine pružanja univerzalne usluge po pristupačnoj cijeni svim korisnicima poštanskih usluga na cijelom području države, kao i uvođenje suvremenih poštanskih i drugih usluga povećat će ponudu usluga u skladu s potrebama korisnika. </w:t>
      </w:r>
    </w:p>
    <w:p w:rsidR="00D849AA" w:rsidRDefault="00EE6D95">
      <w:pPr>
        <w:pStyle w:val="Normal6"/>
      </w:pPr>
      <w:r>
        <w:lastRenderedPageBreak/>
        <w:t>Uvođenje novih usluga jedna je od temeljnih aktivnosti u poslovanju svakog davatelja poštanskih usluga, koji uz kapitalna ulaganja u modernizaciju i nove tehnologije pridonosi potrebama korisnika i razvoju tržišta poštanskih usluga. U tom smislu davatelji poštanskih usluga bit će usmjereni na proširenje svoje djelatnosti, i to pružanjem usluga elektroničkog poslovanja i drugih usluga informacijskog društva, čime će se osigurati dodatni izvori prihoda. Novi Zakon o poštanskim uslugama stvara preduvjete za daljnji razvoj konkurentnog i dinamičnog tržišta poštanskih usluga u uvjetima potpune liberalizacije tržišta poštanskih usluga. Daljnji razvoj tržišta poštanskih usluga utvrdit će se novom strategijom razvoja tržišta poštanskih usluga koja će se donijeti u 2014. godini.</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Tržišni udjel ostalih davatelja poštanskih usluga u ukupnom broju ostvarenih poštanskih usluga</w:t>
            </w:r>
          </w:p>
        </w:tc>
        <w:tc>
          <w:tcPr>
            <w:tcW w:w="1114" w:type="dxa"/>
          </w:tcPr>
          <w:p w:rsidR="00D849AA" w:rsidRDefault="00EE6D95">
            <w:r>
              <w:t>%</w:t>
            </w:r>
          </w:p>
        </w:tc>
        <w:tc>
          <w:tcPr>
            <w:tcW w:w="1114" w:type="dxa"/>
          </w:tcPr>
          <w:p w:rsidR="00D849AA" w:rsidRDefault="00EE6D95">
            <w:r>
              <w:t>32,5</w:t>
            </w:r>
          </w:p>
        </w:tc>
        <w:tc>
          <w:tcPr>
            <w:tcW w:w="1486" w:type="dxa"/>
          </w:tcPr>
          <w:p w:rsidR="00D849AA" w:rsidRDefault="00EE6D95">
            <w:r>
              <w:t>35</w:t>
            </w:r>
          </w:p>
        </w:tc>
        <w:tc>
          <w:tcPr>
            <w:tcW w:w="1486" w:type="dxa"/>
          </w:tcPr>
          <w:p w:rsidR="00D849AA" w:rsidRDefault="00EE6D95">
            <w:r>
              <w:t>35</w:t>
            </w:r>
          </w:p>
        </w:tc>
        <w:tc>
          <w:tcPr>
            <w:tcW w:w="1486" w:type="dxa"/>
          </w:tcPr>
          <w:p w:rsidR="00D849AA" w:rsidRDefault="00EE6D95">
            <w:r>
              <w:t>37</w:t>
            </w:r>
          </w:p>
        </w:tc>
      </w:tr>
    </w:tbl>
    <w:p w:rsidR="00D849AA" w:rsidRDefault="00D849AA">
      <w:pPr>
        <w:jc w:val="left"/>
      </w:pPr>
    </w:p>
    <w:p w:rsidR="00D849AA" w:rsidRDefault="00EE6D95">
      <w:pPr>
        <w:pStyle w:val="Naslov5"/>
      </w:pPr>
      <w:r>
        <w:t>Procjena i ishodište potrebnih sredstava za značajnije aktivnosti/projekte</w:t>
      </w:r>
    </w:p>
    <w:p w:rsidR="00D849AA" w:rsidRDefault="00EE6D95">
      <w:pPr>
        <w:pStyle w:val="Naslov6"/>
      </w:pPr>
      <w:r>
        <w:t>K587047 STRATEGIJA RAZVOJA POŠTANSKOG SEKTORA U REPUBLICI HRVATSKOJ</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K587047</w:t>
            </w:r>
          </w:p>
        </w:tc>
        <w:tc>
          <w:tcPr>
            <w:tcW w:w="1486" w:type="dxa"/>
          </w:tcPr>
          <w:p w:rsidR="00D849AA" w:rsidRDefault="00EE6D95">
            <w:r>
              <w:t>00</w:t>
            </w:r>
          </w:p>
        </w:tc>
        <w:tc>
          <w:tcPr>
            <w:tcW w:w="1486" w:type="dxa"/>
          </w:tcPr>
          <w:p w:rsidR="00D849AA" w:rsidRDefault="00EE6D95">
            <w:r>
              <w:t>600.000</w:t>
            </w:r>
          </w:p>
        </w:tc>
        <w:tc>
          <w:tcPr>
            <w:tcW w:w="1486" w:type="dxa"/>
          </w:tcPr>
          <w:p w:rsidR="00D849AA" w:rsidRDefault="00EE6D95">
            <w:r>
              <w:t>00</w:t>
            </w:r>
          </w:p>
        </w:tc>
        <w:tc>
          <w:tcPr>
            <w:tcW w:w="1486" w:type="dxa"/>
          </w:tcPr>
          <w:p w:rsidR="00D849AA" w:rsidRDefault="00EE6D95">
            <w:r>
              <w:t>00</w:t>
            </w:r>
          </w:p>
        </w:tc>
        <w:tc>
          <w:tcPr>
            <w:tcW w:w="1486" w:type="dxa"/>
          </w:tcPr>
          <w:p w:rsidR="00D849AA" w:rsidRDefault="00EE6D95">
            <w:r>
              <w:t>0,0</w:t>
            </w:r>
          </w:p>
        </w:tc>
      </w:tr>
    </w:tbl>
    <w:p w:rsidR="00D849AA" w:rsidRDefault="00D849AA">
      <w:pPr>
        <w:jc w:val="left"/>
      </w:pPr>
    </w:p>
    <w:p w:rsidR="00D849AA" w:rsidRDefault="00EE6D95">
      <w:pPr>
        <w:pStyle w:val="Normal6"/>
      </w:pPr>
      <w:r>
        <w:t xml:space="preserve">Izraditi će se Strategija razvoja poštanskog tržišta u Republici Hrvatskoj do 2020. godine. Cilj Strategije je definirati smjernice razvoja tržišta poštanskih usluga u Republici Hrvatskoj do 2020. godine. Ciljevi razvoja biti će usklađeni s politikom zaštite slobode tržišnog natjecanja, promicanja interesa gospodarstva, građana i korisnika tih usluga, osiguranja dostupnosti univerzalnih poštanskih usluga i razvoja novih poštanskih usluga. </w:t>
      </w:r>
    </w:p>
    <w:p w:rsidR="00D849AA" w:rsidRDefault="00EE6D95">
      <w:pPr>
        <w:pStyle w:val="Normal6"/>
      </w:pPr>
      <w:r>
        <w:t>Za izradu Strategija razvoja poštanskog tržišta u Republici Hrvatskoj do  2020. godine potrebno je planirati 600.000,00 kuna, jer će se izrada Strategije povjeriti najpovoljnijem ponuditelju postupkom javne nabave.</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Izrađena Strategija razvoja poštanskog tržišta  u Republici Hrvatskoj do  2020. godine</w:t>
            </w:r>
          </w:p>
        </w:tc>
        <w:tc>
          <w:tcPr>
            <w:tcW w:w="1114" w:type="dxa"/>
          </w:tcPr>
          <w:p w:rsidR="00D849AA" w:rsidRDefault="00EE6D95">
            <w:r>
              <w:t>%</w:t>
            </w:r>
          </w:p>
        </w:tc>
        <w:tc>
          <w:tcPr>
            <w:tcW w:w="1114" w:type="dxa"/>
          </w:tcPr>
          <w:p w:rsidR="00D849AA" w:rsidRDefault="00EE6D95">
            <w:r>
              <w:t>0</w:t>
            </w:r>
          </w:p>
        </w:tc>
        <w:tc>
          <w:tcPr>
            <w:tcW w:w="1486" w:type="dxa"/>
          </w:tcPr>
          <w:p w:rsidR="00D849AA" w:rsidRDefault="00EE6D95">
            <w:r>
              <w:t>100</w:t>
            </w:r>
          </w:p>
        </w:tc>
        <w:tc>
          <w:tcPr>
            <w:tcW w:w="1486" w:type="dxa"/>
          </w:tcPr>
          <w:p w:rsidR="00D849AA" w:rsidRDefault="00D849AA">
            <w:pPr>
              <w:jc w:val="left"/>
            </w:pPr>
          </w:p>
        </w:tc>
        <w:tc>
          <w:tcPr>
            <w:tcW w:w="1486" w:type="dxa"/>
          </w:tcPr>
          <w:p w:rsidR="00D849AA" w:rsidRDefault="00D849AA">
            <w:pPr>
              <w:jc w:val="left"/>
            </w:pPr>
          </w:p>
        </w:tc>
      </w:tr>
    </w:tbl>
    <w:p w:rsidR="00337A23" w:rsidRDefault="00337A23" w:rsidP="00337A23">
      <w:pPr>
        <w:pStyle w:val="Naslov4"/>
      </w:pPr>
      <w:r>
        <w:lastRenderedPageBreak/>
        <w:t>OBRAZLOŽENJE PROGRAMA</w:t>
      </w:r>
    </w:p>
    <w:p w:rsidR="00D849AA" w:rsidRDefault="00EE6D95">
      <w:pPr>
        <w:pStyle w:val="Naslov5"/>
      </w:pPr>
      <w:r>
        <w:t>3109 SIGURNOST POMORSKOG PROMETA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3109</w:t>
            </w:r>
          </w:p>
        </w:tc>
        <w:tc>
          <w:tcPr>
            <w:tcW w:w="1486" w:type="dxa"/>
          </w:tcPr>
          <w:p w:rsidR="00D849AA" w:rsidRDefault="00EE6D95">
            <w:r>
              <w:t>89.793.422</w:t>
            </w:r>
          </w:p>
        </w:tc>
        <w:tc>
          <w:tcPr>
            <w:tcW w:w="1486" w:type="dxa"/>
          </w:tcPr>
          <w:p w:rsidR="00D849AA" w:rsidRDefault="00EE6D95">
            <w:r>
              <w:t>94.016.377</w:t>
            </w:r>
          </w:p>
        </w:tc>
        <w:tc>
          <w:tcPr>
            <w:tcW w:w="1486" w:type="dxa"/>
          </w:tcPr>
          <w:p w:rsidR="00D849AA" w:rsidRDefault="00EE6D95">
            <w:r>
              <w:t>95.115.434</w:t>
            </w:r>
          </w:p>
        </w:tc>
        <w:tc>
          <w:tcPr>
            <w:tcW w:w="1486" w:type="dxa"/>
          </w:tcPr>
          <w:p w:rsidR="00D849AA" w:rsidRDefault="00EE6D95">
            <w:r>
              <w:t>96.153.305</w:t>
            </w:r>
          </w:p>
        </w:tc>
        <w:tc>
          <w:tcPr>
            <w:tcW w:w="1486" w:type="dxa"/>
          </w:tcPr>
          <w:p w:rsidR="00D849AA" w:rsidRDefault="00EE6D95">
            <w:r>
              <w:t>104,7</w:t>
            </w:r>
          </w:p>
        </w:tc>
      </w:tr>
    </w:tbl>
    <w:p w:rsidR="00D849AA" w:rsidRDefault="00D849AA">
      <w:pPr>
        <w:jc w:val="left"/>
      </w:pPr>
    </w:p>
    <w:p w:rsidR="00D849AA" w:rsidRDefault="00EE6D95">
      <w:pPr>
        <w:pStyle w:val="Naslov6"/>
      </w:pPr>
      <w:r>
        <w:t>Opis programa</w:t>
      </w:r>
    </w:p>
    <w:p w:rsidR="00D849AA" w:rsidRDefault="00EE6D95">
      <w:pPr>
        <w:pStyle w:val="Normal5"/>
      </w:pPr>
      <w:r>
        <w:t>Kontinuirano podizati razinu sigurnosti plovidbe kroz sustavni nadzor hrvatskih pomorskih objekata i stranih pomorskih objekata koji plove u unutrašnjim morskim vodama i teritorijalnom moru Republike Hrvatske u skladu s međunarodnim i nacionalnim propisima, odnosno osigurati poštivanje zahtjeva koji se tiču osposobljenosti, uvjeta rada, te drugih odredbi međunarodnih i nacionalnih propisa koji se odnose na članove posade pomorskih objekata, temeljne su zadaće i cilj Ministarstva pomorstva, prometa i infrastrukture u narednom razdoblju kako bi se zadržao status na „bijelim listama“ Pariškog memoranduma o nadzoru države luke u slučaju tehničke ispravnosti hrvatske flote, odnosno status na „bijeloj listi“ Međunarodne pomorske organizacije vezano za poštivanje međunarodnih instrumenata koji se odnose na članove posade. U cilju stalnog podizanja razine sigurnosti pomorske plovidbe jednako je bitno uspostaviti potpunu operativnost sustava stalnog nadzora i upravljanja pomorskim prometom (VTMIS), te osigurati tehničke preduvjete kako bi se plovidba odvijala prema utvrđenim pravilima u unutrašnjim morskim vodama, teritorijalnom moru Republike Hrvatske, te zaštićenom ekološko-ribolovnom pojasu (ZERP). Osim toga nužno je u narednom razdoblju još više unaprijediti rad ustrojstvenih jedinica nadležnih za sigurnost plovidbe kako bi bile spremne reagirati na najefikasniji način u situacijama izvanrednih događaja koji za posljedicu imaju izravnu ili potencijalnu ugroženost ljudskih života i imovine na moru, odnosno onečišćenje morskog okoliša.</w:t>
      </w:r>
    </w:p>
    <w:p w:rsidR="00D849AA" w:rsidRDefault="00EE6D95">
      <w:pPr>
        <w:pStyle w:val="Naslov6"/>
      </w:pPr>
      <w:r>
        <w:t>Zakonske i druge pravne osnove</w:t>
      </w:r>
    </w:p>
    <w:p w:rsidR="00D849AA" w:rsidRDefault="00EE6D95">
      <w:pPr>
        <w:pStyle w:val="Normal5"/>
      </w:pPr>
      <w:r>
        <w:t xml:space="preserve">Pomorski zakonik (NN 181/04, 76/07, 146/08, 61/11 i 56/13),  </w:t>
      </w:r>
    </w:p>
    <w:p w:rsidR="00D849AA" w:rsidRDefault="00EE6D95">
      <w:pPr>
        <w:pStyle w:val="Normal5"/>
      </w:pPr>
      <w:r>
        <w:t xml:space="preserve">Zakon o pomorskom dobru i morskim lukama (158/03, 141/06, 38/09),  </w:t>
      </w:r>
    </w:p>
    <w:p w:rsidR="00D849AA" w:rsidRDefault="00EE6D95">
      <w:pPr>
        <w:pStyle w:val="Normal5"/>
      </w:pPr>
      <w:r>
        <w:t xml:space="preserve">Zakon o sigurnosnoj zaštiti trgovačkih brodova i luka otvorenih za međunarodni promet (NN 124/09, 59/12),  </w:t>
      </w:r>
    </w:p>
    <w:p w:rsidR="00D849AA" w:rsidRDefault="00EE6D95">
      <w:pPr>
        <w:pStyle w:val="Normal5"/>
      </w:pPr>
      <w:r>
        <w:t xml:space="preserve">Zakon o Plovputu (73/97),  </w:t>
      </w:r>
    </w:p>
    <w:p w:rsidR="00D849AA" w:rsidRDefault="00EE6D95">
      <w:pPr>
        <w:pStyle w:val="Normal5"/>
      </w:pPr>
      <w:r>
        <w:t xml:space="preserve">Zakon o lučkim kapetanijama (124/97),  </w:t>
      </w:r>
    </w:p>
    <w:p w:rsidR="00D849AA" w:rsidRDefault="00EE6D95">
      <w:pPr>
        <w:pStyle w:val="Normal5"/>
      </w:pPr>
      <w:r>
        <w:t xml:space="preserve">Nacionalni plan traganja i spašavanja ljudskih života na moru (164/98), </w:t>
      </w:r>
    </w:p>
    <w:p w:rsidR="00D849AA" w:rsidRDefault="00EE6D95">
      <w:pPr>
        <w:pStyle w:val="Normal5"/>
      </w:pPr>
      <w:r>
        <w:t>Zakon o hidrografskoj djelatnosti (“Narodne novine” br. 68/1998, 110/2008 - ispr. i 163/2003).</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Cilj 1. Podizanje razine sigurnosti plovidbe i zaštita ljudskih  života i imovine</w:t>
      </w:r>
    </w:p>
    <w:p w:rsidR="00D849AA" w:rsidRDefault="00EE6D95">
      <w:pPr>
        <w:pStyle w:val="Normal6"/>
      </w:pPr>
      <w:r>
        <w:t xml:space="preserve">Primjenom novih tehnologija osigurat će se nadzor odvijanja prometa u realnom vremenu kao osnovna pretpostavka za efikasno upravljanje plovidbom na moru kao jedan od </w:t>
      </w:r>
      <w:r>
        <w:lastRenderedPageBreak/>
        <w:t>preduvjeta za podizanje razine sigurnosti plovidbe i zaštite ljudskih života i imovine na moru. Na taj način spriječit će se moguće plovidbene nezgode, gubitak ljudskih života i eventualni ekološki događaji s posljedicama na morski okoliš. Osim toga  cilj je u slijedeće tri godine napraviti organizacijske prilagodbe i ojačati kapacitete u segmentu inspekcije sigurnosti plovidbe radi učinkovitijeg nadzora starih i/ili podstandardnih brodova koji plove Jadranski morem, s posebnim naglaskom na hrvatske brodove, sukladno IMO i EU standardima.</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Smanjen broj plovidbenih nezgoda</w:t>
            </w:r>
          </w:p>
        </w:tc>
        <w:tc>
          <w:tcPr>
            <w:tcW w:w="1114" w:type="dxa"/>
          </w:tcPr>
          <w:p w:rsidR="00D849AA" w:rsidRDefault="00EE6D95">
            <w:r>
              <w:t>broj</w:t>
            </w:r>
          </w:p>
        </w:tc>
        <w:tc>
          <w:tcPr>
            <w:tcW w:w="1114" w:type="dxa"/>
          </w:tcPr>
          <w:p w:rsidR="00D849AA" w:rsidRDefault="00EE6D95">
            <w:r>
              <w:t>1.354</w:t>
            </w:r>
          </w:p>
        </w:tc>
        <w:tc>
          <w:tcPr>
            <w:tcW w:w="1486" w:type="dxa"/>
          </w:tcPr>
          <w:p w:rsidR="00D849AA" w:rsidRDefault="00EE6D95">
            <w:r>
              <w:t>&lt;1.140</w:t>
            </w:r>
          </w:p>
        </w:tc>
        <w:tc>
          <w:tcPr>
            <w:tcW w:w="1486" w:type="dxa"/>
          </w:tcPr>
          <w:p w:rsidR="00D849AA" w:rsidRDefault="00EE6D95">
            <w:r>
              <w:t>&lt;1.100</w:t>
            </w:r>
          </w:p>
        </w:tc>
        <w:tc>
          <w:tcPr>
            <w:tcW w:w="1486" w:type="dxa"/>
          </w:tcPr>
          <w:p w:rsidR="00D849AA" w:rsidRDefault="00EE6D95">
            <w:r>
              <w:t>&lt;1.070</w:t>
            </w:r>
          </w:p>
        </w:tc>
      </w:tr>
    </w:tbl>
    <w:p w:rsidR="00D849AA" w:rsidRDefault="00D849AA">
      <w:pPr>
        <w:jc w:val="left"/>
      </w:pPr>
    </w:p>
    <w:p w:rsidR="00D849AA" w:rsidRDefault="00EE6D95">
      <w:pPr>
        <w:pStyle w:val="Naslov5"/>
      </w:pPr>
      <w:r>
        <w:t>Procjena i ishodište potrebnih sredstava za značajnije aktivnosti/projekte</w:t>
      </w:r>
    </w:p>
    <w:p w:rsidR="00D849AA" w:rsidRDefault="00EE6D95">
      <w:pPr>
        <w:pStyle w:val="Naslov6"/>
      </w:pPr>
      <w:r>
        <w:t>K819013 VTS SUSTAV-USPOSTAVA NADZORA PLOVIDBE I SUSTAVA RADIOVEZA ZA PRAĆENJE POMORSKOG PROMETA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K819013</w:t>
            </w:r>
          </w:p>
        </w:tc>
        <w:tc>
          <w:tcPr>
            <w:tcW w:w="1486" w:type="dxa"/>
          </w:tcPr>
          <w:p w:rsidR="00D849AA" w:rsidRDefault="00EE6D95">
            <w:r>
              <w:t>7.625.000</w:t>
            </w:r>
          </w:p>
        </w:tc>
        <w:tc>
          <w:tcPr>
            <w:tcW w:w="1486" w:type="dxa"/>
          </w:tcPr>
          <w:p w:rsidR="00D849AA" w:rsidRDefault="00EE6D95">
            <w:r>
              <w:t>7.552.000</w:t>
            </w:r>
          </w:p>
        </w:tc>
        <w:tc>
          <w:tcPr>
            <w:tcW w:w="1486" w:type="dxa"/>
          </w:tcPr>
          <w:p w:rsidR="00D849AA" w:rsidRDefault="00EE6D95">
            <w:r>
              <w:t>7.252.000</w:t>
            </w:r>
          </w:p>
        </w:tc>
        <w:tc>
          <w:tcPr>
            <w:tcW w:w="1486" w:type="dxa"/>
          </w:tcPr>
          <w:p w:rsidR="00D849AA" w:rsidRDefault="00EE6D95">
            <w:r>
              <w:t>7.252.000</w:t>
            </w:r>
          </w:p>
        </w:tc>
        <w:tc>
          <w:tcPr>
            <w:tcW w:w="1486" w:type="dxa"/>
          </w:tcPr>
          <w:p w:rsidR="00D849AA" w:rsidRDefault="00EE6D95">
            <w:r>
              <w:t>99,0</w:t>
            </w:r>
          </w:p>
        </w:tc>
      </w:tr>
    </w:tbl>
    <w:p w:rsidR="00D849AA" w:rsidRDefault="00D849AA">
      <w:pPr>
        <w:jc w:val="left"/>
      </w:pPr>
    </w:p>
    <w:p w:rsidR="00D849AA" w:rsidRDefault="00EE6D95">
      <w:pPr>
        <w:pStyle w:val="Normal6"/>
      </w:pPr>
      <w:r>
        <w:t>Cilj je u slijedeće 3 godine osigurati potpunu funkcionalnost Sustava za upravljanje i nadzor pomorskog prometa na Jadranskom moru (VTS sustav) nastavkom izgradnje i prilagodbe pripadajućih podsustava VHF (radio-komunikacijski podsustav), CCTV (sustav nadzornih  kamera) , te hidro-meteorološkog  podsustava kao bitnih elemenata za njegovu potpunu funkcionalnost, kao i osiguranjem operativnosti sustava kroz odgovarajuće održavanje. Planirani rok osiguravanja potpune funkcionalnosti sustav produljen je do kraja 2016. godine sukladno raspoloživim proračunskim sredstvima.</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Izgrađenost Sustava za upravljanje i nadzor pomorskog prometa na Jadranskom moru (VTS sustav)</w:t>
            </w:r>
          </w:p>
        </w:tc>
        <w:tc>
          <w:tcPr>
            <w:tcW w:w="1114" w:type="dxa"/>
          </w:tcPr>
          <w:p w:rsidR="00D849AA" w:rsidRDefault="00EE6D95">
            <w:r>
              <w:t>%</w:t>
            </w:r>
          </w:p>
        </w:tc>
        <w:tc>
          <w:tcPr>
            <w:tcW w:w="1114" w:type="dxa"/>
          </w:tcPr>
          <w:p w:rsidR="00D849AA" w:rsidRDefault="00EE6D95">
            <w:r>
              <w:t>65</w:t>
            </w:r>
          </w:p>
        </w:tc>
        <w:tc>
          <w:tcPr>
            <w:tcW w:w="1486" w:type="dxa"/>
          </w:tcPr>
          <w:p w:rsidR="00D849AA" w:rsidRDefault="00EE6D95">
            <w:r>
              <w:t>70</w:t>
            </w:r>
          </w:p>
        </w:tc>
        <w:tc>
          <w:tcPr>
            <w:tcW w:w="1486" w:type="dxa"/>
          </w:tcPr>
          <w:p w:rsidR="00D849AA" w:rsidRDefault="00EE6D95">
            <w:r>
              <w:t>85</w:t>
            </w:r>
          </w:p>
        </w:tc>
        <w:tc>
          <w:tcPr>
            <w:tcW w:w="1486" w:type="dxa"/>
          </w:tcPr>
          <w:p w:rsidR="00D849AA" w:rsidRDefault="00EE6D95">
            <w:r>
              <w:t>100</w:t>
            </w:r>
          </w:p>
        </w:tc>
      </w:tr>
    </w:tbl>
    <w:p w:rsidR="00D849AA" w:rsidRDefault="00D849AA">
      <w:pPr>
        <w:jc w:val="left"/>
      </w:pPr>
    </w:p>
    <w:p w:rsidR="00337A23" w:rsidRDefault="00337A23">
      <w:pPr>
        <w:jc w:val="left"/>
      </w:pPr>
    </w:p>
    <w:p w:rsidR="00337A23" w:rsidRDefault="00337A23" w:rsidP="00337A23">
      <w:pPr>
        <w:pStyle w:val="Naslov4"/>
      </w:pPr>
      <w:r>
        <w:lastRenderedPageBreak/>
        <w:t>OBRAZLOŽENJE PROGRAMA</w:t>
      </w:r>
    </w:p>
    <w:p w:rsidR="00D849AA" w:rsidRDefault="00EE6D95">
      <w:pPr>
        <w:pStyle w:val="Naslov5"/>
      </w:pPr>
      <w:r>
        <w:t>3110 RAZVOJ SUSTAVA CESTOVNOG PROMETA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3110</w:t>
            </w:r>
          </w:p>
        </w:tc>
        <w:tc>
          <w:tcPr>
            <w:tcW w:w="1486" w:type="dxa"/>
          </w:tcPr>
          <w:p w:rsidR="00D849AA" w:rsidRDefault="00EE6D95">
            <w:r>
              <w:t>25.690.000</w:t>
            </w:r>
          </w:p>
        </w:tc>
        <w:tc>
          <w:tcPr>
            <w:tcW w:w="1486" w:type="dxa"/>
          </w:tcPr>
          <w:p w:rsidR="00D849AA" w:rsidRDefault="00EE6D95">
            <w:r>
              <w:t>21.550.000</w:t>
            </w:r>
          </w:p>
        </w:tc>
        <w:tc>
          <w:tcPr>
            <w:tcW w:w="1486" w:type="dxa"/>
          </w:tcPr>
          <w:p w:rsidR="00D849AA" w:rsidRDefault="00EE6D95">
            <w:r>
              <w:t>20.450.000</w:t>
            </w:r>
          </w:p>
        </w:tc>
        <w:tc>
          <w:tcPr>
            <w:tcW w:w="1486" w:type="dxa"/>
          </w:tcPr>
          <w:p w:rsidR="00D849AA" w:rsidRDefault="00EE6D95">
            <w:r>
              <w:t>10.350.000</w:t>
            </w:r>
          </w:p>
        </w:tc>
        <w:tc>
          <w:tcPr>
            <w:tcW w:w="1486" w:type="dxa"/>
          </w:tcPr>
          <w:p w:rsidR="00D849AA" w:rsidRDefault="00EE6D95">
            <w:r>
              <w:t>83,9</w:t>
            </w:r>
          </w:p>
        </w:tc>
      </w:tr>
    </w:tbl>
    <w:p w:rsidR="00D849AA" w:rsidRDefault="00D849AA">
      <w:pPr>
        <w:jc w:val="left"/>
      </w:pPr>
    </w:p>
    <w:p w:rsidR="00D849AA" w:rsidRDefault="00EE6D95">
      <w:pPr>
        <w:pStyle w:val="Naslov6"/>
      </w:pPr>
      <w:r>
        <w:t>Opis programa</w:t>
      </w:r>
    </w:p>
    <w:p w:rsidR="00D849AA" w:rsidRDefault="00EE6D95">
      <w:pPr>
        <w:pStyle w:val="Normal5"/>
      </w:pPr>
      <w:r>
        <w:t>Programom se uređuju uvjeti i način obavljanja djelatnosti prijevoza putnika i tereta u unutarnjem i međunarodnom cestovnom prometu i administriranje nadoknada naknada za godišnju uporabu javnih cesta koja se plaćaju pri registraciji osobnog automobila i cestarine za uporabu autocesta i objekata s naplatom (most, tunel, vijadukt i sl.).</w:t>
      </w:r>
    </w:p>
    <w:p w:rsidR="00D849AA" w:rsidRDefault="00EE6D95">
      <w:pPr>
        <w:pStyle w:val="Naslov6"/>
      </w:pPr>
      <w:r>
        <w:t>Zakonske i druge pravne osnove</w:t>
      </w:r>
    </w:p>
    <w:p w:rsidR="00D849AA" w:rsidRDefault="00EE6D95">
      <w:pPr>
        <w:pStyle w:val="Normal5"/>
      </w:pPr>
      <w:r>
        <w:t xml:space="preserve">Zakon o prijevozu u cestovnom prometu (NN 82/13), </w:t>
      </w:r>
    </w:p>
    <w:p w:rsidR="00D849AA" w:rsidRDefault="00EE6D95">
      <w:pPr>
        <w:pStyle w:val="Normal5"/>
      </w:pPr>
      <w:r>
        <w:t xml:space="preserve">Uredba EZ-a br. 1071/2009 Europskog parlamenta i Vijeća  od 21. listopada 2009. </w:t>
      </w:r>
    </w:p>
    <w:p w:rsidR="00D849AA" w:rsidRDefault="00EE6D95">
      <w:pPr>
        <w:pStyle w:val="Normal5"/>
      </w:pPr>
      <w:r>
        <w:t xml:space="preserve">Zakon o izmjenama i dopunama zakona o sigurnosti prometa na cestama (NN 80/13), </w:t>
      </w:r>
    </w:p>
    <w:p w:rsidR="00D849AA" w:rsidRDefault="00EE6D95">
      <w:pPr>
        <w:pStyle w:val="Normal5"/>
      </w:pPr>
      <w:r>
        <w:t xml:space="preserve">Zakon o radnom vremenu, obveznim odmorima mobilnih radnika i uređajima za bilježenje u cestovnom prometu (NN 75/13), </w:t>
      </w:r>
    </w:p>
    <w:p w:rsidR="00D849AA" w:rsidRDefault="00EE6D95">
      <w:pPr>
        <w:pStyle w:val="Normal5"/>
      </w:pPr>
      <w:r>
        <w:t xml:space="preserve">Zakon o cestama (NN 84/11, 22/13 i 54/13), </w:t>
      </w:r>
    </w:p>
    <w:p w:rsidR="00D849AA" w:rsidRDefault="00EE6D95">
      <w:pPr>
        <w:pStyle w:val="Normal5"/>
      </w:pPr>
      <w:r>
        <w:t xml:space="preserve">Zakon o prijevozu opasnih tvari (NN 79/07), </w:t>
      </w:r>
    </w:p>
    <w:p w:rsidR="00D849AA" w:rsidRDefault="00EE6D95">
      <w:pPr>
        <w:pStyle w:val="Normal5"/>
      </w:pPr>
      <w:r>
        <w:t xml:space="preserve">Pravilnik o postupku i načinu ostvarivanja prava na oslobađanje plaćanja godišnje  naknade za uporabu javnih cesta i cestarine (NN 136/11), </w:t>
      </w:r>
    </w:p>
    <w:p w:rsidR="00D849AA" w:rsidRDefault="00EE6D95">
      <w:pPr>
        <w:pStyle w:val="Normal5"/>
      </w:pPr>
      <w:r>
        <w:t>Pravilnik o načinu, postupku i dinamici ostvarivanja prava na nadoknadu iznosa godišnje naknade i cestarine (NN 143/06).</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Cilj 1. Razvoj Nacionalnog registra cestovnih prijevoznika</w:t>
      </w:r>
    </w:p>
    <w:p w:rsidR="00D849AA" w:rsidRDefault="00EE6D95">
      <w:pPr>
        <w:pStyle w:val="Normal6"/>
      </w:pPr>
      <w:r>
        <w:t xml:space="preserve">Nadogradnjom Registra cestovnih prijevoznika - jedinstvene nacionalne evidencije prijevoznika, omogućit će se ispunjenje uvjeta iz Uredbe EZ-a br. 1071/2009 Europskog parlamenta i Vijeća od 21. listopada 2009., odnosno omogućit će se elektronička razmjena podataka o počinjenim prekršajima i odgovornim osobama za prijevoz u pojedinim tvrtkama između država članica.  </w:t>
      </w:r>
    </w:p>
    <w:p w:rsidR="00D849AA" w:rsidRDefault="00EE6D95">
      <w:pPr>
        <w:pStyle w:val="Normal6"/>
      </w:pPr>
      <w:r>
        <w:t>Razvojem Registra cestovnih prijevoznika uspostavit će se zadovoljavajuća upravna suradnja, odnosno razmjena podataka kako na nacionalnoj razina između tijela koja vode službenu evidenciju o traženim podacima, tako i među državama članicama. Sustavnim korištenjem elektroničkih registara značajno će se doprinijeti smanjenju upravnih troškova pregleda i poboljšati njihova učinkovitost, te će se dodatno doprinijeti razvoju sustava cestovnog prometa.</w:t>
      </w:r>
    </w:p>
    <w:p w:rsidR="00337A23" w:rsidRDefault="00337A23">
      <w:pPr>
        <w:pStyle w:val="Normal6"/>
      </w:pPr>
    </w:p>
    <w:p w:rsidR="00337A23" w:rsidRDefault="00337A23">
      <w:pPr>
        <w:pStyle w:val="Normal6"/>
      </w:pPr>
    </w:p>
    <w:p w:rsidR="00D849AA" w:rsidRDefault="00EE6D95">
      <w:pPr>
        <w:pStyle w:val="Naslov8"/>
        <w:jc w:val="left"/>
      </w:pPr>
      <w:r>
        <w:lastRenderedPageBreak/>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Stupanj nadogradnje Registra cestovnih prijevoznika</w:t>
            </w:r>
          </w:p>
        </w:tc>
        <w:tc>
          <w:tcPr>
            <w:tcW w:w="1114" w:type="dxa"/>
          </w:tcPr>
          <w:p w:rsidR="00D849AA" w:rsidRDefault="00EE6D95">
            <w:r>
              <w:t>%</w:t>
            </w:r>
          </w:p>
        </w:tc>
        <w:tc>
          <w:tcPr>
            <w:tcW w:w="1114" w:type="dxa"/>
          </w:tcPr>
          <w:p w:rsidR="00D849AA" w:rsidRDefault="00EE6D95">
            <w:r>
              <w:t>70</w:t>
            </w:r>
          </w:p>
        </w:tc>
        <w:tc>
          <w:tcPr>
            <w:tcW w:w="1486" w:type="dxa"/>
          </w:tcPr>
          <w:p w:rsidR="00D849AA" w:rsidRDefault="00EE6D95">
            <w:r>
              <w:t>80</w:t>
            </w:r>
          </w:p>
        </w:tc>
        <w:tc>
          <w:tcPr>
            <w:tcW w:w="1486" w:type="dxa"/>
          </w:tcPr>
          <w:p w:rsidR="00D849AA" w:rsidRDefault="00EE6D95">
            <w:r>
              <w:t>90</w:t>
            </w:r>
          </w:p>
        </w:tc>
        <w:tc>
          <w:tcPr>
            <w:tcW w:w="1486" w:type="dxa"/>
          </w:tcPr>
          <w:p w:rsidR="00D849AA" w:rsidRDefault="00EE6D95">
            <w:r>
              <w:t>95</w:t>
            </w:r>
          </w:p>
        </w:tc>
      </w:tr>
    </w:tbl>
    <w:p w:rsidR="00D849AA" w:rsidRDefault="00EE6D95">
      <w:pPr>
        <w:pStyle w:val="Naslov5"/>
      </w:pPr>
      <w:r>
        <w:t>Procjena i ishodište potrebnih sredstava za značajnije aktivnosti/projekte</w:t>
      </w:r>
    </w:p>
    <w:p w:rsidR="00D849AA" w:rsidRDefault="00EE6D95">
      <w:pPr>
        <w:pStyle w:val="Naslov6"/>
      </w:pPr>
      <w:r>
        <w:t>A754005 GODIŠNJA NAKNADA ZA UPORABU JAVNIH CESTA I CESTARINA ZA NAJTEŽE INVALIDE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A754005</w:t>
            </w:r>
          </w:p>
        </w:tc>
        <w:tc>
          <w:tcPr>
            <w:tcW w:w="1486" w:type="dxa"/>
          </w:tcPr>
          <w:p w:rsidR="00D849AA" w:rsidRDefault="00EE6D95">
            <w:r>
              <w:t>25.300.000</w:t>
            </w:r>
          </w:p>
        </w:tc>
        <w:tc>
          <w:tcPr>
            <w:tcW w:w="1486" w:type="dxa"/>
          </w:tcPr>
          <w:p w:rsidR="00D849AA" w:rsidRDefault="00EE6D95">
            <w:r>
              <w:t>21.000.000</w:t>
            </w:r>
          </w:p>
        </w:tc>
        <w:tc>
          <w:tcPr>
            <w:tcW w:w="1486" w:type="dxa"/>
          </w:tcPr>
          <w:p w:rsidR="00D849AA" w:rsidRDefault="00EE6D95">
            <w:r>
              <w:t>20.000.000</w:t>
            </w:r>
          </w:p>
        </w:tc>
        <w:tc>
          <w:tcPr>
            <w:tcW w:w="1486" w:type="dxa"/>
          </w:tcPr>
          <w:p w:rsidR="00D849AA" w:rsidRDefault="00EE6D95">
            <w:r>
              <w:t>10.000.000</w:t>
            </w:r>
          </w:p>
        </w:tc>
        <w:tc>
          <w:tcPr>
            <w:tcW w:w="1486" w:type="dxa"/>
          </w:tcPr>
          <w:p w:rsidR="00D849AA" w:rsidRDefault="00EE6D95">
            <w:r>
              <w:t>83,0</w:t>
            </w:r>
          </w:p>
        </w:tc>
      </w:tr>
    </w:tbl>
    <w:p w:rsidR="00D849AA" w:rsidRDefault="00EE6D95">
      <w:pPr>
        <w:pStyle w:val="Normal6"/>
      </w:pPr>
      <w:r>
        <w:t>Od 1. siječnja 2013. godine administriranje nadoknada iznosa godišnje naknade za uporabu javnih cesta koja se plaća pri registraciji osobnog automobila i cestarine za uporabu autocesta i objekata s naplatom, prenesena je iz djelokruga Ministarstva socijalne politike i mladih u djelokrug Ministarstva pomorstva, prometa i infrastrukture. Tijekom 2013. godine kreiran je sustav načina administriranja i praćenja zahtjeva za nadoknadu kojeg na mjesečnoj bazi podnose županijske uprave za ceste, odnosno Grad Zagreb (ukupno njih 21) i zahtjeva za nadoknadu cestarine kojeg također na mjesečnoj bazi podnose Hrvatske autoceste d.o.o. i ostali koncesionari dionica autocesta: Autocesta Rijeka - Zagreb d.d., Autocesta Zagreb - Macelj d.o.o. i Autocesta Bina Istra d.d. (ukupno njih 4). Ova aktivnost ostvaruje zakonom propisana oslobađanja plaćanja za osobe različitih kategorija invaliditeta. Navedena prava propisana su odredbama članka 88. stavak 1. i 2. Zakona o cestama  (NN 84/11, 22/13 i 54/13). U sustavu je trenutno aproksimativno 30.000 nositelja jednog i/ili drugog prava oslobađanja plaćanja, odnosno godišnje se obrađuje oko 8.000 novih zahtjeva, odnosno zahtjeva za promjenom automobila.</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Postotak dostavljenih, kontroliranih i obrađenih  računa za nadoknadu godišnje naknade za uporabu javnih cesta županijskih uprava za ceste i računa za korištenje autocesta i objekata s naplatom Hrvatskih autocesta d.o.o. i drugih koncesionara autocesta</w:t>
            </w:r>
          </w:p>
        </w:tc>
        <w:tc>
          <w:tcPr>
            <w:tcW w:w="1114" w:type="dxa"/>
          </w:tcPr>
          <w:p w:rsidR="00D849AA" w:rsidRDefault="00EE6D95">
            <w:r>
              <w:t>%</w:t>
            </w:r>
          </w:p>
        </w:tc>
        <w:tc>
          <w:tcPr>
            <w:tcW w:w="1114" w:type="dxa"/>
          </w:tcPr>
          <w:p w:rsidR="00D849AA" w:rsidRDefault="00EE6D95">
            <w:r>
              <w:t>100</w:t>
            </w:r>
          </w:p>
        </w:tc>
        <w:tc>
          <w:tcPr>
            <w:tcW w:w="1486" w:type="dxa"/>
          </w:tcPr>
          <w:p w:rsidR="00D849AA" w:rsidRDefault="00EE6D95">
            <w:r>
              <w:t>100</w:t>
            </w:r>
          </w:p>
        </w:tc>
        <w:tc>
          <w:tcPr>
            <w:tcW w:w="1486" w:type="dxa"/>
          </w:tcPr>
          <w:p w:rsidR="00D849AA" w:rsidRDefault="00EE6D95">
            <w:r>
              <w:t>100</w:t>
            </w:r>
          </w:p>
        </w:tc>
        <w:tc>
          <w:tcPr>
            <w:tcW w:w="1486" w:type="dxa"/>
          </w:tcPr>
          <w:p w:rsidR="00D849AA" w:rsidRDefault="00EE6D95">
            <w:r>
              <w:t>100</w:t>
            </w:r>
          </w:p>
        </w:tc>
      </w:tr>
    </w:tbl>
    <w:p w:rsidR="00D849AA" w:rsidRDefault="00EE6D95">
      <w:pPr>
        <w:pStyle w:val="Naslov6"/>
      </w:pPr>
      <w:r>
        <w:lastRenderedPageBreak/>
        <w:t>A810020 NADOGRADNJA REGISTRA PRIJEVOZNIKA U DOMAĆEM CESTOVNOM PRIJEVOZU, REGISTRA VOZILA OSOBA S INVALIDITETOM I INFORMACIJSKOG SUSTAVA CESTOVNOG PROMETA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A810020</w:t>
            </w:r>
          </w:p>
        </w:tc>
        <w:tc>
          <w:tcPr>
            <w:tcW w:w="1486" w:type="dxa"/>
          </w:tcPr>
          <w:p w:rsidR="00D849AA" w:rsidRDefault="00EE6D95">
            <w:r>
              <w:t>200.000</w:t>
            </w:r>
          </w:p>
        </w:tc>
        <w:tc>
          <w:tcPr>
            <w:tcW w:w="1486" w:type="dxa"/>
          </w:tcPr>
          <w:p w:rsidR="00D849AA" w:rsidRDefault="00EE6D95">
            <w:r>
              <w:t>400.000</w:t>
            </w:r>
          </w:p>
        </w:tc>
        <w:tc>
          <w:tcPr>
            <w:tcW w:w="1486" w:type="dxa"/>
          </w:tcPr>
          <w:p w:rsidR="00D849AA" w:rsidRDefault="00EE6D95">
            <w:r>
              <w:t>300.000</w:t>
            </w:r>
          </w:p>
        </w:tc>
        <w:tc>
          <w:tcPr>
            <w:tcW w:w="1486" w:type="dxa"/>
          </w:tcPr>
          <w:p w:rsidR="00D849AA" w:rsidRDefault="00EE6D95">
            <w:r>
              <w:t>200.000</w:t>
            </w:r>
          </w:p>
        </w:tc>
        <w:tc>
          <w:tcPr>
            <w:tcW w:w="1486" w:type="dxa"/>
          </w:tcPr>
          <w:p w:rsidR="00D849AA" w:rsidRDefault="00EE6D95">
            <w:r>
              <w:t>200,0</w:t>
            </w:r>
          </w:p>
        </w:tc>
      </w:tr>
    </w:tbl>
    <w:p w:rsidR="00D849AA" w:rsidRDefault="00D849AA">
      <w:pPr>
        <w:jc w:val="left"/>
      </w:pPr>
    </w:p>
    <w:p w:rsidR="00D849AA" w:rsidRDefault="00EE6D95">
      <w:pPr>
        <w:pStyle w:val="Normal6"/>
      </w:pPr>
      <w:r>
        <w:t xml:space="preserve">U prethodnom razdoblju izgrađen je Registar cestovnih prijevoznika, elektronička evidencija koju vodi Ministarstvo pomorstva, prometa i infrastrukture, a koja omogućava sustavno evidentiranje, objedinjavanje i obradu podataka na dnevnoj i tjednoj razini, uz uspostavu komunikacije i protoka informacija između Ministarstva pomorstva, prometa i infrastrukture RH i tijela državne uprave u županijama vezanih za procese izdavanja licencija za obavljanje djelatnosti prijevoza putnika i tereta u unutarnjem i međunarodnom cestovnom prometu, kao i ostalih pripadajućih licencija. </w:t>
      </w:r>
    </w:p>
    <w:p w:rsidR="00D849AA" w:rsidRDefault="00EE6D95">
      <w:pPr>
        <w:pStyle w:val="Normal6"/>
      </w:pPr>
      <w:r>
        <w:t>Nadogradnjom Registra omogućit će se  provedba članka 18. stavka 1. Uredbe (EZ) br. 1071/2009, uspostava nacionalne kontakt točke odgovorne za razmjenu podataka između država članice Europske unije (ERRU), a za što je potrebno izraditi aplikacijski softver, te izvršiti povezivanje Registra prijevoznika na EUCARIS mrežu - jedinstveni informacijski sustav koji omogućuje državama članicama EU da međusobno razmjenjuju svoje podatke o vozilima, vozačima, te prometnim i vozačkim dozvolama.</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Nadogradnja i razvoj Registra cestovnih prijevoznika</w:t>
            </w:r>
          </w:p>
        </w:tc>
        <w:tc>
          <w:tcPr>
            <w:tcW w:w="1114" w:type="dxa"/>
          </w:tcPr>
          <w:p w:rsidR="00D849AA" w:rsidRDefault="00EE6D95">
            <w:r>
              <w:t>%</w:t>
            </w:r>
          </w:p>
        </w:tc>
        <w:tc>
          <w:tcPr>
            <w:tcW w:w="1114" w:type="dxa"/>
          </w:tcPr>
          <w:p w:rsidR="00D849AA" w:rsidRDefault="00EE6D95">
            <w:r>
              <w:t>70</w:t>
            </w:r>
          </w:p>
        </w:tc>
        <w:tc>
          <w:tcPr>
            <w:tcW w:w="1486" w:type="dxa"/>
          </w:tcPr>
          <w:p w:rsidR="00D849AA" w:rsidRDefault="00EE6D95">
            <w:r>
              <w:t>80</w:t>
            </w:r>
          </w:p>
        </w:tc>
        <w:tc>
          <w:tcPr>
            <w:tcW w:w="1486" w:type="dxa"/>
          </w:tcPr>
          <w:p w:rsidR="00D849AA" w:rsidRDefault="00EE6D95">
            <w:r>
              <w:t>90</w:t>
            </w:r>
          </w:p>
        </w:tc>
        <w:tc>
          <w:tcPr>
            <w:tcW w:w="1486" w:type="dxa"/>
          </w:tcPr>
          <w:p w:rsidR="00D849AA" w:rsidRDefault="00EE6D95">
            <w:r>
              <w:t>95</w:t>
            </w:r>
          </w:p>
        </w:tc>
      </w:tr>
    </w:tbl>
    <w:p w:rsidR="00D849AA" w:rsidRDefault="00D849AA">
      <w:pPr>
        <w:jc w:val="left"/>
      </w:pPr>
    </w:p>
    <w:p w:rsidR="00D61DA2" w:rsidRDefault="00D61DA2" w:rsidP="00D61DA2">
      <w:pPr>
        <w:pStyle w:val="Naslov4"/>
      </w:pPr>
      <w:r>
        <w:t>OBRAZLOŽENJE PROGRAMA</w:t>
      </w:r>
    </w:p>
    <w:p w:rsidR="00D849AA" w:rsidRDefault="00EE6D95">
      <w:pPr>
        <w:pStyle w:val="Naslov5"/>
      </w:pPr>
      <w:r>
        <w:t>3111 PLANIRANJE, IZGRADNJA, MODERNIZACIJA I UPRAVLJANJE KAPITALNIM OBJEKTIMA PROMETNE INFRASTRUKTURE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3111</w:t>
            </w:r>
          </w:p>
        </w:tc>
        <w:tc>
          <w:tcPr>
            <w:tcW w:w="1486" w:type="dxa"/>
          </w:tcPr>
          <w:p w:rsidR="00D849AA" w:rsidRDefault="00EE6D95">
            <w:r>
              <w:t>3.509.496.371</w:t>
            </w:r>
          </w:p>
        </w:tc>
        <w:tc>
          <w:tcPr>
            <w:tcW w:w="1486" w:type="dxa"/>
          </w:tcPr>
          <w:p w:rsidR="00D849AA" w:rsidRDefault="00EE6D95">
            <w:r>
              <w:t>4.049.834.856</w:t>
            </w:r>
          </w:p>
        </w:tc>
        <w:tc>
          <w:tcPr>
            <w:tcW w:w="1486" w:type="dxa"/>
          </w:tcPr>
          <w:p w:rsidR="00D849AA" w:rsidRDefault="00EE6D95">
            <w:r>
              <w:t>4.859.325.423</w:t>
            </w:r>
          </w:p>
        </w:tc>
        <w:tc>
          <w:tcPr>
            <w:tcW w:w="1486" w:type="dxa"/>
          </w:tcPr>
          <w:p w:rsidR="00D849AA" w:rsidRDefault="00EE6D95">
            <w:r>
              <w:t>5.262.838.700</w:t>
            </w:r>
          </w:p>
        </w:tc>
        <w:tc>
          <w:tcPr>
            <w:tcW w:w="1486" w:type="dxa"/>
          </w:tcPr>
          <w:p w:rsidR="00D849AA" w:rsidRDefault="00EE6D95">
            <w:r>
              <w:t>115,4</w:t>
            </w:r>
          </w:p>
        </w:tc>
      </w:tr>
    </w:tbl>
    <w:p w:rsidR="00D849AA" w:rsidRDefault="00D849AA">
      <w:pPr>
        <w:jc w:val="left"/>
      </w:pPr>
    </w:p>
    <w:p w:rsidR="00D61DA2" w:rsidRDefault="00D61DA2">
      <w:pPr>
        <w:jc w:val="left"/>
      </w:pPr>
    </w:p>
    <w:p w:rsidR="00D61DA2" w:rsidRDefault="00D61DA2">
      <w:pPr>
        <w:jc w:val="left"/>
      </w:pPr>
    </w:p>
    <w:p w:rsidR="00D849AA" w:rsidRDefault="00EE6D95">
      <w:pPr>
        <w:pStyle w:val="Naslov6"/>
      </w:pPr>
      <w:r>
        <w:lastRenderedPageBreak/>
        <w:t>Opis programa</w:t>
      </w:r>
    </w:p>
    <w:p w:rsidR="00D849AA" w:rsidRDefault="00EE6D95">
      <w:pPr>
        <w:pStyle w:val="Normal5"/>
      </w:pPr>
      <w:r>
        <w:t xml:space="preserve">Programom se planira financiranje projekata prometne infrastrukture nacionalnim sredstvima, </w:t>
      </w:r>
    </w:p>
    <w:p w:rsidR="00D849AA" w:rsidRDefault="00EE6D95">
      <w:pPr>
        <w:pStyle w:val="Normal5"/>
      </w:pPr>
      <w:r>
        <w:t xml:space="preserve">sredstvima Europske unije, sredstvima zajmova međunarodnih financijskih institucija, te kroz projekte javno-privatnog partnerstva, a u svrhu postizanja visokorazvijene, učinkovite i sigurne prometne infrastrukture koja je svim korisnicima dostupna pod istim uvjetima te omogućava nesmetano povezivanje u prometni sustav EU. </w:t>
      </w:r>
    </w:p>
    <w:p w:rsidR="00D849AA" w:rsidRDefault="00EE6D95">
      <w:pPr>
        <w:pStyle w:val="Normal5"/>
      </w:pPr>
      <w:r>
        <w:t xml:space="preserve">Programom će se provoditi aktivnosti za postizanje cilja visoko razvijene, učinkovite i sigurne prometne infrastrukture, utvrđenog Strategijom Vladinih programa za razdoblje 2014.-2016.  </w:t>
      </w:r>
    </w:p>
    <w:p w:rsidR="00D849AA" w:rsidRDefault="00EE6D95">
      <w:pPr>
        <w:pStyle w:val="Normal5"/>
      </w:pPr>
      <w:r>
        <w:t xml:space="preserve">Programom će se provoditi projekti u svrhu poboljšavanja prometne infrastrukture u sektorima željeznice, cesta i unutarnjih plovnih putova kroz razvoj prometnih mreža primarno na koridorima TEN-T.  </w:t>
      </w:r>
    </w:p>
    <w:p w:rsidR="00D849AA" w:rsidRDefault="00EE6D95">
      <w:pPr>
        <w:pStyle w:val="Normal5"/>
      </w:pPr>
      <w:r>
        <w:t xml:space="preserve">Neki od projekata koji će se financirati u narednom razdoblju su projekti građenja: Izgradnja nove željezničke pruge za prigradski promet na dionici Gradec-Sv.Ivan Žabno i Izgradnja drugog kolosijeka i rekonstrukcija dionice pruge Dugo Selo-Križevci; projekti projektiranja: Priprema projektne dokumentacije za projekt rekonstrukcije Okučani-Vinkovci i Priprema projektne dokumentacije za projekt Rekonstrukcija pruge Hrvatski Leskovac-Karlovac, te projekti tehničke pomoći: Projekt rekonstrukcije i elektrifikacije željezničke pruge na dionici Zaprešić-Zabok i Uvođenje telekomunikacijskog sustava GSM-R na željezničkoj mreži.  </w:t>
      </w:r>
    </w:p>
    <w:p w:rsidR="00D849AA" w:rsidRDefault="00EE6D95">
      <w:pPr>
        <w:pStyle w:val="Normal5"/>
      </w:pPr>
      <w:r>
        <w:t xml:space="preserve">Programom se među ostalim planira financiranje izgradnje i održavanje javnih cesta, kao i modernizacija i osuvremenjivanje željezničke infrastrukture. Prema Strategiji održivog razvitka Republike Hrvatske (NN 30/09), koju je Hrvatski sabor usvojio u ožujku 2009. godine, u Republici Hrvatskoj je dostignuta visoka razvijenost mreže autocesta, a mrežu državnih, županijskih i lokalnih cesta treba dalje razvijati. Dužinom željezničkih pruga Republika Hrvatska premašuje europski prosjek, međutim, njihova je daljnja modernizacija i širenje uvjet razvitka. U cilju nastavka izgradnje i održavanja javnih cesta te osuvremenjivanja željezničke infrastrukture do kraja 2013. godine planira se izmijeniti Zakon o cestama i Zakon o željeznici. Temeljem izmjena zakona promijeniti će se iznosa naknade za financiranje građenja i održavanja javnih cesta te uvesti proračunska aktivnost naknada u cijeni goriva za HŽ Infrastrukturu d.o.o.. Prema Zakonu o cestama (NN 84/11) naknada uplaćena na račun Hrvatskih autocesta d.o.o., koja se uplaćuje po litri naplaćene trošarine na energente, iznosi 0,60 kn, a izmjenom zakona uplaćivati će se 0,20 kn. Na račun Hrvatskih cesta d.o.o. trenutno se uplaćuje 0,60 kn, a izmjenom zakona uplaćivati će se 0,80 kn po litri naplaćene trošarine na energente. Navedenim ukupnim smanjenjem uplaćene naknade za financiranje građenja i održavanja javnih cesta za 0,20 kn (Hrvatske autocesta d.o.o. + Hrvatske cesta d.o.o.)  otvara se prostor za uvođenje nove proračunske aktivnosti - naknada u cijeni goriva za HŽ Infrastrukturu d.o.o. Dobivena sredstva, od 0,20 kn po litri naplaćene trošarine za energente, HŽ Infrastruktura d.o.o. će utrošiti za povećanje kakvoće i kapaciteta željezničke infrastrukture, kako bi se osiguralo sigurno i kvalitetno odvijanje željezničkog prometa. </w:t>
      </w:r>
    </w:p>
    <w:p w:rsidR="00D849AA" w:rsidRDefault="00EE6D95">
      <w:pPr>
        <w:pStyle w:val="Normal5"/>
      </w:pPr>
      <w:r>
        <w:t xml:space="preserve">Republika Hrvatska sa koncesionarima Autocestom Zagreb-Macelj d.o.o., Autocestom Rijeka-Zagreb d.d. i Binom Istrom d.d. ima sklopljene koncesijske ugovore na osnovu kojih preuzima financijske obveze. Upravljanje javnim cestama prema Zakonu o cestama (NN 84/11) povjereno je: Hrvatskim cestama d.o.o. za državne ceste, Hrvatskim autocestama d.o.o. za autoceste te županijskim upravama za ceste i Gradu Zagrebu za županijske i lokalne ceste. Autocestama A2, A1 na sektoru Zagreb (čvorište Lučko)-Bosiljevo, A6, A7 s mostom Krk te Istarskim ipsilonom (A8 i A9), koje su u koncesiji, upravljaju koncesionari Autocesta Zagreb-Macelj d.o.o, Autocesta Rijeka-Zagreb d.d. i Bina Istra d.d.  </w:t>
      </w:r>
    </w:p>
    <w:p w:rsidR="00D849AA" w:rsidRDefault="00EE6D95">
      <w:pPr>
        <w:pStyle w:val="Normal5"/>
      </w:pPr>
      <w:r>
        <w:t xml:space="preserve">Na temelju IV. Ugovora o izmjenama i dopunama Ugovora o koncesiji za financiranje, građenje i upravljanje autocestom Autocesta Rijeka-Zagreb od 23. kolovoza 2007. godine, kojeg je Republika Hrvatska sklopila s društvom Autocesta Rijeka-Zagreb d.d., Republika Hrvatska kao davatelj koncesije je preuzela obvezu  nadoknade troškova otkupa zemljišta </w:t>
      </w:r>
      <w:r>
        <w:lastRenderedPageBreak/>
        <w:t xml:space="preserve">Koncesionaru sukladno članku 16. st. 7, i članka 17. st. 1. te održavanje riječke obilaznice DC 404 Orehovica-Križišće, temeljem članka 23. IV izmjena i dopuna Ugovora o koncesiji. </w:t>
      </w:r>
    </w:p>
    <w:p w:rsidR="00D849AA" w:rsidRDefault="00EE6D95">
      <w:pPr>
        <w:pStyle w:val="Normal5"/>
      </w:pPr>
      <w:r>
        <w:t xml:space="preserve">Na temelju Ugovora o izmjenama i dopunama br. 4 Ugovora o koncesiji za financiranje, građenje, upravljanje i održavanje „Jadranske autoceste“, dionica Dragonja – Pula i Kanfanar – Pazin – Matulji (Prva i druga faza) od 25. kolovoza 2008. godine, Vlada Republike Hrvatske kao davatelj koncesije ima obvezu plaćanja Financijskog doprinosa Koncesionaru koji se utvrđuje sukladno člancima 25.2 i 26.2 Poglavlja 5 i članka 6. Dodatka 18. Mehanizmom izračuna financijskog doprinosa svake godine, koncesionar utvrđuje iznos prihoda i rashoda za sljedeću godinu. U slučaju da predviđeni prihodi od cestarina procijenjeni od strane neovisnog prometnog savjetnika nisu dovoljni da pokriju ugovorom definirane i fiksne troškove (trošak upravljanja i održavanja autoceste, izvanredni troškovi održavanja, otplata kredita), u tom slučaju Republika Hrvatska kao davatelj koncesije ima obavezu platiti koncesionaru razliku kroz mjesečno uplaćivanje financijskog doprinosa. Na kraju svake godine, koncesionar izračunava stvarnu razliku između prihoda i troškova te svaki višak vraća davatelju koncesije. Financijski doprinos izravno ovisi o visini prihoda od cestarine. Povećanjem prometa i prihoda od cestarina financijski doprinos se umanjuje. Plaćanje financijskog doprinosa nužno je za uredno funkcioniranje i realizaciju projekta koji nije u mogućnosti samostalno snositi sve troškove poslovanja, redovnog i investicijskog održavanja i otplate kredita. </w:t>
      </w:r>
    </w:p>
    <w:p w:rsidR="00D849AA" w:rsidRDefault="00EE6D95">
      <w:pPr>
        <w:pStyle w:val="Normal5"/>
      </w:pPr>
      <w:r>
        <w:t xml:space="preserve">Na temelju Ugovora o koncesiji za financiranje, građenje i upravljanje autocestom Zagreb-Macelj,  od 11. srpnja 2003. godine, koji je izmijenjen  dana 27. studenoga 2003. godine, 20. srpnja 2004. godine, te 20. srpnja 2008., kojeg je Republika Hrvatska sklopila s društvom Autocesta Zagreb-Macelj d.o.o., davatelj koncesije ima obvezu plaćanja financijskog doprinosa koncesionaru temeljem članka 30.8,  Nadalje, temeljem Sporazuma od 03. veljače 2006. godine naknadu za popust na visinu cestarine na dionici Mokrice- Krapina. Plaćanje financijskog doprinosa nužno je za uredno funkcioniranje i realizaciju Projekta koji nije u mogućnosti samostalno snositi sve troškove poslovanja, redovnog i investicijskog održavanja i otplate kredita. Neizvršavanje ili značajnije kašnjenje izvršavanja preuzetih obaveza moglo bi uzrokovati zahtjevom banaka za trenutnom otplatom ukupnog kreditnog zaduženja koncesionara. Također predviđenim sredstvima davatelj koncesije plaća obveze po Garanciji za pad prometa (TSCA) na temelju zahtjeva – pisane obavijesti koncesionara. Uplaćena sredstva iz državnog proračuna imaju tretman kredita, a koncesijsko društvo će uplaćena vratiti u državni proračun uvećano za 6% godišnju kamatu, nakon što se ostvare ugovoreni uvjeti za povrat kredita. </w:t>
      </w:r>
    </w:p>
    <w:p w:rsidR="00D849AA" w:rsidRDefault="00EE6D95">
      <w:pPr>
        <w:pStyle w:val="Normal5"/>
      </w:pPr>
      <w:r>
        <w:t xml:space="preserve">Nadalje, programom se planira financiranje naknade cestarine za NATO i EUFOR vozila. Iznos naknade cestarine za NATO i EUFOR vozila naplaćuje se sukladno Postupnom pravilu za propuštanje vozila NATO-a i EUFOR-a i vozila, kojima upravljaju djelatnici NATO-a i EUFOR-a kroz naplatne postaje na autocestama u Republici Hrvatskoj. Naknada se obračunava prema stvarno evidentiranim prolascima i nadoknađuje se Hrvatskim autocestama d.o.o., Autocesti Rijeka-Zagreb d.d., Autocesti Zagreb-Macelj d.o.o. i Bina Istri d.d. </w:t>
      </w:r>
    </w:p>
    <w:p w:rsidR="00D849AA" w:rsidRDefault="00EE6D95">
      <w:pPr>
        <w:pStyle w:val="Normal5"/>
      </w:pPr>
      <w:r>
        <w:t xml:space="preserve">Programom se planira financiranje održavanje željezničke infrastrukture i regulacija prometa. Planira se povećati broj moderniziranih kilometara mreže, mjerenih kroz broj obnovljenih i osuvremenjenih pruga godišnje te povećanje brzine prometovanja vlakova, a time i pružanje više razine usluga prijevoza. Modernizacija željezničke infrastrukture temelji se na nadopunjavanju s ostalim oblicima prometa, što također zahtijeva ukidanje onih željezničkih pravaca koji su zbog konkurencije s cestovnim i /ili zračnim prometom izgubili na ekonomskom značaju. Trenutno stanje je da željeznička infrastruktura obuhvaća 2.722 km pruga, od čega su jednokolosiječne pruge u dužini od 2.468 km ili 90,7%, a dvokolosiječne pruge u dužini 254 km ili 9,3%. Elektrificirano je 985 km pruga ili 36,2%. Glavna karakteristika postojećih infrastrukturnih kapaciteta je dotrajalost i s tim u vezi potreba smanjivanja brzine, kako bi se sadašnji obujam prometa odvijao odgovarajućom dinamikom. Više od 60% ukupne duljine željezničke mreže danas je izvan ciklusa održavanja. Elektrotehnička postrojenja su također u nepovoljnom uporabnom stupnju zbog nedovoljnog </w:t>
      </w:r>
      <w:r>
        <w:lastRenderedPageBreak/>
        <w:t>ulaganja u proteklom periodu, kao i zbog oštećenja u domovinskom ratu. Trenutna duljina kontaktne mreže je 1.832 km, pri čemu je svega 36,2% elektrificiranih pruga ili 985 km. Od toga je 847 km elektrificirano izmjeničnim sustavom, a 137,7 km istosmjernim sustavom. Signalno - sigurnosne sustave karakterizira zastarjelost i istrošenost</w:t>
      </w:r>
    </w:p>
    <w:p w:rsidR="00D849AA" w:rsidRDefault="00EE6D95">
      <w:pPr>
        <w:pStyle w:val="Naslov6"/>
      </w:pPr>
      <w:r>
        <w:t>Zakonske i druge pravne osnove</w:t>
      </w:r>
    </w:p>
    <w:p w:rsidR="00D849AA" w:rsidRDefault="00EE6D95">
      <w:pPr>
        <w:pStyle w:val="Normal5"/>
      </w:pPr>
      <w:r>
        <w:t xml:space="preserve">Zakon o uspostavi institucionalnog okvira za korištenje strukturnih instrumenata Europske Unije u Republici Hrvatskoj (NN 78/2012), </w:t>
      </w:r>
    </w:p>
    <w:p w:rsidR="00D849AA" w:rsidRDefault="00EE6D95">
      <w:pPr>
        <w:pStyle w:val="Normal5"/>
      </w:pPr>
      <w:r>
        <w:t xml:space="preserve">Uredba o tijelima u sustavu upravljanja i kontrole korištenja strukturnih instrumenata Europske Unije u Republici Hrvatskoj (NN 97/2012), </w:t>
      </w:r>
    </w:p>
    <w:p w:rsidR="00D849AA" w:rsidRDefault="00EE6D95">
      <w:pPr>
        <w:pStyle w:val="Normal5"/>
      </w:pPr>
      <w:r>
        <w:t xml:space="preserve">Odluka Komisije od 6.9.2013. o izmjeni Odluke C(2007) 6051 o donošenju višegodišnjeg Operativnog programa "Promet" za pomoć Zajednice iz Instrumenta pretpristupne pomoći u sklopu komponente "Regionalni razvoj" u Hrvatskoj u pogledu njegova usklađivanja s odredbama kohezijske politike nakon pristupanja Republike Hrvatske Europskoj Uniji, </w:t>
      </w:r>
    </w:p>
    <w:p w:rsidR="00D849AA" w:rsidRDefault="00EE6D95">
      <w:pPr>
        <w:pStyle w:val="Normal5"/>
      </w:pPr>
      <w:r>
        <w:t xml:space="preserve">Zakon o cestama (NN 84/11, 22/13 i 54/13), </w:t>
      </w:r>
    </w:p>
    <w:p w:rsidR="00D849AA" w:rsidRDefault="00EE6D95">
      <w:pPr>
        <w:pStyle w:val="Normal5"/>
      </w:pPr>
      <w:r>
        <w:t xml:space="preserve">Zakon o željeznici (NN 94/13), </w:t>
      </w:r>
    </w:p>
    <w:p w:rsidR="00D849AA" w:rsidRDefault="00EE6D95">
      <w:pPr>
        <w:pStyle w:val="Normal5"/>
      </w:pPr>
      <w:r>
        <w:t xml:space="preserve">Zakon o koncesijama (NN 143/12), </w:t>
      </w:r>
    </w:p>
    <w:p w:rsidR="00D849AA" w:rsidRDefault="00EE6D95">
      <w:pPr>
        <w:pStyle w:val="Normal5"/>
      </w:pPr>
      <w:r>
        <w:t xml:space="preserve">Ugovor o koncesiji za financiranje, građenje i upravljanje autocestom Zagreb-Macelj, </w:t>
      </w:r>
    </w:p>
    <w:p w:rsidR="00D849AA" w:rsidRDefault="00EE6D95">
      <w:pPr>
        <w:pStyle w:val="Normal5"/>
      </w:pPr>
      <w:r>
        <w:t xml:space="preserve">Ugovor o koncesiji za financiranje, građenje i upravljanje autocestom Rijeka-Zagreb, </w:t>
      </w:r>
    </w:p>
    <w:p w:rsidR="00D849AA" w:rsidRDefault="00EE6D95">
      <w:pPr>
        <w:pStyle w:val="Normal5"/>
      </w:pPr>
      <w:r>
        <w:t xml:space="preserve">Ugovor o koncesiji za financiranje, građenje, upravljanje i održavanje „Jadranske autoceste“, dionica Dragonja-Pula i Kanfanar-Pazin-Matulji, </w:t>
      </w:r>
    </w:p>
    <w:p w:rsidR="00D849AA" w:rsidRDefault="00EE6D95">
      <w:pPr>
        <w:pStyle w:val="Normal5"/>
      </w:pPr>
      <w:r>
        <w:t>Ugovor o upravljanju željezničkom infrastrukturom.</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Cilj 1. Visoko razvijena, učinkovita i sigurna prometna infrastruktura</w:t>
      </w:r>
    </w:p>
    <w:p w:rsidR="00D849AA" w:rsidRDefault="00EE6D95">
      <w:pPr>
        <w:pStyle w:val="Normal6"/>
      </w:pPr>
      <w:r>
        <w:t>Razvijena prometna infrastruktura temeljna je pretpostavka razvoja prometnog sustava, a razvijen prometni sustav neophodan je za društveni, demografski, gospodarski razvoj te promicanje regionalne povezanosti i suradnje. Temeljna polazišta u daljnjem razvoju infrastrukture moraju biti: jačanje tržišnih mehanizama u izgradnji i korištenju infrastrukture, moderan sustav upravljanja infrastrukturom temeljen na informacijskoj tehnologiji i održiv sustav financiranja izgradnje i održavanja.</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Indeks učinka ostvarenja cilja</w:t>
            </w:r>
          </w:p>
        </w:tc>
        <w:tc>
          <w:tcPr>
            <w:tcW w:w="1114" w:type="dxa"/>
          </w:tcPr>
          <w:p w:rsidR="00D849AA" w:rsidRDefault="00EE6D95">
            <w:r>
              <w:t>Indeks</w:t>
            </w:r>
          </w:p>
        </w:tc>
        <w:tc>
          <w:tcPr>
            <w:tcW w:w="1114" w:type="dxa"/>
          </w:tcPr>
          <w:p w:rsidR="00D849AA" w:rsidRDefault="00EE6D95">
            <w:r>
              <w:t>14</w:t>
            </w:r>
          </w:p>
        </w:tc>
        <w:tc>
          <w:tcPr>
            <w:tcW w:w="1486" w:type="dxa"/>
          </w:tcPr>
          <w:p w:rsidR="00D849AA" w:rsidRDefault="00EE6D95">
            <w:r>
              <w:t>39</w:t>
            </w:r>
          </w:p>
        </w:tc>
        <w:tc>
          <w:tcPr>
            <w:tcW w:w="1486" w:type="dxa"/>
          </w:tcPr>
          <w:p w:rsidR="00D849AA" w:rsidRDefault="00EE6D95">
            <w:r>
              <w:t>67</w:t>
            </w:r>
          </w:p>
        </w:tc>
        <w:tc>
          <w:tcPr>
            <w:tcW w:w="1486" w:type="dxa"/>
          </w:tcPr>
          <w:p w:rsidR="00D849AA" w:rsidRDefault="00EE6D95">
            <w:r>
              <w:t>100</w:t>
            </w:r>
          </w:p>
        </w:tc>
      </w:tr>
    </w:tbl>
    <w:p w:rsidR="00D849AA" w:rsidRDefault="00D849AA">
      <w:pPr>
        <w:jc w:val="left"/>
      </w:pPr>
    </w:p>
    <w:p w:rsidR="00D849AA" w:rsidRDefault="00EE6D95">
      <w:pPr>
        <w:pStyle w:val="Naslov5"/>
      </w:pPr>
      <w:r>
        <w:lastRenderedPageBreak/>
        <w:t>Procjena i ishodište potrebnih sredstava za značajnije aktivnosti/projekte</w:t>
      </w:r>
    </w:p>
    <w:p w:rsidR="00D849AA" w:rsidRDefault="00EE6D95">
      <w:pPr>
        <w:pStyle w:val="Naslov6"/>
      </w:pPr>
      <w:r>
        <w:t>A570334 ODRŽAVANJE ŽELJEZNIČKE INFRASTRUKTURE I REGULACIJA PROMETA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A570334</w:t>
            </w:r>
          </w:p>
        </w:tc>
        <w:tc>
          <w:tcPr>
            <w:tcW w:w="1486" w:type="dxa"/>
          </w:tcPr>
          <w:p w:rsidR="00D849AA" w:rsidRDefault="00EE6D95">
            <w:r>
              <w:t>515.809.490</w:t>
            </w:r>
          </w:p>
        </w:tc>
        <w:tc>
          <w:tcPr>
            <w:tcW w:w="1486" w:type="dxa"/>
          </w:tcPr>
          <w:p w:rsidR="00D849AA" w:rsidRDefault="00EE6D95">
            <w:r>
              <w:t>516.000.000</w:t>
            </w:r>
          </w:p>
        </w:tc>
        <w:tc>
          <w:tcPr>
            <w:tcW w:w="1486" w:type="dxa"/>
          </w:tcPr>
          <w:p w:rsidR="00D849AA" w:rsidRDefault="00EE6D95">
            <w:r>
              <w:t>507.376.476</w:t>
            </w:r>
          </w:p>
        </w:tc>
        <w:tc>
          <w:tcPr>
            <w:tcW w:w="1486" w:type="dxa"/>
          </w:tcPr>
          <w:p w:rsidR="00D849AA" w:rsidRDefault="00EE6D95">
            <w:r>
              <w:t>500.000.000</w:t>
            </w:r>
          </w:p>
        </w:tc>
        <w:tc>
          <w:tcPr>
            <w:tcW w:w="1486" w:type="dxa"/>
          </w:tcPr>
          <w:p w:rsidR="00D849AA" w:rsidRDefault="00EE6D95">
            <w:r>
              <w:t>100,0</w:t>
            </w:r>
          </w:p>
        </w:tc>
      </w:tr>
    </w:tbl>
    <w:p w:rsidR="00D849AA" w:rsidRDefault="00D849AA">
      <w:pPr>
        <w:jc w:val="left"/>
      </w:pPr>
    </w:p>
    <w:p w:rsidR="00D849AA" w:rsidRDefault="00EE6D95">
      <w:pPr>
        <w:pStyle w:val="Normal6"/>
      </w:pPr>
      <w:r>
        <w:t>Planira se povećati broj moderniziranih kilometara mreže, mjerenih kroz broj obnovljenih i osuvremenjenih pruga godišnje te povećanje brzine prometovanja vlakova, a time i pružanje više razine usluga prijevoza. Planira se podići prosječna dopuštena infrastrukturna brzina vlakova sa trenutnih 75 km/h, na 85 km/h 2016. godine.</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Broj km remonta, osuvremenjivanja i novoizgrađenih željezničkih pruga</w:t>
            </w:r>
          </w:p>
        </w:tc>
        <w:tc>
          <w:tcPr>
            <w:tcW w:w="1114" w:type="dxa"/>
          </w:tcPr>
          <w:p w:rsidR="00D849AA" w:rsidRDefault="00EE6D95">
            <w:r>
              <w:t>km</w:t>
            </w:r>
          </w:p>
        </w:tc>
        <w:tc>
          <w:tcPr>
            <w:tcW w:w="1114" w:type="dxa"/>
          </w:tcPr>
          <w:p w:rsidR="00D849AA" w:rsidRDefault="00EE6D95">
            <w:r>
              <w:t>44,50</w:t>
            </w:r>
          </w:p>
        </w:tc>
        <w:tc>
          <w:tcPr>
            <w:tcW w:w="1486" w:type="dxa"/>
          </w:tcPr>
          <w:p w:rsidR="00D849AA" w:rsidRDefault="00EE6D95">
            <w:r>
              <w:t>50,00</w:t>
            </w:r>
          </w:p>
        </w:tc>
        <w:tc>
          <w:tcPr>
            <w:tcW w:w="1486" w:type="dxa"/>
          </w:tcPr>
          <w:p w:rsidR="00D849AA" w:rsidRDefault="00EE6D95">
            <w:r>
              <w:t>55,00</w:t>
            </w:r>
          </w:p>
        </w:tc>
        <w:tc>
          <w:tcPr>
            <w:tcW w:w="1486" w:type="dxa"/>
          </w:tcPr>
          <w:p w:rsidR="00D849AA" w:rsidRDefault="00EE6D95">
            <w:r>
              <w:t>60,00</w:t>
            </w:r>
          </w:p>
        </w:tc>
      </w:tr>
      <w:tr w:rsidR="00D849AA">
        <w:trPr>
          <w:jc w:val="center"/>
        </w:trPr>
        <w:tc>
          <w:tcPr>
            <w:tcW w:w="2229" w:type="dxa"/>
          </w:tcPr>
          <w:p w:rsidR="00D849AA" w:rsidRDefault="00EE6D95">
            <w:pPr>
              <w:pStyle w:val="CellColumn"/>
            </w:pPr>
            <w:r>
              <w:t>Prosječna dopuštena infrastrukturna brzina</w:t>
            </w:r>
          </w:p>
        </w:tc>
        <w:tc>
          <w:tcPr>
            <w:tcW w:w="1114" w:type="dxa"/>
          </w:tcPr>
          <w:p w:rsidR="00D849AA" w:rsidRDefault="00EE6D95">
            <w:r>
              <w:t>km/h</w:t>
            </w:r>
          </w:p>
        </w:tc>
        <w:tc>
          <w:tcPr>
            <w:tcW w:w="1114" w:type="dxa"/>
          </w:tcPr>
          <w:p w:rsidR="00D849AA" w:rsidRDefault="00EE6D95">
            <w:r>
              <w:t>75</w:t>
            </w:r>
          </w:p>
        </w:tc>
        <w:tc>
          <w:tcPr>
            <w:tcW w:w="1486" w:type="dxa"/>
          </w:tcPr>
          <w:p w:rsidR="00D849AA" w:rsidRDefault="00EE6D95">
            <w:r>
              <w:t>80</w:t>
            </w:r>
          </w:p>
        </w:tc>
        <w:tc>
          <w:tcPr>
            <w:tcW w:w="1486" w:type="dxa"/>
          </w:tcPr>
          <w:p w:rsidR="00D849AA" w:rsidRDefault="00EE6D95">
            <w:r>
              <w:t>80</w:t>
            </w:r>
          </w:p>
        </w:tc>
        <w:tc>
          <w:tcPr>
            <w:tcW w:w="1486" w:type="dxa"/>
          </w:tcPr>
          <w:p w:rsidR="00D849AA" w:rsidRDefault="00EE6D95">
            <w:r>
              <w:t>85</w:t>
            </w:r>
          </w:p>
        </w:tc>
      </w:tr>
    </w:tbl>
    <w:p w:rsidR="00D849AA" w:rsidRDefault="00D849AA">
      <w:pPr>
        <w:jc w:val="left"/>
      </w:pPr>
    </w:p>
    <w:p w:rsidR="00D849AA" w:rsidRDefault="00EE6D95">
      <w:pPr>
        <w:pStyle w:val="Naslov6"/>
      </w:pPr>
      <w:r>
        <w:t>A570506 NAKNADA U CIJENI GORIVA ZA HC D.O.O.</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A570506</w:t>
            </w:r>
          </w:p>
        </w:tc>
        <w:tc>
          <w:tcPr>
            <w:tcW w:w="1486" w:type="dxa"/>
          </w:tcPr>
          <w:p w:rsidR="00D849AA" w:rsidRDefault="00EE6D95">
            <w:r>
              <w:t>1.387.872.000</w:t>
            </w:r>
          </w:p>
        </w:tc>
        <w:tc>
          <w:tcPr>
            <w:tcW w:w="1486" w:type="dxa"/>
          </w:tcPr>
          <w:p w:rsidR="00D849AA" w:rsidRDefault="00EE6D95">
            <w:r>
              <w:t>1.760.000.000</w:t>
            </w:r>
          </w:p>
        </w:tc>
        <w:tc>
          <w:tcPr>
            <w:tcW w:w="1486" w:type="dxa"/>
          </w:tcPr>
          <w:p w:rsidR="00D849AA" w:rsidRDefault="00EE6D95">
            <w:r>
              <w:t>1.760.000.000</w:t>
            </w:r>
          </w:p>
        </w:tc>
        <w:tc>
          <w:tcPr>
            <w:tcW w:w="1486" w:type="dxa"/>
          </w:tcPr>
          <w:p w:rsidR="00D849AA" w:rsidRDefault="00EE6D95">
            <w:r>
              <w:t>1.780.000.000</w:t>
            </w:r>
          </w:p>
        </w:tc>
        <w:tc>
          <w:tcPr>
            <w:tcW w:w="1486" w:type="dxa"/>
          </w:tcPr>
          <w:p w:rsidR="00D849AA" w:rsidRDefault="00EE6D95">
            <w:r>
              <w:t>126,8</w:t>
            </w:r>
          </w:p>
        </w:tc>
      </w:tr>
    </w:tbl>
    <w:p w:rsidR="00D849AA" w:rsidRDefault="00D849AA">
      <w:pPr>
        <w:jc w:val="left"/>
      </w:pPr>
    </w:p>
    <w:p w:rsidR="00D849AA" w:rsidRDefault="00EE6D95">
      <w:pPr>
        <w:pStyle w:val="Normal6"/>
      </w:pPr>
      <w:r>
        <w:t>Naknada u cijeni goriva planira se povećati u proračunskom razdoblju 2014. – 2016. izmjenom Zakona o cestama (NN 84/11), koja se planira napraviti do kraja 2013. godine. Temeljem izmjena zakona promijeniti će se iznosa naknade za financiranje građenja i održavanja javnih cesta. Temeljem Zakona o cestama naknada uplaćena na račun Hrvatskih autocesta d.o.o., koja se uplaćuje po litri naplaćene trošarine na energente, iznosi 0,60 kn, a izmjenom zakona uplaćivati će se 0,20 kn. Na račun Hrvatskih cesta d.o.o. trenutno se uplaćuje 0,60 kn, a izmjenom zakona uplaćivati će se 0,80 kn po litri naplaćene trošarine na energente. Povećanjem dobivenih sredstava Hrvatske ceste d.o.o. će utrošiti na izgradnju pristupnih državnih cesta na glavne koridore TEN-T mreže te na investicijsko održavanje postojećih javnih cesta, koje obuhvaća izvanredno održavanje i rekonstrukciju državnih cesta. Plan razvoja cestovne infrastrukture pratiti će se izvješćima o provedbi Programa građenja i održavanja javnih</w:t>
      </w:r>
      <w:r w:rsidR="00D61DA2">
        <w:t xml:space="preserve"> cesta za razdoblje 2013.-2016.</w:t>
      </w:r>
    </w:p>
    <w:p w:rsidR="00D61DA2" w:rsidRDefault="00D61DA2">
      <w:pPr>
        <w:pStyle w:val="Normal6"/>
      </w:pPr>
    </w:p>
    <w:p w:rsidR="00D61DA2" w:rsidRDefault="00D61DA2">
      <w:pPr>
        <w:pStyle w:val="Normal6"/>
      </w:pPr>
    </w:p>
    <w:p w:rsidR="00D61DA2" w:rsidRDefault="00D61DA2">
      <w:pPr>
        <w:pStyle w:val="Normal6"/>
      </w:pPr>
    </w:p>
    <w:p w:rsidR="00D849AA" w:rsidRDefault="00EE6D95">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Broj km izgrađenih državnih cesta</w:t>
            </w:r>
          </w:p>
        </w:tc>
        <w:tc>
          <w:tcPr>
            <w:tcW w:w="1114" w:type="dxa"/>
          </w:tcPr>
          <w:p w:rsidR="00D849AA" w:rsidRDefault="00EE6D95">
            <w:r>
              <w:t>km</w:t>
            </w:r>
          </w:p>
        </w:tc>
        <w:tc>
          <w:tcPr>
            <w:tcW w:w="1114" w:type="dxa"/>
          </w:tcPr>
          <w:p w:rsidR="00D849AA" w:rsidRDefault="00EE6D95">
            <w:r>
              <w:t>44,37</w:t>
            </w:r>
          </w:p>
        </w:tc>
        <w:tc>
          <w:tcPr>
            <w:tcW w:w="1486" w:type="dxa"/>
          </w:tcPr>
          <w:p w:rsidR="00D849AA" w:rsidRDefault="00EE6D95">
            <w:r>
              <w:t>45,17</w:t>
            </w:r>
          </w:p>
        </w:tc>
        <w:tc>
          <w:tcPr>
            <w:tcW w:w="1486" w:type="dxa"/>
          </w:tcPr>
          <w:p w:rsidR="00D849AA" w:rsidRDefault="00EE6D95">
            <w:r>
              <w:t>43,68</w:t>
            </w:r>
          </w:p>
        </w:tc>
        <w:tc>
          <w:tcPr>
            <w:tcW w:w="1486" w:type="dxa"/>
          </w:tcPr>
          <w:p w:rsidR="00D849AA" w:rsidRDefault="00EE6D95">
            <w:r>
              <w:t>41,30</w:t>
            </w:r>
          </w:p>
        </w:tc>
      </w:tr>
      <w:tr w:rsidR="00D849AA">
        <w:trPr>
          <w:jc w:val="center"/>
        </w:trPr>
        <w:tc>
          <w:tcPr>
            <w:tcW w:w="2229" w:type="dxa"/>
          </w:tcPr>
          <w:p w:rsidR="00D849AA" w:rsidRDefault="00EE6D95">
            <w:pPr>
              <w:pStyle w:val="CellColumn"/>
            </w:pPr>
            <w:r>
              <w:t>Broj km investicijskog održavanja državnih cesta</w:t>
            </w:r>
          </w:p>
        </w:tc>
        <w:tc>
          <w:tcPr>
            <w:tcW w:w="1114" w:type="dxa"/>
          </w:tcPr>
          <w:p w:rsidR="00D849AA" w:rsidRDefault="00EE6D95">
            <w:r>
              <w:t>km</w:t>
            </w:r>
          </w:p>
        </w:tc>
        <w:tc>
          <w:tcPr>
            <w:tcW w:w="1114" w:type="dxa"/>
          </w:tcPr>
          <w:p w:rsidR="00D849AA" w:rsidRDefault="00EE6D95">
            <w:r>
              <w:t>180,00</w:t>
            </w:r>
          </w:p>
        </w:tc>
        <w:tc>
          <w:tcPr>
            <w:tcW w:w="1486" w:type="dxa"/>
          </w:tcPr>
          <w:p w:rsidR="00D849AA" w:rsidRDefault="00EE6D95">
            <w:r>
              <w:t>170,00</w:t>
            </w:r>
          </w:p>
        </w:tc>
        <w:tc>
          <w:tcPr>
            <w:tcW w:w="1486" w:type="dxa"/>
          </w:tcPr>
          <w:p w:rsidR="00D849AA" w:rsidRDefault="00EE6D95">
            <w:r>
              <w:t>130,00</w:t>
            </w:r>
          </w:p>
        </w:tc>
        <w:tc>
          <w:tcPr>
            <w:tcW w:w="1486" w:type="dxa"/>
          </w:tcPr>
          <w:p w:rsidR="00D849AA" w:rsidRDefault="00EE6D95">
            <w:r>
              <w:t>130,,</w:t>
            </w:r>
          </w:p>
        </w:tc>
      </w:tr>
    </w:tbl>
    <w:p w:rsidR="00D849AA" w:rsidRDefault="00D849AA">
      <w:pPr>
        <w:jc w:val="left"/>
      </w:pPr>
    </w:p>
    <w:p w:rsidR="00D849AA" w:rsidRDefault="00EE6D95">
      <w:pPr>
        <w:pStyle w:val="Naslov6"/>
      </w:pPr>
      <w:r>
        <w:t>T754027 OP PROMET</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T754027</w:t>
            </w:r>
          </w:p>
        </w:tc>
        <w:tc>
          <w:tcPr>
            <w:tcW w:w="1486" w:type="dxa"/>
          </w:tcPr>
          <w:p w:rsidR="00D849AA" w:rsidRDefault="00EE6D95">
            <w:r>
              <w:t>00</w:t>
            </w:r>
          </w:p>
        </w:tc>
        <w:tc>
          <w:tcPr>
            <w:tcW w:w="1486" w:type="dxa"/>
          </w:tcPr>
          <w:p w:rsidR="00D849AA" w:rsidRDefault="00EE6D95">
            <w:r>
              <w:t>472.890.860</w:t>
            </w:r>
          </w:p>
        </w:tc>
        <w:tc>
          <w:tcPr>
            <w:tcW w:w="1486" w:type="dxa"/>
          </w:tcPr>
          <w:p w:rsidR="00D849AA" w:rsidRDefault="00EE6D95">
            <w:r>
              <w:t>1.315.870.947</w:t>
            </w:r>
          </w:p>
        </w:tc>
        <w:tc>
          <w:tcPr>
            <w:tcW w:w="1486" w:type="dxa"/>
          </w:tcPr>
          <w:p w:rsidR="00D849AA" w:rsidRDefault="00EE6D95">
            <w:r>
              <w:t>1.684.860.700</w:t>
            </w:r>
          </w:p>
        </w:tc>
        <w:tc>
          <w:tcPr>
            <w:tcW w:w="1486" w:type="dxa"/>
          </w:tcPr>
          <w:p w:rsidR="00D849AA" w:rsidRDefault="00EE6D95">
            <w:r>
              <w:t>0,0</w:t>
            </w:r>
          </w:p>
        </w:tc>
      </w:tr>
    </w:tbl>
    <w:p w:rsidR="00D849AA" w:rsidRDefault="00D849AA">
      <w:pPr>
        <w:jc w:val="left"/>
      </w:pPr>
    </w:p>
    <w:p w:rsidR="00D849AA" w:rsidRDefault="00EE6D95">
      <w:pPr>
        <w:pStyle w:val="Normal6"/>
      </w:pPr>
      <w:r>
        <w:t xml:space="preserve">Aktivnost OP Promet obuhvaća projekte tri prioritetne osi Operativnog programa Promet, a koji za cilj imaju razvoj modernih prometnih mreža i povećanje dostupnosti regija, poticanje bolje integracije hrvatskih prometnih mreža unutar europske prometne mreže poboljšanjem prometne infrastrukture u željezničkom i riječnom sektoru kroz razvoj prometnih mreža na TEN-T koridorima, ali i kroz poboljšanje regionalnih veza. Projekti iz Aktivnosti OP Promet će se financirati iz sredstava fondova Europske unije i državnog proračuna. </w:t>
      </w:r>
    </w:p>
    <w:p w:rsidR="00D849AA" w:rsidRDefault="00EE6D95">
      <w:pPr>
        <w:pStyle w:val="Normal6"/>
      </w:pPr>
      <w:r>
        <w:t>Sastavni dio aktivnosti OP Promet je i projekt „Rehabilitacija dionice pruge Okučani-Novska“, kojim se planira rekonstruirati 19,8 km željezničke pruge – dionica Okučani-Novska, a koja se nalazi na Pan-europskom koridoru X, s ciljem povećanja maksimalne dopuštene brzine s dosadašnjih max. 100 km/h na max. 160 km/h. Radovi kojima se to planira postići su: radovi na remontu otvorene pruge uključujući obnovu gornjeg i donjeg ustroja, propusta i drenaže, te usklađenje kontaktne mreže i rekonstrukciji kolodvora Okučani i stajališta Rajić. Završetak radova je planiran u 2014. godini.</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Kilometri rehabilitirane pruge na dionici Okučani-Novska</w:t>
            </w:r>
          </w:p>
        </w:tc>
        <w:tc>
          <w:tcPr>
            <w:tcW w:w="1114" w:type="dxa"/>
          </w:tcPr>
          <w:p w:rsidR="00D849AA" w:rsidRDefault="00EE6D95">
            <w:r>
              <w:t>km</w:t>
            </w:r>
          </w:p>
        </w:tc>
        <w:tc>
          <w:tcPr>
            <w:tcW w:w="1114" w:type="dxa"/>
          </w:tcPr>
          <w:p w:rsidR="00D849AA" w:rsidRDefault="00EE6D95">
            <w:r>
              <w:t>0</w:t>
            </w:r>
          </w:p>
        </w:tc>
        <w:tc>
          <w:tcPr>
            <w:tcW w:w="1486" w:type="dxa"/>
          </w:tcPr>
          <w:p w:rsidR="00D849AA" w:rsidRDefault="00EE6D95">
            <w:r>
              <w:t>19,78</w:t>
            </w:r>
          </w:p>
        </w:tc>
        <w:tc>
          <w:tcPr>
            <w:tcW w:w="1486" w:type="dxa"/>
          </w:tcPr>
          <w:p w:rsidR="00D849AA" w:rsidRDefault="00EE6D95">
            <w:r>
              <w:t>19,78</w:t>
            </w:r>
          </w:p>
        </w:tc>
        <w:tc>
          <w:tcPr>
            <w:tcW w:w="1486" w:type="dxa"/>
          </w:tcPr>
          <w:p w:rsidR="00D849AA" w:rsidRDefault="00EE6D95">
            <w:r>
              <w:t>19,78</w:t>
            </w:r>
          </w:p>
        </w:tc>
      </w:tr>
    </w:tbl>
    <w:p w:rsidR="00D849AA" w:rsidRDefault="00D849AA">
      <w:pPr>
        <w:jc w:val="left"/>
      </w:pPr>
    </w:p>
    <w:p w:rsidR="00D61DA2" w:rsidRDefault="00D61DA2">
      <w:pPr>
        <w:jc w:val="left"/>
      </w:pPr>
    </w:p>
    <w:p w:rsidR="00D61DA2" w:rsidRDefault="00D61DA2" w:rsidP="00D61DA2">
      <w:pPr>
        <w:pStyle w:val="Naslov4"/>
      </w:pPr>
      <w:r>
        <w:lastRenderedPageBreak/>
        <w:t>OBRAZLOŽENJE PROGRAMA</w:t>
      </w:r>
    </w:p>
    <w:p w:rsidR="00D849AA" w:rsidRDefault="00EE6D95">
      <w:pPr>
        <w:pStyle w:val="Naslov5"/>
      </w:pPr>
      <w:r>
        <w:t>3112 OBAVLJANJE INSPEKCIJSKOG NADZORA CESTOVNOG I ŽELJEZNIČKOG PROMETA I CESTA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3112</w:t>
            </w:r>
          </w:p>
        </w:tc>
        <w:tc>
          <w:tcPr>
            <w:tcW w:w="1486" w:type="dxa"/>
          </w:tcPr>
          <w:p w:rsidR="00D849AA" w:rsidRDefault="00EE6D95">
            <w:r>
              <w:t>550.000</w:t>
            </w:r>
          </w:p>
        </w:tc>
        <w:tc>
          <w:tcPr>
            <w:tcW w:w="1486" w:type="dxa"/>
          </w:tcPr>
          <w:p w:rsidR="00D849AA" w:rsidRDefault="00EE6D95">
            <w:r>
              <w:t>630.000</w:t>
            </w:r>
          </w:p>
        </w:tc>
        <w:tc>
          <w:tcPr>
            <w:tcW w:w="1486" w:type="dxa"/>
          </w:tcPr>
          <w:p w:rsidR="00D849AA" w:rsidRDefault="00EE6D95">
            <w:r>
              <w:t>710.000</w:t>
            </w:r>
          </w:p>
        </w:tc>
        <w:tc>
          <w:tcPr>
            <w:tcW w:w="1486" w:type="dxa"/>
          </w:tcPr>
          <w:p w:rsidR="00D849AA" w:rsidRDefault="00EE6D95">
            <w:r>
              <w:t>780.000</w:t>
            </w:r>
          </w:p>
        </w:tc>
        <w:tc>
          <w:tcPr>
            <w:tcW w:w="1486" w:type="dxa"/>
          </w:tcPr>
          <w:p w:rsidR="00D849AA" w:rsidRDefault="00EE6D95">
            <w:r>
              <w:t>114,5</w:t>
            </w:r>
          </w:p>
        </w:tc>
      </w:tr>
    </w:tbl>
    <w:p w:rsidR="00D849AA" w:rsidRDefault="00D849AA">
      <w:pPr>
        <w:jc w:val="left"/>
      </w:pPr>
    </w:p>
    <w:p w:rsidR="00D849AA" w:rsidRDefault="00EE6D95">
      <w:pPr>
        <w:pStyle w:val="Naslov6"/>
      </w:pPr>
      <w:r>
        <w:t>Opis programa</w:t>
      </w:r>
    </w:p>
    <w:p w:rsidR="00F60D82" w:rsidRDefault="00EE6D95" w:rsidP="00D61DA2">
      <w:pPr>
        <w:pStyle w:val="Normal5"/>
      </w:pPr>
      <w:r>
        <w:t>Obavljanje inspekcijskog nadzora nad provođenjem propisa kojim se uređuje upravno područje cestovnog i željezničkog prometa te javnih cesta  i cestovne infrastrukture.</w:t>
      </w:r>
    </w:p>
    <w:p w:rsidR="00D849AA" w:rsidRDefault="00EE6D95">
      <w:pPr>
        <w:pStyle w:val="Naslov6"/>
      </w:pPr>
      <w:r>
        <w:t>Zakonske i druge pravne osnove</w:t>
      </w:r>
    </w:p>
    <w:p w:rsidR="00D849AA" w:rsidRDefault="00EE6D95">
      <w:pPr>
        <w:pStyle w:val="Normal5"/>
      </w:pPr>
      <w:r>
        <w:t xml:space="preserve">Zakon o prijevozu u cestovnom prometu (NN 82/13), </w:t>
      </w:r>
    </w:p>
    <w:p w:rsidR="00D849AA" w:rsidRDefault="00EE6D95">
      <w:pPr>
        <w:pStyle w:val="Normal5"/>
      </w:pPr>
      <w:r>
        <w:t xml:space="preserve">Zakon o izmjenama i dopunama zakona o sigurnosti prometa na cestama (NN 80/13), </w:t>
      </w:r>
    </w:p>
    <w:p w:rsidR="00D849AA" w:rsidRDefault="00EE6D95">
      <w:pPr>
        <w:pStyle w:val="Normal5"/>
      </w:pPr>
      <w:r>
        <w:t xml:space="preserve">Zakon o radnom vremenu, obveznim odmorima mobilnih radnika i uređajima za bilježenje u cestovnom prometu (NN 75/13), </w:t>
      </w:r>
    </w:p>
    <w:p w:rsidR="00D849AA" w:rsidRDefault="00EE6D95">
      <w:pPr>
        <w:pStyle w:val="Normal5"/>
      </w:pPr>
      <w:r>
        <w:t xml:space="preserve">Zakon o cestama (NN 84/11, 22/13 I 54/13), </w:t>
      </w:r>
    </w:p>
    <w:p w:rsidR="00D849AA" w:rsidRDefault="00EE6D95">
      <w:pPr>
        <w:pStyle w:val="Normal5"/>
      </w:pPr>
      <w:r>
        <w:t xml:space="preserve">Zakon o inspekciji cestovnog prometa i cesta (NN 77/99, 55/11), </w:t>
      </w:r>
    </w:p>
    <w:p w:rsidR="00D849AA" w:rsidRDefault="00EE6D95">
      <w:pPr>
        <w:pStyle w:val="Normal5"/>
      </w:pPr>
      <w:r>
        <w:t xml:space="preserve">Zakon o sigurnosti i interoperabilnosti željezničkog sustava (NN 82/13), </w:t>
      </w:r>
    </w:p>
    <w:p w:rsidR="00D849AA" w:rsidRDefault="00EE6D95">
      <w:pPr>
        <w:pStyle w:val="Normal5"/>
      </w:pPr>
      <w:r>
        <w:t xml:space="preserve">Zakon o žičarama za prijevoz osoba (NN 79/07, 75/09 i 61/11), </w:t>
      </w:r>
    </w:p>
    <w:p w:rsidR="00D849AA" w:rsidRDefault="00EE6D95">
      <w:pPr>
        <w:pStyle w:val="Normal5"/>
      </w:pPr>
      <w:r>
        <w:t xml:space="preserve">Zakon o prijevozu opasnih tvari (NN 79/07), </w:t>
      </w:r>
    </w:p>
    <w:p w:rsidR="00D849AA" w:rsidRDefault="00EE6D95">
      <w:pPr>
        <w:pStyle w:val="Normal5"/>
      </w:pPr>
      <w:r>
        <w:t xml:space="preserve">Zakon o željeznicama (NN 94/13), </w:t>
      </w:r>
    </w:p>
    <w:p w:rsidR="00D849AA" w:rsidRDefault="00EE6D95">
      <w:pPr>
        <w:pStyle w:val="Normal5"/>
      </w:pPr>
      <w:r>
        <w:t>COTIF i RID.</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Cilj 1. Kvalitetan nadzor sustava željezničkog i cestovnog prometa</w:t>
      </w:r>
    </w:p>
    <w:p w:rsidR="00D849AA" w:rsidRDefault="00EE6D95">
      <w:pPr>
        <w:pStyle w:val="Normal6"/>
      </w:pPr>
      <w:r>
        <w:t>Osigurati nadzor odvijanja prometa u realnom vremenu kao osnovnu pretpostavku sigurnosti prometa, smanjenju mogućih prometnih nezgoda, gubitak ljudskih života, imovine i eventualnih ekoloških incidenata s posljedicama na okoliš.</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 xml:space="preserve">Učešće nadziranih radnih dana  od ukupnog broja radnih dana koje rade vozači vozila s ukupnom dopuštenom masom </w:t>
            </w:r>
            <w:r>
              <w:lastRenderedPageBreak/>
              <w:t>iznad 3,5 tona i vozača autobusa pregledom tahografa (analognih i digitalnih) i zapisa uređaja</w:t>
            </w:r>
          </w:p>
        </w:tc>
        <w:tc>
          <w:tcPr>
            <w:tcW w:w="1114" w:type="dxa"/>
          </w:tcPr>
          <w:p w:rsidR="00D849AA" w:rsidRDefault="00EE6D95">
            <w:r>
              <w:lastRenderedPageBreak/>
              <w:t>%</w:t>
            </w:r>
          </w:p>
        </w:tc>
        <w:tc>
          <w:tcPr>
            <w:tcW w:w="1114" w:type="dxa"/>
          </w:tcPr>
          <w:p w:rsidR="00D849AA" w:rsidRDefault="00EE6D95">
            <w:r>
              <w:t>4,5</w:t>
            </w:r>
          </w:p>
        </w:tc>
        <w:tc>
          <w:tcPr>
            <w:tcW w:w="1486" w:type="dxa"/>
          </w:tcPr>
          <w:p w:rsidR="00D849AA" w:rsidRDefault="00EE6D95">
            <w:r>
              <w:t>4,5</w:t>
            </w:r>
          </w:p>
        </w:tc>
        <w:tc>
          <w:tcPr>
            <w:tcW w:w="1486" w:type="dxa"/>
          </w:tcPr>
          <w:p w:rsidR="00D849AA" w:rsidRDefault="00EE6D95">
            <w:r>
              <w:t>4,5</w:t>
            </w:r>
          </w:p>
        </w:tc>
        <w:tc>
          <w:tcPr>
            <w:tcW w:w="1486" w:type="dxa"/>
          </w:tcPr>
          <w:p w:rsidR="00D849AA" w:rsidRDefault="00EE6D95">
            <w:r>
              <w:t>4,5</w:t>
            </w:r>
          </w:p>
        </w:tc>
      </w:tr>
    </w:tbl>
    <w:p w:rsidR="00D849AA" w:rsidRDefault="00D849AA">
      <w:pPr>
        <w:jc w:val="left"/>
      </w:pPr>
    </w:p>
    <w:p w:rsidR="00D849AA" w:rsidRDefault="00EE6D95">
      <w:pPr>
        <w:pStyle w:val="Naslov5"/>
      </w:pPr>
      <w:r>
        <w:t>Procjena i ishodište potrebnih sredstava za značajnije aktivnosti/projekte</w:t>
      </w:r>
    </w:p>
    <w:p w:rsidR="00D849AA" w:rsidRDefault="00EE6D95">
      <w:pPr>
        <w:pStyle w:val="Naslov6"/>
      </w:pPr>
      <w:r>
        <w:t>K761028 OPREMANJE INSPEKCIJE OPREMOM I OSTALIM UREĐAJIMA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K761028</w:t>
            </w:r>
          </w:p>
        </w:tc>
        <w:tc>
          <w:tcPr>
            <w:tcW w:w="1486" w:type="dxa"/>
          </w:tcPr>
          <w:p w:rsidR="00D849AA" w:rsidRDefault="00EE6D95">
            <w:r>
              <w:t>550.000</w:t>
            </w:r>
          </w:p>
        </w:tc>
        <w:tc>
          <w:tcPr>
            <w:tcW w:w="1486" w:type="dxa"/>
          </w:tcPr>
          <w:p w:rsidR="00D849AA" w:rsidRDefault="00EE6D95">
            <w:r>
              <w:t>630.000</w:t>
            </w:r>
          </w:p>
        </w:tc>
        <w:tc>
          <w:tcPr>
            <w:tcW w:w="1486" w:type="dxa"/>
          </w:tcPr>
          <w:p w:rsidR="00D849AA" w:rsidRDefault="00EE6D95">
            <w:r>
              <w:t>710.000</w:t>
            </w:r>
          </w:p>
        </w:tc>
        <w:tc>
          <w:tcPr>
            <w:tcW w:w="1486" w:type="dxa"/>
          </w:tcPr>
          <w:p w:rsidR="00D849AA" w:rsidRDefault="00EE6D95">
            <w:r>
              <w:t>780.000</w:t>
            </w:r>
          </w:p>
        </w:tc>
        <w:tc>
          <w:tcPr>
            <w:tcW w:w="1486" w:type="dxa"/>
          </w:tcPr>
          <w:p w:rsidR="00D849AA" w:rsidRDefault="00EE6D95">
            <w:r>
              <w:t>114,5</w:t>
            </w:r>
          </w:p>
        </w:tc>
      </w:tr>
    </w:tbl>
    <w:p w:rsidR="00D849AA" w:rsidRDefault="00D849AA">
      <w:pPr>
        <w:jc w:val="left"/>
      </w:pPr>
    </w:p>
    <w:p w:rsidR="00D849AA" w:rsidRDefault="00EE6D95">
      <w:pPr>
        <w:pStyle w:val="Normal6"/>
      </w:pPr>
      <w:r>
        <w:t>Nabavom i nadogradnjom specijalnih uređaja i opreme za potrebe inspekcijskih nadzora u cestovnim  prometu omogućiti će se ostvarenje godišnjeg plana ukupnog broja inspekcijskih pregleda radnih dana vozača u cestovnom prijevozu tereta i putnika.</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Stupanj opremljenosti inspekcije adekvatnom opremom.</w:t>
            </w:r>
          </w:p>
        </w:tc>
        <w:tc>
          <w:tcPr>
            <w:tcW w:w="1114" w:type="dxa"/>
          </w:tcPr>
          <w:p w:rsidR="00D849AA" w:rsidRDefault="00EE6D95">
            <w:r>
              <w:t>%</w:t>
            </w:r>
          </w:p>
        </w:tc>
        <w:tc>
          <w:tcPr>
            <w:tcW w:w="1114" w:type="dxa"/>
          </w:tcPr>
          <w:p w:rsidR="00D849AA" w:rsidRDefault="00EE6D95">
            <w:r>
              <w:t>70</w:t>
            </w:r>
          </w:p>
        </w:tc>
        <w:tc>
          <w:tcPr>
            <w:tcW w:w="1486" w:type="dxa"/>
          </w:tcPr>
          <w:p w:rsidR="00D849AA" w:rsidRDefault="00EE6D95">
            <w:r>
              <w:t>80</w:t>
            </w:r>
          </w:p>
        </w:tc>
        <w:tc>
          <w:tcPr>
            <w:tcW w:w="1486" w:type="dxa"/>
          </w:tcPr>
          <w:p w:rsidR="00D849AA" w:rsidRDefault="00EE6D95">
            <w:r>
              <w:t>90</w:t>
            </w:r>
          </w:p>
        </w:tc>
        <w:tc>
          <w:tcPr>
            <w:tcW w:w="1486" w:type="dxa"/>
          </w:tcPr>
          <w:p w:rsidR="00D849AA" w:rsidRDefault="00EE6D95">
            <w:r>
              <w:t>95</w:t>
            </w:r>
          </w:p>
        </w:tc>
      </w:tr>
    </w:tbl>
    <w:p w:rsidR="00D849AA" w:rsidRDefault="00D849AA">
      <w:pPr>
        <w:jc w:val="left"/>
      </w:pPr>
    </w:p>
    <w:p w:rsidR="00D61DA2" w:rsidRDefault="00D61DA2" w:rsidP="00D61DA2">
      <w:pPr>
        <w:pStyle w:val="Naslov4"/>
      </w:pPr>
      <w:r>
        <w:t>OBRAZLOŽENJE PROGRAMA</w:t>
      </w:r>
    </w:p>
    <w:p w:rsidR="00D849AA" w:rsidRDefault="00EE6D95">
      <w:pPr>
        <w:pStyle w:val="Naslov5"/>
      </w:pPr>
      <w:r>
        <w:t>3113 RAZVOJ SUSTAVA ZRAČNOG PROMETA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3113</w:t>
            </w:r>
          </w:p>
        </w:tc>
        <w:tc>
          <w:tcPr>
            <w:tcW w:w="1486" w:type="dxa"/>
          </w:tcPr>
          <w:p w:rsidR="00D849AA" w:rsidRDefault="00EE6D95">
            <w:r>
              <w:t>230.995.000</w:t>
            </w:r>
          </w:p>
        </w:tc>
        <w:tc>
          <w:tcPr>
            <w:tcW w:w="1486" w:type="dxa"/>
          </w:tcPr>
          <w:p w:rsidR="00D849AA" w:rsidRDefault="00EE6D95">
            <w:r>
              <w:t>127.490.000</w:t>
            </w:r>
          </w:p>
        </w:tc>
        <w:tc>
          <w:tcPr>
            <w:tcW w:w="1486" w:type="dxa"/>
          </w:tcPr>
          <w:p w:rsidR="00D849AA" w:rsidRDefault="00EE6D95">
            <w:r>
              <w:t>128.490.000</w:t>
            </w:r>
          </w:p>
        </w:tc>
        <w:tc>
          <w:tcPr>
            <w:tcW w:w="1486" w:type="dxa"/>
          </w:tcPr>
          <w:p w:rsidR="00D849AA" w:rsidRDefault="00EE6D95">
            <w:r>
              <w:t>88.490.000</w:t>
            </w:r>
          </w:p>
        </w:tc>
        <w:tc>
          <w:tcPr>
            <w:tcW w:w="1486" w:type="dxa"/>
          </w:tcPr>
          <w:p w:rsidR="00D849AA" w:rsidRDefault="00EE6D95">
            <w:r>
              <w:t>55,2</w:t>
            </w:r>
          </w:p>
        </w:tc>
      </w:tr>
    </w:tbl>
    <w:p w:rsidR="00D849AA" w:rsidRDefault="00D849AA">
      <w:pPr>
        <w:jc w:val="left"/>
      </w:pPr>
    </w:p>
    <w:p w:rsidR="00D849AA" w:rsidRDefault="00EE6D95">
      <w:pPr>
        <w:pStyle w:val="Naslov6"/>
      </w:pPr>
      <w:r>
        <w:t>Opis programa</w:t>
      </w:r>
    </w:p>
    <w:p w:rsidR="00D849AA" w:rsidRDefault="00EE6D95">
      <w:pPr>
        <w:pStyle w:val="Normal5"/>
      </w:pPr>
      <w:r>
        <w:t xml:space="preserve">Zadaća ovog programa je održavanje stupnja sigurnosti, zaštite, redovitosti i učinkovitosti civilnog zračnog prometa te proširenje i gradnja prateće infrastrukture za prihvat putnika i zrakoplova na aerodromima u Republici Hrvatskoj. Kroz ovaj program prvenstveno će se, na postojećim aerodromima, raditi nužna tehnološka i sigurnosno-prometna unapređenja, odnosno predviđena su ulaganja u infrastrukturu aerodroma i pripadajuću opremu kao i ulaganja u unapređenje zaštite i sigurnosti aerodroma te prilagođavanje sustava zračnog prometa Republike Hrvatske međunarodnim standardima.  </w:t>
      </w:r>
    </w:p>
    <w:p w:rsidR="00D849AA" w:rsidRDefault="00EE6D95">
      <w:pPr>
        <w:pStyle w:val="Normal5"/>
      </w:pPr>
      <w:r>
        <w:lastRenderedPageBreak/>
        <w:t xml:space="preserve">Prioritetni cilj je operacionalizacija mjera Nacionalnog programa sigurnosti u zračnom prometu i operacionalizacija mjera Nacionalnog programa zaštite civilnog zračnog prometa.  </w:t>
      </w:r>
    </w:p>
    <w:p w:rsidR="00D849AA" w:rsidRDefault="00EE6D95">
      <w:pPr>
        <w:pStyle w:val="Normal5"/>
      </w:pPr>
      <w:r>
        <w:t xml:space="preserve">Odvijanje domaćeg linijskog zračnog prijevoza, također ima vrlo važnu ulogu za sustav zračnog prometa, a provođenje iste se predviđa kroz poticanje očuvanja postojećih domaćih zračnih linija u svrhu osiguranja bolje mobilnosti stanovništva, bržeg i ekonomičnijeg prijevoza tereta kao i ujednačenog razvoja regija unutar Republike Hrvatske. </w:t>
      </w:r>
    </w:p>
    <w:p w:rsidR="00D849AA" w:rsidRDefault="00EE6D95">
      <w:pPr>
        <w:pStyle w:val="Normal5"/>
      </w:pPr>
      <w:r>
        <w:t xml:space="preserve">Pored navedenog, kroz ovaj program provodit će se i aktivnosti vezane za očuvanje otvorenosti aerodroma za javni zračni promet, harmonizacija standarda kroz osiguranje neovisnosti i suradnju nadležnih tijela u postupcima obavljanja istražnih radnji i izradi izvješća i preporuka vezano za nesreće i nezgode u prometu te aktivnosti vezane za stvaranje uvjeta za kvalitetno traganje i spašavanje koje se provodi radi minimiziranja štetnih posljedica u slučaju incidenta te zaštiti života i imovine u prometu.  </w:t>
      </w:r>
    </w:p>
    <w:p w:rsidR="00D849AA" w:rsidRDefault="00EE6D95">
      <w:pPr>
        <w:pStyle w:val="Normal5"/>
      </w:pPr>
      <w:r>
        <w:t xml:space="preserve">Nije bilo značajnih odstupanja u ukupno planiranim iznosima u odnosu na prošlogodišnje usvojene projekcije za 2014. i 2015. godinu.  </w:t>
      </w:r>
    </w:p>
    <w:p w:rsidR="00D849AA" w:rsidRDefault="00EE6D95">
      <w:pPr>
        <w:pStyle w:val="Normal5"/>
      </w:pPr>
      <w:r>
        <w:t>U Strategiji Vladinih programa za razdoblje 2014.-2016. godine program je povezan sa Općim ciljem 3. Ravnomjerni regionalni razvoj i posebnim ciljem 3.4. Održivi razvoj prometnog sustava. U Strateškom planu Ministarstva pomorstva, prometa i infrastrukture za razdoblje 2014.-2016. godine isti je povezan  sa Općim ciljem 1. Održivi razvoj prometnog sustava, Posebni cilj 1.5. Razvijen sustav zračnog prometa.</w:t>
      </w:r>
    </w:p>
    <w:p w:rsidR="00D849AA" w:rsidRDefault="00EE6D95">
      <w:pPr>
        <w:pStyle w:val="Naslov6"/>
      </w:pPr>
      <w:r>
        <w:t>Zakonske i druge pravne osnove</w:t>
      </w:r>
    </w:p>
    <w:p w:rsidR="00D849AA" w:rsidRDefault="00EE6D95">
      <w:pPr>
        <w:pStyle w:val="Normal5"/>
      </w:pPr>
      <w:r>
        <w:t xml:space="preserve">Zakon o zračnim lukama („Narodne novine“, broj 19/98 i 14/11), </w:t>
      </w:r>
    </w:p>
    <w:p w:rsidR="00D849AA" w:rsidRDefault="00EE6D95">
      <w:pPr>
        <w:pStyle w:val="Normal5"/>
      </w:pPr>
      <w:r>
        <w:t xml:space="preserve">Zakon o zračnom prometu („Narodne novine“, broj 69/09 i 84/11), </w:t>
      </w:r>
    </w:p>
    <w:p w:rsidR="00D849AA" w:rsidRDefault="00EE6D95">
      <w:pPr>
        <w:pStyle w:val="Normal5"/>
      </w:pPr>
      <w:r>
        <w:t xml:space="preserve">Nacionalni program zaštite civilnog zračnog prometa, kojeg je Vlada Republike Hrvatske donijela na sjednici 21. ožujka 2013. godine </w:t>
      </w:r>
    </w:p>
    <w:p w:rsidR="00D849AA" w:rsidRDefault="00EE6D95">
      <w:pPr>
        <w:pStyle w:val="Normal5"/>
      </w:pPr>
      <w:r>
        <w:t xml:space="preserve">Nacionalni program sigurnosti u zračnom prometu (N.N. 41/2013), </w:t>
      </w:r>
    </w:p>
    <w:p w:rsidR="00D849AA" w:rsidRDefault="00EE6D95">
      <w:pPr>
        <w:pStyle w:val="Normal5"/>
      </w:pPr>
      <w:r>
        <w:t>Dodatak 14 Čikaškoj konvenciji (standardi sigurnosti na aerodromima).</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Cilj 1. Razvijen sustav zračnog prometa</w:t>
      </w:r>
    </w:p>
    <w:p w:rsidR="00D849AA" w:rsidRDefault="00EE6D95">
      <w:pPr>
        <w:pStyle w:val="Normal6"/>
      </w:pPr>
      <w:r>
        <w:t>Razvijen sustav zračnog prometa će se postići podizanjem razine sigurnosti i zaštite civilnog zračnog prometa, prometne infrastrukture i prometne usluge i to prvenstveno kroz operacionalizaciju mjera Nacionalnog programa sigurnosti u zračnom prometu i operacionalizacija mjera Nacionalnog programa zaštite civilnog zračnog prometa. čije je ostvarenje predviđeno kroz pružanje potpore svim aerodromima pri otklanjanju nalaza „korektivnih mjera“ koje Hrvatska agencija za civilno zrakoplovstvo (HACZ) utvrdi aerodromima, a koji se odnose na stanje sigurnosti na aerodromima sukladno standardima sigurnosti propisanih ICAO Dodatkom 14 kao i ispunjenje ostalih zahtjeva za povećanim sigurnosnim mjerama na svim aerodromima u zemlji.</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Broj zatvorenih nalaza „korektivnih mjera“</w:t>
            </w:r>
          </w:p>
        </w:tc>
        <w:tc>
          <w:tcPr>
            <w:tcW w:w="1114" w:type="dxa"/>
          </w:tcPr>
          <w:p w:rsidR="00D849AA" w:rsidRDefault="00EE6D95">
            <w:r>
              <w:t>broj</w:t>
            </w:r>
          </w:p>
        </w:tc>
        <w:tc>
          <w:tcPr>
            <w:tcW w:w="1114" w:type="dxa"/>
          </w:tcPr>
          <w:p w:rsidR="00D849AA" w:rsidRDefault="00EE6D95">
            <w:r>
              <w:t>10</w:t>
            </w:r>
          </w:p>
        </w:tc>
        <w:tc>
          <w:tcPr>
            <w:tcW w:w="1486" w:type="dxa"/>
          </w:tcPr>
          <w:p w:rsidR="00D849AA" w:rsidRDefault="00EE6D95">
            <w:r>
              <w:t>11</w:t>
            </w:r>
          </w:p>
        </w:tc>
        <w:tc>
          <w:tcPr>
            <w:tcW w:w="1486" w:type="dxa"/>
          </w:tcPr>
          <w:p w:rsidR="00D849AA" w:rsidRDefault="00EE6D95">
            <w:r>
              <w:t>11</w:t>
            </w:r>
          </w:p>
        </w:tc>
        <w:tc>
          <w:tcPr>
            <w:tcW w:w="1486" w:type="dxa"/>
          </w:tcPr>
          <w:p w:rsidR="00D849AA" w:rsidRDefault="00EE6D95">
            <w:r>
              <w:t>11</w:t>
            </w:r>
          </w:p>
        </w:tc>
      </w:tr>
    </w:tbl>
    <w:p w:rsidR="00D849AA" w:rsidRDefault="00EE6D95">
      <w:pPr>
        <w:pStyle w:val="Naslov5"/>
      </w:pPr>
      <w:r>
        <w:lastRenderedPageBreak/>
        <w:t>Procjena i ishodište potrebnih sredstava za značajnije aktivnosti/projekte</w:t>
      </w:r>
    </w:p>
    <w:p w:rsidR="00D849AA" w:rsidRDefault="00EE6D95">
      <w:pPr>
        <w:pStyle w:val="Naslov6"/>
      </w:pPr>
      <w:r>
        <w:t>A570193 RAZVOJ INFRASTRUKTURE ZRAČNOG PROMETA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A570193</w:t>
            </w:r>
          </w:p>
        </w:tc>
        <w:tc>
          <w:tcPr>
            <w:tcW w:w="1486" w:type="dxa"/>
          </w:tcPr>
          <w:p w:rsidR="00D849AA" w:rsidRDefault="00EE6D95">
            <w:r>
              <w:t>6.500.000</w:t>
            </w:r>
          </w:p>
        </w:tc>
        <w:tc>
          <w:tcPr>
            <w:tcW w:w="1486" w:type="dxa"/>
          </w:tcPr>
          <w:p w:rsidR="00D849AA" w:rsidRDefault="00EE6D95">
            <w:r>
              <w:t>6.500.000</w:t>
            </w:r>
          </w:p>
        </w:tc>
        <w:tc>
          <w:tcPr>
            <w:tcW w:w="1486" w:type="dxa"/>
          </w:tcPr>
          <w:p w:rsidR="00D849AA" w:rsidRDefault="00EE6D95">
            <w:r>
              <w:t>6.500.000</w:t>
            </w:r>
          </w:p>
        </w:tc>
        <w:tc>
          <w:tcPr>
            <w:tcW w:w="1486" w:type="dxa"/>
          </w:tcPr>
          <w:p w:rsidR="00D849AA" w:rsidRDefault="00EE6D95">
            <w:r>
              <w:t>6.500.000</w:t>
            </w:r>
          </w:p>
        </w:tc>
        <w:tc>
          <w:tcPr>
            <w:tcW w:w="1486" w:type="dxa"/>
          </w:tcPr>
          <w:p w:rsidR="00D849AA" w:rsidRDefault="00EE6D95">
            <w:r>
              <w:t>100,0</w:t>
            </w:r>
          </w:p>
        </w:tc>
      </w:tr>
    </w:tbl>
    <w:p w:rsidR="00D849AA" w:rsidRDefault="00D849AA">
      <w:pPr>
        <w:jc w:val="left"/>
      </w:pPr>
    </w:p>
    <w:p w:rsidR="00D849AA" w:rsidRDefault="00EE6D95">
      <w:pPr>
        <w:pStyle w:val="Normal6"/>
      </w:pPr>
      <w:r>
        <w:t xml:space="preserve">Kroz ovu aktivnost utjecat će se na poboljšanje zračne infrastrukture a kako bi se zadovoljile potrebe sigurnog i efikasnog zračnog prometa. U cilju poboljšanja aerodromske infrastrukture podržavat će se projekti (zahtjevi) aerodroma koji se odnose na izradu projektne dokumentacije, na proširenje uzletno-sletnih staza i stajanki, dogradnja putničkih zgrada, te izvođenje radova na ostaloj pratećoj infrastrukturi za prihvat putnika i zrakoplova na aerodromima.  Korisnici sredstava su svi aerodromi od državnog i lokalnog značaja.   </w:t>
      </w:r>
    </w:p>
    <w:p w:rsidR="00D849AA" w:rsidRDefault="00EE6D95">
      <w:pPr>
        <w:pStyle w:val="Normal6"/>
      </w:pPr>
      <w:r>
        <w:t xml:space="preserve">Sredstvima sa ove aktivnosti planirano je podržavanje infrastrukturnih projekata  svih aerodroma (velikih i malih) a u skladu sa  Strateškim planom Ministarstva za razdoblje 2014.-2016. godine </w:t>
      </w:r>
    </w:p>
    <w:p w:rsidR="00D849AA" w:rsidRDefault="00EE6D95">
      <w:pPr>
        <w:pStyle w:val="Normal6"/>
      </w:pPr>
      <w:r>
        <w:t>Na ovoj aktivnosti nije bilo nikakvih odstupanja u ukupno planiranom iznosu u odnosu na usvojene projekcije za 2014. i 2015. godinu</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 xml:space="preserve">Broj podržanih projekata (zahtjeva) </w:t>
            </w:r>
          </w:p>
          <w:p w:rsidR="00D849AA" w:rsidRDefault="00EE6D95">
            <w:pPr>
              <w:pStyle w:val="CellColumn"/>
            </w:pPr>
            <w:r>
              <w:t>(godišnje)</w:t>
            </w:r>
          </w:p>
        </w:tc>
        <w:tc>
          <w:tcPr>
            <w:tcW w:w="1114" w:type="dxa"/>
          </w:tcPr>
          <w:p w:rsidR="00D849AA" w:rsidRDefault="00EE6D95">
            <w:r>
              <w:t>broj</w:t>
            </w:r>
          </w:p>
        </w:tc>
        <w:tc>
          <w:tcPr>
            <w:tcW w:w="1114" w:type="dxa"/>
          </w:tcPr>
          <w:p w:rsidR="00D849AA" w:rsidRDefault="00EE6D95">
            <w:r>
              <w:t>6</w:t>
            </w:r>
          </w:p>
        </w:tc>
        <w:tc>
          <w:tcPr>
            <w:tcW w:w="1486" w:type="dxa"/>
          </w:tcPr>
          <w:p w:rsidR="00D849AA" w:rsidRDefault="00EE6D95">
            <w:r>
              <w:t>7</w:t>
            </w:r>
          </w:p>
        </w:tc>
        <w:tc>
          <w:tcPr>
            <w:tcW w:w="1486" w:type="dxa"/>
          </w:tcPr>
          <w:p w:rsidR="00D849AA" w:rsidRDefault="00EE6D95">
            <w:r>
              <w:t>7</w:t>
            </w:r>
          </w:p>
        </w:tc>
        <w:tc>
          <w:tcPr>
            <w:tcW w:w="1486" w:type="dxa"/>
          </w:tcPr>
          <w:p w:rsidR="00D849AA" w:rsidRDefault="00EE6D95">
            <w:r>
              <w:t>7</w:t>
            </w:r>
          </w:p>
        </w:tc>
      </w:tr>
    </w:tbl>
    <w:p w:rsidR="00D849AA" w:rsidRDefault="00D849AA">
      <w:pPr>
        <w:jc w:val="left"/>
      </w:pPr>
    </w:p>
    <w:p w:rsidR="00D849AA" w:rsidRDefault="00EE6D95">
      <w:pPr>
        <w:pStyle w:val="Naslov6"/>
      </w:pPr>
      <w:r>
        <w:t>A570333 OSIGURANJE SIGURNOSNO PROMETNIH STANDARDA U ZRAČNIM LUKAMA RH</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A570333</w:t>
            </w:r>
          </w:p>
        </w:tc>
        <w:tc>
          <w:tcPr>
            <w:tcW w:w="1486" w:type="dxa"/>
          </w:tcPr>
          <w:p w:rsidR="00D849AA" w:rsidRDefault="00EE6D95">
            <w:r>
              <w:t>17.500.000</w:t>
            </w:r>
          </w:p>
        </w:tc>
        <w:tc>
          <w:tcPr>
            <w:tcW w:w="1486" w:type="dxa"/>
          </w:tcPr>
          <w:p w:rsidR="00D849AA" w:rsidRDefault="00EE6D95">
            <w:r>
              <w:t>17.400.000</w:t>
            </w:r>
          </w:p>
        </w:tc>
        <w:tc>
          <w:tcPr>
            <w:tcW w:w="1486" w:type="dxa"/>
          </w:tcPr>
          <w:p w:rsidR="00D849AA" w:rsidRDefault="00EE6D95">
            <w:r>
              <w:t>17.400.000</w:t>
            </w:r>
          </w:p>
        </w:tc>
        <w:tc>
          <w:tcPr>
            <w:tcW w:w="1486" w:type="dxa"/>
          </w:tcPr>
          <w:p w:rsidR="00D849AA" w:rsidRDefault="00EE6D95">
            <w:r>
              <w:t>17.400.000</w:t>
            </w:r>
          </w:p>
        </w:tc>
        <w:tc>
          <w:tcPr>
            <w:tcW w:w="1486" w:type="dxa"/>
          </w:tcPr>
          <w:p w:rsidR="00D849AA" w:rsidRDefault="00EE6D95">
            <w:r>
              <w:t>99,4</w:t>
            </w:r>
          </w:p>
        </w:tc>
      </w:tr>
    </w:tbl>
    <w:p w:rsidR="00D849AA" w:rsidRDefault="00D849AA">
      <w:pPr>
        <w:jc w:val="left"/>
      </w:pPr>
    </w:p>
    <w:p w:rsidR="00D849AA" w:rsidRDefault="00EE6D95">
      <w:pPr>
        <w:pStyle w:val="Normal6"/>
      </w:pPr>
      <w:r>
        <w:t xml:space="preserve">Sukladno obvezama koje proizlaze iz članstva Republike Hrvatske u međunarodnim organizacijama za civilni zračni promet (ICAO, ECAC, EUROCONTROL i dr.) Republika Hrvatska je dužna ispuniti zahtjeve za povećanim zaštitnim i sigurnosnim mjerama na svim aerodromima u zemlji. Mjere obuhvaćaju osiguranje potrebne zaštitne i sigurnosne opreme, aerodromskih vatrogasnih vozila, izvođenje radova koji su od važnosti za siguran prihvat zrakoplova i putnika na aerodromima. Sredstvima sa ove aktivnosti (račun 3861), podržavaju se mjere (zahtjeve) aerodroma a koje se odnose na nabavu RTG-uređaja, metal detektorskih vrata, video nadzora, opreme za spasilačko-vatrogasnu službu i drugo, kao i izvođenje radova koji su od važnosti za siguran prihvat zrakoplova i putnika na aerodromima.   </w:t>
      </w:r>
    </w:p>
    <w:p w:rsidR="00D849AA" w:rsidRDefault="00EE6D95">
      <w:pPr>
        <w:pStyle w:val="Normal6"/>
      </w:pPr>
      <w:r>
        <w:lastRenderedPageBreak/>
        <w:t xml:space="preserve">Na istoj aktivnosti, račun 3512,  planirana su i sredstva koja su namijenjena za održavanje otvorenosti Zračne luke Rijeka i  Zračne luke Osijek a riječ je o subvencijama koje predstavljaju naknadu troškova za obavljanje usluge od općeg gospodarskog interesa (SGEI). </w:t>
      </w:r>
    </w:p>
    <w:p w:rsidR="00D849AA" w:rsidRDefault="00EE6D95">
      <w:pPr>
        <w:pStyle w:val="Normal6"/>
      </w:pPr>
      <w:r>
        <w:t xml:space="preserve">Iste subvencije su odobrene od strane Agencije za zaštitu tržišnog natjecanja.  </w:t>
      </w:r>
    </w:p>
    <w:p w:rsidR="00D849AA" w:rsidRDefault="00EE6D95">
      <w:pPr>
        <w:pStyle w:val="Normal6"/>
      </w:pPr>
      <w:r>
        <w:t>Na ovoj aktivnosti nije bilo nikakvih odstupanja u ukupno planiranom iznosu u odnosu na usvojene projekcije za 2014. i 2015. godinu.</w:t>
      </w:r>
    </w:p>
    <w:p w:rsidR="00F60D82" w:rsidRDefault="00F60D82">
      <w:pPr>
        <w:pStyle w:val="Normal6"/>
      </w:pP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 xml:space="preserve">Broj podržanih mjera (zahtjeva) aerodroma u svrhu sigurnosti i zaštite aerodroma u RH </w:t>
            </w:r>
          </w:p>
          <w:p w:rsidR="00D849AA" w:rsidRDefault="00EE6D95">
            <w:pPr>
              <w:pStyle w:val="CellColumn"/>
            </w:pPr>
            <w:r>
              <w:t>(godišnje)</w:t>
            </w:r>
          </w:p>
        </w:tc>
        <w:tc>
          <w:tcPr>
            <w:tcW w:w="1114" w:type="dxa"/>
          </w:tcPr>
          <w:p w:rsidR="00D849AA" w:rsidRDefault="00EE6D95">
            <w:r>
              <w:t>broj</w:t>
            </w:r>
          </w:p>
        </w:tc>
        <w:tc>
          <w:tcPr>
            <w:tcW w:w="1114" w:type="dxa"/>
          </w:tcPr>
          <w:p w:rsidR="00D849AA" w:rsidRDefault="00EE6D95">
            <w:r>
              <w:t>12</w:t>
            </w:r>
          </w:p>
        </w:tc>
        <w:tc>
          <w:tcPr>
            <w:tcW w:w="1486" w:type="dxa"/>
          </w:tcPr>
          <w:p w:rsidR="00D849AA" w:rsidRDefault="00EE6D95">
            <w:r>
              <w:t>13</w:t>
            </w:r>
          </w:p>
        </w:tc>
        <w:tc>
          <w:tcPr>
            <w:tcW w:w="1486" w:type="dxa"/>
          </w:tcPr>
          <w:p w:rsidR="00D849AA" w:rsidRDefault="00EE6D95">
            <w:r>
              <w:t>13</w:t>
            </w:r>
          </w:p>
        </w:tc>
        <w:tc>
          <w:tcPr>
            <w:tcW w:w="1486" w:type="dxa"/>
          </w:tcPr>
          <w:p w:rsidR="00D849AA" w:rsidRDefault="00EE6D95">
            <w:r>
              <w:t>13</w:t>
            </w:r>
          </w:p>
        </w:tc>
      </w:tr>
    </w:tbl>
    <w:p w:rsidR="00D849AA" w:rsidRDefault="00D849AA">
      <w:pPr>
        <w:jc w:val="left"/>
      </w:pPr>
    </w:p>
    <w:p w:rsidR="00D849AA" w:rsidRDefault="00EE6D95">
      <w:pPr>
        <w:pStyle w:val="Naslov6"/>
      </w:pPr>
      <w:r>
        <w:t>A587050 OČUVANJE PROMETNE POVEZANOSTI REGIJA (DOMAĆI LINIJSKI ZRAČNI PRIJEVOZ)</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A587050</w:t>
            </w:r>
          </w:p>
        </w:tc>
        <w:tc>
          <w:tcPr>
            <w:tcW w:w="1486" w:type="dxa"/>
          </w:tcPr>
          <w:p w:rsidR="00D849AA" w:rsidRDefault="00EE6D95">
            <w:r>
              <w:t>205.000.000</w:t>
            </w:r>
          </w:p>
        </w:tc>
        <w:tc>
          <w:tcPr>
            <w:tcW w:w="1486" w:type="dxa"/>
          </w:tcPr>
          <w:p w:rsidR="00D849AA" w:rsidRDefault="00EE6D95">
            <w:r>
              <w:t>100.000.000</w:t>
            </w:r>
          </w:p>
        </w:tc>
        <w:tc>
          <w:tcPr>
            <w:tcW w:w="1486" w:type="dxa"/>
          </w:tcPr>
          <w:p w:rsidR="00D849AA" w:rsidRDefault="00EE6D95">
            <w:r>
              <w:t>100.000.000</w:t>
            </w:r>
          </w:p>
        </w:tc>
        <w:tc>
          <w:tcPr>
            <w:tcW w:w="1486" w:type="dxa"/>
          </w:tcPr>
          <w:p w:rsidR="00D849AA" w:rsidRDefault="00EE6D95">
            <w:r>
              <w:t>60.000.000</w:t>
            </w:r>
          </w:p>
        </w:tc>
        <w:tc>
          <w:tcPr>
            <w:tcW w:w="1486" w:type="dxa"/>
          </w:tcPr>
          <w:p w:rsidR="00D849AA" w:rsidRDefault="00EE6D95">
            <w:r>
              <w:t>48,8</w:t>
            </w:r>
          </w:p>
        </w:tc>
      </w:tr>
    </w:tbl>
    <w:p w:rsidR="00D849AA" w:rsidRDefault="00D849AA">
      <w:pPr>
        <w:jc w:val="left"/>
      </w:pPr>
    </w:p>
    <w:p w:rsidR="00D849AA" w:rsidRDefault="00EE6D95">
      <w:pPr>
        <w:pStyle w:val="Normal6"/>
      </w:pPr>
      <w:r>
        <w:t xml:space="preserve">Očuvanje zračne prometne povezanosti, ima vrlo važnu ulogu za sustav zračnog prometa, a provođenje iste se predviđa kroz poticanje očuvanja postojećih domaćih zračnih linija. </w:t>
      </w:r>
    </w:p>
    <w:p w:rsidR="00D849AA" w:rsidRDefault="00EE6D95">
      <w:pPr>
        <w:pStyle w:val="Normal6"/>
      </w:pPr>
      <w:r>
        <w:t xml:space="preserve">Korisnici planiranih sredstava na ovoj aktivnosti su zračni prijevoznici kojima je dodijeljeno obavljanje prijevoza na domaćim redovitim zračnim linijama, kao javne usluge (SGEI), slijedom provedenog postupka javnog natječaja. Budući se radi o preuzimanju obveza po ugovorima koji zahtijevaju plaćanje u sljedećim godinama (od 2014. do 2016. godine), isti ugovori su, slijedom odredaba Zakona o proračunu i Zakona o izvršavanju Državnog proračuna za 2013. godinu, dostavljeni Vladi Republike Hrvatske na propisanu suglasnost.  </w:t>
      </w:r>
    </w:p>
    <w:p w:rsidR="00D849AA" w:rsidRDefault="00EE6D95">
      <w:pPr>
        <w:pStyle w:val="Normal6"/>
      </w:pPr>
      <w:r>
        <w:t xml:space="preserve">Vlada Republike Hrvatske je na sjednici održanoj 11. srpnja 2013. godine donijela Odluku o davanju suglasnosti za sklapanje Ugovora o obvezi obavljanja domaćeg linijskog zračnog prijevoza, između Ministarstva pomorstva, prometa i infrastrukture i Croatia Airlinesa d.d. Klasa: 022-03/13-04/319, Urbroj: 50301-05/20-13-2 i Odluku o davanju suglasnosti za sklapanje Ugovora o obvezi obavljanja domaćeg linijskog zračnog prijevoza, između Ministarstva pomorstva, prometa i infrastrukture i društva Trade Air d.o.o. Klasa: 022-03/13-04/319, Urbroj: 50301-05/20-13-4.  </w:t>
      </w:r>
    </w:p>
    <w:p w:rsidR="00D849AA" w:rsidRDefault="00EE6D95">
      <w:pPr>
        <w:pStyle w:val="Normal6"/>
      </w:pPr>
      <w:r>
        <w:t>Pokazatelj kojim će se pratiti učinak ove potpore je: Ostvareni fizički promet, odnosno broj podržanih letova na domaćim redovitim zračnim linijama i to na godišnjoj razini (6.857 letova/godišnje).</w:t>
      </w:r>
    </w:p>
    <w:p w:rsidR="00D849AA" w:rsidRDefault="00EE6D95">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Broj podržanih letova na domaćim zračnim linijama</w:t>
            </w:r>
          </w:p>
        </w:tc>
        <w:tc>
          <w:tcPr>
            <w:tcW w:w="1114" w:type="dxa"/>
          </w:tcPr>
          <w:p w:rsidR="00D849AA" w:rsidRDefault="00EE6D95">
            <w:r>
              <w:t>broj</w:t>
            </w:r>
          </w:p>
        </w:tc>
        <w:tc>
          <w:tcPr>
            <w:tcW w:w="1114" w:type="dxa"/>
          </w:tcPr>
          <w:p w:rsidR="00D849AA" w:rsidRDefault="00EE6D95">
            <w:r>
              <w:t>6.857</w:t>
            </w:r>
          </w:p>
        </w:tc>
        <w:tc>
          <w:tcPr>
            <w:tcW w:w="1486" w:type="dxa"/>
          </w:tcPr>
          <w:p w:rsidR="00D849AA" w:rsidRDefault="00EE6D95">
            <w:r>
              <w:t>6.857</w:t>
            </w:r>
          </w:p>
        </w:tc>
        <w:tc>
          <w:tcPr>
            <w:tcW w:w="1486" w:type="dxa"/>
          </w:tcPr>
          <w:p w:rsidR="00D849AA" w:rsidRDefault="00EE6D95">
            <w:r>
              <w:t>6.857</w:t>
            </w:r>
          </w:p>
        </w:tc>
        <w:tc>
          <w:tcPr>
            <w:tcW w:w="1486" w:type="dxa"/>
          </w:tcPr>
          <w:p w:rsidR="00D849AA" w:rsidRDefault="00EE6D95">
            <w:r>
              <w:t>6.857</w:t>
            </w:r>
          </w:p>
        </w:tc>
      </w:tr>
    </w:tbl>
    <w:p w:rsidR="00D849AA" w:rsidRDefault="00D849AA">
      <w:pPr>
        <w:jc w:val="left"/>
      </w:pPr>
    </w:p>
    <w:p w:rsidR="00D61DA2" w:rsidRDefault="00D61DA2" w:rsidP="00D61DA2">
      <w:pPr>
        <w:pStyle w:val="Naslov4"/>
      </w:pPr>
      <w:r>
        <w:t>OBRAZLOŽENJE PROGRAMA</w:t>
      </w:r>
    </w:p>
    <w:p w:rsidR="00D849AA" w:rsidRDefault="00EE6D95">
      <w:pPr>
        <w:pStyle w:val="Naslov5"/>
      </w:pPr>
      <w:r>
        <w:t>3114 RAZVOJ SUSTAVA ŽELJEZNIČKOG PROMETA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3114</w:t>
            </w:r>
          </w:p>
        </w:tc>
        <w:tc>
          <w:tcPr>
            <w:tcW w:w="1486" w:type="dxa"/>
          </w:tcPr>
          <w:p w:rsidR="00D849AA" w:rsidRDefault="00EE6D95">
            <w:r>
              <w:t>403.480.000</w:t>
            </w:r>
          </w:p>
        </w:tc>
        <w:tc>
          <w:tcPr>
            <w:tcW w:w="1486" w:type="dxa"/>
          </w:tcPr>
          <w:p w:rsidR="00D849AA" w:rsidRDefault="00EE6D95">
            <w:r>
              <w:t>699.043.521</w:t>
            </w:r>
          </w:p>
        </w:tc>
        <w:tc>
          <w:tcPr>
            <w:tcW w:w="1486" w:type="dxa"/>
          </w:tcPr>
          <w:p w:rsidR="00D849AA" w:rsidRDefault="00EE6D95">
            <w:r>
              <w:t>627.330.000</w:t>
            </w:r>
          </w:p>
        </w:tc>
        <w:tc>
          <w:tcPr>
            <w:tcW w:w="1486" w:type="dxa"/>
          </w:tcPr>
          <w:p w:rsidR="00D849AA" w:rsidRDefault="00EE6D95">
            <w:r>
              <w:t>620.330.000</w:t>
            </w:r>
          </w:p>
        </w:tc>
        <w:tc>
          <w:tcPr>
            <w:tcW w:w="1486" w:type="dxa"/>
          </w:tcPr>
          <w:p w:rsidR="00D849AA" w:rsidRDefault="00EE6D95">
            <w:r>
              <w:t>173,2</w:t>
            </w:r>
          </w:p>
        </w:tc>
      </w:tr>
    </w:tbl>
    <w:p w:rsidR="00D849AA" w:rsidRDefault="00D849AA">
      <w:pPr>
        <w:jc w:val="left"/>
      </w:pPr>
    </w:p>
    <w:p w:rsidR="00D849AA" w:rsidRDefault="00EE6D95">
      <w:pPr>
        <w:pStyle w:val="Naslov6"/>
      </w:pPr>
      <w:r>
        <w:t>Opis programa</w:t>
      </w:r>
    </w:p>
    <w:p w:rsidR="00D849AA" w:rsidRDefault="00EE6D95">
      <w:pPr>
        <w:pStyle w:val="Normal5"/>
      </w:pPr>
      <w:r>
        <w:t xml:space="preserve">Sadašnju stanje željezničkog transportnog tržišta karakterizira prisutnost dva željeznička operatera, HŽ Putnički prijevoz d.o.o. i HŽ Cargo d.o.o., koji je u procesu privatizacije. HŽ Putnički prijevoz d.o.o., sukladno Zakonu o željeznici, obavlja aktivnost od općeg gospodarskog interesa. Obzirom na navedeno, postoji obaveza Državnog proračuna da osigurava potrebna financijska sredstva za opisanu namjenu. Novi model financiranja, koji je djelomično već u primjeni, obuhvaća direktno ugovaranje i postavljanje financijskog okvira kroz ugovor o subvencioniranju ili ugovor o obvezi pružanja javne usluge. Ministarstvo i željeznički putnički operater HŽ-Putnički prijevoz d.o.o. na razini godine sklapaju ugovor o subvencioniranju željezničkog putničkog prometa. U prvom polugodištu 2013. godine ostvareno je 486 mil. putničkih kilometara te je dinamika ostvarenja PKM-a manja od planirane i uzrokovana je smanjenjem broja putnika, prvenstveno zbog velikih poremećaja prometa vlakova na cijeloj mreži HŽ-a kao i planiranih i kontinuiranih zatvora pruga koji su počeli početkom godine i nastavljaju se i dalje. Do pada broja putnika u međunarodnom prijevozu došlo je i zbog ukidanja međunarodnih vlakova u VR 2012/13.  U ovoj vrsti prijevoza naglašene su komparativne prednosti željeznice time što omogućava brz, pouzdan i ekološki prihvatljiv oblik prijevoza. Postojeći vozni park HŽ-Putničkog prijevoza d.o.o. obilježava dotrajalost i prosječna starost vagona od 29 godina. Na raspolaganju je ¾ od ukupnog broja raspoloživih vagona. Zbog potreba izvođenja remonata vagona, kao i zbog njihove dotrajalosti prisutan je nedostatak vagona određenih karakteristika kako bi se postojeći vozni red mogao redovito odvijati i biti na dovoljnoj razini kvalitete. Zbog toga je iznimno potrebno pokrenuti novi ciklus ulaganja u prijevozne kapacitete. Kroz program restrukturiranja će se nabaviti novi vlakovi sa jeftinijim i ekološki prihvatljivijim pogonom. </w:t>
      </w:r>
    </w:p>
    <w:p w:rsidR="00D849AA" w:rsidRDefault="00EE6D95">
      <w:pPr>
        <w:pStyle w:val="Normal5"/>
      </w:pPr>
      <w:r>
        <w:t xml:space="preserve">U sljedećem trogodišnjem razdoblju prioritetne aktivnosti u području željezničkog putničkog prometa obuhvaćaju unapređenje poslovanja na tržišnim načelima i stvaranje dugoročno održivih konkurentskih prednosti, informatizacija prodaje prijevoznih karata do 2014.g, te uvođenje motornih vlakova u gradskom i regionalnom prijevozu do 2016.g. Sukladno napretku u  procesu nakon primanja u članstvo, regulativa na željezničkom transportnom tržištu se harmonizira sa zakonodavstvom Europske unije te ujedno priprema za stvarnu liberalizaciju. Nastavljaju se provoditi aktivnosti preuzimanja pravne stečevine u domaće </w:t>
      </w:r>
      <w:r>
        <w:lastRenderedPageBreak/>
        <w:t xml:space="preserve">zakonodavstvo, izrade strateških dokumenata i planova razvitka sa glavnom namjerom prilagodbe postojećih željezničkih kompanija budućim okolnostima liberaliziranog tržišta. Reforme sektora, koje predstoje, podrazumijevaju i provedbu procesa restrukturiranja, kojim bi se poslovanje postojeće željezničke kompanije učinilo efikasnim i održivim s ciljem smanjenja potrebe za javnim financiranjem. </w:t>
      </w:r>
    </w:p>
    <w:p w:rsidR="00D849AA" w:rsidRDefault="00EE6D95">
      <w:pPr>
        <w:pStyle w:val="Normal5"/>
      </w:pPr>
      <w:r>
        <w:t>Sukladno napretku u procesu članstva u  EU i preuzimanja odredbi pravne stečevine EU u domaće zakonodavstvo, budući PSO ugovori (ugovori o pružanju usluga javnog prijevoza) biti će detaljnije usklađeni s europskom praksom.</w:t>
      </w:r>
    </w:p>
    <w:p w:rsidR="00D849AA" w:rsidRDefault="00EE6D95">
      <w:pPr>
        <w:pStyle w:val="Naslov6"/>
      </w:pPr>
      <w:r>
        <w:t>Zakonske i druge pravne osnove</w:t>
      </w:r>
    </w:p>
    <w:p w:rsidR="00D849AA" w:rsidRDefault="00EE6D95">
      <w:pPr>
        <w:pStyle w:val="Normal5"/>
      </w:pPr>
      <w:r>
        <w:t xml:space="preserve">Zakon o željeznici (NN 94/13), </w:t>
      </w:r>
    </w:p>
    <w:p w:rsidR="00D849AA" w:rsidRDefault="00EE6D95">
      <w:pPr>
        <w:pStyle w:val="Normal5"/>
      </w:pPr>
      <w:r>
        <w:t xml:space="preserve">Zakon o podjeli trgovačkog društva HŽ Hrvatske željeznice d.o.o. (NN 153/05, 057/2012),  </w:t>
      </w:r>
    </w:p>
    <w:p w:rsidR="00D849AA" w:rsidRDefault="00EE6D95">
      <w:pPr>
        <w:pStyle w:val="Normal5"/>
      </w:pPr>
      <w:r>
        <w:t xml:space="preserve">Zakon o sigurnosti i interoperabilnosti željezničkog sustava (NN 82/13), </w:t>
      </w:r>
    </w:p>
    <w:p w:rsidR="00D849AA" w:rsidRDefault="00EE6D95">
      <w:pPr>
        <w:pStyle w:val="Normal5"/>
      </w:pPr>
      <w:r>
        <w:t xml:space="preserve">Zakon o regulaciji tržišta željezničkih usluga (NN 79707,75/09,61/11), </w:t>
      </w:r>
    </w:p>
    <w:p w:rsidR="00D849AA" w:rsidRDefault="00EE6D95">
      <w:pPr>
        <w:pStyle w:val="Normal5"/>
      </w:pPr>
      <w:r>
        <w:t>Zakon o žičarama za prijevoz osoba ( NN 79/07, 75/09 i 61/11).</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Cilj 1. Poticanje željezničkog prijevoza</w:t>
      </w:r>
    </w:p>
    <w:p w:rsidR="00D849AA" w:rsidRDefault="00EE6D95">
      <w:pPr>
        <w:pStyle w:val="Normal6"/>
      </w:pPr>
      <w:r>
        <w:t>Subvencioniranjem putničkog prijevoza i ulaganjima u modernizaciju voznih sredstava povećava se razina kvalitete prijevoza putnika.</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Povećanje broja ostvarenih putničkih kilometara u željezničkom prometu</w:t>
            </w:r>
          </w:p>
        </w:tc>
        <w:tc>
          <w:tcPr>
            <w:tcW w:w="1114" w:type="dxa"/>
          </w:tcPr>
          <w:p w:rsidR="00D849AA" w:rsidRDefault="00EE6D95">
            <w:r>
              <w:t>pkm</w:t>
            </w:r>
          </w:p>
        </w:tc>
        <w:tc>
          <w:tcPr>
            <w:tcW w:w="1114" w:type="dxa"/>
          </w:tcPr>
          <w:p w:rsidR="00D849AA" w:rsidRDefault="00EE6D95">
            <w:r>
              <w:t>16.700</w:t>
            </w:r>
          </w:p>
        </w:tc>
        <w:tc>
          <w:tcPr>
            <w:tcW w:w="1486" w:type="dxa"/>
          </w:tcPr>
          <w:p w:rsidR="00D849AA" w:rsidRDefault="00EE6D95">
            <w:r>
              <w:t>17.200</w:t>
            </w:r>
          </w:p>
        </w:tc>
        <w:tc>
          <w:tcPr>
            <w:tcW w:w="1486" w:type="dxa"/>
          </w:tcPr>
          <w:p w:rsidR="00D849AA" w:rsidRDefault="00EE6D95">
            <w:r>
              <w:t>17.500</w:t>
            </w:r>
          </w:p>
        </w:tc>
        <w:tc>
          <w:tcPr>
            <w:tcW w:w="1486" w:type="dxa"/>
          </w:tcPr>
          <w:p w:rsidR="00D849AA" w:rsidRDefault="00EE6D95">
            <w:r>
              <w:t>17.800</w:t>
            </w:r>
          </w:p>
        </w:tc>
      </w:tr>
    </w:tbl>
    <w:p w:rsidR="00D849AA" w:rsidRDefault="00D849AA">
      <w:pPr>
        <w:jc w:val="left"/>
      </w:pPr>
    </w:p>
    <w:p w:rsidR="00D849AA" w:rsidRDefault="00EE6D95">
      <w:pPr>
        <w:pStyle w:val="Naslov5"/>
      </w:pPr>
      <w:r>
        <w:t>Procjena i ishodište potrebnih sredstava za značajnije aktivnosti/projekte</w:t>
      </w:r>
    </w:p>
    <w:p w:rsidR="00D849AA" w:rsidRDefault="00EE6D95">
      <w:pPr>
        <w:pStyle w:val="Naslov6"/>
      </w:pPr>
      <w:r>
        <w:t>A761011 POTICANJE ŽELJEZNIČKOG PUTNIČKOG PRIJEVOZA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A761011</w:t>
            </w:r>
          </w:p>
        </w:tc>
        <w:tc>
          <w:tcPr>
            <w:tcW w:w="1486" w:type="dxa"/>
          </w:tcPr>
          <w:p w:rsidR="00D849AA" w:rsidRDefault="00EE6D95">
            <w:r>
              <w:t>355.000.000</w:t>
            </w:r>
          </w:p>
        </w:tc>
        <w:tc>
          <w:tcPr>
            <w:tcW w:w="1486" w:type="dxa"/>
          </w:tcPr>
          <w:p w:rsidR="00D849AA" w:rsidRDefault="00EE6D95">
            <w:r>
              <w:t>636.000.000</w:t>
            </w:r>
          </w:p>
        </w:tc>
        <w:tc>
          <w:tcPr>
            <w:tcW w:w="1486" w:type="dxa"/>
          </w:tcPr>
          <w:p w:rsidR="00D849AA" w:rsidRDefault="00EE6D95">
            <w:r>
              <w:t>610.000.000</w:t>
            </w:r>
          </w:p>
        </w:tc>
        <w:tc>
          <w:tcPr>
            <w:tcW w:w="1486" w:type="dxa"/>
          </w:tcPr>
          <w:p w:rsidR="00D849AA" w:rsidRDefault="00EE6D95">
            <w:r>
              <w:t>600.000.000</w:t>
            </w:r>
          </w:p>
        </w:tc>
        <w:tc>
          <w:tcPr>
            <w:tcW w:w="1486" w:type="dxa"/>
          </w:tcPr>
          <w:p w:rsidR="00D849AA" w:rsidRDefault="00EE6D95">
            <w:r>
              <w:t>179,2</w:t>
            </w:r>
          </w:p>
        </w:tc>
      </w:tr>
    </w:tbl>
    <w:p w:rsidR="00D849AA" w:rsidRDefault="00D849AA">
      <w:pPr>
        <w:jc w:val="left"/>
      </w:pPr>
    </w:p>
    <w:p w:rsidR="00D849AA" w:rsidRDefault="00EE6D95">
      <w:pPr>
        <w:pStyle w:val="Normal6"/>
      </w:pPr>
      <w:r>
        <w:t xml:space="preserve">Sredstva će biti  doznačena društvu HŽ Putnički prijevoz d.o.o kao subvencija za naknadu razlike prihoda i stvarnih troškova putničkog prijevoza. Predmet subvencioniranja je unutarnji putnički prijevoz na regionalnim, lokalnim i gradsko-prigradskim linijama.  </w:t>
      </w:r>
    </w:p>
    <w:p w:rsidR="00D849AA" w:rsidRDefault="00EE6D95">
      <w:pPr>
        <w:pStyle w:val="Normal6"/>
      </w:pPr>
      <w:r>
        <w:t xml:space="preserve">Doznačena proračunska sredstva će se koristiti za plaćanje dobavljača u tekućem poslovanju. Za usluge čišćenja i njege vagona i  za usluge tekućeg održavanja, </w:t>
      </w:r>
      <w:r>
        <w:lastRenderedPageBreak/>
        <w:t>izvanrednih popravaka i kontrolnih pregleda putničkih vagona. U 2014.godini sukladno programu restrukturiranja biti će doznačena sredstva u iznosu od 636 milijuna kuna. Ta sredstva će se isplatiti temeljem PSO ugovora kao razlika između prihoda i stvarnih troškova na subvencioniranim linijama.</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Povećanje broja ostvarenih putničkih kilometara u željezničkom prometu</w:t>
            </w:r>
          </w:p>
        </w:tc>
        <w:tc>
          <w:tcPr>
            <w:tcW w:w="1114" w:type="dxa"/>
          </w:tcPr>
          <w:p w:rsidR="00D849AA" w:rsidRDefault="00EE6D95">
            <w:r>
              <w:t>pkm</w:t>
            </w:r>
          </w:p>
        </w:tc>
        <w:tc>
          <w:tcPr>
            <w:tcW w:w="1114" w:type="dxa"/>
          </w:tcPr>
          <w:p w:rsidR="00D849AA" w:rsidRDefault="00EE6D95">
            <w:r>
              <w:t>16.700</w:t>
            </w:r>
          </w:p>
        </w:tc>
        <w:tc>
          <w:tcPr>
            <w:tcW w:w="1486" w:type="dxa"/>
          </w:tcPr>
          <w:p w:rsidR="00D849AA" w:rsidRDefault="00EE6D95">
            <w:r>
              <w:t>17.200</w:t>
            </w:r>
          </w:p>
        </w:tc>
        <w:tc>
          <w:tcPr>
            <w:tcW w:w="1486" w:type="dxa"/>
          </w:tcPr>
          <w:p w:rsidR="00D849AA" w:rsidRDefault="00EE6D95">
            <w:r>
              <w:t>17.500</w:t>
            </w:r>
          </w:p>
        </w:tc>
        <w:tc>
          <w:tcPr>
            <w:tcW w:w="1486" w:type="dxa"/>
          </w:tcPr>
          <w:p w:rsidR="00D849AA" w:rsidRDefault="00EE6D95">
            <w:r>
              <w:t>17.800</w:t>
            </w:r>
          </w:p>
        </w:tc>
      </w:tr>
    </w:tbl>
    <w:p w:rsidR="00D849AA" w:rsidRDefault="00D849AA">
      <w:pPr>
        <w:jc w:val="left"/>
      </w:pPr>
    </w:p>
    <w:p w:rsidR="00D849AA" w:rsidRDefault="00EE6D95">
      <w:pPr>
        <w:pStyle w:val="Naslov6"/>
      </w:pPr>
      <w:r>
        <w:t>K810049 POTPORA ZA IZRADU PROJEKTNO-TEHNIČKE DOKUMENTACIJE VEZANO ZA RAZVOJ INTEGRIRANOG PUTNIČKOG PRIJEVOZA (IPP)</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K810049</w:t>
            </w:r>
          </w:p>
        </w:tc>
        <w:tc>
          <w:tcPr>
            <w:tcW w:w="1486" w:type="dxa"/>
          </w:tcPr>
          <w:p w:rsidR="00D849AA" w:rsidRDefault="00EE6D95">
            <w:r>
              <w:t>2.000.000</w:t>
            </w:r>
          </w:p>
        </w:tc>
        <w:tc>
          <w:tcPr>
            <w:tcW w:w="1486" w:type="dxa"/>
          </w:tcPr>
          <w:p w:rsidR="00D849AA" w:rsidRDefault="00EE6D95">
            <w:r>
              <w:t>2.000.000</w:t>
            </w:r>
          </w:p>
        </w:tc>
        <w:tc>
          <w:tcPr>
            <w:tcW w:w="1486" w:type="dxa"/>
          </w:tcPr>
          <w:p w:rsidR="00D849AA" w:rsidRDefault="00EE6D95">
            <w:r>
              <w:t>00</w:t>
            </w:r>
          </w:p>
        </w:tc>
        <w:tc>
          <w:tcPr>
            <w:tcW w:w="1486" w:type="dxa"/>
          </w:tcPr>
          <w:p w:rsidR="00D849AA" w:rsidRDefault="00EE6D95">
            <w:r>
              <w:t>00</w:t>
            </w:r>
          </w:p>
        </w:tc>
        <w:tc>
          <w:tcPr>
            <w:tcW w:w="1486" w:type="dxa"/>
          </w:tcPr>
          <w:p w:rsidR="00D849AA" w:rsidRDefault="00EE6D95">
            <w:r>
              <w:t>100,0</w:t>
            </w:r>
          </w:p>
        </w:tc>
      </w:tr>
    </w:tbl>
    <w:p w:rsidR="00D849AA" w:rsidRDefault="00D849AA">
      <w:pPr>
        <w:jc w:val="left"/>
      </w:pPr>
    </w:p>
    <w:p w:rsidR="00D849AA" w:rsidRDefault="00EE6D95">
      <w:pPr>
        <w:pStyle w:val="Normal6"/>
      </w:pPr>
      <w:r>
        <w:t>U slijedećem trogodišnjem razdoblju u planu je realizacija slijedećih projekata: Projekt prilagodbe organizacijske strukture operatera, Projekt automatizacije sustava IPP-a, Projekt informatizacije sustava IPP-a i Master infrastrukturni plan prilagodbe prometne infrastrukture potrebama IPP-a, kojim se nastoji postići prijevoz uz što manje troškove, integriranjem više vrsta prijevoznih sredstava odgovarajućeg kapaciteta.</w:t>
      </w:r>
    </w:p>
    <w:p w:rsidR="00D849AA" w:rsidRDefault="00EE6D95">
      <w:pPr>
        <w:pStyle w:val="Naslov6"/>
      </w:pPr>
      <w:r>
        <w:t>T761012 MODERNIZACIJA ŽELJEZNIČKIH VOZILA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T761012</w:t>
            </w:r>
          </w:p>
        </w:tc>
        <w:tc>
          <w:tcPr>
            <w:tcW w:w="1486" w:type="dxa"/>
          </w:tcPr>
          <w:p w:rsidR="00D849AA" w:rsidRDefault="00EE6D95">
            <w:r>
              <w:t>45.000.000</w:t>
            </w:r>
          </w:p>
        </w:tc>
        <w:tc>
          <w:tcPr>
            <w:tcW w:w="1486" w:type="dxa"/>
          </w:tcPr>
          <w:p w:rsidR="00D849AA" w:rsidRDefault="00EE6D95">
            <w:r>
              <w:t>60.033.521</w:t>
            </w:r>
          </w:p>
        </w:tc>
        <w:tc>
          <w:tcPr>
            <w:tcW w:w="1486" w:type="dxa"/>
          </w:tcPr>
          <w:p w:rsidR="00D849AA" w:rsidRDefault="00EE6D95">
            <w:r>
              <w:t>17.000.000</w:t>
            </w:r>
          </w:p>
        </w:tc>
        <w:tc>
          <w:tcPr>
            <w:tcW w:w="1486" w:type="dxa"/>
          </w:tcPr>
          <w:p w:rsidR="00D849AA" w:rsidRDefault="00EE6D95">
            <w:r>
              <w:t>20.000.000</w:t>
            </w:r>
          </w:p>
        </w:tc>
        <w:tc>
          <w:tcPr>
            <w:tcW w:w="1486" w:type="dxa"/>
          </w:tcPr>
          <w:p w:rsidR="00D849AA" w:rsidRDefault="00EE6D95">
            <w:r>
              <w:t>133,4</w:t>
            </w:r>
          </w:p>
        </w:tc>
      </w:tr>
    </w:tbl>
    <w:p w:rsidR="00D849AA" w:rsidRDefault="00D849AA">
      <w:pPr>
        <w:jc w:val="left"/>
      </w:pPr>
    </w:p>
    <w:p w:rsidR="00D849AA" w:rsidRDefault="00EE6D95">
      <w:pPr>
        <w:pStyle w:val="Normal6"/>
      </w:pPr>
      <w:r>
        <w:t xml:space="preserve">Sredstva će biti iskorištena za financiranje modernizacije motornih vlakova, putničkih vagona i lokomotiva. </w:t>
      </w:r>
    </w:p>
    <w:p w:rsidR="00D849AA" w:rsidRDefault="00EE6D95">
      <w:pPr>
        <w:pStyle w:val="Normal6"/>
      </w:pPr>
      <w:r>
        <w:t xml:space="preserve">Sredstva su u 2013.godini iskorištena u 100% iznosu. </w:t>
      </w:r>
    </w:p>
    <w:p w:rsidR="00D849AA" w:rsidRDefault="00EE6D95">
      <w:pPr>
        <w:pStyle w:val="Normal6"/>
      </w:pPr>
      <w:r>
        <w:t xml:space="preserve">U 2014.godini biti će dodijeljena sredstva u iznosu od 80 milijuna kuna. Modernizacija željezničkih vučnih vozila omogućava  produženje vremena eksploatacije, smanjenje troškova održavanja i nesmetano odvijanje prijevoza sukladno voznom redu. Na taj način povećava se kvaliteta prijevoza, pouzdanost i sigurnost prijevoznih kapaciteta te broj raspoloživih vozila. Ugovori za modernizaciju prijevoznih kapaciteta potpisani su sa društvima  iz sustava HŽ-a koja se bave održavanjem.  </w:t>
      </w:r>
    </w:p>
    <w:p w:rsidR="00D849AA" w:rsidRDefault="00EE6D95">
      <w:pPr>
        <w:pStyle w:val="Normal6"/>
      </w:pPr>
      <w:r>
        <w:t>Zaključno proračunska sredstva će biti utrošena u modernizaciju i osuvremenjivanje.</w:t>
      </w:r>
    </w:p>
    <w:p w:rsidR="00D61DA2" w:rsidRDefault="00D61DA2" w:rsidP="00D61DA2">
      <w:pPr>
        <w:pStyle w:val="Naslov4"/>
      </w:pPr>
      <w:r>
        <w:lastRenderedPageBreak/>
        <w:t>OBRAZLOŽENJE PROGRAMA</w:t>
      </w:r>
    </w:p>
    <w:p w:rsidR="00D849AA" w:rsidRDefault="00EE6D95">
      <w:pPr>
        <w:pStyle w:val="Naslov5"/>
      </w:pPr>
      <w:r>
        <w:t>3115 RAZVOJ SUSTAVA PROMETA NA UNUTARNJIM VODNIM PUTOVIMA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3115</w:t>
            </w:r>
          </w:p>
        </w:tc>
        <w:tc>
          <w:tcPr>
            <w:tcW w:w="1486" w:type="dxa"/>
          </w:tcPr>
          <w:p w:rsidR="00D849AA" w:rsidRDefault="00EE6D95">
            <w:r>
              <w:t>46.994.000</w:t>
            </w:r>
          </w:p>
        </w:tc>
        <w:tc>
          <w:tcPr>
            <w:tcW w:w="1486" w:type="dxa"/>
          </w:tcPr>
          <w:p w:rsidR="00D849AA" w:rsidRDefault="00EE6D95">
            <w:r>
              <w:t>61.248.504</w:t>
            </w:r>
          </w:p>
        </w:tc>
        <w:tc>
          <w:tcPr>
            <w:tcW w:w="1486" w:type="dxa"/>
          </w:tcPr>
          <w:p w:rsidR="00D849AA" w:rsidRDefault="00EE6D95">
            <w:r>
              <w:t>55.406.250</w:t>
            </w:r>
          </w:p>
        </w:tc>
        <w:tc>
          <w:tcPr>
            <w:tcW w:w="1486" w:type="dxa"/>
          </w:tcPr>
          <w:p w:rsidR="00D849AA" w:rsidRDefault="00EE6D95">
            <w:r>
              <w:t>55.781.063</w:t>
            </w:r>
          </w:p>
        </w:tc>
        <w:tc>
          <w:tcPr>
            <w:tcW w:w="1486" w:type="dxa"/>
          </w:tcPr>
          <w:p w:rsidR="00D849AA" w:rsidRDefault="00EE6D95">
            <w:r>
              <w:t>130,3</w:t>
            </w:r>
          </w:p>
        </w:tc>
      </w:tr>
    </w:tbl>
    <w:p w:rsidR="00D849AA" w:rsidRDefault="00D849AA">
      <w:pPr>
        <w:jc w:val="left"/>
      </w:pPr>
    </w:p>
    <w:p w:rsidR="00D849AA" w:rsidRDefault="00EE6D95">
      <w:pPr>
        <w:pStyle w:val="Naslov6"/>
      </w:pPr>
      <w:r>
        <w:t>Opis programa</w:t>
      </w:r>
    </w:p>
    <w:p w:rsidR="00D849AA" w:rsidRDefault="00EE6D95">
      <w:pPr>
        <w:pStyle w:val="Normal5"/>
      </w:pPr>
      <w:r>
        <w:t xml:space="preserve">Program se bavi razvojem infrastrukture na lučkom području te unapređenjem i razvitkom prometa na unutarnjim vodama. Navedenim programom nastoje se iskoristiti svi postojeći potencijali u unutarnjoj plovidbi Republike Hrvatske kako bi se na što efikasniji način ostvario cilj prometne politike Republike Hrvatske, a time i priključivanje trendu razvoja prometne i gospodarske politike Europske unije. </w:t>
      </w:r>
    </w:p>
    <w:p w:rsidR="00D849AA" w:rsidRDefault="00EE6D95">
      <w:pPr>
        <w:pStyle w:val="Normal5"/>
      </w:pPr>
      <w:r>
        <w:t xml:space="preserve">Kontinuirani razvoj sustava prometa na unutarnjim vodama  i osiguravanje uvjeta za njegovo odvijanje uz povećanje razine sigurnosti, pouzdanosti i zaštite okoliša permanentni je cilj i zadaća Ministarstva. Ostvarivanje optimalnih infrastrukturnih i ekoloških uvjeta plovnih putova i luka unutarnjih voda, osiguravanje visoke razine sigurne plovidbe, razvoj brodarstva, inteligentnih sustava i multimodalnih i logističkih čvorišta transportne mreže, bitni su preduvjeti za privlačenje tržišta i na taj način povećanje obima prijevoza u unutarnjoj plovidbi te održivi razvoj prometa, gospodarstva i turizma. </w:t>
      </w:r>
    </w:p>
    <w:p w:rsidR="00D849AA" w:rsidRDefault="00EE6D95">
      <w:pPr>
        <w:pStyle w:val="Normal5"/>
      </w:pPr>
      <w:r>
        <w:t xml:space="preserve">Ostvarivanje spomenutog cilja potrebno je provoditi kroz ujednačen razvoj infrastrukture, tržišta, informacijsko-komunikacijskih sustava za podršku upravljanja prometom i prijevozom u unutarnjoj plovidbi, osiguravanja visoke razine sigurnosti i zaštite okoliša u prometu, razvoja brodarstva, modernizacije flote i plovnih objekata, poticanja prometne povezanosti, poboljšanja uvjeta rada i poticaja stručnog kadra, te promicanja unutarnje plovidbe kao ekološki najprihvatljivijeg vida prometa. </w:t>
      </w:r>
    </w:p>
    <w:p w:rsidR="00D849AA" w:rsidRDefault="00EE6D95">
      <w:pPr>
        <w:pStyle w:val="Normal5"/>
      </w:pPr>
      <w:r>
        <w:t xml:space="preserve">Da bi se hrvatske riječne luke kvalitativno i tehnološki osuvremenile te ostvarila bolja integracija s gospodarskim zaleđem i stvorili preduvjeti za razvitak intermodalnog prometa program će se u slijedećem trogodišnjem razdoblju nastaviti realizirati kroz aktivnosti gradnje i održavanje lučkih građevina i rješavanje imovinsko-pravnih odnosa na lučkom području. Visoka razina sigurne plovidbe, smanjenje rizika od nezgoda i zaštita okoliša temeljiti će se na daljnjem razvoju i unapređenju sustava riječnih informacijskih servisa i osiguravanju uvjeta rada lučkih kapetanija.  Razvitak i modernizacija brodarstva će se provoditi kroz aktivnosti istraživanja i razvoja novih tehnologija i sustava, potpore brodarima, stipendiranje učenika i studenata koji pohađaju usmjerenja vezana za unutarnju plovidbu i pomoći za razvoj riječnog prometa, a sve sa ciljem osiguranja konkurentnosti tržišta i stručnog kadra, te prometne povezanosti i udovoljavanja novim tehničkim i tehnološkim standardima. </w:t>
      </w:r>
    </w:p>
    <w:p w:rsidR="00D849AA" w:rsidRDefault="00EE6D95">
      <w:pPr>
        <w:pStyle w:val="Normal5"/>
      </w:pPr>
      <w:r>
        <w:t xml:space="preserve">Uloga riječnog prometa je od ključne važnosti za razvoj nedovoljno razvijenih regija. To se posebice odnosi na područje oko rijeke Save gdje se gospodarstvo regije tradicionalno nije usmjeravalo na promet roba riječnim putem. Razvoj mreže vodnih putova na rijeci Savi, u ovom bi se kontekstu mogao promatrati kao nacionalni prioritet budući da će uz povećanje učinkovitosti prometnog sustava u Republici Hrvatskoj, doprinijeti i razvoju gospodarstva u jednoj od najslabije razvijenih regija, odnosno regiji koja ima ogroman potencijal za razvitak. Glavna pozornost u razvoju ovoga vida prometa će biti usmjerena ka poboljšanjima vezanim uz TEN-T koridor VII, rijeku Dunav s pripadajućim pritokama, a posebice rijeku Savu, kao </w:t>
      </w:r>
      <w:r>
        <w:lastRenderedPageBreak/>
        <w:t xml:space="preserve">jednu od glavnih riječnih prometnica u zemlji zbog svoje dužine kojom prolazi i graniči teritorijem Republike Hrvatske. </w:t>
      </w:r>
    </w:p>
    <w:p w:rsidR="00D849AA" w:rsidRDefault="00EE6D95">
      <w:pPr>
        <w:pStyle w:val="Normal5"/>
      </w:pPr>
      <w:r>
        <w:t>Program Razvoj sustava prometa na unutarnjim vodnim putovima je komplementaran i povezan sa Općim ciljem 3. Ravnomjerni regionalni razvoj, nastavno i Posebnim ciljem 3.4. Održivi razvoj prometnog sustava utvrđenih Strategijom Vladinih programa za razdoblje 2014.-2016.</w:t>
      </w:r>
    </w:p>
    <w:p w:rsidR="00D849AA" w:rsidRDefault="00EE6D95">
      <w:pPr>
        <w:pStyle w:val="Naslov6"/>
      </w:pPr>
      <w:r>
        <w:t>Zakonske i druge pravne osnove</w:t>
      </w:r>
    </w:p>
    <w:p w:rsidR="00D849AA" w:rsidRDefault="00EE6D95">
      <w:pPr>
        <w:pStyle w:val="Normal5"/>
      </w:pPr>
      <w:r>
        <w:t xml:space="preserve">Strategija razvitka riječnog prometa u Republici Hrvatskoj (2008. – 2018.) (NN 65/08), </w:t>
      </w:r>
    </w:p>
    <w:p w:rsidR="00D849AA" w:rsidRDefault="00EE6D95">
      <w:pPr>
        <w:pStyle w:val="Normal5"/>
      </w:pPr>
      <w:r>
        <w:t xml:space="preserve">Srednjoročni plan razvitka vodnih putova i luka unutarnjih voda Republike Hrvatske (za razdoblje 2009. – 2016. godine) usvojen Zaključkom Vlade RH 19.12.2008. godine, </w:t>
      </w:r>
    </w:p>
    <w:p w:rsidR="00D849AA" w:rsidRDefault="00EE6D95">
      <w:pPr>
        <w:pStyle w:val="Normal5"/>
      </w:pPr>
      <w:r>
        <w:t xml:space="preserve">Zakon o plovidbi i lukama unutarnjih voda (NN 109/07,132/07 i 51/13), </w:t>
      </w:r>
    </w:p>
    <w:p w:rsidR="00D849AA" w:rsidRDefault="00EE6D95">
      <w:pPr>
        <w:pStyle w:val="Normal5"/>
      </w:pPr>
      <w:r>
        <w:t xml:space="preserve">NAIADES - Navigation And Inland Waterway Action and Development in Europe (akcijski program EC za razdoblje 2006.-2013.), </w:t>
      </w:r>
    </w:p>
    <w:p w:rsidR="00D849AA" w:rsidRDefault="00EE6D95">
      <w:pPr>
        <w:pStyle w:val="Normal5"/>
      </w:pPr>
      <w:r>
        <w:t xml:space="preserve">AGN - European Agreement on Main Inland Waterways of International Importance ECE/TRANS/120/Rev.4 (1996.), </w:t>
      </w:r>
    </w:p>
    <w:p w:rsidR="00D849AA" w:rsidRDefault="00EE6D95">
      <w:pPr>
        <w:pStyle w:val="Normal5"/>
      </w:pPr>
      <w:r>
        <w:t xml:space="preserve">AGTC -Protocol on Combined Transport on Inland Waterways to the European agreement on Important International Combined Transport Lines and Related Installations (1997.), </w:t>
      </w:r>
    </w:p>
    <w:p w:rsidR="00D849AA" w:rsidRDefault="00EE6D95">
      <w:pPr>
        <w:pStyle w:val="Normal5"/>
      </w:pPr>
      <w:r>
        <w:t>ADN -Europski sporazum o međunarodnom prijevozu opasnih tereta na unutarnjim plovnim putovima (2008.).</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Cilj 1. Povećanje prometa u lukama unutarnjh voda i na unutarnjim vodnim putovima Republike Hrvatske</w:t>
      </w:r>
    </w:p>
    <w:p w:rsidR="00D849AA" w:rsidRDefault="00EE6D95">
      <w:pPr>
        <w:pStyle w:val="Normal6"/>
      </w:pPr>
      <w:r>
        <w:t>Program razvoj sustava prometa na unutarnjim vodnim putovima provodi se putem Lučkih uprava unutarnjih voda, Agencije za vodne putove i Ministarstva pomorstva, prometa i infrastrukture. Provođenje programa za cilj ima povećanje udjela prijevoza robe i putnika na unutarnjim vodnim putovima, a time i porast prometa u lukama unutarnjih voda od državnog značaja, te u cijelosti iskorištavanje potencijala za korištenje pouzdanog, ekonomičnog, sigurnog i energetski najučinkovitijeg oblika prijevoza koji jamči čišći okoliš i učinkovitije korištenje ograničenih resursa.</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Količina prekrcajnog tereta u lukama unutarnjih voda (godišnje)</w:t>
            </w:r>
          </w:p>
        </w:tc>
        <w:tc>
          <w:tcPr>
            <w:tcW w:w="1114" w:type="dxa"/>
          </w:tcPr>
          <w:p w:rsidR="00D849AA" w:rsidRDefault="00EE6D95">
            <w:r>
              <w:t>t</w:t>
            </w:r>
          </w:p>
        </w:tc>
        <w:tc>
          <w:tcPr>
            <w:tcW w:w="1114" w:type="dxa"/>
          </w:tcPr>
          <w:p w:rsidR="00D849AA" w:rsidRDefault="00EE6D95">
            <w:r>
              <w:t>756.647</w:t>
            </w:r>
          </w:p>
        </w:tc>
        <w:tc>
          <w:tcPr>
            <w:tcW w:w="1486" w:type="dxa"/>
          </w:tcPr>
          <w:p w:rsidR="00D849AA" w:rsidRDefault="00EE6D95">
            <w:r>
              <w:t>1.215.000</w:t>
            </w:r>
          </w:p>
        </w:tc>
        <w:tc>
          <w:tcPr>
            <w:tcW w:w="1486" w:type="dxa"/>
          </w:tcPr>
          <w:p w:rsidR="00D849AA" w:rsidRDefault="00EE6D95">
            <w:r>
              <w:t>1.386.000</w:t>
            </w:r>
          </w:p>
        </w:tc>
        <w:tc>
          <w:tcPr>
            <w:tcW w:w="1486" w:type="dxa"/>
          </w:tcPr>
          <w:p w:rsidR="00D849AA" w:rsidRDefault="00EE6D95">
            <w:r>
              <w:t>2.138.000</w:t>
            </w:r>
          </w:p>
        </w:tc>
      </w:tr>
    </w:tbl>
    <w:p w:rsidR="00D849AA" w:rsidRDefault="00D849AA">
      <w:pPr>
        <w:jc w:val="left"/>
      </w:pPr>
    </w:p>
    <w:p w:rsidR="00D849AA" w:rsidRDefault="00EE6D95">
      <w:pPr>
        <w:pStyle w:val="Naslov5"/>
      </w:pPr>
      <w:r>
        <w:lastRenderedPageBreak/>
        <w:t>Procjena i ishodište potrebnih sredstava za značajnije aktivnosti/projekte</w:t>
      </w:r>
    </w:p>
    <w:p w:rsidR="00D849AA" w:rsidRDefault="00EE6D95">
      <w:pPr>
        <w:pStyle w:val="Naslov6"/>
      </w:pPr>
      <w:r>
        <w:t>A570447 GRADNJA I MODERNIZACIJA LUČKIH GRAĐEVINA U UNUTARNJOJ PLOVIDBI</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A570447</w:t>
            </w:r>
          </w:p>
        </w:tc>
        <w:tc>
          <w:tcPr>
            <w:tcW w:w="1486" w:type="dxa"/>
          </w:tcPr>
          <w:p w:rsidR="00D849AA" w:rsidRDefault="00EE6D95">
            <w:r>
              <w:t>14.000.000</w:t>
            </w:r>
          </w:p>
        </w:tc>
        <w:tc>
          <w:tcPr>
            <w:tcW w:w="1486" w:type="dxa"/>
          </w:tcPr>
          <w:p w:rsidR="00D849AA" w:rsidRDefault="00EE6D95">
            <w:r>
              <w:t>6.000.000</w:t>
            </w:r>
          </w:p>
        </w:tc>
        <w:tc>
          <w:tcPr>
            <w:tcW w:w="1486" w:type="dxa"/>
          </w:tcPr>
          <w:p w:rsidR="00D849AA" w:rsidRDefault="00EE6D95">
            <w:r>
              <w:t>7.000.000</w:t>
            </w:r>
          </w:p>
        </w:tc>
        <w:tc>
          <w:tcPr>
            <w:tcW w:w="1486" w:type="dxa"/>
          </w:tcPr>
          <w:p w:rsidR="00D849AA" w:rsidRDefault="00EE6D95">
            <w:r>
              <w:t>7.000.000</w:t>
            </w:r>
          </w:p>
        </w:tc>
        <w:tc>
          <w:tcPr>
            <w:tcW w:w="1486" w:type="dxa"/>
          </w:tcPr>
          <w:p w:rsidR="00D849AA" w:rsidRDefault="00EE6D95">
            <w:r>
              <w:t>42,8</w:t>
            </w:r>
          </w:p>
        </w:tc>
      </w:tr>
    </w:tbl>
    <w:p w:rsidR="00D849AA" w:rsidRDefault="00D849AA">
      <w:pPr>
        <w:jc w:val="left"/>
      </w:pPr>
    </w:p>
    <w:p w:rsidR="00D849AA" w:rsidRDefault="00EE6D95">
      <w:pPr>
        <w:pStyle w:val="Normal6"/>
      </w:pPr>
      <w:r>
        <w:t xml:space="preserve">Aktivnost Gradnja i modernizacija lučkih građevina u unutarnjoj plovidbi temelji se na modernizaciji lučke infrastrukture u cilju tehnološkog osuvremenjivanja luka unutarnjih voda kako bi se što kvalitetnije udovoljilo postojećoj i očekivanoj transportnoj potražnji na unutarnjim vodama. </w:t>
      </w:r>
    </w:p>
    <w:p w:rsidR="00D849AA" w:rsidRDefault="00EE6D95">
      <w:pPr>
        <w:pStyle w:val="Normal6"/>
      </w:pPr>
      <w:r>
        <w:t xml:space="preserve"> </w:t>
      </w:r>
    </w:p>
    <w:p w:rsidR="00D849AA" w:rsidRDefault="00EE6D95">
      <w:pPr>
        <w:pStyle w:val="Normal6"/>
      </w:pPr>
      <w:r>
        <w:t xml:space="preserve">Najznačajniji projekti u okviru ove aktivnosti koji su planirani u razdoblju 2014.-2016. su: </w:t>
      </w:r>
    </w:p>
    <w:p w:rsidR="00D849AA" w:rsidRDefault="00EE6D95">
      <w:pPr>
        <w:pStyle w:val="Normal6"/>
      </w:pPr>
      <w:r>
        <w:t xml:space="preserve">Lučka uprava Vukovar: izrada projektne dokumentacije (idejni, glavni i izvedbeni projekt, studija utjecaja na okoliš) i izgradnja terminala za prihvat otpada s plovila u luci Vukovar u skladu s uvjetima koje moraju ispunjavati luke otvorene za međunarodni promet; završetak izgradnje putničkog pristaništa u Batini; izrada projektne dokumentacije luke Ilok u skladu s izrađenim koncepcijskim rješenjem. </w:t>
      </w:r>
    </w:p>
    <w:p w:rsidR="00D849AA" w:rsidRDefault="00EE6D95">
      <w:pPr>
        <w:pStyle w:val="Normal6"/>
      </w:pPr>
      <w:r>
        <w:t xml:space="preserve">Lučka uprava Osijek: izgradnja intermodalne infrastrukture kojom bi se osigurala zaštita lučkog područja od štetnog djelovanja voda i erozije, omogućilo uređenje lučkog bazena za nesmetanu plovidbu i izgradila infrastruktura zaleđa luke; izgradnja turističkog pristaništa u parku prirode Kopački rit; izgradnja i opremanje sportskih pristaništa čime bi se omogućio siguran i nesmetan privez sportskih čamaca na za to GUP-om predviđenim mjestima. </w:t>
      </w:r>
    </w:p>
    <w:p w:rsidR="00D849AA" w:rsidRDefault="00EE6D95">
      <w:pPr>
        <w:pStyle w:val="Normal6"/>
      </w:pPr>
      <w:r>
        <w:t xml:space="preserve">Lučka uprava Slavonski Brod: izrada projektne dokumentacije (idejni i glavni projekt) s pripadajućim dozvolama za terminal za opasne terete u sklopu kojeg bi se nalazila i oprema za sprječavanje onečišćenja s plovila te zbrinjavanje otpada u lučkom području kao i skladištenje opasnih tereta; nastavak izgradnje infrastrukture u lučkom području Luke Slavonski Brod kojim se nastavljaju radovi na izgradnji osnovne infrastrukture koja je neophodna za razvoj gospodarske zone u lučkom području u kojoj je već iskazan veliki interes gospodarskih subjekata koji bi koristili luku za transport svojih proizvoda; izgradnja putničkih pristaništa. </w:t>
      </w:r>
    </w:p>
    <w:p w:rsidR="00D849AA" w:rsidRDefault="00EE6D95">
      <w:pPr>
        <w:pStyle w:val="Normal6"/>
      </w:pPr>
      <w:r>
        <w:t xml:space="preserve">Lučka uprava Sisak: projektiranje i izrada sustava za izvlačenje plovila – NP Plitvička jezera; komunalno pristanište na rijeci Kupi u Sisku; vertikalna obaloutvrda u bazenu Galdovo (projektna dokumentacija); sustav konstrukcija za privezivanje plovila na rijeci Savi od rkm 586+550 do 586+650 u Luci Sisak - bazen Crnac; sustav konstrukcija za privezivanje plovila na rijeci Kupi od rkm 3+900 do 4+000 na k.č.2426/1 u K.O. Sisak Stari (nastavak izgradnje javnog putničkog pristaništa na rijeci Kupi); projektiranje pristaništa sustav za spuštanje i dizanje čamaca na rijeci Kupi u Sisku. </w:t>
      </w:r>
    </w:p>
    <w:p w:rsidR="00D849AA" w:rsidRDefault="00EE6D95">
      <w:pPr>
        <w:pStyle w:val="Normal6"/>
      </w:pPr>
      <w:r>
        <w:t xml:space="preserve"> </w:t>
      </w:r>
    </w:p>
    <w:p w:rsidR="00D849AA" w:rsidRDefault="00EE6D95">
      <w:pPr>
        <w:pStyle w:val="Normal6"/>
      </w:pPr>
      <w:r>
        <w:t>Temelj za izračun financijskih sredstava potrebnih za provođenje ove aktivnosti definiran je strateškim dokumentima i srednjoročnim planom spomenutim u dijelu „Zakonskim i drugim pravnim osnovama“, a do u detalje je razrađen operativnim programima i financijskim planovima lučkih uprava unutarnjih voda na godišnjoj bazi.</w:t>
      </w:r>
    </w:p>
    <w:p w:rsidR="00D61DA2" w:rsidRDefault="00D61DA2">
      <w:pPr>
        <w:pStyle w:val="Normal6"/>
      </w:pPr>
    </w:p>
    <w:p w:rsidR="00D61DA2" w:rsidRDefault="00D61DA2">
      <w:pPr>
        <w:pStyle w:val="Normal6"/>
      </w:pPr>
    </w:p>
    <w:p w:rsidR="00D849AA" w:rsidRDefault="00EE6D95">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Stupanj izgrađenosti lučke infrastrukture</w:t>
            </w:r>
          </w:p>
        </w:tc>
        <w:tc>
          <w:tcPr>
            <w:tcW w:w="1114" w:type="dxa"/>
          </w:tcPr>
          <w:p w:rsidR="00D849AA" w:rsidRDefault="00EE6D95">
            <w:r>
              <w:t>%</w:t>
            </w:r>
          </w:p>
        </w:tc>
        <w:tc>
          <w:tcPr>
            <w:tcW w:w="1114" w:type="dxa"/>
          </w:tcPr>
          <w:p w:rsidR="00D849AA" w:rsidRDefault="00EE6D95">
            <w:r>
              <w:t>20</w:t>
            </w:r>
          </w:p>
        </w:tc>
        <w:tc>
          <w:tcPr>
            <w:tcW w:w="1486" w:type="dxa"/>
          </w:tcPr>
          <w:p w:rsidR="00D849AA" w:rsidRDefault="00EE6D95">
            <w:r>
              <w:t>25</w:t>
            </w:r>
          </w:p>
        </w:tc>
        <w:tc>
          <w:tcPr>
            <w:tcW w:w="1486" w:type="dxa"/>
          </w:tcPr>
          <w:p w:rsidR="00D849AA" w:rsidRDefault="00EE6D95">
            <w:r>
              <w:t>28</w:t>
            </w:r>
          </w:p>
        </w:tc>
        <w:tc>
          <w:tcPr>
            <w:tcW w:w="1486" w:type="dxa"/>
          </w:tcPr>
          <w:p w:rsidR="00D849AA" w:rsidRDefault="00EE6D95">
            <w:r>
              <w:t>30</w:t>
            </w:r>
          </w:p>
        </w:tc>
      </w:tr>
    </w:tbl>
    <w:p w:rsidR="00D849AA" w:rsidRDefault="00D849AA">
      <w:pPr>
        <w:jc w:val="left"/>
      </w:pPr>
    </w:p>
    <w:p w:rsidR="00D61DA2" w:rsidRDefault="00D61DA2" w:rsidP="00D61DA2">
      <w:pPr>
        <w:pStyle w:val="Naslov4"/>
      </w:pPr>
      <w:r>
        <w:t>OBRAZLOŽENJE PROGRAMA</w:t>
      </w:r>
    </w:p>
    <w:p w:rsidR="00D849AA" w:rsidRDefault="00EE6D95">
      <w:pPr>
        <w:pStyle w:val="Naslov5"/>
      </w:pPr>
      <w:r>
        <w:t>3116 RAZVOJ SUSTAVA POMORSKOG PROMETA, POMORSKOG DOBRA I LUKA, TE ZAŠTITA MORSKOG OKOLIŠA OD ONEČIŠĆENJA S POMORSKIH OBJEKATA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3116</w:t>
            </w:r>
          </w:p>
        </w:tc>
        <w:tc>
          <w:tcPr>
            <w:tcW w:w="1486" w:type="dxa"/>
          </w:tcPr>
          <w:p w:rsidR="00D849AA" w:rsidRDefault="00EE6D95">
            <w:r>
              <w:t>220.844.709</w:t>
            </w:r>
          </w:p>
        </w:tc>
        <w:tc>
          <w:tcPr>
            <w:tcW w:w="1486" w:type="dxa"/>
          </w:tcPr>
          <w:p w:rsidR="00D849AA" w:rsidRDefault="00EE6D95">
            <w:r>
              <w:t>456.541.347</w:t>
            </w:r>
          </w:p>
        </w:tc>
        <w:tc>
          <w:tcPr>
            <w:tcW w:w="1486" w:type="dxa"/>
          </w:tcPr>
          <w:p w:rsidR="00D849AA" w:rsidRDefault="00EE6D95">
            <w:r>
              <w:t>326.460.085</w:t>
            </w:r>
          </w:p>
        </w:tc>
        <w:tc>
          <w:tcPr>
            <w:tcW w:w="1486" w:type="dxa"/>
          </w:tcPr>
          <w:p w:rsidR="00D849AA" w:rsidRDefault="00EE6D95">
            <w:r>
              <w:t>314.569.814</w:t>
            </w:r>
          </w:p>
        </w:tc>
        <w:tc>
          <w:tcPr>
            <w:tcW w:w="1486" w:type="dxa"/>
          </w:tcPr>
          <w:p w:rsidR="00D849AA" w:rsidRDefault="00EE6D95">
            <w:r>
              <w:t>206,7</w:t>
            </w:r>
          </w:p>
        </w:tc>
      </w:tr>
    </w:tbl>
    <w:p w:rsidR="00D849AA" w:rsidRDefault="00D849AA">
      <w:pPr>
        <w:jc w:val="left"/>
      </w:pPr>
    </w:p>
    <w:p w:rsidR="00D849AA" w:rsidRDefault="00EE6D95">
      <w:pPr>
        <w:pStyle w:val="Naslov6"/>
      </w:pPr>
      <w:r>
        <w:t>Opis programa</w:t>
      </w:r>
    </w:p>
    <w:p w:rsidR="00D849AA" w:rsidRDefault="00EE6D95">
      <w:pPr>
        <w:pStyle w:val="Normal5"/>
      </w:pPr>
      <w:r>
        <w:t xml:space="preserve">Pomorski promet je najvažniji oblik prometnog povezivanja kojim se ostvaruju dvije trećine svjetske trgovinske razmjene. Temeljna pretpostavka razvijenog prometnog sustava ogleda se u razvijenosti nacionalnog brodarstva i lučke prometne infrastrukture. Razvoj brodarstva temelji se na primjeni najviših standarda sigurnosti plovidbe i zaštite morskog okoliša, dok razvijena prometna lučka infrastruktura osigurava izjednačenu razvijenost, kvalitetu i sigurnost prometnog sustava u cjelini. </w:t>
      </w:r>
    </w:p>
    <w:p w:rsidR="00D849AA" w:rsidRDefault="00EE6D95">
      <w:pPr>
        <w:pStyle w:val="Normal5"/>
      </w:pPr>
      <w:r>
        <w:t xml:space="preserve">S druge strane, razvijenim sustavom upravljanja pomorskim dobrom kroz određivanje granica pomorskog dobra i lučkih područja, te upravljanjem lučkim i koncesijskim sustavom, ispunjavaju se preduvjeti učinkovitog i održivog razvoja samog prometnog sustava. </w:t>
      </w:r>
    </w:p>
    <w:p w:rsidR="00D849AA" w:rsidRDefault="00EE6D95">
      <w:pPr>
        <w:pStyle w:val="Normal5"/>
      </w:pPr>
      <w:r>
        <w:t xml:space="preserve">Razvoj pomorskih usluga putem primjene suvremenih tehnologija, tehnološko- tehničkih i informatičkih rješenja, ulaganje u izgradnju i modernizaciju lučke infrastrukture, ulaganje u obnovu i razvoj trgovačke i putničke flote i poticajnim mjerama davanje mogućnosti školovanja budućih djelatnika u pomorskom prometu trajni je cilj i zadaća Ministarstva, a zaštita okoliša od onečišćenja nedjeljiva je djelatnost od djelatnosti prometa i provodi se kontinuirano. </w:t>
      </w:r>
    </w:p>
    <w:p w:rsidR="00D849AA" w:rsidRDefault="00EE6D95">
      <w:pPr>
        <w:pStyle w:val="Normal5"/>
      </w:pPr>
      <w:r>
        <w:t xml:space="preserve">Jačanje tržišnih mehanizama u izgradnji i korištenju infrastrukture čijom provedbom će se nastojati ujednačiti razvijenost, kvaliteta i sigurnost prometne infrastrukture, visoka kvaliteta i razvijeno tržište pomorskih usluga, koncesijskog sustava, modernizacija flote, informatizacija poslovnih subjekata pomorskog gospodarstva, poticanje prometne pomorske povezanosti kojom se postiže razvoj otoka i turizma, poboljšanje radnih uvjeta, edukacija i osposobljavanje stručnog kadra uz kontinuirano jačanje konkurentnosti brodara na tržištu pomorskih usluga bitni su preduvjeti razvoja pomorskog prometa i lučke prometne infrastrukture.  </w:t>
      </w:r>
    </w:p>
    <w:p w:rsidR="00D849AA" w:rsidRDefault="00EE6D95">
      <w:pPr>
        <w:pStyle w:val="Normal5"/>
      </w:pPr>
      <w:r>
        <w:t xml:space="preserve">U lukama otvorenim za javni promet od posebnog državnog interesa u tijeku su veliki investicijski zahvati financirani od strane međunarodnih i domaćih financijskih institucija kao i vlastitim sredstvima lučkih uprava. U narednom trogodišnjem razdoblju nastaviti će se započeti projekti izgradnje i modernizacije infrastrukture u morskim lukama od državnog </w:t>
      </w:r>
      <w:r>
        <w:lastRenderedPageBreak/>
        <w:t>značaja (Rijeka, Zadar, Šibenik, Split, Ploče i Dubrovnik). U području unapređenja lučkog sustava, temeljni ciljevi se odnose na modernizaciju luke Rijeka  radi  povećanja  tranzitnog  tereta  (posebice  kontejnerskog  i  Ro-Ro  prometa), gradnju terminala u luci Ploče u cilju povećanja rasutih tereta i kontejnera kroz luku Ploče, za potrebe gravitacijskog područja i potrebe ostalih država na Vc prometnom koridoru, izgradnju obalne infrastrukture u luci Dubrovnik, izgradnju novoga putničkog i Ro-Ro terminala u luci Zadar, izgradnju operativne obale za prihvat putničkih brodova u luci Šibenik, te modernizaciju lučke infrastrukture u luci Split. Gradnja infrastrukture morskih luka temeljiti će se na kvalitativnoj i tehnološkoj modernizaciji, prometnom povezivanju s glavnim cestovnim i željezničkim koridorima u cilju ostvarenja bolje integracije s gospodarskim zaleđem, povećanju prometa, a time i preduvjeta za razvitak intermodalnog prometa.</w:t>
      </w:r>
    </w:p>
    <w:p w:rsidR="00D849AA" w:rsidRDefault="00EE6D95">
      <w:pPr>
        <w:pStyle w:val="Naslov6"/>
      </w:pPr>
      <w:r>
        <w:t>Zakonske i druge pravne osnove</w:t>
      </w:r>
    </w:p>
    <w:p w:rsidR="00D849AA" w:rsidRDefault="00EE6D95">
      <w:pPr>
        <w:pStyle w:val="Normal5"/>
      </w:pPr>
      <w:r>
        <w:t xml:space="preserve">Strategija prometnog razvitka Republike Hrvatske iz 1999.  godine, </w:t>
      </w:r>
    </w:p>
    <w:p w:rsidR="00D849AA" w:rsidRDefault="00EE6D95">
      <w:pPr>
        <w:pStyle w:val="Normal5"/>
      </w:pPr>
      <w:r>
        <w:t xml:space="preserve">Pomorski zakonik (Narodne novine broj 181/04., 76/07., 146/08., 61/11. i 56/13.), </w:t>
      </w:r>
    </w:p>
    <w:p w:rsidR="00D849AA" w:rsidRDefault="00EE6D95">
      <w:pPr>
        <w:pStyle w:val="Normal5"/>
      </w:pPr>
      <w:r>
        <w:t xml:space="preserve">Zakon o pomorskom dobru i morskim lukama (Narodne novine broj158/03.,100/04., 141/06., 38/09. i 123/11.), </w:t>
      </w:r>
    </w:p>
    <w:p w:rsidR="00D849AA" w:rsidRDefault="00EE6D95">
      <w:pPr>
        <w:pStyle w:val="Normal5"/>
      </w:pPr>
      <w:r>
        <w:t xml:space="preserve">Zakon o prijevozu u linijskom i povremenom obalnom pomorskom prometu (Narodne novine broj  33/06., 38/09. i 87/09., 18/11. i 80/13.), </w:t>
      </w:r>
    </w:p>
    <w:p w:rsidR="00D849AA" w:rsidRDefault="00EE6D95">
      <w:pPr>
        <w:pStyle w:val="Normal5"/>
      </w:pPr>
      <w:r>
        <w:t xml:space="preserve">Zakon o Jadroliniji, Rijeka (Narodne novine broj  11/96.), </w:t>
      </w:r>
    </w:p>
    <w:p w:rsidR="00D849AA" w:rsidRDefault="00EE6D95">
      <w:pPr>
        <w:pStyle w:val="Normal5"/>
      </w:pPr>
      <w:r>
        <w:t xml:space="preserve">Zakon o pomorskom dobru i morskim lukama (NN br.158/03., 141/06. i 38/09.), </w:t>
      </w:r>
    </w:p>
    <w:p w:rsidR="00D849AA" w:rsidRDefault="00EE6D95">
      <w:pPr>
        <w:pStyle w:val="Normal5"/>
      </w:pPr>
      <w:r>
        <w:t xml:space="preserve">Uredba o uvjetima i postupku davanja koncesije za obavljanje javnog prijevoza u linijskom i obalnom pomorskom prometu (Narodne novine broj  4/2010.), </w:t>
      </w:r>
    </w:p>
    <w:p w:rsidR="00D849AA" w:rsidRDefault="00EE6D95">
      <w:pPr>
        <w:pStyle w:val="Normal5"/>
      </w:pPr>
      <w:r>
        <w:t xml:space="preserve">Pravilnik o uvjetima koje mora ispunjavati brod i brodar za obavljanje javnog prijevoza u linijskom obalnom pomorskom prometu (Narodne novine br. 143/10), </w:t>
      </w:r>
    </w:p>
    <w:p w:rsidR="00D849AA" w:rsidRDefault="00EE6D95">
      <w:pPr>
        <w:pStyle w:val="Normal5"/>
      </w:pPr>
      <w:r>
        <w:t>Odluka Vlade Republike Hrvatske o određivanju državnih linija u javnom prijevozu u linijskom obalnom pomorskom prometu (od 5.12.2008, 04.03.2010, 20.10.2011 i11.04.2013 (pročišćeni tekst).</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Cilj 1. Porast prometa i povećanje konkurentnosti luke Rijeka</w:t>
      </w:r>
    </w:p>
    <w:p w:rsidR="00D849AA" w:rsidRDefault="00EE6D95">
      <w:pPr>
        <w:pStyle w:val="Normal6"/>
      </w:pPr>
      <w:r>
        <w:t>Potporom projektu obnove riječkog prometnog pravca nastojati će se povećati  konkurentnost cijelog pravca, što bi dugoročno trebalo rezultirati rastom prometa, te efikasnosti Luke. S druge strane realizacijom projekta u jednom dijelu trebalo bi doći do smanjenja troškova lučkih djelatnosti. Projektom se potiče obnova i modernizacija lučkog područja te se poboljšava financijsko stanje riječke luke. Realizacijom projekta smanjiti će se državni doprinos luci u srednjoročnom razdoblju. Ujedno, realizacijom projekta poboljšati će se lučka/urbana infrastruktura te ekološki uvjeti u Luci Rijeka.</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Porast prometa roba u riječkoj luci</w:t>
            </w:r>
          </w:p>
        </w:tc>
        <w:tc>
          <w:tcPr>
            <w:tcW w:w="1114" w:type="dxa"/>
          </w:tcPr>
          <w:p w:rsidR="00D849AA" w:rsidRDefault="00EE6D95">
            <w:r>
              <w:t>t</w:t>
            </w:r>
          </w:p>
        </w:tc>
        <w:tc>
          <w:tcPr>
            <w:tcW w:w="1114" w:type="dxa"/>
          </w:tcPr>
          <w:p w:rsidR="00D849AA" w:rsidRDefault="00EE6D95">
            <w:r>
              <w:t>9.120.000</w:t>
            </w:r>
          </w:p>
        </w:tc>
        <w:tc>
          <w:tcPr>
            <w:tcW w:w="1486" w:type="dxa"/>
          </w:tcPr>
          <w:p w:rsidR="00D849AA" w:rsidRDefault="00EE6D95">
            <w:r>
              <w:t>9.858.350</w:t>
            </w:r>
          </w:p>
        </w:tc>
        <w:tc>
          <w:tcPr>
            <w:tcW w:w="1486" w:type="dxa"/>
          </w:tcPr>
          <w:p w:rsidR="00D849AA" w:rsidRDefault="00EE6D95">
            <w:r>
              <w:t>10.621.057</w:t>
            </w:r>
          </w:p>
        </w:tc>
        <w:tc>
          <w:tcPr>
            <w:tcW w:w="1486" w:type="dxa"/>
          </w:tcPr>
          <w:p w:rsidR="00D849AA" w:rsidRDefault="00EE6D95">
            <w:r>
              <w:t>11.480.000</w:t>
            </w:r>
          </w:p>
        </w:tc>
      </w:tr>
    </w:tbl>
    <w:p w:rsidR="00D849AA" w:rsidRDefault="00EE6D95">
      <w:pPr>
        <w:pStyle w:val="Naslov5"/>
      </w:pPr>
      <w:r>
        <w:lastRenderedPageBreak/>
        <w:t>Procjena i ishodište potrebnih sredstava za značajnije aktivnosti/projekte</w:t>
      </w:r>
    </w:p>
    <w:p w:rsidR="00D849AA" w:rsidRDefault="00EE6D95">
      <w:pPr>
        <w:pStyle w:val="Naslov6"/>
      </w:pPr>
      <w:r>
        <w:t>A570294 POTPORA LUČKOJ UPRAVI RIJEKA ZA REALIZACIJU ZAJMA SVJETSKE BANKE (IBRD) - PROJEKT OBNOVE RIJEČKOG PROMETNOG PRAVCA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A570294</w:t>
            </w:r>
          </w:p>
        </w:tc>
        <w:tc>
          <w:tcPr>
            <w:tcW w:w="1486" w:type="dxa"/>
          </w:tcPr>
          <w:p w:rsidR="00D849AA" w:rsidRDefault="00EE6D95">
            <w:r>
              <w:t>53.900.000</w:t>
            </w:r>
          </w:p>
        </w:tc>
        <w:tc>
          <w:tcPr>
            <w:tcW w:w="1486" w:type="dxa"/>
          </w:tcPr>
          <w:p w:rsidR="00D849AA" w:rsidRDefault="00EE6D95">
            <w:r>
              <w:t>105.900.000</w:t>
            </w:r>
          </w:p>
        </w:tc>
        <w:tc>
          <w:tcPr>
            <w:tcW w:w="1486" w:type="dxa"/>
          </w:tcPr>
          <w:p w:rsidR="00D849AA" w:rsidRDefault="00EE6D95">
            <w:r>
              <w:t>105.900.000</w:t>
            </w:r>
          </w:p>
        </w:tc>
        <w:tc>
          <w:tcPr>
            <w:tcW w:w="1486" w:type="dxa"/>
          </w:tcPr>
          <w:p w:rsidR="00D849AA" w:rsidRDefault="00EE6D95">
            <w:r>
              <w:t>120.900.000</w:t>
            </w:r>
          </w:p>
        </w:tc>
        <w:tc>
          <w:tcPr>
            <w:tcW w:w="1486" w:type="dxa"/>
          </w:tcPr>
          <w:p w:rsidR="00D849AA" w:rsidRDefault="00EE6D95">
            <w:r>
              <w:t>196,5</w:t>
            </w:r>
          </w:p>
        </w:tc>
      </w:tr>
    </w:tbl>
    <w:p w:rsidR="00D849AA" w:rsidRDefault="00D849AA">
      <w:pPr>
        <w:jc w:val="left"/>
      </w:pPr>
    </w:p>
    <w:p w:rsidR="00D849AA" w:rsidRDefault="00EE6D95">
      <w:pPr>
        <w:pStyle w:val="Normal6"/>
      </w:pPr>
      <w:r>
        <w:t xml:space="preserve">S obzirom na obvezu obračuna poreza na dodanu vrijednost (PDV) na ulaganja u slobodnu zonu od 1. srpnja 2013. godine doprinos države za domaći udio u Rijeka Gateway projektu II povećava se u ukupnom iznosu za 20,6 milijuna eura (od  17,5 mln eura na 38,1 mln eura).  Kako Lučke uprave nisu  u sustavu PDV-a, isti lučkim upravama predstavlja trošak to se  ujedno značajno povećava vrijednost investicije. Iz navedenog proizlazi činjenica da se u financijskom planu Državnog proračuna RH za 2014. godinu i u projekcijama Državnog proračuna RH za 2015. i 2016. godinu, sredstva namijenjena Projektu obnove riječkog prometnog pravca  predviđaju u puno većem iznosu u odnosu na proračunsku godinu 2013., s time da će se svake godine oko 40,0 milijuna kuna s osnova PDV-a vraćati u Državni proračun RH. </w:t>
      </w:r>
    </w:p>
    <w:p w:rsidR="00D849AA" w:rsidRDefault="00EE6D95">
      <w:pPr>
        <w:pStyle w:val="Normal6"/>
      </w:pPr>
      <w:r>
        <w:t xml:space="preserve">Svrha  Projekta  obnove  riječkog  prometnog  pravca  (Program  Gateway  II)  je povećanje konkurentnosti hrvatskog gospodarstva putem poboljšanja međunarodnog transportnog lanca kroz riječki prometni pravac za teretni i putnički promet, kako modernizacijom veza između luke i cestovnih mreža, tako i revitalizacijom lučkih poslovnih aktivnosti. </w:t>
      </w:r>
    </w:p>
    <w:p w:rsidR="00D849AA" w:rsidRDefault="00EE6D95">
      <w:pPr>
        <w:pStyle w:val="Normal6"/>
      </w:pPr>
      <w:r>
        <w:t xml:space="preserve">Projekt obnove riječkog prometnog pravca obuhvaća tri komponente: </w:t>
      </w:r>
    </w:p>
    <w:p w:rsidR="00D849AA" w:rsidRDefault="00EE6D95">
      <w:pPr>
        <w:pStyle w:val="Normal6"/>
      </w:pPr>
      <w:r>
        <w:t xml:space="preserve">1.) restrukturiranje i modernizacija luke Rijeka putem: </w:t>
      </w:r>
    </w:p>
    <w:p w:rsidR="00D849AA" w:rsidRDefault="00EE6D95">
      <w:pPr>
        <w:pStyle w:val="Normal6"/>
      </w:pPr>
      <w:r>
        <w:t xml:space="preserve">a)   obnove  infrastrukture  u  zapadnom  dijelu  luke  i  izgradnjom kontejnerskog terminala na Zagrebačkom pristaništu i </w:t>
      </w:r>
    </w:p>
    <w:p w:rsidR="00D849AA" w:rsidRDefault="00EE6D95">
      <w:pPr>
        <w:pStyle w:val="Normal6"/>
      </w:pPr>
      <w:r>
        <w:t xml:space="preserve">b)   nabave suvremenih uređaja za manipulaciju teških tereta, ugradnju sustava za upravljanje plovidbom i sustava za razmjenu elektroničkih podataka. </w:t>
      </w:r>
    </w:p>
    <w:p w:rsidR="00D849AA" w:rsidRDefault="00EE6D95">
      <w:pPr>
        <w:pStyle w:val="Normal6"/>
      </w:pPr>
      <w:r>
        <w:t xml:space="preserve">2.) ponovni razvoj graničnog područja između luke i grada, što uključuje obnovu lučkog područja i izgradnju putničkog terminala. </w:t>
      </w:r>
    </w:p>
    <w:p w:rsidR="00D849AA" w:rsidRDefault="00EE6D95">
      <w:pPr>
        <w:pStyle w:val="Normal6"/>
      </w:pPr>
      <w:r>
        <w:t xml:space="preserve">3.) poboljšanje međunarodnog cestovnog pravca i to: </w:t>
      </w:r>
    </w:p>
    <w:p w:rsidR="00D849AA" w:rsidRDefault="00EE6D95">
      <w:pPr>
        <w:pStyle w:val="Normal6"/>
      </w:pPr>
      <w:r>
        <w:t xml:space="preserve">a) izgradnjom južne trake riječke zaobilaznice i spojnih cesta, kao i autoceste Zagreb- Macelj, sanacijom krčkog mosta i uklanjanjem crnih točaka     i </w:t>
      </w:r>
    </w:p>
    <w:p w:rsidR="00D849AA" w:rsidRDefault="00EE6D95">
      <w:pPr>
        <w:pStyle w:val="Normal6"/>
      </w:pPr>
      <w:r>
        <w:t xml:space="preserve">b) uvođenjem sustava upravljanja kolnicima i mostovima, te manje opreme i  upravljačkog software. </w:t>
      </w:r>
    </w:p>
    <w:p w:rsidR="00D849AA" w:rsidRDefault="00EE6D95">
      <w:pPr>
        <w:pStyle w:val="Normal6"/>
      </w:pPr>
      <w:r>
        <w:t xml:space="preserve"> </w:t>
      </w:r>
    </w:p>
    <w:p w:rsidR="00D849AA" w:rsidRDefault="00EE6D95">
      <w:pPr>
        <w:pStyle w:val="Normal6"/>
      </w:pPr>
      <w:r>
        <w:t xml:space="preserve">Projekt Rijeka Gateway II je nastavak programa Rijeka Gateway I čiji je cilj povećati konkurentnost Rijeke kao lučkog grada, strateški smještenog na početku prometnog Koridora Vb, jednog od važnijih paneuropskih prometnih pravaca. </w:t>
      </w:r>
    </w:p>
    <w:p w:rsidR="00D849AA" w:rsidRDefault="00EE6D95">
      <w:pPr>
        <w:pStyle w:val="Normal6"/>
      </w:pPr>
      <w:r>
        <w:t xml:space="preserve">Program Rijeka Gateway nije namijenjen isključivo izgradnji i modernizaciji luke, već je osmišljen i kao potpora hrvatskom gospodarstvu, kako bi postalo dinamičnije i konkurentnije. Tim programom će se također povećati atraktivnost lučkog grada Rijeke, uravnoteženjem gradskog razvoja, povezivanjem s prometnim koridorom, te razvojem luke. Grad Rijeka kao luka te turističko i poslovno odredište  svojim smještajem nudi  </w:t>
      </w:r>
      <w:r>
        <w:lastRenderedPageBreak/>
        <w:t>najkraći kopneni prometni pravac do gradova srednjeg i istočnog dijela Europe (Budimpešta i Beograd).</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Izgrađenost infrastrukturnih objekata u luci Rijeka</w:t>
            </w:r>
          </w:p>
        </w:tc>
        <w:tc>
          <w:tcPr>
            <w:tcW w:w="1114" w:type="dxa"/>
          </w:tcPr>
          <w:p w:rsidR="00D849AA" w:rsidRDefault="00EE6D95">
            <w:r>
              <w:t>%</w:t>
            </w:r>
          </w:p>
        </w:tc>
        <w:tc>
          <w:tcPr>
            <w:tcW w:w="1114" w:type="dxa"/>
          </w:tcPr>
          <w:p w:rsidR="00D849AA" w:rsidRDefault="00EE6D95">
            <w:r>
              <w:t>42,9</w:t>
            </w:r>
          </w:p>
        </w:tc>
        <w:tc>
          <w:tcPr>
            <w:tcW w:w="1486" w:type="dxa"/>
          </w:tcPr>
          <w:p w:rsidR="00D849AA" w:rsidRDefault="00EE6D95">
            <w:r>
              <w:t>65,0</w:t>
            </w:r>
          </w:p>
        </w:tc>
        <w:tc>
          <w:tcPr>
            <w:tcW w:w="1486" w:type="dxa"/>
          </w:tcPr>
          <w:p w:rsidR="00D849AA" w:rsidRDefault="00EE6D95">
            <w:r>
              <w:t>84,9</w:t>
            </w:r>
          </w:p>
        </w:tc>
        <w:tc>
          <w:tcPr>
            <w:tcW w:w="1486" w:type="dxa"/>
          </w:tcPr>
          <w:p w:rsidR="00D849AA" w:rsidRDefault="00EE6D95">
            <w:r>
              <w:t>95,0</w:t>
            </w:r>
          </w:p>
        </w:tc>
      </w:tr>
    </w:tbl>
    <w:p w:rsidR="00D849AA" w:rsidRDefault="00D849AA">
      <w:pPr>
        <w:jc w:val="left"/>
      </w:pPr>
    </w:p>
    <w:p w:rsidR="00D849AA" w:rsidRDefault="00EE6D95">
      <w:pPr>
        <w:pStyle w:val="Naslov2"/>
      </w:pPr>
      <w:r>
        <w:t>06545 Agencija za obalni linijski promet</w:t>
      </w:r>
    </w:p>
    <w:p w:rsidR="00D849AA" w:rsidRDefault="00EE6D95">
      <w:pPr>
        <w:pStyle w:val="Naslov4"/>
      </w:pPr>
      <w:r>
        <w:t>Uvod</w:t>
      </w:r>
    </w:p>
    <w:p w:rsidR="00D849AA" w:rsidRDefault="00EE6D95">
      <w:pPr>
        <w:pStyle w:val="Normal3"/>
      </w:pPr>
      <w:r>
        <w:t>Agencija za obalni linijski pomorski promet obavlja sve poslove u vezi s davanjem koncesija za državne pomorske linije: raspisivanje javnih natječaja, donošenje odluka o davanju i oduzimanju koncesije, sklapanje ugovora o koncesiji, prijenos koncesije na drugog brodara, davanje odobrenja za zamjenski brod, produženje koncesije u slučaju ponavljanja javnog natječaja, utvrđivanje sezonskog i izvansezonskog razdoblja plovidbe, objedinjavanje redova plovidbe, nadzire provedbu odredaba Zakona o prijevozu u linijskom i povremenom obalnom pomorskom prometu, odluke i ugovore o koncesiji u odnosu na potpore i plaćanje naknade za koncesije za državne linije.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06545</w:t>
            </w:r>
          </w:p>
        </w:tc>
        <w:tc>
          <w:tcPr>
            <w:tcW w:w="1486" w:type="dxa"/>
          </w:tcPr>
          <w:p w:rsidR="00D849AA" w:rsidRDefault="00EE6D95">
            <w:r>
              <w:t>357.799.100</w:t>
            </w:r>
          </w:p>
        </w:tc>
        <w:tc>
          <w:tcPr>
            <w:tcW w:w="1486" w:type="dxa"/>
          </w:tcPr>
          <w:p w:rsidR="00D849AA" w:rsidRDefault="00EE6D95">
            <w:r>
              <w:t>356.100.000</w:t>
            </w:r>
          </w:p>
        </w:tc>
        <w:tc>
          <w:tcPr>
            <w:tcW w:w="1486" w:type="dxa"/>
          </w:tcPr>
          <w:p w:rsidR="00D849AA" w:rsidRDefault="00EE6D95">
            <w:r>
              <w:t>330.730.600</w:t>
            </w:r>
          </w:p>
        </w:tc>
        <w:tc>
          <w:tcPr>
            <w:tcW w:w="1486" w:type="dxa"/>
          </w:tcPr>
          <w:p w:rsidR="00D849AA" w:rsidRDefault="00EE6D95">
            <w:r>
              <w:t>330.730.600</w:t>
            </w:r>
          </w:p>
        </w:tc>
        <w:tc>
          <w:tcPr>
            <w:tcW w:w="1486" w:type="dxa"/>
          </w:tcPr>
          <w:p w:rsidR="00D849AA" w:rsidRDefault="00EE6D95">
            <w:r>
              <w:t>99,5</w:t>
            </w:r>
          </w:p>
        </w:tc>
      </w:tr>
    </w:tbl>
    <w:p w:rsidR="00D849AA" w:rsidRDefault="00D849AA">
      <w:pPr>
        <w:jc w:val="left"/>
      </w:pPr>
    </w:p>
    <w:p w:rsidR="00D849AA" w:rsidRDefault="00EE6D95">
      <w:pPr>
        <w:pStyle w:val="Naslov4"/>
      </w:pPr>
      <w:r>
        <w:t>OBRAZLOŽENJE PROGRAMA</w:t>
      </w:r>
    </w:p>
    <w:p w:rsidR="00D849AA" w:rsidRDefault="00EE6D95">
      <w:pPr>
        <w:pStyle w:val="Naslov5"/>
      </w:pPr>
      <w:r>
        <w:t>3116 RAZVOJ SUSTAVA POMORSKOG PROMETA, POMORSKOG DOBRA I LUKA, TE ZAŠTITA MORSKOG OKOLIŠA OD ONEČIŠĆENJA S POMORSKIH OBJEKATA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3116</w:t>
            </w:r>
          </w:p>
        </w:tc>
        <w:tc>
          <w:tcPr>
            <w:tcW w:w="1486" w:type="dxa"/>
          </w:tcPr>
          <w:p w:rsidR="00D849AA" w:rsidRDefault="00EE6D95">
            <w:r>
              <w:t>357.799.100</w:t>
            </w:r>
          </w:p>
        </w:tc>
        <w:tc>
          <w:tcPr>
            <w:tcW w:w="1486" w:type="dxa"/>
          </w:tcPr>
          <w:p w:rsidR="00D849AA" w:rsidRDefault="00EE6D95">
            <w:r>
              <w:t>356.100.000</w:t>
            </w:r>
          </w:p>
        </w:tc>
        <w:tc>
          <w:tcPr>
            <w:tcW w:w="1486" w:type="dxa"/>
          </w:tcPr>
          <w:p w:rsidR="00D849AA" w:rsidRDefault="00EE6D95">
            <w:r>
              <w:t>330.730.600</w:t>
            </w:r>
          </w:p>
        </w:tc>
        <w:tc>
          <w:tcPr>
            <w:tcW w:w="1486" w:type="dxa"/>
          </w:tcPr>
          <w:p w:rsidR="00D849AA" w:rsidRDefault="00EE6D95">
            <w:r>
              <w:t>330.730.600</w:t>
            </w:r>
          </w:p>
        </w:tc>
        <w:tc>
          <w:tcPr>
            <w:tcW w:w="1486" w:type="dxa"/>
          </w:tcPr>
          <w:p w:rsidR="00D849AA" w:rsidRDefault="00EE6D95">
            <w:r>
              <w:t>99,5</w:t>
            </w:r>
          </w:p>
        </w:tc>
      </w:tr>
    </w:tbl>
    <w:p w:rsidR="00D849AA" w:rsidRDefault="00D849AA">
      <w:pPr>
        <w:jc w:val="left"/>
      </w:pPr>
    </w:p>
    <w:p w:rsidR="00D849AA" w:rsidRDefault="00EE6D95">
      <w:pPr>
        <w:pStyle w:val="Naslov6"/>
      </w:pPr>
      <w:r>
        <w:t>Opis programa</w:t>
      </w:r>
    </w:p>
    <w:p w:rsidR="00D849AA" w:rsidRDefault="00EE6D95">
      <w:pPr>
        <w:pStyle w:val="Normal5"/>
      </w:pPr>
      <w:r>
        <w:t xml:space="preserve">Dodjelom potpora brodarima za održavanje trajektnih, brodskih i brzobrodskih linija  nastoji se poboljšati sustav javnog linijskoga obalnog pomorskog prometa. Kroz podizanje kvalitete sustava javnog linijskog pomorskog prometa potiče se razvitak hrvatskih otoka, a posebno razvitak turizma kao glavne gospodarske djelatnosti na otocima. To je moguće, uz ostale </w:t>
      </w:r>
      <w:r>
        <w:lastRenderedPageBreak/>
        <w:t>mjere, i uvođenjem novih, bržih i modernijih plovila od strane brodara. Koncesioniranjem će se postići da brodari koji se jave na natječaj, ponude modernija, brža i kvalitetnija plovila. Koncesioniranju linija je upravo to i zadatak - povećati konkurenciju koja rezultira povećanjem kvalitete linijskog pomorskog prijevoza. Odlukom Vlade Republike Hrvatske o određivanju državnih linija u javnom prijevozu u linijskom obalnom pomorskom prometu utvrđeno je 56 državnih linija od čega 16 brzobrodskih, 13 brodskih i 27 trajektnih linija.</w:t>
      </w:r>
    </w:p>
    <w:p w:rsidR="00D849AA" w:rsidRDefault="00EE6D95">
      <w:pPr>
        <w:pStyle w:val="Naslov6"/>
      </w:pPr>
      <w:r>
        <w:t>Zakonske i druge pravne osnove</w:t>
      </w:r>
    </w:p>
    <w:p w:rsidR="00D849AA" w:rsidRDefault="00EE6D95">
      <w:pPr>
        <w:pStyle w:val="Normal5"/>
      </w:pPr>
      <w:r>
        <w:t xml:space="preserve">Zakon o prijevozu u linijskom i povremenom obalnom pomorskom prometu (NN 33/06, NN 38/09, 87/09, 18/11 i 80/13), </w:t>
      </w:r>
    </w:p>
    <w:p w:rsidR="00D849AA" w:rsidRDefault="00EE6D95">
      <w:pPr>
        <w:pStyle w:val="Normal5"/>
      </w:pPr>
      <w:r>
        <w:t xml:space="preserve">Uredba o uvjetima i postupku davanja koncesije za obavljanje javnog prijevoza u linijskom i obalnom pomorskom prometu (NN 4/10), </w:t>
      </w:r>
    </w:p>
    <w:p w:rsidR="00D849AA" w:rsidRDefault="00EE6D95">
      <w:pPr>
        <w:pStyle w:val="Normal5"/>
      </w:pPr>
      <w:r>
        <w:t xml:space="preserve">Pravilnik o uvjetima koje mora ispunjavati brod i brodar za obavljanje javnog prijevoza u linijskom obalnom pomorskom prometu (NN 130/06,141/08 i 143/10), </w:t>
      </w:r>
    </w:p>
    <w:p w:rsidR="00D849AA" w:rsidRDefault="00EE6D95">
      <w:pPr>
        <w:pStyle w:val="Normal5"/>
      </w:pPr>
      <w:r>
        <w:t>Odluka Vlade Republike Hrvatske o određivanju državnih linija u javnom prijevozu u linijskom obalnom pomorskom prometu ( Klasa:342-01/08-01/05, Ur. broj: 5030116-08-1 od 5.12.2008., Klasa 342-01/10-01/01, Ur.broj: 5030116-10-1 od 4.03.2010; Klasa 342-01/10-01/01, Ur.broj: 5030116-11-1 od 20.10.2011, Klasa 022-03/13-04/47, Ur. broj: 50301-05/20-13-4 od 11.04.2013.).</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Cilj 1. Koncesioniranje svih državnih linija u obalnom linijskom pomorskom prometu</w:t>
      </w:r>
    </w:p>
    <w:p w:rsidR="00D849AA" w:rsidRDefault="00EE6D95">
      <w:pPr>
        <w:pStyle w:val="Normal6"/>
      </w:pPr>
      <w:r>
        <w:t xml:space="preserve">Od ukupno utvrđenih 56 državnih linija održavaju se 54 linije : od čega 16 brzobrodskih,  27 trajektnih i 13 brodskih linija (2 brodske linije se ne održavaju). </w:t>
      </w:r>
    </w:p>
    <w:p w:rsidR="00D849AA" w:rsidRDefault="00EE6D95">
      <w:pPr>
        <w:pStyle w:val="Normal6"/>
      </w:pPr>
      <w:r>
        <w:t xml:space="preserve">Do 01. srpnja 2013. godine koncesionirano  15 brzobrodskih, 9 brodske i 25 trajektnih linija.  </w:t>
      </w:r>
    </w:p>
    <w:p w:rsidR="00D849AA" w:rsidRDefault="00EE6D95">
      <w:pPr>
        <w:pStyle w:val="Normal6"/>
      </w:pPr>
      <w:r>
        <w:t>Provedbom natječaja za koncesioniranje uvodi se praksa tržišnog natjecanja, potiče se ulazak na tržište novih brodara s plovilima većih kapaciteta, brzine i sigurnosti.</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Udio koncesioniranih trajektnih, brodskih i brzobrodskih linija u ukupnom broju linija</w:t>
            </w:r>
          </w:p>
        </w:tc>
        <w:tc>
          <w:tcPr>
            <w:tcW w:w="1114" w:type="dxa"/>
          </w:tcPr>
          <w:p w:rsidR="00D849AA" w:rsidRDefault="00EE6D95">
            <w:r>
              <w:t>%</w:t>
            </w:r>
          </w:p>
        </w:tc>
        <w:tc>
          <w:tcPr>
            <w:tcW w:w="1114" w:type="dxa"/>
          </w:tcPr>
          <w:p w:rsidR="00D849AA" w:rsidRDefault="00EE6D95">
            <w:r>
              <w:t>90</w:t>
            </w:r>
          </w:p>
        </w:tc>
        <w:tc>
          <w:tcPr>
            <w:tcW w:w="1486" w:type="dxa"/>
          </w:tcPr>
          <w:p w:rsidR="00D849AA" w:rsidRDefault="00EE6D95">
            <w:r>
              <w:t>100</w:t>
            </w:r>
          </w:p>
        </w:tc>
        <w:tc>
          <w:tcPr>
            <w:tcW w:w="1486" w:type="dxa"/>
          </w:tcPr>
          <w:p w:rsidR="00D849AA" w:rsidRDefault="00EE6D95">
            <w:r>
              <w:t>100</w:t>
            </w:r>
          </w:p>
        </w:tc>
        <w:tc>
          <w:tcPr>
            <w:tcW w:w="1486" w:type="dxa"/>
          </w:tcPr>
          <w:p w:rsidR="00D849AA" w:rsidRDefault="00EE6D95">
            <w:r>
              <w:t>100</w:t>
            </w:r>
          </w:p>
        </w:tc>
      </w:tr>
    </w:tbl>
    <w:p w:rsidR="00D849AA" w:rsidRDefault="00D849AA">
      <w:pPr>
        <w:jc w:val="left"/>
      </w:pPr>
    </w:p>
    <w:p w:rsidR="00D61DA2" w:rsidRDefault="00D61DA2">
      <w:pPr>
        <w:pStyle w:val="Naslov5"/>
      </w:pPr>
    </w:p>
    <w:p w:rsidR="00D849AA" w:rsidRDefault="00EE6D95">
      <w:pPr>
        <w:pStyle w:val="Naslov5"/>
      </w:pPr>
      <w:r>
        <w:t>Procjena i ishodište potrebnih sredstava za značajnije aktivnosti/projekte</w:t>
      </w:r>
    </w:p>
    <w:p w:rsidR="00D849AA" w:rsidRDefault="00EE6D95">
      <w:pPr>
        <w:pStyle w:val="Naslov6"/>
      </w:pPr>
      <w:r>
        <w:t>A570323 POTICANJE REDOVITIH POMORSKIH PUTNIČKIH I BRZOBRODSKIH LINIJA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A570323</w:t>
            </w:r>
          </w:p>
        </w:tc>
        <w:tc>
          <w:tcPr>
            <w:tcW w:w="1486" w:type="dxa"/>
          </w:tcPr>
          <w:p w:rsidR="00D849AA" w:rsidRDefault="00EE6D95">
            <w:r>
              <w:t>355.000.000</w:t>
            </w:r>
          </w:p>
        </w:tc>
        <w:tc>
          <w:tcPr>
            <w:tcW w:w="1486" w:type="dxa"/>
          </w:tcPr>
          <w:p w:rsidR="00D849AA" w:rsidRDefault="00EE6D95">
            <w:r>
              <w:t>347.354.400</w:t>
            </w:r>
          </w:p>
        </w:tc>
        <w:tc>
          <w:tcPr>
            <w:tcW w:w="1486" w:type="dxa"/>
          </w:tcPr>
          <w:p w:rsidR="00D849AA" w:rsidRDefault="00EE6D95">
            <w:r>
              <w:t>325.000.000</w:t>
            </w:r>
          </w:p>
        </w:tc>
        <w:tc>
          <w:tcPr>
            <w:tcW w:w="1486" w:type="dxa"/>
          </w:tcPr>
          <w:p w:rsidR="00D849AA" w:rsidRDefault="00EE6D95">
            <w:r>
              <w:t>325.000.000</w:t>
            </w:r>
          </w:p>
        </w:tc>
        <w:tc>
          <w:tcPr>
            <w:tcW w:w="1486" w:type="dxa"/>
          </w:tcPr>
          <w:p w:rsidR="00D849AA" w:rsidRDefault="00EE6D95">
            <w:r>
              <w:t>97,8</w:t>
            </w:r>
          </w:p>
        </w:tc>
      </w:tr>
    </w:tbl>
    <w:p w:rsidR="00D849AA" w:rsidRDefault="00D849AA">
      <w:pPr>
        <w:jc w:val="left"/>
      </w:pPr>
    </w:p>
    <w:p w:rsidR="00D849AA" w:rsidRDefault="00EE6D95">
      <w:pPr>
        <w:pStyle w:val="Normal6"/>
      </w:pPr>
      <w:r>
        <w:t xml:space="preserve">Iz navedene aktivnosti isplaćuju se potpore brodarima koji obavljaju brodski, trajektni i brzobrodski promet, odnosno povezuju otoke s kopnom i otoke međusobno. </w:t>
      </w:r>
    </w:p>
    <w:p w:rsidR="00D849AA" w:rsidRDefault="00EE6D95">
      <w:pPr>
        <w:pStyle w:val="Normal6"/>
      </w:pPr>
      <w:r>
        <w:t xml:space="preserve">Planiranim proračunskim sredstvima za naredno trogodišnje razdoblje osigurat će se uvjeti potrebni da bi brodari u sustavu obalnog linijskog pomorskog prometa mogli obavljati prijevoz po važećoj Odluci Vlade Republike Hrvatske o određivanju državnih linija u javnom prijevozu u linijskom obalnom pomorskom prometu. </w:t>
      </w:r>
    </w:p>
    <w:p w:rsidR="00D849AA" w:rsidRDefault="00EE6D95">
      <w:pPr>
        <w:pStyle w:val="Normal6"/>
      </w:pPr>
      <w:r>
        <w:t xml:space="preserve">Potporom iz državnog proračuna se brodarima, koji održavaju nerentabilne linije, nadoknađuje razlika između ostvarenih prihoda i učinjenih troškova. </w:t>
      </w:r>
    </w:p>
    <w:p w:rsidR="00D849AA" w:rsidRDefault="00EE6D95">
      <w:pPr>
        <w:pStyle w:val="Normal6"/>
      </w:pPr>
      <w:r>
        <w:t>Sredstva potpore se planiraju temeljem potpisanih ugovora o koncesiji, za koncesionirane linije, odnosno temeljem planova brodara o prihodima i rashodima za proračunsko razdoblje, za ostale linije.</w:t>
      </w:r>
    </w:p>
    <w:p w:rsidR="00F60D82" w:rsidRDefault="00F60D82">
      <w:pPr>
        <w:pStyle w:val="Normal6"/>
      </w:pP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6"/>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Broj prevezenih putnika u obalnom linijskom pomorskom prometu</w:t>
            </w:r>
          </w:p>
        </w:tc>
        <w:tc>
          <w:tcPr>
            <w:tcW w:w="1114" w:type="dxa"/>
          </w:tcPr>
          <w:p w:rsidR="00D849AA" w:rsidRDefault="00EE6D95">
            <w:r>
              <w:t>Broj prevezenih putnika</w:t>
            </w:r>
          </w:p>
        </w:tc>
        <w:tc>
          <w:tcPr>
            <w:tcW w:w="1114" w:type="dxa"/>
          </w:tcPr>
          <w:p w:rsidR="00D849AA" w:rsidRDefault="00EE6D95">
            <w:r>
              <w:t>11.157.009</w:t>
            </w:r>
          </w:p>
        </w:tc>
        <w:tc>
          <w:tcPr>
            <w:tcW w:w="1486" w:type="dxa"/>
          </w:tcPr>
          <w:p w:rsidR="00D849AA" w:rsidRDefault="00EE6D95">
            <w:r>
              <w:t>11.159.890</w:t>
            </w:r>
          </w:p>
        </w:tc>
        <w:tc>
          <w:tcPr>
            <w:tcW w:w="1486" w:type="dxa"/>
          </w:tcPr>
          <w:p w:rsidR="00D849AA" w:rsidRDefault="00EE6D95">
            <w:r>
              <w:t>11.161.890</w:t>
            </w:r>
          </w:p>
        </w:tc>
        <w:tc>
          <w:tcPr>
            <w:tcW w:w="1486" w:type="dxa"/>
          </w:tcPr>
          <w:p w:rsidR="00D849AA" w:rsidRDefault="00EE6D95">
            <w:r>
              <w:t>11.170.009</w:t>
            </w:r>
          </w:p>
        </w:tc>
      </w:tr>
      <w:tr w:rsidR="00D849AA">
        <w:trPr>
          <w:jc w:val="center"/>
        </w:trPr>
        <w:tc>
          <w:tcPr>
            <w:tcW w:w="2229" w:type="dxa"/>
          </w:tcPr>
          <w:p w:rsidR="00D849AA" w:rsidRDefault="00EE6D95">
            <w:pPr>
              <w:pStyle w:val="CellColumn"/>
            </w:pPr>
            <w:r>
              <w:t>Broj prevezenih vozila u obalnom linijskom pomorskom prometu</w:t>
            </w:r>
          </w:p>
        </w:tc>
        <w:tc>
          <w:tcPr>
            <w:tcW w:w="1114" w:type="dxa"/>
          </w:tcPr>
          <w:p w:rsidR="00D849AA" w:rsidRDefault="00EE6D95">
            <w:r>
              <w:t>Broj prevezenih vozila</w:t>
            </w:r>
          </w:p>
        </w:tc>
        <w:tc>
          <w:tcPr>
            <w:tcW w:w="1114" w:type="dxa"/>
          </w:tcPr>
          <w:p w:rsidR="00D849AA" w:rsidRDefault="00EE6D95">
            <w:r>
              <w:t>2.764.073</w:t>
            </w:r>
          </w:p>
        </w:tc>
        <w:tc>
          <w:tcPr>
            <w:tcW w:w="1486" w:type="dxa"/>
          </w:tcPr>
          <w:p w:rsidR="00D849AA" w:rsidRDefault="00EE6D95">
            <w:r>
              <w:t>2.766.796</w:t>
            </w:r>
          </w:p>
        </w:tc>
        <w:tc>
          <w:tcPr>
            <w:tcW w:w="1486" w:type="dxa"/>
          </w:tcPr>
          <w:p w:rsidR="00D849AA" w:rsidRDefault="00EE6D95">
            <w:r>
              <w:t>2.770.960</w:t>
            </w:r>
          </w:p>
        </w:tc>
        <w:tc>
          <w:tcPr>
            <w:tcW w:w="1486" w:type="dxa"/>
          </w:tcPr>
          <w:p w:rsidR="00D849AA" w:rsidRDefault="00EE6D95">
            <w:r>
              <w:t>2.800.073</w:t>
            </w:r>
          </w:p>
        </w:tc>
      </w:tr>
    </w:tbl>
    <w:p w:rsidR="00D849AA" w:rsidRDefault="00D849AA">
      <w:pPr>
        <w:jc w:val="left"/>
      </w:pPr>
    </w:p>
    <w:p w:rsidR="00D61DA2" w:rsidRDefault="00D61DA2">
      <w:pPr>
        <w:jc w:val="left"/>
      </w:pPr>
    </w:p>
    <w:p w:rsidR="00D61DA2" w:rsidRDefault="00D61DA2">
      <w:pPr>
        <w:jc w:val="left"/>
      </w:pPr>
    </w:p>
    <w:p w:rsidR="00D849AA" w:rsidRDefault="00EE6D95">
      <w:pPr>
        <w:pStyle w:val="Naslov2"/>
      </w:pPr>
      <w:r>
        <w:lastRenderedPageBreak/>
        <w:t>06550 Agencija za vodne putove</w:t>
      </w:r>
    </w:p>
    <w:p w:rsidR="00D849AA" w:rsidRDefault="00EE6D95">
      <w:pPr>
        <w:pStyle w:val="Naslov4"/>
      </w:pPr>
      <w:r>
        <w:t>Uvod</w:t>
      </w:r>
    </w:p>
    <w:p w:rsidR="00D849AA" w:rsidRDefault="00EE6D95">
      <w:pPr>
        <w:pStyle w:val="Normal3"/>
      </w:pPr>
      <w:r>
        <w:t>Agencija za vodne putove kao javna ustanova, zadužena je za gradnju, tehničko unapređenje, prometno-tehnološku modernizaciju vodnih putova, tehničko održavanje vodnih putova  i osposobljavanje vodnih putova.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06550</w:t>
            </w:r>
          </w:p>
        </w:tc>
        <w:tc>
          <w:tcPr>
            <w:tcW w:w="1486" w:type="dxa"/>
          </w:tcPr>
          <w:p w:rsidR="00D849AA" w:rsidRDefault="00EE6D95">
            <w:r>
              <w:t>21.464.575</w:t>
            </w:r>
          </w:p>
        </w:tc>
        <w:tc>
          <w:tcPr>
            <w:tcW w:w="1486" w:type="dxa"/>
          </w:tcPr>
          <w:p w:rsidR="00D849AA" w:rsidRDefault="00EE6D95">
            <w:r>
              <w:t>23.216.000</w:t>
            </w:r>
          </w:p>
        </w:tc>
        <w:tc>
          <w:tcPr>
            <w:tcW w:w="1486" w:type="dxa"/>
          </w:tcPr>
          <w:p w:rsidR="00D849AA" w:rsidRDefault="00EE6D95">
            <w:r>
              <w:t>23.200.000</w:t>
            </w:r>
          </w:p>
        </w:tc>
        <w:tc>
          <w:tcPr>
            <w:tcW w:w="1486" w:type="dxa"/>
          </w:tcPr>
          <w:p w:rsidR="00D849AA" w:rsidRDefault="00EE6D95">
            <w:r>
              <w:t>23.200.000</w:t>
            </w:r>
          </w:p>
        </w:tc>
        <w:tc>
          <w:tcPr>
            <w:tcW w:w="1486" w:type="dxa"/>
          </w:tcPr>
          <w:p w:rsidR="00D849AA" w:rsidRDefault="00EE6D95">
            <w:r>
              <w:t>108,2</w:t>
            </w:r>
          </w:p>
        </w:tc>
      </w:tr>
    </w:tbl>
    <w:p w:rsidR="00D849AA" w:rsidRDefault="00D849AA">
      <w:pPr>
        <w:jc w:val="left"/>
      </w:pPr>
    </w:p>
    <w:p w:rsidR="00D849AA" w:rsidRDefault="00EE6D95">
      <w:pPr>
        <w:pStyle w:val="Naslov4"/>
      </w:pPr>
      <w:r>
        <w:t>OBRAZLOŽENJE PROGRAMA</w:t>
      </w:r>
    </w:p>
    <w:p w:rsidR="00D849AA" w:rsidRDefault="00EE6D95">
      <w:pPr>
        <w:pStyle w:val="Naslov5"/>
      </w:pPr>
      <w:r>
        <w:t>3115 RAZVOJ SUSTAVA PROMETA NA UNUTARNJIM VODNIM PUTOVIMA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3115</w:t>
            </w:r>
          </w:p>
        </w:tc>
        <w:tc>
          <w:tcPr>
            <w:tcW w:w="1486" w:type="dxa"/>
          </w:tcPr>
          <w:p w:rsidR="00D849AA" w:rsidRDefault="00EE6D95">
            <w:r>
              <w:t>21.464.575</w:t>
            </w:r>
          </w:p>
        </w:tc>
        <w:tc>
          <w:tcPr>
            <w:tcW w:w="1486" w:type="dxa"/>
          </w:tcPr>
          <w:p w:rsidR="00D849AA" w:rsidRDefault="00EE6D95">
            <w:r>
              <w:t>23.216.000</w:t>
            </w:r>
          </w:p>
        </w:tc>
        <w:tc>
          <w:tcPr>
            <w:tcW w:w="1486" w:type="dxa"/>
          </w:tcPr>
          <w:p w:rsidR="00D849AA" w:rsidRDefault="00EE6D95">
            <w:r>
              <w:t>23.200.000</w:t>
            </w:r>
          </w:p>
        </w:tc>
        <w:tc>
          <w:tcPr>
            <w:tcW w:w="1486" w:type="dxa"/>
          </w:tcPr>
          <w:p w:rsidR="00D849AA" w:rsidRDefault="00EE6D95">
            <w:r>
              <w:t>23.200.000</w:t>
            </w:r>
          </w:p>
        </w:tc>
        <w:tc>
          <w:tcPr>
            <w:tcW w:w="1486" w:type="dxa"/>
          </w:tcPr>
          <w:p w:rsidR="00D849AA" w:rsidRDefault="00EE6D95">
            <w:r>
              <w:t>108,2</w:t>
            </w:r>
          </w:p>
        </w:tc>
      </w:tr>
    </w:tbl>
    <w:p w:rsidR="00D849AA" w:rsidRDefault="00D849AA">
      <w:pPr>
        <w:jc w:val="left"/>
      </w:pPr>
    </w:p>
    <w:p w:rsidR="00D849AA" w:rsidRDefault="00EE6D95">
      <w:pPr>
        <w:pStyle w:val="Naslov6"/>
      </w:pPr>
      <w:r>
        <w:t>Opis programa</w:t>
      </w:r>
    </w:p>
    <w:p w:rsidR="00D849AA" w:rsidRDefault="00EE6D95">
      <w:pPr>
        <w:pStyle w:val="Normal5"/>
      </w:pPr>
      <w:r>
        <w:t xml:space="preserve">Program se odnosi na radove upravljanja vodnim putovima što se ostvaruje obavljanjem javne službe kojima se osigurava sigurnost plovidbe, a javna služba obuhvaća sljedeće poslove: </w:t>
      </w:r>
    </w:p>
    <w:p w:rsidR="00D849AA" w:rsidRDefault="00EE6D95">
      <w:pPr>
        <w:pStyle w:val="Normal5"/>
      </w:pPr>
      <w:r>
        <w:t xml:space="preserve">- gradnju, tehničko unapređenje i prometno-tehnološku modernizaciju vodnih putova što najvećim dijelom obuhvaća gradnju objekata sigurnosti plovidbe za tehničko poboljšanje uvjeta plovidbe (zimovnici, sidrišta, okretišta, pera, uzdužne građevine, pragovi i slične građevine kada su u funkciji plovidbe). Predviđene su gradnje radi formiranja i osiguranja prokopa rijeke Drave kod luke Nemetin od km 12 - km 14.  </w:t>
      </w:r>
    </w:p>
    <w:p w:rsidR="00D849AA" w:rsidRDefault="00EE6D95">
      <w:pPr>
        <w:pStyle w:val="Normal5"/>
      </w:pPr>
      <w:r>
        <w:t xml:space="preserve">Radovi izgradnje zimovnika Opatovac, kao i radovi sanacije desne obale Dunava i uređenje plovnog puta kod Sotina u km 1322 do km 1324 rijeke Dunav su planirani realizirati putem strukturnih fondova EU i moguće je da će započeti 2015. godine. </w:t>
      </w:r>
    </w:p>
    <w:p w:rsidR="00D849AA" w:rsidRDefault="00EE6D95">
      <w:pPr>
        <w:pStyle w:val="Normal5"/>
      </w:pPr>
      <w:r>
        <w:t xml:space="preserve">Radovi uređenja plovnog puta na Savi radi postizanja IV klase od Račinovaca do Siska se također očekuju izvoditi od 2016. nadalje putem strukturnih fondova.   </w:t>
      </w:r>
    </w:p>
    <w:p w:rsidR="00D849AA" w:rsidRDefault="00EE6D95">
      <w:pPr>
        <w:pStyle w:val="Normal5"/>
      </w:pPr>
      <w:r>
        <w:t xml:space="preserve">- radove tehničko održavanje plovnih putova  koje obuhvaća snimanje vodnih putova, održavanje dubine plovnih putova, održavanje objekata sigurnosti plovidbe, obilježavanje plovnih putova, održavanje objekata, uređaja i opreme za RIS (CRORIS), interventno održavanje plovnih putova te uklanjanje plutajućih i potonulih predmeta koji ugrožavaju sigurnost plovidbe, a sve u svrhu razvijanja prometnog sustava odnosno prometne  infrastrukture. Problemi pri radovima tehničkog održavanja plovnih putova razlikuju se s obzirom na prirodu plovnog puta, te nisu zastupljeni u jednakoj mjeri na svim plovnim putovima već su specifični. Najveći problemi u plovidbi su  na rijeci Savi  koja predstavlja usko grlo u plovidbi u odnosu na ostale plovne putove radi devastiranja plovnog korita uslijed nedovoljno kontrolirane eksploatacije šljunka i pijeska u razdoblju od 2005. do 2010. pretežno </w:t>
      </w:r>
      <w:r>
        <w:lastRenderedPageBreak/>
        <w:t xml:space="preserve">od strane gospodarskih subjekata iz BiH na dionici nizvodno Slavonskog Broda kao i nedovoljne razine ulaganja u održavanje dubina na dionici uzvodno Slavonskog Broda u posljednje 3 godine. Stanje plovnosti je na donjoj granici III klase, a na pojedinim dionicama i ispod mjerila III klase.  Stoga su na Savi potrebni intenzivniji radovi u smislu održavanja dubine plovnog puta kako bi se ista vratila na mjerila III klase kako je sada razvrstan vodni put na Savi, a na Dunavu i Dravi bi se obavljali u opsegu potrebnom za održavanje postojećeg stanja plovnosti. </w:t>
      </w:r>
    </w:p>
    <w:p w:rsidR="00D849AA" w:rsidRDefault="00EE6D95">
      <w:pPr>
        <w:pStyle w:val="Normal5"/>
      </w:pPr>
      <w:r>
        <w:t xml:space="preserve">- Osposobljavanje vodnih putova i objekata sigurnosti plovidbe onesposobljenih zbog elementarnih nepogoda. Ovi poslovi se posebno ne planiraju već se obavljaju prema posebnom  programu u slučaju elementarnih nepogoda koje imaju karakter izvanrednih okolnosti. </w:t>
      </w:r>
    </w:p>
    <w:p w:rsidR="00D849AA" w:rsidRDefault="00EE6D95">
      <w:pPr>
        <w:pStyle w:val="Normal5"/>
      </w:pPr>
      <w:r>
        <w:t>U Strategiji Vladinih programa za razdoblje 2014.-2016. Ovaj program povezan je sa Općim ciljem 3.Ravnomjerni regionalni razvoj, Posebni cilj 3.4. Održivi razvoj prometnog sustava.</w:t>
      </w:r>
    </w:p>
    <w:p w:rsidR="00D849AA" w:rsidRDefault="00EE6D95">
      <w:pPr>
        <w:pStyle w:val="Naslov6"/>
      </w:pPr>
      <w:r>
        <w:t>Zakonske i druge pravne osnove</w:t>
      </w:r>
    </w:p>
    <w:p w:rsidR="00D849AA" w:rsidRDefault="00EE6D95">
      <w:pPr>
        <w:pStyle w:val="Normal5"/>
      </w:pPr>
      <w:r>
        <w:t xml:space="preserve">Zakon o plovidbi i lukama unutarnjih voda(NN109/07,132/07 i 51/13), </w:t>
      </w:r>
    </w:p>
    <w:p w:rsidR="00D849AA" w:rsidRDefault="00EE6D95">
      <w:pPr>
        <w:pStyle w:val="Normal5"/>
      </w:pPr>
      <w:r>
        <w:t xml:space="preserve">Pravilnik o tehničkom održavanju vodnih putova(NN 62/09 i136/12),  </w:t>
      </w:r>
    </w:p>
    <w:p w:rsidR="00D849AA" w:rsidRDefault="00EE6D95">
      <w:pPr>
        <w:pStyle w:val="Normal5"/>
      </w:pPr>
      <w:r>
        <w:t xml:space="preserve">Strategija razvitka riječnog prometa u Republici Hrvatskoj 2008-2018(NN 65/08),  </w:t>
      </w:r>
    </w:p>
    <w:p w:rsidR="00D849AA" w:rsidRDefault="00EE6D95">
      <w:pPr>
        <w:pStyle w:val="Normal5"/>
      </w:pPr>
      <w:r>
        <w:t>Srednjoročni plan razvitka plovnih putova i luka unutarnjih voda Republike Hrvatske 2009-2016.</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Cilj 1. Poboljšanje uvjeta plovidbe</w:t>
      </w:r>
    </w:p>
    <w:p w:rsidR="00D849AA" w:rsidRDefault="00EE6D95">
      <w:pPr>
        <w:pStyle w:val="Normal6"/>
      </w:pPr>
      <w:r>
        <w:t>Izgradnjom objekata sigurnosti plovidbe otkloniti lokalne smetnje na vodnim putovima Drave i Dunava koje utječu na smanjenje broja plovidbenih dana punim gazom i time osigurati mogućnost održavanja dubine za puni gaz kroz 320 do 330 dana godišnje, a na vodnom putu rijeke Save gdje plovni put ne udovoljava uvjetima međunarodnog prometa vršiti pripreme za početak radova uređenja plovnog puta radi postizanja IV klase plovnosti. Radovima tehničkog održavanja, koji pored radova na održavanju dubina obuhvaćaju i radove na održavanju –sanaciji objekata sigurnosti plovidbe ( pera, obaloutvrde, paralelne građevine itd) će se  na vodnim putovima Dunava i Drave na kojima je osigurana  normirana klasa plovnosti održavati postojeća plovnost, a na vodnom putu Save, gdje je stanje u odnosu na normiranu klasu plovnosti pogoršano,  osigurati minimalan broj dana plovnosti godišnje za III. tj. normiranu klasu. Radovima održavanja i tehničkim poboljšanjem sustava obilježavanja i riječnog informacijskog sustava (CRORIS) osigurati sigurnu plovidbu na međunarodnim vodnim putovima</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Duljina uređenih plovnih putova</w:t>
            </w:r>
          </w:p>
        </w:tc>
        <w:tc>
          <w:tcPr>
            <w:tcW w:w="1114" w:type="dxa"/>
          </w:tcPr>
          <w:p w:rsidR="00D849AA" w:rsidRDefault="00EE6D95">
            <w:r>
              <w:t>Km</w:t>
            </w:r>
          </w:p>
        </w:tc>
        <w:tc>
          <w:tcPr>
            <w:tcW w:w="1114" w:type="dxa"/>
          </w:tcPr>
          <w:p w:rsidR="00D849AA" w:rsidRDefault="00EE6D95">
            <w:r>
              <w:t>725</w:t>
            </w:r>
          </w:p>
        </w:tc>
        <w:tc>
          <w:tcPr>
            <w:tcW w:w="1486" w:type="dxa"/>
          </w:tcPr>
          <w:p w:rsidR="00D849AA" w:rsidRDefault="00EE6D95">
            <w:r>
              <w:t>740</w:t>
            </w:r>
          </w:p>
        </w:tc>
        <w:tc>
          <w:tcPr>
            <w:tcW w:w="1486" w:type="dxa"/>
          </w:tcPr>
          <w:p w:rsidR="00D849AA" w:rsidRDefault="00EE6D95">
            <w:r>
              <w:t>780</w:t>
            </w:r>
          </w:p>
        </w:tc>
        <w:tc>
          <w:tcPr>
            <w:tcW w:w="1486" w:type="dxa"/>
          </w:tcPr>
          <w:p w:rsidR="00D849AA" w:rsidRDefault="00EE6D95">
            <w:r>
              <w:t>820</w:t>
            </w:r>
          </w:p>
        </w:tc>
      </w:tr>
    </w:tbl>
    <w:p w:rsidR="00D849AA" w:rsidRDefault="00D849AA">
      <w:pPr>
        <w:jc w:val="left"/>
      </w:pPr>
    </w:p>
    <w:p w:rsidR="00D849AA" w:rsidRDefault="00EE6D95">
      <w:pPr>
        <w:pStyle w:val="Naslov5"/>
      </w:pPr>
      <w:r>
        <w:lastRenderedPageBreak/>
        <w:t>Procjena i ishodište potrebnih sredstava za značajnije aktivnosti/projekte</w:t>
      </w:r>
    </w:p>
    <w:p w:rsidR="00D849AA" w:rsidRDefault="00EE6D95">
      <w:pPr>
        <w:pStyle w:val="Naslov6"/>
      </w:pPr>
      <w:r>
        <w:t>K810001 GRADNJA I TEHNIČKO ODRŽAVANJE PLOVNIH PUTOVA UNUTARNJIH VODA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K810001</w:t>
            </w:r>
          </w:p>
        </w:tc>
        <w:tc>
          <w:tcPr>
            <w:tcW w:w="1486" w:type="dxa"/>
          </w:tcPr>
          <w:p w:rsidR="00D849AA" w:rsidRDefault="00EE6D95">
            <w:r>
              <w:t>12.600.000</w:t>
            </w:r>
          </w:p>
        </w:tc>
        <w:tc>
          <w:tcPr>
            <w:tcW w:w="1486" w:type="dxa"/>
          </w:tcPr>
          <w:p w:rsidR="00D849AA" w:rsidRDefault="00EE6D95">
            <w:r>
              <w:t>13.230.000</w:t>
            </w:r>
          </w:p>
        </w:tc>
        <w:tc>
          <w:tcPr>
            <w:tcW w:w="1486" w:type="dxa"/>
          </w:tcPr>
          <w:p w:rsidR="00D849AA" w:rsidRDefault="00EE6D95">
            <w:r>
              <w:t>14.410.000</w:t>
            </w:r>
          </w:p>
        </w:tc>
        <w:tc>
          <w:tcPr>
            <w:tcW w:w="1486" w:type="dxa"/>
          </w:tcPr>
          <w:p w:rsidR="00D849AA" w:rsidRDefault="00EE6D95">
            <w:r>
              <w:t>15.010.000</w:t>
            </w:r>
          </w:p>
        </w:tc>
        <w:tc>
          <w:tcPr>
            <w:tcW w:w="1486" w:type="dxa"/>
          </w:tcPr>
          <w:p w:rsidR="00D849AA" w:rsidRDefault="00EE6D95">
            <w:r>
              <w:t>105,0</w:t>
            </w:r>
          </w:p>
        </w:tc>
      </w:tr>
    </w:tbl>
    <w:p w:rsidR="00D849AA" w:rsidRDefault="00D849AA">
      <w:pPr>
        <w:jc w:val="left"/>
      </w:pPr>
    </w:p>
    <w:p w:rsidR="00D849AA" w:rsidRDefault="00EE6D95">
      <w:pPr>
        <w:pStyle w:val="Normal6"/>
      </w:pPr>
      <w:r>
        <w:t xml:space="preserve">Projekt obuhvaća gradnju, tehničko unapređenje i prometno-tehnološku modernizaciju vodnih putova te radova tehničkog održavanja plovnog korita ( dubina i širina plovnog puta), održavanje objekata sigurnosti plovidbe, obilježavanje plovnih putova te nadogradnju objekata, uređaja i opreme za RIS (Riječne informacijske sustave),  da bi se povećala  sigurnost plovidbe. Preduvjet sigurne plovidbe je dobra obilježenost plovnih putova koja se postiže kroz radove na održavanju postojećih objekata sigurnosti plovidbe , unapređenja i modernizacije objekata sigurnosti plovidbe  te redovitom ophodnjom i praćenje  stanja plovnih putova. Svi ovi radovi su po svojoj osnovi specifični, često nepredvidljivi i njihov obim i sredstva potrebna za izvođenje istih ovisi o klimatskim i  hidrološkim  prilikama. </w:t>
      </w:r>
    </w:p>
    <w:p w:rsidR="00D849AA" w:rsidRDefault="00EE6D95">
      <w:pPr>
        <w:pStyle w:val="Normal6"/>
      </w:pPr>
      <w:r>
        <w:t xml:space="preserve">Za planirani projekt Gradnja i tehničko održavanje plovnih putova unutarnjih voda Republike  Hrvatske, a na  temelju godišnjeg praćenja  stanja plovnosti , utvrđene su vrijednosti  potrebnih sredstava za provedbu projekta  pa je za provedbu projekta  potrebno osigurati sredstva za 2014.godinu  13.230.000,00 kuna( za radove održavanja dubina plovnih putova , održavanje sustava CRORIS i obilježavanje vodnih putova 6.030.000,00, za izradu projektne dokumentacije 1.350.000,00 za radove na plovnom putu 4.000.000,00 i dodatna ulaganja 1.750.000,00), </w:t>
      </w:r>
    </w:p>
    <w:p w:rsidR="00D849AA" w:rsidRDefault="00EE6D95">
      <w:pPr>
        <w:pStyle w:val="Normal6"/>
      </w:pPr>
      <w:r>
        <w:t xml:space="preserve">za 2015.godinu  14.410.000,00( za radove održavanja dubina plovnih putova , održavanje sustava CRORIS i obilježavanje vodnih putova 6.610.000,00, za izradu projektne dokumentacije 1.300.000,00 za radove na plovnom putu 5.000.000,00 i dodatna ulaganja 1.500.000,00) i  </w:t>
      </w:r>
    </w:p>
    <w:p w:rsidR="00D849AA" w:rsidRDefault="00EE6D95">
      <w:pPr>
        <w:pStyle w:val="Normal6"/>
      </w:pPr>
      <w:r>
        <w:t>2016.godinu  15.010.000,00 kuna( za radove održavanja dubina plovnih putova , održavanje sustava CRORIS i obilježavanje vodnih putova 7.210.000,00, za izradu projektne dokumentacije 1.300.000,00 za radove na plovnom putu 5.000.000,00 i dodatna ulaganja 1.500.000,00).</w:t>
      </w:r>
    </w:p>
    <w:p w:rsidR="00F60D82" w:rsidRDefault="00F60D82">
      <w:pPr>
        <w:pStyle w:val="Normal6"/>
      </w:pPr>
    </w:p>
    <w:p w:rsidR="00F60D82" w:rsidRDefault="00F60D82">
      <w:pPr>
        <w:pStyle w:val="Normal6"/>
      </w:pP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Broj plovidbenih dana</w:t>
            </w:r>
          </w:p>
        </w:tc>
        <w:tc>
          <w:tcPr>
            <w:tcW w:w="1114" w:type="dxa"/>
          </w:tcPr>
          <w:p w:rsidR="00D849AA" w:rsidRDefault="00EE6D95">
            <w:r>
              <w:t>Broj  dana u godini</w:t>
            </w:r>
          </w:p>
        </w:tc>
        <w:tc>
          <w:tcPr>
            <w:tcW w:w="1114" w:type="dxa"/>
          </w:tcPr>
          <w:p w:rsidR="00D849AA" w:rsidRDefault="00EE6D95">
            <w:r>
              <w:t>196</w:t>
            </w:r>
          </w:p>
        </w:tc>
        <w:tc>
          <w:tcPr>
            <w:tcW w:w="1486" w:type="dxa"/>
          </w:tcPr>
          <w:p w:rsidR="00D849AA" w:rsidRDefault="00EE6D95">
            <w:r>
              <w:t>205</w:t>
            </w:r>
          </w:p>
        </w:tc>
        <w:tc>
          <w:tcPr>
            <w:tcW w:w="1486" w:type="dxa"/>
          </w:tcPr>
          <w:p w:rsidR="00D849AA" w:rsidRDefault="00EE6D95">
            <w:r>
              <w:t>220</w:t>
            </w:r>
          </w:p>
        </w:tc>
        <w:tc>
          <w:tcPr>
            <w:tcW w:w="1486" w:type="dxa"/>
          </w:tcPr>
          <w:p w:rsidR="00D849AA" w:rsidRDefault="00EE6D95">
            <w:r>
              <w:t>240</w:t>
            </w:r>
          </w:p>
        </w:tc>
      </w:tr>
    </w:tbl>
    <w:p w:rsidR="00D849AA" w:rsidRDefault="00D849AA">
      <w:pPr>
        <w:jc w:val="left"/>
      </w:pPr>
    </w:p>
    <w:p w:rsidR="00D849AA" w:rsidRDefault="00EE6D95">
      <w:pPr>
        <w:pStyle w:val="Naslov2"/>
      </w:pPr>
      <w:r>
        <w:lastRenderedPageBreak/>
        <w:t>06551 Agencije u prometu i infrastrukturi</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45084</w:t>
            </w:r>
          </w:p>
        </w:tc>
        <w:tc>
          <w:tcPr>
            <w:tcW w:w="1486" w:type="dxa"/>
          </w:tcPr>
          <w:p w:rsidR="00D849AA" w:rsidRDefault="00EE6D95">
            <w:r>
              <w:t>11.630.560</w:t>
            </w:r>
          </w:p>
        </w:tc>
        <w:tc>
          <w:tcPr>
            <w:tcW w:w="1486" w:type="dxa"/>
          </w:tcPr>
          <w:p w:rsidR="00D849AA" w:rsidRDefault="00EE6D95">
            <w:r>
              <w:t>00</w:t>
            </w:r>
          </w:p>
        </w:tc>
        <w:tc>
          <w:tcPr>
            <w:tcW w:w="1486" w:type="dxa"/>
          </w:tcPr>
          <w:p w:rsidR="00D849AA" w:rsidRDefault="00EE6D95">
            <w:r>
              <w:t>00</w:t>
            </w:r>
          </w:p>
        </w:tc>
        <w:tc>
          <w:tcPr>
            <w:tcW w:w="1486" w:type="dxa"/>
          </w:tcPr>
          <w:p w:rsidR="00D849AA" w:rsidRDefault="00EE6D95">
            <w:r>
              <w:t>00</w:t>
            </w:r>
          </w:p>
        </w:tc>
        <w:tc>
          <w:tcPr>
            <w:tcW w:w="1486" w:type="dxa"/>
          </w:tcPr>
          <w:p w:rsidR="00D849AA" w:rsidRDefault="00EE6D95">
            <w:r>
              <w:t>0,0</w:t>
            </w:r>
          </w:p>
        </w:tc>
      </w:tr>
      <w:tr w:rsidR="00D849AA">
        <w:trPr>
          <w:jc w:val="center"/>
        </w:trPr>
        <w:tc>
          <w:tcPr>
            <w:tcW w:w="1486" w:type="dxa"/>
          </w:tcPr>
          <w:p w:rsidR="00D849AA" w:rsidRDefault="00EE6D95">
            <w:pPr>
              <w:pStyle w:val="CellColumn"/>
            </w:pPr>
            <w:r>
              <w:t>45228</w:t>
            </w:r>
          </w:p>
        </w:tc>
        <w:tc>
          <w:tcPr>
            <w:tcW w:w="1486" w:type="dxa"/>
          </w:tcPr>
          <w:p w:rsidR="00D849AA" w:rsidRDefault="00EE6D95">
            <w:r>
              <w:t>5.945.000</w:t>
            </w:r>
          </w:p>
        </w:tc>
        <w:tc>
          <w:tcPr>
            <w:tcW w:w="1486" w:type="dxa"/>
          </w:tcPr>
          <w:p w:rsidR="00D849AA" w:rsidRDefault="00EE6D95">
            <w:r>
              <w:t>5.945.000</w:t>
            </w:r>
          </w:p>
        </w:tc>
        <w:tc>
          <w:tcPr>
            <w:tcW w:w="1486" w:type="dxa"/>
          </w:tcPr>
          <w:p w:rsidR="00D849AA" w:rsidRDefault="00EE6D95">
            <w:r>
              <w:t>5.945.000</w:t>
            </w:r>
          </w:p>
        </w:tc>
        <w:tc>
          <w:tcPr>
            <w:tcW w:w="1486" w:type="dxa"/>
          </w:tcPr>
          <w:p w:rsidR="00D849AA" w:rsidRDefault="00EE6D95">
            <w:r>
              <w:t>5.945.000</w:t>
            </w:r>
          </w:p>
        </w:tc>
        <w:tc>
          <w:tcPr>
            <w:tcW w:w="1486" w:type="dxa"/>
          </w:tcPr>
          <w:p w:rsidR="00D849AA" w:rsidRDefault="00EE6D95">
            <w:r>
              <w:t>100,0</w:t>
            </w:r>
          </w:p>
        </w:tc>
      </w:tr>
      <w:tr w:rsidR="00D849AA">
        <w:trPr>
          <w:jc w:val="center"/>
        </w:trPr>
        <w:tc>
          <w:tcPr>
            <w:tcW w:w="1486" w:type="dxa"/>
          </w:tcPr>
          <w:p w:rsidR="00D849AA" w:rsidRDefault="00EE6D95">
            <w:pPr>
              <w:pStyle w:val="CellColumn"/>
            </w:pPr>
            <w:r>
              <w:t>48031</w:t>
            </w:r>
          </w:p>
        </w:tc>
        <w:tc>
          <w:tcPr>
            <w:tcW w:w="1486" w:type="dxa"/>
          </w:tcPr>
          <w:p w:rsidR="00D849AA" w:rsidRDefault="00EE6D95">
            <w:r>
              <w:t>00</w:t>
            </w:r>
          </w:p>
        </w:tc>
        <w:tc>
          <w:tcPr>
            <w:tcW w:w="1486" w:type="dxa"/>
          </w:tcPr>
          <w:p w:rsidR="00D849AA" w:rsidRDefault="00EE6D95">
            <w:r>
              <w:t>8.535.000</w:t>
            </w:r>
          </w:p>
        </w:tc>
        <w:tc>
          <w:tcPr>
            <w:tcW w:w="1486" w:type="dxa"/>
          </w:tcPr>
          <w:p w:rsidR="00D849AA" w:rsidRDefault="00EE6D95">
            <w:r>
              <w:t>6.980.000</w:t>
            </w:r>
          </w:p>
        </w:tc>
        <w:tc>
          <w:tcPr>
            <w:tcW w:w="1486" w:type="dxa"/>
          </w:tcPr>
          <w:p w:rsidR="00D849AA" w:rsidRDefault="00EE6D95">
            <w:r>
              <w:t>6.980.000</w:t>
            </w:r>
          </w:p>
        </w:tc>
        <w:tc>
          <w:tcPr>
            <w:tcW w:w="1486" w:type="dxa"/>
          </w:tcPr>
          <w:p w:rsidR="00D849AA" w:rsidRDefault="00EE6D95">
            <w:r>
              <w:t>0,0</w:t>
            </w:r>
          </w:p>
        </w:tc>
      </w:tr>
    </w:tbl>
    <w:p w:rsidR="00D849AA" w:rsidRDefault="00D849AA">
      <w:pPr>
        <w:jc w:val="left"/>
      </w:pPr>
    </w:p>
    <w:p w:rsidR="00D849AA" w:rsidRDefault="00EE6D95">
      <w:pPr>
        <w:pStyle w:val="Naslov3"/>
      </w:pPr>
      <w:r>
        <w:t>45228 Agencija za sigurnost željezničkog prometa</w:t>
      </w:r>
    </w:p>
    <w:p w:rsidR="00D849AA" w:rsidRDefault="00EE6D95">
      <w:pPr>
        <w:pStyle w:val="Naslov4"/>
      </w:pPr>
      <w:r>
        <w:t>Uvod</w:t>
      </w:r>
    </w:p>
    <w:p w:rsidR="00D849AA" w:rsidRDefault="00EE6D95">
      <w:pPr>
        <w:pStyle w:val="Normal5"/>
      </w:pPr>
      <w:r>
        <w:t>Kroz rad Agencije za sigurnost željezničkog prometa (dalje: Agencija), osiguravat će se provedba aktivnosti pripreme i prilagodbe budućim tržišnim uvjetima liberaliziranog željezničkog tržišta. Bitna pretpostavka je prihvaćanje svih domaćih i europskih tehničkih standarda i normi, kojima trebaju udovoljavati željeznički operateri u upravitelj infrastrukture, odnosno svi akteri prisutni na tržištu, uključujući i izvršne radnike. Zadaća Agencije je provedba svih aktivnosti vezanih za djelatnost i rad Agencije za sigurnost željezničkog prometa koja je, između ostalog, prvenstveno zadužena za nadzor, upravljanje i promicanje sigurnosti u željezničkom prometu.</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45228</w:t>
            </w:r>
          </w:p>
        </w:tc>
        <w:tc>
          <w:tcPr>
            <w:tcW w:w="1486" w:type="dxa"/>
          </w:tcPr>
          <w:p w:rsidR="00D849AA" w:rsidRDefault="00EE6D95">
            <w:r>
              <w:t>5.945.000</w:t>
            </w:r>
          </w:p>
        </w:tc>
        <w:tc>
          <w:tcPr>
            <w:tcW w:w="1486" w:type="dxa"/>
          </w:tcPr>
          <w:p w:rsidR="00D849AA" w:rsidRDefault="00EE6D95">
            <w:r>
              <w:t>5.945.000</w:t>
            </w:r>
          </w:p>
        </w:tc>
        <w:tc>
          <w:tcPr>
            <w:tcW w:w="1486" w:type="dxa"/>
          </w:tcPr>
          <w:p w:rsidR="00D849AA" w:rsidRDefault="00EE6D95">
            <w:r>
              <w:t>5.945.000</w:t>
            </w:r>
          </w:p>
        </w:tc>
        <w:tc>
          <w:tcPr>
            <w:tcW w:w="1486" w:type="dxa"/>
          </w:tcPr>
          <w:p w:rsidR="00D849AA" w:rsidRDefault="00EE6D95">
            <w:r>
              <w:t>5.945.000</w:t>
            </w:r>
          </w:p>
        </w:tc>
        <w:tc>
          <w:tcPr>
            <w:tcW w:w="1486" w:type="dxa"/>
          </w:tcPr>
          <w:p w:rsidR="00D849AA" w:rsidRDefault="00EE6D95">
            <w:r>
              <w:t>100,0</w:t>
            </w:r>
          </w:p>
        </w:tc>
      </w:tr>
    </w:tbl>
    <w:p w:rsidR="00D849AA" w:rsidRDefault="00D849AA">
      <w:pPr>
        <w:jc w:val="left"/>
      </w:pPr>
    </w:p>
    <w:p w:rsidR="00D849AA" w:rsidRDefault="00EE6D95">
      <w:pPr>
        <w:pStyle w:val="Naslov4"/>
      </w:pPr>
      <w:r>
        <w:t>OBRAZLOŽENJE PROGRAMA</w:t>
      </w:r>
    </w:p>
    <w:p w:rsidR="00D849AA" w:rsidRDefault="00EE6D95">
      <w:pPr>
        <w:pStyle w:val="Naslov5"/>
      </w:pPr>
      <w:r>
        <w:t>3114 RAZVOJ SUSTAVA ŽELJEZNIČKOG PROMETA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3114</w:t>
            </w:r>
          </w:p>
        </w:tc>
        <w:tc>
          <w:tcPr>
            <w:tcW w:w="1486" w:type="dxa"/>
          </w:tcPr>
          <w:p w:rsidR="00D849AA" w:rsidRDefault="00EE6D95">
            <w:r>
              <w:t>5.945.000</w:t>
            </w:r>
          </w:p>
        </w:tc>
        <w:tc>
          <w:tcPr>
            <w:tcW w:w="1486" w:type="dxa"/>
          </w:tcPr>
          <w:p w:rsidR="00D849AA" w:rsidRDefault="00EE6D95">
            <w:r>
              <w:t>5.945.000</w:t>
            </w:r>
          </w:p>
        </w:tc>
        <w:tc>
          <w:tcPr>
            <w:tcW w:w="1486" w:type="dxa"/>
          </w:tcPr>
          <w:p w:rsidR="00D849AA" w:rsidRDefault="00EE6D95">
            <w:r>
              <w:t>5.945.000</w:t>
            </w:r>
          </w:p>
        </w:tc>
        <w:tc>
          <w:tcPr>
            <w:tcW w:w="1486" w:type="dxa"/>
          </w:tcPr>
          <w:p w:rsidR="00D849AA" w:rsidRDefault="00EE6D95">
            <w:r>
              <w:t>5.945.000</w:t>
            </w:r>
          </w:p>
        </w:tc>
        <w:tc>
          <w:tcPr>
            <w:tcW w:w="1486" w:type="dxa"/>
          </w:tcPr>
          <w:p w:rsidR="00D849AA" w:rsidRDefault="00EE6D95">
            <w:r>
              <w:t>100,0</w:t>
            </w:r>
          </w:p>
        </w:tc>
      </w:tr>
    </w:tbl>
    <w:p w:rsidR="00D849AA" w:rsidRDefault="00D849AA">
      <w:pPr>
        <w:jc w:val="left"/>
      </w:pPr>
    </w:p>
    <w:p w:rsidR="00D849AA" w:rsidRDefault="00EE6D95">
      <w:pPr>
        <w:pStyle w:val="Naslov6"/>
      </w:pPr>
      <w:r>
        <w:t>Opis programa</w:t>
      </w:r>
    </w:p>
    <w:p w:rsidR="00D849AA" w:rsidRDefault="00EE6D95">
      <w:r>
        <w:t xml:space="preserve">U nadolazećem razdoblju 2014.-2016. godine, Agencija će provoditi program u dijelu koji se odnosi na nadzor i promicanje unapređenja sustava upravljanja sigurnosti željezničkog prometa te rješavanja upravnih predmeta, sukladno zakonskim ovlastima Agencije, neposrednom provedbom nacionalnih pravila sigurnosti željezničkog prometa i relevantnih pravila EU što proizlazi iz statusa punopravnog članstva RH u EU, zatim kroz dostave redovitih izvješća nadležnim državnim institucijama i Europskoj željezničkoj agencije te suradnji sa stranim agencijama za sigurnost željezničkog prometa. </w:t>
      </w:r>
    </w:p>
    <w:p w:rsidR="00D849AA" w:rsidRDefault="00EE6D95">
      <w:r>
        <w:lastRenderedPageBreak/>
        <w:t xml:space="preserve">U Strategiji Vladinih programa za razdoblje 2014.-2016. godine Agencija provodi program u dijelu koji je povezan je sa Općim ciljem 3. Ravnomjerni regionalni razvoj i posebnim ciljem 3.4. Održivi razvoj prometnog sustava.  </w:t>
      </w:r>
    </w:p>
    <w:p w:rsidR="00D849AA" w:rsidRDefault="00EE6D95">
      <w:r>
        <w:t>U Strateškom planu Ministarstva pomorstva, prometa i infrastrukture za razdoblje 2014.-2016. godine Agencija provodi program u dijelu koji je povezan sa Općim ciljem 1. Održivi razvoj prometnog sustava, Posebni cilj 1.4. Razvijen sustav željezničkog i cestovnog prometa a način ostvarenja postavljenog posebnog cilja je 1.4.3. Sigurnost kopnenog prometa.</w:t>
      </w:r>
    </w:p>
    <w:p w:rsidR="00D849AA" w:rsidRDefault="00EE6D95">
      <w:pPr>
        <w:pStyle w:val="Naslov6"/>
      </w:pPr>
      <w:r>
        <w:t>Zakonske i druge pravne osnove</w:t>
      </w:r>
    </w:p>
    <w:p w:rsidR="00D849AA" w:rsidRDefault="00EE6D95">
      <w:r>
        <w:t xml:space="preserve">Zakon o sigurnosti i interoperabilnosti željezničkog sustava (NN 82/13),  </w:t>
      </w:r>
    </w:p>
    <w:p w:rsidR="00D849AA" w:rsidRDefault="00EE6D95">
      <w:r>
        <w:t xml:space="preserve">Zakon o željeznici (NN 94/13), </w:t>
      </w:r>
    </w:p>
    <w:p w:rsidR="00D849AA" w:rsidRDefault="00EE6D95">
      <w:r>
        <w:t xml:space="preserve">Zakon o ustanovama (NN 76/93, 29/97, 47/99 i 35/08), </w:t>
      </w:r>
    </w:p>
    <w:p w:rsidR="00D849AA" w:rsidRDefault="00EE6D95">
      <w:r>
        <w:t>Zakon o općem upravnom postupku (NN 47/09).</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Cilj 1. Povećanje sigurnosti željezničkog prometa, sukladno  relevantnim pravilima EU</w:t>
      </w:r>
    </w:p>
    <w:p w:rsidR="00D849AA" w:rsidRDefault="00EE6D95">
      <w:pPr>
        <w:pStyle w:val="Normal6"/>
      </w:pPr>
      <w:r>
        <w:t>Cilj ovoga programa u dijelu koji se odnosi na Agenciju je povećanje i poboljšanje sigurnosti željezničkog prometa, neposrednom provedbom nacionalnih pravila sigurnosti željezničkog prometa i relevantnih pravila EU i izdavanja rješenja, odnosno upravnih predmeta iz područja djelovanja Agencije.</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Broj izdanih rješenja, odnosno riješenih upravnih predmeta iz područja djelovanja Agencije</w:t>
            </w:r>
          </w:p>
        </w:tc>
        <w:tc>
          <w:tcPr>
            <w:tcW w:w="1114" w:type="dxa"/>
          </w:tcPr>
          <w:p w:rsidR="00D849AA" w:rsidRDefault="00EE6D95">
            <w:r>
              <w:t>Broj</w:t>
            </w:r>
          </w:p>
        </w:tc>
        <w:tc>
          <w:tcPr>
            <w:tcW w:w="1114" w:type="dxa"/>
          </w:tcPr>
          <w:p w:rsidR="00D849AA" w:rsidRDefault="00EE6D95">
            <w:r>
              <w:t>7</w:t>
            </w:r>
          </w:p>
        </w:tc>
        <w:tc>
          <w:tcPr>
            <w:tcW w:w="1486" w:type="dxa"/>
          </w:tcPr>
          <w:p w:rsidR="00D849AA" w:rsidRDefault="00EE6D95">
            <w:r>
              <w:t>30</w:t>
            </w:r>
          </w:p>
        </w:tc>
        <w:tc>
          <w:tcPr>
            <w:tcW w:w="1486" w:type="dxa"/>
          </w:tcPr>
          <w:p w:rsidR="00D849AA" w:rsidRDefault="00EE6D95">
            <w:r>
              <w:t>30</w:t>
            </w:r>
          </w:p>
        </w:tc>
        <w:tc>
          <w:tcPr>
            <w:tcW w:w="1486" w:type="dxa"/>
          </w:tcPr>
          <w:p w:rsidR="00D849AA" w:rsidRDefault="00EE6D95">
            <w:r>
              <w:t>30</w:t>
            </w:r>
          </w:p>
        </w:tc>
      </w:tr>
    </w:tbl>
    <w:p w:rsidR="00D849AA" w:rsidRDefault="00D849AA">
      <w:pPr>
        <w:jc w:val="left"/>
      </w:pPr>
    </w:p>
    <w:p w:rsidR="00D849AA" w:rsidRDefault="00EE6D95">
      <w:pPr>
        <w:pStyle w:val="Naslov5"/>
      </w:pPr>
      <w:r>
        <w:t>Procjena i ishodište potrebnih sredstava za značajnije aktivnosti/projekte</w:t>
      </w:r>
    </w:p>
    <w:p w:rsidR="00D849AA" w:rsidRDefault="00EE6D95">
      <w:pPr>
        <w:pStyle w:val="Naslov6"/>
      </w:pPr>
      <w:r>
        <w:t>A840001 ADMINISTRACIJA I UPRAVLJANJE AGENCIJE ZA SIGURNOST ŽELJEZNIČKOG PROMETA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A840001</w:t>
            </w:r>
          </w:p>
        </w:tc>
        <w:tc>
          <w:tcPr>
            <w:tcW w:w="1486" w:type="dxa"/>
          </w:tcPr>
          <w:p w:rsidR="00D849AA" w:rsidRDefault="00EE6D95">
            <w:r>
              <w:t>5.290.000</w:t>
            </w:r>
          </w:p>
        </w:tc>
        <w:tc>
          <w:tcPr>
            <w:tcW w:w="1486" w:type="dxa"/>
          </w:tcPr>
          <w:p w:rsidR="00D849AA" w:rsidRDefault="00EE6D95">
            <w:r>
              <w:t>5.390.000</w:t>
            </w:r>
          </w:p>
        </w:tc>
        <w:tc>
          <w:tcPr>
            <w:tcW w:w="1486" w:type="dxa"/>
          </w:tcPr>
          <w:p w:rsidR="00D849AA" w:rsidRDefault="00EE6D95">
            <w:r>
              <w:t>5.390.000</w:t>
            </w:r>
          </w:p>
        </w:tc>
        <w:tc>
          <w:tcPr>
            <w:tcW w:w="1486" w:type="dxa"/>
          </w:tcPr>
          <w:p w:rsidR="00D849AA" w:rsidRDefault="00EE6D95">
            <w:r>
              <w:t>5.390.000</w:t>
            </w:r>
          </w:p>
        </w:tc>
        <w:tc>
          <w:tcPr>
            <w:tcW w:w="1486" w:type="dxa"/>
          </w:tcPr>
          <w:p w:rsidR="00D849AA" w:rsidRDefault="00EE6D95">
            <w:r>
              <w:t>101,9</w:t>
            </w:r>
          </w:p>
        </w:tc>
      </w:tr>
    </w:tbl>
    <w:p w:rsidR="00D849AA" w:rsidRDefault="00D849AA">
      <w:pPr>
        <w:jc w:val="left"/>
      </w:pPr>
    </w:p>
    <w:p w:rsidR="00D849AA" w:rsidRDefault="00EE6D95">
      <w:pPr>
        <w:pStyle w:val="Normal6"/>
      </w:pPr>
      <w:r>
        <w:t xml:space="preserve">Najznačajnija aktivnost koju Agencija provodi u ovom programu je Administracija i upravljanje Agencije za sigurnost željezničkog prometa. Na ovoj aktivnosti planiraju se sredstva za pokriće troškova radnika, stručno usavršavanje, opremanje radnih mjesta </w:t>
      </w:r>
      <w:r>
        <w:lastRenderedPageBreak/>
        <w:t xml:space="preserve">potrebnom uredskom i komunikacijskom opremom i drugi materijalni troškovi. Cilj ove aktivnosti je, između ostaloga, osiguranje materijalno-tehničkih uvjeta rada i jačanje administrativnih kapaciteta, odnosno jačanje administrativnih sposobnosti radnika Agencije a kako bi se u doglednoj budućnosti spremno odgovorilo zahtjevima i potrebama korisnika. Radi širokog spektra nadležnosti Agencije, od iznimne je važnosti stupanj osposobljenosti njenih radnika s posebnim znanjima i vještinama. </w:t>
      </w:r>
    </w:p>
    <w:p w:rsidR="00D849AA" w:rsidRDefault="00EE6D95">
      <w:pPr>
        <w:pStyle w:val="Normal6"/>
      </w:pPr>
      <w:r>
        <w:t>Na ovoj aktivnosti nije bilo nikakvih odstupanja u ukupno planiranom iznosu u odnosu na usvojene projekcije za 2014. i 2015. godinu.</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Stupanj jačanja administrativnih kapaciteta Agencije</w:t>
            </w:r>
          </w:p>
        </w:tc>
        <w:tc>
          <w:tcPr>
            <w:tcW w:w="1114" w:type="dxa"/>
          </w:tcPr>
          <w:p w:rsidR="00D849AA" w:rsidRDefault="00EE6D95">
            <w:r>
              <w:t>%</w:t>
            </w:r>
          </w:p>
        </w:tc>
        <w:tc>
          <w:tcPr>
            <w:tcW w:w="1114" w:type="dxa"/>
          </w:tcPr>
          <w:p w:rsidR="00D849AA" w:rsidRDefault="00EE6D95">
            <w:r>
              <w:t>30</w:t>
            </w:r>
          </w:p>
        </w:tc>
        <w:tc>
          <w:tcPr>
            <w:tcW w:w="1486" w:type="dxa"/>
          </w:tcPr>
          <w:p w:rsidR="00D849AA" w:rsidRDefault="00EE6D95">
            <w:r>
              <w:t>50</w:t>
            </w:r>
          </w:p>
        </w:tc>
        <w:tc>
          <w:tcPr>
            <w:tcW w:w="1486" w:type="dxa"/>
          </w:tcPr>
          <w:p w:rsidR="00D849AA" w:rsidRDefault="00EE6D95">
            <w:r>
              <w:t>60</w:t>
            </w:r>
          </w:p>
        </w:tc>
        <w:tc>
          <w:tcPr>
            <w:tcW w:w="1486" w:type="dxa"/>
          </w:tcPr>
          <w:p w:rsidR="00D849AA" w:rsidRDefault="00EE6D95">
            <w:r>
              <w:t>70</w:t>
            </w:r>
          </w:p>
        </w:tc>
      </w:tr>
    </w:tbl>
    <w:p w:rsidR="00D849AA" w:rsidRDefault="00D849AA">
      <w:pPr>
        <w:jc w:val="left"/>
      </w:pPr>
    </w:p>
    <w:p w:rsidR="00D849AA" w:rsidRDefault="00EE6D95">
      <w:pPr>
        <w:pStyle w:val="Naslov3"/>
      </w:pPr>
      <w:r>
        <w:t>48031 Agencija za istraživanje nesreća u zračnom, pomorskom i željezničkom prometu</w:t>
      </w:r>
    </w:p>
    <w:p w:rsidR="00D849AA" w:rsidRDefault="00EE6D95">
      <w:pPr>
        <w:pStyle w:val="Naslov4"/>
      </w:pPr>
      <w:r>
        <w:t>Uvod</w:t>
      </w:r>
    </w:p>
    <w:p w:rsidR="00D849AA" w:rsidRDefault="00EE6D95">
      <w:pPr>
        <w:pStyle w:val="Normal5"/>
      </w:pPr>
      <w:r>
        <w:t>Agencija će provoditi  aktivnosti vezane za harmonizaciju standarda kroz osiguranje neovisnosti i suradnju nadležnih tijela u postupcima obavljanja istražnih radnji i izradi izvješća i preporuka vezano za nesreće u zračnom, pomorskom i željezničkom prometu. Naime, Zakon o osnivanju Agencije za istraživanje nesreća u zračnom, pomorskom i željezničkom prometu stupio je na snagu 15. svibnja 2013., slijedom čega je Agencija  za istraživanje nesreća u zračnom, pomorskom i željezničkom prometu upisana u registar Trgovačkog suda u Zagrebu i to s danom 29. srpnja 2013.</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48031</w:t>
            </w:r>
          </w:p>
        </w:tc>
        <w:tc>
          <w:tcPr>
            <w:tcW w:w="1486" w:type="dxa"/>
          </w:tcPr>
          <w:p w:rsidR="00D849AA" w:rsidRDefault="00EE6D95">
            <w:r>
              <w:t>00</w:t>
            </w:r>
          </w:p>
        </w:tc>
        <w:tc>
          <w:tcPr>
            <w:tcW w:w="1486" w:type="dxa"/>
          </w:tcPr>
          <w:p w:rsidR="00D849AA" w:rsidRDefault="00EE6D95">
            <w:r>
              <w:t>8.535.000</w:t>
            </w:r>
          </w:p>
        </w:tc>
        <w:tc>
          <w:tcPr>
            <w:tcW w:w="1486" w:type="dxa"/>
          </w:tcPr>
          <w:p w:rsidR="00D849AA" w:rsidRDefault="00EE6D95">
            <w:r>
              <w:t>6.980.000</w:t>
            </w:r>
          </w:p>
        </w:tc>
        <w:tc>
          <w:tcPr>
            <w:tcW w:w="1486" w:type="dxa"/>
          </w:tcPr>
          <w:p w:rsidR="00D849AA" w:rsidRDefault="00EE6D95">
            <w:r>
              <w:t>6.980.000</w:t>
            </w:r>
          </w:p>
        </w:tc>
        <w:tc>
          <w:tcPr>
            <w:tcW w:w="1486" w:type="dxa"/>
          </w:tcPr>
          <w:p w:rsidR="00D849AA" w:rsidRDefault="00EE6D95">
            <w:r>
              <w:t>0,0</w:t>
            </w:r>
          </w:p>
        </w:tc>
      </w:tr>
    </w:tbl>
    <w:p w:rsidR="00D849AA" w:rsidRDefault="00D849AA">
      <w:pPr>
        <w:jc w:val="left"/>
      </w:pPr>
    </w:p>
    <w:p w:rsidR="00D849AA" w:rsidRDefault="00EE6D95">
      <w:pPr>
        <w:pStyle w:val="Naslov4"/>
      </w:pPr>
      <w:r>
        <w:t>OBRAZLOŽENJE PROGRAMA</w:t>
      </w:r>
    </w:p>
    <w:p w:rsidR="00D849AA" w:rsidRDefault="00EE6D95">
      <w:pPr>
        <w:pStyle w:val="Naslov5"/>
      </w:pPr>
      <w:r>
        <w:t>3117 ISTRAŽIVANJE NESREĆA U PROMETU</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3117</w:t>
            </w:r>
          </w:p>
        </w:tc>
        <w:tc>
          <w:tcPr>
            <w:tcW w:w="1486" w:type="dxa"/>
          </w:tcPr>
          <w:p w:rsidR="00D849AA" w:rsidRDefault="00EE6D95">
            <w:r>
              <w:t>00</w:t>
            </w:r>
          </w:p>
        </w:tc>
        <w:tc>
          <w:tcPr>
            <w:tcW w:w="1486" w:type="dxa"/>
          </w:tcPr>
          <w:p w:rsidR="00D849AA" w:rsidRDefault="00EE6D95">
            <w:r>
              <w:t>8.535.000</w:t>
            </w:r>
          </w:p>
        </w:tc>
        <w:tc>
          <w:tcPr>
            <w:tcW w:w="1486" w:type="dxa"/>
          </w:tcPr>
          <w:p w:rsidR="00D849AA" w:rsidRDefault="00EE6D95">
            <w:r>
              <w:t>6.980.000</w:t>
            </w:r>
          </w:p>
        </w:tc>
        <w:tc>
          <w:tcPr>
            <w:tcW w:w="1486" w:type="dxa"/>
          </w:tcPr>
          <w:p w:rsidR="00D849AA" w:rsidRDefault="00EE6D95">
            <w:r>
              <w:t>6.980.000</w:t>
            </w:r>
          </w:p>
        </w:tc>
        <w:tc>
          <w:tcPr>
            <w:tcW w:w="1486" w:type="dxa"/>
          </w:tcPr>
          <w:p w:rsidR="00D849AA" w:rsidRDefault="00EE6D95">
            <w:r>
              <w:t>0,0</w:t>
            </w:r>
          </w:p>
        </w:tc>
      </w:tr>
    </w:tbl>
    <w:p w:rsidR="00D849AA" w:rsidRDefault="00D849AA">
      <w:pPr>
        <w:jc w:val="left"/>
      </w:pPr>
    </w:p>
    <w:p w:rsidR="00D849AA" w:rsidRDefault="00EE6D95">
      <w:pPr>
        <w:pStyle w:val="Naslov6"/>
      </w:pPr>
      <w:r>
        <w:lastRenderedPageBreak/>
        <w:t>Opis programa</w:t>
      </w:r>
    </w:p>
    <w:p w:rsidR="00D849AA" w:rsidRDefault="00EE6D95">
      <w:r>
        <w:t xml:space="preserve">Kroz ovaj program osigurava se neovisnost u postupcima obavljanja istražnih radnji vezano za nesreće u zračnom, pomorskom i željezničkom prometu. </w:t>
      </w:r>
    </w:p>
    <w:p w:rsidR="00D849AA" w:rsidRDefault="00EE6D95">
      <w:r>
        <w:t xml:space="preserve">Cilj ovoga programa je obavljanje istražnih radnji i izrada izvješća i preporuka vezano za nesreće u zračnom, pomorskom i željezničkom prometu te njihova implementacija u praksi.  </w:t>
      </w:r>
    </w:p>
    <w:p w:rsidR="00D849AA" w:rsidRDefault="00EE6D95">
      <w:r>
        <w:t xml:space="preserve">U Strategiji Vladinih programa za razdoblje 2014.-2016. godine ovaj program povezan je sa Općim ciljem „3. Ravnomjerni regionalni razvoj“ i posebnim ciljem „3.4. Održivi razvoj prometnog sustava“.  </w:t>
      </w:r>
    </w:p>
    <w:p w:rsidR="00D849AA" w:rsidRDefault="00EE6D95">
      <w:r>
        <w:t>U Strateškom planu Ministarstva pomorstva, prometa i infrastrukture za razdoblje 2014.-2016. godine ovaj program povezan je sa Općim ciljem „1. Održivi razvoj prometnog sustava“, Posebni cilj „1.5. Razvijen sustav zračnog prometa“, a način ostvarenja postavljenog posebnog cilja je „1.5.4. Obavljanje istražnih radnji i izrada izvješća i preporuka vezano za nesreće i nezgode u prometu te njihova implementacija u praksi“.</w:t>
      </w:r>
    </w:p>
    <w:p w:rsidR="00D849AA" w:rsidRDefault="00EE6D95">
      <w:pPr>
        <w:pStyle w:val="Naslov6"/>
      </w:pPr>
      <w:r>
        <w:t>Zakonske i druge pravne osnove</w:t>
      </w:r>
    </w:p>
    <w:p w:rsidR="00D849AA" w:rsidRDefault="00EE6D95">
      <w:r>
        <w:t xml:space="preserve">Zakon o osnivanju Agencije za istraživanje nesreća u zračnom, pomorskom i željezničkom prometu (NN 54/13),  </w:t>
      </w:r>
    </w:p>
    <w:p w:rsidR="00D849AA" w:rsidRDefault="00EE6D95">
      <w:r>
        <w:t xml:space="preserve">Zakon o zračnom prometu (NN 69/09, 84/11 i 54/13), </w:t>
      </w:r>
    </w:p>
    <w:p w:rsidR="00D849AA" w:rsidRDefault="00EE6D95">
      <w:r>
        <w:t xml:space="preserve">Pomorski zakonik (NN 181/04, 76/07, 146/08, 61/11 i 56/13), </w:t>
      </w:r>
    </w:p>
    <w:p w:rsidR="00D849AA" w:rsidRDefault="00EE6D95">
      <w:r>
        <w:t>Zakon o sigurnosti i interoperabilnosti željezničkog sustava (NN 82/13).</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Cilj 1. Povećanje sigurnosti u zračnom, pomorskom i željezničkom prometu sukladno EU standardima</w:t>
      </w:r>
    </w:p>
    <w:p w:rsidR="00D849AA" w:rsidRDefault="00EE6D95">
      <w:pPr>
        <w:pStyle w:val="Normal6"/>
      </w:pPr>
      <w:r>
        <w:t>Cilj ovoga programa je povećanje i poboljšanje sigurnosti u zračnom,pomorskom i željezničkom prometu sukladno EU standardima obavljanjem istražnih radnji i izrada izvješća i preporuka vezano za nesreće u prometu te njihova implementacija u praksi.</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Broj izrađenih izvješća i preporuka vezano za nesreće i nezgode u prometu</w:t>
            </w:r>
          </w:p>
        </w:tc>
        <w:tc>
          <w:tcPr>
            <w:tcW w:w="1114" w:type="dxa"/>
          </w:tcPr>
          <w:p w:rsidR="00D849AA" w:rsidRDefault="00EE6D95">
            <w:r>
              <w:t>Broj</w:t>
            </w:r>
          </w:p>
        </w:tc>
        <w:tc>
          <w:tcPr>
            <w:tcW w:w="1114" w:type="dxa"/>
          </w:tcPr>
          <w:p w:rsidR="00D849AA" w:rsidRDefault="00EE6D95">
            <w:r>
              <w:t>0</w:t>
            </w:r>
          </w:p>
        </w:tc>
        <w:tc>
          <w:tcPr>
            <w:tcW w:w="1486" w:type="dxa"/>
          </w:tcPr>
          <w:p w:rsidR="00D849AA" w:rsidRDefault="00EE6D95">
            <w:r>
              <w:t>5</w:t>
            </w:r>
          </w:p>
        </w:tc>
        <w:tc>
          <w:tcPr>
            <w:tcW w:w="1486" w:type="dxa"/>
          </w:tcPr>
          <w:p w:rsidR="00D849AA" w:rsidRDefault="00EE6D95">
            <w:r>
              <w:t>6</w:t>
            </w:r>
          </w:p>
        </w:tc>
        <w:tc>
          <w:tcPr>
            <w:tcW w:w="1486" w:type="dxa"/>
          </w:tcPr>
          <w:p w:rsidR="00D849AA" w:rsidRDefault="00EE6D95">
            <w:r>
              <w:t>6</w:t>
            </w:r>
          </w:p>
        </w:tc>
      </w:tr>
    </w:tbl>
    <w:p w:rsidR="00D849AA" w:rsidRDefault="00D849AA">
      <w:pPr>
        <w:jc w:val="left"/>
      </w:pPr>
    </w:p>
    <w:p w:rsidR="00D849AA" w:rsidRDefault="00EE6D95">
      <w:pPr>
        <w:pStyle w:val="Naslov5"/>
      </w:pPr>
      <w:r>
        <w:t>Procjena i ishodište potrebnih sredstava za značajnije aktivnosti/projekte</w:t>
      </w:r>
    </w:p>
    <w:p w:rsidR="00D849AA" w:rsidRDefault="00EE6D95">
      <w:pPr>
        <w:pStyle w:val="Naslov6"/>
      </w:pPr>
      <w:r>
        <w:t>A870003 ADMINISTRACIJA I UPRAVLJANJE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A870003</w:t>
            </w:r>
          </w:p>
        </w:tc>
        <w:tc>
          <w:tcPr>
            <w:tcW w:w="1486" w:type="dxa"/>
          </w:tcPr>
          <w:p w:rsidR="00D849AA" w:rsidRDefault="00EE6D95">
            <w:r>
              <w:t>00</w:t>
            </w:r>
          </w:p>
        </w:tc>
        <w:tc>
          <w:tcPr>
            <w:tcW w:w="1486" w:type="dxa"/>
          </w:tcPr>
          <w:p w:rsidR="00D849AA" w:rsidRDefault="00EE6D95">
            <w:r>
              <w:t>6.700.000</w:t>
            </w:r>
          </w:p>
        </w:tc>
        <w:tc>
          <w:tcPr>
            <w:tcW w:w="1486" w:type="dxa"/>
          </w:tcPr>
          <w:p w:rsidR="00D849AA" w:rsidRDefault="00EE6D95">
            <w:r>
              <w:t>6.740.000</w:t>
            </w:r>
          </w:p>
        </w:tc>
        <w:tc>
          <w:tcPr>
            <w:tcW w:w="1486" w:type="dxa"/>
          </w:tcPr>
          <w:p w:rsidR="00D849AA" w:rsidRDefault="00EE6D95">
            <w:r>
              <w:t>6.740.000</w:t>
            </w:r>
          </w:p>
        </w:tc>
        <w:tc>
          <w:tcPr>
            <w:tcW w:w="1486" w:type="dxa"/>
          </w:tcPr>
          <w:p w:rsidR="00D849AA" w:rsidRDefault="00EE6D95">
            <w:r>
              <w:t>0,0</w:t>
            </w:r>
          </w:p>
        </w:tc>
      </w:tr>
    </w:tbl>
    <w:p w:rsidR="00D849AA" w:rsidRDefault="00D849AA">
      <w:pPr>
        <w:jc w:val="left"/>
      </w:pPr>
    </w:p>
    <w:p w:rsidR="00D849AA" w:rsidRDefault="00EE6D95">
      <w:pPr>
        <w:pStyle w:val="Normal6"/>
      </w:pPr>
      <w:r>
        <w:t>Na ovoj aktivnosti planiraju se troškovi namijenjeni za pokriće troškova radnika, stručno usavršavanje, opremanje radnih mjesta potrebnom uredskom i komunikacijskom opremom i drugi materijalni troškovi. Cilj ove aktivnosti je, između ostaloga, osiguranje materijalno-tehničkih uvjeta rada i jačanje administrativnih kapaciteta, odnosno jačanje osposobljenosti istražiteljskih timova i administrativnih sposobnosti radnika Agencije za obavljanje istražnih radnji.</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Stupanj ekipiranosti i osposobljenosti istražiteljskih timova i radnika za obavljanje istražnih radnji vezano za nesreće i nezgode u prometu</w:t>
            </w:r>
          </w:p>
        </w:tc>
        <w:tc>
          <w:tcPr>
            <w:tcW w:w="1114" w:type="dxa"/>
          </w:tcPr>
          <w:p w:rsidR="00D849AA" w:rsidRDefault="00EE6D95">
            <w:r>
              <w:t>%</w:t>
            </w:r>
          </w:p>
        </w:tc>
        <w:tc>
          <w:tcPr>
            <w:tcW w:w="1114" w:type="dxa"/>
          </w:tcPr>
          <w:p w:rsidR="00D849AA" w:rsidRDefault="00EE6D95">
            <w:r>
              <w:t>0</w:t>
            </w:r>
          </w:p>
        </w:tc>
        <w:tc>
          <w:tcPr>
            <w:tcW w:w="1486" w:type="dxa"/>
          </w:tcPr>
          <w:p w:rsidR="00D849AA" w:rsidRDefault="00EE6D95">
            <w:r>
              <w:t>30</w:t>
            </w:r>
          </w:p>
        </w:tc>
        <w:tc>
          <w:tcPr>
            <w:tcW w:w="1486" w:type="dxa"/>
          </w:tcPr>
          <w:p w:rsidR="00D849AA" w:rsidRDefault="00EE6D95">
            <w:r>
              <w:t>50</w:t>
            </w:r>
          </w:p>
        </w:tc>
        <w:tc>
          <w:tcPr>
            <w:tcW w:w="1486" w:type="dxa"/>
          </w:tcPr>
          <w:p w:rsidR="00D849AA" w:rsidRDefault="00EE6D95">
            <w:r>
              <w:t>70</w:t>
            </w:r>
          </w:p>
        </w:tc>
      </w:tr>
    </w:tbl>
    <w:p w:rsidR="00D849AA" w:rsidRDefault="00D849AA">
      <w:pPr>
        <w:jc w:val="left"/>
      </w:pPr>
    </w:p>
    <w:p w:rsidR="00D849AA" w:rsidRDefault="00EE6D95">
      <w:pPr>
        <w:pStyle w:val="Naslov2"/>
      </w:pPr>
      <w:r>
        <w:t>06560 Hrvatski hidrografski institut</w:t>
      </w:r>
    </w:p>
    <w:p w:rsidR="00D849AA" w:rsidRDefault="00EE6D95">
      <w:pPr>
        <w:pStyle w:val="Naslov4"/>
      </w:pPr>
      <w:r>
        <w:t>Uvod</w:t>
      </w:r>
    </w:p>
    <w:p w:rsidR="00D849AA" w:rsidRDefault="00EE6D95">
      <w:pPr>
        <w:pStyle w:val="Normal3"/>
      </w:pPr>
      <w:r>
        <w:t xml:space="preserve">Hrvatski  hidrografski  </w:t>
      </w:r>
      <w:r w:rsidR="00F60D82">
        <w:t xml:space="preserve">institut  je  javna ustanova osnovana  Zakonom o </w:t>
      </w:r>
      <w:r>
        <w:t>hidrografskoj djelatnosti, a obavlja hidrografske poslove od interesa za Republiku Hrvatsku. Hidrografska djelatnost obuhvaća hidrografsku izmjeru mora, marinsku geodeziju, geodetska i druga snimanja objekata u priobalju, snimanje mora, morskog dna i podmorja, geofiziku mora, oceanologiju i zaštitu okoliša u dijelu od značaja za hidrografiju. Nadalje, obuhvaća hidrografsko-navigacijsko osiguranje plovidbe m</w:t>
      </w:r>
      <w:r w:rsidR="00F60D82">
        <w:t xml:space="preserve">orem za sve brodove i brodice, </w:t>
      </w:r>
      <w:r>
        <w:t xml:space="preserve"> službu navigacijskih obavijesti, prikupljanje, obradu i razmjenu hidrografskih</w:t>
      </w:r>
      <w:r w:rsidR="00F60D82">
        <w:t xml:space="preserve"> i navigacijskih obavijesti te</w:t>
      </w:r>
      <w:r>
        <w:t xml:space="preserve"> objavljuje  njihove  izmjene  i  </w:t>
      </w:r>
      <w:r w:rsidR="00F60D82">
        <w:t>dopuna  u  Oglasu  za  pomorce.</w:t>
      </w:r>
      <w:r>
        <w:t xml:space="preserve"> Hrvatski hidrografski institut projektira, izrađuje, izdaje i održava službene pomorske navigacijske karte i priručnike, usklađuje ih s preporukama Međunarodne hidrografske organizacije (International Hydrographic Organization - IHO) i Međunarodne pomorske organizacije (International Maritime Organization - IMO), te održava i pohranjuje izvornike. Djelatnost HHI je i opisivanje i ucrtavanje geodetski određene granice suvereniteta Republike Hrvatske na moru, održavanje i praćenje baze službenih podataka o moru iz područja navigacije, hidrografije, kartografije, geologije, geofizike i oceanologije. HHI obavlja ustrojavanje i vođenje  pomorskog  katastra,  predstavlja  Republiku  Hrvatsku  u  međunarodnim organizacijama za područje svoje djelatnosti, te obavlja poslove koji proizlaze iz međunarodnih konvencija koje je Republika Hrvatska ratificirala, i ostale poslove po nalogu tijela državne vlasti.</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06560</w:t>
            </w:r>
          </w:p>
        </w:tc>
        <w:tc>
          <w:tcPr>
            <w:tcW w:w="1486" w:type="dxa"/>
          </w:tcPr>
          <w:p w:rsidR="00D849AA" w:rsidRDefault="00EE6D95">
            <w:r>
              <w:t>11.185.541</w:t>
            </w:r>
          </w:p>
        </w:tc>
        <w:tc>
          <w:tcPr>
            <w:tcW w:w="1486" w:type="dxa"/>
          </w:tcPr>
          <w:p w:rsidR="00D849AA" w:rsidRDefault="00EE6D95">
            <w:r>
              <w:t>11.190.000</w:t>
            </w:r>
          </w:p>
        </w:tc>
        <w:tc>
          <w:tcPr>
            <w:tcW w:w="1486" w:type="dxa"/>
          </w:tcPr>
          <w:p w:rsidR="00D849AA" w:rsidRDefault="00EE6D95">
            <w:r>
              <w:t>11.190.000</w:t>
            </w:r>
          </w:p>
        </w:tc>
        <w:tc>
          <w:tcPr>
            <w:tcW w:w="1486" w:type="dxa"/>
          </w:tcPr>
          <w:p w:rsidR="00D849AA" w:rsidRDefault="00EE6D95">
            <w:r>
              <w:t>11.190.000</w:t>
            </w:r>
          </w:p>
        </w:tc>
        <w:tc>
          <w:tcPr>
            <w:tcW w:w="1486" w:type="dxa"/>
          </w:tcPr>
          <w:p w:rsidR="00D849AA" w:rsidRDefault="00EE6D95">
            <w:r>
              <w:t>100,0</w:t>
            </w:r>
          </w:p>
        </w:tc>
      </w:tr>
    </w:tbl>
    <w:p w:rsidR="00D849AA" w:rsidRDefault="00D849AA">
      <w:pPr>
        <w:jc w:val="left"/>
      </w:pPr>
    </w:p>
    <w:p w:rsidR="00D849AA" w:rsidRDefault="00EE6D95">
      <w:pPr>
        <w:pStyle w:val="Naslov4"/>
      </w:pPr>
      <w:r>
        <w:lastRenderedPageBreak/>
        <w:t>OBRAZLOŽENJE PROGRAMA</w:t>
      </w:r>
    </w:p>
    <w:p w:rsidR="00D849AA" w:rsidRDefault="00EE6D95">
      <w:pPr>
        <w:pStyle w:val="Naslov5"/>
      </w:pPr>
      <w:r>
        <w:t>3109 SIGURNOST POMORSKOG PROMETA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3109</w:t>
            </w:r>
          </w:p>
        </w:tc>
        <w:tc>
          <w:tcPr>
            <w:tcW w:w="1486" w:type="dxa"/>
          </w:tcPr>
          <w:p w:rsidR="00D849AA" w:rsidRDefault="00EE6D95">
            <w:r>
              <w:t>11.185.541</w:t>
            </w:r>
          </w:p>
        </w:tc>
        <w:tc>
          <w:tcPr>
            <w:tcW w:w="1486" w:type="dxa"/>
          </w:tcPr>
          <w:p w:rsidR="00D849AA" w:rsidRDefault="00EE6D95">
            <w:r>
              <w:t>11.190.000</w:t>
            </w:r>
          </w:p>
        </w:tc>
        <w:tc>
          <w:tcPr>
            <w:tcW w:w="1486" w:type="dxa"/>
          </w:tcPr>
          <w:p w:rsidR="00D849AA" w:rsidRDefault="00EE6D95">
            <w:r>
              <w:t>11.190.000</w:t>
            </w:r>
          </w:p>
        </w:tc>
        <w:tc>
          <w:tcPr>
            <w:tcW w:w="1486" w:type="dxa"/>
          </w:tcPr>
          <w:p w:rsidR="00D849AA" w:rsidRDefault="00EE6D95">
            <w:r>
              <w:t>11.190.000</w:t>
            </w:r>
          </w:p>
        </w:tc>
        <w:tc>
          <w:tcPr>
            <w:tcW w:w="1486" w:type="dxa"/>
          </w:tcPr>
          <w:p w:rsidR="00D849AA" w:rsidRDefault="00EE6D95">
            <w:r>
              <w:t>100,0</w:t>
            </w:r>
          </w:p>
        </w:tc>
      </w:tr>
    </w:tbl>
    <w:p w:rsidR="00D849AA" w:rsidRDefault="00D849AA">
      <w:pPr>
        <w:jc w:val="left"/>
      </w:pPr>
    </w:p>
    <w:p w:rsidR="00D849AA" w:rsidRDefault="00EE6D95">
      <w:pPr>
        <w:pStyle w:val="Naslov6"/>
      </w:pPr>
      <w:r>
        <w:t>Opis programa</w:t>
      </w:r>
    </w:p>
    <w:p w:rsidR="00D849AA" w:rsidRDefault="00EE6D95">
      <w:pPr>
        <w:pStyle w:val="Normal5"/>
      </w:pPr>
      <w:r>
        <w:t>Hidrografska služba je skup aktivnosti koje sustavno i kontinuirano provodi nacionalni hidrografski ured s ciljem osiguranja dostupnosti hidrografsko-navigacijskih informacija koje su u u izravnoj vezi sa sigurnošću plovidbe krajnjim korisnicima na brodovima, ali i brodarskim organizacijama i pomorskoj administraciji. Provođenjem hidrografskih istraživanja mora, morskog dna i podmorja, te obradom i javnom  objavom  službenih  pomorskih  navigacijskih  karata,  priručnika  i drugih informacija stvaraju se  pretpostavke kako  održavanja, tako  i  daljnjeg razvoja sveukupnog prometnog sustava. Obavljanjem poslova iz domena svoje djelatnosti HHI sudjeluje u realizaciji dijela programa Sigurnost pomorskog prometa, i to provođenjem hidrografskih istraživanja čime se stvaraju pretpostavke nesmetanog prijevoza putnika i tranzita robe u domaćim lukama, stvaraju se pretpostavke za razvoj nautičkog turizma, ekološku zaštitu, obranu i zaštitu suvereniteta hrvatskog teritorijalnog mora, razvoj infrastrukture u priobalju i otocima kroz polaganje podmorskih kabela, cjevovoda, ispusta i slično) i niz drugih gospodarskih djelatnosti. Uz ostalo, HHI skrbi o izgradnji i održavanju sustava za podršku odlučivanju (SPO) koja osigurava, ubrzava i olakšava donošenje odluka u iznenadnim situacijama i potrebe za određivanjem mjesta zakloništa, čime se uspostavlja metodologija i programska rješenja za donošenje pravovremene i ispravne odluke u slučaju urgentnih zahtjeva, te osposobljavanje osoblja za korištenje ove metodolgije i sustava. HHI obavlja poslove nacionalnog koordinatora za navigacijska upozorenja u skladu s međunarodnim propisima (WWNWS i Joint IMO/IHO Manual on Maritime Safety Information). Podaci se prikupljaju obilaskom terena, kao i zaprimanjem od drugih čimbenika sigurnosti plovidbe te se na prikladan način obrađuju i objavljuju. Poput papirnatih izdanja, u ažurnom stanju se moraju održavati i elektronske karte na ECDIS-u (Electronic Chart Display Information System).</w:t>
      </w:r>
    </w:p>
    <w:p w:rsidR="00D849AA" w:rsidRDefault="00EE6D95">
      <w:pPr>
        <w:pStyle w:val="Naslov6"/>
      </w:pPr>
      <w:r>
        <w:t>Zakonske i druge pravne osnove</w:t>
      </w:r>
    </w:p>
    <w:p w:rsidR="00D849AA" w:rsidRDefault="00EE6D95">
      <w:pPr>
        <w:pStyle w:val="Normal5"/>
      </w:pPr>
      <w:r>
        <w:t xml:space="preserve">Zakon o hidrografskoj djelatnosti (NN 68/1998, 110/2008 - ispr. i 163/2003), </w:t>
      </w:r>
    </w:p>
    <w:p w:rsidR="00D849AA" w:rsidRDefault="00EE6D95">
      <w:pPr>
        <w:pStyle w:val="Normal5"/>
      </w:pPr>
      <w:r>
        <w:t xml:space="preserve">Strateški plan Ministarstva mora, prometa i infrastrukture za razdoblje 2014.-2016., </w:t>
      </w:r>
    </w:p>
    <w:p w:rsidR="00D849AA" w:rsidRDefault="00EE6D95">
      <w:pPr>
        <w:pStyle w:val="Normal5"/>
      </w:pPr>
      <w:r>
        <w:t xml:space="preserve">Zakon o proračunu (NN 87/08 i 136/12), </w:t>
      </w:r>
    </w:p>
    <w:p w:rsidR="00D849AA" w:rsidRDefault="00EE6D95">
      <w:pPr>
        <w:pStyle w:val="Normal5"/>
      </w:pPr>
      <w:r>
        <w:t xml:space="preserve">Pravilnik   o   mjestima   zakloništa   (NN   3/2008),   EU   Directiva 2002/59/EC on  Traffic Monitoring (s  dopunama 2005),  IMO  Rezolucija o  mjestima zakloništa A.949(23), A.950(23), kao i prijedlog EU Marine Strategy Directive COM 2005/505, </w:t>
      </w:r>
    </w:p>
    <w:p w:rsidR="00D849AA" w:rsidRDefault="00EE6D95">
      <w:pPr>
        <w:pStyle w:val="Normal5"/>
      </w:pPr>
      <w:r>
        <w:t xml:space="preserve">Pomorski zakonik (NN 181/2004, 76/2007, 146/08,  61/2011 i 56/2013, članak 18, te 51. st. 2 i 3, a u svezi s člankom 52), </w:t>
      </w:r>
    </w:p>
    <w:p w:rsidR="00D849AA" w:rsidRDefault="00EE6D95">
      <w:pPr>
        <w:pStyle w:val="Normal5"/>
      </w:pPr>
      <w:r>
        <w:t xml:space="preserve">UN Konvencija o pravu mora (UNCLOS), </w:t>
      </w:r>
    </w:p>
    <w:p w:rsidR="00D849AA" w:rsidRDefault="00EE6D95">
      <w:pPr>
        <w:pStyle w:val="Normal5"/>
      </w:pPr>
      <w:r>
        <w:t xml:space="preserve">revidirana Konvencija o sigurnosti navigacije na moru (SOLAS – Safety Of Life At Sea, propis 9, poglavlje V, anex 1), </w:t>
      </w:r>
    </w:p>
    <w:p w:rsidR="00D849AA" w:rsidRDefault="00EE6D95">
      <w:pPr>
        <w:pStyle w:val="Normal5"/>
      </w:pPr>
      <w:r>
        <w:t>Pariška konvencija.</w:t>
      </w:r>
    </w:p>
    <w:p w:rsidR="00D849AA" w:rsidRDefault="00EE6D95">
      <w:pPr>
        <w:pStyle w:val="Naslov6"/>
      </w:pPr>
      <w:r>
        <w:lastRenderedPageBreak/>
        <w:t>Ciljevi provedbe programa u razdoblju 2014.-2016. i pokazatelji uspješnosti kojima će se mjeriti ostvarenje tih ciljeva</w:t>
      </w:r>
    </w:p>
    <w:p w:rsidR="00D849AA" w:rsidRDefault="00EE6D95">
      <w:pPr>
        <w:pStyle w:val="Naslov7"/>
      </w:pPr>
      <w:r>
        <w:t>Cilj 1. Povećanje koeficijenta pokrivenosti hrvatskog dijela Jadranskog mora ažuriranim pomorskim navigacijskim kartama i priručnicima sa svim informacijama neophodnim radi sigurne plovidbe.</w:t>
      </w:r>
    </w:p>
    <w:p w:rsidR="00D849AA" w:rsidRDefault="00EE6D95">
      <w:pPr>
        <w:pStyle w:val="Normal6"/>
      </w:pPr>
      <w:r>
        <w:t xml:space="preserve">Obavljanjem hidrografske službe osiguravaju se korisnicima na brodu informacije u vezi s hidrografskim i navigacijskim svojstvima i karakteristikama plovidbenih područja. Podaci o dubinama, opstrukcijama i opasnostima, geografski, oceanografski i meteorološki podaci, kao i podaci o načinu i regulaciji te nadzoru plovidbe najvažniji su podaci koje treba učiniti dostupnima krajnjim korisnicima na brodu. Ovi se podaci uređuju i objavljuju na službenim pomorskim kartama i priručnicima, u analognom i digitalnom obliku prema detaljima specifikacijama IHO. Izradom i distribucijom Oglasa za pomorce (Notice to Mariners), najčešće u intervalu od 30 dana, postojeća izdanja karata i priručnika održavaju se ažurnim i pouzdanim. Sastavni dio hidrografske službe je i služba navigacijskih urgentnih informacija kojom se osigurava dostupnost važnih navigacijskih i sigurnosnih informacija na dnevnoj razini, odnosno prijem informacija u najkraćem vremenu od nastanka događaja. Podaci se pribavljaju terenskim istraživačkim radovima, prikupljanjem podataka iz drugih raspoloživih izvora, obrađuju, pripremaju, publiciraju i distribuiraju. </w:t>
      </w:r>
    </w:p>
    <w:p w:rsidR="00D849AA" w:rsidRDefault="00EE6D95">
      <w:pPr>
        <w:pStyle w:val="Normal6"/>
      </w:pPr>
      <w:r>
        <w:t>Sukladno Konvenciji Ujedinjenih naroda o pravu mora (čl. 16, 24, 40, 75, 84.),SOLAS Konvenciji (čl. 20) i Pomorskom zakoniku („Narodne novine“ br. 181/2004,76/2007 , 146/08 i 61/2011), definirana je djelatnost i nadležnost HHI u poslovima sigurnosti plovidbe,</w:t>
      </w:r>
      <w:r>
        <w:tab/>
        <w:t>kao</w:t>
      </w:r>
      <w:r>
        <w:tab/>
        <w:t>i korištenje službenih pomorskih navigacijskih  karata  i publikacija. Cilj ovoga programa je održavanje visokog stupnja pokrivenosti područja nadležnosti ažurnim pomorskim kartama i publikacijama za što je potreban angažman svih segmenata hidrografske djelatnosti.</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6"/>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Koeficijent pokrivenosti hrvatskog dijela Jadranskog mora ažuriranim pomorskim kartama  i publikacijama</w:t>
            </w:r>
          </w:p>
        </w:tc>
        <w:tc>
          <w:tcPr>
            <w:tcW w:w="1114" w:type="dxa"/>
          </w:tcPr>
          <w:p w:rsidR="00D849AA" w:rsidRDefault="00EE6D95">
            <w:r>
              <w:t>Koeficijent</w:t>
            </w:r>
          </w:p>
        </w:tc>
        <w:tc>
          <w:tcPr>
            <w:tcW w:w="1114" w:type="dxa"/>
          </w:tcPr>
          <w:p w:rsidR="00D849AA" w:rsidRDefault="00EE6D95">
            <w:r>
              <w:t>41</w:t>
            </w:r>
          </w:p>
        </w:tc>
        <w:tc>
          <w:tcPr>
            <w:tcW w:w="1486" w:type="dxa"/>
          </w:tcPr>
          <w:p w:rsidR="00D849AA" w:rsidRDefault="00EE6D95">
            <w:r>
              <w:t>41</w:t>
            </w:r>
          </w:p>
        </w:tc>
        <w:tc>
          <w:tcPr>
            <w:tcW w:w="1486" w:type="dxa"/>
          </w:tcPr>
          <w:p w:rsidR="00D849AA" w:rsidRDefault="00EE6D95">
            <w:r>
              <w:t>42</w:t>
            </w:r>
          </w:p>
        </w:tc>
        <w:tc>
          <w:tcPr>
            <w:tcW w:w="1486" w:type="dxa"/>
          </w:tcPr>
          <w:p w:rsidR="00D849AA" w:rsidRDefault="00EE6D95">
            <w:r>
              <w:t>42</w:t>
            </w:r>
          </w:p>
        </w:tc>
      </w:tr>
    </w:tbl>
    <w:p w:rsidR="00D849AA" w:rsidRDefault="00D849AA">
      <w:pPr>
        <w:jc w:val="left"/>
      </w:pPr>
    </w:p>
    <w:p w:rsidR="00D849AA" w:rsidRDefault="00EE6D95">
      <w:pPr>
        <w:pStyle w:val="Naslov5"/>
      </w:pPr>
      <w:r>
        <w:t>Procjena i ishodište potrebnih sredstava za značajnije aktivnosti/projekte</w:t>
      </w:r>
    </w:p>
    <w:p w:rsidR="00D849AA" w:rsidRDefault="00EE6D95">
      <w:pPr>
        <w:pStyle w:val="Naslov6"/>
      </w:pPr>
      <w:r>
        <w:t>A663000 ADMINISTRACIJA I UPRAVLJANJE HRVATSKOG HIDROGRAFSKOG INSTITUTA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A663000</w:t>
            </w:r>
          </w:p>
        </w:tc>
        <w:tc>
          <w:tcPr>
            <w:tcW w:w="1486" w:type="dxa"/>
          </w:tcPr>
          <w:p w:rsidR="00D849AA" w:rsidRDefault="00EE6D95">
            <w:r>
              <w:t>10.998.755</w:t>
            </w:r>
          </w:p>
        </w:tc>
        <w:tc>
          <w:tcPr>
            <w:tcW w:w="1486" w:type="dxa"/>
          </w:tcPr>
          <w:p w:rsidR="00D849AA" w:rsidRDefault="00EE6D95">
            <w:r>
              <w:t>11.003.214</w:t>
            </w:r>
          </w:p>
        </w:tc>
        <w:tc>
          <w:tcPr>
            <w:tcW w:w="1486" w:type="dxa"/>
          </w:tcPr>
          <w:p w:rsidR="00D849AA" w:rsidRDefault="00EE6D95">
            <w:r>
              <w:t>11.003.214</w:t>
            </w:r>
          </w:p>
        </w:tc>
        <w:tc>
          <w:tcPr>
            <w:tcW w:w="1486" w:type="dxa"/>
          </w:tcPr>
          <w:p w:rsidR="00D849AA" w:rsidRDefault="00EE6D95">
            <w:r>
              <w:t>11.003.214</w:t>
            </w:r>
          </w:p>
        </w:tc>
        <w:tc>
          <w:tcPr>
            <w:tcW w:w="1486" w:type="dxa"/>
          </w:tcPr>
          <w:p w:rsidR="00D849AA" w:rsidRDefault="00EE6D95">
            <w:r>
              <w:t>100,0</w:t>
            </w:r>
          </w:p>
        </w:tc>
      </w:tr>
    </w:tbl>
    <w:p w:rsidR="00D849AA" w:rsidRDefault="00D849AA">
      <w:pPr>
        <w:jc w:val="left"/>
      </w:pPr>
    </w:p>
    <w:p w:rsidR="00D849AA" w:rsidRDefault="00EE6D95">
      <w:pPr>
        <w:pStyle w:val="Normal6"/>
      </w:pPr>
      <w:r>
        <w:lastRenderedPageBreak/>
        <w:t>Pomorske karte i navigacijske publikacije osnovna su pomagala namijenjena navigaciji, te zajedno s radio oglasima i oglasima za pomorce predstavljaju temeljne proizvode strukovnih djelatnosti hidrografskih organizacija koje su važne za sigurnost plovidbe, a takva obveza proistječe iz međunarodnih i tuzemnih propisa. Hrvatski hidrografski institut provođenjem hidrografskih istraživanja mora, morskog dna  i  podmorja, obradom  i  javnom  objavom  službenih pomorskih navigacijskih karata,  priručnika  i  drugih  informacija  u  skladu  s  međunarodnim  i  domaćim propisima i normama, ostvaruje pretpostavke za siguran promet ljudi i roba hrvatskim dijelom Jadrana, gospodarenje resursima mora i podmorja, njegovu obranu i očuvanje okoliša. Hidrografskom terenskom aktivnošću dobit će se temeljni podaci kartografskih izvornika koji se koriste za izradu novih i korekciju postojećih pomorskih karata. Ove su informacije rezultat obrade prikupljenih podataka na terenu i međunarodnih standarda koje utvrđuje Međunarodna hidrografska organizacija (IHO). Međunarodni propisi obvezuju obalne države da jasno naznačuju plovne putove i sustave odvojenog prometa na pomorskim kartama koje na propisan način objavljuju. Korištenje pomorskih karata i publikacija na plovilima obvezatno je, a u koordinaciji s ostalim čimbenicima sigurnosti plovidbe (Lučke kapetanije i ispostave, VTS centri, ovlaštene službe Ministarstva obrane, Ministarstva unutarnjih poslova i sl.), i kroz organiziranu dvadeset četiri satnu službu dežurstva, osigurava se prijam i obrada podataka koji se u vidu radio-oglasa emitiraju, odnosno prosljeđuju zainteresiranim korisnicima, te se publiciraju u “Oglasu za pomorce” temeljem čega se pomorske karte i priručnici održavaju u ažurnom stanju. Sve dostupne informacije o nepoznatim grebenima, pličinama, potopljenim brodovima, uklanjanju ili postavljanju objekata (lukobrana, gatova i sl.) i navigacijskih pomagala (svjetala, plutača, motki i dr.), privremene ili stalne promjene u reguliranju plovidbe brodova u ograničenim plovnim područjima služe kako bi se pomorcima osigurale pretpostavke za sigurnu navigaciju, i to kako za Jadransko, tako i za Jonsko more. Kroz nova izdanja i nove naklade pomorskih karata i navigacijskih priručnika osigurava se veći stupanj kvalitete i pouzdanosti informacija, te se pridonosi povećanju stupnja sigurnosti plovidbe.</w:t>
      </w:r>
    </w:p>
    <w:p w:rsidR="00F60D82" w:rsidRDefault="00F60D82">
      <w:pPr>
        <w:pStyle w:val="Normal6"/>
      </w:pP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Broj otiskanih pomorskih karata i publikacija</w:t>
            </w:r>
          </w:p>
        </w:tc>
        <w:tc>
          <w:tcPr>
            <w:tcW w:w="1114" w:type="dxa"/>
          </w:tcPr>
          <w:p w:rsidR="00D849AA" w:rsidRDefault="00EE6D95">
            <w:r>
              <w:t>Broj</w:t>
            </w:r>
          </w:p>
        </w:tc>
        <w:tc>
          <w:tcPr>
            <w:tcW w:w="1114" w:type="dxa"/>
          </w:tcPr>
          <w:p w:rsidR="00D849AA" w:rsidRDefault="00EE6D95">
            <w:r>
              <w:t>61.498</w:t>
            </w:r>
          </w:p>
        </w:tc>
        <w:tc>
          <w:tcPr>
            <w:tcW w:w="1486" w:type="dxa"/>
          </w:tcPr>
          <w:p w:rsidR="00D849AA" w:rsidRDefault="00EE6D95">
            <w:r>
              <w:t>10.000</w:t>
            </w:r>
          </w:p>
        </w:tc>
        <w:tc>
          <w:tcPr>
            <w:tcW w:w="1486" w:type="dxa"/>
          </w:tcPr>
          <w:p w:rsidR="00D849AA" w:rsidRDefault="00EE6D95">
            <w:r>
              <w:t>10.000</w:t>
            </w:r>
          </w:p>
        </w:tc>
        <w:tc>
          <w:tcPr>
            <w:tcW w:w="1486" w:type="dxa"/>
          </w:tcPr>
          <w:p w:rsidR="00D849AA" w:rsidRDefault="00EE6D95">
            <w:r>
              <w:t>10.000</w:t>
            </w:r>
          </w:p>
        </w:tc>
      </w:tr>
    </w:tbl>
    <w:p w:rsidR="00D849AA" w:rsidRDefault="00D849AA">
      <w:pPr>
        <w:jc w:val="left"/>
      </w:pPr>
    </w:p>
    <w:p w:rsidR="00D849AA" w:rsidRDefault="00EE6D95">
      <w:pPr>
        <w:pStyle w:val="Naslov1"/>
      </w:pPr>
      <w:r>
        <w:lastRenderedPageBreak/>
        <w:t>076 MINISTARSTVO GRADITELJSTVA I PROSTORNOGA UREĐENJA</w:t>
      </w:r>
    </w:p>
    <w:p w:rsidR="00D849AA" w:rsidRDefault="00EE6D95">
      <w:pPr>
        <w:pStyle w:val="Naslov4"/>
      </w:pPr>
      <w:r>
        <w:t>Uvod</w:t>
      </w:r>
    </w:p>
    <w:p w:rsidR="00D849AA" w:rsidRDefault="00EE6D95">
      <w:pPr>
        <w:pStyle w:val="Normal3"/>
      </w:pPr>
      <w:r>
        <w:t xml:space="preserve">Prema Zakonu o ustrojstvu i djelokrugu ministarstava i drugih središnjih tijela državne uprave (Narodne novine, broj 150/11), djelokrug rada Ministarstva graditeljstva i prostornoga uređenja obuhvaća poslove koji se odnose na zaštitu i očuvanje prostora u skladu s politikom održivog razvitka Republike Hrvatske.   </w:t>
      </w:r>
    </w:p>
    <w:p w:rsidR="00D849AA" w:rsidRDefault="00EE6D95">
      <w:pPr>
        <w:pStyle w:val="Normal3"/>
      </w:pPr>
      <w:r>
        <w:t xml:space="preserve">Ministarstvo obavlja upravne i druge poslove koji se odnose na: prostorno uređenje Republike Hrvatske i usklađivanje prostornoga razvitka, planiranje, korištenje i zaštitu prostora, ostvarivanje međunarodne suradnje u prostornom uređenju, inspekcijske poslove prostornoga uređenja; informacijski sustav o prostoru, praćenje stanja u prostoru i provedbu dokumenata prostornoga uređenja Republike Hrvatske, lokacijske dozvole, surađuje u izradi dokumenata prostornoga uređenja županija, gradova i općina radi osiguravanja uvjeta za gospodarenje, zaštitu i upravljanje prostorom i usklađivanja djelovanja tijela državne uprave koja sudjeluju u izradi, donošenju i provedbi dokumenata prostornoga uređenja, osiguravanje uvjeta za razvitak i unapređenje poslovanja pravnih i fizičkih osoba iz područja prostornoga uređenja, uređenje naselja, te uređenje i korištenje građevinskoga zemljišta; upravne i druge poslove koji se odnose na graditeljstvo, prostorno uređenje i stanovanje, te sudjeluje u pripremi i provođenju programa iz fondova Europske unije i drugih oblika međunarodne pomoći iz ovih područja; upravne i druge poslove koji se odnose na utvrđivanje uvjeta za projektiranje i gradnju građevina; građevne i uporabne dozvole, korištenje, održavanje i uklanjanje građevine, inspekcijske poslove gradnje; upravne i druge poslove koji se odnose na djelovanje instrumenata i mjera gospodarske politike na razvitak projektantskih usluga u graditeljstvu i graditeljskih usluga; poslovanje pravnih i fizičkih osoba iz područja graditeljstva, Hrvatske komore arhitekata i inženjera u graditeljstvu te drugih inženjera koji sudjeluju u gradnji; praćenje i analiziranje kvalitete građevinskih i projektantskih usluga u graditeljstvu; stanovanje, politiku stanovanja, gradnju stanova i naselja; realizaciju posebnih programa Vlade Republike Hrvatske u stanogradnji; politiku, praćenje i unapređivanje stanja u komunalnom gospodarstvu, ostvarivanje međunarodne suradnje u graditeljstvu i stanovanju.   </w:t>
      </w:r>
    </w:p>
    <w:p w:rsidR="00D849AA" w:rsidRDefault="00EE6D95">
      <w:pPr>
        <w:pStyle w:val="Normal3"/>
      </w:pPr>
      <w:r>
        <w:t xml:space="preserve">Ministarstvo obavlja poslove koji se odnose na sudjelovanje Republike Hrvatske u radu tijela Europske unije u područjima iz njegove nadležnosti.   </w:t>
      </w:r>
    </w:p>
    <w:p w:rsidR="00D849AA" w:rsidRDefault="00EE6D95">
      <w:pPr>
        <w:pStyle w:val="Normal3"/>
      </w:pPr>
      <w:r>
        <w:t xml:space="preserve">U nadležnosti ovog Ministarstva je nadzor nad poslovanjem:   </w:t>
      </w:r>
    </w:p>
    <w:p w:rsidR="00D849AA" w:rsidRDefault="00EE6D95">
      <w:pPr>
        <w:pStyle w:val="Normal3"/>
      </w:pPr>
      <w:r>
        <w:t xml:space="preserve">1. Agencije za pravni promet i posredovanje nekretninama   </w:t>
      </w:r>
    </w:p>
    <w:p w:rsidR="00D849AA" w:rsidRDefault="00EE6D95">
      <w:pPr>
        <w:pStyle w:val="Normal3"/>
      </w:pPr>
      <w:r>
        <w:t xml:space="preserve">2. Državne geodetske uprave </w:t>
      </w:r>
    </w:p>
    <w:p w:rsidR="00D849AA" w:rsidRDefault="00EE6D95">
      <w:pPr>
        <w:pStyle w:val="Normal3"/>
      </w:pPr>
      <w:r>
        <w:t>3. Hrvatskog zavoda za prostorni razvoj.</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807829" w:rsidRDefault="00D849AA">
            <w:pPr>
              <w:pStyle w:val="CellHeader"/>
            </w:pPr>
          </w:p>
        </w:tc>
        <w:tc>
          <w:tcPr>
            <w:tcW w:w="1486" w:type="dxa"/>
            <w:shd w:val="clear" w:color="auto" w:fill="B5C0D8"/>
          </w:tcPr>
          <w:p w:rsidR="00D849AA" w:rsidRPr="00807829" w:rsidRDefault="00EE6D95">
            <w:pPr>
              <w:pStyle w:val="CellHeader"/>
            </w:pPr>
            <w:r w:rsidRPr="00807829">
              <w:t>Plan 2013.</w:t>
            </w:r>
          </w:p>
        </w:tc>
        <w:tc>
          <w:tcPr>
            <w:tcW w:w="1486" w:type="dxa"/>
            <w:shd w:val="clear" w:color="auto" w:fill="B5C0D8"/>
          </w:tcPr>
          <w:p w:rsidR="00D849AA" w:rsidRPr="00807829" w:rsidRDefault="00EE6D95">
            <w:pPr>
              <w:pStyle w:val="CellHeader"/>
            </w:pPr>
            <w:r w:rsidRPr="00807829">
              <w:t>Plan 2014.</w:t>
            </w:r>
          </w:p>
        </w:tc>
        <w:tc>
          <w:tcPr>
            <w:tcW w:w="1486" w:type="dxa"/>
            <w:shd w:val="clear" w:color="auto" w:fill="B5C0D8"/>
          </w:tcPr>
          <w:p w:rsidR="00D849AA" w:rsidRPr="00807829" w:rsidRDefault="00EE6D95">
            <w:pPr>
              <w:pStyle w:val="CellHeader"/>
            </w:pPr>
            <w:r w:rsidRPr="00807829">
              <w:t>Plan 2015.</w:t>
            </w:r>
          </w:p>
        </w:tc>
        <w:tc>
          <w:tcPr>
            <w:tcW w:w="1486" w:type="dxa"/>
            <w:shd w:val="clear" w:color="auto" w:fill="B5C0D8"/>
          </w:tcPr>
          <w:p w:rsidR="00D849AA" w:rsidRPr="00807829" w:rsidRDefault="00EE6D95">
            <w:pPr>
              <w:pStyle w:val="CellHeader"/>
            </w:pPr>
            <w:r w:rsidRPr="00807829">
              <w:t>Plan 2016.</w:t>
            </w:r>
          </w:p>
        </w:tc>
        <w:tc>
          <w:tcPr>
            <w:tcW w:w="1486" w:type="dxa"/>
            <w:shd w:val="clear" w:color="auto" w:fill="B5C0D8"/>
          </w:tcPr>
          <w:p w:rsidR="00D849AA" w:rsidRPr="00807829" w:rsidRDefault="00EE6D95">
            <w:pPr>
              <w:pStyle w:val="CellHeader"/>
            </w:pPr>
            <w:r w:rsidRPr="00807829">
              <w:t>Indeks 2014/2013</w:t>
            </w:r>
          </w:p>
        </w:tc>
      </w:tr>
      <w:tr w:rsidR="00D849AA">
        <w:trPr>
          <w:jc w:val="center"/>
        </w:trPr>
        <w:tc>
          <w:tcPr>
            <w:tcW w:w="1486" w:type="dxa"/>
          </w:tcPr>
          <w:p w:rsidR="00D849AA" w:rsidRPr="00807829" w:rsidRDefault="00EE6D95">
            <w:pPr>
              <w:pStyle w:val="CellColumn"/>
            </w:pPr>
            <w:r w:rsidRPr="00807829">
              <w:t>07605 Ministarstvo graditeljstva i prostornoga uređenja</w:t>
            </w:r>
          </w:p>
        </w:tc>
        <w:tc>
          <w:tcPr>
            <w:tcW w:w="1486" w:type="dxa"/>
          </w:tcPr>
          <w:p w:rsidR="00D849AA" w:rsidRPr="00807829" w:rsidRDefault="00EE6D95">
            <w:pPr>
              <w:rPr>
                <w:rFonts w:ascii="Arial" w:hAnsi="Arial" w:cs="Arial"/>
              </w:rPr>
            </w:pPr>
            <w:r w:rsidRPr="00807829">
              <w:rPr>
                <w:rFonts w:ascii="Arial" w:hAnsi="Arial" w:cs="Arial"/>
              </w:rPr>
              <w:t>175.853.243</w:t>
            </w:r>
          </w:p>
        </w:tc>
        <w:tc>
          <w:tcPr>
            <w:tcW w:w="1486" w:type="dxa"/>
          </w:tcPr>
          <w:p w:rsidR="00D849AA" w:rsidRPr="00807829" w:rsidRDefault="00EE6D95">
            <w:pPr>
              <w:rPr>
                <w:rFonts w:ascii="Arial" w:hAnsi="Arial" w:cs="Arial"/>
              </w:rPr>
            </w:pPr>
            <w:r w:rsidRPr="00807829">
              <w:rPr>
                <w:rFonts w:ascii="Arial" w:hAnsi="Arial" w:cs="Arial"/>
              </w:rPr>
              <w:t>152.916.215</w:t>
            </w:r>
          </w:p>
        </w:tc>
        <w:tc>
          <w:tcPr>
            <w:tcW w:w="1486" w:type="dxa"/>
          </w:tcPr>
          <w:p w:rsidR="00D849AA" w:rsidRPr="00807829" w:rsidRDefault="00EE6D95">
            <w:pPr>
              <w:rPr>
                <w:rFonts w:ascii="Arial" w:hAnsi="Arial" w:cs="Arial"/>
              </w:rPr>
            </w:pPr>
            <w:r w:rsidRPr="00807829">
              <w:rPr>
                <w:rFonts w:ascii="Arial" w:hAnsi="Arial" w:cs="Arial"/>
              </w:rPr>
              <w:t>130.265.459</w:t>
            </w:r>
          </w:p>
        </w:tc>
        <w:tc>
          <w:tcPr>
            <w:tcW w:w="1486" w:type="dxa"/>
          </w:tcPr>
          <w:p w:rsidR="00D849AA" w:rsidRPr="00807829" w:rsidRDefault="00EE6D95">
            <w:pPr>
              <w:rPr>
                <w:rFonts w:ascii="Arial" w:hAnsi="Arial" w:cs="Arial"/>
              </w:rPr>
            </w:pPr>
            <w:r w:rsidRPr="00807829">
              <w:rPr>
                <w:rFonts w:ascii="Arial" w:hAnsi="Arial" w:cs="Arial"/>
              </w:rPr>
              <w:t>144.225.000</w:t>
            </w:r>
          </w:p>
        </w:tc>
        <w:tc>
          <w:tcPr>
            <w:tcW w:w="1486" w:type="dxa"/>
          </w:tcPr>
          <w:p w:rsidR="00D849AA" w:rsidRPr="00807829" w:rsidRDefault="00EE6D95">
            <w:pPr>
              <w:rPr>
                <w:rFonts w:ascii="Arial" w:hAnsi="Arial" w:cs="Arial"/>
              </w:rPr>
            </w:pPr>
            <w:r w:rsidRPr="00807829">
              <w:rPr>
                <w:rFonts w:ascii="Arial" w:hAnsi="Arial" w:cs="Arial"/>
              </w:rPr>
              <w:t>87,0</w:t>
            </w:r>
          </w:p>
        </w:tc>
      </w:tr>
      <w:tr w:rsidR="00D849AA">
        <w:trPr>
          <w:jc w:val="center"/>
        </w:trPr>
        <w:tc>
          <w:tcPr>
            <w:tcW w:w="1486" w:type="dxa"/>
          </w:tcPr>
          <w:p w:rsidR="00D849AA" w:rsidRPr="00807829" w:rsidRDefault="00EE6D95">
            <w:pPr>
              <w:pStyle w:val="CellColumn"/>
            </w:pPr>
            <w:r w:rsidRPr="00807829">
              <w:t>07610 Hrvatski zavod za prostorni razvoj</w:t>
            </w:r>
          </w:p>
        </w:tc>
        <w:tc>
          <w:tcPr>
            <w:tcW w:w="1486" w:type="dxa"/>
          </w:tcPr>
          <w:p w:rsidR="00D849AA" w:rsidRPr="00807829" w:rsidRDefault="00EE6D95">
            <w:pPr>
              <w:rPr>
                <w:rFonts w:ascii="Arial" w:hAnsi="Arial" w:cs="Arial"/>
              </w:rPr>
            </w:pPr>
            <w:r w:rsidRPr="00807829">
              <w:rPr>
                <w:rFonts w:ascii="Arial" w:hAnsi="Arial" w:cs="Arial"/>
              </w:rPr>
              <w:t>5.330.000</w:t>
            </w:r>
          </w:p>
        </w:tc>
        <w:tc>
          <w:tcPr>
            <w:tcW w:w="1486" w:type="dxa"/>
          </w:tcPr>
          <w:p w:rsidR="00D849AA" w:rsidRPr="00807829" w:rsidRDefault="00EE6D95">
            <w:pPr>
              <w:rPr>
                <w:rFonts w:ascii="Arial" w:hAnsi="Arial" w:cs="Arial"/>
              </w:rPr>
            </w:pPr>
            <w:r w:rsidRPr="00807829">
              <w:rPr>
                <w:rFonts w:ascii="Arial" w:hAnsi="Arial" w:cs="Arial"/>
              </w:rPr>
              <w:t>15.815.000</w:t>
            </w:r>
          </w:p>
        </w:tc>
        <w:tc>
          <w:tcPr>
            <w:tcW w:w="1486" w:type="dxa"/>
          </w:tcPr>
          <w:p w:rsidR="00D849AA" w:rsidRPr="00807829" w:rsidRDefault="00EE6D95">
            <w:pPr>
              <w:rPr>
                <w:rFonts w:ascii="Arial" w:hAnsi="Arial" w:cs="Arial"/>
              </w:rPr>
            </w:pPr>
            <w:r w:rsidRPr="00807829">
              <w:rPr>
                <w:rFonts w:ascii="Arial" w:hAnsi="Arial" w:cs="Arial"/>
              </w:rPr>
              <w:t>15.765.000</w:t>
            </w:r>
          </w:p>
        </w:tc>
        <w:tc>
          <w:tcPr>
            <w:tcW w:w="1486" w:type="dxa"/>
          </w:tcPr>
          <w:p w:rsidR="00D849AA" w:rsidRPr="00807829" w:rsidRDefault="00EE6D95">
            <w:pPr>
              <w:rPr>
                <w:rFonts w:ascii="Arial" w:hAnsi="Arial" w:cs="Arial"/>
              </w:rPr>
            </w:pPr>
            <w:r w:rsidRPr="00807829">
              <w:rPr>
                <w:rFonts w:ascii="Arial" w:hAnsi="Arial" w:cs="Arial"/>
              </w:rPr>
              <w:t>15.265.000</w:t>
            </w:r>
          </w:p>
        </w:tc>
        <w:tc>
          <w:tcPr>
            <w:tcW w:w="1486" w:type="dxa"/>
          </w:tcPr>
          <w:p w:rsidR="00D849AA" w:rsidRPr="00807829" w:rsidRDefault="00EE6D95">
            <w:pPr>
              <w:rPr>
                <w:rFonts w:ascii="Arial" w:hAnsi="Arial" w:cs="Arial"/>
              </w:rPr>
            </w:pPr>
            <w:r w:rsidRPr="00807829">
              <w:rPr>
                <w:rFonts w:ascii="Arial" w:hAnsi="Arial" w:cs="Arial"/>
              </w:rPr>
              <w:t>296,7</w:t>
            </w:r>
          </w:p>
        </w:tc>
      </w:tr>
      <w:tr w:rsidR="00D849AA">
        <w:trPr>
          <w:jc w:val="center"/>
        </w:trPr>
        <w:tc>
          <w:tcPr>
            <w:tcW w:w="1486" w:type="dxa"/>
          </w:tcPr>
          <w:p w:rsidR="00D849AA" w:rsidRPr="00807829" w:rsidRDefault="00EE6D95">
            <w:pPr>
              <w:pStyle w:val="CellColumn"/>
            </w:pPr>
            <w:r w:rsidRPr="00807829">
              <w:lastRenderedPageBreak/>
              <w:t>07620 Agencija za pravni promet i posredovanje nekretninama</w:t>
            </w:r>
          </w:p>
        </w:tc>
        <w:tc>
          <w:tcPr>
            <w:tcW w:w="1486" w:type="dxa"/>
          </w:tcPr>
          <w:p w:rsidR="00D849AA" w:rsidRPr="00807829" w:rsidRDefault="00EE6D95">
            <w:pPr>
              <w:rPr>
                <w:rFonts w:ascii="Arial" w:hAnsi="Arial" w:cs="Arial"/>
              </w:rPr>
            </w:pPr>
            <w:r w:rsidRPr="00807829">
              <w:rPr>
                <w:rFonts w:ascii="Arial" w:hAnsi="Arial" w:cs="Arial"/>
              </w:rPr>
              <w:t>315.675.608</w:t>
            </w:r>
          </w:p>
        </w:tc>
        <w:tc>
          <w:tcPr>
            <w:tcW w:w="1486" w:type="dxa"/>
          </w:tcPr>
          <w:p w:rsidR="00D849AA" w:rsidRPr="00807829" w:rsidRDefault="00EE6D95">
            <w:pPr>
              <w:rPr>
                <w:rFonts w:ascii="Arial" w:hAnsi="Arial" w:cs="Arial"/>
              </w:rPr>
            </w:pPr>
            <w:r w:rsidRPr="00807829">
              <w:rPr>
                <w:rFonts w:ascii="Arial" w:hAnsi="Arial" w:cs="Arial"/>
              </w:rPr>
              <w:t>324.589.682</w:t>
            </w:r>
          </w:p>
        </w:tc>
        <w:tc>
          <w:tcPr>
            <w:tcW w:w="1486" w:type="dxa"/>
          </w:tcPr>
          <w:p w:rsidR="00D849AA" w:rsidRPr="00807829" w:rsidRDefault="00EE6D95">
            <w:pPr>
              <w:rPr>
                <w:rFonts w:ascii="Arial" w:hAnsi="Arial" w:cs="Arial"/>
              </w:rPr>
            </w:pPr>
            <w:r w:rsidRPr="00807829">
              <w:rPr>
                <w:rFonts w:ascii="Arial" w:hAnsi="Arial" w:cs="Arial"/>
              </w:rPr>
              <w:t>297.811.836</w:t>
            </w:r>
          </w:p>
        </w:tc>
        <w:tc>
          <w:tcPr>
            <w:tcW w:w="1486" w:type="dxa"/>
          </w:tcPr>
          <w:p w:rsidR="00D849AA" w:rsidRPr="00807829" w:rsidRDefault="00EE6D95">
            <w:pPr>
              <w:rPr>
                <w:rFonts w:ascii="Arial" w:hAnsi="Arial" w:cs="Arial"/>
              </w:rPr>
            </w:pPr>
            <w:r w:rsidRPr="00807829">
              <w:rPr>
                <w:rFonts w:ascii="Arial" w:hAnsi="Arial" w:cs="Arial"/>
              </w:rPr>
              <w:t>306.324.210</w:t>
            </w:r>
          </w:p>
        </w:tc>
        <w:tc>
          <w:tcPr>
            <w:tcW w:w="1486" w:type="dxa"/>
          </w:tcPr>
          <w:p w:rsidR="00D849AA" w:rsidRPr="00807829" w:rsidRDefault="00EE6D95">
            <w:pPr>
              <w:rPr>
                <w:rFonts w:ascii="Arial" w:hAnsi="Arial" w:cs="Arial"/>
              </w:rPr>
            </w:pPr>
            <w:r w:rsidRPr="00807829">
              <w:rPr>
                <w:rFonts w:ascii="Arial" w:hAnsi="Arial" w:cs="Arial"/>
              </w:rPr>
              <w:t>102,8</w:t>
            </w:r>
          </w:p>
        </w:tc>
      </w:tr>
      <w:tr w:rsidR="00D849AA">
        <w:trPr>
          <w:jc w:val="center"/>
        </w:trPr>
        <w:tc>
          <w:tcPr>
            <w:tcW w:w="1486" w:type="dxa"/>
          </w:tcPr>
          <w:p w:rsidR="00D849AA" w:rsidRPr="00807829" w:rsidRDefault="00EE6D95">
            <w:pPr>
              <w:pStyle w:val="CellColumn"/>
            </w:pPr>
            <w:r w:rsidRPr="00807829">
              <w:t>07625 Državna geodetska uprava</w:t>
            </w:r>
          </w:p>
        </w:tc>
        <w:tc>
          <w:tcPr>
            <w:tcW w:w="1486" w:type="dxa"/>
          </w:tcPr>
          <w:p w:rsidR="00D849AA" w:rsidRPr="00807829" w:rsidRDefault="00EE6D95">
            <w:pPr>
              <w:rPr>
                <w:rFonts w:ascii="Arial" w:hAnsi="Arial" w:cs="Arial"/>
              </w:rPr>
            </w:pPr>
            <w:r w:rsidRPr="00807829">
              <w:rPr>
                <w:rFonts w:ascii="Arial" w:hAnsi="Arial" w:cs="Arial"/>
              </w:rPr>
              <w:t>220.480.000</w:t>
            </w:r>
          </w:p>
        </w:tc>
        <w:tc>
          <w:tcPr>
            <w:tcW w:w="1486" w:type="dxa"/>
          </w:tcPr>
          <w:p w:rsidR="00D849AA" w:rsidRPr="00807829" w:rsidRDefault="00EE6D95">
            <w:pPr>
              <w:rPr>
                <w:rFonts w:ascii="Arial" w:hAnsi="Arial" w:cs="Arial"/>
              </w:rPr>
            </w:pPr>
            <w:r w:rsidRPr="00807829">
              <w:rPr>
                <w:rFonts w:ascii="Arial" w:hAnsi="Arial" w:cs="Arial"/>
              </w:rPr>
              <w:t>205.493.000</w:t>
            </w:r>
          </w:p>
        </w:tc>
        <w:tc>
          <w:tcPr>
            <w:tcW w:w="1486" w:type="dxa"/>
          </w:tcPr>
          <w:p w:rsidR="00D849AA" w:rsidRPr="00807829" w:rsidRDefault="00EE6D95">
            <w:pPr>
              <w:rPr>
                <w:rFonts w:ascii="Arial" w:hAnsi="Arial" w:cs="Arial"/>
              </w:rPr>
            </w:pPr>
            <w:r w:rsidRPr="00807829">
              <w:rPr>
                <w:rFonts w:ascii="Arial" w:hAnsi="Arial" w:cs="Arial"/>
              </w:rPr>
              <w:t>222.880.000</w:t>
            </w:r>
          </w:p>
        </w:tc>
        <w:tc>
          <w:tcPr>
            <w:tcW w:w="1486" w:type="dxa"/>
          </w:tcPr>
          <w:p w:rsidR="00D849AA" w:rsidRPr="00807829" w:rsidRDefault="00EE6D95">
            <w:pPr>
              <w:rPr>
                <w:rFonts w:ascii="Arial" w:hAnsi="Arial" w:cs="Arial"/>
              </w:rPr>
            </w:pPr>
            <w:r w:rsidRPr="00807829">
              <w:rPr>
                <w:rFonts w:ascii="Arial" w:hAnsi="Arial" w:cs="Arial"/>
              </w:rPr>
              <w:t>164.132.000</w:t>
            </w:r>
          </w:p>
        </w:tc>
        <w:tc>
          <w:tcPr>
            <w:tcW w:w="1486" w:type="dxa"/>
          </w:tcPr>
          <w:p w:rsidR="00D849AA" w:rsidRPr="00807829" w:rsidRDefault="00EE6D95">
            <w:pPr>
              <w:rPr>
                <w:rFonts w:ascii="Arial" w:hAnsi="Arial" w:cs="Arial"/>
              </w:rPr>
            </w:pPr>
            <w:r w:rsidRPr="00807829">
              <w:rPr>
                <w:rFonts w:ascii="Arial" w:hAnsi="Arial" w:cs="Arial"/>
              </w:rPr>
              <w:t>93,2</w:t>
            </w:r>
          </w:p>
        </w:tc>
      </w:tr>
      <w:tr w:rsidR="00D849AA">
        <w:trPr>
          <w:jc w:val="center"/>
        </w:trPr>
        <w:tc>
          <w:tcPr>
            <w:tcW w:w="1486" w:type="dxa"/>
            <w:shd w:val="clear" w:color="auto" w:fill="B5C0D8"/>
          </w:tcPr>
          <w:p w:rsidR="00D849AA" w:rsidRPr="00807829" w:rsidRDefault="00EE6D95">
            <w:pPr>
              <w:pStyle w:val="CellColumn"/>
            </w:pPr>
            <w:r w:rsidRPr="00807829">
              <w:t>Ukupno 076</w:t>
            </w:r>
          </w:p>
        </w:tc>
        <w:tc>
          <w:tcPr>
            <w:tcW w:w="1486" w:type="dxa"/>
            <w:shd w:val="clear" w:color="auto" w:fill="B5C0D8"/>
          </w:tcPr>
          <w:p w:rsidR="00D849AA" w:rsidRPr="00807829" w:rsidRDefault="00EE6D95">
            <w:pPr>
              <w:rPr>
                <w:rFonts w:ascii="Arial" w:hAnsi="Arial" w:cs="Arial"/>
              </w:rPr>
            </w:pPr>
            <w:r w:rsidRPr="00807829">
              <w:rPr>
                <w:rFonts w:ascii="Arial" w:hAnsi="Arial" w:cs="Arial"/>
              </w:rPr>
              <w:t>717.338.851</w:t>
            </w:r>
          </w:p>
        </w:tc>
        <w:tc>
          <w:tcPr>
            <w:tcW w:w="1486" w:type="dxa"/>
            <w:shd w:val="clear" w:color="auto" w:fill="B5C0D8"/>
          </w:tcPr>
          <w:p w:rsidR="00D849AA" w:rsidRPr="00807829" w:rsidRDefault="00EE6D95">
            <w:pPr>
              <w:rPr>
                <w:rFonts w:ascii="Arial" w:hAnsi="Arial" w:cs="Arial"/>
              </w:rPr>
            </w:pPr>
            <w:r w:rsidRPr="00807829">
              <w:rPr>
                <w:rFonts w:ascii="Arial" w:hAnsi="Arial" w:cs="Arial"/>
              </w:rPr>
              <w:t>698.813.897</w:t>
            </w:r>
          </w:p>
        </w:tc>
        <w:tc>
          <w:tcPr>
            <w:tcW w:w="1486" w:type="dxa"/>
            <w:shd w:val="clear" w:color="auto" w:fill="B5C0D8"/>
          </w:tcPr>
          <w:p w:rsidR="00D849AA" w:rsidRPr="00807829" w:rsidRDefault="00EE6D95">
            <w:pPr>
              <w:rPr>
                <w:rFonts w:ascii="Arial" w:hAnsi="Arial" w:cs="Arial"/>
              </w:rPr>
            </w:pPr>
            <w:r w:rsidRPr="00807829">
              <w:rPr>
                <w:rFonts w:ascii="Arial" w:hAnsi="Arial" w:cs="Arial"/>
              </w:rPr>
              <w:t>666.722.295</w:t>
            </w:r>
          </w:p>
        </w:tc>
        <w:tc>
          <w:tcPr>
            <w:tcW w:w="1486" w:type="dxa"/>
            <w:shd w:val="clear" w:color="auto" w:fill="B5C0D8"/>
          </w:tcPr>
          <w:p w:rsidR="00D849AA" w:rsidRPr="00807829" w:rsidRDefault="00EE6D95">
            <w:pPr>
              <w:rPr>
                <w:rFonts w:ascii="Arial" w:hAnsi="Arial" w:cs="Arial"/>
              </w:rPr>
            </w:pPr>
            <w:r w:rsidRPr="00807829">
              <w:rPr>
                <w:rFonts w:ascii="Arial" w:hAnsi="Arial" w:cs="Arial"/>
              </w:rPr>
              <w:t>629.946.210</w:t>
            </w:r>
          </w:p>
        </w:tc>
        <w:tc>
          <w:tcPr>
            <w:tcW w:w="1486" w:type="dxa"/>
            <w:shd w:val="clear" w:color="auto" w:fill="B5C0D8"/>
          </w:tcPr>
          <w:p w:rsidR="00D849AA" w:rsidRPr="00807829" w:rsidRDefault="00EE6D95">
            <w:pPr>
              <w:rPr>
                <w:rFonts w:ascii="Arial" w:hAnsi="Arial" w:cs="Arial"/>
              </w:rPr>
            </w:pPr>
            <w:r w:rsidRPr="00807829">
              <w:rPr>
                <w:rFonts w:ascii="Arial" w:hAnsi="Arial" w:cs="Arial"/>
              </w:rPr>
              <w:t>97,4</w:t>
            </w:r>
          </w:p>
        </w:tc>
      </w:tr>
    </w:tbl>
    <w:p w:rsidR="00D849AA" w:rsidRDefault="00D849AA">
      <w:pPr>
        <w:jc w:val="left"/>
      </w:pPr>
    </w:p>
    <w:p w:rsidR="00D849AA" w:rsidRDefault="00EE6D95">
      <w:pPr>
        <w:pStyle w:val="Naslov2"/>
      </w:pPr>
      <w:r>
        <w:t>07605 Ministarstvo graditeljstva i prostornoga uređenja</w:t>
      </w:r>
    </w:p>
    <w:p w:rsidR="00D849AA" w:rsidRDefault="00EE6D95">
      <w:pPr>
        <w:pStyle w:val="Naslov4"/>
      </w:pPr>
      <w:r>
        <w:t>Uvod</w:t>
      </w:r>
    </w:p>
    <w:p w:rsidR="00D849AA" w:rsidRDefault="00EE6D95">
      <w:pPr>
        <w:pStyle w:val="Normal3"/>
      </w:pPr>
      <w:r>
        <w:t xml:space="preserve">Prema Zakonu o ustrojstvu i djelokrugu ministarstava i drugih središnjih tijela državne uprave (Narodne novine, broj 150/11), djelokrug rada Ministarstva graditeljstva i prostornoga uređenja obuhvaća poslove koji se odnose na zaštitu i očuvanje prostora u skladu s politikom održivog razvitka Republike Hrvatske. </w:t>
      </w:r>
    </w:p>
    <w:p w:rsidR="00D849AA" w:rsidRDefault="00EE6D95">
      <w:pPr>
        <w:pStyle w:val="Normal3"/>
      </w:pPr>
      <w:r>
        <w:t>Ministarstvo obavlja upravne i druge poslove koji se odnose na: prostorno uređenje Republike Hrvatske i usklađivanje prostornoga razvitka, planiranje, korištenje i zaštitu prostora, upravne i druge poslove koji se odnose na utvrđivanje uvjeta za projektiranje i gradnju građevina, stanovanje, politiku stanovanja, gradnju stanova i naselja; realizaciju posebnih programa Vlade Republike Hrvatske u stanogradnji; politiku, praćenje i unapređivanje stanja u komunalnom gospodarstvu, ostvarivanje međunarodne suradnje u prostornom planiranju, graditeljstvu i stanovanju.</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rsidRPr="00807829">
        <w:trPr>
          <w:jc w:val="center"/>
        </w:trPr>
        <w:tc>
          <w:tcPr>
            <w:tcW w:w="1486" w:type="dxa"/>
            <w:shd w:val="clear" w:color="auto" w:fill="B5C0D8"/>
          </w:tcPr>
          <w:p w:rsidR="00D849AA" w:rsidRPr="00807829" w:rsidRDefault="00D849AA">
            <w:pPr>
              <w:pStyle w:val="CellHeader"/>
            </w:pPr>
          </w:p>
        </w:tc>
        <w:tc>
          <w:tcPr>
            <w:tcW w:w="1486" w:type="dxa"/>
            <w:shd w:val="clear" w:color="auto" w:fill="B5C0D8"/>
          </w:tcPr>
          <w:p w:rsidR="00D849AA" w:rsidRPr="00807829" w:rsidRDefault="00EE6D95">
            <w:pPr>
              <w:pStyle w:val="CellHeader"/>
            </w:pPr>
            <w:r w:rsidRPr="00807829">
              <w:t>Plan 2013.</w:t>
            </w:r>
          </w:p>
        </w:tc>
        <w:tc>
          <w:tcPr>
            <w:tcW w:w="1486" w:type="dxa"/>
            <w:shd w:val="clear" w:color="auto" w:fill="B5C0D8"/>
          </w:tcPr>
          <w:p w:rsidR="00D849AA" w:rsidRPr="00807829" w:rsidRDefault="00EE6D95">
            <w:pPr>
              <w:pStyle w:val="CellHeader"/>
            </w:pPr>
            <w:r w:rsidRPr="00807829">
              <w:t>Plan 2014.</w:t>
            </w:r>
          </w:p>
        </w:tc>
        <w:tc>
          <w:tcPr>
            <w:tcW w:w="1486" w:type="dxa"/>
            <w:shd w:val="clear" w:color="auto" w:fill="B5C0D8"/>
          </w:tcPr>
          <w:p w:rsidR="00D849AA" w:rsidRPr="00807829" w:rsidRDefault="00EE6D95">
            <w:pPr>
              <w:pStyle w:val="CellHeader"/>
            </w:pPr>
            <w:r w:rsidRPr="00807829">
              <w:t>Plan 2015.</w:t>
            </w:r>
          </w:p>
        </w:tc>
        <w:tc>
          <w:tcPr>
            <w:tcW w:w="1486" w:type="dxa"/>
            <w:shd w:val="clear" w:color="auto" w:fill="B5C0D8"/>
          </w:tcPr>
          <w:p w:rsidR="00D849AA" w:rsidRPr="00807829" w:rsidRDefault="00EE6D95">
            <w:pPr>
              <w:pStyle w:val="CellHeader"/>
            </w:pPr>
            <w:r w:rsidRPr="00807829">
              <w:t>Plan 2016.</w:t>
            </w:r>
          </w:p>
        </w:tc>
        <w:tc>
          <w:tcPr>
            <w:tcW w:w="1486" w:type="dxa"/>
            <w:shd w:val="clear" w:color="auto" w:fill="B5C0D8"/>
          </w:tcPr>
          <w:p w:rsidR="00D849AA" w:rsidRPr="00807829" w:rsidRDefault="00EE6D95">
            <w:pPr>
              <w:pStyle w:val="CellHeader"/>
            </w:pPr>
            <w:r w:rsidRPr="00807829">
              <w:t>Indeks 2014/2013</w:t>
            </w:r>
          </w:p>
        </w:tc>
      </w:tr>
      <w:tr w:rsidR="00D849AA" w:rsidRPr="00807829">
        <w:trPr>
          <w:jc w:val="center"/>
        </w:trPr>
        <w:tc>
          <w:tcPr>
            <w:tcW w:w="1486" w:type="dxa"/>
          </w:tcPr>
          <w:p w:rsidR="00D849AA" w:rsidRPr="00807829" w:rsidRDefault="00EE6D95">
            <w:pPr>
              <w:pStyle w:val="CellColumn"/>
            </w:pPr>
            <w:r w:rsidRPr="00807829">
              <w:t>07605</w:t>
            </w:r>
          </w:p>
        </w:tc>
        <w:tc>
          <w:tcPr>
            <w:tcW w:w="1486" w:type="dxa"/>
          </w:tcPr>
          <w:p w:rsidR="00D849AA" w:rsidRPr="00807829" w:rsidRDefault="00EE6D95">
            <w:pPr>
              <w:rPr>
                <w:rFonts w:ascii="Arial" w:hAnsi="Arial" w:cs="Arial"/>
              </w:rPr>
            </w:pPr>
            <w:r w:rsidRPr="00807829">
              <w:rPr>
                <w:rFonts w:ascii="Arial" w:hAnsi="Arial" w:cs="Arial"/>
              </w:rPr>
              <w:t>175.853.243</w:t>
            </w:r>
          </w:p>
        </w:tc>
        <w:tc>
          <w:tcPr>
            <w:tcW w:w="1486" w:type="dxa"/>
          </w:tcPr>
          <w:p w:rsidR="00D849AA" w:rsidRPr="00807829" w:rsidRDefault="00EE6D95">
            <w:pPr>
              <w:rPr>
                <w:rFonts w:ascii="Arial" w:hAnsi="Arial" w:cs="Arial"/>
              </w:rPr>
            </w:pPr>
            <w:r w:rsidRPr="00807829">
              <w:rPr>
                <w:rFonts w:ascii="Arial" w:hAnsi="Arial" w:cs="Arial"/>
              </w:rPr>
              <w:t>152.916.215</w:t>
            </w:r>
          </w:p>
        </w:tc>
        <w:tc>
          <w:tcPr>
            <w:tcW w:w="1486" w:type="dxa"/>
          </w:tcPr>
          <w:p w:rsidR="00D849AA" w:rsidRPr="00807829" w:rsidRDefault="00EE6D95">
            <w:pPr>
              <w:rPr>
                <w:rFonts w:ascii="Arial" w:hAnsi="Arial" w:cs="Arial"/>
              </w:rPr>
            </w:pPr>
            <w:r w:rsidRPr="00807829">
              <w:rPr>
                <w:rFonts w:ascii="Arial" w:hAnsi="Arial" w:cs="Arial"/>
              </w:rPr>
              <w:t>130.265.459</w:t>
            </w:r>
          </w:p>
        </w:tc>
        <w:tc>
          <w:tcPr>
            <w:tcW w:w="1486" w:type="dxa"/>
          </w:tcPr>
          <w:p w:rsidR="00D849AA" w:rsidRPr="00807829" w:rsidRDefault="00EE6D95">
            <w:pPr>
              <w:rPr>
                <w:rFonts w:ascii="Arial" w:hAnsi="Arial" w:cs="Arial"/>
              </w:rPr>
            </w:pPr>
            <w:r w:rsidRPr="00807829">
              <w:rPr>
                <w:rFonts w:ascii="Arial" w:hAnsi="Arial" w:cs="Arial"/>
              </w:rPr>
              <w:t>144.225.000</w:t>
            </w:r>
          </w:p>
        </w:tc>
        <w:tc>
          <w:tcPr>
            <w:tcW w:w="1486" w:type="dxa"/>
          </w:tcPr>
          <w:p w:rsidR="00D849AA" w:rsidRPr="00807829" w:rsidRDefault="00EE6D95">
            <w:pPr>
              <w:rPr>
                <w:rFonts w:ascii="Arial" w:hAnsi="Arial" w:cs="Arial"/>
              </w:rPr>
            </w:pPr>
            <w:r w:rsidRPr="00807829">
              <w:rPr>
                <w:rFonts w:ascii="Arial" w:hAnsi="Arial" w:cs="Arial"/>
              </w:rPr>
              <w:t>87,0</w:t>
            </w:r>
          </w:p>
        </w:tc>
      </w:tr>
    </w:tbl>
    <w:p w:rsidR="00D849AA" w:rsidRPr="00807829" w:rsidRDefault="00D849AA">
      <w:pPr>
        <w:jc w:val="left"/>
        <w:rPr>
          <w:rFonts w:ascii="Arial" w:hAnsi="Arial" w:cs="Arial"/>
        </w:rPr>
      </w:pPr>
    </w:p>
    <w:p w:rsidR="00D849AA" w:rsidRDefault="00EE6D95">
      <w:pPr>
        <w:pStyle w:val="Naslov4"/>
      </w:pPr>
      <w:r>
        <w:t>OBRAZLOŽENJE PROGRAMA</w:t>
      </w:r>
    </w:p>
    <w:p w:rsidR="00D849AA" w:rsidRDefault="00EE6D95">
      <w:pPr>
        <w:pStyle w:val="Naslov5"/>
      </w:pPr>
      <w:r>
        <w:t>3501 RAZVOJ I UPRAVLJANJE PROSTORNIM UREĐENJEM</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807829" w:rsidRDefault="00D849AA">
            <w:pPr>
              <w:pStyle w:val="CellHeader"/>
            </w:pPr>
          </w:p>
        </w:tc>
        <w:tc>
          <w:tcPr>
            <w:tcW w:w="1486" w:type="dxa"/>
            <w:shd w:val="clear" w:color="auto" w:fill="B5C0D8"/>
          </w:tcPr>
          <w:p w:rsidR="00D849AA" w:rsidRPr="00807829" w:rsidRDefault="00EE6D95">
            <w:pPr>
              <w:pStyle w:val="CellHeader"/>
            </w:pPr>
            <w:r w:rsidRPr="00807829">
              <w:t>Plan 2013.</w:t>
            </w:r>
          </w:p>
        </w:tc>
        <w:tc>
          <w:tcPr>
            <w:tcW w:w="1486" w:type="dxa"/>
            <w:shd w:val="clear" w:color="auto" w:fill="B5C0D8"/>
          </w:tcPr>
          <w:p w:rsidR="00D849AA" w:rsidRPr="00807829" w:rsidRDefault="00EE6D95">
            <w:pPr>
              <w:pStyle w:val="CellHeader"/>
            </w:pPr>
            <w:r w:rsidRPr="00807829">
              <w:t>Plan 2014.</w:t>
            </w:r>
          </w:p>
        </w:tc>
        <w:tc>
          <w:tcPr>
            <w:tcW w:w="1486" w:type="dxa"/>
            <w:shd w:val="clear" w:color="auto" w:fill="B5C0D8"/>
          </w:tcPr>
          <w:p w:rsidR="00D849AA" w:rsidRPr="00807829" w:rsidRDefault="00EE6D95">
            <w:pPr>
              <w:pStyle w:val="CellHeader"/>
            </w:pPr>
            <w:r w:rsidRPr="00807829">
              <w:t>Plan 2015.</w:t>
            </w:r>
          </w:p>
        </w:tc>
        <w:tc>
          <w:tcPr>
            <w:tcW w:w="1486" w:type="dxa"/>
            <w:shd w:val="clear" w:color="auto" w:fill="B5C0D8"/>
          </w:tcPr>
          <w:p w:rsidR="00D849AA" w:rsidRPr="00807829" w:rsidRDefault="00EE6D95">
            <w:pPr>
              <w:pStyle w:val="CellHeader"/>
            </w:pPr>
            <w:r w:rsidRPr="00807829">
              <w:t>Plan 2016.</w:t>
            </w:r>
          </w:p>
        </w:tc>
        <w:tc>
          <w:tcPr>
            <w:tcW w:w="1486" w:type="dxa"/>
            <w:shd w:val="clear" w:color="auto" w:fill="B5C0D8"/>
          </w:tcPr>
          <w:p w:rsidR="00D849AA" w:rsidRPr="00807829" w:rsidRDefault="00EE6D95">
            <w:pPr>
              <w:pStyle w:val="CellHeader"/>
            </w:pPr>
            <w:r w:rsidRPr="00807829">
              <w:t>Indeks 2014/2013</w:t>
            </w:r>
          </w:p>
        </w:tc>
      </w:tr>
      <w:tr w:rsidR="00D849AA">
        <w:trPr>
          <w:jc w:val="center"/>
        </w:trPr>
        <w:tc>
          <w:tcPr>
            <w:tcW w:w="1486" w:type="dxa"/>
          </w:tcPr>
          <w:p w:rsidR="00D849AA" w:rsidRPr="00807829" w:rsidRDefault="00EE6D95">
            <w:pPr>
              <w:pStyle w:val="CellColumn"/>
            </w:pPr>
            <w:r w:rsidRPr="00807829">
              <w:t>3501</w:t>
            </w:r>
          </w:p>
        </w:tc>
        <w:tc>
          <w:tcPr>
            <w:tcW w:w="1486" w:type="dxa"/>
          </w:tcPr>
          <w:p w:rsidR="00D849AA" w:rsidRPr="00807829" w:rsidRDefault="00EE6D95">
            <w:pPr>
              <w:rPr>
                <w:rFonts w:ascii="Arial" w:hAnsi="Arial" w:cs="Arial"/>
              </w:rPr>
            </w:pPr>
            <w:r w:rsidRPr="00807829">
              <w:rPr>
                <w:rFonts w:ascii="Arial" w:hAnsi="Arial" w:cs="Arial"/>
              </w:rPr>
              <w:t>153.061.243</w:t>
            </w:r>
          </w:p>
        </w:tc>
        <w:tc>
          <w:tcPr>
            <w:tcW w:w="1486" w:type="dxa"/>
          </w:tcPr>
          <w:p w:rsidR="00D849AA" w:rsidRPr="00807829" w:rsidRDefault="00EE6D95">
            <w:pPr>
              <w:rPr>
                <w:rFonts w:ascii="Arial" w:hAnsi="Arial" w:cs="Arial"/>
              </w:rPr>
            </w:pPr>
            <w:r w:rsidRPr="00807829">
              <w:rPr>
                <w:rFonts w:ascii="Arial" w:hAnsi="Arial" w:cs="Arial"/>
              </w:rPr>
              <w:t>125.802.715</w:t>
            </w:r>
          </w:p>
        </w:tc>
        <w:tc>
          <w:tcPr>
            <w:tcW w:w="1486" w:type="dxa"/>
          </w:tcPr>
          <w:p w:rsidR="00D849AA" w:rsidRPr="00807829" w:rsidRDefault="00EE6D95">
            <w:pPr>
              <w:rPr>
                <w:rFonts w:ascii="Arial" w:hAnsi="Arial" w:cs="Arial"/>
              </w:rPr>
            </w:pPr>
            <w:r w:rsidRPr="00807829">
              <w:rPr>
                <w:rFonts w:ascii="Arial" w:hAnsi="Arial" w:cs="Arial"/>
              </w:rPr>
              <w:t>108.600.459</w:t>
            </w:r>
          </w:p>
        </w:tc>
        <w:tc>
          <w:tcPr>
            <w:tcW w:w="1486" w:type="dxa"/>
          </w:tcPr>
          <w:p w:rsidR="00D849AA" w:rsidRPr="00807829" w:rsidRDefault="00EE6D95">
            <w:pPr>
              <w:rPr>
                <w:rFonts w:ascii="Arial" w:hAnsi="Arial" w:cs="Arial"/>
              </w:rPr>
            </w:pPr>
            <w:r w:rsidRPr="00807829">
              <w:rPr>
                <w:rFonts w:ascii="Arial" w:hAnsi="Arial" w:cs="Arial"/>
              </w:rPr>
              <w:t>122.560.000</w:t>
            </w:r>
          </w:p>
        </w:tc>
        <w:tc>
          <w:tcPr>
            <w:tcW w:w="1486" w:type="dxa"/>
          </w:tcPr>
          <w:p w:rsidR="00D849AA" w:rsidRPr="00807829" w:rsidRDefault="00EE6D95">
            <w:pPr>
              <w:rPr>
                <w:rFonts w:ascii="Arial" w:hAnsi="Arial" w:cs="Arial"/>
              </w:rPr>
            </w:pPr>
            <w:r w:rsidRPr="00807829">
              <w:rPr>
                <w:rFonts w:ascii="Arial" w:hAnsi="Arial" w:cs="Arial"/>
              </w:rPr>
              <w:t>82,2</w:t>
            </w:r>
          </w:p>
        </w:tc>
      </w:tr>
    </w:tbl>
    <w:p w:rsidR="00D849AA" w:rsidRDefault="00D849AA">
      <w:pPr>
        <w:jc w:val="left"/>
      </w:pPr>
    </w:p>
    <w:p w:rsidR="00D849AA" w:rsidRDefault="00EE6D95">
      <w:pPr>
        <w:pStyle w:val="Naslov6"/>
      </w:pPr>
      <w:r>
        <w:lastRenderedPageBreak/>
        <w:t>Opis programa</w:t>
      </w:r>
    </w:p>
    <w:p w:rsidR="00D849AA" w:rsidRDefault="00EE6D95">
      <w:pPr>
        <w:pStyle w:val="Normal5"/>
      </w:pPr>
      <w:r>
        <w:t>Prostorno uređenje temelji se na sveobuhvatnoj prirodi prostornog planiranja u odnosu na planiranje pojedinih gospodarskih područja, uvažavanju opće prihvaćenih načela zaštite prostora, znanstvenih i stručnih spoznaja te najbolje međunarodne prakse u području prostornog uređenja i zahtjeva za održiv i uravnotežen razvoj. Izazovi u daljnjem djelovanju Ministarstva u kontekstu Republike Hrvatske kao nove članice Europske unije, unapređenje informacija i podataka o prostoru te pojačane aktivnosti u okolnostima koje proizlaze iz snažnog pritiska na najvrednije prostore Republike Hrvatske (obalno područje) nužno zahtijeva jačanje suradnje Ministarstva i jedinica lokalne samouprave.</w:t>
      </w:r>
    </w:p>
    <w:p w:rsidR="00D849AA" w:rsidRDefault="00EE6D95">
      <w:pPr>
        <w:pStyle w:val="Naslov6"/>
      </w:pPr>
      <w:r>
        <w:t>Zakonske i druge pravne osnove</w:t>
      </w:r>
    </w:p>
    <w:p w:rsidR="00D849AA" w:rsidRDefault="00EE6D95">
      <w:pPr>
        <w:pStyle w:val="Normal5"/>
      </w:pPr>
      <w:r>
        <w:t xml:space="preserve">1. Strategija prostornog razvoja Republike Hrvatske; </w:t>
      </w:r>
    </w:p>
    <w:p w:rsidR="00D849AA" w:rsidRDefault="00EE6D95">
      <w:pPr>
        <w:pStyle w:val="Normal5"/>
      </w:pPr>
      <w:r>
        <w:t xml:space="preserve">2. Zakon o prostornom uređenju i gradnji (Narodne novine, broj 38/09); </w:t>
      </w:r>
    </w:p>
    <w:p w:rsidR="00D849AA" w:rsidRDefault="00EE6D95">
      <w:pPr>
        <w:pStyle w:val="Normal5"/>
      </w:pPr>
      <w:r>
        <w:t>3. Program prostornog uređenja Republike Hrvatske.</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Cilj 1. Poboljšati preduvjete za održivo prostorno uređenje</w:t>
      </w:r>
    </w:p>
    <w:p w:rsidR="00D849AA" w:rsidRDefault="00EE6D95">
      <w:pPr>
        <w:pStyle w:val="Normal6"/>
      </w:pPr>
      <w:r>
        <w:t>Poboljšanje preduvjeta za održivo prostorno uređenje zasniva se prvenstveno na izradi krovnih dokumenata, njihovo poboljšavanje i ažuriranje. Iz tog razloga sve jača je potreba za izradom nove Strategije prostornog razvoja i novog Programa prostornog uređenja te drugih dokumenata od važnosti za prostorno uređenje i zaštitu prostora Države. Glavnina dokumenata trebala bi biti dovršena tijekom slijedeće dvije godine.</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807829" w:rsidRDefault="00EE6D95">
            <w:pPr>
              <w:rPr>
                <w:rFonts w:ascii="Arial" w:hAnsi="Arial" w:cs="Arial"/>
              </w:rPr>
            </w:pPr>
            <w:r w:rsidRPr="00807829">
              <w:rPr>
                <w:rFonts w:ascii="Arial" w:hAnsi="Arial" w:cs="Arial"/>
              </w:rPr>
              <w:t>Pokazatelj učinka</w:t>
            </w:r>
          </w:p>
        </w:tc>
        <w:tc>
          <w:tcPr>
            <w:tcW w:w="1114" w:type="dxa"/>
            <w:shd w:val="clear" w:color="auto" w:fill="B5C0D8"/>
          </w:tcPr>
          <w:p w:rsidR="00D849AA" w:rsidRPr="00807829" w:rsidRDefault="00EE6D95">
            <w:pPr>
              <w:pStyle w:val="CellHeader"/>
            </w:pPr>
            <w:r w:rsidRPr="00807829">
              <w:t>Jedinica</w:t>
            </w:r>
          </w:p>
        </w:tc>
        <w:tc>
          <w:tcPr>
            <w:tcW w:w="1114" w:type="dxa"/>
            <w:shd w:val="clear" w:color="auto" w:fill="B5C0D8"/>
          </w:tcPr>
          <w:p w:rsidR="00D849AA" w:rsidRPr="00807829" w:rsidRDefault="00EE6D95">
            <w:pPr>
              <w:pStyle w:val="CellHeader"/>
            </w:pPr>
            <w:r w:rsidRPr="00807829">
              <w:t>Polazna vrijednost</w:t>
            </w:r>
          </w:p>
        </w:tc>
        <w:tc>
          <w:tcPr>
            <w:tcW w:w="1486" w:type="dxa"/>
            <w:shd w:val="clear" w:color="auto" w:fill="B5C0D8"/>
          </w:tcPr>
          <w:p w:rsidR="00D849AA" w:rsidRPr="00807829" w:rsidRDefault="00EE6D95">
            <w:pPr>
              <w:pStyle w:val="CellHeader"/>
            </w:pPr>
            <w:r w:rsidRPr="00807829">
              <w:t>Ciljana vrijednost (2014.)</w:t>
            </w:r>
          </w:p>
        </w:tc>
        <w:tc>
          <w:tcPr>
            <w:tcW w:w="1486" w:type="dxa"/>
            <w:shd w:val="clear" w:color="auto" w:fill="B5C0D8"/>
          </w:tcPr>
          <w:p w:rsidR="00D849AA" w:rsidRPr="00807829" w:rsidRDefault="00EE6D95">
            <w:pPr>
              <w:pStyle w:val="CellHeader"/>
            </w:pPr>
            <w:r w:rsidRPr="00807829">
              <w:t>Ciljana vrijednost (2015.)</w:t>
            </w:r>
          </w:p>
        </w:tc>
        <w:tc>
          <w:tcPr>
            <w:tcW w:w="1486" w:type="dxa"/>
            <w:shd w:val="clear" w:color="auto" w:fill="B5C0D8"/>
          </w:tcPr>
          <w:p w:rsidR="00D849AA" w:rsidRPr="00807829" w:rsidRDefault="00EE6D95">
            <w:pPr>
              <w:pStyle w:val="CellHeader"/>
            </w:pPr>
            <w:r w:rsidRPr="00807829">
              <w:t>Ciljana vrijednost (2016.)</w:t>
            </w:r>
          </w:p>
        </w:tc>
      </w:tr>
      <w:tr w:rsidR="00D849AA">
        <w:trPr>
          <w:jc w:val="center"/>
        </w:trPr>
        <w:tc>
          <w:tcPr>
            <w:tcW w:w="2229" w:type="dxa"/>
          </w:tcPr>
          <w:p w:rsidR="00D849AA" w:rsidRPr="00807829" w:rsidRDefault="00EE6D95">
            <w:pPr>
              <w:pStyle w:val="CellColumn"/>
            </w:pPr>
            <w:r w:rsidRPr="00807829">
              <w:t>Povećanje postotka dovršenosti i usklađenosti dokumenata prostornog uređenja kao podloge za održivi prostorni razvoj</w:t>
            </w:r>
          </w:p>
        </w:tc>
        <w:tc>
          <w:tcPr>
            <w:tcW w:w="1114" w:type="dxa"/>
          </w:tcPr>
          <w:p w:rsidR="00D849AA" w:rsidRPr="00807829" w:rsidRDefault="00EE6D95">
            <w:pPr>
              <w:rPr>
                <w:rFonts w:ascii="Arial" w:hAnsi="Arial" w:cs="Arial"/>
              </w:rPr>
            </w:pPr>
            <w:r w:rsidRPr="00807829">
              <w:rPr>
                <w:rFonts w:ascii="Arial" w:hAnsi="Arial" w:cs="Arial"/>
              </w:rPr>
              <w:t>%</w:t>
            </w:r>
          </w:p>
        </w:tc>
        <w:tc>
          <w:tcPr>
            <w:tcW w:w="1114" w:type="dxa"/>
          </w:tcPr>
          <w:p w:rsidR="00D849AA" w:rsidRPr="00807829" w:rsidRDefault="00EE6D95">
            <w:pPr>
              <w:rPr>
                <w:rFonts w:ascii="Arial" w:hAnsi="Arial" w:cs="Arial"/>
              </w:rPr>
            </w:pPr>
            <w:r w:rsidRPr="00807829">
              <w:rPr>
                <w:rFonts w:ascii="Arial" w:hAnsi="Arial" w:cs="Arial"/>
              </w:rPr>
              <w:t>75</w:t>
            </w:r>
          </w:p>
        </w:tc>
        <w:tc>
          <w:tcPr>
            <w:tcW w:w="1486" w:type="dxa"/>
          </w:tcPr>
          <w:p w:rsidR="00D849AA" w:rsidRPr="00807829" w:rsidRDefault="00EE6D95">
            <w:pPr>
              <w:rPr>
                <w:rFonts w:ascii="Arial" w:hAnsi="Arial" w:cs="Arial"/>
              </w:rPr>
            </w:pPr>
            <w:r w:rsidRPr="00807829">
              <w:rPr>
                <w:rFonts w:ascii="Arial" w:hAnsi="Arial" w:cs="Arial"/>
              </w:rPr>
              <w:t>80</w:t>
            </w:r>
          </w:p>
        </w:tc>
        <w:tc>
          <w:tcPr>
            <w:tcW w:w="1486" w:type="dxa"/>
          </w:tcPr>
          <w:p w:rsidR="00D849AA" w:rsidRPr="00807829" w:rsidRDefault="00EE6D95">
            <w:pPr>
              <w:rPr>
                <w:rFonts w:ascii="Arial" w:hAnsi="Arial" w:cs="Arial"/>
              </w:rPr>
            </w:pPr>
            <w:r w:rsidRPr="00807829">
              <w:rPr>
                <w:rFonts w:ascii="Arial" w:hAnsi="Arial" w:cs="Arial"/>
              </w:rPr>
              <w:t>82</w:t>
            </w:r>
          </w:p>
        </w:tc>
        <w:tc>
          <w:tcPr>
            <w:tcW w:w="1486" w:type="dxa"/>
          </w:tcPr>
          <w:p w:rsidR="00D849AA" w:rsidRPr="00807829" w:rsidRDefault="00EE6D95">
            <w:pPr>
              <w:rPr>
                <w:rFonts w:ascii="Arial" w:hAnsi="Arial" w:cs="Arial"/>
              </w:rPr>
            </w:pPr>
            <w:r w:rsidRPr="00807829">
              <w:rPr>
                <w:rFonts w:ascii="Arial" w:hAnsi="Arial" w:cs="Arial"/>
              </w:rPr>
              <w:t>84</w:t>
            </w:r>
          </w:p>
        </w:tc>
      </w:tr>
    </w:tbl>
    <w:p w:rsidR="00D849AA" w:rsidRDefault="00D849AA">
      <w:pPr>
        <w:jc w:val="left"/>
      </w:pPr>
    </w:p>
    <w:p w:rsidR="00D849AA" w:rsidRDefault="00EE6D95">
      <w:pPr>
        <w:pStyle w:val="Naslov5"/>
      </w:pPr>
      <w:r>
        <w:t>Procjena i ishodište potrebnih sredstava za značajnije aktivnosti/projekte</w:t>
      </w:r>
    </w:p>
    <w:p w:rsidR="00D849AA" w:rsidRDefault="00EE6D95">
      <w:pPr>
        <w:pStyle w:val="Naslov6"/>
      </w:pPr>
      <w:r>
        <w:t>A538049 E-DOZVOLA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807829" w:rsidRDefault="00EE6D95">
            <w:pPr>
              <w:pStyle w:val="CellHeader"/>
            </w:pPr>
            <w:r w:rsidRPr="00807829">
              <w:t>Naziv aktivnosti</w:t>
            </w:r>
          </w:p>
        </w:tc>
        <w:tc>
          <w:tcPr>
            <w:tcW w:w="1486" w:type="dxa"/>
            <w:shd w:val="clear" w:color="auto" w:fill="B5C0D8"/>
          </w:tcPr>
          <w:p w:rsidR="00D849AA" w:rsidRPr="00807829" w:rsidRDefault="00EE6D95">
            <w:pPr>
              <w:pStyle w:val="CellHeader"/>
            </w:pPr>
            <w:r w:rsidRPr="00807829">
              <w:t>Plan 2013.</w:t>
            </w:r>
          </w:p>
        </w:tc>
        <w:tc>
          <w:tcPr>
            <w:tcW w:w="1486" w:type="dxa"/>
            <w:shd w:val="clear" w:color="auto" w:fill="B5C0D8"/>
          </w:tcPr>
          <w:p w:rsidR="00D849AA" w:rsidRPr="00807829" w:rsidRDefault="00EE6D95">
            <w:pPr>
              <w:pStyle w:val="CellHeader"/>
            </w:pPr>
            <w:r w:rsidRPr="00807829">
              <w:t>Plan 2014.</w:t>
            </w:r>
          </w:p>
        </w:tc>
        <w:tc>
          <w:tcPr>
            <w:tcW w:w="1486" w:type="dxa"/>
            <w:shd w:val="clear" w:color="auto" w:fill="B5C0D8"/>
          </w:tcPr>
          <w:p w:rsidR="00D849AA" w:rsidRPr="00807829" w:rsidRDefault="00EE6D95">
            <w:pPr>
              <w:pStyle w:val="CellHeader"/>
            </w:pPr>
            <w:r w:rsidRPr="00807829">
              <w:t>Plan 2015.</w:t>
            </w:r>
          </w:p>
        </w:tc>
        <w:tc>
          <w:tcPr>
            <w:tcW w:w="1486" w:type="dxa"/>
            <w:shd w:val="clear" w:color="auto" w:fill="B5C0D8"/>
          </w:tcPr>
          <w:p w:rsidR="00D849AA" w:rsidRPr="00807829" w:rsidRDefault="00EE6D95">
            <w:pPr>
              <w:pStyle w:val="CellHeader"/>
            </w:pPr>
            <w:r w:rsidRPr="00807829">
              <w:t>Plan 2016.</w:t>
            </w:r>
          </w:p>
        </w:tc>
        <w:tc>
          <w:tcPr>
            <w:tcW w:w="1486" w:type="dxa"/>
            <w:shd w:val="clear" w:color="auto" w:fill="B5C0D8"/>
          </w:tcPr>
          <w:p w:rsidR="00D849AA" w:rsidRPr="00807829" w:rsidRDefault="00EE6D95">
            <w:pPr>
              <w:pStyle w:val="CellHeader"/>
            </w:pPr>
            <w:r w:rsidRPr="00807829">
              <w:t>Indeks 2014/2013</w:t>
            </w:r>
          </w:p>
        </w:tc>
      </w:tr>
      <w:tr w:rsidR="00D849AA">
        <w:trPr>
          <w:jc w:val="center"/>
        </w:trPr>
        <w:tc>
          <w:tcPr>
            <w:tcW w:w="1486" w:type="dxa"/>
          </w:tcPr>
          <w:p w:rsidR="00D849AA" w:rsidRPr="00807829" w:rsidRDefault="00EE6D95">
            <w:pPr>
              <w:pStyle w:val="CellColumn"/>
            </w:pPr>
            <w:r w:rsidRPr="00807829">
              <w:t>A538049</w:t>
            </w:r>
          </w:p>
        </w:tc>
        <w:tc>
          <w:tcPr>
            <w:tcW w:w="1486" w:type="dxa"/>
          </w:tcPr>
          <w:p w:rsidR="00D849AA" w:rsidRPr="00807829" w:rsidRDefault="00EE6D95">
            <w:pPr>
              <w:rPr>
                <w:rFonts w:ascii="Arial" w:hAnsi="Arial" w:cs="Arial"/>
              </w:rPr>
            </w:pPr>
            <w:r w:rsidRPr="00807829">
              <w:rPr>
                <w:rFonts w:ascii="Arial" w:hAnsi="Arial" w:cs="Arial"/>
              </w:rPr>
              <w:t>3.650.000</w:t>
            </w:r>
          </w:p>
        </w:tc>
        <w:tc>
          <w:tcPr>
            <w:tcW w:w="1486" w:type="dxa"/>
          </w:tcPr>
          <w:p w:rsidR="00D849AA" w:rsidRPr="00807829" w:rsidRDefault="00EE6D95">
            <w:pPr>
              <w:rPr>
                <w:rFonts w:ascii="Arial" w:hAnsi="Arial" w:cs="Arial"/>
              </w:rPr>
            </w:pPr>
            <w:r w:rsidRPr="00807829">
              <w:rPr>
                <w:rFonts w:ascii="Arial" w:hAnsi="Arial" w:cs="Arial"/>
              </w:rPr>
              <w:t>3.650.000</w:t>
            </w:r>
          </w:p>
        </w:tc>
        <w:tc>
          <w:tcPr>
            <w:tcW w:w="1486" w:type="dxa"/>
          </w:tcPr>
          <w:p w:rsidR="00D849AA" w:rsidRPr="00807829" w:rsidRDefault="00EE6D95">
            <w:pPr>
              <w:rPr>
                <w:rFonts w:ascii="Arial" w:hAnsi="Arial" w:cs="Arial"/>
              </w:rPr>
            </w:pPr>
            <w:r w:rsidRPr="00807829">
              <w:rPr>
                <w:rFonts w:ascii="Arial" w:hAnsi="Arial" w:cs="Arial"/>
              </w:rPr>
              <w:t>1.150.000</w:t>
            </w:r>
          </w:p>
        </w:tc>
        <w:tc>
          <w:tcPr>
            <w:tcW w:w="1486" w:type="dxa"/>
          </w:tcPr>
          <w:p w:rsidR="00D849AA" w:rsidRPr="00807829" w:rsidRDefault="00EE6D95">
            <w:pPr>
              <w:rPr>
                <w:rFonts w:ascii="Arial" w:hAnsi="Arial" w:cs="Arial"/>
              </w:rPr>
            </w:pPr>
            <w:r w:rsidRPr="00807829">
              <w:rPr>
                <w:rFonts w:ascii="Arial" w:hAnsi="Arial" w:cs="Arial"/>
              </w:rPr>
              <w:t>1.150.000</w:t>
            </w:r>
          </w:p>
        </w:tc>
        <w:tc>
          <w:tcPr>
            <w:tcW w:w="1486" w:type="dxa"/>
          </w:tcPr>
          <w:p w:rsidR="00D849AA" w:rsidRPr="00807829" w:rsidRDefault="00EE6D95">
            <w:pPr>
              <w:rPr>
                <w:rFonts w:ascii="Arial" w:hAnsi="Arial" w:cs="Arial"/>
              </w:rPr>
            </w:pPr>
            <w:r w:rsidRPr="00807829">
              <w:rPr>
                <w:rFonts w:ascii="Arial" w:hAnsi="Arial" w:cs="Arial"/>
              </w:rPr>
              <w:t>100,0</w:t>
            </w:r>
          </w:p>
        </w:tc>
      </w:tr>
    </w:tbl>
    <w:p w:rsidR="00D849AA" w:rsidRDefault="00D849AA">
      <w:pPr>
        <w:jc w:val="left"/>
      </w:pPr>
    </w:p>
    <w:p w:rsidR="00D849AA" w:rsidRDefault="00EE6D95">
      <w:pPr>
        <w:pStyle w:val="Normal6"/>
      </w:pPr>
      <w:r>
        <w:lastRenderedPageBreak/>
        <w:t xml:space="preserve">U tijeku je izrada baze podataka i aplikacije za izdavanje dozvola i drugih akata. Aplikacija će se kao obveza uvesti po svim županijama i JLS tijekom 2014. godine. Aplikacija će također nuditi jednoobraznost i transparentnost podataka, kontrolu </w:t>
      </w:r>
    </w:p>
    <w:p w:rsidR="00D849AA" w:rsidRDefault="00EE6D95">
      <w:pPr>
        <w:pStyle w:val="Normal6"/>
      </w:pPr>
      <w:r>
        <w:t>postupaka te moguće pogreške u postupcima izdavanja dozvola. Istovremeno će omogućavati filtriranje postupaka u bazi kao što su nezakonite radnje, usporavanje ili blokiranje izdavanja dozvola. Za učinkovito korištenje aplikacije za izradu dozvola neophodna je edukacija službenika po svim županijama i gradovima nadležnim za izdavanje dozvola. Ministarstvo će u idućem periodu, raditi na provedbi Akcijskog plana o obrazovanju službenika za potrebe na izradi dozvola, te u tu svrhu provoditi savjetodavne aktivnosti poglavito za one funkcionalnosti koje će se tek uvoditi. Ministarstvo će imati bazu podataka svih zahvata u prostoru koji će biti dostupni svim zainteresiranim državnim tijelima.</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807829" w:rsidRDefault="00EE6D95">
            <w:pPr>
              <w:rPr>
                <w:rFonts w:ascii="Arial" w:hAnsi="Arial" w:cs="Arial"/>
              </w:rPr>
            </w:pPr>
            <w:r w:rsidRPr="00807829">
              <w:rPr>
                <w:rFonts w:ascii="Arial" w:hAnsi="Arial" w:cs="Arial"/>
              </w:rPr>
              <w:t>Pokazatelj rezultata</w:t>
            </w:r>
          </w:p>
        </w:tc>
        <w:tc>
          <w:tcPr>
            <w:tcW w:w="1114" w:type="dxa"/>
            <w:shd w:val="clear" w:color="auto" w:fill="B5C0D8"/>
          </w:tcPr>
          <w:p w:rsidR="00D849AA" w:rsidRPr="00807829" w:rsidRDefault="00EE6D95">
            <w:pPr>
              <w:pStyle w:val="CellHeader"/>
            </w:pPr>
            <w:r w:rsidRPr="00807829">
              <w:t>Jedinica</w:t>
            </w:r>
          </w:p>
        </w:tc>
        <w:tc>
          <w:tcPr>
            <w:tcW w:w="1114" w:type="dxa"/>
            <w:shd w:val="clear" w:color="auto" w:fill="B5C0D8"/>
          </w:tcPr>
          <w:p w:rsidR="00D849AA" w:rsidRPr="00807829" w:rsidRDefault="00EE6D95">
            <w:pPr>
              <w:pStyle w:val="CellHeader"/>
            </w:pPr>
            <w:r w:rsidRPr="00807829">
              <w:t>Polazna vrijednost</w:t>
            </w:r>
          </w:p>
        </w:tc>
        <w:tc>
          <w:tcPr>
            <w:tcW w:w="1486" w:type="dxa"/>
            <w:shd w:val="clear" w:color="auto" w:fill="B5C0D8"/>
          </w:tcPr>
          <w:p w:rsidR="00D849AA" w:rsidRPr="00807829" w:rsidRDefault="00EE6D95">
            <w:pPr>
              <w:pStyle w:val="CellHeader"/>
            </w:pPr>
            <w:r w:rsidRPr="00807829">
              <w:t>Ciljana vrijednost (2014.)</w:t>
            </w:r>
          </w:p>
        </w:tc>
        <w:tc>
          <w:tcPr>
            <w:tcW w:w="1486" w:type="dxa"/>
            <w:shd w:val="clear" w:color="auto" w:fill="B5C0D8"/>
          </w:tcPr>
          <w:p w:rsidR="00D849AA" w:rsidRPr="00807829" w:rsidRDefault="00EE6D95">
            <w:pPr>
              <w:pStyle w:val="CellHeader"/>
            </w:pPr>
            <w:r w:rsidRPr="00807829">
              <w:t>Ciljana vrijednost (2015.)</w:t>
            </w:r>
          </w:p>
        </w:tc>
        <w:tc>
          <w:tcPr>
            <w:tcW w:w="1486" w:type="dxa"/>
            <w:shd w:val="clear" w:color="auto" w:fill="B5C0D8"/>
          </w:tcPr>
          <w:p w:rsidR="00D849AA" w:rsidRPr="00807829" w:rsidRDefault="00EE6D95">
            <w:pPr>
              <w:pStyle w:val="CellHeader"/>
            </w:pPr>
            <w:r w:rsidRPr="00807829">
              <w:t>Ciljana vrijednost (2016.)</w:t>
            </w:r>
          </w:p>
        </w:tc>
      </w:tr>
      <w:tr w:rsidR="00D849AA">
        <w:trPr>
          <w:jc w:val="center"/>
        </w:trPr>
        <w:tc>
          <w:tcPr>
            <w:tcW w:w="2229" w:type="dxa"/>
          </w:tcPr>
          <w:p w:rsidR="00D849AA" w:rsidRPr="00807829" w:rsidRDefault="00EE6D95">
            <w:pPr>
              <w:pStyle w:val="CellColumn"/>
            </w:pPr>
            <w:r w:rsidRPr="00807829">
              <w:t>Postotak izrađenosti aplikacije</w:t>
            </w:r>
          </w:p>
        </w:tc>
        <w:tc>
          <w:tcPr>
            <w:tcW w:w="1114" w:type="dxa"/>
          </w:tcPr>
          <w:p w:rsidR="00D849AA" w:rsidRPr="00807829" w:rsidRDefault="00EE6D95">
            <w:pPr>
              <w:rPr>
                <w:rFonts w:ascii="Arial" w:hAnsi="Arial" w:cs="Arial"/>
              </w:rPr>
            </w:pPr>
            <w:r w:rsidRPr="00807829">
              <w:rPr>
                <w:rFonts w:ascii="Arial" w:hAnsi="Arial" w:cs="Arial"/>
              </w:rPr>
              <w:t>%</w:t>
            </w:r>
          </w:p>
        </w:tc>
        <w:tc>
          <w:tcPr>
            <w:tcW w:w="1114" w:type="dxa"/>
          </w:tcPr>
          <w:p w:rsidR="00D849AA" w:rsidRPr="00807829" w:rsidRDefault="00EE6D95">
            <w:pPr>
              <w:rPr>
                <w:rFonts w:ascii="Arial" w:hAnsi="Arial" w:cs="Arial"/>
              </w:rPr>
            </w:pPr>
            <w:r w:rsidRPr="00807829">
              <w:rPr>
                <w:rFonts w:ascii="Arial" w:hAnsi="Arial" w:cs="Arial"/>
              </w:rPr>
              <w:t>50</w:t>
            </w:r>
          </w:p>
        </w:tc>
        <w:tc>
          <w:tcPr>
            <w:tcW w:w="1486" w:type="dxa"/>
          </w:tcPr>
          <w:p w:rsidR="00D849AA" w:rsidRPr="00807829" w:rsidRDefault="00EE6D95">
            <w:pPr>
              <w:rPr>
                <w:rFonts w:ascii="Arial" w:hAnsi="Arial" w:cs="Arial"/>
              </w:rPr>
            </w:pPr>
            <w:r w:rsidRPr="00807829">
              <w:rPr>
                <w:rFonts w:ascii="Arial" w:hAnsi="Arial" w:cs="Arial"/>
              </w:rPr>
              <w:t>90</w:t>
            </w:r>
          </w:p>
        </w:tc>
        <w:tc>
          <w:tcPr>
            <w:tcW w:w="1486" w:type="dxa"/>
          </w:tcPr>
          <w:p w:rsidR="00D849AA" w:rsidRPr="00807829" w:rsidRDefault="00EE6D95">
            <w:pPr>
              <w:rPr>
                <w:rFonts w:ascii="Arial" w:hAnsi="Arial" w:cs="Arial"/>
              </w:rPr>
            </w:pPr>
            <w:r w:rsidRPr="00807829">
              <w:rPr>
                <w:rFonts w:ascii="Arial" w:hAnsi="Arial" w:cs="Arial"/>
              </w:rPr>
              <w:t>100</w:t>
            </w:r>
          </w:p>
        </w:tc>
        <w:tc>
          <w:tcPr>
            <w:tcW w:w="1486" w:type="dxa"/>
          </w:tcPr>
          <w:p w:rsidR="00D849AA" w:rsidRPr="00807829" w:rsidRDefault="00EE6D95">
            <w:pPr>
              <w:rPr>
                <w:rFonts w:ascii="Arial" w:hAnsi="Arial" w:cs="Arial"/>
              </w:rPr>
            </w:pPr>
            <w:r w:rsidRPr="00807829">
              <w:rPr>
                <w:rFonts w:ascii="Arial" w:hAnsi="Arial" w:cs="Arial"/>
              </w:rPr>
              <w:t>100</w:t>
            </w:r>
          </w:p>
        </w:tc>
      </w:tr>
      <w:tr w:rsidR="00D849AA">
        <w:trPr>
          <w:jc w:val="center"/>
        </w:trPr>
        <w:tc>
          <w:tcPr>
            <w:tcW w:w="2229" w:type="dxa"/>
          </w:tcPr>
          <w:p w:rsidR="00D849AA" w:rsidRPr="00807829" w:rsidRDefault="00EE6D95">
            <w:pPr>
              <w:pStyle w:val="CellColumn"/>
            </w:pPr>
            <w:r w:rsidRPr="00807829">
              <w:t>Povećanje broja educiranih državnih službenika</w:t>
            </w:r>
          </w:p>
        </w:tc>
        <w:tc>
          <w:tcPr>
            <w:tcW w:w="1114" w:type="dxa"/>
          </w:tcPr>
          <w:p w:rsidR="00D849AA" w:rsidRPr="00807829" w:rsidRDefault="00EE6D95">
            <w:pPr>
              <w:rPr>
                <w:rFonts w:ascii="Arial" w:hAnsi="Arial" w:cs="Arial"/>
              </w:rPr>
            </w:pPr>
            <w:r w:rsidRPr="00807829">
              <w:rPr>
                <w:rFonts w:ascii="Arial" w:hAnsi="Arial" w:cs="Arial"/>
              </w:rPr>
              <w:t>%</w:t>
            </w:r>
          </w:p>
        </w:tc>
        <w:tc>
          <w:tcPr>
            <w:tcW w:w="1114" w:type="dxa"/>
          </w:tcPr>
          <w:p w:rsidR="00D849AA" w:rsidRPr="00807829" w:rsidRDefault="00EE6D95">
            <w:pPr>
              <w:rPr>
                <w:rFonts w:ascii="Arial" w:hAnsi="Arial" w:cs="Arial"/>
              </w:rPr>
            </w:pPr>
            <w:r w:rsidRPr="00807829">
              <w:rPr>
                <w:rFonts w:ascii="Arial" w:hAnsi="Arial" w:cs="Arial"/>
              </w:rPr>
              <w:t>0</w:t>
            </w:r>
          </w:p>
        </w:tc>
        <w:tc>
          <w:tcPr>
            <w:tcW w:w="1486" w:type="dxa"/>
          </w:tcPr>
          <w:p w:rsidR="00D849AA" w:rsidRPr="00807829" w:rsidRDefault="00EE6D95">
            <w:pPr>
              <w:rPr>
                <w:rFonts w:ascii="Arial" w:hAnsi="Arial" w:cs="Arial"/>
              </w:rPr>
            </w:pPr>
            <w:r w:rsidRPr="00807829">
              <w:rPr>
                <w:rFonts w:ascii="Arial" w:hAnsi="Arial" w:cs="Arial"/>
              </w:rPr>
              <w:t>50</w:t>
            </w:r>
          </w:p>
        </w:tc>
        <w:tc>
          <w:tcPr>
            <w:tcW w:w="1486" w:type="dxa"/>
          </w:tcPr>
          <w:p w:rsidR="00D849AA" w:rsidRPr="00807829" w:rsidRDefault="00EE6D95">
            <w:pPr>
              <w:rPr>
                <w:rFonts w:ascii="Arial" w:hAnsi="Arial" w:cs="Arial"/>
              </w:rPr>
            </w:pPr>
            <w:r w:rsidRPr="00807829">
              <w:rPr>
                <w:rFonts w:ascii="Arial" w:hAnsi="Arial" w:cs="Arial"/>
              </w:rPr>
              <w:t>100</w:t>
            </w:r>
          </w:p>
        </w:tc>
        <w:tc>
          <w:tcPr>
            <w:tcW w:w="1486" w:type="dxa"/>
          </w:tcPr>
          <w:p w:rsidR="00D849AA" w:rsidRPr="00807829" w:rsidRDefault="00EE6D95">
            <w:pPr>
              <w:rPr>
                <w:rFonts w:ascii="Arial" w:hAnsi="Arial" w:cs="Arial"/>
              </w:rPr>
            </w:pPr>
            <w:r w:rsidRPr="00807829">
              <w:rPr>
                <w:rFonts w:ascii="Arial" w:hAnsi="Arial" w:cs="Arial"/>
              </w:rPr>
              <w:t>100</w:t>
            </w:r>
          </w:p>
        </w:tc>
      </w:tr>
    </w:tbl>
    <w:p w:rsidR="00D849AA" w:rsidRDefault="00D849AA">
      <w:pPr>
        <w:jc w:val="left"/>
      </w:pPr>
    </w:p>
    <w:p w:rsidR="00D849AA" w:rsidRDefault="00EE6D95">
      <w:pPr>
        <w:pStyle w:val="Naslov6"/>
      </w:pPr>
      <w:r>
        <w:t>A538065 EUROPSKA TERITORIJALNA SURADNJA – MEĐUREGIONALNI PROGRAM URBACT</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807829" w:rsidRDefault="00EE6D95">
            <w:pPr>
              <w:pStyle w:val="CellHeader"/>
            </w:pPr>
            <w:r w:rsidRPr="00807829">
              <w:t>Naziv aktivnosti</w:t>
            </w:r>
          </w:p>
        </w:tc>
        <w:tc>
          <w:tcPr>
            <w:tcW w:w="1486" w:type="dxa"/>
            <w:shd w:val="clear" w:color="auto" w:fill="B5C0D8"/>
          </w:tcPr>
          <w:p w:rsidR="00D849AA" w:rsidRPr="00807829" w:rsidRDefault="00EE6D95">
            <w:pPr>
              <w:pStyle w:val="CellHeader"/>
            </w:pPr>
            <w:r w:rsidRPr="00807829">
              <w:t>Plan 2013.</w:t>
            </w:r>
          </w:p>
        </w:tc>
        <w:tc>
          <w:tcPr>
            <w:tcW w:w="1486" w:type="dxa"/>
            <w:shd w:val="clear" w:color="auto" w:fill="B5C0D8"/>
          </w:tcPr>
          <w:p w:rsidR="00D849AA" w:rsidRPr="00807829" w:rsidRDefault="00EE6D95">
            <w:pPr>
              <w:pStyle w:val="CellHeader"/>
            </w:pPr>
            <w:r w:rsidRPr="00807829">
              <w:t>Plan 2014.</w:t>
            </w:r>
          </w:p>
        </w:tc>
        <w:tc>
          <w:tcPr>
            <w:tcW w:w="1486" w:type="dxa"/>
            <w:shd w:val="clear" w:color="auto" w:fill="B5C0D8"/>
          </w:tcPr>
          <w:p w:rsidR="00D849AA" w:rsidRPr="00807829" w:rsidRDefault="00EE6D95">
            <w:pPr>
              <w:pStyle w:val="CellHeader"/>
            </w:pPr>
            <w:r w:rsidRPr="00807829">
              <w:t>Plan 2015.</w:t>
            </w:r>
          </w:p>
        </w:tc>
        <w:tc>
          <w:tcPr>
            <w:tcW w:w="1486" w:type="dxa"/>
            <w:shd w:val="clear" w:color="auto" w:fill="B5C0D8"/>
          </w:tcPr>
          <w:p w:rsidR="00D849AA" w:rsidRPr="00807829" w:rsidRDefault="00EE6D95">
            <w:pPr>
              <w:pStyle w:val="CellHeader"/>
            </w:pPr>
            <w:r w:rsidRPr="00807829">
              <w:t>Plan 2016.</w:t>
            </w:r>
          </w:p>
        </w:tc>
        <w:tc>
          <w:tcPr>
            <w:tcW w:w="1486" w:type="dxa"/>
            <w:shd w:val="clear" w:color="auto" w:fill="B5C0D8"/>
          </w:tcPr>
          <w:p w:rsidR="00D849AA" w:rsidRPr="00807829" w:rsidRDefault="00EE6D95">
            <w:pPr>
              <w:pStyle w:val="CellHeader"/>
            </w:pPr>
            <w:r w:rsidRPr="00807829">
              <w:t>Indeks 2014/2013</w:t>
            </w:r>
          </w:p>
        </w:tc>
      </w:tr>
      <w:tr w:rsidR="00D849AA">
        <w:trPr>
          <w:jc w:val="center"/>
        </w:trPr>
        <w:tc>
          <w:tcPr>
            <w:tcW w:w="1486" w:type="dxa"/>
          </w:tcPr>
          <w:p w:rsidR="00D849AA" w:rsidRPr="00807829" w:rsidRDefault="00EE6D95">
            <w:pPr>
              <w:pStyle w:val="CellColumn"/>
            </w:pPr>
            <w:r w:rsidRPr="00807829">
              <w:t>A538065</w:t>
            </w:r>
          </w:p>
        </w:tc>
        <w:tc>
          <w:tcPr>
            <w:tcW w:w="1486" w:type="dxa"/>
          </w:tcPr>
          <w:p w:rsidR="00D849AA" w:rsidRPr="00807829" w:rsidRDefault="00EE6D95">
            <w:pPr>
              <w:rPr>
                <w:rFonts w:ascii="Arial" w:hAnsi="Arial" w:cs="Arial"/>
              </w:rPr>
            </w:pPr>
            <w:r w:rsidRPr="00807829">
              <w:rPr>
                <w:rFonts w:ascii="Arial" w:hAnsi="Arial" w:cs="Arial"/>
              </w:rPr>
              <w:t>00</w:t>
            </w:r>
          </w:p>
        </w:tc>
        <w:tc>
          <w:tcPr>
            <w:tcW w:w="1486" w:type="dxa"/>
          </w:tcPr>
          <w:p w:rsidR="00D849AA" w:rsidRPr="00807829" w:rsidRDefault="00EE6D95">
            <w:pPr>
              <w:rPr>
                <w:rFonts w:ascii="Arial" w:hAnsi="Arial" w:cs="Arial"/>
              </w:rPr>
            </w:pPr>
            <w:r w:rsidRPr="00807829">
              <w:rPr>
                <w:rFonts w:ascii="Arial" w:hAnsi="Arial" w:cs="Arial"/>
              </w:rPr>
              <w:t>50.000</w:t>
            </w:r>
          </w:p>
        </w:tc>
        <w:tc>
          <w:tcPr>
            <w:tcW w:w="1486" w:type="dxa"/>
          </w:tcPr>
          <w:p w:rsidR="00D849AA" w:rsidRPr="00807829" w:rsidRDefault="00EE6D95">
            <w:pPr>
              <w:rPr>
                <w:rFonts w:ascii="Arial" w:hAnsi="Arial" w:cs="Arial"/>
              </w:rPr>
            </w:pPr>
            <w:r w:rsidRPr="00807829">
              <w:rPr>
                <w:rFonts w:ascii="Arial" w:hAnsi="Arial" w:cs="Arial"/>
              </w:rPr>
              <w:t>50.000</w:t>
            </w:r>
          </w:p>
        </w:tc>
        <w:tc>
          <w:tcPr>
            <w:tcW w:w="1486" w:type="dxa"/>
          </w:tcPr>
          <w:p w:rsidR="00D849AA" w:rsidRPr="00807829" w:rsidRDefault="00EE6D95">
            <w:pPr>
              <w:rPr>
                <w:rFonts w:ascii="Arial" w:hAnsi="Arial" w:cs="Arial"/>
              </w:rPr>
            </w:pPr>
            <w:r w:rsidRPr="00807829">
              <w:rPr>
                <w:rFonts w:ascii="Arial" w:hAnsi="Arial" w:cs="Arial"/>
              </w:rPr>
              <w:t>50.000</w:t>
            </w:r>
          </w:p>
        </w:tc>
        <w:tc>
          <w:tcPr>
            <w:tcW w:w="1486" w:type="dxa"/>
          </w:tcPr>
          <w:p w:rsidR="00D849AA" w:rsidRPr="00807829" w:rsidRDefault="00EE6D95">
            <w:pPr>
              <w:rPr>
                <w:rFonts w:ascii="Arial" w:hAnsi="Arial" w:cs="Arial"/>
              </w:rPr>
            </w:pPr>
            <w:r w:rsidRPr="00807829">
              <w:rPr>
                <w:rFonts w:ascii="Arial" w:hAnsi="Arial" w:cs="Arial"/>
              </w:rPr>
              <w:t>0,0</w:t>
            </w:r>
          </w:p>
        </w:tc>
      </w:tr>
    </w:tbl>
    <w:p w:rsidR="00D849AA" w:rsidRDefault="00D849AA">
      <w:pPr>
        <w:jc w:val="left"/>
      </w:pPr>
    </w:p>
    <w:p w:rsidR="00D849AA" w:rsidRDefault="00EE6D95">
      <w:pPr>
        <w:pStyle w:val="Normal6"/>
      </w:pPr>
      <w:r>
        <w:t>URBACT je jedan od 10 programa međuregionalne suradnje koji financira Europska unija i Europska komisija kroz Europski fond za regionalni razvoj (ERDF). Cjelokupni proračun ovog programa sastoji se od doprinosa EK iz ERDF-a, doprinosa država sudionica programa (pri čemu se isti određuje prema udjelu stanovništva države sudionice u ukupnom stanovništvu EU), te doprinosa krajnjeg korisnika projekta (gradova i općina). Sve aktivnosti unutar programa usmjeravat će MGIPU, u dogovoru i uz suglasnost Nacionalnog odbora za koordinaciju sudjelovanja Republike Hrvatske u programima transnacionalne i međuregionalne suradnje te makroregionalnim strategijama Europske unije za Republiku Hrvatsku za razdoblje 2014. – 2020., kojim predsjedava MRRFEU.</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807829" w:rsidRDefault="00EE6D95">
            <w:pPr>
              <w:rPr>
                <w:rFonts w:ascii="Arial" w:hAnsi="Arial" w:cs="Arial"/>
              </w:rPr>
            </w:pPr>
            <w:r w:rsidRPr="00807829">
              <w:rPr>
                <w:rFonts w:ascii="Arial" w:hAnsi="Arial" w:cs="Arial"/>
              </w:rPr>
              <w:t>Pokazatelj rezultata</w:t>
            </w:r>
          </w:p>
        </w:tc>
        <w:tc>
          <w:tcPr>
            <w:tcW w:w="1114" w:type="dxa"/>
            <w:shd w:val="clear" w:color="auto" w:fill="B5C0D8"/>
          </w:tcPr>
          <w:p w:rsidR="00D849AA" w:rsidRPr="00807829" w:rsidRDefault="00EE6D95">
            <w:pPr>
              <w:pStyle w:val="CellHeader"/>
            </w:pPr>
            <w:r w:rsidRPr="00807829">
              <w:t>Jedinica</w:t>
            </w:r>
          </w:p>
        </w:tc>
        <w:tc>
          <w:tcPr>
            <w:tcW w:w="1114" w:type="dxa"/>
            <w:shd w:val="clear" w:color="auto" w:fill="B5C0D8"/>
          </w:tcPr>
          <w:p w:rsidR="00D849AA" w:rsidRPr="00807829" w:rsidRDefault="00EE6D95">
            <w:pPr>
              <w:pStyle w:val="CellHeader"/>
            </w:pPr>
            <w:r w:rsidRPr="00807829">
              <w:t>Polazna vrijednost</w:t>
            </w:r>
          </w:p>
        </w:tc>
        <w:tc>
          <w:tcPr>
            <w:tcW w:w="1486" w:type="dxa"/>
            <w:shd w:val="clear" w:color="auto" w:fill="B5C0D8"/>
          </w:tcPr>
          <w:p w:rsidR="00D849AA" w:rsidRPr="00807829" w:rsidRDefault="00EE6D95">
            <w:pPr>
              <w:pStyle w:val="CellHeader"/>
            </w:pPr>
            <w:r w:rsidRPr="00807829">
              <w:t>Ciljana vrijednost (2014.)</w:t>
            </w:r>
          </w:p>
        </w:tc>
        <w:tc>
          <w:tcPr>
            <w:tcW w:w="1486" w:type="dxa"/>
            <w:shd w:val="clear" w:color="auto" w:fill="B5C0D8"/>
          </w:tcPr>
          <w:p w:rsidR="00D849AA" w:rsidRPr="00807829" w:rsidRDefault="00EE6D95">
            <w:pPr>
              <w:pStyle w:val="CellHeader"/>
            </w:pPr>
            <w:r w:rsidRPr="00807829">
              <w:t>Ciljana vrijednost (2015.)</w:t>
            </w:r>
          </w:p>
        </w:tc>
        <w:tc>
          <w:tcPr>
            <w:tcW w:w="1486" w:type="dxa"/>
            <w:shd w:val="clear" w:color="auto" w:fill="B5C0D8"/>
          </w:tcPr>
          <w:p w:rsidR="00D849AA" w:rsidRPr="00807829" w:rsidRDefault="00EE6D95">
            <w:pPr>
              <w:pStyle w:val="CellHeader"/>
            </w:pPr>
            <w:r w:rsidRPr="00807829">
              <w:t>Ciljana vrijednost (2016.)</w:t>
            </w:r>
          </w:p>
        </w:tc>
      </w:tr>
      <w:tr w:rsidR="00D849AA">
        <w:trPr>
          <w:jc w:val="center"/>
        </w:trPr>
        <w:tc>
          <w:tcPr>
            <w:tcW w:w="2229" w:type="dxa"/>
          </w:tcPr>
          <w:p w:rsidR="00D849AA" w:rsidRPr="00807829" w:rsidRDefault="00EE6D95">
            <w:pPr>
              <w:pStyle w:val="CellColumn"/>
            </w:pPr>
            <w:r w:rsidRPr="00807829">
              <w:t>Broj odobrenih projekata</w:t>
            </w:r>
          </w:p>
        </w:tc>
        <w:tc>
          <w:tcPr>
            <w:tcW w:w="1114" w:type="dxa"/>
          </w:tcPr>
          <w:p w:rsidR="00D849AA" w:rsidRPr="00807829" w:rsidRDefault="00EE6D95">
            <w:pPr>
              <w:rPr>
                <w:rFonts w:ascii="Arial" w:hAnsi="Arial" w:cs="Arial"/>
              </w:rPr>
            </w:pPr>
            <w:r w:rsidRPr="00807829">
              <w:rPr>
                <w:rFonts w:ascii="Arial" w:hAnsi="Arial" w:cs="Arial"/>
              </w:rPr>
              <w:t>kom</w:t>
            </w:r>
          </w:p>
        </w:tc>
        <w:tc>
          <w:tcPr>
            <w:tcW w:w="1114" w:type="dxa"/>
          </w:tcPr>
          <w:p w:rsidR="00D849AA" w:rsidRPr="00807829" w:rsidRDefault="00EE6D95">
            <w:pPr>
              <w:rPr>
                <w:rFonts w:ascii="Arial" w:hAnsi="Arial" w:cs="Arial"/>
              </w:rPr>
            </w:pPr>
            <w:r w:rsidRPr="00807829">
              <w:rPr>
                <w:rFonts w:ascii="Arial" w:hAnsi="Arial" w:cs="Arial"/>
              </w:rPr>
              <w:t>0</w:t>
            </w:r>
          </w:p>
        </w:tc>
        <w:tc>
          <w:tcPr>
            <w:tcW w:w="1486" w:type="dxa"/>
          </w:tcPr>
          <w:p w:rsidR="00D849AA" w:rsidRPr="00807829" w:rsidRDefault="00EE6D95">
            <w:pPr>
              <w:rPr>
                <w:rFonts w:ascii="Arial" w:hAnsi="Arial" w:cs="Arial"/>
              </w:rPr>
            </w:pPr>
            <w:r w:rsidRPr="00807829">
              <w:rPr>
                <w:rFonts w:ascii="Arial" w:hAnsi="Arial" w:cs="Arial"/>
              </w:rPr>
              <w:t>1</w:t>
            </w:r>
          </w:p>
        </w:tc>
        <w:tc>
          <w:tcPr>
            <w:tcW w:w="1486" w:type="dxa"/>
          </w:tcPr>
          <w:p w:rsidR="00D849AA" w:rsidRPr="00807829" w:rsidRDefault="00EE6D95">
            <w:pPr>
              <w:rPr>
                <w:rFonts w:ascii="Arial" w:hAnsi="Arial" w:cs="Arial"/>
              </w:rPr>
            </w:pPr>
            <w:r w:rsidRPr="00807829">
              <w:rPr>
                <w:rFonts w:ascii="Arial" w:hAnsi="Arial" w:cs="Arial"/>
              </w:rPr>
              <w:t>5</w:t>
            </w:r>
          </w:p>
        </w:tc>
        <w:tc>
          <w:tcPr>
            <w:tcW w:w="1486" w:type="dxa"/>
          </w:tcPr>
          <w:p w:rsidR="00D849AA" w:rsidRPr="00807829" w:rsidRDefault="00EE6D95">
            <w:pPr>
              <w:rPr>
                <w:rFonts w:ascii="Arial" w:hAnsi="Arial" w:cs="Arial"/>
              </w:rPr>
            </w:pPr>
            <w:r w:rsidRPr="00807829">
              <w:rPr>
                <w:rFonts w:ascii="Arial" w:hAnsi="Arial" w:cs="Arial"/>
              </w:rPr>
              <w:t>8</w:t>
            </w:r>
          </w:p>
        </w:tc>
      </w:tr>
    </w:tbl>
    <w:p w:rsidR="00D849AA" w:rsidRDefault="00EE6D95">
      <w:pPr>
        <w:pStyle w:val="Naslov6"/>
      </w:pPr>
      <w:r>
        <w:lastRenderedPageBreak/>
        <w:t>A538067 IZDAVANJE DOZVOLA ZA ZAHVATE U PROSTORU I GRAĐEVINE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807829" w:rsidRDefault="00EE6D95">
            <w:pPr>
              <w:pStyle w:val="CellHeader"/>
            </w:pPr>
            <w:r w:rsidRPr="00807829">
              <w:t>Naziv aktivnosti</w:t>
            </w:r>
          </w:p>
        </w:tc>
        <w:tc>
          <w:tcPr>
            <w:tcW w:w="1486" w:type="dxa"/>
            <w:shd w:val="clear" w:color="auto" w:fill="B5C0D8"/>
          </w:tcPr>
          <w:p w:rsidR="00D849AA" w:rsidRPr="00807829" w:rsidRDefault="00EE6D95">
            <w:pPr>
              <w:pStyle w:val="CellHeader"/>
            </w:pPr>
            <w:r w:rsidRPr="00807829">
              <w:t>Plan 2013.</w:t>
            </w:r>
          </w:p>
        </w:tc>
        <w:tc>
          <w:tcPr>
            <w:tcW w:w="1486" w:type="dxa"/>
            <w:shd w:val="clear" w:color="auto" w:fill="B5C0D8"/>
          </w:tcPr>
          <w:p w:rsidR="00D849AA" w:rsidRPr="00807829" w:rsidRDefault="00EE6D95">
            <w:pPr>
              <w:pStyle w:val="CellHeader"/>
            </w:pPr>
            <w:r w:rsidRPr="00807829">
              <w:t>Plan 2014.</w:t>
            </w:r>
          </w:p>
        </w:tc>
        <w:tc>
          <w:tcPr>
            <w:tcW w:w="1486" w:type="dxa"/>
            <w:shd w:val="clear" w:color="auto" w:fill="B5C0D8"/>
          </w:tcPr>
          <w:p w:rsidR="00D849AA" w:rsidRPr="00807829" w:rsidRDefault="00EE6D95">
            <w:pPr>
              <w:pStyle w:val="CellHeader"/>
            </w:pPr>
            <w:r w:rsidRPr="00807829">
              <w:t>Plan 2015.</w:t>
            </w:r>
          </w:p>
        </w:tc>
        <w:tc>
          <w:tcPr>
            <w:tcW w:w="1486" w:type="dxa"/>
            <w:shd w:val="clear" w:color="auto" w:fill="B5C0D8"/>
          </w:tcPr>
          <w:p w:rsidR="00D849AA" w:rsidRPr="00807829" w:rsidRDefault="00EE6D95">
            <w:pPr>
              <w:pStyle w:val="CellHeader"/>
            </w:pPr>
            <w:r w:rsidRPr="00807829">
              <w:t>Plan 2016.</w:t>
            </w:r>
          </w:p>
        </w:tc>
        <w:tc>
          <w:tcPr>
            <w:tcW w:w="1486" w:type="dxa"/>
            <w:shd w:val="clear" w:color="auto" w:fill="B5C0D8"/>
          </w:tcPr>
          <w:p w:rsidR="00D849AA" w:rsidRPr="00807829" w:rsidRDefault="00EE6D95">
            <w:pPr>
              <w:pStyle w:val="CellHeader"/>
            </w:pPr>
            <w:r w:rsidRPr="00807829">
              <w:t>Indeks 2014/2013</w:t>
            </w:r>
          </w:p>
        </w:tc>
      </w:tr>
      <w:tr w:rsidR="00D849AA">
        <w:trPr>
          <w:jc w:val="center"/>
        </w:trPr>
        <w:tc>
          <w:tcPr>
            <w:tcW w:w="1486" w:type="dxa"/>
          </w:tcPr>
          <w:p w:rsidR="00D849AA" w:rsidRPr="00807829" w:rsidRDefault="00EE6D95">
            <w:pPr>
              <w:pStyle w:val="CellColumn"/>
            </w:pPr>
            <w:r w:rsidRPr="00807829">
              <w:t>A538067</w:t>
            </w:r>
          </w:p>
        </w:tc>
        <w:tc>
          <w:tcPr>
            <w:tcW w:w="1486" w:type="dxa"/>
          </w:tcPr>
          <w:p w:rsidR="00D849AA" w:rsidRPr="00807829" w:rsidRDefault="00EE6D95">
            <w:pPr>
              <w:rPr>
                <w:rFonts w:ascii="Arial" w:hAnsi="Arial" w:cs="Arial"/>
              </w:rPr>
            </w:pPr>
            <w:r w:rsidRPr="00807829">
              <w:rPr>
                <w:rFonts w:ascii="Arial" w:hAnsi="Arial" w:cs="Arial"/>
              </w:rPr>
              <w:t>00</w:t>
            </w:r>
          </w:p>
        </w:tc>
        <w:tc>
          <w:tcPr>
            <w:tcW w:w="1486" w:type="dxa"/>
          </w:tcPr>
          <w:p w:rsidR="00D849AA" w:rsidRPr="00807829" w:rsidRDefault="00EE6D95">
            <w:pPr>
              <w:rPr>
                <w:rFonts w:ascii="Arial" w:hAnsi="Arial" w:cs="Arial"/>
              </w:rPr>
            </w:pPr>
            <w:r w:rsidRPr="00807829">
              <w:rPr>
                <w:rFonts w:ascii="Arial" w:hAnsi="Arial" w:cs="Arial"/>
              </w:rPr>
              <w:t>450.000</w:t>
            </w:r>
          </w:p>
        </w:tc>
        <w:tc>
          <w:tcPr>
            <w:tcW w:w="1486" w:type="dxa"/>
          </w:tcPr>
          <w:p w:rsidR="00D849AA" w:rsidRPr="00807829" w:rsidRDefault="00EE6D95">
            <w:pPr>
              <w:rPr>
                <w:rFonts w:ascii="Arial" w:hAnsi="Arial" w:cs="Arial"/>
              </w:rPr>
            </w:pPr>
            <w:r w:rsidRPr="00807829">
              <w:rPr>
                <w:rFonts w:ascii="Arial" w:hAnsi="Arial" w:cs="Arial"/>
              </w:rPr>
              <w:t>450.000</w:t>
            </w:r>
          </w:p>
        </w:tc>
        <w:tc>
          <w:tcPr>
            <w:tcW w:w="1486" w:type="dxa"/>
          </w:tcPr>
          <w:p w:rsidR="00D849AA" w:rsidRPr="00807829" w:rsidRDefault="00EE6D95">
            <w:pPr>
              <w:rPr>
                <w:rFonts w:ascii="Arial" w:hAnsi="Arial" w:cs="Arial"/>
              </w:rPr>
            </w:pPr>
            <w:r w:rsidRPr="00807829">
              <w:rPr>
                <w:rFonts w:ascii="Arial" w:hAnsi="Arial" w:cs="Arial"/>
              </w:rPr>
              <w:t>450.000</w:t>
            </w:r>
          </w:p>
        </w:tc>
        <w:tc>
          <w:tcPr>
            <w:tcW w:w="1486" w:type="dxa"/>
          </w:tcPr>
          <w:p w:rsidR="00D849AA" w:rsidRPr="00807829" w:rsidRDefault="00EE6D95">
            <w:pPr>
              <w:rPr>
                <w:rFonts w:ascii="Arial" w:hAnsi="Arial" w:cs="Arial"/>
              </w:rPr>
            </w:pPr>
            <w:r w:rsidRPr="00807829">
              <w:rPr>
                <w:rFonts w:ascii="Arial" w:hAnsi="Arial" w:cs="Arial"/>
              </w:rPr>
              <w:t>0,0</w:t>
            </w:r>
          </w:p>
        </w:tc>
      </w:tr>
    </w:tbl>
    <w:p w:rsidR="00D849AA" w:rsidRDefault="00D849AA">
      <w:pPr>
        <w:jc w:val="left"/>
      </w:pPr>
    </w:p>
    <w:p w:rsidR="00D849AA" w:rsidRDefault="00EE6D95">
      <w:pPr>
        <w:pStyle w:val="Normal6"/>
      </w:pPr>
      <w:r>
        <w:t>Rad na unapređenju upravnih postupaka izdavanja lokacijski i građevinskih, uporabnih i drugih dozvola iz nadležnosti ovog Ministarstva. Edukacija i unapređivanje rada službenika Ministarstva, te suradnja s drugim tijelima iz ovog područja. Vođenje evidencija potrebno je zbog pokazatelja dinamike gospodarskog razvoja i praćenja istih. Aktivnosti na ovom projektu imaju za cilj sređivanje i unapređenje stanja u prostoru, te aktivno praćenje gospodarskog rasta u području graditeljstva i šire.</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807829" w:rsidRDefault="00EE6D95">
            <w:pPr>
              <w:rPr>
                <w:rFonts w:ascii="Arial" w:hAnsi="Arial" w:cs="Arial"/>
              </w:rPr>
            </w:pPr>
            <w:r w:rsidRPr="00807829">
              <w:rPr>
                <w:rFonts w:ascii="Arial" w:hAnsi="Arial" w:cs="Arial"/>
              </w:rPr>
              <w:t>Pokazatelj rezultata</w:t>
            </w:r>
          </w:p>
        </w:tc>
        <w:tc>
          <w:tcPr>
            <w:tcW w:w="1114" w:type="dxa"/>
            <w:shd w:val="clear" w:color="auto" w:fill="B5C0D8"/>
          </w:tcPr>
          <w:p w:rsidR="00D849AA" w:rsidRPr="00807829" w:rsidRDefault="00EE6D95">
            <w:pPr>
              <w:pStyle w:val="CellHeader"/>
            </w:pPr>
            <w:r w:rsidRPr="00807829">
              <w:t>Jedinica</w:t>
            </w:r>
          </w:p>
        </w:tc>
        <w:tc>
          <w:tcPr>
            <w:tcW w:w="1114" w:type="dxa"/>
            <w:shd w:val="clear" w:color="auto" w:fill="B5C0D8"/>
          </w:tcPr>
          <w:p w:rsidR="00D849AA" w:rsidRPr="00807829" w:rsidRDefault="00EE6D95">
            <w:pPr>
              <w:pStyle w:val="CellHeader"/>
            </w:pPr>
            <w:r w:rsidRPr="00807829">
              <w:t>Polazna vrijednost</w:t>
            </w:r>
          </w:p>
        </w:tc>
        <w:tc>
          <w:tcPr>
            <w:tcW w:w="1486" w:type="dxa"/>
            <w:shd w:val="clear" w:color="auto" w:fill="B5C0D8"/>
          </w:tcPr>
          <w:p w:rsidR="00D849AA" w:rsidRPr="00807829" w:rsidRDefault="00EE6D95">
            <w:pPr>
              <w:pStyle w:val="CellHeader"/>
            </w:pPr>
            <w:r w:rsidRPr="00807829">
              <w:t>Ciljana vrijednost (2014.)</w:t>
            </w:r>
          </w:p>
        </w:tc>
        <w:tc>
          <w:tcPr>
            <w:tcW w:w="1486" w:type="dxa"/>
            <w:shd w:val="clear" w:color="auto" w:fill="B5C0D8"/>
          </w:tcPr>
          <w:p w:rsidR="00D849AA" w:rsidRPr="00807829" w:rsidRDefault="00EE6D95">
            <w:pPr>
              <w:pStyle w:val="CellHeader"/>
            </w:pPr>
            <w:r w:rsidRPr="00807829">
              <w:t>Ciljana vrijednost (2015.)</w:t>
            </w:r>
          </w:p>
        </w:tc>
        <w:tc>
          <w:tcPr>
            <w:tcW w:w="1486" w:type="dxa"/>
            <w:shd w:val="clear" w:color="auto" w:fill="B5C0D8"/>
          </w:tcPr>
          <w:p w:rsidR="00D849AA" w:rsidRPr="00807829" w:rsidRDefault="00EE6D95">
            <w:pPr>
              <w:pStyle w:val="CellHeader"/>
            </w:pPr>
            <w:r w:rsidRPr="00807829">
              <w:t>Ciljana vrijednost (2016.)</w:t>
            </w:r>
          </w:p>
        </w:tc>
      </w:tr>
      <w:tr w:rsidR="00D849AA">
        <w:trPr>
          <w:jc w:val="center"/>
        </w:trPr>
        <w:tc>
          <w:tcPr>
            <w:tcW w:w="2229" w:type="dxa"/>
          </w:tcPr>
          <w:p w:rsidR="00D849AA" w:rsidRPr="00807829" w:rsidRDefault="00EE6D95">
            <w:pPr>
              <w:pStyle w:val="CellColumn"/>
            </w:pPr>
            <w:r w:rsidRPr="00807829">
              <w:t>Postotak riješenih predmeta</w:t>
            </w:r>
          </w:p>
        </w:tc>
        <w:tc>
          <w:tcPr>
            <w:tcW w:w="1114" w:type="dxa"/>
          </w:tcPr>
          <w:p w:rsidR="00D849AA" w:rsidRPr="00807829" w:rsidRDefault="00EE6D95">
            <w:pPr>
              <w:rPr>
                <w:rFonts w:ascii="Arial" w:hAnsi="Arial" w:cs="Arial"/>
              </w:rPr>
            </w:pPr>
            <w:r w:rsidRPr="00807829">
              <w:rPr>
                <w:rFonts w:ascii="Arial" w:hAnsi="Arial" w:cs="Arial"/>
              </w:rPr>
              <w:t>%</w:t>
            </w:r>
          </w:p>
        </w:tc>
        <w:tc>
          <w:tcPr>
            <w:tcW w:w="1114" w:type="dxa"/>
          </w:tcPr>
          <w:p w:rsidR="00D849AA" w:rsidRPr="00807829" w:rsidRDefault="00EE6D95">
            <w:pPr>
              <w:rPr>
                <w:rFonts w:ascii="Arial" w:hAnsi="Arial" w:cs="Arial"/>
              </w:rPr>
            </w:pPr>
            <w:r w:rsidRPr="00807829">
              <w:rPr>
                <w:rFonts w:ascii="Arial" w:hAnsi="Arial" w:cs="Arial"/>
              </w:rPr>
              <w:t>70</w:t>
            </w:r>
          </w:p>
        </w:tc>
        <w:tc>
          <w:tcPr>
            <w:tcW w:w="1486" w:type="dxa"/>
          </w:tcPr>
          <w:p w:rsidR="00D849AA" w:rsidRPr="00807829" w:rsidRDefault="00EE6D95">
            <w:pPr>
              <w:rPr>
                <w:rFonts w:ascii="Arial" w:hAnsi="Arial" w:cs="Arial"/>
              </w:rPr>
            </w:pPr>
            <w:r w:rsidRPr="00807829">
              <w:rPr>
                <w:rFonts w:ascii="Arial" w:hAnsi="Arial" w:cs="Arial"/>
              </w:rPr>
              <w:t>80</w:t>
            </w:r>
          </w:p>
        </w:tc>
        <w:tc>
          <w:tcPr>
            <w:tcW w:w="1486" w:type="dxa"/>
          </w:tcPr>
          <w:p w:rsidR="00D849AA" w:rsidRPr="00807829" w:rsidRDefault="00EE6D95">
            <w:pPr>
              <w:rPr>
                <w:rFonts w:ascii="Arial" w:hAnsi="Arial" w:cs="Arial"/>
              </w:rPr>
            </w:pPr>
            <w:r w:rsidRPr="00807829">
              <w:rPr>
                <w:rFonts w:ascii="Arial" w:hAnsi="Arial" w:cs="Arial"/>
              </w:rPr>
              <w:t>85</w:t>
            </w:r>
          </w:p>
        </w:tc>
        <w:tc>
          <w:tcPr>
            <w:tcW w:w="1486" w:type="dxa"/>
          </w:tcPr>
          <w:p w:rsidR="00D849AA" w:rsidRPr="00807829" w:rsidRDefault="00EE6D95">
            <w:pPr>
              <w:rPr>
                <w:rFonts w:ascii="Arial" w:hAnsi="Arial" w:cs="Arial"/>
              </w:rPr>
            </w:pPr>
            <w:r w:rsidRPr="00807829">
              <w:rPr>
                <w:rFonts w:ascii="Arial" w:hAnsi="Arial" w:cs="Arial"/>
              </w:rPr>
              <w:t>87</w:t>
            </w:r>
          </w:p>
        </w:tc>
      </w:tr>
    </w:tbl>
    <w:p w:rsidR="00D849AA" w:rsidRDefault="00D849AA">
      <w:pPr>
        <w:jc w:val="left"/>
      </w:pPr>
    </w:p>
    <w:p w:rsidR="00D849AA" w:rsidRDefault="00EE6D95">
      <w:pPr>
        <w:pStyle w:val="Naslov6"/>
      </w:pPr>
      <w:r>
        <w:t>A576007 ADMINISTRACIJA I UPRAVLJANJE MINISTARSTVOM</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rsidRPr="00807829">
        <w:trPr>
          <w:jc w:val="center"/>
        </w:trPr>
        <w:tc>
          <w:tcPr>
            <w:tcW w:w="1486" w:type="dxa"/>
            <w:shd w:val="clear" w:color="auto" w:fill="B5C0D8"/>
          </w:tcPr>
          <w:p w:rsidR="00D849AA" w:rsidRPr="00807829" w:rsidRDefault="00EE6D95">
            <w:pPr>
              <w:pStyle w:val="CellHeader"/>
            </w:pPr>
            <w:r w:rsidRPr="00807829">
              <w:t>Naziv aktivnosti</w:t>
            </w:r>
          </w:p>
        </w:tc>
        <w:tc>
          <w:tcPr>
            <w:tcW w:w="1486" w:type="dxa"/>
            <w:shd w:val="clear" w:color="auto" w:fill="B5C0D8"/>
          </w:tcPr>
          <w:p w:rsidR="00D849AA" w:rsidRPr="00807829" w:rsidRDefault="00EE6D95">
            <w:pPr>
              <w:pStyle w:val="CellHeader"/>
            </w:pPr>
            <w:r w:rsidRPr="00807829">
              <w:t>Plan 2013.</w:t>
            </w:r>
          </w:p>
        </w:tc>
        <w:tc>
          <w:tcPr>
            <w:tcW w:w="1486" w:type="dxa"/>
            <w:shd w:val="clear" w:color="auto" w:fill="B5C0D8"/>
          </w:tcPr>
          <w:p w:rsidR="00D849AA" w:rsidRPr="00807829" w:rsidRDefault="00EE6D95">
            <w:pPr>
              <w:pStyle w:val="CellHeader"/>
            </w:pPr>
            <w:r w:rsidRPr="00807829">
              <w:t>Plan 2014.</w:t>
            </w:r>
          </w:p>
        </w:tc>
        <w:tc>
          <w:tcPr>
            <w:tcW w:w="1486" w:type="dxa"/>
            <w:shd w:val="clear" w:color="auto" w:fill="B5C0D8"/>
          </w:tcPr>
          <w:p w:rsidR="00D849AA" w:rsidRPr="00807829" w:rsidRDefault="00EE6D95">
            <w:pPr>
              <w:pStyle w:val="CellHeader"/>
            </w:pPr>
            <w:r w:rsidRPr="00807829">
              <w:t>Plan 2015.</w:t>
            </w:r>
          </w:p>
        </w:tc>
        <w:tc>
          <w:tcPr>
            <w:tcW w:w="1486" w:type="dxa"/>
            <w:shd w:val="clear" w:color="auto" w:fill="B5C0D8"/>
          </w:tcPr>
          <w:p w:rsidR="00D849AA" w:rsidRPr="00807829" w:rsidRDefault="00EE6D95">
            <w:pPr>
              <w:pStyle w:val="CellHeader"/>
            </w:pPr>
            <w:r w:rsidRPr="00807829">
              <w:t>Plan 2016.</w:t>
            </w:r>
          </w:p>
        </w:tc>
        <w:tc>
          <w:tcPr>
            <w:tcW w:w="1486" w:type="dxa"/>
            <w:shd w:val="clear" w:color="auto" w:fill="B5C0D8"/>
          </w:tcPr>
          <w:p w:rsidR="00D849AA" w:rsidRPr="00807829" w:rsidRDefault="00EE6D95">
            <w:pPr>
              <w:pStyle w:val="CellHeader"/>
            </w:pPr>
            <w:r w:rsidRPr="00807829">
              <w:t>Indeks 2014/2013</w:t>
            </w:r>
          </w:p>
        </w:tc>
      </w:tr>
      <w:tr w:rsidR="00D849AA" w:rsidRPr="00807829">
        <w:trPr>
          <w:jc w:val="center"/>
        </w:trPr>
        <w:tc>
          <w:tcPr>
            <w:tcW w:w="1486" w:type="dxa"/>
          </w:tcPr>
          <w:p w:rsidR="00D849AA" w:rsidRPr="00807829" w:rsidRDefault="00EE6D95">
            <w:pPr>
              <w:pStyle w:val="CellColumn"/>
            </w:pPr>
            <w:r w:rsidRPr="00807829">
              <w:t>A576007</w:t>
            </w:r>
          </w:p>
        </w:tc>
        <w:tc>
          <w:tcPr>
            <w:tcW w:w="1486" w:type="dxa"/>
          </w:tcPr>
          <w:p w:rsidR="00D849AA" w:rsidRPr="00807829" w:rsidRDefault="00EE6D95">
            <w:pPr>
              <w:rPr>
                <w:rFonts w:ascii="Arial" w:hAnsi="Arial" w:cs="Arial"/>
              </w:rPr>
            </w:pPr>
            <w:r w:rsidRPr="00807829">
              <w:rPr>
                <w:rFonts w:ascii="Arial" w:hAnsi="Arial" w:cs="Arial"/>
              </w:rPr>
              <w:t>63.516.243</w:t>
            </w:r>
          </w:p>
        </w:tc>
        <w:tc>
          <w:tcPr>
            <w:tcW w:w="1486" w:type="dxa"/>
          </w:tcPr>
          <w:p w:rsidR="00D849AA" w:rsidRPr="00807829" w:rsidRDefault="00EE6D95">
            <w:pPr>
              <w:rPr>
                <w:rFonts w:ascii="Arial" w:hAnsi="Arial" w:cs="Arial"/>
              </w:rPr>
            </w:pPr>
            <w:r w:rsidRPr="00807829">
              <w:rPr>
                <w:rFonts w:ascii="Arial" w:hAnsi="Arial" w:cs="Arial"/>
              </w:rPr>
              <w:t>62.368.332</w:t>
            </w:r>
          </w:p>
        </w:tc>
        <w:tc>
          <w:tcPr>
            <w:tcW w:w="1486" w:type="dxa"/>
          </w:tcPr>
          <w:p w:rsidR="00D849AA" w:rsidRPr="00807829" w:rsidRDefault="00EE6D95">
            <w:pPr>
              <w:rPr>
                <w:rFonts w:ascii="Arial" w:hAnsi="Arial" w:cs="Arial"/>
              </w:rPr>
            </w:pPr>
            <w:r w:rsidRPr="00807829">
              <w:rPr>
                <w:rFonts w:ascii="Arial" w:hAnsi="Arial" w:cs="Arial"/>
              </w:rPr>
              <w:t>62.483.226</w:t>
            </w:r>
          </w:p>
        </w:tc>
        <w:tc>
          <w:tcPr>
            <w:tcW w:w="1486" w:type="dxa"/>
          </w:tcPr>
          <w:p w:rsidR="00D849AA" w:rsidRPr="00807829" w:rsidRDefault="00EE6D95">
            <w:pPr>
              <w:rPr>
                <w:rFonts w:ascii="Arial" w:hAnsi="Arial" w:cs="Arial"/>
              </w:rPr>
            </w:pPr>
            <w:r w:rsidRPr="00807829">
              <w:rPr>
                <w:rFonts w:ascii="Arial" w:hAnsi="Arial" w:cs="Arial"/>
              </w:rPr>
              <w:t>62.940.000</w:t>
            </w:r>
          </w:p>
        </w:tc>
        <w:tc>
          <w:tcPr>
            <w:tcW w:w="1486" w:type="dxa"/>
          </w:tcPr>
          <w:p w:rsidR="00D849AA" w:rsidRPr="00807829" w:rsidRDefault="00EE6D95">
            <w:pPr>
              <w:rPr>
                <w:rFonts w:ascii="Arial" w:hAnsi="Arial" w:cs="Arial"/>
              </w:rPr>
            </w:pPr>
            <w:r w:rsidRPr="00807829">
              <w:rPr>
                <w:rFonts w:ascii="Arial" w:hAnsi="Arial" w:cs="Arial"/>
              </w:rPr>
              <w:t>98,2</w:t>
            </w:r>
          </w:p>
        </w:tc>
      </w:tr>
    </w:tbl>
    <w:p w:rsidR="00D849AA" w:rsidRPr="00807829" w:rsidRDefault="00D849AA">
      <w:pPr>
        <w:jc w:val="left"/>
        <w:rPr>
          <w:rFonts w:ascii="Arial" w:hAnsi="Arial" w:cs="Arial"/>
        </w:rPr>
      </w:pPr>
    </w:p>
    <w:p w:rsidR="00D849AA" w:rsidRDefault="00EE6D95">
      <w:pPr>
        <w:pStyle w:val="Normal6"/>
      </w:pPr>
      <w:r>
        <w:t>Ministarstvo kontinuirano detaljno, financijski i stručno prati ostvarenje zacrtanih zadataka uključujući zapošljavanje, troškove djelatnika i njihovih materijalnih prava, doprinosa, službenih putovanja, stručnog usavršavanja, materijalnih troškova roba i usluga, redovne režije, naknade, premije osiguranja. Aktivnost se u potpunosti financira iz proračunskih prihoda. Temeljni je zadatak u ostvarenju navedenog cilja pravovremeno sagledavanje potreba u svim segmentima tzv. „hladnog pogona“ za naredno trogodišnje razdoblje kako bi se omogućilo ažurno obavljanje zadataka u svezi svih posebno navedenih ciljeva. U skladu sa time, planirani rashodi za zaposlene, u slijedeće tri godine, odnose se na potrebu zapošljavanja novih službenika za obavljanje poslova koji proizlaze iz obveza preuzetih usvajanjem strategije o pristupanju Republike Hrvatske Europskoj uniji osobito u području povećanja energetske učinkovitosti.</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807829" w:rsidRDefault="00EE6D95">
            <w:pPr>
              <w:rPr>
                <w:rFonts w:ascii="Arial" w:hAnsi="Arial" w:cs="Arial"/>
              </w:rPr>
            </w:pPr>
            <w:r w:rsidRPr="00807829">
              <w:rPr>
                <w:rFonts w:ascii="Arial" w:hAnsi="Arial" w:cs="Arial"/>
              </w:rPr>
              <w:t>Pokazatelj rezultata</w:t>
            </w:r>
          </w:p>
        </w:tc>
        <w:tc>
          <w:tcPr>
            <w:tcW w:w="1114" w:type="dxa"/>
            <w:shd w:val="clear" w:color="auto" w:fill="B5C0D8"/>
          </w:tcPr>
          <w:p w:rsidR="00D849AA" w:rsidRPr="00807829" w:rsidRDefault="00EE6D95">
            <w:pPr>
              <w:pStyle w:val="CellHeader"/>
            </w:pPr>
            <w:r w:rsidRPr="00807829">
              <w:t>Jedinica</w:t>
            </w:r>
          </w:p>
        </w:tc>
        <w:tc>
          <w:tcPr>
            <w:tcW w:w="1114" w:type="dxa"/>
            <w:shd w:val="clear" w:color="auto" w:fill="B5C0D8"/>
          </w:tcPr>
          <w:p w:rsidR="00D849AA" w:rsidRPr="00807829" w:rsidRDefault="00EE6D95">
            <w:pPr>
              <w:pStyle w:val="CellHeader"/>
            </w:pPr>
            <w:r w:rsidRPr="00807829">
              <w:t>Polazna vrijednost</w:t>
            </w:r>
          </w:p>
        </w:tc>
        <w:tc>
          <w:tcPr>
            <w:tcW w:w="1486" w:type="dxa"/>
            <w:shd w:val="clear" w:color="auto" w:fill="B5C0D8"/>
          </w:tcPr>
          <w:p w:rsidR="00D849AA" w:rsidRPr="00807829" w:rsidRDefault="00EE6D95">
            <w:pPr>
              <w:pStyle w:val="CellHeader"/>
            </w:pPr>
            <w:r w:rsidRPr="00807829">
              <w:t>Ciljana vrijednost (2014.)</w:t>
            </w:r>
          </w:p>
        </w:tc>
        <w:tc>
          <w:tcPr>
            <w:tcW w:w="1486" w:type="dxa"/>
            <w:shd w:val="clear" w:color="auto" w:fill="B5C0D8"/>
          </w:tcPr>
          <w:p w:rsidR="00D849AA" w:rsidRPr="00807829" w:rsidRDefault="00EE6D95">
            <w:pPr>
              <w:pStyle w:val="CellHeader"/>
            </w:pPr>
            <w:r w:rsidRPr="00807829">
              <w:t>Ciljana vrijednost (2015.)</w:t>
            </w:r>
          </w:p>
        </w:tc>
        <w:tc>
          <w:tcPr>
            <w:tcW w:w="1486" w:type="dxa"/>
            <w:shd w:val="clear" w:color="auto" w:fill="B5C0D8"/>
          </w:tcPr>
          <w:p w:rsidR="00D849AA" w:rsidRPr="00807829" w:rsidRDefault="00EE6D95">
            <w:pPr>
              <w:pStyle w:val="CellHeader"/>
            </w:pPr>
            <w:r w:rsidRPr="00807829">
              <w:t>Ciljana vrijednost (2016.)</w:t>
            </w:r>
          </w:p>
        </w:tc>
      </w:tr>
      <w:tr w:rsidR="00D849AA">
        <w:trPr>
          <w:jc w:val="center"/>
        </w:trPr>
        <w:tc>
          <w:tcPr>
            <w:tcW w:w="2229" w:type="dxa"/>
          </w:tcPr>
          <w:p w:rsidR="00D849AA" w:rsidRPr="00807829" w:rsidRDefault="00EE6D95">
            <w:pPr>
              <w:pStyle w:val="CellColumn"/>
            </w:pPr>
            <w:r w:rsidRPr="00807829">
              <w:t>Postotak izvršenosti</w:t>
            </w:r>
          </w:p>
        </w:tc>
        <w:tc>
          <w:tcPr>
            <w:tcW w:w="1114" w:type="dxa"/>
          </w:tcPr>
          <w:p w:rsidR="00D849AA" w:rsidRPr="00807829" w:rsidRDefault="00EE6D95">
            <w:pPr>
              <w:rPr>
                <w:rFonts w:ascii="Arial" w:hAnsi="Arial" w:cs="Arial"/>
              </w:rPr>
            </w:pPr>
            <w:r w:rsidRPr="00807829">
              <w:rPr>
                <w:rFonts w:ascii="Arial" w:hAnsi="Arial" w:cs="Arial"/>
              </w:rPr>
              <w:t>%</w:t>
            </w:r>
          </w:p>
        </w:tc>
        <w:tc>
          <w:tcPr>
            <w:tcW w:w="1114" w:type="dxa"/>
          </w:tcPr>
          <w:p w:rsidR="00D849AA" w:rsidRPr="00807829" w:rsidRDefault="00EE6D95">
            <w:pPr>
              <w:rPr>
                <w:rFonts w:ascii="Arial" w:hAnsi="Arial" w:cs="Arial"/>
              </w:rPr>
            </w:pPr>
            <w:r w:rsidRPr="00807829">
              <w:rPr>
                <w:rFonts w:ascii="Arial" w:hAnsi="Arial" w:cs="Arial"/>
              </w:rPr>
              <w:t>98</w:t>
            </w:r>
          </w:p>
        </w:tc>
        <w:tc>
          <w:tcPr>
            <w:tcW w:w="1486" w:type="dxa"/>
          </w:tcPr>
          <w:p w:rsidR="00D849AA" w:rsidRPr="00807829" w:rsidRDefault="00EE6D95">
            <w:pPr>
              <w:rPr>
                <w:rFonts w:ascii="Arial" w:hAnsi="Arial" w:cs="Arial"/>
              </w:rPr>
            </w:pPr>
            <w:r w:rsidRPr="00807829">
              <w:rPr>
                <w:rFonts w:ascii="Arial" w:hAnsi="Arial" w:cs="Arial"/>
              </w:rPr>
              <w:t>100</w:t>
            </w:r>
          </w:p>
        </w:tc>
        <w:tc>
          <w:tcPr>
            <w:tcW w:w="1486" w:type="dxa"/>
          </w:tcPr>
          <w:p w:rsidR="00D849AA" w:rsidRPr="00807829" w:rsidRDefault="00EE6D95">
            <w:pPr>
              <w:rPr>
                <w:rFonts w:ascii="Arial" w:hAnsi="Arial" w:cs="Arial"/>
              </w:rPr>
            </w:pPr>
            <w:r w:rsidRPr="00807829">
              <w:rPr>
                <w:rFonts w:ascii="Arial" w:hAnsi="Arial" w:cs="Arial"/>
              </w:rPr>
              <w:t>100</w:t>
            </w:r>
          </w:p>
        </w:tc>
        <w:tc>
          <w:tcPr>
            <w:tcW w:w="1486" w:type="dxa"/>
          </w:tcPr>
          <w:p w:rsidR="00D849AA" w:rsidRPr="00807829" w:rsidRDefault="00EE6D95">
            <w:pPr>
              <w:rPr>
                <w:rFonts w:ascii="Arial" w:hAnsi="Arial" w:cs="Arial"/>
              </w:rPr>
            </w:pPr>
            <w:r w:rsidRPr="00807829">
              <w:rPr>
                <w:rFonts w:ascii="Arial" w:hAnsi="Arial" w:cs="Arial"/>
              </w:rPr>
              <w:t>100</w:t>
            </w:r>
          </w:p>
        </w:tc>
      </w:tr>
    </w:tbl>
    <w:p w:rsidR="00D849AA" w:rsidRDefault="00D849AA">
      <w:pPr>
        <w:jc w:val="left"/>
      </w:pPr>
    </w:p>
    <w:p w:rsidR="00D849AA" w:rsidRDefault="00EE6D95">
      <w:pPr>
        <w:pStyle w:val="Naslov6"/>
      </w:pPr>
      <w:r>
        <w:lastRenderedPageBreak/>
        <w:t>A576150 DJELOVANJE NA UNAPREĐENJU PROSTORNOG UREĐENJA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807829" w:rsidRDefault="00EE6D95">
            <w:pPr>
              <w:pStyle w:val="CellHeader"/>
            </w:pPr>
            <w:r w:rsidRPr="00807829">
              <w:t>Naziv aktivnosti</w:t>
            </w:r>
          </w:p>
        </w:tc>
        <w:tc>
          <w:tcPr>
            <w:tcW w:w="1486" w:type="dxa"/>
            <w:shd w:val="clear" w:color="auto" w:fill="B5C0D8"/>
          </w:tcPr>
          <w:p w:rsidR="00D849AA" w:rsidRPr="00807829" w:rsidRDefault="00EE6D95">
            <w:pPr>
              <w:pStyle w:val="CellHeader"/>
            </w:pPr>
            <w:r w:rsidRPr="00807829">
              <w:t>Plan 2013.</w:t>
            </w:r>
          </w:p>
        </w:tc>
        <w:tc>
          <w:tcPr>
            <w:tcW w:w="1486" w:type="dxa"/>
            <w:shd w:val="clear" w:color="auto" w:fill="B5C0D8"/>
          </w:tcPr>
          <w:p w:rsidR="00D849AA" w:rsidRPr="00807829" w:rsidRDefault="00EE6D95">
            <w:pPr>
              <w:pStyle w:val="CellHeader"/>
            </w:pPr>
            <w:r w:rsidRPr="00807829">
              <w:t>Plan 2014.</w:t>
            </w:r>
          </w:p>
        </w:tc>
        <w:tc>
          <w:tcPr>
            <w:tcW w:w="1486" w:type="dxa"/>
            <w:shd w:val="clear" w:color="auto" w:fill="B5C0D8"/>
          </w:tcPr>
          <w:p w:rsidR="00D849AA" w:rsidRPr="00807829" w:rsidRDefault="00EE6D95">
            <w:pPr>
              <w:pStyle w:val="CellHeader"/>
            </w:pPr>
            <w:r w:rsidRPr="00807829">
              <w:t>Plan 2015.</w:t>
            </w:r>
          </w:p>
        </w:tc>
        <w:tc>
          <w:tcPr>
            <w:tcW w:w="1486" w:type="dxa"/>
            <w:shd w:val="clear" w:color="auto" w:fill="B5C0D8"/>
          </w:tcPr>
          <w:p w:rsidR="00D849AA" w:rsidRPr="00807829" w:rsidRDefault="00EE6D95">
            <w:pPr>
              <w:pStyle w:val="CellHeader"/>
            </w:pPr>
            <w:r w:rsidRPr="00807829">
              <w:t>Plan 2016.</w:t>
            </w:r>
          </w:p>
        </w:tc>
        <w:tc>
          <w:tcPr>
            <w:tcW w:w="1486" w:type="dxa"/>
            <w:shd w:val="clear" w:color="auto" w:fill="B5C0D8"/>
          </w:tcPr>
          <w:p w:rsidR="00D849AA" w:rsidRPr="00807829" w:rsidRDefault="00EE6D95">
            <w:pPr>
              <w:pStyle w:val="CellHeader"/>
            </w:pPr>
            <w:r w:rsidRPr="00807829">
              <w:t>Indeks 2014/2013</w:t>
            </w:r>
          </w:p>
        </w:tc>
      </w:tr>
      <w:tr w:rsidR="00D849AA">
        <w:trPr>
          <w:jc w:val="center"/>
        </w:trPr>
        <w:tc>
          <w:tcPr>
            <w:tcW w:w="1486" w:type="dxa"/>
          </w:tcPr>
          <w:p w:rsidR="00D849AA" w:rsidRPr="00807829" w:rsidRDefault="00EE6D95">
            <w:pPr>
              <w:pStyle w:val="CellColumn"/>
            </w:pPr>
            <w:r w:rsidRPr="00807829">
              <w:t>A576150</w:t>
            </w:r>
          </w:p>
        </w:tc>
        <w:tc>
          <w:tcPr>
            <w:tcW w:w="1486" w:type="dxa"/>
          </w:tcPr>
          <w:p w:rsidR="00D849AA" w:rsidRPr="00807829" w:rsidRDefault="00EE6D95">
            <w:pPr>
              <w:rPr>
                <w:rFonts w:ascii="Arial" w:hAnsi="Arial" w:cs="Arial"/>
              </w:rPr>
            </w:pPr>
            <w:r w:rsidRPr="00807829">
              <w:rPr>
                <w:rFonts w:ascii="Arial" w:hAnsi="Arial" w:cs="Arial"/>
              </w:rPr>
              <w:t>730.000</w:t>
            </w:r>
          </w:p>
        </w:tc>
        <w:tc>
          <w:tcPr>
            <w:tcW w:w="1486" w:type="dxa"/>
          </w:tcPr>
          <w:p w:rsidR="00D849AA" w:rsidRPr="00807829" w:rsidRDefault="00EE6D95">
            <w:pPr>
              <w:rPr>
                <w:rFonts w:ascii="Arial" w:hAnsi="Arial" w:cs="Arial"/>
              </w:rPr>
            </w:pPr>
            <w:r w:rsidRPr="00807829">
              <w:rPr>
                <w:rFonts w:ascii="Arial" w:hAnsi="Arial" w:cs="Arial"/>
              </w:rPr>
              <w:t>730.000</w:t>
            </w:r>
          </w:p>
        </w:tc>
        <w:tc>
          <w:tcPr>
            <w:tcW w:w="1486" w:type="dxa"/>
          </w:tcPr>
          <w:p w:rsidR="00D849AA" w:rsidRPr="00807829" w:rsidRDefault="00EE6D95">
            <w:pPr>
              <w:rPr>
                <w:rFonts w:ascii="Arial" w:hAnsi="Arial" w:cs="Arial"/>
              </w:rPr>
            </w:pPr>
            <w:r w:rsidRPr="00807829">
              <w:rPr>
                <w:rFonts w:ascii="Arial" w:hAnsi="Arial" w:cs="Arial"/>
              </w:rPr>
              <w:t>730.000</w:t>
            </w:r>
          </w:p>
        </w:tc>
        <w:tc>
          <w:tcPr>
            <w:tcW w:w="1486" w:type="dxa"/>
          </w:tcPr>
          <w:p w:rsidR="00D849AA" w:rsidRPr="00807829" w:rsidRDefault="00EE6D95">
            <w:pPr>
              <w:rPr>
                <w:rFonts w:ascii="Arial" w:hAnsi="Arial" w:cs="Arial"/>
              </w:rPr>
            </w:pPr>
            <w:r w:rsidRPr="00807829">
              <w:rPr>
                <w:rFonts w:ascii="Arial" w:hAnsi="Arial" w:cs="Arial"/>
              </w:rPr>
              <w:t>730.000</w:t>
            </w:r>
          </w:p>
        </w:tc>
        <w:tc>
          <w:tcPr>
            <w:tcW w:w="1486" w:type="dxa"/>
          </w:tcPr>
          <w:p w:rsidR="00D849AA" w:rsidRPr="00807829" w:rsidRDefault="00EE6D95">
            <w:pPr>
              <w:rPr>
                <w:rFonts w:ascii="Arial" w:hAnsi="Arial" w:cs="Arial"/>
              </w:rPr>
            </w:pPr>
            <w:r w:rsidRPr="00807829">
              <w:rPr>
                <w:rFonts w:ascii="Arial" w:hAnsi="Arial" w:cs="Arial"/>
              </w:rPr>
              <w:t>100,0</w:t>
            </w:r>
          </w:p>
        </w:tc>
      </w:tr>
    </w:tbl>
    <w:p w:rsidR="00D849AA" w:rsidRDefault="00D849AA">
      <w:pPr>
        <w:jc w:val="left"/>
      </w:pPr>
    </w:p>
    <w:p w:rsidR="00D849AA" w:rsidRDefault="00EE6D95">
      <w:pPr>
        <w:pStyle w:val="Normal6"/>
      </w:pPr>
      <w:r>
        <w:t xml:space="preserve">Unapređenje stanja dokumenata prostornog uređenja kroz izradu i donošenje tih dokumenata temeljna je pretpostavka za održivo prostorno uređenje, posebno kada je riječ o dokumentima na razini države - Strategija prostornog razvoja, Program prostornog uređenja Republike Hrvatske i prostorni planovi područja posebnih obilježja - koje donosi Hrvatski sabor. Tim dokumentima prostornog uređenja određuju se veliki nacionalni sustavi, a također su osnova za daljnje planiranje na županijskoj i lokalnoj razini. To je kontinuirani proces koji se obavlja od donošenja Zakona o prostornom uređenju 1994. godine. Nositelj te aktivnosti je Zavod za prostorno planiranje ministarstva, a sudjeluju i Županijski zavodi za prostorno uređenje, planerske institucije te nadležna tijela državne uprave. U narednom periodu planira se izraditi novi strateški dokument koji će definirati preduvjete za održivo prostorno uređenje Republike Hrvatske, a temeljiti će se, pored ostalog, na Izvješću o stanju u prostoru. Izrada prostornih planova na lokalnoj razini jedan je od temeljnih uvjeta za održivo prostorno uređenje zemlje. Stoga je ministarstvo još od 2004. godine kontinuirano osiguravalo sredstva u Državnom proračunu za pomoć jedinicama lokalne i područne (regionalne) samouprave. </w:t>
      </w:r>
    </w:p>
    <w:p w:rsidR="00D849AA" w:rsidRDefault="00EE6D95">
      <w:pPr>
        <w:pStyle w:val="Normal6"/>
      </w:pPr>
      <w:r>
        <w:t>Zaključno sa 2012. godinom ta je pomoć dodijeljena za oko 300 zahtjeva jedinica lokalne i područne (regionalne) samouprave (JLS: općine i gradovi). Za svih 556 JLS izrađeni su PPUG/O, pa se u slijedećem razdoblju planira osiguravati financijsku pomoć za izradu njihovih izmjena i/ili dopuna i to samo u gospodarski slabije razvijenim JLS temeljem njihovog zahtjeva, a u skladu s utvrđenim kriterijima.</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807829" w:rsidRDefault="00EE6D95">
            <w:pPr>
              <w:rPr>
                <w:rFonts w:ascii="Arial" w:hAnsi="Arial" w:cs="Arial"/>
              </w:rPr>
            </w:pPr>
            <w:r w:rsidRPr="00807829">
              <w:rPr>
                <w:rFonts w:ascii="Arial" w:hAnsi="Arial" w:cs="Arial"/>
              </w:rPr>
              <w:t>Pokazatelj rezultata</w:t>
            </w:r>
          </w:p>
        </w:tc>
        <w:tc>
          <w:tcPr>
            <w:tcW w:w="1114" w:type="dxa"/>
            <w:shd w:val="clear" w:color="auto" w:fill="B5C0D8"/>
          </w:tcPr>
          <w:p w:rsidR="00D849AA" w:rsidRPr="00807829" w:rsidRDefault="00EE6D95">
            <w:pPr>
              <w:pStyle w:val="CellHeader"/>
            </w:pPr>
            <w:r w:rsidRPr="00807829">
              <w:t>Jedinica</w:t>
            </w:r>
          </w:p>
        </w:tc>
        <w:tc>
          <w:tcPr>
            <w:tcW w:w="1114" w:type="dxa"/>
            <w:shd w:val="clear" w:color="auto" w:fill="B5C0D8"/>
          </w:tcPr>
          <w:p w:rsidR="00D849AA" w:rsidRPr="00807829" w:rsidRDefault="00EE6D95">
            <w:pPr>
              <w:pStyle w:val="CellHeader"/>
            </w:pPr>
            <w:r w:rsidRPr="00807829">
              <w:t>Polazna vrijednost</w:t>
            </w:r>
          </w:p>
        </w:tc>
        <w:tc>
          <w:tcPr>
            <w:tcW w:w="1486" w:type="dxa"/>
            <w:shd w:val="clear" w:color="auto" w:fill="B5C0D8"/>
          </w:tcPr>
          <w:p w:rsidR="00D849AA" w:rsidRPr="00807829" w:rsidRDefault="00EE6D95">
            <w:pPr>
              <w:pStyle w:val="CellHeader"/>
            </w:pPr>
            <w:r w:rsidRPr="00807829">
              <w:t>Ciljana vrijednost (2014.)</w:t>
            </w:r>
          </w:p>
        </w:tc>
        <w:tc>
          <w:tcPr>
            <w:tcW w:w="1486" w:type="dxa"/>
            <w:shd w:val="clear" w:color="auto" w:fill="B5C0D8"/>
          </w:tcPr>
          <w:p w:rsidR="00D849AA" w:rsidRPr="00807829" w:rsidRDefault="00EE6D95">
            <w:pPr>
              <w:pStyle w:val="CellHeader"/>
            </w:pPr>
            <w:r w:rsidRPr="00807829">
              <w:t>Ciljana vrijednost (2015.)</w:t>
            </w:r>
          </w:p>
        </w:tc>
        <w:tc>
          <w:tcPr>
            <w:tcW w:w="1486" w:type="dxa"/>
            <w:shd w:val="clear" w:color="auto" w:fill="B5C0D8"/>
          </w:tcPr>
          <w:p w:rsidR="00D849AA" w:rsidRPr="00807829" w:rsidRDefault="00EE6D95">
            <w:pPr>
              <w:pStyle w:val="CellHeader"/>
            </w:pPr>
            <w:r w:rsidRPr="00807829">
              <w:t>Ciljana vrijednost (2016.)</w:t>
            </w:r>
          </w:p>
        </w:tc>
      </w:tr>
      <w:tr w:rsidR="00D849AA">
        <w:trPr>
          <w:jc w:val="center"/>
        </w:trPr>
        <w:tc>
          <w:tcPr>
            <w:tcW w:w="2229" w:type="dxa"/>
          </w:tcPr>
          <w:p w:rsidR="00D849AA" w:rsidRPr="00807829" w:rsidRDefault="00EE6D95">
            <w:pPr>
              <w:pStyle w:val="CellColumn"/>
            </w:pPr>
            <w:r w:rsidRPr="00807829">
              <w:t>Povećanje postotka izrađenosti  dokumenta prostornog uređenja lokalne razine za koje je dana financijska pomoć.</w:t>
            </w:r>
          </w:p>
        </w:tc>
        <w:tc>
          <w:tcPr>
            <w:tcW w:w="1114" w:type="dxa"/>
          </w:tcPr>
          <w:p w:rsidR="00D849AA" w:rsidRPr="00807829" w:rsidRDefault="00EE6D95">
            <w:pPr>
              <w:rPr>
                <w:rFonts w:ascii="Arial" w:hAnsi="Arial" w:cs="Arial"/>
              </w:rPr>
            </w:pPr>
            <w:r w:rsidRPr="00807829">
              <w:rPr>
                <w:rFonts w:ascii="Arial" w:hAnsi="Arial" w:cs="Arial"/>
              </w:rPr>
              <w:t>%</w:t>
            </w:r>
          </w:p>
        </w:tc>
        <w:tc>
          <w:tcPr>
            <w:tcW w:w="1114" w:type="dxa"/>
          </w:tcPr>
          <w:p w:rsidR="00D849AA" w:rsidRPr="00807829" w:rsidRDefault="00EE6D95">
            <w:pPr>
              <w:rPr>
                <w:rFonts w:ascii="Arial" w:hAnsi="Arial" w:cs="Arial"/>
              </w:rPr>
            </w:pPr>
            <w:r w:rsidRPr="00807829">
              <w:rPr>
                <w:rFonts w:ascii="Arial" w:hAnsi="Arial" w:cs="Arial"/>
              </w:rPr>
              <w:t>0</w:t>
            </w:r>
          </w:p>
        </w:tc>
        <w:tc>
          <w:tcPr>
            <w:tcW w:w="1486" w:type="dxa"/>
          </w:tcPr>
          <w:p w:rsidR="00D849AA" w:rsidRPr="00807829" w:rsidRDefault="00EE6D95">
            <w:pPr>
              <w:rPr>
                <w:rFonts w:ascii="Arial" w:hAnsi="Arial" w:cs="Arial"/>
              </w:rPr>
            </w:pPr>
            <w:r w:rsidRPr="00807829">
              <w:rPr>
                <w:rFonts w:ascii="Arial" w:hAnsi="Arial" w:cs="Arial"/>
              </w:rPr>
              <w:t>100</w:t>
            </w:r>
          </w:p>
        </w:tc>
        <w:tc>
          <w:tcPr>
            <w:tcW w:w="1486" w:type="dxa"/>
          </w:tcPr>
          <w:p w:rsidR="00D849AA" w:rsidRPr="00807829" w:rsidRDefault="00EE6D95">
            <w:pPr>
              <w:rPr>
                <w:rFonts w:ascii="Arial" w:hAnsi="Arial" w:cs="Arial"/>
              </w:rPr>
            </w:pPr>
            <w:r w:rsidRPr="00807829">
              <w:rPr>
                <w:rFonts w:ascii="Arial" w:hAnsi="Arial" w:cs="Arial"/>
              </w:rPr>
              <w:t>100</w:t>
            </w:r>
          </w:p>
        </w:tc>
        <w:tc>
          <w:tcPr>
            <w:tcW w:w="1486" w:type="dxa"/>
          </w:tcPr>
          <w:p w:rsidR="00D849AA" w:rsidRPr="00807829" w:rsidRDefault="00EE6D95">
            <w:pPr>
              <w:rPr>
                <w:rFonts w:ascii="Arial" w:hAnsi="Arial" w:cs="Arial"/>
              </w:rPr>
            </w:pPr>
            <w:r w:rsidRPr="00807829">
              <w:rPr>
                <w:rFonts w:ascii="Arial" w:hAnsi="Arial" w:cs="Arial"/>
              </w:rPr>
              <w:t>100</w:t>
            </w:r>
          </w:p>
        </w:tc>
      </w:tr>
      <w:tr w:rsidR="00D849AA">
        <w:trPr>
          <w:jc w:val="center"/>
        </w:trPr>
        <w:tc>
          <w:tcPr>
            <w:tcW w:w="2229" w:type="dxa"/>
          </w:tcPr>
          <w:p w:rsidR="00D849AA" w:rsidRPr="00807829" w:rsidRDefault="00EE6D95">
            <w:pPr>
              <w:pStyle w:val="CellColumn"/>
            </w:pPr>
            <w:r w:rsidRPr="00807829">
              <w:t>Održavanje kontinuiteta obrađenih zahtjeva.</w:t>
            </w:r>
          </w:p>
        </w:tc>
        <w:tc>
          <w:tcPr>
            <w:tcW w:w="1114" w:type="dxa"/>
          </w:tcPr>
          <w:p w:rsidR="00D849AA" w:rsidRPr="00807829" w:rsidRDefault="00EE6D95">
            <w:pPr>
              <w:rPr>
                <w:rFonts w:ascii="Arial" w:hAnsi="Arial" w:cs="Arial"/>
              </w:rPr>
            </w:pPr>
            <w:r w:rsidRPr="00807829">
              <w:rPr>
                <w:rFonts w:ascii="Arial" w:hAnsi="Arial" w:cs="Arial"/>
              </w:rPr>
              <w:t>%</w:t>
            </w:r>
          </w:p>
        </w:tc>
        <w:tc>
          <w:tcPr>
            <w:tcW w:w="1114" w:type="dxa"/>
          </w:tcPr>
          <w:p w:rsidR="00D849AA" w:rsidRPr="00807829" w:rsidRDefault="00EE6D95">
            <w:pPr>
              <w:rPr>
                <w:rFonts w:ascii="Arial" w:hAnsi="Arial" w:cs="Arial"/>
              </w:rPr>
            </w:pPr>
            <w:r w:rsidRPr="00807829">
              <w:rPr>
                <w:rFonts w:ascii="Arial" w:hAnsi="Arial" w:cs="Arial"/>
              </w:rPr>
              <w:t>100</w:t>
            </w:r>
          </w:p>
        </w:tc>
        <w:tc>
          <w:tcPr>
            <w:tcW w:w="1486" w:type="dxa"/>
          </w:tcPr>
          <w:p w:rsidR="00D849AA" w:rsidRPr="00807829" w:rsidRDefault="00EE6D95">
            <w:pPr>
              <w:rPr>
                <w:rFonts w:ascii="Arial" w:hAnsi="Arial" w:cs="Arial"/>
              </w:rPr>
            </w:pPr>
            <w:r w:rsidRPr="00807829">
              <w:rPr>
                <w:rFonts w:ascii="Arial" w:hAnsi="Arial" w:cs="Arial"/>
              </w:rPr>
              <w:t>100</w:t>
            </w:r>
          </w:p>
        </w:tc>
        <w:tc>
          <w:tcPr>
            <w:tcW w:w="1486" w:type="dxa"/>
          </w:tcPr>
          <w:p w:rsidR="00D849AA" w:rsidRPr="00807829" w:rsidRDefault="00EE6D95">
            <w:pPr>
              <w:rPr>
                <w:rFonts w:ascii="Arial" w:hAnsi="Arial" w:cs="Arial"/>
              </w:rPr>
            </w:pPr>
            <w:r w:rsidRPr="00807829">
              <w:rPr>
                <w:rFonts w:ascii="Arial" w:hAnsi="Arial" w:cs="Arial"/>
              </w:rPr>
              <w:t>100</w:t>
            </w:r>
          </w:p>
        </w:tc>
        <w:tc>
          <w:tcPr>
            <w:tcW w:w="1486" w:type="dxa"/>
          </w:tcPr>
          <w:p w:rsidR="00D849AA" w:rsidRPr="00807829" w:rsidRDefault="00EE6D95">
            <w:pPr>
              <w:rPr>
                <w:rFonts w:ascii="Arial" w:hAnsi="Arial" w:cs="Arial"/>
              </w:rPr>
            </w:pPr>
            <w:r w:rsidRPr="00807829">
              <w:rPr>
                <w:rFonts w:ascii="Arial" w:hAnsi="Arial" w:cs="Arial"/>
              </w:rPr>
              <w:t>100</w:t>
            </w:r>
          </w:p>
        </w:tc>
      </w:tr>
    </w:tbl>
    <w:p w:rsidR="00D849AA" w:rsidRDefault="00D849AA">
      <w:pPr>
        <w:jc w:val="left"/>
      </w:pPr>
    </w:p>
    <w:p w:rsidR="00D61DA2" w:rsidRDefault="00D61DA2">
      <w:pPr>
        <w:jc w:val="left"/>
      </w:pPr>
    </w:p>
    <w:p w:rsidR="00D61DA2" w:rsidRDefault="00D61DA2" w:rsidP="00D61DA2">
      <w:pPr>
        <w:pStyle w:val="Naslov4"/>
      </w:pPr>
      <w:r>
        <w:lastRenderedPageBreak/>
        <w:t>OBRAZLOŽENJE PROGRAMA</w:t>
      </w:r>
    </w:p>
    <w:p w:rsidR="00D849AA" w:rsidRDefault="00EE6D95">
      <w:pPr>
        <w:pStyle w:val="Naslov5"/>
      </w:pPr>
      <w:r>
        <w:t>3502 REGULATIVA I NADZOR U GRADITELJSTVU</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807829" w:rsidRDefault="00D849AA">
            <w:pPr>
              <w:pStyle w:val="CellHeader"/>
            </w:pPr>
          </w:p>
        </w:tc>
        <w:tc>
          <w:tcPr>
            <w:tcW w:w="1486" w:type="dxa"/>
            <w:shd w:val="clear" w:color="auto" w:fill="B5C0D8"/>
          </w:tcPr>
          <w:p w:rsidR="00D849AA" w:rsidRPr="00807829" w:rsidRDefault="00EE6D95">
            <w:pPr>
              <w:pStyle w:val="CellHeader"/>
            </w:pPr>
            <w:r w:rsidRPr="00807829">
              <w:t>Plan 2013.</w:t>
            </w:r>
          </w:p>
        </w:tc>
        <w:tc>
          <w:tcPr>
            <w:tcW w:w="1486" w:type="dxa"/>
            <w:shd w:val="clear" w:color="auto" w:fill="B5C0D8"/>
          </w:tcPr>
          <w:p w:rsidR="00D849AA" w:rsidRPr="00807829" w:rsidRDefault="00EE6D95">
            <w:pPr>
              <w:pStyle w:val="CellHeader"/>
            </w:pPr>
            <w:r w:rsidRPr="00807829">
              <w:t>Plan 2014.</w:t>
            </w:r>
          </w:p>
        </w:tc>
        <w:tc>
          <w:tcPr>
            <w:tcW w:w="1486" w:type="dxa"/>
            <w:shd w:val="clear" w:color="auto" w:fill="B5C0D8"/>
          </w:tcPr>
          <w:p w:rsidR="00D849AA" w:rsidRPr="00807829" w:rsidRDefault="00EE6D95">
            <w:pPr>
              <w:pStyle w:val="CellHeader"/>
            </w:pPr>
            <w:r w:rsidRPr="00807829">
              <w:t>Plan 2015.</w:t>
            </w:r>
          </w:p>
        </w:tc>
        <w:tc>
          <w:tcPr>
            <w:tcW w:w="1486" w:type="dxa"/>
            <w:shd w:val="clear" w:color="auto" w:fill="B5C0D8"/>
          </w:tcPr>
          <w:p w:rsidR="00D849AA" w:rsidRPr="00807829" w:rsidRDefault="00EE6D95">
            <w:pPr>
              <w:pStyle w:val="CellHeader"/>
            </w:pPr>
            <w:r w:rsidRPr="00807829">
              <w:t>Plan 2016.</w:t>
            </w:r>
          </w:p>
        </w:tc>
        <w:tc>
          <w:tcPr>
            <w:tcW w:w="1486" w:type="dxa"/>
            <w:shd w:val="clear" w:color="auto" w:fill="B5C0D8"/>
          </w:tcPr>
          <w:p w:rsidR="00D849AA" w:rsidRPr="00807829" w:rsidRDefault="00EE6D95">
            <w:pPr>
              <w:pStyle w:val="CellHeader"/>
            </w:pPr>
            <w:r w:rsidRPr="00807829">
              <w:t>Indeks 2014/2013</w:t>
            </w:r>
          </w:p>
        </w:tc>
      </w:tr>
      <w:tr w:rsidR="00D849AA">
        <w:trPr>
          <w:jc w:val="center"/>
        </w:trPr>
        <w:tc>
          <w:tcPr>
            <w:tcW w:w="1486" w:type="dxa"/>
          </w:tcPr>
          <w:p w:rsidR="00D849AA" w:rsidRPr="00807829" w:rsidRDefault="00EE6D95">
            <w:pPr>
              <w:pStyle w:val="CellColumn"/>
            </w:pPr>
            <w:r w:rsidRPr="00807829">
              <w:t>3502</w:t>
            </w:r>
          </w:p>
        </w:tc>
        <w:tc>
          <w:tcPr>
            <w:tcW w:w="1486" w:type="dxa"/>
          </w:tcPr>
          <w:p w:rsidR="00D849AA" w:rsidRPr="00807829" w:rsidRDefault="00EE6D95">
            <w:pPr>
              <w:rPr>
                <w:rFonts w:ascii="Arial" w:hAnsi="Arial" w:cs="Arial"/>
              </w:rPr>
            </w:pPr>
            <w:r w:rsidRPr="00807829">
              <w:rPr>
                <w:rFonts w:ascii="Arial" w:hAnsi="Arial" w:cs="Arial"/>
              </w:rPr>
              <w:t>21.492.000</w:t>
            </w:r>
          </w:p>
        </w:tc>
        <w:tc>
          <w:tcPr>
            <w:tcW w:w="1486" w:type="dxa"/>
          </w:tcPr>
          <w:p w:rsidR="00D849AA" w:rsidRPr="00807829" w:rsidRDefault="00EE6D95">
            <w:pPr>
              <w:rPr>
                <w:rFonts w:ascii="Arial" w:hAnsi="Arial" w:cs="Arial"/>
              </w:rPr>
            </w:pPr>
            <w:r w:rsidRPr="00807829">
              <w:rPr>
                <w:rFonts w:ascii="Arial" w:hAnsi="Arial" w:cs="Arial"/>
              </w:rPr>
              <w:t>25.813.500</w:t>
            </w:r>
          </w:p>
        </w:tc>
        <w:tc>
          <w:tcPr>
            <w:tcW w:w="1486" w:type="dxa"/>
          </w:tcPr>
          <w:p w:rsidR="00D849AA" w:rsidRPr="00807829" w:rsidRDefault="00EE6D95">
            <w:pPr>
              <w:rPr>
                <w:rFonts w:ascii="Arial" w:hAnsi="Arial" w:cs="Arial"/>
              </w:rPr>
            </w:pPr>
            <w:r w:rsidRPr="00807829">
              <w:rPr>
                <w:rFonts w:ascii="Arial" w:hAnsi="Arial" w:cs="Arial"/>
              </w:rPr>
              <w:t>20.365.000</w:t>
            </w:r>
          </w:p>
        </w:tc>
        <w:tc>
          <w:tcPr>
            <w:tcW w:w="1486" w:type="dxa"/>
          </w:tcPr>
          <w:p w:rsidR="00D849AA" w:rsidRPr="00807829" w:rsidRDefault="00EE6D95">
            <w:pPr>
              <w:rPr>
                <w:rFonts w:ascii="Arial" w:hAnsi="Arial" w:cs="Arial"/>
              </w:rPr>
            </w:pPr>
            <w:r w:rsidRPr="00807829">
              <w:rPr>
                <w:rFonts w:ascii="Arial" w:hAnsi="Arial" w:cs="Arial"/>
              </w:rPr>
              <w:t>20.365.000</w:t>
            </w:r>
          </w:p>
        </w:tc>
        <w:tc>
          <w:tcPr>
            <w:tcW w:w="1486" w:type="dxa"/>
          </w:tcPr>
          <w:p w:rsidR="00D849AA" w:rsidRPr="00807829" w:rsidRDefault="00EE6D95">
            <w:pPr>
              <w:rPr>
                <w:rFonts w:ascii="Arial" w:hAnsi="Arial" w:cs="Arial"/>
              </w:rPr>
            </w:pPr>
            <w:r w:rsidRPr="00807829">
              <w:rPr>
                <w:rFonts w:ascii="Arial" w:hAnsi="Arial" w:cs="Arial"/>
              </w:rPr>
              <w:t>120,1</w:t>
            </w:r>
          </w:p>
        </w:tc>
      </w:tr>
    </w:tbl>
    <w:p w:rsidR="00D849AA" w:rsidRDefault="00D849AA">
      <w:pPr>
        <w:jc w:val="left"/>
      </w:pPr>
    </w:p>
    <w:p w:rsidR="00D849AA" w:rsidRDefault="00EE6D95">
      <w:pPr>
        <w:pStyle w:val="Naslov6"/>
      </w:pPr>
      <w:r>
        <w:t>Opis programa</w:t>
      </w:r>
    </w:p>
    <w:p w:rsidR="00D849AA" w:rsidRDefault="00EE6D95">
      <w:pPr>
        <w:pStyle w:val="Normal5"/>
      </w:pPr>
      <w:r>
        <w:t xml:space="preserve">Zakonom o prostornom uređenju i gradnji ostvaruju se pretpostavke za unapređenje gospodarskih, društvenih, prirodnih, kulturnih i ekoloških polazišta održivog razvitka u prostoru Republike Hrvatske kao osobito vrijednom i ograničenom nacionalnom dobru na načelu integralnog pristupa prostornom planiranju, gdje se gradnjom smatra projektiranje, građenje, uporaba i uklanjanje građevina koji se obavljaju prema odredbama toga Zakona i propisa donesenih na temelju toga Zakona, te prema odredbama posebnih zakona i propisa donesenih na temelju tih zakona, hrvatskih normi i pravila struke. </w:t>
      </w:r>
    </w:p>
    <w:p w:rsidR="00D849AA" w:rsidRDefault="00EE6D95">
      <w:pPr>
        <w:pStyle w:val="Normal5"/>
      </w:pPr>
      <w:r>
        <w:t xml:space="preserve">Ministarstvo obavlja upravne, stručne i normativne poslove u provođenju politike Vlade Republike Hrvatske u području graditeljstva, stanogradnje, stanovanja i komunalnog gospodarstva, te osigurava praćenje i analizu stanja u područjima iz svoje nadležnosti, priprema, planira i predlaže strategije, mjere i programe u cilju unaprjeđenja stanja u području stanovanja i graditeljstva. </w:t>
      </w:r>
    </w:p>
    <w:p w:rsidR="00D849AA" w:rsidRDefault="00EE6D95">
      <w:pPr>
        <w:pStyle w:val="Normal5"/>
      </w:pPr>
      <w:r>
        <w:t xml:space="preserve">Zgrade su najveći pojedinačni potrošači energije i danas predstavljaju veliki potencijal za energetske, ekonomske i ekološke uštede. Finalna potrošnja energije u zgradama u 2009. godini predstavlja 40% ukupne energetske potrošnje, dok u ukupnoj potrošnji u sektoru opće potrošnje zgrade sudjeluju sa 86%. Gledajući sektor zgradarstva općenito, dominantan energent je električna energija s udjelom u ukupnoj potrošnji energije zgrada oko 39,4%, a slijedi prirodni plin s oko 27,8%, naftni derivati s oko 13,8% te obnovljivi izvori energije (pretežno ogrjevno drvo) s oko 11,5%. Ovakva je raspodjela po energentima očekivana s obzirom da preko polovicu energetskih potreba zgrada čine potrebe zagrijavanja prostora. Kretanje potrošnje energije u zgradama u odnosu na 2007. godinu poraslo je za 10,13% uz ostvarenu godišnju stopu porasta od 3,27%. </w:t>
      </w:r>
    </w:p>
    <w:p w:rsidR="00D849AA" w:rsidRDefault="00EE6D95">
      <w:pPr>
        <w:pStyle w:val="Normal5"/>
      </w:pPr>
      <w:r>
        <w:t xml:space="preserve">Energetska učinkovitost u dijelu obnove postojećih zgrada nudi mogućnost za otvaranje novih radnih mjesta, angažman malih i srednjih poduzeća i domaće industrije i ponovan uzlet građevinskih djelatnosti.  </w:t>
      </w:r>
    </w:p>
    <w:p w:rsidR="00D849AA" w:rsidRDefault="00EE6D95">
      <w:pPr>
        <w:pStyle w:val="Normal5"/>
      </w:pPr>
      <w:r>
        <w:t xml:space="preserve">Za snažniju, sustavnu i koordiniranu provedbu mjera energetske učinkovitosti u Hrvatskoj nužno je osnažiti administrativne kapacitete na nacionalnoj, regionalnoj i lokalnoj  razini. Aktivnosti se do sada nisu se provodile u cijelosti, na predviđeni način i željenom dinamikom, a najveći razlog tomu su nedostatni institucionalni kapaciteti. Snažni institucionalni kapaciteti i koordinacija aktivnosti nužan su preduvjet za pravodobno izvršavanje svih obveza definiranih u EU direktivama, nacionalnom zakonodavstvu i Nacionalnom akcijskom planu energetske učinkovitosti (NAPEnU). Uspostavom sustava praćenja, mjerenja i verifikacije te vođenjem odgovarajućih baza podataka, omogućit će se kontinuirano ocjenjivanje uspješnosti politike energetske učinkovitosti s obzirom na ostvarenje zacrtanih ciljeva. Kontinuirano praćenje aktivnosti omogućit će i godišnje revizije NAPEnU te olakšati njegovu izradu te podići kvalitetu ocjene ostvarenih ušteda na kraju trogodišnjeg razdoblja. </w:t>
      </w:r>
    </w:p>
    <w:p w:rsidR="00D849AA" w:rsidRDefault="00EE6D95">
      <w:pPr>
        <w:pStyle w:val="Normal5"/>
      </w:pPr>
      <w:r>
        <w:t xml:space="preserve">Temeljna pretpostavka za rješavanje pitanja energije, energetike, zaštite okoliša i klimatskih promjena je dugoročna koordinacija i integracija svih u provedbi sektorskih strateških i </w:t>
      </w:r>
      <w:r>
        <w:lastRenderedPageBreak/>
        <w:t>akcijskih planova, operativnih  programa te njihova integracija u sve gospodarske aktivnosti, a posebno u programe formalnog i neformalnog obrazovanja.</w:t>
      </w:r>
    </w:p>
    <w:p w:rsidR="00D849AA" w:rsidRDefault="00EE6D95">
      <w:pPr>
        <w:pStyle w:val="Naslov6"/>
      </w:pPr>
      <w:r>
        <w:t>Zakonske i druge pravne osnove</w:t>
      </w:r>
    </w:p>
    <w:p w:rsidR="00D849AA" w:rsidRDefault="00EE6D95">
      <w:pPr>
        <w:pStyle w:val="Normal5"/>
      </w:pPr>
      <w:r>
        <w:t xml:space="preserve">1. Zakon o prostornom uređenju i gradnji (Narodne novine, broj 76/07, 38/09, 55/11, 90/11, 50/12)  </w:t>
      </w:r>
    </w:p>
    <w:p w:rsidR="00D849AA" w:rsidRDefault="00EE6D95">
      <w:pPr>
        <w:pStyle w:val="Normal5"/>
      </w:pPr>
      <w:r>
        <w:t xml:space="preserve">2. Zakon o učinkovitom korištenju energije u neposrednoj potrošnji (Narodne novine, broj 152/08, 55/12)  </w:t>
      </w:r>
    </w:p>
    <w:p w:rsidR="00D849AA" w:rsidRDefault="00EE6D95">
      <w:pPr>
        <w:pStyle w:val="Normal5"/>
      </w:pPr>
      <w:r>
        <w:t xml:space="preserve">3. Uredba o ugovaranju i provedbi energetske usluge u javnom sektoru (Narodne novine, broj 69/12)  </w:t>
      </w:r>
    </w:p>
    <w:p w:rsidR="00D849AA" w:rsidRDefault="00EE6D95">
      <w:pPr>
        <w:pStyle w:val="Normal5"/>
      </w:pPr>
      <w:r>
        <w:t xml:space="preserve">4. Pravilnik o kontroli energetskih certifikata zgrada i izvješća o energetskim pregledima građevina (Narodne novine, broj 81/12) </w:t>
      </w:r>
    </w:p>
    <w:p w:rsidR="00D849AA" w:rsidRDefault="00EE6D95">
      <w:pPr>
        <w:pStyle w:val="Normal5"/>
      </w:pPr>
      <w:r>
        <w:t xml:space="preserve">5. Pravilnik o uvjetima i mjerilima za osobe koje provode energetske preglede građevina i energetsko certificiranje zgrada (Narodne novine, broj 81/12) </w:t>
      </w:r>
    </w:p>
    <w:p w:rsidR="00D849AA" w:rsidRDefault="00EE6D95">
      <w:pPr>
        <w:pStyle w:val="Normal5"/>
      </w:pPr>
      <w:r>
        <w:t>6. Pravilnik o energetskim pregledima građevina i energetskom certificiranju zgrada (Narodne novine, broj 81/12).</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Cilj 1. Poticati održivu gradnju sigurnijih, pristupačnijih te zdravstveno-ekoloških i energetski primjerenijih građevina</w:t>
      </w:r>
    </w:p>
    <w:p w:rsidR="00D849AA" w:rsidRDefault="00EE6D95">
      <w:pPr>
        <w:pStyle w:val="Normal6"/>
      </w:pPr>
      <w:r>
        <w:t>Regulatorni okvir kojim se uređuje područje graditeljstva i njegova uspješna primjena u praksi podrazumijeva osobito promicanje dobrog projektiranja i građenja kojima se ostvaruju sigurnosna, zdravstveno-ekološka i energetski primjerenija svojstva građevina, te izjednačavanje prava osoba smanjene pokretljivosti, a sve uz primjenu europskih načela. Cilj je  osigurati sigurnost građevina i stabilnost tla na okolnom zemljištu, zaštitu života i zdravlja ljudi, okoliša i prirode te kulturnih i krajobraznih vrijednosti, zaštitu imovine, potrošača i drugih korisnika, održivu gradnju, stvaranje i održavanje dobre životne sredine koja je sociološki, funkcionalno i estetski uravnotežena, sigurna i ugodna te služi potrebama svojih korisnika. Također je važno istaknuti planiranu i kontinuiranu skrb za održavanje izgrađenog okoliša, te slobodu kretanja roba i usluga unutar zajedničkog europskoga ekonomskog prostora.</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807829" w:rsidRDefault="00EE6D95">
            <w:pPr>
              <w:rPr>
                <w:rFonts w:ascii="Arial" w:hAnsi="Arial" w:cs="Arial"/>
              </w:rPr>
            </w:pPr>
            <w:r w:rsidRPr="00807829">
              <w:rPr>
                <w:rFonts w:ascii="Arial" w:hAnsi="Arial" w:cs="Arial"/>
              </w:rPr>
              <w:t>Pokazatelj učinka</w:t>
            </w:r>
          </w:p>
        </w:tc>
        <w:tc>
          <w:tcPr>
            <w:tcW w:w="1114" w:type="dxa"/>
            <w:shd w:val="clear" w:color="auto" w:fill="B5C0D8"/>
          </w:tcPr>
          <w:p w:rsidR="00D849AA" w:rsidRPr="00807829" w:rsidRDefault="00EE6D95">
            <w:pPr>
              <w:pStyle w:val="CellHeader"/>
            </w:pPr>
            <w:r w:rsidRPr="00807829">
              <w:t>Jedinica</w:t>
            </w:r>
          </w:p>
        </w:tc>
        <w:tc>
          <w:tcPr>
            <w:tcW w:w="1114" w:type="dxa"/>
            <w:shd w:val="clear" w:color="auto" w:fill="B5C0D8"/>
          </w:tcPr>
          <w:p w:rsidR="00D849AA" w:rsidRPr="00807829" w:rsidRDefault="00EE6D95">
            <w:pPr>
              <w:pStyle w:val="CellHeader"/>
            </w:pPr>
            <w:r w:rsidRPr="00807829">
              <w:t>Polazna vrijednost</w:t>
            </w:r>
          </w:p>
        </w:tc>
        <w:tc>
          <w:tcPr>
            <w:tcW w:w="1486" w:type="dxa"/>
            <w:shd w:val="clear" w:color="auto" w:fill="B5C0D8"/>
          </w:tcPr>
          <w:p w:rsidR="00D849AA" w:rsidRPr="00807829" w:rsidRDefault="00EE6D95">
            <w:pPr>
              <w:pStyle w:val="CellHeader"/>
            </w:pPr>
            <w:r w:rsidRPr="00807829">
              <w:t>Ciljana vrijednost (2014.)</w:t>
            </w:r>
          </w:p>
        </w:tc>
        <w:tc>
          <w:tcPr>
            <w:tcW w:w="1486" w:type="dxa"/>
            <w:shd w:val="clear" w:color="auto" w:fill="B5C0D8"/>
          </w:tcPr>
          <w:p w:rsidR="00D849AA" w:rsidRPr="00807829" w:rsidRDefault="00EE6D95">
            <w:pPr>
              <w:pStyle w:val="CellHeader"/>
            </w:pPr>
            <w:r w:rsidRPr="00807829">
              <w:t>Ciljana vrijednost (2015.)</w:t>
            </w:r>
          </w:p>
        </w:tc>
        <w:tc>
          <w:tcPr>
            <w:tcW w:w="1486" w:type="dxa"/>
            <w:shd w:val="clear" w:color="auto" w:fill="B5C0D8"/>
          </w:tcPr>
          <w:p w:rsidR="00D849AA" w:rsidRPr="00807829" w:rsidRDefault="00EE6D95">
            <w:pPr>
              <w:pStyle w:val="CellHeader"/>
            </w:pPr>
            <w:r w:rsidRPr="00807829">
              <w:t>Ciljana vrijednost (2016.)</w:t>
            </w:r>
          </w:p>
        </w:tc>
      </w:tr>
      <w:tr w:rsidR="00D849AA">
        <w:trPr>
          <w:jc w:val="center"/>
        </w:trPr>
        <w:tc>
          <w:tcPr>
            <w:tcW w:w="2229" w:type="dxa"/>
          </w:tcPr>
          <w:p w:rsidR="00D849AA" w:rsidRPr="00807829" w:rsidRDefault="00EE6D95">
            <w:pPr>
              <w:pStyle w:val="CellColumn"/>
            </w:pPr>
            <w:r w:rsidRPr="00807829">
              <w:t>Povećanje postotka projekta koji ispunjavaju propisane uvjete i građevina izgrađenih bez nedostataka u odnosu na sve projekte građevina koje se legalno grade i izgrađene građevine koje se legalno koriste</w:t>
            </w:r>
          </w:p>
        </w:tc>
        <w:tc>
          <w:tcPr>
            <w:tcW w:w="1114" w:type="dxa"/>
          </w:tcPr>
          <w:p w:rsidR="00D849AA" w:rsidRPr="00807829" w:rsidRDefault="00EE6D95">
            <w:pPr>
              <w:rPr>
                <w:rFonts w:ascii="Arial" w:hAnsi="Arial" w:cs="Arial"/>
              </w:rPr>
            </w:pPr>
            <w:r w:rsidRPr="00807829">
              <w:rPr>
                <w:rFonts w:ascii="Arial" w:hAnsi="Arial" w:cs="Arial"/>
              </w:rPr>
              <w:t>%</w:t>
            </w:r>
          </w:p>
        </w:tc>
        <w:tc>
          <w:tcPr>
            <w:tcW w:w="1114" w:type="dxa"/>
          </w:tcPr>
          <w:p w:rsidR="00D849AA" w:rsidRPr="00807829" w:rsidRDefault="00EE6D95">
            <w:pPr>
              <w:rPr>
                <w:rFonts w:ascii="Arial" w:hAnsi="Arial" w:cs="Arial"/>
              </w:rPr>
            </w:pPr>
            <w:r w:rsidRPr="00807829">
              <w:rPr>
                <w:rFonts w:ascii="Arial" w:hAnsi="Arial" w:cs="Arial"/>
              </w:rPr>
              <w:t>60</w:t>
            </w:r>
          </w:p>
        </w:tc>
        <w:tc>
          <w:tcPr>
            <w:tcW w:w="1486" w:type="dxa"/>
          </w:tcPr>
          <w:p w:rsidR="00D849AA" w:rsidRPr="00807829" w:rsidRDefault="00EE6D95">
            <w:pPr>
              <w:rPr>
                <w:rFonts w:ascii="Arial" w:hAnsi="Arial" w:cs="Arial"/>
              </w:rPr>
            </w:pPr>
            <w:r w:rsidRPr="00807829">
              <w:rPr>
                <w:rFonts w:ascii="Arial" w:hAnsi="Arial" w:cs="Arial"/>
              </w:rPr>
              <w:t>63</w:t>
            </w:r>
          </w:p>
        </w:tc>
        <w:tc>
          <w:tcPr>
            <w:tcW w:w="1486" w:type="dxa"/>
          </w:tcPr>
          <w:p w:rsidR="00D849AA" w:rsidRPr="00807829" w:rsidRDefault="00EE6D95">
            <w:pPr>
              <w:rPr>
                <w:rFonts w:ascii="Arial" w:hAnsi="Arial" w:cs="Arial"/>
              </w:rPr>
            </w:pPr>
            <w:r w:rsidRPr="00807829">
              <w:rPr>
                <w:rFonts w:ascii="Arial" w:hAnsi="Arial" w:cs="Arial"/>
              </w:rPr>
              <w:t>65</w:t>
            </w:r>
          </w:p>
        </w:tc>
        <w:tc>
          <w:tcPr>
            <w:tcW w:w="1486" w:type="dxa"/>
          </w:tcPr>
          <w:p w:rsidR="00D849AA" w:rsidRPr="00807829" w:rsidRDefault="00EE6D95">
            <w:pPr>
              <w:rPr>
                <w:rFonts w:ascii="Arial" w:hAnsi="Arial" w:cs="Arial"/>
              </w:rPr>
            </w:pPr>
            <w:r w:rsidRPr="00807829">
              <w:rPr>
                <w:rFonts w:ascii="Arial" w:hAnsi="Arial" w:cs="Arial"/>
              </w:rPr>
              <w:t>67</w:t>
            </w:r>
          </w:p>
        </w:tc>
      </w:tr>
    </w:tbl>
    <w:p w:rsidR="00D849AA" w:rsidRDefault="00D849AA">
      <w:pPr>
        <w:jc w:val="left"/>
      </w:pPr>
    </w:p>
    <w:p w:rsidR="00D849AA" w:rsidRDefault="00EE6D95">
      <w:pPr>
        <w:pStyle w:val="Naslov7"/>
      </w:pPr>
      <w:r>
        <w:lastRenderedPageBreak/>
        <w:t>Cilj 2. Unaprijediti zakonitost i kvalitetu gradnje</w:t>
      </w:r>
    </w:p>
    <w:p w:rsidR="00D849AA" w:rsidRDefault="00EE6D95">
      <w:pPr>
        <w:pStyle w:val="Normal6"/>
      </w:pPr>
      <w:r>
        <w:t xml:space="preserve">Za uspostavu reda u prostoru na području Republike Hrvatske i poboljšanje stanja u graditeljstvu izuzetno je značajna uloga građevinske inspekcije, koja provodi inspekcijski nadzor nad primjenom propisa vezanih za gradnju kojih su se dužni pridržavati svi sudionici u gradnji (investitori, projektanti, izvođači, stručni nadzor, revidenti). Pojam „uspostava reda u prostoru“ u sadašnjim okolnostima prije svega označava daljnju zaštitu prostora djelomično devastiranog dugogodišnjim  nezakonitim građenjem, posebno u zaštićenom obalnom području i drugim područjima od interesa za Republiku Hrvatsku. </w:t>
      </w:r>
    </w:p>
    <w:p w:rsidR="00D849AA" w:rsidRDefault="00EE6D95">
      <w:pPr>
        <w:pStyle w:val="Normal6"/>
      </w:pPr>
      <w:r>
        <w:t xml:space="preserve">Zakon o postupanju s nezakonito izgrađenim zgradama koji je stupio na snagu 4. kolovoza 2012. godine, omogućio je pod određenim uvjetima „legalizaciju“ za zgrade izgrađene od 15. veljače 1968. do  21. lipnja 2011. godine, ukoliko se podnese zahtjev do krajnjeg roka 30. lipnja 2013. godine. Uloga građevinske inspekcije u narednom trogodišnjem razdoblju je da do pravomoćnog završetka postupaka ozakonjenja prati stanje, da pojačano obavlja inspekcijske nadzore i sankcionira „novu“ gradnju te da provodi postupke prisilnog uklanjanja onih građevina koje se nisu ozakonjene.  </w:t>
      </w:r>
    </w:p>
    <w:p w:rsidR="00D849AA" w:rsidRDefault="00EE6D95">
      <w:pPr>
        <w:pStyle w:val="Normal6"/>
      </w:pPr>
      <w:r>
        <w:t xml:space="preserve">Učinke navedenih aktivnosti te pojačanu prisutnost inspekcije moguće je osim brojem nadzora pratiti i brojem građevina koje su promijenile pravni status zakonitosti nakon postupanja inspekcije. Npr. tijekom 2012. godine ukupno se ozakonilo 990 građevina, a prisilno je uklonjeno iz prostora 480 nezakonitih građevina za koje je vođen inspekcijski postupak. Prema podacima iz travnja 2013. godine, već u prva tri mjeseca 800 građevina za koje je vođen inspekcijski postupak promijenilo je pravni status, a uklonjene su iz prostora 244 nezakonite građevine, što ukazuje na postepeno uvođenje reda u prostor.  </w:t>
      </w:r>
    </w:p>
    <w:p w:rsidR="00D849AA" w:rsidRDefault="00EE6D95">
      <w:pPr>
        <w:pStyle w:val="Normal6"/>
      </w:pPr>
      <w:r>
        <w:t xml:space="preserve">Cijeni se da će se zakonitost i kvaliteta gradnje bitno unaprijediti do kraja 2016. godine ukoliko se osim suzbijanja nezakonite gradnje istovremeno pojačaju kapaciteti građevinske inspekcije, kako bi odgovorila zahtjevima novog zakonodavstva i postupanja sukladno standardima u Europskoj uniji. Iako se i dosadašnjim postupanjem nastojalo osigurati veću prisutnost građevinske inspekcije tijekom gradnje, taj cilj se može ostvariti do kraja 2016. godine novim proaktivnim pristupom u provedbi inspekcijskih nadzora (planiranje nadzora) u odnosu na reaktivni pristup (pojedinačne predstavke), i uz poboljšanje informacijskog sustava prilagođenog potrebama građevinske inspekcije. </w:t>
      </w:r>
    </w:p>
    <w:p w:rsidR="00D849AA" w:rsidRDefault="00EE6D95">
      <w:pPr>
        <w:pStyle w:val="Normal6"/>
      </w:pPr>
      <w:r>
        <w:t>Zaključno, pokazatelj učinka ovog posebnog cilja je podizanje svijesti svih sudionika u gradnji o tome da je zakonitost i kvaliteta svake pojedine gradnje ne samo privatni nego i javni interes, bilo da se radi o obiteljskoj kući ili gradnji od državnog interesa.  Inspekcija takav učinak može mjeriti brojem ukupnih nadzora u kojima su sudjelovali sudionici u gradnji a koji nisu povrijedili propise, jer povećanje tog broja ukazuje na unapređenje stanja u području graditeljstva te posljedično na uspostavu reda u prostoru.</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807829" w:rsidRDefault="00EE6D95">
            <w:pPr>
              <w:rPr>
                <w:rFonts w:ascii="Arial" w:hAnsi="Arial" w:cs="Arial"/>
              </w:rPr>
            </w:pPr>
            <w:r w:rsidRPr="00807829">
              <w:rPr>
                <w:rFonts w:ascii="Arial" w:hAnsi="Arial" w:cs="Arial"/>
              </w:rPr>
              <w:t>Pokazatelj učinka</w:t>
            </w:r>
          </w:p>
        </w:tc>
        <w:tc>
          <w:tcPr>
            <w:tcW w:w="1114" w:type="dxa"/>
            <w:shd w:val="clear" w:color="auto" w:fill="B5C0D8"/>
          </w:tcPr>
          <w:p w:rsidR="00D849AA" w:rsidRPr="00807829" w:rsidRDefault="00EE6D95">
            <w:pPr>
              <w:pStyle w:val="CellHeader"/>
            </w:pPr>
            <w:r w:rsidRPr="00807829">
              <w:t>Jedinica</w:t>
            </w:r>
          </w:p>
        </w:tc>
        <w:tc>
          <w:tcPr>
            <w:tcW w:w="1114" w:type="dxa"/>
            <w:shd w:val="clear" w:color="auto" w:fill="B5C0D8"/>
          </w:tcPr>
          <w:p w:rsidR="00D849AA" w:rsidRPr="00807829" w:rsidRDefault="00EE6D95">
            <w:pPr>
              <w:pStyle w:val="CellHeader"/>
            </w:pPr>
            <w:r w:rsidRPr="00807829">
              <w:t>Polazna vrijednost</w:t>
            </w:r>
          </w:p>
        </w:tc>
        <w:tc>
          <w:tcPr>
            <w:tcW w:w="1486" w:type="dxa"/>
            <w:shd w:val="clear" w:color="auto" w:fill="B5C0D8"/>
          </w:tcPr>
          <w:p w:rsidR="00D849AA" w:rsidRPr="00807829" w:rsidRDefault="00EE6D95">
            <w:pPr>
              <w:pStyle w:val="CellHeader"/>
            </w:pPr>
            <w:r w:rsidRPr="00807829">
              <w:t>Ciljana vrijednost (2014.)</w:t>
            </w:r>
          </w:p>
        </w:tc>
        <w:tc>
          <w:tcPr>
            <w:tcW w:w="1486" w:type="dxa"/>
            <w:shd w:val="clear" w:color="auto" w:fill="B5C0D8"/>
          </w:tcPr>
          <w:p w:rsidR="00D849AA" w:rsidRPr="00807829" w:rsidRDefault="00EE6D95">
            <w:pPr>
              <w:pStyle w:val="CellHeader"/>
            </w:pPr>
            <w:r w:rsidRPr="00807829">
              <w:t>Ciljana vrijednost (2015.)</w:t>
            </w:r>
          </w:p>
        </w:tc>
        <w:tc>
          <w:tcPr>
            <w:tcW w:w="1486" w:type="dxa"/>
            <w:shd w:val="clear" w:color="auto" w:fill="B5C0D8"/>
          </w:tcPr>
          <w:p w:rsidR="00D849AA" w:rsidRPr="00807829" w:rsidRDefault="00EE6D95">
            <w:pPr>
              <w:pStyle w:val="CellHeader"/>
            </w:pPr>
            <w:r w:rsidRPr="00807829">
              <w:t>Ciljana vrijednost (2016.)</w:t>
            </w:r>
          </w:p>
        </w:tc>
      </w:tr>
      <w:tr w:rsidR="00D849AA">
        <w:trPr>
          <w:jc w:val="center"/>
        </w:trPr>
        <w:tc>
          <w:tcPr>
            <w:tcW w:w="2229" w:type="dxa"/>
          </w:tcPr>
          <w:p w:rsidR="00D849AA" w:rsidRPr="00807829" w:rsidRDefault="00EE6D95">
            <w:pPr>
              <w:pStyle w:val="CellColumn"/>
            </w:pPr>
            <w:r w:rsidRPr="00807829">
              <w:t>Povećanje postotka nadzora u kojima nisu utvrđene povrede propisa</w:t>
            </w:r>
          </w:p>
        </w:tc>
        <w:tc>
          <w:tcPr>
            <w:tcW w:w="1114" w:type="dxa"/>
          </w:tcPr>
          <w:p w:rsidR="00D849AA" w:rsidRPr="00807829" w:rsidRDefault="00EE6D95">
            <w:pPr>
              <w:rPr>
                <w:rFonts w:ascii="Arial" w:hAnsi="Arial" w:cs="Arial"/>
              </w:rPr>
            </w:pPr>
            <w:r w:rsidRPr="00807829">
              <w:rPr>
                <w:rFonts w:ascii="Arial" w:hAnsi="Arial" w:cs="Arial"/>
              </w:rPr>
              <w:t>%</w:t>
            </w:r>
          </w:p>
        </w:tc>
        <w:tc>
          <w:tcPr>
            <w:tcW w:w="1114" w:type="dxa"/>
          </w:tcPr>
          <w:p w:rsidR="00D849AA" w:rsidRPr="00807829" w:rsidRDefault="00EE6D95">
            <w:pPr>
              <w:rPr>
                <w:rFonts w:ascii="Arial" w:hAnsi="Arial" w:cs="Arial"/>
              </w:rPr>
            </w:pPr>
            <w:r w:rsidRPr="00807829">
              <w:rPr>
                <w:rFonts w:ascii="Arial" w:hAnsi="Arial" w:cs="Arial"/>
              </w:rPr>
              <w:t>20</w:t>
            </w:r>
          </w:p>
        </w:tc>
        <w:tc>
          <w:tcPr>
            <w:tcW w:w="1486" w:type="dxa"/>
          </w:tcPr>
          <w:p w:rsidR="00D849AA" w:rsidRPr="00807829" w:rsidRDefault="00EE6D95">
            <w:pPr>
              <w:rPr>
                <w:rFonts w:ascii="Arial" w:hAnsi="Arial" w:cs="Arial"/>
              </w:rPr>
            </w:pPr>
            <w:r w:rsidRPr="00807829">
              <w:rPr>
                <w:rFonts w:ascii="Arial" w:hAnsi="Arial" w:cs="Arial"/>
              </w:rPr>
              <w:t>40</w:t>
            </w:r>
          </w:p>
        </w:tc>
        <w:tc>
          <w:tcPr>
            <w:tcW w:w="1486" w:type="dxa"/>
          </w:tcPr>
          <w:p w:rsidR="00D849AA" w:rsidRPr="00807829" w:rsidRDefault="00EE6D95">
            <w:pPr>
              <w:rPr>
                <w:rFonts w:ascii="Arial" w:hAnsi="Arial" w:cs="Arial"/>
              </w:rPr>
            </w:pPr>
            <w:r w:rsidRPr="00807829">
              <w:rPr>
                <w:rFonts w:ascii="Arial" w:hAnsi="Arial" w:cs="Arial"/>
              </w:rPr>
              <w:t>50</w:t>
            </w:r>
          </w:p>
        </w:tc>
        <w:tc>
          <w:tcPr>
            <w:tcW w:w="1486" w:type="dxa"/>
          </w:tcPr>
          <w:p w:rsidR="00D849AA" w:rsidRPr="00807829" w:rsidRDefault="00EE6D95">
            <w:pPr>
              <w:rPr>
                <w:rFonts w:ascii="Arial" w:hAnsi="Arial" w:cs="Arial"/>
              </w:rPr>
            </w:pPr>
            <w:r w:rsidRPr="00807829">
              <w:rPr>
                <w:rFonts w:ascii="Arial" w:hAnsi="Arial" w:cs="Arial"/>
              </w:rPr>
              <w:t>60</w:t>
            </w:r>
          </w:p>
        </w:tc>
      </w:tr>
    </w:tbl>
    <w:p w:rsidR="00D849AA" w:rsidRDefault="00D849AA">
      <w:pPr>
        <w:jc w:val="left"/>
      </w:pPr>
    </w:p>
    <w:p w:rsidR="00D849AA" w:rsidRDefault="00EE6D95">
      <w:pPr>
        <w:pStyle w:val="Naslov7"/>
      </w:pPr>
      <w:r>
        <w:lastRenderedPageBreak/>
        <w:t xml:space="preserve">Cilj 3. Kapitalne pomoći gradovima i općinama za poticanje razvoja komunalnog gospodarstva </w:t>
      </w:r>
    </w:p>
    <w:p w:rsidR="00D849AA" w:rsidRDefault="00EE6D95">
      <w:pPr>
        <w:pStyle w:val="Normal6"/>
      </w:pPr>
      <w:r>
        <w:t xml:space="preserve">U cilju poticanja razvoja komunalnog gospodarstva na području jedinica lokalne samouprave Ministarstvo donosi za jednogodišnje razdoblje odluku o raspoređivanju i korištenju sredstava kapitalnih pomoći iz Državnog proračuna gradovima i općinama za poticanje razvoja komunalnog gospodarstva. Poticanje razvoja komunalnog gospodarstva podrazumijeva sve aktivnosti koje će potaknuti ili pridonijeti boljem obavljanju određenih komunalnih djelatnosti i pružanju odnosno isporuci komunalnih usluga (u kvalitativnom i kvantitativnom smislu), a koje će pridonijeti većoj kvaliteti življenja stanovnika na području pojedine jedinice lokalne samouprave, a naročito: </w:t>
      </w:r>
    </w:p>
    <w:p w:rsidR="00D849AA" w:rsidRDefault="00EE6D95">
      <w:pPr>
        <w:pStyle w:val="Normal6"/>
      </w:pPr>
      <w:r>
        <w:t xml:space="preserve">- Izrada projektne i druge tehničke dokumentacije za izvođenje objekata i uređaja komunalne infrastrukture i izvođenje većih zahvata na investicijskom održavanju komunalne infrastrukture; </w:t>
      </w:r>
    </w:p>
    <w:p w:rsidR="00D849AA" w:rsidRDefault="00EE6D95">
      <w:pPr>
        <w:pStyle w:val="Normal6"/>
      </w:pPr>
      <w:r>
        <w:t xml:space="preserve">- Izvođenje objekata i uređaja komunalne infrastrukture, izvođenje radova na investicijskom održavanju komunalne infrastrukture te uređenje javnih površina, nerazvrstanih cesta, javne rasvjete i drugih javnih prostora u naseljima; </w:t>
      </w:r>
    </w:p>
    <w:p w:rsidR="00D849AA" w:rsidRDefault="00EE6D95">
      <w:pPr>
        <w:pStyle w:val="Normal6"/>
      </w:pPr>
      <w:r>
        <w:t xml:space="preserve">- Nabavka opreme kojom će se znatno poboljšati kvaliteta isporuke komunalne usluge odnosno obavljanje određene komunalne djelatnosti te nabavka druge komunalne opreme za javne površine naselja. </w:t>
      </w:r>
    </w:p>
    <w:p w:rsidR="00D849AA" w:rsidRDefault="00EE6D95">
      <w:pPr>
        <w:pStyle w:val="Normal6"/>
      </w:pPr>
      <w:r>
        <w:t>Sredstva kapitalne pomoći općini ili gradu u cilju poticanja razvoja komunalnog gospodarstva koja se mogu odobriti pojedinoj jedinici lokalne samouprave temeljem odluke Ministarstva (nakon prikupljenih i razmotrenih svih podnesenih zahtjeva) iznose do najviše 150.000,00 kuna.</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283"/>
        <w:gridCol w:w="1486"/>
        <w:gridCol w:w="1486"/>
        <w:gridCol w:w="1486"/>
      </w:tblGrid>
      <w:tr w:rsidR="00D849AA">
        <w:trPr>
          <w:jc w:val="center"/>
        </w:trPr>
        <w:tc>
          <w:tcPr>
            <w:tcW w:w="2229" w:type="dxa"/>
            <w:shd w:val="clear" w:color="auto" w:fill="B5C0D8"/>
          </w:tcPr>
          <w:p w:rsidR="00D849AA" w:rsidRPr="00807829" w:rsidRDefault="00EE6D95">
            <w:pPr>
              <w:rPr>
                <w:rFonts w:ascii="Arial" w:hAnsi="Arial" w:cs="Arial"/>
              </w:rPr>
            </w:pPr>
            <w:r w:rsidRPr="00807829">
              <w:rPr>
                <w:rFonts w:ascii="Arial" w:hAnsi="Arial" w:cs="Arial"/>
              </w:rPr>
              <w:t>Pokazatelj učinka</w:t>
            </w:r>
          </w:p>
        </w:tc>
        <w:tc>
          <w:tcPr>
            <w:tcW w:w="1114" w:type="dxa"/>
            <w:shd w:val="clear" w:color="auto" w:fill="B5C0D8"/>
          </w:tcPr>
          <w:p w:rsidR="00D849AA" w:rsidRPr="00807829" w:rsidRDefault="00EE6D95">
            <w:pPr>
              <w:pStyle w:val="CellHeader"/>
            </w:pPr>
            <w:r w:rsidRPr="00807829">
              <w:t>Jedinica</w:t>
            </w:r>
          </w:p>
        </w:tc>
        <w:tc>
          <w:tcPr>
            <w:tcW w:w="1114" w:type="dxa"/>
            <w:shd w:val="clear" w:color="auto" w:fill="B5C0D8"/>
          </w:tcPr>
          <w:p w:rsidR="00D849AA" w:rsidRPr="00807829" w:rsidRDefault="00EE6D95">
            <w:pPr>
              <w:pStyle w:val="CellHeader"/>
            </w:pPr>
            <w:r w:rsidRPr="00807829">
              <w:t>Polazna vrijednost</w:t>
            </w:r>
          </w:p>
        </w:tc>
        <w:tc>
          <w:tcPr>
            <w:tcW w:w="1486" w:type="dxa"/>
            <w:shd w:val="clear" w:color="auto" w:fill="B5C0D8"/>
          </w:tcPr>
          <w:p w:rsidR="00D849AA" w:rsidRPr="00807829" w:rsidRDefault="00EE6D95">
            <w:pPr>
              <w:pStyle w:val="CellHeader"/>
            </w:pPr>
            <w:r w:rsidRPr="00807829">
              <w:t>Ciljana vrijednost (2014.)</w:t>
            </w:r>
          </w:p>
        </w:tc>
        <w:tc>
          <w:tcPr>
            <w:tcW w:w="1486" w:type="dxa"/>
            <w:shd w:val="clear" w:color="auto" w:fill="B5C0D8"/>
          </w:tcPr>
          <w:p w:rsidR="00D849AA" w:rsidRPr="00807829" w:rsidRDefault="00EE6D95">
            <w:pPr>
              <w:pStyle w:val="CellHeader"/>
            </w:pPr>
            <w:r w:rsidRPr="00807829">
              <w:t>Ciljana vrijednost (2015.)</w:t>
            </w:r>
          </w:p>
        </w:tc>
        <w:tc>
          <w:tcPr>
            <w:tcW w:w="1486" w:type="dxa"/>
            <w:shd w:val="clear" w:color="auto" w:fill="B5C0D8"/>
          </w:tcPr>
          <w:p w:rsidR="00D849AA" w:rsidRPr="00807829" w:rsidRDefault="00EE6D95">
            <w:pPr>
              <w:pStyle w:val="CellHeader"/>
            </w:pPr>
            <w:r w:rsidRPr="00807829">
              <w:t>Ciljana vrijednost (2016.)</w:t>
            </w:r>
          </w:p>
        </w:tc>
      </w:tr>
      <w:tr w:rsidR="00D849AA">
        <w:trPr>
          <w:jc w:val="center"/>
        </w:trPr>
        <w:tc>
          <w:tcPr>
            <w:tcW w:w="2229" w:type="dxa"/>
          </w:tcPr>
          <w:p w:rsidR="00D849AA" w:rsidRPr="00807829" w:rsidRDefault="00EE6D95">
            <w:pPr>
              <w:pStyle w:val="CellColumn"/>
            </w:pPr>
            <w:r w:rsidRPr="00807829">
              <w:t>Napredak u obavljanju  komunalnih djelatnosti i pružanju tj. isporuci komunalnih usluga u pogledu kvalitete i/ili kvantitete u JLS</w:t>
            </w:r>
          </w:p>
        </w:tc>
        <w:tc>
          <w:tcPr>
            <w:tcW w:w="1114" w:type="dxa"/>
          </w:tcPr>
          <w:p w:rsidR="00D849AA" w:rsidRPr="00807829" w:rsidRDefault="00EE6D95">
            <w:pPr>
              <w:rPr>
                <w:rFonts w:ascii="Arial" w:hAnsi="Arial" w:cs="Arial"/>
              </w:rPr>
            </w:pPr>
            <w:r w:rsidRPr="00807829">
              <w:rPr>
                <w:rFonts w:ascii="Arial" w:hAnsi="Arial" w:cs="Arial"/>
              </w:rPr>
              <w:t>Broj</w:t>
            </w:r>
          </w:p>
        </w:tc>
        <w:tc>
          <w:tcPr>
            <w:tcW w:w="1114" w:type="dxa"/>
          </w:tcPr>
          <w:p w:rsidR="00D849AA" w:rsidRPr="00807829" w:rsidRDefault="00EE6D95">
            <w:pPr>
              <w:rPr>
                <w:rFonts w:ascii="Arial" w:hAnsi="Arial" w:cs="Arial"/>
              </w:rPr>
            </w:pPr>
            <w:r w:rsidRPr="00807829">
              <w:rPr>
                <w:rFonts w:ascii="Arial" w:hAnsi="Arial" w:cs="Arial"/>
              </w:rPr>
              <w:t>Odluka Ministarstva o broju odobrenih zahtjeva (pristiglo 66 zahtjeva; koliko ih bude odobreno, toliko mora stići izvješća JLS)</w:t>
            </w:r>
          </w:p>
        </w:tc>
        <w:tc>
          <w:tcPr>
            <w:tcW w:w="1486" w:type="dxa"/>
          </w:tcPr>
          <w:p w:rsidR="00D849AA" w:rsidRPr="00807829" w:rsidRDefault="00EE6D95">
            <w:pPr>
              <w:rPr>
                <w:rFonts w:ascii="Arial" w:hAnsi="Arial" w:cs="Arial"/>
              </w:rPr>
            </w:pPr>
            <w:r w:rsidRPr="00807829">
              <w:rPr>
                <w:rFonts w:ascii="Arial" w:hAnsi="Arial" w:cs="Arial"/>
              </w:rPr>
              <w:t>Jednako ili više u odnosu na godinu ranije</w:t>
            </w:r>
          </w:p>
        </w:tc>
        <w:tc>
          <w:tcPr>
            <w:tcW w:w="1486" w:type="dxa"/>
          </w:tcPr>
          <w:p w:rsidR="00D849AA" w:rsidRPr="00807829" w:rsidRDefault="00EE6D95">
            <w:pPr>
              <w:rPr>
                <w:rFonts w:ascii="Arial" w:hAnsi="Arial" w:cs="Arial"/>
              </w:rPr>
            </w:pPr>
            <w:r w:rsidRPr="00807829">
              <w:rPr>
                <w:rFonts w:ascii="Arial" w:hAnsi="Arial" w:cs="Arial"/>
              </w:rPr>
              <w:t>Jednako ili više u odnosu na godinu ranije</w:t>
            </w:r>
          </w:p>
        </w:tc>
        <w:tc>
          <w:tcPr>
            <w:tcW w:w="1486" w:type="dxa"/>
          </w:tcPr>
          <w:p w:rsidR="00D849AA" w:rsidRPr="00807829" w:rsidRDefault="00EE6D95">
            <w:pPr>
              <w:rPr>
                <w:rFonts w:ascii="Arial" w:hAnsi="Arial" w:cs="Arial"/>
              </w:rPr>
            </w:pPr>
            <w:r w:rsidRPr="00807829">
              <w:rPr>
                <w:rFonts w:ascii="Arial" w:hAnsi="Arial" w:cs="Arial"/>
              </w:rPr>
              <w:t>Jednako ili više u odnosu na godinu ranije</w:t>
            </w:r>
          </w:p>
        </w:tc>
      </w:tr>
    </w:tbl>
    <w:p w:rsidR="00D849AA" w:rsidRDefault="00D849AA">
      <w:pPr>
        <w:jc w:val="left"/>
      </w:pPr>
    </w:p>
    <w:p w:rsidR="00D849AA" w:rsidRDefault="00EE6D95">
      <w:pPr>
        <w:pStyle w:val="Naslov7"/>
      </w:pPr>
      <w:r>
        <w:t xml:space="preserve">Cilj 4. Poboljšati energetska svojstva zgrada </w:t>
      </w:r>
    </w:p>
    <w:p w:rsidR="00D849AA" w:rsidRDefault="00EE6D95">
      <w:pPr>
        <w:pStyle w:val="Normal6"/>
      </w:pPr>
      <w:r>
        <w:t xml:space="preserve">Izradom i provedbom detaljnih i sveobuhvatnih programa složenih obnova stambenih i nestambenih zgrada stvaraju se preduvjeti za ostvarenje nacionalnog cilja energetske učinkovitosti uštede u iznosu od 10,4 PJ ili 50% nacionalnog cilja do 2016. godine. </w:t>
      </w:r>
    </w:p>
    <w:p w:rsidR="00D849AA" w:rsidRDefault="00EE6D95">
      <w:pPr>
        <w:pStyle w:val="Normal6"/>
      </w:pPr>
      <w:r>
        <w:t xml:space="preserve">Mehanizmi provedbe uključuju završetak usklađivanja zakonodavstva s EU zakonodavstvom, provedbu inspekcijskog nadzora, kontrolu obveze certificiranja novih </w:t>
      </w:r>
      <w:r>
        <w:lastRenderedPageBreak/>
        <w:t>zgrada prije početka uporabe,  certificiranje postojećih zgrada javnog sektora, certificiranje postojećih zgrada koje se prodaju, daju u najam, zakup ili na leasing te kontrolu ispravnosti energetskih certifikata.</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807829" w:rsidRDefault="00EE6D95">
            <w:pPr>
              <w:rPr>
                <w:rFonts w:ascii="Arial" w:hAnsi="Arial" w:cs="Arial"/>
              </w:rPr>
            </w:pPr>
            <w:r w:rsidRPr="00807829">
              <w:rPr>
                <w:rFonts w:ascii="Arial" w:hAnsi="Arial" w:cs="Arial"/>
              </w:rPr>
              <w:t>Pokazatelj učinka</w:t>
            </w:r>
          </w:p>
        </w:tc>
        <w:tc>
          <w:tcPr>
            <w:tcW w:w="1114" w:type="dxa"/>
            <w:shd w:val="clear" w:color="auto" w:fill="B5C0D8"/>
          </w:tcPr>
          <w:p w:rsidR="00D849AA" w:rsidRPr="00807829" w:rsidRDefault="00EE6D95">
            <w:pPr>
              <w:pStyle w:val="CellHeader"/>
            </w:pPr>
            <w:r w:rsidRPr="00807829">
              <w:t>Jedinica</w:t>
            </w:r>
          </w:p>
        </w:tc>
        <w:tc>
          <w:tcPr>
            <w:tcW w:w="1114" w:type="dxa"/>
            <w:shd w:val="clear" w:color="auto" w:fill="B5C0D8"/>
          </w:tcPr>
          <w:p w:rsidR="00D849AA" w:rsidRPr="00807829" w:rsidRDefault="00EE6D95">
            <w:pPr>
              <w:pStyle w:val="CellHeader"/>
            </w:pPr>
            <w:r w:rsidRPr="00807829">
              <w:t>Polazna vrijednost</w:t>
            </w:r>
          </w:p>
        </w:tc>
        <w:tc>
          <w:tcPr>
            <w:tcW w:w="1486" w:type="dxa"/>
            <w:shd w:val="clear" w:color="auto" w:fill="B5C0D8"/>
          </w:tcPr>
          <w:p w:rsidR="00D849AA" w:rsidRPr="00807829" w:rsidRDefault="00EE6D95">
            <w:pPr>
              <w:pStyle w:val="CellHeader"/>
            </w:pPr>
            <w:r w:rsidRPr="00807829">
              <w:t>Ciljana vrijednost (2014.)</w:t>
            </w:r>
          </w:p>
        </w:tc>
        <w:tc>
          <w:tcPr>
            <w:tcW w:w="1486" w:type="dxa"/>
            <w:shd w:val="clear" w:color="auto" w:fill="B5C0D8"/>
          </w:tcPr>
          <w:p w:rsidR="00D849AA" w:rsidRPr="00807829" w:rsidRDefault="00EE6D95">
            <w:pPr>
              <w:pStyle w:val="CellHeader"/>
            </w:pPr>
            <w:r w:rsidRPr="00807829">
              <w:t>Ciljana vrijednost (2015.)</w:t>
            </w:r>
          </w:p>
        </w:tc>
        <w:tc>
          <w:tcPr>
            <w:tcW w:w="1486" w:type="dxa"/>
            <w:shd w:val="clear" w:color="auto" w:fill="B5C0D8"/>
          </w:tcPr>
          <w:p w:rsidR="00D849AA" w:rsidRPr="00807829" w:rsidRDefault="00EE6D95">
            <w:pPr>
              <w:pStyle w:val="CellHeader"/>
            </w:pPr>
            <w:r w:rsidRPr="00807829">
              <w:t>Ciljana vrijednost (2016.)</w:t>
            </w:r>
          </w:p>
        </w:tc>
      </w:tr>
      <w:tr w:rsidR="00D849AA">
        <w:trPr>
          <w:jc w:val="center"/>
        </w:trPr>
        <w:tc>
          <w:tcPr>
            <w:tcW w:w="2229" w:type="dxa"/>
          </w:tcPr>
          <w:p w:rsidR="00D849AA" w:rsidRPr="00807829" w:rsidRDefault="00EE6D95">
            <w:pPr>
              <w:pStyle w:val="CellColumn"/>
            </w:pPr>
            <w:r w:rsidRPr="00807829">
              <w:t>Povećanje postotka zgrada koje ispunjavaju propisane uvjete energetske učinkovitosti za zgrade</w:t>
            </w:r>
          </w:p>
        </w:tc>
        <w:tc>
          <w:tcPr>
            <w:tcW w:w="1114" w:type="dxa"/>
          </w:tcPr>
          <w:p w:rsidR="00D849AA" w:rsidRPr="00807829" w:rsidRDefault="00EE6D95">
            <w:pPr>
              <w:rPr>
                <w:rFonts w:ascii="Arial" w:hAnsi="Arial" w:cs="Arial"/>
              </w:rPr>
            </w:pPr>
            <w:r w:rsidRPr="00807829">
              <w:rPr>
                <w:rFonts w:ascii="Arial" w:hAnsi="Arial" w:cs="Arial"/>
              </w:rPr>
              <w:t>%</w:t>
            </w:r>
          </w:p>
        </w:tc>
        <w:tc>
          <w:tcPr>
            <w:tcW w:w="1114" w:type="dxa"/>
          </w:tcPr>
          <w:p w:rsidR="00D849AA" w:rsidRPr="00807829" w:rsidRDefault="00EE6D95">
            <w:pPr>
              <w:rPr>
                <w:rFonts w:ascii="Arial" w:hAnsi="Arial" w:cs="Arial"/>
              </w:rPr>
            </w:pPr>
            <w:r w:rsidRPr="00807829">
              <w:rPr>
                <w:rFonts w:ascii="Arial" w:hAnsi="Arial" w:cs="Arial"/>
              </w:rPr>
              <w:t>30</w:t>
            </w:r>
          </w:p>
        </w:tc>
        <w:tc>
          <w:tcPr>
            <w:tcW w:w="1486" w:type="dxa"/>
          </w:tcPr>
          <w:p w:rsidR="00D849AA" w:rsidRPr="00807829" w:rsidRDefault="00EE6D95">
            <w:pPr>
              <w:rPr>
                <w:rFonts w:ascii="Arial" w:hAnsi="Arial" w:cs="Arial"/>
              </w:rPr>
            </w:pPr>
            <w:r w:rsidRPr="00807829">
              <w:rPr>
                <w:rFonts w:ascii="Arial" w:hAnsi="Arial" w:cs="Arial"/>
              </w:rPr>
              <w:t>50</w:t>
            </w:r>
          </w:p>
        </w:tc>
        <w:tc>
          <w:tcPr>
            <w:tcW w:w="1486" w:type="dxa"/>
          </w:tcPr>
          <w:p w:rsidR="00D849AA" w:rsidRPr="00807829" w:rsidRDefault="00EE6D95">
            <w:pPr>
              <w:rPr>
                <w:rFonts w:ascii="Arial" w:hAnsi="Arial" w:cs="Arial"/>
              </w:rPr>
            </w:pPr>
            <w:r w:rsidRPr="00807829">
              <w:rPr>
                <w:rFonts w:ascii="Arial" w:hAnsi="Arial" w:cs="Arial"/>
              </w:rPr>
              <w:t>60</w:t>
            </w:r>
          </w:p>
        </w:tc>
        <w:tc>
          <w:tcPr>
            <w:tcW w:w="1486" w:type="dxa"/>
          </w:tcPr>
          <w:p w:rsidR="00D849AA" w:rsidRPr="00807829" w:rsidRDefault="00EE6D95">
            <w:pPr>
              <w:rPr>
                <w:rFonts w:ascii="Arial" w:hAnsi="Arial" w:cs="Arial"/>
              </w:rPr>
            </w:pPr>
            <w:r w:rsidRPr="00807829">
              <w:rPr>
                <w:rFonts w:ascii="Arial" w:hAnsi="Arial" w:cs="Arial"/>
              </w:rPr>
              <w:t>70</w:t>
            </w:r>
          </w:p>
        </w:tc>
      </w:tr>
    </w:tbl>
    <w:p w:rsidR="00D849AA" w:rsidRDefault="00D849AA">
      <w:pPr>
        <w:jc w:val="left"/>
      </w:pPr>
    </w:p>
    <w:p w:rsidR="00D849AA" w:rsidRDefault="00EE6D95">
      <w:pPr>
        <w:pStyle w:val="Naslov7"/>
      </w:pPr>
      <w:r>
        <w:t>Cilj 5. Razviti tržište energetskih usluga</w:t>
      </w:r>
    </w:p>
    <w:p w:rsidR="00D849AA" w:rsidRDefault="00EE6D95">
      <w:pPr>
        <w:pStyle w:val="Normal6"/>
      </w:pPr>
      <w:r>
        <w:t>Zakon o učinkovitom korištenju energije u neposrednoj potrošnji definirao je djelatnost energetskih usluga temeljenih na ugovoru o ostvarenom učinku, pri čemu se investicija u mjere poboljšanja energetske učinkovitosti isplaćuje iz ostvarenih ušteda (ESCO). U tijeku je donošenje izmjena i dopuna ovoga Zakona kojim će se jasnije urediti da se ovakvi projekti ne smatraju zaduživanjem, što će doprinijeti njihovoj učinkovitijoj provedbi i time osigurati da se bez trošenja proračunskih sredstava poboljša energetska učinkovitost u javnom sektoru, uključujući energetsku obnovu zgrada i poboljšanja energetske učinkovitosti javne rasvjete, te istodobno omogućiti pokretanje građevinske industrija i tržište energetskih usluga.</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807829" w:rsidRDefault="00EE6D95">
            <w:pPr>
              <w:rPr>
                <w:rFonts w:ascii="Arial" w:hAnsi="Arial" w:cs="Arial"/>
              </w:rPr>
            </w:pPr>
            <w:r w:rsidRPr="00807829">
              <w:rPr>
                <w:rFonts w:ascii="Arial" w:hAnsi="Arial" w:cs="Arial"/>
              </w:rPr>
              <w:t>Pokazatelj učinka</w:t>
            </w:r>
          </w:p>
        </w:tc>
        <w:tc>
          <w:tcPr>
            <w:tcW w:w="1114" w:type="dxa"/>
            <w:shd w:val="clear" w:color="auto" w:fill="B5C0D8"/>
          </w:tcPr>
          <w:p w:rsidR="00D849AA" w:rsidRPr="00807829" w:rsidRDefault="00EE6D95">
            <w:pPr>
              <w:pStyle w:val="CellHeader"/>
            </w:pPr>
            <w:r w:rsidRPr="00807829">
              <w:t>Jedinica</w:t>
            </w:r>
          </w:p>
        </w:tc>
        <w:tc>
          <w:tcPr>
            <w:tcW w:w="1114" w:type="dxa"/>
            <w:shd w:val="clear" w:color="auto" w:fill="B5C0D8"/>
          </w:tcPr>
          <w:p w:rsidR="00D849AA" w:rsidRPr="00807829" w:rsidRDefault="00EE6D95">
            <w:pPr>
              <w:pStyle w:val="CellHeader"/>
            </w:pPr>
            <w:r w:rsidRPr="00807829">
              <w:t>Polazna vrijednost</w:t>
            </w:r>
          </w:p>
        </w:tc>
        <w:tc>
          <w:tcPr>
            <w:tcW w:w="1486" w:type="dxa"/>
            <w:shd w:val="clear" w:color="auto" w:fill="B5C0D8"/>
          </w:tcPr>
          <w:p w:rsidR="00D849AA" w:rsidRPr="00807829" w:rsidRDefault="00EE6D95">
            <w:pPr>
              <w:pStyle w:val="CellHeader"/>
            </w:pPr>
            <w:r w:rsidRPr="00807829">
              <w:t>Ciljana vrijednost (2014.)</w:t>
            </w:r>
          </w:p>
        </w:tc>
        <w:tc>
          <w:tcPr>
            <w:tcW w:w="1486" w:type="dxa"/>
            <w:shd w:val="clear" w:color="auto" w:fill="B5C0D8"/>
          </w:tcPr>
          <w:p w:rsidR="00D849AA" w:rsidRPr="00807829" w:rsidRDefault="00EE6D95">
            <w:pPr>
              <w:pStyle w:val="CellHeader"/>
            </w:pPr>
            <w:r w:rsidRPr="00807829">
              <w:t>Ciljana vrijednost (2015.)</w:t>
            </w:r>
          </w:p>
        </w:tc>
        <w:tc>
          <w:tcPr>
            <w:tcW w:w="1486" w:type="dxa"/>
            <w:shd w:val="clear" w:color="auto" w:fill="B5C0D8"/>
          </w:tcPr>
          <w:p w:rsidR="00D849AA" w:rsidRPr="00807829" w:rsidRDefault="00EE6D95">
            <w:pPr>
              <w:pStyle w:val="CellHeader"/>
            </w:pPr>
            <w:r w:rsidRPr="00807829">
              <w:t>Ciljana vrijednost (2016.)</w:t>
            </w:r>
          </w:p>
        </w:tc>
      </w:tr>
      <w:tr w:rsidR="00D849AA">
        <w:trPr>
          <w:jc w:val="center"/>
        </w:trPr>
        <w:tc>
          <w:tcPr>
            <w:tcW w:w="2229" w:type="dxa"/>
          </w:tcPr>
          <w:p w:rsidR="00D849AA" w:rsidRPr="00807829" w:rsidRDefault="00EE6D95">
            <w:pPr>
              <w:pStyle w:val="CellColumn"/>
            </w:pPr>
            <w:r w:rsidRPr="00807829">
              <w:t>Povećanje broja projekata energetske učinkovitosti za javni sektor</w:t>
            </w:r>
          </w:p>
        </w:tc>
        <w:tc>
          <w:tcPr>
            <w:tcW w:w="1114" w:type="dxa"/>
          </w:tcPr>
          <w:p w:rsidR="00D849AA" w:rsidRPr="00807829" w:rsidRDefault="00EE6D95">
            <w:pPr>
              <w:rPr>
                <w:rFonts w:ascii="Arial" w:hAnsi="Arial" w:cs="Arial"/>
              </w:rPr>
            </w:pPr>
            <w:r w:rsidRPr="00807829">
              <w:rPr>
                <w:rFonts w:ascii="Arial" w:hAnsi="Arial" w:cs="Arial"/>
              </w:rPr>
              <w:t>%</w:t>
            </w:r>
          </w:p>
        </w:tc>
        <w:tc>
          <w:tcPr>
            <w:tcW w:w="1114" w:type="dxa"/>
          </w:tcPr>
          <w:p w:rsidR="00D849AA" w:rsidRPr="00807829" w:rsidRDefault="00EE6D95">
            <w:pPr>
              <w:rPr>
                <w:rFonts w:ascii="Arial" w:hAnsi="Arial" w:cs="Arial"/>
              </w:rPr>
            </w:pPr>
            <w:r w:rsidRPr="00807829">
              <w:rPr>
                <w:rFonts w:ascii="Arial" w:hAnsi="Arial" w:cs="Arial"/>
              </w:rPr>
              <w:t>0</w:t>
            </w:r>
          </w:p>
        </w:tc>
        <w:tc>
          <w:tcPr>
            <w:tcW w:w="1486" w:type="dxa"/>
          </w:tcPr>
          <w:p w:rsidR="00D849AA" w:rsidRPr="00807829" w:rsidRDefault="00EE6D95">
            <w:pPr>
              <w:rPr>
                <w:rFonts w:ascii="Arial" w:hAnsi="Arial" w:cs="Arial"/>
              </w:rPr>
            </w:pPr>
            <w:r w:rsidRPr="00807829">
              <w:rPr>
                <w:rFonts w:ascii="Arial" w:hAnsi="Arial" w:cs="Arial"/>
              </w:rPr>
              <w:t>50</w:t>
            </w:r>
          </w:p>
        </w:tc>
        <w:tc>
          <w:tcPr>
            <w:tcW w:w="1486" w:type="dxa"/>
          </w:tcPr>
          <w:p w:rsidR="00D849AA" w:rsidRPr="00807829" w:rsidRDefault="00EE6D95">
            <w:pPr>
              <w:rPr>
                <w:rFonts w:ascii="Arial" w:hAnsi="Arial" w:cs="Arial"/>
              </w:rPr>
            </w:pPr>
            <w:r w:rsidRPr="00807829">
              <w:rPr>
                <w:rFonts w:ascii="Arial" w:hAnsi="Arial" w:cs="Arial"/>
              </w:rPr>
              <w:t>60</w:t>
            </w:r>
          </w:p>
        </w:tc>
        <w:tc>
          <w:tcPr>
            <w:tcW w:w="1486" w:type="dxa"/>
          </w:tcPr>
          <w:p w:rsidR="00D849AA" w:rsidRPr="00807829" w:rsidRDefault="00EE6D95">
            <w:pPr>
              <w:rPr>
                <w:rFonts w:ascii="Arial" w:hAnsi="Arial" w:cs="Arial"/>
              </w:rPr>
            </w:pPr>
            <w:r w:rsidRPr="00807829">
              <w:rPr>
                <w:rFonts w:ascii="Arial" w:hAnsi="Arial" w:cs="Arial"/>
              </w:rPr>
              <w:t>70</w:t>
            </w:r>
          </w:p>
        </w:tc>
      </w:tr>
    </w:tbl>
    <w:p w:rsidR="00D849AA" w:rsidRDefault="00D849AA">
      <w:pPr>
        <w:jc w:val="left"/>
      </w:pPr>
    </w:p>
    <w:p w:rsidR="00D849AA" w:rsidRDefault="00EE6D95">
      <w:pPr>
        <w:pStyle w:val="Naslov7"/>
      </w:pPr>
      <w:r>
        <w:t>Cilj 6. Učinkovito gospodariti energijom u graditeljstvu na nacionalnoj, regionalnoj i lokalnoj razini</w:t>
      </w:r>
    </w:p>
    <w:p w:rsidR="00D849AA" w:rsidRDefault="00EE6D95">
      <w:pPr>
        <w:pStyle w:val="Normal6"/>
      </w:pPr>
      <w:r>
        <w:t xml:space="preserve">Za provođenje predloženih složenih mjera energetske učinkovitosti nužno je osigurati odgovarajuću institucionalnu potporu, koja je trenutno nedostatna. Za razvoj i provedbu politike energetske učinkovitosti u Hrvatskoj odgovorna su dva ministarstva, Ministarstvo gospodarstva te Ministarstvo graditeljstva i prostornog uređenja. Postojeća organizacijska struktura pokazala se nedostatnom i izrazito nedjelotvornom. Pod-kapacitiranost tijela nadležnih za sveukupnu provedbu i nadzor politike energetske učinkovitosti uzrokuje velike poteškoće i kašnjenja u izvršavanju svih obveza. </w:t>
      </w:r>
    </w:p>
    <w:p w:rsidR="00D849AA" w:rsidRDefault="00EE6D95">
      <w:pPr>
        <w:pStyle w:val="Normal6"/>
      </w:pPr>
      <w:r>
        <w:t xml:space="preserve">Osim nedostatnih administrativnih kapaciteta u državnim tijelima, izražen je i nedostatak koordinacije, što usporava i otežava provedbu aktivnosti kako na donošenju potrebnih zakona i propisa, tako i u provedbi mjera poboljšanja energetske učinkovitosti </w:t>
      </w:r>
    </w:p>
    <w:p w:rsidR="00D849AA" w:rsidRDefault="00EE6D95">
      <w:pPr>
        <w:pStyle w:val="Normal6"/>
      </w:pPr>
      <w:r>
        <w:lastRenderedPageBreak/>
        <w:t xml:space="preserve">Na lokalnoj i regionalnoj razini, u proteklom se razdoblju napravilo iznimno puno na jačanju kapaciteta za provedbu mjera energetske učinkovitosti. Zasluga je to projekta „Sustavno gospodarenje energijom (SGE) u gradovima i županijama“ kojega provodi projektni tim UNDP, a koji ukupno broji oko 40 zaposlenika te ima snažnu mrežu suradnika. Uspjeh provedbe SGE projekta temelji se na snažnim provedbenim kapacitetima, koji neprestano surađuju i potiču JLP(R)S na uspostavu vlastitih timova za energetsko planiranje i provedbu mjera energetske učinkovitosti. </w:t>
      </w:r>
    </w:p>
    <w:p w:rsidR="00D849AA" w:rsidRDefault="00EE6D95">
      <w:pPr>
        <w:pStyle w:val="Normal6"/>
      </w:pPr>
      <w:r>
        <w:t>Na regionalnoj razini u proteklom je razdoblju osnovan niz regionalnih energetskih agencija, koje na svom području pružaju potporu kako u izradi programa i planova energetske učinkovitosti tako i u samoj provedbi mjera energetske učinkovitosti.</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807829" w:rsidRDefault="00EE6D95">
            <w:pPr>
              <w:rPr>
                <w:rFonts w:ascii="Arial" w:hAnsi="Arial" w:cs="Arial"/>
              </w:rPr>
            </w:pPr>
            <w:r w:rsidRPr="00807829">
              <w:rPr>
                <w:rFonts w:ascii="Arial" w:hAnsi="Arial" w:cs="Arial"/>
              </w:rPr>
              <w:t>Pokazatelj učinka</w:t>
            </w:r>
          </w:p>
        </w:tc>
        <w:tc>
          <w:tcPr>
            <w:tcW w:w="1114" w:type="dxa"/>
            <w:shd w:val="clear" w:color="auto" w:fill="B5C0D8"/>
          </w:tcPr>
          <w:p w:rsidR="00D849AA" w:rsidRPr="00807829" w:rsidRDefault="00EE6D95">
            <w:pPr>
              <w:pStyle w:val="CellHeader"/>
            </w:pPr>
            <w:r w:rsidRPr="00807829">
              <w:t>Jedinica</w:t>
            </w:r>
          </w:p>
        </w:tc>
        <w:tc>
          <w:tcPr>
            <w:tcW w:w="1114" w:type="dxa"/>
            <w:shd w:val="clear" w:color="auto" w:fill="B5C0D8"/>
          </w:tcPr>
          <w:p w:rsidR="00D849AA" w:rsidRPr="00807829" w:rsidRDefault="00EE6D95">
            <w:pPr>
              <w:pStyle w:val="CellHeader"/>
            </w:pPr>
            <w:r w:rsidRPr="00807829">
              <w:t>Polazna vrijednost</w:t>
            </w:r>
          </w:p>
        </w:tc>
        <w:tc>
          <w:tcPr>
            <w:tcW w:w="1486" w:type="dxa"/>
            <w:shd w:val="clear" w:color="auto" w:fill="B5C0D8"/>
          </w:tcPr>
          <w:p w:rsidR="00D849AA" w:rsidRPr="00807829" w:rsidRDefault="00EE6D95">
            <w:pPr>
              <w:pStyle w:val="CellHeader"/>
            </w:pPr>
            <w:r w:rsidRPr="00807829">
              <w:t>Ciljana vrijednost (2014.)</w:t>
            </w:r>
          </w:p>
        </w:tc>
        <w:tc>
          <w:tcPr>
            <w:tcW w:w="1486" w:type="dxa"/>
            <w:shd w:val="clear" w:color="auto" w:fill="B5C0D8"/>
          </w:tcPr>
          <w:p w:rsidR="00D849AA" w:rsidRPr="00807829" w:rsidRDefault="00EE6D95">
            <w:pPr>
              <w:pStyle w:val="CellHeader"/>
            </w:pPr>
            <w:r w:rsidRPr="00807829">
              <w:t>Ciljana vrijednost (2015.)</w:t>
            </w:r>
          </w:p>
        </w:tc>
        <w:tc>
          <w:tcPr>
            <w:tcW w:w="1486" w:type="dxa"/>
            <w:shd w:val="clear" w:color="auto" w:fill="B5C0D8"/>
          </w:tcPr>
          <w:p w:rsidR="00D849AA" w:rsidRPr="00807829" w:rsidRDefault="00EE6D95">
            <w:pPr>
              <w:pStyle w:val="CellHeader"/>
            </w:pPr>
            <w:r w:rsidRPr="00807829">
              <w:t>Ciljana vrijednost (2016.)</w:t>
            </w:r>
          </w:p>
        </w:tc>
      </w:tr>
      <w:tr w:rsidR="00D849AA">
        <w:trPr>
          <w:jc w:val="center"/>
        </w:trPr>
        <w:tc>
          <w:tcPr>
            <w:tcW w:w="2229" w:type="dxa"/>
          </w:tcPr>
          <w:p w:rsidR="00D849AA" w:rsidRPr="00807829" w:rsidRDefault="00EE6D95">
            <w:pPr>
              <w:pStyle w:val="CellColumn"/>
            </w:pPr>
            <w:r w:rsidRPr="00807829">
              <w:t>Povećanje broja institucija koje pružaju razvojnu potporu za provedbu politike energetske učinkovitosti u graditeljstvu</w:t>
            </w:r>
          </w:p>
        </w:tc>
        <w:tc>
          <w:tcPr>
            <w:tcW w:w="1114" w:type="dxa"/>
          </w:tcPr>
          <w:p w:rsidR="00D849AA" w:rsidRPr="00807829" w:rsidRDefault="00EE6D95">
            <w:pPr>
              <w:rPr>
                <w:rFonts w:ascii="Arial" w:hAnsi="Arial" w:cs="Arial"/>
              </w:rPr>
            </w:pPr>
            <w:r w:rsidRPr="00807829">
              <w:rPr>
                <w:rFonts w:ascii="Arial" w:hAnsi="Arial" w:cs="Arial"/>
              </w:rPr>
              <w:t>%</w:t>
            </w:r>
          </w:p>
        </w:tc>
        <w:tc>
          <w:tcPr>
            <w:tcW w:w="1114" w:type="dxa"/>
          </w:tcPr>
          <w:p w:rsidR="00D849AA" w:rsidRPr="00807829" w:rsidRDefault="00EE6D95">
            <w:pPr>
              <w:rPr>
                <w:rFonts w:ascii="Arial" w:hAnsi="Arial" w:cs="Arial"/>
              </w:rPr>
            </w:pPr>
            <w:r w:rsidRPr="00807829">
              <w:rPr>
                <w:rFonts w:ascii="Arial" w:hAnsi="Arial" w:cs="Arial"/>
              </w:rPr>
              <w:t>30</w:t>
            </w:r>
          </w:p>
        </w:tc>
        <w:tc>
          <w:tcPr>
            <w:tcW w:w="1486" w:type="dxa"/>
          </w:tcPr>
          <w:p w:rsidR="00D849AA" w:rsidRPr="00807829" w:rsidRDefault="00EE6D95">
            <w:pPr>
              <w:rPr>
                <w:rFonts w:ascii="Arial" w:hAnsi="Arial" w:cs="Arial"/>
              </w:rPr>
            </w:pPr>
            <w:r w:rsidRPr="00807829">
              <w:rPr>
                <w:rFonts w:ascii="Arial" w:hAnsi="Arial" w:cs="Arial"/>
              </w:rPr>
              <w:t>100</w:t>
            </w:r>
          </w:p>
        </w:tc>
        <w:tc>
          <w:tcPr>
            <w:tcW w:w="1486" w:type="dxa"/>
          </w:tcPr>
          <w:p w:rsidR="00D849AA" w:rsidRPr="00807829" w:rsidRDefault="00EE6D95">
            <w:pPr>
              <w:rPr>
                <w:rFonts w:ascii="Arial" w:hAnsi="Arial" w:cs="Arial"/>
              </w:rPr>
            </w:pPr>
            <w:r w:rsidRPr="00807829">
              <w:rPr>
                <w:rFonts w:ascii="Arial" w:hAnsi="Arial" w:cs="Arial"/>
              </w:rPr>
              <w:t>100</w:t>
            </w:r>
          </w:p>
        </w:tc>
        <w:tc>
          <w:tcPr>
            <w:tcW w:w="1486" w:type="dxa"/>
          </w:tcPr>
          <w:p w:rsidR="00D849AA" w:rsidRPr="00807829" w:rsidRDefault="00EE6D95">
            <w:pPr>
              <w:rPr>
                <w:rFonts w:ascii="Arial" w:hAnsi="Arial" w:cs="Arial"/>
              </w:rPr>
            </w:pPr>
            <w:r w:rsidRPr="00807829">
              <w:rPr>
                <w:rFonts w:ascii="Arial" w:hAnsi="Arial" w:cs="Arial"/>
              </w:rPr>
              <w:t>100</w:t>
            </w:r>
          </w:p>
        </w:tc>
      </w:tr>
    </w:tbl>
    <w:p w:rsidR="00D849AA" w:rsidRDefault="00D849AA">
      <w:pPr>
        <w:jc w:val="left"/>
      </w:pPr>
    </w:p>
    <w:p w:rsidR="00D849AA" w:rsidRDefault="00EE6D95">
      <w:pPr>
        <w:pStyle w:val="Naslov5"/>
      </w:pPr>
      <w:r>
        <w:t>Procjena i ishodište potrebnih sredstava za značajnije aktivnosti/projekte</w:t>
      </w:r>
    </w:p>
    <w:p w:rsidR="00D849AA" w:rsidRDefault="00EE6D95">
      <w:pPr>
        <w:pStyle w:val="Naslov6"/>
      </w:pPr>
      <w:r>
        <w:t>A538051 DAVANJE OVLAŠTENJA I NADZOR NAD RADOM OVLAŠTENIH OSOBA ZA PROVOĐENJE ENERGETSKIH PREGLEDA I ENERGETSKO CERTIFICIRANJE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807829" w:rsidRDefault="00EE6D95">
            <w:pPr>
              <w:pStyle w:val="CellHeader"/>
            </w:pPr>
            <w:r w:rsidRPr="00807829">
              <w:t>Naziv aktivnosti</w:t>
            </w:r>
          </w:p>
        </w:tc>
        <w:tc>
          <w:tcPr>
            <w:tcW w:w="1486" w:type="dxa"/>
            <w:shd w:val="clear" w:color="auto" w:fill="B5C0D8"/>
          </w:tcPr>
          <w:p w:rsidR="00D849AA" w:rsidRPr="00807829" w:rsidRDefault="00EE6D95">
            <w:pPr>
              <w:pStyle w:val="CellHeader"/>
            </w:pPr>
            <w:r w:rsidRPr="00807829">
              <w:t>Plan 2013.</w:t>
            </w:r>
          </w:p>
        </w:tc>
        <w:tc>
          <w:tcPr>
            <w:tcW w:w="1486" w:type="dxa"/>
            <w:shd w:val="clear" w:color="auto" w:fill="B5C0D8"/>
          </w:tcPr>
          <w:p w:rsidR="00D849AA" w:rsidRPr="00807829" w:rsidRDefault="00EE6D95">
            <w:pPr>
              <w:pStyle w:val="CellHeader"/>
            </w:pPr>
            <w:r w:rsidRPr="00807829">
              <w:t>Plan 2014.</w:t>
            </w:r>
          </w:p>
        </w:tc>
        <w:tc>
          <w:tcPr>
            <w:tcW w:w="1486" w:type="dxa"/>
            <w:shd w:val="clear" w:color="auto" w:fill="B5C0D8"/>
          </w:tcPr>
          <w:p w:rsidR="00D849AA" w:rsidRPr="00807829" w:rsidRDefault="00EE6D95">
            <w:pPr>
              <w:pStyle w:val="CellHeader"/>
            </w:pPr>
            <w:r w:rsidRPr="00807829">
              <w:t>Plan 2015.</w:t>
            </w:r>
          </w:p>
        </w:tc>
        <w:tc>
          <w:tcPr>
            <w:tcW w:w="1486" w:type="dxa"/>
            <w:shd w:val="clear" w:color="auto" w:fill="B5C0D8"/>
          </w:tcPr>
          <w:p w:rsidR="00D849AA" w:rsidRPr="00807829" w:rsidRDefault="00EE6D95">
            <w:pPr>
              <w:pStyle w:val="CellHeader"/>
            </w:pPr>
            <w:r w:rsidRPr="00807829">
              <w:t>Plan 2016.</w:t>
            </w:r>
          </w:p>
        </w:tc>
        <w:tc>
          <w:tcPr>
            <w:tcW w:w="1486" w:type="dxa"/>
            <w:shd w:val="clear" w:color="auto" w:fill="B5C0D8"/>
          </w:tcPr>
          <w:p w:rsidR="00D849AA" w:rsidRPr="00807829" w:rsidRDefault="00EE6D95">
            <w:pPr>
              <w:pStyle w:val="CellHeader"/>
            </w:pPr>
            <w:r w:rsidRPr="00807829">
              <w:t>Indeks 2014/2013</w:t>
            </w:r>
          </w:p>
        </w:tc>
      </w:tr>
      <w:tr w:rsidR="00D849AA">
        <w:trPr>
          <w:jc w:val="center"/>
        </w:trPr>
        <w:tc>
          <w:tcPr>
            <w:tcW w:w="1486" w:type="dxa"/>
          </w:tcPr>
          <w:p w:rsidR="00D849AA" w:rsidRPr="00807829" w:rsidRDefault="00EE6D95">
            <w:pPr>
              <w:pStyle w:val="CellColumn"/>
            </w:pPr>
            <w:r w:rsidRPr="00807829">
              <w:t>A538051</w:t>
            </w:r>
          </w:p>
        </w:tc>
        <w:tc>
          <w:tcPr>
            <w:tcW w:w="1486" w:type="dxa"/>
          </w:tcPr>
          <w:p w:rsidR="00D849AA" w:rsidRPr="00807829" w:rsidRDefault="00EE6D95">
            <w:pPr>
              <w:rPr>
                <w:rFonts w:ascii="Arial" w:hAnsi="Arial" w:cs="Arial"/>
              </w:rPr>
            </w:pPr>
            <w:r w:rsidRPr="00807829">
              <w:rPr>
                <w:rFonts w:ascii="Arial" w:hAnsi="Arial" w:cs="Arial"/>
              </w:rPr>
              <w:t>800.000</w:t>
            </w:r>
          </w:p>
        </w:tc>
        <w:tc>
          <w:tcPr>
            <w:tcW w:w="1486" w:type="dxa"/>
          </w:tcPr>
          <w:p w:rsidR="00D849AA" w:rsidRPr="00807829" w:rsidRDefault="00EE6D95">
            <w:pPr>
              <w:rPr>
                <w:rFonts w:ascii="Arial" w:hAnsi="Arial" w:cs="Arial"/>
              </w:rPr>
            </w:pPr>
            <w:r w:rsidRPr="00807829">
              <w:rPr>
                <w:rFonts w:ascii="Arial" w:hAnsi="Arial" w:cs="Arial"/>
              </w:rPr>
              <w:t>5.750.000</w:t>
            </w:r>
          </w:p>
        </w:tc>
        <w:tc>
          <w:tcPr>
            <w:tcW w:w="1486" w:type="dxa"/>
          </w:tcPr>
          <w:p w:rsidR="00D849AA" w:rsidRPr="00807829" w:rsidRDefault="00EE6D95">
            <w:pPr>
              <w:rPr>
                <w:rFonts w:ascii="Arial" w:hAnsi="Arial" w:cs="Arial"/>
              </w:rPr>
            </w:pPr>
            <w:r w:rsidRPr="00807829">
              <w:rPr>
                <w:rFonts w:ascii="Arial" w:hAnsi="Arial" w:cs="Arial"/>
              </w:rPr>
              <w:t>5.750.000</w:t>
            </w:r>
          </w:p>
        </w:tc>
        <w:tc>
          <w:tcPr>
            <w:tcW w:w="1486" w:type="dxa"/>
          </w:tcPr>
          <w:p w:rsidR="00D849AA" w:rsidRPr="00807829" w:rsidRDefault="00EE6D95">
            <w:pPr>
              <w:rPr>
                <w:rFonts w:ascii="Arial" w:hAnsi="Arial" w:cs="Arial"/>
              </w:rPr>
            </w:pPr>
            <w:r w:rsidRPr="00807829">
              <w:rPr>
                <w:rFonts w:ascii="Arial" w:hAnsi="Arial" w:cs="Arial"/>
              </w:rPr>
              <w:t>5.750.000</w:t>
            </w:r>
          </w:p>
        </w:tc>
        <w:tc>
          <w:tcPr>
            <w:tcW w:w="1486" w:type="dxa"/>
          </w:tcPr>
          <w:p w:rsidR="00D849AA" w:rsidRPr="00807829" w:rsidRDefault="00EE6D95">
            <w:pPr>
              <w:rPr>
                <w:rFonts w:ascii="Arial" w:hAnsi="Arial" w:cs="Arial"/>
              </w:rPr>
            </w:pPr>
            <w:r w:rsidRPr="00807829">
              <w:rPr>
                <w:rFonts w:ascii="Arial" w:hAnsi="Arial" w:cs="Arial"/>
              </w:rPr>
              <w:t>718,8</w:t>
            </w:r>
          </w:p>
        </w:tc>
      </w:tr>
    </w:tbl>
    <w:p w:rsidR="00D849AA" w:rsidRDefault="00D849AA">
      <w:pPr>
        <w:jc w:val="left"/>
      </w:pPr>
    </w:p>
    <w:p w:rsidR="00D849AA" w:rsidRDefault="00EE6D95">
      <w:pPr>
        <w:pStyle w:val="Normal6"/>
      </w:pPr>
      <w:r>
        <w:t>Energetska certifikacija zgrada, odnosno klasifikacija i ocjenjivanje zgrada prema potrošnji energije, zakonska obveza je za sve zgrade na tržištu nekretnina u Republici Hrvatskoj. Energetski certifikat je dokument koji predočuje energetska svojstva zgrade. Prije izdavanja uporabne dozvole, drugog akta za uporabu, odnosno prije promjene vlasništva ili iznajmljivanja zgrade ili njezinoga dijela, mora se pribaviti certifikat o energetskim svojstvima zgrade koji izdaje ovlaštena osoba, a kupac ili unajmljivač zgrade ili njezinog dijela ima pravo uvida u energetski certifikat prije sklapanja ugovora o kupoprodaji ili iznajmljivanju prema posebnom zakonu. Pravilnikom o energetskom certificiranju zgrada do sada je izdano 232 ovlaštenja za fizičke osobe i 285 ovlaštenja za pravne osobe za obavljanje energetskih pregleda i energetsko certificiranje zgrada te je potrebno nastaviti provedbu ove mjere.</w:t>
      </w:r>
    </w:p>
    <w:p w:rsidR="00D61DA2" w:rsidRDefault="00D61DA2">
      <w:pPr>
        <w:pStyle w:val="Normal6"/>
      </w:pPr>
    </w:p>
    <w:p w:rsidR="00D61DA2" w:rsidRDefault="00D61DA2">
      <w:pPr>
        <w:pStyle w:val="Normal6"/>
      </w:pPr>
    </w:p>
    <w:p w:rsidR="00D61DA2" w:rsidRDefault="00D61DA2">
      <w:pPr>
        <w:pStyle w:val="Normal6"/>
      </w:pPr>
    </w:p>
    <w:p w:rsidR="00D849AA" w:rsidRDefault="00EE6D95">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807829" w:rsidRDefault="00EE6D95">
            <w:pPr>
              <w:rPr>
                <w:rFonts w:ascii="Arial" w:hAnsi="Arial" w:cs="Arial"/>
              </w:rPr>
            </w:pPr>
            <w:r w:rsidRPr="00807829">
              <w:rPr>
                <w:rFonts w:ascii="Arial" w:hAnsi="Arial" w:cs="Arial"/>
              </w:rPr>
              <w:t>Pokazatelj rezultata</w:t>
            </w:r>
          </w:p>
        </w:tc>
        <w:tc>
          <w:tcPr>
            <w:tcW w:w="1114" w:type="dxa"/>
            <w:shd w:val="clear" w:color="auto" w:fill="B5C0D8"/>
          </w:tcPr>
          <w:p w:rsidR="00D849AA" w:rsidRPr="00807829" w:rsidRDefault="00EE6D95">
            <w:pPr>
              <w:pStyle w:val="CellHeader"/>
            </w:pPr>
            <w:r w:rsidRPr="00807829">
              <w:t>Jedinica</w:t>
            </w:r>
          </w:p>
        </w:tc>
        <w:tc>
          <w:tcPr>
            <w:tcW w:w="1114" w:type="dxa"/>
            <w:shd w:val="clear" w:color="auto" w:fill="B5C0D8"/>
          </w:tcPr>
          <w:p w:rsidR="00D849AA" w:rsidRPr="00807829" w:rsidRDefault="00EE6D95">
            <w:pPr>
              <w:pStyle w:val="CellHeader"/>
            </w:pPr>
            <w:r w:rsidRPr="00807829">
              <w:t>Polazna vrijednost</w:t>
            </w:r>
          </w:p>
        </w:tc>
        <w:tc>
          <w:tcPr>
            <w:tcW w:w="1486" w:type="dxa"/>
            <w:shd w:val="clear" w:color="auto" w:fill="B5C0D8"/>
          </w:tcPr>
          <w:p w:rsidR="00D849AA" w:rsidRPr="00807829" w:rsidRDefault="00EE6D95">
            <w:pPr>
              <w:pStyle w:val="CellHeader"/>
            </w:pPr>
            <w:r w:rsidRPr="00807829">
              <w:t>Ciljana vrijednost (2014.)</w:t>
            </w:r>
          </w:p>
        </w:tc>
        <w:tc>
          <w:tcPr>
            <w:tcW w:w="1486" w:type="dxa"/>
            <w:shd w:val="clear" w:color="auto" w:fill="B5C0D8"/>
          </w:tcPr>
          <w:p w:rsidR="00D849AA" w:rsidRPr="00807829" w:rsidRDefault="00EE6D95">
            <w:pPr>
              <w:pStyle w:val="CellHeader"/>
            </w:pPr>
            <w:r w:rsidRPr="00807829">
              <w:t>Ciljana vrijednost (2015.)</w:t>
            </w:r>
          </w:p>
        </w:tc>
        <w:tc>
          <w:tcPr>
            <w:tcW w:w="1486" w:type="dxa"/>
            <w:shd w:val="clear" w:color="auto" w:fill="B5C0D8"/>
          </w:tcPr>
          <w:p w:rsidR="00D849AA" w:rsidRPr="00807829" w:rsidRDefault="00EE6D95">
            <w:pPr>
              <w:pStyle w:val="CellHeader"/>
            </w:pPr>
            <w:r w:rsidRPr="00807829">
              <w:t>Ciljana vrijednost (2016.)</w:t>
            </w:r>
          </w:p>
        </w:tc>
      </w:tr>
      <w:tr w:rsidR="00D849AA">
        <w:trPr>
          <w:jc w:val="center"/>
        </w:trPr>
        <w:tc>
          <w:tcPr>
            <w:tcW w:w="2229" w:type="dxa"/>
          </w:tcPr>
          <w:p w:rsidR="00D849AA" w:rsidRPr="00807829" w:rsidRDefault="00EE6D95">
            <w:pPr>
              <w:pStyle w:val="CellColumn"/>
            </w:pPr>
            <w:r w:rsidRPr="00807829">
              <w:t>Povećanje postotka izdanih energetskih certifikata za zgrade</w:t>
            </w:r>
          </w:p>
        </w:tc>
        <w:tc>
          <w:tcPr>
            <w:tcW w:w="1114" w:type="dxa"/>
          </w:tcPr>
          <w:p w:rsidR="00D849AA" w:rsidRPr="00807829" w:rsidRDefault="00EE6D95">
            <w:pPr>
              <w:rPr>
                <w:rFonts w:ascii="Arial" w:hAnsi="Arial" w:cs="Arial"/>
              </w:rPr>
            </w:pPr>
            <w:r w:rsidRPr="00807829">
              <w:rPr>
                <w:rFonts w:ascii="Arial" w:hAnsi="Arial" w:cs="Arial"/>
              </w:rPr>
              <w:t>%</w:t>
            </w:r>
          </w:p>
        </w:tc>
        <w:tc>
          <w:tcPr>
            <w:tcW w:w="1114" w:type="dxa"/>
          </w:tcPr>
          <w:p w:rsidR="00D849AA" w:rsidRPr="00807829" w:rsidRDefault="00EE6D95">
            <w:pPr>
              <w:rPr>
                <w:rFonts w:ascii="Arial" w:hAnsi="Arial" w:cs="Arial"/>
              </w:rPr>
            </w:pPr>
            <w:r w:rsidRPr="00807829">
              <w:rPr>
                <w:rFonts w:ascii="Arial" w:hAnsi="Arial" w:cs="Arial"/>
              </w:rPr>
              <w:t>50</w:t>
            </w:r>
          </w:p>
        </w:tc>
        <w:tc>
          <w:tcPr>
            <w:tcW w:w="1486" w:type="dxa"/>
          </w:tcPr>
          <w:p w:rsidR="00D849AA" w:rsidRPr="00807829" w:rsidRDefault="00EE6D95">
            <w:pPr>
              <w:rPr>
                <w:rFonts w:ascii="Arial" w:hAnsi="Arial" w:cs="Arial"/>
              </w:rPr>
            </w:pPr>
            <w:r w:rsidRPr="00807829">
              <w:rPr>
                <w:rFonts w:ascii="Arial" w:hAnsi="Arial" w:cs="Arial"/>
              </w:rPr>
              <w:t>60</w:t>
            </w:r>
          </w:p>
        </w:tc>
        <w:tc>
          <w:tcPr>
            <w:tcW w:w="1486" w:type="dxa"/>
          </w:tcPr>
          <w:p w:rsidR="00D849AA" w:rsidRPr="00807829" w:rsidRDefault="00EE6D95">
            <w:pPr>
              <w:rPr>
                <w:rFonts w:ascii="Arial" w:hAnsi="Arial" w:cs="Arial"/>
              </w:rPr>
            </w:pPr>
            <w:r w:rsidRPr="00807829">
              <w:rPr>
                <w:rFonts w:ascii="Arial" w:hAnsi="Arial" w:cs="Arial"/>
              </w:rPr>
              <w:t>80</w:t>
            </w:r>
          </w:p>
        </w:tc>
        <w:tc>
          <w:tcPr>
            <w:tcW w:w="1486" w:type="dxa"/>
          </w:tcPr>
          <w:p w:rsidR="00D849AA" w:rsidRPr="00807829" w:rsidRDefault="00EE6D95">
            <w:pPr>
              <w:rPr>
                <w:rFonts w:ascii="Arial" w:hAnsi="Arial" w:cs="Arial"/>
              </w:rPr>
            </w:pPr>
            <w:r w:rsidRPr="00807829">
              <w:rPr>
                <w:rFonts w:ascii="Arial" w:hAnsi="Arial" w:cs="Arial"/>
              </w:rPr>
              <w:t>100</w:t>
            </w:r>
          </w:p>
        </w:tc>
      </w:tr>
      <w:tr w:rsidR="00D849AA">
        <w:trPr>
          <w:jc w:val="center"/>
        </w:trPr>
        <w:tc>
          <w:tcPr>
            <w:tcW w:w="2229" w:type="dxa"/>
          </w:tcPr>
          <w:p w:rsidR="00D849AA" w:rsidRPr="00807829" w:rsidRDefault="00EE6D95">
            <w:pPr>
              <w:pStyle w:val="CellColumn"/>
            </w:pPr>
            <w:r w:rsidRPr="00807829">
              <w:t>Povećanje broja izvršenih nadzora izdanih energetskih certifikata za zgrade</w:t>
            </w:r>
          </w:p>
        </w:tc>
        <w:tc>
          <w:tcPr>
            <w:tcW w:w="1114" w:type="dxa"/>
          </w:tcPr>
          <w:p w:rsidR="00D849AA" w:rsidRPr="00807829" w:rsidRDefault="00EE6D95">
            <w:pPr>
              <w:rPr>
                <w:rFonts w:ascii="Arial" w:hAnsi="Arial" w:cs="Arial"/>
              </w:rPr>
            </w:pPr>
            <w:r w:rsidRPr="00807829">
              <w:rPr>
                <w:rFonts w:ascii="Arial" w:hAnsi="Arial" w:cs="Arial"/>
              </w:rPr>
              <w:t>%</w:t>
            </w:r>
          </w:p>
        </w:tc>
        <w:tc>
          <w:tcPr>
            <w:tcW w:w="1114" w:type="dxa"/>
          </w:tcPr>
          <w:p w:rsidR="00D849AA" w:rsidRPr="00807829" w:rsidRDefault="00EE6D95">
            <w:pPr>
              <w:rPr>
                <w:rFonts w:ascii="Arial" w:hAnsi="Arial" w:cs="Arial"/>
              </w:rPr>
            </w:pPr>
            <w:r w:rsidRPr="00807829">
              <w:rPr>
                <w:rFonts w:ascii="Arial" w:hAnsi="Arial" w:cs="Arial"/>
              </w:rPr>
              <w:t>0</w:t>
            </w:r>
          </w:p>
        </w:tc>
        <w:tc>
          <w:tcPr>
            <w:tcW w:w="1486" w:type="dxa"/>
          </w:tcPr>
          <w:p w:rsidR="00D849AA" w:rsidRPr="00807829" w:rsidRDefault="00EE6D95">
            <w:pPr>
              <w:rPr>
                <w:rFonts w:ascii="Arial" w:hAnsi="Arial" w:cs="Arial"/>
              </w:rPr>
            </w:pPr>
            <w:r w:rsidRPr="00807829">
              <w:rPr>
                <w:rFonts w:ascii="Arial" w:hAnsi="Arial" w:cs="Arial"/>
              </w:rPr>
              <w:t>80</w:t>
            </w:r>
          </w:p>
        </w:tc>
        <w:tc>
          <w:tcPr>
            <w:tcW w:w="1486" w:type="dxa"/>
          </w:tcPr>
          <w:p w:rsidR="00D849AA" w:rsidRPr="00807829" w:rsidRDefault="00EE6D95">
            <w:pPr>
              <w:rPr>
                <w:rFonts w:ascii="Arial" w:hAnsi="Arial" w:cs="Arial"/>
              </w:rPr>
            </w:pPr>
            <w:r w:rsidRPr="00807829">
              <w:rPr>
                <w:rFonts w:ascii="Arial" w:hAnsi="Arial" w:cs="Arial"/>
              </w:rPr>
              <w:t>100</w:t>
            </w:r>
          </w:p>
        </w:tc>
        <w:tc>
          <w:tcPr>
            <w:tcW w:w="1486" w:type="dxa"/>
          </w:tcPr>
          <w:p w:rsidR="00D849AA" w:rsidRPr="00807829" w:rsidRDefault="00EE6D95">
            <w:pPr>
              <w:rPr>
                <w:rFonts w:ascii="Arial" w:hAnsi="Arial" w:cs="Arial"/>
              </w:rPr>
            </w:pPr>
            <w:r w:rsidRPr="00807829">
              <w:rPr>
                <w:rFonts w:ascii="Arial" w:hAnsi="Arial" w:cs="Arial"/>
              </w:rPr>
              <w:t>100</w:t>
            </w:r>
          </w:p>
        </w:tc>
      </w:tr>
    </w:tbl>
    <w:p w:rsidR="00D849AA" w:rsidRDefault="00D849AA">
      <w:pPr>
        <w:jc w:val="left"/>
      </w:pPr>
    </w:p>
    <w:p w:rsidR="00D849AA" w:rsidRDefault="00EE6D95">
      <w:pPr>
        <w:pStyle w:val="Naslov6"/>
      </w:pPr>
      <w:r>
        <w:t>A538053 ENERGETSKA UČINKOVITOST</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807829" w:rsidRDefault="00EE6D95">
            <w:pPr>
              <w:pStyle w:val="CellHeader"/>
            </w:pPr>
            <w:r w:rsidRPr="00807829">
              <w:t>Naziv aktivnosti</w:t>
            </w:r>
          </w:p>
        </w:tc>
        <w:tc>
          <w:tcPr>
            <w:tcW w:w="1486" w:type="dxa"/>
            <w:shd w:val="clear" w:color="auto" w:fill="B5C0D8"/>
          </w:tcPr>
          <w:p w:rsidR="00D849AA" w:rsidRPr="00807829" w:rsidRDefault="00EE6D95">
            <w:pPr>
              <w:pStyle w:val="CellHeader"/>
            </w:pPr>
            <w:r w:rsidRPr="00807829">
              <w:t>Plan 2013.</w:t>
            </w:r>
          </w:p>
        </w:tc>
        <w:tc>
          <w:tcPr>
            <w:tcW w:w="1486" w:type="dxa"/>
            <w:shd w:val="clear" w:color="auto" w:fill="B5C0D8"/>
          </w:tcPr>
          <w:p w:rsidR="00D849AA" w:rsidRPr="00807829" w:rsidRDefault="00EE6D95">
            <w:pPr>
              <w:pStyle w:val="CellHeader"/>
            </w:pPr>
            <w:r w:rsidRPr="00807829">
              <w:t>Plan 2014.</w:t>
            </w:r>
          </w:p>
        </w:tc>
        <w:tc>
          <w:tcPr>
            <w:tcW w:w="1486" w:type="dxa"/>
            <w:shd w:val="clear" w:color="auto" w:fill="B5C0D8"/>
          </w:tcPr>
          <w:p w:rsidR="00D849AA" w:rsidRPr="00807829" w:rsidRDefault="00EE6D95">
            <w:pPr>
              <w:pStyle w:val="CellHeader"/>
            </w:pPr>
            <w:r w:rsidRPr="00807829">
              <w:t>Plan 2015.</w:t>
            </w:r>
          </w:p>
        </w:tc>
        <w:tc>
          <w:tcPr>
            <w:tcW w:w="1486" w:type="dxa"/>
            <w:shd w:val="clear" w:color="auto" w:fill="B5C0D8"/>
          </w:tcPr>
          <w:p w:rsidR="00D849AA" w:rsidRPr="00807829" w:rsidRDefault="00EE6D95">
            <w:pPr>
              <w:pStyle w:val="CellHeader"/>
            </w:pPr>
            <w:r w:rsidRPr="00807829">
              <w:t>Plan 2016.</w:t>
            </w:r>
          </w:p>
        </w:tc>
        <w:tc>
          <w:tcPr>
            <w:tcW w:w="1486" w:type="dxa"/>
            <w:shd w:val="clear" w:color="auto" w:fill="B5C0D8"/>
          </w:tcPr>
          <w:p w:rsidR="00D849AA" w:rsidRPr="00807829" w:rsidRDefault="00EE6D95">
            <w:pPr>
              <w:pStyle w:val="CellHeader"/>
            </w:pPr>
            <w:r w:rsidRPr="00807829">
              <w:t>Indeks 2014/2013</w:t>
            </w:r>
          </w:p>
        </w:tc>
      </w:tr>
      <w:tr w:rsidR="00D849AA">
        <w:trPr>
          <w:jc w:val="center"/>
        </w:trPr>
        <w:tc>
          <w:tcPr>
            <w:tcW w:w="1486" w:type="dxa"/>
          </w:tcPr>
          <w:p w:rsidR="00D849AA" w:rsidRPr="00807829" w:rsidRDefault="00EE6D95">
            <w:pPr>
              <w:pStyle w:val="CellColumn"/>
            </w:pPr>
            <w:r w:rsidRPr="00807829">
              <w:t>A538053</w:t>
            </w:r>
          </w:p>
        </w:tc>
        <w:tc>
          <w:tcPr>
            <w:tcW w:w="1486" w:type="dxa"/>
          </w:tcPr>
          <w:p w:rsidR="00D849AA" w:rsidRPr="00807829" w:rsidRDefault="00EE6D95">
            <w:pPr>
              <w:rPr>
                <w:rFonts w:ascii="Arial" w:hAnsi="Arial" w:cs="Arial"/>
              </w:rPr>
            </w:pPr>
            <w:r w:rsidRPr="00807829">
              <w:rPr>
                <w:rFonts w:ascii="Arial" w:hAnsi="Arial" w:cs="Arial"/>
              </w:rPr>
              <w:t>2.900.000</w:t>
            </w:r>
          </w:p>
        </w:tc>
        <w:tc>
          <w:tcPr>
            <w:tcW w:w="1486" w:type="dxa"/>
          </w:tcPr>
          <w:p w:rsidR="00D849AA" w:rsidRPr="00807829" w:rsidRDefault="00EE6D95">
            <w:pPr>
              <w:rPr>
                <w:rFonts w:ascii="Arial" w:hAnsi="Arial" w:cs="Arial"/>
              </w:rPr>
            </w:pPr>
            <w:r w:rsidRPr="00807829">
              <w:rPr>
                <w:rFonts w:ascii="Arial" w:hAnsi="Arial" w:cs="Arial"/>
              </w:rPr>
              <w:t>5.510.000</w:t>
            </w:r>
          </w:p>
        </w:tc>
        <w:tc>
          <w:tcPr>
            <w:tcW w:w="1486" w:type="dxa"/>
          </w:tcPr>
          <w:p w:rsidR="00D849AA" w:rsidRPr="00807829" w:rsidRDefault="00EE6D95">
            <w:pPr>
              <w:rPr>
                <w:rFonts w:ascii="Arial" w:hAnsi="Arial" w:cs="Arial"/>
              </w:rPr>
            </w:pPr>
            <w:r w:rsidRPr="00807829">
              <w:rPr>
                <w:rFonts w:ascii="Arial" w:hAnsi="Arial" w:cs="Arial"/>
              </w:rPr>
              <w:t>2.710.000</w:t>
            </w:r>
          </w:p>
        </w:tc>
        <w:tc>
          <w:tcPr>
            <w:tcW w:w="1486" w:type="dxa"/>
          </w:tcPr>
          <w:p w:rsidR="00D849AA" w:rsidRPr="00807829" w:rsidRDefault="00EE6D95">
            <w:pPr>
              <w:rPr>
                <w:rFonts w:ascii="Arial" w:hAnsi="Arial" w:cs="Arial"/>
              </w:rPr>
            </w:pPr>
            <w:r w:rsidRPr="00807829">
              <w:rPr>
                <w:rFonts w:ascii="Arial" w:hAnsi="Arial" w:cs="Arial"/>
              </w:rPr>
              <w:t>2.710.000</w:t>
            </w:r>
          </w:p>
        </w:tc>
        <w:tc>
          <w:tcPr>
            <w:tcW w:w="1486" w:type="dxa"/>
          </w:tcPr>
          <w:p w:rsidR="00D849AA" w:rsidRPr="00807829" w:rsidRDefault="00EE6D95">
            <w:pPr>
              <w:rPr>
                <w:rFonts w:ascii="Arial" w:hAnsi="Arial" w:cs="Arial"/>
              </w:rPr>
            </w:pPr>
            <w:r w:rsidRPr="00807829">
              <w:rPr>
                <w:rFonts w:ascii="Arial" w:hAnsi="Arial" w:cs="Arial"/>
              </w:rPr>
              <w:t>190,0</w:t>
            </w:r>
          </w:p>
        </w:tc>
      </w:tr>
    </w:tbl>
    <w:p w:rsidR="00D849AA" w:rsidRDefault="00D849AA">
      <w:pPr>
        <w:jc w:val="left"/>
      </w:pPr>
    </w:p>
    <w:p w:rsidR="00D849AA" w:rsidRDefault="00EE6D95">
      <w:pPr>
        <w:pStyle w:val="Normal6"/>
      </w:pPr>
      <w:r>
        <w:t>Donošenjem i nadzorom dokumenata stvaraju se uvjeti za povećanje energetske učinkovitosti. Povećanjem postotka dovršenosti i usklađenosti dokumenata kao podloge za povećanje energetske učinkovitosti stvorit će se poticajno okružje za razvoj tržišta proizvoda povezanih s energetskom učinkovitosti. Izrada registara ovlaštenih osoba i pravilnika za provedbu projekata energetske učinkovitosti nastat će okvir nužan za razvoj tržišta usluga povezanih sa energetskom učinkovitosti.</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807829" w:rsidRDefault="00EE6D95">
            <w:pPr>
              <w:rPr>
                <w:rFonts w:ascii="Arial" w:hAnsi="Arial" w:cs="Arial"/>
              </w:rPr>
            </w:pPr>
            <w:r w:rsidRPr="00807829">
              <w:rPr>
                <w:rFonts w:ascii="Arial" w:hAnsi="Arial" w:cs="Arial"/>
              </w:rPr>
              <w:t>Pokazatelj rezultata</w:t>
            </w:r>
          </w:p>
        </w:tc>
        <w:tc>
          <w:tcPr>
            <w:tcW w:w="1114" w:type="dxa"/>
            <w:shd w:val="clear" w:color="auto" w:fill="B5C0D8"/>
          </w:tcPr>
          <w:p w:rsidR="00D849AA" w:rsidRPr="00807829" w:rsidRDefault="00EE6D95">
            <w:pPr>
              <w:pStyle w:val="CellHeader"/>
            </w:pPr>
            <w:r w:rsidRPr="00807829">
              <w:t>Jedinica</w:t>
            </w:r>
          </w:p>
        </w:tc>
        <w:tc>
          <w:tcPr>
            <w:tcW w:w="1114" w:type="dxa"/>
            <w:shd w:val="clear" w:color="auto" w:fill="B5C0D8"/>
          </w:tcPr>
          <w:p w:rsidR="00D849AA" w:rsidRPr="00807829" w:rsidRDefault="00EE6D95">
            <w:pPr>
              <w:pStyle w:val="CellHeader"/>
            </w:pPr>
            <w:r w:rsidRPr="00807829">
              <w:t>Polazna vrijednost</w:t>
            </w:r>
          </w:p>
        </w:tc>
        <w:tc>
          <w:tcPr>
            <w:tcW w:w="1486" w:type="dxa"/>
            <w:shd w:val="clear" w:color="auto" w:fill="B5C0D8"/>
          </w:tcPr>
          <w:p w:rsidR="00D849AA" w:rsidRPr="00807829" w:rsidRDefault="00EE6D95">
            <w:pPr>
              <w:pStyle w:val="CellHeader"/>
            </w:pPr>
            <w:r w:rsidRPr="00807829">
              <w:t>Ciljana vrijednost (2014.)</w:t>
            </w:r>
          </w:p>
        </w:tc>
        <w:tc>
          <w:tcPr>
            <w:tcW w:w="1486" w:type="dxa"/>
            <w:shd w:val="clear" w:color="auto" w:fill="B5C0D8"/>
          </w:tcPr>
          <w:p w:rsidR="00D849AA" w:rsidRPr="00807829" w:rsidRDefault="00EE6D95">
            <w:pPr>
              <w:pStyle w:val="CellHeader"/>
            </w:pPr>
            <w:r w:rsidRPr="00807829">
              <w:t>Ciljana vrijednost (2015.)</w:t>
            </w:r>
          </w:p>
        </w:tc>
        <w:tc>
          <w:tcPr>
            <w:tcW w:w="1486" w:type="dxa"/>
            <w:shd w:val="clear" w:color="auto" w:fill="B5C0D8"/>
          </w:tcPr>
          <w:p w:rsidR="00D849AA" w:rsidRPr="00807829" w:rsidRDefault="00EE6D95">
            <w:pPr>
              <w:pStyle w:val="CellHeader"/>
            </w:pPr>
            <w:r w:rsidRPr="00807829">
              <w:t>Ciljana vrijednost (2016.)</w:t>
            </w:r>
          </w:p>
        </w:tc>
      </w:tr>
      <w:tr w:rsidR="00D849AA">
        <w:trPr>
          <w:jc w:val="center"/>
        </w:trPr>
        <w:tc>
          <w:tcPr>
            <w:tcW w:w="2229" w:type="dxa"/>
          </w:tcPr>
          <w:p w:rsidR="00D849AA" w:rsidRPr="00807829" w:rsidRDefault="00EE6D95">
            <w:pPr>
              <w:pStyle w:val="CellColumn"/>
            </w:pPr>
            <w:r w:rsidRPr="00807829">
              <w:t>Povećanje postotka dovršenosti propisa kojima se uređuje područje energetske učinkovitosti u graditeljstvu koji se u jednoj godini donose/usklađuju</w:t>
            </w:r>
          </w:p>
        </w:tc>
        <w:tc>
          <w:tcPr>
            <w:tcW w:w="1114" w:type="dxa"/>
          </w:tcPr>
          <w:p w:rsidR="00D849AA" w:rsidRPr="00807829" w:rsidRDefault="00EE6D95">
            <w:pPr>
              <w:rPr>
                <w:rFonts w:ascii="Arial" w:hAnsi="Arial" w:cs="Arial"/>
              </w:rPr>
            </w:pPr>
            <w:r w:rsidRPr="00807829">
              <w:rPr>
                <w:rFonts w:ascii="Arial" w:hAnsi="Arial" w:cs="Arial"/>
              </w:rPr>
              <w:t>%</w:t>
            </w:r>
          </w:p>
        </w:tc>
        <w:tc>
          <w:tcPr>
            <w:tcW w:w="1114" w:type="dxa"/>
          </w:tcPr>
          <w:p w:rsidR="00D849AA" w:rsidRPr="00807829" w:rsidRDefault="00EE6D95">
            <w:pPr>
              <w:rPr>
                <w:rFonts w:ascii="Arial" w:hAnsi="Arial" w:cs="Arial"/>
              </w:rPr>
            </w:pPr>
            <w:r w:rsidRPr="00807829">
              <w:rPr>
                <w:rFonts w:ascii="Arial" w:hAnsi="Arial" w:cs="Arial"/>
              </w:rPr>
              <w:t>80</w:t>
            </w:r>
          </w:p>
        </w:tc>
        <w:tc>
          <w:tcPr>
            <w:tcW w:w="1486" w:type="dxa"/>
          </w:tcPr>
          <w:p w:rsidR="00D849AA" w:rsidRPr="00807829" w:rsidRDefault="00EE6D95">
            <w:pPr>
              <w:rPr>
                <w:rFonts w:ascii="Arial" w:hAnsi="Arial" w:cs="Arial"/>
              </w:rPr>
            </w:pPr>
            <w:r w:rsidRPr="00807829">
              <w:rPr>
                <w:rFonts w:ascii="Arial" w:hAnsi="Arial" w:cs="Arial"/>
              </w:rPr>
              <w:t>100</w:t>
            </w:r>
          </w:p>
        </w:tc>
        <w:tc>
          <w:tcPr>
            <w:tcW w:w="1486" w:type="dxa"/>
          </w:tcPr>
          <w:p w:rsidR="00D849AA" w:rsidRPr="00807829" w:rsidRDefault="00EE6D95">
            <w:pPr>
              <w:rPr>
                <w:rFonts w:ascii="Arial" w:hAnsi="Arial" w:cs="Arial"/>
              </w:rPr>
            </w:pPr>
            <w:r w:rsidRPr="00807829">
              <w:rPr>
                <w:rFonts w:ascii="Arial" w:hAnsi="Arial" w:cs="Arial"/>
              </w:rPr>
              <w:t>100</w:t>
            </w:r>
          </w:p>
        </w:tc>
        <w:tc>
          <w:tcPr>
            <w:tcW w:w="1486" w:type="dxa"/>
          </w:tcPr>
          <w:p w:rsidR="00D849AA" w:rsidRPr="00807829" w:rsidRDefault="00EE6D95">
            <w:pPr>
              <w:rPr>
                <w:rFonts w:ascii="Arial" w:hAnsi="Arial" w:cs="Arial"/>
              </w:rPr>
            </w:pPr>
            <w:r w:rsidRPr="00807829">
              <w:rPr>
                <w:rFonts w:ascii="Arial" w:hAnsi="Arial" w:cs="Arial"/>
              </w:rPr>
              <w:t>100</w:t>
            </w:r>
          </w:p>
        </w:tc>
      </w:tr>
      <w:tr w:rsidR="00D849AA">
        <w:trPr>
          <w:jc w:val="center"/>
        </w:trPr>
        <w:tc>
          <w:tcPr>
            <w:tcW w:w="2229" w:type="dxa"/>
          </w:tcPr>
          <w:p w:rsidR="00D849AA" w:rsidRPr="00807829" w:rsidRDefault="00EE6D95">
            <w:pPr>
              <w:pStyle w:val="CellColumn"/>
            </w:pPr>
            <w:r w:rsidRPr="00807829">
              <w:t>Povećanje energetski obnovljene korisne površine postojećeg fonda zgrada</w:t>
            </w:r>
          </w:p>
        </w:tc>
        <w:tc>
          <w:tcPr>
            <w:tcW w:w="1114" w:type="dxa"/>
          </w:tcPr>
          <w:p w:rsidR="00D849AA" w:rsidRPr="00807829" w:rsidRDefault="00EE6D95">
            <w:pPr>
              <w:rPr>
                <w:rFonts w:ascii="Arial" w:hAnsi="Arial" w:cs="Arial"/>
              </w:rPr>
            </w:pPr>
            <w:r w:rsidRPr="00807829">
              <w:rPr>
                <w:rFonts w:ascii="Arial" w:hAnsi="Arial" w:cs="Arial"/>
              </w:rPr>
              <w:t>%</w:t>
            </w:r>
          </w:p>
        </w:tc>
        <w:tc>
          <w:tcPr>
            <w:tcW w:w="1114" w:type="dxa"/>
          </w:tcPr>
          <w:p w:rsidR="00D849AA" w:rsidRPr="00807829" w:rsidRDefault="00EE6D95">
            <w:pPr>
              <w:rPr>
                <w:rFonts w:ascii="Arial" w:hAnsi="Arial" w:cs="Arial"/>
              </w:rPr>
            </w:pPr>
            <w:r w:rsidRPr="00807829">
              <w:rPr>
                <w:rFonts w:ascii="Arial" w:hAnsi="Arial" w:cs="Arial"/>
              </w:rPr>
              <w:t>0</w:t>
            </w:r>
          </w:p>
        </w:tc>
        <w:tc>
          <w:tcPr>
            <w:tcW w:w="1486" w:type="dxa"/>
          </w:tcPr>
          <w:p w:rsidR="00D849AA" w:rsidRPr="00807829" w:rsidRDefault="00EE6D95">
            <w:pPr>
              <w:rPr>
                <w:rFonts w:ascii="Arial" w:hAnsi="Arial" w:cs="Arial"/>
              </w:rPr>
            </w:pPr>
            <w:r w:rsidRPr="00807829">
              <w:rPr>
                <w:rFonts w:ascii="Arial" w:hAnsi="Arial" w:cs="Arial"/>
              </w:rPr>
              <w:t>20</w:t>
            </w:r>
          </w:p>
        </w:tc>
        <w:tc>
          <w:tcPr>
            <w:tcW w:w="1486" w:type="dxa"/>
          </w:tcPr>
          <w:p w:rsidR="00D849AA" w:rsidRPr="00807829" w:rsidRDefault="00EE6D95">
            <w:pPr>
              <w:rPr>
                <w:rFonts w:ascii="Arial" w:hAnsi="Arial" w:cs="Arial"/>
              </w:rPr>
            </w:pPr>
            <w:r w:rsidRPr="00807829">
              <w:rPr>
                <w:rFonts w:ascii="Arial" w:hAnsi="Arial" w:cs="Arial"/>
              </w:rPr>
              <w:t>30</w:t>
            </w:r>
          </w:p>
        </w:tc>
        <w:tc>
          <w:tcPr>
            <w:tcW w:w="1486" w:type="dxa"/>
          </w:tcPr>
          <w:p w:rsidR="00D849AA" w:rsidRPr="00807829" w:rsidRDefault="00EE6D95">
            <w:pPr>
              <w:rPr>
                <w:rFonts w:ascii="Arial" w:hAnsi="Arial" w:cs="Arial"/>
              </w:rPr>
            </w:pPr>
            <w:r w:rsidRPr="00807829">
              <w:rPr>
                <w:rFonts w:ascii="Arial" w:hAnsi="Arial" w:cs="Arial"/>
              </w:rPr>
              <w:t>40</w:t>
            </w:r>
          </w:p>
        </w:tc>
      </w:tr>
      <w:tr w:rsidR="00D849AA">
        <w:trPr>
          <w:jc w:val="center"/>
        </w:trPr>
        <w:tc>
          <w:tcPr>
            <w:tcW w:w="2229" w:type="dxa"/>
          </w:tcPr>
          <w:p w:rsidR="00D849AA" w:rsidRPr="00807829" w:rsidRDefault="00EE6D95">
            <w:pPr>
              <w:pStyle w:val="CellColumn"/>
            </w:pPr>
            <w:r w:rsidRPr="00807829">
              <w:t>Povećanje korisne površine izgrađenih gotovo nula energetskih zgrada</w:t>
            </w:r>
          </w:p>
        </w:tc>
        <w:tc>
          <w:tcPr>
            <w:tcW w:w="1114" w:type="dxa"/>
          </w:tcPr>
          <w:p w:rsidR="00D849AA" w:rsidRPr="00807829" w:rsidRDefault="00EE6D95">
            <w:pPr>
              <w:rPr>
                <w:rFonts w:ascii="Arial" w:hAnsi="Arial" w:cs="Arial"/>
              </w:rPr>
            </w:pPr>
            <w:r w:rsidRPr="00807829">
              <w:rPr>
                <w:rFonts w:ascii="Arial" w:hAnsi="Arial" w:cs="Arial"/>
              </w:rPr>
              <w:t>%</w:t>
            </w:r>
          </w:p>
        </w:tc>
        <w:tc>
          <w:tcPr>
            <w:tcW w:w="1114" w:type="dxa"/>
          </w:tcPr>
          <w:p w:rsidR="00D849AA" w:rsidRPr="00807829" w:rsidRDefault="00EE6D95">
            <w:pPr>
              <w:rPr>
                <w:rFonts w:ascii="Arial" w:hAnsi="Arial" w:cs="Arial"/>
              </w:rPr>
            </w:pPr>
            <w:r w:rsidRPr="00807829">
              <w:rPr>
                <w:rFonts w:ascii="Arial" w:hAnsi="Arial" w:cs="Arial"/>
              </w:rPr>
              <w:t>0</w:t>
            </w:r>
          </w:p>
        </w:tc>
        <w:tc>
          <w:tcPr>
            <w:tcW w:w="1486" w:type="dxa"/>
          </w:tcPr>
          <w:p w:rsidR="00D849AA" w:rsidRPr="00807829" w:rsidRDefault="00EE6D95">
            <w:pPr>
              <w:rPr>
                <w:rFonts w:ascii="Arial" w:hAnsi="Arial" w:cs="Arial"/>
              </w:rPr>
            </w:pPr>
            <w:r w:rsidRPr="00807829">
              <w:rPr>
                <w:rFonts w:ascii="Arial" w:hAnsi="Arial" w:cs="Arial"/>
              </w:rPr>
              <w:t>20</w:t>
            </w:r>
          </w:p>
        </w:tc>
        <w:tc>
          <w:tcPr>
            <w:tcW w:w="1486" w:type="dxa"/>
          </w:tcPr>
          <w:p w:rsidR="00D849AA" w:rsidRPr="00807829" w:rsidRDefault="00EE6D95">
            <w:pPr>
              <w:rPr>
                <w:rFonts w:ascii="Arial" w:hAnsi="Arial" w:cs="Arial"/>
              </w:rPr>
            </w:pPr>
            <w:r w:rsidRPr="00807829">
              <w:rPr>
                <w:rFonts w:ascii="Arial" w:hAnsi="Arial" w:cs="Arial"/>
              </w:rPr>
              <w:t>30</w:t>
            </w:r>
          </w:p>
        </w:tc>
        <w:tc>
          <w:tcPr>
            <w:tcW w:w="1486" w:type="dxa"/>
          </w:tcPr>
          <w:p w:rsidR="00D849AA" w:rsidRPr="00807829" w:rsidRDefault="00EE6D95">
            <w:pPr>
              <w:rPr>
                <w:rFonts w:ascii="Arial" w:hAnsi="Arial" w:cs="Arial"/>
              </w:rPr>
            </w:pPr>
            <w:r w:rsidRPr="00807829">
              <w:rPr>
                <w:rFonts w:ascii="Arial" w:hAnsi="Arial" w:cs="Arial"/>
              </w:rPr>
              <w:t>40</w:t>
            </w:r>
          </w:p>
        </w:tc>
      </w:tr>
      <w:tr w:rsidR="00D849AA">
        <w:trPr>
          <w:jc w:val="center"/>
        </w:trPr>
        <w:tc>
          <w:tcPr>
            <w:tcW w:w="2229" w:type="dxa"/>
          </w:tcPr>
          <w:p w:rsidR="00D849AA" w:rsidRPr="00807829" w:rsidRDefault="00EE6D95">
            <w:pPr>
              <w:pStyle w:val="CellColumn"/>
            </w:pPr>
            <w:r w:rsidRPr="00807829">
              <w:lastRenderedPageBreak/>
              <w:t>Uspostavljanje baze i registara energetski učinkovitog graditeljstva</w:t>
            </w:r>
          </w:p>
        </w:tc>
        <w:tc>
          <w:tcPr>
            <w:tcW w:w="1114" w:type="dxa"/>
          </w:tcPr>
          <w:p w:rsidR="00D849AA" w:rsidRPr="00807829" w:rsidRDefault="00EE6D95">
            <w:pPr>
              <w:rPr>
                <w:rFonts w:ascii="Arial" w:hAnsi="Arial" w:cs="Arial"/>
              </w:rPr>
            </w:pPr>
            <w:r w:rsidRPr="00807829">
              <w:rPr>
                <w:rFonts w:ascii="Arial" w:hAnsi="Arial" w:cs="Arial"/>
              </w:rPr>
              <w:t>%</w:t>
            </w:r>
          </w:p>
        </w:tc>
        <w:tc>
          <w:tcPr>
            <w:tcW w:w="1114" w:type="dxa"/>
          </w:tcPr>
          <w:p w:rsidR="00D849AA" w:rsidRPr="00807829" w:rsidRDefault="00EE6D95">
            <w:pPr>
              <w:rPr>
                <w:rFonts w:ascii="Arial" w:hAnsi="Arial" w:cs="Arial"/>
              </w:rPr>
            </w:pPr>
            <w:r w:rsidRPr="00807829">
              <w:rPr>
                <w:rFonts w:ascii="Arial" w:hAnsi="Arial" w:cs="Arial"/>
              </w:rPr>
              <w:t>30</w:t>
            </w:r>
          </w:p>
        </w:tc>
        <w:tc>
          <w:tcPr>
            <w:tcW w:w="1486" w:type="dxa"/>
          </w:tcPr>
          <w:p w:rsidR="00D849AA" w:rsidRPr="00807829" w:rsidRDefault="00EE6D95">
            <w:pPr>
              <w:rPr>
                <w:rFonts w:ascii="Arial" w:hAnsi="Arial" w:cs="Arial"/>
              </w:rPr>
            </w:pPr>
            <w:r w:rsidRPr="00807829">
              <w:rPr>
                <w:rFonts w:ascii="Arial" w:hAnsi="Arial" w:cs="Arial"/>
              </w:rPr>
              <w:t>80</w:t>
            </w:r>
          </w:p>
        </w:tc>
        <w:tc>
          <w:tcPr>
            <w:tcW w:w="1486" w:type="dxa"/>
          </w:tcPr>
          <w:p w:rsidR="00D849AA" w:rsidRPr="00807829" w:rsidRDefault="00EE6D95">
            <w:pPr>
              <w:rPr>
                <w:rFonts w:ascii="Arial" w:hAnsi="Arial" w:cs="Arial"/>
              </w:rPr>
            </w:pPr>
            <w:r w:rsidRPr="00807829">
              <w:rPr>
                <w:rFonts w:ascii="Arial" w:hAnsi="Arial" w:cs="Arial"/>
              </w:rPr>
              <w:t>100</w:t>
            </w:r>
          </w:p>
        </w:tc>
        <w:tc>
          <w:tcPr>
            <w:tcW w:w="1486" w:type="dxa"/>
          </w:tcPr>
          <w:p w:rsidR="00D849AA" w:rsidRPr="00807829" w:rsidRDefault="00EE6D95">
            <w:pPr>
              <w:rPr>
                <w:rFonts w:ascii="Arial" w:hAnsi="Arial" w:cs="Arial"/>
              </w:rPr>
            </w:pPr>
            <w:r w:rsidRPr="00807829">
              <w:rPr>
                <w:rFonts w:ascii="Arial" w:hAnsi="Arial" w:cs="Arial"/>
              </w:rPr>
              <w:t>100</w:t>
            </w:r>
          </w:p>
        </w:tc>
      </w:tr>
      <w:tr w:rsidR="00D849AA">
        <w:trPr>
          <w:jc w:val="center"/>
        </w:trPr>
        <w:tc>
          <w:tcPr>
            <w:tcW w:w="2229" w:type="dxa"/>
          </w:tcPr>
          <w:p w:rsidR="00D849AA" w:rsidRPr="00807829" w:rsidRDefault="00EE6D95">
            <w:pPr>
              <w:pStyle w:val="CellColumn"/>
            </w:pPr>
            <w:r w:rsidRPr="00807829">
              <w:t>Porast broja projekata energetske učinkovitosti u javnom sektoru na modelu ugovaranja financiranja energetske obnove iz ostvarene uštede</w:t>
            </w:r>
          </w:p>
        </w:tc>
        <w:tc>
          <w:tcPr>
            <w:tcW w:w="1114" w:type="dxa"/>
          </w:tcPr>
          <w:p w:rsidR="00D849AA" w:rsidRPr="00807829" w:rsidRDefault="00EE6D95">
            <w:pPr>
              <w:rPr>
                <w:rFonts w:ascii="Arial" w:hAnsi="Arial" w:cs="Arial"/>
              </w:rPr>
            </w:pPr>
            <w:r w:rsidRPr="00807829">
              <w:rPr>
                <w:rFonts w:ascii="Arial" w:hAnsi="Arial" w:cs="Arial"/>
              </w:rPr>
              <w:t>%</w:t>
            </w:r>
          </w:p>
        </w:tc>
        <w:tc>
          <w:tcPr>
            <w:tcW w:w="1114" w:type="dxa"/>
          </w:tcPr>
          <w:p w:rsidR="00D849AA" w:rsidRPr="00807829" w:rsidRDefault="00EE6D95">
            <w:pPr>
              <w:rPr>
                <w:rFonts w:ascii="Arial" w:hAnsi="Arial" w:cs="Arial"/>
              </w:rPr>
            </w:pPr>
            <w:r w:rsidRPr="00807829">
              <w:rPr>
                <w:rFonts w:ascii="Arial" w:hAnsi="Arial" w:cs="Arial"/>
              </w:rPr>
              <w:t>0</w:t>
            </w:r>
          </w:p>
        </w:tc>
        <w:tc>
          <w:tcPr>
            <w:tcW w:w="1486" w:type="dxa"/>
          </w:tcPr>
          <w:p w:rsidR="00D849AA" w:rsidRPr="00807829" w:rsidRDefault="00EE6D95">
            <w:pPr>
              <w:rPr>
                <w:rFonts w:ascii="Arial" w:hAnsi="Arial" w:cs="Arial"/>
              </w:rPr>
            </w:pPr>
            <w:r w:rsidRPr="00807829">
              <w:rPr>
                <w:rFonts w:ascii="Arial" w:hAnsi="Arial" w:cs="Arial"/>
              </w:rPr>
              <w:t>20</w:t>
            </w:r>
          </w:p>
        </w:tc>
        <w:tc>
          <w:tcPr>
            <w:tcW w:w="1486" w:type="dxa"/>
          </w:tcPr>
          <w:p w:rsidR="00D849AA" w:rsidRPr="00807829" w:rsidRDefault="00EE6D95">
            <w:pPr>
              <w:rPr>
                <w:rFonts w:ascii="Arial" w:hAnsi="Arial" w:cs="Arial"/>
              </w:rPr>
            </w:pPr>
            <w:r w:rsidRPr="00807829">
              <w:rPr>
                <w:rFonts w:ascii="Arial" w:hAnsi="Arial" w:cs="Arial"/>
              </w:rPr>
              <w:t>50</w:t>
            </w:r>
          </w:p>
        </w:tc>
        <w:tc>
          <w:tcPr>
            <w:tcW w:w="1486" w:type="dxa"/>
          </w:tcPr>
          <w:p w:rsidR="00D849AA" w:rsidRPr="00807829" w:rsidRDefault="00EE6D95">
            <w:pPr>
              <w:rPr>
                <w:rFonts w:ascii="Arial" w:hAnsi="Arial" w:cs="Arial"/>
              </w:rPr>
            </w:pPr>
            <w:r w:rsidRPr="00807829">
              <w:rPr>
                <w:rFonts w:ascii="Arial" w:hAnsi="Arial" w:cs="Arial"/>
              </w:rPr>
              <w:t>80</w:t>
            </w:r>
          </w:p>
        </w:tc>
      </w:tr>
      <w:tr w:rsidR="00D849AA">
        <w:trPr>
          <w:jc w:val="center"/>
        </w:trPr>
        <w:tc>
          <w:tcPr>
            <w:tcW w:w="2229" w:type="dxa"/>
          </w:tcPr>
          <w:p w:rsidR="00D849AA" w:rsidRPr="00807829" w:rsidRDefault="00EE6D95">
            <w:pPr>
              <w:pStyle w:val="CellColumn"/>
            </w:pPr>
            <w:r w:rsidRPr="00807829">
              <w:t>Uspostavljena platforma temeljena na web tehnologiji za praćenje svih aktivnosti energetske učinkovitosti i ocjenu ušteda energije</w:t>
            </w:r>
          </w:p>
        </w:tc>
        <w:tc>
          <w:tcPr>
            <w:tcW w:w="1114" w:type="dxa"/>
          </w:tcPr>
          <w:p w:rsidR="00D849AA" w:rsidRPr="00807829" w:rsidRDefault="00EE6D95">
            <w:pPr>
              <w:rPr>
                <w:rFonts w:ascii="Arial" w:hAnsi="Arial" w:cs="Arial"/>
              </w:rPr>
            </w:pPr>
            <w:r w:rsidRPr="00807829">
              <w:rPr>
                <w:rFonts w:ascii="Arial" w:hAnsi="Arial" w:cs="Arial"/>
              </w:rPr>
              <w:t>%</w:t>
            </w:r>
          </w:p>
        </w:tc>
        <w:tc>
          <w:tcPr>
            <w:tcW w:w="1114" w:type="dxa"/>
          </w:tcPr>
          <w:p w:rsidR="00D849AA" w:rsidRPr="00807829" w:rsidRDefault="00EE6D95">
            <w:pPr>
              <w:rPr>
                <w:rFonts w:ascii="Arial" w:hAnsi="Arial" w:cs="Arial"/>
              </w:rPr>
            </w:pPr>
            <w:r w:rsidRPr="00807829">
              <w:rPr>
                <w:rFonts w:ascii="Arial" w:hAnsi="Arial" w:cs="Arial"/>
              </w:rPr>
              <w:t>30</w:t>
            </w:r>
          </w:p>
        </w:tc>
        <w:tc>
          <w:tcPr>
            <w:tcW w:w="1486" w:type="dxa"/>
          </w:tcPr>
          <w:p w:rsidR="00D849AA" w:rsidRPr="00807829" w:rsidRDefault="00EE6D95">
            <w:pPr>
              <w:rPr>
                <w:rFonts w:ascii="Arial" w:hAnsi="Arial" w:cs="Arial"/>
              </w:rPr>
            </w:pPr>
            <w:r w:rsidRPr="00807829">
              <w:rPr>
                <w:rFonts w:ascii="Arial" w:hAnsi="Arial" w:cs="Arial"/>
              </w:rPr>
              <w:t>80</w:t>
            </w:r>
          </w:p>
        </w:tc>
        <w:tc>
          <w:tcPr>
            <w:tcW w:w="1486" w:type="dxa"/>
          </w:tcPr>
          <w:p w:rsidR="00D849AA" w:rsidRPr="00807829" w:rsidRDefault="00EE6D95">
            <w:pPr>
              <w:rPr>
                <w:rFonts w:ascii="Arial" w:hAnsi="Arial" w:cs="Arial"/>
              </w:rPr>
            </w:pPr>
            <w:r w:rsidRPr="00807829">
              <w:rPr>
                <w:rFonts w:ascii="Arial" w:hAnsi="Arial" w:cs="Arial"/>
              </w:rPr>
              <w:t>100</w:t>
            </w:r>
          </w:p>
        </w:tc>
        <w:tc>
          <w:tcPr>
            <w:tcW w:w="1486" w:type="dxa"/>
          </w:tcPr>
          <w:p w:rsidR="00D849AA" w:rsidRPr="00807829" w:rsidRDefault="00EE6D95">
            <w:pPr>
              <w:rPr>
                <w:rFonts w:ascii="Arial" w:hAnsi="Arial" w:cs="Arial"/>
              </w:rPr>
            </w:pPr>
            <w:r w:rsidRPr="00807829">
              <w:rPr>
                <w:rFonts w:ascii="Arial" w:hAnsi="Arial" w:cs="Arial"/>
              </w:rPr>
              <w:t>100</w:t>
            </w:r>
          </w:p>
        </w:tc>
      </w:tr>
    </w:tbl>
    <w:p w:rsidR="00D849AA" w:rsidRDefault="00EE6D95">
      <w:pPr>
        <w:pStyle w:val="Naslov6"/>
      </w:pPr>
      <w:r>
        <w:t>A538060 POTICANJE POVEĆANJA ENERGETSKE UČINKOVITOSTI</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rsidRPr="00807829">
        <w:trPr>
          <w:jc w:val="center"/>
        </w:trPr>
        <w:tc>
          <w:tcPr>
            <w:tcW w:w="1486" w:type="dxa"/>
            <w:shd w:val="clear" w:color="auto" w:fill="B5C0D8"/>
          </w:tcPr>
          <w:p w:rsidR="00D849AA" w:rsidRPr="00807829" w:rsidRDefault="00EE6D95">
            <w:pPr>
              <w:pStyle w:val="CellHeader"/>
            </w:pPr>
            <w:r w:rsidRPr="00807829">
              <w:t>Naziv aktivnosti</w:t>
            </w:r>
          </w:p>
        </w:tc>
        <w:tc>
          <w:tcPr>
            <w:tcW w:w="1486" w:type="dxa"/>
            <w:shd w:val="clear" w:color="auto" w:fill="B5C0D8"/>
          </w:tcPr>
          <w:p w:rsidR="00D849AA" w:rsidRPr="00807829" w:rsidRDefault="00EE6D95">
            <w:pPr>
              <w:pStyle w:val="CellHeader"/>
            </w:pPr>
            <w:r w:rsidRPr="00807829">
              <w:t>Plan 2013.</w:t>
            </w:r>
          </w:p>
        </w:tc>
        <w:tc>
          <w:tcPr>
            <w:tcW w:w="1486" w:type="dxa"/>
            <w:shd w:val="clear" w:color="auto" w:fill="B5C0D8"/>
          </w:tcPr>
          <w:p w:rsidR="00D849AA" w:rsidRPr="00807829" w:rsidRDefault="00EE6D95">
            <w:pPr>
              <w:pStyle w:val="CellHeader"/>
            </w:pPr>
            <w:r w:rsidRPr="00807829">
              <w:t>Plan 2014.</w:t>
            </w:r>
          </w:p>
        </w:tc>
        <w:tc>
          <w:tcPr>
            <w:tcW w:w="1486" w:type="dxa"/>
            <w:shd w:val="clear" w:color="auto" w:fill="B5C0D8"/>
          </w:tcPr>
          <w:p w:rsidR="00D849AA" w:rsidRPr="00807829" w:rsidRDefault="00EE6D95">
            <w:pPr>
              <w:pStyle w:val="CellHeader"/>
            </w:pPr>
            <w:r w:rsidRPr="00807829">
              <w:t>Plan 2015.</w:t>
            </w:r>
          </w:p>
        </w:tc>
        <w:tc>
          <w:tcPr>
            <w:tcW w:w="1486" w:type="dxa"/>
            <w:shd w:val="clear" w:color="auto" w:fill="B5C0D8"/>
          </w:tcPr>
          <w:p w:rsidR="00D849AA" w:rsidRPr="00807829" w:rsidRDefault="00EE6D95">
            <w:pPr>
              <w:pStyle w:val="CellHeader"/>
            </w:pPr>
            <w:r w:rsidRPr="00807829">
              <w:t>Plan 2016.</w:t>
            </w:r>
          </w:p>
        </w:tc>
        <w:tc>
          <w:tcPr>
            <w:tcW w:w="1486" w:type="dxa"/>
            <w:shd w:val="clear" w:color="auto" w:fill="B5C0D8"/>
          </w:tcPr>
          <w:p w:rsidR="00D849AA" w:rsidRPr="00807829" w:rsidRDefault="00EE6D95">
            <w:pPr>
              <w:pStyle w:val="CellHeader"/>
            </w:pPr>
            <w:r w:rsidRPr="00807829">
              <w:t>Indeks 2014/2013</w:t>
            </w:r>
          </w:p>
        </w:tc>
      </w:tr>
      <w:tr w:rsidR="00D849AA" w:rsidRPr="00807829">
        <w:trPr>
          <w:jc w:val="center"/>
        </w:trPr>
        <w:tc>
          <w:tcPr>
            <w:tcW w:w="1486" w:type="dxa"/>
          </w:tcPr>
          <w:p w:rsidR="00D849AA" w:rsidRPr="00807829" w:rsidRDefault="00EE6D95">
            <w:pPr>
              <w:pStyle w:val="CellColumn"/>
            </w:pPr>
            <w:r w:rsidRPr="00807829">
              <w:t>A538060</w:t>
            </w:r>
          </w:p>
        </w:tc>
        <w:tc>
          <w:tcPr>
            <w:tcW w:w="1486" w:type="dxa"/>
          </w:tcPr>
          <w:p w:rsidR="00D849AA" w:rsidRPr="00807829" w:rsidRDefault="00EE6D95">
            <w:pPr>
              <w:rPr>
                <w:rFonts w:ascii="Arial" w:hAnsi="Arial" w:cs="Arial"/>
              </w:rPr>
            </w:pPr>
            <w:r w:rsidRPr="00807829">
              <w:rPr>
                <w:rFonts w:ascii="Arial" w:hAnsi="Arial" w:cs="Arial"/>
              </w:rPr>
              <w:t>4.325.000</w:t>
            </w:r>
          </w:p>
        </w:tc>
        <w:tc>
          <w:tcPr>
            <w:tcW w:w="1486" w:type="dxa"/>
          </w:tcPr>
          <w:p w:rsidR="00D849AA" w:rsidRPr="00807829" w:rsidRDefault="00EE6D95">
            <w:pPr>
              <w:rPr>
                <w:rFonts w:ascii="Arial" w:hAnsi="Arial" w:cs="Arial"/>
              </w:rPr>
            </w:pPr>
            <w:r w:rsidRPr="00807829">
              <w:rPr>
                <w:rFonts w:ascii="Arial" w:hAnsi="Arial" w:cs="Arial"/>
              </w:rPr>
              <w:t>3.350.000</w:t>
            </w:r>
          </w:p>
        </w:tc>
        <w:tc>
          <w:tcPr>
            <w:tcW w:w="1486" w:type="dxa"/>
          </w:tcPr>
          <w:p w:rsidR="00D849AA" w:rsidRPr="00807829" w:rsidRDefault="00EE6D95">
            <w:pPr>
              <w:rPr>
                <w:rFonts w:ascii="Arial" w:hAnsi="Arial" w:cs="Arial"/>
              </w:rPr>
            </w:pPr>
            <w:r w:rsidRPr="00807829">
              <w:rPr>
                <w:rFonts w:ascii="Arial" w:hAnsi="Arial" w:cs="Arial"/>
              </w:rPr>
              <w:t>500.000</w:t>
            </w:r>
          </w:p>
        </w:tc>
        <w:tc>
          <w:tcPr>
            <w:tcW w:w="1486" w:type="dxa"/>
          </w:tcPr>
          <w:p w:rsidR="00D849AA" w:rsidRPr="00807829" w:rsidRDefault="00EE6D95">
            <w:pPr>
              <w:rPr>
                <w:rFonts w:ascii="Arial" w:hAnsi="Arial" w:cs="Arial"/>
              </w:rPr>
            </w:pPr>
            <w:r w:rsidRPr="00807829">
              <w:rPr>
                <w:rFonts w:ascii="Arial" w:hAnsi="Arial" w:cs="Arial"/>
              </w:rPr>
              <w:t>500.000</w:t>
            </w:r>
          </w:p>
        </w:tc>
        <w:tc>
          <w:tcPr>
            <w:tcW w:w="1486" w:type="dxa"/>
          </w:tcPr>
          <w:p w:rsidR="00D849AA" w:rsidRPr="00807829" w:rsidRDefault="00EE6D95">
            <w:pPr>
              <w:rPr>
                <w:rFonts w:ascii="Arial" w:hAnsi="Arial" w:cs="Arial"/>
              </w:rPr>
            </w:pPr>
            <w:r w:rsidRPr="00807829">
              <w:rPr>
                <w:rFonts w:ascii="Arial" w:hAnsi="Arial" w:cs="Arial"/>
              </w:rPr>
              <w:t>77,4</w:t>
            </w:r>
          </w:p>
        </w:tc>
      </w:tr>
    </w:tbl>
    <w:p w:rsidR="00D849AA" w:rsidRPr="00807829" w:rsidRDefault="00D849AA">
      <w:pPr>
        <w:jc w:val="left"/>
        <w:rPr>
          <w:rFonts w:ascii="Arial" w:hAnsi="Arial" w:cs="Arial"/>
        </w:rPr>
      </w:pPr>
    </w:p>
    <w:p w:rsidR="00D849AA" w:rsidRDefault="00EE6D95">
      <w:pPr>
        <w:pStyle w:val="Normal6"/>
      </w:pPr>
      <w:r>
        <w:t xml:space="preserve">Fokus se stavlja na poticanje obnove postojećih zgrada koje postižu energetske karakteristike više od važećom regulativom propisanih, te postizanje energetskog standarda „gotovo nul energetskih zgrada“. Ciljevi su postavljeni temeljem prijedloga </w:t>
      </w:r>
    </w:p>
    <w:p w:rsidR="00D849AA" w:rsidRDefault="00EE6D95">
      <w:pPr>
        <w:pStyle w:val="Normal6"/>
      </w:pPr>
      <w:r>
        <w:t xml:space="preserve">nove Direktive o energetskoj učinkovitosti Europske komisije te se pretpostavlja da se svake godine obnovi 3% površine zgrada, što iznosi: </w:t>
      </w:r>
    </w:p>
    <w:p w:rsidR="00D849AA" w:rsidRDefault="00EE6D95">
      <w:pPr>
        <w:pStyle w:val="Normal6"/>
      </w:pPr>
      <w:r>
        <w:t xml:space="preserve">- oko 3,7 milijuna m2 stambenih zgrada godišnje, </w:t>
      </w:r>
    </w:p>
    <w:p w:rsidR="00D849AA" w:rsidRDefault="00EE6D95">
      <w:pPr>
        <w:pStyle w:val="Normal6"/>
      </w:pPr>
      <w:r>
        <w:t xml:space="preserve">- oko 285.000 m2 nestambenih zgrada javne namjene, </w:t>
      </w:r>
    </w:p>
    <w:p w:rsidR="00D849AA" w:rsidRDefault="00EE6D95">
      <w:pPr>
        <w:pStyle w:val="Normal6"/>
      </w:pPr>
      <w:r>
        <w:t xml:space="preserve">- oko 0,98 milijuna m2 nestambenih zgrada u sektoru komercijalnih usluga godišnje. </w:t>
      </w:r>
    </w:p>
    <w:p w:rsidR="00D849AA" w:rsidRDefault="00EE6D95">
      <w:pPr>
        <w:pStyle w:val="Normal6"/>
      </w:pPr>
      <w:r>
        <w:t>Provedba ovog cilja zahtijeva velike investicije od oko 8 milijardi kuna godišnje, a nudi iznimno velik potencijal ne samo za uštede energije nego za zapošljavanje i pokretanje čitave građevinske industrije u Hrvatskoj.</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807829" w:rsidRDefault="00EE6D95">
            <w:pPr>
              <w:rPr>
                <w:rFonts w:ascii="Arial" w:hAnsi="Arial" w:cs="Arial"/>
              </w:rPr>
            </w:pPr>
            <w:r w:rsidRPr="00807829">
              <w:rPr>
                <w:rFonts w:ascii="Arial" w:hAnsi="Arial" w:cs="Arial"/>
              </w:rPr>
              <w:t>Pokazatelj rezultata</w:t>
            </w:r>
          </w:p>
        </w:tc>
        <w:tc>
          <w:tcPr>
            <w:tcW w:w="1114" w:type="dxa"/>
            <w:shd w:val="clear" w:color="auto" w:fill="B5C0D8"/>
          </w:tcPr>
          <w:p w:rsidR="00D849AA" w:rsidRPr="00807829" w:rsidRDefault="00EE6D95">
            <w:pPr>
              <w:pStyle w:val="CellHeader"/>
            </w:pPr>
            <w:r w:rsidRPr="00807829">
              <w:t>Jedinica</w:t>
            </w:r>
          </w:p>
        </w:tc>
        <w:tc>
          <w:tcPr>
            <w:tcW w:w="1114" w:type="dxa"/>
            <w:shd w:val="clear" w:color="auto" w:fill="B5C0D8"/>
          </w:tcPr>
          <w:p w:rsidR="00D849AA" w:rsidRPr="00807829" w:rsidRDefault="00EE6D95">
            <w:pPr>
              <w:pStyle w:val="CellHeader"/>
            </w:pPr>
            <w:r w:rsidRPr="00807829">
              <w:t>Polazna vrijednost</w:t>
            </w:r>
          </w:p>
        </w:tc>
        <w:tc>
          <w:tcPr>
            <w:tcW w:w="1486" w:type="dxa"/>
            <w:shd w:val="clear" w:color="auto" w:fill="B5C0D8"/>
          </w:tcPr>
          <w:p w:rsidR="00D849AA" w:rsidRPr="00807829" w:rsidRDefault="00EE6D95">
            <w:pPr>
              <w:pStyle w:val="CellHeader"/>
            </w:pPr>
            <w:r w:rsidRPr="00807829">
              <w:t>Ciljana vrijednost (2014.)</w:t>
            </w:r>
          </w:p>
        </w:tc>
        <w:tc>
          <w:tcPr>
            <w:tcW w:w="1486" w:type="dxa"/>
            <w:shd w:val="clear" w:color="auto" w:fill="B5C0D8"/>
          </w:tcPr>
          <w:p w:rsidR="00D849AA" w:rsidRPr="00807829" w:rsidRDefault="00EE6D95">
            <w:pPr>
              <w:pStyle w:val="CellHeader"/>
            </w:pPr>
            <w:r w:rsidRPr="00807829">
              <w:t>Ciljana vrijednost (2015.)</w:t>
            </w:r>
          </w:p>
        </w:tc>
        <w:tc>
          <w:tcPr>
            <w:tcW w:w="1486" w:type="dxa"/>
            <w:shd w:val="clear" w:color="auto" w:fill="B5C0D8"/>
          </w:tcPr>
          <w:p w:rsidR="00D849AA" w:rsidRPr="00807829" w:rsidRDefault="00EE6D95">
            <w:pPr>
              <w:pStyle w:val="CellHeader"/>
            </w:pPr>
            <w:r w:rsidRPr="00807829">
              <w:t>Ciljana vrijednost (2016.)</w:t>
            </w:r>
          </w:p>
        </w:tc>
      </w:tr>
      <w:tr w:rsidR="00D849AA">
        <w:trPr>
          <w:jc w:val="center"/>
        </w:trPr>
        <w:tc>
          <w:tcPr>
            <w:tcW w:w="2229" w:type="dxa"/>
          </w:tcPr>
          <w:p w:rsidR="00D849AA" w:rsidRPr="00807829" w:rsidRDefault="00EE6D95">
            <w:pPr>
              <w:pStyle w:val="CellColumn"/>
            </w:pPr>
            <w:r w:rsidRPr="00807829">
              <w:t>Porast broja projekata energetske učinkovitosti financiranih iz nacionalnih izvora i europskih fondova</w:t>
            </w:r>
          </w:p>
        </w:tc>
        <w:tc>
          <w:tcPr>
            <w:tcW w:w="1114" w:type="dxa"/>
          </w:tcPr>
          <w:p w:rsidR="00D849AA" w:rsidRPr="00807829" w:rsidRDefault="00EE6D95">
            <w:pPr>
              <w:rPr>
                <w:rFonts w:ascii="Arial" w:hAnsi="Arial" w:cs="Arial"/>
              </w:rPr>
            </w:pPr>
            <w:r w:rsidRPr="00807829">
              <w:rPr>
                <w:rFonts w:ascii="Arial" w:hAnsi="Arial" w:cs="Arial"/>
              </w:rPr>
              <w:t>%</w:t>
            </w:r>
          </w:p>
        </w:tc>
        <w:tc>
          <w:tcPr>
            <w:tcW w:w="1114" w:type="dxa"/>
          </w:tcPr>
          <w:p w:rsidR="00D849AA" w:rsidRPr="00807829" w:rsidRDefault="00EE6D95">
            <w:pPr>
              <w:rPr>
                <w:rFonts w:ascii="Arial" w:hAnsi="Arial" w:cs="Arial"/>
              </w:rPr>
            </w:pPr>
            <w:r w:rsidRPr="00807829">
              <w:rPr>
                <w:rFonts w:ascii="Arial" w:hAnsi="Arial" w:cs="Arial"/>
              </w:rPr>
              <w:t>10</w:t>
            </w:r>
          </w:p>
        </w:tc>
        <w:tc>
          <w:tcPr>
            <w:tcW w:w="1486" w:type="dxa"/>
          </w:tcPr>
          <w:p w:rsidR="00D849AA" w:rsidRPr="00807829" w:rsidRDefault="00EE6D95">
            <w:pPr>
              <w:rPr>
                <w:rFonts w:ascii="Arial" w:hAnsi="Arial" w:cs="Arial"/>
              </w:rPr>
            </w:pPr>
            <w:r w:rsidRPr="00807829">
              <w:rPr>
                <w:rFonts w:ascii="Arial" w:hAnsi="Arial" w:cs="Arial"/>
              </w:rPr>
              <w:t>20</w:t>
            </w:r>
          </w:p>
        </w:tc>
        <w:tc>
          <w:tcPr>
            <w:tcW w:w="1486" w:type="dxa"/>
          </w:tcPr>
          <w:p w:rsidR="00D849AA" w:rsidRPr="00807829" w:rsidRDefault="00EE6D95">
            <w:pPr>
              <w:rPr>
                <w:rFonts w:ascii="Arial" w:hAnsi="Arial" w:cs="Arial"/>
              </w:rPr>
            </w:pPr>
            <w:r w:rsidRPr="00807829">
              <w:rPr>
                <w:rFonts w:ascii="Arial" w:hAnsi="Arial" w:cs="Arial"/>
              </w:rPr>
              <w:t>50</w:t>
            </w:r>
          </w:p>
        </w:tc>
        <w:tc>
          <w:tcPr>
            <w:tcW w:w="1486" w:type="dxa"/>
          </w:tcPr>
          <w:p w:rsidR="00D849AA" w:rsidRPr="00807829" w:rsidRDefault="00EE6D95">
            <w:pPr>
              <w:rPr>
                <w:rFonts w:ascii="Arial" w:hAnsi="Arial" w:cs="Arial"/>
              </w:rPr>
            </w:pPr>
            <w:r w:rsidRPr="00807829">
              <w:rPr>
                <w:rFonts w:ascii="Arial" w:hAnsi="Arial" w:cs="Arial"/>
              </w:rPr>
              <w:t>80</w:t>
            </w:r>
          </w:p>
        </w:tc>
      </w:tr>
    </w:tbl>
    <w:p w:rsidR="00D849AA" w:rsidRDefault="00EE6D95">
      <w:pPr>
        <w:pStyle w:val="Naslov6"/>
      </w:pPr>
      <w:r>
        <w:lastRenderedPageBreak/>
        <w:t>A576056 STRUČNO-ANALITIČKI, UPRAVNI I NORMATIVNI POSLOVI GRADITELJSTVA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807829" w:rsidRDefault="00EE6D95">
            <w:pPr>
              <w:pStyle w:val="CellHeader"/>
            </w:pPr>
            <w:r w:rsidRPr="00807829">
              <w:t>Naziv aktivnosti</w:t>
            </w:r>
          </w:p>
        </w:tc>
        <w:tc>
          <w:tcPr>
            <w:tcW w:w="1486" w:type="dxa"/>
            <w:shd w:val="clear" w:color="auto" w:fill="B5C0D8"/>
          </w:tcPr>
          <w:p w:rsidR="00D849AA" w:rsidRPr="00807829" w:rsidRDefault="00EE6D95">
            <w:pPr>
              <w:pStyle w:val="CellHeader"/>
            </w:pPr>
            <w:r w:rsidRPr="00807829">
              <w:t>Plan 2013.</w:t>
            </w:r>
          </w:p>
        </w:tc>
        <w:tc>
          <w:tcPr>
            <w:tcW w:w="1486" w:type="dxa"/>
            <w:shd w:val="clear" w:color="auto" w:fill="B5C0D8"/>
          </w:tcPr>
          <w:p w:rsidR="00D849AA" w:rsidRPr="00807829" w:rsidRDefault="00EE6D95">
            <w:pPr>
              <w:pStyle w:val="CellHeader"/>
            </w:pPr>
            <w:r w:rsidRPr="00807829">
              <w:t>Plan 2014.</w:t>
            </w:r>
          </w:p>
        </w:tc>
        <w:tc>
          <w:tcPr>
            <w:tcW w:w="1486" w:type="dxa"/>
            <w:shd w:val="clear" w:color="auto" w:fill="B5C0D8"/>
          </w:tcPr>
          <w:p w:rsidR="00D849AA" w:rsidRPr="00807829" w:rsidRDefault="00EE6D95">
            <w:pPr>
              <w:pStyle w:val="CellHeader"/>
            </w:pPr>
            <w:r w:rsidRPr="00807829">
              <w:t>Plan 2015.</w:t>
            </w:r>
          </w:p>
        </w:tc>
        <w:tc>
          <w:tcPr>
            <w:tcW w:w="1486" w:type="dxa"/>
            <w:shd w:val="clear" w:color="auto" w:fill="B5C0D8"/>
          </w:tcPr>
          <w:p w:rsidR="00D849AA" w:rsidRPr="00807829" w:rsidRDefault="00EE6D95">
            <w:pPr>
              <w:pStyle w:val="CellHeader"/>
            </w:pPr>
            <w:r w:rsidRPr="00807829">
              <w:t>Plan 2016.</w:t>
            </w:r>
          </w:p>
        </w:tc>
        <w:tc>
          <w:tcPr>
            <w:tcW w:w="1486" w:type="dxa"/>
            <w:shd w:val="clear" w:color="auto" w:fill="B5C0D8"/>
          </w:tcPr>
          <w:p w:rsidR="00D849AA" w:rsidRPr="00807829" w:rsidRDefault="00EE6D95">
            <w:pPr>
              <w:pStyle w:val="CellHeader"/>
            </w:pPr>
            <w:r w:rsidRPr="00807829">
              <w:t>Indeks 2014/2013</w:t>
            </w:r>
          </w:p>
        </w:tc>
      </w:tr>
      <w:tr w:rsidR="00D849AA">
        <w:trPr>
          <w:jc w:val="center"/>
        </w:trPr>
        <w:tc>
          <w:tcPr>
            <w:tcW w:w="1486" w:type="dxa"/>
          </w:tcPr>
          <w:p w:rsidR="00D849AA" w:rsidRPr="00807829" w:rsidRDefault="00EE6D95">
            <w:pPr>
              <w:pStyle w:val="CellColumn"/>
            </w:pPr>
            <w:r w:rsidRPr="00807829">
              <w:t>A576056</w:t>
            </w:r>
          </w:p>
        </w:tc>
        <w:tc>
          <w:tcPr>
            <w:tcW w:w="1486" w:type="dxa"/>
          </w:tcPr>
          <w:p w:rsidR="00D849AA" w:rsidRPr="00807829" w:rsidRDefault="00EE6D95">
            <w:pPr>
              <w:rPr>
                <w:rFonts w:ascii="Arial" w:hAnsi="Arial" w:cs="Arial"/>
              </w:rPr>
            </w:pPr>
            <w:r w:rsidRPr="00807829">
              <w:rPr>
                <w:rFonts w:ascii="Arial" w:hAnsi="Arial" w:cs="Arial"/>
              </w:rPr>
              <w:t>542.000</w:t>
            </w:r>
          </w:p>
        </w:tc>
        <w:tc>
          <w:tcPr>
            <w:tcW w:w="1486" w:type="dxa"/>
          </w:tcPr>
          <w:p w:rsidR="00D849AA" w:rsidRPr="00807829" w:rsidRDefault="00EE6D95">
            <w:pPr>
              <w:rPr>
                <w:rFonts w:ascii="Arial" w:hAnsi="Arial" w:cs="Arial"/>
              </w:rPr>
            </w:pPr>
            <w:r w:rsidRPr="00807829">
              <w:rPr>
                <w:rFonts w:ascii="Arial" w:hAnsi="Arial" w:cs="Arial"/>
              </w:rPr>
              <w:t>363.500</w:t>
            </w:r>
          </w:p>
        </w:tc>
        <w:tc>
          <w:tcPr>
            <w:tcW w:w="1486" w:type="dxa"/>
          </w:tcPr>
          <w:p w:rsidR="00D849AA" w:rsidRPr="00807829" w:rsidRDefault="00EE6D95">
            <w:pPr>
              <w:rPr>
                <w:rFonts w:ascii="Arial" w:hAnsi="Arial" w:cs="Arial"/>
              </w:rPr>
            </w:pPr>
            <w:r w:rsidRPr="00807829">
              <w:rPr>
                <w:rFonts w:ascii="Arial" w:hAnsi="Arial" w:cs="Arial"/>
              </w:rPr>
              <w:t>365.000</w:t>
            </w:r>
          </w:p>
        </w:tc>
        <w:tc>
          <w:tcPr>
            <w:tcW w:w="1486" w:type="dxa"/>
          </w:tcPr>
          <w:p w:rsidR="00D849AA" w:rsidRPr="00807829" w:rsidRDefault="00EE6D95">
            <w:pPr>
              <w:rPr>
                <w:rFonts w:ascii="Arial" w:hAnsi="Arial" w:cs="Arial"/>
              </w:rPr>
            </w:pPr>
            <w:r w:rsidRPr="00807829">
              <w:rPr>
                <w:rFonts w:ascii="Arial" w:hAnsi="Arial" w:cs="Arial"/>
              </w:rPr>
              <w:t>365.000</w:t>
            </w:r>
          </w:p>
        </w:tc>
        <w:tc>
          <w:tcPr>
            <w:tcW w:w="1486" w:type="dxa"/>
          </w:tcPr>
          <w:p w:rsidR="00D849AA" w:rsidRPr="00807829" w:rsidRDefault="00EE6D95">
            <w:pPr>
              <w:rPr>
                <w:rFonts w:ascii="Arial" w:hAnsi="Arial" w:cs="Arial"/>
              </w:rPr>
            </w:pPr>
            <w:r w:rsidRPr="00807829">
              <w:rPr>
                <w:rFonts w:ascii="Arial" w:hAnsi="Arial" w:cs="Arial"/>
              </w:rPr>
              <w:t>67,1</w:t>
            </w:r>
          </w:p>
        </w:tc>
      </w:tr>
    </w:tbl>
    <w:p w:rsidR="00D849AA" w:rsidRDefault="00D849AA">
      <w:pPr>
        <w:jc w:val="left"/>
      </w:pPr>
    </w:p>
    <w:p w:rsidR="00D849AA" w:rsidRDefault="00EE6D95">
      <w:pPr>
        <w:pStyle w:val="Normal6"/>
      </w:pPr>
      <w:r>
        <w:t xml:space="preserve">Donošenje regulatornog okvira graditeljstva (koje objedinjuje stručno-analitičke, upravne i normativne poslove graditeljstva te građevinarstvo kao gospodarsku djelatnost) te prijenos i primjena pravne stečevine EU u hrvatsko zakonodavstvo jedna je od glavnih zadaća Ministarstva u segmentu graditeljstva. </w:t>
      </w:r>
    </w:p>
    <w:p w:rsidR="00D849AA" w:rsidRDefault="00EE6D95">
      <w:pPr>
        <w:pStyle w:val="Normal6"/>
      </w:pPr>
      <w:r>
        <w:t>Poticanje prikupljanja i obrade podataka za primjenu propisa u užem području graditeljstva osobito za djelovanja na građevinske konstrukcije.</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Pr="00D61DA2" w:rsidRDefault="00EE6D95">
            <w:pPr>
              <w:pStyle w:val="CellColumn"/>
            </w:pPr>
            <w:r w:rsidRPr="00D61DA2">
              <w:t>Povećanje broja mjera kojima se potiče projektiranje, izvođenje i uklanjanje građevina i njihovih dijelova na održiv način</w:t>
            </w:r>
          </w:p>
        </w:tc>
        <w:tc>
          <w:tcPr>
            <w:tcW w:w="1114" w:type="dxa"/>
          </w:tcPr>
          <w:p w:rsidR="00D849AA" w:rsidRPr="00D61DA2" w:rsidRDefault="00EE6D95">
            <w:pPr>
              <w:rPr>
                <w:rFonts w:ascii="Arial" w:hAnsi="Arial" w:cs="Arial"/>
              </w:rPr>
            </w:pPr>
            <w:r w:rsidRPr="00D61DA2">
              <w:rPr>
                <w:rFonts w:ascii="Arial" w:hAnsi="Arial" w:cs="Arial"/>
              </w:rPr>
              <w:t>Komada</w:t>
            </w:r>
          </w:p>
        </w:tc>
        <w:tc>
          <w:tcPr>
            <w:tcW w:w="1114" w:type="dxa"/>
          </w:tcPr>
          <w:p w:rsidR="00D849AA" w:rsidRPr="00D61DA2" w:rsidRDefault="00EE6D95">
            <w:pPr>
              <w:rPr>
                <w:rFonts w:ascii="Arial" w:hAnsi="Arial" w:cs="Arial"/>
              </w:rPr>
            </w:pPr>
            <w:r w:rsidRPr="00D61DA2">
              <w:rPr>
                <w:rFonts w:ascii="Arial" w:hAnsi="Arial" w:cs="Arial"/>
              </w:rPr>
              <w:t>0</w:t>
            </w:r>
          </w:p>
        </w:tc>
        <w:tc>
          <w:tcPr>
            <w:tcW w:w="1486" w:type="dxa"/>
          </w:tcPr>
          <w:p w:rsidR="00D849AA" w:rsidRPr="00D61DA2" w:rsidRDefault="00EE6D95">
            <w:pPr>
              <w:rPr>
                <w:rFonts w:ascii="Arial" w:hAnsi="Arial" w:cs="Arial"/>
              </w:rPr>
            </w:pPr>
            <w:r w:rsidRPr="00D61DA2">
              <w:rPr>
                <w:rFonts w:ascii="Arial" w:hAnsi="Arial" w:cs="Arial"/>
              </w:rPr>
              <w:t>0</w:t>
            </w:r>
          </w:p>
        </w:tc>
        <w:tc>
          <w:tcPr>
            <w:tcW w:w="1486" w:type="dxa"/>
          </w:tcPr>
          <w:p w:rsidR="00D849AA" w:rsidRPr="00D61DA2" w:rsidRDefault="00EE6D95">
            <w:pPr>
              <w:rPr>
                <w:rFonts w:ascii="Arial" w:hAnsi="Arial" w:cs="Arial"/>
              </w:rPr>
            </w:pPr>
            <w:r w:rsidRPr="00D61DA2">
              <w:rPr>
                <w:rFonts w:ascii="Arial" w:hAnsi="Arial" w:cs="Arial"/>
              </w:rPr>
              <w:t>1</w:t>
            </w:r>
          </w:p>
        </w:tc>
        <w:tc>
          <w:tcPr>
            <w:tcW w:w="1486" w:type="dxa"/>
          </w:tcPr>
          <w:p w:rsidR="00D849AA" w:rsidRPr="00D61DA2" w:rsidRDefault="00EE6D95">
            <w:pPr>
              <w:rPr>
                <w:rFonts w:ascii="Arial" w:hAnsi="Arial" w:cs="Arial"/>
              </w:rPr>
            </w:pPr>
            <w:r w:rsidRPr="00D61DA2">
              <w:rPr>
                <w:rFonts w:ascii="Arial" w:hAnsi="Arial" w:cs="Arial"/>
              </w:rPr>
              <w:t>2</w:t>
            </w:r>
          </w:p>
        </w:tc>
      </w:tr>
      <w:tr w:rsidR="00D849AA">
        <w:trPr>
          <w:jc w:val="center"/>
        </w:trPr>
        <w:tc>
          <w:tcPr>
            <w:tcW w:w="2229" w:type="dxa"/>
          </w:tcPr>
          <w:p w:rsidR="00D849AA" w:rsidRPr="00D61DA2" w:rsidRDefault="00EE6D95">
            <w:pPr>
              <w:pStyle w:val="CellColumn"/>
            </w:pPr>
            <w:r w:rsidRPr="00D61DA2">
              <w:t>Povećanje broja skupina podataka za koje je ugovoreno trajno prikupljanje i/ili obrada</w:t>
            </w:r>
          </w:p>
        </w:tc>
        <w:tc>
          <w:tcPr>
            <w:tcW w:w="1114" w:type="dxa"/>
          </w:tcPr>
          <w:p w:rsidR="00D849AA" w:rsidRPr="00D61DA2" w:rsidRDefault="00EE6D95">
            <w:pPr>
              <w:rPr>
                <w:rFonts w:ascii="Arial" w:hAnsi="Arial" w:cs="Arial"/>
              </w:rPr>
            </w:pPr>
            <w:r w:rsidRPr="00D61DA2">
              <w:rPr>
                <w:rFonts w:ascii="Arial" w:hAnsi="Arial" w:cs="Arial"/>
              </w:rPr>
              <w:t>Komada</w:t>
            </w:r>
          </w:p>
        </w:tc>
        <w:tc>
          <w:tcPr>
            <w:tcW w:w="1114" w:type="dxa"/>
          </w:tcPr>
          <w:p w:rsidR="00D849AA" w:rsidRPr="00D61DA2" w:rsidRDefault="00EE6D95">
            <w:pPr>
              <w:rPr>
                <w:rFonts w:ascii="Arial" w:hAnsi="Arial" w:cs="Arial"/>
              </w:rPr>
            </w:pPr>
            <w:r w:rsidRPr="00D61DA2">
              <w:rPr>
                <w:rFonts w:ascii="Arial" w:hAnsi="Arial" w:cs="Arial"/>
              </w:rPr>
              <w:t>1</w:t>
            </w:r>
          </w:p>
        </w:tc>
        <w:tc>
          <w:tcPr>
            <w:tcW w:w="1486" w:type="dxa"/>
          </w:tcPr>
          <w:p w:rsidR="00D849AA" w:rsidRPr="00D61DA2" w:rsidRDefault="00EE6D95">
            <w:pPr>
              <w:rPr>
                <w:rFonts w:ascii="Arial" w:hAnsi="Arial" w:cs="Arial"/>
              </w:rPr>
            </w:pPr>
            <w:r w:rsidRPr="00D61DA2">
              <w:rPr>
                <w:rFonts w:ascii="Arial" w:hAnsi="Arial" w:cs="Arial"/>
              </w:rPr>
              <w:t>2</w:t>
            </w:r>
          </w:p>
        </w:tc>
        <w:tc>
          <w:tcPr>
            <w:tcW w:w="1486" w:type="dxa"/>
          </w:tcPr>
          <w:p w:rsidR="00D849AA" w:rsidRPr="00D61DA2" w:rsidRDefault="00EE6D95">
            <w:pPr>
              <w:rPr>
                <w:rFonts w:ascii="Arial" w:hAnsi="Arial" w:cs="Arial"/>
              </w:rPr>
            </w:pPr>
            <w:r w:rsidRPr="00D61DA2">
              <w:rPr>
                <w:rFonts w:ascii="Arial" w:hAnsi="Arial" w:cs="Arial"/>
              </w:rPr>
              <w:t>5</w:t>
            </w:r>
          </w:p>
        </w:tc>
        <w:tc>
          <w:tcPr>
            <w:tcW w:w="1486" w:type="dxa"/>
          </w:tcPr>
          <w:p w:rsidR="00D849AA" w:rsidRPr="00D61DA2" w:rsidRDefault="00EE6D95">
            <w:pPr>
              <w:rPr>
                <w:rFonts w:ascii="Arial" w:hAnsi="Arial" w:cs="Arial"/>
              </w:rPr>
            </w:pPr>
            <w:r w:rsidRPr="00D61DA2">
              <w:rPr>
                <w:rFonts w:ascii="Arial" w:hAnsi="Arial" w:cs="Arial"/>
              </w:rPr>
              <w:t>7</w:t>
            </w:r>
          </w:p>
        </w:tc>
      </w:tr>
    </w:tbl>
    <w:p w:rsidR="00D849AA" w:rsidRDefault="00D849AA">
      <w:pPr>
        <w:jc w:val="left"/>
      </w:pPr>
    </w:p>
    <w:p w:rsidR="00D849AA" w:rsidRDefault="00EE6D95">
      <w:pPr>
        <w:pStyle w:val="Naslov6"/>
      </w:pPr>
      <w:r>
        <w:t>A576060 NADZOR GRAĐENJA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807829" w:rsidRDefault="00EE6D95">
            <w:pPr>
              <w:pStyle w:val="CellHeader"/>
            </w:pPr>
            <w:r w:rsidRPr="00807829">
              <w:t>Naziv aktivnosti</w:t>
            </w:r>
          </w:p>
        </w:tc>
        <w:tc>
          <w:tcPr>
            <w:tcW w:w="1486" w:type="dxa"/>
            <w:shd w:val="clear" w:color="auto" w:fill="B5C0D8"/>
          </w:tcPr>
          <w:p w:rsidR="00D849AA" w:rsidRPr="00807829" w:rsidRDefault="00EE6D95">
            <w:pPr>
              <w:pStyle w:val="CellHeader"/>
            </w:pPr>
            <w:r w:rsidRPr="00807829">
              <w:t>Plan 2013.</w:t>
            </w:r>
          </w:p>
        </w:tc>
        <w:tc>
          <w:tcPr>
            <w:tcW w:w="1486" w:type="dxa"/>
            <w:shd w:val="clear" w:color="auto" w:fill="B5C0D8"/>
          </w:tcPr>
          <w:p w:rsidR="00D849AA" w:rsidRPr="00807829" w:rsidRDefault="00EE6D95">
            <w:pPr>
              <w:pStyle w:val="CellHeader"/>
            </w:pPr>
            <w:r w:rsidRPr="00807829">
              <w:t>Plan 2014.</w:t>
            </w:r>
          </w:p>
        </w:tc>
        <w:tc>
          <w:tcPr>
            <w:tcW w:w="1486" w:type="dxa"/>
            <w:shd w:val="clear" w:color="auto" w:fill="B5C0D8"/>
          </w:tcPr>
          <w:p w:rsidR="00D849AA" w:rsidRPr="00807829" w:rsidRDefault="00EE6D95">
            <w:pPr>
              <w:pStyle w:val="CellHeader"/>
            </w:pPr>
            <w:r w:rsidRPr="00807829">
              <w:t>Plan 2015.</w:t>
            </w:r>
          </w:p>
        </w:tc>
        <w:tc>
          <w:tcPr>
            <w:tcW w:w="1486" w:type="dxa"/>
            <w:shd w:val="clear" w:color="auto" w:fill="B5C0D8"/>
          </w:tcPr>
          <w:p w:rsidR="00D849AA" w:rsidRPr="00807829" w:rsidRDefault="00EE6D95">
            <w:pPr>
              <w:pStyle w:val="CellHeader"/>
            </w:pPr>
            <w:r w:rsidRPr="00807829">
              <w:t>Plan 2016.</w:t>
            </w:r>
          </w:p>
        </w:tc>
        <w:tc>
          <w:tcPr>
            <w:tcW w:w="1486" w:type="dxa"/>
            <w:shd w:val="clear" w:color="auto" w:fill="B5C0D8"/>
          </w:tcPr>
          <w:p w:rsidR="00D849AA" w:rsidRPr="00807829" w:rsidRDefault="00EE6D95">
            <w:pPr>
              <w:pStyle w:val="CellHeader"/>
            </w:pPr>
            <w:r w:rsidRPr="00807829">
              <w:t>Indeks 2014/2013</w:t>
            </w:r>
          </w:p>
        </w:tc>
      </w:tr>
      <w:tr w:rsidR="00D849AA">
        <w:trPr>
          <w:jc w:val="center"/>
        </w:trPr>
        <w:tc>
          <w:tcPr>
            <w:tcW w:w="1486" w:type="dxa"/>
          </w:tcPr>
          <w:p w:rsidR="00D849AA" w:rsidRPr="00807829" w:rsidRDefault="00EE6D95">
            <w:pPr>
              <w:pStyle w:val="CellColumn"/>
            </w:pPr>
            <w:r w:rsidRPr="00807829">
              <w:t>A576060</w:t>
            </w:r>
          </w:p>
        </w:tc>
        <w:tc>
          <w:tcPr>
            <w:tcW w:w="1486" w:type="dxa"/>
          </w:tcPr>
          <w:p w:rsidR="00D849AA" w:rsidRPr="00807829" w:rsidRDefault="00EE6D95">
            <w:pPr>
              <w:rPr>
                <w:rFonts w:ascii="Arial" w:hAnsi="Arial" w:cs="Arial"/>
              </w:rPr>
            </w:pPr>
            <w:r w:rsidRPr="00807829">
              <w:rPr>
                <w:rFonts w:ascii="Arial" w:hAnsi="Arial" w:cs="Arial"/>
              </w:rPr>
              <w:t>5.650.000</w:t>
            </w:r>
          </w:p>
        </w:tc>
        <w:tc>
          <w:tcPr>
            <w:tcW w:w="1486" w:type="dxa"/>
          </w:tcPr>
          <w:p w:rsidR="00D849AA" w:rsidRPr="00807829" w:rsidRDefault="00EE6D95">
            <w:pPr>
              <w:rPr>
                <w:rFonts w:ascii="Arial" w:hAnsi="Arial" w:cs="Arial"/>
              </w:rPr>
            </w:pPr>
            <w:r w:rsidRPr="00807829">
              <w:rPr>
                <w:rFonts w:ascii="Arial" w:hAnsi="Arial" w:cs="Arial"/>
              </w:rPr>
              <w:t>3.750.000</w:t>
            </w:r>
          </w:p>
        </w:tc>
        <w:tc>
          <w:tcPr>
            <w:tcW w:w="1486" w:type="dxa"/>
          </w:tcPr>
          <w:p w:rsidR="00D849AA" w:rsidRPr="00807829" w:rsidRDefault="00EE6D95">
            <w:pPr>
              <w:rPr>
                <w:rFonts w:ascii="Arial" w:hAnsi="Arial" w:cs="Arial"/>
              </w:rPr>
            </w:pPr>
            <w:r w:rsidRPr="00807829">
              <w:rPr>
                <w:rFonts w:ascii="Arial" w:hAnsi="Arial" w:cs="Arial"/>
              </w:rPr>
              <w:t>3.950.000</w:t>
            </w:r>
          </w:p>
        </w:tc>
        <w:tc>
          <w:tcPr>
            <w:tcW w:w="1486" w:type="dxa"/>
          </w:tcPr>
          <w:p w:rsidR="00D849AA" w:rsidRPr="00807829" w:rsidRDefault="00EE6D95">
            <w:pPr>
              <w:rPr>
                <w:rFonts w:ascii="Arial" w:hAnsi="Arial" w:cs="Arial"/>
              </w:rPr>
            </w:pPr>
            <w:r w:rsidRPr="00807829">
              <w:rPr>
                <w:rFonts w:ascii="Arial" w:hAnsi="Arial" w:cs="Arial"/>
              </w:rPr>
              <w:t>3.950.000</w:t>
            </w:r>
          </w:p>
        </w:tc>
        <w:tc>
          <w:tcPr>
            <w:tcW w:w="1486" w:type="dxa"/>
          </w:tcPr>
          <w:p w:rsidR="00D849AA" w:rsidRPr="00807829" w:rsidRDefault="00EE6D95">
            <w:pPr>
              <w:rPr>
                <w:rFonts w:ascii="Arial" w:hAnsi="Arial" w:cs="Arial"/>
              </w:rPr>
            </w:pPr>
            <w:r w:rsidRPr="00807829">
              <w:rPr>
                <w:rFonts w:ascii="Arial" w:hAnsi="Arial" w:cs="Arial"/>
              </w:rPr>
              <w:t>66,4</w:t>
            </w:r>
          </w:p>
        </w:tc>
      </w:tr>
    </w:tbl>
    <w:p w:rsidR="00D849AA" w:rsidRDefault="00D849AA">
      <w:pPr>
        <w:jc w:val="left"/>
      </w:pPr>
    </w:p>
    <w:p w:rsidR="00D849AA" w:rsidRDefault="00EE6D95">
      <w:pPr>
        <w:pStyle w:val="Normal6"/>
      </w:pPr>
      <w:r>
        <w:t xml:space="preserve">Aktivnost se odnosi na provedbu nadzora građevinske inspekcije nad zakonitošću rada sudionika u gradnji i nad kvalitetom građenja te poduzimanje propisanih mjera u slučajevima povrede zakona koji reguliraju gradnju. Posebni strateški cilj je unaprijediti zakonitost i kvalitetu gradnje u Republici Hrvatskoj provođenjem planiranih inspekcijskih nadzora radi pravovremenog suzbijanja nezakonite gradnje odnosno unaprijeđenja stanja u području graditeljstva.  </w:t>
      </w:r>
    </w:p>
    <w:p w:rsidR="00D849AA" w:rsidRDefault="00EE6D95">
      <w:pPr>
        <w:pStyle w:val="Normal6"/>
      </w:pPr>
      <w:r>
        <w:t xml:space="preserve">Navedena aktivnost uključuje i ulogu građevinske inspekcije u postupanju sa prethodno nezakonito izgrađenim zgradama. Naime, u narednom trogodišnjem razdoblju (2014.-2016.) inspekcija će pratiti stanje do pravomoćnog završetka postupaka ozakonjenja, te </w:t>
      </w:r>
      <w:r>
        <w:lastRenderedPageBreak/>
        <w:t xml:space="preserve">ukoliko je potrebno provoditi postupke prisilnog uklanjanja onih građevina koje se nisu ozakonile.  </w:t>
      </w:r>
    </w:p>
    <w:p w:rsidR="00D849AA" w:rsidRDefault="00EE6D95">
      <w:pPr>
        <w:pStyle w:val="Normal6"/>
      </w:pPr>
      <w:r>
        <w:t xml:space="preserve">Pokazatelje rezultata svih aktivnosti inspekcije moguće je osim brojem nadzora pratiti i brojem građevina koje su promijenile pravni status zakonitosti nakon postupanja inspekcije. Npr. tijekom 2012. godine ukupno se ozakonilo 990, a prisilno je uklonjeno iz prostora 480 nezakonitih građevina za koje je vođen inspekcijski postupak. Prema podacima za 2013. godinu, već u prvih devet mjeseci 2105 građevina (za koje je vođen inspekcijski postupak) promijenilo je pravni status, a uklonjeno je iz prostora 580 nezakonitih građevina, što ukazuje na postepeno uvođenje reda u prostor putem postupanja građevinske inspekcije.  </w:t>
      </w:r>
    </w:p>
    <w:p w:rsidR="00D849AA" w:rsidRDefault="00EE6D95">
      <w:pPr>
        <w:pStyle w:val="Normal6"/>
      </w:pPr>
      <w:r>
        <w:t xml:space="preserve">Inspekcija učinak svojih aktivnosti može mjeriti brojem nadzora u kojima su sudjelovali svi sudionici u gradnji (izvođači, stručni nadzor i drugi), a koji nisu povrijedili propise. Povećanje tog postotka ukazuje na podizanje svijesti sudionika u gradnji o tome da je zakonitost i kvaliteta svake pojedine gradnje ne samo privatni nego i javni interes. </w:t>
      </w:r>
    </w:p>
    <w:p w:rsidR="00D849AA" w:rsidRDefault="00EE6D95">
      <w:pPr>
        <w:pStyle w:val="Normal6"/>
      </w:pPr>
      <w:r>
        <w:t>Uz jačanje ukupnih kapaciteta inspekcije i provedbu stalne unutarnje edukacije i usavršavanja znanja i stručnosti inspektora, u narednom razdoblju će se uspostaviti i informacijski sustav vezan za podatke o stanju u prostoru i pokazatelje rada inspekcije.</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807829" w:rsidRDefault="00EE6D95">
            <w:pPr>
              <w:rPr>
                <w:rFonts w:ascii="Arial" w:hAnsi="Arial" w:cs="Arial"/>
              </w:rPr>
            </w:pPr>
            <w:r w:rsidRPr="00807829">
              <w:rPr>
                <w:rFonts w:ascii="Arial" w:hAnsi="Arial" w:cs="Arial"/>
              </w:rPr>
              <w:t>Pokazatelj rezultata</w:t>
            </w:r>
          </w:p>
        </w:tc>
        <w:tc>
          <w:tcPr>
            <w:tcW w:w="1114" w:type="dxa"/>
            <w:shd w:val="clear" w:color="auto" w:fill="B5C0D8"/>
          </w:tcPr>
          <w:p w:rsidR="00D849AA" w:rsidRPr="00807829" w:rsidRDefault="00EE6D95">
            <w:pPr>
              <w:pStyle w:val="CellHeader"/>
            </w:pPr>
            <w:r w:rsidRPr="00807829">
              <w:t>Jedinica</w:t>
            </w:r>
          </w:p>
        </w:tc>
        <w:tc>
          <w:tcPr>
            <w:tcW w:w="1114" w:type="dxa"/>
            <w:shd w:val="clear" w:color="auto" w:fill="B5C0D8"/>
          </w:tcPr>
          <w:p w:rsidR="00D849AA" w:rsidRPr="00807829" w:rsidRDefault="00EE6D95">
            <w:pPr>
              <w:pStyle w:val="CellHeader"/>
            </w:pPr>
            <w:r w:rsidRPr="00807829">
              <w:t>Polazna vrijednost</w:t>
            </w:r>
          </w:p>
        </w:tc>
        <w:tc>
          <w:tcPr>
            <w:tcW w:w="1486" w:type="dxa"/>
            <w:shd w:val="clear" w:color="auto" w:fill="B5C0D8"/>
          </w:tcPr>
          <w:p w:rsidR="00D849AA" w:rsidRPr="00807829" w:rsidRDefault="00EE6D95">
            <w:pPr>
              <w:pStyle w:val="CellHeader"/>
            </w:pPr>
            <w:r w:rsidRPr="00807829">
              <w:t>Ciljana vrijednost (2014.)</w:t>
            </w:r>
          </w:p>
        </w:tc>
        <w:tc>
          <w:tcPr>
            <w:tcW w:w="1486" w:type="dxa"/>
            <w:shd w:val="clear" w:color="auto" w:fill="B5C0D8"/>
          </w:tcPr>
          <w:p w:rsidR="00D849AA" w:rsidRPr="00807829" w:rsidRDefault="00EE6D95">
            <w:pPr>
              <w:pStyle w:val="CellHeader"/>
            </w:pPr>
            <w:r w:rsidRPr="00807829">
              <w:t>Ciljana vrijednost (2015.)</w:t>
            </w:r>
          </w:p>
        </w:tc>
        <w:tc>
          <w:tcPr>
            <w:tcW w:w="1486" w:type="dxa"/>
            <w:shd w:val="clear" w:color="auto" w:fill="B5C0D8"/>
          </w:tcPr>
          <w:p w:rsidR="00D849AA" w:rsidRPr="00807829" w:rsidRDefault="00EE6D95">
            <w:pPr>
              <w:pStyle w:val="CellHeader"/>
            </w:pPr>
            <w:r w:rsidRPr="00807829">
              <w:t>Ciljana vrijednost (2016.)</w:t>
            </w:r>
          </w:p>
        </w:tc>
      </w:tr>
      <w:tr w:rsidR="00D849AA">
        <w:trPr>
          <w:jc w:val="center"/>
        </w:trPr>
        <w:tc>
          <w:tcPr>
            <w:tcW w:w="2229" w:type="dxa"/>
          </w:tcPr>
          <w:p w:rsidR="00D849AA" w:rsidRPr="00807829" w:rsidRDefault="00EE6D95">
            <w:pPr>
              <w:pStyle w:val="CellColumn"/>
            </w:pPr>
            <w:r w:rsidRPr="00807829">
              <w:t>Povećanje broja građevina koje su  nakon postupanja inspekcije usklađene sa propisima</w:t>
            </w:r>
          </w:p>
        </w:tc>
        <w:tc>
          <w:tcPr>
            <w:tcW w:w="1114" w:type="dxa"/>
          </w:tcPr>
          <w:p w:rsidR="00D849AA" w:rsidRPr="00807829" w:rsidRDefault="00EE6D95">
            <w:pPr>
              <w:rPr>
                <w:rFonts w:ascii="Arial" w:hAnsi="Arial" w:cs="Arial"/>
              </w:rPr>
            </w:pPr>
            <w:r w:rsidRPr="00807829">
              <w:rPr>
                <w:rFonts w:ascii="Arial" w:hAnsi="Arial" w:cs="Arial"/>
              </w:rPr>
              <w:t>broj</w:t>
            </w:r>
          </w:p>
        </w:tc>
        <w:tc>
          <w:tcPr>
            <w:tcW w:w="1114" w:type="dxa"/>
          </w:tcPr>
          <w:p w:rsidR="00D849AA" w:rsidRPr="00807829" w:rsidRDefault="00EE6D95">
            <w:pPr>
              <w:rPr>
                <w:rFonts w:ascii="Arial" w:hAnsi="Arial" w:cs="Arial"/>
              </w:rPr>
            </w:pPr>
            <w:r w:rsidRPr="00807829">
              <w:rPr>
                <w:rFonts w:ascii="Arial" w:hAnsi="Arial" w:cs="Arial"/>
              </w:rPr>
              <w:t>1470</w:t>
            </w:r>
          </w:p>
        </w:tc>
        <w:tc>
          <w:tcPr>
            <w:tcW w:w="1486" w:type="dxa"/>
          </w:tcPr>
          <w:p w:rsidR="00D849AA" w:rsidRPr="00807829" w:rsidRDefault="00EE6D95">
            <w:pPr>
              <w:rPr>
                <w:rFonts w:ascii="Arial" w:hAnsi="Arial" w:cs="Arial"/>
              </w:rPr>
            </w:pPr>
            <w:r w:rsidRPr="00807829">
              <w:rPr>
                <w:rFonts w:ascii="Arial" w:hAnsi="Arial" w:cs="Arial"/>
              </w:rPr>
              <w:t>5000</w:t>
            </w:r>
          </w:p>
        </w:tc>
        <w:tc>
          <w:tcPr>
            <w:tcW w:w="1486" w:type="dxa"/>
          </w:tcPr>
          <w:p w:rsidR="00D849AA" w:rsidRPr="00807829" w:rsidRDefault="00EE6D95">
            <w:pPr>
              <w:rPr>
                <w:rFonts w:ascii="Arial" w:hAnsi="Arial" w:cs="Arial"/>
              </w:rPr>
            </w:pPr>
            <w:r w:rsidRPr="00807829">
              <w:rPr>
                <w:rFonts w:ascii="Arial" w:hAnsi="Arial" w:cs="Arial"/>
              </w:rPr>
              <w:t>10000</w:t>
            </w:r>
          </w:p>
        </w:tc>
        <w:tc>
          <w:tcPr>
            <w:tcW w:w="1486" w:type="dxa"/>
          </w:tcPr>
          <w:p w:rsidR="00D849AA" w:rsidRPr="00807829" w:rsidRDefault="00EE6D95">
            <w:pPr>
              <w:rPr>
                <w:rFonts w:ascii="Arial" w:hAnsi="Arial" w:cs="Arial"/>
              </w:rPr>
            </w:pPr>
            <w:r w:rsidRPr="00807829">
              <w:rPr>
                <w:rFonts w:ascii="Arial" w:hAnsi="Arial" w:cs="Arial"/>
              </w:rPr>
              <w:t>15000</w:t>
            </w:r>
          </w:p>
        </w:tc>
      </w:tr>
    </w:tbl>
    <w:p w:rsidR="00D849AA" w:rsidRDefault="00D849AA">
      <w:pPr>
        <w:jc w:val="left"/>
      </w:pPr>
    </w:p>
    <w:p w:rsidR="00D849AA" w:rsidRDefault="00EE6D95">
      <w:pPr>
        <w:pStyle w:val="Naslov6"/>
      </w:pPr>
      <w:r>
        <w:t>A576115 USKLAĐIVANJE GRAĐEVNO-TEHNIČKOGA ZAKONODAVSTVA S TEHNIČKIM ZAKONODAVSTVOM EU</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807829" w:rsidRDefault="00EE6D95">
            <w:pPr>
              <w:pStyle w:val="CellHeader"/>
            </w:pPr>
            <w:r w:rsidRPr="00807829">
              <w:t>Naziv aktivnosti</w:t>
            </w:r>
          </w:p>
        </w:tc>
        <w:tc>
          <w:tcPr>
            <w:tcW w:w="1486" w:type="dxa"/>
            <w:shd w:val="clear" w:color="auto" w:fill="B5C0D8"/>
          </w:tcPr>
          <w:p w:rsidR="00D849AA" w:rsidRPr="00807829" w:rsidRDefault="00EE6D95">
            <w:pPr>
              <w:pStyle w:val="CellHeader"/>
            </w:pPr>
            <w:r w:rsidRPr="00807829">
              <w:t>Plan 2013.</w:t>
            </w:r>
          </w:p>
        </w:tc>
        <w:tc>
          <w:tcPr>
            <w:tcW w:w="1486" w:type="dxa"/>
            <w:shd w:val="clear" w:color="auto" w:fill="B5C0D8"/>
          </w:tcPr>
          <w:p w:rsidR="00D849AA" w:rsidRPr="00807829" w:rsidRDefault="00EE6D95">
            <w:pPr>
              <w:pStyle w:val="CellHeader"/>
            </w:pPr>
            <w:r w:rsidRPr="00807829">
              <w:t>Plan 2014.</w:t>
            </w:r>
          </w:p>
        </w:tc>
        <w:tc>
          <w:tcPr>
            <w:tcW w:w="1486" w:type="dxa"/>
            <w:shd w:val="clear" w:color="auto" w:fill="B5C0D8"/>
          </w:tcPr>
          <w:p w:rsidR="00D849AA" w:rsidRPr="00807829" w:rsidRDefault="00EE6D95">
            <w:pPr>
              <w:pStyle w:val="CellHeader"/>
            </w:pPr>
            <w:r w:rsidRPr="00807829">
              <w:t>Plan 2015.</w:t>
            </w:r>
          </w:p>
        </w:tc>
        <w:tc>
          <w:tcPr>
            <w:tcW w:w="1486" w:type="dxa"/>
            <w:shd w:val="clear" w:color="auto" w:fill="B5C0D8"/>
          </w:tcPr>
          <w:p w:rsidR="00D849AA" w:rsidRPr="00807829" w:rsidRDefault="00EE6D95">
            <w:pPr>
              <w:pStyle w:val="CellHeader"/>
            </w:pPr>
            <w:r w:rsidRPr="00807829">
              <w:t>Plan 2016.</w:t>
            </w:r>
          </w:p>
        </w:tc>
        <w:tc>
          <w:tcPr>
            <w:tcW w:w="1486" w:type="dxa"/>
            <w:shd w:val="clear" w:color="auto" w:fill="B5C0D8"/>
          </w:tcPr>
          <w:p w:rsidR="00D849AA" w:rsidRPr="00807829" w:rsidRDefault="00EE6D95">
            <w:pPr>
              <w:pStyle w:val="CellHeader"/>
            </w:pPr>
            <w:r w:rsidRPr="00807829">
              <w:t>Indeks 2014/2013</w:t>
            </w:r>
          </w:p>
        </w:tc>
      </w:tr>
      <w:tr w:rsidR="00D849AA">
        <w:trPr>
          <w:jc w:val="center"/>
        </w:trPr>
        <w:tc>
          <w:tcPr>
            <w:tcW w:w="1486" w:type="dxa"/>
          </w:tcPr>
          <w:p w:rsidR="00D849AA" w:rsidRPr="00807829" w:rsidRDefault="00EE6D95">
            <w:pPr>
              <w:pStyle w:val="CellColumn"/>
            </w:pPr>
            <w:r w:rsidRPr="00807829">
              <w:t>A576115</w:t>
            </w:r>
          </w:p>
        </w:tc>
        <w:tc>
          <w:tcPr>
            <w:tcW w:w="1486" w:type="dxa"/>
          </w:tcPr>
          <w:p w:rsidR="00D849AA" w:rsidRPr="00807829" w:rsidRDefault="00EE6D95">
            <w:pPr>
              <w:rPr>
                <w:rFonts w:ascii="Arial" w:hAnsi="Arial" w:cs="Arial"/>
              </w:rPr>
            </w:pPr>
            <w:r w:rsidRPr="00807829">
              <w:rPr>
                <w:rFonts w:ascii="Arial" w:hAnsi="Arial" w:cs="Arial"/>
              </w:rPr>
              <w:t>620.000</w:t>
            </w:r>
          </w:p>
        </w:tc>
        <w:tc>
          <w:tcPr>
            <w:tcW w:w="1486" w:type="dxa"/>
          </w:tcPr>
          <w:p w:rsidR="00D849AA" w:rsidRPr="00807829" w:rsidRDefault="00EE6D95">
            <w:pPr>
              <w:rPr>
                <w:rFonts w:ascii="Arial" w:hAnsi="Arial" w:cs="Arial"/>
              </w:rPr>
            </w:pPr>
            <w:r w:rsidRPr="00807829">
              <w:rPr>
                <w:rFonts w:ascii="Arial" w:hAnsi="Arial" w:cs="Arial"/>
              </w:rPr>
              <w:t>415.000</w:t>
            </w:r>
          </w:p>
        </w:tc>
        <w:tc>
          <w:tcPr>
            <w:tcW w:w="1486" w:type="dxa"/>
          </w:tcPr>
          <w:p w:rsidR="00D849AA" w:rsidRPr="00807829" w:rsidRDefault="00EE6D95">
            <w:pPr>
              <w:rPr>
                <w:rFonts w:ascii="Arial" w:hAnsi="Arial" w:cs="Arial"/>
              </w:rPr>
            </w:pPr>
            <w:r w:rsidRPr="00807829">
              <w:rPr>
                <w:rFonts w:ascii="Arial" w:hAnsi="Arial" w:cs="Arial"/>
              </w:rPr>
              <w:t>415.000</w:t>
            </w:r>
          </w:p>
        </w:tc>
        <w:tc>
          <w:tcPr>
            <w:tcW w:w="1486" w:type="dxa"/>
          </w:tcPr>
          <w:p w:rsidR="00D849AA" w:rsidRPr="00807829" w:rsidRDefault="00EE6D95">
            <w:pPr>
              <w:rPr>
                <w:rFonts w:ascii="Arial" w:hAnsi="Arial" w:cs="Arial"/>
              </w:rPr>
            </w:pPr>
            <w:r w:rsidRPr="00807829">
              <w:rPr>
                <w:rFonts w:ascii="Arial" w:hAnsi="Arial" w:cs="Arial"/>
              </w:rPr>
              <w:t>415.000</w:t>
            </w:r>
          </w:p>
        </w:tc>
        <w:tc>
          <w:tcPr>
            <w:tcW w:w="1486" w:type="dxa"/>
          </w:tcPr>
          <w:p w:rsidR="00D849AA" w:rsidRPr="00807829" w:rsidRDefault="00EE6D95">
            <w:pPr>
              <w:rPr>
                <w:rFonts w:ascii="Arial" w:hAnsi="Arial" w:cs="Arial"/>
              </w:rPr>
            </w:pPr>
            <w:r w:rsidRPr="00807829">
              <w:rPr>
                <w:rFonts w:ascii="Arial" w:hAnsi="Arial" w:cs="Arial"/>
              </w:rPr>
              <w:t>66,9</w:t>
            </w:r>
          </w:p>
        </w:tc>
      </w:tr>
    </w:tbl>
    <w:p w:rsidR="00D849AA" w:rsidRDefault="00D849AA">
      <w:pPr>
        <w:jc w:val="left"/>
      </w:pPr>
    </w:p>
    <w:p w:rsidR="00D849AA" w:rsidRDefault="00EE6D95">
      <w:pPr>
        <w:pStyle w:val="Normal6"/>
      </w:pPr>
      <w:r>
        <w:t>Donošenje regulatornog okvira graditeljstva (koje objedinjuje stručno-analitičke, upravne i normativne poslove graditeljstva te građevinarstvo kao gospodarsku djelatnost) te prijenos i primjena pravne stečevine EU u hrvatsko zakonodavstvo jedna je od glavnih zadaća Ministarstva u segmentu graditeljstva.</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740"/>
        <w:gridCol w:w="1097"/>
        <w:gridCol w:w="1110"/>
        <w:gridCol w:w="1447"/>
        <w:gridCol w:w="1447"/>
        <w:gridCol w:w="1447"/>
      </w:tblGrid>
      <w:tr w:rsidR="00D849AA">
        <w:trPr>
          <w:jc w:val="center"/>
        </w:trPr>
        <w:tc>
          <w:tcPr>
            <w:tcW w:w="2229" w:type="dxa"/>
            <w:shd w:val="clear" w:color="auto" w:fill="B5C0D8"/>
          </w:tcPr>
          <w:p w:rsidR="00D849AA" w:rsidRPr="00807829" w:rsidRDefault="00EE6D95">
            <w:pPr>
              <w:rPr>
                <w:rFonts w:ascii="Arial" w:hAnsi="Arial" w:cs="Arial"/>
              </w:rPr>
            </w:pPr>
            <w:r w:rsidRPr="00807829">
              <w:rPr>
                <w:rFonts w:ascii="Arial" w:hAnsi="Arial" w:cs="Arial"/>
              </w:rPr>
              <w:t>Pokazatelj rezultata</w:t>
            </w:r>
          </w:p>
        </w:tc>
        <w:tc>
          <w:tcPr>
            <w:tcW w:w="1114" w:type="dxa"/>
            <w:shd w:val="clear" w:color="auto" w:fill="B5C0D8"/>
          </w:tcPr>
          <w:p w:rsidR="00D849AA" w:rsidRPr="00807829" w:rsidRDefault="00EE6D95">
            <w:pPr>
              <w:pStyle w:val="CellHeader"/>
            </w:pPr>
            <w:r w:rsidRPr="00807829">
              <w:t>Jedinica</w:t>
            </w:r>
          </w:p>
        </w:tc>
        <w:tc>
          <w:tcPr>
            <w:tcW w:w="1114" w:type="dxa"/>
            <w:shd w:val="clear" w:color="auto" w:fill="B5C0D8"/>
          </w:tcPr>
          <w:p w:rsidR="00D849AA" w:rsidRPr="00807829" w:rsidRDefault="00EE6D95">
            <w:pPr>
              <w:pStyle w:val="CellHeader"/>
            </w:pPr>
            <w:r w:rsidRPr="00807829">
              <w:t>Polazna vrijednost</w:t>
            </w:r>
          </w:p>
        </w:tc>
        <w:tc>
          <w:tcPr>
            <w:tcW w:w="1486" w:type="dxa"/>
            <w:shd w:val="clear" w:color="auto" w:fill="B5C0D8"/>
          </w:tcPr>
          <w:p w:rsidR="00D849AA" w:rsidRPr="00807829" w:rsidRDefault="00EE6D95">
            <w:pPr>
              <w:pStyle w:val="CellHeader"/>
            </w:pPr>
            <w:r w:rsidRPr="00807829">
              <w:t>Ciljana vrijednost (2014.)</w:t>
            </w:r>
          </w:p>
        </w:tc>
        <w:tc>
          <w:tcPr>
            <w:tcW w:w="1486" w:type="dxa"/>
            <w:shd w:val="clear" w:color="auto" w:fill="B5C0D8"/>
          </w:tcPr>
          <w:p w:rsidR="00D849AA" w:rsidRPr="00807829" w:rsidRDefault="00EE6D95">
            <w:pPr>
              <w:pStyle w:val="CellHeader"/>
            </w:pPr>
            <w:r w:rsidRPr="00807829">
              <w:t>Ciljana vrijednost (2015.)</w:t>
            </w:r>
          </w:p>
        </w:tc>
        <w:tc>
          <w:tcPr>
            <w:tcW w:w="1486" w:type="dxa"/>
            <w:shd w:val="clear" w:color="auto" w:fill="B5C0D8"/>
          </w:tcPr>
          <w:p w:rsidR="00D849AA" w:rsidRPr="00807829" w:rsidRDefault="00EE6D95">
            <w:pPr>
              <w:pStyle w:val="CellHeader"/>
            </w:pPr>
            <w:r w:rsidRPr="00807829">
              <w:t>Ciljana vrijednost (2016.)</w:t>
            </w:r>
          </w:p>
        </w:tc>
      </w:tr>
      <w:tr w:rsidR="00D849AA">
        <w:trPr>
          <w:jc w:val="center"/>
        </w:trPr>
        <w:tc>
          <w:tcPr>
            <w:tcW w:w="2229" w:type="dxa"/>
          </w:tcPr>
          <w:p w:rsidR="00D849AA" w:rsidRPr="00807829" w:rsidRDefault="00EE6D95">
            <w:pPr>
              <w:pStyle w:val="CellColumn"/>
            </w:pPr>
            <w:r w:rsidRPr="00807829">
              <w:t xml:space="preserve">Održavanje razine postotka propisa kojima se uređuje uže područje graditeljstva </w:t>
            </w:r>
            <w:r w:rsidRPr="00807829">
              <w:lastRenderedPageBreak/>
              <w:t>koji se u jednoj godini donose/usklađuju/preispituju (s ciljem da se u roku od 3 godine cjelokupni skup propisa donese/uskladi/preispita)</w:t>
            </w:r>
          </w:p>
        </w:tc>
        <w:tc>
          <w:tcPr>
            <w:tcW w:w="1114" w:type="dxa"/>
          </w:tcPr>
          <w:p w:rsidR="00D849AA" w:rsidRPr="00807829" w:rsidRDefault="00EE6D95">
            <w:pPr>
              <w:rPr>
                <w:rFonts w:ascii="Arial" w:hAnsi="Arial" w:cs="Arial"/>
              </w:rPr>
            </w:pPr>
            <w:r w:rsidRPr="00807829">
              <w:rPr>
                <w:rFonts w:ascii="Arial" w:hAnsi="Arial" w:cs="Arial"/>
              </w:rPr>
              <w:lastRenderedPageBreak/>
              <w:t>%</w:t>
            </w:r>
          </w:p>
        </w:tc>
        <w:tc>
          <w:tcPr>
            <w:tcW w:w="1114" w:type="dxa"/>
          </w:tcPr>
          <w:p w:rsidR="00D849AA" w:rsidRPr="00807829" w:rsidRDefault="00EE6D95">
            <w:pPr>
              <w:rPr>
                <w:rFonts w:ascii="Arial" w:hAnsi="Arial" w:cs="Arial"/>
              </w:rPr>
            </w:pPr>
            <w:r w:rsidRPr="00807829">
              <w:rPr>
                <w:rFonts w:ascii="Arial" w:hAnsi="Arial" w:cs="Arial"/>
              </w:rPr>
              <w:t>40</w:t>
            </w:r>
          </w:p>
        </w:tc>
        <w:tc>
          <w:tcPr>
            <w:tcW w:w="1486" w:type="dxa"/>
          </w:tcPr>
          <w:p w:rsidR="00D849AA" w:rsidRPr="00807829" w:rsidRDefault="00EE6D95">
            <w:pPr>
              <w:rPr>
                <w:rFonts w:ascii="Arial" w:hAnsi="Arial" w:cs="Arial"/>
              </w:rPr>
            </w:pPr>
            <w:r w:rsidRPr="00807829">
              <w:rPr>
                <w:rFonts w:ascii="Arial" w:hAnsi="Arial" w:cs="Arial"/>
              </w:rPr>
              <w:t>20</w:t>
            </w:r>
          </w:p>
        </w:tc>
        <w:tc>
          <w:tcPr>
            <w:tcW w:w="1486" w:type="dxa"/>
          </w:tcPr>
          <w:p w:rsidR="00D849AA" w:rsidRPr="00807829" w:rsidRDefault="00EE6D95">
            <w:pPr>
              <w:rPr>
                <w:rFonts w:ascii="Arial" w:hAnsi="Arial" w:cs="Arial"/>
              </w:rPr>
            </w:pPr>
            <w:r w:rsidRPr="00807829">
              <w:rPr>
                <w:rFonts w:ascii="Arial" w:hAnsi="Arial" w:cs="Arial"/>
              </w:rPr>
              <w:t>40</w:t>
            </w:r>
          </w:p>
        </w:tc>
        <w:tc>
          <w:tcPr>
            <w:tcW w:w="1486" w:type="dxa"/>
          </w:tcPr>
          <w:p w:rsidR="00D849AA" w:rsidRPr="00807829" w:rsidRDefault="00EE6D95">
            <w:pPr>
              <w:rPr>
                <w:rFonts w:ascii="Arial" w:hAnsi="Arial" w:cs="Arial"/>
              </w:rPr>
            </w:pPr>
            <w:r w:rsidRPr="00807829">
              <w:rPr>
                <w:rFonts w:ascii="Arial" w:hAnsi="Arial" w:cs="Arial"/>
              </w:rPr>
              <w:t>30</w:t>
            </w:r>
          </w:p>
        </w:tc>
      </w:tr>
    </w:tbl>
    <w:p w:rsidR="00D849AA" w:rsidRDefault="00D849AA">
      <w:pPr>
        <w:jc w:val="left"/>
      </w:pPr>
    </w:p>
    <w:p w:rsidR="00D849AA" w:rsidRDefault="00EE6D95">
      <w:pPr>
        <w:pStyle w:val="Naslov6"/>
      </w:pPr>
      <w:r>
        <w:t>A576187 STRUČNI ISPITI I DRUGE AKTIVNOSTI OVLAŠĆIVANJA FIZIČKIH I PRAVNIH OSOBA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807829" w:rsidRDefault="00EE6D95">
            <w:pPr>
              <w:pStyle w:val="CellHeader"/>
            </w:pPr>
            <w:r w:rsidRPr="00807829">
              <w:t>Naziv aktivnosti</w:t>
            </w:r>
          </w:p>
        </w:tc>
        <w:tc>
          <w:tcPr>
            <w:tcW w:w="1486" w:type="dxa"/>
            <w:shd w:val="clear" w:color="auto" w:fill="B5C0D8"/>
          </w:tcPr>
          <w:p w:rsidR="00D849AA" w:rsidRPr="00807829" w:rsidRDefault="00EE6D95">
            <w:pPr>
              <w:pStyle w:val="CellHeader"/>
            </w:pPr>
            <w:r w:rsidRPr="00807829">
              <w:t>Plan 2013.</w:t>
            </w:r>
          </w:p>
        </w:tc>
        <w:tc>
          <w:tcPr>
            <w:tcW w:w="1486" w:type="dxa"/>
            <w:shd w:val="clear" w:color="auto" w:fill="B5C0D8"/>
          </w:tcPr>
          <w:p w:rsidR="00D849AA" w:rsidRPr="00807829" w:rsidRDefault="00EE6D95">
            <w:pPr>
              <w:pStyle w:val="CellHeader"/>
            </w:pPr>
            <w:r w:rsidRPr="00807829">
              <w:t>Plan 2014.</w:t>
            </w:r>
          </w:p>
        </w:tc>
        <w:tc>
          <w:tcPr>
            <w:tcW w:w="1486" w:type="dxa"/>
            <w:shd w:val="clear" w:color="auto" w:fill="B5C0D8"/>
          </w:tcPr>
          <w:p w:rsidR="00D849AA" w:rsidRPr="00807829" w:rsidRDefault="00EE6D95">
            <w:pPr>
              <w:pStyle w:val="CellHeader"/>
            </w:pPr>
            <w:r w:rsidRPr="00807829">
              <w:t>Plan 2015.</w:t>
            </w:r>
          </w:p>
        </w:tc>
        <w:tc>
          <w:tcPr>
            <w:tcW w:w="1486" w:type="dxa"/>
            <w:shd w:val="clear" w:color="auto" w:fill="B5C0D8"/>
          </w:tcPr>
          <w:p w:rsidR="00D849AA" w:rsidRPr="00807829" w:rsidRDefault="00EE6D95">
            <w:pPr>
              <w:pStyle w:val="CellHeader"/>
            </w:pPr>
            <w:r w:rsidRPr="00807829">
              <w:t>Plan 2016.</w:t>
            </w:r>
          </w:p>
        </w:tc>
        <w:tc>
          <w:tcPr>
            <w:tcW w:w="1486" w:type="dxa"/>
            <w:shd w:val="clear" w:color="auto" w:fill="B5C0D8"/>
          </w:tcPr>
          <w:p w:rsidR="00D849AA" w:rsidRPr="00807829" w:rsidRDefault="00EE6D95">
            <w:pPr>
              <w:pStyle w:val="CellHeader"/>
            </w:pPr>
            <w:r w:rsidRPr="00807829">
              <w:t>Indeks 2014/2013</w:t>
            </w:r>
          </w:p>
        </w:tc>
      </w:tr>
      <w:tr w:rsidR="00D849AA">
        <w:trPr>
          <w:jc w:val="center"/>
        </w:trPr>
        <w:tc>
          <w:tcPr>
            <w:tcW w:w="1486" w:type="dxa"/>
          </w:tcPr>
          <w:p w:rsidR="00D849AA" w:rsidRPr="00807829" w:rsidRDefault="00EE6D95">
            <w:pPr>
              <w:pStyle w:val="CellColumn"/>
            </w:pPr>
            <w:r w:rsidRPr="00807829">
              <w:t>A576187</w:t>
            </w:r>
          </w:p>
        </w:tc>
        <w:tc>
          <w:tcPr>
            <w:tcW w:w="1486" w:type="dxa"/>
          </w:tcPr>
          <w:p w:rsidR="00D849AA" w:rsidRPr="00807829" w:rsidRDefault="00EE6D95">
            <w:pPr>
              <w:rPr>
                <w:rFonts w:ascii="Arial" w:hAnsi="Arial" w:cs="Arial"/>
              </w:rPr>
            </w:pPr>
            <w:r w:rsidRPr="00807829">
              <w:rPr>
                <w:rFonts w:ascii="Arial" w:hAnsi="Arial" w:cs="Arial"/>
              </w:rPr>
              <w:t>1.195.000</w:t>
            </w:r>
          </w:p>
        </w:tc>
        <w:tc>
          <w:tcPr>
            <w:tcW w:w="1486" w:type="dxa"/>
          </w:tcPr>
          <w:p w:rsidR="00D849AA" w:rsidRPr="00807829" w:rsidRDefault="00EE6D95">
            <w:pPr>
              <w:rPr>
                <w:rFonts w:ascii="Arial" w:hAnsi="Arial" w:cs="Arial"/>
              </w:rPr>
            </w:pPr>
            <w:r w:rsidRPr="00807829">
              <w:rPr>
                <w:rFonts w:ascii="Arial" w:hAnsi="Arial" w:cs="Arial"/>
              </w:rPr>
              <w:t>1.400.000</w:t>
            </w:r>
          </w:p>
        </w:tc>
        <w:tc>
          <w:tcPr>
            <w:tcW w:w="1486" w:type="dxa"/>
          </w:tcPr>
          <w:p w:rsidR="00D849AA" w:rsidRPr="00807829" w:rsidRDefault="00EE6D95">
            <w:pPr>
              <w:rPr>
                <w:rFonts w:ascii="Arial" w:hAnsi="Arial" w:cs="Arial"/>
              </w:rPr>
            </w:pPr>
            <w:r w:rsidRPr="00807829">
              <w:rPr>
                <w:rFonts w:ascii="Arial" w:hAnsi="Arial" w:cs="Arial"/>
              </w:rPr>
              <w:t>1.400.000</w:t>
            </w:r>
          </w:p>
        </w:tc>
        <w:tc>
          <w:tcPr>
            <w:tcW w:w="1486" w:type="dxa"/>
          </w:tcPr>
          <w:p w:rsidR="00D849AA" w:rsidRPr="00807829" w:rsidRDefault="00EE6D95">
            <w:pPr>
              <w:rPr>
                <w:rFonts w:ascii="Arial" w:hAnsi="Arial" w:cs="Arial"/>
              </w:rPr>
            </w:pPr>
            <w:r w:rsidRPr="00807829">
              <w:rPr>
                <w:rFonts w:ascii="Arial" w:hAnsi="Arial" w:cs="Arial"/>
              </w:rPr>
              <w:t>1.400.000</w:t>
            </w:r>
          </w:p>
        </w:tc>
        <w:tc>
          <w:tcPr>
            <w:tcW w:w="1486" w:type="dxa"/>
          </w:tcPr>
          <w:p w:rsidR="00D849AA" w:rsidRPr="00807829" w:rsidRDefault="00EE6D95">
            <w:pPr>
              <w:rPr>
                <w:rFonts w:ascii="Arial" w:hAnsi="Arial" w:cs="Arial"/>
              </w:rPr>
            </w:pPr>
            <w:r w:rsidRPr="00807829">
              <w:rPr>
                <w:rFonts w:ascii="Arial" w:hAnsi="Arial" w:cs="Arial"/>
              </w:rPr>
              <w:t>117,2</w:t>
            </w:r>
          </w:p>
        </w:tc>
      </w:tr>
    </w:tbl>
    <w:p w:rsidR="00D849AA" w:rsidRDefault="00D849AA">
      <w:pPr>
        <w:jc w:val="left"/>
      </w:pPr>
    </w:p>
    <w:p w:rsidR="00D849AA" w:rsidRDefault="00EE6D95">
      <w:pPr>
        <w:pStyle w:val="Normal6"/>
      </w:pPr>
      <w:r>
        <w:t>Provedbom stručnih ispita i drugih aktivnosti ovlašćivanja fizičkih i pravnih osoba osigurava se održavanje razine znanja i sposobnosti fizičkih i pravnih osoba koje rade određene poslove, odnosno koje se bave određenim djelatnostima u graditeljstvu. Fizičke i pravne osobe sa znanjem i sposobnostima doprinose gradnji tehnički ispravnih, sigurnih, pristupačnih i zdravstveno-ekološki primjerenih građevina.</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807829" w:rsidRDefault="00EE6D95">
            <w:pPr>
              <w:rPr>
                <w:rFonts w:ascii="Arial" w:hAnsi="Arial" w:cs="Arial"/>
              </w:rPr>
            </w:pPr>
            <w:r w:rsidRPr="00807829">
              <w:rPr>
                <w:rFonts w:ascii="Arial" w:hAnsi="Arial" w:cs="Arial"/>
              </w:rPr>
              <w:t>Pokazatelj rezultata</w:t>
            </w:r>
          </w:p>
        </w:tc>
        <w:tc>
          <w:tcPr>
            <w:tcW w:w="1114" w:type="dxa"/>
            <w:shd w:val="clear" w:color="auto" w:fill="B5C0D8"/>
          </w:tcPr>
          <w:p w:rsidR="00D849AA" w:rsidRPr="00807829" w:rsidRDefault="00EE6D95">
            <w:pPr>
              <w:pStyle w:val="CellHeader"/>
            </w:pPr>
            <w:r w:rsidRPr="00807829">
              <w:t>Jedinica</w:t>
            </w:r>
          </w:p>
        </w:tc>
        <w:tc>
          <w:tcPr>
            <w:tcW w:w="1114" w:type="dxa"/>
            <w:shd w:val="clear" w:color="auto" w:fill="B5C0D8"/>
          </w:tcPr>
          <w:p w:rsidR="00D849AA" w:rsidRPr="00807829" w:rsidRDefault="00EE6D95">
            <w:pPr>
              <w:pStyle w:val="CellHeader"/>
            </w:pPr>
            <w:r w:rsidRPr="00807829">
              <w:t>Polazna vrijednost</w:t>
            </w:r>
          </w:p>
        </w:tc>
        <w:tc>
          <w:tcPr>
            <w:tcW w:w="1486" w:type="dxa"/>
            <w:shd w:val="clear" w:color="auto" w:fill="B5C0D8"/>
          </w:tcPr>
          <w:p w:rsidR="00D849AA" w:rsidRPr="00807829" w:rsidRDefault="00EE6D95">
            <w:pPr>
              <w:pStyle w:val="CellHeader"/>
            </w:pPr>
            <w:r w:rsidRPr="00807829">
              <w:t>Ciljana vrijednost (2014.)</w:t>
            </w:r>
          </w:p>
        </w:tc>
        <w:tc>
          <w:tcPr>
            <w:tcW w:w="1486" w:type="dxa"/>
            <w:shd w:val="clear" w:color="auto" w:fill="B5C0D8"/>
          </w:tcPr>
          <w:p w:rsidR="00D849AA" w:rsidRPr="00807829" w:rsidRDefault="00EE6D95">
            <w:pPr>
              <w:pStyle w:val="CellHeader"/>
            </w:pPr>
            <w:r w:rsidRPr="00807829">
              <w:t>Ciljana vrijednost (2015.)</w:t>
            </w:r>
          </w:p>
        </w:tc>
        <w:tc>
          <w:tcPr>
            <w:tcW w:w="1486" w:type="dxa"/>
            <w:shd w:val="clear" w:color="auto" w:fill="B5C0D8"/>
          </w:tcPr>
          <w:p w:rsidR="00D849AA" w:rsidRPr="00807829" w:rsidRDefault="00EE6D95">
            <w:pPr>
              <w:pStyle w:val="CellHeader"/>
            </w:pPr>
            <w:r w:rsidRPr="00807829">
              <w:t>Ciljana vrijednost (2016.)</w:t>
            </w:r>
          </w:p>
        </w:tc>
      </w:tr>
      <w:tr w:rsidR="00D849AA">
        <w:trPr>
          <w:jc w:val="center"/>
        </w:trPr>
        <w:tc>
          <w:tcPr>
            <w:tcW w:w="2229" w:type="dxa"/>
          </w:tcPr>
          <w:p w:rsidR="00D849AA" w:rsidRPr="00807829" w:rsidRDefault="00EE6D95">
            <w:pPr>
              <w:pStyle w:val="CellColumn"/>
            </w:pPr>
            <w:r w:rsidRPr="00807829">
              <w:t>Održavanje razine postotka osoba koje su pristupile stručnom ispitu u godini prijave</w:t>
            </w:r>
          </w:p>
        </w:tc>
        <w:tc>
          <w:tcPr>
            <w:tcW w:w="1114" w:type="dxa"/>
          </w:tcPr>
          <w:p w:rsidR="00D849AA" w:rsidRPr="00807829" w:rsidRDefault="00EE6D95">
            <w:pPr>
              <w:rPr>
                <w:rFonts w:ascii="Arial" w:hAnsi="Arial" w:cs="Arial"/>
              </w:rPr>
            </w:pPr>
            <w:r w:rsidRPr="00807829">
              <w:rPr>
                <w:rFonts w:ascii="Arial" w:hAnsi="Arial" w:cs="Arial"/>
              </w:rPr>
              <w:t>%</w:t>
            </w:r>
          </w:p>
        </w:tc>
        <w:tc>
          <w:tcPr>
            <w:tcW w:w="1114" w:type="dxa"/>
          </w:tcPr>
          <w:p w:rsidR="00D849AA" w:rsidRPr="00807829" w:rsidRDefault="00EE6D95">
            <w:pPr>
              <w:rPr>
                <w:rFonts w:ascii="Arial" w:hAnsi="Arial" w:cs="Arial"/>
              </w:rPr>
            </w:pPr>
            <w:r w:rsidRPr="00807829">
              <w:rPr>
                <w:rFonts w:ascii="Arial" w:hAnsi="Arial" w:cs="Arial"/>
              </w:rPr>
              <w:t>0</w:t>
            </w:r>
          </w:p>
        </w:tc>
        <w:tc>
          <w:tcPr>
            <w:tcW w:w="1486" w:type="dxa"/>
          </w:tcPr>
          <w:p w:rsidR="00D849AA" w:rsidRPr="00807829" w:rsidRDefault="00EE6D95">
            <w:pPr>
              <w:rPr>
                <w:rFonts w:ascii="Arial" w:hAnsi="Arial" w:cs="Arial"/>
              </w:rPr>
            </w:pPr>
            <w:r w:rsidRPr="00807829">
              <w:rPr>
                <w:rFonts w:ascii="Arial" w:hAnsi="Arial" w:cs="Arial"/>
              </w:rPr>
              <w:t>95</w:t>
            </w:r>
          </w:p>
        </w:tc>
        <w:tc>
          <w:tcPr>
            <w:tcW w:w="1486" w:type="dxa"/>
          </w:tcPr>
          <w:p w:rsidR="00D849AA" w:rsidRPr="00807829" w:rsidRDefault="00EE6D95">
            <w:pPr>
              <w:rPr>
                <w:rFonts w:ascii="Arial" w:hAnsi="Arial" w:cs="Arial"/>
              </w:rPr>
            </w:pPr>
            <w:r w:rsidRPr="00807829">
              <w:rPr>
                <w:rFonts w:ascii="Arial" w:hAnsi="Arial" w:cs="Arial"/>
              </w:rPr>
              <w:t>95</w:t>
            </w:r>
          </w:p>
        </w:tc>
        <w:tc>
          <w:tcPr>
            <w:tcW w:w="1486" w:type="dxa"/>
          </w:tcPr>
          <w:p w:rsidR="00D849AA" w:rsidRPr="00807829" w:rsidRDefault="00EE6D95">
            <w:pPr>
              <w:rPr>
                <w:rFonts w:ascii="Arial" w:hAnsi="Arial" w:cs="Arial"/>
              </w:rPr>
            </w:pPr>
            <w:r w:rsidRPr="00807829">
              <w:rPr>
                <w:rFonts w:ascii="Arial" w:hAnsi="Arial" w:cs="Arial"/>
              </w:rPr>
              <w:t>95</w:t>
            </w:r>
          </w:p>
        </w:tc>
      </w:tr>
      <w:tr w:rsidR="00D849AA">
        <w:trPr>
          <w:jc w:val="center"/>
        </w:trPr>
        <w:tc>
          <w:tcPr>
            <w:tcW w:w="2229" w:type="dxa"/>
          </w:tcPr>
          <w:p w:rsidR="00D849AA" w:rsidRPr="00807829" w:rsidRDefault="00EE6D95">
            <w:pPr>
              <w:pStyle w:val="CellColumn"/>
            </w:pPr>
            <w:r w:rsidRPr="00807829">
              <w:t>Održavanje razine postotka rješavanja po zahtjevima za ovlaštenja, suglasnosti i drugih akata kojima se profesionalnim osobama odobrava provedba reguliranih postupaka, u godini podnošenja zahtjeva</w:t>
            </w:r>
          </w:p>
        </w:tc>
        <w:tc>
          <w:tcPr>
            <w:tcW w:w="1114" w:type="dxa"/>
          </w:tcPr>
          <w:p w:rsidR="00D849AA" w:rsidRPr="00807829" w:rsidRDefault="00EE6D95">
            <w:pPr>
              <w:rPr>
                <w:rFonts w:ascii="Arial" w:hAnsi="Arial" w:cs="Arial"/>
              </w:rPr>
            </w:pPr>
            <w:r w:rsidRPr="00807829">
              <w:rPr>
                <w:rFonts w:ascii="Arial" w:hAnsi="Arial" w:cs="Arial"/>
              </w:rPr>
              <w:t>%</w:t>
            </w:r>
          </w:p>
        </w:tc>
        <w:tc>
          <w:tcPr>
            <w:tcW w:w="1114" w:type="dxa"/>
          </w:tcPr>
          <w:p w:rsidR="00D849AA" w:rsidRPr="00807829" w:rsidRDefault="00EE6D95">
            <w:pPr>
              <w:rPr>
                <w:rFonts w:ascii="Arial" w:hAnsi="Arial" w:cs="Arial"/>
              </w:rPr>
            </w:pPr>
            <w:r w:rsidRPr="00807829">
              <w:rPr>
                <w:rFonts w:ascii="Arial" w:hAnsi="Arial" w:cs="Arial"/>
              </w:rPr>
              <w:t>95</w:t>
            </w:r>
          </w:p>
        </w:tc>
        <w:tc>
          <w:tcPr>
            <w:tcW w:w="1486" w:type="dxa"/>
          </w:tcPr>
          <w:p w:rsidR="00D849AA" w:rsidRPr="00807829" w:rsidRDefault="00EE6D95">
            <w:pPr>
              <w:rPr>
                <w:rFonts w:ascii="Arial" w:hAnsi="Arial" w:cs="Arial"/>
              </w:rPr>
            </w:pPr>
            <w:r w:rsidRPr="00807829">
              <w:rPr>
                <w:rFonts w:ascii="Arial" w:hAnsi="Arial" w:cs="Arial"/>
              </w:rPr>
              <w:t>0</w:t>
            </w:r>
          </w:p>
        </w:tc>
        <w:tc>
          <w:tcPr>
            <w:tcW w:w="1486" w:type="dxa"/>
          </w:tcPr>
          <w:p w:rsidR="00D849AA" w:rsidRPr="00807829" w:rsidRDefault="00EE6D95">
            <w:pPr>
              <w:rPr>
                <w:rFonts w:ascii="Arial" w:hAnsi="Arial" w:cs="Arial"/>
              </w:rPr>
            </w:pPr>
            <w:r w:rsidRPr="00807829">
              <w:rPr>
                <w:rFonts w:ascii="Arial" w:hAnsi="Arial" w:cs="Arial"/>
              </w:rPr>
              <w:t>95</w:t>
            </w:r>
          </w:p>
        </w:tc>
        <w:tc>
          <w:tcPr>
            <w:tcW w:w="1486" w:type="dxa"/>
          </w:tcPr>
          <w:p w:rsidR="00D849AA" w:rsidRPr="00807829" w:rsidRDefault="00EE6D95">
            <w:pPr>
              <w:rPr>
                <w:rFonts w:ascii="Arial" w:hAnsi="Arial" w:cs="Arial"/>
              </w:rPr>
            </w:pPr>
            <w:r w:rsidRPr="00807829">
              <w:rPr>
                <w:rFonts w:ascii="Arial" w:hAnsi="Arial" w:cs="Arial"/>
              </w:rPr>
              <w:t>95</w:t>
            </w:r>
          </w:p>
        </w:tc>
      </w:tr>
    </w:tbl>
    <w:p w:rsidR="00D849AA" w:rsidRDefault="00D849AA">
      <w:pPr>
        <w:jc w:val="left"/>
      </w:pPr>
    </w:p>
    <w:p w:rsidR="00D849AA" w:rsidRDefault="00EE6D95">
      <w:pPr>
        <w:pStyle w:val="Naslov6"/>
      </w:pPr>
      <w:r>
        <w:t>A576190 TEHNIČKI PREGLEDI</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807829" w:rsidRDefault="00EE6D95">
            <w:pPr>
              <w:pStyle w:val="CellHeader"/>
            </w:pPr>
            <w:r w:rsidRPr="00807829">
              <w:t>Naziv aktivnosti</w:t>
            </w:r>
          </w:p>
        </w:tc>
        <w:tc>
          <w:tcPr>
            <w:tcW w:w="1486" w:type="dxa"/>
            <w:shd w:val="clear" w:color="auto" w:fill="B5C0D8"/>
          </w:tcPr>
          <w:p w:rsidR="00D849AA" w:rsidRPr="00807829" w:rsidRDefault="00EE6D95">
            <w:pPr>
              <w:pStyle w:val="CellHeader"/>
            </w:pPr>
            <w:r w:rsidRPr="00807829">
              <w:t>Plan 2013.</w:t>
            </w:r>
          </w:p>
        </w:tc>
        <w:tc>
          <w:tcPr>
            <w:tcW w:w="1486" w:type="dxa"/>
            <w:shd w:val="clear" w:color="auto" w:fill="B5C0D8"/>
          </w:tcPr>
          <w:p w:rsidR="00D849AA" w:rsidRPr="00807829" w:rsidRDefault="00EE6D95">
            <w:pPr>
              <w:pStyle w:val="CellHeader"/>
            </w:pPr>
            <w:r w:rsidRPr="00807829">
              <w:t>Plan 2014.</w:t>
            </w:r>
          </w:p>
        </w:tc>
        <w:tc>
          <w:tcPr>
            <w:tcW w:w="1486" w:type="dxa"/>
            <w:shd w:val="clear" w:color="auto" w:fill="B5C0D8"/>
          </w:tcPr>
          <w:p w:rsidR="00D849AA" w:rsidRPr="00807829" w:rsidRDefault="00EE6D95">
            <w:pPr>
              <w:pStyle w:val="CellHeader"/>
            </w:pPr>
            <w:r w:rsidRPr="00807829">
              <w:t>Plan 2015.</w:t>
            </w:r>
          </w:p>
        </w:tc>
        <w:tc>
          <w:tcPr>
            <w:tcW w:w="1486" w:type="dxa"/>
            <w:shd w:val="clear" w:color="auto" w:fill="B5C0D8"/>
          </w:tcPr>
          <w:p w:rsidR="00D849AA" w:rsidRPr="00807829" w:rsidRDefault="00EE6D95">
            <w:pPr>
              <w:pStyle w:val="CellHeader"/>
            </w:pPr>
            <w:r w:rsidRPr="00807829">
              <w:t>Plan 2016.</w:t>
            </w:r>
          </w:p>
        </w:tc>
        <w:tc>
          <w:tcPr>
            <w:tcW w:w="1486" w:type="dxa"/>
            <w:shd w:val="clear" w:color="auto" w:fill="B5C0D8"/>
          </w:tcPr>
          <w:p w:rsidR="00D849AA" w:rsidRPr="00807829" w:rsidRDefault="00EE6D95">
            <w:pPr>
              <w:pStyle w:val="CellHeader"/>
            </w:pPr>
            <w:r w:rsidRPr="00807829">
              <w:t>Indeks 2014/2013</w:t>
            </w:r>
          </w:p>
        </w:tc>
      </w:tr>
      <w:tr w:rsidR="00D849AA">
        <w:trPr>
          <w:jc w:val="center"/>
        </w:trPr>
        <w:tc>
          <w:tcPr>
            <w:tcW w:w="1486" w:type="dxa"/>
          </w:tcPr>
          <w:p w:rsidR="00D849AA" w:rsidRPr="00807829" w:rsidRDefault="00EE6D95">
            <w:pPr>
              <w:pStyle w:val="CellColumn"/>
            </w:pPr>
            <w:r w:rsidRPr="00807829">
              <w:t>A576190</w:t>
            </w:r>
          </w:p>
        </w:tc>
        <w:tc>
          <w:tcPr>
            <w:tcW w:w="1486" w:type="dxa"/>
          </w:tcPr>
          <w:p w:rsidR="00D849AA" w:rsidRPr="00807829" w:rsidRDefault="00EE6D95">
            <w:pPr>
              <w:rPr>
                <w:rFonts w:ascii="Arial" w:hAnsi="Arial" w:cs="Arial"/>
              </w:rPr>
            </w:pPr>
            <w:r w:rsidRPr="00807829">
              <w:rPr>
                <w:rFonts w:ascii="Arial" w:hAnsi="Arial" w:cs="Arial"/>
              </w:rPr>
              <w:t>400.000</w:t>
            </w:r>
          </w:p>
        </w:tc>
        <w:tc>
          <w:tcPr>
            <w:tcW w:w="1486" w:type="dxa"/>
          </w:tcPr>
          <w:p w:rsidR="00D849AA" w:rsidRPr="00807829" w:rsidRDefault="00EE6D95">
            <w:pPr>
              <w:rPr>
                <w:rFonts w:ascii="Arial" w:hAnsi="Arial" w:cs="Arial"/>
              </w:rPr>
            </w:pPr>
            <w:r w:rsidRPr="00807829">
              <w:rPr>
                <w:rFonts w:ascii="Arial" w:hAnsi="Arial" w:cs="Arial"/>
              </w:rPr>
              <w:t>500.000</w:t>
            </w:r>
          </w:p>
        </w:tc>
        <w:tc>
          <w:tcPr>
            <w:tcW w:w="1486" w:type="dxa"/>
          </w:tcPr>
          <w:p w:rsidR="00D849AA" w:rsidRPr="00807829" w:rsidRDefault="00EE6D95">
            <w:pPr>
              <w:rPr>
                <w:rFonts w:ascii="Arial" w:hAnsi="Arial" w:cs="Arial"/>
              </w:rPr>
            </w:pPr>
            <w:r w:rsidRPr="00807829">
              <w:rPr>
                <w:rFonts w:ascii="Arial" w:hAnsi="Arial" w:cs="Arial"/>
              </w:rPr>
              <w:t>500.000</w:t>
            </w:r>
          </w:p>
        </w:tc>
        <w:tc>
          <w:tcPr>
            <w:tcW w:w="1486" w:type="dxa"/>
          </w:tcPr>
          <w:p w:rsidR="00D849AA" w:rsidRPr="00807829" w:rsidRDefault="00EE6D95">
            <w:pPr>
              <w:rPr>
                <w:rFonts w:ascii="Arial" w:hAnsi="Arial" w:cs="Arial"/>
              </w:rPr>
            </w:pPr>
            <w:r w:rsidRPr="00807829">
              <w:rPr>
                <w:rFonts w:ascii="Arial" w:hAnsi="Arial" w:cs="Arial"/>
              </w:rPr>
              <w:t>500.000</w:t>
            </w:r>
          </w:p>
        </w:tc>
        <w:tc>
          <w:tcPr>
            <w:tcW w:w="1486" w:type="dxa"/>
          </w:tcPr>
          <w:p w:rsidR="00D849AA" w:rsidRPr="00807829" w:rsidRDefault="00EE6D95">
            <w:pPr>
              <w:rPr>
                <w:rFonts w:ascii="Arial" w:hAnsi="Arial" w:cs="Arial"/>
              </w:rPr>
            </w:pPr>
            <w:r w:rsidRPr="00807829">
              <w:rPr>
                <w:rFonts w:ascii="Arial" w:hAnsi="Arial" w:cs="Arial"/>
              </w:rPr>
              <w:t>125,0</w:t>
            </w:r>
          </w:p>
        </w:tc>
      </w:tr>
    </w:tbl>
    <w:p w:rsidR="00D849AA" w:rsidRDefault="00D849AA">
      <w:pPr>
        <w:jc w:val="left"/>
      </w:pPr>
    </w:p>
    <w:p w:rsidR="00D849AA" w:rsidRDefault="00EE6D95">
      <w:pPr>
        <w:pStyle w:val="Normal6"/>
      </w:pPr>
      <w:r>
        <w:lastRenderedPageBreak/>
        <w:t>Prije početka uporabe građevine provodi se tehnički pregled na kojem se utvrđuje je li građevina izgrađena u skladu s glavnim projektom koji je sastavni dio građevinske dozvole po kojoj je trebala biti izgrađena. Građevina izgrađena u skladu s projektom smatra se tehnički ispravnom, sigurnom, pristupačnom i zdrastveno-ekološki primjerenom građevinom.</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807829" w:rsidRDefault="00EE6D95">
            <w:pPr>
              <w:rPr>
                <w:rFonts w:ascii="Arial" w:hAnsi="Arial" w:cs="Arial"/>
              </w:rPr>
            </w:pPr>
            <w:r w:rsidRPr="00807829">
              <w:rPr>
                <w:rFonts w:ascii="Arial" w:hAnsi="Arial" w:cs="Arial"/>
              </w:rPr>
              <w:t>Pokazatelj rezultata</w:t>
            </w:r>
          </w:p>
        </w:tc>
        <w:tc>
          <w:tcPr>
            <w:tcW w:w="1114" w:type="dxa"/>
            <w:shd w:val="clear" w:color="auto" w:fill="B5C0D8"/>
          </w:tcPr>
          <w:p w:rsidR="00D849AA" w:rsidRPr="00807829" w:rsidRDefault="00EE6D95">
            <w:pPr>
              <w:pStyle w:val="CellHeader"/>
            </w:pPr>
            <w:r w:rsidRPr="00807829">
              <w:t>Jedinica</w:t>
            </w:r>
          </w:p>
        </w:tc>
        <w:tc>
          <w:tcPr>
            <w:tcW w:w="1114" w:type="dxa"/>
            <w:shd w:val="clear" w:color="auto" w:fill="B5C0D8"/>
          </w:tcPr>
          <w:p w:rsidR="00D849AA" w:rsidRPr="00807829" w:rsidRDefault="00EE6D95">
            <w:pPr>
              <w:pStyle w:val="CellHeader"/>
            </w:pPr>
            <w:r w:rsidRPr="00807829">
              <w:t>Polazna vrijednost</w:t>
            </w:r>
          </w:p>
        </w:tc>
        <w:tc>
          <w:tcPr>
            <w:tcW w:w="1486" w:type="dxa"/>
            <w:shd w:val="clear" w:color="auto" w:fill="B5C0D8"/>
          </w:tcPr>
          <w:p w:rsidR="00D849AA" w:rsidRPr="00807829" w:rsidRDefault="00EE6D95">
            <w:pPr>
              <w:pStyle w:val="CellHeader"/>
            </w:pPr>
            <w:r w:rsidRPr="00807829">
              <w:t>Ciljana vrijednost (2014.)</w:t>
            </w:r>
          </w:p>
        </w:tc>
        <w:tc>
          <w:tcPr>
            <w:tcW w:w="1486" w:type="dxa"/>
            <w:shd w:val="clear" w:color="auto" w:fill="B5C0D8"/>
          </w:tcPr>
          <w:p w:rsidR="00D849AA" w:rsidRPr="00807829" w:rsidRDefault="00EE6D95">
            <w:pPr>
              <w:pStyle w:val="CellHeader"/>
            </w:pPr>
            <w:r w:rsidRPr="00807829">
              <w:t>Ciljana vrijednost (2015.)</w:t>
            </w:r>
          </w:p>
        </w:tc>
        <w:tc>
          <w:tcPr>
            <w:tcW w:w="1486" w:type="dxa"/>
            <w:shd w:val="clear" w:color="auto" w:fill="B5C0D8"/>
          </w:tcPr>
          <w:p w:rsidR="00D849AA" w:rsidRPr="00807829" w:rsidRDefault="00EE6D95">
            <w:pPr>
              <w:pStyle w:val="CellHeader"/>
            </w:pPr>
            <w:r w:rsidRPr="00807829">
              <w:t>Ciljana vrijednost (2016.)</w:t>
            </w:r>
          </w:p>
        </w:tc>
      </w:tr>
      <w:tr w:rsidR="00D849AA">
        <w:trPr>
          <w:jc w:val="center"/>
        </w:trPr>
        <w:tc>
          <w:tcPr>
            <w:tcW w:w="2229" w:type="dxa"/>
          </w:tcPr>
          <w:p w:rsidR="00D849AA" w:rsidRPr="00807829" w:rsidRDefault="00EE6D95">
            <w:pPr>
              <w:pStyle w:val="CellColumn"/>
            </w:pPr>
            <w:r w:rsidRPr="00807829">
              <w:t>Smanjenje postotka građevina za koje se tehničkim pregledom utvrđuju nedostaci glede ispunjavanja propisanih zahtjeva tijekom i neposredno po završetku građenja</w:t>
            </w:r>
          </w:p>
        </w:tc>
        <w:tc>
          <w:tcPr>
            <w:tcW w:w="1114" w:type="dxa"/>
          </w:tcPr>
          <w:p w:rsidR="00D849AA" w:rsidRPr="00807829" w:rsidRDefault="00EE6D95">
            <w:pPr>
              <w:rPr>
                <w:rFonts w:ascii="Arial" w:hAnsi="Arial" w:cs="Arial"/>
              </w:rPr>
            </w:pPr>
            <w:r w:rsidRPr="00807829">
              <w:rPr>
                <w:rFonts w:ascii="Arial" w:hAnsi="Arial" w:cs="Arial"/>
              </w:rPr>
              <w:t>%</w:t>
            </w:r>
          </w:p>
        </w:tc>
        <w:tc>
          <w:tcPr>
            <w:tcW w:w="1114" w:type="dxa"/>
          </w:tcPr>
          <w:p w:rsidR="00D849AA" w:rsidRPr="00807829" w:rsidRDefault="00EE6D95">
            <w:pPr>
              <w:rPr>
                <w:rFonts w:ascii="Arial" w:hAnsi="Arial" w:cs="Arial"/>
              </w:rPr>
            </w:pPr>
            <w:r w:rsidRPr="00807829">
              <w:rPr>
                <w:rFonts w:ascii="Arial" w:hAnsi="Arial" w:cs="Arial"/>
              </w:rPr>
              <w:t>50</w:t>
            </w:r>
          </w:p>
        </w:tc>
        <w:tc>
          <w:tcPr>
            <w:tcW w:w="1486" w:type="dxa"/>
          </w:tcPr>
          <w:p w:rsidR="00D849AA" w:rsidRPr="00807829" w:rsidRDefault="00EE6D95">
            <w:pPr>
              <w:rPr>
                <w:rFonts w:ascii="Arial" w:hAnsi="Arial" w:cs="Arial"/>
              </w:rPr>
            </w:pPr>
            <w:r w:rsidRPr="00807829">
              <w:rPr>
                <w:rFonts w:ascii="Arial" w:hAnsi="Arial" w:cs="Arial"/>
              </w:rPr>
              <w:t>45</w:t>
            </w:r>
          </w:p>
        </w:tc>
        <w:tc>
          <w:tcPr>
            <w:tcW w:w="1486" w:type="dxa"/>
          </w:tcPr>
          <w:p w:rsidR="00D849AA" w:rsidRPr="00807829" w:rsidRDefault="00EE6D95">
            <w:pPr>
              <w:rPr>
                <w:rFonts w:ascii="Arial" w:hAnsi="Arial" w:cs="Arial"/>
              </w:rPr>
            </w:pPr>
            <w:r w:rsidRPr="00807829">
              <w:rPr>
                <w:rFonts w:ascii="Arial" w:hAnsi="Arial" w:cs="Arial"/>
              </w:rPr>
              <w:t>40</w:t>
            </w:r>
          </w:p>
        </w:tc>
        <w:tc>
          <w:tcPr>
            <w:tcW w:w="1486" w:type="dxa"/>
          </w:tcPr>
          <w:p w:rsidR="00D849AA" w:rsidRPr="00807829" w:rsidRDefault="00EE6D95">
            <w:pPr>
              <w:rPr>
                <w:rFonts w:ascii="Arial" w:hAnsi="Arial" w:cs="Arial"/>
              </w:rPr>
            </w:pPr>
            <w:r w:rsidRPr="00807829">
              <w:rPr>
                <w:rFonts w:ascii="Arial" w:hAnsi="Arial" w:cs="Arial"/>
              </w:rPr>
              <w:t>35</w:t>
            </w:r>
          </w:p>
        </w:tc>
      </w:tr>
    </w:tbl>
    <w:p w:rsidR="00D849AA" w:rsidRDefault="00D849AA">
      <w:pPr>
        <w:jc w:val="left"/>
      </w:pPr>
    </w:p>
    <w:p w:rsidR="00D849AA" w:rsidRDefault="00EE6D95">
      <w:pPr>
        <w:pStyle w:val="Naslov6"/>
      </w:pPr>
      <w:r>
        <w:t>A576256 UNAPREĐENJE STANOVANJA I KOMUNALNOG GOSPODARSTVA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807829" w:rsidRDefault="00EE6D95">
            <w:pPr>
              <w:pStyle w:val="CellHeader"/>
            </w:pPr>
            <w:r w:rsidRPr="00807829">
              <w:t>Naziv aktivnosti</w:t>
            </w:r>
          </w:p>
        </w:tc>
        <w:tc>
          <w:tcPr>
            <w:tcW w:w="1486" w:type="dxa"/>
            <w:shd w:val="clear" w:color="auto" w:fill="B5C0D8"/>
          </w:tcPr>
          <w:p w:rsidR="00D849AA" w:rsidRPr="00807829" w:rsidRDefault="00EE6D95">
            <w:pPr>
              <w:pStyle w:val="CellHeader"/>
            </w:pPr>
            <w:r w:rsidRPr="00807829">
              <w:t>Plan 2013.</w:t>
            </w:r>
          </w:p>
        </w:tc>
        <w:tc>
          <w:tcPr>
            <w:tcW w:w="1486" w:type="dxa"/>
            <w:shd w:val="clear" w:color="auto" w:fill="B5C0D8"/>
          </w:tcPr>
          <w:p w:rsidR="00D849AA" w:rsidRPr="00807829" w:rsidRDefault="00EE6D95">
            <w:pPr>
              <w:pStyle w:val="CellHeader"/>
            </w:pPr>
            <w:r w:rsidRPr="00807829">
              <w:t>Plan 2014.</w:t>
            </w:r>
          </w:p>
        </w:tc>
        <w:tc>
          <w:tcPr>
            <w:tcW w:w="1486" w:type="dxa"/>
            <w:shd w:val="clear" w:color="auto" w:fill="B5C0D8"/>
          </w:tcPr>
          <w:p w:rsidR="00D849AA" w:rsidRPr="00807829" w:rsidRDefault="00EE6D95">
            <w:pPr>
              <w:pStyle w:val="CellHeader"/>
            </w:pPr>
            <w:r w:rsidRPr="00807829">
              <w:t>Plan 2015.</w:t>
            </w:r>
          </w:p>
        </w:tc>
        <w:tc>
          <w:tcPr>
            <w:tcW w:w="1486" w:type="dxa"/>
            <w:shd w:val="clear" w:color="auto" w:fill="B5C0D8"/>
          </w:tcPr>
          <w:p w:rsidR="00D849AA" w:rsidRPr="00807829" w:rsidRDefault="00EE6D95">
            <w:pPr>
              <w:pStyle w:val="CellHeader"/>
            </w:pPr>
            <w:r w:rsidRPr="00807829">
              <w:t>Plan 2016.</w:t>
            </w:r>
          </w:p>
        </w:tc>
        <w:tc>
          <w:tcPr>
            <w:tcW w:w="1486" w:type="dxa"/>
            <w:shd w:val="clear" w:color="auto" w:fill="B5C0D8"/>
          </w:tcPr>
          <w:p w:rsidR="00D849AA" w:rsidRPr="00807829" w:rsidRDefault="00EE6D95">
            <w:pPr>
              <w:pStyle w:val="CellHeader"/>
            </w:pPr>
            <w:r w:rsidRPr="00807829">
              <w:t>Indeks 2014/2013</w:t>
            </w:r>
          </w:p>
        </w:tc>
      </w:tr>
      <w:tr w:rsidR="00D849AA">
        <w:trPr>
          <w:jc w:val="center"/>
        </w:trPr>
        <w:tc>
          <w:tcPr>
            <w:tcW w:w="1486" w:type="dxa"/>
          </w:tcPr>
          <w:p w:rsidR="00D849AA" w:rsidRPr="00807829" w:rsidRDefault="00EE6D95">
            <w:pPr>
              <w:pStyle w:val="CellColumn"/>
            </w:pPr>
            <w:r w:rsidRPr="00807829">
              <w:t>A576256</w:t>
            </w:r>
          </w:p>
        </w:tc>
        <w:tc>
          <w:tcPr>
            <w:tcW w:w="1486" w:type="dxa"/>
          </w:tcPr>
          <w:p w:rsidR="00D849AA" w:rsidRPr="00807829" w:rsidRDefault="00EE6D95">
            <w:pPr>
              <w:rPr>
                <w:rFonts w:ascii="Arial" w:hAnsi="Arial" w:cs="Arial"/>
              </w:rPr>
            </w:pPr>
            <w:r w:rsidRPr="00807829">
              <w:rPr>
                <w:rFonts w:ascii="Arial" w:hAnsi="Arial" w:cs="Arial"/>
              </w:rPr>
              <w:t>4.460.000</w:t>
            </w:r>
          </w:p>
        </w:tc>
        <w:tc>
          <w:tcPr>
            <w:tcW w:w="1486" w:type="dxa"/>
          </w:tcPr>
          <w:p w:rsidR="00D849AA" w:rsidRPr="00807829" w:rsidRDefault="00EE6D95">
            <w:pPr>
              <w:rPr>
                <w:rFonts w:ascii="Arial" w:hAnsi="Arial" w:cs="Arial"/>
              </w:rPr>
            </w:pPr>
            <w:r w:rsidRPr="00807829">
              <w:rPr>
                <w:rFonts w:ascii="Arial" w:hAnsi="Arial" w:cs="Arial"/>
              </w:rPr>
              <w:t>4.405.000</w:t>
            </w:r>
          </w:p>
        </w:tc>
        <w:tc>
          <w:tcPr>
            <w:tcW w:w="1486" w:type="dxa"/>
          </w:tcPr>
          <w:p w:rsidR="00D849AA" w:rsidRPr="00807829" w:rsidRDefault="00EE6D95">
            <w:pPr>
              <w:rPr>
                <w:rFonts w:ascii="Arial" w:hAnsi="Arial" w:cs="Arial"/>
              </w:rPr>
            </w:pPr>
            <w:r w:rsidRPr="00807829">
              <w:rPr>
                <w:rFonts w:ascii="Arial" w:hAnsi="Arial" w:cs="Arial"/>
              </w:rPr>
              <w:t>4.405.000</w:t>
            </w:r>
          </w:p>
        </w:tc>
        <w:tc>
          <w:tcPr>
            <w:tcW w:w="1486" w:type="dxa"/>
          </w:tcPr>
          <w:p w:rsidR="00D849AA" w:rsidRPr="00807829" w:rsidRDefault="00EE6D95">
            <w:pPr>
              <w:rPr>
                <w:rFonts w:ascii="Arial" w:hAnsi="Arial" w:cs="Arial"/>
              </w:rPr>
            </w:pPr>
            <w:r w:rsidRPr="00807829">
              <w:rPr>
                <w:rFonts w:ascii="Arial" w:hAnsi="Arial" w:cs="Arial"/>
              </w:rPr>
              <w:t>4.405.000</w:t>
            </w:r>
          </w:p>
        </w:tc>
        <w:tc>
          <w:tcPr>
            <w:tcW w:w="1486" w:type="dxa"/>
          </w:tcPr>
          <w:p w:rsidR="00D849AA" w:rsidRPr="00807829" w:rsidRDefault="00EE6D95">
            <w:pPr>
              <w:rPr>
                <w:rFonts w:ascii="Arial" w:hAnsi="Arial" w:cs="Arial"/>
              </w:rPr>
            </w:pPr>
            <w:r w:rsidRPr="00807829">
              <w:rPr>
                <w:rFonts w:ascii="Arial" w:hAnsi="Arial" w:cs="Arial"/>
              </w:rPr>
              <w:t>98,8</w:t>
            </w:r>
          </w:p>
        </w:tc>
      </w:tr>
    </w:tbl>
    <w:p w:rsidR="00D849AA" w:rsidRDefault="00D849AA">
      <w:pPr>
        <w:jc w:val="left"/>
      </w:pPr>
    </w:p>
    <w:p w:rsidR="00D849AA" w:rsidRDefault="00EE6D95">
      <w:pPr>
        <w:pStyle w:val="Normal6"/>
      </w:pPr>
      <w:r>
        <w:t xml:space="preserve">U Ministarstvu se kontinuirano prati stanje u stanovanju i komunalnom gospodarstvu, kao i primjena zakonske regulative, te se po potrebi donose novi zakoni i podzakonski akti.  </w:t>
      </w:r>
    </w:p>
    <w:p w:rsidR="00D849AA" w:rsidRDefault="00EE6D95">
      <w:pPr>
        <w:pStyle w:val="Normal6"/>
      </w:pPr>
      <w:r>
        <w:t xml:space="preserve">Ministarstvo planira nastavak programa financiranja projekata za poticanje razvoja komunalnog gospodarstva i komunalnog standarda u gradovima i općinama. Poticanje razvoja komunalnog gospodarstva podrazumijeva aktivnosti koje će pridonijeti boljem obavljanju određenih komunalnih djelatnosti i isporuci komunalnih usluga (u kvalitativnom i kvantitativnom smislu), te time i većoj kvaliteti življenja stanovnika na području pojedine jedinice lokalne samouprave, poput:  </w:t>
      </w:r>
    </w:p>
    <w:p w:rsidR="00D849AA" w:rsidRDefault="00EE6D95">
      <w:pPr>
        <w:pStyle w:val="Normal6"/>
      </w:pPr>
      <w:r>
        <w:t xml:space="preserve">- Izrade projektne i druge tehničke dokumentacije za izvođenje objekata i uređaja komunalne infrastrukture i izvođenje većih zahvata na investicijskom održavanju komunalne infrastrukture; </w:t>
      </w:r>
    </w:p>
    <w:p w:rsidR="00D849AA" w:rsidRDefault="00EE6D95">
      <w:pPr>
        <w:pStyle w:val="Normal6"/>
      </w:pPr>
      <w:r>
        <w:t xml:space="preserve">- Izvođenja objekata i uređaja komunalne infrastrukture, izvođenja radova na investicijskom održavanju komunalne infrastrukture te uređenja javnih površina, nerazvrstanih cesta, javne rasvjete i drugih javnih prostora u naseljima; </w:t>
      </w:r>
    </w:p>
    <w:p w:rsidR="00D849AA" w:rsidRDefault="00EE6D95">
      <w:pPr>
        <w:pStyle w:val="Normal6"/>
      </w:pPr>
      <w:r>
        <w:t xml:space="preserve">- Nabavke opreme kojom će se znatno poboljšati kvaliteta isporuke komunalne usluge odnosno obavljanje određene komunalne djelatnosti te nabavke druge komunalne opreme za javne površine naselja. </w:t>
      </w:r>
    </w:p>
    <w:p w:rsidR="00D849AA" w:rsidRDefault="00EE6D95">
      <w:pPr>
        <w:pStyle w:val="Normal6"/>
      </w:pPr>
      <w:r>
        <w:t xml:space="preserve">Uz to, Ministarstvo prikuplja i analizira podatke o standardu stanovanja te postojećim mjerama iz područja stanovanja u Republici Hrvatskoj i iz područja održivog stanovanja u Europskoj uniji (EU); pruža podršku tijelima i organizacijama EU u izradi analiza stanja iz područja stanovanja temeljem zaprimljenih zahtjeva (Upitnik); sudjeluje u radu UNECE-a te tijela Europske unije u području stanovanja (housing focal point).  </w:t>
      </w:r>
    </w:p>
    <w:p w:rsidR="00D849AA" w:rsidRDefault="00EE6D95">
      <w:pPr>
        <w:pStyle w:val="Normal6"/>
      </w:pPr>
      <w:r>
        <w:lastRenderedPageBreak/>
        <w:t>Također, Nacionalni program za vrsnoću i kulturu građenja Apolitika donesen je i usvojen na sjednici Vlade Republike Hrvatske održanoj 29.11.2012. godine, a Ministarstvo je objavilo publikaciju te trenutno aktivno promovira dokument, a uključeno je i kao jedan od glavnih aktera u proces implementacije ciljeva utvrđenih navedenim dokumentom. U tu svrhu odlukom Ministarstva osnovana je radna skupina za praćenje implementacije ciljeva, koja je dužna pružati sva pojašnjenja o predloženim akcijama kao i dati drugu stručnu pomoć vezano uz samu implementaciju.</w:t>
      </w:r>
      <w:r>
        <w:tab/>
        <w:t xml:space="preserve"> </w:t>
      </w:r>
    </w:p>
    <w:p w:rsidR="00D849AA" w:rsidRDefault="00EE6D95">
      <w:pPr>
        <w:pStyle w:val="Normal6"/>
      </w:pPr>
      <w:r>
        <w:t>Osim navedenih poslova u djelokrugu poslova je i praćenje i provedba nadzora nad APN-om i Agencijama koje provode POS program.</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807829" w:rsidRDefault="00EE6D95">
            <w:pPr>
              <w:rPr>
                <w:rFonts w:ascii="Arial" w:hAnsi="Arial" w:cs="Arial"/>
              </w:rPr>
            </w:pPr>
            <w:r w:rsidRPr="00807829">
              <w:rPr>
                <w:rFonts w:ascii="Arial" w:hAnsi="Arial" w:cs="Arial"/>
              </w:rPr>
              <w:t>Pokazatelj rezultata</w:t>
            </w:r>
          </w:p>
        </w:tc>
        <w:tc>
          <w:tcPr>
            <w:tcW w:w="1114" w:type="dxa"/>
            <w:shd w:val="clear" w:color="auto" w:fill="B5C0D8"/>
          </w:tcPr>
          <w:p w:rsidR="00D849AA" w:rsidRPr="00807829" w:rsidRDefault="00EE6D95">
            <w:pPr>
              <w:pStyle w:val="CellHeader"/>
            </w:pPr>
            <w:r w:rsidRPr="00807829">
              <w:t>Jedinica</w:t>
            </w:r>
          </w:p>
        </w:tc>
        <w:tc>
          <w:tcPr>
            <w:tcW w:w="1114" w:type="dxa"/>
            <w:shd w:val="clear" w:color="auto" w:fill="B5C0D8"/>
          </w:tcPr>
          <w:p w:rsidR="00D849AA" w:rsidRPr="00807829" w:rsidRDefault="00EE6D95">
            <w:pPr>
              <w:pStyle w:val="CellHeader"/>
            </w:pPr>
            <w:r w:rsidRPr="00807829">
              <w:t>Polazna vrijednost</w:t>
            </w:r>
          </w:p>
        </w:tc>
        <w:tc>
          <w:tcPr>
            <w:tcW w:w="1486" w:type="dxa"/>
            <w:shd w:val="clear" w:color="auto" w:fill="B5C0D8"/>
          </w:tcPr>
          <w:p w:rsidR="00D849AA" w:rsidRPr="00807829" w:rsidRDefault="00EE6D95">
            <w:pPr>
              <w:pStyle w:val="CellHeader"/>
            </w:pPr>
            <w:r w:rsidRPr="00807829">
              <w:t>Ciljana vrijednost (2014.)</w:t>
            </w:r>
          </w:p>
        </w:tc>
        <w:tc>
          <w:tcPr>
            <w:tcW w:w="1486" w:type="dxa"/>
            <w:shd w:val="clear" w:color="auto" w:fill="B5C0D8"/>
          </w:tcPr>
          <w:p w:rsidR="00D849AA" w:rsidRPr="00807829" w:rsidRDefault="00EE6D95">
            <w:pPr>
              <w:pStyle w:val="CellHeader"/>
            </w:pPr>
            <w:r w:rsidRPr="00807829">
              <w:t>Ciljana vrijednost (2015.)</w:t>
            </w:r>
          </w:p>
        </w:tc>
        <w:tc>
          <w:tcPr>
            <w:tcW w:w="1486" w:type="dxa"/>
            <w:shd w:val="clear" w:color="auto" w:fill="B5C0D8"/>
          </w:tcPr>
          <w:p w:rsidR="00D849AA" w:rsidRPr="00807829" w:rsidRDefault="00EE6D95">
            <w:pPr>
              <w:pStyle w:val="CellHeader"/>
            </w:pPr>
            <w:r w:rsidRPr="00807829">
              <w:t>Ciljana vrijednost (2016.)</w:t>
            </w:r>
          </w:p>
        </w:tc>
      </w:tr>
      <w:tr w:rsidR="00D849AA">
        <w:trPr>
          <w:jc w:val="center"/>
        </w:trPr>
        <w:tc>
          <w:tcPr>
            <w:tcW w:w="2229" w:type="dxa"/>
          </w:tcPr>
          <w:p w:rsidR="00D849AA" w:rsidRPr="00807829" w:rsidRDefault="00EE6D95">
            <w:pPr>
              <w:pStyle w:val="CellColumn"/>
            </w:pPr>
            <w:r w:rsidRPr="00807829">
              <w:t>Postotak utrošenosti odobrenih sredstava u proračunskoj godini namijenjenih gradovima i općinama za poticanje razvoja komunalnog gospodarstva</w:t>
            </w:r>
          </w:p>
        </w:tc>
        <w:tc>
          <w:tcPr>
            <w:tcW w:w="1114" w:type="dxa"/>
          </w:tcPr>
          <w:p w:rsidR="00D849AA" w:rsidRPr="00807829" w:rsidRDefault="00EE6D95">
            <w:pPr>
              <w:rPr>
                <w:rFonts w:ascii="Arial" w:hAnsi="Arial" w:cs="Arial"/>
              </w:rPr>
            </w:pPr>
            <w:r w:rsidRPr="00807829">
              <w:rPr>
                <w:rFonts w:ascii="Arial" w:hAnsi="Arial" w:cs="Arial"/>
              </w:rPr>
              <w:t>%</w:t>
            </w:r>
          </w:p>
        </w:tc>
        <w:tc>
          <w:tcPr>
            <w:tcW w:w="1114" w:type="dxa"/>
          </w:tcPr>
          <w:p w:rsidR="00D849AA" w:rsidRPr="00807829" w:rsidRDefault="00EE6D95">
            <w:pPr>
              <w:rPr>
                <w:rFonts w:ascii="Arial" w:hAnsi="Arial" w:cs="Arial"/>
              </w:rPr>
            </w:pPr>
            <w:r w:rsidRPr="00807829">
              <w:rPr>
                <w:rFonts w:ascii="Arial" w:hAnsi="Arial" w:cs="Arial"/>
              </w:rPr>
              <w:t>100</w:t>
            </w:r>
          </w:p>
        </w:tc>
        <w:tc>
          <w:tcPr>
            <w:tcW w:w="1486" w:type="dxa"/>
          </w:tcPr>
          <w:p w:rsidR="00D849AA" w:rsidRPr="00807829" w:rsidRDefault="00EE6D95">
            <w:pPr>
              <w:rPr>
                <w:rFonts w:ascii="Arial" w:hAnsi="Arial" w:cs="Arial"/>
              </w:rPr>
            </w:pPr>
            <w:r w:rsidRPr="00807829">
              <w:rPr>
                <w:rFonts w:ascii="Arial" w:hAnsi="Arial" w:cs="Arial"/>
              </w:rPr>
              <w:t>100</w:t>
            </w:r>
          </w:p>
        </w:tc>
        <w:tc>
          <w:tcPr>
            <w:tcW w:w="1486" w:type="dxa"/>
          </w:tcPr>
          <w:p w:rsidR="00D849AA" w:rsidRPr="00807829" w:rsidRDefault="00EE6D95">
            <w:pPr>
              <w:rPr>
                <w:rFonts w:ascii="Arial" w:hAnsi="Arial" w:cs="Arial"/>
              </w:rPr>
            </w:pPr>
            <w:r w:rsidRPr="00807829">
              <w:rPr>
                <w:rFonts w:ascii="Arial" w:hAnsi="Arial" w:cs="Arial"/>
              </w:rPr>
              <w:t>100</w:t>
            </w:r>
          </w:p>
        </w:tc>
        <w:tc>
          <w:tcPr>
            <w:tcW w:w="1486" w:type="dxa"/>
          </w:tcPr>
          <w:p w:rsidR="00D849AA" w:rsidRPr="00807829" w:rsidRDefault="00EE6D95">
            <w:pPr>
              <w:rPr>
                <w:rFonts w:ascii="Arial" w:hAnsi="Arial" w:cs="Arial"/>
              </w:rPr>
            </w:pPr>
            <w:r w:rsidRPr="00807829">
              <w:rPr>
                <w:rFonts w:ascii="Arial" w:hAnsi="Arial" w:cs="Arial"/>
              </w:rPr>
              <w:t>100</w:t>
            </w:r>
          </w:p>
        </w:tc>
      </w:tr>
    </w:tbl>
    <w:p w:rsidR="00D849AA" w:rsidRDefault="00D849AA">
      <w:pPr>
        <w:jc w:val="left"/>
      </w:pPr>
    </w:p>
    <w:p w:rsidR="00D849AA" w:rsidRDefault="00EE6D95">
      <w:pPr>
        <w:pStyle w:val="Naslov6"/>
      </w:pPr>
      <w:r>
        <w:t>K576117 ODRŽIVA GRADNJA I PRISTUPAČNOST GRAĐEVINA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807829" w:rsidRDefault="00EE6D95">
            <w:pPr>
              <w:pStyle w:val="CellHeader"/>
            </w:pPr>
            <w:r w:rsidRPr="00807829">
              <w:t>Naziv aktivnosti</w:t>
            </w:r>
          </w:p>
        </w:tc>
        <w:tc>
          <w:tcPr>
            <w:tcW w:w="1486" w:type="dxa"/>
            <w:shd w:val="clear" w:color="auto" w:fill="B5C0D8"/>
          </w:tcPr>
          <w:p w:rsidR="00D849AA" w:rsidRPr="00807829" w:rsidRDefault="00EE6D95">
            <w:pPr>
              <w:pStyle w:val="CellHeader"/>
            </w:pPr>
            <w:r w:rsidRPr="00807829">
              <w:t>Plan 2013.</w:t>
            </w:r>
          </w:p>
        </w:tc>
        <w:tc>
          <w:tcPr>
            <w:tcW w:w="1486" w:type="dxa"/>
            <w:shd w:val="clear" w:color="auto" w:fill="B5C0D8"/>
          </w:tcPr>
          <w:p w:rsidR="00D849AA" w:rsidRPr="00807829" w:rsidRDefault="00EE6D95">
            <w:pPr>
              <w:pStyle w:val="CellHeader"/>
            </w:pPr>
            <w:r w:rsidRPr="00807829">
              <w:t>Plan 2014.</w:t>
            </w:r>
          </w:p>
        </w:tc>
        <w:tc>
          <w:tcPr>
            <w:tcW w:w="1486" w:type="dxa"/>
            <w:shd w:val="clear" w:color="auto" w:fill="B5C0D8"/>
          </w:tcPr>
          <w:p w:rsidR="00D849AA" w:rsidRPr="00807829" w:rsidRDefault="00EE6D95">
            <w:pPr>
              <w:pStyle w:val="CellHeader"/>
            </w:pPr>
            <w:r w:rsidRPr="00807829">
              <w:t>Plan 2015.</w:t>
            </w:r>
          </w:p>
        </w:tc>
        <w:tc>
          <w:tcPr>
            <w:tcW w:w="1486" w:type="dxa"/>
            <w:shd w:val="clear" w:color="auto" w:fill="B5C0D8"/>
          </w:tcPr>
          <w:p w:rsidR="00D849AA" w:rsidRPr="00807829" w:rsidRDefault="00EE6D95">
            <w:pPr>
              <w:pStyle w:val="CellHeader"/>
            </w:pPr>
            <w:r w:rsidRPr="00807829">
              <w:t>Plan 2016.</w:t>
            </w:r>
          </w:p>
        </w:tc>
        <w:tc>
          <w:tcPr>
            <w:tcW w:w="1486" w:type="dxa"/>
            <w:shd w:val="clear" w:color="auto" w:fill="B5C0D8"/>
          </w:tcPr>
          <w:p w:rsidR="00D849AA" w:rsidRPr="00807829" w:rsidRDefault="00EE6D95">
            <w:pPr>
              <w:pStyle w:val="CellHeader"/>
            </w:pPr>
            <w:r w:rsidRPr="00807829">
              <w:t>Indeks 2014/2013</w:t>
            </w:r>
          </w:p>
        </w:tc>
      </w:tr>
      <w:tr w:rsidR="00D849AA">
        <w:trPr>
          <w:jc w:val="center"/>
        </w:trPr>
        <w:tc>
          <w:tcPr>
            <w:tcW w:w="1486" w:type="dxa"/>
          </w:tcPr>
          <w:p w:rsidR="00D849AA" w:rsidRPr="00807829" w:rsidRDefault="00EE6D95">
            <w:pPr>
              <w:pStyle w:val="CellColumn"/>
            </w:pPr>
            <w:r w:rsidRPr="00807829">
              <w:t>K576117</w:t>
            </w:r>
          </w:p>
        </w:tc>
        <w:tc>
          <w:tcPr>
            <w:tcW w:w="1486" w:type="dxa"/>
          </w:tcPr>
          <w:p w:rsidR="00D849AA" w:rsidRPr="00807829" w:rsidRDefault="00EE6D95">
            <w:pPr>
              <w:rPr>
                <w:rFonts w:ascii="Arial" w:hAnsi="Arial" w:cs="Arial"/>
              </w:rPr>
            </w:pPr>
            <w:r w:rsidRPr="00807829">
              <w:rPr>
                <w:rFonts w:ascii="Arial" w:hAnsi="Arial" w:cs="Arial"/>
              </w:rPr>
              <w:t>40.000</w:t>
            </w:r>
          </w:p>
        </w:tc>
        <w:tc>
          <w:tcPr>
            <w:tcW w:w="1486" w:type="dxa"/>
          </w:tcPr>
          <w:p w:rsidR="00D849AA" w:rsidRPr="00807829" w:rsidRDefault="00EE6D95">
            <w:pPr>
              <w:rPr>
                <w:rFonts w:ascii="Arial" w:hAnsi="Arial" w:cs="Arial"/>
              </w:rPr>
            </w:pPr>
            <w:r w:rsidRPr="00807829">
              <w:rPr>
                <w:rFonts w:ascii="Arial" w:hAnsi="Arial" w:cs="Arial"/>
              </w:rPr>
              <w:t>40.000</w:t>
            </w:r>
          </w:p>
        </w:tc>
        <w:tc>
          <w:tcPr>
            <w:tcW w:w="1486" w:type="dxa"/>
          </w:tcPr>
          <w:p w:rsidR="00D849AA" w:rsidRPr="00807829" w:rsidRDefault="00EE6D95">
            <w:pPr>
              <w:rPr>
                <w:rFonts w:ascii="Arial" w:hAnsi="Arial" w:cs="Arial"/>
              </w:rPr>
            </w:pPr>
            <w:r w:rsidRPr="00807829">
              <w:rPr>
                <w:rFonts w:ascii="Arial" w:hAnsi="Arial" w:cs="Arial"/>
              </w:rPr>
              <w:t>40.000</w:t>
            </w:r>
          </w:p>
        </w:tc>
        <w:tc>
          <w:tcPr>
            <w:tcW w:w="1486" w:type="dxa"/>
          </w:tcPr>
          <w:p w:rsidR="00D849AA" w:rsidRPr="00807829" w:rsidRDefault="00EE6D95">
            <w:pPr>
              <w:rPr>
                <w:rFonts w:ascii="Arial" w:hAnsi="Arial" w:cs="Arial"/>
              </w:rPr>
            </w:pPr>
            <w:r w:rsidRPr="00807829">
              <w:rPr>
                <w:rFonts w:ascii="Arial" w:hAnsi="Arial" w:cs="Arial"/>
              </w:rPr>
              <w:t>40.000</w:t>
            </w:r>
          </w:p>
        </w:tc>
        <w:tc>
          <w:tcPr>
            <w:tcW w:w="1486" w:type="dxa"/>
          </w:tcPr>
          <w:p w:rsidR="00D849AA" w:rsidRPr="00807829" w:rsidRDefault="00EE6D95">
            <w:pPr>
              <w:rPr>
                <w:rFonts w:ascii="Arial" w:hAnsi="Arial" w:cs="Arial"/>
              </w:rPr>
            </w:pPr>
            <w:r w:rsidRPr="00807829">
              <w:rPr>
                <w:rFonts w:ascii="Arial" w:hAnsi="Arial" w:cs="Arial"/>
              </w:rPr>
              <w:t>100,0</w:t>
            </w:r>
          </w:p>
        </w:tc>
      </w:tr>
    </w:tbl>
    <w:p w:rsidR="00D849AA" w:rsidRDefault="00D849AA">
      <w:pPr>
        <w:jc w:val="left"/>
      </w:pPr>
    </w:p>
    <w:p w:rsidR="00D849AA" w:rsidRDefault="00EE6D95">
      <w:pPr>
        <w:pStyle w:val="Normal6"/>
      </w:pPr>
      <w:r>
        <w:t>Ostvarivanje regulatornog okvira graditeljstva i njegova uspješna primjena u praksi podrazumijeva osobito promicanje dobrog projektiranja i građenja kojima se ostvaruju sigurnosna, zdravstveno-ekološka i energetska svojstva građevina, te izjednačavanje prava osoba smanjene pokretljivosti, uz primjenu europskih načela, na način kojim se osigurava sigurnost građevina i stabilnost tla na okolnom zemljištu, zaštita života i zdravlja ljudi, okoliša i prirode te kulturnih i krajobraznih vrijednosti, zaštita imovine, potrošača i drugih korisnika, energetska učinkovitost građevina, stvaranje i održavanje dobre životne sredine koja je sociološki, funkcionalno i estetski uravnotežena, sigurna i ugodna te služi potrebama svojih korisnika, planirana i kontinuirana skrb i održavanje izgrađenih područja, sloboda kretanja roba i usluga unutar zajedničkog europskoga ekonomskog prostora.</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rsidRPr="00807829">
        <w:trPr>
          <w:jc w:val="center"/>
        </w:trPr>
        <w:tc>
          <w:tcPr>
            <w:tcW w:w="2229" w:type="dxa"/>
            <w:shd w:val="clear" w:color="auto" w:fill="B5C0D8"/>
          </w:tcPr>
          <w:p w:rsidR="00D849AA" w:rsidRPr="00807829" w:rsidRDefault="00EE6D95">
            <w:pPr>
              <w:rPr>
                <w:rFonts w:ascii="Arial" w:hAnsi="Arial" w:cs="Arial"/>
              </w:rPr>
            </w:pPr>
            <w:r w:rsidRPr="00807829">
              <w:rPr>
                <w:rFonts w:ascii="Arial" w:hAnsi="Arial" w:cs="Arial"/>
              </w:rPr>
              <w:t>Pokazatelj rezultata</w:t>
            </w:r>
          </w:p>
        </w:tc>
        <w:tc>
          <w:tcPr>
            <w:tcW w:w="1114" w:type="dxa"/>
            <w:shd w:val="clear" w:color="auto" w:fill="B5C0D8"/>
          </w:tcPr>
          <w:p w:rsidR="00D849AA" w:rsidRPr="00807829" w:rsidRDefault="00EE6D95">
            <w:pPr>
              <w:pStyle w:val="CellHeader"/>
            </w:pPr>
            <w:r w:rsidRPr="00807829">
              <w:t>Jedinica</w:t>
            </w:r>
          </w:p>
        </w:tc>
        <w:tc>
          <w:tcPr>
            <w:tcW w:w="1114" w:type="dxa"/>
            <w:shd w:val="clear" w:color="auto" w:fill="B5C0D8"/>
          </w:tcPr>
          <w:p w:rsidR="00D849AA" w:rsidRPr="00807829" w:rsidRDefault="00EE6D95">
            <w:pPr>
              <w:pStyle w:val="CellHeader"/>
            </w:pPr>
            <w:r w:rsidRPr="00807829">
              <w:t>Polazna vrijednost</w:t>
            </w:r>
          </w:p>
        </w:tc>
        <w:tc>
          <w:tcPr>
            <w:tcW w:w="1486" w:type="dxa"/>
            <w:shd w:val="clear" w:color="auto" w:fill="B5C0D8"/>
          </w:tcPr>
          <w:p w:rsidR="00D849AA" w:rsidRPr="00807829" w:rsidRDefault="00EE6D95">
            <w:pPr>
              <w:pStyle w:val="CellHeader"/>
            </w:pPr>
            <w:r w:rsidRPr="00807829">
              <w:t>Ciljana vrijednost (2014.)</w:t>
            </w:r>
          </w:p>
        </w:tc>
        <w:tc>
          <w:tcPr>
            <w:tcW w:w="1486" w:type="dxa"/>
            <w:shd w:val="clear" w:color="auto" w:fill="B5C0D8"/>
          </w:tcPr>
          <w:p w:rsidR="00D849AA" w:rsidRPr="00807829" w:rsidRDefault="00EE6D95">
            <w:pPr>
              <w:pStyle w:val="CellHeader"/>
            </w:pPr>
            <w:r w:rsidRPr="00807829">
              <w:t>Ciljana vrijednost (2015.)</w:t>
            </w:r>
          </w:p>
        </w:tc>
        <w:tc>
          <w:tcPr>
            <w:tcW w:w="1486" w:type="dxa"/>
            <w:shd w:val="clear" w:color="auto" w:fill="B5C0D8"/>
          </w:tcPr>
          <w:p w:rsidR="00D849AA" w:rsidRPr="00807829" w:rsidRDefault="00EE6D95">
            <w:pPr>
              <w:pStyle w:val="CellHeader"/>
            </w:pPr>
            <w:r w:rsidRPr="00807829">
              <w:t>Ciljana vrijednost (2016.)</w:t>
            </w:r>
          </w:p>
        </w:tc>
      </w:tr>
      <w:tr w:rsidR="00D849AA" w:rsidRPr="00807829">
        <w:trPr>
          <w:jc w:val="center"/>
        </w:trPr>
        <w:tc>
          <w:tcPr>
            <w:tcW w:w="2229" w:type="dxa"/>
          </w:tcPr>
          <w:p w:rsidR="00D849AA" w:rsidRPr="00807829" w:rsidRDefault="00EE6D95">
            <w:pPr>
              <w:pStyle w:val="CellColumn"/>
            </w:pPr>
            <w:r w:rsidRPr="00807829">
              <w:t xml:space="preserve">Uvođenje ili postrožavanje zahtjeva za osiguranje adekvatnog pristupa, </w:t>
            </w:r>
            <w:r w:rsidRPr="00807829">
              <w:lastRenderedPageBreak/>
              <w:t>kretanja, boravka i rada u građevini te o dopuštenim razinama izloženosti korisnika građevine nepovoljnim utjecajima</w:t>
            </w:r>
          </w:p>
        </w:tc>
        <w:tc>
          <w:tcPr>
            <w:tcW w:w="1114" w:type="dxa"/>
          </w:tcPr>
          <w:p w:rsidR="00D849AA" w:rsidRPr="00807829" w:rsidRDefault="00EE6D95">
            <w:pPr>
              <w:rPr>
                <w:rFonts w:ascii="Arial" w:hAnsi="Arial" w:cs="Arial"/>
              </w:rPr>
            </w:pPr>
            <w:r w:rsidRPr="00807829">
              <w:rPr>
                <w:rFonts w:ascii="Arial" w:hAnsi="Arial" w:cs="Arial"/>
              </w:rPr>
              <w:lastRenderedPageBreak/>
              <w:t>Komada ili %</w:t>
            </w:r>
          </w:p>
        </w:tc>
        <w:tc>
          <w:tcPr>
            <w:tcW w:w="1114" w:type="dxa"/>
          </w:tcPr>
          <w:p w:rsidR="00D849AA" w:rsidRPr="00807829" w:rsidRDefault="00EE6D95">
            <w:pPr>
              <w:rPr>
                <w:rFonts w:ascii="Arial" w:hAnsi="Arial" w:cs="Arial"/>
              </w:rPr>
            </w:pPr>
            <w:r w:rsidRPr="00807829">
              <w:rPr>
                <w:rFonts w:ascii="Arial" w:hAnsi="Arial" w:cs="Arial"/>
              </w:rPr>
              <w:t>0</w:t>
            </w:r>
          </w:p>
        </w:tc>
        <w:tc>
          <w:tcPr>
            <w:tcW w:w="1486" w:type="dxa"/>
          </w:tcPr>
          <w:p w:rsidR="00D849AA" w:rsidRPr="00807829" w:rsidRDefault="00EE6D95">
            <w:pPr>
              <w:rPr>
                <w:rFonts w:ascii="Arial" w:hAnsi="Arial" w:cs="Arial"/>
              </w:rPr>
            </w:pPr>
            <w:r w:rsidRPr="00807829">
              <w:rPr>
                <w:rFonts w:ascii="Arial" w:hAnsi="Arial" w:cs="Arial"/>
              </w:rPr>
              <w:t>0</w:t>
            </w:r>
          </w:p>
        </w:tc>
        <w:tc>
          <w:tcPr>
            <w:tcW w:w="1486" w:type="dxa"/>
          </w:tcPr>
          <w:p w:rsidR="00D849AA" w:rsidRPr="00807829" w:rsidRDefault="00EE6D95">
            <w:pPr>
              <w:rPr>
                <w:rFonts w:ascii="Arial" w:hAnsi="Arial" w:cs="Arial"/>
              </w:rPr>
            </w:pPr>
            <w:r w:rsidRPr="00807829">
              <w:rPr>
                <w:rFonts w:ascii="Arial" w:hAnsi="Arial" w:cs="Arial"/>
              </w:rPr>
              <w:t>1 ili 10%</w:t>
            </w:r>
          </w:p>
        </w:tc>
        <w:tc>
          <w:tcPr>
            <w:tcW w:w="1486" w:type="dxa"/>
          </w:tcPr>
          <w:p w:rsidR="00D849AA" w:rsidRPr="00807829" w:rsidRDefault="00EE6D95">
            <w:pPr>
              <w:rPr>
                <w:rFonts w:ascii="Arial" w:hAnsi="Arial" w:cs="Arial"/>
              </w:rPr>
            </w:pPr>
            <w:r w:rsidRPr="00807829">
              <w:rPr>
                <w:rFonts w:ascii="Arial" w:hAnsi="Arial" w:cs="Arial"/>
              </w:rPr>
              <w:t>0</w:t>
            </w:r>
          </w:p>
        </w:tc>
      </w:tr>
      <w:tr w:rsidR="00D849AA" w:rsidRPr="00807829">
        <w:trPr>
          <w:jc w:val="center"/>
        </w:trPr>
        <w:tc>
          <w:tcPr>
            <w:tcW w:w="2229" w:type="dxa"/>
          </w:tcPr>
          <w:p w:rsidR="00D849AA" w:rsidRPr="00807829" w:rsidRDefault="00EE6D95">
            <w:pPr>
              <w:pStyle w:val="CellColumn"/>
            </w:pPr>
            <w:r w:rsidRPr="00807829">
              <w:lastRenderedPageBreak/>
              <w:t>Povećanje broja mjera kojima se potiče projektiranje, izvođenje i uklanjanje građevina i njihovih dijelova na održiv način</w:t>
            </w:r>
          </w:p>
        </w:tc>
        <w:tc>
          <w:tcPr>
            <w:tcW w:w="1114" w:type="dxa"/>
          </w:tcPr>
          <w:p w:rsidR="00D849AA" w:rsidRPr="00807829" w:rsidRDefault="00EE6D95">
            <w:pPr>
              <w:rPr>
                <w:rFonts w:ascii="Arial" w:hAnsi="Arial" w:cs="Arial"/>
              </w:rPr>
            </w:pPr>
            <w:r w:rsidRPr="00807829">
              <w:rPr>
                <w:rFonts w:ascii="Arial" w:hAnsi="Arial" w:cs="Arial"/>
              </w:rPr>
              <w:t>Komada</w:t>
            </w:r>
          </w:p>
        </w:tc>
        <w:tc>
          <w:tcPr>
            <w:tcW w:w="1114" w:type="dxa"/>
          </w:tcPr>
          <w:p w:rsidR="00D849AA" w:rsidRPr="00807829" w:rsidRDefault="00EE6D95">
            <w:pPr>
              <w:rPr>
                <w:rFonts w:ascii="Arial" w:hAnsi="Arial" w:cs="Arial"/>
              </w:rPr>
            </w:pPr>
            <w:r w:rsidRPr="00807829">
              <w:rPr>
                <w:rFonts w:ascii="Arial" w:hAnsi="Arial" w:cs="Arial"/>
              </w:rPr>
              <w:t>0</w:t>
            </w:r>
          </w:p>
        </w:tc>
        <w:tc>
          <w:tcPr>
            <w:tcW w:w="1486" w:type="dxa"/>
          </w:tcPr>
          <w:p w:rsidR="00D849AA" w:rsidRPr="00807829" w:rsidRDefault="00EE6D95">
            <w:pPr>
              <w:rPr>
                <w:rFonts w:ascii="Arial" w:hAnsi="Arial" w:cs="Arial"/>
              </w:rPr>
            </w:pPr>
            <w:r w:rsidRPr="00807829">
              <w:rPr>
                <w:rFonts w:ascii="Arial" w:hAnsi="Arial" w:cs="Arial"/>
              </w:rPr>
              <w:t>0</w:t>
            </w:r>
          </w:p>
        </w:tc>
        <w:tc>
          <w:tcPr>
            <w:tcW w:w="1486" w:type="dxa"/>
          </w:tcPr>
          <w:p w:rsidR="00D849AA" w:rsidRPr="00807829" w:rsidRDefault="00EE6D95">
            <w:pPr>
              <w:rPr>
                <w:rFonts w:ascii="Arial" w:hAnsi="Arial" w:cs="Arial"/>
              </w:rPr>
            </w:pPr>
            <w:r w:rsidRPr="00807829">
              <w:rPr>
                <w:rFonts w:ascii="Arial" w:hAnsi="Arial" w:cs="Arial"/>
              </w:rPr>
              <w:t>1</w:t>
            </w:r>
          </w:p>
        </w:tc>
        <w:tc>
          <w:tcPr>
            <w:tcW w:w="1486" w:type="dxa"/>
          </w:tcPr>
          <w:p w:rsidR="00D849AA" w:rsidRPr="00807829" w:rsidRDefault="00EE6D95">
            <w:pPr>
              <w:rPr>
                <w:rFonts w:ascii="Arial" w:hAnsi="Arial" w:cs="Arial"/>
              </w:rPr>
            </w:pPr>
            <w:r w:rsidRPr="00807829">
              <w:rPr>
                <w:rFonts w:ascii="Arial" w:hAnsi="Arial" w:cs="Arial"/>
              </w:rPr>
              <w:t>2</w:t>
            </w:r>
          </w:p>
        </w:tc>
      </w:tr>
      <w:tr w:rsidR="00D849AA" w:rsidRPr="00807829">
        <w:trPr>
          <w:jc w:val="center"/>
        </w:trPr>
        <w:tc>
          <w:tcPr>
            <w:tcW w:w="2229" w:type="dxa"/>
          </w:tcPr>
          <w:p w:rsidR="00D849AA" w:rsidRPr="00807829" w:rsidRDefault="00EE6D95">
            <w:pPr>
              <w:pStyle w:val="CellColumn"/>
            </w:pPr>
            <w:r w:rsidRPr="00807829">
              <w:t>Povećanje broja mjera kojima se potiče proizvodnja zdravlju i okolišu prihvatljivih građevnih proizvoda</w:t>
            </w:r>
          </w:p>
        </w:tc>
        <w:tc>
          <w:tcPr>
            <w:tcW w:w="1114" w:type="dxa"/>
          </w:tcPr>
          <w:p w:rsidR="00D849AA" w:rsidRPr="00807829" w:rsidRDefault="00EE6D95">
            <w:pPr>
              <w:rPr>
                <w:rFonts w:ascii="Arial" w:hAnsi="Arial" w:cs="Arial"/>
              </w:rPr>
            </w:pPr>
            <w:r w:rsidRPr="00807829">
              <w:rPr>
                <w:rFonts w:ascii="Arial" w:hAnsi="Arial" w:cs="Arial"/>
              </w:rPr>
              <w:t>Komada</w:t>
            </w:r>
          </w:p>
        </w:tc>
        <w:tc>
          <w:tcPr>
            <w:tcW w:w="1114" w:type="dxa"/>
          </w:tcPr>
          <w:p w:rsidR="00D849AA" w:rsidRPr="00807829" w:rsidRDefault="00EE6D95">
            <w:pPr>
              <w:rPr>
                <w:rFonts w:ascii="Arial" w:hAnsi="Arial" w:cs="Arial"/>
              </w:rPr>
            </w:pPr>
            <w:r w:rsidRPr="00807829">
              <w:rPr>
                <w:rFonts w:ascii="Arial" w:hAnsi="Arial" w:cs="Arial"/>
              </w:rPr>
              <w:t>0</w:t>
            </w:r>
          </w:p>
        </w:tc>
        <w:tc>
          <w:tcPr>
            <w:tcW w:w="1486" w:type="dxa"/>
          </w:tcPr>
          <w:p w:rsidR="00D849AA" w:rsidRPr="00807829" w:rsidRDefault="00EE6D95">
            <w:pPr>
              <w:rPr>
                <w:rFonts w:ascii="Arial" w:hAnsi="Arial" w:cs="Arial"/>
              </w:rPr>
            </w:pPr>
            <w:r w:rsidRPr="00807829">
              <w:rPr>
                <w:rFonts w:ascii="Arial" w:hAnsi="Arial" w:cs="Arial"/>
              </w:rPr>
              <w:t>0</w:t>
            </w:r>
          </w:p>
        </w:tc>
        <w:tc>
          <w:tcPr>
            <w:tcW w:w="1486" w:type="dxa"/>
          </w:tcPr>
          <w:p w:rsidR="00D849AA" w:rsidRPr="00807829" w:rsidRDefault="00EE6D95">
            <w:pPr>
              <w:rPr>
                <w:rFonts w:ascii="Arial" w:hAnsi="Arial" w:cs="Arial"/>
              </w:rPr>
            </w:pPr>
            <w:r w:rsidRPr="00807829">
              <w:rPr>
                <w:rFonts w:ascii="Arial" w:hAnsi="Arial" w:cs="Arial"/>
              </w:rPr>
              <w:t>1</w:t>
            </w:r>
          </w:p>
        </w:tc>
        <w:tc>
          <w:tcPr>
            <w:tcW w:w="1486" w:type="dxa"/>
          </w:tcPr>
          <w:p w:rsidR="00D849AA" w:rsidRPr="00807829" w:rsidRDefault="00EE6D95">
            <w:pPr>
              <w:rPr>
                <w:rFonts w:ascii="Arial" w:hAnsi="Arial" w:cs="Arial"/>
              </w:rPr>
            </w:pPr>
            <w:r w:rsidRPr="00807829">
              <w:rPr>
                <w:rFonts w:ascii="Arial" w:hAnsi="Arial" w:cs="Arial"/>
              </w:rPr>
              <w:t>2</w:t>
            </w:r>
          </w:p>
        </w:tc>
      </w:tr>
    </w:tbl>
    <w:p w:rsidR="00D849AA" w:rsidRDefault="00D849AA">
      <w:pPr>
        <w:jc w:val="left"/>
      </w:pPr>
    </w:p>
    <w:p w:rsidR="00D849AA" w:rsidRDefault="00EE6D95">
      <w:pPr>
        <w:pStyle w:val="Naslov6"/>
      </w:pPr>
      <w:r>
        <w:t>T538056 PROVEDBA PROJEKTA INTELIGENTNA ENERGIJA EUROPE (CROSKILLS)</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807829" w:rsidRDefault="00EE6D95">
            <w:pPr>
              <w:pStyle w:val="CellHeader"/>
            </w:pPr>
            <w:r w:rsidRPr="00807829">
              <w:t>Naziv aktivnosti</w:t>
            </w:r>
          </w:p>
        </w:tc>
        <w:tc>
          <w:tcPr>
            <w:tcW w:w="1486" w:type="dxa"/>
            <w:shd w:val="clear" w:color="auto" w:fill="B5C0D8"/>
          </w:tcPr>
          <w:p w:rsidR="00D849AA" w:rsidRPr="00807829" w:rsidRDefault="00EE6D95">
            <w:pPr>
              <w:pStyle w:val="CellHeader"/>
            </w:pPr>
            <w:r w:rsidRPr="00807829">
              <w:t>Plan 2013.</w:t>
            </w:r>
          </w:p>
        </w:tc>
        <w:tc>
          <w:tcPr>
            <w:tcW w:w="1486" w:type="dxa"/>
            <w:shd w:val="clear" w:color="auto" w:fill="B5C0D8"/>
          </w:tcPr>
          <w:p w:rsidR="00D849AA" w:rsidRPr="00807829" w:rsidRDefault="00EE6D95">
            <w:pPr>
              <w:pStyle w:val="CellHeader"/>
            </w:pPr>
            <w:r w:rsidRPr="00807829">
              <w:t>Plan 2014.</w:t>
            </w:r>
          </w:p>
        </w:tc>
        <w:tc>
          <w:tcPr>
            <w:tcW w:w="1486" w:type="dxa"/>
            <w:shd w:val="clear" w:color="auto" w:fill="B5C0D8"/>
          </w:tcPr>
          <w:p w:rsidR="00D849AA" w:rsidRPr="00807829" w:rsidRDefault="00EE6D95">
            <w:pPr>
              <w:pStyle w:val="CellHeader"/>
            </w:pPr>
            <w:r w:rsidRPr="00807829">
              <w:t>Plan 2015.</w:t>
            </w:r>
          </w:p>
        </w:tc>
        <w:tc>
          <w:tcPr>
            <w:tcW w:w="1486" w:type="dxa"/>
            <w:shd w:val="clear" w:color="auto" w:fill="B5C0D8"/>
          </w:tcPr>
          <w:p w:rsidR="00D849AA" w:rsidRPr="00807829" w:rsidRDefault="00EE6D95">
            <w:pPr>
              <w:pStyle w:val="CellHeader"/>
            </w:pPr>
            <w:r w:rsidRPr="00807829">
              <w:t>Plan 2016.</w:t>
            </w:r>
          </w:p>
        </w:tc>
        <w:tc>
          <w:tcPr>
            <w:tcW w:w="1486" w:type="dxa"/>
            <w:shd w:val="clear" w:color="auto" w:fill="B5C0D8"/>
          </w:tcPr>
          <w:p w:rsidR="00D849AA" w:rsidRPr="00807829" w:rsidRDefault="00EE6D95">
            <w:pPr>
              <w:pStyle w:val="CellHeader"/>
            </w:pPr>
            <w:r w:rsidRPr="00807829">
              <w:t>Indeks 2014/2013</w:t>
            </w:r>
          </w:p>
        </w:tc>
      </w:tr>
      <w:tr w:rsidR="00D849AA">
        <w:trPr>
          <w:jc w:val="center"/>
        </w:trPr>
        <w:tc>
          <w:tcPr>
            <w:tcW w:w="1486" w:type="dxa"/>
          </w:tcPr>
          <w:p w:rsidR="00D849AA" w:rsidRPr="00807829" w:rsidRDefault="00EE6D95">
            <w:pPr>
              <w:pStyle w:val="CellColumn"/>
            </w:pPr>
            <w:r w:rsidRPr="00807829">
              <w:t>T538056</w:t>
            </w:r>
          </w:p>
        </w:tc>
        <w:tc>
          <w:tcPr>
            <w:tcW w:w="1486" w:type="dxa"/>
          </w:tcPr>
          <w:p w:rsidR="00D849AA" w:rsidRPr="00807829" w:rsidRDefault="00EE6D95">
            <w:pPr>
              <w:rPr>
                <w:rFonts w:ascii="Arial" w:hAnsi="Arial" w:cs="Arial"/>
              </w:rPr>
            </w:pPr>
            <w:r w:rsidRPr="00807829">
              <w:rPr>
                <w:rFonts w:ascii="Arial" w:hAnsi="Arial" w:cs="Arial"/>
              </w:rPr>
              <w:t>110.000</w:t>
            </w:r>
          </w:p>
        </w:tc>
        <w:tc>
          <w:tcPr>
            <w:tcW w:w="1486" w:type="dxa"/>
          </w:tcPr>
          <w:p w:rsidR="00D849AA" w:rsidRPr="00807829" w:rsidRDefault="00EE6D95">
            <w:pPr>
              <w:rPr>
                <w:rFonts w:ascii="Arial" w:hAnsi="Arial" w:cs="Arial"/>
              </w:rPr>
            </w:pPr>
            <w:r w:rsidRPr="00807829">
              <w:rPr>
                <w:rFonts w:ascii="Arial" w:hAnsi="Arial" w:cs="Arial"/>
              </w:rPr>
              <w:t>130.000</w:t>
            </w:r>
          </w:p>
        </w:tc>
        <w:tc>
          <w:tcPr>
            <w:tcW w:w="1486" w:type="dxa"/>
          </w:tcPr>
          <w:p w:rsidR="00D849AA" w:rsidRPr="00807829" w:rsidRDefault="00EE6D95">
            <w:pPr>
              <w:rPr>
                <w:rFonts w:ascii="Arial" w:hAnsi="Arial" w:cs="Arial"/>
              </w:rPr>
            </w:pPr>
            <w:r w:rsidRPr="00807829">
              <w:rPr>
                <w:rFonts w:ascii="Arial" w:hAnsi="Arial" w:cs="Arial"/>
              </w:rPr>
              <w:t>130.000</w:t>
            </w:r>
          </w:p>
        </w:tc>
        <w:tc>
          <w:tcPr>
            <w:tcW w:w="1486" w:type="dxa"/>
          </w:tcPr>
          <w:p w:rsidR="00D849AA" w:rsidRPr="00807829" w:rsidRDefault="00EE6D95">
            <w:pPr>
              <w:rPr>
                <w:rFonts w:ascii="Arial" w:hAnsi="Arial" w:cs="Arial"/>
              </w:rPr>
            </w:pPr>
            <w:r w:rsidRPr="00807829">
              <w:rPr>
                <w:rFonts w:ascii="Arial" w:hAnsi="Arial" w:cs="Arial"/>
              </w:rPr>
              <w:t>130.000</w:t>
            </w:r>
          </w:p>
        </w:tc>
        <w:tc>
          <w:tcPr>
            <w:tcW w:w="1486" w:type="dxa"/>
          </w:tcPr>
          <w:p w:rsidR="00D849AA" w:rsidRPr="00807829" w:rsidRDefault="00EE6D95">
            <w:pPr>
              <w:rPr>
                <w:rFonts w:ascii="Arial" w:hAnsi="Arial" w:cs="Arial"/>
              </w:rPr>
            </w:pPr>
            <w:r w:rsidRPr="00807829">
              <w:rPr>
                <w:rFonts w:ascii="Arial" w:hAnsi="Arial" w:cs="Arial"/>
              </w:rPr>
              <w:t>118,2</w:t>
            </w:r>
          </w:p>
        </w:tc>
      </w:tr>
    </w:tbl>
    <w:p w:rsidR="00D849AA" w:rsidRDefault="00D849AA">
      <w:pPr>
        <w:jc w:val="left"/>
      </w:pPr>
    </w:p>
    <w:p w:rsidR="00D849AA" w:rsidRDefault="00EE6D95">
      <w:pPr>
        <w:pStyle w:val="Normal6"/>
      </w:pPr>
      <w:r>
        <w:t xml:space="preserve">Vezano za obvezu Direktive 2010/31/EU o energetskim svojstvima zgrada moraju se definirati Nacionalne smjernice za kontinuiranu izobrazbu građevinskih radnika u energetskoj učinkovitosti u zgradarstvu. </w:t>
      </w:r>
    </w:p>
    <w:p w:rsidR="00D849AA" w:rsidRDefault="00EE6D95">
      <w:pPr>
        <w:pStyle w:val="Normal6"/>
      </w:pPr>
      <w:r>
        <w:t>Iskustva zemalja EU i iskustva u Hrvatskoj su pokazala da energetski učinkovita obnova te izgradnja novih zgrada sa što manjom potrošnjom energije (niskoenergetskih, pasivnih, gotovo nula energetskih) trenutno predstavlja veliki izazov za građevinski sektor pa i industriju u cjelini. Navedena situacija zahtjeva povećanje broja stručno osposobljenih radnika na tržištu, odnosno stvaranje radne snage (obrtnici, poduzetnici) koji posjeduju dovoljno znanje, ili su specijalizirani za gradnju energetski učinkovitih zgrada te time jamče za kvalitetnu izvedbu zgrada. Također, potrebno je kreirati mjere kojima bi se stvorili preduvjeti za vrednovanje kvalificirane radne snage na tržištu. Potrebno uspostaviti sustavnu i kontinuirana izobrazbu za stručnjake, inženjere, planere i za građevinske radnike profila koji su vezani ili će biti potrebni za energetski učinkovitu gradnju.</w:t>
      </w:r>
    </w:p>
    <w:p w:rsidR="00D849AA" w:rsidRDefault="00D849AA">
      <w:pPr>
        <w:jc w:val="left"/>
      </w:pPr>
    </w:p>
    <w:p w:rsidR="00D849AA" w:rsidRDefault="00EE6D95">
      <w:pPr>
        <w:pStyle w:val="Naslov6"/>
      </w:pPr>
      <w:r>
        <w:t>T538061 PROVEDBA PROJEKTA INTELIGENTNA ENERGIJA EUROPE (EPBD-CA)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807829" w:rsidRDefault="00EE6D95">
            <w:pPr>
              <w:pStyle w:val="CellHeader"/>
            </w:pPr>
            <w:r w:rsidRPr="00807829">
              <w:t>Naziv aktivnosti</w:t>
            </w:r>
          </w:p>
        </w:tc>
        <w:tc>
          <w:tcPr>
            <w:tcW w:w="1486" w:type="dxa"/>
            <w:shd w:val="clear" w:color="auto" w:fill="B5C0D8"/>
          </w:tcPr>
          <w:p w:rsidR="00D849AA" w:rsidRPr="00807829" w:rsidRDefault="00EE6D95">
            <w:pPr>
              <w:pStyle w:val="CellHeader"/>
            </w:pPr>
            <w:r w:rsidRPr="00807829">
              <w:t>Plan 2013.</w:t>
            </w:r>
          </w:p>
        </w:tc>
        <w:tc>
          <w:tcPr>
            <w:tcW w:w="1486" w:type="dxa"/>
            <w:shd w:val="clear" w:color="auto" w:fill="B5C0D8"/>
          </w:tcPr>
          <w:p w:rsidR="00D849AA" w:rsidRPr="00807829" w:rsidRDefault="00EE6D95">
            <w:pPr>
              <w:pStyle w:val="CellHeader"/>
            </w:pPr>
            <w:r w:rsidRPr="00807829">
              <w:t>Plan 2014.</w:t>
            </w:r>
          </w:p>
        </w:tc>
        <w:tc>
          <w:tcPr>
            <w:tcW w:w="1486" w:type="dxa"/>
            <w:shd w:val="clear" w:color="auto" w:fill="B5C0D8"/>
          </w:tcPr>
          <w:p w:rsidR="00D849AA" w:rsidRPr="00807829" w:rsidRDefault="00EE6D95">
            <w:pPr>
              <w:pStyle w:val="CellHeader"/>
            </w:pPr>
            <w:r w:rsidRPr="00807829">
              <w:t>Plan 2015.</w:t>
            </w:r>
          </w:p>
        </w:tc>
        <w:tc>
          <w:tcPr>
            <w:tcW w:w="1486" w:type="dxa"/>
            <w:shd w:val="clear" w:color="auto" w:fill="B5C0D8"/>
          </w:tcPr>
          <w:p w:rsidR="00D849AA" w:rsidRPr="00807829" w:rsidRDefault="00EE6D95">
            <w:pPr>
              <w:pStyle w:val="CellHeader"/>
            </w:pPr>
            <w:r w:rsidRPr="00807829">
              <w:t>Plan 2016.</w:t>
            </w:r>
          </w:p>
        </w:tc>
        <w:tc>
          <w:tcPr>
            <w:tcW w:w="1486" w:type="dxa"/>
            <w:shd w:val="clear" w:color="auto" w:fill="B5C0D8"/>
          </w:tcPr>
          <w:p w:rsidR="00D849AA" w:rsidRPr="00807829" w:rsidRDefault="00EE6D95">
            <w:pPr>
              <w:pStyle w:val="CellHeader"/>
            </w:pPr>
            <w:r w:rsidRPr="00807829">
              <w:t>Indeks 2014/2013</w:t>
            </w:r>
          </w:p>
        </w:tc>
      </w:tr>
      <w:tr w:rsidR="00D849AA">
        <w:trPr>
          <w:jc w:val="center"/>
        </w:trPr>
        <w:tc>
          <w:tcPr>
            <w:tcW w:w="1486" w:type="dxa"/>
          </w:tcPr>
          <w:p w:rsidR="00D849AA" w:rsidRPr="00807829" w:rsidRDefault="00EE6D95">
            <w:pPr>
              <w:pStyle w:val="CellColumn"/>
            </w:pPr>
            <w:r w:rsidRPr="00807829">
              <w:t>T538061</w:t>
            </w:r>
          </w:p>
        </w:tc>
        <w:tc>
          <w:tcPr>
            <w:tcW w:w="1486" w:type="dxa"/>
          </w:tcPr>
          <w:p w:rsidR="00D849AA" w:rsidRPr="00807829" w:rsidRDefault="00EE6D95">
            <w:pPr>
              <w:rPr>
                <w:rFonts w:ascii="Arial" w:hAnsi="Arial" w:cs="Arial"/>
              </w:rPr>
            </w:pPr>
            <w:r w:rsidRPr="00807829">
              <w:rPr>
                <w:rFonts w:ascii="Arial" w:hAnsi="Arial" w:cs="Arial"/>
              </w:rPr>
              <w:t>200.000</w:t>
            </w:r>
          </w:p>
        </w:tc>
        <w:tc>
          <w:tcPr>
            <w:tcW w:w="1486" w:type="dxa"/>
          </w:tcPr>
          <w:p w:rsidR="00D849AA" w:rsidRPr="00807829" w:rsidRDefault="00EE6D95">
            <w:pPr>
              <w:rPr>
                <w:rFonts w:ascii="Arial" w:hAnsi="Arial" w:cs="Arial"/>
              </w:rPr>
            </w:pPr>
            <w:r w:rsidRPr="00807829">
              <w:rPr>
                <w:rFonts w:ascii="Arial" w:hAnsi="Arial" w:cs="Arial"/>
              </w:rPr>
              <w:t>200.000</w:t>
            </w:r>
          </w:p>
        </w:tc>
        <w:tc>
          <w:tcPr>
            <w:tcW w:w="1486" w:type="dxa"/>
          </w:tcPr>
          <w:p w:rsidR="00D849AA" w:rsidRPr="00807829" w:rsidRDefault="00EE6D95">
            <w:pPr>
              <w:rPr>
                <w:rFonts w:ascii="Arial" w:hAnsi="Arial" w:cs="Arial"/>
              </w:rPr>
            </w:pPr>
            <w:r w:rsidRPr="00807829">
              <w:rPr>
                <w:rFonts w:ascii="Arial" w:hAnsi="Arial" w:cs="Arial"/>
              </w:rPr>
              <w:t>200.000</w:t>
            </w:r>
          </w:p>
        </w:tc>
        <w:tc>
          <w:tcPr>
            <w:tcW w:w="1486" w:type="dxa"/>
          </w:tcPr>
          <w:p w:rsidR="00D849AA" w:rsidRPr="00807829" w:rsidRDefault="00EE6D95">
            <w:pPr>
              <w:rPr>
                <w:rFonts w:ascii="Arial" w:hAnsi="Arial" w:cs="Arial"/>
              </w:rPr>
            </w:pPr>
            <w:r w:rsidRPr="00807829">
              <w:rPr>
                <w:rFonts w:ascii="Arial" w:hAnsi="Arial" w:cs="Arial"/>
              </w:rPr>
              <w:t>200.000</w:t>
            </w:r>
          </w:p>
        </w:tc>
        <w:tc>
          <w:tcPr>
            <w:tcW w:w="1486" w:type="dxa"/>
          </w:tcPr>
          <w:p w:rsidR="00D849AA" w:rsidRPr="00807829" w:rsidRDefault="00EE6D95">
            <w:pPr>
              <w:rPr>
                <w:rFonts w:ascii="Arial" w:hAnsi="Arial" w:cs="Arial"/>
              </w:rPr>
            </w:pPr>
            <w:r w:rsidRPr="00807829">
              <w:rPr>
                <w:rFonts w:ascii="Arial" w:hAnsi="Arial" w:cs="Arial"/>
              </w:rPr>
              <w:t>100,0</w:t>
            </w:r>
          </w:p>
        </w:tc>
      </w:tr>
    </w:tbl>
    <w:p w:rsidR="00D849AA" w:rsidRDefault="00D849AA">
      <w:pPr>
        <w:jc w:val="left"/>
      </w:pPr>
    </w:p>
    <w:p w:rsidR="00D849AA" w:rsidRDefault="00EE6D95">
      <w:pPr>
        <w:pStyle w:val="Normal6"/>
      </w:pPr>
      <w:r>
        <w:t>Projekt kojega je pokrenula Europska komisija ima za cilj osnaživanje i uspostavu razmjene iskustava i informacija o nacionalnim modelima provedbe  i promocija primjera dobre prakse u aktivnostima koje se zahtijevaju od država članica u provedbi Direktive. Projekt pruža potporu kod provedbe zahtjeva koji se odnose na: izračune  troškovno optimalnih zahtjeva za zgrade, za utvrđivanje uvjeta na zgrade gotovo nulte energije, implementaciju zahtjeva vezano na provedbu redovitih pregleda sustava grijanja i sustava klimatizacije u zgradama, provedbi kontrole kvalitete, programima za obuku stručnjaka koji provode energetske preglede i certificiranje zgrada kao i radnika koji sudjeluju u  gradnji zgrada te pripremi i provedbi mjera za poboljšanje energetske učinkovitosti u zgradama.</w:t>
      </w:r>
    </w:p>
    <w:p w:rsidR="00D61DA2" w:rsidRDefault="00D61DA2" w:rsidP="00D61DA2">
      <w:pPr>
        <w:pStyle w:val="Naslov4"/>
      </w:pPr>
      <w:r>
        <w:t>OBRAZLOŽENJE PROGRAMA</w:t>
      </w:r>
    </w:p>
    <w:p w:rsidR="00D849AA" w:rsidRDefault="00EE6D95">
      <w:pPr>
        <w:pStyle w:val="Naslov5"/>
      </w:pPr>
      <w:r>
        <w:t>3910 OČUVANJE KULTURNE BAŠTINE - SANACIJA OBJEKATA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807829" w:rsidRDefault="00D849AA">
            <w:pPr>
              <w:pStyle w:val="CellHeader"/>
            </w:pPr>
          </w:p>
        </w:tc>
        <w:tc>
          <w:tcPr>
            <w:tcW w:w="1486" w:type="dxa"/>
            <w:shd w:val="clear" w:color="auto" w:fill="B5C0D8"/>
          </w:tcPr>
          <w:p w:rsidR="00D849AA" w:rsidRPr="00807829" w:rsidRDefault="00EE6D95">
            <w:pPr>
              <w:pStyle w:val="CellHeader"/>
            </w:pPr>
            <w:r w:rsidRPr="00807829">
              <w:t>Plan 2013.</w:t>
            </w:r>
          </w:p>
        </w:tc>
        <w:tc>
          <w:tcPr>
            <w:tcW w:w="1486" w:type="dxa"/>
            <w:shd w:val="clear" w:color="auto" w:fill="B5C0D8"/>
          </w:tcPr>
          <w:p w:rsidR="00D849AA" w:rsidRPr="00807829" w:rsidRDefault="00EE6D95">
            <w:pPr>
              <w:pStyle w:val="CellHeader"/>
            </w:pPr>
            <w:r w:rsidRPr="00807829">
              <w:t>Plan 2014.</w:t>
            </w:r>
          </w:p>
        </w:tc>
        <w:tc>
          <w:tcPr>
            <w:tcW w:w="1486" w:type="dxa"/>
            <w:shd w:val="clear" w:color="auto" w:fill="B5C0D8"/>
          </w:tcPr>
          <w:p w:rsidR="00D849AA" w:rsidRPr="00807829" w:rsidRDefault="00EE6D95">
            <w:pPr>
              <w:pStyle w:val="CellHeader"/>
            </w:pPr>
            <w:r w:rsidRPr="00807829">
              <w:t>Plan 2015.</w:t>
            </w:r>
          </w:p>
        </w:tc>
        <w:tc>
          <w:tcPr>
            <w:tcW w:w="1486" w:type="dxa"/>
            <w:shd w:val="clear" w:color="auto" w:fill="B5C0D8"/>
          </w:tcPr>
          <w:p w:rsidR="00D849AA" w:rsidRPr="00807829" w:rsidRDefault="00EE6D95">
            <w:pPr>
              <w:pStyle w:val="CellHeader"/>
            </w:pPr>
            <w:r w:rsidRPr="00807829">
              <w:t>Plan 2016.</w:t>
            </w:r>
          </w:p>
        </w:tc>
        <w:tc>
          <w:tcPr>
            <w:tcW w:w="1486" w:type="dxa"/>
            <w:shd w:val="clear" w:color="auto" w:fill="B5C0D8"/>
          </w:tcPr>
          <w:p w:rsidR="00D849AA" w:rsidRPr="00807829" w:rsidRDefault="00EE6D95">
            <w:pPr>
              <w:pStyle w:val="CellHeader"/>
            </w:pPr>
            <w:r w:rsidRPr="00807829">
              <w:t>Indeks 2014/2013</w:t>
            </w:r>
          </w:p>
        </w:tc>
      </w:tr>
      <w:tr w:rsidR="00D849AA">
        <w:trPr>
          <w:jc w:val="center"/>
        </w:trPr>
        <w:tc>
          <w:tcPr>
            <w:tcW w:w="1486" w:type="dxa"/>
          </w:tcPr>
          <w:p w:rsidR="00D849AA" w:rsidRPr="00807829" w:rsidRDefault="00EE6D95">
            <w:pPr>
              <w:pStyle w:val="CellColumn"/>
            </w:pPr>
            <w:r w:rsidRPr="00807829">
              <w:t>3910</w:t>
            </w:r>
          </w:p>
        </w:tc>
        <w:tc>
          <w:tcPr>
            <w:tcW w:w="1486" w:type="dxa"/>
          </w:tcPr>
          <w:p w:rsidR="00D849AA" w:rsidRPr="00807829" w:rsidRDefault="00EE6D95">
            <w:pPr>
              <w:rPr>
                <w:rFonts w:ascii="Arial" w:hAnsi="Arial" w:cs="Arial"/>
              </w:rPr>
            </w:pPr>
            <w:r w:rsidRPr="00807829">
              <w:rPr>
                <w:rFonts w:ascii="Arial" w:hAnsi="Arial" w:cs="Arial"/>
              </w:rPr>
              <w:t>1.300.000</w:t>
            </w:r>
          </w:p>
        </w:tc>
        <w:tc>
          <w:tcPr>
            <w:tcW w:w="1486" w:type="dxa"/>
          </w:tcPr>
          <w:p w:rsidR="00D849AA" w:rsidRPr="00807829" w:rsidRDefault="00EE6D95">
            <w:pPr>
              <w:rPr>
                <w:rFonts w:ascii="Arial" w:hAnsi="Arial" w:cs="Arial"/>
              </w:rPr>
            </w:pPr>
            <w:r w:rsidRPr="00807829">
              <w:rPr>
                <w:rFonts w:ascii="Arial" w:hAnsi="Arial" w:cs="Arial"/>
              </w:rPr>
              <w:t>1.300.000</w:t>
            </w:r>
          </w:p>
        </w:tc>
        <w:tc>
          <w:tcPr>
            <w:tcW w:w="1486" w:type="dxa"/>
          </w:tcPr>
          <w:p w:rsidR="00D849AA" w:rsidRPr="00807829" w:rsidRDefault="00EE6D95">
            <w:pPr>
              <w:rPr>
                <w:rFonts w:ascii="Arial" w:hAnsi="Arial" w:cs="Arial"/>
              </w:rPr>
            </w:pPr>
            <w:r w:rsidRPr="00807829">
              <w:rPr>
                <w:rFonts w:ascii="Arial" w:hAnsi="Arial" w:cs="Arial"/>
              </w:rPr>
              <w:t>1.300.000</w:t>
            </w:r>
          </w:p>
        </w:tc>
        <w:tc>
          <w:tcPr>
            <w:tcW w:w="1486" w:type="dxa"/>
          </w:tcPr>
          <w:p w:rsidR="00D849AA" w:rsidRPr="00807829" w:rsidRDefault="00EE6D95">
            <w:pPr>
              <w:rPr>
                <w:rFonts w:ascii="Arial" w:hAnsi="Arial" w:cs="Arial"/>
              </w:rPr>
            </w:pPr>
            <w:r w:rsidRPr="00807829">
              <w:rPr>
                <w:rFonts w:ascii="Arial" w:hAnsi="Arial" w:cs="Arial"/>
              </w:rPr>
              <w:t>1.300.000</w:t>
            </w:r>
          </w:p>
        </w:tc>
        <w:tc>
          <w:tcPr>
            <w:tcW w:w="1486" w:type="dxa"/>
          </w:tcPr>
          <w:p w:rsidR="00D849AA" w:rsidRPr="00807829" w:rsidRDefault="00EE6D95">
            <w:pPr>
              <w:rPr>
                <w:rFonts w:ascii="Arial" w:hAnsi="Arial" w:cs="Arial"/>
              </w:rPr>
            </w:pPr>
            <w:r w:rsidRPr="00807829">
              <w:rPr>
                <w:rFonts w:ascii="Arial" w:hAnsi="Arial" w:cs="Arial"/>
              </w:rPr>
              <w:t>100,0</w:t>
            </w:r>
          </w:p>
        </w:tc>
      </w:tr>
    </w:tbl>
    <w:p w:rsidR="00D849AA" w:rsidRDefault="00D849AA">
      <w:pPr>
        <w:jc w:val="left"/>
      </w:pPr>
    </w:p>
    <w:p w:rsidR="00D849AA" w:rsidRDefault="00EE6D95">
      <w:pPr>
        <w:pStyle w:val="Naslov6"/>
      </w:pPr>
      <w:r>
        <w:t>Opis programa</w:t>
      </w:r>
    </w:p>
    <w:p w:rsidR="00D849AA" w:rsidRDefault="00EE6D95">
      <w:pPr>
        <w:pStyle w:val="Normal5"/>
      </w:pPr>
      <w:r>
        <w:t xml:space="preserve">Provođenje aktivnosti vezanih za sanaciju i obnovu građevina u osječkoj Tvrđi. Republika Hrvatska, zajedno sa Osječko-baranjskom županijom i Gradom Osijekom, osnovala je Agenciju za obnovu osječke Tvrđe kao javnu ustanovu za </w:t>
      </w:r>
    </w:p>
    <w:p w:rsidR="00D849AA" w:rsidRDefault="00EE6D95">
      <w:pPr>
        <w:pStyle w:val="Normal5"/>
      </w:pPr>
      <w:r>
        <w:t xml:space="preserve">pripremu, organizaciju i provođenje programa zaštite, obnove i revitalizacije osječke Tvrđe. </w:t>
      </w:r>
    </w:p>
    <w:p w:rsidR="00D849AA" w:rsidRDefault="00EE6D95">
      <w:pPr>
        <w:pStyle w:val="Normal5"/>
      </w:pPr>
      <w:r>
        <w:t xml:space="preserve">Osnivači za osnivanje i rad Agencije osiguravaju sredstva u sljedećim omjerima: </w:t>
      </w:r>
    </w:p>
    <w:p w:rsidR="00D849AA" w:rsidRDefault="00EE6D95">
      <w:pPr>
        <w:pStyle w:val="Normal5"/>
      </w:pPr>
      <w:r>
        <w:t xml:space="preserve">- Republika Hrvatska 51% sredstava, </w:t>
      </w:r>
    </w:p>
    <w:p w:rsidR="00D849AA" w:rsidRDefault="00EE6D95">
      <w:pPr>
        <w:pStyle w:val="Normal5"/>
      </w:pPr>
      <w:r>
        <w:t xml:space="preserve">- Osječko-baranjska županija 24,5% sredstava, </w:t>
      </w:r>
    </w:p>
    <w:p w:rsidR="00D849AA" w:rsidRDefault="00EE6D95">
      <w:pPr>
        <w:pStyle w:val="Normal5"/>
      </w:pPr>
      <w:r>
        <w:t xml:space="preserve">- Grad Osijek 24,5% sredstava. </w:t>
      </w:r>
    </w:p>
    <w:p w:rsidR="00D849AA" w:rsidRDefault="00EE6D95">
      <w:pPr>
        <w:pStyle w:val="Normal5"/>
      </w:pPr>
      <w:r>
        <w:t>U ime Republike Hrvatske sredstva za tu namjenu osigurava u svom proračunu Ministarstvo graditeljstva i prostornoga uređenja.</w:t>
      </w:r>
    </w:p>
    <w:p w:rsidR="00D849AA" w:rsidRDefault="00EE6D95">
      <w:pPr>
        <w:pStyle w:val="Naslov6"/>
      </w:pPr>
      <w:r>
        <w:t>Zakonske i druge pravne osnove</w:t>
      </w:r>
    </w:p>
    <w:p w:rsidR="00D849AA" w:rsidRDefault="00EE6D95">
      <w:pPr>
        <w:pStyle w:val="Normal5"/>
      </w:pPr>
      <w:r>
        <w:t>1. Uredba o osnivanju Agencije za obnovu osječke Tvrđe (Narodne novine, broj 28/99)</w:t>
      </w:r>
    </w:p>
    <w:p w:rsidR="00D849AA" w:rsidRDefault="00EE6D95">
      <w:pPr>
        <w:pStyle w:val="Naslov2"/>
      </w:pPr>
      <w:r>
        <w:t>07610 Hrvatski zavod za prostorni razvoj</w:t>
      </w:r>
    </w:p>
    <w:p w:rsidR="00D849AA" w:rsidRDefault="00EE6D95">
      <w:pPr>
        <w:pStyle w:val="Naslov4"/>
      </w:pPr>
      <w:r>
        <w:t>Uvod</w:t>
      </w:r>
    </w:p>
    <w:p w:rsidR="00D849AA" w:rsidRDefault="00EE6D95">
      <w:pPr>
        <w:pStyle w:val="Normal3"/>
      </w:pPr>
      <w:r>
        <w:t xml:space="preserve">Slijedom odredbi čl. 30.-37., čl. 338. i čl. 339. Zakona o prostornom uređenju i gradnji (Narodne novine, broj 76/2007, 38/2009, 55/2011, 90/2011, 50/2012 i 55/2012), u daljnjem tekstu Zakon, ministrica graditeljstva i prostornoga uređenja imenovala je privremenog ravnatelja i Upravno vijeće Hrvatskog zavoda za prostorni razvoj, u daljnjem tekstu Zavod. Zavod je upisan u sudski registar i programirano je da započne s radom u 2014. godini. </w:t>
      </w:r>
    </w:p>
    <w:p w:rsidR="00D849AA" w:rsidRDefault="00EE6D95">
      <w:pPr>
        <w:pStyle w:val="Normal3"/>
      </w:pPr>
      <w:r>
        <w:lastRenderedPageBreak/>
        <w:t xml:space="preserve">Danom početka rada Zavoda prestaje s radom Zavod za prostorno planiranje u sklopu Ministarstva i izvršiti će se preuzimanje službenika, poslova i materijalno-tehničkih sredstava. </w:t>
      </w:r>
    </w:p>
    <w:p w:rsidR="00D849AA" w:rsidRDefault="00EE6D95">
      <w:pPr>
        <w:pStyle w:val="Normal3"/>
      </w:pPr>
      <w:r>
        <w:t xml:space="preserve">Djelatnost Zavoda obuhvaća osobito (čl. 31. Zakona): </w:t>
      </w:r>
    </w:p>
    <w:p w:rsidR="00D849AA" w:rsidRDefault="00EE6D95">
      <w:pPr>
        <w:pStyle w:val="Normal3"/>
      </w:pPr>
      <w:r>
        <w:t xml:space="preserve">- izradu i praćenje provođenja Strategije prostornog razvoja i Programa prostornog uređenja Države i drugih dokumenata prostornog uređenja, koje donosi Hrvatski sabor, </w:t>
      </w:r>
    </w:p>
    <w:p w:rsidR="00D849AA" w:rsidRDefault="00EE6D95">
      <w:pPr>
        <w:pStyle w:val="Normal3"/>
      </w:pPr>
      <w:r>
        <w:t xml:space="preserve">- izradu i suradnju u izradi drugih dokumenata od važnosti za prostorno uređenje i zaštitu prostora Države, </w:t>
      </w:r>
    </w:p>
    <w:p w:rsidR="00D849AA" w:rsidRDefault="00EE6D95">
      <w:pPr>
        <w:pStyle w:val="Normal3"/>
      </w:pPr>
      <w:r>
        <w:t xml:space="preserve">- vođenje i koordinaciju te razvoj informacijskog sustava prostornog uređenja Države, </w:t>
      </w:r>
    </w:p>
    <w:p w:rsidR="00D849AA" w:rsidRDefault="00EE6D95">
      <w:pPr>
        <w:pStyle w:val="Normal3"/>
      </w:pPr>
      <w:r>
        <w:t xml:space="preserve">- prikupljanje, objedinjavanje i redovito objavljivanje (elektronički i pisano) podataka i informacija o prostoru, </w:t>
      </w:r>
    </w:p>
    <w:p w:rsidR="00D849AA" w:rsidRDefault="00EE6D95">
      <w:pPr>
        <w:pStyle w:val="Normal3"/>
      </w:pPr>
      <w:r>
        <w:t xml:space="preserve">- pripremu liste pokazatelja o stanju u prostoru, </w:t>
      </w:r>
    </w:p>
    <w:p w:rsidR="00D849AA" w:rsidRDefault="00EE6D95">
      <w:pPr>
        <w:pStyle w:val="Normal3"/>
      </w:pPr>
      <w:r>
        <w:t xml:space="preserve">- izradu četverogodišnjeg izvješća o stanju u prostoru Države, </w:t>
      </w:r>
    </w:p>
    <w:p w:rsidR="00D849AA" w:rsidRDefault="00EE6D95">
      <w:pPr>
        <w:pStyle w:val="Normal3"/>
      </w:pPr>
      <w:r>
        <w:t xml:space="preserve">- obavljanje stručnih poslova za određivanje sadržaja i metodologije prostornog planiranja u izradi dokumenata prostornog uređenja i praćenju stanja u prostoru, </w:t>
      </w:r>
    </w:p>
    <w:p w:rsidR="00D849AA" w:rsidRDefault="00EE6D95">
      <w:pPr>
        <w:pStyle w:val="Normal3"/>
      </w:pPr>
      <w:r>
        <w:t xml:space="preserve">- suradnju s osobama, međunarodnim tijelima, institucijama i udrugama na izradi i realizaciji projekata i programa iz područja prostornog uređenja, </w:t>
      </w:r>
    </w:p>
    <w:p w:rsidR="00D849AA" w:rsidRDefault="00EE6D95">
      <w:pPr>
        <w:pStyle w:val="Normal3"/>
      </w:pPr>
      <w:r>
        <w:t xml:space="preserve">- sudjelovanje u provođenju međunarodnih obveza iz područja prostornog uređenja, </w:t>
      </w:r>
    </w:p>
    <w:p w:rsidR="00D849AA" w:rsidRDefault="00EE6D95">
      <w:pPr>
        <w:pStyle w:val="Normal3"/>
      </w:pPr>
      <w:r>
        <w:t xml:space="preserve">- osiguravanje uvjeta za pristup informacijama o prostoru, kojima raspolaže i </w:t>
      </w:r>
    </w:p>
    <w:p w:rsidR="00D849AA" w:rsidRDefault="00EE6D95">
      <w:pPr>
        <w:pStyle w:val="Normal3"/>
      </w:pPr>
      <w:r>
        <w:t xml:space="preserve">- druge poslove u skladu s Zakonom i posebnim propisima. </w:t>
      </w:r>
    </w:p>
    <w:p w:rsidR="00D849AA" w:rsidRDefault="00EE6D95">
      <w:pPr>
        <w:pStyle w:val="Normal3"/>
      </w:pPr>
      <w:r>
        <w:t>Iz navedenog je vidljivo da je Zavod stručna služba Hrvatskog sabora i Vlade Republike Hrvatske.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807829" w:rsidRDefault="00D849AA">
            <w:pPr>
              <w:pStyle w:val="CellHeader"/>
            </w:pPr>
          </w:p>
        </w:tc>
        <w:tc>
          <w:tcPr>
            <w:tcW w:w="1486" w:type="dxa"/>
            <w:shd w:val="clear" w:color="auto" w:fill="B5C0D8"/>
          </w:tcPr>
          <w:p w:rsidR="00D849AA" w:rsidRPr="00807829" w:rsidRDefault="00EE6D95">
            <w:pPr>
              <w:pStyle w:val="CellHeader"/>
            </w:pPr>
            <w:r w:rsidRPr="00807829">
              <w:t>Plan 2013.</w:t>
            </w:r>
          </w:p>
        </w:tc>
        <w:tc>
          <w:tcPr>
            <w:tcW w:w="1486" w:type="dxa"/>
            <w:shd w:val="clear" w:color="auto" w:fill="B5C0D8"/>
          </w:tcPr>
          <w:p w:rsidR="00D849AA" w:rsidRPr="00807829" w:rsidRDefault="00EE6D95">
            <w:pPr>
              <w:pStyle w:val="CellHeader"/>
            </w:pPr>
            <w:r w:rsidRPr="00807829">
              <w:t>Plan 2014.</w:t>
            </w:r>
          </w:p>
        </w:tc>
        <w:tc>
          <w:tcPr>
            <w:tcW w:w="1486" w:type="dxa"/>
            <w:shd w:val="clear" w:color="auto" w:fill="B5C0D8"/>
          </w:tcPr>
          <w:p w:rsidR="00D849AA" w:rsidRPr="00807829" w:rsidRDefault="00EE6D95">
            <w:pPr>
              <w:pStyle w:val="CellHeader"/>
            </w:pPr>
            <w:r w:rsidRPr="00807829">
              <w:t>Plan 2015.</w:t>
            </w:r>
          </w:p>
        </w:tc>
        <w:tc>
          <w:tcPr>
            <w:tcW w:w="1486" w:type="dxa"/>
            <w:shd w:val="clear" w:color="auto" w:fill="B5C0D8"/>
          </w:tcPr>
          <w:p w:rsidR="00D849AA" w:rsidRPr="00807829" w:rsidRDefault="00EE6D95">
            <w:pPr>
              <w:pStyle w:val="CellHeader"/>
            </w:pPr>
            <w:r w:rsidRPr="00807829">
              <w:t>Plan 2016.</w:t>
            </w:r>
          </w:p>
        </w:tc>
        <w:tc>
          <w:tcPr>
            <w:tcW w:w="1486" w:type="dxa"/>
            <w:shd w:val="clear" w:color="auto" w:fill="B5C0D8"/>
          </w:tcPr>
          <w:p w:rsidR="00D849AA" w:rsidRPr="00807829" w:rsidRDefault="00EE6D95">
            <w:pPr>
              <w:pStyle w:val="CellHeader"/>
            </w:pPr>
            <w:r w:rsidRPr="00807829">
              <w:t>Indeks 2014/2013</w:t>
            </w:r>
          </w:p>
        </w:tc>
      </w:tr>
      <w:tr w:rsidR="00D849AA">
        <w:trPr>
          <w:jc w:val="center"/>
        </w:trPr>
        <w:tc>
          <w:tcPr>
            <w:tcW w:w="1486" w:type="dxa"/>
          </w:tcPr>
          <w:p w:rsidR="00D849AA" w:rsidRPr="00807829" w:rsidRDefault="00EE6D95">
            <w:pPr>
              <w:pStyle w:val="CellColumn"/>
            </w:pPr>
            <w:r w:rsidRPr="00807829">
              <w:t>07610</w:t>
            </w:r>
          </w:p>
        </w:tc>
        <w:tc>
          <w:tcPr>
            <w:tcW w:w="1486" w:type="dxa"/>
          </w:tcPr>
          <w:p w:rsidR="00D849AA" w:rsidRPr="00807829" w:rsidRDefault="00EE6D95">
            <w:pPr>
              <w:rPr>
                <w:rFonts w:ascii="Arial" w:hAnsi="Arial" w:cs="Arial"/>
              </w:rPr>
            </w:pPr>
            <w:r w:rsidRPr="00807829">
              <w:rPr>
                <w:rFonts w:ascii="Arial" w:hAnsi="Arial" w:cs="Arial"/>
              </w:rPr>
              <w:t>5.330.000</w:t>
            </w:r>
          </w:p>
        </w:tc>
        <w:tc>
          <w:tcPr>
            <w:tcW w:w="1486" w:type="dxa"/>
          </w:tcPr>
          <w:p w:rsidR="00D849AA" w:rsidRPr="00807829" w:rsidRDefault="00EE6D95">
            <w:pPr>
              <w:rPr>
                <w:rFonts w:ascii="Arial" w:hAnsi="Arial" w:cs="Arial"/>
              </w:rPr>
            </w:pPr>
            <w:r w:rsidRPr="00807829">
              <w:rPr>
                <w:rFonts w:ascii="Arial" w:hAnsi="Arial" w:cs="Arial"/>
              </w:rPr>
              <w:t>15.815.000</w:t>
            </w:r>
          </w:p>
        </w:tc>
        <w:tc>
          <w:tcPr>
            <w:tcW w:w="1486" w:type="dxa"/>
          </w:tcPr>
          <w:p w:rsidR="00D849AA" w:rsidRPr="00807829" w:rsidRDefault="00EE6D95">
            <w:pPr>
              <w:rPr>
                <w:rFonts w:ascii="Arial" w:hAnsi="Arial" w:cs="Arial"/>
              </w:rPr>
            </w:pPr>
            <w:r w:rsidRPr="00807829">
              <w:rPr>
                <w:rFonts w:ascii="Arial" w:hAnsi="Arial" w:cs="Arial"/>
              </w:rPr>
              <w:t>15.765.000</w:t>
            </w:r>
          </w:p>
        </w:tc>
        <w:tc>
          <w:tcPr>
            <w:tcW w:w="1486" w:type="dxa"/>
          </w:tcPr>
          <w:p w:rsidR="00D849AA" w:rsidRPr="00807829" w:rsidRDefault="00EE6D95">
            <w:pPr>
              <w:rPr>
                <w:rFonts w:ascii="Arial" w:hAnsi="Arial" w:cs="Arial"/>
              </w:rPr>
            </w:pPr>
            <w:r w:rsidRPr="00807829">
              <w:rPr>
                <w:rFonts w:ascii="Arial" w:hAnsi="Arial" w:cs="Arial"/>
              </w:rPr>
              <w:t>15.265.000</w:t>
            </w:r>
          </w:p>
        </w:tc>
        <w:tc>
          <w:tcPr>
            <w:tcW w:w="1486" w:type="dxa"/>
          </w:tcPr>
          <w:p w:rsidR="00D849AA" w:rsidRPr="00807829" w:rsidRDefault="00EE6D95">
            <w:pPr>
              <w:rPr>
                <w:rFonts w:ascii="Arial" w:hAnsi="Arial" w:cs="Arial"/>
              </w:rPr>
            </w:pPr>
            <w:r w:rsidRPr="00807829">
              <w:rPr>
                <w:rFonts w:ascii="Arial" w:hAnsi="Arial" w:cs="Arial"/>
              </w:rPr>
              <w:t>296,7</w:t>
            </w:r>
          </w:p>
        </w:tc>
      </w:tr>
    </w:tbl>
    <w:p w:rsidR="00D849AA" w:rsidRDefault="00D849AA">
      <w:pPr>
        <w:jc w:val="left"/>
      </w:pPr>
    </w:p>
    <w:p w:rsidR="00D849AA" w:rsidRDefault="00EE6D95">
      <w:pPr>
        <w:pStyle w:val="Naslov4"/>
      </w:pPr>
      <w:r>
        <w:t>OBRAZLOŽENJE PROGRAMA</w:t>
      </w:r>
    </w:p>
    <w:p w:rsidR="00D849AA" w:rsidRDefault="00EE6D95">
      <w:pPr>
        <w:pStyle w:val="Naslov5"/>
      </w:pPr>
      <w:r>
        <w:t>3501 RAZVOJ I UPRAVLJANJE PROSTORNIM UREĐENJEM</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807829" w:rsidRDefault="00D849AA">
            <w:pPr>
              <w:pStyle w:val="CellHeader"/>
            </w:pPr>
          </w:p>
        </w:tc>
        <w:tc>
          <w:tcPr>
            <w:tcW w:w="1486" w:type="dxa"/>
            <w:shd w:val="clear" w:color="auto" w:fill="B5C0D8"/>
          </w:tcPr>
          <w:p w:rsidR="00D849AA" w:rsidRPr="00807829" w:rsidRDefault="00EE6D95">
            <w:pPr>
              <w:pStyle w:val="CellHeader"/>
            </w:pPr>
            <w:r w:rsidRPr="00807829">
              <w:t>Plan 2013.</w:t>
            </w:r>
          </w:p>
        </w:tc>
        <w:tc>
          <w:tcPr>
            <w:tcW w:w="1486" w:type="dxa"/>
            <w:shd w:val="clear" w:color="auto" w:fill="B5C0D8"/>
          </w:tcPr>
          <w:p w:rsidR="00D849AA" w:rsidRPr="00807829" w:rsidRDefault="00EE6D95">
            <w:pPr>
              <w:pStyle w:val="CellHeader"/>
            </w:pPr>
            <w:r w:rsidRPr="00807829">
              <w:t>Plan 2014.</w:t>
            </w:r>
          </w:p>
        </w:tc>
        <w:tc>
          <w:tcPr>
            <w:tcW w:w="1486" w:type="dxa"/>
            <w:shd w:val="clear" w:color="auto" w:fill="B5C0D8"/>
          </w:tcPr>
          <w:p w:rsidR="00D849AA" w:rsidRPr="00807829" w:rsidRDefault="00EE6D95">
            <w:pPr>
              <w:pStyle w:val="CellHeader"/>
            </w:pPr>
            <w:r w:rsidRPr="00807829">
              <w:t>Plan 2015.</w:t>
            </w:r>
          </w:p>
        </w:tc>
        <w:tc>
          <w:tcPr>
            <w:tcW w:w="1486" w:type="dxa"/>
            <w:shd w:val="clear" w:color="auto" w:fill="B5C0D8"/>
          </w:tcPr>
          <w:p w:rsidR="00D849AA" w:rsidRPr="00807829" w:rsidRDefault="00EE6D95">
            <w:pPr>
              <w:pStyle w:val="CellHeader"/>
            </w:pPr>
            <w:r w:rsidRPr="00807829">
              <w:t>Plan 2016.</w:t>
            </w:r>
          </w:p>
        </w:tc>
        <w:tc>
          <w:tcPr>
            <w:tcW w:w="1486" w:type="dxa"/>
            <w:shd w:val="clear" w:color="auto" w:fill="B5C0D8"/>
          </w:tcPr>
          <w:p w:rsidR="00D849AA" w:rsidRPr="00807829" w:rsidRDefault="00EE6D95">
            <w:pPr>
              <w:pStyle w:val="CellHeader"/>
            </w:pPr>
            <w:r w:rsidRPr="00807829">
              <w:t>Indeks 2014/2013</w:t>
            </w:r>
          </w:p>
        </w:tc>
      </w:tr>
      <w:tr w:rsidR="00D849AA">
        <w:trPr>
          <w:jc w:val="center"/>
        </w:trPr>
        <w:tc>
          <w:tcPr>
            <w:tcW w:w="1486" w:type="dxa"/>
          </w:tcPr>
          <w:p w:rsidR="00D849AA" w:rsidRPr="00807829" w:rsidRDefault="00EE6D95">
            <w:pPr>
              <w:pStyle w:val="CellColumn"/>
            </w:pPr>
            <w:r w:rsidRPr="00807829">
              <w:t>3501</w:t>
            </w:r>
          </w:p>
        </w:tc>
        <w:tc>
          <w:tcPr>
            <w:tcW w:w="1486" w:type="dxa"/>
          </w:tcPr>
          <w:p w:rsidR="00D849AA" w:rsidRPr="00807829" w:rsidRDefault="00EE6D95">
            <w:pPr>
              <w:rPr>
                <w:rFonts w:ascii="Arial" w:hAnsi="Arial" w:cs="Arial"/>
              </w:rPr>
            </w:pPr>
            <w:r w:rsidRPr="00807829">
              <w:rPr>
                <w:rFonts w:ascii="Arial" w:hAnsi="Arial" w:cs="Arial"/>
              </w:rPr>
              <w:t>5.330.000</w:t>
            </w:r>
          </w:p>
        </w:tc>
        <w:tc>
          <w:tcPr>
            <w:tcW w:w="1486" w:type="dxa"/>
          </w:tcPr>
          <w:p w:rsidR="00D849AA" w:rsidRPr="00807829" w:rsidRDefault="00EE6D95">
            <w:pPr>
              <w:rPr>
                <w:rFonts w:ascii="Arial" w:hAnsi="Arial" w:cs="Arial"/>
              </w:rPr>
            </w:pPr>
            <w:r w:rsidRPr="00807829">
              <w:rPr>
                <w:rFonts w:ascii="Arial" w:hAnsi="Arial" w:cs="Arial"/>
              </w:rPr>
              <w:t>15.815.000</w:t>
            </w:r>
          </w:p>
        </w:tc>
        <w:tc>
          <w:tcPr>
            <w:tcW w:w="1486" w:type="dxa"/>
          </w:tcPr>
          <w:p w:rsidR="00D849AA" w:rsidRPr="00807829" w:rsidRDefault="00EE6D95">
            <w:pPr>
              <w:rPr>
                <w:rFonts w:ascii="Arial" w:hAnsi="Arial" w:cs="Arial"/>
              </w:rPr>
            </w:pPr>
            <w:r w:rsidRPr="00807829">
              <w:rPr>
                <w:rFonts w:ascii="Arial" w:hAnsi="Arial" w:cs="Arial"/>
              </w:rPr>
              <w:t>15.765.000</w:t>
            </w:r>
          </w:p>
        </w:tc>
        <w:tc>
          <w:tcPr>
            <w:tcW w:w="1486" w:type="dxa"/>
          </w:tcPr>
          <w:p w:rsidR="00D849AA" w:rsidRPr="00807829" w:rsidRDefault="00EE6D95">
            <w:pPr>
              <w:rPr>
                <w:rFonts w:ascii="Arial" w:hAnsi="Arial" w:cs="Arial"/>
              </w:rPr>
            </w:pPr>
            <w:r w:rsidRPr="00807829">
              <w:rPr>
                <w:rFonts w:ascii="Arial" w:hAnsi="Arial" w:cs="Arial"/>
              </w:rPr>
              <w:t>15.265.000</w:t>
            </w:r>
          </w:p>
        </w:tc>
        <w:tc>
          <w:tcPr>
            <w:tcW w:w="1486" w:type="dxa"/>
          </w:tcPr>
          <w:p w:rsidR="00D849AA" w:rsidRPr="00807829" w:rsidRDefault="00EE6D95">
            <w:pPr>
              <w:rPr>
                <w:rFonts w:ascii="Arial" w:hAnsi="Arial" w:cs="Arial"/>
              </w:rPr>
            </w:pPr>
            <w:r w:rsidRPr="00807829">
              <w:rPr>
                <w:rFonts w:ascii="Arial" w:hAnsi="Arial" w:cs="Arial"/>
              </w:rPr>
              <w:t>296,7</w:t>
            </w:r>
          </w:p>
        </w:tc>
      </w:tr>
    </w:tbl>
    <w:p w:rsidR="00D849AA" w:rsidRDefault="00D849AA">
      <w:pPr>
        <w:jc w:val="left"/>
      </w:pPr>
    </w:p>
    <w:p w:rsidR="00D849AA" w:rsidRDefault="00EE6D95">
      <w:pPr>
        <w:pStyle w:val="Naslov6"/>
      </w:pPr>
      <w:r>
        <w:t>Opis programa</w:t>
      </w:r>
    </w:p>
    <w:p w:rsidR="00D849AA" w:rsidRDefault="00EE6D95">
      <w:pPr>
        <w:pStyle w:val="Normal5"/>
      </w:pPr>
      <w:r>
        <w:t xml:space="preserve">Prostorno uređenje temelji se na sveobuhvatnoj prirodi prostornog planiranja u odnosu na planiranje pojedinih gospodarskih područja, uvažavanju opće prihvaćenih načela zaštite prostora, znanstvenih i stručnih spoznaja te najbolje međunarodne prakse u području prostornog uređenja i zahtjeva za održiv i uravnotežen razvoj. Prostornim uređenjem osigurava se gospodarenje, zaštita i upravljanje prostorom Republike Hrvatske kao osobito vrijednim i ograničenim nacionalnim dobrom. Prostorno uređenje obuhvaća mjere za ostvarivanje sustava prostornog uređenja te izradu i provođenje dokumenata prostornog </w:t>
      </w:r>
      <w:r>
        <w:lastRenderedPageBreak/>
        <w:t xml:space="preserve">uređenja. Ciljevi u Strategiji prostornog uređenja su prostorno uravnotežena mreža općina te velikih, srednjih i manjih gradova, očuvanje bogatstva i raznolikosti prirodnih resursa od kojih su mnoge rijetkost u europskim mjerilima (prirodne šume, nezagađena poljodjeljska tla, znatne zalihe kvalitetne pitke vode), očuvani prostor i velikim dijelom kvalitetan okoliš,  te bogata graditeljska baština nacionalne i svjetske vrijednosti. </w:t>
      </w:r>
    </w:p>
    <w:p w:rsidR="00D849AA" w:rsidRDefault="00EE6D95">
      <w:pPr>
        <w:pStyle w:val="Normal5"/>
      </w:pPr>
      <w:r>
        <w:t xml:space="preserve">Prostorno uređenje temelji se na načelima:  </w:t>
      </w:r>
    </w:p>
    <w:p w:rsidR="00D849AA" w:rsidRDefault="00EE6D95">
      <w:pPr>
        <w:pStyle w:val="Normal5"/>
      </w:pPr>
      <w:r>
        <w:t xml:space="preserve">- prostorne održivosti i razvitka, </w:t>
      </w:r>
    </w:p>
    <w:p w:rsidR="00D849AA" w:rsidRDefault="00EE6D95">
      <w:pPr>
        <w:pStyle w:val="Normal5"/>
      </w:pPr>
      <w:r>
        <w:t xml:space="preserve">- horizontalne integracije u zaštiti prostora, </w:t>
      </w:r>
    </w:p>
    <w:p w:rsidR="00D849AA" w:rsidRDefault="00EE6D95">
      <w:pPr>
        <w:pStyle w:val="Normal5"/>
      </w:pPr>
      <w:r>
        <w:t xml:space="preserve">- vertikalne integracije i usuglašavanja interesa, </w:t>
      </w:r>
    </w:p>
    <w:p w:rsidR="00D849AA" w:rsidRDefault="00EE6D95">
      <w:pPr>
        <w:pStyle w:val="Normal5"/>
      </w:pPr>
      <w:r>
        <w:t xml:space="preserve">- sudjelovanja javnosti i pristupa informacijama i podacima, </w:t>
      </w:r>
    </w:p>
    <w:p w:rsidR="00D849AA" w:rsidRDefault="00EE6D95">
      <w:pPr>
        <w:pStyle w:val="Normal5"/>
      </w:pPr>
      <w:r>
        <w:t>- ostvarivanja i zaštite javnog i pojedinačnog interesa.</w:t>
      </w:r>
    </w:p>
    <w:p w:rsidR="00D849AA" w:rsidRDefault="00EE6D95">
      <w:pPr>
        <w:pStyle w:val="Naslov6"/>
      </w:pPr>
      <w:r>
        <w:t>Zakonske i druge pravne osnove</w:t>
      </w:r>
    </w:p>
    <w:p w:rsidR="00D849AA" w:rsidRDefault="00EE6D95">
      <w:pPr>
        <w:pStyle w:val="Normal5"/>
      </w:pPr>
      <w:r>
        <w:t xml:space="preserve">1. Strategija prostornog razvoja Republike Hrvatske, </w:t>
      </w:r>
    </w:p>
    <w:p w:rsidR="00D849AA" w:rsidRDefault="00EE6D95">
      <w:pPr>
        <w:pStyle w:val="Normal5"/>
      </w:pPr>
      <w:r>
        <w:t xml:space="preserve">2. Zakon o prostornom uređenju i gradnji,  </w:t>
      </w:r>
    </w:p>
    <w:p w:rsidR="00D849AA" w:rsidRDefault="00EE6D95">
      <w:pPr>
        <w:pStyle w:val="Normal5"/>
      </w:pPr>
      <w:r>
        <w:t>3. Program prostornog uređenja Republike Hrvatske.</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Cilj 1. Unapređenje dokumenata prostornog uređenja državne razine, te podrška pri izradi i nadzoru dokumenata prostornog uređenja regionalne i lokalne razine</w:t>
      </w:r>
    </w:p>
    <w:p w:rsidR="00D849AA" w:rsidRDefault="00EE6D95">
      <w:pPr>
        <w:pStyle w:val="Normal6"/>
      </w:pPr>
      <w:r>
        <w:t>Unapređenje stanja dokumenata prostornog uređenja kroz izradu i donošenje tih dokumenata temeljna je pretpostavka za održivo prostorno uređenje, posebno kada je riječ o dokumentima na razini države - Strategija prostornog razvoja, Program prostornog uređenja Republike Hrvatske i prostorni planovi područja posebnih obilježja - koje donosi Hrvatski sabor. Tim dokumentima prostornog uređenja određuju se veliki nacionalni sustavi,  a također su osnova za daljnje planiranje na županijskoj i lokalnoj razini. To je kontinuirani proces, nositelj te aktivnosti je Hrvatski zavod za prostorni razvoj, a sudjeluju i Županijski zavodi za prostorno uređenje, planerske institucije te nadležna tijela državne uprave.</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807829" w:rsidRDefault="00EE6D95">
            <w:pPr>
              <w:rPr>
                <w:rFonts w:ascii="Arial" w:hAnsi="Arial" w:cs="Arial"/>
              </w:rPr>
            </w:pPr>
            <w:r w:rsidRPr="00807829">
              <w:rPr>
                <w:rFonts w:ascii="Arial" w:hAnsi="Arial" w:cs="Arial"/>
              </w:rPr>
              <w:t>Pokazatelj učinka</w:t>
            </w:r>
          </w:p>
        </w:tc>
        <w:tc>
          <w:tcPr>
            <w:tcW w:w="1114" w:type="dxa"/>
            <w:shd w:val="clear" w:color="auto" w:fill="B5C0D8"/>
          </w:tcPr>
          <w:p w:rsidR="00D849AA" w:rsidRPr="00807829" w:rsidRDefault="00EE6D95">
            <w:pPr>
              <w:pStyle w:val="CellHeader"/>
            </w:pPr>
            <w:r w:rsidRPr="00807829">
              <w:t>Jedinica</w:t>
            </w:r>
          </w:p>
        </w:tc>
        <w:tc>
          <w:tcPr>
            <w:tcW w:w="1114" w:type="dxa"/>
            <w:shd w:val="clear" w:color="auto" w:fill="B5C0D8"/>
          </w:tcPr>
          <w:p w:rsidR="00D849AA" w:rsidRPr="00807829" w:rsidRDefault="00EE6D95">
            <w:pPr>
              <w:pStyle w:val="CellHeader"/>
            </w:pPr>
            <w:r w:rsidRPr="00807829">
              <w:t>Polazna vrijednost</w:t>
            </w:r>
          </w:p>
        </w:tc>
        <w:tc>
          <w:tcPr>
            <w:tcW w:w="1486" w:type="dxa"/>
            <w:shd w:val="clear" w:color="auto" w:fill="B5C0D8"/>
          </w:tcPr>
          <w:p w:rsidR="00D849AA" w:rsidRPr="00807829" w:rsidRDefault="00EE6D95">
            <w:pPr>
              <w:pStyle w:val="CellHeader"/>
            </w:pPr>
            <w:r w:rsidRPr="00807829">
              <w:t>Ciljana vrijednost (2014.)</w:t>
            </w:r>
          </w:p>
        </w:tc>
        <w:tc>
          <w:tcPr>
            <w:tcW w:w="1486" w:type="dxa"/>
            <w:shd w:val="clear" w:color="auto" w:fill="B5C0D8"/>
          </w:tcPr>
          <w:p w:rsidR="00D849AA" w:rsidRPr="00807829" w:rsidRDefault="00EE6D95">
            <w:pPr>
              <w:pStyle w:val="CellHeader"/>
            </w:pPr>
            <w:r w:rsidRPr="00807829">
              <w:t>Ciljana vrijednost (2015.)</w:t>
            </w:r>
          </w:p>
        </w:tc>
        <w:tc>
          <w:tcPr>
            <w:tcW w:w="1486" w:type="dxa"/>
            <w:shd w:val="clear" w:color="auto" w:fill="B5C0D8"/>
          </w:tcPr>
          <w:p w:rsidR="00D849AA" w:rsidRPr="00807829" w:rsidRDefault="00EE6D95">
            <w:pPr>
              <w:pStyle w:val="CellHeader"/>
            </w:pPr>
            <w:r w:rsidRPr="00807829">
              <w:t>Ciljana vrijednost (2016.)</w:t>
            </w:r>
          </w:p>
        </w:tc>
      </w:tr>
      <w:tr w:rsidR="00D849AA">
        <w:trPr>
          <w:jc w:val="center"/>
        </w:trPr>
        <w:tc>
          <w:tcPr>
            <w:tcW w:w="2229" w:type="dxa"/>
          </w:tcPr>
          <w:p w:rsidR="00D849AA" w:rsidRPr="00807829" w:rsidRDefault="00EE6D95">
            <w:pPr>
              <w:pStyle w:val="CellColumn"/>
            </w:pPr>
            <w:r w:rsidRPr="00807829">
              <w:t>Povećanje postotka izrade Strategije prostornog razvoja RH i Programa prostornog uređenja RH</w:t>
            </w:r>
          </w:p>
        </w:tc>
        <w:tc>
          <w:tcPr>
            <w:tcW w:w="1114" w:type="dxa"/>
          </w:tcPr>
          <w:p w:rsidR="00D849AA" w:rsidRPr="00807829" w:rsidRDefault="00EE6D95">
            <w:pPr>
              <w:rPr>
                <w:rFonts w:ascii="Arial" w:hAnsi="Arial" w:cs="Arial"/>
              </w:rPr>
            </w:pPr>
            <w:r w:rsidRPr="00807829">
              <w:rPr>
                <w:rFonts w:ascii="Arial" w:hAnsi="Arial" w:cs="Arial"/>
              </w:rPr>
              <w:t>%</w:t>
            </w:r>
          </w:p>
        </w:tc>
        <w:tc>
          <w:tcPr>
            <w:tcW w:w="1114" w:type="dxa"/>
          </w:tcPr>
          <w:p w:rsidR="00D849AA" w:rsidRPr="00807829" w:rsidRDefault="00EE6D95">
            <w:pPr>
              <w:rPr>
                <w:rFonts w:ascii="Arial" w:hAnsi="Arial" w:cs="Arial"/>
              </w:rPr>
            </w:pPr>
            <w:r w:rsidRPr="00807829">
              <w:rPr>
                <w:rFonts w:ascii="Arial" w:hAnsi="Arial" w:cs="Arial"/>
              </w:rPr>
              <w:t>0</w:t>
            </w:r>
          </w:p>
        </w:tc>
        <w:tc>
          <w:tcPr>
            <w:tcW w:w="1486" w:type="dxa"/>
          </w:tcPr>
          <w:p w:rsidR="00D849AA" w:rsidRPr="00807829" w:rsidRDefault="00EE6D95">
            <w:pPr>
              <w:rPr>
                <w:rFonts w:ascii="Arial" w:hAnsi="Arial" w:cs="Arial"/>
              </w:rPr>
            </w:pPr>
            <w:r w:rsidRPr="00807829">
              <w:rPr>
                <w:rFonts w:ascii="Arial" w:hAnsi="Arial" w:cs="Arial"/>
              </w:rPr>
              <w:t>100</w:t>
            </w:r>
          </w:p>
        </w:tc>
        <w:tc>
          <w:tcPr>
            <w:tcW w:w="1486" w:type="dxa"/>
          </w:tcPr>
          <w:p w:rsidR="00D849AA" w:rsidRPr="00807829" w:rsidRDefault="00EE6D95">
            <w:pPr>
              <w:rPr>
                <w:rFonts w:ascii="Arial" w:hAnsi="Arial" w:cs="Arial"/>
              </w:rPr>
            </w:pPr>
            <w:r w:rsidRPr="00807829">
              <w:rPr>
                <w:rFonts w:ascii="Arial" w:hAnsi="Arial" w:cs="Arial"/>
              </w:rPr>
              <w:t>100</w:t>
            </w:r>
          </w:p>
        </w:tc>
        <w:tc>
          <w:tcPr>
            <w:tcW w:w="1486" w:type="dxa"/>
          </w:tcPr>
          <w:p w:rsidR="00D849AA" w:rsidRPr="00807829" w:rsidRDefault="00EE6D95">
            <w:pPr>
              <w:rPr>
                <w:rFonts w:ascii="Arial" w:hAnsi="Arial" w:cs="Arial"/>
              </w:rPr>
            </w:pPr>
            <w:r w:rsidRPr="00807829">
              <w:rPr>
                <w:rFonts w:ascii="Arial" w:hAnsi="Arial" w:cs="Arial"/>
              </w:rPr>
              <w:t>100</w:t>
            </w:r>
          </w:p>
        </w:tc>
      </w:tr>
      <w:tr w:rsidR="00D849AA">
        <w:trPr>
          <w:jc w:val="center"/>
        </w:trPr>
        <w:tc>
          <w:tcPr>
            <w:tcW w:w="2229" w:type="dxa"/>
          </w:tcPr>
          <w:p w:rsidR="00D849AA" w:rsidRPr="00807829" w:rsidRDefault="00EE6D95">
            <w:pPr>
              <w:pStyle w:val="CellColumn"/>
            </w:pPr>
            <w:r w:rsidRPr="00807829">
              <w:t>Povećanje postotka izrade prostornih planova područja posebnih obilježja</w:t>
            </w:r>
          </w:p>
        </w:tc>
        <w:tc>
          <w:tcPr>
            <w:tcW w:w="1114" w:type="dxa"/>
          </w:tcPr>
          <w:p w:rsidR="00D849AA" w:rsidRPr="00807829" w:rsidRDefault="00EE6D95">
            <w:pPr>
              <w:rPr>
                <w:rFonts w:ascii="Arial" w:hAnsi="Arial" w:cs="Arial"/>
              </w:rPr>
            </w:pPr>
            <w:r w:rsidRPr="00807829">
              <w:rPr>
                <w:rFonts w:ascii="Arial" w:hAnsi="Arial" w:cs="Arial"/>
              </w:rPr>
              <w:t>%</w:t>
            </w:r>
          </w:p>
        </w:tc>
        <w:tc>
          <w:tcPr>
            <w:tcW w:w="1114" w:type="dxa"/>
          </w:tcPr>
          <w:p w:rsidR="00D849AA" w:rsidRPr="00807829" w:rsidRDefault="00EE6D95">
            <w:pPr>
              <w:rPr>
                <w:rFonts w:ascii="Arial" w:hAnsi="Arial" w:cs="Arial"/>
              </w:rPr>
            </w:pPr>
            <w:r w:rsidRPr="00807829">
              <w:rPr>
                <w:rFonts w:ascii="Arial" w:hAnsi="Arial" w:cs="Arial"/>
              </w:rPr>
              <w:t>0</w:t>
            </w:r>
          </w:p>
        </w:tc>
        <w:tc>
          <w:tcPr>
            <w:tcW w:w="1486" w:type="dxa"/>
          </w:tcPr>
          <w:p w:rsidR="00D849AA" w:rsidRPr="00807829" w:rsidRDefault="00EE6D95">
            <w:pPr>
              <w:rPr>
                <w:rFonts w:ascii="Arial" w:hAnsi="Arial" w:cs="Arial"/>
              </w:rPr>
            </w:pPr>
            <w:r w:rsidRPr="00807829">
              <w:rPr>
                <w:rFonts w:ascii="Arial" w:hAnsi="Arial" w:cs="Arial"/>
              </w:rPr>
              <w:t>100</w:t>
            </w:r>
          </w:p>
        </w:tc>
        <w:tc>
          <w:tcPr>
            <w:tcW w:w="1486" w:type="dxa"/>
          </w:tcPr>
          <w:p w:rsidR="00D849AA" w:rsidRPr="00807829" w:rsidRDefault="00EE6D95">
            <w:pPr>
              <w:rPr>
                <w:rFonts w:ascii="Arial" w:hAnsi="Arial" w:cs="Arial"/>
              </w:rPr>
            </w:pPr>
            <w:r w:rsidRPr="00807829">
              <w:rPr>
                <w:rFonts w:ascii="Arial" w:hAnsi="Arial" w:cs="Arial"/>
              </w:rPr>
              <w:t>100</w:t>
            </w:r>
          </w:p>
        </w:tc>
        <w:tc>
          <w:tcPr>
            <w:tcW w:w="1486" w:type="dxa"/>
          </w:tcPr>
          <w:p w:rsidR="00D849AA" w:rsidRPr="00807829" w:rsidRDefault="00EE6D95">
            <w:pPr>
              <w:rPr>
                <w:rFonts w:ascii="Arial" w:hAnsi="Arial" w:cs="Arial"/>
              </w:rPr>
            </w:pPr>
            <w:r w:rsidRPr="00807829">
              <w:rPr>
                <w:rFonts w:ascii="Arial" w:hAnsi="Arial" w:cs="Arial"/>
              </w:rPr>
              <w:t>100</w:t>
            </w:r>
          </w:p>
        </w:tc>
      </w:tr>
    </w:tbl>
    <w:p w:rsidR="00D849AA" w:rsidRDefault="00D849AA">
      <w:pPr>
        <w:jc w:val="left"/>
      </w:pPr>
    </w:p>
    <w:p w:rsidR="00D849AA" w:rsidRDefault="00EE6D95">
      <w:pPr>
        <w:pStyle w:val="Naslov7"/>
      </w:pPr>
      <w:r>
        <w:lastRenderedPageBreak/>
        <w:t>Cilj 2. Unaprjeđenje informacijskog sustava prostornog uređenja</w:t>
      </w:r>
    </w:p>
    <w:p w:rsidR="00D849AA" w:rsidRDefault="00EE6D95">
      <w:pPr>
        <w:pStyle w:val="Normal6"/>
      </w:pPr>
      <w:r>
        <w:t>ISPU uspostavlja Ministarstvo od 2004. godine za potrebe trajnog praćenja stanja u području prostornog uređenja i izrade Izvješća o stanju u prostoru, sa svrhom cjelovitog upravljanja zaštitom prostora, te izrade i praćenja provedbe Strategije prostornog razvoja i Programa prostornog uređenja Republike Hrvatske i drugih dokumenata prostornog uređenja. Osnivanjem Hrvatskog zavoda za prostorni razvoj ova aktivnost prelazi iz Ministarstva u nadležnost Zavoda. ISPU sadrži registre podataka o prostoru i druge registre podataka i informacija u vezi s prostornim uređenjem, a osobito (1) sadrži podatke i informacije korištenju zemljišta i listu prostornih pokazatelja, (2) osnovnoj namjeni prostora/površina određenoj u dokumentima prostornog uređenja, (3) uvjetima i ograničenjima korištenja prostora utvrđenih prostornim planovima, (4) javnoj, komunalnoj i drugoj infrastrukturi, (5) upravnim i drugim aktima nadležnih tijela donesenim u svrhu provedbe dokumenata prostornog uređenja, (6) planovima i programima u izradi ili donesenim, a odnose se na zaštićena područja. ISPU se vodi kao odgovarajući distributivni informacijski sustav sastavljen od većeg broja dislociranih, međusobno usklađenih i povezanih informacijskih sustava tematskih područja, a za to se određuju nadležni referentni centri u županijama.</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807829" w:rsidRDefault="00EE6D95">
            <w:pPr>
              <w:rPr>
                <w:rFonts w:ascii="Arial" w:hAnsi="Arial" w:cs="Arial"/>
              </w:rPr>
            </w:pPr>
            <w:r w:rsidRPr="00807829">
              <w:rPr>
                <w:rFonts w:ascii="Arial" w:hAnsi="Arial" w:cs="Arial"/>
              </w:rPr>
              <w:t>Pokazatelj učinka</w:t>
            </w:r>
          </w:p>
        </w:tc>
        <w:tc>
          <w:tcPr>
            <w:tcW w:w="1114" w:type="dxa"/>
            <w:shd w:val="clear" w:color="auto" w:fill="B5C0D8"/>
          </w:tcPr>
          <w:p w:rsidR="00D849AA" w:rsidRPr="00807829" w:rsidRDefault="00EE6D95">
            <w:pPr>
              <w:pStyle w:val="CellHeader"/>
            </w:pPr>
            <w:r w:rsidRPr="00807829">
              <w:t>Jedinica</w:t>
            </w:r>
          </w:p>
        </w:tc>
        <w:tc>
          <w:tcPr>
            <w:tcW w:w="1114" w:type="dxa"/>
            <w:shd w:val="clear" w:color="auto" w:fill="B5C0D8"/>
          </w:tcPr>
          <w:p w:rsidR="00D849AA" w:rsidRPr="00807829" w:rsidRDefault="00EE6D95">
            <w:pPr>
              <w:pStyle w:val="CellHeader"/>
            </w:pPr>
            <w:r w:rsidRPr="00807829">
              <w:t>Polazna vrijednost</w:t>
            </w:r>
          </w:p>
        </w:tc>
        <w:tc>
          <w:tcPr>
            <w:tcW w:w="1486" w:type="dxa"/>
            <w:shd w:val="clear" w:color="auto" w:fill="B5C0D8"/>
          </w:tcPr>
          <w:p w:rsidR="00D849AA" w:rsidRPr="00807829" w:rsidRDefault="00EE6D95">
            <w:pPr>
              <w:pStyle w:val="CellHeader"/>
            </w:pPr>
            <w:r w:rsidRPr="00807829">
              <w:t>Ciljana vrijednost (2014.)</w:t>
            </w:r>
          </w:p>
        </w:tc>
        <w:tc>
          <w:tcPr>
            <w:tcW w:w="1486" w:type="dxa"/>
            <w:shd w:val="clear" w:color="auto" w:fill="B5C0D8"/>
          </w:tcPr>
          <w:p w:rsidR="00D849AA" w:rsidRPr="00807829" w:rsidRDefault="00EE6D95">
            <w:pPr>
              <w:pStyle w:val="CellHeader"/>
            </w:pPr>
            <w:r w:rsidRPr="00807829">
              <w:t>Ciljana vrijednost (2015.)</w:t>
            </w:r>
          </w:p>
        </w:tc>
        <w:tc>
          <w:tcPr>
            <w:tcW w:w="1486" w:type="dxa"/>
            <w:shd w:val="clear" w:color="auto" w:fill="B5C0D8"/>
          </w:tcPr>
          <w:p w:rsidR="00D849AA" w:rsidRPr="00807829" w:rsidRDefault="00EE6D95">
            <w:pPr>
              <w:pStyle w:val="CellHeader"/>
            </w:pPr>
            <w:r w:rsidRPr="00807829">
              <w:t>Ciljana vrijednost (2016.)</w:t>
            </w:r>
          </w:p>
        </w:tc>
      </w:tr>
      <w:tr w:rsidR="00D849AA">
        <w:trPr>
          <w:jc w:val="center"/>
        </w:trPr>
        <w:tc>
          <w:tcPr>
            <w:tcW w:w="2229" w:type="dxa"/>
          </w:tcPr>
          <w:p w:rsidR="00D849AA" w:rsidRPr="00807829" w:rsidRDefault="00EE6D95">
            <w:pPr>
              <w:pStyle w:val="CellColumn"/>
            </w:pPr>
            <w:r w:rsidRPr="00807829">
              <w:t>Povećanje postotka proširenja podataka GIS-a prostornim planovima i relevantnim podacima</w:t>
            </w:r>
          </w:p>
        </w:tc>
        <w:tc>
          <w:tcPr>
            <w:tcW w:w="1114" w:type="dxa"/>
          </w:tcPr>
          <w:p w:rsidR="00D849AA" w:rsidRPr="00807829" w:rsidRDefault="00EE6D95">
            <w:pPr>
              <w:rPr>
                <w:rFonts w:ascii="Arial" w:hAnsi="Arial" w:cs="Arial"/>
              </w:rPr>
            </w:pPr>
            <w:r w:rsidRPr="00807829">
              <w:rPr>
                <w:rFonts w:ascii="Arial" w:hAnsi="Arial" w:cs="Arial"/>
              </w:rPr>
              <w:t>%</w:t>
            </w:r>
          </w:p>
        </w:tc>
        <w:tc>
          <w:tcPr>
            <w:tcW w:w="1114" w:type="dxa"/>
          </w:tcPr>
          <w:p w:rsidR="00D849AA" w:rsidRPr="00807829" w:rsidRDefault="00EE6D95">
            <w:pPr>
              <w:rPr>
                <w:rFonts w:ascii="Arial" w:hAnsi="Arial" w:cs="Arial"/>
              </w:rPr>
            </w:pPr>
            <w:r w:rsidRPr="00807829">
              <w:rPr>
                <w:rFonts w:ascii="Arial" w:hAnsi="Arial" w:cs="Arial"/>
              </w:rPr>
              <w:t>80</w:t>
            </w:r>
          </w:p>
        </w:tc>
        <w:tc>
          <w:tcPr>
            <w:tcW w:w="1486" w:type="dxa"/>
          </w:tcPr>
          <w:p w:rsidR="00D849AA" w:rsidRPr="00807829" w:rsidRDefault="00EE6D95">
            <w:pPr>
              <w:rPr>
                <w:rFonts w:ascii="Arial" w:hAnsi="Arial" w:cs="Arial"/>
              </w:rPr>
            </w:pPr>
            <w:r w:rsidRPr="00807829">
              <w:rPr>
                <w:rFonts w:ascii="Arial" w:hAnsi="Arial" w:cs="Arial"/>
              </w:rPr>
              <w:t>85</w:t>
            </w:r>
          </w:p>
        </w:tc>
        <w:tc>
          <w:tcPr>
            <w:tcW w:w="1486" w:type="dxa"/>
          </w:tcPr>
          <w:p w:rsidR="00D849AA" w:rsidRPr="00807829" w:rsidRDefault="00EE6D95">
            <w:pPr>
              <w:rPr>
                <w:rFonts w:ascii="Arial" w:hAnsi="Arial" w:cs="Arial"/>
              </w:rPr>
            </w:pPr>
            <w:r w:rsidRPr="00807829">
              <w:rPr>
                <w:rFonts w:ascii="Arial" w:hAnsi="Arial" w:cs="Arial"/>
              </w:rPr>
              <w:t>90</w:t>
            </w:r>
          </w:p>
        </w:tc>
        <w:tc>
          <w:tcPr>
            <w:tcW w:w="1486" w:type="dxa"/>
          </w:tcPr>
          <w:p w:rsidR="00D849AA" w:rsidRPr="00807829" w:rsidRDefault="00EE6D95">
            <w:pPr>
              <w:rPr>
                <w:rFonts w:ascii="Arial" w:hAnsi="Arial" w:cs="Arial"/>
              </w:rPr>
            </w:pPr>
            <w:r w:rsidRPr="00807829">
              <w:rPr>
                <w:rFonts w:ascii="Arial" w:hAnsi="Arial" w:cs="Arial"/>
              </w:rPr>
              <w:t>100</w:t>
            </w:r>
          </w:p>
        </w:tc>
      </w:tr>
    </w:tbl>
    <w:p w:rsidR="00D849AA" w:rsidRDefault="00D849AA">
      <w:pPr>
        <w:jc w:val="left"/>
      </w:pPr>
    </w:p>
    <w:p w:rsidR="00D849AA" w:rsidRDefault="00EE6D95">
      <w:pPr>
        <w:pStyle w:val="Naslov5"/>
      </w:pPr>
      <w:r>
        <w:t>Procjena i ishodište potrebnih sredstava za značajnije aktivnosti/projekte</w:t>
      </w:r>
    </w:p>
    <w:p w:rsidR="00D849AA" w:rsidRDefault="00EE6D95">
      <w:pPr>
        <w:pStyle w:val="Naslov6"/>
      </w:pPr>
      <w:r>
        <w:t>A576151 IZRADA I PRAĆENJE PROVEDBE DOKUMENATA PROSTORNOG UREĐENJA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807829" w:rsidRDefault="00EE6D95">
            <w:pPr>
              <w:pStyle w:val="CellHeader"/>
            </w:pPr>
            <w:r w:rsidRPr="00807829">
              <w:t>Naziv aktivnosti</w:t>
            </w:r>
          </w:p>
        </w:tc>
        <w:tc>
          <w:tcPr>
            <w:tcW w:w="1486" w:type="dxa"/>
            <w:shd w:val="clear" w:color="auto" w:fill="B5C0D8"/>
          </w:tcPr>
          <w:p w:rsidR="00D849AA" w:rsidRPr="00807829" w:rsidRDefault="00EE6D95">
            <w:pPr>
              <w:pStyle w:val="CellHeader"/>
            </w:pPr>
            <w:r w:rsidRPr="00807829">
              <w:t>Plan 2013.</w:t>
            </w:r>
          </w:p>
        </w:tc>
        <w:tc>
          <w:tcPr>
            <w:tcW w:w="1486" w:type="dxa"/>
            <w:shd w:val="clear" w:color="auto" w:fill="B5C0D8"/>
          </w:tcPr>
          <w:p w:rsidR="00D849AA" w:rsidRPr="00807829" w:rsidRDefault="00EE6D95">
            <w:pPr>
              <w:pStyle w:val="CellHeader"/>
            </w:pPr>
            <w:r w:rsidRPr="00807829">
              <w:t>Plan 2014.</w:t>
            </w:r>
          </w:p>
        </w:tc>
        <w:tc>
          <w:tcPr>
            <w:tcW w:w="1486" w:type="dxa"/>
            <w:shd w:val="clear" w:color="auto" w:fill="B5C0D8"/>
          </w:tcPr>
          <w:p w:rsidR="00D849AA" w:rsidRPr="00807829" w:rsidRDefault="00EE6D95">
            <w:pPr>
              <w:pStyle w:val="CellHeader"/>
            </w:pPr>
            <w:r w:rsidRPr="00807829">
              <w:t>Plan 2015.</w:t>
            </w:r>
          </w:p>
        </w:tc>
        <w:tc>
          <w:tcPr>
            <w:tcW w:w="1486" w:type="dxa"/>
            <w:shd w:val="clear" w:color="auto" w:fill="B5C0D8"/>
          </w:tcPr>
          <w:p w:rsidR="00D849AA" w:rsidRPr="00807829" w:rsidRDefault="00EE6D95">
            <w:pPr>
              <w:pStyle w:val="CellHeader"/>
            </w:pPr>
            <w:r w:rsidRPr="00807829">
              <w:t>Plan 2016.</w:t>
            </w:r>
          </w:p>
        </w:tc>
        <w:tc>
          <w:tcPr>
            <w:tcW w:w="1486" w:type="dxa"/>
            <w:shd w:val="clear" w:color="auto" w:fill="B5C0D8"/>
          </w:tcPr>
          <w:p w:rsidR="00D849AA" w:rsidRPr="00807829" w:rsidRDefault="00EE6D95">
            <w:pPr>
              <w:pStyle w:val="CellHeader"/>
            </w:pPr>
            <w:r w:rsidRPr="00807829">
              <w:t>Indeks 2014/2013</w:t>
            </w:r>
          </w:p>
        </w:tc>
      </w:tr>
      <w:tr w:rsidR="00D849AA">
        <w:trPr>
          <w:jc w:val="center"/>
        </w:trPr>
        <w:tc>
          <w:tcPr>
            <w:tcW w:w="1486" w:type="dxa"/>
          </w:tcPr>
          <w:p w:rsidR="00D849AA" w:rsidRPr="00807829" w:rsidRDefault="00EE6D95">
            <w:pPr>
              <w:pStyle w:val="CellColumn"/>
            </w:pPr>
            <w:r w:rsidRPr="00807829">
              <w:t>A576151</w:t>
            </w:r>
          </w:p>
        </w:tc>
        <w:tc>
          <w:tcPr>
            <w:tcW w:w="1486" w:type="dxa"/>
          </w:tcPr>
          <w:p w:rsidR="00D849AA" w:rsidRPr="00807829" w:rsidRDefault="00EE6D95">
            <w:pPr>
              <w:rPr>
                <w:rFonts w:ascii="Arial" w:hAnsi="Arial" w:cs="Arial"/>
              </w:rPr>
            </w:pPr>
            <w:r w:rsidRPr="00807829">
              <w:rPr>
                <w:rFonts w:ascii="Arial" w:hAnsi="Arial" w:cs="Arial"/>
              </w:rPr>
              <w:t>2.000.000</w:t>
            </w:r>
          </w:p>
        </w:tc>
        <w:tc>
          <w:tcPr>
            <w:tcW w:w="1486" w:type="dxa"/>
          </w:tcPr>
          <w:p w:rsidR="00D849AA" w:rsidRPr="00807829" w:rsidRDefault="00EE6D95">
            <w:pPr>
              <w:rPr>
                <w:rFonts w:ascii="Arial" w:hAnsi="Arial" w:cs="Arial"/>
              </w:rPr>
            </w:pPr>
            <w:r w:rsidRPr="00807829">
              <w:rPr>
                <w:rFonts w:ascii="Arial" w:hAnsi="Arial" w:cs="Arial"/>
              </w:rPr>
              <w:t>6.200.000</w:t>
            </w:r>
          </w:p>
        </w:tc>
        <w:tc>
          <w:tcPr>
            <w:tcW w:w="1486" w:type="dxa"/>
          </w:tcPr>
          <w:p w:rsidR="00D849AA" w:rsidRPr="00807829" w:rsidRDefault="00EE6D95">
            <w:pPr>
              <w:rPr>
                <w:rFonts w:ascii="Arial" w:hAnsi="Arial" w:cs="Arial"/>
              </w:rPr>
            </w:pPr>
            <w:r w:rsidRPr="00807829">
              <w:rPr>
                <w:rFonts w:ascii="Arial" w:hAnsi="Arial" w:cs="Arial"/>
              </w:rPr>
              <w:t>3.700.000</w:t>
            </w:r>
          </w:p>
        </w:tc>
        <w:tc>
          <w:tcPr>
            <w:tcW w:w="1486" w:type="dxa"/>
          </w:tcPr>
          <w:p w:rsidR="00D849AA" w:rsidRPr="00807829" w:rsidRDefault="00EE6D95">
            <w:pPr>
              <w:rPr>
                <w:rFonts w:ascii="Arial" w:hAnsi="Arial" w:cs="Arial"/>
              </w:rPr>
            </w:pPr>
            <w:r w:rsidRPr="00807829">
              <w:rPr>
                <w:rFonts w:ascii="Arial" w:hAnsi="Arial" w:cs="Arial"/>
              </w:rPr>
              <w:t>3.200.000</w:t>
            </w:r>
          </w:p>
        </w:tc>
        <w:tc>
          <w:tcPr>
            <w:tcW w:w="1486" w:type="dxa"/>
          </w:tcPr>
          <w:p w:rsidR="00D849AA" w:rsidRPr="00807829" w:rsidRDefault="00EE6D95">
            <w:pPr>
              <w:rPr>
                <w:rFonts w:ascii="Arial" w:hAnsi="Arial" w:cs="Arial"/>
              </w:rPr>
            </w:pPr>
            <w:r w:rsidRPr="00807829">
              <w:rPr>
                <w:rFonts w:ascii="Arial" w:hAnsi="Arial" w:cs="Arial"/>
              </w:rPr>
              <w:t>310,0</w:t>
            </w:r>
          </w:p>
        </w:tc>
      </w:tr>
    </w:tbl>
    <w:p w:rsidR="00D849AA" w:rsidRDefault="00D849AA">
      <w:pPr>
        <w:jc w:val="left"/>
      </w:pPr>
    </w:p>
    <w:p w:rsidR="00D849AA" w:rsidRDefault="00EE6D95">
      <w:pPr>
        <w:pStyle w:val="Normal6"/>
      </w:pPr>
      <w:r>
        <w:t xml:space="preserve">Unapređenje stanja dokumenata prostornog uređenja kroz izradu i donošenje tih dokumenata temeljna je pretpostavka za održivo prostorno uređenje, posebno kada je riječ o dokumentima na razini države - Strategija prostornog razvoja RH, Državni plan prostornog razvoja i prostorni planovi područja posebnih obilježja - koje donosi Hrvatski sabor. Tim dokumentima prostornog uređenja određuju se veliki nacionalni sustavi, a također su osnova za daljnje planiranje na županijskoj i lokalnoj razini. To je kontinuirani proces koji se obavlja od donošenja Zakona o prostornom uređenju 1994. godine. Nositelj te aktivnosti je Zavod za prostorno planiranje ministarstva, a sudjeluju i Županijski zavodi za prostorno </w:t>
      </w:r>
    </w:p>
    <w:p w:rsidR="00D849AA" w:rsidRDefault="00EE6D95">
      <w:pPr>
        <w:pStyle w:val="Normal6"/>
      </w:pPr>
      <w:r>
        <w:lastRenderedPageBreak/>
        <w:t>uređenje, planerske institucije te nadležna tijela državne uprave. U sklopu unapređenja stanja u prostoru, slijedom postupanja po Zakonu o ozakonjenju nezakonito izgrađenih zgrada, potrebno je izraditi metodologiju sanacije stanja u prostoru (planovi sanacije).</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807829" w:rsidRDefault="00EE6D95">
            <w:pPr>
              <w:rPr>
                <w:rFonts w:ascii="Arial" w:hAnsi="Arial" w:cs="Arial"/>
              </w:rPr>
            </w:pPr>
            <w:r w:rsidRPr="00807829">
              <w:rPr>
                <w:rFonts w:ascii="Arial" w:hAnsi="Arial" w:cs="Arial"/>
              </w:rPr>
              <w:t>Pokazatelj rezultata</w:t>
            </w:r>
          </w:p>
        </w:tc>
        <w:tc>
          <w:tcPr>
            <w:tcW w:w="1114" w:type="dxa"/>
            <w:shd w:val="clear" w:color="auto" w:fill="B5C0D8"/>
          </w:tcPr>
          <w:p w:rsidR="00D849AA" w:rsidRPr="00807829" w:rsidRDefault="00EE6D95">
            <w:pPr>
              <w:pStyle w:val="CellHeader"/>
            </w:pPr>
            <w:r w:rsidRPr="00807829">
              <w:t>Jedinica</w:t>
            </w:r>
          </w:p>
        </w:tc>
        <w:tc>
          <w:tcPr>
            <w:tcW w:w="1114" w:type="dxa"/>
            <w:shd w:val="clear" w:color="auto" w:fill="B5C0D8"/>
          </w:tcPr>
          <w:p w:rsidR="00D849AA" w:rsidRPr="00807829" w:rsidRDefault="00EE6D95">
            <w:pPr>
              <w:pStyle w:val="CellHeader"/>
            </w:pPr>
            <w:r w:rsidRPr="00807829">
              <w:t>Polazna vrijednost</w:t>
            </w:r>
          </w:p>
        </w:tc>
        <w:tc>
          <w:tcPr>
            <w:tcW w:w="1486" w:type="dxa"/>
            <w:shd w:val="clear" w:color="auto" w:fill="B5C0D8"/>
          </w:tcPr>
          <w:p w:rsidR="00D849AA" w:rsidRPr="00807829" w:rsidRDefault="00EE6D95">
            <w:pPr>
              <w:pStyle w:val="CellHeader"/>
            </w:pPr>
            <w:r w:rsidRPr="00807829">
              <w:t>Ciljana vrijednost (2014.)</w:t>
            </w:r>
          </w:p>
        </w:tc>
        <w:tc>
          <w:tcPr>
            <w:tcW w:w="1486" w:type="dxa"/>
            <w:shd w:val="clear" w:color="auto" w:fill="B5C0D8"/>
          </w:tcPr>
          <w:p w:rsidR="00D849AA" w:rsidRPr="00807829" w:rsidRDefault="00EE6D95">
            <w:pPr>
              <w:pStyle w:val="CellHeader"/>
            </w:pPr>
            <w:r w:rsidRPr="00807829">
              <w:t>Ciljana vrijednost (2015.)</w:t>
            </w:r>
          </w:p>
        </w:tc>
        <w:tc>
          <w:tcPr>
            <w:tcW w:w="1486" w:type="dxa"/>
            <w:shd w:val="clear" w:color="auto" w:fill="B5C0D8"/>
          </w:tcPr>
          <w:p w:rsidR="00D849AA" w:rsidRPr="00807829" w:rsidRDefault="00EE6D95">
            <w:pPr>
              <w:pStyle w:val="CellHeader"/>
            </w:pPr>
            <w:r w:rsidRPr="00807829">
              <w:t>Ciljana vrijednost (2016.)</w:t>
            </w:r>
          </w:p>
        </w:tc>
      </w:tr>
      <w:tr w:rsidR="00D849AA">
        <w:trPr>
          <w:jc w:val="center"/>
        </w:trPr>
        <w:tc>
          <w:tcPr>
            <w:tcW w:w="2229" w:type="dxa"/>
          </w:tcPr>
          <w:p w:rsidR="00D849AA" w:rsidRPr="00807829" w:rsidRDefault="00EE6D95">
            <w:pPr>
              <w:pStyle w:val="CellColumn"/>
            </w:pPr>
            <w:r w:rsidRPr="00807829">
              <w:t>Povećanje postotka izrade Strategije prostornog razvoja RH i Programa prostornog uređenja RH</w:t>
            </w:r>
          </w:p>
        </w:tc>
        <w:tc>
          <w:tcPr>
            <w:tcW w:w="1114" w:type="dxa"/>
          </w:tcPr>
          <w:p w:rsidR="00D849AA" w:rsidRPr="00807829" w:rsidRDefault="00EE6D95">
            <w:pPr>
              <w:rPr>
                <w:rFonts w:ascii="Arial" w:hAnsi="Arial" w:cs="Arial"/>
              </w:rPr>
            </w:pPr>
            <w:r w:rsidRPr="00807829">
              <w:rPr>
                <w:rFonts w:ascii="Arial" w:hAnsi="Arial" w:cs="Arial"/>
              </w:rPr>
              <w:t>%</w:t>
            </w:r>
          </w:p>
        </w:tc>
        <w:tc>
          <w:tcPr>
            <w:tcW w:w="1114" w:type="dxa"/>
          </w:tcPr>
          <w:p w:rsidR="00D849AA" w:rsidRPr="00807829" w:rsidRDefault="00EE6D95">
            <w:pPr>
              <w:rPr>
                <w:rFonts w:ascii="Arial" w:hAnsi="Arial" w:cs="Arial"/>
              </w:rPr>
            </w:pPr>
            <w:r w:rsidRPr="00807829">
              <w:rPr>
                <w:rFonts w:ascii="Arial" w:hAnsi="Arial" w:cs="Arial"/>
              </w:rPr>
              <w:t>0</w:t>
            </w:r>
          </w:p>
        </w:tc>
        <w:tc>
          <w:tcPr>
            <w:tcW w:w="1486" w:type="dxa"/>
          </w:tcPr>
          <w:p w:rsidR="00D849AA" w:rsidRPr="00807829" w:rsidRDefault="00EE6D95">
            <w:pPr>
              <w:rPr>
                <w:rFonts w:ascii="Arial" w:hAnsi="Arial" w:cs="Arial"/>
              </w:rPr>
            </w:pPr>
            <w:r w:rsidRPr="00807829">
              <w:rPr>
                <w:rFonts w:ascii="Arial" w:hAnsi="Arial" w:cs="Arial"/>
              </w:rPr>
              <w:t>100</w:t>
            </w:r>
          </w:p>
        </w:tc>
        <w:tc>
          <w:tcPr>
            <w:tcW w:w="1486" w:type="dxa"/>
          </w:tcPr>
          <w:p w:rsidR="00D849AA" w:rsidRPr="00807829" w:rsidRDefault="00EE6D95">
            <w:pPr>
              <w:rPr>
                <w:rFonts w:ascii="Arial" w:hAnsi="Arial" w:cs="Arial"/>
              </w:rPr>
            </w:pPr>
            <w:r w:rsidRPr="00807829">
              <w:rPr>
                <w:rFonts w:ascii="Arial" w:hAnsi="Arial" w:cs="Arial"/>
              </w:rPr>
              <w:t>100</w:t>
            </w:r>
          </w:p>
        </w:tc>
        <w:tc>
          <w:tcPr>
            <w:tcW w:w="1486" w:type="dxa"/>
          </w:tcPr>
          <w:p w:rsidR="00D849AA" w:rsidRPr="00807829" w:rsidRDefault="00EE6D95">
            <w:pPr>
              <w:rPr>
                <w:rFonts w:ascii="Arial" w:hAnsi="Arial" w:cs="Arial"/>
              </w:rPr>
            </w:pPr>
            <w:r w:rsidRPr="00807829">
              <w:rPr>
                <w:rFonts w:ascii="Arial" w:hAnsi="Arial" w:cs="Arial"/>
              </w:rPr>
              <w:t>100</w:t>
            </w:r>
          </w:p>
        </w:tc>
      </w:tr>
      <w:tr w:rsidR="00D849AA">
        <w:trPr>
          <w:jc w:val="center"/>
        </w:trPr>
        <w:tc>
          <w:tcPr>
            <w:tcW w:w="2229" w:type="dxa"/>
          </w:tcPr>
          <w:p w:rsidR="00D849AA" w:rsidRPr="00807829" w:rsidRDefault="00EE6D95">
            <w:pPr>
              <w:pStyle w:val="CellColumn"/>
            </w:pPr>
            <w:r w:rsidRPr="00807829">
              <w:t>Povećanje postotka izrade prostornih planova područja posebnih obilježja</w:t>
            </w:r>
          </w:p>
        </w:tc>
        <w:tc>
          <w:tcPr>
            <w:tcW w:w="1114" w:type="dxa"/>
          </w:tcPr>
          <w:p w:rsidR="00D849AA" w:rsidRPr="00807829" w:rsidRDefault="00EE6D95">
            <w:pPr>
              <w:rPr>
                <w:rFonts w:ascii="Arial" w:hAnsi="Arial" w:cs="Arial"/>
              </w:rPr>
            </w:pPr>
            <w:r w:rsidRPr="00807829">
              <w:rPr>
                <w:rFonts w:ascii="Arial" w:hAnsi="Arial" w:cs="Arial"/>
              </w:rPr>
              <w:t>%</w:t>
            </w:r>
          </w:p>
        </w:tc>
        <w:tc>
          <w:tcPr>
            <w:tcW w:w="1114" w:type="dxa"/>
          </w:tcPr>
          <w:p w:rsidR="00D849AA" w:rsidRPr="00807829" w:rsidRDefault="00EE6D95">
            <w:pPr>
              <w:rPr>
                <w:rFonts w:ascii="Arial" w:hAnsi="Arial" w:cs="Arial"/>
              </w:rPr>
            </w:pPr>
            <w:r w:rsidRPr="00807829">
              <w:rPr>
                <w:rFonts w:ascii="Arial" w:hAnsi="Arial" w:cs="Arial"/>
              </w:rPr>
              <w:t>0</w:t>
            </w:r>
          </w:p>
        </w:tc>
        <w:tc>
          <w:tcPr>
            <w:tcW w:w="1486" w:type="dxa"/>
          </w:tcPr>
          <w:p w:rsidR="00D849AA" w:rsidRPr="00807829" w:rsidRDefault="00EE6D95">
            <w:pPr>
              <w:rPr>
                <w:rFonts w:ascii="Arial" w:hAnsi="Arial" w:cs="Arial"/>
              </w:rPr>
            </w:pPr>
            <w:r w:rsidRPr="00807829">
              <w:rPr>
                <w:rFonts w:ascii="Arial" w:hAnsi="Arial" w:cs="Arial"/>
              </w:rPr>
              <w:t>100</w:t>
            </w:r>
          </w:p>
        </w:tc>
        <w:tc>
          <w:tcPr>
            <w:tcW w:w="1486" w:type="dxa"/>
          </w:tcPr>
          <w:p w:rsidR="00D849AA" w:rsidRPr="00807829" w:rsidRDefault="00EE6D95">
            <w:pPr>
              <w:rPr>
                <w:rFonts w:ascii="Arial" w:hAnsi="Arial" w:cs="Arial"/>
              </w:rPr>
            </w:pPr>
            <w:r w:rsidRPr="00807829">
              <w:rPr>
                <w:rFonts w:ascii="Arial" w:hAnsi="Arial" w:cs="Arial"/>
              </w:rPr>
              <w:t>100</w:t>
            </w:r>
          </w:p>
        </w:tc>
        <w:tc>
          <w:tcPr>
            <w:tcW w:w="1486" w:type="dxa"/>
          </w:tcPr>
          <w:p w:rsidR="00D849AA" w:rsidRPr="00807829" w:rsidRDefault="00EE6D95">
            <w:pPr>
              <w:rPr>
                <w:rFonts w:ascii="Arial" w:hAnsi="Arial" w:cs="Arial"/>
              </w:rPr>
            </w:pPr>
            <w:r w:rsidRPr="00807829">
              <w:rPr>
                <w:rFonts w:ascii="Arial" w:hAnsi="Arial" w:cs="Arial"/>
              </w:rPr>
              <w:t>100</w:t>
            </w:r>
          </w:p>
        </w:tc>
      </w:tr>
    </w:tbl>
    <w:p w:rsidR="00D849AA" w:rsidRDefault="00D849AA">
      <w:pPr>
        <w:jc w:val="left"/>
      </w:pPr>
    </w:p>
    <w:p w:rsidR="00D849AA" w:rsidRDefault="00EE6D95">
      <w:pPr>
        <w:pStyle w:val="Naslov6"/>
      </w:pPr>
      <w:r>
        <w:t>A576269 ADMINISTRACIJA I UPRAVLJANJE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807829" w:rsidRDefault="00EE6D95">
            <w:pPr>
              <w:pStyle w:val="CellHeader"/>
            </w:pPr>
            <w:r w:rsidRPr="00807829">
              <w:t>Naziv aktivnosti</w:t>
            </w:r>
          </w:p>
        </w:tc>
        <w:tc>
          <w:tcPr>
            <w:tcW w:w="1486" w:type="dxa"/>
            <w:shd w:val="clear" w:color="auto" w:fill="B5C0D8"/>
          </w:tcPr>
          <w:p w:rsidR="00D849AA" w:rsidRPr="00807829" w:rsidRDefault="00EE6D95">
            <w:pPr>
              <w:pStyle w:val="CellHeader"/>
            </w:pPr>
            <w:r w:rsidRPr="00807829">
              <w:t>Plan 2013.</w:t>
            </w:r>
          </w:p>
        </w:tc>
        <w:tc>
          <w:tcPr>
            <w:tcW w:w="1486" w:type="dxa"/>
            <w:shd w:val="clear" w:color="auto" w:fill="B5C0D8"/>
          </w:tcPr>
          <w:p w:rsidR="00D849AA" w:rsidRPr="00807829" w:rsidRDefault="00EE6D95">
            <w:pPr>
              <w:pStyle w:val="CellHeader"/>
            </w:pPr>
            <w:r w:rsidRPr="00807829">
              <w:t>Plan 2014.</w:t>
            </w:r>
          </w:p>
        </w:tc>
        <w:tc>
          <w:tcPr>
            <w:tcW w:w="1486" w:type="dxa"/>
            <w:shd w:val="clear" w:color="auto" w:fill="B5C0D8"/>
          </w:tcPr>
          <w:p w:rsidR="00D849AA" w:rsidRPr="00807829" w:rsidRDefault="00EE6D95">
            <w:pPr>
              <w:pStyle w:val="CellHeader"/>
            </w:pPr>
            <w:r w:rsidRPr="00807829">
              <w:t>Plan 2015.</w:t>
            </w:r>
          </w:p>
        </w:tc>
        <w:tc>
          <w:tcPr>
            <w:tcW w:w="1486" w:type="dxa"/>
            <w:shd w:val="clear" w:color="auto" w:fill="B5C0D8"/>
          </w:tcPr>
          <w:p w:rsidR="00D849AA" w:rsidRPr="00807829" w:rsidRDefault="00EE6D95">
            <w:pPr>
              <w:pStyle w:val="CellHeader"/>
            </w:pPr>
            <w:r w:rsidRPr="00807829">
              <w:t>Plan 2016.</w:t>
            </w:r>
          </w:p>
        </w:tc>
        <w:tc>
          <w:tcPr>
            <w:tcW w:w="1486" w:type="dxa"/>
            <w:shd w:val="clear" w:color="auto" w:fill="B5C0D8"/>
          </w:tcPr>
          <w:p w:rsidR="00D849AA" w:rsidRPr="00807829" w:rsidRDefault="00EE6D95">
            <w:pPr>
              <w:pStyle w:val="CellHeader"/>
            </w:pPr>
            <w:r w:rsidRPr="00807829">
              <w:t>Indeks 2014/2013</w:t>
            </w:r>
          </w:p>
        </w:tc>
      </w:tr>
      <w:tr w:rsidR="00D849AA">
        <w:trPr>
          <w:jc w:val="center"/>
        </w:trPr>
        <w:tc>
          <w:tcPr>
            <w:tcW w:w="1486" w:type="dxa"/>
          </w:tcPr>
          <w:p w:rsidR="00D849AA" w:rsidRPr="00807829" w:rsidRDefault="00EE6D95">
            <w:pPr>
              <w:pStyle w:val="CellColumn"/>
            </w:pPr>
            <w:r w:rsidRPr="00807829">
              <w:t>A576269</w:t>
            </w:r>
          </w:p>
        </w:tc>
        <w:tc>
          <w:tcPr>
            <w:tcW w:w="1486" w:type="dxa"/>
          </w:tcPr>
          <w:p w:rsidR="00D849AA" w:rsidRPr="00807829" w:rsidRDefault="00EE6D95">
            <w:pPr>
              <w:rPr>
                <w:rFonts w:ascii="Arial" w:hAnsi="Arial" w:cs="Arial"/>
              </w:rPr>
            </w:pPr>
            <w:r w:rsidRPr="00807829">
              <w:rPr>
                <w:rFonts w:ascii="Arial" w:hAnsi="Arial" w:cs="Arial"/>
              </w:rPr>
              <w:t>00</w:t>
            </w:r>
          </w:p>
        </w:tc>
        <w:tc>
          <w:tcPr>
            <w:tcW w:w="1486" w:type="dxa"/>
          </w:tcPr>
          <w:p w:rsidR="00D849AA" w:rsidRPr="00807829" w:rsidRDefault="00EE6D95">
            <w:pPr>
              <w:rPr>
                <w:rFonts w:ascii="Arial" w:hAnsi="Arial" w:cs="Arial"/>
              </w:rPr>
            </w:pPr>
            <w:r w:rsidRPr="00807829">
              <w:rPr>
                <w:rFonts w:ascii="Arial" w:hAnsi="Arial" w:cs="Arial"/>
              </w:rPr>
              <w:t>4.700.000</w:t>
            </w:r>
          </w:p>
        </w:tc>
        <w:tc>
          <w:tcPr>
            <w:tcW w:w="1486" w:type="dxa"/>
          </w:tcPr>
          <w:p w:rsidR="00D849AA" w:rsidRPr="00807829" w:rsidRDefault="00EE6D95">
            <w:pPr>
              <w:rPr>
                <w:rFonts w:ascii="Arial" w:hAnsi="Arial" w:cs="Arial"/>
              </w:rPr>
            </w:pPr>
            <w:r w:rsidRPr="00807829">
              <w:rPr>
                <w:rFonts w:ascii="Arial" w:hAnsi="Arial" w:cs="Arial"/>
              </w:rPr>
              <w:t>7.150.000</w:t>
            </w:r>
          </w:p>
        </w:tc>
        <w:tc>
          <w:tcPr>
            <w:tcW w:w="1486" w:type="dxa"/>
          </w:tcPr>
          <w:p w:rsidR="00D849AA" w:rsidRPr="00807829" w:rsidRDefault="00EE6D95">
            <w:pPr>
              <w:rPr>
                <w:rFonts w:ascii="Arial" w:hAnsi="Arial" w:cs="Arial"/>
              </w:rPr>
            </w:pPr>
            <w:r w:rsidRPr="00807829">
              <w:rPr>
                <w:rFonts w:ascii="Arial" w:hAnsi="Arial" w:cs="Arial"/>
              </w:rPr>
              <w:t>7.150.000</w:t>
            </w:r>
          </w:p>
        </w:tc>
        <w:tc>
          <w:tcPr>
            <w:tcW w:w="1486" w:type="dxa"/>
          </w:tcPr>
          <w:p w:rsidR="00D849AA" w:rsidRPr="00807829" w:rsidRDefault="00EE6D95">
            <w:pPr>
              <w:rPr>
                <w:rFonts w:ascii="Arial" w:hAnsi="Arial" w:cs="Arial"/>
              </w:rPr>
            </w:pPr>
            <w:r w:rsidRPr="00807829">
              <w:rPr>
                <w:rFonts w:ascii="Arial" w:hAnsi="Arial" w:cs="Arial"/>
              </w:rPr>
              <w:t>0,0</w:t>
            </w:r>
          </w:p>
        </w:tc>
      </w:tr>
    </w:tbl>
    <w:p w:rsidR="00D849AA" w:rsidRDefault="00D849AA">
      <w:pPr>
        <w:jc w:val="left"/>
      </w:pPr>
    </w:p>
    <w:p w:rsidR="00D849AA" w:rsidRDefault="00EE6D95">
      <w:pPr>
        <w:pStyle w:val="Normal6"/>
      </w:pPr>
      <w:r>
        <w:t xml:space="preserve">Hrvatski zavod za prostorno planiranje će kroz ovu aktivnost detaljno, financijski i stručno pratiti ostvarenje zacrtanih </w:t>
      </w:r>
    </w:p>
    <w:p w:rsidR="00D849AA" w:rsidRDefault="00EE6D95">
      <w:pPr>
        <w:pStyle w:val="Normal6"/>
      </w:pPr>
      <w:r>
        <w:t>zadataka uključujući zapošljavanje, troškove djelatnika i njihovih materijalnih prava, doprinosa, službenih putovanja, stručnog usavršavanja, materijalnih troškova roba i usluga, redovne režije, naknade, premije osiguranja. Aktivnost se u potpunosti financira iz proračunskih prihoda.</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807829" w:rsidRDefault="00EE6D95">
            <w:pPr>
              <w:rPr>
                <w:rFonts w:ascii="Arial" w:hAnsi="Arial" w:cs="Arial"/>
              </w:rPr>
            </w:pPr>
            <w:r w:rsidRPr="00807829">
              <w:rPr>
                <w:rFonts w:ascii="Arial" w:hAnsi="Arial" w:cs="Arial"/>
              </w:rPr>
              <w:t>Pokazatelj rezultata</w:t>
            </w:r>
          </w:p>
        </w:tc>
        <w:tc>
          <w:tcPr>
            <w:tcW w:w="1114" w:type="dxa"/>
            <w:shd w:val="clear" w:color="auto" w:fill="B5C0D8"/>
          </w:tcPr>
          <w:p w:rsidR="00D849AA" w:rsidRPr="00807829" w:rsidRDefault="00EE6D95">
            <w:pPr>
              <w:pStyle w:val="CellHeader"/>
            </w:pPr>
            <w:r w:rsidRPr="00807829">
              <w:t>Jedinica</w:t>
            </w:r>
          </w:p>
        </w:tc>
        <w:tc>
          <w:tcPr>
            <w:tcW w:w="1114" w:type="dxa"/>
            <w:shd w:val="clear" w:color="auto" w:fill="B5C0D8"/>
          </w:tcPr>
          <w:p w:rsidR="00D849AA" w:rsidRPr="00807829" w:rsidRDefault="00EE6D95">
            <w:pPr>
              <w:pStyle w:val="CellHeader"/>
            </w:pPr>
            <w:r w:rsidRPr="00807829">
              <w:t>Polazna vrijednost</w:t>
            </w:r>
          </w:p>
        </w:tc>
        <w:tc>
          <w:tcPr>
            <w:tcW w:w="1486" w:type="dxa"/>
            <w:shd w:val="clear" w:color="auto" w:fill="B5C0D8"/>
          </w:tcPr>
          <w:p w:rsidR="00D849AA" w:rsidRPr="00807829" w:rsidRDefault="00EE6D95">
            <w:pPr>
              <w:pStyle w:val="CellHeader"/>
            </w:pPr>
            <w:r w:rsidRPr="00807829">
              <w:t>Ciljana vrijednost (2014.)</w:t>
            </w:r>
          </w:p>
        </w:tc>
        <w:tc>
          <w:tcPr>
            <w:tcW w:w="1486" w:type="dxa"/>
            <w:shd w:val="clear" w:color="auto" w:fill="B5C0D8"/>
          </w:tcPr>
          <w:p w:rsidR="00D849AA" w:rsidRPr="00807829" w:rsidRDefault="00EE6D95">
            <w:pPr>
              <w:pStyle w:val="CellHeader"/>
            </w:pPr>
            <w:r w:rsidRPr="00807829">
              <w:t>Ciljana vrijednost (2015.)</w:t>
            </w:r>
          </w:p>
        </w:tc>
        <w:tc>
          <w:tcPr>
            <w:tcW w:w="1486" w:type="dxa"/>
            <w:shd w:val="clear" w:color="auto" w:fill="B5C0D8"/>
          </w:tcPr>
          <w:p w:rsidR="00D849AA" w:rsidRPr="00807829" w:rsidRDefault="00EE6D95">
            <w:pPr>
              <w:pStyle w:val="CellHeader"/>
            </w:pPr>
            <w:r w:rsidRPr="00807829">
              <w:t>Ciljana vrijednost (2016.)</w:t>
            </w:r>
          </w:p>
        </w:tc>
      </w:tr>
      <w:tr w:rsidR="00D849AA">
        <w:trPr>
          <w:jc w:val="center"/>
        </w:trPr>
        <w:tc>
          <w:tcPr>
            <w:tcW w:w="2229" w:type="dxa"/>
          </w:tcPr>
          <w:p w:rsidR="00D849AA" w:rsidRPr="00807829" w:rsidRDefault="00EE6D95">
            <w:pPr>
              <w:pStyle w:val="CellColumn"/>
            </w:pPr>
            <w:r w:rsidRPr="00807829">
              <w:t>Postotak izvršenosti</w:t>
            </w:r>
          </w:p>
        </w:tc>
        <w:tc>
          <w:tcPr>
            <w:tcW w:w="1114" w:type="dxa"/>
          </w:tcPr>
          <w:p w:rsidR="00D849AA" w:rsidRPr="00807829" w:rsidRDefault="00EE6D95">
            <w:pPr>
              <w:rPr>
                <w:rFonts w:ascii="Arial" w:hAnsi="Arial" w:cs="Arial"/>
              </w:rPr>
            </w:pPr>
            <w:r w:rsidRPr="00807829">
              <w:rPr>
                <w:rFonts w:ascii="Arial" w:hAnsi="Arial" w:cs="Arial"/>
              </w:rPr>
              <w:t>%</w:t>
            </w:r>
          </w:p>
        </w:tc>
        <w:tc>
          <w:tcPr>
            <w:tcW w:w="1114" w:type="dxa"/>
          </w:tcPr>
          <w:p w:rsidR="00D849AA" w:rsidRPr="00807829" w:rsidRDefault="00EE6D95">
            <w:pPr>
              <w:rPr>
                <w:rFonts w:ascii="Arial" w:hAnsi="Arial" w:cs="Arial"/>
              </w:rPr>
            </w:pPr>
            <w:r w:rsidRPr="00807829">
              <w:rPr>
                <w:rFonts w:ascii="Arial" w:hAnsi="Arial" w:cs="Arial"/>
              </w:rPr>
              <w:t>0</w:t>
            </w:r>
          </w:p>
        </w:tc>
        <w:tc>
          <w:tcPr>
            <w:tcW w:w="1486" w:type="dxa"/>
          </w:tcPr>
          <w:p w:rsidR="00D849AA" w:rsidRPr="00807829" w:rsidRDefault="00EE6D95">
            <w:pPr>
              <w:rPr>
                <w:rFonts w:ascii="Arial" w:hAnsi="Arial" w:cs="Arial"/>
              </w:rPr>
            </w:pPr>
            <w:r w:rsidRPr="00807829">
              <w:rPr>
                <w:rFonts w:ascii="Arial" w:hAnsi="Arial" w:cs="Arial"/>
              </w:rPr>
              <w:t>90</w:t>
            </w:r>
          </w:p>
        </w:tc>
        <w:tc>
          <w:tcPr>
            <w:tcW w:w="1486" w:type="dxa"/>
          </w:tcPr>
          <w:p w:rsidR="00D849AA" w:rsidRPr="00807829" w:rsidRDefault="00EE6D95">
            <w:pPr>
              <w:rPr>
                <w:rFonts w:ascii="Arial" w:hAnsi="Arial" w:cs="Arial"/>
              </w:rPr>
            </w:pPr>
            <w:r w:rsidRPr="00807829">
              <w:rPr>
                <w:rFonts w:ascii="Arial" w:hAnsi="Arial" w:cs="Arial"/>
              </w:rPr>
              <w:t>95</w:t>
            </w:r>
          </w:p>
        </w:tc>
        <w:tc>
          <w:tcPr>
            <w:tcW w:w="1486" w:type="dxa"/>
          </w:tcPr>
          <w:p w:rsidR="00D849AA" w:rsidRPr="00807829" w:rsidRDefault="00EE6D95">
            <w:pPr>
              <w:rPr>
                <w:rFonts w:ascii="Arial" w:hAnsi="Arial" w:cs="Arial"/>
              </w:rPr>
            </w:pPr>
            <w:r w:rsidRPr="00807829">
              <w:rPr>
                <w:rFonts w:ascii="Arial" w:hAnsi="Arial" w:cs="Arial"/>
              </w:rPr>
              <w:t>98</w:t>
            </w:r>
          </w:p>
        </w:tc>
      </w:tr>
    </w:tbl>
    <w:p w:rsidR="00D849AA" w:rsidRDefault="00D849AA">
      <w:pPr>
        <w:jc w:val="left"/>
      </w:pPr>
    </w:p>
    <w:p w:rsidR="00D849AA" w:rsidRDefault="00EE6D95">
      <w:pPr>
        <w:pStyle w:val="Naslov6"/>
      </w:pPr>
      <w:r>
        <w:t>K576116 INFORMACIJSKI SUSTAV PROSTORNOG UREĐENJA - ISPU</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807829" w:rsidRDefault="00EE6D95">
            <w:pPr>
              <w:pStyle w:val="CellHeader"/>
            </w:pPr>
            <w:r w:rsidRPr="00807829">
              <w:t>Naziv aktivnosti</w:t>
            </w:r>
          </w:p>
        </w:tc>
        <w:tc>
          <w:tcPr>
            <w:tcW w:w="1486" w:type="dxa"/>
            <w:shd w:val="clear" w:color="auto" w:fill="B5C0D8"/>
          </w:tcPr>
          <w:p w:rsidR="00D849AA" w:rsidRPr="00807829" w:rsidRDefault="00EE6D95">
            <w:pPr>
              <w:pStyle w:val="CellHeader"/>
            </w:pPr>
            <w:r w:rsidRPr="00807829">
              <w:t>Plan 2013.</w:t>
            </w:r>
          </w:p>
        </w:tc>
        <w:tc>
          <w:tcPr>
            <w:tcW w:w="1486" w:type="dxa"/>
            <w:shd w:val="clear" w:color="auto" w:fill="B5C0D8"/>
          </w:tcPr>
          <w:p w:rsidR="00D849AA" w:rsidRPr="00807829" w:rsidRDefault="00EE6D95">
            <w:pPr>
              <w:pStyle w:val="CellHeader"/>
            </w:pPr>
            <w:r w:rsidRPr="00807829">
              <w:t>Plan 2014.</w:t>
            </w:r>
          </w:p>
        </w:tc>
        <w:tc>
          <w:tcPr>
            <w:tcW w:w="1486" w:type="dxa"/>
            <w:shd w:val="clear" w:color="auto" w:fill="B5C0D8"/>
          </w:tcPr>
          <w:p w:rsidR="00D849AA" w:rsidRPr="00807829" w:rsidRDefault="00EE6D95">
            <w:pPr>
              <w:pStyle w:val="CellHeader"/>
            </w:pPr>
            <w:r w:rsidRPr="00807829">
              <w:t>Plan 2015.</w:t>
            </w:r>
          </w:p>
        </w:tc>
        <w:tc>
          <w:tcPr>
            <w:tcW w:w="1486" w:type="dxa"/>
            <w:shd w:val="clear" w:color="auto" w:fill="B5C0D8"/>
          </w:tcPr>
          <w:p w:rsidR="00D849AA" w:rsidRPr="00807829" w:rsidRDefault="00EE6D95">
            <w:pPr>
              <w:pStyle w:val="CellHeader"/>
            </w:pPr>
            <w:r w:rsidRPr="00807829">
              <w:t>Plan 2016.</w:t>
            </w:r>
          </w:p>
        </w:tc>
        <w:tc>
          <w:tcPr>
            <w:tcW w:w="1486" w:type="dxa"/>
            <w:shd w:val="clear" w:color="auto" w:fill="B5C0D8"/>
          </w:tcPr>
          <w:p w:rsidR="00D849AA" w:rsidRPr="00807829" w:rsidRDefault="00EE6D95">
            <w:pPr>
              <w:pStyle w:val="CellHeader"/>
            </w:pPr>
            <w:r w:rsidRPr="00807829">
              <w:t>Indeks 2014/2013</w:t>
            </w:r>
          </w:p>
        </w:tc>
      </w:tr>
      <w:tr w:rsidR="00D849AA">
        <w:trPr>
          <w:jc w:val="center"/>
        </w:trPr>
        <w:tc>
          <w:tcPr>
            <w:tcW w:w="1486" w:type="dxa"/>
          </w:tcPr>
          <w:p w:rsidR="00D849AA" w:rsidRPr="00807829" w:rsidRDefault="00EE6D95">
            <w:pPr>
              <w:pStyle w:val="CellColumn"/>
            </w:pPr>
            <w:r w:rsidRPr="00807829">
              <w:t>K576116</w:t>
            </w:r>
          </w:p>
        </w:tc>
        <w:tc>
          <w:tcPr>
            <w:tcW w:w="1486" w:type="dxa"/>
          </w:tcPr>
          <w:p w:rsidR="00D849AA" w:rsidRPr="00807829" w:rsidRDefault="00EE6D95">
            <w:pPr>
              <w:rPr>
                <w:rFonts w:ascii="Arial" w:hAnsi="Arial" w:cs="Arial"/>
              </w:rPr>
            </w:pPr>
            <w:r w:rsidRPr="00807829">
              <w:rPr>
                <w:rFonts w:ascii="Arial" w:hAnsi="Arial" w:cs="Arial"/>
              </w:rPr>
              <w:t>3.330.000</w:t>
            </w:r>
          </w:p>
        </w:tc>
        <w:tc>
          <w:tcPr>
            <w:tcW w:w="1486" w:type="dxa"/>
          </w:tcPr>
          <w:p w:rsidR="00D849AA" w:rsidRPr="00807829" w:rsidRDefault="00EE6D95">
            <w:pPr>
              <w:rPr>
                <w:rFonts w:ascii="Arial" w:hAnsi="Arial" w:cs="Arial"/>
              </w:rPr>
            </w:pPr>
            <w:r w:rsidRPr="00807829">
              <w:rPr>
                <w:rFonts w:ascii="Arial" w:hAnsi="Arial" w:cs="Arial"/>
              </w:rPr>
              <w:t>4.915.000</w:t>
            </w:r>
          </w:p>
        </w:tc>
        <w:tc>
          <w:tcPr>
            <w:tcW w:w="1486" w:type="dxa"/>
          </w:tcPr>
          <w:p w:rsidR="00D849AA" w:rsidRPr="00807829" w:rsidRDefault="00EE6D95">
            <w:pPr>
              <w:rPr>
                <w:rFonts w:ascii="Arial" w:hAnsi="Arial" w:cs="Arial"/>
              </w:rPr>
            </w:pPr>
            <w:r w:rsidRPr="00807829">
              <w:rPr>
                <w:rFonts w:ascii="Arial" w:hAnsi="Arial" w:cs="Arial"/>
              </w:rPr>
              <w:t>4.915.000</w:t>
            </w:r>
          </w:p>
        </w:tc>
        <w:tc>
          <w:tcPr>
            <w:tcW w:w="1486" w:type="dxa"/>
          </w:tcPr>
          <w:p w:rsidR="00D849AA" w:rsidRPr="00807829" w:rsidRDefault="00EE6D95">
            <w:pPr>
              <w:rPr>
                <w:rFonts w:ascii="Arial" w:hAnsi="Arial" w:cs="Arial"/>
              </w:rPr>
            </w:pPr>
            <w:r w:rsidRPr="00807829">
              <w:rPr>
                <w:rFonts w:ascii="Arial" w:hAnsi="Arial" w:cs="Arial"/>
              </w:rPr>
              <w:t>4.915.000</w:t>
            </w:r>
          </w:p>
        </w:tc>
        <w:tc>
          <w:tcPr>
            <w:tcW w:w="1486" w:type="dxa"/>
          </w:tcPr>
          <w:p w:rsidR="00D849AA" w:rsidRPr="00807829" w:rsidRDefault="00EE6D95">
            <w:pPr>
              <w:rPr>
                <w:rFonts w:ascii="Arial" w:hAnsi="Arial" w:cs="Arial"/>
              </w:rPr>
            </w:pPr>
            <w:r w:rsidRPr="00807829">
              <w:rPr>
                <w:rFonts w:ascii="Arial" w:hAnsi="Arial" w:cs="Arial"/>
              </w:rPr>
              <w:t>147,6</w:t>
            </w:r>
          </w:p>
        </w:tc>
      </w:tr>
    </w:tbl>
    <w:p w:rsidR="00D849AA" w:rsidRDefault="00D849AA">
      <w:pPr>
        <w:jc w:val="left"/>
      </w:pPr>
    </w:p>
    <w:p w:rsidR="00D849AA" w:rsidRDefault="00EE6D95">
      <w:pPr>
        <w:pStyle w:val="Normal6"/>
      </w:pPr>
      <w:r>
        <w:lastRenderedPageBreak/>
        <w:t xml:space="preserve">Proteklih godina izrađen je GIS Prostornih planova Jadranske Hrvatske, koji je tijekom 2010. godine (prema usvojenom modelu) proširen na cijelo područje Republike Hrvatske (GIS PP-RH). Daljnje aktivnosti na ostvarenju cilja su uspostava višeg stupnja korisničkih mogućnosti i proširenje prostorno planskih pokazatelja tijekom 2013. godine. GIS PP-RH s web sučeljem ISPU sadržava slijedeće dokumente prostornog uređenja: PPŽ, PPU JLS G/O, PPPPO za NP i PP, GUP i UPU većih gradova. U kasnijim razdobljima (2014. i 2015.) sustav će se proširivati i drugim sadržajima prostornog uređenja (Izvješća o stanju u prostoru, zahvati u prostoru državnog značenja, provođenje dokumenata prostornog uređenja i dr.). Trend povećanja postotaka proširenja podataka ISPU prostornim planovima i relevantnim podacima pratit će se temeljem sljedećih pokazatelja (2014.-85%, 2015.-90% i 2016.- 100%). Konačni cilj razvoja ovoga sustava je objedinjavanje svih mjerodavnih podataka u jedinstvenu, usklađenu, homogeniziranu i ažurnu GIS bazu podataka (povezanu s izvornim </w:t>
      </w:r>
    </w:p>
    <w:p w:rsidR="00D849AA" w:rsidRDefault="00EE6D95">
      <w:pPr>
        <w:pStyle w:val="Normal6"/>
      </w:pPr>
      <w:r>
        <w:t>bazama GIS-a županijskih Zavoda za prostorno uređenje), koja će biti brzo i razumljivo dostupna kroz složeno GIS sučelje. Lista ovlaštenih korisnika osim svih službi MGIPUG-a, mjerodavnih tijela javne vlasti, proširena je na prosječne sve korisnike interneta. U daljnjem razvoju ISPU će se proširiti modulima e-dozvola, e-planovi, e-inspekcija, e-arhiva i dr.</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807829" w:rsidRDefault="00EE6D95">
            <w:pPr>
              <w:rPr>
                <w:rFonts w:ascii="Arial" w:hAnsi="Arial" w:cs="Arial"/>
              </w:rPr>
            </w:pPr>
            <w:r w:rsidRPr="00807829">
              <w:rPr>
                <w:rFonts w:ascii="Arial" w:hAnsi="Arial" w:cs="Arial"/>
              </w:rPr>
              <w:t>Pokazatelj rezultata</w:t>
            </w:r>
          </w:p>
        </w:tc>
        <w:tc>
          <w:tcPr>
            <w:tcW w:w="1114" w:type="dxa"/>
            <w:shd w:val="clear" w:color="auto" w:fill="B5C0D8"/>
          </w:tcPr>
          <w:p w:rsidR="00D849AA" w:rsidRPr="00807829" w:rsidRDefault="00EE6D95">
            <w:pPr>
              <w:pStyle w:val="CellHeader"/>
            </w:pPr>
            <w:r w:rsidRPr="00807829">
              <w:t>Jedinica</w:t>
            </w:r>
          </w:p>
        </w:tc>
        <w:tc>
          <w:tcPr>
            <w:tcW w:w="1114" w:type="dxa"/>
            <w:shd w:val="clear" w:color="auto" w:fill="B5C0D8"/>
          </w:tcPr>
          <w:p w:rsidR="00D849AA" w:rsidRPr="00807829" w:rsidRDefault="00EE6D95">
            <w:pPr>
              <w:pStyle w:val="CellHeader"/>
            </w:pPr>
            <w:r w:rsidRPr="00807829">
              <w:t>Polazna vrijednost</w:t>
            </w:r>
          </w:p>
        </w:tc>
        <w:tc>
          <w:tcPr>
            <w:tcW w:w="1486" w:type="dxa"/>
            <w:shd w:val="clear" w:color="auto" w:fill="B5C0D8"/>
          </w:tcPr>
          <w:p w:rsidR="00D849AA" w:rsidRPr="00807829" w:rsidRDefault="00EE6D95">
            <w:pPr>
              <w:pStyle w:val="CellHeader"/>
            </w:pPr>
            <w:r w:rsidRPr="00807829">
              <w:t>Ciljana vrijednost (2014.)</w:t>
            </w:r>
          </w:p>
        </w:tc>
        <w:tc>
          <w:tcPr>
            <w:tcW w:w="1486" w:type="dxa"/>
            <w:shd w:val="clear" w:color="auto" w:fill="B5C0D8"/>
          </w:tcPr>
          <w:p w:rsidR="00D849AA" w:rsidRPr="00807829" w:rsidRDefault="00EE6D95">
            <w:pPr>
              <w:pStyle w:val="CellHeader"/>
            </w:pPr>
            <w:r w:rsidRPr="00807829">
              <w:t>Ciljana vrijednost (2015.)</w:t>
            </w:r>
          </w:p>
        </w:tc>
        <w:tc>
          <w:tcPr>
            <w:tcW w:w="1486" w:type="dxa"/>
            <w:shd w:val="clear" w:color="auto" w:fill="B5C0D8"/>
          </w:tcPr>
          <w:p w:rsidR="00D849AA" w:rsidRPr="00807829" w:rsidRDefault="00EE6D95">
            <w:pPr>
              <w:pStyle w:val="CellHeader"/>
            </w:pPr>
            <w:r w:rsidRPr="00807829">
              <w:t>Ciljana vrijednost (2016.)</w:t>
            </w:r>
          </w:p>
        </w:tc>
      </w:tr>
      <w:tr w:rsidR="00D849AA">
        <w:trPr>
          <w:jc w:val="center"/>
        </w:trPr>
        <w:tc>
          <w:tcPr>
            <w:tcW w:w="2229" w:type="dxa"/>
          </w:tcPr>
          <w:p w:rsidR="00D849AA" w:rsidRPr="00807829" w:rsidRDefault="00EE6D95">
            <w:pPr>
              <w:pStyle w:val="CellColumn"/>
            </w:pPr>
            <w:r w:rsidRPr="00807829">
              <w:t>Povećanje postotka proširenja podataka GIS-a prostornim planovima i relevantnim podacima</w:t>
            </w:r>
          </w:p>
        </w:tc>
        <w:tc>
          <w:tcPr>
            <w:tcW w:w="1114" w:type="dxa"/>
          </w:tcPr>
          <w:p w:rsidR="00D849AA" w:rsidRPr="00807829" w:rsidRDefault="00EE6D95">
            <w:pPr>
              <w:rPr>
                <w:rFonts w:ascii="Arial" w:hAnsi="Arial" w:cs="Arial"/>
              </w:rPr>
            </w:pPr>
            <w:r w:rsidRPr="00807829">
              <w:rPr>
                <w:rFonts w:ascii="Arial" w:hAnsi="Arial" w:cs="Arial"/>
              </w:rPr>
              <w:t>%</w:t>
            </w:r>
          </w:p>
        </w:tc>
        <w:tc>
          <w:tcPr>
            <w:tcW w:w="1114" w:type="dxa"/>
          </w:tcPr>
          <w:p w:rsidR="00D849AA" w:rsidRPr="00807829" w:rsidRDefault="00EE6D95">
            <w:pPr>
              <w:rPr>
                <w:rFonts w:ascii="Arial" w:hAnsi="Arial" w:cs="Arial"/>
              </w:rPr>
            </w:pPr>
            <w:r w:rsidRPr="00807829">
              <w:rPr>
                <w:rFonts w:ascii="Arial" w:hAnsi="Arial" w:cs="Arial"/>
              </w:rPr>
              <w:t>80</w:t>
            </w:r>
          </w:p>
        </w:tc>
        <w:tc>
          <w:tcPr>
            <w:tcW w:w="1486" w:type="dxa"/>
          </w:tcPr>
          <w:p w:rsidR="00D849AA" w:rsidRPr="00807829" w:rsidRDefault="00EE6D95">
            <w:pPr>
              <w:rPr>
                <w:rFonts w:ascii="Arial" w:hAnsi="Arial" w:cs="Arial"/>
              </w:rPr>
            </w:pPr>
            <w:r w:rsidRPr="00807829">
              <w:rPr>
                <w:rFonts w:ascii="Arial" w:hAnsi="Arial" w:cs="Arial"/>
              </w:rPr>
              <w:t>85</w:t>
            </w:r>
          </w:p>
        </w:tc>
        <w:tc>
          <w:tcPr>
            <w:tcW w:w="1486" w:type="dxa"/>
          </w:tcPr>
          <w:p w:rsidR="00D849AA" w:rsidRPr="00807829" w:rsidRDefault="00EE6D95">
            <w:pPr>
              <w:rPr>
                <w:rFonts w:ascii="Arial" w:hAnsi="Arial" w:cs="Arial"/>
              </w:rPr>
            </w:pPr>
            <w:r w:rsidRPr="00807829">
              <w:rPr>
                <w:rFonts w:ascii="Arial" w:hAnsi="Arial" w:cs="Arial"/>
              </w:rPr>
              <w:t>90</w:t>
            </w:r>
          </w:p>
        </w:tc>
        <w:tc>
          <w:tcPr>
            <w:tcW w:w="1486" w:type="dxa"/>
          </w:tcPr>
          <w:p w:rsidR="00D849AA" w:rsidRPr="00807829" w:rsidRDefault="00EE6D95">
            <w:pPr>
              <w:rPr>
                <w:rFonts w:ascii="Arial" w:hAnsi="Arial" w:cs="Arial"/>
              </w:rPr>
            </w:pPr>
            <w:r w:rsidRPr="00807829">
              <w:rPr>
                <w:rFonts w:ascii="Arial" w:hAnsi="Arial" w:cs="Arial"/>
              </w:rPr>
              <w:t>100</w:t>
            </w:r>
          </w:p>
        </w:tc>
      </w:tr>
    </w:tbl>
    <w:p w:rsidR="00D849AA" w:rsidRDefault="00D849AA">
      <w:pPr>
        <w:jc w:val="left"/>
      </w:pPr>
    </w:p>
    <w:p w:rsidR="00D849AA" w:rsidRDefault="00EE6D95">
      <w:pPr>
        <w:pStyle w:val="Naslov2"/>
      </w:pPr>
      <w:r>
        <w:t>07620 Agencija za pravni promet i posredovanje nekretninama</w:t>
      </w:r>
    </w:p>
    <w:p w:rsidR="00D849AA" w:rsidRDefault="00EE6D95">
      <w:pPr>
        <w:pStyle w:val="Naslov4"/>
      </w:pPr>
      <w:r>
        <w:t>Uvod</w:t>
      </w:r>
    </w:p>
    <w:p w:rsidR="00D849AA" w:rsidRDefault="00EE6D95">
      <w:pPr>
        <w:pStyle w:val="Normal3"/>
      </w:pPr>
      <w:r>
        <w:t>Agencija za pravni promet i posredovanje nekretninama ima ovlasti da u svoje ime, a za račun Republike Hrvatske kupuje ili mjenja nekretnine na području Republike Hrvatske, osim nekretnina čiji je pravni promet određen posebnim propisima, a sredstva se osiguravaju iz državnog proračuna i iz drugih izvora.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807829" w:rsidRDefault="00D849AA">
            <w:pPr>
              <w:pStyle w:val="CellHeader"/>
            </w:pPr>
          </w:p>
        </w:tc>
        <w:tc>
          <w:tcPr>
            <w:tcW w:w="1486" w:type="dxa"/>
            <w:shd w:val="clear" w:color="auto" w:fill="B5C0D8"/>
          </w:tcPr>
          <w:p w:rsidR="00D849AA" w:rsidRPr="00807829" w:rsidRDefault="00EE6D95">
            <w:pPr>
              <w:pStyle w:val="CellHeader"/>
            </w:pPr>
            <w:r w:rsidRPr="00807829">
              <w:t>Plan 2013.</w:t>
            </w:r>
          </w:p>
        </w:tc>
        <w:tc>
          <w:tcPr>
            <w:tcW w:w="1486" w:type="dxa"/>
            <w:shd w:val="clear" w:color="auto" w:fill="B5C0D8"/>
          </w:tcPr>
          <w:p w:rsidR="00D849AA" w:rsidRPr="00807829" w:rsidRDefault="00EE6D95">
            <w:pPr>
              <w:pStyle w:val="CellHeader"/>
            </w:pPr>
            <w:r w:rsidRPr="00807829">
              <w:t>Plan 2014.</w:t>
            </w:r>
          </w:p>
        </w:tc>
        <w:tc>
          <w:tcPr>
            <w:tcW w:w="1486" w:type="dxa"/>
            <w:shd w:val="clear" w:color="auto" w:fill="B5C0D8"/>
          </w:tcPr>
          <w:p w:rsidR="00D849AA" w:rsidRPr="00807829" w:rsidRDefault="00EE6D95">
            <w:pPr>
              <w:pStyle w:val="CellHeader"/>
            </w:pPr>
            <w:r w:rsidRPr="00807829">
              <w:t>Plan 2015.</w:t>
            </w:r>
          </w:p>
        </w:tc>
        <w:tc>
          <w:tcPr>
            <w:tcW w:w="1486" w:type="dxa"/>
            <w:shd w:val="clear" w:color="auto" w:fill="B5C0D8"/>
          </w:tcPr>
          <w:p w:rsidR="00D849AA" w:rsidRPr="00807829" w:rsidRDefault="00EE6D95">
            <w:pPr>
              <w:pStyle w:val="CellHeader"/>
            </w:pPr>
            <w:r w:rsidRPr="00807829">
              <w:t>Plan 2016.</w:t>
            </w:r>
          </w:p>
        </w:tc>
        <w:tc>
          <w:tcPr>
            <w:tcW w:w="1486" w:type="dxa"/>
            <w:shd w:val="clear" w:color="auto" w:fill="B5C0D8"/>
          </w:tcPr>
          <w:p w:rsidR="00D849AA" w:rsidRPr="00807829" w:rsidRDefault="00EE6D95">
            <w:pPr>
              <w:pStyle w:val="CellHeader"/>
            </w:pPr>
            <w:r w:rsidRPr="00807829">
              <w:t>Indeks 2014/2013</w:t>
            </w:r>
          </w:p>
        </w:tc>
      </w:tr>
      <w:tr w:rsidR="00D849AA">
        <w:trPr>
          <w:jc w:val="center"/>
        </w:trPr>
        <w:tc>
          <w:tcPr>
            <w:tcW w:w="1486" w:type="dxa"/>
          </w:tcPr>
          <w:p w:rsidR="00D849AA" w:rsidRPr="00807829" w:rsidRDefault="00EE6D95">
            <w:pPr>
              <w:pStyle w:val="CellColumn"/>
            </w:pPr>
            <w:r w:rsidRPr="00807829">
              <w:t>07620</w:t>
            </w:r>
          </w:p>
        </w:tc>
        <w:tc>
          <w:tcPr>
            <w:tcW w:w="1486" w:type="dxa"/>
          </w:tcPr>
          <w:p w:rsidR="00D849AA" w:rsidRPr="00807829" w:rsidRDefault="00EE6D95">
            <w:pPr>
              <w:rPr>
                <w:rFonts w:ascii="Arial" w:hAnsi="Arial" w:cs="Arial"/>
              </w:rPr>
            </w:pPr>
            <w:r w:rsidRPr="00807829">
              <w:rPr>
                <w:rFonts w:ascii="Arial" w:hAnsi="Arial" w:cs="Arial"/>
              </w:rPr>
              <w:t>315.675.608</w:t>
            </w:r>
          </w:p>
        </w:tc>
        <w:tc>
          <w:tcPr>
            <w:tcW w:w="1486" w:type="dxa"/>
          </w:tcPr>
          <w:p w:rsidR="00D849AA" w:rsidRPr="00807829" w:rsidRDefault="00EE6D95">
            <w:pPr>
              <w:rPr>
                <w:rFonts w:ascii="Arial" w:hAnsi="Arial" w:cs="Arial"/>
              </w:rPr>
            </w:pPr>
            <w:r w:rsidRPr="00807829">
              <w:rPr>
                <w:rFonts w:ascii="Arial" w:hAnsi="Arial" w:cs="Arial"/>
              </w:rPr>
              <w:t>324.589.682</w:t>
            </w:r>
          </w:p>
        </w:tc>
        <w:tc>
          <w:tcPr>
            <w:tcW w:w="1486" w:type="dxa"/>
          </w:tcPr>
          <w:p w:rsidR="00D849AA" w:rsidRPr="00807829" w:rsidRDefault="00EE6D95">
            <w:pPr>
              <w:rPr>
                <w:rFonts w:ascii="Arial" w:hAnsi="Arial" w:cs="Arial"/>
              </w:rPr>
            </w:pPr>
            <w:r w:rsidRPr="00807829">
              <w:rPr>
                <w:rFonts w:ascii="Arial" w:hAnsi="Arial" w:cs="Arial"/>
              </w:rPr>
              <w:t>297.811.836</w:t>
            </w:r>
          </w:p>
        </w:tc>
        <w:tc>
          <w:tcPr>
            <w:tcW w:w="1486" w:type="dxa"/>
          </w:tcPr>
          <w:p w:rsidR="00D849AA" w:rsidRPr="00807829" w:rsidRDefault="00EE6D95">
            <w:pPr>
              <w:rPr>
                <w:rFonts w:ascii="Arial" w:hAnsi="Arial" w:cs="Arial"/>
              </w:rPr>
            </w:pPr>
            <w:r w:rsidRPr="00807829">
              <w:rPr>
                <w:rFonts w:ascii="Arial" w:hAnsi="Arial" w:cs="Arial"/>
              </w:rPr>
              <w:t>306.324.210</w:t>
            </w:r>
          </w:p>
        </w:tc>
        <w:tc>
          <w:tcPr>
            <w:tcW w:w="1486" w:type="dxa"/>
          </w:tcPr>
          <w:p w:rsidR="00D849AA" w:rsidRPr="00807829" w:rsidRDefault="00EE6D95">
            <w:pPr>
              <w:rPr>
                <w:rFonts w:ascii="Arial" w:hAnsi="Arial" w:cs="Arial"/>
              </w:rPr>
            </w:pPr>
            <w:r w:rsidRPr="00807829">
              <w:rPr>
                <w:rFonts w:ascii="Arial" w:hAnsi="Arial" w:cs="Arial"/>
              </w:rPr>
              <w:t>102,8</w:t>
            </w:r>
          </w:p>
        </w:tc>
      </w:tr>
    </w:tbl>
    <w:p w:rsidR="00D849AA" w:rsidRDefault="00D849AA">
      <w:pPr>
        <w:jc w:val="left"/>
      </w:pPr>
    </w:p>
    <w:p w:rsidR="00D849AA" w:rsidRDefault="00EE6D95">
      <w:pPr>
        <w:pStyle w:val="Naslov4"/>
      </w:pPr>
      <w:r>
        <w:lastRenderedPageBreak/>
        <w:t>OBRAZLOŽENJE PROGRAMA</w:t>
      </w:r>
    </w:p>
    <w:p w:rsidR="00D849AA" w:rsidRDefault="00EE6D95">
      <w:pPr>
        <w:pStyle w:val="Naslov5"/>
      </w:pPr>
      <w:r>
        <w:t>3503 PROMETOVANJE NEKRETNINAMA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807829" w:rsidRDefault="00D849AA">
            <w:pPr>
              <w:pStyle w:val="CellHeader"/>
            </w:pPr>
          </w:p>
        </w:tc>
        <w:tc>
          <w:tcPr>
            <w:tcW w:w="1486" w:type="dxa"/>
            <w:shd w:val="clear" w:color="auto" w:fill="B5C0D8"/>
          </w:tcPr>
          <w:p w:rsidR="00D849AA" w:rsidRPr="00807829" w:rsidRDefault="00EE6D95">
            <w:pPr>
              <w:pStyle w:val="CellHeader"/>
            </w:pPr>
            <w:r w:rsidRPr="00807829">
              <w:t>Plan 2013.</w:t>
            </w:r>
          </w:p>
        </w:tc>
        <w:tc>
          <w:tcPr>
            <w:tcW w:w="1486" w:type="dxa"/>
            <w:shd w:val="clear" w:color="auto" w:fill="B5C0D8"/>
          </w:tcPr>
          <w:p w:rsidR="00D849AA" w:rsidRPr="00807829" w:rsidRDefault="00EE6D95">
            <w:pPr>
              <w:pStyle w:val="CellHeader"/>
            </w:pPr>
            <w:r w:rsidRPr="00807829">
              <w:t>Plan 2014.</w:t>
            </w:r>
          </w:p>
        </w:tc>
        <w:tc>
          <w:tcPr>
            <w:tcW w:w="1486" w:type="dxa"/>
            <w:shd w:val="clear" w:color="auto" w:fill="B5C0D8"/>
          </w:tcPr>
          <w:p w:rsidR="00D849AA" w:rsidRPr="00807829" w:rsidRDefault="00EE6D95">
            <w:pPr>
              <w:pStyle w:val="CellHeader"/>
            </w:pPr>
            <w:r w:rsidRPr="00807829">
              <w:t>Plan 2015.</w:t>
            </w:r>
          </w:p>
        </w:tc>
        <w:tc>
          <w:tcPr>
            <w:tcW w:w="1486" w:type="dxa"/>
            <w:shd w:val="clear" w:color="auto" w:fill="B5C0D8"/>
          </w:tcPr>
          <w:p w:rsidR="00D849AA" w:rsidRPr="00807829" w:rsidRDefault="00EE6D95">
            <w:pPr>
              <w:pStyle w:val="CellHeader"/>
            </w:pPr>
            <w:r w:rsidRPr="00807829">
              <w:t>Plan 2016.</w:t>
            </w:r>
          </w:p>
        </w:tc>
        <w:tc>
          <w:tcPr>
            <w:tcW w:w="1486" w:type="dxa"/>
            <w:shd w:val="clear" w:color="auto" w:fill="B5C0D8"/>
          </w:tcPr>
          <w:p w:rsidR="00D849AA" w:rsidRPr="00807829" w:rsidRDefault="00EE6D95">
            <w:pPr>
              <w:pStyle w:val="CellHeader"/>
            </w:pPr>
            <w:r w:rsidRPr="00807829">
              <w:t>Indeks 2014/2013</w:t>
            </w:r>
          </w:p>
        </w:tc>
      </w:tr>
      <w:tr w:rsidR="00D849AA">
        <w:trPr>
          <w:jc w:val="center"/>
        </w:trPr>
        <w:tc>
          <w:tcPr>
            <w:tcW w:w="1486" w:type="dxa"/>
          </w:tcPr>
          <w:p w:rsidR="00D849AA" w:rsidRPr="00807829" w:rsidRDefault="00EE6D95">
            <w:pPr>
              <w:pStyle w:val="CellColumn"/>
            </w:pPr>
            <w:r w:rsidRPr="00807829">
              <w:t>3503</w:t>
            </w:r>
          </w:p>
        </w:tc>
        <w:tc>
          <w:tcPr>
            <w:tcW w:w="1486" w:type="dxa"/>
          </w:tcPr>
          <w:p w:rsidR="00D849AA" w:rsidRPr="00807829" w:rsidRDefault="00EE6D95">
            <w:pPr>
              <w:rPr>
                <w:rFonts w:ascii="Arial" w:hAnsi="Arial" w:cs="Arial"/>
              </w:rPr>
            </w:pPr>
            <w:r w:rsidRPr="00807829">
              <w:rPr>
                <w:rFonts w:ascii="Arial" w:hAnsi="Arial" w:cs="Arial"/>
              </w:rPr>
              <w:t>21.466.741</w:t>
            </w:r>
          </w:p>
        </w:tc>
        <w:tc>
          <w:tcPr>
            <w:tcW w:w="1486" w:type="dxa"/>
          </w:tcPr>
          <w:p w:rsidR="00D849AA" w:rsidRPr="00807829" w:rsidRDefault="00EE6D95">
            <w:pPr>
              <w:rPr>
                <w:rFonts w:ascii="Arial" w:hAnsi="Arial" w:cs="Arial"/>
              </w:rPr>
            </w:pPr>
            <w:r w:rsidRPr="00807829">
              <w:rPr>
                <w:rFonts w:ascii="Arial" w:hAnsi="Arial" w:cs="Arial"/>
              </w:rPr>
              <w:t>24.309.765</w:t>
            </w:r>
          </w:p>
        </w:tc>
        <w:tc>
          <w:tcPr>
            <w:tcW w:w="1486" w:type="dxa"/>
          </w:tcPr>
          <w:p w:rsidR="00D849AA" w:rsidRPr="00807829" w:rsidRDefault="00EE6D95">
            <w:pPr>
              <w:rPr>
                <w:rFonts w:ascii="Arial" w:hAnsi="Arial" w:cs="Arial"/>
              </w:rPr>
            </w:pPr>
            <w:r w:rsidRPr="00807829">
              <w:rPr>
                <w:rFonts w:ascii="Arial" w:hAnsi="Arial" w:cs="Arial"/>
              </w:rPr>
              <w:t>24.276.069</w:t>
            </w:r>
          </w:p>
        </w:tc>
        <w:tc>
          <w:tcPr>
            <w:tcW w:w="1486" w:type="dxa"/>
          </w:tcPr>
          <w:p w:rsidR="00D849AA" w:rsidRPr="00807829" w:rsidRDefault="00EE6D95">
            <w:pPr>
              <w:rPr>
                <w:rFonts w:ascii="Arial" w:hAnsi="Arial" w:cs="Arial"/>
              </w:rPr>
            </w:pPr>
            <w:r w:rsidRPr="00807829">
              <w:rPr>
                <w:rFonts w:ascii="Arial" w:hAnsi="Arial" w:cs="Arial"/>
              </w:rPr>
              <w:t>49.979.210</w:t>
            </w:r>
          </w:p>
        </w:tc>
        <w:tc>
          <w:tcPr>
            <w:tcW w:w="1486" w:type="dxa"/>
          </w:tcPr>
          <w:p w:rsidR="00D849AA" w:rsidRPr="00807829" w:rsidRDefault="00EE6D95">
            <w:pPr>
              <w:rPr>
                <w:rFonts w:ascii="Arial" w:hAnsi="Arial" w:cs="Arial"/>
              </w:rPr>
            </w:pPr>
            <w:r w:rsidRPr="00807829">
              <w:rPr>
                <w:rFonts w:ascii="Arial" w:hAnsi="Arial" w:cs="Arial"/>
              </w:rPr>
              <w:t>113,2</w:t>
            </w:r>
          </w:p>
        </w:tc>
      </w:tr>
    </w:tbl>
    <w:p w:rsidR="00D849AA" w:rsidRDefault="00EE6D95">
      <w:pPr>
        <w:pStyle w:val="Naslov6"/>
      </w:pPr>
      <w:r>
        <w:t>Opis programa</w:t>
      </w:r>
    </w:p>
    <w:p w:rsidR="00D849AA" w:rsidRDefault="00EE6D95">
      <w:pPr>
        <w:pStyle w:val="Normal5"/>
      </w:pPr>
      <w:r>
        <w:t xml:space="preserve">Poslovi vezani uz kupnju nekretnina izvan područja posebne državne skrbi odvijaju se sukladno Odluci Vlade Republike Hrvatske o provedbi stambenog zbrinjavanja povratnika-bivših nositelja stanarskog prava na stanovima izvan područja posebne državne skrbi i o davanju ovlasti Agenciji za pravni promet i posredovanje nekretninama za raspolaganje nekretninama u vlasništvu Republike Hrvatske. Potrebe za kupnjom stanova dostavlja Ministarstvo regionalnog razvoja i fondova Europske unije (Državni ured za obnovu i stambeno zbrinjavanje). Prema dostavljenim potrebama u 2014. godini potrebno je kupiti 400 stanova. Osim kupovine nekretnina Agencija za pravni promet i posredovanje nekretninama određena sredstva morat će utrošiti i na tekuće i investicijsko održavanje kuća kojima trenutno gospodari te za njihovo etažiranje, parceliranje i energetske certifikate. </w:t>
      </w:r>
    </w:p>
    <w:p w:rsidR="00D849AA" w:rsidRDefault="00EE6D95">
      <w:pPr>
        <w:pStyle w:val="Normal5"/>
      </w:pPr>
      <w:r>
        <w:t>Proračunom APN-a za 2014. godinu za namjenu kupovine nekretnina osigurana su sredstva u iznosu od 10.000.000,00 kuna što će biti dovoljno za kupnju približno 20 stanova, čime se neće moći zadovoljiti potrebe koje su nam dostavljene od strane Ministarstva regionalnog razvoja i fondova Europske unije, stoga će biti potrebno osigurati dodatna sredstva.</w:t>
      </w:r>
    </w:p>
    <w:p w:rsidR="00D849AA" w:rsidRDefault="00EE6D95">
      <w:pPr>
        <w:pStyle w:val="Naslov6"/>
      </w:pPr>
      <w:r>
        <w:t>Zakonske i druge pravne osnove</w:t>
      </w:r>
    </w:p>
    <w:p w:rsidR="00D849AA" w:rsidRDefault="00EE6D95">
      <w:pPr>
        <w:pStyle w:val="Normal5"/>
      </w:pPr>
      <w:r>
        <w:t xml:space="preserve">1. Odluka Vlade Republike Hrvatske o provedbi stambenog zbrinjavanja povratnika-bivših nositelja stanarskog prava sa stanovima izvan područja posebne državne skrbi (NN 63/2008) od 02. lipnja 2008. godine. </w:t>
      </w:r>
    </w:p>
    <w:p w:rsidR="00D849AA" w:rsidRDefault="00EE6D95">
      <w:pPr>
        <w:pStyle w:val="Normal5"/>
      </w:pPr>
      <w:r>
        <w:t>2. Odluka Vlade Republike Hrvatske o davanju ovlasti Agenciji za pravni promet i posredovanje nekretninama za raspolaganje nekretninama u vlasništvu Republike Hrvatske od 12. svibnja 2011. godine.</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Cilj 1. Stambeno zbrinuti bivše nositelje stanarskog prava</w:t>
      </w:r>
    </w:p>
    <w:p w:rsidR="00D849AA" w:rsidRDefault="00EE6D95">
      <w:pPr>
        <w:pStyle w:val="Normal6"/>
      </w:pPr>
      <w:r>
        <w:t>Prema dostavljenim potrebama, kupnjom stanova rješavaju se stambene potrebe bivših nositelja stanarskog prava.</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Povećanje broja kupljenih stanova u svrhu zbrinjavanja bivših nositelja stanarskog prava</w:t>
            </w:r>
          </w:p>
        </w:tc>
        <w:tc>
          <w:tcPr>
            <w:tcW w:w="1114" w:type="dxa"/>
          </w:tcPr>
          <w:p w:rsidR="00D849AA" w:rsidRDefault="00EE6D95">
            <w:r>
              <w:t>%</w:t>
            </w:r>
          </w:p>
        </w:tc>
        <w:tc>
          <w:tcPr>
            <w:tcW w:w="1114" w:type="dxa"/>
          </w:tcPr>
          <w:p w:rsidR="00D849AA" w:rsidRDefault="00EE6D95">
            <w:r>
              <w:t>100</w:t>
            </w:r>
          </w:p>
        </w:tc>
        <w:tc>
          <w:tcPr>
            <w:tcW w:w="1486" w:type="dxa"/>
          </w:tcPr>
          <w:p w:rsidR="00D849AA" w:rsidRDefault="00EE6D95">
            <w:r>
              <w:t>100</w:t>
            </w:r>
          </w:p>
        </w:tc>
        <w:tc>
          <w:tcPr>
            <w:tcW w:w="1486" w:type="dxa"/>
          </w:tcPr>
          <w:p w:rsidR="00D849AA" w:rsidRDefault="00EE6D95">
            <w:r>
              <w:t>100</w:t>
            </w:r>
          </w:p>
        </w:tc>
        <w:tc>
          <w:tcPr>
            <w:tcW w:w="1486" w:type="dxa"/>
          </w:tcPr>
          <w:p w:rsidR="00D849AA" w:rsidRDefault="00EE6D95">
            <w:r>
              <w:t>100</w:t>
            </w:r>
          </w:p>
        </w:tc>
      </w:tr>
    </w:tbl>
    <w:p w:rsidR="00D61DA2" w:rsidRDefault="00D61DA2" w:rsidP="00D61DA2">
      <w:pPr>
        <w:pStyle w:val="Naslov4"/>
      </w:pPr>
      <w:r>
        <w:lastRenderedPageBreak/>
        <w:t>OBRAZLOŽENJE PROGRAMA</w:t>
      </w:r>
    </w:p>
    <w:p w:rsidR="00D849AA" w:rsidRDefault="00EE6D95">
      <w:pPr>
        <w:pStyle w:val="Naslov5"/>
      </w:pPr>
      <w:r>
        <w:t>3504 POTICANJE STAMBENE GRADNJE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3504</w:t>
            </w:r>
          </w:p>
        </w:tc>
        <w:tc>
          <w:tcPr>
            <w:tcW w:w="1486" w:type="dxa"/>
          </w:tcPr>
          <w:p w:rsidR="00D849AA" w:rsidRDefault="00EE6D95">
            <w:r>
              <w:t>294.208.867</w:t>
            </w:r>
          </w:p>
        </w:tc>
        <w:tc>
          <w:tcPr>
            <w:tcW w:w="1486" w:type="dxa"/>
          </w:tcPr>
          <w:p w:rsidR="00D849AA" w:rsidRDefault="00EE6D95">
            <w:r>
              <w:t>300.279.917</w:t>
            </w:r>
          </w:p>
        </w:tc>
        <w:tc>
          <w:tcPr>
            <w:tcW w:w="1486" w:type="dxa"/>
          </w:tcPr>
          <w:p w:rsidR="00D849AA" w:rsidRDefault="00EE6D95">
            <w:r>
              <w:t>273.535.767</w:t>
            </w:r>
          </w:p>
        </w:tc>
        <w:tc>
          <w:tcPr>
            <w:tcW w:w="1486" w:type="dxa"/>
          </w:tcPr>
          <w:p w:rsidR="00D849AA" w:rsidRDefault="00EE6D95">
            <w:r>
              <w:t>256.345.000</w:t>
            </w:r>
          </w:p>
        </w:tc>
        <w:tc>
          <w:tcPr>
            <w:tcW w:w="1486" w:type="dxa"/>
          </w:tcPr>
          <w:p w:rsidR="00D849AA" w:rsidRDefault="00EE6D95">
            <w:r>
              <w:t>102,1</w:t>
            </w:r>
          </w:p>
        </w:tc>
      </w:tr>
    </w:tbl>
    <w:p w:rsidR="00D849AA" w:rsidRDefault="00D849AA">
      <w:pPr>
        <w:jc w:val="left"/>
      </w:pPr>
    </w:p>
    <w:p w:rsidR="00D849AA" w:rsidRDefault="00EE6D95">
      <w:pPr>
        <w:pStyle w:val="Naslov6"/>
      </w:pPr>
      <w:r>
        <w:t>Opis programa</w:t>
      </w:r>
    </w:p>
    <w:p w:rsidR="00D849AA" w:rsidRDefault="00EE6D95">
      <w:pPr>
        <w:pStyle w:val="Normal5"/>
      </w:pPr>
      <w:r>
        <w:t xml:space="preserve">Društveno poticana stanogradnja provodi se izgradnjom stanova, odnosno stambenih zgrada, organiziranom na način kojim se ostvaruje svrhovito korištenje javnih i drugih sredstava, te omogućuje prodaja stanova uz obročnu otplatu po pristupačnijim uvjetima od tržišnih u pogledu kamata i rokova otplate. Javnim sredstvima prema odredbama Zakona o Društveno poticanoj stanogradnji može se poticati gradnja i rekonstrukcija (dogradnja i nadogradnja) zgrada i obiteljskih kuća kojima se osigurava fizičkim osobama novi stambeni prostor u propisanom standardu, veličini i cijeni koštanja stana prema odredbama Zakona. Izmjenama i dopunama Zakona omogućeno je i kreditiranje novoizgrađenih stanova na tržištu kao i društveno poticani najam stanova kroz kupnju gotovih stanova. </w:t>
      </w:r>
    </w:p>
    <w:p w:rsidR="00D849AA" w:rsidRDefault="00EE6D95">
      <w:pPr>
        <w:pStyle w:val="Normal5"/>
      </w:pPr>
      <w:r>
        <w:t xml:space="preserve">Nositelji investitorskih poslova u vezi s izgradnjom i prodajom stanova su APN i neprofitne pravne osobe iz članka 10a Zakona o društveno poticanoj stanogradnji. APN i neprofitne pravne osobe u skladu s predvidivim javnim sredstvima i stambenim potrebama planiraju izgradnju stanova u određenom opsegu na osnovi objedinjenih planova. APN u ime svih neprofitnih pravnih osoba traži suglasnost ministra nadležnog za graditeljstvo kojom se utvrđuje ukupan provedbeni program društveno poticane stanogradnje u skladu s kojom APN pribavlja sredstva za ukupnu izgradnju stambenih objekata POS-a. </w:t>
      </w:r>
    </w:p>
    <w:p w:rsidR="00D849AA" w:rsidRDefault="00EE6D95">
      <w:pPr>
        <w:pStyle w:val="Normal5"/>
      </w:pPr>
      <w:r>
        <w:t xml:space="preserve">Ukupna sredstva za poticanu stanogradnju planiraju se proračunom APN-a, a uključuje osim potreba APN-a i potrebe neprofitnih pravnih osoba (Rijeka, Varaždin, Dubrovnik i Koprivnica). </w:t>
      </w:r>
    </w:p>
    <w:p w:rsidR="00D849AA" w:rsidRDefault="00EE6D95">
      <w:pPr>
        <w:pStyle w:val="Normal5"/>
      </w:pPr>
      <w:r>
        <w:t xml:space="preserve">U 2014. godini planiramo izgraditi ukupno 1018 stanova, odobriti 150 kredita za kupnju novoizgrađenih stanova. </w:t>
      </w:r>
    </w:p>
    <w:p w:rsidR="00D849AA" w:rsidRDefault="00EE6D95">
      <w:pPr>
        <w:pStyle w:val="Normal5"/>
      </w:pPr>
      <w:r>
        <w:t xml:space="preserve">Subvencioniranje stambenih kredita i jamstva u 2014. godini odnosi se samo na već odobrene stambene kredite i državna jamstva u 2011. i 2012. godini. </w:t>
      </w:r>
    </w:p>
    <w:p w:rsidR="00D849AA" w:rsidRDefault="00EE6D95">
      <w:pPr>
        <w:pStyle w:val="Normal5"/>
      </w:pPr>
      <w:r>
        <w:t xml:space="preserve">Unutar ovog programa nalazi se i podprogram Stambeno zbrinjavanje invalida iz domovinskog rata koji je preuzet od MInistarstva graditeljstva i prostornog uređenja kao i podprogram Poticanja mjera za poboljšanje energetske učinkovitosti. </w:t>
      </w:r>
    </w:p>
    <w:p w:rsidR="00D849AA" w:rsidRDefault="00EE6D95">
      <w:pPr>
        <w:pStyle w:val="Normal5"/>
      </w:pPr>
      <w:r>
        <w:t>U 2014. planiran je i novi podprogram Energetska obnova zgrada javnog sektora.</w:t>
      </w:r>
    </w:p>
    <w:p w:rsidR="00D849AA" w:rsidRDefault="00EE6D95">
      <w:pPr>
        <w:pStyle w:val="Naslov6"/>
      </w:pPr>
      <w:r>
        <w:t>Zakonske i druge pravne osnove</w:t>
      </w:r>
    </w:p>
    <w:p w:rsidR="00D849AA" w:rsidRDefault="00EE6D95">
      <w:pPr>
        <w:pStyle w:val="Normal5"/>
      </w:pPr>
      <w:r>
        <w:t xml:space="preserve">1. Zakon o društveno poticanoj stanogradnji (NN 109/01, 82/04, 76/07, 38/09, 86/12 i 07/13) </w:t>
      </w:r>
    </w:p>
    <w:p w:rsidR="00D849AA" w:rsidRDefault="00EE6D95">
      <w:pPr>
        <w:pStyle w:val="Normal5"/>
      </w:pPr>
      <w:r>
        <w:t xml:space="preserve">2. Zakon o subvencioniranju i državnom jamstvu stambenih kredita (NN 31/11) </w:t>
      </w:r>
    </w:p>
    <w:p w:rsidR="00D849AA" w:rsidRDefault="00EE6D95">
      <w:pPr>
        <w:pStyle w:val="Normal5"/>
      </w:pPr>
      <w:r>
        <w:t xml:space="preserve">3. Zakon o učinkovitom korištenju energije u neposrednoj potrošnji (NN 152/08 i 55/12) </w:t>
      </w:r>
    </w:p>
    <w:p w:rsidR="00D849AA" w:rsidRDefault="00EE6D95">
      <w:pPr>
        <w:pStyle w:val="Normal5"/>
      </w:pPr>
      <w:r>
        <w:t>4. Uredba o izmjeni Zakona o učinkovitom korištenju energije u neposrednoj potrošnji.</w:t>
      </w:r>
    </w:p>
    <w:p w:rsidR="00D849AA" w:rsidRDefault="00EE6D95">
      <w:pPr>
        <w:pStyle w:val="Naslov6"/>
      </w:pPr>
      <w:r>
        <w:lastRenderedPageBreak/>
        <w:t>Ciljevi provedbe programa u razdoblju 2014.-2016. i pokazatelji uspješnosti kojima će se mjeriti ostvarenje tih ciljeva</w:t>
      </w:r>
    </w:p>
    <w:p w:rsidR="00D849AA" w:rsidRDefault="00EE6D95">
      <w:pPr>
        <w:pStyle w:val="Naslov7"/>
      </w:pPr>
      <w:r>
        <w:t>Cilj 1. Poticati društvenu stanogradnju</w:t>
      </w:r>
    </w:p>
    <w:p w:rsidR="00D849AA" w:rsidRDefault="00EE6D95">
      <w:pPr>
        <w:pStyle w:val="Normal6"/>
      </w:pPr>
      <w:r>
        <w:t>Riješavanje problema stanovanja građana</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Povećanje broja izgrađenih stanova, odobrenih kredita i ugovora o najmu</w:t>
            </w:r>
          </w:p>
        </w:tc>
        <w:tc>
          <w:tcPr>
            <w:tcW w:w="1114" w:type="dxa"/>
          </w:tcPr>
          <w:p w:rsidR="00D849AA" w:rsidRDefault="00EE6D95">
            <w:r>
              <w:t>%</w:t>
            </w:r>
          </w:p>
        </w:tc>
        <w:tc>
          <w:tcPr>
            <w:tcW w:w="1114" w:type="dxa"/>
          </w:tcPr>
          <w:p w:rsidR="00D849AA" w:rsidRDefault="00EE6D95">
            <w:r>
              <w:t>100</w:t>
            </w:r>
          </w:p>
        </w:tc>
        <w:tc>
          <w:tcPr>
            <w:tcW w:w="1486" w:type="dxa"/>
          </w:tcPr>
          <w:p w:rsidR="00D849AA" w:rsidRDefault="00EE6D95">
            <w:r>
              <w:t>100</w:t>
            </w:r>
          </w:p>
        </w:tc>
        <w:tc>
          <w:tcPr>
            <w:tcW w:w="1486" w:type="dxa"/>
          </w:tcPr>
          <w:p w:rsidR="00D849AA" w:rsidRDefault="00EE6D95">
            <w:r>
              <w:t>100</w:t>
            </w:r>
          </w:p>
        </w:tc>
        <w:tc>
          <w:tcPr>
            <w:tcW w:w="1486" w:type="dxa"/>
          </w:tcPr>
          <w:p w:rsidR="00D849AA" w:rsidRDefault="00EE6D95">
            <w:r>
              <w:t>100</w:t>
            </w:r>
          </w:p>
        </w:tc>
      </w:tr>
    </w:tbl>
    <w:p w:rsidR="00D849AA" w:rsidRDefault="00D849AA">
      <w:pPr>
        <w:jc w:val="left"/>
      </w:pPr>
    </w:p>
    <w:p w:rsidR="00D849AA" w:rsidRDefault="00EE6D95">
      <w:pPr>
        <w:pStyle w:val="Naslov7"/>
      </w:pPr>
      <w:r>
        <w:t>Cilj 2. Učinkovito korištenje energije u neposrednoj potrošnji</w:t>
      </w:r>
    </w:p>
    <w:p w:rsidR="00D849AA" w:rsidRDefault="00EE6D95">
      <w:pPr>
        <w:pStyle w:val="Normal6"/>
      </w:pPr>
      <w:r>
        <w:t>Provedbom programa pridonijet će se ostvarenju postavljenih nacionalnih ciljeva energetske politike. Dodatna vrijednost programa sadržana je u činjnici da će se ovakvim načinom ulaganja razviti tržište energetskih usluga, uvesti principi energetske učinkovitosti i razviti informacijski sustav praćenja potrošnje energenata.</w:t>
      </w:r>
    </w:p>
    <w:p w:rsidR="00D849AA" w:rsidRDefault="00EE6D95">
      <w:pPr>
        <w:pStyle w:val="Naslov5"/>
      </w:pPr>
      <w:r>
        <w:t>Procjena i ishodište potrebnih sredstava za značajnije aktivnosti/projekte</w:t>
      </w:r>
    </w:p>
    <w:p w:rsidR="00D849AA" w:rsidRDefault="00EE6D95">
      <w:pPr>
        <w:pStyle w:val="Naslov6"/>
      </w:pPr>
      <w:r>
        <w:t>A551027 ENERGETSKA OBNOVA ZGRADA JAVNOG SEKTORA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A551027</w:t>
            </w:r>
          </w:p>
        </w:tc>
        <w:tc>
          <w:tcPr>
            <w:tcW w:w="1486" w:type="dxa"/>
          </w:tcPr>
          <w:p w:rsidR="00D849AA" w:rsidRDefault="00EE6D95">
            <w:r>
              <w:t>00</w:t>
            </w:r>
          </w:p>
        </w:tc>
        <w:tc>
          <w:tcPr>
            <w:tcW w:w="1486" w:type="dxa"/>
          </w:tcPr>
          <w:p w:rsidR="00D849AA" w:rsidRDefault="00EE6D95">
            <w:r>
              <w:t>6.150.000</w:t>
            </w:r>
          </w:p>
        </w:tc>
        <w:tc>
          <w:tcPr>
            <w:tcW w:w="1486" w:type="dxa"/>
          </w:tcPr>
          <w:p w:rsidR="00D849AA" w:rsidRDefault="00EE6D95">
            <w:r>
              <w:t>6.500.000</w:t>
            </w:r>
          </w:p>
        </w:tc>
        <w:tc>
          <w:tcPr>
            <w:tcW w:w="1486" w:type="dxa"/>
          </w:tcPr>
          <w:p w:rsidR="00D849AA" w:rsidRDefault="00EE6D95">
            <w:r>
              <w:t>1.875.000</w:t>
            </w:r>
          </w:p>
        </w:tc>
        <w:tc>
          <w:tcPr>
            <w:tcW w:w="1486" w:type="dxa"/>
          </w:tcPr>
          <w:p w:rsidR="00D849AA" w:rsidRDefault="00EE6D95">
            <w:r>
              <w:t>0,0</w:t>
            </w:r>
          </w:p>
        </w:tc>
      </w:tr>
    </w:tbl>
    <w:p w:rsidR="00D849AA" w:rsidRDefault="00D849AA">
      <w:pPr>
        <w:jc w:val="left"/>
      </w:pPr>
    </w:p>
    <w:p w:rsidR="00D849AA" w:rsidRDefault="00EE6D95">
      <w:pPr>
        <w:pStyle w:val="Normal6"/>
      </w:pPr>
      <w:r>
        <w:t xml:space="preserve">Podprogram energetske obnove zgrada javnog sektora prenosi se iz nadležnosti Centra za praćenje poslovanja energetskog sektora i investicija (CEI) u APN temeljem izmjena Zakona o učinkovitom korištenu energije u neposrednoj potrošnji (NN 101/13). </w:t>
      </w:r>
    </w:p>
    <w:p w:rsidR="00D849AA" w:rsidRDefault="00EE6D95">
      <w:pPr>
        <w:pStyle w:val="Normal6"/>
      </w:pPr>
      <w:r>
        <w:t>Ovim podprogramom će se provoditi sustav javne nabave za energetsku obnovu zgrada javnog sektora prema principima pružanja energetske usluge, praćenje provedbe i izvješćivanje, utvrđivanje ostvarenih ušteda te uključivanje u Fondove EU za sufinanciranje.</w:t>
      </w:r>
    </w:p>
    <w:p w:rsidR="00D849AA" w:rsidRDefault="00EE6D95">
      <w:pPr>
        <w:pStyle w:val="Naslov6"/>
      </w:pPr>
      <w:r>
        <w:t>K551025 PRIBAVLJANJE STANOVA ZA NAJAM</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K551025</w:t>
            </w:r>
          </w:p>
        </w:tc>
        <w:tc>
          <w:tcPr>
            <w:tcW w:w="1486" w:type="dxa"/>
          </w:tcPr>
          <w:p w:rsidR="00D849AA" w:rsidRDefault="00EE6D95">
            <w:r>
              <w:t>754.567</w:t>
            </w:r>
          </w:p>
        </w:tc>
        <w:tc>
          <w:tcPr>
            <w:tcW w:w="1486" w:type="dxa"/>
          </w:tcPr>
          <w:p w:rsidR="00D849AA" w:rsidRDefault="00EE6D95">
            <w:r>
              <w:t>3.054.917</w:t>
            </w:r>
          </w:p>
        </w:tc>
        <w:tc>
          <w:tcPr>
            <w:tcW w:w="1486" w:type="dxa"/>
          </w:tcPr>
          <w:p w:rsidR="00D849AA" w:rsidRDefault="00EE6D95">
            <w:r>
              <w:t>3.055.767</w:t>
            </w:r>
          </w:p>
        </w:tc>
        <w:tc>
          <w:tcPr>
            <w:tcW w:w="1486" w:type="dxa"/>
          </w:tcPr>
          <w:p w:rsidR="00D849AA" w:rsidRDefault="00EE6D95">
            <w:r>
              <w:t>3.000.000</w:t>
            </w:r>
          </w:p>
        </w:tc>
        <w:tc>
          <w:tcPr>
            <w:tcW w:w="1486" w:type="dxa"/>
          </w:tcPr>
          <w:p w:rsidR="00D849AA" w:rsidRDefault="00EE6D95">
            <w:r>
              <w:t>404,8</w:t>
            </w:r>
          </w:p>
        </w:tc>
      </w:tr>
    </w:tbl>
    <w:p w:rsidR="00D849AA" w:rsidRDefault="00D849AA">
      <w:pPr>
        <w:jc w:val="left"/>
      </w:pPr>
    </w:p>
    <w:p w:rsidR="00D849AA" w:rsidRDefault="00EE6D95">
      <w:pPr>
        <w:pStyle w:val="Normal6"/>
      </w:pPr>
      <w:r>
        <w:t>Kupnja gotovih stanova na tržištu za potrebe najma kako bi se stanovništvu koje nije kreditno sposobno osigurao dom i na taj način aktiviralo neiskorištene nekretnine.</w:t>
      </w:r>
    </w:p>
    <w:p w:rsidR="00D849AA" w:rsidRDefault="00EE6D95">
      <w:pPr>
        <w:pStyle w:val="Naslov6"/>
      </w:pPr>
      <w:r>
        <w:lastRenderedPageBreak/>
        <w:t>K551026 POTICANJE MJERA ZA POBOLJŠANJE ENERGETSKE UČINKOVITOSTI</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K551026</w:t>
            </w:r>
          </w:p>
        </w:tc>
        <w:tc>
          <w:tcPr>
            <w:tcW w:w="1486" w:type="dxa"/>
          </w:tcPr>
          <w:p w:rsidR="00D849AA" w:rsidRDefault="00EE6D95">
            <w:r>
              <w:t>500.000</w:t>
            </w:r>
          </w:p>
        </w:tc>
        <w:tc>
          <w:tcPr>
            <w:tcW w:w="1486" w:type="dxa"/>
          </w:tcPr>
          <w:p w:rsidR="00D849AA" w:rsidRDefault="00EE6D95">
            <w:r>
              <w:t>5.100.000</w:t>
            </w:r>
          </w:p>
        </w:tc>
        <w:tc>
          <w:tcPr>
            <w:tcW w:w="1486" w:type="dxa"/>
          </w:tcPr>
          <w:p w:rsidR="00D849AA" w:rsidRDefault="00EE6D95">
            <w:r>
              <w:t>6.400.000</w:t>
            </w:r>
          </w:p>
        </w:tc>
        <w:tc>
          <w:tcPr>
            <w:tcW w:w="1486" w:type="dxa"/>
          </w:tcPr>
          <w:p w:rsidR="00D849AA" w:rsidRDefault="00EE6D95">
            <w:r>
              <w:t>9.100.000</w:t>
            </w:r>
          </w:p>
        </w:tc>
        <w:tc>
          <w:tcPr>
            <w:tcW w:w="1486" w:type="dxa"/>
          </w:tcPr>
          <w:p w:rsidR="00D849AA" w:rsidRDefault="00EE6D95">
            <w:r>
              <w:t>1020,0</w:t>
            </w:r>
          </w:p>
        </w:tc>
      </w:tr>
    </w:tbl>
    <w:p w:rsidR="00D849AA" w:rsidRDefault="00D849AA">
      <w:pPr>
        <w:jc w:val="left"/>
      </w:pPr>
    </w:p>
    <w:p w:rsidR="00D849AA" w:rsidRDefault="00EE6D95">
      <w:pPr>
        <w:pStyle w:val="Normal6"/>
      </w:pPr>
      <w:r>
        <w:t>Svrha programa je primjena ekonomski opravdanih, energetski učinkovitih tehnologija i mjera u zgradama na području Republike Hrvatske kako bi se smanjila ukupna potrošnja energenata i povećala energetska učinkovitost, povećao udio obnovljivih izvora energije te impementacija naprednih mjera potrošnje sa sustavom kontinuiranog praćenja i centralizirane analize troškova.</w:t>
      </w:r>
    </w:p>
    <w:p w:rsidR="00D849AA" w:rsidRDefault="00EE6D95">
      <w:pPr>
        <w:pStyle w:val="Naslov6"/>
      </w:pPr>
      <w:r>
        <w:t>K576201 DRUŠTVENO POTICANA STANOGRADNJA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K576201</w:t>
            </w:r>
          </w:p>
        </w:tc>
        <w:tc>
          <w:tcPr>
            <w:tcW w:w="1486" w:type="dxa"/>
          </w:tcPr>
          <w:p w:rsidR="00D849AA" w:rsidRDefault="00EE6D95">
            <w:r>
              <w:t>238.000.000</w:t>
            </w:r>
          </w:p>
        </w:tc>
        <w:tc>
          <w:tcPr>
            <w:tcW w:w="1486" w:type="dxa"/>
          </w:tcPr>
          <w:p w:rsidR="00D849AA" w:rsidRDefault="00EE6D95">
            <w:r>
              <w:t>240.000.000</w:t>
            </w:r>
          </w:p>
        </w:tc>
        <w:tc>
          <w:tcPr>
            <w:tcW w:w="1486" w:type="dxa"/>
          </w:tcPr>
          <w:p w:rsidR="00D849AA" w:rsidRDefault="00EE6D95">
            <w:r>
              <w:t>240.000.000</w:t>
            </w:r>
          </w:p>
        </w:tc>
        <w:tc>
          <w:tcPr>
            <w:tcW w:w="1486" w:type="dxa"/>
          </w:tcPr>
          <w:p w:rsidR="00D849AA" w:rsidRDefault="00EE6D95">
            <w:r>
              <w:t>240.000.000</w:t>
            </w:r>
          </w:p>
        </w:tc>
        <w:tc>
          <w:tcPr>
            <w:tcW w:w="1486" w:type="dxa"/>
          </w:tcPr>
          <w:p w:rsidR="00D849AA" w:rsidRDefault="00EE6D95">
            <w:r>
              <w:t>100,8</w:t>
            </w:r>
          </w:p>
        </w:tc>
      </w:tr>
    </w:tbl>
    <w:p w:rsidR="00D849AA" w:rsidRDefault="00D849AA">
      <w:pPr>
        <w:jc w:val="left"/>
      </w:pPr>
    </w:p>
    <w:p w:rsidR="00D849AA" w:rsidRDefault="00EE6D95">
      <w:pPr>
        <w:pStyle w:val="Normal6"/>
      </w:pPr>
      <w:r>
        <w:t xml:space="preserve">Javnim sredstvima prema odredbama Zakona o Društvenoj poticanoj stanogradnji može se poticati gradnja i rekonstrukcija (dogradnja i nadogradnja) zgrada i obiteljskih kuća kojima se osigurava fizičkim osobama novi stambeni prostor u propisanom standardu, veličini i cijeni koštanja stana prema odredbama Zakona. </w:t>
      </w:r>
    </w:p>
    <w:p w:rsidR="00D849AA" w:rsidRDefault="00EE6D95">
      <w:pPr>
        <w:pStyle w:val="Normal6"/>
      </w:pPr>
      <w:r>
        <w:t xml:space="preserve">Ukupna sredstva za poticanu stanogradnju planiraju se u proračunom APN-a, a uključuju osim potreba APN-a i potrebe neprofitnih pravnih osoba (Rijeka, Varaždin, Dubrovnik i Koprivnica). </w:t>
      </w:r>
    </w:p>
    <w:p w:rsidR="00D849AA" w:rsidRDefault="00EE6D95">
      <w:pPr>
        <w:pStyle w:val="Normal6"/>
      </w:pPr>
      <w:r>
        <w:t xml:space="preserve">Od 2000. do kraja 2012. godine u okviru POS-a izgrađeno je, odnosno u cijelosti dovršeno ukupno 5.673 stana. U tijeku 2013. godine planira se dovršiti još 1.396 stanova dok je u 2014. godini plan izgraditi 1.018 stanova, 27 kuća i 295 garažno parkirnih mjesta. </w:t>
      </w:r>
    </w:p>
    <w:p w:rsidR="00D849AA" w:rsidRDefault="00EE6D95">
      <w:pPr>
        <w:pStyle w:val="Normal6"/>
      </w:pPr>
      <w:r>
        <w:t xml:space="preserve">Cilj nam je do kraja 2016. godine po programu POS-a izgraditi ukupno 10.170 stanova. </w:t>
      </w:r>
    </w:p>
    <w:p w:rsidR="00D849AA" w:rsidRDefault="00EE6D95">
      <w:pPr>
        <w:pStyle w:val="Normal6"/>
      </w:pPr>
      <w:r>
        <w:t xml:space="preserve">Kao jedan od podprograma u okviru POS-a je i zakonski predviđena mogućnost poticanja izgradnje obiteljskih kuća koja se ostvaruje kreditiranjem dijela troškova izgradnje (poticaji), dok drugi dio sredstava osiguravaju poslovne banke. </w:t>
      </w:r>
    </w:p>
    <w:p w:rsidR="00D849AA" w:rsidRDefault="00EE6D95">
      <w:pPr>
        <w:pStyle w:val="Normal6"/>
      </w:pPr>
      <w:r>
        <w:t xml:space="preserve">Cilj nam je do kraja 2016. godine odobriti 152 kredita u tu svrhu. </w:t>
      </w:r>
    </w:p>
    <w:p w:rsidR="00D849AA" w:rsidRDefault="00EE6D95">
      <w:pPr>
        <w:pStyle w:val="Normal6"/>
      </w:pPr>
      <w:r>
        <w:t>S obzirom na izmjene i dopune Zakona o poticanoj stanogradnji i uvodenim novim podprogramima (POS plus i najam stanova), APN planira u 2014. odobriti 170 novih kredita po programu POS plus i isto tako iznajmiti sve novoizgrađene a neprodane stanove iz programa POS-a. Također proračunom su predviđena sredstva za kupnju novoizgrađenih stanova te njihovim iznajmljivanjem.</w:t>
      </w:r>
    </w:p>
    <w:p w:rsidR="00807829" w:rsidRDefault="00807829">
      <w:pPr>
        <w:pStyle w:val="Normal6"/>
      </w:pPr>
    </w:p>
    <w:p w:rsidR="00807829" w:rsidRDefault="00807829">
      <w:pPr>
        <w:pStyle w:val="Normal6"/>
      </w:pPr>
    </w:p>
    <w:p w:rsidR="00807829" w:rsidRDefault="00807829">
      <w:pPr>
        <w:pStyle w:val="Normal6"/>
      </w:pPr>
    </w:p>
    <w:p w:rsidR="00D61DA2" w:rsidRDefault="00D61DA2">
      <w:pPr>
        <w:pStyle w:val="Normal6"/>
      </w:pPr>
    </w:p>
    <w:p w:rsidR="00D61DA2" w:rsidRDefault="00D61DA2">
      <w:pPr>
        <w:pStyle w:val="Normal6"/>
      </w:pPr>
    </w:p>
    <w:p w:rsidR="00807829" w:rsidRDefault="00807829">
      <w:pPr>
        <w:pStyle w:val="Normal6"/>
      </w:pPr>
    </w:p>
    <w:p w:rsidR="00D849AA" w:rsidRDefault="00EE6D95">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Povećanje broja izgrađenih stanova i odobrenih kredita</w:t>
            </w:r>
          </w:p>
        </w:tc>
        <w:tc>
          <w:tcPr>
            <w:tcW w:w="1114" w:type="dxa"/>
          </w:tcPr>
          <w:p w:rsidR="00D849AA" w:rsidRDefault="00EE6D95">
            <w:r>
              <w:t>%</w:t>
            </w:r>
          </w:p>
        </w:tc>
        <w:tc>
          <w:tcPr>
            <w:tcW w:w="1114" w:type="dxa"/>
          </w:tcPr>
          <w:p w:rsidR="00D849AA" w:rsidRDefault="00EE6D95">
            <w:r>
              <w:t>100</w:t>
            </w:r>
          </w:p>
        </w:tc>
        <w:tc>
          <w:tcPr>
            <w:tcW w:w="1486" w:type="dxa"/>
          </w:tcPr>
          <w:p w:rsidR="00D849AA" w:rsidRDefault="00EE6D95">
            <w:r>
              <w:t>100</w:t>
            </w:r>
          </w:p>
        </w:tc>
        <w:tc>
          <w:tcPr>
            <w:tcW w:w="1486" w:type="dxa"/>
          </w:tcPr>
          <w:p w:rsidR="00D849AA" w:rsidRDefault="00EE6D95">
            <w:r>
              <w:t>100</w:t>
            </w:r>
          </w:p>
        </w:tc>
        <w:tc>
          <w:tcPr>
            <w:tcW w:w="1486" w:type="dxa"/>
          </w:tcPr>
          <w:p w:rsidR="00D849AA" w:rsidRDefault="00EE6D95">
            <w:r>
              <w:t>100</w:t>
            </w:r>
          </w:p>
        </w:tc>
      </w:tr>
    </w:tbl>
    <w:p w:rsidR="00D849AA" w:rsidRDefault="00D849AA">
      <w:pPr>
        <w:jc w:val="left"/>
      </w:pPr>
    </w:p>
    <w:p w:rsidR="00D849AA" w:rsidRDefault="00EE6D95">
      <w:pPr>
        <w:pStyle w:val="Naslov6"/>
      </w:pPr>
      <w:r>
        <w:t>T551024 SUBVENCIJE I DRŽAVNA JAMSTVA ZA STAMBENE KREDITE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T551024</w:t>
            </w:r>
          </w:p>
        </w:tc>
        <w:tc>
          <w:tcPr>
            <w:tcW w:w="1486" w:type="dxa"/>
          </w:tcPr>
          <w:p w:rsidR="00D849AA" w:rsidRDefault="00EE6D95">
            <w:r>
              <w:t>43.600.000</w:t>
            </w:r>
          </w:p>
        </w:tc>
        <w:tc>
          <w:tcPr>
            <w:tcW w:w="1486" w:type="dxa"/>
          </w:tcPr>
          <w:p w:rsidR="00D849AA" w:rsidRDefault="00EE6D95">
            <w:r>
              <w:t>43.600.000</w:t>
            </w:r>
          </w:p>
        </w:tc>
        <w:tc>
          <w:tcPr>
            <w:tcW w:w="1486" w:type="dxa"/>
          </w:tcPr>
          <w:p w:rsidR="00D849AA" w:rsidRDefault="00EE6D95">
            <w:r>
              <w:t>15.200.000</w:t>
            </w:r>
          </w:p>
        </w:tc>
        <w:tc>
          <w:tcPr>
            <w:tcW w:w="1486" w:type="dxa"/>
          </w:tcPr>
          <w:p w:rsidR="00D849AA" w:rsidRDefault="00EE6D95">
            <w:r>
              <w:t>00</w:t>
            </w:r>
          </w:p>
        </w:tc>
        <w:tc>
          <w:tcPr>
            <w:tcW w:w="1486" w:type="dxa"/>
          </w:tcPr>
          <w:p w:rsidR="00D849AA" w:rsidRDefault="00EE6D95">
            <w:r>
              <w:t>100,0</w:t>
            </w:r>
          </w:p>
        </w:tc>
      </w:tr>
    </w:tbl>
    <w:p w:rsidR="00D849AA" w:rsidRDefault="00D849AA">
      <w:pPr>
        <w:jc w:val="left"/>
      </w:pPr>
    </w:p>
    <w:p w:rsidR="00D849AA" w:rsidRDefault="00EE6D95">
      <w:pPr>
        <w:pStyle w:val="Normal6"/>
      </w:pPr>
      <w:r>
        <w:t>Sredstva odobrena za 2014. godinu služe za podmirivanje obveza na temelju sklopljenih ugovora o subvencioniranju stambenih kredita i državna jamstva u 2011. i 2012. godini.</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Izvršenje obveza na temelju sklopljenih ugovora o subvencijama i državnim jamstvima</w:t>
            </w:r>
          </w:p>
        </w:tc>
        <w:tc>
          <w:tcPr>
            <w:tcW w:w="1114" w:type="dxa"/>
          </w:tcPr>
          <w:p w:rsidR="00D849AA" w:rsidRDefault="00EE6D95">
            <w:r>
              <w:t>%</w:t>
            </w:r>
          </w:p>
        </w:tc>
        <w:tc>
          <w:tcPr>
            <w:tcW w:w="1114" w:type="dxa"/>
          </w:tcPr>
          <w:p w:rsidR="00D849AA" w:rsidRDefault="00EE6D95">
            <w:r>
              <w:t>100</w:t>
            </w:r>
          </w:p>
        </w:tc>
        <w:tc>
          <w:tcPr>
            <w:tcW w:w="1486" w:type="dxa"/>
          </w:tcPr>
          <w:p w:rsidR="00D849AA" w:rsidRDefault="00EE6D95">
            <w:r>
              <w:t>100</w:t>
            </w:r>
          </w:p>
        </w:tc>
        <w:tc>
          <w:tcPr>
            <w:tcW w:w="1486" w:type="dxa"/>
          </w:tcPr>
          <w:p w:rsidR="00D849AA" w:rsidRDefault="00EE6D95">
            <w:r>
              <w:t>100</w:t>
            </w:r>
          </w:p>
        </w:tc>
        <w:tc>
          <w:tcPr>
            <w:tcW w:w="1486" w:type="dxa"/>
          </w:tcPr>
          <w:p w:rsidR="00D849AA" w:rsidRDefault="00EE6D95">
            <w:r>
              <w:t>0</w:t>
            </w:r>
          </w:p>
        </w:tc>
      </w:tr>
    </w:tbl>
    <w:p w:rsidR="00D849AA" w:rsidRDefault="00D849AA">
      <w:pPr>
        <w:jc w:val="left"/>
      </w:pPr>
    </w:p>
    <w:p w:rsidR="00D849AA" w:rsidRDefault="00EE6D95">
      <w:pPr>
        <w:pStyle w:val="Naslov2"/>
      </w:pPr>
      <w:r>
        <w:t>07625 Državna geodetska uprava</w:t>
      </w:r>
    </w:p>
    <w:p w:rsidR="00D849AA" w:rsidRDefault="00EE6D95">
      <w:pPr>
        <w:pStyle w:val="Naslov4"/>
      </w:pPr>
      <w:r>
        <w:t>Uvod</w:t>
      </w:r>
    </w:p>
    <w:p w:rsidR="00D849AA" w:rsidRDefault="00EE6D95">
      <w:pPr>
        <w:pStyle w:val="Normal3"/>
      </w:pPr>
      <w:r>
        <w:t xml:space="preserve">Državna geodetska uprava je glava u razdjelu 076 25 i u svojoj nadležnosti izvršava sve poslove koji su vezani za Program 3505 Izmjere i upravljanje geodetskim evidencijama kroz Aktivnosti, Tekuće projekte i Kapitalne projekte i to:  </w:t>
      </w:r>
    </w:p>
    <w:p w:rsidR="00D849AA" w:rsidRDefault="00EE6D95">
      <w:pPr>
        <w:pStyle w:val="Normal3"/>
      </w:pPr>
      <w:r>
        <w:t xml:space="preserve"> </w:t>
      </w:r>
    </w:p>
    <w:p w:rsidR="00D849AA" w:rsidRDefault="00EE6D95">
      <w:pPr>
        <w:pStyle w:val="Normal3"/>
      </w:pPr>
      <w:r>
        <w:t xml:space="preserve">                 - A251923 Obveze po sudskim rješenjima  </w:t>
      </w:r>
    </w:p>
    <w:p w:rsidR="00D849AA" w:rsidRDefault="00EE6D95">
      <w:pPr>
        <w:pStyle w:val="Normal3"/>
      </w:pPr>
      <w:r>
        <w:t xml:space="preserve">                 - A664000 Administracija i upravljanje Državne geodetske uprave </w:t>
      </w:r>
    </w:p>
    <w:p w:rsidR="00D849AA" w:rsidRDefault="00EE6D95">
      <w:pPr>
        <w:pStyle w:val="Normal3"/>
      </w:pPr>
      <w:r>
        <w:t xml:space="preserve">                 - A664001 Održavanje katastra zemljišta i uspostava katastra nekretnina </w:t>
      </w:r>
    </w:p>
    <w:p w:rsidR="00D849AA" w:rsidRDefault="00EE6D95">
      <w:pPr>
        <w:pStyle w:val="Normal3"/>
      </w:pPr>
      <w:r>
        <w:t xml:space="preserve">                 - A664002 Temeljne geodetske osnove državne izmjere </w:t>
      </w:r>
    </w:p>
    <w:p w:rsidR="00D849AA" w:rsidRDefault="00EE6D95">
      <w:pPr>
        <w:pStyle w:val="Normal3"/>
      </w:pPr>
      <w:r>
        <w:t xml:space="preserve">                 - A664003 Prostorni informacijski sustav </w:t>
      </w:r>
    </w:p>
    <w:p w:rsidR="00D849AA" w:rsidRDefault="00EE6D95">
      <w:pPr>
        <w:pStyle w:val="Normal3"/>
      </w:pPr>
      <w:r>
        <w:t xml:space="preserve">                 - A664004 Uspostava i održavanje granične crte RH </w:t>
      </w:r>
    </w:p>
    <w:p w:rsidR="00D849AA" w:rsidRDefault="00EE6D95">
      <w:pPr>
        <w:pStyle w:val="Normal3"/>
      </w:pPr>
      <w:r>
        <w:lastRenderedPageBreak/>
        <w:t xml:space="preserve">                 - A664006 Registar prostornih jedinica RH </w:t>
      </w:r>
    </w:p>
    <w:p w:rsidR="00D849AA" w:rsidRDefault="00EE6D95">
      <w:pPr>
        <w:pStyle w:val="Normal3"/>
      </w:pPr>
      <w:r>
        <w:t xml:space="preserve">                 - A664021 Registracija poljoprivrednog zemljišta u vlasništvu RH </w:t>
      </w:r>
    </w:p>
    <w:p w:rsidR="00D849AA" w:rsidRDefault="00EE6D95">
      <w:pPr>
        <w:pStyle w:val="Normal3"/>
      </w:pPr>
      <w:r>
        <w:t xml:space="preserve">                 - A664033 Uspostava nacionalne infrastrukture prostornih podataka </w:t>
      </w:r>
    </w:p>
    <w:p w:rsidR="00D849AA" w:rsidRDefault="00EE6D95">
      <w:pPr>
        <w:pStyle w:val="Normal3"/>
      </w:pPr>
      <w:r>
        <w:t xml:space="preserve">                 - A664034 Vođenje i održavanje zajedničkog informacijskog sustava zemljišnih knjiga i katastra </w:t>
      </w:r>
    </w:p>
    <w:p w:rsidR="00D849AA" w:rsidRDefault="00EE6D95">
      <w:pPr>
        <w:pStyle w:val="Normal3"/>
      </w:pPr>
      <w:r>
        <w:t xml:space="preserve">                 - A664039 Uspostava katastra nekretnina u funkciji racionalnog upravljanja zemljištem - Izvanredni program </w:t>
      </w:r>
    </w:p>
    <w:p w:rsidR="00D849AA" w:rsidRDefault="00EE6D95">
      <w:pPr>
        <w:pStyle w:val="Normal3"/>
      </w:pPr>
      <w:r>
        <w:t xml:space="preserve">                 - T664009 Katastar nekretnina doline Neretve </w:t>
      </w:r>
    </w:p>
    <w:p w:rsidR="00D849AA" w:rsidRDefault="00EE6D95">
      <w:pPr>
        <w:pStyle w:val="Normal3"/>
      </w:pPr>
      <w:r>
        <w:t xml:space="preserve">                 - T664010 Uređenje posjedovne i vlasničko pravne evidencije na otocima </w:t>
      </w:r>
    </w:p>
    <w:p w:rsidR="00D849AA" w:rsidRDefault="00EE6D95">
      <w:pPr>
        <w:pStyle w:val="Normal3"/>
      </w:pPr>
      <w:r>
        <w:t xml:space="preserve">                 - K251615 Državna službena kartografija </w:t>
      </w:r>
    </w:p>
    <w:p w:rsidR="00D849AA" w:rsidRDefault="00EE6D95">
      <w:pPr>
        <w:pStyle w:val="Normal3"/>
      </w:pPr>
      <w:r>
        <w:t xml:space="preserve">                 - K664012 Obnova voznog parka </w:t>
      </w:r>
    </w:p>
    <w:p w:rsidR="00D849AA" w:rsidRDefault="00EE6D95">
      <w:pPr>
        <w:pStyle w:val="Normal3"/>
      </w:pPr>
      <w:r>
        <w:t xml:space="preserve">                 - K664013 Informatizacija Uprave  </w:t>
      </w:r>
    </w:p>
    <w:p w:rsidR="00D849AA" w:rsidRDefault="00EE6D95">
      <w:pPr>
        <w:pStyle w:val="Normal3"/>
      </w:pPr>
      <w:r>
        <w:t xml:space="preserve">                 - K664014 Izgradnja i opremanje poslovnih prostora Uprave i objekata geodetske infrastrukture </w:t>
      </w:r>
    </w:p>
    <w:p w:rsidR="00D849AA" w:rsidRDefault="00EE6D95">
      <w:pPr>
        <w:pStyle w:val="Normal3"/>
      </w:pPr>
      <w:r>
        <w:t xml:space="preserve">                 - K664031 Izgradnja i opremanje Područnih ureda za katastar </w:t>
      </w:r>
    </w:p>
    <w:p w:rsidR="00D849AA" w:rsidRDefault="00EE6D95">
      <w:pPr>
        <w:pStyle w:val="Normal3"/>
      </w:pPr>
      <w:r>
        <w:t xml:space="preserve">                 - K664032 Uknjižba nekretnina sa pravom vlasništva ili drugim stvarnim pravom </w:t>
      </w:r>
    </w:p>
    <w:p w:rsidR="00D849AA" w:rsidRDefault="00EE6D95">
      <w:pPr>
        <w:pStyle w:val="Normal3"/>
      </w:pPr>
      <w:r>
        <w:t xml:space="preserve">                 - K664035 Sustav za identifikaciju zemljišnih čestica (LPIS) </w:t>
      </w:r>
    </w:p>
    <w:p w:rsidR="00D849AA" w:rsidRDefault="00EE6D95">
      <w:pPr>
        <w:pStyle w:val="Normal3"/>
      </w:pPr>
      <w:r>
        <w:t xml:space="preserve">                 - K664038 IPA 2010 - ILAS  Implementacija integriranog sustava zemljišne administracije </w:t>
      </w:r>
    </w:p>
    <w:p w:rsidR="00D849AA" w:rsidRDefault="00EE6D95">
      <w:pPr>
        <w:pStyle w:val="Normal3"/>
      </w:pPr>
      <w:r>
        <w:t xml:space="preserve">                 - K664040 Projekt implementacije integriranog sustava zemljišne administracije (IBRD ZAJAM BR. 8086-HR)</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07625</w:t>
            </w:r>
          </w:p>
        </w:tc>
        <w:tc>
          <w:tcPr>
            <w:tcW w:w="1486" w:type="dxa"/>
          </w:tcPr>
          <w:p w:rsidR="00D849AA" w:rsidRDefault="00EE6D95">
            <w:r>
              <w:t>220.480.000</w:t>
            </w:r>
          </w:p>
        </w:tc>
        <w:tc>
          <w:tcPr>
            <w:tcW w:w="1486" w:type="dxa"/>
          </w:tcPr>
          <w:p w:rsidR="00D849AA" w:rsidRDefault="00EE6D95">
            <w:r>
              <w:t>205.493.000</w:t>
            </w:r>
          </w:p>
        </w:tc>
        <w:tc>
          <w:tcPr>
            <w:tcW w:w="1486" w:type="dxa"/>
          </w:tcPr>
          <w:p w:rsidR="00D849AA" w:rsidRDefault="00EE6D95">
            <w:r>
              <w:t>222.880.000</w:t>
            </w:r>
          </w:p>
        </w:tc>
        <w:tc>
          <w:tcPr>
            <w:tcW w:w="1486" w:type="dxa"/>
          </w:tcPr>
          <w:p w:rsidR="00D849AA" w:rsidRDefault="00EE6D95">
            <w:r>
              <w:t>164.132.000</w:t>
            </w:r>
          </w:p>
        </w:tc>
        <w:tc>
          <w:tcPr>
            <w:tcW w:w="1486" w:type="dxa"/>
          </w:tcPr>
          <w:p w:rsidR="00D849AA" w:rsidRDefault="00EE6D95">
            <w:r>
              <w:t>93,2</w:t>
            </w:r>
          </w:p>
        </w:tc>
      </w:tr>
    </w:tbl>
    <w:p w:rsidR="00D849AA" w:rsidRDefault="00D849AA">
      <w:pPr>
        <w:jc w:val="left"/>
      </w:pPr>
    </w:p>
    <w:p w:rsidR="00D849AA" w:rsidRDefault="00EE6D95">
      <w:pPr>
        <w:pStyle w:val="Naslov4"/>
      </w:pPr>
      <w:r>
        <w:t>OBRAZLOŽENJE PROGRAMA</w:t>
      </w:r>
    </w:p>
    <w:p w:rsidR="00D849AA" w:rsidRDefault="00EE6D95">
      <w:pPr>
        <w:pStyle w:val="Naslov5"/>
      </w:pPr>
      <w:r>
        <w:t>3505 IZMJERE I UPRAVLJANJE GEODETSKIM EVIDENCIJAMA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3505</w:t>
            </w:r>
          </w:p>
        </w:tc>
        <w:tc>
          <w:tcPr>
            <w:tcW w:w="1486" w:type="dxa"/>
          </w:tcPr>
          <w:p w:rsidR="00D849AA" w:rsidRDefault="00EE6D95">
            <w:r>
              <w:t>220.480.000</w:t>
            </w:r>
          </w:p>
        </w:tc>
        <w:tc>
          <w:tcPr>
            <w:tcW w:w="1486" w:type="dxa"/>
          </w:tcPr>
          <w:p w:rsidR="00D849AA" w:rsidRDefault="00EE6D95">
            <w:r>
              <w:t>205.493.000</w:t>
            </w:r>
          </w:p>
        </w:tc>
        <w:tc>
          <w:tcPr>
            <w:tcW w:w="1486" w:type="dxa"/>
          </w:tcPr>
          <w:p w:rsidR="00D849AA" w:rsidRDefault="00EE6D95">
            <w:r>
              <w:t>222.880.000</w:t>
            </w:r>
          </w:p>
        </w:tc>
        <w:tc>
          <w:tcPr>
            <w:tcW w:w="1486" w:type="dxa"/>
          </w:tcPr>
          <w:p w:rsidR="00D849AA" w:rsidRDefault="00EE6D95">
            <w:r>
              <w:t>164.132.000</w:t>
            </w:r>
          </w:p>
        </w:tc>
        <w:tc>
          <w:tcPr>
            <w:tcW w:w="1486" w:type="dxa"/>
          </w:tcPr>
          <w:p w:rsidR="00D849AA" w:rsidRDefault="00EE6D95">
            <w:r>
              <w:t>93,2</w:t>
            </w:r>
          </w:p>
        </w:tc>
      </w:tr>
    </w:tbl>
    <w:p w:rsidR="00D849AA" w:rsidRDefault="00D849AA">
      <w:pPr>
        <w:jc w:val="left"/>
      </w:pPr>
    </w:p>
    <w:p w:rsidR="00D849AA" w:rsidRDefault="00EE6D95">
      <w:pPr>
        <w:pStyle w:val="Naslov6"/>
      </w:pPr>
      <w:r>
        <w:t>Opis programa</w:t>
      </w:r>
    </w:p>
    <w:p w:rsidR="00D849AA" w:rsidRDefault="00EE6D95">
      <w:pPr>
        <w:pStyle w:val="Normal5"/>
      </w:pPr>
      <w:r>
        <w:t>Program predstavlja niz aktivnosti koje u ukupnom dijelu ostvaruju i stvaraju preduvjete za sva daljnja učinkovita upravljanja geodetskim evidencijama u Državnoj geodetskoj upravi, Područnim uredima i Ispostavama.</w:t>
      </w:r>
    </w:p>
    <w:p w:rsidR="00D849AA" w:rsidRDefault="00EE6D95">
      <w:pPr>
        <w:pStyle w:val="Naslov6"/>
      </w:pPr>
      <w:r>
        <w:lastRenderedPageBreak/>
        <w:t>Zakonske i druge pravne osnove</w:t>
      </w:r>
    </w:p>
    <w:p w:rsidR="00D849AA" w:rsidRDefault="00EE6D95">
      <w:pPr>
        <w:pStyle w:val="Normal5"/>
      </w:pPr>
      <w:r>
        <w:t xml:space="preserve">1. Zakon o sustavu Državne uprave (NN 190/03)  </w:t>
      </w:r>
    </w:p>
    <w:p w:rsidR="00D849AA" w:rsidRDefault="00EE6D95">
      <w:pPr>
        <w:pStyle w:val="Normal5"/>
      </w:pPr>
      <w:r>
        <w:t xml:space="preserve">2. Strategija stručnog osposobljavanja i usavršavanja državnih službenika i namještenika za razdoblje 2004-2009,     </w:t>
      </w:r>
    </w:p>
    <w:p w:rsidR="00D849AA" w:rsidRDefault="00EE6D95">
      <w:pPr>
        <w:pStyle w:val="Normal5"/>
      </w:pPr>
      <w:r>
        <w:t xml:space="preserve">    (Vlada RH je usvojila 6. listopada 2004.)  </w:t>
      </w:r>
    </w:p>
    <w:p w:rsidR="00D849AA" w:rsidRDefault="00EE6D95">
      <w:pPr>
        <w:pStyle w:val="Normal5"/>
      </w:pPr>
      <w:r>
        <w:t xml:space="preserve">3. Zakon o državnim službenicima (NN 92/05, 107/07, 27/08)  </w:t>
      </w:r>
    </w:p>
    <w:p w:rsidR="00D849AA" w:rsidRDefault="00EE6D95">
      <w:pPr>
        <w:pStyle w:val="Normal5"/>
      </w:pPr>
      <w:r>
        <w:t xml:space="preserve">4. Uredba o oblicima, načinima i uvjetima izobrazbe državnih službenika (NN 10/07) </w:t>
      </w:r>
    </w:p>
    <w:p w:rsidR="00D849AA" w:rsidRDefault="00EE6D95">
      <w:pPr>
        <w:pStyle w:val="Normal5"/>
      </w:pPr>
      <w:r>
        <w:t xml:space="preserve">5. Zakon o državnoj izmjeri i katastru nekretnina (NN 16/07)  </w:t>
      </w:r>
    </w:p>
    <w:p w:rsidR="00D849AA" w:rsidRDefault="00EE6D95">
      <w:pPr>
        <w:pStyle w:val="Normal5"/>
      </w:pPr>
      <w:r>
        <w:t xml:space="preserve">6. Zakon o izmjenama Zakona o državnoj izmjeri i katastru nekretnina (NN 124/10)  </w:t>
      </w:r>
    </w:p>
    <w:p w:rsidR="00D849AA" w:rsidRDefault="00EE6D95">
      <w:pPr>
        <w:pStyle w:val="Normal5"/>
      </w:pPr>
      <w:r>
        <w:t xml:space="preserve">7. Zakon o obavljanju geodetske djelatnosti (NN 152/08)  </w:t>
      </w:r>
    </w:p>
    <w:p w:rsidR="00D849AA" w:rsidRDefault="00EE6D95">
      <w:pPr>
        <w:pStyle w:val="Normal5"/>
      </w:pPr>
      <w:r>
        <w:t xml:space="preserve">8. Zakon o izmjenama Zakona o obavljanju geodetske djelatnosti (NN 61/11)  </w:t>
      </w:r>
    </w:p>
    <w:p w:rsidR="00D849AA" w:rsidRDefault="00EE6D95">
      <w:pPr>
        <w:pStyle w:val="Normal5"/>
      </w:pPr>
      <w:r>
        <w:t xml:space="preserve">9. Odluka Vlade, Provedbeni plan djelovanja za otklanjanje prepreka ulaganjima u Republici Hrvatskoj  </w:t>
      </w:r>
    </w:p>
    <w:p w:rsidR="00D849AA" w:rsidRDefault="00EE6D95">
      <w:pPr>
        <w:pStyle w:val="Normal5"/>
      </w:pPr>
      <w:r>
        <w:t xml:space="preserve">10. Odluka Vlade Republike Hrvatske o mjerama za sređivanje imovinskopravnoga, geodetsko- katastarskog stanja u dolini rijeke Neretve (NN 126/00)          </w:t>
      </w:r>
    </w:p>
    <w:p w:rsidR="00D849AA" w:rsidRDefault="00EE6D95">
      <w:pPr>
        <w:pStyle w:val="Normal5"/>
      </w:pPr>
      <w:r>
        <w:t xml:space="preserve">11. Državni program uređenja posjedovne i vlasničko pravne evidencije (katastra i zemljišnih knjiga) na otocima (NN 7/00) </w:t>
      </w:r>
    </w:p>
    <w:p w:rsidR="00D849AA" w:rsidRDefault="00EE6D95">
      <w:pPr>
        <w:pStyle w:val="Normal5"/>
      </w:pPr>
      <w:r>
        <w:t xml:space="preserve">12. Zaključak Vlade Republike Hrvatske od 03.08.06., klasa 940-01/05-06/01 u svezi uspješne uknjižbe nekretnina ili drugih stvarnih prava u vlasništvu RH </w:t>
      </w:r>
    </w:p>
    <w:p w:rsidR="00D849AA" w:rsidRDefault="00EE6D95">
      <w:pPr>
        <w:pStyle w:val="Normal5"/>
      </w:pPr>
      <w:r>
        <w:t xml:space="preserve">13. Zaključak Vlade Republike Hrvatske od 21.05.08. o prihvaćanju i provedbi Nacionalnog programa uspostave  Sustava za identifikaciju zemljišnih čestica (LPIS) u Republici Hrvatskoj </w:t>
      </w:r>
    </w:p>
    <w:p w:rsidR="00D849AA" w:rsidRDefault="00EE6D95">
      <w:pPr>
        <w:pStyle w:val="Normal5"/>
      </w:pPr>
      <w:r>
        <w:t xml:space="preserve">14. Zakon o pomorskom dobru i morskim lukama (NN 173/03)  </w:t>
      </w:r>
    </w:p>
    <w:p w:rsidR="00D849AA" w:rsidRDefault="00EE6D95">
      <w:pPr>
        <w:pStyle w:val="Normal5"/>
      </w:pPr>
      <w:r>
        <w:t xml:space="preserve">15. Zakon o prostronom uređenju i gradnji (NN 76/07)  </w:t>
      </w:r>
    </w:p>
    <w:p w:rsidR="00D849AA" w:rsidRDefault="00EE6D95">
      <w:pPr>
        <w:pStyle w:val="Normal5"/>
      </w:pPr>
      <w:r>
        <w:t xml:space="preserve">16. Zakon o nadzoru državne granice (NN 173/03)  </w:t>
      </w:r>
    </w:p>
    <w:p w:rsidR="00D849AA" w:rsidRDefault="00EE6D95">
      <w:pPr>
        <w:pStyle w:val="Normal5"/>
      </w:pPr>
      <w:r>
        <w:t xml:space="preserve">17. Odluka o utvrđivanju službenih geodetskih datuma i ravninskih kartografskih projekcija RH (NN 110/04, 117/04)  </w:t>
      </w:r>
    </w:p>
    <w:p w:rsidR="00D849AA" w:rsidRDefault="00EE6D95">
      <w:pPr>
        <w:pStyle w:val="Normal5"/>
      </w:pPr>
      <w:r>
        <w:t xml:space="preserve">18. Zakon o zemljišnim knjigama (NN 92/96)  </w:t>
      </w:r>
    </w:p>
    <w:p w:rsidR="00D849AA" w:rsidRDefault="00EE6D95">
      <w:pPr>
        <w:pStyle w:val="Normal5"/>
      </w:pPr>
      <w:r>
        <w:t xml:space="preserve">19. Zakon o poljoprivrednom zemljištu (NN 66/01)  </w:t>
      </w:r>
    </w:p>
    <w:p w:rsidR="00D849AA" w:rsidRDefault="00EE6D95">
      <w:pPr>
        <w:pStyle w:val="Normal5"/>
      </w:pPr>
      <w:r>
        <w:t xml:space="preserve">20. Zajam o implementaciji integriranog sustava zemljišne administracije (IBRD ZAJAM BR. 8086-HR)  </w:t>
      </w:r>
    </w:p>
    <w:p w:rsidR="00D849AA" w:rsidRDefault="00EE6D95">
      <w:pPr>
        <w:pStyle w:val="Normal5"/>
      </w:pPr>
      <w:r>
        <w:t>21. Zakon o postupanju s nezakonito izgrađenim zgradama (NN 90/2011, NN 86/2012)</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Cilj 1. Povećati usklađenosti katastarskih i prostornih podataka sa stanjem u prostoru</w:t>
      </w:r>
    </w:p>
    <w:p w:rsidR="00D849AA" w:rsidRDefault="00EE6D95">
      <w:pPr>
        <w:pStyle w:val="Normal6"/>
      </w:pPr>
      <w:r>
        <w:t xml:space="preserve">Povećanje usklađenosti katastarskih i prostornih podataka u službenim registrima sa stanjem na terenu i osiguranje servisa svim korisnicima omogućuje učinkovitije korištenje podataka o kojima skrbi Državna geodetska uprava sa svojim Područnim uredima i Ispostavama te fizičkim i pravnim osobama koje su ovlaštene za poslove državne izmjere i katastra nekretnina, uz ažurno usklađivanje sa pozitivnim zakonskim propisima su u funkciji učinkovite zaštite prirode i okoliša te upravljanja prostorom. </w:t>
      </w:r>
    </w:p>
    <w:p w:rsidR="00D849AA" w:rsidRDefault="00EE6D95">
      <w:pPr>
        <w:pStyle w:val="Normal6"/>
      </w:pPr>
      <w:r>
        <w:lastRenderedPageBreak/>
        <w:t xml:space="preserve"> </w:t>
      </w:r>
    </w:p>
    <w:p w:rsidR="00D849AA" w:rsidRDefault="00EE6D95">
      <w:pPr>
        <w:pStyle w:val="Normal6"/>
      </w:pPr>
      <w:r>
        <w:t xml:space="preserve">Načini ostvarenja postavljenog cilja:  </w:t>
      </w:r>
    </w:p>
    <w:p w:rsidR="00D849AA" w:rsidRDefault="00EE6D95">
      <w:pPr>
        <w:pStyle w:val="Normal6"/>
      </w:pPr>
      <w:r>
        <w:t xml:space="preserve">- nadogradnja jedinstvenog jedinstvenog elektroničkog servisa svim korisnicima  </w:t>
      </w:r>
    </w:p>
    <w:p w:rsidR="00D849AA" w:rsidRDefault="00EE6D95">
      <w:pPr>
        <w:pStyle w:val="Normal6"/>
      </w:pPr>
      <w:r>
        <w:t xml:space="preserve">- sustavna obnova katastra i (ZK) kroz katastarske izmjere i tehničke reambulacije K.O.  </w:t>
      </w:r>
    </w:p>
    <w:p w:rsidR="00D849AA" w:rsidRDefault="00EE6D95">
      <w:pPr>
        <w:pStyle w:val="Normal6"/>
      </w:pPr>
      <w:r>
        <w:t>- redovito provođenje promjena u katastarskom operatu i drugim registrima koji se vode u katastarskim uredima.</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Pr="00D61DA2" w:rsidRDefault="00EE6D95">
            <w:pPr>
              <w:pStyle w:val="CellColumn"/>
            </w:pPr>
            <w:r w:rsidRPr="00D61DA2">
              <w:t>Povećanjem nadogradnje jedinstvenog elektroničkog servisa utjecati će se na smanjenje broja stranaka</w:t>
            </w:r>
          </w:p>
        </w:tc>
        <w:tc>
          <w:tcPr>
            <w:tcW w:w="1114" w:type="dxa"/>
          </w:tcPr>
          <w:p w:rsidR="00D849AA" w:rsidRPr="00D61DA2" w:rsidRDefault="00EE6D95">
            <w:pPr>
              <w:rPr>
                <w:rFonts w:ascii="Arial" w:hAnsi="Arial" w:cs="Arial"/>
              </w:rPr>
            </w:pPr>
            <w:r w:rsidRPr="00D61DA2">
              <w:rPr>
                <w:rFonts w:ascii="Arial" w:hAnsi="Arial" w:cs="Arial"/>
              </w:rPr>
              <w:t>%</w:t>
            </w:r>
          </w:p>
        </w:tc>
        <w:tc>
          <w:tcPr>
            <w:tcW w:w="1114" w:type="dxa"/>
          </w:tcPr>
          <w:p w:rsidR="00D849AA" w:rsidRPr="00D61DA2" w:rsidRDefault="00EE6D95">
            <w:pPr>
              <w:rPr>
                <w:rFonts w:ascii="Arial" w:hAnsi="Arial" w:cs="Arial"/>
              </w:rPr>
            </w:pPr>
            <w:r w:rsidRPr="00D61DA2">
              <w:rPr>
                <w:rFonts w:ascii="Arial" w:hAnsi="Arial" w:cs="Arial"/>
              </w:rPr>
              <w:t>70</w:t>
            </w:r>
          </w:p>
        </w:tc>
        <w:tc>
          <w:tcPr>
            <w:tcW w:w="1486" w:type="dxa"/>
          </w:tcPr>
          <w:p w:rsidR="00D849AA" w:rsidRPr="00D61DA2" w:rsidRDefault="00EE6D95">
            <w:pPr>
              <w:rPr>
                <w:rFonts w:ascii="Arial" w:hAnsi="Arial" w:cs="Arial"/>
              </w:rPr>
            </w:pPr>
            <w:r w:rsidRPr="00D61DA2">
              <w:rPr>
                <w:rFonts w:ascii="Arial" w:hAnsi="Arial" w:cs="Arial"/>
              </w:rPr>
              <w:t>90</w:t>
            </w:r>
          </w:p>
        </w:tc>
        <w:tc>
          <w:tcPr>
            <w:tcW w:w="1486" w:type="dxa"/>
          </w:tcPr>
          <w:p w:rsidR="00D849AA" w:rsidRPr="00D61DA2" w:rsidRDefault="00EE6D95">
            <w:pPr>
              <w:rPr>
                <w:rFonts w:ascii="Arial" w:hAnsi="Arial" w:cs="Arial"/>
              </w:rPr>
            </w:pPr>
            <w:r w:rsidRPr="00D61DA2">
              <w:rPr>
                <w:rFonts w:ascii="Arial" w:hAnsi="Arial" w:cs="Arial"/>
              </w:rPr>
              <w:t>95</w:t>
            </w:r>
          </w:p>
        </w:tc>
        <w:tc>
          <w:tcPr>
            <w:tcW w:w="1486" w:type="dxa"/>
          </w:tcPr>
          <w:p w:rsidR="00D849AA" w:rsidRPr="00D61DA2" w:rsidRDefault="00EE6D95">
            <w:pPr>
              <w:rPr>
                <w:rFonts w:ascii="Arial" w:hAnsi="Arial" w:cs="Arial"/>
              </w:rPr>
            </w:pPr>
            <w:r w:rsidRPr="00D61DA2">
              <w:rPr>
                <w:rFonts w:ascii="Arial" w:hAnsi="Arial" w:cs="Arial"/>
              </w:rPr>
              <w:t>97</w:t>
            </w:r>
          </w:p>
        </w:tc>
      </w:tr>
      <w:tr w:rsidR="00D849AA">
        <w:trPr>
          <w:jc w:val="center"/>
        </w:trPr>
        <w:tc>
          <w:tcPr>
            <w:tcW w:w="2229" w:type="dxa"/>
          </w:tcPr>
          <w:p w:rsidR="00D849AA" w:rsidRPr="00D61DA2" w:rsidRDefault="00EE6D95">
            <w:pPr>
              <w:pStyle w:val="CellColumn"/>
            </w:pPr>
            <w:r w:rsidRPr="00D61DA2">
              <w:t>Povećanje broja dovršenih obnova K.O.</w:t>
            </w:r>
          </w:p>
        </w:tc>
        <w:tc>
          <w:tcPr>
            <w:tcW w:w="1114" w:type="dxa"/>
          </w:tcPr>
          <w:p w:rsidR="00D849AA" w:rsidRPr="00D61DA2" w:rsidRDefault="00EE6D95">
            <w:pPr>
              <w:rPr>
                <w:rFonts w:ascii="Arial" w:hAnsi="Arial" w:cs="Arial"/>
              </w:rPr>
            </w:pPr>
            <w:r w:rsidRPr="00D61DA2">
              <w:rPr>
                <w:rFonts w:ascii="Arial" w:hAnsi="Arial" w:cs="Arial"/>
              </w:rPr>
              <w:t>broj</w:t>
            </w:r>
          </w:p>
        </w:tc>
        <w:tc>
          <w:tcPr>
            <w:tcW w:w="1114" w:type="dxa"/>
          </w:tcPr>
          <w:p w:rsidR="00D849AA" w:rsidRPr="00D61DA2" w:rsidRDefault="00EE6D95">
            <w:pPr>
              <w:rPr>
                <w:rFonts w:ascii="Arial" w:hAnsi="Arial" w:cs="Arial"/>
              </w:rPr>
            </w:pPr>
            <w:r w:rsidRPr="00D61DA2">
              <w:rPr>
                <w:rFonts w:ascii="Arial" w:hAnsi="Arial" w:cs="Arial"/>
              </w:rPr>
              <w:t>180</w:t>
            </w:r>
          </w:p>
        </w:tc>
        <w:tc>
          <w:tcPr>
            <w:tcW w:w="1486" w:type="dxa"/>
          </w:tcPr>
          <w:p w:rsidR="00D849AA" w:rsidRPr="00D61DA2" w:rsidRDefault="00EE6D95">
            <w:pPr>
              <w:rPr>
                <w:rFonts w:ascii="Arial" w:hAnsi="Arial" w:cs="Arial"/>
              </w:rPr>
            </w:pPr>
            <w:r w:rsidRPr="00D61DA2">
              <w:rPr>
                <w:rFonts w:ascii="Arial" w:hAnsi="Arial" w:cs="Arial"/>
              </w:rPr>
              <w:t>210</w:t>
            </w:r>
          </w:p>
        </w:tc>
        <w:tc>
          <w:tcPr>
            <w:tcW w:w="1486" w:type="dxa"/>
          </w:tcPr>
          <w:p w:rsidR="00D849AA" w:rsidRPr="00D61DA2" w:rsidRDefault="00EE6D95">
            <w:pPr>
              <w:rPr>
                <w:rFonts w:ascii="Arial" w:hAnsi="Arial" w:cs="Arial"/>
              </w:rPr>
            </w:pPr>
            <w:r w:rsidRPr="00D61DA2">
              <w:rPr>
                <w:rFonts w:ascii="Arial" w:hAnsi="Arial" w:cs="Arial"/>
              </w:rPr>
              <w:t>240</w:t>
            </w:r>
          </w:p>
        </w:tc>
        <w:tc>
          <w:tcPr>
            <w:tcW w:w="1486" w:type="dxa"/>
          </w:tcPr>
          <w:p w:rsidR="00D849AA" w:rsidRPr="00D61DA2" w:rsidRDefault="00EE6D95">
            <w:pPr>
              <w:rPr>
                <w:rFonts w:ascii="Arial" w:hAnsi="Arial" w:cs="Arial"/>
              </w:rPr>
            </w:pPr>
            <w:r w:rsidRPr="00D61DA2">
              <w:rPr>
                <w:rFonts w:ascii="Arial" w:hAnsi="Arial" w:cs="Arial"/>
              </w:rPr>
              <w:t>270</w:t>
            </w:r>
          </w:p>
        </w:tc>
      </w:tr>
      <w:tr w:rsidR="00D849AA">
        <w:trPr>
          <w:jc w:val="center"/>
        </w:trPr>
        <w:tc>
          <w:tcPr>
            <w:tcW w:w="2229" w:type="dxa"/>
          </w:tcPr>
          <w:p w:rsidR="00D849AA" w:rsidRPr="00D61DA2" w:rsidRDefault="00EE6D95">
            <w:pPr>
              <w:pStyle w:val="CellColumn"/>
            </w:pPr>
            <w:r w:rsidRPr="00D61DA2">
              <w:t>Povećanje efikasnosti u provođenju promjena</w:t>
            </w:r>
          </w:p>
        </w:tc>
        <w:tc>
          <w:tcPr>
            <w:tcW w:w="1114" w:type="dxa"/>
          </w:tcPr>
          <w:p w:rsidR="00D849AA" w:rsidRPr="00D61DA2" w:rsidRDefault="00EE6D95">
            <w:pPr>
              <w:rPr>
                <w:rFonts w:ascii="Arial" w:hAnsi="Arial" w:cs="Arial"/>
              </w:rPr>
            </w:pPr>
            <w:r w:rsidRPr="00D61DA2">
              <w:rPr>
                <w:rFonts w:ascii="Arial" w:hAnsi="Arial" w:cs="Arial"/>
              </w:rPr>
              <w:t>%</w:t>
            </w:r>
          </w:p>
        </w:tc>
        <w:tc>
          <w:tcPr>
            <w:tcW w:w="1114" w:type="dxa"/>
          </w:tcPr>
          <w:p w:rsidR="00D849AA" w:rsidRPr="00D61DA2" w:rsidRDefault="00EE6D95">
            <w:pPr>
              <w:rPr>
                <w:rFonts w:ascii="Arial" w:hAnsi="Arial" w:cs="Arial"/>
              </w:rPr>
            </w:pPr>
            <w:r w:rsidRPr="00D61DA2">
              <w:rPr>
                <w:rFonts w:ascii="Arial" w:hAnsi="Arial" w:cs="Arial"/>
              </w:rPr>
              <w:t>96</w:t>
            </w:r>
          </w:p>
        </w:tc>
        <w:tc>
          <w:tcPr>
            <w:tcW w:w="1486" w:type="dxa"/>
          </w:tcPr>
          <w:p w:rsidR="00D849AA" w:rsidRPr="00D61DA2" w:rsidRDefault="00EE6D95">
            <w:pPr>
              <w:rPr>
                <w:rFonts w:ascii="Arial" w:hAnsi="Arial" w:cs="Arial"/>
              </w:rPr>
            </w:pPr>
            <w:r w:rsidRPr="00D61DA2">
              <w:rPr>
                <w:rFonts w:ascii="Arial" w:hAnsi="Arial" w:cs="Arial"/>
              </w:rPr>
              <w:t>97</w:t>
            </w:r>
          </w:p>
        </w:tc>
        <w:tc>
          <w:tcPr>
            <w:tcW w:w="1486" w:type="dxa"/>
          </w:tcPr>
          <w:p w:rsidR="00D849AA" w:rsidRPr="00D61DA2" w:rsidRDefault="00EE6D95">
            <w:pPr>
              <w:rPr>
                <w:rFonts w:ascii="Arial" w:hAnsi="Arial" w:cs="Arial"/>
              </w:rPr>
            </w:pPr>
            <w:r w:rsidRPr="00D61DA2">
              <w:rPr>
                <w:rFonts w:ascii="Arial" w:hAnsi="Arial" w:cs="Arial"/>
              </w:rPr>
              <w:t>98</w:t>
            </w:r>
          </w:p>
        </w:tc>
        <w:tc>
          <w:tcPr>
            <w:tcW w:w="1486" w:type="dxa"/>
          </w:tcPr>
          <w:p w:rsidR="00D849AA" w:rsidRPr="00D61DA2" w:rsidRDefault="00EE6D95">
            <w:pPr>
              <w:rPr>
                <w:rFonts w:ascii="Arial" w:hAnsi="Arial" w:cs="Arial"/>
              </w:rPr>
            </w:pPr>
            <w:r w:rsidRPr="00D61DA2">
              <w:rPr>
                <w:rFonts w:ascii="Arial" w:hAnsi="Arial" w:cs="Arial"/>
              </w:rPr>
              <w:t>99</w:t>
            </w:r>
          </w:p>
        </w:tc>
      </w:tr>
    </w:tbl>
    <w:p w:rsidR="00D849AA" w:rsidRDefault="00D849AA">
      <w:pPr>
        <w:jc w:val="left"/>
      </w:pPr>
    </w:p>
    <w:p w:rsidR="00D849AA" w:rsidRDefault="00EE6D95">
      <w:pPr>
        <w:pStyle w:val="Naslov7"/>
      </w:pPr>
      <w:r>
        <w:t>Cilj 2. Povećati ažurnost prostornih podataka</w:t>
      </w:r>
    </w:p>
    <w:p w:rsidR="00D849AA" w:rsidRDefault="00EE6D95">
      <w:pPr>
        <w:pStyle w:val="Normal6"/>
      </w:pPr>
      <w:r>
        <w:t xml:space="preserve">Ažurirani podaci državne izmjere i službenih državnih prostornih podloga u funkciji su učinkovite zaštite prirode i okoliša te upravljanja prostorom. Ažurni katastarski podaci i prostorni podaci su osnovna pretpostavka za efikasan gospodarski razvoj, kvalitetno i učinkovito funkcioniranje tržišta nekretnina i provedbu kapitalnih i infrastrukturnih projekata države. Ažuran katastar u zajednici sa zemljišnim knjigama doprinosi uspostavi pravne države i vladavini prava. </w:t>
      </w:r>
    </w:p>
    <w:p w:rsidR="00D849AA" w:rsidRDefault="00EE6D95">
      <w:pPr>
        <w:pStyle w:val="Normal6"/>
      </w:pPr>
      <w:r>
        <w:t xml:space="preserve">Načini ostvarenja postavljenog cilja: </w:t>
      </w:r>
    </w:p>
    <w:p w:rsidR="00D849AA" w:rsidRDefault="00EE6D95">
      <w:pPr>
        <w:pStyle w:val="Normal6"/>
      </w:pPr>
      <w:r>
        <w:t xml:space="preserve">- izgradnja prve faze integriranog sustava zemljišne administracije (ZIS)  </w:t>
      </w:r>
    </w:p>
    <w:p w:rsidR="00D849AA" w:rsidRDefault="00EE6D95">
      <w:pPr>
        <w:pStyle w:val="Normal6"/>
      </w:pPr>
      <w:r>
        <w:t xml:space="preserve">- razvoj i uspostava druge faze integriranog sustava zemljišne administracije  </w:t>
      </w:r>
    </w:p>
    <w:p w:rsidR="00D849AA" w:rsidRDefault="00EE6D95">
      <w:pPr>
        <w:pStyle w:val="Normal6"/>
      </w:pPr>
      <w:r>
        <w:t xml:space="preserve">- edukacija djelatnika  </w:t>
      </w:r>
    </w:p>
    <w:p w:rsidR="00D849AA" w:rsidRDefault="00EE6D95">
      <w:pPr>
        <w:pStyle w:val="Normal6"/>
      </w:pPr>
      <w:r>
        <w:t xml:space="preserve">- modernizacija SRPJ  </w:t>
      </w:r>
    </w:p>
    <w:p w:rsidR="00D849AA" w:rsidRDefault="00EE6D95">
      <w:pPr>
        <w:pStyle w:val="Normal6"/>
      </w:pPr>
      <w:r>
        <w:t xml:space="preserve">- obnova i dovršenje osnovnih geodetskih mreža (visinske, gravimetrijske i magnetometrijske)  </w:t>
      </w:r>
    </w:p>
    <w:p w:rsidR="00D849AA" w:rsidRDefault="00EE6D95">
      <w:pPr>
        <w:pStyle w:val="Normal6"/>
      </w:pPr>
      <w:r>
        <w:t>- održavanje operabilnosti CROPOS</w:t>
      </w:r>
      <w:r w:rsidR="00807829">
        <w:t>.</w:t>
      </w:r>
    </w:p>
    <w:p w:rsidR="00807829" w:rsidRDefault="00807829">
      <w:pPr>
        <w:pStyle w:val="Normal6"/>
      </w:pPr>
    </w:p>
    <w:p w:rsidR="00D61DA2" w:rsidRDefault="00D61DA2">
      <w:pPr>
        <w:pStyle w:val="Normal6"/>
      </w:pPr>
    </w:p>
    <w:p w:rsidR="00807829" w:rsidRDefault="00807829">
      <w:pPr>
        <w:pStyle w:val="Normal6"/>
      </w:pPr>
    </w:p>
    <w:p w:rsidR="00D849AA" w:rsidRDefault="00EE6D95">
      <w:pPr>
        <w:pStyle w:val="Naslov8"/>
        <w:jc w:val="left"/>
      </w:pPr>
      <w:r>
        <w:lastRenderedPageBreak/>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Pr="00D61DA2" w:rsidRDefault="00EE6D95">
            <w:pPr>
              <w:pStyle w:val="CellColumn"/>
            </w:pPr>
            <w:r w:rsidRPr="00D61DA2">
              <w:t>Izgrađena, integrirana i testirana prva faza</w:t>
            </w:r>
          </w:p>
        </w:tc>
        <w:tc>
          <w:tcPr>
            <w:tcW w:w="1114" w:type="dxa"/>
          </w:tcPr>
          <w:p w:rsidR="00D849AA" w:rsidRPr="00D61DA2" w:rsidRDefault="00EE6D95">
            <w:pPr>
              <w:rPr>
                <w:rFonts w:ascii="Arial" w:hAnsi="Arial" w:cs="Arial"/>
              </w:rPr>
            </w:pPr>
            <w:r w:rsidRPr="00D61DA2">
              <w:rPr>
                <w:rFonts w:ascii="Arial" w:hAnsi="Arial" w:cs="Arial"/>
              </w:rPr>
              <w:t>%</w:t>
            </w:r>
          </w:p>
        </w:tc>
        <w:tc>
          <w:tcPr>
            <w:tcW w:w="1114" w:type="dxa"/>
          </w:tcPr>
          <w:p w:rsidR="00D849AA" w:rsidRPr="00D61DA2" w:rsidRDefault="00EE6D95">
            <w:pPr>
              <w:rPr>
                <w:rFonts w:ascii="Arial" w:hAnsi="Arial" w:cs="Arial"/>
              </w:rPr>
            </w:pPr>
            <w:r w:rsidRPr="00D61DA2">
              <w:rPr>
                <w:rFonts w:ascii="Arial" w:hAnsi="Arial" w:cs="Arial"/>
              </w:rPr>
              <w:t>100</w:t>
            </w:r>
          </w:p>
        </w:tc>
        <w:tc>
          <w:tcPr>
            <w:tcW w:w="1486" w:type="dxa"/>
          </w:tcPr>
          <w:p w:rsidR="00D849AA" w:rsidRPr="00D61DA2" w:rsidRDefault="00EE6D95">
            <w:pPr>
              <w:rPr>
                <w:rFonts w:ascii="Arial" w:hAnsi="Arial" w:cs="Arial"/>
              </w:rPr>
            </w:pPr>
            <w:r w:rsidRPr="00D61DA2">
              <w:rPr>
                <w:rFonts w:ascii="Arial" w:hAnsi="Arial" w:cs="Arial"/>
              </w:rPr>
              <w:t>100</w:t>
            </w:r>
          </w:p>
        </w:tc>
        <w:tc>
          <w:tcPr>
            <w:tcW w:w="1486" w:type="dxa"/>
          </w:tcPr>
          <w:p w:rsidR="00D849AA" w:rsidRPr="00D61DA2" w:rsidRDefault="00EE6D95">
            <w:pPr>
              <w:rPr>
                <w:rFonts w:ascii="Arial" w:hAnsi="Arial" w:cs="Arial"/>
              </w:rPr>
            </w:pPr>
            <w:r w:rsidRPr="00D61DA2">
              <w:rPr>
                <w:rFonts w:ascii="Arial" w:hAnsi="Arial" w:cs="Arial"/>
              </w:rPr>
              <w:t>100</w:t>
            </w:r>
          </w:p>
        </w:tc>
        <w:tc>
          <w:tcPr>
            <w:tcW w:w="1486" w:type="dxa"/>
          </w:tcPr>
          <w:p w:rsidR="00D849AA" w:rsidRPr="00D61DA2" w:rsidRDefault="00EE6D95">
            <w:pPr>
              <w:rPr>
                <w:rFonts w:ascii="Arial" w:hAnsi="Arial" w:cs="Arial"/>
              </w:rPr>
            </w:pPr>
            <w:r w:rsidRPr="00D61DA2">
              <w:rPr>
                <w:rFonts w:ascii="Arial" w:hAnsi="Arial" w:cs="Arial"/>
              </w:rPr>
              <w:t>100</w:t>
            </w:r>
          </w:p>
        </w:tc>
      </w:tr>
      <w:tr w:rsidR="00D849AA">
        <w:trPr>
          <w:jc w:val="center"/>
        </w:trPr>
        <w:tc>
          <w:tcPr>
            <w:tcW w:w="2229" w:type="dxa"/>
          </w:tcPr>
          <w:p w:rsidR="00D849AA" w:rsidRPr="00D61DA2" w:rsidRDefault="00EE6D95">
            <w:pPr>
              <w:pStyle w:val="CellColumn"/>
            </w:pPr>
            <w:r w:rsidRPr="00D61DA2">
              <w:t>Povećanje broja lokacija na kojima je implementiran sustav</w:t>
            </w:r>
          </w:p>
        </w:tc>
        <w:tc>
          <w:tcPr>
            <w:tcW w:w="1114" w:type="dxa"/>
          </w:tcPr>
          <w:p w:rsidR="00D849AA" w:rsidRPr="00D61DA2" w:rsidRDefault="00EE6D95">
            <w:pPr>
              <w:rPr>
                <w:rFonts w:ascii="Arial" w:hAnsi="Arial" w:cs="Arial"/>
              </w:rPr>
            </w:pPr>
            <w:r w:rsidRPr="00D61DA2">
              <w:rPr>
                <w:rFonts w:ascii="Arial" w:hAnsi="Arial" w:cs="Arial"/>
              </w:rPr>
              <w:t>Broj lokacija</w:t>
            </w:r>
          </w:p>
        </w:tc>
        <w:tc>
          <w:tcPr>
            <w:tcW w:w="1114" w:type="dxa"/>
          </w:tcPr>
          <w:p w:rsidR="00D849AA" w:rsidRPr="00D61DA2" w:rsidRDefault="00EE6D95">
            <w:pPr>
              <w:rPr>
                <w:rFonts w:ascii="Arial" w:hAnsi="Arial" w:cs="Arial"/>
              </w:rPr>
            </w:pPr>
            <w:r w:rsidRPr="00D61DA2">
              <w:rPr>
                <w:rFonts w:ascii="Arial" w:hAnsi="Arial" w:cs="Arial"/>
              </w:rPr>
              <w:t>35</w:t>
            </w:r>
          </w:p>
        </w:tc>
        <w:tc>
          <w:tcPr>
            <w:tcW w:w="1486" w:type="dxa"/>
          </w:tcPr>
          <w:p w:rsidR="00D849AA" w:rsidRPr="00D61DA2" w:rsidRDefault="00EE6D95">
            <w:pPr>
              <w:rPr>
                <w:rFonts w:ascii="Arial" w:hAnsi="Arial" w:cs="Arial"/>
              </w:rPr>
            </w:pPr>
            <w:r w:rsidRPr="00D61DA2">
              <w:rPr>
                <w:rFonts w:ascii="Arial" w:hAnsi="Arial" w:cs="Arial"/>
              </w:rPr>
              <w:t>55</w:t>
            </w:r>
          </w:p>
        </w:tc>
        <w:tc>
          <w:tcPr>
            <w:tcW w:w="1486" w:type="dxa"/>
          </w:tcPr>
          <w:p w:rsidR="00D849AA" w:rsidRPr="00D61DA2" w:rsidRDefault="00EE6D95">
            <w:pPr>
              <w:rPr>
                <w:rFonts w:ascii="Arial" w:hAnsi="Arial" w:cs="Arial"/>
              </w:rPr>
            </w:pPr>
            <w:r w:rsidRPr="00D61DA2">
              <w:rPr>
                <w:rFonts w:ascii="Arial" w:hAnsi="Arial" w:cs="Arial"/>
              </w:rPr>
              <w:t>80</w:t>
            </w:r>
          </w:p>
        </w:tc>
        <w:tc>
          <w:tcPr>
            <w:tcW w:w="1486" w:type="dxa"/>
          </w:tcPr>
          <w:p w:rsidR="00D849AA" w:rsidRPr="00D61DA2" w:rsidRDefault="00EE6D95">
            <w:pPr>
              <w:rPr>
                <w:rFonts w:ascii="Arial" w:hAnsi="Arial" w:cs="Arial"/>
              </w:rPr>
            </w:pPr>
            <w:r w:rsidRPr="00D61DA2">
              <w:rPr>
                <w:rFonts w:ascii="Arial" w:hAnsi="Arial" w:cs="Arial"/>
              </w:rPr>
              <w:t>110</w:t>
            </w:r>
          </w:p>
        </w:tc>
      </w:tr>
      <w:tr w:rsidR="00D849AA">
        <w:trPr>
          <w:jc w:val="center"/>
        </w:trPr>
        <w:tc>
          <w:tcPr>
            <w:tcW w:w="2229" w:type="dxa"/>
          </w:tcPr>
          <w:p w:rsidR="00D849AA" w:rsidRPr="00D61DA2" w:rsidRDefault="00EE6D95">
            <w:pPr>
              <w:pStyle w:val="CellColumn"/>
            </w:pPr>
            <w:r w:rsidRPr="00D61DA2">
              <w:t>Povećanje postotka educiranih djelatnika</w:t>
            </w:r>
          </w:p>
        </w:tc>
        <w:tc>
          <w:tcPr>
            <w:tcW w:w="1114" w:type="dxa"/>
          </w:tcPr>
          <w:p w:rsidR="00D849AA" w:rsidRPr="00D61DA2" w:rsidRDefault="00EE6D95">
            <w:pPr>
              <w:rPr>
                <w:rFonts w:ascii="Arial" w:hAnsi="Arial" w:cs="Arial"/>
              </w:rPr>
            </w:pPr>
            <w:r w:rsidRPr="00D61DA2">
              <w:rPr>
                <w:rFonts w:ascii="Arial" w:hAnsi="Arial" w:cs="Arial"/>
              </w:rPr>
              <w:t>%</w:t>
            </w:r>
          </w:p>
        </w:tc>
        <w:tc>
          <w:tcPr>
            <w:tcW w:w="1114" w:type="dxa"/>
          </w:tcPr>
          <w:p w:rsidR="00D849AA" w:rsidRPr="00D61DA2" w:rsidRDefault="00EE6D95">
            <w:pPr>
              <w:rPr>
                <w:rFonts w:ascii="Arial" w:hAnsi="Arial" w:cs="Arial"/>
              </w:rPr>
            </w:pPr>
            <w:r w:rsidRPr="00D61DA2">
              <w:rPr>
                <w:rFonts w:ascii="Arial" w:hAnsi="Arial" w:cs="Arial"/>
              </w:rPr>
              <w:t>35</w:t>
            </w:r>
          </w:p>
        </w:tc>
        <w:tc>
          <w:tcPr>
            <w:tcW w:w="1486" w:type="dxa"/>
          </w:tcPr>
          <w:p w:rsidR="00D849AA" w:rsidRPr="00D61DA2" w:rsidRDefault="00EE6D95">
            <w:pPr>
              <w:rPr>
                <w:rFonts w:ascii="Arial" w:hAnsi="Arial" w:cs="Arial"/>
              </w:rPr>
            </w:pPr>
            <w:r w:rsidRPr="00D61DA2">
              <w:rPr>
                <w:rFonts w:ascii="Arial" w:hAnsi="Arial" w:cs="Arial"/>
              </w:rPr>
              <w:t>50</w:t>
            </w:r>
          </w:p>
        </w:tc>
        <w:tc>
          <w:tcPr>
            <w:tcW w:w="1486" w:type="dxa"/>
          </w:tcPr>
          <w:p w:rsidR="00D849AA" w:rsidRPr="00D61DA2" w:rsidRDefault="00EE6D95">
            <w:pPr>
              <w:rPr>
                <w:rFonts w:ascii="Arial" w:hAnsi="Arial" w:cs="Arial"/>
              </w:rPr>
            </w:pPr>
            <w:r w:rsidRPr="00D61DA2">
              <w:rPr>
                <w:rFonts w:ascii="Arial" w:hAnsi="Arial" w:cs="Arial"/>
              </w:rPr>
              <w:t>80</w:t>
            </w:r>
          </w:p>
        </w:tc>
        <w:tc>
          <w:tcPr>
            <w:tcW w:w="1486" w:type="dxa"/>
          </w:tcPr>
          <w:p w:rsidR="00D849AA" w:rsidRPr="00D61DA2" w:rsidRDefault="00EE6D95">
            <w:pPr>
              <w:rPr>
                <w:rFonts w:ascii="Arial" w:hAnsi="Arial" w:cs="Arial"/>
              </w:rPr>
            </w:pPr>
            <w:r w:rsidRPr="00D61DA2">
              <w:rPr>
                <w:rFonts w:ascii="Arial" w:hAnsi="Arial" w:cs="Arial"/>
              </w:rPr>
              <w:t>100</w:t>
            </w:r>
          </w:p>
        </w:tc>
      </w:tr>
      <w:tr w:rsidR="00D849AA">
        <w:trPr>
          <w:jc w:val="center"/>
        </w:trPr>
        <w:tc>
          <w:tcPr>
            <w:tcW w:w="2229" w:type="dxa"/>
          </w:tcPr>
          <w:p w:rsidR="00D849AA" w:rsidRPr="00D61DA2" w:rsidRDefault="00EE6D95">
            <w:pPr>
              <w:pStyle w:val="CellColumn"/>
            </w:pPr>
            <w:r w:rsidRPr="00D61DA2">
              <w:t>Povećanje broja lokacija sa uspostavljenim PRPJ</w:t>
            </w:r>
          </w:p>
        </w:tc>
        <w:tc>
          <w:tcPr>
            <w:tcW w:w="1114" w:type="dxa"/>
          </w:tcPr>
          <w:p w:rsidR="00D849AA" w:rsidRPr="00D61DA2" w:rsidRDefault="00EE6D95">
            <w:pPr>
              <w:rPr>
                <w:rFonts w:ascii="Arial" w:hAnsi="Arial" w:cs="Arial"/>
              </w:rPr>
            </w:pPr>
            <w:r w:rsidRPr="00D61DA2">
              <w:rPr>
                <w:rFonts w:ascii="Arial" w:hAnsi="Arial" w:cs="Arial"/>
              </w:rPr>
              <w:t>Broj lokacija</w:t>
            </w:r>
          </w:p>
        </w:tc>
        <w:tc>
          <w:tcPr>
            <w:tcW w:w="1114" w:type="dxa"/>
          </w:tcPr>
          <w:p w:rsidR="00D849AA" w:rsidRPr="00D61DA2" w:rsidRDefault="00EE6D95">
            <w:pPr>
              <w:rPr>
                <w:rFonts w:ascii="Arial" w:hAnsi="Arial" w:cs="Arial"/>
              </w:rPr>
            </w:pPr>
            <w:r w:rsidRPr="00D61DA2">
              <w:rPr>
                <w:rFonts w:ascii="Arial" w:hAnsi="Arial" w:cs="Arial"/>
              </w:rPr>
              <w:t>7</w:t>
            </w:r>
          </w:p>
        </w:tc>
        <w:tc>
          <w:tcPr>
            <w:tcW w:w="1486" w:type="dxa"/>
          </w:tcPr>
          <w:p w:rsidR="00D849AA" w:rsidRPr="00D61DA2" w:rsidRDefault="00EE6D95">
            <w:pPr>
              <w:rPr>
                <w:rFonts w:ascii="Arial" w:hAnsi="Arial" w:cs="Arial"/>
              </w:rPr>
            </w:pPr>
            <w:r w:rsidRPr="00D61DA2">
              <w:rPr>
                <w:rFonts w:ascii="Arial" w:hAnsi="Arial" w:cs="Arial"/>
              </w:rPr>
              <w:t>14</w:t>
            </w:r>
          </w:p>
        </w:tc>
        <w:tc>
          <w:tcPr>
            <w:tcW w:w="1486" w:type="dxa"/>
          </w:tcPr>
          <w:p w:rsidR="00D849AA" w:rsidRPr="00D61DA2" w:rsidRDefault="00EE6D95">
            <w:pPr>
              <w:rPr>
                <w:rFonts w:ascii="Arial" w:hAnsi="Arial" w:cs="Arial"/>
              </w:rPr>
            </w:pPr>
            <w:r w:rsidRPr="00D61DA2">
              <w:rPr>
                <w:rFonts w:ascii="Arial" w:hAnsi="Arial" w:cs="Arial"/>
              </w:rPr>
              <w:t>17</w:t>
            </w:r>
          </w:p>
        </w:tc>
        <w:tc>
          <w:tcPr>
            <w:tcW w:w="1486" w:type="dxa"/>
          </w:tcPr>
          <w:p w:rsidR="00D849AA" w:rsidRPr="00D61DA2" w:rsidRDefault="00EE6D95">
            <w:pPr>
              <w:rPr>
                <w:rFonts w:ascii="Arial" w:hAnsi="Arial" w:cs="Arial"/>
              </w:rPr>
            </w:pPr>
            <w:r w:rsidRPr="00D61DA2">
              <w:rPr>
                <w:rFonts w:ascii="Arial" w:hAnsi="Arial" w:cs="Arial"/>
              </w:rPr>
              <w:t>20</w:t>
            </w:r>
          </w:p>
        </w:tc>
      </w:tr>
      <w:tr w:rsidR="00D849AA">
        <w:trPr>
          <w:jc w:val="center"/>
        </w:trPr>
        <w:tc>
          <w:tcPr>
            <w:tcW w:w="2229" w:type="dxa"/>
          </w:tcPr>
          <w:p w:rsidR="00D849AA" w:rsidRPr="00D61DA2" w:rsidRDefault="00EE6D95">
            <w:pPr>
              <w:pStyle w:val="CellColumn"/>
            </w:pPr>
            <w:r w:rsidRPr="00D61DA2">
              <w:t>Povećanje broja obnovljenih trigonometara i reda</w:t>
            </w:r>
          </w:p>
        </w:tc>
        <w:tc>
          <w:tcPr>
            <w:tcW w:w="1114" w:type="dxa"/>
          </w:tcPr>
          <w:p w:rsidR="00D849AA" w:rsidRPr="00D61DA2" w:rsidRDefault="00EE6D95">
            <w:pPr>
              <w:rPr>
                <w:rFonts w:ascii="Arial" w:hAnsi="Arial" w:cs="Arial"/>
              </w:rPr>
            </w:pPr>
            <w:r w:rsidRPr="00D61DA2">
              <w:rPr>
                <w:rFonts w:ascii="Arial" w:hAnsi="Arial" w:cs="Arial"/>
              </w:rPr>
              <w:t>Broj</w:t>
            </w:r>
          </w:p>
        </w:tc>
        <w:tc>
          <w:tcPr>
            <w:tcW w:w="1114" w:type="dxa"/>
          </w:tcPr>
          <w:p w:rsidR="00D849AA" w:rsidRPr="00D61DA2" w:rsidRDefault="00EE6D95">
            <w:pPr>
              <w:rPr>
                <w:rFonts w:ascii="Arial" w:hAnsi="Arial" w:cs="Arial"/>
              </w:rPr>
            </w:pPr>
            <w:r w:rsidRPr="00D61DA2">
              <w:rPr>
                <w:rFonts w:ascii="Arial" w:hAnsi="Arial" w:cs="Arial"/>
              </w:rPr>
              <w:t>55</w:t>
            </w:r>
          </w:p>
        </w:tc>
        <w:tc>
          <w:tcPr>
            <w:tcW w:w="1486" w:type="dxa"/>
          </w:tcPr>
          <w:p w:rsidR="00D849AA" w:rsidRPr="00D61DA2" w:rsidRDefault="00EE6D95">
            <w:pPr>
              <w:rPr>
                <w:rFonts w:ascii="Arial" w:hAnsi="Arial" w:cs="Arial"/>
              </w:rPr>
            </w:pPr>
            <w:r w:rsidRPr="00D61DA2">
              <w:rPr>
                <w:rFonts w:ascii="Arial" w:hAnsi="Arial" w:cs="Arial"/>
              </w:rPr>
              <w:t>60</w:t>
            </w:r>
          </w:p>
        </w:tc>
        <w:tc>
          <w:tcPr>
            <w:tcW w:w="1486" w:type="dxa"/>
          </w:tcPr>
          <w:p w:rsidR="00D849AA" w:rsidRPr="00D61DA2" w:rsidRDefault="00EE6D95">
            <w:pPr>
              <w:rPr>
                <w:rFonts w:ascii="Arial" w:hAnsi="Arial" w:cs="Arial"/>
              </w:rPr>
            </w:pPr>
            <w:r w:rsidRPr="00D61DA2">
              <w:rPr>
                <w:rFonts w:ascii="Arial" w:hAnsi="Arial" w:cs="Arial"/>
              </w:rPr>
              <w:t>65</w:t>
            </w:r>
          </w:p>
        </w:tc>
        <w:tc>
          <w:tcPr>
            <w:tcW w:w="1486" w:type="dxa"/>
          </w:tcPr>
          <w:p w:rsidR="00D849AA" w:rsidRPr="00D61DA2" w:rsidRDefault="00EE6D95">
            <w:pPr>
              <w:rPr>
                <w:rFonts w:ascii="Arial" w:hAnsi="Arial" w:cs="Arial"/>
              </w:rPr>
            </w:pPr>
            <w:r w:rsidRPr="00D61DA2">
              <w:rPr>
                <w:rFonts w:ascii="Arial" w:hAnsi="Arial" w:cs="Arial"/>
              </w:rPr>
              <w:t>78</w:t>
            </w:r>
          </w:p>
        </w:tc>
      </w:tr>
      <w:tr w:rsidR="00D849AA">
        <w:trPr>
          <w:jc w:val="center"/>
        </w:trPr>
        <w:tc>
          <w:tcPr>
            <w:tcW w:w="2229" w:type="dxa"/>
          </w:tcPr>
          <w:p w:rsidR="00D849AA" w:rsidRPr="00D61DA2" w:rsidRDefault="00EE6D95">
            <w:pPr>
              <w:pStyle w:val="CellColumn"/>
            </w:pPr>
            <w:r w:rsidRPr="00D61DA2">
              <w:t>Povećanje postotka izvršenih magnetometrijskih izmjera</w:t>
            </w:r>
          </w:p>
        </w:tc>
        <w:tc>
          <w:tcPr>
            <w:tcW w:w="1114" w:type="dxa"/>
          </w:tcPr>
          <w:p w:rsidR="00D849AA" w:rsidRPr="00D61DA2" w:rsidRDefault="00EE6D95">
            <w:pPr>
              <w:rPr>
                <w:rFonts w:ascii="Arial" w:hAnsi="Arial" w:cs="Arial"/>
              </w:rPr>
            </w:pPr>
            <w:r w:rsidRPr="00D61DA2">
              <w:rPr>
                <w:rFonts w:ascii="Arial" w:hAnsi="Arial" w:cs="Arial"/>
              </w:rPr>
              <w:t>%</w:t>
            </w:r>
          </w:p>
        </w:tc>
        <w:tc>
          <w:tcPr>
            <w:tcW w:w="1114" w:type="dxa"/>
          </w:tcPr>
          <w:p w:rsidR="00D849AA" w:rsidRPr="00D61DA2" w:rsidRDefault="00EE6D95">
            <w:pPr>
              <w:rPr>
                <w:rFonts w:ascii="Arial" w:hAnsi="Arial" w:cs="Arial"/>
              </w:rPr>
            </w:pPr>
            <w:r w:rsidRPr="00D61DA2">
              <w:rPr>
                <w:rFonts w:ascii="Arial" w:hAnsi="Arial" w:cs="Arial"/>
              </w:rPr>
              <w:t>100</w:t>
            </w:r>
          </w:p>
        </w:tc>
        <w:tc>
          <w:tcPr>
            <w:tcW w:w="1486" w:type="dxa"/>
          </w:tcPr>
          <w:p w:rsidR="00D849AA" w:rsidRPr="00D61DA2" w:rsidRDefault="00EE6D95">
            <w:pPr>
              <w:rPr>
                <w:rFonts w:ascii="Arial" w:hAnsi="Arial" w:cs="Arial"/>
              </w:rPr>
            </w:pPr>
            <w:r w:rsidRPr="00D61DA2">
              <w:rPr>
                <w:rFonts w:ascii="Arial" w:hAnsi="Arial" w:cs="Arial"/>
              </w:rPr>
              <w:t>0</w:t>
            </w:r>
          </w:p>
        </w:tc>
        <w:tc>
          <w:tcPr>
            <w:tcW w:w="1486" w:type="dxa"/>
          </w:tcPr>
          <w:p w:rsidR="00D849AA" w:rsidRPr="00D61DA2" w:rsidRDefault="00EE6D95">
            <w:pPr>
              <w:rPr>
                <w:rFonts w:ascii="Arial" w:hAnsi="Arial" w:cs="Arial"/>
              </w:rPr>
            </w:pPr>
            <w:r w:rsidRPr="00D61DA2">
              <w:rPr>
                <w:rFonts w:ascii="Arial" w:hAnsi="Arial" w:cs="Arial"/>
              </w:rPr>
              <w:t>20</w:t>
            </w:r>
          </w:p>
        </w:tc>
        <w:tc>
          <w:tcPr>
            <w:tcW w:w="1486" w:type="dxa"/>
          </w:tcPr>
          <w:p w:rsidR="00D849AA" w:rsidRPr="00D61DA2" w:rsidRDefault="00EE6D95">
            <w:pPr>
              <w:rPr>
                <w:rFonts w:ascii="Arial" w:hAnsi="Arial" w:cs="Arial"/>
              </w:rPr>
            </w:pPr>
            <w:r w:rsidRPr="00D61DA2">
              <w:rPr>
                <w:rFonts w:ascii="Arial" w:hAnsi="Arial" w:cs="Arial"/>
              </w:rPr>
              <w:t>40</w:t>
            </w:r>
          </w:p>
        </w:tc>
      </w:tr>
      <w:tr w:rsidR="00D849AA">
        <w:trPr>
          <w:jc w:val="center"/>
        </w:trPr>
        <w:tc>
          <w:tcPr>
            <w:tcW w:w="2229" w:type="dxa"/>
          </w:tcPr>
          <w:p w:rsidR="00D849AA" w:rsidRPr="00D61DA2" w:rsidRDefault="00EE6D95">
            <w:pPr>
              <w:pStyle w:val="CellColumn"/>
            </w:pPr>
            <w:r w:rsidRPr="00D61DA2">
              <w:t>Povećanje postotka gravimetrijske izmjere</w:t>
            </w:r>
          </w:p>
        </w:tc>
        <w:tc>
          <w:tcPr>
            <w:tcW w:w="1114" w:type="dxa"/>
          </w:tcPr>
          <w:p w:rsidR="00D849AA" w:rsidRPr="00D61DA2" w:rsidRDefault="00EE6D95">
            <w:pPr>
              <w:rPr>
                <w:rFonts w:ascii="Arial" w:hAnsi="Arial" w:cs="Arial"/>
              </w:rPr>
            </w:pPr>
            <w:r w:rsidRPr="00D61DA2">
              <w:rPr>
                <w:rFonts w:ascii="Arial" w:hAnsi="Arial" w:cs="Arial"/>
              </w:rPr>
              <w:t>%</w:t>
            </w:r>
          </w:p>
        </w:tc>
        <w:tc>
          <w:tcPr>
            <w:tcW w:w="1114" w:type="dxa"/>
          </w:tcPr>
          <w:p w:rsidR="00D849AA" w:rsidRPr="00D61DA2" w:rsidRDefault="00EE6D95">
            <w:pPr>
              <w:rPr>
                <w:rFonts w:ascii="Arial" w:hAnsi="Arial" w:cs="Arial"/>
              </w:rPr>
            </w:pPr>
            <w:r w:rsidRPr="00D61DA2">
              <w:rPr>
                <w:rFonts w:ascii="Arial" w:hAnsi="Arial" w:cs="Arial"/>
              </w:rPr>
              <w:t>85</w:t>
            </w:r>
          </w:p>
        </w:tc>
        <w:tc>
          <w:tcPr>
            <w:tcW w:w="1486" w:type="dxa"/>
          </w:tcPr>
          <w:p w:rsidR="00D849AA" w:rsidRPr="00D61DA2" w:rsidRDefault="00EE6D95">
            <w:pPr>
              <w:rPr>
                <w:rFonts w:ascii="Arial" w:hAnsi="Arial" w:cs="Arial"/>
              </w:rPr>
            </w:pPr>
            <w:r w:rsidRPr="00D61DA2">
              <w:rPr>
                <w:rFonts w:ascii="Arial" w:hAnsi="Arial" w:cs="Arial"/>
              </w:rPr>
              <w:t>100</w:t>
            </w:r>
          </w:p>
        </w:tc>
        <w:tc>
          <w:tcPr>
            <w:tcW w:w="1486" w:type="dxa"/>
          </w:tcPr>
          <w:p w:rsidR="00D849AA" w:rsidRPr="00D61DA2" w:rsidRDefault="00EE6D95">
            <w:pPr>
              <w:rPr>
                <w:rFonts w:ascii="Arial" w:hAnsi="Arial" w:cs="Arial"/>
              </w:rPr>
            </w:pPr>
            <w:r w:rsidRPr="00D61DA2">
              <w:rPr>
                <w:rFonts w:ascii="Arial" w:hAnsi="Arial" w:cs="Arial"/>
              </w:rPr>
              <w:t>20</w:t>
            </w:r>
          </w:p>
        </w:tc>
        <w:tc>
          <w:tcPr>
            <w:tcW w:w="1486" w:type="dxa"/>
          </w:tcPr>
          <w:p w:rsidR="00D849AA" w:rsidRPr="00D61DA2" w:rsidRDefault="00EE6D95">
            <w:pPr>
              <w:rPr>
                <w:rFonts w:ascii="Arial" w:hAnsi="Arial" w:cs="Arial"/>
              </w:rPr>
            </w:pPr>
            <w:r w:rsidRPr="00D61DA2">
              <w:rPr>
                <w:rFonts w:ascii="Arial" w:hAnsi="Arial" w:cs="Arial"/>
              </w:rPr>
              <w:t>40</w:t>
            </w:r>
          </w:p>
        </w:tc>
      </w:tr>
    </w:tbl>
    <w:p w:rsidR="00D849AA" w:rsidRDefault="00D849AA">
      <w:pPr>
        <w:jc w:val="left"/>
      </w:pPr>
    </w:p>
    <w:p w:rsidR="00D849AA" w:rsidRDefault="00EE6D95">
      <w:pPr>
        <w:pStyle w:val="Naslov7"/>
      </w:pPr>
      <w:r>
        <w:t xml:space="preserve">Cilj 3. Uspostaviti cjelovitu digitalnu Državnu službenu kartografiju </w:t>
      </w:r>
    </w:p>
    <w:p w:rsidR="00D849AA" w:rsidRDefault="00EE6D95">
      <w:pPr>
        <w:pStyle w:val="Normal6"/>
      </w:pPr>
      <w:r>
        <w:t xml:space="preserve">Državna geodetska uprava je preuzela postojeću službenu kartografiju u analognom obliku od Vojno geografskog instituta u Beogradu i nakon osamostaljenja Republike Hrvatske započela sa uspostavom državne službene kartografije Republike Hrvatske. Službene državne karte su Hrvatska osnovna karta (HOK) u mjerilima 1:5.000 ili 1:10.000, ortofoto karta u mjerilima 1:2.000, 1:5.000 i sitnijem, detaljne topografske karte (PTK) u mjerilu 1:300.000 i sitnijem. Do sada je obnovljena kartografska građa ortofoto karata, HOK-a i DTK-e koji su pohranjeni u DGU. Zbog ubrzanog gospodarskog razvoja, prostorno planske potrebe drugih subjekata, provedbi kapitalnih i infrastrukturnih projekata potrebni su ažurni prostorni podatci, koji se mogu osigurati digitalnom Državnom službenom kartografijom. </w:t>
      </w:r>
    </w:p>
    <w:p w:rsidR="00D849AA" w:rsidRDefault="00EE6D95">
      <w:pPr>
        <w:pStyle w:val="Normal6"/>
      </w:pPr>
      <w:r>
        <w:t xml:space="preserve">Načini ostvarenja postavljenog cilja:  </w:t>
      </w:r>
    </w:p>
    <w:p w:rsidR="00D849AA" w:rsidRDefault="00EE6D95">
      <w:pPr>
        <w:pStyle w:val="Normal6"/>
      </w:pPr>
      <w:r>
        <w:t xml:space="preserve">- ciklička i fotogrametrijska snimanja iz zraka  </w:t>
      </w:r>
    </w:p>
    <w:p w:rsidR="00D849AA" w:rsidRDefault="00EE6D95">
      <w:pPr>
        <w:pStyle w:val="Normal6"/>
      </w:pPr>
      <w:r>
        <w:t>- održavanje kartografskih i topografskih baza podataka</w:t>
      </w:r>
      <w:r w:rsidR="00D61DA2">
        <w:t>.</w:t>
      </w:r>
    </w:p>
    <w:p w:rsidR="00D61DA2" w:rsidRDefault="00D61DA2">
      <w:pPr>
        <w:pStyle w:val="Normal6"/>
      </w:pPr>
    </w:p>
    <w:p w:rsidR="00D61DA2" w:rsidRDefault="00D61DA2">
      <w:pPr>
        <w:pStyle w:val="Normal6"/>
      </w:pPr>
    </w:p>
    <w:p w:rsidR="00D61DA2" w:rsidRDefault="00D61DA2">
      <w:pPr>
        <w:pStyle w:val="Normal6"/>
      </w:pPr>
    </w:p>
    <w:p w:rsidR="00D61DA2" w:rsidRDefault="00D61DA2">
      <w:pPr>
        <w:pStyle w:val="Normal6"/>
      </w:pPr>
    </w:p>
    <w:p w:rsidR="00D849AA" w:rsidRDefault="00EE6D95">
      <w:pPr>
        <w:pStyle w:val="Naslov8"/>
        <w:jc w:val="left"/>
      </w:pPr>
      <w:r>
        <w:lastRenderedPageBreak/>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Postotak snimljenog</w:t>
            </w:r>
          </w:p>
        </w:tc>
        <w:tc>
          <w:tcPr>
            <w:tcW w:w="1114" w:type="dxa"/>
          </w:tcPr>
          <w:p w:rsidR="00D849AA" w:rsidRDefault="00EE6D95">
            <w:r>
              <w:t>%</w:t>
            </w:r>
          </w:p>
        </w:tc>
        <w:tc>
          <w:tcPr>
            <w:tcW w:w="1114" w:type="dxa"/>
          </w:tcPr>
          <w:p w:rsidR="00D849AA" w:rsidRDefault="00EE6D95">
            <w:r>
              <w:t>75</w:t>
            </w:r>
          </w:p>
        </w:tc>
        <w:tc>
          <w:tcPr>
            <w:tcW w:w="1486" w:type="dxa"/>
          </w:tcPr>
          <w:p w:rsidR="00D849AA" w:rsidRDefault="00EE6D95">
            <w:r>
              <w:t>100</w:t>
            </w:r>
          </w:p>
        </w:tc>
        <w:tc>
          <w:tcPr>
            <w:tcW w:w="1486" w:type="dxa"/>
          </w:tcPr>
          <w:p w:rsidR="00D849AA" w:rsidRDefault="00EE6D95">
            <w:r>
              <w:t>33</w:t>
            </w:r>
          </w:p>
        </w:tc>
        <w:tc>
          <w:tcPr>
            <w:tcW w:w="1486" w:type="dxa"/>
          </w:tcPr>
          <w:p w:rsidR="00D849AA" w:rsidRDefault="00EE6D95">
            <w:r>
              <w:t>66</w:t>
            </w:r>
          </w:p>
        </w:tc>
      </w:tr>
      <w:tr w:rsidR="00D849AA">
        <w:trPr>
          <w:jc w:val="center"/>
        </w:trPr>
        <w:tc>
          <w:tcPr>
            <w:tcW w:w="2229" w:type="dxa"/>
          </w:tcPr>
          <w:p w:rsidR="00D849AA" w:rsidRDefault="00EE6D95">
            <w:pPr>
              <w:pStyle w:val="CellColumn"/>
            </w:pPr>
            <w:r>
              <w:t>Postotak provedenog od planiranog</w:t>
            </w:r>
          </w:p>
        </w:tc>
        <w:tc>
          <w:tcPr>
            <w:tcW w:w="1114" w:type="dxa"/>
          </w:tcPr>
          <w:p w:rsidR="00D849AA" w:rsidRDefault="00EE6D95">
            <w:r>
              <w:t>%</w:t>
            </w:r>
          </w:p>
        </w:tc>
        <w:tc>
          <w:tcPr>
            <w:tcW w:w="1114" w:type="dxa"/>
          </w:tcPr>
          <w:p w:rsidR="00D849AA" w:rsidRDefault="00EE6D95">
            <w:r>
              <w:t>55</w:t>
            </w:r>
          </w:p>
        </w:tc>
        <w:tc>
          <w:tcPr>
            <w:tcW w:w="1486" w:type="dxa"/>
          </w:tcPr>
          <w:p w:rsidR="00D849AA" w:rsidRDefault="00EE6D95">
            <w:r>
              <w:t>70</w:t>
            </w:r>
          </w:p>
        </w:tc>
        <w:tc>
          <w:tcPr>
            <w:tcW w:w="1486" w:type="dxa"/>
          </w:tcPr>
          <w:p w:rsidR="00D849AA" w:rsidRDefault="00EE6D95">
            <w:r>
              <w:t>85</w:t>
            </w:r>
          </w:p>
        </w:tc>
        <w:tc>
          <w:tcPr>
            <w:tcW w:w="1486" w:type="dxa"/>
          </w:tcPr>
          <w:p w:rsidR="00D849AA" w:rsidRDefault="00EE6D95">
            <w:r>
              <w:t>100</w:t>
            </w:r>
          </w:p>
        </w:tc>
      </w:tr>
    </w:tbl>
    <w:p w:rsidR="00D849AA" w:rsidRDefault="00D849AA">
      <w:pPr>
        <w:jc w:val="left"/>
      </w:pPr>
    </w:p>
    <w:p w:rsidR="00D849AA" w:rsidRDefault="00EE6D95">
      <w:pPr>
        <w:pStyle w:val="Naslov7"/>
      </w:pPr>
      <w:r>
        <w:t>Cilj 4. Uspostava Hrvatske nacionalne infrastrukture prostornih podataka i informacijskih servisa nacionalnog geoportala</w:t>
      </w:r>
    </w:p>
    <w:p w:rsidR="00D849AA" w:rsidRDefault="00EE6D95">
      <w:pPr>
        <w:pStyle w:val="Normal6"/>
      </w:pPr>
      <w:r>
        <w:t xml:space="preserve">Uspostavljanje Hrvatskog NIPP-a prostornih podataka u funkciji implementacije efikasnog sustava prikupljanja, obrade i distribucije prostornih informacija subjekata (TDU, TRS, TLS, javni sustavi) obuhvaćenih NIPP-om u skladu sa INSPIRE direktivom Europske unije, što će rezultirati učinkovitijim radom javne uprave i smanjenjem troškova poslovanja gospodarstva. Naglasak je na suočavanju s novim izazovima, prepoznavanju prilika koje se ostvaruju ulaskom u Europsku uniju i prepoznavanju potencijala Republike Hrvatske za novu etapu razvitka države. </w:t>
      </w:r>
    </w:p>
    <w:p w:rsidR="00D849AA" w:rsidRDefault="00EE6D95">
      <w:pPr>
        <w:pStyle w:val="Normal6"/>
      </w:pPr>
      <w:r>
        <w:t xml:space="preserve"> </w:t>
      </w:r>
    </w:p>
    <w:p w:rsidR="00D849AA" w:rsidRDefault="00EE6D95">
      <w:pPr>
        <w:pStyle w:val="Normal6"/>
      </w:pPr>
      <w:r>
        <w:t xml:space="preserve">Načini ostvarenja postavljenog cilja:  </w:t>
      </w:r>
    </w:p>
    <w:p w:rsidR="00D849AA" w:rsidRDefault="00EE6D95">
      <w:pPr>
        <w:pStyle w:val="Normal6"/>
      </w:pPr>
      <w:r>
        <w:t xml:space="preserve">- izvršenje godišnjeg plana rada vijeća NIPP-a iskazanog kroz donošenje propisa za izgradnju i provedbu NIPP-a  </w:t>
      </w:r>
    </w:p>
    <w:p w:rsidR="00D849AA" w:rsidRDefault="00EE6D95">
      <w:pPr>
        <w:pStyle w:val="Normal6"/>
      </w:pPr>
      <w:r>
        <w:t>- uspostava servisa metapodataka subjekata NIPP-a i nacionalnog geoportala.</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D61DA2" w:rsidRDefault="00EE6D95">
            <w:pPr>
              <w:rPr>
                <w:rFonts w:ascii="Arial" w:hAnsi="Arial" w:cs="Arial"/>
              </w:rPr>
            </w:pPr>
            <w:r w:rsidRPr="00D61DA2">
              <w:rPr>
                <w:rFonts w:ascii="Arial" w:hAnsi="Arial" w:cs="Arial"/>
              </w:rPr>
              <w:t>Pokazatelj učinka</w:t>
            </w:r>
          </w:p>
        </w:tc>
        <w:tc>
          <w:tcPr>
            <w:tcW w:w="1114" w:type="dxa"/>
            <w:shd w:val="clear" w:color="auto" w:fill="B5C0D8"/>
          </w:tcPr>
          <w:p w:rsidR="00D849AA" w:rsidRPr="00D61DA2" w:rsidRDefault="00EE6D95">
            <w:pPr>
              <w:pStyle w:val="CellHeader"/>
            </w:pPr>
            <w:r w:rsidRPr="00D61DA2">
              <w:t>Jedinica</w:t>
            </w:r>
          </w:p>
        </w:tc>
        <w:tc>
          <w:tcPr>
            <w:tcW w:w="1114" w:type="dxa"/>
            <w:shd w:val="clear" w:color="auto" w:fill="B5C0D8"/>
          </w:tcPr>
          <w:p w:rsidR="00D849AA" w:rsidRPr="00D61DA2" w:rsidRDefault="00EE6D95">
            <w:pPr>
              <w:pStyle w:val="CellHeader"/>
            </w:pPr>
            <w:r w:rsidRPr="00D61DA2">
              <w:t>Polazna vrijednost</w:t>
            </w:r>
          </w:p>
        </w:tc>
        <w:tc>
          <w:tcPr>
            <w:tcW w:w="1486" w:type="dxa"/>
            <w:shd w:val="clear" w:color="auto" w:fill="B5C0D8"/>
          </w:tcPr>
          <w:p w:rsidR="00D849AA" w:rsidRPr="00D61DA2" w:rsidRDefault="00EE6D95">
            <w:pPr>
              <w:pStyle w:val="CellHeader"/>
            </w:pPr>
            <w:r w:rsidRPr="00D61DA2">
              <w:t>Ciljana vrijednost (2014.)</w:t>
            </w:r>
          </w:p>
        </w:tc>
        <w:tc>
          <w:tcPr>
            <w:tcW w:w="1486" w:type="dxa"/>
            <w:shd w:val="clear" w:color="auto" w:fill="B5C0D8"/>
          </w:tcPr>
          <w:p w:rsidR="00D849AA" w:rsidRPr="00D61DA2" w:rsidRDefault="00EE6D95">
            <w:pPr>
              <w:pStyle w:val="CellHeader"/>
            </w:pPr>
            <w:r w:rsidRPr="00D61DA2">
              <w:t>Ciljana vrijednost (2015.)</w:t>
            </w:r>
          </w:p>
        </w:tc>
        <w:tc>
          <w:tcPr>
            <w:tcW w:w="1486" w:type="dxa"/>
            <w:shd w:val="clear" w:color="auto" w:fill="B5C0D8"/>
          </w:tcPr>
          <w:p w:rsidR="00D849AA" w:rsidRPr="00D61DA2" w:rsidRDefault="00EE6D95">
            <w:pPr>
              <w:pStyle w:val="CellHeader"/>
            </w:pPr>
            <w:r w:rsidRPr="00D61DA2">
              <w:t>Ciljana vrijednost (2016.)</w:t>
            </w:r>
          </w:p>
        </w:tc>
      </w:tr>
      <w:tr w:rsidR="00D849AA">
        <w:trPr>
          <w:jc w:val="center"/>
        </w:trPr>
        <w:tc>
          <w:tcPr>
            <w:tcW w:w="2229" w:type="dxa"/>
          </w:tcPr>
          <w:p w:rsidR="00D849AA" w:rsidRPr="00D61DA2" w:rsidRDefault="00EE6D95">
            <w:pPr>
              <w:pStyle w:val="CellColumn"/>
            </w:pPr>
            <w:r w:rsidRPr="00D61DA2">
              <w:t>Doneseni propisi i njihova provedba</w:t>
            </w:r>
          </w:p>
        </w:tc>
        <w:tc>
          <w:tcPr>
            <w:tcW w:w="1114" w:type="dxa"/>
          </w:tcPr>
          <w:p w:rsidR="00D849AA" w:rsidRPr="00D61DA2" w:rsidRDefault="00EE6D95">
            <w:pPr>
              <w:rPr>
                <w:rFonts w:ascii="Arial" w:hAnsi="Arial" w:cs="Arial"/>
              </w:rPr>
            </w:pPr>
            <w:r w:rsidRPr="00D61DA2">
              <w:rPr>
                <w:rFonts w:ascii="Arial" w:hAnsi="Arial" w:cs="Arial"/>
              </w:rPr>
              <w:t>%</w:t>
            </w:r>
          </w:p>
        </w:tc>
        <w:tc>
          <w:tcPr>
            <w:tcW w:w="1114" w:type="dxa"/>
          </w:tcPr>
          <w:p w:rsidR="00D849AA" w:rsidRPr="00D61DA2" w:rsidRDefault="00EE6D95">
            <w:pPr>
              <w:rPr>
                <w:rFonts w:ascii="Arial" w:hAnsi="Arial" w:cs="Arial"/>
              </w:rPr>
            </w:pPr>
            <w:r w:rsidRPr="00D61DA2">
              <w:rPr>
                <w:rFonts w:ascii="Arial" w:hAnsi="Arial" w:cs="Arial"/>
              </w:rPr>
              <w:t>100</w:t>
            </w:r>
          </w:p>
        </w:tc>
        <w:tc>
          <w:tcPr>
            <w:tcW w:w="1486" w:type="dxa"/>
          </w:tcPr>
          <w:p w:rsidR="00D849AA" w:rsidRPr="00D61DA2" w:rsidRDefault="00EE6D95">
            <w:pPr>
              <w:rPr>
                <w:rFonts w:ascii="Arial" w:hAnsi="Arial" w:cs="Arial"/>
              </w:rPr>
            </w:pPr>
            <w:r w:rsidRPr="00D61DA2">
              <w:rPr>
                <w:rFonts w:ascii="Arial" w:hAnsi="Arial" w:cs="Arial"/>
              </w:rPr>
              <w:t>100</w:t>
            </w:r>
          </w:p>
        </w:tc>
        <w:tc>
          <w:tcPr>
            <w:tcW w:w="1486" w:type="dxa"/>
          </w:tcPr>
          <w:p w:rsidR="00D849AA" w:rsidRPr="00D61DA2" w:rsidRDefault="00EE6D95">
            <w:pPr>
              <w:rPr>
                <w:rFonts w:ascii="Arial" w:hAnsi="Arial" w:cs="Arial"/>
              </w:rPr>
            </w:pPr>
            <w:r w:rsidRPr="00D61DA2">
              <w:rPr>
                <w:rFonts w:ascii="Arial" w:hAnsi="Arial" w:cs="Arial"/>
              </w:rPr>
              <w:t>100</w:t>
            </w:r>
          </w:p>
        </w:tc>
        <w:tc>
          <w:tcPr>
            <w:tcW w:w="1486" w:type="dxa"/>
          </w:tcPr>
          <w:p w:rsidR="00D849AA" w:rsidRPr="00D61DA2" w:rsidRDefault="00EE6D95">
            <w:pPr>
              <w:rPr>
                <w:rFonts w:ascii="Arial" w:hAnsi="Arial" w:cs="Arial"/>
              </w:rPr>
            </w:pPr>
            <w:r w:rsidRPr="00D61DA2">
              <w:rPr>
                <w:rFonts w:ascii="Arial" w:hAnsi="Arial" w:cs="Arial"/>
              </w:rPr>
              <w:t>100</w:t>
            </w:r>
          </w:p>
        </w:tc>
      </w:tr>
      <w:tr w:rsidR="00D849AA">
        <w:trPr>
          <w:jc w:val="center"/>
        </w:trPr>
        <w:tc>
          <w:tcPr>
            <w:tcW w:w="2229" w:type="dxa"/>
          </w:tcPr>
          <w:p w:rsidR="00D849AA" w:rsidRPr="00D61DA2" w:rsidRDefault="00EE6D95">
            <w:pPr>
              <w:pStyle w:val="CellColumn"/>
            </w:pPr>
            <w:r w:rsidRPr="00D61DA2">
              <w:t>Povećanje broja nadograđenih setova podataka</w:t>
            </w:r>
          </w:p>
        </w:tc>
        <w:tc>
          <w:tcPr>
            <w:tcW w:w="1114" w:type="dxa"/>
          </w:tcPr>
          <w:p w:rsidR="00D849AA" w:rsidRPr="00D61DA2" w:rsidRDefault="00EE6D95">
            <w:pPr>
              <w:rPr>
                <w:rFonts w:ascii="Arial" w:hAnsi="Arial" w:cs="Arial"/>
              </w:rPr>
            </w:pPr>
            <w:r w:rsidRPr="00D61DA2">
              <w:rPr>
                <w:rFonts w:ascii="Arial" w:hAnsi="Arial" w:cs="Arial"/>
              </w:rPr>
              <w:t>Broj</w:t>
            </w:r>
          </w:p>
        </w:tc>
        <w:tc>
          <w:tcPr>
            <w:tcW w:w="1114" w:type="dxa"/>
          </w:tcPr>
          <w:p w:rsidR="00D849AA" w:rsidRPr="00D61DA2" w:rsidRDefault="00EE6D95">
            <w:pPr>
              <w:rPr>
                <w:rFonts w:ascii="Arial" w:hAnsi="Arial" w:cs="Arial"/>
              </w:rPr>
            </w:pPr>
            <w:r w:rsidRPr="00D61DA2">
              <w:rPr>
                <w:rFonts w:ascii="Arial" w:hAnsi="Arial" w:cs="Arial"/>
              </w:rPr>
              <w:t>10</w:t>
            </w:r>
          </w:p>
        </w:tc>
        <w:tc>
          <w:tcPr>
            <w:tcW w:w="1486" w:type="dxa"/>
          </w:tcPr>
          <w:p w:rsidR="00D849AA" w:rsidRPr="00D61DA2" w:rsidRDefault="00EE6D95">
            <w:pPr>
              <w:rPr>
                <w:rFonts w:ascii="Arial" w:hAnsi="Arial" w:cs="Arial"/>
              </w:rPr>
            </w:pPr>
            <w:r w:rsidRPr="00D61DA2">
              <w:rPr>
                <w:rFonts w:ascii="Arial" w:hAnsi="Arial" w:cs="Arial"/>
              </w:rPr>
              <w:t>14</w:t>
            </w:r>
          </w:p>
        </w:tc>
        <w:tc>
          <w:tcPr>
            <w:tcW w:w="1486" w:type="dxa"/>
          </w:tcPr>
          <w:p w:rsidR="00D849AA" w:rsidRPr="00D61DA2" w:rsidRDefault="00EE6D95">
            <w:pPr>
              <w:rPr>
                <w:rFonts w:ascii="Arial" w:hAnsi="Arial" w:cs="Arial"/>
              </w:rPr>
            </w:pPr>
            <w:r w:rsidRPr="00D61DA2">
              <w:rPr>
                <w:rFonts w:ascii="Arial" w:hAnsi="Arial" w:cs="Arial"/>
              </w:rPr>
              <w:t>15</w:t>
            </w:r>
          </w:p>
        </w:tc>
        <w:tc>
          <w:tcPr>
            <w:tcW w:w="1486" w:type="dxa"/>
          </w:tcPr>
          <w:p w:rsidR="00D849AA" w:rsidRPr="00D61DA2" w:rsidRDefault="00EE6D95">
            <w:pPr>
              <w:rPr>
                <w:rFonts w:ascii="Arial" w:hAnsi="Arial" w:cs="Arial"/>
              </w:rPr>
            </w:pPr>
            <w:r w:rsidRPr="00D61DA2">
              <w:rPr>
                <w:rFonts w:ascii="Arial" w:hAnsi="Arial" w:cs="Arial"/>
              </w:rPr>
              <w:t>20</w:t>
            </w:r>
          </w:p>
        </w:tc>
      </w:tr>
      <w:tr w:rsidR="00D849AA">
        <w:trPr>
          <w:jc w:val="center"/>
        </w:trPr>
        <w:tc>
          <w:tcPr>
            <w:tcW w:w="2229" w:type="dxa"/>
          </w:tcPr>
          <w:p w:rsidR="00D849AA" w:rsidRPr="00D61DA2" w:rsidRDefault="00EE6D95">
            <w:pPr>
              <w:pStyle w:val="CellColumn"/>
            </w:pPr>
            <w:r w:rsidRPr="00D61DA2">
              <w:t>Povećanje broja umreženih subjekata NIPP-a</w:t>
            </w:r>
          </w:p>
        </w:tc>
        <w:tc>
          <w:tcPr>
            <w:tcW w:w="1114" w:type="dxa"/>
          </w:tcPr>
          <w:p w:rsidR="00D849AA" w:rsidRPr="00D61DA2" w:rsidRDefault="00EE6D95">
            <w:pPr>
              <w:rPr>
                <w:rFonts w:ascii="Arial" w:hAnsi="Arial" w:cs="Arial"/>
              </w:rPr>
            </w:pPr>
            <w:r w:rsidRPr="00D61DA2">
              <w:rPr>
                <w:rFonts w:ascii="Arial" w:hAnsi="Arial" w:cs="Arial"/>
              </w:rPr>
              <w:t>Broj</w:t>
            </w:r>
          </w:p>
        </w:tc>
        <w:tc>
          <w:tcPr>
            <w:tcW w:w="1114" w:type="dxa"/>
          </w:tcPr>
          <w:p w:rsidR="00D849AA" w:rsidRPr="00D61DA2" w:rsidRDefault="00EE6D95">
            <w:pPr>
              <w:rPr>
                <w:rFonts w:ascii="Arial" w:hAnsi="Arial" w:cs="Arial"/>
              </w:rPr>
            </w:pPr>
            <w:r w:rsidRPr="00D61DA2">
              <w:rPr>
                <w:rFonts w:ascii="Arial" w:hAnsi="Arial" w:cs="Arial"/>
              </w:rPr>
              <w:t>7</w:t>
            </w:r>
          </w:p>
        </w:tc>
        <w:tc>
          <w:tcPr>
            <w:tcW w:w="1486" w:type="dxa"/>
          </w:tcPr>
          <w:p w:rsidR="00D849AA" w:rsidRPr="00D61DA2" w:rsidRDefault="00EE6D95">
            <w:pPr>
              <w:rPr>
                <w:rFonts w:ascii="Arial" w:hAnsi="Arial" w:cs="Arial"/>
              </w:rPr>
            </w:pPr>
            <w:r w:rsidRPr="00D61DA2">
              <w:rPr>
                <w:rFonts w:ascii="Arial" w:hAnsi="Arial" w:cs="Arial"/>
              </w:rPr>
              <w:t>9</w:t>
            </w:r>
          </w:p>
        </w:tc>
        <w:tc>
          <w:tcPr>
            <w:tcW w:w="1486" w:type="dxa"/>
          </w:tcPr>
          <w:p w:rsidR="00D849AA" w:rsidRPr="00D61DA2" w:rsidRDefault="00EE6D95">
            <w:pPr>
              <w:rPr>
                <w:rFonts w:ascii="Arial" w:hAnsi="Arial" w:cs="Arial"/>
              </w:rPr>
            </w:pPr>
            <w:r w:rsidRPr="00D61DA2">
              <w:rPr>
                <w:rFonts w:ascii="Arial" w:hAnsi="Arial" w:cs="Arial"/>
              </w:rPr>
              <w:t>10</w:t>
            </w:r>
          </w:p>
        </w:tc>
        <w:tc>
          <w:tcPr>
            <w:tcW w:w="1486" w:type="dxa"/>
          </w:tcPr>
          <w:p w:rsidR="00D849AA" w:rsidRPr="00D61DA2" w:rsidRDefault="00EE6D95">
            <w:pPr>
              <w:rPr>
                <w:rFonts w:ascii="Arial" w:hAnsi="Arial" w:cs="Arial"/>
              </w:rPr>
            </w:pPr>
            <w:r w:rsidRPr="00D61DA2">
              <w:rPr>
                <w:rFonts w:ascii="Arial" w:hAnsi="Arial" w:cs="Arial"/>
              </w:rPr>
              <w:t>15</w:t>
            </w:r>
          </w:p>
        </w:tc>
      </w:tr>
    </w:tbl>
    <w:p w:rsidR="00D849AA" w:rsidRDefault="00D849AA">
      <w:pPr>
        <w:jc w:val="left"/>
      </w:pPr>
    </w:p>
    <w:p w:rsidR="00D849AA" w:rsidRDefault="00EE6D95">
      <w:pPr>
        <w:pStyle w:val="Naslov7"/>
      </w:pPr>
      <w:r>
        <w:t>Cilj 5. Poboljšati evidentiranje u katastru građevina za koje su donesena rješenja i potvrde o izvedenom stanju</w:t>
      </w:r>
    </w:p>
    <w:p w:rsidR="00D849AA" w:rsidRDefault="00EE6D95">
      <w:pPr>
        <w:pStyle w:val="Normal6"/>
      </w:pPr>
      <w:r>
        <w:t xml:space="preserve">Donošenjem Zakona o postupanju s nezakonito izgrađenim zgradama (NN 86/2012) stvorile su se sve pretpostavke za provedbu postupka legalizacije na efikasan i racionalan način. Time će se značajan dio stambenog i gospodarskog fonda uključiti u pravni suustav Republike Hrvatske, biti evidentiran u katastarskom operatu i upisivan u zemljišne knjige, što će rezultirati usklađivanjem stanja u registrima sa stanjem u naravi i posljedično </w:t>
      </w:r>
      <w:r>
        <w:lastRenderedPageBreak/>
        <w:t xml:space="preserve">doprinijeti stvarnom povećanju tržišta nekretnina. Pri tome će se kroz pojednostavljenje postupka ozakonjenja postojećih zgrada koje služe za obavljanje poljoprivrednih djelatnosti omogućiti ostvarenje nužnog preduvjeta legalnosti za podnošenje zahtjeva za poticaje i sredstva pretpristupnih fondova EU (SAPARD I IPARD), odnosno kroz postupak ozakonjenja, omogućiti će se bitno brže sređivanje stanja u vezi nezakonite gradnje.  </w:t>
      </w:r>
    </w:p>
    <w:p w:rsidR="00D849AA" w:rsidRDefault="00EE6D95">
      <w:pPr>
        <w:pStyle w:val="Normal6"/>
      </w:pPr>
      <w:r>
        <w:t xml:space="preserve">Rezultat ovih aktivnostii biti će i unapređenje stanja u katastarskom operatu i pojednostavljenje i ubrzanje postupka izrade i donošenja prostornih planova lokalne i područne razine stvaranjem baze evidentiranih nezakonitih građevina i provedenih postupaka ozakonjenja. Ulaganjem dijela ostvarenih prihoda od naknada za zadržavanje nezakonitih zgrada u ubrzanje provedbe katastarske izmjere i obnove zemljišnih knjiga osigurati će se točni, pouzdani i ažurni podaci, provećanje prometa nekretnina kroz zemljišne knjige, smanjenje broja imovinsko-pravnih sporova, povećenje broja registriranih zgrada, povećanje komunalnih prihoda općina i gradova i sl.  </w:t>
      </w:r>
    </w:p>
    <w:p w:rsidR="00D849AA" w:rsidRDefault="00D849AA">
      <w:pPr>
        <w:pStyle w:val="Normal6"/>
      </w:pPr>
    </w:p>
    <w:p w:rsidR="00D849AA" w:rsidRDefault="00EE6D95">
      <w:pPr>
        <w:pStyle w:val="Normal6"/>
      </w:pPr>
      <w:r>
        <w:t xml:space="preserve">Načini ostvarenja postavljenog cilja:  </w:t>
      </w:r>
    </w:p>
    <w:p w:rsidR="00D849AA" w:rsidRDefault="00EE6D95">
      <w:pPr>
        <w:pStyle w:val="Normal6"/>
      </w:pPr>
      <w:r>
        <w:t xml:space="preserve">- provedba rješenja o izvedenom stanju nezakonite zgrade  </w:t>
      </w:r>
    </w:p>
    <w:p w:rsidR="00D849AA" w:rsidRDefault="00EE6D95">
      <w:pPr>
        <w:pStyle w:val="Normal6"/>
      </w:pPr>
      <w:r>
        <w:t>- ubrzanje provedbe katastarskih izmjera.</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D61DA2" w:rsidRDefault="00EE6D95">
            <w:pPr>
              <w:rPr>
                <w:rFonts w:ascii="Arial" w:hAnsi="Arial" w:cs="Arial"/>
              </w:rPr>
            </w:pPr>
            <w:r w:rsidRPr="00D61DA2">
              <w:rPr>
                <w:rFonts w:ascii="Arial" w:hAnsi="Arial" w:cs="Arial"/>
              </w:rPr>
              <w:t>Pokazatelj učinka</w:t>
            </w:r>
          </w:p>
        </w:tc>
        <w:tc>
          <w:tcPr>
            <w:tcW w:w="1114" w:type="dxa"/>
            <w:shd w:val="clear" w:color="auto" w:fill="B5C0D8"/>
          </w:tcPr>
          <w:p w:rsidR="00D849AA" w:rsidRPr="00D61DA2" w:rsidRDefault="00EE6D95">
            <w:pPr>
              <w:pStyle w:val="CellHeader"/>
            </w:pPr>
            <w:r w:rsidRPr="00D61DA2">
              <w:t>Jedinica</w:t>
            </w:r>
          </w:p>
        </w:tc>
        <w:tc>
          <w:tcPr>
            <w:tcW w:w="1114" w:type="dxa"/>
            <w:shd w:val="clear" w:color="auto" w:fill="B5C0D8"/>
          </w:tcPr>
          <w:p w:rsidR="00D849AA" w:rsidRPr="00D61DA2" w:rsidRDefault="00EE6D95">
            <w:pPr>
              <w:pStyle w:val="CellHeader"/>
            </w:pPr>
            <w:r w:rsidRPr="00D61DA2">
              <w:t>Polazna vrijednost</w:t>
            </w:r>
          </w:p>
        </w:tc>
        <w:tc>
          <w:tcPr>
            <w:tcW w:w="1486" w:type="dxa"/>
            <w:shd w:val="clear" w:color="auto" w:fill="B5C0D8"/>
          </w:tcPr>
          <w:p w:rsidR="00D849AA" w:rsidRPr="00D61DA2" w:rsidRDefault="00EE6D95">
            <w:pPr>
              <w:pStyle w:val="CellHeader"/>
            </w:pPr>
            <w:r w:rsidRPr="00D61DA2">
              <w:t>Ciljana vrijednost (2014.)</w:t>
            </w:r>
          </w:p>
        </w:tc>
        <w:tc>
          <w:tcPr>
            <w:tcW w:w="1486" w:type="dxa"/>
            <w:shd w:val="clear" w:color="auto" w:fill="B5C0D8"/>
          </w:tcPr>
          <w:p w:rsidR="00D849AA" w:rsidRPr="00D61DA2" w:rsidRDefault="00EE6D95">
            <w:pPr>
              <w:pStyle w:val="CellHeader"/>
            </w:pPr>
            <w:r w:rsidRPr="00D61DA2">
              <w:t>Ciljana vrijednost (2015.)</w:t>
            </w:r>
          </w:p>
        </w:tc>
        <w:tc>
          <w:tcPr>
            <w:tcW w:w="1486" w:type="dxa"/>
            <w:shd w:val="clear" w:color="auto" w:fill="B5C0D8"/>
          </w:tcPr>
          <w:p w:rsidR="00D849AA" w:rsidRPr="00D61DA2" w:rsidRDefault="00EE6D95">
            <w:pPr>
              <w:pStyle w:val="CellHeader"/>
            </w:pPr>
            <w:r w:rsidRPr="00D61DA2">
              <w:t>Ciljana vrijednost (2016.)</w:t>
            </w:r>
          </w:p>
        </w:tc>
      </w:tr>
      <w:tr w:rsidR="00D849AA">
        <w:trPr>
          <w:jc w:val="center"/>
        </w:trPr>
        <w:tc>
          <w:tcPr>
            <w:tcW w:w="2229" w:type="dxa"/>
          </w:tcPr>
          <w:p w:rsidR="00D849AA" w:rsidRPr="00D61DA2" w:rsidRDefault="00EE6D95">
            <w:pPr>
              <w:pStyle w:val="CellColumn"/>
            </w:pPr>
            <w:r w:rsidRPr="00D61DA2">
              <w:t>Provedena rješenja o izvedenom stanju nezakonitih zgrada</w:t>
            </w:r>
          </w:p>
        </w:tc>
        <w:tc>
          <w:tcPr>
            <w:tcW w:w="1114" w:type="dxa"/>
          </w:tcPr>
          <w:p w:rsidR="00D849AA" w:rsidRPr="00D61DA2" w:rsidRDefault="00EE6D95">
            <w:pPr>
              <w:rPr>
                <w:rFonts w:ascii="Arial" w:hAnsi="Arial" w:cs="Arial"/>
              </w:rPr>
            </w:pPr>
            <w:r w:rsidRPr="00D61DA2">
              <w:rPr>
                <w:rFonts w:ascii="Arial" w:hAnsi="Arial" w:cs="Arial"/>
              </w:rPr>
              <w:t>Broj</w:t>
            </w:r>
          </w:p>
        </w:tc>
        <w:tc>
          <w:tcPr>
            <w:tcW w:w="1114" w:type="dxa"/>
          </w:tcPr>
          <w:p w:rsidR="00D849AA" w:rsidRPr="00D61DA2" w:rsidRDefault="00EE6D95">
            <w:pPr>
              <w:rPr>
                <w:rFonts w:ascii="Arial" w:hAnsi="Arial" w:cs="Arial"/>
              </w:rPr>
            </w:pPr>
            <w:r w:rsidRPr="00D61DA2">
              <w:rPr>
                <w:rFonts w:ascii="Arial" w:hAnsi="Arial" w:cs="Arial"/>
              </w:rPr>
              <w:t>10.000</w:t>
            </w:r>
          </w:p>
        </w:tc>
        <w:tc>
          <w:tcPr>
            <w:tcW w:w="1486" w:type="dxa"/>
          </w:tcPr>
          <w:p w:rsidR="00D849AA" w:rsidRPr="00D61DA2" w:rsidRDefault="00EE6D95">
            <w:pPr>
              <w:rPr>
                <w:rFonts w:ascii="Arial" w:hAnsi="Arial" w:cs="Arial"/>
              </w:rPr>
            </w:pPr>
            <w:r w:rsidRPr="00D61DA2">
              <w:rPr>
                <w:rFonts w:ascii="Arial" w:hAnsi="Arial" w:cs="Arial"/>
              </w:rPr>
              <w:t>13.000</w:t>
            </w:r>
          </w:p>
        </w:tc>
        <w:tc>
          <w:tcPr>
            <w:tcW w:w="1486" w:type="dxa"/>
          </w:tcPr>
          <w:p w:rsidR="00D849AA" w:rsidRPr="00D61DA2" w:rsidRDefault="00EE6D95">
            <w:pPr>
              <w:rPr>
                <w:rFonts w:ascii="Arial" w:hAnsi="Arial" w:cs="Arial"/>
              </w:rPr>
            </w:pPr>
            <w:r w:rsidRPr="00D61DA2">
              <w:rPr>
                <w:rFonts w:ascii="Arial" w:hAnsi="Arial" w:cs="Arial"/>
              </w:rPr>
              <w:t>15.000</w:t>
            </w:r>
          </w:p>
        </w:tc>
        <w:tc>
          <w:tcPr>
            <w:tcW w:w="1486" w:type="dxa"/>
          </w:tcPr>
          <w:p w:rsidR="00D849AA" w:rsidRPr="00D61DA2" w:rsidRDefault="00EE6D95">
            <w:pPr>
              <w:rPr>
                <w:rFonts w:ascii="Arial" w:hAnsi="Arial" w:cs="Arial"/>
              </w:rPr>
            </w:pPr>
            <w:r w:rsidRPr="00D61DA2">
              <w:rPr>
                <w:rFonts w:ascii="Arial" w:hAnsi="Arial" w:cs="Arial"/>
              </w:rPr>
              <w:t>20.000</w:t>
            </w:r>
          </w:p>
        </w:tc>
      </w:tr>
      <w:tr w:rsidR="00D849AA">
        <w:trPr>
          <w:jc w:val="center"/>
        </w:trPr>
        <w:tc>
          <w:tcPr>
            <w:tcW w:w="2229" w:type="dxa"/>
          </w:tcPr>
          <w:p w:rsidR="00D849AA" w:rsidRPr="00D61DA2" w:rsidRDefault="00EE6D95">
            <w:pPr>
              <w:pStyle w:val="CellColumn"/>
            </w:pPr>
            <w:r w:rsidRPr="00D61DA2">
              <w:t>Povećanje broja dovršenih izmjera K.O.</w:t>
            </w:r>
          </w:p>
        </w:tc>
        <w:tc>
          <w:tcPr>
            <w:tcW w:w="1114" w:type="dxa"/>
          </w:tcPr>
          <w:p w:rsidR="00D849AA" w:rsidRPr="00D61DA2" w:rsidRDefault="00EE6D95">
            <w:pPr>
              <w:rPr>
                <w:rFonts w:ascii="Arial" w:hAnsi="Arial" w:cs="Arial"/>
              </w:rPr>
            </w:pPr>
            <w:r w:rsidRPr="00D61DA2">
              <w:rPr>
                <w:rFonts w:ascii="Arial" w:hAnsi="Arial" w:cs="Arial"/>
              </w:rPr>
              <w:t>Broj</w:t>
            </w:r>
          </w:p>
        </w:tc>
        <w:tc>
          <w:tcPr>
            <w:tcW w:w="1114" w:type="dxa"/>
          </w:tcPr>
          <w:p w:rsidR="00D849AA" w:rsidRPr="00D61DA2" w:rsidRDefault="00EE6D95">
            <w:pPr>
              <w:rPr>
                <w:rFonts w:ascii="Arial" w:hAnsi="Arial" w:cs="Arial"/>
              </w:rPr>
            </w:pPr>
            <w:r w:rsidRPr="00D61DA2">
              <w:rPr>
                <w:rFonts w:ascii="Arial" w:hAnsi="Arial" w:cs="Arial"/>
              </w:rPr>
              <w:t>0</w:t>
            </w:r>
          </w:p>
        </w:tc>
        <w:tc>
          <w:tcPr>
            <w:tcW w:w="1486" w:type="dxa"/>
          </w:tcPr>
          <w:p w:rsidR="00D849AA" w:rsidRPr="00D61DA2" w:rsidRDefault="00EE6D95">
            <w:pPr>
              <w:rPr>
                <w:rFonts w:ascii="Arial" w:hAnsi="Arial" w:cs="Arial"/>
              </w:rPr>
            </w:pPr>
            <w:r w:rsidRPr="00D61DA2">
              <w:rPr>
                <w:rFonts w:ascii="Arial" w:hAnsi="Arial" w:cs="Arial"/>
              </w:rPr>
              <w:t>25</w:t>
            </w:r>
          </w:p>
        </w:tc>
        <w:tc>
          <w:tcPr>
            <w:tcW w:w="1486" w:type="dxa"/>
          </w:tcPr>
          <w:p w:rsidR="00D849AA" w:rsidRPr="00D61DA2" w:rsidRDefault="00EE6D95">
            <w:pPr>
              <w:rPr>
                <w:rFonts w:ascii="Arial" w:hAnsi="Arial" w:cs="Arial"/>
              </w:rPr>
            </w:pPr>
            <w:r w:rsidRPr="00D61DA2">
              <w:rPr>
                <w:rFonts w:ascii="Arial" w:hAnsi="Arial" w:cs="Arial"/>
              </w:rPr>
              <w:t>50</w:t>
            </w:r>
          </w:p>
        </w:tc>
        <w:tc>
          <w:tcPr>
            <w:tcW w:w="1486" w:type="dxa"/>
          </w:tcPr>
          <w:p w:rsidR="00D849AA" w:rsidRPr="00D61DA2" w:rsidRDefault="00EE6D95">
            <w:pPr>
              <w:rPr>
                <w:rFonts w:ascii="Arial" w:hAnsi="Arial" w:cs="Arial"/>
              </w:rPr>
            </w:pPr>
            <w:r w:rsidRPr="00D61DA2">
              <w:rPr>
                <w:rFonts w:ascii="Arial" w:hAnsi="Arial" w:cs="Arial"/>
              </w:rPr>
              <w:t>75</w:t>
            </w:r>
          </w:p>
        </w:tc>
      </w:tr>
    </w:tbl>
    <w:p w:rsidR="00D849AA" w:rsidRDefault="00D849AA">
      <w:pPr>
        <w:jc w:val="left"/>
      </w:pPr>
    </w:p>
    <w:p w:rsidR="00D849AA" w:rsidRDefault="00EE6D95">
      <w:pPr>
        <w:pStyle w:val="Naslov5"/>
      </w:pPr>
      <w:r>
        <w:t>Procjena i ishodište potrebnih sredstava za značajnije aktivnosti/projekte</w:t>
      </w:r>
    </w:p>
    <w:p w:rsidR="00D849AA" w:rsidRDefault="00EE6D95">
      <w:pPr>
        <w:pStyle w:val="Naslov6"/>
      </w:pPr>
      <w:r>
        <w:t>A664001 ODRŽAVANJE KATASTRA ZEMLJIŠTA I USPOSTAVA KATASTRA NEKRETNINA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D61DA2" w:rsidRDefault="00EE6D95">
            <w:pPr>
              <w:pStyle w:val="CellHeader"/>
            </w:pPr>
            <w:r w:rsidRPr="00D61DA2">
              <w:t>Naziv aktivnosti</w:t>
            </w:r>
          </w:p>
        </w:tc>
        <w:tc>
          <w:tcPr>
            <w:tcW w:w="1486" w:type="dxa"/>
            <w:shd w:val="clear" w:color="auto" w:fill="B5C0D8"/>
          </w:tcPr>
          <w:p w:rsidR="00D849AA" w:rsidRPr="00D61DA2" w:rsidRDefault="00EE6D95">
            <w:pPr>
              <w:pStyle w:val="CellHeader"/>
            </w:pPr>
            <w:r w:rsidRPr="00D61DA2">
              <w:t>Plan 2013.</w:t>
            </w:r>
          </w:p>
        </w:tc>
        <w:tc>
          <w:tcPr>
            <w:tcW w:w="1486" w:type="dxa"/>
            <w:shd w:val="clear" w:color="auto" w:fill="B5C0D8"/>
          </w:tcPr>
          <w:p w:rsidR="00D849AA" w:rsidRPr="00D61DA2" w:rsidRDefault="00EE6D95">
            <w:pPr>
              <w:pStyle w:val="CellHeader"/>
            </w:pPr>
            <w:r w:rsidRPr="00D61DA2">
              <w:t>Plan 2014.</w:t>
            </w:r>
          </w:p>
        </w:tc>
        <w:tc>
          <w:tcPr>
            <w:tcW w:w="1486" w:type="dxa"/>
            <w:shd w:val="clear" w:color="auto" w:fill="B5C0D8"/>
          </w:tcPr>
          <w:p w:rsidR="00D849AA" w:rsidRPr="00D61DA2" w:rsidRDefault="00EE6D95">
            <w:pPr>
              <w:pStyle w:val="CellHeader"/>
            </w:pPr>
            <w:r w:rsidRPr="00D61DA2">
              <w:t>Plan 2015.</w:t>
            </w:r>
          </w:p>
        </w:tc>
        <w:tc>
          <w:tcPr>
            <w:tcW w:w="1486" w:type="dxa"/>
            <w:shd w:val="clear" w:color="auto" w:fill="B5C0D8"/>
          </w:tcPr>
          <w:p w:rsidR="00D849AA" w:rsidRPr="00D61DA2" w:rsidRDefault="00EE6D95">
            <w:pPr>
              <w:pStyle w:val="CellHeader"/>
            </w:pPr>
            <w:r w:rsidRPr="00D61DA2">
              <w:t>Plan 2016.</w:t>
            </w:r>
          </w:p>
        </w:tc>
        <w:tc>
          <w:tcPr>
            <w:tcW w:w="1486" w:type="dxa"/>
            <w:shd w:val="clear" w:color="auto" w:fill="B5C0D8"/>
          </w:tcPr>
          <w:p w:rsidR="00D849AA" w:rsidRPr="00D61DA2" w:rsidRDefault="00EE6D95">
            <w:pPr>
              <w:pStyle w:val="CellHeader"/>
            </w:pPr>
            <w:r w:rsidRPr="00D61DA2">
              <w:t>Indeks 2014/2013</w:t>
            </w:r>
          </w:p>
        </w:tc>
      </w:tr>
      <w:tr w:rsidR="00D849AA">
        <w:trPr>
          <w:jc w:val="center"/>
        </w:trPr>
        <w:tc>
          <w:tcPr>
            <w:tcW w:w="1486" w:type="dxa"/>
          </w:tcPr>
          <w:p w:rsidR="00D849AA" w:rsidRPr="00D61DA2" w:rsidRDefault="00EE6D95">
            <w:pPr>
              <w:pStyle w:val="CellColumn"/>
            </w:pPr>
            <w:r w:rsidRPr="00D61DA2">
              <w:t>A664001</w:t>
            </w:r>
          </w:p>
        </w:tc>
        <w:tc>
          <w:tcPr>
            <w:tcW w:w="1486" w:type="dxa"/>
          </w:tcPr>
          <w:p w:rsidR="00D849AA" w:rsidRPr="00D61DA2" w:rsidRDefault="00EE6D95">
            <w:pPr>
              <w:rPr>
                <w:rFonts w:ascii="Arial" w:hAnsi="Arial" w:cs="Arial"/>
              </w:rPr>
            </w:pPr>
            <w:r w:rsidRPr="00D61DA2">
              <w:rPr>
                <w:rFonts w:ascii="Arial" w:hAnsi="Arial" w:cs="Arial"/>
              </w:rPr>
              <w:t>13.060.000</w:t>
            </w:r>
          </w:p>
        </w:tc>
        <w:tc>
          <w:tcPr>
            <w:tcW w:w="1486" w:type="dxa"/>
          </w:tcPr>
          <w:p w:rsidR="00D849AA" w:rsidRPr="00D61DA2" w:rsidRDefault="00EE6D95">
            <w:pPr>
              <w:rPr>
                <w:rFonts w:ascii="Arial" w:hAnsi="Arial" w:cs="Arial"/>
              </w:rPr>
            </w:pPr>
            <w:r w:rsidRPr="00D61DA2">
              <w:rPr>
                <w:rFonts w:ascii="Arial" w:hAnsi="Arial" w:cs="Arial"/>
              </w:rPr>
              <w:t>11.400.000</w:t>
            </w:r>
          </w:p>
        </w:tc>
        <w:tc>
          <w:tcPr>
            <w:tcW w:w="1486" w:type="dxa"/>
          </w:tcPr>
          <w:p w:rsidR="00D849AA" w:rsidRPr="00D61DA2" w:rsidRDefault="00EE6D95">
            <w:pPr>
              <w:rPr>
                <w:rFonts w:ascii="Arial" w:hAnsi="Arial" w:cs="Arial"/>
              </w:rPr>
            </w:pPr>
            <w:r w:rsidRPr="00D61DA2">
              <w:rPr>
                <w:rFonts w:ascii="Arial" w:hAnsi="Arial" w:cs="Arial"/>
              </w:rPr>
              <w:t>10.306.000</w:t>
            </w:r>
          </w:p>
        </w:tc>
        <w:tc>
          <w:tcPr>
            <w:tcW w:w="1486" w:type="dxa"/>
          </w:tcPr>
          <w:p w:rsidR="00D849AA" w:rsidRPr="00D61DA2" w:rsidRDefault="00EE6D95">
            <w:pPr>
              <w:rPr>
                <w:rFonts w:ascii="Arial" w:hAnsi="Arial" w:cs="Arial"/>
              </w:rPr>
            </w:pPr>
            <w:r w:rsidRPr="00D61DA2">
              <w:rPr>
                <w:rFonts w:ascii="Arial" w:hAnsi="Arial" w:cs="Arial"/>
              </w:rPr>
              <w:t>9.317.000</w:t>
            </w:r>
          </w:p>
        </w:tc>
        <w:tc>
          <w:tcPr>
            <w:tcW w:w="1486" w:type="dxa"/>
          </w:tcPr>
          <w:p w:rsidR="00D849AA" w:rsidRPr="00D61DA2" w:rsidRDefault="00EE6D95">
            <w:pPr>
              <w:rPr>
                <w:rFonts w:ascii="Arial" w:hAnsi="Arial" w:cs="Arial"/>
              </w:rPr>
            </w:pPr>
            <w:r w:rsidRPr="00D61DA2">
              <w:rPr>
                <w:rFonts w:ascii="Arial" w:hAnsi="Arial" w:cs="Arial"/>
              </w:rPr>
              <w:t>87,3</w:t>
            </w:r>
          </w:p>
        </w:tc>
      </w:tr>
    </w:tbl>
    <w:p w:rsidR="00D849AA" w:rsidRDefault="00D849AA">
      <w:pPr>
        <w:jc w:val="left"/>
      </w:pPr>
    </w:p>
    <w:p w:rsidR="00D849AA" w:rsidRDefault="00EE6D95">
      <w:pPr>
        <w:pStyle w:val="Normal6"/>
      </w:pPr>
      <w:r>
        <w:t xml:space="preserve">Uspostava, održavanje i vođenje katastra predstavlja glavnu aktivnost Državne geodetske uprave i angažira najveće kapacitete. Katastar u zajednici sa zemljišnim knjigama predstavlja okosnicu pravne države i vladavine prava te je ključni čimbenik gospodarskog razvoja.   </w:t>
      </w:r>
    </w:p>
    <w:p w:rsidR="00D849AA" w:rsidRDefault="00EE6D95">
      <w:pPr>
        <w:pStyle w:val="Normal6"/>
      </w:pPr>
      <w:r>
        <w:t xml:space="preserve">Kvaliteta upisa u katastru i zemljišnim knjigama neposredno utječe na gospodarski potencijal bilo koje lokalne zajednice i njegovo nesređeno stanje je važan ograničavajući </w:t>
      </w:r>
      <w:r>
        <w:lastRenderedPageBreak/>
        <w:t xml:space="preserve">faktor u provedbi gospodarskih projekta, funkcioniranju tržišta nekretnina, slijedom čega i funkcioniranju financijskog tržišta, te provedbi kapitalnih infrastrukturnih projekata države. Reforma zemljišne administracije (katastar i zemljišne knjige) provodi se od 2000. godine i sada je na pola puta. Puna funkcionalnost sustava gradi se uređenim i usklađenim podacima o nekretninama i vlasništvu za sva ključna područja u državi uspostaviti će se 2017. godine.  </w:t>
      </w:r>
    </w:p>
    <w:p w:rsidR="00D849AA" w:rsidRDefault="00EE6D95">
      <w:pPr>
        <w:pStyle w:val="Normal6"/>
      </w:pPr>
      <w:r>
        <w:t xml:space="preserve">Kroz programske aktivnosti katastra neposredno se djeluje provedbom katastarskih izmjera, sređivanjem državnog poljoprivrednog zemljišta, sređivanjem imovinsko-pravnog, geodetsko-katastarskog i gospodarskog stanja na otocima i u dolini rijeke Neretve, sređivanju nekretnina u vlasništvu Rrepublike Hrvatske, te vođenju i unapređenju Registra prostornih jedinica. Iako se govori o aktivnosti A664001 Održavanje katastra i uspostava katastra nekretnina, napominjemo da su dalje navedene aktivnosti/projekti:  </w:t>
      </w:r>
    </w:p>
    <w:p w:rsidR="00D849AA" w:rsidRDefault="00EE6D95">
      <w:pPr>
        <w:pStyle w:val="Normal6"/>
      </w:pPr>
      <w:r>
        <w:t xml:space="preserve">     - A664021 Registracija poljoprivrednog zemljišta u vlasništvu RH  </w:t>
      </w:r>
    </w:p>
    <w:p w:rsidR="00D849AA" w:rsidRDefault="00EE6D95">
      <w:pPr>
        <w:pStyle w:val="Normal6"/>
      </w:pPr>
      <w:r>
        <w:t xml:space="preserve">     - T664009 Katastar nekretnina doline Neretve  </w:t>
      </w:r>
    </w:p>
    <w:p w:rsidR="00D849AA" w:rsidRDefault="00EE6D95">
      <w:pPr>
        <w:pStyle w:val="Normal6"/>
      </w:pPr>
      <w:r>
        <w:t xml:space="preserve">     - T664010 Uređenje posjedovne i vlasničko pravne evidencije na otocima  </w:t>
      </w:r>
    </w:p>
    <w:p w:rsidR="00D849AA" w:rsidRDefault="00EE6D95">
      <w:pPr>
        <w:pStyle w:val="Normal6"/>
      </w:pPr>
      <w:r>
        <w:t xml:space="preserve">     - K664032 Uknjižba nekretnina s pravom vlasništva ili drugim stvarnim pravom Republike Hrvatske u istoj funkciji iako ih u Državnoj geodetskoj upravi razlikujemo zbog područja na kojima se provode i svrhe zbog kojih se rade.</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Povećan broj usklađenih podataka K.O.</w:t>
            </w:r>
          </w:p>
        </w:tc>
        <w:tc>
          <w:tcPr>
            <w:tcW w:w="1114" w:type="dxa"/>
          </w:tcPr>
          <w:p w:rsidR="00D849AA" w:rsidRDefault="00EE6D95">
            <w:r>
              <w:t>Broj</w:t>
            </w:r>
          </w:p>
        </w:tc>
        <w:tc>
          <w:tcPr>
            <w:tcW w:w="1114" w:type="dxa"/>
          </w:tcPr>
          <w:p w:rsidR="00D849AA" w:rsidRDefault="00EE6D95">
            <w:r>
              <w:t>180</w:t>
            </w:r>
          </w:p>
        </w:tc>
        <w:tc>
          <w:tcPr>
            <w:tcW w:w="1486" w:type="dxa"/>
          </w:tcPr>
          <w:p w:rsidR="00D849AA" w:rsidRDefault="00EE6D95">
            <w:r>
              <w:t>210</w:t>
            </w:r>
          </w:p>
        </w:tc>
        <w:tc>
          <w:tcPr>
            <w:tcW w:w="1486" w:type="dxa"/>
          </w:tcPr>
          <w:p w:rsidR="00D849AA" w:rsidRDefault="00EE6D95">
            <w:r>
              <w:t>240</w:t>
            </w:r>
          </w:p>
        </w:tc>
        <w:tc>
          <w:tcPr>
            <w:tcW w:w="1486" w:type="dxa"/>
          </w:tcPr>
          <w:p w:rsidR="00D849AA" w:rsidRDefault="00EE6D95">
            <w:r>
              <w:t>270</w:t>
            </w:r>
          </w:p>
        </w:tc>
      </w:tr>
    </w:tbl>
    <w:p w:rsidR="00D849AA" w:rsidRDefault="00D849AA">
      <w:pPr>
        <w:jc w:val="left"/>
      </w:pPr>
    </w:p>
    <w:p w:rsidR="00D849AA" w:rsidRDefault="00EE6D95">
      <w:pPr>
        <w:pStyle w:val="Naslov1"/>
      </w:pPr>
      <w:r>
        <w:lastRenderedPageBreak/>
        <w:t>077 MINISTARSTVO ZAŠTITE OKOLIŠA I PRIRODE</w:t>
      </w:r>
    </w:p>
    <w:p w:rsidR="00D849AA" w:rsidRDefault="00EE6D95">
      <w:pPr>
        <w:pStyle w:val="Naslov4"/>
      </w:pPr>
      <w:r>
        <w:t>Uvod</w:t>
      </w:r>
    </w:p>
    <w:p w:rsidR="00D849AA" w:rsidRDefault="00EE6D95">
      <w:pPr>
        <w:pStyle w:val="Normal3"/>
      </w:pPr>
      <w:r>
        <w:t xml:space="preserve">Prema Zakonu o ustrojstvu i djelokrugu ministarstava i drugih središnjih tijela državne uprave (Narodne novine, broj 50/11, 39/13, 125/13), djelokrug rada Ministarstva zaštite okoliša i prirode obuhvaća poslove koji se odnose na zaštitu i očuvanje okoliša i prirode u skladu s politikom održivog razvitka Republike Hrvatske. Ministarstvo obavlja poslove koji se odnose na sudjelovanje Republike Hrvatske u radu tijela Europske unije u područjima iz njegove nadležnosti. U nadležnosti ovog Ministarstva je nadzor nad poslovanjem:  </w:t>
      </w:r>
    </w:p>
    <w:p w:rsidR="00D849AA" w:rsidRDefault="00EE6D95">
      <w:pPr>
        <w:pStyle w:val="Normal3"/>
      </w:pPr>
      <w:r>
        <w:t xml:space="preserve">- Agencije za zaštitu okoliša  </w:t>
      </w:r>
    </w:p>
    <w:p w:rsidR="00D849AA" w:rsidRDefault="00EE6D95">
      <w:pPr>
        <w:pStyle w:val="Normal3"/>
      </w:pPr>
      <w:r>
        <w:t xml:space="preserve">- Državnog zavoda za zaštitu prirode </w:t>
      </w:r>
    </w:p>
    <w:p w:rsidR="00D849AA" w:rsidRDefault="00EE6D95">
      <w:pPr>
        <w:pStyle w:val="Normal3"/>
      </w:pPr>
      <w:r>
        <w:t xml:space="preserve">- Nacionalnih parkova i parkova prirode  </w:t>
      </w:r>
    </w:p>
    <w:p w:rsidR="00D849AA" w:rsidRDefault="00EE6D95">
      <w:pPr>
        <w:pStyle w:val="Normal3"/>
      </w:pPr>
      <w:r>
        <w:t>- Državnog hidrometeorološkog zavoda.</w:t>
      </w:r>
    </w:p>
    <w:tbl>
      <w:tblPr>
        <w:tblStyle w:val="Reetkatablice"/>
        <w:tblW w:w="0" w:type="auto"/>
        <w:jc w:val="center"/>
        <w:tblLook w:val="04A0" w:firstRow="1" w:lastRow="0" w:firstColumn="1" w:lastColumn="0" w:noHBand="0" w:noVBand="1"/>
      </w:tblPr>
      <w:tblGrid>
        <w:gridCol w:w="1795"/>
        <w:gridCol w:w="1486"/>
        <w:gridCol w:w="1486"/>
        <w:gridCol w:w="1486"/>
        <w:gridCol w:w="1486"/>
        <w:gridCol w:w="1486"/>
      </w:tblGrid>
      <w:tr w:rsidR="00D849AA" w:rsidRPr="00807829">
        <w:trPr>
          <w:jc w:val="center"/>
        </w:trPr>
        <w:tc>
          <w:tcPr>
            <w:tcW w:w="1486" w:type="dxa"/>
            <w:shd w:val="clear" w:color="auto" w:fill="B5C0D8"/>
          </w:tcPr>
          <w:p w:rsidR="00D849AA" w:rsidRPr="00807829" w:rsidRDefault="00D849AA">
            <w:pPr>
              <w:pStyle w:val="CellHeader"/>
            </w:pPr>
          </w:p>
        </w:tc>
        <w:tc>
          <w:tcPr>
            <w:tcW w:w="1486" w:type="dxa"/>
            <w:shd w:val="clear" w:color="auto" w:fill="B5C0D8"/>
          </w:tcPr>
          <w:p w:rsidR="00D849AA" w:rsidRPr="00807829" w:rsidRDefault="00EE6D95">
            <w:pPr>
              <w:pStyle w:val="CellHeader"/>
            </w:pPr>
            <w:r w:rsidRPr="00807829">
              <w:t>Plan 2013.</w:t>
            </w:r>
          </w:p>
        </w:tc>
        <w:tc>
          <w:tcPr>
            <w:tcW w:w="1486" w:type="dxa"/>
            <w:shd w:val="clear" w:color="auto" w:fill="B5C0D8"/>
          </w:tcPr>
          <w:p w:rsidR="00D849AA" w:rsidRPr="00807829" w:rsidRDefault="00EE6D95">
            <w:pPr>
              <w:pStyle w:val="CellHeader"/>
            </w:pPr>
            <w:r w:rsidRPr="00807829">
              <w:t>Plan 2014.</w:t>
            </w:r>
          </w:p>
        </w:tc>
        <w:tc>
          <w:tcPr>
            <w:tcW w:w="1486" w:type="dxa"/>
            <w:shd w:val="clear" w:color="auto" w:fill="B5C0D8"/>
          </w:tcPr>
          <w:p w:rsidR="00D849AA" w:rsidRPr="00807829" w:rsidRDefault="00EE6D95">
            <w:pPr>
              <w:pStyle w:val="CellHeader"/>
            </w:pPr>
            <w:r w:rsidRPr="00807829">
              <w:t>Plan 2015.</w:t>
            </w:r>
          </w:p>
        </w:tc>
        <w:tc>
          <w:tcPr>
            <w:tcW w:w="1486" w:type="dxa"/>
            <w:shd w:val="clear" w:color="auto" w:fill="B5C0D8"/>
          </w:tcPr>
          <w:p w:rsidR="00D849AA" w:rsidRPr="00807829" w:rsidRDefault="00EE6D95">
            <w:pPr>
              <w:pStyle w:val="CellHeader"/>
            </w:pPr>
            <w:r w:rsidRPr="00807829">
              <w:t>Plan 2016.</w:t>
            </w:r>
          </w:p>
        </w:tc>
        <w:tc>
          <w:tcPr>
            <w:tcW w:w="1486" w:type="dxa"/>
            <w:shd w:val="clear" w:color="auto" w:fill="B5C0D8"/>
          </w:tcPr>
          <w:p w:rsidR="00D849AA" w:rsidRPr="00807829" w:rsidRDefault="00EE6D95">
            <w:pPr>
              <w:pStyle w:val="CellHeader"/>
            </w:pPr>
            <w:r w:rsidRPr="00807829">
              <w:t>Indeks 2014/2013</w:t>
            </w:r>
          </w:p>
        </w:tc>
      </w:tr>
      <w:tr w:rsidR="00D849AA" w:rsidRPr="00807829">
        <w:trPr>
          <w:jc w:val="center"/>
        </w:trPr>
        <w:tc>
          <w:tcPr>
            <w:tcW w:w="1486" w:type="dxa"/>
          </w:tcPr>
          <w:p w:rsidR="00D849AA" w:rsidRPr="00807829" w:rsidRDefault="00EE6D95">
            <w:pPr>
              <w:pStyle w:val="CellColumn"/>
            </w:pPr>
            <w:r w:rsidRPr="00807829">
              <w:t>07705 Ministarstvo zaštite okoliša i prirode</w:t>
            </w:r>
          </w:p>
        </w:tc>
        <w:tc>
          <w:tcPr>
            <w:tcW w:w="1486" w:type="dxa"/>
          </w:tcPr>
          <w:p w:rsidR="00D849AA" w:rsidRPr="00807829" w:rsidRDefault="00EE6D95">
            <w:pPr>
              <w:rPr>
                <w:rFonts w:ascii="Arial" w:hAnsi="Arial" w:cs="Arial"/>
              </w:rPr>
            </w:pPr>
            <w:r w:rsidRPr="00807829">
              <w:rPr>
                <w:rFonts w:ascii="Arial" w:hAnsi="Arial" w:cs="Arial"/>
              </w:rPr>
              <w:t>214.642.324</w:t>
            </w:r>
          </w:p>
        </w:tc>
        <w:tc>
          <w:tcPr>
            <w:tcW w:w="1486" w:type="dxa"/>
          </w:tcPr>
          <w:p w:rsidR="00D849AA" w:rsidRPr="00807829" w:rsidRDefault="00EE6D95">
            <w:pPr>
              <w:rPr>
                <w:rFonts w:ascii="Arial" w:hAnsi="Arial" w:cs="Arial"/>
              </w:rPr>
            </w:pPr>
            <w:r w:rsidRPr="00807829">
              <w:rPr>
                <w:rFonts w:ascii="Arial" w:hAnsi="Arial" w:cs="Arial"/>
              </w:rPr>
              <w:t>404.100.736</w:t>
            </w:r>
          </w:p>
        </w:tc>
        <w:tc>
          <w:tcPr>
            <w:tcW w:w="1486" w:type="dxa"/>
          </w:tcPr>
          <w:p w:rsidR="00D849AA" w:rsidRPr="00807829" w:rsidRDefault="00EE6D95">
            <w:pPr>
              <w:rPr>
                <w:rFonts w:ascii="Arial" w:hAnsi="Arial" w:cs="Arial"/>
              </w:rPr>
            </w:pPr>
            <w:r w:rsidRPr="00807829">
              <w:rPr>
                <w:rFonts w:ascii="Arial" w:hAnsi="Arial" w:cs="Arial"/>
              </w:rPr>
              <w:t>170.596.365</w:t>
            </w:r>
          </w:p>
        </w:tc>
        <w:tc>
          <w:tcPr>
            <w:tcW w:w="1486" w:type="dxa"/>
          </w:tcPr>
          <w:p w:rsidR="00D849AA" w:rsidRPr="00807829" w:rsidRDefault="00EE6D95">
            <w:pPr>
              <w:rPr>
                <w:rFonts w:ascii="Arial" w:hAnsi="Arial" w:cs="Arial"/>
              </w:rPr>
            </w:pPr>
            <w:r w:rsidRPr="00807829">
              <w:rPr>
                <w:rFonts w:ascii="Arial" w:hAnsi="Arial" w:cs="Arial"/>
              </w:rPr>
              <w:t>190.356.813</w:t>
            </w:r>
          </w:p>
        </w:tc>
        <w:tc>
          <w:tcPr>
            <w:tcW w:w="1486" w:type="dxa"/>
          </w:tcPr>
          <w:p w:rsidR="00D849AA" w:rsidRPr="00807829" w:rsidRDefault="00EE6D95">
            <w:pPr>
              <w:rPr>
                <w:rFonts w:ascii="Arial" w:hAnsi="Arial" w:cs="Arial"/>
              </w:rPr>
            </w:pPr>
            <w:r w:rsidRPr="00807829">
              <w:rPr>
                <w:rFonts w:ascii="Arial" w:hAnsi="Arial" w:cs="Arial"/>
              </w:rPr>
              <w:t>188,3</w:t>
            </w:r>
          </w:p>
        </w:tc>
      </w:tr>
      <w:tr w:rsidR="00D849AA" w:rsidRPr="00807829">
        <w:trPr>
          <w:jc w:val="center"/>
        </w:trPr>
        <w:tc>
          <w:tcPr>
            <w:tcW w:w="1486" w:type="dxa"/>
          </w:tcPr>
          <w:p w:rsidR="00D849AA" w:rsidRPr="00807829" w:rsidRDefault="00EE6D95">
            <w:pPr>
              <w:pStyle w:val="CellColumn"/>
            </w:pPr>
            <w:r w:rsidRPr="00807829">
              <w:t>07710 Agencija za zaštitu okoliša</w:t>
            </w:r>
          </w:p>
        </w:tc>
        <w:tc>
          <w:tcPr>
            <w:tcW w:w="1486" w:type="dxa"/>
          </w:tcPr>
          <w:p w:rsidR="00D849AA" w:rsidRPr="00807829" w:rsidRDefault="00EE6D95">
            <w:pPr>
              <w:rPr>
                <w:rFonts w:ascii="Arial" w:hAnsi="Arial" w:cs="Arial"/>
              </w:rPr>
            </w:pPr>
            <w:r w:rsidRPr="00807829">
              <w:rPr>
                <w:rFonts w:ascii="Arial" w:hAnsi="Arial" w:cs="Arial"/>
              </w:rPr>
              <w:t>16.327.008</w:t>
            </w:r>
          </w:p>
        </w:tc>
        <w:tc>
          <w:tcPr>
            <w:tcW w:w="1486" w:type="dxa"/>
          </w:tcPr>
          <w:p w:rsidR="00D849AA" w:rsidRPr="00807829" w:rsidRDefault="00EE6D95">
            <w:pPr>
              <w:rPr>
                <w:rFonts w:ascii="Arial" w:hAnsi="Arial" w:cs="Arial"/>
              </w:rPr>
            </w:pPr>
            <w:r w:rsidRPr="00807829">
              <w:rPr>
                <w:rFonts w:ascii="Arial" w:hAnsi="Arial" w:cs="Arial"/>
              </w:rPr>
              <w:t>32.559.000</w:t>
            </w:r>
          </w:p>
        </w:tc>
        <w:tc>
          <w:tcPr>
            <w:tcW w:w="1486" w:type="dxa"/>
          </w:tcPr>
          <w:p w:rsidR="00D849AA" w:rsidRPr="00807829" w:rsidRDefault="00EE6D95">
            <w:pPr>
              <w:rPr>
                <w:rFonts w:ascii="Arial" w:hAnsi="Arial" w:cs="Arial"/>
              </w:rPr>
            </w:pPr>
            <w:r w:rsidRPr="00807829">
              <w:rPr>
                <w:rFonts w:ascii="Arial" w:hAnsi="Arial" w:cs="Arial"/>
              </w:rPr>
              <w:t>25.793.246</w:t>
            </w:r>
          </w:p>
        </w:tc>
        <w:tc>
          <w:tcPr>
            <w:tcW w:w="1486" w:type="dxa"/>
          </w:tcPr>
          <w:p w:rsidR="00D849AA" w:rsidRPr="00807829" w:rsidRDefault="00EE6D95">
            <w:pPr>
              <w:rPr>
                <w:rFonts w:ascii="Arial" w:hAnsi="Arial" w:cs="Arial"/>
              </w:rPr>
            </w:pPr>
            <w:r w:rsidRPr="00807829">
              <w:rPr>
                <w:rFonts w:ascii="Arial" w:hAnsi="Arial" w:cs="Arial"/>
              </w:rPr>
              <w:t>22.594.565</w:t>
            </w:r>
          </w:p>
        </w:tc>
        <w:tc>
          <w:tcPr>
            <w:tcW w:w="1486" w:type="dxa"/>
          </w:tcPr>
          <w:p w:rsidR="00D849AA" w:rsidRPr="00807829" w:rsidRDefault="00EE6D95">
            <w:pPr>
              <w:rPr>
                <w:rFonts w:ascii="Arial" w:hAnsi="Arial" w:cs="Arial"/>
              </w:rPr>
            </w:pPr>
            <w:r w:rsidRPr="00807829">
              <w:rPr>
                <w:rFonts w:ascii="Arial" w:hAnsi="Arial" w:cs="Arial"/>
              </w:rPr>
              <w:t>199,4</w:t>
            </w:r>
          </w:p>
        </w:tc>
      </w:tr>
      <w:tr w:rsidR="00D849AA" w:rsidRPr="00807829">
        <w:trPr>
          <w:jc w:val="center"/>
        </w:trPr>
        <w:tc>
          <w:tcPr>
            <w:tcW w:w="1486" w:type="dxa"/>
          </w:tcPr>
          <w:p w:rsidR="00D849AA" w:rsidRPr="00807829" w:rsidRDefault="00EE6D95">
            <w:pPr>
              <w:pStyle w:val="CellColumn"/>
            </w:pPr>
            <w:r w:rsidRPr="00807829">
              <w:t>07715 Nacionalni parkovi i parkovi prirode</w:t>
            </w:r>
          </w:p>
        </w:tc>
        <w:tc>
          <w:tcPr>
            <w:tcW w:w="1486" w:type="dxa"/>
          </w:tcPr>
          <w:p w:rsidR="00D849AA" w:rsidRPr="00807829" w:rsidRDefault="00EE6D95">
            <w:pPr>
              <w:rPr>
                <w:rFonts w:ascii="Arial" w:hAnsi="Arial" w:cs="Arial"/>
              </w:rPr>
            </w:pPr>
            <w:r w:rsidRPr="00807829">
              <w:rPr>
                <w:rFonts w:ascii="Arial" w:hAnsi="Arial" w:cs="Arial"/>
              </w:rPr>
              <w:t>57.487.374</w:t>
            </w:r>
          </w:p>
        </w:tc>
        <w:tc>
          <w:tcPr>
            <w:tcW w:w="1486" w:type="dxa"/>
          </w:tcPr>
          <w:p w:rsidR="00D849AA" w:rsidRPr="00807829" w:rsidRDefault="00EE6D95">
            <w:pPr>
              <w:rPr>
                <w:rFonts w:ascii="Arial" w:hAnsi="Arial" w:cs="Arial"/>
              </w:rPr>
            </w:pPr>
            <w:r w:rsidRPr="00807829">
              <w:rPr>
                <w:rFonts w:ascii="Arial" w:hAnsi="Arial" w:cs="Arial"/>
              </w:rPr>
              <w:t>65.145.104</w:t>
            </w:r>
          </w:p>
        </w:tc>
        <w:tc>
          <w:tcPr>
            <w:tcW w:w="1486" w:type="dxa"/>
          </w:tcPr>
          <w:p w:rsidR="00D849AA" w:rsidRPr="00807829" w:rsidRDefault="00EE6D95">
            <w:pPr>
              <w:rPr>
                <w:rFonts w:ascii="Arial" w:hAnsi="Arial" w:cs="Arial"/>
              </w:rPr>
            </w:pPr>
            <w:r w:rsidRPr="00807829">
              <w:rPr>
                <w:rFonts w:ascii="Arial" w:hAnsi="Arial" w:cs="Arial"/>
              </w:rPr>
              <w:t>72.616.511</w:t>
            </w:r>
          </w:p>
        </w:tc>
        <w:tc>
          <w:tcPr>
            <w:tcW w:w="1486" w:type="dxa"/>
          </w:tcPr>
          <w:p w:rsidR="00D849AA" w:rsidRPr="00807829" w:rsidRDefault="00EE6D95">
            <w:pPr>
              <w:rPr>
                <w:rFonts w:ascii="Arial" w:hAnsi="Arial" w:cs="Arial"/>
              </w:rPr>
            </w:pPr>
            <w:r w:rsidRPr="00807829">
              <w:rPr>
                <w:rFonts w:ascii="Arial" w:hAnsi="Arial" w:cs="Arial"/>
              </w:rPr>
              <w:t>53.606.890</w:t>
            </w:r>
          </w:p>
        </w:tc>
        <w:tc>
          <w:tcPr>
            <w:tcW w:w="1486" w:type="dxa"/>
          </w:tcPr>
          <w:p w:rsidR="00D849AA" w:rsidRPr="00807829" w:rsidRDefault="00EE6D95">
            <w:pPr>
              <w:rPr>
                <w:rFonts w:ascii="Arial" w:hAnsi="Arial" w:cs="Arial"/>
              </w:rPr>
            </w:pPr>
            <w:r w:rsidRPr="00807829">
              <w:rPr>
                <w:rFonts w:ascii="Arial" w:hAnsi="Arial" w:cs="Arial"/>
              </w:rPr>
              <w:t>113,3</w:t>
            </w:r>
          </w:p>
        </w:tc>
      </w:tr>
      <w:tr w:rsidR="00D849AA" w:rsidRPr="00807829">
        <w:trPr>
          <w:jc w:val="center"/>
        </w:trPr>
        <w:tc>
          <w:tcPr>
            <w:tcW w:w="1486" w:type="dxa"/>
          </w:tcPr>
          <w:p w:rsidR="00D849AA" w:rsidRPr="00807829" w:rsidRDefault="00EE6D95">
            <w:pPr>
              <w:pStyle w:val="CellColumn"/>
            </w:pPr>
            <w:r w:rsidRPr="00807829">
              <w:t>07720 Državni hidrometeorološki zavod</w:t>
            </w:r>
          </w:p>
        </w:tc>
        <w:tc>
          <w:tcPr>
            <w:tcW w:w="1486" w:type="dxa"/>
          </w:tcPr>
          <w:p w:rsidR="00D849AA" w:rsidRPr="00807829" w:rsidRDefault="00EE6D95">
            <w:pPr>
              <w:rPr>
                <w:rFonts w:ascii="Arial" w:hAnsi="Arial" w:cs="Arial"/>
              </w:rPr>
            </w:pPr>
            <w:r w:rsidRPr="00807829">
              <w:rPr>
                <w:rFonts w:ascii="Arial" w:hAnsi="Arial" w:cs="Arial"/>
              </w:rPr>
              <w:t>101.509.998</w:t>
            </w:r>
          </w:p>
        </w:tc>
        <w:tc>
          <w:tcPr>
            <w:tcW w:w="1486" w:type="dxa"/>
          </w:tcPr>
          <w:p w:rsidR="00D849AA" w:rsidRPr="00807829" w:rsidRDefault="00EE6D95">
            <w:pPr>
              <w:rPr>
                <w:rFonts w:ascii="Arial" w:hAnsi="Arial" w:cs="Arial"/>
              </w:rPr>
            </w:pPr>
            <w:r w:rsidRPr="00807829">
              <w:rPr>
                <w:rFonts w:ascii="Arial" w:hAnsi="Arial" w:cs="Arial"/>
              </w:rPr>
              <w:t>108.934.547</w:t>
            </w:r>
          </w:p>
        </w:tc>
        <w:tc>
          <w:tcPr>
            <w:tcW w:w="1486" w:type="dxa"/>
          </w:tcPr>
          <w:p w:rsidR="00D849AA" w:rsidRPr="00807829" w:rsidRDefault="00EE6D95">
            <w:pPr>
              <w:rPr>
                <w:rFonts w:ascii="Arial" w:hAnsi="Arial" w:cs="Arial"/>
              </w:rPr>
            </w:pPr>
            <w:r w:rsidRPr="00807829">
              <w:rPr>
                <w:rFonts w:ascii="Arial" w:hAnsi="Arial" w:cs="Arial"/>
              </w:rPr>
              <w:t>106.210.737</w:t>
            </w:r>
          </w:p>
        </w:tc>
        <w:tc>
          <w:tcPr>
            <w:tcW w:w="1486" w:type="dxa"/>
          </w:tcPr>
          <w:p w:rsidR="00D849AA" w:rsidRPr="00807829" w:rsidRDefault="00EE6D95">
            <w:pPr>
              <w:rPr>
                <w:rFonts w:ascii="Arial" w:hAnsi="Arial" w:cs="Arial"/>
              </w:rPr>
            </w:pPr>
            <w:r w:rsidRPr="00807829">
              <w:rPr>
                <w:rFonts w:ascii="Arial" w:hAnsi="Arial" w:cs="Arial"/>
              </w:rPr>
              <w:t>96.292.867</w:t>
            </w:r>
          </w:p>
        </w:tc>
        <w:tc>
          <w:tcPr>
            <w:tcW w:w="1486" w:type="dxa"/>
          </w:tcPr>
          <w:p w:rsidR="00D849AA" w:rsidRPr="00807829" w:rsidRDefault="00EE6D95">
            <w:pPr>
              <w:rPr>
                <w:rFonts w:ascii="Arial" w:hAnsi="Arial" w:cs="Arial"/>
              </w:rPr>
            </w:pPr>
            <w:r w:rsidRPr="00807829">
              <w:rPr>
                <w:rFonts w:ascii="Arial" w:hAnsi="Arial" w:cs="Arial"/>
              </w:rPr>
              <w:t>107,3</w:t>
            </w:r>
          </w:p>
        </w:tc>
      </w:tr>
      <w:tr w:rsidR="00D849AA" w:rsidRPr="00807829">
        <w:trPr>
          <w:jc w:val="center"/>
        </w:trPr>
        <w:tc>
          <w:tcPr>
            <w:tcW w:w="1486" w:type="dxa"/>
          </w:tcPr>
          <w:p w:rsidR="00D849AA" w:rsidRPr="00807829" w:rsidRDefault="00EE6D95">
            <w:pPr>
              <w:pStyle w:val="CellColumn"/>
            </w:pPr>
            <w:r w:rsidRPr="00807829">
              <w:t>07725 Državni zavod za zaštitu prirode</w:t>
            </w:r>
          </w:p>
        </w:tc>
        <w:tc>
          <w:tcPr>
            <w:tcW w:w="1486" w:type="dxa"/>
          </w:tcPr>
          <w:p w:rsidR="00D849AA" w:rsidRPr="00807829" w:rsidRDefault="00EE6D95">
            <w:pPr>
              <w:rPr>
                <w:rFonts w:ascii="Arial" w:hAnsi="Arial" w:cs="Arial"/>
              </w:rPr>
            </w:pPr>
            <w:r w:rsidRPr="00807829">
              <w:rPr>
                <w:rFonts w:ascii="Arial" w:hAnsi="Arial" w:cs="Arial"/>
              </w:rPr>
              <w:t>920.639</w:t>
            </w:r>
          </w:p>
        </w:tc>
        <w:tc>
          <w:tcPr>
            <w:tcW w:w="1486" w:type="dxa"/>
          </w:tcPr>
          <w:p w:rsidR="00D849AA" w:rsidRPr="00807829" w:rsidRDefault="00EE6D95">
            <w:pPr>
              <w:rPr>
                <w:rFonts w:ascii="Arial" w:hAnsi="Arial" w:cs="Arial"/>
              </w:rPr>
            </w:pPr>
            <w:r w:rsidRPr="00807829">
              <w:rPr>
                <w:rFonts w:ascii="Arial" w:hAnsi="Arial" w:cs="Arial"/>
              </w:rPr>
              <w:t>14.706.345</w:t>
            </w:r>
          </w:p>
        </w:tc>
        <w:tc>
          <w:tcPr>
            <w:tcW w:w="1486" w:type="dxa"/>
          </w:tcPr>
          <w:p w:rsidR="00D849AA" w:rsidRPr="00807829" w:rsidRDefault="00EE6D95">
            <w:pPr>
              <w:rPr>
                <w:rFonts w:ascii="Arial" w:hAnsi="Arial" w:cs="Arial"/>
              </w:rPr>
            </w:pPr>
            <w:r w:rsidRPr="00807829">
              <w:rPr>
                <w:rFonts w:ascii="Arial" w:hAnsi="Arial" w:cs="Arial"/>
              </w:rPr>
              <w:t>14.017.630</w:t>
            </w:r>
          </w:p>
        </w:tc>
        <w:tc>
          <w:tcPr>
            <w:tcW w:w="1486" w:type="dxa"/>
          </w:tcPr>
          <w:p w:rsidR="00D849AA" w:rsidRPr="00807829" w:rsidRDefault="00EE6D95">
            <w:pPr>
              <w:rPr>
                <w:rFonts w:ascii="Arial" w:hAnsi="Arial" w:cs="Arial"/>
              </w:rPr>
            </w:pPr>
            <w:r w:rsidRPr="00807829">
              <w:rPr>
                <w:rFonts w:ascii="Arial" w:hAnsi="Arial" w:cs="Arial"/>
              </w:rPr>
              <w:t>9.513.694</w:t>
            </w:r>
          </w:p>
        </w:tc>
        <w:tc>
          <w:tcPr>
            <w:tcW w:w="1486" w:type="dxa"/>
          </w:tcPr>
          <w:p w:rsidR="00D849AA" w:rsidRPr="00807829" w:rsidRDefault="00EE6D95">
            <w:pPr>
              <w:rPr>
                <w:rFonts w:ascii="Arial" w:hAnsi="Arial" w:cs="Arial"/>
              </w:rPr>
            </w:pPr>
            <w:r w:rsidRPr="00807829">
              <w:rPr>
                <w:rFonts w:ascii="Arial" w:hAnsi="Arial" w:cs="Arial"/>
              </w:rPr>
              <w:t>1597,4</w:t>
            </w:r>
          </w:p>
        </w:tc>
      </w:tr>
      <w:tr w:rsidR="00D849AA" w:rsidRPr="00807829">
        <w:trPr>
          <w:jc w:val="center"/>
        </w:trPr>
        <w:tc>
          <w:tcPr>
            <w:tcW w:w="1486" w:type="dxa"/>
            <w:shd w:val="clear" w:color="auto" w:fill="B5C0D8"/>
          </w:tcPr>
          <w:p w:rsidR="00D849AA" w:rsidRPr="00807829" w:rsidRDefault="00EE6D95">
            <w:pPr>
              <w:pStyle w:val="CellColumn"/>
            </w:pPr>
            <w:r w:rsidRPr="00807829">
              <w:t>Ukupno 077</w:t>
            </w:r>
          </w:p>
        </w:tc>
        <w:tc>
          <w:tcPr>
            <w:tcW w:w="1486" w:type="dxa"/>
            <w:shd w:val="clear" w:color="auto" w:fill="B5C0D8"/>
          </w:tcPr>
          <w:p w:rsidR="00D849AA" w:rsidRPr="00807829" w:rsidRDefault="00EE6D95">
            <w:pPr>
              <w:rPr>
                <w:rFonts w:ascii="Arial" w:hAnsi="Arial" w:cs="Arial"/>
              </w:rPr>
            </w:pPr>
            <w:r w:rsidRPr="00807829">
              <w:rPr>
                <w:rFonts w:ascii="Arial" w:hAnsi="Arial" w:cs="Arial"/>
              </w:rPr>
              <w:t>390.887.343</w:t>
            </w:r>
          </w:p>
        </w:tc>
        <w:tc>
          <w:tcPr>
            <w:tcW w:w="1486" w:type="dxa"/>
            <w:shd w:val="clear" w:color="auto" w:fill="B5C0D8"/>
          </w:tcPr>
          <w:p w:rsidR="00D849AA" w:rsidRPr="00807829" w:rsidRDefault="00EE6D95">
            <w:pPr>
              <w:rPr>
                <w:rFonts w:ascii="Arial" w:hAnsi="Arial" w:cs="Arial"/>
              </w:rPr>
            </w:pPr>
            <w:r w:rsidRPr="00807829">
              <w:rPr>
                <w:rFonts w:ascii="Arial" w:hAnsi="Arial" w:cs="Arial"/>
              </w:rPr>
              <w:t>625.445.732</w:t>
            </w:r>
          </w:p>
        </w:tc>
        <w:tc>
          <w:tcPr>
            <w:tcW w:w="1486" w:type="dxa"/>
            <w:shd w:val="clear" w:color="auto" w:fill="B5C0D8"/>
          </w:tcPr>
          <w:p w:rsidR="00D849AA" w:rsidRPr="00807829" w:rsidRDefault="00EE6D95">
            <w:pPr>
              <w:rPr>
                <w:rFonts w:ascii="Arial" w:hAnsi="Arial" w:cs="Arial"/>
              </w:rPr>
            </w:pPr>
            <w:r w:rsidRPr="00807829">
              <w:rPr>
                <w:rFonts w:ascii="Arial" w:hAnsi="Arial" w:cs="Arial"/>
              </w:rPr>
              <w:t>389.234.489</w:t>
            </w:r>
          </w:p>
        </w:tc>
        <w:tc>
          <w:tcPr>
            <w:tcW w:w="1486" w:type="dxa"/>
            <w:shd w:val="clear" w:color="auto" w:fill="B5C0D8"/>
          </w:tcPr>
          <w:p w:rsidR="00D849AA" w:rsidRPr="00807829" w:rsidRDefault="00EE6D95">
            <w:pPr>
              <w:rPr>
                <w:rFonts w:ascii="Arial" w:hAnsi="Arial" w:cs="Arial"/>
              </w:rPr>
            </w:pPr>
            <w:r w:rsidRPr="00807829">
              <w:rPr>
                <w:rFonts w:ascii="Arial" w:hAnsi="Arial" w:cs="Arial"/>
              </w:rPr>
              <w:t>372.364.829</w:t>
            </w:r>
          </w:p>
        </w:tc>
        <w:tc>
          <w:tcPr>
            <w:tcW w:w="1486" w:type="dxa"/>
            <w:shd w:val="clear" w:color="auto" w:fill="B5C0D8"/>
          </w:tcPr>
          <w:p w:rsidR="00D849AA" w:rsidRPr="00807829" w:rsidRDefault="00EE6D95">
            <w:pPr>
              <w:rPr>
                <w:rFonts w:ascii="Arial" w:hAnsi="Arial" w:cs="Arial"/>
              </w:rPr>
            </w:pPr>
            <w:r w:rsidRPr="00807829">
              <w:rPr>
                <w:rFonts w:ascii="Arial" w:hAnsi="Arial" w:cs="Arial"/>
              </w:rPr>
              <w:t>160,0</w:t>
            </w:r>
          </w:p>
        </w:tc>
      </w:tr>
    </w:tbl>
    <w:p w:rsidR="00D849AA" w:rsidRDefault="00D849AA">
      <w:pPr>
        <w:jc w:val="left"/>
      </w:pPr>
    </w:p>
    <w:p w:rsidR="00D61DA2" w:rsidRDefault="00D61DA2">
      <w:pPr>
        <w:jc w:val="left"/>
      </w:pPr>
    </w:p>
    <w:p w:rsidR="00D61DA2" w:rsidRDefault="00D61DA2">
      <w:pPr>
        <w:jc w:val="left"/>
      </w:pPr>
    </w:p>
    <w:p w:rsidR="00D61DA2" w:rsidRDefault="00D61DA2">
      <w:pPr>
        <w:jc w:val="left"/>
      </w:pPr>
    </w:p>
    <w:p w:rsidR="00D61DA2" w:rsidRDefault="00D61DA2">
      <w:pPr>
        <w:jc w:val="left"/>
      </w:pPr>
    </w:p>
    <w:p w:rsidR="00D849AA" w:rsidRDefault="00EE6D95">
      <w:pPr>
        <w:pStyle w:val="Naslov2"/>
      </w:pPr>
      <w:r>
        <w:lastRenderedPageBreak/>
        <w:t>07705 Ministarstvo zaštite okoliša i prirode</w:t>
      </w:r>
    </w:p>
    <w:p w:rsidR="00D849AA" w:rsidRDefault="00EE6D95">
      <w:pPr>
        <w:pStyle w:val="Naslov4"/>
      </w:pPr>
      <w:r>
        <w:t>Uvod</w:t>
      </w:r>
    </w:p>
    <w:p w:rsidR="00D849AA" w:rsidRDefault="00EE6D95">
      <w:pPr>
        <w:pStyle w:val="Normal3"/>
      </w:pPr>
      <w:r>
        <w:t xml:space="preserve">Ministarstvo zaštite okoliša i prirode obavlja upravne i druge poslove koji se odnose na: </w:t>
      </w:r>
    </w:p>
    <w:p w:rsidR="00D849AA" w:rsidRDefault="00EE6D95">
      <w:pPr>
        <w:pStyle w:val="Normal3"/>
      </w:pPr>
      <w:r>
        <w:t xml:space="preserve">• opću politiku zaštite okoliša u ostvarivanju uvjeta za održivi razvitak; </w:t>
      </w:r>
    </w:p>
    <w:p w:rsidR="00D849AA" w:rsidRDefault="00EE6D95">
      <w:pPr>
        <w:pStyle w:val="Normal3"/>
      </w:pPr>
      <w:r>
        <w:t xml:space="preserve">• zaštitu zraka, tla, voda, mora, biljnog i životinjskog svijeta u ukupnosti uzajamnog djelovanja, osiguravanje praćenja stanja onečišćenja zraka, tla, voda i morskog okoliša te osiguravanje provedbe mjera radi sprječavanja onečišćavanja zraka, tla, voda i morskog okoliša, osiguravanje praćenja stanja te osiguravanje provedbe mjera radi sprječavanja svjetlosnog onečišćenja okoliša; </w:t>
      </w:r>
    </w:p>
    <w:p w:rsidR="00D849AA" w:rsidRDefault="00EE6D95">
      <w:pPr>
        <w:pStyle w:val="Normal3"/>
      </w:pPr>
      <w:r>
        <w:t xml:space="preserve">• praćenje stanja u vezi s uzrocima promjene klime i oštećenja ozonskog sloja, skrb o provedbi mjera ublaženja i prilagodbe klimatskim promjenama, provedbu mjera za smanjivanje tvari koje oštećuju ozonski sloj te provedbu mjera zaštite; </w:t>
      </w:r>
    </w:p>
    <w:p w:rsidR="00D849AA" w:rsidRDefault="00EE6D95">
      <w:pPr>
        <w:pStyle w:val="Normal3"/>
      </w:pPr>
      <w:r>
        <w:t xml:space="preserve">• izradu prijedloga mjera za unapređenje stanja u području zaštite okoliša, provedbu ciljeva zaštite okoliša utvrđenih strategijom zaštite okoliša i izradu izvješća o stanju okoliša u državi, predlaganje, promicanje i praćenje mjera za unapređivanje zaštite okoliša; </w:t>
      </w:r>
    </w:p>
    <w:p w:rsidR="00D849AA" w:rsidRDefault="00EE6D95">
      <w:pPr>
        <w:pStyle w:val="Normal3"/>
      </w:pPr>
      <w:r>
        <w:t xml:space="preserve">• provedbu procjene utjecaja na okoliš; </w:t>
      </w:r>
    </w:p>
    <w:p w:rsidR="00D849AA" w:rsidRDefault="00EE6D95">
      <w:pPr>
        <w:pStyle w:val="Normal3"/>
      </w:pPr>
      <w:r>
        <w:t xml:space="preserve">• osiguravanje provedbe katastra onečišćavanja; </w:t>
      </w:r>
    </w:p>
    <w:p w:rsidR="00D849AA" w:rsidRDefault="00EE6D95">
      <w:pPr>
        <w:pStyle w:val="Normal3"/>
      </w:pPr>
      <w:r>
        <w:t xml:space="preserve">• sustavno praćenje stanja okoliša (monitoring); </w:t>
      </w:r>
    </w:p>
    <w:p w:rsidR="00D849AA" w:rsidRDefault="00EE6D95">
      <w:pPr>
        <w:pStyle w:val="Normal3"/>
      </w:pPr>
      <w:r>
        <w:t xml:space="preserve">• vođenje informacijskog sustava zaštite okoliša, utvrđivanje mjera, uvjeta i suglasnosti zaštite okoliša; skrb, usklađivanje i vođenje nadzora nad financiranjem programa zaštite okoliša; </w:t>
      </w:r>
    </w:p>
    <w:p w:rsidR="00D849AA" w:rsidRDefault="00EE6D95">
      <w:pPr>
        <w:pStyle w:val="Normal3"/>
      </w:pPr>
      <w:r>
        <w:t xml:space="preserve">• postupanje s otpadom; </w:t>
      </w:r>
    </w:p>
    <w:p w:rsidR="00D849AA" w:rsidRDefault="00EE6D95">
      <w:pPr>
        <w:pStyle w:val="Normal3"/>
      </w:pPr>
      <w:r>
        <w:t xml:space="preserve">• pripremu prijedloga standarda zaštite okoliša; </w:t>
      </w:r>
    </w:p>
    <w:p w:rsidR="00D849AA" w:rsidRDefault="00EE6D95">
      <w:pPr>
        <w:pStyle w:val="Normal3"/>
      </w:pPr>
      <w:r>
        <w:t xml:space="preserve">• ocjenjivanje uvjeta za rad pravnih i fizičkih osoba iz područja zaštite okoliša; </w:t>
      </w:r>
    </w:p>
    <w:p w:rsidR="00D849AA" w:rsidRDefault="00EE6D95">
      <w:pPr>
        <w:pStyle w:val="Normal3"/>
      </w:pPr>
      <w:r>
        <w:t xml:space="preserve">• ostvarivanje međunarodne suradnje u zaštiti okoliša; </w:t>
      </w:r>
    </w:p>
    <w:p w:rsidR="00D849AA" w:rsidRDefault="00EE6D95">
      <w:pPr>
        <w:pStyle w:val="Normal3"/>
      </w:pPr>
      <w:r>
        <w:t xml:space="preserve">• određivanje strateške odrednice održivog razvitka po konceptu zelenog gospodarstva s ciljem poticanja stvaranja dodane vrijednosti u sektoru energetike, transporta i turizma; </w:t>
      </w:r>
    </w:p>
    <w:p w:rsidR="00D849AA" w:rsidRDefault="00EE6D95">
      <w:pPr>
        <w:pStyle w:val="Normal3"/>
      </w:pPr>
      <w:r>
        <w:t xml:space="preserve">• utvrđivanje politike djelovanja i obavljanje upravnoga nadzora i nadzora nad stručnim radom Fonda za zaštitu okoliša i energetsku učinkovitost; </w:t>
      </w:r>
    </w:p>
    <w:p w:rsidR="00D849AA" w:rsidRDefault="00EE6D95">
      <w:pPr>
        <w:pStyle w:val="Normal3"/>
      </w:pPr>
      <w:r>
        <w:t xml:space="preserve">• inspekcijske poslove zaštite okoliša; </w:t>
      </w:r>
    </w:p>
    <w:p w:rsidR="00D849AA" w:rsidRDefault="00EE6D95">
      <w:pPr>
        <w:pStyle w:val="Normal3"/>
      </w:pPr>
      <w:r>
        <w:t xml:space="preserve">• poticanje odgoja i obrazovanja te istraživanja u svezi sa zaštitom okoliša.  </w:t>
      </w:r>
    </w:p>
    <w:p w:rsidR="00D849AA" w:rsidRDefault="00EE6D95">
      <w:pPr>
        <w:pStyle w:val="Normal3"/>
      </w:pPr>
      <w:r>
        <w:t xml:space="preserve">Ministarstvo obavlja upravne i druge poslove koji se odnose na: </w:t>
      </w:r>
    </w:p>
    <w:p w:rsidR="00D849AA" w:rsidRDefault="00EE6D95">
      <w:pPr>
        <w:pStyle w:val="Normal3"/>
      </w:pPr>
      <w:r>
        <w:t xml:space="preserve">• istraživanje, proučavanje, praćenje, evidentiranje, dokumentiranje i promicanje prirodne baštine, središnju informacijsko-dokumentacijsku službu; </w:t>
      </w:r>
    </w:p>
    <w:p w:rsidR="00D849AA" w:rsidRDefault="00EE6D95">
      <w:pPr>
        <w:pStyle w:val="Normal3"/>
      </w:pPr>
      <w:r>
        <w:t xml:space="preserve">• utvrđivanje svojstva zaštićenih dijelova prirode te njihovo vrednovanje; </w:t>
      </w:r>
    </w:p>
    <w:p w:rsidR="00D849AA" w:rsidRDefault="00EE6D95">
      <w:pPr>
        <w:pStyle w:val="Normal3"/>
      </w:pPr>
      <w:r>
        <w:t xml:space="preserve">• vođenje središnjih upisnika zaštićenih dijelova prirode; </w:t>
      </w:r>
    </w:p>
    <w:p w:rsidR="00D849AA" w:rsidRDefault="00EE6D95">
      <w:pPr>
        <w:pStyle w:val="Normal3"/>
      </w:pPr>
      <w:r>
        <w:t xml:space="preserve">• propisivanje mjerila za utvrđivanje programa javnih potreba u području zaštite prirode Republike Hrvatske; </w:t>
      </w:r>
    </w:p>
    <w:p w:rsidR="00D849AA" w:rsidRDefault="00EE6D95">
      <w:pPr>
        <w:pStyle w:val="Normal3"/>
      </w:pPr>
      <w:r>
        <w:t xml:space="preserve">• skrb, usklađivanje i vođenje nadzora nad financiranjem programa zaštite prirode; </w:t>
      </w:r>
    </w:p>
    <w:p w:rsidR="00D849AA" w:rsidRDefault="00EE6D95">
      <w:pPr>
        <w:pStyle w:val="Normal3"/>
      </w:pPr>
      <w:r>
        <w:t xml:space="preserve">• osnivanje i nadzor nad ustanovama za obavljanje poslova djelatnosti zaštite prirode; </w:t>
      </w:r>
    </w:p>
    <w:p w:rsidR="00D849AA" w:rsidRDefault="00EE6D95">
      <w:pPr>
        <w:pStyle w:val="Normal3"/>
      </w:pPr>
      <w:r>
        <w:t xml:space="preserve">• ocjenjivanje uvjeta za rad pravnih i fizičkih osoba na poslovima zaštite prirode; </w:t>
      </w:r>
    </w:p>
    <w:p w:rsidR="00D849AA" w:rsidRDefault="00EE6D95">
      <w:pPr>
        <w:pStyle w:val="Normal3"/>
      </w:pPr>
      <w:r>
        <w:lastRenderedPageBreak/>
        <w:t xml:space="preserve">• osiguravanje uvjeta za obrazovanje i usavršavanje stručnih djelatnika u djelatnostima zaštite prirode, provedbu nadzora prometa, uvoza, izvoza zaštićenih dijelova prirode; </w:t>
      </w:r>
    </w:p>
    <w:p w:rsidR="00D849AA" w:rsidRDefault="00EE6D95">
      <w:pPr>
        <w:pStyle w:val="Normal3"/>
      </w:pPr>
      <w:r>
        <w:t xml:space="preserve">• utvrđivanje uvjeta za korištenje i namjenu zaštićenih dijelova prirode, te upravljanje zaštićenim dijelovima prirode; </w:t>
      </w:r>
    </w:p>
    <w:p w:rsidR="00D849AA" w:rsidRDefault="00EE6D95">
      <w:pPr>
        <w:pStyle w:val="Normal3"/>
      </w:pPr>
      <w:r>
        <w:t>• utvrđivanje uvjeta zaštite prirode; inspekcijske poslove zaštite prirode.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07705</w:t>
            </w:r>
          </w:p>
        </w:tc>
        <w:tc>
          <w:tcPr>
            <w:tcW w:w="1486" w:type="dxa"/>
          </w:tcPr>
          <w:p w:rsidR="00D849AA" w:rsidRDefault="00EE6D95">
            <w:r>
              <w:t>214.642.324</w:t>
            </w:r>
          </w:p>
        </w:tc>
        <w:tc>
          <w:tcPr>
            <w:tcW w:w="1486" w:type="dxa"/>
          </w:tcPr>
          <w:p w:rsidR="00D849AA" w:rsidRDefault="00EE6D95">
            <w:r>
              <w:t>404.100.736</w:t>
            </w:r>
          </w:p>
        </w:tc>
        <w:tc>
          <w:tcPr>
            <w:tcW w:w="1486" w:type="dxa"/>
          </w:tcPr>
          <w:p w:rsidR="00D849AA" w:rsidRDefault="00EE6D95">
            <w:r>
              <w:t>170.596.365</w:t>
            </w:r>
          </w:p>
        </w:tc>
        <w:tc>
          <w:tcPr>
            <w:tcW w:w="1486" w:type="dxa"/>
          </w:tcPr>
          <w:p w:rsidR="00D849AA" w:rsidRDefault="00EE6D95">
            <w:r>
              <w:t>190.356.813</w:t>
            </w:r>
          </w:p>
        </w:tc>
        <w:tc>
          <w:tcPr>
            <w:tcW w:w="1486" w:type="dxa"/>
          </w:tcPr>
          <w:p w:rsidR="00D849AA" w:rsidRDefault="00EE6D95">
            <w:r>
              <w:t>188,3</w:t>
            </w:r>
          </w:p>
        </w:tc>
      </w:tr>
    </w:tbl>
    <w:p w:rsidR="00D849AA" w:rsidRDefault="00D849AA">
      <w:pPr>
        <w:jc w:val="left"/>
      </w:pPr>
    </w:p>
    <w:p w:rsidR="00D849AA" w:rsidRDefault="00EE6D95">
      <w:pPr>
        <w:pStyle w:val="Naslov4"/>
      </w:pPr>
      <w:r>
        <w:t>OBRAZLOŽENJE PROGRAMA</w:t>
      </w:r>
    </w:p>
    <w:p w:rsidR="00D849AA" w:rsidRDefault="00EE6D95">
      <w:pPr>
        <w:pStyle w:val="Naslov5"/>
      </w:pPr>
      <w:r>
        <w:t>3401 ZAŠTITA PRIRODE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3401</w:t>
            </w:r>
          </w:p>
        </w:tc>
        <w:tc>
          <w:tcPr>
            <w:tcW w:w="1486" w:type="dxa"/>
          </w:tcPr>
          <w:p w:rsidR="00D849AA" w:rsidRDefault="00EE6D95">
            <w:r>
              <w:t>12.288.305</w:t>
            </w:r>
          </w:p>
        </w:tc>
        <w:tc>
          <w:tcPr>
            <w:tcW w:w="1486" w:type="dxa"/>
          </w:tcPr>
          <w:p w:rsidR="00D849AA" w:rsidRDefault="00EE6D95">
            <w:r>
              <w:t>16.318.077</w:t>
            </w:r>
          </w:p>
        </w:tc>
        <w:tc>
          <w:tcPr>
            <w:tcW w:w="1486" w:type="dxa"/>
          </w:tcPr>
          <w:p w:rsidR="00D849AA" w:rsidRDefault="00EE6D95">
            <w:r>
              <w:t>7.112.000</w:t>
            </w:r>
          </w:p>
        </w:tc>
        <w:tc>
          <w:tcPr>
            <w:tcW w:w="1486" w:type="dxa"/>
          </w:tcPr>
          <w:p w:rsidR="00D849AA" w:rsidRDefault="00EE6D95">
            <w:r>
              <w:t>6.690.000</w:t>
            </w:r>
          </w:p>
        </w:tc>
        <w:tc>
          <w:tcPr>
            <w:tcW w:w="1486" w:type="dxa"/>
          </w:tcPr>
          <w:p w:rsidR="00D849AA" w:rsidRDefault="00EE6D95">
            <w:r>
              <w:t>132,8</w:t>
            </w:r>
          </w:p>
        </w:tc>
      </w:tr>
    </w:tbl>
    <w:p w:rsidR="00D849AA" w:rsidRDefault="00D849AA">
      <w:pPr>
        <w:jc w:val="left"/>
      </w:pPr>
    </w:p>
    <w:p w:rsidR="00D849AA" w:rsidRDefault="00EE6D95">
      <w:pPr>
        <w:pStyle w:val="Naslov6"/>
      </w:pPr>
      <w:r>
        <w:t>Opis programa</w:t>
      </w:r>
    </w:p>
    <w:p w:rsidR="00D849AA" w:rsidRDefault="00EE6D95">
      <w:pPr>
        <w:pStyle w:val="Normal5"/>
      </w:pPr>
      <w:r>
        <w:t>Zaštićena i očuvana priroda osigurati će postojanost temeljnih vrijednosti i potencijala za daljnji razvitak Republike Hrvatske, kao i njenu afirmaciju u europskom okruženju kao zemlje s razvijenom svijesti o značaju očuvanja prirodnog bogatstva koje pametnim, promišljenim i održivim korištenjem osigurava višestruke razvojne pravce. Cilj je osigurati povoljno stanje očuvanosti vrsta i staništa važnih bilo na hrvatskoj i/ili europskoj razini. Definirati će se područja važna za očuvanje ugroženih i rijetkih vrsta i stanišnih tipova Europske unije – mreža NATURA 2000 (N2000); uspostaviti će se mehanizmi održivog upravljanja ekološkom mrežom Republike Hrvatske, mrežom N2000, ali i zaštićenim područjima. Proglasiti će se nova zaštićena područja te osigurati upravljanje strogo zaštićenim divljim vrstama. Nadalje, ojačati će se sustav upravljanja i nadzora u zaštiti prirode uspostavom informacijskog sustava zaštite prirode koji će osigurati brži protok i veću dostupnost potrebnih podataka. Edukacijom upravnih tijela županija, kao i stručnih i nadzornih službi javnih ustanova koje upravljaju zaštićenim područjima te aktivnim uključivanjem javnosti i zainteresirane javnosti, podići će se svijest o potrebi očuvanja prirode.</w:t>
      </w:r>
    </w:p>
    <w:p w:rsidR="00D849AA" w:rsidRDefault="00EE6D95">
      <w:pPr>
        <w:pStyle w:val="Naslov6"/>
      </w:pPr>
      <w:r>
        <w:t>Zakonske i druge pravne osnove</w:t>
      </w:r>
    </w:p>
    <w:p w:rsidR="00D849AA" w:rsidRDefault="00EE6D95">
      <w:pPr>
        <w:pStyle w:val="Normal5"/>
      </w:pPr>
      <w:r>
        <w:t xml:space="preserve">1. Zakon o zaštiti prirode (Narodne novine, broj 80/2013);  </w:t>
      </w:r>
    </w:p>
    <w:p w:rsidR="00D849AA" w:rsidRDefault="00EE6D95">
      <w:pPr>
        <w:pStyle w:val="Normal5"/>
      </w:pPr>
      <w:r>
        <w:t xml:space="preserve">2. Zakon o prekograničnom prometu i trgovini divljim vrstama (Narodne novine, broj 94/2103);  </w:t>
      </w:r>
    </w:p>
    <w:p w:rsidR="00D849AA" w:rsidRDefault="00EE6D95">
      <w:pPr>
        <w:pStyle w:val="Normal5"/>
      </w:pPr>
      <w:r>
        <w:t xml:space="preserve">3. Zakon o genetski modificiranim organizmima (Narodne novine, broj 70/2005, 137/2009, 28/2013); </w:t>
      </w:r>
    </w:p>
    <w:p w:rsidR="00D849AA" w:rsidRDefault="00EE6D95">
      <w:pPr>
        <w:pStyle w:val="Normal5"/>
      </w:pPr>
      <w:r>
        <w:t xml:space="preserve">4. Uredba o ekološkoj mreži (Narodne novine, broj 124/2103); </w:t>
      </w:r>
    </w:p>
    <w:p w:rsidR="00D849AA" w:rsidRDefault="00EE6D95">
      <w:pPr>
        <w:pStyle w:val="Normal5"/>
      </w:pPr>
      <w:r>
        <w:t xml:space="preserve">5. Strategija i akcijski plan zaštite biološke i krajobrazne raznolikosti Republike Hrvatske (Narodne novine, broj 143/08.);  </w:t>
      </w:r>
    </w:p>
    <w:p w:rsidR="00D849AA" w:rsidRDefault="00EE6D95">
      <w:pPr>
        <w:pStyle w:val="Normal5"/>
      </w:pPr>
      <w:r>
        <w:lastRenderedPageBreak/>
        <w:t>6. Nacionalni strateški referentni okvir.</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Cilj 1. Osigurano povoljno stanje očuvanosti vrsta i staništa</w:t>
      </w:r>
    </w:p>
    <w:p w:rsidR="00D849AA" w:rsidRDefault="00EE6D95">
      <w:pPr>
        <w:pStyle w:val="Normal6"/>
      </w:pPr>
      <w:r>
        <w:t xml:space="preserve">Hrvatska je po biološkoj raznolikosti jedna od najbogatijih zemalja Europe zahvaljujući svojem specifičnom geografskom položaju te karakterističnim ekološkim, klimatskim i geomorfološkim uvjetima. Usprkos visokoj vrijednosti prirode, mnoge njene sastavnice izrazito su ugrožene zbog prekomjernog korištenja prirodnih dobara u komercijalne svrhe. Pritisak ljudskih aktivnosti i korištenje prirodnih dobara u posljednjih nekoliko desetljeća značajno su porasli. </w:t>
      </w:r>
    </w:p>
    <w:p w:rsidR="00D849AA" w:rsidRDefault="00EE6D95">
      <w:pPr>
        <w:pStyle w:val="Normal6"/>
      </w:pPr>
      <w:r>
        <w:t xml:space="preserve"> </w:t>
      </w:r>
    </w:p>
    <w:p w:rsidR="00D849AA" w:rsidRDefault="00EE6D95">
      <w:pPr>
        <w:pStyle w:val="Normal6"/>
      </w:pPr>
      <w:r>
        <w:t xml:space="preserve">Kako bi očuvali i dugoročno osigurali opstanak divljih svojti i staništa u povoljnom stanju, a time ispunili i obveze Republike Hrvatske u predstojećem razdoblju unaprijedit će se upravljanje područjima ekološke mreže, zaštićenim područjima i divljih vrstama. Inventarizacijom svojta i staništa na kopnu i u moru te uspostavom (mehanizama) održivog i smislenog upravljanja područjima ekološke mreže osigurat će se njena postojanost što će pridonijeti očuvanju rijetkih i ugroženih svojta i staništa na razini Republike Hrvatske, ali i na europskoj razini. Primjena i poštivanje mjera zaštite omogućit će očuvanje svojti i staništa, ali i daljnji razvoj gospodarstva. Ostvarenju ovog Posebnog cilja doprinijet će i daljnje jačanje suradnje s relevantnim tijelima i institucijama na međunarodnoj razini (UNESCO, IUCN, itd.), provedba međunarodnih ugovora, sporazuma, protokola i mnogobrojnih projekata. </w:t>
      </w:r>
    </w:p>
    <w:p w:rsidR="00D849AA" w:rsidRDefault="00EE6D95">
      <w:pPr>
        <w:pStyle w:val="Normal6"/>
      </w:pPr>
      <w:r>
        <w:t>Navedeni opći cilj proizlazi iz Strategije i akcijskog plana zaštite biološke i krajobrazne raznolikosti Republike Hrvatske, studeni 2008. (Narodne novine, broj 143/2008) i u skladu je s prioritetima zašite prirode definiranim u nacrtima programskih dokumenata za razdoblje 2014. -2020.</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Postotak vrsta i staništa u povoljnom stanju očuvanosti</w:t>
            </w:r>
          </w:p>
        </w:tc>
        <w:tc>
          <w:tcPr>
            <w:tcW w:w="1114" w:type="dxa"/>
          </w:tcPr>
          <w:p w:rsidR="00D849AA" w:rsidRDefault="00EE6D95">
            <w:r>
              <w:t>%</w:t>
            </w:r>
          </w:p>
        </w:tc>
        <w:tc>
          <w:tcPr>
            <w:tcW w:w="1114" w:type="dxa"/>
          </w:tcPr>
          <w:p w:rsidR="00D849AA" w:rsidRDefault="00EE6D95">
            <w:r>
              <w:t>30</w:t>
            </w:r>
          </w:p>
        </w:tc>
        <w:tc>
          <w:tcPr>
            <w:tcW w:w="1486" w:type="dxa"/>
          </w:tcPr>
          <w:p w:rsidR="00D849AA" w:rsidRDefault="00EE6D95">
            <w:r>
              <w:t>31</w:t>
            </w:r>
          </w:p>
        </w:tc>
        <w:tc>
          <w:tcPr>
            <w:tcW w:w="1486" w:type="dxa"/>
          </w:tcPr>
          <w:p w:rsidR="00D849AA" w:rsidRDefault="00EE6D95">
            <w:r>
              <w:t>33</w:t>
            </w:r>
          </w:p>
        </w:tc>
        <w:tc>
          <w:tcPr>
            <w:tcW w:w="1486" w:type="dxa"/>
          </w:tcPr>
          <w:p w:rsidR="00D849AA" w:rsidRDefault="00EE6D95">
            <w:r>
              <w:t>35</w:t>
            </w:r>
          </w:p>
        </w:tc>
      </w:tr>
    </w:tbl>
    <w:p w:rsidR="00D849AA" w:rsidRDefault="00D849AA">
      <w:pPr>
        <w:jc w:val="left"/>
      </w:pPr>
    </w:p>
    <w:p w:rsidR="00D849AA" w:rsidRDefault="00EE6D95">
      <w:pPr>
        <w:pStyle w:val="Naslov7"/>
      </w:pPr>
      <w:r>
        <w:t xml:space="preserve">Cilj 2. Ojačan sustav upravljanja u zaštiti prirode </w:t>
      </w:r>
    </w:p>
    <w:p w:rsidR="00D849AA" w:rsidRDefault="00EE6D95">
      <w:pPr>
        <w:pStyle w:val="Normal6"/>
      </w:pPr>
      <w:r>
        <w:t xml:space="preserve">Prenormiranost, djelomična neusklađenost sa zakonima, kao i poteškoće u provedbi pojedinih podzakonskih akata prepoznati su kao jedan od problema uspostave djelotvornog sustava zaštite prirode. Problem predstavlja i nedovoljna educiranost te stručna osposobljenost upravnih i stručnih tijela. Jedan od ključnih problema je i nedovoljno razvijen sustav prikupljanja i evidentiranja podataka. Podaci se prikupljaju i sporadično ažuriraju u različitim tematskim bazama koje su često međusobno nekompatibilne, smještene u različitim tijelima čime je onemogućeno praćenje, obrada i analiza podataka te njihova dostupnost javnosti, upravnim i stručnim tijelima. Ozbiljan problem, posebno u rješavanju imovinsko-pravnih pitanja predstavlja činjenica da nije izvršen upis granica zaštićenih područja u nadležne registre (katastar, zemljišne knjige). </w:t>
      </w:r>
    </w:p>
    <w:p w:rsidR="00D849AA" w:rsidRDefault="00EE6D95">
      <w:pPr>
        <w:pStyle w:val="Normal6"/>
      </w:pPr>
      <w:r>
        <w:t xml:space="preserve"> </w:t>
      </w:r>
    </w:p>
    <w:p w:rsidR="00D849AA" w:rsidRDefault="00EE6D95">
      <w:pPr>
        <w:pStyle w:val="Normal6"/>
      </w:pPr>
      <w:r>
        <w:lastRenderedPageBreak/>
        <w:t xml:space="preserve">U narednom razdoblju planirano je donošenje i/ili tehničko usklađivanje podzakonskih akata kako bi se uklonili uočeni nedostaci. Unificiranost prikupljanja, pohrane i ažuriranja podataka o bioraznolikosti te njihova dostupnost krajnjem korisniku osigurat će se razvojem jedinstvenog informacijskog sustava zaštite prirode. Kako bi se podigla svijest o značaju i potrebi očuvanja prirode povećat će se aktivnosti koje se odnose na edukaciju, ali i uključivanje javnosti i zainteresirane javnosti. Također, tematski seminari i radionice doprinijet će edukaciji i stručnom usavršavanju upravnih i stručnih tijela. Pripremom dokumentacije za provedbu upisa u nadležne registre olakšat će se rješavanje imovinsko-pravnih pitanja u zaštićenim područjima. </w:t>
      </w:r>
    </w:p>
    <w:p w:rsidR="00D849AA" w:rsidRDefault="00EE6D95">
      <w:pPr>
        <w:pStyle w:val="Normal6"/>
      </w:pPr>
      <w:r>
        <w:t>Navedeni opći cilj proizlazi iz Strategije i akcijskog plana zaštite biološke i krajobrazne raznolikosti Republike Hrvatske, studeni 2008. (Narodne novine, broj 143/2008) i u skladu je s prioritetima zašite prirode definiranim u nacrtima programskih dokumenata za razdoblje 2014. -2020.</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D61DA2" w:rsidRDefault="00EE6D95">
            <w:pPr>
              <w:rPr>
                <w:rFonts w:ascii="Arial" w:hAnsi="Arial" w:cs="Arial"/>
              </w:rPr>
            </w:pPr>
            <w:r w:rsidRPr="00D61DA2">
              <w:rPr>
                <w:rFonts w:ascii="Arial" w:hAnsi="Arial" w:cs="Arial"/>
              </w:rPr>
              <w:t>Pokazatelj učinka</w:t>
            </w:r>
          </w:p>
        </w:tc>
        <w:tc>
          <w:tcPr>
            <w:tcW w:w="1114" w:type="dxa"/>
            <w:shd w:val="clear" w:color="auto" w:fill="B5C0D8"/>
          </w:tcPr>
          <w:p w:rsidR="00D849AA" w:rsidRPr="00D61DA2" w:rsidRDefault="00EE6D95">
            <w:pPr>
              <w:pStyle w:val="CellHeader"/>
            </w:pPr>
            <w:r w:rsidRPr="00D61DA2">
              <w:t>Jedinica</w:t>
            </w:r>
          </w:p>
        </w:tc>
        <w:tc>
          <w:tcPr>
            <w:tcW w:w="1114" w:type="dxa"/>
            <w:shd w:val="clear" w:color="auto" w:fill="B5C0D8"/>
          </w:tcPr>
          <w:p w:rsidR="00D849AA" w:rsidRPr="00D61DA2" w:rsidRDefault="00EE6D95">
            <w:pPr>
              <w:pStyle w:val="CellHeader"/>
            </w:pPr>
            <w:r w:rsidRPr="00D61DA2">
              <w:t>Polazna vrijednost</w:t>
            </w:r>
          </w:p>
        </w:tc>
        <w:tc>
          <w:tcPr>
            <w:tcW w:w="1486" w:type="dxa"/>
            <w:shd w:val="clear" w:color="auto" w:fill="B5C0D8"/>
          </w:tcPr>
          <w:p w:rsidR="00D849AA" w:rsidRPr="00D61DA2" w:rsidRDefault="00EE6D95">
            <w:pPr>
              <w:pStyle w:val="CellHeader"/>
            </w:pPr>
            <w:r w:rsidRPr="00D61DA2">
              <w:t>Ciljana vrijednost (2014.)</w:t>
            </w:r>
          </w:p>
        </w:tc>
        <w:tc>
          <w:tcPr>
            <w:tcW w:w="1486" w:type="dxa"/>
            <w:shd w:val="clear" w:color="auto" w:fill="B5C0D8"/>
          </w:tcPr>
          <w:p w:rsidR="00D849AA" w:rsidRPr="00D61DA2" w:rsidRDefault="00EE6D95">
            <w:pPr>
              <w:pStyle w:val="CellHeader"/>
            </w:pPr>
            <w:r w:rsidRPr="00D61DA2">
              <w:t>Ciljana vrijednost (2015.)</w:t>
            </w:r>
          </w:p>
        </w:tc>
        <w:tc>
          <w:tcPr>
            <w:tcW w:w="1486" w:type="dxa"/>
            <w:shd w:val="clear" w:color="auto" w:fill="B5C0D8"/>
          </w:tcPr>
          <w:p w:rsidR="00D849AA" w:rsidRPr="00D61DA2" w:rsidRDefault="00EE6D95">
            <w:pPr>
              <w:pStyle w:val="CellHeader"/>
            </w:pPr>
            <w:r w:rsidRPr="00D61DA2">
              <w:t>Ciljana vrijednost (2016.)</w:t>
            </w:r>
          </w:p>
        </w:tc>
      </w:tr>
      <w:tr w:rsidR="00D849AA">
        <w:trPr>
          <w:jc w:val="center"/>
        </w:trPr>
        <w:tc>
          <w:tcPr>
            <w:tcW w:w="2229" w:type="dxa"/>
          </w:tcPr>
          <w:p w:rsidR="00D849AA" w:rsidRPr="00D61DA2" w:rsidRDefault="00EE6D95">
            <w:pPr>
              <w:pStyle w:val="CellColumn"/>
            </w:pPr>
            <w:r w:rsidRPr="00D61DA2">
              <w:t>Postotak baza podataka povezanih u jedinstveni informacijski sustav zaštite prirode</w:t>
            </w:r>
          </w:p>
        </w:tc>
        <w:tc>
          <w:tcPr>
            <w:tcW w:w="1114" w:type="dxa"/>
          </w:tcPr>
          <w:p w:rsidR="00D849AA" w:rsidRPr="00D61DA2" w:rsidRDefault="00EE6D95">
            <w:pPr>
              <w:rPr>
                <w:rFonts w:ascii="Arial" w:hAnsi="Arial" w:cs="Arial"/>
              </w:rPr>
            </w:pPr>
            <w:r w:rsidRPr="00D61DA2">
              <w:rPr>
                <w:rFonts w:ascii="Arial" w:hAnsi="Arial" w:cs="Arial"/>
              </w:rPr>
              <w:t>%</w:t>
            </w:r>
          </w:p>
        </w:tc>
        <w:tc>
          <w:tcPr>
            <w:tcW w:w="1114" w:type="dxa"/>
          </w:tcPr>
          <w:p w:rsidR="00D849AA" w:rsidRPr="00D61DA2" w:rsidRDefault="00EE6D95">
            <w:pPr>
              <w:rPr>
                <w:rFonts w:ascii="Arial" w:hAnsi="Arial" w:cs="Arial"/>
              </w:rPr>
            </w:pPr>
            <w:r w:rsidRPr="00D61DA2">
              <w:rPr>
                <w:rFonts w:ascii="Arial" w:hAnsi="Arial" w:cs="Arial"/>
              </w:rPr>
              <w:t>50</w:t>
            </w:r>
          </w:p>
        </w:tc>
        <w:tc>
          <w:tcPr>
            <w:tcW w:w="1486" w:type="dxa"/>
          </w:tcPr>
          <w:p w:rsidR="00D849AA" w:rsidRPr="00D61DA2" w:rsidRDefault="00EE6D95">
            <w:pPr>
              <w:rPr>
                <w:rFonts w:ascii="Arial" w:hAnsi="Arial" w:cs="Arial"/>
              </w:rPr>
            </w:pPr>
            <w:r w:rsidRPr="00D61DA2">
              <w:rPr>
                <w:rFonts w:ascii="Arial" w:hAnsi="Arial" w:cs="Arial"/>
              </w:rPr>
              <w:t>70</w:t>
            </w:r>
          </w:p>
        </w:tc>
        <w:tc>
          <w:tcPr>
            <w:tcW w:w="1486" w:type="dxa"/>
          </w:tcPr>
          <w:p w:rsidR="00D849AA" w:rsidRPr="00D61DA2" w:rsidRDefault="00EE6D95">
            <w:pPr>
              <w:rPr>
                <w:rFonts w:ascii="Arial" w:hAnsi="Arial" w:cs="Arial"/>
              </w:rPr>
            </w:pPr>
            <w:r w:rsidRPr="00D61DA2">
              <w:rPr>
                <w:rFonts w:ascii="Arial" w:hAnsi="Arial" w:cs="Arial"/>
              </w:rPr>
              <w:t>70</w:t>
            </w:r>
          </w:p>
        </w:tc>
        <w:tc>
          <w:tcPr>
            <w:tcW w:w="1486" w:type="dxa"/>
          </w:tcPr>
          <w:p w:rsidR="00D849AA" w:rsidRPr="00D61DA2" w:rsidRDefault="00EE6D95">
            <w:pPr>
              <w:rPr>
                <w:rFonts w:ascii="Arial" w:hAnsi="Arial" w:cs="Arial"/>
              </w:rPr>
            </w:pPr>
            <w:r w:rsidRPr="00D61DA2">
              <w:rPr>
                <w:rFonts w:ascii="Arial" w:hAnsi="Arial" w:cs="Arial"/>
              </w:rPr>
              <w:t>100</w:t>
            </w:r>
          </w:p>
        </w:tc>
      </w:tr>
    </w:tbl>
    <w:p w:rsidR="00D849AA" w:rsidRDefault="00D849AA">
      <w:pPr>
        <w:jc w:val="left"/>
      </w:pPr>
    </w:p>
    <w:p w:rsidR="00D849AA" w:rsidRDefault="00EE6D95">
      <w:pPr>
        <w:pStyle w:val="Naslov7"/>
      </w:pPr>
      <w:r>
        <w:t xml:space="preserve">Cilj 3. Broj zaštićenih područja (nacionalnih parkova i parkova prirode) s postignutim optimalnim modelom (očuvanja) korištenja </w:t>
      </w:r>
    </w:p>
    <w:p w:rsidR="00D849AA" w:rsidRDefault="00EE6D95">
      <w:pPr>
        <w:pStyle w:val="Normal6"/>
      </w:pPr>
      <w:r>
        <w:t xml:space="preserve">Sadašnji model upravljanja nacionalnim parkovima i parkovima prirode ne osigurava njihovo učinkovito očuvanje i korištenje. Nekontrolirano i neujednačeno jačanje pojedinih javnih ustanova nacionalnih parkova i parkova prirode dovelo je do raskola u politici vođenja i upravljanja tih područja. Također, nedostatna infrastruktura za posjetitelje, ali i opasnost od nekontroliranog i prekomjernog korištenja predstavljaju prijetnju očuvanju zaštićenih područja, posebno nacionalnih parkova i parkova prirode te područja ekološke mreže. Sadašnja situacija ne može se opisati kao zadovoljavajuća, budući svega nekoliko područja ima centre za posjetitelje koji svojom kvalitetom i ponudom sadržaja mogu udovoljiti sve većim zahtjevima posjetitelja, broj poučnih staza, info-punktova i ostale osnovne posjetiteljske infrastrukture je premalen što onemogućuje kvalitetno i uspješno upravljanje pa time i očuvanje te korištenje navedenih područja.  </w:t>
      </w:r>
    </w:p>
    <w:p w:rsidR="00D849AA" w:rsidRDefault="00EE6D95">
      <w:pPr>
        <w:pStyle w:val="Normal6"/>
      </w:pPr>
      <w:r>
        <w:t xml:space="preserve">U narednom razdoblju jačati će se povezivanje javnih ustanova nacionalnih parkova i parkova prirode kako bi se pojednostavilo upravljanje i financiranje te omogućio lakši (zajednički) pristup fondovima Europske unije i dr. Nadalje, izgradnjom i uređenjem infrastrukture za posjetitelje pridonijet će se djelotvornom i učinkovitom očuvanju te optimalnom korištenju zaštićenih područja i područjima ekološke mreže. </w:t>
      </w:r>
    </w:p>
    <w:p w:rsidR="00D849AA" w:rsidRDefault="00EE6D95">
      <w:pPr>
        <w:pStyle w:val="Normal6"/>
      </w:pPr>
      <w:r>
        <w:t>Navedeni opći cilj proizlazi iz Strategije i akcijskog plana zaštite biološke i krajobrazne raznolikosti Republike Hrvatske, studeni 2008. (Narodne novine, broj 143/2008) i u skladu je s prioritetima zašite prirode definiranim u nacrtima programskih dokumenata za razdoblje 2014. -2020.</w:t>
      </w:r>
    </w:p>
    <w:p w:rsidR="00D61DA2" w:rsidRDefault="00D61DA2">
      <w:pPr>
        <w:pStyle w:val="Normal6"/>
      </w:pPr>
    </w:p>
    <w:p w:rsidR="00D61DA2" w:rsidRDefault="00D61DA2">
      <w:pPr>
        <w:pStyle w:val="Normal6"/>
      </w:pPr>
    </w:p>
    <w:p w:rsidR="00D849AA" w:rsidRDefault="00EE6D95">
      <w:pPr>
        <w:pStyle w:val="Naslov8"/>
        <w:jc w:val="left"/>
      </w:pPr>
      <w:r>
        <w:lastRenderedPageBreak/>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D61DA2" w:rsidRDefault="00EE6D95">
            <w:pPr>
              <w:rPr>
                <w:rFonts w:ascii="Arial" w:hAnsi="Arial" w:cs="Arial"/>
              </w:rPr>
            </w:pPr>
            <w:r w:rsidRPr="00D61DA2">
              <w:rPr>
                <w:rFonts w:ascii="Arial" w:hAnsi="Arial" w:cs="Arial"/>
              </w:rPr>
              <w:t>Pokazatelj učinka</w:t>
            </w:r>
          </w:p>
        </w:tc>
        <w:tc>
          <w:tcPr>
            <w:tcW w:w="1114" w:type="dxa"/>
            <w:shd w:val="clear" w:color="auto" w:fill="B5C0D8"/>
          </w:tcPr>
          <w:p w:rsidR="00D849AA" w:rsidRPr="00D61DA2" w:rsidRDefault="00EE6D95">
            <w:pPr>
              <w:pStyle w:val="CellHeader"/>
            </w:pPr>
            <w:r w:rsidRPr="00D61DA2">
              <w:t>Jedinica</w:t>
            </w:r>
          </w:p>
        </w:tc>
        <w:tc>
          <w:tcPr>
            <w:tcW w:w="1114" w:type="dxa"/>
            <w:shd w:val="clear" w:color="auto" w:fill="B5C0D8"/>
          </w:tcPr>
          <w:p w:rsidR="00D849AA" w:rsidRPr="00D61DA2" w:rsidRDefault="00EE6D95">
            <w:pPr>
              <w:pStyle w:val="CellHeader"/>
            </w:pPr>
            <w:r w:rsidRPr="00D61DA2">
              <w:t>Polazna vrijednost</w:t>
            </w:r>
          </w:p>
        </w:tc>
        <w:tc>
          <w:tcPr>
            <w:tcW w:w="1486" w:type="dxa"/>
            <w:shd w:val="clear" w:color="auto" w:fill="B5C0D8"/>
          </w:tcPr>
          <w:p w:rsidR="00D849AA" w:rsidRPr="00D61DA2" w:rsidRDefault="00EE6D95">
            <w:pPr>
              <w:pStyle w:val="CellHeader"/>
            </w:pPr>
            <w:r w:rsidRPr="00D61DA2">
              <w:t>Ciljana vrijednost (2014.)</w:t>
            </w:r>
          </w:p>
        </w:tc>
        <w:tc>
          <w:tcPr>
            <w:tcW w:w="1486" w:type="dxa"/>
            <w:shd w:val="clear" w:color="auto" w:fill="B5C0D8"/>
          </w:tcPr>
          <w:p w:rsidR="00D849AA" w:rsidRPr="00D61DA2" w:rsidRDefault="00EE6D95">
            <w:pPr>
              <w:pStyle w:val="CellHeader"/>
            </w:pPr>
            <w:r w:rsidRPr="00D61DA2">
              <w:t>Ciljana vrijednost (2015.)</w:t>
            </w:r>
          </w:p>
        </w:tc>
        <w:tc>
          <w:tcPr>
            <w:tcW w:w="1486" w:type="dxa"/>
            <w:shd w:val="clear" w:color="auto" w:fill="B5C0D8"/>
          </w:tcPr>
          <w:p w:rsidR="00D849AA" w:rsidRPr="00D61DA2" w:rsidRDefault="00EE6D95">
            <w:pPr>
              <w:pStyle w:val="CellHeader"/>
            </w:pPr>
            <w:r w:rsidRPr="00D61DA2">
              <w:t>Ciljana vrijednost (2016.)</w:t>
            </w:r>
          </w:p>
        </w:tc>
      </w:tr>
      <w:tr w:rsidR="00D849AA">
        <w:trPr>
          <w:jc w:val="center"/>
        </w:trPr>
        <w:tc>
          <w:tcPr>
            <w:tcW w:w="2229" w:type="dxa"/>
          </w:tcPr>
          <w:p w:rsidR="00D849AA" w:rsidRPr="00D61DA2" w:rsidRDefault="00EE6D95">
            <w:pPr>
              <w:pStyle w:val="CellColumn"/>
            </w:pPr>
            <w:r w:rsidRPr="00D61DA2">
              <w:t>Broj zaštićenih područja (nacionalnih parkova i parkova prirode) s postignutim optimalnim modelom (očuvanja) korištenja</w:t>
            </w:r>
          </w:p>
        </w:tc>
        <w:tc>
          <w:tcPr>
            <w:tcW w:w="1114" w:type="dxa"/>
          </w:tcPr>
          <w:p w:rsidR="00D849AA" w:rsidRPr="00D61DA2" w:rsidRDefault="00EE6D95">
            <w:pPr>
              <w:rPr>
                <w:rFonts w:ascii="Arial" w:hAnsi="Arial" w:cs="Arial"/>
              </w:rPr>
            </w:pPr>
            <w:r w:rsidRPr="00D61DA2">
              <w:rPr>
                <w:rFonts w:ascii="Arial" w:hAnsi="Arial" w:cs="Arial"/>
              </w:rPr>
              <w:t>broj</w:t>
            </w:r>
          </w:p>
        </w:tc>
        <w:tc>
          <w:tcPr>
            <w:tcW w:w="1114" w:type="dxa"/>
          </w:tcPr>
          <w:p w:rsidR="00D849AA" w:rsidRPr="00D61DA2" w:rsidRDefault="00EE6D95">
            <w:pPr>
              <w:rPr>
                <w:rFonts w:ascii="Arial" w:hAnsi="Arial" w:cs="Arial"/>
              </w:rPr>
            </w:pPr>
            <w:r w:rsidRPr="00D61DA2">
              <w:rPr>
                <w:rFonts w:ascii="Arial" w:hAnsi="Arial" w:cs="Arial"/>
              </w:rPr>
              <w:t>0</w:t>
            </w:r>
          </w:p>
        </w:tc>
        <w:tc>
          <w:tcPr>
            <w:tcW w:w="1486" w:type="dxa"/>
          </w:tcPr>
          <w:p w:rsidR="00D849AA" w:rsidRPr="00D61DA2" w:rsidRDefault="00EE6D95">
            <w:pPr>
              <w:rPr>
                <w:rFonts w:ascii="Arial" w:hAnsi="Arial" w:cs="Arial"/>
              </w:rPr>
            </w:pPr>
            <w:r w:rsidRPr="00D61DA2">
              <w:rPr>
                <w:rFonts w:ascii="Arial" w:hAnsi="Arial" w:cs="Arial"/>
              </w:rPr>
              <w:t>2</w:t>
            </w:r>
          </w:p>
        </w:tc>
        <w:tc>
          <w:tcPr>
            <w:tcW w:w="1486" w:type="dxa"/>
          </w:tcPr>
          <w:p w:rsidR="00D849AA" w:rsidRPr="00D61DA2" w:rsidRDefault="00EE6D95">
            <w:pPr>
              <w:rPr>
                <w:rFonts w:ascii="Arial" w:hAnsi="Arial" w:cs="Arial"/>
              </w:rPr>
            </w:pPr>
            <w:r w:rsidRPr="00D61DA2">
              <w:rPr>
                <w:rFonts w:ascii="Arial" w:hAnsi="Arial" w:cs="Arial"/>
              </w:rPr>
              <w:t>4</w:t>
            </w:r>
          </w:p>
        </w:tc>
        <w:tc>
          <w:tcPr>
            <w:tcW w:w="1486" w:type="dxa"/>
          </w:tcPr>
          <w:p w:rsidR="00D849AA" w:rsidRPr="00D61DA2" w:rsidRDefault="00EE6D95">
            <w:pPr>
              <w:rPr>
                <w:rFonts w:ascii="Arial" w:hAnsi="Arial" w:cs="Arial"/>
              </w:rPr>
            </w:pPr>
            <w:r w:rsidRPr="00D61DA2">
              <w:rPr>
                <w:rFonts w:ascii="Arial" w:hAnsi="Arial" w:cs="Arial"/>
              </w:rPr>
              <w:t>6</w:t>
            </w:r>
          </w:p>
        </w:tc>
      </w:tr>
    </w:tbl>
    <w:p w:rsidR="00D849AA" w:rsidRDefault="00D849AA">
      <w:pPr>
        <w:jc w:val="left"/>
      </w:pPr>
    </w:p>
    <w:p w:rsidR="00D849AA" w:rsidRDefault="00EE6D95">
      <w:pPr>
        <w:pStyle w:val="Naslov7"/>
      </w:pPr>
      <w:r>
        <w:t xml:space="preserve">Cilj 4. Ojačan sustav nadzora u zaštiti prirode </w:t>
      </w:r>
    </w:p>
    <w:p w:rsidR="00D849AA" w:rsidRDefault="00EE6D95">
      <w:pPr>
        <w:pStyle w:val="Normal6"/>
      </w:pPr>
      <w:r>
        <w:t xml:space="preserve">Za uspostavu djelotvornog sustava zaštite prirode nad zaštićenim prirodnim vrijednostima neophodno je jačanje sustava nadzora. Povećanje učinkovitosti nadzora osigurava se regulativom, stručnom osposobljenošću inspekcije i nadzornika, povećanim brojem nadzora te osiguravanjem nužne opreme za provedbu nadzora. </w:t>
      </w:r>
    </w:p>
    <w:p w:rsidR="00D849AA" w:rsidRDefault="00EE6D95">
      <w:pPr>
        <w:pStyle w:val="Normal6"/>
      </w:pPr>
      <w:r>
        <w:t xml:space="preserve">Planiranje tematskih i koordiniranih nadzora pridonosi sprečavanju devastacija i šteta po prirodne vrijednosti i na taj način pridonosi očuvanju svih sastavnica prirode.  </w:t>
      </w:r>
    </w:p>
    <w:p w:rsidR="00D849AA" w:rsidRDefault="00EE6D95">
      <w:pPr>
        <w:pStyle w:val="Normal6"/>
      </w:pPr>
      <w:r>
        <w:t>Jačanje kapaciteta inspekcije i nadzorne službe kao i tehnička opremljenost prepoznati su nedostaci koji onemogućavaju učinkovitije rješavanje problema u području očuvanja prirode i koje planski u narednim godinama treba otklanjati.</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D61DA2" w:rsidRDefault="00EE6D95">
            <w:pPr>
              <w:rPr>
                <w:rFonts w:ascii="Arial" w:hAnsi="Arial" w:cs="Arial"/>
              </w:rPr>
            </w:pPr>
            <w:r w:rsidRPr="00D61DA2">
              <w:rPr>
                <w:rFonts w:ascii="Arial" w:hAnsi="Arial" w:cs="Arial"/>
              </w:rPr>
              <w:t>Pokazatelj učinka</w:t>
            </w:r>
          </w:p>
        </w:tc>
        <w:tc>
          <w:tcPr>
            <w:tcW w:w="1114" w:type="dxa"/>
            <w:shd w:val="clear" w:color="auto" w:fill="B5C0D8"/>
          </w:tcPr>
          <w:p w:rsidR="00D849AA" w:rsidRPr="00D61DA2" w:rsidRDefault="00EE6D95">
            <w:pPr>
              <w:pStyle w:val="CellHeader"/>
            </w:pPr>
            <w:r w:rsidRPr="00D61DA2">
              <w:t>Jedinica</w:t>
            </w:r>
          </w:p>
        </w:tc>
        <w:tc>
          <w:tcPr>
            <w:tcW w:w="1114" w:type="dxa"/>
            <w:shd w:val="clear" w:color="auto" w:fill="B5C0D8"/>
          </w:tcPr>
          <w:p w:rsidR="00D849AA" w:rsidRPr="00D61DA2" w:rsidRDefault="00EE6D95">
            <w:pPr>
              <w:pStyle w:val="CellHeader"/>
            </w:pPr>
            <w:r w:rsidRPr="00D61DA2">
              <w:t>Polazna vrijednost</w:t>
            </w:r>
          </w:p>
        </w:tc>
        <w:tc>
          <w:tcPr>
            <w:tcW w:w="1486" w:type="dxa"/>
            <w:shd w:val="clear" w:color="auto" w:fill="B5C0D8"/>
          </w:tcPr>
          <w:p w:rsidR="00D849AA" w:rsidRPr="00D61DA2" w:rsidRDefault="00EE6D95">
            <w:pPr>
              <w:pStyle w:val="CellHeader"/>
            </w:pPr>
            <w:r w:rsidRPr="00D61DA2">
              <w:t>Ciljana vrijednost (2014.)</w:t>
            </w:r>
          </w:p>
        </w:tc>
        <w:tc>
          <w:tcPr>
            <w:tcW w:w="1486" w:type="dxa"/>
            <w:shd w:val="clear" w:color="auto" w:fill="B5C0D8"/>
          </w:tcPr>
          <w:p w:rsidR="00D849AA" w:rsidRPr="00D61DA2" w:rsidRDefault="00EE6D95">
            <w:pPr>
              <w:pStyle w:val="CellHeader"/>
            </w:pPr>
            <w:r w:rsidRPr="00D61DA2">
              <w:t>Ciljana vrijednost (2015.)</w:t>
            </w:r>
          </w:p>
        </w:tc>
        <w:tc>
          <w:tcPr>
            <w:tcW w:w="1486" w:type="dxa"/>
            <w:shd w:val="clear" w:color="auto" w:fill="B5C0D8"/>
          </w:tcPr>
          <w:p w:rsidR="00D849AA" w:rsidRPr="00D61DA2" w:rsidRDefault="00EE6D95">
            <w:pPr>
              <w:pStyle w:val="CellHeader"/>
            </w:pPr>
            <w:r w:rsidRPr="00D61DA2">
              <w:t>Ciljana vrijednost (2016.)</w:t>
            </w:r>
          </w:p>
        </w:tc>
      </w:tr>
      <w:tr w:rsidR="00D849AA">
        <w:trPr>
          <w:jc w:val="center"/>
        </w:trPr>
        <w:tc>
          <w:tcPr>
            <w:tcW w:w="2229" w:type="dxa"/>
          </w:tcPr>
          <w:p w:rsidR="00D849AA" w:rsidRPr="00D61DA2" w:rsidRDefault="00EE6D95">
            <w:pPr>
              <w:pStyle w:val="CellColumn"/>
            </w:pPr>
            <w:r w:rsidRPr="00D61DA2">
              <w:t>Postotak realiziranih planiranih inspekcijskih nadzora</w:t>
            </w:r>
          </w:p>
        </w:tc>
        <w:tc>
          <w:tcPr>
            <w:tcW w:w="1114" w:type="dxa"/>
          </w:tcPr>
          <w:p w:rsidR="00D849AA" w:rsidRPr="00D61DA2" w:rsidRDefault="00EE6D95">
            <w:pPr>
              <w:rPr>
                <w:rFonts w:ascii="Arial" w:hAnsi="Arial" w:cs="Arial"/>
              </w:rPr>
            </w:pPr>
            <w:r w:rsidRPr="00D61DA2">
              <w:rPr>
                <w:rFonts w:ascii="Arial" w:hAnsi="Arial" w:cs="Arial"/>
              </w:rPr>
              <w:t>%</w:t>
            </w:r>
          </w:p>
        </w:tc>
        <w:tc>
          <w:tcPr>
            <w:tcW w:w="1114" w:type="dxa"/>
          </w:tcPr>
          <w:p w:rsidR="00D849AA" w:rsidRPr="00D61DA2" w:rsidRDefault="00EE6D95">
            <w:pPr>
              <w:rPr>
                <w:rFonts w:ascii="Arial" w:hAnsi="Arial" w:cs="Arial"/>
              </w:rPr>
            </w:pPr>
            <w:r w:rsidRPr="00D61DA2">
              <w:rPr>
                <w:rFonts w:ascii="Arial" w:hAnsi="Arial" w:cs="Arial"/>
              </w:rPr>
              <w:t>54</w:t>
            </w:r>
          </w:p>
        </w:tc>
        <w:tc>
          <w:tcPr>
            <w:tcW w:w="1486" w:type="dxa"/>
          </w:tcPr>
          <w:p w:rsidR="00D849AA" w:rsidRPr="00D61DA2" w:rsidRDefault="00EE6D95">
            <w:pPr>
              <w:rPr>
                <w:rFonts w:ascii="Arial" w:hAnsi="Arial" w:cs="Arial"/>
              </w:rPr>
            </w:pPr>
            <w:r w:rsidRPr="00D61DA2">
              <w:rPr>
                <w:rFonts w:ascii="Arial" w:hAnsi="Arial" w:cs="Arial"/>
              </w:rPr>
              <w:t>55</w:t>
            </w:r>
          </w:p>
        </w:tc>
        <w:tc>
          <w:tcPr>
            <w:tcW w:w="1486" w:type="dxa"/>
          </w:tcPr>
          <w:p w:rsidR="00D849AA" w:rsidRPr="00D61DA2" w:rsidRDefault="00EE6D95">
            <w:pPr>
              <w:rPr>
                <w:rFonts w:ascii="Arial" w:hAnsi="Arial" w:cs="Arial"/>
              </w:rPr>
            </w:pPr>
            <w:r w:rsidRPr="00D61DA2">
              <w:rPr>
                <w:rFonts w:ascii="Arial" w:hAnsi="Arial" w:cs="Arial"/>
              </w:rPr>
              <w:t>56</w:t>
            </w:r>
          </w:p>
        </w:tc>
        <w:tc>
          <w:tcPr>
            <w:tcW w:w="1486" w:type="dxa"/>
          </w:tcPr>
          <w:p w:rsidR="00D849AA" w:rsidRPr="00D61DA2" w:rsidRDefault="00EE6D95">
            <w:pPr>
              <w:rPr>
                <w:rFonts w:ascii="Arial" w:hAnsi="Arial" w:cs="Arial"/>
              </w:rPr>
            </w:pPr>
            <w:r w:rsidRPr="00D61DA2">
              <w:rPr>
                <w:rFonts w:ascii="Arial" w:hAnsi="Arial" w:cs="Arial"/>
              </w:rPr>
              <w:t>57</w:t>
            </w:r>
          </w:p>
        </w:tc>
      </w:tr>
    </w:tbl>
    <w:p w:rsidR="00D849AA" w:rsidRDefault="00D849AA">
      <w:pPr>
        <w:jc w:val="left"/>
      </w:pPr>
    </w:p>
    <w:p w:rsidR="00D849AA" w:rsidRDefault="00EE6D95">
      <w:pPr>
        <w:pStyle w:val="Naslov5"/>
      </w:pPr>
      <w:r>
        <w:t>Procjena i ishodište potrebnih sredstava za značajnije aktivnosti/projekte</w:t>
      </w:r>
    </w:p>
    <w:p w:rsidR="00D849AA" w:rsidRDefault="00EE6D95">
      <w:pPr>
        <w:pStyle w:val="Naslov6"/>
      </w:pPr>
      <w:r>
        <w:t>A779006 ZAŠTITA PRIRODE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D61DA2" w:rsidRDefault="00EE6D95">
            <w:pPr>
              <w:pStyle w:val="CellHeader"/>
            </w:pPr>
            <w:r w:rsidRPr="00D61DA2">
              <w:t>Naziv aktivnosti</w:t>
            </w:r>
          </w:p>
        </w:tc>
        <w:tc>
          <w:tcPr>
            <w:tcW w:w="1486" w:type="dxa"/>
            <w:shd w:val="clear" w:color="auto" w:fill="B5C0D8"/>
          </w:tcPr>
          <w:p w:rsidR="00D849AA" w:rsidRPr="00D61DA2" w:rsidRDefault="00EE6D95">
            <w:pPr>
              <w:pStyle w:val="CellHeader"/>
            </w:pPr>
            <w:r w:rsidRPr="00D61DA2">
              <w:t>Plan 2013.</w:t>
            </w:r>
          </w:p>
        </w:tc>
        <w:tc>
          <w:tcPr>
            <w:tcW w:w="1486" w:type="dxa"/>
            <w:shd w:val="clear" w:color="auto" w:fill="B5C0D8"/>
          </w:tcPr>
          <w:p w:rsidR="00D849AA" w:rsidRPr="00D61DA2" w:rsidRDefault="00EE6D95">
            <w:pPr>
              <w:pStyle w:val="CellHeader"/>
            </w:pPr>
            <w:r w:rsidRPr="00D61DA2">
              <w:t>Plan 2014.</w:t>
            </w:r>
          </w:p>
        </w:tc>
        <w:tc>
          <w:tcPr>
            <w:tcW w:w="1486" w:type="dxa"/>
            <w:shd w:val="clear" w:color="auto" w:fill="B5C0D8"/>
          </w:tcPr>
          <w:p w:rsidR="00D849AA" w:rsidRPr="00D61DA2" w:rsidRDefault="00EE6D95">
            <w:pPr>
              <w:pStyle w:val="CellHeader"/>
            </w:pPr>
            <w:r w:rsidRPr="00D61DA2">
              <w:t>Plan 2015.</w:t>
            </w:r>
          </w:p>
        </w:tc>
        <w:tc>
          <w:tcPr>
            <w:tcW w:w="1486" w:type="dxa"/>
            <w:shd w:val="clear" w:color="auto" w:fill="B5C0D8"/>
          </w:tcPr>
          <w:p w:rsidR="00D849AA" w:rsidRPr="00D61DA2" w:rsidRDefault="00EE6D95">
            <w:pPr>
              <w:pStyle w:val="CellHeader"/>
            </w:pPr>
            <w:r w:rsidRPr="00D61DA2">
              <w:t>Plan 2016.</w:t>
            </w:r>
          </w:p>
        </w:tc>
        <w:tc>
          <w:tcPr>
            <w:tcW w:w="1486" w:type="dxa"/>
            <w:shd w:val="clear" w:color="auto" w:fill="B5C0D8"/>
          </w:tcPr>
          <w:p w:rsidR="00D849AA" w:rsidRPr="00D61DA2" w:rsidRDefault="00EE6D95">
            <w:pPr>
              <w:pStyle w:val="CellHeader"/>
            </w:pPr>
            <w:r w:rsidRPr="00D61DA2">
              <w:t>Indeks 2014/2013</w:t>
            </w:r>
          </w:p>
        </w:tc>
      </w:tr>
      <w:tr w:rsidR="00D849AA">
        <w:trPr>
          <w:jc w:val="center"/>
        </w:trPr>
        <w:tc>
          <w:tcPr>
            <w:tcW w:w="1486" w:type="dxa"/>
          </w:tcPr>
          <w:p w:rsidR="00D849AA" w:rsidRPr="00D61DA2" w:rsidRDefault="00EE6D95">
            <w:pPr>
              <w:pStyle w:val="CellColumn"/>
            </w:pPr>
            <w:r w:rsidRPr="00D61DA2">
              <w:t>A779006</w:t>
            </w:r>
          </w:p>
        </w:tc>
        <w:tc>
          <w:tcPr>
            <w:tcW w:w="1486" w:type="dxa"/>
          </w:tcPr>
          <w:p w:rsidR="00D849AA" w:rsidRPr="00D61DA2" w:rsidRDefault="00EE6D95">
            <w:pPr>
              <w:rPr>
                <w:rFonts w:ascii="Arial" w:hAnsi="Arial" w:cs="Arial"/>
              </w:rPr>
            </w:pPr>
            <w:r w:rsidRPr="00D61DA2">
              <w:rPr>
                <w:rFonts w:ascii="Arial" w:hAnsi="Arial" w:cs="Arial"/>
              </w:rPr>
              <w:t>4.160.875</w:t>
            </w:r>
          </w:p>
        </w:tc>
        <w:tc>
          <w:tcPr>
            <w:tcW w:w="1486" w:type="dxa"/>
          </w:tcPr>
          <w:p w:rsidR="00D849AA" w:rsidRPr="00D61DA2" w:rsidRDefault="00EE6D95">
            <w:pPr>
              <w:rPr>
                <w:rFonts w:ascii="Arial" w:hAnsi="Arial" w:cs="Arial"/>
              </w:rPr>
            </w:pPr>
            <w:r w:rsidRPr="00D61DA2">
              <w:rPr>
                <w:rFonts w:ascii="Arial" w:hAnsi="Arial" w:cs="Arial"/>
              </w:rPr>
              <w:t>8.550.000</w:t>
            </w:r>
          </w:p>
        </w:tc>
        <w:tc>
          <w:tcPr>
            <w:tcW w:w="1486" w:type="dxa"/>
          </w:tcPr>
          <w:p w:rsidR="00D849AA" w:rsidRPr="00D61DA2" w:rsidRDefault="00EE6D95">
            <w:pPr>
              <w:rPr>
                <w:rFonts w:ascii="Arial" w:hAnsi="Arial" w:cs="Arial"/>
              </w:rPr>
            </w:pPr>
            <w:r w:rsidRPr="00D61DA2">
              <w:rPr>
                <w:rFonts w:ascii="Arial" w:hAnsi="Arial" w:cs="Arial"/>
              </w:rPr>
              <w:t>6.640.000</w:t>
            </w:r>
          </w:p>
        </w:tc>
        <w:tc>
          <w:tcPr>
            <w:tcW w:w="1486" w:type="dxa"/>
          </w:tcPr>
          <w:p w:rsidR="00D849AA" w:rsidRPr="00D61DA2" w:rsidRDefault="00EE6D95">
            <w:pPr>
              <w:rPr>
                <w:rFonts w:ascii="Arial" w:hAnsi="Arial" w:cs="Arial"/>
              </w:rPr>
            </w:pPr>
            <w:r w:rsidRPr="00D61DA2">
              <w:rPr>
                <w:rFonts w:ascii="Arial" w:hAnsi="Arial" w:cs="Arial"/>
              </w:rPr>
              <w:t>6.690.000</w:t>
            </w:r>
          </w:p>
        </w:tc>
        <w:tc>
          <w:tcPr>
            <w:tcW w:w="1486" w:type="dxa"/>
          </w:tcPr>
          <w:p w:rsidR="00D849AA" w:rsidRPr="00D61DA2" w:rsidRDefault="00EE6D95">
            <w:pPr>
              <w:rPr>
                <w:rFonts w:ascii="Arial" w:hAnsi="Arial" w:cs="Arial"/>
              </w:rPr>
            </w:pPr>
            <w:r w:rsidRPr="00D61DA2">
              <w:rPr>
                <w:rFonts w:ascii="Arial" w:hAnsi="Arial" w:cs="Arial"/>
              </w:rPr>
              <w:t>205,5</w:t>
            </w:r>
          </w:p>
        </w:tc>
      </w:tr>
    </w:tbl>
    <w:p w:rsidR="00D849AA" w:rsidRDefault="00D849AA">
      <w:pPr>
        <w:jc w:val="left"/>
      </w:pPr>
    </w:p>
    <w:p w:rsidR="00D849AA" w:rsidRDefault="00EE6D95">
      <w:pPr>
        <w:pStyle w:val="Normal6"/>
      </w:pPr>
      <w:r>
        <w:t xml:space="preserve">U 2014. godini sredstva na ovoj stavci osiguravaju se za troškove izrade ekspertnih podloga za provedbene propise za ekspertnu determinaciju (utvrđivanje) vrste kod prekograničnog prometa i trgovine primjercima temeljem Zakona o prekograničnom prometu i trgovini divljim vrstama, za koordinaciju revizije NSAP-a, utvrđivanje prijevoda vodiča Europske komisije vezano uz provedbu ekološke mreže Natura 2000, provedbu aktivnosti vezanih uz pripremu za nominaciju za tentativnu listu za Dinarski krš, za naknadu rada vještaka za izradu studije modela dodjele koncesija za speleološke </w:t>
      </w:r>
      <w:r>
        <w:lastRenderedPageBreak/>
        <w:t xml:space="preserve">objekte. Sredstva na ovom kontu u odnosu na 2013. godinu povećana su zbog izrade studije modela dodjele koncesija za speleološke objekte te prevođenje na hrvatski jezik vodiča Europske komisije vezano uz provedbu ekološke mreže Natura 2000.  </w:t>
      </w:r>
    </w:p>
    <w:p w:rsidR="00D849AA" w:rsidRDefault="00EE6D95">
      <w:pPr>
        <w:pStyle w:val="Normal6"/>
      </w:pPr>
      <w:r>
        <w:t>Navedeni iznos za naknadu rada vještaka planiran je temeljem dosadašnjeg modela isplate naknade vještačenja temeljem ugovora o vještačenju u kojima je propisan paušalni iznos po pojedinom vještačenju.</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rsidRPr="00D61DA2">
        <w:trPr>
          <w:jc w:val="center"/>
        </w:trPr>
        <w:tc>
          <w:tcPr>
            <w:tcW w:w="2229" w:type="dxa"/>
            <w:shd w:val="clear" w:color="auto" w:fill="B5C0D8"/>
          </w:tcPr>
          <w:p w:rsidR="00D849AA" w:rsidRPr="00D61DA2" w:rsidRDefault="00EE6D95">
            <w:pPr>
              <w:rPr>
                <w:rFonts w:ascii="Arial" w:hAnsi="Arial" w:cs="Arial"/>
              </w:rPr>
            </w:pPr>
            <w:r w:rsidRPr="00D61DA2">
              <w:rPr>
                <w:rFonts w:ascii="Arial" w:hAnsi="Arial" w:cs="Arial"/>
              </w:rPr>
              <w:t>Pokazatelj rezultata</w:t>
            </w:r>
          </w:p>
        </w:tc>
        <w:tc>
          <w:tcPr>
            <w:tcW w:w="1114" w:type="dxa"/>
            <w:shd w:val="clear" w:color="auto" w:fill="B5C0D8"/>
          </w:tcPr>
          <w:p w:rsidR="00D849AA" w:rsidRPr="00D61DA2" w:rsidRDefault="00EE6D95">
            <w:pPr>
              <w:pStyle w:val="CellHeader"/>
            </w:pPr>
            <w:r w:rsidRPr="00D61DA2">
              <w:t>Jedinica</w:t>
            </w:r>
          </w:p>
        </w:tc>
        <w:tc>
          <w:tcPr>
            <w:tcW w:w="1114" w:type="dxa"/>
            <w:shd w:val="clear" w:color="auto" w:fill="B5C0D8"/>
          </w:tcPr>
          <w:p w:rsidR="00D849AA" w:rsidRPr="00D61DA2" w:rsidRDefault="00EE6D95">
            <w:pPr>
              <w:pStyle w:val="CellHeader"/>
            </w:pPr>
            <w:r w:rsidRPr="00D61DA2">
              <w:t>Polazna vrijednost</w:t>
            </w:r>
          </w:p>
        </w:tc>
        <w:tc>
          <w:tcPr>
            <w:tcW w:w="1486" w:type="dxa"/>
            <w:shd w:val="clear" w:color="auto" w:fill="B5C0D8"/>
          </w:tcPr>
          <w:p w:rsidR="00D849AA" w:rsidRPr="00D61DA2" w:rsidRDefault="00EE6D95">
            <w:pPr>
              <w:pStyle w:val="CellHeader"/>
            </w:pPr>
            <w:r w:rsidRPr="00D61DA2">
              <w:t>Ciljana vrijednost (2014.)</w:t>
            </w:r>
          </w:p>
        </w:tc>
        <w:tc>
          <w:tcPr>
            <w:tcW w:w="1486" w:type="dxa"/>
            <w:shd w:val="clear" w:color="auto" w:fill="B5C0D8"/>
          </w:tcPr>
          <w:p w:rsidR="00D849AA" w:rsidRPr="00D61DA2" w:rsidRDefault="00EE6D95">
            <w:pPr>
              <w:pStyle w:val="CellHeader"/>
            </w:pPr>
            <w:r w:rsidRPr="00D61DA2">
              <w:t>Ciljana vrijednost (2015.)</w:t>
            </w:r>
          </w:p>
        </w:tc>
        <w:tc>
          <w:tcPr>
            <w:tcW w:w="1486" w:type="dxa"/>
            <w:shd w:val="clear" w:color="auto" w:fill="B5C0D8"/>
          </w:tcPr>
          <w:p w:rsidR="00D849AA" w:rsidRPr="00D61DA2" w:rsidRDefault="00EE6D95">
            <w:pPr>
              <w:pStyle w:val="CellHeader"/>
            </w:pPr>
            <w:r w:rsidRPr="00D61DA2">
              <w:t>Ciljana vrijednost (2016.)</w:t>
            </w:r>
          </w:p>
        </w:tc>
      </w:tr>
      <w:tr w:rsidR="00D849AA" w:rsidRPr="00D61DA2">
        <w:trPr>
          <w:jc w:val="center"/>
        </w:trPr>
        <w:tc>
          <w:tcPr>
            <w:tcW w:w="2229" w:type="dxa"/>
          </w:tcPr>
          <w:p w:rsidR="00D849AA" w:rsidRPr="00D61DA2" w:rsidRDefault="00EE6D95">
            <w:pPr>
              <w:pStyle w:val="CellColumn"/>
            </w:pPr>
            <w:r w:rsidRPr="00D61DA2">
              <w:t>Kontinuirano održavanje temetskih seminara, stručnih skupova i radionica iz zaštite prirode</w:t>
            </w:r>
          </w:p>
        </w:tc>
        <w:tc>
          <w:tcPr>
            <w:tcW w:w="1114" w:type="dxa"/>
          </w:tcPr>
          <w:p w:rsidR="00D849AA" w:rsidRPr="00D61DA2" w:rsidRDefault="00EE6D95">
            <w:pPr>
              <w:rPr>
                <w:rFonts w:ascii="Arial" w:hAnsi="Arial" w:cs="Arial"/>
              </w:rPr>
            </w:pPr>
            <w:r w:rsidRPr="00D61DA2">
              <w:rPr>
                <w:rFonts w:ascii="Arial" w:hAnsi="Arial" w:cs="Arial"/>
              </w:rPr>
              <w:t>BROJ</w:t>
            </w:r>
          </w:p>
        </w:tc>
        <w:tc>
          <w:tcPr>
            <w:tcW w:w="1114" w:type="dxa"/>
          </w:tcPr>
          <w:p w:rsidR="00D849AA" w:rsidRPr="00D61DA2" w:rsidRDefault="00EE6D95">
            <w:pPr>
              <w:rPr>
                <w:rFonts w:ascii="Arial" w:hAnsi="Arial" w:cs="Arial"/>
              </w:rPr>
            </w:pPr>
            <w:r w:rsidRPr="00D61DA2">
              <w:rPr>
                <w:rFonts w:ascii="Arial" w:hAnsi="Arial" w:cs="Arial"/>
              </w:rPr>
              <w:t>6</w:t>
            </w:r>
          </w:p>
        </w:tc>
        <w:tc>
          <w:tcPr>
            <w:tcW w:w="1486" w:type="dxa"/>
          </w:tcPr>
          <w:p w:rsidR="00D849AA" w:rsidRPr="00D61DA2" w:rsidRDefault="00EE6D95">
            <w:pPr>
              <w:rPr>
                <w:rFonts w:ascii="Arial" w:hAnsi="Arial" w:cs="Arial"/>
              </w:rPr>
            </w:pPr>
            <w:r w:rsidRPr="00D61DA2">
              <w:rPr>
                <w:rFonts w:ascii="Arial" w:hAnsi="Arial" w:cs="Arial"/>
              </w:rPr>
              <w:t>6</w:t>
            </w:r>
          </w:p>
        </w:tc>
        <w:tc>
          <w:tcPr>
            <w:tcW w:w="1486" w:type="dxa"/>
          </w:tcPr>
          <w:p w:rsidR="00D849AA" w:rsidRPr="00D61DA2" w:rsidRDefault="00EE6D95">
            <w:pPr>
              <w:rPr>
                <w:rFonts w:ascii="Arial" w:hAnsi="Arial" w:cs="Arial"/>
              </w:rPr>
            </w:pPr>
            <w:r w:rsidRPr="00D61DA2">
              <w:rPr>
                <w:rFonts w:ascii="Arial" w:hAnsi="Arial" w:cs="Arial"/>
              </w:rPr>
              <w:t>6</w:t>
            </w:r>
          </w:p>
        </w:tc>
        <w:tc>
          <w:tcPr>
            <w:tcW w:w="1486" w:type="dxa"/>
          </w:tcPr>
          <w:p w:rsidR="00D849AA" w:rsidRPr="00D61DA2" w:rsidRDefault="00EE6D95">
            <w:pPr>
              <w:rPr>
                <w:rFonts w:ascii="Arial" w:hAnsi="Arial" w:cs="Arial"/>
              </w:rPr>
            </w:pPr>
            <w:r w:rsidRPr="00D61DA2">
              <w:rPr>
                <w:rFonts w:ascii="Arial" w:hAnsi="Arial" w:cs="Arial"/>
              </w:rPr>
              <w:t>6</w:t>
            </w:r>
          </w:p>
        </w:tc>
      </w:tr>
    </w:tbl>
    <w:p w:rsidR="00D849AA" w:rsidRPr="00D61DA2" w:rsidRDefault="00D849AA">
      <w:pPr>
        <w:jc w:val="left"/>
        <w:rPr>
          <w:rFonts w:ascii="Arial" w:hAnsi="Arial" w:cs="Arial"/>
        </w:rPr>
      </w:pPr>
    </w:p>
    <w:p w:rsidR="00D849AA" w:rsidRDefault="00EE6D95">
      <w:pPr>
        <w:pStyle w:val="Naslov6"/>
      </w:pPr>
      <w:r>
        <w:t>A784005 TEHNIČKA POMOĆ EUROPSKE KOMISIJE ZA PROVEDBU STRATEGIJE EUROPSKE UNIJE ZA DUNAVSKU REGIJU</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D61DA2" w:rsidRDefault="00EE6D95">
            <w:pPr>
              <w:pStyle w:val="CellHeader"/>
            </w:pPr>
            <w:r w:rsidRPr="00D61DA2">
              <w:t>Naziv aktivnosti</w:t>
            </w:r>
          </w:p>
        </w:tc>
        <w:tc>
          <w:tcPr>
            <w:tcW w:w="1486" w:type="dxa"/>
            <w:shd w:val="clear" w:color="auto" w:fill="B5C0D8"/>
          </w:tcPr>
          <w:p w:rsidR="00D849AA" w:rsidRPr="00D61DA2" w:rsidRDefault="00EE6D95">
            <w:pPr>
              <w:pStyle w:val="CellHeader"/>
            </w:pPr>
            <w:r w:rsidRPr="00D61DA2">
              <w:t>Plan 2013.</w:t>
            </w:r>
          </w:p>
        </w:tc>
        <w:tc>
          <w:tcPr>
            <w:tcW w:w="1486" w:type="dxa"/>
            <w:shd w:val="clear" w:color="auto" w:fill="B5C0D8"/>
          </w:tcPr>
          <w:p w:rsidR="00D849AA" w:rsidRPr="00D61DA2" w:rsidRDefault="00EE6D95">
            <w:pPr>
              <w:pStyle w:val="CellHeader"/>
            </w:pPr>
            <w:r w:rsidRPr="00D61DA2">
              <w:t>Plan 2014.</w:t>
            </w:r>
          </w:p>
        </w:tc>
        <w:tc>
          <w:tcPr>
            <w:tcW w:w="1486" w:type="dxa"/>
            <w:shd w:val="clear" w:color="auto" w:fill="B5C0D8"/>
          </w:tcPr>
          <w:p w:rsidR="00D849AA" w:rsidRPr="00D61DA2" w:rsidRDefault="00EE6D95">
            <w:pPr>
              <w:pStyle w:val="CellHeader"/>
            </w:pPr>
            <w:r w:rsidRPr="00D61DA2">
              <w:t>Plan 2015.</w:t>
            </w:r>
          </w:p>
        </w:tc>
        <w:tc>
          <w:tcPr>
            <w:tcW w:w="1486" w:type="dxa"/>
            <w:shd w:val="clear" w:color="auto" w:fill="B5C0D8"/>
          </w:tcPr>
          <w:p w:rsidR="00D849AA" w:rsidRPr="00D61DA2" w:rsidRDefault="00EE6D95">
            <w:pPr>
              <w:pStyle w:val="CellHeader"/>
            </w:pPr>
            <w:r w:rsidRPr="00D61DA2">
              <w:t>Plan 2016.</w:t>
            </w:r>
          </w:p>
        </w:tc>
        <w:tc>
          <w:tcPr>
            <w:tcW w:w="1486" w:type="dxa"/>
            <w:shd w:val="clear" w:color="auto" w:fill="B5C0D8"/>
          </w:tcPr>
          <w:p w:rsidR="00D849AA" w:rsidRPr="00D61DA2" w:rsidRDefault="00EE6D95">
            <w:pPr>
              <w:pStyle w:val="CellHeader"/>
            </w:pPr>
            <w:r w:rsidRPr="00D61DA2">
              <w:t>Indeks 2014/2013</w:t>
            </w:r>
          </w:p>
        </w:tc>
      </w:tr>
      <w:tr w:rsidR="00D849AA">
        <w:trPr>
          <w:jc w:val="center"/>
        </w:trPr>
        <w:tc>
          <w:tcPr>
            <w:tcW w:w="1486" w:type="dxa"/>
          </w:tcPr>
          <w:p w:rsidR="00D849AA" w:rsidRPr="00D61DA2" w:rsidRDefault="00EE6D95">
            <w:pPr>
              <w:pStyle w:val="CellColumn"/>
            </w:pPr>
            <w:r w:rsidRPr="00D61DA2">
              <w:t>A784005</w:t>
            </w:r>
          </w:p>
        </w:tc>
        <w:tc>
          <w:tcPr>
            <w:tcW w:w="1486" w:type="dxa"/>
          </w:tcPr>
          <w:p w:rsidR="00D849AA" w:rsidRPr="00D61DA2" w:rsidRDefault="00EE6D95">
            <w:pPr>
              <w:rPr>
                <w:rFonts w:ascii="Arial" w:hAnsi="Arial" w:cs="Arial"/>
              </w:rPr>
            </w:pPr>
            <w:r w:rsidRPr="00D61DA2">
              <w:rPr>
                <w:rFonts w:ascii="Arial" w:hAnsi="Arial" w:cs="Arial"/>
              </w:rPr>
              <w:t>314.500</w:t>
            </w:r>
          </w:p>
        </w:tc>
        <w:tc>
          <w:tcPr>
            <w:tcW w:w="1486" w:type="dxa"/>
          </w:tcPr>
          <w:p w:rsidR="00D849AA" w:rsidRPr="00D61DA2" w:rsidRDefault="00EE6D95">
            <w:pPr>
              <w:rPr>
                <w:rFonts w:ascii="Arial" w:hAnsi="Arial" w:cs="Arial"/>
              </w:rPr>
            </w:pPr>
            <w:r w:rsidRPr="00D61DA2">
              <w:rPr>
                <w:rFonts w:ascii="Arial" w:hAnsi="Arial" w:cs="Arial"/>
              </w:rPr>
              <w:t>403.500</w:t>
            </w:r>
          </w:p>
        </w:tc>
        <w:tc>
          <w:tcPr>
            <w:tcW w:w="1486" w:type="dxa"/>
          </w:tcPr>
          <w:p w:rsidR="00D849AA" w:rsidRPr="00D61DA2" w:rsidRDefault="00EE6D95">
            <w:pPr>
              <w:rPr>
                <w:rFonts w:ascii="Arial" w:hAnsi="Arial" w:cs="Arial"/>
              </w:rPr>
            </w:pPr>
            <w:r w:rsidRPr="00D61DA2">
              <w:rPr>
                <w:rFonts w:ascii="Arial" w:hAnsi="Arial" w:cs="Arial"/>
              </w:rPr>
              <w:t>472.000</w:t>
            </w:r>
          </w:p>
        </w:tc>
        <w:tc>
          <w:tcPr>
            <w:tcW w:w="1486" w:type="dxa"/>
          </w:tcPr>
          <w:p w:rsidR="00D849AA" w:rsidRPr="00D61DA2" w:rsidRDefault="00EE6D95">
            <w:pPr>
              <w:rPr>
                <w:rFonts w:ascii="Arial" w:hAnsi="Arial" w:cs="Arial"/>
              </w:rPr>
            </w:pPr>
            <w:r w:rsidRPr="00D61DA2">
              <w:rPr>
                <w:rFonts w:ascii="Arial" w:hAnsi="Arial" w:cs="Arial"/>
              </w:rPr>
              <w:t>00</w:t>
            </w:r>
          </w:p>
        </w:tc>
        <w:tc>
          <w:tcPr>
            <w:tcW w:w="1486" w:type="dxa"/>
          </w:tcPr>
          <w:p w:rsidR="00D849AA" w:rsidRPr="00D61DA2" w:rsidRDefault="00EE6D95">
            <w:pPr>
              <w:rPr>
                <w:rFonts w:ascii="Arial" w:hAnsi="Arial" w:cs="Arial"/>
              </w:rPr>
            </w:pPr>
            <w:r w:rsidRPr="00D61DA2">
              <w:rPr>
                <w:rFonts w:ascii="Arial" w:hAnsi="Arial" w:cs="Arial"/>
              </w:rPr>
              <w:t>128,3</w:t>
            </w:r>
          </w:p>
        </w:tc>
      </w:tr>
    </w:tbl>
    <w:p w:rsidR="00D849AA" w:rsidRDefault="00D849AA">
      <w:pPr>
        <w:jc w:val="left"/>
      </w:pPr>
    </w:p>
    <w:p w:rsidR="00D849AA" w:rsidRDefault="00EE6D95">
      <w:pPr>
        <w:pStyle w:val="Normal6"/>
      </w:pPr>
      <w:r>
        <w:t>Strategija Europske Unije za dunavsku regiju predstavlja okvir za suradnju 14 zemalja dunavske regije te jačanje dunavskog identiteta, kao i fokusirano korištenje fondova Europske unije. Za svako od ukupno 11 prioritetnih područja Strategije, Europska komisija je imenovala po dva su-koordinatora. Prioritetno područje 6 „Očuvanje bioraznolikosti, krajobraza te kvalitete zraka i tla“ zajednički koordiniraju Bavarsko državno ministarstvo okoliša i javnog zdravstva te Ministarstvo zaštite okoliša i prirode Republike Hrvatske. Za potrebe su-koordiniranja prioritetnog područja 6 „Očuvanje biološke raznolikosti, krajobraza, kvalitete vode i tla“ sredstvima tehničke pomoći Europske komisije osiguravaju se potrebni preduvjeti za učinkovito vođenje i usklađivanje odgovarajućih aktivnosti (regionalne inicijative, umrežavanje relevantnih dionika) organizacija sastanaka kao i koordinacija Operativne radne skupine, koju čine predstavnici 14 država dunavske regije s ciljem implementacije Strategije. U tijeku je provedba aktivnosti prema Ugovoru o tehničkoj pomoći za 2012. - 2014., s potrošnjom dijela sredstava u 2015. godini.</w:t>
      </w:r>
    </w:p>
    <w:p w:rsidR="00D849AA" w:rsidRDefault="00EE6D95">
      <w:pPr>
        <w:pStyle w:val="Naslov6"/>
      </w:pPr>
      <w:r>
        <w:t>K784004 IPA  I 2009 PRIPREMA PLANOVA UPRAVLJANJA I JAČANJE INSPEKCIJE NATURA 2000</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D61DA2" w:rsidRDefault="00EE6D95">
            <w:pPr>
              <w:pStyle w:val="CellHeader"/>
            </w:pPr>
            <w:r w:rsidRPr="00D61DA2">
              <w:t>Naziv aktivnosti</w:t>
            </w:r>
          </w:p>
        </w:tc>
        <w:tc>
          <w:tcPr>
            <w:tcW w:w="1486" w:type="dxa"/>
            <w:shd w:val="clear" w:color="auto" w:fill="B5C0D8"/>
          </w:tcPr>
          <w:p w:rsidR="00D849AA" w:rsidRPr="00D61DA2" w:rsidRDefault="00EE6D95">
            <w:pPr>
              <w:pStyle w:val="CellHeader"/>
            </w:pPr>
            <w:r w:rsidRPr="00D61DA2">
              <w:t>Plan 2013.</w:t>
            </w:r>
          </w:p>
        </w:tc>
        <w:tc>
          <w:tcPr>
            <w:tcW w:w="1486" w:type="dxa"/>
            <w:shd w:val="clear" w:color="auto" w:fill="B5C0D8"/>
          </w:tcPr>
          <w:p w:rsidR="00D849AA" w:rsidRPr="00D61DA2" w:rsidRDefault="00EE6D95">
            <w:pPr>
              <w:pStyle w:val="CellHeader"/>
            </w:pPr>
            <w:r w:rsidRPr="00D61DA2">
              <w:t>Plan 2014.</w:t>
            </w:r>
          </w:p>
        </w:tc>
        <w:tc>
          <w:tcPr>
            <w:tcW w:w="1486" w:type="dxa"/>
            <w:shd w:val="clear" w:color="auto" w:fill="B5C0D8"/>
          </w:tcPr>
          <w:p w:rsidR="00D849AA" w:rsidRPr="00D61DA2" w:rsidRDefault="00EE6D95">
            <w:pPr>
              <w:pStyle w:val="CellHeader"/>
            </w:pPr>
            <w:r w:rsidRPr="00D61DA2">
              <w:t>Plan 2015.</w:t>
            </w:r>
          </w:p>
        </w:tc>
        <w:tc>
          <w:tcPr>
            <w:tcW w:w="1486" w:type="dxa"/>
            <w:shd w:val="clear" w:color="auto" w:fill="B5C0D8"/>
          </w:tcPr>
          <w:p w:rsidR="00D849AA" w:rsidRPr="00D61DA2" w:rsidRDefault="00EE6D95">
            <w:pPr>
              <w:pStyle w:val="CellHeader"/>
            </w:pPr>
            <w:r w:rsidRPr="00D61DA2">
              <w:t>Plan 2016.</w:t>
            </w:r>
          </w:p>
        </w:tc>
        <w:tc>
          <w:tcPr>
            <w:tcW w:w="1486" w:type="dxa"/>
            <w:shd w:val="clear" w:color="auto" w:fill="B5C0D8"/>
          </w:tcPr>
          <w:p w:rsidR="00D849AA" w:rsidRPr="00D61DA2" w:rsidRDefault="00EE6D95">
            <w:pPr>
              <w:pStyle w:val="CellHeader"/>
            </w:pPr>
            <w:r w:rsidRPr="00D61DA2">
              <w:t>Indeks 2014/2013</w:t>
            </w:r>
          </w:p>
        </w:tc>
      </w:tr>
      <w:tr w:rsidR="00D849AA">
        <w:trPr>
          <w:jc w:val="center"/>
        </w:trPr>
        <w:tc>
          <w:tcPr>
            <w:tcW w:w="1486" w:type="dxa"/>
          </w:tcPr>
          <w:p w:rsidR="00D849AA" w:rsidRPr="00D61DA2" w:rsidRDefault="00EE6D95">
            <w:pPr>
              <w:pStyle w:val="CellColumn"/>
            </w:pPr>
            <w:r w:rsidRPr="00D61DA2">
              <w:t>K784004</w:t>
            </w:r>
          </w:p>
        </w:tc>
        <w:tc>
          <w:tcPr>
            <w:tcW w:w="1486" w:type="dxa"/>
          </w:tcPr>
          <w:p w:rsidR="00D849AA" w:rsidRPr="00D61DA2" w:rsidRDefault="00EE6D95">
            <w:pPr>
              <w:rPr>
                <w:rFonts w:ascii="Arial" w:hAnsi="Arial" w:cs="Arial"/>
              </w:rPr>
            </w:pPr>
            <w:r w:rsidRPr="00D61DA2">
              <w:rPr>
                <w:rFonts w:ascii="Arial" w:hAnsi="Arial" w:cs="Arial"/>
              </w:rPr>
              <w:t>7.311.430</w:t>
            </w:r>
          </w:p>
        </w:tc>
        <w:tc>
          <w:tcPr>
            <w:tcW w:w="1486" w:type="dxa"/>
          </w:tcPr>
          <w:p w:rsidR="00D849AA" w:rsidRPr="00D61DA2" w:rsidRDefault="00EE6D95">
            <w:pPr>
              <w:rPr>
                <w:rFonts w:ascii="Arial" w:hAnsi="Arial" w:cs="Arial"/>
              </w:rPr>
            </w:pPr>
            <w:r w:rsidRPr="00D61DA2">
              <w:rPr>
                <w:rFonts w:ascii="Arial" w:hAnsi="Arial" w:cs="Arial"/>
              </w:rPr>
              <w:t>5.925.577</w:t>
            </w:r>
          </w:p>
        </w:tc>
        <w:tc>
          <w:tcPr>
            <w:tcW w:w="1486" w:type="dxa"/>
          </w:tcPr>
          <w:p w:rsidR="00D849AA" w:rsidRPr="00D61DA2" w:rsidRDefault="00EE6D95">
            <w:pPr>
              <w:rPr>
                <w:rFonts w:ascii="Arial" w:hAnsi="Arial" w:cs="Arial"/>
              </w:rPr>
            </w:pPr>
            <w:r w:rsidRPr="00D61DA2">
              <w:rPr>
                <w:rFonts w:ascii="Arial" w:hAnsi="Arial" w:cs="Arial"/>
              </w:rPr>
              <w:t>00</w:t>
            </w:r>
          </w:p>
        </w:tc>
        <w:tc>
          <w:tcPr>
            <w:tcW w:w="1486" w:type="dxa"/>
          </w:tcPr>
          <w:p w:rsidR="00D849AA" w:rsidRPr="00D61DA2" w:rsidRDefault="00EE6D95">
            <w:pPr>
              <w:rPr>
                <w:rFonts w:ascii="Arial" w:hAnsi="Arial" w:cs="Arial"/>
              </w:rPr>
            </w:pPr>
            <w:r w:rsidRPr="00D61DA2">
              <w:rPr>
                <w:rFonts w:ascii="Arial" w:hAnsi="Arial" w:cs="Arial"/>
              </w:rPr>
              <w:t>00</w:t>
            </w:r>
          </w:p>
        </w:tc>
        <w:tc>
          <w:tcPr>
            <w:tcW w:w="1486" w:type="dxa"/>
          </w:tcPr>
          <w:p w:rsidR="00D849AA" w:rsidRPr="00D61DA2" w:rsidRDefault="00EE6D95">
            <w:pPr>
              <w:rPr>
                <w:rFonts w:ascii="Arial" w:hAnsi="Arial" w:cs="Arial"/>
              </w:rPr>
            </w:pPr>
            <w:r w:rsidRPr="00D61DA2">
              <w:rPr>
                <w:rFonts w:ascii="Arial" w:hAnsi="Arial" w:cs="Arial"/>
              </w:rPr>
              <w:t>81,0</w:t>
            </w:r>
          </w:p>
        </w:tc>
      </w:tr>
    </w:tbl>
    <w:p w:rsidR="00D849AA" w:rsidRDefault="00D849AA">
      <w:pPr>
        <w:jc w:val="left"/>
      </w:pPr>
    </w:p>
    <w:p w:rsidR="00D849AA" w:rsidRDefault="00EE6D95">
      <w:pPr>
        <w:pStyle w:val="Normal6"/>
      </w:pPr>
      <w:r>
        <w:lastRenderedPageBreak/>
        <w:t xml:space="preserve">U tijeku je realizacija Twinning projekta IPA 2009 „Razvoj nacionalnog informacijskog sustava za nadzor zaštite prirode“ čija je svrha osiguranje održivog upravljanja i jačanje nadzora u Natura 2000 područjima kroz jačanje administracije podataka o bioraznolikosti. Vrijednost projekta je 241.955,35 EUR-a, a završna implementacija projekta će očekuje tijekom 2014. godine. </w:t>
      </w:r>
    </w:p>
    <w:p w:rsidR="00D849AA" w:rsidRDefault="00EE6D95">
      <w:pPr>
        <w:pStyle w:val="Normal6"/>
      </w:pPr>
      <w:r>
        <w:t>U okviru projekta IPA 2009 „Nabava opreme za nacionalni informacijski sustav za nadzor zaštite prirode“ predviđena je nabava opreme za inspekciju zaštite prirode i službu čuvara prirode. Vrijednost projekta je 450.000,00 EUR-a, a konačna realizacija cijelog projekta je planirana u 2014. godini.</w:t>
      </w:r>
    </w:p>
    <w:p w:rsidR="00D849AA" w:rsidRDefault="00EE6D95">
      <w:pPr>
        <w:pStyle w:val="Naslov6"/>
      </w:pPr>
      <w:r>
        <w:t>K784014 IPA 2011 FFRAC-ENIA -JAČANJE KAPACITETA SVIH NADLEŽNIH DRŽAVNIH TIJELA ZA OCIJENU PRIHVATLJIVOSTI ZAHVATA ZA EKOLOŠKU MREŽU (OPZEM)</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K784014</w:t>
            </w:r>
          </w:p>
        </w:tc>
        <w:tc>
          <w:tcPr>
            <w:tcW w:w="1486" w:type="dxa"/>
          </w:tcPr>
          <w:p w:rsidR="00D849AA" w:rsidRDefault="00EE6D95">
            <w:r>
              <w:t>283.500</w:t>
            </w:r>
          </w:p>
        </w:tc>
        <w:tc>
          <w:tcPr>
            <w:tcW w:w="1486" w:type="dxa"/>
          </w:tcPr>
          <w:p w:rsidR="00D849AA" w:rsidRDefault="00EE6D95">
            <w:r>
              <w:t>1.439.000</w:t>
            </w:r>
          </w:p>
        </w:tc>
        <w:tc>
          <w:tcPr>
            <w:tcW w:w="1486" w:type="dxa"/>
          </w:tcPr>
          <w:p w:rsidR="00D849AA" w:rsidRDefault="00EE6D95">
            <w:r>
              <w:t>00</w:t>
            </w:r>
          </w:p>
        </w:tc>
        <w:tc>
          <w:tcPr>
            <w:tcW w:w="1486" w:type="dxa"/>
          </w:tcPr>
          <w:p w:rsidR="00D849AA" w:rsidRDefault="00EE6D95">
            <w:r>
              <w:t>00</w:t>
            </w:r>
          </w:p>
        </w:tc>
        <w:tc>
          <w:tcPr>
            <w:tcW w:w="1486" w:type="dxa"/>
          </w:tcPr>
          <w:p w:rsidR="00D849AA" w:rsidRDefault="00EE6D95">
            <w:r>
              <w:t>507,6</w:t>
            </w:r>
          </w:p>
        </w:tc>
      </w:tr>
    </w:tbl>
    <w:p w:rsidR="00D849AA" w:rsidRDefault="00D849AA">
      <w:pPr>
        <w:jc w:val="left"/>
      </w:pPr>
    </w:p>
    <w:p w:rsidR="00D849AA" w:rsidRDefault="00EE6D95">
      <w:pPr>
        <w:pStyle w:val="Normal6"/>
      </w:pPr>
      <w:r>
        <w:t>Projekt naziva „Strengthening the capacity of all relevant authorities for Ecological Network Impact Assessment (ENIA) započeti će tijekom I. kvartala 2014. godine. Radi se o Twinning Light (TWL) projektu ukupne vrijednosti 188.889 EUR od čega je 10% nacionalno sufinanciranje (18.889 EUR), a 90% IPA sredstva (170.000 EUR). Cilj Projekta je podrška hrvatskim institucijama (nadležnim tijelima) u provedbi postupka ocjene prihvatljivosti zahvata za ekološku mrežu uz poboljšanja implementacije europske legislative u zakonodavni okvir vezano uz članke 6.3 i 6.4. Direktive o staništima te najbolju europsku praksu.</w:t>
      </w:r>
    </w:p>
    <w:p w:rsidR="00D61DA2" w:rsidRDefault="00D61DA2">
      <w:pPr>
        <w:pStyle w:val="Normal6"/>
      </w:pPr>
    </w:p>
    <w:p w:rsidR="00D61DA2" w:rsidRDefault="00D61DA2" w:rsidP="00D61DA2">
      <w:pPr>
        <w:pStyle w:val="Naslov4"/>
      </w:pPr>
      <w:r>
        <w:t>OBRAZLOŽENJE PROGRAMA</w:t>
      </w:r>
    </w:p>
    <w:p w:rsidR="00D849AA" w:rsidRDefault="00EE6D95">
      <w:pPr>
        <w:pStyle w:val="Naslov5"/>
      </w:pPr>
      <w:r>
        <w:t>3402 ZAŠTITA OKOLIŠA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3402</w:t>
            </w:r>
          </w:p>
        </w:tc>
        <w:tc>
          <w:tcPr>
            <w:tcW w:w="1486" w:type="dxa"/>
          </w:tcPr>
          <w:p w:rsidR="00D849AA" w:rsidRDefault="00EE6D95">
            <w:r>
              <w:t>89.572.659</w:t>
            </w:r>
          </w:p>
        </w:tc>
        <w:tc>
          <w:tcPr>
            <w:tcW w:w="1486" w:type="dxa"/>
          </w:tcPr>
          <w:p w:rsidR="00D849AA" w:rsidRDefault="00EE6D95">
            <w:r>
              <w:t>96.879.399</w:t>
            </w:r>
          </w:p>
        </w:tc>
        <w:tc>
          <w:tcPr>
            <w:tcW w:w="1486" w:type="dxa"/>
          </w:tcPr>
          <w:p w:rsidR="00D849AA" w:rsidRDefault="00EE6D95">
            <w:r>
              <w:t>88.326.896</w:t>
            </w:r>
          </w:p>
        </w:tc>
        <w:tc>
          <w:tcPr>
            <w:tcW w:w="1486" w:type="dxa"/>
          </w:tcPr>
          <w:p w:rsidR="00D849AA" w:rsidRDefault="00EE6D95">
            <w:r>
              <w:t>91.973.110</w:t>
            </w:r>
          </w:p>
        </w:tc>
        <w:tc>
          <w:tcPr>
            <w:tcW w:w="1486" w:type="dxa"/>
          </w:tcPr>
          <w:p w:rsidR="00D849AA" w:rsidRDefault="00EE6D95">
            <w:r>
              <w:t>108,2</w:t>
            </w:r>
          </w:p>
        </w:tc>
      </w:tr>
    </w:tbl>
    <w:p w:rsidR="00D849AA" w:rsidRDefault="00D849AA">
      <w:pPr>
        <w:jc w:val="left"/>
      </w:pPr>
    </w:p>
    <w:p w:rsidR="00D849AA" w:rsidRDefault="00EE6D95">
      <w:pPr>
        <w:pStyle w:val="Naslov6"/>
      </w:pPr>
      <w:r>
        <w:t>Opis programa</w:t>
      </w:r>
    </w:p>
    <w:p w:rsidR="00D849AA" w:rsidRDefault="00EE6D95">
      <w:pPr>
        <w:pStyle w:val="Normal5"/>
      </w:pPr>
      <w:r>
        <w:t xml:space="preserve">Zaštita okoliša nesumnjivo je jedna od najzahtjevnijih i najsloženijih aktivnosti koja zadire u sve dijelove organizacije ljudskoga društva. Prirodni okoliš u kojem živimo (zrak, voda, zemljište, biljke, životinje, itd.) osigurava nam ostvarenje naših životnih potreba. Međutim, naše potrebe, životne navike i interesi, koje priroda neposredno ne može zadovoljiti, neprestano rastu. Stoga, oslanjajući se na prirodu, stvaramo nove elemente i oblikujemo svoj okoliš, različit od prirodnog. Održivi razvoj je onaj koji zadovoljava potrebe sadašnjih generacija, a da istodobno ne onemogućuje buduće generacije da zadovolje svoje potrebe. Strategijom održivog razvoja Republike Hrvatske se dugoročno usmjerava gospodarski i socijalni razvoj te zaštita okoliša prema održivom razvoju države. Strategijom se utvrđuju smjernice dugoročnog djelovanja definiranjem ciljeva i utvrđivanjem mjera za njihovo </w:t>
      </w:r>
      <w:r>
        <w:lastRenderedPageBreak/>
        <w:t>ostvarenje, uvažavajući postojeće stanje i preuzete međunarodne obveze. Ciljevi u Strategiji zaštite okoliša su zaštita okoliša i očuvanje i održivo korištenje prirodnih resursa, unapređivanje upravljanja okolišem i sprečavanje onečišćenja okoliša, promjena zakonskog, upravljačkog, financijskog i institucionalnog okvira na lokalnoj i na državnoj razini uključujući kadrovsko jačanje, u duhu procesa pristupanja Europskoj uniji, integracija okoliša u druge sektore (u turizam, energetiku, industriju, poljoprivredu, šumarstvo, rudarstvo, promet), uspostava cjelovitog sustava praćenja (monitoring) i jedinstvenog informacijskog sustava te jačanje svijesti i uključivanje javnosti u proces donošenja odluka i provedbe mjera. Zaštita okoliša, kao jedan od općih ciljeva Ministarstva, proizlazi iz navedenih strategija i dugoročno ostvaruje viziju Ministarstva, dok se misija ispunjava kroz ostvarenje posebnih ciljeva.</w:t>
      </w:r>
    </w:p>
    <w:p w:rsidR="00D849AA" w:rsidRDefault="00EE6D95">
      <w:pPr>
        <w:pStyle w:val="Naslov6"/>
      </w:pPr>
      <w:r>
        <w:t>Zakonske i druge pravne osnove</w:t>
      </w:r>
    </w:p>
    <w:p w:rsidR="00D849AA" w:rsidRDefault="00EE6D95">
      <w:pPr>
        <w:pStyle w:val="Normal5"/>
      </w:pPr>
      <w:r>
        <w:t xml:space="preserve">1. Zakon o zaštiti okoliša (Narodne novine, broj 80/13);  </w:t>
      </w:r>
    </w:p>
    <w:p w:rsidR="00D849AA" w:rsidRDefault="00EE6D95">
      <w:pPr>
        <w:pStyle w:val="Normal5"/>
      </w:pPr>
      <w:r>
        <w:t xml:space="preserve">2. Zakon o zaštiti zraka (Narodne novine, broj 180/11);  </w:t>
      </w:r>
    </w:p>
    <w:p w:rsidR="00D849AA" w:rsidRDefault="00EE6D95">
      <w:pPr>
        <w:pStyle w:val="Normal5"/>
      </w:pPr>
      <w:r>
        <w:t>3. Zakon o održivom gospodarenju otpadom (Narodne novine, broj 94/13).</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 xml:space="preserve">Cilj 1. Poboljšati preduvjete za sprečavanje svih vrsta onečišćenja okoliša, praćenje stanja sastavnica okoliša, uključivanje segmenta zaštite okoliša u ostale sektorske politike, nadzor i postupanje u zaštiti okoliša </w:t>
      </w:r>
    </w:p>
    <w:p w:rsidR="00D849AA" w:rsidRDefault="00EE6D95">
      <w:pPr>
        <w:pStyle w:val="Normal6"/>
      </w:pPr>
      <w:r>
        <w:t>Jedna od bitnih pretpostavki zaštite okoliša je sprečavanje i smanjenje onečišćenja okoliša te primjena suvremenih stručnih dostignuća na području zaštite okoliša. Ministarstvo svojim aktivnostima nastoji stvoriti preduvjete za sprečavanje, nadzor i postupanje u pravcu smanjenja onečišćenja zraka, tla, voda i mora, kao i primjenu ekosustavnog pristupa u upravljanju ljudskim djelatnostima u cilju održavanja ravnoteže sastavnica okoliša, te osiguravanja ekosustavnih dobara i usluga. Globalni problem klimatskih promjena i oštećenje ozonskog sloja zahtijeva poduzimanje specifičnih mjera u zaštiti klime i ozonskog sloja, kao i provedbu politika integriranog upravljanja okolišem što je prepoznato kao jedan od ključnih ciljeva Ministarstva. Povećana svjesnost o važnosti mora kao resursa i potrebi za njegovom sveobuhvatnom i sustavnom zaštitom, nameće provedbu globalno prihvaćenog ekosustavnog pristupa u upravljanju i zaštiti morskog okoliša. U periodu od desetak posljednjih godina Ministarstvo je uložilo velike napore u stvaranju preduvjeta za smanjenje postojećeg i sprječavanje onečišćenja okoliša kroz usklađivanje postojećih propisa sa zakonodavstvom EU, donošenje novih propisa i njihovo provođenje, kroz nadzor, praćenje, edukaciju i informiranje, te stvaranje baze podataka za sve sastavnice okoliša. Svojim djelovanjem u periodu od iduće tri godine Ministarstvo želi postići jačanje nadležnosti nad svim sastavnicama okoliša te unaprijediti sve mehanizme svog djelovanja u cilju smanjenja onečišćenja.</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Postotak povećanja provođenja mjera za smanjenje svih vrsta zagađenja okoliša</w:t>
            </w:r>
          </w:p>
        </w:tc>
        <w:tc>
          <w:tcPr>
            <w:tcW w:w="1114" w:type="dxa"/>
          </w:tcPr>
          <w:p w:rsidR="00D849AA" w:rsidRDefault="00EE6D95">
            <w:r>
              <w:t>%</w:t>
            </w:r>
          </w:p>
        </w:tc>
        <w:tc>
          <w:tcPr>
            <w:tcW w:w="1114" w:type="dxa"/>
          </w:tcPr>
          <w:p w:rsidR="00D849AA" w:rsidRDefault="00EE6D95">
            <w:r>
              <w:t>68</w:t>
            </w:r>
          </w:p>
        </w:tc>
        <w:tc>
          <w:tcPr>
            <w:tcW w:w="1486" w:type="dxa"/>
          </w:tcPr>
          <w:p w:rsidR="00D849AA" w:rsidRDefault="00EE6D95">
            <w:r>
              <w:t>72</w:t>
            </w:r>
          </w:p>
        </w:tc>
        <w:tc>
          <w:tcPr>
            <w:tcW w:w="1486" w:type="dxa"/>
          </w:tcPr>
          <w:p w:rsidR="00D849AA" w:rsidRDefault="00EE6D95">
            <w:r>
              <w:t>76</w:t>
            </w:r>
          </w:p>
        </w:tc>
        <w:tc>
          <w:tcPr>
            <w:tcW w:w="1486" w:type="dxa"/>
          </w:tcPr>
          <w:p w:rsidR="00D849AA" w:rsidRDefault="00EE6D95">
            <w:r>
              <w:t>80</w:t>
            </w:r>
          </w:p>
        </w:tc>
      </w:tr>
    </w:tbl>
    <w:p w:rsidR="00D849AA" w:rsidRDefault="00EE6D95">
      <w:pPr>
        <w:pStyle w:val="Naslov7"/>
      </w:pPr>
      <w:r>
        <w:lastRenderedPageBreak/>
        <w:t xml:space="preserve">Cilj 2. Osigurati preduvjete za ublaženje i prilagodbu klimatskim promjenama i zaštitu ozonskog sloja </w:t>
      </w:r>
    </w:p>
    <w:p w:rsidR="00D849AA" w:rsidRDefault="00EE6D95">
      <w:pPr>
        <w:pStyle w:val="Normal6"/>
      </w:pPr>
      <w:r>
        <w:t xml:space="preserve">Jedna od bitnih pretpostavki za ublaženje klimatskih promjena i zaštitu ozonskog sloja je smanjenje emisija stakleničkih plinova, ukidanje potrošnje tvari koje oštećuju ozonski sloj. Globalni problem klimatskih promjena i oštećenje ozonskog sloja zahtijeva poduzimanje specifičnih mjera na ublaženju i prilagodbi klimatskim promjenama i zaštiti ozonskog sloja, što je prepoznato kao jedan od ključnih ciljeva Ministarstva. U periodu od desetak posljednjih godina Ministarstvo je uložilo velike napore u stvaranju preduvjeta za smanjenje emisija stakleničkih plinova i potrošnje tvari koje oštećuju ozonski sloj kroz usklađivanje postojećih propisa sa zakonodavstvom EU, sklapanje međunarodnih sporazuma, kroz donošenje novih propisa i njihovo provođenje, kroz edukaciju i informiranje, izdavanje dozvola za emisije stakleničkih plinova, certifikata serviserima za postupanje s tvarima koje oštećuju ozonski sloj, trgovanje emisijskim jedinicama te osiguranje djelotvornog praćenja emisija stakleničkih plinova i tvari koje oštećuju ozonski sloj kao i nadzor njihovih izvora. Obzirom da će, i uz provedbu mjera smanjenja emisija stakleničkih plinova, u pojedinim područjima doći do klimatskih promjena, potrebno je za sve sektore koji su ranjivi, procijeniti utjecaj klimatskih promjena i mjere prilagodbe. Od 2013. godine za Hrvatsku su, kao i za druge države članice EU, Odlukom Komisije 2013/162 određene godišnje alokacije emisija stakleničkih plinova za svaku godinu u razdoblju 2013.-2020., za sektore koji nisu pokriveni sustavom trgovanja emisijama stakleničkih plinova (dio industrijskih procesa, uporaba otapala i drugih proizvoda, poljoprivreda, šumarstvo, gospodarenje otpadom, kućanstva i usluge, promet itd.). Navedene godišnje alokacije se neće smjeti prekoračiti.  </w:t>
      </w:r>
    </w:p>
    <w:p w:rsidR="00D849AA" w:rsidRDefault="00EE6D95">
      <w:pPr>
        <w:pStyle w:val="Normal6"/>
      </w:pPr>
      <w:r>
        <w:t xml:space="preserve">Emisije iz prometa rapidno rastu te je stoga Planom zaštite zraka, ozonskog sloja i ublažavanja klimatskih promjena u Republici Hrvatskoj za razdoblje 2012. – 2016. predviđene su između ostalog i mjere za smanjenje emisija iz prometa čija je realizacija razrađena kroz „Program mjera smanjenja emisija iz prometa za razdoblje 2013. -2020.“. Predloženi program mjera za smanjenje emisija iz sektora prometa izrađen je na temelju Drugog Nacionalnog akcijskog plana energetska učinkovitosti Republike Hrvatske za razdoblje do kraja 2013., a predviđene mjere su dio sveukupne strategije koja se odnosi na promet sukladno Strategiji energetskog razvoja. </w:t>
      </w:r>
    </w:p>
    <w:p w:rsidR="00D849AA" w:rsidRDefault="00EE6D95">
      <w:pPr>
        <w:pStyle w:val="Normal6"/>
      </w:pPr>
      <w:r>
        <w:t xml:space="preserve">Na temelju navedenog, vezano uz smanjenje emisija iz sektora prometa, Ministarstvo zaštite okoliša i prirode sukladno svojoj nadležnosti pokrenulo je inicijativu za izmjenama propisa za naplatu posebnog poreza na osobne automobile te inicijativu za uspostavu novog sustava plaćanja naknada za emisije CO2 iz motornih vozila što će uključiti i izmjene propisa kojim se regulira to područje. </w:t>
      </w:r>
    </w:p>
    <w:p w:rsidR="00D849AA" w:rsidRDefault="00EE6D95">
      <w:pPr>
        <w:pStyle w:val="Normal6"/>
      </w:pPr>
      <w:r>
        <w:t xml:space="preserve">Svojim djelovanjem u periodu od iduće tri godine Ministarstvo želi postići jačanje nadležnosti vezano za ciljeve zaštite klime, ozonskog sloja i mora te ojačati koordinirano djelovanje sa središnjim tijelima državne uprave i drugim tijelima javne vlasti za provedbu mjera u pojedinim sektorima te uz suradnju na lokalnoj, regionalnoj i globalnoj razini konstantno raditi na unaprjeđenju i provedbi administrativnih i fiskalnih mjera s ciljem ublaženja i prilagodbe klimatskim promjenama te zaštite ozonskog sloja i mora.  </w:t>
      </w:r>
    </w:p>
    <w:p w:rsidR="00D849AA" w:rsidRDefault="00EE6D95">
      <w:pPr>
        <w:pStyle w:val="Normal6"/>
      </w:pPr>
      <w:r>
        <w:t xml:space="preserve">Morski okoliš i obalno područje resursi su od iznimnog značaja za Republiku Hrvatsku koji se moraju zaštititi, očuvati i, ako je izvedivo, obnoviti s krajnjim ciljem održavanja biološke raznolikosti i osiguravanja raznolikih i dinamičnih oceana i mora koji su čisti, zdravi i produktivni.  </w:t>
      </w:r>
    </w:p>
    <w:p w:rsidR="00D849AA" w:rsidRDefault="00EE6D95">
      <w:pPr>
        <w:pStyle w:val="Normal6"/>
      </w:pPr>
      <w:r>
        <w:t xml:space="preserve">Multisektorski pristup, povezanost s drugim razvojnim strategijama i planovima i visoka politička podrška su ključni u procesu izrade Strategije. </w:t>
      </w:r>
    </w:p>
    <w:p w:rsidR="00D849AA" w:rsidRDefault="00EE6D95">
      <w:pPr>
        <w:pStyle w:val="Normal6"/>
      </w:pPr>
      <w:r>
        <w:t xml:space="preserve">Posebni izazov u predstojećem razdoblju predstavljat će učinkovitost korištenja europskih strukturnih i investicijskih fondova (European Structural and Investment Funds – ESI), u okviru Zajedničkog strateškog okvira (Common Strategic Framework), za financiranje </w:t>
      </w:r>
      <w:r>
        <w:lastRenderedPageBreak/>
        <w:t xml:space="preserve">programa i projekata čijom se provedbom ispunjavaju tematski ciljevi, između ostalih i u zaštiti okoliša a time zaštite morskog okoliša i obalnog područja. U tijeku je priprema programskih dokumenata za razdoblje 2014.-2020. što uključuje i pripremu operativnih programa po pojedinim prioritetnim temama. </w:t>
      </w:r>
    </w:p>
    <w:p w:rsidR="00D849AA" w:rsidRDefault="00EE6D95">
      <w:pPr>
        <w:pStyle w:val="Normal6"/>
      </w:pPr>
      <w:r>
        <w:t>Postizanjem i održavanjem dobroga stanja morskog okoliša i obalnog područja ostvaruju se uvjeti za održivo upravljanje tim područjem u smislu odgovornog i održivog planiranja i razvoja prostora odnosno adekvatno korištenje potencijala hrvatske obale i Jadranskog mora, uzimajući u obzir postojeće pritiske (infrastruktura, izgradnja, stanovništvo, gospodarske aktivnosti) i obvezu  provedbe odgovarajućih mjera zaštite prirodnih resursa.</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D61DA2" w:rsidRDefault="00EE6D95">
            <w:pPr>
              <w:rPr>
                <w:rFonts w:ascii="Arial" w:hAnsi="Arial" w:cs="Arial"/>
              </w:rPr>
            </w:pPr>
            <w:r w:rsidRPr="00D61DA2">
              <w:rPr>
                <w:rFonts w:ascii="Arial" w:hAnsi="Arial" w:cs="Arial"/>
              </w:rPr>
              <w:t>Pokazatelj učinka</w:t>
            </w:r>
          </w:p>
        </w:tc>
        <w:tc>
          <w:tcPr>
            <w:tcW w:w="1114" w:type="dxa"/>
            <w:shd w:val="clear" w:color="auto" w:fill="B5C0D8"/>
          </w:tcPr>
          <w:p w:rsidR="00D849AA" w:rsidRPr="00D61DA2" w:rsidRDefault="00EE6D95">
            <w:pPr>
              <w:pStyle w:val="CellHeader"/>
            </w:pPr>
            <w:r w:rsidRPr="00D61DA2">
              <w:t>Jedinica</w:t>
            </w:r>
          </w:p>
        </w:tc>
        <w:tc>
          <w:tcPr>
            <w:tcW w:w="1114" w:type="dxa"/>
            <w:shd w:val="clear" w:color="auto" w:fill="B5C0D8"/>
          </w:tcPr>
          <w:p w:rsidR="00D849AA" w:rsidRPr="00D61DA2" w:rsidRDefault="00EE6D95">
            <w:pPr>
              <w:pStyle w:val="CellHeader"/>
            </w:pPr>
            <w:r w:rsidRPr="00D61DA2">
              <w:t>Polazna vrijednost</w:t>
            </w:r>
          </w:p>
        </w:tc>
        <w:tc>
          <w:tcPr>
            <w:tcW w:w="1486" w:type="dxa"/>
            <w:shd w:val="clear" w:color="auto" w:fill="B5C0D8"/>
          </w:tcPr>
          <w:p w:rsidR="00D849AA" w:rsidRPr="00D61DA2" w:rsidRDefault="00EE6D95">
            <w:pPr>
              <w:pStyle w:val="CellHeader"/>
            </w:pPr>
            <w:r w:rsidRPr="00D61DA2">
              <w:t>Ciljana vrijednost (2014.)</w:t>
            </w:r>
          </w:p>
        </w:tc>
        <w:tc>
          <w:tcPr>
            <w:tcW w:w="1486" w:type="dxa"/>
            <w:shd w:val="clear" w:color="auto" w:fill="B5C0D8"/>
          </w:tcPr>
          <w:p w:rsidR="00D849AA" w:rsidRPr="00D61DA2" w:rsidRDefault="00EE6D95">
            <w:pPr>
              <w:pStyle w:val="CellHeader"/>
            </w:pPr>
            <w:r w:rsidRPr="00D61DA2">
              <w:t>Ciljana vrijednost (2015.)</w:t>
            </w:r>
          </w:p>
        </w:tc>
        <w:tc>
          <w:tcPr>
            <w:tcW w:w="1486" w:type="dxa"/>
            <w:shd w:val="clear" w:color="auto" w:fill="B5C0D8"/>
          </w:tcPr>
          <w:p w:rsidR="00D849AA" w:rsidRPr="00D61DA2" w:rsidRDefault="00EE6D95">
            <w:pPr>
              <w:pStyle w:val="CellHeader"/>
            </w:pPr>
            <w:r w:rsidRPr="00D61DA2">
              <w:t>Ciljana vrijednost (2016.)</w:t>
            </w:r>
          </w:p>
        </w:tc>
      </w:tr>
      <w:tr w:rsidR="00D849AA">
        <w:trPr>
          <w:jc w:val="center"/>
        </w:trPr>
        <w:tc>
          <w:tcPr>
            <w:tcW w:w="2229" w:type="dxa"/>
          </w:tcPr>
          <w:p w:rsidR="00D849AA" w:rsidRPr="00D61DA2" w:rsidRDefault="00EE6D95">
            <w:pPr>
              <w:pStyle w:val="CellColumn"/>
            </w:pPr>
            <w:r w:rsidRPr="00D61DA2">
              <w:t>Postotak povećanja provođenja mjera za ublaženje i prilagodbu klimatskim promjenama i zaštitu ozonskog sloja</w:t>
            </w:r>
          </w:p>
        </w:tc>
        <w:tc>
          <w:tcPr>
            <w:tcW w:w="1114" w:type="dxa"/>
          </w:tcPr>
          <w:p w:rsidR="00D849AA" w:rsidRPr="00D61DA2" w:rsidRDefault="00EE6D95">
            <w:pPr>
              <w:rPr>
                <w:rFonts w:ascii="Arial" w:hAnsi="Arial" w:cs="Arial"/>
              </w:rPr>
            </w:pPr>
            <w:r w:rsidRPr="00D61DA2">
              <w:rPr>
                <w:rFonts w:ascii="Arial" w:hAnsi="Arial" w:cs="Arial"/>
              </w:rPr>
              <w:t>%</w:t>
            </w:r>
          </w:p>
        </w:tc>
        <w:tc>
          <w:tcPr>
            <w:tcW w:w="1114" w:type="dxa"/>
          </w:tcPr>
          <w:p w:rsidR="00D849AA" w:rsidRPr="00D61DA2" w:rsidRDefault="00EE6D95">
            <w:pPr>
              <w:rPr>
                <w:rFonts w:ascii="Arial" w:hAnsi="Arial" w:cs="Arial"/>
              </w:rPr>
            </w:pPr>
            <w:r w:rsidRPr="00D61DA2">
              <w:rPr>
                <w:rFonts w:ascii="Arial" w:hAnsi="Arial" w:cs="Arial"/>
              </w:rPr>
              <w:t>65</w:t>
            </w:r>
          </w:p>
        </w:tc>
        <w:tc>
          <w:tcPr>
            <w:tcW w:w="1486" w:type="dxa"/>
          </w:tcPr>
          <w:p w:rsidR="00D849AA" w:rsidRPr="00D61DA2" w:rsidRDefault="00EE6D95">
            <w:pPr>
              <w:rPr>
                <w:rFonts w:ascii="Arial" w:hAnsi="Arial" w:cs="Arial"/>
              </w:rPr>
            </w:pPr>
            <w:r w:rsidRPr="00D61DA2">
              <w:rPr>
                <w:rFonts w:ascii="Arial" w:hAnsi="Arial" w:cs="Arial"/>
              </w:rPr>
              <w:t>66</w:t>
            </w:r>
          </w:p>
        </w:tc>
        <w:tc>
          <w:tcPr>
            <w:tcW w:w="1486" w:type="dxa"/>
          </w:tcPr>
          <w:p w:rsidR="00D849AA" w:rsidRPr="00D61DA2" w:rsidRDefault="00EE6D95">
            <w:pPr>
              <w:rPr>
                <w:rFonts w:ascii="Arial" w:hAnsi="Arial" w:cs="Arial"/>
              </w:rPr>
            </w:pPr>
            <w:r w:rsidRPr="00D61DA2">
              <w:rPr>
                <w:rFonts w:ascii="Arial" w:hAnsi="Arial" w:cs="Arial"/>
              </w:rPr>
              <w:t>67</w:t>
            </w:r>
          </w:p>
        </w:tc>
        <w:tc>
          <w:tcPr>
            <w:tcW w:w="1486" w:type="dxa"/>
          </w:tcPr>
          <w:p w:rsidR="00D849AA" w:rsidRPr="00D61DA2" w:rsidRDefault="00EE6D95">
            <w:pPr>
              <w:rPr>
                <w:rFonts w:ascii="Arial" w:hAnsi="Arial" w:cs="Arial"/>
              </w:rPr>
            </w:pPr>
            <w:r w:rsidRPr="00D61DA2">
              <w:rPr>
                <w:rFonts w:ascii="Arial" w:hAnsi="Arial" w:cs="Arial"/>
              </w:rPr>
              <w:t>68</w:t>
            </w:r>
          </w:p>
        </w:tc>
      </w:tr>
    </w:tbl>
    <w:p w:rsidR="00D849AA" w:rsidRDefault="00D849AA">
      <w:pPr>
        <w:jc w:val="left"/>
      </w:pPr>
    </w:p>
    <w:p w:rsidR="00D849AA" w:rsidRDefault="00EE6D95">
      <w:pPr>
        <w:pStyle w:val="Naslov7"/>
      </w:pPr>
      <w:r>
        <w:t xml:space="preserve">Cilj 3. Unaprijeđeno stanje okoliša učinkovitom provedbom inspekcijskih nadzora </w:t>
      </w:r>
    </w:p>
    <w:p w:rsidR="00D849AA" w:rsidRDefault="00EE6D95">
      <w:pPr>
        <w:pStyle w:val="Normal6"/>
      </w:pPr>
      <w:r>
        <w:t xml:space="preserve">Odgovornost svake inspekcije je osigurati primjenu regulative koju je ovlaštena nadzirati na učinkovit, stručan, jedinstven i integriran način. Provođenje regulative je bitna i jaka veza u regulatornom lancu za koje je preduvjet jedinstvena i integrirana okolišna regulativa s dobrim tehničkim standardima. </w:t>
      </w:r>
    </w:p>
    <w:p w:rsidR="00D849AA" w:rsidRDefault="00EE6D95">
      <w:pPr>
        <w:pStyle w:val="Normal6"/>
      </w:pPr>
      <w:r>
        <w:t xml:space="preserve">Inspekcija zaštite okoliša u okviru svojih nadležnosti obavlja inspekcijski nadzor pravnih i fizičkih osoba nad primjenom propisa iz područja zaštite okoliša iz djelokruga rada Ministarstva.  </w:t>
      </w:r>
    </w:p>
    <w:p w:rsidR="00D849AA" w:rsidRDefault="00EE6D95">
      <w:pPr>
        <w:pStyle w:val="Normal6"/>
      </w:pPr>
      <w:r>
        <w:t xml:space="preserve">Tri osnovne zadaće inspekcije zaštite okoliša su nadzor primjene regulative i sankcioniranje u slučaju povrede propisa i osiguravanje informiranja javnosti o istome. U funkcionalnom smislu ključna je zadaća inspekcije zaštite okoliša provjera okolišne regulative kao i poticaj njene primjene s ciljem unapređenja kvalitete okoliša i života građana te sprečavanja onečišćenja, štete i ozbiljnih nesreća. </w:t>
      </w:r>
    </w:p>
    <w:p w:rsidR="00D849AA" w:rsidRDefault="00EE6D95">
      <w:pPr>
        <w:pStyle w:val="Normal6"/>
      </w:pPr>
      <w:r>
        <w:t xml:space="preserve">U cilju ispunjavanja te zadaće, a s obzirom na trenutni broj inspektora i brojnost obveznika primjene propisa kao i njihov različit utjecaj na stanje okoliša, nužnost u radu inspekcije je određivanje prioriteta prilikom planiranja provedbe inspekcijskih nadzora.  </w:t>
      </w:r>
    </w:p>
    <w:p w:rsidR="00D849AA" w:rsidRDefault="00EE6D95">
      <w:pPr>
        <w:pStyle w:val="Normal6"/>
      </w:pPr>
      <w:r>
        <w:t xml:space="preserve">Planiranjem i provedbom sustavnih i koordiniranih inspekcijskih nadzora i jačanjem administrativnih kapaciteta inspekcije, doprinosi se povećanju odgovornosti nadziranih osoba u primjeni propisa iz područja zaštite okoliša i time očuvanju svih sastavnica okoliša. </w:t>
      </w:r>
    </w:p>
    <w:p w:rsidR="00D849AA" w:rsidRDefault="00EE6D95">
      <w:pPr>
        <w:pStyle w:val="Normal6"/>
      </w:pPr>
      <w:r>
        <w:t>Dugoročnim aktivnostima inspekcije zaštite okoliša u suradnji s drugim inspekcijskim službama u području okoliša omogućuje se sprječavanje i rješavanje problema u području zaštite okoliša u cilju povećanja kvalitete života.</w:t>
      </w:r>
    </w:p>
    <w:p w:rsidR="00D61DA2" w:rsidRDefault="00D61DA2">
      <w:pPr>
        <w:pStyle w:val="Normal6"/>
      </w:pPr>
    </w:p>
    <w:p w:rsidR="00D61DA2" w:rsidRDefault="00D61DA2">
      <w:pPr>
        <w:pStyle w:val="Normal6"/>
      </w:pPr>
    </w:p>
    <w:p w:rsidR="00D849AA" w:rsidRDefault="00EE6D95">
      <w:pPr>
        <w:pStyle w:val="Naslov8"/>
        <w:jc w:val="left"/>
      </w:pPr>
      <w:r>
        <w:lastRenderedPageBreak/>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D61DA2" w:rsidRDefault="00EE6D95">
            <w:pPr>
              <w:rPr>
                <w:rFonts w:ascii="Arial" w:hAnsi="Arial" w:cs="Arial"/>
              </w:rPr>
            </w:pPr>
            <w:r w:rsidRPr="00D61DA2">
              <w:rPr>
                <w:rFonts w:ascii="Arial" w:hAnsi="Arial" w:cs="Arial"/>
              </w:rPr>
              <w:t>Pokazatelj učinka</w:t>
            </w:r>
          </w:p>
        </w:tc>
        <w:tc>
          <w:tcPr>
            <w:tcW w:w="1114" w:type="dxa"/>
            <w:shd w:val="clear" w:color="auto" w:fill="B5C0D8"/>
          </w:tcPr>
          <w:p w:rsidR="00D849AA" w:rsidRPr="00D61DA2" w:rsidRDefault="00EE6D95">
            <w:pPr>
              <w:pStyle w:val="CellHeader"/>
            </w:pPr>
            <w:r w:rsidRPr="00D61DA2">
              <w:t>Jedinica</w:t>
            </w:r>
          </w:p>
        </w:tc>
        <w:tc>
          <w:tcPr>
            <w:tcW w:w="1114" w:type="dxa"/>
            <w:shd w:val="clear" w:color="auto" w:fill="B5C0D8"/>
          </w:tcPr>
          <w:p w:rsidR="00D849AA" w:rsidRPr="00D61DA2" w:rsidRDefault="00EE6D95">
            <w:pPr>
              <w:pStyle w:val="CellHeader"/>
            </w:pPr>
            <w:r w:rsidRPr="00D61DA2">
              <w:t>Polazna vrijednost</w:t>
            </w:r>
          </w:p>
        </w:tc>
        <w:tc>
          <w:tcPr>
            <w:tcW w:w="1486" w:type="dxa"/>
            <w:shd w:val="clear" w:color="auto" w:fill="B5C0D8"/>
          </w:tcPr>
          <w:p w:rsidR="00D849AA" w:rsidRPr="00D61DA2" w:rsidRDefault="00EE6D95">
            <w:pPr>
              <w:pStyle w:val="CellHeader"/>
            </w:pPr>
            <w:r w:rsidRPr="00D61DA2">
              <w:t>Ciljana vrijednost (2014.)</w:t>
            </w:r>
          </w:p>
        </w:tc>
        <w:tc>
          <w:tcPr>
            <w:tcW w:w="1486" w:type="dxa"/>
            <w:shd w:val="clear" w:color="auto" w:fill="B5C0D8"/>
          </w:tcPr>
          <w:p w:rsidR="00D849AA" w:rsidRPr="00D61DA2" w:rsidRDefault="00EE6D95">
            <w:pPr>
              <w:pStyle w:val="CellHeader"/>
            </w:pPr>
            <w:r w:rsidRPr="00D61DA2">
              <w:t>Ciljana vrijednost (2015.)</w:t>
            </w:r>
          </w:p>
        </w:tc>
        <w:tc>
          <w:tcPr>
            <w:tcW w:w="1486" w:type="dxa"/>
            <w:shd w:val="clear" w:color="auto" w:fill="B5C0D8"/>
          </w:tcPr>
          <w:p w:rsidR="00D849AA" w:rsidRPr="00D61DA2" w:rsidRDefault="00EE6D95">
            <w:pPr>
              <w:pStyle w:val="CellHeader"/>
            </w:pPr>
            <w:r w:rsidRPr="00D61DA2">
              <w:t>Ciljana vrijednost (2016.)</w:t>
            </w:r>
          </w:p>
        </w:tc>
      </w:tr>
      <w:tr w:rsidR="00D849AA">
        <w:trPr>
          <w:jc w:val="center"/>
        </w:trPr>
        <w:tc>
          <w:tcPr>
            <w:tcW w:w="2229" w:type="dxa"/>
          </w:tcPr>
          <w:p w:rsidR="00D849AA" w:rsidRPr="00D61DA2" w:rsidRDefault="00EE6D95">
            <w:pPr>
              <w:pStyle w:val="CellColumn"/>
            </w:pPr>
            <w:r w:rsidRPr="00D61DA2">
              <w:t>Postotak nadziranih osoba usklađenih s propisima iz područja zaštite okoliša</w:t>
            </w:r>
          </w:p>
        </w:tc>
        <w:tc>
          <w:tcPr>
            <w:tcW w:w="1114" w:type="dxa"/>
          </w:tcPr>
          <w:p w:rsidR="00D849AA" w:rsidRPr="00D61DA2" w:rsidRDefault="00EE6D95">
            <w:pPr>
              <w:rPr>
                <w:rFonts w:ascii="Arial" w:hAnsi="Arial" w:cs="Arial"/>
              </w:rPr>
            </w:pPr>
            <w:r w:rsidRPr="00D61DA2">
              <w:rPr>
                <w:rFonts w:ascii="Arial" w:hAnsi="Arial" w:cs="Arial"/>
              </w:rPr>
              <w:t>%</w:t>
            </w:r>
          </w:p>
        </w:tc>
        <w:tc>
          <w:tcPr>
            <w:tcW w:w="1114" w:type="dxa"/>
          </w:tcPr>
          <w:p w:rsidR="00D849AA" w:rsidRPr="00D61DA2" w:rsidRDefault="00EE6D95">
            <w:pPr>
              <w:rPr>
                <w:rFonts w:ascii="Arial" w:hAnsi="Arial" w:cs="Arial"/>
              </w:rPr>
            </w:pPr>
            <w:r w:rsidRPr="00D61DA2">
              <w:rPr>
                <w:rFonts w:ascii="Arial" w:hAnsi="Arial" w:cs="Arial"/>
              </w:rPr>
              <w:t>55</w:t>
            </w:r>
          </w:p>
        </w:tc>
        <w:tc>
          <w:tcPr>
            <w:tcW w:w="1486" w:type="dxa"/>
          </w:tcPr>
          <w:p w:rsidR="00D849AA" w:rsidRPr="00D61DA2" w:rsidRDefault="00EE6D95">
            <w:pPr>
              <w:rPr>
                <w:rFonts w:ascii="Arial" w:hAnsi="Arial" w:cs="Arial"/>
              </w:rPr>
            </w:pPr>
            <w:r w:rsidRPr="00D61DA2">
              <w:rPr>
                <w:rFonts w:ascii="Arial" w:hAnsi="Arial" w:cs="Arial"/>
              </w:rPr>
              <w:t>56</w:t>
            </w:r>
          </w:p>
        </w:tc>
        <w:tc>
          <w:tcPr>
            <w:tcW w:w="1486" w:type="dxa"/>
          </w:tcPr>
          <w:p w:rsidR="00D849AA" w:rsidRPr="00D61DA2" w:rsidRDefault="00EE6D95">
            <w:pPr>
              <w:rPr>
                <w:rFonts w:ascii="Arial" w:hAnsi="Arial" w:cs="Arial"/>
              </w:rPr>
            </w:pPr>
            <w:r w:rsidRPr="00D61DA2">
              <w:rPr>
                <w:rFonts w:ascii="Arial" w:hAnsi="Arial" w:cs="Arial"/>
              </w:rPr>
              <w:t>58</w:t>
            </w:r>
          </w:p>
        </w:tc>
        <w:tc>
          <w:tcPr>
            <w:tcW w:w="1486" w:type="dxa"/>
          </w:tcPr>
          <w:p w:rsidR="00D849AA" w:rsidRPr="00D61DA2" w:rsidRDefault="00EE6D95">
            <w:pPr>
              <w:rPr>
                <w:rFonts w:ascii="Arial" w:hAnsi="Arial" w:cs="Arial"/>
              </w:rPr>
            </w:pPr>
            <w:r w:rsidRPr="00D61DA2">
              <w:rPr>
                <w:rFonts w:ascii="Arial" w:hAnsi="Arial" w:cs="Arial"/>
              </w:rPr>
              <w:t>60</w:t>
            </w:r>
          </w:p>
        </w:tc>
      </w:tr>
    </w:tbl>
    <w:p w:rsidR="00D849AA" w:rsidRDefault="00D849AA">
      <w:pPr>
        <w:jc w:val="left"/>
      </w:pPr>
    </w:p>
    <w:p w:rsidR="00D849AA" w:rsidRDefault="00EE6D95">
      <w:pPr>
        <w:pStyle w:val="Naslov5"/>
      </w:pPr>
      <w:r>
        <w:t>Procjena i ishodište potrebnih sredstava za značajnije aktivnosti/projekte</w:t>
      </w:r>
    </w:p>
    <w:p w:rsidR="00D849AA" w:rsidRDefault="00EE6D95">
      <w:pPr>
        <w:pStyle w:val="Naslov6"/>
      </w:pPr>
      <w:r>
        <w:t>A576169 PROVOĐENJE POSTUPKA PROCJENE UTJECAJA NA OKOLIŠ</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rsidRPr="00D61DA2">
        <w:trPr>
          <w:jc w:val="center"/>
        </w:trPr>
        <w:tc>
          <w:tcPr>
            <w:tcW w:w="1486" w:type="dxa"/>
            <w:shd w:val="clear" w:color="auto" w:fill="B5C0D8"/>
          </w:tcPr>
          <w:p w:rsidR="00D849AA" w:rsidRPr="00D61DA2" w:rsidRDefault="00EE6D95">
            <w:pPr>
              <w:pStyle w:val="CellHeader"/>
            </w:pPr>
            <w:r w:rsidRPr="00D61DA2">
              <w:t>Naziv aktivnosti</w:t>
            </w:r>
          </w:p>
        </w:tc>
        <w:tc>
          <w:tcPr>
            <w:tcW w:w="1486" w:type="dxa"/>
            <w:shd w:val="clear" w:color="auto" w:fill="B5C0D8"/>
          </w:tcPr>
          <w:p w:rsidR="00D849AA" w:rsidRPr="00D61DA2" w:rsidRDefault="00EE6D95">
            <w:pPr>
              <w:pStyle w:val="CellHeader"/>
            </w:pPr>
            <w:r w:rsidRPr="00D61DA2">
              <w:t>Plan 2013.</w:t>
            </w:r>
          </w:p>
        </w:tc>
        <w:tc>
          <w:tcPr>
            <w:tcW w:w="1486" w:type="dxa"/>
            <w:shd w:val="clear" w:color="auto" w:fill="B5C0D8"/>
          </w:tcPr>
          <w:p w:rsidR="00D849AA" w:rsidRPr="00D61DA2" w:rsidRDefault="00EE6D95">
            <w:pPr>
              <w:pStyle w:val="CellHeader"/>
            </w:pPr>
            <w:r w:rsidRPr="00D61DA2">
              <w:t>Plan 2014.</w:t>
            </w:r>
          </w:p>
        </w:tc>
        <w:tc>
          <w:tcPr>
            <w:tcW w:w="1486" w:type="dxa"/>
            <w:shd w:val="clear" w:color="auto" w:fill="B5C0D8"/>
          </w:tcPr>
          <w:p w:rsidR="00D849AA" w:rsidRPr="00D61DA2" w:rsidRDefault="00EE6D95">
            <w:pPr>
              <w:pStyle w:val="CellHeader"/>
            </w:pPr>
            <w:r w:rsidRPr="00D61DA2">
              <w:t>Plan 2015.</w:t>
            </w:r>
          </w:p>
        </w:tc>
        <w:tc>
          <w:tcPr>
            <w:tcW w:w="1486" w:type="dxa"/>
            <w:shd w:val="clear" w:color="auto" w:fill="B5C0D8"/>
          </w:tcPr>
          <w:p w:rsidR="00D849AA" w:rsidRPr="00D61DA2" w:rsidRDefault="00EE6D95">
            <w:pPr>
              <w:pStyle w:val="CellHeader"/>
            </w:pPr>
            <w:r w:rsidRPr="00D61DA2">
              <w:t>Plan 2016.</w:t>
            </w:r>
          </w:p>
        </w:tc>
        <w:tc>
          <w:tcPr>
            <w:tcW w:w="1486" w:type="dxa"/>
            <w:shd w:val="clear" w:color="auto" w:fill="B5C0D8"/>
          </w:tcPr>
          <w:p w:rsidR="00D849AA" w:rsidRPr="00D61DA2" w:rsidRDefault="00EE6D95">
            <w:pPr>
              <w:pStyle w:val="CellHeader"/>
            </w:pPr>
            <w:r w:rsidRPr="00D61DA2">
              <w:t>Indeks 2014/2013</w:t>
            </w:r>
          </w:p>
        </w:tc>
      </w:tr>
      <w:tr w:rsidR="00D849AA" w:rsidRPr="00D61DA2">
        <w:trPr>
          <w:jc w:val="center"/>
        </w:trPr>
        <w:tc>
          <w:tcPr>
            <w:tcW w:w="1486" w:type="dxa"/>
          </w:tcPr>
          <w:p w:rsidR="00D849AA" w:rsidRPr="00D61DA2" w:rsidRDefault="00EE6D95">
            <w:pPr>
              <w:pStyle w:val="CellColumn"/>
            </w:pPr>
            <w:r w:rsidRPr="00D61DA2">
              <w:t>A576169</w:t>
            </w:r>
          </w:p>
        </w:tc>
        <w:tc>
          <w:tcPr>
            <w:tcW w:w="1486" w:type="dxa"/>
          </w:tcPr>
          <w:p w:rsidR="00D849AA" w:rsidRPr="00D61DA2" w:rsidRDefault="00EE6D95">
            <w:pPr>
              <w:rPr>
                <w:rFonts w:ascii="Arial" w:hAnsi="Arial" w:cs="Arial"/>
              </w:rPr>
            </w:pPr>
            <w:r w:rsidRPr="00D61DA2">
              <w:rPr>
                <w:rFonts w:ascii="Arial" w:hAnsi="Arial" w:cs="Arial"/>
              </w:rPr>
              <w:t>1.510.000</w:t>
            </w:r>
          </w:p>
        </w:tc>
        <w:tc>
          <w:tcPr>
            <w:tcW w:w="1486" w:type="dxa"/>
          </w:tcPr>
          <w:p w:rsidR="00D849AA" w:rsidRPr="00D61DA2" w:rsidRDefault="00EE6D95">
            <w:pPr>
              <w:rPr>
                <w:rFonts w:ascii="Arial" w:hAnsi="Arial" w:cs="Arial"/>
              </w:rPr>
            </w:pPr>
            <w:r w:rsidRPr="00D61DA2">
              <w:rPr>
                <w:rFonts w:ascii="Arial" w:hAnsi="Arial" w:cs="Arial"/>
              </w:rPr>
              <w:t>1.590.000</w:t>
            </w:r>
          </w:p>
        </w:tc>
        <w:tc>
          <w:tcPr>
            <w:tcW w:w="1486" w:type="dxa"/>
          </w:tcPr>
          <w:p w:rsidR="00D849AA" w:rsidRPr="00D61DA2" w:rsidRDefault="00EE6D95">
            <w:pPr>
              <w:rPr>
                <w:rFonts w:ascii="Arial" w:hAnsi="Arial" w:cs="Arial"/>
              </w:rPr>
            </w:pPr>
            <w:r w:rsidRPr="00D61DA2">
              <w:rPr>
                <w:rFonts w:ascii="Arial" w:hAnsi="Arial" w:cs="Arial"/>
              </w:rPr>
              <w:t>1.590.000</w:t>
            </w:r>
          </w:p>
        </w:tc>
        <w:tc>
          <w:tcPr>
            <w:tcW w:w="1486" w:type="dxa"/>
          </w:tcPr>
          <w:p w:rsidR="00D849AA" w:rsidRPr="00D61DA2" w:rsidRDefault="00EE6D95">
            <w:pPr>
              <w:rPr>
                <w:rFonts w:ascii="Arial" w:hAnsi="Arial" w:cs="Arial"/>
              </w:rPr>
            </w:pPr>
            <w:r w:rsidRPr="00D61DA2">
              <w:rPr>
                <w:rFonts w:ascii="Arial" w:hAnsi="Arial" w:cs="Arial"/>
              </w:rPr>
              <w:t>1.590.000</w:t>
            </w:r>
          </w:p>
        </w:tc>
        <w:tc>
          <w:tcPr>
            <w:tcW w:w="1486" w:type="dxa"/>
          </w:tcPr>
          <w:p w:rsidR="00D849AA" w:rsidRPr="00D61DA2" w:rsidRDefault="00EE6D95">
            <w:pPr>
              <w:rPr>
                <w:rFonts w:ascii="Arial" w:hAnsi="Arial" w:cs="Arial"/>
              </w:rPr>
            </w:pPr>
            <w:r w:rsidRPr="00D61DA2">
              <w:rPr>
                <w:rFonts w:ascii="Arial" w:hAnsi="Arial" w:cs="Arial"/>
              </w:rPr>
              <w:t>105,3</w:t>
            </w:r>
          </w:p>
        </w:tc>
      </w:tr>
    </w:tbl>
    <w:p w:rsidR="00D849AA" w:rsidRPr="00D61DA2" w:rsidRDefault="00D849AA">
      <w:pPr>
        <w:jc w:val="left"/>
        <w:rPr>
          <w:rFonts w:ascii="Arial" w:hAnsi="Arial" w:cs="Arial"/>
        </w:rPr>
      </w:pPr>
    </w:p>
    <w:p w:rsidR="00D849AA" w:rsidRDefault="00EE6D95">
      <w:pPr>
        <w:pStyle w:val="Normal6"/>
      </w:pPr>
      <w:r>
        <w:t>Ministarstvo zaštite okoliša i prirode provodi postupke procjene utjecaja na okoliš za pojedine zahvate na temelju zahtjeva nositelja zahvata. Troškove nastale tijekom postupka (Savjetodavno stručno povjerenstvo, troškovi očevida lokacije) temeljem Zakona o općem upravnom postupku snosi nositelj zahvata.</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D61DA2" w:rsidRDefault="00EE6D95">
            <w:pPr>
              <w:rPr>
                <w:rFonts w:ascii="Arial" w:hAnsi="Arial" w:cs="Arial"/>
              </w:rPr>
            </w:pPr>
            <w:r w:rsidRPr="00D61DA2">
              <w:rPr>
                <w:rFonts w:ascii="Arial" w:hAnsi="Arial" w:cs="Arial"/>
              </w:rPr>
              <w:t>Pokazatelj rezultata</w:t>
            </w:r>
          </w:p>
        </w:tc>
        <w:tc>
          <w:tcPr>
            <w:tcW w:w="1114" w:type="dxa"/>
            <w:shd w:val="clear" w:color="auto" w:fill="B5C0D8"/>
          </w:tcPr>
          <w:p w:rsidR="00D849AA" w:rsidRPr="00D61DA2" w:rsidRDefault="00EE6D95">
            <w:pPr>
              <w:pStyle w:val="CellHeader"/>
            </w:pPr>
            <w:r w:rsidRPr="00D61DA2">
              <w:t>Jedinica</w:t>
            </w:r>
          </w:p>
        </w:tc>
        <w:tc>
          <w:tcPr>
            <w:tcW w:w="1114" w:type="dxa"/>
            <w:shd w:val="clear" w:color="auto" w:fill="B5C0D8"/>
          </w:tcPr>
          <w:p w:rsidR="00D849AA" w:rsidRPr="00D61DA2" w:rsidRDefault="00EE6D95">
            <w:pPr>
              <w:pStyle w:val="CellHeader"/>
            </w:pPr>
            <w:r w:rsidRPr="00D61DA2">
              <w:t>Polazna vrijednost</w:t>
            </w:r>
          </w:p>
        </w:tc>
        <w:tc>
          <w:tcPr>
            <w:tcW w:w="1486" w:type="dxa"/>
            <w:shd w:val="clear" w:color="auto" w:fill="B5C0D8"/>
          </w:tcPr>
          <w:p w:rsidR="00D849AA" w:rsidRPr="00D61DA2" w:rsidRDefault="00EE6D95">
            <w:pPr>
              <w:pStyle w:val="CellHeader"/>
            </w:pPr>
            <w:r w:rsidRPr="00D61DA2">
              <w:t>Ciljana vrijednost (2014.)</w:t>
            </w:r>
          </w:p>
        </w:tc>
        <w:tc>
          <w:tcPr>
            <w:tcW w:w="1486" w:type="dxa"/>
            <w:shd w:val="clear" w:color="auto" w:fill="B5C0D8"/>
          </w:tcPr>
          <w:p w:rsidR="00D849AA" w:rsidRPr="00D61DA2" w:rsidRDefault="00EE6D95">
            <w:pPr>
              <w:pStyle w:val="CellHeader"/>
            </w:pPr>
            <w:r w:rsidRPr="00D61DA2">
              <w:t>Ciljana vrijednost (2015.)</w:t>
            </w:r>
          </w:p>
        </w:tc>
        <w:tc>
          <w:tcPr>
            <w:tcW w:w="1486" w:type="dxa"/>
            <w:shd w:val="clear" w:color="auto" w:fill="B5C0D8"/>
          </w:tcPr>
          <w:p w:rsidR="00D849AA" w:rsidRPr="00D61DA2" w:rsidRDefault="00EE6D95">
            <w:pPr>
              <w:pStyle w:val="CellHeader"/>
            </w:pPr>
            <w:r w:rsidRPr="00D61DA2">
              <w:t>Ciljana vrijednost (2016.)</w:t>
            </w:r>
          </w:p>
        </w:tc>
      </w:tr>
      <w:tr w:rsidR="00D849AA">
        <w:trPr>
          <w:jc w:val="center"/>
        </w:trPr>
        <w:tc>
          <w:tcPr>
            <w:tcW w:w="2229" w:type="dxa"/>
          </w:tcPr>
          <w:p w:rsidR="00D849AA" w:rsidRPr="00D61DA2" w:rsidRDefault="00EE6D95">
            <w:pPr>
              <w:pStyle w:val="CellColumn"/>
            </w:pPr>
            <w:r w:rsidRPr="00D61DA2">
              <w:t>Održavanje kontinuiteta provedenih postupaka strateške procjene utjecaja na okoliš (SPUO) i procjene utjecaja na okoliš (PUO) u odnosu na zaprimljene zahtjeve</w:t>
            </w:r>
          </w:p>
        </w:tc>
        <w:tc>
          <w:tcPr>
            <w:tcW w:w="1114" w:type="dxa"/>
          </w:tcPr>
          <w:p w:rsidR="00D849AA" w:rsidRPr="00D61DA2" w:rsidRDefault="00EE6D95">
            <w:pPr>
              <w:rPr>
                <w:rFonts w:ascii="Arial" w:hAnsi="Arial" w:cs="Arial"/>
              </w:rPr>
            </w:pPr>
            <w:r w:rsidRPr="00D61DA2">
              <w:rPr>
                <w:rFonts w:ascii="Arial" w:hAnsi="Arial" w:cs="Arial"/>
              </w:rPr>
              <w:t>%</w:t>
            </w:r>
          </w:p>
        </w:tc>
        <w:tc>
          <w:tcPr>
            <w:tcW w:w="1114" w:type="dxa"/>
          </w:tcPr>
          <w:p w:rsidR="00D849AA" w:rsidRPr="00D61DA2" w:rsidRDefault="00EE6D95">
            <w:pPr>
              <w:rPr>
                <w:rFonts w:ascii="Arial" w:hAnsi="Arial" w:cs="Arial"/>
              </w:rPr>
            </w:pPr>
            <w:r w:rsidRPr="00D61DA2">
              <w:rPr>
                <w:rFonts w:ascii="Arial" w:hAnsi="Arial" w:cs="Arial"/>
              </w:rPr>
              <w:t>79</w:t>
            </w:r>
          </w:p>
        </w:tc>
        <w:tc>
          <w:tcPr>
            <w:tcW w:w="1486" w:type="dxa"/>
          </w:tcPr>
          <w:p w:rsidR="00D849AA" w:rsidRPr="00D61DA2" w:rsidRDefault="00EE6D95">
            <w:pPr>
              <w:rPr>
                <w:rFonts w:ascii="Arial" w:hAnsi="Arial" w:cs="Arial"/>
              </w:rPr>
            </w:pPr>
            <w:r w:rsidRPr="00D61DA2">
              <w:rPr>
                <w:rFonts w:ascii="Arial" w:hAnsi="Arial" w:cs="Arial"/>
              </w:rPr>
              <w:t>80</w:t>
            </w:r>
          </w:p>
        </w:tc>
        <w:tc>
          <w:tcPr>
            <w:tcW w:w="1486" w:type="dxa"/>
          </w:tcPr>
          <w:p w:rsidR="00D849AA" w:rsidRPr="00D61DA2" w:rsidRDefault="00EE6D95">
            <w:pPr>
              <w:rPr>
                <w:rFonts w:ascii="Arial" w:hAnsi="Arial" w:cs="Arial"/>
              </w:rPr>
            </w:pPr>
            <w:r w:rsidRPr="00D61DA2">
              <w:rPr>
                <w:rFonts w:ascii="Arial" w:hAnsi="Arial" w:cs="Arial"/>
              </w:rPr>
              <w:t>80</w:t>
            </w:r>
          </w:p>
        </w:tc>
        <w:tc>
          <w:tcPr>
            <w:tcW w:w="1486" w:type="dxa"/>
          </w:tcPr>
          <w:p w:rsidR="00D849AA" w:rsidRPr="00D61DA2" w:rsidRDefault="00EE6D95">
            <w:pPr>
              <w:rPr>
                <w:rFonts w:ascii="Arial" w:hAnsi="Arial" w:cs="Arial"/>
              </w:rPr>
            </w:pPr>
            <w:r w:rsidRPr="00D61DA2">
              <w:rPr>
                <w:rFonts w:ascii="Arial" w:hAnsi="Arial" w:cs="Arial"/>
              </w:rPr>
              <w:t>80</w:t>
            </w:r>
          </w:p>
        </w:tc>
      </w:tr>
    </w:tbl>
    <w:p w:rsidR="00D849AA" w:rsidRDefault="00D849AA">
      <w:pPr>
        <w:jc w:val="left"/>
      </w:pPr>
    </w:p>
    <w:p w:rsidR="00D849AA" w:rsidRDefault="00EE6D95">
      <w:pPr>
        <w:pStyle w:val="Naslov6"/>
      </w:pPr>
      <w:r>
        <w:t>A576173 SURADNJA NA LOKALNOJ, REGIONALNOJ I MEĐUNARODNOJ RAZINI</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A576173</w:t>
            </w:r>
          </w:p>
        </w:tc>
        <w:tc>
          <w:tcPr>
            <w:tcW w:w="1486" w:type="dxa"/>
          </w:tcPr>
          <w:p w:rsidR="00D849AA" w:rsidRDefault="00EE6D95">
            <w:r>
              <w:t>2.430.000</w:t>
            </w:r>
          </w:p>
        </w:tc>
        <w:tc>
          <w:tcPr>
            <w:tcW w:w="1486" w:type="dxa"/>
          </w:tcPr>
          <w:p w:rsidR="00D849AA" w:rsidRDefault="00EE6D95">
            <w:r>
              <w:t>3.975.000</w:t>
            </w:r>
          </w:p>
        </w:tc>
        <w:tc>
          <w:tcPr>
            <w:tcW w:w="1486" w:type="dxa"/>
          </w:tcPr>
          <w:p w:rsidR="00D849AA" w:rsidRDefault="00EE6D95">
            <w:r>
              <w:t>4.168.286</w:t>
            </w:r>
          </w:p>
        </w:tc>
        <w:tc>
          <w:tcPr>
            <w:tcW w:w="1486" w:type="dxa"/>
          </w:tcPr>
          <w:p w:rsidR="00D849AA" w:rsidRDefault="00EE6D95">
            <w:r>
              <w:t>4.358.170</w:t>
            </w:r>
          </w:p>
        </w:tc>
        <w:tc>
          <w:tcPr>
            <w:tcW w:w="1486" w:type="dxa"/>
          </w:tcPr>
          <w:p w:rsidR="00D849AA" w:rsidRDefault="00EE6D95">
            <w:r>
              <w:t>163,6</w:t>
            </w:r>
          </w:p>
        </w:tc>
      </w:tr>
    </w:tbl>
    <w:p w:rsidR="00D849AA" w:rsidRDefault="00D849AA">
      <w:pPr>
        <w:jc w:val="left"/>
      </w:pPr>
    </w:p>
    <w:p w:rsidR="00D849AA" w:rsidRDefault="00EE6D95">
      <w:pPr>
        <w:pStyle w:val="Normal6"/>
      </w:pPr>
      <w:r>
        <w:lastRenderedPageBreak/>
        <w:t xml:space="preserve">Sredstva planirana u 2014. godini za provedbu suradnje na lokalnoj, regionalnoj i međunarodnoj razini namijenjena su za sudjelovanje predstavnika Ministarstva u aktivnostima zaštite okoliša i održivog razvoja na multilateralnoj (globalnoj), regionalnoj i bilateralnoj razini. Procjena troškova za 2014. godinu se temelji na dosadašnjim iskustvima.  </w:t>
      </w:r>
    </w:p>
    <w:p w:rsidR="00D849AA" w:rsidRDefault="00EE6D95">
      <w:pPr>
        <w:pStyle w:val="Normal6"/>
      </w:pPr>
      <w:r>
        <w:t xml:space="preserve">Republika Hrvatska stranka je međunarodnih konvencija u području zaštite okoliša i prirode te njihovih pratećih protokola za čiju provedbu je izravno zaduženo ovo Ministarstvo. To, između ostalog, podrazumijeva i obvezu sudjelovanja u radu konferencija stranaka i sastanaka radnih tijela konvencija. Također, Republika Hrvatska je članica značajnog broja međunarodnih organizacija pa se na međunarodnoj razini očekuje njezino aktivno uključivanje u inicijative i procese te doprinos razvoju globalnih politika zaštite okoliša. </w:t>
      </w:r>
    </w:p>
    <w:p w:rsidR="00D849AA" w:rsidRDefault="00EE6D95">
      <w:pPr>
        <w:pStyle w:val="Normal6"/>
      </w:pPr>
      <w:r>
        <w:t xml:space="preserve">Ministarstvo je nositelj aktivnosti provedbe pojedinih međudržavnih sporazuma u zaštiti okoliša i prirode i time domaćin međudržavnih sastanaka što podrazumijeva i obvezu snošenja troškova organizacije sastanaka. Ministarstvo također organizira ministarske susrete i protokolarne posjete na visokoj razini.  </w:t>
      </w:r>
    </w:p>
    <w:p w:rsidR="00D849AA" w:rsidRDefault="00EE6D95">
      <w:pPr>
        <w:pStyle w:val="Normal6"/>
      </w:pPr>
      <w:r>
        <w:t xml:space="preserve">Republika Hrvatska podliježe obvezi plaćanja doprinosa za članstvo u međunarodnim sporazumima i organizacijama koji se podmiruju iz ovog Programa.  </w:t>
      </w:r>
    </w:p>
    <w:p w:rsidR="00D849AA" w:rsidRDefault="00EE6D95">
      <w:pPr>
        <w:pStyle w:val="Normal6"/>
      </w:pPr>
      <w:r>
        <w:t>Republika Hrvatska je prema Ugovoru iz 1996. s UNEP-om domaćin Centru za regionalne aktivnosti Mediteranskog Akcijskog Plana Programa UN-a za okoliš u Splitu, a njegovo sufinanciranje osigurava se iz ovog Programa.</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Kontinuirano usklađivanje sustava zaštite zraka, mora i tla s EU standardima i međunarodnim sporazumima</w:t>
            </w:r>
          </w:p>
        </w:tc>
        <w:tc>
          <w:tcPr>
            <w:tcW w:w="1114" w:type="dxa"/>
          </w:tcPr>
          <w:p w:rsidR="00D849AA" w:rsidRDefault="00EE6D95">
            <w:r>
              <w:t>%</w:t>
            </w:r>
          </w:p>
        </w:tc>
        <w:tc>
          <w:tcPr>
            <w:tcW w:w="1114" w:type="dxa"/>
          </w:tcPr>
          <w:p w:rsidR="00D849AA" w:rsidRDefault="00EE6D95">
            <w:r>
              <w:t>98</w:t>
            </w:r>
          </w:p>
        </w:tc>
        <w:tc>
          <w:tcPr>
            <w:tcW w:w="1486" w:type="dxa"/>
          </w:tcPr>
          <w:p w:rsidR="00D849AA" w:rsidRDefault="00EE6D95">
            <w:r>
              <w:t>100</w:t>
            </w:r>
          </w:p>
        </w:tc>
        <w:tc>
          <w:tcPr>
            <w:tcW w:w="1486" w:type="dxa"/>
          </w:tcPr>
          <w:p w:rsidR="00D849AA" w:rsidRDefault="00EE6D95">
            <w:r>
              <w:t>100</w:t>
            </w:r>
          </w:p>
        </w:tc>
        <w:tc>
          <w:tcPr>
            <w:tcW w:w="1486" w:type="dxa"/>
          </w:tcPr>
          <w:p w:rsidR="00D849AA" w:rsidRDefault="00EE6D95">
            <w:r>
              <w:t>100</w:t>
            </w:r>
          </w:p>
        </w:tc>
      </w:tr>
    </w:tbl>
    <w:p w:rsidR="00D849AA" w:rsidRDefault="00D849AA">
      <w:pPr>
        <w:jc w:val="left"/>
      </w:pPr>
    </w:p>
    <w:p w:rsidR="00D849AA" w:rsidRDefault="00EE6D95">
      <w:pPr>
        <w:pStyle w:val="Naslov6"/>
      </w:pPr>
      <w:r>
        <w:t>A576189 NADZOR OKOLIŠA I PRIRODE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A576189</w:t>
            </w:r>
          </w:p>
        </w:tc>
        <w:tc>
          <w:tcPr>
            <w:tcW w:w="1486" w:type="dxa"/>
          </w:tcPr>
          <w:p w:rsidR="00D849AA" w:rsidRDefault="00EE6D95">
            <w:r>
              <w:t>2.195.000</w:t>
            </w:r>
          </w:p>
        </w:tc>
        <w:tc>
          <w:tcPr>
            <w:tcW w:w="1486" w:type="dxa"/>
          </w:tcPr>
          <w:p w:rsidR="00D849AA" w:rsidRDefault="00EE6D95">
            <w:r>
              <w:t>2.224.200</w:t>
            </w:r>
          </w:p>
        </w:tc>
        <w:tc>
          <w:tcPr>
            <w:tcW w:w="1486" w:type="dxa"/>
          </w:tcPr>
          <w:p w:rsidR="00D849AA" w:rsidRDefault="00EE6D95">
            <w:r>
              <w:t>1.738.000</w:t>
            </w:r>
          </w:p>
        </w:tc>
        <w:tc>
          <w:tcPr>
            <w:tcW w:w="1486" w:type="dxa"/>
          </w:tcPr>
          <w:p w:rsidR="00D849AA" w:rsidRDefault="00EE6D95">
            <w:r>
              <w:t>1.863.000</w:t>
            </w:r>
          </w:p>
        </w:tc>
        <w:tc>
          <w:tcPr>
            <w:tcW w:w="1486" w:type="dxa"/>
          </w:tcPr>
          <w:p w:rsidR="00D849AA" w:rsidRDefault="00EE6D95">
            <w:r>
              <w:t>101,3</w:t>
            </w:r>
          </w:p>
        </w:tc>
      </w:tr>
    </w:tbl>
    <w:p w:rsidR="00D849AA" w:rsidRDefault="00D849AA">
      <w:pPr>
        <w:jc w:val="left"/>
      </w:pPr>
    </w:p>
    <w:p w:rsidR="00D849AA" w:rsidRDefault="00EE6D95">
      <w:pPr>
        <w:pStyle w:val="Normal6"/>
      </w:pPr>
      <w:r>
        <w:t xml:space="preserve">U okviru nadležnosti Ministarstva prioritetna područja djelovanja inspekcije zaštite okoliša su gospodarenje otpadom i zaštita zraka. </w:t>
      </w:r>
    </w:p>
    <w:p w:rsidR="00D849AA" w:rsidRDefault="00EE6D95">
      <w:pPr>
        <w:pStyle w:val="Normal6"/>
      </w:pPr>
      <w:r>
        <w:t xml:space="preserve">Provedbom inspekcijskih nadzora u području okoliša i dugoročnim aktivnostima inspekcije zaštite okoliša u suradnji s drugim inspekcijskim službama u području okoliša, stvaraju se preduvjeti za sprečavanje i smanjenje onečišćenja zraka, tla, voda i mora.  </w:t>
      </w:r>
    </w:p>
    <w:p w:rsidR="00D849AA" w:rsidRDefault="00EE6D95">
      <w:pPr>
        <w:pStyle w:val="Normal6"/>
      </w:pPr>
      <w:r>
        <w:t xml:space="preserve">Zaštićena i očuvana priroda osigurati će postojanost temeljnih vrijednosti i potencijala za daljnji razvitak Republike Hrvatske, kao i njenu afirmaciju u europskom okruženju kao </w:t>
      </w:r>
      <w:r>
        <w:lastRenderedPageBreak/>
        <w:t xml:space="preserve">zemlje s razvijenom svijesti o značaju očuvanja prirodnog bogatstva koje pametnim, promišljenim i održivim korištenjem osigurava višestruke razvojne pravce.  </w:t>
      </w:r>
    </w:p>
    <w:p w:rsidR="00D849AA" w:rsidRDefault="00EE6D95">
      <w:pPr>
        <w:pStyle w:val="Normal6"/>
      </w:pPr>
      <w:r>
        <w:t xml:space="preserve">Cilj je očuvati postojeću biološku, krajobraznu i geološku raznolikost, vratiti dio izgubljenih svojti i staništa, gdje je to moguće i opravdano te razviti prikladan sustav za njihovo vrednovanje i očuvanje.  </w:t>
      </w:r>
    </w:p>
    <w:p w:rsidR="00D849AA" w:rsidRDefault="00EE6D95">
      <w:pPr>
        <w:pStyle w:val="Normal6"/>
      </w:pPr>
      <w:r>
        <w:t xml:space="preserve">Zaštitom i očuvanjem biološke, krajobrazne i geološke raznolikosti na regionalnoj i lokalnoj razini, obrazovanjem i edukacijom, međusektorskom suradnjom te uključivanjem javnosti podiže se svijest o potrebi njenog očuvanja u svim oblicima političkog, gospodarskog i društvenog djelovanja. </w:t>
      </w:r>
    </w:p>
    <w:p w:rsidR="00D849AA" w:rsidRDefault="00EE6D95">
      <w:pPr>
        <w:pStyle w:val="Normal6"/>
      </w:pPr>
      <w:r>
        <w:t>Navedeni opći cilj proizlazi iz Strategije i akcijskog plana zaštite biološke i krajobrazne raznolikosti Republike Hrvatske, studeni 2008. (Narodne novine, broj 143/08).</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rsidRPr="00D61DA2">
        <w:trPr>
          <w:jc w:val="center"/>
        </w:trPr>
        <w:tc>
          <w:tcPr>
            <w:tcW w:w="2229" w:type="dxa"/>
            <w:shd w:val="clear" w:color="auto" w:fill="B5C0D8"/>
          </w:tcPr>
          <w:p w:rsidR="00D849AA" w:rsidRPr="00D61DA2" w:rsidRDefault="00EE6D95">
            <w:pPr>
              <w:rPr>
                <w:rFonts w:ascii="Arial" w:hAnsi="Arial" w:cs="Arial"/>
              </w:rPr>
            </w:pPr>
            <w:r w:rsidRPr="00D61DA2">
              <w:rPr>
                <w:rFonts w:ascii="Arial" w:hAnsi="Arial" w:cs="Arial"/>
              </w:rPr>
              <w:t>Pokazatelj rezultata</w:t>
            </w:r>
          </w:p>
        </w:tc>
        <w:tc>
          <w:tcPr>
            <w:tcW w:w="1114" w:type="dxa"/>
            <w:shd w:val="clear" w:color="auto" w:fill="B5C0D8"/>
          </w:tcPr>
          <w:p w:rsidR="00D849AA" w:rsidRPr="00D61DA2" w:rsidRDefault="00EE6D95">
            <w:pPr>
              <w:pStyle w:val="CellHeader"/>
              <w:rPr>
                <w:szCs w:val="20"/>
              </w:rPr>
            </w:pPr>
            <w:r w:rsidRPr="00D61DA2">
              <w:rPr>
                <w:szCs w:val="20"/>
              </w:rPr>
              <w:t>Jedinica</w:t>
            </w:r>
          </w:p>
        </w:tc>
        <w:tc>
          <w:tcPr>
            <w:tcW w:w="1114" w:type="dxa"/>
            <w:shd w:val="clear" w:color="auto" w:fill="B5C0D8"/>
          </w:tcPr>
          <w:p w:rsidR="00D849AA" w:rsidRPr="00D61DA2" w:rsidRDefault="00EE6D95">
            <w:pPr>
              <w:pStyle w:val="CellHeader"/>
              <w:rPr>
                <w:szCs w:val="20"/>
              </w:rPr>
            </w:pPr>
            <w:r w:rsidRPr="00D61DA2">
              <w:rPr>
                <w:szCs w:val="20"/>
              </w:rPr>
              <w:t>Polazna vrijednost</w:t>
            </w:r>
          </w:p>
        </w:tc>
        <w:tc>
          <w:tcPr>
            <w:tcW w:w="1486" w:type="dxa"/>
            <w:shd w:val="clear" w:color="auto" w:fill="B5C0D8"/>
          </w:tcPr>
          <w:p w:rsidR="00D849AA" w:rsidRPr="00D61DA2" w:rsidRDefault="00EE6D95">
            <w:pPr>
              <w:pStyle w:val="CellHeader"/>
              <w:rPr>
                <w:szCs w:val="20"/>
              </w:rPr>
            </w:pPr>
            <w:r w:rsidRPr="00D61DA2">
              <w:rPr>
                <w:szCs w:val="20"/>
              </w:rPr>
              <w:t>Ciljana vrijednost (2014.)</w:t>
            </w:r>
          </w:p>
        </w:tc>
        <w:tc>
          <w:tcPr>
            <w:tcW w:w="1486" w:type="dxa"/>
            <w:shd w:val="clear" w:color="auto" w:fill="B5C0D8"/>
          </w:tcPr>
          <w:p w:rsidR="00D849AA" w:rsidRPr="00D61DA2" w:rsidRDefault="00EE6D95">
            <w:pPr>
              <w:pStyle w:val="CellHeader"/>
              <w:rPr>
                <w:szCs w:val="20"/>
              </w:rPr>
            </w:pPr>
            <w:r w:rsidRPr="00D61DA2">
              <w:rPr>
                <w:szCs w:val="20"/>
              </w:rPr>
              <w:t>Ciljana vrijednost (2015.)</w:t>
            </w:r>
          </w:p>
        </w:tc>
        <w:tc>
          <w:tcPr>
            <w:tcW w:w="1486" w:type="dxa"/>
            <w:shd w:val="clear" w:color="auto" w:fill="B5C0D8"/>
          </w:tcPr>
          <w:p w:rsidR="00D849AA" w:rsidRPr="00D61DA2" w:rsidRDefault="00EE6D95">
            <w:pPr>
              <w:pStyle w:val="CellHeader"/>
              <w:rPr>
                <w:szCs w:val="20"/>
              </w:rPr>
            </w:pPr>
            <w:r w:rsidRPr="00D61DA2">
              <w:rPr>
                <w:szCs w:val="20"/>
              </w:rPr>
              <w:t>Ciljana vrijednost (2016.)</w:t>
            </w:r>
          </w:p>
        </w:tc>
      </w:tr>
      <w:tr w:rsidR="00D849AA" w:rsidRPr="00D61DA2">
        <w:trPr>
          <w:jc w:val="center"/>
        </w:trPr>
        <w:tc>
          <w:tcPr>
            <w:tcW w:w="2229" w:type="dxa"/>
          </w:tcPr>
          <w:p w:rsidR="00D849AA" w:rsidRPr="00D61DA2" w:rsidRDefault="00EE6D95">
            <w:pPr>
              <w:pStyle w:val="CellColumn"/>
              <w:rPr>
                <w:szCs w:val="20"/>
              </w:rPr>
            </w:pPr>
            <w:r w:rsidRPr="00D61DA2">
              <w:rPr>
                <w:szCs w:val="20"/>
              </w:rPr>
              <w:t>Planirani inspekcijski nadzori</w:t>
            </w:r>
          </w:p>
        </w:tc>
        <w:tc>
          <w:tcPr>
            <w:tcW w:w="1114" w:type="dxa"/>
          </w:tcPr>
          <w:p w:rsidR="00D849AA" w:rsidRPr="00D61DA2" w:rsidRDefault="00EE6D95">
            <w:pPr>
              <w:rPr>
                <w:rFonts w:ascii="Arial" w:hAnsi="Arial" w:cs="Arial"/>
              </w:rPr>
            </w:pPr>
            <w:r w:rsidRPr="00D61DA2">
              <w:rPr>
                <w:rFonts w:ascii="Arial" w:hAnsi="Arial" w:cs="Arial"/>
              </w:rPr>
              <w:t>broj</w:t>
            </w:r>
          </w:p>
        </w:tc>
        <w:tc>
          <w:tcPr>
            <w:tcW w:w="1114" w:type="dxa"/>
          </w:tcPr>
          <w:p w:rsidR="00D849AA" w:rsidRPr="00D61DA2" w:rsidRDefault="00EE6D95">
            <w:pPr>
              <w:rPr>
                <w:rFonts w:ascii="Arial" w:hAnsi="Arial" w:cs="Arial"/>
              </w:rPr>
            </w:pPr>
            <w:r w:rsidRPr="00D61DA2">
              <w:rPr>
                <w:rFonts w:ascii="Arial" w:hAnsi="Arial" w:cs="Arial"/>
              </w:rPr>
              <w:t>6000</w:t>
            </w:r>
          </w:p>
        </w:tc>
        <w:tc>
          <w:tcPr>
            <w:tcW w:w="1486" w:type="dxa"/>
          </w:tcPr>
          <w:p w:rsidR="00D849AA" w:rsidRPr="00D61DA2" w:rsidRDefault="00EE6D95">
            <w:pPr>
              <w:rPr>
                <w:rFonts w:ascii="Arial" w:hAnsi="Arial" w:cs="Arial"/>
              </w:rPr>
            </w:pPr>
            <w:r w:rsidRPr="00D61DA2">
              <w:rPr>
                <w:rFonts w:ascii="Arial" w:hAnsi="Arial" w:cs="Arial"/>
              </w:rPr>
              <w:t>6100</w:t>
            </w:r>
          </w:p>
        </w:tc>
        <w:tc>
          <w:tcPr>
            <w:tcW w:w="1486" w:type="dxa"/>
          </w:tcPr>
          <w:p w:rsidR="00D849AA" w:rsidRPr="00D61DA2" w:rsidRDefault="00EE6D95">
            <w:pPr>
              <w:rPr>
                <w:rFonts w:ascii="Arial" w:hAnsi="Arial" w:cs="Arial"/>
              </w:rPr>
            </w:pPr>
            <w:r w:rsidRPr="00D61DA2">
              <w:rPr>
                <w:rFonts w:ascii="Arial" w:hAnsi="Arial" w:cs="Arial"/>
              </w:rPr>
              <w:t>6200</w:t>
            </w:r>
          </w:p>
        </w:tc>
        <w:tc>
          <w:tcPr>
            <w:tcW w:w="1486" w:type="dxa"/>
          </w:tcPr>
          <w:p w:rsidR="00D849AA" w:rsidRPr="00D61DA2" w:rsidRDefault="00EE6D95">
            <w:pPr>
              <w:rPr>
                <w:rFonts w:ascii="Arial" w:hAnsi="Arial" w:cs="Arial"/>
              </w:rPr>
            </w:pPr>
            <w:r w:rsidRPr="00D61DA2">
              <w:rPr>
                <w:rFonts w:ascii="Arial" w:hAnsi="Arial" w:cs="Arial"/>
              </w:rPr>
              <w:t>6300</w:t>
            </w:r>
          </w:p>
        </w:tc>
      </w:tr>
      <w:tr w:rsidR="00D849AA" w:rsidRPr="00D61DA2">
        <w:trPr>
          <w:jc w:val="center"/>
        </w:trPr>
        <w:tc>
          <w:tcPr>
            <w:tcW w:w="2229" w:type="dxa"/>
          </w:tcPr>
          <w:p w:rsidR="00D849AA" w:rsidRPr="00D61DA2" w:rsidRDefault="00EE6D95">
            <w:pPr>
              <w:pStyle w:val="CellColumn"/>
              <w:rPr>
                <w:szCs w:val="20"/>
              </w:rPr>
            </w:pPr>
            <w:r w:rsidRPr="00D61DA2">
              <w:rPr>
                <w:szCs w:val="20"/>
              </w:rPr>
              <w:t>Nadzirane osobe</w:t>
            </w:r>
          </w:p>
        </w:tc>
        <w:tc>
          <w:tcPr>
            <w:tcW w:w="1114" w:type="dxa"/>
          </w:tcPr>
          <w:p w:rsidR="00D849AA" w:rsidRPr="00D61DA2" w:rsidRDefault="00EE6D95">
            <w:pPr>
              <w:rPr>
                <w:rFonts w:ascii="Arial" w:hAnsi="Arial" w:cs="Arial"/>
              </w:rPr>
            </w:pPr>
            <w:r w:rsidRPr="00D61DA2">
              <w:rPr>
                <w:rFonts w:ascii="Arial" w:hAnsi="Arial" w:cs="Arial"/>
              </w:rPr>
              <w:t>broj</w:t>
            </w:r>
          </w:p>
        </w:tc>
        <w:tc>
          <w:tcPr>
            <w:tcW w:w="1114" w:type="dxa"/>
          </w:tcPr>
          <w:p w:rsidR="00D849AA" w:rsidRPr="00D61DA2" w:rsidRDefault="00EE6D95">
            <w:pPr>
              <w:rPr>
                <w:rFonts w:ascii="Arial" w:hAnsi="Arial" w:cs="Arial"/>
              </w:rPr>
            </w:pPr>
            <w:r w:rsidRPr="00D61DA2">
              <w:rPr>
                <w:rFonts w:ascii="Arial" w:hAnsi="Arial" w:cs="Arial"/>
              </w:rPr>
              <w:t>3800</w:t>
            </w:r>
          </w:p>
        </w:tc>
        <w:tc>
          <w:tcPr>
            <w:tcW w:w="1486" w:type="dxa"/>
          </w:tcPr>
          <w:p w:rsidR="00D849AA" w:rsidRPr="00D61DA2" w:rsidRDefault="00EE6D95">
            <w:pPr>
              <w:rPr>
                <w:rFonts w:ascii="Arial" w:hAnsi="Arial" w:cs="Arial"/>
              </w:rPr>
            </w:pPr>
            <w:r w:rsidRPr="00D61DA2">
              <w:rPr>
                <w:rFonts w:ascii="Arial" w:hAnsi="Arial" w:cs="Arial"/>
              </w:rPr>
              <w:t>3850</w:t>
            </w:r>
          </w:p>
        </w:tc>
        <w:tc>
          <w:tcPr>
            <w:tcW w:w="1486" w:type="dxa"/>
          </w:tcPr>
          <w:p w:rsidR="00D849AA" w:rsidRPr="00D61DA2" w:rsidRDefault="00EE6D95">
            <w:pPr>
              <w:rPr>
                <w:rFonts w:ascii="Arial" w:hAnsi="Arial" w:cs="Arial"/>
              </w:rPr>
            </w:pPr>
            <w:r w:rsidRPr="00D61DA2">
              <w:rPr>
                <w:rFonts w:ascii="Arial" w:hAnsi="Arial" w:cs="Arial"/>
              </w:rPr>
              <w:t>3900</w:t>
            </w:r>
          </w:p>
        </w:tc>
        <w:tc>
          <w:tcPr>
            <w:tcW w:w="1486" w:type="dxa"/>
          </w:tcPr>
          <w:p w:rsidR="00D849AA" w:rsidRPr="00D61DA2" w:rsidRDefault="00EE6D95">
            <w:pPr>
              <w:rPr>
                <w:rFonts w:ascii="Arial" w:hAnsi="Arial" w:cs="Arial"/>
              </w:rPr>
            </w:pPr>
            <w:r w:rsidRPr="00D61DA2">
              <w:rPr>
                <w:rFonts w:ascii="Arial" w:hAnsi="Arial" w:cs="Arial"/>
              </w:rPr>
              <w:t>3950</w:t>
            </w:r>
          </w:p>
        </w:tc>
      </w:tr>
      <w:tr w:rsidR="00D849AA" w:rsidRPr="00D61DA2">
        <w:trPr>
          <w:jc w:val="center"/>
        </w:trPr>
        <w:tc>
          <w:tcPr>
            <w:tcW w:w="2229" w:type="dxa"/>
          </w:tcPr>
          <w:p w:rsidR="00D849AA" w:rsidRPr="00D61DA2" w:rsidRDefault="00EE6D95">
            <w:pPr>
              <w:pStyle w:val="CellColumn"/>
              <w:rPr>
                <w:szCs w:val="20"/>
              </w:rPr>
            </w:pPr>
            <w:r w:rsidRPr="00D61DA2">
              <w:rPr>
                <w:szCs w:val="20"/>
              </w:rPr>
              <w:t>Stručno osposobljavanje inspektora</w:t>
            </w:r>
          </w:p>
        </w:tc>
        <w:tc>
          <w:tcPr>
            <w:tcW w:w="1114" w:type="dxa"/>
          </w:tcPr>
          <w:p w:rsidR="00D849AA" w:rsidRPr="00D61DA2" w:rsidRDefault="00EE6D95">
            <w:pPr>
              <w:rPr>
                <w:rFonts w:ascii="Arial" w:hAnsi="Arial" w:cs="Arial"/>
              </w:rPr>
            </w:pPr>
            <w:r w:rsidRPr="00D61DA2">
              <w:rPr>
                <w:rFonts w:ascii="Arial" w:hAnsi="Arial" w:cs="Arial"/>
              </w:rPr>
              <w:t>dan/insp</w:t>
            </w:r>
          </w:p>
        </w:tc>
        <w:tc>
          <w:tcPr>
            <w:tcW w:w="1114" w:type="dxa"/>
          </w:tcPr>
          <w:p w:rsidR="00D849AA" w:rsidRPr="00D61DA2" w:rsidRDefault="00EE6D95">
            <w:pPr>
              <w:rPr>
                <w:rFonts w:ascii="Arial" w:hAnsi="Arial" w:cs="Arial"/>
              </w:rPr>
            </w:pPr>
            <w:r w:rsidRPr="00D61DA2">
              <w:rPr>
                <w:rFonts w:ascii="Arial" w:hAnsi="Arial" w:cs="Arial"/>
              </w:rPr>
              <w:t>15</w:t>
            </w:r>
          </w:p>
        </w:tc>
        <w:tc>
          <w:tcPr>
            <w:tcW w:w="1486" w:type="dxa"/>
          </w:tcPr>
          <w:p w:rsidR="00D849AA" w:rsidRPr="00D61DA2" w:rsidRDefault="00EE6D95">
            <w:pPr>
              <w:rPr>
                <w:rFonts w:ascii="Arial" w:hAnsi="Arial" w:cs="Arial"/>
              </w:rPr>
            </w:pPr>
            <w:r w:rsidRPr="00D61DA2">
              <w:rPr>
                <w:rFonts w:ascii="Arial" w:hAnsi="Arial" w:cs="Arial"/>
              </w:rPr>
              <w:t>10</w:t>
            </w:r>
          </w:p>
        </w:tc>
        <w:tc>
          <w:tcPr>
            <w:tcW w:w="1486" w:type="dxa"/>
          </w:tcPr>
          <w:p w:rsidR="00D849AA" w:rsidRPr="00D61DA2" w:rsidRDefault="00EE6D95">
            <w:pPr>
              <w:rPr>
                <w:rFonts w:ascii="Arial" w:hAnsi="Arial" w:cs="Arial"/>
              </w:rPr>
            </w:pPr>
            <w:r w:rsidRPr="00D61DA2">
              <w:rPr>
                <w:rFonts w:ascii="Arial" w:hAnsi="Arial" w:cs="Arial"/>
              </w:rPr>
              <w:t>10</w:t>
            </w:r>
          </w:p>
        </w:tc>
        <w:tc>
          <w:tcPr>
            <w:tcW w:w="1486" w:type="dxa"/>
          </w:tcPr>
          <w:p w:rsidR="00D849AA" w:rsidRPr="00D61DA2" w:rsidRDefault="00EE6D95">
            <w:pPr>
              <w:rPr>
                <w:rFonts w:ascii="Arial" w:hAnsi="Arial" w:cs="Arial"/>
              </w:rPr>
            </w:pPr>
            <w:r w:rsidRPr="00D61DA2">
              <w:rPr>
                <w:rFonts w:ascii="Arial" w:hAnsi="Arial" w:cs="Arial"/>
              </w:rPr>
              <w:t>10</w:t>
            </w:r>
          </w:p>
        </w:tc>
      </w:tr>
      <w:tr w:rsidR="00D849AA" w:rsidRPr="00D61DA2">
        <w:trPr>
          <w:jc w:val="center"/>
        </w:trPr>
        <w:tc>
          <w:tcPr>
            <w:tcW w:w="2229" w:type="dxa"/>
          </w:tcPr>
          <w:p w:rsidR="00D849AA" w:rsidRPr="00D61DA2" w:rsidRDefault="00EE6D95">
            <w:pPr>
              <w:pStyle w:val="CellColumn"/>
              <w:rPr>
                <w:szCs w:val="20"/>
              </w:rPr>
            </w:pPr>
            <w:r w:rsidRPr="00D61DA2">
              <w:rPr>
                <w:szCs w:val="20"/>
              </w:rPr>
              <w:t>Provedba projekata</w:t>
            </w:r>
          </w:p>
        </w:tc>
        <w:tc>
          <w:tcPr>
            <w:tcW w:w="1114" w:type="dxa"/>
          </w:tcPr>
          <w:p w:rsidR="00D849AA" w:rsidRPr="00D61DA2" w:rsidRDefault="00EE6D95">
            <w:pPr>
              <w:rPr>
                <w:rFonts w:ascii="Arial" w:hAnsi="Arial" w:cs="Arial"/>
              </w:rPr>
            </w:pPr>
            <w:r w:rsidRPr="00D61DA2">
              <w:rPr>
                <w:rFonts w:ascii="Arial" w:hAnsi="Arial" w:cs="Arial"/>
              </w:rPr>
              <w:t>broj</w:t>
            </w:r>
          </w:p>
        </w:tc>
        <w:tc>
          <w:tcPr>
            <w:tcW w:w="1114" w:type="dxa"/>
          </w:tcPr>
          <w:p w:rsidR="00D849AA" w:rsidRPr="00D61DA2" w:rsidRDefault="00EE6D95">
            <w:pPr>
              <w:rPr>
                <w:rFonts w:ascii="Arial" w:hAnsi="Arial" w:cs="Arial"/>
              </w:rPr>
            </w:pPr>
            <w:r w:rsidRPr="00D61DA2">
              <w:rPr>
                <w:rFonts w:ascii="Arial" w:hAnsi="Arial" w:cs="Arial"/>
              </w:rPr>
              <w:t>1</w:t>
            </w:r>
          </w:p>
        </w:tc>
        <w:tc>
          <w:tcPr>
            <w:tcW w:w="1486" w:type="dxa"/>
          </w:tcPr>
          <w:p w:rsidR="00D849AA" w:rsidRPr="00D61DA2" w:rsidRDefault="00EE6D95">
            <w:pPr>
              <w:rPr>
                <w:rFonts w:ascii="Arial" w:hAnsi="Arial" w:cs="Arial"/>
              </w:rPr>
            </w:pPr>
            <w:r w:rsidRPr="00D61DA2">
              <w:rPr>
                <w:rFonts w:ascii="Arial" w:hAnsi="Arial" w:cs="Arial"/>
              </w:rPr>
              <w:t>2</w:t>
            </w:r>
          </w:p>
        </w:tc>
        <w:tc>
          <w:tcPr>
            <w:tcW w:w="1486" w:type="dxa"/>
          </w:tcPr>
          <w:p w:rsidR="00D849AA" w:rsidRPr="00D61DA2" w:rsidRDefault="00EE6D95">
            <w:pPr>
              <w:rPr>
                <w:rFonts w:ascii="Arial" w:hAnsi="Arial" w:cs="Arial"/>
              </w:rPr>
            </w:pPr>
            <w:r w:rsidRPr="00D61DA2">
              <w:rPr>
                <w:rFonts w:ascii="Arial" w:hAnsi="Arial" w:cs="Arial"/>
              </w:rPr>
              <w:t>1</w:t>
            </w:r>
          </w:p>
        </w:tc>
        <w:tc>
          <w:tcPr>
            <w:tcW w:w="1486" w:type="dxa"/>
          </w:tcPr>
          <w:p w:rsidR="00D849AA" w:rsidRPr="00D61DA2" w:rsidRDefault="00EE6D95">
            <w:pPr>
              <w:rPr>
                <w:rFonts w:ascii="Arial" w:hAnsi="Arial" w:cs="Arial"/>
              </w:rPr>
            </w:pPr>
            <w:r w:rsidRPr="00D61DA2">
              <w:rPr>
                <w:rFonts w:ascii="Arial" w:hAnsi="Arial" w:cs="Arial"/>
              </w:rPr>
              <w:t>1</w:t>
            </w:r>
          </w:p>
        </w:tc>
      </w:tr>
      <w:tr w:rsidR="00D849AA" w:rsidRPr="00D61DA2">
        <w:trPr>
          <w:jc w:val="center"/>
        </w:trPr>
        <w:tc>
          <w:tcPr>
            <w:tcW w:w="2229" w:type="dxa"/>
          </w:tcPr>
          <w:p w:rsidR="00D849AA" w:rsidRPr="00D61DA2" w:rsidRDefault="00EE6D95">
            <w:pPr>
              <w:pStyle w:val="CellColumn"/>
              <w:rPr>
                <w:szCs w:val="20"/>
              </w:rPr>
            </w:pPr>
            <w:r w:rsidRPr="00D61DA2">
              <w:rPr>
                <w:szCs w:val="20"/>
              </w:rPr>
              <w:t>Izrađene smjernice i standardni operativni postupci</w:t>
            </w:r>
          </w:p>
        </w:tc>
        <w:tc>
          <w:tcPr>
            <w:tcW w:w="1114" w:type="dxa"/>
          </w:tcPr>
          <w:p w:rsidR="00D849AA" w:rsidRPr="00D61DA2" w:rsidRDefault="00EE6D95">
            <w:pPr>
              <w:rPr>
                <w:rFonts w:ascii="Arial" w:hAnsi="Arial" w:cs="Arial"/>
              </w:rPr>
            </w:pPr>
            <w:r w:rsidRPr="00D61DA2">
              <w:rPr>
                <w:rFonts w:ascii="Arial" w:hAnsi="Arial" w:cs="Arial"/>
              </w:rPr>
              <w:t>broj</w:t>
            </w:r>
          </w:p>
        </w:tc>
        <w:tc>
          <w:tcPr>
            <w:tcW w:w="1114" w:type="dxa"/>
          </w:tcPr>
          <w:p w:rsidR="00D849AA" w:rsidRPr="00D61DA2" w:rsidRDefault="00EE6D95">
            <w:pPr>
              <w:rPr>
                <w:rFonts w:ascii="Arial" w:hAnsi="Arial" w:cs="Arial"/>
              </w:rPr>
            </w:pPr>
            <w:r w:rsidRPr="00D61DA2">
              <w:rPr>
                <w:rFonts w:ascii="Arial" w:hAnsi="Arial" w:cs="Arial"/>
              </w:rPr>
              <w:t>7</w:t>
            </w:r>
          </w:p>
        </w:tc>
        <w:tc>
          <w:tcPr>
            <w:tcW w:w="1486" w:type="dxa"/>
          </w:tcPr>
          <w:p w:rsidR="00D849AA" w:rsidRPr="00D61DA2" w:rsidRDefault="00EE6D95">
            <w:pPr>
              <w:rPr>
                <w:rFonts w:ascii="Arial" w:hAnsi="Arial" w:cs="Arial"/>
              </w:rPr>
            </w:pPr>
            <w:r w:rsidRPr="00D61DA2">
              <w:rPr>
                <w:rFonts w:ascii="Arial" w:hAnsi="Arial" w:cs="Arial"/>
              </w:rPr>
              <w:t>7</w:t>
            </w:r>
          </w:p>
        </w:tc>
        <w:tc>
          <w:tcPr>
            <w:tcW w:w="1486" w:type="dxa"/>
          </w:tcPr>
          <w:p w:rsidR="00D849AA" w:rsidRPr="00D61DA2" w:rsidRDefault="00EE6D95">
            <w:pPr>
              <w:rPr>
                <w:rFonts w:ascii="Arial" w:hAnsi="Arial" w:cs="Arial"/>
              </w:rPr>
            </w:pPr>
            <w:r w:rsidRPr="00D61DA2">
              <w:rPr>
                <w:rFonts w:ascii="Arial" w:hAnsi="Arial" w:cs="Arial"/>
              </w:rPr>
              <w:t>7</w:t>
            </w:r>
          </w:p>
        </w:tc>
        <w:tc>
          <w:tcPr>
            <w:tcW w:w="1486" w:type="dxa"/>
          </w:tcPr>
          <w:p w:rsidR="00D849AA" w:rsidRPr="00D61DA2" w:rsidRDefault="00EE6D95">
            <w:pPr>
              <w:rPr>
                <w:rFonts w:ascii="Arial" w:hAnsi="Arial" w:cs="Arial"/>
              </w:rPr>
            </w:pPr>
            <w:r w:rsidRPr="00D61DA2">
              <w:rPr>
                <w:rFonts w:ascii="Arial" w:hAnsi="Arial" w:cs="Arial"/>
              </w:rPr>
              <w:t>7</w:t>
            </w:r>
          </w:p>
        </w:tc>
      </w:tr>
      <w:tr w:rsidR="00D849AA" w:rsidRPr="00D61DA2">
        <w:trPr>
          <w:jc w:val="center"/>
        </w:trPr>
        <w:tc>
          <w:tcPr>
            <w:tcW w:w="2229" w:type="dxa"/>
          </w:tcPr>
          <w:p w:rsidR="00D849AA" w:rsidRPr="00D61DA2" w:rsidRDefault="00EE6D95">
            <w:pPr>
              <w:pStyle w:val="CellColumn"/>
              <w:rPr>
                <w:szCs w:val="20"/>
              </w:rPr>
            </w:pPr>
            <w:r w:rsidRPr="00D61DA2">
              <w:rPr>
                <w:szCs w:val="20"/>
              </w:rPr>
              <w:t>Provedeni inspekcijski nadzori</w:t>
            </w:r>
          </w:p>
        </w:tc>
        <w:tc>
          <w:tcPr>
            <w:tcW w:w="1114" w:type="dxa"/>
          </w:tcPr>
          <w:p w:rsidR="00D849AA" w:rsidRPr="00D61DA2" w:rsidRDefault="00EE6D95">
            <w:pPr>
              <w:rPr>
                <w:rFonts w:ascii="Arial" w:hAnsi="Arial" w:cs="Arial"/>
              </w:rPr>
            </w:pPr>
            <w:r w:rsidRPr="00D61DA2">
              <w:rPr>
                <w:rFonts w:ascii="Arial" w:hAnsi="Arial" w:cs="Arial"/>
              </w:rPr>
              <w:t>broj</w:t>
            </w:r>
          </w:p>
        </w:tc>
        <w:tc>
          <w:tcPr>
            <w:tcW w:w="1114" w:type="dxa"/>
          </w:tcPr>
          <w:p w:rsidR="00D849AA" w:rsidRPr="00D61DA2" w:rsidRDefault="00EE6D95">
            <w:pPr>
              <w:rPr>
                <w:rFonts w:ascii="Arial" w:hAnsi="Arial" w:cs="Arial"/>
              </w:rPr>
            </w:pPr>
            <w:r w:rsidRPr="00D61DA2">
              <w:rPr>
                <w:rFonts w:ascii="Arial" w:hAnsi="Arial" w:cs="Arial"/>
              </w:rPr>
              <w:t>5900</w:t>
            </w:r>
          </w:p>
        </w:tc>
        <w:tc>
          <w:tcPr>
            <w:tcW w:w="1486" w:type="dxa"/>
          </w:tcPr>
          <w:p w:rsidR="00D849AA" w:rsidRPr="00D61DA2" w:rsidRDefault="00EE6D95">
            <w:pPr>
              <w:rPr>
                <w:rFonts w:ascii="Arial" w:hAnsi="Arial" w:cs="Arial"/>
              </w:rPr>
            </w:pPr>
            <w:r w:rsidRPr="00D61DA2">
              <w:rPr>
                <w:rFonts w:ascii="Arial" w:hAnsi="Arial" w:cs="Arial"/>
              </w:rPr>
              <w:t>6000</w:t>
            </w:r>
          </w:p>
        </w:tc>
        <w:tc>
          <w:tcPr>
            <w:tcW w:w="1486" w:type="dxa"/>
          </w:tcPr>
          <w:p w:rsidR="00D849AA" w:rsidRPr="00D61DA2" w:rsidRDefault="00EE6D95">
            <w:pPr>
              <w:rPr>
                <w:rFonts w:ascii="Arial" w:hAnsi="Arial" w:cs="Arial"/>
              </w:rPr>
            </w:pPr>
            <w:r w:rsidRPr="00D61DA2">
              <w:rPr>
                <w:rFonts w:ascii="Arial" w:hAnsi="Arial" w:cs="Arial"/>
              </w:rPr>
              <w:t>6100</w:t>
            </w:r>
          </w:p>
        </w:tc>
        <w:tc>
          <w:tcPr>
            <w:tcW w:w="1486" w:type="dxa"/>
          </w:tcPr>
          <w:p w:rsidR="00D849AA" w:rsidRPr="00D61DA2" w:rsidRDefault="00EE6D95">
            <w:pPr>
              <w:rPr>
                <w:rFonts w:ascii="Arial" w:hAnsi="Arial" w:cs="Arial"/>
              </w:rPr>
            </w:pPr>
            <w:r w:rsidRPr="00D61DA2">
              <w:rPr>
                <w:rFonts w:ascii="Arial" w:hAnsi="Arial" w:cs="Arial"/>
              </w:rPr>
              <w:t>6200</w:t>
            </w:r>
          </w:p>
        </w:tc>
      </w:tr>
      <w:tr w:rsidR="00D849AA" w:rsidRPr="00D61DA2">
        <w:trPr>
          <w:jc w:val="center"/>
        </w:trPr>
        <w:tc>
          <w:tcPr>
            <w:tcW w:w="2229" w:type="dxa"/>
          </w:tcPr>
          <w:p w:rsidR="00D849AA" w:rsidRPr="00D61DA2" w:rsidRDefault="00EE6D95">
            <w:pPr>
              <w:pStyle w:val="CellColumn"/>
              <w:rPr>
                <w:szCs w:val="20"/>
              </w:rPr>
            </w:pPr>
            <w:r w:rsidRPr="00D61DA2">
              <w:rPr>
                <w:szCs w:val="20"/>
              </w:rPr>
              <w:t>Nadzirane osobe usklađene s propisima iz područja zašte okoliša</w:t>
            </w:r>
          </w:p>
        </w:tc>
        <w:tc>
          <w:tcPr>
            <w:tcW w:w="1114" w:type="dxa"/>
          </w:tcPr>
          <w:p w:rsidR="00D849AA" w:rsidRPr="00D61DA2" w:rsidRDefault="00EE6D95">
            <w:pPr>
              <w:rPr>
                <w:rFonts w:ascii="Arial" w:hAnsi="Arial" w:cs="Arial"/>
              </w:rPr>
            </w:pPr>
            <w:r w:rsidRPr="00D61DA2">
              <w:rPr>
                <w:rFonts w:ascii="Arial" w:hAnsi="Arial" w:cs="Arial"/>
              </w:rPr>
              <w:t>%</w:t>
            </w:r>
          </w:p>
        </w:tc>
        <w:tc>
          <w:tcPr>
            <w:tcW w:w="1114" w:type="dxa"/>
          </w:tcPr>
          <w:p w:rsidR="00D849AA" w:rsidRPr="00D61DA2" w:rsidRDefault="00EE6D95">
            <w:pPr>
              <w:rPr>
                <w:rFonts w:ascii="Arial" w:hAnsi="Arial" w:cs="Arial"/>
              </w:rPr>
            </w:pPr>
            <w:r w:rsidRPr="00D61DA2">
              <w:rPr>
                <w:rFonts w:ascii="Arial" w:hAnsi="Arial" w:cs="Arial"/>
              </w:rPr>
              <w:t>55</w:t>
            </w:r>
          </w:p>
        </w:tc>
        <w:tc>
          <w:tcPr>
            <w:tcW w:w="1486" w:type="dxa"/>
          </w:tcPr>
          <w:p w:rsidR="00D849AA" w:rsidRPr="00D61DA2" w:rsidRDefault="00EE6D95">
            <w:pPr>
              <w:rPr>
                <w:rFonts w:ascii="Arial" w:hAnsi="Arial" w:cs="Arial"/>
              </w:rPr>
            </w:pPr>
            <w:r w:rsidRPr="00D61DA2">
              <w:rPr>
                <w:rFonts w:ascii="Arial" w:hAnsi="Arial" w:cs="Arial"/>
              </w:rPr>
              <w:t>56</w:t>
            </w:r>
          </w:p>
        </w:tc>
        <w:tc>
          <w:tcPr>
            <w:tcW w:w="1486" w:type="dxa"/>
          </w:tcPr>
          <w:p w:rsidR="00D849AA" w:rsidRPr="00D61DA2" w:rsidRDefault="00EE6D95">
            <w:pPr>
              <w:rPr>
                <w:rFonts w:ascii="Arial" w:hAnsi="Arial" w:cs="Arial"/>
              </w:rPr>
            </w:pPr>
            <w:r w:rsidRPr="00D61DA2">
              <w:rPr>
                <w:rFonts w:ascii="Arial" w:hAnsi="Arial" w:cs="Arial"/>
              </w:rPr>
              <w:t>58</w:t>
            </w:r>
          </w:p>
        </w:tc>
        <w:tc>
          <w:tcPr>
            <w:tcW w:w="1486" w:type="dxa"/>
          </w:tcPr>
          <w:p w:rsidR="00D849AA" w:rsidRPr="00D61DA2" w:rsidRDefault="00EE6D95">
            <w:pPr>
              <w:rPr>
                <w:rFonts w:ascii="Arial" w:hAnsi="Arial" w:cs="Arial"/>
              </w:rPr>
            </w:pPr>
            <w:r w:rsidRPr="00D61DA2">
              <w:rPr>
                <w:rFonts w:ascii="Arial" w:hAnsi="Arial" w:cs="Arial"/>
              </w:rPr>
              <w:t>60</w:t>
            </w:r>
          </w:p>
        </w:tc>
      </w:tr>
      <w:tr w:rsidR="00D849AA" w:rsidRPr="00D61DA2">
        <w:trPr>
          <w:jc w:val="center"/>
        </w:trPr>
        <w:tc>
          <w:tcPr>
            <w:tcW w:w="2229" w:type="dxa"/>
          </w:tcPr>
          <w:p w:rsidR="00D849AA" w:rsidRPr="00D61DA2" w:rsidRDefault="00EE6D95">
            <w:pPr>
              <w:pStyle w:val="CellColumn"/>
              <w:rPr>
                <w:szCs w:val="20"/>
              </w:rPr>
            </w:pPr>
            <w:r w:rsidRPr="00D61DA2">
              <w:rPr>
                <w:szCs w:val="20"/>
              </w:rPr>
              <w:t>Izvješća o radu</w:t>
            </w:r>
          </w:p>
        </w:tc>
        <w:tc>
          <w:tcPr>
            <w:tcW w:w="1114" w:type="dxa"/>
          </w:tcPr>
          <w:p w:rsidR="00D849AA" w:rsidRPr="00D61DA2" w:rsidRDefault="00EE6D95">
            <w:pPr>
              <w:rPr>
                <w:rFonts w:ascii="Arial" w:hAnsi="Arial" w:cs="Arial"/>
              </w:rPr>
            </w:pPr>
            <w:r w:rsidRPr="00D61DA2">
              <w:rPr>
                <w:rFonts w:ascii="Arial" w:hAnsi="Arial" w:cs="Arial"/>
              </w:rPr>
              <w:t>%</w:t>
            </w:r>
          </w:p>
        </w:tc>
        <w:tc>
          <w:tcPr>
            <w:tcW w:w="1114" w:type="dxa"/>
          </w:tcPr>
          <w:p w:rsidR="00D849AA" w:rsidRPr="00D61DA2" w:rsidRDefault="00EE6D95">
            <w:pPr>
              <w:rPr>
                <w:rFonts w:ascii="Arial" w:hAnsi="Arial" w:cs="Arial"/>
              </w:rPr>
            </w:pPr>
            <w:r w:rsidRPr="00D61DA2">
              <w:rPr>
                <w:rFonts w:ascii="Arial" w:hAnsi="Arial" w:cs="Arial"/>
              </w:rPr>
              <w:t>100</w:t>
            </w:r>
          </w:p>
        </w:tc>
        <w:tc>
          <w:tcPr>
            <w:tcW w:w="1486" w:type="dxa"/>
          </w:tcPr>
          <w:p w:rsidR="00D849AA" w:rsidRPr="00D61DA2" w:rsidRDefault="00EE6D95">
            <w:pPr>
              <w:rPr>
                <w:rFonts w:ascii="Arial" w:hAnsi="Arial" w:cs="Arial"/>
              </w:rPr>
            </w:pPr>
            <w:r w:rsidRPr="00D61DA2">
              <w:rPr>
                <w:rFonts w:ascii="Arial" w:hAnsi="Arial" w:cs="Arial"/>
              </w:rPr>
              <w:t>100</w:t>
            </w:r>
          </w:p>
        </w:tc>
        <w:tc>
          <w:tcPr>
            <w:tcW w:w="1486" w:type="dxa"/>
          </w:tcPr>
          <w:p w:rsidR="00D849AA" w:rsidRPr="00D61DA2" w:rsidRDefault="00EE6D95">
            <w:pPr>
              <w:rPr>
                <w:rFonts w:ascii="Arial" w:hAnsi="Arial" w:cs="Arial"/>
              </w:rPr>
            </w:pPr>
            <w:r w:rsidRPr="00D61DA2">
              <w:rPr>
                <w:rFonts w:ascii="Arial" w:hAnsi="Arial" w:cs="Arial"/>
              </w:rPr>
              <w:t>100</w:t>
            </w:r>
          </w:p>
        </w:tc>
        <w:tc>
          <w:tcPr>
            <w:tcW w:w="1486" w:type="dxa"/>
          </w:tcPr>
          <w:p w:rsidR="00D849AA" w:rsidRPr="00D61DA2" w:rsidRDefault="00EE6D95">
            <w:pPr>
              <w:rPr>
                <w:rFonts w:ascii="Arial" w:hAnsi="Arial" w:cs="Arial"/>
              </w:rPr>
            </w:pPr>
            <w:r w:rsidRPr="00D61DA2">
              <w:rPr>
                <w:rFonts w:ascii="Arial" w:hAnsi="Arial" w:cs="Arial"/>
              </w:rPr>
              <w:t>100</w:t>
            </w:r>
          </w:p>
        </w:tc>
      </w:tr>
    </w:tbl>
    <w:p w:rsidR="00D849AA" w:rsidRPr="00D61DA2" w:rsidRDefault="00D849AA">
      <w:pPr>
        <w:jc w:val="left"/>
        <w:rPr>
          <w:rFonts w:ascii="Arial" w:hAnsi="Arial" w:cs="Arial"/>
          <w:sz w:val="20"/>
        </w:rPr>
      </w:pPr>
    </w:p>
    <w:p w:rsidR="00D849AA" w:rsidRDefault="00EE6D95">
      <w:pPr>
        <w:pStyle w:val="Naslov6"/>
      </w:pPr>
      <w:r>
        <w:t>A576235 IZRADA I PROVEDBA DOKUMENATA ZA POBOLJŠANJE UPRAVLJANJA OKOLIŠEM</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A576235</w:t>
            </w:r>
          </w:p>
        </w:tc>
        <w:tc>
          <w:tcPr>
            <w:tcW w:w="1486" w:type="dxa"/>
          </w:tcPr>
          <w:p w:rsidR="00D849AA" w:rsidRDefault="00EE6D95">
            <w:r>
              <w:t>4.259.000</w:t>
            </w:r>
          </w:p>
        </w:tc>
        <w:tc>
          <w:tcPr>
            <w:tcW w:w="1486" w:type="dxa"/>
          </w:tcPr>
          <w:p w:rsidR="00D849AA" w:rsidRDefault="00EE6D95">
            <w:r>
              <w:t>5.850.000</w:t>
            </w:r>
          </w:p>
        </w:tc>
        <w:tc>
          <w:tcPr>
            <w:tcW w:w="1486" w:type="dxa"/>
          </w:tcPr>
          <w:p w:rsidR="00D849AA" w:rsidRDefault="00EE6D95">
            <w:r>
              <w:t>5.700.000</w:t>
            </w:r>
          </w:p>
        </w:tc>
        <w:tc>
          <w:tcPr>
            <w:tcW w:w="1486" w:type="dxa"/>
          </w:tcPr>
          <w:p w:rsidR="00D849AA" w:rsidRDefault="00EE6D95">
            <w:r>
              <w:t>5.700.000</w:t>
            </w:r>
          </w:p>
        </w:tc>
        <w:tc>
          <w:tcPr>
            <w:tcW w:w="1486" w:type="dxa"/>
          </w:tcPr>
          <w:p w:rsidR="00D849AA" w:rsidRDefault="00EE6D95">
            <w:r>
              <w:t>137,4</w:t>
            </w:r>
          </w:p>
        </w:tc>
      </w:tr>
    </w:tbl>
    <w:p w:rsidR="00D849AA" w:rsidRDefault="00D849AA">
      <w:pPr>
        <w:jc w:val="left"/>
      </w:pPr>
    </w:p>
    <w:p w:rsidR="00D849AA" w:rsidRDefault="00EE6D95">
      <w:pPr>
        <w:pStyle w:val="Normal6"/>
      </w:pPr>
      <w:r>
        <w:lastRenderedPageBreak/>
        <w:t xml:space="preserve">Pravna osnova za provedbu ove aktivnosti sadržana je u Zakonu o zaštiti zraka (Narodne novine, broj 130/11), provedbenim propisima donesenim temeljem ovoga Zakona te međunarodnim ugovorima čija je stranka Republika Hrvatska.  </w:t>
      </w:r>
    </w:p>
    <w:p w:rsidR="00D849AA" w:rsidRDefault="00EE6D95">
      <w:pPr>
        <w:pStyle w:val="Normal6"/>
      </w:pPr>
      <w:r>
        <w:t xml:space="preserve">Sukladno obvezama koji proizlaze s osnova provedbe navedenih akata i međunarodnih ugovora, Republika Hrvatska obvezna je donositi programe, planove i druge prateće dokumente kojima se osigurava adekvatna provedba zakona i pravne stečevine EU. Također, obvezna je periodički procjenjivati razinu onečišćenosti zraka na teritoriju Države te izvješćivati Vladu Republike Hrvatske o područjima i naseljenim područjima gdje razine onečišćenosti prekoračuju propisane tolerantne vrijednosti o rezultatima mjerenja te mjerama i rokovima za poboljšanje kvalitete zraka. </w:t>
      </w:r>
    </w:p>
    <w:p w:rsidR="00D849AA" w:rsidRDefault="00EE6D95">
      <w:pPr>
        <w:pStyle w:val="Normal6"/>
      </w:pPr>
      <w:r>
        <w:t xml:space="preserve">Za potrebe provedbe hrvatskih propisa odnosno provedbe Direktive 2008/50/EK o kakvoći okolnog zraka i čišćem zraku za Europu planirane su sljedeće aktivnosti:  </w:t>
      </w:r>
    </w:p>
    <w:p w:rsidR="00D849AA" w:rsidRDefault="00EE6D95">
      <w:pPr>
        <w:pStyle w:val="Normal6"/>
      </w:pPr>
      <w:r>
        <w:t xml:space="preserve">- usluge gravimetrijskih i kemijskih analiza teških metala i PAU iz uzoraka lebdećih čestica PM10 sa postaja Zagreb-1, Sisak-1 i Rijeka 1.  </w:t>
      </w:r>
    </w:p>
    <w:p w:rsidR="00D849AA" w:rsidRDefault="00EE6D95">
      <w:pPr>
        <w:pStyle w:val="Normal6"/>
      </w:pPr>
      <w:r>
        <w:t>Analize se provode u kontinuitetu od 2003. godine za mjernu postaju Zagreb-1, od 2007. za Sisak-1 te od 2008. godine za Rijeka-1.</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D61DA2" w:rsidRDefault="00EE6D95">
            <w:pPr>
              <w:rPr>
                <w:rFonts w:ascii="Arial" w:hAnsi="Arial" w:cs="Arial"/>
              </w:rPr>
            </w:pPr>
            <w:r w:rsidRPr="00D61DA2">
              <w:rPr>
                <w:rFonts w:ascii="Arial" w:hAnsi="Arial" w:cs="Arial"/>
              </w:rPr>
              <w:t>Pokazatelj rezultata</w:t>
            </w:r>
          </w:p>
        </w:tc>
        <w:tc>
          <w:tcPr>
            <w:tcW w:w="1114" w:type="dxa"/>
            <w:shd w:val="clear" w:color="auto" w:fill="B5C0D8"/>
          </w:tcPr>
          <w:p w:rsidR="00D849AA" w:rsidRPr="00D61DA2" w:rsidRDefault="00EE6D95">
            <w:pPr>
              <w:pStyle w:val="CellHeader"/>
            </w:pPr>
            <w:r w:rsidRPr="00D61DA2">
              <w:t>Jedinica</w:t>
            </w:r>
          </w:p>
        </w:tc>
        <w:tc>
          <w:tcPr>
            <w:tcW w:w="1114" w:type="dxa"/>
            <w:shd w:val="clear" w:color="auto" w:fill="B5C0D8"/>
          </w:tcPr>
          <w:p w:rsidR="00D849AA" w:rsidRPr="00D61DA2" w:rsidRDefault="00EE6D95">
            <w:pPr>
              <w:pStyle w:val="CellHeader"/>
            </w:pPr>
            <w:r w:rsidRPr="00D61DA2">
              <w:t>Polazna vrijednost</w:t>
            </w:r>
          </w:p>
        </w:tc>
        <w:tc>
          <w:tcPr>
            <w:tcW w:w="1486" w:type="dxa"/>
            <w:shd w:val="clear" w:color="auto" w:fill="B5C0D8"/>
          </w:tcPr>
          <w:p w:rsidR="00D849AA" w:rsidRPr="00D61DA2" w:rsidRDefault="00EE6D95">
            <w:pPr>
              <w:pStyle w:val="CellHeader"/>
            </w:pPr>
            <w:r w:rsidRPr="00D61DA2">
              <w:t>Ciljana vrijednost (2014.)</w:t>
            </w:r>
          </w:p>
        </w:tc>
        <w:tc>
          <w:tcPr>
            <w:tcW w:w="1486" w:type="dxa"/>
            <w:shd w:val="clear" w:color="auto" w:fill="B5C0D8"/>
          </w:tcPr>
          <w:p w:rsidR="00D849AA" w:rsidRPr="00D61DA2" w:rsidRDefault="00EE6D95">
            <w:pPr>
              <w:pStyle w:val="CellHeader"/>
            </w:pPr>
            <w:r w:rsidRPr="00D61DA2">
              <w:t>Ciljana vrijednost (2015.)</w:t>
            </w:r>
          </w:p>
        </w:tc>
        <w:tc>
          <w:tcPr>
            <w:tcW w:w="1486" w:type="dxa"/>
            <w:shd w:val="clear" w:color="auto" w:fill="B5C0D8"/>
          </w:tcPr>
          <w:p w:rsidR="00D849AA" w:rsidRPr="00D61DA2" w:rsidRDefault="00EE6D95">
            <w:pPr>
              <w:pStyle w:val="CellHeader"/>
            </w:pPr>
            <w:r w:rsidRPr="00D61DA2">
              <w:t>Ciljana vrijednost (2016.)</w:t>
            </w:r>
          </w:p>
        </w:tc>
      </w:tr>
      <w:tr w:rsidR="00D849AA">
        <w:trPr>
          <w:jc w:val="center"/>
        </w:trPr>
        <w:tc>
          <w:tcPr>
            <w:tcW w:w="2229" w:type="dxa"/>
          </w:tcPr>
          <w:p w:rsidR="00D849AA" w:rsidRPr="00D61DA2" w:rsidRDefault="00EE6D95">
            <w:pPr>
              <w:pStyle w:val="CellColumn"/>
            </w:pPr>
            <w:r w:rsidRPr="00D61DA2">
              <w:t>Kontinuirano usklađivanje sustava zaštite zraka, mora i tla s EU standardima i međunarodnim sporazumima</w:t>
            </w:r>
          </w:p>
        </w:tc>
        <w:tc>
          <w:tcPr>
            <w:tcW w:w="1114" w:type="dxa"/>
          </w:tcPr>
          <w:p w:rsidR="00D849AA" w:rsidRPr="00D61DA2" w:rsidRDefault="00EE6D95">
            <w:pPr>
              <w:rPr>
                <w:rFonts w:ascii="Arial" w:hAnsi="Arial" w:cs="Arial"/>
              </w:rPr>
            </w:pPr>
            <w:r w:rsidRPr="00D61DA2">
              <w:rPr>
                <w:rFonts w:ascii="Arial" w:hAnsi="Arial" w:cs="Arial"/>
              </w:rPr>
              <w:t>%</w:t>
            </w:r>
          </w:p>
        </w:tc>
        <w:tc>
          <w:tcPr>
            <w:tcW w:w="1114" w:type="dxa"/>
          </w:tcPr>
          <w:p w:rsidR="00D849AA" w:rsidRPr="00D61DA2" w:rsidRDefault="00EE6D95">
            <w:pPr>
              <w:rPr>
                <w:rFonts w:ascii="Arial" w:hAnsi="Arial" w:cs="Arial"/>
              </w:rPr>
            </w:pPr>
            <w:r w:rsidRPr="00D61DA2">
              <w:rPr>
                <w:rFonts w:ascii="Arial" w:hAnsi="Arial" w:cs="Arial"/>
              </w:rPr>
              <w:t>98</w:t>
            </w:r>
          </w:p>
        </w:tc>
        <w:tc>
          <w:tcPr>
            <w:tcW w:w="1486" w:type="dxa"/>
          </w:tcPr>
          <w:p w:rsidR="00D849AA" w:rsidRPr="00D61DA2" w:rsidRDefault="00EE6D95">
            <w:pPr>
              <w:rPr>
                <w:rFonts w:ascii="Arial" w:hAnsi="Arial" w:cs="Arial"/>
              </w:rPr>
            </w:pPr>
            <w:r w:rsidRPr="00D61DA2">
              <w:rPr>
                <w:rFonts w:ascii="Arial" w:hAnsi="Arial" w:cs="Arial"/>
              </w:rPr>
              <w:t>100</w:t>
            </w:r>
          </w:p>
        </w:tc>
        <w:tc>
          <w:tcPr>
            <w:tcW w:w="1486" w:type="dxa"/>
          </w:tcPr>
          <w:p w:rsidR="00D849AA" w:rsidRPr="00D61DA2" w:rsidRDefault="00EE6D95">
            <w:pPr>
              <w:rPr>
                <w:rFonts w:ascii="Arial" w:hAnsi="Arial" w:cs="Arial"/>
              </w:rPr>
            </w:pPr>
            <w:r w:rsidRPr="00D61DA2">
              <w:rPr>
                <w:rFonts w:ascii="Arial" w:hAnsi="Arial" w:cs="Arial"/>
              </w:rPr>
              <w:t>100</w:t>
            </w:r>
          </w:p>
        </w:tc>
        <w:tc>
          <w:tcPr>
            <w:tcW w:w="1486" w:type="dxa"/>
          </w:tcPr>
          <w:p w:rsidR="00D849AA" w:rsidRPr="00D61DA2" w:rsidRDefault="00EE6D95">
            <w:pPr>
              <w:rPr>
                <w:rFonts w:ascii="Arial" w:hAnsi="Arial" w:cs="Arial"/>
              </w:rPr>
            </w:pPr>
            <w:r w:rsidRPr="00D61DA2">
              <w:rPr>
                <w:rFonts w:ascii="Arial" w:hAnsi="Arial" w:cs="Arial"/>
              </w:rPr>
              <w:t>100</w:t>
            </w:r>
          </w:p>
        </w:tc>
      </w:tr>
    </w:tbl>
    <w:p w:rsidR="00D849AA" w:rsidRDefault="00D849AA">
      <w:pPr>
        <w:jc w:val="left"/>
      </w:pPr>
    </w:p>
    <w:p w:rsidR="00D849AA" w:rsidRDefault="00EE6D95">
      <w:pPr>
        <w:pStyle w:val="Naslov6"/>
      </w:pPr>
      <w:r>
        <w:t>A576247 PRIPREMA STRUČNIH ISPITA ZA OBAVLJANJE POSLOVA IZ PODRUČJA ZAŠTITE OKOLIŠA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A576247</w:t>
            </w:r>
          </w:p>
        </w:tc>
        <w:tc>
          <w:tcPr>
            <w:tcW w:w="1486" w:type="dxa"/>
          </w:tcPr>
          <w:p w:rsidR="00D849AA" w:rsidRDefault="00EE6D95">
            <w:r>
              <w:t>80.000</w:t>
            </w:r>
          </w:p>
        </w:tc>
        <w:tc>
          <w:tcPr>
            <w:tcW w:w="1486" w:type="dxa"/>
          </w:tcPr>
          <w:p w:rsidR="00D849AA" w:rsidRDefault="00EE6D95">
            <w:r>
              <w:t>80.000</w:t>
            </w:r>
          </w:p>
        </w:tc>
        <w:tc>
          <w:tcPr>
            <w:tcW w:w="1486" w:type="dxa"/>
          </w:tcPr>
          <w:p w:rsidR="00D849AA" w:rsidRDefault="00EE6D95">
            <w:r>
              <w:t>80.000</w:t>
            </w:r>
          </w:p>
        </w:tc>
        <w:tc>
          <w:tcPr>
            <w:tcW w:w="1486" w:type="dxa"/>
          </w:tcPr>
          <w:p w:rsidR="00D849AA" w:rsidRDefault="00EE6D95">
            <w:r>
              <w:t>80.000</w:t>
            </w:r>
          </w:p>
        </w:tc>
        <w:tc>
          <w:tcPr>
            <w:tcW w:w="1486" w:type="dxa"/>
          </w:tcPr>
          <w:p w:rsidR="00D849AA" w:rsidRDefault="00EE6D95">
            <w:r>
              <w:t>100,0</w:t>
            </w:r>
          </w:p>
        </w:tc>
      </w:tr>
    </w:tbl>
    <w:p w:rsidR="00D849AA" w:rsidRDefault="00D849AA">
      <w:pPr>
        <w:jc w:val="left"/>
      </w:pPr>
    </w:p>
    <w:p w:rsidR="00D849AA" w:rsidRDefault="00EE6D95">
      <w:pPr>
        <w:pStyle w:val="Normal6"/>
      </w:pPr>
      <w:r>
        <w:t>Stručne osobe ovlaštenika koje obavljaju poslove iz područja zaštite okoliša dužne su položiti stručni ispit za obavljanje poslova iz područja zaštite okoliša. Program će dati veći broj stručnjaka iz područja zaštite okoliša ne samo u segmentu poznavanja propisa iz područja zaštite okoliša već i u dijelu koji se odnosi na pravilan pristup zaštite sastavnica okoliša i primjene mjera sprječavanja onečišćenja okoliša.</w:t>
      </w:r>
    </w:p>
    <w:p w:rsidR="00D61DA2" w:rsidRDefault="00D61DA2">
      <w:pPr>
        <w:pStyle w:val="Normal6"/>
      </w:pPr>
    </w:p>
    <w:p w:rsidR="00D61DA2" w:rsidRDefault="00D61DA2">
      <w:pPr>
        <w:pStyle w:val="Normal6"/>
      </w:pPr>
    </w:p>
    <w:p w:rsidR="00D61DA2" w:rsidRDefault="00D61DA2">
      <w:pPr>
        <w:pStyle w:val="Normal6"/>
      </w:pPr>
    </w:p>
    <w:p w:rsidR="00D61DA2" w:rsidRDefault="00D61DA2">
      <w:pPr>
        <w:pStyle w:val="Normal6"/>
      </w:pPr>
    </w:p>
    <w:p w:rsidR="00D61DA2" w:rsidRDefault="00D61DA2">
      <w:pPr>
        <w:pStyle w:val="Normal6"/>
      </w:pPr>
    </w:p>
    <w:p w:rsidR="00D849AA" w:rsidRDefault="00EE6D95">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D61DA2" w:rsidRDefault="00EE6D95">
            <w:pPr>
              <w:rPr>
                <w:rFonts w:ascii="Arial" w:hAnsi="Arial" w:cs="Arial"/>
              </w:rPr>
            </w:pPr>
            <w:r w:rsidRPr="00D61DA2">
              <w:rPr>
                <w:rFonts w:ascii="Arial" w:hAnsi="Arial" w:cs="Arial"/>
              </w:rPr>
              <w:t>Pokazatelj rezultata</w:t>
            </w:r>
          </w:p>
        </w:tc>
        <w:tc>
          <w:tcPr>
            <w:tcW w:w="1114" w:type="dxa"/>
            <w:shd w:val="clear" w:color="auto" w:fill="B5C0D8"/>
          </w:tcPr>
          <w:p w:rsidR="00D849AA" w:rsidRPr="00D61DA2" w:rsidRDefault="00EE6D95">
            <w:pPr>
              <w:pStyle w:val="CellHeader"/>
            </w:pPr>
            <w:r w:rsidRPr="00D61DA2">
              <w:t>Jedinica</w:t>
            </w:r>
          </w:p>
        </w:tc>
        <w:tc>
          <w:tcPr>
            <w:tcW w:w="1114" w:type="dxa"/>
            <w:shd w:val="clear" w:color="auto" w:fill="B5C0D8"/>
          </w:tcPr>
          <w:p w:rsidR="00D849AA" w:rsidRPr="00D61DA2" w:rsidRDefault="00EE6D95">
            <w:pPr>
              <w:pStyle w:val="CellHeader"/>
            </w:pPr>
            <w:r w:rsidRPr="00D61DA2">
              <w:t>Polazna vrijednost</w:t>
            </w:r>
          </w:p>
        </w:tc>
        <w:tc>
          <w:tcPr>
            <w:tcW w:w="1486" w:type="dxa"/>
            <w:shd w:val="clear" w:color="auto" w:fill="B5C0D8"/>
          </w:tcPr>
          <w:p w:rsidR="00D849AA" w:rsidRPr="00D61DA2" w:rsidRDefault="00EE6D95">
            <w:pPr>
              <w:pStyle w:val="CellHeader"/>
            </w:pPr>
            <w:r w:rsidRPr="00D61DA2">
              <w:t>Ciljana vrijednost (2014.)</w:t>
            </w:r>
          </w:p>
        </w:tc>
        <w:tc>
          <w:tcPr>
            <w:tcW w:w="1486" w:type="dxa"/>
            <w:shd w:val="clear" w:color="auto" w:fill="B5C0D8"/>
          </w:tcPr>
          <w:p w:rsidR="00D849AA" w:rsidRPr="00D61DA2" w:rsidRDefault="00EE6D95">
            <w:pPr>
              <w:pStyle w:val="CellHeader"/>
            </w:pPr>
            <w:r w:rsidRPr="00D61DA2">
              <w:t>Ciljana vrijednost (2015.)</w:t>
            </w:r>
          </w:p>
        </w:tc>
        <w:tc>
          <w:tcPr>
            <w:tcW w:w="1486" w:type="dxa"/>
            <w:shd w:val="clear" w:color="auto" w:fill="B5C0D8"/>
          </w:tcPr>
          <w:p w:rsidR="00D849AA" w:rsidRPr="00D61DA2" w:rsidRDefault="00EE6D95">
            <w:pPr>
              <w:pStyle w:val="CellHeader"/>
            </w:pPr>
            <w:r w:rsidRPr="00D61DA2">
              <w:t>Ciljana vrijednost (2016.)</w:t>
            </w:r>
          </w:p>
        </w:tc>
      </w:tr>
      <w:tr w:rsidR="00D849AA">
        <w:trPr>
          <w:jc w:val="center"/>
        </w:trPr>
        <w:tc>
          <w:tcPr>
            <w:tcW w:w="2229" w:type="dxa"/>
          </w:tcPr>
          <w:p w:rsidR="00D849AA" w:rsidRPr="00D61DA2" w:rsidRDefault="00EE6D95">
            <w:pPr>
              <w:pStyle w:val="CellColumn"/>
            </w:pPr>
            <w:r w:rsidRPr="00D61DA2">
              <w:t>Ministarstvo osigurava kontinuitet rada pravnih osoba ovlaštenih za stručne poslove zaštite okoliša</w:t>
            </w:r>
          </w:p>
        </w:tc>
        <w:tc>
          <w:tcPr>
            <w:tcW w:w="1114" w:type="dxa"/>
          </w:tcPr>
          <w:p w:rsidR="00D849AA" w:rsidRPr="00D61DA2" w:rsidRDefault="00EE6D95">
            <w:pPr>
              <w:rPr>
                <w:rFonts w:ascii="Arial" w:hAnsi="Arial" w:cs="Arial"/>
              </w:rPr>
            </w:pPr>
            <w:r w:rsidRPr="00D61DA2">
              <w:rPr>
                <w:rFonts w:ascii="Arial" w:hAnsi="Arial" w:cs="Arial"/>
              </w:rPr>
              <w:t>broj</w:t>
            </w:r>
          </w:p>
        </w:tc>
        <w:tc>
          <w:tcPr>
            <w:tcW w:w="1114" w:type="dxa"/>
          </w:tcPr>
          <w:p w:rsidR="00D849AA" w:rsidRPr="00D61DA2" w:rsidRDefault="00EE6D95">
            <w:pPr>
              <w:rPr>
                <w:rFonts w:ascii="Arial" w:hAnsi="Arial" w:cs="Arial"/>
              </w:rPr>
            </w:pPr>
            <w:r w:rsidRPr="00D61DA2">
              <w:rPr>
                <w:rFonts w:ascii="Arial" w:hAnsi="Arial" w:cs="Arial"/>
              </w:rPr>
              <w:t>102</w:t>
            </w:r>
          </w:p>
        </w:tc>
        <w:tc>
          <w:tcPr>
            <w:tcW w:w="1486" w:type="dxa"/>
          </w:tcPr>
          <w:p w:rsidR="00D849AA" w:rsidRPr="00D61DA2" w:rsidRDefault="00EE6D95">
            <w:pPr>
              <w:rPr>
                <w:rFonts w:ascii="Arial" w:hAnsi="Arial" w:cs="Arial"/>
              </w:rPr>
            </w:pPr>
            <w:r w:rsidRPr="00D61DA2">
              <w:rPr>
                <w:rFonts w:ascii="Arial" w:hAnsi="Arial" w:cs="Arial"/>
              </w:rPr>
              <w:t>100</w:t>
            </w:r>
          </w:p>
        </w:tc>
        <w:tc>
          <w:tcPr>
            <w:tcW w:w="1486" w:type="dxa"/>
          </w:tcPr>
          <w:p w:rsidR="00D849AA" w:rsidRPr="00D61DA2" w:rsidRDefault="00EE6D95">
            <w:pPr>
              <w:rPr>
                <w:rFonts w:ascii="Arial" w:hAnsi="Arial" w:cs="Arial"/>
              </w:rPr>
            </w:pPr>
            <w:r w:rsidRPr="00D61DA2">
              <w:rPr>
                <w:rFonts w:ascii="Arial" w:hAnsi="Arial" w:cs="Arial"/>
              </w:rPr>
              <w:t>100</w:t>
            </w:r>
          </w:p>
        </w:tc>
        <w:tc>
          <w:tcPr>
            <w:tcW w:w="1486" w:type="dxa"/>
          </w:tcPr>
          <w:p w:rsidR="00D849AA" w:rsidRPr="00D61DA2" w:rsidRDefault="00EE6D95">
            <w:pPr>
              <w:rPr>
                <w:rFonts w:ascii="Arial" w:hAnsi="Arial" w:cs="Arial"/>
              </w:rPr>
            </w:pPr>
            <w:r w:rsidRPr="00D61DA2">
              <w:rPr>
                <w:rFonts w:ascii="Arial" w:hAnsi="Arial" w:cs="Arial"/>
              </w:rPr>
              <w:t>100</w:t>
            </w:r>
          </w:p>
        </w:tc>
      </w:tr>
    </w:tbl>
    <w:p w:rsidR="00D849AA" w:rsidRDefault="00D849AA">
      <w:pPr>
        <w:jc w:val="left"/>
      </w:pPr>
    </w:p>
    <w:p w:rsidR="00D849AA" w:rsidRDefault="00EE6D95">
      <w:pPr>
        <w:pStyle w:val="Naslov6"/>
      </w:pPr>
      <w:r>
        <w:t>A576259 IPA I 2010 - JAČANJE KAPACITETA ZA PROVEDBU STRATEŠKE PROCJENE UTJECAJA NA OKOLIŠ NA REGIONALNOJ I LOKALNOJ RAZINI</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D61DA2" w:rsidRDefault="00EE6D95">
            <w:pPr>
              <w:pStyle w:val="CellHeader"/>
            </w:pPr>
            <w:r w:rsidRPr="00D61DA2">
              <w:t>Naziv aktivnosti</w:t>
            </w:r>
          </w:p>
        </w:tc>
        <w:tc>
          <w:tcPr>
            <w:tcW w:w="1486" w:type="dxa"/>
            <w:shd w:val="clear" w:color="auto" w:fill="B5C0D8"/>
          </w:tcPr>
          <w:p w:rsidR="00D849AA" w:rsidRPr="00D61DA2" w:rsidRDefault="00EE6D95">
            <w:pPr>
              <w:pStyle w:val="CellHeader"/>
            </w:pPr>
            <w:r w:rsidRPr="00D61DA2">
              <w:t>Plan 2013.</w:t>
            </w:r>
          </w:p>
        </w:tc>
        <w:tc>
          <w:tcPr>
            <w:tcW w:w="1486" w:type="dxa"/>
            <w:shd w:val="clear" w:color="auto" w:fill="B5C0D8"/>
          </w:tcPr>
          <w:p w:rsidR="00D849AA" w:rsidRPr="00D61DA2" w:rsidRDefault="00EE6D95">
            <w:pPr>
              <w:pStyle w:val="CellHeader"/>
            </w:pPr>
            <w:r w:rsidRPr="00D61DA2">
              <w:t>Plan 2014.</w:t>
            </w:r>
          </w:p>
        </w:tc>
        <w:tc>
          <w:tcPr>
            <w:tcW w:w="1486" w:type="dxa"/>
            <w:shd w:val="clear" w:color="auto" w:fill="B5C0D8"/>
          </w:tcPr>
          <w:p w:rsidR="00D849AA" w:rsidRPr="00D61DA2" w:rsidRDefault="00EE6D95">
            <w:pPr>
              <w:pStyle w:val="CellHeader"/>
            </w:pPr>
            <w:r w:rsidRPr="00D61DA2">
              <w:t>Plan 2015.</w:t>
            </w:r>
          </w:p>
        </w:tc>
        <w:tc>
          <w:tcPr>
            <w:tcW w:w="1486" w:type="dxa"/>
            <w:shd w:val="clear" w:color="auto" w:fill="B5C0D8"/>
          </w:tcPr>
          <w:p w:rsidR="00D849AA" w:rsidRPr="00D61DA2" w:rsidRDefault="00EE6D95">
            <w:pPr>
              <w:pStyle w:val="CellHeader"/>
            </w:pPr>
            <w:r w:rsidRPr="00D61DA2">
              <w:t>Plan 2016.</w:t>
            </w:r>
          </w:p>
        </w:tc>
        <w:tc>
          <w:tcPr>
            <w:tcW w:w="1486" w:type="dxa"/>
            <w:shd w:val="clear" w:color="auto" w:fill="B5C0D8"/>
          </w:tcPr>
          <w:p w:rsidR="00D849AA" w:rsidRPr="00D61DA2" w:rsidRDefault="00EE6D95">
            <w:pPr>
              <w:pStyle w:val="CellHeader"/>
            </w:pPr>
            <w:r w:rsidRPr="00D61DA2">
              <w:t>Indeks 2014/2013</w:t>
            </w:r>
          </w:p>
        </w:tc>
      </w:tr>
      <w:tr w:rsidR="00D849AA">
        <w:trPr>
          <w:jc w:val="center"/>
        </w:trPr>
        <w:tc>
          <w:tcPr>
            <w:tcW w:w="1486" w:type="dxa"/>
          </w:tcPr>
          <w:p w:rsidR="00D849AA" w:rsidRPr="00D61DA2" w:rsidRDefault="00EE6D95">
            <w:pPr>
              <w:pStyle w:val="CellColumn"/>
            </w:pPr>
            <w:r w:rsidRPr="00D61DA2">
              <w:t>A576259</w:t>
            </w:r>
          </w:p>
        </w:tc>
        <w:tc>
          <w:tcPr>
            <w:tcW w:w="1486" w:type="dxa"/>
          </w:tcPr>
          <w:p w:rsidR="00D849AA" w:rsidRPr="00D61DA2" w:rsidRDefault="00EE6D95">
            <w:pPr>
              <w:rPr>
                <w:rFonts w:ascii="Arial" w:hAnsi="Arial" w:cs="Arial"/>
              </w:rPr>
            </w:pPr>
            <w:r w:rsidRPr="00D61DA2">
              <w:rPr>
                <w:rFonts w:ascii="Arial" w:hAnsi="Arial" w:cs="Arial"/>
              </w:rPr>
              <w:t>5.500.000</w:t>
            </w:r>
          </w:p>
        </w:tc>
        <w:tc>
          <w:tcPr>
            <w:tcW w:w="1486" w:type="dxa"/>
          </w:tcPr>
          <w:p w:rsidR="00D849AA" w:rsidRPr="00D61DA2" w:rsidRDefault="00EE6D95">
            <w:pPr>
              <w:rPr>
                <w:rFonts w:ascii="Arial" w:hAnsi="Arial" w:cs="Arial"/>
              </w:rPr>
            </w:pPr>
            <w:r w:rsidRPr="00D61DA2">
              <w:rPr>
                <w:rFonts w:ascii="Arial" w:hAnsi="Arial" w:cs="Arial"/>
              </w:rPr>
              <w:t>3.501.527</w:t>
            </w:r>
          </w:p>
        </w:tc>
        <w:tc>
          <w:tcPr>
            <w:tcW w:w="1486" w:type="dxa"/>
          </w:tcPr>
          <w:p w:rsidR="00D849AA" w:rsidRPr="00D61DA2" w:rsidRDefault="00EE6D95">
            <w:pPr>
              <w:rPr>
                <w:rFonts w:ascii="Arial" w:hAnsi="Arial" w:cs="Arial"/>
              </w:rPr>
            </w:pPr>
            <w:r w:rsidRPr="00D61DA2">
              <w:rPr>
                <w:rFonts w:ascii="Arial" w:hAnsi="Arial" w:cs="Arial"/>
              </w:rPr>
              <w:t>00</w:t>
            </w:r>
          </w:p>
        </w:tc>
        <w:tc>
          <w:tcPr>
            <w:tcW w:w="1486" w:type="dxa"/>
          </w:tcPr>
          <w:p w:rsidR="00D849AA" w:rsidRPr="00D61DA2" w:rsidRDefault="00EE6D95">
            <w:pPr>
              <w:rPr>
                <w:rFonts w:ascii="Arial" w:hAnsi="Arial" w:cs="Arial"/>
              </w:rPr>
            </w:pPr>
            <w:r w:rsidRPr="00D61DA2">
              <w:rPr>
                <w:rFonts w:ascii="Arial" w:hAnsi="Arial" w:cs="Arial"/>
              </w:rPr>
              <w:t>00</w:t>
            </w:r>
          </w:p>
        </w:tc>
        <w:tc>
          <w:tcPr>
            <w:tcW w:w="1486" w:type="dxa"/>
          </w:tcPr>
          <w:p w:rsidR="00D849AA" w:rsidRPr="00D61DA2" w:rsidRDefault="00EE6D95">
            <w:pPr>
              <w:rPr>
                <w:rFonts w:ascii="Arial" w:hAnsi="Arial" w:cs="Arial"/>
              </w:rPr>
            </w:pPr>
            <w:r w:rsidRPr="00D61DA2">
              <w:rPr>
                <w:rFonts w:ascii="Arial" w:hAnsi="Arial" w:cs="Arial"/>
              </w:rPr>
              <w:t>63,7</w:t>
            </w:r>
          </w:p>
        </w:tc>
      </w:tr>
    </w:tbl>
    <w:p w:rsidR="00D849AA" w:rsidRDefault="00D849AA">
      <w:pPr>
        <w:jc w:val="left"/>
      </w:pPr>
    </w:p>
    <w:p w:rsidR="00D849AA" w:rsidRDefault="00EE6D95">
      <w:pPr>
        <w:pStyle w:val="Normal6"/>
      </w:pPr>
      <w:r>
        <w:t xml:space="preserve">Komponenta projekta 1 – utvrđivanje postojećeg stanja s obzirom na provođenje SEA Direktive u Republici Hrvatskoj, analiza institucionalne strukture, te raspoloživih kapaciteta za provedbu SPUO u RH. Navedeno će rezultirati prijedlozima za jačanje SPUO sustava u Hrvatskoj, te će uključiti obuku s odabranim predstavnicima regionalne i lokalne samouprave zaduženim za provedbu SPUO. </w:t>
      </w:r>
    </w:p>
    <w:p w:rsidR="00D849AA" w:rsidRDefault="00EE6D95">
      <w:pPr>
        <w:pStyle w:val="Normal6"/>
      </w:pPr>
      <w:r>
        <w:t xml:space="preserve">Komponenta projekta 2 - trening materijali za SPUO, organizacija edukacijskih radionica za službenike uključene u provedbu SPUO postupke na regionalnoj i lokalnoj razini te za druge relevantne ciljane skupine, te dva okrugla stola s ključnim sudionicima uključenim u postupak SPUO. </w:t>
      </w:r>
    </w:p>
    <w:p w:rsidR="00D849AA" w:rsidRDefault="00EE6D95">
      <w:pPr>
        <w:pStyle w:val="Normal6"/>
      </w:pPr>
      <w:r>
        <w:t xml:space="preserve">Komponenta projekta 3 - SPUO smjernice i priručnici u vezi s pojedinim dijelovima SPUO postupka (ocjena o potrebi strateške procjene, određivanje sadržaja strateške studije, recenzija, odlučivanje i sudjelovanje javnosti), te metodologijom koja se koristi u SPUO analizama. </w:t>
      </w:r>
    </w:p>
    <w:p w:rsidR="00D849AA" w:rsidRDefault="00EE6D95">
      <w:pPr>
        <w:pStyle w:val="Normal6"/>
      </w:pPr>
      <w:r>
        <w:t>Provedba dosadašnjih aktivnosti u okviru predmetnog projekta ukazala je na potrebu dodatnih programa obuke koji bi uključivali treninge za trenere. Navedena dodatna aktivnost zahtijeva produljenje projekta u trajanju od 4 mjeseca.</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 xml:space="preserve">Održavanje kontinuiteta provedenih postupaka strateške procjene utjecaja na okoliš (SPUO) i procjene utjecaja na okoliš (PUO) u odnosu na </w:t>
            </w:r>
            <w:r>
              <w:lastRenderedPageBreak/>
              <w:t>zaprimljene zahtjeve</w:t>
            </w:r>
          </w:p>
        </w:tc>
        <w:tc>
          <w:tcPr>
            <w:tcW w:w="1114" w:type="dxa"/>
          </w:tcPr>
          <w:p w:rsidR="00D849AA" w:rsidRDefault="00EE6D95">
            <w:r>
              <w:lastRenderedPageBreak/>
              <w:t>%</w:t>
            </w:r>
          </w:p>
        </w:tc>
        <w:tc>
          <w:tcPr>
            <w:tcW w:w="1114" w:type="dxa"/>
          </w:tcPr>
          <w:p w:rsidR="00D849AA" w:rsidRDefault="00EE6D95">
            <w:r>
              <w:t>79</w:t>
            </w:r>
          </w:p>
        </w:tc>
        <w:tc>
          <w:tcPr>
            <w:tcW w:w="1486" w:type="dxa"/>
          </w:tcPr>
          <w:p w:rsidR="00D849AA" w:rsidRDefault="00EE6D95">
            <w:r>
              <w:t>80</w:t>
            </w:r>
          </w:p>
        </w:tc>
        <w:tc>
          <w:tcPr>
            <w:tcW w:w="1486" w:type="dxa"/>
          </w:tcPr>
          <w:p w:rsidR="00D849AA" w:rsidRDefault="00EE6D95">
            <w:r>
              <w:t>80</w:t>
            </w:r>
          </w:p>
        </w:tc>
        <w:tc>
          <w:tcPr>
            <w:tcW w:w="1486" w:type="dxa"/>
          </w:tcPr>
          <w:p w:rsidR="00D849AA" w:rsidRDefault="00EE6D95">
            <w:r>
              <w:t>80</w:t>
            </w:r>
          </w:p>
        </w:tc>
      </w:tr>
    </w:tbl>
    <w:p w:rsidR="00D849AA" w:rsidRDefault="00D849AA">
      <w:pPr>
        <w:jc w:val="left"/>
      </w:pPr>
    </w:p>
    <w:p w:rsidR="00D849AA" w:rsidRDefault="00EE6D95">
      <w:pPr>
        <w:pStyle w:val="Naslov6"/>
      </w:pPr>
      <w:r>
        <w:t>A784013 TRGOVANJE EMISIJSKIM JEDINICAMA STAKLENIČKIH PLINOVA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D61DA2" w:rsidRDefault="00EE6D95">
            <w:pPr>
              <w:pStyle w:val="CellHeader"/>
            </w:pPr>
            <w:r w:rsidRPr="00D61DA2">
              <w:t>Naziv aktivnosti</w:t>
            </w:r>
          </w:p>
        </w:tc>
        <w:tc>
          <w:tcPr>
            <w:tcW w:w="1486" w:type="dxa"/>
            <w:shd w:val="clear" w:color="auto" w:fill="B5C0D8"/>
          </w:tcPr>
          <w:p w:rsidR="00D849AA" w:rsidRPr="00D61DA2" w:rsidRDefault="00EE6D95">
            <w:pPr>
              <w:pStyle w:val="CellHeader"/>
            </w:pPr>
            <w:r w:rsidRPr="00D61DA2">
              <w:t>Plan 2013.</w:t>
            </w:r>
          </w:p>
        </w:tc>
        <w:tc>
          <w:tcPr>
            <w:tcW w:w="1486" w:type="dxa"/>
            <w:shd w:val="clear" w:color="auto" w:fill="B5C0D8"/>
          </w:tcPr>
          <w:p w:rsidR="00D849AA" w:rsidRPr="00D61DA2" w:rsidRDefault="00EE6D95">
            <w:pPr>
              <w:pStyle w:val="CellHeader"/>
            </w:pPr>
            <w:r w:rsidRPr="00D61DA2">
              <w:t>Plan 2014.</w:t>
            </w:r>
          </w:p>
        </w:tc>
        <w:tc>
          <w:tcPr>
            <w:tcW w:w="1486" w:type="dxa"/>
            <w:shd w:val="clear" w:color="auto" w:fill="B5C0D8"/>
          </w:tcPr>
          <w:p w:rsidR="00D849AA" w:rsidRPr="00D61DA2" w:rsidRDefault="00EE6D95">
            <w:pPr>
              <w:pStyle w:val="CellHeader"/>
            </w:pPr>
            <w:r w:rsidRPr="00D61DA2">
              <w:t>Plan 2015.</w:t>
            </w:r>
          </w:p>
        </w:tc>
        <w:tc>
          <w:tcPr>
            <w:tcW w:w="1486" w:type="dxa"/>
            <w:shd w:val="clear" w:color="auto" w:fill="B5C0D8"/>
          </w:tcPr>
          <w:p w:rsidR="00D849AA" w:rsidRPr="00D61DA2" w:rsidRDefault="00EE6D95">
            <w:pPr>
              <w:pStyle w:val="CellHeader"/>
            </w:pPr>
            <w:r w:rsidRPr="00D61DA2">
              <w:t>Plan 2016.</w:t>
            </w:r>
          </w:p>
        </w:tc>
        <w:tc>
          <w:tcPr>
            <w:tcW w:w="1486" w:type="dxa"/>
            <w:shd w:val="clear" w:color="auto" w:fill="B5C0D8"/>
          </w:tcPr>
          <w:p w:rsidR="00D849AA" w:rsidRPr="00D61DA2" w:rsidRDefault="00EE6D95">
            <w:pPr>
              <w:pStyle w:val="CellHeader"/>
            </w:pPr>
            <w:r w:rsidRPr="00D61DA2">
              <w:t>Indeks 2014/2013</w:t>
            </w:r>
          </w:p>
        </w:tc>
      </w:tr>
      <w:tr w:rsidR="00D849AA">
        <w:trPr>
          <w:jc w:val="center"/>
        </w:trPr>
        <w:tc>
          <w:tcPr>
            <w:tcW w:w="1486" w:type="dxa"/>
          </w:tcPr>
          <w:p w:rsidR="00D849AA" w:rsidRPr="00D61DA2" w:rsidRDefault="00EE6D95">
            <w:pPr>
              <w:pStyle w:val="CellColumn"/>
            </w:pPr>
            <w:r w:rsidRPr="00D61DA2">
              <w:t>A784013</w:t>
            </w:r>
          </w:p>
        </w:tc>
        <w:tc>
          <w:tcPr>
            <w:tcW w:w="1486" w:type="dxa"/>
          </w:tcPr>
          <w:p w:rsidR="00D849AA" w:rsidRPr="00D61DA2" w:rsidRDefault="00EE6D95">
            <w:pPr>
              <w:rPr>
                <w:rFonts w:ascii="Arial" w:hAnsi="Arial" w:cs="Arial"/>
              </w:rPr>
            </w:pPr>
            <w:r w:rsidRPr="00D61DA2">
              <w:rPr>
                <w:rFonts w:ascii="Arial" w:hAnsi="Arial" w:cs="Arial"/>
              </w:rPr>
              <w:t>1.045.000</w:t>
            </w:r>
          </w:p>
        </w:tc>
        <w:tc>
          <w:tcPr>
            <w:tcW w:w="1486" w:type="dxa"/>
          </w:tcPr>
          <w:p w:rsidR="00D849AA" w:rsidRPr="00D61DA2" w:rsidRDefault="00EE6D95">
            <w:pPr>
              <w:rPr>
                <w:rFonts w:ascii="Arial" w:hAnsi="Arial" w:cs="Arial"/>
              </w:rPr>
            </w:pPr>
            <w:r w:rsidRPr="00D61DA2">
              <w:rPr>
                <w:rFonts w:ascii="Arial" w:hAnsi="Arial" w:cs="Arial"/>
              </w:rPr>
              <w:t>700.000</w:t>
            </w:r>
          </w:p>
        </w:tc>
        <w:tc>
          <w:tcPr>
            <w:tcW w:w="1486" w:type="dxa"/>
          </w:tcPr>
          <w:p w:rsidR="00D849AA" w:rsidRPr="00D61DA2" w:rsidRDefault="00EE6D95">
            <w:pPr>
              <w:rPr>
                <w:rFonts w:ascii="Arial" w:hAnsi="Arial" w:cs="Arial"/>
              </w:rPr>
            </w:pPr>
            <w:r w:rsidRPr="00D61DA2">
              <w:rPr>
                <w:rFonts w:ascii="Arial" w:hAnsi="Arial" w:cs="Arial"/>
              </w:rPr>
              <w:t>2.500.000</w:t>
            </w:r>
          </w:p>
        </w:tc>
        <w:tc>
          <w:tcPr>
            <w:tcW w:w="1486" w:type="dxa"/>
          </w:tcPr>
          <w:p w:rsidR="00D849AA" w:rsidRPr="00D61DA2" w:rsidRDefault="00EE6D95">
            <w:pPr>
              <w:rPr>
                <w:rFonts w:ascii="Arial" w:hAnsi="Arial" w:cs="Arial"/>
              </w:rPr>
            </w:pPr>
            <w:r w:rsidRPr="00D61DA2">
              <w:rPr>
                <w:rFonts w:ascii="Arial" w:hAnsi="Arial" w:cs="Arial"/>
              </w:rPr>
              <w:t>2.500.000</w:t>
            </w:r>
          </w:p>
        </w:tc>
        <w:tc>
          <w:tcPr>
            <w:tcW w:w="1486" w:type="dxa"/>
          </w:tcPr>
          <w:p w:rsidR="00D849AA" w:rsidRPr="00D61DA2" w:rsidRDefault="00EE6D95">
            <w:pPr>
              <w:rPr>
                <w:rFonts w:ascii="Arial" w:hAnsi="Arial" w:cs="Arial"/>
              </w:rPr>
            </w:pPr>
            <w:r w:rsidRPr="00D61DA2">
              <w:rPr>
                <w:rFonts w:ascii="Arial" w:hAnsi="Arial" w:cs="Arial"/>
              </w:rPr>
              <w:t>67,0</w:t>
            </w:r>
          </w:p>
        </w:tc>
      </w:tr>
    </w:tbl>
    <w:p w:rsidR="00D849AA" w:rsidRDefault="00EE6D95">
      <w:pPr>
        <w:pStyle w:val="Normal6"/>
      </w:pPr>
      <w:r>
        <w:t xml:space="preserve">Pravna osnova za provedbu ove aktivnosti sadržana je u Zakonu o zaštiti zraka (Narodne novine, broj 130/11), provedbenim propisima donesenim temeljem ovoga Zakona te međunarodnim ugovorima čija je stranka Republika Hrvatska – Okvirna konvencija UN o promjeni klime UNFCCC) i Kyotski protokol. </w:t>
      </w:r>
    </w:p>
    <w:p w:rsidR="00D849AA" w:rsidRDefault="00EE6D95">
      <w:pPr>
        <w:pStyle w:val="Normal6"/>
      </w:pPr>
      <w:r>
        <w:t>Od 2013. godine se temeljem članka 100. stavka 4. Zakona o zaštiti zraka uplaćuje u državni proračun 5% financijskih sredstava ostvarenih od prodaje emisijskih jedinica stakleničkih plinova putem dražbe (trenutna procjena 750.000 eura = 5.700.000 kn), za što je u 2012. otvorena posebna stavka u razdjelu Uprave za zaštitu okoliša. Navedena sredstva se sukladno istom stavku trebaju koristiti za pokrivanje troškova administriranja sustava trgovanja emisijskim jedinicama, za upravne poslove, poslove funkcioniranja Registra (AZO), dražbovatelja, Nacionalnog sustava za praćenje emisija stakleničkih plinova i drugih poslova vezanih za provedbu propisa i planskih dokumenata iz područja klimatskih promjena.</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Provođenje pojedinih mjera</w:t>
            </w:r>
          </w:p>
        </w:tc>
        <w:tc>
          <w:tcPr>
            <w:tcW w:w="1114" w:type="dxa"/>
          </w:tcPr>
          <w:p w:rsidR="00D849AA" w:rsidRDefault="00EE6D95">
            <w:r>
              <w:t>broj</w:t>
            </w:r>
          </w:p>
        </w:tc>
        <w:tc>
          <w:tcPr>
            <w:tcW w:w="1114" w:type="dxa"/>
          </w:tcPr>
          <w:p w:rsidR="00D849AA" w:rsidRDefault="00EE6D95">
            <w:r>
              <w:t>10</w:t>
            </w:r>
          </w:p>
        </w:tc>
        <w:tc>
          <w:tcPr>
            <w:tcW w:w="1486" w:type="dxa"/>
          </w:tcPr>
          <w:p w:rsidR="00D849AA" w:rsidRDefault="00EE6D95">
            <w:r>
              <w:t>8</w:t>
            </w:r>
          </w:p>
        </w:tc>
        <w:tc>
          <w:tcPr>
            <w:tcW w:w="1486" w:type="dxa"/>
          </w:tcPr>
          <w:p w:rsidR="00D849AA" w:rsidRDefault="00EE6D95">
            <w:r>
              <w:t>5</w:t>
            </w:r>
          </w:p>
        </w:tc>
        <w:tc>
          <w:tcPr>
            <w:tcW w:w="1486" w:type="dxa"/>
          </w:tcPr>
          <w:p w:rsidR="00D849AA" w:rsidRDefault="00EE6D95">
            <w:r>
              <w:t>4</w:t>
            </w:r>
          </w:p>
        </w:tc>
      </w:tr>
      <w:tr w:rsidR="00D849AA">
        <w:trPr>
          <w:jc w:val="center"/>
        </w:trPr>
        <w:tc>
          <w:tcPr>
            <w:tcW w:w="2229" w:type="dxa"/>
          </w:tcPr>
          <w:p w:rsidR="00D849AA" w:rsidRDefault="00EE6D95">
            <w:pPr>
              <w:pStyle w:val="CellColumn"/>
            </w:pPr>
            <w:r>
              <w:t>Kontinuirano unapređenje pravnog i institucionalnog okvira za subjekte uključene u sustav trgovanja emisijskim jedinicama stakleničkih plinova</w:t>
            </w:r>
          </w:p>
        </w:tc>
        <w:tc>
          <w:tcPr>
            <w:tcW w:w="1114" w:type="dxa"/>
          </w:tcPr>
          <w:p w:rsidR="00D849AA" w:rsidRDefault="00EE6D95">
            <w:r>
              <w:t>%</w:t>
            </w:r>
          </w:p>
        </w:tc>
        <w:tc>
          <w:tcPr>
            <w:tcW w:w="1114" w:type="dxa"/>
          </w:tcPr>
          <w:p w:rsidR="00D849AA" w:rsidRDefault="00EE6D95">
            <w:r>
              <w:t>70</w:t>
            </w:r>
          </w:p>
        </w:tc>
        <w:tc>
          <w:tcPr>
            <w:tcW w:w="1486" w:type="dxa"/>
          </w:tcPr>
          <w:p w:rsidR="00D849AA" w:rsidRDefault="00EE6D95">
            <w:r>
              <w:t>80</w:t>
            </w:r>
          </w:p>
        </w:tc>
        <w:tc>
          <w:tcPr>
            <w:tcW w:w="1486" w:type="dxa"/>
          </w:tcPr>
          <w:p w:rsidR="00D849AA" w:rsidRDefault="00EE6D95">
            <w:r>
              <w:t>90</w:t>
            </w:r>
          </w:p>
        </w:tc>
        <w:tc>
          <w:tcPr>
            <w:tcW w:w="1486" w:type="dxa"/>
          </w:tcPr>
          <w:p w:rsidR="00D849AA" w:rsidRDefault="00EE6D95">
            <w:r>
              <w:t>100</w:t>
            </w:r>
          </w:p>
        </w:tc>
      </w:tr>
      <w:tr w:rsidR="00D849AA">
        <w:trPr>
          <w:jc w:val="center"/>
        </w:trPr>
        <w:tc>
          <w:tcPr>
            <w:tcW w:w="2229" w:type="dxa"/>
          </w:tcPr>
          <w:p w:rsidR="00D849AA" w:rsidRDefault="00EE6D95">
            <w:pPr>
              <w:pStyle w:val="CellColumn"/>
            </w:pPr>
            <w:r>
              <w:t>Povećanje transparentnosti, pouzdanosti, dosljednosti, usporedivosti i točnosti inventara stakleničkih plinova</w:t>
            </w:r>
          </w:p>
        </w:tc>
        <w:tc>
          <w:tcPr>
            <w:tcW w:w="1114" w:type="dxa"/>
          </w:tcPr>
          <w:p w:rsidR="00D849AA" w:rsidRDefault="00EE6D95">
            <w:r>
              <w:t>%</w:t>
            </w:r>
          </w:p>
        </w:tc>
        <w:tc>
          <w:tcPr>
            <w:tcW w:w="1114" w:type="dxa"/>
          </w:tcPr>
          <w:p w:rsidR="00D849AA" w:rsidRDefault="00EE6D95">
            <w:r>
              <w:t>65</w:t>
            </w:r>
          </w:p>
        </w:tc>
        <w:tc>
          <w:tcPr>
            <w:tcW w:w="1486" w:type="dxa"/>
          </w:tcPr>
          <w:p w:rsidR="00D849AA" w:rsidRDefault="00EE6D95">
            <w:r>
              <w:t>70</w:t>
            </w:r>
          </w:p>
        </w:tc>
        <w:tc>
          <w:tcPr>
            <w:tcW w:w="1486" w:type="dxa"/>
          </w:tcPr>
          <w:p w:rsidR="00D849AA" w:rsidRDefault="00EE6D95">
            <w:r>
              <w:t>75</w:t>
            </w:r>
          </w:p>
        </w:tc>
        <w:tc>
          <w:tcPr>
            <w:tcW w:w="1486" w:type="dxa"/>
          </w:tcPr>
          <w:p w:rsidR="00D849AA" w:rsidRDefault="00EE6D95">
            <w:r>
              <w:t>80</w:t>
            </w:r>
          </w:p>
        </w:tc>
      </w:tr>
      <w:tr w:rsidR="00D849AA">
        <w:trPr>
          <w:jc w:val="center"/>
        </w:trPr>
        <w:tc>
          <w:tcPr>
            <w:tcW w:w="2229" w:type="dxa"/>
          </w:tcPr>
          <w:p w:rsidR="00D849AA" w:rsidRDefault="00EE6D95">
            <w:pPr>
              <w:pStyle w:val="CellColumn"/>
            </w:pPr>
            <w:r>
              <w:t>Povećanje postotka izdanih dozvola, mišljenja i rješenja usklađenih s ciljevima iz propisa</w:t>
            </w:r>
          </w:p>
        </w:tc>
        <w:tc>
          <w:tcPr>
            <w:tcW w:w="1114" w:type="dxa"/>
          </w:tcPr>
          <w:p w:rsidR="00D849AA" w:rsidRDefault="00EE6D95">
            <w:r>
              <w:t>%</w:t>
            </w:r>
          </w:p>
        </w:tc>
        <w:tc>
          <w:tcPr>
            <w:tcW w:w="1114" w:type="dxa"/>
          </w:tcPr>
          <w:p w:rsidR="00D849AA" w:rsidRDefault="00EE6D95">
            <w:r>
              <w:t>60</w:t>
            </w:r>
          </w:p>
        </w:tc>
        <w:tc>
          <w:tcPr>
            <w:tcW w:w="1486" w:type="dxa"/>
          </w:tcPr>
          <w:p w:rsidR="00D849AA" w:rsidRDefault="00EE6D95">
            <w:r>
              <w:t>65</w:t>
            </w:r>
          </w:p>
        </w:tc>
        <w:tc>
          <w:tcPr>
            <w:tcW w:w="1486" w:type="dxa"/>
          </w:tcPr>
          <w:p w:rsidR="00D849AA" w:rsidRDefault="00EE6D95">
            <w:r>
              <w:t>70</w:t>
            </w:r>
          </w:p>
        </w:tc>
        <w:tc>
          <w:tcPr>
            <w:tcW w:w="1486" w:type="dxa"/>
          </w:tcPr>
          <w:p w:rsidR="00D849AA" w:rsidRDefault="00EE6D95">
            <w:r>
              <w:t>75</w:t>
            </w:r>
          </w:p>
        </w:tc>
      </w:tr>
    </w:tbl>
    <w:p w:rsidR="00D849AA" w:rsidRDefault="00EE6D95">
      <w:pPr>
        <w:pStyle w:val="Naslov6"/>
      </w:pPr>
      <w:r>
        <w:lastRenderedPageBreak/>
        <w:t>K576223 MONTREALSKI PROTOKOL</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D61DA2" w:rsidRDefault="00EE6D95">
            <w:pPr>
              <w:pStyle w:val="CellHeader"/>
            </w:pPr>
            <w:r w:rsidRPr="00D61DA2">
              <w:t>Naziv aktivnosti</w:t>
            </w:r>
          </w:p>
        </w:tc>
        <w:tc>
          <w:tcPr>
            <w:tcW w:w="1486" w:type="dxa"/>
            <w:shd w:val="clear" w:color="auto" w:fill="B5C0D8"/>
          </w:tcPr>
          <w:p w:rsidR="00D849AA" w:rsidRPr="00D61DA2" w:rsidRDefault="00EE6D95">
            <w:pPr>
              <w:pStyle w:val="CellHeader"/>
            </w:pPr>
            <w:r w:rsidRPr="00D61DA2">
              <w:t>Plan 2013.</w:t>
            </w:r>
          </w:p>
        </w:tc>
        <w:tc>
          <w:tcPr>
            <w:tcW w:w="1486" w:type="dxa"/>
            <w:shd w:val="clear" w:color="auto" w:fill="B5C0D8"/>
          </w:tcPr>
          <w:p w:rsidR="00D849AA" w:rsidRPr="00D61DA2" w:rsidRDefault="00EE6D95">
            <w:pPr>
              <w:pStyle w:val="CellHeader"/>
            </w:pPr>
            <w:r w:rsidRPr="00D61DA2">
              <w:t>Plan 2014.</w:t>
            </w:r>
          </w:p>
        </w:tc>
        <w:tc>
          <w:tcPr>
            <w:tcW w:w="1486" w:type="dxa"/>
            <w:shd w:val="clear" w:color="auto" w:fill="B5C0D8"/>
          </w:tcPr>
          <w:p w:rsidR="00D849AA" w:rsidRPr="00D61DA2" w:rsidRDefault="00EE6D95">
            <w:pPr>
              <w:pStyle w:val="CellHeader"/>
            </w:pPr>
            <w:r w:rsidRPr="00D61DA2">
              <w:t>Plan 2015.</w:t>
            </w:r>
          </w:p>
        </w:tc>
        <w:tc>
          <w:tcPr>
            <w:tcW w:w="1486" w:type="dxa"/>
            <w:shd w:val="clear" w:color="auto" w:fill="B5C0D8"/>
          </w:tcPr>
          <w:p w:rsidR="00D849AA" w:rsidRPr="00D61DA2" w:rsidRDefault="00EE6D95">
            <w:pPr>
              <w:pStyle w:val="CellHeader"/>
            </w:pPr>
            <w:r w:rsidRPr="00D61DA2">
              <w:t>Plan 2016.</w:t>
            </w:r>
          </w:p>
        </w:tc>
        <w:tc>
          <w:tcPr>
            <w:tcW w:w="1486" w:type="dxa"/>
            <w:shd w:val="clear" w:color="auto" w:fill="B5C0D8"/>
          </w:tcPr>
          <w:p w:rsidR="00D849AA" w:rsidRPr="00D61DA2" w:rsidRDefault="00EE6D95">
            <w:pPr>
              <w:pStyle w:val="CellHeader"/>
            </w:pPr>
            <w:r w:rsidRPr="00D61DA2">
              <w:t>Indeks 2014/2013</w:t>
            </w:r>
          </w:p>
        </w:tc>
      </w:tr>
      <w:tr w:rsidR="00D849AA">
        <w:trPr>
          <w:jc w:val="center"/>
        </w:trPr>
        <w:tc>
          <w:tcPr>
            <w:tcW w:w="1486" w:type="dxa"/>
          </w:tcPr>
          <w:p w:rsidR="00D849AA" w:rsidRPr="00D61DA2" w:rsidRDefault="00EE6D95">
            <w:pPr>
              <w:pStyle w:val="CellColumn"/>
            </w:pPr>
            <w:r w:rsidRPr="00D61DA2">
              <w:t>K576223</w:t>
            </w:r>
          </w:p>
        </w:tc>
        <w:tc>
          <w:tcPr>
            <w:tcW w:w="1486" w:type="dxa"/>
          </w:tcPr>
          <w:p w:rsidR="00D849AA" w:rsidRPr="00D61DA2" w:rsidRDefault="00EE6D95">
            <w:pPr>
              <w:rPr>
                <w:rFonts w:ascii="Arial" w:hAnsi="Arial" w:cs="Arial"/>
              </w:rPr>
            </w:pPr>
            <w:r w:rsidRPr="00D61DA2">
              <w:rPr>
                <w:rFonts w:ascii="Arial" w:hAnsi="Arial" w:cs="Arial"/>
              </w:rPr>
              <w:t>350.000</w:t>
            </w:r>
          </w:p>
        </w:tc>
        <w:tc>
          <w:tcPr>
            <w:tcW w:w="1486" w:type="dxa"/>
          </w:tcPr>
          <w:p w:rsidR="00D849AA" w:rsidRPr="00D61DA2" w:rsidRDefault="00EE6D95">
            <w:pPr>
              <w:rPr>
                <w:rFonts w:ascii="Arial" w:hAnsi="Arial" w:cs="Arial"/>
              </w:rPr>
            </w:pPr>
            <w:r w:rsidRPr="00D61DA2">
              <w:rPr>
                <w:rFonts w:ascii="Arial" w:hAnsi="Arial" w:cs="Arial"/>
              </w:rPr>
              <w:t>503.000</w:t>
            </w:r>
          </w:p>
        </w:tc>
        <w:tc>
          <w:tcPr>
            <w:tcW w:w="1486" w:type="dxa"/>
          </w:tcPr>
          <w:p w:rsidR="00D849AA" w:rsidRPr="00D61DA2" w:rsidRDefault="00EE6D95">
            <w:pPr>
              <w:rPr>
                <w:rFonts w:ascii="Arial" w:hAnsi="Arial" w:cs="Arial"/>
              </w:rPr>
            </w:pPr>
            <w:r w:rsidRPr="00D61DA2">
              <w:rPr>
                <w:rFonts w:ascii="Arial" w:hAnsi="Arial" w:cs="Arial"/>
              </w:rPr>
              <w:t>134.000</w:t>
            </w:r>
          </w:p>
        </w:tc>
        <w:tc>
          <w:tcPr>
            <w:tcW w:w="1486" w:type="dxa"/>
          </w:tcPr>
          <w:p w:rsidR="00D849AA" w:rsidRPr="00D61DA2" w:rsidRDefault="00EE6D95">
            <w:pPr>
              <w:rPr>
                <w:rFonts w:ascii="Arial" w:hAnsi="Arial" w:cs="Arial"/>
              </w:rPr>
            </w:pPr>
            <w:r w:rsidRPr="00D61DA2">
              <w:rPr>
                <w:rFonts w:ascii="Arial" w:hAnsi="Arial" w:cs="Arial"/>
              </w:rPr>
              <w:t>00</w:t>
            </w:r>
          </w:p>
        </w:tc>
        <w:tc>
          <w:tcPr>
            <w:tcW w:w="1486" w:type="dxa"/>
          </w:tcPr>
          <w:p w:rsidR="00D849AA" w:rsidRPr="00D61DA2" w:rsidRDefault="00EE6D95">
            <w:pPr>
              <w:rPr>
                <w:rFonts w:ascii="Arial" w:hAnsi="Arial" w:cs="Arial"/>
              </w:rPr>
            </w:pPr>
            <w:r w:rsidRPr="00D61DA2">
              <w:rPr>
                <w:rFonts w:ascii="Arial" w:hAnsi="Arial" w:cs="Arial"/>
              </w:rPr>
              <w:t>143,7</w:t>
            </w:r>
          </w:p>
        </w:tc>
      </w:tr>
    </w:tbl>
    <w:p w:rsidR="00D849AA" w:rsidRDefault="00D849AA">
      <w:pPr>
        <w:jc w:val="left"/>
      </w:pPr>
    </w:p>
    <w:p w:rsidR="00D849AA" w:rsidRDefault="00EE6D95">
      <w:pPr>
        <w:pStyle w:val="Normal6"/>
      </w:pPr>
      <w:r>
        <w:t>U dijelu koji se odnosi na zaštitu ozonskog sloja u tijeku je provedba sljedećeg projekta koji je u potpunosti financiran sredstvima Multilateralnog fonda za provedbu Montrealskog protokola. Projekt institucijsko osnaživanje u svrhu provedbe Montrealskog protokola u Republici Hrvatskoj provodi se od 1997. godine. U tijeku je provedba VII faze projekta. Odobrena je VIII faza projekta koja će omogućiti niz aktivnosti u narednim godinama. Jedna od najznačajnijih aktivnosti je osvješćivanje javnosti o zaštiti ozonskog sloja i ukidanju potrošnje tvari koje oštećuju ozonski sloj.</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D61DA2" w:rsidRDefault="00EE6D95">
            <w:pPr>
              <w:rPr>
                <w:rFonts w:ascii="Arial" w:hAnsi="Arial" w:cs="Arial"/>
              </w:rPr>
            </w:pPr>
            <w:r w:rsidRPr="00D61DA2">
              <w:rPr>
                <w:rFonts w:ascii="Arial" w:hAnsi="Arial" w:cs="Arial"/>
              </w:rPr>
              <w:t>Pokazatelj rezultata</w:t>
            </w:r>
          </w:p>
        </w:tc>
        <w:tc>
          <w:tcPr>
            <w:tcW w:w="1114" w:type="dxa"/>
            <w:shd w:val="clear" w:color="auto" w:fill="B5C0D8"/>
          </w:tcPr>
          <w:p w:rsidR="00D849AA" w:rsidRPr="00D61DA2" w:rsidRDefault="00EE6D95">
            <w:pPr>
              <w:pStyle w:val="CellHeader"/>
            </w:pPr>
            <w:r w:rsidRPr="00D61DA2">
              <w:t>Jedinica</w:t>
            </w:r>
          </w:p>
        </w:tc>
        <w:tc>
          <w:tcPr>
            <w:tcW w:w="1114" w:type="dxa"/>
            <w:shd w:val="clear" w:color="auto" w:fill="B5C0D8"/>
          </w:tcPr>
          <w:p w:rsidR="00D849AA" w:rsidRPr="00D61DA2" w:rsidRDefault="00EE6D95">
            <w:pPr>
              <w:pStyle w:val="CellHeader"/>
            </w:pPr>
            <w:r w:rsidRPr="00D61DA2">
              <w:t>Polazna vrijednost</w:t>
            </w:r>
          </w:p>
        </w:tc>
        <w:tc>
          <w:tcPr>
            <w:tcW w:w="1486" w:type="dxa"/>
            <w:shd w:val="clear" w:color="auto" w:fill="B5C0D8"/>
          </w:tcPr>
          <w:p w:rsidR="00D849AA" w:rsidRPr="00D61DA2" w:rsidRDefault="00EE6D95">
            <w:pPr>
              <w:pStyle w:val="CellHeader"/>
            </w:pPr>
            <w:r w:rsidRPr="00D61DA2">
              <w:t>Ciljana vrijednost (2014.)</w:t>
            </w:r>
          </w:p>
        </w:tc>
        <w:tc>
          <w:tcPr>
            <w:tcW w:w="1486" w:type="dxa"/>
            <w:shd w:val="clear" w:color="auto" w:fill="B5C0D8"/>
          </w:tcPr>
          <w:p w:rsidR="00D849AA" w:rsidRPr="00D61DA2" w:rsidRDefault="00EE6D95">
            <w:pPr>
              <w:pStyle w:val="CellHeader"/>
            </w:pPr>
            <w:r w:rsidRPr="00D61DA2">
              <w:t>Ciljana vrijednost (2015.)</w:t>
            </w:r>
          </w:p>
        </w:tc>
        <w:tc>
          <w:tcPr>
            <w:tcW w:w="1486" w:type="dxa"/>
            <w:shd w:val="clear" w:color="auto" w:fill="B5C0D8"/>
          </w:tcPr>
          <w:p w:rsidR="00D849AA" w:rsidRPr="00D61DA2" w:rsidRDefault="00EE6D95">
            <w:pPr>
              <w:pStyle w:val="CellHeader"/>
            </w:pPr>
            <w:r w:rsidRPr="00D61DA2">
              <w:t>Ciljana vrijednost (2016.)</w:t>
            </w:r>
          </w:p>
        </w:tc>
      </w:tr>
      <w:tr w:rsidR="00D849AA">
        <w:trPr>
          <w:jc w:val="center"/>
        </w:trPr>
        <w:tc>
          <w:tcPr>
            <w:tcW w:w="2229" w:type="dxa"/>
          </w:tcPr>
          <w:p w:rsidR="00D849AA" w:rsidRPr="00D61DA2" w:rsidRDefault="00EE6D95">
            <w:pPr>
              <w:pStyle w:val="CellColumn"/>
            </w:pPr>
            <w:r w:rsidRPr="00D61DA2">
              <w:t>Dovršenje projekata</w:t>
            </w:r>
          </w:p>
        </w:tc>
        <w:tc>
          <w:tcPr>
            <w:tcW w:w="1114" w:type="dxa"/>
          </w:tcPr>
          <w:p w:rsidR="00D849AA" w:rsidRPr="00D61DA2" w:rsidRDefault="00EE6D95">
            <w:pPr>
              <w:rPr>
                <w:rFonts w:ascii="Arial" w:hAnsi="Arial" w:cs="Arial"/>
              </w:rPr>
            </w:pPr>
            <w:r w:rsidRPr="00D61DA2">
              <w:rPr>
                <w:rFonts w:ascii="Arial" w:hAnsi="Arial" w:cs="Arial"/>
              </w:rPr>
              <w:t>broj</w:t>
            </w:r>
          </w:p>
        </w:tc>
        <w:tc>
          <w:tcPr>
            <w:tcW w:w="1114" w:type="dxa"/>
          </w:tcPr>
          <w:p w:rsidR="00D849AA" w:rsidRPr="00D61DA2" w:rsidRDefault="00EE6D95">
            <w:pPr>
              <w:rPr>
                <w:rFonts w:ascii="Arial" w:hAnsi="Arial" w:cs="Arial"/>
              </w:rPr>
            </w:pPr>
            <w:r w:rsidRPr="00D61DA2">
              <w:rPr>
                <w:rFonts w:ascii="Arial" w:hAnsi="Arial" w:cs="Arial"/>
              </w:rPr>
              <w:t>3</w:t>
            </w:r>
          </w:p>
        </w:tc>
        <w:tc>
          <w:tcPr>
            <w:tcW w:w="1486" w:type="dxa"/>
          </w:tcPr>
          <w:p w:rsidR="00D849AA" w:rsidRPr="00D61DA2" w:rsidRDefault="00EE6D95">
            <w:pPr>
              <w:rPr>
                <w:rFonts w:ascii="Arial" w:hAnsi="Arial" w:cs="Arial"/>
              </w:rPr>
            </w:pPr>
            <w:r w:rsidRPr="00D61DA2">
              <w:rPr>
                <w:rFonts w:ascii="Arial" w:hAnsi="Arial" w:cs="Arial"/>
              </w:rPr>
              <w:t>5</w:t>
            </w:r>
          </w:p>
        </w:tc>
        <w:tc>
          <w:tcPr>
            <w:tcW w:w="1486" w:type="dxa"/>
          </w:tcPr>
          <w:p w:rsidR="00D849AA" w:rsidRPr="00D61DA2" w:rsidRDefault="00EE6D95">
            <w:pPr>
              <w:rPr>
                <w:rFonts w:ascii="Arial" w:hAnsi="Arial" w:cs="Arial"/>
              </w:rPr>
            </w:pPr>
            <w:r w:rsidRPr="00D61DA2">
              <w:rPr>
                <w:rFonts w:ascii="Arial" w:hAnsi="Arial" w:cs="Arial"/>
              </w:rPr>
              <w:t>1</w:t>
            </w:r>
          </w:p>
        </w:tc>
        <w:tc>
          <w:tcPr>
            <w:tcW w:w="1486" w:type="dxa"/>
          </w:tcPr>
          <w:p w:rsidR="00D849AA" w:rsidRPr="00D61DA2" w:rsidRDefault="00EE6D95">
            <w:pPr>
              <w:rPr>
                <w:rFonts w:ascii="Arial" w:hAnsi="Arial" w:cs="Arial"/>
              </w:rPr>
            </w:pPr>
            <w:r w:rsidRPr="00D61DA2">
              <w:rPr>
                <w:rFonts w:ascii="Arial" w:hAnsi="Arial" w:cs="Arial"/>
              </w:rPr>
              <w:t>1</w:t>
            </w:r>
          </w:p>
        </w:tc>
      </w:tr>
    </w:tbl>
    <w:p w:rsidR="00D849AA" w:rsidRDefault="00D849AA">
      <w:pPr>
        <w:jc w:val="left"/>
      </w:pPr>
    </w:p>
    <w:p w:rsidR="00D849AA" w:rsidRDefault="00EE6D95">
      <w:pPr>
        <w:pStyle w:val="Naslov6"/>
      </w:pPr>
      <w:r>
        <w:t>K784019 GEF PROJEKT REVIZIJA NACIONALNOG</w:t>
      </w:r>
      <w:r w:rsidR="005E43AC">
        <w:t xml:space="preserve"> </w:t>
      </w:r>
      <w:r>
        <w:t>IMPLEMENTACIJSKOG PLANA ZA PROVEDBU STOCKHOLMSKE KONVENCIJE O POSTOJANIM ORGANSKIM ONEČIŠĆUJUĆIM TVARIMA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rsidRPr="00D61DA2">
        <w:trPr>
          <w:jc w:val="center"/>
        </w:trPr>
        <w:tc>
          <w:tcPr>
            <w:tcW w:w="1486" w:type="dxa"/>
            <w:shd w:val="clear" w:color="auto" w:fill="B5C0D8"/>
          </w:tcPr>
          <w:p w:rsidR="00D849AA" w:rsidRPr="00D61DA2" w:rsidRDefault="00EE6D95">
            <w:pPr>
              <w:pStyle w:val="CellHeader"/>
            </w:pPr>
            <w:r w:rsidRPr="00D61DA2">
              <w:t>Naziv aktivnosti</w:t>
            </w:r>
          </w:p>
        </w:tc>
        <w:tc>
          <w:tcPr>
            <w:tcW w:w="1486" w:type="dxa"/>
            <w:shd w:val="clear" w:color="auto" w:fill="B5C0D8"/>
          </w:tcPr>
          <w:p w:rsidR="00D849AA" w:rsidRPr="00D61DA2" w:rsidRDefault="00EE6D95">
            <w:pPr>
              <w:pStyle w:val="CellHeader"/>
            </w:pPr>
            <w:r w:rsidRPr="00D61DA2">
              <w:t>Plan 2013.</w:t>
            </w:r>
          </w:p>
        </w:tc>
        <w:tc>
          <w:tcPr>
            <w:tcW w:w="1486" w:type="dxa"/>
            <w:shd w:val="clear" w:color="auto" w:fill="B5C0D8"/>
          </w:tcPr>
          <w:p w:rsidR="00D849AA" w:rsidRPr="00D61DA2" w:rsidRDefault="00EE6D95">
            <w:pPr>
              <w:pStyle w:val="CellHeader"/>
            </w:pPr>
            <w:r w:rsidRPr="00D61DA2">
              <w:t>Plan 2014.</w:t>
            </w:r>
          </w:p>
        </w:tc>
        <w:tc>
          <w:tcPr>
            <w:tcW w:w="1486" w:type="dxa"/>
            <w:shd w:val="clear" w:color="auto" w:fill="B5C0D8"/>
          </w:tcPr>
          <w:p w:rsidR="00D849AA" w:rsidRPr="00D61DA2" w:rsidRDefault="00EE6D95">
            <w:pPr>
              <w:pStyle w:val="CellHeader"/>
            </w:pPr>
            <w:r w:rsidRPr="00D61DA2">
              <w:t>Plan 2015.</w:t>
            </w:r>
          </w:p>
        </w:tc>
        <w:tc>
          <w:tcPr>
            <w:tcW w:w="1486" w:type="dxa"/>
            <w:shd w:val="clear" w:color="auto" w:fill="B5C0D8"/>
          </w:tcPr>
          <w:p w:rsidR="00D849AA" w:rsidRPr="00D61DA2" w:rsidRDefault="00EE6D95">
            <w:pPr>
              <w:pStyle w:val="CellHeader"/>
            </w:pPr>
            <w:r w:rsidRPr="00D61DA2">
              <w:t>Plan 2016.</w:t>
            </w:r>
          </w:p>
        </w:tc>
        <w:tc>
          <w:tcPr>
            <w:tcW w:w="1486" w:type="dxa"/>
            <w:shd w:val="clear" w:color="auto" w:fill="B5C0D8"/>
          </w:tcPr>
          <w:p w:rsidR="00D849AA" w:rsidRPr="00D61DA2" w:rsidRDefault="00EE6D95">
            <w:pPr>
              <w:pStyle w:val="CellHeader"/>
            </w:pPr>
            <w:r w:rsidRPr="00D61DA2">
              <w:t>Indeks 2014/2013</w:t>
            </w:r>
          </w:p>
        </w:tc>
      </w:tr>
      <w:tr w:rsidR="00D849AA" w:rsidRPr="00D61DA2">
        <w:trPr>
          <w:jc w:val="center"/>
        </w:trPr>
        <w:tc>
          <w:tcPr>
            <w:tcW w:w="1486" w:type="dxa"/>
          </w:tcPr>
          <w:p w:rsidR="00D849AA" w:rsidRPr="00D61DA2" w:rsidRDefault="00EE6D95">
            <w:pPr>
              <w:pStyle w:val="CellColumn"/>
            </w:pPr>
            <w:r w:rsidRPr="00D61DA2">
              <w:t>K784019</w:t>
            </w:r>
          </w:p>
        </w:tc>
        <w:tc>
          <w:tcPr>
            <w:tcW w:w="1486" w:type="dxa"/>
          </w:tcPr>
          <w:p w:rsidR="00D849AA" w:rsidRPr="00D61DA2" w:rsidRDefault="00EE6D95">
            <w:pPr>
              <w:rPr>
                <w:rFonts w:ascii="Arial" w:hAnsi="Arial" w:cs="Arial"/>
              </w:rPr>
            </w:pPr>
            <w:r w:rsidRPr="00D61DA2">
              <w:rPr>
                <w:rFonts w:ascii="Arial" w:hAnsi="Arial" w:cs="Arial"/>
              </w:rPr>
              <w:t>00</w:t>
            </w:r>
          </w:p>
        </w:tc>
        <w:tc>
          <w:tcPr>
            <w:tcW w:w="1486" w:type="dxa"/>
          </w:tcPr>
          <w:p w:rsidR="00D849AA" w:rsidRPr="00D61DA2" w:rsidRDefault="00EE6D95">
            <w:pPr>
              <w:rPr>
                <w:rFonts w:ascii="Arial" w:hAnsi="Arial" w:cs="Arial"/>
              </w:rPr>
            </w:pPr>
            <w:r w:rsidRPr="00D61DA2">
              <w:rPr>
                <w:rFonts w:ascii="Arial" w:hAnsi="Arial" w:cs="Arial"/>
              </w:rPr>
              <w:t>687.500</w:t>
            </w:r>
          </w:p>
        </w:tc>
        <w:tc>
          <w:tcPr>
            <w:tcW w:w="1486" w:type="dxa"/>
          </w:tcPr>
          <w:p w:rsidR="00D849AA" w:rsidRPr="00D61DA2" w:rsidRDefault="00EE6D95">
            <w:pPr>
              <w:rPr>
                <w:rFonts w:ascii="Arial" w:hAnsi="Arial" w:cs="Arial"/>
              </w:rPr>
            </w:pPr>
            <w:r w:rsidRPr="00D61DA2">
              <w:rPr>
                <w:rFonts w:ascii="Arial" w:hAnsi="Arial" w:cs="Arial"/>
              </w:rPr>
              <w:t>687.500</w:t>
            </w:r>
          </w:p>
        </w:tc>
        <w:tc>
          <w:tcPr>
            <w:tcW w:w="1486" w:type="dxa"/>
          </w:tcPr>
          <w:p w:rsidR="00D849AA" w:rsidRPr="00D61DA2" w:rsidRDefault="00EE6D95">
            <w:pPr>
              <w:rPr>
                <w:rFonts w:ascii="Arial" w:hAnsi="Arial" w:cs="Arial"/>
              </w:rPr>
            </w:pPr>
            <w:r w:rsidRPr="00D61DA2">
              <w:rPr>
                <w:rFonts w:ascii="Arial" w:hAnsi="Arial" w:cs="Arial"/>
              </w:rPr>
              <w:t>00</w:t>
            </w:r>
          </w:p>
        </w:tc>
        <w:tc>
          <w:tcPr>
            <w:tcW w:w="1486" w:type="dxa"/>
          </w:tcPr>
          <w:p w:rsidR="00D849AA" w:rsidRPr="00D61DA2" w:rsidRDefault="00EE6D95">
            <w:pPr>
              <w:rPr>
                <w:rFonts w:ascii="Arial" w:hAnsi="Arial" w:cs="Arial"/>
              </w:rPr>
            </w:pPr>
            <w:r w:rsidRPr="00D61DA2">
              <w:rPr>
                <w:rFonts w:ascii="Arial" w:hAnsi="Arial" w:cs="Arial"/>
              </w:rPr>
              <w:t>0,0</w:t>
            </w:r>
          </w:p>
        </w:tc>
      </w:tr>
    </w:tbl>
    <w:p w:rsidR="00D849AA" w:rsidRPr="00D61DA2" w:rsidRDefault="00D849AA">
      <w:pPr>
        <w:jc w:val="left"/>
        <w:rPr>
          <w:rFonts w:ascii="Arial" w:hAnsi="Arial" w:cs="Arial"/>
        </w:rPr>
      </w:pPr>
    </w:p>
    <w:p w:rsidR="00D849AA" w:rsidRDefault="00EE6D95">
      <w:pPr>
        <w:pStyle w:val="Normal6"/>
      </w:pPr>
      <w:r>
        <w:t xml:space="preserve">Provedba projekta Globalnog fonda za okoliš – (GEF), "Integracija klimatske varijabilnosti i promjene u nacionalne strategije za primjenu sredozemnog protokola o Integralnom upravljanju obalnim područjem ” siječanj 2012. – lipanj 2014. </w:t>
      </w:r>
    </w:p>
    <w:p w:rsidR="00D849AA" w:rsidRDefault="00EE6D95">
      <w:pPr>
        <w:pStyle w:val="Normal6"/>
      </w:pPr>
      <w:r>
        <w:t xml:space="preserve">Projekt će financirati GEF. Projekt je važan za ispunjavanje obveza iz Konvencije.   </w:t>
      </w:r>
    </w:p>
    <w:p w:rsidR="00D849AA" w:rsidRDefault="00EE6D95">
      <w:pPr>
        <w:pStyle w:val="Normal6"/>
      </w:pPr>
      <w:r>
        <w:t xml:space="preserve">Prihvaćanjem sudjelovanja u ovom projektu Republika Hrvatska započinje proces revizije u skladu s obvezama iz Stockholmske konvencije.   </w:t>
      </w:r>
    </w:p>
    <w:p w:rsidR="00D849AA" w:rsidRDefault="00EE6D95">
      <w:pPr>
        <w:pStyle w:val="Normal6"/>
      </w:pPr>
      <w:r>
        <w:t>Predviđeno trajanje projekta je dvije godine. Sredstva za ovu vrstu projekta (tzv. enabling activity) za Republiku Hrvatsku iznose 220.000 USD. Ministarstvo zaštite okoliša i prirode kao kontaktna točka u Republici Hrvatskoj za GEF i Stockholmsku konvenciju je korisnik projekta.</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Dovršenje projekata</w:t>
            </w:r>
          </w:p>
        </w:tc>
        <w:tc>
          <w:tcPr>
            <w:tcW w:w="1114" w:type="dxa"/>
          </w:tcPr>
          <w:p w:rsidR="00D849AA" w:rsidRDefault="00EE6D95">
            <w:r>
              <w:t>broj</w:t>
            </w:r>
          </w:p>
        </w:tc>
        <w:tc>
          <w:tcPr>
            <w:tcW w:w="1114" w:type="dxa"/>
          </w:tcPr>
          <w:p w:rsidR="00D849AA" w:rsidRDefault="00EE6D95">
            <w:r>
              <w:t>3</w:t>
            </w:r>
          </w:p>
        </w:tc>
        <w:tc>
          <w:tcPr>
            <w:tcW w:w="1486" w:type="dxa"/>
          </w:tcPr>
          <w:p w:rsidR="00D849AA" w:rsidRDefault="00EE6D95">
            <w:r>
              <w:t>5</w:t>
            </w:r>
          </w:p>
        </w:tc>
        <w:tc>
          <w:tcPr>
            <w:tcW w:w="1486" w:type="dxa"/>
          </w:tcPr>
          <w:p w:rsidR="00D849AA" w:rsidRDefault="00EE6D95">
            <w:r>
              <w:t>1</w:t>
            </w:r>
          </w:p>
        </w:tc>
        <w:tc>
          <w:tcPr>
            <w:tcW w:w="1486" w:type="dxa"/>
          </w:tcPr>
          <w:p w:rsidR="00D849AA" w:rsidRDefault="00EE6D95">
            <w:r>
              <w:t>1</w:t>
            </w:r>
          </w:p>
        </w:tc>
      </w:tr>
    </w:tbl>
    <w:p w:rsidR="00D849AA" w:rsidRDefault="00EE6D95">
      <w:pPr>
        <w:pStyle w:val="Naslov6"/>
      </w:pPr>
      <w:r>
        <w:lastRenderedPageBreak/>
        <w:t>T784012 IPA 2011 FFRAC -JAČANJE KAPACITETA INSPEKCIJE ZAŠTITE OKOLIŠA I PREDSTAVNIKA NADLEŽNIH DRŽAVNIH TIJELA I DRUGIH INSTITUCIJA ZA SPREČAVANJE,PREPOZNAVANJE,ISTRAGE I PROCESUIRANJA U SLUČAJEVIMA DIJELA PROTIV OKOLIŠA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T784012</w:t>
            </w:r>
          </w:p>
        </w:tc>
        <w:tc>
          <w:tcPr>
            <w:tcW w:w="1486" w:type="dxa"/>
          </w:tcPr>
          <w:p w:rsidR="00D849AA" w:rsidRDefault="00EE6D95">
            <w:r>
              <w:t>1.435.560</w:t>
            </w:r>
          </w:p>
        </w:tc>
        <w:tc>
          <w:tcPr>
            <w:tcW w:w="1486" w:type="dxa"/>
          </w:tcPr>
          <w:p w:rsidR="00D849AA" w:rsidRDefault="00EE6D95">
            <w:r>
              <w:t>1.435.560</w:t>
            </w:r>
          </w:p>
        </w:tc>
        <w:tc>
          <w:tcPr>
            <w:tcW w:w="1486" w:type="dxa"/>
          </w:tcPr>
          <w:p w:rsidR="00D849AA" w:rsidRDefault="00EE6D95">
            <w:r>
              <w:t>00</w:t>
            </w:r>
          </w:p>
        </w:tc>
        <w:tc>
          <w:tcPr>
            <w:tcW w:w="1486" w:type="dxa"/>
          </w:tcPr>
          <w:p w:rsidR="00D849AA" w:rsidRDefault="00EE6D95">
            <w:r>
              <w:t>00</w:t>
            </w:r>
          </w:p>
        </w:tc>
        <w:tc>
          <w:tcPr>
            <w:tcW w:w="1486" w:type="dxa"/>
          </w:tcPr>
          <w:p w:rsidR="00D849AA" w:rsidRDefault="00EE6D95">
            <w:r>
              <w:t>100,0</w:t>
            </w:r>
          </w:p>
        </w:tc>
      </w:tr>
    </w:tbl>
    <w:p w:rsidR="00D849AA" w:rsidRDefault="00D849AA">
      <w:pPr>
        <w:jc w:val="left"/>
      </w:pPr>
    </w:p>
    <w:p w:rsidR="00D849AA" w:rsidRDefault="00EE6D95">
      <w:pPr>
        <w:pStyle w:val="Normal6"/>
      </w:pPr>
      <w:r>
        <w:t xml:space="preserve">U tijeku je priprema twinning light projekt iz IPA 2011 I Komponente FFRAC programa  pod nazivom „Jačanje kapaciteta inspekcije zaštite okoliša i predstavnika nadležnih državnih tijela i drugih institucija za sprečavanje, prepoznavanje, istragu i procesuiranja u slučajevima dijela protiv okoliša“. Očekivani početak provedbe projekta je 2014. godina. </w:t>
      </w:r>
    </w:p>
    <w:p w:rsidR="00D849AA" w:rsidRDefault="00EE6D95">
      <w:pPr>
        <w:pStyle w:val="Normal6"/>
      </w:pPr>
      <w:r>
        <w:t>Cilj projekta je podrška Ministarstvu zaštite okoliša i prirode u jačanju kapaciteta inspekcije zaštite okoliša i drugih ključnih dionika u borbi protiv kaznenih djela protiv okoliša u Republici Hrvatskoj.</w:t>
      </w:r>
    </w:p>
    <w:p w:rsidR="00D849AA" w:rsidRDefault="00EE6D95">
      <w:pPr>
        <w:pStyle w:val="Naslov6"/>
      </w:pPr>
      <w:r>
        <w:t>T784016 PROJEKT IZRADA PODLOGA ZA NISKOUGLJIČNU STRATEGIJU-LOCSEE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T784016</w:t>
            </w:r>
          </w:p>
        </w:tc>
        <w:tc>
          <w:tcPr>
            <w:tcW w:w="1486" w:type="dxa"/>
          </w:tcPr>
          <w:p w:rsidR="00D849AA" w:rsidRDefault="00EE6D95">
            <w:r>
              <w:t>00</w:t>
            </w:r>
          </w:p>
        </w:tc>
        <w:tc>
          <w:tcPr>
            <w:tcW w:w="1486" w:type="dxa"/>
          </w:tcPr>
          <w:p w:rsidR="00D849AA" w:rsidRDefault="00EE6D95">
            <w:r>
              <w:t>400.376</w:t>
            </w:r>
          </w:p>
        </w:tc>
        <w:tc>
          <w:tcPr>
            <w:tcW w:w="1486" w:type="dxa"/>
          </w:tcPr>
          <w:p w:rsidR="00D849AA" w:rsidRDefault="00EE6D95">
            <w:r>
              <w:t>00</w:t>
            </w:r>
          </w:p>
        </w:tc>
        <w:tc>
          <w:tcPr>
            <w:tcW w:w="1486" w:type="dxa"/>
          </w:tcPr>
          <w:p w:rsidR="00D849AA" w:rsidRDefault="00EE6D95">
            <w:r>
              <w:t>00</w:t>
            </w:r>
          </w:p>
        </w:tc>
        <w:tc>
          <w:tcPr>
            <w:tcW w:w="1486" w:type="dxa"/>
          </w:tcPr>
          <w:p w:rsidR="00D849AA" w:rsidRDefault="00EE6D95">
            <w:r>
              <w:t>0,0</w:t>
            </w:r>
          </w:p>
        </w:tc>
      </w:tr>
    </w:tbl>
    <w:p w:rsidR="00D849AA" w:rsidRDefault="00D849AA">
      <w:pPr>
        <w:jc w:val="left"/>
      </w:pPr>
    </w:p>
    <w:p w:rsidR="00D849AA" w:rsidRDefault="00EE6D95">
      <w:pPr>
        <w:pStyle w:val="Normal6"/>
      </w:pPr>
      <w:r>
        <w:t>Izrada okvirne strategije niskougljičnog razvoja Republike Hrvatske započela je u okviru dosadašnje suradnje Ministarstva i UNDP-a na projektu potpore izradi Okvira za izradu stratigije niskougljičnog razvoja. U okviru projekta planira se izraditi Strategija niskougljičnog razvoja Hrvatske, prethodno započeta u okviru LEDS projekta. Glavni cilj projekta je razvoj politike i mjera smanjenja emisija stakleničkih plinova u sektorima koji su izvan sustava trgovanja emisijama korištenjem najnovijih tehnologija. Projektom su predviđene aktivnosti koje se navode kao prioriteti za financiranje u okviru strukturnih fondova. Iako apliciramo za IPA sredstva, projekt bi se počeo provoditi od 2014. godine. Projekt ima komponentu nabave snažnih kompjutera i računalnih programa kojima se može provesti modeliranje ta komponentu tehničke pomoći. Projekt ima komponentu nabave snažnih kompjutera i računalnih programa kojima se može provesti modeliranje ta komponentu tehničke pomoći u okviru koje se planira provesti klimatsko modeliranje, izrada scenarija promjene klime po sektorima, procjena mjera prilagodbe te izrada same Strategije.</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Dovršenje projekata</w:t>
            </w:r>
          </w:p>
        </w:tc>
        <w:tc>
          <w:tcPr>
            <w:tcW w:w="1114" w:type="dxa"/>
          </w:tcPr>
          <w:p w:rsidR="00D849AA" w:rsidRDefault="00EE6D95">
            <w:r>
              <w:t>BROJ</w:t>
            </w:r>
          </w:p>
        </w:tc>
        <w:tc>
          <w:tcPr>
            <w:tcW w:w="1114" w:type="dxa"/>
          </w:tcPr>
          <w:p w:rsidR="00D849AA" w:rsidRDefault="00EE6D95">
            <w:r>
              <w:t>3</w:t>
            </w:r>
          </w:p>
        </w:tc>
        <w:tc>
          <w:tcPr>
            <w:tcW w:w="1486" w:type="dxa"/>
          </w:tcPr>
          <w:p w:rsidR="00D849AA" w:rsidRDefault="00EE6D95">
            <w:r>
              <w:t>5</w:t>
            </w:r>
          </w:p>
        </w:tc>
        <w:tc>
          <w:tcPr>
            <w:tcW w:w="1486" w:type="dxa"/>
          </w:tcPr>
          <w:p w:rsidR="00D849AA" w:rsidRDefault="00EE6D95">
            <w:r>
              <w:t>1</w:t>
            </w:r>
          </w:p>
        </w:tc>
        <w:tc>
          <w:tcPr>
            <w:tcW w:w="1486" w:type="dxa"/>
          </w:tcPr>
          <w:p w:rsidR="00D849AA" w:rsidRDefault="00EE6D95">
            <w:r>
              <w:t>1</w:t>
            </w:r>
          </w:p>
        </w:tc>
      </w:tr>
    </w:tbl>
    <w:p w:rsidR="00D849AA" w:rsidRDefault="00D849AA">
      <w:pPr>
        <w:jc w:val="left"/>
      </w:pPr>
    </w:p>
    <w:p w:rsidR="00D61DA2" w:rsidRDefault="00D61DA2" w:rsidP="00D61DA2">
      <w:pPr>
        <w:pStyle w:val="Naslov4"/>
      </w:pPr>
      <w:r>
        <w:lastRenderedPageBreak/>
        <w:t>OBRAZLOŽENJE PROGRAMA</w:t>
      </w:r>
    </w:p>
    <w:p w:rsidR="00D849AA" w:rsidRDefault="00EE6D95">
      <w:pPr>
        <w:pStyle w:val="Naslov5"/>
      </w:pPr>
      <w:r>
        <w:t>3405 GOSPODARENJE OTPADOM</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3405</w:t>
            </w:r>
          </w:p>
        </w:tc>
        <w:tc>
          <w:tcPr>
            <w:tcW w:w="1486" w:type="dxa"/>
          </w:tcPr>
          <w:p w:rsidR="00D849AA" w:rsidRDefault="00EE6D95">
            <w:r>
              <w:t>112.781.360</w:t>
            </w:r>
          </w:p>
        </w:tc>
        <w:tc>
          <w:tcPr>
            <w:tcW w:w="1486" w:type="dxa"/>
          </w:tcPr>
          <w:p w:rsidR="00D849AA" w:rsidRDefault="00EE6D95">
            <w:r>
              <w:t>290.903.260</w:t>
            </w:r>
          </w:p>
        </w:tc>
        <w:tc>
          <w:tcPr>
            <w:tcW w:w="1486" w:type="dxa"/>
          </w:tcPr>
          <w:p w:rsidR="00D849AA" w:rsidRDefault="00EE6D95">
            <w:r>
              <w:t>75.157.469</w:t>
            </w:r>
          </w:p>
        </w:tc>
        <w:tc>
          <w:tcPr>
            <w:tcW w:w="1486" w:type="dxa"/>
          </w:tcPr>
          <w:p w:rsidR="00D849AA" w:rsidRDefault="00EE6D95">
            <w:r>
              <w:t>91.693.703</w:t>
            </w:r>
          </w:p>
        </w:tc>
        <w:tc>
          <w:tcPr>
            <w:tcW w:w="1486" w:type="dxa"/>
          </w:tcPr>
          <w:p w:rsidR="00D849AA" w:rsidRDefault="00EE6D95">
            <w:r>
              <w:t>257,9</w:t>
            </w:r>
          </w:p>
        </w:tc>
      </w:tr>
    </w:tbl>
    <w:p w:rsidR="00D849AA" w:rsidRDefault="00D849AA">
      <w:pPr>
        <w:jc w:val="left"/>
      </w:pPr>
    </w:p>
    <w:p w:rsidR="00D849AA" w:rsidRDefault="00EE6D95">
      <w:pPr>
        <w:pStyle w:val="Naslov6"/>
      </w:pPr>
      <w:r>
        <w:t>Opis programa</w:t>
      </w:r>
    </w:p>
    <w:p w:rsidR="00D849AA" w:rsidRDefault="00EE6D95">
      <w:pPr>
        <w:pStyle w:val="Normal5"/>
      </w:pPr>
      <w:r>
        <w:t>Neodgovarajuće gospodarenje otpadom najveći je problem zaštite okoliša u Hrvatskoj. Potencijalno najveće štetno djelovanje može izazvati otpad (uključujući i opasni otpad) koji se gomila kod posjednika otpada zbog mogućeg rizika za okoliš i ljudsko zdravlje. Prepoznat kao glavni izazov i problem zahtijeva i najveće napore Ministarstva za njegovo djelotvorno rješenje.</w:t>
      </w:r>
    </w:p>
    <w:p w:rsidR="00D849AA" w:rsidRDefault="00EE6D95">
      <w:pPr>
        <w:pStyle w:val="Naslov6"/>
      </w:pPr>
      <w:r>
        <w:t>Zakonske i druge pravne osnove</w:t>
      </w:r>
    </w:p>
    <w:p w:rsidR="00D849AA" w:rsidRDefault="00EE6D95">
      <w:pPr>
        <w:pStyle w:val="Normal5"/>
      </w:pPr>
      <w:r>
        <w:t xml:space="preserve">1.Zakon o održivom gospodarenju otpadom (Narodne novine, broj 94/13); </w:t>
      </w:r>
    </w:p>
    <w:p w:rsidR="00D849AA" w:rsidRDefault="00EE6D95">
      <w:pPr>
        <w:pStyle w:val="Normal5"/>
      </w:pPr>
      <w:r>
        <w:t xml:space="preserve">2. Strategija gospodarenja otpadom Republike Hrvatske (Narodne novine, broj 130/05); </w:t>
      </w:r>
    </w:p>
    <w:p w:rsidR="00D849AA" w:rsidRDefault="00EE6D95">
      <w:pPr>
        <w:pStyle w:val="Normal5"/>
      </w:pPr>
      <w:r>
        <w:t xml:space="preserve">3. Uredba o kategorijama, vrstama i klasifikaciji otpada s katalogom otpada i listom opasnog otpada ( Narodne novine, broj 50/05, 39/09); </w:t>
      </w:r>
    </w:p>
    <w:p w:rsidR="00D849AA" w:rsidRDefault="00EE6D95">
      <w:pPr>
        <w:pStyle w:val="Normal5"/>
      </w:pPr>
      <w:r>
        <w:t>4. Pravilnik o gospodarenju otpadom (Narodne novine, broj 23/07, 111/07).</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 xml:space="preserve">Cilj 1. Osigurati preduvjete za uspostavu cjelovitog sustava gospodarenja otpadom </w:t>
      </w:r>
    </w:p>
    <w:p w:rsidR="00D849AA" w:rsidRDefault="00EE6D95">
      <w:pPr>
        <w:pStyle w:val="Normal6"/>
      </w:pPr>
      <w:r>
        <w:t xml:space="preserve">Od ukupnih godišnjih količina otpada koji nastaje na teritoriju Republike Hrvatske, 53% se odnosi na otpad iz poljoprivrede i šumarstva, 20% na građevinski otpad, 12% na otpad iz industrije i rudarstva, 9% na komunalni otpad, 2% na odvojeno skupljeni otpad, 1% na opasni otpad te 3% na ostali otpad. </w:t>
      </w:r>
    </w:p>
    <w:p w:rsidR="00D849AA" w:rsidRDefault="00EE6D95">
      <w:pPr>
        <w:pStyle w:val="Normal6"/>
      </w:pPr>
      <w:r>
        <w:t>U Hrvatskoj će se zakonodavni dio sustava gospodarenja otpadom odrediti novim Zakonom o otpadu koji će biti usklađen s okvirnom Direktivom o otpadu 2008/98EZ. Temeljni princip novog zakona će biti uvođenje tzv. Reda prvenstva gospodarenja otpadom (Hijerarhije otpada) i potpuno novi princip u upravljanju otpadom s naglaskom na odvajanje otpada na mjestu nastanka/prevenciju gdje recikliranje ima prednost pred drugim postupcima oporabe npr. energetske oporaba te zbrinjavanja, a ujedno omogućava gospodarenje otpadom prihvatljivo i sa aspekta učinkovitog gospodarstva i otvaranja novih radnih mjesta. Odvajanje otpada na mjestu nastanka postavlja se kao temeljni preduvjet za pokretanje zelenog gospodarstva s ciljem da se potakne recikliranje otpadnih materijala i smanji količina otpada koji se do sada zbrinjavao na odlagalištima što će posredno smanjiti broj potrebnijih odlagališta. Za uspješnu provedbu navedenih mjera potrebno je razviti odgovarajuću infrastrukturu te uložiti u edukaciju i aktivnosti podizanja svijesti svih dionika u društvu i javnosti.</w:t>
      </w:r>
    </w:p>
    <w:p w:rsidR="00D61DA2" w:rsidRDefault="00D61DA2">
      <w:pPr>
        <w:pStyle w:val="Normal6"/>
      </w:pPr>
    </w:p>
    <w:p w:rsidR="00D61DA2" w:rsidRDefault="00D61DA2">
      <w:pPr>
        <w:pStyle w:val="Normal6"/>
      </w:pPr>
    </w:p>
    <w:p w:rsidR="00D849AA" w:rsidRDefault="00EE6D95">
      <w:pPr>
        <w:pStyle w:val="Naslov8"/>
        <w:jc w:val="left"/>
      </w:pPr>
      <w:r>
        <w:lastRenderedPageBreak/>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Povećanje postotka ostvarenih ciljeva propisanih pravilnicima i Operativnim programom</w:t>
            </w:r>
          </w:p>
        </w:tc>
        <w:tc>
          <w:tcPr>
            <w:tcW w:w="1114" w:type="dxa"/>
          </w:tcPr>
          <w:p w:rsidR="00D849AA" w:rsidRDefault="00EE6D95">
            <w:r>
              <w:t>%</w:t>
            </w:r>
          </w:p>
        </w:tc>
        <w:tc>
          <w:tcPr>
            <w:tcW w:w="1114" w:type="dxa"/>
          </w:tcPr>
          <w:p w:rsidR="00D849AA" w:rsidRDefault="00EE6D95">
            <w:r>
              <w:t>35</w:t>
            </w:r>
          </w:p>
        </w:tc>
        <w:tc>
          <w:tcPr>
            <w:tcW w:w="1486" w:type="dxa"/>
          </w:tcPr>
          <w:p w:rsidR="00D849AA" w:rsidRDefault="00EE6D95">
            <w:r>
              <w:t>40</w:t>
            </w:r>
          </w:p>
        </w:tc>
        <w:tc>
          <w:tcPr>
            <w:tcW w:w="1486" w:type="dxa"/>
          </w:tcPr>
          <w:p w:rsidR="00D849AA" w:rsidRDefault="00EE6D95">
            <w:r>
              <w:t>45</w:t>
            </w:r>
          </w:p>
        </w:tc>
        <w:tc>
          <w:tcPr>
            <w:tcW w:w="1486" w:type="dxa"/>
          </w:tcPr>
          <w:p w:rsidR="00D849AA" w:rsidRDefault="00EE6D95">
            <w:r>
              <w:t>50</w:t>
            </w:r>
          </w:p>
        </w:tc>
      </w:tr>
    </w:tbl>
    <w:p w:rsidR="00D849AA" w:rsidRDefault="00D849AA">
      <w:pPr>
        <w:jc w:val="left"/>
      </w:pPr>
    </w:p>
    <w:p w:rsidR="00D849AA" w:rsidRDefault="00EE6D95">
      <w:pPr>
        <w:pStyle w:val="Naslov5"/>
      </w:pPr>
      <w:r>
        <w:t>Procjena i ishodište potrebnih sredstava za značajnije aktivnosti/projekte</w:t>
      </w:r>
    </w:p>
    <w:p w:rsidR="00D849AA" w:rsidRDefault="00EE6D95">
      <w:pPr>
        <w:pStyle w:val="Naslov6"/>
      </w:pPr>
      <w:r>
        <w:t>A576263 IPA I 2009 JAČANJE KAPACITETA ZA NADZOR PREKOGRANIČNOG PROMETA OTPADOM</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A576263</w:t>
            </w:r>
          </w:p>
        </w:tc>
        <w:tc>
          <w:tcPr>
            <w:tcW w:w="1486" w:type="dxa"/>
          </w:tcPr>
          <w:p w:rsidR="00D849AA" w:rsidRDefault="00EE6D95">
            <w:r>
              <w:t>3.904.232</w:t>
            </w:r>
          </w:p>
        </w:tc>
        <w:tc>
          <w:tcPr>
            <w:tcW w:w="1486" w:type="dxa"/>
          </w:tcPr>
          <w:p w:rsidR="00D849AA" w:rsidRDefault="00EE6D95">
            <w:r>
              <w:t>881.600</w:t>
            </w:r>
          </w:p>
        </w:tc>
        <w:tc>
          <w:tcPr>
            <w:tcW w:w="1486" w:type="dxa"/>
          </w:tcPr>
          <w:p w:rsidR="00D849AA" w:rsidRDefault="00EE6D95">
            <w:r>
              <w:t>00</w:t>
            </w:r>
          </w:p>
        </w:tc>
        <w:tc>
          <w:tcPr>
            <w:tcW w:w="1486" w:type="dxa"/>
          </w:tcPr>
          <w:p w:rsidR="00D849AA" w:rsidRDefault="00EE6D95">
            <w:r>
              <w:t>00</w:t>
            </w:r>
          </w:p>
        </w:tc>
        <w:tc>
          <w:tcPr>
            <w:tcW w:w="1486" w:type="dxa"/>
          </w:tcPr>
          <w:p w:rsidR="00D849AA" w:rsidRDefault="00EE6D95">
            <w:r>
              <w:t>22,6</w:t>
            </w:r>
          </w:p>
        </w:tc>
      </w:tr>
    </w:tbl>
    <w:p w:rsidR="00D849AA" w:rsidRDefault="00D849AA">
      <w:pPr>
        <w:jc w:val="left"/>
      </w:pPr>
    </w:p>
    <w:p w:rsidR="00D849AA" w:rsidRDefault="00EE6D95">
      <w:pPr>
        <w:pStyle w:val="Normal6"/>
      </w:pPr>
      <w:r>
        <w:t xml:space="preserve">Provedba twinning projekta uključuje program obuke za jačanje kapaciteta svih sudionika uključenih u kontrolu prekograničnog prometa otpada. Zemlja partner je Austrija, a provedba projekta je započela 1. lipnja 2012. godine, s predviđenim trajanjem od 21 mjesec. Vrijednost projekta je 1.160.000 eura, od čega se iz IPA fonda pokriva 95%, a preostalih 5% se odnosi na hrvatsko nacionalno sufinanciranje. </w:t>
      </w:r>
    </w:p>
    <w:p w:rsidR="00D849AA" w:rsidRDefault="00EE6D95">
      <w:pPr>
        <w:pStyle w:val="Normal6"/>
      </w:pPr>
      <w:r>
        <w:t xml:space="preserve">Uz Ministarstvo zaštite okoliša i prirode kao glavnog korisnika projekta, ključni dionici ovog projekta su: Ministarstvo financija, Carinska uprava; Ministarstvo unutarnjih poslova, Granična policija; Ministarstvo pomorstva, prometa i infrastrukture, Uprava sigurnosti plovidbe; Ministarstvo obrane, Obalna straža; te Državni zavod za radiološku i nuklearnu sigurnost.  </w:t>
      </w:r>
    </w:p>
    <w:p w:rsidR="00D849AA" w:rsidRDefault="00EE6D95">
      <w:pPr>
        <w:pStyle w:val="Normal6"/>
      </w:pPr>
      <w:r>
        <w:t xml:space="preserve">Cilj projekta je poticati implementaciju okolišnog acquis-a putem učinkovite provedbe odredbi nacionalnog i međunarodnog zakonodavstva koje se odnosi na prekogranični promet otpadom. Projektne aktivnosti podijeljene su u 3 osnovna tematska područja - komponente: </w:t>
      </w:r>
    </w:p>
    <w:p w:rsidR="00D849AA" w:rsidRDefault="00EE6D95">
      <w:pPr>
        <w:pStyle w:val="Normal6"/>
      </w:pPr>
      <w:r>
        <w:t xml:space="preserve">- Komponenta 1 – Razvoj postupaka za koordiniranu provedbu propisa vezano za prekogranični promet otpadom te izrada pripadajućih materijala (priručnik, katalog otpada); </w:t>
      </w:r>
    </w:p>
    <w:p w:rsidR="00D849AA" w:rsidRDefault="00EE6D95">
      <w:pPr>
        <w:pStyle w:val="Normal6"/>
      </w:pPr>
      <w:r>
        <w:t xml:space="preserve">- Komponenta 2 – Jačanje kapaciteta inspektora zaštite okoliša i drugih dionika projekta za koordiniranu provedbu propisa vezano za prekogranični promet otpadom; </w:t>
      </w:r>
    </w:p>
    <w:p w:rsidR="00D849AA" w:rsidRDefault="00EE6D95">
      <w:pPr>
        <w:pStyle w:val="Normal6"/>
      </w:pPr>
      <w:r>
        <w:t>- Komponenta 3 – Unapređenje suradnje s projektnim partnerima te Interpolom i Europolom.</w:t>
      </w:r>
    </w:p>
    <w:p w:rsidR="00D61DA2" w:rsidRDefault="00D61DA2">
      <w:pPr>
        <w:pStyle w:val="Normal6"/>
      </w:pPr>
    </w:p>
    <w:p w:rsidR="00D61DA2" w:rsidRDefault="00D61DA2">
      <w:pPr>
        <w:pStyle w:val="Normal6"/>
      </w:pPr>
    </w:p>
    <w:p w:rsidR="00D849AA" w:rsidRDefault="00EE6D95">
      <w:pPr>
        <w:pStyle w:val="Naslov6"/>
      </w:pPr>
      <w:r>
        <w:lastRenderedPageBreak/>
        <w:t>K784020 OPERATIVNI PROGRAM OKOLIŠ, PRIORITET 1 I 3</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K784020</w:t>
            </w:r>
          </w:p>
        </w:tc>
        <w:tc>
          <w:tcPr>
            <w:tcW w:w="1486" w:type="dxa"/>
          </w:tcPr>
          <w:p w:rsidR="00D849AA" w:rsidRDefault="00EE6D95">
            <w:r>
              <w:t>00</w:t>
            </w:r>
          </w:p>
        </w:tc>
        <w:tc>
          <w:tcPr>
            <w:tcW w:w="1486" w:type="dxa"/>
          </w:tcPr>
          <w:p w:rsidR="00D849AA" w:rsidRDefault="00EE6D95">
            <w:r>
              <w:t>289.451.660</w:t>
            </w:r>
          </w:p>
        </w:tc>
        <w:tc>
          <w:tcPr>
            <w:tcW w:w="1486" w:type="dxa"/>
          </w:tcPr>
          <w:p w:rsidR="00D849AA" w:rsidRDefault="00EE6D95">
            <w:r>
              <w:t>74.887.469</w:t>
            </w:r>
          </w:p>
        </w:tc>
        <w:tc>
          <w:tcPr>
            <w:tcW w:w="1486" w:type="dxa"/>
          </w:tcPr>
          <w:p w:rsidR="00D849AA" w:rsidRDefault="00EE6D95">
            <w:r>
              <w:t>91.573.703</w:t>
            </w:r>
          </w:p>
        </w:tc>
        <w:tc>
          <w:tcPr>
            <w:tcW w:w="1486" w:type="dxa"/>
          </w:tcPr>
          <w:p w:rsidR="00D849AA" w:rsidRDefault="00EE6D95">
            <w:r>
              <w:t>0,0</w:t>
            </w:r>
          </w:p>
        </w:tc>
      </w:tr>
    </w:tbl>
    <w:p w:rsidR="00D849AA" w:rsidRDefault="00D849AA">
      <w:pPr>
        <w:jc w:val="left"/>
      </w:pPr>
    </w:p>
    <w:p w:rsidR="00D849AA" w:rsidRDefault="00EE6D95">
      <w:pPr>
        <w:pStyle w:val="Normal6"/>
      </w:pPr>
      <w:r>
        <w:t xml:space="preserve">U okviru Prioritetne osi 3. Operativni program Zaštita okoliša nastavlja se provedba mjere 3.1. Upravljanje Operativnim programom i izgradnja sposobnosti. Cilj ove mjere je osigurati učinkovito i djelotvorno upravljanje OPZO-om, te razviti kapacitete za upravljanje IPA-om i apsorpciju IPA sredstava. </w:t>
      </w:r>
    </w:p>
    <w:p w:rsidR="00D849AA" w:rsidRDefault="00EE6D95">
      <w:pPr>
        <w:pStyle w:val="Normal6"/>
      </w:pPr>
      <w:r>
        <w:t xml:space="preserve">Korisnici EU sredstava za tehničku pomoć su: Ministarstvo zaštite okoliša i prirode, Ministarstvo poljoprivrede, FZOEU, Hrvatske vode, Središnja agencija za financiranje i ugovaranje programa i projekata Europske unije, a planirano je i financiranje projekta tehničke pomoći za Državni zavod za zaštitu prirode. </w:t>
      </w:r>
    </w:p>
    <w:p w:rsidR="00D849AA" w:rsidRDefault="00EE6D95">
      <w:pPr>
        <w:pStyle w:val="Normal6"/>
      </w:pPr>
      <w:r>
        <w:t>U okviru Prioritetne osi 1. OPZO-a nastavlja se provedba mjere 1.1. Uspostava novih centara za gospodarenje otpadom na županijskoj/regionalnoj razini i mjere 1.2. Sanacija lokacija visokoonečišćenih otpadom (crne točke). Opći cilj ovih mjera je izgradnja centara za gospodarenje otpadom (CGO), koji će zamijeniti postojeća odlagališta, sanacija i zatvaranje lokacija visokoonečišćenih otpadom te izrada tehničke dokumentacije za pripremu projekata izgradnje CGO-a i sanacije odlagališta.</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D61DA2" w:rsidRDefault="00EE6D95">
            <w:pPr>
              <w:rPr>
                <w:rFonts w:ascii="Arial" w:hAnsi="Arial" w:cs="Arial"/>
              </w:rPr>
            </w:pPr>
            <w:r w:rsidRPr="00D61DA2">
              <w:rPr>
                <w:rFonts w:ascii="Arial" w:hAnsi="Arial" w:cs="Arial"/>
              </w:rPr>
              <w:t>Pokazatelj rezultata</w:t>
            </w:r>
          </w:p>
        </w:tc>
        <w:tc>
          <w:tcPr>
            <w:tcW w:w="1114" w:type="dxa"/>
            <w:shd w:val="clear" w:color="auto" w:fill="B5C0D8"/>
          </w:tcPr>
          <w:p w:rsidR="00D849AA" w:rsidRPr="00D61DA2" w:rsidRDefault="00EE6D95">
            <w:pPr>
              <w:pStyle w:val="CellHeader"/>
            </w:pPr>
            <w:r w:rsidRPr="00D61DA2">
              <w:t>Jedinica</w:t>
            </w:r>
          </w:p>
        </w:tc>
        <w:tc>
          <w:tcPr>
            <w:tcW w:w="1114" w:type="dxa"/>
            <w:shd w:val="clear" w:color="auto" w:fill="B5C0D8"/>
          </w:tcPr>
          <w:p w:rsidR="00D849AA" w:rsidRPr="00D61DA2" w:rsidRDefault="00EE6D95">
            <w:pPr>
              <w:pStyle w:val="CellHeader"/>
            </w:pPr>
            <w:r w:rsidRPr="00D61DA2">
              <w:t>Polazna vrijednost</w:t>
            </w:r>
          </w:p>
        </w:tc>
        <w:tc>
          <w:tcPr>
            <w:tcW w:w="1486" w:type="dxa"/>
            <w:shd w:val="clear" w:color="auto" w:fill="B5C0D8"/>
          </w:tcPr>
          <w:p w:rsidR="00D849AA" w:rsidRPr="00D61DA2" w:rsidRDefault="00EE6D95">
            <w:pPr>
              <w:pStyle w:val="CellHeader"/>
            </w:pPr>
            <w:r w:rsidRPr="00D61DA2">
              <w:t>Ciljana vrijednost (2014.)</w:t>
            </w:r>
          </w:p>
        </w:tc>
        <w:tc>
          <w:tcPr>
            <w:tcW w:w="1486" w:type="dxa"/>
            <w:shd w:val="clear" w:color="auto" w:fill="B5C0D8"/>
          </w:tcPr>
          <w:p w:rsidR="00D849AA" w:rsidRPr="00D61DA2" w:rsidRDefault="00EE6D95">
            <w:pPr>
              <w:pStyle w:val="CellHeader"/>
            </w:pPr>
            <w:r w:rsidRPr="00D61DA2">
              <w:t>Ciljana vrijednost (2015.)</w:t>
            </w:r>
          </w:p>
        </w:tc>
        <w:tc>
          <w:tcPr>
            <w:tcW w:w="1486" w:type="dxa"/>
            <w:shd w:val="clear" w:color="auto" w:fill="B5C0D8"/>
          </w:tcPr>
          <w:p w:rsidR="00D849AA" w:rsidRPr="00D61DA2" w:rsidRDefault="00EE6D95">
            <w:pPr>
              <w:pStyle w:val="CellHeader"/>
            </w:pPr>
            <w:r w:rsidRPr="00D61DA2">
              <w:t>Ciljana vrijednost (2016.)</w:t>
            </w:r>
          </w:p>
        </w:tc>
      </w:tr>
      <w:tr w:rsidR="00D849AA">
        <w:trPr>
          <w:jc w:val="center"/>
        </w:trPr>
        <w:tc>
          <w:tcPr>
            <w:tcW w:w="2229" w:type="dxa"/>
          </w:tcPr>
          <w:p w:rsidR="00D849AA" w:rsidRPr="00D61DA2" w:rsidRDefault="00EE6D95">
            <w:pPr>
              <w:pStyle w:val="CellColumn"/>
            </w:pPr>
            <w:r w:rsidRPr="00D61DA2">
              <w:t>Povećanje postotka ostvarenih ciljeva propisanih pravilnicima i Operativnim programom</w:t>
            </w:r>
          </w:p>
        </w:tc>
        <w:tc>
          <w:tcPr>
            <w:tcW w:w="1114" w:type="dxa"/>
          </w:tcPr>
          <w:p w:rsidR="00D849AA" w:rsidRPr="00D61DA2" w:rsidRDefault="00EE6D95">
            <w:pPr>
              <w:rPr>
                <w:rFonts w:ascii="Arial" w:hAnsi="Arial" w:cs="Arial"/>
              </w:rPr>
            </w:pPr>
            <w:r w:rsidRPr="00D61DA2">
              <w:rPr>
                <w:rFonts w:ascii="Arial" w:hAnsi="Arial" w:cs="Arial"/>
              </w:rPr>
              <w:t>%</w:t>
            </w:r>
          </w:p>
        </w:tc>
        <w:tc>
          <w:tcPr>
            <w:tcW w:w="1114" w:type="dxa"/>
          </w:tcPr>
          <w:p w:rsidR="00D849AA" w:rsidRPr="00D61DA2" w:rsidRDefault="00EE6D95">
            <w:pPr>
              <w:rPr>
                <w:rFonts w:ascii="Arial" w:hAnsi="Arial" w:cs="Arial"/>
              </w:rPr>
            </w:pPr>
            <w:r w:rsidRPr="00D61DA2">
              <w:rPr>
                <w:rFonts w:ascii="Arial" w:hAnsi="Arial" w:cs="Arial"/>
              </w:rPr>
              <w:t>35</w:t>
            </w:r>
          </w:p>
        </w:tc>
        <w:tc>
          <w:tcPr>
            <w:tcW w:w="1486" w:type="dxa"/>
          </w:tcPr>
          <w:p w:rsidR="00D849AA" w:rsidRPr="00D61DA2" w:rsidRDefault="00EE6D95">
            <w:pPr>
              <w:rPr>
                <w:rFonts w:ascii="Arial" w:hAnsi="Arial" w:cs="Arial"/>
              </w:rPr>
            </w:pPr>
            <w:r w:rsidRPr="00D61DA2">
              <w:rPr>
                <w:rFonts w:ascii="Arial" w:hAnsi="Arial" w:cs="Arial"/>
              </w:rPr>
              <w:t>40</w:t>
            </w:r>
          </w:p>
        </w:tc>
        <w:tc>
          <w:tcPr>
            <w:tcW w:w="1486" w:type="dxa"/>
          </w:tcPr>
          <w:p w:rsidR="00D849AA" w:rsidRPr="00D61DA2" w:rsidRDefault="00EE6D95">
            <w:pPr>
              <w:rPr>
                <w:rFonts w:ascii="Arial" w:hAnsi="Arial" w:cs="Arial"/>
              </w:rPr>
            </w:pPr>
            <w:r w:rsidRPr="00D61DA2">
              <w:rPr>
                <w:rFonts w:ascii="Arial" w:hAnsi="Arial" w:cs="Arial"/>
              </w:rPr>
              <w:t>45</w:t>
            </w:r>
          </w:p>
        </w:tc>
        <w:tc>
          <w:tcPr>
            <w:tcW w:w="1486" w:type="dxa"/>
          </w:tcPr>
          <w:p w:rsidR="00D849AA" w:rsidRPr="00D61DA2" w:rsidRDefault="00EE6D95">
            <w:pPr>
              <w:rPr>
                <w:rFonts w:ascii="Arial" w:hAnsi="Arial" w:cs="Arial"/>
              </w:rPr>
            </w:pPr>
            <w:r w:rsidRPr="00D61DA2">
              <w:rPr>
                <w:rFonts w:ascii="Arial" w:hAnsi="Arial" w:cs="Arial"/>
              </w:rPr>
              <w:t>0</w:t>
            </w:r>
          </w:p>
        </w:tc>
      </w:tr>
    </w:tbl>
    <w:p w:rsidR="00D849AA" w:rsidRDefault="00D849AA">
      <w:pPr>
        <w:jc w:val="left"/>
      </w:pPr>
    </w:p>
    <w:p w:rsidR="00D849AA" w:rsidRDefault="00EE6D95">
      <w:pPr>
        <w:pStyle w:val="Naslov2"/>
      </w:pPr>
      <w:r>
        <w:t>07710 Agencija za zaštitu okoliša</w:t>
      </w:r>
    </w:p>
    <w:p w:rsidR="00D849AA" w:rsidRDefault="00EE6D95">
      <w:pPr>
        <w:pStyle w:val="Naslov4"/>
      </w:pPr>
      <w:r>
        <w:t>Uvod</w:t>
      </w:r>
    </w:p>
    <w:p w:rsidR="00D849AA" w:rsidRDefault="00EE6D95">
      <w:pPr>
        <w:pStyle w:val="Normal3"/>
      </w:pPr>
      <w:r>
        <w:t xml:space="preserve">Uredbom Vlade osnovana je Agencija za zaštitu okoliša kao centralna javna ustanova za praćenje stanja i izvješćivanje o okolišu, uspostavu, vođenje, nadogradnju i održavanje jedinstvenog informacijskog sustava zaštite okoliša na nacionalnoj razini, te kao centralna institucija za suradnju i razmjenu podataka o okolišu sa Europskom unijom. </w:t>
      </w:r>
    </w:p>
    <w:p w:rsidR="00D849AA" w:rsidRDefault="00EE6D95">
      <w:pPr>
        <w:pStyle w:val="Normal3"/>
      </w:pPr>
      <w:r>
        <w:t xml:space="preserve">Agencija za zaštitu okoliša osnovana je za realizaciju zadataka i aktivnosti vezanih za Nacionalnu strategiju zaštite okoliša (Narodne novine, broj 46/02) (koja je zamijenjena Strategijom održivog razvitka Republike Hrvatske, Narodne novine, broj 30/09), Nacionalni plan djelovanja za okoliš (Narodne novine, broj 46/02) te Strategiju "Informacijska i komunikacijska tehnologija – Hrvatska u 21. stoljeću“. </w:t>
      </w:r>
    </w:p>
    <w:p w:rsidR="00D849AA" w:rsidRDefault="00EE6D95">
      <w:pPr>
        <w:pStyle w:val="Normal3"/>
      </w:pPr>
      <w:r>
        <w:t xml:space="preserve">Cilj Agencije je dugoročno osigurati praćenje stanja okoliša, ustrojiti za to neophodne baze podataka, osigurati jednostavnu dostupnost podacima o okolišu mjerodavnim institucijama, </w:t>
      </w:r>
      <w:r>
        <w:lastRenderedPageBreak/>
        <w:t xml:space="preserve">stručnim organizacijama i javnosti, u tome poticati razvoj i korištenje informacijskih tehnologija, te time osigurati preduvjete za oblikovanje novog, modernog sustava zaštite okoliša utemeljenog na europskoj praksi. Sama Agencija time će se profilirati u učinkovitu, stručnu i otvorenu instituciju, jednu od ključnih u području zaštite okoliša na nacionalnoj razini, ali i središnje tijelo za razmjenu okolišnih podatka sa EU. </w:t>
      </w:r>
    </w:p>
    <w:p w:rsidR="00D849AA" w:rsidRDefault="00EE6D95">
      <w:pPr>
        <w:pStyle w:val="Normal3"/>
      </w:pPr>
      <w:r>
        <w:t xml:space="preserve">Predloženi iznosi rashoda za 2014. godinu, kao i projekcije rashoda za 2015. – 2016., odraz su dijelom prihvaćenog plana i projekcija rashoda Agencije na Hrvatskom saboru za period 2013. – 2015. (Narodne novine, broj 139/12), trenutne ekonomsko – gospodarstvene situacije u Republici Hrvatskoj i određenih limita državnog proračuna donesenih  na temelju Strategije Vladinih programa za razdoblje 2014. – 2016., a danih Smjernicama ekonomske i fiskalne politike za razdoblje 2014. – 2016.  </w:t>
      </w:r>
    </w:p>
    <w:p w:rsidR="00D849AA" w:rsidRDefault="00EE6D95">
      <w:pPr>
        <w:pStyle w:val="Normal3"/>
      </w:pPr>
      <w:r>
        <w:t xml:space="preserve"> </w:t>
      </w:r>
    </w:p>
    <w:p w:rsidR="00D849AA" w:rsidRDefault="00EE6D95">
      <w:pPr>
        <w:pStyle w:val="Normal3"/>
      </w:pPr>
      <w:r>
        <w:t xml:space="preserve">U ukupnom prijedlogu Plana 2014. – 2016., proračunska sredstva i sredstva pomoći sudjeluju:  </w:t>
      </w:r>
    </w:p>
    <w:p w:rsidR="00D849AA" w:rsidRDefault="00EE6D95">
      <w:pPr>
        <w:pStyle w:val="Normal3"/>
      </w:pPr>
      <w:r>
        <w:t xml:space="preserve">2014.  proračunska sredstva – 16.500.000; EU i ostale pomoći – 16.059.000; </w:t>
      </w:r>
    </w:p>
    <w:p w:rsidR="00D849AA" w:rsidRDefault="00EE6D95">
      <w:pPr>
        <w:pStyle w:val="Normal3"/>
      </w:pPr>
      <w:r>
        <w:t xml:space="preserve">2015.  proračunska sredstva – 16.038.000; EU i ostale pomoći –  9.755.246; </w:t>
      </w:r>
    </w:p>
    <w:p w:rsidR="00D849AA" w:rsidRDefault="00EE6D95">
      <w:pPr>
        <w:pStyle w:val="Normal3"/>
      </w:pPr>
      <w:r>
        <w:t>2016. proračunska sredstva – 15.203.565; EU i ostale pomoći – 7.391.000.</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rsidRPr="00D61DA2">
        <w:trPr>
          <w:jc w:val="center"/>
        </w:trPr>
        <w:tc>
          <w:tcPr>
            <w:tcW w:w="1486" w:type="dxa"/>
            <w:shd w:val="clear" w:color="auto" w:fill="B5C0D8"/>
          </w:tcPr>
          <w:p w:rsidR="00D849AA" w:rsidRPr="00D61DA2" w:rsidRDefault="00D849AA">
            <w:pPr>
              <w:pStyle w:val="CellHeader"/>
            </w:pPr>
          </w:p>
        </w:tc>
        <w:tc>
          <w:tcPr>
            <w:tcW w:w="1486" w:type="dxa"/>
            <w:shd w:val="clear" w:color="auto" w:fill="B5C0D8"/>
          </w:tcPr>
          <w:p w:rsidR="00D849AA" w:rsidRPr="00D61DA2" w:rsidRDefault="00EE6D95">
            <w:pPr>
              <w:pStyle w:val="CellHeader"/>
            </w:pPr>
            <w:r w:rsidRPr="00D61DA2">
              <w:t>Plan 2013.</w:t>
            </w:r>
          </w:p>
        </w:tc>
        <w:tc>
          <w:tcPr>
            <w:tcW w:w="1486" w:type="dxa"/>
            <w:shd w:val="clear" w:color="auto" w:fill="B5C0D8"/>
          </w:tcPr>
          <w:p w:rsidR="00D849AA" w:rsidRPr="00D61DA2" w:rsidRDefault="00EE6D95">
            <w:pPr>
              <w:pStyle w:val="CellHeader"/>
            </w:pPr>
            <w:r w:rsidRPr="00D61DA2">
              <w:t>Plan 2014.</w:t>
            </w:r>
          </w:p>
        </w:tc>
        <w:tc>
          <w:tcPr>
            <w:tcW w:w="1486" w:type="dxa"/>
            <w:shd w:val="clear" w:color="auto" w:fill="B5C0D8"/>
          </w:tcPr>
          <w:p w:rsidR="00D849AA" w:rsidRPr="00D61DA2" w:rsidRDefault="00EE6D95">
            <w:pPr>
              <w:pStyle w:val="CellHeader"/>
            </w:pPr>
            <w:r w:rsidRPr="00D61DA2">
              <w:t>Plan 2015.</w:t>
            </w:r>
          </w:p>
        </w:tc>
        <w:tc>
          <w:tcPr>
            <w:tcW w:w="1486" w:type="dxa"/>
            <w:shd w:val="clear" w:color="auto" w:fill="B5C0D8"/>
          </w:tcPr>
          <w:p w:rsidR="00D849AA" w:rsidRPr="00D61DA2" w:rsidRDefault="00EE6D95">
            <w:pPr>
              <w:pStyle w:val="CellHeader"/>
            </w:pPr>
            <w:r w:rsidRPr="00D61DA2">
              <w:t>Plan 2016.</w:t>
            </w:r>
          </w:p>
        </w:tc>
        <w:tc>
          <w:tcPr>
            <w:tcW w:w="1486" w:type="dxa"/>
            <w:shd w:val="clear" w:color="auto" w:fill="B5C0D8"/>
          </w:tcPr>
          <w:p w:rsidR="00D849AA" w:rsidRPr="00D61DA2" w:rsidRDefault="00EE6D95">
            <w:pPr>
              <w:pStyle w:val="CellHeader"/>
            </w:pPr>
            <w:r w:rsidRPr="00D61DA2">
              <w:t>Indeks 2014/2013</w:t>
            </w:r>
          </w:p>
        </w:tc>
      </w:tr>
      <w:tr w:rsidR="00D849AA" w:rsidRPr="00D61DA2">
        <w:trPr>
          <w:jc w:val="center"/>
        </w:trPr>
        <w:tc>
          <w:tcPr>
            <w:tcW w:w="1486" w:type="dxa"/>
          </w:tcPr>
          <w:p w:rsidR="00D849AA" w:rsidRPr="00D61DA2" w:rsidRDefault="00EE6D95">
            <w:pPr>
              <w:pStyle w:val="CellColumn"/>
            </w:pPr>
            <w:r w:rsidRPr="00D61DA2">
              <w:t>07710</w:t>
            </w:r>
          </w:p>
        </w:tc>
        <w:tc>
          <w:tcPr>
            <w:tcW w:w="1486" w:type="dxa"/>
          </w:tcPr>
          <w:p w:rsidR="00D849AA" w:rsidRPr="00D61DA2" w:rsidRDefault="00EE6D95">
            <w:pPr>
              <w:rPr>
                <w:rFonts w:ascii="Arial" w:hAnsi="Arial" w:cs="Arial"/>
              </w:rPr>
            </w:pPr>
            <w:r w:rsidRPr="00D61DA2">
              <w:rPr>
                <w:rFonts w:ascii="Arial" w:hAnsi="Arial" w:cs="Arial"/>
              </w:rPr>
              <w:t>16.327.008</w:t>
            </w:r>
          </w:p>
        </w:tc>
        <w:tc>
          <w:tcPr>
            <w:tcW w:w="1486" w:type="dxa"/>
          </w:tcPr>
          <w:p w:rsidR="00D849AA" w:rsidRPr="00D61DA2" w:rsidRDefault="00EE6D95">
            <w:pPr>
              <w:rPr>
                <w:rFonts w:ascii="Arial" w:hAnsi="Arial" w:cs="Arial"/>
              </w:rPr>
            </w:pPr>
            <w:r w:rsidRPr="00D61DA2">
              <w:rPr>
                <w:rFonts w:ascii="Arial" w:hAnsi="Arial" w:cs="Arial"/>
              </w:rPr>
              <w:t>32.559.000</w:t>
            </w:r>
          </w:p>
        </w:tc>
        <w:tc>
          <w:tcPr>
            <w:tcW w:w="1486" w:type="dxa"/>
          </w:tcPr>
          <w:p w:rsidR="00D849AA" w:rsidRPr="00D61DA2" w:rsidRDefault="00EE6D95">
            <w:pPr>
              <w:rPr>
                <w:rFonts w:ascii="Arial" w:hAnsi="Arial" w:cs="Arial"/>
              </w:rPr>
            </w:pPr>
            <w:r w:rsidRPr="00D61DA2">
              <w:rPr>
                <w:rFonts w:ascii="Arial" w:hAnsi="Arial" w:cs="Arial"/>
              </w:rPr>
              <w:t>25.793.246</w:t>
            </w:r>
          </w:p>
        </w:tc>
        <w:tc>
          <w:tcPr>
            <w:tcW w:w="1486" w:type="dxa"/>
          </w:tcPr>
          <w:p w:rsidR="00D849AA" w:rsidRPr="00D61DA2" w:rsidRDefault="00EE6D95">
            <w:pPr>
              <w:rPr>
                <w:rFonts w:ascii="Arial" w:hAnsi="Arial" w:cs="Arial"/>
              </w:rPr>
            </w:pPr>
            <w:r w:rsidRPr="00D61DA2">
              <w:rPr>
                <w:rFonts w:ascii="Arial" w:hAnsi="Arial" w:cs="Arial"/>
              </w:rPr>
              <w:t>22.594.565</w:t>
            </w:r>
          </w:p>
        </w:tc>
        <w:tc>
          <w:tcPr>
            <w:tcW w:w="1486" w:type="dxa"/>
          </w:tcPr>
          <w:p w:rsidR="00D849AA" w:rsidRPr="00D61DA2" w:rsidRDefault="00EE6D95">
            <w:pPr>
              <w:rPr>
                <w:rFonts w:ascii="Arial" w:hAnsi="Arial" w:cs="Arial"/>
              </w:rPr>
            </w:pPr>
            <w:r w:rsidRPr="00D61DA2">
              <w:rPr>
                <w:rFonts w:ascii="Arial" w:hAnsi="Arial" w:cs="Arial"/>
              </w:rPr>
              <w:t>199,4</w:t>
            </w:r>
          </w:p>
        </w:tc>
      </w:tr>
    </w:tbl>
    <w:p w:rsidR="00D849AA" w:rsidRPr="00D61DA2" w:rsidRDefault="00D849AA">
      <w:pPr>
        <w:jc w:val="left"/>
        <w:rPr>
          <w:rFonts w:ascii="Arial" w:hAnsi="Arial" w:cs="Arial"/>
        </w:rPr>
      </w:pPr>
    </w:p>
    <w:p w:rsidR="00D849AA" w:rsidRDefault="00EE6D95">
      <w:pPr>
        <w:pStyle w:val="Naslov4"/>
      </w:pPr>
      <w:r>
        <w:t>OBRAZLOŽENJE PROGRAMA</w:t>
      </w:r>
    </w:p>
    <w:p w:rsidR="00D849AA" w:rsidRDefault="00EE6D95">
      <w:pPr>
        <w:pStyle w:val="Naslov5"/>
      </w:pPr>
      <w:r>
        <w:t>3402 ZAŠTITA OKOLIŠA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3402</w:t>
            </w:r>
          </w:p>
        </w:tc>
        <w:tc>
          <w:tcPr>
            <w:tcW w:w="1486" w:type="dxa"/>
          </w:tcPr>
          <w:p w:rsidR="00D849AA" w:rsidRDefault="00EE6D95">
            <w:r>
              <w:t>16.327.008</w:t>
            </w:r>
          </w:p>
        </w:tc>
        <w:tc>
          <w:tcPr>
            <w:tcW w:w="1486" w:type="dxa"/>
          </w:tcPr>
          <w:p w:rsidR="00D849AA" w:rsidRDefault="00EE6D95">
            <w:r>
              <w:t>32.559.000</w:t>
            </w:r>
          </w:p>
        </w:tc>
        <w:tc>
          <w:tcPr>
            <w:tcW w:w="1486" w:type="dxa"/>
          </w:tcPr>
          <w:p w:rsidR="00D849AA" w:rsidRDefault="00EE6D95">
            <w:r>
              <w:t>25.793.246</w:t>
            </w:r>
          </w:p>
        </w:tc>
        <w:tc>
          <w:tcPr>
            <w:tcW w:w="1486" w:type="dxa"/>
          </w:tcPr>
          <w:p w:rsidR="00D849AA" w:rsidRDefault="00EE6D95">
            <w:r>
              <w:t>22.594.565</w:t>
            </w:r>
          </w:p>
        </w:tc>
        <w:tc>
          <w:tcPr>
            <w:tcW w:w="1486" w:type="dxa"/>
          </w:tcPr>
          <w:p w:rsidR="00D849AA" w:rsidRDefault="00EE6D95">
            <w:r>
              <w:t>199,4</w:t>
            </w:r>
          </w:p>
        </w:tc>
      </w:tr>
    </w:tbl>
    <w:p w:rsidR="00D849AA" w:rsidRDefault="00D849AA">
      <w:pPr>
        <w:jc w:val="left"/>
      </w:pPr>
    </w:p>
    <w:p w:rsidR="00D849AA" w:rsidRDefault="00EE6D95">
      <w:pPr>
        <w:pStyle w:val="Naslov6"/>
      </w:pPr>
      <w:r>
        <w:t>Opis programa</w:t>
      </w:r>
    </w:p>
    <w:p w:rsidR="00D849AA" w:rsidRDefault="00EE6D95">
      <w:pPr>
        <w:pStyle w:val="Normal5"/>
      </w:pPr>
      <w:r>
        <w:t xml:space="preserve">Kroz Program Zaštite okoliša, Agencija će dugoročno osigurati praćenje stanja okoliša, ustrojiti za to neophodne baze podataka, osigurati jednostavnu dostupnost podacima o okolišu mjerodavnim institucijama, stručnim organizacijama i javnosti, u tome poticati razvoj i korištenje informacijskih tehnologija, te time osigurati preduvjete za oblikovanje novog, modernog sustava zaštite okoliša utemeljenog na europskoj praksi. Sama Agencija time će se profilirati u učinkovitu, stručnu i otvorenu instituciju, jednu od ključnih u području zaštite okoliša na nacionalnoj razini, ali i kao središnje tijelo za razmjenu okolišnih podatka i informacija sa nadležnim tijelima EU i drugim, međunarodnim tijelima, u cilju ispunjavanja obveza koje RH ima u području izvješćivanja o okolišu.  </w:t>
      </w:r>
    </w:p>
    <w:p w:rsidR="00D849AA" w:rsidRDefault="00EE6D95">
      <w:pPr>
        <w:pStyle w:val="Normal5"/>
      </w:pPr>
      <w:r>
        <w:t>Za provođenje istoga u Agenciji su organizirane aktivnosti čiji opis, zakonodavni okvir, ciljeve i pokazatelje uspješnosti niže navodimo.</w:t>
      </w:r>
    </w:p>
    <w:p w:rsidR="00D849AA" w:rsidRDefault="00EE6D95">
      <w:pPr>
        <w:pStyle w:val="Naslov6"/>
      </w:pPr>
      <w:r>
        <w:lastRenderedPageBreak/>
        <w:t>Zakonske i druge pravne osnove</w:t>
      </w:r>
    </w:p>
    <w:p w:rsidR="00D849AA" w:rsidRDefault="00EE6D95">
      <w:pPr>
        <w:pStyle w:val="Normal5"/>
      </w:pPr>
      <w:r>
        <w:t xml:space="preserve">1. Zakon o zaštiti okoliša (Narodne novine, broj 80/13);  </w:t>
      </w:r>
    </w:p>
    <w:p w:rsidR="00D849AA" w:rsidRDefault="00EE6D95">
      <w:pPr>
        <w:pStyle w:val="Normal5"/>
      </w:pPr>
      <w:r>
        <w:t xml:space="preserve">2. Uredba informacijskom sustavu zaštite okoliša (Narodne novine, broj 68/08), čl.  7.;  </w:t>
      </w:r>
    </w:p>
    <w:p w:rsidR="00D849AA" w:rsidRDefault="00EE6D95">
      <w:pPr>
        <w:pStyle w:val="Normal5"/>
      </w:pPr>
      <w:r>
        <w:t xml:space="preserve">3. Strategija održivog razvitka Republike Hrvatske (Narodne novine, broj 30/09);   </w:t>
      </w:r>
    </w:p>
    <w:p w:rsidR="00D849AA" w:rsidRDefault="00EE6D95">
      <w:pPr>
        <w:pStyle w:val="Normal5"/>
      </w:pPr>
      <w:r>
        <w:t xml:space="preserve">4. Nacionalni  plan djelovanja za okoliš (Narodne novine, broj 46/02);  </w:t>
      </w:r>
    </w:p>
    <w:p w:rsidR="00D849AA" w:rsidRDefault="00EE6D95">
      <w:pPr>
        <w:pStyle w:val="Normal5"/>
      </w:pPr>
      <w:r>
        <w:t xml:space="preserve">5. Zakon o zaštiti zraka (Narodne novine, broj 130/11) i pripadajući podzakonski akti;  </w:t>
      </w:r>
    </w:p>
    <w:p w:rsidR="00D849AA" w:rsidRDefault="00EE6D95">
      <w:pPr>
        <w:pStyle w:val="Normal5"/>
      </w:pPr>
      <w:r>
        <w:t xml:space="preserve">6. Zakon o održivom gospodarenju otpadom (Narodne novine, broj 94/13) i pripadajući podzakonski akti;  </w:t>
      </w:r>
    </w:p>
    <w:p w:rsidR="00D849AA" w:rsidRDefault="00EE6D95">
      <w:pPr>
        <w:pStyle w:val="Normal5"/>
      </w:pPr>
      <w:r>
        <w:t xml:space="preserve">7. Zakonske odredbe koje određuju zakonsko-pravno, komercijalno, financijsko, računovodstveno-knjigovodstveno i sigurnosno poslovanje;  </w:t>
      </w:r>
    </w:p>
    <w:p w:rsidR="00D849AA" w:rsidRDefault="00EE6D95">
      <w:pPr>
        <w:pStyle w:val="Normal5"/>
      </w:pPr>
      <w:r>
        <w:t xml:space="preserve">8. Zakon o potvrđivanju Konvencije o pristupu informacijama, sudjelovanju javnosti u odlučivanju i pristupu pravosuđu u pitanjima okoliša (Narodne novine, MU 01/07, čl. 3 – 5.);  </w:t>
      </w:r>
    </w:p>
    <w:p w:rsidR="00D849AA" w:rsidRDefault="00EE6D95">
      <w:pPr>
        <w:pStyle w:val="Normal5"/>
      </w:pPr>
      <w:r>
        <w:t xml:space="preserve">9. Zakon o pravu na pristup informacijama (Narodne novine, broj 172/03, čl. 4. i 10.);  </w:t>
      </w:r>
    </w:p>
    <w:p w:rsidR="00D849AA" w:rsidRDefault="00EE6D95">
      <w:pPr>
        <w:pStyle w:val="Normal5"/>
      </w:pPr>
      <w:r>
        <w:t xml:space="preserve">10. Zakon o medijima (Narodne novine, broj 59/04, čl. 6.);  </w:t>
      </w:r>
    </w:p>
    <w:p w:rsidR="00D849AA" w:rsidRDefault="00EE6D95">
      <w:pPr>
        <w:pStyle w:val="Normal5"/>
      </w:pPr>
      <w:r>
        <w:t>11. Svi pripadajući podzakonski akti, Uredbe, Pravilnici   i Odluke koje se odnose na gore navedene Zakone.</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 xml:space="preserve">Cilj 1. Osigurati praćenje stanja okoliša </w:t>
      </w:r>
    </w:p>
    <w:p w:rsidR="00D849AA" w:rsidRDefault="00EE6D95">
      <w:pPr>
        <w:pStyle w:val="Normal6"/>
      </w:pPr>
      <w:r>
        <w:t>Cilj Agencije je dugoročno osigurati praćenje stanja okoliša, ustrojiti za to neophodne baze podataka, osigurati jednostavnu</w:t>
      </w:r>
      <w:r>
        <w:tab/>
        <w:t>dostupnost podacima o okolišu mjerodavnim institucijama, stručnim organizacijama i javnosti, u tome  poticati razvoj i korištenje informacijskih tehnologija, te time osigurati preduvjete za oblikovanje novog, modernog sustava zaštite okoliša utemeljenog na europskoj praksi.</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Profiliranje Agencije kao   središnje institucije zaštite okoliša u RH</w:t>
            </w:r>
          </w:p>
        </w:tc>
        <w:tc>
          <w:tcPr>
            <w:tcW w:w="1114" w:type="dxa"/>
          </w:tcPr>
          <w:p w:rsidR="00D849AA" w:rsidRDefault="00EE6D95">
            <w:r>
              <w:t>%</w:t>
            </w:r>
          </w:p>
        </w:tc>
        <w:tc>
          <w:tcPr>
            <w:tcW w:w="1114" w:type="dxa"/>
          </w:tcPr>
          <w:p w:rsidR="00D849AA" w:rsidRDefault="00EE6D95">
            <w:r>
              <w:t>95</w:t>
            </w:r>
          </w:p>
        </w:tc>
        <w:tc>
          <w:tcPr>
            <w:tcW w:w="1486" w:type="dxa"/>
          </w:tcPr>
          <w:p w:rsidR="00D849AA" w:rsidRDefault="00EE6D95">
            <w:r>
              <w:t>96</w:t>
            </w:r>
          </w:p>
        </w:tc>
        <w:tc>
          <w:tcPr>
            <w:tcW w:w="1486" w:type="dxa"/>
          </w:tcPr>
          <w:p w:rsidR="00D849AA" w:rsidRDefault="00EE6D95">
            <w:r>
              <w:t>97</w:t>
            </w:r>
          </w:p>
        </w:tc>
        <w:tc>
          <w:tcPr>
            <w:tcW w:w="1486" w:type="dxa"/>
          </w:tcPr>
          <w:p w:rsidR="00D849AA" w:rsidRDefault="00EE6D95">
            <w:r>
              <w:t>98</w:t>
            </w:r>
          </w:p>
        </w:tc>
      </w:tr>
    </w:tbl>
    <w:p w:rsidR="00D849AA" w:rsidRDefault="00D849AA">
      <w:pPr>
        <w:jc w:val="left"/>
      </w:pPr>
    </w:p>
    <w:p w:rsidR="00D849AA" w:rsidRDefault="00EE6D95">
      <w:pPr>
        <w:pStyle w:val="Naslov7"/>
      </w:pPr>
      <w:r>
        <w:t xml:space="preserve">Cilj 2. Povezivanje svih postojećih podataka obveznika zaštite okoliša i informacijskih tokova </w:t>
      </w:r>
    </w:p>
    <w:p w:rsidR="00D849AA" w:rsidRDefault="00EE6D95">
      <w:pPr>
        <w:pStyle w:val="Normal6"/>
      </w:pPr>
      <w:r>
        <w:t xml:space="preserve">Osiguranje izvršenja svih zakonski propisanih obveza prikupljanja i obrade podataka u svrhu izvješćivanja i razmjene podataka, informacija i dokumenata zaštite okoliša te time omogućavanje cjelovitog uvida u stanje okoliša i opterećenja pojedinog područja u svrhu provedbe politike zaštite okoliša u Republici Hrvatskoj. Aktivnost se realizira na dva načina. Neposrednim prikupljanjem podataka od strane obveznika (definiranih propisima navedenim u poglavlju Zakonske i druge pravne osnove). Ovi podaci objedinjavaju se i obrađuju u bazama podataka Agencije za zaštitu okoliša, te se temeljem njih pružaju </w:t>
      </w:r>
      <w:r>
        <w:lastRenderedPageBreak/>
        <w:t>podaci i informacije i izrađuju izvješća. Drugi način, posredno prikupljanje podataka  putem  institucija  i  tijela  koja  su  nadležna za primarno prikupljanje podataka, te ih Agencija u obliku  sirovih podataka i/ili informacija preuzima sukladno sporazumima i/ili ugovorima. Korisnici podataka, informacija i izvješća su primarno tijela Vlade RepublikeHrvatske, te stručna i šira javnost.</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 xml:space="preserve">Poboljšanje provedbe Aktivnosti vođenja Informacijskog </w:t>
            </w:r>
          </w:p>
          <w:p w:rsidR="00D849AA" w:rsidRDefault="00EE6D95">
            <w:pPr>
              <w:pStyle w:val="CellColumn"/>
            </w:pPr>
            <w:r>
              <w:t xml:space="preserve">sustava zaštite okoliša </w:t>
            </w:r>
          </w:p>
          <w:p w:rsidR="00D849AA" w:rsidRDefault="00EE6D95">
            <w:pPr>
              <w:pStyle w:val="CellColumn"/>
            </w:pPr>
            <w:r>
              <w:t>za 2014.-2016.</w:t>
            </w:r>
          </w:p>
        </w:tc>
        <w:tc>
          <w:tcPr>
            <w:tcW w:w="1114" w:type="dxa"/>
          </w:tcPr>
          <w:p w:rsidR="00D849AA" w:rsidRDefault="00EE6D95">
            <w:r>
              <w:t>%</w:t>
            </w:r>
          </w:p>
        </w:tc>
        <w:tc>
          <w:tcPr>
            <w:tcW w:w="1114" w:type="dxa"/>
          </w:tcPr>
          <w:p w:rsidR="00D849AA" w:rsidRDefault="00EE6D95">
            <w:r>
              <w:t>60</w:t>
            </w:r>
          </w:p>
        </w:tc>
        <w:tc>
          <w:tcPr>
            <w:tcW w:w="1486" w:type="dxa"/>
          </w:tcPr>
          <w:p w:rsidR="00D849AA" w:rsidRDefault="00EE6D95">
            <w:r>
              <w:t>65</w:t>
            </w:r>
          </w:p>
        </w:tc>
        <w:tc>
          <w:tcPr>
            <w:tcW w:w="1486" w:type="dxa"/>
          </w:tcPr>
          <w:p w:rsidR="00D849AA" w:rsidRDefault="00EE6D95">
            <w:r>
              <w:t>70</w:t>
            </w:r>
          </w:p>
        </w:tc>
        <w:tc>
          <w:tcPr>
            <w:tcW w:w="1486" w:type="dxa"/>
          </w:tcPr>
          <w:p w:rsidR="00D849AA" w:rsidRDefault="00EE6D95">
            <w:r>
              <w:t>75</w:t>
            </w:r>
          </w:p>
        </w:tc>
      </w:tr>
      <w:tr w:rsidR="00D849AA">
        <w:trPr>
          <w:jc w:val="center"/>
        </w:trPr>
        <w:tc>
          <w:tcPr>
            <w:tcW w:w="2229" w:type="dxa"/>
          </w:tcPr>
          <w:p w:rsidR="00D849AA" w:rsidRDefault="00EE6D95">
            <w:pPr>
              <w:pStyle w:val="CellColumn"/>
            </w:pPr>
            <w:r>
              <w:t>Postotak prikupljenih, obrađenih i unesenih podataka  u  baze,  te na osnovu istih izrađenih izvješća</w:t>
            </w:r>
          </w:p>
        </w:tc>
        <w:tc>
          <w:tcPr>
            <w:tcW w:w="1114" w:type="dxa"/>
          </w:tcPr>
          <w:p w:rsidR="00D849AA" w:rsidRDefault="00EE6D95">
            <w:r>
              <w:t>%</w:t>
            </w:r>
          </w:p>
        </w:tc>
        <w:tc>
          <w:tcPr>
            <w:tcW w:w="1114" w:type="dxa"/>
          </w:tcPr>
          <w:p w:rsidR="00D849AA" w:rsidRDefault="00EE6D95">
            <w:r>
              <w:t>49</w:t>
            </w:r>
          </w:p>
        </w:tc>
        <w:tc>
          <w:tcPr>
            <w:tcW w:w="1486" w:type="dxa"/>
          </w:tcPr>
          <w:p w:rsidR="00D849AA" w:rsidRDefault="00EE6D95">
            <w:r>
              <w:t>58</w:t>
            </w:r>
          </w:p>
        </w:tc>
        <w:tc>
          <w:tcPr>
            <w:tcW w:w="1486" w:type="dxa"/>
          </w:tcPr>
          <w:p w:rsidR="00D849AA" w:rsidRDefault="00EE6D95">
            <w:r>
              <w:t>72</w:t>
            </w:r>
          </w:p>
        </w:tc>
        <w:tc>
          <w:tcPr>
            <w:tcW w:w="1486" w:type="dxa"/>
          </w:tcPr>
          <w:p w:rsidR="00D849AA" w:rsidRDefault="00EE6D95">
            <w:r>
              <w:t>85</w:t>
            </w:r>
          </w:p>
        </w:tc>
      </w:tr>
    </w:tbl>
    <w:p w:rsidR="00D849AA" w:rsidRDefault="00D849AA">
      <w:pPr>
        <w:jc w:val="left"/>
      </w:pPr>
    </w:p>
    <w:p w:rsidR="00D849AA" w:rsidRDefault="00EE6D95">
      <w:pPr>
        <w:pStyle w:val="Naslov7"/>
      </w:pPr>
      <w:r>
        <w:t xml:space="preserve">Cilj 3. Omogućavanje prikupljanja i davanje podataka koji su obrađeni i analizirani sukladno međunarodnoj i europskoj metodologiji </w:t>
      </w:r>
    </w:p>
    <w:p w:rsidR="00D849AA" w:rsidRDefault="00EE6D95">
      <w:pPr>
        <w:pStyle w:val="Normal6"/>
      </w:pPr>
      <w:r>
        <w:t>Provedbom ove Aktivnosti potrebno je osigurati izvršenje svih zakonski popisanih obveza prikupljanja i obrade podataka u svrhu izvješćivanja i razmjene podataka, informacija i dokumenata zaštite okoliša kako na nacionalnoj tako i na međunarodnoj razini. Time se omogućava cjeloviti uvid u stanje okoliša i opterećenja pojedinog područja u  svrhu provedbe politike zaštite okoliša i održivog razvitka, kako u državi, tako i na regionalnom nivou.</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rsidP="00D61DA2">
            <w:pPr>
              <w:pStyle w:val="CellColumn"/>
            </w:pPr>
            <w:r>
              <w:t>Poboljšanje stanja provedbe Aktivnosti vođenja nformacijskog</w:t>
            </w:r>
            <w:r w:rsidR="00D61DA2">
              <w:t xml:space="preserve"> </w:t>
            </w:r>
            <w:r>
              <w:t>sustava zaštite okoliša RH za  2014.-2016.</w:t>
            </w:r>
          </w:p>
        </w:tc>
        <w:tc>
          <w:tcPr>
            <w:tcW w:w="1114" w:type="dxa"/>
          </w:tcPr>
          <w:p w:rsidR="00D849AA" w:rsidRDefault="00EE6D95">
            <w:r>
              <w:t>%</w:t>
            </w:r>
          </w:p>
        </w:tc>
        <w:tc>
          <w:tcPr>
            <w:tcW w:w="1114" w:type="dxa"/>
          </w:tcPr>
          <w:p w:rsidR="00D849AA" w:rsidRDefault="00EE6D95">
            <w:r>
              <w:t>60</w:t>
            </w:r>
          </w:p>
        </w:tc>
        <w:tc>
          <w:tcPr>
            <w:tcW w:w="1486" w:type="dxa"/>
          </w:tcPr>
          <w:p w:rsidR="00D849AA" w:rsidRDefault="00EE6D95">
            <w:r>
              <w:t>65</w:t>
            </w:r>
          </w:p>
        </w:tc>
        <w:tc>
          <w:tcPr>
            <w:tcW w:w="1486" w:type="dxa"/>
          </w:tcPr>
          <w:p w:rsidR="00D849AA" w:rsidRDefault="00EE6D95">
            <w:r>
              <w:t>70</w:t>
            </w:r>
          </w:p>
        </w:tc>
        <w:tc>
          <w:tcPr>
            <w:tcW w:w="1486" w:type="dxa"/>
          </w:tcPr>
          <w:p w:rsidR="00D849AA" w:rsidRDefault="00EE6D95">
            <w:r>
              <w:t>80</w:t>
            </w:r>
          </w:p>
        </w:tc>
      </w:tr>
    </w:tbl>
    <w:p w:rsidR="00D849AA" w:rsidRDefault="00D849AA">
      <w:pPr>
        <w:jc w:val="left"/>
      </w:pPr>
    </w:p>
    <w:p w:rsidR="00D849AA" w:rsidRDefault="00EE6D95">
      <w:pPr>
        <w:pStyle w:val="Naslov7"/>
      </w:pPr>
      <w:r>
        <w:t xml:space="preserve">Cilj 4. Održavanje i nadogradnja Informacijskog sustava zaštite okoliša </w:t>
      </w:r>
    </w:p>
    <w:p w:rsidR="00D849AA" w:rsidRDefault="00EE6D95">
      <w:pPr>
        <w:pStyle w:val="Normal6"/>
      </w:pPr>
      <w:r>
        <w:t xml:space="preserve">U proračunskom razdoblju potrebno je osigurati kontinuirani rad djelatnika Agencije za zaštitu okoliša (AZO) za ispunjenje svih zakonski propisanih obveza navedenih u Programu 3402, sa što manje zastoja u radu informacijskog sustava zaštite okoliša. </w:t>
      </w:r>
    </w:p>
    <w:p w:rsidR="00D849AA" w:rsidRDefault="00EE6D95">
      <w:pPr>
        <w:pStyle w:val="Normal6"/>
      </w:pPr>
      <w:r>
        <w:lastRenderedPageBreak/>
        <w:t>Upravljanje Informacijskim sustavom zaštite okoliša podrazumjeva održavanje, daljnje nadogradnje i razvoj postojećih informacijskih sustava pojedinih tematskih područja i potpodručja unutar Agencije za zaštitu okoliša, povezivanje i usklađivanje informacijskih sustava i baza podataka s informacijskim sustavima suradničkih institucija Republike Hrvatske te povezivanje ISZO-a s međunarodnim informacijskim sustavima kao i uspostava centralnog sustava izvješćivanja, unaprjeđenje kvalitete i cjelovitosti podataka i informacija te diseminacija rezultata. Za navedeno je potrebno realizirati slijedeće aktivnosti: nabavka svih materijala i dijelova za tekuće i investicijsko održavanje, računala, informatičke opreme, licenci, održavanje IT sustava te dodatni radovi na proširenju kapaciteta i poboljšanju protoka podataka u IT sustavu AZO-a te stvaranju sigurnog okruženja za podatke (u slučaju ispada pojedinih dijelova sustava) što je obaveza Agencije sukladno Zakonu o informatičkoj sigurnosti (posebno vezano na rad Registra stakleničkih plinova).</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D61DA2" w:rsidRDefault="00EE6D95">
            <w:pPr>
              <w:rPr>
                <w:rFonts w:ascii="Arial" w:hAnsi="Arial" w:cs="Arial"/>
              </w:rPr>
            </w:pPr>
            <w:r w:rsidRPr="00D61DA2">
              <w:rPr>
                <w:rFonts w:ascii="Arial" w:hAnsi="Arial" w:cs="Arial"/>
              </w:rPr>
              <w:t>Pokazatelj učinka</w:t>
            </w:r>
          </w:p>
        </w:tc>
        <w:tc>
          <w:tcPr>
            <w:tcW w:w="1114" w:type="dxa"/>
            <w:shd w:val="clear" w:color="auto" w:fill="B5C0D8"/>
          </w:tcPr>
          <w:p w:rsidR="00D849AA" w:rsidRPr="00D61DA2" w:rsidRDefault="00EE6D95">
            <w:pPr>
              <w:pStyle w:val="CellHeader"/>
            </w:pPr>
            <w:r w:rsidRPr="00D61DA2">
              <w:t>Jedinica</w:t>
            </w:r>
          </w:p>
        </w:tc>
        <w:tc>
          <w:tcPr>
            <w:tcW w:w="1114" w:type="dxa"/>
            <w:shd w:val="clear" w:color="auto" w:fill="B5C0D8"/>
          </w:tcPr>
          <w:p w:rsidR="00D849AA" w:rsidRPr="00D61DA2" w:rsidRDefault="00EE6D95">
            <w:pPr>
              <w:pStyle w:val="CellHeader"/>
            </w:pPr>
            <w:r w:rsidRPr="00D61DA2">
              <w:t>Polazna vrijednost</w:t>
            </w:r>
          </w:p>
        </w:tc>
        <w:tc>
          <w:tcPr>
            <w:tcW w:w="1486" w:type="dxa"/>
            <w:shd w:val="clear" w:color="auto" w:fill="B5C0D8"/>
          </w:tcPr>
          <w:p w:rsidR="00D849AA" w:rsidRPr="00D61DA2" w:rsidRDefault="00EE6D95">
            <w:pPr>
              <w:pStyle w:val="CellHeader"/>
            </w:pPr>
            <w:r w:rsidRPr="00D61DA2">
              <w:t>Ciljana vrijednost (2014.)</w:t>
            </w:r>
          </w:p>
        </w:tc>
        <w:tc>
          <w:tcPr>
            <w:tcW w:w="1486" w:type="dxa"/>
            <w:shd w:val="clear" w:color="auto" w:fill="B5C0D8"/>
          </w:tcPr>
          <w:p w:rsidR="00D849AA" w:rsidRPr="00D61DA2" w:rsidRDefault="00EE6D95">
            <w:pPr>
              <w:pStyle w:val="CellHeader"/>
            </w:pPr>
            <w:r w:rsidRPr="00D61DA2">
              <w:t>Ciljana vrijednost (2015.)</w:t>
            </w:r>
          </w:p>
        </w:tc>
        <w:tc>
          <w:tcPr>
            <w:tcW w:w="1486" w:type="dxa"/>
            <w:shd w:val="clear" w:color="auto" w:fill="B5C0D8"/>
          </w:tcPr>
          <w:p w:rsidR="00D849AA" w:rsidRPr="00D61DA2" w:rsidRDefault="00EE6D95">
            <w:pPr>
              <w:pStyle w:val="CellHeader"/>
            </w:pPr>
            <w:r w:rsidRPr="00D61DA2">
              <w:t>Ciljana vrijednost (2016.)</w:t>
            </w:r>
          </w:p>
        </w:tc>
      </w:tr>
      <w:tr w:rsidR="00D849AA">
        <w:trPr>
          <w:jc w:val="center"/>
        </w:trPr>
        <w:tc>
          <w:tcPr>
            <w:tcW w:w="2229" w:type="dxa"/>
          </w:tcPr>
          <w:p w:rsidR="00D849AA" w:rsidRPr="00D61DA2" w:rsidRDefault="00EE6D95">
            <w:pPr>
              <w:pStyle w:val="CellColumn"/>
            </w:pPr>
            <w:r w:rsidRPr="00D61DA2">
              <w:t>Povećanje postotka redovitog rada informacijskog sustava zaštite  okoliša  sa malim brojem kritičnih incidenata</w:t>
            </w:r>
          </w:p>
        </w:tc>
        <w:tc>
          <w:tcPr>
            <w:tcW w:w="1114" w:type="dxa"/>
          </w:tcPr>
          <w:p w:rsidR="00D849AA" w:rsidRPr="00D61DA2" w:rsidRDefault="00EE6D95">
            <w:pPr>
              <w:rPr>
                <w:rFonts w:ascii="Arial" w:hAnsi="Arial" w:cs="Arial"/>
              </w:rPr>
            </w:pPr>
            <w:r w:rsidRPr="00D61DA2">
              <w:rPr>
                <w:rFonts w:ascii="Arial" w:hAnsi="Arial" w:cs="Arial"/>
              </w:rPr>
              <w:t>%</w:t>
            </w:r>
          </w:p>
        </w:tc>
        <w:tc>
          <w:tcPr>
            <w:tcW w:w="1114" w:type="dxa"/>
          </w:tcPr>
          <w:p w:rsidR="00D849AA" w:rsidRPr="00D61DA2" w:rsidRDefault="00EE6D95">
            <w:pPr>
              <w:rPr>
                <w:rFonts w:ascii="Arial" w:hAnsi="Arial" w:cs="Arial"/>
              </w:rPr>
            </w:pPr>
            <w:r w:rsidRPr="00D61DA2">
              <w:rPr>
                <w:rFonts w:ascii="Arial" w:hAnsi="Arial" w:cs="Arial"/>
              </w:rPr>
              <w:t>80</w:t>
            </w:r>
          </w:p>
        </w:tc>
        <w:tc>
          <w:tcPr>
            <w:tcW w:w="1486" w:type="dxa"/>
          </w:tcPr>
          <w:p w:rsidR="00D849AA" w:rsidRPr="00D61DA2" w:rsidRDefault="00EE6D95">
            <w:pPr>
              <w:rPr>
                <w:rFonts w:ascii="Arial" w:hAnsi="Arial" w:cs="Arial"/>
              </w:rPr>
            </w:pPr>
            <w:r w:rsidRPr="00D61DA2">
              <w:rPr>
                <w:rFonts w:ascii="Arial" w:hAnsi="Arial" w:cs="Arial"/>
              </w:rPr>
              <w:t>82</w:t>
            </w:r>
          </w:p>
        </w:tc>
        <w:tc>
          <w:tcPr>
            <w:tcW w:w="1486" w:type="dxa"/>
          </w:tcPr>
          <w:p w:rsidR="00D849AA" w:rsidRPr="00D61DA2" w:rsidRDefault="00EE6D95">
            <w:pPr>
              <w:rPr>
                <w:rFonts w:ascii="Arial" w:hAnsi="Arial" w:cs="Arial"/>
              </w:rPr>
            </w:pPr>
            <w:r w:rsidRPr="00D61DA2">
              <w:rPr>
                <w:rFonts w:ascii="Arial" w:hAnsi="Arial" w:cs="Arial"/>
              </w:rPr>
              <w:t>85</w:t>
            </w:r>
          </w:p>
        </w:tc>
        <w:tc>
          <w:tcPr>
            <w:tcW w:w="1486" w:type="dxa"/>
          </w:tcPr>
          <w:p w:rsidR="00D849AA" w:rsidRPr="00D61DA2" w:rsidRDefault="00EE6D95">
            <w:pPr>
              <w:rPr>
                <w:rFonts w:ascii="Arial" w:hAnsi="Arial" w:cs="Arial"/>
              </w:rPr>
            </w:pPr>
            <w:r w:rsidRPr="00D61DA2">
              <w:rPr>
                <w:rFonts w:ascii="Arial" w:hAnsi="Arial" w:cs="Arial"/>
              </w:rPr>
              <w:t>90</w:t>
            </w:r>
          </w:p>
        </w:tc>
      </w:tr>
    </w:tbl>
    <w:p w:rsidR="00D849AA" w:rsidRDefault="00D849AA">
      <w:pPr>
        <w:jc w:val="left"/>
      </w:pPr>
    </w:p>
    <w:p w:rsidR="00D849AA" w:rsidRDefault="00EE6D95">
      <w:pPr>
        <w:pStyle w:val="Naslov7"/>
      </w:pPr>
      <w:r>
        <w:t xml:space="preserve">Cilj 5. Određivanje referentnih centara Agencije za zaštitu okoliša </w:t>
      </w:r>
    </w:p>
    <w:p w:rsidR="00D849AA" w:rsidRDefault="00EE6D95">
      <w:pPr>
        <w:pStyle w:val="Normal6"/>
      </w:pPr>
      <w:r>
        <w:t>Određivanje referentnih centara Agencije za zaštitu okoliša propisano je Zakonom o zaštiti okoliša (Narodne novine, broj 80/13), članak 145. Cilj koji treba postići kroz određivanje referentnih centara je unaprijediti sustav izvješćivanja o stanju okoliša kroz uspostavu sustava toka podataka za sve sastavnice okoliša definirane Zakonom o zaštiti okoliša, te unaprijediti kvalitetu i cjelovitost podataka i informacija. No kako u postupku određivanja referentnih centara Agencija sudjeluje samo kao predlagatelj, dok Vlada donosi konačnu odluku (na prijedlog Ministarstva zaštite okoliša i prirode), dinamika osnivanja centara ovisiti će, prije svega, o osiguranju sredstava za njihov rad u državnom proračunu.</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D61DA2" w:rsidRDefault="00EE6D95">
            <w:pPr>
              <w:rPr>
                <w:rFonts w:ascii="Arial" w:hAnsi="Arial" w:cs="Arial"/>
              </w:rPr>
            </w:pPr>
            <w:r w:rsidRPr="00D61DA2">
              <w:rPr>
                <w:rFonts w:ascii="Arial" w:hAnsi="Arial" w:cs="Arial"/>
              </w:rPr>
              <w:t>Pokazatelj učinka</w:t>
            </w:r>
          </w:p>
        </w:tc>
        <w:tc>
          <w:tcPr>
            <w:tcW w:w="1114" w:type="dxa"/>
            <w:shd w:val="clear" w:color="auto" w:fill="B5C0D8"/>
          </w:tcPr>
          <w:p w:rsidR="00D849AA" w:rsidRPr="00D61DA2" w:rsidRDefault="00EE6D95">
            <w:pPr>
              <w:pStyle w:val="CellHeader"/>
            </w:pPr>
            <w:r w:rsidRPr="00D61DA2">
              <w:t>Jedinica</w:t>
            </w:r>
          </w:p>
        </w:tc>
        <w:tc>
          <w:tcPr>
            <w:tcW w:w="1114" w:type="dxa"/>
            <w:shd w:val="clear" w:color="auto" w:fill="B5C0D8"/>
          </w:tcPr>
          <w:p w:rsidR="00D849AA" w:rsidRPr="00D61DA2" w:rsidRDefault="00EE6D95">
            <w:pPr>
              <w:pStyle w:val="CellHeader"/>
            </w:pPr>
            <w:r w:rsidRPr="00D61DA2">
              <w:t>Polazna vrijednost</w:t>
            </w:r>
          </w:p>
        </w:tc>
        <w:tc>
          <w:tcPr>
            <w:tcW w:w="1486" w:type="dxa"/>
            <w:shd w:val="clear" w:color="auto" w:fill="B5C0D8"/>
          </w:tcPr>
          <w:p w:rsidR="00D849AA" w:rsidRPr="00D61DA2" w:rsidRDefault="00EE6D95">
            <w:pPr>
              <w:pStyle w:val="CellHeader"/>
            </w:pPr>
            <w:r w:rsidRPr="00D61DA2">
              <w:t>Ciljana vrijednost (2014.)</w:t>
            </w:r>
          </w:p>
        </w:tc>
        <w:tc>
          <w:tcPr>
            <w:tcW w:w="1486" w:type="dxa"/>
            <w:shd w:val="clear" w:color="auto" w:fill="B5C0D8"/>
          </w:tcPr>
          <w:p w:rsidR="00D849AA" w:rsidRPr="00D61DA2" w:rsidRDefault="00EE6D95">
            <w:pPr>
              <w:pStyle w:val="CellHeader"/>
            </w:pPr>
            <w:r w:rsidRPr="00D61DA2">
              <w:t>Ciljana vrijednost (2015.)</w:t>
            </w:r>
          </w:p>
        </w:tc>
        <w:tc>
          <w:tcPr>
            <w:tcW w:w="1486" w:type="dxa"/>
            <w:shd w:val="clear" w:color="auto" w:fill="B5C0D8"/>
          </w:tcPr>
          <w:p w:rsidR="00D849AA" w:rsidRPr="00D61DA2" w:rsidRDefault="00EE6D95">
            <w:pPr>
              <w:pStyle w:val="CellHeader"/>
            </w:pPr>
            <w:r w:rsidRPr="00D61DA2">
              <w:t>Ciljana vrijednost (2016.)</w:t>
            </w:r>
          </w:p>
        </w:tc>
      </w:tr>
      <w:tr w:rsidR="00D849AA">
        <w:trPr>
          <w:jc w:val="center"/>
        </w:trPr>
        <w:tc>
          <w:tcPr>
            <w:tcW w:w="2229" w:type="dxa"/>
          </w:tcPr>
          <w:p w:rsidR="00D849AA" w:rsidRPr="00D61DA2" w:rsidRDefault="00EE6D95">
            <w:pPr>
              <w:pStyle w:val="CellColumn"/>
            </w:pPr>
            <w:r w:rsidRPr="00D61DA2">
              <w:t>Postotak   pokrivenosti tematskih</w:t>
            </w:r>
            <w:r w:rsidRPr="00D61DA2">
              <w:tab/>
              <w:t>područja odgovarajućim referentnim centrima</w:t>
            </w:r>
          </w:p>
        </w:tc>
        <w:tc>
          <w:tcPr>
            <w:tcW w:w="1114" w:type="dxa"/>
          </w:tcPr>
          <w:p w:rsidR="00D849AA" w:rsidRPr="00D61DA2" w:rsidRDefault="00EE6D95">
            <w:pPr>
              <w:rPr>
                <w:rFonts w:ascii="Arial" w:hAnsi="Arial" w:cs="Arial"/>
              </w:rPr>
            </w:pPr>
            <w:r w:rsidRPr="00D61DA2">
              <w:rPr>
                <w:rFonts w:ascii="Arial" w:hAnsi="Arial" w:cs="Arial"/>
              </w:rPr>
              <w:t>%</w:t>
            </w:r>
          </w:p>
        </w:tc>
        <w:tc>
          <w:tcPr>
            <w:tcW w:w="1114" w:type="dxa"/>
          </w:tcPr>
          <w:p w:rsidR="00D849AA" w:rsidRPr="00D61DA2" w:rsidRDefault="00EE6D95">
            <w:pPr>
              <w:rPr>
                <w:rFonts w:ascii="Arial" w:hAnsi="Arial" w:cs="Arial"/>
              </w:rPr>
            </w:pPr>
            <w:r w:rsidRPr="00D61DA2">
              <w:rPr>
                <w:rFonts w:ascii="Arial" w:hAnsi="Arial" w:cs="Arial"/>
              </w:rPr>
              <w:t>5</w:t>
            </w:r>
          </w:p>
        </w:tc>
        <w:tc>
          <w:tcPr>
            <w:tcW w:w="1486" w:type="dxa"/>
          </w:tcPr>
          <w:p w:rsidR="00D849AA" w:rsidRPr="00D61DA2" w:rsidRDefault="00EE6D95">
            <w:pPr>
              <w:rPr>
                <w:rFonts w:ascii="Arial" w:hAnsi="Arial" w:cs="Arial"/>
              </w:rPr>
            </w:pPr>
            <w:r w:rsidRPr="00D61DA2">
              <w:rPr>
                <w:rFonts w:ascii="Arial" w:hAnsi="Arial" w:cs="Arial"/>
              </w:rPr>
              <w:t>40</w:t>
            </w:r>
          </w:p>
        </w:tc>
        <w:tc>
          <w:tcPr>
            <w:tcW w:w="1486" w:type="dxa"/>
          </w:tcPr>
          <w:p w:rsidR="00D849AA" w:rsidRPr="00D61DA2" w:rsidRDefault="00EE6D95">
            <w:pPr>
              <w:rPr>
                <w:rFonts w:ascii="Arial" w:hAnsi="Arial" w:cs="Arial"/>
              </w:rPr>
            </w:pPr>
            <w:r w:rsidRPr="00D61DA2">
              <w:rPr>
                <w:rFonts w:ascii="Arial" w:hAnsi="Arial" w:cs="Arial"/>
              </w:rPr>
              <w:t>60</w:t>
            </w:r>
          </w:p>
        </w:tc>
        <w:tc>
          <w:tcPr>
            <w:tcW w:w="1486" w:type="dxa"/>
          </w:tcPr>
          <w:p w:rsidR="00D849AA" w:rsidRPr="00D61DA2" w:rsidRDefault="00EE6D95">
            <w:pPr>
              <w:rPr>
                <w:rFonts w:ascii="Arial" w:hAnsi="Arial" w:cs="Arial"/>
              </w:rPr>
            </w:pPr>
            <w:r w:rsidRPr="00D61DA2">
              <w:rPr>
                <w:rFonts w:ascii="Arial" w:hAnsi="Arial" w:cs="Arial"/>
              </w:rPr>
              <w:t>70</w:t>
            </w:r>
          </w:p>
        </w:tc>
      </w:tr>
      <w:tr w:rsidR="00D849AA">
        <w:trPr>
          <w:jc w:val="center"/>
        </w:trPr>
        <w:tc>
          <w:tcPr>
            <w:tcW w:w="2229" w:type="dxa"/>
          </w:tcPr>
          <w:p w:rsidR="00D849AA" w:rsidRPr="00D61DA2" w:rsidRDefault="00EE6D95">
            <w:pPr>
              <w:pStyle w:val="CellColumn"/>
            </w:pPr>
            <w:r w:rsidRPr="00D61DA2">
              <w:t>Postotak uspostavljanog</w:t>
            </w:r>
            <w:r w:rsidRPr="00D61DA2">
              <w:tab/>
              <w:t>toka podataka</w:t>
            </w:r>
            <w:r w:rsidRPr="00D61DA2">
              <w:tab/>
            </w:r>
            <w:r w:rsidRPr="00D61DA2">
              <w:tab/>
              <w:t xml:space="preserve">po tematskim </w:t>
            </w:r>
            <w:r w:rsidRPr="00D61DA2">
              <w:lastRenderedPageBreak/>
              <w:t>područjima</w:t>
            </w:r>
          </w:p>
        </w:tc>
        <w:tc>
          <w:tcPr>
            <w:tcW w:w="1114" w:type="dxa"/>
          </w:tcPr>
          <w:p w:rsidR="00D849AA" w:rsidRPr="00D61DA2" w:rsidRDefault="00EE6D95">
            <w:pPr>
              <w:rPr>
                <w:rFonts w:ascii="Arial" w:hAnsi="Arial" w:cs="Arial"/>
              </w:rPr>
            </w:pPr>
            <w:r w:rsidRPr="00D61DA2">
              <w:rPr>
                <w:rFonts w:ascii="Arial" w:hAnsi="Arial" w:cs="Arial"/>
              </w:rPr>
              <w:lastRenderedPageBreak/>
              <w:t>%</w:t>
            </w:r>
          </w:p>
        </w:tc>
        <w:tc>
          <w:tcPr>
            <w:tcW w:w="1114" w:type="dxa"/>
          </w:tcPr>
          <w:p w:rsidR="00D849AA" w:rsidRPr="00D61DA2" w:rsidRDefault="00EE6D95">
            <w:pPr>
              <w:rPr>
                <w:rFonts w:ascii="Arial" w:hAnsi="Arial" w:cs="Arial"/>
              </w:rPr>
            </w:pPr>
            <w:r w:rsidRPr="00D61DA2">
              <w:rPr>
                <w:rFonts w:ascii="Arial" w:hAnsi="Arial" w:cs="Arial"/>
              </w:rPr>
              <w:t>5</w:t>
            </w:r>
          </w:p>
        </w:tc>
        <w:tc>
          <w:tcPr>
            <w:tcW w:w="1486" w:type="dxa"/>
          </w:tcPr>
          <w:p w:rsidR="00D849AA" w:rsidRPr="00D61DA2" w:rsidRDefault="00EE6D95">
            <w:pPr>
              <w:rPr>
                <w:rFonts w:ascii="Arial" w:hAnsi="Arial" w:cs="Arial"/>
              </w:rPr>
            </w:pPr>
            <w:r w:rsidRPr="00D61DA2">
              <w:rPr>
                <w:rFonts w:ascii="Arial" w:hAnsi="Arial" w:cs="Arial"/>
              </w:rPr>
              <w:t>40</w:t>
            </w:r>
          </w:p>
        </w:tc>
        <w:tc>
          <w:tcPr>
            <w:tcW w:w="1486" w:type="dxa"/>
          </w:tcPr>
          <w:p w:rsidR="00D849AA" w:rsidRPr="00D61DA2" w:rsidRDefault="00EE6D95">
            <w:pPr>
              <w:rPr>
                <w:rFonts w:ascii="Arial" w:hAnsi="Arial" w:cs="Arial"/>
              </w:rPr>
            </w:pPr>
            <w:r w:rsidRPr="00D61DA2">
              <w:rPr>
                <w:rFonts w:ascii="Arial" w:hAnsi="Arial" w:cs="Arial"/>
              </w:rPr>
              <w:t>60</w:t>
            </w:r>
          </w:p>
        </w:tc>
        <w:tc>
          <w:tcPr>
            <w:tcW w:w="1486" w:type="dxa"/>
          </w:tcPr>
          <w:p w:rsidR="00D849AA" w:rsidRPr="00D61DA2" w:rsidRDefault="00EE6D95">
            <w:pPr>
              <w:rPr>
                <w:rFonts w:ascii="Arial" w:hAnsi="Arial" w:cs="Arial"/>
              </w:rPr>
            </w:pPr>
            <w:r w:rsidRPr="00D61DA2">
              <w:rPr>
                <w:rFonts w:ascii="Arial" w:hAnsi="Arial" w:cs="Arial"/>
              </w:rPr>
              <w:t>70</w:t>
            </w:r>
          </w:p>
        </w:tc>
      </w:tr>
      <w:tr w:rsidR="00D849AA">
        <w:trPr>
          <w:jc w:val="center"/>
        </w:trPr>
        <w:tc>
          <w:tcPr>
            <w:tcW w:w="2229" w:type="dxa"/>
          </w:tcPr>
          <w:p w:rsidR="00D849AA" w:rsidRDefault="00EE6D95">
            <w:pPr>
              <w:pStyle w:val="CellColumn"/>
            </w:pPr>
            <w:r>
              <w:lastRenderedPageBreak/>
              <w:t>Postotak cjelovitosti i kakvoće podataka i informacija</w:t>
            </w:r>
          </w:p>
        </w:tc>
        <w:tc>
          <w:tcPr>
            <w:tcW w:w="1114" w:type="dxa"/>
          </w:tcPr>
          <w:p w:rsidR="00D849AA" w:rsidRDefault="00EE6D95">
            <w:r>
              <w:t>%</w:t>
            </w:r>
          </w:p>
        </w:tc>
        <w:tc>
          <w:tcPr>
            <w:tcW w:w="1114" w:type="dxa"/>
          </w:tcPr>
          <w:p w:rsidR="00D849AA" w:rsidRDefault="00EE6D95">
            <w:r>
              <w:t>5</w:t>
            </w:r>
          </w:p>
        </w:tc>
        <w:tc>
          <w:tcPr>
            <w:tcW w:w="1486" w:type="dxa"/>
          </w:tcPr>
          <w:p w:rsidR="00D849AA" w:rsidRDefault="00EE6D95">
            <w:r>
              <w:t>40</w:t>
            </w:r>
          </w:p>
        </w:tc>
        <w:tc>
          <w:tcPr>
            <w:tcW w:w="1486" w:type="dxa"/>
          </w:tcPr>
          <w:p w:rsidR="00D849AA" w:rsidRDefault="00EE6D95">
            <w:r>
              <w:t>60</w:t>
            </w:r>
          </w:p>
        </w:tc>
        <w:tc>
          <w:tcPr>
            <w:tcW w:w="1486" w:type="dxa"/>
          </w:tcPr>
          <w:p w:rsidR="00D849AA" w:rsidRDefault="00EE6D95">
            <w:r>
              <w:t>70</w:t>
            </w:r>
          </w:p>
        </w:tc>
      </w:tr>
    </w:tbl>
    <w:p w:rsidR="00D849AA" w:rsidRDefault="00D849AA">
      <w:pPr>
        <w:jc w:val="left"/>
      </w:pPr>
    </w:p>
    <w:p w:rsidR="00D849AA" w:rsidRDefault="00EE6D95">
      <w:pPr>
        <w:pStyle w:val="Naslov7"/>
      </w:pPr>
      <w:r>
        <w:t xml:space="preserve">Cilj 6. Unapređenje kvalitete i cjelovitosti podataka i informacija </w:t>
      </w:r>
    </w:p>
    <w:p w:rsidR="00D849AA" w:rsidRDefault="00EE6D95">
      <w:pPr>
        <w:pStyle w:val="Normal6"/>
      </w:pPr>
      <w:r>
        <w:t>Sukladno Zakonu o zaštiti okoliša i Uredbi o informacijskom sustavu zaštite okoliša (čl.9.), obveznici dostave podataka su odgovorni za provjeru i osiguranje kakvoće podataka iz svoje nadležnosti. Agencija za zaštitu okoliša, u sklopu svojih nadležnosti, koordinira rad na osiguranju i kontroli kvalitete podataka. U tu svrhu Agencija provodi savjetodavne aktivnosti (radionice i upute za obveznike, organizirani „help desk“, „on-line“ naputci i dr.).</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1A0148" w:rsidRDefault="00EE6D95">
            <w:pPr>
              <w:rPr>
                <w:rFonts w:ascii="Arial" w:hAnsi="Arial" w:cs="Arial"/>
              </w:rPr>
            </w:pPr>
            <w:r w:rsidRPr="001A0148">
              <w:rPr>
                <w:rFonts w:ascii="Arial" w:hAnsi="Arial" w:cs="Arial"/>
              </w:rPr>
              <w:t>Pokazatelj učinka</w:t>
            </w:r>
          </w:p>
        </w:tc>
        <w:tc>
          <w:tcPr>
            <w:tcW w:w="1114" w:type="dxa"/>
            <w:shd w:val="clear" w:color="auto" w:fill="B5C0D8"/>
          </w:tcPr>
          <w:p w:rsidR="00D849AA" w:rsidRPr="001A0148" w:rsidRDefault="00EE6D95">
            <w:pPr>
              <w:pStyle w:val="CellHeader"/>
            </w:pPr>
            <w:r w:rsidRPr="001A0148">
              <w:t>Jedinica</w:t>
            </w:r>
          </w:p>
        </w:tc>
        <w:tc>
          <w:tcPr>
            <w:tcW w:w="1114" w:type="dxa"/>
            <w:shd w:val="clear" w:color="auto" w:fill="B5C0D8"/>
          </w:tcPr>
          <w:p w:rsidR="00D849AA" w:rsidRPr="001A0148" w:rsidRDefault="00EE6D95">
            <w:pPr>
              <w:pStyle w:val="CellHeader"/>
            </w:pPr>
            <w:r w:rsidRPr="001A0148">
              <w:t>Polazna vrijednost</w:t>
            </w:r>
          </w:p>
        </w:tc>
        <w:tc>
          <w:tcPr>
            <w:tcW w:w="1486" w:type="dxa"/>
            <w:shd w:val="clear" w:color="auto" w:fill="B5C0D8"/>
          </w:tcPr>
          <w:p w:rsidR="00D849AA" w:rsidRPr="001A0148" w:rsidRDefault="00EE6D95">
            <w:pPr>
              <w:pStyle w:val="CellHeader"/>
            </w:pPr>
            <w:r w:rsidRPr="001A0148">
              <w:t>Ciljana vrijednost (2014.)</w:t>
            </w:r>
          </w:p>
        </w:tc>
        <w:tc>
          <w:tcPr>
            <w:tcW w:w="1486" w:type="dxa"/>
            <w:shd w:val="clear" w:color="auto" w:fill="B5C0D8"/>
          </w:tcPr>
          <w:p w:rsidR="00D849AA" w:rsidRPr="001A0148" w:rsidRDefault="00EE6D95">
            <w:pPr>
              <w:pStyle w:val="CellHeader"/>
            </w:pPr>
            <w:r w:rsidRPr="001A0148">
              <w:t>Ciljana vrijednost (2015.)</w:t>
            </w:r>
          </w:p>
        </w:tc>
        <w:tc>
          <w:tcPr>
            <w:tcW w:w="1486" w:type="dxa"/>
            <w:shd w:val="clear" w:color="auto" w:fill="B5C0D8"/>
          </w:tcPr>
          <w:p w:rsidR="00D849AA" w:rsidRPr="001A0148" w:rsidRDefault="00EE6D95">
            <w:pPr>
              <w:pStyle w:val="CellHeader"/>
            </w:pPr>
            <w:r w:rsidRPr="001A0148">
              <w:t>Ciljana vrijednost (2016.)</w:t>
            </w:r>
          </w:p>
        </w:tc>
      </w:tr>
      <w:tr w:rsidR="00D849AA">
        <w:trPr>
          <w:jc w:val="center"/>
        </w:trPr>
        <w:tc>
          <w:tcPr>
            <w:tcW w:w="2229" w:type="dxa"/>
          </w:tcPr>
          <w:p w:rsidR="00D849AA" w:rsidRPr="001A0148" w:rsidRDefault="00EE6D95">
            <w:pPr>
              <w:pStyle w:val="CellColumn"/>
            </w:pPr>
            <w:r w:rsidRPr="001A0148">
              <w:t>Postotak primarno dostavljenih kvalitetnih podataka</w:t>
            </w:r>
          </w:p>
        </w:tc>
        <w:tc>
          <w:tcPr>
            <w:tcW w:w="1114" w:type="dxa"/>
          </w:tcPr>
          <w:p w:rsidR="00D849AA" w:rsidRPr="001A0148" w:rsidRDefault="00EE6D95">
            <w:pPr>
              <w:rPr>
                <w:rFonts w:ascii="Arial" w:hAnsi="Arial" w:cs="Arial"/>
              </w:rPr>
            </w:pPr>
            <w:r w:rsidRPr="001A0148">
              <w:rPr>
                <w:rFonts w:ascii="Arial" w:hAnsi="Arial" w:cs="Arial"/>
              </w:rPr>
              <w:t>%</w:t>
            </w:r>
          </w:p>
        </w:tc>
        <w:tc>
          <w:tcPr>
            <w:tcW w:w="1114" w:type="dxa"/>
          </w:tcPr>
          <w:p w:rsidR="00D849AA" w:rsidRPr="001A0148" w:rsidRDefault="00EE6D95">
            <w:pPr>
              <w:rPr>
                <w:rFonts w:ascii="Arial" w:hAnsi="Arial" w:cs="Arial"/>
              </w:rPr>
            </w:pPr>
            <w:r w:rsidRPr="001A0148">
              <w:rPr>
                <w:rFonts w:ascii="Arial" w:hAnsi="Arial" w:cs="Arial"/>
              </w:rPr>
              <w:t>45</w:t>
            </w:r>
          </w:p>
        </w:tc>
        <w:tc>
          <w:tcPr>
            <w:tcW w:w="1486" w:type="dxa"/>
          </w:tcPr>
          <w:p w:rsidR="00D849AA" w:rsidRPr="001A0148" w:rsidRDefault="00EE6D95">
            <w:pPr>
              <w:rPr>
                <w:rFonts w:ascii="Arial" w:hAnsi="Arial" w:cs="Arial"/>
              </w:rPr>
            </w:pPr>
            <w:r w:rsidRPr="001A0148">
              <w:rPr>
                <w:rFonts w:ascii="Arial" w:hAnsi="Arial" w:cs="Arial"/>
              </w:rPr>
              <w:t>80</w:t>
            </w:r>
          </w:p>
        </w:tc>
        <w:tc>
          <w:tcPr>
            <w:tcW w:w="1486" w:type="dxa"/>
          </w:tcPr>
          <w:p w:rsidR="00D849AA" w:rsidRPr="001A0148" w:rsidRDefault="00EE6D95">
            <w:pPr>
              <w:rPr>
                <w:rFonts w:ascii="Arial" w:hAnsi="Arial" w:cs="Arial"/>
              </w:rPr>
            </w:pPr>
            <w:r w:rsidRPr="001A0148">
              <w:rPr>
                <w:rFonts w:ascii="Arial" w:hAnsi="Arial" w:cs="Arial"/>
              </w:rPr>
              <w:t>85</w:t>
            </w:r>
          </w:p>
        </w:tc>
        <w:tc>
          <w:tcPr>
            <w:tcW w:w="1486" w:type="dxa"/>
          </w:tcPr>
          <w:p w:rsidR="00D849AA" w:rsidRPr="001A0148" w:rsidRDefault="00EE6D95">
            <w:pPr>
              <w:rPr>
                <w:rFonts w:ascii="Arial" w:hAnsi="Arial" w:cs="Arial"/>
              </w:rPr>
            </w:pPr>
            <w:r w:rsidRPr="001A0148">
              <w:rPr>
                <w:rFonts w:ascii="Arial" w:hAnsi="Arial" w:cs="Arial"/>
              </w:rPr>
              <w:t>95</w:t>
            </w:r>
          </w:p>
        </w:tc>
      </w:tr>
      <w:tr w:rsidR="00D849AA">
        <w:trPr>
          <w:jc w:val="center"/>
        </w:trPr>
        <w:tc>
          <w:tcPr>
            <w:tcW w:w="2229" w:type="dxa"/>
          </w:tcPr>
          <w:p w:rsidR="00D849AA" w:rsidRPr="001A0148" w:rsidRDefault="00EE6D95">
            <w:pPr>
              <w:pStyle w:val="CellColumn"/>
            </w:pPr>
            <w:r w:rsidRPr="001A0148">
              <w:t>Postotak zahtjeva za dodatnom provjerom kvalitete podataka</w:t>
            </w:r>
          </w:p>
        </w:tc>
        <w:tc>
          <w:tcPr>
            <w:tcW w:w="1114" w:type="dxa"/>
          </w:tcPr>
          <w:p w:rsidR="00D849AA" w:rsidRPr="001A0148" w:rsidRDefault="00EE6D95">
            <w:pPr>
              <w:rPr>
                <w:rFonts w:ascii="Arial" w:hAnsi="Arial" w:cs="Arial"/>
              </w:rPr>
            </w:pPr>
            <w:r w:rsidRPr="001A0148">
              <w:rPr>
                <w:rFonts w:ascii="Arial" w:hAnsi="Arial" w:cs="Arial"/>
              </w:rPr>
              <w:t>%</w:t>
            </w:r>
          </w:p>
        </w:tc>
        <w:tc>
          <w:tcPr>
            <w:tcW w:w="1114" w:type="dxa"/>
          </w:tcPr>
          <w:p w:rsidR="00D849AA" w:rsidRPr="001A0148" w:rsidRDefault="00EE6D95">
            <w:pPr>
              <w:rPr>
                <w:rFonts w:ascii="Arial" w:hAnsi="Arial" w:cs="Arial"/>
              </w:rPr>
            </w:pPr>
            <w:r w:rsidRPr="001A0148">
              <w:rPr>
                <w:rFonts w:ascii="Arial" w:hAnsi="Arial" w:cs="Arial"/>
              </w:rPr>
              <w:t>70</w:t>
            </w:r>
          </w:p>
        </w:tc>
        <w:tc>
          <w:tcPr>
            <w:tcW w:w="1486" w:type="dxa"/>
          </w:tcPr>
          <w:p w:rsidR="00D849AA" w:rsidRPr="001A0148" w:rsidRDefault="00EE6D95">
            <w:pPr>
              <w:rPr>
                <w:rFonts w:ascii="Arial" w:hAnsi="Arial" w:cs="Arial"/>
              </w:rPr>
            </w:pPr>
            <w:r w:rsidRPr="001A0148">
              <w:rPr>
                <w:rFonts w:ascii="Arial" w:hAnsi="Arial" w:cs="Arial"/>
              </w:rPr>
              <w:t>50</w:t>
            </w:r>
          </w:p>
        </w:tc>
        <w:tc>
          <w:tcPr>
            <w:tcW w:w="1486" w:type="dxa"/>
          </w:tcPr>
          <w:p w:rsidR="00D849AA" w:rsidRPr="001A0148" w:rsidRDefault="00EE6D95">
            <w:pPr>
              <w:rPr>
                <w:rFonts w:ascii="Arial" w:hAnsi="Arial" w:cs="Arial"/>
              </w:rPr>
            </w:pPr>
            <w:r w:rsidRPr="001A0148">
              <w:rPr>
                <w:rFonts w:ascii="Arial" w:hAnsi="Arial" w:cs="Arial"/>
              </w:rPr>
              <w:t>35</w:t>
            </w:r>
          </w:p>
        </w:tc>
        <w:tc>
          <w:tcPr>
            <w:tcW w:w="1486" w:type="dxa"/>
          </w:tcPr>
          <w:p w:rsidR="00D849AA" w:rsidRPr="001A0148" w:rsidRDefault="00EE6D95">
            <w:pPr>
              <w:rPr>
                <w:rFonts w:ascii="Arial" w:hAnsi="Arial" w:cs="Arial"/>
              </w:rPr>
            </w:pPr>
            <w:r w:rsidRPr="001A0148">
              <w:rPr>
                <w:rFonts w:ascii="Arial" w:hAnsi="Arial" w:cs="Arial"/>
              </w:rPr>
              <w:t>30</w:t>
            </w:r>
          </w:p>
        </w:tc>
      </w:tr>
      <w:tr w:rsidR="00D849AA">
        <w:trPr>
          <w:jc w:val="center"/>
        </w:trPr>
        <w:tc>
          <w:tcPr>
            <w:tcW w:w="2229" w:type="dxa"/>
          </w:tcPr>
          <w:p w:rsidR="00D849AA" w:rsidRPr="001A0148" w:rsidRDefault="00EE6D95">
            <w:pPr>
              <w:pStyle w:val="CellColumn"/>
            </w:pPr>
            <w:r w:rsidRPr="001A0148">
              <w:t>Postotak uputa i odgovora na upite obveznika</w:t>
            </w:r>
          </w:p>
        </w:tc>
        <w:tc>
          <w:tcPr>
            <w:tcW w:w="1114" w:type="dxa"/>
          </w:tcPr>
          <w:p w:rsidR="00D849AA" w:rsidRPr="001A0148" w:rsidRDefault="00EE6D95">
            <w:pPr>
              <w:rPr>
                <w:rFonts w:ascii="Arial" w:hAnsi="Arial" w:cs="Arial"/>
              </w:rPr>
            </w:pPr>
            <w:r w:rsidRPr="001A0148">
              <w:rPr>
                <w:rFonts w:ascii="Arial" w:hAnsi="Arial" w:cs="Arial"/>
              </w:rPr>
              <w:t>%</w:t>
            </w:r>
          </w:p>
        </w:tc>
        <w:tc>
          <w:tcPr>
            <w:tcW w:w="1114" w:type="dxa"/>
          </w:tcPr>
          <w:p w:rsidR="00D849AA" w:rsidRPr="001A0148" w:rsidRDefault="00EE6D95">
            <w:pPr>
              <w:rPr>
                <w:rFonts w:ascii="Arial" w:hAnsi="Arial" w:cs="Arial"/>
              </w:rPr>
            </w:pPr>
            <w:r w:rsidRPr="001A0148">
              <w:rPr>
                <w:rFonts w:ascii="Arial" w:hAnsi="Arial" w:cs="Arial"/>
              </w:rPr>
              <w:t>70</w:t>
            </w:r>
          </w:p>
        </w:tc>
        <w:tc>
          <w:tcPr>
            <w:tcW w:w="1486" w:type="dxa"/>
          </w:tcPr>
          <w:p w:rsidR="00D849AA" w:rsidRPr="001A0148" w:rsidRDefault="00EE6D95">
            <w:pPr>
              <w:rPr>
                <w:rFonts w:ascii="Arial" w:hAnsi="Arial" w:cs="Arial"/>
              </w:rPr>
            </w:pPr>
            <w:r w:rsidRPr="001A0148">
              <w:rPr>
                <w:rFonts w:ascii="Arial" w:hAnsi="Arial" w:cs="Arial"/>
              </w:rPr>
              <w:t>80</w:t>
            </w:r>
          </w:p>
        </w:tc>
        <w:tc>
          <w:tcPr>
            <w:tcW w:w="1486" w:type="dxa"/>
          </w:tcPr>
          <w:p w:rsidR="00D849AA" w:rsidRPr="001A0148" w:rsidRDefault="00EE6D95">
            <w:pPr>
              <w:rPr>
                <w:rFonts w:ascii="Arial" w:hAnsi="Arial" w:cs="Arial"/>
              </w:rPr>
            </w:pPr>
            <w:r w:rsidRPr="001A0148">
              <w:rPr>
                <w:rFonts w:ascii="Arial" w:hAnsi="Arial" w:cs="Arial"/>
              </w:rPr>
              <w:t>95</w:t>
            </w:r>
          </w:p>
        </w:tc>
        <w:tc>
          <w:tcPr>
            <w:tcW w:w="1486" w:type="dxa"/>
          </w:tcPr>
          <w:p w:rsidR="00D849AA" w:rsidRPr="001A0148" w:rsidRDefault="00EE6D95">
            <w:pPr>
              <w:rPr>
                <w:rFonts w:ascii="Arial" w:hAnsi="Arial" w:cs="Arial"/>
              </w:rPr>
            </w:pPr>
            <w:r w:rsidRPr="001A0148">
              <w:rPr>
                <w:rFonts w:ascii="Arial" w:hAnsi="Arial" w:cs="Arial"/>
              </w:rPr>
              <w:t>98</w:t>
            </w:r>
          </w:p>
        </w:tc>
      </w:tr>
    </w:tbl>
    <w:p w:rsidR="00D849AA" w:rsidRDefault="00D849AA">
      <w:pPr>
        <w:jc w:val="left"/>
      </w:pPr>
    </w:p>
    <w:p w:rsidR="00D849AA" w:rsidRDefault="00EE6D95">
      <w:pPr>
        <w:pStyle w:val="Naslov7"/>
      </w:pPr>
      <w:r>
        <w:t xml:space="preserve">Cilj 7.  Informiranje i prikaz podataka javnosti       </w:t>
      </w:r>
    </w:p>
    <w:p w:rsidR="00D849AA" w:rsidRDefault="00EE6D95">
      <w:pPr>
        <w:pStyle w:val="Normal6"/>
      </w:pPr>
      <w:r>
        <w:t xml:space="preserve">Ovaj cilj obuhvaća kontinuirani prikaz i dostavu podataka javnosti sa svrhom ispunjenja obveza objave informacija i njihove javne dostupnosti, u skladu s nacionalnim i međunarodnim propisima i ugovorima. </w:t>
      </w:r>
    </w:p>
    <w:p w:rsidR="00D849AA" w:rsidRDefault="00EE6D95">
      <w:pPr>
        <w:pStyle w:val="Normal6"/>
      </w:pPr>
      <w:r>
        <w:t xml:space="preserve">Zbog jednostavnosti i preglednosti mnoštvo prikupljenih podataka važno je pretvoriti u razumljive informacije, kako za javnost, tako i za one koji odlučuju o politici zaštite okoliša, te iste informacije javno objaviti, što  je jedan  od temeljnih zadataka Agencije. </w:t>
      </w:r>
    </w:p>
    <w:p w:rsidR="00D849AA" w:rsidRDefault="00EE6D95">
      <w:pPr>
        <w:pStyle w:val="Normal6"/>
      </w:pPr>
      <w:r>
        <w:t xml:space="preserve">Aktivnost se odvija većim dijelom kroz osiguranje dostupnosti podataka i informacija putem njihove objave na Internet portalu, zakonski propisanim izvješćima i ostalim izvješćima te tiskanim publikacijama Agencije, dostavu podataka zainteresiranim ovlaštenicima, kao i objave informacija putem medija te kroz aktivnosti Info-centra u sjedištu Agencije. </w:t>
      </w:r>
    </w:p>
    <w:p w:rsidR="00D849AA" w:rsidRDefault="00EE6D95">
      <w:pPr>
        <w:pStyle w:val="Normal6"/>
      </w:pPr>
      <w:r>
        <w:t xml:space="preserve">Određena se izvješća objavljuju   na engleskom jeziku za potrebe predstavljanja u međunarodnom okruženju, Europskoj komisiji, Europskoj agenciji za okoliš ili u sklopu međunarodnih projekata. </w:t>
      </w:r>
    </w:p>
    <w:p w:rsidR="00D849AA" w:rsidRDefault="00EE6D95">
      <w:pPr>
        <w:pStyle w:val="Normal6"/>
      </w:pPr>
      <w:r>
        <w:t xml:space="preserve">Vezano uz ove aktivnosti, Strategijom Vladinih programa za razdoblje 2011.-2013. (Opći cilj 12), definirani su ciljevi jačanje svijesti i uključivanje javnosti. Strategija ističe  kako  je  kroz  redovite  kanale  komunikacije,  naročito  kroz  javne  medije, potrebno razvijati </w:t>
      </w:r>
      <w:r>
        <w:lastRenderedPageBreak/>
        <w:t xml:space="preserve">sustav informiranja publiciranjem informativnih materijala i nadopunjavanjem web portala novim sadržajima namijenjenih donositeljima odluka i širokoj javnosti, a napose djeci i mladima. </w:t>
      </w:r>
    </w:p>
    <w:p w:rsidR="00D849AA" w:rsidRDefault="00EE6D95">
      <w:pPr>
        <w:pStyle w:val="Normal6"/>
      </w:pPr>
      <w:r>
        <w:t>Pri tome treba jačati i suradnju s udrugama i nevladinim organizacijama, s ciljem pravilnog izvješćivanja o svim aspektima zaštite okoliša.</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rsidRPr="001A0148">
        <w:trPr>
          <w:jc w:val="center"/>
        </w:trPr>
        <w:tc>
          <w:tcPr>
            <w:tcW w:w="2229" w:type="dxa"/>
            <w:shd w:val="clear" w:color="auto" w:fill="B5C0D8"/>
          </w:tcPr>
          <w:p w:rsidR="00D849AA" w:rsidRPr="001A0148" w:rsidRDefault="00EE6D95">
            <w:pPr>
              <w:rPr>
                <w:rFonts w:ascii="Arial" w:hAnsi="Arial" w:cs="Arial"/>
              </w:rPr>
            </w:pPr>
            <w:r w:rsidRPr="001A0148">
              <w:rPr>
                <w:rFonts w:ascii="Arial" w:hAnsi="Arial" w:cs="Arial"/>
              </w:rPr>
              <w:t>Pokazatelj učinka</w:t>
            </w:r>
          </w:p>
        </w:tc>
        <w:tc>
          <w:tcPr>
            <w:tcW w:w="1114" w:type="dxa"/>
            <w:shd w:val="clear" w:color="auto" w:fill="B5C0D8"/>
          </w:tcPr>
          <w:p w:rsidR="00D849AA" w:rsidRPr="001A0148" w:rsidRDefault="00EE6D95">
            <w:pPr>
              <w:pStyle w:val="CellHeader"/>
            </w:pPr>
            <w:r w:rsidRPr="001A0148">
              <w:t>Jedinica</w:t>
            </w:r>
          </w:p>
        </w:tc>
        <w:tc>
          <w:tcPr>
            <w:tcW w:w="1114" w:type="dxa"/>
            <w:shd w:val="clear" w:color="auto" w:fill="B5C0D8"/>
          </w:tcPr>
          <w:p w:rsidR="00D849AA" w:rsidRPr="001A0148" w:rsidRDefault="00EE6D95">
            <w:pPr>
              <w:pStyle w:val="CellHeader"/>
            </w:pPr>
            <w:r w:rsidRPr="001A0148">
              <w:t>Polazna vrijednost</w:t>
            </w:r>
          </w:p>
        </w:tc>
        <w:tc>
          <w:tcPr>
            <w:tcW w:w="1486" w:type="dxa"/>
            <w:shd w:val="clear" w:color="auto" w:fill="B5C0D8"/>
          </w:tcPr>
          <w:p w:rsidR="00D849AA" w:rsidRPr="001A0148" w:rsidRDefault="00EE6D95">
            <w:pPr>
              <w:pStyle w:val="CellHeader"/>
            </w:pPr>
            <w:r w:rsidRPr="001A0148">
              <w:t>Ciljana vrijednost (2014.)</w:t>
            </w:r>
          </w:p>
        </w:tc>
        <w:tc>
          <w:tcPr>
            <w:tcW w:w="1486" w:type="dxa"/>
            <w:shd w:val="clear" w:color="auto" w:fill="B5C0D8"/>
          </w:tcPr>
          <w:p w:rsidR="00D849AA" w:rsidRPr="001A0148" w:rsidRDefault="00EE6D95">
            <w:pPr>
              <w:pStyle w:val="CellHeader"/>
            </w:pPr>
            <w:r w:rsidRPr="001A0148">
              <w:t>Ciljana vrijednost (2015.)</w:t>
            </w:r>
          </w:p>
        </w:tc>
        <w:tc>
          <w:tcPr>
            <w:tcW w:w="1486" w:type="dxa"/>
            <w:shd w:val="clear" w:color="auto" w:fill="B5C0D8"/>
          </w:tcPr>
          <w:p w:rsidR="00D849AA" w:rsidRPr="001A0148" w:rsidRDefault="00EE6D95">
            <w:pPr>
              <w:pStyle w:val="CellHeader"/>
            </w:pPr>
            <w:r w:rsidRPr="001A0148">
              <w:t>Ciljana vrijednost (2016.)</w:t>
            </w:r>
          </w:p>
        </w:tc>
      </w:tr>
      <w:tr w:rsidR="00D849AA" w:rsidRPr="001A0148">
        <w:trPr>
          <w:jc w:val="center"/>
        </w:trPr>
        <w:tc>
          <w:tcPr>
            <w:tcW w:w="2229" w:type="dxa"/>
          </w:tcPr>
          <w:p w:rsidR="00D849AA" w:rsidRPr="001A0148" w:rsidRDefault="00EE6D95">
            <w:pPr>
              <w:pStyle w:val="CellColumn"/>
            </w:pPr>
            <w:r w:rsidRPr="001A0148">
              <w:t>Broj objavljenih podataka na Internet stranici Agencije</w:t>
            </w:r>
          </w:p>
        </w:tc>
        <w:tc>
          <w:tcPr>
            <w:tcW w:w="1114" w:type="dxa"/>
          </w:tcPr>
          <w:p w:rsidR="00D849AA" w:rsidRPr="001A0148" w:rsidRDefault="00EE6D95">
            <w:pPr>
              <w:rPr>
                <w:rFonts w:ascii="Arial" w:hAnsi="Arial" w:cs="Arial"/>
              </w:rPr>
            </w:pPr>
            <w:r w:rsidRPr="001A0148">
              <w:rPr>
                <w:rFonts w:ascii="Arial" w:hAnsi="Arial" w:cs="Arial"/>
              </w:rPr>
              <w:t>broj</w:t>
            </w:r>
          </w:p>
        </w:tc>
        <w:tc>
          <w:tcPr>
            <w:tcW w:w="1114" w:type="dxa"/>
          </w:tcPr>
          <w:p w:rsidR="00D849AA" w:rsidRPr="001A0148" w:rsidRDefault="00EE6D95">
            <w:pPr>
              <w:rPr>
                <w:rFonts w:ascii="Arial" w:hAnsi="Arial" w:cs="Arial"/>
              </w:rPr>
            </w:pPr>
            <w:r w:rsidRPr="001A0148">
              <w:rPr>
                <w:rFonts w:ascii="Arial" w:hAnsi="Arial" w:cs="Arial"/>
              </w:rPr>
              <w:t>8500</w:t>
            </w:r>
          </w:p>
        </w:tc>
        <w:tc>
          <w:tcPr>
            <w:tcW w:w="1486" w:type="dxa"/>
          </w:tcPr>
          <w:p w:rsidR="00D849AA" w:rsidRPr="001A0148" w:rsidRDefault="00EE6D95">
            <w:pPr>
              <w:rPr>
                <w:rFonts w:ascii="Arial" w:hAnsi="Arial" w:cs="Arial"/>
              </w:rPr>
            </w:pPr>
            <w:r w:rsidRPr="001A0148">
              <w:rPr>
                <w:rFonts w:ascii="Arial" w:hAnsi="Arial" w:cs="Arial"/>
              </w:rPr>
              <w:t>11000</w:t>
            </w:r>
          </w:p>
        </w:tc>
        <w:tc>
          <w:tcPr>
            <w:tcW w:w="1486" w:type="dxa"/>
          </w:tcPr>
          <w:p w:rsidR="00D849AA" w:rsidRPr="001A0148" w:rsidRDefault="00EE6D95">
            <w:pPr>
              <w:rPr>
                <w:rFonts w:ascii="Arial" w:hAnsi="Arial" w:cs="Arial"/>
              </w:rPr>
            </w:pPr>
            <w:r w:rsidRPr="001A0148">
              <w:rPr>
                <w:rFonts w:ascii="Arial" w:hAnsi="Arial" w:cs="Arial"/>
              </w:rPr>
              <w:t>12000</w:t>
            </w:r>
          </w:p>
        </w:tc>
        <w:tc>
          <w:tcPr>
            <w:tcW w:w="1486" w:type="dxa"/>
          </w:tcPr>
          <w:p w:rsidR="00D849AA" w:rsidRPr="001A0148" w:rsidRDefault="00EE6D95">
            <w:pPr>
              <w:rPr>
                <w:rFonts w:ascii="Arial" w:hAnsi="Arial" w:cs="Arial"/>
              </w:rPr>
            </w:pPr>
            <w:r w:rsidRPr="001A0148">
              <w:rPr>
                <w:rFonts w:ascii="Arial" w:hAnsi="Arial" w:cs="Arial"/>
              </w:rPr>
              <w:t>12000</w:t>
            </w:r>
          </w:p>
        </w:tc>
      </w:tr>
      <w:tr w:rsidR="00D849AA" w:rsidRPr="001A0148">
        <w:trPr>
          <w:jc w:val="center"/>
        </w:trPr>
        <w:tc>
          <w:tcPr>
            <w:tcW w:w="2229" w:type="dxa"/>
          </w:tcPr>
          <w:p w:rsidR="00D849AA" w:rsidRPr="001A0148" w:rsidRDefault="00EE6D95">
            <w:pPr>
              <w:pStyle w:val="CellColumn"/>
            </w:pPr>
            <w:r w:rsidRPr="001A0148">
              <w:t xml:space="preserve">Broj dostavljenih podataka prema zahtjevima </w:t>
            </w:r>
          </w:p>
          <w:p w:rsidR="00D849AA" w:rsidRPr="001A0148" w:rsidRDefault="00EE6D95">
            <w:pPr>
              <w:pStyle w:val="CellColumn"/>
            </w:pPr>
            <w:r w:rsidRPr="001A0148">
              <w:t>Ovlaštenika</w:t>
            </w:r>
          </w:p>
        </w:tc>
        <w:tc>
          <w:tcPr>
            <w:tcW w:w="1114" w:type="dxa"/>
          </w:tcPr>
          <w:p w:rsidR="00D849AA" w:rsidRPr="001A0148" w:rsidRDefault="00EE6D95">
            <w:pPr>
              <w:rPr>
                <w:rFonts w:ascii="Arial" w:hAnsi="Arial" w:cs="Arial"/>
              </w:rPr>
            </w:pPr>
            <w:r w:rsidRPr="001A0148">
              <w:rPr>
                <w:rFonts w:ascii="Arial" w:hAnsi="Arial" w:cs="Arial"/>
              </w:rPr>
              <w:t>broj</w:t>
            </w:r>
          </w:p>
        </w:tc>
        <w:tc>
          <w:tcPr>
            <w:tcW w:w="1114" w:type="dxa"/>
          </w:tcPr>
          <w:p w:rsidR="00D849AA" w:rsidRPr="001A0148" w:rsidRDefault="00EE6D95">
            <w:pPr>
              <w:rPr>
                <w:rFonts w:ascii="Arial" w:hAnsi="Arial" w:cs="Arial"/>
              </w:rPr>
            </w:pPr>
            <w:r w:rsidRPr="001A0148">
              <w:rPr>
                <w:rFonts w:ascii="Arial" w:hAnsi="Arial" w:cs="Arial"/>
              </w:rPr>
              <w:t>30</w:t>
            </w:r>
          </w:p>
        </w:tc>
        <w:tc>
          <w:tcPr>
            <w:tcW w:w="1486" w:type="dxa"/>
          </w:tcPr>
          <w:p w:rsidR="00D849AA" w:rsidRPr="001A0148" w:rsidRDefault="00EE6D95">
            <w:pPr>
              <w:rPr>
                <w:rFonts w:ascii="Arial" w:hAnsi="Arial" w:cs="Arial"/>
              </w:rPr>
            </w:pPr>
            <w:r w:rsidRPr="001A0148">
              <w:rPr>
                <w:rFonts w:ascii="Arial" w:hAnsi="Arial" w:cs="Arial"/>
              </w:rPr>
              <w:t>40</w:t>
            </w:r>
          </w:p>
        </w:tc>
        <w:tc>
          <w:tcPr>
            <w:tcW w:w="1486" w:type="dxa"/>
          </w:tcPr>
          <w:p w:rsidR="00D849AA" w:rsidRPr="001A0148" w:rsidRDefault="00EE6D95">
            <w:pPr>
              <w:rPr>
                <w:rFonts w:ascii="Arial" w:hAnsi="Arial" w:cs="Arial"/>
              </w:rPr>
            </w:pPr>
            <w:r w:rsidRPr="001A0148">
              <w:rPr>
                <w:rFonts w:ascii="Arial" w:hAnsi="Arial" w:cs="Arial"/>
              </w:rPr>
              <w:t>45</w:t>
            </w:r>
          </w:p>
        </w:tc>
        <w:tc>
          <w:tcPr>
            <w:tcW w:w="1486" w:type="dxa"/>
          </w:tcPr>
          <w:p w:rsidR="00D849AA" w:rsidRPr="001A0148" w:rsidRDefault="00EE6D95">
            <w:pPr>
              <w:rPr>
                <w:rFonts w:ascii="Arial" w:hAnsi="Arial" w:cs="Arial"/>
              </w:rPr>
            </w:pPr>
            <w:r w:rsidRPr="001A0148">
              <w:rPr>
                <w:rFonts w:ascii="Arial" w:hAnsi="Arial" w:cs="Arial"/>
              </w:rPr>
              <w:t>45</w:t>
            </w:r>
          </w:p>
        </w:tc>
      </w:tr>
      <w:tr w:rsidR="00D849AA" w:rsidRPr="001A0148">
        <w:trPr>
          <w:jc w:val="center"/>
        </w:trPr>
        <w:tc>
          <w:tcPr>
            <w:tcW w:w="2229" w:type="dxa"/>
          </w:tcPr>
          <w:p w:rsidR="00D849AA" w:rsidRPr="001A0148" w:rsidRDefault="00EE6D95">
            <w:pPr>
              <w:pStyle w:val="CellColumn"/>
            </w:pPr>
            <w:r w:rsidRPr="001A0148">
              <w:t>Broj upita zaprimljenih iz šire javnosti</w:t>
            </w:r>
          </w:p>
        </w:tc>
        <w:tc>
          <w:tcPr>
            <w:tcW w:w="1114" w:type="dxa"/>
          </w:tcPr>
          <w:p w:rsidR="00D849AA" w:rsidRPr="001A0148" w:rsidRDefault="00EE6D95">
            <w:pPr>
              <w:rPr>
                <w:rFonts w:ascii="Arial" w:hAnsi="Arial" w:cs="Arial"/>
              </w:rPr>
            </w:pPr>
            <w:r w:rsidRPr="001A0148">
              <w:rPr>
                <w:rFonts w:ascii="Arial" w:hAnsi="Arial" w:cs="Arial"/>
              </w:rPr>
              <w:t>broj</w:t>
            </w:r>
          </w:p>
        </w:tc>
        <w:tc>
          <w:tcPr>
            <w:tcW w:w="1114" w:type="dxa"/>
          </w:tcPr>
          <w:p w:rsidR="00D849AA" w:rsidRPr="001A0148" w:rsidRDefault="00EE6D95">
            <w:pPr>
              <w:rPr>
                <w:rFonts w:ascii="Arial" w:hAnsi="Arial" w:cs="Arial"/>
              </w:rPr>
            </w:pPr>
            <w:r w:rsidRPr="001A0148">
              <w:rPr>
                <w:rFonts w:ascii="Arial" w:hAnsi="Arial" w:cs="Arial"/>
              </w:rPr>
              <w:t>700</w:t>
            </w:r>
          </w:p>
        </w:tc>
        <w:tc>
          <w:tcPr>
            <w:tcW w:w="1486" w:type="dxa"/>
          </w:tcPr>
          <w:p w:rsidR="00D849AA" w:rsidRPr="001A0148" w:rsidRDefault="00EE6D95">
            <w:pPr>
              <w:rPr>
                <w:rFonts w:ascii="Arial" w:hAnsi="Arial" w:cs="Arial"/>
              </w:rPr>
            </w:pPr>
            <w:r w:rsidRPr="001A0148">
              <w:rPr>
                <w:rFonts w:ascii="Arial" w:hAnsi="Arial" w:cs="Arial"/>
              </w:rPr>
              <w:t>800</w:t>
            </w:r>
          </w:p>
        </w:tc>
        <w:tc>
          <w:tcPr>
            <w:tcW w:w="1486" w:type="dxa"/>
          </w:tcPr>
          <w:p w:rsidR="00D849AA" w:rsidRPr="001A0148" w:rsidRDefault="00EE6D95">
            <w:pPr>
              <w:rPr>
                <w:rFonts w:ascii="Arial" w:hAnsi="Arial" w:cs="Arial"/>
              </w:rPr>
            </w:pPr>
            <w:r w:rsidRPr="001A0148">
              <w:rPr>
                <w:rFonts w:ascii="Arial" w:hAnsi="Arial" w:cs="Arial"/>
              </w:rPr>
              <w:t>850</w:t>
            </w:r>
          </w:p>
        </w:tc>
        <w:tc>
          <w:tcPr>
            <w:tcW w:w="1486" w:type="dxa"/>
          </w:tcPr>
          <w:p w:rsidR="00D849AA" w:rsidRPr="001A0148" w:rsidRDefault="00EE6D95">
            <w:pPr>
              <w:rPr>
                <w:rFonts w:ascii="Arial" w:hAnsi="Arial" w:cs="Arial"/>
              </w:rPr>
            </w:pPr>
            <w:r w:rsidRPr="001A0148">
              <w:rPr>
                <w:rFonts w:ascii="Arial" w:hAnsi="Arial" w:cs="Arial"/>
              </w:rPr>
              <w:t>900</w:t>
            </w:r>
          </w:p>
        </w:tc>
      </w:tr>
    </w:tbl>
    <w:p w:rsidR="00D849AA" w:rsidRPr="001A0148" w:rsidRDefault="00D849AA">
      <w:pPr>
        <w:jc w:val="left"/>
        <w:rPr>
          <w:rFonts w:ascii="Arial" w:hAnsi="Arial" w:cs="Arial"/>
        </w:rPr>
      </w:pPr>
    </w:p>
    <w:p w:rsidR="00D849AA" w:rsidRDefault="00EE6D95">
      <w:pPr>
        <w:pStyle w:val="Naslov7"/>
      </w:pPr>
      <w:r>
        <w:t xml:space="preserve">Cilj 8. Jačanje svijesti i uključivanje javnosti </w:t>
      </w:r>
    </w:p>
    <w:p w:rsidR="00D849AA" w:rsidRDefault="00EE6D95">
      <w:pPr>
        <w:pStyle w:val="Normal6"/>
      </w:pPr>
      <w:r>
        <w:t>Sustav informiranja treba razvijati kroz redovite kanale komunikacije, a naročito kroz javne medije, publiciranjem i distribucijom informativnih i edukativnih tiskanih materijala, prigodnim akcijama namijenjenih jačanju svijesti o zaštiti okoliša, kao i nadopunjavanjem web portala novim sadržajima namijenjenih donositeljima odluka i širokoj javnosti, a napose djeci i mladima. Pri tome treba jačati i suradnju s udrugama i  nevladinim organizacijama, s ciljem pravilnog i pravovremenog izvješćivanja o svim aspektima zaštite okoliša.</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1A0148" w:rsidRDefault="00EE6D95">
            <w:pPr>
              <w:rPr>
                <w:rFonts w:ascii="Arial" w:hAnsi="Arial" w:cs="Arial"/>
              </w:rPr>
            </w:pPr>
            <w:r w:rsidRPr="001A0148">
              <w:rPr>
                <w:rFonts w:ascii="Arial" w:hAnsi="Arial" w:cs="Arial"/>
              </w:rPr>
              <w:t>Pokazatelj učinka</w:t>
            </w:r>
          </w:p>
        </w:tc>
        <w:tc>
          <w:tcPr>
            <w:tcW w:w="1114" w:type="dxa"/>
            <w:shd w:val="clear" w:color="auto" w:fill="B5C0D8"/>
          </w:tcPr>
          <w:p w:rsidR="00D849AA" w:rsidRPr="001A0148" w:rsidRDefault="00EE6D95">
            <w:pPr>
              <w:pStyle w:val="CellHeader"/>
            </w:pPr>
            <w:r w:rsidRPr="001A0148">
              <w:t>Jedinica</w:t>
            </w:r>
          </w:p>
        </w:tc>
        <w:tc>
          <w:tcPr>
            <w:tcW w:w="1114" w:type="dxa"/>
            <w:shd w:val="clear" w:color="auto" w:fill="B5C0D8"/>
          </w:tcPr>
          <w:p w:rsidR="00D849AA" w:rsidRPr="001A0148" w:rsidRDefault="00EE6D95">
            <w:pPr>
              <w:pStyle w:val="CellHeader"/>
            </w:pPr>
            <w:r w:rsidRPr="001A0148">
              <w:t>Polazna vrijednost</w:t>
            </w:r>
          </w:p>
        </w:tc>
        <w:tc>
          <w:tcPr>
            <w:tcW w:w="1486" w:type="dxa"/>
            <w:shd w:val="clear" w:color="auto" w:fill="B5C0D8"/>
          </w:tcPr>
          <w:p w:rsidR="00D849AA" w:rsidRPr="001A0148" w:rsidRDefault="00EE6D95">
            <w:pPr>
              <w:pStyle w:val="CellHeader"/>
            </w:pPr>
            <w:r w:rsidRPr="001A0148">
              <w:t>Ciljana vrijednost (2014.)</w:t>
            </w:r>
          </w:p>
        </w:tc>
        <w:tc>
          <w:tcPr>
            <w:tcW w:w="1486" w:type="dxa"/>
            <w:shd w:val="clear" w:color="auto" w:fill="B5C0D8"/>
          </w:tcPr>
          <w:p w:rsidR="00D849AA" w:rsidRPr="001A0148" w:rsidRDefault="00EE6D95">
            <w:pPr>
              <w:pStyle w:val="CellHeader"/>
            </w:pPr>
            <w:r w:rsidRPr="001A0148">
              <w:t>Ciljana vrijednost (2015.)</w:t>
            </w:r>
          </w:p>
        </w:tc>
        <w:tc>
          <w:tcPr>
            <w:tcW w:w="1486" w:type="dxa"/>
            <w:shd w:val="clear" w:color="auto" w:fill="B5C0D8"/>
          </w:tcPr>
          <w:p w:rsidR="00D849AA" w:rsidRPr="001A0148" w:rsidRDefault="00EE6D95">
            <w:pPr>
              <w:pStyle w:val="CellHeader"/>
            </w:pPr>
            <w:r w:rsidRPr="001A0148">
              <w:t>Ciljana vrijednost (2016.)</w:t>
            </w:r>
          </w:p>
        </w:tc>
      </w:tr>
      <w:tr w:rsidR="00D849AA">
        <w:trPr>
          <w:jc w:val="center"/>
        </w:trPr>
        <w:tc>
          <w:tcPr>
            <w:tcW w:w="2229" w:type="dxa"/>
          </w:tcPr>
          <w:p w:rsidR="00D849AA" w:rsidRPr="001A0148" w:rsidRDefault="00EE6D95">
            <w:pPr>
              <w:pStyle w:val="CellColumn"/>
            </w:pPr>
            <w:r w:rsidRPr="001A0148">
              <w:t>Broj tiskanih i distribuiranih izvješća i ostalih tiskanih materijala</w:t>
            </w:r>
          </w:p>
        </w:tc>
        <w:tc>
          <w:tcPr>
            <w:tcW w:w="1114" w:type="dxa"/>
          </w:tcPr>
          <w:p w:rsidR="00D849AA" w:rsidRPr="001A0148" w:rsidRDefault="00EE6D95">
            <w:pPr>
              <w:rPr>
                <w:rFonts w:ascii="Arial" w:hAnsi="Arial" w:cs="Arial"/>
              </w:rPr>
            </w:pPr>
            <w:r w:rsidRPr="001A0148">
              <w:rPr>
                <w:rFonts w:ascii="Arial" w:hAnsi="Arial" w:cs="Arial"/>
              </w:rPr>
              <w:t>broj</w:t>
            </w:r>
          </w:p>
        </w:tc>
        <w:tc>
          <w:tcPr>
            <w:tcW w:w="1114" w:type="dxa"/>
          </w:tcPr>
          <w:p w:rsidR="00D849AA" w:rsidRPr="001A0148" w:rsidRDefault="00EE6D95">
            <w:pPr>
              <w:rPr>
                <w:rFonts w:ascii="Arial" w:hAnsi="Arial" w:cs="Arial"/>
              </w:rPr>
            </w:pPr>
            <w:r w:rsidRPr="001A0148">
              <w:rPr>
                <w:rFonts w:ascii="Arial" w:hAnsi="Arial" w:cs="Arial"/>
              </w:rPr>
              <w:t>20</w:t>
            </w:r>
          </w:p>
        </w:tc>
        <w:tc>
          <w:tcPr>
            <w:tcW w:w="1486" w:type="dxa"/>
          </w:tcPr>
          <w:p w:rsidR="00D849AA" w:rsidRPr="001A0148" w:rsidRDefault="00EE6D95">
            <w:pPr>
              <w:rPr>
                <w:rFonts w:ascii="Arial" w:hAnsi="Arial" w:cs="Arial"/>
              </w:rPr>
            </w:pPr>
            <w:r w:rsidRPr="001A0148">
              <w:rPr>
                <w:rFonts w:ascii="Arial" w:hAnsi="Arial" w:cs="Arial"/>
              </w:rPr>
              <w:t>30</w:t>
            </w:r>
          </w:p>
        </w:tc>
        <w:tc>
          <w:tcPr>
            <w:tcW w:w="1486" w:type="dxa"/>
          </w:tcPr>
          <w:p w:rsidR="00D849AA" w:rsidRPr="001A0148" w:rsidRDefault="00EE6D95">
            <w:pPr>
              <w:rPr>
                <w:rFonts w:ascii="Arial" w:hAnsi="Arial" w:cs="Arial"/>
              </w:rPr>
            </w:pPr>
            <w:r w:rsidRPr="001A0148">
              <w:rPr>
                <w:rFonts w:ascii="Arial" w:hAnsi="Arial" w:cs="Arial"/>
              </w:rPr>
              <w:t>35</w:t>
            </w:r>
          </w:p>
        </w:tc>
        <w:tc>
          <w:tcPr>
            <w:tcW w:w="1486" w:type="dxa"/>
          </w:tcPr>
          <w:p w:rsidR="00D849AA" w:rsidRPr="001A0148" w:rsidRDefault="00EE6D95">
            <w:pPr>
              <w:rPr>
                <w:rFonts w:ascii="Arial" w:hAnsi="Arial" w:cs="Arial"/>
              </w:rPr>
            </w:pPr>
            <w:r w:rsidRPr="001A0148">
              <w:rPr>
                <w:rFonts w:ascii="Arial" w:hAnsi="Arial" w:cs="Arial"/>
              </w:rPr>
              <w:t>35</w:t>
            </w:r>
          </w:p>
        </w:tc>
      </w:tr>
      <w:tr w:rsidR="00D849AA">
        <w:trPr>
          <w:jc w:val="center"/>
        </w:trPr>
        <w:tc>
          <w:tcPr>
            <w:tcW w:w="2229" w:type="dxa"/>
          </w:tcPr>
          <w:p w:rsidR="00D849AA" w:rsidRPr="001A0148" w:rsidRDefault="00EE6D95">
            <w:pPr>
              <w:pStyle w:val="CellColumn"/>
            </w:pPr>
            <w:r w:rsidRPr="001A0148">
              <w:t>Broj objavljenih informacija u medijima i sudjelovanja u akcijama za širu javnost</w:t>
            </w:r>
          </w:p>
        </w:tc>
        <w:tc>
          <w:tcPr>
            <w:tcW w:w="1114" w:type="dxa"/>
          </w:tcPr>
          <w:p w:rsidR="00D849AA" w:rsidRPr="001A0148" w:rsidRDefault="00EE6D95">
            <w:pPr>
              <w:rPr>
                <w:rFonts w:ascii="Arial" w:hAnsi="Arial" w:cs="Arial"/>
              </w:rPr>
            </w:pPr>
            <w:r w:rsidRPr="001A0148">
              <w:rPr>
                <w:rFonts w:ascii="Arial" w:hAnsi="Arial" w:cs="Arial"/>
              </w:rPr>
              <w:t>broj</w:t>
            </w:r>
          </w:p>
        </w:tc>
        <w:tc>
          <w:tcPr>
            <w:tcW w:w="1114" w:type="dxa"/>
          </w:tcPr>
          <w:p w:rsidR="00D849AA" w:rsidRPr="001A0148" w:rsidRDefault="00EE6D95">
            <w:pPr>
              <w:rPr>
                <w:rFonts w:ascii="Arial" w:hAnsi="Arial" w:cs="Arial"/>
              </w:rPr>
            </w:pPr>
            <w:r w:rsidRPr="001A0148">
              <w:rPr>
                <w:rFonts w:ascii="Arial" w:hAnsi="Arial" w:cs="Arial"/>
              </w:rPr>
              <w:t>30</w:t>
            </w:r>
          </w:p>
        </w:tc>
        <w:tc>
          <w:tcPr>
            <w:tcW w:w="1486" w:type="dxa"/>
          </w:tcPr>
          <w:p w:rsidR="00D849AA" w:rsidRPr="001A0148" w:rsidRDefault="00EE6D95">
            <w:pPr>
              <w:rPr>
                <w:rFonts w:ascii="Arial" w:hAnsi="Arial" w:cs="Arial"/>
              </w:rPr>
            </w:pPr>
            <w:r w:rsidRPr="001A0148">
              <w:rPr>
                <w:rFonts w:ascii="Arial" w:hAnsi="Arial" w:cs="Arial"/>
              </w:rPr>
              <w:t>40</w:t>
            </w:r>
          </w:p>
        </w:tc>
        <w:tc>
          <w:tcPr>
            <w:tcW w:w="1486" w:type="dxa"/>
          </w:tcPr>
          <w:p w:rsidR="00D849AA" w:rsidRPr="001A0148" w:rsidRDefault="00EE6D95">
            <w:pPr>
              <w:rPr>
                <w:rFonts w:ascii="Arial" w:hAnsi="Arial" w:cs="Arial"/>
              </w:rPr>
            </w:pPr>
            <w:r w:rsidRPr="001A0148">
              <w:rPr>
                <w:rFonts w:ascii="Arial" w:hAnsi="Arial" w:cs="Arial"/>
              </w:rPr>
              <w:t>50</w:t>
            </w:r>
          </w:p>
        </w:tc>
        <w:tc>
          <w:tcPr>
            <w:tcW w:w="1486" w:type="dxa"/>
          </w:tcPr>
          <w:p w:rsidR="00D849AA" w:rsidRPr="001A0148" w:rsidRDefault="00EE6D95">
            <w:pPr>
              <w:rPr>
                <w:rFonts w:ascii="Arial" w:hAnsi="Arial" w:cs="Arial"/>
              </w:rPr>
            </w:pPr>
            <w:r w:rsidRPr="001A0148">
              <w:rPr>
                <w:rFonts w:ascii="Arial" w:hAnsi="Arial" w:cs="Arial"/>
              </w:rPr>
              <w:t>60</w:t>
            </w:r>
          </w:p>
        </w:tc>
      </w:tr>
    </w:tbl>
    <w:p w:rsidR="00D849AA" w:rsidRDefault="00D849AA">
      <w:pPr>
        <w:jc w:val="left"/>
      </w:pPr>
    </w:p>
    <w:p w:rsidR="00D849AA" w:rsidRDefault="00EE6D95">
      <w:pPr>
        <w:pStyle w:val="Naslov7"/>
      </w:pPr>
      <w:r>
        <w:lastRenderedPageBreak/>
        <w:t xml:space="preserve">Cilj 9. Ispunjavanje obveza temeljem međunarodnih ugovora i sporazuma kojih je država stranka, te obveza nastalih temeljem preuzimanja Europske pravne stečevine </w:t>
      </w:r>
    </w:p>
    <w:p w:rsidR="00D849AA" w:rsidRDefault="00EE6D95">
      <w:pPr>
        <w:pStyle w:val="Normal6"/>
      </w:pPr>
      <w:r>
        <w:t xml:space="preserve">Osnovni uvjet za vjerodostojnost u odnosu na međunarodnu zajednicu predstavlja ispunjavanje preuzetih obveza, dakle pravovremeno  i cjelovito osiguranje uvjeta kako bi  se osiguralo poštivanje međunarodnih ugovora i sporazuma kojih  je država stranka, te obveza nastalih temeljem preuzimanja Europske pravne stečevine. </w:t>
      </w:r>
    </w:p>
    <w:p w:rsidR="00D849AA" w:rsidRDefault="00EE6D95">
      <w:pPr>
        <w:pStyle w:val="Normal6"/>
      </w:pPr>
      <w:r>
        <w:t xml:space="preserve"> </w:t>
      </w:r>
    </w:p>
    <w:p w:rsidR="00D849AA" w:rsidRDefault="00EE6D95">
      <w:pPr>
        <w:pStyle w:val="Normal6"/>
      </w:pPr>
      <w:r>
        <w:t>Radi se, primjerice, o osiguranju uvjeta za provođenje obaveze izvješćivanja prema Kyoto protokolu uz Okvirnu konvenciju Ujedinjenih naroda o promjeni klime;  Konvenciji o prekograničnom onečišćenju zraka na velikim udaljenostima; Stockholmske Konvencije o postojanim organskim onečišćujućim tvarima; Montrealskog protokola o tvarima koje oštećuju ozonski omotač;   Konvencije o zaštiti Sredozemnog mora od onečišćavanja; Konvencije o nadzoru prekograničnog prometa opasnog otpada i njegovu odlaganju; te brojnih europskih propisa koji su preneseni u nacionalno zakonodavstvo, a ulaskom u EU postali obavezni. Agencija, u tom smislu uspostavlja i održava informacijski sustav zaštite okoliša, čiji su sastavni dio i odgovarajući registri, upisnici, baze podataka i sl.  Ovaj cilj mora biti ostvariv u vremenskoj dinamici koju diktira pojedini međunarodni ugovor ili sporazum, odnosno Europska legislativa.</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Indeks izvršenih obveza u odnosu na ukupni broj obveza</w:t>
            </w:r>
          </w:p>
        </w:tc>
        <w:tc>
          <w:tcPr>
            <w:tcW w:w="1114" w:type="dxa"/>
          </w:tcPr>
          <w:p w:rsidR="00D849AA" w:rsidRDefault="00EE6D95">
            <w:r>
              <w:t>indeks</w:t>
            </w:r>
          </w:p>
        </w:tc>
        <w:tc>
          <w:tcPr>
            <w:tcW w:w="1114" w:type="dxa"/>
          </w:tcPr>
          <w:p w:rsidR="00D849AA" w:rsidRDefault="00EE6D95">
            <w:r>
              <w:t>100</w:t>
            </w:r>
          </w:p>
        </w:tc>
        <w:tc>
          <w:tcPr>
            <w:tcW w:w="1486" w:type="dxa"/>
          </w:tcPr>
          <w:p w:rsidR="00D849AA" w:rsidRDefault="00EE6D95">
            <w:r>
              <w:t>150</w:t>
            </w:r>
          </w:p>
        </w:tc>
        <w:tc>
          <w:tcPr>
            <w:tcW w:w="1486" w:type="dxa"/>
          </w:tcPr>
          <w:p w:rsidR="00D849AA" w:rsidRDefault="00EE6D95">
            <w:r>
              <w:t>165</w:t>
            </w:r>
          </w:p>
        </w:tc>
        <w:tc>
          <w:tcPr>
            <w:tcW w:w="1486" w:type="dxa"/>
          </w:tcPr>
          <w:p w:rsidR="00D849AA" w:rsidRDefault="00EE6D95">
            <w:r>
              <w:t>175</w:t>
            </w:r>
          </w:p>
        </w:tc>
      </w:tr>
    </w:tbl>
    <w:p w:rsidR="00D849AA" w:rsidRDefault="00D849AA">
      <w:pPr>
        <w:jc w:val="left"/>
      </w:pPr>
    </w:p>
    <w:p w:rsidR="00D849AA" w:rsidRDefault="00EE6D95">
      <w:pPr>
        <w:pStyle w:val="Naslov7"/>
      </w:pPr>
      <w:r>
        <w:t xml:space="preserve">Cilj 10. Suradnja sa srodnim međunarodnim institucijama i organizacijama u kontekstu globalnih  napora usmjerenih na zaštitu okoliša i održivi  razvitak </w:t>
      </w:r>
    </w:p>
    <w:p w:rsidR="00D849AA" w:rsidRDefault="00EE6D95">
      <w:pPr>
        <w:pStyle w:val="Normal6"/>
      </w:pPr>
      <w:r>
        <w:t>Prisutnost u radu i suradnja sa europskim i međunarodnim institucijama i organizacijama primarno je u funkciji postizanja prva dva cilja, a istodobno  predstavlja  mogućnost  prenošenja,  razmjene  i  korištenja  iskustava  i najbolje prakse razvijene u pojedinim zemljama. Nadalje, na taj način pokazujemo opredjeljenja RH za doprinos globalnim nastojanjima i idejama usmjerenim na zaštitu okoliša i održivi razvitak, te opredjeljenje za razvoj partnerskih i prijateljskih odnosa sa svim država članicama, kao i šire međunarodne zajednice, u skladu s temeljnim načelima EU.</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Obim     i kvaliteta suradnje u odnosu na prethodne godine ili vremenska razdoblja</w:t>
            </w:r>
          </w:p>
        </w:tc>
        <w:tc>
          <w:tcPr>
            <w:tcW w:w="1114" w:type="dxa"/>
          </w:tcPr>
          <w:p w:rsidR="00D849AA" w:rsidRDefault="00EE6D95">
            <w:r>
              <w:t>%</w:t>
            </w:r>
          </w:p>
        </w:tc>
        <w:tc>
          <w:tcPr>
            <w:tcW w:w="1114" w:type="dxa"/>
          </w:tcPr>
          <w:p w:rsidR="00D849AA" w:rsidRDefault="00EE6D95">
            <w:r>
              <w:t>50</w:t>
            </w:r>
          </w:p>
        </w:tc>
        <w:tc>
          <w:tcPr>
            <w:tcW w:w="1486" w:type="dxa"/>
          </w:tcPr>
          <w:p w:rsidR="00D849AA" w:rsidRDefault="00EE6D95">
            <w:r>
              <w:t>75</w:t>
            </w:r>
          </w:p>
        </w:tc>
        <w:tc>
          <w:tcPr>
            <w:tcW w:w="1486" w:type="dxa"/>
          </w:tcPr>
          <w:p w:rsidR="00D849AA" w:rsidRDefault="00EE6D95">
            <w:r>
              <w:t>92</w:t>
            </w:r>
          </w:p>
        </w:tc>
        <w:tc>
          <w:tcPr>
            <w:tcW w:w="1486" w:type="dxa"/>
          </w:tcPr>
          <w:p w:rsidR="00D849AA" w:rsidRDefault="00EE6D95">
            <w:r>
              <w:t>95</w:t>
            </w:r>
          </w:p>
        </w:tc>
      </w:tr>
    </w:tbl>
    <w:p w:rsidR="00D849AA" w:rsidRDefault="00D849AA">
      <w:pPr>
        <w:jc w:val="left"/>
      </w:pPr>
    </w:p>
    <w:p w:rsidR="00D849AA" w:rsidRDefault="00EE6D95">
      <w:pPr>
        <w:pStyle w:val="Naslov7"/>
      </w:pPr>
      <w:r>
        <w:lastRenderedPageBreak/>
        <w:t xml:space="preserve">Cilj 11. Sudjelovanje  u  radu  Europske  agencije  za  zaštitu  okoliša </w:t>
      </w:r>
    </w:p>
    <w:p w:rsidR="00D849AA" w:rsidRDefault="00EE6D95">
      <w:pPr>
        <w:pStyle w:val="Normal6"/>
      </w:pPr>
      <w:r>
        <w:t>Agencija je, automatizmom vezanim za pristupanje EU, 1. srpnja 2013. godine postala punopravna članica Europske agencije za okoliš (EEA). Ova činjenica ima za posljedicu znatno drugačiji oblik sudjelovanja u radu EEA, u odnosu na status prije pristupanja. Naime, podrazumijeva punopravno sudjelovanje (prava i obveze) hrvatskog predstavnika (ravnatelja Agencije) da sudjeluje u Upravnom odboru EEA, znači  utjecaj na donošenje strateških i planskih dokumenata te drugih važnih odluka, koje imaju utjecaja na europsku politiku u području zaštite okoliša i održivog razvitka.</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Indeks aktivnosti u odnosu na prethodno razdoblje (godinu)</w:t>
            </w:r>
          </w:p>
        </w:tc>
        <w:tc>
          <w:tcPr>
            <w:tcW w:w="1114" w:type="dxa"/>
          </w:tcPr>
          <w:p w:rsidR="00D849AA" w:rsidRDefault="00EE6D95">
            <w:r>
              <w:t>indeks</w:t>
            </w:r>
          </w:p>
        </w:tc>
        <w:tc>
          <w:tcPr>
            <w:tcW w:w="1114" w:type="dxa"/>
          </w:tcPr>
          <w:p w:rsidR="00D849AA" w:rsidRDefault="00EE6D95">
            <w:r>
              <w:t>100</w:t>
            </w:r>
          </w:p>
        </w:tc>
        <w:tc>
          <w:tcPr>
            <w:tcW w:w="1486" w:type="dxa"/>
          </w:tcPr>
          <w:p w:rsidR="00D849AA" w:rsidRDefault="00EE6D95">
            <w:r>
              <w:t>165</w:t>
            </w:r>
          </w:p>
        </w:tc>
        <w:tc>
          <w:tcPr>
            <w:tcW w:w="1486" w:type="dxa"/>
          </w:tcPr>
          <w:p w:rsidR="00D849AA" w:rsidRDefault="00EE6D95">
            <w:r>
              <w:t>175</w:t>
            </w:r>
          </w:p>
        </w:tc>
        <w:tc>
          <w:tcPr>
            <w:tcW w:w="1486" w:type="dxa"/>
          </w:tcPr>
          <w:p w:rsidR="00D849AA" w:rsidRDefault="00EE6D95">
            <w:r>
              <w:t>180</w:t>
            </w:r>
          </w:p>
        </w:tc>
      </w:tr>
    </w:tbl>
    <w:p w:rsidR="00D849AA" w:rsidRDefault="00D849AA">
      <w:pPr>
        <w:jc w:val="left"/>
      </w:pPr>
    </w:p>
    <w:p w:rsidR="00D849AA" w:rsidRDefault="00EE6D95">
      <w:pPr>
        <w:pStyle w:val="Naslov5"/>
      </w:pPr>
      <w:r>
        <w:t>Procjena i ishodište potrebnih sredstava za značajnije aktivnosti/projekte</w:t>
      </w:r>
    </w:p>
    <w:p w:rsidR="00D849AA" w:rsidRDefault="00EE6D95">
      <w:pPr>
        <w:pStyle w:val="Naslov6"/>
      </w:pPr>
      <w:r>
        <w:t>A730007 INFORMACIJSKI SUSTAV ZAŠTITE OKOLIŠA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A730007</w:t>
            </w:r>
          </w:p>
        </w:tc>
        <w:tc>
          <w:tcPr>
            <w:tcW w:w="1486" w:type="dxa"/>
          </w:tcPr>
          <w:p w:rsidR="00D849AA" w:rsidRDefault="00EE6D95">
            <w:r>
              <w:t>944.000</w:t>
            </w:r>
          </w:p>
        </w:tc>
        <w:tc>
          <w:tcPr>
            <w:tcW w:w="1486" w:type="dxa"/>
          </w:tcPr>
          <w:p w:rsidR="00D849AA" w:rsidRDefault="00EE6D95">
            <w:r>
              <w:t>16.539.000</w:t>
            </w:r>
          </w:p>
        </w:tc>
        <w:tc>
          <w:tcPr>
            <w:tcW w:w="1486" w:type="dxa"/>
          </w:tcPr>
          <w:p w:rsidR="00D849AA" w:rsidRDefault="00EE6D95">
            <w:r>
              <w:t>10.554.000</w:t>
            </w:r>
          </w:p>
        </w:tc>
        <w:tc>
          <w:tcPr>
            <w:tcW w:w="1486" w:type="dxa"/>
          </w:tcPr>
          <w:p w:rsidR="00D849AA" w:rsidRDefault="00EE6D95">
            <w:r>
              <w:t>7.696.000</w:t>
            </w:r>
          </w:p>
        </w:tc>
        <w:tc>
          <w:tcPr>
            <w:tcW w:w="1486" w:type="dxa"/>
          </w:tcPr>
          <w:p w:rsidR="00D849AA" w:rsidRDefault="00EE6D95">
            <w:r>
              <w:t>1752,0</w:t>
            </w:r>
          </w:p>
        </w:tc>
      </w:tr>
    </w:tbl>
    <w:p w:rsidR="00D849AA" w:rsidRDefault="00D849AA">
      <w:pPr>
        <w:jc w:val="left"/>
      </w:pPr>
    </w:p>
    <w:p w:rsidR="00D849AA" w:rsidRDefault="00EE6D95">
      <w:pPr>
        <w:pStyle w:val="Normal6"/>
      </w:pPr>
      <w:r>
        <w:t xml:space="preserve">Aktivnost A730007 – Informacijski sustav zaštite okoliša (ISZO) se provodi sukladno Zakonu o zaštiti okoliša (Narodne novine, broj 110/07, čl. 37, čl. 126, čl. 127) te Uredbe o informacijskom sustavu zaštite okoliša (Narodne novine, broj 68/08). </w:t>
      </w:r>
    </w:p>
    <w:p w:rsidR="00D849AA" w:rsidRDefault="00EE6D95">
      <w:pPr>
        <w:pStyle w:val="Normal6"/>
      </w:pPr>
      <w:r>
        <w:t xml:space="preserve">Ova aktivnost obuhvaća uspostavu, razvoj, vođenje, koordinaciju i održavanje jedinstvenog informacijskog sustava zaštite okoliša u Državi. Svrha ove Aktivnosti je što učinkovitije prikupljanje, vođenje, razmjena i korištenje podataka koji se odnose na stanje okoliša u Republici Hrvatskoj, ali i razmjenu podataka i informacija na međunarodnoj razini kao i kroz suradnju s Europskom agencijom za okoliš (EEA). </w:t>
      </w:r>
    </w:p>
    <w:p w:rsidR="00D849AA" w:rsidRDefault="00EE6D95">
      <w:pPr>
        <w:pStyle w:val="Normal6"/>
      </w:pPr>
      <w:r>
        <w:t xml:space="preserve">Sredstva planirana u 2014., 2015. i 2016.  znatno su povećana na temelju sklopljenog Ugovora o o neposrednom sudjelovanju Fonda u financiranju programa „Dogradnja i izvješčivanja o stanju okoliša u Republici Hrvatskoj. Navedeni ugovor je realiziran prema Zaključku Vlade Republike Hrvatske (klasa:022-01/13-07/173, Ur. Broj: 50301-05/25-13-3) od 18.srpnja 2013. godine, a sukladno odredbi članka 7.stavka 19.stavka 1-podstavka 12. Zakona o Fondu za zaštitu okoliša i energetsku učinkovitost (Narodne novine, broj 107/03, 144/12) i članka 21. i 50. Statuta Fonda (Nsarodne novine, broj 193/03, 73/04, 16/08, 101/09, 118/11, 67/13) te odredbi članka 24. stavka 1. podstavka 3. Pravilnika o uvjetima i načinu dodjeljivanja sredstava Fonda za zaštitu okoliša i energetsku učinkovitost, te kriterijima i mjerilima za ocjenjivanje zahtjeva za dodjeljivanje sredstava Fonda, te se prema njemu osiguravaju sredstva za unapređenje Informacijskog sustava zaštite okoliša, Unapređenje sustava praćenja i izvješčivanja o stanju okoliša u RH te Informatizaciju Agencije za zaštitu okoliša.  </w:t>
      </w:r>
    </w:p>
    <w:p w:rsidR="00D849AA" w:rsidRDefault="00EE6D95">
      <w:pPr>
        <w:pStyle w:val="Normal6"/>
      </w:pPr>
      <w:r>
        <w:lastRenderedPageBreak/>
        <w:t xml:space="preserve">Godišnja osigurana sredstva financijske pomoći prema navedenom ugovoru uključena su tablicu A730007.  </w:t>
      </w:r>
    </w:p>
    <w:p w:rsidR="00D849AA" w:rsidRDefault="00EE6D95">
      <w:pPr>
        <w:pStyle w:val="Normal6"/>
      </w:pPr>
      <w:r>
        <w:t xml:space="preserve"> Uspostava Informacijskog sustava zaštite okoliša je preduvjet za praćenje relevantnih podataka, informacija i dokumenata zaštite okoliša sukladno Zakonu o zaštiti okoliša (čl.37.) čime se osigurava i prati provedba politike zaštite okoliša i održivog razvoja Republike Hrvatske. U 2013. godini donijeti ćemo četverogodišnji program vođenja Informacijskog sustav zaštite okoliša u kojem ćemo sukladno planiranim ciljevima razvijati, unapređivati, provoditi zakonske izmjene sa svrhom kontinuiranog razvoja. </w:t>
      </w:r>
    </w:p>
    <w:p w:rsidR="00D849AA" w:rsidRDefault="00EE6D95">
      <w:pPr>
        <w:pStyle w:val="Normal6"/>
      </w:pPr>
      <w:r>
        <w:t xml:space="preserve">U narednom razdoblju 2014.-2016. doći će do smanjenja aktivnosti na nadogradnji Informacijskog sustava zaštite okoliša zbog vidnog smanjenja planiranih sredstava. </w:t>
      </w:r>
    </w:p>
    <w:p w:rsidR="00D849AA" w:rsidRDefault="00EE6D95">
      <w:pPr>
        <w:pStyle w:val="Normal6"/>
      </w:pPr>
      <w:r>
        <w:t>Planirani financijski resursi realizirati će se samo u fazama održavanja postojećih komponenti.</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Redoviti rad sa jako malim brojem kritičnih incidenata</w:t>
            </w:r>
          </w:p>
        </w:tc>
        <w:tc>
          <w:tcPr>
            <w:tcW w:w="1114" w:type="dxa"/>
          </w:tcPr>
          <w:p w:rsidR="00D849AA" w:rsidRDefault="00EE6D95">
            <w:r>
              <w:t>%</w:t>
            </w:r>
          </w:p>
        </w:tc>
        <w:tc>
          <w:tcPr>
            <w:tcW w:w="1114" w:type="dxa"/>
          </w:tcPr>
          <w:p w:rsidR="00D849AA" w:rsidRDefault="00EE6D95">
            <w:r>
              <w:t>80</w:t>
            </w:r>
          </w:p>
        </w:tc>
        <w:tc>
          <w:tcPr>
            <w:tcW w:w="1486" w:type="dxa"/>
          </w:tcPr>
          <w:p w:rsidR="00D849AA" w:rsidRDefault="00EE6D95">
            <w:r>
              <w:t>82</w:t>
            </w:r>
          </w:p>
        </w:tc>
        <w:tc>
          <w:tcPr>
            <w:tcW w:w="1486" w:type="dxa"/>
          </w:tcPr>
          <w:p w:rsidR="00D849AA" w:rsidRDefault="00EE6D95">
            <w:r>
              <w:t>85</w:t>
            </w:r>
          </w:p>
        </w:tc>
        <w:tc>
          <w:tcPr>
            <w:tcW w:w="1486" w:type="dxa"/>
          </w:tcPr>
          <w:p w:rsidR="00D849AA" w:rsidRDefault="00EE6D95">
            <w:r>
              <w:t>90</w:t>
            </w:r>
          </w:p>
        </w:tc>
      </w:tr>
    </w:tbl>
    <w:p w:rsidR="00D849AA" w:rsidRDefault="00D849AA">
      <w:pPr>
        <w:jc w:val="left"/>
      </w:pPr>
    </w:p>
    <w:p w:rsidR="00D849AA" w:rsidRDefault="00EE6D95">
      <w:pPr>
        <w:pStyle w:val="Naslov6"/>
      </w:pPr>
      <w:r>
        <w:t>A730012 ADMINISTRACIJA I UPRAVLJANJE AGENCIJOM</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A730012</w:t>
            </w:r>
          </w:p>
        </w:tc>
        <w:tc>
          <w:tcPr>
            <w:tcW w:w="1486" w:type="dxa"/>
          </w:tcPr>
          <w:p w:rsidR="00D849AA" w:rsidRDefault="00EE6D95">
            <w:r>
              <w:t>11.108.008</w:t>
            </w:r>
          </w:p>
        </w:tc>
        <w:tc>
          <w:tcPr>
            <w:tcW w:w="1486" w:type="dxa"/>
          </w:tcPr>
          <w:p w:rsidR="00D849AA" w:rsidRDefault="00EE6D95">
            <w:r>
              <w:t>11.980.000</w:t>
            </w:r>
          </w:p>
        </w:tc>
        <w:tc>
          <w:tcPr>
            <w:tcW w:w="1486" w:type="dxa"/>
          </w:tcPr>
          <w:p w:rsidR="00D849AA" w:rsidRDefault="00EE6D95">
            <w:r>
              <w:t>12.302.000</w:t>
            </w:r>
          </w:p>
        </w:tc>
        <w:tc>
          <w:tcPr>
            <w:tcW w:w="1486" w:type="dxa"/>
          </w:tcPr>
          <w:p w:rsidR="00D849AA" w:rsidRDefault="00EE6D95">
            <w:r>
              <w:t>12.916.965</w:t>
            </w:r>
          </w:p>
        </w:tc>
        <w:tc>
          <w:tcPr>
            <w:tcW w:w="1486" w:type="dxa"/>
          </w:tcPr>
          <w:p w:rsidR="00D849AA" w:rsidRDefault="00EE6D95">
            <w:r>
              <w:t>107,8</w:t>
            </w:r>
          </w:p>
        </w:tc>
      </w:tr>
    </w:tbl>
    <w:p w:rsidR="00D849AA" w:rsidRDefault="00D849AA">
      <w:pPr>
        <w:jc w:val="left"/>
      </w:pPr>
    </w:p>
    <w:p w:rsidR="00D849AA" w:rsidRDefault="00EE6D95">
      <w:pPr>
        <w:pStyle w:val="Normal6"/>
      </w:pPr>
      <w:r>
        <w:t xml:space="preserve">Kroz ovu aktivnost Agencija na zakonski utemeljen način provodi realizaciju Plana rada Agencije radi ostvarenja svih svojih obaveza prema uposlenim djelatnicima uključujući isplate osobnih dohodaka i doprinosa zajedno sa svim materijalnim troškovima koji prate nesmetan rad djelatnika radi ostvarenja svih ciljeva i zadataka Agencije. </w:t>
      </w:r>
    </w:p>
    <w:p w:rsidR="00D849AA" w:rsidRDefault="00EE6D95">
      <w:pPr>
        <w:pStyle w:val="Normal6"/>
      </w:pPr>
      <w:r>
        <w:t xml:space="preserve">Gore navedeno ukazuje na činjenicu da je Agenciji, u periodu od 2012.-2013., odobreno  upošljavanje novih djelatnika (15-tak djelatnika) kojim je naglašena hitnost i nužnost održivog organiziranja Agencije sa ca. 75 uposlenih djelatnika u fazi organiziranja i djelovanja iste. </w:t>
      </w:r>
    </w:p>
    <w:p w:rsidR="00D849AA" w:rsidRDefault="00EE6D95">
      <w:pPr>
        <w:pStyle w:val="Normal6"/>
      </w:pPr>
      <w:r>
        <w:t xml:space="preserve">Kasnijom analizom i u međuvremenu povećanom broju aktivnosti i izradi raznih, obvezujućih izvješća, unutarnjom sistematizacijom je predviđeno upošljavanje dodatnih ca. 45 djelatnika. </w:t>
      </w:r>
    </w:p>
    <w:p w:rsidR="00D849AA" w:rsidRDefault="00EE6D95">
      <w:pPr>
        <w:pStyle w:val="Normal6"/>
      </w:pPr>
      <w:r>
        <w:t xml:space="preserve">S tim brojem uposlenih, Agencija će, u najvećem dijelu, izvršiti nacionalne zakonske obaveze i obaveze po zahtjevu Europske agencije za zaštitu okoliša te svih ostalih  međunarodnih institucija sa kojim je Agencija povezana na osnovu zajedničkih projekata zaštite okoliša. </w:t>
      </w:r>
    </w:p>
    <w:p w:rsidR="00D849AA" w:rsidRDefault="00EE6D95">
      <w:pPr>
        <w:pStyle w:val="Normal6"/>
      </w:pPr>
      <w:r>
        <w:t>Planirana sredstva za razdoblje 2014. – 2016. rezultat su vrlo detaljne analize dosadašnje potrošnje svake vrste rashoda ne samo u 2013., već i u prijašnjim razdobljima; sredstva navedena u Planu za ovu Aktivnost, realnog su i minimalnog karaktera.</w:t>
      </w:r>
    </w:p>
    <w:p w:rsidR="001A0148" w:rsidRDefault="001A0148">
      <w:pPr>
        <w:pStyle w:val="Naslov8"/>
        <w:jc w:val="left"/>
      </w:pPr>
    </w:p>
    <w:p w:rsidR="00D849AA" w:rsidRDefault="00EE6D95">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Realizacija</w:t>
            </w:r>
            <w:r>
              <w:tab/>
              <w:t>plana rashoda</w:t>
            </w:r>
          </w:p>
        </w:tc>
        <w:tc>
          <w:tcPr>
            <w:tcW w:w="1114" w:type="dxa"/>
          </w:tcPr>
          <w:p w:rsidR="00D849AA" w:rsidRDefault="00EE6D95">
            <w:r>
              <w:t>%</w:t>
            </w:r>
          </w:p>
        </w:tc>
        <w:tc>
          <w:tcPr>
            <w:tcW w:w="1114" w:type="dxa"/>
          </w:tcPr>
          <w:p w:rsidR="00D849AA" w:rsidRDefault="00EE6D95">
            <w:r>
              <w:t>98</w:t>
            </w:r>
          </w:p>
        </w:tc>
        <w:tc>
          <w:tcPr>
            <w:tcW w:w="1486" w:type="dxa"/>
          </w:tcPr>
          <w:p w:rsidR="00D849AA" w:rsidRDefault="00EE6D95">
            <w:r>
              <w:t>98</w:t>
            </w:r>
          </w:p>
        </w:tc>
        <w:tc>
          <w:tcPr>
            <w:tcW w:w="1486" w:type="dxa"/>
          </w:tcPr>
          <w:p w:rsidR="00D849AA" w:rsidRDefault="00EE6D95">
            <w:r>
              <w:t>98</w:t>
            </w:r>
          </w:p>
        </w:tc>
        <w:tc>
          <w:tcPr>
            <w:tcW w:w="1486" w:type="dxa"/>
          </w:tcPr>
          <w:p w:rsidR="00D849AA" w:rsidRDefault="00EE6D95">
            <w:r>
              <w:t>98</w:t>
            </w:r>
          </w:p>
        </w:tc>
      </w:tr>
    </w:tbl>
    <w:p w:rsidR="00D849AA" w:rsidRDefault="00D849AA">
      <w:pPr>
        <w:jc w:val="left"/>
      </w:pPr>
    </w:p>
    <w:p w:rsidR="00D849AA" w:rsidRDefault="00EE6D95">
      <w:pPr>
        <w:pStyle w:val="Naslov6"/>
      </w:pPr>
      <w:r>
        <w:t>A730029 IZVJEŠĆIVANJE O STANJU OKOLIŠA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A730029</w:t>
            </w:r>
          </w:p>
        </w:tc>
        <w:tc>
          <w:tcPr>
            <w:tcW w:w="1486" w:type="dxa"/>
          </w:tcPr>
          <w:p w:rsidR="00D849AA" w:rsidRDefault="00EE6D95">
            <w:r>
              <w:t>1.800.000</w:t>
            </w:r>
          </w:p>
        </w:tc>
        <w:tc>
          <w:tcPr>
            <w:tcW w:w="1486" w:type="dxa"/>
          </w:tcPr>
          <w:p w:rsidR="00D849AA" w:rsidRDefault="00EE6D95">
            <w:r>
              <w:t>1.825.000</w:t>
            </w:r>
          </w:p>
        </w:tc>
        <w:tc>
          <w:tcPr>
            <w:tcW w:w="1486" w:type="dxa"/>
          </w:tcPr>
          <w:p w:rsidR="00D849AA" w:rsidRDefault="00EE6D95">
            <w:r>
              <w:t>1.490.000</w:t>
            </w:r>
          </w:p>
        </w:tc>
        <w:tc>
          <w:tcPr>
            <w:tcW w:w="1486" w:type="dxa"/>
          </w:tcPr>
          <w:p w:rsidR="00D849AA" w:rsidRDefault="00EE6D95">
            <w:r>
              <w:t>1.366.600</w:t>
            </w:r>
          </w:p>
        </w:tc>
        <w:tc>
          <w:tcPr>
            <w:tcW w:w="1486" w:type="dxa"/>
          </w:tcPr>
          <w:p w:rsidR="00D849AA" w:rsidRDefault="00EE6D95">
            <w:r>
              <w:t>101,4</w:t>
            </w:r>
          </w:p>
        </w:tc>
      </w:tr>
    </w:tbl>
    <w:p w:rsidR="00D849AA" w:rsidRDefault="00D849AA">
      <w:pPr>
        <w:jc w:val="left"/>
      </w:pPr>
    </w:p>
    <w:p w:rsidR="00D849AA" w:rsidRDefault="00EE6D95">
      <w:pPr>
        <w:pStyle w:val="Normal6"/>
      </w:pPr>
      <w:r>
        <w:t xml:space="preserve">Kroz ovu Aktivnost Agencija izvršava zadatke vezane na izradu izvješća prema međunarodnim konvencijama i protokolima (Protokol o dalekosežnom prekograničnom prijenosu onečišćujućih tvari zrakom-LRTAP, Konvencija UN o promjeni klime-UNFCCC i pripadajući Protokol iz Kyota) koji zahtijevaju snažno sektorsko usmjerenje i stručnost, zbog  čega je i nacionalno zakonodavstvo predvidjelo obvezu sklapanja višegodišnjih ugovora kao obvezu Agenciji za zaštitu okoliša (izrada nacionalnog izvješća prema UNFCCC-veza Uredba o praćenju stakleničkih plinova, politike i mjera za njihovo smanjenje u Republici Hrvatskoj (Narodne novine, broj 87/12)).  </w:t>
      </w:r>
    </w:p>
    <w:p w:rsidR="00D849AA" w:rsidRDefault="00EE6D95">
      <w:pPr>
        <w:pStyle w:val="Normal6"/>
      </w:pPr>
      <w:r>
        <w:t xml:space="preserve">Pored ispunjenja obaveza izrade izvješća prema međunarodnim ugovorima, ova aktivnost pokriva i izvješćivanje prema nacionalnim propisima. U tom smislu, aktivnost  obuhvaća  prikupljanje,  objedinjavanje  i  obradu podataka sa svrhom ispunjenja obveza izrade izvješća o stanju pojedinih sastavnica okoliša, pritiscima na okoliš i odgovorima društva, te Izvješća o stanju okoliša u Republici Hrvatskoj. Aktivnost se odvija većim dijelom kroz suradnju s institucijama i tijelima nositeljima pojedinih setova podataka- potencijalnim referentnim centrima Agencije.   </w:t>
      </w:r>
    </w:p>
    <w:p w:rsidR="00D849AA" w:rsidRDefault="00EE6D95">
      <w:pPr>
        <w:pStyle w:val="Normal6"/>
      </w:pPr>
      <w:r>
        <w:t xml:space="preserve">Neophodno je i poboljšanja kvalitete informacija dobivenih na temelju podataka motrenja te kroz analize i prognoze stanja atmosfere, voda, tla i šuma, te pojačano provođenje i unapređenje sustava praćenja sastavnica okoliša.  </w:t>
      </w:r>
    </w:p>
    <w:p w:rsidR="00D849AA" w:rsidRDefault="00EE6D95">
      <w:pPr>
        <w:pStyle w:val="Normal6"/>
      </w:pPr>
      <w:r>
        <w:t xml:space="preserve">Ova aktivnost isto tako obuhvaća kontinuirani prikaz i dostavu podataka javnosti sa svrhom ispunjenja obveza objave informacija i njihove javne dostupnosti, u skladu s nacionalnim i međunarodnim propisima i ugovorima. </w:t>
      </w:r>
    </w:p>
    <w:p w:rsidR="00D849AA" w:rsidRDefault="00EE6D95">
      <w:pPr>
        <w:pStyle w:val="Normal6"/>
      </w:pPr>
      <w:r>
        <w:t xml:space="preserve">Zbog jednostavnosti i preglednosti mnoštvo prikupljenih podataka važno je pretvoriti u razumljive informacije, kako za javnost, tako i za one koji odlučuju o politici zaštite okoliša, te iste informacije javno objaviti, što je jedan od temeljnih  zadataka Agencije. </w:t>
      </w:r>
    </w:p>
    <w:p w:rsidR="00D849AA" w:rsidRDefault="00EE6D95">
      <w:pPr>
        <w:pStyle w:val="Normal6"/>
      </w:pPr>
      <w:r>
        <w:t xml:space="preserve">Aktivnost se odvija većim dijelom kroz osiguranje dostupnosti podataka i informacija putem njihove objave na Internet portalu i izvješćima te ostalim oblicima tiskanih izdanja Agencije,istupima u javnosti, objavama za medije, aktivnostma info - centra te dostavu podataka zainteresiranim ovlaštenicima. </w:t>
      </w:r>
    </w:p>
    <w:p w:rsidR="00D849AA" w:rsidRDefault="00EE6D95">
      <w:pPr>
        <w:pStyle w:val="Normal6"/>
      </w:pPr>
      <w:r>
        <w:t xml:space="preserve">Također određena izvješća objavljuju se na engleskom jeziku za potrebe predstavljanja u međunarodnom okruženju, Europskoj komisiji, Europskoj agenciji za zaštitu okoliša ili u sklopu međunarodnih projekata. Osim navedenog, Agencija sa Europskom agencijom za okoliš usko surađuje u pripremi, kako tematskih, tako i Europskog izvješća o stanju okoliša. </w:t>
      </w:r>
    </w:p>
    <w:p w:rsidR="00D849AA" w:rsidRDefault="00EE6D95">
      <w:pPr>
        <w:pStyle w:val="Normal6"/>
      </w:pPr>
      <w:r>
        <w:lastRenderedPageBreak/>
        <w:t xml:space="preserve"> </w:t>
      </w:r>
    </w:p>
    <w:p w:rsidR="00D849AA" w:rsidRDefault="00EE6D95">
      <w:pPr>
        <w:pStyle w:val="Normal6"/>
      </w:pPr>
      <w:r>
        <w:t xml:space="preserve">Vezano uz ovu Aktivnost, Strategijom Vladinih programa za razdoblje 2011.-2013. (Opći cilj 12), definirani su ciljevi jačanje svijesti i uključivanje javnosti. Strategija ističe kako je kroz redovite kanale komunikacije, naročito kroz javne  medije, potrebno razvijati sustav informiranja publiciranjem informativnih materijala i nadopunjavanjem web portala novim sadržajima namijenjenih donositeljima odluka i širokoj javnosti, a napose djeci i mladima. </w:t>
      </w:r>
    </w:p>
    <w:p w:rsidR="00D849AA" w:rsidRDefault="00EE6D95">
      <w:pPr>
        <w:pStyle w:val="Normal6"/>
      </w:pPr>
      <w:r>
        <w:t xml:space="preserve">Pri tome treba jačati i suradnju s udrugama i nevladinim organizacijama, s ciljem pravilnog izvješćivanja o svim aspektima zaštite okoliša. </w:t>
      </w:r>
    </w:p>
    <w:p w:rsidR="00D849AA" w:rsidRDefault="00EE6D95">
      <w:pPr>
        <w:pStyle w:val="Normal6"/>
      </w:pPr>
      <w:r>
        <w:t>Planirana sredstva za razdoblje 2014. – 2016. rezultat su vrlo detaljne analize dosadašnje potrošnje svake vrste rashoda ne samo u 2013., već i  u prijašnjim razdobljima; sredstva navedena u Planu za ovu Aktivnost, realnog su i minimalnog karaktera.</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Postotak prikupljenih podataka propisanih obvezama</w:t>
            </w:r>
          </w:p>
        </w:tc>
        <w:tc>
          <w:tcPr>
            <w:tcW w:w="1114" w:type="dxa"/>
          </w:tcPr>
          <w:p w:rsidR="00D849AA" w:rsidRDefault="00EE6D95">
            <w:r>
              <w:t>%</w:t>
            </w:r>
          </w:p>
        </w:tc>
        <w:tc>
          <w:tcPr>
            <w:tcW w:w="1114" w:type="dxa"/>
          </w:tcPr>
          <w:p w:rsidR="00D849AA" w:rsidRDefault="00EE6D95">
            <w:r>
              <w:t>55</w:t>
            </w:r>
          </w:p>
        </w:tc>
        <w:tc>
          <w:tcPr>
            <w:tcW w:w="1486" w:type="dxa"/>
          </w:tcPr>
          <w:p w:rsidR="00D849AA" w:rsidRDefault="00EE6D95">
            <w:r>
              <w:t>75</w:t>
            </w:r>
          </w:p>
        </w:tc>
        <w:tc>
          <w:tcPr>
            <w:tcW w:w="1486" w:type="dxa"/>
          </w:tcPr>
          <w:p w:rsidR="00D849AA" w:rsidRDefault="00EE6D95">
            <w:r>
              <w:t>90</w:t>
            </w:r>
          </w:p>
        </w:tc>
        <w:tc>
          <w:tcPr>
            <w:tcW w:w="1486" w:type="dxa"/>
          </w:tcPr>
          <w:p w:rsidR="00D849AA" w:rsidRDefault="00EE6D95">
            <w:r>
              <w:t>98</w:t>
            </w:r>
          </w:p>
        </w:tc>
      </w:tr>
    </w:tbl>
    <w:p w:rsidR="00D849AA" w:rsidRDefault="00D849AA">
      <w:pPr>
        <w:jc w:val="left"/>
      </w:pPr>
    </w:p>
    <w:p w:rsidR="00D849AA" w:rsidRDefault="00EE6D95">
      <w:pPr>
        <w:pStyle w:val="Naslov6"/>
      </w:pPr>
      <w:r>
        <w:t>K730008 INFORMATIZACIJA AGENCIJE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K730008</w:t>
            </w:r>
          </w:p>
        </w:tc>
        <w:tc>
          <w:tcPr>
            <w:tcW w:w="1486" w:type="dxa"/>
          </w:tcPr>
          <w:p w:rsidR="00D849AA" w:rsidRDefault="00EE6D95">
            <w:r>
              <w:t>1.065.000</w:t>
            </w:r>
          </w:p>
        </w:tc>
        <w:tc>
          <w:tcPr>
            <w:tcW w:w="1486" w:type="dxa"/>
          </w:tcPr>
          <w:p w:rsidR="00D849AA" w:rsidRDefault="00EE6D95">
            <w:r>
              <w:t>710.000</w:t>
            </w:r>
          </w:p>
        </w:tc>
        <w:tc>
          <w:tcPr>
            <w:tcW w:w="1486" w:type="dxa"/>
          </w:tcPr>
          <w:p w:rsidR="00D849AA" w:rsidRDefault="00EE6D95">
            <w:r>
              <w:t>746.000</w:t>
            </w:r>
          </w:p>
        </w:tc>
        <w:tc>
          <w:tcPr>
            <w:tcW w:w="1486" w:type="dxa"/>
          </w:tcPr>
          <w:p w:rsidR="00D849AA" w:rsidRDefault="00EE6D95">
            <w:r>
              <w:t>450.000</w:t>
            </w:r>
          </w:p>
        </w:tc>
        <w:tc>
          <w:tcPr>
            <w:tcW w:w="1486" w:type="dxa"/>
          </w:tcPr>
          <w:p w:rsidR="00D849AA" w:rsidRDefault="00EE6D95">
            <w:r>
              <w:t>66,7</w:t>
            </w:r>
          </w:p>
        </w:tc>
      </w:tr>
    </w:tbl>
    <w:p w:rsidR="00D849AA" w:rsidRDefault="00D849AA">
      <w:pPr>
        <w:jc w:val="left"/>
      </w:pPr>
    </w:p>
    <w:p w:rsidR="00D849AA" w:rsidRDefault="00EE6D95">
      <w:pPr>
        <w:pStyle w:val="Normal6"/>
      </w:pPr>
      <w:r>
        <w:t xml:space="preserve">Ovom se Aktivnošću postiže kontinuirani rad sustava redovitim obnavljanjem licenci redovitim održavanjem IT i ostale infrastrukture Agencije. </w:t>
      </w:r>
    </w:p>
    <w:p w:rsidR="00D849AA" w:rsidRDefault="00EE6D95">
      <w:pPr>
        <w:pStyle w:val="Normal6"/>
      </w:pPr>
      <w:r>
        <w:t>Održavanje poslovnog prostora i opremanja istoga namještajem i ostalom neophodnom  opremom,  osiguranje  moderne  komunikacije  interno  i  eksterno, osnovne su aktivnosti u ostvarenju ovog cilja.</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Redoviti rad sa jako malim brojem kritičnih incidenata</w:t>
            </w:r>
          </w:p>
        </w:tc>
        <w:tc>
          <w:tcPr>
            <w:tcW w:w="1114" w:type="dxa"/>
          </w:tcPr>
          <w:p w:rsidR="00D849AA" w:rsidRDefault="00EE6D95">
            <w:r>
              <w:t>%</w:t>
            </w:r>
          </w:p>
        </w:tc>
        <w:tc>
          <w:tcPr>
            <w:tcW w:w="1114" w:type="dxa"/>
          </w:tcPr>
          <w:p w:rsidR="00D849AA" w:rsidRDefault="00EE6D95">
            <w:r>
              <w:t>80</w:t>
            </w:r>
          </w:p>
        </w:tc>
        <w:tc>
          <w:tcPr>
            <w:tcW w:w="1486" w:type="dxa"/>
          </w:tcPr>
          <w:p w:rsidR="00D849AA" w:rsidRDefault="00EE6D95">
            <w:r>
              <w:t>83</w:t>
            </w:r>
          </w:p>
        </w:tc>
        <w:tc>
          <w:tcPr>
            <w:tcW w:w="1486" w:type="dxa"/>
          </w:tcPr>
          <w:p w:rsidR="00D849AA" w:rsidRDefault="00EE6D95">
            <w:r>
              <w:t>84</w:t>
            </w:r>
          </w:p>
        </w:tc>
        <w:tc>
          <w:tcPr>
            <w:tcW w:w="1486" w:type="dxa"/>
          </w:tcPr>
          <w:p w:rsidR="00D849AA" w:rsidRDefault="00EE6D95">
            <w:r>
              <w:t>90</w:t>
            </w:r>
          </w:p>
        </w:tc>
      </w:tr>
    </w:tbl>
    <w:p w:rsidR="00D849AA" w:rsidRDefault="00D849AA">
      <w:pPr>
        <w:jc w:val="left"/>
      </w:pPr>
    </w:p>
    <w:p w:rsidR="00D849AA" w:rsidRDefault="00EE6D95">
      <w:pPr>
        <w:pStyle w:val="Naslov2"/>
      </w:pPr>
      <w:r>
        <w:lastRenderedPageBreak/>
        <w:t>07715 Nacionalni parkovi i parkovi prirode</w:t>
      </w:r>
    </w:p>
    <w:p w:rsidR="00D849AA" w:rsidRDefault="00EE6D95">
      <w:pPr>
        <w:pStyle w:val="Naslov4"/>
      </w:pPr>
      <w:r>
        <w:t>Uvod</w:t>
      </w:r>
    </w:p>
    <w:p w:rsidR="00D849AA" w:rsidRDefault="00EE6D95">
      <w:pPr>
        <w:pStyle w:val="Normal3"/>
      </w:pPr>
      <w:r>
        <w:t>U okviru ove Glave osiguravaju se sredstva potrebna za rad   8 nacionalnih parkova (Brijuni, Kornati, Krka, Mljet, Paklenica, Plitvička jezera, Risnjak, Sjeverni Velebit) i 11 parkova prirode (Biokovo, Kopački rit, Lastovsko otočje, Lonjsko polje, Medvednica, Papuk, Telašćica, Učka, Vransko jezero, Velebit, Žumberak-Samoborsko gorje). Vlada Republike Hrvatske osnovala je javne ustanove nacionalnih parkova i parkova prirode s ciljem obavljanja djelatnosti zaštite, održavanja i promicanja zaštićenog područja, kao i očuvanja izvornosti prirode, neometanog odvijanja prirodnih procesa i održivog korištenja prirodnih dobara.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07715</w:t>
            </w:r>
          </w:p>
        </w:tc>
        <w:tc>
          <w:tcPr>
            <w:tcW w:w="1486" w:type="dxa"/>
          </w:tcPr>
          <w:p w:rsidR="00D849AA" w:rsidRDefault="00EE6D95">
            <w:r>
              <w:t>57.487.374</w:t>
            </w:r>
          </w:p>
        </w:tc>
        <w:tc>
          <w:tcPr>
            <w:tcW w:w="1486" w:type="dxa"/>
          </w:tcPr>
          <w:p w:rsidR="00D849AA" w:rsidRDefault="00EE6D95">
            <w:r>
              <w:t>65.145.104</w:t>
            </w:r>
          </w:p>
        </w:tc>
        <w:tc>
          <w:tcPr>
            <w:tcW w:w="1486" w:type="dxa"/>
          </w:tcPr>
          <w:p w:rsidR="00D849AA" w:rsidRDefault="00EE6D95">
            <w:r>
              <w:t>72.616.511</w:t>
            </w:r>
          </w:p>
        </w:tc>
        <w:tc>
          <w:tcPr>
            <w:tcW w:w="1486" w:type="dxa"/>
          </w:tcPr>
          <w:p w:rsidR="00D849AA" w:rsidRDefault="00EE6D95">
            <w:r>
              <w:t>53.606.890</w:t>
            </w:r>
          </w:p>
        </w:tc>
        <w:tc>
          <w:tcPr>
            <w:tcW w:w="1486" w:type="dxa"/>
          </w:tcPr>
          <w:p w:rsidR="00D849AA" w:rsidRDefault="00EE6D95">
            <w:r>
              <w:t>113,3</w:t>
            </w:r>
          </w:p>
        </w:tc>
      </w:tr>
    </w:tbl>
    <w:p w:rsidR="00D849AA" w:rsidRDefault="00D849AA">
      <w:pPr>
        <w:jc w:val="left"/>
      </w:pPr>
    </w:p>
    <w:p w:rsidR="00D849AA" w:rsidRDefault="00EE6D95">
      <w:pPr>
        <w:pStyle w:val="Naslov4"/>
      </w:pPr>
      <w:r>
        <w:t>OBRAZLOŽENJE PROGRAMA</w:t>
      </w:r>
    </w:p>
    <w:p w:rsidR="00D849AA" w:rsidRDefault="00EE6D95">
      <w:pPr>
        <w:pStyle w:val="Naslov5"/>
      </w:pPr>
      <w:r>
        <w:t>3401 ZAŠTITA PRIRODE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3401</w:t>
            </w:r>
          </w:p>
        </w:tc>
        <w:tc>
          <w:tcPr>
            <w:tcW w:w="1486" w:type="dxa"/>
          </w:tcPr>
          <w:p w:rsidR="00D849AA" w:rsidRDefault="00EE6D95">
            <w:r>
              <w:t>57.487.374</w:t>
            </w:r>
          </w:p>
        </w:tc>
        <w:tc>
          <w:tcPr>
            <w:tcW w:w="1486" w:type="dxa"/>
          </w:tcPr>
          <w:p w:rsidR="00D849AA" w:rsidRDefault="00EE6D95">
            <w:r>
              <w:t>65.145.104</w:t>
            </w:r>
          </w:p>
        </w:tc>
        <w:tc>
          <w:tcPr>
            <w:tcW w:w="1486" w:type="dxa"/>
          </w:tcPr>
          <w:p w:rsidR="00D849AA" w:rsidRDefault="00EE6D95">
            <w:r>
              <w:t>72.616.511</w:t>
            </w:r>
          </w:p>
        </w:tc>
        <w:tc>
          <w:tcPr>
            <w:tcW w:w="1486" w:type="dxa"/>
          </w:tcPr>
          <w:p w:rsidR="00D849AA" w:rsidRDefault="00EE6D95">
            <w:r>
              <w:t>53.606.890</w:t>
            </w:r>
          </w:p>
        </w:tc>
        <w:tc>
          <w:tcPr>
            <w:tcW w:w="1486" w:type="dxa"/>
          </w:tcPr>
          <w:p w:rsidR="00D849AA" w:rsidRDefault="00EE6D95">
            <w:r>
              <w:t>113,3</w:t>
            </w:r>
          </w:p>
        </w:tc>
      </w:tr>
    </w:tbl>
    <w:p w:rsidR="00D849AA" w:rsidRDefault="00D849AA">
      <w:pPr>
        <w:jc w:val="left"/>
      </w:pPr>
    </w:p>
    <w:p w:rsidR="00D849AA" w:rsidRDefault="00EE6D95">
      <w:pPr>
        <w:pStyle w:val="Naslov6"/>
      </w:pPr>
      <w:r>
        <w:t>Opis programa</w:t>
      </w:r>
    </w:p>
    <w:p w:rsidR="00D849AA" w:rsidRDefault="00EE6D95">
      <w:pPr>
        <w:pStyle w:val="Normal5"/>
      </w:pPr>
      <w:r>
        <w:t>Dio Programa Zaštita prirode provode javne ustanove nacionalni parkovi i parkovi prirode. Provedbom planiranih aktivnosti iz planova upravljanja zaštićenim područjima (nacionalnim parkovima i parkovima prirode) te godišnjih programa zaštite, očuvanja, promicanja i korištenja osigurati će se očuvanje zaštićenih područja. Optimalnom korištenju zaštićenih područja i potencijalnim N2000 područjima pridonijet će se i izgradnjom te uređenjem infrastrukture za posjetitelje, kao i razvojem sustava protupožarne zaštite. U ovaj Program uključene su i aktivnosti iz Projekta integracije u EU NATURA 2000 (NIP).</w:t>
      </w:r>
    </w:p>
    <w:p w:rsidR="00D849AA" w:rsidRDefault="00EE6D95">
      <w:pPr>
        <w:pStyle w:val="Naslov6"/>
      </w:pPr>
      <w:r>
        <w:t>Zakonske i druge pravne osnove</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 xml:space="preserve">Cilj 1. Postignut optimalan model (očuvanja) korištenja zaštićenih područja i područja ekološke mreže </w:t>
      </w:r>
    </w:p>
    <w:p w:rsidR="001A0148" w:rsidRDefault="001A0148" w:rsidP="001A0148"/>
    <w:p w:rsidR="001A0148" w:rsidRDefault="001A0148" w:rsidP="001A0148"/>
    <w:p w:rsidR="001A0148" w:rsidRPr="001A0148" w:rsidRDefault="001A0148" w:rsidP="001A0148"/>
    <w:p w:rsidR="00D849AA" w:rsidRDefault="00EE6D95">
      <w:pPr>
        <w:pStyle w:val="Naslov8"/>
        <w:jc w:val="left"/>
      </w:pPr>
      <w:r>
        <w:t>Pokazatelji učinka</w:t>
      </w:r>
    </w:p>
    <w:p w:rsidR="001A0148" w:rsidRDefault="001A0148" w:rsidP="001A0148"/>
    <w:tbl>
      <w:tblPr>
        <w:tblStyle w:val="Reetkatablice"/>
        <w:tblW w:w="0" w:type="auto"/>
        <w:jc w:val="center"/>
        <w:tblLook w:val="04A0" w:firstRow="1" w:lastRow="0" w:firstColumn="1" w:lastColumn="0" w:noHBand="0" w:noVBand="1"/>
      </w:tblPr>
      <w:tblGrid>
        <w:gridCol w:w="2244"/>
        <w:gridCol w:w="1122"/>
        <w:gridCol w:w="1122"/>
        <w:gridCol w:w="1496"/>
        <w:gridCol w:w="1496"/>
        <w:gridCol w:w="1496"/>
      </w:tblGrid>
      <w:tr w:rsidR="00D849AA" w:rsidRPr="001A0148" w:rsidTr="001A0148">
        <w:trPr>
          <w:trHeight w:val="935"/>
          <w:jc w:val="center"/>
        </w:trPr>
        <w:tc>
          <w:tcPr>
            <w:tcW w:w="2244" w:type="dxa"/>
            <w:shd w:val="clear" w:color="auto" w:fill="B5C0D8"/>
          </w:tcPr>
          <w:p w:rsidR="00D849AA" w:rsidRPr="001A0148" w:rsidRDefault="00EE6D95">
            <w:pPr>
              <w:rPr>
                <w:rFonts w:ascii="Arial" w:hAnsi="Arial" w:cs="Arial"/>
              </w:rPr>
            </w:pPr>
            <w:r w:rsidRPr="001A0148">
              <w:rPr>
                <w:rFonts w:ascii="Arial" w:hAnsi="Arial" w:cs="Arial"/>
              </w:rPr>
              <w:t>Pokazatelj učinka</w:t>
            </w:r>
          </w:p>
        </w:tc>
        <w:tc>
          <w:tcPr>
            <w:tcW w:w="1122" w:type="dxa"/>
            <w:shd w:val="clear" w:color="auto" w:fill="B5C0D8"/>
          </w:tcPr>
          <w:p w:rsidR="00D849AA" w:rsidRPr="001A0148" w:rsidRDefault="00EE6D95">
            <w:pPr>
              <w:pStyle w:val="CellHeader"/>
            </w:pPr>
            <w:r w:rsidRPr="001A0148">
              <w:t>Jedinica</w:t>
            </w:r>
          </w:p>
        </w:tc>
        <w:tc>
          <w:tcPr>
            <w:tcW w:w="1122" w:type="dxa"/>
            <w:shd w:val="clear" w:color="auto" w:fill="B5C0D8"/>
          </w:tcPr>
          <w:p w:rsidR="00D849AA" w:rsidRPr="001A0148" w:rsidRDefault="00EE6D95">
            <w:pPr>
              <w:pStyle w:val="CellHeader"/>
            </w:pPr>
            <w:r w:rsidRPr="001A0148">
              <w:t>Polazna vrijednost</w:t>
            </w:r>
          </w:p>
        </w:tc>
        <w:tc>
          <w:tcPr>
            <w:tcW w:w="1496" w:type="dxa"/>
            <w:shd w:val="clear" w:color="auto" w:fill="B5C0D8"/>
          </w:tcPr>
          <w:p w:rsidR="00D849AA" w:rsidRPr="001A0148" w:rsidRDefault="00EE6D95">
            <w:pPr>
              <w:pStyle w:val="CellHeader"/>
            </w:pPr>
            <w:r w:rsidRPr="001A0148">
              <w:t>Ciljana vrijednost (2014.)</w:t>
            </w:r>
          </w:p>
        </w:tc>
        <w:tc>
          <w:tcPr>
            <w:tcW w:w="1496" w:type="dxa"/>
            <w:shd w:val="clear" w:color="auto" w:fill="B5C0D8"/>
          </w:tcPr>
          <w:p w:rsidR="00D849AA" w:rsidRPr="001A0148" w:rsidRDefault="00EE6D95">
            <w:pPr>
              <w:pStyle w:val="CellHeader"/>
            </w:pPr>
            <w:r w:rsidRPr="001A0148">
              <w:t>Ciljana vrijednost (2015.)</w:t>
            </w:r>
          </w:p>
        </w:tc>
        <w:tc>
          <w:tcPr>
            <w:tcW w:w="1496" w:type="dxa"/>
            <w:shd w:val="clear" w:color="auto" w:fill="B5C0D8"/>
          </w:tcPr>
          <w:p w:rsidR="00D849AA" w:rsidRPr="001A0148" w:rsidRDefault="00EE6D95">
            <w:pPr>
              <w:pStyle w:val="CellHeader"/>
            </w:pPr>
            <w:r w:rsidRPr="001A0148">
              <w:t>Ciljana vrijednost (2016.)</w:t>
            </w:r>
          </w:p>
        </w:tc>
      </w:tr>
      <w:tr w:rsidR="00D849AA" w:rsidRPr="001A0148" w:rsidTr="001A0148">
        <w:trPr>
          <w:trHeight w:val="1628"/>
          <w:jc w:val="center"/>
        </w:trPr>
        <w:tc>
          <w:tcPr>
            <w:tcW w:w="2244" w:type="dxa"/>
          </w:tcPr>
          <w:p w:rsidR="00D849AA" w:rsidRPr="001A0148" w:rsidRDefault="00EE6D95">
            <w:pPr>
              <w:pStyle w:val="CellColumn"/>
            </w:pPr>
            <w:r w:rsidRPr="001A0148">
              <w:t>Broj zaštićenih područja (nacionalnih parkova i parkova prirode) s postignutim optimalnim modelom (očuvanja) korištenja</w:t>
            </w:r>
          </w:p>
        </w:tc>
        <w:tc>
          <w:tcPr>
            <w:tcW w:w="1122" w:type="dxa"/>
          </w:tcPr>
          <w:p w:rsidR="00D849AA" w:rsidRPr="001A0148" w:rsidRDefault="00EE6D95">
            <w:pPr>
              <w:rPr>
                <w:rFonts w:ascii="Arial" w:hAnsi="Arial" w:cs="Arial"/>
              </w:rPr>
            </w:pPr>
            <w:r w:rsidRPr="001A0148">
              <w:rPr>
                <w:rFonts w:ascii="Arial" w:hAnsi="Arial" w:cs="Arial"/>
              </w:rPr>
              <w:t>broj</w:t>
            </w:r>
          </w:p>
        </w:tc>
        <w:tc>
          <w:tcPr>
            <w:tcW w:w="1122" w:type="dxa"/>
          </w:tcPr>
          <w:p w:rsidR="00D849AA" w:rsidRPr="001A0148" w:rsidRDefault="00EE6D95">
            <w:pPr>
              <w:rPr>
                <w:rFonts w:ascii="Arial" w:hAnsi="Arial" w:cs="Arial"/>
              </w:rPr>
            </w:pPr>
            <w:r w:rsidRPr="001A0148">
              <w:rPr>
                <w:rFonts w:ascii="Arial" w:hAnsi="Arial" w:cs="Arial"/>
              </w:rPr>
              <w:t>0</w:t>
            </w:r>
          </w:p>
        </w:tc>
        <w:tc>
          <w:tcPr>
            <w:tcW w:w="1496" w:type="dxa"/>
          </w:tcPr>
          <w:p w:rsidR="00D849AA" w:rsidRPr="001A0148" w:rsidRDefault="00EE6D95">
            <w:pPr>
              <w:rPr>
                <w:rFonts w:ascii="Arial" w:hAnsi="Arial" w:cs="Arial"/>
              </w:rPr>
            </w:pPr>
            <w:r w:rsidRPr="001A0148">
              <w:rPr>
                <w:rFonts w:ascii="Arial" w:hAnsi="Arial" w:cs="Arial"/>
              </w:rPr>
              <w:t>2</w:t>
            </w:r>
          </w:p>
        </w:tc>
        <w:tc>
          <w:tcPr>
            <w:tcW w:w="1496" w:type="dxa"/>
          </w:tcPr>
          <w:p w:rsidR="00D849AA" w:rsidRPr="001A0148" w:rsidRDefault="00EE6D95">
            <w:pPr>
              <w:rPr>
                <w:rFonts w:ascii="Arial" w:hAnsi="Arial" w:cs="Arial"/>
              </w:rPr>
            </w:pPr>
            <w:r w:rsidRPr="001A0148">
              <w:rPr>
                <w:rFonts w:ascii="Arial" w:hAnsi="Arial" w:cs="Arial"/>
              </w:rPr>
              <w:t>4</w:t>
            </w:r>
          </w:p>
        </w:tc>
        <w:tc>
          <w:tcPr>
            <w:tcW w:w="1496" w:type="dxa"/>
          </w:tcPr>
          <w:p w:rsidR="00D849AA" w:rsidRPr="001A0148" w:rsidRDefault="00EE6D95">
            <w:pPr>
              <w:rPr>
                <w:rFonts w:ascii="Arial" w:hAnsi="Arial" w:cs="Arial"/>
              </w:rPr>
            </w:pPr>
            <w:r w:rsidRPr="001A0148">
              <w:rPr>
                <w:rFonts w:ascii="Arial" w:hAnsi="Arial" w:cs="Arial"/>
              </w:rPr>
              <w:t>6</w:t>
            </w:r>
          </w:p>
        </w:tc>
      </w:tr>
    </w:tbl>
    <w:p w:rsidR="00D849AA" w:rsidRPr="001A0148" w:rsidRDefault="00D849AA">
      <w:pPr>
        <w:jc w:val="left"/>
        <w:rPr>
          <w:rFonts w:ascii="Arial" w:hAnsi="Arial" w:cs="Arial"/>
        </w:rPr>
      </w:pPr>
    </w:p>
    <w:p w:rsidR="00D849AA" w:rsidRDefault="00EE6D95">
      <w:pPr>
        <w:pStyle w:val="Naslov5"/>
      </w:pPr>
      <w:r>
        <w:t>Procjena i ishodište potrebnih sredstava za značajnije aktivnosti/projekte</w:t>
      </w:r>
    </w:p>
    <w:p w:rsidR="00D849AA" w:rsidRDefault="00EE6D95">
      <w:pPr>
        <w:pStyle w:val="Naslov6"/>
      </w:pPr>
      <w:r>
        <w:t>A779021 ZAŠTITA PRIRODE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A779021</w:t>
            </w:r>
          </w:p>
        </w:tc>
        <w:tc>
          <w:tcPr>
            <w:tcW w:w="1486" w:type="dxa"/>
          </w:tcPr>
          <w:p w:rsidR="00D849AA" w:rsidRDefault="00EE6D95">
            <w:r>
              <w:t>2.800.000</w:t>
            </w:r>
          </w:p>
        </w:tc>
        <w:tc>
          <w:tcPr>
            <w:tcW w:w="1486" w:type="dxa"/>
          </w:tcPr>
          <w:p w:rsidR="00D849AA" w:rsidRDefault="00EE6D95">
            <w:r>
              <w:t>1.943.671</w:t>
            </w:r>
          </w:p>
        </w:tc>
        <w:tc>
          <w:tcPr>
            <w:tcW w:w="1486" w:type="dxa"/>
          </w:tcPr>
          <w:p w:rsidR="00D849AA" w:rsidRDefault="00EE6D95">
            <w:r>
              <w:t>1.607.030</w:t>
            </w:r>
          </w:p>
        </w:tc>
        <w:tc>
          <w:tcPr>
            <w:tcW w:w="1486" w:type="dxa"/>
          </w:tcPr>
          <w:p w:rsidR="00D849AA" w:rsidRDefault="00EE6D95">
            <w:r>
              <w:t>985.248</w:t>
            </w:r>
          </w:p>
        </w:tc>
        <w:tc>
          <w:tcPr>
            <w:tcW w:w="1486" w:type="dxa"/>
          </w:tcPr>
          <w:p w:rsidR="00D849AA" w:rsidRDefault="00EE6D95">
            <w:r>
              <w:t>69,4</w:t>
            </w:r>
          </w:p>
        </w:tc>
      </w:tr>
    </w:tbl>
    <w:p w:rsidR="00D849AA" w:rsidRDefault="00D849AA">
      <w:pPr>
        <w:jc w:val="left"/>
      </w:pPr>
    </w:p>
    <w:p w:rsidR="00D849AA" w:rsidRDefault="00EE6D95">
      <w:pPr>
        <w:pStyle w:val="Normal6"/>
      </w:pPr>
      <w:r>
        <w:t>Kroz ovu aktivnost sufinanciraju se programi nacionalnih parkova i parkova prirode planirani Godišnjim programom zaštite, očuvanja, promicanja i korištenja te planova upravljanja nacionalnih parkova i parkova prirode. Sufinancirati će se aktivnosti u svrhu zaštite i očuvanja zaštićenih područja (održavanje posjetiteljske infrastrukture, provedba monitoringa biljnih i životinjskih vrsta te staništa, protupožarna zaštita i sl.).</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Povećanje broja novoizgrađenih manjih infrastrukturnih objekata u zaštićenim područjima i područjima ekološke mreže (info punkovi, poučne staze)</w:t>
            </w:r>
          </w:p>
        </w:tc>
        <w:tc>
          <w:tcPr>
            <w:tcW w:w="1114" w:type="dxa"/>
          </w:tcPr>
          <w:p w:rsidR="00D849AA" w:rsidRDefault="00EE6D95">
            <w:r>
              <w:t>broj</w:t>
            </w:r>
          </w:p>
        </w:tc>
        <w:tc>
          <w:tcPr>
            <w:tcW w:w="1114" w:type="dxa"/>
          </w:tcPr>
          <w:p w:rsidR="00D849AA" w:rsidRDefault="00EE6D95">
            <w:r>
              <w:t>6</w:t>
            </w:r>
          </w:p>
        </w:tc>
        <w:tc>
          <w:tcPr>
            <w:tcW w:w="1486" w:type="dxa"/>
          </w:tcPr>
          <w:p w:rsidR="00D849AA" w:rsidRDefault="00EE6D95">
            <w:r>
              <w:t>14</w:t>
            </w:r>
          </w:p>
        </w:tc>
        <w:tc>
          <w:tcPr>
            <w:tcW w:w="1486" w:type="dxa"/>
          </w:tcPr>
          <w:p w:rsidR="00D849AA" w:rsidRDefault="00EE6D95">
            <w:r>
              <w:t>20</w:t>
            </w:r>
          </w:p>
        </w:tc>
        <w:tc>
          <w:tcPr>
            <w:tcW w:w="1486" w:type="dxa"/>
          </w:tcPr>
          <w:p w:rsidR="00D849AA" w:rsidRDefault="00EE6D95">
            <w:r>
              <w:t>25</w:t>
            </w:r>
          </w:p>
        </w:tc>
      </w:tr>
      <w:tr w:rsidR="00D849AA">
        <w:trPr>
          <w:jc w:val="center"/>
        </w:trPr>
        <w:tc>
          <w:tcPr>
            <w:tcW w:w="2229" w:type="dxa"/>
          </w:tcPr>
          <w:p w:rsidR="00D849AA" w:rsidRDefault="00EE6D95">
            <w:pPr>
              <w:pStyle w:val="CellColumn"/>
            </w:pPr>
            <w:r>
              <w:t>Povećanje broja nacionalnih parkova i parkova prirode koji su započeli izgradnju posjetiteljskih centara financirani sredstvima EU fondova</w:t>
            </w:r>
          </w:p>
        </w:tc>
        <w:tc>
          <w:tcPr>
            <w:tcW w:w="1114" w:type="dxa"/>
          </w:tcPr>
          <w:p w:rsidR="00D849AA" w:rsidRDefault="00EE6D95">
            <w:r>
              <w:t>broj</w:t>
            </w:r>
          </w:p>
        </w:tc>
        <w:tc>
          <w:tcPr>
            <w:tcW w:w="1114" w:type="dxa"/>
          </w:tcPr>
          <w:p w:rsidR="00D849AA" w:rsidRDefault="00EE6D95">
            <w:r>
              <w:t>0</w:t>
            </w:r>
          </w:p>
        </w:tc>
        <w:tc>
          <w:tcPr>
            <w:tcW w:w="1486" w:type="dxa"/>
          </w:tcPr>
          <w:p w:rsidR="00D849AA" w:rsidRDefault="00EE6D95">
            <w:r>
              <w:t>1</w:t>
            </w:r>
          </w:p>
        </w:tc>
        <w:tc>
          <w:tcPr>
            <w:tcW w:w="1486" w:type="dxa"/>
          </w:tcPr>
          <w:p w:rsidR="00D849AA" w:rsidRDefault="00EE6D95">
            <w:r>
              <w:t>3</w:t>
            </w:r>
          </w:p>
        </w:tc>
        <w:tc>
          <w:tcPr>
            <w:tcW w:w="1486" w:type="dxa"/>
          </w:tcPr>
          <w:p w:rsidR="00D849AA" w:rsidRDefault="00EE6D95">
            <w:r>
              <w:t>5</w:t>
            </w:r>
          </w:p>
        </w:tc>
      </w:tr>
    </w:tbl>
    <w:p w:rsidR="00D849AA" w:rsidRDefault="00D849AA">
      <w:pPr>
        <w:jc w:val="left"/>
      </w:pPr>
    </w:p>
    <w:p w:rsidR="00D849AA" w:rsidRDefault="00EE6D95">
      <w:pPr>
        <w:pStyle w:val="Naslov6"/>
      </w:pPr>
      <w:r>
        <w:lastRenderedPageBreak/>
        <w:t>K779022 PROJEKT INTEGRACIJE U EU NATURA 2000</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K779022</w:t>
            </w:r>
          </w:p>
        </w:tc>
        <w:tc>
          <w:tcPr>
            <w:tcW w:w="1486" w:type="dxa"/>
          </w:tcPr>
          <w:p w:rsidR="00D849AA" w:rsidRDefault="00EE6D95">
            <w:r>
              <w:t>14.236.500</w:t>
            </w:r>
          </w:p>
        </w:tc>
        <w:tc>
          <w:tcPr>
            <w:tcW w:w="1486" w:type="dxa"/>
          </w:tcPr>
          <w:p w:rsidR="00D849AA" w:rsidRDefault="00EE6D95">
            <w:r>
              <w:t>31.748.782</w:t>
            </w:r>
          </w:p>
        </w:tc>
        <w:tc>
          <w:tcPr>
            <w:tcW w:w="1486" w:type="dxa"/>
          </w:tcPr>
          <w:p w:rsidR="00D849AA" w:rsidRDefault="00EE6D95">
            <w:r>
              <w:t>38.102.204</w:t>
            </w:r>
          </w:p>
        </w:tc>
        <w:tc>
          <w:tcPr>
            <w:tcW w:w="1486" w:type="dxa"/>
          </w:tcPr>
          <w:p w:rsidR="00D849AA" w:rsidRDefault="00EE6D95">
            <w:r>
              <w:t>19.179.608</w:t>
            </w:r>
          </w:p>
        </w:tc>
        <w:tc>
          <w:tcPr>
            <w:tcW w:w="1486" w:type="dxa"/>
          </w:tcPr>
          <w:p w:rsidR="00D849AA" w:rsidRDefault="00EE6D95">
            <w:r>
              <w:t>223,0</w:t>
            </w:r>
          </w:p>
        </w:tc>
      </w:tr>
    </w:tbl>
    <w:p w:rsidR="00D849AA" w:rsidRDefault="00D849AA">
      <w:pPr>
        <w:jc w:val="left"/>
      </w:pPr>
    </w:p>
    <w:p w:rsidR="00D849AA" w:rsidRDefault="00EE6D95">
      <w:pPr>
        <w:pStyle w:val="Normal6"/>
      </w:pPr>
      <w:r>
        <w:t xml:space="preserve">Za provedbu ovog kapitalnog projekta Vlada Republike Hrvatske zatražila je potporu Međunarodne banke za obnovu i razvoj (Svjetska banka) u vidu zajma. Zajam ne predviđa nacionalno sufinanciranje budući da Svjetska banka financira troškove Projekta u 100% iznosu. Glavni cilj projekta je pružiti podršku NP, PP i županijskim JU za upravljanje zaštićenim prirodnim vrijednostima pri implementaciji ciljeva mreže N2000 u njihove investicijske programe, jačanje kapaciteta za praćenje stanja bioraznolikosti te izvještavanje o poduzetim mjerama temeljem zahtjeva EU i uvođenje programa radi uključivanja šire grupe dionika u proces upravljanja N2000 mrežom. Projekt se sastoji od sljedećih komponenti:  </w:t>
      </w:r>
    </w:p>
    <w:p w:rsidR="00D849AA" w:rsidRDefault="00EE6D95">
      <w:pPr>
        <w:pStyle w:val="Normal6"/>
      </w:pPr>
      <w:r>
        <w:t xml:space="preserve">1. Ulaganja u ekološku mrežu: Investicije u zaštićena područja/ekološku mrežu (predložena N2000 područja) koja pomažu predstavljanju i jačanju integracije s N2000 ciljevima;  </w:t>
      </w:r>
    </w:p>
    <w:p w:rsidR="00D849AA" w:rsidRDefault="00EE6D95">
      <w:pPr>
        <w:pStyle w:val="Normal6"/>
      </w:pPr>
      <w:r>
        <w:t xml:space="preserve">2. Informacijski sustavi ekološke mreže: Aktivnosti koje pomažu planirati, prioritizirati i organizirati inventarizaciju i praćenje stanja biološke raznolikosti, kartiranje stanišnih tipova i dopunjavanje informacijskog sustava u cilju ispunjavanja EU zahtjeva za izvještavanjem;  </w:t>
      </w:r>
    </w:p>
    <w:p w:rsidR="00D849AA" w:rsidRDefault="00EE6D95">
      <w:pPr>
        <w:pStyle w:val="Normal6"/>
      </w:pPr>
      <w:r>
        <w:t>3. Jačanje kapaciteta ekološke mreže: Aktivnosti koje pomažu promociji međusektorske suradnje.</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Povećanje broja nacionalnih parkova i parkova prirode za koje je izrađena dokumentacija za pokretanje postupka registracije u nadležnim registrima</w:t>
            </w:r>
          </w:p>
        </w:tc>
        <w:tc>
          <w:tcPr>
            <w:tcW w:w="1114" w:type="dxa"/>
          </w:tcPr>
          <w:p w:rsidR="00D849AA" w:rsidRDefault="00EE6D95">
            <w:r>
              <w:t>broj</w:t>
            </w:r>
          </w:p>
        </w:tc>
        <w:tc>
          <w:tcPr>
            <w:tcW w:w="1114" w:type="dxa"/>
          </w:tcPr>
          <w:p w:rsidR="00D849AA" w:rsidRDefault="00EE6D95">
            <w:r>
              <w:t>0</w:t>
            </w:r>
          </w:p>
        </w:tc>
        <w:tc>
          <w:tcPr>
            <w:tcW w:w="1486" w:type="dxa"/>
          </w:tcPr>
          <w:p w:rsidR="00D849AA" w:rsidRDefault="00EE6D95">
            <w:r>
              <w:t>1</w:t>
            </w:r>
          </w:p>
        </w:tc>
        <w:tc>
          <w:tcPr>
            <w:tcW w:w="1486" w:type="dxa"/>
          </w:tcPr>
          <w:p w:rsidR="00D849AA" w:rsidRDefault="00EE6D95">
            <w:r>
              <w:t>2</w:t>
            </w:r>
          </w:p>
        </w:tc>
        <w:tc>
          <w:tcPr>
            <w:tcW w:w="1486" w:type="dxa"/>
          </w:tcPr>
          <w:p w:rsidR="00D849AA" w:rsidRDefault="00EE6D95">
            <w:r>
              <w:t>3</w:t>
            </w:r>
          </w:p>
        </w:tc>
      </w:tr>
    </w:tbl>
    <w:p w:rsidR="00D849AA" w:rsidRDefault="00D849AA">
      <w:pPr>
        <w:jc w:val="left"/>
      </w:pPr>
    </w:p>
    <w:p w:rsidR="00D849AA" w:rsidRDefault="00EE6D95">
      <w:pPr>
        <w:pStyle w:val="Naslov2"/>
      </w:pPr>
      <w:r>
        <w:t>07720 Državni hidrometeorološki zavod</w:t>
      </w:r>
    </w:p>
    <w:p w:rsidR="00D849AA" w:rsidRDefault="00EE6D95">
      <w:pPr>
        <w:pStyle w:val="Naslov4"/>
      </w:pPr>
      <w:r>
        <w:t>Uvod</w:t>
      </w:r>
    </w:p>
    <w:p w:rsidR="00D849AA" w:rsidRDefault="00EE6D95">
      <w:pPr>
        <w:pStyle w:val="Normal3"/>
      </w:pPr>
      <w:r>
        <w:t xml:space="preserve">Državni hidrometeorološki zavod (DHMZ) prema Zakonu o sustavu državne uprave (Narodne novine, broj 150/11) djeluje kao državna upravna organizacija kojom upravlja ravnatelj imenovan od strane Vlade Republike Hrvatske te odgovoran Vladi RH. Kao nacionalna meteorološka i hidrološka služba DHMZ je dio svjetske mreže nacionalnih meteoroloških i hidroloških službi pod okriljem Svjetske meteorološke organizacije.  </w:t>
      </w:r>
    </w:p>
    <w:p w:rsidR="00D849AA" w:rsidRDefault="00EE6D95">
      <w:pPr>
        <w:pStyle w:val="Normal3"/>
      </w:pPr>
      <w:r>
        <w:lastRenderedPageBreak/>
        <w:t xml:space="preserve">DHMZ je pravna osoba koja obavlja i znanstveno istraživačku djelatnost u znanstvenom području prirodnih znanosti. </w:t>
      </w:r>
    </w:p>
    <w:p w:rsidR="00D849AA" w:rsidRDefault="00EE6D95">
      <w:pPr>
        <w:pStyle w:val="Normal3"/>
      </w:pPr>
      <w:r>
        <w:t xml:space="preserve"> </w:t>
      </w:r>
    </w:p>
    <w:p w:rsidR="00D849AA" w:rsidRDefault="00EE6D95">
      <w:pPr>
        <w:pStyle w:val="Normal3"/>
      </w:pPr>
      <w:r>
        <w:t xml:space="preserve">VIZIJA  </w:t>
      </w:r>
    </w:p>
    <w:p w:rsidR="00D849AA" w:rsidRDefault="00EE6D95">
      <w:pPr>
        <w:pStyle w:val="Normal3"/>
      </w:pPr>
      <w:r>
        <w:t xml:space="preserve">Biti nacionalno i regionalno središte izvrsnosti za informacije iz područja meteorologije, hidrologije i kvalitete zraka na temelju znanosti i međunarodnih normi te učinkovitog sustava upravljanja s ciljem zadovoljenja potreba svih korisnika, suglasno preporukama Svjetske meteorološke organizacije i direktivama Europske Unije. </w:t>
      </w:r>
    </w:p>
    <w:p w:rsidR="00D849AA" w:rsidRDefault="00EE6D95">
      <w:pPr>
        <w:pStyle w:val="Normal3"/>
      </w:pPr>
      <w:r>
        <w:t xml:space="preserve"> </w:t>
      </w:r>
    </w:p>
    <w:p w:rsidR="00D849AA" w:rsidRDefault="00EE6D95">
      <w:pPr>
        <w:pStyle w:val="Normal3"/>
      </w:pPr>
      <w:r>
        <w:t xml:space="preserve">MISIJA  </w:t>
      </w:r>
    </w:p>
    <w:p w:rsidR="00D849AA" w:rsidRDefault="00EE6D95">
      <w:pPr>
        <w:pStyle w:val="Normal3"/>
      </w:pPr>
      <w:r>
        <w:t xml:space="preserve">DHMZ podržava održivi i gospodarski razvoj države  te zaštitu života, dobara i okoliša informacijama o vremenu, klimi, klimatskim varijacijama i promjenama, vodama i zraku te upozorenjima na opasne vremenske, hidrološke i ekološke pojave i klimatske ekstreme u cilju ublažavanja njihovih posljedica suglasno preporukama Svjetske meteorološke organizacije i direktivama Europske Unije. </w:t>
      </w:r>
    </w:p>
    <w:p w:rsidR="00D849AA" w:rsidRDefault="00EE6D95">
      <w:pPr>
        <w:pStyle w:val="Normal3"/>
      </w:pPr>
      <w:r>
        <w:t xml:space="preserve"> </w:t>
      </w:r>
    </w:p>
    <w:p w:rsidR="00D849AA" w:rsidRDefault="00EE6D95">
      <w:pPr>
        <w:pStyle w:val="Normal3"/>
      </w:pPr>
      <w:r>
        <w:t>DHMZ upravlja meteorološkom i hidrološkom infrastrukturom te infrastrukturom za motrenje kvalitete zraka te nacionalnom arhivom meteoroloških, hidroloških i njima srodnih podataka. DHMZ provodi pouzdano i prepoznatljivo međunarodno partnerstvo, posebno na području jugoistočne i srednje Europe.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07720</w:t>
            </w:r>
          </w:p>
        </w:tc>
        <w:tc>
          <w:tcPr>
            <w:tcW w:w="1486" w:type="dxa"/>
          </w:tcPr>
          <w:p w:rsidR="00D849AA" w:rsidRDefault="00EE6D95">
            <w:r>
              <w:t>101.509.998</w:t>
            </w:r>
          </w:p>
        </w:tc>
        <w:tc>
          <w:tcPr>
            <w:tcW w:w="1486" w:type="dxa"/>
          </w:tcPr>
          <w:p w:rsidR="00D849AA" w:rsidRDefault="00EE6D95">
            <w:r>
              <w:t>108.934.547</w:t>
            </w:r>
          </w:p>
        </w:tc>
        <w:tc>
          <w:tcPr>
            <w:tcW w:w="1486" w:type="dxa"/>
          </w:tcPr>
          <w:p w:rsidR="00D849AA" w:rsidRDefault="00EE6D95">
            <w:r>
              <w:t>106.210.737</w:t>
            </w:r>
          </w:p>
        </w:tc>
        <w:tc>
          <w:tcPr>
            <w:tcW w:w="1486" w:type="dxa"/>
          </w:tcPr>
          <w:p w:rsidR="00D849AA" w:rsidRDefault="00EE6D95">
            <w:r>
              <w:t>96.292.867</w:t>
            </w:r>
          </w:p>
        </w:tc>
        <w:tc>
          <w:tcPr>
            <w:tcW w:w="1486" w:type="dxa"/>
          </w:tcPr>
          <w:p w:rsidR="00D849AA" w:rsidRDefault="00EE6D95">
            <w:r>
              <w:t>107,3</w:t>
            </w:r>
          </w:p>
        </w:tc>
      </w:tr>
    </w:tbl>
    <w:p w:rsidR="00D849AA" w:rsidRDefault="00D849AA">
      <w:pPr>
        <w:jc w:val="left"/>
      </w:pPr>
    </w:p>
    <w:p w:rsidR="00D849AA" w:rsidRDefault="00EE6D95">
      <w:pPr>
        <w:pStyle w:val="Naslov4"/>
      </w:pPr>
      <w:r>
        <w:t>OBRAZLOŽENJE PROGRAMA</w:t>
      </w:r>
    </w:p>
    <w:p w:rsidR="00D849AA" w:rsidRDefault="00EE6D95">
      <w:pPr>
        <w:pStyle w:val="Naslov5"/>
      </w:pPr>
      <w:r>
        <w:t>3407 METEOROLOGIJA, HIDROLOGIJA I KAKVOĆA ZRAKA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3407</w:t>
            </w:r>
          </w:p>
        </w:tc>
        <w:tc>
          <w:tcPr>
            <w:tcW w:w="1486" w:type="dxa"/>
          </w:tcPr>
          <w:p w:rsidR="00D849AA" w:rsidRDefault="00EE6D95">
            <w:r>
              <w:t>101.509.998</w:t>
            </w:r>
          </w:p>
        </w:tc>
        <w:tc>
          <w:tcPr>
            <w:tcW w:w="1486" w:type="dxa"/>
          </w:tcPr>
          <w:p w:rsidR="00D849AA" w:rsidRDefault="00EE6D95">
            <w:r>
              <w:t>108.934.547</w:t>
            </w:r>
          </w:p>
        </w:tc>
        <w:tc>
          <w:tcPr>
            <w:tcW w:w="1486" w:type="dxa"/>
          </w:tcPr>
          <w:p w:rsidR="00D849AA" w:rsidRDefault="00EE6D95">
            <w:r>
              <w:t>106.210.737</w:t>
            </w:r>
          </w:p>
        </w:tc>
        <w:tc>
          <w:tcPr>
            <w:tcW w:w="1486" w:type="dxa"/>
          </w:tcPr>
          <w:p w:rsidR="00D849AA" w:rsidRDefault="00EE6D95">
            <w:r>
              <w:t>96.292.867</w:t>
            </w:r>
          </w:p>
        </w:tc>
        <w:tc>
          <w:tcPr>
            <w:tcW w:w="1486" w:type="dxa"/>
          </w:tcPr>
          <w:p w:rsidR="00D849AA" w:rsidRDefault="00EE6D95">
            <w:r>
              <w:t>107,3</w:t>
            </w:r>
          </w:p>
        </w:tc>
      </w:tr>
    </w:tbl>
    <w:p w:rsidR="00D849AA" w:rsidRDefault="00D849AA">
      <w:pPr>
        <w:jc w:val="left"/>
      </w:pPr>
    </w:p>
    <w:p w:rsidR="00D849AA" w:rsidRDefault="00EE6D95">
      <w:pPr>
        <w:pStyle w:val="Naslov6"/>
      </w:pPr>
      <w:r>
        <w:t>Opis programa</w:t>
      </w:r>
    </w:p>
    <w:p w:rsidR="00D849AA" w:rsidRDefault="00EE6D95">
      <w:pPr>
        <w:pStyle w:val="Normal5"/>
      </w:pPr>
      <w:r>
        <w:t>Program proizlazi iz Strateškog plana DHMZ-a, Programa Vlade RH  te Strategije Svjetske meteorološke organizacije 2012.-2015. kao i strategija organizacija europske meteorološke infrastrukture: EUMETSAT-a, ECMWF-a, EUMETNET-a, ECOMET-a. Obuhvaća stručne poslove izrade analiza, upozorenja, prognoza i ekspertiza te raznih studija i elaborata vezanih za vrijeme, klimu, vodu i zrak; primijenjenih znanstvenih istraživanja; održavanja i razvoja nacionalne infrastrukture (meteorološke, hidrološke, i infrastrukture za praćenje kvalitete zraka); motrenja te održavanja i razvoja nacionalne arhive i baza meteoroloških, hidroloških i podataka o kvaliteti zraka.</w:t>
      </w:r>
    </w:p>
    <w:p w:rsidR="00D849AA" w:rsidRDefault="00EE6D95">
      <w:pPr>
        <w:pStyle w:val="Naslov6"/>
      </w:pPr>
      <w:r>
        <w:lastRenderedPageBreak/>
        <w:t>Zakonske i druge pravne osnove</w:t>
      </w:r>
    </w:p>
    <w:p w:rsidR="00D849AA" w:rsidRDefault="00EE6D95">
      <w:pPr>
        <w:pStyle w:val="Normal5"/>
      </w:pPr>
      <w:r>
        <w:t xml:space="preserve">1. Zakon o obavljanju poslova hidrometeorološke službe Republike Hrvatske (Narodne novine, broj 14/78); </w:t>
      </w:r>
    </w:p>
    <w:p w:rsidR="00D849AA" w:rsidRDefault="00EE6D95">
      <w:pPr>
        <w:pStyle w:val="Normal5"/>
      </w:pPr>
      <w:r>
        <w:t xml:space="preserve">2. Zakon o vodama (Narodne novine, broj 153/09);  </w:t>
      </w:r>
    </w:p>
    <w:p w:rsidR="00D849AA" w:rsidRDefault="00EE6D95">
      <w:pPr>
        <w:pStyle w:val="Normal5"/>
      </w:pPr>
      <w:r>
        <w:t xml:space="preserve">3. Državni plan obrane od poplava ( Narodne novine, broj 84/10); </w:t>
      </w:r>
    </w:p>
    <w:p w:rsidR="00D849AA" w:rsidRDefault="00EE6D95">
      <w:pPr>
        <w:pStyle w:val="Normal5"/>
      </w:pPr>
      <w:r>
        <w:t xml:space="preserve">4. Zakon o zaštiti zraka (Narodne novine, broj 130/11); </w:t>
      </w:r>
    </w:p>
    <w:p w:rsidR="00D849AA" w:rsidRDefault="00EE6D95">
      <w:pPr>
        <w:pStyle w:val="Normal5"/>
      </w:pPr>
      <w:r>
        <w:t xml:space="preserve">5. Zakonu o sustavu obrane od tuče (Narodne novine, broj 53/01);  </w:t>
      </w:r>
    </w:p>
    <w:p w:rsidR="00D849AA" w:rsidRDefault="00EE6D95">
      <w:pPr>
        <w:pStyle w:val="Normal5"/>
      </w:pPr>
      <w:r>
        <w:t xml:space="preserve">6. Zakon o arhivskom gradivu i arhivima (Narodne novine, broj 105/97, 64/00, 65/09); </w:t>
      </w:r>
    </w:p>
    <w:p w:rsidR="00D849AA" w:rsidRDefault="00EE6D95">
      <w:pPr>
        <w:pStyle w:val="Normal5"/>
      </w:pPr>
      <w:r>
        <w:t xml:space="preserve">7. Zakon o potvrđivanju Ugovora između Vlade Republike Hrvatske i EUMETSAT -a  (26.10.2006.); </w:t>
      </w:r>
    </w:p>
    <w:p w:rsidR="00D849AA" w:rsidRDefault="00EE6D95">
      <w:pPr>
        <w:pStyle w:val="Normal5"/>
      </w:pPr>
      <w:r>
        <w:t xml:space="preserve">8. Zakon o obrani (Narodne novine, broj 74/93 i 33/02); </w:t>
      </w:r>
    </w:p>
    <w:p w:rsidR="00D849AA" w:rsidRDefault="00EE6D95">
      <w:pPr>
        <w:pStyle w:val="Normal5"/>
      </w:pPr>
      <w:r>
        <w:t xml:space="preserve">9. Zakon o zaštiti i spašavanju (Narodne novine, broj 174/04 i 127/10); </w:t>
      </w:r>
    </w:p>
    <w:p w:rsidR="00D849AA" w:rsidRDefault="00EE6D95">
      <w:pPr>
        <w:pStyle w:val="Normal5"/>
      </w:pPr>
      <w:r>
        <w:t xml:space="preserve">10. Zakon o zaštiti od elementarnih nepogoda (Narodne novine, broj 73/97); </w:t>
      </w:r>
    </w:p>
    <w:p w:rsidR="00D849AA" w:rsidRDefault="00EE6D95">
      <w:pPr>
        <w:pStyle w:val="Normal5"/>
      </w:pPr>
      <w:r>
        <w:t xml:space="preserve">11. Sporazum o pristupanju Republike Hrvatske Konvenciji ECMWF-a (8.11.2011.); </w:t>
      </w:r>
    </w:p>
    <w:p w:rsidR="00D849AA" w:rsidRDefault="00EE6D95">
      <w:pPr>
        <w:pStyle w:val="Normal5"/>
      </w:pPr>
      <w:r>
        <w:t xml:space="preserve">12. Konvencija o Svjetskoj meteorološkoj organizaciji (8.11.1992); </w:t>
      </w:r>
    </w:p>
    <w:p w:rsidR="00D849AA" w:rsidRDefault="00EE6D95">
      <w:pPr>
        <w:pStyle w:val="Normal5"/>
      </w:pPr>
      <w:r>
        <w:t xml:space="preserve">13. Konvencija o suradnji na sigurnosti zračne plovidbe (Narodne novine - MU 14/96); </w:t>
      </w:r>
    </w:p>
    <w:p w:rsidR="00D849AA" w:rsidRDefault="00EE6D95">
      <w:pPr>
        <w:pStyle w:val="Normal5"/>
      </w:pPr>
      <w:r>
        <w:t xml:space="preserve">14. Konvencija o režimu plovidbe na Dunavu (Narodne novine - MU 18/98); </w:t>
      </w:r>
    </w:p>
    <w:p w:rsidR="00D849AA" w:rsidRDefault="00EE6D95">
      <w:pPr>
        <w:pStyle w:val="Normal5"/>
      </w:pPr>
      <w:r>
        <w:t xml:space="preserve">15. Konvencija o zaštiti ljudskih života na moru (Narodne novine - MU 13/99); </w:t>
      </w:r>
    </w:p>
    <w:p w:rsidR="00D849AA" w:rsidRDefault="00EE6D95">
      <w:pPr>
        <w:pStyle w:val="Normal5"/>
      </w:pPr>
      <w:r>
        <w:t xml:space="preserve">16. Konvencija o zaštiti Sredozemnog mora od onečišćenja (Narodne novine - MU 17/98); </w:t>
      </w:r>
    </w:p>
    <w:p w:rsidR="00D849AA" w:rsidRDefault="00EE6D95">
      <w:pPr>
        <w:pStyle w:val="Normal5"/>
      </w:pPr>
      <w:r>
        <w:t xml:space="preserve">17. Konvencija o promjeni klime (Narodne novine - MU 2/96); </w:t>
      </w:r>
    </w:p>
    <w:p w:rsidR="00D849AA" w:rsidRDefault="00EE6D95">
      <w:pPr>
        <w:pStyle w:val="Normal5"/>
      </w:pPr>
      <w:r>
        <w:t xml:space="preserve">18. Konvencija o traganju i spašavanju na moru (Narodne novine - MU 14/96); </w:t>
      </w:r>
    </w:p>
    <w:p w:rsidR="00D849AA" w:rsidRDefault="00EE6D95">
      <w:pPr>
        <w:pStyle w:val="Normal5"/>
      </w:pPr>
      <w:r>
        <w:t xml:space="preserve">19. Konvencija o nuklearnoj sigurnosti (Narodne novine - MU 13/95); </w:t>
      </w:r>
    </w:p>
    <w:p w:rsidR="00D849AA" w:rsidRDefault="00EE6D95">
      <w:pPr>
        <w:pStyle w:val="Normal5"/>
      </w:pPr>
      <w:r>
        <w:t xml:space="preserve">20. Konvencija o praćenju prekograničnog onečišćenja zraka (Narodne novine - MU 17/98); </w:t>
      </w:r>
    </w:p>
    <w:p w:rsidR="00D849AA" w:rsidRDefault="00EE6D95">
      <w:pPr>
        <w:pStyle w:val="Normal5"/>
      </w:pPr>
      <w:r>
        <w:t>21. Konvencija o dalekosežnom prekograničnom onečišćenju zraka LRTAP i Gothenburški protokol o smanjenju zakiseljavanja, eutrofikacije i onečišćavanja prizemnim ozonom.</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 xml:space="preserve">Cilj 1. Osigurana odgovarajuća kvaliteta i količina podataka o vremenu, klimi, stanju voda i kvaliteti zraka  Osigurana odgovarajuća kvaliteta i količina podataka o vremenu, klimi, stanju voda i kvaliteti zraka  Osigurana odgovarajuća kvaliteta i količina podataka o vremenu, klimi, stanju voda i kvaliteti zraka  </w:t>
      </w:r>
    </w:p>
    <w:p w:rsidR="00D849AA" w:rsidRDefault="00EE6D95">
      <w:pPr>
        <w:pStyle w:val="Normal6"/>
      </w:pPr>
      <w:r>
        <w:t xml:space="preserve">Podaci su podloga za izradu svih drugih informacija koje služe zaštiti života i dobara te održivom razvoju raznih gospodarskih grana, kroz korištenje podataka o vremenu, klimi, stanju voda i kvaliteti zraka. Oni su neophodni za ostvarenje svih preostalih ciljeva Republike Hrvatske čije je ostvarenje povjereno DHMZ-u. </w:t>
      </w:r>
    </w:p>
    <w:p w:rsidR="00D849AA" w:rsidRDefault="00EE6D95">
      <w:pPr>
        <w:pStyle w:val="Normal6"/>
      </w:pPr>
      <w:r>
        <w:t xml:space="preserve">Kvalitetni i dostatni podaci, posebno u vrlo složenim geografskim i prirodnim uvjetima Republike Hrvatske, osiguravaju pouzdane prognoze vremena, klime i stanja voda, studije, elaborate kao i druge produkte. </w:t>
      </w:r>
    </w:p>
    <w:p w:rsidR="00D849AA" w:rsidRDefault="00EE6D95">
      <w:pPr>
        <w:pStyle w:val="Normal6"/>
      </w:pPr>
      <w:r>
        <w:lastRenderedPageBreak/>
        <w:t>Za ostvarenje cilja 1 potrebno je osigurati modernizaciju postojećeg motriteljskog sustava u segmentu praćenja vremena i klime te segmentu stanja voda i praćenja kvalitete zraka kroz korištenje fondova Europske unije u razdoblju od 2014. do 2020. godine. Presudna podrška ostvarenju modernizacije motriteljskih mreža je njihovo uključenje u tematske ciljeve Operativnog programa RH za EU Fondove za navedeno financijsko razdoblje.</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Povećana sigurnost života i imovine - smanjene ek. štete od posljedica opasnih vrem,hidr.i ekol.pojava</w:t>
            </w:r>
          </w:p>
        </w:tc>
        <w:tc>
          <w:tcPr>
            <w:tcW w:w="1114" w:type="dxa"/>
          </w:tcPr>
          <w:p w:rsidR="00D849AA" w:rsidRDefault="00EE6D95">
            <w:r>
              <w:t>Omjer</w:t>
            </w:r>
          </w:p>
        </w:tc>
        <w:tc>
          <w:tcPr>
            <w:tcW w:w="1114" w:type="dxa"/>
          </w:tcPr>
          <w:p w:rsidR="00D849AA" w:rsidRDefault="00EE6D95">
            <w:r>
              <w:t>1:4,5</w:t>
            </w:r>
          </w:p>
        </w:tc>
        <w:tc>
          <w:tcPr>
            <w:tcW w:w="1486" w:type="dxa"/>
          </w:tcPr>
          <w:p w:rsidR="00D849AA" w:rsidRDefault="00EE6D95">
            <w:r>
              <w:t>1:5</w:t>
            </w:r>
          </w:p>
        </w:tc>
        <w:tc>
          <w:tcPr>
            <w:tcW w:w="1486" w:type="dxa"/>
          </w:tcPr>
          <w:p w:rsidR="00D849AA" w:rsidRDefault="00EE6D95">
            <w:r>
              <w:t>1:5</w:t>
            </w:r>
          </w:p>
        </w:tc>
        <w:tc>
          <w:tcPr>
            <w:tcW w:w="1486" w:type="dxa"/>
          </w:tcPr>
          <w:p w:rsidR="00D849AA" w:rsidRDefault="00EE6D95">
            <w:r>
              <w:t>1:7,4</w:t>
            </w:r>
          </w:p>
        </w:tc>
      </w:tr>
    </w:tbl>
    <w:p w:rsidR="00D849AA" w:rsidRDefault="00D849AA">
      <w:pPr>
        <w:jc w:val="left"/>
      </w:pPr>
    </w:p>
    <w:p w:rsidR="00D849AA" w:rsidRDefault="00EE6D95">
      <w:pPr>
        <w:pStyle w:val="Naslov7"/>
      </w:pPr>
      <w:r>
        <w:t>Cilj 2. Osigurana pouzdana i pravovremena upozorenja na prirodne nepogode i katastrofe te podrška ublažavanju posljedica ekoloških nesreća i katastrofa</w:t>
      </w:r>
    </w:p>
    <w:p w:rsidR="00D849AA" w:rsidRDefault="00EE6D95">
      <w:pPr>
        <w:pStyle w:val="Normal6"/>
      </w:pPr>
      <w:r>
        <w:t xml:space="preserve">Pravodobna upozorenja na vremenske, klimatske i hidrološke ekstreme (olujno nevrijeme, olujni i orkanski vjetar, hladni i toplinski valovi, poplave, suše itd.) znatno ublažavaju rizik učinaka prirodnih nepogoda i katastrofa, uključujući šumske požare, klizišta tla, narušavanje zdravlja, smanjenje proizvodnje hrane, smanjenje proizvodnje i opskrbe energije, prekid prometa, ugrožavanje turizma i dr. </w:t>
      </w:r>
    </w:p>
    <w:p w:rsidR="00D849AA" w:rsidRDefault="00EE6D95">
      <w:pPr>
        <w:pStyle w:val="Normal6"/>
      </w:pPr>
      <w:r>
        <w:t xml:space="preserve"> </w:t>
      </w:r>
    </w:p>
    <w:p w:rsidR="00D849AA" w:rsidRDefault="00EE6D95">
      <w:pPr>
        <w:pStyle w:val="Normal6"/>
      </w:pPr>
      <w:r>
        <w:t>DHMZ osigurava praćenje kvalitete zraka i proslijeđivanje odgovarajućih podataka o kvaliteti zraka sukladno postojećim direktivama Europske unije. Posebno je važna uloga DHMZ-a u praćenju širenja opasnih tvari kroz atmosferu u slučaju ekoloških katastrofa.</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Povećana sigurnost života i imovine - smanjene ek.štete od posljedica opasnih vrem.hidr.i ekol.pojava</w:t>
            </w:r>
          </w:p>
        </w:tc>
        <w:tc>
          <w:tcPr>
            <w:tcW w:w="1114" w:type="dxa"/>
          </w:tcPr>
          <w:p w:rsidR="00D849AA" w:rsidRDefault="00EE6D95">
            <w:r>
              <w:t>Omjer</w:t>
            </w:r>
          </w:p>
        </w:tc>
        <w:tc>
          <w:tcPr>
            <w:tcW w:w="1114" w:type="dxa"/>
          </w:tcPr>
          <w:p w:rsidR="00D849AA" w:rsidRDefault="00EE6D95">
            <w:r>
              <w:t>1:4,5</w:t>
            </w:r>
          </w:p>
        </w:tc>
        <w:tc>
          <w:tcPr>
            <w:tcW w:w="1486" w:type="dxa"/>
          </w:tcPr>
          <w:p w:rsidR="00D849AA" w:rsidRDefault="00EE6D95">
            <w:r>
              <w:t>1:5</w:t>
            </w:r>
          </w:p>
        </w:tc>
        <w:tc>
          <w:tcPr>
            <w:tcW w:w="1486" w:type="dxa"/>
          </w:tcPr>
          <w:p w:rsidR="00D849AA" w:rsidRDefault="00EE6D95">
            <w:r>
              <w:t>1:5</w:t>
            </w:r>
          </w:p>
        </w:tc>
        <w:tc>
          <w:tcPr>
            <w:tcW w:w="1486" w:type="dxa"/>
          </w:tcPr>
          <w:p w:rsidR="00D849AA" w:rsidRDefault="00EE6D95">
            <w:r>
              <w:t>1:7,4</w:t>
            </w:r>
          </w:p>
        </w:tc>
      </w:tr>
    </w:tbl>
    <w:p w:rsidR="00D849AA" w:rsidRDefault="00D849AA">
      <w:pPr>
        <w:jc w:val="left"/>
      </w:pPr>
    </w:p>
    <w:p w:rsidR="00D849AA" w:rsidRDefault="00EE6D95">
      <w:pPr>
        <w:pStyle w:val="Naslov7"/>
      </w:pPr>
      <w:r>
        <w:t xml:space="preserve">Cilj 3. Učinkovito održavna i integrirana baza i arhiv podataka o vremenu, klimi, te stanju voda i kvaliteti zraka,  uključujući i odgovarajuću sigurnost i dostupnost </w:t>
      </w:r>
    </w:p>
    <w:p w:rsidR="00D849AA" w:rsidRDefault="00EE6D95">
      <w:pPr>
        <w:pStyle w:val="Normal6"/>
      </w:pPr>
      <w:r>
        <w:t xml:space="preserve">Podaci su podloga za izradu svih drugih informacija koje služe zaštiti života i dobara te održivom razvoju raznih gospodarskih grana, kroz korištenje podataka o vremenu, klimi, stanju voda i kvaliteti zraka. Oni su neophodni za ostvarenje svih preostalih ciljeva Republike Hrvatske čije je ostvarenje povjereno DHMZ-u. </w:t>
      </w:r>
    </w:p>
    <w:p w:rsidR="00D849AA" w:rsidRDefault="00EE6D95">
      <w:pPr>
        <w:pStyle w:val="Normal6"/>
      </w:pPr>
      <w:r>
        <w:lastRenderedPageBreak/>
        <w:t xml:space="preserve">Kvalitetni i dostatni podaci, posebno u vrlo složenim geografskim i prirodnim uvjetima Republike Hrvatske, osiguravaju pouzdane prognoze vremena, klime i stanja voda, studije, elaborate kao i druge produkte. </w:t>
      </w:r>
    </w:p>
    <w:p w:rsidR="00D849AA" w:rsidRDefault="00EE6D95">
      <w:pPr>
        <w:pStyle w:val="Normal6"/>
      </w:pPr>
      <w:r>
        <w:t>Za ostvarenje cilja potrebno je osigurati modernizaciju postojećeg motriteljskog sustava u segmentu praćenja vremena i klime te segmentu stanja voda i praćenja kvalitete zraka kroz korištenje fondova Europske unije u razdoblju od 2014. do 2020. godine. Presudna podrška ostvarenju modernizacije motriteljskih mreža je njihovo uključenje u tematske ciljeve Operativnog programa RH za EU Fondove za navedeno financijsko razdoblje.</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Povećana sigurnost života i imovine - smanjene ek.štete od posljedica opasnih vrem.hidr. i ekol.pojava</w:t>
            </w:r>
          </w:p>
        </w:tc>
        <w:tc>
          <w:tcPr>
            <w:tcW w:w="1114" w:type="dxa"/>
          </w:tcPr>
          <w:p w:rsidR="00D849AA" w:rsidRDefault="00EE6D95">
            <w:r>
              <w:t>Omjer</w:t>
            </w:r>
          </w:p>
        </w:tc>
        <w:tc>
          <w:tcPr>
            <w:tcW w:w="1114" w:type="dxa"/>
          </w:tcPr>
          <w:p w:rsidR="00D849AA" w:rsidRDefault="00EE6D95">
            <w:r>
              <w:t>1:4,5</w:t>
            </w:r>
          </w:p>
        </w:tc>
        <w:tc>
          <w:tcPr>
            <w:tcW w:w="1486" w:type="dxa"/>
          </w:tcPr>
          <w:p w:rsidR="00D849AA" w:rsidRDefault="00EE6D95">
            <w:r>
              <w:t>1:5</w:t>
            </w:r>
          </w:p>
        </w:tc>
        <w:tc>
          <w:tcPr>
            <w:tcW w:w="1486" w:type="dxa"/>
          </w:tcPr>
          <w:p w:rsidR="00D849AA" w:rsidRDefault="00EE6D95">
            <w:r>
              <w:t>1:5</w:t>
            </w:r>
          </w:p>
        </w:tc>
        <w:tc>
          <w:tcPr>
            <w:tcW w:w="1486" w:type="dxa"/>
          </w:tcPr>
          <w:p w:rsidR="00D849AA" w:rsidRDefault="00EE6D95">
            <w:r>
              <w:t>1:7,4</w:t>
            </w:r>
          </w:p>
        </w:tc>
      </w:tr>
    </w:tbl>
    <w:p w:rsidR="00D849AA" w:rsidRDefault="00D849AA">
      <w:pPr>
        <w:jc w:val="left"/>
      </w:pPr>
    </w:p>
    <w:p w:rsidR="00D849AA" w:rsidRDefault="00EE6D95">
      <w:pPr>
        <w:pStyle w:val="Naslov7"/>
      </w:pPr>
      <w:r>
        <w:t xml:space="preserve">Cilj 4. Osiguranje odgovarajuće međunarodne suradnje u razmjeni podataka te podršci operativne uloge DHMZ-a i međunarodnog položaja Republike Hrvatske </w:t>
      </w:r>
    </w:p>
    <w:p w:rsidR="00D849AA" w:rsidRDefault="00EE6D95">
      <w:pPr>
        <w:pStyle w:val="Normal6"/>
      </w:pPr>
      <w:r>
        <w:t xml:space="preserve">Razmjena meteoroloških i hidroloških podataka te podataka o kvaliteti zraka na međunarodnoj razini, kao i korištenje standarda i preporuka Svjetske meteorološke organizacije ključne su za ostvarenje operativne uloge DHMZ-a i nužna su pretpostavka za ostvarenje općeg cilja 4. U ostvarenju visokih standarda za potrebe korisnika neizostavna je uključenost Republike Hrvatske u meteorološku infrastrukturu Europske Unije (ECMWF, EUMETSAT, ECOMET, EUMETNET, EMEP, ALADIN/  RC LACE, EMEP) uz aktivno sudjelovanje imenovanih predstavnika DHMZ-a, koji su u pravilu i predstavnici Republike Hrvatske, u stručnim i političkim tijelima navedenih međuvladinih i međunarodnih oganizacija i programa. Međunarodna aktivnost predstavnika DHMZ-a znatno doprinosi ulozi Republike Hrvatske na regionalnoj i globalnoj razini.    </w:t>
      </w:r>
    </w:p>
    <w:p w:rsidR="00D849AA" w:rsidRDefault="00EE6D95">
      <w:pPr>
        <w:pStyle w:val="Normal6"/>
      </w:pPr>
      <w:r>
        <w:t xml:space="preserve"> </w:t>
      </w:r>
    </w:p>
    <w:p w:rsidR="00D849AA" w:rsidRDefault="00EE6D95">
      <w:pPr>
        <w:pStyle w:val="Normal6"/>
      </w:pPr>
      <w:r>
        <w:t>Brzi napredak znanosti i tehnologije u uvjetima globalizacije čine stjecanje znanja i njegovu produktivnu primjenu temeljnim izazovom konkurentnog gospodarstva i društva. Vrijednost točne i pravodobne meteorološke i klimatološke informacije u prevenciji i prilagodbi društva pri tome igra ključnu ulogu, bilo da se radi o upozorenju na opasnu vremensku pojavu ili pak informaciji o mogućim klimatskim promjenama na određenom području. Jedna od bitnih pretpostavki za izdavanje takvih informacija je kvalitetan i međunarodno konkurentan znanstveno-istraživački rad uz prenošenje i uključivanje njegovih rezultata u primjenu u svim gospodarskim granama.</w:t>
      </w:r>
    </w:p>
    <w:p w:rsidR="00D849AA" w:rsidRDefault="00EE6D95">
      <w:pPr>
        <w:pStyle w:val="Naslov7"/>
      </w:pPr>
      <w:r>
        <w:t xml:space="preserve">Cilj 5. Osigurano učinkovito upravljanje cjelokupnim sustavom DHMZ-a, osvješćivanje i informiranje donositelja odluka, partnera, korisnika i šire javnosti </w:t>
      </w:r>
    </w:p>
    <w:p w:rsidR="00D849AA" w:rsidRDefault="00EE6D95">
      <w:pPr>
        <w:pStyle w:val="Normal6"/>
      </w:pPr>
      <w:r>
        <w:t xml:space="preserve">Kao stručno i operativno tijelo, ali i znanstvenoistraživačko i upravno nacionalno tijelo s međunarodnim obavezama, DHMZ u radu i upravljanju primjenjuje standarde Svjetske meteorološke organizacije (Ženeva), Europske unije i standarde koje postavlja Vlada </w:t>
      </w:r>
      <w:r>
        <w:lastRenderedPageBreak/>
        <w:t>Republike Hrvatske. Povećani zahtjevi u domeni upravljanja ispunit će povećanjem intelektualnog kapitala - ulaganjem u znanje, vještine i dopunu timova. S obzirom na presudnu ulogu upravljanja (rad s drugima i pomoću drugih, ostvarivanje ciljeva, učinkovitost i djelotvornost, racionalno korištenje ograničenih resursa, uvođenje promjena) ostvarenje ovog cilja presudno je za ostvarivanje svih drugih ciljeva DHMZ-a.  Ostvarenjem ovog cilja do 2016. godine poboljšat će se upravljanje javnom nabavom, financijsko planiranje, upravljanje dokumentacijom i arhivom, informiranje i priprema projekata za fondove Europske Unije. Također poboljšat će se informiranje, broj i dostupnost informacija i s time razumijevanje donositelja odluka i građana o povezanosti života  i zdravlja okoliša te razvoja gospodarstva s vremenom, vodom, klimom i kvalitetom zraka, kako bi mogli ispravno djelovati.</w:t>
      </w:r>
    </w:p>
    <w:p w:rsidR="00D849AA" w:rsidRDefault="00EE6D95">
      <w:pPr>
        <w:pStyle w:val="Naslov7"/>
      </w:pPr>
      <w:r>
        <w:t xml:space="preserve">Cilj 6. Podrška održivom razvoju i sigurnosti    </w:t>
      </w:r>
    </w:p>
    <w:p w:rsidR="00D849AA" w:rsidRDefault="00EE6D95">
      <w:pPr>
        <w:pStyle w:val="Normal6"/>
      </w:pPr>
      <w:r>
        <w:t xml:space="preserve">Poseban cilj 6.  posvećen je povećanju količine, stručne kvalitete i pouzdanosti meteoroloških informacija koje izrađuje DHMZ u cilju podržavanja održivog gospodarskog rasta i razvoja. Ostvarivanje postavljenog cilja postići će se osiguranjem kontinuiteta te stručne i tehničke kvalitete operativnog rada uz daljnje unaprijeđenje stručne metodologije.  </w:t>
      </w:r>
    </w:p>
    <w:p w:rsidR="00D849AA" w:rsidRDefault="00EE6D95">
      <w:pPr>
        <w:pStyle w:val="Normal6"/>
      </w:pPr>
      <w:r>
        <w:t xml:space="preserve">Poseban cilj posvećen je i ostvarenju još veće vidljivosti i prepoznatljivosti  DHMZ-a među svim korisnicima, pri čemu bi se meteorološke informacije Zavoda mogle naći i na gotovo svim relevantnim mjestima, prije svega na stranicama državne uprave i lokalne samouprave.  </w:t>
      </w:r>
    </w:p>
    <w:p w:rsidR="00D849AA" w:rsidRDefault="00EE6D95">
      <w:pPr>
        <w:pStyle w:val="Normal6"/>
      </w:pPr>
      <w:r>
        <w:t xml:space="preserve"> </w:t>
      </w:r>
    </w:p>
    <w:p w:rsidR="00D849AA" w:rsidRDefault="00EE6D95">
      <w:pPr>
        <w:pStyle w:val="Normal6"/>
      </w:pPr>
      <w:r>
        <w:t xml:space="preserve">Naši korisnici i partneri dolaze iz javnog i privatnog sektora: </w:t>
      </w:r>
    </w:p>
    <w:p w:rsidR="00D849AA" w:rsidRDefault="00EE6D95">
      <w:pPr>
        <w:pStyle w:val="Normal6"/>
      </w:pPr>
      <w:r>
        <w:t>•</w:t>
      </w:r>
      <w:r>
        <w:tab/>
        <w:t xml:space="preserve">vlada i  ministarstva </w:t>
      </w:r>
    </w:p>
    <w:p w:rsidR="00D849AA" w:rsidRDefault="00EE6D95">
      <w:pPr>
        <w:pStyle w:val="Normal6"/>
      </w:pPr>
      <w:r>
        <w:t>•</w:t>
      </w:r>
      <w:r>
        <w:tab/>
        <w:t xml:space="preserve">lokalna samouprava  </w:t>
      </w:r>
    </w:p>
    <w:p w:rsidR="00D849AA" w:rsidRDefault="00EE6D95">
      <w:pPr>
        <w:pStyle w:val="Normal6"/>
      </w:pPr>
      <w:r>
        <w:t>•</w:t>
      </w:r>
      <w:r>
        <w:tab/>
        <w:t xml:space="preserve">mediji (radio, televizija, novine, internet, mobilna telefonija) </w:t>
      </w:r>
    </w:p>
    <w:p w:rsidR="00D849AA" w:rsidRDefault="00EE6D95">
      <w:pPr>
        <w:pStyle w:val="Normal6"/>
      </w:pPr>
      <w:r>
        <w:t>•</w:t>
      </w:r>
      <w:r>
        <w:tab/>
        <w:t xml:space="preserve">vodoprivreda </w:t>
      </w:r>
    </w:p>
    <w:p w:rsidR="00D849AA" w:rsidRDefault="00EE6D95">
      <w:pPr>
        <w:pStyle w:val="Normal6"/>
      </w:pPr>
      <w:r>
        <w:t>•</w:t>
      </w:r>
      <w:r>
        <w:tab/>
        <w:t xml:space="preserve">energetika </w:t>
      </w:r>
    </w:p>
    <w:p w:rsidR="00D849AA" w:rsidRDefault="00EE6D95">
      <w:pPr>
        <w:pStyle w:val="Normal6"/>
      </w:pPr>
      <w:r>
        <w:t>•</w:t>
      </w:r>
      <w:r>
        <w:tab/>
        <w:t xml:space="preserve">promet (cestovni, željeznički, pomorski) </w:t>
      </w:r>
    </w:p>
    <w:p w:rsidR="00D849AA" w:rsidRDefault="00EE6D95">
      <w:pPr>
        <w:pStyle w:val="Normal6"/>
      </w:pPr>
      <w:r>
        <w:t>•</w:t>
      </w:r>
      <w:r>
        <w:tab/>
        <w:t xml:space="preserve">poljoprivreda </w:t>
      </w:r>
    </w:p>
    <w:p w:rsidR="00D849AA" w:rsidRDefault="00EE6D95">
      <w:pPr>
        <w:pStyle w:val="Normal6"/>
      </w:pPr>
      <w:r>
        <w:t>•</w:t>
      </w:r>
      <w:r>
        <w:tab/>
        <w:t xml:space="preserve">turizam  </w:t>
      </w:r>
    </w:p>
    <w:p w:rsidR="00D849AA" w:rsidRDefault="00EE6D95">
      <w:pPr>
        <w:pStyle w:val="Normal6"/>
      </w:pPr>
      <w:r>
        <w:t>•</w:t>
      </w:r>
      <w:r>
        <w:tab/>
        <w:t xml:space="preserve">građevinarstvo </w:t>
      </w:r>
    </w:p>
    <w:p w:rsidR="00D849AA" w:rsidRDefault="00EE6D95">
      <w:pPr>
        <w:pStyle w:val="Normal6"/>
      </w:pPr>
      <w:r>
        <w:t>•</w:t>
      </w:r>
      <w:r>
        <w:tab/>
        <w:t xml:space="preserve">nevladine neprofitne udruge od javnog interesa </w:t>
      </w:r>
    </w:p>
    <w:p w:rsidR="00D849AA" w:rsidRDefault="00EE6D95">
      <w:pPr>
        <w:pStyle w:val="Normal6"/>
      </w:pPr>
      <w:r>
        <w:t>•</w:t>
      </w:r>
      <w:r>
        <w:tab/>
        <w:t>pojedinci.</w:t>
      </w:r>
    </w:p>
    <w:p w:rsidR="00D849AA" w:rsidRDefault="00EE6D95">
      <w:pPr>
        <w:pStyle w:val="Naslov7"/>
      </w:pPr>
      <w:r>
        <w:t xml:space="preserve">Cilj 7.  Osigurana odgovarajuća kvaliteta i količina posebnih analiza i prognoza kvalitete zraka za donositelje odluka </w:t>
      </w:r>
    </w:p>
    <w:p w:rsidR="00D849AA" w:rsidRDefault="00EE6D95">
      <w:pPr>
        <w:pStyle w:val="Normal6"/>
      </w:pPr>
      <w:r>
        <w:t xml:space="preserve">Podaci o kvaliteti zraka (mjereni i modelirani), kao i izrada  prognoza kvalitete zraka za veće gradove i industrijska područja, zone i aglomeracije  upozorenja/scenarija, od velike su važnosti zbog obveze Republike Hrvatske o izvješćivanju o stanju kvalitete zraka prema EU Direktivi. Podaci o kvaliteti zraka dio su strateškog planiranja održivog razvoja RH koje uključuje i zadovoljenje potreba mnogobrojnih korisnika iz područja energetike, elektroprivrede, poljoprivrede, turizma, zdravstva, urbanizma i građevinarstva, a time su i podrška sugurnosti zemlje i političkoj stabilnosti. U akcidentalnim situacijama u kojima doazi do ugrožavanja života i zdravlja ljudi važno je osigurati pravovremene i kvalitetne prognoze kretanja polutanata opasnih za život nadležnim službama (Državna uprava za </w:t>
      </w:r>
      <w:r>
        <w:lastRenderedPageBreak/>
        <w:t>zaštitu i spašavanje, Centar 112) i javnosti. Ostvarivanjem ovog cilja poboljšat će se zaštita zdravlja ljudi i okoliša u cjelini te ispuniti obveze RH prema EU.</w:t>
      </w:r>
    </w:p>
    <w:p w:rsidR="00D849AA" w:rsidRDefault="00EE6D95">
      <w:pPr>
        <w:pStyle w:val="Naslov5"/>
      </w:pPr>
      <w:r>
        <w:t>Procjena i ishodište potrebnih sredstava za značajnije aktivnosti/projekte</w:t>
      </w:r>
    </w:p>
    <w:p w:rsidR="00D849AA" w:rsidRDefault="00EE6D95">
      <w:pPr>
        <w:pStyle w:val="Naslov6"/>
      </w:pPr>
      <w:r>
        <w:t>A654000 ADMINISTRACIJA I UPRAVLJANJE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A654000</w:t>
            </w:r>
          </w:p>
        </w:tc>
        <w:tc>
          <w:tcPr>
            <w:tcW w:w="1486" w:type="dxa"/>
          </w:tcPr>
          <w:p w:rsidR="00D849AA" w:rsidRDefault="00EE6D95">
            <w:r>
              <w:t>45.488.929</w:t>
            </w:r>
          </w:p>
        </w:tc>
        <w:tc>
          <w:tcPr>
            <w:tcW w:w="1486" w:type="dxa"/>
          </w:tcPr>
          <w:p w:rsidR="00D849AA" w:rsidRDefault="00EE6D95">
            <w:r>
              <w:t>47.205.107</w:t>
            </w:r>
          </w:p>
        </w:tc>
        <w:tc>
          <w:tcPr>
            <w:tcW w:w="1486" w:type="dxa"/>
          </w:tcPr>
          <w:p w:rsidR="00D849AA" w:rsidRDefault="00EE6D95">
            <w:r>
              <w:t>49.833.141</w:t>
            </w:r>
          </w:p>
        </w:tc>
        <w:tc>
          <w:tcPr>
            <w:tcW w:w="1486" w:type="dxa"/>
          </w:tcPr>
          <w:p w:rsidR="00D849AA" w:rsidRDefault="00EE6D95">
            <w:r>
              <w:t>51.209.774</w:t>
            </w:r>
          </w:p>
        </w:tc>
        <w:tc>
          <w:tcPr>
            <w:tcW w:w="1486" w:type="dxa"/>
          </w:tcPr>
          <w:p w:rsidR="00D849AA" w:rsidRDefault="00EE6D95">
            <w:r>
              <w:t>103,8</w:t>
            </w:r>
          </w:p>
        </w:tc>
      </w:tr>
    </w:tbl>
    <w:p w:rsidR="00D849AA" w:rsidRDefault="00D849AA">
      <w:pPr>
        <w:jc w:val="left"/>
      </w:pPr>
    </w:p>
    <w:p w:rsidR="00D849AA" w:rsidRDefault="00EE6D95">
      <w:pPr>
        <w:pStyle w:val="Normal6"/>
      </w:pPr>
      <w:r>
        <w:t xml:space="preserve">Aktivnost objedinjuje upravljačke, financijske, računovodstvene, pravne, kadrovske poslove neophodne za funkcioniranje DHMZ-a, poslove financijskih kontrola te ugovaranja vanjskih revizija i pripreme projekata za EU fondove. U ovoj aktivnosti sadržani su i poslovi održavanja zgrada u Zagrebu, najamnine za zgrade u Splitu i Rijeci te za neke od meteoroloških postaja kao i troškovi energije, nabave autoguma, uredskog materijala, telefona pošte i prijevoza za cijeli DHMZ i sl.  </w:t>
      </w:r>
    </w:p>
    <w:p w:rsidR="00D849AA" w:rsidRDefault="00EE6D95">
      <w:pPr>
        <w:pStyle w:val="Normal6"/>
      </w:pPr>
      <w:r>
        <w:t>DHMZ upravlja s 58 posjeda diljem Hrvatske koja uključuju zemljišta i zgrade, od kojih je šest u najmu. Prema Zakonu o upravljanju državnom imovinom dužan je upravljati ovom imovinom i održavati je. Naročiti režimi sigurnosne zaštite zahtijevaju se za objekte od posebnog značaja za obranu Republike Hrvatske kao što su upravne zgrade na Griču i u Splitu, glavna meteorološka postaja u Maksimiru, te radarski centri Bilogora, Osijek i Sljeme-Puntijarka.</w:t>
      </w:r>
    </w:p>
    <w:p w:rsidR="00D849AA" w:rsidRDefault="00EE6D95">
      <w:pPr>
        <w:pStyle w:val="Naslov6"/>
      </w:pPr>
      <w:r>
        <w:t>A654015 DRŽAVNA INFRASTRUKTURA ZA MOTRENJA ATMOSFERE,VODA I KVALITETE ZRAKA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A654015</w:t>
            </w:r>
          </w:p>
        </w:tc>
        <w:tc>
          <w:tcPr>
            <w:tcW w:w="1486" w:type="dxa"/>
          </w:tcPr>
          <w:p w:rsidR="00D849AA" w:rsidRDefault="00EE6D95">
            <w:r>
              <w:t>18.454.911</w:t>
            </w:r>
          </w:p>
        </w:tc>
        <w:tc>
          <w:tcPr>
            <w:tcW w:w="1486" w:type="dxa"/>
          </w:tcPr>
          <w:p w:rsidR="00D849AA" w:rsidRDefault="00EE6D95">
            <w:r>
              <w:t>18.781.150</w:t>
            </w:r>
          </w:p>
        </w:tc>
        <w:tc>
          <w:tcPr>
            <w:tcW w:w="1486" w:type="dxa"/>
          </w:tcPr>
          <w:p w:rsidR="00D849AA" w:rsidRDefault="00EE6D95">
            <w:r>
              <w:t>16.917.061</w:t>
            </w:r>
          </w:p>
        </w:tc>
        <w:tc>
          <w:tcPr>
            <w:tcW w:w="1486" w:type="dxa"/>
          </w:tcPr>
          <w:p w:rsidR="00D849AA" w:rsidRDefault="00EE6D95">
            <w:r>
              <w:t>13.174.705</w:t>
            </w:r>
          </w:p>
        </w:tc>
        <w:tc>
          <w:tcPr>
            <w:tcW w:w="1486" w:type="dxa"/>
          </w:tcPr>
          <w:p w:rsidR="00D849AA" w:rsidRDefault="00EE6D95">
            <w:r>
              <w:t>101,8</w:t>
            </w:r>
          </w:p>
        </w:tc>
      </w:tr>
    </w:tbl>
    <w:p w:rsidR="00D849AA" w:rsidRDefault="00D849AA">
      <w:pPr>
        <w:jc w:val="left"/>
      </w:pPr>
    </w:p>
    <w:p w:rsidR="00D849AA" w:rsidRDefault="00EE6D95">
      <w:pPr>
        <w:pStyle w:val="Normal6"/>
      </w:pPr>
      <w:r>
        <w:t xml:space="preserve">Aktivnost objedinjuje poslove planiranja infrastrukture, nabave materijala potrebnih za rad postaja i laboratorija (radiosonde, baloni, helij, meteorološke otopine, rakete, kalibracijska mješavina, laboratorijsko suđe i dr), poslovie motrenja (velikim dijelom honorarni motritelji – više od 1000), održavanja zgrada (37) i najam zgrada (meteorološke postaje - Palagruža i Zavižan, kemijski laboratorij za kvalitetu zraka), održavanja opreme i instrumenata, umjeravanje instrumenata, održavanje vozila potrebnih za obilazak postaja te plovila (hidrologija). U troškove ove aktivnosti nisu uključeni troškovi validacije podataka kvalitete zraka na pozadinskim postajama od strane referentnog laboratorija, kao ni analize i mjerenje čestica na postajama Sisak Rijeka Zagreb i Slavonski Brod. </w:t>
      </w:r>
    </w:p>
    <w:p w:rsidR="00D849AA" w:rsidRDefault="00EE6D95">
      <w:pPr>
        <w:pStyle w:val="Normal6"/>
      </w:pPr>
      <w:r>
        <w:t xml:space="preserve">Cilj ove aktivnosti je kontinuirano dobivanje podataka o vremenu, klimi, vodama, kvaliteti zraka i tlu u skladu s propisanim standardima Svjetske meteorološke organizacije za brojne potrebe RH te međunarodne potrebe. </w:t>
      </w:r>
    </w:p>
    <w:p w:rsidR="00D849AA" w:rsidRDefault="00EE6D95">
      <w:pPr>
        <w:pStyle w:val="Normal6"/>
      </w:pPr>
      <w:r>
        <w:t xml:space="preserve">Infrastrukturu čine 37 zgrada - postaja i radarskih centara i mjerni sustavi – mreže meteoroloških postaja s  registrirnim instrumentima  (40 glavnih meteoroloških postaja, 109 klimatoloških i 348 kišomjernih postaja, 2 radio-sondažne postaje, 58 fenoloških postaja, ), sustav meteoroloških radara (2 radara velikog dometa i  6 radara malog dometa), motrenja na moru (brodovi); plutače za određivanje temperature mora i jezera, sodari (vjetar), posebni mjerni sustavi npr. PROFILI i dr.; mreža hidroloških postaja (446 </w:t>
      </w:r>
      <w:r>
        <w:lastRenderedPageBreak/>
        <w:t>hidroloških postaja za mjerenje površinskih voda, 698  pieziometara – hidroloških postaja za mjerenje podzemnih voda), mreža postaja za mjerenje kvalitete zraka (12 pozadinskih postaja i 9 urbanih postaja za praćenje kvalitete zraka te mreža postaja DHMZ-a za praćenje mokrog taloženja na meteorološkim postajama), kemijski laboratorij za analizu uzoraka zraka i oborine te samostalni umjerni laboratorij (za umjeravanje instrumenata).</w:t>
      </w:r>
    </w:p>
    <w:p w:rsidR="00D849AA" w:rsidRDefault="00EE6D95">
      <w:pPr>
        <w:pStyle w:val="Naslov6"/>
      </w:pPr>
      <w:r>
        <w:t>A654017 NACIONALNA ARHIVA I BAZA METEOROLOŠKIH,HIDROLOŠKIH I PODATAKA O KVALITETI ZRAKA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A654017</w:t>
            </w:r>
          </w:p>
        </w:tc>
        <w:tc>
          <w:tcPr>
            <w:tcW w:w="1486" w:type="dxa"/>
          </w:tcPr>
          <w:p w:rsidR="00D849AA" w:rsidRDefault="00EE6D95">
            <w:r>
              <w:t>2.836.869</w:t>
            </w:r>
          </w:p>
        </w:tc>
        <w:tc>
          <w:tcPr>
            <w:tcW w:w="1486" w:type="dxa"/>
          </w:tcPr>
          <w:p w:rsidR="00D849AA" w:rsidRDefault="00EE6D95">
            <w:r>
              <w:t>1.371.410</w:t>
            </w:r>
          </w:p>
        </w:tc>
        <w:tc>
          <w:tcPr>
            <w:tcW w:w="1486" w:type="dxa"/>
          </w:tcPr>
          <w:p w:rsidR="00D849AA" w:rsidRDefault="00EE6D95">
            <w:r>
              <w:t>1.219.809</w:t>
            </w:r>
          </w:p>
        </w:tc>
        <w:tc>
          <w:tcPr>
            <w:tcW w:w="1486" w:type="dxa"/>
          </w:tcPr>
          <w:p w:rsidR="00D849AA" w:rsidRDefault="00EE6D95">
            <w:r>
              <w:t>948.311</w:t>
            </w:r>
          </w:p>
        </w:tc>
        <w:tc>
          <w:tcPr>
            <w:tcW w:w="1486" w:type="dxa"/>
          </w:tcPr>
          <w:p w:rsidR="00D849AA" w:rsidRDefault="00EE6D95">
            <w:r>
              <w:t>48,3</w:t>
            </w:r>
          </w:p>
        </w:tc>
      </w:tr>
    </w:tbl>
    <w:p w:rsidR="00D849AA" w:rsidRDefault="00D849AA">
      <w:pPr>
        <w:jc w:val="left"/>
      </w:pPr>
    </w:p>
    <w:p w:rsidR="00D849AA" w:rsidRDefault="00EE6D95">
      <w:pPr>
        <w:pStyle w:val="Normal6"/>
      </w:pPr>
      <w:r>
        <w:t xml:space="preserve">Aktivnost Održavanje i razvoj nacionalne baza meteoroloških, hidroloških i podataka o kvaliteti zraka odvija se nakon motrenja i predstavlja svakodnevno prikupljanje ( 24 sata / 365 dana), prijenos, kontrolu i obradu te arhiviranje i distribuciju podataka, odnosno njihovo izdavanje za daljnje operativne i druge potrebe. Svi meteorološki, hidrološki i podaci kvalitete zraka i oborine pohranjuju se u arhivu i baze podataka te predstavljaju nacionalno blago RH. </w:t>
      </w:r>
    </w:p>
    <w:p w:rsidR="00D849AA" w:rsidRDefault="00EE6D95">
      <w:pPr>
        <w:pStyle w:val="Normal6"/>
      </w:pPr>
      <w:r>
        <w:t xml:space="preserve">Cilj ove aktivnosti je korištenje podataka u proizvodnji meteoroloških, hidroloških i njima srodnih informacija, očuvanje povijesnih podataka, postizanje visoke vrsnoće podataka, njihovu objedinjenost i dostupnost za potrebe državnih tijela, znanstvenih institucija i gospodarskih subjekata. </w:t>
      </w:r>
    </w:p>
    <w:p w:rsidR="00D849AA" w:rsidRDefault="00EE6D95">
      <w:pPr>
        <w:pStyle w:val="Normal6"/>
      </w:pPr>
      <w:r>
        <w:t>Podaci i informacije DHMZ-a koriste se u svim ljudskim djelatnostima te područjima: informiranje javnosti; civilna zaštita (sve aktivnosti na području izbjegavanja i ublažavanja prirodnih i tehnoloških katastrofa); zdravlje, zaštita prirode i okoliša; poljoprivreda, vodoprivreda; elektroprivreda; prostorno planiranje; urbanizam; građevinarstvo; arhitektura; promet; rekreacija, turizam, sport i dr.</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1800"/>
        <w:gridCol w:w="1162"/>
        <w:gridCol w:w="1739"/>
        <w:gridCol w:w="1529"/>
        <w:gridCol w:w="1529"/>
        <w:gridCol w:w="1529"/>
      </w:tblGrid>
      <w:tr w:rsidR="00D849AA">
        <w:trPr>
          <w:jc w:val="center"/>
        </w:trPr>
        <w:tc>
          <w:tcPr>
            <w:tcW w:w="2229" w:type="dxa"/>
            <w:shd w:val="clear" w:color="auto" w:fill="B5C0D8"/>
          </w:tcPr>
          <w:p w:rsidR="00D849AA" w:rsidRPr="001A0148" w:rsidRDefault="00EE6D95">
            <w:pPr>
              <w:rPr>
                <w:rFonts w:ascii="Arial" w:hAnsi="Arial" w:cs="Arial"/>
              </w:rPr>
            </w:pPr>
            <w:r w:rsidRPr="001A0148">
              <w:rPr>
                <w:rFonts w:ascii="Arial" w:hAnsi="Arial" w:cs="Arial"/>
              </w:rPr>
              <w:t>Pokazatelj rezultata</w:t>
            </w:r>
          </w:p>
        </w:tc>
        <w:tc>
          <w:tcPr>
            <w:tcW w:w="1114" w:type="dxa"/>
            <w:shd w:val="clear" w:color="auto" w:fill="B5C0D8"/>
          </w:tcPr>
          <w:p w:rsidR="00D849AA" w:rsidRPr="001A0148" w:rsidRDefault="00EE6D95">
            <w:pPr>
              <w:pStyle w:val="CellHeader"/>
              <w:rPr>
                <w:szCs w:val="20"/>
              </w:rPr>
            </w:pPr>
            <w:r w:rsidRPr="001A0148">
              <w:rPr>
                <w:szCs w:val="20"/>
              </w:rPr>
              <w:t>Jedinica</w:t>
            </w:r>
          </w:p>
        </w:tc>
        <w:tc>
          <w:tcPr>
            <w:tcW w:w="1114" w:type="dxa"/>
            <w:shd w:val="clear" w:color="auto" w:fill="B5C0D8"/>
          </w:tcPr>
          <w:p w:rsidR="00D849AA" w:rsidRPr="001A0148" w:rsidRDefault="00EE6D95">
            <w:pPr>
              <w:pStyle w:val="CellHeader"/>
              <w:rPr>
                <w:szCs w:val="20"/>
              </w:rPr>
            </w:pPr>
            <w:r w:rsidRPr="001A0148">
              <w:rPr>
                <w:szCs w:val="20"/>
              </w:rPr>
              <w:t>Polazna vrijednost</w:t>
            </w:r>
          </w:p>
        </w:tc>
        <w:tc>
          <w:tcPr>
            <w:tcW w:w="1486" w:type="dxa"/>
            <w:shd w:val="clear" w:color="auto" w:fill="B5C0D8"/>
          </w:tcPr>
          <w:p w:rsidR="00D849AA" w:rsidRPr="001A0148" w:rsidRDefault="00EE6D95">
            <w:pPr>
              <w:pStyle w:val="CellHeader"/>
              <w:rPr>
                <w:szCs w:val="20"/>
              </w:rPr>
            </w:pPr>
            <w:r w:rsidRPr="001A0148">
              <w:rPr>
                <w:szCs w:val="20"/>
              </w:rPr>
              <w:t>Ciljana vrijednost (2014.)</w:t>
            </w:r>
          </w:p>
        </w:tc>
        <w:tc>
          <w:tcPr>
            <w:tcW w:w="1486" w:type="dxa"/>
            <w:shd w:val="clear" w:color="auto" w:fill="B5C0D8"/>
          </w:tcPr>
          <w:p w:rsidR="00D849AA" w:rsidRPr="001A0148" w:rsidRDefault="00EE6D95">
            <w:pPr>
              <w:pStyle w:val="CellHeader"/>
              <w:rPr>
                <w:szCs w:val="20"/>
              </w:rPr>
            </w:pPr>
            <w:r w:rsidRPr="001A0148">
              <w:rPr>
                <w:szCs w:val="20"/>
              </w:rPr>
              <w:t>Ciljana vrijednost (2015.)</w:t>
            </w:r>
          </w:p>
        </w:tc>
        <w:tc>
          <w:tcPr>
            <w:tcW w:w="1486" w:type="dxa"/>
            <w:shd w:val="clear" w:color="auto" w:fill="B5C0D8"/>
          </w:tcPr>
          <w:p w:rsidR="00D849AA" w:rsidRPr="001A0148" w:rsidRDefault="00EE6D95">
            <w:pPr>
              <w:pStyle w:val="CellHeader"/>
              <w:rPr>
                <w:szCs w:val="20"/>
              </w:rPr>
            </w:pPr>
            <w:r w:rsidRPr="001A0148">
              <w:rPr>
                <w:szCs w:val="20"/>
              </w:rPr>
              <w:t>Ciljana vrijednost (2016.)</w:t>
            </w:r>
          </w:p>
        </w:tc>
      </w:tr>
      <w:tr w:rsidR="00D849AA">
        <w:trPr>
          <w:jc w:val="center"/>
        </w:trPr>
        <w:tc>
          <w:tcPr>
            <w:tcW w:w="2229" w:type="dxa"/>
          </w:tcPr>
          <w:p w:rsidR="00D849AA" w:rsidRPr="001A0148" w:rsidRDefault="00EE6D95">
            <w:pPr>
              <w:pStyle w:val="CellColumn"/>
              <w:rPr>
                <w:szCs w:val="20"/>
              </w:rPr>
            </w:pPr>
            <w:r w:rsidRPr="001A0148">
              <w:rPr>
                <w:szCs w:val="20"/>
              </w:rPr>
              <w:t xml:space="preserve">Data Huba za prijem i automatsku kontrolu ulaznih podataka </w:t>
            </w:r>
          </w:p>
          <w:p w:rsidR="00D849AA" w:rsidRPr="001A0148" w:rsidRDefault="00EE6D95">
            <w:pPr>
              <w:pStyle w:val="CellColumn"/>
              <w:rPr>
                <w:szCs w:val="20"/>
              </w:rPr>
            </w:pPr>
            <w:r w:rsidRPr="001A0148">
              <w:rPr>
                <w:szCs w:val="20"/>
              </w:rPr>
              <w:t xml:space="preserve">Povezanost postojećih baza podataka </w:t>
            </w:r>
          </w:p>
          <w:p w:rsidR="00D849AA" w:rsidRPr="001A0148" w:rsidRDefault="00EE6D95">
            <w:pPr>
              <w:pStyle w:val="CellColumn"/>
              <w:rPr>
                <w:szCs w:val="20"/>
              </w:rPr>
            </w:pPr>
            <w:r w:rsidRPr="001A0148">
              <w:rPr>
                <w:szCs w:val="20"/>
              </w:rPr>
              <w:t xml:space="preserve">Postotak definiranih standardnih metoda prikaza podataka iz baze podataka </w:t>
            </w:r>
          </w:p>
          <w:p w:rsidR="00D849AA" w:rsidRPr="001A0148" w:rsidRDefault="00EE6D95">
            <w:pPr>
              <w:pStyle w:val="CellColumn"/>
              <w:rPr>
                <w:szCs w:val="20"/>
              </w:rPr>
            </w:pPr>
            <w:r w:rsidRPr="001A0148">
              <w:rPr>
                <w:szCs w:val="20"/>
              </w:rPr>
              <w:t xml:space="preserve">Obuhvat povijesnih podataka i prebacivanje iz </w:t>
            </w:r>
            <w:r w:rsidRPr="001A0148">
              <w:rPr>
                <w:szCs w:val="20"/>
              </w:rPr>
              <w:lastRenderedPageBreak/>
              <w:t>analognog u digitalni oblik</w:t>
            </w:r>
          </w:p>
        </w:tc>
        <w:tc>
          <w:tcPr>
            <w:tcW w:w="1114" w:type="dxa"/>
          </w:tcPr>
          <w:p w:rsidR="00D849AA" w:rsidRPr="001A0148" w:rsidRDefault="00EE6D95">
            <w:pPr>
              <w:rPr>
                <w:rFonts w:ascii="Arial" w:hAnsi="Arial" w:cs="Arial"/>
              </w:rPr>
            </w:pPr>
            <w:r w:rsidRPr="001A0148">
              <w:rPr>
                <w:rFonts w:ascii="Arial" w:hAnsi="Arial" w:cs="Arial"/>
              </w:rPr>
              <w:lastRenderedPageBreak/>
              <w:t xml:space="preserve">Br. podataka uz  real time kontrolu kvalitete   </w:t>
            </w:r>
          </w:p>
          <w:p w:rsidR="00D849AA" w:rsidRPr="001A0148" w:rsidRDefault="00EE6D95">
            <w:pPr>
              <w:rPr>
                <w:rFonts w:ascii="Arial" w:hAnsi="Arial" w:cs="Arial"/>
              </w:rPr>
            </w:pPr>
            <w:r w:rsidRPr="001A0148">
              <w:rPr>
                <w:rFonts w:ascii="Arial" w:hAnsi="Arial" w:cs="Arial"/>
              </w:rPr>
              <w:t xml:space="preserve">Br. postojećih baza  pod. povezanih u integrirani sustav </w:t>
            </w:r>
          </w:p>
          <w:p w:rsidR="00D849AA" w:rsidRPr="001A0148" w:rsidRDefault="00EE6D95">
            <w:pPr>
              <w:rPr>
                <w:rFonts w:ascii="Arial" w:hAnsi="Arial" w:cs="Arial"/>
              </w:rPr>
            </w:pPr>
            <w:r w:rsidRPr="001A0148">
              <w:rPr>
                <w:rFonts w:ascii="Arial" w:hAnsi="Arial" w:cs="Arial"/>
              </w:rPr>
              <w:t xml:space="preserve">% podataka koji se mogu prikazati </w:t>
            </w:r>
            <w:r w:rsidRPr="001A0148">
              <w:rPr>
                <w:rFonts w:ascii="Arial" w:hAnsi="Arial" w:cs="Arial"/>
              </w:rPr>
              <w:lastRenderedPageBreak/>
              <w:t xml:space="preserve">uz jedinstveni standard </w:t>
            </w:r>
          </w:p>
          <w:p w:rsidR="00D849AA" w:rsidRPr="001A0148" w:rsidRDefault="00EE6D95">
            <w:pPr>
              <w:rPr>
                <w:rFonts w:ascii="Arial" w:hAnsi="Arial" w:cs="Arial"/>
              </w:rPr>
            </w:pPr>
            <w:r w:rsidRPr="001A0148">
              <w:rPr>
                <w:rFonts w:ascii="Arial" w:hAnsi="Arial" w:cs="Arial"/>
              </w:rPr>
              <w:t>%</w:t>
            </w:r>
          </w:p>
        </w:tc>
        <w:tc>
          <w:tcPr>
            <w:tcW w:w="1114" w:type="dxa"/>
          </w:tcPr>
          <w:p w:rsidR="00D849AA" w:rsidRPr="001A0148" w:rsidRDefault="00EE6D95">
            <w:pPr>
              <w:rPr>
                <w:rFonts w:ascii="Arial" w:hAnsi="Arial" w:cs="Arial"/>
              </w:rPr>
            </w:pPr>
            <w:r w:rsidRPr="001A0148">
              <w:rPr>
                <w:rFonts w:ascii="Arial" w:hAnsi="Arial" w:cs="Arial"/>
              </w:rPr>
              <w:lastRenderedPageBreak/>
              <w:t xml:space="preserve">Prizemne </w:t>
            </w:r>
          </w:p>
          <w:p w:rsidR="00D849AA" w:rsidRPr="001A0148" w:rsidRDefault="00EE6D95">
            <w:pPr>
              <w:rPr>
                <w:rFonts w:ascii="Arial" w:hAnsi="Arial" w:cs="Arial"/>
              </w:rPr>
            </w:pPr>
            <w:r w:rsidRPr="001A0148">
              <w:rPr>
                <w:rFonts w:ascii="Arial" w:hAnsi="Arial" w:cs="Arial"/>
              </w:rPr>
              <w:t xml:space="preserve">meteorološke </w:t>
            </w:r>
          </w:p>
          <w:p w:rsidR="00D849AA" w:rsidRPr="001A0148" w:rsidRDefault="00EE6D95">
            <w:pPr>
              <w:rPr>
                <w:rFonts w:ascii="Arial" w:hAnsi="Arial" w:cs="Arial"/>
              </w:rPr>
            </w:pPr>
            <w:r w:rsidRPr="001A0148">
              <w:rPr>
                <w:rFonts w:ascii="Arial" w:hAnsi="Arial" w:cs="Arial"/>
              </w:rPr>
              <w:t xml:space="preserve">postaje; 25 </w:t>
            </w:r>
          </w:p>
          <w:p w:rsidR="00D849AA" w:rsidRPr="001A0148" w:rsidRDefault="00EE6D95">
            <w:pPr>
              <w:rPr>
                <w:rFonts w:ascii="Arial" w:hAnsi="Arial" w:cs="Arial"/>
              </w:rPr>
            </w:pPr>
            <w:r w:rsidRPr="001A0148">
              <w:rPr>
                <w:rFonts w:ascii="Arial" w:hAnsi="Arial" w:cs="Arial"/>
              </w:rPr>
              <w:t xml:space="preserve">glavnih, 2 </w:t>
            </w:r>
          </w:p>
          <w:p w:rsidR="00D849AA" w:rsidRPr="001A0148" w:rsidRDefault="00EE6D95">
            <w:pPr>
              <w:rPr>
                <w:rFonts w:ascii="Arial" w:hAnsi="Arial" w:cs="Arial"/>
              </w:rPr>
            </w:pPr>
            <w:r w:rsidRPr="001A0148">
              <w:rPr>
                <w:rFonts w:ascii="Arial" w:hAnsi="Arial" w:cs="Arial"/>
              </w:rPr>
              <w:t xml:space="preserve">običnih, 3 </w:t>
            </w:r>
          </w:p>
          <w:p w:rsidR="00D849AA" w:rsidRPr="001A0148" w:rsidRDefault="00EE6D95">
            <w:pPr>
              <w:rPr>
                <w:rFonts w:ascii="Arial" w:hAnsi="Arial" w:cs="Arial"/>
              </w:rPr>
            </w:pPr>
            <w:r w:rsidRPr="001A0148">
              <w:rPr>
                <w:rFonts w:ascii="Arial" w:hAnsi="Arial" w:cs="Arial"/>
              </w:rPr>
              <w:t xml:space="preserve">kišomjernih i 0 </w:t>
            </w:r>
          </w:p>
          <w:p w:rsidR="00D849AA" w:rsidRPr="001A0148" w:rsidRDefault="00EE6D95">
            <w:pPr>
              <w:rPr>
                <w:rFonts w:ascii="Arial" w:hAnsi="Arial" w:cs="Arial"/>
              </w:rPr>
            </w:pPr>
            <w:r w:rsidRPr="001A0148">
              <w:rPr>
                <w:rFonts w:ascii="Arial" w:hAnsi="Arial" w:cs="Arial"/>
              </w:rPr>
              <w:t xml:space="preserve">maritimnih; 2 </w:t>
            </w:r>
          </w:p>
          <w:p w:rsidR="00D849AA" w:rsidRPr="001A0148" w:rsidRDefault="00EE6D95">
            <w:pPr>
              <w:rPr>
                <w:rFonts w:ascii="Arial" w:hAnsi="Arial" w:cs="Arial"/>
              </w:rPr>
            </w:pPr>
            <w:r w:rsidRPr="001A0148">
              <w:rPr>
                <w:rFonts w:ascii="Arial" w:hAnsi="Arial" w:cs="Arial"/>
              </w:rPr>
              <w:t xml:space="preserve">radiosondažne </w:t>
            </w:r>
          </w:p>
          <w:p w:rsidR="00D849AA" w:rsidRPr="001A0148" w:rsidRDefault="00EE6D95">
            <w:pPr>
              <w:rPr>
                <w:rFonts w:ascii="Arial" w:hAnsi="Arial" w:cs="Arial"/>
              </w:rPr>
            </w:pPr>
            <w:r w:rsidRPr="001A0148">
              <w:rPr>
                <w:rFonts w:ascii="Arial" w:hAnsi="Arial" w:cs="Arial"/>
              </w:rPr>
              <w:t xml:space="preserve">postaje, 0 </w:t>
            </w:r>
          </w:p>
          <w:p w:rsidR="00D849AA" w:rsidRPr="001A0148" w:rsidRDefault="00EE6D95">
            <w:pPr>
              <w:rPr>
                <w:rFonts w:ascii="Arial" w:hAnsi="Arial" w:cs="Arial"/>
              </w:rPr>
            </w:pPr>
            <w:r w:rsidRPr="001A0148">
              <w:rPr>
                <w:rFonts w:ascii="Arial" w:hAnsi="Arial" w:cs="Arial"/>
              </w:rPr>
              <w:t xml:space="preserve">windprofiler-a, </w:t>
            </w:r>
          </w:p>
          <w:p w:rsidR="00D849AA" w:rsidRPr="001A0148" w:rsidRDefault="00EE6D95">
            <w:pPr>
              <w:rPr>
                <w:rFonts w:ascii="Arial" w:hAnsi="Arial" w:cs="Arial"/>
              </w:rPr>
            </w:pPr>
            <w:r w:rsidRPr="001A0148">
              <w:rPr>
                <w:rFonts w:ascii="Arial" w:hAnsi="Arial" w:cs="Arial"/>
              </w:rPr>
              <w:t xml:space="preserve">0 lidara; 2 </w:t>
            </w:r>
          </w:p>
          <w:p w:rsidR="00D849AA" w:rsidRPr="001A0148" w:rsidRDefault="00EE6D95">
            <w:pPr>
              <w:rPr>
                <w:rFonts w:ascii="Arial" w:hAnsi="Arial" w:cs="Arial"/>
              </w:rPr>
            </w:pPr>
            <w:r w:rsidRPr="001A0148">
              <w:rPr>
                <w:rFonts w:ascii="Arial" w:hAnsi="Arial" w:cs="Arial"/>
              </w:rPr>
              <w:t xml:space="preserve">meteorološka </w:t>
            </w:r>
          </w:p>
          <w:p w:rsidR="00D849AA" w:rsidRPr="001A0148" w:rsidRDefault="00EE6D95">
            <w:pPr>
              <w:rPr>
                <w:rFonts w:ascii="Arial" w:hAnsi="Arial" w:cs="Arial"/>
              </w:rPr>
            </w:pPr>
            <w:r w:rsidRPr="001A0148">
              <w:rPr>
                <w:rFonts w:ascii="Arial" w:hAnsi="Arial" w:cs="Arial"/>
              </w:rPr>
              <w:lastRenderedPageBreak/>
              <w:t xml:space="preserve">radaraHidrološke </w:t>
            </w:r>
          </w:p>
          <w:p w:rsidR="00D849AA" w:rsidRPr="001A0148" w:rsidRDefault="00EE6D95">
            <w:pPr>
              <w:rPr>
                <w:rFonts w:ascii="Arial" w:hAnsi="Arial" w:cs="Arial"/>
              </w:rPr>
            </w:pPr>
            <w:r w:rsidRPr="001A0148">
              <w:rPr>
                <w:rFonts w:ascii="Arial" w:hAnsi="Arial" w:cs="Arial"/>
              </w:rPr>
              <w:t xml:space="preserve">postaje: 85 za </w:t>
            </w:r>
          </w:p>
          <w:p w:rsidR="00D849AA" w:rsidRPr="001A0148" w:rsidRDefault="00EE6D95">
            <w:pPr>
              <w:rPr>
                <w:rFonts w:ascii="Arial" w:hAnsi="Arial" w:cs="Arial"/>
              </w:rPr>
            </w:pPr>
            <w:r w:rsidRPr="001A0148">
              <w:rPr>
                <w:rFonts w:ascii="Arial" w:hAnsi="Arial" w:cs="Arial"/>
              </w:rPr>
              <w:t xml:space="preserve">površinske </w:t>
            </w:r>
          </w:p>
          <w:p w:rsidR="00D849AA" w:rsidRPr="001A0148" w:rsidRDefault="00EE6D95">
            <w:pPr>
              <w:rPr>
                <w:rFonts w:ascii="Arial" w:hAnsi="Arial" w:cs="Arial"/>
              </w:rPr>
            </w:pPr>
            <w:r w:rsidRPr="001A0148">
              <w:rPr>
                <w:rFonts w:ascii="Arial" w:hAnsi="Arial" w:cs="Arial"/>
              </w:rPr>
              <w:t xml:space="preserve">vode, 1 za </w:t>
            </w:r>
          </w:p>
          <w:p w:rsidR="00D849AA" w:rsidRPr="001A0148" w:rsidRDefault="00EE6D95">
            <w:pPr>
              <w:rPr>
                <w:rFonts w:ascii="Arial" w:hAnsi="Arial" w:cs="Arial"/>
              </w:rPr>
            </w:pPr>
            <w:r w:rsidRPr="001A0148">
              <w:rPr>
                <w:rFonts w:ascii="Arial" w:hAnsi="Arial" w:cs="Arial"/>
              </w:rPr>
              <w:t xml:space="preserve">podzemne </w:t>
            </w:r>
          </w:p>
          <w:p w:rsidR="00D849AA" w:rsidRPr="001A0148" w:rsidRDefault="00EE6D95">
            <w:pPr>
              <w:rPr>
                <w:rFonts w:ascii="Arial" w:hAnsi="Arial" w:cs="Arial"/>
              </w:rPr>
            </w:pPr>
            <w:r w:rsidRPr="001A0148">
              <w:rPr>
                <w:rFonts w:ascii="Arial" w:hAnsi="Arial" w:cs="Arial"/>
              </w:rPr>
              <w:t xml:space="preserve">vode </w:t>
            </w:r>
          </w:p>
          <w:p w:rsidR="00D849AA" w:rsidRPr="001A0148" w:rsidRDefault="00EE6D95">
            <w:pPr>
              <w:rPr>
                <w:rFonts w:ascii="Arial" w:hAnsi="Arial" w:cs="Arial"/>
              </w:rPr>
            </w:pPr>
            <w:r w:rsidRPr="001A0148">
              <w:rPr>
                <w:rFonts w:ascii="Arial" w:hAnsi="Arial" w:cs="Arial"/>
              </w:rPr>
              <w:t xml:space="preserve"> 15%  </w:t>
            </w:r>
          </w:p>
          <w:p w:rsidR="00D849AA" w:rsidRPr="001A0148" w:rsidRDefault="00EE6D95">
            <w:pPr>
              <w:rPr>
                <w:rFonts w:ascii="Arial" w:hAnsi="Arial" w:cs="Arial"/>
              </w:rPr>
            </w:pPr>
            <w:r w:rsidRPr="001A0148">
              <w:rPr>
                <w:rFonts w:ascii="Arial" w:hAnsi="Arial" w:cs="Arial"/>
              </w:rPr>
              <w:t xml:space="preserve"> 0% </w:t>
            </w:r>
          </w:p>
          <w:p w:rsidR="00D849AA" w:rsidRPr="001A0148" w:rsidRDefault="00EE6D95">
            <w:pPr>
              <w:rPr>
                <w:rFonts w:ascii="Arial" w:hAnsi="Arial" w:cs="Arial"/>
              </w:rPr>
            </w:pPr>
            <w:r w:rsidRPr="001A0148">
              <w:rPr>
                <w:rFonts w:ascii="Arial" w:hAnsi="Arial" w:cs="Arial"/>
              </w:rPr>
              <w:t>10%</w:t>
            </w:r>
          </w:p>
        </w:tc>
        <w:tc>
          <w:tcPr>
            <w:tcW w:w="1486" w:type="dxa"/>
          </w:tcPr>
          <w:p w:rsidR="00D849AA" w:rsidRPr="001A0148" w:rsidRDefault="00EE6D95">
            <w:pPr>
              <w:rPr>
                <w:rFonts w:ascii="Arial" w:hAnsi="Arial" w:cs="Arial"/>
              </w:rPr>
            </w:pPr>
            <w:r w:rsidRPr="001A0148">
              <w:rPr>
                <w:rFonts w:ascii="Arial" w:hAnsi="Arial" w:cs="Arial"/>
              </w:rPr>
              <w:lastRenderedPageBreak/>
              <w:t xml:space="preserve">Prizemne </w:t>
            </w:r>
          </w:p>
          <w:p w:rsidR="00D849AA" w:rsidRPr="001A0148" w:rsidRDefault="00EE6D95">
            <w:pPr>
              <w:rPr>
                <w:rFonts w:ascii="Arial" w:hAnsi="Arial" w:cs="Arial"/>
              </w:rPr>
            </w:pPr>
            <w:r w:rsidRPr="001A0148">
              <w:rPr>
                <w:rFonts w:ascii="Arial" w:hAnsi="Arial" w:cs="Arial"/>
              </w:rPr>
              <w:t xml:space="preserve">meteorološke </w:t>
            </w:r>
          </w:p>
          <w:p w:rsidR="00D849AA" w:rsidRPr="001A0148" w:rsidRDefault="00EE6D95">
            <w:pPr>
              <w:rPr>
                <w:rFonts w:ascii="Arial" w:hAnsi="Arial" w:cs="Arial"/>
              </w:rPr>
            </w:pPr>
            <w:r w:rsidRPr="001A0148">
              <w:rPr>
                <w:rFonts w:ascii="Arial" w:hAnsi="Arial" w:cs="Arial"/>
              </w:rPr>
              <w:t xml:space="preserve">postaje; 25 </w:t>
            </w:r>
          </w:p>
          <w:p w:rsidR="00D849AA" w:rsidRPr="001A0148" w:rsidRDefault="00EE6D95">
            <w:pPr>
              <w:rPr>
                <w:rFonts w:ascii="Arial" w:hAnsi="Arial" w:cs="Arial"/>
              </w:rPr>
            </w:pPr>
            <w:r w:rsidRPr="001A0148">
              <w:rPr>
                <w:rFonts w:ascii="Arial" w:hAnsi="Arial" w:cs="Arial"/>
              </w:rPr>
              <w:t xml:space="preserve">glavnih, 2 običnih, </w:t>
            </w:r>
          </w:p>
          <w:p w:rsidR="00D849AA" w:rsidRPr="001A0148" w:rsidRDefault="00EE6D95">
            <w:pPr>
              <w:rPr>
                <w:rFonts w:ascii="Arial" w:hAnsi="Arial" w:cs="Arial"/>
              </w:rPr>
            </w:pPr>
            <w:r w:rsidRPr="001A0148">
              <w:rPr>
                <w:rFonts w:ascii="Arial" w:hAnsi="Arial" w:cs="Arial"/>
              </w:rPr>
              <w:t xml:space="preserve">3 kišomjernih i 0 </w:t>
            </w:r>
          </w:p>
          <w:p w:rsidR="00D849AA" w:rsidRPr="001A0148" w:rsidRDefault="00EE6D95">
            <w:pPr>
              <w:rPr>
                <w:rFonts w:ascii="Arial" w:hAnsi="Arial" w:cs="Arial"/>
              </w:rPr>
            </w:pPr>
            <w:r w:rsidRPr="001A0148">
              <w:rPr>
                <w:rFonts w:ascii="Arial" w:hAnsi="Arial" w:cs="Arial"/>
              </w:rPr>
              <w:t xml:space="preserve">maritimnih; 2 </w:t>
            </w:r>
          </w:p>
          <w:p w:rsidR="00D849AA" w:rsidRPr="001A0148" w:rsidRDefault="00EE6D95">
            <w:pPr>
              <w:rPr>
                <w:rFonts w:ascii="Arial" w:hAnsi="Arial" w:cs="Arial"/>
              </w:rPr>
            </w:pPr>
            <w:r w:rsidRPr="001A0148">
              <w:rPr>
                <w:rFonts w:ascii="Arial" w:hAnsi="Arial" w:cs="Arial"/>
              </w:rPr>
              <w:t xml:space="preserve">radiosondažne </w:t>
            </w:r>
          </w:p>
          <w:p w:rsidR="00D849AA" w:rsidRPr="001A0148" w:rsidRDefault="00EE6D95">
            <w:pPr>
              <w:rPr>
                <w:rFonts w:ascii="Arial" w:hAnsi="Arial" w:cs="Arial"/>
              </w:rPr>
            </w:pPr>
            <w:r w:rsidRPr="001A0148">
              <w:rPr>
                <w:rFonts w:ascii="Arial" w:hAnsi="Arial" w:cs="Arial"/>
              </w:rPr>
              <w:t xml:space="preserve">postaje, 0 </w:t>
            </w:r>
          </w:p>
          <w:p w:rsidR="00D849AA" w:rsidRPr="001A0148" w:rsidRDefault="00EE6D95">
            <w:pPr>
              <w:rPr>
                <w:rFonts w:ascii="Arial" w:hAnsi="Arial" w:cs="Arial"/>
              </w:rPr>
            </w:pPr>
            <w:r w:rsidRPr="001A0148">
              <w:rPr>
                <w:rFonts w:ascii="Arial" w:hAnsi="Arial" w:cs="Arial"/>
              </w:rPr>
              <w:t xml:space="preserve">windprofiler-a, 0 </w:t>
            </w:r>
          </w:p>
          <w:p w:rsidR="00D849AA" w:rsidRPr="001A0148" w:rsidRDefault="00EE6D95">
            <w:pPr>
              <w:rPr>
                <w:rFonts w:ascii="Arial" w:hAnsi="Arial" w:cs="Arial"/>
              </w:rPr>
            </w:pPr>
            <w:r w:rsidRPr="001A0148">
              <w:rPr>
                <w:rFonts w:ascii="Arial" w:hAnsi="Arial" w:cs="Arial"/>
              </w:rPr>
              <w:t xml:space="preserve">lidara; 2 </w:t>
            </w:r>
          </w:p>
          <w:p w:rsidR="00D849AA" w:rsidRPr="001A0148" w:rsidRDefault="00EE6D95">
            <w:pPr>
              <w:rPr>
                <w:rFonts w:ascii="Arial" w:hAnsi="Arial" w:cs="Arial"/>
              </w:rPr>
            </w:pPr>
            <w:r w:rsidRPr="001A0148">
              <w:rPr>
                <w:rFonts w:ascii="Arial" w:hAnsi="Arial" w:cs="Arial"/>
              </w:rPr>
              <w:lastRenderedPageBreak/>
              <w:t xml:space="preserve">meteorološka </w:t>
            </w:r>
          </w:p>
          <w:p w:rsidR="00D849AA" w:rsidRPr="001A0148" w:rsidRDefault="00EE6D95">
            <w:pPr>
              <w:rPr>
                <w:rFonts w:ascii="Arial" w:hAnsi="Arial" w:cs="Arial"/>
              </w:rPr>
            </w:pPr>
            <w:r w:rsidRPr="001A0148">
              <w:rPr>
                <w:rFonts w:ascii="Arial" w:hAnsi="Arial" w:cs="Arial"/>
              </w:rPr>
              <w:t xml:space="preserve">radara  </w:t>
            </w:r>
          </w:p>
          <w:p w:rsidR="00D849AA" w:rsidRPr="001A0148" w:rsidRDefault="00EE6D95">
            <w:pPr>
              <w:rPr>
                <w:rFonts w:ascii="Arial" w:hAnsi="Arial" w:cs="Arial"/>
              </w:rPr>
            </w:pPr>
            <w:r w:rsidRPr="001A0148">
              <w:rPr>
                <w:rFonts w:ascii="Arial" w:hAnsi="Arial" w:cs="Arial"/>
              </w:rPr>
              <w:t xml:space="preserve">Hidrološke </w:t>
            </w:r>
          </w:p>
          <w:p w:rsidR="00D849AA" w:rsidRPr="001A0148" w:rsidRDefault="00EE6D95">
            <w:pPr>
              <w:rPr>
                <w:rFonts w:ascii="Arial" w:hAnsi="Arial" w:cs="Arial"/>
              </w:rPr>
            </w:pPr>
            <w:r w:rsidRPr="001A0148">
              <w:rPr>
                <w:rFonts w:ascii="Arial" w:hAnsi="Arial" w:cs="Arial"/>
              </w:rPr>
              <w:t xml:space="preserve">postaje: 95 za </w:t>
            </w:r>
          </w:p>
          <w:p w:rsidR="00D849AA" w:rsidRPr="001A0148" w:rsidRDefault="00EE6D95">
            <w:pPr>
              <w:rPr>
                <w:rFonts w:ascii="Arial" w:hAnsi="Arial" w:cs="Arial"/>
              </w:rPr>
            </w:pPr>
            <w:r w:rsidRPr="001A0148">
              <w:rPr>
                <w:rFonts w:ascii="Arial" w:hAnsi="Arial" w:cs="Arial"/>
              </w:rPr>
              <w:t xml:space="preserve">površinske vode, 5 </w:t>
            </w:r>
          </w:p>
          <w:p w:rsidR="00D849AA" w:rsidRPr="001A0148" w:rsidRDefault="00EE6D95">
            <w:pPr>
              <w:rPr>
                <w:rFonts w:ascii="Arial" w:hAnsi="Arial" w:cs="Arial"/>
              </w:rPr>
            </w:pPr>
            <w:r w:rsidRPr="001A0148">
              <w:rPr>
                <w:rFonts w:ascii="Arial" w:hAnsi="Arial" w:cs="Arial"/>
              </w:rPr>
              <w:t xml:space="preserve">za podzemne </w:t>
            </w:r>
          </w:p>
          <w:p w:rsidR="00D849AA" w:rsidRPr="001A0148" w:rsidRDefault="00EE6D95">
            <w:pPr>
              <w:rPr>
                <w:rFonts w:ascii="Arial" w:hAnsi="Arial" w:cs="Arial"/>
              </w:rPr>
            </w:pPr>
            <w:r w:rsidRPr="001A0148">
              <w:rPr>
                <w:rFonts w:ascii="Arial" w:hAnsi="Arial" w:cs="Arial"/>
              </w:rPr>
              <w:t xml:space="preserve">vode, 1 ureñaj za </w:t>
            </w:r>
          </w:p>
          <w:p w:rsidR="00D849AA" w:rsidRPr="001A0148" w:rsidRDefault="00EE6D95">
            <w:pPr>
              <w:rPr>
                <w:rFonts w:ascii="Arial" w:hAnsi="Arial" w:cs="Arial"/>
              </w:rPr>
            </w:pPr>
            <w:r w:rsidRPr="001A0148">
              <w:rPr>
                <w:rFonts w:ascii="Arial" w:hAnsi="Arial" w:cs="Arial"/>
              </w:rPr>
              <w:t xml:space="preserve">mjerenje protoka u </w:t>
            </w:r>
          </w:p>
          <w:p w:rsidR="00D849AA" w:rsidRPr="001A0148" w:rsidRDefault="00EE6D95">
            <w:pPr>
              <w:rPr>
                <w:rFonts w:ascii="Arial" w:hAnsi="Arial" w:cs="Arial"/>
              </w:rPr>
            </w:pPr>
            <w:r w:rsidRPr="001A0148">
              <w:rPr>
                <w:rFonts w:ascii="Arial" w:hAnsi="Arial" w:cs="Arial"/>
              </w:rPr>
              <w:t xml:space="preserve">realnom vremenu </w:t>
            </w:r>
          </w:p>
          <w:p w:rsidR="00D849AA" w:rsidRPr="001A0148" w:rsidRDefault="00EE6D95">
            <w:pPr>
              <w:rPr>
                <w:rFonts w:ascii="Arial" w:hAnsi="Arial" w:cs="Arial"/>
              </w:rPr>
            </w:pPr>
            <w:r w:rsidRPr="001A0148">
              <w:rPr>
                <w:rFonts w:ascii="Arial" w:hAnsi="Arial" w:cs="Arial"/>
              </w:rPr>
              <w:t xml:space="preserve">100% </w:t>
            </w:r>
          </w:p>
          <w:p w:rsidR="00D849AA" w:rsidRPr="001A0148" w:rsidRDefault="00EE6D95">
            <w:pPr>
              <w:rPr>
                <w:rFonts w:ascii="Arial" w:hAnsi="Arial" w:cs="Arial"/>
              </w:rPr>
            </w:pPr>
            <w:r w:rsidRPr="001A0148">
              <w:rPr>
                <w:rFonts w:ascii="Arial" w:hAnsi="Arial" w:cs="Arial"/>
              </w:rPr>
              <w:t xml:space="preserve">20% </w:t>
            </w:r>
          </w:p>
          <w:p w:rsidR="00D849AA" w:rsidRPr="001A0148" w:rsidRDefault="00EE6D95">
            <w:pPr>
              <w:rPr>
                <w:rFonts w:ascii="Arial" w:hAnsi="Arial" w:cs="Arial"/>
              </w:rPr>
            </w:pPr>
            <w:r w:rsidRPr="001A0148">
              <w:rPr>
                <w:rFonts w:ascii="Arial" w:hAnsi="Arial" w:cs="Arial"/>
              </w:rPr>
              <w:t>100%</w:t>
            </w:r>
          </w:p>
        </w:tc>
        <w:tc>
          <w:tcPr>
            <w:tcW w:w="1486" w:type="dxa"/>
          </w:tcPr>
          <w:p w:rsidR="00D849AA" w:rsidRPr="001A0148" w:rsidRDefault="00EE6D95">
            <w:pPr>
              <w:rPr>
                <w:rFonts w:ascii="Arial" w:hAnsi="Arial" w:cs="Arial"/>
              </w:rPr>
            </w:pPr>
            <w:r w:rsidRPr="001A0148">
              <w:rPr>
                <w:rFonts w:ascii="Arial" w:hAnsi="Arial" w:cs="Arial"/>
              </w:rPr>
              <w:lastRenderedPageBreak/>
              <w:t xml:space="preserve">Prizemne </w:t>
            </w:r>
          </w:p>
          <w:p w:rsidR="00D849AA" w:rsidRPr="001A0148" w:rsidRDefault="00EE6D95">
            <w:pPr>
              <w:rPr>
                <w:rFonts w:ascii="Arial" w:hAnsi="Arial" w:cs="Arial"/>
              </w:rPr>
            </w:pPr>
            <w:r w:rsidRPr="001A0148">
              <w:rPr>
                <w:rFonts w:ascii="Arial" w:hAnsi="Arial" w:cs="Arial"/>
              </w:rPr>
              <w:t xml:space="preserve">meteorološke </w:t>
            </w:r>
          </w:p>
          <w:p w:rsidR="00D849AA" w:rsidRPr="001A0148" w:rsidRDefault="00EE6D95">
            <w:pPr>
              <w:rPr>
                <w:rFonts w:ascii="Arial" w:hAnsi="Arial" w:cs="Arial"/>
              </w:rPr>
            </w:pPr>
            <w:r w:rsidRPr="001A0148">
              <w:rPr>
                <w:rFonts w:ascii="Arial" w:hAnsi="Arial" w:cs="Arial"/>
              </w:rPr>
              <w:t xml:space="preserve">postaje; 30 </w:t>
            </w:r>
          </w:p>
          <w:p w:rsidR="00D849AA" w:rsidRPr="001A0148" w:rsidRDefault="00EE6D95">
            <w:pPr>
              <w:rPr>
                <w:rFonts w:ascii="Arial" w:hAnsi="Arial" w:cs="Arial"/>
              </w:rPr>
            </w:pPr>
            <w:r w:rsidRPr="001A0148">
              <w:rPr>
                <w:rFonts w:ascii="Arial" w:hAnsi="Arial" w:cs="Arial"/>
              </w:rPr>
              <w:t xml:space="preserve">glavnih, 20 </w:t>
            </w:r>
          </w:p>
          <w:p w:rsidR="00D849AA" w:rsidRPr="001A0148" w:rsidRDefault="00EE6D95">
            <w:pPr>
              <w:rPr>
                <w:rFonts w:ascii="Arial" w:hAnsi="Arial" w:cs="Arial"/>
              </w:rPr>
            </w:pPr>
            <w:r w:rsidRPr="001A0148">
              <w:rPr>
                <w:rFonts w:ascii="Arial" w:hAnsi="Arial" w:cs="Arial"/>
              </w:rPr>
              <w:t xml:space="preserve">običnih, 20 </w:t>
            </w:r>
          </w:p>
          <w:p w:rsidR="00D849AA" w:rsidRPr="001A0148" w:rsidRDefault="00EE6D95">
            <w:pPr>
              <w:rPr>
                <w:rFonts w:ascii="Arial" w:hAnsi="Arial" w:cs="Arial"/>
              </w:rPr>
            </w:pPr>
            <w:r w:rsidRPr="001A0148">
              <w:rPr>
                <w:rFonts w:ascii="Arial" w:hAnsi="Arial" w:cs="Arial"/>
              </w:rPr>
              <w:t xml:space="preserve">kišomjernih i 2 </w:t>
            </w:r>
          </w:p>
          <w:p w:rsidR="00D849AA" w:rsidRPr="001A0148" w:rsidRDefault="00EE6D95">
            <w:pPr>
              <w:rPr>
                <w:rFonts w:ascii="Arial" w:hAnsi="Arial" w:cs="Arial"/>
              </w:rPr>
            </w:pPr>
            <w:r w:rsidRPr="001A0148">
              <w:rPr>
                <w:rFonts w:ascii="Arial" w:hAnsi="Arial" w:cs="Arial"/>
              </w:rPr>
              <w:t xml:space="preserve">maritimnih; 2 </w:t>
            </w:r>
          </w:p>
          <w:p w:rsidR="00D849AA" w:rsidRPr="001A0148" w:rsidRDefault="00EE6D95">
            <w:pPr>
              <w:rPr>
                <w:rFonts w:ascii="Arial" w:hAnsi="Arial" w:cs="Arial"/>
              </w:rPr>
            </w:pPr>
            <w:r w:rsidRPr="001A0148">
              <w:rPr>
                <w:rFonts w:ascii="Arial" w:hAnsi="Arial" w:cs="Arial"/>
              </w:rPr>
              <w:t xml:space="preserve">radiosondažne </w:t>
            </w:r>
          </w:p>
          <w:p w:rsidR="00D849AA" w:rsidRPr="001A0148" w:rsidRDefault="00EE6D95">
            <w:pPr>
              <w:rPr>
                <w:rFonts w:ascii="Arial" w:hAnsi="Arial" w:cs="Arial"/>
              </w:rPr>
            </w:pPr>
            <w:r w:rsidRPr="001A0148">
              <w:rPr>
                <w:rFonts w:ascii="Arial" w:hAnsi="Arial" w:cs="Arial"/>
              </w:rPr>
              <w:t xml:space="preserve">postaje, 1 </w:t>
            </w:r>
          </w:p>
          <w:p w:rsidR="00D849AA" w:rsidRPr="001A0148" w:rsidRDefault="00EE6D95">
            <w:pPr>
              <w:rPr>
                <w:rFonts w:ascii="Arial" w:hAnsi="Arial" w:cs="Arial"/>
              </w:rPr>
            </w:pPr>
            <w:r w:rsidRPr="001A0148">
              <w:rPr>
                <w:rFonts w:ascii="Arial" w:hAnsi="Arial" w:cs="Arial"/>
              </w:rPr>
              <w:t xml:space="preserve">windprofiler-a, </w:t>
            </w:r>
          </w:p>
          <w:p w:rsidR="00D849AA" w:rsidRPr="001A0148" w:rsidRDefault="00EE6D95">
            <w:pPr>
              <w:rPr>
                <w:rFonts w:ascii="Arial" w:hAnsi="Arial" w:cs="Arial"/>
              </w:rPr>
            </w:pPr>
            <w:r w:rsidRPr="001A0148">
              <w:rPr>
                <w:rFonts w:ascii="Arial" w:hAnsi="Arial" w:cs="Arial"/>
              </w:rPr>
              <w:t xml:space="preserve">0 lidara; 2 </w:t>
            </w:r>
          </w:p>
          <w:p w:rsidR="00D849AA" w:rsidRPr="001A0148" w:rsidRDefault="00EE6D95">
            <w:pPr>
              <w:rPr>
                <w:rFonts w:ascii="Arial" w:hAnsi="Arial" w:cs="Arial"/>
              </w:rPr>
            </w:pPr>
            <w:r w:rsidRPr="001A0148">
              <w:rPr>
                <w:rFonts w:ascii="Arial" w:hAnsi="Arial" w:cs="Arial"/>
              </w:rPr>
              <w:t xml:space="preserve">nova </w:t>
            </w:r>
          </w:p>
          <w:p w:rsidR="00D849AA" w:rsidRPr="001A0148" w:rsidRDefault="00EE6D95">
            <w:pPr>
              <w:rPr>
                <w:rFonts w:ascii="Arial" w:hAnsi="Arial" w:cs="Arial"/>
              </w:rPr>
            </w:pPr>
            <w:r w:rsidRPr="001A0148">
              <w:rPr>
                <w:rFonts w:ascii="Arial" w:hAnsi="Arial" w:cs="Arial"/>
              </w:rPr>
              <w:lastRenderedPageBreak/>
              <w:t xml:space="preserve">meteorološka </w:t>
            </w:r>
          </w:p>
          <w:p w:rsidR="00D849AA" w:rsidRPr="001A0148" w:rsidRDefault="00EE6D95">
            <w:pPr>
              <w:rPr>
                <w:rFonts w:ascii="Arial" w:hAnsi="Arial" w:cs="Arial"/>
              </w:rPr>
            </w:pPr>
            <w:r w:rsidRPr="001A0148">
              <w:rPr>
                <w:rFonts w:ascii="Arial" w:hAnsi="Arial" w:cs="Arial"/>
              </w:rPr>
              <w:t xml:space="preserve">radara </w:t>
            </w:r>
          </w:p>
          <w:p w:rsidR="00D849AA" w:rsidRPr="001A0148" w:rsidRDefault="00EE6D95">
            <w:pPr>
              <w:rPr>
                <w:rFonts w:ascii="Arial" w:hAnsi="Arial" w:cs="Arial"/>
              </w:rPr>
            </w:pPr>
            <w:r w:rsidRPr="001A0148">
              <w:rPr>
                <w:rFonts w:ascii="Arial" w:hAnsi="Arial" w:cs="Arial"/>
              </w:rPr>
              <w:t xml:space="preserve">Hidrološke </w:t>
            </w:r>
          </w:p>
          <w:p w:rsidR="00D849AA" w:rsidRPr="001A0148" w:rsidRDefault="00EE6D95">
            <w:pPr>
              <w:rPr>
                <w:rFonts w:ascii="Arial" w:hAnsi="Arial" w:cs="Arial"/>
              </w:rPr>
            </w:pPr>
            <w:r w:rsidRPr="001A0148">
              <w:rPr>
                <w:rFonts w:ascii="Arial" w:hAnsi="Arial" w:cs="Arial"/>
              </w:rPr>
              <w:t xml:space="preserve">postaje: 110 </w:t>
            </w:r>
          </w:p>
          <w:p w:rsidR="00D849AA" w:rsidRPr="001A0148" w:rsidRDefault="00EE6D95">
            <w:pPr>
              <w:rPr>
                <w:rFonts w:ascii="Arial" w:hAnsi="Arial" w:cs="Arial"/>
              </w:rPr>
            </w:pPr>
            <w:r w:rsidRPr="001A0148">
              <w:rPr>
                <w:rFonts w:ascii="Arial" w:hAnsi="Arial" w:cs="Arial"/>
              </w:rPr>
              <w:t xml:space="preserve">za površinske </w:t>
            </w:r>
          </w:p>
          <w:p w:rsidR="00D849AA" w:rsidRPr="001A0148" w:rsidRDefault="00EE6D95">
            <w:pPr>
              <w:rPr>
                <w:rFonts w:ascii="Arial" w:hAnsi="Arial" w:cs="Arial"/>
              </w:rPr>
            </w:pPr>
            <w:r w:rsidRPr="001A0148">
              <w:rPr>
                <w:rFonts w:ascii="Arial" w:hAnsi="Arial" w:cs="Arial"/>
              </w:rPr>
              <w:t xml:space="preserve">vode, 10 za </w:t>
            </w:r>
          </w:p>
          <w:p w:rsidR="00D849AA" w:rsidRPr="001A0148" w:rsidRDefault="00EE6D95">
            <w:pPr>
              <w:rPr>
                <w:rFonts w:ascii="Arial" w:hAnsi="Arial" w:cs="Arial"/>
              </w:rPr>
            </w:pPr>
            <w:r w:rsidRPr="001A0148">
              <w:rPr>
                <w:rFonts w:ascii="Arial" w:hAnsi="Arial" w:cs="Arial"/>
              </w:rPr>
              <w:t xml:space="preserve">podzemne </w:t>
            </w:r>
          </w:p>
          <w:p w:rsidR="00D849AA" w:rsidRPr="001A0148" w:rsidRDefault="00EE6D95">
            <w:pPr>
              <w:rPr>
                <w:rFonts w:ascii="Arial" w:hAnsi="Arial" w:cs="Arial"/>
              </w:rPr>
            </w:pPr>
            <w:r w:rsidRPr="001A0148">
              <w:rPr>
                <w:rFonts w:ascii="Arial" w:hAnsi="Arial" w:cs="Arial"/>
              </w:rPr>
              <w:t xml:space="preserve">vode, 3 ureñaj </w:t>
            </w:r>
          </w:p>
          <w:p w:rsidR="00D849AA" w:rsidRPr="001A0148" w:rsidRDefault="00EE6D95">
            <w:pPr>
              <w:rPr>
                <w:rFonts w:ascii="Arial" w:hAnsi="Arial" w:cs="Arial"/>
              </w:rPr>
            </w:pPr>
            <w:r w:rsidRPr="001A0148">
              <w:rPr>
                <w:rFonts w:ascii="Arial" w:hAnsi="Arial" w:cs="Arial"/>
              </w:rPr>
              <w:t xml:space="preserve">za mjerenje </w:t>
            </w:r>
          </w:p>
          <w:p w:rsidR="00D849AA" w:rsidRPr="001A0148" w:rsidRDefault="00EE6D95">
            <w:pPr>
              <w:rPr>
                <w:rFonts w:ascii="Arial" w:hAnsi="Arial" w:cs="Arial"/>
              </w:rPr>
            </w:pPr>
            <w:r w:rsidRPr="001A0148">
              <w:rPr>
                <w:rFonts w:ascii="Arial" w:hAnsi="Arial" w:cs="Arial"/>
              </w:rPr>
              <w:t xml:space="preserve">protoka u </w:t>
            </w:r>
          </w:p>
          <w:p w:rsidR="00D849AA" w:rsidRPr="001A0148" w:rsidRDefault="00EE6D95">
            <w:pPr>
              <w:rPr>
                <w:rFonts w:ascii="Arial" w:hAnsi="Arial" w:cs="Arial"/>
              </w:rPr>
            </w:pPr>
            <w:r w:rsidRPr="001A0148">
              <w:rPr>
                <w:rFonts w:ascii="Arial" w:hAnsi="Arial" w:cs="Arial"/>
              </w:rPr>
              <w:t xml:space="preserve">realnom </w:t>
            </w:r>
          </w:p>
          <w:p w:rsidR="00D849AA" w:rsidRPr="001A0148" w:rsidRDefault="00EE6D95">
            <w:pPr>
              <w:rPr>
                <w:rFonts w:ascii="Arial" w:hAnsi="Arial" w:cs="Arial"/>
              </w:rPr>
            </w:pPr>
            <w:r w:rsidRPr="001A0148">
              <w:rPr>
                <w:rFonts w:ascii="Arial" w:hAnsi="Arial" w:cs="Arial"/>
              </w:rPr>
              <w:t xml:space="preserve">vremenu </w:t>
            </w:r>
          </w:p>
          <w:p w:rsidR="00D849AA" w:rsidRPr="001A0148" w:rsidRDefault="00EE6D95">
            <w:pPr>
              <w:rPr>
                <w:rFonts w:ascii="Arial" w:hAnsi="Arial" w:cs="Arial"/>
              </w:rPr>
            </w:pPr>
            <w:r w:rsidRPr="001A0148">
              <w:rPr>
                <w:rFonts w:ascii="Arial" w:hAnsi="Arial" w:cs="Arial"/>
              </w:rPr>
              <w:t xml:space="preserve">100% </w:t>
            </w:r>
          </w:p>
          <w:p w:rsidR="00D849AA" w:rsidRPr="001A0148" w:rsidRDefault="00EE6D95">
            <w:pPr>
              <w:rPr>
                <w:rFonts w:ascii="Arial" w:hAnsi="Arial" w:cs="Arial"/>
              </w:rPr>
            </w:pPr>
            <w:r w:rsidRPr="001A0148">
              <w:rPr>
                <w:rFonts w:ascii="Arial" w:hAnsi="Arial" w:cs="Arial"/>
              </w:rPr>
              <w:t xml:space="preserve">80% </w:t>
            </w:r>
          </w:p>
          <w:p w:rsidR="00D849AA" w:rsidRPr="001A0148" w:rsidRDefault="00EE6D95">
            <w:pPr>
              <w:rPr>
                <w:rFonts w:ascii="Arial" w:hAnsi="Arial" w:cs="Arial"/>
              </w:rPr>
            </w:pPr>
            <w:r w:rsidRPr="001A0148">
              <w:rPr>
                <w:rFonts w:ascii="Arial" w:hAnsi="Arial" w:cs="Arial"/>
              </w:rPr>
              <w:t>100%</w:t>
            </w:r>
          </w:p>
        </w:tc>
        <w:tc>
          <w:tcPr>
            <w:tcW w:w="1486" w:type="dxa"/>
          </w:tcPr>
          <w:p w:rsidR="00D849AA" w:rsidRPr="001A0148" w:rsidRDefault="00EE6D95">
            <w:pPr>
              <w:rPr>
                <w:rFonts w:ascii="Arial" w:hAnsi="Arial" w:cs="Arial"/>
              </w:rPr>
            </w:pPr>
            <w:r w:rsidRPr="001A0148">
              <w:rPr>
                <w:rFonts w:ascii="Arial" w:hAnsi="Arial" w:cs="Arial"/>
              </w:rPr>
              <w:lastRenderedPageBreak/>
              <w:t xml:space="preserve">Prizemne </w:t>
            </w:r>
          </w:p>
          <w:p w:rsidR="00D849AA" w:rsidRPr="001A0148" w:rsidRDefault="00EE6D95">
            <w:pPr>
              <w:rPr>
                <w:rFonts w:ascii="Arial" w:hAnsi="Arial" w:cs="Arial"/>
              </w:rPr>
            </w:pPr>
            <w:r w:rsidRPr="001A0148">
              <w:rPr>
                <w:rFonts w:ascii="Arial" w:hAnsi="Arial" w:cs="Arial"/>
              </w:rPr>
              <w:t xml:space="preserve">meteorološke </w:t>
            </w:r>
          </w:p>
          <w:p w:rsidR="00D849AA" w:rsidRPr="001A0148" w:rsidRDefault="00EE6D95">
            <w:pPr>
              <w:rPr>
                <w:rFonts w:ascii="Arial" w:hAnsi="Arial" w:cs="Arial"/>
              </w:rPr>
            </w:pPr>
            <w:r w:rsidRPr="001A0148">
              <w:rPr>
                <w:rFonts w:ascii="Arial" w:hAnsi="Arial" w:cs="Arial"/>
              </w:rPr>
              <w:t xml:space="preserve">postaje; 35 </w:t>
            </w:r>
          </w:p>
          <w:p w:rsidR="00D849AA" w:rsidRPr="001A0148" w:rsidRDefault="00EE6D95">
            <w:pPr>
              <w:rPr>
                <w:rFonts w:ascii="Arial" w:hAnsi="Arial" w:cs="Arial"/>
              </w:rPr>
            </w:pPr>
            <w:r w:rsidRPr="001A0148">
              <w:rPr>
                <w:rFonts w:ascii="Arial" w:hAnsi="Arial" w:cs="Arial"/>
              </w:rPr>
              <w:t xml:space="preserve">glavnih, 50 </w:t>
            </w:r>
          </w:p>
          <w:p w:rsidR="00D849AA" w:rsidRPr="001A0148" w:rsidRDefault="00EE6D95">
            <w:pPr>
              <w:rPr>
                <w:rFonts w:ascii="Arial" w:hAnsi="Arial" w:cs="Arial"/>
              </w:rPr>
            </w:pPr>
            <w:r w:rsidRPr="001A0148">
              <w:rPr>
                <w:rFonts w:ascii="Arial" w:hAnsi="Arial" w:cs="Arial"/>
              </w:rPr>
              <w:t xml:space="preserve">običnih, 50 </w:t>
            </w:r>
          </w:p>
          <w:p w:rsidR="00D849AA" w:rsidRPr="001A0148" w:rsidRDefault="00EE6D95">
            <w:pPr>
              <w:rPr>
                <w:rFonts w:ascii="Arial" w:hAnsi="Arial" w:cs="Arial"/>
              </w:rPr>
            </w:pPr>
            <w:r w:rsidRPr="001A0148">
              <w:rPr>
                <w:rFonts w:ascii="Arial" w:hAnsi="Arial" w:cs="Arial"/>
              </w:rPr>
              <w:t xml:space="preserve">kišomjernih i 4 </w:t>
            </w:r>
          </w:p>
          <w:p w:rsidR="00D849AA" w:rsidRPr="001A0148" w:rsidRDefault="00EE6D95">
            <w:pPr>
              <w:rPr>
                <w:rFonts w:ascii="Arial" w:hAnsi="Arial" w:cs="Arial"/>
              </w:rPr>
            </w:pPr>
            <w:r w:rsidRPr="001A0148">
              <w:rPr>
                <w:rFonts w:ascii="Arial" w:hAnsi="Arial" w:cs="Arial"/>
              </w:rPr>
              <w:t xml:space="preserve">maritimnih; 2 </w:t>
            </w:r>
          </w:p>
          <w:p w:rsidR="00D849AA" w:rsidRPr="001A0148" w:rsidRDefault="00EE6D95">
            <w:pPr>
              <w:rPr>
                <w:rFonts w:ascii="Arial" w:hAnsi="Arial" w:cs="Arial"/>
              </w:rPr>
            </w:pPr>
            <w:r w:rsidRPr="001A0148">
              <w:rPr>
                <w:rFonts w:ascii="Arial" w:hAnsi="Arial" w:cs="Arial"/>
              </w:rPr>
              <w:t xml:space="preserve">radiosondažne </w:t>
            </w:r>
          </w:p>
          <w:p w:rsidR="00D849AA" w:rsidRPr="001A0148" w:rsidRDefault="00EE6D95">
            <w:pPr>
              <w:rPr>
                <w:rFonts w:ascii="Arial" w:hAnsi="Arial" w:cs="Arial"/>
              </w:rPr>
            </w:pPr>
            <w:r w:rsidRPr="001A0148">
              <w:rPr>
                <w:rFonts w:ascii="Arial" w:hAnsi="Arial" w:cs="Arial"/>
              </w:rPr>
              <w:t xml:space="preserve">postaje, 2 </w:t>
            </w:r>
          </w:p>
          <w:p w:rsidR="00D849AA" w:rsidRPr="001A0148" w:rsidRDefault="00EE6D95">
            <w:pPr>
              <w:rPr>
                <w:rFonts w:ascii="Arial" w:hAnsi="Arial" w:cs="Arial"/>
              </w:rPr>
            </w:pPr>
            <w:r w:rsidRPr="001A0148">
              <w:rPr>
                <w:rFonts w:ascii="Arial" w:hAnsi="Arial" w:cs="Arial"/>
              </w:rPr>
              <w:t xml:space="preserve">windprofiler-a, </w:t>
            </w:r>
          </w:p>
          <w:p w:rsidR="00D849AA" w:rsidRPr="001A0148" w:rsidRDefault="00EE6D95">
            <w:pPr>
              <w:rPr>
                <w:rFonts w:ascii="Arial" w:hAnsi="Arial" w:cs="Arial"/>
              </w:rPr>
            </w:pPr>
            <w:r w:rsidRPr="001A0148">
              <w:rPr>
                <w:rFonts w:ascii="Arial" w:hAnsi="Arial" w:cs="Arial"/>
              </w:rPr>
              <w:t xml:space="preserve">1 lidara; 3 </w:t>
            </w:r>
          </w:p>
          <w:p w:rsidR="00D849AA" w:rsidRPr="001A0148" w:rsidRDefault="00EE6D95">
            <w:pPr>
              <w:rPr>
                <w:rFonts w:ascii="Arial" w:hAnsi="Arial" w:cs="Arial"/>
              </w:rPr>
            </w:pPr>
            <w:r w:rsidRPr="001A0148">
              <w:rPr>
                <w:rFonts w:ascii="Arial" w:hAnsi="Arial" w:cs="Arial"/>
              </w:rPr>
              <w:t xml:space="preserve">nova </w:t>
            </w:r>
          </w:p>
          <w:p w:rsidR="00D849AA" w:rsidRPr="001A0148" w:rsidRDefault="00EE6D95">
            <w:pPr>
              <w:rPr>
                <w:rFonts w:ascii="Arial" w:hAnsi="Arial" w:cs="Arial"/>
              </w:rPr>
            </w:pPr>
            <w:r w:rsidRPr="001A0148">
              <w:rPr>
                <w:rFonts w:ascii="Arial" w:hAnsi="Arial" w:cs="Arial"/>
              </w:rPr>
              <w:lastRenderedPageBreak/>
              <w:t xml:space="preserve">meteorološka </w:t>
            </w:r>
          </w:p>
          <w:p w:rsidR="00D849AA" w:rsidRPr="001A0148" w:rsidRDefault="00EE6D95">
            <w:pPr>
              <w:rPr>
                <w:rFonts w:ascii="Arial" w:hAnsi="Arial" w:cs="Arial"/>
              </w:rPr>
            </w:pPr>
            <w:r w:rsidRPr="001A0148">
              <w:rPr>
                <w:rFonts w:ascii="Arial" w:hAnsi="Arial" w:cs="Arial"/>
              </w:rPr>
              <w:t xml:space="preserve">radara </w:t>
            </w:r>
          </w:p>
          <w:p w:rsidR="00D849AA" w:rsidRPr="001A0148" w:rsidRDefault="00EE6D95">
            <w:pPr>
              <w:rPr>
                <w:rFonts w:ascii="Arial" w:hAnsi="Arial" w:cs="Arial"/>
              </w:rPr>
            </w:pPr>
            <w:r w:rsidRPr="001A0148">
              <w:rPr>
                <w:rFonts w:ascii="Arial" w:hAnsi="Arial" w:cs="Arial"/>
              </w:rPr>
              <w:t xml:space="preserve">Hidrološke </w:t>
            </w:r>
          </w:p>
          <w:p w:rsidR="00D849AA" w:rsidRPr="001A0148" w:rsidRDefault="00EE6D95">
            <w:pPr>
              <w:rPr>
                <w:rFonts w:ascii="Arial" w:hAnsi="Arial" w:cs="Arial"/>
              </w:rPr>
            </w:pPr>
            <w:r w:rsidRPr="001A0148">
              <w:rPr>
                <w:rFonts w:ascii="Arial" w:hAnsi="Arial" w:cs="Arial"/>
              </w:rPr>
              <w:t xml:space="preserve">postaje: 130 </w:t>
            </w:r>
          </w:p>
          <w:p w:rsidR="00D849AA" w:rsidRPr="001A0148" w:rsidRDefault="00EE6D95">
            <w:pPr>
              <w:rPr>
                <w:rFonts w:ascii="Arial" w:hAnsi="Arial" w:cs="Arial"/>
              </w:rPr>
            </w:pPr>
            <w:r w:rsidRPr="001A0148">
              <w:rPr>
                <w:rFonts w:ascii="Arial" w:hAnsi="Arial" w:cs="Arial"/>
              </w:rPr>
              <w:t xml:space="preserve">za površinske </w:t>
            </w:r>
          </w:p>
          <w:p w:rsidR="00D849AA" w:rsidRPr="001A0148" w:rsidRDefault="00EE6D95">
            <w:pPr>
              <w:rPr>
                <w:rFonts w:ascii="Arial" w:hAnsi="Arial" w:cs="Arial"/>
              </w:rPr>
            </w:pPr>
            <w:r w:rsidRPr="001A0148">
              <w:rPr>
                <w:rFonts w:ascii="Arial" w:hAnsi="Arial" w:cs="Arial"/>
              </w:rPr>
              <w:t xml:space="preserve">vode, 15 za </w:t>
            </w:r>
          </w:p>
          <w:p w:rsidR="00D849AA" w:rsidRPr="001A0148" w:rsidRDefault="00EE6D95">
            <w:pPr>
              <w:rPr>
                <w:rFonts w:ascii="Arial" w:hAnsi="Arial" w:cs="Arial"/>
              </w:rPr>
            </w:pPr>
            <w:r w:rsidRPr="001A0148">
              <w:rPr>
                <w:rFonts w:ascii="Arial" w:hAnsi="Arial" w:cs="Arial"/>
              </w:rPr>
              <w:t xml:space="preserve">podzemne </w:t>
            </w:r>
          </w:p>
          <w:p w:rsidR="00D849AA" w:rsidRPr="001A0148" w:rsidRDefault="00EE6D95">
            <w:pPr>
              <w:rPr>
                <w:rFonts w:ascii="Arial" w:hAnsi="Arial" w:cs="Arial"/>
              </w:rPr>
            </w:pPr>
            <w:r w:rsidRPr="001A0148">
              <w:rPr>
                <w:rFonts w:ascii="Arial" w:hAnsi="Arial" w:cs="Arial"/>
              </w:rPr>
              <w:t xml:space="preserve">vode, 5 ureñaj </w:t>
            </w:r>
          </w:p>
          <w:p w:rsidR="00D849AA" w:rsidRPr="001A0148" w:rsidRDefault="00EE6D95">
            <w:pPr>
              <w:rPr>
                <w:rFonts w:ascii="Arial" w:hAnsi="Arial" w:cs="Arial"/>
              </w:rPr>
            </w:pPr>
            <w:r w:rsidRPr="001A0148">
              <w:rPr>
                <w:rFonts w:ascii="Arial" w:hAnsi="Arial" w:cs="Arial"/>
              </w:rPr>
              <w:t xml:space="preserve">za mjerenje </w:t>
            </w:r>
          </w:p>
          <w:p w:rsidR="00D849AA" w:rsidRPr="001A0148" w:rsidRDefault="00EE6D95">
            <w:pPr>
              <w:rPr>
                <w:rFonts w:ascii="Arial" w:hAnsi="Arial" w:cs="Arial"/>
              </w:rPr>
            </w:pPr>
            <w:r w:rsidRPr="001A0148">
              <w:rPr>
                <w:rFonts w:ascii="Arial" w:hAnsi="Arial" w:cs="Arial"/>
              </w:rPr>
              <w:t xml:space="preserve">protoka u </w:t>
            </w:r>
          </w:p>
          <w:p w:rsidR="00D849AA" w:rsidRPr="001A0148" w:rsidRDefault="00EE6D95">
            <w:pPr>
              <w:rPr>
                <w:rFonts w:ascii="Arial" w:hAnsi="Arial" w:cs="Arial"/>
              </w:rPr>
            </w:pPr>
            <w:r w:rsidRPr="001A0148">
              <w:rPr>
                <w:rFonts w:ascii="Arial" w:hAnsi="Arial" w:cs="Arial"/>
              </w:rPr>
              <w:t xml:space="preserve">realnom </w:t>
            </w:r>
          </w:p>
          <w:p w:rsidR="00D849AA" w:rsidRPr="001A0148" w:rsidRDefault="00EE6D95">
            <w:pPr>
              <w:rPr>
                <w:rFonts w:ascii="Arial" w:hAnsi="Arial" w:cs="Arial"/>
              </w:rPr>
            </w:pPr>
            <w:r w:rsidRPr="001A0148">
              <w:rPr>
                <w:rFonts w:ascii="Arial" w:hAnsi="Arial" w:cs="Arial"/>
              </w:rPr>
              <w:t xml:space="preserve">vremenu </w:t>
            </w:r>
          </w:p>
          <w:p w:rsidR="00D849AA" w:rsidRPr="001A0148" w:rsidRDefault="00EE6D95">
            <w:pPr>
              <w:rPr>
                <w:rFonts w:ascii="Arial" w:hAnsi="Arial" w:cs="Arial"/>
              </w:rPr>
            </w:pPr>
            <w:r w:rsidRPr="001A0148">
              <w:rPr>
                <w:rFonts w:ascii="Arial" w:hAnsi="Arial" w:cs="Arial"/>
              </w:rPr>
              <w:t xml:space="preserve">100% </w:t>
            </w:r>
          </w:p>
          <w:p w:rsidR="00D849AA" w:rsidRPr="001A0148" w:rsidRDefault="00EE6D95">
            <w:pPr>
              <w:rPr>
                <w:rFonts w:ascii="Arial" w:hAnsi="Arial" w:cs="Arial"/>
              </w:rPr>
            </w:pPr>
            <w:r w:rsidRPr="001A0148">
              <w:rPr>
                <w:rFonts w:ascii="Arial" w:hAnsi="Arial" w:cs="Arial"/>
              </w:rPr>
              <w:t xml:space="preserve">100% </w:t>
            </w:r>
          </w:p>
          <w:p w:rsidR="00D849AA" w:rsidRPr="001A0148" w:rsidRDefault="00EE6D95">
            <w:pPr>
              <w:rPr>
                <w:rFonts w:ascii="Arial" w:hAnsi="Arial" w:cs="Arial"/>
              </w:rPr>
            </w:pPr>
            <w:r w:rsidRPr="001A0148">
              <w:rPr>
                <w:rFonts w:ascii="Arial" w:hAnsi="Arial" w:cs="Arial"/>
              </w:rPr>
              <w:t>100%</w:t>
            </w:r>
          </w:p>
        </w:tc>
      </w:tr>
    </w:tbl>
    <w:p w:rsidR="00D849AA" w:rsidRDefault="00D849AA">
      <w:pPr>
        <w:jc w:val="left"/>
      </w:pPr>
    </w:p>
    <w:p w:rsidR="00D849AA" w:rsidRDefault="00EE6D95">
      <w:pPr>
        <w:pStyle w:val="Naslov6"/>
      </w:pPr>
      <w:r>
        <w:t>A654018 ZAŠTITA ŽIVOTA,OKOLIŠA,VLASNIŠTVA I VITALNE INFRASTRUKTURE RH</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A654018</w:t>
            </w:r>
          </w:p>
        </w:tc>
        <w:tc>
          <w:tcPr>
            <w:tcW w:w="1486" w:type="dxa"/>
          </w:tcPr>
          <w:p w:rsidR="00D849AA" w:rsidRDefault="00EE6D95">
            <w:r>
              <w:t>1.317.408</w:t>
            </w:r>
          </w:p>
        </w:tc>
        <w:tc>
          <w:tcPr>
            <w:tcW w:w="1486" w:type="dxa"/>
          </w:tcPr>
          <w:p w:rsidR="00D849AA" w:rsidRDefault="00EE6D95">
            <w:r>
              <w:t>1.201.082</w:t>
            </w:r>
          </w:p>
        </w:tc>
        <w:tc>
          <w:tcPr>
            <w:tcW w:w="1486" w:type="dxa"/>
          </w:tcPr>
          <w:p w:rsidR="00D849AA" w:rsidRDefault="00EE6D95">
            <w:r>
              <w:t>1.146.495</w:t>
            </w:r>
          </w:p>
        </w:tc>
        <w:tc>
          <w:tcPr>
            <w:tcW w:w="1486" w:type="dxa"/>
          </w:tcPr>
          <w:p w:rsidR="00D849AA" w:rsidRDefault="00EE6D95">
            <w:r>
              <w:t>1.046.631</w:t>
            </w:r>
          </w:p>
        </w:tc>
        <w:tc>
          <w:tcPr>
            <w:tcW w:w="1486" w:type="dxa"/>
          </w:tcPr>
          <w:p w:rsidR="00D849AA" w:rsidRDefault="00EE6D95">
            <w:r>
              <w:t>91,2</w:t>
            </w:r>
          </w:p>
        </w:tc>
      </w:tr>
    </w:tbl>
    <w:p w:rsidR="00D849AA" w:rsidRDefault="00D849AA">
      <w:pPr>
        <w:jc w:val="left"/>
      </w:pPr>
    </w:p>
    <w:p w:rsidR="00D849AA" w:rsidRDefault="00EE6D95">
      <w:pPr>
        <w:pStyle w:val="Normal6"/>
      </w:pPr>
      <w:r>
        <w:t xml:space="preserve">Aktivnost Zaštita života, okoliša i vitalne infrastrukture RH od presudne je važnosti za zaštitu i ublažavanje šteta od opasnih vremenskih pojava: oluje, suše, hladni i topli valovi, orkanski vjetar, poplave, onečišćenja zraka i dr. U sklopu te aktivnosti proizvode se upozorenja na opasne vremenske pojave, ekološke nesreće, a u 2014. godini,  sukladno ciljevima i prioritetima iz Strategije Vladinih programa za razdoblje 2014. – 2016., uspostavom hidroloških prognoza počet će se i s upozorenjima na poplave. Tu se izrađuju kratkorošne, srednjeročne i sezonske prognoze.  </w:t>
      </w:r>
    </w:p>
    <w:p w:rsidR="00D849AA" w:rsidRDefault="00EE6D95">
      <w:pPr>
        <w:pStyle w:val="Normal6"/>
      </w:pPr>
      <w:r>
        <w:t xml:space="preserve"> </w:t>
      </w:r>
    </w:p>
    <w:p w:rsidR="00D849AA" w:rsidRDefault="00EE6D95">
      <w:pPr>
        <w:pStyle w:val="Normal6"/>
      </w:pPr>
      <w:r>
        <w:t xml:space="preserve">DHMZ sudjeluje  pri procjeni rizika i smanjenju posljedica od sljedećih rizika:  </w:t>
      </w:r>
    </w:p>
    <w:p w:rsidR="00D849AA" w:rsidRDefault="00EE6D95">
      <w:pPr>
        <w:pStyle w:val="Normal6"/>
      </w:pPr>
      <w:r>
        <w:t>•</w:t>
      </w:r>
      <w:r>
        <w:tab/>
        <w:t xml:space="preserve">Požari otvorenog tipa (izvršitelj) </w:t>
      </w:r>
    </w:p>
    <w:p w:rsidR="00D849AA" w:rsidRDefault="00EE6D95">
      <w:pPr>
        <w:pStyle w:val="Normal6"/>
      </w:pPr>
      <w:r>
        <w:t>•</w:t>
      </w:r>
      <w:r>
        <w:tab/>
        <w:t xml:space="preserve">Poplave izazvane ilijevanjem kopnenih vodenih tijela (izvršitelj) </w:t>
      </w:r>
    </w:p>
    <w:p w:rsidR="00D849AA" w:rsidRDefault="00EE6D95">
      <w:pPr>
        <w:pStyle w:val="Normal6"/>
      </w:pPr>
      <w:r>
        <w:t>•</w:t>
      </w:r>
      <w:r>
        <w:tab/>
        <w:t xml:space="preserve">Poplave izazvane pucanjem brana (izvršitelj) </w:t>
      </w:r>
    </w:p>
    <w:p w:rsidR="00D849AA" w:rsidRDefault="00EE6D95">
      <w:pPr>
        <w:pStyle w:val="Normal6"/>
      </w:pPr>
      <w:r>
        <w:t>•</w:t>
      </w:r>
      <w:r>
        <w:tab/>
        <w:t xml:space="preserve">Plimni val (nositelj) </w:t>
      </w:r>
    </w:p>
    <w:p w:rsidR="00D849AA" w:rsidRDefault="00EE6D95">
      <w:pPr>
        <w:pStyle w:val="Normal6"/>
      </w:pPr>
      <w:r>
        <w:t>•</w:t>
      </w:r>
      <w:r>
        <w:tab/>
        <w:t xml:space="preserve">Erozija tla (izvršitelj) </w:t>
      </w:r>
    </w:p>
    <w:p w:rsidR="00D849AA" w:rsidRDefault="00EE6D95">
      <w:pPr>
        <w:pStyle w:val="Normal6"/>
      </w:pPr>
      <w:r>
        <w:t>•</w:t>
      </w:r>
      <w:r>
        <w:tab/>
        <w:t xml:space="preserve">Zagađenje (izvršitelj) </w:t>
      </w:r>
    </w:p>
    <w:p w:rsidR="00D849AA" w:rsidRDefault="00EE6D95">
      <w:pPr>
        <w:pStyle w:val="Normal6"/>
      </w:pPr>
      <w:r>
        <w:t>•</w:t>
      </w:r>
      <w:r>
        <w:tab/>
        <w:t xml:space="preserve">Grmljavinsko nevrijeme (koordinator, nositelj, izvršitelj) </w:t>
      </w:r>
    </w:p>
    <w:p w:rsidR="00D849AA" w:rsidRDefault="00EE6D95">
      <w:pPr>
        <w:pStyle w:val="Normal6"/>
      </w:pPr>
      <w:r>
        <w:t>•</w:t>
      </w:r>
      <w:r>
        <w:tab/>
        <w:t xml:space="preserve">Padaline (kiša, tuča, grad...) (koordinator, nositelj, izvršitelj) </w:t>
      </w:r>
    </w:p>
    <w:p w:rsidR="00D849AA" w:rsidRDefault="00EE6D95">
      <w:pPr>
        <w:pStyle w:val="Normal6"/>
      </w:pPr>
      <w:r>
        <w:lastRenderedPageBreak/>
        <w:t>•</w:t>
      </w:r>
      <w:r>
        <w:tab/>
        <w:t xml:space="preserve">Vjetar (kretanje zračnih masa općenito) (koordinator, nositelj, izvršitelj) </w:t>
      </w:r>
    </w:p>
    <w:p w:rsidR="00D849AA" w:rsidRDefault="00EE6D95">
      <w:pPr>
        <w:pStyle w:val="Normal6"/>
      </w:pPr>
      <w:r>
        <w:t>•</w:t>
      </w:r>
      <w:r>
        <w:tab/>
        <w:t xml:space="preserve">Snijeg i led (koordinator, nositelj, izvršitelj) </w:t>
      </w:r>
    </w:p>
    <w:p w:rsidR="00D849AA" w:rsidRDefault="00EE6D95">
      <w:pPr>
        <w:pStyle w:val="Normal6"/>
      </w:pPr>
      <w:r>
        <w:t>•</w:t>
      </w:r>
      <w:r>
        <w:tab/>
        <w:t xml:space="preserve">Ekstremne tempreature (nositelj) </w:t>
      </w:r>
    </w:p>
    <w:p w:rsidR="00D849AA" w:rsidRDefault="00EE6D95">
      <w:pPr>
        <w:pStyle w:val="Normal6"/>
      </w:pPr>
      <w:r>
        <w:t>•</w:t>
      </w:r>
      <w:r>
        <w:tab/>
        <w:t xml:space="preserve">Industrijske nesreće (izvršitelj) </w:t>
      </w:r>
    </w:p>
    <w:p w:rsidR="00D849AA" w:rsidRDefault="00EE6D95">
      <w:pPr>
        <w:pStyle w:val="Normal6"/>
      </w:pPr>
      <w:r>
        <w:t>•</w:t>
      </w:r>
      <w:r>
        <w:tab/>
        <w:t xml:space="preserve">Nesreće u prometu (izvršitelj)  </w:t>
      </w:r>
    </w:p>
    <w:p w:rsidR="00D849AA" w:rsidRDefault="00EE6D95">
      <w:pPr>
        <w:pStyle w:val="Normal6"/>
      </w:pPr>
      <w:r>
        <w:t>•</w:t>
      </w:r>
      <w:r>
        <w:tab/>
        <w:t xml:space="preserve">Nesreće na odlagalištima otpada (izvršitelj). </w:t>
      </w:r>
    </w:p>
    <w:p w:rsidR="00D849AA" w:rsidRDefault="00EE6D95">
      <w:pPr>
        <w:pStyle w:val="Normal6"/>
      </w:pPr>
      <w:r>
        <w:t xml:space="preserve"> </w:t>
      </w:r>
    </w:p>
    <w:p w:rsidR="00D849AA" w:rsidRDefault="00EE6D95">
      <w:pPr>
        <w:pStyle w:val="Normal6"/>
      </w:pPr>
      <w:r>
        <w:t xml:space="preserve">Cilj ove aktivnosti je pravodobno izdavanje upozorenja, vremenskih, biometeoroloških, agrometeoroloških prognoza, hidroloških prognoza te prognoza kretanja onečišćenja zraka, klimatskih scenarija, atlasa klime i atlasa vjetra, procjene opasnosti od požara i praćenje suše te raznih analiza  i ekspertiza za potrebe države i građana u cilju zaštite njihovog života i vlasništva te održivog razvoja društva.  </w:t>
      </w:r>
    </w:p>
    <w:p w:rsidR="00D849AA" w:rsidRDefault="00EE6D95">
      <w:pPr>
        <w:pStyle w:val="Normal6"/>
      </w:pPr>
      <w:r>
        <w:t>U ovu aktivnost spada i informiranje koje DHMZ provodi putem web stranica. Podrška za ovu aktivnost svakako je suvremeni informatički sustav i softveri koji podržavaju izrade prognoza i njihov grafički prikaz.</w:t>
      </w:r>
    </w:p>
    <w:p w:rsidR="00D849AA" w:rsidRDefault="00EE6D95">
      <w:pPr>
        <w:pStyle w:val="Naslov6"/>
      </w:pPr>
      <w:r>
        <w:t>A654057 PODRŠKA GOSPODARSTVU I ODRŽIVOM RAZVOJU</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A654057</w:t>
            </w:r>
          </w:p>
        </w:tc>
        <w:tc>
          <w:tcPr>
            <w:tcW w:w="1486" w:type="dxa"/>
          </w:tcPr>
          <w:p w:rsidR="00D849AA" w:rsidRDefault="00EE6D95">
            <w:r>
              <w:t>850.233</w:t>
            </w:r>
          </w:p>
        </w:tc>
        <w:tc>
          <w:tcPr>
            <w:tcW w:w="1486" w:type="dxa"/>
          </w:tcPr>
          <w:p w:rsidR="00D849AA" w:rsidRDefault="00EE6D95">
            <w:r>
              <w:t>630.453</w:t>
            </w:r>
          </w:p>
        </w:tc>
        <w:tc>
          <w:tcPr>
            <w:tcW w:w="1486" w:type="dxa"/>
          </w:tcPr>
          <w:p w:rsidR="00D849AA" w:rsidRDefault="00EE6D95">
            <w:r>
              <w:t>584.394</w:t>
            </w:r>
          </w:p>
        </w:tc>
        <w:tc>
          <w:tcPr>
            <w:tcW w:w="1486" w:type="dxa"/>
          </w:tcPr>
          <w:p w:rsidR="00D849AA" w:rsidRDefault="00EE6D95">
            <w:r>
              <w:t>497.917</w:t>
            </w:r>
          </w:p>
        </w:tc>
        <w:tc>
          <w:tcPr>
            <w:tcW w:w="1486" w:type="dxa"/>
          </w:tcPr>
          <w:p w:rsidR="00D849AA" w:rsidRDefault="00EE6D95">
            <w:r>
              <w:t>74,2</w:t>
            </w:r>
          </w:p>
        </w:tc>
      </w:tr>
    </w:tbl>
    <w:p w:rsidR="00D849AA" w:rsidRDefault="00D849AA">
      <w:pPr>
        <w:jc w:val="left"/>
      </w:pPr>
    </w:p>
    <w:p w:rsidR="00D849AA" w:rsidRDefault="00EE6D95">
      <w:pPr>
        <w:pStyle w:val="Normal6"/>
      </w:pPr>
      <w:r>
        <w:t xml:space="preserve">Aktivnost Podrška gospodarstvu i održivom razvoju odnosi se na izradu specifičnih informacija prema potrebama korisnika - izradu različitih klimatskih podloga, studija, elaborata, prezentacija vremenskih, klimatskih i vodnih uvjeta i prognoza te stanja i prognoza kvalitete zraka. U sklopu ove aktivnosti obavljaju se i poslovi održavanja i obnove korisničkih (investitorskih) meteoroloških i hidroloških postaja.  </w:t>
      </w:r>
    </w:p>
    <w:p w:rsidR="00D849AA" w:rsidRDefault="00EE6D95">
      <w:pPr>
        <w:pStyle w:val="Normal6"/>
      </w:pPr>
      <w:r>
        <w:t xml:space="preserve">Značajan naglasak u ovoj aktivnosti dan je na podršku u planiranju i korištenju obnovljivih izvora energije (vjetar, sunce, hidrološki potencijal) energije te u energetskoj učinkovitosti u zgradarstvu. </w:t>
      </w:r>
    </w:p>
    <w:p w:rsidR="00D849AA" w:rsidRDefault="00EE6D95">
      <w:pPr>
        <w:pStyle w:val="Normal6"/>
      </w:pPr>
      <w:r>
        <w:t>Cilj je ove aktivnosti podržati gospodarski razvoj RH te paralelno razvijati stručne kapacitete DHMZ-a za usluživanje korisnika. Stručnjaci koji rade poslove u sklopu ove aktivnosti ostvaruju prihode koji se ulažu u razvoj bazičnih aktivnosti  DHMZ-a od čega koristi ima država i najširi krug korisnik. Usluge i informacije DHMZ-a iz ove aktivnosti koriste se u različitim djelatnostima gospodarstva kao što su to primjerice, energetika i elektroprivreda, vodoprivreda, promet, urbanizam, zdravlje i rekreacija i dr.</w:t>
      </w:r>
    </w:p>
    <w:p w:rsidR="00D849AA" w:rsidRDefault="00EE6D95">
      <w:pPr>
        <w:pStyle w:val="Naslov6"/>
      </w:pPr>
      <w:r>
        <w:t>A654071 MEĐUNARODNE OBAVEZE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A654071</w:t>
            </w:r>
          </w:p>
        </w:tc>
        <w:tc>
          <w:tcPr>
            <w:tcW w:w="1486" w:type="dxa"/>
          </w:tcPr>
          <w:p w:rsidR="00D849AA" w:rsidRDefault="00EE6D95">
            <w:r>
              <w:t>7.315.728</w:t>
            </w:r>
          </w:p>
        </w:tc>
        <w:tc>
          <w:tcPr>
            <w:tcW w:w="1486" w:type="dxa"/>
          </w:tcPr>
          <w:p w:rsidR="00D849AA" w:rsidRDefault="00EE6D95">
            <w:r>
              <w:t>10.791.438</w:t>
            </w:r>
          </w:p>
        </w:tc>
        <w:tc>
          <w:tcPr>
            <w:tcW w:w="1486" w:type="dxa"/>
          </w:tcPr>
          <w:p w:rsidR="00D849AA" w:rsidRDefault="00EE6D95">
            <w:r>
              <w:t>9.636.755</w:t>
            </w:r>
          </w:p>
        </w:tc>
        <w:tc>
          <w:tcPr>
            <w:tcW w:w="1486" w:type="dxa"/>
          </w:tcPr>
          <w:p w:rsidR="00D849AA" w:rsidRDefault="00EE6D95">
            <w:r>
              <w:t>7.468.755</w:t>
            </w:r>
          </w:p>
        </w:tc>
        <w:tc>
          <w:tcPr>
            <w:tcW w:w="1486" w:type="dxa"/>
          </w:tcPr>
          <w:p w:rsidR="00D849AA" w:rsidRDefault="00EE6D95">
            <w:r>
              <w:t>147,5</w:t>
            </w:r>
          </w:p>
        </w:tc>
      </w:tr>
    </w:tbl>
    <w:p w:rsidR="00D849AA" w:rsidRDefault="00D849AA">
      <w:pPr>
        <w:jc w:val="left"/>
      </w:pPr>
    </w:p>
    <w:p w:rsidR="00D849AA" w:rsidRDefault="00EE6D95">
      <w:pPr>
        <w:pStyle w:val="Normal6"/>
      </w:pPr>
      <w:r>
        <w:t xml:space="preserve">Aktivnost Međunarodne obaveze odnosi se na obveze Republike Hrvatske prema međunarodnim ugovorima s međunarodnim i međuvladinim organizacijama i asocijacijama, te poslovima u upravljačkim tijelima organizacija i programa. </w:t>
      </w:r>
    </w:p>
    <w:p w:rsidR="00D849AA" w:rsidRDefault="00EE6D95">
      <w:pPr>
        <w:pStyle w:val="Normal6"/>
      </w:pPr>
      <w:r>
        <w:lastRenderedPageBreak/>
        <w:t xml:space="preserve">U toj aktivnosti najveći su rashodi za međunarodne članarine Republike Hrvatske u iznosu od gotovo 10 milijuna kuna.  Riječ je o članarinama koje je RH dužna isplacivati međuvladinim organizacijama temeljem Zakona i Konvencija i Ugovora koji su prihvaceni ratifikacijom u Hrvatskom saboru: </w:t>
      </w:r>
    </w:p>
    <w:p w:rsidR="00D849AA" w:rsidRDefault="00EE6D95">
      <w:pPr>
        <w:pStyle w:val="Normal6"/>
      </w:pPr>
      <w:r>
        <w:t xml:space="preserve">•  WMO - Republika Hrvatska potpisala Konvenciju o Svjetskoj meteorološkoj organizaciji 8.11.1992 - punopravno članstvo RH; </w:t>
      </w:r>
    </w:p>
    <w:p w:rsidR="00D849AA" w:rsidRDefault="00EE6D95">
      <w:pPr>
        <w:pStyle w:val="Normal6"/>
      </w:pPr>
      <w:r>
        <w:t xml:space="preserve">•  EUMETSAT (Europska organizacija za eksploataciju meteoroloških satelita) - Zakon o potvrđivanju Ugovora između Vlade Republike Hrvatske i EUMETSAT-a, nakon sto je prihvaćen u Hrvatskom saboru, proglasen je 26.10.2006. – punopravno članstvo RH; </w:t>
      </w:r>
    </w:p>
    <w:p w:rsidR="00D849AA" w:rsidRDefault="00EE6D95">
      <w:pPr>
        <w:pStyle w:val="Normal6"/>
      </w:pPr>
      <w:r>
        <w:t xml:space="preserve">•  ECMWF (Europski centar za srednjoročne prognoze vremena) - Sporazum o pristupanju Republike Hrvatske Konvenciji ECMWF-a  potpisan 8. 11. 2011., svi prijevodi u vezi s ECMWF-om su gotovi i usklađeni između MZOS-a, MZOIP-a i  </w:t>
      </w:r>
    </w:p>
    <w:p w:rsidR="00D849AA" w:rsidRDefault="00EE6D95">
      <w:pPr>
        <w:pStyle w:val="Normal6"/>
      </w:pPr>
      <w:r>
        <w:t xml:space="preserve">MVEP-a. MZOS je pripremio nacrt Zakona koji bi trebao ici u saborsku proceduru.  </w:t>
      </w:r>
    </w:p>
    <w:p w:rsidR="00D849AA" w:rsidRDefault="00EE6D95">
      <w:pPr>
        <w:pStyle w:val="Normal6"/>
      </w:pPr>
      <w:r>
        <w:t xml:space="preserve">DHMZ je samo jedan od sudionika, odnosno korisnika svakog pojedinog sustava, uz Hrvatsku vojsku, Hrvatsku kontrolu zračne plovidbe i znanstvenu zajednicu. </w:t>
      </w:r>
    </w:p>
    <w:p w:rsidR="00D849AA" w:rsidRDefault="00EE6D95">
      <w:pPr>
        <w:pStyle w:val="Normal6"/>
      </w:pPr>
      <w:r>
        <w:t xml:space="preserve">Također, u ovoj aktivnosti isplaćuju se i međunarodne članarine i  međunarodnim stručnim tijelima kojima je DHMZ član kao nacionalna hidrometeorološka služba.  </w:t>
      </w:r>
    </w:p>
    <w:p w:rsidR="00D849AA" w:rsidRDefault="00EE6D95">
      <w:pPr>
        <w:pStyle w:val="Normal6"/>
      </w:pPr>
      <w:r>
        <w:t xml:space="preserve">Cilj ove aktivnosti je na međunarodnoj razini osigurati stručne i tehničke uvjete, uključujući i primjenu utvrđenih svjetskih standarda u meteorologiji, hidrologiji i njima srodnim područjima, koji su nužni za provođenje misije i održiv razvoj hrvatske nacionalne meteorološke i hidrološke službe (DHMZ), kroz to i pružati podršku partnerima DHMZ-a, te zastupati interese i poziciju Republike Hrvatske na međunarodnoj sceni. </w:t>
      </w:r>
    </w:p>
    <w:p w:rsidR="00D849AA" w:rsidRDefault="00EE6D95">
      <w:pPr>
        <w:pStyle w:val="Normal6"/>
      </w:pPr>
      <w:r>
        <w:t xml:space="preserve">Međunarodne i međuvladine i asocijacije:  WMO - Svjetska meteorološka organizacija, ECMWF - Europski centar za srednjoročne vremenske prognoze, EUMETSAT - Europska organizacija za eksploataciju meteoroloških satelita, EUMETNET - Europska  asocijacija nacionalnih meteoroloških službi, ECOMET - Europska ekonomska interesna organizacija nacionalnih meteoroloških i hidroloških službi, GEO - Svjetska organizacija koja objedinjava sustav svih sustava mjerenja na planetu Zemlja, IPCC – Međunarodni odbor za praćenje promjene klime, ALADIN - Međunarodni konzorcij za upravljanje numeričkim modelom, RC LACE – Regionalni centar za numeričke modele ograničenog područja za  Srednju Europu, JCOMM - Međunarodna komisija za oceanografsku i pomorsku meteorologiju, GCOS – Svjetski sustav motrenja klime, EMEP - Program suradnje za praćenje i procjenu daljinskog prijenosa atmosferskog onečišćenja u  Europi, Neformalna konferencija direktora nacionalnih meteoroloških i hidroloških službi srednje (ICCED) i jugoistočne (ICSEED) Europe. </w:t>
      </w:r>
    </w:p>
    <w:p w:rsidR="00D849AA" w:rsidRDefault="00EE6D95">
      <w:pPr>
        <w:pStyle w:val="Normal6"/>
      </w:pPr>
      <w:r>
        <w:t>Prema pristiglim informacijama o iznosima članarina za godinu 2014. one će iznositi gotovo 10 milijuna kuna, točnije 9.872,841,30 kuna.</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72"/>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Sudjelovanje na različitim stručnim i znanstvenim radionicama i školama</w:t>
            </w:r>
          </w:p>
        </w:tc>
        <w:tc>
          <w:tcPr>
            <w:tcW w:w="1114" w:type="dxa"/>
          </w:tcPr>
          <w:p w:rsidR="00D849AA" w:rsidRDefault="00EE6D95">
            <w:r>
              <w:t>broj</w:t>
            </w:r>
          </w:p>
        </w:tc>
        <w:tc>
          <w:tcPr>
            <w:tcW w:w="1114" w:type="dxa"/>
          </w:tcPr>
          <w:p w:rsidR="00D849AA" w:rsidRDefault="00EE6D95">
            <w:r>
              <w:t>5</w:t>
            </w:r>
          </w:p>
        </w:tc>
        <w:tc>
          <w:tcPr>
            <w:tcW w:w="1486" w:type="dxa"/>
          </w:tcPr>
          <w:p w:rsidR="00D849AA" w:rsidRDefault="00EE6D95">
            <w:r>
              <w:t>9</w:t>
            </w:r>
          </w:p>
        </w:tc>
        <w:tc>
          <w:tcPr>
            <w:tcW w:w="1486" w:type="dxa"/>
          </w:tcPr>
          <w:p w:rsidR="00D849AA" w:rsidRDefault="00EE6D95">
            <w:r>
              <w:t>11</w:t>
            </w:r>
          </w:p>
        </w:tc>
        <w:tc>
          <w:tcPr>
            <w:tcW w:w="1486" w:type="dxa"/>
          </w:tcPr>
          <w:p w:rsidR="00D849AA" w:rsidRDefault="00EE6D95">
            <w:r>
              <w:t>12</w:t>
            </w:r>
          </w:p>
        </w:tc>
      </w:tr>
      <w:tr w:rsidR="00D849AA">
        <w:trPr>
          <w:jc w:val="center"/>
        </w:trPr>
        <w:tc>
          <w:tcPr>
            <w:tcW w:w="2229" w:type="dxa"/>
          </w:tcPr>
          <w:p w:rsidR="00D849AA" w:rsidRDefault="00EE6D95">
            <w:pPr>
              <w:pStyle w:val="CellColumn"/>
            </w:pPr>
            <w:r>
              <w:t xml:space="preserve">Pohađanje doktorskog </w:t>
            </w:r>
            <w:r>
              <w:lastRenderedPageBreak/>
              <w:t>studija</w:t>
            </w:r>
          </w:p>
        </w:tc>
        <w:tc>
          <w:tcPr>
            <w:tcW w:w="1114" w:type="dxa"/>
          </w:tcPr>
          <w:p w:rsidR="00D849AA" w:rsidRDefault="00EE6D95">
            <w:r>
              <w:lastRenderedPageBreak/>
              <w:t>broj</w:t>
            </w:r>
          </w:p>
        </w:tc>
        <w:tc>
          <w:tcPr>
            <w:tcW w:w="1114" w:type="dxa"/>
          </w:tcPr>
          <w:p w:rsidR="00D849AA" w:rsidRDefault="00EE6D95">
            <w:r>
              <w:t>4</w:t>
            </w:r>
          </w:p>
        </w:tc>
        <w:tc>
          <w:tcPr>
            <w:tcW w:w="1486" w:type="dxa"/>
          </w:tcPr>
          <w:p w:rsidR="00D849AA" w:rsidRDefault="00EE6D95">
            <w:r>
              <w:t>7</w:t>
            </w:r>
          </w:p>
        </w:tc>
        <w:tc>
          <w:tcPr>
            <w:tcW w:w="1486" w:type="dxa"/>
          </w:tcPr>
          <w:p w:rsidR="00D849AA" w:rsidRDefault="00EE6D95">
            <w:r>
              <w:t>8</w:t>
            </w:r>
          </w:p>
        </w:tc>
        <w:tc>
          <w:tcPr>
            <w:tcW w:w="1486" w:type="dxa"/>
          </w:tcPr>
          <w:p w:rsidR="00D849AA" w:rsidRDefault="00EE6D95">
            <w:r>
              <w:t>10</w:t>
            </w:r>
          </w:p>
        </w:tc>
      </w:tr>
      <w:tr w:rsidR="00D849AA">
        <w:trPr>
          <w:jc w:val="center"/>
        </w:trPr>
        <w:tc>
          <w:tcPr>
            <w:tcW w:w="2229" w:type="dxa"/>
          </w:tcPr>
          <w:p w:rsidR="00D849AA" w:rsidRDefault="00EE6D95">
            <w:pPr>
              <w:pStyle w:val="CellColumn"/>
            </w:pPr>
            <w:r>
              <w:lastRenderedPageBreak/>
              <w:t>Studijski boravci na znanstvenim i stručnim ustanovama u inozemstvu</w:t>
            </w:r>
          </w:p>
        </w:tc>
        <w:tc>
          <w:tcPr>
            <w:tcW w:w="1114" w:type="dxa"/>
          </w:tcPr>
          <w:p w:rsidR="00D849AA" w:rsidRDefault="00EE6D95">
            <w:r>
              <w:t>broj djelatnika</w:t>
            </w:r>
          </w:p>
        </w:tc>
        <w:tc>
          <w:tcPr>
            <w:tcW w:w="1114" w:type="dxa"/>
          </w:tcPr>
          <w:p w:rsidR="00D849AA" w:rsidRDefault="00EE6D95">
            <w:r>
              <w:t>2</w:t>
            </w:r>
          </w:p>
        </w:tc>
        <w:tc>
          <w:tcPr>
            <w:tcW w:w="1486" w:type="dxa"/>
          </w:tcPr>
          <w:p w:rsidR="00D849AA" w:rsidRDefault="00EE6D95">
            <w:r>
              <w:t>5</w:t>
            </w:r>
          </w:p>
        </w:tc>
        <w:tc>
          <w:tcPr>
            <w:tcW w:w="1486" w:type="dxa"/>
          </w:tcPr>
          <w:p w:rsidR="00D849AA" w:rsidRDefault="00EE6D95">
            <w:r>
              <w:t>7</w:t>
            </w:r>
          </w:p>
        </w:tc>
        <w:tc>
          <w:tcPr>
            <w:tcW w:w="1486" w:type="dxa"/>
          </w:tcPr>
          <w:p w:rsidR="00D849AA" w:rsidRDefault="00EE6D95">
            <w:r>
              <w:t>9</w:t>
            </w:r>
          </w:p>
        </w:tc>
      </w:tr>
      <w:tr w:rsidR="00D849AA">
        <w:trPr>
          <w:jc w:val="center"/>
        </w:trPr>
        <w:tc>
          <w:tcPr>
            <w:tcW w:w="2229" w:type="dxa"/>
          </w:tcPr>
          <w:p w:rsidR="00D849AA" w:rsidRDefault="00EE6D95">
            <w:pPr>
              <w:pStyle w:val="CellColumn"/>
            </w:pPr>
            <w:r>
              <w:t>Broj znanstvenih projekata</w:t>
            </w:r>
          </w:p>
        </w:tc>
        <w:tc>
          <w:tcPr>
            <w:tcW w:w="1114" w:type="dxa"/>
          </w:tcPr>
          <w:p w:rsidR="00D849AA" w:rsidRDefault="00EE6D95">
            <w:r>
              <w:t>broj</w:t>
            </w:r>
          </w:p>
        </w:tc>
        <w:tc>
          <w:tcPr>
            <w:tcW w:w="1114" w:type="dxa"/>
          </w:tcPr>
          <w:p w:rsidR="00D849AA" w:rsidRDefault="00EE6D95">
            <w:r>
              <w:t>8</w:t>
            </w:r>
          </w:p>
        </w:tc>
        <w:tc>
          <w:tcPr>
            <w:tcW w:w="1486" w:type="dxa"/>
          </w:tcPr>
          <w:p w:rsidR="00D849AA" w:rsidRDefault="00EE6D95">
            <w:r>
              <w:t>14</w:t>
            </w:r>
          </w:p>
        </w:tc>
        <w:tc>
          <w:tcPr>
            <w:tcW w:w="1486" w:type="dxa"/>
          </w:tcPr>
          <w:p w:rsidR="00D849AA" w:rsidRDefault="00EE6D95">
            <w:r>
              <w:t>16</w:t>
            </w:r>
          </w:p>
        </w:tc>
        <w:tc>
          <w:tcPr>
            <w:tcW w:w="1486" w:type="dxa"/>
          </w:tcPr>
          <w:p w:rsidR="00D849AA" w:rsidRDefault="00EE6D95">
            <w:r>
              <w:t>18</w:t>
            </w:r>
          </w:p>
        </w:tc>
      </w:tr>
      <w:tr w:rsidR="00D849AA">
        <w:trPr>
          <w:jc w:val="center"/>
        </w:trPr>
        <w:tc>
          <w:tcPr>
            <w:tcW w:w="2229" w:type="dxa"/>
          </w:tcPr>
          <w:p w:rsidR="00D849AA" w:rsidRDefault="00EE6D95">
            <w:pPr>
              <w:pStyle w:val="CellColumn"/>
            </w:pPr>
            <w:r>
              <w:t>Publicirani znanstveni radovi</w:t>
            </w:r>
          </w:p>
        </w:tc>
        <w:tc>
          <w:tcPr>
            <w:tcW w:w="1114" w:type="dxa"/>
          </w:tcPr>
          <w:p w:rsidR="00D849AA" w:rsidRDefault="00EE6D95">
            <w:r>
              <w:t>broj znanstvenih radova</w:t>
            </w:r>
          </w:p>
        </w:tc>
        <w:tc>
          <w:tcPr>
            <w:tcW w:w="1114" w:type="dxa"/>
          </w:tcPr>
          <w:p w:rsidR="00D849AA" w:rsidRDefault="00EE6D95">
            <w:r>
              <w:t>12</w:t>
            </w:r>
          </w:p>
        </w:tc>
        <w:tc>
          <w:tcPr>
            <w:tcW w:w="1486" w:type="dxa"/>
          </w:tcPr>
          <w:p w:rsidR="00D849AA" w:rsidRDefault="00EE6D95">
            <w:r>
              <w:t>16</w:t>
            </w:r>
          </w:p>
        </w:tc>
        <w:tc>
          <w:tcPr>
            <w:tcW w:w="1486" w:type="dxa"/>
          </w:tcPr>
          <w:p w:rsidR="00D849AA" w:rsidRDefault="00EE6D95">
            <w:r>
              <w:t>18</w:t>
            </w:r>
          </w:p>
        </w:tc>
        <w:tc>
          <w:tcPr>
            <w:tcW w:w="1486" w:type="dxa"/>
          </w:tcPr>
          <w:p w:rsidR="00D849AA" w:rsidRDefault="00EE6D95">
            <w:r>
              <w:t>18</w:t>
            </w:r>
          </w:p>
        </w:tc>
      </w:tr>
    </w:tbl>
    <w:p w:rsidR="00D849AA" w:rsidRDefault="00D849AA">
      <w:pPr>
        <w:jc w:val="left"/>
      </w:pPr>
    </w:p>
    <w:p w:rsidR="00D849AA" w:rsidRDefault="00EE6D95">
      <w:pPr>
        <w:pStyle w:val="Naslov6"/>
      </w:pPr>
      <w:r>
        <w:t>K654066 USPOSTAVA I RAZVOJ REGIONALNOG POMORSKOG CENTRA U SPLITU</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K654066</w:t>
            </w:r>
          </w:p>
        </w:tc>
        <w:tc>
          <w:tcPr>
            <w:tcW w:w="1486" w:type="dxa"/>
          </w:tcPr>
          <w:p w:rsidR="00D849AA" w:rsidRDefault="00EE6D95">
            <w:r>
              <w:t>4.722</w:t>
            </w:r>
          </w:p>
        </w:tc>
        <w:tc>
          <w:tcPr>
            <w:tcW w:w="1486" w:type="dxa"/>
          </w:tcPr>
          <w:p w:rsidR="00D849AA" w:rsidRDefault="00EE6D95">
            <w:r>
              <w:t>24.000</w:t>
            </w:r>
          </w:p>
        </w:tc>
        <w:tc>
          <w:tcPr>
            <w:tcW w:w="1486" w:type="dxa"/>
          </w:tcPr>
          <w:p w:rsidR="00D849AA" w:rsidRDefault="00EE6D95">
            <w:r>
              <w:t>20.460</w:t>
            </w:r>
          </w:p>
        </w:tc>
        <w:tc>
          <w:tcPr>
            <w:tcW w:w="1486" w:type="dxa"/>
          </w:tcPr>
          <w:p w:rsidR="00D849AA" w:rsidRDefault="00EE6D95">
            <w:r>
              <w:t>16.442</w:t>
            </w:r>
          </w:p>
        </w:tc>
        <w:tc>
          <w:tcPr>
            <w:tcW w:w="1486" w:type="dxa"/>
          </w:tcPr>
          <w:p w:rsidR="00D849AA" w:rsidRDefault="00EE6D95">
            <w:r>
              <w:t>508,2</w:t>
            </w:r>
          </w:p>
        </w:tc>
      </w:tr>
    </w:tbl>
    <w:p w:rsidR="00D849AA" w:rsidRDefault="00D849AA">
      <w:pPr>
        <w:jc w:val="left"/>
      </w:pPr>
    </w:p>
    <w:p w:rsidR="00D849AA" w:rsidRDefault="00EE6D95">
      <w:pPr>
        <w:pStyle w:val="Normal6"/>
      </w:pPr>
      <w:r>
        <w:t>U 2012. godini Državni hidrometeorološki zavod proglašen je Regionalnim pomorskim meteorološkim centrom za Jadran WIS-DCPC / WIGOS od strane Svjetske meteorološke organizacije (WMO) te je iste godine prošao reviziju WMO WIS Sekretarijata.</w:t>
      </w:r>
      <w:r>
        <w:tab/>
        <w:t xml:space="preserve"> </w:t>
      </w:r>
    </w:p>
    <w:p w:rsidR="00D849AA" w:rsidRDefault="00EE6D95">
      <w:pPr>
        <w:pStyle w:val="Normal6"/>
      </w:pPr>
      <w:r>
        <w:t>Uspostavom aktivnosti Regionalnog pomorskog centra za područje Jadrana kao centra izvrsnosti za pomorsku meteorologiju u sustavu novog svjetskog informatičkog sustava (WMO WIS – DCPC ) unaprjeđuje se sigurnost pomorskog prometa i nautičkog turizma na Jadranu, objedinjuju podaci o moru svih institucija u RH koje ih proizvode kao i integrirani podaci zemalja u Jadranu. Uspostava aktivnosti RPC-a za Jadran dio je razvojne strategije DHMZ-a te je u skladu sa strateškim planom Svjetske meteorološke organizacije (2012. – 2015.) te pridruženog Operativnog plana za jačanje nacionalnih meteoroloških i hidroloških službi te centara izvrsnosti na području Regionalne Asocijacije VI (Europa). Operativno provođenje projekta je u tijeku.</w:t>
      </w:r>
    </w:p>
    <w:p w:rsidR="00D849AA" w:rsidRDefault="00EE6D95">
      <w:pPr>
        <w:pStyle w:val="Naslov6"/>
      </w:pPr>
      <w:r>
        <w:t>K654072 RAZVOJ DJELATNOSTI DHMZ-A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K654072</w:t>
            </w:r>
          </w:p>
        </w:tc>
        <w:tc>
          <w:tcPr>
            <w:tcW w:w="1486" w:type="dxa"/>
          </w:tcPr>
          <w:p w:rsidR="00D849AA" w:rsidRDefault="00EE6D95">
            <w:r>
              <w:t>1.164.326</w:t>
            </w:r>
          </w:p>
        </w:tc>
        <w:tc>
          <w:tcPr>
            <w:tcW w:w="1486" w:type="dxa"/>
          </w:tcPr>
          <w:p w:rsidR="00D849AA" w:rsidRDefault="00EE6D95">
            <w:r>
              <w:t>1.165.596</w:t>
            </w:r>
          </w:p>
        </w:tc>
        <w:tc>
          <w:tcPr>
            <w:tcW w:w="1486" w:type="dxa"/>
          </w:tcPr>
          <w:p w:rsidR="00D849AA" w:rsidRDefault="00EE6D95">
            <w:r>
              <w:t>1.048.163</w:t>
            </w:r>
          </w:p>
        </w:tc>
        <w:tc>
          <w:tcPr>
            <w:tcW w:w="1486" w:type="dxa"/>
          </w:tcPr>
          <w:p w:rsidR="00D849AA" w:rsidRDefault="00EE6D95">
            <w:r>
              <w:t>894.955</w:t>
            </w:r>
          </w:p>
        </w:tc>
        <w:tc>
          <w:tcPr>
            <w:tcW w:w="1486" w:type="dxa"/>
          </w:tcPr>
          <w:p w:rsidR="00D849AA" w:rsidRDefault="00EE6D95">
            <w:r>
              <w:t>100,1</w:t>
            </w:r>
          </w:p>
        </w:tc>
      </w:tr>
    </w:tbl>
    <w:p w:rsidR="00D849AA" w:rsidRDefault="00D849AA">
      <w:pPr>
        <w:jc w:val="left"/>
      </w:pPr>
    </w:p>
    <w:p w:rsidR="00D849AA" w:rsidRDefault="00EE6D95">
      <w:pPr>
        <w:pStyle w:val="Normal6"/>
      </w:pPr>
      <w:r>
        <w:t xml:space="preserve">Aktivnost Razvoj djelatnosti DHMZ-a odnosi se na dodatna ulaganja u znanje i intelektualno vlasništvo, kao i informatičku podršku kao podlogu za vrlo zahtjevna primijenjena znanstvena istraživanja i prognoza koja se obavljaju u sklopu ove aktivnosti provode. Također u ovu aktivnost uključeni su i rashodi za unapređenje meteorološke, hidrološke i infrastrukture za motrenje kvalitete zraka, rashodi za stručna usavršavanja, nabavku znanstvenih časopisa, biblioteku, razvoj usluga za korisnike, npr. razvoj web-a (softveri, serveri) i dr.  </w:t>
      </w:r>
    </w:p>
    <w:p w:rsidR="00D849AA" w:rsidRDefault="00EE6D95">
      <w:pPr>
        <w:pStyle w:val="Normal6"/>
      </w:pPr>
      <w:r>
        <w:t xml:space="preserve">Cilj je ove aktivnosti osigurati dostupnost visokokvalitetnih informacija iz područja djelatnosti Zavoda sukladno novim zahtjevima europskih i svjetskih standarda; osigurati </w:t>
      </w:r>
      <w:r>
        <w:lastRenderedPageBreak/>
        <w:t>veću učestalost, brojčanost, raznovrsnost i kontinuitet mjerenja te visoku kvalitetu podataka koje DHMZ pruža, smanjenje rizika od ljudskog faktora kod meteoroloških i hidroloških mjerenja te stvaranje nužnih pretpostavki za uštede u radu infrastrukture gašenjem klasičnih (gdje je to prikladno), a uvođenjem automatskih postaja.</w:t>
      </w:r>
    </w:p>
    <w:p w:rsidR="00D849AA" w:rsidRDefault="00EE6D95">
      <w:pPr>
        <w:pStyle w:val="Naslov2"/>
      </w:pPr>
      <w:r>
        <w:t>07725 Državni zavod za zaštitu prirode</w:t>
      </w:r>
    </w:p>
    <w:p w:rsidR="00D849AA" w:rsidRDefault="00EE6D95">
      <w:pPr>
        <w:pStyle w:val="Naslov4"/>
      </w:pPr>
      <w:r>
        <w:t>Uvod</w:t>
      </w:r>
    </w:p>
    <w:p w:rsidR="00D849AA" w:rsidRDefault="00EE6D95">
      <w:pPr>
        <w:pStyle w:val="Normal3"/>
      </w:pPr>
      <w:r>
        <w:t>Državni zavod za zaštitu prirode osnovan je Uredbom Vlade Republike Hrvatske (Narodne novine, broj 126/02), sukladno Strategiji i akcijskom planu zaštite biološke i krajobrazne raznolikosti Republike Hrvatske (Narodne novine, broj 81/99) - NSAP te Planu provedbe Sporazuma o stabilizaciji i pridruživanju, kojeg su Hrvatska i Europska unija potpisale 2001. godine. Državni zavod za zaštitu prirode djeluje od 15. rujna 2003. godine. Republika Hrvatska je stranka ili potpisnica svih relevantnih međunarodnih konvencija i protokola iz područja zaštite prirode. Odredbe iz relevantnih međunarodnih sporazuma i pravne stečevine Europske unije ugrađene su u nacionalne propise zaštite prirode i strateški dokument (NSAP). Stoga je opseg poslova u zaštiti prirode u velikoj mjeri povećan i zahtijeva kvalitetnu stručnu službu sposobnu pratiti i uključiti se u sve odgovarajuće međunarodne aktivnosti vezane uz zaštitu prirode.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07725</w:t>
            </w:r>
          </w:p>
        </w:tc>
        <w:tc>
          <w:tcPr>
            <w:tcW w:w="1486" w:type="dxa"/>
          </w:tcPr>
          <w:p w:rsidR="00D849AA" w:rsidRDefault="00EE6D95">
            <w:r>
              <w:t>920.639</w:t>
            </w:r>
          </w:p>
        </w:tc>
        <w:tc>
          <w:tcPr>
            <w:tcW w:w="1486" w:type="dxa"/>
          </w:tcPr>
          <w:p w:rsidR="00D849AA" w:rsidRDefault="00EE6D95">
            <w:r>
              <w:t>14.706.345</w:t>
            </w:r>
          </w:p>
        </w:tc>
        <w:tc>
          <w:tcPr>
            <w:tcW w:w="1486" w:type="dxa"/>
          </w:tcPr>
          <w:p w:rsidR="00D849AA" w:rsidRDefault="00EE6D95">
            <w:r>
              <w:t>14.017.630</w:t>
            </w:r>
          </w:p>
        </w:tc>
        <w:tc>
          <w:tcPr>
            <w:tcW w:w="1486" w:type="dxa"/>
          </w:tcPr>
          <w:p w:rsidR="00D849AA" w:rsidRDefault="00EE6D95">
            <w:r>
              <w:t>9.513.694</w:t>
            </w:r>
          </w:p>
        </w:tc>
        <w:tc>
          <w:tcPr>
            <w:tcW w:w="1486" w:type="dxa"/>
          </w:tcPr>
          <w:p w:rsidR="00D849AA" w:rsidRDefault="00EE6D95">
            <w:r>
              <w:t>1597,4</w:t>
            </w:r>
          </w:p>
        </w:tc>
      </w:tr>
    </w:tbl>
    <w:p w:rsidR="00D849AA" w:rsidRDefault="00D849AA">
      <w:pPr>
        <w:jc w:val="left"/>
      </w:pPr>
    </w:p>
    <w:p w:rsidR="00D849AA" w:rsidRDefault="00EE6D95">
      <w:pPr>
        <w:pStyle w:val="Naslov4"/>
      </w:pPr>
      <w:r>
        <w:t>OBRAZLOŽENJE PROGRAMA</w:t>
      </w:r>
    </w:p>
    <w:p w:rsidR="00D849AA" w:rsidRDefault="00EE6D95">
      <w:pPr>
        <w:pStyle w:val="Naslov5"/>
      </w:pPr>
      <w:r>
        <w:t>3401 ZAŠTITA PRIRODE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3401</w:t>
            </w:r>
          </w:p>
        </w:tc>
        <w:tc>
          <w:tcPr>
            <w:tcW w:w="1486" w:type="dxa"/>
          </w:tcPr>
          <w:p w:rsidR="00D849AA" w:rsidRDefault="00EE6D95">
            <w:r>
              <w:t>920.639</w:t>
            </w:r>
          </w:p>
        </w:tc>
        <w:tc>
          <w:tcPr>
            <w:tcW w:w="1486" w:type="dxa"/>
          </w:tcPr>
          <w:p w:rsidR="00D849AA" w:rsidRDefault="00EE6D95">
            <w:r>
              <w:t>14.706.345</w:t>
            </w:r>
          </w:p>
        </w:tc>
        <w:tc>
          <w:tcPr>
            <w:tcW w:w="1486" w:type="dxa"/>
          </w:tcPr>
          <w:p w:rsidR="00D849AA" w:rsidRDefault="00EE6D95">
            <w:r>
              <w:t>14.017.630</w:t>
            </w:r>
          </w:p>
        </w:tc>
        <w:tc>
          <w:tcPr>
            <w:tcW w:w="1486" w:type="dxa"/>
          </w:tcPr>
          <w:p w:rsidR="00D849AA" w:rsidRDefault="00EE6D95">
            <w:r>
              <w:t>9.513.694</w:t>
            </w:r>
          </w:p>
        </w:tc>
        <w:tc>
          <w:tcPr>
            <w:tcW w:w="1486" w:type="dxa"/>
          </w:tcPr>
          <w:p w:rsidR="00D849AA" w:rsidRDefault="00EE6D95">
            <w:r>
              <w:t>1597,4</w:t>
            </w:r>
          </w:p>
        </w:tc>
      </w:tr>
    </w:tbl>
    <w:p w:rsidR="00D849AA" w:rsidRDefault="00D849AA">
      <w:pPr>
        <w:jc w:val="left"/>
      </w:pPr>
    </w:p>
    <w:p w:rsidR="00D849AA" w:rsidRDefault="00EE6D95">
      <w:pPr>
        <w:pStyle w:val="Naslov6"/>
      </w:pPr>
      <w:r>
        <w:t>Opis programa</w:t>
      </w:r>
    </w:p>
    <w:p w:rsidR="00D849AA" w:rsidRDefault="00EE6D95">
      <w:pPr>
        <w:pStyle w:val="Normal5"/>
      </w:pPr>
      <w:r>
        <w:t xml:space="preserve">Programske djelatnosti Zavoda obuhvaćaju stručne poslove na prikupljanju, obradi i analizi prikupljenih podataka u vezi sa zaštitom prirode, izradi i održavanju odgovarajućih baza podataka o divljim i stranim invazivnim vrstama, stanišnim tipovima, ekosustavima, zaštićenim područjima i ekološki značajnim područjima, područjima ekološke mreže, georaznolikosti te speleološkim objektima, uspostavi i vođenju Informacijskog sustava zaštite prirode, u sklopu kojeg uspostavlja i održava Katalog vrsta i staništa te Katastar speleoloških objekata, procjenjivanju ugroženosti sastavnica biološke raznolikosti, uključujući izradu crvenog popisa ugroženih zavičajnih divljih vrsta, standardizaciji metodologije i protokola, praćenje stanja očuvanosti bioraznolikosti i georaznolikosti i predlaganje mjera za njihovu zaštitu, uspostavi sustava za praćenje uhvaćenih, usmrćenih i ozlijeđenih strogo zaštićenih vrsta, pripremanju stručnih podloga za zaštitu i očuvanje dijelova prirode, ekološki značajnih područja i ekološke mreže, razvoju standarda vezanih uz planiranje upravljanja, provedbu </w:t>
      </w:r>
      <w:r>
        <w:lastRenderedPageBreak/>
        <w:t>planova i procjenu učinkovitosti upravljanja zaštićenim područjima, ekološki značajnim područjima te područjima ekološke mreže, izradi stručnih podloga za planiranje upravljanja divljim vrstama, izradi stručnih podloga za potrebe utvrđivanja uvjeta zaštite prirode za planove gospodarenja prirodnim dobrima i zahtjeva zaštite prirode za potrebe prostornog planiranja, obavljanju analiza, objedinjavanju rezultata i izradi izvješća o stanju prirode i zaštite prirode, prikupljanju i obradi podataka te izradi izvješća sukladno s propisima Europske unije, prikupljanju i obradi podataka, izradi pokazatelja stanja biološke raznolikosti te sudjelovanju u izradi izvješća prema Europskoj agenciji za okoliš, stručnim poslovima u vezi s postupkom ocjene prihvatljivosti za ekološku mrežu, stručnim poslovima u vezi s procjenom utjecaja, kontrole širenja i uklanjanja stranih vrsta, ponovnog uvođenja i repopulacije divljih vrsta na prirodu, stručne poslove u vezi s prekograničnim prometom i trgovinom divljim vrstama, pripremanje i provođenje projekata i programa u području zaštite prirode, sudjelovanje u provođenju međunarodnih ugovora o zaštiti prirode kojih je Republika Hrvatska stranka i sudjelovanje u pripremi izvješća, sudjelovanje u radu međunarodnih stručnih i ostalih tijela vezanih uz zaštitu prirode, organiziranje i provođenje edukacije djelatnika u zaštiti prirode te odgojno-obrazovnih i promidžbenih aktivnosti u zaštiti prirode, davanje stručnih mišljenja na traženje Ministarstva zaštite okoliša i prirode i drugih upravnih tijela te javnih ustanova s područja zaštite prirode.</w:t>
      </w:r>
    </w:p>
    <w:p w:rsidR="00D849AA" w:rsidRDefault="00EE6D95">
      <w:pPr>
        <w:pStyle w:val="Naslov6"/>
      </w:pPr>
      <w:r>
        <w:t>Zakonske i druge pravne osnove</w:t>
      </w:r>
    </w:p>
    <w:p w:rsidR="00D849AA" w:rsidRDefault="00EE6D95">
      <w:pPr>
        <w:pStyle w:val="Normal5"/>
      </w:pPr>
      <w:r>
        <w:t xml:space="preserve">1. Zakon o zaštiti prirode (Narodne novine, broj 80/2013); </w:t>
      </w:r>
    </w:p>
    <w:p w:rsidR="00D849AA" w:rsidRDefault="00EE6D95">
      <w:pPr>
        <w:pStyle w:val="Normal5"/>
      </w:pPr>
      <w:r>
        <w:t xml:space="preserve">2. Zakon o prekograničnom prometu i trgovini divljim vrstama (Narodne novine, broj 94/2103); </w:t>
      </w:r>
    </w:p>
    <w:p w:rsidR="00D849AA" w:rsidRDefault="00EE6D95">
      <w:pPr>
        <w:pStyle w:val="Normal5"/>
      </w:pPr>
      <w:r>
        <w:t xml:space="preserve">3. Zakon o genetski modificiranim organizmima (Narodne novine, broj 70/2005, 137/2009, 28/2013); </w:t>
      </w:r>
    </w:p>
    <w:p w:rsidR="00D849AA" w:rsidRDefault="00EE6D95">
      <w:pPr>
        <w:pStyle w:val="Normal5"/>
      </w:pPr>
      <w:r>
        <w:t xml:space="preserve">4. Uredba o ekološkoj mreži (Narodne novine, broj 124/2103); </w:t>
      </w:r>
    </w:p>
    <w:p w:rsidR="00D849AA" w:rsidRDefault="00EE6D95">
      <w:pPr>
        <w:pStyle w:val="Normal5"/>
      </w:pPr>
      <w:r>
        <w:t xml:space="preserve">5. Strategija i akcijski plan zaštite biološke i krajobrazne raznolikosti Republike Hrvatske (Narodne novine, broj 143/08.); </w:t>
      </w:r>
    </w:p>
    <w:p w:rsidR="00D849AA" w:rsidRDefault="00EE6D95">
      <w:pPr>
        <w:pStyle w:val="Normal5"/>
      </w:pPr>
      <w:r>
        <w:t>6. Nacionalni strateški referentni okvir.</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Cilj 1. Osigurano povoljno stanje očuvanosti vrsta i staništa</w:t>
      </w:r>
    </w:p>
    <w:p w:rsidR="00D849AA" w:rsidRDefault="00EE6D95">
      <w:pPr>
        <w:pStyle w:val="Normal6"/>
      </w:pPr>
      <w:r>
        <w:t>Kako bi očuvali i dugoročno osigurali opstanak divljih svojti i staništa u povoljnom stanju, a time ispunili i obveze Republike Hrvatske koji proizlazi iz zakonodavstva Europske unije, u predstojećem razdoblju unaprijedit će se upravljanje područjima ekološke mreže, zaštićenim područjima i divljih svojtama. Inventarizacijom svojta i staništa važnih za zonaciju mreže NATURA 2000 (N2000), te uspostavom (mehanizama) održivog i smislenog upravljanja osigurat će se postojanost mreže N2000, što će pridonijeti očuvanju rijetkih i ugroženih svojta i staništa na europskoj razini. Primjena i poštivanje mjera zaštite omogućiti će očuvanje svojti, staništa i krajobraznih vrijednosti, ali i daljnji razvoj gospodarstva. Proglašenje novih zaštićenih područja, daljnje jačanje suradnje s relevantnim tijelima i institucijama na međunarodnoj razini (UNESCO, IUCN, itd.), provedba međunarodnih ugovora, sporazuma, protokola i mnogobrojnih projekata doprinijet će ostvarenju ovog posebnog cilja.</w:t>
      </w:r>
    </w:p>
    <w:p w:rsidR="001A0148" w:rsidRDefault="001A0148">
      <w:pPr>
        <w:pStyle w:val="Normal6"/>
      </w:pPr>
    </w:p>
    <w:p w:rsidR="001A0148" w:rsidRDefault="001A0148">
      <w:pPr>
        <w:pStyle w:val="Normal6"/>
      </w:pPr>
    </w:p>
    <w:p w:rsidR="001A0148" w:rsidRDefault="001A0148">
      <w:pPr>
        <w:pStyle w:val="Normal6"/>
      </w:pPr>
    </w:p>
    <w:p w:rsidR="00D849AA" w:rsidRDefault="00EE6D95">
      <w:pPr>
        <w:pStyle w:val="Naslov8"/>
        <w:jc w:val="left"/>
      </w:pPr>
      <w:r>
        <w:lastRenderedPageBreak/>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Postotak vrsta i staništa u povoljnom stanju očuvanosti</w:t>
            </w:r>
          </w:p>
        </w:tc>
        <w:tc>
          <w:tcPr>
            <w:tcW w:w="1114" w:type="dxa"/>
          </w:tcPr>
          <w:p w:rsidR="00D849AA" w:rsidRDefault="00EE6D95">
            <w:r>
              <w:t>%</w:t>
            </w:r>
          </w:p>
        </w:tc>
        <w:tc>
          <w:tcPr>
            <w:tcW w:w="1114" w:type="dxa"/>
          </w:tcPr>
          <w:p w:rsidR="00D849AA" w:rsidRDefault="00EE6D95">
            <w:r>
              <w:t>30</w:t>
            </w:r>
          </w:p>
        </w:tc>
        <w:tc>
          <w:tcPr>
            <w:tcW w:w="1486" w:type="dxa"/>
          </w:tcPr>
          <w:p w:rsidR="00D849AA" w:rsidRDefault="00EE6D95">
            <w:r>
              <w:t>31</w:t>
            </w:r>
          </w:p>
        </w:tc>
        <w:tc>
          <w:tcPr>
            <w:tcW w:w="1486" w:type="dxa"/>
          </w:tcPr>
          <w:p w:rsidR="00D849AA" w:rsidRDefault="00EE6D95">
            <w:r>
              <w:t>33</w:t>
            </w:r>
          </w:p>
        </w:tc>
        <w:tc>
          <w:tcPr>
            <w:tcW w:w="1486" w:type="dxa"/>
          </w:tcPr>
          <w:p w:rsidR="00D849AA" w:rsidRDefault="00EE6D95">
            <w:r>
              <w:t>35</w:t>
            </w:r>
          </w:p>
        </w:tc>
      </w:tr>
    </w:tbl>
    <w:p w:rsidR="00D849AA" w:rsidRDefault="00D849AA">
      <w:pPr>
        <w:jc w:val="left"/>
      </w:pPr>
    </w:p>
    <w:p w:rsidR="00D849AA" w:rsidRDefault="00EE6D95">
      <w:pPr>
        <w:pStyle w:val="Naslov7"/>
      </w:pPr>
      <w:r>
        <w:t>Cilj 2. Ojačan sustav upravljanja u zaštiti prirode</w:t>
      </w:r>
    </w:p>
    <w:p w:rsidR="00D849AA" w:rsidRDefault="00EE6D95">
      <w:pPr>
        <w:pStyle w:val="Normal6"/>
      </w:pPr>
      <w:r>
        <w:t>Tijekom predstojećeg razdoblja uspostavom jedinstvenog informacijskog sustava zaštite prirode osigurat će se unificiranost pohrane i ažuriranja prikupljenih podataka o biološkoj i krajobraznoj raznolikosti te jednostavan i brz prijenos podataka i informacija do krajnjeg korisnika. Kako bi se podigla svijest o značaju i potrebi očuvanja prirode povećat će se aktivnosti koje se odnose na edukaciju i uključivanje javnosti i zainteresirane javnosti. Tematski seminari i radionice doprinijet će edukaciji i stručnom usavršavanju upravnih i stručnih tijela što će pridonijeti i decentralizaciji poslova zaštite prirode.</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Postotak baza podataka povezanih u jedinstveni informacijski sustav zaštite prirode</w:t>
            </w:r>
          </w:p>
        </w:tc>
        <w:tc>
          <w:tcPr>
            <w:tcW w:w="1114" w:type="dxa"/>
          </w:tcPr>
          <w:p w:rsidR="00D849AA" w:rsidRDefault="00EE6D95">
            <w:r>
              <w:t>%</w:t>
            </w:r>
          </w:p>
        </w:tc>
        <w:tc>
          <w:tcPr>
            <w:tcW w:w="1114" w:type="dxa"/>
          </w:tcPr>
          <w:p w:rsidR="00D849AA" w:rsidRDefault="00EE6D95">
            <w:r>
              <w:t>50</w:t>
            </w:r>
          </w:p>
        </w:tc>
        <w:tc>
          <w:tcPr>
            <w:tcW w:w="1486" w:type="dxa"/>
          </w:tcPr>
          <w:p w:rsidR="00D849AA" w:rsidRDefault="00EE6D95">
            <w:r>
              <w:t>70</w:t>
            </w:r>
          </w:p>
        </w:tc>
        <w:tc>
          <w:tcPr>
            <w:tcW w:w="1486" w:type="dxa"/>
          </w:tcPr>
          <w:p w:rsidR="00D849AA" w:rsidRDefault="00EE6D95">
            <w:r>
              <w:t>70</w:t>
            </w:r>
          </w:p>
        </w:tc>
        <w:tc>
          <w:tcPr>
            <w:tcW w:w="1486" w:type="dxa"/>
          </w:tcPr>
          <w:p w:rsidR="00D849AA" w:rsidRDefault="00EE6D95">
            <w:r>
              <w:t>100</w:t>
            </w:r>
          </w:p>
        </w:tc>
      </w:tr>
    </w:tbl>
    <w:p w:rsidR="00D849AA" w:rsidRDefault="00D849AA">
      <w:pPr>
        <w:jc w:val="left"/>
      </w:pPr>
    </w:p>
    <w:p w:rsidR="00D849AA" w:rsidRDefault="00EE6D95">
      <w:pPr>
        <w:pStyle w:val="Naslov5"/>
      </w:pPr>
      <w:r>
        <w:t>Procjena i ishodište potrebnih sredstava za značajnije aktivnosti/projekte</w:t>
      </w:r>
    </w:p>
    <w:p w:rsidR="00D849AA" w:rsidRDefault="00EE6D95">
      <w:pPr>
        <w:pStyle w:val="Naslov6"/>
      </w:pPr>
      <w:r>
        <w:t>A779025 IPA 2008 USPOSTAVLJANJE BAZE PODATAKA STANIŠNIH TIPOVA (CRO HABITATS)</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A779025</w:t>
            </w:r>
          </w:p>
        </w:tc>
        <w:tc>
          <w:tcPr>
            <w:tcW w:w="1486" w:type="dxa"/>
          </w:tcPr>
          <w:p w:rsidR="00D849AA" w:rsidRDefault="00EE6D95">
            <w:r>
              <w:t>00</w:t>
            </w:r>
          </w:p>
        </w:tc>
        <w:tc>
          <w:tcPr>
            <w:tcW w:w="1486" w:type="dxa"/>
          </w:tcPr>
          <w:p w:rsidR="00D849AA" w:rsidRDefault="00EE6D95">
            <w:r>
              <w:t>493.680</w:t>
            </w:r>
          </w:p>
        </w:tc>
        <w:tc>
          <w:tcPr>
            <w:tcW w:w="1486" w:type="dxa"/>
          </w:tcPr>
          <w:p w:rsidR="00D849AA" w:rsidRDefault="00EE6D95">
            <w:r>
              <w:t>00</w:t>
            </w:r>
          </w:p>
        </w:tc>
        <w:tc>
          <w:tcPr>
            <w:tcW w:w="1486" w:type="dxa"/>
          </w:tcPr>
          <w:p w:rsidR="00D849AA" w:rsidRDefault="00EE6D95">
            <w:r>
              <w:t>00</w:t>
            </w:r>
          </w:p>
        </w:tc>
        <w:tc>
          <w:tcPr>
            <w:tcW w:w="1486" w:type="dxa"/>
          </w:tcPr>
          <w:p w:rsidR="00D849AA" w:rsidRDefault="00EE6D95">
            <w:r>
              <w:t>0,0</w:t>
            </w:r>
          </w:p>
        </w:tc>
      </w:tr>
    </w:tbl>
    <w:p w:rsidR="00D849AA" w:rsidRDefault="00D849AA">
      <w:pPr>
        <w:jc w:val="left"/>
      </w:pPr>
    </w:p>
    <w:p w:rsidR="00D849AA" w:rsidRDefault="00EE6D95">
      <w:pPr>
        <w:pStyle w:val="Normal6"/>
      </w:pPr>
      <w:r>
        <w:t xml:space="preserve">Projekt pridonosi provedbi Direktive o staništima i Direktive o pticama kroz razvoj informacijskog sustava predviđenog da osigura učinkovitu provedbu programa NATURA 2000 u Hrvatskoj. Kroz projekt će se izraditi i uspostaviti baza podataka stanišnih tipova (CroHabitats) kao jedna od ključnih komponenti Nacionalnog informacijskog sustava zaštite prirode (NISZP). Nadalje, CroHabitats baza integrirati će se u NISZP, uspostaviti će se standardizirana metodologija prikupljanja i obrade podataka, educirati sve razine korisnika, razviti web servisi za razmjenu podataka kako unutar NISZP-a i sektora zaštite prirode tako i sa drugim sektorima, omogućiti će se objava i servisiranje podataka široj </w:t>
      </w:r>
      <w:r>
        <w:lastRenderedPageBreak/>
        <w:t>javnosti. Baza će biti ključno mjesto pohrane, uređivanja i pregledavanja podataka svih tipova karata staništa i vezanih tematskih podloga.</w:t>
      </w:r>
    </w:p>
    <w:p w:rsidR="00D849AA" w:rsidRDefault="00EE6D95">
      <w:pPr>
        <w:pStyle w:val="Naslov6"/>
      </w:pPr>
      <w:r>
        <w:t>A779033 PROGRAM ZAŠTITE PRIRODE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A779033</w:t>
            </w:r>
          </w:p>
        </w:tc>
        <w:tc>
          <w:tcPr>
            <w:tcW w:w="1486" w:type="dxa"/>
          </w:tcPr>
          <w:p w:rsidR="00D849AA" w:rsidRDefault="00EE6D95">
            <w:r>
              <w:t>00</w:t>
            </w:r>
          </w:p>
        </w:tc>
        <w:tc>
          <w:tcPr>
            <w:tcW w:w="1486" w:type="dxa"/>
          </w:tcPr>
          <w:p w:rsidR="00D849AA" w:rsidRDefault="00EE6D95">
            <w:r>
              <w:t>671.500</w:t>
            </w:r>
          </w:p>
        </w:tc>
        <w:tc>
          <w:tcPr>
            <w:tcW w:w="1486" w:type="dxa"/>
          </w:tcPr>
          <w:p w:rsidR="00D849AA" w:rsidRDefault="00EE6D95">
            <w:r>
              <w:t>671.500</w:t>
            </w:r>
          </w:p>
        </w:tc>
        <w:tc>
          <w:tcPr>
            <w:tcW w:w="1486" w:type="dxa"/>
          </w:tcPr>
          <w:p w:rsidR="00D849AA" w:rsidRDefault="00EE6D95">
            <w:r>
              <w:t>571.152</w:t>
            </w:r>
          </w:p>
        </w:tc>
        <w:tc>
          <w:tcPr>
            <w:tcW w:w="1486" w:type="dxa"/>
          </w:tcPr>
          <w:p w:rsidR="00D849AA" w:rsidRDefault="00EE6D95">
            <w:r>
              <w:t>0,0</w:t>
            </w:r>
          </w:p>
        </w:tc>
      </w:tr>
    </w:tbl>
    <w:p w:rsidR="00D849AA" w:rsidRDefault="00D849AA">
      <w:pPr>
        <w:jc w:val="left"/>
      </w:pPr>
    </w:p>
    <w:p w:rsidR="00D849AA" w:rsidRDefault="00EE6D95">
      <w:pPr>
        <w:pStyle w:val="Normal6"/>
      </w:pPr>
      <w:r>
        <w:t>Obzirom da je u srpnju 2013. godine Republika Hrvatska postala članicom Europske unije,  prioriteti u 2014. godini su ispunjavanje obveza sukladno direktivama Europske unije: Direktiva o staništima (92/43/EEZ) i Direktiva o pticama (2009/147/EZ). Poseban naglasak je na provedbi programa Natura 2000, odnosno praćenju stanja očuvanosti vrsta i staništa te razvoju Informacijskog sustava zaštite prirode (ISZP). Za adekvatnu provedbu EU direktiva, posebno programa NATURA 2000, provodit će se monitoring vrsta s dodataka Direktiva, uključujući razvoj monitoring protokola za nove vrste i njihovo testiranje. Također će se nastaviti s provedbom Sustava dojavljivanja o ozlijeđenim i ugroženim morskim životinjama, zahvaljujući kojem se prati slučajna smrtnost strogo zaštićenih morskih vrsta. Nastavit će se i s provedbom ugovorenih projekata revizije crvenog popisa flore i izrade zelene knjige vinove loze. Radit će se i na izradi planova upravljanja za dvije nove vrste te na procjeni rizika invazivnosti i provedbi mjera suzbijanja širenja jedne invazivne vrste. Zavod će također nastaviti davati stručnu podršku javnim ustanovama za upravljanje zaštićenim područjima kroz organizaciju 8. Skupa stručnih službi te edukaciju koja se provodi uz potporu iz projekta NIP. Značajna je i međunarodna aktivnost u 2014. Predstavnici Zavoda članovi su 17 radnih tijela i stručnih skupina u okviru konvencija i sporazuma čija je Republika Hrvatska stranka te ostalih međunarodnih organizacija. Ulaskom RH u Europsku uniju povećao se i broj stručnih radnih tijela Europske komisije u čijem radu se traži aktivno sudjelovanje RH. U 2014. godini se održavaju sastanci stručnih tijela, sastanci stranaka pojedinih međunarodnih sporazuma te biogeografski seminari za Republiku Hrvatsku.</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Povećanje broja vrsta i staništa s izrađenim protokolom za praćenje stanja (monitoring)</w:t>
            </w:r>
          </w:p>
        </w:tc>
        <w:tc>
          <w:tcPr>
            <w:tcW w:w="1114" w:type="dxa"/>
          </w:tcPr>
          <w:p w:rsidR="00D849AA" w:rsidRDefault="00EE6D95">
            <w:r>
              <w:t>broj</w:t>
            </w:r>
          </w:p>
        </w:tc>
        <w:tc>
          <w:tcPr>
            <w:tcW w:w="1114" w:type="dxa"/>
          </w:tcPr>
          <w:p w:rsidR="00D849AA" w:rsidRDefault="00EE6D95">
            <w:r>
              <w:t>50</w:t>
            </w:r>
          </w:p>
        </w:tc>
        <w:tc>
          <w:tcPr>
            <w:tcW w:w="1486" w:type="dxa"/>
          </w:tcPr>
          <w:p w:rsidR="00D849AA" w:rsidRDefault="00EE6D95">
            <w:r>
              <w:t>55</w:t>
            </w:r>
          </w:p>
        </w:tc>
        <w:tc>
          <w:tcPr>
            <w:tcW w:w="1486" w:type="dxa"/>
          </w:tcPr>
          <w:p w:rsidR="00D849AA" w:rsidRDefault="00EE6D95">
            <w:r>
              <w:t>60</w:t>
            </w:r>
          </w:p>
        </w:tc>
        <w:tc>
          <w:tcPr>
            <w:tcW w:w="1486" w:type="dxa"/>
          </w:tcPr>
          <w:p w:rsidR="00D849AA" w:rsidRDefault="00EE6D95">
            <w:r>
              <w:t>65</w:t>
            </w:r>
          </w:p>
        </w:tc>
      </w:tr>
    </w:tbl>
    <w:p w:rsidR="00D849AA" w:rsidRDefault="00D849AA">
      <w:pPr>
        <w:jc w:val="left"/>
      </w:pPr>
    </w:p>
    <w:p w:rsidR="00D849AA" w:rsidRDefault="00EE6D95">
      <w:pPr>
        <w:pStyle w:val="Naslov6"/>
      </w:pPr>
      <w:r>
        <w:t>K779034 OPERATIVNI PROGRAM OKOLIŠ, PRIORITET 3</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K779034</w:t>
            </w:r>
          </w:p>
        </w:tc>
        <w:tc>
          <w:tcPr>
            <w:tcW w:w="1486" w:type="dxa"/>
          </w:tcPr>
          <w:p w:rsidR="00D849AA" w:rsidRDefault="00EE6D95">
            <w:r>
              <w:t>00</w:t>
            </w:r>
          </w:p>
        </w:tc>
        <w:tc>
          <w:tcPr>
            <w:tcW w:w="1486" w:type="dxa"/>
          </w:tcPr>
          <w:p w:rsidR="00D849AA" w:rsidRDefault="00EE6D95">
            <w:r>
              <w:t>761.000</w:t>
            </w:r>
          </w:p>
        </w:tc>
        <w:tc>
          <w:tcPr>
            <w:tcW w:w="1486" w:type="dxa"/>
          </w:tcPr>
          <w:p w:rsidR="00D849AA" w:rsidRDefault="00EE6D95">
            <w:r>
              <w:t>761.000</w:t>
            </w:r>
          </w:p>
        </w:tc>
        <w:tc>
          <w:tcPr>
            <w:tcW w:w="1486" w:type="dxa"/>
          </w:tcPr>
          <w:p w:rsidR="00D849AA" w:rsidRDefault="00EE6D95">
            <w:r>
              <w:t>00</w:t>
            </w:r>
          </w:p>
        </w:tc>
        <w:tc>
          <w:tcPr>
            <w:tcW w:w="1486" w:type="dxa"/>
          </w:tcPr>
          <w:p w:rsidR="00D849AA" w:rsidRDefault="00EE6D95">
            <w:r>
              <w:t>0,0</w:t>
            </w:r>
          </w:p>
        </w:tc>
      </w:tr>
    </w:tbl>
    <w:p w:rsidR="00D849AA" w:rsidRDefault="00D849AA">
      <w:pPr>
        <w:jc w:val="left"/>
      </w:pPr>
    </w:p>
    <w:p w:rsidR="00D849AA" w:rsidRDefault="00EE6D95">
      <w:pPr>
        <w:pStyle w:val="Normal6"/>
      </w:pPr>
      <w:r>
        <w:lastRenderedPageBreak/>
        <w:t xml:space="preserve">Kroz ovu aktivnost pružit će se tehnička pomoć Državnom zavodu za zaštitu prirode (DZZP) za pripremu projektne dokumentacije  za projekte uspostave i provedbe monitoringa u skladu s obvezama iz Direktive o pticama i Direktive o staništima, izrade okvira za upravljanje ekološkom mrežom Natura 2000 i kartiranja morskih staništa na području Jadranskog mora pod jurisdikcijom Republike Hrvatske. Ovi projekti planirani su nacrtom Operativnog programa 2014.-2020. Na ovaj će se način omogućiti ispunjavanje obveza europskog zakonodavstva iz područja zaštite prirode: </w:t>
      </w:r>
    </w:p>
    <w:p w:rsidR="00D849AA" w:rsidRDefault="00EE6D95">
      <w:pPr>
        <w:pStyle w:val="Normal6"/>
      </w:pPr>
      <w:r>
        <w:t xml:space="preserve">1. praćenja i izvještavanja prema čl. 17. Direktive o staništima i čl. 12. Direktive o pticama, koje Republika Hrvatska mora 2019. godine podnijeti za razdoblje 2013. – 2018.; </w:t>
      </w:r>
    </w:p>
    <w:p w:rsidR="00D849AA" w:rsidRDefault="00EE6D95">
      <w:pPr>
        <w:pStyle w:val="Normal6"/>
      </w:pPr>
      <w:r>
        <w:t xml:space="preserve">2. provedbe mjera očuvanja vrsta i staništa u Natura 2000 područjima sukladno čl. 6 Direktive o staništima. U svrhu uspješne provedbe ovih mjera, Europska komisija  potiče izradu planova upravljana  Natura 2000 područjima, kao i izradu sektorskih planova gospodarenja usklađenih s potrebama očuvanja prirode u Natura 2000 područjima; </w:t>
      </w:r>
    </w:p>
    <w:p w:rsidR="00D849AA" w:rsidRDefault="00EE6D95">
      <w:pPr>
        <w:pStyle w:val="Normal6"/>
      </w:pPr>
      <w:r>
        <w:t xml:space="preserve">3. provedba dodatnih istraživanja i kartiranja morskih staništa i vrsta te  potencijalna dopuna prijedloga Natura 2000 područja u moru u skladu s obvezama  članka 17. Direktive o staništima i odredbama Okvirne direktive o morskoj strategiji (MSFD). Nastavak kartiranja i inventarizacije morskih vrsta na cijelom području pod nadležnošću Republike Hrvatske, olakšat će uspostavu i provođenje mjera očuvanja i provedbu EU propisa iz ostalih sektora, kao što je primjerice ribarstvo, u dijelu koji je vezan uz očuvanje prirode.  </w:t>
      </w:r>
    </w:p>
    <w:p w:rsidR="00D849AA" w:rsidRDefault="00EE6D95">
      <w:pPr>
        <w:pStyle w:val="Normal6"/>
      </w:pPr>
      <w:r>
        <w:t>Projekt se nadovezuje na tehničku pomoć koja je DZZP-u pružena tijekom pretpristupnog razdoblja.</w:t>
      </w:r>
    </w:p>
    <w:p w:rsidR="00D849AA" w:rsidRDefault="00EE6D95">
      <w:pPr>
        <w:pStyle w:val="Naslov6"/>
      </w:pPr>
      <w:r>
        <w:t>K779035 IPA II 2007  – PREPORUKE ZA INTEGRIRANO I ODRŽIVO  UPRAVLJANJE U SVRHU OČUVANJA VODENIH RESURSA I STANIŠTA SLIVA GORNJEG TOKA RIJEKE KUPE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K779035</w:t>
            </w:r>
          </w:p>
        </w:tc>
        <w:tc>
          <w:tcPr>
            <w:tcW w:w="1486" w:type="dxa"/>
          </w:tcPr>
          <w:p w:rsidR="00D849AA" w:rsidRDefault="00EE6D95">
            <w:r>
              <w:t>00</w:t>
            </w:r>
          </w:p>
        </w:tc>
        <w:tc>
          <w:tcPr>
            <w:tcW w:w="1486" w:type="dxa"/>
          </w:tcPr>
          <w:p w:rsidR="00D849AA" w:rsidRDefault="00EE6D95">
            <w:r>
              <w:t>4.093.985</w:t>
            </w:r>
          </w:p>
        </w:tc>
        <w:tc>
          <w:tcPr>
            <w:tcW w:w="1486" w:type="dxa"/>
          </w:tcPr>
          <w:p w:rsidR="00D849AA" w:rsidRDefault="00EE6D95">
            <w:r>
              <w:t>4.076.544</w:t>
            </w:r>
          </w:p>
        </w:tc>
        <w:tc>
          <w:tcPr>
            <w:tcW w:w="1486" w:type="dxa"/>
          </w:tcPr>
          <w:p w:rsidR="00D849AA" w:rsidRDefault="00EE6D95">
            <w:r>
              <w:t>00</w:t>
            </w:r>
          </w:p>
        </w:tc>
        <w:tc>
          <w:tcPr>
            <w:tcW w:w="1486" w:type="dxa"/>
          </w:tcPr>
          <w:p w:rsidR="00D849AA" w:rsidRDefault="00EE6D95">
            <w:r>
              <w:t>0,0</w:t>
            </w:r>
          </w:p>
        </w:tc>
      </w:tr>
    </w:tbl>
    <w:p w:rsidR="00D849AA" w:rsidRDefault="00D849AA">
      <w:pPr>
        <w:jc w:val="left"/>
      </w:pPr>
    </w:p>
    <w:p w:rsidR="00D849AA" w:rsidRDefault="00EE6D95">
      <w:pPr>
        <w:pStyle w:val="Normal6"/>
      </w:pPr>
      <w:r>
        <w:t>Glavni cilj projekta je razvijanje prekogranične suradnje u upravljanju gornjim dijelom sliva rijeke Kupe te stvaranje zajedničkih upravljačkih akcija uz aktivno sudjelovanje svih korisnika prostora te lokalnih regionalnih i državnih institucija. Ključne aktivnosti projekta su: uspostava zajedničkih i integralnih smjernica zaštite gornjeg sliva rijeke Kupe izradom i korištenjem zajedničkih metoda ocjene stanja očuvanosti i procjene ugroženosti stanja podzemnih voda i staništa, nadzemnih vodotoka i izvora u krškom području. Aktivnosti uključuju i uspostavu zajedničke metodologije praćenja odabranih indikatorskih skupina/vrsta flore i faune (Proteus anguinus, Triturus carnifex, Bombina variegata, Chiroptera, Odonata, podzemna fauna iz rodova rodova Monolistra, Asellus i Niphargus Troglocaris, Marifugia, Leptodirus hochenwartii; skupine Copepoda i Ostracoda i Carabus variolosus). Kroz primjenu multidisciplinarnog i ekosustavskog pristupa identificiraju se specifične potrebe očuvanja sliva gornjeg toka rijeke Kupe vezane uz geomorfološke, hidrogeološke i prirodne vrijednosti u svrhu osiguravanja održivog korištenja prirodnih resursa, posebice u odnosu na korištenje voda te ublažavanje antropoloških pritisaka. Ovakav sinergijski pristup omogućuje osiguravanje očuvanja cjelovitosti vodenih ekosustava, krajobraza i geomorfologije te izvora pitke vode.</w:t>
      </w:r>
    </w:p>
    <w:p w:rsidR="00D849AA" w:rsidRDefault="00EE6D95">
      <w:pPr>
        <w:pStyle w:val="Naslov6"/>
      </w:pPr>
      <w:r>
        <w:lastRenderedPageBreak/>
        <w:t>T779027 MREŽA ZA ZAŠTITU KITOVA I MORSKIH KORNJAČA U JADRANU -IPA ADRIATIC NETCET</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T779027</w:t>
            </w:r>
          </w:p>
        </w:tc>
        <w:tc>
          <w:tcPr>
            <w:tcW w:w="1486" w:type="dxa"/>
          </w:tcPr>
          <w:p w:rsidR="00D849AA" w:rsidRDefault="00EE6D95">
            <w:r>
              <w:t>920.639</w:t>
            </w:r>
          </w:p>
        </w:tc>
        <w:tc>
          <w:tcPr>
            <w:tcW w:w="1486" w:type="dxa"/>
          </w:tcPr>
          <w:p w:rsidR="00D849AA" w:rsidRDefault="00EE6D95">
            <w:r>
              <w:t>208.000</w:t>
            </w:r>
          </w:p>
        </w:tc>
        <w:tc>
          <w:tcPr>
            <w:tcW w:w="1486" w:type="dxa"/>
          </w:tcPr>
          <w:p w:rsidR="00D849AA" w:rsidRDefault="00EE6D95">
            <w:r>
              <w:t>161.109</w:t>
            </w:r>
          </w:p>
        </w:tc>
        <w:tc>
          <w:tcPr>
            <w:tcW w:w="1486" w:type="dxa"/>
          </w:tcPr>
          <w:p w:rsidR="00D849AA" w:rsidRDefault="00EE6D95">
            <w:r>
              <w:t>00</w:t>
            </w:r>
          </w:p>
        </w:tc>
        <w:tc>
          <w:tcPr>
            <w:tcW w:w="1486" w:type="dxa"/>
          </w:tcPr>
          <w:p w:rsidR="00D849AA" w:rsidRDefault="00EE6D95">
            <w:r>
              <w:t>22,6</w:t>
            </w:r>
          </w:p>
        </w:tc>
      </w:tr>
    </w:tbl>
    <w:p w:rsidR="00D849AA" w:rsidRDefault="00D849AA">
      <w:pPr>
        <w:jc w:val="left"/>
      </w:pPr>
    </w:p>
    <w:p w:rsidR="00D849AA" w:rsidRDefault="00EE6D95">
      <w:pPr>
        <w:pStyle w:val="Normal6"/>
      </w:pPr>
      <w:r>
        <w:t>Glavni cilj projekta je izraditi zajedničke, jadranske strategije očuvanja kitova i morskih kornjača u Jadranu kroz regionalnu suradnju. Sve su ove vrste strogo zaštićene te se nalaze i na dodacima EU Direktive o staništima te je njihovo očuvanje obveza Republike Hrvatske. S obzirom da su vrlo migratorne i nalazimo ih u čitavom Jadranu, jedini način planiranja učinkovite, dugoročne strategije njihove zaštite, jest putem prekogranične suradnje i podijele odgovornosti među zemljama na Jadranu. Na projektu sudjeluje 5 jadranskih zemalja, a glavne aktivnosti uključuju izradu zajedničkih strategija i pripremu nacionalnih akcijskih planova. Osnova za njihovu izradu biti će podaci prikupljeni kroz praćenje iz zraka i druga specifična istraživanja usmjerena na unaprjeđenje dosadašnjeg vrlo oskudnog znanja o populacijama kitova i morskih kornjača u Jadranu i poboljšati razumijevanje glavnih antropogenih prijetnji. Nadalje. Također, uspostaviti će se i jačati jadranska mreža tj. sustav za dojavu, praćenje i zbrinjavanje usmrćenih, uhvaćenih, ozlijeđenih, bolesnih ili slabih morskih kornjača i kitova i to posebice kroz opremanje centara za prvu pomoć i poboljšanje infrastrukture postojećih i otvaranje novih rehabilitacijskih centara, razmjenu podatka, senzibilizaciju javnosti, edukaciju suradnika nacionalnog sustava za dojavu i praćenje uginulih ili ozlijeđenih morskih sisavaca i kornjača i uspostavu interventnog tima za postupanje u slučajevima nasukavanja ili masovnog ugibanja.</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1A0148" w:rsidRDefault="00EE6D95">
            <w:pPr>
              <w:rPr>
                <w:rFonts w:ascii="Arial" w:hAnsi="Arial" w:cs="Arial"/>
              </w:rPr>
            </w:pPr>
            <w:r w:rsidRPr="001A0148">
              <w:rPr>
                <w:rFonts w:ascii="Arial" w:hAnsi="Arial" w:cs="Arial"/>
              </w:rPr>
              <w:t>Pokazatelj rezultata</w:t>
            </w:r>
          </w:p>
        </w:tc>
        <w:tc>
          <w:tcPr>
            <w:tcW w:w="1114" w:type="dxa"/>
            <w:shd w:val="clear" w:color="auto" w:fill="B5C0D8"/>
          </w:tcPr>
          <w:p w:rsidR="00D849AA" w:rsidRPr="001A0148" w:rsidRDefault="00EE6D95">
            <w:pPr>
              <w:pStyle w:val="CellHeader"/>
            </w:pPr>
            <w:r w:rsidRPr="001A0148">
              <w:t>Jedinica</w:t>
            </w:r>
          </w:p>
        </w:tc>
        <w:tc>
          <w:tcPr>
            <w:tcW w:w="1114" w:type="dxa"/>
            <w:shd w:val="clear" w:color="auto" w:fill="B5C0D8"/>
          </w:tcPr>
          <w:p w:rsidR="00D849AA" w:rsidRPr="001A0148" w:rsidRDefault="00EE6D95">
            <w:pPr>
              <w:pStyle w:val="CellHeader"/>
            </w:pPr>
            <w:r w:rsidRPr="001A0148">
              <w:t>Polazna vrijednost</w:t>
            </w:r>
          </w:p>
        </w:tc>
        <w:tc>
          <w:tcPr>
            <w:tcW w:w="1486" w:type="dxa"/>
            <w:shd w:val="clear" w:color="auto" w:fill="B5C0D8"/>
          </w:tcPr>
          <w:p w:rsidR="00D849AA" w:rsidRPr="001A0148" w:rsidRDefault="00EE6D95">
            <w:pPr>
              <w:pStyle w:val="CellHeader"/>
            </w:pPr>
            <w:r w:rsidRPr="001A0148">
              <w:t>Ciljana vrijednost (2014.)</w:t>
            </w:r>
          </w:p>
        </w:tc>
        <w:tc>
          <w:tcPr>
            <w:tcW w:w="1486" w:type="dxa"/>
            <w:shd w:val="clear" w:color="auto" w:fill="B5C0D8"/>
          </w:tcPr>
          <w:p w:rsidR="00D849AA" w:rsidRPr="001A0148" w:rsidRDefault="00EE6D95">
            <w:pPr>
              <w:pStyle w:val="CellHeader"/>
            </w:pPr>
            <w:r w:rsidRPr="001A0148">
              <w:t>Ciljana vrijednost (2015.)</w:t>
            </w:r>
          </w:p>
        </w:tc>
        <w:tc>
          <w:tcPr>
            <w:tcW w:w="1486" w:type="dxa"/>
            <w:shd w:val="clear" w:color="auto" w:fill="B5C0D8"/>
          </w:tcPr>
          <w:p w:rsidR="00D849AA" w:rsidRPr="001A0148" w:rsidRDefault="00EE6D95">
            <w:pPr>
              <w:pStyle w:val="CellHeader"/>
            </w:pPr>
            <w:r w:rsidRPr="001A0148">
              <w:t>Ciljana vrijednost (2016.)</w:t>
            </w:r>
          </w:p>
        </w:tc>
      </w:tr>
      <w:tr w:rsidR="00D849AA">
        <w:trPr>
          <w:jc w:val="center"/>
        </w:trPr>
        <w:tc>
          <w:tcPr>
            <w:tcW w:w="2229" w:type="dxa"/>
          </w:tcPr>
          <w:p w:rsidR="00D849AA" w:rsidRPr="001A0148" w:rsidRDefault="00EE6D95">
            <w:pPr>
              <w:pStyle w:val="CellColumn"/>
            </w:pPr>
            <w:r w:rsidRPr="001A0148">
              <w:t>Povećanje broja strogo zaštićenih vrsta za koje su izrađeni planovi upravljanja s akcijskim planovima</w:t>
            </w:r>
          </w:p>
        </w:tc>
        <w:tc>
          <w:tcPr>
            <w:tcW w:w="1114" w:type="dxa"/>
          </w:tcPr>
          <w:p w:rsidR="00D849AA" w:rsidRPr="001A0148" w:rsidRDefault="00EE6D95">
            <w:pPr>
              <w:rPr>
                <w:rFonts w:ascii="Arial" w:hAnsi="Arial" w:cs="Arial"/>
              </w:rPr>
            </w:pPr>
            <w:r w:rsidRPr="001A0148">
              <w:rPr>
                <w:rFonts w:ascii="Arial" w:hAnsi="Arial" w:cs="Arial"/>
              </w:rPr>
              <w:t>broj</w:t>
            </w:r>
          </w:p>
        </w:tc>
        <w:tc>
          <w:tcPr>
            <w:tcW w:w="1114" w:type="dxa"/>
          </w:tcPr>
          <w:p w:rsidR="00D849AA" w:rsidRPr="001A0148" w:rsidRDefault="00EE6D95">
            <w:pPr>
              <w:rPr>
                <w:rFonts w:ascii="Arial" w:hAnsi="Arial" w:cs="Arial"/>
              </w:rPr>
            </w:pPr>
            <w:r w:rsidRPr="001A0148">
              <w:rPr>
                <w:rFonts w:ascii="Arial" w:hAnsi="Arial" w:cs="Arial"/>
              </w:rPr>
              <w:t>7</w:t>
            </w:r>
          </w:p>
        </w:tc>
        <w:tc>
          <w:tcPr>
            <w:tcW w:w="1486" w:type="dxa"/>
          </w:tcPr>
          <w:p w:rsidR="00D849AA" w:rsidRPr="001A0148" w:rsidRDefault="00EE6D95">
            <w:pPr>
              <w:rPr>
                <w:rFonts w:ascii="Arial" w:hAnsi="Arial" w:cs="Arial"/>
              </w:rPr>
            </w:pPr>
            <w:r w:rsidRPr="001A0148">
              <w:rPr>
                <w:rFonts w:ascii="Arial" w:hAnsi="Arial" w:cs="Arial"/>
              </w:rPr>
              <w:t>9</w:t>
            </w:r>
          </w:p>
        </w:tc>
        <w:tc>
          <w:tcPr>
            <w:tcW w:w="1486" w:type="dxa"/>
          </w:tcPr>
          <w:p w:rsidR="00D849AA" w:rsidRPr="001A0148" w:rsidRDefault="00EE6D95">
            <w:pPr>
              <w:rPr>
                <w:rFonts w:ascii="Arial" w:hAnsi="Arial" w:cs="Arial"/>
              </w:rPr>
            </w:pPr>
            <w:r w:rsidRPr="001A0148">
              <w:rPr>
                <w:rFonts w:ascii="Arial" w:hAnsi="Arial" w:cs="Arial"/>
              </w:rPr>
              <w:t>11</w:t>
            </w:r>
          </w:p>
        </w:tc>
        <w:tc>
          <w:tcPr>
            <w:tcW w:w="1486" w:type="dxa"/>
          </w:tcPr>
          <w:p w:rsidR="00D849AA" w:rsidRPr="001A0148" w:rsidRDefault="00EE6D95">
            <w:pPr>
              <w:rPr>
                <w:rFonts w:ascii="Arial" w:hAnsi="Arial" w:cs="Arial"/>
              </w:rPr>
            </w:pPr>
            <w:r w:rsidRPr="001A0148">
              <w:rPr>
                <w:rFonts w:ascii="Arial" w:hAnsi="Arial" w:cs="Arial"/>
              </w:rPr>
              <w:t>13</w:t>
            </w:r>
          </w:p>
        </w:tc>
      </w:tr>
    </w:tbl>
    <w:p w:rsidR="00D849AA" w:rsidRDefault="00D849AA">
      <w:pPr>
        <w:jc w:val="left"/>
      </w:pPr>
    </w:p>
    <w:p w:rsidR="00D849AA" w:rsidRDefault="00EE6D95">
      <w:pPr>
        <w:pStyle w:val="Naslov6"/>
      </w:pPr>
      <w:r>
        <w:t>T779032 IPA II 2007 - ODRŽIVO CJELOVITO UPRAVLJANJE MEĐUNARODNIM RIJEČNIM KORIDORIMA U ZEMLJAMA JUGOISTOČNE  EUROPE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T779032</w:t>
            </w:r>
          </w:p>
        </w:tc>
        <w:tc>
          <w:tcPr>
            <w:tcW w:w="1486" w:type="dxa"/>
          </w:tcPr>
          <w:p w:rsidR="00D849AA" w:rsidRDefault="00EE6D95">
            <w:r>
              <w:t>00</w:t>
            </w:r>
          </w:p>
        </w:tc>
        <w:tc>
          <w:tcPr>
            <w:tcW w:w="1486" w:type="dxa"/>
          </w:tcPr>
          <w:p w:rsidR="00D849AA" w:rsidRDefault="00EE6D95">
            <w:r>
              <w:t>152.925</w:t>
            </w:r>
          </w:p>
        </w:tc>
        <w:tc>
          <w:tcPr>
            <w:tcW w:w="1486" w:type="dxa"/>
          </w:tcPr>
          <w:p w:rsidR="00D849AA" w:rsidRDefault="00EE6D95">
            <w:r>
              <w:t>00</w:t>
            </w:r>
          </w:p>
        </w:tc>
        <w:tc>
          <w:tcPr>
            <w:tcW w:w="1486" w:type="dxa"/>
          </w:tcPr>
          <w:p w:rsidR="00D849AA" w:rsidRDefault="00EE6D95">
            <w:r>
              <w:t>00</w:t>
            </w:r>
          </w:p>
        </w:tc>
        <w:tc>
          <w:tcPr>
            <w:tcW w:w="1486" w:type="dxa"/>
          </w:tcPr>
          <w:p w:rsidR="00D849AA" w:rsidRDefault="00EE6D95">
            <w:r>
              <w:t>0,0</w:t>
            </w:r>
          </w:p>
        </w:tc>
      </w:tr>
    </w:tbl>
    <w:p w:rsidR="00D849AA" w:rsidRDefault="00D849AA">
      <w:pPr>
        <w:jc w:val="left"/>
      </w:pPr>
    </w:p>
    <w:p w:rsidR="00D849AA" w:rsidRDefault="00EE6D95">
      <w:pPr>
        <w:pStyle w:val="Normal6"/>
      </w:pPr>
      <w:r>
        <w:t xml:space="preserve">Cilj projekta je omogućiti dionicima iz različitih sektora duž međunarodnih riječnih koridora stjecanje znanja o planiranju i provedbi procesa nužnih za usklađivanje sektorskih strategija, planova i programa s različitim europskim i nacionalnim ciljevima u svrhu ostvarivanja suglasnosti o cjelovitom upravljanju (međunarodnih) riječnih koridora, </w:t>
      </w:r>
      <w:r>
        <w:lastRenderedPageBreak/>
        <w:t>uzimajući u obzir potrebe za očuvanjem voda, prirode i okoliša te razvoja. Glavno pilot područje je rijeka Drava, a bii će obrađena i pilot područja na pet međunarodnih rijeka (Neretva – Hrvatska i Bosna i Hercegovina, Soča - Slovenija, Bodrog - Slovačka, Prut - Rumunjska i Vjosa – Albanija). Najvažnije aktivnosti projekta usmjerene su na izradu radne metodologije „Toolkit“ za integrirano upravljanje međunarodnim riječnim koridorima, primjenu razvijene metodologije na riječnom koridoru rijeke Drave te druge projektne međunarodne koridore.</w:t>
      </w:r>
    </w:p>
    <w:p w:rsidR="00D849AA" w:rsidRDefault="00EE6D95">
      <w:pPr>
        <w:pStyle w:val="Naslov6"/>
      </w:pPr>
      <w:r>
        <w:t>T779036 GEF PROJEKT PODRŠKA U PROVEDBI STRATEŠKOG PLANA CBD</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T779036</w:t>
            </w:r>
          </w:p>
        </w:tc>
        <w:tc>
          <w:tcPr>
            <w:tcW w:w="1486" w:type="dxa"/>
          </w:tcPr>
          <w:p w:rsidR="00D849AA" w:rsidRDefault="00EE6D95">
            <w:r>
              <w:t>00</w:t>
            </w:r>
          </w:p>
        </w:tc>
        <w:tc>
          <w:tcPr>
            <w:tcW w:w="1486" w:type="dxa"/>
          </w:tcPr>
          <w:p w:rsidR="00D849AA" w:rsidRDefault="00EE6D95">
            <w:r>
              <w:t>254.043</w:t>
            </w:r>
          </w:p>
        </w:tc>
        <w:tc>
          <w:tcPr>
            <w:tcW w:w="1486" w:type="dxa"/>
          </w:tcPr>
          <w:p w:rsidR="00D849AA" w:rsidRDefault="00EE6D95">
            <w:r>
              <w:t>00</w:t>
            </w:r>
          </w:p>
        </w:tc>
        <w:tc>
          <w:tcPr>
            <w:tcW w:w="1486" w:type="dxa"/>
          </w:tcPr>
          <w:p w:rsidR="00D849AA" w:rsidRDefault="00EE6D95">
            <w:r>
              <w:t>00</w:t>
            </w:r>
          </w:p>
        </w:tc>
        <w:tc>
          <w:tcPr>
            <w:tcW w:w="1486" w:type="dxa"/>
          </w:tcPr>
          <w:p w:rsidR="00D849AA" w:rsidRDefault="00EE6D95">
            <w:r>
              <w:t>0,0</w:t>
            </w:r>
          </w:p>
        </w:tc>
      </w:tr>
    </w:tbl>
    <w:p w:rsidR="00D849AA" w:rsidRDefault="00D849AA">
      <w:pPr>
        <w:jc w:val="left"/>
      </w:pPr>
    </w:p>
    <w:p w:rsidR="00D849AA" w:rsidRDefault="00EE6D95">
      <w:pPr>
        <w:pStyle w:val="Normal6"/>
      </w:pPr>
      <w:r>
        <w:t>Ciljevi dvogodišnjeg projekta "GEF UNDP NBP kao podrška provedbi Strateškog plana CBD 2011.-2020. u Hrvatskoj (GEF/CBD)" su ugraditi hrvatske obveze prema Konvenciji o biološkoj raznolikosti (CBD) u nacionalne okvire razvoja i sektorskog planiranja kroz participativno strateško “planiranje biološke raznolikosti” na način koji je u skladu s globalnim smjernicama za CBD Strateški plan 2011-2020. Projekt provode UNDP, MZOIP i DZZP. U okviru ovog projekta provodi se analiza i noveliranje podataka i informacija o biološkoj raznolikosti u Hrvatskoj. Ova analiza predstavljat će temelj za reviziju Strategije zaštite prirode. Revizija Strategije zaštite prirode, kao ključni rezultat ovog projekta, integrirat će nove pristupe Strateškog plana CBD-ja, uključujući i vrijednosti usluga ekosustava. U okviru projekta razvit će se i nacionalni okvir za provedbu Strategije zaštite prirode koji će, između ostaloga, uključivati strategiju za mobilizaciju resursa za provedbu Strategije zaštite prirode, koja uključuje i procjenu polaznih financijskih sredstava za bioraznolikost. Dodatno, u okviru projekta razradit će se i 5. nacionalno izvješće za CBD (obveza RH do 31. ožujka 2014., sukladno Konvenciji).</w:t>
      </w:r>
    </w:p>
    <w:p w:rsidR="00D849AA" w:rsidRDefault="00EE6D95">
      <w:pPr>
        <w:pStyle w:val="Naslov1"/>
      </w:pPr>
      <w:r>
        <w:lastRenderedPageBreak/>
        <w:t>080 MINISTARSTVO ZNANOSTI, OBRAZOVANJA I SPORTA</w:t>
      </w:r>
    </w:p>
    <w:p w:rsidR="00D849AA" w:rsidRDefault="00EE6D95">
      <w:pPr>
        <w:pStyle w:val="Naslov4"/>
      </w:pPr>
      <w:r>
        <w:t>Uvod</w:t>
      </w:r>
    </w:p>
    <w:p w:rsidR="00D849AA" w:rsidRDefault="00EE6D95">
      <w:pPr>
        <w:pStyle w:val="Normal3"/>
      </w:pPr>
      <w:r>
        <w:t xml:space="preserve">Osnovni ciljevi provođenja programa Ministarstva znanosti, obrazovanja i sporta su: </w:t>
      </w:r>
    </w:p>
    <w:p w:rsidR="00D849AA" w:rsidRDefault="00EE6D95">
      <w:pPr>
        <w:pStyle w:val="Normal3"/>
      </w:pPr>
      <w:r>
        <w:t xml:space="preserve">1.   Osiguranje i unapređenje kvalitete te povećanje dostupnosti, učinkovitosti i relevantnosti sustava odgoja i obrazovanja na svim razinama </w:t>
      </w:r>
    </w:p>
    <w:p w:rsidR="00D849AA" w:rsidRDefault="00EE6D95">
      <w:pPr>
        <w:pStyle w:val="Normal3"/>
      </w:pPr>
      <w:r>
        <w:t xml:space="preserve">Razvijanje učinkovite mreže odgojno-obrazovnih ustanova i kvalifikacija/programa/kurikuluma usmjerenih k razvoju ljudskih potencijala te usklađenih s potrebama društva i tržišta rada, razvijati sustav osiguranja kvalitete na svim razinama sustava odgoja i obrazovanja, unaprjeđenje strukovnog obrazovanja i obrazovanja odraslih, poticanje inkluzivnog obrazovanja,razvijanje učinkovitoga sustava studentskoga standarda s ciljem poboljšanja dostupnosti i inkluzivnog obrazovanja, unapređenje sustava kvalitete, upravljanja i financiranja visokog obrazovanja. </w:t>
      </w:r>
    </w:p>
    <w:p w:rsidR="00D849AA" w:rsidRDefault="00EE6D95">
      <w:pPr>
        <w:pStyle w:val="Normal3"/>
      </w:pPr>
      <w:r>
        <w:t xml:space="preserve">2.   Razvijanje znanosti kao pokretača dugoročnoga gospodarskoga i društvenoga razvoja </w:t>
      </w:r>
    </w:p>
    <w:p w:rsidR="00D849AA" w:rsidRDefault="00EE6D95">
      <w:pPr>
        <w:pStyle w:val="Normal3"/>
      </w:pPr>
      <w:r>
        <w:t xml:space="preserve">Poticanje jačeg povezivanja znanstvenog potencijala na javnim znanstvenim institutima i visokim učilištima s gospodarstvom i društvom u cjelini, uspostava sustava temeljenog na znanstvenoj izvrsnosti, stvaranje i jačanje ljudskih potencijala u znanosti i inovacijama, poticanje mobilnosti i međunarodne suradnje hrvatskih znanstvenika, poticanje poduzetništva zasnovanog na inovacijama i visokim tehnologijama, unapređenje sustava kvalitete, upravljanja i financiranja znanstvenih organizacija. </w:t>
      </w:r>
    </w:p>
    <w:p w:rsidR="00D849AA" w:rsidRDefault="00EE6D95">
      <w:pPr>
        <w:pStyle w:val="Normal3"/>
      </w:pPr>
      <w:r>
        <w:t xml:space="preserve">3.    Osiguranje kvalitete sustava  </w:t>
      </w:r>
    </w:p>
    <w:p w:rsidR="00D849AA" w:rsidRDefault="00EE6D95">
      <w:pPr>
        <w:pStyle w:val="Normal3"/>
      </w:pPr>
      <w:r>
        <w:t>Osiguranje kvalitete sustava sporta i poboljšanje uvjeta za bavljenje sportom ostvarivanjem javnih potreba u sportu, potporom školskome i studentskome sportu te poticanjem izvaninstitucionalnoga odgoja i obrazovanja uz pomoć sporta.</w:t>
      </w:r>
    </w:p>
    <w:tbl>
      <w:tblPr>
        <w:tblStyle w:val="Reetkatablice"/>
        <w:tblW w:w="0" w:type="auto"/>
        <w:jc w:val="center"/>
        <w:tblLook w:val="04A0" w:firstRow="1" w:lastRow="0" w:firstColumn="1" w:lastColumn="0" w:noHBand="0" w:noVBand="1"/>
      </w:tblPr>
      <w:tblGrid>
        <w:gridCol w:w="1451"/>
        <w:gridCol w:w="1607"/>
        <w:gridCol w:w="1607"/>
        <w:gridCol w:w="1607"/>
        <w:gridCol w:w="1607"/>
        <w:gridCol w:w="1409"/>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Pr="001A0148" w:rsidRDefault="00EE6D95">
            <w:pPr>
              <w:pStyle w:val="CellColumn"/>
            </w:pPr>
            <w:r w:rsidRPr="001A0148">
              <w:t>08005 Ministarstvo znanosti, obrazovanja i sporta</w:t>
            </w:r>
          </w:p>
        </w:tc>
        <w:tc>
          <w:tcPr>
            <w:tcW w:w="1486" w:type="dxa"/>
          </w:tcPr>
          <w:p w:rsidR="00D849AA" w:rsidRPr="001A0148" w:rsidRDefault="00EE6D95">
            <w:pPr>
              <w:rPr>
                <w:rFonts w:ascii="Arial" w:hAnsi="Arial" w:cs="Arial"/>
              </w:rPr>
            </w:pPr>
            <w:r w:rsidRPr="001A0148">
              <w:rPr>
                <w:rFonts w:ascii="Arial" w:hAnsi="Arial" w:cs="Arial"/>
              </w:rPr>
              <w:t>7.832.657.568</w:t>
            </w:r>
          </w:p>
        </w:tc>
        <w:tc>
          <w:tcPr>
            <w:tcW w:w="1486" w:type="dxa"/>
          </w:tcPr>
          <w:p w:rsidR="00D849AA" w:rsidRPr="001A0148" w:rsidRDefault="00EE6D95">
            <w:pPr>
              <w:rPr>
                <w:rFonts w:ascii="Arial" w:hAnsi="Arial" w:cs="Arial"/>
              </w:rPr>
            </w:pPr>
            <w:r w:rsidRPr="001A0148">
              <w:rPr>
                <w:rFonts w:ascii="Arial" w:hAnsi="Arial" w:cs="Arial"/>
              </w:rPr>
              <w:t>8.409.743.197</w:t>
            </w:r>
          </w:p>
        </w:tc>
        <w:tc>
          <w:tcPr>
            <w:tcW w:w="1486" w:type="dxa"/>
          </w:tcPr>
          <w:p w:rsidR="00D849AA" w:rsidRPr="001A0148" w:rsidRDefault="00EE6D95">
            <w:pPr>
              <w:rPr>
                <w:rFonts w:ascii="Arial" w:hAnsi="Arial" w:cs="Arial"/>
              </w:rPr>
            </w:pPr>
            <w:r w:rsidRPr="001A0148">
              <w:rPr>
                <w:rFonts w:ascii="Arial" w:hAnsi="Arial" w:cs="Arial"/>
              </w:rPr>
              <w:t>8.214.229.028</w:t>
            </w:r>
          </w:p>
        </w:tc>
        <w:tc>
          <w:tcPr>
            <w:tcW w:w="1486" w:type="dxa"/>
          </w:tcPr>
          <w:p w:rsidR="00D849AA" w:rsidRPr="001A0148" w:rsidRDefault="00EE6D95">
            <w:pPr>
              <w:rPr>
                <w:rFonts w:ascii="Arial" w:hAnsi="Arial" w:cs="Arial"/>
              </w:rPr>
            </w:pPr>
            <w:r w:rsidRPr="001A0148">
              <w:rPr>
                <w:rFonts w:ascii="Arial" w:hAnsi="Arial" w:cs="Arial"/>
              </w:rPr>
              <w:t>8.104.025.485</w:t>
            </w:r>
          </w:p>
        </w:tc>
        <w:tc>
          <w:tcPr>
            <w:tcW w:w="1486" w:type="dxa"/>
          </w:tcPr>
          <w:p w:rsidR="00D849AA" w:rsidRPr="001A0148" w:rsidRDefault="00EE6D95">
            <w:pPr>
              <w:rPr>
                <w:rFonts w:ascii="Arial" w:hAnsi="Arial" w:cs="Arial"/>
              </w:rPr>
            </w:pPr>
            <w:r w:rsidRPr="001A0148">
              <w:rPr>
                <w:rFonts w:ascii="Arial" w:hAnsi="Arial" w:cs="Arial"/>
              </w:rPr>
              <w:t>107,4</w:t>
            </w:r>
          </w:p>
        </w:tc>
      </w:tr>
      <w:tr w:rsidR="00D849AA">
        <w:trPr>
          <w:jc w:val="center"/>
        </w:trPr>
        <w:tc>
          <w:tcPr>
            <w:tcW w:w="1486" w:type="dxa"/>
          </w:tcPr>
          <w:p w:rsidR="00D849AA" w:rsidRPr="001A0148" w:rsidRDefault="00EE6D95">
            <w:pPr>
              <w:pStyle w:val="CellColumn"/>
            </w:pPr>
            <w:r w:rsidRPr="001A0148">
              <w:t>08006 Sveučilišta i veleučilišta u Republici Hrvatskoj</w:t>
            </w:r>
          </w:p>
        </w:tc>
        <w:tc>
          <w:tcPr>
            <w:tcW w:w="1486" w:type="dxa"/>
          </w:tcPr>
          <w:p w:rsidR="00D849AA" w:rsidRPr="001A0148" w:rsidRDefault="00EE6D95">
            <w:pPr>
              <w:rPr>
                <w:rFonts w:ascii="Arial" w:hAnsi="Arial" w:cs="Arial"/>
              </w:rPr>
            </w:pPr>
            <w:r w:rsidRPr="001A0148">
              <w:rPr>
                <w:rFonts w:ascii="Arial" w:hAnsi="Arial" w:cs="Arial"/>
              </w:rPr>
              <w:t>2.705.743.626</w:t>
            </w:r>
          </w:p>
        </w:tc>
        <w:tc>
          <w:tcPr>
            <w:tcW w:w="1486" w:type="dxa"/>
          </w:tcPr>
          <w:p w:rsidR="00D849AA" w:rsidRPr="001A0148" w:rsidRDefault="00EE6D95">
            <w:pPr>
              <w:rPr>
                <w:rFonts w:ascii="Arial" w:hAnsi="Arial" w:cs="Arial"/>
              </w:rPr>
            </w:pPr>
            <w:r w:rsidRPr="001A0148">
              <w:rPr>
                <w:rFonts w:ascii="Arial" w:hAnsi="Arial" w:cs="Arial"/>
              </w:rPr>
              <w:t>2.810.623.150</w:t>
            </w:r>
          </w:p>
        </w:tc>
        <w:tc>
          <w:tcPr>
            <w:tcW w:w="1486" w:type="dxa"/>
          </w:tcPr>
          <w:p w:rsidR="00D849AA" w:rsidRPr="001A0148" w:rsidRDefault="00EE6D95">
            <w:pPr>
              <w:rPr>
                <w:rFonts w:ascii="Arial" w:hAnsi="Arial" w:cs="Arial"/>
              </w:rPr>
            </w:pPr>
            <w:r w:rsidRPr="001A0148">
              <w:rPr>
                <w:rFonts w:ascii="Arial" w:hAnsi="Arial" w:cs="Arial"/>
              </w:rPr>
              <w:t>2.796.523.801</w:t>
            </w:r>
          </w:p>
        </w:tc>
        <w:tc>
          <w:tcPr>
            <w:tcW w:w="1486" w:type="dxa"/>
          </w:tcPr>
          <w:p w:rsidR="00D849AA" w:rsidRPr="001A0148" w:rsidRDefault="00EE6D95">
            <w:pPr>
              <w:rPr>
                <w:rFonts w:ascii="Arial" w:hAnsi="Arial" w:cs="Arial"/>
              </w:rPr>
            </w:pPr>
            <w:r w:rsidRPr="001A0148">
              <w:rPr>
                <w:rFonts w:ascii="Arial" w:hAnsi="Arial" w:cs="Arial"/>
              </w:rPr>
              <w:t>2.863.092.668</w:t>
            </w:r>
          </w:p>
        </w:tc>
        <w:tc>
          <w:tcPr>
            <w:tcW w:w="1486" w:type="dxa"/>
          </w:tcPr>
          <w:p w:rsidR="00D849AA" w:rsidRPr="001A0148" w:rsidRDefault="00EE6D95">
            <w:pPr>
              <w:rPr>
                <w:rFonts w:ascii="Arial" w:hAnsi="Arial" w:cs="Arial"/>
              </w:rPr>
            </w:pPr>
            <w:r w:rsidRPr="001A0148">
              <w:rPr>
                <w:rFonts w:ascii="Arial" w:hAnsi="Arial" w:cs="Arial"/>
              </w:rPr>
              <w:t>103,9</w:t>
            </w:r>
          </w:p>
        </w:tc>
      </w:tr>
      <w:tr w:rsidR="00D849AA">
        <w:trPr>
          <w:jc w:val="center"/>
        </w:trPr>
        <w:tc>
          <w:tcPr>
            <w:tcW w:w="1486" w:type="dxa"/>
          </w:tcPr>
          <w:p w:rsidR="00D849AA" w:rsidRPr="001A0148" w:rsidRDefault="00EE6D95">
            <w:pPr>
              <w:pStyle w:val="CellColumn"/>
            </w:pPr>
            <w:r w:rsidRPr="001A0148">
              <w:t>08008 Javni instituti u Republici Hrvatskoj</w:t>
            </w:r>
          </w:p>
        </w:tc>
        <w:tc>
          <w:tcPr>
            <w:tcW w:w="1486" w:type="dxa"/>
          </w:tcPr>
          <w:p w:rsidR="00D849AA" w:rsidRPr="001A0148" w:rsidRDefault="00EE6D95">
            <w:pPr>
              <w:rPr>
                <w:rFonts w:ascii="Arial" w:hAnsi="Arial" w:cs="Arial"/>
              </w:rPr>
            </w:pPr>
            <w:r w:rsidRPr="001A0148">
              <w:rPr>
                <w:rFonts w:ascii="Arial" w:hAnsi="Arial" w:cs="Arial"/>
              </w:rPr>
              <w:t>322.206.468</w:t>
            </w:r>
          </w:p>
        </w:tc>
        <w:tc>
          <w:tcPr>
            <w:tcW w:w="1486" w:type="dxa"/>
          </w:tcPr>
          <w:p w:rsidR="00D849AA" w:rsidRPr="001A0148" w:rsidRDefault="00EE6D95">
            <w:pPr>
              <w:rPr>
                <w:rFonts w:ascii="Arial" w:hAnsi="Arial" w:cs="Arial"/>
              </w:rPr>
            </w:pPr>
            <w:r w:rsidRPr="001A0148">
              <w:rPr>
                <w:rFonts w:ascii="Arial" w:hAnsi="Arial" w:cs="Arial"/>
              </w:rPr>
              <w:t>334.287.374</w:t>
            </w:r>
          </w:p>
        </w:tc>
        <w:tc>
          <w:tcPr>
            <w:tcW w:w="1486" w:type="dxa"/>
          </w:tcPr>
          <w:p w:rsidR="00D849AA" w:rsidRPr="001A0148" w:rsidRDefault="00EE6D95">
            <w:pPr>
              <w:rPr>
                <w:rFonts w:ascii="Arial" w:hAnsi="Arial" w:cs="Arial"/>
              </w:rPr>
            </w:pPr>
            <w:r w:rsidRPr="001A0148">
              <w:rPr>
                <w:rFonts w:ascii="Arial" w:hAnsi="Arial" w:cs="Arial"/>
              </w:rPr>
              <w:t>339.961.263</w:t>
            </w:r>
          </w:p>
        </w:tc>
        <w:tc>
          <w:tcPr>
            <w:tcW w:w="1486" w:type="dxa"/>
          </w:tcPr>
          <w:p w:rsidR="00D849AA" w:rsidRPr="001A0148" w:rsidRDefault="00EE6D95">
            <w:pPr>
              <w:rPr>
                <w:rFonts w:ascii="Arial" w:hAnsi="Arial" w:cs="Arial"/>
              </w:rPr>
            </w:pPr>
            <w:r w:rsidRPr="001A0148">
              <w:rPr>
                <w:rFonts w:ascii="Arial" w:hAnsi="Arial" w:cs="Arial"/>
              </w:rPr>
              <w:t>351.131.288</w:t>
            </w:r>
          </w:p>
        </w:tc>
        <w:tc>
          <w:tcPr>
            <w:tcW w:w="1486" w:type="dxa"/>
          </w:tcPr>
          <w:p w:rsidR="00D849AA" w:rsidRPr="001A0148" w:rsidRDefault="00EE6D95">
            <w:pPr>
              <w:rPr>
                <w:rFonts w:ascii="Arial" w:hAnsi="Arial" w:cs="Arial"/>
              </w:rPr>
            </w:pPr>
            <w:r w:rsidRPr="001A0148">
              <w:rPr>
                <w:rFonts w:ascii="Arial" w:hAnsi="Arial" w:cs="Arial"/>
              </w:rPr>
              <w:t>103,7</w:t>
            </w:r>
          </w:p>
        </w:tc>
      </w:tr>
      <w:tr w:rsidR="00D849AA">
        <w:trPr>
          <w:jc w:val="center"/>
        </w:trPr>
        <w:tc>
          <w:tcPr>
            <w:tcW w:w="1486" w:type="dxa"/>
          </w:tcPr>
          <w:p w:rsidR="00D849AA" w:rsidRPr="001A0148" w:rsidRDefault="00EE6D95">
            <w:pPr>
              <w:pStyle w:val="CellColumn"/>
            </w:pPr>
            <w:r w:rsidRPr="001A0148">
              <w:t xml:space="preserve">08011 Poslovno inovacijska agencija Republike Hrvatske - </w:t>
            </w:r>
            <w:r w:rsidRPr="001A0148">
              <w:lastRenderedPageBreak/>
              <w:t>Bicro</w:t>
            </w:r>
          </w:p>
        </w:tc>
        <w:tc>
          <w:tcPr>
            <w:tcW w:w="1486" w:type="dxa"/>
          </w:tcPr>
          <w:p w:rsidR="00D849AA" w:rsidRPr="001A0148" w:rsidRDefault="00EE6D95">
            <w:pPr>
              <w:rPr>
                <w:rFonts w:ascii="Arial" w:hAnsi="Arial" w:cs="Arial"/>
              </w:rPr>
            </w:pPr>
            <w:r w:rsidRPr="001A0148">
              <w:rPr>
                <w:rFonts w:ascii="Arial" w:hAnsi="Arial" w:cs="Arial"/>
              </w:rPr>
              <w:lastRenderedPageBreak/>
              <w:t>20.755.472</w:t>
            </w:r>
          </w:p>
        </w:tc>
        <w:tc>
          <w:tcPr>
            <w:tcW w:w="1486" w:type="dxa"/>
          </w:tcPr>
          <w:p w:rsidR="00D849AA" w:rsidRPr="001A0148" w:rsidRDefault="00EE6D95">
            <w:pPr>
              <w:rPr>
                <w:rFonts w:ascii="Arial" w:hAnsi="Arial" w:cs="Arial"/>
              </w:rPr>
            </w:pPr>
            <w:r w:rsidRPr="001A0148">
              <w:rPr>
                <w:rFonts w:ascii="Arial" w:hAnsi="Arial" w:cs="Arial"/>
              </w:rPr>
              <w:t>17.197.452</w:t>
            </w:r>
          </w:p>
        </w:tc>
        <w:tc>
          <w:tcPr>
            <w:tcW w:w="1486" w:type="dxa"/>
          </w:tcPr>
          <w:p w:rsidR="00D849AA" w:rsidRPr="001A0148" w:rsidRDefault="00EE6D95">
            <w:pPr>
              <w:rPr>
                <w:rFonts w:ascii="Arial" w:hAnsi="Arial" w:cs="Arial"/>
              </w:rPr>
            </w:pPr>
            <w:r w:rsidRPr="001A0148">
              <w:rPr>
                <w:rFonts w:ascii="Arial" w:hAnsi="Arial" w:cs="Arial"/>
              </w:rPr>
              <w:t>16.439.279</w:t>
            </w:r>
          </w:p>
        </w:tc>
        <w:tc>
          <w:tcPr>
            <w:tcW w:w="1486" w:type="dxa"/>
          </w:tcPr>
          <w:p w:rsidR="00D849AA" w:rsidRPr="001A0148" w:rsidRDefault="00EE6D95">
            <w:pPr>
              <w:rPr>
                <w:rFonts w:ascii="Arial" w:hAnsi="Arial" w:cs="Arial"/>
              </w:rPr>
            </w:pPr>
            <w:r w:rsidRPr="001A0148">
              <w:rPr>
                <w:rFonts w:ascii="Arial" w:hAnsi="Arial" w:cs="Arial"/>
              </w:rPr>
              <w:t>16.598.105</w:t>
            </w:r>
          </w:p>
        </w:tc>
        <w:tc>
          <w:tcPr>
            <w:tcW w:w="1486" w:type="dxa"/>
          </w:tcPr>
          <w:p w:rsidR="00D849AA" w:rsidRPr="001A0148" w:rsidRDefault="00EE6D95">
            <w:pPr>
              <w:rPr>
                <w:rFonts w:ascii="Arial" w:hAnsi="Arial" w:cs="Arial"/>
              </w:rPr>
            </w:pPr>
            <w:r w:rsidRPr="001A0148">
              <w:rPr>
                <w:rFonts w:ascii="Arial" w:hAnsi="Arial" w:cs="Arial"/>
              </w:rPr>
              <w:t>82,8</w:t>
            </w:r>
          </w:p>
        </w:tc>
      </w:tr>
      <w:tr w:rsidR="00D849AA">
        <w:trPr>
          <w:jc w:val="center"/>
        </w:trPr>
        <w:tc>
          <w:tcPr>
            <w:tcW w:w="1486" w:type="dxa"/>
          </w:tcPr>
          <w:p w:rsidR="00D849AA" w:rsidRPr="001A0148" w:rsidRDefault="00EE6D95">
            <w:pPr>
              <w:pStyle w:val="CellColumn"/>
            </w:pPr>
            <w:r w:rsidRPr="001A0148">
              <w:lastRenderedPageBreak/>
              <w:t>08012 Državni zavod za intelektualno vlasništvo</w:t>
            </w:r>
          </w:p>
        </w:tc>
        <w:tc>
          <w:tcPr>
            <w:tcW w:w="1486" w:type="dxa"/>
          </w:tcPr>
          <w:p w:rsidR="00D849AA" w:rsidRPr="001A0148" w:rsidRDefault="00EE6D95">
            <w:pPr>
              <w:rPr>
                <w:rFonts w:ascii="Arial" w:hAnsi="Arial" w:cs="Arial"/>
              </w:rPr>
            </w:pPr>
            <w:r w:rsidRPr="001A0148">
              <w:rPr>
                <w:rFonts w:ascii="Arial" w:hAnsi="Arial" w:cs="Arial"/>
              </w:rPr>
              <w:t>15.305.302</w:t>
            </w:r>
          </w:p>
        </w:tc>
        <w:tc>
          <w:tcPr>
            <w:tcW w:w="1486" w:type="dxa"/>
          </w:tcPr>
          <w:p w:rsidR="00D849AA" w:rsidRPr="001A0148" w:rsidRDefault="00EE6D95">
            <w:pPr>
              <w:rPr>
                <w:rFonts w:ascii="Arial" w:hAnsi="Arial" w:cs="Arial"/>
              </w:rPr>
            </w:pPr>
            <w:r w:rsidRPr="001A0148">
              <w:rPr>
                <w:rFonts w:ascii="Arial" w:hAnsi="Arial" w:cs="Arial"/>
              </w:rPr>
              <w:t>16.658.907</w:t>
            </w:r>
          </w:p>
        </w:tc>
        <w:tc>
          <w:tcPr>
            <w:tcW w:w="1486" w:type="dxa"/>
          </w:tcPr>
          <w:p w:rsidR="00D849AA" w:rsidRPr="001A0148" w:rsidRDefault="00EE6D95">
            <w:pPr>
              <w:rPr>
                <w:rFonts w:ascii="Arial" w:hAnsi="Arial" w:cs="Arial"/>
              </w:rPr>
            </w:pPr>
            <w:r w:rsidRPr="001A0148">
              <w:rPr>
                <w:rFonts w:ascii="Arial" w:hAnsi="Arial" w:cs="Arial"/>
              </w:rPr>
              <w:t>16.705.770</w:t>
            </w:r>
          </w:p>
        </w:tc>
        <w:tc>
          <w:tcPr>
            <w:tcW w:w="1486" w:type="dxa"/>
          </w:tcPr>
          <w:p w:rsidR="00D849AA" w:rsidRPr="001A0148" w:rsidRDefault="00EE6D95">
            <w:pPr>
              <w:rPr>
                <w:rFonts w:ascii="Arial" w:hAnsi="Arial" w:cs="Arial"/>
              </w:rPr>
            </w:pPr>
            <w:r w:rsidRPr="001A0148">
              <w:rPr>
                <w:rFonts w:ascii="Arial" w:hAnsi="Arial" w:cs="Arial"/>
              </w:rPr>
              <w:t>17.216.467</w:t>
            </w:r>
          </w:p>
        </w:tc>
        <w:tc>
          <w:tcPr>
            <w:tcW w:w="1486" w:type="dxa"/>
          </w:tcPr>
          <w:p w:rsidR="00D849AA" w:rsidRPr="001A0148" w:rsidRDefault="00EE6D95">
            <w:pPr>
              <w:rPr>
                <w:rFonts w:ascii="Arial" w:hAnsi="Arial" w:cs="Arial"/>
              </w:rPr>
            </w:pPr>
            <w:r w:rsidRPr="001A0148">
              <w:rPr>
                <w:rFonts w:ascii="Arial" w:hAnsi="Arial" w:cs="Arial"/>
              </w:rPr>
              <w:t>108,8</w:t>
            </w:r>
          </w:p>
        </w:tc>
      </w:tr>
      <w:tr w:rsidR="00D849AA">
        <w:trPr>
          <w:jc w:val="center"/>
        </w:trPr>
        <w:tc>
          <w:tcPr>
            <w:tcW w:w="1486" w:type="dxa"/>
          </w:tcPr>
          <w:p w:rsidR="00D849AA" w:rsidRPr="001A0148" w:rsidRDefault="00EE6D95">
            <w:pPr>
              <w:pStyle w:val="CellColumn"/>
            </w:pPr>
            <w:r w:rsidRPr="001A0148">
              <w:t>08091 Agencije i ostale javne ustanove u znanosti, obrazovanju i sportu</w:t>
            </w:r>
          </w:p>
        </w:tc>
        <w:tc>
          <w:tcPr>
            <w:tcW w:w="1486" w:type="dxa"/>
          </w:tcPr>
          <w:p w:rsidR="00D849AA" w:rsidRPr="001A0148" w:rsidRDefault="00EE6D95">
            <w:pPr>
              <w:rPr>
                <w:rFonts w:ascii="Arial" w:hAnsi="Arial" w:cs="Arial"/>
              </w:rPr>
            </w:pPr>
            <w:r w:rsidRPr="001A0148">
              <w:rPr>
                <w:rFonts w:ascii="Arial" w:hAnsi="Arial" w:cs="Arial"/>
              </w:rPr>
              <w:t>465.405.607</w:t>
            </w:r>
          </w:p>
        </w:tc>
        <w:tc>
          <w:tcPr>
            <w:tcW w:w="1486" w:type="dxa"/>
          </w:tcPr>
          <w:p w:rsidR="00D849AA" w:rsidRPr="001A0148" w:rsidRDefault="00EE6D95">
            <w:pPr>
              <w:rPr>
                <w:rFonts w:ascii="Arial" w:hAnsi="Arial" w:cs="Arial"/>
              </w:rPr>
            </w:pPr>
            <w:r w:rsidRPr="001A0148">
              <w:rPr>
                <w:rFonts w:ascii="Arial" w:hAnsi="Arial" w:cs="Arial"/>
              </w:rPr>
              <w:t>437.804.498</w:t>
            </w:r>
          </w:p>
        </w:tc>
        <w:tc>
          <w:tcPr>
            <w:tcW w:w="1486" w:type="dxa"/>
          </w:tcPr>
          <w:p w:rsidR="00D849AA" w:rsidRPr="001A0148" w:rsidRDefault="00EE6D95">
            <w:pPr>
              <w:rPr>
                <w:rFonts w:ascii="Arial" w:hAnsi="Arial" w:cs="Arial"/>
              </w:rPr>
            </w:pPr>
            <w:r w:rsidRPr="001A0148">
              <w:rPr>
                <w:rFonts w:ascii="Arial" w:hAnsi="Arial" w:cs="Arial"/>
              </w:rPr>
              <w:t>413.611.844</w:t>
            </w:r>
          </w:p>
        </w:tc>
        <w:tc>
          <w:tcPr>
            <w:tcW w:w="1486" w:type="dxa"/>
          </w:tcPr>
          <w:p w:rsidR="00D849AA" w:rsidRPr="001A0148" w:rsidRDefault="00EE6D95">
            <w:pPr>
              <w:rPr>
                <w:rFonts w:ascii="Arial" w:hAnsi="Arial" w:cs="Arial"/>
              </w:rPr>
            </w:pPr>
            <w:r w:rsidRPr="001A0148">
              <w:rPr>
                <w:rFonts w:ascii="Arial" w:hAnsi="Arial" w:cs="Arial"/>
              </w:rPr>
              <w:t>442.626.659</w:t>
            </w:r>
          </w:p>
        </w:tc>
        <w:tc>
          <w:tcPr>
            <w:tcW w:w="1486" w:type="dxa"/>
          </w:tcPr>
          <w:p w:rsidR="00D849AA" w:rsidRPr="001A0148" w:rsidRDefault="00EE6D95">
            <w:pPr>
              <w:rPr>
                <w:rFonts w:ascii="Arial" w:hAnsi="Arial" w:cs="Arial"/>
              </w:rPr>
            </w:pPr>
            <w:r w:rsidRPr="001A0148">
              <w:rPr>
                <w:rFonts w:ascii="Arial" w:hAnsi="Arial" w:cs="Arial"/>
              </w:rPr>
              <w:t>94,1</w:t>
            </w:r>
          </w:p>
        </w:tc>
      </w:tr>
      <w:tr w:rsidR="00D849AA">
        <w:trPr>
          <w:jc w:val="center"/>
        </w:trPr>
        <w:tc>
          <w:tcPr>
            <w:tcW w:w="1486" w:type="dxa"/>
            <w:shd w:val="clear" w:color="auto" w:fill="B5C0D8"/>
          </w:tcPr>
          <w:p w:rsidR="00D849AA" w:rsidRPr="001A0148" w:rsidRDefault="00EE6D95">
            <w:pPr>
              <w:pStyle w:val="CellColumn"/>
            </w:pPr>
            <w:r w:rsidRPr="001A0148">
              <w:t>Ukupno 080</w:t>
            </w:r>
          </w:p>
        </w:tc>
        <w:tc>
          <w:tcPr>
            <w:tcW w:w="1486" w:type="dxa"/>
            <w:shd w:val="clear" w:color="auto" w:fill="B5C0D8"/>
          </w:tcPr>
          <w:p w:rsidR="00D849AA" w:rsidRPr="001A0148" w:rsidRDefault="00EE6D95">
            <w:pPr>
              <w:rPr>
                <w:rFonts w:ascii="Arial" w:hAnsi="Arial" w:cs="Arial"/>
              </w:rPr>
            </w:pPr>
            <w:r w:rsidRPr="001A0148">
              <w:rPr>
                <w:rFonts w:ascii="Arial" w:hAnsi="Arial" w:cs="Arial"/>
              </w:rPr>
              <w:t>11.362.074.043</w:t>
            </w:r>
          </w:p>
        </w:tc>
        <w:tc>
          <w:tcPr>
            <w:tcW w:w="1486" w:type="dxa"/>
            <w:shd w:val="clear" w:color="auto" w:fill="B5C0D8"/>
          </w:tcPr>
          <w:p w:rsidR="00D849AA" w:rsidRPr="001A0148" w:rsidRDefault="00EE6D95">
            <w:pPr>
              <w:rPr>
                <w:rFonts w:ascii="Arial" w:hAnsi="Arial" w:cs="Arial"/>
              </w:rPr>
            </w:pPr>
            <w:r w:rsidRPr="001A0148">
              <w:rPr>
                <w:rFonts w:ascii="Arial" w:hAnsi="Arial" w:cs="Arial"/>
              </w:rPr>
              <w:t>12.026.314.578</w:t>
            </w:r>
          </w:p>
        </w:tc>
        <w:tc>
          <w:tcPr>
            <w:tcW w:w="1486" w:type="dxa"/>
            <w:shd w:val="clear" w:color="auto" w:fill="B5C0D8"/>
          </w:tcPr>
          <w:p w:rsidR="00D849AA" w:rsidRPr="001A0148" w:rsidRDefault="00EE6D95">
            <w:pPr>
              <w:rPr>
                <w:rFonts w:ascii="Arial" w:hAnsi="Arial" w:cs="Arial"/>
              </w:rPr>
            </w:pPr>
            <w:r w:rsidRPr="001A0148">
              <w:rPr>
                <w:rFonts w:ascii="Arial" w:hAnsi="Arial" w:cs="Arial"/>
              </w:rPr>
              <w:t>11.797.470.985</w:t>
            </w:r>
          </w:p>
        </w:tc>
        <w:tc>
          <w:tcPr>
            <w:tcW w:w="1486" w:type="dxa"/>
            <w:shd w:val="clear" w:color="auto" w:fill="B5C0D8"/>
          </w:tcPr>
          <w:p w:rsidR="00D849AA" w:rsidRPr="001A0148" w:rsidRDefault="00EE6D95">
            <w:pPr>
              <w:rPr>
                <w:rFonts w:ascii="Arial" w:hAnsi="Arial" w:cs="Arial"/>
              </w:rPr>
            </w:pPr>
            <w:r w:rsidRPr="001A0148">
              <w:rPr>
                <w:rFonts w:ascii="Arial" w:hAnsi="Arial" w:cs="Arial"/>
              </w:rPr>
              <w:t>11.794.690.672</w:t>
            </w:r>
          </w:p>
        </w:tc>
        <w:tc>
          <w:tcPr>
            <w:tcW w:w="1486" w:type="dxa"/>
            <w:shd w:val="clear" w:color="auto" w:fill="B5C0D8"/>
          </w:tcPr>
          <w:p w:rsidR="00D849AA" w:rsidRPr="001A0148" w:rsidRDefault="00EE6D95">
            <w:pPr>
              <w:rPr>
                <w:rFonts w:ascii="Arial" w:hAnsi="Arial" w:cs="Arial"/>
              </w:rPr>
            </w:pPr>
            <w:r w:rsidRPr="001A0148">
              <w:rPr>
                <w:rFonts w:ascii="Arial" w:hAnsi="Arial" w:cs="Arial"/>
              </w:rPr>
              <w:t>105,8</w:t>
            </w:r>
          </w:p>
        </w:tc>
      </w:tr>
    </w:tbl>
    <w:p w:rsidR="00D849AA" w:rsidRDefault="00D849AA">
      <w:pPr>
        <w:jc w:val="left"/>
      </w:pPr>
    </w:p>
    <w:p w:rsidR="00D849AA" w:rsidRDefault="00EE6D95">
      <w:pPr>
        <w:pStyle w:val="Naslov2"/>
      </w:pPr>
      <w:r>
        <w:t>08005 Ministarstvo znanosti, obrazovanja i sporta</w:t>
      </w:r>
    </w:p>
    <w:p w:rsidR="00D849AA" w:rsidRDefault="00EE6D95">
      <w:pPr>
        <w:pStyle w:val="Naslov4"/>
      </w:pPr>
      <w:r>
        <w:t>Uvod</w:t>
      </w:r>
    </w:p>
    <w:p w:rsidR="00D849AA" w:rsidRDefault="00EE6D95">
      <w:pPr>
        <w:pStyle w:val="Normal3"/>
      </w:pPr>
      <w:r>
        <w:t>U cilju poticanja kontinuiranog razvoja sustava znanosti i tehnologije sustavno se poduzimaju radnje financiranja svih vidova znanstvene infrastrukture (znanstvena oprema i njeno održavanje, redovno poslovanje laboratorija i nastambi za pokusne životinje, sustav znanstvenih novaka, znanstveno-istraživački projekti i programi, znanstveni časopisi i udruge, organizacija skupova). Razvijena znanstvena infrastruktura preduvjet je razvoja hrvatskog istraživačkog prostora unutar okvira Europske Unije i šire.</w:t>
      </w:r>
    </w:p>
    <w:tbl>
      <w:tblPr>
        <w:tblStyle w:val="Reetkatablice"/>
        <w:tblW w:w="0" w:type="auto"/>
        <w:jc w:val="center"/>
        <w:tblLook w:val="04A0" w:firstRow="1" w:lastRow="0" w:firstColumn="1" w:lastColumn="0" w:noHBand="0" w:noVBand="1"/>
      </w:tblPr>
      <w:tblGrid>
        <w:gridCol w:w="1486"/>
        <w:gridCol w:w="1496"/>
        <w:gridCol w:w="1496"/>
        <w:gridCol w:w="1496"/>
        <w:gridCol w:w="1496"/>
        <w:gridCol w:w="1486"/>
      </w:tblGrid>
      <w:tr w:rsidR="00D849AA">
        <w:trPr>
          <w:jc w:val="center"/>
        </w:trPr>
        <w:tc>
          <w:tcPr>
            <w:tcW w:w="1486" w:type="dxa"/>
            <w:shd w:val="clear" w:color="auto" w:fill="B5C0D8"/>
          </w:tcPr>
          <w:p w:rsidR="00D849AA" w:rsidRPr="001A0148" w:rsidRDefault="00D849AA">
            <w:pPr>
              <w:pStyle w:val="CellHeader"/>
            </w:pPr>
          </w:p>
        </w:tc>
        <w:tc>
          <w:tcPr>
            <w:tcW w:w="1486" w:type="dxa"/>
            <w:shd w:val="clear" w:color="auto" w:fill="B5C0D8"/>
          </w:tcPr>
          <w:p w:rsidR="00D849AA" w:rsidRPr="001A0148" w:rsidRDefault="00EE6D95">
            <w:pPr>
              <w:pStyle w:val="CellHeader"/>
            </w:pPr>
            <w:r w:rsidRPr="001A0148">
              <w:t>Plan 2013.</w:t>
            </w:r>
          </w:p>
        </w:tc>
        <w:tc>
          <w:tcPr>
            <w:tcW w:w="1486" w:type="dxa"/>
            <w:shd w:val="clear" w:color="auto" w:fill="B5C0D8"/>
          </w:tcPr>
          <w:p w:rsidR="00D849AA" w:rsidRPr="001A0148" w:rsidRDefault="00EE6D95">
            <w:pPr>
              <w:pStyle w:val="CellHeader"/>
            </w:pPr>
            <w:r w:rsidRPr="001A0148">
              <w:t>Plan 2014.</w:t>
            </w:r>
          </w:p>
        </w:tc>
        <w:tc>
          <w:tcPr>
            <w:tcW w:w="1486" w:type="dxa"/>
            <w:shd w:val="clear" w:color="auto" w:fill="B5C0D8"/>
          </w:tcPr>
          <w:p w:rsidR="00D849AA" w:rsidRPr="001A0148" w:rsidRDefault="00EE6D95">
            <w:pPr>
              <w:pStyle w:val="CellHeader"/>
            </w:pPr>
            <w:r w:rsidRPr="001A0148">
              <w:t>Plan 2015.</w:t>
            </w:r>
          </w:p>
        </w:tc>
        <w:tc>
          <w:tcPr>
            <w:tcW w:w="1486" w:type="dxa"/>
            <w:shd w:val="clear" w:color="auto" w:fill="B5C0D8"/>
          </w:tcPr>
          <w:p w:rsidR="00D849AA" w:rsidRPr="001A0148" w:rsidRDefault="00EE6D95">
            <w:pPr>
              <w:pStyle w:val="CellHeader"/>
            </w:pPr>
            <w:r w:rsidRPr="001A0148">
              <w:t>Plan 2016.</w:t>
            </w:r>
          </w:p>
        </w:tc>
        <w:tc>
          <w:tcPr>
            <w:tcW w:w="1486" w:type="dxa"/>
            <w:shd w:val="clear" w:color="auto" w:fill="B5C0D8"/>
          </w:tcPr>
          <w:p w:rsidR="00D849AA" w:rsidRPr="001A0148" w:rsidRDefault="00EE6D95">
            <w:pPr>
              <w:pStyle w:val="CellHeader"/>
            </w:pPr>
            <w:r w:rsidRPr="001A0148">
              <w:t>Indeks 2014/2013</w:t>
            </w:r>
          </w:p>
        </w:tc>
      </w:tr>
      <w:tr w:rsidR="00D849AA">
        <w:trPr>
          <w:jc w:val="center"/>
        </w:trPr>
        <w:tc>
          <w:tcPr>
            <w:tcW w:w="1486" w:type="dxa"/>
          </w:tcPr>
          <w:p w:rsidR="00D849AA" w:rsidRPr="001A0148" w:rsidRDefault="00EE6D95">
            <w:pPr>
              <w:pStyle w:val="CellColumn"/>
            </w:pPr>
            <w:r w:rsidRPr="001A0148">
              <w:t>08005</w:t>
            </w:r>
          </w:p>
        </w:tc>
        <w:tc>
          <w:tcPr>
            <w:tcW w:w="1486" w:type="dxa"/>
          </w:tcPr>
          <w:p w:rsidR="00D849AA" w:rsidRPr="001A0148" w:rsidRDefault="00EE6D95">
            <w:pPr>
              <w:rPr>
                <w:rFonts w:ascii="Arial" w:hAnsi="Arial" w:cs="Arial"/>
              </w:rPr>
            </w:pPr>
            <w:r w:rsidRPr="001A0148">
              <w:rPr>
                <w:rFonts w:ascii="Arial" w:hAnsi="Arial" w:cs="Arial"/>
              </w:rPr>
              <w:t>7.832.657.568</w:t>
            </w:r>
          </w:p>
        </w:tc>
        <w:tc>
          <w:tcPr>
            <w:tcW w:w="1486" w:type="dxa"/>
          </w:tcPr>
          <w:p w:rsidR="00D849AA" w:rsidRPr="001A0148" w:rsidRDefault="00EE6D95">
            <w:pPr>
              <w:rPr>
                <w:rFonts w:ascii="Arial" w:hAnsi="Arial" w:cs="Arial"/>
              </w:rPr>
            </w:pPr>
            <w:r w:rsidRPr="001A0148">
              <w:rPr>
                <w:rFonts w:ascii="Arial" w:hAnsi="Arial" w:cs="Arial"/>
              </w:rPr>
              <w:t>8.409.743.197</w:t>
            </w:r>
          </w:p>
        </w:tc>
        <w:tc>
          <w:tcPr>
            <w:tcW w:w="1486" w:type="dxa"/>
          </w:tcPr>
          <w:p w:rsidR="00D849AA" w:rsidRPr="001A0148" w:rsidRDefault="00EE6D95">
            <w:pPr>
              <w:rPr>
                <w:rFonts w:ascii="Arial" w:hAnsi="Arial" w:cs="Arial"/>
              </w:rPr>
            </w:pPr>
            <w:r w:rsidRPr="001A0148">
              <w:rPr>
                <w:rFonts w:ascii="Arial" w:hAnsi="Arial" w:cs="Arial"/>
              </w:rPr>
              <w:t>8.214.229.028</w:t>
            </w:r>
          </w:p>
        </w:tc>
        <w:tc>
          <w:tcPr>
            <w:tcW w:w="1486" w:type="dxa"/>
          </w:tcPr>
          <w:p w:rsidR="00D849AA" w:rsidRPr="001A0148" w:rsidRDefault="00EE6D95">
            <w:pPr>
              <w:rPr>
                <w:rFonts w:ascii="Arial" w:hAnsi="Arial" w:cs="Arial"/>
              </w:rPr>
            </w:pPr>
            <w:r w:rsidRPr="001A0148">
              <w:rPr>
                <w:rFonts w:ascii="Arial" w:hAnsi="Arial" w:cs="Arial"/>
              </w:rPr>
              <w:t>8.104.025.485</w:t>
            </w:r>
          </w:p>
        </w:tc>
        <w:tc>
          <w:tcPr>
            <w:tcW w:w="1486" w:type="dxa"/>
          </w:tcPr>
          <w:p w:rsidR="00D849AA" w:rsidRPr="001A0148" w:rsidRDefault="00EE6D95">
            <w:pPr>
              <w:rPr>
                <w:rFonts w:ascii="Arial" w:hAnsi="Arial" w:cs="Arial"/>
              </w:rPr>
            </w:pPr>
            <w:r w:rsidRPr="001A0148">
              <w:rPr>
                <w:rFonts w:ascii="Arial" w:hAnsi="Arial" w:cs="Arial"/>
              </w:rPr>
              <w:t>107,4</w:t>
            </w:r>
          </w:p>
        </w:tc>
      </w:tr>
    </w:tbl>
    <w:p w:rsidR="00D849AA" w:rsidRDefault="00D849AA">
      <w:pPr>
        <w:jc w:val="left"/>
      </w:pPr>
    </w:p>
    <w:p w:rsidR="00D849AA" w:rsidRDefault="00EE6D95">
      <w:pPr>
        <w:pStyle w:val="Naslov4"/>
      </w:pPr>
      <w:r>
        <w:t>OBRAZLOŽENJE PROGRAMA</w:t>
      </w:r>
    </w:p>
    <w:p w:rsidR="00D849AA" w:rsidRDefault="00EE6D95">
      <w:pPr>
        <w:pStyle w:val="Naslov5"/>
      </w:pPr>
      <w:r>
        <w:t>3701 RAZVOJ ODGOJNO OBRAZOVNOG SUSTAVA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3701</w:t>
            </w:r>
          </w:p>
        </w:tc>
        <w:tc>
          <w:tcPr>
            <w:tcW w:w="1486" w:type="dxa"/>
          </w:tcPr>
          <w:p w:rsidR="00D849AA" w:rsidRDefault="00EE6D95">
            <w:r>
              <w:t>196.517.668</w:t>
            </w:r>
          </w:p>
        </w:tc>
        <w:tc>
          <w:tcPr>
            <w:tcW w:w="1486" w:type="dxa"/>
          </w:tcPr>
          <w:p w:rsidR="00D849AA" w:rsidRDefault="00EE6D95">
            <w:r>
              <w:t>227.418.132</w:t>
            </w:r>
          </w:p>
        </w:tc>
        <w:tc>
          <w:tcPr>
            <w:tcW w:w="1486" w:type="dxa"/>
          </w:tcPr>
          <w:p w:rsidR="00D849AA" w:rsidRDefault="00EE6D95">
            <w:r>
              <w:t>289.190.403</w:t>
            </w:r>
          </w:p>
        </w:tc>
        <w:tc>
          <w:tcPr>
            <w:tcW w:w="1486" w:type="dxa"/>
          </w:tcPr>
          <w:p w:rsidR="00D849AA" w:rsidRDefault="00EE6D95">
            <w:r>
              <w:t>310.766.033</w:t>
            </w:r>
          </w:p>
        </w:tc>
        <w:tc>
          <w:tcPr>
            <w:tcW w:w="1486" w:type="dxa"/>
          </w:tcPr>
          <w:p w:rsidR="00D849AA" w:rsidRDefault="00EE6D95">
            <w:r>
              <w:t>115,7</w:t>
            </w:r>
          </w:p>
        </w:tc>
      </w:tr>
    </w:tbl>
    <w:p w:rsidR="00D849AA" w:rsidRDefault="00D849AA">
      <w:pPr>
        <w:jc w:val="left"/>
      </w:pPr>
    </w:p>
    <w:p w:rsidR="00D849AA" w:rsidRDefault="00EE6D95">
      <w:pPr>
        <w:pStyle w:val="Naslov6"/>
      </w:pPr>
      <w:r>
        <w:t>Opis programa</w:t>
      </w:r>
    </w:p>
    <w:p w:rsidR="00D849AA" w:rsidRDefault="00EE6D95">
      <w:pPr>
        <w:pStyle w:val="Normal5"/>
      </w:pPr>
      <w:r>
        <w:t xml:space="preserve">U okviru Programa Razvoj odgojno-obrazovnog sustava uključena je provedba reformskih inicijativa nacionalnog i međunarodnog karaktera. Prvenstveno, riječ je o primjeni Hrvatskog kvalifikacijskog okvira kojim se uređuje sustav kvalifikacija u Republici Hrvatskoj, te o </w:t>
      </w:r>
      <w:r>
        <w:lastRenderedPageBreak/>
        <w:t>sudjelovanju u europskim i ostalim međunarodnim inicijativama, tijelima, mrežama i projektima u kojima Ministarstvo znanosti obrazovanja i sporta ima svoje predstavnike. Nadalje, Program obuhvaća i promidžbu hrvatskog jezika i kulture kroz mrežu lektorata na visokim učilištima u svijetu. Informacijsko-komunikacijska  infrastruktura važna je komponenta infrastrukture sustava visokog obrazovanja. Razvijena informacijsko-komunikacijska infrastruktura pridonosi unaprjeđenju kvalitete visokog obrazovanja i stvara preduvjete za ubrzani razvoj informacijskog društva u području e-obrazovanja.</w:t>
      </w:r>
    </w:p>
    <w:p w:rsidR="00D849AA" w:rsidRDefault="00EE6D95">
      <w:pPr>
        <w:pStyle w:val="Naslov6"/>
      </w:pPr>
      <w:r>
        <w:t>Zakonske i druge pravne osnove</w:t>
      </w:r>
    </w:p>
    <w:p w:rsidR="00D849AA" w:rsidRDefault="00EE6D95">
      <w:pPr>
        <w:pStyle w:val="Normal5"/>
      </w:pPr>
      <w:r>
        <w:t xml:space="preserve">Zakon o visokom obrazovanju i znanstvenoj djelatnosti  (NN, broj 123/03, 105/04, 174/04, 2/07, 94/13) </w:t>
      </w:r>
    </w:p>
    <w:p w:rsidR="00D849AA" w:rsidRDefault="00EE6D95">
      <w:pPr>
        <w:pStyle w:val="Normal5"/>
      </w:pPr>
      <w:r>
        <w:t xml:space="preserve">Zakon o Agenciji za mobilnost i programe EU (NN 107/07) </w:t>
      </w:r>
    </w:p>
    <w:p w:rsidR="00D849AA" w:rsidRDefault="00EE6D95">
      <w:pPr>
        <w:pStyle w:val="Normal5"/>
      </w:pPr>
      <w:r>
        <w:t xml:space="preserve">Zakon o informacijskoj sigurnosti (NN, broj 79/97) </w:t>
      </w:r>
    </w:p>
    <w:p w:rsidR="00D849AA" w:rsidRDefault="00EE6D95">
      <w:pPr>
        <w:pStyle w:val="Normal5"/>
      </w:pPr>
      <w:r>
        <w:t xml:space="preserve">Zakon o elektroničkim komunikacijama (NN, broj 73/08, 90/11) </w:t>
      </w:r>
    </w:p>
    <w:p w:rsidR="00D849AA" w:rsidRDefault="00EE6D95">
      <w:pPr>
        <w:pStyle w:val="Normal5"/>
      </w:pPr>
      <w:r>
        <w:t>Zakon o Hrvatskom kvalifikacijskom okviru (NN, broj 22/13)</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Cilj 1. Poticati korištenje programa i fondova EU-a za unapređenje obrazovnog sustava, mobilnost i usklađenosti s potrebama tržišta rada</w:t>
      </w:r>
    </w:p>
    <w:p w:rsidR="00D849AA" w:rsidRDefault="00EE6D95">
      <w:pPr>
        <w:pStyle w:val="Normal6"/>
      </w:pPr>
      <w:r>
        <w:t xml:space="preserve">U cilju podizanja i održivosti kvalitete odgojno-obrazovnog sustava Republika Hrvatska potiče sudjelovanje odgojno-obrazovnih ustanova u međunarodnim projektima. Projekti se financiraju iz novog programa EU za obrazovanje, mlade i sport „Erasmus+ koji počinje 1. siječnja 2014., međunarodnih bilateralnih pravnih akata i regionalnog programa zemalja srednje i istočne Europe CEEPUS. Većina mobilnosti provodit će se kroz Erasmus+ odnosno glavni program Europske unije za financiranje mobilnosti i međunarodne obrazovne suradnje među zemljama članicama Europske unije i trećim zemljama. Program provodi Agencija za mobilnost i programe Europske unije dok je Ministarstvo znanosti obrazovanja i sporta zaduženo za nadzor i kontrolu nad radom Agencije u provedbi Programa. Visoka učilišta se kroz međunarodne projekte i mobilnost koja se provodi u okviru projekata integriraju u Europski prostor visokog obrazovanja i provode Bolonjski proces. Cilj projekata je poticanje mobilnosti studenata i nastavnika te akreditiranje studijskih programa koja hrvatska visoka učilišta izvode u konzorciju s inozemnim visokim učilištima (združenih studija).         </w:t>
      </w:r>
    </w:p>
    <w:p w:rsidR="00D849AA" w:rsidRDefault="00EE6D95">
      <w:pPr>
        <w:pStyle w:val="Normal6"/>
      </w:pPr>
      <w:r>
        <w:t>MZOS sukladno službenoj politici po kojoj je afirmacija hrvatskoga jezika, književnosti i kulture jedan od nedvojbenih prioriteta, skrbi i nadzire, u okvirima svojih nadležnosti, rad lektorata hrvatskog jezika i književnosti i centara za hrvatske studije na stranim visokim učilištima te podupire i prati rad stranih razmjenskih lektorata na hrvatskim sveučilištima. Predložena sredstva potrebna su za rad sadašnjeg broja lektorata hrvatskog jezika i centara za hrvatske studije u inozemstvu, kao i za funkcioniranje stranih lektorata na hrvatskim sveučilištima.</w:t>
      </w:r>
    </w:p>
    <w:p w:rsidR="001A0148" w:rsidRDefault="001A0148">
      <w:pPr>
        <w:pStyle w:val="Normal6"/>
      </w:pPr>
    </w:p>
    <w:p w:rsidR="001A0148" w:rsidRDefault="001A0148">
      <w:pPr>
        <w:pStyle w:val="Normal6"/>
      </w:pPr>
    </w:p>
    <w:p w:rsidR="001A0148" w:rsidRDefault="001A0148">
      <w:pPr>
        <w:pStyle w:val="Normal6"/>
      </w:pPr>
    </w:p>
    <w:p w:rsidR="001A0148" w:rsidRDefault="001A0148">
      <w:pPr>
        <w:pStyle w:val="Normal6"/>
      </w:pPr>
    </w:p>
    <w:p w:rsidR="001A0148" w:rsidRDefault="001A0148">
      <w:pPr>
        <w:pStyle w:val="Normal6"/>
      </w:pPr>
    </w:p>
    <w:p w:rsidR="00D849AA" w:rsidRDefault="00EE6D95">
      <w:pPr>
        <w:pStyle w:val="Naslov8"/>
        <w:jc w:val="left"/>
      </w:pPr>
      <w:r>
        <w:lastRenderedPageBreak/>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Sudjelovanje u procesima europske obrazovne politike</w:t>
            </w:r>
          </w:p>
        </w:tc>
        <w:tc>
          <w:tcPr>
            <w:tcW w:w="1114" w:type="dxa"/>
          </w:tcPr>
          <w:p w:rsidR="00D849AA" w:rsidRDefault="00EE6D95">
            <w:r>
              <w:t>%</w:t>
            </w:r>
          </w:p>
        </w:tc>
        <w:tc>
          <w:tcPr>
            <w:tcW w:w="1114" w:type="dxa"/>
          </w:tcPr>
          <w:p w:rsidR="00D849AA" w:rsidRDefault="00EE6D95">
            <w:r>
              <w:t>70%</w:t>
            </w:r>
          </w:p>
        </w:tc>
        <w:tc>
          <w:tcPr>
            <w:tcW w:w="1486" w:type="dxa"/>
          </w:tcPr>
          <w:p w:rsidR="00D849AA" w:rsidRDefault="00EE6D95">
            <w:r>
              <w:t>95%</w:t>
            </w:r>
          </w:p>
        </w:tc>
        <w:tc>
          <w:tcPr>
            <w:tcW w:w="1486" w:type="dxa"/>
          </w:tcPr>
          <w:p w:rsidR="00D849AA" w:rsidRDefault="00EE6D95">
            <w:r>
              <w:t>100%</w:t>
            </w:r>
          </w:p>
        </w:tc>
        <w:tc>
          <w:tcPr>
            <w:tcW w:w="1486" w:type="dxa"/>
          </w:tcPr>
          <w:p w:rsidR="00D849AA" w:rsidRDefault="00EE6D95">
            <w:r>
              <w:t>100%</w:t>
            </w:r>
          </w:p>
        </w:tc>
      </w:tr>
    </w:tbl>
    <w:p w:rsidR="00D849AA" w:rsidRDefault="00D849AA">
      <w:pPr>
        <w:jc w:val="left"/>
      </w:pPr>
    </w:p>
    <w:p w:rsidR="00D849AA" w:rsidRDefault="00EE6D95">
      <w:pPr>
        <w:pStyle w:val="Naslov7"/>
      </w:pPr>
      <w:r>
        <w:t>Cilj 2. Razvijati Hrvatski kvalifikacijski okvir i standarde kvalifikacija</w:t>
      </w:r>
    </w:p>
    <w:p w:rsidR="00D849AA" w:rsidRDefault="00EE6D95">
      <w:pPr>
        <w:pStyle w:val="Normal6"/>
      </w:pPr>
      <w:r>
        <w:t>Hrvatski kvalifikacijski okvir je reformski instrument kojim se sukladno načelima Europskog kvalifikacijskog okvira planira uređivanje cjelokupnog sustava kvalifikacija na svim obrazovnim razinama kroz standarde kvalifikacija temeljene na ishodima učenja i usklađene s potrebama tržišta rada, pojedinca i društva u cjelini. Ministarstvo znanosti, obrazovanja i sporta je nadležno za razvoj institucionalnog i zakonodavnog okvira HKO-a. Zakonom o HKO-u  koji je na snagu stupio u ožujku 2013. je predviđeno osnivanje sektorskih vijeća koja će kao stručna savjetodavna tijela, između ostalog, provoditi vrednovanje prijedloga skupova ishoda učenja, standarda zanimanja i standarda kvalifikacija. Sredstva za naknade članovima sektorskih vijeća, sukladno zakonskom prijedlogu, osiguravaju se u proračunu Ministarstva. Zakon predlaže i osnivanje Nacionalnog vijeća za razvoj ljudskih potencijala kao središnje strateško tijelo Republike Hrvatske za razvoj HKO-a koje prati i vrednuje učinke HKO-a u cijelosti i pojedinih njegovih elemenata, ocjenjuje povezanost obrazovanja s tržištem rada te prati rad sektorskih vijeća. Pored toga, radi osiguravanja kvalitete i transparentnosti primjene HKO-uspostavlja se i Registar HKO-a, koji bi se trebao uspostaviti u roku od 24 mjeseca od dana stupanja na snagu Zakona. Registar HKO-a osigurava pohranjivanje i upravljanje podacima iz tri podregistara standarda kvalifikacija, skupova ishoda učenja i standarda zanimanja. Tražena proračunska sredstva su potrebna za provedbu Zakona o Hrvatskom kvalifikacijskom okviru unutar navedenih rokova.</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Primjena HKO-a</w:t>
            </w:r>
          </w:p>
        </w:tc>
        <w:tc>
          <w:tcPr>
            <w:tcW w:w="1114" w:type="dxa"/>
          </w:tcPr>
          <w:p w:rsidR="00D849AA" w:rsidRDefault="00EE6D95">
            <w:r>
              <w:t>%</w:t>
            </w:r>
          </w:p>
        </w:tc>
        <w:tc>
          <w:tcPr>
            <w:tcW w:w="1114" w:type="dxa"/>
          </w:tcPr>
          <w:p w:rsidR="00D849AA" w:rsidRDefault="00EE6D95">
            <w:r>
              <w:t>50%</w:t>
            </w:r>
          </w:p>
        </w:tc>
        <w:tc>
          <w:tcPr>
            <w:tcW w:w="1486" w:type="dxa"/>
          </w:tcPr>
          <w:p w:rsidR="00D849AA" w:rsidRDefault="00EE6D95">
            <w:r>
              <w:t>70%</w:t>
            </w:r>
          </w:p>
        </w:tc>
        <w:tc>
          <w:tcPr>
            <w:tcW w:w="1486" w:type="dxa"/>
          </w:tcPr>
          <w:p w:rsidR="00D849AA" w:rsidRDefault="00EE6D95">
            <w:r>
              <w:t>100%</w:t>
            </w:r>
          </w:p>
        </w:tc>
        <w:tc>
          <w:tcPr>
            <w:tcW w:w="1486" w:type="dxa"/>
          </w:tcPr>
          <w:p w:rsidR="00D849AA" w:rsidRDefault="00EE6D95">
            <w:r>
              <w:t>100%</w:t>
            </w:r>
          </w:p>
        </w:tc>
      </w:tr>
    </w:tbl>
    <w:p w:rsidR="00D849AA" w:rsidRDefault="00D849AA">
      <w:pPr>
        <w:jc w:val="left"/>
      </w:pPr>
    </w:p>
    <w:p w:rsidR="00D849AA" w:rsidRDefault="00EE6D95">
      <w:pPr>
        <w:pStyle w:val="Naslov5"/>
      </w:pPr>
      <w:r>
        <w:t>Procjena i ishodište potrebnih sredstava za značajnije aktivnosti/projekte</w:t>
      </w:r>
    </w:p>
    <w:p w:rsidR="00D849AA" w:rsidRDefault="00EE6D95">
      <w:pPr>
        <w:pStyle w:val="Naslov6"/>
      </w:pPr>
      <w:r>
        <w:t>A577133 POTICANJE PROGRAMA RADA S DAROVITIM UČENICIMA I STUDENTIMA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A577133</w:t>
            </w:r>
          </w:p>
        </w:tc>
        <w:tc>
          <w:tcPr>
            <w:tcW w:w="1486" w:type="dxa"/>
          </w:tcPr>
          <w:p w:rsidR="00D849AA" w:rsidRDefault="00EE6D95">
            <w:r>
              <w:t>450.000</w:t>
            </w:r>
          </w:p>
        </w:tc>
        <w:tc>
          <w:tcPr>
            <w:tcW w:w="1486" w:type="dxa"/>
          </w:tcPr>
          <w:p w:rsidR="00D849AA" w:rsidRDefault="00EE6D95">
            <w:r>
              <w:t>445.500</w:t>
            </w:r>
          </w:p>
        </w:tc>
        <w:tc>
          <w:tcPr>
            <w:tcW w:w="1486" w:type="dxa"/>
          </w:tcPr>
          <w:p w:rsidR="00D849AA" w:rsidRDefault="00EE6D95">
            <w:r>
              <w:t>410.580</w:t>
            </w:r>
          </w:p>
        </w:tc>
        <w:tc>
          <w:tcPr>
            <w:tcW w:w="1486" w:type="dxa"/>
          </w:tcPr>
          <w:p w:rsidR="00D849AA" w:rsidRDefault="00EE6D95">
            <w:r>
              <w:t>408.528</w:t>
            </w:r>
          </w:p>
        </w:tc>
        <w:tc>
          <w:tcPr>
            <w:tcW w:w="1486" w:type="dxa"/>
          </w:tcPr>
          <w:p w:rsidR="00D849AA" w:rsidRDefault="00EE6D95">
            <w:r>
              <w:t>99,0</w:t>
            </w:r>
          </w:p>
        </w:tc>
      </w:tr>
    </w:tbl>
    <w:p w:rsidR="00D849AA" w:rsidRDefault="00D849AA">
      <w:pPr>
        <w:jc w:val="left"/>
      </w:pPr>
    </w:p>
    <w:p w:rsidR="00D849AA" w:rsidRDefault="00EE6D95">
      <w:pPr>
        <w:pStyle w:val="Normal6"/>
      </w:pPr>
      <w:r>
        <w:lastRenderedPageBreak/>
        <w:t>Sukladno Strateškom planu Ministarstva znanosti, obrazovanja i sporta u RH Ministarstvo znanosti, obrazovanja i sporta će u suradnji s drugim tijelima državne uprave, ustanovama u sustavu odgoja i obrazovanja te lokalnom i područnom (regionalnom) samoupravom omogućiti provedbu različitih programa javnih potreba (među ostalima za darovitu djecu) i drugih aktivnosti kako bi se udovoljilo osobnim, društvenim, kulturnim potrebama i sposobnostima djece i mladih.  Program za darovite obuhvaća način uočavanja, školovanja, praćenja i poticanja rada s darovitim učenicima.</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372"/>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Uključivanje učenika u programe namijenjene darovitim učenicima</w:t>
            </w:r>
          </w:p>
        </w:tc>
        <w:tc>
          <w:tcPr>
            <w:tcW w:w="1114" w:type="dxa"/>
          </w:tcPr>
          <w:p w:rsidR="00D849AA" w:rsidRDefault="00EE6D95">
            <w:r>
              <w:t>Broj učenika uključenih u programe za darovite</w:t>
            </w:r>
          </w:p>
        </w:tc>
        <w:tc>
          <w:tcPr>
            <w:tcW w:w="1114" w:type="dxa"/>
          </w:tcPr>
          <w:p w:rsidR="00D849AA" w:rsidRDefault="00EE6D95">
            <w:r>
              <w:t>1100</w:t>
            </w:r>
          </w:p>
        </w:tc>
        <w:tc>
          <w:tcPr>
            <w:tcW w:w="1486" w:type="dxa"/>
          </w:tcPr>
          <w:p w:rsidR="00D849AA" w:rsidRDefault="00EE6D95">
            <w:r>
              <w:t>1500</w:t>
            </w:r>
          </w:p>
        </w:tc>
        <w:tc>
          <w:tcPr>
            <w:tcW w:w="1486" w:type="dxa"/>
          </w:tcPr>
          <w:p w:rsidR="00D849AA" w:rsidRDefault="00EE6D95">
            <w:r>
              <w:t>1500</w:t>
            </w:r>
          </w:p>
        </w:tc>
        <w:tc>
          <w:tcPr>
            <w:tcW w:w="1486" w:type="dxa"/>
          </w:tcPr>
          <w:p w:rsidR="00D849AA" w:rsidRDefault="00EE6D95">
            <w:r>
              <w:t>1500</w:t>
            </w:r>
          </w:p>
        </w:tc>
      </w:tr>
      <w:tr w:rsidR="00D849AA">
        <w:trPr>
          <w:jc w:val="center"/>
        </w:trPr>
        <w:tc>
          <w:tcPr>
            <w:tcW w:w="2229" w:type="dxa"/>
          </w:tcPr>
          <w:p w:rsidR="00D849AA" w:rsidRDefault="00EE6D95">
            <w:pPr>
              <w:pStyle w:val="CellColumn"/>
            </w:pPr>
            <w:r>
              <w:t>Poticanje uključivanja učenika SŠ na međunarodnim natjecanjima i olimpijadama</w:t>
            </w:r>
          </w:p>
        </w:tc>
        <w:tc>
          <w:tcPr>
            <w:tcW w:w="1114" w:type="dxa"/>
          </w:tcPr>
          <w:p w:rsidR="00D849AA" w:rsidRDefault="00EE6D95">
            <w:r>
              <w:t xml:space="preserve">Broj olimpijada </w:t>
            </w:r>
          </w:p>
          <w:p w:rsidR="00D849AA" w:rsidRDefault="00EE6D95">
            <w:r>
              <w:t xml:space="preserve"> </w:t>
            </w:r>
          </w:p>
          <w:p w:rsidR="00D849AA" w:rsidRDefault="00EE6D95">
            <w:r>
              <w:t>Broj međunarodnih natjecanja</w:t>
            </w:r>
          </w:p>
        </w:tc>
        <w:tc>
          <w:tcPr>
            <w:tcW w:w="1114" w:type="dxa"/>
          </w:tcPr>
          <w:p w:rsidR="00D849AA" w:rsidRDefault="00EE6D95">
            <w:r>
              <w:t xml:space="preserve">8 </w:t>
            </w:r>
          </w:p>
          <w:p w:rsidR="00D849AA" w:rsidRDefault="00EE6D95">
            <w:r>
              <w:t xml:space="preserve"> </w:t>
            </w:r>
          </w:p>
          <w:p w:rsidR="00D849AA" w:rsidRDefault="00EE6D95">
            <w:r>
              <w:t xml:space="preserve"> </w:t>
            </w:r>
          </w:p>
          <w:p w:rsidR="00D849AA" w:rsidRDefault="00EE6D95">
            <w:r>
              <w:t>6</w:t>
            </w:r>
          </w:p>
        </w:tc>
        <w:tc>
          <w:tcPr>
            <w:tcW w:w="1486" w:type="dxa"/>
          </w:tcPr>
          <w:p w:rsidR="00D849AA" w:rsidRDefault="00EE6D95">
            <w:r>
              <w:t>15</w:t>
            </w:r>
          </w:p>
        </w:tc>
        <w:tc>
          <w:tcPr>
            <w:tcW w:w="1486" w:type="dxa"/>
          </w:tcPr>
          <w:p w:rsidR="00D849AA" w:rsidRDefault="00EE6D95">
            <w:r>
              <w:t>15</w:t>
            </w:r>
          </w:p>
        </w:tc>
        <w:tc>
          <w:tcPr>
            <w:tcW w:w="1486" w:type="dxa"/>
          </w:tcPr>
          <w:p w:rsidR="00D849AA" w:rsidRDefault="00EE6D95">
            <w:r>
              <w:t>15</w:t>
            </w:r>
          </w:p>
        </w:tc>
      </w:tr>
    </w:tbl>
    <w:p w:rsidR="00D849AA" w:rsidRDefault="00D849AA">
      <w:pPr>
        <w:jc w:val="left"/>
      </w:pPr>
    </w:p>
    <w:p w:rsidR="00D849AA" w:rsidRDefault="00EE6D95">
      <w:pPr>
        <w:pStyle w:val="Naslov6"/>
      </w:pPr>
      <w:r>
        <w:t>A679008 PROGRAM RAZVOJNE SURADNJE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A679008</w:t>
            </w:r>
          </w:p>
        </w:tc>
        <w:tc>
          <w:tcPr>
            <w:tcW w:w="1486" w:type="dxa"/>
          </w:tcPr>
          <w:p w:rsidR="00D849AA" w:rsidRDefault="00EE6D95">
            <w:r>
              <w:t>750.000</w:t>
            </w:r>
          </w:p>
        </w:tc>
        <w:tc>
          <w:tcPr>
            <w:tcW w:w="1486" w:type="dxa"/>
          </w:tcPr>
          <w:p w:rsidR="00D849AA" w:rsidRDefault="00EE6D95">
            <w:r>
              <w:t>431.905</w:t>
            </w:r>
          </w:p>
        </w:tc>
        <w:tc>
          <w:tcPr>
            <w:tcW w:w="1486" w:type="dxa"/>
          </w:tcPr>
          <w:p w:rsidR="00D849AA" w:rsidRDefault="00EE6D95">
            <w:r>
              <w:t>398.051</w:t>
            </w:r>
          </w:p>
        </w:tc>
        <w:tc>
          <w:tcPr>
            <w:tcW w:w="1486" w:type="dxa"/>
          </w:tcPr>
          <w:p w:rsidR="00D849AA" w:rsidRDefault="00EE6D95">
            <w:r>
              <w:t>346.168</w:t>
            </w:r>
          </w:p>
        </w:tc>
        <w:tc>
          <w:tcPr>
            <w:tcW w:w="1486" w:type="dxa"/>
          </w:tcPr>
          <w:p w:rsidR="00D849AA" w:rsidRDefault="00EE6D95">
            <w:r>
              <w:t>57,6</w:t>
            </w:r>
          </w:p>
        </w:tc>
      </w:tr>
    </w:tbl>
    <w:p w:rsidR="00D849AA" w:rsidRDefault="00D849AA">
      <w:pPr>
        <w:jc w:val="left"/>
      </w:pPr>
    </w:p>
    <w:p w:rsidR="00D849AA" w:rsidRDefault="00EE6D95">
      <w:pPr>
        <w:pStyle w:val="Normal6"/>
      </w:pPr>
      <w:r>
        <w:t>Republika Hrvatska je temeljem Zakona o razvojnoj suradnji i humanitarnoj pomoći inozemstvu (NN 146/2008) i Nacionalne strategije razvojne suradnje Republike Hrvatske za razdoblje od 2009. do 2014. godine (NN 24/2009) aktivna članica programa razvojne pomoći što je jedan od instrumenta za nova područja suradnje na gospodarskom, socijalnom, kulturnom i humanitarnom području te daje važnu ulogu u vanjskoj politici i jačanju međunarodne suradnje. Ministarstvo je odgovorno za provedbu hrvatskih programa službene razvojne pomoći u okviru svoje nadležnosti te je dodijelilo 7 stipendija za preddiplomski/ diplomski studij državljanima zemalja primateljicama razvojne pomoći (Namibije, Kenije, Mauricijusa, Kosova i Gambije) te je pokrenulo projekt potpore studentima iz Afganistana, Maroka i Sirije.</w:t>
      </w:r>
    </w:p>
    <w:p w:rsidR="00D849AA" w:rsidRDefault="00EE6D95">
      <w:pPr>
        <w:pStyle w:val="Naslov6"/>
      </w:pPr>
      <w:r>
        <w:t>A679009 REDOVNA DJELATNOST LEKTORATA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A679009</w:t>
            </w:r>
          </w:p>
        </w:tc>
        <w:tc>
          <w:tcPr>
            <w:tcW w:w="1486" w:type="dxa"/>
          </w:tcPr>
          <w:p w:rsidR="00D849AA" w:rsidRDefault="00EE6D95">
            <w:r>
              <w:t>3.989.635</w:t>
            </w:r>
          </w:p>
        </w:tc>
        <w:tc>
          <w:tcPr>
            <w:tcW w:w="1486" w:type="dxa"/>
          </w:tcPr>
          <w:p w:rsidR="00D849AA" w:rsidRDefault="00EE6D95">
            <w:r>
              <w:t>3.949.739</w:t>
            </w:r>
          </w:p>
        </w:tc>
        <w:tc>
          <w:tcPr>
            <w:tcW w:w="1486" w:type="dxa"/>
          </w:tcPr>
          <w:p w:rsidR="00D849AA" w:rsidRDefault="00EE6D95">
            <w:r>
              <w:t>3.640.147</w:t>
            </w:r>
          </w:p>
        </w:tc>
        <w:tc>
          <w:tcPr>
            <w:tcW w:w="1486" w:type="dxa"/>
          </w:tcPr>
          <w:p w:rsidR="00D849AA" w:rsidRDefault="00EE6D95">
            <w:r>
              <w:t>3.621.545</w:t>
            </w:r>
          </w:p>
        </w:tc>
        <w:tc>
          <w:tcPr>
            <w:tcW w:w="1486" w:type="dxa"/>
          </w:tcPr>
          <w:p w:rsidR="00D849AA" w:rsidRDefault="00EE6D95">
            <w:r>
              <w:t>99,0</w:t>
            </w:r>
          </w:p>
        </w:tc>
      </w:tr>
    </w:tbl>
    <w:p w:rsidR="00D849AA" w:rsidRDefault="00D849AA">
      <w:pPr>
        <w:jc w:val="left"/>
      </w:pPr>
    </w:p>
    <w:p w:rsidR="00D849AA" w:rsidRDefault="00EE6D95">
      <w:pPr>
        <w:pStyle w:val="Normal6"/>
      </w:pPr>
      <w:r>
        <w:lastRenderedPageBreak/>
        <w:t>MZOS sukladno službenoj politici po kojoj je afirmacija hrvatskoga jezika, književnosti i kulture jedan od nedvojbenih prioriteta strateški planira i nadzire rad lektorata hrvatskog jezika i književnosti i centara za hrvatske studije na stranim visokim učilištima te prati i podupire djelatnost stranih razmjenskih lektora na hrvatskim sveučilištima.</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Lektorati u inozemstvu</w:t>
            </w:r>
          </w:p>
        </w:tc>
        <w:tc>
          <w:tcPr>
            <w:tcW w:w="1114" w:type="dxa"/>
          </w:tcPr>
          <w:p w:rsidR="00D849AA" w:rsidRDefault="00EE6D95">
            <w:r>
              <w:t>Broj</w:t>
            </w:r>
          </w:p>
        </w:tc>
        <w:tc>
          <w:tcPr>
            <w:tcW w:w="1114" w:type="dxa"/>
          </w:tcPr>
          <w:p w:rsidR="00D849AA" w:rsidRDefault="00EE6D95">
            <w:r>
              <w:t>33</w:t>
            </w:r>
          </w:p>
        </w:tc>
        <w:tc>
          <w:tcPr>
            <w:tcW w:w="1486" w:type="dxa"/>
          </w:tcPr>
          <w:p w:rsidR="00D849AA" w:rsidRDefault="00EE6D95">
            <w:r>
              <w:t>33</w:t>
            </w:r>
          </w:p>
        </w:tc>
        <w:tc>
          <w:tcPr>
            <w:tcW w:w="1486" w:type="dxa"/>
          </w:tcPr>
          <w:p w:rsidR="00D849AA" w:rsidRDefault="00EE6D95">
            <w:r>
              <w:t>33</w:t>
            </w:r>
          </w:p>
        </w:tc>
        <w:tc>
          <w:tcPr>
            <w:tcW w:w="1486" w:type="dxa"/>
          </w:tcPr>
          <w:p w:rsidR="00D849AA" w:rsidRDefault="00EE6D95">
            <w:r>
              <w:t>33</w:t>
            </w:r>
          </w:p>
        </w:tc>
      </w:tr>
      <w:tr w:rsidR="00D849AA">
        <w:trPr>
          <w:jc w:val="center"/>
        </w:trPr>
        <w:tc>
          <w:tcPr>
            <w:tcW w:w="2229" w:type="dxa"/>
          </w:tcPr>
          <w:p w:rsidR="00D849AA" w:rsidRDefault="00EE6D95">
            <w:pPr>
              <w:pStyle w:val="CellColumn"/>
            </w:pPr>
            <w:r>
              <w:t>Lektorati u tuzemstvu</w:t>
            </w:r>
          </w:p>
        </w:tc>
        <w:tc>
          <w:tcPr>
            <w:tcW w:w="1114" w:type="dxa"/>
          </w:tcPr>
          <w:p w:rsidR="00D849AA" w:rsidRDefault="00EE6D95">
            <w:r>
              <w:t>Broj</w:t>
            </w:r>
          </w:p>
        </w:tc>
        <w:tc>
          <w:tcPr>
            <w:tcW w:w="1114" w:type="dxa"/>
          </w:tcPr>
          <w:p w:rsidR="00D849AA" w:rsidRDefault="00EE6D95">
            <w:r>
              <w:t>26</w:t>
            </w:r>
          </w:p>
        </w:tc>
        <w:tc>
          <w:tcPr>
            <w:tcW w:w="1486" w:type="dxa"/>
          </w:tcPr>
          <w:p w:rsidR="00D849AA" w:rsidRDefault="00EE6D95">
            <w:r>
              <w:t>26</w:t>
            </w:r>
          </w:p>
        </w:tc>
        <w:tc>
          <w:tcPr>
            <w:tcW w:w="1486" w:type="dxa"/>
          </w:tcPr>
          <w:p w:rsidR="00D849AA" w:rsidRDefault="00EE6D95">
            <w:r>
              <w:t>26</w:t>
            </w:r>
          </w:p>
        </w:tc>
        <w:tc>
          <w:tcPr>
            <w:tcW w:w="1486" w:type="dxa"/>
          </w:tcPr>
          <w:p w:rsidR="00D849AA" w:rsidRDefault="00EE6D95">
            <w:r>
              <w:t>26</w:t>
            </w:r>
          </w:p>
        </w:tc>
      </w:tr>
    </w:tbl>
    <w:p w:rsidR="00D849AA" w:rsidRDefault="00D849AA">
      <w:pPr>
        <w:jc w:val="left"/>
      </w:pPr>
    </w:p>
    <w:p w:rsidR="00D849AA" w:rsidRDefault="00EE6D95">
      <w:pPr>
        <w:pStyle w:val="Naslov6"/>
      </w:pPr>
      <w:r>
        <w:t>A679047 MEĐUNARODNA SURADNJA I EUROPSKI POSLOVI</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A679047</w:t>
            </w:r>
          </w:p>
        </w:tc>
        <w:tc>
          <w:tcPr>
            <w:tcW w:w="1486" w:type="dxa"/>
          </w:tcPr>
          <w:p w:rsidR="00D849AA" w:rsidRDefault="00EE6D95">
            <w:r>
              <w:t>1.110.000</w:t>
            </w:r>
          </w:p>
        </w:tc>
        <w:tc>
          <w:tcPr>
            <w:tcW w:w="1486" w:type="dxa"/>
          </w:tcPr>
          <w:p w:rsidR="00D849AA" w:rsidRDefault="00EE6D95">
            <w:r>
              <w:t>886.050</w:t>
            </w:r>
          </w:p>
        </w:tc>
        <w:tc>
          <w:tcPr>
            <w:tcW w:w="1486" w:type="dxa"/>
          </w:tcPr>
          <w:p w:rsidR="00D849AA" w:rsidRDefault="00EE6D95">
            <w:r>
              <w:t>816.599</w:t>
            </w:r>
          </w:p>
        </w:tc>
        <w:tc>
          <w:tcPr>
            <w:tcW w:w="1486" w:type="dxa"/>
          </w:tcPr>
          <w:p w:rsidR="00D849AA" w:rsidRDefault="00EE6D95">
            <w:r>
              <w:t>812.516</w:t>
            </w:r>
          </w:p>
        </w:tc>
        <w:tc>
          <w:tcPr>
            <w:tcW w:w="1486" w:type="dxa"/>
          </w:tcPr>
          <w:p w:rsidR="00D849AA" w:rsidRDefault="00EE6D95">
            <w:r>
              <w:t>79,8</w:t>
            </w:r>
          </w:p>
        </w:tc>
      </w:tr>
    </w:tbl>
    <w:p w:rsidR="00D849AA" w:rsidRDefault="00D849AA">
      <w:pPr>
        <w:jc w:val="left"/>
      </w:pPr>
    </w:p>
    <w:p w:rsidR="00D849AA" w:rsidRDefault="00EE6D95">
      <w:pPr>
        <w:pStyle w:val="Normal6"/>
      </w:pPr>
      <w:r>
        <w:t xml:space="preserve">Hrvatska kao članica EU treba sustavno raditi na većoj uključenosti odgojno-obrazovnih ustanova u provedbu ciljeva europske obrazovne politike te svoju uspješnost mjeriti izvan nacionalnih okvira. Radi toga je nužno povećati broj hrvatskih odgojno-obrazovnih ustanova koje sudjeluju u međunarodnim projektima čiji je cilj povećanje kvalitetne mobilnosti što će dovesti do povećanja kvalitete obrazovnog sustava.   </w:t>
      </w:r>
    </w:p>
    <w:p w:rsidR="00D849AA" w:rsidRDefault="00EE6D95">
      <w:pPr>
        <w:pStyle w:val="Normal6"/>
      </w:pPr>
      <w:r>
        <w:t xml:space="preserve">Pored toga, predstavnici Republike Hrvatske sudjeluju u radnim tijelima i mrežama institucija EU (pri Europskoj komisiji i Vijeću EU) kao i u radnim grupama i tijelima međunarodnih organizacija (ERI SEE/Education Reform Initiative for Southern and Eastern Europe, UNESCO, Vijeće za regionalnu suradnju/Regional Cooperation Council, Vijeće Europe/Council of Europe).  </w:t>
      </w:r>
    </w:p>
    <w:p w:rsidR="00D849AA" w:rsidRDefault="00EE6D95">
      <w:pPr>
        <w:pStyle w:val="Normal6"/>
      </w:pPr>
      <w:r>
        <w:t>Za sudjelovanje u ERI SEE zemlje potpisnice međudržavnog sporazuma plaćaju članarinu iz koje se financiraju zajedničke aktivnosti na provedbi ciljeva obrazovne politike Europske unije.</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Mobilne osobe</w:t>
            </w:r>
          </w:p>
        </w:tc>
        <w:tc>
          <w:tcPr>
            <w:tcW w:w="1114" w:type="dxa"/>
          </w:tcPr>
          <w:p w:rsidR="00D849AA" w:rsidRDefault="00EE6D95">
            <w:r>
              <w:t>Broj</w:t>
            </w:r>
          </w:p>
        </w:tc>
        <w:tc>
          <w:tcPr>
            <w:tcW w:w="1114" w:type="dxa"/>
          </w:tcPr>
          <w:p w:rsidR="00D849AA" w:rsidRDefault="00EE6D95">
            <w:r>
              <w:t>4.800</w:t>
            </w:r>
          </w:p>
        </w:tc>
        <w:tc>
          <w:tcPr>
            <w:tcW w:w="1486" w:type="dxa"/>
          </w:tcPr>
          <w:p w:rsidR="00D849AA" w:rsidRDefault="00EE6D95">
            <w:r>
              <w:t>5.100</w:t>
            </w:r>
          </w:p>
        </w:tc>
        <w:tc>
          <w:tcPr>
            <w:tcW w:w="1486" w:type="dxa"/>
          </w:tcPr>
          <w:p w:rsidR="00D849AA" w:rsidRDefault="00EE6D95">
            <w:r>
              <w:t>5.500</w:t>
            </w:r>
          </w:p>
        </w:tc>
        <w:tc>
          <w:tcPr>
            <w:tcW w:w="1486" w:type="dxa"/>
          </w:tcPr>
          <w:p w:rsidR="00D849AA" w:rsidRDefault="00EE6D95">
            <w:r>
              <w:t>5.800</w:t>
            </w:r>
          </w:p>
        </w:tc>
      </w:tr>
      <w:tr w:rsidR="00D849AA">
        <w:trPr>
          <w:jc w:val="center"/>
        </w:trPr>
        <w:tc>
          <w:tcPr>
            <w:tcW w:w="2229" w:type="dxa"/>
          </w:tcPr>
          <w:p w:rsidR="00D849AA" w:rsidRDefault="00EE6D95">
            <w:pPr>
              <w:pStyle w:val="CellColumn"/>
            </w:pPr>
            <w:r>
              <w:t>Projekti</w:t>
            </w:r>
          </w:p>
        </w:tc>
        <w:tc>
          <w:tcPr>
            <w:tcW w:w="1114" w:type="dxa"/>
          </w:tcPr>
          <w:p w:rsidR="00D849AA" w:rsidRDefault="00EE6D95">
            <w:r>
              <w:t>Broj</w:t>
            </w:r>
          </w:p>
        </w:tc>
        <w:tc>
          <w:tcPr>
            <w:tcW w:w="1114" w:type="dxa"/>
          </w:tcPr>
          <w:p w:rsidR="00D849AA" w:rsidRDefault="00EE6D95">
            <w:r>
              <w:t>350</w:t>
            </w:r>
          </w:p>
        </w:tc>
        <w:tc>
          <w:tcPr>
            <w:tcW w:w="1486" w:type="dxa"/>
          </w:tcPr>
          <w:p w:rsidR="00D849AA" w:rsidRDefault="00EE6D95">
            <w:r>
              <w:t>380</w:t>
            </w:r>
          </w:p>
        </w:tc>
        <w:tc>
          <w:tcPr>
            <w:tcW w:w="1486" w:type="dxa"/>
          </w:tcPr>
          <w:p w:rsidR="00D849AA" w:rsidRDefault="00EE6D95">
            <w:r>
              <w:t>400</w:t>
            </w:r>
          </w:p>
        </w:tc>
        <w:tc>
          <w:tcPr>
            <w:tcW w:w="1486" w:type="dxa"/>
          </w:tcPr>
          <w:p w:rsidR="00D849AA" w:rsidRDefault="00EE6D95">
            <w:r>
              <w:t>420</w:t>
            </w:r>
          </w:p>
        </w:tc>
      </w:tr>
      <w:tr w:rsidR="00D849AA">
        <w:trPr>
          <w:jc w:val="center"/>
        </w:trPr>
        <w:tc>
          <w:tcPr>
            <w:tcW w:w="2229" w:type="dxa"/>
          </w:tcPr>
          <w:p w:rsidR="00D849AA" w:rsidRDefault="00EE6D95">
            <w:pPr>
              <w:pStyle w:val="CellColumn"/>
            </w:pPr>
            <w:r>
              <w:t>Deklaracija</w:t>
            </w:r>
          </w:p>
        </w:tc>
        <w:tc>
          <w:tcPr>
            <w:tcW w:w="1114" w:type="dxa"/>
          </w:tcPr>
          <w:p w:rsidR="00D849AA" w:rsidRDefault="00EE6D95">
            <w:r>
              <w:t>Broj</w:t>
            </w:r>
          </w:p>
        </w:tc>
        <w:tc>
          <w:tcPr>
            <w:tcW w:w="1114" w:type="dxa"/>
          </w:tcPr>
          <w:p w:rsidR="00D849AA" w:rsidRDefault="00EE6D95">
            <w:r>
              <w:t>1</w:t>
            </w:r>
          </w:p>
        </w:tc>
        <w:tc>
          <w:tcPr>
            <w:tcW w:w="1486" w:type="dxa"/>
          </w:tcPr>
          <w:p w:rsidR="00D849AA" w:rsidRDefault="00EE6D95">
            <w:r>
              <w:t>1</w:t>
            </w:r>
          </w:p>
        </w:tc>
        <w:tc>
          <w:tcPr>
            <w:tcW w:w="1486" w:type="dxa"/>
          </w:tcPr>
          <w:p w:rsidR="00D849AA" w:rsidRDefault="00EE6D95">
            <w:r>
              <w:t>1</w:t>
            </w:r>
          </w:p>
        </w:tc>
        <w:tc>
          <w:tcPr>
            <w:tcW w:w="1486" w:type="dxa"/>
          </w:tcPr>
          <w:p w:rsidR="00D849AA" w:rsidRDefault="00EE6D95">
            <w:r>
              <w:t>1</w:t>
            </w:r>
          </w:p>
        </w:tc>
      </w:tr>
      <w:tr w:rsidR="00D849AA">
        <w:trPr>
          <w:jc w:val="center"/>
        </w:trPr>
        <w:tc>
          <w:tcPr>
            <w:tcW w:w="2229" w:type="dxa"/>
          </w:tcPr>
          <w:p w:rsidR="00D849AA" w:rsidRDefault="00EE6D95">
            <w:pPr>
              <w:pStyle w:val="CellColumn"/>
            </w:pPr>
            <w:r>
              <w:t>Međunarodna tijela</w:t>
            </w:r>
          </w:p>
        </w:tc>
        <w:tc>
          <w:tcPr>
            <w:tcW w:w="1114" w:type="dxa"/>
          </w:tcPr>
          <w:p w:rsidR="00D849AA" w:rsidRDefault="00EE6D95">
            <w:r>
              <w:t>Broj</w:t>
            </w:r>
          </w:p>
        </w:tc>
        <w:tc>
          <w:tcPr>
            <w:tcW w:w="1114" w:type="dxa"/>
          </w:tcPr>
          <w:p w:rsidR="00D849AA" w:rsidRDefault="00EE6D95">
            <w:r>
              <w:t>30</w:t>
            </w:r>
          </w:p>
        </w:tc>
        <w:tc>
          <w:tcPr>
            <w:tcW w:w="1486" w:type="dxa"/>
          </w:tcPr>
          <w:p w:rsidR="00D849AA" w:rsidRDefault="00EE6D95">
            <w:r>
              <w:t>33</w:t>
            </w:r>
          </w:p>
        </w:tc>
        <w:tc>
          <w:tcPr>
            <w:tcW w:w="1486" w:type="dxa"/>
          </w:tcPr>
          <w:p w:rsidR="00D849AA" w:rsidRDefault="00EE6D95">
            <w:r>
              <w:t>36</w:t>
            </w:r>
          </w:p>
        </w:tc>
        <w:tc>
          <w:tcPr>
            <w:tcW w:w="1486" w:type="dxa"/>
          </w:tcPr>
          <w:p w:rsidR="00D849AA" w:rsidRDefault="00EE6D95">
            <w:r>
              <w:t>40</w:t>
            </w:r>
          </w:p>
        </w:tc>
      </w:tr>
      <w:tr w:rsidR="00D849AA">
        <w:trPr>
          <w:jc w:val="center"/>
        </w:trPr>
        <w:tc>
          <w:tcPr>
            <w:tcW w:w="2229" w:type="dxa"/>
          </w:tcPr>
          <w:p w:rsidR="00D849AA" w:rsidRDefault="00EE6D95">
            <w:pPr>
              <w:pStyle w:val="CellColumn"/>
            </w:pPr>
            <w:r>
              <w:t>Projekti</w:t>
            </w:r>
          </w:p>
        </w:tc>
        <w:tc>
          <w:tcPr>
            <w:tcW w:w="1114" w:type="dxa"/>
          </w:tcPr>
          <w:p w:rsidR="00D849AA" w:rsidRDefault="00EE6D95">
            <w:r>
              <w:t>Broj</w:t>
            </w:r>
          </w:p>
        </w:tc>
        <w:tc>
          <w:tcPr>
            <w:tcW w:w="1114" w:type="dxa"/>
          </w:tcPr>
          <w:p w:rsidR="00D849AA" w:rsidRDefault="00EE6D95">
            <w:r>
              <w:t>2</w:t>
            </w:r>
          </w:p>
        </w:tc>
        <w:tc>
          <w:tcPr>
            <w:tcW w:w="1486" w:type="dxa"/>
          </w:tcPr>
          <w:p w:rsidR="00D849AA" w:rsidRDefault="00EE6D95">
            <w:r>
              <w:t>4</w:t>
            </w:r>
          </w:p>
        </w:tc>
        <w:tc>
          <w:tcPr>
            <w:tcW w:w="1486" w:type="dxa"/>
          </w:tcPr>
          <w:p w:rsidR="00D849AA" w:rsidRDefault="00EE6D95">
            <w:r>
              <w:t>5</w:t>
            </w:r>
          </w:p>
        </w:tc>
        <w:tc>
          <w:tcPr>
            <w:tcW w:w="1486" w:type="dxa"/>
          </w:tcPr>
          <w:p w:rsidR="00D849AA" w:rsidRDefault="00EE6D95">
            <w:r>
              <w:t>6</w:t>
            </w:r>
          </w:p>
        </w:tc>
      </w:tr>
    </w:tbl>
    <w:p w:rsidR="00D849AA" w:rsidRDefault="00D849AA">
      <w:pPr>
        <w:jc w:val="left"/>
      </w:pPr>
    </w:p>
    <w:p w:rsidR="00D849AA" w:rsidRDefault="00EE6D95">
      <w:pPr>
        <w:pStyle w:val="Naslov6"/>
      </w:pPr>
      <w:r>
        <w:lastRenderedPageBreak/>
        <w:t>A767028 HRVATSKI KVALIFIKACIJSKI OKVIR</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A767028</w:t>
            </w:r>
          </w:p>
        </w:tc>
        <w:tc>
          <w:tcPr>
            <w:tcW w:w="1486" w:type="dxa"/>
          </w:tcPr>
          <w:p w:rsidR="00D849AA" w:rsidRDefault="00EE6D95">
            <w:r>
              <w:t>1.311.000</w:t>
            </w:r>
          </w:p>
        </w:tc>
        <w:tc>
          <w:tcPr>
            <w:tcW w:w="1486" w:type="dxa"/>
          </w:tcPr>
          <w:p w:rsidR="00D849AA" w:rsidRDefault="00EE6D95">
            <w:r>
              <w:t>1.393.380</w:t>
            </w:r>
          </w:p>
        </w:tc>
        <w:tc>
          <w:tcPr>
            <w:tcW w:w="1486" w:type="dxa"/>
          </w:tcPr>
          <w:p w:rsidR="00D849AA" w:rsidRDefault="00EE6D95">
            <w:r>
              <w:t>1.284.163</w:t>
            </w:r>
          </w:p>
        </w:tc>
        <w:tc>
          <w:tcPr>
            <w:tcW w:w="1486" w:type="dxa"/>
          </w:tcPr>
          <w:p w:rsidR="00D849AA" w:rsidRDefault="00EE6D95">
            <w:r>
              <w:t>1.277.742</w:t>
            </w:r>
          </w:p>
        </w:tc>
        <w:tc>
          <w:tcPr>
            <w:tcW w:w="1486" w:type="dxa"/>
          </w:tcPr>
          <w:p w:rsidR="00D849AA" w:rsidRDefault="00EE6D95">
            <w:r>
              <w:t>106,3</w:t>
            </w:r>
          </w:p>
        </w:tc>
      </w:tr>
    </w:tbl>
    <w:p w:rsidR="00D849AA" w:rsidRDefault="00D849AA">
      <w:pPr>
        <w:jc w:val="left"/>
      </w:pPr>
    </w:p>
    <w:p w:rsidR="00D849AA" w:rsidRDefault="00EE6D95">
      <w:pPr>
        <w:pStyle w:val="Normal6"/>
      </w:pPr>
      <w:r>
        <w:t>Hrvatski kvalifikacijski okvir je reformski instrument kojim se sukladno načelima Europskog kvalifikacijskog okvira planira uređivanje cjelokupnog sustava kvalifikacija na svim obrazovnim razinama kroz standarde kvalifikacija temeljene na ishodima učenja i usklađene s potrebama tržišta rada, pojedinca i društva u cjelini. Ministarstvo znanosti, obrazovanja i sporta je nadležno za razvoj institucionalnog i zakonodavnog okvira HKO-a. Zakon o Hrvatskom kvalifikacijskom okviru stupio je na snagu 2. ožujka 2013., a usvajanje Pravilnika o Registru Hrvatskog kvalifikacijskog okvira i Pravilnika o neformalnom i informalnom vrednovanju očekuje se u 2014. godini. U okviru aktivnosti planirana su sredstva za uspostavu Sektorskih vijeća i Nacionalnog vijeća za razvoj ljudskih potencijala, naknade za rad i putne troškove za njihove članove, promidžba i informiranje javnosti o provedbi HKO-a, izrada i tisak promotivnih materijala, uspostava Registra HKO-a u obliku informacijskog sustava, sudjelovanje na nacionalnim i međunarodnim aktivnostima vezanim uz provedbu kvalifikacijskih okvira i priznavanje prethodnog učenja, izrada stručnih materijala i studija, vođenje edukativnih radionica.</w:t>
      </w:r>
    </w:p>
    <w:p w:rsidR="00D849AA" w:rsidRDefault="00EE6D95">
      <w:pPr>
        <w:pStyle w:val="Naslov6"/>
      </w:pPr>
      <w:r>
        <w:t>A818034 PROJEKT POVEZIVANJA S EUROPSKIM KVALIFIKACIJSKIM OKVIROM - EQF NCP GRANT</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A818034</w:t>
            </w:r>
          </w:p>
        </w:tc>
        <w:tc>
          <w:tcPr>
            <w:tcW w:w="1486" w:type="dxa"/>
          </w:tcPr>
          <w:p w:rsidR="00D849AA" w:rsidRDefault="00EE6D95">
            <w:r>
              <w:t>100.000</w:t>
            </w:r>
          </w:p>
        </w:tc>
        <w:tc>
          <w:tcPr>
            <w:tcW w:w="1486" w:type="dxa"/>
          </w:tcPr>
          <w:p w:rsidR="00D849AA" w:rsidRDefault="00EE6D95">
            <w:r>
              <w:t>100.000</w:t>
            </w:r>
          </w:p>
        </w:tc>
        <w:tc>
          <w:tcPr>
            <w:tcW w:w="1486" w:type="dxa"/>
          </w:tcPr>
          <w:p w:rsidR="00D849AA" w:rsidRDefault="00EE6D95">
            <w:r>
              <w:t>100.000</w:t>
            </w:r>
          </w:p>
        </w:tc>
        <w:tc>
          <w:tcPr>
            <w:tcW w:w="1486" w:type="dxa"/>
          </w:tcPr>
          <w:p w:rsidR="00D849AA" w:rsidRDefault="00EE6D95">
            <w:r>
              <w:t>100.000</w:t>
            </w:r>
          </w:p>
        </w:tc>
        <w:tc>
          <w:tcPr>
            <w:tcW w:w="1486" w:type="dxa"/>
          </w:tcPr>
          <w:p w:rsidR="00D849AA" w:rsidRDefault="00EE6D95">
            <w:r>
              <w:t>100,0</w:t>
            </w:r>
          </w:p>
        </w:tc>
      </w:tr>
    </w:tbl>
    <w:p w:rsidR="00D849AA" w:rsidRDefault="00D849AA">
      <w:pPr>
        <w:jc w:val="left"/>
      </w:pPr>
    </w:p>
    <w:p w:rsidR="00D849AA" w:rsidRDefault="00EE6D95">
      <w:pPr>
        <w:pStyle w:val="Normal6"/>
      </w:pPr>
      <w:r>
        <w:t>Hrvatski kvalifikacijski okvir nužno je povezati s Europskim kvalifikacijskim okvirom za što Europska komisija svake godine dodjeljuje darovnicu sukladno predloženom godišnjem planu aktivnosti i potpisivanju ugovora između MZOS-a i Izvršne agencije za kulturu, obrazovanje i audiovizualnu politiku. Za provedbu darovnice nužno je osigurati nacionalno sufinanciranje u iznosu od 25 % koje se osigurava na aktivnosti A767028 Hrvatski kvalifikacijski okvir.</w:t>
      </w:r>
    </w:p>
    <w:p w:rsidR="00D849AA" w:rsidRDefault="00EE6D95">
      <w:pPr>
        <w:pStyle w:val="Naslov6"/>
      </w:pPr>
      <w:r>
        <w:t>K621173 INFORMACIJSKA INFRASTRUKTURA SUSTAVA VISOKOG OBRAZOVANJA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K621173</w:t>
            </w:r>
          </w:p>
        </w:tc>
        <w:tc>
          <w:tcPr>
            <w:tcW w:w="1486" w:type="dxa"/>
          </w:tcPr>
          <w:p w:rsidR="00D849AA" w:rsidRDefault="00EE6D95">
            <w:r>
              <w:t>9.208.400</w:t>
            </w:r>
          </w:p>
        </w:tc>
        <w:tc>
          <w:tcPr>
            <w:tcW w:w="1486" w:type="dxa"/>
          </w:tcPr>
          <w:p w:rsidR="00D849AA" w:rsidRDefault="00EE6D95">
            <w:r>
              <w:t>12.523.500</w:t>
            </w:r>
          </w:p>
        </w:tc>
        <w:tc>
          <w:tcPr>
            <w:tcW w:w="1486" w:type="dxa"/>
          </w:tcPr>
          <w:p w:rsidR="00D849AA" w:rsidRDefault="00EE6D95">
            <w:r>
              <w:t>11.541.873</w:t>
            </w:r>
          </w:p>
        </w:tc>
        <w:tc>
          <w:tcPr>
            <w:tcW w:w="1486" w:type="dxa"/>
          </w:tcPr>
          <w:p w:rsidR="00D849AA" w:rsidRDefault="00EE6D95">
            <w:r>
              <w:t>11.484.163</w:t>
            </w:r>
          </w:p>
        </w:tc>
        <w:tc>
          <w:tcPr>
            <w:tcW w:w="1486" w:type="dxa"/>
          </w:tcPr>
          <w:p w:rsidR="00D849AA" w:rsidRDefault="00EE6D95">
            <w:r>
              <w:t>136,0</w:t>
            </w:r>
          </w:p>
        </w:tc>
      </w:tr>
    </w:tbl>
    <w:p w:rsidR="00D849AA" w:rsidRDefault="00D849AA">
      <w:pPr>
        <w:jc w:val="left"/>
      </w:pPr>
    </w:p>
    <w:p w:rsidR="00D849AA" w:rsidRDefault="00EE6D95">
      <w:pPr>
        <w:pStyle w:val="Normal6"/>
      </w:pPr>
      <w:r>
        <w:t xml:space="preserve">U okviru aktivnosti  planirana su sredstva za nabavu licenci za SAP  financijsko informacijskog sustava sedam sveučilišta - IFIS/HR-S7 i Microsoft programskih proizvoda  za visoka učilišta, te Informix licenci za Informacijski sustav visokih učilišta –ISVU. Također u okviru ove akitvnosti planirana su sredstva za proširenje kapaciteta zajedničke računalno-komunikacijske i podatkovne infrastrukture sustva visokog obrazovanja. </w:t>
      </w:r>
    </w:p>
    <w:p w:rsidR="00D849AA" w:rsidRDefault="00EE6D95">
      <w:pPr>
        <w:pStyle w:val="Normal6"/>
      </w:pPr>
      <w:r>
        <w:lastRenderedPageBreak/>
        <w:t>Planirana su i sredstva za uslugu tehničke i aplikativne podršku SAP financijsko informacijskog sustava sedam sveučilišta RH – IFIS/HR-S7 koju čine izmjene softver zbog promjene poslovnih procesa, pomoć korisnicima pri koristenju softvera, upadate SAP softvera i uklanjanje grešaka u softveru i sistemsko održavanje. Također, u okviru aktivnosti planirana su sredstva za razvoj Informacijskog sustava visokih učilišta temeljem Pravilnika o radu Centra potpore Informacijskom sustavu visokih učilišta – ISVU, te sredstva za razvoj Informacijskog sustava studentskih prava ISSP i Informacijskog sustava akademskih kartica ISAK.</w:t>
      </w:r>
    </w:p>
    <w:p w:rsidR="001A0148" w:rsidRDefault="001A0148" w:rsidP="001A0148">
      <w:pPr>
        <w:pStyle w:val="Naslov4"/>
      </w:pPr>
      <w:r>
        <w:t>OBRAZLOŽENJE PROGRAMA</w:t>
      </w:r>
    </w:p>
    <w:p w:rsidR="00D849AA" w:rsidRDefault="00EE6D95">
      <w:pPr>
        <w:pStyle w:val="Naslov5"/>
      </w:pPr>
      <w:r>
        <w:t>3702 PREDŠKOLSKI ODGOJ</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3702</w:t>
            </w:r>
          </w:p>
        </w:tc>
        <w:tc>
          <w:tcPr>
            <w:tcW w:w="1486" w:type="dxa"/>
          </w:tcPr>
          <w:p w:rsidR="00D849AA" w:rsidRDefault="00EE6D95">
            <w:r>
              <w:t>17.765.718</w:t>
            </w:r>
          </w:p>
        </w:tc>
        <w:tc>
          <w:tcPr>
            <w:tcW w:w="1486" w:type="dxa"/>
          </w:tcPr>
          <w:p w:rsidR="00D849AA" w:rsidRDefault="00EE6D95">
            <w:r>
              <w:t>19.508.253</w:t>
            </w:r>
          </w:p>
        </w:tc>
        <w:tc>
          <w:tcPr>
            <w:tcW w:w="1486" w:type="dxa"/>
          </w:tcPr>
          <w:p w:rsidR="00D849AA" w:rsidRDefault="00EE6D95">
            <w:r>
              <w:t>21.136.133</w:t>
            </w:r>
          </w:p>
        </w:tc>
        <w:tc>
          <w:tcPr>
            <w:tcW w:w="1486" w:type="dxa"/>
          </w:tcPr>
          <w:p w:rsidR="00D849AA" w:rsidRDefault="00EE6D95">
            <w:r>
              <w:t>19.040.452</w:t>
            </w:r>
          </w:p>
        </w:tc>
        <w:tc>
          <w:tcPr>
            <w:tcW w:w="1486" w:type="dxa"/>
          </w:tcPr>
          <w:p w:rsidR="00D849AA" w:rsidRDefault="00EE6D95">
            <w:r>
              <w:t>109,8</w:t>
            </w:r>
          </w:p>
        </w:tc>
      </w:tr>
    </w:tbl>
    <w:p w:rsidR="00D849AA" w:rsidRDefault="00D849AA">
      <w:pPr>
        <w:jc w:val="left"/>
      </w:pPr>
    </w:p>
    <w:p w:rsidR="00D849AA" w:rsidRDefault="00EE6D95">
      <w:pPr>
        <w:pStyle w:val="Naslov6"/>
      </w:pPr>
      <w:r>
        <w:t>Opis programa</w:t>
      </w:r>
    </w:p>
    <w:p w:rsidR="00D849AA" w:rsidRDefault="00EE6D95">
      <w:pPr>
        <w:pStyle w:val="Normal5"/>
      </w:pPr>
      <w:r>
        <w:t>Služba za predškolski odgoj i obrazovanje je dio Uprave odgoja i obrazovanja MZOS-a koja skrbi o djeci rane i predškolske dobi s posebnim naglaskom na pružanje potpore djeci u programima od posebnog državnog interesa, odnosno o djeci pripadnicima nacionalnih manjina koja se uključuju u programe na jeziku i pismu određene nacionalne manjine, djeci s posebnim potrebama (s teškoćama i darovitoj djeci), kao i djeci u programu predškole.</w:t>
      </w:r>
    </w:p>
    <w:p w:rsidR="00D849AA" w:rsidRDefault="00EE6D95">
      <w:pPr>
        <w:pStyle w:val="Naslov6"/>
      </w:pPr>
      <w:r>
        <w:t>Zakonske i druge pravne osnove</w:t>
      </w:r>
    </w:p>
    <w:p w:rsidR="00D849AA" w:rsidRDefault="00EE6D95">
      <w:pPr>
        <w:pStyle w:val="Normal5"/>
      </w:pPr>
      <w:r>
        <w:t>Zakon o predškolskom odgoju i obrazovanju (Narodne novine, broj 10/1997, 107/2007 i 94/2013)</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 xml:space="preserve">Cilj 1. Održiva kvaliteta odgojno-obrazovnog sustava </w:t>
      </w:r>
    </w:p>
    <w:p w:rsidR="00D849AA" w:rsidRDefault="00EE6D95">
      <w:pPr>
        <w:pStyle w:val="Normal6"/>
      </w:pPr>
      <w:r>
        <w:t>Pružanje potpore djeci rane i predškolske dobi u sustavu predškolskog odgoja i obrazovanja prema njihovim potrebama. Dugoročni ciljevi ovih programa odnose se na pružanje državne potpore djeci predškolske dobi uključenoj u programe javnih potreba radi ostvarivanja njihovih prava na osiguravanje primjerenih uvjeta predškolskog odgoja i obrazovanja prema njihovim specifičnostima, potrebama i sposobnostima. Znači, sredstvima državnog proračuna osiguravaju se, uz osnovne uvjete koje osigurava osnivač dječjeg vrtića, dodatna didaktička sredstva i pomagala radi veće kvalitetekoja je potrebna osobito djeci s posebnim potrebama te radi stručnog usavršavanja odgojitelja/ica i stručnih suradnika/ca koji rade s tom djecom programima javnih potreba. Kratkoročni ciljevi odnose se na osiguravanje potrebnih sredstava u državnom proračunu za svaku pedagošku godinu kako bi se mogle zadovoljiti trenutačne potrebe djece u programima javnih potreba koje iskazuju dječji vrtići i druge pravne osobe koje provode takve programe predškolskog odgoja i obrazovanja.</w:t>
      </w:r>
    </w:p>
    <w:p w:rsidR="00D849AA" w:rsidRDefault="00EE6D95">
      <w:pPr>
        <w:pStyle w:val="Naslov5"/>
      </w:pPr>
      <w:r>
        <w:lastRenderedPageBreak/>
        <w:t>Procjena i ishodište potrebnih sredstava za značajnije aktivnosti/projekte</w:t>
      </w:r>
    </w:p>
    <w:p w:rsidR="00D849AA" w:rsidRDefault="00EE6D95">
      <w:pPr>
        <w:pStyle w:val="Naslov6"/>
      </w:pPr>
      <w:r>
        <w:t>A578003 ODGOJ I NAOBRAZBA DJECE PRIPADNIKA NACIONALNIH MANJINA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A578003</w:t>
            </w:r>
          </w:p>
        </w:tc>
        <w:tc>
          <w:tcPr>
            <w:tcW w:w="1486" w:type="dxa"/>
          </w:tcPr>
          <w:p w:rsidR="00D849AA" w:rsidRDefault="00EE6D95">
            <w:r>
              <w:t>1.400.708</w:t>
            </w:r>
          </w:p>
        </w:tc>
        <w:tc>
          <w:tcPr>
            <w:tcW w:w="1486" w:type="dxa"/>
          </w:tcPr>
          <w:p w:rsidR="00D849AA" w:rsidRDefault="00EE6D95">
            <w:r>
              <w:t>1.386.701</w:t>
            </w:r>
          </w:p>
        </w:tc>
        <w:tc>
          <w:tcPr>
            <w:tcW w:w="1486" w:type="dxa"/>
          </w:tcPr>
          <w:p w:rsidR="00D849AA" w:rsidRDefault="00EE6D95">
            <w:r>
              <w:t>1.278.007</w:t>
            </w:r>
          </w:p>
        </w:tc>
        <w:tc>
          <w:tcPr>
            <w:tcW w:w="1486" w:type="dxa"/>
          </w:tcPr>
          <w:p w:rsidR="00D849AA" w:rsidRDefault="00EE6D95">
            <w:r>
              <w:t>1.271.617</w:t>
            </w:r>
          </w:p>
        </w:tc>
        <w:tc>
          <w:tcPr>
            <w:tcW w:w="1486" w:type="dxa"/>
          </w:tcPr>
          <w:p w:rsidR="00D849AA" w:rsidRDefault="00EE6D95">
            <w:r>
              <w:t>99,0</w:t>
            </w:r>
          </w:p>
        </w:tc>
      </w:tr>
    </w:tbl>
    <w:p w:rsidR="00D849AA" w:rsidRDefault="00D849AA">
      <w:pPr>
        <w:jc w:val="left"/>
      </w:pPr>
    </w:p>
    <w:p w:rsidR="00D849AA" w:rsidRDefault="00EE6D95">
      <w:pPr>
        <w:pStyle w:val="Normal6"/>
      </w:pPr>
      <w:r>
        <w:t>Sredstva na ovoj aktivnosti namijenjena su sufinanciranju programa djece rane i predškolske dobi pripadnika nacionalnih manjina. Aktivnošću će biti obuhvaćeno 2.259 djece rane i predškolske dobi pripadnika nacionalnih manjina, a mjesečna rata je 153.125,00 kuna. Za djecu pripadnike nacionalnih manjina koja su uključena u programe predškolskog odgoja namijenjena su sredstva za nabavku didaktičkih sredstava i pomagala na pismu i jeziku određene nacionalne manjine te za stručna usavršavanja odgojno-obrazovnih radnika (odgojitelja i stručnih suradnika) koji rade s tom djecom.</w:t>
      </w:r>
    </w:p>
    <w:p w:rsidR="00D849AA" w:rsidRDefault="00EE6D95">
      <w:pPr>
        <w:pStyle w:val="Naslov6"/>
      </w:pPr>
      <w:r>
        <w:t>A578004 ODGOJ I NAOBRAZBA DJECE S TEŠKOĆAMA U RAZVOJU (SUFINANCIRANJE)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A578004</w:t>
            </w:r>
          </w:p>
        </w:tc>
        <w:tc>
          <w:tcPr>
            <w:tcW w:w="1486" w:type="dxa"/>
          </w:tcPr>
          <w:p w:rsidR="00D849AA" w:rsidRDefault="00EE6D95">
            <w:r>
              <w:t>9.704.598</w:t>
            </w:r>
          </w:p>
        </w:tc>
        <w:tc>
          <w:tcPr>
            <w:tcW w:w="1486" w:type="dxa"/>
          </w:tcPr>
          <w:p w:rsidR="00D849AA" w:rsidRDefault="00EE6D95">
            <w:r>
              <w:t>9.607.552</w:t>
            </w:r>
          </w:p>
        </w:tc>
        <w:tc>
          <w:tcPr>
            <w:tcW w:w="1486" w:type="dxa"/>
          </w:tcPr>
          <w:p w:rsidR="00D849AA" w:rsidRDefault="00EE6D95">
            <w:r>
              <w:t>8.854.485</w:t>
            </w:r>
          </w:p>
        </w:tc>
        <w:tc>
          <w:tcPr>
            <w:tcW w:w="1486" w:type="dxa"/>
          </w:tcPr>
          <w:p w:rsidR="00D849AA" w:rsidRDefault="00EE6D95">
            <w:r>
              <w:t>8.810.212</w:t>
            </w:r>
          </w:p>
        </w:tc>
        <w:tc>
          <w:tcPr>
            <w:tcW w:w="1486" w:type="dxa"/>
          </w:tcPr>
          <w:p w:rsidR="00D849AA" w:rsidRDefault="00EE6D95">
            <w:r>
              <w:t>99,0</w:t>
            </w:r>
          </w:p>
        </w:tc>
      </w:tr>
    </w:tbl>
    <w:p w:rsidR="00D849AA" w:rsidRDefault="00D849AA">
      <w:pPr>
        <w:jc w:val="left"/>
      </w:pPr>
    </w:p>
    <w:p w:rsidR="00D849AA" w:rsidRDefault="00EE6D95">
      <w:pPr>
        <w:pStyle w:val="Normal6"/>
      </w:pPr>
      <w:r>
        <w:t>Sredstva na ovoj aktivnosti namijenjena su sufinanciranju djece s teškoćama uključene u redovite programe (integracija) i posebne programe ustrojene u dječjim vrtićima ili odgojno-obrazovnim ustanovama. Aktivnošću je obuhvaćeno 1.742 djece rane i predškolske dobi s teškoćama u razvoju (1.119 djece je u integraciji, a 623 u posebnim odgojno-obrazovnim skupinama u redovitom dječjem vrtiću ili u dječjem vrtiću namijenjenom samo za djecu s teškoćama), a mjesečna rata je 1094.200,00 kuna. Za djecu s teškoćama koja su uključena u programe predškolskog odgoja namijenjena su sredstva za nabavku didaktičkih sredstava i pomagala koja su prijeko potrebna za djecu prema njihovim teškoćama te za stručna usavršavanja odgojno-obrazovnih radnika (odgojitelja i stručnih suradnika) koji rade s tom djecom.</w:t>
      </w:r>
    </w:p>
    <w:p w:rsidR="00D849AA" w:rsidRDefault="00EE6D95">
      <w:pPr>
        <w:pStyle w:val="Naslov6"/>
      </w:pPr>
      <w:r>
        <w:t>A578008 ODGOJ I NAOBRAZBA DJECE U PROGRAMIMA PREDŠKOLE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A578008</w:t>
            </w:r>
          </w:p>
        </w:tc>
        <w:tc>
          <w:tcPr>
            <w:tcW w:w="1486" w:type="dxa"/>
          </w:tcPr>
          <w:p w:rsidR="00D849AA" w:rsidRDefault="00EE6D95">
            <w:r>
              <w:t>2.800.000</w:t>
            </w:r>
          </w:p>
        </w:tc>
        <w:tc>
          <w:tcPr>
            <w:tcW w:w="1486" w:type="dxa"/>
          </w:tcPr>
          <w:p w:rsidR="00D849AA" w:rsidRDefault="00EE6D95">
            <w:r>
              <w:t>3.960.000</w:t>
            </w:r>
          </w:p>
        </w:tc>
        <w:tc>
          <w:tcPr>
            <w:tcW w:w="1486" w:type="dxa"/>
          </w:tcPr>
          <w:p w:rsidR="00D849AA" w:rsidRDefault="00EE6D95">
            <w:r>
              <w:t>8.000.000</w:t>
            </w:r>
          </w:p>
        </w:tc>
        <w:tc>
          <w:tcPr>
            <w:tcW w:w="1486" w:type="dxa"/>
          </w:tcPr>
          <w:p w:rsidR="00D849AA" w:rsidRDefault="00EE6D95">
            <w:r>
              <w:t>7.960.000</w:t>
            </w:r>
          </w:p>
        </w:tc>
        <w:tc>
          <w:tcPr>
            <w:tcW w:w="1486" w:type="dxa"/>
          </w:tcPr>
          <w:p w:rsidR="00D849AA" w:rsidRDefault="00EE6D95">
            <w:r>
              <w:t>141,4</w:t>
            </w:r>
          </w:p>
        </w:tc>
      </w:tr>
    </w:tbl>
    <w:p w:rsidR="00D849AA" w:rsidRDefault="00D849AA">
      <w:pPr>
        <w:jc w:val="left"/>
      </w:pPr>
    </w:p>
    <w:p w:rsidR="00D849AA" w:rsidRDefault="00EE6D95">
      <w:pPr>
        <w:pStyle w:val="Normal6"/>
      </w:pPr>
      <w:r>
        <w:t xml:space="preserve">Sredstva su na ovoj aktivnosti namijenjena sufinanciranju djece u šestoj godini života uključenoj u programe predškole. Aktivnošću će biti obuhvaćeno 13.000 djece u godini dana prije polaska u osnovnu školu koja nisu polaznici dječjeg vrtića ili nekog drugog programa predškolskog odgoja ustrojenog pri pravnoj osobi prema odredbama Zakona o predškolskom odgoju i obrazovanju i to kroz šest mjeseci, a mjesečna rata je 264.680,00 kuna, a od rujna 2014. godine, budući da će program predškole biti obvezan za svu djecu u godini dana prije polaska u osnovnu školu, to znači da će u programu predškole do kraja 2014. godine biti uključeno cca 40.000 djece, a mjesečna rata će iznositi 800.000 kuna </w:t>
      </w:r>
      <w:r>
        <w:lastRenderedPageBreak/>
        <w:t>namijenjenih za nabavku didaktičkih sredstava i pomagala potrebnih za predčitalačke i predpismene vježbe te za stručna usavršavanja odgojitelja i stručnih suradnika koji će raditi  s tom djecom.</w:t>
      </w:r>
    </w:p>
    <w:p w:rsidR="00D849AA" w:rsidRDefault="00EE6D95">
      <w:pPr>
        <w:pStyle w:val="Naslov6"/>
      </w:pPr>
      <w:r>
        <w:t>A578009 ODGOJ I OBRAZOVANJE DAROVITE DJECE PREDŠKOLSKE DOBI U DJEČJIM VRTIĆIMA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A578009</w:t>
            </w:r>
          </w:p>
        </w:tc>
        <w:tc>
          <w:tcPr>
            <w:tcW w:w="1486" w:type="dxa"/>
          </w:tcPr>
          <w:p w:rsidR="00D849AA" w:rsidRDefault="00EE6D95">
            <w:r>
              <w:t>1.010.412</w:t>
            </w:r>
          </w:p>
        </w:tc>
        <w:tc>
          <w:tcPr>
            <w:tcW w:w="1486" w:type="dxa"/>
          </w:tcPr>
          <w:p w:rsidR="00D849AA" w:rsidRDefault="00EE6D95">
            <w:r>
              <w:t>1.089.000</w:t>
            </w:r>
          </w:p>
        </w:tc>
        <w:tc>
          <w:tcPr>
            <w:tcW w:w="1486" w:type="dxa"/>
          </w:tcPr>
          <w:p w:rsidR="00D849AA" w:rsidRDefault="00EE6D95">
            <w:r>
              <w:t>1.003.641</w:t>
            </w:r>
          </w:p>
        </w:tc>
        <w:tc>
          <w:tcPr>
            <w:tcW w:w="1486" w:type="dxa"/>
          </w:tcPr>
          <w:p w:rsidR="00D849AA" w:rsidRDefault="00EE6D95">
            <w:r>
              <w:t>998.623</w:t>
            </w:r>
          </w:p>
        </w:tc>
        <w:tc>
          <w:tcPr>
            <w:tcW w:w="1486" w:type="dxa"/>
          </w:tcPr>
          <w:p w:rsidR="00D849AA" w:rsidRDefault="00EE6D95">
            <w:r>
              <w:t>107,8</w:t>
            </w:r>
          </w:p>
        </w:tc>
      </w:tr>
    </w:tbl>
    <w:p w:rsidR="00D849AA" w:rsidRDefault="00D849AA">
      <w:pPr>
        <w:jc w:val="left"/>
      </w:pPr>
    </w:p>
    <w:p w:rsidR="00D849AA" w:rsidRDefault="00EE6D95">
      <w:pPr>
        <w:pStyle w:val="Normal6"/>
      </w:pPr>
      <w:r>
        <w:t>Sredstva na ovoj aktivnosti namijenjena su darovitoj djeci uključenoj u redovite programe dječjeg vrtića. Aktivnošću će biti obuhvaćeno 1.016 darovite djece rane i predškolske dobi, a mjesečna rata je 304.800,00 kuna. Za darovitu djecu koja su uključena u programe predškolskog odgoja namijenjena su sredstva za nabavku didaktičkih sredstava i pomagala prema njihovoj darovitosti te za stručna usavršavanja odgojno-obrazovnih radnika (odgojitelja i stručnih suradnika) koji rade s tom djecom.</w:t>
      </w:r>
    </w:p>
    <w:p w:rsidR="001A0148" w:rsidRDefault="001A0148" w:rsidP="001A0148">
      <w:pPr>
        <w:pStyle w:val="Naslov4"/>
      </w:pPr>
      <w:r>
        <w:t>OBRAZLOŽENJE PROGRAMA</w:t>
      </w:r>
    </w:p>
    <w:p w:rsidR="00D849AA" w:rsidRDefault="00EE6D95">
      <w:pPr>
        <w:pStyle w:val="Naslov5"/>
      </w:pPr>
      <w:r>
        <w:t>3703 OSNOVNOŠKOLSKO OBRAZOVANJE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3703</w:t>
            </w:r>
          </w:p>
        </w:tc>
        <w:tc>
          <w:tcPr>
            <w:tcW w:w="1486" w:type="dxa"/>
          </w:tcPr>
          <w:p w:rsidR="00D849AA" w:rsidRDefault="00EE6D95">
            <w:r>
              <w:t>4.296.625.179</w:t>
            </w:r>
          </w:p>
        </w:tc>
        <w:tc>
          <w:tcPr>
            <w:tcW w:w="1486" w:type="dxa"/>
          </w:tcPr>
          <w:p w:rsidR="00D849AA" w:rsidRDefault="00EE6D95">
            <w:r>
              <w:t>4.393.212.394</w:t>
            </w:r>
          </w:p>
        </w:tc>
        <w:tc>
          <w:tcPr>
            <w:tcW w:w="1486" w:type="dxa"/>
          </w:tcPr>
          <w:p w:rsidR="00D849AA" w:rsidRDefault="00EE6D95">
            <w:r>
              <w:t>4.397.680.768</w:t>
            </w:r>
          </w:p>
        </w:tc>
        <w:tc>
          <w:tcPr>
            <w:tcW w:w="1486" w:type="dxa"/>
          </w:tcPr>
          <w:p w:rsidR="00D849AA" w:rsidRDefault="00EE6D95">
            <w:r>
              <w:t>4.369.143.960</w:t>
            </w:r>
          </w:p>
        </w:tc>
        <w:tc>
          <w:tcPr>
            <w:tcW w:w="1486" w:type="dxa"/>
          </w:tcPr>
          <w:p w:rsidR="00D849AA" w:rsidRDefault="00EE6D95">
            <w:r>
              <w:t>102,2</w:t>
            </w:r>
          </w:p>
        </w:tc>
      </w:tr>
    </w:tbl>
    <w:p w:rsidR="00D849AA" w:rsidRDefault="00D849AA">
      <w:pPr>
        <w:jc w:val="left"/>
      </w:pPr>
    </w:p>
    <w:p w:rsidR="00D849AA" w:rsidRDefault="00EE6D95">
      <w:pPr>
        <w:pStyle w:val="Naslov6"/>
      </w:pPr>
      <w:r>
        <w:t>Opis programa</w:t>
      </w:r>
    </w:p>
    <w:p w:rsidR="00D849AA" w:rsidRDefault="00EE6D95">
      <w:pPr>
        <w:pStyle w:val="Normal5"/>
      </w:pPr>
      <w:r>
        <w:t>Program osnovnoškolskog obrazovanja obvezan je za svu djecu u Republici Hrvatskoj. Razvoj dostupnijeg, prilagodljivijeg i učinkovitijeg sustava obrazovanja omogućit će stvaranje intelektualnog i radnog potencijala kao ključnog bogatstva hrvatske države. Za to je potrebno osiguravati uvjete za ostvarenje koeficijenata izvodljivosti Državnoga pedagoškog standarda osnovnoškolskog sustava odgoja i obrazovanja, odnosno opremati  školske ustanove didaktičkom i informatičkom opremom, prilagoditi škole potrebama učenika s motoričkim i drugim teškoćama te zahtjevima suvremenog pristupa poučavanju koji zahtijeva izgradnju, nadogradnju i/ili rekonstrukciju postojećih školskih objekata. Isto tako potrebno je omogućiti osnovnoškolski odgoj i obrazovanje sa strateškim ciljevima Vlade Republike Hrvatske, uzimajući u obzir i promjene koje predviđa Strategija odgoja i obrazovanja.</w:t>
      </w:r>
    </w:p>
    <w:p w:rsidR="00D849AA" w:rsidRDefault="00EE6D95">
      <w:pPr>
        <w:pStyle w:val="Naslov6"/>
      </w:pPr>
      <w:r>
        <w:t>Zakonske i druge pravne osnove</w:t>
      </w:r>
    </w:p>
    <w:p w:rsidR="00D849AA" w:rsidRDefault="00EE6D95">
      <w:pPr>
        <w:pStyle w:val="Normal5"/>
      </w:pPr>
      <w:r>
        <w:t xml:space="preserve">Zakon o odgoju i obrazovanju u osnovnoj i srednjoj školi (NN 87/08, 86/09, 92/10, 105/10, 90/11, 5/12, 16/12  i 86/12); </w:t>
      </w:r>
    </w:p>
    <w:p w:rsidR="00D849AA" w:rsidRDefault="00EE6D95">
      <w:pPr>
        <w:pStyle w:val="Normal5"/>
      </w:pPr>
      <w:r>
        <w:t xml:space="preserve">Državni pedagoški standard osnovnoškolskog sustav odgoja i obrazovanja (NN 63/08 i 90/10); </w:t>
      </w:r>
    </w:p>
    <w:p w:rsidR="00D849AA" w:rsidRDefault="00EE6D95">
      <w:pPr>
        <w:pStyle w:val="Normal5"/>
      </w:pPr>
      <w:r>
        <w:t>Nacionalni okvirni kurikulum za predškolski odgoj i obrazovanje te opće obvezno i srednjoškolsko obrazovanje (srpanj, 2010)</w:t>
      </w:r>
    </w:p>
    <w:p w:rsidR="00D849AA" w:rsidRDefault="00EE6D95">
      <w:pPr>
        <w:pStyle w:val="Naslov6"/>
      </w:pPr>
      <w:r>
        <w:lastRenderedPageBreak/>
        <w:t>Ciljevi provedbe programa u razdoblju 2014.-2016. i pokazatelji uspješnosti kojima će se mjeriti ostvarenje tih ciljeva</w:t>
      </w:r>
    </w:p>
    <w:p w:rsidR="00D849AA" w:rsidRDefault="00EE6D95">
      <w:pPr>
        <w:pStyle w:val="Naslov7"/>
      </w:pPr>
      <w:r>
        <w:t xml:space="preserve">Cilj 1. Osiguranje i unaprjeđenje kvalitete te povećanje dostupnosti, učinkovitosti i relevantnosti sustava odgoja i obrazovanja na svim razinama  </w:t>
      </w:r>
    </w:p>
    <w:p w:rsidR="00D849AA" w:rsidRDefault="00EE6D95">
      <w:pPr>
        <w:pStyle w:val="Normal6"/>
      </w:pPr>
      <w:r>
        <w:t>Cilj je svakom učeniku osnovne škole omogući optimalno razvijanje potencijala u svrhu njegova osobnoga razvoja i uključivanja na tržište rada te spremnosti na cjeloživotno učenje. Kvalitetniji sustav osnovnoškolskoga odgoja i obrazovanja podrazumijeva optimalne prostorne, kadrovske,  tehničke, informatičke i  druge normative kojima se osiguravaju ujednačeni uvjeti rada u osnovnoškolskim ustanovama. Navedeni uvjeti propisani su Državnim pedagoškim standardom osnovnoškolskog sustava odgoja i obrazovanja te je predviđeno stručno usavršavanje i proširivanje kompetencija (osobito ITC) ravnatelja/ravnateljica, učitelja/učiteljica i stručnih suradnika/suradnica, jednaka dostupnost odgoju i obrazovanju učenika, a osobito učenika s teškoćama u razvoju i učenika iz socijalno ugroženih obitelji.</w:t>
      </w:r>
    </w:p>
    <w:p w:rsidR="00D849AA" w:rsidRDefault="00EE6D95">
      <w:pPr>
        <w:pStyle w:val="Naslov7"/>
      </w:pPr>
      <w:r>
        <w:t>Cilj 2. Razvijanje učinkovite mreže odgojno-obrazovnih ustanova i kvalifikacija/programa/kurikuluma usmjerenih razvoju ljudskih potencijala te usklađenih s potrebama društva i tržišta rada</w:t>
      </w:r>
    </w:p>
    <w:p w:rsidR="00D849AA" w:rsidRDefault="00EE6D95">
      <w:pPr>
        <w:pStyle w:val="Normal6"/>
      </w:pPr>
      <w:r>
        <w:t>Prateći pravce razvoja sustava odgoja i obrazovanja u Europi i svijetu, Republika Hrvatska opredijelila se za preobrazbu svoga odgojno-obrazovnog sustava na kurikulumski pristup. Izradom Strategije za izradbu i razvoj nacionalnog kurikuluma za opće obavezno obrazovanje te donošenjem Nacionalnog okvirnog kurikulum (NOK) stvoren je prostor za dublje zahvate u odgojno-obrazovnom sustavu. Poštujući važnost kontinuiteta u razvoju odgojno-obrazovnog sustava, na taj se dokument nadovezuju Strategija obrazovanja, znanosti i tehnologije i Hrvatski kvalifikacijski okvir. Vlada Republike Hrvatske je u lipnju 2011. godine donijela Mrežu osnovnih i srednjih škola, učeničkih domova i programa obrazovanja (Narodne novine, broj 70/11.) s ciljem uspostave racionalne mreže škola i programa odgoja i obrazovanja koji će biti dostupni učenicima i usmjereni na opće dobro svih sudionika i društva u cjelini, kako bi se poboljšala kvaliteta obrazovanja u funkciji kulture življenja i demokratskih načela te osiguralo pravo na obrazovanje za sve. Sukladno strateškim ciljevima Vlade Republike Hrvatske, mrežom se utvrđuju sadržaji koji trebaju pridonijeti razvoju kvalitetnijeg, dostupnijeg, prilagodljivijeg i učinkovitijeg sustava obrazovanja radi stvaranja intelektualnog i radnoga ljudskog kapitala kao ključnog bogatstva hrvatske države. Mreža osnovnih škola podrazumijeva stvaranje optimalnih uvjeta s obzirom na veličinu škole, broj razrednih odjela, ulaganje u opremljenost školskih ustanova, zapošljavanje nositelja odgojno-obrazovne djelatnosti i upravljanje školskim ustanovama. U idućem razdoblju nastavit će se s racionalizacijom i daljinom razradom mreže škola i programa s obzirom na demografska kretanja, geografske specifičnosti i potrebe gospodarstva.</w:t>
      </w:r>
    </w:p>
    <w:p w:rsidR="00D849AA" w:rsidRDefault="00EE6D95">
      <w:pPr>
        <w:pStyle w:val="Naslov7"/>
      </w:pPr>
      <w:r>
        <w:t>Cilj 3. Razvijati sustav osiguranja kvalitete na svim razinama sustava odgoja i obrazovanja</w:t>
      </w:r>
    </w:p>
    <w:p w:rsidR="00D849AA" w:rsidRDefault="00EE6D95">
      <w:pPr>
        <w:pStyle w:val="Normal6"/>
      </w:pPr>
      <w:r>
        <w:t xml:space="preserve">Razvojem sustava osiguranja kvalitete postiže se učinkovit, transparentan i djelotvoran obrazovni sustav. Osiguravanjem jednakih uvjeta provedbom odredaba Državnog pedagoškog standarda osnovnoškolskog odgoja i obrazovanja kojim se uređuju minimalni infrastrukturni, financijski i kadrovski uvjeti za ostvarivanje i razvoj djelatnosti i podjednaki uvjeti za ujednačeni razvoj sustava osigurat će se uvjeti za osiguranje kvalitete u svim odgojno-obrazovnim ustanovama u Republici Hrvatskoj. Standardima se također uređuju i jedinstveni uvjeti za kvalitetan odgojno-obrazovni rad i uspješno ostvarivanje ciljeva i zadataka u odgojnim i obrazovnim ustanovama. Ministarstvo će u idućem </w:t>
      </w:r>
      <w:r>
        <w:lastRenderedPageBreak/>
        <w:t xml:space="preserve">razdoblju provoditi trajnu kvalitativnu i kvantitativnu analizu na svim razinama sustava odgoja i obrazovanja kako bi pratilo i unaprjeđivalo stanje u sustavu. Na temelju kvalitativne i kvantitativne analize utvrdit će se potrebe kojima će se smanjiti regionalna neujednačenost u sustavu te stvoriti optimalna mreža odgojno-obrazovnih ustanova i programa s odgovarajućim ljudskim potencijalima za ostvarivanje predviđenih ciljeva. Na temelju spomenute analize pristupit će se, sukladno rezultatima, izmjeni i dopuni državnih pedagoških standarda odnosno izmjeni zakona te izradi i donošenju strateških dokumenata. </w:t>
      </w:r>
    </w:p>
    <w:p w:rsidR="00D849AA" w:rsidRDefault="00EE6D95">
      <w:pPr>
        <w:pStyle w:val="Normal6"/>
      </w:pPr>
      <w:r>
        <w:t>Ministarstvo će sukladno svoj Strategiji dovršiti započete kapitalne projekte i započeti nove uz pomoć javno-privatnoga partnerstva i time ulaganja učiniti maksimalno efikasnima. Poticat će se povećanja udjela škola optimalne veličine (osnovnih škola s 300-500 učenika i srednjih škola s 400-600 učenika).</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361"/>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Povećanje broja osnovnih škola optimalne veličine</w:t>
            </w:r>
          </w:p>
        </w:tc>
        <w:tc>
          <w:tcPr>
            <w:tcW w:w="1114" w:type="dxa"/>
          </w:tcPr>
          <w:p w:rsidR="00D849AA" w:rsidRDefault="00EE6D95">
            <w:r>
              <w:t xml:space="preserve">Broj </w:t>
            </w:r>
          </w:p>
          <w:p w:rsidR="00D849AA" w:rsidRDefault="00EE6D95">
            <w:r>
              <w:t>(kumulativno)</w:t>
            </w:r>
          </w:p>
        </w:tc>
        <w:tc>
          <w:tcPr>
            <w:tcW w:w="1114" w:type="dxa"/>
          </w:tcPr>
          <w:p w:rsidR="00D849AA" w:rsidRDefault="00EE6D95">
            <w:r>
              <w:t>311</w:t>
            </w:r>
          </w:p>
        </w:tc>
        <w:tc>
          <w:tcPr>
            <w:tcW w:w="1486" w:type="dxa"/>
          </w:tcPr>
          <w:p w:rsidR="00D849AA" w:rsidRDefault="00EE6D95">
            <w:r>
              <w:t>311</w:t>
            </w:r>
          </w:p>
        </w:tc>
        <w:tc>
          <w:tcPr>
            <w:tcW w:w="1486" w:type="dxa"/>
          </w:tcPr>
          <w:p w:rsidR="00D849AA" w:rsidRDefault="00EE6D95">
            <w:r>
              <w:t>320</w:t>
            </w:r>
          </w:p>
        </w:tc>
        <w:tc>
          <w:tcPr>
            <w:tcW w:w="1486" w:type="dxa"/>
          </w:tcPr>
          <w:p w:rsidR="00D849AA" w:rsidRDefault="00EE6D95">
            <w:r>
              <w:t>328</w:t>
            </w:r>
          </w:p>
        </w:tc>
      </w:tr>
    </w:tbl>
    <w:p w:rsidR="00D849AA" w:rsidRDefault="00D849AA">
      <w:pPr>
        <w:jc w:val="left"/>
      </w:pPr>
    </w:p>
    <w:p w:rsidR="00D849AA" w:rsidRDefault="00EE6D95">
      <w:pPr>
        <w:pStyle w:val="Naslov5"/>
      </w:pPr>
      <w:r>
        <w:t>Procjena i ishodište potrebnih sredstava za značajnije aktivnosti/projekte</w:t>
      </w:r>
    </w:p>
    <w:p w:rsidR="00D849AA" w:rsidRDefault="00EE6D95">
      <w:pPr>
        <w:pStyle w:val="Naslov6"/>
      </w:pPr>
      <w:r>
        <w:t>A579000 OSNOVNOŠKOLSKO OBRAZOVANJE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A579000</w:t>
            </w:r>
          </w:p>
        </w:tc>
        <w:tc>
          <w:tcPr>
            <w:tcW w:w="1486" w:type="dxa"/>
          </w:tcPr>
          <w:p w:rsidR="00D849AA" w:rsidRDefault="00EE6D95">
            <w:r>
              <w:t>4.199.666.757</w:t>
            </w:r>
          </w:p>
        </w:tc>
        <w:tc>
          <w:tcPr>
            <w:tcW w:w="1486" w:type="dxa"/>
          </w:tcPr>
          <w:p w:rsidR="00D849AA" w:rsidRDefault="00EE6D95">
            <w:r>
              <w:t>4.304.760.206</w:t>
            </w:r>
          </w:p>
        </w:tc>
        <w:tc>
          <w:tcPr>
            <w:tcW w:w="1486" w:type="dxa"/>
          </w:tcPr>
          <w:p w:rsidR="00D849AA" w:rsidRDefault="00EE6D95">
            <w:r>
              <w:t>4.322.342.112</w:t>
            </w:r>
          </w:p>
        </w:tc>
        <w:tc>
          <w:tcPr>
            <w:tcW w:w="1486" w:type="dxa"/>
          </w:tcPr>
          <w:p w:rsidR="00D849AA" w:rsidRDefault="00EE6D95">
            <w:r>
              <w:t>4.296.298.679</w:t>
            </w:r>
          </w:p>
        </w:tc>
        <w:tc>
          <w:tcPr>
            <w:tcW w:w="1486" w:type="dxa"/>
          </w:tcPr>
          <w:p w:rsidR="00D849AA" w:rsidRDefault="00EE6D95">
            <w:r>
              <w:t>102,5</w:t>
            </w:r>
          </w:p>
        </w:tc>
      </w:tr>
    </w:tbl>
    <w:p w:rsidR="00D849AA" w:rsidRDefault="00D849AA">
      <w:pPr>
        <w:jc w:val="left"/>
      </w:pPr>
    </w:p>
    <w:p w:rsidR="00D849AA" w:rsidRDefault="00EE6D95">
      <w:pPr>
        <w:pStyle w:val="Normal6"/>
      </w:pPr>
      <w:r>
        <w:t>Na ovoj su aktivnosti osigurana sredstva za rashode zaposlenih u osnovnim školama i to bruto plaće s pripadajućim doprinosima, ostali rashodi za zaposlene (pomoći, dar za djecu i sl) i naknada za prijevoz zaposlenika na posao i s posla. Potrebno je napomenuti kako rashodi za zaposlene u velikoj mjeri ovise o materijalnim pravima zaposlenika ugovorenim kolektivnim ugovorima, kojima su definirani brojni dodaci na plaću. Trenutno su u tijeku pregovori između Vlade RH i Sindikata hrvatskih učitelja o izmjeni važećeg Kolektivnog ugovora za zaposlenike u osnovnoškolskim ustanovama i u ovom se trenutku ne može procijeniti ishod pregovora. Stoga se u postupku planiranja sredstava za 2014. godinu krenulo od trenutno važećih materijalnih prava zaposlenika koji proizlaze iz važećih kolektivnih ugovora: Kolektivnog ugovora za zaposlenike u osnovnoškolskim ustanovama (NN 66/11) i Temeljnog kolektivnog ugovora za službenike i namještenike u javnim službama (NN 141/12).</w:t>
      </w:r>
    </w:p>
    <w:p w:rsidR="00D849AA" w:rsidRDefault="00EE6D95">
      <w:pPr>
        <w:pStyle w:val="Naslov6"/>
      </w:pPr>
      <w:r>
        <w:t>A579003 ODGOJ I NAOBRAZBA UČENIKA S TEŠKOĆAMA U RAZVOJU</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A579003</w:t>
            </w:r>
          </w:p>
        </w:tc>
        <w:tc>
          <w:tcPr>
            <w:tcW w:w="1486" w:type="dxa"/>
          </w:tcPr>
          <w:p w:rsidR="00D849AA" w:rsidRDefault="00EE6D95">
            <w:r>
              <w:t>22.500.000</w:t>
            </w:r>
          </w:p>
        </w:tc>
        <w:tc>
          <w:tcPr>
            <w:tcW w:w="1486" w:type="dxa"/>
          </w:tcPr>
          <w:p w:rsidR="00D849AA" w:rsidRDefault="00EE6D95">
            <w:r>
              <w:t>23.945.625</w:t>
            </w:r>
          </w:p>
        </w:tc>
        <w:tc>
          <w:tcPr>
            <w:tcW w:w="1486" w:type="dxa"/>
          </w:tcPr>
          <w:p w:rsidR="00D849AA" w:rsidRDefault="00EE6D95">
            <w:r>
              <w:t>22.068.699</w:t>
            </w:r>
          </w:p>
        </w:tc>
        <w:tc>
          <w:tcPr>
            <w:tcW w:w="1486" w:type="dxa"/>
          </w:tcPr>
          <w:p w:rsidR="00D849AA" w:rsidRDefault="00EE6D95">
            <w:r>
              <w:t>21.958.355</w:t>
            </w:r>
          </w:p>
        </w:tc>
        <w:tc>
          <w:tcPr>
            <w:tcW w:w="1486" w:type="dxa"/>
          </w:tcPr>
          <w:p w:rsidR="00D849AA" w:rsidRDefault="00EE6D95">
            <w:r>
              <w:t>106,4</w:t>
            </w:r>
          </w:p>
        </w:tc>
      </w:tr>
    </w:tbl>
    <w:p w:rsidR="00D849AA" w:rsidRDefault="00D849AA">
      <w:pPr>
        <w:jc w:val="left"/>
      </w:pPr>
    </w:p>
    <w:p w:rsidR="00D849AA" w:rsidRDefault="00EE6D95">
      <w:pPr>
        <w:pStyle w:val="Normal6"/>
      </w:pPr>
      <w:r>
        <w:t xml:space="preserve">Sukladno Odluci o kriterijima za financiranje povećanih troškova prijevoza i posebnih nastavnih sredstava i pomagala te sufinanciranje prehrane učenika s teškoćama u razvoju u osnovnoškolskim programima učenicima s teškoćama u 2013. godini  te članku 69. stavku 4. Zakona o odgoju i obrazovanju u osnovnoj i srednjoj školi osiguravaju se troškovi prijevoza svim učenicima s teškoćama, kao i troškovi prijevoza za pratitelje, kada je zbog vrste i stupnja teškoća pratitelj potreban, koji se školuju na temelju rješenja o primjerenom programu i obliku školovanja ureda državne uprave u županiji nadležnog za obrazovanje te svladavaju jedan od primjerenih programa prema Pravilniku o osnovnoškolskom odgoju i obrazovanju učenika s teškoćama u razvoju. Nadoknađuju se troškovi goriva po prijeđenom broju kilometara za odobreni individualni prijevoz roditelja i to: 10% važeće cijene goriva za vozilo kojim roditelj obavlja prijevoz i 15% važeće cijene goriva za vozilo kojim roditelj prevozi više od jednog djeteta. Sufinancira se 3,50 kuna dnevno po učeniku za doručak, a ako je organiziran produženi stručni postupak 6,50 kuna dnevno po učeniku za ručak. Za učenike s teškoćama koji su smješteni u stacionarima (pri V. OŠ Bjelovar u Bjelovaru, Liče Faraguna u Labinu i Centar za autizam u Zagrebu) osigurava se 41,00 kn dnevno po učeniku za smještaj i prehranu. U školama u kojima je ustrojen program produženog stručnog  postupka osigurava se za navedeno 25,00 kuna po učeniku,  odnosno osigurava se 50,00 kuna po učeniku svakoga mjeseca za posebna nastavna sredstva i pomagala. </w:t>
      </w:r>
    </w:p>
    <w:p w:rsidR="00D849AA" w:rsidRDefault="00EE6D95">
      <w:pPr>
        <w:pStyle w:val="Normal6"/>
      </w:pPr>
      <w:r>
        <w:t>Cilj aktivnosti je učiniti obrazovanje dostupnim svakom učeniku, učiniti ga prohodnim, ostvariti socijalnu uključenost i djelovati u korist učenika s teškoćama, odnosno povećati broj učenika s teškoćama uključenih u redoviti osnovnoškolski sustav odgoja i obrazovanja i društvo u cjelini.</w:t>
      </w:r>
    </w:p>
    <w:p w:rsidR="00D849AA" w:rsidRDefault="00EE6D95">
      <w:pPr>
        <w:pStyle w:val="Naslov6"/>
      </w:pPr>
      <w:r>
        <w:t>A579007 IZVRŠAVANJE PRAVOMOĆNIH SUDSKIH PRESUDA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A579007</w:t>
            </w:r>
          </w:p>
        </w:tc>
        <w:tc>
          <w:tcPr>
            <w:tcW w:w="1486" w:type="dxa"/>
          </w:tcPr>
          <w:p w:rsidR="00D849AA" w:rsidRDefault="00EE6D95">
            <w:r>
              <w:t>3.945.000</w:t>
            </w:r>
          </w:p>
        </w:tc>
        <w:tc>
          <w:tcPr>
            <w:tcW w:w="1486" w:type="dxa"/>
          </w:tcPr>
          <w:p w:rsidR="00D849AA" w:rsidRDefault="00EE6D95">
            <w:r>
              <w:t>3.247.500</w:t>
            </w:r>
          </w:p>
        </w:tc>
        <w:tc>
          <w:tcPr>
            <w:tcW w:w="1486" w:type="dxa"/>
          </w:tcPr>
          <w:p w:rsidR="00D849AA" w:rsidRDefault="00EE6D95">
            <w:r>
              <w:t>3.000.000</w:t>
            </w:r>
          </w:p>
        </w:tc>
        <w:tc>
          <w:tcPr>
            <w:tcW w:w="1486" w:type="dxa"/>
          </w:tcPr>
          <w:p w:rsidR="00D849AA" w:rsidRDefault="00EE6D95">
            <w:r>
              <w:t>3.000.000</w:t>
            </w:r>
          </w:p>
        </w:tc>
        <w:tc>
          <w:tcPr>
            <w:tcW w:w="1486" w:type="dxa"/>
          </w:tcPr>
          <w:p w:rsidR="00D849AA" w:rsidRDefault="00EE6D95">
            <w:r>
              <w:t>82,3</w:t>
            </w:r>
          </w:p>
        </w:tc>
      </w:tr>
    </w:tbl>
    <w:p w:rsidR="00D849AA" w:rsidRDefault="00D849AA">
      <w:pPr>
        <w:jc w:val="left"/>
      </w:pPr>
    </w:p>
    <w:p w:rsidR="00D849AA" w:rsidRDefault="00EE6D95">
      <w:pPr>
        <w:pStyle w:val="Normal6"/>
      </w:pPr>
      <w:r>
        <w:t>Na ovoj su aktivnosti osigurana sredstva za plaćanje po pravomoćnim sudskim presudama (izgubljeni radni sporovi koje su vodile školske ustanove), a u skladu s čl. 142. Zakona o odgoju i obrazovanju u osnovnoj i srednjoj školi.</w:t>
      </w:r>
    </w:p>
    <w:p w:rsidR="00D849AA" w:rsidRDefault="00EE6D95">
      <w:pPr>
        <w:pStyle w:val="Naslov6"/>
      </w:pPr>
      <w:r>
        <w:t>A579015 JUBILARNE NAGRADE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A579015</w:t>
            </w:r>
          </w:p>
        </w:tc>
        <w:tc>
          <w:tcPr>
            <w:tcW w:w="1486" w:type="dxa"/>
          </w:tcPr>
          <w:p w:rsidR="00D849AA" w:rsidRDefault="00EE6D95">
            <w:r>
              <w:t>28.500.000</w:t>
            </w:r>
          </w:p>
        </w:tc>
        <w:tc>
          <w:tcPr>
            <w:tcW w:w="1486" w:type="dxa"/>
          </w:tcPr>
          <w:p w:rsidR="00D849AA" w:rsidRDefault="00EE6D95">
            <w:r>
              <w:t>15.000.000</w:t>
            </w:r>
          </w:p>
        </w:tc>
        <w:tc>
          <w:tcPr>
            <w:tcW w:w="1486" w:type="dxa"/>
          </w:tcPr>
          <w:p w:rsidR="00D849AA" w:rsidRDefault="00EE6D95">
            <w:r>
              <w:t>15.000.000</w:t>
            </w:r>
          </w:p>
        </w:tc>
        <w:tc>
          <w:tcPr>
            <w:tcW w:w="1486" w:type="dxa"/>
          </w:tcPr>
          <w:p w:rsidR="00D849AA" w:rsidRDefault="00EE6D95">
            <w:r>
              <w:t>15.000.000</w:t>
            </w:r>
          </w:p>
        </w:tc>
        <w:tc>
          <w:tcPr>
            <w:tcW w:w="1486" w:type="dxa"/>
          </w:tcPr>
          <w:p w:rsidR="00D849AA" w:rsidRDefault="00EE6D95">
            <w:r>
              <w:t>52,6</w:t>
            </w:r>
          </w:p>
        </w:tc>
      </w:tr>
    </w:tbl>
    <w:p w:rsidR="00D849AA" w:rsidRDefault="00D849AA">
      <w:pPr>
        <w:jc w:val="left"/>
      </w:pPr>
    </w:p>
    <w:p w:rsidR="00D849AA" w:rsidRDefault="00EE6D95">
      <w:pPr>
        <w:pStyle w:val="Normal6"/>
      </w:pPr>
      <w:r>
        <w:t>Na ovoj su aktivnosti osigurana sredstva za isplatu jubilarnih nagrada zaposlenicima osnovnoškolskih ustanova. U 2013. godini jubilarne su nagrade isplaćivane po osnovici u visini 500,00 kn. U ovom trenutku nije poznato koliko će iznositi osnovica za isplatu jubilarnih nagrada u 2014. godini, jer sukladno odredbama Kolektivnog ugovora za zaposlenike u osnovnoškolskim ustanovama, Vlada RH i sindikati javnih službi svake godine - u postupku donošenja državnog proračuna - pregovaraju o visini osnovice za narednu godinu. Stoga se, pri planiranju potrebnih sredstava za 2014. godinu krenulo od pretpostavke da će i u 2014. godini osnovica za isplatu jubilarnih nagrada iznositi 500,00 kn što je realnije za očekivati, s obzirom na gospodarsku situaciju u zemlji.</w:t>
      </w:r>
    </w:p>
    <w:p w:rsidR="00D849AA" w:rsidRDefault="00EE6D95">
      <w:pPr>
        <w:pStyle w:val="Naslov6"/>
      </w:pPr>
      <w:r>
        <w:lastRenderedPageBreak/>
        <w:t>A579069 PROJEKT REFORME OSNOVNOG OBRAZOVANJA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A579069</w:t>
            </w:r>
          </w:p>
        </w:tc>
        <w:tc>
          <w:tcPr>
            <w:tcW w:w="1486" w:type="dxa"/>
          </w:tcPr>
          <w:p w:rsidR="00D849AA" w:rsidRDefault="00EE6D95">
            <w:r>
              <w:t>87.322</w:t>
            </w:r>
          </w:p>
        </w:tc>
        <w:tc>
          <w:tcPr>
            <w:tcW w:w="1486" w:type="dxa"/>
          </w:tcPr>
          <w:p w:rsidR="00D849AA" w:rsidRDefault="00EE6D95">
            <w:r>
              <w:t>86.449</w:t>
            </w:r>
          </w:p>
        </w:tc>
        <w:tc>
          <w:tcPr>
            <w:tcW w:w="1486" w:type="dxa"/>
          </w:tcPr>
          <w:p w:rsidR="00D849AA" w:rsidRDefault="00EE6D95">
            <w:r>
              <w:t>79.673</w:t>
            </w:r>
          </w:p>
        </w:tc>
        <w:tc>
          <w:tcPr>
            <w:tcW w:w="1486" w:type="dxa"/>
          </w:tcPr>
          <w:p w:rsidR="00D849AA" w:rsidRDefault="00EE6D95">
            <w:r>
              <w:t>79.274</w:t>
            </w:r>
          </w:p>
        </w:tc>
        <w:tc>
          <w:tcPr>
            <w:tcW w:w="1486" w:type="dxa"/>
          </w:tcPr>
          <w:p w:rsidR="00D849AA" w:rsidRDefault="00EE6D95">
            <w:r>
              <w:t>99,0</w:t>
            </w:r>
          </w:p>
        </w:tc>
      </w:tr>
    </w:tbl>
    <w:p w:rsidR="00D849AA" w:rsidRDefault="00D849AA">
      <w:pPr>
        <w:jc w:val="left"/>
      </w:pPr>
    </w:p>
    <w:p w:rsidR="00D849AA" w:rsidRDefault="00EE6D95">
      <w:pPr>
        <w:pStyle w:val="Normal6"/>
      </w:pPr>
      <w:r>
        <w:t xml:space="preserve">Na ovoj su aktivnosti osigurana sredstva za isplatu naknade za rad i putne troškove Drugostupanjskog povjerenstva osnovanog na temelju članka 17. Pravilnika o upisu djece u osnovnu školu (Narodne novine, broj 13/91), koje utvrđuje psihofizičko stanje djeteta i Povjerenstva za rješavanje prigovora o provedenome stručno-pedagoškom nadzoru. </w:t>
      </w:r>
    </w:p>
    <w:p w:rsidR="00D849AA" w:rsidRDefault="00EE6D95">
      <w:pPr>
        <w:pStyle w:val="Normal6"/>
      </w:pPr>
      <w:r>
        <w:t>Budući da je u planu izrada  novoga  Zakona o odgoju i obrazovanju u osnovnoj školi,  kao i svih pravilnika koje sukladno propisima potrebno donijeti, predviđen je dio sredstava za rad i putne troškove  povjerenstava i radnih skupina koje će u sudjelovati u njihovoj izradi.</w:t>
      </w:r>
    </w:p>
    <w:p w:rsidR="001A0148" w:rsidRDefault="001A0148" w:rsidP="001A0148">
      <w:pPr>
        <w:pStyle w:val="Naslov4"/>
      </w:pPr>
      <w:r>
        <w:t>OBRAZLOŽENJE PROGRAMA</w:t>
      </w:r>
    </w:p>
    <w:p w:rsidR="00D849AA" w:rsidRDefault="00EE6D95">
      <w:pPr>
        <w:pStyle w:val="Naslov5"/>
      </w:pPr>
      <w:r>
        <w:t>3704 SREDNJOŠKOLSKO OBRAZOVANJE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3704</w:t>
            </w:r>
          </w:p>
        </w:tc>
        <w:tc>
          <w:tcPr>
            <w:tcW w:w="1486" w:type="dxa"/>
          </w:tcPr>
          <w:p w:rsidR="00D849AA" w:rsidRDefault="00EE6D95">
            <w:r>
              <w:t>2.432.315.044</w:t>
            </w:r>
          </w:p>
        </w:tc>
        <w:tc>
          <w:tcPr>
            <w:tcW w:w="1486" w:type="dxa"/>
          </w:tcPr>
          <w:p w:rsidR="00D849AA" w:rsidRDefault="00EE6D95">
            <w:r>
              <w:t>2.586.865.455</w:t>
            </w:r>
          </w:p>
        </w:tc>
        <w:tc>
          <w:tcPr>
            <w:tcW w:w="1486" w:type="dxa"/>
          </w:tcPr>
          <w:p w:rsidR="00D849AA" w:rsidRDefault="00EE6D95">
            <w:r>
              <w:t>2.591.619.516</w:t>
            </w:r>
          </w:p>
        </w:tc>
        <w:tc>
          <w:tcPr>
            <w:tcW w:w="1486" w:type="dxa"/>
          </w:tcPr>
          <w:p w:rsidR="00D849AA" w:rsidRDefault="00EE6D95">
            <w:r>
              <w:t>2.548.413.144</w:t>
            </w:r>
          </w:p>
        </w:tc>
        <w:tc>
          <w:tcPr>
            <w:tcW w:w="1486" w:type="dxa"/>
          </w:tcPr>
          <w:p w:rsidR="00D849AA" w:rsidRDefault="00EE6D95">
            <w:r>
              <w:t>106,4</w:t>
            </w:r>
          </w:p>
        </w:tc>
      </w:tr>
    </w:tbl>
    <w:p w:rsidR="00D849AA" w:rsidRDefault="00D849AA">
      <w:pPr>
        <w:jc w:val="left"/>
      </w:pPr>
    </w:p>
    <w:p w:rsidR="00D849AA" w:rsidRDefault="00EE6D95">
      <w:pPr>
        <w:pStyle w:val="Naslov6"/>
      </w:pPr>
      <w:r>
        <w:t>Opis programa</w:t>
      </w:r>
    </w:p>
    <w:p w:rsidR="00D849AA" w:rsidRDefault="00EE6D95">
      <w:pPr>
        <w:pStyle w:val="Normal5"/>
      </w:pPr>
      <w:r>
        <w:t>Program 3704 razvija sustav na razini srednjoškolskog obrazovanja i obrazovanja odraslih te mehanizme potpore sustavu cjeloživotnog učenja. Provođenje programa vezano je uz ostvarivanje općeg cilja Strateškog plana Ministarstva znanosti, obrazovanja i sporta. Ciljana podrška razvoju pruža se kroz uspostavu mreže škola i kurikuluma, sukladno Državnom pedagoškom standardu, Nacionalnom okvirnom kurikulumu i drugim strateškim dokumentima sustava obrazovanja, suradnjom sa stručnim institucijama potpore te drugim relevantnim dionicima, opremanjem i adaptacijom ustanova srednjega obrazovanja, nadzorom nad provođenjem djelatnosti stručnih institucija sustava, pripremom propisa, praćenjem provedbe vanjskoga vrednovanja, potporom razvoju sustava osiguranja kvalitete provedbom mjera u području obrazovanja odraslih, kao i provedbom Hrvatskoga kvalifikacijskog okvira. Komplementarna podrška programu je provedba projekata u okviru EU fondova usmjerenih jačanju strateških elemenata razvoja sustava u području strukovnog obrazovanja i obrazovanja odraslih, sustava stručnoga usavršavanja odgojno-obrazovanih djelatnika, mehanizama socijalnoga uključivanja ranjivih skupina, te provedbe Hrvatskoga kvalifikacijskog okvira. Financijska sredstva za provedbu projekta planirana su na poziciji Agencije za strukovno obrazovanje i obrazovanje odraslih kao Provedbenoga tijela.</w:t>
      </w:r>
    </w:p>
    <w:p w:rsidR="00D849AA" w:rsidRDefault="00EE6D95">
      <w:pPr>
        <w:pStyle w:val="Naslov6"/>
      </w:pPr>
      <w:r>
        <w:t>Zakonske i druge pravne osnove</w:t>
      </w:r>
    </w:p>
    <w:p w:rsidR="00D849AA" w:rsidRDefault="00EE6D95">
      <w:pPr>
        <w:pStyle w:val="Normal5"/>
      </w:pPr>
      <w:r>
        <w:t xml:space="preserve">Strategija Vladinih programa za razdoblje od 2013.-2015.  </w:t>
      </w:r>
    </w:p>
    <w:p w:rsidR="00D849AA" w:rsidRDefault="00EE6D95">
      <w:pPr>
        <w:pStyle w:val="Normal5"/>
      </w:pPr>
      <w:r>
        <w:t xml:space="preserve">Zakon o odgoju i obrazovanju u osnovnoj i srednjoj školi </w:t>
      </w:r>
    </w:p>
    <w:p w:rsidR="00D849AA" w:rsidRDefault="00EE6D95">
      <w:pPr>
        <w:pStyle w:val="Normal5"/>
      </w:pPr>
      <w:r>
        <w:t xml:space="preserve">Zakon o umjetničkom obrazovanju  </w:t>
      </w:r>
    </w:p>
    <w:p w:rsidR="00D849AA" w:rsidRDefault="00EE6D95">
      <w:pPr>
        <w:pStyle w:val="Normal5"/>
      </w:pPr>
      <w:r>
        <w:lastRenderedPageBreak/>
        <w:t xml:space="preserve">Zakon o obrazovanju odraslih i provedbeni propisi u području obrazovanja odraslih </w:t>
      </w:r>
    </w:p>
    <w:p w:rsidR="00D849AA" w:rsidRDefault="00EE6D95">
      <w:pPr>
        <w:pStyle w:val="Normal5"/>
      </w:pPr>
      <w:r>
        <w:t xml:space="preserve">Zakon o strukovnom obrazovanju i provedbeni propisi u području strukovnog obrazovanja </w:t>
      </w:r>
    </w:p>
    <w:p w:rsidR="00D849AA" w:rsidRDefault="00EE6D95">
      <w:pPr>
        <w:pStyle w:val="Normal5"/>
      </w:pPr>
      <w:r>
        <w:t xml:space="preserve">Pravilnik o polaganju državne mature </w:t>
      </w:r>
    </w:p>
    <w:p w:rsidR="00D849AA" w:rsidRDefault="00EE6D95">
      <w:pPr>
        <w:pStyle w:val="Normal5"/>
      </w:pPr>
      <w:r>
        <w:t>Pravilnik o Središnjem registru državne mature</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Cilj 1. Razvijati sustav osiguranja kvalitete na svim razinama sustava odgoja i obrazovanja</w:t>
      </w:r>
    </w:p>
    <w:p w:rsidR="00D849AA" w:rsidRDefault="00EE6D95">
      <w:pPr>
        <w:pStyle w:val="Normal6"/>
      </w:pPr>
      <w:r>
        <w:t xml:space="preserve">Potencijale informacijsko-komunikacijske tehnologije (IKT) iskoristit će se za unapređenje poslovnih i nastavnih procesa u osnovnim i srednjim školama na cijelom teritoriju RH, s konačnim ciljem stvaranja tehnološki razvijenih škola spremnih za e-projekte i razvoja učenika spremnijih za tržište rada ili daljnje školovanje. Tehnološki razvijene škole ostvarit će se spajanjem na ultrabrzi Internet, opremanjem informacijsko-komunikacijskim tehnologijama (IKT), te informatizacijom procesa poslovanja, učenja i poučavanja. U njima će digitalno kompetentni nastavnici i učenici u svome svakidašnjem radu koristiti računalnu i mobilnu opremu te obrazovne aplikacije i digitalne nastavne materijale. Takvi informatizirani nastavni i poslovni procesi u školama rezultirat će:  </w:t>
      </w:r>
    </w:p>
    <w:p w:rsidR="00D849AA" w:rsidRDefault="00EE6D95">
      <w:pPr>
        <w:pStyle w:val="Normal6"/>
      </w:pPr>
      <w:r>
        <w:t xml:space="preserve">- učinkovitim i transparentnim upravljanjem školom, smanjenim ukupnim sredstvima za (objedinjenu) javnu nabavu, jednostavnim praćenjem kadrovske politike te brzom i jednostavnom komunikacijom i razmjenom e-dokumenata između škole, njezinih dionika i osnivača;  </w:t>
      </w:r>
    </w:p>
    <w:p w:rsidR="00D849AA" w:rsidRDefault="00EE6D95">
      <w:pPr>
        <w:pStyle w:val="Normal6"/>
      </w:pPr>
      <w:r>
        <w:t xml:space="preserve">- digitalno kompetentnim učenicima, s povećanom motivacijom za učenjem i nastavkom školovanja, boljim ukupnim rezultatima te konkurentnijima na tržištu radne snage nakon završetka školovanja;  </w:t>
      </w:r>
    </w:p>
    <w:p w:rsidR="00D849AA" w:rsidRDefault="00EE6D95">
      <w:pPr>
        <w:pStyle w:val="Normal6"/>
      </w:pPr>
      <w:r>
        <w:t xml:space="preserve">- digitalno kompetentnim nastavnicima osposobljenima pratiti napredak vlastite struke u svim oblicima stručnog e-obrazovanja i usavršavanja, pružati potporu samostalnom učenju i razvoju kritičkih vještina u učenika (cjeloživotno obrazovanje) koji su u središtu nastavnoga procesa te biti ukorak s digitalnim svijetom u kojemu učenici velikim dijelom već žive. Ministarstvo će, u suradnji s CARNetom, koristiti strukturne fondove za stvaranje tehnološki razvijenih škola. Korištenjem informatičke tehnologije Ministarstvo će u idućemu razdoblju uložiti dodatne napore u unapređivanje elektroničkoga postupka prijava i upisa u srednje škole tako da bude transparentan i učinkovit. Uvođenjem elektroničkih prijava i upisa u srednju školu osigurava se veća učinkovitost postupka upisa, poput omogućavanja podnošenja prijava kandidata u više škola, što je dosadašnjim načinom upisa kandidatima bilo onemogućeno, izrada središnje baze podataka o svim srednjoškolskim ustanovama i programima koji se provode, a koja će učenicima pomoći da na jednome mjestu pronađu sve jasne i detaljne informacije i time olakša donošenje odluke o upisu u određeni program obrazovanja. Također, postupak elektroničkih prijava i upisa u srednje škole oslobođava srednje škole velikog dijela administrativnoga posla koji ih je dosadašnjim načinom provedbe postupka upisa uvelike opterećivao, a podaci koji se ovim modelom upisa prikupljaju bit će od velike važnosti ne samo školama, već i osnivačima prilikom planiranja sljedećih upisa. </w:t>
      </w:r>
    </w:p>
    <w:p w:rsidR="00D849AA" w:rsidRDefault="00EE6D95">
      <w:pPr>
        <w:pStyle w:val="Normal6"/>
      </w:pPr>
      <w:r>
        <w:t xml:space="preserve">Također, u sljedećem razdoblju osobita pozornost posvetit će se praćenju i vrednovanju rezultata obrazovanja, odnosno organizaciji i provedbi nacionalnih ispita te ispita državne mature kao sastavnice vanjskoga vrednovanja i samovrednovanja, kao i jačanju mehanizama nadzora nad upisnom politikom i rezultatima učenja sukladno društvenim i gospodarskim potrebama. Vanjsko vrednovanje obrazovanja uspostavljeno je nacionalnim ispitima, čime se osigurava ujednačavanje obrazovnih postignuća učenika u cijeloj </w:t>
      </w:r>
      <w:r>
        <w:lastRenderedPageBreak/>
        <w:t>Republici Hrvatskoj. Nacionalni ispiti uvedeni su kao trajan sustav vanjskoga vrednovanja rada i postignuća te unapređivanja i osiguravanja kvalitete. Od školske godine 2009./2010. u Republici Hrvatskoj uvedena je državna matura kojoj je cilj provjera i vrednovanje postignutog znanja i sposobnosti učenika na kraju njihova četverogodišnjega srednjoškolskog obrazovanja. Provođenje aktivnosti vanjskoga vrednovanja i samovrednovanja prioritetne su aktivnosti Ministarstva i u idućemu razdoblju. S tim u svezi, osobita pozornost će se posvetiti organizaciji i provedbi vanjskoga vrednovanja obrazovnih rezultata u sustavu osnovnog obrazovanja, nacionalnih ispita te ispita državne mature kao sastavnica vanjskog vrednovanja i samovrednovanja u sklopu sustava odgoja i obrazovanja. Obrazovanje odraslih u globalnim procesima postaje sve važniji instrument za postizanje konkurentnosti svake države. Stjecanje novih i usavršavanje postojećih kompetencija pridonosi prilagodljivosti radne snage, a time i većoj zapošljivosti pojedinaca. S ciljem razvoja modernog i fleksibilnog sustava obrazovanja odraslih temeljenog na cjeloživotnom učenju tijekom proteklih godina je suradnjom svih dionika u sustavu obrazovanja odraslih usvojen niz strateških dokumenata i pripadajućih propisa koji reguliraju sustav obrazovanja odraslih. Prema Eurostatovom istraživanju iz 2011. samo 2,3% hrvatskih građana sudjeluje u nekom obliku cjeloživotnog učenja. To svim dionicima sustava postavlja u zadatak poduzimanje dodatnih napora s ciljem omogućivanja veće dostupnosti obrazovanja odraslih, poboljšanja kvalitete obrazovnog procesa te kontinuirane promocije učenja.  Kako bi se motivirao i povećao broj uključenih u programe obrazovanja odraslih. U narednom razdoblju Ministarstvo će provoditi aktivnosti osvješćivanja javnosti o važnosti i vrijednostima učenja i cjeloživotnog obrazovanja. Ministarstvo je već razvilo projekt kojim se odraslim osobama omogućuje završavanje osnovne škole i osposobljavanje za jednostavnije poslove koji povećavaju zapošljivost. Ministarstvo i u sljedećem razdoblju planira razvijati projekt kojim bi se pružala potpora odraslim osobama u osnovnom obrazovanju i osposobljavanju. Osiguravanjem jednakih uvjeta provedbom odredaba državnih pedagoških standarda kojima se uređuju minimalni infrastrukturni, financijski i kadrovski uvjeti za ostvarivanje i razvoj djelatnosti i podjednaki uvjeti za ujednačeni razvoj sustava osigurat će se uvjeti za osiguranje kvalitete u svim odgojno-obrazovnim ustanovama u Republici Hrvatskoj. Standardima se također uređuju i jedinstveni uvjeti za kvalitetan odgojno-obrazovni rad i uspješno ostvarivanje ciljeva i zadataka u odgojnim i obrazovnim ustanovama. Ministarstvo provodi trajnu kvalitativnu i kvantitativnu analizu na svim razinama sustava odgoja i obrazovanja kako bi pratilo i unaprjeđivalo stanje u sustavu. Na temelju kvalitativne i kvantitativne analize utvrdit će se potrebe kojima će se smanjiti regionalna neujednačenost u sustavu te stvoriti optimalna mreža odgojno-obrazovnih ustanova i programa s odgovarajućim ljudskim potencijalima za ostvarivanje predviđenih ciljeva. Na temelju spomenute analize pristupit će se, sukladno rezultatima, izmjeni i dopuni državnih pedagoških standarda odnosno izmjeni zakona te izradi i donošenju strateških dokumenata. Strukovnim obrazovanjem obuhvaćeno je oko 70% srednjoškolskih učenika koji stječu potrebno znanje i vještine za uspješno uključivanje na suvremeno tržište rada, visoko obrazovanje i procese cjeloživotnoga učenja. Prema iznesenim planovima u sklopu dokumenta Europske unije: Bruges Communiqué on enhanced European Cooperation in Vocational Education and Training, Ministarstvo planira u idućem razdoblju osobitu pažnju posvetiti unaprjeđenju strukovnog obrazovanja i obrazovanja odraslih. Jedan od preduvjeta za poticanje privlačnosti strukovnog obrazovanja je promocija atraktivnosti strukovnog obrazovanja, kao i uspostavljanje optimalne mreže programa i mreže strukovnih škola, trajno usklađivanje strukovne obrazovne ponude s potrebama gospodarstva te razvijanje strukovnih kurikuluma koji su usklađeni s potrebama tržišta rada, a koji osiguravaju buduću zapošljivost. Također, nastavit će se s promoviranjem strukovnih kvalifikacija i poticanjem kreativnosti učenika uz pomoć mnogobrojnih smotri radova i natjecanja učenika strukovnih škola.</w:t>
      </w:r>
    </w:p>
    <w:p w:rsidR="001A0148" w:rsidRDefault="001A0148">
      <w:pPr>
        <w:pStyle w:val="Normal6"/>
      </w:pPr>
    </w:p>
    <w:p w:rsidR="00D849AA" w:rsidRDefault="00EE6D95">
      <w:pPr>
        <w:pStyle w:val="Naslov8"/>
        <w:jc w:val="left"/>
      </w:pPr>
      <w:r>
        <w:lastRenderedPageBreak/>
        <w:t>Pokazatelji učinka</w:t>
      </w:r>
    </w:p>
    <w:tbl>
      <w:tblPr>
        <w:tblStyle w:val="Reetkatablice"/>
        <w:tblW w:w="0" w:type="auto"/>
        <w:jc w:val="center"/>
        <w:tblLook w:val="04A0" w:firstRow="1" w:lastRow="0" w:firstColumn="1" w:lastColumn="0" w:noHBand="0" w:noVBand="1"/>
      </w:tblPr>
      <w:tblGrid>
        <w:gridCol w:w="2229"/>
        <w:gridCol w:w="1361"/>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Povećanje broja odgojno-obrazovnih ustanova u kojima se vanjskim vrednovanjem provjerava kvaliteta rada</w:t>
            </w:r>
          </w:p>
        </w:tc>
        <w:tc>
          <w:tcPr>
            <w:tcW w:w="1114" w:type="dxa"/>
          </w:tcPr>
          <w:p w:rsidR="00D849AA" w:rsidRDefault="00EE6D95">
            <w:r>
              <w:t xml:space="preserve">Broj </w:t>
            </w:r>
          </w:p>
          <w:p w:rsidR="00D849AA" w:rsidRDefault="00EE6D95">
            <w:r>
              <w:t>(kumulativno)</w:t>
            </w:r>
          </w:p>
        </w:tc>
        <w:tc>
          <w:tcPr>
            <w:tcW w:w="1114" w:type="dxa"/>
          </w:tcPr>
          <w:p w:rsidR="00D849AA" w:rsidRDefault="00EE6D95">
            <w:r>
              <w:t>784</w:t>
            </w:r>
          </w:p>
        </w:tc>
        <w:tc>
          <w:tcPr>
            <w:tcW w:w="1486" w:type="dxa"/>
          </w:tcPr>
          <w:p w:rsidR="00D849AA" w:rsidRDefault="00EE6D95">
            <w:r>
              <w:t>800</w:t>
            </w:r>
          </w:p>
        </w:tc>
        <w:tc>
          <w:tcPr>
            <w:tcW w:w="1486" w:type="dxa"/>
          </w:tcPr>
          <w:p w:rsidR="00D849AA" w:rsidRDefault="00EE6D95">
            <w:r>
              <w:t>820</w:t>
            </w:r>
          </w:p>
        </w:tc>
        <w:tc>
          <w:tcPr>
            <w:tcW w:w="1486" w:type="dxa"/>
          </w:tcPr>
          <w:p w:rsidR="00D849AA" w:rsidRDefault="00EE6D95">
            <w:r>
              <w:t>900</w:t>
            </w:r>
          </w:p>
        </w:tc>
      </w:tr>
    </w:tbl>
    <w:p w:rsidR="00D849AA" w:rsidRDefault="00D849AA">
      <w:pPr>
        <w:jc w:val="left"/>
      </w:pPr>
    </w:p>
    <w:p w:rsidR="00D849AA" w:rsidRDefault="00EE6D95">
      <w:pPr>
        <w:pStyle w:val="Naslov5"/>
      </w:pPr>
      <w:r>
        <w:t>Procjena i ishodište potrebnih sredstava za značajnije aktivnosti/projekte</w:t>
      </w:r>
    </w:p>
    <w:p w:rsidR="00D849AA" w:rsidRDefault="00EE6D95">
      <w:pPr>
        <w:pStyle w:val="Naslov6"/>
      </w:pPr>
      <w:r>
        <w:t>A580000 SREDNJOŠKOLSKO OBRAZOVANJE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A580000</w:t>
            </w:r>
          </w:p>
        </w:tc>
        <w:tc>
          <w:tcPr>
            <w:tcW w:w="1486" w:type="dxa"/>
          </w:tcPr>
          <w:p w:rsidR="00D849AA" w:rsidRDefault="00EE6D95">
            <w:r>
              <w:t>2.134.813.251</w:t>
            </w:r>
          </w:p>
        </w:tc>
        <w:tc>
          <w:tcPr>
            <w:tcW w:w="1486" w:type="dxa"/>
          </w:tcPr>
          <w:p w:rsidR="00D849AA" w:rsidRDefault="00EE6D95">
            <w:r>
              <w:t>2.301.218.056</w:t>
            </w:r>
          </w:p>
        </w:tc>
        <w:tc>
          <w:tcPr>
            <w:tcW w:w="1486" w:type="dxa"/>
          </w:tcPr>
          <w:p w:rsidR="00D849AA" w:rsidRDefault="00EE6D95">
            <w:r>
              <w:t>2.318.809.415</w:t>
            </w:r>
          </w:p>
        </w:tc>
        <w:tc>
          <w:tcPr>
            <w:tcW w:w="1486" w:type="dxa"/>
          </w:tcPr>
          <w:p w:rsidR="00D849AA" w:rsidRDefault="00EE6D95">
            <w:r>
              <w:t>2.322.632.628</w:t>
            </w:r>
          </w:p>
        </w:tc>
        <w:tc>
          <w:tcPr>
            <w:tcW w:w="1486" w:type="dxa"/>
          </w:tcPr>
          <w:p w:rsidR="00D849AA" w:rsidRDefault="00EE6D95">
            <w:r>
              <w:t>107,8</w:t>
            </w:r>
          </w:p>
        </w:tc>
      </w:tr>
    </w:tbl>
    <w:p w:rsidR="00D849AA" w:rsidRDefault="00D849AA">
      <w:pPr>
        <w:jc w:val="left"/>
      </w:pPr>
    </w:p>
    <w:p w:rsidR="00D849AA" w:rsidRDefault="00EE6D95">
      <w:pPr>
        <w:pStyle w:val="Normal6"/>
      </w:pPr>
      <w:r>
        <w:t>Na ovoj su aktivnosti osigurana sredstva za rashode zaposlenih u srednjim školama i to bruto plaće s pripadajućim doprinosima i ostali rashodi za zaposlene (pomoći, dar za djecu i sl.). Potrebno je napomenuti kako rashodi za zaposlene u velikoj mjeri ovise o materijalnim pravima zaposlenika ugovorenim kolektivnim ugovorima, kojima su definirani brojni dodaci na plaću. Trenutno su u tijeku pregovori između Vlade RH i Nezavisnog sindikata zaposlenih u srednjim školama Hrvatske o izmjeni važećeg Kolektivnog ugovora za zaposlenike u srednjoškolskim ustanovama i u ovom se trenutku ne može procijeniti ishod pregovora. Stoga se u postupku planiranja sredstava za 2014. godinu krenulo od trenutno važećih materijalnih prava zaposlenika koji proizlaze iz važećih kolektivnih ugovora: Kolektivnog ugovora za zaposlenike u srednjoškolskim ustanovama (NN 7/11) i Temeljnog kolektivnog ugovora za službenike i namještenike u javnim službama (NN 141/12).</w:t>
      </w:r>
    </w:p>
    <w:p w:rsidR="00D849AA" w:rsidRDefault="00EE6D95">
      <w:pPr>
        <w:pStyle w:val="Naslov6"/>
      </w:pPr>
      <w:r>
        <w:t>A580004 STANDARD UČENIKA S POSEBNIM POTREBAMA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A580004</w:t>
            </w:r>
          </w:p>
        </w:tc>
        <w:tc>
          <w:tcPr>
            <w:tcW w:w="1486" w:type="dxa"/>
          </w:tcPr>
          <w:p w:rsidR="00D849AA" w:rsidRDefault="00EE6D95">
            <w:r>
              <w:t>855.729</w:t>
            </w:r>
          </w:p>
        </w:tc>
        <w:tc>
          <w:tcPr>
            <w:tcW w:w="1486" w:type="dxa"/>
          </w:tcPr>
          <w:p w:rsidR="00D849AA" w:rsidRDefault="00EE6D95">
            <w:r>
              <w:t>990.000</w:t>
            </w:r>
          </w:p>
        </w:tc>
        <w:tc>
          <w:tcPr>
            <w:tcW w:w="1486" w:type="dxa"/>
          </w:tcPr>
          <w:p w:rsidR="00D849AA" w:rsidRDefault="00EE6D95">
            <w:r>
              <w:t>912.401</w:t>
            </w:r>
          </w:p>
        </w:tc>
        <w:tc>
          <w:tcPr>
            <w:tcW w:w="1486" w:type="dxa"/>
          </w:tcPr>
          <w:p w:rsidR="00D849AA" w:rsidRDefault="00EE6D95">
            <w:r>
              <w:t>907.839</w:t>
            </w:r>
          </w:p>
        </w:tc>
        <w:tc>
          <w:tcPr>
            <w:tcW w:w="1486" w:type="dxa"/>
          </w:tcPr>
          <w:p w:rsidR="00D849AA" w:rsidRDefault="00EE6D95">
            <w:r>
              <w:t>115,7</w:t>
            </w:r>
          </w:p>
        </w:tc>
      </w:tr>
    </w:tbl>
    <w:p w:rsidR="00D849AA" w:rsidRDefault="00D849AA">
      <w:pPr>
        <w:jc w:val="left"/>
      </w:pPr>
    </w:p>
    <w:p w:rsidR="00D849AA" w:rsidRDefault="00EE6D95">
      <w:pPr>
        <w:pStyle w:val="Normal6"/>
      </w:pPr>
      <w:r>
        <w:t xml:space="preserve">Sukladno Odluci o financiranju troškova prijevoza i posebnih nastavnih sredstava za školovanje učenika s teškoćama u razvoju u srednjoškolskim programima u 2013. godini te Zakona o odgoju i obrazovanju u osnovnoj i srednjoj školi osiguravaju se troškovi prijevoza svim učenicima s teškoćama, kao i troškovi prijevoza za pratitelje, kada je zbog vrste i stupnja teškoća pratitelj potreban, koji se školuju na temelju rješenja o primjerenom programu i obliku školovanja ureda državne uprave u županiji nadležnog za obrazovanje te svladavaju jedan od primjerenih programa prema Pravilniku o srednjoškolskom obrazovanju učenika s teškoćama i većim teškoćama u razvoju.  </w:t>
      </w:r>
    </w:p>
    <w:p w:rsidR="00D849AA" w:rsidRDefault="00EE6D95">
      <w:pPr>
        <w:pStyle w:val="Normal6"/>
      </w:pPr>
      <w:r>
        <w:lastRenderedPageBreak/>
        <w:t>Cilj aktivnosti je učiniti obrazovanje dostupnim svakom učeniku, učiniti ga prohodnim, ostvariti socijalnu uključenost i djelovati u korist učenika s teškoćama, odnosno povećati broj učenika s teškoćama uključenih u redoviti srednjoškolski sustav odgoja i obrazovanja i društvo u cjelini.</w:t>
      </w:r>
    </w:p>
    <w:p w:rsidR="00D849AA" w:rsidRDefault="00EE6D95">
      <w:pPr>
        <w:pStyle w:val="Naslov6"/>
      </w:pPr>
      <w:r>
        <w:t>A580007 IZVRŠAVANJE PRAVOMOĆNIH SUDSKIH PRESUDA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A580007</w:t>
            </w:r>
          </w:p>
        </w:tc>
        <w:tc>
          <w:tcPr>
            <w:tcW w:w="1486" w:type="dxa"/>
          </w:tcPr>
          <w:p w:rsidR="00D849AA" w:rsidRDefault="00EE6D95">
            <w:r>
              <w:t>3.786.524</w:t>
            </w:r>
          </w:p>
        </w:tc>
        <w:tc>
          <w:tcPr>
            <w:tcW w:w="1486" w:type="dxa"/>
          </w:tcPr>
          <w:p w:rsidR="00D849AA" w:rsidRDefault="00EE6D95">
            <w:r>
              <w:t>3.000.000</w:t>
            </w:r>
          </w:p>
        </w:tc>
        <w:tc>
          <w:tcPr>
            <w:tcW w:w="1486" w:type="dxa"/>
          </w:tcPr>
          <w:p w:rsidR="00D849AA" w:rsidRDefault="00EE6D95">
            <w:r>
              <w:t>3.000.000</w:t>
            </w:r>
          </w:p>
        </w:tc>
        <w:tc>
          <w:tcPr>
            <w:tcW w:w="1486" w:type="dxa"/>
          </w:tcPr>
          <w:p w:rsidR="00D849AA" w:rsidRDefault="00EE6D95">
            <w:r>
              <w:t>3.000.000</w:t>
            </w:r>
          </w:p>
        </w:tc>
        <w:tc>
          <w:tcPr>
            <w:tcW w:w="1486" w:type="dxa"/>
          </w:tcPr>
          <w:p w:rsidR="00D849AA" w:rsidRDefault="00EE6D95">
            <w:r>
              <w:t>79,2</w:t>
            </w:r>
          </w:p>
        </w:tc>
      </w:tr>
    </w:tbl>
    <w:p w:rsidR="00D849AA" w:rsidRDefault="00D849AA">
      <w:pPr>
        <w:jc w:val="left"/>
      </w:pPr>
    </w:p>
    <w:p w:rsidR="00D849AA" w:rsidRDefault="00EE6D95">
      <w:pPr>
        <w:pStyle w:val="Normal6"/>
      </w:pPr>
      <w:r>
        <w:t>Na ovoj su aktivnosti osigurana sredstva za plaćanje po pravomoćnim sudskim presudama (izgubljeni radni sporovi koje su vodile školske ustanove), a u skladu s čl. 142. Zakona o odgoju i obrazovanju u osnovnoj i srednjoj školi.</w:t>
      </w:r>
    </w:p>
    <w:p w:rsidR="00D849AA" w:rsidRDefault="00EE6D95">
      <w:pPr>
        <w:pStyle w:val="Naslov6"/>
      </w:pPr>
      <w:r>
        <w:t>A580011 JUBILARNE NAGRADE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A580011</w:t>
            </w:r>
          </w:p>
        </w:tc>
        <w:tc>
          <w:tcPr>
            <w:tcW w:w="1486" w:type="dxa"/>
          </w:tcPr>
          <w:p w:rsidR="00D849AA" w:rsidRDefault="00EE6D95">
            <w:r>
              <w:t>13.775.000</w:t>
            </w:r>
          </w:p>
        </w:tc>
        <w:tc>
          <w:tcPr>
            <w:tcW w:w="1486" w:type="dxa"/>
          </w:tcPr>
          <w:p w:rsidR="00D849AA" w:rsidRDefault="00EE6D95">
            <w:r>
              <w:t>7.000.000</w:t>
            </w:r>
          </w:p>
        </w:tc>
        <w:tc>
          <w:tcPr>
            <w:tcW w:w="1486" w:type="dxa"/>
          </w:tcPr>
          <w:p w:rsidR="00D849AA" w:rsidRDefault="00EE6D95">
            <w:r>
              <w:t>7.000.000</w:t>
            </w:r>
          </w:p>
        </w:tc>
        <w:tc>
          <w:tcPr>
            <w:tcW w:w="1486" w:type="dxa"/>
          </w:tcPr>
          <w:p w:rsidR="00D849AA" w:rsidRDefault="00EE6D95">
            <w:r>
              <w:t>7.000.000</w:t>
            </w:r>
          </w:p>
        </w:tc>
        <w:tc>
          <w:tcPr>
            <w:tcW w:w="1486" w:type="dxa"/>
          </w:tcPr>
          <w:p w:rsidR="00D849AA" w:rsidRDefault="00EE6D95">
            <w:r>
              <w:t>50,8</w:t>
            </w:r>
          </w:p>
        </w:tc>
      </w:tr>
    </w:tbl>
    <w:p w:rsidR="00D849AA" w:rsidRDefault="00D849AA">
      <w:pPr>
        <w:jc w:val="left"/>
      </w:pPr>
    </w:p>
    <w:p w:rsidR="00D849AA" w:rsidRDefault="00EE6D95">
      <w:pPr>
        <w:pStyle w:val="Normal6"/>
      </w:pPr>
      <w:r>
        <w:t>Na ovoj su aktivnosti osigurana sredstva za isplatu jubilarnih nagrada zaposlenicima srednjoškolskih ustanova. U 2013. godini jubilarne su nagrade isplaćivane po osnovici u visini 500,00 kn. U ovom trenutku nije poznato koliko će iznositi osnovica za isplatu jubilarnih nagrada u 2014. godini, jer sukladno odredbama Kolektivnog ugovora za zaposlenike u srednjoškolskim ustanovama, Vlada RH i sindikati javnih službi svake godine - u postupku donošenja državnog proračuna - pregovaraju o visini osnovice za narednu godinu. Stoga se, pri planiranju potrebnih sredstava za 2014. godinu krenulo od pretpostavke da će i u 2014. godini osnovica za isplatu jubilarnih nagrada iznositi 500,00 kn što je realnije za očekivati, s obzirom na gospodarsku situaciju u zemlji.</w:t>
      </w:r>
    </w:p>
    <w:p w:rsidR="00D849AA" w:rsidRDefault="00EE6D95">
      <w:pPr>
        <w:pStyle w:val="Naslov6"/>
      </w:pPr>
      <w:r>
        <w:t>A580014 RAZVOJ SUSTAVA OBRAZOVANJA ODRASLIH</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A580014</w:t>
            </w:r>
          </w:p>
        </w:tc>
        <w:tc>
          <w:tcPr>
            <w:tcW w:w="1486" w:type="dxa"/>
          </w:tcPr>
          <w:p w:rsidR="00D849AA" w:rsidRDefault="00EE6D95">
            <w:r>
              <w:t>4.381.374</w:t>
            </w:r>
          </w:p>
        </w:tc>
        <w:tc>
          <w:tcPr>
            <w:tcW w:w="1486" w:type="dxa"/>
          </w:tcPr>
          <w:p w:rsidR="00D849AA" w:rsidRDefault="00EE6D95">
            <w:r>
              <w:t>4.345.982</w:t>
            </w:r>
          </w:p>
        </w:tc>
        <w:tc>
          <w:tcPr>
            <w:tcW w:w="1486" w:type="dxa"/>
          </w:tcPr>
          <w:p w:rsidR="00D849AA" w:rsidRDefault="00EE6D95">
            <w:r>
              <w:t>4.071.341</w:t>
            </w:r>
          </w:p>
        </w:tc>
        <w:tc>
          <w:tcPr>
            <w:tcW w:w="1486" w:type="dxa"/>
          </w:tcPr>
          <w:p w:rsidR="00D849AA" w:rsidRDefault="00EE6D95">
            <w:r>
              <w:t>4.055.195</w:t>
            </w:r>
          </w:p>
        </w:tc>
        <w:tc>
          <w:tcPr>
            <w:tcW w:w="1486" w:type="dxa"/>
          </w:tcPr>
          <w:p w:rsidR="00D849AA" w:rsidRDefault="00EE6D95">
            <w:r>
              <w:t>99,2</w:t>
            </w:r>
          </w:p>
        </w:tc>
      </w:tr>
    </w:tbl>
    <w:p w:rsidR="00D849AA" w:rsidRDefault="00D849AA">
      <w:pPr>
        <w:jc w:val="left"/>
      </w:pPr>
    </w:p>
    <w:p w:rsidR="00D849AA" w:rsidRDefault="00EE6D95">
      <w:pPr>
        <w:pStyle w:val="Normal6"/>
      </w:pPr>
      <w:r>
        <w:t>Na aktivnosti osigurana su sredstva za financiranje osnovnog obrazovanja odraslih i osposobljavanja za jednostavne poslove u zanimanjima. Ciljna skupina je nekvalificirano radno aktivno stanovništvo kome treba omogućiti uključenje na tržište rada i samim time smanjiti socijalna davanja prema toj kategoriji. U okviru ove aktivnosti također treba osigurati sredstva za službena putovanja savjetnika koji rade na poslovima obrazovanja odraslih, odnosno utvrđivanju uvjeta za izvođenje programa, ali i dio sredstava za vanjske članove raznih povjerenstva (izmjena propisa, eventualno donošenje novih programa, etc.)</w:t>
      </w:r>
    </w:p>
    <w:p w:rsidR="001A0148" w:rsidRDefault="001A0148">
      <w:pPr>
        <w:pStyle w:val="Normal6"/>
      </w:pPr>
    </w:p>
    <w:p w:rsidR="001A0148" w:rsidRDefault="001A0148">
      <w:pPr>
        <w:pStyle w:val="Normal6"/>
      </w:pPr>
    </w:p>
    <w:p w:rsidR="001A0148" w:rsidRDefault="001A0148">
      <w:pPr>
        <w:pStyle w:val="Normal6"/>
      </w:pPr>
    </w:p>
    <w:p w:rsidR="00D849AA" w:rsidRDefault="00EE6D95">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2229"/>
        <w:gridCol w:w="129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Povećanje broja izrađenih i usvojenih novih strukovnih kurikuluma</w:t>
            </w:r>
          </w:p>
        </w:tc>
        <w:tc>
          <w:tcPr>
            <w:tcW w:w="1114" w:type="dxa"/>
          </w:tcPr>
          <w:p w:rsidR="00D849AA" w:rsidRDefault="00EE6D95">
            <w:r>
              <w:t>Broj (kumulativno</w:t>
            </w:r>
          </w:p>
        </w:tc>
        <w:tc>
          <w:tcPr>
            <w:tcW w:w="1114" w:type="dxa"/>
          </w:tcPr>
          <w:p w:rsidR="00D849AA" w:rsidRDefault="00EE6D95">
            <w:r>
              <w:t>26</w:t>
            </w:r>
          </w:p>
        </w:tc>
        <w:tc>
          <w:tcPr>
            <w:tcW w:w="1486" w:type="dxa"/>
          </w:tcPr>
          <w:p w:rsidR="00D849AA" w:rsidRDefault="00EE6D95">
            <w:r>
              <w:t>78</w:t>
            </w:r>
          </w:p>
        </w:tc>
        <w:tc>
          <w:tcPr>
            <w:tcW w:w="1486" w:type="dxa"/>
          </w:tcPr>
          <w:p w:rsidR="00D849AA" w:rsidRDefault="00EE6D95">
            <w:r>
              <w:t>90</w:t>
            </w:r>
          </w:p>
        </w:tc>
        <w:tc>
          <w:tcPr>
            <w:tcW w:w="1486" w:type="dxa"/>
          </w:tcPr>
          <w:p w:rsidR="00D849AA" w:rsidRDefault="00EE6D95">
            <w:r>
              <w:t>104</w:t>
            </w:r>
          </w:p>
        </w:tc>
      </w:tr>
      <w:tr w:rsidR="00D849AA">
        <w:trPr>
          <w:jc w:val="center"/>
        </w:trPr>
        <w:tc>
          <w:tcPr>
            <w:tcW w:w="2229" w:type="dxa"/>
          </w:tcPr>
          <w:p w:rsidR="00D849AA" w:rsidRDefault="00EE6D95">
            <w:pPr>
              <w:pStyle w:val="CellColumn"/>
            </w:pPr>
            <w:r>
              <w:t>Povećanje broja usklađenih postojećih strukovnih kurikuluma, (usklađenih s  potrebama polaznika, tržišta rada i društva u cjelini)</w:t>
            </w:r>
          </w:p>
        </w:tc>
        <w:tc>
          <w:tcPr>
            <w:tcW w:w="1114" w:type="dxa"/>
          </w:tcPr>
          <w:p w:rsidR="00D849AA" w:rsidRDefault="00EE6D95">
            <w:r>
              <w:t>Broj (kumulativno</w:t>
            </w:r>
          </w:p>
        </w:tc>
        <w:tc>
          <w:tcPr>
            <w:tcW w:w="1114" w:type="dxa"/>
          </w:tcPr>
          <w:p w:rsidR="00D849AA" w:rsidRDefault="00EE6D95">
            <w:r>
              <w:t>0</w:t>
            </w:r>
          </w:p>
        </w:tc>
        <w:tc>
          <w:tcPr>
            <w:tcW w:w="1486" w:type="dxa"/>
          </w:tcPr>
          <w:p w:rsidR="00D849AA" w:rsidRDefault="00EE6D95">
            <w:r>
              <w:t>0</w:t>
            </w:r>
          </w:p>
        </w:tc>
        <w:tc>
          <w:tcPr>
            <w:tcW w:w="1486" w:type="dxa"/>
          </w:tcPr>
          <w:p w:rsidR="00D849AA" w:rsidRDefault="00EE6D95">
            <w:r>
              <w:t>0</w:t>
            </w:r>
          </w:p>
        </w:tc>
        <w:tc>
          <w:tcPr>
            <w:tcW w:w="1486" w:type="dxa"/>
          </w:tcPr>
          <w:p w:rsidR="00D849AA" w:rsidRDefault="00EE6D95">
            <w:r>
              <w:t>2</w:t>
            </w:r>
          </w:p>
        </w:tc>
      </w:tr>
      <w:tr w:rsidR="00D849AA">
        <w:trPr>
          <w:jc w:val="center"/>
        </w:trPr>
        <w:tc>
          <w:tcPr>
            <w:tcW w:w="2229" w:type="dxa"/>
          </w:tcPr>
          <w:p w:rsidR="00D849AA" w:rsidRDefault="00EE6D95">
            <w:pPr>
              <w:pStyle w:val="CellColumn"/>
            </w:pPr>
            <w:r>
              <w:t>Standardizacija i povećanje kvalitete programa obrazovanja odraslih</w:t>
            </w:r>
          </w:p>
        </w:tc>
        <w:tc>
          <w:tcPr>
            <w:tcW w:w="1114" w:type="dxa"/>
          </w:tcPr>
          <w:p w:rsidR="00D849AA" w:rsidRDefault="00EE6D95">
            <w:r>
              <w:t>Broj (kumulativno</w:t>
            </w:r>
          </w:p>
        </w:tc>
        <w:tc>
          <w:tcPr>
            <w:tcW w:w="1114" w:type="dxa"/>
          </w:tcPr>
          <w:p w:rsidR="00D849AA" w:rsidRDefault="00EE6D95">
            <w:r>
              <w:t>1653</w:t>
            </w:r>
          </w:p>
        </w:tc>
        <w:tc>
          <w:tcPr>
            <w:tcW w:w="1486" w:type="dxa"/>
          </w:tcPr>
          <w:p w:rsidR="00D849AA" w:rsidRDefault="00EE6D95">
            <w:r>
              <w:t>1600</w:t>
            </w:r>
          </w:p>
        </w:tc>
        <w:tc>
          <w:tcPr>
            <w:tcW w:w="1486" w:type="dxa"/>
          </w:tcPr>
          <w:p w:rsidR="00D849AA" w:rsidRDefault="00EE6D95">
            <w:r>
              <w:t>1550</w:t>
            </w:r>
          </w:p>
        </w:tc>
        <w:tc>
          <w:tcPr>
            <w:tcW w:w="1486" w:type="dxa"/>
          </w:tcPr>
          <w:p w:rsidR="00D849AA" w:rsidRDefault="00EE6D95">
            <w:r>
              <w:t>1500</w:t>
            </w:r>
          </w:p>
        </w:tc>
      </w:tr>
    </w:tbl>
    <w:p w:rsidR="00D849AA" w:rsidRDefault="00D849AA">
      <w:pPr>
        <w:jc w:val="left"/>
      </w:pPr>
    </w:p>
    <w:p w:rsidR="00D849AA" w:rsidRDefault="00EE6D95">
      <w:pPr>
        <w:pStyle w:val="Naslov6"/>
      </w:pPr>
      <w:r>
        <w:t>A580044 RAZVOJ SREDNJOŠKOLSKOG OBRAZOVANJA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A580044</w:t>
            </w:r>
          </w:p>
        </w:tc>
        <w:tc>
          <w:tcPr>
            <w:tcW w:w="1486" w:type="dxa"/>
          </w:tcPr>
          <w:p w:rsidR="00D849AA" w:rsidRDefault="00EE6D95">
            <w:r>
              <w:t>307.727</w:t>
            </w:r>
          </w:p>
        </w:tc>
        <w:tc>
          <w:tcPr>
            <w:tcW w:w="1486" w:type="dxa"/>
          </w:tcPr>
          <w:p w:rsidR="00D849AA" w:rsidRDefault="00EE6D95">
            <w:r>
              <w:t>276.286</w:t>
            </w:r>
          </w:p>
        </w:tc>
        <w:tc>
          <w:tcPr>
            <w:tcW w:w="1486" w:type="dxa"/>
          </w:tcPr>
          <w:p w:rsidR="00D849AA" w:rsidRDefault="00EE6D95">
            <w:r>
              <w:t>254.630</w:t>
            </w:r>
          </w:p>
        </w:tc>
        <w:tc>
          <w:tcPr>
            <w:tcW w:w="1486" w:type="dxa"/>
          </w:tcPr>
          <w:p w:rsidR="00D849AA" w:rsidRDefault="00EE6D95">
            <w:r>
              <w:t>253.357</w:t>
            </w:r>
          </w:p>
        </w:tc>
        <w:tc>
          <w:tcPr>
            <w:tcW w:w="1486" w:type="dxa"/>
          </w:tcPr>
          <w:p w:rsidR="00D849AA" w:rsidRDefault="00EE6D95">
            <w:r>
              <w:t>89,8</w:t>
            </w:r>
          </w:p>
        </w:tc>
      </w:tr>
    </w:tbl>
    <w:p w:rsidR="00D849AA" w:rsidRDefault="00D849AA">
      <w:pPr>
        <w:jc w:val="left"/>
      </w:pPr>
    </w:p>
    <w:p w:rsidR="00D849AA" w:rsidRDefault="00EE6D95">
      <w:pPr>
        <w:pStyle w:val="Normal6"/>
      </w:pPr>
      <w:r>
        <w:t>Na ovoj su aktivnosti osigurana sredstva za pružanje stručnih usluga u sustavu srednjih škola i učeničkih domova, odnosno, troškovi povjerenstava za utvrđivanje uvjeta u srednjim školama i učeničkim domovima te stručno pedagoški nadzor u II. stupnju. Sredstva su, također namijenjena, za podršku mreži odgojno-obrazovnih ustanova i predmetnih kurikuluma sukladno smjernicama strateških dokumenata strukovnoga obrazovanja te Nacionalnog okvirnog kurikuluma i planiranim rokovima.</w:t>
      </w:r>
    </w:p>
    <w:p w:rsidR="00D849AA" w:rsidRDefault="00EE6D95">
      <w:pPr>
        <w:pStyle w:val="Naslov6"/>
      </w:pPr>
      <w:r>
        <w:t>A580050 RAZVOJ MODELA KURIKULUMA ZA OPĆE, STRUKOVNO I UMJETNIČKO OBRAZOVANJE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A580050</w:t>
            </w:r>
          </w:p>
        </w:tc>
        <w:tc>
          <w:tcPr>
            <w:tcW w:w="1486" w:type="dxa"/>
          </w:tcPr>
          <w:p w:rsidR="00D849AA" w:rsidRDefault="00EE6D95">
            <w:r>
              <w:t>410.000</w:t>
            </w:r>
          </w:p>
        </w:tc>
        <w:tc>
          <w:tcPr>
            <w:tcW w:w="1486" w:type="dxa"/>
          </w:tcPr>
          <w:p w:rsidR="00D849AA" w:rsidRDefault="00EE6D95">
            <w:r>
              <w:t>1.003.502</w:t>
            </w:r>
          </w:p>
        </w:tc>
        <w:tc>
          <w:tcPr>
            <w:tcW w:w="1486" w:type="dxa"/>
          </w:tcPr>
          <w:p w:rsidR="00D849AA" w:rsidRDefault="00EE6D95">
            <w:r>
              <w:t>924.844</w:t>
            </w:r>
          </w:p>
        </w:tc>
        <w:tc>
          <w:tcPr>
            <w:tcW w:w="1486" w:type="dxa"/>
          </w:tcPr>
          <w:p w:rsidR="00D849AA" w:rsidRDefault="00EE6D95">
            <w:r>
              <w:t>920.220</w:t>
            </w:r>
          </w:p>
        </w:tc>
        <w:tc>
          <w:tcPr>
            <w:tcW w:w="1486" w:type="dxa"/>
          </w:tcPr>
          <w:p w:rsidR="00D849AA" w:rsidRDefault="00EE6D95">
            <w:r>
              <w:t>244,7</w:t>
            </w:r>
          </w:p>
        </w:tc>
      </w:tr>
    </w:tbl>
    <w:p w:rsidR="00D849AA" w:rsidRDefault="00D849AA">
      <w:pPr>
        <w:jc w:val="left"/>
      </w:pPr>
    </w:p>
    <w:p w:rsidR="00D849AA" w:rsidRDefault="00EE6D95">
      <w:pPr>
        <w:pStyle w:val="Normal6"/>
      </w:pPr>
      <w:r>
        <w:t>Na ovoj su aktivnosti osigurana sredstva za razvoj modela kurikuluma za opće, strukovno i umjetničko obrazovanje te za rad Nacionalnog vijeća za odgoj i obrazovanje. Nadalje, planira se izrada podzakonskih akata temeljem Zakona o umjetničkom obrazovanju kojim će se bolje i jasnije regulirati izvođenje umjetničkog obrazovanja. U tijeku je provedba eksperimentalnih programa strukovnih gimnazija koji se prate i evaluiraju kako bi se ocijenilo da li je potrebna dorada istih.</w:t>
      </w:r>
    </w:p>
    <w:p w:rsidR="00D849AA" w:rsidRDefault="00EE6D95">
      <w:pPr>
        <w:pStyle w:val="Naslov6"/>
      </w:pPr>
      <w:r>
        <w:lastRenderedPageBreak/>
        <w:t>A767013 RAZVOJ SUSTAVA OSIGURANJA KVALITETE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A767013</w:t>
            </w:r>
          </w:p>
        </w:tc>
        <w:tc>
          <w:tcPr>
            <w:tcW w:w="1486" w:type="dxa"/>
          </w:tcPr>
          <w:p w:rsidR="00D849AA" w:rsidRDefault="00EE6D95">
            <w:r>
              <w:t>87.000</w:t>
            </w:r>
          </w:p>
        </w:tc>
        <w:tc>
          <w:tcPr>
            <w:tcW w:w="1486" w:type="dxa"/>
          </w:tcPr>
          <w:p w:rsidR="00D849AA" w:rsidRDefault="00EE6D95">
            <w:r>
              <w:t>86.130</w:t>
            </w:r>
          </w:p>
        </w:tc>
        <w:tc>
          <w:tcPr>
            <w:tcW w:w="1486" w:type="dxa"/>
          </w:tcPr>
          <w:p w:rsidR="00D849AA" w:rsidRDefault="00EE6D95">
            <w:r>
              <w:t>79.379</w:t>
            </w:r>
          </w:p>
        </w:tc>
        <w:tc>
          <w:tcPr>
            <w:tcW w:w="1486" w:type="dxa"/>
          </w:tcPr>
          <w:p w:rsidR="00D849AA" w:rsidRDefault="00EE6D95">
            <w:r>
              <w:t>78.982</w:t>
            </w:r>
          </w:p>
        </w:tc>
        <w:tc>
          <w:tcPr>
            <w:tcW w:w="1486" w:type="dxa"/>
          </w:tcPr>
          <w:p w:rsidR="00D849AA" w:rsidRDefault="00EE6D95">
            <w:r>
              <w:t>99,0</w:t>
            </w:r>
          </w:p>
        </w:tc>
      </w:tr>
    </w:tbl>
    <w:p w:rsidR="00D849AA" w:rsidRDefault="00D849AA">
      <w:pPr>
        <w:jc w:val="left"/>
      </w:pPr>
    </w:p>
    <w:p w:rsidR="00D849AA" w:rsidRDefault="00EE6D95">
      <w:pPr>
        <w:pStyle w:val="Normal6"/>
      </w:pPr>
      <w:r>
        <w:t>Na ovoj su aktivnosti osigurana sredstva za razvoj sustava kvalitete. U okviru uspostave sustava osiguranja kvalitete izradit će se potrebni dokumenti, razvit će se instrumenti vrednovanja ishoda učenja općega odgoja i obrazovanja kao osnovica za uspostavu mehanizma nadzora nad upisnom politikom u srednje obrazovanje (redefiniranje elemenata i kriterija za upis u srednje obrazovanje) te će se nastaviti na razvoju uspostave informacijskog sustava za prijavu i  upise u srednje obrazovanje. Nastavit će se s praćenjem provedbe ispita državne mature i započeti s uspostavom mehanizma praćenja, analizom rezultata provedbe nacionalnih ispita i državne mature te s unapređenjem provedbe elektroničkih prijava i upisa u srednje škole te izradom prijedloga potrebnih propisa.</w:t>
      </w:r>
    </w:p>
    <w:p w:rsidR="00D849AA" w:rsidRDefault="00EE6D95">
      <w:pPr>
        <w:pStyle w:val="Naslov6"/>
      </w:pPr>
      <w:r>
        <w:t>A679010 PROGRAM POSEBNE VISOKOOBRAZOVNE, ZNANSTVENE I TEHNIČKE SURADNJE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A679010</w:t>
            </w:r>
          </w:p>
        </w:tc>
        <w:tc>
          <w:tcPr>
            <w:tcW w:w="1486" w:type="dxa"/>
          </w:tcPr>
          <w:p w:rsidR="00D849AA" w:rsidRDefault="00EE6D95">
            <w:r>
              <w:t>1.699.866</w:t>
            </w:r>
          </w:p>
        </w:tc>
        <w:tc>
          <w:tcPr>
            <w:tcW w:w="1486" w:type="dxa"/>
          </w:tcPr>
          <w:p w:rsidR="00D849AA" w:rsidRDefault="00EE6D95">
            <w:r>
              <w:t>1.682.867</w:t>
            </w:r>
          </w:p>
        </w:tc>
        <w:tc>
          <w:tcPr>
            <w:tcW w:w="1486" w:type="dxa"/>
          </w:tcPr>
          <w:p w:rsidR="00D849AA" w:rsidRDefault="00EE6D95">
            <w:r>
              <w:t>1.550.959</w:t>
            </w:r>
          </w:p>
        </w:tc>
        <w:tc>
          <w:tcPr>
            <w:tcW w:w="1486" w:type="dxa"/>
          </w:tcPr>
          <w:p w:rsidR="00D849AA" w:rsidRDefault="00EE6D95">
            <w:r>
              <w:t>1.543.205</w:t>
            </w:r>
          </w:p>
        </w:tc>
        <w:tc>
          <w:tcPr>
            <w:tcW w:w="1486" w:type="dxa"/>
          </w:tcPr>
          <w:p w:rsidR="00D849AA" w:rsidRDefault="00EE6D95">
            <w:r>
              <w:t>99,0</w:t>
            </w:r>
          </w:p>
        </w:tc>
      </w:tr>
    </w:tbl>
    <w:p w:rsidR="00D849AA" w:rsidRDefault="00D849AA">
      <w:pPr>
        <w:jc w:val="left"/>
      </w:pPr>
    </w:p>
    <w:p w:rsidR="00D849AA" w:rsidRDefault="00EE6D95">
      <w:pPr>
        <w:pStyle w:val="Normal6"/>
      </w:pPr>
      <w:r>
        <w:t>Ministarstvo provodi posebnu međunarodnu visokoobrazovnu suradnju u skladu s preuzetim  međunarodnim obvezama. Ministarstvo je nadležno za provedbu programa posebne visokoobrazovne suradnje s Interuniverzitetskim centrom Dubrovnik i Hrvatskim povijesnim institutom u Beču. Cilj suradnje je omogućiti akademskoj  zajednici, obrazovnim ustanovama i pojedincima ravnopravno sudjelovanje u programima i projektima navedene visokoobrazovne suradnje. IUC Dubrovnik – temeljem sporazuma sufinanciranje troškova tekućeg poslovanja, radi pomoći u organizaciji i izvedbi studija i projekata, te potpore sudionicima iz   RH u studijima i projektima. Hrvatski povijesni institut u Beču, sufinanciranje i korištenje dijela smještajnih kapaciteta namijenjenih boravku znanstvenika, sveučilišnih profesora i studenata iz Republike Hrvatske u svrhu studijskih boravaka/studija u Republici Austriji.</w:t>
      </w:r>
    </w:p>
    <w:p w:rsidR="001A0148" w:rsidRDefault="001A0148">
      <w:pPr>
        <w:pStyle w:val="Normal6"/>
      </w:pPr>
    </w:p>
    <w:p w:rsidR="001A0148" w:rsidRDefault="001A0148">
      <w:pPr>
        <w:pStyle w:val="Normal6"/>
      </w:pPr>
    </w:p>
    <w:p w:rsidR="001A0148" w:rsidRDefault="001A0148">
      <w:pPr>
        <w:pStyle w:val="Normal6"/>
      </w:pPr>
    </w:p>
    <w:p w:rsidR="001A0148" w:rsidRDefault="001A0148">
      <w:pPr>
        <w:pStyle w:val="Normal6"/>
      </w:pPr>
    </w:p>
    <w:p w:rsidR="001A0148" w:rsidRDefault="001A0148">
      <w:pPr>
        <w:pStyle w:val="Normal6"/>
      </w:pPr>
    </w:p>
    <w:p w:rsidR="001A0148" w:rsidRDefault="001A0148">
      <w:pPr>
        <w:pStyle w:val="Normal6"/>
      </w:pPr>
    </w:p>
    <w:p w:rsidR="001A0148" w:rsidRDefault="001A0148">
      <w:pPr>
        <w:pStyle w:val="Normal6"/>
      </w:pPr>
    </w:p>
    <w:p w:rsidR="001A0148" w:rsidRDefault="001A0148" w:rsidP="001A0148">
      <w:pPr>
        <w:pStyle w:val="Naslov4"/>
      </w:pPr>
      <w:r>
        <w:lastRenderedPageBreak/>
        <w:t>OBRAZLOŽENJE PROGRAMA</w:t>
      </w:r>
    </w:p>
    <w:p w:rsidR="00D849AA" w:rsidRDefault="00EE6D95">
      <w:pPr>
        <w:pStyle w:val="Naslov5"/>
      </w:pPr>
      <w:r>
        <w:t>3801 ULAGANJE U ZNANSTVENO ISTRAŽIVAČKU DJELATNOST</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3801</w:t>
            </w:r>
          </w:p>
        </w:tc>
        <w:tc>
          <w:tcPr>
            <w:tcW w:w="1486" w:type="dxa"/>
          </w:tcPr>
          <w:p w:rsidR="00D849AA" w:rsidRDefault="00EE6D95">
            <w:r>
              <w:t>650.486.060</w:t>
            </w:r>
          </w:p>
        </w:tc>
        <w:tc>
          <w:tcPr>
            <w:tcW w:w="1486" w:type="dxa"/>
          </w:tcPr>
          <w:p w:rsidR="00D849AA" w:rsidRDefault="00EE6D95">
            <w:r>
              <w:t>911.758.025</w:t>
            </w:r>
          </w:p>
        </w:tc>
        <w:tc>
          <w:tcPr>
            <w:tcW w:w="1486" w:type="dxa"/>
          </w:tcPr>
          <w:p w:rsidR="00D849AA" w:rsidRDefault="00EE6D95">
            <w:r>
              <w:t>651.697.967</w:t>
            </w:r>
          </w:p>
        </w:tc>
        <w:tc>
          <w:tcPr>
            <w:tcW w:w="1486" w:type="dxa"/>
          </w:tcPr>
          <w:p w:rsidR="00D849AA" w:rsidRDefault="00EE6D95">
            <w:r>
              <w:t>593.715.957</w:t>
            </w:r>
          </w:p>
        </w:tc>
        <w:tc>
          <w:tcPr>
            <w:tcW w:w="1486" w:type="dxa"/>
          </w:tcPr>
          <w:p w:rsidR="00D849AA" w:rsidRDefault="00EE6D95">
            <w:r>
              <w:t>140,2</w:t>
            </w:r>
          </w:p>
        </w:tc>
      </w:tr>
    </w:tbl>
    <w:p w:rsidR="00D849AA" w:rsidRDefault="00D849AA">
      <w:pPr>
        <w:jc w:val="left"/>
      </w:pPr>
    </w:p>
    <w:p w:rsidR="00D849AA" w:rsidRDefault="00EE6D95">
      <w:pPr>
        <w:pStyle w:val="Naslov6"/>
      </w:pPr>
      <w:r>
        <w:t>Opis programa</w:t>
      </w:r>
    </w:p>
    <w:p w:rsidR="00D849AA" w:rsidRDefault="00EE6D95">
      <w:pPr>
        <w:pStyle w:val="Normal5"/>
      </w:pPr>
      <w:r>
        <w:t xml:space="preserve">Ulaganja u razvoj znanstvenog, tehnologijskog i inovacijskog sustava preduvjet su za osiguranje stabilne budućnosti, a dodana vrijednost koja iz njih proizlazi vidljiva je u potpunosti tek u nadolazećem – najčešće srednjoročnom i dugoročnom – razdoblju. Samo takva rastuća dodana vrijednost može omogućiti izgradnju Republike Hrvatske kao zemlje okrenute znanju i inovacijama, s konačnim ciljem povećanja konkurentnosti, produktivnosti i zapošljavanja te, sukladno tome, ostvarenja stabilnog i održivoga gospodarskog rasta. Razvojne mjere znanstvene i tehnologijske politike stoga trebaju dovoditi do prenošenja rezultata znanstvenoga rada u nova dobra, usluge i procese, ali i imati ključnu ulogu u definiranju odgovora na izazove društvenog razvoja, kulture i brige za okoliš. Te mjere moraju omogućiti strukturiran i usmjeren razvoj znanstvenoga sustava i neprekidno usklađivanje s međunarodnim okvirom znanosti i tehnologije – odnosno osigurati potrebne preduvjete za uspostavu Hrvatskoga prostora znanstvenih istraživanja i visokoga obrazovanja (izvor: Program Vlade RH za mandat 2011. - 2015.). Razvoj znanstvenog i inovacijskog sustava temelji se primarno na rastu i povećavanju učinkovitosti postojećih infrastrukturnih i ljudskih znanstvenih potencijala te njihovu kontinuiranom usmjeravanju prema većoj kvaliteti, važnosti i strukturiranosti. </w:t>
      </w:r>
    </w:p>
    <w:p w:rsidR="00D849AA" w:rsidRDefault="00EE6D95">
      <w:pPr>
        <w:pStyle w:val="Normal5"/>
      </w:pPr>
      <w:r>
        <w:t>Cilj razvojnih mjera za znanost i tehnologiju je poticanje znanstvene izvrsnosti i međunarodne prepoznatljivosti javnih znanstvenih instituta i sveučilišta te donošenje i provedba javnih politika temeljenih na rezultatima znanstvenih istraživanja. Provedba ovog Programa vezana je uz ostvarivanje općeg cilja pod brojem 2. Razvijanje znanosti kao pokretača dugoročnoga gospodarskoga i društvenoga razvoja u Strateškom planu za razdoblje 2014.-2016. Ministarstva znanosti, obrazovanja i sporta. Provedba Programa 3801 Ulaganje u znanstvenoistraživačku djelatnost usklađena je i s mjerama i sredstvima za "predanost visokom obrazovanju i znanstvenom istraživanju koja će biti u skladu s potrebama tržišta rada i jačanja konkurentnosti hrvatske materijalne i nematerijalne proizvodnje", sukladno Programu Vlade Republike Hrvatske za mandat 2011.-2015.</w:t>
      </w:r>
    </w:p>
    <w:p w:rsidR="00D849AA" w:rsidRDefault="00EE6D95">
      <w:pPr>
        <w:pStyle w:val="Naslov6"/>
      </w:pPr>
      <w:r>
        <w:t>Zakonske i druge pravne osnove</w:t>
      </w:r>
    </w:p>
    <w:p w:rsidR="00D849AA" w:rsidRDefault="00EE6D95">
      <w:pPr>
        <w:pStyle w:val="Normal5"/>
      </w:pPr>
      <w:r>
        <w:t xml:space="preserve">- Zakon o znanstvenoj djelatnosti i visokom obrazovanju (NN 123/03; 198/03; 105/04; 174/04; 2/07 – Odluka USRH, 46/07; 63/11 i 94/13) </w:t>
      </w:r>
    </w:p>
    <w:p w:rsidR="00D849AA" w:rsidRDefault="00EE6D95">
      <w:pPr>
        <w:pStyle w:val="Normal5"/>
      </w:pPr>
      <w:r>
        <w:t xml:space="preserve">- Kolektivni ugovor za znanost i visoko obrazovanje (NN 142/10) </w:t>
      </w:r>
    </w:p>
    <w:p w:rsidR="00D849AA" w:rsidRDefault="00EE6D95">
      <w:pPr>
        <w:pStyle w:val="Normal5"/>
      </w:pPr>
      <w:r>
        <w:t xml:space="preserve">- Pravilnik o uvjetima za izdavanje dopusnice za obavljanje znanstvene djelatnosti, uvjetima za reakreditaciju znanstvenih organizacija i sadržaju dopusnice (NN 83/10) </w:t>
      </w:r>
    </w:p>
    <w:p w:rsidR="00D849AA" w:rsidRDefault="00EE6D95">
      <w:pPr>
        <w:pStyle w:val="Normal5"/>
      </w:pPr>
      <w:r>
        <w:t xml:space="preserve">- Pravilnik o Upisniku znanstvenika (NN 72/04, 101/04 i 82/10) </w:t>
      </w:r>
    </w:p>
    <w:p w:rsidR="00D849AA" w:rsidRDefault="00EE6D95">
      <w:pPr>
        <w:pStyle w:val="Normal5"/>
      </w:pPr>
      <w:r>
        <w:t xml:space="preserve">- Pravilnik o Upisniku znanstvenih organizacija i Upisniku visokih učilišta (NN 72/04 i 80/04) </w:t>
      </w:r>
    </w:p>
    <w:p w:rsidR="00D849AA" w:rsidRDefault="00EE6D95">
      <w:pPr>
        <w:pStyle w:val="Normal5"/>
      </w:pPr>
      <w:r>
        <w:t xml:space="preserve">- Zakon o osiguravanju kvalitete u znanosti i visokom obrazovanju (NN 45/09) </w:t>
      </w:r>
    </w:p>
    <w:p w:rsidR="00D849AA" w:rsidRDefault="00EE6D95">
      <w:pPr>
        <w:pStyle w:val="Normal5"/>
      </w:pPr>
      <w:r>
        <w:t xml:space="preserve">- Zakon o hrvatskim državnim nagradama za znanost (NN 108/95, 104/97 i 142/98) </w:t>
      </w:r>
    </w:p>
    <w:p w:rsidR="00D849AA" w:rsidRDefault="00EE6D95">
      <w:pPr>
        <w:pStyle w:val="Normal5"/>
      </w:pPr>
      <w:r>
        <w:lastRenderedPageBreak/>
        <w:t xml:space="preserve">- Pravilnik o načinu utvrđivanja uvjeta za odobrenje privremenog boravka strancima u svrhu znanstvenoga istraživanja (NN 42/08, 92/12 i 22/13) </w:t>
      </w:r>
    </w:p>
    <w:p w:rsidR="00D849AA" w:rsidRDefault="00EE6D95">
      <w:pPr>
        <w:pStyle w:val="Normal5"/>
      </w:pPr>
      <w:r>
        <w:t xml:space="preserve">- Zakon o Hrvatskoj zakladi za znanost (NN 117/01, 45/09, 92/10 i 78/12) </w:t>
      </w:r>
    </w:p>
    <w:p w:rsidR="00D849AA" w:rsidRDefault="00EE6D95">
      <w:pPr>
        <w:pStyle w:val="Normal5"/>
      </w:pPr>
      <w:r>
        <w:t xml:space="preserve">- Zakon o sklapanju i izvršavanju međunarodnih ugovora (NN 28/96)  </w:t>
      </w:r>
    </w:p>
    <w:p w:rsidR="00D849AA" w:rsidRDefault="00EE6D95">
      <w:pPr>
        <w:pStyle w:val="Normal5"/>
      </w:pPr>
      <w:r>
        <w:t xml:space="preserve">- Zakon o potvrđivanju Memoranduma o razumijevanju između Europske zajednice i Republike Hrvatske o pristupanju Republike Hrvatske Sedmom okvirnom programu Europske zajednice za istraživanje, tehnološki razvoj i demonstracijske aktivnosti (2007.-2013.) (NN - MU 10/07) </w:t>
      </w:r>
    </w:p>
    <w:p w:rsidR="00D849AA" w:rsidRDefault="00EE6D95">
      <w:pPr>
        <w:pStyle w:val="Normal5"/>
      </w:pPr>
      <w:r>
        <w:t xml:space="preserve">- Zakon o sklapanju i izvršavanju međunarodnih ugovora (NN 28/96) te pojedinačni bilateralni i multilateralni ugovori, sporazumi, provedbeni programi i protokoli koje je Republika Hrvatska potpisala, odnosno postala članicom međunarodnih organizacija </w:t>
      </w:r>
    </w:p>
    <w:p w:rsidR="00D849AA" w:rsidRDefault="00EE6D95">
      <w:pPr>
        <w:pStyle w:val="Normal5"/>
      </w:pPr>
      <w:r>
        <w:t xml:space="preserve">- Zakon o razvojnoj suradnji i humanitarnoj pomoći RH inozemstvu (NN 146/08) i Nacionalna strategija razvojne suradnje Republike Hrvatske za razdoblje od 2009. do 2014. godine (NN 24/09)   </w:t>
      </w:r>
    </w:p>
    <w:p w:rsidR="00D849AA" w:rsidRDefault="00EE6D95">
      <w:pPr>
        <w:pStyle w:val="Normal5"/>
      </w:pPr>
      <w:r>
        <w:t xml:space="preserve">- Zakon o potvrđivanju  Ugovora o zajmu između Republike Hrvatske i Međunarodne banke za obnovu i razvoj za Drugi projekt tehnologijskog razvoja (NN – MU 7/13)  </w:t>
      </w:r>
    </w:p>
    <w:p w:rsidR="00D849AA" w:rsidRDefault="00EE6D95">
      <w:pPr>
        <w:pStyle w:val="Normal5"/>
      </w:pPr>
      <w:r>
        <w:t xml:space="preserve">- Zakon o uspostavi institucionalnog okvira za korištenje strukturnih instrumenata Europske unije u Republici Hrvatskoj (NN 78/2012) </w:t>
      </w:r>
    </w:p>
    <w:p w:rsidR="00D849AA" w:rsidRDefault="00EE6D95">
      <w:pPr>
        <w:pStyle w:val="Normal5"/>
      </w:pPr>
      <w:r>
        <w:t xml:space="preserve">- Uredba o opsegu i sadržaju odgovornosti te ovlastima tijela nadležnih za upravljanje Instrumentom pretpristupne pomoći (IPA) (NN 29/12, 117/12 i 76/13) </w:t>
      </w:r>
    </w:p>
    <w:p w:rsidR="00D849AA" w:rsidRDefault="00EE6D95">
      <w:pPr>
        <w:pStyle w:val="Normal5"/>
      </w:pPr>
      <w:r>
        <w:t xml:space="preserve">- Odluka o imenovanju osoba nadležnih za upravljanje Instrumentom pretpristupne pomoći (IPA) (NN 26/12, 117/12, 12/13 i 76/13) </w:t>
      </w:r>
    </w:p>
    <w:p w:rsidR="00D849AA" w:rsidRDefault="00EE6D95">
      <w:pPr>
        <w:pStyle w:val="Normal5"/>
      </w:pPr>
      <w:r>
        <w:t xml:space="preserve">- Dvostrani sporazum o projektu između Vlade Republike Hrvatske i Europske komisije vezano uz sufinanciranje velikog projekta: „Inkubacijski centar za bioznanosti i komercijalizaciju tehnologije“ (BioCentar), CCI br.: 2009HR16IPR003 u okviru Instrumenta pretpristupne pomoći (IPA), IPA Komponenta III - Regionalni razvoj, Operativni program Regionalna konkurentnost, CCI br.: 2007HR161PO001, Prioritetna os 2: „Jačanje konkurentnosti hrvatskog gospodarstva", Mjera 2.2.: „Transfer tehnologije i podrška uslugama za novonastale tvrtke utemeljene na znanju", od 2. kolovoza 2012. godine </w:t>
      </w:r>
    </w:p>
    <w:p w:rsidR="00D849AA" w:rsidRDefault="00EE6D95">
      <w:pPr>
        <w:pStyle w:val="Normal5"/>
      </w:pPr>
      <w:r>
        <w:t xml:space="preserve">- Uredba o tijelima u sustavu upravljanja i kontrole korištenja strukturnih instrumenata Europske unije u Republici Hrvatskoj (NN 97/12) </w:t>
      </w:r>
    </w:p>
    <w:p w:rsidR="00D849AA" w:rsidRDefault="00EE6D95">
      <w:pPr>
        <w:pStyle w:val="Normal5"/>
      </w:pPr>
      <w:r>
        <w:t xml:space="preserve">- Zakon o uspostavi institucionalnog okvira za korištenje strukturnih instrumenata Europske unije u Republici Hrvatskoj (NN 78/12) </w:t>
      </w:r>
    </w:p>
    <w:p w:rsidR="00D849AA" w:rsidRDefault="00EE6D95">
      <w:pPr>
        <w:pStyle w:val="Normal5"/>
      </w:pPr>
      <w:r>
        <w:t xml:space="preserve">- Zakon o potvrđivanju Ugovora između Kraljevine Belgije, Republike Bugarske, Češke Republike, Kraljevine Danske, Savezne Republike Njemačke, Republike Estonije, Irske, Helenske Republike, Kraljevine Španjolske, Francuske Republike, Talijanske Republike, Republike Cipra, Republike Latvije, Republike Litve, Velikog Vojvodstva Luksemburga, Republike Mađarske, Republike Malte, Kraljevine Nizozemske, Republike Austrije, Republike Poljske, Portugalske Republike, Rumunjske, Republike Slovenije, Slovačke Republike, Republike Finske, Kraljevine Švedske, Ujedinjene Kraljevine Velike Britanije i Sjeverne Irske (države članice Europske unije) i Republike Hrvatske o pristupanju Republike Hrvatske Europskoj uniji (NN-MU 2/2012 od 28. ožujka 2012.) </w:t>
      </w:r>
    </w:p>
    <w:p w:rsidR="00D849AA" w:rsidRDefault="00EE6D95">
      <w:pPr>
        <w:pStyle w:val="Normal5"/>
      </w:pPr>
      <w:r>
        <w:t>- Odobreni Operativni program za regionalnu konkurentnost</w:t>
      </w:r>
    </w:p>
    <w:p w:rsidR="00D849AA" w:rsidRDefault="00EE6D95">
      <w:pPr>
        <w:pStyle w:val="Naslov6"/>
      </w:pPr>
      <w:r>
        <w:lastRenderedPageBreak/>
        <w:t>Ciljevi provedbe programa u razdoblju 2014.-2016. i pokazatelji uspješnosti kojima će se mjeriti ostvarenje tih ciljeva</w:t>
      </w:r>
    </w:p>
    <w:p w:rsidR="00D849AA" w:rsidRDefault="00EE6D95">
      <w:pPr>
        <w:pStyle w:val="Naslov7"/>
      </w:pPr>
      <w:r>
        <w:t xml:space="preserve">Cilj 1. Uspostava sustava temeljenog na znanstvenoj izvrsnosti </w:t>
      </w:r>
    </w:p>
    <w:p w:rsidR="00D849AA" w:rsidRDefault="00EE6D95">
      <w:pPr>
        <w:pStyle w:val="Normal6"/>
      </w:pPr>
      <w:r>
        <w:t xml:space="preserve">Stvaranjem i uključivanjem Hrvatskoga prostora znanstvenih istraživanja i visokog obrazovanja u Europski istraživački i inovacijski prostor (ERIA) hrvatska znanstvena i akademska zajednica morat će se prilagoditi razvijenim međunarodnim kriterijima znanstvene izvrsnosti.  </w:t>
      </w:r>
    </w:p>
    <w:p w:rsidR="00D849AA" w:rsidRDefault="00EE6D95">
      <w:pPr>
        <w:pStyle w:val="Normal6"/>
      </w:pPr>
      <w:r>
        <w:t xml:space="preserve">Definiranjem i poticanjem jačanja prioritetnih znanstveno-istraživačkih područja stvorit će se temelj za jačanje učinkovitosti postojećih infrastrukturnih potencijala te će se kontinuirano usmjeravati prema većoj izvrsnosti, međunarodnom značaju i racionalnijem korištenju, a čime će se posredno utjecati na razvoj znanosti, inovacija i tehnologija.  </w:t>
      </w:r>
    </w:p>
    <w:p w:rsidR="00D849AA" w:rsidRDefault="00EE6D95">
      <w:pPr>
        <w:pStyle w:val="Normal6"/>
      </w:pPr>
      <w:r>
        <w:t>Na tako definiranim prioritetnim znanstveno-istraživačkim područjima temeljit će se okrupnjavanje međunarodno priznatih dionika hrvatske znanstvene djelatnosti u međunarodno priznate nacionalne znanstvene centre izvrsnosti koji će po svojem ugledu i izvrsnosti moći uspješno kotirati na europskoj i svjetskoj znanstvenoj sceni.</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Povećanje ukupnog izdvajanja za znanost i istraživanje kao udio u BDP-u</w:t>
            </w:r>
          </w:p>
        </w:tc>
        <w:tc>
          <w:tcPr>
            <w:tcW w:w="1114" w:type="dxa"/>
          </w:tcPr>
          <w:p w:rsidR="00D849AA" w:rsidRDefault="00EE6D95">
            <w:r>
              <w:t>Postotak</w:t>
            </w:r>
          </w:p>
        </w:tc>
        <w:tc>
          <w:tcPr>
            <w:tcW w:w="1114" w:type="dxa"/>
          </w:tcPr>
          <w:p w:rsidR="00D849AA" w:rsidRDefault="00EE6D95">
            <w:r>
              <w:t>0,75 (2011.)</w:t>
            </w:r>
          </w:p>
        </w:tc>
        <w:tc>
          <w:tcPr>
            <w:tcW w:w="1486" w:type="dxa"/>
          </w:tcPr>
          <w:p w:rsidR="00D849AA" w:rsidRDefault="00EE6D95">
            <w:r>
              <w:t>0,77</w:t>
            </w:r>
          </w:p>
        </w:tc>
        <w:tc>
          <w:tcPr>
            <w:tcW w:w="1486" w:type="dxa"/>
          </w:tcPr>
          <w:p w:rsidR="00D849AA" w:rsidRDefault="00EE6D95">
            <w:r>
              <w:t>0,8</w:t>
            </w:r>
          </w:p>
        </w:tc>
        <w:tc>
          <w:tcPr>
            <w:tcW w:w="1486" w:type="dxa"/>
          </w:tcPr>
          <w:p w:rsidR="00D849AA" w:rsidRDefault="00EE6D95">
            <w:r>
              <w:t>0,82</w:t>
            </w:r>
          </w:p>
        </w:tc>
      </w:tr>
    </w:tbl>
    <w:p w:rsidR="00D849AA" w:rsidRDefault="00D849AA">
      <w:pPr>
        <w:jc w:val="left"/>
      </w:pPr>
    </w:p>
    <w:p w:rsidR="00D849AA" w:rsidRDefault="00EE6D95">
      <w:pPr>
        <w:pStyle w:val="Naslov7"/>
      </w:pPr>
      <w:r>
        <w:t xml:space="preserve">Cilj 2. Stvaranje i jačanje ljudskih potencijala u znanosti i inovacijama </w:t>
      </w:r>
    </w:p>
    <w:p w:rsidR="00D849AA" w:rsidRDefault="00EE6D95">
      <w:pPr>
        <w:pStyle w:val="Normal6"/>
      </w:pPr>
      <w:r>
        <w:t xml:space="preserve">Kvalitetan sustav znanosti te gospodarstvo koje je sposobno razvijati i plasirati inovativne tehnologije i procese počivaju na kompetentnim i kompetitivnim ljudskim potencijalima koji ujedinjuju intelektualnu znatiželju, kreativnost, znanje i motivaciju. U globaliziranome svijetu, u kojem brzi transfer tehnologija i prijenos znanja prekoračuju nacionalne granice, važno je kadrovskom obnovom sveučilišta i javnih instituta (izvor: Program Vlade RH 2011. -2015.) osigurati dovoljan broj visokokvalificiranih stručnjaka i kontinuirano ulagati u njihovo obrazovanje i usavršavanje te istodobno jačati sustav (u smislu osiguranja primjerene i racionalno iskorištene infrastrukture) i osposobiti ga za apsorpciju velikog broja visokokvalificiranih stručnjaka.  </w:t>
      </w:r>
    </w:p>
    <w:p w:rsidR="00D849AA" w:rsidRDefault="00EE6D95">
      <w:pPr>
        <w:pStyle w:val="Normal6"/>
      </w:pPr>
      <w:r>
        <w:t>Poticat će se zapošljavanje stručnjaka iz područja prirodnih, tehničkih i biotehničkih znanosti koji će radom na znanstvenim projektima u gospodarstvu kontinuirano povećavati svijest o važnosti istraživanja i poticati inovacijsku kulturu u privatnomu sektoru. U planskom razdoblju nastavit će se s dosadašnjim uspješnim povlačenjem financijskih sredstava Europske unije – dostupnih u pretpristupnim i, nakon stupanja Republike Hrvatske u punopravno članstvo, Strukturnim fondovima – za aktivnosti poticanja povezivanja javnog sektora i gospodarstva u provedbi znanstvenih istraživanja te transfera tehnologije, mehanizmima razvijenim sukladno identificiranim potrebama. Pritom će se kontinuirano jačati ljudski i materijalni kapaciteti znanstvenih organizacija za takve aktivnosti.</w:t>
      </w:r>
    </w:p>
    <w:p w:rsidR="001A0148" w:rsidRDefault="001A0148">
      <w:pPr>
        <w:pStyle w:val="Normal6"/>
      </w:pPr>
    </w:p>
    <w:p w:rsidR="00D849AA" w:rsidRDefault="00EE6D95">
      <w:pPr>
        <w:pStyle w:val="Naslov8"/>
        <w:jc w:val="left"/>
      </w:pPr>
      <w:r>
        <w:lastRenderedPageBreak/>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Povećanje udjela istraživača u ukupnom broju zaposlenih</w:t>
            </w:r>
          </w:p>
        </w:tc>
        <w:tc>
          <w:tcPr>
            <w:tcW w:w="1114" w:type="dxa"/>
          </w:tcPr>
          <w:p w:rsidR="00D849AA" w:rsidRDefault="00EE6D95">
            <w:r>
              <w:t>Postotak</w:t>
            </w:r>
          </w:p>
        </w:tc>
        <w:tc>
          <w:tcPr>
            <w:tcW w:w="1114" w:type="dxa"/>
          </w:tcPr>
          <w:p w:rsidR="00D849AA" w:rsidRDefault="00EE6D95">
            <w:r>
              <w:t>60,47 (2013.)</w:t>
            </w:r>
          </w:p>
        </w:tc>
        <w:tc>
          <w:tcPr>
            <w:tcW w:w="1486" w:type="dxa"/>
          </w:tcPr>
          <w:p w:rsidR="00D849AA" w:rsidRDefault="00EE6D95">
            <w:r>
              <w:t>35</w:t>
            </w:r>
          </w:p>
        </w:tc>
        <w:tc>
          <w:tcPr>
            <w:tcW w:w="1486" w:type="dxa"/>
          </w:tcPr>
          <w:p w:rsidR="00D849AA" w:rsidRDefault="00EE6D95">
            <w:r>
              <w:t>37</w:t>
            </w:r>
          </w:p>
        </w:tc>
        <w:tc>
          <w:tcPr>
            <w:tcW w:w="1486" w:type="dxa"/>
          </w:tcPr>
          <w:p w:rsidR="00D849AA" w:rsidRDefault="00EE6D95">
            <w:r>
              <w:t>40</w:t>
            </w:r>
          </w:p>
        </w:tc>
      </w:tr>
    </w:tbl>
    <w:p w:rsidR="00D849AA" w:rsidRDefault="00D849AA">
      <w:pPr>
        <w:jc w:val="left"/>
      </w:pPr>
    </w:p>
    <w:p w:rsidR="00D849AA" w:rsidRDefault="00EE6D95">
      <w:pPr>
        <w:pStyle w:val="Naslov7"/>
      </w:pPr>
      <w:r>
        <w:t xml:space="preserve">Cilj 3. Poticanje mobilnosti i međunarodne suradnje hrvatskih znanstvenika </w:t>
      </w:r>
    </w:p>
    <w:p w:rsidR="00D849AA" w:rsidRDefault="00EE6D95">
      <w:pPr>
        <w:pStyle w:val="Normal6"/>
      </w:pPr>
      <w:r>
        <w:t>Ministarstvo će i dalje poticati sudjelovanje hrvatskih znanstvenika u programima Europske unije, programima bilateralne suradnje i drugim međunarodnim programima za istraživanje i razvoj, kao i provedbu programa odlazne i dolazne mobilnosti istraživača. Ministarstvo provodi projekt stipendiranja pod nazivom Novi međunarodni program stipendiranja i mobilnosti za iskusne istraživače (NEWFELPRO). Sredstva su osigurana u sklopu programa Marie Curie FP7-PEOPLE-2011-COFUND. Ukupna vrijednost projekta je sedam (7) milijuna eura, od čega se iz nacionalne komponente financira 60% aktivnosti projekta. Dugoročni cilj projekta jest pridonijeti značajno većem broju kvalificiranih znanstvenika i istraživača koji sudjelovanjem u projektu stječu relevantno međunarodno iskustvo, čime se potiče daljnji razvoj međunarodne mreže znanstvenika.</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361"/>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Povećanje broja međunarodnih znanstvenih koautorstava na milijun stanovnika</w:t>
            </w:r>
          </w:p>
        </w:tc>
        <w:tc>
          <w:tcPr>
            <w:tcW w:w="1114" w:type="dxa"/>
          </w:tcPr>
          <w:p w:rsidR="00D849AA" w:rsidRDefault="00EE6D95">
            <w:r>
              <w:t>Broj na milijun stanovnika (godišnje)</w:t>
            </w:r>
          </w:p>
        </w:tc>
        <w:tc>
          <w:tcPr>
            <w:tcW w:w="1114" w:type="dxa"/>
          </w:tcPr>
          <w:p w:rsidR="00D849AA" w:rsidRDefault="00EE6D95">
            <w:r>
              <w:t>388 (2011.)</w:t>
            </w:r>
          </w:p>
        </w:tc>
        <w:tc>
          <w:tcPr>
            <w:tcW w:w="1486" w:type="dxa"/>
          </w:tcPr>
          <w:p w:rsidR="00D849AA" w:rsidRDefault="00EE6D95">
            <w:r>
              <w:t>400</w:t>
            </w:r>
          </w:p>
        </w:tc>
        <w:tc>
          <w:tcPr>
            <w:tcW w:w="1486" w:type="dxa"/>
          </w:tcPr>
          <w:p w:rsidR="00D849AA" w:rsidRDefault="00EE6D95">
            <w:r>
              <w:t>420</w:t>
            </w:r>
          </w:p>
        </w:tc>
        <w:tc>
          <w:tcPr>
            <w:tcW w:w="1486" w:type="dxa"/>
          </w:tcPr>
          <w:p w:rsidR="00D849AA" w:rsidRDefault="00EE6D95">
            <w:r>
              <w:t>440</w:t>
            </w:r>
          </w:p>
        </w:tc>
      </w:tr>
      <w:tr w:rsidR="00D849AA">
        <w:trPr>
          <w:jc w:val="center"/>
        </w:trPr>
        <w:tc>
          <w:tcPr>
            <w:tcW w:w="2229" w:type="dxa"/>
          </w:tcPr>
          <w:p w:rsidR="00D849AA" w:rsidRDefault="00EE6D95">
            <w:pPr>
              <w:pStyle w:val="CellColumn"/>
            </w:pPr>
            <w:r>
              <w:t>Povećanje broja bilateralnih znanstvenih projekata</w:t>
            </w:r>
          </w:p>
        </w:tc>
        <w:tc>
          <w:tcPr>
            <w:tcW w:w="1114" w:type="dxa"/>
          </w:tcPr>
          <w:p w:rsidR="00D849AA" w:rsidRDefault="00EE6D95">
            <w:r>
              <w:t>Broj (kumulativno)</w:t>
            </w:r>
          </w:p>
        </w:tc>
        <w:tc>
          <w:tcPr>
            <w:tcW w:w="1114" w:type="dxa"/>
          </w:tcPr>
          <w:p w:rsidR="00D849AA" w:rsidRDefault="00EE6D95">
            <w:r>
              <w:t xml:space="preserve">190 </w:t>
            </w:r>
          </w:p>
          <w:p w:rsidR="00D849AA" w:rsidRDefault="00EE6D95">
            <w:r>
              <w:t>(od 01. siječnja do 31. prosinca 2013.)</w:t>
            </w:r>
          </w:p>
        </w:tc>
        <w:tc>
          <w:tcPr>
            <w:tcW w:w="1486" w:type="dxa"/>
          </w:tcPr>
          <w:p w:rsidR="00D849AA" w:rsidRDefault="00EE6D95">
            <w:r>
              <w:t>220</w:t>
            </w:r>
          </w:p>
        </w:tc>
        <w:tc>
          <w:tcPr>
            <w:tcW w:w="1486" w:type="dxa"/>
          </w:tcPr>
          <w:p w:rsidR="00D849AA" w:rsidRDefault="00EE6D95">
            <w:r>
              <w:t>240</w:t>
            </w:r>
          </w:p>
        </w:tc>
        <w:tc>
          <w:tcPr>
            <w:tcW w:w="1486" w:type="dxa"/>
          </w:tcPr>
          <w:p w:rsidR="00D849AA" w:rsidRDefault="00EE6D95">
            <w:r>
              <w:t>265</w:t>
            </w:r>
          </w:p>
        </w:tc>
      </w:tr>
      <w:tr w:rsidR="00D849AA">
        <w:trPr>
          <w:jc w:val="center"/>
        </w:trPr>
        <w:tc>
          <w:tcPr>
            <w:tcW w:w="2229" w:type="dxa"/>
          </w:tcPr>
          <w:p w:rsidR="00D849AA" w:rsidRDefault="00EE6D95">
            <w:pPr>
              <w:pStyle w:val="CellColumn"/>
            </w:pPr>
            <w:r>
              <w:t>Povećanje broja multilateralnih znanstvenih projekata</w:t>
            </w:r>
          </w:p>
        </w:tc>
        <w:tc>
          <w:tcPr>
            <w:tcW w:w="1114" w:type="dxa"/>
          </w:tcPr>
          <w:p w:rsidR="00D849AA" w:rsidRDefault="00EE6D95">
            <w:r>
              <w:t xml:space="preserve">Broj </w:t>
            </w:r>
          </w:p>
          <w:p w:rsidR="00D849AA" w:rsidRDefault="00EE6D95">
            <w:r>
              <w:t>(godišnje)</w:t>
            </w:r>
          </w:p>
        </w:tc>
        <w:tc>
          <w:tcPr>
            <w:tcW w:w="1114" w:type="dxa"/>
          </w:tcPr>
          <w:p w:rsidR="00D849AA" w:rsidRDefault="00EE6D95">
            <w:r>
              <w:t>34</w:t>
            </w:r>
          </w:p>
        </w:tc>
        <w:tc>
          <w:tcPr>
            <w:tcW w:w="1486" w:type="dxa"/>
          </w:tcPr>
          <w:p w:rsidR="00D849AA" w:rsidRDefault="00EE6D95">
            <w:r>
              <w:t>38</w:t>
            </w:r>
          </w:p>
        </w:tc>
        <w:tc>
          <w:tcPr>
            <w:tcW w:w="1486" w:type="dxa"/>
          </w:tcPr>
          <w:p w:rsidR="00D849AA" w:rsidRDefault="00EE6D95">
            <w:r>
              <w:t>40</w:t>
            </w:r>
          </w:p>
        </w:tc>
        <w:tc>
          <w:tcPr>
            <w:tcW w:w="1486" w:type="dxa"/>
          </w:tcPr>
          <w:p w:rsidR="00D849AA" w:rsidRDefault="00EE6D95">
            <w:r>
              <w:t>44</w:t>
            </w:r>
          </w:p>
        </w:tc>
      </w:tr>
      <w:tr w:rsidR="00D849AA">
        <w:trPr>
          <w:jc w:val="center"/>
        </w:trPr>
        <w:tc>
          <w:tcPr>
            <w:tcW w:w="2229" w:type="dxa"/>
          </w:tcPr>
          <w:p w:rsidR="00D849AA" w:rsidRDefault="00EE6D95">
            <w:pPr>
              <w:pStyle w:val="CellColumn"/>
            </w:pPr>
            <w:r>
              <w:t>Povećanje broja međunarodnih znanstveno – istraživačkih projekata u kojima sudjeluju ustanove iz RH (Obzor 2020.)</w:t>
            </w:r>
          </w:p>
        </w:tc>
        <w:tc>
          <w:tcPr>
            <w:tcW w:w="1114" w:type="dxa"/>
          </w:tcPr>
          <w:p w:rsidR="00D849AA" w:rsidRDefault="00EE6D95">
            <w:r>
              <w:t xml:space="preserve">Broj </w:t>
            </w:r>
          </w:p>
          <w:p w:rsidR="00D849AA" w:rsidRDefault="00EE6D95">
            <w:r>
              <w:t>(godišnje)</w:t>
            </w:r>
          </w:p>
        </w:tc>
        <w:tc>
          <w:tcPr>
            <w:tcW w:w="1114" w:type="dxa"/>
          </w:tcPr>
          <w:p w:rsidR="00D849AA" w:rsidRDefault="00EE6D95">
            <w:r>
              <w:t>(novi program, počinje 1. 1. 2014</w:t>
            </w:r>
          </w:p>
        </w:tc>
        <w:tc>
          <w:tcPr>
            <w:tcW w:w="1486" w:type="dxa"/>
          </w:tcPr>
          <w:p w:rsidR="00D849AA" w:rsidRDefault="00EE6D95">
            <w:r>
              <w:t>program počinje 1. 1. 2014</w:t>
            </w:r>
          </w:p>
        </w:tc>
        <w:tc>
          <w:tcPr>
            <w:tcW w:w="1486" w:type="dxa"/>
          </w:tcPr>
          <w:p w:rsidR="00D849AA" w:rsidRDefault="00EE6D95">
            <w:r>
              <w:t>ovisno o rezultatima u 2014.</w:t>
            </w:r>
          </w:p>
        </w:tc>
        <w:tc>
          <w:tcPr>
            <w:tcW w:w="1486" w:type="dxa"/>
          </w:tcPr>
          <w:p w:rsidR="00D849AA" w:rsidRDefault="00EE6D95">
            <w:r>
              <w:t>ovisno o rezultatima u 2014</w:t>
            </w:r>
          </w:p>
        </w:tc>
      </w:tr>
      <w:tr w:rsidR="00D849AA">
        <w:trPr>
          <w:jc w:val="center"/>
        </w:trPr>
        <w:tc>
          <w:tcPr>
            <w:tcW w:w="2229" w:type="dxa"/>
          </w:tcPr>
          <w:p w:rsidR="00D849AA" w:rsidRDefault="00EE6D95">
            <w:pPr>
              <w:pStyle w:val="CellColumn"/>
            </w:pPr>
            <w:r>
              <w:lastRenderedPageBreak/>
              <w:t>Povećanje broja stranih znanstvenika ugošćenih za rad na znanstvenim projektima u RH</w:t>
            </w:r>
          </w:p>
        </w:tc>
        <w:tc>
          <w:tcPr>
            <w:tcW w:w="1114" w:type="dxa"/>
          </w:tcPr>
          <w:p w:rsidR="00D849AA" w:rsidRDefault="00EE6D95">
            <w:r>
              <w:t xml:space="preserve">Broj </w:t>
            </w:r>
          </w:p>
          <w:p w:rsidR="00D849AA" w:rsidRDefault="00EE6D95">
            <w:r>
              <w:t>(kumulativno)</w:t>
            </w:r>
          </w:p>
        </w:tc>
        <w:tc>
          <w:tcPr>
            <w:tcW w:w="1114" w:type="dxa"/>
          </w:tcPr>
          <w:p w:rsidR="00D849AA" w:rsidRDefault="00EE6D95">
            <w:r>
              <w:t xml:space="preserve">78 </w:t>
            </w:r>
          </w:p>
          <w:p w:rsidR="00D849AA" w:rsidRDefault="00EE6D95">
            <w:r>
              <w:t>(od veljače 2009. do listopada 2013.)</w:t>
            </w:r>
          </w:p>
        </w:tc>
        <w:tc>
          <w:tcPr>
            <w:tcW w:w="1486" w:type="dxa"/>
          </w:tcPr>
          <w:p w:rsidR="00D849AA" w:rsidRDefault="00EE6D95">
            <w:r>
              <w:t>85</w:t>
            </w:r>
          </w:p>
        </w:tc>
        <w:tc>
          <w:tcPr>
            <w:tcW w:w="1486" w:type="dxa"/>
          </w:tcPr>
          <w:p w:rsidR="00D849AA" w:rsidRDefault="00EE6D95">
            <w:r>
              <w:t>95</w:t>
            </w:r>
          </w:p>
        </w:tc>
        <w:tc>
          <w:tcPr>
            <w:tcW w:w="1486" w:type="dxa"/>
          </w:tcPr>
          <w:p w:rsidR="00D849AA" w:rsidRDefault="00EE6D95">
            <w:r>
              <w:t>105</w:t>
            </w:r>
          </w:p>
        </w:tc>
      </w:tr>
    </w:tbl>
    <w:p w:rsidR="00D849AA" w:rsidRDefault="00D849AA">
      <w:pPr>
        <w:jc w:val="left"/>
      </w:pPr>
    </w:p>
    <w:p w:rsidR="00D849AA" w:rsidRDefault="00EE6D95">
      <w:pPr>
        <w:pStyle w:val="Naslov7"/>
      </w:pPr>
      <w:r>
        <w:t xml:space="preserve">Cilj 4. Unapređenje sustava kvalitete, upravljanja i financiranja znanstvenih organizacija </w:t>
      </w:r>
    </w:p>
    <w:p w:rsidR="00D849AA" w:rsidRDefault="00EE6D95">
      <w:pPr>
        <w:pStyle w:val="Normal6"/>
      </w:pPr>
      <w:r>
        <w:t>Prilagodba znanstvenoga sustava europskim i svjetskim standardima te njegova svojevrsna dinamizacija s ciljem povećanja gospodarskog i društvenog rasta i razvoja pretpostavlja visoki stupanj suradnje svih dionika u sustavu znanosti. Nužno je uspostaviti sustav kvalitete u sklopu znanstvene zajednice s uključenim vanjskim dionicima iz gospodarstva, poduzetništva, civilnog sektora i ostalih zainteresiranih. Cilj restrukturiranja javnih znanstvenih instituta jest daljnji razvoj i uspostava kulture kvalitete, između ostaloga, s jasnim i transparentnim modelom financiranja. Sredstva za višegodišnje institucijsko financiranje znanstvene djelatnosti dodjeljivat će se za temeljnu znanstvenu djelatnost, a znanstvenici će, kao i do sada, imati mogućnost prijavljivati projekte na natječaje Hrvatske zaklade za znanost, Fonda „Jedinstvo uz pomoć znanja“ te na natječaje za međunarodne projekte od kojih će isto tako moći financirati svoju znanstveno-istraživačku djelatnost. Razrađeni model višegodišnjega institucijskog financiranja treba promatrati i kao pripremu za implementaciju cjelovitih programskih ugovora.</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Povećanje kompozitnoga indikatora znanstvene izvrsnosti</w:t>
            </w:r>
          </w:p>
        </w:tc>
        <w:tc>
          <w:tcPr>
            <w:tcW w:w="1114" w:type="dxa"/>
          </w:tcPr>
          <w:p w:rsidR="00D849AA" w:rsidRDefault="00EE6D95">
            <w:r>
              <w:t>Broj bodova zemlje</w:t>
            </w:r>
          </w:p>
        </w:tc>
        <w:tc>
          <w:tcPr>
            <w:tcW w:w="1114" w:type="dxa"/>
          </w:tcPr>
          <w:p w:rsidR="00D849AA" w:rsidRDefault="00EE6D95">
            <w:r>
              <w:t>12,2 (2010.)</w:t>
            </w:r>
          </w:p>
        </w:tc>
        <w:tc>
          <w:tcPr>
            <w:tcW w:w="1486" w:type="dxa"/>
          </w:tcPr>
          <w:p w:rsidR="00D849AA" w:rsidRDefault="00EE6D95">
            <w:r>
              <w:t>13</w:t>
            </w:r>
          </w:p>
        </w:tc>
        <w:tc>
          <w:tcPr>
            <w:tcW w:w="1486" w:type="dxa"/>
          </w:tcPr>
          <w:p w:rsidR="00D849AA" w:rsidRDefault="00EE6D95">
            <w:r>
              <w:t>14</w:t>
            </w:r>
          </w:p>
        </w:tc>
        <w:tc>
          <w:tcPr>
            <w:tcW w:w="1486" w:type="dxa"/>
          </w:tcPr>
          <w:p w:rsidR="00D849AA" w:rsidRDefault="00EE6D95">
            <w:r>
              <w:t>15</w:t>
            </w:r>
          </w:p>
        </w:tc>
      </w:tr>
    </w:tbl>
    <w:p w:rsidR="00D849AA" w:rsidRDefault="00D849AA">
      <w:pPr>
        <w:jc w:val="left"/>
      </w:pPr>
    </w:p>
    <w:p w:rsidR="00D849AA" w:rsidRDefault="00EE6D95">
      <w:pPr>
        <w:pStyle w:val="Naslov5"/>
      </w:pPr>
      <w:r>
        <w:t>Procjena i ishodište potrebnih sredstava za značajnije aktivnosti/projekte</w:t>
      </w:r>
    </w:p>
    <w:p w:rsidR="00D849AA" w:rsidRDefault="00EE6D95">
      <w:pPr>
        <w:pStyle w:val="Naslov6"/>
      </w:pPr>
      <w:r>
        <w:t>A557042 PROGRAM DOKTORANADA I POSLIJEDOKTORANADA HRVATSKE ZAKLADE ZA ZNANOST</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A557042</w:t>
            </w:r>
          </w:p>
        </w:tc>
        <w:tc>
          <w:tcPr>
            <w:tcW w:w="1486" w:type="dxa"/>
          </w:tcPr>
          <w:p w:rsidR="00D849AA" w:rsidRDefault="00EE6D95">
            <w:r>
              <w:t>00</w:t>
            </w:r>
          </w:p>
        </w:tc>
        <w:tc>
          <w:tcPr>
            <w:tcW w:w="1486" w:type="dxa"/>
          </w:tcPr>
          <w:p w:rsidR="00D849AA" w:rsidRDefault="00EE6D95">
            <w:r>
              <w:t>30.917.916</w:t>
            </w:r>
          </w:p>
        </w:tc>
        <w:tc>
          <w:tcPr>
            <w:tcW w:w="1486" w:type="dxa"/>
          </w:tcPr>
          <w:p w:rsidR="00D849AA" w:rsidRDefault="00EE6D95">
            <w:r>
              <w:t>61.143.061</w:t>
            </w:r>
          </w:p>
        </w:tc>
        <w:tc>
          <w:tcPr>
            <w:tcW w:w="1486" w:type="dxa"/>
          </w:tcPr>
          <w:p w:rsidR="00D849AA" w:rsidRDefault="00EE6D95">
            <w:r>
              <w:t>91.140.095</w:t>
            </w:r>
          </w:p>
        </w:tc>
        <w:tc>
          <w:tcPr>
            <w:tcW w:w="1486" w:type="dxa"/>
          </w:tcPr>
          <w:p w:rsidR="00D849AA" w:rsidRDefault="00EE6D95">
            <w:r>
              <w:t>0,0</w:t>
            </w:r>
          </w:p>
        </w:tc>
      </w:tr>
    </w:tbl>
    <w:p w:rsidR="00D849AA" w:rsidRDefault="00D849AA">
      <w:pPr>
        <w:jc w:val="left"/>
      </w:pPr>
    </w:p>
    <w:p w:rsidR="00D849AA" w:rsidRDefault="00EE6D95">
      <w:pPr>
        <w:pStyle w:val="Normal6"/>
      </w:pPr>
      <w:r>
        <w:t xml:space="preserve">Ovim programom financirat će se doktorandi, mladi istraživači i poslijedoktorandi predviđeni u okviru znanstvenoistraživačkih projekata Hrvatske zaklade za znanost.  </w:t>
      </w:r>
    </w:p>
    <w:p w:rsidR="00D849AA" w:rsidRDefault="00EE6D95">
      <w:pPr>
        <w:pStyle w:val="Normal6"/>
      </w:pPr>
      <w:r>
        <w:t xml:space="preserve">Financirat će se plaće i ostali rashodi za zaposlenike. Zapošljavanje novih doktoranda, mladih istraživača i poslijedoktoranada Hrvatske zaklade za znanost očekuje se tijekom 2014. godine. Dio sredstava programa usavršavanja znanstvenih novaka bit će preusmjeren za financiranje programa doktoranda, mladih istraživača i poslijedoktoranada </w:t>
      </w:r>
      <w:r>
        <w:lastRenderedPageBreak/>
        <w:t>Hrvatske zaklade za znanost te tako neće doći do dodatnog opterećenja državnih financija Na ovaj način postupno napušta institucija „znanstvenih novaka“ i unaprjeđuje sustav zapošljavanja mladih istraživača u sustavu znanosti.</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Povećanje broja novih doktora znanosti iz područja prirodnih, tehničkih i biotehničkih znanosti</w:t>
            </w:r>
          </w:p>
        </w:tc>
        <w:tc>
          <w:tcPr>
            <w:tcW w:w="1114" w:type="dxa"/>
          </w:tcPr>
          <w:p w:rsidR="00D849AA" w:rsidRDefault="00EE6D95">
            <w:r>
              <w:t>Broj (godišnje)</w:t>
            </w:r>
          </w:p>
        </w:tc>
        <w:tc>
          <w:tcPr>
            <w:tcW w:w="1114" w:type="dxa"/>
          </w:tcPr>
          <w:p w:rsidR="00D849AA" w:rsidRDefault="00EE6D95">
            <w:r>
              <w:t>403 (2011.)</w:t>
            </w:r>
          </w:p>
        </w:tc>
        <w:tc>
          <w:tcPr>
            <w:tcW w:w="1486" w:type="dxa"/>
          </w:tcPr>
          <w:p w:rsidR="00D849AA" w:rsidRDefault="00EE6D95">
            <w:r>
              <w:t>408</w:t>
            </w:r>
          </w:p>
        </w:tc>
        <w:tc>
          <w:tcPr>
            <w:tcW w:w="1486" w:type="dxa"/>
          </w:tcPr>
          <w:p w:rsidR="00D849AA" w:rsidRDefault="00EE6D95">
            <w:r>
              <w:t>413</w:t>
            </w:r>
          </w:p>
        </w:tc>
        <w:tc>
          <w:tcPr>
            <w:tcW w:w="1486" w:type="dxa"/>
          </w:tcPr>
          <w:p w:rsidR="00D849AA" w:rsidRDefault="00EE6D95">
            <w:r>
              <w:t>418</w:t>
            </w:r>
          </w:p>
        </w:tc>
      </w:tr>
    </w:tbl>
    <w:p w:rsidR="00D849AA" w:rsidRDefault="00D849AA">
      <w:pPr>
        <w:jc w:val="left"/>
      </w:pPr>
    </w:p>
    <w:p w:rsidR="00D849AA" w:rsidRDefault="00EE6D95">
      <w:pPr>
        <w:pStyle w:val="Naslov6"/>
      </w:pPr>
      <w:r>
        <w:t>A578043 PROGRAMI POPULARIZACIJE ZNANOSTI</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A578043</w:t>
            </w:r>
          </w:p>
        </w:tc>
        <w:tc>
          <w:tcPr>
            <w:tcW w:w="1486" w:type="dxa"/>
          </w:tcPr>
          <w:p w:rsidR="00D849AA" w:rsidRDefault="00EE6D95">
            <w:r>
              <w:t>Sap podatak nije pronađen!</w:t>
            </w:r>
          </w:p>
        </w:tc>
        <w:tc>
          <w:tcPr>
            <w:tcW w:w="1486" w:type="dxa"/>
          </w:tcPr>
          <w:p w:rsidR="00D849AA" w:rsidRDefault="00EE6D95">
            <w:r>
              <w:t>Sap podatak nije pronađen!</w:t>
            </w:r>
          </w:p>
        </w:tc>
        <w:tc>
          <w:tcPr>
            <w:tcW w:w="1486" w:type="dxa"/>
          </w:tcPr>
          <w:p w:rsidR="00D849AA" w:rsidRDefault="00EE6D95">
            <w:r>
              <w:t>Sap podatak nije pronađen!</w:t>
            </w:r>
          </w:p>
        </w:tc>
        <w:tc>
          <w:tcPr>
            <w:tcW w:w="1486" w:type="dxa"/>
          </w:tcPr>
          <w:p w:rsidR="00D849AA" w:rsidRDefault="00EE6D95">
            <w:r>
              <w:t>Sap podatak nije pronađen!</w:t>
            </w:r>
          </w:p>
        </w:tc>
        <w:tc>
          <w:tcPr>
            <w:tcW w:w="1486" w:type="dxa"/>
          </w:tcPr>
          <w:p w:rsidR="00D849AA" w:rsidRDefault="00EE6D95">
            <w:r>
              <w:t>Sap podatak nije pronađen!</w:t>
            </w:r>
          </w:p>
        </w:tc>
      </w:tr>
    </w:tbl>
    <w:p w:rsidR="00D849AA" w:rsidRDefault="00D849AA">
      <w:pPr>
        <w:jc w:val="left"/>
      </w:pPr>
    </w:p>
    <w:p w:rsidR="00D849AA" w:rsidRDefault="00EE6D95">
      <w:pPr>
        <w:pStyle w:val="Normal6"/>
      </w:pPr>
      <w:r>
        <w:t>Novom aktivnošću dodjeljivat će se financijske potpore ustanovama u sustavu znanosti i visokog obrazovanja, te udrugama u Republici Hrvatskoj koje djeluju u području popularizacije znanosti s ciljem poticanja provođenja projekata izravno vezanih za provedbu mjera iz zakona, nacionalnih strategija, planova i programa u području popularizacije znanosti, poput projekata popularizacije znanstvenih tema i obrazovanja i javnih promocija znanstvene metode i izvrsnosti. Potpora će se realizirati objavom javnog poziva i postupkom vrednovanja pristiglih zahtjeva, na temelju utvrđenih kriterija vrednovanja. Potrebna sredstva će biti preusmjerena s aktivnosti financiranja redovne djelatnosti znanstveno stručnih udruga, te tako neće biti dodatnog opterećenja državnih financija.</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Povećanje broja popularizacijskih aktivnosti</w:t>
            </w:r>
          </w:p>
        </w:tc>
        <w:tc>
          <w:tcPr>
            <w:tcW w:w="1114" w:type="dxa"/>
          </w:tcPr>
          <w:p w:rsidR="00D849AA" w:rsidRDefault="00EE6D95">
            <w:r>
              <w:t>Broj (godišnje)</w:t>
            </w:r>
          </w:p>
        </w:tc>
        <w:tc>
          <w:tcPr>
            <w:tcW w:w="1114" w:type="dxa"/>
          </w:tcPr>
          <w:p w:rsidR="00D849AA" w:rsidRDefault="00EE6D95">
            <w:r>
              <w:t>1.022 (2012.)</w:t>
            </w:r>
          </w:p>
        </w:tc>
        <w:tc>
          <w:tcPr>
            <w:tcW w:w="1486" w:type="dxa"/>
          </w:tcPr>
          <w:p w:rsidR="00D849AA" w:rsidRDefault="00EE6D95">
            <w:r>
              <w:t>1.050</w:t>
            </w:r>
          </w:p>
        </w:tc>
        <w:tc>
          <w:tcPr>
            <w:tcW w:w="1486" w:type="dxa"/>
          </w:tcPr>
          <w:p w:rsidR="00D849AA" w:rsidRDefault="00EE6D95">
            <w:r>
              <w:t>1.100</w:t>
            </w:r>
          </w:p>
        </w:tc>
        <w:tc>
          <w:tcPr>
            <w:tcW w:w="1486" w:type="dxa"/>
          </w:tcPr>
          <w:p w:rsidR="00D849AA" w:rsidRDefault="00EE6D95">
            <w:r>
              <w:t>1.150</w:t>
            </w:r>
          </w:p>
        </w:tc>
      </w:tr>
    </w:tbl>
    <w:p w:rsidR="00D849AA" w:rsidRDefault="00D849AA">
      <w:pPr>
        <w:jc w:val="left"/>
      </w:pPr>
    </w:p>
    <w:p w:rsidR="001A0148" w:rsidRDefault="001A0148">
      <w:pPr>
        <w:jc w:val="left"/>
      </w:pPr>
    </w:p>
    <w:p w:rsidR="001A0148" w:rsidRDefault="001A0148">
      <w:pPr>
        <w:jc w:val="left"/>
      </w:pPr>
    </w:p>
    <w:p w:rsidR="001A0148" w:rsidRDefault="001A0148">
      <w:pPr>
        <w:jc w:val="left"/>
      </w:pPr>
    </w:p>
    <w:p w:rsidR="00D849AA" w:rsidRDefault="00EE6D95">
      <w:pPr>
        <w:pStyle w:val="Naslov6"/>
      </w:pPr>
      <w:r>
        <w:lastRenderedPageBreak/>
        <w:t>A621047 DRŽAVNE, AKADEMSKE NAGRADE I POTPORE U ZNANOSTI I VISOKOM ŠKOLSTVU</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A621047</w:t>
            </w:r>
          </w:p>
        </w:tc>
        <w:tc>
          <w:tcPr>
            <w:tcW w:w="1486" w:type="dxa"/>
          </w:tcPr>
          <w:p w:rsidR="00D849AA" w:rsidRDefault="00EE6D95">
            <w:r>
              <w:t>1.350.057</w:t>
            </w:r>
          </w:p>
        </w:tc>
        <w:tc>
          <w:tcPr>
            <w:tcW w:w="1486" w:type="dxa"/>
          </w:tcPr>
          <w:p w:rsidR="00D849AA" w:rsidRDefault="00EE6D95">
            <w:r>
              <w:t>1.417.024</w:t>
            </w:r>
          </w:p>
        </w:tc>
        <w:tc>
          <w:tcPr>
            <w:tcW w:w="1486" w:type="dxa"/>
          </w:tcPr>
          <w:p w:rsidR="00D849AA" w:rsidRDefault="00EE6D95">
            <w:r>
              <w:t>1.305.954</w:t>
            </w:r>
          </w:p>
        </w:tc>
        <w:tc>
          <w:tcPr>
            <w:tcW w:w="1486" w:type="dxa"/>
          </w:tcPr>
          <w:p w:rsidR="00D849AA" w:rsidRDefault="00EE6D95">
            <w:r>
              <w:t>1.299.424</w:t>
            </w:r>
          </w:p>
        </w:tc>
        <w:tc>
          <w:tcPr>
            <w:tcW w:w="1486" w:type="dxa"/>
          </w:tcPr>
          <w:p w:rsidR="00D849AA" w:rsidRDefault="00EE6D95">
            <w:r>
              <w:t>105,0</w:t>
            </w:r>
          </w:p>
        </w:tc>
      </w:tr>
    </w:tbl>
    <w:p w:rsidR="00D849AA" w:rsidRDefault="00D849AA">
      <w:pPr>
        <w:jc w:val="left"/>
      </w:pPr>
    </w:p>
    <w:p w:rsidR="00D849AA" w:rsidRDefault="00EE6D95">
      <w:pPr>
        <w:pStyle w:val="Normal6"/>
      </w:pPr>
      <w:r>
        <w:t>Sredstvima s ove aktivnosti podupire se dodjela nagrada Republike Hrvatske za iznimno važna dostignuća u znanstvenoistraživačkoj djelatnosti, za proširenje znanstvenih spoznaja i za znanstvena ostvarenja u primjeni rezultata znanstvenoistraživačkog rada, koja su postigli znanstvenici, istraživači i znanstveni novaci. Zakonom o hrvatskim državnim nagradama za znanost predviđena je dodjela četiriju vrsta državnih nagrada za znanost: nagrada za životno djelo, godišnja nagrada za znanost, godišnja nagrada za popularizaciju i promidžbu znanosti i godišnja nagrada za znanstvene novake.</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Povećanje broja popularizacijskih aktivnosti</w:t>
            </w:r>
          </w:p>
        </w:tc>
        <w:tc>
          <w:tcPr>
            <w:tcW w:w="1114" w:type="dxa"/>
          </w:tcPr>
          <w:p w:rsidR="00D849AA" w:rsidRDefault="00EE6D95">
            <w:r>
              <w:t>Broj (godišnje)</w:t>
            </w:r>
          </w:p>
        </w:tc>
        <w:tc>
          <w:tcPr>
            <w:tcW w:w="1114" w:type="dxa"/>
          </w:tcPr>
          <w:p w:rsidR="00D849AA" w:rsidRDefault="00EE6D95">
            <w:r>
              <w:t>1.022 (2012.)</w:t>
            </w:r>
          </w:p>
        </w:tc>
        <w:tc>
          <w:tcPr>
            <w:tcW w:w="1486" w:type="dxa"/>
          </w:tcPr>
          <w:p w:rsidR="00D849AA" w:rsidRDefault="00EE6D95">
            <w:r>
              <w:t>.050</w:t>
            </w:r>
          </w:p>
        </w:tc>
        <w:tc>
          <w:tcPr>
            <w:tcW w:w="1486" w:type="dxa"/>
          </w:tcPr>
          <w:p w:rsidR="00D849AA" w:rsidRDefault="00EE6D95">
            <w:r>
              <w:t>1.100</w:t>
            </w:r>
          </w:p>
        </w:tc>
        <w:tc>
          <w:tcPr>
            <w:tcW w:w="1486" w:type="dxa"/>
          </w:tcPr>
          <w:p w:rsidR="00D849AA" w:rsidRDefault="00EE6D95">
            <w:r>
              <w:t>1.150</w:t>
            </w:r>
          </w:p>
        </w:tc>
      </w:tr>
    </w:tbl>
    <w:p w:rsidR="00D849AA" w:rsidRDefault="00D849AA">
      <w:pPr>
        <w:jc w:val="left"/>
      </w:pPr>
    </w:p>
    <w:p w:rsidR="00D849AA" w:rsidRDefault="00EE6D95">
      <w:pPr>
        <w:pStyle w:val="Naslov6"/>
      </w:pPr>
      <w:r>
        <w:t>A621048 PROGRAMI HRVATSKE ZAKLADE ZA ZNANOST</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A621048</w:t>
            </w:r>
          </w:p>
        </w:tc>
        <w:tc>
          <w:tcPr>
            <w:tcW w:w="1486" w:type="dxa"/>
          </w:tcPr>
          <w:p w:rsidR="00D849AA" w:rsidRDefault="00EE6D95">
            <w:r>
              <w:t>40.000.000</w:t>
            </w:r>
          </w:p>
        </w:tc>
        <w:tc>
          <w:tcPr>
            <w:tcW w:w="1486" w:type="dxa"/>
          </w:tcPr>
          <w:p w:rsidR="00D849AA" w:rsidRDefault="00EE6D95">
            <w:r>
              <w:t>100.000.000</w:t>
            </w:r>
          </w:p>
        </w:tc>
        <w:tc>
          <w:tcPr>
            <w:tcW w:w="1486" w:type="dxa"/>
          </w:tcPr>
          <w:p w:rsidR="00D849AA" w:rsidRDefault="00EE6D95">
            <w:r>
              <w:t>100.000.000</w:t>
            </w:r>
          </w:p>
        </w:tc>
        <w:tc>
          <w:tcPr>
            <w:tcW w:w="1486" w:type="dxa"/>
          </w:tcPr>
          <w:p w:rsidR="00D849AA" w:rsidRDefault="00EE6D95">
            <w:r>
              <w:t>100.000.000</w:t>
            </w:r>
          </w:p>
        </w:tc>
        <w:tc>
          <w:tcPr>
            <w:tcW w:w="1486" w:type="dxa"/>
          </w:tcPr>
          <w:p w:rsidR="00D849AA" w:rsidRDefault="00EE6D95">
            <w:r>
              <w:t>250,0</w:t>
            </w:r>
          </w:p>
        </w:tc>
      </w:tr>
    </w:tbl>
    <w:p w:rsidR="00D849AA" w:rsidRDefault="00D849AA">
      <w:pPr>
        <w:jc w:val="left"/>
      </w:pPr>
    </w:p>
    <w:p w:rsidR="00D849AA" w:rsidRDefault="00EE6D95">
      <w:pPr>
        <w:pStyle w:val="Normal6"/>
      </w:pPr>
      <w:r>
        <w:t>Hrvatska zaklada za znanost zauzela je središnje mjesto u hrvatskoj znanosti u vrednovanju i financiranju kompetitivnih znanstvenih projekata s međunarodnom kvalitetom, sukladno modelu suradničkih programa (collaborative programmes) Europske unije, te znanstvenika i znanstvenih organizacija. Značajnim povećanjem godišnjeg iznosa financiranja Zaklade osigurat će se uvjeti za stalan i stabilan priljev sredstava, a s obzirom da će sredstva biti preusmjerena s aktivnosti financiranja programa i projekata znanstvenoistraživačke djelatnosti te neće biti dodatnog opterećenja državnih financija.</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Povećanje broja znanstvenih projekata koje financira Hrvatska zaklada za znanost</w:t>
            </w:r>
          </w:p>
        </w:tc>
        <w:tc>
          <w:tcPr>
            <w:tcW w:w="1114" w:type="dxa"/>
          </w:tcPr>
          <w:p w:rsidR="00D849AA" w:rsidRDefault="00EE6D95">
            <w:r>
              <w:t>Broj</w:t>
            </w:r>
          </w:p>
        </w:tc>
        <w:tc>
          <w:tcPr>
            <w:tcW w:w="1114" w:type="dxa"/>
          </w:tcPr>
          <w:p w:rsidR="00D849AA" w:rsidRDefault="00EE6D95">
            <w:r>
              <w:t xml:space="preserve">13 </w:t>
            </w:r>
          </w:p>
          <w:p w:rsidR="00D849AA" w:rsidRDefault="00EE6D95">
            <w:r>
              <w:t>(2011.)</w:t>
            </w:r>
          </w:p>
        </w:tc>
        <w:tc>
          <w:tcPr>
            <w:tcW w:w="1486" w:type="dxa"/>
          </w:tcPr>
          <w:p w:rsidR="00D849AA" w:rsidRDefault="00EE6D95">
            <w:r>
              <w:t>500</w:t>
            </w:r>
          </w:p>
        </w:tc>
        <w:tc>
          <w:tcPr>
            <w:tcW w:w="1486" w:type="dxa"/>
          </w:tcPr>
          <w:p w:rsidR="00D849AA" w:rsidRDefault="00EE6D95">
            <w:r>
              <w:t>600</w:t>
            </w:r>
          </w:p>
        </w:tc>
        <w:tc>
          <w:tcPr>
            <w:tcW w:w="1486" w:type="dxa"/>
          </w:tcPr>
          <w:p w:rsidR="00D849AA" w:rsidRDefault="00EE6D95">
            <w:r>
              <w:t>700</w:t>
            </w:r>
          </w:p>
        </w:tc>
      </w:tr>
    </w:tbl>
    <w:p w:rsidR="00D849AA" w:rsidRDefault="00EE6D95">
      <w:pPr>
        <w:pStyle w:val="Naslov6"/>
      </w:pPr>
      <w:r>
        <w:lastRenderedPageBreak/>
        <w:t>A622002 PROGRAM USAVRŠAVANJA ZNANSTVENIH NOVAKA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A622002</w:t>
            </w:r>
          </w:p>
        </w:tc>
        <w:tc>
          <w:tcPr>
            <w:tcW w:w="1486" w:type="dxa"/>
          </w:tcPr>
          <w:p w:rsidR="00D849AA" w:rsidRDefault="00EE6D95">
            <w:r>
              <w:t>289.458.434</w:t>
            </w:r>
          </w:p>
        </w:tc>
        <w:tc>
          <w:tcPr>
            <w:tcW w:w="1486" w:type="dxa"/>
          </w:tcPr>
          <w:p w:rsidR="00D849AA" w:rsidRDefault="00EE6D95">
            <w:r>
              <w:t>274.378.837</w:t>
            </w:r>
          </w:p>
        </w:tc>
        <w:tc>
          <w:tcPr>
            <w:tcW w:w="1486" w:type="dxa"/>
          </w:tcPr>
          <w:p w:rsidR="00D849AA" w:rsidRDefault="00EE6D95">
            <w:r>
              <w:t>252.481.583</w:t>
            </w:r>
          </w:p>
        </w:tc>
        <w:tc>
          <w:tcPr>
            <w:tcW w:w="1486" w:type="dxa"/>
          </w:tcPr>
          <w:p w:rsidR="00D849AA" w:rsidRDefault="00EE6D95">
            <w:r>
              <w:t>233.999.462</w:t>
            </w:r>
          </w:p>
        </w:tc>
        <w:tc>
          <w:tcPr>
            <w:tcW w:w="1486" w:type="dxa"/>
          </w:tcPr>
          <w:p w:rsidR="00D849AA" w:rsidRDefault="00EE6D95">
            <w:r>
              <w:t>94,8</w:t>
            </w:r>
          </w:p>
        </w:tc>
      </w:tr>
    </w:tbl>
    <w:p w:rsidR="00D849AA" w:rsidRDefault="00D849AA">
      <w:pPr>
        <w:jc w:val="left"/>
      </w:pPr>
    </w:p>
    <w:p w:rsidR="00D849AA" w:rsidRDefault="00EE6D95">
      <w:pPr>
        <w:pStyle w:val="Normal6"/>
      </w:pPr>
      <w:r>
        <w:t xml:space="preserve">Kroz ovaj program ostvaruje se financiranje znanstvenih novaka i poslijedoktoranada zapošljavanjem na javnim znanstvenim institutima, visokoobrazovnim ustanovama i drugim znanstvenoistraživačkim pravnim osobama, u svrhu rada na znanstvenoistraživačkim projektima.  </w:t>
      </w:r>
    </w:p>
    <w:p w:rsidR="00D849AA" w:rsidRDefault="00EE6D95">
      <w:pPr>
        <w:pStyle w:val="Normal6"/>
      </w:pPr>
      <w:r>
        <w:t>Ovim programom financiraju se plaće i ostali rashodi za zaposlenike znanstvene novake, kojih je trenutno u potpori 2204 (stanje 01. listopada 2013.), a očekuje se njihovo smanjenje s obzirom da će dio njih ispuniti ugovornu obvezu. Daljnjeg zapošljavanje u okviru ove aktivnosti neće biti već se dio sredstava iz ovog programa prebaciti u novu aktivnost Program doktoranada i poslijedoktoranada Hrvatske zaklade za znanost.</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Povećanje broja novih doktora znanosti iz područja prirodnih, tehničkih i biotehničkih znanosti</w:t>
            </w:r>
          </w:p>
        </w:tc>
        <w:tc>
          <w:tcPr>
            <w:tcW w:w="1114" w:type="dxa"/>
          </w:tcPr>
          <w:p w:rsidR="00D849AA" w:rsidRDefault="00EE6D95">
            <w:r>
              <w:t>Broj (godišnje)</w:t>
            </w:r>
          </w:p>
        </w:tc>
        <w:tc>
          <w:tcPr>
            <w:tcW w:w="1114" w:type="dxa"/>
          </w:tcPr>
          <w:p w:rsidR="00D849AA" w:rsidRDefault="00EE6D95">
            <w:r>
              <w:t>403 (2011.</w:t>
            </w:r>
          </w:p>
        </w:tc>
        <w:tc>
          <w:tcPr>
            <w:tcW w:w="1486" w:type="dxa"/>
          </w:tcPr>
          <w:p w:rsidR="00D849AA" w:rsidRDefault="00EE6D95">
            <w:r>
              <w:t>408</w:t>
            </w:r>
          </w:p>
        </w:tc>
        <w:tc>
          <w:tcPr>
            <w:tcW w:w="1486" w:type="dxa"/>
          </w:tcPr>
          <w:p w:rsidR="00D849AA" w:rsidRDefault="00EE6D95">
            <w:r>
              <w:t>413</w:t>
            </w:r>
          </w:p>
        </w:tc>
        <w:tc>
          <w:tcPr>
            <w:tcW w:w="1486" w:type="dxa"/>
          </w:tcPr>
          <w:p w:rsidR="00D849AA" w:rsidRDefault="00EE6D95">
            <w:r>
              <w:t>418</w:t>
            </w:r>
          </w:p>
        </w:tc>
      </w:tr>
    </w:tbl>
    <w:p w:rsidR="00D849AA" w:rsidRDefault="00D849AA">
      <w:pPr>
        <w:jc w:val="left"/>
      </w:pPr>
    </w:p>
    <w:p w:rsidR="00D849AA" w:rsidRDefault="00EE6D95">
      <w:pPr>
        <w:pStyle w:val="Naslov6"/>
      </w:pPr>
      <w:r>
        <w:t>A622003 UGOVORNO FINANCIRANJE ZNANSTVENE DJELATNOSTI</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A622003</w:t>
            </w:r>
          </w:p>
        </w:tc>
        <w:tc>
          <w:tcPr>
            <w:tcW w:w="1486" w:type="dxa"/>
          </w:tcPr>
          <w:p w:rsidR="00D849AA" w:rsidRDefault="00EE6D95">
            <w:r>
              <w:t>106.900.000</w:t>
            </w:r>
          </w:p>
        </w:tc>
        <w:tc>
          <w:tcPr>
            <w:tcW w:w="1486" w:type="dxa"/>
          </w:tcPr>
          <w:p w:rsidR="00D849AA" w:rsidRDefault="00EE6D95">
            <w:r>
              <w:t>50.000.000</w:t>
            </w:r>
          </w:p>
        </w:tc>
        <w:tc>
          <w:tcPr>
            <w:tcW w:w="1486" w:type="dxa"/>
          </w:tcPr>
          <w:p w:rsidR="00D849AA" w:rsidRDefault="00EE6D95">
            <w:r>
              <w:t>50.000.000</w:t>
            </w:r>
          </w:p>
        </w:tc>
        <w:tc>
          <w:tcPr>
            <w:tcW w:w="1486" w:type="dxa"/>
          </w:tcPr>
          <w:p w:rsidR="00D849AA" w:rsidRDefault="00EE6D95">
            <w:r>
              <w:t>50.000.000</w:t>
            </w:r>
          </w:p>
        </w:tc>
        <w:tc>
          <w:tcPr>
            <w:tcW w:w="1486" w:type="dxa"/>
          </w:tcPr>
          <w:p w:rsidR="00D849AA" w:rsidRDefault="00EE6D95">
            <w:r>
              <w:t>46,8</w:t>
            </w:r>
          </w:p>
        </w:tc>
      </w:tr>
    </w:tbl>
    <w:p w:rsidR="00D849AA" w:rsidRDefault="00D849AA">
      <w:pPr>
        <w:jc w:val="left"/>
      </w:pPr>
    </w:p>
    <w:p w:rsidR="00D849AA" w:rsidRDefault="00EE6D95">
      <w:pPr>
        <w:pStyle w:val="Normal6"/>
      </w:pPr>
      <w:r>
        <w:t>Izmjenama i dopunama Zakona o znanstvenoj djelatnosti i visokom obrazovanju stvoren je zakonski okvir za razvoj i implementaciju modela višegodišnjeg namjenskog institucijskog financiranja znanstvene djelatnosti javnih znanstvenih instituta i javnih sveučilišta. Ovim pilot ugovorima stavit će se dodatan naglasak na odgovornost ustanova za njihovo financijsko poslovanje i raspolaganje sredstvima Državnog proračuna, potaknut će se uspostava kontinuiranog procesa kratkoročnog, srednjoročnog i dugoročnog strateškog planiranja, kroz izradu strategije razvoja znanstvene ustanove, te će se omogućiti orijentacija znanstvenih istraživanja prema društvenim i gospodarskim prioritetima.</w:t>
      </w:r>
    </w:p>
    <w:p w:rsidR="001A0148" w:rsidRDefault="001A0148">
      <w:pPr>
        <w:pStyle w:val="Normal6"/>
      </w:pPr>
    </w:p>
    <w:p w:rsidR="001A0148" w:rsidRDefault="001A0148">
      <w:pPr>
        <w:pStyle w:val="Normal6"/>
      </w:pPr>
    </w:p>
    <w:p w:rsidR="001A0148" w:rsidRDefault="001A0148">
      <w:pPr>
        <w:pStyle w:val="Normal6"/>
      </w:pPr>
    </w:p>
    <w:p w:rsidR="001A0148" w:rsidRDefault="001A0148">
      <w:pPr>
        <w:pStyle w:val="Normal6"/>
      </w:pPr>
    </w:p>
    <w:p w:rsidR="00D849AA" w:rsidRDefault="00EE6D95">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Povećanje citiranosti znanstvenih radova objavljenih u časopisima u bazi Web of Science, prosjek po ustanovi</w:t>
            </w:r>
          </w:p>
        </w:tc>
        <w:tc>
          <w:tcPr>
            <w:tcW w:w="1114" w:type="dxa"/>
          </w:tcPr>
          <w:p w:rsidR="00D849AA" w:rsidRDefault="00EE6D95">
            <w:r>
              <w:t>Broj (godišnje)</w:t>
            </w:r>
          </w:p>
        </w:tc>
        <w:tc>
          <w:tcPr>
            <w:tcW w:w="1114" w:type="dxa"/>
          </w:tcPr>
          <w:p w:rsidR="00D849AA" w:rsidRDefault="00EE6D95">
            <w:r>
              <w:t>841 (2012.)</w:t>
            </w:r>
          </w:p>
        </w:tc>
        <w:tc>
          <w:tcPr>
            <w:tcW w:w="1486" w:type="dxa"/>
          </w:tcPr>
          <w:p w:rsidR="00D849AA" w:rsidRDefault="00EE6D95">
            <w:r>
              <w:t>900</w:t>
            </w:r>
          </w:p>
        </w:tc>
        <w:tc>
          <w:tcPr>
            <w:tcW w:w="1486" w:type="dxa"/>
          </w:tcPr>
          <w:p w:rsidR="00D849AA" w:rsidRDefault="00EE6D95">
            <w:r>
              <w:t>950</w:t>
            </w:r>
          </w:p>
        </w:tc>
        <w:tc>
          <w:tcPr>
            <w:tcW w:w="1486" w:type="dxa"/>
          </w:tcPr>
          <w:p w:rsidR="00D849AA" w:rsidRDefault="00EE6D95">
            <w:r>
              <w:t>1.050</w:t>
            </w:r>
          </w:p>
        </w:tc>
      </w:tr>
    </w:tbl>
    <w:p w:rsidR="00D849AA" w:rsidRDefault="00D849AA">
      <w:pPr>
        <w:jc w:val="left"/>
      </w:pPr>
    </w:p>
    <w:p w:rsidR="00D849AA" w:rsidRDefault="00EE6D95">
      <w:pPr>
        <w:pStyle w:val="Naslov6"/>
      </w:pPr>
      <w:r>
        <w:t>A622004 IZDAVANJE DOMAĆIH ZNANSTVENIH ČASOPISA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A622004</w:t>
            </w:r>
          </w:p>
        </w:tc>
        <w:tc>
          <w:tcPr>
            <w:tcW w:w="1486" w:type="dxa"/>
          </w:tcPr>
          <w:p w:rsidR="00D849AA" w:rsidRDefault="00EE6D95">
            <w:r>
              <w:t>8.998.500</w:t>
            </w:r>
          </w:p>
        </w:tc>
        <w:tc>
          <w:tcPr>
            <w:tcW w:w="1486" w:type="dxa"/>
          </w:tcPr>
          <w:p w:rsidR="00D849AA" w:rsidRDefault="00EE6D95">
            <w:r>
              <w:t>8.891.080</w:t>
            </w:r>
          </w:p>
        </w:tc>
        <w:tc>
          <w:tcPr>
            <w:tcW w:w="1486" w:type="dxa"/>
          </w:tcPr>
          <w:p w:rsidR="00D849AA" w:rsidRDefault="00EE6D95">
            <w:r>
              <w:t>8.194.172</w:t>
            </w:r>
          </w:p>
        </w:tc>
        <w:tc>
          <w:tcPr>
            <w:tcW w:w="1486" w:type="dxa"/>
          </w:tcPr>
          <w:p w:rsidR="00D849AA" w:rsidRDefault="00EE6D95">
            <w:r>
              <w:t>8.153.202</w:t>
            </w:r>
          </w:p>
        </w:tc>
        <w:tc>
          <w:tcPr>
            <w:tcW w:w="1486" w:type="dxa"/>
          </w:tcPr>
          <w:p w:rsidR="00D849AA" w:rsidRDefault="00EE6D95">
            <w:r>
              <w:t>98,8</w:t>
            </w:r>
          </w:p>
        </w:tc>
      </w:tr>
    </w:tbl>
    <w:p w:rsidR="00D849AA" w:rsidRDefault="00D849AA">
      <w:pPr>
        <w:jc w:val="left"/>
      </w:pPr>
    </w:p>
    <w:p w:rsidR="00D849AA" w:rsidRDefault="00EE6D95">
      <w:pPr>
        <w:pStyle w:val="Normal6"/>
      </w:pPr>
      <w:r>
        <w:t>Korisnici ove financijske potpore su ustanove u sustavu znanosti i visokog obrazovanja, udruge. Potpora se realizira objavom javnog poziva nakon kojeg Stručno povjerenstvo vrši prosudbu pojedinog časopisa prema Pravilima za sufinanciranje, a temeljem kvalitete tj. međunarodne relevantnosti časopisa. Radovi objavljeni u znanstvenim časopisima korisni su za akademsku zajednicu i služe za napredovanja u znanstvenim zvanjima.</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Povećanje broja znanstvenih radova objavljenih u časopisima u bazi Web of Science, prosjek po ustanovi</w:t>
            </w:r>
          </w:p>
        </w:tc>
        <w:tc>
          <w:tcPr>
            <w:tcW w:w="1114" w:type="dxa"/>
          </w:tcPr>
          <w:p w:rsidR="00D849AA" w:rsidRDefault="00EE6D95">
            <w:r>
              <w:t>Broj (godišnje)</w:t>
            </w:r>
          </w:p>
        </w:tc>
        <w:tc>
          <w:tcPr>
            <w:tcW w:w="1114" w:type="dxa"/>
          </w:tcPr>
          <w:p w:rsidR="00D849AA" w:rsidRDefault="00EE6D95">
            <w:r>
              <w:t>62 (2012.)</w:t>
            </w:r>
          </w:p>
        </w:tc>
        <w:tc>
          <w:tcPr>
            <w:tcW w:w="1486" w:type="dxa"/>
          </w:tcPr>
          <w:p w:rsidR="00D849AA" w:rsidRDefault="00EE6D95">
            <w:r>
              <w:t>70</w:t>
            </w:r>
          </w:p>
        </w:tc>
        <w:tc>
          <w:tcPr>
            <w:tcW w:w="1486" w:type="dxa"/>
          </w:tcPr>
          <w:p w:rsidR="00D849AA" w:rsidRDefault="00EE6D95">
            <w:r>
              <w:t>80</w:t>
            </w:r>
          </w:p>
        </w:tc>
        <w:tc>
          <w:tcPr>
            <w:tcW w:w="1486" w:type="dxa"/>
          </w:tcPr>
          <w:p w:rsidR="00D849AA" w:rsidRDefault="00EE6D95">
            <w:r>
              <w:t>95</w:t>
            </w:r>
          </w:p>
        </w:tc>
      </w:tr>
    </w:tbl>
    <w:p w:rsidR="00D849AA" w:rsidRDefault="00D849AA">
      <w:pPr>
        <w:jc w:val="left"/>
      </w:pPr>
    </w:p>
    <w:p w:rsidR="00D849AA" w:rsidRDefault="00EE6D95">
      <w:pPr>
        <w:pStyle w:val="Naslov6"/>
      </w:pPr>
      <w:r>
        <w:t>A622005 ORGANIZIRANJE I ODRŽAVANJE ZNANSTVENIH SKUPOVA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A622005</w:t>
            </w:r>
          </w:p>
        </w:tc>
        <w:tc>
          <w:tcPr>
            <w:tcW w:w="1486" w:type="dxa"/>
          </w:tcPr>
          <w:p w:rsidR="00D849AA" w:rsidRDefault="00EE6D95">
            <w:r>
              <w:t>3.416.950</w:t>
            </w:r>
          </w:p>
        </w:tc>
        <w:tc>
          <w:tcPr>
            <w:tcW w:w="1486" w:type="dxa"/>
          </w:tcPr>
          <w:p w:rsidR="00D849AA" w:rsidRDefault="00EE6D95">
            <w:r>
              <w:t>3.368.970</w:t>
            </w:r>
          </w:p>
        </w:tc>
        <w:tc>
          <w:tcPr>
            <w:tcW w:w="1486" w:type="dxa"/>
          </w:tcPr>
          <w:p w:rsidR="00D849AA" w:rsidRDefault="00EE6D95">
            <w:r>
              <w:t>3.104.901</w:t>
            </w:r>
          </w:p>
        </w:tc>
        <w:tc>
          <w:tcPr>
            <w:tcW w:w="1486" w:type="dxa"/>
          </w:tcPr>
          <w:p w:rsidR="00D849AA" w:rsidRDefault="00EE6D95">
            <w:r>
              <w:t>3.089.376</w:t>
            </w:r>
          </w:p>
        </w:tc>
        <w:tc>
          <w:tcPr>
            <w:tcW w:w="1486" w:type="dxa"/>
          </w:tcPr>
          <w:p w:rsidR="00D849AA" w:rsidRDefault="00EE6D95">
            <w:r>
              <w:t>98,6</w:t>
            </w:r>
          </w:p>
        </w:tc>
      </w:tr>
    </w:tbl>
    <w:p w:rsidR="00D849AA" w:rsidRDefault="00D849AA">
      <w:pPr>
        <w:jc w:val="left"/>
      </w:pPr>
    </w:p>
    <w:p w:rsidR="00D849AA" w:rsidRDefault="00EE6D95">
      <w:pPr>
        <w:pStyle w:val="Normal6"/>
      </w:pPr>
      <w:r>
        <w:t xml:space="preserve">Financijskom potporom za organiziranje i održavanje znanstvenih skupova Ministarstvo novčano podupire pripremne troškove u organizaciji znanstvenih i znanstvenostručnih konferencija, seminara i skupova, te znanstvenih škola. Novčana potpora dodjeljuje se na temelju objavljenog javnog poziva za slanje zahtjeva, a u skladu sa Pravilima o novčanom </w:t>
      </w:r>
      <w:r>
        <w:lastRenderedPageBreak/>
        <w:t>podupiranju znanstvenih i znanstvenostručnih skupova i udruga te deskriptivnim ljestvicama određivanja vrsnoće pristiglih zahtjeva.</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Povećanje broja popularizacijskih aktivnosti</w:t>
            </w:r>
          </w:p>
        </w:tc>
        <w:tc>
          <w:tcPr>
            <w:tcW w:w="1114" w:type="dxa"/>
          </w:tcPr>
          <w:p w:rsidR="00D849AA" w:rsidRDefault="00EE6D95">
            <w:r>
              <w:t>Broj (godišnje)</w:t>
            </w:r>
          </w:p>
        </w:tc>
        <w:tc>
          <w:tcPr>
            <w:tcW w:w="1114" w:type="dxa"/>
          </w:tcPr>
          <w:p w:rsidR="00D849AA" w:rsidRDefault="00EE6D95">
            <w:r>
              <w:t>1.022 (2012.)</w:t>
            </w:r>
          </w:p>
        </w:tc>
        <w:tc>
          <w:tcPr>
            <w:tcW w:w="1486" w:type="dxa"/>
          </w:tcPr>
          <w:p w:rsidR="00D849AA" w:rsidRDefault="00EE6D95">
            <w:r>
              <w:t>1.050</w:t>
            </w:r>
          </w:p>
        </w:tc>
        <w:tc>
          <w:tcPr>
            <w:tcW w:w="1486" w:type="dxa"/>
          </w:tcPr>
          <w:p w:rsidR="00D849AA" w:rsidRDefault="00EE6D95">
            <w:r>
              <w:t>1.100</w:t>
            </w:r>
          </w:p>
        </w:tc>
        <w:tc>
          <w:tcPr>
            <w:tcW w:w="1486" w:type="dxa"/>
          </w:tcPr>
          <w:p w:rsidR="00D849AA" w:rsidRDefault="00EE6D95">
            <w:r>
              <w:t>1.150</w:t>
            </w:r>
          </w:p>
        </w:tc>
      </w:tr>
    </w:tbl>
    <w:p w:rsidR="00D849AA" w:rsidRDefault="00D849AA">
      <w:pPr>
        <w:jc w:val="left"/>
      </w:pPr>
    </w:p>
    <w:p w:rsidR="00D849AA" w:rsidRDefault="00EE6D95">
      <w:pPr>
        <w:pStyle w:val="Naslov6"/>
      </w:pPr>
      <w:r>
        <w:t>A622006 IZDAVANJE  ZNANSTVENIH KNJIGA I UDŽBENIKA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A622006</w:t>
            </w:r>
          </w:p>
        </w:tc>
        <w:tc>
          <w:tcPr>
            <w:tcW w:w="1486" w:type="dxa"/>
          </w:tcPr>
          <w:p w:rsidR="00D849AA" w:rsidRDefault="00EE6D95">
            <w:r>
              <w:t>10.000.000</w:t>
            </w:r>
          </w:p>
        </w:tc>
        <w:tc>
          <w:tcPr>
            <w:tcW w:w="1486" w:type="dxa"/>
          </w:tcPr>
          <w:p w:rsidR="00D849AA" w:rsidRDefault="00EE6D95">
            <w:r>
              <w:t>9.900.000</w:t>
            </w:r>
          </w:p>
        </w:tc>
        <w:tc>
          <w:tcPr>
            <w:tcW w:w="1486" w:type="dxa"/>
          </w:tcPr>
          <w:p w:rsidR="00D849AA" w:rsidRDefault="00EE6D95">
            <w:r>
              <w:t>8.000.000</w:t>
            </w:r>
          </w:p>
        </w:tc>
        <w:tc>
          <w:tcPr>
            <w:tcW w:w="1486" w:type="dxa"/>
          </w:tcPr>
          <w:p w:rsidR="00D849AA" w:rsidRDefault="00EE6D95">
            <w:r>
              <w:t>7.960.000</w:t>
            </w:r>
          </w:p>
        </w:tc>
        <w:tc>
          <w:tcPr>
            <w:tcW w:w="1486" w:type="dxa"/>
          </w:tcPr>
          <w:p w:rsidR="00D849AA" w:rsidRDefault="00EE6D95">
            <w:r>
              <w:t>99,0</w:t>
            </w:r>
          </w:p>
        </w:tc>
      </w:tr>
    </w:tbl>
    <w:p w:rsidR="00D849AA" w:rsidRDefault="00D849AA">
      <w:pPr>
        <w:jc w:val="left"/>
      </w:pPr>
    </w:p>
    <w:p w:rsidR="00D849AA" w:rsidRDefault="00EE6D95">
      <w:pPr>
        <w:pStyle w:val="Normal6"/>
      </w:pPr>
      <w:r>
        <w:t>Korisnici ove financijske potpore su ustanove u sustavu znanosti i visokog obrazovanja, udruge, kao i privatni nakladnici. Potpora se realizira objavom javnog poziva nakon kojega Stručno povjerenstvo, temeljem Kriterija o novčanom podupiranju znanstvene izdavačke djelatnosti, vrši odabir naslova te utvrđuje iznosi za knjige koje su značajne za obavljanje znanstvene i znanstveno nastavne djelatnosti. Na ovoj se aktivnosti već niz godina proteže problem prijenosa plaćanja/dugova iz jedne proračunske godine u drugu što rezultira kontinuiranim zaostacima u financiranju odabranih naslova.</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Povećanje broja znanstvenih radova objavljenih u časopisima u bazi Web of Science, prosjek po ustanovi</w:t>
            </w:r>
          </w:p>
        </w:tc>
        <w:tc>
          <w:tcPr>
            <w:tcW w:w="1114" w:type="dxa"/>
          </w:tcPr>
          <w:p w:rsidR="00D849AA" w:rsidRDefault="00EE6D95">
            <w:r>
              <w:t>Broj (godišnje)</w:t>
            </w:r>
          </w:p>
        </w:tc>
        <w:tc>
          <w:tcPr>
            <w:tcW w:w="1114" w:type="dxa"/>
          </w:tcPr>
          <w:p w:rsidR="00D849AA" w:rsidRDefault="00EE6D95">
            <w:r>
              <w:t>62 (2012.)</w:t>
            </w:r>
          </w:p>
        </w:tc>
        <w:tc>
          <w:tcPr>
            <w:tcW w:w="1486" w:type="dxa"/>
          </w:tcPr>
          <w:p w:rsidR="00D849AA" w:rsidRDefault="00EE6D95">
            <w:r>
              <w:t>70</w:t>
            </w:r>
          </w:p>
        </w:tc>
        <w:tc>
          <w:tcPr>
            <w:tcW w:w="1486" w:type="dxa"/>
          </w:tcPr>
          <w:p w:rsidR="00D849AA" w:rsidRDefault="00EE6D95">
            <w:r>
              <w:t>80</w:t>
            </w:r>
          </w:p>
        </w:tc>
        <w:tc>
          <w:tcPr>
            <w:tcW w:w="1486" w:type="dxa"/>
          </w:tcPr>
          <w:p w:rsidR="00D849AA" w:rsidRDefault="00EE6D95">
            <w:r>
              <w:t>95</w:t>
            </w:r>
          </w:p>
        </w:tc>
      </w:tr>
    </w:tbl>
    <w:p w:rsidR="00D849AA" w:rsidRDefault="00D849AA">
      <w:pPr>
        <w:jc w:val="left"/>
      </w:pPr>
    </w:p>
    <w:p w:rsidR="00D849AA" w:rsidRDefault="00EE6D95">
      <w:pPr>
        <w:pStyle w:val="Naslov6"/>
      </w:pPr>
      <w:r>
        <w:t>A622007 REDOVNA DJELATNOST ZNANSTVENO STRUČNIH UDRUGA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A622007</w:t>
            </w:r>
          </w:p>
        </w:tc>
        <w:tc>
          <w:tcPr>
            <w:tcW w:w="1486" w:type="dxa"/>
          </w:tcPr>
          <w:p w:rsidR="00D849AA" w:rsidRDefault="00EE6D95">
            <w:r>
              <w:t>1.750.000</w:t>
            </w:r>
          </w:p>
        </w:tc>
        <w:tc>
          <w:tcPr>
            <w:tcW w:w="1486" w:type="dxa"/>
          </w:tcPr>
          <w:p w:rsidR="00D849AA" w:rsidRDefault="00EE6D95">
            <w:r>
              <w:t>1.089.000</w:t>
            </w:r>
          </w:p>
        </w:tc>
        <w:tc>
          <w:tcPr>
            <w:tcW w:w="1486" w:type="dxa"/>
          </w:tcPr>
          <w:p w:rsidR="00D849AA" w:rsidRDefault="00EE6D95">
            <w:r>
              <w:t>1.003.641</w:t>
            </w:r>
          </w:p>
        </w:tc>
        <w:tc>
          <w:tcPr>
            <w:tcW w:w="1486" w:type="dxa"/>
          </w:tcPr>
          <w:p w:rsidR="00D849AA" w:rsidRDefault="00EE6D95">
            <w:r>
              <w:t>998.623</w:t>
            </w:r>
          </w:p>
        </w:tc>
        <w:tc>
          <w:tcPr>
            <w:tcW w:w="1486" w:type="dxa"/>
          </w:tcPr>
          <w:p w:rsidR="00D849AA" w:rsidRDefault="00EE6D95">
            <w:r>
              <w:t>62,2</w:t>
            </w:r>
          </w:p>
        </w:tc>
      </w:tr>
    </w:tbl>
    <w:p w:rsidR="00D849AA" w:rsidRDefault="00D849AA">
      <w:pPr>
        <w:jc w:val="left"/>
      </w:pPr>
    </w:p>
    <w:p w:rsidR="00D849AA" w:rsidRDefault="00EE6D95">
      <w:pPr>
        <w:pStyle w:val="Normal6"/>
      </w:pPr>
      <w:r>
        <w:t xml:space="preserve">Korisnici ove potpore su znanstvene i znanstvenostručne udruge, kojima se sredstva za njihovu redovitu djelatnost sufinanciraju na temelju objavljenog javnog poziva za slanje </w:t>
      </w:r>
      <w:r>
        <w:lastRenderedPageBreak/>
        <w:t>zahtjeva, a u skladu s Pravilima o novčanom podupiranju znanstvenih i znanstvenostručnih udruga.</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Povećanje broja popularizacijskih aktivnosti</w:t>
            </w:r>
          </w:p>
        </w:tc>
        <w:tc>
          <w:tcPr>
            <w:tcW w:w="1114" w:type="dxa"/>
          </w:tcPr>
          <w:p w:rsidR="00D849AA" w:rsidRDefault="00EE6D95">
            <w:r>
              <w:t>Broj (godišnje)</w:t>
            </w:r>
          </w:p>
        </w:tc>
        <w:tc>
          <w:tcPr>
            <w:tcW w:w="1114" w:type="dxa"/>
          </w:tcPr>
          <w:p w:rsidR="00D849AA" w:rsidRDefault="00EE6D95">
            <w:r>
              <w:t>1.022 (2012.)</w:t>
            </w:r>
          </w:p>
        </w:tc>
        <w:tc>
          <w:tcPr>
            <w:tcW w:w="1486" w:type="dxa"/>
          </w:tcPr>
          <w:p w:rsidR="00D849AA" w:rsidRDefault="00EE6D95">
            <w:r>
              <w:t>1.050</w:t>
            </w:r>
          </w:p>
        </w:tc>
        <w:tc>
          <w:tcPr>
            <w:tcW w:w="1486" w:type="dxa"/>
          </w:tcPr>
          <w:p w:rsidR="00D849AA" w:rsidRDefault="00EE6D95">
            <w:r>
              <w:t>1.100</w:t>
            </w:r>
          </w:p>
        </w:tc>
        <w:tc>
          <w:tcPr>
            <w:tcW w:w="1486" w:type="dxa"/>
          </w:tcPr>
          <w:p w:rsidR="00D849AA" w:rsidRDefault="00EE6D95">
            <w:r>
              <w:t>1.150</w:t>
            </w:r>
          </w:p>
        </w:tc>
      </w:tr>
    </w:tbl>
    <w:p w:rsidR="00D849AA" w:rsidRDefault="00D849AA">
      <w:pPr>
        <w:jc w:val="left"/>
      </w:pPr>
    </w:p>
    <w:p w:rsidR="00D849AA" w:rsidRDefault="00EE6D95">
      <w:pPr>
        <w:pStyle w:val="Naslov6"/>
      </w:pPr>
      <w:r>
        <w:t>A622008 NABAVA INOZEMNIH ZNANSTVENIH ČASOPISA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A622008</w:t>
            </w:r>
          </w:p>
        </w:tc>
        <w:tc>
          <w:tcPr>
            <w:tcW w:w="1486" w:type="dxa"/>
          </w:tcPr>
          <w:p w:rsidR="00D849AA" w:rsidRDefault="00EE6D95">
            <w:r>
              <w:t>15.394.050</w:t>
            </w:r>
          </w:p>
        </w:tc>
        <w:tc>
          <w:tcPr>
            <w:tcW w:w="1486" w:type="dxa"/>
          </w:tcPr>
          <w:p w:rsidR="00D849AA" w:rsidRDefault="00EE6D95">
            <w:r>
              <w:t>22.835.340</w:t>
            </w:r>
          </w:p>
        </w:tc>
        <w:tc>
          <w:tcPr>
            <w:tcW w:w="1486" w:type="dxa"/>
          </w:tcPr>
          <w:p w:rsidR="00D849AA" w:rsidRDefault="00EE6D95">
            <w:r>
              <w:t>21.045.441</w:t>
            </w:r>
          </w:p>
        </w:tc>
        <w:tc>
          <w:tcPr>
            <w:tcW w:w="1486" w:type="dxa"/>
          </w:tcPr>
          <w:p w:rsidR="00D849AA" w:rsidRDefault="00EE6D95">
            <w:r>
              <w:t>20.940.214</w:t>
            </w:r>
          </w:p>
        </w:tc>
        <w:tc>
          <w:tcPr>
            <w:tcW w:w="1486" w:type="dxa"/>
          </w:tcPr>
          <w:p w:rsidR="00D849AA" w:rsidRDefault="00EE6D95">
            <w:r>
              <w:t>148,3</w:t>
            </w:r>
          </w:p>
        </w:tc>
      </w:tr>
    </w:tbl>
    <w:p w:rsidR="00D849AA" w:rsidRDefault="00D849AA">
      <w:pPr>
        <w:jc w:val="left"/>
      </w:pPr>
    </w:p>
    <w:p w:rsidR="00D849AA" w:rsidRDefault="00EE6D95">
      <w:pPr>
        <w:pStyle w:val="Normal6"/>
      </w:pPr>
      <w:r>
        <w:t>Kroz ovu aktivnost osigurava se pristup ključnim inozemnim znanstvenim bazama podataka i časopisa u elektroničkom obliku za sveučilišne knjižnice i knjižnice znanstvenih i visokoškolskih ustanova u Republici Hrvatskoj. Unazad par godina, temeljem postupka javne nabave, sklopljeni su ugovori s najpovoljnijim inozemnim dobavljačima koji nude određene baze - Thomson Reuters, Elsevier B.V., OVID, EBSCO i American Mathematical Society. U 2014. godini koordinacija ove aktivnosti trebala bi prijeći na konzorcij sveučilišnih knjižnica Republike Hrvatske, a u narednim godinama trebala bi se u 80 % iznosu financirati iz Europskog socijalnog fonda.</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Povećanje udjela znanstvenih publikacija koje su objavljene u 10 posto najcitiranijih znanstvenih publikacija u svijetu</w:t>
            </w:r>
          </w:p>
        </w:tc>
        <w:tc>
          <w:tcPr>
            <w:tcW w:w="1114" w:type="dxa"/>
          </w:tcPr>
          <w:p w:rsidR="00D849AA" w:rsidRDefault="00EE6D95">
            <w:r>
              <w:t>Postotak (godišnje)</w:t>
            </w:r>
          </w:p>
        </w:tc>
        <w:tc>
          <w:tcPr>
            <w:tcW w:w="1114" w:type="dxa"/>
          </w:tcPr>
          <w:p w:rsidR="00D849AA" w:rsidRDefault="00EE6D95">
            <w:r>
              <w:t>3,07 (2010.)</w:t>
            </w:r>
          </w:p>
        </w:tc>
        <w:tc>
          <w:tcPr>
            <w:tcW w:w="1486" w:type="dxa"/>
          </w:tcPr>
          <w:p w:rsidR="00D849AA" w:rsidRDefault="00EE6D95">
            <w:r>
              <w:t>4</w:t>
            </w:r>
          </w:p>
        </w:tc>
        <w:tc>
          <w:tcPr>
            <w:tcW w:w="1486" w:type="dxa"/>
          </w:tcPr>
          <w:p w:rsidR="00D849AA" w:rsidRDefault="00EE6D95">
            <w:r>
              <w:t>4,5</w:t>
            </w:r>
          </w:p>
        </w:tc>
        <w:tc>
          <w:tcPr>
            <w:tcW w:w="1486" w:type="dxa"/>
          </w:tcPr>
          <w:p w:rsidR="00D849AA" w:rsidRDefault="00EE6D95">
            <w:r>
              <w:t>5</w:t>
            </w:r>
          </w:p>
        </w:tc>
      </w:tr>
    </w:tbl>
    <w:p w:rsidR="00D849AA" w:rsidRDefault="00D849AA">
      <w:pPr>
        <w:jc w:val="left"/>
      </w:pPr>
    </w:p>
    <w:p w:rsidR="00D849AA" w:rsidRDefault="00EE6D95">
      <w:pPr>
        <w:pStyle w:val="Naslov6"/>
      </w:pPr>
      <w:r>
        <w:t>A622009 POTICAJ RAZVOJA ZNANOSTI I ULAGANJA U KADROVE - FINANCIRANJE ŠKOLARINA ZA POSLIJEDIPLOMSKI STUDIJ</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A622009</w:t>
            </w:r>
          </w:p>
        </w:tc>
        <w:tc>
          <w:tcPr>
            <w:tcW w:w="1486" w:type="dxa"/>
          </w:tcPr>
          <w:p w:rsidR="00D849AA" w:rsidRDefault="00EE6D95">
            <w:r>
              <w:t>4.835.000</w:t>
            </w:r>
          </w:p>
        </w:tc>
        <w:tc>
          <w:tcPr>
            <w:tcW w:w="1486" w:type="dxa"/>
          </w:tcPr>
          <w:p w:rsidR="00D849AA" w:rsidRDefault="00EE6D95">
            <w:r>
              <w:t>4.851.000</w:t>
            </w:r>
          </w:p>
        </w:tc>
        <w:tc>
          <w:tcPr>
            <w:tcW w:w="1486" w:type="dxa"/>
          </w:tcPr>
          <w:p w:rsidR="00D849AA" w:rsidRDefault="00EE6D95">
            <w:r>
              <w:t>4.470.765</w:t>
            </w:r>
          </w:p>
        </w:tc>
        <w:tc>
          <w:tcPr>
            <w:tcW w:w="1486" w:type="dxa"/>
          </w:tcPr>
          <w:p w:rsidR="00D849AA" w:rsidRDefault="00EE6D95">
            <w:r>
              <w:t>4.448.411</w:t>
            </w:r>
          </w:p>
        </w:tc>
        <w:tc>
          <w:tcPr>
            <w:tcW w:w="1486" w:type="dxa"/>
          </w:tcPr>
          <w:p w:rsidR="00D849AA" w:rsidRDefault="00EE6D95">
            <w:r>
              <w:t>100,3</w:t>
            </w:r>
          </w:p>
        </w:tc>
      </w:tr>
    </w:tbl>
    <w:p w:rsidR="00D849AA" w:rsidRDefault="00D849AA">
      <w:pPr>
        <w:jc w:val="left"/>
      </w:pPr>
    </w:p>
    <w:p w:rsidR="00D849AA" w:rsidRDefault="00EE6D95">
      <w:pPr>
        <w:pStyle w:val="Normal6"/>
      </w:pPr>
      <w:r>
        <w:lastRenderedPageBreak/>
        <w:t>Sredstvima s ove aktivnosti financiraju se školarine znanstvenim novacima na znanstvenom usavršavanju u sklopu poslijediplomskih studija. Stabilnim pravnim okvirom, kroz Kolektivni ugovor za znanost i visoko obrazovanje i drugim zakonskim aktima, regulirana su prava znanstvenih novaka na ovu vrstu potpore. Istima se također nadoknađuju troškovi opreme i izrade magistarskih radova i doktorskih disertacija.</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Povećanje broja novih doktora znanosti iz područja prirodnih, tehničkih i biotehničkih znanosti</w:t>
            </w:r>
          </w:p>
        </w:tc>
        <w:tc>
          <w:tcPr>
            <w:tcW w:w="1114" w:type="dxa"/>
          </w:tcPr>
          <w:p w:rsidR="00D849AA" w:rsidRDefault="00EE6D95">
            <w:r>
              <w:t>Broj (godišnje)</w:t>
            </w:r>
          </w:p>
        </w:tc>
        <w:tc>
          <w:tcPr>
            <w:tcW w:w="1114" w:type="dxa"/>
          </w:tcPr>
          <w:p w:rsidR="00D849AA" w:rsidRDefault="00EE6D95">
            <w:r>
              <w:t>403 (2011.)</w:t>
            </w:r>
          </w:p>
        </w:tc>
        <w:tc>
          <w:tcPr>
            <w:tcW w:w="1486" w:type="dxa"/>
          </w:tcPr>
          <w:p w:rsidR="00D849AA" w:rsidRDefault="00EE6D95">
            <w:r>
              <w:t>408</w:t>
            </w:r>
          </w:p>
        </w:tc>
        <w:tc>
          <w:tcPr>
            <w:tcW w:w="1486" w:type="dxa"/>
          </w:tcPr>
          <w:p w:rsidR="00D849AA" w:rsidRDefault="00EE6D95">
            <w:r>
              <w:t>413</w:t>
            </w:r>
          </w:p>
        </w:tc>
        <w:tc>
          <w:tcPr>
            <w:tcW w:w="1486" w:type="dxa"/>
          </w:tcPr>
          <w:p w:rsidR="00D849AA" w:rsidRDefault="00EE6D95">
            <w:r>
              <w:t>418</w:t>
            </w:r>
          </w:p>
        </w:tc>
      </w:tr>
    </w:tbl>
    <w:p w:rsidR="00D849AA" w:rsidRDefault="00D849AA">
      <w:pPr>
        <w:jc w:val="left"/>
      </w:pPr>
    </w:p>
    <w:p w:rsidR="00D849AA" w:rsidRDefault="00EE6D95">
      <w:pPr>
        <w:pStyle w:val="Naslov6"/>
      </w:pPr>
      <w:r>
        <w:t>A622010 ODRŽAVANJE ZNANSTVENE INFRASTRUKTURE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A622010</w:t>
            </w:r>
          </w:p>
        </w:tc>
        <w:tc>
          <w:tcPr>
            <w:tcW w:w="1486" w:type="dxa"/>
          </w:tcPr>
          <w:p w:rsidR="00D849AA" w:rsidRDefault="00EE6D95">
            <w:r>
              <w:t>1.000.000</w:t>
            </w:r>
          </w:p>
        </w:tc>
        <w:tc>
          <w:tcPr>
            <w:tcW w:w="1486" w:type="dxa"/>
          </w:tcPr>
          <w:p w:rsidR="00D849AA" w:rsidRDefault="00EE6D95">
            <w:r>
              <w:t>990.000</w:t>
            </w:r>
          </w:p>
        </w:tc>
        <w:tc>
          <w:tcPr>
            <w:tcW w:w="1486" w:type="dxa"/>
          </w:tcPr>
          <w:p w:rsidR="00D849AA" w:rsidRDefault="00EE6D95">
            <w:r>
              <w:t>912.401</w:t>
            </w:r>
          </w:p>
        </w:tc>
        <w:tc>
          <w:tcPr>
            <w:tcW w:w="1486" w:type="dxa"/>
          </w:tcPr>
          <w:p w:rsidR="00D849AA" w:rsidRDefault="00EE6D95">
            <w:r>
              <w:t>907.839</w:t>
            </w:r>
          </w:p>
        </w:tc>
        <w:tc>
          <w:tcPr>
            <w:tcW w:w="1486" w:type="dxa"/>
          </w:tcPr>
          <w:p w:rsidR="00D849AA" w:rsidRDefault="00EE6D95">
            <w:r>
              <w:t>99,0</w:t>
            </w:r>
          </w:p>
        </w:tc>
      </w:tr>
    </w:tbl>
    <w:p w:rsidR="00D849AA" w:rsidRDefault="00D849AA">
      <w:pPr>
        <w:jc w:val="left"/>
      </w:pPr>
    </w:p>
    <w:p w:rsidR="00D849AA" w:rsidRDefault="00EE6D95">
      <w:pPr>
        <w:pStyle w:val="Normal6"/>
      </w:pPr>
      <w:r>
        <w:t>Financiranje znanstvene djelatnosti kroz ovu aktivnost odnosi se na ulaganje u znanstvenu infrastrukturu, a sve u cilju poticanja razvoja znanosti kroz održavanje znanstvene opreme kao osnovnog sredstva za znanstvenoistraživački rad. Navedenim sredstvima provodi se financiranje investicijskog održavanja, servisiranja i izvanrednih popravaka već nabavljene kapitalne opreme te materijalnih troškova održavanja i rada laboratorija sa pokusnim životinjama i troškova nabavke tekućih plinova za potrebe rada znanstvenih jedinica. Mada su sredstva na ovoj aktivnosti i za navedene potrebe uvijek nedostatna, financiranje ovakvih potreba znanstvenih ustanova se djelomično uspješno provodi.</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361"/>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Povećanje broja novih znanstveno-istraživačkih i inovacijskih kapaciteta</w:t>
            </w:r>
          </w:p>
        </w:tc>
        <w:tc>
          <w:tcPr>
            <w:tcW w:w="1114" w:type="dxa"/>
          </w:tcPr>
          <w:p w:rsidR="00D849AA" w:rsidRDefault="00EE6D95">
            <w:r>
              <w:t>Broj (kumulativno)</w:t>
            </w:r>
          </w:p>
        </w:tc>
        <w:tc>
          <w:tcPr>
            <w:tcW w:w="1114" w:type="dxa"/>
          </w:tcPr>
          <w:p w:rsidR="00D849AA" w:rsidRDefault="00EE6D95">
            <w:r>
              <w:t>7 (2009.)</w:t>
            </w:r>
          </w:p>
        </w:tc>
        <w:tc>
          <w:tcPr>
            <w:tcW w:w="1486" w:type="dxa"/>
          </w:tcPr>
          <w:p w:rsidR="00D849AA" w:rsidRDefault="00EE6D95">
            <w:r>
              <w:t>9</w:t>
            </w:r>
          </w:p>
        </w:tc>
        <w:tc>
          <w:tcPr>
            <w:tcW w:w="1486" w:type="dxa"/>
          </w:tcPr>
          <w:p w:rsidR="00D849AA" w:rsidRDefault="00EE6D95">
            <w:r>
              <w:t>11</w:t>
            </w:r>
          </w:p>
        </w:tc>
        <w:tc>
          <w:tcPr>
            <w:tcW w:w="1486" w:type="dxa"/>
          </w:tcPr>
          <w:p w:rsidR="00D849AA" w:rsidRDefault="00EE6D95">
            <w:r>
              <w:t>15</w:t>
            </w:r>
          </w:p>
        </w:tc>
      </w:tr>
    </w:tbl>
    <w:p w:rsidR="00D849AA" w:rsidRDefault="00D849AA">
      <w:pPr>
        <w:jc w:val="left"/>
      </w:pPr>
    </w:p>
    <w:p w:rsidR="001A0148" w:rsidRDefault="001A0148">
      <w:pPr>
        <w:jc w:val="left"/>
      </w:pPr>
    </w:p>
    <w:p w:rsidR="001A0148" w:rsidRDefault="001A0148">
      <w:pPr>
        <w:jc w:val="left"/>
      </w:pPr>
    </w:p>
    <w:p w:rsidR="001A0148" w:rsidRDefault="001A0148">
      <w:pPr>
        <w:jc w:val="left"/>
      </w:pPr>
    </w:p>
    <w:p w:rsidR="001A0148" w:rsidRDefault="001A0148">
      <w:pPr>
        <w:jc w:val="left"/>
      </w:pPr>
    </w:p>
    <w:p w:rsidR="00D849AA" w:rsidRDefault="00EE6D95">
      <w:pPr>
        <w:pStyle w:val="Naslov6"/>
      </w:pPr>
      <w:r>
        <w:lastRenderedPageBreak/>
        <w:t>A767009 CENTRI IZVRSNOSTI</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A767009</w:t>
            </w:r>
          </w:p>
        </w:tc>
        <w:tc>
          <w:tcPr>
            <w:tcW w:w="1486" w:type="dxa"/>
          </w:tcPr>
          <w:p w:rsidR="00D849AA" w:rsidRDefault="00EE6D95">
            <w:r>
              <w:t>2.500.000</w:t>
            </w:r>
          </w:p>
        </w:tc>
        <w:tc>
          <w:tcPr>
            <w:tcW w:w="1486" w:type="dxa"/>
          </w:tcPr>
          <w:p w:rsidR="00D849AA" w:rsidRDefault="00EE6D95">
            <w:r>
              <w:t>2.499.600</w:t>
            </w:r>
          </w:p>
        </w:tc>
        <w:tc>
          <w:tcPr>
            <w:tcW w:w="1486" w:type="dxa"/>
          </w:tcPr>
          <w:p w:rsidR="00D849AA" w:rsidRDefault="00EE6D95">
            <w:r>
              <w:t>2.496.496</w:t>
            </w:r>
          </w:p>
        </w:tc>
        <w:tc>
          <w:tcPr>
            <w:tcW w:w="1486" w:type="dxa"/>
          </w:tcPr>
          <w:p w:rsidR="00D849AA" w:rsidRDefault="00EE6D95">
            <w:r>
              <w:t>2.496.314</w:t>
            </w:r>
          </w:p>
        </w:tc>
        <w:tc>
          <w:tcPr>
            <w:tcW w:w="1486" w:type="dxa"/>
          </w:tcPr>
          <w:p w:rsidR="00D849AA" w:rsidRDefault="00EE6D95">
            <w:r>
              <w:t>100,0</w:t>
            </w:r>
          </w:p>
        </w:tc>
      </w:tr>
    </w:tbl>
    <w:p w:rsidR="00D849AA" w:rsidRDefault="00D849AA">
      <w:pPr>
        <w:jc w:val="left"/>
      </w:pPr>
    </w:p>
    <w:p w:rsidR="00D849AA" w:rsidRDefault="00EE6D95">
      <w:pPr>
        <w:pStyle w:val="Normal6"/>
      </w:pPr>
      <w:r>
        <w:t>Sukladno Zakonu o znanstvenoj djelatnosti i visokom obrazovanju Nacionalno vijeća za znanost 2013. godine donijelo je kriterije za proglašenje znanstvenih centara izvrsnosti. Proglašenje znanstvenih centara izvrsnosti omogućit će profiliranje znanstvenih organizacija i/ili skupina znanstvenika koji po svojoj originalnosti, značenju i aktualnosti rezultata svog znanstvenog rada spadaju u red najkvalitetnijih organizacija ili skupina u svijetu unutar svoje znanstvene discipline.</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Povećanje udjela znanstvenih publikacija koje su objavljene u 10 posto najcitiranijih znanstvenih publikacija u svijetu</w:t>
            </w:r>
          </w:p>
        </w:tc>
        <w:tc>
          <w:tcPr>
            <w:tcW w:w="1114" w:type="dxa"/>
          </w:tcPr>
          <w:p w:rsidR="00D849AA" w:rsidRDefault="00EE6D95">
            <w:r>
              <w:t>Postotak (godišnje)</w:t>
            </w:r>
          </w:p>
        </w:tc>
        <w:tc>
          <w:tcPr>
            <w:tcW w:w="1114" w:type="dxa"/>
          </w:tcPr>
          <w:p w:rsidR="00D849AA" w:rsidRDefault="00EE6D95">
            <w:r>
              <w:t>3,07 (2010.)</w:t>
            </w:r>
          </w:p>
        </w:tc>
        <w:tc>
          <w:tcPr>
            <w:tcW w:w="1486" w:type="dxa"/>
          </w:tcPr>
          <w:p w:rsidR="00D849AA" w:rsidRDefault="00EE6D95">
            <w:r>
              <w:t>4</w:t>
            </w:r>
          </w:p>
        </w:tc>
        <w:tc>
          <w:tcPr>
            <w:tcW w:w="1486" w:type="dxa"/>
          </w:tcPr>
          <w:p w:rsidR="00D849AA" w:rsidRDefault="00EE6D95">
            <w:r>
              <w:t>4,5</w:t>
            </w:r>
          </w:p>
        </w:tc>
        <w:tc>
          <w:tcPr>
            <w:tcW w:w="1486" w:type="dxa"/>
          </w:tcPr>
          <w:p w:rsidR="00D849AA" w:rsidRDefault="00EE6D95">
            <w:r>
              <w:t>5</w:t>
            </w:r>
          </w:p>
        </w:tc>
      </w:tr>
    </w:tbl>
    <w:p w:rsidR="00D849AA" w:rsidRDefault="00D849AA">
      <w:pPr>
        <w:jc w:val="left"/>
      </w:pPr>
    </w:p>
    <w:p w:rsidR="00D849AA" w:rsidRDefault="00EE6D95">
      <w:pPr>
        <w:pStyle w:val="Naslov6"/>
      </w:pPr>
      <w:r>
        <w:t>A767017 PROGRAM EUREKA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A767017</w:t>
            </w:r>
          </w:p>
        </w:tc>
        <w:tc>
          <w:tcPr>
            <w:tcW w:w="1486" w:type="dxa"/>
          </w:tcPr>
          <w:p w:rsidR="00D849AA" w:rsidRDefault="00EE6D95">
            <w:r>
              <w:t>4.360.000</w:t>
            </w:r>
          </w:p>
        </w:tc>
        <w:tc>
          <w:tcPr>
            <w:tcW w:w="1486" w:type="dxa"/>
          </w:tcPr>
          <w:p w:rsidR="00D849AA" w:rsidRDefault="00EE6D95">
            <w:r>
              <w:t>4.950.000</w:t>
            </w:r>
          </w:p>
        </w:tc>
        <w:tc>
          <w:tcPr>
            <w:tcW w:w="1486" w:type="dxa"/>
          </w:tcPr>
          <w:p w:rsidR="00D849AA" w:rsidRDefault="00EE6D95">
            <w:r>
              <w:t>4.562.005</w:t>
            </w:r>
          </w:p>
        </w:tc>
        <w:tc>
          <w:tcPr>
            <w:tcW w:w="1486" w:type="dxa"/>
          </w:tcPr>
          <w:p w:rsidR="00D849AA" w:rsidRDefault="00EE6D95">
            <w:r>
              <w:t>4.539.195</w:t>
            </w:r>
          </w:p>
        </w:tc>
        <w:tc>
          <w:tcPr>
            <w:tcW w:w="1486" w:type="dxa"/>
          </w:tcPr>
          <w:p w:rsidR="00D849AA" w:rsidRDefault="00EE6D95">
            <w:r>
              <w:t>113,5</w:t>
            </w:r>
          </w:p>
        </w:tc>
      </w:tr>
    </w:tbl>
    <w:p w:rsidR="00D849AA" w:rsidRDefault="00D849AA">
      <w:pPr>
        <w:jc w:val="left"/>
      </w:pPr>
    </w:p>
    <w:p w:rsidR="00D849AA" w:rsidRDefault="00EE6D95">
      <w:pPr>
        <w:pStyle w:val="Normal6"/>
      </w:pPr>
      <w:r>
        <w:t>Republika Hrvatska uključena je u EUREKA program kao punopravna članica od 23. lipnja 2000. godine. EUREKA je europska mreža za tržišno usmjereno istraživanje i razvoj, osnovana 1985. godine. Primarni cilj programa EUREKA je potaknuti tvrtke na ulaganje u aktivnosti istraživanja i razvoja te na taj način jačati njihov inovacijski kapacitet stvarajući temelj za međunarodni tržišni plasman. Također, program pomaže u izgradnji međunarodnog partnerstva te potiče suradnju i ujedinjavanje resursa poduzetnika i znanstveno-istraživačkih organizacija. Temeljem Sporazuma o provedbi EUREKA programa od 24. svibnja 2010., između Ministarstva znanosti, obrazovanja i sporta i Poslovno-inovacijske agencije Republike Hrvatske BICRO, operativna provedba EUREKA programa prenesena je s Ministarstva znanosti, obrazovanja i sporta na BICRO. Ministarstvo je nadležno za plaćanje godišnje EUREKA članarine, odobravanje godišnjeg plana aktivnosti, osiguravanje sredstava za sufinanciranje EUREKA projekata, praćenje provedbe programa te imenovanje Nacionalnog koordinatora, Visokog predstavnika i kontakt osobe u Ministarstvu znanosti, obrazovanja i sporta.</w:t>
      </w:r>
    </w:p>
    <w:p w:rsidR="001A0148" w:rsidRDefault="001A0148">
      <w:pPr>
        <w:pStyle w:val="Normal6"/>
      </w:pPr>
    </w:p>
    <w:p w:rsidR="001A0148" w:rsidRDefault="001A0148">
      <w:pPr>
        <w:pStyle w:val="Normal6"/>
      </w:pPr>
    </w:p>
    <w:p w:rsidR="00D849AA" w:rsidRDefault="00EE6D95">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Povećanje udjela prihoda znanstvenih organizacija od ugovorenih projekata s gospodarskim subjektima, tijelima državne uprave i jedinicama lokalne uprave i samouprave, civilnim sektorom i nevladinim udrugama u ukupnim prihodima</w:t>
            </w:r>
          </w:p>
        </w:tc>
        <w:tc>
          <w:tcPr>
            <w:tcW w:w="1114" w:type="dxa"/>
          </w:tcPr>
          <w:p w:rsidR="00D849AA" w:rsidRDefault="00EE6D95">
            <w:r>
              <w:t>Postotak u ukupnim prihodima (godišnje)</w:t>
            </w:r>
          </w:p>
        </w:tc>
        <w:tc>
          <w:tcPr>
            <w:tcW w:w="1114" w:type="dxa"/>
          </w:tcPr>
          <w:p w:rsidR="00D849AA" w:rsidRDefault="00EE6D95">
            <w:r>
              <w:t>10,53 (2012.)</w:t>
            </w:r>
          </w:p>
        </w:tc>
        <w:tc>
          <w:tcPr>
            <w:tcW w:w="1486" w:type="dxa"/>
          </w:tcPr>
          <w:p w:rsidR="00D849AA" w:rsidRDefault="00EE6D95">
            <w:r>
              <w:t>11</w:t>
            </w:r>
          </w:p>
        </w:tc>
        <w:tc>
          <w:tcPr>
            <w:tcW w:w="1486" w:type="dxa"/>
          </w:tcPr>
          <w:p w:rsidR="00D849AA" w:rsidRDefault="00EE6D95">
            <w:r>
              <w:t>12</w:t>
            </w:r>
          </w:p>
        </w:tc>
        <w:tc>
          <w:tcPr>
            <w:tcW w:w="1486" w:type="dxa"/>
          </w:tcPr>
          <w:p w:rsidR="00D849AA" w:rsidRDefault="00EE6D95">
            <w:r>
              <w:t>13</w:t>
            </w:r>
          </w:p>
        </w:tc>
      </w:tr>
    </w:tbl>
    <w:p w:rsidR="00D849AA" w:rsidRDefault="00D849AA">
      <w:pPr>
        <w:jc w:val="left"/>
      </w:pPr>
    </w:p>
    <w:p w:rsidR="00D849AA" w:rsidRDefault="00EE6D95">
      <w:pPr>
        <w:pStyle w:val="Naslov6"/>
      </w:pPr>
      <w:r>
        <w:t>A767019 IPA III C 2007 OPERATIVNI PROGRAM ZA REGIONALNU KONKURENTNOST</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A767019</w:t>
            </w:r>
          </w:p>
        </w:tc>
        <w:tc>
          <w:tcPr>
            <w:tcW w:w="1486" w:type="dxa"/>
          </w:tcPr>
          <w:p w:rsidR="00D849AA" w:rsidRDefault="00EE6D95">
            <w:r>
              <w:t>328.000</w:t>
            </w:r>
          </w:p>
        </w:tc>
        <w:tc>
          <w:tcPr>
            <w:tcW w:w="1486" w:type="dxa"/>
          </w:tcPr>
          <w:p w:rsidR="00D849AA" w:rsidRDefault="00EE6D95">
            <w:r>
              <w:t>331.650</w:t>
            </w:r>
          </w:p>
        </w:tc>
        <w:tc>
          <w:tcPr>
            <w:tcW w:w="1486" w:type="dxa"/>
          </w:tcPr>
          <w:p w:rsidR="00D849AA" w:rsidRDefault="00EE6D95">
            <w:r>
              <w:t>298.282</w:t>
            </w:r>
          </w:p>
        </w:tc>
        <w:tc>
          <w:tcPr>
            <w:tcW w:w="1486" w:type="dxa"/>
          </w:tcPr>
          <w:p w:rsidR="00D849AA" w:rsidRDefault="00EE6D95">
            <w:r>
              <w:t>296.791</w:t>
            </w:r>
          </w:p>
        </w:tc>
        <w:tc>
          <w:tcPr>
            <w:tcW w:w="1486" w:type="dxa"/>
          </w:tcPr>
          <w:p w:rsidR="00D849AA" w:rsidRDefault="00EE6D95">
            <w:r>
              <w:t>101,1</w:t>
            </w:r>
          </w:p>
        </w:tc>
      </w:tr>
    </w:tbl>
    <w:p w:rsidR="00D849AA" w:rsidRDefault="00D849AA">
      <w:pPr>
        <w:jc w:val="left"/>
      </w:pPr>
    </w:p>
    <w:p w:rsidR="00D849AA" w:rsidRDefault="00EE6D95">
      <w:pPr>
        <w:pStyle w:val="Normal6"/>
      </w:pPr>
      <w:r>
        <w:t>Ministarstvo znanosti, obrazovanja i sporta nadležno je za provođenje Prioriteta 2; Mjera 2; operacija  u sklopu Operativnog programa za regionalnu konkurentnost. Budući da je provedba takvih kompleksnih programa višegodišnja obveza,ovaj program je zapravo svojevrsna priprema struktura unutar državnih tijela za korištenje sredstava Strukturnih fondova koji će biti dostupni kada Republika Hrvatska postane članica Europske unije. Kroz ovu aktivnost predviđena su sredstva za financiranje stručnih usavršavanja, službenih putovanja koja su dio redovnih zaduženja svih državnih službenika koji sudjeluju u provedbi EU projekata, usluga promidžbe i informiranja, reprezentacije, intelektualnih i osobnih usluga te računalnih usluga.</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361"/>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Povećanje broja novih znanstveno-istraživačkih i inovacijskih kapaciteta</w:t>
            </w:r>
          </w:p>
        </w:tc>
        <w:tc>
          <w:tcPr>
            <w:tcW w:w="1114" w:type="dxa"/>
          </w:tcPr>
          <w:p w:rsidR="00D849AA" w:rsidRDefault="00EE6D95">
            <w:r>
              <w:t>Broj (kumulativno)</w:t>
            </w:r>
          </w:p>
        </w:tc>
        <w:tc>
          <w:tcPr>
            <w:tcW w:w="1114" w:type="dxa"/>
          </w:tcPr>
          <w:p w:rsidR="00D849AA" w:rsidRDefault="00EE6D95">
            <w:r>
              <w:t>7 (2009.)</w:t>
            </w:r>
          </w:p>
        </w:tc>
        <w:tc>
          <w:tcPr>
            <w:tcW w:w="1486" w:type="dxa"/>
          </w:tcPr>
          <w:p w:rsidR="00D849AA" w:rsidRDefault="00EE6D95">
            <w:r>
              <w:t>9</w:t>
            </w:r>
          </w:p>
        </w:tc>
        <w:tc>
          <w:tcPr>
            <w:tcW w:w="1486" w:type="dxa"/>
          </w:tcPr>
          <w:p w:rsidR="00D849AA" w:rsidRDefault="00EE6D95">
            <w:r>
              <w:t>11</w:t>
            </w:r>
          </w:p>
        </w:tc>
        <w:tc>
          <w:tcPr>
            <w:tcW w:w="1486" w:type="dxa"/>
          </w:tcPr>
          <w:p w:rsidR="00D849AA" w:rsidRDefault="00EE6D95">
            <w:r>
              <w:t>15</w:t>
            </w:r>
          </w:p>
        </w:tc>
      </w:tr>
    </w:tbl>
    <w:p w:rsidR="00D849AA" w:rsidRDefault="00D849AA">
      <w:pPr>
        <w:jc w:val="left"/>
      </w:pPr>
    </w:p>
    <w:p w:rsidR="001A0148" w:rsidRDefault="001A0148">
      <w:pPr>
        <w:jc w:val="left"/>
      </w:pPr>
    </w:p>
    <w:p w:rsidR="00D849AA" w:rsidRDefault="00EE6D95">
      <w:pPr>
        <w:pStyle w:val="Naslov6"/>
      </w:pPr>
      <w:r>
        <w:lastRenderedPageBreak/>
        <w:t>A767035 EUROPSKI ZNANSTVENI PROJEKTI I MEĐUNARODNA SURADNJA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A767035</w:t>
            </w:r>
          </w:p>
        </w:tc>
        <w:tc>
          <w:tcPr>
            <w:tcW w:w="1486" w:type="dxa"/>
          </w:tcPr>
          <w:p w:rsidR="00D849AA" w:rsidRDefault="00EE6D95">
            <w:r>
              <w:t>11.429.000</w:t>
            </w:r>
          </w:p>
        </w:tc>
        <w:tc>
          <w:tcPr>
            <w:tcW w:w="1486" w:type="dxa"/>
          </w:tcPr>
          <w:p w:rsidR="00D849AA" w:rsidRDefault="00EE6D95">
            <w:r>
              <w:t>9.693.000</w:t>
            </w:r>
          </w:p>
        </w:tc>
        <w:tc>
          <w:tcPr>
            <w:tcW w:w="1486" w:type="dxa"/>
          </w:tcPr>
          <w:p w:rsidR="00D849AA" w:rsidRDefault="00EE6D95">
            <w:r>
              <w:t>8.933.234</w:t>
            </w:r>
          </w:p>
        </w:tc>
        <w:tc>
          <w:tcPr>
            <w:tcW w:w="1486" w:type="dxa"/>
          </w:tcPr>
          <w:p w:rsidR="00D849AA" w:rsidRDefault="00EE6D95">
            <w:r>
              <w:t>8.888.569</w:t>
            </w:r>
          </w:p>
        </w:tc>
        <w:tc>
          <w:tcPr>
            <w:tcW w:w="1486" w:type="dxa"/>
          </w:tcPr>
          <w:p w:rsidR="00D849AA" w:rsidRDefault="00EE6D95">
            <w:r>
              <w:t>84,8</w:t>
            </w:r>
          </w:p>
        </w:tc>
      </w:tr>
    </w:tbl>
    <w:p w:rsidR="00D849AA" w:rsidRDefault="00D849AA">
      <w:pPr>
        <w:jc w:val="left"/>
      </w:pPr>
    </w:p>
    <w:p w:rsidR="00D849AA" w:rsidRDefault="00EE6D95">
      <w:pPr>
        <w:pStyle w:val="Normal6"/>
      </w:pPr>
      <w:r>
        <w:t xml:space="preserve">Ministarstvo je nadležno za provedbu multilateralne suradnje s međunarodnim organizacijama (UN, UNESCO, OESS, OECD, IAEA, UNICEF, Vijeće Europe, NATO, ITF, CERN, HERA, EMBL/EMBO, Unija za Mediteran i NATO (Odbor za Znanost za mir i sigurnost) i regionalnim inicijativama (SEI, EUSDR (EU strategija za dunavsku regiju), JJI (Jadransko-jonska inicijativa), Vijeće za regionalnu suradnju, itd.). Cilj suradnje je omogućiti znanstvenoj zajednici, znanstvenim ustanovama i pojedincima ravnopravno sudjelovanje u programima i projektima multilateralnog značaja. </w:t>
      </w:r>
    </w:p>
    <w:p w:rsidR="00D849AA" w:rsidRDefault="00EE6D95">
      <w:pPr>
        <w:pStyle w:val="Normal6"/>
      </w:pPr>
      <w:r>
        <w:t xml:space="preserve">Bilateralna znanstvenoistraživačka i tehnička suradnja RH temelji se na bilateralnim ugovorima, programima i drugim provedbenim aktima potpisanim sa više od 90 zemalja svijeta. Temeljem bilateralnih programa, a u skladu sa zajedničkim interesima i prioritetnim područjima, Ministarstvo trenutno podupire 190 dvogodišnjih bilateralnih znanstvenoistraživačkih projekata sa 10 zemalja iz svih područja znanosti. Najzastupljeniji su projekti iz prirodnih, biomedicinskih, tehničkih i biotehničkih znanosti.  </w:t>
      </w:r>
    </w:p>
    <w:p w:rsidR="00D849AA" w:rsidRDefault="00EE6D95">
      <w:pPr>
        <w:pStyle w:val="Normal6"/>
      </w:pPr>
      <w:r>
        <w:t xml:space="preserve">MZOS pruža stručnu i administrativnu potporu sudjelovanju RH u programu Obzor 2020. - okvirnom programu EU za istraživanja i inovacije koji će se provoditi u razdoblju od 2014. do 2020. s ciljem potpune integracije hrvatskog sustava istraživanja i inovacija u Europski istraživački i inovacijski prostor (European Research and Innovation Area). </w:t>
      </w:r>
    </w:p>
    <w:p w:rsidR="00D849AA" w:rsidRDefault="00EE6D95">
      <w:pPr>
        <w:pStyle w:val="Normal6"/>
      </w:pPr>
      <w:r>
        <w:t xml:space="preserve">MZOS je ujedno zadužen za praćenje i sudjelovanje u radu radnih skupina, odbora i savjetodavnih tijela Vijeća Europske unije koji djeluju u području znanosti i istraživanja (Working Party on Research, Joint Working Party on Research/Atomic Questions, ERAC, SFIC, GPC, Working Party on Space). </w:t>
      </w:r>
    </w:p>
    <w:p w:rsidR="00D849AA" w:rsidRDefault="00EE6D95">
      <w:pPr>
        <w:pStyle w:val="Normal6"/>
      </w:pPr>
      <w:r>
        <w:t>RH u sufinanciranju STP-a II 4.000.000,00 eura.</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361"/>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Povećanje broja bilateralnih znanstvenih projekata</w:t>
            </w:r>
          </w:p>
        </w:tc>
        <w:tc>
          <w:tcPr>
            <w:tcW w:w="1114" w:type="dxa"/>
          </w:tcPr>
          <w:p w:rsidR="00D849AA" w:rsidRDefault="00EE6D95">
            <w:r>
              <w:t>Broj (kumulativno)</w:t>
            </w:r>
          </w:p>
        </w:tc>
        <w:tc>
          <w:tcPr>
            <w:tcW w:w="1114" w:type="dxa"/>
          </w:tcPr>
          <w:p w:rsidR="00D849AA" w:rsidRDefault="00EE6D95">
            <w:r>
              <w:t>185 (2012.)</w:t>
            </w:r>
          </w:p>
        </w:tc>
        <w:tc>
          <w:tcPr>
            <w:tcW w:w="1486" w:type="dxa"/>
          </w:tcPr>
          <w:p w:rsidR="00D849AA" w:rsidRDefault="00EE6D95">
            <w:r>
              <w:t>200</w:t>
            </w:r>
          </w:p>
        </w:tc>
        <w:tc>
          <w:tcPr>
            <w:tcW w:w="1486" w:type="dxa"/>
          </w:tcPr>
          <w:p w:rsidR="00D849AA" w:rsidRDefault="00EE6D95">
            <w:r>
              <w:t>215</w:t>
            </w:r>
          </w:p>
        </w:tc>
        <w:tc>
          <w:tcPr>
            <w:tcW w:w="1486" w:type="dxa"/>
          </w:tcPr>
          <w:p w:rsidR="00D849AA" w:rsidRDefault="00EE6D95">
            <w:r>
              <w:t>230</w:t>
            </w:r>
          </w:p>
        </w:tc>
      </w:tr>
      <w:tr w:rsidR="00D849AA">
        <w:trPr>
          <w:jc w:val="center"/>
        </w:trPr>
        <w:tc>
          <w:tcPr>
            <w:tcW w:w="2229" w:type="dxa"/>
          </w:tcPr>
          <w:p w:rsidR="00D849AA" w:rsidRDefault="00EE6D95">
            <w:pPr>
              <w:pStyle w:val="CellColumn"/>
            </w:pPr>
            <w:r>
              <w:t>Povećanje broja prijava međunarodnih znanstveno - istraživačkih projekata u kojima sudjeluju znanstvene organizacije iz RH (Okvirni istraživački programi EU-a)</w:t>
            </w:r>
          </w:p>
        </w:tc>
        <w:tc>
          <w:tcPr>
            <w:tcW w:w="1114" w:type="dxa"/>
          </w:tcPr>
          <w:p w:rsidR="00D849AA" w:rsidRDefault="00EE6D95">
            <w:r>
              <w:t>Broj (godišnje)</w:t>
            </w:r>
          </w:p>
        </w:tc>
        <w:tc>
          <w:tcPr>
            <w:tcW w:w="1114" w:type="dxa"/>
          </w:tcPr>
          <w:p w:rsidR="00D849AA" w:rsidRDefault="00EE6D95">
            <w:r>
              <w:t>210 (2012.)</w:t>
            </w:r>
          </w:p>
        </w:tc>
        <w:tc>
          <w:tcPr>
            <w:tcW w:w="1486" w:type="dxa"/>
          </w:tcPr>
          <w:p w:rsidR="00D849AA" w:rsidRDefault="00EE6D95">
            <w:r>
              <w:t>250</w:t>
            </w:r>
          </w:p>
        </w:tc>
        <w:tc>
          <w:tcPr>
            <w:tcW w:w="1486" w:type="dxa"/>
          </w:tcPr>
          <w:p w:rsidR="00D849AA" w:rsidRDefault="00EE6D95">
            <w:r>
              <w:t>300</w:t>
            </w:r>
          </w:p>
        </w:tc>
        <w:tc>
          <w:tcPr>
            <w:tcW w:w="1486" w:type="dxa"/>
          </w:tcPr>
          <w:p w:rsidR="00D849AA" w:rsidRDefault="00EE6D95">
            <w:r>
              <w:t>350</w:t>
            </w:r>
          </w:p>
        </w:tc>
      </w:tr>
    </w:tbl>
    <w:p w:rsidR="00D849AA" w:rsidRDefault="00D849AA">
      <w:pPr>
        <w:jc w:val="left"/>
      </w:pPr>
    </w:p>
    <w:p w:rsidR="00D849AA" w:rsidRDefault="00EE6D95">
      <w:pPr>
        <w:pStyle w:val="Naslov6"/>
      </w:pPr>
      <w:r>
        <w:lastRenderedPageBreak/>
        <w:t>A767038 PROGRAM MEĐUNARODNE MOBILNOSTI ZA ISTRAŽIVAČE - NEWFELPRO</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A767038</w:t>
            </w:r>
          </w:p>
        </w:tc>
        <w:tc>
          <w:tcPr>
            <w:tcW w:w="1486" w:type="dxa"/>
          </w:tcPr>
          <w:p w:rsidR="00D849AA" w:rsidRDefault="00EE6D95">
            <w:r>
              <w:t>8.378.688</w:t>
            </w:r>
          </w:p>
        </w:tc>
        <w:tc>
          <w:tcPr>
            <w:tcW w:w="1486" w:type="dxa"/>
          </w:tcPr>
          <w:p w:rsidR="00D849AA" w:rsidRDefault="00EE6D95">
            <w:r>
              <w:t>14.307.000</w:t>
            </w:r>
          </w:p>
        </w:tc>
        <w:tc>
          <w:tcPr>
            <w:tcW w:w="1486" w:type="dxa"/>
          </w:tcPr>
          <w:p w:rsidR="00D849AA" w:rsidRDefault="00EE6D95">
            <w:r>
              <w:t>15.985.247</w:t>
            </w:r>
          </w:p>
        </w:tc>
        <w:tc>
          <w:tcPr>
            <w:tcW w:w="1486" w:type="dxa"/>
          </w:tcPr>
          <w:p w:rsidR="00D849AA" w:rsidRDefault="00EE6D95">
            <w:r>
              <w:t>11.555.195</w:t>
            </w:r>
          </w:p>
        </w:tc>
        <w:tc>
          <w:tcPr>
            <w:tcW w:w="1486" w:type="dxa"/>
          </w:tcPr>
          <w:p w:rsidR="00D849AA" w:rsidRDefault="00EE6D95">
            <w:r>
              <w:t>170,8</w:t>
            </w:r>
          </w:p>
        </w:tc>
      </w:tr>
    </w:tbl>
    <w:p w:rsidR="00D849AA" w:rsidRDefault="00D849AA">
      <w:pPr>
        <w:jc w:val="left"/>
      </w:pPr>
    </w:p>
    <w:p w:rsidR="00D849AA" w:rsidRDefault="00EE6D95">
      <w:pPr>
        <w:pStyle w:val="Normal6"/>
      </w:pPr>
      <w:r>
        <w:t xml:space="preserve">Projekt NEWFELPRO - New International Fellowship Mobility Programme for Experienced Researchers in Croatia je projekt poticanja mobilnosti koji je osmislilo Ministarstvo znanosti, obrazovanja i sporta u suradnji s Fondom "Jedinstvo uz pomoć znanja - UKF", a koji je prijavljen za sufinanciranje u sklopu FP7 Programa Europske unije, programa People, u sklopu Marie Curie Actions natječaja za sufinanciranje programa namijenjenih poticanju razvoja karijere istraživača (COFUND). Okosnica projekta je poticanje dolazne i izlazne mobilnosti znanstvenika, te povratka vrhunskih hrvatskih znanstvenika u domovinu kroz omogućavanje re-integracije u sustav znanosti. Ukupna vrijednost projekta je 7.018.455,71 EUR, od čega je planirano da 40% (2.807.372,28 EUR) bude sufinancirano sredstvima EU, a preostalih 60% ide na teret sredstava državnog proračuna.  </w:t>
      </w:r>
    </w:p>
    <w:p w:rsidR="00D849AA" w:rsidRDefault="00EE6D95">
      <w:pPr>
        <w:pStyle w:val="Normal6"/>
      </w:pPr>
      <w:r>
        <w:t>Predviđeno vrijeme trajanje projekta je do kraja 2017. godine.</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361"/>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Povećanje broja dodijeljenih stipendija za istraživače u dolaznoj i odlaznoj mobilnosti, te u procesu reintegracije</w:t>
            </w:r>
          </w:p>
        </w:tc>
        <w:tc>
          <w:tcPr>
            <w:tcW w:w="1114" w:type="dxa"/>
          </w:tcPr>
          <w:p w:rsidR="00D849AA" w:rsidRDefault="00EE6D95">
            <w:r>
              <w:t>Broj (kumulativno)</w:t>
            </w:r>
          </w:p>
        </w:tc>
        <w:tc>
          <w:tcPr>
            <w:tcW w:w="1114" w:type="dxa"/>
          </w:tcPr>
          <w:p w:rsidR="00D849AA" w:rsidRDefault="00EE6D95">
            <w:r>
              <w:t>0</w:t>
            </w:r>
          </w:p>
        </w:tc>
        <w:tc>
          <w:tcPr>
            <w:tcW w:w="1486" w:type="dxa"/>
          </w:tcPr>
          <w:p w:rsidR="00D849AA" w:rsidRDefault="00EE6D95">
            <w:r>
              <w:t>83</w:t>
            </w:r>
          </w:p>
        </w:tc>
        <w:tc>
          <w:tcPr>
            <w:tcW w:w="1486" w:type="dxa"/>
          </w:tcPr>
          <w:p w:rsidR="00D849AA" w:rsidRDefault="00EE6D95">
            <w:r>
              <w:t>83</w:t>
            </w:r>
          </w:p>
        </w:tc>
        <w:tc>
          <w:tcPr>
            <w:tcW w:w="1486" w:type="dxa"/>
          </w:tcPr>
          <w:p w:rsidR="00D849AA" w:rsidRDefault="00EE6D95">
            <w:r>
              <w:t>83</w:t>
            </w:r>
          </w:p>
        </w:tc>
      </w:tr>
    </w:tbl>
    <w:p w:rsidR="00D849AA" w:rsidRDefault="00D849AA">
      <w:pPr>
        <w:jc w:val="left"/>
      </w:pPr>
    </w:p>
    <w:p w:rsidR="00D849AA" w:rsidRDefault="00EE6D95">
      <w:pPr>
        <w:pStyle w:val="Naslov6"/>
      </w:pPr>
      <w:r>
        <w:t>K622118 ZNANSTVENA OPREMA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K622118</w:t>
            </w:r>
          </w:p>
        </w:tc>
        <w:tc>
          <w:tcPr>
            <w:tcW w:w="1486" w:type="dxa"/>
          </w:tcPr>
          <w:p w:rsidR="00D849AA" w:rsidRDefault="00EE6D95">
            <w:r>
              <w:t>480.000</w:t>
            </w:r>
          </w:p>
        </w:tc>
        <w:tc>
          <w:tcPr>
            <w:tcW w:w="1486" w:type="dxa"/>
          </w:tcPr>
          <w:p w:rsidR="00D849AA" w:rsidRDefault="00EE6D95">
            <w:r>
              <w:t>480.000</w:t>
            </w:r>
          </w:p>
        </w:tc>
        <w:tc>
          <w:tcPr>
            <w:tcW w:w="1486" w:type="dxa"/>
          </w:tcPr>
          <w:p w:rsidR="00D849AA" w:rsidRDefault="00EE6D95">
            <w:r>
              <w:t>442.376</w:t>
            </w:r>
          </w:p>
        </w:tc>
        <w:tc>
          <w:tcPr>
            <w:tcW w:w="1486" w:type="dxa"/>
          </w:tcPr>
          <w:p w:rsidR="00D849AA" w:rsidRDefault="00EE6D95">
            <w:r>
              <w:t>440.164</w:t>
            </w:r>
          </w:p>
        </w:tc>
        <w:tc>
          <w:tcPr>
            <w:tcW w:w="1486" w:type="dxa"/>
          </w:tcPr>
          <w:p w:rsidR="00D849AA" w:rsidRDefault="00EE6D95">
            <w:r>
              <w:t>100,0</w:t>
            </w:r>
          </w:p>
        </w:tc>
      </w:tr>
    </w:tbl>
    <w:p w:rsidR="00D849AA" w:rsidRDefault="00D849AA">
      <w:pPr>
        <w:jc w:val="left"/>
      </w:pPr>
    </w:p>
    <w:p w:rsidR="00D849AA" w:rsidRDefault="00EE6D95">
      <w:pPr>
        <w:pStyle w:val="Normal6"/>
      </w:pPr>
      <w:r>
        <w:t>U svrhu kontinuiranog i sustavnog ulaganja u znanost i tehnologiju u Republici Hrvatskoj, Ministarstvo znanosti, obrazovanja i sporta je do 2010. godine planski pristupalo financiranju znanstvene opreme, temeljem javnih nabavki na znanstvenim ustanovama. Međutim, uslijed financijske krize unazad par godina financiranje s ove aktivnosti je izrazito oskudno i glavni razlog neraspisivanja javnog natječaja za nabavku znanstvene opreme. Zbog toga će se planirana financijska sredstva utrošiti na hitne popravke i intervencije nad postojećom znanstvenom opremom nužnom za neometano i kvalitetno provođenje znanstvenih istraživanja.</w:t>
      </w:r>
    </w:p>
    <w:p w:rsidR="001A0148" w:rsidRDefault="001A0148">
      <w:pPr>
        <w:pStyle w:val="Normal6"/>
      </w:pPr>
    </w:p>
    <w:p w:rsidR="001A0148" w:rsidRDefault="001A0148">
      <w:pPr>
        <w:pStyle w:val="Normal6"/>
      </w:pPr>
    </w:p>
    <w:p w:rsidR="00D849AA" w:rsidRDefault="00EE6D95">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2229"/>
        <w:gridCol w:w="1361"/>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Povećanje broja novih znanstveno-istraživačkih i inovacijskih kapaciteta</w:t>
            </w:r>
          </w:p>
        </w:tc>
        <w:tc>
          <w:tcPr>
            <w:tcW w:w="1114" w:type="dxa"/>
          </w:tcPr>
          <w:p w:rsidR="00D849AA" w:rsidRDefault="00EE6D95">
            <w:r>
              <w:t>Broj (kumulativno)</w:t>
            </w:r>
          </w:p>
        </w:tc>
        <w:tc>
          <w:tcPr>
            <w:tcW w:w="1114" w:type="dxa"/>
          </w:tcPr>
          <w:p w:rsidR="00D849AA" w:rsidRDefault="00EE6D95">
            <w:r>
              <w:t>7 (2009.)</w:t>
            </w:r>
          </w:p>
        </w:tc>
        <w:tc>
          <w:tcPr>
            <w:tcW w:w="1486" w:type="dxa"/>
          </w:tcPr>
          <w:p w:rsidR="00D849AA" w:rsidRDefault="00EE6D95">
            <w:r>
              <w:t>9</w:t>
            </w:r>
          </w:p>
        </w:tc>
        <w:tc>
          <w:tcPr>
            <w:tcW w:w="1486" w:type="dxa"/>
          </w:tcPr>
          <w:p w:rsidR="00D849AA" w:rsidRDefault="00EE6D95">
            <w:r>
              <w:t>11</w:t>
            </w:r>
          </w:p>
        </w:tc>
        <w:tc>
          <w:tcPr>
            <w:tcW w:w="1486" w:type="dxa"/>
          </w:tcPr>
          <w:p w:rsidR="00D849AA" w:rsidRDefault="00EE6D95">
            <w:r>
              <w:t>15</w:t>
            </w:r>
          </w:p>
        </w:tc>
      </w:tr>
    </w:tbl>
    <w:p w:rsidR="00D849AA" w:rsidRDefault="00D849AA">
      <w:pPr>
        <w:jc w:val="left"/>
      </w:pPr>
    </w:p>
    <w:p w:rsidR="00D849AA" w:rsidRDefault="00EE6D95">
      <w:pPr>
        <w:pStyle w:val="Naslov6"/>
      </w:pPr>
      <w:r>
        <w:t>A767029 DRUGI PROJEKT TEHNOLOGIJSKOG RAZVOJA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A767029</w:t>
            </w:r>
          </w:p>
        </w:tc>
        <w:tc>
          <w:tcPr>
            <w:tcW w:w="1486" w:type="dxa"/>
          </w:tcPr>
          <w:p w:rsidR="00D849AA" w:rsidRDefault="00EE6D95">
            <w:r>
              <w:t>25.787.000</w:t>
            </w:r>
          </w:p>
        </w:tc>
        <w:tc>
          <w:tcPr>
            <w:tcW w:w="1486" w:type="dxa"/>
          </w:tcPr>
          <w:p w:rsidR="00D849AA" w:rsidRDefault="00EE6D95">
            <w:r>
              <w:t>36.484.955</w:t>
            </w:r>
          </w:p>
        </w:tc>
        <w:tc>
          <w:tcPr>
            <w:tcW w:w="1486" w:type="dxa"/>
          </w:tcPr>
          <w:p w:rsidR="00D849AA" w:rsidRDefault="00EE6D95">
            <w:r>
              <w:t>28.206.566</w:t>
            </w:r>
          </w:p>
        </w:tc>
        <w:tc>
          <w:tcPr>
            <w:tcW w:w="1486" w:type="dxa"/>
          </w:tcPr>
          <w:p w:rsidR="00D849AA" w:rsidRDefault="00EE6D95">
            <w:r>
              <w:t>22.830.729</w:t>
            </w:r>
          </w:p>
        </w:tc>
        <w:tc>
          <w:tcPr>
            <w:tcW w:w="1486" w:type="dxa"/>
          </w:tcPr>
          <w:p w:rsidR="00D849AA" w:rsidRDefault="00EE6D95">
            <w:r>
              <w:t>141,5</w:t>
            </w:r>
          </w:p>
        </w:tc>
      </w:tr>
    </w:tbl>
    <w:p w:rsidR="00D849AA" w:rsidRDefault="00D849AA">
      <w:pPr>
        <w:jc w:val="left"/>
      </w:pPr>
    </w:p>
    <w:p w:rsidR="00D849AA" w:rsidRDefault="00EE6D95">
      <w:pPr>
        <w:pStyle w:val="Normal6"/>
      </w:pPr>
      <w:r>
        <w:t>Drugi projekt tehnologijskog razvoja (STP II), aktivnost koja je financirana zajmom Svjetske banke, nastavak je Projekta tehnologijskog razvoja završenog u svibnju 2011. Svrha STP II je pripremiti hrvatske institucije za kvalitetnu apsorpciju sredstava iz strukturnih fondova namijenjenih istraživanju i razvoju. Projekt je sastavljen od dvije komponente: sufinaciranje programa BICRO-a i Fonda 'Jedinstvo uz pomoć znanja (UKF-a) te tehnička pomoć institucijama u pripremi za upravljanje sredstvima iz EU fondova. STP II postao je efektivan 1.kolovoza 2013. godine, a planirani završetak projekta je u 2017. godini. Ukupno se planira utrošiti oko 20.000.000,00 eura zajma IBRD uz učešće Republike Hrvatske od 4.000.000,00 eura.</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83"/>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Povećanje broja projekata financiranih sredstvima Europske unije</w:t>
            </w:r>
          </w:p>
        </w:tc>
        <w:tc>
          <w:tcPr>
            <w:tcW w:w="1114" w:type="dxa"/>
          </w:tcPr>
          <w:p w:rsidR="00D849AA" w:rsidRDefault="00EE6D95">
            <w:r>
              <w:t>Broj projekata financiranih sredstvima Europske unije</w:t>
            </w:r>
          </w:p>
        </w:tc>
        <w:tc>
          <w:tcPr>
            <w:tcW w:w="1114" w:type="dxa"/>
          </w:tcPr>
          <w:p w:rsidR="00D849AA" w:rsidRDefault="00EE6D95">
            <w:r>
              <w:t>232 (2012.)</w:t>
            </w:r>
          </w:p>
        </w:tc>
        <w:tc>
          <w:tcPr>
            <w:tcW w:w="1486" w:type="dxa"/>
          </w:tcPr>
          <w:p w:rsidR="00D849AA" w:rsidRDefault="00EE6D95">
            <w:r>
              <w:t>242</w:t>
            </w:r>
          </w:p>
        </w:tc>
        <w:tc>
          <w:tcPr>
            <w:tcW w:w="1486" w:type="dxa"/>
          </w:tcPr>
          <w:p w:rsidR="00D849AA" w:rsidRDefault="00EE6D95">
            <w:r>
              <w:t>292</w:t>
            </w:r>
          </w:p>
        </w:tc>
        <w:tc>
          <w:tcPr>
            <w:tcW w:w="1486" w:type="dxa"/>
          </w:tcPr>
          <w:p w:rsidR="00D849AA" w:rsidRDefault="00EE6D95">
            <w:r>
              <w:t>352</w:t>
            </w:r>
          </w:p>
        </w:tc>
      </w:tr>
    </w:tbl>
    <w:p w:rsidR="00D849AA" w:rsidRDefault="00D849AA">
      <w:pPr>
        <w:jc w:val="left"/>
      </w:pPr>
    </w:p>
    <w:p w:rsidR="00D849AA" w:rsidRDefault="00EE6D95">
      <w:pPr>
        <w:pStyle w:val="Naslov6"/>
      </w:pPr>
      <w:r>
        <w:t>A628003 PROJEKTI PRIMJENE INFORMACIJSKE TEHNOLOGIJE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A628003</w:t>
            </w:r>
          </w:p>
        </w:tc>
        <w:tc>
          <w:tcPr>
            <w:tcW w:w="1486" w:type="dxa"/>
          </w:tcPr>
          <w:p w:rsidR="00D849AA" w:rsidRDefault="00EE6D95">
            <w:r>
              <w:t>2.371.200</w:t>
            </w:r>
          </w:p>
        </w:tc>
        <w:tc>
          <w:tcPr>
            <w:tcW w:w="1486" w:type="dxa"/>
          </w:tcPr>
          <w:p w:rsidR="00D849AA" w:rsidRDefault="00EE6D95">
            <w:r>
              <w:t>2.347.488</w:t>
            </w:r>
          </w:p>
        </w:tc>
        <w:tc>
          <w:tcPr>
            <w:tcW w:w="1486" w:type="dxa"/>
          </w:tcPr>
          <w:p w:rsidR="00D849AA" w:rsidRDefault="00EE6D95">
            <w:r>
              <w:t>2.163.485</w:t>
            </w:r>
          </w:p>
        </w:tc>
        <w:tc>
          <w:tcPr>
            <w:tcW w:w="1486" w:type="dxa"/>
          </w:tcPr>
          <w:p w:rsidR="00D849AA" w:rsidRDefault="00EE6D95">
            <w:r>
              <w:t>2.152.668</w:t>
            </w:r>
          </w:p>
        </w:tc>
        <w:tc>
          <w:tcPr>
            <w:tcW w:w="1486" w:type="dxa"/>
          </w:tcPr>
          <w:p w:rsidR="00D849AA" w:rsidRDefault="00EE6D95">
            <w:r>
              <w:t>99,0</w:t>
            </w:r>
          </w:p>
        </w:tc>
      </w:tr>
    </w:tbl>
    <w:p w:rsidR="00D849AA" w:rsidRDefault="00D849AA">
      <w:pPr>
        <w:jc w:val="left"/>
      </w:pPr>
    </w:p>
    <w:p w:rsidR="00D849AA" w:rsidRDefault="00EE6D95">
      <w:pPr>
        <w:pStyle w:val="Normal6"/>
      </w:pPr>
      <w:r>
        <w:t xml:space="preserve">U okviru aktivnosti planirana su sredstva za javni poziv za financiranje projektata primjene informacijske tehnologije za unaprijeđenje kvalitete sustava visokog </w:t>
      </w:r>
      <w:r>
        <w:lastRenderedPageBreak/>
        <w:t>obrazovanja. Također, u okviru ove aktivnosti planirana su sredstva za projektiranje novih informacijskih sustava visokog obrazovanja.</w:t>
      </w:r>
    </w:p>
    <w:p w:rsidR="001A0148" w:rsidRDefault="001A0148" w:rsidP="001A0148">
      <w:pPr>
        <w:pStyle w:val="Naslov4"/>
      </w:pPr>
      <w:r>
        <w:t>OBRAZLOŽENJE PROGRAMA</w:t>
      </w:r>
    </w:p>
    <w:p w:rsidR="00D849AA" w:rsidRDefault="00EE6D95">
      <w:pPr>
        <w:pStyle w:val="Naslov5"/>
      </w:pPr>
      <w:r>
        <w:t>3915 RAZVOJ SPORTA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3915</w:t>
            </w:r>
          </w:p>
        </w:tc>
        <w:tc>
          <w:tcPr>
            <w:tcW w:w="1486" w:type="dxa"/>
          </w:tcPr>
          <w:p w:rsidR="00D849AA" w:rsidRDefault="00EE6D95">
            <w:r>
              <w:t>172.742.803</w:t>
            </w:r>
          </w:p>
        </w:tc>
        <w:tc>
          <w:tcPr>
            <w:tcW w:w="1486" w:type="dxa"/>
          </w:tcPr>
          <w:p w:rsidR="00D849AA" w:rsidRDefault="00EE6D95">
            <w:r>
              <w:t>185.974.898</w:t>
            </w:r>
          </w:p>
        </w:tc>
        <w:tc>
          <w:tcPr>
            <w:tcW w:w="1486" w:type="dxa"/>
          </w:tcPr>
          <w:p w:rsidR="00D849AA" w:rsidRDefault="00EE6D95">
            <w:r>
              <w:t>184.145.172</w:t>
            </w:r>
          </w:p>
        </w:tc>
        <w:tc>
          <w:tcPr>
            <w:tcW w:w="1486" w:type="dxa"/>
          </w:tcPr>
          <w:p w:rsidR="00D849AA" w:rsidRDefault="00EE6D95">
            <w:r>
              <w:t>189.471.292</w:t>
            </w:r>
          </w:p>
        </w:tc>
        <w:tc>
          <w:tcPr>
            <w:tcW w:w="1486" w:type="dxa"/>
          </w:tcPr>
          <w:p w:rsidR="00D849AA" w:rsidRDefault="00EE6D95">
            <w:r>
              <w:t>107,6</w:t>
            </w:r>
          </w:p>
        </w:tc>
      </w:tr>
    </w:tbl>
    <w:p w:rsidR="00D849AA" w:rsidRDefault="00D849AA">
      <w:pPr>
        <w:jc w:val="left"/>
      </w:pPr>
    </w:p>
    <w:p w:rsidR="00D849AA" w:rsidRDefault="00EE6D95">
      <w:pPr>
        <w:pStyle w:val="Naslov6"/>
      </w:pPr>
      <w:r>
        <w:t>Opis programa</w:t>
      </w:r>
    </w:p>
    <w:p w:rsidR="00D849AA" w:rsidRDefault="00EE6D95">
      <w:pPr>
        <w:pStyle w:val="Normal5"/>
      </w:pPr>
      <w:r>
        <w:t xml:space="preserve">Razvoj i održiva kvaliteta sustava sporta i sportskih djelatnosti usmjereni su prije svega na promicanje bavljenja sportom i to od najranije dobi, stvaranje uvjeta ravnomjerne zastupljenosti bavljenja sportom na čitavom području Republike Hrvatske, izrađivanje planova izgradnje, obnove i održavanja sportskih građevina te razvijanje i koordiniranje suradnje s institucijama. Razvoj sporta provodi se raznim aktivnostima ustanova, odbora i slično. </w:t>
      </w:r>
    </w:p>
    <w:p w:rsidR="00D849AA" w:rsidRDefault="00EE6D95">
      <w:pPr>
        <w:pStyle w:val="Normal5"/>
      </w:pPr>
      <w:r>
        <w:t xml:space="preserve">Sport je posebno važna djelatnost, kako za mlade, tako i za cijelo društvo. Financiranjem sporta omogućava se razvoj sporta od najmlađe dobi, preko rekreativnog do vrhunskog i profesionalnog sporta. U idućem trogodišnjem razdoblju potrebno je snažnije se uključiti u potporu razvoja sporta i bavljenja sportom te unaprijediti rekreativno, zdravstveno, školsko, profesionalno i promotivno značenje sporta i sportaša, kao i uključivanje većeg broja stanovništva u bavljenje zdravstveno preventivnim sportskim aktivnostima. Jedan od važnijih ciljeva je uključivanje što većeg broja učenika i učenica u školski sport te usustavljivanje organizacije rada školskih sportskih društava kako bi ona postala najmasovniji sportski sustav u zemlji i temelj školskoga sporta. Kao potpora programima javnih potreba u sportu na državnoj razini (Zakon o sportu, NN, 71/06,124/10, 124/11, 86/2012 i 94/13) iz sredstava Državnoga proračuna i iz dijela prihoda od igara na sreću (Uredba o kriterijima za utvrđivanje korisnika i načinu raspodjele dijela prihoda od igara na sreću) osiguravaju se financijska sredstva za provođenje programa Hrvatskoga olimpijskog odbora (HOO), Hrvatskoga paraolimpijskog odbora (HPO), Hrvatskoga sportskog saveza gluhih (HSSG), Hrvatskoga školskog sportskog saveza (HŠSS) i Hrvatskoga akademskog sportskog savez (HASS). Iz sredstava državnoga proračuna sufinanciraju se programi izvaninstitucionalnoga odgoja i obrazovanja uz pomoć sporta za aktivnosti: Poticaji međunarodne sportske suradnje, Prevencija nasilja sportom u školama, Obuka neplivača u školama i Poticaji amaterskog sporta i sportske rekreacije. Za Državne nagrade za vrhunska sportska postignuća sukladno odredbama Zakona o sportu (NN 71/06,124/10, 124/11, 86/2012 i 94/13) i Uredbe o kriterijima za dodjeljivanje državnih nagrada za vrhunska sportska postignuća (NN 111/12 i 134/12) osigurana se sredstva za osvojene zlatne, srebrne i brončane medalje na olimpijskim igrama, paraolimpijskim igrama i olimpijskim igrama gluhih te za  osvojene zlatne, srebrne i brončane medalje na svjetskim i europskim seniorskim prvenstvima u olimpijskim i paraolimpijskim sportovima i disciplinama te u olimpijskim sportovima i disciplinama za gluhe. Odredbama Zakona o sportu i na temelju Uredbe o dodjeljivanju trajnih novčanih mjesečnih naknada (NN, 113/13) osigurana su sredstva za trajne novčane naknade, kao državno priznanje sportašima koji su osvojili medalje i na taj način zadužili Republiku Hrvatsku. </w:t>
      </w:r>
    </w:p>
    <w:p w:rsidR="00D849AA" w:rsidRDefault="00EE6D95">
      <w:pPr>
        <w:pStyle w:val="Normal5"/>
      </w:pPr>
      <w:r>
        <w:lastRenderedPageBreak/>
        <w:t>Provedba Programa 3915 Razvoj sporta vezana je uz ostvarivanje općeg cilja 3. Održiva kvaliteta razvoja sporta u Strateškom planu Ministarstva znanosti, obrazovanja i sporta za razdoblje 2014.-2016.</w:t>
      </w:r>
    </w:p>
    <w:p w:rsidR="00D849AA" w:rsidRDefault="00EE6D95">
      <w:pPr>
        <w:pStyle w:val="Naslov6"/>
      </w:pPr>
      <w:r>
        <w:t>Zakonske i druge pravne osnove</w:t>
      </w:r>
    </w:p>
    <w:p w:rsidR="00D849AA" w:rsidRDefault="00EE6D95">
      <w:pPr>
        <w:pStyle w:val="Normal5"/>
      </w:pPr>
      <w:r>
        <w:t xml:space="preserve">Zakon o sportu (NN 71/06,124/10, 124/11, 86/12 i 94/13) </w:t>
      </w:r>
    </w:p>
    <w:p w:rsidR="00D849AA" w:rsidRDefault="00EE6D95">
      <w:pPr>
        <w:pStyle w:val="Normal5"/>
      </w:pPr>
      <w:r>
        <w:t xml:space="preserve">Uredba o kriterijima za dodjeljivanje državnih nagrada za vrhunska sportska postignuća (NN 111/12 i 134/12) </w:t>
      </w:r>
    </w:p>
    <w:p w:rsidR="00D849AA" w:rsidRDefault="00EE6D95">
      <w:pPr>
        <w:pStyle w:val="Normal5"/>
      </w:pPr>
      <w:r>
        <w:t xml:space="preserve">Uredba o dodjeljivanju trajnih novčanih mjesečnih naknada (NN 113/13) </w:t>
      </w:r>
    </w:p>
    <w:p w:rsidR="00D849AA" w:rsidRDefault="00EE6D95">
      <w:pPr>
        <w:pStyle w:val="Normal5"/>
      </w:pPr>
      <w:r>
        <w:t xml:space="preserve">Pravilnik o Državnoj nagradi za sport „Franjo Bučar“  (NN 30/07) </w:t>
      </w:r>
    </w:p>
    <w:p w:rsidR="00D849AA" w:rsidRDefault="00EE6D95">
      <w:pPr>
        <w:pStyle w:val="Normal5"/>
      </w:pPr>
      <w:r>
        <w:t xml:space="preserve">Pravilnik o djelokrugu i načinu rada Povjerenstva za profesionalne sportske klubove (NN 11/07) </w:t>
      </w:r>
    </w:p>
    <w:p w:rsidR="00D849AA" w:rsidRDefault="00EE6D95">
      <w:pPr>
        <w:pStyle w:val="Normal5"/>
      </w:pPr>
      <w:r>
        <w:t xml:space="preserve">Pravilnik o registru profesionalnih sportskih klubova (NN 11/07) </w:t>
      </w:r>
    </w:p>
    <w:p w:rsidR="00D849AA" w:rsidRDefault="00EE6D95">
      <w:pPr>
        <w:pStyle w:val="Normal5"/>
      </w:pPr>
      <w:r>
        <w:t xml:space="preserve">Pravilnik  o načinu i rokovima podnošenja akata Povjerenstvu za profesionalne sportske klubove (NN 11/07) </w:t>
      </w:r>
    </w:p>
    <w:p w:rsidR="00D849AA" w:rsidRDefault="00EE6D95">
      <w:pPr>
        <w:pStyle w:val="Normal5"/>
      </w:pPr>
      <w:r>
        <w:t>Pravilnik  o registru profesionalnih sportskih klubova (NN 11/07)</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 xml:space="preserve">Cilj 1. Osiguranje kvalitete sustava sporta i poboljšanje uvjeta za bavljenje sportom ostvarivanjem javnih potreba u sportu, potporom školskome i studentskome sportu te poticanjem izvaninstitucionalnoga odgoja i obrazovanja uz pomoć sporta u Strateškom planu Ministarstva znanosti, obrazovanja i sporta za razdoblje 2014.-2016. </w:t>
      </w:r>
    </w:p>
    <w:p w:rsidR="00D849AA" w:rsidRDefault="00EE6D95">
      <w:pPr>
        <w:pStyle w:val="Normal6"/>
      </w:pPr>
      <w:r>
        <w:t xml:space="preserve">Tjelesno vježbanje i sport sastavni su dio odgojno-obrazovanoga sustava. Za zdravi rast pojedinca i njegov razvoj potrebno je od najranije dobi promicati bavljenje sportom djece, mladih i studenata. Jednako tako, od najranije dobi potrebno je provoditi programe stvaranja uvjeta za ravnomjerno zastupljeno bavljenje sportom u odgojno-obrazovnom sustavu radi osobnog razvoja i zdravlja te prevencije i zaštite pojedinca i zajednice, kao i postignuća vrhunskih rezultata na međunarodnim natjecanjima. Financiranjem javnih potreba u sportu za djelovanje Hrvatskoga olimpijskog odbora (HOO), Hrvatskoga paraolimpijskog odbora (HPO) i Hrvatskoga sportskog saveza gluhih (HSSG) stvaraju se uvjeti za razvoj vrhunskog sporta te povećanje broja kategoriziranih sportaša. HOO, HPO i HSSG potiču i skrbe o razvoju sporta i promicanju sporta na državnoj, lokalnoj i regionalnoj razini. Obuhvaćaju provedbu pripreme sportaša i organizacijske pripreme za sudjelovanje na olimpijskim, paraolimpijskim i olimpijskim igrama gluhih kao i njihovo sudjelovanje na ostalim međunarodnim natjecanjima te realizaciju redovitih programa nacionalnih sportskih saveza, realizaciju razvojnih programa, unapređivanje zdravstvene zaštite sportaša i suradnju s međunarodnim institucijama. </w:t>
      </w:r>
    </w:p>
    <w:p w:rsidR="00D849AA" w:rsidRDefault="00EE6D95">
      <w:pPr>
        <w:pStyle w:val="Normal6"/>
      </w:pPr>
      <w:r>
        <w:t xml:space="preserve">Financiranjem javnih potreba na državnoj razini za djelovanje Hrvatskoga školskog sportskog saveza i Hrvatskoga akademskog sportskog saveza želi se povećati broj učenika i studenata uključenih u rad školskih sportskih društava odnosno akademskih sportskih udruga. Isto tako planira se uspostaviti različitiji sustav natjecanja te povećati broj i vrstu sportskih sadržaja koji se nude. Davanjem potpore programima izvaninstitucionalnoga odgoja i obrazovanja uz pomoć sporta stvaraju se uvjeti za održanjem, ali i povećanjem broja korisnika uključenih u sportske programe.  </w:t>
      </w:r>
    </w:p>
    <w:p w:rsidR="00D849AA" w:rsidRDefault="00EE6D95">
      <w:pPr>
        <w:pStyle w:val="Normal6"/>
      </w:pPr>
      <w:r>
        <w:lastRenderedPageBreak/>
        <w:t>Provođenjem preventivnih programa u školama vezanim uz Akcijski plan za provedbu mjera edukacije u borbi protiv nasilja u sportu, na sportskim natjecanjima i izvan njih želi se povećati broj održanih stručnih skupova vezanih uz pripremu i provedbu školsk</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Osiguranje kvalitete sustava sporta i poboljšane uvjeta za bavljenje sportom ostvarivanjem javnih potreba u sportu , potporom školskome i studentskome sportu te poticanjem izvaninstitucionalnoga odgoja i obrazovanja uz pomoć sporta</w:t>
            </w:r>
          </w:p>
        </w:tc>
        <w:tc>
          <w:tcPr>
            <w:tcW w:w="1114" w:type="dxa"/>
          </w:tcPr>
          <w:p w:rsidR="00D849AA" w:rsidRDefault="00EE6D95">
            <w:r>
              <w:t>Broj (godišnje</w:t>
            </w:r>
          </w:p>
        </w:tc>
        <w:tc>
          <w:tcPr>
            <w:tcW w:w="1114" w:type="dxa"/>
          </w:tcPr>
          <w:p w:rsidR="00D849AA" w:rsidRDefault="00EE6D95">
            <w:r>
              <w:t>588</w:t>
            </w:r>
          </w:p>
        </w:tc>
        <w:tc>
          <w:tcPr>
            <w:tcW w:w="1486" w:type="dxa"/>
          </w:tcPr>
          <w:p w:rsidR="00D849AA" w:rsidRDefault="00EE6D95">
            <w:r>
              <w:t>590</w:t>
            </w:r>
          </w:p>
        </w:tc>
        <w:tc>
          <w:tcPr>
            <w:tcW w:w="1486" w:type="dxa"/>
          </w:tcPr>
          <w:p w:rsidR="00D849AA" w:rsidRDefault="00EE6D95">
            <w:r>
              <w:t>590</w:t>
            </w:r>
          </w:p>
        </w:tc>
        <w:tc>
          <w:tcPr>
            <w:tcW w:w="1486" w:type="dxa"/>
          </w:tcPr>
          <w:p w:rsidR="00D849AA" w:rsidRDefault="00EE6D95">
            <w:r>
              <w:t>590</w:t>
            </w:r>
          </w:p>
        </w:tc>
      </w:tr>
    </w:tbl>
    <w:p w:rsidR="00D849AA" w:rsidRDefault="00D849AA">
      <w:pPr>
        <w:jc w:val="left"/>
      </w:pPr>
    </w:p>
    <w:p w:rsidR="00D849AA" w:rsidRDefault="00EE6D95">
      <w:pPr>
        <w:pStyle w:val="Naslov5"/>
      </w:pPr>
      <w:r>
        <w:t>Procjena i ishodište potrebnih sredstava za značajnije aktivnosti/projekte</w:t>
      </w:r>
    </w:p>
    <w:p w:rsidR="00D849AA" w:rsidRDefault="00EE6D95">
      <w:pPr>
        <w:pStyle w:val="Naslov6"/>
      </w:pPr>
      <w:r>
        <w:t>A577030 POTICANJE PROGRAMA JAVNIH POTREBA SPORTA (HOO)</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A577030</w:t>
            </w:r>
          </w:p>
        </w:tc>
        <w:tc>
          <w:tcPr>
            <w:tcW w:w="1486" w:type="dxa"/>
          </w:tcPr>
          <w:p w:rsidR="00D849AA" w:rsidRDefault="00EE6D95">
            <w:r>
              <w:t>100.364.354</w:t>
            </w:r>
          </w:p>
        </w:tc>
        <w:tc>
          <w:tcPr>
            <w:tcW w:w="1486" w:type="dxa"/>
          </w:tcPr>
          <w:p w:rsidR="00D849AA" w:rsidRDefault="00EE6D95">
            <w:r>
              <w:t>98.183.230</w:t>
            </w:r>
          </w:p>
        </w:tc>
        <w:tc>
          <w:tcPr>
            <w:tcW w:w="1486" w:type="dxa"/>
          </w:tcPr>
          <w:p w:rsidR="00D849AA" w:rsidRDefault="00EE6D95">
            <w:r>
              <w:t>101.550.915</w:t>
            </w:r>
          </w:p>
        </w:tc>
        <w:tc>
          <w:tcPr>
            <w:tcW w:w="1486" w:type="dxa"/>
          </w:tcPr>
          <w:p w:rsidR="00D849AA" w:rsidRDefault="00EE6D95">
            <w:r>
              <w:t>104.841.164</w:t>
            </w:r>
          </w:p>
        </w:tc>
        <w:tc>
          <w:tcPr>
            <w:tcW w:w="1486" w:type="dxa"/>
          </w:tcPr>
          <w:p w:rsidR="00D849AA" w:rsidRDefault="00EE6D95">
            <w:r>
              <w:t>97,8</w:t>
            </w:r>
          </w:p>
        </w:tc>
      </w:tr>
    </w:tbl>
    <w:p w:rsidR="00D849AA" w:rsidRDefault="00D849AA">
      <w:pPr>
        <w:jc w:val="left"/>
      </w:pPr>
    </w:p>
    <w:p w:rsidR="00D849AA" w:rsidRDefault="00EE6D95">
      <w:pPr>
        <w:pStyle w:val="Normal6"/>
      </w:pPr>
      <w:r>
        <w:t xml:space="preserve">Hrvatski olimpijski odbor najviša je nevladina nacionalna sportska udruga u koju se udružuju nacionalni sportski savezi, sportske zajednice u županijama i Gradu Zagrebu i druge udruge čija je djelatnost od značaja za razvoj sporta i olimpijskog pokreta u Republici Hrvatskoj. Ciljevi HOO-a su predstavljanje cjelokupnog hrvatskog sporta pred Međunarodnim olimpijskim odborom i odgovarajućim međunarodnim sportskim organizacijama i udruženjima, usklađivanje, poticanje i skrb o aktivnostima sportskih saveza, skrb o razvoju i promicanju sporta na državnoj razini uz poticanje organizacije i usklađivanje sporta na razini županija, gradova i općina te poticanje, promicanje i skrb o svekolikom hrvatskom sportu. Punopravni članovi HOO-a su 38 sportskih saveza olimpijskih sportova, 33 sportska saveza neolimpijskih sportova, 21 zajednica sportskih udruga i saveza županija i Grada Zagreba te Hrvatski klub olimpijaca. Pridruženi članovi su 7 udruga i ustanova iz sporta i 8 sportskih saveza te 2 člana s privremenim statusom. </w:t>
      </w:r>
    </w:p>
    <w:p w:rsidR="00D849AA" w:rsidRDefault="00EE6D95">
      <w:pPr>
        <w:pStyle w:val="Normal6"/>
      </w:pPr>
      <w:r>
        <w:t xml:space="preserve">Projekcija proračuna HOO-a za razdoblje od 2014. do 2016. godine izrađena je u s skladu s ciljevima i zadaćama HOO-a, kao i u skladu s predloženim smjernicama Vlade RH.   </w:t>
      </w:r>
    </w:p>
    <w:p w:rsidR="00D849AA" w:rsidRDefault="00EE6D95">
      <w:pPr>
        <w:pStyle w:val="Normal6"/>
      </w:pPr>
      <w:r>
        <w:t xml:space="preserve">Ciljevi za razdoblje od 2014. do 2016. godine </w:t>
      </w:r>
    </w:p>
    <w:p w:rsidR="00D849AA" w:rsidRDefault="00EE6D95">
      <w:pPr>
        <w:pStyle w:val="Normal6"/>
      </w:pPr>
      <w:r>
        <w:t xml:space="preserve">• Realizacija Projekta ZOI Soči 2014.  </w:t>
      </w:r>
    </w:p>
    <w:p w:rsidR="00D849AA" w:rsidRDefault="00EE6D95">
      <w:pPr>
        <w:pStyle w:val="Normal6"/>
      </w:pPr>
      <w:r>
        <w:t xml:space="preserve">• Provedba Projekta  OI Rio 2016.g.  </w:t>
      </w:r>
    </w:p>
    <w:p w:rsidR="00D849AA" w:rsidRDefault="00EE6D95">
      <w:pPr>
        <w:pStyle w:val="Normal6"/>
      </w:pPr>
      <w:r>
        <w:t xml:space="preserve">• U 2015. godini je u planu održavanje novog višesportskog natjecanja pod nazivom Europske  igre u kojima se planira sudjelovanje  velikog broja hrvatskih sportaša </w:t>
      </w:r>
    </w:p>
    <w:p w:rsidR="00D849AA" w:rsidRDefault="00EE6D95">
      <w:pPr>
        <w:pStyle w:val="Normal6"/>
      </w:pPr>
      <w:r>
        <w:lastRenderedPageBreak/>
        <w:t xml:space="preserve">• Nastavak skrbi o sportašima u razvojnim programima HOO-a.   </w:t>
      </w:r>
    </w:p>
    <w:p w:rsidR="00D849AA" w:rsidRDefault="00EE6D95">
      <w:pPr>
        <w:pStyle w:val="Normal6"/>
      </w:pPr>
      <w:r>
        <w:t xml:space="preserve">• Briga o zdravstvenoj skrbi sportaša u svim programima HOO-a.   </w:t>
      </w:r>
    </w:p>
    <w:p w:rsidR="00D849AA" w:rsidRDefault="00EE6D95">
      <w:pPr>
        <w:pStyle w:val="Normal6"/>
      </w:pPr>
      <w:r>
        <w:t xml:space="preserve">• Daljnja potpora stručnom radu kroz programe angažiranje trenera. </w:t>
      </w:r>
    </w:p>
    <w:p w:rsidR="00D849AA" w:rsidRDefault="00EE6D95">
      <w:pPr>
        <w:pStyle w:val="Normal6"/>
      </w:pPr>
      <w:r>
        <w:t xml:space="preserve">• Suradnja s lokalnim sportskim zajednicama u cilju potpore što ravnomjernijem razvoju sporta u Republici Hrvatskoj. </w:t>
      </w:r>
    </w:p>
    <w:p w:rsidR="00D849AA" w:rsidRDefault="00EE6D95">
      <w:pPr>
        <w:pStyle w:val="Normal6"/>
      </w:pPr>
      <w:r>
        <w:t xml:space="preserve">• Kontakti s  nacionalnim olimpijskim odborima drugih zemalja i drugim međunarodnim institucijama u cilju razmjene iskustava i afirmacije hrvatskog sporta. </w:t>
      </w:r>
    </w:p>
    <w:p w:rsidR="00D849AA" w:rsidRDefault="00EE6D95">
      <w:pPr>
        <w:pStyle w:val="Normal6"/>
      </w:pPr>
      <w:r>
        <w:t xml:space="preserve">• Uključivanje (kroz projekte) u programe olimpijske solidarnosti Međunarodnog olimpijskog odbora radi ostvarivanje stručne, financijske i administrativne pomoći sportašima, trenerima i HOO-u. </w:t>
      </w:r>
    </w:p>
    <w:p w:rsidR="00D849AA" w:rsidRDefault="00EE6D95">
      <w:pPr>
        <w:pStyle w:val="Normal6"/>
      </w:pPr>
      <w:r>
        <w:t>• Nastavak promocije hrvatskog sporta kroz specijalizirani sportski kanal SPTV, čije je stopostotni vlasnik HOO.</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Povećanje broja kategoriziranih sportaša</w:t>
            </w:r>
          </w:p>
        </w:tc>
        <w:tc>
          <w:tcPr>
            <w:tcW w:w="1114" w:type="dxa"/>
          </w:tcPr>
          <w:p w:rsidR="00D849AA" w:rsidRDefault="00EE6D95">
            <w:r>
              <w:t>Broj  (godišnje)</w:t>
            </w:r>
          </w:p>
        </w:tc>
        <w:tc>
          <w:tcPr>
            <w:tcW w:w="1114" w:type="dxa"/>
          </w:tcPr>
          <w:p w:rsidR="00D849AA" w:rsidRDefault="00EE6D95">
            <w:r>
              <w:t>3.692</w:t>
            </w:r>
          </w:p>
        </w:tc>
        <w:tc>
          <w:tcPr>
            <w:tcW w:w="1486" w:type="dxa"/>
          </w:tcPr>
          <w:p w:rsidR="00D849AA" w:rsidRDefault="00EE6D95">
            <w:r>
              <w:t>3.750</w:t>
            </w:r>
          </w:p>
        </w:tc>
        <w:tc>
          <w:tcPr>
            <w:tcW w:w="1486" w:type="dxa"/>
          </w:tcPr>
          <w:p w:rsidR="00D849AA" w:rsidRDefault="00EE6D95">
            <w:r>
              <w:t>3.800</w:t>
            </w:r>
          </w:p>
        </w:tc>
        <w:tc>
          <w:tcPr>
            <w:tcW w:w="1486" w:type="dxa"/>
          </w:tcPr>
          <w:p w:rsidR="00D849AA" w:rsidRDefault="00EE6D95">
            <w:r>
              <w:t>3.850</w:t>
            </w:r>
          </w:p>
        </w:tc>
      </w:tr>
    </w:tbl>
    <w:p w:rsidR="00D849AA" w:rsidRDefault="00D849AA">
      <w:pPr>
        <w:jc w:val="left"/>
      </w:pPr>
    </w:p>
    <w:p w:rsidR="00D849AA" w:rsidRDefault="00EE6D95">
      <w:pPr>
        <w:pStyle w:val="Naslov6"/>
      </w:pPr>
      <w:r>
        <w:t>A577031 POTICANJE BAVLJENJA SPORTOM INVALIDNIH OSOBA - HRVATSKI PARAOLIMPIJSKI ODBOR</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A577031</w:t>
            </w:r>
          </w:p>
        </w:tc>
        <w:tc>
          <w:tcPr>
            <w:tcW w:w="1486" w:type="dxa"/>
          </w:tcPr>
          <w:p w:rsidR="00D849AA" w:rsidRDefault="00EE6D95">
            <w:r>
              <w:t>9.705.708</w:t>
            </w:r>
          </w:p>
        </w:tc>
        <w:tc>
          <w:tcPr>
            <w:tcW w:w="1486" w:type="dxa"/>
          </w:tcPr>
          <w:p w:rsidR="00D849AA" w:rsidRDefault="00EE6D95">
            <w:r>
              <w:t>9.621.727</w:t>
            </w:r>
          </w:p>
        </w:tc>
        <w:tc>
          <w:tcPr>
            <w:tcW w:w="1486" w:type="dxa"/>
          </w:tcPr>
          <w:p w:rsidR="00D849AA" w:rsidRDefault="00EE6D95">
            <w:r>
              <w:t>9.752.227</w:t>
            </w:r>
          </w:p>
        </w:tc>
        <w:tc>
          <w:tcPr>
            <w:tcW w:w="1486" w:type="dxa"/>
          </w:tcPr>
          <w:p w:rsidR="00D849AA" w:rsidRDefault="00EE6D95">
            <w:r>
              <w:t>10.007.165</w:t>
            </w:r>
          </w:p>
        </w:tc>
        <w:tc>
          <w:tcPr>
            <w:tcW w:w="1486" w:type="dxa"/>
          </w:tcPr>
          <w:p w:rsidR="00D849AA" w:rsidRDefault="00EE6D95">
            <w:r>
              <w:t>99,1</w:t>
            </w:r>
          </w:p>
        </w:tc>
      </w:tr>
    </w:tbl>
    <w:p w:rsidR="00D849AA" w:rsidRDefault="00D849AA">
      <w:pPr>
        <w:jc w:val="left"/>
      </w:pPr>
    </w:p>
    <w:p w:rsidR="00D849AA" w:rsidRDefault="00EE6D95">
      <w:pPr>
        <w:pStyle w:val="Normal6"/>
      </w:pPr>
      <w:r>
        <w:t xml:space="preserve">Hrvatski paraolimpijski odbor (HPO) najviša je nevladina nacionalna sportska udruga sportaša s invaliditetom. Redovni program HPO-a obuhvaća aktivnosti koje se odvijaju svake godine i odnose se na funkcioniranje HPO-a i provođenje redovnih godišnjih programskih aktivnosti u sportu osoba s invaliditetom, a to se posebice odnosi na nastupe na europskim i svjetskim prvenstvima koja imaju najveći značaj u godišnjim kalendarima natjecanja. Sukladno osiguranim sredstvima u državnome proračunu HPO realizira postavljene ciljeve i zadaće kroz cjeline: Zajedničke programske aktivnosti-organizacija, Redovni sportski program (državna natjecanja, IPC europska i svjetska prvenstva, pripreme sportaša s invaliditetom, međunarodna natjecanja, europska klupska natjecanja), Razvoj (razvojni programi za djecu i mlade, školovanje stručnih kadrova, novi sportovi) i Posebni programske aktivnosti.  </w:t>
      </w:r>
    </w:p>
    <w:p w:rsidR="00D849AA" w:rsidRDefault="00EE6D95">
      <w:pPr>
        <w:pStyle w:val="Normal6"/>
      </w:pPr>
      <w:r>
        <w:t xml:space="preserve">Posebne programske aktivnosti predstavljaju projekti priprema i nastupa paraolimpijaca na Paraolimpoijskim igrama, kako ljetnim tako i zimskim koji obuhvaćaju aktivnosti usmjerene ka omogućavanju priprema sportaša za kvalifikaciju te stvaranja pretpostavki za kvalitetan nastup evidentirani paraolimpijskih kandidata na Igrama. Nakon održanih Paraolimpijskih igara 2012. u Londonu, 2013. godine započeo je ciklus priprema sportaša za sudjelovanje na Paraolimpoijskim igrama 2016. godine u Brazilu. U 2014. godini realizirat će se projekt Zimskih paraolimpijskih igara Soči 2014. Punopravni članovi </w:t>
      </w:r>
      <w:r>
        <w:lastRenderedPageBreak/>
        <w:t>HPO-a su 11 nacionalnih sportskih saveza osoba s invaliditetom, 11 županijskih sportskih saveza osoba s invaliditetom te 8 gradskih sportskih saveza osoba s invaliditetom.</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Povećanje broja kategoriziranih sportaša paraolimpijaca</w:t>
            </w:r>
          </w:p>
        </w:tc>
        <w:tc>
          <w:tcPr>
            <w:tcW w:w="1114" w:type="dxa"/>
          </w:tcPr>
          <w:p w:rsidR="00D849AA" w:rsidRDefault="00EE6D95">
            <w:r>
              <w:t>Broj  (godišnje)</w:t>
            </w:r>
          </w:p>
        </w:tc>
        <w:tc>
          <w:tcPr>
            <w:tcW w:w="1114" w:type="dxa"/>
          </w:tcPr>
          <w:p w:rsidR="00D849AA" w:rsidRDefault="00EE6D95">
            <w:r>
              <w:t>58</w:t>
            </w:r>
          </w:p>
        </w:tc>
        <w:tc>
          <w:tcPr>
            <w:tcW w:w="1486" w:type="dxa"/>
          </w:tcPr>
          <w:p w:rsidR="00D849AA" w:rsidRDefault="00EE6D95">
            <w:r>
              <w:t>60</w:t>
            </w:r>
          </w:p>
        </w:tc>
        <w:tc>
          <w:tcPr>
            <w:tcW w:w="1486" w:type="dxa"/>
          </w:tcPr>
          <w:p w:rsidR="00D849AA" w:rsidRDefault="00EE6D95">
            <w:r>
              <w:t>65</w:t>
            </w:r>
          </w:p>
        </w:tc>
        <w:tc>
          <w:tcPr>
            <w:tcW w:w="1486" w:type="dxa"/>
          </w:tcPr>
          <w:p w:rsidR="00D849AA" w:rsidRDefault="00EE6D95">
            <w:r>
              <w:t>70</w:t>
            </w:r>
          </w:p>
        </w:tc>
      </w:tr>
    </w:tbl>
    <w:p w:rsidR="00D849AA" w:rsidRDefault="00D849AA">
      <w:pPr>
        <w:jc w:val="left"/>
      </w:pPr>
    </w:p>
    <w:p w:rsidR="00D849AA" w:rsidRDefault="00EE6D95">
      <w:pPr>
        <w:pStyle w:val="Naslov6"/>
      </w:pPr>
      <w:r>
        <w:t>A768040 HRVATSKI SPORTSKI SAVEZ GLUHIH</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A768040</w:t>
            </w:r>
          </w:p>
        </w:tc>
        <w:tc>
          <w:tcPr>
            <w:tcW w:w="1486" w:type="dxa"/>
          </w:tcPr>
          <w:p w:rsidR="00D849AA" w:rsidRDefault="00EE6D95">
            <w:r>
              <w:t>2.136.204</w:t>
            </w:r>
          </w:p>
        </w:tc>
        <w:tc>
          <w:tcPr>
            <w:tcW w:w="1486" w:type="dxa"/>
          </w:tcPr>
          <w:p w:rsidR="00D849AA" w:rsidRDefault="00EE6D95">
            <w:r>
              <w:t>1.998.207</w:t>
            </w:r>
          </w:p>
        </w:tc>
        <w:tc>
          <w:tcPr>
            <w:tcW w:w="1486" w:type="dxa"/>
          </w:tcPr>
          <w:p w:rsidR="00D849AA" w:rsidRDefault="00EE6D95">
            <w:r>
              <w:t>2.026.421</w:t>
            </w:r>
          </w:p>
        </w:tc>
        <w:tc>
          <w:tcPr>
            <w:tcW w:w="1486" w:type="dxa"/>
          </w:tcPr>
          <w:p w:rsidR="00D849AA" w:rsidRDefault="00EE6D95">
            <w:r>
              <w:t>2.079.742</w:t>
            </w:r>
          </w:p>
        </w:tc>
        <w:tc>
          <w:tcPr>
            <w:tcW w:w="1486" w:type="dxa"/>
          </w:tcPr>
          <w:p w:rsidR="00D849AA" w:rsidRDefault="00EE6D95">
            <w:r>
              <w:t>93,5</w:t>
            </w:r>
          </w:p>
        </w:tc>
      </w:tr>
    </w:tbl>
    <w:p w:rsidR="00D849AA" w:rsidRDefault="00D849AA">
      <w:pPr>
        <w:jc w:val="left"/>
      </w:pPr>
    </w:p>
    <w:p w:rsidR="00D849AA" w:rsidRDefault="00EE6D95">
      <w:pPr>
        <w:pStyle w:val="Normal6"/>
      </w:pPr>
      <w:r>
        <w:t xml:space="preserve">Hrvatski sportski savez gluhih (HSSG)  krovni je savez  za gluhe sportaše koji udružuje 14 lokalnih i regionalnih saveza, 3 saveza po sportovima (nogomet, kuglanje, streljaštvo) i u cjelokupnom sustavu sporta gluhih preko 66 sportskih klubova sa preko 700 gluhih sportaša. HŠSG član je svjetske (ICSD), europske (EDSO) i šahovske (ICSC) asocijacije gluhih.  HSSG skrbi o nastupu gluhih sportaša na olimpijskim igrama gluhih, svjetskim i europskim prvenstvima te sudjeluje u organizaciji. Ukupno provode sportske aktivnosti u preko 15 sportova. Kroz programe koje provodi posebnu važnost daje uključivanju gluhe djece u sport koja su često izolirana u malim sredinama i imaju poteškoća u komunikaciji sa okolinom. Sportsko okruženje pruža takovoj djeci mogućnost kvalitetnije socijalizacije, edukacije, mentalnog i fizičkog razvoja kao i sve ostale prednosti koje bavljenje sportom pruža.  Sukladno osiguranim sredstvima u državnom proračunu HSSG provodi planirane aktivnosti po cjelinama: Individualni programi posebne skrbi, Razvojni programi za djecu i mlade, Školovanje stručnih kadrova i Novi sportovi. </w:t>
      </w:r>
    </w:p>
    <w:p w:rsidR="00D849AA" w:rsidRDefault="00EE6D95">
      <w:pPr>
        <w:pStyle w:val="Normal6"/>
      </w:pPr>
      <w:r>
        <w:t xml:space="preserve">Ciljevi za razdoblje od 2014. do 2016. godine: </w:t>
      </w:r>
    </w:p>
    <w:p w:rsidR="00D849AA" w:rsidRDefault="00EE6D95">
      <w:pPr>
        <w:pStyle w:val="Normal6"/>
      </w:pPr>
      <w:r>
        <w:t xml:space="preserve">• Razvojne programe za gluhu djecu i mlade kroz klubove i saveze </w:t>
      </w:r>
    </w:p>
    <w:p w:rsidR="00D849AA" w:rsidRDefault="00EE6D95">
      <w:pPr>
        <w:pStyle w:val="Normal6"/>
      </w:pPr>
      <w:r>
        <w:t xml:space="preserve">• Suradnja preko koordinatora sa svim roditeljima, starateljima, školama, ustanovama, savezima i klubovima u RH radi uključivanja gluhe djece i mladeži u sve sportske programe u interesu HSSG  </w:t>
      </w:r>
    </w:p>
    <w:p w:rsidR="00D849AA" w:rsidRDefault="00EE6D95">
      <w:pPr>
        <w:pStyle w:val="Normal6"/>
      </w:pPr>
      <w:r>
        <w:t xml:space="preserve">• Nastupi gluhih sportaša na velikim međunarodnim natjecanjima u skijanju, šahu, curlingu, nogometu, stolnom tenisu, rukometu, plivanju, badmintonu, košarci, kuglanju, malom nogometu, hrvanju, odbojci na pijesku, bowlingu </w:t>
      </w:r>
    </w:p>
    <w:p w:rsidR="00D849AA" w:rsidRDefault="00EE6D95">
      <w:pPr>
        <w:pStyle w:val="Normal6"/>
      </w:pPr>
      <w:r>
        <w:t xml:space="preserve">• Sufinancirati programe  sportskih saveza i klubove  </w:t>
      </w:r>
    </w:p>
    <w:p w:rsidR="00D849AA" w:rsidRDefault="00EE6D95">
      <w:pPr>
        <w:pStyle w:val="Normal6"/>
      </w:pPr>
      <w:r>
        <w:t xml:space="preserve">• Olimpijska godina – pripreme, sportske stipendije, vitaminizacija, Zimski olimpijski program gluhih - projekt  Sochi, Rusija 2015.,  </w:t>
      </w:r>
    </w:p>
    <w:p w:rsidR="00D849AA" w:rsidRDefault="00EE6D95">
      <w:pPr>
        <w:pStyle w:val="Normal6"/>
      </w:pPr>
      <w:r>
        <w:t xml:space="preserve">• Informatizacija saveza - kupnja novih računala za rad i druge opreme u svrhu bolje komunikacije i efikasnije administracije </w:t>
      </w:r>
    </w:p>
    <w:p w:rsidR="00D849AA" w:rsidRDefault="00EE6D95">
      <w:pPr>
        <w:pStyle w:val="Normal6"/>
      </w:pPr>
      <w:r>
        <w:t xml:space="preserve">• Edukacija za zaposlenika sa suradnicima za rad sa gluhim osobama </w:t>
      </w:r>
    </w:p>
    <w:p w:rsidR="00D849AA" w:rsidRDefault="00EE6D95">
      <w:pPr>
        <w:pStyle w:val="Normal6"/>
      </w:pPr>
      <w:r>
        <w:lastRenderedPageBreak/>
        <w:t>• Edukacija gluhih polaznika za trenere kroz Hrvatsku olimpijsku akademiju - HOA sa tumačem i prevođenjem tečaja.</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Povećanje broja kategoriziranih gluhih sportaša</w:t>
            </w:r>
          </w:p>
        </w:tc>
        <w:tc>
          <w:tcPr>
            <w:tcW w:w="1114" w:type="dxa"/>
          </w:tcPr>
          <w:p w:rsidR="00D849AA" w:rsidRDefault="00EE6D95">
            <w:r>
              <w:t>Broj  (godišnje)</w:t>
            </w:r>
          </w:p>
        </w:tc>
        <w:tc>
          <w:tcPr>
            <w:tcW w:w="1114" w:type="dxa"/>
          </w:tcPr>
          <w:p w:rsidR="00D849AA" w:rsidRDefault="00EE6D95">
            <w:r>
              <w:t>61</w:t>
            </w:r>
          </w:p>
        </w:tc>
        <w:tc>
          <w:tcPr>
            <w:tcW w:w="1486" w:type="dxa"/>
          </w:tcPr>
          <w:p w:rsidR="00D849AA" w:rsidRDefault="00EE6D95">
            <w:r>
              <w:t>65</w:t>
            </w:r>
          </w:p>
        </w:tc>
        <w:tc>
          <w:tcPr>
            <w:tcW w:w="1486" w:type="dxa"/>
          </w:tcPr>
          <w:p w:rsidR="00D849AA" w:rsidRDefault="00EE6D95">
            <w:r>
              <w:t>70</w:t>
            </w:r>
          </w:p>
        </w:tc>
        <w:tc>
          <w:tcPr>
            <w:tcW w:w="1486" w:type="dxa"/>
          </w:tcPr>
          <w:p w:rsidR="00D849AA" w:rsidRDefault="00EE6D95">
            <w:r>
              <w:t>75</w:t>
            </w:r>
          </w:p>
        </w:tc>
      </w:tr>
    </w:tbl>
    <w:p w:rsidR="00D849AA" w:rsidRDefault="00D849AA">
      <w:pPr>
        <w:jc w:val="left"/>
      </w:pPr>
    </w:p>
    <w:p w:rsidR="00D849AA" w:rsidRDefault="00EE6D95">
      <w:pPr>
        <w:pStyle w:val="Naslov2"/>
      </w:pPr>
      <w:r>
        <w:t>08006 Sveučilišta i veleučilišta u Republici Hrvatskoj</w:t>
      </w:r>
    </w:p>
    <w:p w:rsidR="00D849AA" w:rsidRDefault="00EE6D95">
      <w:pPr>
        <w:pStyle w:val="Naslov4"/>
      </w:pPr>
      <w:r>
        <w:t>Uvod</w:t>
      </w:r>
    </w:p>
    <w:p w:rsidR="00D849AA" w:rsidRDefault="00EE6D95">
      <w:pPr>
        <w:pStyle w:val="Normal3"/>
      </w:pPr>
      <w:r>
        <w:t>Primarni zadatak Vlade Republike Hrvatske je osigurati dostupnost obrazovanja svima pod jednakim uvjetima. Razvoj dostupnijeg, prilagodljivijeg i učinkovitijeg sustava odgoja i obrazovanja, na nacionalnoj i međunarodnoj razini, omogućit će stvaranje intelektualnog i radnoga ljudskog potencijala kao ključnog bogatstva hrvatske države te poticajnog okruženja za održive inovacijske i znanstveno-tehnološke aktivnosti.</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08006</w:t>
            </w:r>
          </w:p>
        </w:tc>
        <w:tc>
          <w:tcPr>
            <w:tcW w:w="1486" w:type="dxa"/>
          </w:tcPr>
          <w:p w:rsidR="00D849AA" w:rsidRDefault="00EE6D95">
            <w:r>
              <w:t>2.705.743.626</w:t>
            </w:r>
          </w:p>
        </w:tc>
        <w:tc>
          <w:tcPr>
            <w:tcW w:w="1486" w:type="dxa"/>
          </w:tcPr>
          <w:p w:rsidR="00D849AA" w:rsidRDefault="00EE6D95">
            <w:r>
              <w:t>2.810.623.150</w:t>
            </w:r>
          </w:p>
        </w:tc>
        <w:tc>
          <w:tcPr>
            <w:tcW w:w="1486" w:type="dxa"/>
          </w:tcPr>
          <w:p w:rsidR="00D849AA" w:rsidRDefault="00EE6D95">
            <w:r>
              <w:t>2.796.523.801</w:t>
            </w:r>
          </w:p>
        </w:tc>
        <w:tc>
          <w:tcPr>
            <w:tcW w:w="1486" w:type="dxa"/>
          </w:tcPr>
          <w:p w:rsidR="00D849AA" w:rsidRDefault="00EE6D95">
            <w:r>
              <w:t>2.863.092.668</w:t>
            </w:r>
          </w:p>
        </w:tc>
        <w:tc>
          <w:tcPr>
            <w:tcW w:w="1486" w:type="dxa"/>
          </w:tcPr>
          <w:p w:rsidR="00D849AA" w:rsidRDefault="00EE6D95">
            <w:r>
              <w:t>103,9</w:t>
            </w:r>
          </w:p>
        </w:tc>
      </w:tr>
    </w:tbl>
    <w:p w:rsidR="00D849AA" w:rsidRDefault="00D849AA">
      <w:pPr>
        <w:jc w:val="left"/>
      </w:pPr>
    </w:p>
    <w:p w:rsidR="00D849AA" w:rsidRDefault="00EE6D95">
      <w:pPr>
        <w:pStyle w:val="Naslov4"/>
      </w:pPr>
      <w:r>
        <w:t>OBRAZLOŽENJE PROGRAMA</w:t>
      </w:r>
    </w:p>
    <w:p w:rsidR="00D849AA" w:rsidRDefault="00EE6D95">
      <w:pPr>
        <w:pStyle w:val="Naslov5"/>
      </w:pPr>
      <w:r>
        <w:t>3705 VISOKO OBRAZOVANJE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3705</w:t>
            </w:r>
          </w:p>
        </w:tc>
        <w:tc>
          <w:tcPr>
            <w:tcW w:w="1486" w:type="dxa"/>
          </w:tcPr>
          <w:p w:rsidR="00D849AA" w:rsidRDefault="00EE6D95">
            <w:r>
              <w:t>2.705.343.626</w:t>
            </w:r>
          </w:p>
        </w:tc>
        <w:tc>
          <w:tcPr>
            <w:tcW w:w="1486" w:type="dxa"/>
          </w:tcPr>
          <w:p w:rsidR="00D849AA" w:rsidRDefault="00EE6D95">
            <w:r>
              <w:t>2.810.227.150</w:t>
            </w:r>
          </w:p>
        </w:tc>
        <w:tc>
          <w:tcPr>
            <w:tcW w:w="1486" w:type="dxa"/>
          </w:tcPr>
          <w:p w:rsidR="00D849AA" w:rsidRDefault="00EE6D95">
            <w:r>
              <w:t>2.796.158.841</w:t>
            </w:r>
          </w:p>
        </w:tc>
        <w:tc>
          <w:tcPr>
            <w:tcW w:w="1486" w:type="dxa"/>
          </w:tcPr>
          <w:p w:rsidR="00D849AA" w:rsidRDefault="00EE6D95">
            <w:r>
              <w:t>2.862.729.532</w:t>
            </w:r>
          </w:p>
        </w:tc>
        <w:tc>
          <w:tcPr>
            <w:tcW w:w="1486" w:type="dxa"/>
          </w:tcPr>
          <w:p w:rsidR="00D849AA" w:rsidRDefault="00EE6D95">
            <w:r>
              <w:t>103,9</w:t>
            </w:r>
          </w:p>
        </w:tc>
      </w:tr>
    </w:tbl>
    <w:p w:rsidR="00D849AA" w:rsidRDefault="00D849AA">
      <w:pPr>
        <w:jc w:val="left"/>
      </w:pPr>
    </w:p>
    <w:p w:rsidR="00D849AA" w:rsidRDefault="00EE6D95">
      <w:pPr>
        <w:pStyle w:val="Naslov6"/>
      </w:pPr>
      <w:r>
        <w:t>Opis programa</w:t>
      </w:r>
    </w:p>
    <w:p w:rsidR="00D849AA" w:rsidRDefault="00EE6D95">
      <w:pPr>
        <w:pStyle w:val="Normal5"/>
      </w:pPr>
      <w:r>
        <w:t xml:space="preserve">Visoko obrazovanje temelji se na akademskim slobodama, samoupravi i autonomiji sveučilišta, te uzajamnosti, partnerstvu, poštivanju i afirmaciji ljudskih prava, jedinstvu stručnog i obrazovnog rada u svrhu osposobljavanja za stručna znanja i vještine te primjenu novih tehnologija po načelu cjeloživotnog obrazovanja. Najvažnije očekivanje od sustava visokog obrazovanja s motrišta jačanja ukupne konkurentnosti na regionalnoj i međunarodnoj razini vezano je uz kvalitetno upravljanje i kvalitetan rad visokih učilišta. Kako bi se povećao broj visokoobrazovanih osoba u Republici Hrvatskoj, na javnim visokim učilištima osiguran je besplatan studij za uspješne i redovite studente. Jedan od najvećih prioriteta je stimuliranje </w:t>
      </w:r>
      <w:r>
        <w:lastRenderedPageBreak/>
        <w:t xml:space="preserve">integracije sveučilišta, uz zajamčenu autonomiju i puno uvažavanje tradicije pojedinih visokoobrazovnih ustanova u Republici Hrvatskoj.  </w:t>
      </w:r>
    </w:p>
    <w:p w:rsidR="00D849AA" w:rsidRDefault="00EE6D95">
      <w:pPr>
        <w:pStyle w:val="Normal5"/>
      </w:pPr>
      <w:r>
        <w:t>Provedba ovog programa vezana je uz ostvarenje općeg cilja pod brojem 1. Osiguranje i unapređenje kvalitete te povećanje dostupnosti, učinkovitosti i relevantnosti sustava odgoja i obrazovanja na svim razinama.</w:t>
      </w:r>
    </w:p>
    <w:p w:rsidR="00D849AA" w:rsidRDefault="00EE6D95">
      <w:pPr>
        <w:pStyle w:val="Naslov6"/>
      </w:pPr>
      <w:r>
        <w:t>Zakonske i druge pravne osnove</w:t>
      </w:r>
    </w:p>
    <w:p w:rsidR="00D849AA" w:rsidRDefault="00EE6D95">
      <w:pPr>
        <w:pStyle w:val="Normal5"/>
      </w:pPr>
      <w:r>
        <w:t xml:space="preserve">Zakon o znanstvenoj djelatnosti i visokom obrazovanju (NN 123/03., 105/04., 174/04., 2/07. – Odluka Ustavnog suda Republike Hrvatske, 46/07, 45/09, 63/11 i 94/13) </w:t>
      </w:r>
    </w:p>
    <w:p w:rsidR="00D849AA" w:rsidRDefault="00EE6D95">
      <w:pPr>
        <w:pStyle w:val="Normal5"/>
      </w:pPr>
      <w:r>
        <w:t xml:space="preserve">Zakon o osiguravanju kvalitete u znanosti i visokom obrazovanju (NN 45/09) </w:t>
      </w:r>
    </w:p>
    <w:p w:rsidR="00D849AA" w:rsidRDefault="00EE6D95">
      <w:pPr>
        <w:pStyle w:val="Normal5"/>
      </w:pPr>
      <w:r>
        <w:t xml:space="preserve">Temeljni kolektivni ugovor za službenike i namještenike u javnim službama (NN 141/12) </w:t>
      </w:r>
    </w:p>
    <w:p w:rsidR="00D849AA" w:rsidRDefault="00EE6D95">
      <w:pPr>
        <w:pStyle w:val="Normal5"/>
      </w:pPr>
      <w:r>
        <w:t xml:space="preserve">Kolektivni ugovor za znanost i visoko obrazovanje (NN 142/10) </w:t>
      </w:r>
    </w:p>
    <w:p w:rsidR="00D849AA" w:rsidRDefault="00EE6D95">
      <w:pPr>
        <w:pStyle w:val="Normal5"/>
      </w:pPr>
      <w:r>
        <w:t xml:space="preserve">Pravilnik o sadržaju dopusnice, uvjetima za izdavanje dopusnice za obavljanje djelatnosti visokog obrazovanja, uvjetima za izvođenje studijskog programa te uvjetima za reakreditaciju visokih učilišta  (NN 24/10) </w:t>
      </w:r>
    </w:p>
    <w:p w:rsidR="00D849AA" w:rsidRDefault="00EE6D95">
      <w:pPr>
        <w:pStyle w:val="Normal5"/>
      </w:pPr>
      <w:r>
        <w:t xml:space="preserve">Pravilnik o dodjeljivanju državnih stipendija redovitim studentima dodiplomskih studija i naknada dijela troškova školarine studentima poslijediplomskih studija (NN 151/02) </w:t>
      </w:r>
    </w:p>
    <w:p w:rsidR="00D849AA" w:rsidRDefault="00EE6D95">
      <w:pPr>
        <w:pStyle w:val="Normal5"/>
      </w:pPr>
      <w:r>
        <w:t>Pravilnik o uvjetima i načinu ostvarivanja prava na pokriće troškova prehrane studenata (NN 120/13)</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Cilj 1. Razvijati sustav osiguranja kvalitete na svim razinama sustava odgoja i obrazovanja, odnosno, način ostvarenja: poticati razvoj internog i vanjskog sustava osiguravanja kvalitete visokog obrazovanja.</w:t>
      </w:r>
    </w:p>
    <w:p w:rsidR="00D849AA" w:rsidRDefault="00EE6D95">
      <w:pPr>
        <w:pStyle w:val="Normal6"/>
      </w:pPr>
      <w:r>
        <w:t>U području osiguravanja kvalitete Republika Hrvatska nalazi se na vodećemu mjestu u regiji. Hrvatska je u svoj pravni okvir uvela europske standarde za osiguravanje kvalitete 2009. godine Zakonom o osiguravanju kvalitete u znanosti i visokome obrazovanju. U 2010. godini donesen je Pravilnik o sadržaju dopusnice, uvjetima za izdavanje dopusnice za obavljanje djelatnosti visokoga obrazovanja, uvjetima za izvođenje studijskog programa te uvjetima za reakreditaciju visokih učilišta, kojim se omogućava akreditacija novih i reakreditacija postojećih visokih učilišta po poboljšanom sustavu koji je u potpunosti usklađen s Europskim standardima i smjernicama. Ovi napori prepoznati su 2011. godine kada je Agencija za znanost i visoko obrazovanje (AZVO) uspješno prošla akreditacijske postupke i primljena je u članstvo Europske mreže agencija za osiguravanje kvalitete, te uvrštena u Europski registar agencija za osiguravanje kvalitete. U sljedećem razdoblju nastavit će se s redovitim evaluacijama visokih učilišta i studijskih programa, te pojedinačnim tematskim vrednovanjima.</w:t>
      </w:r>
    </w:p>
    <w:p w:rsidR="001A0148" w:rsidRDefault="001A0148">
      <w:pPr>
        <w:pStyle w:val="Normal6"/>
      </w:pPr>
    </w:p>
    <w:p w:rsidR="001A0148" w:rsidRDefault="001A0148">
      <w:pPr>
        <w:pStyle w:val="Normal6"/>
      </w:pPr>
    </w:p>
    <w:p w:rsidR="001A0148" w:rsidRDefault="001A0148">
      <w:pPr>
        <w:pStyle w:val="Normal6"/>
      </w:pPr>
    </w:p>
    <w:p w:rsidR="001A0148" w:rsidRDefault="001A0148">
      <w:pPr>
        <w:pStyle w:val="Normal6"/>
      </w:pPr>
    </w:p>
    <w:p w:rsidR="001A0148" w:rsidRDefault="001A0148">
      <w:pPr>
        <w:pStyle w:val="Normal6"/>
      </w:pPr>
    </w:p>
    <w:p w:rsidR="001A0148" w:rsidRDefault="001A0148">
      <w:pPr>
        <w:pStyle w:val="Normal6"/>
      </w:pPr>
    </w:p>
    <w:p w:rsidR="001A0148" w:rsidRDefault="001A0148">
      <w:pPr>
        <w:pStyle w:val="Normal6"/>
      </w:pPr>
    </w:p>
    <w:p w:rsidR="00D849AA" w:rsidRDefault="00EE6D95">
      <w:pPr>
        <w:pStyle w:val="Naslov8"/>
        <w:jc w:val="left"/>
      </w:pPr>
      <w:r>
        <w:lastRenderedPageBreak/>
        <w:t>Pokazatelji učinka</w:t>
      </w:r>
    </w:p>
    <w:tbl>
      <w:tblPr>
        <w:tblStyle w:val="Reetkatablice"/>
        <w:tblW w:w="0" w:type="auto"/>
        <w:jc w:val="center"/>
        <w:tblLook w:val="04A0" w:firstRow="1" w:lastRow="0" w:firstColumn="1" w:lastColumn="0" w:noHBand="0" w:noVBand="1"/>
      </w:tblPr>
      <w:tblGrid>
        <w:gridCol w:w="2229"/>
        <w:gridCol w:w="1294"/>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Povećanje broja odgojno-obrazovnih ustanova u kojima se vanjskim vrednovanjem provjerava kvaliteta rada</w:t>
            </w:r>
          </w:p>
        </w:tc>
        <w:tc>
          <w:tcPr>
            <w:tcW w:w="1114" w:type="dxa"/>
          </w:tcPr>
          <w:p w:rsidR="00D849AA" w:rsidRDefault="00EE6D95">
            <w:r>
              <w:t xml:space="preserve">Broj  </w:t>
            </w:r>
          </w:p>
          <w:p w:rsidR="00D849AA" w:rsidRDefault="00EE6D95">
            <w:r>
              <w:t>(kumulativno</w:t>
            </w:r>
          </w:p>
        </w:tc>
        <w:tc>
          <w:tcPr>
            <w:tcW w:w="1114" w:type="dxa"/>
          </w:tcPr>
          <w:p w:rsidR="00D849AA" w:rsidRDefault="00EE6D95">
            <w:r>
              <w:t>784</w:t>
            </w:r>
          </w:p>
        </w:tc>
        <w:tc>
          <w:tcPr>
            <w:tcW w:w="1486" w:type="dxa"/>
          </w:tcPr>
          <w:p w:rsidR="00D849AA" w:rsidRDefault="00EE6D95">
            <w:r>
              <w:t>800</w:t>
            </w:r>
          </w:p>
        </w:tc>
        <w:tc>
          <w:tcPr>
            <w:tcW w:w="1486" w:type="dxa"/>
          </w:tcPr>
          <w:p w:rsidR="00D849AA" w:rsidRDefault="00EE6D95">
            <w:r>
              <w:t>820</w:t>
            </w:r>
          </w:p>
        </w:tc>
        <w:tc>
          <w:tcPr>
            <w:tcW w:w="1486" w:type="dxa"/>
          </w:tcPr>
          <w:p w:rsidR="00D849AA" w:rsidRDefault="00EE6D95">
            <w:r>
              <w:t>900</w:t>
            </w:r>
          </w:p>
        </w:tc>
      </w:tr>
    </w:tbl>
    <w:p w:rsidR="00D849AA" w:rsidRDefault="00D849AA">
      <w:pPr>
        <w:jc w:val="left"/>
      </w:pPr>
    </w:p>
    <w:p w:rsidR="00D849AA" w:rsidRDefault="00EE6D95">
      <w:pPr>
        <w:pStyle w:val="Naslov7"/>
      </w:pPr>
      <w:r>
        <w:t>Cilj 2. Razvijanje učinkovitoga sustava studentskog standarda s ciljem poboljšanja dostupnosti i inkluzivnog obrazovanja</w:t>
      </w:r>
    </w:p>
    <w:p w:rsidR="00D849AA" w:rsidRDefault="00EE6D95">
      <w:pPr>
        <w:pStyle w:val="Normal6"/>
      </w:pPr>
      <w:r>
        <w:t xml:space="preserve">Kako bi se ostvario prioritet u području visokog obrazovanja, tj. povećao broj visokoobrazovnih osoba u Republici Hrvatskoj, potrebno je osigurati pristup visokom obrazovanju što većem broju osoba iz različitih socijalnih kategorija. Uvjet za potpunu socijalnu uključenost u visoko obrazovanje odnosi se na primjerene materijalne uvjete tijekom studiranja, koji se moraju osigurati učinkovitim i pravednim modelom studentskoga standarda, a koji će omogućiti svim studentima ostvarivanje različitih financijskih potpora tijekom obrazovanja na visokim učilištima u RH. U tom smislu na javnim visokim učilištima osigurat će se besplatan studij za uspješne i redovite studente.  </w:t>
      </w:r>
    </w:p>
    <w:p w:rsidR="00D849AA" w:rsidRDefault="00EE6D95">
      <w:pPr>
        <w:pStyle w:val="Normal6"/>
      </w:pPr>
      <w:r>
        <w:t>Model podrazumijeva i razvoj pravednoga modela stipendiranja studenata, subvencioniranoga smještaja studenata tijekom studiranja u studentskim domovima, slobodne kapacitete učeničkih domova, privatni smještaj i druge alternativne smještajne kapacitete i poticanje izgradnje novih studentskih smještajnih kapaciteta. Ministarstvo će raditi na prelasku na veći udio direktnih potpora studentima u ukupnim financijskim iznosima, kao i na ujednačavanju razine kvalitete i ponude u svim objektima studentske prehrane u RH te osiguravanju usluge studentske prehrane u onim gradovima u RH u kojima se studenti trenutno ne mogu koristiti tom uslugom. Iz tog razloga sredstva za prehranu zadržavaju se na postojećoj razini, a sredstva za stipendije za studente slabijega socijalnog statusa se povećavaju.</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Povećanje udjela studenata slabijeg socijalno-imovinskog stanja koji studiraju na visokim učilištima u Republici Hrvatskoj</w:t>
            </w:r>
          </w:p>
        </w:tc>
        <w:tc>
          <w:tcPr>
            <w:tcW w:w="1114" w:type="dxa"/>
          </w:tcPr>
          <w:p w:rsidR="00D849AA" w:rsidRDefault="00EE6D95">
            <w:r>
              <w:t>Postotak</w:t>
            </w:r>
          </w:p>
        </w:tc>
        <w:tc>
          <w:tcPr>
            <w:tcW w:w="1114" w:type="dxa"/>
          </w:tcPr>
          <w:p w:rsidR="00D849AA" w:rsidRDefault="00EE6D95">
            <w:r>
              <w:t>5</w:t>
            </w:r>
          </w:p>
        </w:tc>
        <w:tc>
          <w:tcPr>
            <w:tcW w:w="1486" w:type="dxa"/>
          </w:tcPr>
          <w:p w:rsidR="00D849AA" w:rsidRDefault="00EE6D95">
            <w:r>
              <w:t>6</w:t>
            </w:r>
          </w:p>
        </w:tc>
        <w:tc>
          <w:tcPr>
            <w:tcW w:w="1486" w:type="dxa"/>
          </w:tcPr>
          <w:p w:rsidR="00D849AA" w:rsidRDefault="00EE6D95">
            <w:r>
              <w:t>7</w:t>
            </w:r>
          </w:p>
        </w:tc>
        <w:tc>
          <w:tcPr>
            <w:tcW w:w="1486" w:type="dxa"/>
          </w:tcPr>
          <w:p w:rsidR="00D849AA" w:rsidRDefault="00EE6D95">
            <w:r>
              <w:t>7,5</w:t>
            </w:r>
          </w:p>
        </w:tc>
      </w:tr>
    </w:tbl>
    <w:p w:rsidR="00D849AA" w:rsidRDefault="00D849AA">
      <w:pPr>
        <w:jc w:val="left"/>
      </w:pPr>
    </w:p>
    <w:p w:rsidR="001A0148" w:rsidRDefault="001A0148">
      <w:pPr>
        <w:jc w:val="left"/>
      </w:pPr>
    </w:p>
    <w:p w:rsidR="001A0148" w:rsidRDefault="001A0148">
      <w:pPr>
        <w:jc w:val="left"/>
      </w:pPr>
    </w:p>
    <w:p w:rsidR="00D849AA" w:rsidRDefault="00EE6D95">
      <w:pPr>
        <w:pStyle w:val="Naslov7"/>
      </w:pPr>
      <w:r>
        <w:lastRenderedPageBreak/>
        <w:t>Cilj 3. Unapređenje sustava kvalitete, upravljanja i financiranja visokog obrazovanja, odnosno, načini ostvarenja: praćenje provedbe i realizacije ciljeva pilot – programskih ugovora i učinkovitije upravljanje ljudskim potencijalima u sustavu visokog obrazovanja</w:t>
      </w:r>
    </w:p>
    <w:p w:rsidR="00D849AA" w:rsidRDefault="00EE6D95">
      <w:pPr>
        <w:pStyle w:val="Normal6"/>
      </w:pPr>
      <w:r>
        <w:t>Vlada Republike Hrvatske donijela je 17. svibnja 2012. godine Odluku o subvenciji troškova studija za redovite studente prve godine studija na javnim visokim učilištima u Republici Hrvatskoj u akademskoj godini 2012./2013., a nakon toga na sjednici od 2. kolovoza 2012. i Odluku o punoj subvenciji participacije u troškovima studija za redovite studente na javnim visokim učilištima u RH u akademskim godinama 2012./2013., 2013./2014. i 2014./2015. Obje odluke temeljene su na zajedničkim zaključcima sveučilišnih timova i Ministarstva. Njihovim donošenjem stvorene su pretpostavke za započinjanje pregovora Ministarstva i javnih sveučilišta, veleučilišta i visokih škola radi sklapanja pojedinačnih ugovora o financiranju (tzv. pilot-programskih ugovora).</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Povećanje broja sastavnica sveučilišta, kao i broja veleučilišta i visokih škola, koji su integrirani i na kojima se primjenjuje poboljšan sustav proračunskoga financiranja</w:t>
            </w:r>
          </w:p>
        </w:tc>
        <w:tc>
          <w:tcPr>
            <w:tcW w:w="1114" w:type="dxa"/>
          </w:tcPr>
          <w:p w:rsidR="00D849AA" w:rsidRDefault="00EE6D95">
            <w:r>
              <w:t>Broj</w:t>
            </w:r>
          </w:p>
        </w:tc>
        <w:tc>
          <w:tcPr>
            <w:tcW w:w="1114" w:type="dxa"/>
          </w:tcPr>
          <w:p w:rsidR="00D849AA" w:rsidRDefault="00EE6D95">
            <w:r>
              <w:t>0</w:t>
            </w:r>
          </w:p>
        </w:tc>
        <w:tc>
          <w:tcPr>
            <w:tcW w:w="1486" w:type="dxa"/>
          </w:tcPr>
          <w:p w:rsidR="00D849AA" w:rsidRDefault="00EE6D95">
            <w:r>
              <w:t>20</w:t>
            </w:r>
          </w:p>
        </w:tc>
        <w:tc>
          <w:tcPr>
            <w:tcW w:w="1486" w:type="dxa"/>
          </w:tcPr>
          <w:p w:rsidR="00D849AA" w:rsidRDefault="00EE6D95">
            <w:r>
              <w:t>35</w:t>
            </w:r>
          </w:p>
        </w:tc>
        <w:tc>
          <w:tcPr>
            <w:tcW w:w="1486" w:type="dxa"/>
          </w:tcPr>
          <w:p w:rsidR="00D849AA" w:rsidRDefault="00EE6D95">
            <w:r>
              <w:t>40</w:t>
            </w:r>
          </w:p>
        </w:tc>
      </w:tr>
    </w:tbl>
    <w:p w:rsidR="00D849AA" w:rsidRDefault="00D849AA">
      <w:pPr>
        <w:jc w:val="left"/>
      </w:pPr>
    </w:p>
    <w:p w:rsidR="00D849AA" w:rsidRDefault="00EE6D95">
      <w:pPr>
        <w:pStyle w:val="Naslov5"/>
      </w:pPr>
      <w:r>
        <w:t>Procjena i ishodište potrebnih sredstava za značajnije aktivnosti/projekte</w:t>
      </w:r>
    </w:p>
    <w:p w:rsidR="00D849AA" w:rsidRDefault="00EE6D95">
      <w:pPr>
        <w:pStyle w:val="Naslov6"/>
      </w:pPr>
      <w:r>
        <w:t>A621002 REDOVNA DJELATNOST SVEUČILIŠTA U RIJECI</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A621002</w:t>
            </w:r>
          </w:p>
        </w:tc>
        <w:tc>
          <w:tcPr>
            <w:tcW w:w="1486" w:type="dxa"/>
          </w:tcPr>
          <w:p w:rsidR="00D849AA" w:rsidRDefault="00EE6D95">
            <w:r>
              <w:t>237.279.586</w:t>
            </w:r>
          </w:p>
        </w:tc>
        <w:tc>
          <w:tcPr>
            <w:tcW w:w="1486" w:type="dxa"/>
          </w:tcPr>
          <w:p w:rsidR="00D849AA" w:rsidRDefault="00EE6D95">
            <w:r>
              <w:t>241.889.085</w:t>
            </w:r>
          </w:p>
        </w:tc>
        <w:tc>
          <w:tcPr>
            <w:tcW w:w="1486" w:type="dxa"/>
          </w:tcPr>
          <w:p w:rsidR="00D849AA" w:rsidRDefault="00EE6D95">
            <w:r>
              <w:t>247.607.475</w:t>
            </w:r>
          </w:p>
        </w:tc>
        <w:tc>
          <w:tcPr>
            <w:tcW w:w="1486" w:type="dxa"/>
          </w:tcPr>
          <w:p w:rsidR="00D849AA" w:rsidRDefault="00EE6D95">
            <w:r>
              <w:t>256.454.092</w:t>
            </w:r>
          </w:p>
        </w:tc>
        <w:tc>
          <w:tcPr>
            <w:tcW w:w="1486" w:type="dxa"/>
          </w:tcPr>
          <w:p w:rsidR="00D849AA" w:rsidRDefault="00EE6D95">
            <w:r>
              <w:t>101,9</w:t>
            </w:r>
          </w:p>
        </w:tc>
      </w:tr>
    </w:tbl>
    <w:p w:rsidR="00D849AA" w:rsidRDefault="00D849AA">
      <w:pPr>
        <w:jc w:val="left"/>
      </w:pPr>
    </w:p>
    <w:p w:rsidR="00D849AA" w:rsidRDefault="00EE6D95">
      <w:pPr>
        <w:pStyle w:val="Normal6"/>
      </w:pPr>
      <w:r>
        <w:t>U okviru aktivnosti osiguravaju se sredstva za: rashode za zaposlene (bruto plaće s doprinosima poslodavca); ostale rashode za zaposlene (jubilarne nagrade, otpremnine, pomoći, i dar djeci povodom sv. Nikole); materijalne rashode (naknade troškova zaposlenima, rashode za materijal i energiju, rashode za usluge i ostale rashode poslovanja); financijske rashode (kamate, osiguranja i dr.), naknade građanima i kućanstvima iz proračuna (stipendije i stipendije nadarenim studentima; tekuće donacije (studentske programe studenata).</w:t>
      </w:r>
    </w:p>
    <w:p w:rsidR="001A0148" w:rsidRDefault="001A0148">
      <w:pPr>
        <w:pStyle w:val="Normal6"/>
      </w:pPr>
    </w:p>
    <w:p w:rsidR="001A0148" w:rsidRDefault="001A0148">
      <w:pPr>
        <w:pStyle w:val="Normal6"/>
      </w:pPr>
    </w:p>
    <w:p w:rsidR="00D849AA" w:rsidRDefault="00EE6D95">
      <w:pPr>
        <w:pStyle w:val="Naslov6"/>
      </w:pPr>
      <w:r>
        <w:lastRenderedPageBreak/>
        <w:t>A621003 REDOVNA DJELATNOST SVEUČILIŠTA U OSIJEKU</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A621003</w:t>
            </w:r>
          </w:p>
        </w:tc>
        <w:tc>
          <w:tcPr>
            <w:tcW w:w="1486" w:type="dxa"/>
          </w:tcPr>
          <w:p w:rsidR="00D849AA" w:rsidRDefault="00EE6D95">
            <w:r>
              <w:t>237.443.519</w:t>
            </w:r>
          </w:p>
        </w:tc>
        <w:tc>
          <w:tcPr>
            <w:tcW w:w="1486" w:type="dxa"/>
          </w:tcPr>
          <w:p w:rsidR="00D849AA" w:rsidRDefault="00EE6D95">
            <w:r>
              <w:t>242.001.720</w:t>
            </w:r>
          </w:p>
        </w:tc>
        <w:tc>
          <w:tcPr>
            <w:tcW w:w="1486" w:type="dxa"/>
          </w:tcPr>
          <w:p w:rsidR="00D849AA" w:rsidRDefault="00EE6D95">
            <w:r>
              <w:t>247.352.248</w:t>
            </w:r>
          </w:p>
        </w:tc>
        <w:tc>
          <w:tcPr>
            <w:tcW w:w="1486" w:type="dxa"/>
          </w:tcPr>
          <w:p w:rsidR="00D849AA" w:rsidRDefault="00EE6D95">
            <w:r>
              <w:t>256.053.427</w:t>
            </w:r>
          </w:p>
        </w:tc>
        <w:tc>
          <w:tcPr>
            <w:tcW w:w="1486" w:type="dxa"/>
          </w:tcPr>
          <w:p w:rsidR="00D849AA" w:rsidRDefault="00EE6D95">
            <w:r>
              <w:t>101,9</w:t>
            </w:r>
          </w:p>
        </w:tc>
      </w:tr>
    </w:tbl>
    <w:p w:rsidR="00D849AA" w:rsidRDefault="00D849AA">
      <w:pPr>
        <w:jc w:val="left"/>
      </w:pPr>
    </w:p>
    <w:p w:rsidR="00D849AA" w:rsidRDefault="00EE6D95">
      <w:pPr>
        <w:pStyle w:val="Normal6"/>
      </w:pPr>
      <w:r>
        <w:t>U okviru aktivnosti osiguravaju se sredstva za: rashode za zaposlene (bruto plaće s doprinosima poslodavca); ostale rashode za zaposlene (jubilarne nagrade, otpremnine, pomoći, i dar djeci povodom sv. Nikole); materijalne rashode (naknade troškova zaposlenima, rashode za materijal i energiju, rashode za usluge i ostale rashode poslovanja); financijske rashode (kamate, osiguranja i dr.), naknade građanima i kućanstvima iz proračuna (stipendije i stipendije nadarenim studentima; tekuće donacije ( studentske programe studenata).</w:t>
      </w:r>
    </w:p>
    <w:p w:rsidR="00D849AA" w:rsidRDefault="00EE6D95">
      <w:pPr>
        <w:pStyle w:val="Naslov6"/>
      </w:pPr>
      <w:r>
        <w:t>A621004 REDOVNA DJELATNOST SVEUČILIŠTA U SPLITU</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A621004</w:t>
            </w:r>
          </w:p>
        </w:tc>
        <w:tc>
          <w:tcPr>
            <w:tcW w:w="1486" w:type="dxa"/>
          </w:tcPr>
          <w:p w:rsidR="00D849AA" w:rsidRDefault="00EE6D95">
            <w:r>
              <w:t>232.247.628</w:t>
            </w:r>
          </w:p>
        </w:tc>
        <w:tc>
          <w:tcPr>
            <w:tcW w:w="1486" w:type="dxa"/>
          </w:tcPr>
          <w:p w:rsidR="00D849AA" w:rsidRDefault="00EE6D95">
            <w:r>
              <w:t>236.292.389</w:t>
            </w:r>
          </w:p>
        </w:tc>
        <w:tc>
          <w:tcPr>
            <w:tcW w:w="1486" w:type="dxa"/>
          </w:tcPr>
          <w:p w:rsidR="00D849AA" w:rsidRDefault="00EE6D95">
            <w:r>
              <w:t>241.839.772</w:t>
            </w:r>
          </w:p>
        </w:tc>
        <w:tc>
          <w:tcPr>
            <w:tcW w:w="1486" w:type="dxa"/>
          </w:tcPr>
          <w:p w:rsidR="00D849AA" w:rsidRDefault="00EE6D95">
            <w:r>
              <w:t>250.466.082</w:t>
            </w:r>
          </w:p>
        </w:tc>
        <w:tc>
          <w:tcPr>
            <w:tcW w:w="1486" w:type="dxa"/>
          </w:tcPr>
          <w:p w:rsidR="00D849AA" w:rsidRDefault="00EE6D95">
            <w:r>
              <w:t>101,7</w:t>
            </w:r>
          </w:p>
        </w:tc>
      </w:tr>
    </w:tbl>
    <w:p w:rsidR="00D849AA" w:rsidRDefault="00D849AA">
      <w:pPr>
        <w:jc w:val="left"/>
      </w:pPr>
    </w:p>
    <w:p w:rsidR="00D849AA" w:rsidRDefault="00EE6D95">
      <w:pPr>
        <w:pStyle w:val="Normal6"/>
      </w:pPr>
      <w:r>
        <w:t>U okviru aktivnosti osiguravaju se sredstva za: rashode za zaposlene (bruto plaće s doprinosima poslodavca); ostale rashode za zaposlene (jubilarne nagrade, otpremnine, pomoći, i dar djeci povodom sv. Nikole); materijalne rashode (naknade troškova zaposlenima, rashode za materijal i energiju, rashode za usluge i ostale rashode poslovanja); financijske rashode (kamate, osiguranja i dr.), naknade građanima i kućanstvima iz proračuna (stipendije i stipendije nadarenim studentima; tekuće donacije (studentske programe studenata).</w:t>
      </w:r>
    </w:p>
    <w:p w:rsidR="00D849AA" w:rsidRDefault="00EE6D95">
      <w:pPr>
        <w:pStyle w:val="Naslov6"/>
      </w:pPr>
      <w:r>
        <w:t>A621038 PROGRAMI VJEŽBAONICA VISOKIH UČILIŠTA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A621038</w:t>
            </w:r>
          </w:p>
        </w:tc>
        <w:tc>
          <w:tcPr>
            <w:tcW w:w="1486" w:type="dxa"/>
          </w:tcPr>
          <w:p w:rsidR="00D849AA" w:rsidRDefault="00EE6D95">
            <w:r>
              <w:t>2.053.831</w:t>
            </w:r>
          </w:p>
        </w:tc>
        <w:tc>
          <w:tcPr>
            <w:tcW w:w="1486" w:type="dxa"/>
          </w:tcPr>
          <w:p w:rsidR="00D849AA" w:rsidRDefault="00EE6D95">
            <w:r>
              <w:t>2.033.293</w:t>
            </w:r>
          </w:p>
        </w:tc>
        <w:tc>
          <w:tcPr>
            <w:tcW w:w="1486" w:type="dxa"/>
          </w:tcPr>
          <w:p w:rsidR="00D849AA" w:rsidRDefault="00EE6D95">
            <w:r>
              <w:t>1.873.917</w:t>
            </w:r>
          </w:p>
        </w:tc>
        <w:tc>
          <w:tcPr>
            <w:tcW w:w="1486" w:type="dxa"/>
          </w:tcPr>
          <w:p w:rsidR="00D849AA" w:rsidRDefault="00EE6D95">
            <w:r>
              <w:t>1.906.643</w:t>
            </w:r>
          </w:p>
        </w:tc>
        <w:tc>
          <w:tcPr>
            <w:tcW w:w="1486" w:type="dxa"/>
          </w:tcPr>
          <w:p w:rsidR="00D849AA" w:rsidRDefault="00EE6D95">
            <w:r>
              <w:t>99,0</w:t>
            </w:r>
          </w:p>
        </w:tc>
      </w:tr>
    </w:tbl>
    <w:p w:rsidR="00D849AA" w:rsidRDefault="00D849AA">
      <w:pPr>
        <w:jc w:val="left"/>
      </w:pPr>
    </w:p>
    <w:p w:rsidR="00D849AA" w:rsidRDefault="00EE6D95">
      <w:pPr>
        <w:pStyle w:val="Normal6"/>
      </w:pPr>
      <w:r>
        <w:t>U okviru navedene aktivnosti potrebno je osigurati sredstva za praktičnu  nastavu pod nadzorom mentora u vježbaonicama srednjih i     osnovnih škola   (fakulteti s profesorskim smjerovima).</w:t>
      </w:r>
    </w:p>
    <w:p w:rsidR="00D849AA" w:rsidRDefault="00EE6D95">
      <w:pPr>
        <w:pStyle w:val="Naslov6"/>
      </w:pPr>
      <w:r>
        <w:t>A621058 PROGRAMI POBOLJŠANJA STUDENTSKOG STANDARDA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A621058</w:t>
            </w:r>
          </w:p>
        </w:tc>
        <w:tc>
          <w:tcPr>
            <w:tcW w:w="1486" w:type="dxa"/>
          </w:tcPr>
          <w:p w:rsidR="00D849AA" w:rsidRDefault="00EE6D95">
            <w:r>
              <w:t>64.000.000</w:t>
            </w:r>
          </w:p>
        </w:tc>
        <w:tc>
          <w:tcPr>
            <w:tcW w:w="1486" w:type="dxa"/>
          </w:tcPr>
          <w:p w:rsidR="00D849AA" w:rsidRDefault="00EE6D95">
            <w:r>
              <w:t>64.300.000</w:t>
            </w:r>
          </w:p>
        </w:tc>
        <w:tc>
          <w:tcPr>
            <w:tcW w:w="1486" w:type="dxa"/>
          </w:tcPr>
          <w:p w:rsidR="00D849AA" w:rsidRDefault="00EE6D95">
            <w:r>
              <w:t>59.259.983</w:t>
            </w:r>
          </w:p>
        </w:tc>
        <w:tc>
          <w:tcPr>
            <w:tcW w:w="1486" w:type="dxa"/>
          </w:tcPr>
          <w:p w:rsidR="00D849AA" w:rsidRDefault="00EE6D95">
            <w:r>
              <w:t>59.413.440</w:t>
            </w:r>
          </w:p>
        </w:tc>
        <w:tc>
          <w:tcPr>
            <w:tcW w:w="1486" w:type="dxa"/>
          </w:tcPr>
          <w:p w:rsidR="00D849AA" w:rsidRDefault="00EE6D95">
            <w:r>
              <w:t>100,5</w:t>
            </w:r>
          </w:p>
        </w:tc>
      </w:tr>
    </w:tbl>
    <w:p w:rsidR="00D849AA" w:rsidRDefault="00D849AA">
      <w:pPr>
        <w:jc w:val="left"/>
      </w:pPr>
    </w:p>
    <w:p w:rsidR="00D849AA" w:rsidRDefault="00EE6D95">
      <w:pPr>
        <w:pStyle w:val="Normal6"/>
      </w:pPr>
      <w:r>
        <w:t xml:space="preserve">Za realizaciju ove aktivnosti potrebna su financijska sredstva kojima se podmiruju sljedeći troškovi: prehrana redovitih studenata u onim gradovima u kojima ne djeluju studentski centri ili su kapaciteti za prehranu studentskih centara nedostatni te su uslugu prehrane </w:t>
      </w:r>
      <w:r>
        <w:lastRenderedPageBreak/>
        <w:t>preuzeli privatni ugostiteljski objekti ili restorani učeničkih domova, za troškove prijevoza redovitih studenata u gradovima Rijeka, Split i Osijek, troškovi prijevoza studenata s invaliditetom sveučilišnih i stručnih studija kao i studenata s invaliditetom na poslijediplomskim studijima, troškovi smještaja i prehrane za redovite studente koji su smješteni u slobodne kapacitete studentskih centara te ostali troškovi na poboljšanju studentskog standarda.</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361"/>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Donošenje novoga pravilnika o studentskome standardu</w:t>
            </w:r>
          </w:p>
        </w:tc>
        <w:tc>
          <w:tcPr>
            <w:tcW w:w="1114" w:type="dxa"/>
          </w:tcPr>
          <w:p w:rsidR="00D849AA" w:rsidRDefault="00EE6D95">
            <w:r>
              <w:t>Pravilnik (kumulativno)</w:t>
            </w:r>
          </w:p>
        </w:tc>
        <w:tc>
          <w:tcPr>
            <w:tcW w:w="1114" w:type="dxa"/>
          </w:tcPr>
          <w:p w:rsidR="00D849AA" w:rsidRDefault="00EE6D95">
            <w:r>
              <w:t>0</w:t>
            </w:r>
          </w:p>
        </w:tc>
        <w:tc>
          <w:tcPr>
            <w:tcW w:w="1486" w:type="dxa"/>
          </w:tcPr>
          <w:p w:rsidR="00D849AA" w:rsidRDefault="00EE6D95">
            <w:r>
              <w:t>1</w:t>
            </w:r>
          </w:p>
        </w:tc>
        <w:tc>
          <w:tcPr>
            <w:tcW w:w="1486" w:type="dxa"/>
          </w:tcPr>
          <w:p w:rsidR="00D849AA" w:rsidRDefault="00EE6D95">
            <w:r>
              <w:t>1</w:t>
            </w:r>
          </w:p>
        </w:tc>
        <w:tc>
          <w:tcPr>
            <w:tcW w:w="1486" w:type="dxa"/>
          </w:tcPr>
          <w:p w:rsidR="00D849AA" w:rsidRDefault="00EE6D95">
            <w:r>
              <w:t>1</w:t>
            </w:r>
          </w:p>
        </w:tc>
      </w:tr>
    </w:tbl>
    <w:p w:rsidR="00D849AA" w:rsidRDefault="00D849AA">
      <w:pPr>
        <w:jc w:val="left"/>
      </w:pPr>
    </w:p>
    <w:p w:rsidR="00D849AA" w:rsidRDefault="00EE6D95">
      <w:pPr>
        <w:pStyle w:val="Naslov6"/>
      </w:pPr>
      <w:r>
        <w:t>A621074 REDOVNA DJELATNOST SVEUČILIŠTA U ZADRU</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A621074</w:t>
            </w:r>
          </w:p>
        </w:tc>
        <w:tc>
          <w:tcPr>
            <w:tcW w:w="1486" w:type="dxa"/>
          </w:tcPr>
          <w:p w:rsidR="00D849AA" w:rsidRDefault="00EE6D95">
            <w:r>
              <w:t>92.949.796</w:t>
            </w:r>
          </w:p>
        </w:tc>
        <w:tc>
          <w:tcPr>
            <w:tcW w:w="1486" w:type="dxa"/>
          </w:tcPr>
          <w:p w:rsidR="00D849AA" w:rsidRDefault="00EE6D95">
            <w:r>
              <w:t>95.128.343</w:t>
            </w:r>
          </w:p>
        </w:tc>
        <w:tc>
          <w:tcPr>
            <w:tcW w:w="1486" w:type="dxa"/>
          </w:tcPr>
          <w:p w:rsidR="00D849AA" w:rsidRDefault="00EE6D95">
            <w:r>
              <w:t>96.787.320</w:t>
            </w:r>
          </w:p>
        </w:tc>
        <w:tc>
          <w:tcPr>
            <w:tcW w:w="1486" w:type="dxa"/>
          </w:tcPr>
          <w:p w:rsidR="00D849AA" w:rsidRDefault="00EE6D95">
            <w:r>
              <w:t>100.028.336</w:t>
            </w:r>
          </w:p>
        </w:tc>
        <w:tc>
          <w:tcPr>
            <w:tcW w:w="1486" w:type="dxa"/>
          </w:tcPr>
          <w:p w:rsidR="00D849AA" w:rsidRDefault="00EE6D95">
            <w:r>
              <w:t>102,3</w:t>
            </w:r>
          </w:p>
        </w:tc>
      </w:tr>
    </w:tbl>
    <w:p w:rsidR="00D849AA" w:rsidRDefault="00D849AA">
      <w:pPr>
        <w:jc w:val="left"/>
      </w:pPr>
    </w:p>
    <w:p w:rsidR="00D849AA" w:rsidRDefault="00EE6D95">
      <w:pPr>
        <w:pStyle w:val="Normal6"/>
      </w:pPr>
      <w:r>
        <w:t>U okviru aktivnosti osiguravaju se sredstva za: rashode za zaposlene (bruto plaće s doprinosima poslodavca); ostale rashode za zaposlene (jubilarne nagrade, otpremnine, pomoći, i dar djeci povodom sv. Nikole); materijalne rashode (naknade troškova zaposlenima, rashode za materijal i energiju, rashode za usluge i ostale rashode poslovanja); financijske rashode (kamate, osiguranja i dr.), naknade građanima i kućanstvima iz proračuna (stipendije i stipendije nadarenim studentima; tekuće donacije (studentske programe studenata).</w:t>
      </w:r>
    </w:p>
    <w:p w:rsidR="00D849AA" w:rsidRDefault="00EE6D95">
      <w:pPr>
        <w:pStyle w:val="Naslov6"/>
      </w:pPr>
      <w:r>
        <w:t>A621138 REDOVNA DJELATNOST SVEUČILIŠTA U DUBROVNIKU</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A621138</w:t>
            </w:r>
          </w:p>
        </w:tc>
        <w:tc>
          <w:tcPr>
            <w:tcW w:w="1486" w:type="dxa"/>
          </w:tcPr>
          <w:p w:rsidR="00D849AA" w:rsidRDefault="00EE6D95">
            <w:r>
              <w:t>45.510.118</w:t>
            </w:r>
          </w:p>
        </w:tc>
        <w:tc>
          <w:tcPr>
            <w:tcW w:w="1486" w:type="dxa"/>
          </w:tcPr>
          <w:p w:rsidR="00D849AA" w:rsidRDefault="00EE6D95">
            <w:r>
              <w:t>46.346.875</w:t>
            </w:r>
          </w:p>
        </w:tc>
        <w:tc>
          <w:tcPr>
            <w:tcW w:w="1486" w:type="dxa"/>
          </w:tcPr>
          <w:p w:rsidR="00D849AA" w:rsidRDefault="00EE6D95">
            <w:r>
              <w:t>46.639.009</w:t>
            </w:r>
          </w:p>
        </w:tc>
        <w:tc>
          <w:tcPr>
            <w:tcW w:w="1486" w:type="dxa"/>
          </w:tcPr>
          <w:p w:rsidR="00D849AA" w:rsidRDefault="00EE6D95">
            <w:r>
              <w:t>48.009.716</w:t>
            </w:r>
          </w:p>
        </w:tc>
        <w:tc>
          <w:tcPr>
            <w:tcW w:w="1486" w:type="dxa"/>
          </w:tcPr>
          <w:p w:rsidR="00D849AA" w:rsidRDefault="00EE6D95">
            <w:r>
              <w:t>101,8</w:t>
            </w:r>
          </w:p>
        </w:tc>
      </w:tr>
    </w:tbl>
    <w:p w:rsidR="00D849AA" w:rsidRDefault="00D849AA">
      <w:pPr>
        <w:jc w:val="left"/>
      </w:pPr>
    </w:p>
    <w:p w:rsidR="00D849AA" w:rsidRDefault="00EE6D95">
      <w:pPr>
        <w:pStyle w:val="Normal6"/>
      </w:pPr>
      <w:r>
        <w:t>U okviru aktivnosti osiguravaju se sredstva za: rashode za zaposlene (bruto plaće s doprinosima poslodavca); ostale rashode za zaposlene (jubilarne nagrade, otpremnine, pomoći, i dar djeci povodom sv. Nikole); materijalne rashode (naknade troškova zaposlenima, rashode za materijal i energiju, rashode za usluge i ostale rashode poslovanja); financijske rashode (kamate, osiguranja i dr.), naknade građanima i kućanstvima iz proračuna (stipendije i stipendije nadarenim studentima; tekuće donacije (studentske programe studenata).</w:t>
      </w:r>
    </w:p>
    <w:p w:rsidR="001A0148" w:rsidRDefault="001A0148">
      <w:pPr>
        <w:pStyle w:val="Normal6"/>
      </w:pPr>
    </w:p>
    <w:p w:rsidR="001A0148" w:rsidRDefault="001A0148">
      <w:pPr>
        <w:pStyle w:val="Normal6"/>
      </w:pPr>
    </w:p>
    <w:p w:rsidR="00D849AA" w:rsidRDefault="00EE6D95">
      <w:pPr>
        <w:pStyle w:val="Naslov6"/>
      </w:pPr>
      <w:r>
        <w:lastRenderedPageBreak/>
        <w:t>A621148 REDOVNA DJELATNOST VELEUČILIŠTA I VISOKIH ŠKOLA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A621148</w:t>
            </w:r>
          </w:p>
        </w:tc>
        <w:tc>
          <w:tcPr>
            <w:tcW w:w="1486" w:type="dxa"/>
          </w:tcPr>
          <w:p w:rsidR="00D849AA" w:rsidRDefault="00EE6D95">
            <w:r>
              <w:t>111.800.696</w:t>
            </w:r>
          </w:p>
        </w:tc>
        <w:tc>
          <w:tcPr>
            <w:tcW w:w="1486" w:type="dxa"/>
          </w:tcPr>
          <w:p w:rsidR="00D849AA" w:rsidRDefault="00EE6D95">
            <w:r>
              <w:t>105.963.246</w:t>
            </w:r>
          </w:p>
        </w:tc>
        <w:tc>
          <w:tcPr>
            <w:tcW w:w="1486" w:type="dxa"/>
          </w:tcPr>
          <w:p w:rsidR="00D849AA" w:rsidRDefault="00EE6D95">
            <w:r>
              <w:t>107.919.839</w:t>
            </w:r>
          </w:p>
        </w:tc>
        <w:tc>
          <w:tcPr>
            <w:tcW w:w="1486" w:type="dxa"/>
          </w:tcPr>
          <w:p w:rsidR="00D849AA" w:rsidRDefault="00EE6D95">
            <w:r>
              <w:t>111.591.629</w:t>
            </w:r>
          </w:p>
        </w:tc>
        <w:tc>
          <w:tcPr>
            <w:tcW w:w="1486" w:type="dxa"/>
          </w:tcPr>
          <w:p w:rsidR="00D849AA" w:rsidRDefault="00EE6D95">
            <w:r>
              <w:t>94,8</w:t>
            </w:r>
          </w:p>
        </w:tc>
      </w:tr>
    </w:tbl>
    <w:p w:rsidR="00D849AA" w:rsidRDefault="00D849AA">
      <w:pPr>
        <w:jc w:val="left"/>
      </w:pPr>
    </w:p>
    <w:p w:rsidR="00D849AA" w:rsidRDefault="00EE6D95">
      <w:pPr>
        <w:pStyle w:val="Normal6"/>
      </w:pPr>
      <w:r>
        <w:t xml:space="preserve">U okviru aktivnosti osiguravaju se sredstva za:  </w:t>
      </w:r>
    </w:p>
    <w:p w:rsidR="00D849AA" w:rsidRDefault="00EE6D95">
      <w:pPr>
        <w:pStyle w:val="Normal6"/>
      </w:pPr>
      <w:r>
        <w:t>rashode za zaposlene (bruto plaće s doprinosima poslodavca); ostale rashode za zaposlene (jubilarne nagrade, otpremnine, pomoći, i dar djeci povodom sv. Nikole); materijalne rashode (naknade troškova zaposlenima, rashode za materijal i energiju, rashode za usluge i ostale rashode poslovanja); financijske rashode (kamate, osiguranja i dr.), naknade građanima i kućanstvima iz proračuna (stipendije i stipendije nadarenim studentima; tekuće donacije (studentske programe studenata).</w:t>
      </w:r>
    </w:p>
    <w:p w:rsidR="00D849AA" w:rsidRDefault="00EE6D95">
      <w:pPr>
        <w:pStyle w:val="Naslov6"/>
      </w:pPr>
      <w:r>
        <w:t>A621168 REDOVNA DJELATNOST SVEUČILIŠTA U PULI</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A621168</w:t>
            </w:r>
          </w:p>
        </w:tc>
        <w:tc>
          <w:tcPr>
            <w:tcW w:w="1486" w:type="dxa"/>
          </w:tcPr>
          <w:p w:rsidR="00D849AA" w:rsidRDefault="00EE6D95">
            <w:r>
              <w:t>38.913.278</w:t>
            </w:r>
          </w:p>
        </w:tc>
        <w:tc>
          <w:tcPr>
            <w:tcW w:w="1486" w:type="dxa"/>
          </w:tcPr>
          <w:p w:rsidR="00D849AA" w:rsidRDefault="00EE6D95">
            <w:r>
              <w:t>39.787.858</w:t>
            </w:r>
          </w:p>
        </w:tc>
        <w:tc>
          <w:tcPr>
            <w:tcW w:w="1486" w:type="dxa"/>
          </w:tcPr>
          <w:p w:rsidR="00D849AA" w:rsidRDefault="00EE6D95">
            <w:r>
              <w:t>40.770.796</w:t>
            </w:r>
          </w:p>
        </w:tc>
        <w:tc>
          <w:tcPr>
            <w:tcW w:w="1486" w:type="dxa"/>
          </w:tcPr>
          <w:p w:rsidR="00D849AA" w:rsidRDefault="00EE6D95">
            <w:r>
              <w:t>42.243.047</w:t>
            </w:r>
          </w:p>
        </w:tc>
        <w:tc>
          <w:tcPr>
            <w:tcW w:w="1486" w:type="dxa"/>
          </w:tcPr>
          <w:p w:rsidR="00D849AA" w:rsidRDefault="00EE6D95">
            <w:r>
              <w:t>102,2</w:t>
            </w:r>
          </w:p>
        </w:tc>
      </w:tr>
    </w:tbl>
    <w:p w:rsidR="00D849AA" w:rsidRDefault="00D849AA">
      <w:pPr>
        <w:jc w:val="left"/>
      </w:pPr>
    </w:p>
    <w:p w:rsidR="00D849AA" w:rsidRDefault="00EE6D95">
      <w:pPr>
        <w:pStyle w:val="Normal6"/>
      </w:pPr>
      <w:r>
        <w:t>U okviru aktivnosti osiguravaju se sredstva za: rashode za zaposlene (bruto plaće s doprinosima poslodavca); ostale rashode za zaposlene (jubilarne nagrade, otpremnine, pomoći, i dar djeci povodom sv. Nikole); materijalne rashode (naknade troškova zaposlenima, rashode za materijal i energiju, rashode za usluge i ostale rashode poslovanja); financijske rashode (kamate, osiguranja i dr.), naknade građanima i kućanstvima iz proračuna (stipendije i stipendije nadarenim studentima; tekuće donacije (studentske programe studenata), te smještaj i prehrana studenata.</w:t>
      </w:r>
    </w:p>
    <w:p w:rsidR="00D849AA" w:rsidRDefault="00EE6D95">
      <w:pPr>
        <w:pStyle w:val="Naslov6"/>
      </w:pPr>
      <w:r>
        <w:t>A621180 REKTORSKI ZBOR</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A621180</w:t>
            </w:r>
          </w:p>
        </w:tc>
        <w:tc>
          <w:tcPr>
            <w:tcW w:w="1486" w:type="dxa"/>
          </w:tcPr>
          <w:p w:rsidR="00D849AA" w:rsidRDefault="00EE6D95">
            <w:r>
              <w:t>130.000</w:t>
            </w:r>
          </w:p>
        </w:tc>
        <w:tc>
          <w:tcPr>
            <w:tcW w:w="1486" w:type="dxa"/>
          </w:tcPr>
          <w:p w:rsidR="00D849AA" w:rsidRDefault="00EE6D95">
            <w:r>
              <w:t>130.888</w:t>
            </w:r>
          </w:p>
        </w:tc>
        <w:tc>
          <w:tcPr>
            <w:tcW w:w="1486" w:type="dxa"/>
          </w:tcPr>
          <w:p w:rsidR="00D849AA" w:rsidRDefault="00EE6D95">
            <w:r>
              <w:t>120.629</w:t>
            </w:r>
          </w:p>
        </w:tc>
        <w:tc>
          <w:tcPr>
            <w:tcW w:w="1486" w:type="dxa"/>
          </w:tcPr>
          <w:p w:rsidR="00D849AA" w:rsidRDefault="00EE6D95">
            <w:r>
              <w:t>120.025</w:t>
            </w:r>
          </w:p>
        </w:tc>
        <w:tc>
          <w:tcPr>
            <w:tcW w:w="1486" w:type="dxa"/>
          </w:tcPr>
          <w:p w:rsidR="00D849AA" w:rsidRDefault="00EE6D95">
            <w:r>
              <w:t>100,7</w:t>
            </w:r>
          </w:p>
        </w:tc>
      </w:tr>
    </w:tbl>
    <w:p w:rsidR="00D849AA" w:rsidRDefault="00D849AA">
      <w:pPr>
        <w:jc w:val="left"/>
      </w:pPr>
    </w:p>
    <w:p w:rsidR="00D849AA" w:rsidRDefault="00EE6D95">
      <w:pPr>
        <w:pStyle w:val="Normal6"/>
      </w:pPr>
      <w:r>
        <w:t>U okviru navedene aktivnosti potrebno je osigurati sredstva za Rektorski zbor koji odlučuje o pitanjima od zajedničkog interesa za djelovanje i razvoj sveučilišta u Republici Hrvatskoj, i regulira dio postupka izbora u radna mjesta te je potrebno osigurati sredstva za njihov rad.</w:t>
      </w:r>
    </w:p>
    <w:p w:rsidR="00D849AA" w:rsidRDefault="00EE6D95">
      <w:pPr>
        <w:pStyle w:val="Naslov6"/>
      </w:pPr>
      <w:r>
        <w:t>A621183 STIPENDIJE I ŠKOLARINE ZA DOKTORSKI STUDIJ</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A621183</w:t>
            </w:r>
          </w:p>
        </w:tc>
        <w:tc>
          <w:tcPr>
            <w:tcW w:w="1486" w:type="dxa"/>
          </w:tcPr>
          <w:p w:rsidR="00D849AA" w:rsidRDefault="00EE6D95">
            <w:r>
              <w:t>5.700.000</w:t>
            </w:r>
          </w:p>
        </w:tc>
        <w:tc>
          <w:tcPr>
            <w:tcW w:w="1486" w:type="dxa"/>
          </w:tcPr>
          <w:p w:rsidR="00D849AA" w:rsidRDefault="00EE6D95">
            <w:r>
              <w:t>3.960.000</w:t>
            </w:r>
          </w:p>
        </w:tc>
        <w:tc>
          <w:tcPr>
            <w:tcW w:w="1486" w:type="dxa"/>
          </w:tcPr>
          <w:p w:rsidR="00D849AA" w:rsidRDefault="00EE6D95">
            <w:r>
              <w:t>5.408.508</w:t>
            </w:r>
          </w:p>
        </w:tc>
        <w:tc>
          <w:tcPr>
            <w:tcW w:w="1486" w:type="dxa"/>
          </w:tcPr>
          <w:p w:rsidR="00D849AA" w:rsidRDefault="00EE6D95">
            <w:r>
              <w:t>5.381.465</w:t>
            </w:r>
          </w:p>
        </w:tc>
        <w:tc>
          <w:tcPr>
            <w:tcW w:w="1486" w:type="dxa"/>
          </w:tcPr>
          <w:p w:rsidR="00D849AA" w:rsidRDefault="00EE6D95">
            <w:r>
              <w:t>69,5</w:t>
            </w:r>
          </w:p>
        </w:tc>
      </w:tr>
    </w:tbl>
    <w:p w:rsidR="00D849AA" w:rsidRDefault="00D849AA">
      <w:pPr>
        <w:jc w:val="left"/>
      </w:pPr>
    </w:p>
    <w:p w:rsidR="00D849AA" w:rsidRDefault="00EE6D95">
      <w:pPr>
        <w:pStyle w:val="Normal6"/>
      </w:pPr>
      <w:r>
        <w:lastRenderedPageBreak/>
        <w:t>U okviru navedene aktivnosti potrebno je osigurati sredstva za: poslijediplomske doktorske školarine, naknade za izradu i opremu magisterija i doktorata prema kolektivnom ugovoru.</w:t>
      </w:r>
    </w:p>
    <w:p w:rsidR="00D849AA" w:rsidRDefault="00EE6D95">
      <w:pPr>
        <w:pStyle w:val="Naslov6"/>
      </w:pPr>
      <w:r>
        <w:t>A621185 POTPORA HRVATSKOM KATOLIČKOM SVEUČILIŠTU U ZAGREBU</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A621185</w:t>
            </w:r>
          </w:p>
        </w:tc>
        <w:tc>
          <w:tcPr>
            <w:tcW w:w="1486" w:type="dxa"/>
          </w:tcPr>
          <w:p w:rsidR="00D849AA" w:rsidRDefault="00EE6D95">
            <w:r>
              <w:t>7.868.066</w:t>
            </w:r>
          </w:p>
        </w:tc>
        <w:tc>
          <w:tcPr>
            <w:tcW w:w="1486" w:type="dxa"/>
          </w:tcPr>
          <w:p w:rsidR="00D849AA" w:rsidRDefault="00EE6D95">
            <w:r>
              <w:t>8.308.678</w:t>
            </w:r>
          </w:p>
        </w:tc>
        <w:tc>
          <w:tcPr>
            <w:tcW w:w="1486" w:type="dxa"/>
          </w:tcPr>
          <w:p w:rsidR="00D849AA" w:rsidRDefault="00EE6D95">
            <w:r>
              <w:t>8.557.937</w:t>
            </w:r>
          </w:p>
        </w:tc>
        <w:tc>
          <w:tcPr>
            <w:tcW w:w="1486" w:type="dxa"/>
          </w:tcPr>
          <w:p w:rsidR="00D849AA" w:rsidRDefault="00EE6D95">
            <w:r>
              <w:t>8.883.141</w:t>
            </w:r>
          </w:p>
        </w:tc>
        <w:tc>
          <w:tcPr>
            <w:tcW w:w="1486" w:type="dxa"/>
          </w:tcPr>
          <w:p w:rsidR="00D849AA" w:rsidRDefault="00EE6D95">
            <w:r>
              <w:t>105,6</w:t>
            </w:r>
          </w:p>
        </w:tc>
      </w:tr>
    </w:tbl>
    <w:p w:rsidR="00D849AA" w:rsidRDefault="00D849AA">
      <w:pPr>
        <w:jc w:val="left"/>
      </w:pPr>
    </w:p>
    <w:p w:rsidR="00D849AA" w:rsidRDefault="00EE6D95">
      <w:pPr>
        <w:pStyle w:val="Normal6"/>
      </w:pPr>
      <w:r>
        <w:t>U okviru navedene aktivnosti potrebno je osigurati sredstva za: rashode za zaposlene (bruto plaće s doprinosima poslodavca); ostale rashode za zaposlene (jubilarne nagrade, otpremnine, pomoći, i dar djeci povodom sv. Nikole).</w:t>
      </w:r>
    </w:p>
    <w:p w:rsidR="00D849AA" w:rsidRDefault="00EE6D95">
      <w:pPr>
        <w:pStyle w:val="Naslov6"/>
      </w:pPr>
      <w:r>
        <w:t>A622122 TROŠKOVI ŠKOLARINE ZA DIPLOMSKI I PREDDIPLOMSKI STUDIJ</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A622122</w:t>
            </w:r>
          </w:p>
        </w:tc>
        <w:tc>
          <w:tcPr>
            <w:tcW w:w="1486" w:type="dxa"/>
          </w:tcPr>
          <w:p w:rsidR="00D849AA" w:rsidRDefault="00EE6D95">
            <w:r>
              <w:t>250.000.000</w:t>
            </w:r>
          </w:p>
        </w:tc>
        <w:tc>
          <w:tcPr>
            <w:tcW w:w="1486" w:type="dxa"/>
          </w:tcPr>
          <w:p w:rsidR="00D849AA" w:rsidRDefault="00EE6D95">
            <w:r>
              <w:t>252.523.092</w:t>
            </w:r>
          </w:p>
        </w:tc>
        <w:tc>
          <w:tcPr>
            <w:tcW w:w="1486" w:type="dxa"/>
          </w:tcPr>
          <w:p w:rsidR="00D849AA" w:rsidRDefault="00EE6D95">
            <w:r>
              <w:t>232.729.615</w:t>
            </w:r>
          </w:p>
        </w:tc>
        <w:tc>
          <w:tcPr>
            <w:tcW w:w="1486" w:type="dxa"/>
          </w:tcPr>
          <w:p w:rsidR="00D849AA" w:rsidRDefault="00EE6D95">
            <w:r>
              <w:t>231.565.967</w:t>
            </w:r>
          </w:p>
        </w:tc>
        <w:tc>
          <w:tcPr>
            <w:tcW w:w="1486" w:type="dxa"/>
          </w:tcPr>
          <w:p w:rsidR="00D849AA" w:rsidRDefault="00EE6D95">
            <w:r>
              <w:t>101,0</w:t>
            </w:r>
          </w:p>
        </w:tc>
      </w:tr>
    </w:tbl>
    <w:p w:rsidR="00D849AA" w:rsidRDefault="00D849AA">
      <w:pPr>
        <w:jc w:val="left"/>
      </w:pPr>
    </w:p>
    <w:p w:rsidR="00D849AA" w:rsidRDefault="00EE6D95">
      <w:pPr>
        <w:pStyle w:val="Normal6"/>
      </w:pPr>
      <w:r>
        <w:t xml:space="preserve">U okviru navedene aktivnosti potrebno je osigurati sredstva za:  </w:t>
      </w:r>
    </w:p>
    <w:p w:rsidR="00D849AA" w:rsidRDefault="00EE6D95">
      <w:pPr>
        <w:pStyle w:val="Normal6"/>
      </w:pPr>
      <w:r>
        <w:t>- punu subvenciju participacije u troškovima studija redovitih studenata preddiplomskih sveučilišnih, integriranih preddiplomskih i diplomskih sveučilišnih, diplomskih sveučilišnih, stručnih i specijalističkih diplomskih stručnih studija:  koji u akademskoj godini 2013./2014. ili 2014./2015. po prvi put upisuju prvu godinu studija na javnom visokom učilištu; koji su, u trenutku kada upisuju akademske godine 2013./2014. i 2014./ 2015., u prethodnoj akademskoj godini stekli najmanje 55 ECTS bodova na studijskom programu javnih visokih učilišta. Za studente s utvrđenim invaliditetom višim od 60%, za ostvarivanje ovih prava minimalni broj ECTS bodova stečen u prethodnoj akademskoj godini je 30, a temeljem Odluke Vlade Republike Hrvatske o punoj subvenciji participacije u troškovima studija za redovite studente na javnim visokim učilištima u Republici Hrvatskoj u akademskoj godini 2012./2013., 2013./2014. i 2014./2015., od 2. kolovoza 2012. godine.</w:t>
      </w:r>
    </w:p>
    <w:p w:rsidR="00D849AA" w:rsidRDefault="00EE6D95">
      <w:pPr>
        <w:pStyle w:val="Naslov6"/>
      </w:pPr>
      <w:r>
        <w:t>A679067 STIPENDIJE ZA STUDENTE SLABIJEGA SOCIO-EKONOMSKOG STATUSA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A679067</w:t>
            </w:r>
          </w:p>
        </w:tc>
        <w:tc>
          <w:tcPr>
            <w:tcW w:w="1486" w:type="dxa"/>
          </w:tcPr>
          <w:p w:rsidR="00D849AA" w:rsidRDefault="00EE6D95">
            <w:r>
              <w:t>00</w:t>
            </w:r>
          </w:p>
        </w:tc>
        <w:tc>
          <w:tcPr>
            <w:tcW w:w="1486" w:type="dxa"/>
          </w:tcPr>
          <w:p w:rsidR="00D849AA" w:rsidRDefault="00EE6D95">
            <w:r>
              <w:t>45.837.000</w:t>
            </w:r>
          </w:p>
        </w:tc>
        <w:tc>
          <w:tcPr>
            <w:tcW w:w="1486" w:type="dxa"/>
          </w:tcPr>
          <w:p w:rsidR="00D849AA" w:rsidRDefault="00EE6D95">
            <w:r>
              <w:t>42.244.166</w:t>
            </w:r>
          </w:p>
        </w:tc>
        <w:tc>
          <w:tcPr>
            <w:tcW w:w="1486" w:type="dxa"/>
          </w:tcPr>
          <w:p w:rsidR="00D849AA" w:rsidRDefault="00EE6D95">
            <w:r>
              <w:t>42.032.945</w:t>
            </w:r>
          </w:p>
        </w:tc>
        <w:tc>
          <w:tcPr>
            <w:tcW w:w="1486" w:type="dxa"/>
          </w:tcPr>
          <w:p w:rsidR="00D849AA" w:rsidRDefault="00EE6D95">
            <w:r>
              <w:t>0,0</w:t>
            </w:r>
          </w:p>
        </w:tc>
      </w:tr>
    </w:tbl>
    <w:p w:rsidR="00D849AA" w:rsidRDefault="00D849AA">
      <w:pPr>
        <w:jc w:val="left"/>
      </w:pPr>
    </w:p>
    <w:p w:rsidR="00D849AA" w:rsidRDefault="00EE6D95">
      <w:pPr>
        <w:pStyle w:val="Normal6"/>
      </w:pPr>
      <w:r>
        <w:t>Radi ostvarenja cilja prelaska s indirektnih na direktne financijske potpore, potrebno je ustanoviti novu aktivnost u sklopu koje će se transparentno pratiti ostvarenje cilja. Otvaranje ove aktivnosti i potrebna financijska sredstva utemeljena su na cilju 4.1 Strategije Vladinih programa 2014.-2016.</w:t>
      </w:r>
    </w:p>
    <w:p w:rsidR="001A0148" w:rsidRDefault="001A0148">
      <w:pPr>
        <w:pStyle w:val="Normal6"/>
      </w:pPr>
    </w:p>
    <w:p w:rsidR="00D849AA" w:rsidRDefault="00EE6D95">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2229"/>
        <w:gridCol w:w="1361"/>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Povećanje broja dodijeljenih stipendija u RH u različitim kategorijama</w:t>
            </w:r>
          </w:p>
        </w:tc>
        <w:tc>
          <w:tcPr>
            <w:tcW w:w="1114" w:type="dxa"/>
          </w:tcPr>
          <w:p w:rsidR="00D849AA" w:rsidRDefault="00EE6D95">
            <w:r>
              <w:t>Broj (kumulativno)</w:t>
            </w:r>
          </w:p>
        </w:tc>
        <w:tc>
          <w:tcPr>
            <w:tcW w:w="1114" w:type="dxa"/>
          </w:tcPr>
          <w:p w:rsidR="00D849AA" w:rsidRDefault="00EE6D95">
            <w:r>
              <w:t>4500</w:t>
            </w:r>
          </w:p>
        </w:tc>
        <w:tc>
          <w:tcPr>
            <w:tcW w:w="1486" w:type="dxa"/>
          </w:tcPr>
          <w:p w:rsidR="00D849AA" w:rsidRDefault="00EE6D95">
            <w:r>
              <w:t>/</w:t>
            </w:r>
          </w:p>
        </w:tc>
        <w:tc>
          <w:tcPr>
            <w:tcW w:w="1486" w:type="dxa"/>
          </w:tcPr>
          <w:p w:rsidR="00D849AA" w:rsidRDefault="00EE6D95">
            <w:r>
              <w:t>6.200</w:t>
            </w:r>
          </w:p>
        </w:tc>
        <w:tc>
          <w:tcPr>
            <w:tcW w:w="1486" w:type="dxa"/>
          </w:tcPr>
          <w:p w:rsidR="00D849AA" w:rsidRDefault="00EE6D95">
            <w:r>
              <w:t>8.500</w:t>
            </w:r>
          </w:p>
        </w:tc>
      </w:tr>
    </w:tbl>
    <w:p w:rsidR="00D849AA" w:rsidRDefault="00D849AA">
      <w:pPr>
        <w:jc w:val="left"/>
      </w:pPr>
    </w:p>
    <w:p w:rsidR="00D849AA" w:rsidRDefault="00EE6D95">
      <w:pPr>
        <w:pStyle w:val="Naslov6"/>
      </w:pPr>
      <w:r>
        <w:t>A622012 REDOVNA DJELATNOST SEIZMOLOŠKE SLUŽBE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A622012</w:t>
            </w:r>
          </w:p>
        </w:tc>
        <w:tc>
          <w:tcPr>
            <w:tcW w:w="1486" w:type="dxa"/>
          </w:tcPr>
          <w:p w:rsidR="00D849AA" w:rsidRDefault="00EE6D95">
            <w:r>
              <w:t>400.000</w:t>
            </w:r>
          </w:p>
        </w:tc>
        <w:tc>
          <w:tcPr>
            <w:tcW w:w="1486" w:type="dxa"/>
          </w:tcPr>
          <w:p w:rsidR="00D849AA" w:rsidRDefault="00EE6D95">
            <w:r>
              <w:t>396.000</w:t>
            </w:r>
          </w:p>
        </w:tc>
        <w:tc>
          <w:tcPr>
            <w:tcW w:w="1486" w:type="dxa"/>
          </w:tcPr>
          <w:p w:rsidR="00D849AA" w:rsidRDefault="00EE6D95">
            <w:r>
              <w:t>364.960</w:t>
            </w:r>
          </w:p>
        </w:tc>
        <w:tc>
          <w:tcPr>
            <w:tcW w:w="1486" w:type="dxa"/>
          </w:tcPr>
          <w:p w:rsidR="00D849AA" w:rsidRDefault="00EE6D95">
            <w:r>
              <w:t>363.136</w:t>
            </w:r>
          </w:p>
        </w:tc>
        <w:tc>
          <w:tcPr>
            <w:tcW w:w="1486" w:type="dxa"/>
          </w:tcPr>
          <w:p w:rsidR="00D849AA" w:rsidRDefault="00EE6D95">
            <w:r>
              <w:t>99,0</w:t>
            </w:r>
          </w:p>
        </w:tc>
      </w:tr>
    </w:tbl>
    <w:p w:rsidR="00D849AA" w:rsidRDefault="00D849AA">
      <w:pPr>
        <w:jc w:val="left"/>
      </w:pPr>
    </w:p>
    <w:p w:rsidR="00D849AA" w:rsidRDefault="00EE6D95">
      <w:pPr>
        <w:pStyle w:val="Normal6"/>
      </w:pPr>
      <w:r>
        <w:t>Kroz ovu aktivnost provodi se već dugi niz godina financiranje redovne djelatnosti Seizmološke službe, što podrazumijeva financiranje materijalnih troškova redovitog poslovanja pogona 12 stalnih seizmografskih i 14 akcelerografskih postaja pomoću kojih se prikupljaju, obrađuju i analiziraju makroseizmički podatci. Sve seizmografske postaje opremljene su najmodernijim seizmografima te je tako Seizmološka služba uključena u razmjenu podataka u realnom vremenu sa susjednim državama i europskim seizmološkim centrima.</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361"/>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Povećanje broja ugovorenih projekata s gospodarskim subjektima, tijelima državne uprave i jedinicama lokalne uprave i samouprave, civilnim sektorom i nevladinim udrugama, prosjek na 1.000 istraživača</w:t>
            </w:r>
          </w:p>
        </w:tc>
        <w:tc>
          <w:tcPr>
            <w:tcW w:w="1114" w:type="dxa"/>
          </w:tcPr>
          <w:p w:rsidR="00D849AA" w:rsidRDefault="00EE6D95">
            <w:r>
              <w:t>Broj (kumulativno)</w:t>
            </w:r>
          </w:p>
        </w:tc>
        <w:tc>
          <w:tcPr>
            <w:tcW w:w="1114" w:type="dxa"/>
          </w:tcPr>
          <w:p w:rsidR="00D849AA" w:rsidRDefault="00EE6D95">
            <w:r>
              <w:t>90 (2012.)</w:t>
            </w:r>
          </w:p>
        </w:tc>
        <w:tc>
          <w:tcPr>
            <w:tcW w:w="1486" w:type="dxa"/>
          </w:tcPr>
          <w:p w:rsidR="00D849AA" w:rsidRDefault="00EE6D95">
            <w:r>
              <w:t>100</w:t>
            </w:r>
          </w:p>
        </w:tc>
        <w:tc>
          <w:tcPr>
            <w:tcW w:w="1486" w:type="dxa"/>
          </w:tcPr>
          <w:p w:rsidR="00D849AA" w:rsidRDefault="00EE6D95">
            <w:r>
              <w:t>120</w:t>
            </w:r>
          </w:p>
        </w:tc>
        <w:tc>
          <w:tcPr>
            <w:tcW w:w="1486" w:type="dxa"/>
          </w:tcPr>
          <w:p w:rsidR="00D849AA" w:rsidRDefault="00EE6D95">
            <w:r>
              <w:t>150</w:t>
            </w:r>
          </w:p>
        </w:tc>
      </w:tr>
      <w:tr w:rsidR="00D849AA">
        <w:trPr>
          <w:jc w:val="center"/>
        </w:trPr>
        <w:tc>
          <w:tcPr>
            <w:tcW w:w="2229" w:type="dxa"/>
          </w:tcPr>
          <w:p w:rsidR="00D849AA" w:rsidRDefault="00EE6D95">
            <w:pPr>
              <w:pStyle w:val="CellColumn"/>
            </w:pPr>
            <w:r>
              <w:t>Povećanje broja zajedničkih publikacija javnih i privatnih ustanova na milijun stanovnika</w:t>
            </w:r>
          </w:p>
        </w:tc>
        <w:tc>
          <w:tcPr>
            <w:tcW w:w="1114" w:type="dxa"/>
          </w:tcPr>
          <w:p w:rsidR="00D849AA" w:rsidRDefault="00EE6D95">
            <w:r>
              <w:t>Broj (godišnje)</w:t>
            </w:r>
          </w:p>
        </w:tc>
        <w:tc>
          <w:tcPr>
            <w:tcW w:w="1114" w:type="dxa"/>
          </w:tcPr>
          <w:p w:rsidR="00D849AA" w:rsidRDefault="00EE6D95">
            <w:r>
              <w:t>27 (2011.)</w:t>
            </w:r>
          </w:p>
        </w:tc>
        <w:tc>
          <w:tcPr>
            <w:tcW w:w="1486" w:type="dxa"/>
          </w:tcPr>
          <w:p w:rsidR="00D849AA" w:rsidRDefault="00EE6D95">
            <w:r>
              <w:t>30</w:t>
            </w:r>
          </w:p>
        </w:tc>
        <w:tc>
          <w:tcPr>
            <w:tcW w:w="1486" w:type="dxa"/>
          </w:tcPr>
          <w:p w:rsidR="00D849AA" w:rsidRDefault="00EE6D95">
            <w:r>
              <w:t>33</w:t>
            </w:r>
          </w:p>
        </w:tc>
        <w:tc>
          <w:tcPr>
            <w:tcW w:w="1486" w:type="dxa"/>
          </w:tcPr>
          <w:p w:rsidR="00D849AA" w:rsidRDefault="00EE6D95">
            <w:r>
              <w:t>36</w:t>
            </w:r>
          </w:p>
        </w:tc>
      </w:tr>
      <w:tr w:rsidR="00D849AA">
        <w:trPr>
          <w:jc w:val="center"/>
        </w:trPr>
        <w:tc>
          <w:tcPr>
            <w:tcW w:w="2229" w:type="dxa"/>
          </w:tcPr>
          <w:p w:rsidR="00D849AA" w:rsidRDefault="00EE6D95">
            <w:pPr>
              <w:pStyle w:val="CellColumn"/>
            </w:pPr>
            <w:r>
              <w:t xml:space="preserve">Povećanje udjela prihoda znanstvenih organizacija od ugovorenih projekata s gospodarskim </w:t>
            </w:r>
            <w:r>
              <w:lastRenderedPageBreak/>
              <w:t>subjektima, tijelima državne uprave i jedinicama lokalne uprave i samouprave, civilnim sektorom i nevladinim udrugama u ukupnim prihodima</w:t>
            </w:r>
          </w:p>
        </w:tc>
        <w:tc>
          <w:tcPr>
            <w:tcW w:w="1114" w:type="dxa"/>
          </w:tcPr>
          <w:p w:rsidR="00D849AA" w:rsidRDefault="00EE6D95">
            <w:r>
              <w:lastRenderedPageBreak/>
              <w:t>Postotak u ukupnim prihodima (godišnje)</w:t>
            </w:r>
          </w:p>
        </w:tc>
        <w:tc>
          <w:tcPr>
            <w:tcW w:w="1114" w:type="dxa"/>
          </w:tcPr>
          <w:p w:rsidR="00D849AA" w:rsidRDefault="00EE6D95">
            <w:r>
              <w:t>10,53 (2012.)</w:t>
            </w:r>
          </w:p>
        </w:tc>
        <w:tc>
          <w:tcPr>
            <w:tcW w:w="1486" w:type="dxa"/>
          </w:tcPr>
          <w:p w:rsidR="00D849AA" w:rsidRDefault="00EE6D95">
            <w:r>
              <w:t>11</w:t>
            </w:r>
          </w:p>
        </w:tc>
        <w:tc>
          <w:tcPr>
            <w:tcW w:w="1486" w:type="dxa"/>
          </w:tcPr>
          <w:p w:rsidR="00D849AA" w:rsidRDefault="00EE6D95">
            <w:r>
              <w:t>12</w:t>
            </w:r>
          </w:p>
        </w:tc>
        <w:tc>
          <w:tcPr>
            <w:tcW w:w="1486" w:type="dxa"/>
          </w:tcPr>
          <w:p w:rsidR="00D849AA" w:rsidRDefault="00EE6D95">
            <w:r>
              <w:t>13</w:t>
            </w:r>
          </w:p>
        </w:tc>
      </w:tr>
    </w:tbl>
    <w:p w:rsidR="00D849AA" w:rsidRDefault="00D849AA">
      <w:pPr>
        <w:jc w:val="left"/>
      </w:pPr>
    </w:p>
    <w:p w:rsidR="00D849AA" w:rsidRDefault="00EE6D95">
      <w:pPr>
        <w:pStyle w:val="Naslov2"/>
      </w:pPr>
      <w:r>
        <w:t>08008 Javni instituti u Republici Hrvatskoj</w:t>
      </w:r>
    </w:p>
    <w:p w:rsidR="00D849AA" w:rsidRDefault="00EE6D95">
      <w:pPr>
        <w:pStyle w:val="Naslov4"/>
      </w:pPr>
      <w:r>
        <w:t>Uvod</w:t>
      </w:r>
    </w:p>
    <w:p w:rsidR="00D849AA" w:rsidRDefault="00EE6D95">
      <w:pPr>
        <w:pStyle w:val="Normal3"/>
      </w:pPr>
      <w:r>
        <w:t>Mreža javnih znanstvenih instituta, osnovanih s ciljem planiranja i provođenja znanstvenih i tehnoloških istraživanja, čini okosnicu znanstvenog sustava u Republici Hrvatskoj. Primarna zadaća javnih znanstvenih instituta usmjerena su i razvojna istraživanja, što će se ostvarivati postupno i stvarnim sagledavanjem stanja, a vodeći se rezultatima temeljnih istraživanja. Znanstveno-tehnološki istraživački rad i djelotvorno prenošenje njegovih rezultata (inovacija) u dobra, usluge i procese predstavlja ključnu sponu u stvaranju konkurentnog gospodarstva i društva znanja.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08008</w:t>
            </w:r>
          </w:p>
        </w:tc>
        <w:tc>
          <w:tcPr>
            <w:tcW w:w="1486" w:type="dxa"/>
          </w:tcPr>
          <w:p w:rsidR="00D849AA" w:rsidRDefault="00EE6D95">
            <w:r>
              <w:t>322.206.468</w:t>
            </w:r>
          </w:p>
        </w:tc>
        <w:tc>
          <w:tcPr>
            <w:tcW w:w="1486" w:type="dxa"/>
          </w:tcPr>
          <w:p w:rsidR="00D849AA" w:rsidRDefault="00EE6D95">
            <w:r>
              <w:t>334.287.374</w:t>
            </w:r>
          </w:p>
        </w:tc>
        <w:tc>
          <w:tcPr>
            <w:tcW w:w="1486" w:type="dxa"/>
          </w:tcPr>
          <w:p w:rsidR="00D849AA" w:rsidRDefault="00EE6D95">
            <w:r>
              <w:t>339.961.263</w:t>
            </w:r>
          </w:p>
        </w:tc>
        <w:tc>
          <w:tcPr>
            <w:tcW w:w="1486" w:type="dxa"/>
          </w:tcPr>
          <w:p w:rsidR="00D849AA" w:rsidRDefault="00EE6D95">
            <w:r>
              <w:t>351.131.288</w:t>
            </w:r>
          </w:p>
        </w:tc>
        <w:tc>
          <w:tcPr>
            <w:tcW w:w="1486" w:type="dxa"/>
          </w:tcPr>
          <w:p w:rsidR="00D849AA" w:rsidRDefault="00EE6D95">
            <w:r>
              <w:t>103,7</w:t>
            </w:r>
          </w:p>
        </w:tc>
      </w:tr>
    </w:tbl>
    <w:p w:rsidR="00D849AA" w:rsidRDefault="00D849AA">
      <w:pPr>
        <w:jc w:val="left"/>
      </w:pPr>
    </w:p>
    <w:p w:rsidR="00D849AA" w:rsidRDefault="00EE6D95">
      <w:pPr>
        <w:pStyle w:val="Naslov4"/>
      </w:pPr>
      <w:r>
        <w:t>OBRAZLOŽENJE PROGRAMA</w:t>
      </w:r>
    </w:p>
    <w:p w:rsidR="00D849AA" w:rsidRDefault="00EE6D95">
      <w:pPr>
        <w:pStyle w:val="Naslov5"/>
      </w:pPr>
      <w:r>
        <w:t>3801 ULAGANJE U ZNANSTVENO ISTRAŽIVAČKU DJELATNOST</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3801</w:t>
            </w:r>
          </w:p>
        </w:tc>
        <w:tc>
          <w:tcPr>
            <w:tcW w:w="1486" w:type="dxa"/>
          </w:tcPr>
          <w:p w:rsidR="00D849AA" w:rsidRDefault="00EE6D95">
            <w:r>
              <w:t>322.206.468</w:t>
            </w:r>
          </w:p>
        </w:tc>
        <w:tc>
          <w:tcPr>
            <w:tcW w:w="1486" w:type="dxa"/>
          </w:tcPr>
          <w:p w:rsidR="00D849AA" w:rsidRDefault="00EE6D95">
            <w:r>
              <w:t>334.287.374</w:t>
            </w:r>
          </w:p>
        </w:tc>
        <w:tc>
          <w:tcPr>
            <w:tcW w:w="1486" w:type="dxa"/>
          </w:tcPr>
          <w:p w:rsidR="00D849AA" w:rsidRDefault="00EE6D95">
            <w:r>
              <w:t>339.961.263</w:t>
            </w:r>
          </w:p>
        </w:tc>
        <w:tc>
          <w:tcPr>
            <w:tcW w:w="1486" w:type="dxa"/>
          </w:tcPr>
          <w:p w:rsidR="00D849AA" w:rsidRDefault="00EE6D95">
            <w:r>
              <w:t>351.131.288</w:t>
            </w:r>
          </w:p>
        </w:tc>
        <w:tc>
          <w:tcPr>
            <w:tcW w:w="1486" w:type="dxa"/>
          </w:tcPr>
          <w:p w:rsidR="00D849AA" w:rsidRDefault="00EE6D95">
            <w:r>
              <w:t>103,7</w:t>
            </w:r>
          </w:p>
        </w:tc>
      </w:tr>
    </w:tbl>
    <w:p w:rsidR="00D849AA" w:rsidRDefault="00D849AA">
      <w:pPr>
        <w:jc w:val="left"/>
      </w:pPr>
    </w:p>
    <w:p w:rsidR="00D849AA" w:rsidRDefault="00EE6D95">
      <w:pPr>
        <w:pStyle w:val="Naslov6"/>
      </w:pPr>
      <w:r>
        <w:t>Opis programa</w:t>
      </w:r>
    </w:p>
    <w:p w:rsidR="00D849AA" w:rsidRDefault="00EE6D95">
      <w:pPr>
        <w:pStyle w:val="Normal5"/>
      </w:pPr>
      <w:r>
        <w:t xml:space="preserve">Razvoj znanstvenoga, tehnologijskoga i inovacijskoga sustava omogućit će izgradnju Hrvatske kao zemlje okrenute znanju i inovacijama, s konačnim ciljem povećanja konkurentnosti, produktivnosti i zapošljavanja te, sukladno tome, ostvarenja stabilnoga i održivoga gospodarskog rasta. Navedeno se postiže kroz sustavnu suradnju Vlade Republike Hrvatske i Ministarstva znanosti, obrazovanja i sporta u procesu odlučivanja i upravljanja te uključenjem znanstvene i obrazovne zajednice u proces planiranja i provođenja razvojnih mjera za znanost i tehnologiju usmjerenih prema ostvarivanju prepoznatih nacionalnih prioriteta u znanstvenoj djelatnosti, snažnijem profiliranju javnih znanstvenih instituta i sveučilišnih ustanova na nacionalnoj i međunarodnoj razini te donošenju i provedbi javnih politika temeljenih na znanstvenim rezultatima. Također će se sustavno nastaviti raditi na </w:t>
      </w:r>
      <w:r>
        <w:lastRenderedPageBreak/>
        <w:t xml:space="preserve">jačanju postojećih ljudskih i infrastrukturnih znanstvenih potencijala te se iste kontinuirano usmjeravati prema većoj kvaliteti, značaju i strukturiranosti znanstvene djelatnosti. </w:t>
      </w:r>
    </w:p>
    <w:p w:rsidR="00D849AA" w:rsidRDefault="00EE6D95">
      <w:pPr>
        <w:pStyle w:val="Normal5"/>
      </w:pPr>
      <w:r>
        <w:t>Provedba Programa 3801 Ulaganje u znanstvenoistraživačku djelatnost usklađeni je s mjerama i sredstvima za "predanost visokom obrazovanju i znanstvenom istraživanju koja će biti u skladu s potrebama tržišta rada i jačanja konkurentnosti hrvatske materijalne i nematerijalne proizvodnje", sukladno Programu Vlade Republike Hrvatske za mandat 2011.-2015.</w:t>
      </w:r>
    </w:p>
    <w:p w:rsidR="00D849AA" w:rsidRDefault="00EE6D95">
      <w:pPr>
        <w:pStyle w:val="Naslov6"/>
      </w:pPr>
      <w:r>
        <w:t>Zakonske i druge pravne osnove</w:t>
      </w:r>
    </w:p>
    <w:p w:rsidR="00D849AA" w:rsidRDefault="00EE6D95">
      <w:pPr>
        <w:pStyle w:val="Normal5"/>
      </w:pPr>
      <w:r>
        <w:t xml:space="preserve">Zakon o znanstvenoj djelatnosti i visokom obrazovanju (NN 123/03, 198/03, 105/04,174/04 i 46/07 i 45/09; </w:t>
      </w:r>
    </w:p>
    <w:p w:rsidR="00D849AA" w:rsidRDefault="00EE6D95">
      <w:pPr>
        <w:pStyle w:val="Normal5"/>
      </w:pPr>
      <w:r>
        <w:t xml:space="preserve">Kolektivni ugovor za znanost i visoko obrazovanje (NN 142/10); </w:t>
      </w:r>
    </w:p>
    <w:p w:rsidR="00D849AA" w:rsidRDefault="00EE6D95">
      <w:pPr>
        <w:pStyle w:val="Normal5"/>
      </w:pPr>
      <w:r>
        <w:t xml:space="preserve">Temeljni kolektivni ugovor za službenike i namještenike u javnim službama (NN 115/10); </w:t>
      </w:r>
    </w:p>
    <w:p w:rsidR="00D849AA" w:rsidRDefault="00EE6D95">
      <w:pPr>
        <w:pStyle w:val="Normal5"/>
      </w:pPr>
      <w:r>
        <w:t xml:space="preserve">Zakon o geološkim istraživanjima (NN 34/86); </w:t>
      </w:r>
    </w:p>
    <w:p w:rsidR="00D849AA" w:rsidRDefault="00EE6D95">
      <w:pPr>
        <w:pStyle w:val="Normal5"/>
      </w:pPr>
      <w:r>
        <w:t xml:space="preserve">Zakon o ustanovama (NN 76/93; 29/97, 47/99 i 35/08); </w:t>
      </w:r>
    </w:p>
    <w:p w:rsidR="00D849AA" w:rsidRDefault="00EE6D95">
      <w:pPr>
        <w:pStyle w:val="Normal5"/>
      </w:pPr>
      <w:r>
        <w:t>Pravilnik o vrednovanju znanstvenih organizacija (NN 104/08)</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Cilj 1. Poticanje jačeg povezivanja znanstvenog potencijala na javnim znanstvenim institutima i visokim učilištima s gospodarstvom i društvom u cjelini</w:t>
      </w:r>
    </w:p>
    <w:p w:rsidR="00D849AA" w:rsidRDefault="00EE6D95">
      <w:pPr>
        <w:pStyle w:val="Normal6"/>
      </w:pPr>
      <w:r>
        <w:t xml:space="preserve">Sustav znanosti u Republici Hrvatskoj ima znanstveni potencijal koji čini čvrstu osnovu za daljnji razvoj znanstvenih istraživanja, posebice u temama važnima za održiv gospodarski i društveni razvoj zemlje i povećanje kvalitete života. U Republici Hrvatskoj djeluje dvadeset pet javnih znanstvenih instituta, sedam javnih sveučilišta te dvije ustanove od posebne važnosti za Republiku Hrvatsku, koji nose glavnu odgovornost za implementaciju navedenoga cilja. </w:t>
      </w:r>
    </w:p>
    <w:p w:rsidR="00D849AA" w:rsidRDefault="00EE6D95">
      <w:pPr>
        <w:pStyle w:val="Normal6"/>
      </w:pPr>
      <w:r>
        <w:t xml:space="preserve">Ipak, unatoč velikom potencijalu, iskorištenost znanosti za potrebe gospodarskog razvoja i usklađenost znanstvene djelatnosti na javnim institutima i sveučilištima sa stvarnim potrebama gospodarstva i društva u kome djeluju još je uvijek nedovoljna te se bolje povezivanje znanstvenih istraživanja s potrebama gospodarstva i društva u cjelini nameće kao logičan cilj, u perspektivi općeg povećanja konkurentnosti Republike Hrvatske. Pri tome će se poticati ostvarenje suradnje sveučilišta, znanstvenih instituta i istraživačkih zavoda s gospodarstvom i „transferima tehnologije“, čemu mogu pridonijeti znanstveno-tehnologijski parkovi, znanstveni i tehnologijski inkubatori povezani sa sveučilištima i fakultetima, sveučilišne ili institutske start-up ili spin-off jedinice i tvrtke (izvor: Program Vlade RH), a sve kako bi se osigurao ravnomjeran razvoj znanstvenoga sustava te, posljedično, i balansiran gospodarski napredak na nacionalnoj razini. </w:t>
      </w:r>
    </w:p>
    <w:p w:rsidR="00D849AA" w:rsidRDefault="00EE6D95">
      <w:pPr>
        <w:pStyle w:val="Normal6"/>
      </w:pPr>
      <w:r>
        <w:t>Poseban naglasak bit će stavljen na jačanje suradnje javnog i privatnog sektora u dijelu poticanja projekata i programa popularizacije znanosti, tehnologije i inovacija, s ciljem uključivanja zainteresirane javnosti u takve aktivnosti.</w:t>
      </w:r>
    </w:p>
    <w:p w:rsidR="001A0148" w:rsidRDefault="001A0148">
      <w:pPr>
        <w:pStyle w:val="Normal6"/>
      </w:pPr>
    </w:p>
    <w:p w:rsidR="001A0148" w:rsidRDefault="001A0148">
      <w:pPr>
        <w:pStyle w:val="Normal6"/>
      </w:pPr>
    </w:p>
    <w:p w:rsidR="001A0148" w:rsidRDefault="001A0148">
      <w:pPr>
        <w:pStyle w:val="Normal6"/>
      </w:pPr>
    </w:p>
    <w:p w:rsidR="001A0148" w:rsidRDefault="001A0148">
      <w:pPr>
        <w:pStyle w:val="Normal6"/>
      </w:pPr>
    </w:p>
    <w:p w:rsidR="001A0148" w:rsidRDefault="001A0148">
      <w:pPr>
        <w:pStyle w:val="Normal6"/>
      </w:pPr>
    </w:p>
    <w:p w:rsidR="00D849AA" w:rsidRDefault="00EE6D95">
      <w:pPr>
        <w:pStyle w:val="Naslov8"/>
        <w:jc w:val="left"/>
      </w:pPr>
      <w:r>
        <w:lastRenderedPageBreak/>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Povećanje ulaganja iz privatnoga sektora u znanost i istraživanje kao udio u BDP-u</w:t>
            </w:r>
          </w:p>
        </w:tc>
        <w:tc>
          <w:tcPr>
            <w:tcW w:w="1114" w:type="dxa"/>
          </w:tcPr>
          <w:p w:rsidR="00D849AA" w:rsidRDefault="00EE6D95">
            <w:r>
              <w:t>Postotak</w:t>
            </w:r>
          </w:p>
        </w:tc>
        <w:tc>
          <w:tcPr>
            <w:tcW w:w="1114" w:type="dxa"/>
          </w:tcPr>
          <w:p w:rsidR="00D849AA" w:rsidRDefault="00EE6D95">
            <w:r>
              <w:t>0,33 (2011.)</w:t>
            </w:r>
          </w:p>
        </w:tc>
        <w:tc>
          <w:tcPr>
            <w:tcW w:w="1486" w:type="dxa"/>
          </w:tcPr>
          <w:p w:rsidR="00D849AA" w:rsidRDefault="00EE6D95">
            <w:r>
              <w:t>0,35</w:t>
            </w:r>
          </w:p>
        </w:tc>
        <w:tc>
          <w:tcPr>
            <w:tcW w:w="1486" w:type="dxa"/>
          </w:tcPr>
          <w:p w:rsidR="00D849AA" w:rsidRDefault="00EE6D95">
            <w:r>
              <w:t>0,4</w:t>
            </w:r>
          </w:p>
        </w:tc>
        <w:tc>
          <w:tcPr>
            <w:tcW w:w="1486" w:type="dxa"/>
          </w:tcPr>
          <w:p w:rsidR="00D849AA" w:rsidRDefault="00EE6D95">
            <w:r>
              <w:t>0,45</w:t>
            </w:r>
          </w:p>
        </w:tc>
      </w:tr>
    </w:tbl>
    <w:p w:rsidR="00D849AA" w:rsidRDefault="00D849AA">
      <w:pPr>
        <w:jc w:val="left"/>
      </w:pPr>
    </w:p>
    <w:p w:rsidR="00D849AA" w:rsidRDefault="00EE6D95">
      <w:pPr>
        <w:pStyle w:val="Naslov5"/>
      </w:pPr>
      <w:r>
        <w:t>Procjena i ishodište potrebnih sredstava za značajnije aktivnosti/projekte</w:t>
      </w:r>
    </w:p>
    <w:p w:rsidR="00D849AA" w:rsidRDefault="00EE6D95">
      <w:pPr>
        <w:pStyle w:val="Naslov6"/>
      </w:pPr>
      <w:r>
        <w:t>A622000 REDOVNA DJELATNOST JAVNIH INSTITUTA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A622000</w:t>
            </w:r>
          </w:p>
        </w:tc>
        <w:tc>
          <w:tcPr>
            <w:tcW w:w="1486" w:type="dxa"/>
          </w:tcPr>
          <w:p w:rsidR="00D849AA" w:rsidRDefault="00EE6D95">
            <w:r>
              <w:t>315.377.068</w:t>
            </w:r>
          </w:p>
        </w:tc>
        <w:tc>
          <w:tcPr>
            <w:tcW w:w="1486" w:type="dxa"/>
          </w:tcPr>
          <w:p w:rsidR="00D849AA" w:rsidRDefault="00EE6D95">
            <w:r>
              <w:t>327.715.974</w:t>
            </w:r>
          </w:p>
        </w:tc>
        <w:tc>
          <w:tcPr>
            <w:tcW w:w="1486" w:type="dxa"/>
          </w:tcPr>
          <w:p w:rsidR="00D849AA" w:rsidRDefault="00EE6D95">
            <w:r>
              <w:t>333.451.942</w:t>
            </w:r>
          </w:p>
        </w:tc>
        <w:tc>
          <w:tcPr>
            <w:tcW w:w="1486" w:type="dxa"/>
          </w:tcPr>
          <w:p w:rsidR="00D849AA" w:rsidRDefault="00EE6D95">
            <w:r>
              <w:t>344.625.617</w:t>
            </w:r>
          </w:p>
        </w:tc>
        <w:tc>
          <w:tcPr>
            <w:tcW w:w="1486" w:type="dxa"/>
          </w:tcPr>
          <w:p w:rsidR="00D849AA" w:rsidRDefault="00EE6D95">
            <w:r>
              <w:t>103,9</w:t>
            </w:r>
          </w:p>
        </w:tc>
      </w:tr>
    </w:tbl>
    <w:p w:rsidR="00D849AA" w:rsidRDefault="00D849AA">
      <w:pPr>
        <w:jc w:val="left"/>
      </w:pPr>
    </w:p>
    <w:p w:rsidR="00D849AA" w:rsidRDefault="00EE6D95">
      <w:pPr>
        <w:pStyle w:val="Normal6"/>
      </w:pPr>
      <w:r>
        <w:t>Ministarstvo znanosti, obrazovanja i sporta financira mrežu od 25 javnih znanstvenih instituta s ukupno 1620 zaposlenika na teret Ministarstva, osnovanih i financiranih u svrhu provođenja i realizacije znanstvene djelatnosti u Republici Hrvatskoj. U sklopu tog iznosa financiraju se plaće i ostali rashodi za zaposlenike (materijalna prava te prijevoz na posao i s posla) javnih instituta te osnovni materijalni troškovi („hladni pogon“) odvijanja redovitog poslovanja instituta.</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Povećanje broja znanstvenih radova objavljenih u časopisima u bazi Web of Science, prosjek po ustanovi</w:t>
            </w:r>
          </w:p>
        </w:tc>
        <w:tc>
          <w:tcPr>
            <w:tcW w:w="1114" w:type="dxa"/>
          </w:tcPr>
          <w:p w:rsidR="00D849AA" w:rsidRDefault="00EE6D95">
            <w:r>
              <w:t>Broj (godišnje)</w:t>
            </w:r>
          </w:p>
        </w:tc>
        <w:tc>
          <w:tcPr>
            <w:tcW w:w="1114" w:type="dxa"/>
          </w:tcPr>
          <w:p w:rsidR="00D849AA" w:rsidRDefault="00EE6D95">
            <w:r>
              <w:t>62 (2012.)</w:t>
            </w:r>
          </w:p>
        </w:tc>
        <w:tc>
          <w:tcPr>
            <w:tcW w:w="1486" w:type="dxa"/>
          </w:tcPr>
          <w:p w:rsidR="00D849AA" w:rsidRDefault="00EE6D95">
            <w:r>
              <w:t>70</w:t>
            </w:r>
          </w:p>
        </w:tc>
        <w:tc>
          <w:tcPr>
            <w:tcW w:w="1486" w:type="dxa"/>
          </w:tcPr>
          <w:p w:rsidR="00D849AA" w:rsidRDefault="00EE6D95">
            <w:r>
              <w:t>80</w:t>
            </w:r>
          </w:p>
        </w:tc>
        <w:tc>
          <w:tcPr>
            <w:tcW w:w="1486" w:type="dxa"/>
          </w:tcPr>
          <w:p w:rsidR="00D849AA" w:rsidRDefault="00EE6D95">
            <w:r>
              <w:t>95</w:t>
            </w:r>
          </w:p>
        </w:tc>
      </w:tr>
      <w:tr w:rsidR="00D849AA">
        <w:trPr>
          <w:jc w:val="center"/>
        </w:trPr>
        <w:tc>
          <w:tcPr>
            <w:tcW w:w="2229" w:type="dxa"/>
          </w:tcPr>
          <w:p w:rsidR="00D849AA" w:rsidRDefault="00EE6D95">
            <w:pPr>
              <w:pStyle w:val="CellColumn"/>
            </w:pPr>
            <w:r>
              <w:t>Povećanje citiranosti znanstvenih radova objavljenih u bazi Web od Science, prosjek po ustanovi</w:t>
            </w:r>
          </w:p>
        </w:tc>
        <w:tc>
          <w:tcPr>
            <w:tcW w:w="1114" w:type="dxa"/>
          </w:tcPr>
          <w:p w:rsidR="00D849AA" w:rsidRDefault="00EE6D95">
            <w:r>
              <w:t>Broj (godišnje)</w:t>
            </w:r>
          </w:p>
        </w:tc>
        <w:tc>
          <w:tcPr>
            <w:tcW w:w="1114" w:type="dxa"/>
          </w:tcPr>
          <w:p w:rsidR="00D849AA" w:rsidRDefault="00EE6D95">
            <w:r>
              <w:t>841 (2012.)</w:t>
            </w:r>
          </w:p>
        </w:tc>
        <w:tc>
          <w:tcPr>
            <w:tcW w:w="1486" w:type="dxa"/>
          </w:tcPr>
          <w:p w:rsidR="00D849AA" w:rsidRDefault="00EE6D95">
            <w:r>
              <w:t>900</w:t>
            </w:r>
          </w:p>
        </w:tc>
        <w:tc>
          <w:tcPr>
            <w:tcW w:w="1486" w:type="dxa"/>
          </w:tcPr>
          <w:p w:rsidR="00D849AA" w:rsidRDefault="00EE6D95">
            <w:r>
              <w:t>950</w:t>
            </w:r>
          </w:p>
        </w:tc>
        <w:tc>
          <w:tcPr>
            <w:tcW w:w="1486" w:type="dxa"/>
          </w:tcPr>
          <w:p w:rsidR="00D849AA" w:rsidRDefault="00EE6D95">
            <w:r>
              <w:t>1.050</w:t>
            </w:r>
          </w:p>
        </w:tc>
      </w:tr>
    </w:tbl>
    <w:p w:rsidR="00D849AA" w:rsidRDefault="00D849AA">
      <w:pPr>
        <w:jc w:val="left"/>
      </w:pPr>
    </w:p>
    <w:p w:rsidR="001A0148" w:rsidRDefault="001A0148">
      <w:pPr>
        <w:jc w:val="left"/>
      </w:pPr>
    </w:p>
    <w:p w:rsidR="001A0148" w:rsidRDefault="001A0148">
      <w:pPr>
        <w:jc w:val="left"/>
      </w:pPr>
    </w:p>
    <w:p w:rsidR="001A0148" w:rsidRDefault="001A0148">
      <w:pPr>
        <w:jc w:val="left"/>
      </w:pPr>
    </w:p>
    <w:p w:rsidR="00D849AA" w:rsidRDefault="00EE6D95">
      <w:pPr>
        <w:pStyle w:val="Naslov6"/>
      </w:pPr>
      <w:r>
        <w:lastRenderedPageBreak/>
        <w:t>A622011 REDOVNA DJELATNOST GEOLOŠKE SLUŽBE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A622011</w:t>
            </w:r>
          </w:p>
        </w:tc>
        <w:tc>
          <w:tcPr>
            <w:tcW w:w="1486" w:type="dxa"/>
          </w:tcPr>
          <w:p w:rsidR="00D849AA" w:rsidRDefault="00EE6D95">
            <w:r>
              <w:t>279.400</w:t>
            </w:r>
          </w:p>
        </w:tc>
        <w:tc>
          <w:tcPr>
            <w:tcW w:w="1486" w:type="dxa"/>
          </w:tcPr>
          <w:p w:rsidR="00D849AA" w:rsidRDefault="00EE6D95">
            <w:r>
              <w:t>279.400</w:t>
            </w:r>
          </w:p>
        </w:tc>
        <w:tc>
          <w:tcPr>
            <w:tcW w:w="1486" w:type="dxa"/>
          </w:tcPr>
          <w:p w:rsidR="00D849AA" w:rsidRDefault="00EE6D95">
            <w:r>
              <w:t>279.400</w:t>
            </w:r>
          </w:p>
        </w:tc>
        <w:tc>
          <w:tcPr>
            <w:tcW w:w="1486" w:type="dxa"/>
          </w:tcPr>
          <w:p w:rsidR="00D849AA" w:rsidRDefault="00EE6D95">
            <w:r>
              <w:t>279.400</w:t>
            </w:r>
          </w:p>
        </w:tc>
        <w:tc>
          <w:tcPr>
            <w:tcW w:w="1486" w:type="dxa"/>
          </w:tcPr>
          <w:p w:rsidR="00D849AA" w:rsidRDefault="00EE6D95">
            <w:r>
              <w:t>100,0</w:t>
            </w:r>
          </w:p>
        </w:tc>
      </w:tr>
    </w:tbl>
    <w:p w:rsidR="00D849AA" w:rsidRDefault="00D849AA">
      <w:pPr>
        <w:jc w:val="left"/>
      </w:pPr>
    </w:p>
    <w:p w:rsidR="00D849AA" w:rsidRDefault="00EE6D95">
      <w:pPr>
        <w:pStyle w:val="Normal6"/>
      </w:pPr>
      <w:r>
        <w:t>Kroz ovu aktivnost provodi se financiranje redovne djelatnosti Geološke službe, što podrazumijeva financiranje dijela projekata temeljenih na geološkim istraživanjima te s tim vezanom izradom geoloških karata. Aktivnost se provodi temeljem posebne Odluke Vlade Republike Hrvatske, predstavljajući tako višegodišnju razvojnu aktivnost koja se kontinuirano odvija od 2008. godine i koja se u potpunosti uklapa u strategiju razvoja znanosti u Republici Hrvatskoj, s posebnim naglaskom na razvoj znanstvenih istraživanja u području geologije.</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361"/>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Povećanje broja ugovorenih projekata s gospodarskim subjektima, tijelima državne uprave i jedinicama lokalne uprave i samouprave, civilnim sektorom i nevladinim udrugama, prosjek na 1.000 istraživača</w:t>
            </w:r>
          </w:p>
        </w:tc>
        <w:tc>
          <w:tcPr>
            <w:tcW w:w="1114" w:type="dxa"/>
          </w:tcPr>
          <w:p w:rsidR="00D849AA" w:rsidRDefault="00EE6D95">
            <w:r>
              <w:t>Broj (kumulativno)</w:t>
            </w:r>
          </w:p>
        </w:tc>
        <w:tc>
          <w:tcPr>
            <w:tcW w:w="1114" w:type="dxa"/>
          </w:tcPr>
          <w:p w:rsidR="00D849AA" w:rsidRDefault="00EE6D95">
            <w:r>
              <w:t>90 (2012.)</w:t>
            </w:r>
          </w:p>
        </w:tc>
        <w:tc>
          <w:tcPr>
            <w:tcW w:w="1486" w:type="dxa"/>
          </w:tcPr>
          <w:p w:rsidR="00D849AA" w:rsidRDefault="00EE6D95">
            <w:r>
              <w:t>100</w:t>
            </w:r>
          </w:p>
        </w:tc>
        <w:tc>
          <w:tcPr>
            <w:tcW w:w="1486" w:type="dxa"/>
          </w:tcPr>
          <w:p w:rsidR="00D849AA" w:rsidRDefault="00EE6D95">
            <w:r>
              <w:t>120</w:t>
            </w:r>
          </w:p>
        </w:tc>
        <w:tc>
          <w:tcPr>
            <w:tcW w:w="1486" w:type="dxa"/>
          </w:tcPr>
          <w:p w:rsidR="00D849AA" w:rsidRDefault="00EE6D95">
            <w:r>
              <w:t>150</w:t>
            </w:r>
          </w:p>
        </w:tc>
      </w:tr>
      <w:tr w:rsidR="00D849AA">
        <w:trPr>
          <w:jc w:val="center"/>
        </w:trPr>
        <w:tc>
          <w:tcPr>
            <w:tcW w:w="2229" w:type="dxa"/>
          </w:tcPr>
          <w:p w:rsidR="00D849AA" w:rsidRDefault="00EE6D95">
            <w:pPr>
              <w:pStyle w:val="CellColumn"/>
            </w:pPr>
            <w:r>
              <w:t>Povećanje broja zajedničkih publikacija javnih i privatnih ustanova na milijun stanovnika</w:t>
            </w:r>
          </w:p>
        </w:tc>
        <w:tc>
          <w:tcPr>
            <w:tcW w:w="1114" w:type="dxa"/>
          </w:tcPr>
          <w:p w:rsidR="00D849AA" w:rsidRDefault="00EE6D95">
            <w:r>
              <w:t>Broj (godišnje)</w:t>
            </w:r>
          </w:p>
        </w:tc>
        <w:tc>
          <w:tcPr>
            <w:tcW w:w="1114" w:type="dxa"/>
          </w:tcPr>
          <w:p w:rsidR="00D849AA" w:rsidRDefault="00EE6D95">
            <w:r>
              <w:t>27 (2011.)</w:t>
            </w:r>
          </w:p>
        </w:tc>
        <w:tc>
          <w:tcPr>
            <w:tcW w:w="1486" w:type="dxa"/>
          </w:tcPr>
          <w:p w:rsidR="00D849AA" w:rsidRDefault="00EE6D95">
            <w:r>
              <w:t>30</w:t>
            </w:r>
          </w:p>
        </w:tc>
        <w:tc>
          <w:tcPr>
            <w:tcW w:w="1486" w:type="dxa"/>
          </w:tcPr>
          <w:p w:rsidR="00D849AA" w:rsidRDefault="00EE6D95">
            <w:r>
              <w:t>33</w:t>
            </w:r>
          </w:p>
        </w:tc>
        <w:tc>
          <w:tcPr>
            <w:tcW w:w="1486" w:type="dxa"/>
          </w:tcPr>
          <w:p w:rsidR="00D849AA" w:rsidRDefault="00EE6D95">
            <w:r>
              <w:t>36</w:t>
            </w:r>
          </w:p>
        </w:tc>
      </w:tr>
      <w:tr w:rsidR="00D849AA">
        <w:trPr>
          <w:jc w:val="center"/>
        </w:trPr>
        <w:tc>
          <w:tcPr>
            <w:tcW w:w="2229" w:type="dxa"/>
          </w:tcPr>
          <w:p w:rsidR="00D849AA" w:rsidRDefault="00EE6D95">
            <w:pPr>
              <w:pStyle w:val="CellColumn"/>
            </w:pPr>
            <w:r>
              <w:t>Povećanje udjela prihoda znanstvenih organizacija od ugovorenih projekata s gospodarskim subjektima, tijelima državne uprave i jedinicama lokalne uprave i samouprave, civilnim sektorom i nevladinim udrugama u ukupnim prihodima</w:t>
            </w:r>
          </w:p>
        </w:tc>
        <w:tc>
          <w:tcPr>
            <w:tcW w:w="1114" w:type="dxa"/>
          </w:tcPr>
          <w:p w:rsidR="00D849AA" w:rsidRDefault="00EE6D95">
            <w:r>
              <w:t>Postotak u ukupnim prihodima (godišnje)</w:t>
            </w:r>
          </w:p>
        </w:tc>
        <w:tc>
          <w:tcPr>
            <w:tcW w:w="1114" w:type="dxa"/>
          </w:tcPr>
          <w:p w:rsidR="00D849AA" w:rsidRDefault="00EE6D95">
            <w:r>
              <w:t>10,53 (2012.)</w:t>
            </w:r>
          </w:p>
        </w:tc>
        <w:tc>
          <w:tcPr>
            <w:tcW w:w="1486" w:type="dxa"/>
          </w:tcPr>
          <w:p w:rsidR="00D849AA" w:rsidRDefault="00EE6D95">
            <w:r>
              <w:t>11</w:t>
            </w:r>
          </w:p>
        </w:tc>
        <w:tc>
          <w:tcPr>
            <w:tcW w:w="1486" w:type="dxa"/>
          </w:tcPr>
          <w:p w:rsidR="00D849AA" w:rsidRDefault="00EE6D95">
            <w:r>
              <w:t>12</w:t>
            </w:r>
          </w:p>
        </w:tc>
        <w:tc>
          <w:tcPr>
            <w:tcW w:w="1486" w:type="dxa"/>
          </w:tcPr>
          <w:p w:rsidR="00D849AA" w:rsidRDefault="00EE6D95">
            <w:r>
              <w:t>13</w:t>
            </w:r>
          </w:p>
        </w:tc>
      </w:tr>
    </w:tbl>
    <w:p w:rsidR="00D849AA" w:rsidRDefault="00D849AA">
      <w:pPr>
        <w:jc w:val="left"/>
      </w:pPr>
    </w:p>
    <w:p w:rsidR="001A0148" w:rsidRDefault="001A0148">
      <w:pPr>
        <w:jc w:val="left"/>
      </w:pPr>
    </w:p>
    <w:p w:rsidR="00D849AA" w:rsidRDefault="00EE6D95">
      <w:pPr>
        <w:pStyle w:val="Naslov6"/>
      </w:pPr>
      <w:r>
        <w:lastRenderedPageBreak/>
        <w:t>A622120 PRAVOMOĆNE SUDSKE PRESUDE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A622120</w:t>
            </w:r>
          </w:p>
        </w:tc>
        <w:tc>
          <w:tcPr>
            <w:tcW w:w="1486" w:type="dxa"/>
          </w:tcPr>
          <w:p w:rsidR="00D849AA" w:rsidRDefault="00EE6D95">
            <w:r>
              <w:t>5.500.000</w:t>
            </w:r>
          </w:p>
        </w:tc>
        <w:tc>
          <w:tcPr>
            <w:tcW w:w="1486" w:type="dxa"/>
          </w:tcPr>
          <w:p w:rsidR="00D849AA" w:rsidRDefault="00EE6D95">
            <w:r>
              <w:t>5.500.000</w:t>
            </w:r>
          </w:p>
        </w:tc>
        <w:tc>
          <w:tcPr>
            <w:tcW w:w="1486" w:type="dxa"/>
          </w:tcPr>
          <w:p w:rsidR="00D849AA" w:rsidRDefault="00EE6D95">
            <w:r>
              <w:t>5.500.000</w:t>
            </w:r>
          </w:p>
        </w:tc>
        <w:tc>
          <w:tcPr>
            <w:tcW w:w="1486" w:type="dxa"/>
          </w:tcPr>
          <w:p w:rsidR="00D849AA" w:rsidRDefault="00EE6D95">
            <w:r>
              <w:t>5.500.000</w:t>
            </w:r>
          </w:p>
        </w:tc>
        <w:tc>
          <w:tcPr>
            <w:tcW w:w="1486" w:type="dxa"/>
          </w:tcPr>
          <w:p w:rsidR="00D849AA" w:rsidRDefault="00EE6D95">
            <w:r>
              <w:t>100,0</w:t>
            </w:r>
          </w:p>
        </w:tc>
      </w:tr>
    </w:tbl>
    <w:p w:rsidR="00D849AA" w:rsidRDefault="00D849AA">
      <w:pPr>
        <w:jc w:val="left"/>
      </w:pPr>
    </w:p>
    <w:p w:rsidR="00D849AA" w:rsidRDefault="00EE6D95">
      <w:pPr>
        <w:pStyle w:val="Normal6"/>
      </w:pPr>
      <w:r>
        <w:t>Temeljem Kolektivnog ugovora za znanost i visoko obrazovanje zaposlenici javnih znanstvenih instituta, između ostalih, imaju pravo na  dodatak na plaću u visini 7%-15% za rad na poslovima s posebnim uvjetima rada i na poslovima s izvorima opasnosti. Uslijed neisplata ovoga dodatka zaposlenici javnih instituta podignuli su pojedinačne i/ili kolektivne tužbe protiv instituta koji im, sukladno zaključenim sudskim nagodbama ili mirnim rješenjem sporova, isplaćuju potraživanja po ovome pravu. Sredstva na ovoj aktivnosti planirana su za refundacije takvih isplaćenih potraživanja.</w:t>
      </w:r>
    </w:p>
    <w:p w:rsidR="00D849AA" w:rsidRDefault="00EE6D95">
      <w:pPr>
        <w:pStyle w:val="Naslov6"/>
      </w:pPr>
      <w:r>
        <w:t>K622113 IZRAVNA KAPITALNA ULAGANJA JAVNIH INSTITUTA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K622113</w:t>
            </w:r>
          </w:p>
        </w:tc>
        <w:tc>
          <w:tcPr>
            <w:tcW w:w="1486" w:type="dxa"/>
          </w:tcPr>
          <w:p w:rsidR="00D849AA" w:rsidRDefault="00EE6D95">
            <w:r>
              <w:t>1.050.000</w:t>
            </w:r>
          </w:p>
        </w:tc>
        <w:tc>
          <w:tcPr>
            <w:tcW w:w="1486" w:type="dxa"/>
          </w:tcPr>
          <w:p w:rsidR="00D849AA" w:rsidRDefault="00EE6D95">
            <w:r>
              <w:t>792.000</w:t>
            </w:r>
          </w:p>
        </w:tc>
        <w:tc>
          <w:tcPr>
            <w:tcW w:w="1486" w:type="dxa"/>
          </w:tcPr>
          <w:p w:rsidR="00D849AA" w:rsidRDefault="00EE6D95">
            <w:r>
              <w:t>729.921</w:t>
            </w:r>
          </w:p>
        </w:tc>
        <w:tc>
          <w:tcPr>
            <w:tcW w:w="1486" w:type="dxa"/>
          </w:tcPr>
          <w:p w:rsidR="00D849AA" w:rsidRDefault="00EE6D95">
            <w:r>
              <w:t>726.271</w:t>
            </w:r>
          </w:p>
        </w:tc>
        <w:tc>
          <w:tcPr>
            <w:tcW w:w="1486" w:type="dxa"/>
          </w:tcPr>
          <w:p w:rsidR="00D849AA" w:rsidRDefault="00EE6D95">
            <w:r>
              <w:t>75,4</w:t>
            </w:r>
          </w:p>
        </w:tc>
      </w:tr>
    </w:tbl>
    <w:p w:rsidR="00D849AA" w:rsidRDefault="00D849AA">
      <w:pPr>
        <w:jc w:val="left"/>
      </w:pPr>
    </w:p>
    <w:p w:rsidR="00D849AA" w:rsidRDefault="00EE6D95">
      <w:pPr>
        <w:pStyle w:val="Normal6"/>
      </w:pPr>
      <w:r>
        <w:t>Sredstvima za kapitalna ulaganja javnih instituta financiraju se veliki kapitalni projekti, popravci i ulaganja koja javni instituti imaju, poput popravaka električnih instalacija ili kanalizacijskog sustava, promjena dotrajalog krovišta ili remont znanstveno-istraživačkih brodova. Pri planiranju i provođenju ovakvih velikih kapitalnih projekata javni znanstveni instituti moraju se pridržavati odredaba Zakona o javnoj nabavi.</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361"/>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Povećanje broja novih znanstveno-istraživačkih i inovacijskih kapaciteta</w:t>
            </w:r>
          </w:p>
        </w:tc>
        <w:tc>
          <w:tcPr>
            <w:tcW w:w="1114" w:type="dxa"/>
          </w:tcPr>
          <w:p w:rsidR="00D849AA" w:rsidRDefault="00EE6D95">
            <w:r>
              <w:t>Broj (kumulativno)</w:t>
            </w:r>
          </w:p>
        </w:tc>
        <w:tc>
          <w:tcPr>
            <w:tcW w:w="1114" w:type="dxa"/>
          </w:tcPr>
          <w:p w:rsidR="00D849AA" w:rsidRDefault="00EE6D95">
            <w:r>
              <w:t>7 (2009.)</w:t>
            </w:r>
          </w:p>
        </w:tc>
        <w:tc>
          <w:tcPr>
            <w:tcW w:w="1486" w:type="dxa"/>
          </w:tcPr>
          <w:p w:rsidR="00D849AA" w:rsidRDefault="00EE6D95">
            <w:r>
              <w:t>9</w:t>
            </w:r>
          </w:p>
        </w:tc>
        <w:tc>
          <w:tcPr>
            <w:tcW w:w="1486" w:type="dxa"/>
          </w:tcPr>
          <w:p w:rsidR="00D849AA" w:rsidRDefault="00EE6D95">
            <w:r>
              <w:t>11</w:t>
            </w:r>
          </w:p>
        </w:tc>
        <w:tc>
          <w:tcPr>
            <w:tcW w:w="1486" w:type="dxa"/>
          </w:tcPr>
          <w:p w:rsidR="00D849AA" w:rsidRDefault="00EE6D95">
            <w:r>
              <w:t>15</w:t>
            </w:r>
          </w:p>
        </w:tc>
      </w:tr>
    </w:tbl>
    <w:p w:rsidR="00D849AA" w:rsidRDefault="00D849AA">
      <w:pPr>
        <w:jc w:val="left"/>
      </w:pPr>
    </w:p>
    <w:p w:rsidR="001A0148" w:rsidRDefault="001A0148">
      <w:pPr>
        <w:jc w:val="left"/>
      </w:pPr>
    </w:p>
    <w:p w:rsidR="001A0148" w:rsidRDefault="001A0148">
      <w:pPr>
        <w:jc w:val="left"/>
      </w:pPr>
    </w:p>
    <w:p w:rsidR="001A0148" w:rsidRDefault="001A0148">
      <w:pPr>
        <w:jc w:val="left"/>
      </w:pPr>
    </w:p>
    <w:p w:rsidR="001A0148" w:rsidRDefault="001A0148">
      <w:pPr>
        <w:jc w:val="left"/>
      </w:pPr>
    </w:p>
    <w:p w:rsidR="001A0148" w:rsidRDefault="001A0148">
      <w:pPr>
        <w:jc w:val="left"/>
      </w:pPr>
    </w:p>
    <w:p w:rsidR="00D849AA" w:rsidRDefault="00EE6D95">
      <w:pPr>
        <w:pStyle w:val="Naslov2"/>
      </w:pPr>
      <w:r>
        <w:lastRenderedPageBreak/>
        <w:t>08011 Poslovno inovacijska agencija Republike Hrvatske - Bicro</w:t>
      </w:r>
    </w:p>
    <w:p w:rsidR="00D849AA" w:rsidRDefault="00EE6D95">
      <w:pPr>
        <w:pStyle w:val="Naslov4"/>
      </w:pPr>
      <w:r>
        <w:t>Uvod</w:t>
      </w:r>
    </w:p>
    <w:p w:rsidR="00D849AA" w:rsidRDefault="00EE6D95">
      <w:pPr>
        <w:pStyle w:val="Normal3"/>
      </w:pPr>
      <w:r>
        <w:t xml:space="preserve">Poslovno-inovacijska agencija Republike Hrvatske - BICRO osnovana je temeljem Uredbe Vlade RH o osnivanju Poslovno-inovacijske agencije Republike Hrvatske (NN 129/2010, 31/2012).  </w:t>
      </w:r>
    </w:p>
    <w:p w:rsidR="00D849AA" w:rsidRDefault="00EE6D95">
      <w:pPr>
        <w:pStyle w:val="Normal3"/>
      </w:pPr>
      <w:r>
        <w:t>BICRO razvija i koordinira mjere nacionalne politike vezane uz inovacije i potrebne financijske instrumente s krajnjim ciljem motiviranja privatnog i javnog sektora za ulaganje u istraživanje i razvoj. Agencija dodatni napor ulaže u promicanje BICRO programa široj javnosti kako bi se povećao broj prijavljenih projekata, a time i povećala ukupna produktivnost istraživačkih i inovacijskih aktivnosti u Hrvatskoj. BICRO također ima ulogu u razvoju i održavanju edukativnih i savjetodavnih aktivnosti na području inovacija.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08011</w:t>
            </w:r>
          </w:p>
        </w:tc>
        <w:tc>
          <w:tcPr>
            <w:tcW w:w="1486" w:type="dxa"/>
          </w:tcPr>
          <w:p w:rsidR="00D849AA" w:rsidRDefault="00EE6D95">
            <w:r>
              <w:t>20.755.472</w:t>
            </w:r>
          </w:p>
        </w:tc>
        <w:tc>
          <w:tcPr>
            <w:tcW w:w="1486" w:type="dxa"/>
          </w:tcPr>
          <w:p w:rsidR="00D849AA" w:rsidRDefault="00EE6D95">
            <w:r>
              <w:t>17.197.452</w:t>
            </w:r>
          </w:p>
        </w:tc>
        <w:tc>
          <w:tcPr>
            <w:tcW w:w="1486" w:type="dxa"/>
          </w:tcPr>
          <w:p w:rsidR="00D849AA" w:rsidRDefault="00EE6D95">
            <w:r>
              <w:t>16.439.279</w:t>
            </w:r>
          </w:p>
        </w:tc>
        <w:tc>
          <w:tcPr>
            <w:tcW w:w="1486" w:type="dxa"/>
          </w:tcPr>
          <w:p w:rsidR="00D849AA" w:rsidRDefault="00EE6D95">
            <w:r>
              <w:t>16.598.105</w:t>
            </w:r>
          </w:p>
        </w:tc>
        <w:tc>
          <w:tcPr>
            <w:tcW w:w="1486" w:type="dxa"/>
          </w:tcPr>
          <w:p w:rsidR="00D849AA" w:rsidRDefault="00EE6D95">
            <w:r>
              <w:t>82,8</w:t>
            </w:r>
          </w:p>
        </w:tc>
      </w:tr>
    </w:tbl>
    <w:p w:rsidR="00D849AA" w:rsidRDefault="00D849AA">
      <w:pPr>
        <w:jc w:val="left"/>
      </w:pPr>
    </w:p>
    <w:p w:rsidR="00D849AA" w:rsidRDefault="00EE6D95">
      <w:pPr>
        <w:pStyle w:val="Naslov4"/>
      </w:pPr>
      <w:r>
        <w:t>OBRAZLOŽENJE PROGRAMA</w:t>
      </w:r>
    </w:p>
    <w:p w:rsidR="00D849AA" w:rsidRDefault="00EE6D95">
      <w:pPr>
        <w:pStyle w:val="Naslov5"/>
      </w:pPr>
      <w:r>
        <w:t>3802 TEHNOLOGIJSKI RAZVITAK</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3802</w:t>
            </w:r>
          </w:p>
        </w:tc>
        <w:tc>
          <w:tcPr>
            <w:tcW w:w="1486" w:type="dxa"/>
          </w:tcPr>
          <w:p w:rsidR="00D849AA" w:rsidRDefault="00EE6D95">
            <w:r>
              <w:t>20.755.472</w:t>
            </w:r>
          </w:p>
        </w:tc>
        <w:tc>
          <w:tcPr>
            <w:tcW w:w="1486" w:type="dxa"/>
          </w:tcPr>
          <w:p w:rsidR="00D849AA" w:rsidRDefault="00EE6D95">
            <w:r>
              <w:t>17.197.452</w:t>
            </w:r>
          </w:p>
        </w:tc>
        <w:tc>
          <w:tcPr>
            <w:tcW w:w="1486" w:type="dxa"/>
          </w:tcPr>
          <w:p w:rsidR="00D849AA" w:rsidRDefault="00EE6D95">
            <w:r>
              <w:t>16.439.279</w:t>
            </w:r>
          </w:p>
        </w:tc>
        <w:tc>
          <w:tcPr>
            <w:tcW w:w="1486" w:type="dxa"/>
          </w:tcPr>
          <w:p w:rsidR="00D849AA" w:rsidRDefault="00EE6D95">
            <w:r>
              <w:t>16.598.105</w:t>
            </w:r>
          </w:p>
        </w:tc>
        <w:tc>
          <w:tcPr>
            <w:tcW w:w="1486" w:type="dxa"/>
          </w:tcPr>
          <w:p w:rsidR="00D849AA" w:rsidRDefault="00EE6D95">
            <w:r>
              <w:t>82,8</w:t>
            </w:r>
          </w:p>
        </w:tc>
      </w:tr>
    </w:tbl>
    <w:p w:rsidR="00D849AA" w:rsidRDefault="00D849AA">
      <w:pPr>
        <w:jc w:val="left"/>
      </w:pPr>
    </w:p>
    <w:p w:rsidR="00D849AA" w:rsidRDefault="00EE6D95">
      <w:pPr>
        <w:pStyle w:val="Naslov6"/>
      </w:pPr>
      <w:r>
        <w:t>Opis programa</w:t>
      </w:r>
    </w:p>
    <w:p w:rsidR="00D849AA" w:rsidRDefault="00EE6D95">
      <w:pPr>
        <w:pStyle w:val="Naslov6"/>
      </w:pPr>
      <w:r>
        <w:t>Zakonske i druge pravne osnove</w:t>
      </w:r>
    </w:p>
    <w:p w:rsidR="00D849AA" w:rsidRDefault="00EE6D95">
      <w:pPr>
        <w:pStyle w:val="Normal5"/>
      </w:pPr>
      <w:r>
        <w:t xml:space="preserve">Uredba Vlade RH o osnivanju Poslovno-inovacijske agencije Republike Hrvatske (NN 129/10, 31/12) </w:t>
      </w:r>
    </w:p>
    <w:p w:rsidR="00D849AA" w:rsidRDefault="00EE6D95">
      <w:pPr>
        <w:pStyle w:val="Normal5"/>
      </w:pPr>
      <w:r>
        <w:t>Zakon o izmjenama i dopunama Zakona o poticanju razvoja malog gospodarstva (NN 56/20)</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 xml:space="preserve">Cilj 1. Poticati poduzetništvo zasnovano na inovacijama i visokim tehnologijama </w:t>
      </w:r>
    </w:p>
    <w:p w:rsidR="00D849AA" w:rsidRDefault="00EE6D95">
      <w:pPr>
        <w:pStyle w:val="Normal6"/>
      </w:pPr>
      <w:r>
        <w:t xml:space="preserve">Prijenos znanja i rezultata znanstvenoga rada prema primjeni u gospodarskom sektoru i kao odgovor na aktualna društvena pitanja i dalje ostaje jedan od glavnih ciljeva hrvatske znanstveno - tehnološke politike. U Republici Hrvatskoj javni sektor dominira kada je riječ o ulaganjima u istraživanje i razvoj što se pokazalo nedostatnim i neprimjerenim da bi se osigurala odgovarajuća razina inovacijskih rezultata.  </w:t>
      </w:r>
    </w:p>
    <w:p w:rsidR="00D849AA" w:rsidRDefault="00EE6D95">
      <w:pPr>
        <w:pStyle w:val="Normal6"/>
      </w:pPr>
      <w:r>
        <w:lastRenderedPageBreak/>
        <w:t xml:space="preserve">Razvojem i koordiniranjem mjera i instrumenata inovacijskoga sustava radi motiviranja poduzeća za ulaganje u istraživanje i razvoj povećala bi se i konkurentnost te bi se postigao održiv rast i produktivnost, kako bi se dugoročno preokrenuo odnos javnoga istraživanja i razvoja u odnosu na poslovno.  </w:t>
      </w:r>
    </w:p>
    <w:p w:rsidR="00D849AA" w:rsidRDefault="00EE6D95">
      <w:pPr>
        <w:pStyle w:val="Normal6"/>
      </w:pPr>
      <w:r>
        <w:t xml:space="preserve">Potrebno je i dalje učinkovito provoditi, razvijati i usklađivati mjere nacionalnog inovacijskog sustava: poticanje istraživanja u javnome sektoru, financijske potpore za ulaganje u istraživanje, razvoj i inovacije u privatnome sektoru, te državne potpore za istraživanje i razvoj. U tu svrhu nužno je osnažiti položaj Poslovno-inovacijske agencije Republike Hrvatske, kao središnje ustanove orijentirane prema promoviranju i poticanju koncepta inovativnog poduzetništva, te programe Agencije dodatno uskladiti sa zahtjevima gospodarskog sektora.  </w:t>
      </w:r>
    </w:p>
    <w:p w:rsidR="00D849AA" w:rsidRDefault="00EE6D95">
      <w:pPr>
        <w:pStyle w:val="Normal6"/>
      </w:pPr>
      <w:r>
        <w:t xml:space="preserve">Također, potrebno je jačati i koordinirati elemente nacionalnog inovacijskog sustava kao što su inkubatori, znanstveni i tehnološki parkovi i uredi za transfer tehnologije te osigurati jači poticaj osnivanju start-up i spin-off jedinica i tvrtki na institutima i sveučilištima. Financijska sredstva dostupna Republici Hrvatskoj prije i nakon ulaska u Europsku uniju bit će u nadolazećem razdoblju dodatno usmjeravana u realizaciju navedenih aktivnosti, uz iscrpno praćenje i prilagodbu relevantnih programa kako bi se osigurala maksimalna učinkovitost i rezultati.  </w:t>
      </w:r>
    </w:p>
    <w:p w:rsidR="00D849AA" w:rsidRDefault="00EE6D95">
      <w:pPr>
        <w:pStyle w:val="Normal6"/>
      </w:pPr>
      <w:r>
        <w:t xml:space="preserve">Na temelju analize postojećih poreznih olakšica u odnosu na vodeća inovativna gospodarstva i procjene njihova učinka na promicanje privatnoga istraživanja i razvoja, sustav državnih potpora za istraživanje i razvoj dodatno će se prilagoditi potrebama i preferencijama korisnika.  </w:t>
      </w:r>
    </w:p>
    <w:p w:rsidR="00D849AA" w:rsidRDefault="00EE6D95">
      <w:pPr>
        <w:pStyle w:val="Normal6"/>
      </w:pPr>
      <w:r>
        <w:t>Značajne pomake u ovome smjeru moguće je također ostvariti otvaranjem prema inozemnom kapitalu koji već prepoznaje hrvatski znanstveni potencijal koji može osigurati brži transfer znanja i tehnologije</w:t>
      </w:r>
    </w:p>
    <w:p w:rsidR="00D849AA" w:rsidRDefault="00EE6D95">
      <w:pPr>
        <w:pStyle w:val="Naslov5"/>
      </w:pPr>
      <w:r>
        <w:t>Procjena i ishodište potrebnih sredstava za značajnije aktivnosti/projekte</w:t>
      </w:r>
    </w:p>
    <w:p w:rsidR="00D849AA" w:rsidRDefault="00EE6D95">
      <w:pPr>
        <w:pStyle w:val="Naslov6"/>
      </w:pPr>
      <w:r>
        <w:t>A676054 POTPORE INOVACIJSKOM PROCESU</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A676054</w:t>
            </w:r>
          </w:p>
        </w:tc>
        <w:tc>
          <w:tcPr>
            <w:tcW w:w="1486" w:type="dxa"/>
          </w:tcPr>
          <w:p w:rsidR="00D849AA" w:rsidRDefault="00EE6D95">
            <w:r>
              <w:t>10.041.517</w:t>
            </w:r>
          </w:p>
        </w:tc>
        <w:tc>
          <w:tcPr>
            <w:tcW w:w="1486" w:type="dxa"/>
          </w:tcPr>
          <w:p w:rsidR="00D849AA" w:rsidRDefault="00EE6D95">
            <w:r>
              <w:t>9.000.601</w:t>
            </w:r>
          </w:p>
        </w:tc>
        <w:tc>
          <w:tcPr>
            <w:tcW w:w="1486" w:type="dxa"/>
          </w:tcPr>
          <w:p w:rsidR="00D849AA" w:rsidRDefault="00EE6D95">
            <w:r>
              <w:t>8.295.111</w:t>
            </w:r>
          </w:p>
        </w:tc>
        <w:tc>
          <w:tcPr>
            <w:tcW w:w="1486" w:type="dxa"/>
          </w:tcPr>
          <w:p w:rsidR="00D849AA" w:rsidRDefault="00EE6D95">
            <w:r>
              <w:t>8.253.632</w:t>
            </w:r>
          </w:p>
        </w:tc>
        <w:tc>
          <w:tcPr>
            <w:tcW w:w="1486" w:type="dxa"/>
          </w:tcPr>
          <w:p w:rsidR="00D849AA" w:rsidRDefault="00EE6D95">
            <w:r>
              <w:t>89,6</w:t>
            </w:r>
          </w:p>
        </w:tc>
      </w:tr>
    </w:tbl>
    <w:p w:rsidR="00D849AA" w:rsidRDefault="00D849AA">
      <w:pPr>
        <w:jc w:val="left"/>
      </w:pPr>
    </w:p>
    <w:p w:rsidR="00D849AA" w:rsidRDefault="00EE6D95">
      <w:pPr>
        <w:pStyle w:val="Normal6"/>
      </w:pPr>
      <w:r>
        <w:t xml:space="preserve">Programi financirani kroz potpore inovacijskom procesu su namijenjeni realizaciji projekata kojima se osigurava početno financiranje novoosnovanih poduzeća ili početno financiranje razvoja novog proizvoda ili usluge u postojećim malim i srednjim poduzećima.  </w:t>
      </w:r>
    </w:p>
    <w:p w:rsidR="00D849AA" w:rsidRDefault="00EE6D95">
      <w:pPr>
        <w:pStyle w:val="Normal6"/>
      </w:pPr>
      <w:r>
        <w:t xml:space="preserve">Osim malim i srednjim poduzećima programi podrazumijevaju davanje državnih poticaja primijenjenim istraživanjima u području tehnologije, s naglaskom na poticanje razvoja visokih tehnologija do faze izrade originalnih rješenja (prototip, pilot rješenje) te ona istraživanja koja povezuju temeljne znanosti i njihovu tehnologijsku primjenu, a od značaja su za razvoj industrijskih i gospodarskih grana.  </w:t>
      </w:r>
    </w:p>
    <w:p w:rsidR="00D849AA" w:rsidRDefault="00EE6D95">
      <w:pPr>
        <w:pStyle w:val="Normal6"/>
      </w:pPr>
      <w:r>
        <w:t xml:space="preserve">Programi svojim investicijama pomažu pokretanje, unaprjeđenje i razvoj infrastrukturnih institucija poput znanstveno-tehnoloških parkova, inkubatora za nove tehnologije, istraživačko-razvojnih centara i centara kompetencije.  </w:t>
      </w:r>
    </w:p>
    <w:p w:rsidR="00D849AA" w:rsidRDefault="00EE6D95">
      <w:pPr>
        <w:pStyle w:val="Normal6"/>
      </w:pPr>
      <w:r>
        <w:t xml:space="preserve">Potiče se suradnja između znanstvene zajednice i gospodarstva na razvojnim projektima koje prijavljuju mala i srednja trgovačka društva zainteresirana za transfer tehnologije iz </w:t>
      </w:r>
      <w:r>
        <w:lastRenderedPageBreak/>
        <w:t xml:space="preserve">istraživačko-razvojnih ustanova sa svrhom povećanja konkurentnosti razvijanjem novih ili unapređenjem postojećih proizvoda, usluga ili proizvodnih procesa.  </w:t>
      </w:r>
    </w:p>
    <w:p w:rsidR="00D849AA" w:rsidRDefault="00EE6D95">
      <w:pPr>
        <w:pStyle w:val="Normal6"/>
      </w:pPr>
      <w:r>
        <w:t>Također, financiraju se tržišno orijentirani projekti različitih tehnologijskih područja koji pomažu izgradnji partnerstva kroz zajedničke multilateralne projekte u cilju jačanja konkurentnosti gdje su rezultati projekata novi proizvodi ili usluge koji promiču napredne tehnologije i koji imaju svoje mjesto na tržištu.</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228"/>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Porast broja istraživačko-razvojnih projekata u privatnim tvrtkama sufinanciranih  programima poticanja inovacija</w:t>
            </w:r>
          </w:p>
        </w:tc>
        <w:tc>
          <w:tcPr>
            <w:tcW w:w="1114" w:type="dxa"/>
          </w:tcPr>
          <w:p w:rsidR="00D849AA" w:rsidRDefault="00EE6D95">
            <w:r>
              <w:t>Broj projekata kumulativno</w:t>
            </w:r>
          </w:p>
        </w:tc>
        <w:tc>
          <w:tcPr>
            <w:tcW w:w="1114" w:type="dxa"/>
          </w:tcPr>
          <w:p w:rsidR="00D849AA" w:rsidRDefault="00EE6D95">
            <w:r>
              <w:t xml:space="preserve">231  </w:t>
            </w:r>
          </w:p>
          <w:p w:rsidR="00D849AA" w:rsidRDefault="00EE6D95">
            <w:r>
              <w:t xml:space="preserve">TEHCRO (13) </w:t>
            </w:r>
          </w:p>
          <w:p w:rsidR="00D849AA" w:rsidRDefault="00EE6D95">
            <w:r>
              <w:t xml:space="preserve">IRCRO (24) </w:t>
            </w:r>
          </w:p>
          <w:p w:rsidR="00D849AA" w:rsidRDefault="00EE6D95">
            <w:r>
              <w:t xml:space="preserve">KONCRO (42) </w:t>
            </w:r>
          </w:p>
          <w:p w:rsidR="00D849AA" w:rsidRDefault="00EE6D95">
            <w:r>
              <w:t xml:space="preserve">EUREKA (10) </w:t>
            </w:r>
          </w:p>
          <w:p w:rsidR="00D849AA" w:rsidRDefault="00EE6D95">
            <w:r>
              <w:t xml:space="preserve">PoC (112) </w:t>
            </w:r>
          </w:p>
          <w:p w:rsidR="00D849AA" w:rsidRDefault="00EE6D95">
            <w:r>
              <w:t xml:space="preserve">RAZUM (30) </w:t>
            </w:r>
          </w:p>
          <w:p w:rsidR="00D849AA" w:rsidRDefault="00EE6D95">
            <w:r>
              <w:t xml:space="preserve">TEST (31) </w:t>
            </w:r>
          </w:p>
          <w:p w:rsidR="00D849AA" w:rsidRDefault="00EE6D95">
            <w:r>
              <w:t>(2012.)</w:t>
            </w:r>
          </w:p>
        </w:tc>
        <w:tc>
          <w:tcPr>
            <w:tcW w:w="1486" w:type="dxa"/>
          </w:tcPr>
          <w:p w:rsidR="00D849AA" w:rsidRDefault="00EE6D95">
            <w:r>
              <w:t>383</w:t>
            </w:r>
          </w:p>
        </w:tc>
        <w:tc>
          <w:tcPr>
            <w:tcW w:w="1486" w:type="dxa"/>
          </w:tcPr>
          <w:p w:rsidR="00D849AA" w:rsidRDefault="00EE6D95">
            <w:r>
              <w:t>563</w:t>
            </w:r>
          </w:p>
        </w:tc>
        <w:tc>
          <w:tcPr>
            <w:tcW w:w="1486" w:type="dxa"/>
          </w:tcPr>
          <w:p w:rsidR="00D849AA" w:rsidRDefault="00EE6D95">
            <w:r>
              <w:t>760</w:t>
            </w:r>
          </w:p>
        </w:tc>
      </w:tr>
    </w:tbl>
    <w:p w:rsidR="00D849AA" w:rsidRDefault="00D849AA">
      <w:pPr>
        <w:jc w:val="left"/>
      </w:pPr>
    </w:p>
    <w:p w:rsidR="00D849AA" w:rsidRDefault="00EE6D95">
      <w:pPr>
        <w:pStyle w:val="Naslov6"/>
      </w:pPr>
      <w:r>
        <w:t>A676055 BICRO BIOCENTAR</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A676055</w:t>
            </w:r>
          </w:p>
        </w:tc>
        <w:tc>
          <w:tcPr>
            <w:tcW w:w="1486" w:type="dxa"/>
          </w:tcPr>
          <w:p w:rsidR="00D849AA" w:rsidRDefault="00EE6D95">
            <w:r>
              <w:t>470.250</w:t>
            </w:r>
          </w:p>
        </w:tc>
        <w:tc>
          <w:tcPr>
            <w:tcW w:w="1486" w:type="dxa"/>
          </w:tcPr>
          <w:p w:rsidR="00D849AA" w:rsidRDefault="00EE6D95">
            <w:r>
              <w:t>465.548</w:t>
            </w:r>
          </w:p>
        </w:tc>
        <w:tc>
          <w:tcPr>
            <w:tcW w:w="1486" w:type="dxa"/>
          </w:tcPr>
          <w:p w:rsidR="00D849AA" w:rsidRDefault="00EE6D95">
            <w:r>
              <w:t>429.057</w:t>
            </w:r>
          </w:p>
        </w:tc>
        <w:tc>
          <w:tcPr>
            <w:tcW w:w="1486" w:type="dxa"/>
          </w:tcPr>
          <w:p w:rsidR="00D849AA" w:rsidRDefault="00EE6D95">
            <w:r>
              <w:t>426.911</w:t>
            </w:r>
          </w:p>
        </w:tc>
        <w:tc>
          <w:tcPr>
            <w:tcW w:w="1486" w:type="dxa"/>
          </w:tcPr>
          <w:p w:rsidR="00D849AA" w:rsidRDefault="00EE6D95">
            <w:r>
              <w:t>99,0</w:t>
            </w:r>
          </w:p>
        </w:tc>
      </w:tr>
    </w:tbl>
    <w:p w:rsidR="00D849AA" w:rsidRDefault="00D849AA">
      <w:pPr>
        <w:jc w:val="left"/>
      </w:pPr>
    </w:p>
    <w:p w:rsidR="00D849AA" w:rsidRDefault="00EE6D95">
      <w:pPr>
        <w:pStyle w:val="Normal6"/>
      </w:pPr>
      <w:r>
        <w:t>Inkubacijski centar za bio-znanosti je aktivni čimbenik u osiguravanju produktivnog odnosa između primijenjenih znanstvenih istraživanja i gospodarstva, tehnološke infrastrukture i novih bio-tehnologijskih tvrtki u procesu razvoja novih proizvoda. Europska komisija je prihvatila financiranje 85% troškova gradnje, opremanja, nadzora gradnje te korištenja tehničke pomoći u ukupnom iznosu od EUR 16.376.471. Partneri na projektu su Sveučilište u Zagrebu te grad Zagreb, sa ciljem da se projekt realizira uz aktivno sudjelovanje akademske i znanstvene te lokalne zajednice.</w:t>
      </w:r>
    </w:p>
    <w:p w:rsidR="00D849AA" w:rsidRDefault="00EE6D95">
      <w:pPr>
        <w:pStyle w:val="Naslov2"/>
      </w:pPr>
      <w:r>
        <w:lastRenderedPageBreak/>
        <w:t>08012 Državni zavod za intelektualno vlasništvo</w:t>
      </w:r>
    </w:p>
    <w:p w:rsidR="00D849AA" w:rsidRDefault="00EE6D95">
      <w:pPr>
        <w:pStyle w:val="Naslov4"/>
      </w:pPr>
      <w:r>
        <w:t>Uvod</w:t>
      </w:r>
    </w:p>
    <w:p w:rsidR="00D849AA" w:rsidRDefault="00EE6D95">
      <w:pPr>
        <w:pStyle w:val="Normal3"/>
      </w:pPr>
      <w:r>
        <w:t xml:space="preserve">Najznačajnije aktivnosti i projekti DZIV-a u razdoblju od 2014. do 2016. godini usmjereni su na sljedeće: osiguravanje kvalitetnih, učinkovitih i financijski prihvatljivih postupaka priznanja prava industrijskog vlasništva na teritoriju Republike Hrvatske, koje DZIV provodi samostalno ili putem odgovarajućih međunarodnih i europskih sustava u kojima RH sudjeluje, uključujući razvoj odgovarajućeg zakonodavnog okvira; osiguravanje učinkovitog sustava zaštite autorskih i srodnih prava kroz razvoj odgovarajućeg zakonodavnog okvira, te provedbu i razvoj prateće stručne i inspekcijske djelatnosti; sudjelovanje u razvoju zakonodavnog i institucionalnog okvira Europske unije u području intelektualnog vlasništva; osiguravanje provedbe obveza iz međunarodnih konvencija i ugovora iz područja intelektualnog vlasništva u nadležnosti DZIV-a kojih je RH članica; daljnji razvoj članstva u međunarodnim konvencijama i ugovorima u skladu s ciljevima razvoja nacionalnog sustava intelektualnog vlasništva, te jačanje utjecaja RH u međunarodnim (europskim i svjetskim) organizacijama iz područja intelektualnog vlasništva; doprinos razvoju učinkovitog nacionalnog sustava provedbe prava intelektualnog vlasništva u suradnji i uz koordinaciju s tijelima za provedbu prava, te relevantnim nacionalnim organizacijama i interesnim skupinama; doprinos razvoju primjene prava intelektualnog vlasništva te razvoj pratećih javnih stručnih usluga DZIV-a u suradnji s drugim sudionicima nacionalnog inovacijskog sustava. </w:t>
      </w:r>
    </w:p>
    <w:p w:rsidR="00D849AA" w:rsidRDefault="00EE6D95">
      <w:pPr>
        <w:pStyle w:val="Normal3"/>
      </w:pPr>
      <w:r>
        <w:t xml:space="preserve">Provedba navedenih aktivnosti doprinosi sljedećim ciljevima Strategije Vladinih programa za razdoblje 2014.-2016: </w:t>
      </w:r>
    </w:p>
    <w:p w:rsidR="00D849AA" w:rsidRDefault="00EE6D95">
      <w:pPr>
        <w:pStyle w:val="Normal3"/>
      </w:pPr>
      <w:r>
        <w:t xml:space="preserve">2.1. Razvoj poslovne i investicijske klime, poticanje industrijskog razvitka i jačanje konkurentnosti gospodarskih subjekata </w:t>
      </w:r>
    </w:p>
    <w:p w:rsidR="00D849AA" w:rsidRDefault="00EE6D95">
      <w:pPr>
        <w:pStyle w:val="Normal3"/>
      </w:pPr>
      <w:r>
        <w:t xml:space="preserve">2.3. Poboljšanje zaštite ekonomskih interesa i sigurnosti potrošača </w:t>
      </w:r>
    </w:p>
    <w:p w:rsidR="00D849AA" w:rsidRDefault="00EE6D95">
      <w:pPr>
        <w:pStyle w:val="Normal3"/>
      </w:pPr>
      <w:r>
        <w:t xml:space="preserve">6.2.Razvijanje znanosti kao pokretača dugoročnog gospodarskog i društvenog razvoja </w:t>
      </w:r>
    </w:p>
    <w:p w:rsidR="00D849AA" w:rsidRDefault="00EE6D95">
      <w:pPr>
        <w:pStyle w:val="Normal3"/>
      </w:pPr>
      <w:r>
        <w:t xml:space="preserve">6.4.Razvoj kulturnoga i umjetničkog stvaralaštva </w:t>
      </w:r>
    </w:p>
    <w:p w:rsidR="00D849AA" w:rsidRDefault="00EE6D95">
      <w:pPr>
        <w:pStyle w:val="Normal3"/>
      </w:pPr>
      <w:r>
        <w:t xml:space="preserve">10.1. Nastavak  reforme pravosuđa </w:t>
      </w:r>
    </w:p>
    <w:p w:rsidR="00D849AA" w:rsidRDefault="00EE6D95">
      <w:pPr>
        <w:pStyle w:val="Normal3"/>
      </w:pPr>
      <w:r>
        <w:t>10.3. Kompetentna i djelotvorna javna uprava.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08012</w:t>
            </w:r>
          </w:p>
        </w:tc>
        <w:tc>
          <w:tcPr>
            <w:tcW w:w="1486" w:type="dxa"/>
          </w:tcPr>
          <w:p w:rsidR="00D849AA" w:rsidRDefault="00EE6D95">
            <w:r>
              <w:t>15.305.302</w:t>
            </w:r>
          </w:p>
        </w:tc>
        <w:tc>
          <w:tcPr>
            <w:tcW w:w="1486" w:type="dxa"/>
          </w:tcPr>
          <w:p w:rsidR="00D849AA" w:rsidRDefault="00EE6D95">
            <w:r>
              <w:t>16.658.907</w:t>
            </w:r>
          </w:p>
        </w:tc>
        <w:tc>
          <w:tcPr>
            <w:tcW w:w="1486" w:type="dxa"/>
          </w:tcPr>
          <w:p w:rsidR="00D849AA" w:rsidRDefault="00EE6D95">
            <w:r>
              <w:t>16.705.770</w:t>
            </w:r>
          </w:p>
        </w:tc>
        <w:tc>
          <w:tcPr>
            <w:tcW w:w="1486" w:type="dxa"/>
          </w:tcPr>
          <w:p w:rsidR="00D849AA" w:rsidRDefault="00EE6D95">
            <w:r>
              <w:t>17.216.467</w:t>
            </w:r>
          </w:p>
        </w:tc>
        <w:tc>
          <w:tcPr>
            <w:tcW w:w="1486" w:type="dxa"/>
          </w:tcPr>
          <w:p w:rsidR="00D849AA" w:rsidRDefault="00EE6D95">
            <w:r>
              <w:t>108,8</w:t>
            </w:r>
          </w:p>
        </w:tc>
      </w:tr>
    </w:tbl>
    <w:p w:rsidR="00D849AA" w:rsidRDefault="00D849AA">
      <w:pPr>
        <w:jc w:val="left"/>
      </w:pPr>
    </w:p>
    <w:p w:rsidR="00D849AA" w:rsidRDefault="00EE6D95">
      <w:pPr>
        <w:pStyle w:val="Naslov4"/>
      </w:pPr>
      <w:r>
        <w:t>OBRAZLOŽENJE PROGRAMA</w:t>
      </w:r>
    </w:p>
    <w:p w:rsidR="00D849AA" w:rsidRDefault="00EE6D95">
      <w:pPr>
        <w:pStyle w:val="Naslov5"/>
      </w:pPr>
      <w:r>
        <w:t>3801 ULAGANJE U ZNANSTVENO ISTRAŽIVAČKU DJELATNOST</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3801</w:t>
            </w:r>
          </w:p>
        </w:tc>
        <w:tc>
          <w:tcPr>
            <w:tcW w:w="1486" w:type="dxa"/>
          </w:tcPr>
          <w:p w:rsidR="00D849AA" w:rsidRDefault="00EE6D95">
            <w:r>
              <w:t>15.305.302</w:t>
            </w:r>
          </w:p>
        </w:tc>
        <w:tc>
          <w:tcPr>
            <w:tcW w:w="1486" w:type="dxa"/>
          </w:tcPr>
          <w:p w:rsidR="00D849AA" w:rsidRDefault="00EE6D95">
            <w:r>
              <w:t>16.658.907</w:t>
            </w:r>
          </w:p>
        </w:tc>
        <w:tc>
          <w:tcPr>
            <w:tcW w:w="1486" w:type="dxa"/>
          </w:tcPr>
          <w:p w:rsidR="00D849AA" w:rsidRDefault="00EE6D95">
            <w:r>
              <w:t>16.705.770</w:t>
            </w:r>
          </w:p>
        </w:tc>
        <w:tc>
          <w:tcPr>
            <w:tcW w:w="1486" w:type="dxa"/>
          </w:tcPr>
          <w:p w:rsidR="00D849AA" w:rsidRDefault="00EE6D95">
            <w:r>
              <w:t>17.216.467</w:t>
            </w:r>
          </w:p>
        </w:tc>
        <w:tc>
          <w:tcPr>
            <w:tcW w:w="1486" w:type="dxa"/>
          </w:tcPr>
          <w:p w:rsidR="00D849AA" w:rsidRDefault="00EE6D95">
            <w:r>
              <w:t>108,8</w:t>
            </w:r>
          </w:p>
        </w:tc>
      </w:tr>
    </w:tbl>
    <w:p w:rsidR="00D849AA" w:rsidRDefault="00D849AA">
      <w:pPr>
        <w:jc w:val="left"/>
      </w:pPr>
    </w:p>
    <w:p w:rsidR="00D849AA" w:rsidRDefault="00EE6D95">
      <w:pPr>
        <w:pStyle w:val="Naslov6"/>
      </w:pPr>
      <w:r>
        <w:lastRenderedPageBreak/>
        <w:t>Opis programa</w:t>
      </w:r>
    </w:p>
    <w:p w:rsidR="00D849AA" w:rsidRDefault="00EE6D95">
      <w:pPr>
        <w:pStyle w:val="Normal5"/>
      </w:pPr>
      <w:r>
        <w:t xml:space="preserve">Program je planiran u okviru općeg cilja razvoja znanosti kao pokretača dugoročnoga gospodarskoga i društvenoga razvoja, odnosno posebnog cilja koji se odnosi na poticanje poduzetništva zasnovanog na inovacijama i visokim tehnologijama. Prijenos znanja i rezultata znanstvenoga rada prema primjeni u gospodarstvu predstavlja jedan od glavnih ciljeva hrvatske znanstveno-tehnološke politike. </w:t>
      </w:r>
    </w:p>
    <w:p w:rsidR="00D849AA" w:rsidRDefault="00EE6D95">
      <w:pPr>
        <w:pStyle w:val="Normal5"/>
      </w:pPr>
      <w:r>
        <w:t xml:space="preserve">U odnosu na DZIV program se odnosi na osiguravanje kvalitetnog, učinkovitog i financijski prihvatljivog nacionalnog sustava zaštite, provedbe i primjene intelektualnog vlasništva, optimalno usklađenog s relevantnim međunarodnim i europskim sustavima intelektualnog vlasništva, te usklađenog s ostalim elementima nacionalnog inovacijskog sustava. </w:t>
      </w:r>
    </w:p>
    <w:p w:rsidR="00D849AA" w:rsidRDefault="00EE6D95">
      <w:pPr>
        <w:pStyle w:val="Normal5"/>
      </w:pPr>
      <w:r>
        <w:t>Nacionalni sustav intelektualnog vlasništva (NSIV), koji obuhvaća aspekte zaštite, provedbe i primjene prava intelektualnog vlasništva, treba osigurati poticajno okruženje za kreativni i inovativni razvoj svih gospodarskih i društvenih aktivnosti, osiguravajući pri tome pravednu tržišnu utakmicu te optimalan odnos između privatnih interesa stvaratelja odnosno nositelja prava s jedne strane, te općih društvenih interesa s druge strane.</w:t>
      </w:r>
    </w:p>
    <w:p w:rsidR="00D849AA" w:rsidRDefault="00EE6D95">
      <w:pPr>
        <w:pStyle w:val="Naslov6"/>
      </w:pPr>
      <w:r>
        <w:t>Zakonske i druge pravne osnove</w:t>
      </w:r>
    </w:p>
    <w:p w:rsidR="00D849AA" w:rsidRDefault="00EE6D95">
      <w:pPr>
        <w:pStyle w:val="Normal5"/>
      </w:pPr>
      <w:r>
        <w:t xml:space="preserve">Provedba programa u odnosu na DZIV zasniva se na Zakonu o ustrojstvu i djelokrugu ministarstava i drugih središnjih tijela državne uprave (NN 150/11 i 22/12, 39/13) kojim je propisana djelatnost DZIV-a, kao i zakonodavstvu Republike Hrvatske koje uređuje nacionalni sustav intelektualnog vlasništva u užem smislu:  </w:t>
      </w:r>
    </w:p>
    <w:p w:rsidR="00D849AA" w:rsidRDefault="00EE6D95">
      <w:pPr>
        <w:pStyle w:val="Normal5"/>
      </w:pPr>
      <w:r>
        <w:t xml:space="preserve">Zakon o patentu (NN 173/03 i njegove izmjene i dopune);  </w:t>
      </w:r>
    </w:p>
    <w:p w:rsidR="00D849AA" w:rsidRDefault="00EE6D95">
      <w:pPr>
        <w:pStyle w:val="Normal5"/>
      </w:pPr>
      <w:r>
        <w:t xml:space="preserve">Zakon o žigu (NN 173/03 i njegove izmjene i dopune);  </w:t>
      </w:r>
    </w:p>
    <w:p w:rsidR="00D849AA" w:rsidRDefault="00EE6D95">
      <w:pPr>
        <w:pStyle w:val="Normal5"/>
      </w:pPr>
      <w:r>
        <w:t xml:space="preserve">Zakon o oznakama zemljopisnog podrijetla i oznakama izvornosti proizvoda i usluga (NN 173/03 i njegove izmjene i dopune); Zakon o zaštiti topografija poluvodičkih proizvoda (NN 173/03 i njegove izmjene i dopune);  </w:t>
      </w:r>
    </w:p>
    <w:p w:rsidR="00D849AA" w:rsidRDefault="00EE6D95">
      <w:pPr>
        <w:pStyle w:val="Normal5"/>
      </w:pPr>
      <w:r>
        <w:t xml:space="preserve">Zakon o industrijskom dizajnu (NN 173/2003 i njegove izmjene i dopune);  </w:t>
      </w:r>
    </w:p>
    <w:p w:rsidR="00D849AA" w:rsidRDefault="00EE6D95">
      <w:pPr>
        <w:pStyle w:val="Normal5"/>
      </w:pPr>
      <w:r>
        <w:t>Zakon o autorskom pravu i srodnim pravima (NN 167/2003 i njegove izmjene i dopune).</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Cilj 1. Osiguravanje kvalitetnog, učinkovitog i financijski prihvatljivog postupka priznavanja prava industrijskog vlasništva</w:t>
      </w:r>
    </w:p>
    <w:p w:rsidR="00D849AA" w:rsidRDefault="00EE6D95">
      <w:pPr>
        <w:pStyle w:val="Normal6"/>
      </w:pPr>
      <w:r>
        <w:t xml:space="preserve">Provedba kvalitetnog, učinkovitog i financijski prihvatljivog postupka priznavanja prava industrijskog vlasništva omogućit će njihovim nositeljima učinkovitu daljnju  primjenu tih prava u razvojne i poslovne svrhe, uz istovremeno osiguranje pravne sigurnosti za zainteresirane treće strane, kao i očuvanje društvenog i javnog interesa. Postojeće stanje kvalitete i učinkovitosti postupaka priznavanja industrijskog vlasništva je primjereno postojećim uvjetima (ograničeni ljudski i materijalni resursi DZIV-a, nepotpuna integriranost u tržište Europske unije, mali broj korisnika postupaka od strane domaćih subjekata i niska razina korištenja prava industrijskog vlasništva u nacionalnom gospodarstvu). Slijedom potpunog uključivanja u zajedničko tržište EU-a u 2013. godini, te očekivanog porasta razine korištenja prava industrijskog vlasništva u nacionalnom gospodarstvu, zahtjevi u odnosu na kvalitetu i učinkovitost nacionalnih postupaka znatno će narasti. Obveza usklađivanja kvalitete nacionalnih postupaka za priznanje patenata, žigova i industrijskog dizajna  s europskim normama proizlazi iz članstva RH u Europskoj uniji, a za patente dodatno i iz članstva u Europskoj patentnoj organizaciji. Članstvo u </w:t>
      </w:r>
      <w:r>
        <w:lastRenderedPageBreak/>
        <w:t>Europskoj uniji nameće i dodatne obaveze slijedom uključenosti RH u sustav Europskog žiga (CTM) i Europskog dizajna (RCD). Na povećanje kvalitete postupaka u sljedećem trogodišnjem razdoblju utjecat će se kontinuiranim stručnim usavršavanjem djelatnika u okviru regionalnih i međunarodnih programa stručnog usavršavanja koje provode organizacije za intelektualno vlasništvo te razvojem elemenata sustava upravljanja kvalitetom. Ovisno o raspoloživosti odgovarajućih resursa uspostavit će se formalizirani sustav upravljanja kvalitetom. S obzirom na ograničenje zapošljavanja u državnoj upravi i prirodni odljev zaposlenih trenutno je prisutan trend opadanja učinkovitosti provedbe postupaka priznavanja prava industrijskog vlasništva. Za učinkovitu provedbu ovih postupaka nužna su specifična specijalistička znanja, koja se stječu relativno dugim postupkom stručnog usavršavanja, kao i primjeren broj stručnjaka iz različitih područja (prvenstveno  iz različitih područja tehnike u području priznanja patenata), što u postojećim uvjetima nije moguće osigurati. Daljnje opadanje učinkovitosti planira se ublažiti revizijom postojećih formalnih procedura u smislu njihovog pojednostavljenja, te daljnjom informatizacijom postupaka. U okviru raspoloživih sredstava proračuna i ovisno o formalnim ograničenjima vezanim uz novo zapošljavanje nastojat će se ostvariti nužna obnova i dopuna ljudskih resursa.Poseban problem predstavlja financijski aspekt učinkovitosti postupaka priznanja prava pri DZIV-u. Slijedom potpunog odvajanja prihoda temeljem naknada za troškove postupaka priznanja prava industrijskog vlasništva od proračuna DZIV-a (temeljem reforme sustava državnih financija 2005-2008) ukinuta je logična povezanost između troškova provedbe postupka i odgovarajućih naknada. S obzirom na prirodu prava industrijskog vlasništva (radi se o privatnim pravima), troškovi provedbe postupaka njihove zaštite u međunarodnim sustavima i većini nacionalnih sustava razvijenih zemalja u pravilu se pokrivaju iz prihoda od naknada za iste, čime se osigurava učinkovito upravljanje financijskom učinkovitosti postupaka. Povećanje financijske učinkovitosti u sljedećem trogodišnjem razdoblju planira se riješiti statusnim preustrojem DZIV-a sukladno smjernicama strategije reforme državne uprave i nalaza studije izvedivosti prelaska na samofinanciranje DZIV-a, temeljenim na prethodno provedenim relevantnim analizama. Pri tome je će na izvedivost preustroja ključno utjecati rezultati tekućih reformi europskih sustava žiga i patenta kojima će biti definirani budući prihodi iz tih sustava, te je dinamika ostvarivanja mogućeg preustroja nužno ovisna o dinamici navedenih reformi, čiji se završetak očekuje krajem 2014. odnosno u 2015. godini.</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Stupanj kvalitete, učinkovitosti i financijske prihvatljivosti postupaka priznanja prava industrijskog vlasništva usklađen s europskim standardima (kumulativ)</w:t>
            </w:r>
          </w:p>
        </w:tc>
        <w:tc>
          <w:tcPr>
            <w:tcW w:w="1114" w:type="dxa"/>
          </w:tcPr>
          <w:p w:rsidR="00D849AA" w:rsidRDefault="00EE6D95">
            <w:r>
              <w:t>%</w:t>
            </w:r>
          </w:p>
        </w:tc>
        <w:tc>
          <w:tcPr>
            <w:tcW w:w="1114" w:type="dxa"/>
          </w:tcPr>
          <w:p w:rsidR="00D849AA" w:rsidRDefault="00EE6D95">
            <w:r>
              <w:t>75%</w:t>
            </w:r>
          </w:p>
        </w:tc>
        <w:tc>
          <w:tcPr>
            <w:tcW w:w="1486" w:type="dxa"/>
          </w:tcPr>
          <w:p w:rsidR="00D849AA" w:rsidRDefault="00EE6D95">
            <w:r>
              <w:t>75%</w:t>
            </w:r>
          </w:p>
        </w:tc>
        <w:tc>
          <w:tcPr>
            <w:tcW w:w="1486" w:type="dxa"/>
          </w:tcPr>
          <w:p w:rsidR="00D849AA" w:rsidRDefault="00EE6D95">
            <w:r>
              <w:t>80%</w:t>
            </w:r>
          </w:p>
        </w:tc>
        <w:tc>
          <w:tcPr>
            <w:tcW w:w="1486" w:type="dxa"/>
          </w:tcPr>
          <w:p w:rsidR="00D849AA" w:rsidRDefault="00EE6D95">
            <w:r>
              <w:t>85%</w:t>
            </w:r>
          </w:p>
        </w:tc>
      </w:tr>
    </w:tbl>
    <w:p w:rsidR="00D849AA" w:rsidRDefault="00D849AA">
      <w:pPr>
        <w:jc w:val="left"/>
      </w:pPr>
    </w:p>
    <w:p w:rsidR="00D849AA" w:rsidRDefault="00EE6D95">
      <w:pPr>
        <w:pStyle w:val="Naslov7"/>
      </w:pPr>
      <w:r>
        <w:lastRenderedPageBreak/>
        <w:t>Cilj 2. Osiguravanje učinkovitog sustava zaštite autorskih i srodnih prava</w:t>
      </w:r>
    </w:p>
    <w:p w:rsidR="00D849AA" w:rsidRDefault="00EE6D95">
      <w:pPr>
        <w:pStyle w:val="Normal6"/>
      </w:pPr>
      <w:r>
        <w:t>Postojeći zakonodavni i organizacijski okvir sustava zaštite autorskih i srodnih prva u potpunosti je usklađen s najvišim međunarodnim standardima i europskom pravnom stečevinom. Međutim, dinamičan razvoj digitalne tehnologije te intenzivne zakonodavne inicijative na razini Europske unije zahtijevaju jačanje aktivnosti usmjerenih na osiguravanje učinkovite primjene zaštite autorskih i srodnih prava u suvremenom okruženju. Prvenstveno se slijedom aktivnosti na razini EU planira intenzivna zakonodavna aktivnost, te jačanje suradnje i koordinacije s ostalim dionicima ovog sustava, kao i organizacija zajedničkih aktivnosti. Ovisno o raspoloživosti resursa planira se izdavanje stručnih i promotivnih publikacija iz područja učinkovite primjene autorskih i srodnih prava u kulturnom poduzetništvu, kao i druge aktivnosti na informiranju građana i korisnika zaštite o sustavu zaštite autoskih i srodnih prava.</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Stupanj  učinkovite primjene zaštite autorskih i srodnih prava usklađen s europskim standardima (kumulativ</w:t>
            </w:r>
          </w:p>
        </w:tc>
        <w:tc>
          <w:tcPr>
            <w:tcW w:w="1114" w:type="dxa"/>
          </w:tcPr>
          <w:p w:rsidR="00D849AA" w:rsidRDefault="00EE6D95">
            <w:r>
              <w:t>%</w:t>
            </w:r>
          </w:p>
        </w:tc>
        <w:tc>
          <w:tcPr>
            <w:tcW w:w="1114" w:type="dxa"/>
          </w:tcPr>
          <w:p w:rsidR="00D849AA" w:rsidRDefault="00EE6D95">
            <w:r>
              <w:t>85%</w:t>
            </w:r>
          </w:p>
        </w:tc>
        <w:tc>
          <w:tcPr>
            <w:tcW w:w="1486" w:type="dxa"/>
          </w:tcPr>
          <w:p w:rsidR="00D849AA" w:rsidRDefault="00EE6D95">
            <w:r>
              <w:t>85%</w:t>
            </w:r>
          </w:p>
        </w:tc>
        <w:tc>
          <w:tcPr>
            <w:tcW w:w="1486" w:type="dxa"/>
          </w:tcPr>
          <w:p w:rsidR="00D849AA" w:rsidRDefault="00EE6D95">
            <w:r>
              <w:t>90%</w:t>
            </w:r>
          </w:p>
        </w:tc>
        <w:tc>
          <w:tcPr>
            <w:tcW w:w="1486" w:type="dxa"/>
          </w:tcPr>
          <w:p w:rsidR="00D849AA" w:rsidRDefault="00EE6D95">
            <w:r>
              <w:t>95%</w:t>
            </w:r>
          </w:p>
        </w:tc>
      </w:tr>
    </w:tbl>
    <w:p w:rsidR="00D849AA" w:rsidRDefault="00D849AA">
      <w:pPr>
        <w:jc w:val="left"/>
      </w:pPr>
    </w:p>
    <w:p w:rsidR="00D849AA" w:rsidRDefault="00EE6D95">
      <w:pPr>
        <w:pStyle w:val="Naslov7"/>
      </w:pPr>
      <w:r>
        <w:t>Cilj 3. Povećanje broja korisnika usluga DZIV-a</w:t>
      </w:r>
    </w:p>
    <w:p w:rsidR="00D849AA" w:rsidRDefault="00EE6D95">
      <w:pPr>
        <w:pStyle w:val="Normal6"/>
      </w:pPr>
      <w:r>
        <w:t xml:space="preserve">Prava intelektualnog vlasništva temelje se na načelu teritorijalnosti (jurisdikcije) te su slijedom toga korisnici usluga DZIV-a strane i domaće osobe koje žele zaštititi svoje intelektualno vlasništvo na teritoriju Republike Hrvatske. Sadašnja situacija je takva da kao korisnici usluga DZIV-a (prvenstveno postupaka priznanja prava industrijskog vlasništva)  izrazito prevladavaju strani korisnici, i to u mjeri znatno iznad udjela stranih korisnika u usporedivim zemljama. </w:t>
      </w:r>
    </w:p>
    <w:p w:rsidR="00D849AA" w:rsidRDefault="00EE6D95">
      <w:pPr>
        <w:pStyle w:val="Normal6"/>
      </w:pPr>
      <w:r>
        <w:t>S obzirom na relativno nizak stupanj korištenja sustava zaštite industrijskog vlasništva od strane domaćih pravnih i fizičkih osoba (izražen brojem zahtjeva za priznanje prava industrijskog vlasništva na godišnjoj razini) cilj je povećati broj domaćih korisnika usluga DZIV-a, kako u segmentu postupaka za priznanje prava industrijskog vlasništva, tako i u segmentu pratećih stručnih usluga. Osim povećanja konkurentnosti domaćeg gospodarstva slijedom učinkovite primjene industrijskog vlasništva, povećanje broja korisnika odrazit će se i na bolju financijsku učinkovitost djelatnosti DZIV-a, s obzirom na visok udio fiksnih troškova. Stupanj povećanja broja korisnika osim o aktivnostima DZIV-a značajno ovisi i o okruženju, prije svega domaćim i međunarodnim gospodarskim kretanjima.</w:t>
      </w:r>
    </w:p>
    <w:p w:rsidR="001A0148" w:rsidRDefault="001A0148">
      <w:pPr>
        <w:pStyle w:val="Normal6"/>
      </w:pPr>
    </w:p>
    <w:p w:rsidR="001A0148" w:rsidRDefault="001A0148">
      <w:pPr>
        <w:pStyle w:val="Normal6"/>
      </w:pPr>
    </w:p>
    <w:p w:rsidR="001A0148" w:rsidRDefault="001A0148">
      <w:pPr>
        <w:pStyle w:val="Normal6"/>
      </w:pPr>
    </w:p>
    <w:p w:rsidR="001A0148" w:rsidRDefault="001A0148">
      <w:pPr>
        <w:pStyle w:val="Normal6"/>
      </w:pPr>
    </w:p>
    <w:p w:rsidR="001A0148" w:rsidRDefault="001A0148">
      <w:pPr>
        <w:pStyle w:val="Normal6"/>
      </w:pPr>
    </w:p>
    <w:p w:rsidR="001A0148" w:rsidRDefault="001A0148">
      <w:pPr>
        <w:pStyle w:val="Normal6"/>
      </w:pPr>
    </w:p>
    <w:p w:rsidR="00D849AA" w:rsidRDefault="00EE6D95">
      <w:pPr>
        <w:pStyle w:val="Naslov8"/>
        <w:jc w:val="left"/>
      </w:pPr>
      <w:r>
        <w:lastRenderedPageBreak/>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Povećan broj domaćih nositelja prava industrijskog vlasništva</w:t>
            </w:r>
          </w:p>
        </w:tc>
        <w:tc>
          <w:tcPr>
            <w:tcW w:w="1114" w:type="dxa"/>
          </w:tcPr>
          <w:p w:rsidR="00D849AA" w:rsidRDefault="00EE6D95">
            <w:r>
              <w:t>%</w:t>
            </w:r>
          </w:p>
        </w:tc>
        <w:tc>
          <w:tcPr>
            <w:tcW w:w="1114" w:type="dxa"/>
          </w:tcPr>
          <w:p w:rsidR="00D849AA" w:rsidRDefault="00EE6D95">
            <w:r>
              <w:t>3632</w:t>
            </w:r>
          </w:p>
        </w:tc>
        <w:tc>
          <w:tcPr>
            <w:tcW w:w="1486" w:type="dxa"/>
          </w:tcPr>
          <w:p w:rsidR="00D849AA" w:rsidRDefault="00EE6D95">
            <w:r>
              <w:t>2%</w:t>
            </w:r>
          </w:p>
        </w:tc>
        <w:tc>
          <w:tcPr>
            <w:tcW w:w="1486" w:type="dxa"/>
          </w:tcPr>
          <w:p w:rsidR="00D849AA" w:rsidRDefault="00EE6D95">
            <w:r>
              <w:t>5%</w:t>
            </w:r>
          </w:p>
        </w:tc>
        <w:tc>
          <w:tcPr>
            <w:tcW w:w="1486" w:type="dxa"/>
          </w:tcPr>
          <w:p w:rsidR="00D849AA" w:rsidRDefault="00EE6D95">
            <w:r>
              <w:t>5%</w:t>
            </w:r>
          </w:p>
        </w:tc>
      </w:tr>
    </w:tbl>
    <w:p w:rsidR="00D849AA" w:rsidRDefault="00D849AA">
      <w:pPr>
        <w:jc w:val="left"/>
      </w:pPr>
    </w:p>
    <w:p w:rsidR="00D849AA" w:rsidRDefault="00EE6D95">
      <w:pPr>
        <w:pStyle w:val="Naslov7"/>
      </w:pPr>
      <w:r>
        <w:t>Cilj 4. Doprinos razvoju učinkovitog sustava provedbe prava intelektualnog  vlasništva</w:t>
      </w:r>
    </w:p>
    <w:p w:rsidR="00D849AA" w:rsidRDefault="00EE6D95">
      <w:pPr>
        <w:pStyle w:val="Normal6"/>
      </w:pPr>
      <w:r>
        <w:t>Učinkovitost sustava provedbe prava intelektualnog vlasništva ključna je za ostvarivanje ukupne društvene uloge zaštite intelektualnog vlasništva. S obzirom na tendenciju izrazitog porasta prometa krivotvorenim i piratskim proizvodima na teritoriju EU-a posljednjih godina, potrebno je daljnje jačanje učinkovitosti nacionalnog sustava provedbe prava intelektualnog vlasništva. Slijedom ukupne koordinacijske uloge DZIV-a na unapređenju sustava intelektualnog vlasništva, DZIV će inicirati, razvijati i stručno podupirati aktivnosti na razvoju učinkovitog sustava provedbe prava intelektualnog vlasništva od strane nadležnih tijela (policija, carina, državni inspektorat, državno odvjetništvo, sudovi).</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Povećana učinkovitosti sustava provedbe prava intelektualnog vlasništva (kumulativ)</w:t>
            </w:r>
          </w:p>
        </w:tc>
        <w:tc>
          <w:tcPr>
            <w:tcW w:w="1114" w:type="dxa"/>
          </w:tcPr>
          <w:p w:rsidR="00D849AA" w:rsidRDefault="00EE6D95">
            <w:r>
              <w:t>%</w:t>
            </w:r>
          </w:p>
        </w:tc>
        <w:tc>
          <w:tcPr>
            <w:tcW w:w="1114" w:type="dxa"/>
          </w:tcPr>
          <w:p w:rsidR="00D849AA" w:rsidRDefault="00EE6D95">
            <w:r>
              <w:t>80%</w:t>
            </w:r>
          </w:p>
        </w:tc>
        <w:tc>
          <w:tcPr>
            <w:tcW w:w="1486" w:type="dxa"/>
          </w:tcPr>
          <w:p w:rsidR="00D849AA" w:rsidRDefault="00EE6D95">
            <w:r>
              <w:t>85%</w:t>
            </w:r>
          </w:p>
        </w:tc>
        <w:tc>
          <w:tcPr>
            <w:tcW w:w="1486" w:type="dxa"/>
          </w:tcPr>
          <w:p w:rsidR="00D849AA" w:rsidRDefault="00EE6D95">
            <w:r>
              <w:t>90%</w:t>
            </w:r>
          </w:p>
        </w:tc>
        <w:tc>
          <w:tcPr>
            <w:tcW w:w="1486" w:type="dxa"/>
          </w:tcPr>
          <w:p w:rsidR="00D849AA" w:rsidRDefault="00EE6D95">
            <w:r>
              <w:t>95%</w:t>
            </w:r>
          </w:p>
        </w:tc>
      </w:tr>
    </w:tbl>
    <w:p w:rsidR="00D849AA" w:rsidRDefault="00D849AA">
      <w:pPr>
        <w:jc w:val="left"/>
      </w:pPr>
    </w:p>
    <w:p w:rsidR="00D849AA" w:rsidRDefault="00EE6D95">
      <w:pPr>
        <w:pStyle w:val="Naslov5"/>
      </w:pPr>
      <w:r>
        <w:t>Procjena i ishodište potrebnih sredstava za značajnije aktivnosti/projekte</w:t>
      </w:r>
    </w:p>
    <w:p w:rsidR="00D849AA" w:rsidRDefault="00EE6D95">
      <w:pPr>
        <w:pStyle w:val="Naslov6"/>
      </w:pPr>
      <w:r>
        <w:t>A763000 ADMINISTRACIJA I UPRAVLJANJE DRŽAVNOG ZAVODA ZA INTELEKTUALNO VLASNIŠTVO</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A763000</w:t>
            </w:r>
          </w:p>
        </w:tc>
        <w:tc>
          <w:tcPr>
            <w:tcW w:w="1486" w:type="dxa"/>
          </w:tcPr>
          <w:p w:rsidR="00D849AA" w:rsidRDefault="00EE6D95">
            <w:r>
              <w:t>14.179.802</w:t>
            </w:r>
          </w:p>
        </w:tc>
        <w:tc>
          <w:tcPr>
            <w:tcW w:w="1486" w:type="dxa"/>
          </w:tcPr>
          <w:p w:rsidR="00D849AA" w:rsidRDefault="00EE6D95">
            <w:r>
              <w:t>14.640.307</w:t>
            </w:r>
          </w:p>
        </w:tc>
        <w:tc>
          <w:tcPr>
            <w:tcW w:w="1486" w:type="dxa"/>
          </w:tcPr>
          <w:p w:rsidR="00D849AA" w:rsidRDefault="00EE6D95">
            <w:r>
              <w:t>14.905.770</w:t>
            </w:r>
          </w:p>
        </w:tc>
        <w:tc>
          <w:tcPr>
            <w:tcW w:w="1486" w:type="dxa"/>
          </w:tcPr>
          <w:p w:rsidR="00D849AA" w:rsidRDefault="00EE6D95">
            <w:r>
              <w:t>15.371.467</w:t>
            </w:r>
          </w:p>
        </w:tc>
        <w:tc>
          <w:tcPr>
            <w:tcW w:w="1486" w:type="dxa"/>
          </w:tcPr>
          <w:p w:rsidR="00D849AA" w:rsidRDefault="00EE6D95">
            <w:r>
              <w:t>103,2</w:t>
            </w:r>
          </w:p>
        </w:tc>
      </w:tr>
    </w:tbl>
    <w:p w:rsidR="00D849AA" w:rsidRDefault="00D849AA">
      <w:pPr>
        <w:jc w:val="left"/>
      </w:pPr>
    </w:p>
    <w:p w:rsidR="00D849AA" w:rsidRDefault="00EE6D95">
      <w:pPr>
        <w:pStyle w:val="Normal6"/>
      </w:pPr>
      <w:r>
        <w:t xml:space="preserve">Aktivnost Administracija i upravljanje je temeljna aktivnost DZIV-a koja obuhvaća sve redovne stručne poslove i aktivnosti DZIV-a na ostvarenju osnovnog cilja – osiguravanja kvalitetnog, učinkovitog i financijski prihvatljivog sustava zaštite, provedbe i primjene intelektualnog vlasništva. Provedbom ove aktivnosti osigurava se obavljanje propisanih upravnih i stručnih poslova koji se odnose na zaštitu industrijskog vlasništva te autorskih i </w:t>
      </w:r>
      <w:r>
        <w:lastRenderedPageBreak/>
        <w:t>srodnih prava; razvoj i pružanje pratećih javnih stručnih usluga iz područja intelektualnog vlasništva; sudjelovanje u razvoju zakonodavnog i institucionalnog okvira Europske unije u području intelektualnog vlasništva; obavljanje poslova međunarodne suradnje s odgovarajućim državnim institucijama drugih zemalja, kao i s međunarodnim organizacijama, te poslova pripreme, zaključivanja i izvršavanje međunarodnih ugovora iz područja intelektualnog vlasništva; poslove predstavljanja Republike Hrvatske u europskim i međunarodnim organizacijama i stručnim tijelima iz područja intelektualnog vlasništva, te na poslove razvoja i unapređenja ukupnog nacionalnog sustava intelektualnog vlasništva.</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Postotak riješenih prijava za priznanje prava industrijskog vlasništva u planiranom roku (kumulativ)</w:t>
            </w:r>
          </w:p>
        </w:tc>
        <w:tc>
          <w:tcPr>
            <w:tcW w:w="1114" w:type="dxa"/>
          </w:tcPr>
          <w:p w:rsidR="00D849AA" w:rsidRDefault="00EE6D95">
            <w:r>
              <w:t>%</w:t>
            </w:r>
          </w:p>
        </w:tc>
        <w:tc>
          <w:tcPr>
            <w:tcW w:w="1114" w:type="dxa"/>
          </w:tcPr>
          <w:p w:rsidR="00D849AA" w:rsidRDefault="00EE6D95">
            <w:r>
              <w:t>80%</w:t>
            </w:r>
          </w:p>
        </w:tc>
        <w:tc>
          <w:tcPr>
            <w:tcW w:w="1486" w:type="dxa"/>
          </w:tcPr>
          <w:p w:rsidR="00D849AA" w:rsidRDefault="00EE6D95">
            <w:r>
              <w:t>80%</w:t>
            </w:r>
          </w:p>
        </w:tc>
        <w:tc>
          <w:tcPr>
            <w:tcW w:w="1486" w:type="dxa"/>
          </w:tcPr>
          <w:p w:rsidR="00D849AA" w:rsidRDefault="00EE6D95">
            <w:r>
              <w:t>85%</w:t>
            </w:r>
          </w:p>
        </w:tc>
        <w:tc>
          <w:tcPr>
            <w:tcW w:w="1486" w:type="dxa"/>
          </w:tcPr>
          <w:p w:rsidR="00D849AA" w:rsidRDefault="00EE6D95">
            <w:r>
              <w:t>85%</w:t>
            </w:r>
          </w:p>
        </w:tc>
      </w:tr>
      <w:tr w:rsidR="00D849AA">
        <w:trPr>
          <w:jc w:val="center"/>
        </w:trPr>
        <w:tc>
          <w:tcPr>
            <w:tcW w:w="2229" w:type="dxa"/>
          </w:tcPr>
          <w:p w:rsidR="00D849AA" w:rsidRDefault="00EE6D95">
            <w:pPr>
              <w:pStyle w:val="CellColumn"/>
            </w:pPr>
            <w:r>
              <w:t>Postotak implementacije formaliziranog sustava upravljanja kvalitetom (kumulativ)</w:t>
            </w:r>
          </w:p>
        </w:tc>
        <w:tc>
          <w:tcPr>
            <w:tcW w:w="1114" w:type="dxa"/>
          </w:tcPr>
          <w:p w:rsidR="00D849AA" w:rsidRDefault="00EE6D95">
            <w:r>
              <w:t>%</w:t>
            </w:r>
          </w:p>
        </w:tc>
        <w:tc>
          <w:tcPr>
            <w:tcW w:w="1114" w:type="dxa"/>
          </w:tcPr>
          <w:p w:rsidR="00D849AA" w:rsidRDefault="00EE6D95">
            <w:r>
              <w:t>0%</w:t>
            </w:r>
          </w:p>
        </w:tc>
        <w:tc>
          <w:tcPr>
            <w:tcW w:w="1486" w:type="dxa"/>
          </w:tcPr>
          <w:p w:rsidR="00D849AA" w:rsidRDefault="00EE6D95">
            <w:r>
              <w:t>10%</w:t>
            </w:r>
          </w:p>
        </w:tc>
        <w:tc>
          <w:tcPr>
            <w:tcW w:w="1486" w:type="dxa"/>
          </w:tcPr>
          <w:p w:rsidR="00D849AA" w:rsidRDefault="00EE6D95">
            <w:r>
              <w:t>30%</w:t>
            </w:r>
          </w:p>
        </w:tc>
        <w:tc>
          <w:tcPr>
            <w:tcW w:w="1486" w:type="dxa"/>
          </w:tcPr>
          <w:p w:rsidR="00D849AA" w:rsidRDefault="00EE6D95">
            <w:r>
              <w:t>60%</w:t>
            </w:r>
          </w:p>
        </w:tc>
      </w:tr>
      <w:tr w:rsidR="00D849AA">
        <w:trPr>
          <w:jc w:val="center"/>
        </w:trPr>
        <w:tc>
          <w:tcPr>
            <w:tcW w:w="2229" w:type="dxa"/>
          </w:tcPr>
          <w:p w:rsidR="00D849AA" w:rsidRDefault="00EE6D95">
            <w:pPr>
              <w:pStyle w:val="CellColumn"/>
            </w:pPr>
            <w:r>
              <w:t>Broj zajedničkih projekata i suradničkih aktivnosti</w:t>
            </w:r>
          </w:p>
        </w:tc>
        <w:tc>
          <w:tcPr>
            <w:tcW w:w="1114" w:type="dxa"/>
          </w:tcPr>
          <w:p w:rsidR="00D849AA" w:rsidRDefault="00EE6D95">
            <w:r>
              <w:t>Broj (godišnje)</w:t>
            </w:r>
          </w:p>
        </w:tc>
        <w:tc>
          <w:tcPr>
            <w:tcW w:w="1114" w:type="dxa"/>
          </w:tcPr>
          <w:p w:rsidR="00D849AA" w:rsidRDefault="00EE6D95">
            <w:r>
              <w:t>1</w:t>
            </w:r>
          </w:p>
        </w:tc>
        <w:tc>
          <w:tcPr>
            <w:tcW w:w="1486" w:type="dxa"/>
          </w:tcPr>
          <w:p w:rsidR="00D849AA" w:rsidRDefault="00EE6D95">
            <w:r>
              <w:t>2</w:t>
            </w:r>
          </w:p>
        </w:tc>
        <w:tc>
          <w:tcPr>
            <w:tcW w:w="1486" w:type="dxa"/>
          </w:tcPr>
          <w:p w:rsidR="00D849AA" w:rsidRDefault="00EE6D95">
            <w:r>
              <w:t>2</w:t>
            </w:r>
          </w:p>
        </w:tc>
        <w:tc>
          <w:tcPr>
            <w:tcW w:w="1486" w:type="dxa"/>
          </w:tcPr>
          <w:p w:rsidR="00D849AA" w:rsidRDefault="00EE6D95">
            <w:r>
              <w:t>2</w:t>
            </w:r>
          </w:p>
        </w:tc>
      </w:tr>
      <w:tr w:rsidR="00D849AA">
        <w:trPr>
          <w:jc w:val="center"/>
        </w:trPr>
        <w:tc>
          <w:tcPr>
            <w:tcW w:w="2229" w:type="dxa"/>
          </w:tcPr>
          <w:p w:rsidR="00D849AA" w:rsidRDefault="00EE6D95">
            <w:pPr>
              <w:pStyle w:val="CellColumn"/>
            </w:pPr>
            <w:r>
              <w:t>Broj novih publikacija iz područja učinkovite primjene autorskih i srodnih prava</w:t>
            </w:r>
          </w:p>
        </w:tc>
        <w:tc>
          <w:tcPr>
            <w:tcW w:w="1114" w:type="dxa"/>
          </w:tcPr>
          <w:p w:rsidR="00D849AA" w:rsidRDefault="00EE6D95">
            <w:r>
              <w:t>Broj (godišnje)</w:t>
            </w:r>
          </w:p>
        </w:tc>
        <w:tc>
          <w:tcPr>
            <w:tcW w:w="1114" w:type="dxa"/>
          </w:tcPr>
          <w:p w:rsidR="00D849AA" w:rsidRDefault="00EE6D95">
            <w:r>
              <w:t>1</w:t>
            </w:r>
          </w:p>
        </w:tc>
        <w:tc>
          <w:tcPr>
            <w:tcW w:w="1486" w:type="dxa"/>
          </w:tcPr>
          <w:p w:rsidR="00D849AA" w:rsidRDefault="00EE6D95">
            <w:r>
              <w:t>3</w:t>
            </w:r>
          </w:p>
        </w:tc>
        <w:tc>
          <w:tcPr>
            <w:tcW w:w="1486" w:type="dxa"/>
          </w:tcPr>
          <w:p w:rsidR="00D849AA" w:rsidRDefault="00EE6D95">
            <w:r>
              <w:t>2</w:t>
            </w:r>
          </w:p>
        </w:tc>
        <w:tc>
          <w:tcPr>
            <w:tcW w:w="1486" w:type="dxa"/>
          </w:tcPr>
          <w:p w:rsidR="00D849AA" w:rsidRDefault="00EE6D95">
            <w:r>
              <w:t>1</w:t>
            </w:r>
          </w:p>
        </w:tc>
      </w:tr>
      <w:tr w:rsidR="00D849AA">
        <w:trPr>
          <w:jc w:val="center"/>
        </w:trPr>
        <w:tc>
          <w:tcPr>
            <w:tcW w:w="2229" w:type="dxa"/>
          </w:tcPr>
          <w:p w:rsidR="00D849AA" w:rsidRDefault="00EE6D95">
            <w:pPr>
              <w:pStyle w:val="CellColumn"/>
            </w:pPr>
            <w:r>
              <w:t>Broj zajedničkih projekata, suradničkih aktivnosti i stručnih projekata</w:t>
            </w:r>
          </w:p>
        </w:tc>
        <w:tc>
          <w:tcPr>
            <w:tcW w:w="1114" w:type="dxa"/>
          </w:tcPr>
          <w:p w:rsidR="00D849AA" w:rsidRDefault="00EE6D95">
            <w:r>
              <w:t>Broj (godišnje)</w:t>
            </w:r>
          </w:p>
        </w:tc>
        <w:tc>
          <w:tcPr>
            <w:tcW w:w="1114" w:type="dxa"/>
          </w:tcPr>
          <w:p w:rsidR="00D849AA" w:rsidRDefault="00EE6D95">
            <w:r>
              <w:t>2</w:t>
            </w:r>
          </w:p>
        </w:tc>
        <w:tc>
          <w:tcPr>
            <w:tcW w:w="1486" w:type="dxa"/>
          </w:tcPr>
          <w:p w:rsidR="00D849AA" w:rsidRDefault="00EE6D95">
            <w:r>
              <w:t>2</w:t>
            </w:r>
          </w:p>
        </w:tc>
        <w:tc>
          <w:tcPr>
            <w:tcW w:w="1486" w:type="dxa"/>
          </w:tcPr>
          <w:p w:rsidR="00D849AA" w:rsidRDefault="00EE6D95">
            <w:r>
              <w:t>2</w:t>
            </w:r>
          </w:p>
        </w:tc>
        <w:tc>
          <w:tcPr>
            <w:tcW w:w="1486" w:type="dxa"/>
          </w:tcPr>
          <w:p w:rsidR="00D849AA" w:rsidRDefault="00EE6D95">
            <w:r>
              <w:t>3</w:t>
            </w:r>
          </w:p>
        </w:tc>
      </w:tr>
    </w:tbl>
    <w:p w:rsidR="00D849AA" w:rsidRDefault="00D849AA">
      <w:pPr>
        <w:jc w:val="left"/>
      </w:pPr>
    </w:p>
    <w:p w:rsidR="00D849AA" w:rsidRDefault="00EE6D95">
      <w:pPr>
        <w:pStyle w:val="Naslov6"/>
      </w:pPr>
      <w:r>
        <w:t>K763001 INFORMATIZACIJA ZAVODA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K763001</w:t>
            </w:r>
          </w:p>
        </w:tc>
        <w:tc>
          <w:tcPr>
            <w:tcW w:w="1486" w:type="dxa"/>
          </w:tcPr>
          <w:p w:rsidR="00D849AA" w:rsidRDefault="00EE6D95">
            <w:r>
              <w:t>625.500</w:t>
            </w:r>
          </w:p>
        </w:tc>
        <w:tc>
          <w:tcPr>
            <w:tcW w:w="1486" w:type="dxa"/>
          </w:tcPr>
          <w:p w:rsidR="00D849AA" w:rsidRDefault="00EE6D95">
            <w:r>
              <w:t>1.227.600</w:t>
            </w:r>
          </w:p>
        </w:tc>
        <w:tc>
          <w:tcPr>
            <w:tcW w:w="1486" w:type="dxa"/>
          </w:tcPr>
          <w:p w:rsidR="00D849AA" w:rsidRDefault="00EE6D95">
            <w:r>
              <w:t>1.000.000</w:t>
            </w:r>
          </w:p>
        </w:tc>
        <w:tc>
          <w:tcPr>
            <w:tcW w:w="1486" w:type="dxa"/>
          </w:tcPr>
          <w:p w:rsidR="00D849AA" w:rsidRDefault="00EE6D95">
            <w:r>
              <w:t>995.000</w:t>
            </w:r>
          </w:p>
        </w:tc>
        <w:tc>
          <w:tcPr>
            <w:tcW w:w="1486" w:type="dxa"/>
          </w:tcPr>
          <w:p w:rsidR="00D849AA" w:rsidRDefault="00EE6D95">
            <w:r>
              <w:t>196,2</w:t>
            </w:r>
          </w:p>
        </w:tc>
      </w:tr>
    </w:tbl>
    <w:p w:rsidR="00D849AA" w:rsidRDefault="00D849AA">
      <w:pPr>
        <w:jc w:val="left"/>
      </w:pPr>
    </w:p>
    <w:p w:rsidR="00D849AA" w:rsidRDefault="00EE6D95">
      <w:pPr>
        <w:pStyle w:val="Normal6"/>
      </w:pPr>
      <w:r>
        <w:t xml:space="preserve">Projekt Informatizacija Zavoda usmjeren je na održavanje i razvoj prateće mrežne infrastrukture  kao jednog od osnovnih preduvjeta za provedbu postupaka zaštite industrijskog vlasništva, razvoja pratećih e-usluga te odgovarajuću razmjenu podataka s međunarodnim i europskim sustavima zaštite intelektualnog vlasništva. U 2014. i 2015. </w:t>
      </w:r>
      <w:r>
        <w:lastRenderedPageBreak/>
        <w:t>godini program se odnosi na migraciju ukupnog informacijkog sustava na novu programsku platformu temeljenu na tzv. open source programskoj osnovi.</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Postotak usluga dostupnih elektroničkim putem (kumulativ)</w:t>
            </w:r>
          </w:p>
        </w:tc>
        <w:tc>
          <w:tcPr>
            <w:tcW w:w="1114" w:type="dxa"/>
          </w:tcPr>
          <w:p w:rsidR="00D849AA" w:rsidRDefault="00EE6D95">
            <w:r>
              <w:t>%</w:t>
            </w:r>
          </w:p>
        </w:tc>
        <w:tc>
          <w:tcPr>
            <w:tcW w:w="1114" w:type="dxa"/>
          </w:tcPr>
          <w:p w:rsidR="00D849AA" w:rsidRDefault="00EE6D95">
            <w:r>
              <w:t>60%</w:t>
            </w:r>
          </w:p>
        </w:tc>
        <w:tc>
          <w:tcPr>
            <w:tcW w:w="1486" w:type="dxa"/>
          </w:tcPr>
          <w:p w:rsidR="00D849AA" w:rsidRDefault="00EE6D95">
            <w:r>
              <w:t>60%</w:t>
            </w:r>
          </w:p>
        </w:tc>
        <w:tc>
          <w:tcPr>
            <w:tcW w:w="1486" w:type="dxa"/>
          </w:tcPr>
          <w:p w:rsidR="00D849AA" w:rsidRDefault="00EE6D95">
            <w:r>
              <w:t>75%</w:t>
            </w:r>
          </w:p>
        </w:tc>
        <w:tc>
          <w:tcPr>
            <w:tcW w:w="1486" w:type="dxa"/>
          </w:tcPr>
          <w:p w:rsidR="00D849AA" w:rsidRDefault="00EE6D95">
            <w:r>
              <w:t>100%</w:t>
            </w:r>
          </w:p>
        </w:tc>
      </w:tr>
      <w:tr w:rsidR="00D849AA">
        <w:trPr>
          <w:jc w:val="center"/>
        </w:trPr>
        <w:tc>
          <w:tcPr>
            <w:tcW w:w="2229" w:type="dxa"/>
          </w:tcPr>
          <w:p w:rsidR="00D849AA" w:rsidRDefault="00EE6D95">
            <w:pPr>
              <w:pStyle w:val="CellColumn"/>
            </w:pPr>
            <w:r>
              <w:t>Broj unaprjeđenih i/ili novouvedenih usluga</w:t>
            </w:r>
          </w:p>
        </w:tc>
        <w:tc>
          <w:tcPr>
            <w:tcW w:w="1114" w:type="dxa"/>
          </w:tcPr>
          <w:p w:rsidR="00D849AA" w:rsidRDefault="00EE6D95">
            <w:r>
              <w:t>Broj</w:t>
            </w:r>
          </w:p>
        </w:tc>
        <w:tc>
          <w:tcPr>
            <w:tcW w:w="1114" w:type="dxa"/>
          </w:tcPr>
          <w:p w:rsidR="00D849AA" w:rsidRDefault="00EE6D95">
            <w:r>
              <w:t>0</w:t>
            </w:r>
          </w:p>
        </w:tc>
        <w:tc>
          <w:tcPr>
            <w:tcW w:w="1486" w:type="dxa"/>
          </w:tcPr>
          <w:p w:rsidR="00D849AA" w:rsidRDefault="00EE6D95">
            <w:r>
              <w:t>1</w:t>
            </w:r>
          </w:p>
        </w:tc>
        <w:tc>
          <w:tcPr>
            <w:tcW w:w="1486" w:type="dxa"/>
          </w:tcPr>
          <w:p w:rsidR="00D849AA" w:rsidRDefault="00EE6D95">
            <w:r>
              <w:t>1</w:t>
            </w:r>
          </w:p>
        </w:tc>
        <w:tc>
          <w:tcPr>
            <w:tcW w:w="1486" w:type="dxa"/>
          </w:tcPr>
          <w:p w:rsidR="00D849AA" w:rsidRDefault="00EE6D95">
            <w:r>
              <w:t>2</w:t>
            </w:r>
          </w:p>
        </w:tc>
      </w:tr>
    </w:tbl>
    <w:p w:rsidR="00D849AA" w:rsidRDefault="00D849AA">
      <w:pPr>
        <w:jc w:val="left"/>
      </w:pPr>
    </w:p>
    <w:p w:rsidR="00D849AA" w:rsidRDefault="00EE6D95">
      <w:pPr>
        <w:pStyle w:val="Naslov6"/>
      </w:pPr>
      <w:r>
        <w:t>T763005 SURADNJA DZIV-a S EUROPSKIM UREDOM ZA ŽIGOVE I DIZAJN</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T763005</w:t>
            </w:r>
          </w:p>
        </w:tc>
        <w:tc>
          <w:tcPr>
            <w:tcW w:w="1486" w:type="dxa"/>
          </w:tcPr>
          <w:p w:rsidR="00D849AA" w:rsidRDefault="00EE6D95">
            <w:r>
              <w:t>500.000</w:t>
            </w:r>
          </w:p>
        </w:tc>
        <w:tc>
          <w:tcPr>
            <w:tcW w:w="1486" w:type="dxa"/>
          </w:tcPr>
          <w:p w:rsidR="00D849AA" w:rsidRDefault="00EE6D95">
            <w:r>
              <w:t>791.000</w:t>
            </w:r>
          </w:p>
        </w:tc>
        <w:tc>
          <w:tcPr>
            <w:tcW w:w="1486" w:type="dxa"/>
          </w:tcPr>
          <w:p w:rsidR="00D849AA" w:rsidRDefault="00EE6D95">
            <w:r>
              <w:t>800.000</w:t>
            </w:r>
          </w:p>
        </w:tc>
        <w:tc>
          <w:tcPr>
            <w:tcW w:w="1486" w:type="dxa"/>
          </w:tcPr>
          <w:p w:rsidR="00D849AA" w:rsidRDefault="00EE6D95">
            <w:r>
              <w:t>850.000</w:t>
            </w:r>
          </w:p>
        </w:tc>
        <w:tc>
          <w:tcPr>
            <w:tcW w:w="1486" w:type="dxa"/>
          </w:tcPr>
          <w:p w:rsidR="00D849AA" w:rsidRDefault="00EE6D95">
            <w:r>
              <w:t>158,2</w:t>
            </w:r>
          </w:p>
        </w:tc>
      </w:tr>
    </w:tbl>
    <w:p w:rsidR="00D849AA" w:rsidRDefault="00D849AA">
      <w:pPr>
        <w:jc w:val="left"/>
      </w:pPr>
    </w:p>
    <w:p w:rsidR="00D849AA" w:rsidRDefault="00EE6D95">
      <w:pPr>
        <w:pStyle w:val="Normal6"/>
      </w:pPr>
      <w:r>
        <w:t>Temeljem ugovora o suradnji Europskog ureda za žigove i dizajn (OHIM) i Državnog zavoda za intelektualno vlasništvo provoditi će se raznovrsni projekti s ciljem harmonizacije informacijskog sustava, postupaka  i stručnih usluga i aktivnosti DZIV-a s europskim sustavom zaštite žigova i dizajna, koji će biti financirani temeljem posebnih ugovora o zajedničkoj suradnji.</w:t>
      </w:r>
    </w:p>
    <w:p w:rsidR="00D849AA" w:rsidRDefault="00EE6D95">
      <w:pPr>
        <w:pStyle w:val="Naslov2"/>
      </w:pPr>
      <w:r>
        <w:t>08091 Agencije i ostale javne ustanove u znanosti, obrazovanju i sportu</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21836</w:t>
            </w:r>
          </w:p>
        </w:tc>
        <w:tc>
          <w:tcPr>
            <w:tcW w:w="1486" w:type="dxa"/>
          </w:tcPr>
          <w:p w:rsidR="00D849AA" w:rsidRDefault="00EE6D95">
            <w:r>
              <w:t>44.198.623</w:t>
            </w:r>
          </w:p>
        </w:tc>
        <w:tc>
          <w:tcPr>
            <w:tcW w:w="1486" w:type="dxa"/>
          </w:tcPr>
          <w:p w:rsidR="00D849AA" w:rsidRDefault="00EE6D95">
            <w:r>
              <w:t>45.934.233</w:t>
            </w:r>
          </w:p>
        </w:tc>
        <w:tc>
          <w:tcPr>
            <w:tcW w:w="1486" w:type="dxa"/>
          </w:tcPr>
          <w:p w:rsidR="00D849AA" w:rsidRDefault="00EE6D95">
            <w:r>
              <w:t>45.871.914</w:t>
            </w:r>
          </w:p>
        </w:tc>
        <w:tc>
          <w:tcPr>
            <w:tcW w:w="1486" w:type="dxa"/>
          </w:tcPr>
          <w:p w:rsidR="00D849AA" w:rsidRDefault="00EE6D95">
            <w:r>
              <w:t>47.185.687</w:t>
            </w:r>
          </w:p>
        </w:tc>
        <w:tc>
          <w:tcPr>
            <w:tcW w:w="1486" w:type="dxa"/>
          </w:tcPr>
          <w:p w:rsidR="00D849AA" w:rsidRDefault="00EE6D95">
            <w:r>
              <w:t>103,9</w:t>
            </w:r>
          </w:p>
        </w:tc>
      </w:tr>
      <w:tr w:rsidR="00D849AA">
        <w:trPr>
          <w:jc w:val="center"/>
        </w:trPr>
        <w:tc>
          <w:tcPr>
            <w:tcW w:w="1486" w:type="dxa"/>
          </w:tcPr>
          <w:p w:rsidR="00D849AA" w:rsidRDefault="00EE6D95">
            <w:pPr>
              <w:pStyle w:val="CellColumn"/>
            </w:pPr>
            <w:r>
              <w:t>21852</w:t>
            </w:r>
          </w:p>
        </w:tc>
        <w:tc>
          <w:tcPr>
            <w:tcW w:w="1486" w:type="dxa"/>
          </w:tcPr>
          <w:p w:rsidR="00D849AA" w:rsidRDefault="00EE6D95">
            <w:r>
              <w:t>83.865.518</w:t>
            </w:r>
          </w:p>
        </w:tc>
        <w:tc>
          <w:tcPr>
            <w:tcW w:w="1486" w:type="dxa"/>
          </w:tcPr>
          <w:p w:rsidR="00D849AA" w:rsidRDefault="00EE6D95">
            <w:r>
              <w:t>79.431.442</w:t>
            </w:r>
          </w:p>
        </w:tc>
        <w:tc>
          <w:tcPr>
            <w:tcW w:w="1486" w:type="dxa"/>
          </w:tcPr>
          <w:p w:rsidR="00D849AA" w:rsidRDefault="00EE6D95">
            <w:r>
              <w:t>72.310.084</w:t>
            </w:r>
          </w:p>
        </w:tc>
        <w:tc>
          <w:tcPr>
            <w:tcW w:w="1486" w:type="dxa"/>
          </w:tcPr>
          <w:p w:rsidR="00D849AA" w:rsidRDefault="00EE6D95">
            <w:r>
              <w:t>72.252.523</w:t>
            </w:r>
          </w:p>
        </w:tc>
        <w:tc>
          <w:tcPr>
            <w:tcW w:w="1486" w:type="dxa"/>
          </w:tcPr>
          <w:p w:rsidR="00D849AA" w:rsidRDefault="00EE6D95">
            <w:r>
              <w:t>94,7</w:t>
            </w:r>
          </w:p>
        </w:tc>
      </w:tr>
      <w:tr w:rsidR="00D849AA">
        <w:trPr>
          <w:jc w:val="center"/>
        </w:trPr>
        <w:tc>
          <w:tcPr>
            <w:tcW w:w="1486" w:type="dxa"/>
          </w:tcPr>
          <w:p w:rsidR="00D849AA" w:rsidRDefault="00EE6D95">
            <w:pPr>
              <w:pStyle w:val="CellColumn"/>
            </w:pPr>
            <w:r>
              <w:t>21869</w:t>
            </w:r>
          </w:p>
        </w:tc>
        <w:tc>
          <w:tcPr>
            <w:tcW w:w="1486" w:type="dxa"/>
          </w:tcPr>
          <w:p w:rsidR="00D849AA" w:rsidRDefault="00EE6D95">
            <w:r>
              <w:t>24.518.488</w:t>
            </w:r>
          </w:p>
        </w:tc>
        <w:tc>
          <w:tcPr>
            <w:tcW w:w="1486" w:type="dxa"/>
          </w:tcPr>
          <w:p w:rsidR="00D849AA" w:rsidRDefault="00EE6D95">
            <w:r>
              <w:t>25.849.163</w:t>
            </w:r>
          </w:p>
        </w:tc>
        <w:tc>
          <w:tcPr>
            <w:tcW w:w="1486" w:type="dxa"/>
          </w:tcPr>
          <w:p w:rsidR="00D849AA" w:rsidRDefault="00EE6D95">
            <w:r>
              <w:t>26.555.771</w:t>
            </w:r>
          </w:p>
        </w:tc>
        <w:tc>
          <w:tcPr>
            <w:tcW w:w="1486" w:type="dxa"/>
          </w:tcPr>
          <w:p w:rsidR="00D849AA" w:rsidRDefault="00EE6D95">
            <w:r>
              <w:t>27.539.710</w:t>
            </w:r>
          </w:p>
        </w:tc>
        <w:tc>
          <w:tcPr>
            <w:tcW w:w="1486" w:type="dxa"/>
          </w:tcPr>
          <w:p w:rsidR="00D849AA" w:rsidRDefault="00EE6D95">
            <w:r>
              <w:t>105,4</w:t>
            </w:r>
          </w:p>
        </w:tc>
      </w:tr>
      <w:tr w:rsidR="00D849AA">
        <w:trPr>
          <w:jc w:val="center"/>
        </w:trPr>
        <w:tc>
          <w:tcPr>
            <w:tcW w:w="1486" w:type="dxa"/>
          </w:tcPr>
          <w:p w:rsidR="00D849AA" w:rsidRDefault="00EE6D95">
            <w:pPr>
              <w:pStyle w:val="CellColumn"/>
            </w:pPr>
            <w:r>
              <w:t>23665</w:t>
            </w:r>
          </w:p>
        </w:tc>
        <w:tc>
          <w:tcPr>
            <w:tcW w:w="1486" w:type="dxa"/>
          </w:tcPr>
          <w:p w:rsidR="00D849AA" w:rsidRDefault="00EE6D95">
            <w:r>
              <w:t>25.991.100</w:t>
            </w:r>
          </w:p>
        </w:tc>
        <w:tc>
          <w:tcPr>
            <w:tcW w:w="1486" w:type="dxa"/>
          </w:tcPr>
          <w:p w:rsidR="00D849AA" w:rsidRDefault="00EE6D95">
            <w:r>
              <w:t>29.184.543</w:t>
            </w:r>
          </w:p>
        </w:tc>
        <w:tc>
          <w:tcPr>
            <w:tcW w:w="1486" w:type="dxa"/>
          </w:tcPr>
          <w:p w:rsidR="00D849AA" w:rsidRDefault="00EE6D95">
            <w:r>
              <w:t>26.585.702</w:t>
            </w:r>
          </w:p>
        </w:tc>
        <w:tc>
          <w:tcPr>
            <w:tcW w:w="1486" w:type="dxa"/>
          </w:tcPr>
          <w:p w:rsidR="00D849AA" w:rsidRDefault="00EE6D95">
            <w:r>
              <w:t>27.225.851</w:t>
            </w:r>
          </w:p>
        </w:tc>
        <w:tc>
          <w:tcPr>
            <w:tcW w:w="1486" w:type="dxa"/>
          </w:tcPr>
          <w:p w:rsidR="00D849AA" w:rsidRDefault="00EE6D95">
            <w:r>
              <w:t>112,3</w:t>
            </w:r>
          </w:p>
        </w:tc>
      </w:tr>
      <w:tr w:rsidR="00D849AA">
        <w:trPr>
          <w:jc w:val="center"/>
        </w:trPr>
        <w:tc>
          <w:tcPr>
            <w:tcW w:w="1486" w:type="dxa"/>
          </w:tcPr>
          <w:p w:rsidR="00D849AA" w:rsidRDefault="00EE6D95">
            <w:pPr>
              <w:pStyle w:val="CellColumn"/>
            </w:pPr>
            <w:r>
              <w:t>23962</w:t>
            </w:r>
          </w:p>
        </w:tc>
        <w:tc>
          <w:tcPr>
            <w:tcW w:w="1486" w:type="dxa"/>
          </w:tcPr>
          <w:p w:rsidR="00D849AA" w:rsidRDefault="00EE6D95">
            <w:r>
              <w:t>35.193.187</w:t>
            </w:r>
          </w:p>
        </w:tc>
        <w:tc>
          <w:tcPr>
            <w:tcW w:w="1486" w:type="dxa"/>
          </w:tcPr>
          <w:p w:rsidR="00D849AA" w:rsidRDefault="00EE6D95">
            <w:r>
              <w:t>36.115.494</w:t>
            </w:r>
          </w:p>
        </w:tc>
        <w:tc>
          <w:tcPr>
            <w:tcW w:w="1486" w:type="dxa"/>
          </w:tcPr>
          <w:p w:rsidR="00D849AA" w:rsidRDefault="00EE6D95">
            <w:r>
              <w:t>34.893.285</w:t>
            </w:r>
          </w:p>
        </w:tc>
        <w:tc>
          <w:tcPr>
            <w:tcW w:w="1486" w:type="dxa"/>
          </w:tcPr>
          <w:p w:rsidR="00D849AA" w:rsidRDefault="00EE6D95">
            <w:r>
              <w:t>35.411.401</w:t>
            </w:r>
          </w:p>
        </w:tc>
        <w:tc>
          <w:tcPr>
            <w:tcW w:w="1486" w:type="dxa"/>
          </w:tcPr>
          <w:p w:rsidR="00D849AA" w:rsidRDefault="00EE6D95">
            <w:r>
              <w:t>102,6</w:t>
            </w:r>
          </w:p>
        </w:tc>
      </w:tr>
      <w:tr w:rsidR="00D849AA">
        <w:trPr>
          <w:jc w:val="center"/>
        </w:trPr>
        <w:tc>
          <w:tcPr>
            <w:tcW w:w="1486" w:type="dxa"/>
          </w:tcPr>
          <w:p w:rsidR="00D849AA" w:rsidRDefault="00EE6D95">
            <w:pPr>
              <w:pStyle w:val="CellColumn"/>
            </w:pPr>
            <w:r>
              <w:t>38487</w:t>
            </w:r>
          </w:p>
        </w:tc>
        <w:tc>
          <w:tcPr>
            <w:tcW w:w="1486" w:type="dxa"/>
          </w:tcPr>
          <w:p w:rsidR="00D849AA" w:rsidRDefault="00EE6D95">
            <w:r>
              <w:t>20.037.187</w:t>
            </w:r>
          </w:p>
        </w:tc>
        <w:tc>
          <w:tcPr>
            <w:tcW w:w="1486" w:type="dxa"/>
          </w:tcPr>
          <w:p w:rsidR="00D849AA" w:rsidRDefault="00EE6D95">
            <w:r>
              <w:t>21.953.219</w:t>
            </w:r>
          </w:p>
        </w:tc>
        <w:tc>
          <w:tcPr>
            <w:tcW w:w="1486" w:type="dxa"/>
          </w:tcPr>
          <w:p w:rsidR="00D849AA" w:rsidRDefault="00EE6D95">
            <w:r>
              <w:t>18.583.217</w:t>
            </w:r>
          </w:p>
        </w:tc>
        <w:tc>
          <w:tcPr>
            <w:tcW w:w="1486" w:type="dxa"/>
          </w:tcPr>
          <w:p w:rsidR="00D849AA" w:rsidRDefault="00EE6D95">
            <w:r>
              <w:t>18.861.871</w:t>
            </w:r>
          </w:p>
        </w:tc>
        <w:tc>
          <w:tcPr>
            <w:tcW w:w="1486" w:type="dxa"/>
          </w:tcPr>
          <w:p w:rsidR="00D849AA" w:rsidRDefault="00EE6D95">
            <w:r>
              <w:t>109,6</w:t>
            </w:r>
          </w:p>
        </w:tc>
      </w:tr>
      <w:tr w:rsidR="00D849AA">
        <w:trPr>
          <w:jc w:val="center"/>
        </w:trPr>
        <w:tc>
          <w:tcPr>
            <w:tcW w:w="1486" w:type="dxa"/>
          </w:tcPr>
          <w:p w:rsidR="00D849AA" w:rsidRDefault="00EE6D95">
            <w:pPr>
              <w:pStyle w:val="CellColumn"/>
            </w:pPr>
            <w:r>
              <w:t>40883</w:t>
            </w:r>
          </w:p>
        </w:tc>
        <w:tc>
          <w:tcPr>
            <w:tcW w:w="1486" w:type="dxa"/>
          </w:tcPr>
          <w:p w:rsidR="00D849AA" w:rsidRDefault="00EE6D95">
            <w:r>
              <w:t>43.385.705</w:t>
            </w:r>
          </w:p>
        </w:tc>
        <w:tc>
          <w:tcPr>
            <w:tcW w:w="1486" w:type="dxa"/>
          </w:tcPr>
          <w:p w:rsidR="00D849AA" w:rsidRDefault="00EE6D95">
            <w:r>
              <w:t>46.032.988</w:t>
            </w:r>
          </w:p>
        </w:tc>
        <w:tc>
          <w:tcPr>
            <w:tcW w:w="1486" w:type="dxa"/>
          </w:tcPr>
          <w:p w:rsidR="00D849AA" w:rsidRDefault="00EE6D95">
            <w:r>
              <w:t>42.413.025</w:t>
            </w:r>
          </w:p>
        </w:tc>
        <w:tc>
          <w:tcPr>
            <w:tcW w:w="1486" w:type="dxa"/>
          </w:tcPr>
          <w:p w:rsidR="00D849AA" w:rsidRDefault="00EE6D95">
            <w:r>
              <w:t>42.263.408</w:t>
            </w:r>
          </w:p>
        </w:tc>
        <w:tc>
          <w:tcPr>
            <w:tcW w:w="1486" w:type="dxa"/>
          </w:tcPr>
          <w:p w:rsidR="00D849AA" w:rsidRDefault="00EE6D95">
            <w:r>
              <w:t>106,1</w:t>
            </w:r>
          </w:p>
        </w:tc>
      </w:tr>
      <w:tr w:rsidR="00D849AA">
        <w:trPr>
          <w:jc w:val="center"/>
        </w:trPr>
        <w:tc>
          <w:tcPr>
            <w:tcW w:w="1486" w:type="dxa"/>
          </w:tcPr>
          <w:p w:rsidR="00D849AA" w:rsidRDefault="00EE6D95">
            <w:pPr>
              <w:pStyle w:val="CellColumn"/>
            </w:pPr>
            <w:r>
              <w:t>43335</w:t>
            </w:r>
          </w:p>
        </w:tc>
        <w:tc>
          <w:tcPr>
            <w:tcW w:w="1486" w:type="dxa"/>
          </w:tcPr>
          <w:p w:rsidR="00D849AA" w:rsidRDefault="00EE6D95">
            <w:r>
              <w:t>85.696.750</w:t>
            </w:r>
          </w:p>
        </w:tc>
        <w:tc>
          <w:tcPr>
            <w:tcW w:w="1486" w:type="dxa"/>
          </w:tcPr>
          <w:p w:rsidR="00D849AA" w:rsidRDefault="00EE6D95">
            <w:r>
              <w:t>120.333.875</w:t>
            </w:r>
          </w:p>
        </w:tc>
        <w:tc>
          <w:tcPr>
            <w:tcW w:w="1486" w:type="dxa"/>
          </w:tcPr>
          <w:p w:rsidR="00D849AA" w:rsidRDefault="00EE6D95">
            <w:r>
              <w:t>120.809.393</w:t>
            </w:r>
          </w:p>
        </w:tc>
        <w:tc>
          <w:tcPr>
            <w:tcW w:w="1486" w:type="dxa"/>
          </w:tcPr>
          <w:p w:rsidR="00D849AA" w:rsidRDefault="00EE6D95">
            <w:r>
              <w:t>148.498.564</w:t>
            </w:r>
          </w:p>
        </w:tc>
        <w:tc>
          <w:tcPr>
            <w:tcW w:w="1486" w:type="dxa"/>
          </w:tcPr>
          <w:p w:rsidR="00D849AA" w:rsidRDefault="00EE6D95">
            <w:r>
              <w:t>140,4</w:t>
            </w:r>
          </w:p>
        </w:tc>
      </w:tr>
      <w:tr w:rsidR="00D849AA">
        <w:trPr>
          <w:jc w:val="center"/>
        </w:trPr>
        <w:tc>
          <w:tcPr>
            <w:tcW w:w="1486" w:type="dxa"/>
          </w:tcPr>
          <w:p w:rsidR="00D849AA" w:rsidRDefault="00EE6D95">
            <w:pPr>
              <w:pStyle w:val="CellColumn"/>
            </w:pPr>
            <w:r>
              <w:lastRenderedPageBreak/>
              <w:t>45871</w:t>
            </w:r>
          </w:p>
        </w:tc>
        <w:tc>
          <w:tcPr>
            <w:tcW w:w="1486" w:type="dxa"/>
          </w:tcPr>
          <w:p w:rsidR="00D849AA" w:rsidRDefault="00EE6D95">
            <w:r>
              <w:t>2.125.000</w:t>
            </w:r>
          </w:p>
        </w:tc>
        <w:tc>
          <w:tcPr>
            <w:tcW w:w="1486" w:type="dxa"/>
          </w:tcPr>
          <w:p w:rsidR="00D849AA" w:rsidRDefault="00EE6D95">
            <w:r>
              <w:t>2.136.552</w:t>
            </w:r>
          </w:p>
        </w:tc>
        <w:tc>
          <w:tcPr>
            <w:tcW w:w="1486" w:type="dxa"/>
          </w:tcPr>
          <w:p w:rsidR="00D849AA" w:rsidRDefault="00EE6D95">
            <w:r>
              <w:t>1.951.512</w:t>
            </w:r>
          </w:p>
        </w:tc>
        <w:tc>
          <w:tcPr>
            <w:tcW w:w="1486" w:type="dxa"/>
          </w:tcPr>
          <w:p w:rsidR="00D849AA" w:rsidRDefault="00EE6D95">
            <w:r>
              <w:t>1.941.856</w:t>
            </w:r>
          </w:p>
        </w:tc>
        <w:tc>
          <w:tcPr>
            <w:tcW w:w="1486" w:type="dxa"/>
          </w:tcPr>
          <w:p w:rsidR="00D849AA" w:rsidRDefault="00EE6D95">
            <w:r>
              <w:t>100,5</w:t>
            </w:r>
          </w:p>
        </w:tc>
      </w:tr>
      <w:tr w:rsidR="00D849AA">
        <w:trPr>
          <w:jc w:val="center"/>
        </w:trPr>
        <w:tc>
          <w:tcPr>
            <w:tcW w:w="1486" w:type="dxa"/>
          </w:tcPr>
          <w:p w:rsidR="00D849AA" w:rsidRDefault="00EE6D95">
            <w:pPr>
              <w:pStyle w:val="CellColumn"/>
            </w:pPr>
            <w:r>
              <w:t>46173</w:t>
            </w:r>
          </w:p>
        </w:tc>
        <w:tc>
          <w:tcPr>
            <w:tcW w:w="1486" w:type="dxa"/>
          </w:tcPr>
          <w:p w:rsidR="00D849AA" w:rsidRDefault="00EE6D95">
            <w:r>
              <w:t>100.394.049</w:t>
            </w:r>
          </w:p>
        </w:tc>
        <w:tc>
          <w:tcPr>
            <w:tcW w:w="1486" w:type="dxa"/>
          </w:tcPr>
          <w:p w:rsidR="00D849AA" w:rsidRDefault="00EE6D95">
            <w:r>
              <w:t>30.832.989</w:t>
            </w:r>
          </w:p>
        </w:tc>
        <w:tc>
          <w:tcPr>
            <w:tcW w:w="1486" w:type="dxa"/>
          </w:tcPr>
          <w:p w:rsidR="00D849AA" w:rsidRDefault="00EE6D95">
            <w:r>
              <w:t>23.637.941</w:t>
            </w:r>
          </w:p>
        </w:tc>
        <w:tc>
          <w:tcPr>
            <w:tcW w:w="1486" w:type="dxa"/>
          </w:tcPr>
          <w:p w:rsidR="00D849AA" w:rsidRDefault="00EE6D95">
            <w:r>
              <w:t>21.445.788</w:t>
            </w:r>
          </w:p>
        </w:tc>
        <w:tc>
          <w:tcPr>
            <w:tcW w:w="1486" w:type="dxa"/>
          </w:tcPr>
          <w:p w:rsidR="00D849AA" w:rsidRDefault="00EE6D95">
            <w:r>
              <w:t>30,7</w:t>
            </w:r>
          </w:p>
        </w:tc>
      </w:tr>
    </w:tbl>
    <w:p w:rsidR="00D849AA" w:rsidRDefault="00D849AA">
      <w:pPr>
        <w:jc w:val="left"/>
      </w:pPr>
    </w:p>
    <w:p w:rsidR="00D849AA" w:rsidRDefault="00EE6D95">
      <w:pPr>
        <w:pStyle w:val="Naslov3"/>
      </w:pPr>
      <w:r>
        <w:t>21836 Nacionalna i sveučilišna knjižnica</w:t>
      </w:r>
    </w:p>
    <w:p w:rsidR="00D849AA" w:rsidRDefault="00EE6D95">
      <w:pPr>
        <w:pStyle w:val="Naslov4"/>
      </w:pPr>
      <w:r>
        <w:t>Uvod</w:t>
      </w:r>
    </w:p>
    <w:p w:rsidR="00D849AA" w:rsidRDefault="00EE6D95">
      <w:pPr>
        <w:pStyle w:val="Normal5"/>
      </w:pPr>
      <w:r>
        <w:t>Nacionalna i sveučilišna knjižnica u Zagrebu javna je ustanova od nacionalnog značenja koja obavlja knjižničnu i informacijsku djelatnost nacionalne knjižnice Republike Hrvatske i središnje knjižnice Sveučilišta u Zagrebu. Kao nacionalna knjižnica vodeća je ustanova takvog tipa u zemlji te svojom djelatnošću razvija odnose kako sa ostalim knjižnicama u Republici Hrvatskoj tako i ostalih knjižnica sa onima diljem svijeta. Knjižnica obavlja i znanstveno-istraživačku i razvojnu djelatnost radi unapređivanja hrvatskog knjižničarstva te izgradnje i razvoja hrvatskog knjižničnog sustava. Kontinuiranim ulaganjima u aktivnosti nabavke, obnove i održavanja knjižnog fonda te svojom djelatnošću Knjižnica pruža sustavnu informacijsku podršku znanstvenoistraživačkom radu te nastavi u visokoškolskim ustanovama, kroz dostupnost stručne i znanstvene literature svim zainteresiranim sudionicima.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21836</w:t>
            </w:r>
          </w:p>
        </w:tc>
        <w:tc>
          <w:tcPr>
            <w:tcW w:w="1486" w:type="dxa"/>
          </w:tcPr>
          <w:p w:rsidR="00D849AA" w:rsidRDefault="00EE6D95">
            <w:r>
              <w:t>44.198.623</w:t>
            </w:r>
          </w:p>
        </w:tc>
        <w:tc>
          <w:tcPr>
            <w:tcW w:w="1486" w:type="dxa"/>
          </w:tcPr>
          <w:p w:rsidR="00D849AA" w:rsidRDefault="00EE6D95">
            <w:r>
              <w:t>45.934.233</w:t>
            </w:r>
          </w:p>
        </w:tc>
        <w:tc>
          <w:tcPr>
            <w:tcW w:w="1486" w:type="dxa"/>
          </w:tcPr>
          <w:p w:rsidR="00D849AA" w:rsidRDefault="00EE6D95">
            <w:r>
              <w:t>45.871.914</w:t>
            </w:r>
          </w:p>
        </w:tc>
        <w:tc>
          <w:tcPr>
            <w:tcW w:w="1486" w:type="dxa"/>
          </w:tcPr>
          <w:p w:rsidR="00D849AA" w:rsidRDefault="00EE6D95">
            <w:r>
              <w:t>47.185.687</w:t>
            </w:r>
          </w:p>
        </w:tc>
        <w:tc>
          <w:tcPr>
            <w:tcW w:w="1486" w:type="dxa"/>
          </w:tcPr>
          <w:p w:rsidR="00D849AA" w:rsidRDefault="00EE6D95">
            <w:r>
              <w:t>103,9</w:t>
            </w:r>
          </w:p>
        </w:tc>
      </w:tr>
    </w:tbl>
    <w:p w:rsidR="00D849AA" w:rsidRDefault="00D849AA">
      <w:pPr>
        <w:jc w:val="left"/>
      </w:pPr>
    </w:p>
    <w:p w:rsidR="00D849AA" w:rsidRDefault="00EE6D95">
      <w:pPr>
        <w:pStyle w:val="Naslov4"/>
      </w:pPr>
      <w:r>
        <w:t>OBRAZLOŽENJE PROGRAMA</w:t>
      </w:r>
    </w:p>
    <w:p w:rsidR="00D849AA" w:rsidRDefault="00EE6D95">
      <w:pPr>
        <w:pStyle w:val="Naslov5"/>
      </w:pPr>
      <w:r>
        <w:t>3801 ULAGANJE U ZNANSTVENO ISTRAŽIVAČKU DJELATNOST</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3801</w:t>
            </w:r>
          </w:p>
        </w:tc>
        <w:tc>
          <w:tcPr>
            <w:tcW w:w="1486" w:type="dxa"/>
          </w:tcPr>
          <w:p w:rsidR="00D849AA" w:rsidRDefault="00EE6D95">
            <w:r>
              <w:t>44.198.623</w:t>
            </w:r>
          </w:p>
        </w:tc>
        <w:tc>
          <w:tcPr>
            <w:tcW w:w="1486" w:type="dxa"/>
          </w:tcPr>
          <w:p w:rsidR="00D849AA" w:rsidRDefault="00EE6D95">
            <w:r>
              <w:t>45.934.233</w:t>
            </w:r>
          </w:p>
        </w:tc>
        <w:tc>
          <w:tcPr>
            <w:tcW w:w="1486" w:type="dxa"/>
          </w:tcPr>
          <w:p w:rsidR="00D849AA" w:rsidRDefault="00EE6D95">
            <w:r>
              <w:t>45.871.914</w:t>
            </w:r>
          </w:p>
        </w:tc>
        <w:tc>
          <w:tcPr>
            <w:tcW w:w="1486" w:type="dxa"/>
          </w:tcPr>
          <w:p w:rsidR="00D849AA" w:rsidRDefault="00EE6D95">
            <w:r>
              <w:t>47.185.687</w:t>
            </w:r>
          </w:p>
        </w:tc>
        <w:tc>
          <w:tcPr>
            <w:tcW w:w="1486" w:type="dxa"/>
          </w:tcPr>
          <w:p w:rsidR="00D849AA" w:rsidRDefault="00EE6D95">
            <w:r>
              <w:t>103,9</w:t>
            </w:r>
          </w:p>
        </w:tc>
      </w:tr>
    </w:tbl>
    <w:p w:rsidR="00D849AA" w:rsidRDefault="00D849AA">
      <w:pPr>
        <w:jc w:val="left"/>
      </w:pPr>
    </w:p>
    <w:p w:rsidR="00D849AA" w:rsidRDefault="00EE6D95">
      <w:pPr>
        <w:pStyle w:val="Naslov6"/>
      </w:pPr>
      <w:r>
        <w:t>Opis programa</w:t>
      </w:r>
    </w:p>
    <w:p w:rsidR="00D849AA" w:rsidRDefault="00EE6D95">
      <w:r>
        <w:t>Nacionalna i sveučilišna knjižnica izgrađuje i organizira hrvatsku nacionalnu zbirku knjižnične građe i usklađuje nabavu inozemne znanstvene literature na nacionalnoj razini i na razini Sveučilišta u Zagrebu. Obavlja djelatnost nacionalnog bibliografskog ureda. Čuva i obnavlja knjižničnu građu u skladu s međunarodnim prgramom.Obavlja bibliografsku i informacijsku djelatnost, uključujući i međuknjižničnu građu u skladu s međunarodnim programom. Promiče hrvatsku knjigu i druge publikacije. Obavlja bibliografsku i informacijsku djelatnost, uključujući i međuknjižničnu posudbu. Obavlja znanstvena istraživanja na području knjižnične i informacijske znanosti. Obavlja izdavačku,izložbenu i promotivnu djelatnost.</w:t>
      </w:r>
    </w:p>
    <w:p w:rsidR="009E71DD" w:rsidRDefault="009E71DD"/>
    <w:p w:rsidR="00D849AA" w:rsidRDefault="00EE6D95">
      <w:pPr>
        <w:pStyle w:val="Naslov6"/>
      </w:pPr>
      <w:r>
        <w:lastRenderedPageBreak/>
        <w:t>Zakonske i druge pravne osnove</w:t>
      </w:r>
    </w:p>
    <w:p w:rsidR="00D849AA" w:rsidRDefault="00EE6D95">
      <w:r>
        <w:t xml:space="preserve">Zakon o knjižnicama, NN 105/97, 5/98, 104/00 i 69/09; </w:t>
      </w:r>
    </w:p>
    <w:p w:rsidR="00D849AA" w:rsidRDefault="00EE6D95">
      <w:r>
        <w:t xml:space="preserve">Statut Nacionalne i sveučilišne knjižnice; </w:t>
      </w:r>
    </w:p>
    <w:p w:rsidR="00D849AA" w:rsidRDefault="00EE6D95">
      <w:r>
        <w:t xml:space="preserve">Suglasnost Vlade na Statut Nacionalne i Sveučilišne knjižnice;  </w:t>
      </w:r>
    </w:p>
    <w:p w:rsidR="00D849AA" w:rsidRDefault="00EE6D95">
      <w:r>
        <w:t>Zakon o ustanovama (NN 76/93, 29/97, 47/99 i 35/08).</w:t>
      </w:r>
    </w:p>
    <w:p w:rsidR="00D849AA" w:rsidRDefault="00EE6D95">
      <w:pPr>
        <w:pStyle w:val="Naslov6"/>
      </w:pPr>
      <w:r>
        <w:t>Ciljevi provedbe programa u razdoblju 2014.-2016. i pokazatelji uspješnosti kojima će se mjeriti ostvarenje tih ciljeva</w:t>
      </w:r>
    </w:p>
    <w:p w:rsidR="00D849AA" w:rsidRDefault="00EE6D95">
      <w:pPr>
        <w:pStyle w:val="Naslov5"/>
      </w:pPr>
      <w:r>
        <w:t>Procjena i ishodište potrebnih sredstava za značajnije aktivnosti/projekte</w:t>
      </w:r>
    </w:p>
    <w:p w:rsidR="00D849AA" w:rsidRDefault="00EE6D95">
      <w:pPr>
        <w:pStyle w:val="Naslov6"/>
      </w:pPr>
      <w:r>
        <w:t>A622017 ADMINISTRACIJA I UPRAVLJANJE NACIONALNE SVEUČILIŠNE KNJIŽNICE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A622017</w:t>
            </w:r>
          </w:p>
        </w:tc>
        <w:tc>
          <w:tcPr>
            <w:tcW w:w="1486" w:type="dxa"/>
          </w:tcPr>
          <w:p w:rsidR="00D849AA" w:rsidRDefault="00EE6D95">
            <w:r>
              <w:t>43.516.835</w:t>
            </w:r>
          </w:p>
        </w:tc>
        <w:tc>
          <w:tcPr>
            <w:tcW w:w="1486" w:type="dxa"/>
          </w:tcPr>
          <w:p w:rsidR="00D849AA" w:rsidRDefault="00EE6D95">
            <w:r>
              <w:t>45.379.833</w:t>
            </w:r>
          </w:p>
        </w:tc>
        <w:tc>
          <w:tcPr>
            <w:tcW w:w="1486" w:type="dxa"/>
          </w:tcPr>
          <w:p w:rsidR="00D849AA" w:rsidRDefault="00EE6D95">
            <w:r>
              <w:t>45.360.970</w:t>
            </w:r>
          </w:p>
        </w:tc>
        <w:tc>
          <w:tcPr>
            <w:tcW w:w="1486" w:type="dxa"/>
          </w:tcPr>
          <w:p w:rsidR="00D849AA" w:rsidRDefault="00EE6D95">
            <w:r>
              <w:t>46.677.297</w:t>
            </w:r>
          </w:p>
        </w:tc>
        <w:tc>
          <w:tcPr>
            <w:tcW w:w="1486" w:type="dxa"/>
          </w:tcPr>
          <w:p w:rsidR="00D849AA" w:rsidRDefault="00EE6D95">
            <w:r>
              <w:t>104,3</w:t>
            </w:r>
          </w:p>
        </w:tc>
      </w:tr>
    </w:tbl>
    <w:p w:rsidR="00D849AA" w:rsidRDefault="00D849AA">
      <w:pPr>
        <w:jc w:val="left"/>
      </w:pPr>
    </w:p>
    <w:p w:rsidR="00D849AA" w:rsidRDefault="00EE6D95">
      <w:pPr>
        <w:pStyle w:val="Normal6"/>
      </w:pPr>
      <w:r>
        <w:t>Sredstvima ove aktivnosti financiraju se osnovni materijalni troškovi („hladni pogon“) redovitog poslovanja Knjižnice i to u vrlo velikom iznosu iz razloga što Knjižnica raspolaže s veoma malim dijelom vlastitih sredstava (prihoda) koje ostvaruje obavljanjem svoje osnovne djelatnosti, kao i plaće i ostali rashodi (materijalna prava te prijevoz na posao i s posla) za 306 zaposlenika.</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Povećanje udjela znanstvenih publikacija koje su objavljene u 10 posto najcitiranijih znanstvenih publikacija u svijetu</w:t>
            </w:r>
          </w:p>
        </w:tc>
        <w:tc>
          <w:tcPr>
            <w:tcW w:w="1114" w:type="dxa"/>
          </w:tcPr>
          <w:p w:rsidR="00D849AA" w:rsidRDefault="00EE6D95">
            <w:r>
              <w:t>Postotak (godišnje)</w:t>
            </w:r>
          </w:p>
        </w:tc>
        <w:tc>
          <w:tcPr>
            <w:tcW w:w="1114" w:type="dxa"/>
          </w:tcPr>
          <w:p w:rsidR="00D849AA" w:rsidRDefault="00EE6D95">
            <w:r>
              <w:t>3,07 (2010.)</w:t>
            </w:r>
          </w:p>
        </w:tc>
        <w:tc>
          <w:tcPr>
            <w:tcW w:w="1486" w:type="dxa"/>
          </w:tcPr>
          <w:p w:rsidR="00D849AA" w:rsidRDefault="00EE6D95">
            <w:r>
              <w:t>4</w:t>
            </w:r>
          </w:p>
        </w:tc>
        <w:tc>
          <w:tcPr>
            <w:tcW w:w="1486" w:type="dxa"/>
          </w:tcPr>
          <w:p w:rsidR="00D849AA" w:rsidRDefault="00EE6D95">
            <w:r>
              <w:t>4,5</w:t>
            </w:r>
          </w:p>
        </w:tc>
        <w:tc>
          <w:tcPr>
            <w:tcW w:w="1486" w:type="dxa"/>
          </w:tcPr>
          <w:p w:rsidR="00D849AA" w:rsidRDefault="00EE6D95">
            <w:r>
              <w:t>5</w:t>
            </w:r>
          </w:p>
        </w:tc>
      </w:tr>
    </w:tbl>
    <w:p w:rsidR="00D849AA" w:rsidRDefault="00D849AA">
      <w:pPr>
        <w:jc w:val="left"/>
      </w:pPr>
    </w:p>
    <w:p w:rsidR="00D849AA" w:rsidRDefault="00EE6D95">
      <w:pPr>
        <w:pStyle w:val="Naslov3"/>
      </w:pPr>
      <w:r>
        <w:t>21852 Hrvatska akademska i istraživačka mreža Carnet</w:t>
      </w:r>
    </w:p>
    <w:p w:rsidR="00D849AA" w:rsidRDefault="00EE6D95">
      <w:pPr>
        <w:pStyle w:val="Naslov4"/>
      </w:pPr>
      <w:r>
        <w:t>Uvod</w:t>
      </w:r>
    </w:p>
    <w:p w:rsidR="00D849AA" w:rsidRDefault="00EE6D95">
      <w:pPr>
        <w:pStyle w:val="Normal5"/>
      </w:pPr>
      <w:r>
        <w:t xml:space="preserve">Hrvatska akademska i istraživačka mreža–CARNet osnovana je 1995. uredbom Vlade Republike Hrvatske. Osnovne djelatnosti CARNeta su: razvoj, izgradnja i održavanje računalno-komunikacijske infrastrukture koja će povezivati obrazovne i znanstvenoistraživačke ustanove međusobno u jedinstveni informacijski sustav, povezivanje CARNet mreže s međunarodnim mrežama, razvoj i izgradnja informacijskih čvorišta i mreža, edukacija (obavljanje i organizacija edukativnih djelatnosti), projektiranje i izgradnja u </w:t>
      </w:r>
      <w:r>
        <w:lastRenderedPageBreak/>
        <w:t>području informacijskih tehnologija, projektiranje telekomunikacijskih sustava, organiziranje i ostvarivanje tehničke potpore korisnicima.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21852</w:t>
            </w:r>
          </w:p>
        </w:tc>
        <w:tc>
          <w:tcPr>
            <w:tcW w:w="1486" w:type="dxa"/>
          </w:tcPr>
          <w:p w:rsidR="00D849AA" w:rsidRDefault="00EE6D95">
            <w:r>
              <w:t>83.865.518</w:t>
            </w:r>
          </w:p>
        </w:tc>
        <w:tc>
          <w:tcPr>
            <w:tcW w:w="1486" w:type="dxa"/>
          </w:tcPr>
          <w:p w:rsidR="00D849AA" w:rsidRDefault="00EE6D95">
            <w:r>
              <w:t>79.431.442</w:t>
            </w:r>
          </w:p>
        </w:tc>
        <w:tc>
          <w:tcPr>
            <w:tcW w:w="1486" w:type="dxa"/>
          </w:tcPr>
          <w:p w:rsidR="00D849AA" w:rsidRDefault="00EE6D95">
            <w:r>
              <w:t>72.310.084</w:t>
            </w:r>
          </w:p>
        </w:tc>
        <w:tc>
          <w:tcPr>
            <w:tcW w:w="1486" w:type="dxa"/>
          </w:tcPr>
          <w:p w:rsidR="00D849AA" w:rsidRDefault="00EE6D95">
            <w:r>
              <w:t>72.252.523</w:t>
            </w:r>
          </w:p>
        </w:tc>
        <w:tc>
          <w:tcPr>
            <w:tcW w:w="1486" w:type="dxa"/>
          </w:tcPr>
          <w:p w:rsidR="00D849AA" w:rsidRDefault="00EE6D95">
            <w:r>
              <w:t>94,7</w:t>
            </w:r>
          </w:p>
        </w:tc>
      </w:tr>
    </w:tbl>
    <w:p w:rsidR="00D849AA" w:rsidRDefault="00D849AA">
      <w:pPr>
        <w:jc w:val="left"/>
      </w:pPr>
    </w:p>
    <w:p w:rsidR="00D849AA" w:rsidRDefault="00EE6D95">
      <w:pPr>
        <w:pStyle w:val="Naslov4"/>
      </w:pPr>
      <w:r>
        <w:t>OBRAZLOŽENJE PROGRAMA</w:t>
      </w:r>
    </w:p>
    <w:p w:rsidR="00D849AA" w:rsidRDefault="00EE6D95">
      <w:pPr>
        <w:pStyle w:val="Naslov5"/>
      </w:pPr>
      <w:r>
        <w:t>3803 RAZVOJ INFORMACIJSKOG DRUŠTVA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3803</w:t>
            </w:r>
          </w:p>
        </w:tc>
        <w:tc>
          <w:tcPr>
            <w:tcW w:w="1486" w:type="dxa"/>
          </w:tcPr>
          <w:p w:rsidR="00D849AA" w:rsidRDefault="00EE6D95">
            <w:r>
              <w:t>83.865.518</w:t>
            </w:r>
          </w:p>
        </w:tc>
        <w:tc>
          <w:tcPr>
            <w:tcW w:w="1486" w:type="dxa"/>
          </w:tcPr>
          <w:p w:rsidR="00D849AA" w:rsidRDefault="00EE6D95">
            <w:r>
              <w:t>79.431.442</w:t>
            </w:r>
          </w:p>
        </w:tc>
        <w:tc>
          <w:tcPr>
            <w:tcW w:w="1486" w:type="dxa"/>
          </w:tcPr>
          <w:p w:rsidR="00D849AA" w:rsidRDefault="00EE6D95">
            <w:r>
              <w:t>72.310.084</w:t>
            </w:r>
          </w:p>
        </w:tc>
        <w:tc>
          <w:tcPr>
            <w:tcW w:w="1486" w:type="dxa"/>
          </w:tcPr>
          <w:p w:rsidR="00D849AA" w:rsidRDefault="00EE6D95">
            <w:r>
              <w:t>72.252.523</w:t>
            </w:r>
          </w:p>
        </w:tc>
        <w:tc>
          <w:tcPr>
            <w:tcW w:w="1486" w:type="dxa"/>
          </w:tcPr>
          <w:p w:rsidR="00D849AA" w:rsidRDefault="00EE6D95">
            <w:r>
              <w:t>94,7</w:t>
            </w:r>
          </w:p>
        </w:tc>
      </w:tr>
    </w:tbl>
    <w:p w:rsidR="00D849AA" w:rsidRDefault="00D849AA">
      <w:pPr>
        <w:jc w:val="left"/>
      </w:pPr>
    </w:p>
    <w:p w:rsidR="00D849AA" w:rsidRDefault="00EE6D95">
      <w:pPr>
        <w:pStyle w:val="Naslov6"/>
      </w:pPr>
      <w:r>
        <w:t>Opis programa</w:t>
      </w:r>
    </w:p>
    <w:p w:rsidR="00D849AA" w:rsidRDefault="00EE6D95">
      <w:r>
        <w:t>Povezivanje svih hrvatskih akademskih i znanstvenih ustanova, te sve osnovnih i srednjih škola u zajedničku komunikacijsku mrežu, a samim time i na Internet. Izgradnja i održavanje većeg broja servisa koji koriste ovako uspostavljenu mrežnu povezanost. Osiguranje napredne informacijske i komunikacijske infrastrukture za akademsku, istraživačku i obrazovnu zajednicu uključujući brzu i sigurnu mrežu, raznovrsne sadržaje i usluge.</w:t>
      </w:r>
    </w:p>
    <w:p w:rsidR="00D849AA" w:rsidRDefault="00EE6D95">
      <w:pPr>
        <w:pStyle w:val="Naslov6"/>
      </w:pPr>
      <w:r>
        <w:t>Zakonske i druge pravne osnove</w:t>
      </w:r>
    </w:p>
    <w:p w:rsidR="00D849AA" w:rsidRDefault="00EE6D95">
      <w:r>
        <w:t xml:space="preserve">Uredba o osnivanju CARNeta (NN 16/95) </w:t>
      </w:r>
    </w:p>
    <w:p w:rsidR="00D849AA" w:rsidRDefault="00EE6D95">
      <w:r>
        <w:t xml:space="preserve">Zakon o informacijskoj sigurnosti (NN 79/07) </w:t>
      </w:r>
    </w:p>
    <w:p w:rsidR="00D849AA" w:rsidRDefault="00EE6D95">
      <w:r>
        <w:t xml:space="preserve">Zakon o elektroničkim komunikacijama (NN 73/08; 90/11) </w:t>
      </w:r>
    </w:p>
    <w:p w:rsidR="00D849AA" w:rsidRDefault="00EE6D95">
      <w:r>
        <w:t>Kolektivni ugovor za znanost i visoko obrazovanje (NN 101/02; 81/03; 183/03; 203/03; 11/08, 46/08; 93/08 i 142/10)</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Cilj 1. Razvijena informacijsko-komunikacijska infrastruktura sustava znanosti i obrazovanja</w:t>
      </w:r>
    </w:p>
    <w:p w:rsidR="00D849AA" w:rsidRDefault="00EE6D95">
      <w:pPr>
        <w:pStyle w:val="Normal6"/>
      </w:pPr>
      <w:r>
        <w:t xml:space="preserve">Informacijsko-komunikacijska  infrastruktura važna je komponenta infrastrukture sustava znanosti i obrazovanja. Razvijena informacijsko-komunikacijska infrastruktura pridonosi unaprjeđenju kvalitete obrazovanja i istraživanja.  </w:t>
      </w:r>
    </w:p>
    <w:p w:rsidR="00D849AA" w:rsidRDefault="00EE6D95">
      <w:pPr>
        <w:pStyle w:val="Normal6"/>
      </w:pPr>
      <w:r>
        <w:t xml:space="preserve">Pod razvojem informacijsko-komunikacijske  infrastrukture podrazumijeva se razvoj sljedećih komponenti infrastrukture: </w:t>
      </w:r>
    </w:p>
    <w:p w:rsidR="00D849AA" w:rsidRDefault="00EE6D95">
      <w:pPr>
        <w:pStyle w:val="Normal6"/>
      </w:pPr>
      <w:r>
        <w:t xml:space="preserve">• Nacionalna obrazovna i istraživačka računalno-komunikacijska mreža </w:t>
      </w:r>
    </w:p>
    <w:p w:rsidR="00D849AA" w:rsidRDefault="00EE6D95">
      <w:pPr>
        <w:pStyle w:val="Normal6"/>
      </w:pPr>
      <w:r>
        <w:t xml:space="preserve">• Povezivanje na Internet </w:t>
      </w:r>
    </w:p>
    <w:p w:rsidR="00D849AA" w:rsidRDefault="00EE6D95">
      <w:pPr>
        <w:pStyle w:val="Normal6"/>
      </w:pPr>
      <w:r>
        <w:t xml:space="preserve">• Računalno-komunikacijski resursi </w:t>
      </w:r>
    </w:p>
    <w:p w:rsidR="00D849AA" w:rsidRDefault="00EE6D95">
      <w:pPr>
        <w:pStyle w:val="Normal6"/>
      </w:pPr>
      <w:r>
        <w:lastRenderedPageBreak/>
        <w:t xml:space="preserve">• Informacijski sustavi u obrazovanju i znanosti </w:t>
      </w:r>
    </w:p>
    <w:p w:rsidR="00D849AA" w:rsidRDefault="00EE6D95">
      <w:pPr>
        <w:pStyle w:val="Normal6"/>
      </w:pPr>
      <w:r>
        <w:t xml:space="preserve">• Sigurno korištenje interneta.  </w:t>
      </w:r>
    </w:p>
    <w:p w:rsidR="00D849AA" w:rsidRDefault="00EE6D95">
      <w:pPr>
        <w:pStyle w:val="Normal6"/>
      </w:pPr>
      <w:r>
        <w:t xml:space="preserve">Nacionalna obrazovna i istraživačka računalno-komunikacijska mreža (NREN-National research and education network) temeljni je dio infrastrukture sustava znanosti i obrazovanja. NREN osigurava međusobnu povezanost svih dionika u procesu obrazovanja i istraživanja u svrhu osiguranja komunikacije, razmijene podataka i pristupa resursima te korištenju  usluga informacijske infrastrukture sustava znanosti i obrazovanja.   </w:t>
      </w:r>
    </w:p>
    <w:p w:rsidR="00D849AA" w:rsidRDefault="00EE6D95">
      <w:pPr>
        <w:pStyle w:val="Normal6"/>
      </w:pPr>
      <w:r>
        <w:t xml:space="preserve">Povezivanjem na Internet osigurava se međunarodna povezanost NREN-a sa NREN-ovima drugih zemalja te prisutnost svih dionika sustava znanosti i obrazovanja u međunarodnom virtualnom prostoru.  </w:t>
      </w:r>
    </w:p>
    <w:p w:rsidR="00D849AA" w:rsidRDefault="00EE6D95">
      <w:pPr>
        <w:pStyle w:val="Normal6"/>
      </w:pPr>
      <w:r>
        <w:t xml:space="preserve">Razvoj računalno-komunikacijskih resursa obuhvaća aktivnosti vezane uz opremanje obrazovnih i istraživačkih ustanova računalnom i programskom opremom, omogućavanje pristupa računalnim i informacijskim resursima te uslugama sustavu znanosti i obrazovanja unutar i izvan prostora ustanove, unutar i izvan granica Republike Hrvatske.  </w:t>
      </w:r>
    </w:p>
    <w:p w:rsidR="00D849AA" w:rsidRDefault="00EE6D95">
      <w:pPr>
        <w:pStyle w:val="Normal6"/>
      </w:pPr>
      <w:r>
        <w:t>Kako bi se informacijsko-komunikacijska infrastruktura mogla koristiti sa povjerenjem važno je promicati sigurno korištenje interneta kroz tehničko i organizacijsko osiguranje sigurnosti u samom sustavu te sigurnosno obrazovanje svih korisnika sustava.</w:t>
      </w:r>
    </w:p>
    <w:p w:rsidR="00D849AA" w:rsidRDefault="00EE6D95">
      <w:pPr>
        <w:pStyle w:val="Naslov5"/>
      </w:pPr>
      <w:r>
        <w:t>Procjena i ishodište potrebnih sredstava za značajnije aktivnosti/projekte</w:t>
      </w:r>
    </w:p>
    <w:p w:rsidR="00D849AA" w:rsidRDefault="00EE6D95">
      <w:pPr>
        <w:pStyle w:val="Naslov6"/>
      </w:pPr>
      <w:r>
        <w:t>A628009 ADMINISTRACIJA I UPRAVLJANJE HRVATSKE AKADEMSKE I ISTRAŽIVAČKE MREŽE CARNET</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A628009</w:t>
            </w:r>
          </w:p>
        </w:tc>
        <w:tc>
          <w:tcPr>
            <w:tcW w:w="1486" w:type="dxa"/>
          </w:tcPr>
          <w:p w:rsidR="00D849AA" w:rsidRDefault="00EE6D95">
            <w:r>
              <w:t>28.709.770</w:t>
            </w:r>
          </w:p>
        </w:tc>
        <w:tc>
          <w:tcPr>
            <w:tcW w:w="1486" w:type="dxa"/>
          </w:tcPr>
          <w:p w:rsidR="00D849AA" w:rsidRDefault="00EE6D95">
            <w:r>
              <w:t>31.903.758</w:t>
            </w:r>
          </w:p>
        </w:tc>
        <w:tc>
          <w:tcPr>
            <w:tcW w:w="1486" w:type="dxa"/>
          </w:tcPr>
          <w:p w:rsidR="00D849AA" w:rsidRDefault="00EE6D95">
            <w:r>
              <w:t>28.413.766</w:t>
            </w:r>
          </w:p>
        </w:tc>
        <w:tc>
          <w:tcPr>
            <w:tcW w:w="1486" w:type="dxa"/>
          </w:tcPr>
          <w:p w:rsidR="00D849AA" w:rsidRDefault="00EE6D95">
            <w:r>
              <w:t>28.966.248</w:t>
            </w:r>
          </w:p>
        </w:tc>
        <w:tc>
          <w:tcPr>
            <w:tcW w:w="1486" w:type="dxa"/>
          </w:tcPr>
          <w:p w:rsidR="00D849AA" w:rsidRDefault="00EE6D95">
            <w:r>
              <w:t>111,1</w:t>
            </w:r>
          </w:p>
        </w:tc>
      </w:tr>
    </w:tbl>
    <w:p w:rsidR="00D849AA" w:rsidRDefault="00D849AA">
      <w:pPr>
        <w:jc w:val="left"/>
      </w:pPr>
    </w:p>
    <w:p w:rsidR="00D849AA" w:rsidRDefault="00EE6D95">
      <w:pPr>
        <w:pStyle w:val="Normal6"/>
      </w:pPr>
      <w:r>
        <w:t xml:space="preserve">Kroz  aktivnosti se financiraju  plaće i ostali rashodi za zaposlenike (materijalna prava te prijevoz na posao i s posla)  CARNet-a, te materijalni troškovi odvijanja redovitog poslovanja. Rashodi za zaposlene planirani su na razini rashoda tekuće godine za postojeći broj zaposlenih, ne uvažavajući činjenicu stalnog rasta obima poslova koje CARNet obavlja te potrebe za povećanjem broja zaposlenih.  </w:t>
      </w:r>
    </w:p>
    <w:p w:rsidR="00D849AA" w:rsidRDefault="00EE6D95">
      <w:pPr>
        <w:pStyle w:val="Normal6"/>
      </w:pPr>
      <w:r>
        <w:t xml:space="preserve">U okviru aktivnosti planiraju su sredstva za tekuće održavanje i nadogradnje svih servisa CARNet-a kako bi se osigurala ista razina i kvaliteta usluge koje CARNet danas pruža svojim korisnicima, a to je dostupnost mreže i servisa minimum 99% vremena, te za tekuće održavanje CARNet mreže i  mrežne opreme. U sklopu održavanja mreže potrebna su sredstva za službena putovanja zaposlenika, te kontinuirano školovanje zaposlenika na području mrežnih tehnologija. Financiraju se i članarine u međunarodnim organizacijama.  </w:t>
      </w:r>
    </w:p>
    <w:p w:rsidR="00D849AA" w:rsidRDefault="00EE6D95">
      <w:pPr>
        <w:pStyle w:val="Normal6"/>
      </w:pPr>
      <w:r>
        <w:t xml:space="preserve">U 2014. godini planirani su uvećani rashodi za zakupnine i najamnine s obzirom da se CARNet nalazi na više lokacija u Hrvatskoj u prostorima koji nisu u vlasništvu CARNet-a,  a za poslovne prostore u vlasništvu Grada Zagreba, u Jurišićevoj ulici, prostore na adresi Vranovina 32 i Lastovska 23 u Zagrebu  te prostor u vlasništvu Sveučilišta "J. J. Strossmayer" u Osijeku od 2014. godine CARNet ima obvezu plaćanja zakupa, te režijskih troškova. Također, nužno je planirati i zakupninu prostora za smještaj IT opreme u prostoru Podatkovnog centra Križ na lokaciji u Jastrebarskom, Poslovna zona Jalševac, Čabdin 73 gdje je smještena aktivna računalna, podatkovna i mrežna oprema na potrebna za obavljanje redovne djelatnosti CARNeta. </w:t>
      </w:r>
    </w:p>
    <w:p w:rsidR="00D849AA" w:rsidRDefault="00EE6D95">
      <w:pPr>
        <w:pStyle w:val="Normal6"/>
      </w:pPr>
      <w:r>
        <w:lastRenderedPageBreak/>
        <w:t xml:space="preserve">Kako je sigurnost mreže i računala, ali i korisnika od posebne važnosti kontinuirano se radi na praćenju stanja sigurnosti mreže CARNet i u nju povezanih računala objavom preporuka i upozorenja o evidentiranim sigurnosnim propustima te kroz periodične provjera ranjivosti servera i web aplikacija.  </w:t>
      </w:r>
    </w:p>
    <w:p w:rsidR="00D849AA" w:rsidRDefault="00EE6D95">
      <w:pPr>
        <w:pStyle w:val="Normal6"/>
      </w:pPr>
      <w:r>
        <w:t>Jedan od važnih nacionalnih informacijskih servisa kojim Hrvatska akademska i istraživačka mreža - CARNet upravlja od 1993. godine je registar nacionalne internetske domene Republike Hrvatske (.hr). Tijekom 2014. namjera nam je, zajedno sa zainteresiranim stranama, raditi i dalje na liberalizaciji pravila za registraciju .hr domena, te njihovom usklađivanju s najboljim europskih praksama.</w:t>
      </w:r>
    </w:p>
    <w:p w:rsidR="00D849AA" w:rsidRDefault="00EE6D95">
      <w:pPr>
        <w:pStyle w:val="Naslov6"/>
      </w:pPr>
      <w:r>
        <w:t>A628011 PROGRAM TELEKOMUNIKACIJSKIH KAPACITETA ZA MREŽU CARNET</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A628011</w:t>
            </w:r>
          </w:p>
        </w:tc>
        <w:tc>
          <w:tcPr>
            <w:tcW w:w="1486" w:type="dxa"/>
          </w:tcPr>
          <w:p w:rsidR="00D849AA" w:rsidRDefault="00EE6D95">
            <w:r>
              <w:t>20.497.718</w:t>
            </w:r>
          </w:p>
        </w:tc>
        <w:tc>
          <w:tcPr>
            <w:tcW w:w="1486" w:type="dxa"/>
          </w:tcPr>
          <w:p w:rsidR="00D849AA" w:rsidRDefault="00EE6D95">
            <w:r>
              <w:t>20.292.741</w:t>
            </w:r>
          </w:p>
        </w:tc>
        <w:tc>
          <w:tcPr>
            <w:tcW w:w="1486" w:type="dxa"/>
          </w:tcPr>
          <w:p w:rsidR="00D849AA" w:rsidRDefault="00EE6D95">
            <w:r>
              <w:t>18.702.138</w:t>
            </w:r>
          </w:p>
        </w:tc>
        <w:tc>
          <w:tcPr>
            <w:tcW w:w="1486" w:type="dxa"/>
          </w:tcPr>
          <w:p w:rsidR="00D849AA" w:rsidRDefault="00EE6D95">
            <w:r>
              <w:t>18.608.628</w:t>
            </w:r>
          </w:p>
        </w:tc>
        <w:tc>
          <w:tcPr>
            <w:tcW w:w="1486" w:type="dxa"/>
          </w:tcPr>
          <w:p w:rsidR="00D849AA" w:rsidRDefault="00EE6D95">
            <w:r>
              <w:t>99,0</w:t>
            </w:r>
          </w:p>
        </w:tc>
      </w:tr>
    </w:tbl>
    <w:p w:rsidR="00D849AA" w:rsidRDefault="00D849AA">
      <w:pPr>
        <w:jc w:val="left"/>
      </w:pPr>
    </w:p>
    <w:p w:rsidR="00D849AA" w:rsidRDefault="00EE6D95">
      <w:pPr>
        <w:pStyle w:val="Normal6"/>
      </w:pPr>
      <w:r>
        <w:t>Cilj programa je omogućiti istu, odnosno povećati brzinu pristupa spajanja na CARNet mrežu svojim članicama.  Danas je preko 460 lokacija punopravnih članica iz akademske i znanstvene zajednice  spojeno u CARNet mrežu te preko 2500 lokacija iz osnovnog i srednjeg školstva. CARNet za svoje članice plaća troškove spajanja na CARNet mrežu. Daljnjim porastom broja članica, odnosno povećanjem brzina pristupa dolazi do povećanja telekomunikacijskih troškova, te nije moguće smanjenje rashoda na navedenoj aktivnosti.</w:t>
      </w:r>
    </w:p>
    <w:p w:rsidR="00D849AA" w:rsidRDefault="00EE6D95">
      <w:pPr>
        <w:pStyle w:val="Naslov6"/>
      </w:pPr>
      <w:r>
        <w:t>A628015 UKLJUČIVANJE MREŽE CARNET U PAN-EUROPSKE AKADEMSKE I ISTRAŽIVAČKE MREŽE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A628015</w:t>
            </w:r>
          </w:p>
        </w:tc>
        <w:tc>
          <w:tcPr>
            <w:tcW w:w="1486" w:type="dxa"/>
          </w:tcPr>
          <w:p w:rsidR="00D849AA" w:rsidRDefault="00EE6D95">
            <w:r>
              <w:t>8.354.500</w:t>
            </w:r>
          </w:p>
        </w:tc>
        <w:tc>
          <w:tcPr>
            <w:tcW w:w="1486" w:type="dxa"/>
          </w:tcPr>
          <w:p w:rsidR="00D849AA" w:rsidRDefault="00EE6D95">
            <w:r>
              <w:t>8.270.955</w:t>
            </w:r>
          </w:p>
        </w:tc>
        <w:tc>
          <w:tcPr>
            <w:tcW w:w="1486" w:type="dxa"/>
          </w:tcPr>
          <w:p w:rsidR="00D849AA" w:rsidRDefault="00EE6D95">
            <w:r>
              <w:t>7.622.654</w:t>
            </w:r>
          </w:p>
        </w:tc>
        <w:tc>
          <w:tcPr>
            <w:tcW w:w="1486" w:type="dxa"/>
          </w:tcPr>
          <w:p w:rsidR="00D849AA" w:rsidRDefault="00EE6D95">
            <w:r>
              <w:t>7.584.541</w:t>
            </w:r>
          </w:p>
        </w:tc>
        <w:tc>
          <w:tcPr>
            <w:tcW w:w="1486" w:type="dxa"/>
          </w:tcPr>
          <w:p w:rsidR="00D849AA" w:rsidRDefault="00EE6D95">
            <w:r>
              <w:t>99,0</w:t>
            </w:r>
          </w:p>
        </w:tc>
      </w:tr>
    </w:tbl>
    <w:p w:rsidR="00D849AA" w:rsidRDefault="00D849AA">
      <w:pPr>
        <w:jc w:val="left"/>
      </w:pPr>
    </w:p>
    <w:p w:rsidR="00D849AA" w:rsidRDefault="00EE6D95">
      <w:pPr>
        <w:pStyle w:val="Normal6"/>
      </w:pPr>
      <w:r>
        <w:t>Mreža CARNet, u koju su spojene sve CARNetove članice, trenutno je povezana je na pan-europsku mrežu GEANT koja povezuje preko 30 europskih zemalja, a čiji je cilj uspostava slijedeće generacije mrežne infrastrukture koja će moći adekvatno pratiti potrebe europske, a time i hrvatske, istraživačke, akademske i obrazovne zajednice. Iz ovog dijela proračuna financira se izgradnju okosnice CARNet mreže, pristup GEANT3 mreži, te pristup Internet mreži.  Kroz ovu aktivnost provodi se financiranje  povezanosti na GÉANT mrežu brzinom od 10 Gbps i na Internet brzinom od 4 Gbps, te zakup TK vodova za okosnicu mreže.</w:t>
      </w:r>
    </w:p>
    <w:p w:rsidR="00D849AA" w:rsidRDefault="00EE6D95">
      <w:pPr>
        <w:pStyle w:val="Naslov6"/>
      </w:pPr>
      <w:r>
        <w:t>A628068 SUDJELOVANJE NA IZGRADNJI, TESTIRANJU I RAZVOJU OKOSNICE PAN-EUROPSKE RAČUNALNO KOMUNIKACIJSKE MREŽE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A628068</w:t>
            </w:r>
          </w:p>
        </w:tc>
        <w:tc>
          <w:tcPr>
            <w:tcW w:w="1486" w:type="dxa"/>
          </w:tcPr>
          <w:p w:rsidR="00D849AA" w:rsidRDefault="00EE6D95">
            <w:r>
              <w:t>3.704.000</w:t>
            </w:r>
          </w:p>
        </w:tc>
        <w:tc>
          <w:tcPr>
            <w:tcW w:w="1486" w:type="dxa"/>
          </w:tcPr>
          <w:p w:rsidR="00D849AA" w:rsidRDefault="00EE6D95">
            <w:r>
              <w:t>3.490.160</w:t>
            </w:r>
          </w:p>
        </w:tc>
        <w:tc>
          <w:tcPr>
            <w:tcW w:w="1486" w:type="dxa"/>
          </w:tcPr>
          <w:p w:rsidR="00D849AA" w:rsidRDefault="00EE6D95">
            <w:r>
              <w:t>3.544.618</w:t>
            </w:r>
          </w:p>
        </w:tc>
        <w:tc>
          <w:tcPr>
            <w:tcW w:w="1486" w:type="dxa"/>
          </w:tcPr>
          <w:p w:rsidR="00D849AA" w:rsidRDefault="00EE6D95">
            <w:r>
              <w:t>3.658.533</w:t>
            </w:r>
          </w:p>
        </w:tc>
        <w:tc>
          <w:tcPr>
            <w:tcW w:w="1486" w:type="dxa"/>
          </w:tcPr>
          <w:p w:rsidR="00D849AA" w:rsidRDefault="00EE6D95">
            <w:r>
              <w:t>94,2</w:t>
            </w:r>
          </w:p>
        </w:tc>
      </w:tr>
    </w:tbl>
    <w:p w:rsidR="00D849AA" w:rsidRDefault="00D849AA">
      <w:pPr>
        <w:jc w:val="left"/>
      </w:pPr>
    </w:p>
    <w:p w:rsidR="00D849AA" w:rsidRDefault="00EE6D95">
      <w:pPr>
        <w:pStyle w:val="Normal6"/>
      </w:pPr>
      <w:r>
        <w:lastRenderedPageBreak/>
        <w:t>U okviru ove aktivnosti financira se CARNetovo sudjelovanje na projektu GEANT3plus koji je kao nastavak GEANT3 projekta započeo u travnju 2013. godine. U projektu GN3plus, uz 37 europskih akademskih i istraživačkih mreža (National Research and Education Network, NREN) te NORDUNet (predstavnik 5 nordijskih NREN-ova), TERENU i DANTE kao koordinatora, u svojstvu partnera sudjeluje i Hrvatska akademska i istraživačka mreža – CARNet. Projekt GÉANT3plus obuhvaća aktivnosti u svim područjima relevantnim za osiguranje kontinuiranog poboljšanja i operative na mreži GEANT, podržavajući kontinuirana poboljšana kako mrežnih tako i usluga s dodanom vrijednošću usmjerenih na korisnike diljem GEANT uslužnog područja. GEANT3plus će dodatno ojačati i nadograditi do sada realizirane GEANT projekte.</w:t>
      </w:r>
    </w:p>
    <w:p w:rsidR="00D849AA" w:rsidRDefault="00EE6D95">
      <w:pPr>
        <w:pStyle w:val="Naslov6"/>
      </w:pPr>
      <w:r>
        <w:t>A628070 PROGRAM OBJEDINJAVANJA I ODRŽAVANJA NACIONALNIH INFORMACIJSKIH SERVISA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A628070</w:t>
            </w:r>
          </w:p>
        </w:tc>
        <w:tc>
          <w:tcPr>
            <w:tcW w:w="1486" w:type="dxa"/>
          </w:tcPr>
          <w:p w:rsidR="00D849AA" w:rsidRDefault="00EE6D95">
            <w:r>
              <w:t>3.371.500</w:t>
            </w:r>
          </w:p>
        </w:tc>
        <w:tc>
          <w:tcPr>
            <w:tcW w:w="1486" w:type="dxa"/>
          </w:tcPr>
          <w:p w:rsidR="00D849AA" w:rsidRDefault="00EE6D95">
            <w:r>
              <w:t>3.565.635</w:t>
            </w:r>
          </w:p>
        </w:tc>
        <w:tc>
          <w:tcPr>
            <w:tcW w:w="1486" w:type="dxa"/>
          </w:tcPr>
          <w:p w:rsidR="00D849AA" w:rsidRDefault="00EE6D95">
            <w:r>
              <w:t>3.319.429</w:t>
            </w:r>
          </w:p>
        </w:tc>
        <w:tc>
          <w:tcPr>
            <w:tcW w:w="1486" w:type="dxa"/>
          </w:tcPr>
          <w:p w:rsidR="00D849AA" w:rsidRDefault="00EE6D95">
            <w:r>
              <w:t>3.316.433</w:t>
            </w:r>
          </w:p>
        </w:tc>
        <w:tc>
          <w:tcPr>
            <w:tcW w:w="1486" w:type="dxa"/>
          </w:tcPr>
          <w:p w:rsidR="00D849AA" w:rsidRDefault="00EE6D95">
            <w:r>
              <w:t>105,8</w:t>
            </w:r>
          </w:p>
        </w:tc>
      </w:tr>
    </w:tbl>
    <w:p w:rsidR="00D849AA" w:rsidRDefault="00D849AA">
      <w:pPr>
        <w:jc w:val="left"/>
      </w:pPr>
    </w:p>
    <w:p w:rsidR="00D849AA" w:rsidRDefault="00EE6D95">
      <w:pPr>
        <w:pStyle w:val="Normal6"/>
      </w:pPr>
      <w:r>
        <w:t xml:space="preserve">Ovom aktivnosti obuhvaćeno je održavanje Hosting usluge za srednje i osnovne škole (HUSO) u kojem su škole kreirale adrese elektroničke pošte i AAI@EduHr identitete za korištenje svih CARNetovih usluga za oko 600.000 učenika, nastavnika i ostalih zaposlenika, a svaka škola dobiva mogućnost korištenja CMS-a za izradu svojeg web sjedišta, Nacionalnog portala za udaljeno učenje (LMS) "Nikola Tesla" koji je uspostavljen kao središnji repozitorij za pohranu obrazovnih materijala kao što su npr. digitalni obrazovni sadržaje za gradivo predmeta srednjih škola, e.Tečajeve za primjenu u nastavi, ECDL tečajevi te CARNet-ove tečajeve za samostalno učenje.  </w:t>
      </w:r>
    </w:p>
    <w:p w:rsidR="00D849AA" w:rsidRDefault="00EE6D95">
      <w:pPr>
        <w:pStyle w:val="Normal6"/>
      </w:pPr>
      <w:r>
        <w:t xml:space="preserve">e-Dnevnik (web aplikacija za vođenje razredne evidencije u digitalnom  obliku) koji se kao  pilot projekt počeo provoditi na tri srednje škole u školskoj godini 2011./2012., u školskoj godini 2013/2012. proširuje se na 29 srednjih škola, a u 2013./2014. na preko 200 škola. U 2014./2015. školskoj godini očekuje se uključenje od oko 200 dodatnih škola.  Ovim projektom se korištenjem različitih vrsta prijenosnih računala osiguravaju sve funkcionalnosti postojeće razredne knjige uz dodatne funkcionalnosti koje omogućava uporaba informacijsko-komunikacijskih tehnologija.  </w:t>
      </w:r>
    </w:p>
    <w:p w:rsidR="00D849AA" w:rsidRDefault="00EE6D95">
      <w:pPr>
        <w:pStyle w:val="Normal6"/>
      </w:pPr>
      <w:r>
        <w:t>U idućoj godini CARNet nastavlja rad na novim funkcionalnostima prema zahtjevima škola te održava sustav i pruža podršku korisnicima za korištenje. U okviru ove aktivnosti financira se održavanje sustava eMatice i održavanje Nacionalnog informacijskog sustava prijava i upisa u srednje škole.</w:t>
      </w:r>
    </w:p>
    <w:p w:rsidR="00D849AA" w:rsidRDefault="00EE6D95">
      <w:pPr>
        <w:pStyle w:val="Naslov6"/>
      </w:pPr>
      <w:r>
        <w:t>A628073 PRIMJENA INFORMACIJSKE I KOMUNIKACIJSKE TEHNOLOGIJE U SUSTAVU SOCIJALNE SKRBI</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A628073</w:t>
            </w:r>
          </w:p>
        </w:tc>
        <w:tc>
          <w:tcPr>
            <w:tcW w:w="1486" w:type="dxa"/>
          </w:tcPr>
          <w:p w:rsidR="00D849AA" w:rsidRDefault="00EE6D95">
            <w:r>
              <w:t>3.157.250</w:t>
            </w:r>
          </w:p>
        </w:tc>
        <w:tc>
          <w:tcPr>
            <w:tcW w:w="1486" w:type="dxa"/>
          </w:tcPr>
          <w:p w:rsidR="00D849AA" w:rsidRDefault="00EE6D95">
            <w:r>
              <w:t>2.746.205</w:t>
            </w:r>
          </w:p>
        </w:tc>
        <w:tc>
          <w:tcPr>
            <w:tcW w:w="1486" w:type="dxa"/>
          </w:tcPr>
          <w:p w:rsidR="00D849AA" w:rsidRDefault="00EE6D95">
            <w:r>
              <w:t>2.562.978</w:t>
            </w:r>
          </w:p>
        </w:tc>
        <w:tc>
          <w:tcPr>
            <w:tcW w:w="1486" w:type="dxa"/>
          </w:tcPr>
          <w:p w:rsidR="00D849AA" w:rsidRDefault="00EE6D95">
            <w:r>
              <w:t>2.563.251</w:t>
            </w:r>
          </w:p>
        </w:tc>
        <w:tc>
          <w:tcPr>
            <w:tcW w:w="1486" w:type="dxa"/>
          </w:tcPr>
          <w:p w:rsidR="00D849AA" w:rsidRDefault="00EE6D95">
            <w:r>
              <w:t>87,0</w:t>
            </w:r>
          </w:p>
        </w:tc>
      </w:tr>
    </w:tbl>
    <w:p w:rsidR="00D849AA" w:rsidRDefault="00D849AA">
      <w:pPr>
        <w:jc w:val="left"/>
      </w:pPr>
    </w:p>
    <w:p w:rsidR="00D849AA" w:rsidRDefault="00EE6D95">
      <w:pPr>
        <w:pStyle w:val="Normal6"/>
      </w:pPr>
      <w:r>
        <w:t>Odlukom Vlade Republike Hrvatske omogućena je suradnja između  CARNeta i Ministarstva socijalne politike i mladih na području razvoja, izgradnje i održavanja infrastrukture, te mrežnih i aplikativnih servisa informacijskog sustava socijalne skrbi sve s ciljem što skorijeg ostvarivanja ciljanih učinaka informatičkog povezivanje unutar sustava socijalne skrbi.</w:t>
      </w:r>
    </w:p>
    <w:p w:rsidR="00D849AA" w:rsidRDefault="00EE6D95">
      <w:pPr>
        <w:pStyle w:val="Naslov6"/>
      </w:pPr>
      <w:r>
        <w:lastRenderedPageBreak/>
        <w:t>K406669 CARNET - ZAJEDNIČKA RK INFRASTRUKTURA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K406669</w:t>
            </w:r>
          </w:p>
        </w:tc>
        <w:tc>
          <w:tcPr>
            <w:tcW w:w="1486" w:type="dxa"/>
          </w:tcPr>
          <w:p w:rsidR="00D849AA" w:rsidRDefault="00EE6D95">
            <w:r>
              <w:t>4.011.700</w:t>
            </w:r>
          </w:p>
        </w:tc>
        <w:tc>
          <w:tcPr>
            <w:tcW w:w="1486" w:type="dxa"/>
          </w:tcPr>
          <w:p w:rsidR="00D849AA" w:rsidRDefault="00EE6D95">
            <w:r>
              <w:t>3.964.356</w:t>
            </w:r>
          </w:p>
        </w:tc>
        <w:tc>
          <w:tcPr>
            <w:tcW w:w="1486" w:type="dxa"/>
          </w:tcPr>
          <w:p w:rsidR="00D849AA" w:rsidRDefault="00EE6D95">
            <w:r>
              <w:t>3.653.619</w:t>
            </w:r>
          </w:p>
        </w:tc>
        <w:tc>
          <w:tcPr>
            <w:tcW w:w="1486" w:type="dxa"/>
          </w:tcPr>
          <w:p w:rsidR="00D849AA" w:rsidRDefault="00EE6D95">
            <w:r>
              <w:t>3.635.350</w:t>
            </w:r>
          </w:p>
        </w:tc>
        <w:tc>
          <w:tcPr>
            <w:tcW w:w="1486" w:type="dxa"/>
          </w:tcPr>
          <w:p w:rsidR="00D849AA" w:rsidRDefault="00EE6D95">
            <w:r>
              <w:t>98,8</w:t>
            </w:r>
          </w:p>
        </w:tc>
      </w:tr>
    </w:tbl>
    <w:p w:rsidR="00D849AA" w:rsidRDefault="00D849AA">
      <w:pPr>
        <w:jc w:val="left"/>
      </w:pPr>
    </w:p>
    <w:p w:rsidR="00D849AA" w:rsidRDefault="00EE6D95">
      <w:pPr>
        <w:pStyle w:val="Normal6"/>
      </w:pPr>
      <w:r>
        <w:t>Za spajanje ustanova članica na CARNet mrežu potrebno je, uz telekomunikacijske kapacitete, osigurati i odgovarajuću komunikacijsku opremu (usmjerivače, preklopnike i sl.)  bilo za spajanja samih članica bilo za izgradnju jezgre CARNet mreže. Obzirom na CARNetov opseg korištenja telekomunikacijskih usluga koje se nude na tržištu u RH, cijene tih usluga, te cijene odgovarajuće opreme i radova potrebnih za uspostavu vlastite optičke infrastrukture razložno je i isplativo uspostaviti vlastitu infrastrukturu u određenim gradovima. Uz značajne financijske uštede, vlastita optička infrastruktura omogućuje jednostavno proširenje propusnosti telekomunikacijskih kanala uz značajno manje investicije. Cilj programa je financiranjem vlastite optičke infrastrukture, dugoročna ušteda financijskih sredstava, te uspostava naprednih telekomunikacijskih usluga.</w:t>
      </w:r>
    </w:p>
    <w:p w:rsidR="00D849AA" w:rsidRDefault="00EE6D95">
      <w:pPr>
        <w:pStyle w:val="Naslov6"/>
      </w:pPr>
      <w:r>
        <w:t>K628069 ULAGANJE U OPREMU ZA ODRŽAVANJE NACIONALNIH I INFORMACIJSKIH SERVISA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K628069</w:t>
            </w:r>
          </w:p>
        </w:tc>
        <w:tc>
          <w:tcPr>
            <w:tcW w:w="1486" w:type="dxa"/>
          </w:tcPr>
          <w:p w:rsidR="00D849AA" w:rsidRDefault="00EE6D95">
            <w:r>
              <w:t>4.375.800</w:t>
            </w:r>
          </w:p>
        </w:tc>
        <w:tc>
          <w:tcPr>
            <w:tcW w:w="1486" w:type="dxa"/>
          </w:tcPr>
          <w:p w:rsidR="00D849AA" w:rsidRDefault="00EE6D95">
            <w:r>
              <w:t>4.332.042</w:t>
            </w:r>
          </w:p>
        </w:tc>
        <w:tc>
          <w:tcPr>
            <w:tcW w:w="1486" w:type="dxa"/>
          </w:tcPr>
          <w:p w:rsidR="00D849AA" w:rsidRDefault="00EE6D95">
            <w:r>
              <w:t>3.939.232</w:t>
            </w:r>
          </w:p>
        </w:tc>
        <w:tc>
          <w:tcPr>
            <w:tcW w:w="1486" w:type="dxa"/>
          </w:tcPr>
          <w:p w:rsidR="00D849AA" w:rsidRDefault="00EE6D95">
            <w:r>
              <w:t>3.919.539</w:t>
            </w:r>
          </w:p>
        </w:tc>
        <w:tc>
          <w:tcPr>
            <w:tcW w:w="1486" w:type="dxa"/>
          </w:tcPr>
          <w:p w:rsidR="00D849AA" w:rsidRDefault="00EE6D95">
            <w:r>
              <w:t>99,0</w:t>
            </w:r>
          </w:p>
        </w:tc>
      </w:tr>
    </w:tbl>
    <w:p w:rsidR="00D849AA" w:rsidRDefault="00D849AA">
      <w:pPr>
        <w:jc w:val="left"/>
      </w:pPr>
    </w:p>
    <w:p w:rsidR="00D849AA" w:rsidRDefault="00EE6D95">
      <w:pPr>
        <w:pStyle w:val="Normal6"/>
      </w:pPr>
      <w:r>
        <w:t xml:space="preserve">Neki od nacionalnih informacijskih servisa koje je CARNet uspostavio i održava su:  </w:t>
      </w:r>
    </w:p>
    <w:p w:rsidR="00D849AA" w:rsidRDefault="00EE6D95">
      <w:pPr>
        <w:pStyle w:val="Normal6"/>
      </w:pPr>
      <w:r>
        <w:t xml:space="preserve">• Hosting usluga za srednje i osnovne škole (HUSO) je usluga u okviru koje se omogućuje otvaranje besplatnih e-mail adresa i izrada internetskih stranica svim školama; </w:t>
      </w:r>
    </w:p>
    <w:p w:rsidR="00D849AA" w:rsidRDefault="00EE6D95">
      <w:pPr>
        <w:pStyle w:val="Normal6"/>
      </w:pPr>
      <w:r>
        <w:t xml:space="preserve">• CMS za škole je sustav koji omogućuje jednostavno postavljanje i ažuriranje web stranica kroz web preglednik; </w:t>
      </w:r>
    </w:p>
    <w:p w:rsidR="00D849AA" w:rsidRDefault="00EE6D95">
      <w:pPr>
        <w:pStyle w:val="Normal6"/>
      </w:pPr>
      <w:r>
        <w:t xml:space="preserve">• Nacionalni portal za udaljeno učenje "Nikola Tesla" je sustav koji omogućava izvođenje nastave i učenje pomoću računala upotrebom digitalnih obrazovnih sadržaja, a sadržava online tečajeve iz matematike, fizike,  engleskog, biologije i kemije za srednje škole, ECDL tečajeve te tečajeve o Internet tehnologijama; </w:t>
      </w:r>
    </w:p>
    <w:p w:rsidR="00D849AA" w:rsidRDefault="00EE6D95">
      <w:pPr>
        <w:pStyle w:val="Normal6"/>
      </w:pPr>
      <w:r>
        <w:t xml:space="preserve">• eLektire sadržavaju cjelovita djela hrvatskih i stranih pisaca s popisa obvezne školske lektire u elektroničkom formatu; </w:t>
      </w:r>
    </w:p>
    <w:p w:rsidR="00D849AA" w:rsidRDefault="00EE6D95">
      <w:pPr>
        <w:pStyle w:val="Normal6"/>
      </w:pPr>
      <w:r>
        <w:t xml:space="preserve">• eMatica je centralizirani sustav Ministarstva znanosti, obrazovanja i sporta koji služi za unos najvažnijih podataka o učenicima i djelatnicima osnovnih i srednjih škola. Aplikacija je zamišljena kao digitalni oblik Matične knjige koja se u školama ručno ispunjava. Na kraju školske godine omogućen je ispis svjedodžbi na temelju unesenih podataka o obrazovanju učenika; </w:t>
      </w:r>
    </w:p>
    <w:p w:rsidR="00D849AA" w:rsidRDefault="00EE6D95">
      <w:pPr>
        <w:pStyle w:val="Normal6"/>
      </w:pPr>
      <w:r>
        <w:t xml:space="preserve">• eDnevnik - web aplikacija za vođenje razredne knjige u elektroničkom obliku; </w:t>
      </w:r>
    </w:p>
    <w:p w:rsidR="00D849AA" w:rsidRDefault="00EE6D95">
      <w:pPr>
        <w:pStyle w:val="Normal6"/>
      </w:pPr>
      <w:r>
        <w:t xml:space="preserve">• Nacionalni informacijski sustav prijava i upisa u srednje škole je centralni sustav za prijavu učenika i upis u školske ustanove, odnosno programe odgoja i obrazovanja. </w:t>
      </w:r>
    </w:p>
    <w:p w:rsidR="00D849AA" w:rsidRDefault="00EE6D95">
      <w:pPr>
        <w:pStyle w:val="Normal6"/>
      </w:pPr>
      <w:r>
        <w:t>S obzirom na opseg korištenja ovih sustava potrebno je osigurati i adekvatno proširenje programske i informatičke opreme.</w:t>
      </w:r>
    </w:p>
    <w:p w:rsidR="00D849AA" w:rsidRDefault="00EE6D95">
      <w:pPr>
        <w:pStyle w:val="Naslov6"/>
      </w:pPr>
      <w:r>
        <w:lastRenderedPageBreak/>
        <w:t>K628071 POTICANJE RAZVOJA ŠIROKOPOJASNE INFRASTRUKTURE NA POSEBNIM PODRUČJIMA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K628071</w:t>
            </w:r>
          </w:p>
        </w:tc>
        <w:tc>
          <w:tcPr>
            <w:tcW w:w="1486" w:type="dxa"/>
          </w:tcPr>
          <w:p w:rsidR="00D849AA" w:rsidRDefault="00EE6D95">
            <w:r>
              <w:t>7.642.280</w:t>
            </w:r>
          </w:p>
        </w:tc>
        <w:tc>
          <w:tcPr>
            <w:tcW w:w="1486" w:type="dxa"/>
          </w:tcPr>
          <w:p w:rsidR="00D849AA" w:rsidRDefault="00EE6D95">
            <w:r>
              <w:t>180.360</w:t>
            </w:r>
          </w:p>
        </w:tc>
        <w:tc>
          <w:tcPr>
            <w:tcW w:w="1486" w:type="dxa"/>
          </w:tcPr>
          <w:p w:rsidR="00D849AA" w:rsidRDefault="00EE6D95">
            <w:r>
              <w:t>00</w:t>
            </w:r>
          </w:p>
        </w:tc>
        <w:tc>
          <w:tcPr>
            <w:tcW w:w="1486" w:type="dxa"/>
          </w:tcPr>
          <w:p w:rsidR="00D849AA" w:rsidRDefault="00EE6D95">
            <w:r>
              <w:t>00</w:t>
            </w:r>
          </w:p>
        </w:tc>
        <w:tc>
          <w:tcPr>
            <w:tcW w:w="1486" w:type="dxa"/>
          </w:tcPr>
          <w:p w:rsidR="00D849AA" w:rsidRDefault="00EE6D95">
            <w:r>
              <w:t>2,4</w:t>
            </w:r>
          </w:p>
        </w:tc>
      </w:tr>
    </w:tbl>
    <w:p w:rsidR="00D849AA" w:rsidRDefault="00D849AA">
      <w:pPr>
        <w:jc w:val="left"/>
      </w:pPr>
    </w:p>
    <w:p w:rsidR="00D849AA" w:rsidRDefault="00EE6D95">
      <w:pPr>
        <w:pStyle w:val="Normal6"/>
      </w:pPr>
      <w:r>
        <w:t>U okviru ove aktivnosti a na temelju odluke Vlade RH u 2012. godini pokrenut je i projekt Škole 2.0 s ciljem da se na mrežu poveže škole u ruralnim, udaljenim i izoliranim dijelovima Hrvatske kako bi se i učenicima u tim dijelovima Hrvatske omogućili jednaki uvjeti školovanja. U projekt je uključeno sedam osnovnih škola na 25 lokacija (matične škole, neke i sa po osam područnih škola), koje će kroz projekt biti povezane na brzi Internet pomoću optike te opremljene najmodernijom videokonferencijskom opremom i drugim informacijsko-komunikacijskim tehnologijama namijenjenim unapređenju obrazovnog procesa. Cilj je projekta omogućiti funkcionalnu nastavu na daljinu za učenike u područnim školama, kako bi se osigurala visoka kvaliteta obrazovanja bez obzira na geografski položaj ustanove, kroz vezu ne samo s matičnom školom, već i drugim školama uključenim u projekt, ali i drugim školama u Hrvatskoj i svijetu. U 2014. godini planira se nastavak projekta i proširenje i na druge škole u ruralnim, udaljenim i izoliranim dijelovima Hrvatske.</w:t>
      </w:r>
    </w:p>
    <w:p w:rsidR="00D849AA" w:rsidRDefault="00EE6D95">
      <w:pPr>
        <w:pStyle w:val="Naslov6"/>
      </w:pPr>
      <w:r>
        <w:t>T628072 PROJEKT OTVORENI ISTRAŽIVAČKI PROSTOR (ODS)</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T628072</w:t>
            </w:r>
          </w:p>
        </w:tc>
        <w:tc>
          <w:tcPr>
            <w:tcW w:w="1486" w:type="dxa"/>
          </w:tcPr>
          <w:p w:rsidR="00D849AA" w:rsidRDefault="00EE6D95">
            <w:r>
              <w:t>41.000</w:t>
            </w:r>
          </w:p>
        </w:tc>
        <w:tc>
          <w:tcPr>
            <w:tcW w:w="1486" w:type="dxa"/>
          </w:tcPr>
          <w:p w:rsidR="00D849AA" w:rsidRDefault="00EE6D95">
            <w:r>
              <w:t>184.820</w:t>
            </w:r>
          </w:p>
        </w:tc>
        <w:tc>
          <w:tcPr>
            <w:tcW w:w="1486" w:type="dxa"/>
          </w:tcPr>
          <w:p w:rsidR="00D849AA" w:rsidRDefault="00EE6D95">
            <w:r>
              <w:t>46.990</w:t>
            </w:r>
          </w:p>
        </w:tc>
        <w:tc>
          <w:tcPr>
            <w:tcW w:w="1486" w:type="dxa"/>
          </w:tcPr>
          <w:p w:rsidR="00D849AA" w:rsidRDefault="00EE6D95">
            <w:r>
              <w:t>00</w:t>
            </w:r>
          </w:p>
        </w:tc>
        <w:tc>
          <w:tcPr>
            <w:tcW w:w="1486" w:type="dxa"/>
          </w:tcPr>
          <w:p w:rsidR="00D849AA" w:rsidRDefault="00EE6D95">
            <w:r>
              <w:t>450,8</w:t>
            </w:r>
          </w:p>
        </w:tc>
      </w:tr>
    </w:tbl>
    <w:p w:rsidR="00D849AA" w:rsidRDefault="00D849AA">
      <w:pPr>
        <w:jc w:val="left"/>
      </w:pPr>
    </w:p>
    <w:p w:rsidR="00D849AA" w:rsidRDefault="00EE6D95">
      <w:pPr>
        <w:pStyle w:val="Normal6"/>
      </w:pPr>
      <w:r>
        <w:t>Cilj ovog projekta je izrada europskog e-learning portala kojemu je glavna svrha povezati postojeće obrazovne digitalne resurse i ponuditi ih europskoj obrazovnoj zajednici kroz različite opcije pristupa. U mnogim su europskim zemljama proizvedene velike količine digitalnih sadržaja, tehnologija i standarda za e-learning. Međutim, ti se sadržaji i tehnologije koriste tek djelomično, i stoga ih je potrebno uključiti kao ravnopravni dio obrazovanja. U tu svrhu izradit će se jedinstveno europski portal za e-učenje kako bi se omogućio pristup postojećim e-learning resursima. Portal će služiti kao platforma za kreiranje zajednice nastavnika, učenika, roditelja te nacionalnih tijela zaduženih za razvoj e-učenja i vrednovanje kurikuluma u cijeloj Europi. Projekt se financira kroz Program podrške politikama za primjenu informacijskih i komunikacijskih tehnologija (The Information and Communication Technologies Policy Support Programme  - ICT). Projekt je izuzetno velikog opsega i financija te je stoga podijeljen u četiri podprojekta. CARNet sudjeluje u podprojektu I (Communities) kao partner s ulogom u sljedećim aktivnostima: sudjelovanje u razvoju koncepta portala, razvoju modela obrazovanja nastavnika za korištenje portala, uključivanje CARNetovog portala za škole i CARNetovih sadržaja u europski portal, organizacija radionica za nastavnike i administrativna tijela, poticanje uključivanja digitalnih materijala u školski kurikulum.</w:t>
      </w:r>
    </w:p>
    <w:p w:rsidR="00D849AA" w:rsidRDefault="00EE6D95">
      <w:pPr>
        <w:pStyle w:val="Naslov3"/>
      </w:pPr>
      <w:r>
        <w:lastRenderedPageBreak/>
        <w:t>21869 Leksikografski zavod Miroslav Krleža</w:t>
      </w:r>
    </w:p>
    <w:p w:rsidR="00D849AA" w:rsidRDefault="00EE6D95">
      <w:pPr>
        <w:pStyle w:val="Naslov4"/>
      </w:pPr>
      <w:r>
        <w:t>Uvod</w:t>
      </w:r>
    </w:p>
    <w:p w:rsidR="00D849AA" w:rsidRDefault="00EE6D95">
      <w:pPr>
        <w:pStyle w:val="Normal5"/>
      </w:pPr>
      <w:r>
        <w:t>Leksikografski zavod "Miroslav Krleža" utemeljen je 05. listopada 1950. godine na poticaj književnika i erudita Miroslava Krleže. Hrvatski sabor donio je 29. svibnja 2003. godine. Zakonom o Leksikografskom zavodu reguliran njegov pravni status, djelatnost i ustrojstvo. Zavod je tada definiran kao javna ustanova osnovana od strane Republike Hrvatske i od njenog osobitog interesa. Leksikografski zavod je središnja hrvatska leksikografska ustanova čija izdanja predstavljaju važan doprinos održavanju i podizanju hrvatskog intelektualnog standarda. Osnovna je djelatnost Zavoda leksikografska i enciklopedička, odnosno prikupljanje, obrada i provjera podataka, koji se uz dodatna temeljna istraživanja (radi razvijanja znanstveno-strukovne osnove) koriste kao baza podataka, za izradbu različitih edicija.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21869</w:t>
            </w:r>
          </w:p>
        </w:tc>
        <w:tc>
          <w:tcPr>
            <w:tcW w:w="1486" w:type="dxa"/>
          </w:tcPr>
          <w:p w:rsidR="00D849AA" w:rsidRDefault="00EE6D95">
            <w:r>
              <w:t>24.518.488</w:t>
            </w:r>
          </w:p>
        </w:tc>
        <w:tc>
          <w:tcPr>
            <w:tcW w:w="1486" w:type="dxa"/>
          </w:tcPr>
          <w:p w:rsidR="00D849AA" w:rsidRDefault="00EE6D95">
            <w:r>
              <w:t>25.849.163</w:t>
            </w:r>
          </w:p>
        </w:tc>
        <w:tc>
          <w:tcPr>
            <w:tcW w:w="1486" w:type="dxa"/>
          </w:tcPr>
          <w:p w:rsidR="00D849AA" w:rsidRDefault="00EE6D95">
            <w:r>
              <w:t>26.555.771</w:t>
            </w:r>
          </w:p>
        </w:tc>
        <w:tc>
          <w:tcPr>
            <w:tcW w:w="1486" w:type="dxa"/>
          </w:tcPr>
          <w:p w:rsidR="00D849AA" w:rsidRDefault="00EE6D95">
            <w:r>
              <w:t>27.539.710</w:t>
            </w:r>
          </w:p>
        </w:tc>
        <w:tc>
          <w:tcPr>
            <w:tcW w:w="1486" w:type="dxa"/>
          </w:tcPr>
          <w:p w:rsidR="00D849AA" w:rsidRDefault="00EE6D95">
            <w:r>
              <w:t>105,4</w:t>
            </w:r>
          </w:p>
        </w:tc>
      </w:tr>
    </w:tbl>
    <w:p w:rsidR="00D849AA" w:rsidRDefault="00D849AA">
      <w:pPr>
        <w:jc w:val="left"/>
      </w:pPr>
    </w:p>
    <w:p w:rsidR="00D849AA" w:rsidRDefault="00EE6D95">
      <w:pPr>
        <w:pStyle w:val="Naslov4"/>
      </w:pPr>
      <w:r>
        <w:t>OBRAZLOŽENJE PROGRAMA</w:t>
      </w:r>
    </w:p>
    <w:p w:rsidR="00D849AA" w:rsidRDefault="00EE6D95">
      <w:pPr>
        <w:pStyle w:val="Naslov5"/>
      </w:pPr>
      <w:r>
        <w:t>3801 ULAGANJE U ZNANSTVENO ISTRAŽIVAČKU DJELATNOST</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3801</w:t>
            </w:r>
          </w:p>
        </w:tc>
        <w:tc>
          <w:tcPr>
            <w:tcW w:w="1486" w:type="dxa"/>
          </w:tcPr>
          <w:p w:rsidR="00D849AA" w:rsidRDefault="00EE6D95">
            <w:r>
              <w:t>24.518.488</w:t>
            </w:r>
          </w:p>
        </w:tc>
        <w:tc>
          <w:tcPr>
            <w:tcW w:w="1486" w:type="dxa"/>
          </w:tcPr>
          <w:p w:rsidR="00D849AA" w:rsidRDefault="00EE6D95">
            <w:r>
              <w:t>25.849.163</w:t>
            </w:r>
          </w:p>
        </w:tc>
        <w:tc>
          <w:tcPr>
            <w:tcW w:w="1486" w:type="dxa"/>
          </w:tcPr>
          <w:p w:rsidR="00D849AA" w:rsidRDefault="00EE6D95">
            <w:r>
              <w:t>26.555.771</w:t>
            </w:r>
          </w:p>
        </w:tc>
        <w:tc>
          <w:tcPr>
            <w:tcW w:w="1486" w:type="dxa"/>
          </w:tcPr>
          <w:p w:rsidR="00D849AA" w:rsidRDefault="00EE6D95">
            <w:r>
              <w:t>27.539.710</w:t>
            </w:r>
          </w:p>
        </w:tc>
        <w:tc>
          <w:tcPr>
            <w:tcW w:w="1486" w:type="dxa"/>
          </w:tcPr>
          <w:p w:rsidR="00D849AA" w:rsidRDefault="00EE6D95">
            <w:r>
              <w:t>105,4</w:t>
            </w:r>
          </w:p>
        </w:tc>
      </w:tr>
    </w:tbl>
    <w:p w:rsidR="00D849AA" w:rsidRDefault="00D849AA">
      <w:pPr>
        <w:jc w:val="left"/>
      </w:pPr>
    </w:p>
    <w:p w:rsidR="00D849AA" w:rsidRDefault="00EE6D95">
      <w:pPr>
        <w:pStyle w:val="Naslov6"/>
      </w:pPr>
      <w:r>
        <w:t>Opis programa</w:t>
      </w:r>
    </w:p>
    <w:p w:rsidR="00D849AA" w:rsidRDefault="00EE6D95">
      <w:r>
        <w:t xml:space="preserve">Leksikografski zavod Miroslav Krleža u Zagrebu središnja je nacionalna leksikografska ustanova u čijem je programu i izdanjima sadržana tradicija i težnja razumijevanja hrvatske jezične, kulturne i društvene zajednice u univerzalnome iskustvu i znanju. Zavod je nositelj poslova u djelatnosti leksikografije i enciklopedike od interesa za Republiku Hrvatsku. Poslovi leksikografske i enciklopedičke djelatnosti su prikupljanje i obrada podataka, znanstvenoistraživanje, dokumentiranje i čuvanje podataka, objavljivanje i davanje podataka na korištenje, znanstveno usavršavanje i stručna izobrazba, </w:t>
      </w:r>
    </w:p>
    <w:p w:rsidR="00D849AA" w:rsidRDefault="00EE6D95">
      <w:r>
        <w:t>utvrđivanje i primjena strukovnih standarda.</w:t>
      </w:r>
    </w:p>
    <w:p w:rsidR="00D849AA" w:rsidRDefault="00EE6D95">
      <w:pPr>
        <w:pStyle w:val="Naslov6"/>
      </w:pPr>
      <w:r>
        <w:t>Zakonske i druge pravne osnove</w:t>
      </w:r>
    </w:p>
    <w:p w:rsidR="00D849AA" w:rsidRDefault="00EE6D95">
      <w:r>
        <w:t xml:space="preserve">Zakon o Leksikografskom zavodu "Miroslav Krleža" (NN 96/03 i 190/03); </w:t>
      </w:r>
    </w:p>
    <w:p w:rsidR="00D849AA" w:rsidRDefault="00EE6D95">
      <w:r>
        <w:t xml:space="preserve">Statut Leksikografskog zavoda "Miroslav Krleža";  </w:t>
      </w:r>
    </w:p>
    <w:p w:rsidR="00D849AA" w:rsidRDefault="00EE6D95">
      <w:r>
        <w:t>Suglasnost Vlade na Statut Leksikografskog zavoda "Miroslav Krleža" (NN 189/03).</w:t>
      </w:r>
    </w:p>
    <w:p w:rsidR="00D849AA" w:rsidRDefault="00EE6D95">
      <w:pPr>
        <w:pStyle w:val="Naslov6"/>
      </w:pPr>
      <w:r>
        <w:lastRenderedPageBreak/>
        <w:t>Ciljevi provedbe programa u razdoblju 2014.-2016. i pokazatelji uspješnosti kojima će se mjeriti ostvarenje tih ciljeva</w:t>
      </w:r>
    </w:p>
    <w:p w:rsidR="00D849AA" w:rsidRDefault="00EE6D95">
      <w:pPr>
        <w:pStyle w:val="Naslov5"/>
      </w:pPr>
      <w:r>
        <w:t>Procjena i ishodište potrebnih sredstava za značajnije aktivnosti/projekte</w:t>
      </w:r>
    </w:p>
    <w:p w:rsidR="00D849AA" w:rsidRDefault="00EE6D95">
      <w:pPr>
        <w:pStyle w:val="Naslov6"/>
      </w:pPr>
      <w:r>
        <w:t>A622107 ADMINISTRACIJA I UPRAVLJANJE LEKSIKOGRAFSKOG ZAVODA MIROSLAV KRLEŽA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A622107</w:t>
            </w:r>
          </w:p>
        </w:tc>
        <w:tc>
          <w:tcPr>
            <w:tcW w:w="1486" w:type="dxa"/>
          </w:tcPr>
          <w:p w:rsidR="00D849AA" w:rsidRDefault="00EE6D95">
            <w:r>
              <w:t>24.518.488</w:t>
            </w:r>
          </w:p>
        </w:tc>
        <w:tc>
          <w:tcPr>
            <w:tcW w:w="1486" w:type="dxa"/>
          </w:tcPr>
          <w:p w:rsidR="00D849AA" w:rsidRDefault="00EE6D95">
            <w:r>
              <w:t>25.849.163</w:t>
            </w:r>
          </w:p>
        </w:tc>
        <w:tc>
          <w:tcPr>
            <w:tcW w:w="1486" w:type="dxa"/>
          </w:tcPr>
          <w:p w:rsidR="00D849AA" w:rsidRDefault="00EE6D95">
            <w:r>
              <w:t>26.555.771</w:t>
            </w:r>
          </w:p>
        </w:tc>
        <w:tc>
          <w:tcPr>
            <w:tcW w:w="1486" w:type="dxa"/>
          </w:tcPr>
          <w:p w:rsidR="00D849AA" w:rsidRDefault="00EE6D95">
            <w:r>
              <w:t>27.539.710</w:t>
            </w:r>
          </w:p>
        </w:tc>
        <w:tc>
          <w:tcPr>
            <w:tcW w:w="1486" w:type="dxa"/>
          </w:tcPr>
          <w:p w:rsidR="00D849AA" w:rsidRDefault="00EE6D95">
            <w:r>
              <w:t>105,4</w:t>
            </w:r>
          </w:p>
        </w:tc>
      </w:tr>
    </w:tbl>
    <w:p w:rsidR="00D849AA" w:rsidRDefault="00D849AA">
      <w:pPr>
        <w:jc w:val="left"/>
      </w:pPr>
    </w:p>
    <w:p w:rsidR="00D849AA" w:rsidRDefault="00EE6D95">
      <w:pPr>
        <w:pStyle w:val="Normal6"/>
      </w:pPr>
      <w:r>
        <w:t>Financiranjem rada i djelovanja Leksikografskog zavoda osiguravaju se sredstva za plaće i ostale rashode za 176 zaposlenika (materijalna prava te prijevoz na posao i s posla) sukladno Uredbi o nazivima radnih mjesta u javnim službama, visini osnovice koju je utvrdila Vlada Republike. Također se financiraju i osnovni materijalni troškovi te „hladni pogon“ odvijanja redovitog poslovanja zavoda.</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Pr="001A0148" w:rsidRDefault="00EE6D95">
            <w:pPr>
              <w:rPr>
                <w:rFonts w:ascii="Arial" w:hAnsi="Arial" w:cs="Arial"/>
              </w:rPr>
            </w:pPr>
            <w:r w:rsidRPr="001A0148">
              <w:rPr>
                <w:rFonts w:ascii="Arial" w:hAnsi="Arial" w:cs="Arial"/>
              </w:rPr>
              <w:t>Pokazatelj rezultata</w:t>
            </w:r>
          </w:p>
        </w:tc>
        <w:tc>
          <w:tcPr>
            <w:tcW w:w="1114" w:type="dxa"/>
            <w:shd w:val="clear" w:color="auto" w:fill="B5C0D8"/>
          </w:tcPr>
          <w:p w:rsidR="00D849AA" w:rsidRPr="001A0148" w:rsidRDefault="00EE6D95">
            <w:pPr>
              <w:pStyle w:val="CellHeader"/>
            </w:pPr>
            <w:r w:rsidRPr="001A0148">
              <w:t>Jedinica</w:t>
            </w:r>
          </w:p>
        </w:tc>
        <w:tc>
          <w:tcPr>
            <w:tcW w:w="1114" w:type="dxa"/>
            <w:shd w:val="clear" w:color="auto" w:fill="B5C0D8"/>
          </w:tcPr>
          <w:p w:rsidR="00D849AA" w:rsidRPr="001A0148" w:rsidRDefault="00EE6D95">
            <w:pPr>
              <w:pStyle w:val="CellHeader"/>
            </w:pPr>
            <w:r w:rsidRPr="001A0148">
              <w:t>Polazna vrijednost</w:t>
            </w:r>
          </w:p>
        </w:tc>
        <w:tc>
          <w:tcPr>
            <w:tcW w:w="1486" w:type="dxa"/>
            <w:shd w:val="clear" w:color="auto" w:fill="B5C0D8"/>
          </w:tcPr>
          <w:p w:rsidR="00D849AA" w:rsidRPr="001A0148" w:rsidRDefault="00EE6D95">
            <w:pPr>
              <w:pStyle w:val="CellHeader"/>
            </w:pPr>
            <w:r w:rsidRPr="001A0148">
              <w:t>Ciljana vrijednost (2014.)</w:t>
            </w:r>
          </w:p>
        </w:tc>
        <w:tc>
          <w:tcPr>
            <w:tcW w:w="1486" w:type="dxa"/>
            <w:shd w:val="clear" w:color="auto" w:fill="B5C0D8"/>
          </w:tcPr>
          <w:p w:rsidR="00D849AA" w:rsidRPr="001A0148" w:rsidRDefault="00EE6D95">
            <w:pPr>
              <w:pStyle w:val="CellHeader"/>
            </w:pPr>
            <w:r w:rsidRPr="001A0148">
              <w:t>Ciljana vrijednost (2015.)</w:t>
            </w:r>
          </w:p>
        </w:tc>
        <w:tc>
          <w:tcPr>
            <w:tcW w:w="1486" w:type="dxa"/>
            <w:shd w:val="clear" w:color="auto" w:fill="B5C0D8"/>
          </w:tcPr>
          <w:p w:rsidR="00D849AA" w:rsidRPr="001A0148" w:rsidRDefault="00EE6D95">
            <w:pPr>
              <w:pStyle w:val="CellHeader"/>
            </w:pPr>
            <w:r w:rsidRPr="001A0148">
              <w:t>Ciljana vrijednost (2016.)</w:t>
            </w:r>
          </w:p>
        </w:tc>
      </w:tr>
      <w:tr w:rsidR="00D849AA">
        <w:trPr>
          <w:jc w:val="center"/>
        </w:trPr>
        <w:tc>
          <w:tcPr>
            <w:tcW w:w="2229" w:type="dxa"/>
          </w:tcPr>
          <w:p w:rsidR="00D849AA" w:rsidRPr="001A0148" w:rsidRDefault="00EE6D95">
            <w:pPr>
              <w:pStyle w:val="CellColumn"/>
            </w:pPr>
            <w:r w:rsidRPr="001A0148">
              <w:t>Povećanje udjela znanstvenih publikacija koje su objavljene u 10 posto najcitiranijih znanstvenih publikacija u svijetu</w:t>
            </w:r>
          </w:p>
        </w:tc>
        <w:tc>
          <w:tcPr>
            <w:tcW w:w="1114" w:type="dxa"/>
          </w:tcPr>
          <w:p w:rsidR="00D849AA" w:rsidRPr="001A0148" w:rsidRDefault="00EE6D95">
            <w:pPr>
              <w:rPr>
                <w:rFonts w:ascii="Arial" w:hAnsi="Arial" w:cs="Arial"/>
              </w:rPr>
            </w:pPr>
            <w:r w:rsidRPr="001A0148">
              <w:rPr>
                <w:rFonts w:ascii="Arial" w:hAnsi="Arial" w:cs="Arial"/>
              </w:rPr>
              <w:t>Postotak (godišnje)</w:t>
            </w:r>
          </w:p>
        </w:tc>
        <w:tc>
          <w:tcPr>
            <w:tcW w:w="1114" w:type="dxa"/>
          </w:tcPr>
          <w:p w:rsidR="00D849AA" w:rsidRPr="001A0148" w:rsidRDefault="00EE6D95">
            <w:pPr>
              <w:rPr>
                <w:rFonts w:ascii="Arial" w:hAnsi="Arial" w:cs="Arial"/>
              </w:rPr>
            </w:pPr>
            <w:r w:rsidRPr="001A0148">
              <w:rPr>
                <w:rFonts w:ascii="Arial" w:hAnsi="Arial" w:cs="Arial"/>
              </w:rPr>
              <w:t>3,07 (2010.)</w:t>
            </w:r>
          </w:p>
        </w:tc>
        <w:tc>
          <w:tcPr>
            <w:tcW w:w="1486" w:type="dxa"/>
          </w:tcPr>
          <w:p w:rsidR="00D849AA" w:rsidRPr="001A0148" w:rsidRDefault="00EE6D95">
            <w:pPr>
              <w:rPr>
                <w:rFonts w:ascii="Arial" w:hAnsi="Arial" w:cs="Arial"/>
              </w:rPr>
            </w:pPr>
            <w:r w:rsidRPr="001A0148">
              <w:rPr>
                <w:rFonts w:ascii="Arial" w:hAnsi="Arial" w:cs="Arial"/>
              </w:rPr>
              <w:t>4</w:t>
            </w:r>
          </w:p>
        </w:tc>
        <w:tc>
          <w:tcPr>
            <w:tcW w:w="1486" w:type="dxa"/>
          </w:tcPr>
          <w:p w:rsidR="00D849AA" w:rsidRPr="001A0148" w:rsidRDefault="00EE6D95">
            <w:pPr>
              <w:rPr>
                <w:rFonts w:ascii="Arial" w:hAnsi="Arial" w:cs="Arial"/>
              </w:rPr>
            </w:pPr>
            <w:r w:rsidRPr="001A0148">
              <w:rPr>
                <w:rFonts w:ascii="Arial" w:hAnsi="Arial" w:cs="Arial"/>
              </w:rPr>
              <w:t>4,5</w:t>
            </w:r>
          </w:p>
        </w:tc>
        <w:tc>
          <w:tcPr>
            <w:tcW w:w="1486" w:type="dxa"/>
          </w:tcPr>
          <w:p w:rsidR="00D849AA" w:rsidRPr="001A0148" w:rsidRDefault="00EE6D95">
            <w:pPr>
              <w:rPr>
                <w:rFonts w:ascii="Arial" w:hAnsi="Arial" w:cs="Arial"/>
              </w:rPr>
            </w:pPr>
            <w:r w:rsidRPr="001A0148">
              <w:rPr>
                <w:rFonts w:ascii="Arial" w:hAnsi="Arial" w:cs="Arial"/>
              </w:rPr>
              <w:t>5</w:t>
            </w:r>
          </w:p>
        </w:tc>
      </w:tr>
    </w:tbl>
    <w:p w:rsidR="00D849AA" w:rsidRDefault="00D849AA">
      <w:pPr>
        <w:jc w:val="left"/>
      </w:pPr>
    </w:p>
    <w:p w:rsidR="001A0148" w:rsidRDefault="001A0148">
      <w:pPr>
        <w:jc w:val="left"/>
      </w:pPr>
    </w:p>
    <w:p w:rsidR="001A0148" w:rsidRDefault="001A0148">
      <w:pPr>
        <w:jc w:val="left"/>
      </w:pPr>
    </w:p>
    <w:p w:rsidR="001A0148" w:rsidRDefault="001A0148">
      <w:pPr>
        <w:jc w:val="left"/>
      </w:pPr>
    </w:p>
    <w:p w:rsidR="001A0148" w:rsidRDefault="001A0148">
      <w:pPr>
        <w:jc w:val="left"/>
      </w:pPr>
    </w:p>
    <w:p w:rsidR="001A0148" w:rsidRDefault="001A0148">
      <w:pPr>
        <w:jc w:val="left"/>
      </w:pPr>
    </w:p>
    <w:p w:rsidR="001A0148" w:rsidRDefault="001A0148">
      <w:pPr>
        <w:jc w:val="left"/>
      </w:pPr>
    </w:p>
    <w:p w:rsidR="001A0148" w:rsidRDefault="001A0148">
      <w:pPr>
        <w:jc w:val="left"/>
      </w:pPr>
    </w:p>
    <w:p w:rsidR="001A0148" w:rsidRDefault="001A0148">
      <w:pPr>
        <w:jc w:val="left"/>
      </w:pPr>
    </w:p>
    <w:p w:rsidR="001A0148" w:rsidRDefault="001A0148">
      <w:pPr>
        <w:jc w:val="left"/>
      </w:pPr>
    </w:p>
    <w:p w:rsidR="001A0148" w:rsidRDefault="001A0148">
      <w:pPr>
        <w:jc w:val="left"/>
      </w:pPr>
    </w:p>
    <w:p w:rsidR="00D849AA" w:rsidRDefault="00EE6D95">
      <w:pPr>
        <w:pStyle w:val="Naslov3"/>
      </w:pPr>
      <w:r>
        <w:lastRenderedPageBreak/>
        <w:t>23665 Sveučilišni računski centar SRCE</w:t>
      </w:r>
    </w:p>
    <w:p w:rsidR="00D849AA" w:rsidRDefault="00EE6D95">
      <w:pPr>
        <w:pStyle w:val="Naslov4"/>
      </w:pPr>
      <w:r>
        <w:t>Uvod</w:t>
      </w:r>
    </w:p>
    <w:p w:rsidR="00D849AA" w:rsidRDefault="00EE6D95">
      <w:pPr>
        <w:pStyle w:val="Normal5"/>
      </w:pPr>
      <w:r>
        <w:t>Srce je infrastrukturna javna ustanova osnovana s ciljem planiranja, projektiranja, izgradnje, održavanja i potpore uporabi infrastruktura i sustava utemeljenih na informacijskim i komunikacijskim tehnologijama, kako na nacionalnoj (državnoj) razini, tako i na razini Sveučilišta u Zagrebu.</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23665</w:t>
            </w:r>
          </w:p>
        </w:tc>
        <w:tc>
          <w:tcPr>
            <w:tcW w:w="1486" w:type="dxa"/>
          </w:tcPr>
          <w:p w:rsidR="00D849AA" w:rsidRDefault="00EE6D95">
            <w:r>
              <w:t>25.991.100</w:t>
            </w:r>
          </w:p>
        </w:tc>
        <w:tc>
          <w:tcPr>
            <w:tcW w:w="1486" w:type="dxa"/>
          </w:tcPr>
          <w:p w:rsidR="00D849AA" w:rsidRDefault="00EE6D95">
            <w:r>
              <w:t>29.184.543</w:t>
            </w:r>
          </w:p>
        </w:tc>
        <w:tc>
          <w:tcPr>
            <w:tcW w:w="1486" w:type="dxa"/>
          </w:tcPr>
          <w:p w:rsidR="00D849AA" w:rsidRDefault="00EE6D95">
            <w:r>
              <w:t>26.585.702</w:t>
            </w:r>
          </w:p>
        </w:tc>
        <w:tc>
          <w:tcPr>
            <w:tcW w:w="1486" w:type="dxa"/>
          </w:tcPr>
          <w:p w:rsidR="00D849AA" w:rsidRDefault="00EE6D95">
            <w:r>
              <w:t>27.225.851</w:t>
            </w:r>
          </w:p>
        </w:tc>
        <w:tc>
          <w:tcPr>
            <w:tcW w:w="1486" w:type="dxa"/>
          </w:tcPr>
          <w:p w:rsidR="00D849AA" w:rsidRDefault="00EE6D95">
            <w:r>
              <w:t>112,3</w:t>
            </w:r>
          </w:p>
        </w:tc>
      </w:tr>
    </w:tbl>
    <w:p w:rsidR="00D849AA" w:rsidRDefault="00D849AA">
      <w:pPr>
        <w:jc w:val="left"/>
      </w:pPr>
    </w:p>
    <w:p w:rsidR="00D849AA" w:rsidRDefault="00EE6D95">
      <w:pPr>
        <w:pStyle w:val="Naslov4"/>
      </w:pPr>
      <w:r>
        <w:t>OBRAZLOŽENJE PROGRAMA</w:t>
      </w:r>
    </w:p>
    <w:p w:rsidR="00D849AA" w:rsidRDefault="00EE6D95">
      <w:pPr>
        <w:pStyle w:val="Naslov5"/>
      </w:pPr>
      <w:r>
        <w:t>3803 RAZVOJ INFORMACIJSKOG DRUŠTVA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3803</w:t>
            </w:r>
          </w:p>
        </w:tc>
        <w:tc>
          <w:tcPr>
            <w:tcW w:w="1486" w:type="dxa"/>
          </w:tcPr>
          <w:p w:rsidR="00D849AA" w:rsidRDefault="00EE6D95">
            <w:r>
              <w:t>25.991.100</w:t>
            </w:r>
          </w:p>
        </w:tc>
        <w:tc>
          <w:tcPr>
            <w:tcW w:w="1486" w:type="dxa"/>
          </w:tcPr>
          <w:p w:rsidR="00D849AA" w:rsidRDefault="00EE6D95">
            <w:r>
              <w:t>29.184.543</w:t>
            </w:r>
          </w:p>
        </w:tc>
        <w:tc>
          <w:tcPr>
            <w:tcW w:w="1486" w:type="dxa"/>
          </w:tcPr>
          <w:p w:rsidR="00D849AA" w:rsidRDefault="00EE6D95">
            <w:r>
              <w:t>26.585.702</w:t>
            </w:r>
          </w:p>
        </w:tc>
        <w:tc>
          <w:tcPr>
            <w:tcW w:w="1486" w:type="dxa"/>
          </w:tcPr>
          <w:p w:rsidR="00D849AA" w:rsidRDefault="00EE6D95">
            <w:r>
              <w:t>27.225.851</w:t>
            </w:r>
          </w:p>
        </w:tc>
        <w:tc>
          <w:tcPr>
            <w:tcW w:w="1486" w:type="dxa"/>
          </w:tcPr>
          <w:p w:rsidR="00D849AA" w:rsidRDefault="00EE6D95">
            <w:r>
              <w:t>112,3</w:t>
            </w:r>
          </w:p>
        </w:tc>
      </w:tr>
    </w:tbl>
    <w:p w:rsidR="00D849AA" w:rsidRDefault="00D849AA">
      <w:pPr>
        <w:jc w:val="left"/>
      </w:pPr>
    </w:p>
    <w:p w:rsidR="00D849AA" w:rsidRDefault="00EE6D95">
      <w:pPr>
        <w:pStyle w:val="Naslov6"/>
      </w:pPr>
      <w:r>
        <w:t>Zakonske i druge pravne osnove</w:t>
      </w:r>
    </w:p>
    <w:p w:rsidR="00D849AA" w:rsidRDefault="00EE6D95">
      <w:r>
        <w:t xml:space="preserve">Nacionalni program informacijske sigurnosti u Republici Hrvatskoj;  </w:t>
      </w:r>
    </w:p>
    <w:p w:rsidR="00D849AA" w:rsidRDefault="00EE6D95">
      <w:r>
        <w:t xml:space="preserve">Zakon o informacijskoj sigurnosti;  </w:t>
      </w:r>
    </w:p>
    <w:p w:rsidR="00D849AA" w:rsidRDefault="00EE6D95">
      <w:r>
        <w:t>Zakon o elektroničkim komunikacijama</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Cilj 1. Unaprijediti i osigurati pouzdan i stabilan rad temeljnih sastavnica e-infrastrukture sustava znanosti i obrazovanja RH, te ih povezati s europskim e-infrastrukturama, osigurati akademskoj zajednici pristup najnovijoj tehnologiji i uslugama</w:t>
      </w:r>
    </w:p>
    <w:p w:rsidR="00D849AA" w:rsidRDefault="00EE6D95">
      <w:pPr>
        <w:pStyle w:val="Normal6"/>
      </w:pPr>
      <w:r>
        <w:t xml:space="preserve">Za uspješno svakodnevno funkcioniranje sustava obrazovanja i znanosti, za odvijanje obrazovnog procesa, kao i za izvođenje istraživačkih programa i projekata, te za povezivanje hrvatskoga s europskim obrazovnim i istraživačkim prostorom, nužno je pouzdano, stabilno i kvalitetno funkcioniranje temeljnih sastavnica e-infrastrukture, kao što su računalno-komunikacijska mreža,  računalna sredstva opće namjene kao i računalna sredstva visoke učinkovitosti i/ili računalna sredstva za zahtjevna računanja, podatkovna infrastruktura za prihvat, pristup i čuvanje kolekcija podataka itd. Srce svojim aktivnostima tradicionalno osigurava i treba i tijekom 2014. - 2016. osigurati kontinuitet pouzdanog i stabilnog funkcioniranja, ali i razvoj i tehnološki i korisnički opravdanu nadogradnju nekih od navedenih sastavnica, među kojima su konkretno: </w:t>
      </w:r>
    </w:p>
    <w:p w:rsidR="00D849AA" w:rsidRDefault="00EE6D95">
      <w:pPr>
        <w:pStyle w:val="Normal6"/>
      </w:pPr>
      <w:r>
        <w:lastRenderedPageBreak/>
        <w:t xml:space="preserve">StuDOM - mrežna infrastruktura studentskih domova u Republici Hrvatskoj, važna za sve studente smještene u svim studentskim domovima u Republici Hrvatskoj; hrvatsko sjedište (čvor) pan-europske mreže GEANT, važno za povezanost hrvatske akademske i istraživačke mreže s europskom i globalnom mrežom; Croatian Internet Exchange (CIX), hrvatsko nacionalno sjedište za razmjenu internetskog prometa, važno za funkcioniranje Interneta u RH; </w:t>
      </w:r>
    </w:p>
    <w:p w:rsidR="00D849AA" w:rsidRDefault="00EE6D95">
      <w:pPr>
        <w:pStyle w:val="Normal6"/>
      </w:pPr>
      <w:r>
        <w:t xml:space="preserve">CRO NGI - Hrvatska nacionalna grid infrastruktura CRO NGI, distribuirana računalna i podatkovna okolina za obrazovne i istraživačke svrhe, dostupna svim sudionicima obrazovanja i istraživanja u Republici Hrvatskoj; hrvatski segment paneuropske grid infrastrukture EGI; </w:t>
      </w:r>
    </w:p>
    <w:p w:rsidR="00D849AA" w:rsidRDefault="00EE6D95">
      <w:pPr>
        <w:pStyle w:val="Normal6"/>
      </w:pPr>
      <w:r>
        <w:t>računalni klaster Isabella, najsnažniji zajednički računalni resurs za sva numerički zahtjevna računanja za potrebe istraživačkih projekata u Republici Hrvatskoj; podatkovna infrastruktura za dugoročno ili kratkoročno pohranjivanje velikih kolekcija podataka, vezanih uz obrazovni i istraživački sustav u Republici Hrvatskoj.</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362"/>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Ostvarivanje 100% prisutnosti mrežne infrastrukture u svim studentskim domovima u RH</w:t>
            </w:r>
          </w:p>
        </w:tc>
        <w:tc>
          <w:tcPr>
            <w:tcW w:w="1114" w:type="dxa"/>
          </w:tcPr>
          <w:p w:rsidR="00D849AA" w:rsidRDefault="00EE6D95">
            <w:r>
              <w:t>% (smještajnih jedinica u stud. domovima povezan na Internet)</w:t>
            </w:r>
          </w:p>
        </w:tc>
        <w:tc>
          <w:tcPr>
            <w:tcW w:w="1114" w:type="dxa"/>
          </w:tcPr>
          <w:p w:rsidR="00D849AA" w:rsidRDefault="00EE6D95">
            <w:r>
              <w:t>97%</w:t>
            </w:r>
          </w:p>
        </w:tc>
        <w:tc>
          <w:tcPr>
            <w:tcW w:w="1486" w:type="dxa"/>
          </w:tcPr>
          <w:p w:rsidR="00D849AA" w:rsidRDefault="00EE6D95">
            <w:r>
              <w:t>99%</w:t>
            </w:r>
          </w:p>
        </w:tc>
        <w:tc>
          <w:tcPr>
            <w:tcW w:w="1486" w:type="dxa"/>
          </w:tcPr>
          <w:p w:rsidR="00D849AA" w:rsidRDefault="00EE6D95">
            <w:r>
              <w:t>100%</w:t>
            </w:r>
          </w:p>
        </w:tc>
        <w:tc>
          <w:tcPr>
            <w:tcW w:w="1486" w:type="dxa"/>
          </w:tcPr>
          <w:p w:rsidR="00D849AA" w:rsidRDefault="00EE6D95">
            <w:r>
              <w:t>100%</w:t>
            </w:r>
          </w:p>
        </w:tc>
      </w:tr>
      <w:tr w:rsidR="00D849AA">
        <w:trPr>
          <w:jc w:val="center"/>
        </w:trPr>
        <w:tc>
          <w:tcPr>
            <w:tcW w:w="2229" w:type="dxa"/>
          </w:tcPr>
          <w:p w:rsidR="00D849AA" w:rsidRDefault="00EE6D95">
            <w:pPr>
              <w:pStyle w:val="CellColumn"/>
            </w:pPr>
            <w:r>
              <w:t>Povećanje broja korisnika grid infrastrukture i klastera Isabella</w:t>
            </w:r>
          </w:p>
        </w:tc>
        <w:tc>
          <w:tcPr>
            <w:tcW w:w="1114" w:type="dxa"/>
          </w:tcPr>
          <w:p w:rsidR="00D849AA" w:rsidRDefault="00EE6D95">
            <w:r>
              <w:t>broj institucija korisnika CRO NGI+Isabella/ broj korisnika pojedinaca CRO NGI + Isabella</w:t>
            </w:r>
          </w:p>
        </w:tc>
        <w:tc>
          <w:tcPr>
            <w:tcW w:w="1114" w:type="dxa"/>
          </w:tcPr>
          <w:p w:rsidR="00D849AA" w:rsidRDefault="00EE6D95">
            <w:r>
              <w:t>80 / 270</w:t>
            </w:r>
          </w:p>
        </w:tc>
        <w:tc>
          <w:tcPr>
            <w:tcW w:w="1486" w:type="dxa"/>
          </w:tcPr>
          <w:p w:rsidR="00D849AA" w:rsidRDefault="00EE6D95">
            <w:r>
              <w:t>85 / 300</w:t>
            </w:r>
          </w:p>
        </w:tc>
        <w:tc>
          <w:tcPr>
            <w:tcW w:w="1486" w:type="dxa"/>
          </w:tcPr>
          <w:p w:rsidR="00D849AA" w:rsidRDefault="00EE6D95">
            <w:r>
              <w:t>88 / 330</w:t>
            </w:r>
          </w:p>
        </w:tc>
        <w:tc>
          <w:tcPr>
            <w:tcW w:w="1486" w:type="dxa"/>
          </w:tcPr>
          <w:p w:rsidR="00D849AA" w:rsidRDefault="00EE6D95">
            <w:r>
              <w:t>90 / 350</w:t>
            </w:r>
          </w:p>
        </w:tc>
      </w:tr>
      <w:tr w:rsidR="00D849AA">
        <w:trPr>
          <w:jc w:val="center"/>
        </w:trPr>
        <w:tc>
          <w:tcPr>
            <w:tcW w:w="2229" w:type="dxa"/>
          </w:tcPr>
          <w:p w:rsidR="00D849AA" w:rsidRDefault="00EE6D95">
            <w:pPr>
              <w:pStyle w:val="CellColumn"/>
            </w:pPr>
            <w:r>
              <w:t>Povećanje broja davatelja Internet usluga koji razmjenjuju promet putem CIX-a</w:t>
            </w:r>
          </w:p>
        </w:tc>
        <w:tc>
          <w:tcPr>
            <w:tcW w:w="1114" w:type="dxa"/>
          </w:tcPr>
          <w:p w:rsidR="00D849AA" w:rsidRDefault="00EE6D95">
            <w:r>
              <w:t>broj članica CIX-a</w:t>
            </w:r>
          </w:p>
        </w:tc>
        <w:tc>
          <w:tcPr>
            <w:tcW w:w="1114" w:type="dxa"/>
          </w:tcPr>
          <w:p w:rsidR="00D849AA" w:rsidRDefault="00EE6D95">
            <w:r>
              <w:t>28</w:t>
            </w:r>
          </w:p>
        </w:tc>
        <w:tc>
          <w:tcPr>
            <w:tcW w:w="1486" w:type="dxa"/>
          </w:tcPr>
          <w:p w:rsidR="00D849AA" w:rsidRDefault="00EE6D95">
            <w:r>
              <w:t>30</w:t>
            </w:r>
          </w:p>
        </w:tc>
        <w:tc>
          <w:tcPr>
            <w:tcW w:w="1486" w:type="dxa"/>
          </w:tcPr>
          <w:p w:rsidR="00D849AA" w:rsidRDefault="00EE6D95">
            <w:r>
              <w:t>32</w:t>
            </w:r>
          </w:p>
        </w:tc>
        <w:tc>
          <w:tcPr>
            <w:tcW w:w="1486" w:type="dxa"/>
          </w:tcPr>
          <w:p w:rsidR="00D849AA" w:rsidRDefault="00EE6D95">
            <w:r>
              <w:t>34</w:t>
            </w:r>
          </w:p>
        </w:tc>
      </w:tr>
    </w:tbl>
    <w:p w:rsidR="00D849AA" w:rsidRDefault="00D849AA">
      <w:pPr>
        <w:jc w:val="left"/>
      </w:pPr>
    </w:p>
    <w:p w:rsidR="00D849AA" w:rsidRDefault="00EE6D95">
      <w:pPr>
        <w:pStyle w:val="Naslov7"/>
      </w:pPr>
      <w:r>
        <w:t>Cilj 2. Osigurati pouzdan i stabilan rad sastavnica posredničkog sloja e-infrastrukture sustava znanosti i obrazovanja Republici Hrvatskoj, te ih povezati s odgovarajućim europskim sustavima</w:t>
      </w:r>
    </w:p>
    <w:p w:rsidR="00D849AA" w:rsidRDefault="00EE6D95">
      <w:pPr>
        <w:pStyle w:val="Normal6"/>
      </w:pPr>
      <w:r>
        <w:t xml:space="preserve">Za uspješno funkcioniranje i uporabu modernih sustava i usluga utemeljenih na informacijskim i komunikacijskim tehnologijama od posebne su važnosti sustavi posredničkog sloja, koji s jedne strane korisnicama olakšavaju pristup i uporabu usluga, a s druge strane osiguravaju sigurnost, nadzor i praćenje razine uporabe tih usluga. Cjelovita autentikacijska i autorizacijska infrastruktura sustava znanosti i obrazovanja u RH - AAI@EduHr, koju je Srce izgradilo i uspješno održava osigurava da više od 680.000 </w:t>
      </w:r>
      <w:r>
        <w:lastRenderedPageBreak/>
        <w:t xml:space="preserve">osoba u sustavu znanosti i obrazovanja, vezanih uz više od 220 ustanova (ne računajući pojedinačne osnovne i srednje škole) ima i uspješno koristi svoje elektroničke identitete za pristup više od 100 različitih usluga i servisa, kao što su informacijski sustavi MZOS (Matica, Državna matura, NISPVU), mrežne usluge CARNeta, različiti sustavi za e-učenje, bibliografski ili knjižnični sustavi (npr. Hrvatska nacionalna bibliografija, HRČAK - portal hrvatskih znanstvenih časopisa i sl.). </w:t>
      </w:r>
    </w:p>
    <w:p w:rsidR="00D849AA" w:rsidRDefault="00EE6D95">
      <w:pPr>
        <w:pStyle w:val="Normal6"/>
      </w:pPr>
      <w:r>
        <w:t>Hrvatski AAI sustav potrebno je povezati s odgovarajućim europskim sustavima (edugain), te nastaviti aktivnosti vezane uz uporabu i širenje paneuropskog roaming sustava bežičnog pristupa Internetu eduroam, kojim se omogućava pristup Internetu i mrežnim uslugama svim članovima obrazovne i istraživačke zajednice bez obzira na njihovu konkretnu lokaciju na bilo kojoj od lokacija ustanova iz sustava obrazovanja i znanosti u RH, ali i izvan RH.</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383"/>
        <w:gridCol w:w="1216"/>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Ostvareni broj zahtjeva za autentikacijom (RADIUS poslužitelji)</w:t>
            </w:r>
          </w:p>
        </w:tc>
        <w:tc>
          <w:tcPr>
            <w:tcW w:w="1114" w:type="dxa"/>
          </w:tcPr>
          <w:p w:rsidR="00D849AA" w:rsidRDefault="00EE6D95">
            <w:r>
              <w:t>Uspješno obrađeni autentikacijski zahtjevi</w:t>
            </w:r>
          </w:p>
        </w:tc>
        <w:tc>
          <w:tcPr>
            <w:tcW w:w="1114" w:type="dxa"/>
          </w:tcPr>
          <w:p w:rsidR="00D849AA" w:rsidRDefault="00EE6D95">
            <w:r>
              <w:t>130.000.000</w:t>
            </w:r>
          </w:p>
        </w:tc>
        <w:tc>
          <w:tcPr>
            <w:tcW w:w="1486" w:type="dxa"/>
          </w:tcPr>
          <w:p w:rsidR="00D849AA" w:rsidRDefault="00EE6D95">
            <w:r>
              <w:t>140.000.000</w:t>
            </w:r>
          </w:p>
        </w:tc>
        <w:tc>
          <w:tcPr>
            <w:tcW w:w="1486" w:type="dxa"/>
          </w:tcPr>
          <w:p w:rsidR="00D849AA" w:rsidRDefault="00EE6D95">
            <w:r>
              <w:t>150.000.000</w:t>
            </w:r>
          </w:p>
        </w:tc>
        <w:tc>
          <w:tcPr>
            <w:tcW w:w="1486" w:type="dxa"/>
          </w:tcPr>
          <w:p w:rsidR="00D849AA" w:rsidRDefault="00EE6D95">
            <w:r>
              <w:t>155.000.000</w:t>
            </w:r>
          </w:p>
        </w:tc>
      </w:tr>
      <w:tr w:rsidR="00D849AA">
        <w:trPr>
          <w:jc w:val="center"/>
        </w:trPr>
        <w:tc>
          <w:tcPr>
            <w:tcW w:w="2229" w:type="dxa"/>
          </w:tcPr>
          <w:p w:rsidR="00D849AA" w:rsidRDefault="00EE6D95">
            <w:pPr>
              <w:pStyle w:val="CellColumn"/>
            </w:pPr>
            <w:r>
              <w:t>Ostvareni broj zahtjeva za autentikacijom (FWS poslužitelji)</w:t>
            </w:r>
          </w:p>
        </w:tc>
        <w:tc>
          <w:tcPr>
            <w:tcW w:w="1114" w:type="dxa"/>
          </w:tcPr>
          <w:p w:rsidR="00D849AA" w:rsidRDefault="00EE6D95">
            <w:r>
              <w:t>Uspješno obrađeni autentikacijski zahtjevi</w:t>
            </w:r>
          </w:p>
        </w:tc>
        <w:tc>
          <w:tcPr>
            <w:tcW w:w="1114" w:type="dxa"/>
          </w:tcPr>
          <w:p w:rsidR="00D849AA" w:rsidRDefault="00EE6D95">
            <w:r>
              <w:t>14.000.000</w:t>
            </w:r>
          </w:p>
        </w:tc>
        <w:tc>
          <w:tcPr>
            <w:tcW w:w="1486" w:type="dxa"/>
          </w:tcPr>
          <w:p w:rsidR="00D849AA" w:rsidRDefault="00EE6D95">
            <w:r>
              <w:t>16.000.000</w:t>
            </w:r>
          </w:p>
        </w:tc>
        <w:tc>
          <w:tcPr>
            <w:tcW w:w="1486" w:type="dxa"/>
          </w:tcPr>
          <w:p w:rsidR="00D849AA" w:rsidRDefault="00EE6D95">
            <w:r>
              <w:t>20.000.000</w:t>
            </w:r>
          </w:p>
        </w:tc>
        <w:tc>
          <w:tcPr>
            <w:tcW w:w="1486" w:type="dxa"/>
          </w:tcPr>
          <w:p w:rsidR="00D849AA" w:rsidRDefault="00EE6D95">
            <w:r>
              <w:t>24.000.000</w:t>
            </w:r>
          </w:p>
        </w:tc>
      </w:tr>
      <w:tr w:rsidR="00D849AA">
        <w:trPr>
          <w:jc w:val="center"/>
        </w:trPr>
        <w:tc>
          <w:tcPr>
            <w:tcW w:w="2229" w:type="dxa"/>
          </w:tcPr>
          <w:p w:rsidR="00D849AA" w:rsidRDefault="00EE6D95">
            <w:pPr>
              <w:pStyle w:val="CellColumn"/>
            </w:pPr>
            <w:r>
              <w:t>Povećanje broja resursa dostupnih uporabom AAI@EduHr identiteta</w:t>
            </w:r>
          </w:p>
        </w:tc>
        <w:tc>
          <w:tcPr>
            <w:tcW w:w="1114" w:type="dxa"/>
          </w:tcPr>
          <w:p w:rsidR="00D849AA" w:rsidRDefault="00EE6D95">
            <w:r>
              <w:t>broj usluga</w:t>
            </w:r>
          </w:p>
        </w:tc>
        <w:tc>
          <w:tcPr>
            <w:tcW w:w="1114" w:type="dxa"/>
          </w:tcPr>
          <w:p w:rsidR="00D849AA" w:rsidRDefault="00EE6D95">
            <w:r>
              <w:t>230</w:t>
            </w:r>
          </w:p>
        </w:tc>
        <w:tc>
          <w:tcPr>
            <w:tcW w:w="1486" w:type="dxa"/>
          </w:tcPr>
          <w:p w:rsidR="00D849AA" w:rsidRDefault="00EE6D95">
            <w:r>
              <w:t>250</w:t>
            </w:r>
          </w:p>
        </w:tc>
        <w:tc>
          <w:tcPr>
            <w:tcW w:w="1486" w:type="dxa"/>
          </w:tcPr>
          <w:p w:rsidR="00D849AA" w:rsidRDefault="00EE6D95">
            <w:r>
              <w:t>270</w:t>
            </w:r>
          </w:p>
        </w:tc>
        <w:tc>
          <w:tcPr>
            <w:tcW w:w="1486" w:type="dxa"/>
          </w:tcPr>
          <w:p w:rsidR="00D849AA" w:rsidRDefault="00EE6D95">
            <w:r>
              <w:t>290</w:t>
            </w:r>
          </w:p>
        </w:tc>
      </w:tr>
    </w:tbl>
    <w:p w:rsidR="00D849AA" w:rsidRDefault="00D849AA">
      <w:pPr>
        <w:jc w:val="left"/>
      </w:pPr>
    </w:p>
    <w:p w:rsidR="00D849AA" w:rsidRDefault="00EE6D95">
      <w:pPr>
        <w:pStyle w:val="Naslov7"/>
      </w:pPr>
      <w:r>
        <w:t>Cilj 3. Osigurati pouzdan rad i unapređenje informacijskih sustava i internetskih aplikacija vezanih uz funkcioniranje sustava visokog obrazovanja u Republici Hrvatskoj</w:t>
      </w:r>
    </w:p>
    <w:p w:rsidR="00D849AA" w:rsidRDefault="00EE6D95">
      <w:pPr>
        <w:pStyle w:val="Normal6"/>
      </w:pPr>
      <w:r>
        <w:t xml:space="preserve">Učinkovit i kvalitetan obrazovni proces danas nije moguć bez adekvatne potpore informacijskih sustava i internetskih aplikacija, koje omogućavaju i/ili olakšavaju izvođenje tih procesa u administrativnom/poslovnom smislu, ali i u smislu neposredne primjene unutar samog obrazovnog procesa, te trebaju osigurati podatke za donošenje odluka na svim razinama sustava. </w:t>
      </w:r>
    </w:p>
    <w:p w:rsidR="00D849AA" w:rsidRDefault="00EE6D95">
      <w:pPr>
        <w:pStyle w:val="Normal6"/>
      </w:pPr>
      <w:r>
        <w:t xml:space="preserve">Srce svojim aktivnostima tradicionalno osigurava i treba i tijekom 2014. - 2016. osigurati kontinuitet pouzdanog i stabilnog funkcioniranja, ali i razvoj i tehnološki i korisnički opravdane nadogradnje nekih od temeljnih informacijskih sustava u sustavu visokog obrazovanja u RH, konkretno: Informacijskog sustava visokih učilišta (ISVU), kojeg koristi 103 visoka učilišta i koristi se vođenje podataka i poslovanje za gotovo 150.000  aktivnih studenata; Informacijski sustav studentske prehrane (ISSP), koji se koristi za upravljanje uporabom prava studenata (prvenstveno prava na subvencioniranu prehranu) i za upravljanje sustavom studentskih iskaznica (X-ca), a koristi se na svim visokim učilištima u RH (za više od 160.000 aktivnih studenata); sustav za udaljeno učenje (e-učenje) Merlin (za visoko obrazovanje) i prateći sustavi za druge skupine korisnika (škole, projekti od interesa za zajednicu), kao i prateće usluge (sustav e-portfolia, sustav webinara </w:t>
      </w:r>
      <w:r>
        <w:lastRenderedPageBreak/>
        <w:t>i sl.); trenutno se koristi za više od 1100 sveučilišnih kolegija godišnje s ukupno više od 25.000 aktivnih korisnika; sustav za udomljavanje osnovnih internetskih usluga DOMUS za ustanove, udruge, projekte i pojedince iz sustava obrazovanja i znanosti.</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351"/>
        <w:gridCol w:w="1114"/>
        <w:gridCol w:w="1486"/>
        <w:gridCol w:w="1486"/>
        <w:gridCol w:w="1486"/>
      </w:tblGrid>
      <w:tr w:rsidR="00D849AA">
        <w:trPr>
          <w:jc w:val="center"/>
        </w:trPr>
        <w:tc>
          <w:tcPr>
            <w:tcW w:w="2229" w:type="dxa"/>
            <w:shd w:val="clear" w:color="auto" w:fill="B5C0D8"/>
          </w:tcPr>
          <w:p w:rsidR="00D849AA" w:rsidRPr="001A0148" w:rsidRDefault="00EE6D95">
            <w:pPr>
              <w:rPr>
                <w:rFonts w:ascii="Arial" w:hAnsi="Arial" w:cs="Arial"/>
              </w:rPr>
            </w:pPr>
            <w:r w:rsidRPr="001A0148">
              <w:rPr>
                <w:rFonts w:ascii="Arial" w:hAnsi="Arial" w:cs="Arial"/>
              </w:rPr>
              <w:t>Pokazatelj učinka</w:t>
            </w:r>
          </w:p>
        </w:tc>
        <w:tc>
          <w:tcPr>
            <w:tcW w:w="1114" w:type="dxa"/>
            <w:shd w:val="clear" w:color="auto" w:fill="B5C0D8"/>
          </w:tcPr>
          <w:p w:rsidR="00D849AA" w:rsidRPr="001A0148" w:rsidRDefault="00EE6D95">
            <w:pPr>
              <w:pStyle w:val="CellHeader"/>
            </w:pPr>
            <w:r w:rsidRPr="001A0148">
              <w:t>Jedinica</w:t>
            </w:r>
          </w:p>
        </w:tc>
        <w:tc>
          <w:tcPr>
            <w:tcW w:w="1114" w:type="dxa"/>
            <w:shd w:val="clear" w:color="auto" w:fill="B5C0D8"/>
          </w:tcPr>
          <w:p w:rsidR="00D849AA" w:rsidRPr="001A0148" w:rsidRDefault="00EE6D95">
            <w:pPr>
              <w:pStyle w:val="CellHeader"/>
            </w:pPr>
            <w:r w:rsidRPr="001A0148">
              <w:t>Polazna vrijednost</w:t>
            </w:r>
          </w:p>
        </w:tc>
        <w:tc>
          <w:tcPr>
            <w:tcW w:w="1486" w:type="dxa"/>
            <w:shd w:val="clear" w:color="auto" w:fill="B5C0D8"/>
          </w:tcPr>
          <w:p w:rsidR="00D849AA" w:rsidRPr="001A0148" w:rsidRDefault="00EE6D95">
            <w:pPr>
              <w:pStyle w:val="CellHeader"/>
            </w:pPr>
            <w:r w:rsidRPr="001A0148">
              <w:t>Ciljana vrijednost (2014.)</w:t>
            </w:r>
          </w:p>
        </w:tc>
        <w:tc>
          <w:tcPr>
            <w:tcW w:w="1486" w:type="dxa"/>
            <w:shd w:val="clear" w:color="auto" w:fill="B5C0D8"/>
          </w:tcPr>
          <w:p w:rsidR="00D849AA" w:rsidRPr="001A0148" w:rsidRDefault="00EE6D95">
            <w:pPr>
              <w:pStyle w:val="CellHeader"/>
            </w:pPr>
            <w:r w:rsidRPr="001A0148">
              <w:t>Ciljana vrijednost (2015.)</w:t>
            </w:r>
          </w:p>
        </w:tc>
        <w:tc>
          <w:tcPr>
            <w:tcW w:w="1486" w:type="dxa"/>
            <w:shd w:val="clear" w:color="auto" w:fill="B5C0D8"/>
          </w:tcPr>
          <w:p w:rsidR="00D849AA" w:rsidRPr="001A0148" w:rsidRDefault="00EE6D95">
            <w:pPr>
              <w:pStyle w:val="CellHeader"/>
            </w:pPr>
            <w:r w:rsidRPr="001A0148">
              <w:t>Ciljana vrijednost (2016.)</w:t>
            </w:r>
          </w:p>
        </w:tc>
      </w:tr>
      <w:tr w:rsidR="00D849AA">
        <w:trPr>
          <w:jc w:val="center"/>
        </w:trPr>
        <w:tc>
          <w:tcPr>
            <w:tcW w:w="2229" w:type="dxa"/>
          </w:tcPr>
          <w:p w:rsidR="00D849AA" w:rsidRPr="001A0148" w:rsidRDefault="00EE6D95">
            <w:pPr>
              <w:pStyle w:val="CellColumn"/>
            </w:pPr>
            <w:r w:rsidRPr="001A0148">
              <w:t>Povećanje obuhvata studenata u sustavu ISVU</w:t>
            </w:r>
          </w:p>
        </w:tc>
        <w:tc>
          <w:tcPr>
            <w:tcW w:w="1114" w:type="dxa"/>
          </w:tcPr>
          <w:p w:rsidR="00D849AA" w:rsidRPr="001A0148" w:rsidRDefault="00EE6D95">
            <w:pPr>
              <w:rPr>
                <w:rFonts w:ascii="Arial" w:hAnsi="Arial" w:cs="Arial"/>
              </w:rPr>
            </w:pPr>
            <w:r w:rsidRPr="001A0148">
              <w:rPr>
                <w:rFonts w:ascii="Arial" w:hAnsi="Arial" w:cs="Arial"/>
              </w:rPr>
              <w:t>% studenata u RH obuhvaćenih s ISVU</w:t>
            </w:r>
          </w:p>
        </w:tc>
        <w:tc>
          <w:tcPr>
            <w:tcW w:w="1114" w:type="dxa"/>
          </w:tcPr>
          <w:p w:rsidR="00D849AA" w:rsidRPr="001A0148" w:rsidRDefault="00EE6D95">
            <w:pPr>
              <w:rPr>
                <w:rFonts w:ascii="Arial" w:hAnsi="Arial" w:cs="Arial"/>
              </w:rPr>
            </w:pPr>
            <w:r w:rsidRPr="001A0148">
              <w:rPr>
                <w:rFonts w:ascii="Arial" w:hAnsi="Arial" w:cs="Arial"/>
              </w:rPr>
              <w:t>80%</w:t>
            </w:r>
          </w:p>
        </w:tc>
        <w:tc>
          <w:tcPr>
            <w:tcW w:w="1486" w:type="dxa"/>
          </w:tcPr>
          <w:p w:rsidR="00D849AA" w:rsidRPr="001A0148" w:rsidRDefault="00EE6D95">
            <w:pPr>
              <w:rPr>
                <w:rFonts w:ascii="Arial" w:hAnsi="Arial" w:cs="Arial"/>
              </w:rPr>
            </w:pPr>
            <w:r w:rsidRPr="001A0148">
              <w:rPr>
                <w:rFonts w:ascii="Arial" w:hAnsi="Arial" w:cs="Arial"/>
              </w:rPr>
              <w:t>85%</w:t>
            </w:r>
          </w:p>
        </w:tc>
        <w:tc>
          <w:tcPr>
            <w:tcW w:w="1486" w:type="dxa"/>
          </w:tcPr>
          <w:p w:rsidR="00D849AA" w:rsidRPr="001A0148" w:rsidRDefault="00EE6D95">
            <w:pPr>
              <w:rPr>
                <w:rFonts w:ascii="Arial" w:hAnsi="Arial" w:cs="Arial"/>
              </w:rPr>
            </w:pPr>
            <w:r w:rsidRPr="001A0148">
              <w:rPr>
                <w:rFonts w:ascii="Arial" w:hAnsi="Arial" w:cs="Arial"/>
              </w:rPr>
              <w:t>90%</w:t>
            </w:r>
          </w:p>
        </w:tc>
        <w:tc>
          <w:tcPr>
            <w:tcW w:w="1486" w:type="dxa"/>
          </w:tcPr>
          <w:p w:rsidR="00D849AA" w:rsidRPr="001A0148" w:rsidRDefault="00EE6D95">
            <w:pPr>
              <w:rPr>
                <w:rFonts w:ascii="Arial" w:hAnsi="Arial" w:cs="Arial"/>
              </w:rPr>
            </w:pPr>
            <w:r w:rsidRPr="001A0148">
              <w:rPr>
                <w:rFonts w:ascii="Arial" w:hAnsi="Arial" w:cs="Arial"/>
              </w:rPr>
              <w:t>92%</w:t>
            </w:r>
          </w:p>
        </w:tc>
      </w:tr>
      <w:tr w:rsidR="00D849AA">
        <w:trPr>
          <w:jc w:val="center"/>
        </w:trPr>
        <w:tc>
          <w:tcPr>
            <w:tcW w:w="2229" w:type="dxa"/>
          </w:tcPr>
          <w:p w:rsidR="00D849AA" w:rsidRPr="001A0148" w:rsidRDefault="00EE6D95">
            <w:pPr>
              <w:pStyle w:val="CellColumn"/>
            </w:pPr>
            <w:r w:rsidRPr="001A0148">
              <w:t>Povećanje obuhvata studenata kojima je omogućeno izdavanje X-ce</w:t>
            </w:r>
          </w:p>
        </w:tc>
        <w:tc>
          <w:tcPr>
            <w:tcW w:w="1114" w:type="dxa"/>
          </w:tcPr>
          <w:p w:rsidR="00D849AA" w:rsidRPr="001A0148" w:rsidRDefault="00EE6D95">
            <w:pPr>
              <w:rPr>
                <w:rFonts w:ascii="Arial" w:hAnsi="Arial" w:cs="Arial"/>
              </w:rPr>
            </w:pPr>
            <w:r w:rsidRPr="001A0148">
              <w:rPr>
                <w:rFonts w:ascii="Arial" w:hAnsi="Arial" w:cs="Arial"/>
              </w:rPr>
              <w:t>% studenata u RH obuhvaćenih s  ISSP</w:t>
            </w:r>
          </w:p>
        </w:tc>
        <w:tc>
          <w:tcPr>
            <w:tcW w:w="1114" w:type="dxa"/>
          </w:tcPr>
          <w:p w:rsidR="00D849AA" w:rsidRPr="001A0148" w:rsidRDefault="00EE6D95">
            <w:pPr>
              <w:rPr>
                <w:rFonts w:ascii="Arial" w:hAnsi="Arial" w:cs="Arial"/>
              </w:rPr>
            </w:pPr>
            <w:r w:rsidRPr="001A0148">
              <w:rPr>
                <w:rFonts w:ascii="Arial" w:hAnsi="Arial" w:cs="Arial"/>
              </w:rPr>
              <w:t>98%</w:t>
            </w:r>
          </w:p>
        </w:tc>
        <w:tc>
          <w:tcPr>
            <w:tcW w:w="1486" w:type="dxa"/>
          </w:tcPr>
          <w:p w:rsidR="00D849AA" w:rsidRPr="001A0148" w:rsidRDefault="00EE6D95">
            <w:pPr>
              <w:rPr>
                <w:rFonts w:ascii="Arial" w:hAnsi="Arial" w:cs="Arial"/>
              </w:rPr>
            </w:pPr>
            <w:r w:rsidRPr="001A0148">
              <w:rPr>
                <w:rFonts w:ascii="Arial" w:hAnsi="Arial" w:cs="Arial"/>
              </w:rPr>
              <w:t>99%</w:t>
            </w:r>
          </w:p>
        </w:tc>
        <w:tc>
          <w:tcPr>
            <w:tcW w:w="1486" w:type="dxa"/>
          </w:tcPr>
          <w:p w:rsidR="00D849AA" w:rsidRPr="001A0148" w:rsidRDefault="00EE6D95">
            <w:pPr>
              <w:rPr>
                <w:rFonts w:ascii="Arial" w:hAnsi="Arial" w:cs="Arial"/>
              </w:rPr>
            </w:pPr>
            <w:r w:rsidRPr="001A0148">
              <w:rPr>
                <w:rFonts w:ascii="Arial" w:hAnsi="Arial" w:cs="Arial"/>
              </w:rPr>
              <w:t>100%</w:t>
            </w:r>
          </w:p>
        </w:tc>
        <w:tc>
          <w:tcPr>
            <w:tcW w:w="1486" w:type="dxa"/>
          </w:tcPr>
          <w:p w:rsidR="00D849AA" w:rsidRPr="001A0148" w:rsidRDefault="00EE6D95">
            <w:pPr>
              <w:rPr>
                <w:rFonts w:ascii="Arial" w:hAnsi="Arial" w:cs="Arial"/>
              </w:rPr>
            </w:pPr>
            <w:r w:rsidRPr="001A0148">
              <w:rPr>
                <w:rFonts w:ascii="Arial" w:hAnsi="Arial" w:cs="Arial"/>
              </w:rPr>
              <w:t>100%</w:t>
            </w:r>
          </w:p>
        </w:tc>
      </w:tr>
      <w:tr w:rsidR="00D849AA">
        <w:trPr>
          <w:jc w:val="center"/>
        </w:trPr>
        <w:tc>
          <w:tcPr>
            <w:tcW w:w="2229" w:type="dxa"/>
          </w:tcPr>
          <w:p w:rsidR="00D849AA" w:rsidRPr="001A0148" w:rsidRDefault="00EE6D95">
            <w:pPr>
              <w:pStyle w:val="CellColumn"/>
            </w:pPr>
            <w:r w:rsidRPr="001A0148">
              <w:t>Povećanje broja korisnika sustava za e-učenje Merlin</w:t>
            </w:r>
          </w:p>
        </w:tc>
        <w:tc>
          <w:tcPr>
            <w:tcW w:w="1114" w:type="dxa"/>
          </w:tcPr>
          <w:p w:rsidR="00D849AA" w:rsidRPr="001A0148" w:rsidRDefault="00EE6D95">
            <w:pPr>
              <w:rPr>
                <w:rFonts w:ascii="Arial" w:hAnsi="Arial" w:cs="Arial"/>
              </w:rPr>
            </w:pPr>
            <w:r w:rsidRPr="001A0148">
              <w:rPr>
                <w:rFonts w:ascii="Arial" w:hAnsi="Arial" w:cs="Arial"/>
              </w:rPr>
              <w:t>broj korisnika</w:t>
            </w:r>
          </w:p>
        </w:tc>
        <w:tc>
          <w:tcPr>
            <w:tcW w:w="1114" w:type="dxa"/>
          </w:tcPr>
          <w:p w:rsidR="00D849AA" w:rsidRPr="001A0148" w:rsidRDefault="00EE6D95">
            <w:pPr>
              <w:rPr>
                <w:rFonts w:ascii="Arial" w:hAnsi="Arial" w:cs="Arial"/>
              </w:rPr>
            </w:pPr>
            <w:r w:rsidRPr="001A0148">
              <w:rPr>
                <w:rFonts w:ascii="Arial" w:hAnsi="Arial" w:cs="Arial"/>
              </w:rPr>
              <w:t>25000</w:t>
            </w:r>
          </w:p>
        </w:tc>
        <w:tc>
          <w:tcPr>
            <w:tcW w:w="1486" w:type="dxa"/>
          </w:tcPr>
          <w:p w:rsidR="00D849AA" w:rsidRPr="001A0148" w:rsidRDefault="00EE6D95">
            <w:pPr>
              <w:rPr>
                <w:rFonts w:ascii="Arial" w:hAnsi="Arial" w:cs="Arial"/>
              </w:rPr>
            </w:pPr>
            <w:r w:rsidRPr="001A0148">
              <w:rPr>
                <w:rFonts w:ascii="Arial" w:hAnsi="Arial" w:cs="Arial"/>
              </w:rPr>
              <w:t>35000</w:t>
            </w:r>
          </w:p>
        </w:tc>
        <w:tc>
          <w:tcPr>
            <w:tcW w:w="1486" w:type="dxa"/>
          </w:tcPr>
          <w:p w:rsidR="00D849AA" w:rsidRPr="001A0148" w:rsidRDefault="00EE6D95">
            <w:pPr>
              <w:rPr>
                <w:rFonts w:ascii="Arial" w:hAnsi="Arial" w:cs="Arial"/>
              </w:rPr>
            </w:pPr>
            <w:r w:rsidRPr="001A0148">
              <w:rPr>
                <w:rFonts w:ascii="Arial" w:hAnsi="Arial" w:cs="Arial"/>
              </w:rPr>
              <w:t>40000</w:t>
            </w:r>
          </w:p>
        </w:tc>
        <w:tc>
          <w:tcPr>
            <w:tcW w:w="1486" w:type="dxa"/>
          </w:tcPr>
          <w:p w:rsidR="00D849AA" w:rsidRPr="001A0148" w:rsidRDefault="00EE6D95">
            <w:pPr>
              <w:rPr>
                <w:rFonts w:ascii="Arial" w:hAnsi="Arial" w:cs="Arial"/>
              </w:rPr>
            </w:pPr>
            <w:r w:rsidRPr="001A0148">
              <w:rPr>
                <w:rFonts w:ascii="Arial" w:hAnsi="Arial" w:cs="Arial"/>
              </w:rPr>
              <w:t>45000</w:t>
            </w:r>
          </w:p>
        </w:tc>
      </w:tr>
    </w:tbl>
    <w:p w:rsidR="00D849AA" w:rsidRDefault="00D849AA">
      <w:pPr>
        <w:jc w:val="left"/>
      </w:pPr>
    </w:p>
    <w:p w:rsidR="00D849AA" w:rsidRDefault="00EE6D95">
      <w:pPr>
        <w:pStyle w:val="Naslov7"/>
      </w:pPr>
      <w:r>
        <w:t>Cilj 4. Unaprijediti i olakšati uporabu informacijske i komunikacijske tehnologije u obrazovanju i znanosti, te proširiti krug korisnika e-infrastrukture sustava znanosti i visokog obrazovanja</w:t>
      </w:r>
    </w:p>
    <w:p w:rsidR="00D849AA" w:rsidRDefault="00EE6D95">
      <w:pPr>
        <w:pStyle w:val="Normal6"/>
      </w:pPr>
      <w:r>
        <w:t xml:space="preserve">E-infrastruktura, njezina tehnička sredstva, alati i usluge nemaju smisla ako se ne osigura podrška korisnicima i njihovo osposobljavanje za njezinu uporabu, kako bi mogli navedena sredstva, alate i usluge koristiti u obrazovanju i istraživanjima učinkovito i jednostavno. </w:t>
      </w:r>
    </w:p>
    <w:p w:rsidR="00D849AA" w:rsidRDefault="00EE6D95">
      <w:pPr>
        <w:pStyle w:val="Normal6"/>
      </w:pPr>
      <w:r>
        <w:t>Srce kroz više od 80 obrazovnih programa (osnovnih i naprednih tečajeva, tečajeva za IT profesionalce, programa za certificiranje, koje godišnje pohađa oko 1500 polaznika), rad općeg i specijaliziranih helpdeskova, rad referalnih i ekspertnih centara, davanje savjetodavnih usluga vezanih uz izgradnju e-infrastrukture i uporabu novih tehnologija, sudjelovanje u razvojnim projektima osigurava potrebnu podršku i osposobljavanje korisnika za uporabu e-infrastrukture i usluga utemeljenih na informacijskoj i komunikacijskoj tehnologiji.</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Povećati broj nastavnih sati održanih obrazovnih programa Srca</w:t>
            </w:r>
          </w:p>
        </w:tc>
        <w:tc>
          <w:tcPr>
            <w:tcW w:w="1114" w:type="dxa"/>
          </w:tcPr>
          <w:p w:rsidR="00D849AA" w:rsidRDefault="00EE6D95">
            <w:r>
              <w:t>broj sati godišnje</w:t>
            </w:r>
          </w:p>
        </w:tc>
        <w:tc>
          <w:tcPr>
            <w:tcW w:w="1114" w:type="dxa"/>
          </w:tcPr>
          <w:p w:rsidR="00D849AA" w:rsidRDefault="00EE6D95">
            <w:r>
              <w:t>2500</w:t>
            </w:r>
          </w:p>
        </w:tc>
        <w:tc>
          <w:tcPr>
            <w:tcW w:w="1486" w:type="dxa"/>
          </w:tcPr>
          <w:p w:rsidR="00D849AA" w:rsidRDefault="00EE6D95">
            <w:r>
              <w:t>3000</w:t>
            </w:r>
          </w:p>
        </w:tc>
        <w:tc>
          <w:tcPr>
            <w:tcW w:w="1486" w:type="dxa"/>
          </w:tcPr>
          <w:p w:rsidR="00D849AA" w:rsidRDefault="00EE6D95">
            <w:r>
              <w:t>3200</w:t>
            </w:r>
          </w:p>
        </w:tc>
        <w:tc>
          <w:tcPr>
            <w:tcW w:w="1486" w:type="dxa"/>
          </w:tcPr>
          <w:p w:rsidR="00D849AA" w:rsidRDefault="00EE6D95">
            <w:r>
              <w:t>3400</w:t>
            </w:r>
          </w:p>
        </w:tc>
      </w:tr>
      <w:tr w:rsidR="00D849AA">
        <w:trPr>
          <w:jc w:val="center"/>
        </w:trPr>
        <w:tc>
          <w:tcPr>
            <w:tcW w:w="2229" w:type="dxa"/>
          </w:tcPr>
          <w:p w:rsidR="00D849AA" w:rsidRDefault="00EE6D95">
            <w:pPr>
              <w:pStyle w:val="CellColumn"/>
            </w:pPr>
            <w:r>
              <w:t>Povećati broj polaznika obrazovnih programa Srca</w:t>
            </w:r>
          </w:p>
        </w:tc>
        <w:tc>
          <w:tcPr>
            <w:tcW w:w="1114" w:type="dxa"/>
          </w:tcPr>
          <w:p w:rsidR="00D849AA" w:rsidRDefault="00EE6D95">
            <w:r>
              <w:t>broj polaznika  godišnje</w:t>
            </w:r>
          </w:p>
        </w:tc>
        <w:tc>
          <w:tcPr>
            <w:tcW w:w="1114" w:type="dxa"/>
          </w:tcPr>
          <w:p w:rsidR="00D849AA" w:rsidRDefault="00EE6D95">
            <w:r>
              <w:t>1500</w:t>
            </w:r>
          </w:p>
        </w:tc>
        <w:tc>
          <w:tcPr>
            <w:tcW w:w="1486" w:type="dxa"/>
          </w:tcPr>
          <w:p w:rsidR="00D849AA" w:rsidRDefault="00EE6D95">
            <w:r>
              <w:t>1700</w:t>
            </w:r>
          </w:p>
        </w:tc>
        <w:tc>
          <w:tcPr>
            <w:tcW w:w="1486" w:type="dxa"/>
          </w:tcPr>
          <w:p w:rsidR="00D849AA" w:rsidRDefault="00EE6D95">
            <w:r>
              <w:t>2000</w:t>
            </w:r>
          </w:p>
        </w:tc>
        <w:tc>
          <w:tcPr>
            <w:tcW w:w="1486" w:type="dxa"/>
          </w:tcPr>
          <w:p w:rsidR="00D849AA" w:rsidRDefault="00EE6D95">
            <w:r>
              <w:t>2200</w:t>
            </w:r>
          </w:p>
        </w:tc>
      </w:tr>
    </w:tbl>
    <w:p w:rsidR="00D849AA" w:rsidRDefault="00EE6D95">
      <w:pPr>
        <w:pStyle w:val="Naslov5"/>
      </w:pPr>
      <w:r>
        <w:lastRenderedPageBreak/>
        <w:t>Procjena i ishodište potrebnih sredstava za značajnije aktivnosti/projekte</w:t>
      </w:r>
    </w:p>
    <w:p w:rsidR="00D849AA" w:rsidRDefault="00EE6D95">
      <w:pPr>
        <w:pStyle w:val="Naslov3"/>
      </w:pPr>
      <w:r>
        <w:t>23962 Agencija za odgoj i obrazovanje</w:t>
      </w:r>
    </w:p>
    <w:p w:rsidR="00D849AA" w:rsidRDefault="00EE6D95">
      <w:pPr>
        <w:pStyle w:val="Naslov4"/>
      </w:pPr>
      <w:r>
        <w:t>Uvod</w:t>
      </w:r>
    </w:p>
    <w:p w:rsidR="00D849AA" w:rsidRDefault="00EE6D95">
      <w:pPr>
        <w:pStyle w:val="Normal5"/>
      </w:pPr>
      <w:r>
        <w:t>Zakonom o Agenciji za odgoj i obrazovanje (NN 85/06) koji je stupio na snagu 4. kolovoza 2006. godine osnovana je Agencija za odgoj i obrazovanje, neprofitna javna ustanova s temeljnom zadaćom obavljanja stručnih i savjetodavnih poslova u odgoju i obrazovanju. Zaposlenici Agencije za odgoj i obrazovanje, svjesni svoje društvene odgovornosti, važnosti i uloge obrazovanja u hrvatskome društvu, uložit će maksimalne profesionalne napore da redovito i pravovremeno osiguraju podršku svim zainteresiranim dionicima odgojno-obrazovnog sustava u Republici Hrvatskoj.</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23962</w:t>
            </w:r>
          </w:p>
        </w:tc>
        <w:tc>
          <w:tcPr>
            <w:tcW w:w="1486" w:type="dxa"/>
          </w:tcPr>
          <w:p w:rsidR="00D849AA" w:rsidRDefault="00EE6D95">
            <w:r>
              <w:t>35.193.187</w:t>
            </w:r>
          </w:p>
        </w:tc>
        <w:tc>
          <w:tcPr>
            <w:tcW w:w="1486" w:type="dxa"/>
          </w:tcPr>
          <w:p w:rsidR="00D849AA" w:rsidRDefault="00EE6D95">
            <w:r>
              <w:t>36.115.494</w:t>
            </w:r>
          </w:p>
        </w:tc>
        <w:tc>
          <w:tcPr>
            <w:tcW w:w="1486" w:type="dxa"/>
          </w:tcPr>
          <w:p w:rsidR="00D849AA" w:rsidRDefault="00EE6D95">
            <w:r>
              <w:t>34.893.285</w:t>
            </w:r>
          </w:p>
        </w:tc>
        <w:tc>
          <w:tcPr>
            <w:tcW w:w="1486" w:type="dxa"/>
          </w:tcPr>
          <w:p w:rsidR="00D849AA" w:rsidRDefault="00EE6D95">
            <w:r>
              <w:t>35.411.401</w:t>
            </w:r>
          </w:p>
        </w:tc>
        <w:tc>
          <w:tcPr>
            <w:tcW w:w="1486" w:type="dxa"/>
          </w:tcPr>
          <w:p w:rsidR="00D849AA" w:rsidRDefault="00EE6D95">
            <w:r>
              <w:t>102,6</w:t>
            </w:r>
          </w:p>
        </w:tc>
      </w:tr>
    </w:tbl>
    <w:p w:rsidR="00D849AA" w:rsidRDefault="00D849AA">
      <w:pPr>
        <w:jc w:val="left"/>
      </w:pPr>
    </w:p>
    <w:p w:rsidR="00D849AA" w:rsidRDefault="00EE6D95">
      <w:pPr>
        <w:pStyle w:val="Naslov4"/>
      </w:pPr>
      <w:r>
        <w:t>OBRAZLOŽENJE PROGRAMA</w:t>
      </w:r>
    </w:p>
    <w:p w:rsidR="00D849AA" w:rsidRDefault="00EE6D95">
      <w:pPr>
        <w:pStyle w:val="Naslov5"/>
      </w:pPr>
      <w:r>
        <w:t>3701 RAZVOJ ODGOJNO OBRAZOVNOG SUSTAVA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3701</w:t>
            </w:r>
          </w:p>
        </w:tc>
        <w:tc>
          <w:tcPr>
            <w:tcW w:w="1486" w:type="dxa"/>
          </w:tcPr>
          <w:p w:rsidR="00D849AA" w:rsidRDefault="00EE6D95">
            <w:r>
              <w:t>35.193.187</w:t>
            </w:r>
          </w:p>
        </w:tc>
        <w:tc>
          <w:tcPr>
            <w:tcW w:w="1486" w:type="dxa"/>
          </w:tcPr>
          <w:p w:rsidR="00D849AA" w:rsidRDefault="00EE6D95">
            <w:r>
              <w:t>36.115.494</w:t>
            </w:r>
          </w:p>
        </w:tc>
        <w:tc>
          <w:tcPr>
            <w:tcW w:w="1486" w:type="dxa"/>
          </w:tcPr>
          <w:p w:rsidR="00D849AA" w:rsidRDefault="00EE6D95">
            <w:r>
              <w:t>34.893.285</w:t>
            </w:r>
          </w:p>
        </w:tc>
        <w:tc>
          <w:tcPr>
            <w:tcW w:w="1486" w:type="dxa"/>
          </w:tcPr>
          <w:p w:rsidR="00D849AA" w:rsidRDefault="00EE6D95">
            <w:r>
              <w:t>35.411.401</w:t>
            </w:r>
          </w:p>
        </w:tc>
        <w:tc>
          <w:tcPr>
            <w:tcW w:w="1486" w:type="dxa"/>
          </w:tcPr>
          <w:p w:rsidR="00D849AA" w:rsidRDefault="00EE6D95">
            <w:r>
              <w:t>102,6</w:t>
            </w:r>
          </w:p>
        </w:tc>
      </w:tr>
    </w:tbl>
    <w:p w:rsidR="00D849AA" w:rsidRDefault="00D849AA">
      <w:pPr>
        <w:jc w:val="left"/>
      </w:pPr>
    </w:p>
    <w:p w:rsidR="00D849AA" w:rsidRDefault="00EE6D95">
      <w:pPr>
        <w:pStyle w:val="Naslov6"/>
      </w:pPr>
      <w:r>
        <w:t>Opis programa</w:t>
      </w:r>
    </w:p>
    <w:p w:rsidR="00D849AA" w:rsidRDefault="00EE6D95">
      <w:r>
        <w:t>Agencija za odgoj i obrazovanje pruža usluge profesionalne podrške i profesionalnog razvoja odgojno-obrazovnim radnicima u cilju stvaranja društva znanja temeljenog na kompetentnim i inovativnim odgojno-obrazovnim radnicima.</w:t>
      </w:r>
    </w:p>
    <w:p w:rsidR="00D849AA" w:rsidRDefault="00EE6D95">
      <w:pPr>
        <w:pStyle w:val="Naslov6"/>
      </w:pPr>
      <w:r>
        <w:t>Zakonske i druge pravne osnove</w:t>
      </w:r>
    </w:p>
    <w:p w:rsidR="00D849AA" w:rsidRDefault="00EE6D95">
      <w:r>
        <w:t xml:space="preserve">Strateški plan Ministarstva znanosti, obrazovanja i sporta za razdoblje 2014.-2016. </w:t>
      </w:r>
    </w:p>
    <w:p w:rsidR="00D849AA" w:rsidRDefault="00EE6D95">
      <w:r>
        <w:t xml:space="preserve">Zakon o predškolskom odgoju i obrazovanju (NN 10/97, 107/07 i 94/13) </w:t>
      </w:r>
    </w:p>
    <w:p w:rsidR="00D849AA" w:rsidRDefault="00EE6D95">
      <w:r>
        <w:t xml:space="preserve">Zakon o odgoju i obrazovanju u osnovnoj i srednjoj školi (NN 87/08, 86/09, 92/10, 105/10-ispr., 90/11, 5/12-Uredba, 16/12, 86/12, 126/12-pročišćeni tekst i 94/13) </w:t>
      </w:r>
    </w:p>
    <w:p w:rsidR="00D849AA" w:rsidRDefault="00EE6D95">
      <w:r>
        <w:t>Zakon o Agenciji za odgoj i obrazovanje (NN 85/06)</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Cilj 1. Razvoj kompetencija odgojno-obrazovnih radnika</w:t>
      </w:r>
    </w:p>
    <w:p w:rsidR="00D849AA" w:rsidRDefault="00EE6D95">
      <w:pPr>
        <w:pStyle w:val="Normal6"/>
      </w:pPr>
      <w:r>
        <w:t xml:space="preserve">Programska projekcija Agencije za odgoj i obrazovanje temelji se na dokumentima i strategiji Vlade RH u cilju stvaranja i održavanja društva znanja. Aktivnosti Agencije </w:t>
      </w:r>
      <w:r>
        <w:lastRenderedPageBreak/>
        <w:t>usmjeriti će se prvenstveno na profesionalni razvoj odgojno-obrazovnih radnika kako bi se unaprijedila kvaliteta obrazovanja u funkciji kulture življenja, gospodarstva i društva temeljenoga na znanju i demokratskim načelima te osiguralo pravo na obrazovanje za sve, a sukladno postojećim odredbama Zakona o predškolskom odgoju i obrazovanju i Zakona o odgoju i obrazovanju u osnovnoj i srednjoj školi. Agencija će posebnu pozornost posvećivati stručnom usavršavanju i stručno-pedagoškoj potpori odgojiteljima, učiteljima, nastavnicima i stručnim suradnicima predškolskih ustanova, osnovnih i srednjih škola te učeničkih domova u cilju uspješnog ostvarivanja programa stažiranja i polaganja stručnog ispita radi utvrđivanja profesionalne, prvenstveno metodičko-didaktičke i pedagoško-psihološke osposobljenosti pripravnika za samostalan odgojno-obrazovni rad. Pri organizaciji navedenog oblika stručnog usavršavanja Agencija će polaziti od odredbi Zakona o predškolskom odgoju i obrazovanju te Pravilnika o načinu i uvjetima polaganja stručnog ispita odgojitelja i stručnih suradnika u dječjem vrtiću, kao i Zakona o odgoju i obrazovanju u osnovnoj i srednjoj školi te Pravilnika o polaganju stručnog ispita učitelja i stručnih suradnika u osnovnom školstvu i nastavnika u srednjem školstvu.</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poticanje sudjelovanja u stručnom usavršavanju u organizaciji savjetnika Agencije za odgoj i obrazovanje</w:t>
            </w:r>
          </w:p>
        </w:tc>
        <w:tc>
          <w:tcPr>
            <w:tcW w:w="1114" w:type="dxa"/>
          </w:tcPr>
          <w:p w:rsidR="00D849AA" w:rsidRDefault="00EE6D95">
            <w:r>
              <w:t>broj</w:t>
            </w:r>
          </w:p>
        </w:tc>
        <w:tc>
          <w:tcPr>
            <w:tcW w:w="1114" w:type="dxa"/>
          </w:tcPr>
          <w:p w:rsidR="00D849AA" w:rsidRDefault="00EE6D95">
            <w:r>
              <w:t>19545</w:t>
            </w:r>
          </w:p>
        </w:tc>
        <w:tc>
          <w:tcPr>
            <w:tcW w:w="1486" w:type="dxa"/>
          </w:tcPr>
          <w:p w:rsidR="00D849AA" w:rsidRDefault="00EE6D95">
            <w:r>
              <w:t>19800</w:t>
            </w:r>
          </w:p>
        </w:tc>
        <w:tc>
          <w:tcPr>
            <w:tcW w:w="1486" w:type="dxa"/>
          </w:tcPr>
          <w:p w:rsidR="00D849AA" w:rsidRDefault="00EE6D95">
            <w:r>
              <w:t>20000</w:t>
            </w:r>
          </w:p>
        </w:tc>
        <w:tc>
          <w:tcPr>
            <w:tcW w:w="1486" w:type="dxa"/>
          </w:tcPr>
          <w:p w:rsidR="00D849AA" w:rsidRDefault="00EE6D95">
            <w:r>
              <w:t>20200</w:t>
            </w:r>
          </w:p>
        </w:tc>
      </w:tr>
      <w:tr w:rsidR="00D849AA">
        <w:trPr>
          <w:jc w:val="center"/>
        </w:trPr>
        <w:tc>
          <w:tcPr>
            <w:tcW w:w="2229" w:type="dxa"/>
          </w:tcPr>
          <w:p w:rsidR="00D849AA" w:rsidRDefault="00EE6D95">
            <w:pPr>
              <w:pStyle w:val="CellColumn"/>
            </w:pPr>
            <w:r>
              <w:t>poticanje sudjelovanja u stručnom usavršavanju u organizaciji županijskih stručnih vijeća</w:t>
            </w:r>
          </w:p>
        </w:tc>
        <w:tc>
          <w:tcPr>
            <w:tcW w:w="1114" w:type="dxa"/>
          </w:tcPr>
          <w:p w:rsidR="00D849AA" w:rsidRDefault="00EE6D95">
            <w:r>
              <w:t>broj</w:t>
            </w:r>
          </w:p>
        </w:tc>
        <w:tc>
          <w:tcPr>
            <w:tcW w:w="1114" w:type="dxa"/>
          </w:tcPr>
          <w:p w:rsidR="00D849AA" w:rsidRDefault="00EE6D95">
            <w:r>
              <w:t>32631</w:t>
            </w:r>
          </w:p>
        </w:tc>
        <w:tc>
          <w:tcPr>
            <w:tcW w:w="1486" w:type="dxa"/>
          </w:tcPr>
          <w:p w:rsidR="00D849AA" w:rsidRDefault="00EE6D95">
            <w:r>
              <w:t>33000</w:t>
            </w:r>
          </w:p>
        </w:tc>
        <w:tc>
          <w:tcPr>
            <w:tcW w:w="1486" w:type="dxa"/>
          </w:tcPr>
          <w:p w:rsidR="00D849AA" w:rsidRDefault="00EE6D95">
            <w:r>
              <w:t>33500</w:t>
            </w:r>
          </w:p>
        </w:tc>
        <w:tc>
          <w:tcPr>
            <w:tcW w:w="1486" w:type="dxa"/>
          </w:tcPr>
          <w:p w:rsidR="00D849AA" w:rsidRDefault="00EE6D95">
            <w:r>
              <w:t>34000</w:t>
            </w:r>
          </w:p>
        </w:tc>
      </w:tr>
      <w:tr w:rsidR="00D849AA">
        <w:trPr>
          <w:jc w:val="center"/>
        </w:trPr>
        <w:tc>
          <w:tcPr>
            <w:tcW w:w="2229" w:type="dxa"/>
          </w:tcPr>
          <w:p w:rsidR="00D849AA" w:rsidRDefault="00EE6D95">
            <w:pPr>
              <w:pStyle w:val="CellColumn"/>
            </w:pPr>
            <w:r>
              <w:t>poticati osposobljenost pripravnika za samostalni odgojno-obrazovni rad</w:t>
            </w:r>
          </w:p>
        </w:tc>
        <w:tc>
          <w:tcPr>
            <w:tcW w:w="1114" w:type="dxa"/>
          </w:tcPr>
          <w:p w:rsidR="00D849AA" w:rsidRDefault="00EE6D95">
            <w:r>
              <w:t>broj</w:t>
            </w:r>
          </w:p>
        </w:tc>
        <w:tc>
          <w:tcPr>
            <w:tcW w:w="1114" w:type="dxa"/>
          </w:tcPr>
          <w:p w:rsidR="00D849AA" w:rsidRDefault="00EE6D95">
            <w:r>
              <w:t>3011</w:t>
            </w:r>
          </w:p>
        </w:tc>
        <w:tc>
          <w:tcPr>
            <w:tcW w:w="1486" w:type="dxa"/>
          </w:tcPr>
          <w:p w:rsidR="00D849AA" w:rsidRDefault="00EE6D95">
            <w:r>
              <w:t>3100</w:t>
            </w:r>
          </w:p>
        </w:tc>
        <w:tc>
          <w:tcPr>
            <w:tcW w:w="1486" w:type="dxa"/>
          </w:tcPr>
          <w:p w:rsidR="00D849AA" w:rsidRDefault="00EE6D95">
            <w:r>
              <w:t>3150</w:t>
            </w:r>
          </w:p>
        </w:tc>
        <w:tc>
          <w:tcPr>
            <w:tcW w:w="1486" w:type="dxa"/>
          </w:tcPr>
          <w:p w:rsidR="00D849AA" w:rsidRDefault="00EE6D95">
            <w:r>
              <w:t>3200</w:t>
            </w:r>
          </w:p>
        </w:tc>
      </w:tr>
    </w:tbl>
    <w:p w:rsidR="00D849AA" w:rsidRDefault="00D849AA">
      <w:pPr>
        <w:jc w:val="left"/>
      </w:pPr>
    </w:p>
    <w:p w:rsidR="00D849AA" w:rsidRDefault="00EE6D95">
      <w:pPr>
        <w:pStyle w:val="Naslov7"/>
      </w:pPr>
      <w:r>
        <w:t xml:space="preserve">Cilj 2. Vrednovanje uspješnosti rada odgojno-obrazovnih radnika </w:t>
      </w:r>
    </w:p>
    <w:p w:rsidR="00D849AA" w:rsidRDefault="00EE6D95">
      <w:pPr>
        <w:pStyle w:val="Normal6"/>
      </w:pPr>
      <w:r>
        <w:t>Ljudski potencijali osnovna su poluga razvitka, a zaposlenici u odgoju i obrazovanju glavni su nositelji ideja, informacija i novih znanja te predstavljaju stratešku osnovicu i kapital u suvremenom društvu i gospodarstvu.  Stoga se posebna pažnja posvećuje pravovremenom otkrivanju istaknutih pojedinca u sustavu i poticanju odgojno-obrazovnih radnika da razviju i primijene svoja znanja i sposobnosti na dobrobit hrvatskog društva i zajednice u kojoj djeluju. Napredovanjem u zvanje promovirati će se odgojno-obrazovni radnici koji svojim radom, stručnošću, pedagoškim i metodičkim odlikama te pozitivnim nastojanjima postižu uzorne rezultate u direktnom odgojno-obrazovnom radu, izvannastavnim aktivnostima i izvannastavnim stručnim radom pridonose unapređivanju procesa poučavanja, razvoju cjelokupne odgojno-obrazovne djelatnosti svoje ustanove i hrvatskoga odgojno-obrazovnog sustava u cjelini.</w:t>
      </w:r>
    </w:p>
    <w:p w:rsidR="00D849AA" w:rsidRDefault="00EE6D95">
      <w:pPr>
        <w:pStyle w:val="Naslov8"/>
        <w:jc w:val="left"/>
      </w:pPr>
      <w:r>
        <w:lastRenderedPageBreak/>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poticanje odgojno-obrazovnih radnika za uključivanje u sustav napredovanja u zvanje mentora i savjetnika</w:t>
            </w:r>
          </w:p>
        </w:tc>
        <w:tc>
          <w:tcPr>
            <w:tcW w:w="1114" w:type="dxa"/>
          </w:tcPr>
          <w:p w:rsidR="00D849AA" w:rsidRDefault="00EE6D95">
            <w:r>
              <w:t>broj</w:t>
            </w:r>
          </w:p>
        </w:tc>
        <w:tc>
          <w:tcPr>
            <w:tcW w:w="1114" w:type="dxa"/>
          </w:tcPr>
          <w:p w:rsidR="00D849AA" w:rsidRDefault="00EE6D95">
            <w:r>
              <w:t>1409</w:t>
            </w:r>
          </w:p>
        </w:tc>
        <w:tc>
          <w:tcPr>
            <w:tcW w:w="1486" w:type="dxa"/>
          </w:tcPr>
          <w:p w:rsidR="00D849AA" w:rsidRDefault="00EE6D95">
            <w:r>
              <w:t>1450</w:t>
            </w:r>
          </w:p>
        </w:tc>
        <w:tc>
          <w:tcPr>
            <w:tcW w:w="1486" w:type="dxa"/>
          </w:tcPr>
          <w:p w:rsidR="00D849AA" w:rsidRDefault="00EE6D95">
            <w:r>
              <w:t>1500</w:t>
            </w:r>
          </w:p>
        </w:tc>
        <w:tc>
          <w:tcPr>
            <w:tcW w:w="1486" w:type="dxa"/>
          </w:tcPr>
          <w:p w:rsidR="00D849AA" w:rsidRDefault="00EE6D95">
            <w:r>
              <w:t>1550</w:t>
            </w:r>
          </w:p>
        </w:tc>
      </w:tr>
    </w:tbl>
    <w:p w:rsidR="00D849AA" w:rsidRDefault="00D849AA">
      <w:pPr>
        <w:jc w:val="left"/>
      </w:pPr>
    </w:p>
    <w:p w:rsidR="00D849AA" w:rsidRDefault="00EE6D95">
      <w:pPr>
        <w:pStyle w:val="Naslov7"/>
      </w:pPr>
      <w:r>
        <w:t xml:space="preserve">Cilj 3. Istaknuti znanje, vještine ili sposobnosti darovitih učenika/ca u skladu s programom/ pravilima pojedinog natjecanja ili smotre </w:t>
      </w:r>
    </w:p>
    <w:p w:rsidR="00D849AA" w:rsidRDefault="00EE6D95">
      <w:pPr>
        <w:pStyle w:val="Normal6"/>
      </w:pPr>
      <w:r>
        <w:t>Temeljni cilj organizacije i provođenja natjecanja i smotri za učenike osnovnih i srednjih škola jest uključivanje darovitih učenika u sustav natjecanja i smotri, a u svrhu razvoja svih njihovih potencijala u području osobnog interesa. Ciljevi natjecanja i smotra su predstavljanje rezultata rada, znanja i vještina, sposobnosti i osposobljenosti učenika i njihovih mentora na određenom području, poticanje i motiviranje na sudjelovanje, međusobno natjecanje učenika i natjecanje učenika sa samim sobom i otkrivanje, poticanje i praćenje rada darovitih učenika</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Povećanje broja učenika/ca uključenih u sustav natjecanja i smotri na školskoj razini da bi najdarovitiji dospjeli do državne razine</w:t>
            </w:r>
          </w:p>
        </w:tc>
        <w:tc>
          <w:tcPr>
            <w:tcW w:w="1114" w:type="dxa"/>
          </w:tcPr>
          <w:p w:rsidR="00D849AA" w:rsidRDefault="00EE6D95">
            <w:r>
              <w:t>Broj učenika uključen u sustav natjecanja i smotri</w:t>
            </w:r>
          </w:p>
        </w:tc>
        <w:tc>
          <w:tcPr>
            <w:tcW w:w="1114" w:type="dxa"/>
          </w:tcPr>
          <w:p w:rsidR="00D849AA" w:rsidRDefault="00EE6D95">
            <w:r>
              <w:t>136480</w:t>
            </w:r>
          </w:p>
        </w:tc>
        <w:tc>
          <w:tcPr>
            <w:tcW w:w="1486" w:type="dxa"/>
          </w:tcPr>
          <w:p w:rsidR="00D849AA" w:rsidRDefault="00EE6D95">
            <w:r>
              <w:t>136980</w:t>
            </w:r>
          </w:p>
        </w:tc>
        <w:tc>
          <w:tcPr>
            <w:tcW w:w="1486" w:type="dxa"/>
          </w:tcPr>
          <w:p w:rsidR="00D849AA" w:rsidRDefault="00EE6D95">
            <w:r>
              <w:t>137480</w:t>
            </w:r>
          </w:p>
        </w:tc>
        <w:tc>
          <w:tcPr>
            <w:tcW w:w="1486" w:type="dxa"/>
          </w:tcPr>
          <w:p w:rsidR="00D849AA" w:rsidRDefault="00EE6D95">
            <w:r>
              <w:t>138480</w:t>
            </w:r>
          </w:p>
        </w:tc>
      </w:tr>
    </w:tbl>
    <w:p w:rsidR="00D849AA" w:rsidRDefault="00D849AA">
      <w:pPr>
        <w:jc w:val="left"/>
      </w:pPr>
    </w:p>
    <w:p w:rsidR="00D849AA" w:rsidRDefault="00EE6D95">
      <w:pPr>
        <w:pStyle w:val="Naslov5"/>
      </w:pPr>
      <w:r>
        <w:t>Procjena i ishodište potrebnih sredstava za značajnije aktivnosti/projekte</w:t>
      </w:r>
    </w:p>
    <w:p w:rsidR="00D849AA" w:rsidRDefault="00EE6D95">
      <w:pPr>
        <w:pStyle w:val="Naslov6"/>
      </w:pPr>
      <w:r>
        <w:t>A733032 IZVANNASTAVNE AKTIVNOSTI U OSNOVNIM I SREDNJIM ŠKOLAMA-NATJECANJE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A733032</w:t>
            </w:r>
          </w:p>
        </w:tc>
        <w:tc>
          <w:tcPr>
            <w:tcW w:w="1486" w:type="dxa"/>
          </w:tcPr>
          <w:p w:rsidR="00D849AA" w:rsidRDefault="00EE6D95">
            <w:r>
              <w:t>9.212.500</w:t>
            </w:r>
          </w:p>
        </w:tc>
        <w:tc>
          <w:tcPr>
            <w:tcW w:w="1486" w:type="dxa"/>
          </w:tcPr>
          <w:p w:rsidR="00D849AA" w:rsidRDefault="00EE6D95">
            <w:r>
              <w:t>8.754.075</w:t>
            </w:r>
          </w:p>
        </w:tc>
        <w:tc>
          <w:tcPr>
            <w:tcW w:w="1486" w:type="dxa"/>
          </w:tcPr>
          <w:p w:rsidR="00D849AA" w:rsidRDefault="00EE6D95">
            <w:r>
              <w:t>8.027.231</w:t>
            </w:r>
          </w:p>
        </w:tc>
        <w:tc>
          <w:tcPr>
            <w:tcW w:w="1486" w:type="dxa"/>
          </w:tcPr>
          <w:p w:rsidR="00D849AA" w:rsidRDefault="00EE6D95">
            <w:r>
              <w:t>7.987.095</w:t>
            </w:r>
          </w:p>
        </w:tc>
        <w:tc>
          <w:tcPr>
            <w:tcW w:w="1486" w:type="dxa"/>
          </w:tcPr>
          <w:p w:rsidR="00D849AA" w:rsidRDefault="00EE6D95">
            <w:r>
              <w:t>95,0</w:t>
            </w:r>
          </w:p>
        </w:tc>
      </w:tr>
    </w:tbl>
    <w:p w:rsidR="00D849AA" w:rsidRDefault="00D849AA">
      <w:pPr>
        <w:jc w:val="left"/>
      </w:pPr>
    </w:p>
    <w:p w:rsidR="00D849AA" w:rsidRDefault="00EE6D95">
      <w:pPr>
        <w:pStyle w:val="Normal6"/>
      </w:pPr>
      <w:r>
        <w:t xml:space="preserve">Agencija za odgoj i obrazovanje u 2014. godini organizirati će, koordinirati i financijski pratiti učenička natjecanja i smotre u 8 područja (jezično-umjetničko područje, prirodoslovno-matematičko područje, humanističko područje, tehničko područje, umjetničko područje, zdravstveno područje, ekološko područje i ostali programi) i 31 kategoriji na školskoj, županijskoj i državnoj razini s ciljem predstaviti rezultate rada, </w:t>
      </w:r>
      <w:r>
        <w:lastRenderedPageBreak/>
        <w:t xml:space="preserve">znanja, vještina, sposobnosti i kompetencija učenika i njihovih mentora na određenom području te poticati i motivirati učenike na sudjelovanje kao i na međusobno natjecanje.  </w:t>
      </w:r>
    </w:p>
    <w:p w:rsidR="00D849AA" w:rsidRDefault="00EE6D95">
      <w:pPr>
        <w:pStyle w:val="Normal6"/>
      </w:pPr>
      <w:r>
        <w:t>Savjetnici Agencije za odgoj i obrazovanje biti će uključeni u provedbu natjecanja i smotri u ulozi tajnika državnih povjerenstava i prema planu i programu pojedinih natjecanja i smotri aktivno će sudjelovati u organizaciji i provedbi navedenih aktivnosti, kao članovi povjerenstava  s posebnim naglaskom na pružanje različitih vrsta potpora tijekom pripreme i provedbe školskih, gradskih (Grad Zagreb) i županijskih natjecanja i smotri.</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361"/>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Natjecanja i smotre na državnoj razini u organizaciji Agencije za odgoj i obrazovanje</w:t>
            </w:r>
          </w:p>
        </w:tc>
        <w:tc>
          <w:tcPr>
            <w:tcW w:w="1114" w:type="dxa"/>
          </w:tcPr>
          <w:p w:rsidR="00D849AA" w:rsidRDefault="00EE6D95">
            <w:r>
              <w:t>Broj (kumulativno)</w:t>
            </w:r>
          </w:p>
        </w:tc>
        <w:tc>
          <w:tcPr>
            <w:tcW w:w="1114" w:type="dxa"/>
          </w:tcPr>
          <w:p w:rsidR="00D849AA" w:rsidRDefault="00EE6D95">
            <w:r>
              <w:t>8000</w:t>
            </w:r>
          </w:p>
        </w:tc>
        <w:tc>
          <w:tcPr>
            <w:tcW w:w="1486" w:type="dxa"/>
          </w:tcPr>
          <w:p w:rsidR="00D849AA" w:rsidRDefault="00EE6D95">
            <w:r>
              <w:t>8100</w:t>
            </w:r>
          </w:p>
        </w:tc>
        <w:tc>
          <w:tcPr>
            <w:tcW w:w="1486" w:type="dxa"/>
          </w:tcPr>
          <w:p w:rsidR="00D849AA" w:rsidRDefault="00EE6D95">
            <w:r>
              <w:t>8200</w:t>
            </w:r>
          </w:p>
        </w:tc>
        <w:tc>
          <w:tcPr>
            <w:tcW w:w="1486" w:type="dxa"/>
          </w:tcPr>
          <w:p w:rsidR="00D849AA" w:rsidRDefault="00EE6D95">
            <w:r>
              <w:t>8300</w:t>
            </w:r>
          </w:p>
        </w:tc>
      </w:tr>
    </w:tbl>
    <w:p w:rsidR="00D849AA" w:rsidRDefault="00D849AA">
      <w:pPr>
        <w:jc w:val="left"/>
      </w:pPr>
    </w:p>
    <w:p w:rsidR="00D849AA" w:rsidRDefault="00EE6D95">
      <w:pPr>
        <w:pStyle w:val="Naslov6"/>
      </w:pPr>
      <w:r>
        <w:t>A767022 STRUČNO USAVRŠAVANJE ODGOJNO-OBRAZOVNIH DJELATNIKA U SUSTAVU OSNOVNOG I SREDNJEG ŠKOLSTVA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A767022</w:t>
            </w:r>
          </w:p>
        </w:tc>
        <w:tc>
          <w:tcPr>
            <w:tcW w:w="1486" w:type="dxa"/>
          </w:tcPr>
          <w:p w:rsidR="00D849AA" w:rsidRDefault="00EE6D95">
            <w:r>
              <w:t>3.890.246</w:t>
            </w:r>
          </w:p>
        </w:tc>
        <w:tc>
          <w:tcPr>
            <w:tcW w:w="1486" w:type="dxa"/>
          </w:tcPr>
          <w:p w:rsidR="00D849AA" w:rsidRDefault="00EE6D95">
            <w:r>
              <w:t>4.024.196</w:t>
            </w:r>
          </w:p>
        </w:tc>
        <w:tc>
          <w:tcPr>
            <w:tcW w:w="1486" w:type="dxa"/>
          </w:tcPr>
          <w:p w:rsidR="00D849AA" w:rsidRDefault="00EE6D95">
            <w:r>
              <w:t>3.691.258</w:t>
            </w:r>
          </w:p>
        </w:tc>
        <w:tc>
          <w:tcPr>
            <w:tcW w:w="1486" w:type="dxa"/>
          </w:tcPr>
          <w:p w:rsidR="00D849AA" w:rsidRDefault="00EE6D95">
            <w:r>
              <w:t>3.672.801</w:t>
            </w:r>
          </w:p>
        </w:tc>
        <w:tc>
          <w:tcPr>
            <w:tcW w:w="1486" w:type="dxa"/>
          </w:tcPr>
          <w:p w:rsidR="00D849AA" w:rsidRDefault="00EE6D95">
            <w:r>
              <w:t>103,4</w:t>
            </w:r>
          </w:p>
        </w:tc>
      </w:tr>
    </w:tbl>
    <w:p w:rsidR="00D849AA" w:rsidRDefault="00D849AA">
      <w:pPr>
        <w:jc w:val="left"/>
      </w:pPr>
    </w:p>
    <w:p w:rsidR="00D849AA" w:rsidRDefault="00EE6D95">
      <w:pPr>
        <w:pStyle w:val="Normal6"/>
      </w:pPr>
      <w:r>
        <w:t>Organizacija i provedba stručnog usavršavanja za cca 66 500 odgojno-obrazovnih radnika (odgojitelja, učitelja/nastavnika, stručnih suradnika i ravnatelja) te podizanje razine njihovih generičkih i profesionalnih kompetencija za rad u predškolskim, osnovnoškolskim i srednjoškolskim ustanovama temeljna je zadaća Agencije za odgoj i obrazovanje. Svaki viši savjetnik Agencije zadužen je za organizaciju stručnih usavršavanja u predmetu/području za koje je stručan (npr. biologija) za cca 500 do 1000 odgojno-obrazovnih radnika. Skupove organizira na državnoj, županijskoj, regionalnoj ili lokalnoj razini, u suradnji s relevantnim predavačima iz visokoškolskih ustanova, ministarstava, ostalih nadležnih agencija, ustanova, udruga ili društava, ovisno o temi i ciljnoj skupini, uglavnom u prostorijama škola. Temeljni je cilj stručnog usavršavanja podizanje razine svih kompetencija odgojno-obrazovnih radnika u svrhu podizanja razine kvalitete odgojno-obrazovnog sustava i razine postignuća učenika. 105 viših savjetnika Agencije u 2012. godini organiziralo je 1020 stručnih skupova  s 46 652 sudjelovanja. 1455 voditelja županijskih stručnih vijeća (učitelji/nastavnici) u dogovoru i suradnji s višim savjetnicima organizirali su (sukladno podacima iz elektroničkog sustava prijavljivanja na www.ettaedu.eu) 3516 stručnih skupova s 32 631  sudjelovanja.</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broj stručnih skupova</w:t>
            </w:r>
          </w:p>
        </w:tc>
        <w:tc>
          <w:tcPr>
            <w:tcW w:w="1114" w:type="dxa"/>
          </w:tcPr>
          <w:p w:rsidR="00D849AA" w:rsidRDefault="00EE6D95">
            <w:r>
              <w:t>broj</w:t>
            </w:r>
          </w:p>
        </w:tc>
        <w:tc>
          <w:tcPr>
            <w:tcW w:w="1114" w:type="dxa"/>
          </w:tcPr>
          <w:p w:rsidR="00D849AA" w:rsidRDefault="00EE6D95">
            <w:r>
              <w:t>871</w:t>
            </w:r>
          </w:p>
        </w:tc>
        <w:tc>
          <w:tcPr>
            <w:tcW w:w="1486" w:type="dxa"/>
          </w:tcPr>
          <w:p w:rsidR="00D849AA" w:rsidRDefault="00EE6D95">
            <w:r>
              <w:t>930</w:t>
            </w:r>
          </w:p>
        </w:tc>
        <w:tc>
          <w:tcPr>
            <w:tcW w:w="1486" w:type="dxa"/>
          </w:tcPr>
          <w:p w:rsidR="00D849AA" w:rsidRDefault="00EE6D95">
            <w:r>
              <w:t>960</w:t>
            </w:r>
          </w:p>
        </w:tc>
        <w:tc>
          <w:tcPr>
            <w:tcW w:w="1486" w:type="dxa"/>
          </w:tcPr>
          <w:p w:rsidR="00D849AA" w:rsidRDefault="00EE6D95">
            <w:r>
              <w:t>990</w:t>
            </w:r>
          </w:p>
        </w:tc>
      </w:tr>
      <w:tr w:rsidR="00D849AA">
        <w:trPr>
          <w:jc w:val="center"/>
        </w:trPr>
        <w:tc>
          <w:tcPr>
            <w:tcW w:w="2229" w:type="dxa"/>
          </w:tcPr>
          <w:p w:rsidR="00D849AA" w:rsidRDefault="00EE6D95">
            <w:pPr>
              <w:pStyle w:val="CellColumn"/>
            </w:pPr>
            <w:r>
              <w:t>broj sudionika</w:t>
            </w:r>
          </w:p>
        </w:tc>
        <w:tc>
          <w:tcPr>
            <w:tcW w:w="1114" w:type="dxa"/>
          </w:tcPr>
          <w:p w:rsidR="00D849AA" w:rsidRDefault="00EE6D95">
            <w:r>
              <w:t>broj</w:t>
            </w:r>
          </w:p>
        </w:tc>
        <w:tc>
          <w:tcPr>
            <w:tcW w:w="1114" w:type="dxa"/>
          </w:tcPr>
          <w:p w:rsidR="00D849AA" w:rsidRDefault="00EE6D95">
            <w:r>
              <w:t>19545</w:t>
            </w:r>
          </w:p>
        </w:tc>
        <w:tc>
          <w:tcPr>
            <w:tcW w:w="1486" w:type="dxa"/>
          </w:tcPr>
          <w:p w:rsidR="00D849AA" w:rsidRDefault="00EE6D95">
            <w:r>
              <w:t>19800</w:t>
            </w:r>
          </w:p>
        </w:tc>
        <w:tc>
          <w:tcPr>
            <w:tcW w:w="1486" w:type="dxa"/>
          </w:tcPr>
          <w:p w:rsidR="00D849AA" w:rsidRDefault="00EE6D95">
            <w:r>
              <w:t>20000</w:t>
            </w:r>
          </w:p>
        </w:tc>
        <w:tc>
          <w:tcPr>
            <w:tcW w:w="1486" w:type="dxa"/>
          </w:tcPr>
          <w:p w:rsidR="00D849AA" w:rsidRDefault="00EE6D95">
            <w:r>
              <w:t>20200</w:t>
            </w:r>
          </w:p>
        </w:tc>
      </w:tr>
      <w:tr w:rsidR="00D849AA">
        <w:trPr>
          <w:jc w:val="center"/>
        </w:trPr>
        <w:tc>
          <w:tcPr>
            <w:tcW w:w="2229" w:type="dxa"/>
          </w:tcPr>
          <w:p w:rsidR="00D849AA" w:rsidRDefault="00EE6D95">
            <w:pPr>
              <w:pStyle w:val="CellColumn"/>
            </w:pPr>
            <w:r>
              <w:lastRenderedPageBreak/>
              <w:t>broj sudjelovanja na stručnim skupovima</w:t>
            </w:r>
          </w:p>
        </w:tc>
        <w:tc>
          <w:tcPr>
            <w:tcW w:w="1114" w:type="dxa"/>
          </w:tcPr>
          <w:p w:rsidR="00D849AA" w:rsidRDefault="00EE6D95">
            <w:r>
              <w:t>broj</w:t>
            </w:r>
          </w:p>
        </w:tc>
        <w:tc>
          <w:tcPr>
            <w:tcW w:w="1114" w:type="dxa"/>
          </w:tcPr>
          <w:p w:rsidR="00D849AA" w:rsidRDefault="00EE6D95">
            <w:r>
              <w:t>30500</w:t>
            </w:r>
          </w:p>
        </w:tc>
        <w:tc>
          <w:tcPr>
            <w:tcW w:w="1486" w:type="dxa"/>
          </w:tcPr>
          <w:p w:rsidR="00D849AA" w:rsidRDefault="00EE6D95">
            <w:r>
              <w:t>30700</w:t>
            </w:r>
          </w:p>
        </w:tc>
        <w:tc>
          <w:tcPr>
            <w:tcW w:w="1486" w:type="dxa"/>
          </w:tcPr>
          <w:p w:rsidR="00D849AA" w:rsidRDefault="00EE6D95">
            <w:r>
              <w:t>30900</w:t>
            </w:r>
          </w:p>
        </w:tc>
        <w:tc>
          <w:tcPr>
            <w:tcW w:w="1486" w:type="dxa"/>
          </w:tcPr>
          <w:p w:rsidR="00D849AA" w:rsidRDefault="00EE6D95">
            <w:r>
              <w:t>40100</w:t>
            </w:r>
          </w:p>
        </w:tc>
      </w:tr>
      <w:tr w:rsidR="00D849AA">
        <w:trPr>
          <w:jc w:val="center"/>
        </w:trPr>
        <w:tc>
          <w:tcPr>
            <w:tcW w:w="2229" w:type="dxa"/>
          </w:tcPr>
          <w:p w:rsidR="00D849AA" w:rsidRDefault="00EE6D95">
            <w:pPr>
              <w:pStyle w:val="CellColumn"/>
            </w:pPr>
            <w:r>
              <w:t>odgojno-obrazovni radnici izabrani u zvanje mentora i savjetnika</w:t>
            </w:r>
          </w:p>
        </w:tc>
        <w:tc>
          <w:tcPr>
            <w:tcW w:w="1114" w:type="dxa"/>
          </w:tcPr>
          <w:p w:rsidR="00D849AA" w:rsidRDefault="00EE6D95">
            <w:r>
              <w:t>broj</w:t>
            </w:r>
          </w:p>
        </w:tc>
        <w:tc>
          <w:tcPr>
            <w:tcW w:w="1114" w:type="dxa"/>
          </w:tcPr>
          <w:p w:rsidR="00D849AA" w:rsidRDefault="00EE6D95">
            <w:r>
              <w:t>1409</w:t>
            </w:r>
          </w:p>
        </w:tc>
        <w:tc>
          <w:tcPr>
            <w:tcW w:w="1486" w:type="dxa"/>
          </w:tcPr>
          <w:p w:rsidR="00D849AA" w:rsidRDefault="00EE6D95">
            <w:r>
              <w:t>1450</w:t>
            </w:r>
          </w:p>
        </w:tc>
        <w:tc>
          <w:tcPr>
            <w:tcW w:w="1486" w:type="dxa"/>
          </w:tcPr>
          <w:p w:rsidR="00D849AA" w:rsidRDefault="00EE6D95">
            <w:r>
              <w:t>1500</w:t>
            </w:r>
          </w:p>
        </w:tc>
        <w:tc>
          <w:tcPr>
            <w:tcW w:w="1486" w:type="dxa"/>
          </w:tcPr>
          <w:p w:rsidR="00D849AA" w:rsidRDefault="00EE6D95">
            <w:r>
              <w:t>1550</w:t>
            </w:r>
          </w:p>
        </w:tc>
      </w:tr>
      <w:tr w:rsidR="00D849AA">
        <w:trPr>
          <w:jc w:val="center"/>
        </w:trPr>
        <w:tc>
          <w:tcPr>
            <w:tcW w:w="2229" w:type="dxa"/>
          </w:tcPr>
          <w:p w:rsidR="00D849AA" w:rsidRDefault="00EE6D95">
            <w:pPr>
              <w:pStyle w:val="CellColumn"/>
            </w:pPr>
            <w:r>
              <w:t>broj prijavljenih pripravnika</w:t>
            </w:r>
          </w:p>
        </w:tc>
        <w:tc>
          <w:tcPr>
            <w:tcW w:w="1114" w:type="dxa"/>
          </w:tcPr>
          <w:p w:rsidR="00D849AA" w:rsidRDefault="00EE6D95">
            <w:r>
              <w:t>broj</w:t>
            </w:r>
          </w:p>
        </w:tc>
        <w:tc>
          <w:tcPr>
            <w:tcW w:w="1114" w:type="dxa"/>
          </w:tcPr>
          <w:p w:rsidR="00D849AA" w:rsidRDefault="00EE6D95">
            <w:r>
              <w:t>4282</w:t>
            </w:r>
          </w:p>
        </w:tc>
        <w:tc>
          <w:tcPr>
            <w:tcW w:w="1486" w:type="dxa"/>
          </w:tcPr>
          <w:p w:rsidR="00D849AA" w:rsidRDefault="00EE6D95">
            <w:r>
              <w:t>4300</w:t>
            </w:r>
          </w:p>
        </w:tc>
        <w:tc>
          <w:tcPr>
            <w:tcW w:w="1486" w:type="dxa"/>
          </w:tcPr>
          <w:p w:rsidR="00D849AA" w:rsidRDefault="00EE6D95">
            <w:r>
              <w:t>4400</w:t>
            </w:r>
          </w:p>
        </w:tc>
        <w:tc>
          <w:tcPr>
            <w:tcW w:w="1486" w:type="dxa"/>
          </w:tcPr>
          <w:p w:rsidR="00D849AA" w:rsidRDefault="00EE6D95">
            <w:r>
              <w:t>4500</w:t>
            </w:r>
          </w:p>
        </w:tc>
      </w:tr>
      <w:tr w:rsidR="00D849AA">
        <w:trPr>
          <w:jc w:val="center"/>
        </w:trPr>
        <w:tc>
          <w:tcPr>
            <w:tcW w:w="2229" w:type="dxa"/>
          </w:tcPr>
          <w:p w:rsidR="00D849AA" w:rsidRDefault="00EE6D95">
            <w:pPr>
              <w:pStyle w:val="CellColumn"/>
            </w:pPr>
            <w:r>
              <w:t>broj pripravnika koji su položili stručni ispit</w:t>
            </w:r>
          </w:p>
        </w:tc>
        <w:tc>
          <w:tcPr>
            <w:tcW w:w="1114" w:type="dxa"/>
          </w:tcPr>
          <w:p w:rsidR="00D849AA" w:rsidRDefault="00EE6D95">
            <w:r>
              <w:t>broj</w:t>
            </w:r>
          </w:p>
        </w:tc>
        <w:tc>
          <w:tcPr>
            <w:tcW w:w="1114" w:type="dxa"/>
          </w:tcPr>
          <w:p w:rsidR="00D849AA" w:rsidRDefault="00EE6D95">
            <w:r>
              <w:t>3011</w:t>
            </w:r>
          </w:p>
        </w:tc>
        <w:tc>
          <w:tcPr>
            <w:tcW w:w="1486" w:type="dxa"/>
          </w:tcPr>
          <w:p w:rsidR="00D849AA" w:rsidRDefault="00EE6D95">
            <w:r>
              <w:t>3100</w:t>
            </w:r>
          </w:p>
        </w:tc>
        <w:tc>
          <w:tcPr>
            <w:tcW w:w="1486" w:type="dxa"/>
          </w:tcPr>
          <w:p w:rsidR="00D849AA" w:rsidRDefault="00EE6D95">
            <w:r>
              <w:t>3150</w:t>
            </w:r>
          </w:p>
        </w:tc>
        <w:tc>
          <w:tcPr>
            <w:tcW w:w="1486" w:type="dxa"/>
          </w:tcPr>
          <w:p w:rsidR="00D849AA" w:rsidRDefault="00EE6D95">
            <w:r>
              <w:t>3200</w:t>
            </w:r>
          </w:p>
        </w:tc>
      </w:tr>
    </w:tbl>
    <w:p w:rsidR="00D849AA" w:rsidRDefault="00D849AA">
      <w:pPr>
        <w:jc w:val="left"/>
      </w:pPr>
    </w:p>
    <w:p w:rsidR="00D849AA" w:rsidRDefault="00EE6D95">
      <w:pPr>
        <w:pStyle w:val="Naslov3"/>
      </w:pPr>
      <w:r>
        <w:t>38487 Agencija za znanost i visoko obrazovanje</w:t>
      </w:r>
    </w:p>
    <w:p w:rsidR="00D849AA" w:rsidRDefault="00EE6D95">
      <w:pPr>
        <w:pStyle w:val="Naslov4"/>
      </w:pPr>
      <w:r>
        <w:t>Uvod</w:t>
      </w:r>
    </w:p>
    <w:p w:rsidR="00D849AA" w:rsidRDefault="00EE6D95">
      <w:pPr>
        <w:pStyle w:val="Normal5"/>
      </w:pPr>
      <w:r>
        <w:t xml:space="preserve">Najznačajnije aktivnosti i zadaci Agencije za znanost i visoko obrazovanje su sljedeći: </w:t>
      </w:r>
    </w:p>
    <w:p w:rsidR="00D849AA" w:rsidRDefault="00EE6D95">
      <w:pPr>
        <w:pStyle w:val="Normal5"/>
      </w:pPr>
      <w:r>
        <w:t xml:space="preserve">sudjelovanje u postupku inicijalne akreditacije; sudjelovanje u postupku reakreditacije; </w:t>
      </w:r>
    </w:p>
    <w:p w:rsidR="00D849AA" w:rsidRDefault="00EE6D95">
      <w:pPr>
        <w:pStyle w:val="Normal5"/>
      </w:pPr>
      <w:r>
        <w:t xml:space="preserve">provođenje postupka tematskog vrednovanja; provođenje postupka vanjske neovisne periodične prosudbe unutarnjih sustava osiguravanja i unaprjeđivanja kvalitete (audit); </w:t>
      </w:r>
    </w:p>
    <w:p w:rsidR="00D849AA" w:rsidRDefault="00EE6D95">
      <w:pPr>
        <w:pStyle w:val="Normal5"/>
      </w:pPr>
      <w:r>
        <w:t xml:space="preserve">prikupljanje i obrađivanje podataka o sustavu znanosti i visokog obrazovanja u svrhu pružanja relevantnih informacija, statističkih pokazatelja i analiza koje su potrebne kao polazišta za utvrđivanje standarda, kriterija i donošenje ocjena u svim postupcima vrednovanja koje provodi Agencija, te relevantnih informacija o stanju i učinkovitosti cjelokupnog sustava znanosti i visokog obrazovanja; </w:t>
      </w:r>
    </w:p>
    <w:p w:rsidR="00D849AA" w:rsidRDefault="00EE6D95">
      <w:pPr>
        <w:pStyle w:val="Normal5"/>
      </w:pPr>
      <w:r>
        <w:t xml:space="preserve">pružanje informacija o uvjetima upisa na visoka učilišta u Republici Hrvatskoj i objedinjavanje podataka o ispunjavanju uvjeta za upis pristupnika na visoka učilišta temeljem kojih visoka učilišta vrše upis na studijske programe. </w:t>
      </w:r>
    </w:p>
    <w:p w:rsidR="00D849AA" w:rsidRDefault="00EE6D95">
      <w:pPr>
        <w:pStyle w:val="Normal5"/>
      </w:pPr>
      <w:r>
        <w:t>Održavanje sjednica Nacionalnog vijeća za znanost, visoko obrazovanje i tehnološki razvoj (Nacionalno vijeće), područnih znanstvenih vijeća, umjetničkog vijeća, matičnih odbora, Odbora za etiku u znanosti i visokom obrazovanju (OEZVO), Savjeta za financiranje znanstvene djelatnosti i visokog obrazovanja kao i drugih tijela (stručnih povjerenstava) imenovanih od strane Nacionalnog vijeća.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38487</w:t>
            </w:r>
          </w:p>
        </w:tc>
        <w:tc>
          <w:tcPr>
            <w:tcW w:w="1486" w:type="dxa"/>
          </w:tcPr>
          <w:p w:rsidR="00D849AA" w:rsidRDefault="00EE6D95">
            <w:r>
              <w:t>20.037.187</w:t>
            </w:r>
          </w:p>
        </w:tc>
        <w:tc>
          <w:tcPr>
            <w:tcW w:w="1486" w:type="dxa"/>
          </w:tcPr>
          <w:p w:rsidR="00D849AA" w:rsidRDefault="00EE6D95">
            <w:r>
              <w:t>21.953.219</w:t>
            </w:r>
          </w:p>
        </w:tc>
        <w:tc>
          <w:tcPr>
            <w:tcW w:w="1486" w:type="dxa"/>
          </w:tcPr>
          <w:p w:rsidR="00D849AA" w:rsidRDefault="00EE6D95">
            <w:r>
              <w:t>18.583.217</w:t>
            </w:r>
          </w:p>
        </w:tc>
        <w:tc>
          <w:tcPr>
            <w:tcW w:w="1486" w:type="dxa"/>
          </w:tcPr>
          <w:p w:rsidR="00D849AA" w:rsidRDefault="00EE6D95">
            <w:r>
              <w:t>18.861.871</w:t>
            </w:r>
          </w:p>
        </w:tc>
        <w:tc>
          <w:tcPr>
            <w:tcW w:w="1486" w:type="dxa"/>
          </w:tcPr>
          <w:p w:rsidR="00D849AA" w:rsidRDefault="00EE6D95">
            <w:r>
              <w:t>109,6</w:t>
            </w:r>
          </w:p>
        </w:tc>
      </w:tr>
    </w:tbl>
    <w:p w:rsidR="00D849AA" w:rsidRDefault="00D849AA">
      <w:pPr>
        <w:jc w:val="left"/>
      </w:pPr>
    </w:p>
    <w:p w:rsidR="001A0148" w:rsidRDefault="001A0148">
      <w:pPr>
        <w:jc w:val="left"/>
      </w:pPr>
    </w:p>
    <w:p w:rsidR="001A0148" w:rsidRDefault="001A0148">
      <w:pPr>
        <w:jc w:val="left"/>
      </w:pPr>
    </w:p>
    <w:p w:rsidR="00D849AA" w:rsidRDefault="00EE6D95">
      <w:pPr>
        <w:pStyle w:val="Naslov4"/>
      </w:pPr>
      <w:r>
        <w:lastRenderedPageBreak/>
        <w:t>OBRAZLOŽENJE PROGRAMA</w:t>
      </w:r>
    </w:p>
    <w:p w:rsidR="00D849AA" w:rsidRDefault="00EE6D95">
      <w:pPr>
        <w:pStyle w:val="Naslov5"/>
      </w:pPr>
      <w:r>
        <w:t>3705 VISOKO OBRAZOVANJE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3705</w:t>
            </w:r>
          </w:p>
        </w:tc>
        <w:tc>
          <w:tcPr>
            <w:tcW w:w="1486" w:type="dxa"/>
          </w:tcPr>
          <w:p w:rsidR="00D849AA" w:rsidRDefault="00EE6D95">
            <w:r>
              <w:t>20.037.187</w:t>
            </w:r>
          </w:p>
        </w:tc>
        <w:tc>
          <w:tcPr>
            <w:tcW w:w="1486" w:type="dxa"/>
          </w:tcPr>
          <w:p w:rsidR="00D849AA" w:rsidRDefault="00EE6D95">
            <w:r>
              <w:t>21.953.219</w:t>
            </w:r>
          </w:p>
        </w:tc>
        <w:tc>
          <w:tcPr>
            <w:tcW w:w="1486" w:type="dxa"/>
          </w:tcPr>
          <w:p w:rsidR="00D849AA" w:rsidRDefault="00EE6D95">
            <w:r>
              <w:t>18.583.217</w:t>
            </w:r>
          </w:p>
        </w:tc>
        <w:tc>
          <w:tcPr>
            <w:tcW w:w="1486" w:type="dxa"/>
          </w:tcPr>
          <w:p w:rsidR="00D849AA" w:rsidRDefault="00EE6D95">
            <w:r>
              <w:t>18.861.871</w:t>
            </w:r>
          </w:p>
        </w:tc>
        <w:tc>
          <w:tcPr>
            <w:tcW w:w="1486" w:type="dxa"/>
          </w:tcPr>
          <w:p w:rsidR="00D849AA" w:rsidRDefault="00EE6D95">
            <w:r>
              <w:t>109,6</w:t>
            </w:r>
          </w:p>
        </w:tc>
      </w:tr>
    </w:tbl>
    <w:p w:rsidR="00D849AA" w:rsidRDefault="00D849AA">
      <w:pPr>
        <w:jc w:val="left"/>
      </w:pPr>
    </w:p>
    <w:p w:rsidR="00D849AA" w:rsidRDefault="00EE6D95">
      <w:pPr>
        <w:pStyle w:val="Naslov6"/>
      </w:pPr>
      <w:r>
        <w:t>Opis programa</w:t>
      </w:r>
    </w:p>
    <w:p w:rsidR="00D849AA" w:rsidRDefault="00EE6D95">
      <w:r>
        <w:t>Kroz program se omogućuje planirano unaprjeđenje procesa razvoja studijskih programa, osnivanja visokih učilišta i znanstvenih organizacija, poboljšanje kvalitete nastavnog osoblja i njihovih kompetencija, procesa nastave, znanstvene djelatnosti i stručnih usluga te praćenje tržišta rada radi poboljšanja mogućnosti zapošljavanja završenih studenata i poticanja međunarodne suradnje koja utječe na gospodarski razvoj, kao neophodan način ostvarenja općeg cilja Vlade RH u poticanju znanja, izvrsnosti i kulture kao i posebnog cilja u održivosti kvalitete obrazovnog sustava u RH.</w:t>
      </w:r>
    </w:p>
    <w:p w:rsidR="00D849AA" w:rsidRDefault="00EE6D95">
      <w:pPr>
        <w:pStyle w:val="Naslov6"/>
      </w:pPr>
      <w:r>
        <w:t>Zakonske i druge pravne osnove</w:t>
      </w:r>
    </w:p>
    <w:p w:rsidR="00D849AA" w:rsidRDefault="00EE6D95">
      <w:r>
        <w:t xml:space="preserve">Zakon o osiguravanju kvalitete u znanosti i visokom obrazovanju (NN 45/09), </w:t>
      </w:r>
    </w:p>
    <w:p w:rsidR="00D849AA" w:rsidRDefault="00EE6D95">
      <w:r>
        <w:t xml:space="preserve">Zakon o znanstvenoj djelatnosti i visokom obrazovanju (NN 123/03, 198/03, 105/04, 174/04, 2/07-Odluka USRH, 45/07, 63/11, 94/13), </w:t>
      </w:r>
    </w:p>
    <w:p w:rsidR="00D849AA" w:rsidRDefault="00EE6D95">
      <w:r>
        <w:t xml:space="preserve">Zakon o priznavanju inozemnih obrazovnih kvalifikacija (NN 158/03, 198/03,138/06, 124/09 i 45/11), </w:t>
      </w:r>
    </w:p>
    <w:p w:rsidR="00D849AA" w:rsidRDefault="00EE6D95">
      <w:r>
        <w:t xml:space="preserve">Zakon o reguliranim profesijama i priznavanju stručnih inozemnih kvalifikacija (NN 124/09)  </w:t>
      </w:r>
    </w:p>
    <w:p w:rsidR="00D849AA" w:rsidRDefault="00EE6D95">
      <w:r>
        <w:t xml:space="preserve">Pravilnik o sadržaju dopusnice te uvjetima za izdavanje dopusnice za obavljanje djelatnosti visokog obrazovanja, izvođenje studijskog programa i reakreditaciju visokih učilišta  (NN 24/2010), </w:t>
      </w:r>
    </w:p>
    <w:p w:rsidR="00D849AA" w:rsidRDefault="00EE6D95">
      <w:r>
        <w:t xml:space="preserve">Pravilnik o uvjetima za izdavanje dopusnice za obavljanje znanstvene djelatnosti, uvjetima za reakreditaciju znanstvenih organizacija i sadržaju dopusnice (NN 83/2010) </w:t>
      </w:r>
    </w:p>
    <w:p w:rsidR="00D849AA" w:rsidRDefault="00EE6D95">
      <w:r>
        <w:t xml:space="preserve">Pravila o uvjetima, postupku prijave, provedbi ispita za upis i rangiranju kandidata na studijske programe (Sporazum NCVVO, AZVO i RZ od 15. lipnja 2012.) </w:t>
      </w:r>
    </w:p>
    <w:p w:rsidR="00D849AA" w:rsidRDefault="00EE6D95">
      <w:r>
        <w:t>Pravilnik o postupku vanjske neovisne periodične prosudbe unutarnjeg sustava osiguravanja kvalitete visokih učilišta u Republici Hrvatskoj od 7. lipnja 2010.</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Cilj 1. Povećanje kvalitete visokih učilišta u Republici Hrvatskoj</w:t>
      </w:r>
    </w:p>
    <w:p w:rsidR="00D849AA" w:rsidRDefault="00EE6D95">
      <w:pPr>
        <w:pStyle w:val="Normal6"/>
      </w:pPr>
      <w:r>
        <w:t xml:space="preserve">Svim postupcima vrednovanja visokih učilišta cilj je povećati racionalnost javnog financiranja, a time i njihovu učinkovitost. Postupak reakreditacije usmjeren je na detektiranje visokih učilišta koja ne zadovoljavaju niti minimalnim kriterijima kvalitete i kojima će se uskratiti dopusnica, a samim tim, za javna učilišta i financiranje iz državnog proračuna. Reakreditacija rezultira i ocjenom kvalitete koja može utjecati na razvojni proračun visokih učilišta, odnosno nagraditi izvrsnost. Inicijalnom akreditacijom sprječava se osnivanje novih visokih učilišta i studijskih programa koji ne zadovoljavaju minimalne uvjete kvalitete. </w:t>
      </w:r>
    </w:p>
    <w:p w:rsidR="00D849AA" w:rsidRDefault="00EE6D95">
      <w:pPr>
        <w:pStyle w:val="Normal6"/>
      </w:pPr>
      <w:r>
        <w:t xml:space="preserve">Rad Nacionalnog vijeća za znanost, visoko obrazovanje i tehnološki razvoj, Vijeća veleučilišta i visokih škola (VVVIŠ), Savjeta za financiranje znanstvene djelatnosti i </w:t>
      </w:r>
      <w:r>
        <w:lastRenderedPageBreak/>
        <w:t>visokog obrazovanja  doprinijet će ostvarenju ovoga cilja i omogućiti promišljenije raspolaganje resursima u sustavu visokoga obrazovanja. Nacionalno vijeće donošenjem strateških odluka i preporuka (primjerice strateškog dokumenta mreže visokih učilišta i studijskih programa) potiče razvoj i unaprjeđenje cjelokupnog sustava visokog obrazovanja u Republici Hrvatskoj. Savjet za financiranje znanstvene djelatnosti i visokog obrazovanja stručno je tijelo Nacionalnog vijeća, a razmatra pitanja koja se tiču financiranja znanosti i visokog obrazovanja što među ostalim uključuje i predlaganje kriterija za raspodjelu proračunskih sredstava za znanost i visoko obrazovanje. Vijeće veleučilišta i visokih škola povezivanjem članica iz sustava veleučilišta i visokih škola potiče razvoj stručnih studija koji bi trebali biti temelj gospodarskog razvoja Republike Hrvatske. Zadaća Odbora za etiku u znanosti i visokom obrazovanju (OEZVO) je promicanje etičkih načela i vrijednosti u znanosti i visokom obrazovanju, u poslovnim odnosima i u odnosima prema javnosti, te u primjeni suvremenih tehnologija i u zaštiti okoliša. U tu svrhu OEZVO donosi i etički kodeks kojim utvrđuje etička načela u visokom obrazovanju, znanstvenom radu, objavljivanju rezultata, odnosima među znanstvenicima, nastavnicima i drugim sudionicima u znanstvenom i obrazovnom procesu, postupcima i radnjama vezanim za tržišno natjecanje, te odnosu prema javnosti i sredstvima javnog priopćavanja, što bi u konačnici trebalo rezultirati podizanjem profesionalne odgovornosti i ugleda hrvatske znanstvene zajednice u zemlji i inozemstvu.</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Povećanje broja visokih učilišta koja su usklađena sa Europskim standardima i smjernicama i ostalim EU standardi</w:t>
            </w:r>
          </w:p>
        </w:tc>
        <w:tc>
          <w:tcPr>
            <w:tcW w:w="1114" w:type="dxa"/>
          </w:tcPr>
          <w:p w:rsidR="00D849AA" w:rsidRDefault="00EE6D95">
            <w:r>
              <w:t>Broj</w:t>
            </w:r>
          </w:p>
        </w:tc>
        <w:tc>
          <w:tcPr>
            <w:tcW w:w="1114" w:type="dxa"/>
          </w:tcPr>
          <w:p w:rsidR="00D849AA" w:rsidRDefault="00EE6D95">
            <w:r>
              <w:t>0</w:t>
            </w:r>
          </w:p>
        </w:tc>
        <w:tc>
          <w:tcPr>
            <w:tcW w:w="1486" w:type="dxa"/>
          </w:tcPr>
          <w:p w:rsidR="00D849AA" w:rsidRDefault="00EE6D95">
            <w:r>
              <w:t>30</w:t>
            </w:r>
          </w:p>
        </w:tc>
        <w:tc>
          <w:tcPr>
            <w:tcW w:w="1486" w:type="dxa"/>
          </w:tcPr>
          <w:p w:rsidR="00D849AA" w:rsidRDefault="00EE6D95">
            <w:r>
              <w:t>30</w:t>
            </w:r>
          </w:p>
        </w:tc>
        <w:tc>
          <w:tcPr>
            <w:tcW w:w="1486" w:type="dxa"/>
          </w:tcPr>
          <w:p w:rsidR="00D849AA" w:rsidRDefault="00EE6D95">
            <w:r>
              <w:t>30</w:t>
            </w:r>
          </w:p>
        </w:tc>
      </w:tr>
    </w:tbl>
    <w:p w:rsidR="00D849AA" w:rsidRDefault="00D849AA">
      <w:pPr>
        <w:jc w:val="left"/>
      </w:pPr>
    </w:p>
    <w:p w:rsidR="00D849AA" w:rsidRDefault="00EE6D95">
      <w:pPr>
        <w:pStyle w:val="Naslov7"/>
      </w:pPr>
      <w:r>
        <w:t>Cilj 2. Povećanje kvalitete znanstvenih organizacija u Republici Hrvatskoj</w:t>
      </w:r>
    </w:p>
    <w:p w:rsidR="00D849AA" w:rsidRDefault="00EE6D95">
      <w:pPr>
        <w:pStyle w:val="Normal6"/>
      </w:pPr>
      <w:r>
        <w:t xml:space="preserve">Svim postupcima vrednovanja znanstvenih organizacija cilj je povećati racionalnost javnog financiranja, a time i njihovu učinkovitost, suradnju sa gospodarstvom i doprinos razvoju društva. Postupak reakreditacije usmjeren je na detektiranje znanstvenih organizacija koje ne udovoljavaju minimalnim kriterijima kvalitete i kojima će se uskratiti dopusnica, a samim tim i financiranje iz državnog proračuna. Reakreditacija rezultira i ocjenom kvalitete koja može utjecati na javno financiranje, odnosno nagraditi izvrsnost.  </w:t>
      </w:r>
    </w:p>
    <w:p w:rsidR="00D849AA" w:rsidRDefault="00EE6D95">
      <w:pPr>
        <w:pStyle w:val="Normal6"/>
      </w:pPr>
      <w:r>
        <w:t xml:space="preserve">Inicijalnom akreditacijom sprječava se osnivanje novih znanstvenih organizacija koji ne zadovoljavaju minimalne uvjete kvalitete. Time se osigurava da se u Upisniku znanstvenih organizacija koje imaju pravo prijave na projekte javnog financiranja znanosti nalaze samo one organizacije koje imaju osigurane minimalne uvjete za obavljanje znanstvene djelatnosti, po pitanju ljudskih potencijala, opreme, prostora, strateških programa i dr.   </w:t>
      </w:r>
    </w:p>
    <w:p w:rsidR="00D849AA" w:rsidRDefault="00EE6D95">
      <w:pPr>
        <w:pStyle w:val="Normal6"/>
      </w:pPr>
      <w:r>
        <w:t xml:space="preserve">Tematska vrednovanja provode se na zahtjev resornog ministra, same znanstvene organizacije ili prema planu Akreditacijskog savjeta Agencije.Tematska vrednovanja predstavljaju izvanredan alat kojim se vrlo brzo mogu utvrditi eventualne nepravilnosti, ali i detektirati primjeri dobre prakse. </w:t>
      </w:r>
    </w:p>
    <w:p w:rsidR="00D849AA" w:rsidRDefault="00EE6D95">
      <w:pPr>
        <w:pStyle w:val="Normal6"/>
      </w:pPr>
      <w:r>
        <w:lastRenderedPageBreak/>
        <w:t>Radi racionalizacije postupaka koje provodi Agencija, ona visoka učilišta koja su ujedno i znanstvene organizacije reakreditirat će se u sklopu postupka reakreditacije visokih učilišta, koja su upisana u Upisnik znanstvenih organizacija, odnosno koja su sveučilište ili izvode sveučilišne studijske programe.</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Povećanje broja znanstvenih organizacija koje su usklađene s nacionalnim standardima temeljenim na principima znanstvene izvrsnosti EU</w:t>
            </w:r>
          </w:p>
        </w:tc>
        <w:tc>
          <w:tcPr>
            <w:tcW w:w="1114" w:type="dxa"/>
          </w:tcPr>
          <w:p w:rsidR="00D849AA" w:rsidRDefault="00EE6D95">
            <w:r>
              <w:t>Broj</w:t>
            </w:r>
          </w:p>
        </w:tc>
        <w:tc>
          <w:tcPr>
            <w:tcW w:w="1114" w:type="dxa"/>
          </w:tcPr>
          <w:p w:rsidR="00D849AA" w:rsidRDefault="00EE6D95">
            <w:r>
              <w:t>25</w:t>
            </w:r>
          </w:p>
        </w:tc>
        <w:tc>
          <w:tcPr>
            <w:tcW w:w="1486" w:type="dxa"/>
          </w:tcPr>
          <w:p w:rsidR="00D849AA" w:rsidRDefault="00EE6D95">
            <w:r>
              <w:t>63</w:t>
            </w:r>
          </w:p>
        </w:tc>
        <w:tc>
          <w:tcPr>
            <w:tcW w:w="1486" w:type="dxa"/>
          </w:tcPr>
          <w:p w:rsidR="00D849AA" w:rsidRDefault="00EE6D95">
            <w:r>
              <w:t>35</w:t>
            </w:r>
          </w:p>
        </w:tc>
        <w:tc>
          <w:tcPr>
            <w:tcW w:w="1486" w:type="dxa"/>
          </w:tcPr>
          <w:p w:rsidR="00D849AA" w:rsidRDefault="00EE6D95">
            <w:r>
              <w:t>35</w:t>
            </w:r>
          </w:p>
        </w:tc>
      </w:tr>
    </w:tbl>
    <w:p w:rsidR="00D849AA" w:rsidRDefault="00D849AA">
      <w:pPr>
        <w:jc w:val="left"/>
      </w:pPr>
    </w:p>
    <w:p w:rsidR="00D849AA" w:rsidRDefault="00EE6D95">
      <w:pPr>
        <w:pStyle w:val="Naslov7"/>
      </w:pPr>
      <w:r>
        <w:t>Cilj 3. Razvoj dijela Nacionalnog informacijskog sustava visokog obrazovanja i znanosti (NISVOZ) – informacijski sustav o kvaliteti visokog obrazovanja i znanosti (IS kvaliteta)</w:t>
      </w:r>
    </w:p>
    <w:p w:rsidR="00D849AA" w:rsidRDefault="00EE6D95">
      <w:pPr>
        <w:pStyle w:val="Normal6"/>
      </w:pPr>
      <w:r>
        <w:t>NISVOZ je projekt nacionalnog informacijskog sustava u svrhu dobivanja kompletnih i vjerodostojnih statistika i izvješća o sustavu visokog obrazovanja i znanosti RH, pružanja informatičke podrške postupcima osiguravanja kvalitete, vrednovanja i akreditacije visokih učilišta koje provodi Agencija sukladno Zakonu o osiguravanju kvalitete u visokom obrazovanju i znanosti. Dio NISVOZ-a koji će se razvijati pri Agenciji za znanost i visoko obrazovanje u okviru Europskog socijalnog fonda (ESF) je informacijski sustav o kvaliteti visokog obrazovanja i znanosti (IS kvalitete). Projekt AZVO-a sadržavat će razvoj izvještajnog sustava (skladišta podataka/data warehouse) o kvaliteti visokog obrazovanja i znanosti te će pružati analitike i statistike na nacionalnoj razini koje su, između ostalog, potrebne za planiranje, provedbu i analizu vanjskih vrednovanja koje provodi AZVO. Projekt informacijskog sustava o kvaliteti visokog obrazovanja i znanosti neće uključivati razvoj nacionalnih registara visokih učilišta, znanstvenih organizacija, studijskih programa, nastavnika i znanstvenika te studenata budući da će navedene registre razvijati SRCE uz potporu MZOS-a. Registarski dio ISVU-a bit će korišten kao izvor podataka za informacijski sustav o kvaliteti visokog obrazovanja i znanosti.</w:t>
      </w:r>
    </w:p>
    <w:p w:rsidR="001A0148" w:rsidRDefault="001A0148">
      <w:pPr>
        <w:pStyle w:val="Normal6"/>
      </w:pPr>
    </w:p>
    <w:p w:rsidR="001A0148" w:rsidRDefault="001A0148">
      <w:pPr>
        <w:pStyle w:val="Normal6"/>
      </w:pPr>
    </w:p>
    <w:p w:rsidR="001A0148" w:rsidRDefault="001A0148">
      <w:pPr>
        <w:pStyle w:val="Normal6"/>
      </w:pPr>
    </w:p>
    <w:p w:rsidR="001A0148" w:rsidRDefault="001A0148">
      <w:pPr>
        <w:pStyle w:val="Normal6"/>
      </w:pPr>
    </w:p>
    <w:p w:rsidR="001A0148" w:rsidRDefault="001A0148">
      <w:pPr>
        <w:pStyle w:val="Normal6"/>
      </w:pPr>
    </w:p>
    <w:p w:rsidR="001A0148" w:rsidRDefault="001A0148">
      <w:pPr>
        <w:pStyle w:val="Normal6"/>
      </w:pPr>
    </w:p>
    <w:p w:rsidR="001A0148" w:rsidRDefault="001A0148">
      <w:pPr>
        <w:pStyle w:val="Normal6"/>
      </w:pPr>
    </w:p>
    <w:p w:rsidR="001A0148" w:rsidRDefault="001A0148">
      <w:pPr>
        <w:pStyle w:val="Normal6"/>
      </w:pPr>
    </w:p>
    <w:p w:rsidR="001A0148" w:rsidRDefault="001A0148">
      <w:pPr>
        <w:pStyle w:val="Normal6"/>
      </w:pPr>
    </w:p>
    <w:p w:rsidR="001A0148" w:rsidRDefault="001A0148">
      <w:pPr>
        <w:pStyle w:val="Normal6"/>
      </w:pPr>
    </w:p>
    <w:p w:rsidR="00D849AA" w:rsidRDefault="00EE6D95">
      <w:pPr>
        <w:pStyle w:val="Naslov8"/>
        <w:jc w:val="left"/>
      </w:pPr>
      <w:r>
        <w:lastRenderedPageBreak/>
        <w:t>Pokazatelji učinka</w:t>
      </w:r>
    </w:p>
    <w:tbl>
      <w:tblPr>
        <w:tblStyle w:val="Reetkatablice"/>
        <w:tblW w:w="0" w:type="auto"/>
        <w:jc w:val="center"/>
        <w:tblLook w:val="04A0" w:firstRow="1" w:lastRow="0" w:firstColumn="1" w:lastColumn="0" w:noHBand="0" w:noVBand="1"/>
      </w:tblPr>
      <w:tblGrid>
        <w:gridCol w:w="2060"/>
        <w:gridCol w:w="1450"/>
        <w:gridCol w:w="1394"/>
        <w:gridCol w:w="1483"/>
        <w:gridCol w:w="1467"/>
        <w:gridCol w:w="1434"/>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IS kvalitete visokog obrazovanja i znanosti u funkciji</w:t>
            </w:r>
          </w:p>
        </w:tc>
        <w:tc>
          <w:tcPr>
            <w:tcW w:w="1114" w:type="dxa"/>
          </w:tcPr>
          <w:p w:rsidR="00D849AA" w:rsidRDefault="00EE6D95">
            <w:r>
              <w:t>Funkcionalnost sustava</w:t>
            </w:r>
          </w:p>
        </w:tc>
        <w:tc>
          <w:tcPr>
            <w:tcW w:w="1114" w:type="dxa"/>
          </w:tcPr>
          <w:p w:rsidR="00D849AA" w:rsidRDefault="00EE6D95">
            <w:r>
              <w:t>Natječajna dokumentacija</w:t>
            </w:r>
          </w:p>
        </w:tc>
        <w:tc>
          <w:tcPr>
            <w:tcW w:w="1486" w:type="dxa"/>
          </w:tcPr>
          <w:p w:rsidR="00D849AA" w:rsidRDefault="00EE6D95">
            <w:r>
              <w:t>Razvoj funkcionalnosti IS kvalitete sukladno sistemskim specifikacijama (System Design)</w:t>
            </w:r>
          </w:p>
        </w:tc>
        <w:tc>
          <w:tcPr>
            <w:tcW w:w="1486" w:type="dxa"/>
          </w:tcPr>
          <w:p w:rsidR="00D849AA" w:rsidRDefault="00EE6D95">
            <w:r>
              <w:t>Dovršetak ESF projekta razvoja IS kvalitete; IS implementiran kao statističko-izvještajni informacijski sustav o kvaliteti u znanosti i visokom obrazovanju</w:t>
            </w:r>
          </w:p>
        </w:tc>
        <w:tc>
          <w:tcPr>
            <w:tcW w:w="1486" w:type="dxa"/>
          </w:tcPr>
          <w:p w:rsidR="00D849AA" w:rsidRDefault="00EE6D95">
            <w:r>
              <w:t>Održavanje IS kvalitete – skladišta podataka povezanog s registarskim dijelom ISVU-a</w:t>
            </w:r>
          </w:p>
        </w:tc>
      </w:tr>
    </w:tbl>
    <w:p w:rsidR="00D849AA" w:rsidRDefault="00D849AA">
      <w:pPr>
        <w:jc w:val="left"/>
      </w:pPr>
    </w:p>
    <w:p w:rsidR="00D849AA" w:rsidRDefault="00EE6D95">
      <w:pPr>
        <w:pStyle w:val="Naslov7"/>
      </w:pPr>
      <w:r>
        <w:t>Cilj 4. Unaprjeđenje i modernizacija postupka prijava na studijske programe visokih učilišta kroz Nacionalni informacijski sustav</w:t>
      </w:r>
    </w:p>
    <w:p w:rsidR="00D849AA" w:rsidRDefault="00EE6D95">
      <w:pPr>
        <w:pStyle w:val="Normal6"/>
      </w:pPr>
      <w:r>
        <w:t>Unaprjeđenje sustava odnosila bi se na promjenu sučelja za registraciju novih, kao i postojećih kandidata i rekonstruiranje baze podataka kako bi se postigao modularni sustav koji se može lako prilagoditi novim zahtjevima visokih učilišta. Uvjeti za upis mijenjaju se svake godine, pa sustav mora biti u stanju brzo reagirati na promjene. Modernizacija sustava odnosi se i na poslužiteljski i na klijentski dio sustava u skladu s najnovijim trendovima IT tehnologije i zahtjeva EU.</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167"/>
        <w:gridCol w:w="1450"/>
        <w:gridCol w:w="1238"/>
        <w:gridCol w:w="1474"/>
        <w:gridCol w:w="1474"/>
        <w:gridCol w:w="1485"/>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NISpVU je unaprjeđen</w:t>
            </w:r>
          </w:p>
        </w:tc>
        <w:tc>
          <w:tcPr>
            <w:tcW w:w="1114" w:type="dxa"/>
          </w:tcPr>
          <w:p w:rsidR="00D849AA" w:rsidRDefault="00EE6D95">
            <w:r>
              <w:t>Funkcionalnost sustava</w:t>
            </w:r>
          </w:p>
        </w:tc>
        <w:tc>
          <w:tcPr>
            <w:tcW w:w="1114" w:type="dxa"/>
          </w:tcPr>
          <w:p w:rsidR="00D849AA" w:rsidRDefault="00EE6D95">
            <w:r>
              <w:t>Samoanaliza SPU-a</w:t>
            </w:r>
          </w:p>
        </w:tc>
        <w:tc>
          <w:tcPr>
            <w:tcW w:w="1486" w:type="dxa"/>
          </w:tcPr>
          <w:p w:rsidR="00D849AA" w:rsidRDefault="00EE6D95">
            <w:r>
              <w:t>NISpVU je unaprjeđen te kandidatima omogućuje bržu i jednostavniju prijavu</w:t>
            </w:r>
          </w:p>
        </w:tc>
        <w:tc>
          <w:tcPr>
            <w:tcW w:w="1486" w:type="dxa"/>
          </w:tcPr>
          <w:p w:rsidR="00D849AA" w:rsidRDefault="00EE6D95">
            <w:r>
              <w:t>NISpVU je unaprjeđen te kandidatima omogućuje bržu i jednostavniju prijavu</w:t>
            </w:r>
          </w:p>
        </w:tc>
        <w:tc>
          <w:tcPr>
            <w:tcW w:w="1486" w:type="dxa"/>
          </w:tcPr>
          <w:p w:rsidR="00D849AA" w:rsidRDefault="00EE6D95">
            <w:r>
              <w:t>NISpVU je moderniziran i implementirane su sve suvremene opcije</w:t>
            </w:r>
          </w:p>
        </w:tc>
      </w:tr>
    </w:tbl>
    <w:p w:rsidR="00D849AA" w:rsidRDefault="00EE6D95">
      <w:pPr>
        <w:pStyle w:val="Naslov5"/>
      </w:pPr>
      <w:r>
        <w:t>Procjena i ishodište potrebnih sredstava za značajnije aktivnosti/projekte</w:t>
      </w:r>
    </w:p>
    <w:p w:rsidR="00D849AA" w:rsidRDefault="00EE6D95">
      <w:pPr>
        <w:pStyle w:val="Naslov6"/>
      </w:pPr>
      <w:r>
        <w:t>A621179 TROŠKOVI NACIONALNOG VIJEĆA ZA ZNANOST I VISOKO OBRAZOVANJE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A621179</w:t>
            </w:r>
          </w:p>
        </w:tc>
        <w:tc>
          <w:tcPr>
            <w:tcW w:w="1486" w:type="dxa"/>
          </w:tcPr>
          <w:p w:rsidR="00D849AA" w:rsidRDefault="00EE6D95">
            <w:r>
              <w:t>1.431.187</w:t>
            </w:r>
          </w:p>
        </w:tc>
        <w:tc>
          <w:tcPr>
            <w:tcW w:w="1486" w:type="dxa"/>
          </w:tcPr>
          <w:p w:rsidR="00D849AA" w:rsidRDefault="00EE6D95">
            <w:r>
              <w:t>1.325.610</w:t>
            </w:r>
          </w:p>
        </w:tc>
        <w:tc>
          <w:tcPr>
            <w:tcW w:w="1486" w:type="dxa"/>
          </w:tcPr>
          <w:p w:rsidR="00D849AA" w:rsidRDefault="00EE6D95">
            <w:r>
              <w:t>1.221.705</w:t>
            </w:r>
          </w:p>
        </w:tc>
        <w:tc>
          <w:tcPr>
            <w:tcW w:w="1486" w:type="dxa"/>
          </w:tcPr>
          <w:p w:rsidR="00D849AA" w:rsidRDefault="00EE6D95">
            <w:r>
              <w:t>1.215.596</w:t>
            </w:r>
          </w:p>
        </w:tc>
        <w:tc>
          <w:tcPr>
            <w:tcW w:w="1486" w:type="dxa"/>
          </w:tcPr>
          <w:p w:rsidR="00D849AA" w:rsidRDefault="00EE6D95">
            <w:r>
              <w:t>92,6</w:t>
            </w:r>
          </w:p>
        </w:tc>
      </w:tr>
    </w:tbl>
    <w:p w:rsidR="00D849AA" w:rsidRDefault="00D849AA">
      <w:pPr>
        <w:jc w:val="left"/>
      </w:pPr>
    </w:p>
    <w:p w:rsidR="00D849AA" w:rsidRDefault="00EE6D95">
      <w:pPr>
        <w:pStyle w:val="Normal6"/>
      </w:pPr>
      <w:r>
        <w:lastRenderedPageBreak/>
        <w:t xml:space="preserve">Prema Zakonu o znanstvenoj djelatnosti i visokom obrazovanju Nacionalno vijeće za znanost, visoko obrazovanje i tehnološki razvoj najviše je stručno tijelo koje se brine za razvitak i kvalitetu cjelokupne znanstvene djelatnosti i sustava znanosti, visokog obrazovanja i tehnološkog razvoja u Republici Hrvatskoj. Nacionalno vijeće za znanost, visoko obrazovanje i tehnološki razvoj raspravlja pitanja od važnosti za znanstvenu djelatnost te predlaže i potiče donošenje mjera za njezino unapređenje; predlaže i potiče donošenje mjera za unapređenje visokog obrazovanja; daje suglasnost na uvjete Rektorskog zbora i Vijeća veleučilišta i visokih škola za stjecanje znanstveno-nastavnih, umjetničko-nastavnih i nastavnih zvanja; prati razvitak i utvrđuje znanstvena i umjetnička područja i polja, imenuje područna znanstvena i umjetnička vijeća te matične odbore za pojedina polja; općim aktom utvrđuje uvjete za stjecanje znanstvenih zvanja; općim aktom utvrđuje minimalne uvjete radnih obveza za znanstveno, znanstveno-nastavna i umjetničko-nastavna zvanja o kojima se podnosi izvješće; utvrđuje uvjete koje trebaju ispuniti znanstvene organizacije i visoka učilišta u području umjetnosti da bi dobile ovlaštenje za provođenje postupka izbora u znanstvena zvanja odnosno umjetničku komponentu umjetničko-nastavnih zvanja; donosi kriterije izvrsnosti za odabir znanstvenika i nastavnika za produljenje ugovora o radu nakon 65 godina života; propisuje minimalne uvjete radnih obveza za reizbor na znanstvena, znanstveno-nastavna, umjetničko-nastavna, nastavna i stručna radna mjesta; predlaže proglašavanje znanstvenih centara izvrsnosti te daje mišljenje o osnivanju znanstveno-tehnologijskih parkova i kolaborativnih tehnologijskih centara; predlaže kriterije i odnose raspodjele proračunskih sredstava za znanstvenu djelatnost i visoko obrazovanje te tehnološki razvoj; predlaže i potiče sudjelovanje drugih subjekata i organizacija civilnog društva, posebno tijela državne uprave, tijela jedinica lokalne i područne (regionalne) samouprave te gospodarskih subjekata u sustavu znanstvene djelatnosti i visokog obrazovanja; predlaže mjere i poduzima aktivnosti za afirmaciju i napredovanje znanstvenog i nastavnog pomlatka; imenuje članove Savjeta za financiranje znanstvene djelatnosti i visokog obrazovanja; predlaže i potiče mjere vezane za policentrični sustav znanstvene djelatnosti i visokog obrazovanja u Republici Hrvatskoj te predlaže Hrvatskome saboru strateški dokument mreže javnih visokih učilišta i javnih znanstvenih instituta; raspravlja pitanja od važnosti za razvoj nacionalnoga inovacijskog sustava i predlaže i potiče donošenje mjera za njegovo unapređenje te poticanje tehnološkog razvoja; predlaže članove Odbora za etiku u znanosti i visokom obrazovanju; razmatra i daje svoje mišljenje o drugim pitanjima važnima za razvoj sustava znanosti i visokog obrazovanja u Republici Hrvatskoj. </w:t>
      </w:r>
    </w:p>
    <w:p w:rsidR="00D849AA" w:rsidRDefault="00EE6D95">
      <w:pPr>
        <w:pStyle w:val="Normal6"/>
      </w:pPr>
      <w:r>
        <w:t xml:space="preserve">Područna vijeća osnivaju se radi razmatranja pitanja iz nadležnosti Nacionalnog vijeća za znanost, visoko obrazovanje i tehnološki razvoj za pojedina znanstvena i umjetnička područja. Područna vijeća sudjeluju u izboru u znanstvena ili umjetničku komponentu umjetničko-nastavnih zvanja u posebnim slučajevima navedenim u članku 33. stavku 4. Zakona o znanstvenoj djelatnosti i visokom obrazovanju. </w:t>
      </w:r>
    </w:p>
    <w:p w:rsidR="00D849AA" w:rsidRDefault="00EE6D95">
      <w:pPr>
        <w:pStyle w:val="Normal6"/>
      </w:pPr>
      <w:r>
        <w:t xml:space="preserve">Matični odbori sudjeluju u izboru u znanstvena, znanstveno-nastavna i umjetničko-nastavna zvanja sukladno Zakonu o znanstvenoj djelatnosti i visokom obrazovanju i na njemu utemeljenim propisima. </w:t>
      </w:r>
    </w:p>
    <w:p w:rsidR="00D849AA" w:rsidRDefault="00EE6D95">
      <w:pPr>
        <w:pStyle w:val="Normal6"/>
      </w:pPr>
      <w:r>
        <w:t xml:space="preserve">Savjet za financiranje znanstvene djelatnosti i visokog obrazovanja je stručno tijelo Nacionalnog vijeća za znanost, visoko obrazovanje i tehnološki razvoj. </w:t>
      </w:r>
    </w:p>
    <w:p w:rsidR="00D849AA" w:rsidRDefault="00EE6D95">
      <w:pPr>
        <w:pStyle w:val="Normal6"/>
      </w:pPr>
      <w:r>
        <w:t xml:space="preserve">Stručna povjerenstva sudjeluju u izradi i donošenju preporuka, odluka, zaključaka i drugih mišljenja za potrebe Nacionalnog vijeća za znanost. </w:t>
      </w:r>
    </w:p>
    <w:p w:rsidR="00D849AA" w:rsidRDefault="00EE6D95">
      <w:pPr>
        <w:pStyle w:val="Normal6"/>
      </w:pPr>
      <w:r>
        <w:t>Navedenu problematiku Nacionalno vijeće za znanost, visoko obrazovanje i tehnološki razvoj, područna znanstvena vijeća, umjetničko vijeće, matični odbori, Savjet za financiranje znanstvene djelatnosti i visokog obrazovanja i stručna povjerenstva odrađuju na svojim sjednicama.</w:t>
      </w:r>
    </w:p>
    <w:p w:rsidR="00D849AA" w:rsidRDefault="00EE6D95">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Broj usvojenih preporuka, odluka i dokumenata</w:t>
            </w:r>
          </w:p>
        </w:tc>
        <w:tc>
          <w:tcPr>
            <w:tcW w:w="1114" w:type="dxa"/>
          </w:tcPr>
          <w:p w:rsidR="00D849AA" w:rsidRDefault="00EE6D95">
            <w:r>
              <w:t>broj</w:t>
            </w:r>
          </w:p>
        </w:tc>
        <w:tc>
          <w:tcPr>
            <w:tcW w:w="1114" w:type="dxa"/>
          </w:tcPr>
          <w:p w:rsidR="00D849AA" w:rsidRDefault="00EE6D95">
            <w:r>
              <w:t>održana sjednica</w:t>
            </w:r>
          </w:p>
        </w:tc>
        <w:tc>
          <w:tcPr>
            <w:tcW w:w="1486" w:type="dxa"/>
          </w:tcPr>
          <w:p w:rsidR="00D849AA" w:rsidRDefault="00EE6D95">
            <w:r>
              <w:t>12</w:t>
            </w:r>
          </w:p>
        </w:tc>
        <w:tc>
          <w:tcPr>
            <w:tcW w:w="1486" w:type="dxa"/>
          </w:tcPr>
          <w:p w:rsidR="00D849AA" w:rsidRDefault="00EE6D95">
            <w:r>
              <w:t>12</w:t>
            </w:r>
          </w:p>
        </w:tc>
        <w:tc>
          <w:tcPr>
            <w:tcW w:w="1486" w:type="dxa"/>
          </w:tcPr>
          <w:p w:rsidR="00D849AA" w:rsidRDefault="00EE6D95">
            <w:r>
              <w:t>12</w:t>
            </w:r>
          </w:p>
        </w:tc>
      </w:tr>
      <w:tr w:rsidR="00D849AA">
        <w:trPr>
          <w:jc w:val="center"/>
        </w:trPr>
        <w:tc>
          <w:tcPr>
            <w:tcW w:w="2229" w:type="dxa"/>
          </w:tcPr>
          <w:p w:rsidR="00D849AA" w:rsidRDefault="00EE6D95">
            <w:pPr>
              <w:pStyle w:val="CellColumn"/>
            </w:pPr>
            <w:r>
              <w:t>Broj donesenih mišljenja i preporuka</w:t>
            </w:r>
          </w:p>
        </w:tc>
        <w:tc>
          <w:tcPr>
            <w:tcW w:w="1114" w:type="dxa"/>
          </w:tcPr>
          <w:p w:rsidR="00D849AA" w:rsidRDefault="00EE6D95">
            <w:r>
              <w:t>broj</w:t>
            </w:r>
          </w:p>
        </w:tc>
        <w:tc>
          <w:tcPr>
            <w:tcW w:w="1114" w:type="dxa"/>
          </w:tcPr>
          <w:p w:rsidR="00D849AA" w:rsidRDefault="00EE6D95">
            <w:r>
              <w:t>održana sjednica</w:t>
            </w:r>
          </w:p>
        </w:tc>
        <w:tc>
          <w:tcPr>
            <w:tcW w:w="1486" w:type="dxa"/>
          </w:tcPr>
          <w:p w:rsidR="00D849AA" w:rsidRDefault="00EE6D95">
            <w:r>
              <w:t>40</w:t>
            </w:r>
          </w:p>
        </w:tc>
        <w:tc>
          <w:tcPr>
            <w:tcW w:w="1486" w:type="dxa"/>
          </w:tcPr>
          <w:p w:rsidR="00D849AA" w:rsidRDefault="00EE6D95">
            <w:r>
              <w:t>40</w:t>
            </w:r>
          </w:p>
        </w:tc>
        <w:tc>
          <w:tcPr>
            <w:tcW w:w="1486" w:type="dxa"/>
          </w:tcPr>
          <w:p w:rsidR="00D849AA" w:rsidRDefault="00EE6D95">
            <w:r>
              <w:t>40</w:t>
            </w:r>
          </w:p>
        </w:tc>
      </w:tr>
      <w:tr w:rsidR="00D849AA">
        <w:trPr>
          <w:jc w:val="center"/>
        </w:trPr>
        <w:tc>
          <w:tcPr>
            <w:tcW w:w="2229" w:type="dxa"/>
          </w:tcPr>
          <w:p w:rsidR="00D849AA" w:rsidRDefault="00EE6D95">
            <w:pPr>
              <w:pStyle w:val="CellColumn"/>
            </w:pPr>
            <w:r>
              <w:t>Izbor u znanstvena zvanja</w:t>
            </w:r>
          </w:p>
        </w:tc>
        <w:tc>
          <w:tcPr>
            <w:tcW w:w="1114" w:type="dxa"/>
          </w:tcPr>
          <w:p w:rsidR="00D849AA" w:rsidRDefault="00EE6D95">
            <w:r>
              <w:t>broj</w:t>
            </w:r>
          </w:p>
        </w:tc>
        <w:tc>
          <w:tcPr>
            <w:tcW w:w="1114" w:type="dxa"/>
          </w:tcPr>
          <w:p w:rsidR="00D849AA" w:rsidRDefault="00EE6D95">
            <w:r>
              <w:t>održana sjednica</w:t>
            </w:r>
          </w:p>
        </w:tc>
        <w:tc>
          <w:tcPr>
            <w:tcW w:w="1486" w:type="dxa"/>
          </w:tcPr>
          <w:p w:rsidR="00D849AA" w:rsidRDefault="00EE6D95">
            <w:r>
              <w:t>100</w:t>
            </w:r>
          </w:p>
        </w:tc>
        <w:tc>
          <w:tcPr>
            <w:tcW w:w="1486" w:type="dxa"/>
          </w:tcPr>
          <w:p w:rsidR="00D849AA" w:rsidRDefault="00EE6D95">
            <w:r>
              <w:t>100</w:t>
            </w:r>
          </w:p>
        </w:tc>
        <w:tc>
          <w:tcPr>
            <w:tcW w:w="1486" w:type="dxa"/>
          </w:tcPr>
          <w:p w:rsidR="00D849AA" w:rsidRDefault="00EE6D95">
            <w:r>
              <w:t>100</w:t>
            </w:r>
          </w:p>
        </w:tc>
      </w:tr>
      <w:tr w:rsidR="00D849AA">
        <w:trPr>
          <w:jc w:val="center"/>
        </w:trPr>
        <w:tc>
          <w:tcPr>
            <w:tcW w:w="2229" w:type="dxa"/>
          </w:tcPr>
          <w:p w:rsidR="00D849AA" w:rsidRDefault="00EE6D95">
            <w:pPr>
              <w:pStyle w:val="CellColumn"/>
            </w:pPr>
            <w:r>
              <w:t>Broj donesenih prijedloga i preporuka dokumenata</w:t>
            </w:r>
          </w:p>
        </w:tc>
        <w:tc>
          <w:tcPr>
            <w:tcW w:w="1114" w:type="dxa"/>
          </w:tcPr>
          <w:p w:rsidR="00D849AA" w:rsidRDefault="00EE6D95">
            <w:r>
              <w:t>broj</w:t>
            </w:r>
          </w:p>
        </w:tc>
        <w:tc>
          <w:tcPr>
            <w:tcW w:w="1114" w:type="dxa"/>
          </w:tcPr>
          <w:p w:rsidR="00D849AA" w:rsidRDefault="00EE6D95">
            <w:r>
              <w:t>održana sjednica</w:t>
            </w:r>
          </w:p>
        </w:tc>
        <w:tc>
          <w:tcPr>
            <w:tcW w:w="1486" w:type="dxa"/>
          </w:tcPr>
          <w:p w:rsidR="00D849AA" w:rsidRDefault="00EE6D95">
            <w:r>
              <w:t>7</w:t>
            </w:r>
          </w:p>
        </w:tc>
        <w:tc>
          <w:tcPr>
            <w:tcW w:w="1486" w:type="dxa"/>
          </w:tcPr>
          <w:p w:rsidR="00D849AA" w:rsidRDefault="00EE6D95">
            <w:r>
              <w:t>7</w:t>
            </w:r>
          </w:p>
        </w:tc>
        <w:tc>
          <w:tcPr>
            <w:tcW w:w="1486" w:type="dxa"/>
          </w:tcPr>
          <w:p w:rsidR="00D849AA" w:rsidRDefault="00EE6D95">
            <w:r>
              <w:t>7</w:t>
            </w:r>
          </w:p>
        </w:tc>
      </w:tr>
      <w:tr w:rsidR="00D849AA">
        <w:trPr>
          <w:jc w:val="center"/>
        </w:trPr>
        <w:tc>
          <w:tcPr>
            <w:tcW w:w="2229" w:type="dxa"/>
          </w:tcPr>
          <w:p w:rsidR="00D849AA" w:rsidRDefault="00EE6D95">
            <w:pPr>
              <w:pStyle w:val="CellColumn"/>
            </w:pPr>
            <w:r>
              <w:t>Broj donesenih mišljenja i preporuka</w:t>
            </w:r>
          </w:p>
        </w:tc>
        <w:tc>
          <w:tcPr>
            <w:tcW w:w="1114" w:type="dxa"/>
          </w:tcPr>
          <w:p w:rsidR="00D849AA" w:rsidRDefault="00EE6D95">
            <w:r>
              <w:t>broj</w:t>
            </w:r>
          </w:p>
        </w:tc>
        <w:tc>
          <w:tcPr>
            <w:tcW w:w="1114" w:type="dxa"/>
          </w:tcPr>
          <w:p w:rsidR="00D849AA" w:rsidRDefault="00EE6D95">
            <w:r>
              <w:t>održana sjednica</w:t>
            </w:r>
          </w:p>
        </w:tc>
        <w:tc>
          <w:tcPr>
            <w:tcW w:w="1486" w:type="dxa"/>
          </w:tcPr>
          <w:p w:rsidR="00D849AA" w:rsidRDefault="00EE6D95">
            <w:r>
              <w:t>6</w:t>
            </w:r>
          </w:p>
        </w:tc>
        <w:tc>
          <w:tcPr>
            <w:tcW w:w="1486" w:type="dxa"/>
          </w:tcPr>
          <w:p w:rsidR="00D849AA" w:rsidRDefault="00EE6D95">
            <w:r>
              <w:t>6</w:t>
            </w:r>
          </w:p>
        </w:tc>
        <w:tc>
          <w:tcPr>
            <w:tcW w:w="1486" w:type="dxa"/>
          </w:tcPr>
          <w:p w:rsidR="00D849AA" w:rsidRDefault="00EE6D95">
            <w:r>
              <w:t>6</w:t>
            </w:r>
          </w:p>
        </w:tc>
      </w:tr>
    </w:tbl>
    <w:p w:rsidR="00D849AA" w:rsidRDefault="00D849AA">
      <w:pPr>
        <w:jc w:val="left"/>
      </w:pPr>
    </w:p>
    <w:p w:rsidR="00D849AA" w:rsidRDefault="00EE6D95">
      <w:pPr>
        <w:pStyle w:val="Naslov6"/>
      </w:pPr>
      <w:r>
        <w:t>A621190 VANJSKA PROSUDBA SUSTAVA OSIGURANJA KVALITETE VISOKIH UČILIŠTA I ZNANSTVENIH ORGANIZACIJA (VP)</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A621190</w:t>
            </w:r>
          </w:p>
        </w:tc>
        <w:tc>
          <w:tcPr>
            <w:tcW w:w="1486" w:type="dxa"/>
          </w:tcPr>
          <w:p w:rsidR="00D849AA" w:rsidRDefault="00EE6D95">
            <w:r>
              <w:t>585.019</w:t>
            </w:r>
          </w:p>
        </w:tc>
        <w:tc>
          <w:tcPr>
            <w:tcW w:w="1486" w:type="dxa"/>
          </w:tcPr>
          <w:p w:rsidR="00D849AA" w:rsidRDefault="00EE6D95">
            <w:r>
              <w:t>579.168</w:t>
            </w:r>
          </w:p>
        </w:tc>
        <w:tc>
          <w:tcPr>
            <w:tcW w:w="1486" w:type="dxa"/>
          </w:tcPr>
          <w:p w:rsidR="00D849AA" w:rsidRDefault="00EE6D95">
            <w:r>
              <w:t>561.415</w:t>
            </w:r>
          </w:p>
        </w:tc>
        <w:tc>
          <w:tcPr>
            <w:tcW w:w="1486" w:type="dxa"/>
          </w:tcPr>
          <w:p w:rsidR="00D849AA" w:rsidRDefault="00EE6D95">
            <w:r>
              <w:t>558.608</w:t>
            </w:r>
          </w:p>
        </w:tc>
        <w:tc>
          <w:tcPr>
            <w:tcW w:w="1486" w:type="dxa"/>
          </w:tcPr>
          <w:p w:rsidR="00D849AA" w:rsidRDefault="00EE6D95">
            <w:r>
              <w:t>99,0</w:t>
            </w:r>
          </w:p>
        </w:tc>
      </w:tr>
    </w:tbl>
    <w:p w:rsidR="00D849AA" w:rsidRDefault="00D849AA">
      <w:pPr>
        <w:jc w:val="left"/>
      </w:pPr>
    </w:p>
    <w:p w:rsidR="00D849AA" w:rsidRDefault="00EE6D95">
      <w:pPr>
        <w:pStyle w:val="Normal6"/>
      </w:pPr>
      <w:r>
        <w:t>Postupkom vanjske prosudbe prosuđuje se stupanj razvijenosti i učinkovitosti sustava osiguravanja visokih učilišta te potiče kultura samovrednovanja visokih učilišta, jačanje odgovornosti, promoviranje dobre prakse kao i razvoj interne kulture kvalitete. Sva završna izvješća o provedenim vanjskim prosudbama javno se objavljuju na mrežnim stranicama Agencije. Visokim učilištima koja su zadovoljila propisane kriterije na kraju postupka vanjske prosudbe izdaje se certifikat, dok se za ona koja to nisu traži ponavljanje vanjske prosudbe u kraćem razdoblju (18 mjeseci) ili reakreditacija.</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Broj provedenih vanjskih prosudba</w:t>
            </w:r>
          </w:p>
        </w:tc>
        <w:tc>
          <w:tcPr>
            <w:tcW w:w="1114" w:type="dxa"/>
          </w:tcPr>
          <w:p w:rsidR="00D849AA" w:rsidRDefault="00EE6D95">
            <w:r>
              <w:t>broj</w:t>
            </w:r>
          </w:p>
        </w:tc>
        <w:tc>
          <w:tcPr>
            <w:tcW w:w="1114" w:type="dxa"/>
          </w:tcPr>
          <w:p w:rsidR="00D849AA" w:rsidRDefault="00EE6D95">
            <w:r>
              <w:t>0</w:t>
            </w:r>
          </w:p>
        </w:tc>
        <w:tc>
          <w:tcPr>
            <w:tcW w:w="1486" w:type="dxa"/>
          </w:tcPr>
          <w:p w:rsidR="00D849AA" w:rsidRDefault="00EE6D95">
            <w:r>
              <w:t>9</w:t>
            </w:r>
          </w:p>
        </w:tc>
        <w:tc>
          <w:tcPr>
            <w:tcW w:w="1486" w:type="dxa"/>
          </w:tcPr>
          <w:p w:rsidR="00D849AA" w:rsidRDefault="00EE6D95">
            <w:r>
              <w:t>10</w:t>
            </w:r>
          </w:p>
        </w:tc>
        <w:tc>
          <w:tcPr>
            <w:tcW w:w="1486" w:type="dxa"/>
          </w:tcPr>
          <w:p w:rsidR="00D849AA" w:rsidRDefault="00EE6D95">
            <w:r>
              <w:t>10</w:t>
            </w:r>
          </w:p>
        </w:tc>
      </w:tr>
    </w:tbl>
    <w:p w:rsidR="00D849AA" w:rsidRDefault="00D849AA">
      <w:pPr>
        <w:jc w:val="left"/>
      </w:pPr>
    </w:p>
    <w:p w:rsidR="001A0148" w:rsidRDefault="001A0148">
      <w:pPr>
        <w:jc w:val="left"/>
      </w:pPr>
    </w:p>
    <w:p w:rsidR="00D849AA" w:rsidRDefault="00EE6D95">
      <w:pPr>
        <w:pStyle w:val="Naslov6"/>
      </w:pPr>
      <w:r>
        <w:lastRenderedPageBreak/>
        <w:t>A621192 TROŠKOVI SREDIŠNJEG PRIJAVNOG UREDA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A621192</w:t>
            </w:r>
          </w:p>
        </w:tc>
        <w:tc>
          <w:tcPr>
            <w:tcW w:w="1486" w:type="dxa"/>
          </w:tcPr>
          <w:p w:rsidR="00D849AA" w:rsidRDefault="00EE6D95">
            <w:r>
              <w:t>294.250</w:t>
            </w:r>
          </w:p>
        </w:tc>
        <w:tc>
          <w:tcPr>
            <w:tcW w:w="1486" w:type="dxa"/>
          </w:tcPr>
          <w:p w:rsidR="00D849AA" w:rsidRDefault="00EE6D95">
            <w:r>
              <w:t>291.308</w:t>
            </w:r>
          </w:p>
        </w:tc>
        <w:tc>
          <w:tcPr>
            <w:tcW w:w="1486" w:type="dxa"/>
          </w:tcPr>
          <w:p w:rsidR="00D849AA" w:rsidRDefault="00EE6D95">
            <w:r>
              <w:t>268.474</w:t>
            </w:r>
          </w:p>
        </w:tc>
        <w:tc>
          <w:tcPr>
            <w:tcW w:w="1486" w:type="dxa"/>
          </w:tcPr>
          <w:p w:rsidR="00D849AA" w:rsidRDefault="00EE6D95">
            <w:r>
              <w:t>267.132</w:t>
            </w:r>
          </w:p>
        </w:tc>
        <w:tc>
          <w:tcPr>
            <w:tcW w:w="1486" w:type="dxa"/>
          </w:tcPr>
          <w:p w:rsidR="00D849AA" w:rsidRDefault="00EE6D95">
            <w:r>
              <w:t>99,0</w:t>
            </w:r>
          </w:p>
        </w:tc>
      </w:tr>
    </w:tbl>
    <w:p w:rsidR="00D849AA" w:rsidRDefault="00D849AA">
      <w:pPr>
        <w:jc w:val="left"/>
      </w:pPr>
    </w:p>
    <w:p w:rsidR="00D849AA" w:rsidRDefault="00EE6D95">
      <w:pPr>
        <w:pStyle w:val="Normal6"/>
      </w:pPr>
      <w:r>
        <w:t>Središnji prijavni ured pruža informacije svim kandidatima za upis na visoka učilišta u RH, te zaprima i verificira propisanu važeću dokumentaciju kandidata izvan redovnog  obrazovnog sustava RH. Na taj se način kandidatima izvan redovnog obrazovnog sustava RH daje jednaka mogućnost prijave na visoka učilišta kao i kandidatima unutar redovnog obrazovnog sustava. Time se omogućuje transparentan upis na visoka učilišta te se sustav visokog obrazovanja unaprjeđuje na nacionalnoj razini.</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450"/>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NISpVU pokazuje da su svi kandidati uspješno prijavljeni</w:t>
            </w:r>
          </w:p>
        </w:tc>
        <w:tc>
          <w:tcPr>
            <w:tcW w:w="1114" w:type="dxa"/>
          </w:tcPr>
          <w:p w:rsidR="00D849AA" w:rsidRDefault="00EE6D95">
            <w:r>
              <w:t>Funkcionalnost sustava</w:t>
            </w:r>
          </w:p>
        </w:tc>
        <w:tc>
          <w:tcPr>
            <w:tcW w:w="1114" w:type="dxa"/>
          </w:tcPr>
          <w:p w:rsidR="00D849AA" w:rsidRDefault="00EE6D95">
            <w:r>
              <w:t>NISpVU sustav</w:t>
            </w:r>
          </w:p>
        </w:tc>
        <w:tc>
          <w:tcPr>
            <w:tcW w:w="1486" w:type="dxa"/>
          </w:tcPr>
          <w:p w:rsidR="00D849AA" w:rsidRDefault="00EE6D95">
            <w:r>
              <w:t>Uspješna prijava svih kandidata u NISpVU</w:t>
            </w:r>
          </w:p>
        </w:tc>
        <w:tc>
          <w:tcPr>
            <w:tcW w:w="1486" w:type="dxa"/>
          </w:tcPr>
          <w:p w:rsidR="00D849AA" w:rsidRDefault="00EE6D95">
            <w:r>
              <w:t>Uspješna prijava svih kandidata u NISpVU</w:t>
            </w:r>
          </w:p>
        </w:tc>
        <w:tc>
          <w:tcPr>
            <w:tcW w:w="1486" w:type="dxa"/>
          </w:tcPr>
          <w:p w:rsidR="00D849AA" w:rsidRDefault="00EE6D95">
            <w:r>
              <w:t>Uspješna prijava svih kandidata u NISpVU</w:t>
            </w:r>
          </w:p>
        </w:tc>
      </w:tr>
    </w:tbl>
    <w:p w:rsidR="00D849AA" w:rsidRDefault="00D849AA">
      <w:pPr>
        <w:jc w:val="left"/>
      </w:pPr>
    </w:p>
    <w:p w:rsidR="00D849AA" w:rsidRDefault="00EE6D95">
      <w:pPr>
        <w:pStyle w:val="Naslov3"/>
      </w:pPr>
      <w:r>
        <w:t>40883 Nacionalni centar za vanjsko vrednovanje obrazovanja</w:t>
      </w:r>
    </w:p>
    <w:p w:rsidR="00D849AA" w:rsidRDefault="00EE6D95">
      <w:pPr>
        <w:pStyle w:val="Naslov4"/>
      </w:pPr>
      <w:r>
        <w:t>Uvod</w:t>
      </w:r>
    </w:p>
    <w:p w:rsidR="00D849AA" w:rsidRDefault="00EE6D95">
      <w:pPr>
        <w:pStyle w:val="Normal5"/>
      </w:pPr>
      <w:r>
        <w:t xml:space="preserve">Nacionalni centar za vanjsko vrednovanje obrazovanja je javna ustanova koja obavlja poslove vanjskog vrednovanja u odgojno obrazovnom sustavu Republike Hrvatske i poslove provođenja ispita temeljenih na nacionalnim standardima a s ciljem unapređenja kvalitete obrazovanja. </w:t>
      </w:r>
    </w:p>
    <w:p w:rsidR="00D849AA" w:rsidRDefault="00EE6D95">
      <w:pPr>
        <w:pStyle w:val="Normal5"/>
      </w:pPr>
      <w:r>
        <w:t xml:space="preserve">Provođenje završnog ispita u četverogodišnjim školama – DRŽAVNA MATURA, i provođenje nacionalnih ispita u srednjim škola i funkcija vrednovanja obrazovnog sustava. Ispiti Državne mature su elemenat evaulacije obrazovanja s ciljem dobijanja usporedivih rezultata prema vrstama programa po kojima se učenici školuju i usporedivosti rezultata </w:t>
      </w:r>
    </w:p>
    <w:p w:rsidR="00D849AA" w:rsidRDefault="00EE6D95">
      <w:pPr>
        <w:pStyle w:val="Normal5"/>
      </w:pPr>
      <w:r>
        <w:t xml:space="preserve">škola,obzirom na regionalnu raspoređenost i socijalno ekonomski status roditelja učenika škola. Državna matura je u funkciji osiguravanja transparentnog postupka upisa na visoka učilišta. Provođenje nacionalnih ispita u osnovnim školama kao oblik monitoringa obrazovnog sustava i prikupljanje podataka za izradu predmetnih kurikuluma. Osobita pozornost daje se programima i vrednovanju matematike, prirodoslovlja, tehnike. Unapređivanje kvalitete obrazovanja kroz projekte razvoja i poticanja samovrednovanja u predškolskim ustanovama, osnovnim i srednjim školama, edukacijom timova za pružanje pomoći pri izradi razvojnih planova škole i samoevaluaciji rada škole temeljnog na </w:t>
      </w:r>
    </w:p>
    <w:p w:rsidR="00D849AA" w:rsidRDefault="00EE6D95">
      <w:pPr>
        <w:pStyle w:val="Normal5"/>
      </w:pPr>
      <w:r>
        <w:t xml:space="preserve">rezultatima ispita koje provodi Centar. Provođenje projekta kvalitetnijeg obrazovanja Roma i razvoj instrumenata za razvoj kompetencije ovladavanja demokracijom i građanskim pravima. Poboljšanje obrazovne politike i donošenje odluka o budućem obrazovanju. Rezultati u postignućima u razumijevanju čitanja, matematici i prirodi i društvu prikupljeni na istoj skupini učenika osnovne škole popraćeni podatcima dobivenima od roditelja, ravnatelja i nastavnika omogućuju: određivanju općeg obrazovnog pristupa u područjima ključnima za </w:t>
      </w:r>
      <w:r>
        <w:lastRenderedPageBreak/>
        <w:t xml:space="preserve">buduće učenje – čitanju, matematici/prirodi i društvu; određivanje jakih i slabih strana poučavanja čitanja, matematike i prirode i društva u </w:t>
      </w:r>
    </w:p>
    <w:p w:rsidR="00D849AA" w:rsidRDefault="00EE6D95">
      <w:pPr>
        <w:pStyle w:val="Normal5"/>
      </w:pPr>
      <w:r>
        <w:t>međunarodnom kontekstu; informiranju nacionalnih i lokalnih vlasti o provođenju školskog kurikuluma i poučavanju; prikupljanju dubinskih podataka o školskoj klimi, dostupnim nastavnim sredstvima.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40883</w:t>
            </w:r>
          </w:p>
        </w:tc>
        <w:tc>
          <w:tcPr>
            <w:tcW w:w="1486" w:type="dxa"/>
          </w:tcPr>
          <w:p w:rsidR="00D849AA" w:rsidRDefault="00EE6D95">
            <w:r>
              <w:t>43.385.705</w:t>
            </w:r>
          </w:p>
        </w:tc>
        <w:tc>
          <w:tcPr>
            <w:tcW w:w="1486" w:type="dxa"/>
          </w:tcPr>
          <w:p w:rsidR="00D849AA" w:rsidRDefault="00EE6D95">
            <w:r>
              <w:t>46.032.988</w:t>
            </w:r>
          </w:p>
        </w:tc>
        <w:tc>
          <w:tcPr>
            <w:tcW w:w="1486" w:type="dxa"/>
          </w:tcPr>
          <w:p w:rsidR="00D849AA" w:rsidRDefault="00EE6D95">
            <w:r>
              <w:t>42.413.025</w:t>
            </w:r>
          </w:p>
        </w:tc>
        <w:tc>
          <w:tcPr>
            <w:tcW w:w="1486" w:type="dxa"/>
          </w:tcPr>
          <w:p w:rsidR="00D849AA" w:rsidRDefault="00EE6D95">
            <w:r>
              <w:t>42.263.408</w:t>
            </w:r>
          </w:p>
        </w:tc>
        <w:tc>
          <w:tcPr>
            <w:tcW w:w="1486" w:type="dxa"/>
          </w:tcPr>
          <w:p w:rsidR="00D849AA" w:rsidRDefault="00EE6D95">
            <w:r>
              <w:t>106,1</w:t>
            </w:r>
          </w:p>
        </w:tc>
      </w:tr>
    </w:tbl>
    <w:p w:rsidR="00D849AA" w:rsidRDefault="00D849AA">
      <w:pPr>
        <w:jc w:val="left"/>
      </w:pPr>
    </w:p>
    <w:p w:rsidR="00D849AA" w:rsidRDefault="00EE6D95">
      <w:pPr>
        <w:pStyle w:val="Naslov4"/>
      </w:pPr>
      <w:r>
        <w:t>OBRAZLOŽENJE PROGRAMA</w:t>
      </w:r>
    </w:p>
    <w:p w:rsidR="00D849AA" w:rsidRDefault="00EE6D95">
      <w:pPr>
        <w:pStyle w:val="Naslov5"/>
      </w:pPr>
      <w:r>
        <w:t>3701 RAZVOJ ODGOJNO OBRAZOVNOG SUSTAVA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3701</w:t>
            </w:r>
          </w:p>
        </w:tc>
        <w:tc>
          <w:tcPr>
            <w:tcW w:w="1486" w:type="dxa"/>
          </w:tcPr>
          <w:p w:rsidR="00D849AA" w:rsidRDefault="00EE6D95">
            <w:r>
              <w:t>41.985.705</w:t>
            </w:r>
          </w:p>
        </w:tc>
        <w:tc>
          <w:tcPr>
            <w:tcW w:w="1486" w:type="dxa"/>
          </w:tcPr>
          <w:p w:rsidR="00D849AA" w:rsidRDefault="00EE6D95">
            <w:r>
              <w:t>44.349.988</w:t>
            </w:r>
          </w:p>
        </w:tc>
        <w:tc>
          <w:tcPr>
            <w:tcW w:w="1486" w:type="dxa"/>
          </w:tcPr>
          <w:p w:rsidR="00D849AA" w:rsidRDefault="00EE6D95">
            <w:r>
              <w:t>40.861.943</w:t>
            </w:r>
          </w:p>
        </w:tc>
        <w:tc>
          <w:tcPr>
            <w:tcW w:w="1486" w:type="dxa"/>
          </w:tcPr>
          <w:p w:rsidR="00D849AA" w:rsidRDefault="00EE6D95">
            <w:r>
              <w:t>40.720.082</w:t>
            </w:r>
          </w:p>
        </w:tc>
        <w:tc>
          <w:tcPr>
            <w:tcW w:w="1486" w:type="dxa"/>
          </w:tcPr>
          <w:p w:rsidR="00D849AA" w:rsidRDefault="00EE6D95">
            <w:r>
              <w:t>105,6</w:t>
            </w:r>
          </w:p>
        </w:tc>
      </w:tr>
    </w:tbl>
    <w:p w:rsidR="00D849AA" w:rsidRDefault="00D849AA">
      <w:pPr>
        <w:jc w:val="left"/>
      </w:pPr>
    </w:p>
    <w:p w:rsidR="00D849AA" w:rsidRDefault="00EE6D95">
      <w:pPr>
        <w:pStyle w:val="Naslov6"/>
      </w:pPr>
      <w:r>
        <w:t>Opis programa</w:t>
      </w:r>
    </w:p>
    <w:p w:rsidR="00D849AA" w:rsidRDefault="00EE6D95">
      <w:r>
        <w:t>Izgradnja i jačanje javne i neovisne institucije koja visoko stručno vrednuje sustav obrazovanja (predškolski, osnovno i srednje obrazovanje, elemente visokog obrazovanja). Poticanje znanja, izvrsnosti i kulture, jačanje pravne države i vladavine prava, daljnje jačanje međunarodnog položaja Republike Hrvatske, optimalno ozračje za razvoj konkurentnog gospodarstva.</w:t>
      </w:r>
    </w:p>
    <w:p w:rsidR="00D849AA" w:rsidRDefault="00EE6D95">
      <w:pPr>
        <w:pStyle w:val="Naslov6"/>
      </w:pPr>
      <w:r>
        <w:t>Zakonske i druge pravne osnove</w:t>
      </w:r>
    </w:p>
    <w:p w:rsidR="00D849AA" w:rsidRDefault="00EE6D95">
      <w:r>
        <w:t xml:space="preserve">Zakon o Nacionalnom centru za vanjsko vrednovanje obrazovanja </w:t>
      </w:r>
    </w:p>
    <w:p w:rsidR="00D849AA" w:rsidRDefault="00EE6D95">
      <w:r>
        <w:t xml:space="preserve">Ugovor Vlade RH i OECD-a </w:t>
      </w:r>
    </w:p>
    <w:p w:rsidR="00D849AA" w:rsidRDefault="00EE6D95">
      <w:r>
        <w:t>Ugovor NCVVO i IEA</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Cilj 1. Omogućiti svim učenicima završnih razreda pristupanje ispitima državne mature, i povećanje broja učenika koji pristupaju ispitima državne mature</w:t>
      </w:r>
    </w:p>
    <w:p w:rsidR="00D849AA" w:rsidRDefault="00EE6D95">
      <w:pPr>
        <w:pStyle w:val="Normal6"/>
      </w:pPr>
      <w:r>
        <w:t>Učenici polaganje ispita državne mature uspješno završavaju srednjoškolsko obrazovanje (gimnazije), svim pristupnicima ispita državna mature omogućeno je da temeljem rezultata ispita se rangiraju za upise na visoka učilišta, čime se smanjuju osobni troškovi pristupnika, kao i troškovi visokih učilišta za provođenje tog postupka. Osigurava se transparentost postupka i jednaki uvijeti postupka za sve učenike i time usporedivost rezultata svakog pojedinca.</w:t>
      </w:r>
    </w:p>
    <w:p w:rsidR="001A0148" w:rsidRDefault="001A0148">
      <w:pPr>
        <w:pStyle w:val="Normal6"/>
      </w:pPr>
    </w:p>
    <w:p w:rsidR="001A0148" w:rsidRDefault="001A0148">
      <w:pPr>
        <w:pStyle w:val="Normal6"/>
      </w:pPr>
    </w:p>
    <w:p w:rsidR="00D849AA" w:rsidRDefault="00EE6D95">
      <w:pPr>
        <w:pStyle w:val="Naslov8"/>
        <w:jc w:val="left"/>
      </w:pPr>
      <w:r>
        <w:lastRenderedPageBreak/>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Broj učenika koji su se upisali na visoko obrazovanje</w:t>
            </w:r>
          </w:p>
        </w:tc>
        <w:tc>
          <w:tcPr>
            <w:tcW w:w="1114" w:type="dxa"/>
          </w:tcPr>
          <w:p w:rsidR="00D849AA" w:rsidRDefault="00EE6D95">
            <w:r>
              <w:t>Broj</w:t>
            </w:r>
          </w:p>
        </w:tc>
        <w:tc>
          <w:tcPr>
            <w:tcW w:w="1114" w:type="dxa"/>
          </w:tcPr>
          <w:p w:rsidR="00D849AA" w:rsidRDefault="00EE6D95">
            <w:r>
              <w:t>28601*</w:t>
            </w:r>
          </w:p>
        </w:tc>
        <w:tc>
          <w:tcPr>
            <w:tcW w:w="1486" w:type="dxa"/>
          </w:tcPr>
          <w:p w:rsidR="00D849AA" w:rsidRDefault="00EE6D95">
            <w:r>
              <w:t>28600</w:t>
            </w:r>
          </w:p>
        </w:tc>
        <w:tc>
          <w:tcPr>
            <w:tcW w:w="1486" w:type="dxa"/>
          </w:tcPr>
          <w:p w:rsidR="00D849AA" w:rsidRDefault="00EE6D95">
            <w:r>
              <w:t>28600</w:t>
            </w:r>
          </w:p>
        </w:tc>
        <w:tc>
          <w:tcPr>
            <w:tcW w:w="1486" w:type="dxa"/>
          </w:tcPr>
          <w:p w:rsidR="00D849AA" w:rsidRDefault="00EE6D95">
            <w:r>
              <w:t>28600</w:t>
            </w:r>
          </w:p>
        </w:tc>
      </w:tr>
    </w:tbl>
    <w:p w:rsidR="00D849AA" w:rsidRDefault="00D849AA">
      <w:pPr>
        <w:jc w:val="left"/>
      </w:pPr>
    </w:p>
    <w:p w:rsidR="00D849AA" w:rsidRDefault="00EE6D95">
      <w:pPr>
        <w:pStyle w:val="Naslov7"/>
      </w:pPr>
      <w:r>
        <w:t>Cilj 2. Uspostaviti sustav za unapređenje kvalitete obrazovnog sustava, kojim  se evaluira sustav, školske ustanove i evaliura kurikulum</w:t>
      </w:r>
    </w:p>
    <w:p w:rsidR="00D849AA" w:rsidRDefault="00EE6D95">
      <w:pPr>
        <w:pStyle w:val="Normal6"/>
      </w:pPr>
      <w:r>
        <w:t>Sustav nacionalnih ispita je model koji omogućava evaluaciju rada škola, sustava, i programa i kurikuluma, daje usporedive razultate jer ispite pišu ustanove koje su reprezentaitivni uzorak u Republici Hrvatskoj.</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 xml:space="preserve">Broj škola/ učenika - os </w:t>
            </w:r>
          </w:p>
          <w:p w:rsidR="00D849AA" w:rsidRDefault="00EE6D95">
            <w:pPr>
              <w:pStyle w:val="CellColumn"/>
            </w:pPr>
            <w:r>
              <w:t xml:space="preserve"> </w:t>
            </w:r>
          </w:p>
          <w:p w:rsidR="00D849AA" w:rsidRDefault="00EE6D95">
            <w:pPr>
              <w:pStyle w:val="CellColumn"/>
            </w:pPr>
            <w:r>
              <w:t xml:space="preserve"> </w:t>
            </w:r>
          </w:p>
          <w:p w:rsidR="00D849AA" w:rsidRDefault="00EE6D95">
            <w:pPr>
              <w:pStyle w:val="CellColumn"/>
            </w:pPr>
            <w:r>
              <w:t>Broj učenika/skola SS</w:t>
            </w:r>
          </w:p>
        </w:tc>
        <w:tc>
          <w:tcPr>
            <w:tcW w:w="1114" w:type="dxa"/>
          </w:tcPr>
          <w:p w:rsidR="00D849AA" w:rsidRDefault="00EE6D95">
            <w:r>
              <w:t>Broj</w:t>
            </w:r>
          </w:p>
        </w:tc>
        <w:tc>
          <w:tcPr>
            <w:tcW w:w="1114" w:type="dxa"/>
          </w:tcPr>
          <w:p w:rsidR="00D849AA" w:rsidRDefault="00EE6D95">
            <w:r>
              <w:t xml:space="preserve">160/4500 </w:t>
            </w:r>
          </w:p>
          <w:p w:rsidR="00D849AA" w:rsidRDefault="00EE6D95">
            <w:r>
              <w:t>30/ 160</w:t>
            </w:r>
          </w:p>
        </w:tc>
        <w:tc>
          <w:tcPr>
            <w:tcW w:w="1486" w:type="dxa"/>
          </w:tcPr>
          <w:p w:rsidR="00D849AA" w:rsidRDefault="00EE6D95">
            <w:r>
              <w:t xml:space="preserve">160/ 4500 </w:t>
            </w:r>
          </w:p>
          <w:p w:rsidR="00D849AA" w:rsidRDefault="00EE6D95">
            <w:r>
              <w:t>35/1200</w:t>
            </w:r>
          </w:p>
        </w:tc>
        <w:tc>
          <w:tcPr>
            <w:tcW w:w="1486" w:type="dxa"/>
          </w:tcPr>
          <w:p w:rsidR="00D849AA" w:rsidRDefault="00EE6D95">
            <w:r>
              <w:t>100/ 2000</w:t>
            </w:r>
          </w:p>
        </w:tc>
        <w:tc>
          <w:tcPr>
            <w:tcW w:w="1486" w:type="dxa"/>
          </w:tcPr>
          <w:p w:rsidR="00D849AA" w:rsidRDefault="00EE6D95">
            <w:r>
              <w:t>100/ 2000</w:t>
            </w:r>
          </w:p>
        </w:tc>
      </w:tr>
    </w:tbl>
    <w:p w:rsidR="00D849AA" w:rsidRDefault="00D849AA">
      <w:pPr>
        <w:jc w:val="left"/>
      </w:pPr>
    </w:p>
    <w:p w:rsidR="00D849AA" w:rsidRDefault="00EE6D95">
      <w:pPr>
        <w:pStyle w:val="Naslov7"/>
      </w:pPr>
      <w:r>
        <w:t>Cilj 3. Svim četverogodišnjim školam omogućiti sudjelovanje  u samovrednovanju na temelju svojih rezultata.  Osigurati potporu svim osnovnim školama u izradi samoevaluacijskog izvješća i školskog razvojnog plana.</w:t>
      </w:r>
    </w:p>
    <w:p w:rsidR="00D849AA" w:rsidRDefault="00EE6D95">
      <w:pPr>
        <w:pStyle w:val="Normal6"/>
      </w:pPr>
      <w:r>
        <w:t>Svim školama dati inicijano ososobljavanje timova za kvalitetu, i time omogućiti da škola samostalno i trajno unapređuje svoj rada, a time i povećava znanje i vještine svojih pristupnika.</w:t>
      </w:r>
    </w:p>
    <w:p w:rsidR="00D849AA" w:rsidRDefault="00EE6D95">
      <w:pPr>
        <w:pStyle w:val="Naslov5"/>
      </w:pPr>
      <w:r>
        <w:t>Procjena i ishodište potrebnih sredstava za značajnije aktivnosti/projekte</w:t>
      </w:r>
    </w:p>
    <w:p w:rsidR="00D849AA" w:rsidRDefault="00EE6D95">
      <w:pPr>
        <w:pStyle w:val="Naslov6"/>
      </w:pPr>
      <w:r>
        <w:t>A814001 DRŽAVNA MATURA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A814001</w:t>
            </w:r>
          </w:p>
        </w:tc>
        <w:tc>
          <w:tcPr>
            <w:tcW w:w="1486" w:type="dxa"/>
          </w:tcPr>
          <w:p w:rsidR="00D849AA" w:rsidRDefault="00EE6D95">
            <w:r>
              <w:t>23.108.371</w:t>
            </w:r>
          </w:p>
        </w:tc>
        <w:tc>
          <w:tcPr>
            <w:tcW w:w="1486" w:type="dxa"/>
          </w:tcPr>
          <w:p w:rsidR="00D849AA" w:rsidRDefault="00EE6D95">
            <w:r>
              <w:t>24.577.287</w:t>
            </w:r>
          </w:p>
        </w:tc>
        <w:tc>
          <w:tcPr>
            <w:tcW w:w="1486" w:type="dxa"/>
          </w:tcPr>
          <w:p w:rsidR="00D849AA" w:rsidRDefault="00EE6D95">
            <w:r>
              <w:t>22.884.101</w:t>
            </w:r>
          </w:p>
        </w:tc>
        <w:tc>
          <w:tcPr>
            <w:tcW w:w="1486" w:type="dxa"/>
          </w:tcPr>
          <w:p w:rsidR="00D849AA" w:rsidRDefault="00EE6D95">
            <w:r>
              <w:t>22.778.680</w:t>
            </w:r>
          </w:p>
        </w:tc>
        <w:tc>
          <w:tcPr>
            <w:tcW w:w="1486" w:type="dxa"/>
          </w:tcPr>
          <w:p w:rsidR="00D849AA" w:rsidRDefault="00EE6D95">
            <w:r>
              <w:t>106,4</w:t>
            </w:r>
          </w:p>
        </w:tc>
      </w:tr>
    </w:tbl>
    <w:p w:rsidR="00D849AA" w:rsidRDefault="00D849AA">
      <w:pPr>
        <w:jc w:val="left"/>
      </w:pPr>
    </w:p>
    <w:p w:rsidR="00D849AA" w:rsidRDefault="00EE6D95">
      <w:pPr>
        <w:pStyle w:val="Normal6"/>
      </w:pPr>
      <w:r>
        <w:t xml:space="preserve">Učenici polaganjem ispita državne mature uspješno završavaju srednjoškolsko obrazovanje (gimnazije). Svim pristupnicima ispita državne mature omogućeno je da se temeljem rezultata ispita rangiraju za upise na visoka učilišta, čime se smanjuju osobni </w:t>
      </w:r>
      <w:r>
        <w:lastRenderedPageBreak/>
        <w:t>troškovi pristupnika, kao i troškovi visokih učilišta za provođenje tog postupka. Osigurava se transparentost postupka i jednaki uvijeti postupka za sve učenike i time usporedivost rezultata svakog pojedinca.</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Broj učenika koji pristupa ispitima DM</w:t>
            </w:r>
          </w:p>
        </w:tc>
        <w:tc>
          <w:tcPr>
            <w:tcW w:w="1114" w:type="dxa"/>
          </w:tcPr>
          <w:p w:rsidR="00D849AA" w:rsidRDefault="00EE6D95">
            <w:r>
              <w:t>broj</w:t>
            </w:r>
          </w:p>
        </w:tc>
        <w:tc>
          <w:tcPr>
            <w:tcW w:w="1114" w:type="dxa"/>
          </w:tcPr>
          <w:p w:rsidR="00D849AA" w:rsidRDefault="00EE6D95">
            <w:r>
              <w:t>28073*</w:t>
            </w:r>
          </w:p>
        </w:tc>
        <w:tc>
          <w:tcPr>
            <w:tcW w:w="1486" w:type="dxa"/>
          </w:tcPr>
          <w:p w:rsidR="00D849AA" w:rsidRDefault="00EE6D95">
            <w:r>
              <w:t>28500</w:t>
            </w:r>
          </w:p>
        </w:tc>
        <w:tc>
          <w:tcPr>
            <w:tcW w:w="1486" w:type="dxa"/>
          </w:tcPr>
          <w:p w:rsidR="00D849AA" w:rsidRDefault="00EE6D95">
            <w:r>
              <w:t>28500</w:t>
            </w:r>
          </w:p>
        </w:tc>
        <w:tc>
          <w:tcPr>
            <w:tcW w:w="1486" w:type="dxa"/>
          </w:tcPr>
          <w:p w:rsidR="00D849AA" w:rsidRDefault="00EE6D95">
            <w:r>
              <w:t>28500</w:t>
            </w:r>
          </w:p>
        </w:tc>
      </w:tr>
    </w:tbl>
    <w:p w:rsidR="00D849AA" w:rsidRDefault="00D849AA">
      <w:pPr>
        <w:jc w:val="left"/>
      </w:pPr>
    </w:p>
    <w:p w:rsidR="00D849AA" w:rsidRDefault="00EE6D95">
      <w:pPr>
        <w:pStyle w:val="Naslov6"/>
      </w:pPr>
      <w:r>
        <w:t>A814002 SAMOVREDNOVANJE OSNOVNIH I SREDNJIH ŠKOLA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A814002</w:t>
            </w:r>
          </w:p>
        </w:tc>
        <w:tc>
          <w:tcPr>
            <w:tcW w:w="1486" w:type="dxa"/>
          </w:tcPr>
          <w:p w:rsidR="00D849AA" w:rsidRDefault="00EE6D95">
            <w:r>
              <w:t>364.658</w:t>
            </w:r>
          </w:p>
        </w:tc>
        <w:tc>
          <w:tcPr>
            <w:tcW w:w="1486" w:type="dxa"/>
          </w:tcPr>
          <w:p w:rsidR="00D849AA" w:rsidRDefault="00EE6D95">
            <w:r>
              <w:t>361.011</w:t>
            </w:r>
          </w:p>
        </w:tc>
        <w:tc>
          <w:tcPr>
            <w:tcW w:w="1486" w:type="dxa"/>
          </w:tcPr>
          <w:p w:rsidR="00D849AA" w:rsidRDefault="00EE6D95">
            <w:r>
              <w:t>332.714</w:t>
            </w:r>
          </w:p>
        </w:tc>
        <w:tc>
          <w:tcPr>
            <w:tcW w:w="1486" w:type="dxa"/>
          </w:tcPr>
          <w:p w:rsidR="00D849AA" w:rsidRDefault="00EE6D95">
            <w:r>
              <w:t>331.051</w:t>
            </w:r>
          </w:p>
        </w:tc>
        <w:tc>
          <w:tcPr>
            <w:tcW w:w="1486" w:type="dxa"/>
          </w:tcPr>
          <w:p w:rsidR="00D849AA" w:rsidRDefault="00EE6D95">
            <w:r>
              <w:t>99,0</w:t>
            </w:r>
          </w:p>
        </w:tc>
      </w:tr>
    </w:tbl>
    <w:p w:rsidR="00D849AA" w:rsidRDefault="00D849AA">
      <w:pPr>
        <w:jc w:val="left"/>
      </w:pPr>
    </w:p>
    <w:p w:rsidR="00D849AA" w:rsidRDefault="00EE6D95">
      <w:pPr>
        <w:pStyle w:val="Normal6"/>
      </w:pPr>
      <w:r>
        <w:t xml:space="preserve">Unapređivanje kvalitete obrazovanja kroz projekte razvoja i poticanja samovrednovanja u predškolskim ustanovama, osnovnim i srednjim školama, edukacijom timova za pružanje pomoći pri izradi razvojnih planova škole i </w:t>
      </w:r>
    </w:p>
    <w:p w:rsidR="00D849AA" w:rsidRDefault="00EE6D95">
      <w:pPr>
        <w:pStyle w:val="Normal6"/>
      </w:pPr>
      <w:r>
        <w:t xml:space="preserve">samoevaluaciji rada škole temeljnog na rezultatima ispita koje provodi Centar. Provođenje projekta kvalitetnijeg obrazovanja Roma i razvoj instrumenata za razvoj kompetencije ovladavanja demokracijom i građanskim pravima. Osposobiti školu kao društvenu zajednicu da tumači rezultate ispita koje provodi Centar kroz aktivnosti i načine rada kojima ostvaruje obrazovne ciljeve, te nakon samoevaluacije izrađuje i provodi vlastiti plan razvoja i unapređenja rada škole odnosno ustanove. Osposobiti  školu da preuzima odgovornost za svoj uspjeh i neuspjeh u ostvarivanju zadanih </w:t>
      </w:r>
    </w:p>
    <w:p w:rsidR="00D849AA" w:rsidRDefault="00EE6D95">
      <w:pPr>
        <w:pStyle w:val="Normal6"/>
      </w:pPr>
      <w:r>
        <w:t>obrazovnih ciljeva, te pokreće vlastite resurse na unapređenju kvalitete rada ustanove ili škole. Osposobiti većinu nastavnog osoblja da preuzima aktivnu ulogu u promjeni škole prepoznajući svoju ulogu i zadaću.</w:t>
      </w:r>
    </w:p>
    <w:p w:rsidR="00D849AA" w:rsidRDefault="00EE6D95">
      <w:pPr>
        <w:pStyle w:val="Naslov6"/>
      </w:pPr>
      <w:r>
        <w:t>A814007 UNAPREĐENJE KVALITETE OBRAZOVNOG SUSTAVA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A814007</w:t>
            </w:r>
          </w:p>
        </w:tc>
        <w:tc>
          <w:tcPr>
            <w:tcW w:w="1486" w:type="dxa"/>
          </w:tcPr>
          <w:p w:rsidR="00D849AA" w:rsidRDefault="00EE6D95">
            <w:r>
              <w:t>763.000</w:t>
            </w:r>
          </w:p>
        </w:tc>
        <w:tc>
          <w:tcPr>
            <w:tcW w:w="1486" w:type="dxa"/>
          </w:tcPr>
          <w:p w:rsidR="00D849AA" w:rsidRDefault="00EE6D95">
            <w:r>
              <w:t>656.370</w:t>
            </w:r>
          </w:p>
        </w:tc>
        <w:tc>
          <w:tcPr>
            <w:tcW w:w="1486" w:type="dxa"/>
          </w:tcPr>
          <w:p w:rsidR="00D849AA" w:rsidRDefault="00EE6D95">
            <w:r>
              <w:t>604.922</w:t>
            </w:r>
          </w:p>
        </w:tc>
        <w:tc>
          <w:tcPr>
            <w:tcW w:w="1486" w:type="dxa"/>
          </w:tcPr>
          <w:p w:rsidR="00D849AA" w:rsidRDefault="00EE6D95">
            <w:r>
              <w:t>601.897</w:t>
            </w:r>
          </w:p>
        </w:tc>
        <w:tc>
          <w:tcPr>
            <w:tcW w:w="1486" w:type="dxa"/>
          </w:tcPr>
          <w:p w:rsidR="00D849AA" w:rsidRDefault="00EE6D95">
            <w:r>
              <w:t>86,0</w:t>
            </w:r>
          </w:p>
        </w:tc>
      </w:tr>
    </w:tbl>
    <w:p w:rsidR="00D849AA" w:rsidRDefault="00D849AA">
      <w:pPr>
        <w:jc w:val="left"/>
      </w:pPr>
    </w:p>
    <w:p w:rsidR="00D849AA" w:rsidRDefault="00EE6D95">
      <w:pPr>
        <w:pStyle w:val="Normal6"/>
      </w:pPr>
      <w:r>
        <w:t xml:space="preserve">Analiza stanja u obrazovnom sustavu i izrada „policy“ dokumenta kojima se stvaraju uvijeti za izgradnju obrazovne politike na temelju empirijskih podataka. Izrada sekundarnih analiza nakon provedenih ispita s ciljem utvrđivanja kritičnih točaka obrazovnog sustava. Izrada standarda isptivanja na temelju analiza provedenih istraživanja u obrazovanju. Izrada analiza i preporuka za promjene predškolskog, osnovnoškolskog i srednjoškolskog sustava, na temelju rezultata provednih nacionalnim ispitima, i međunarodnim vrednovanjima kao i drugim vrednovanjima koji se provode. Unapređenje obrazovnog sustava i unapređenje izrade kurikuluma temeljenih empirijskim podacima. Izrada analiza provednih ispita kojima se stvaraju osnove za izradu standarda ispitivanja i </w:t>
      </w:r>
      <w:r>
        <w:lastRenderedPageBreak/>
        <w:t>standarda predmeta. Unapređivanje modela vanjskog vrednovanja s ciljem unapređivanja valjanosti i pouzdanosti sustava vanjskog vrednovanja.</w:t>
      </w:r>
    </w:p>
    <w:p w:rsidR="00D849AA" w:rsidRDefault="00EE6D95">
      <w:pPr>
        <w:pStyle w:val="Naslov6"/>
      </w:pPr>
      <w:r>
        <w:t>A814008 ZAVRŠNI ISPIT NA KRAJU OBRAZOVNOG CIKLUSA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A814008</w:t>
            </w:r>
          </w:p>
        </w:tc>
        <w:tc>
          <w:tcPr>
            <w:tcW w:w="1486" w:type="dxa"/>
          </w:tcPr>
          <w:p w:rsidR="00D849AA" w:rsidRDefault="00EE6D95">
            <w:r>
              <w:t>1.433.400</w:t>
            </w:r>
          </w:p>
        </w:tc>
        <w:tc>
          <w:tcPr>
            <w:tcW w:w="1486" w:type="dxa"/>
          </w:tcPr>
          <w:p w:rsidR="00D849AA" w:rsidRDefault="00EE6D95">
            <w:r>
              <w:t>924.066</w:t>
            </w:r>
          </w:p>
        </w:tc>
        <w:tc>
          <w:tcPr>
            <w:tcW w:w="1486" w:type="dxa"/>
          </w:tcPr>
          <w:p w:rsidR="00D849AA" w:rsidRDefault="00EE6D95">
            <w:r>
              <w:t>851.635</w:t>
            </w:r>
          </w:p>
        </w:tc>
        <w:tc>
          <w:tcPr>
            <w:tcW w:w="1486" w:type="dxa"/>
          </w:tcPr>
          <w:p w:rsidR="00D849AA" w:rsidRDefault="00EE6D95">
            <w:r>
              <w:t>847.377</w:t>
            </w:r>
          </w:p>
        </w:tc>
        <w:tc>
          <w:tcPr>
            <w:tcW w:w="1486" w:type="dxa"/>
          </w:tcPr>
          <w:p w:rsidR="00D849AA" w:rsidRDefault="00EE6D95">
            <w:r>
              <w:t>64,5</w:t>
            </w:r>
          </w:p>
        </w:tc>
      </w:tr>
    </w:tbl>
    <w:p w:rsidR="00D849AA" w:rsidRDefault="00D849AA">
      <w:pPr>
        <w:jc w:val="left"/>
      </w:pPr>
    </w:p>
    <w:p w:rsidR="00D849AA" w:rsidRDefault="00EE6D95">
      <w:pPr>
        <w:pStyle w:val="Normal6"/>
      </w:pPr>
      <w:r>
        <w:t>Razvoj novog modela ispitivanja na kraju obrazovnog ciklusa uz korištenje metode teorije odgovora na zadatak. Razvoj banke zadataka te postavljanje novog načina konstrukcije ispitnih materijala. Razviti model završnih ispita na kraju obrazovnih ciklusa – 3,6,9,12. Novi model ispita temeljen na suvremenom konceptu IRT-a osigurava valjan i pouzdan model kojim se prati realizacija ciljeva obrazovanja postavljenih strateškim planom razvoja i razvojem kurikuluma. Model osigurava postizanje usporedivosti i praćenja grupe tijekom obrazovanja s najmanjim mogućim troškovima. Izrada banke zadataka za sve ispite koje provodi Centar. Banka zadataka će osigurati usporedivost ispita, koji se primjenjuju više godina. Osigurat će povećanu sigurnost u izradi ispitnog materijala kao i stvaranje uvjeta za kontinuirani razvoj sustava vanjskog vrednovanja.</w:t>
      </w:r>
    </w:p>
    <w:p w:rsidR="00D849AA" w:rsidRDefault="00EE6D95">
      <w:pPr>
        <w:pStyle w:val="Naslov3"/>
      </w:pPr>
      <w:r>
        <w:t>43335 Agencija za mobilnost i programe Europske unije</w:t>
      </w:r>
    </w:p>
    <w:p w:rsidR="00D849AA" w:rsidRDefault="00EE6D95">
      <w:pPr>
        <w:pStyle w:val="Naslov4"/>
      </w:pPr>
      <w:r>
        <w:t>Uvod</w:t>
      </w:r>
    </w:p>
    <w:p w:rsidR="00D849AA" w:rsidRDefault="00EE6D95">
      <w:pPr>
        <w:pStyle w:val="Normal5"/>
      </w:pPr>
      <w:r>
        <w:t xml:space="preserve">Agencija za mobilnost i programe Europske unije javna je ustanova koju je Vlada RH osnovala krajem 2007. godine u svrhu stvaranja institucionalnog okvira za provedbu dva najveća programa Europske unije u području obrazovanja i usavršavanja – Programa za cjeloživotno učenje i programa Mladi na djelu. Međutim, trajna je misija Agencije osmišljena znatno šire - kao ona središnje nacionalne ustanove za aktivnosti mobilnosti u sektorima obrazovanja i znanosti te na području mladih -  prepoznatljive po svojoj kvaliteti, transparentnosti te odgovaranju na potrebe obrazovanja i tržišta rada, sektora znanosti i potreba mladih. Stoga je zadaća Agencije jačati instrumente mobilnosti u svrhu obrazovanja i usavršavanja te istraživanja i poticanja inovacija. Vizija je Agencije osigurati prilike za stjecanje međunarodnog iskustva sudjelovanjem u aktivnostima obrazovanja  i istraživanja ustanovama i građanima RH te podizati kvalitetu sustava obrazovanja i znanosti  te politika za mlade, i to njihovom internacionalizacijom. </w:t>
      </w:r>
    </w:p>
    <w:p w:rsidR="00D849AA" w:rsidRDefault="00EE6D95">
      <w:pPr>
        <w:pStyle w:val="Normal5"/>
      </w:pPr>
      <w:r>
        <w:t xml:space="preserve">Status nacionalne agencije (NA) akreditirane za upravljanje decentraliziranim aktivnostima u okviru najvećih programa Unije u području obrazovanja – Programa za cjeloživotno učenje (LLP) i programa Mladi na djelu (YiA)- Agencija dobiva krajem 2010. godine. U travnju 2011. godine RH punopravno ulazi u spomenute programe. </w:t>
      </w:r>
    </w:p>
    <w:p w:rsidR="00D849AA" w:rsidRDefault="00EE6D95">
      <w:pPr>
        <w:pStyle w:val="Normal5"/>
      </w:pPr>
      <w:r>
        <w:t xml:space="preserve">Programski portfelj krajem 2011. godine, uz spomenute programe Unije, obuhvaća i program bilateralne visokoškolske mobilnosti i CEEPUS, te dijelove nacionalne potporne strukture za FP7, s naglaskom na potprogram Ljudi i Marie Curie akcije te dobro razvijen uslužni centar za mobilnost istraživača Euraxess. Od kraja 2011. programski portfelj značajno raste ponajprije preuzimanjem uspostave većeg dijela nacionalne potporne strukture za program Obzor 2020.  </w:t>
      </w:r>
    </w:p>
    <w:p w:rsidR="00D849AA" w:rsidRDefault="00EE6D95">
      <w:pPr>
        <w:pStyle w:val="Normal5"/>
      </w:pPr>
      <w:r>
        <w:t>Uz to, Agencija provodi više projekata financiranih sredstvima EU, te mreža i inicijativa u okviru spomenutih programa. Značajan dio aktivnosti u 2013. godini te planiranih aktivnosti u 2014. godini čini priprema za provedbu novih programa Europske unije za razdoblje od 2014. do 2020. godine – programa Erasmus+ i već spomenutog programa Obzor 2020.</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43335</w:t>
            </w:r>
          </w:p>
        </w:tc>
        <w:tc>
          <w:tcPr>
            <w:tcW w:w="1486" w:type="dxa"/>
          </w:tcPr>
          <w:p w:rsidR="00D849AA" w:rsidRDefault="00EE6D95">
            <w:r>
              <w:t>85.696.750</w:t>
            </w:r>
          </w:p>
        </w:tc>
        <w:tc>
          <w:tcPr>
            <w:tcW w:w="1486" w:type="dxa"/>
          </w:tcPr>
          <w:p w:rsidR="00D849AA" w:rsidRDefault="00EE6D95">
            <w:r>
              <w:t>120.333.875</w:t>
            </w:r>
          </w:p>
        </w:tc>
        <w:tc>
          <w:tcPr>
            <w:tcW w:w="1486" w:type="dxa"/>
          </w:tcPr>
          <w:p w:rsidR="00D849AA" w:rsidRDefault="00EE6D95">
            <w:r>
              <w:t>120.809.393</w:t>
            </w:r>
          </w:p>
        </w:tc>
        <w:tc>
          <w:tcPr>
            <w:tcW w:w="1486" w:type="dxa"/>
          </w:tcPr>
          <w:p w:rsidR="00D849AA" w:rsidRDefault="00EE6D95">
            <w:r>
              <w:t>148.498.564</w:t>
            </w:r>
          </w:p>
        </w:tc>
        <w:tc>
          <w:tcPr>
            <w:tcW w:w="1486" w:type="dxa"/>
          </w:tcPr>
          <w:p w:rsidR="00D849AA" w:rsidRDefault="00EE6D95">
            <w:r>
              <w:t>140,4</w:t>
            </w:r>
          </w:p>
        </w:tc>
      </w:tr>
    </w:tbl>
    <w:p w:rsidR="00D849AA" w:rsidRDefault="00D849AA">
      <w:pPr>
        <w:jc w:val="left"/>
      </w:pPr>
    </w:p>
    <w:p w:rsidR="00D849AA" w:rsidRDefault="00EE6D95">
      <w:pPr>
        <w:pStyle w:val="Naslov4"/>
      </w:pPr>
      <w:r>
        <w:t>OBRAZLOŽENJE PROGRAMA</w:t>
      </w:r>
    </w:p>
    <w:p w:rsidR="00D849AA" w:rsidRDefault="00EE6D95">
      <w:pPr>
        <w:pStyle w:val="Naslov5"/>
      </w:pPr>
      <w:r>
        <w:t>3701 RAZVOJ ODGOJNO OBRAZOVNOG SUSTAVA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3701</w:t>
            </w:r>
          </w:p>
        </w:tc>
        <w:tc>
          <w:tcPr>
            <w:tcW w:w="1486" w:type="dxa"/>
          </w:tcPr>
          <w:p w:rsidR="00D849AA" w:rsidRDefault="00EE6D95">
            <w:r>
              <w:t>85.696.750</w:t>
            </w:r>
          </w:p>
        </w:tc>
        <w:tc>
          <w:tcPr>
            <w:tcW w:w="1486" w:type="dxa"/>
          </w:tcPr>
          <w:p w:rsidR="00D849AA" w:rsidRDefault="00EE6D95">
            <w:r>
              <w:t>120.333.875</w:t>
            </w:r>
          </w:p>
        </w:tc>
        <w:tc>
          <w:tcPr>
            <w:tcW w:w="1486" w:type="dxa"/>
          </w:tcPr>
          <w:p w:rsidR="00D849AA" w:rsidRDefault="00EE6D95">
            <w:r>
              <w:t>120.809.393</w:t>
            </w:r>
          </w:p>
        </w:tc>
        <w:tc>
          <w:tcPr>
            <w:tcW w:w="1486" w:type="dxa"/>
          </w:tcPr>
          <w:p w:rsidR="00D849AA" w:rsidRDefault="00EE6D95">
            <w:r>
              <w:t>148.498.564</w:t>
            </w:r>
          </w:p>
        </w:tc>
        <w:tc>
          <w:tcPr>
            <w:tcW w:w="1486" w:type="dxa"/>
          </w:tcPr>
          <w:p w:rsidR="00D849AA" w:rsidRDefault="00EE6D95">
            <w:r>
              <w:t>140,4</w:t>
            </w:r>
          </w:p>
        </w:tc>
      </w:tr>
    </w:tbl>
    <w:p w:rsidR="00D849AA" w:rsidRDefault="00D849AA">
      <w:pPr>
        <w:jc w:val="left"/>
      </w:pPr>
    </w:p>
    <w:p w:rsidR="00D849AA" w:rsidRDefault="00EE6D95">
      <w:pPr>
        <w:pStyle w:val="Naslov6"/>
      </w:pPr>
      <w:r>
        <w:t>Opis programa</w:t>
      </w:r>
    </w:p>
    <w:p w:rsidR="00D849AA" w:rsidRDefault="000F7433">
      <w:r>
        <w:t>Program:</w:t>
      </w:r>
      <w:r w:rsidR="00EE6D95">
        <w:t xml:space="preserve">        </w:t>
      </w:r>
    </w:p>
    <w:p w:rsidR="00D849AA" w:rsidRDefault="00EE6D95">
      <w:r>
        <w:t xml:space="preserve">- provedba Programa za cjeloživotno učenje Europske unije (do 2016. godine) </w:t>
      </w:r>
    </w:p>
    <w:p w:rsidR="00D849AA" w:rsidRDefault="00EE6D95">
      <w:r>
        <w:t xml:space="preserve">- provedba programa Mladi na djelu Europske unije (do 2016. godine) </w:t>
      </w:r>
    </w:p>
    <w:p w:rsidR="00D849AA" w:rsidRDefault="00EE6D95">
      <w:r>
        <w:t xml:space="preserve">- provedba programa Erasmus+ Europske unije (od 2014. godine) </w:t>
      </w:r>
    </w:p>
    <w:p w:rsidR="00D849AA" w:rsidRDefault="00EE6D95">
      <w:r>
        <w:t xml:space="preserve">- provedba Euroguidance inicijative za profesionalno savjetovanje  </w:t>
      </w:r>
    </w:p>
    <w:p w:rsidR="00D849AA" w:rsidRDefault="00EE6D95">
      <w:r>
        <w:t xml:space="preserve">- provedba Eurodesk inicijative za informiranje mladih  </w:t>
      </w:r>
    </w:p>
    <w:p w:rsidR="00D849AA" w:rsidRDefault="00EE6D95">
      <w:r>
        <w:t xml:space="preserve">- provedba Europass inicijative za poticanje mobilnosti </w:t>
      </w:r>
    </w:p>
    <w:p w:rsidR="00D849AA" w:rsidRDefault="00EE6D95">
      <w:r>
        <w:t xml:space="preserve">- provedba eTwinning inicijative za međunarodnu suradnju i usavršavanje nastavnog osoblja, </w:t>
      </w:r>
    </w:p>
    <w:p w:rsidR="00D849AA" w:rsidRDefault="00EE6D95">
      <w:r>
        <w:t xml:space="preserve">- provedba CEEPUS programa visokoškolske mobilnosti u srednjoj Europi   </w:t>
      </w:r>
    </w:p>
    <w:p w:rsidR="00D849AA" w:rsidRDefault="00EE6D95">
      <w:r>
        <w:t xml:space="preserve">- provedba visokoškolske mobilnosti temeljem bilateralnih sporazuma   </w:t>
      </w:r>
    </w:p>
    <w:p w:rsidR="00D849AA" w:rsidRDefault="00EE6D95">
      <w:r>
        <w:t xml:space="preserve">- sudjelovanje u projektima EU – Nacionalna skupina bolonjskih stručnjaka i nacionalna skupina ECVET stručnjaka, </w:t>
      </w:r>
    </w:p>
    <w:p w:rsidR="00D849AA" w:rsidRDefault="00EE6D95">
      <w:r>
        <w:t xml:space="preserve">- nacionalna kontakt točka za program TEMPUS (program modernizacije visokog školstva), </w:t>
      </w:r>
    </w:p>
    <w:p w:rsidR="00D849AA" w:rsidRDefault="00EE6D95">
      <w:r>
        <w:t xml:space="preserve">- nacionalna kontakt točka za program Erasmus Mundus (razvoj združenih diplomskih i doktorskih studijskih programa), </w:t>
      </w:r>
    </w:p>
    <w:p w:rsidR="00D849AA" w:rsidRDefault="00EE6D95">
      <w:r>
        <w:t xml:space="preserve">- nacionalna kontakt točka za Mediteranski ured za mlade,provedba Euraxess programa za mobilnost istraživača i znanstvenika, </w:t>
      </w:r>
    </w:p>
    <w:p w:rsidR="00D849AA" w:rsidRDefault="00EE6D95">
      <w:r>
        <w:t>- nacionalna potporna struktura za program Europske unije Obzor 2020. s imenovanih 14 od ukupno 21 nacionalne kontakt točke i to za sljedeća područja: pravna i financijska područja (dvije cjeline); Marie Sklodowska Curie akcije; informacijske i komunikacijske tehnologije; nanotehnologije, napredni materijali i napredna proizvodnja; svemir; zdravlje, demografske promjene i kvaliteta života; sigurnost hrane, održiva poljoprivreda i bioekonomija; sigurna, čista i učinkovita energija; pametan, zeleni i integrirani promet; klimatska aktivnost, učinkovitost resursa i sirovine; uključiva, inovativna i promišljena društva; sigurnost; zajednički istraživački centar.</w:t>
      </w:r>
    </w:p>
    <w:p w:rsidR="00D849AA" w:rsidRDefault="00EE6D95">
      <w:pPr>
        <w:pStyle w:val="Naslov6"/>
      </w:pPr>
      <w:r>
        <w:lastRenderedPageBreak/>
        <w:t>Zakonske i druge pravne osnove</w:t>
      </w:r>
    </w:p>
    <w:p w:rsidR="00D849AA" w:rsidRDefault="00EE6D95">
      <w:r>
        <w:t xml:space="preserve">Pregovaračko stajalište za poglavlje 26. Obrazovanje i kultura  </w:t>
      </w:r>
    </w:p>
    <w:p w:rsidR="00D849AA" w:rsidRDefault="00EE6D95">
      <w:r>
        <w:t xml:space="preserve">Zaključak Vlade RH od 28.2.2007. </w:t>
      </w:r>
    </w:p>
    <w:p w:rsidR="00D849AA" w:rsidRDefault="00EE6D95">
      <w:r>
        <w:t xml:space="preserve">Zakon o Agenciji za mobilnost i programe EU </w:t>
      </w:r>
    </w:p>
    <w:p w:rsidR="00D849AA" w:rsidRDefault="00EE6D95">
      <w:r>
        <w:t xml:space="preserve">Ugovor s Europskom komisijom o provedbi programa i projekata </w:t>
      </w:r>
    </w:p>
    <w:p w:rsidR="00D849AA" w:rsidRDefault="00EE6D95">
      <w:r>
        <w:t xml:space="preserve">Memorandum o razumijevanju o punopravnom sudjelovanju u programima EU (Program za cjeloživotno učenje i program Mladi na djelu i popratne inicijative) </w:t>
      </w:r>
    </w:p>
    <w:p w:rsidR="00D849AA" w:rsidRDefault="00EE6D95">
      <w:r>
        <w:t xml:space="preserve">Odluke Europskog parlamenta o uspostavljanju Programa za cjeloživotno učenje i programa Mladi na djelu br. 1719/2006/EC i br. 1720/2006/EC  </w:t>
      </w:r>
    </w:p>
    <w:p w:rsidR="00D849AA" w:rsidRDefault="00EE6D95">
      <w:r>
        <w:t xml:space="preserve">Odluke MZOSa o imenovanju AMPEU nacionalnim CEEPUS uredom za Hrvatsku i nacionalnom kontakt točkom za Mediteranski ured za mlade, nacionalnom kontakt točkom za Nacionalnu skupinu Bolonjskih stručnjaka te TEMPUS program </w:t>
      </w:r>
    </w:p>
    <w:p w:rsidR="00D849AA" w:rsidRDefault="00EE6D95">
      <w:r>
        <w:t xml:space="preserve">Odluka MZOSa o zaduživanju AMPEU za provedbu bilateralnih stipendija </w:t>
      </w:r>
    </w:p>
    <w:p w:rsidR="00D849AA" w:rsidRDefault="00EE6D95">
      <w:r>
        <w:t xml:space="preserve">Odluka MZOSa o imenovanju nacionalnih osoba za kontakt za program Europske unije Obzor 2020. </w:t>
      </w:r>
    </w:p>
    <w:p w:rsidR="00D849AA" w:rsidRDefault="00EE6D95">
      <w:r>
        <w:t>Uredba EU o programu Erasmus+ očekuje se do kraja 2013. godine.</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Cilj 1. Povećati broj sudionika koji sudjeluju u programu Europske unije Erasmus+ koji započinje 2014. godine u odnosu na broj sudionika njegovih pravnih prethodnika Programa za cjeloživotno učenje i programa Mladi na djelu  u kojima RH punopravno sudjeluje od 2011. godine</w:t>
      </w:r>
    </w:p>
    <w:p w:rsidR="00D849AA" w:rsidRDefault="00EE6D95">
      <w:pPr>
        <w:pStyle w:val="Normal6"/>
      </w:pPr>
      <w:r>
        <w:t xml:space="preserve">U svrhu veće konkurentnosti građana RH na hrvatskom i EU tržištu rada potrebno je dodatno ulagati u kontinuirano učenje i usavršavanje istih. Također, a u svrhu aktivnijeg sudjelovanja mladih u društvu i njihove lakše zapošljivosti potrebno je mladima omogućiti dodatne aktivnosti učenja kroz neformalne metode kao što su volontiranje, razmjene mladih, poduzimanje lokalnih inicijativa i demokratskih projekata. Uz navedeno, na raspolaganju su sredstva iz EU koja je potrebno u cijelosti iskoristiti. Cilj se postiže raspisivanjem javnih natječaja kojim se financiraju međunarodne aktivnosti unutar obrazovnog sustava RH. </w:t>
      </w:r>
    </w:p>
    <w:p w:rsidR="00D849AA" w:rsidRDefault="00EE6D95">
      <w:pPr>
        <w:pStyle w:val="Normal6"/>
      </w:pPr>
      <w:r>
        <w:t xml:space="preserve">Sredstva za program Erasmus+ bit će dostupna temeljem Uredbe EU koju će kao pravnu stečevinu prihvatiti RH, te potpisanog ugovora između Agencije za mobilnost i Europske komisije. Sredstva na izvoru 51 i 12 odnose se na operativne troškove potrebne za rad Agencije (usluge promidžbe i informiranja - razni oblici promo materijala potrebnih za što veću diseminaciju programa), intelektualne usluge (evaluacija pristiglih prijava od strane vanjskih suradnika – u skladu s pravilima Europske komisije; prezentacija programa po lokalnim i regionalnim središtima Hrvatske od strane vanjskih suradnika, prijevodi i usluge vanjskih konzultanata oko financijskih i pravnih pitanja) i zakup (ured Agencije i zakup prostora za informativne dane i sl.), a sredstva na izvoru 51 odnose se na Tekuće pomoći korisnicima temeljem prijenosa sredstava EU i Tekuće donacije u novcu (stipendije i ostali oblici financijske potpore obrazovnim i inim ustanovama). </w:t>
      </w:r>
    </w:p>
    <w:p w:rsidR="00D849AA" w:rsidRDefault="00EE6D95">
      <w:pPr>
        <w:pStyle w:val="Normal6"/>
      </w:pPr>
      <w:r>
        <w:t xml:space="preserve">Ovdje napominjemo da će tijekom 2014. i 2015. godine u provedbi istovremeno biti novi program Erasmus+ te njegovi pravni prethodnici Program za cjeloživotno učenje i program Mladi na djelu za koje će tijekom sljedeće dvije godine, temeljem Memoranduma o razumijevanju te ugovora između AMPEU-a i Europske komisije, također biti </w:t>
      </w:r>
      <w:r>
        <w:lastRenderedPageBreak/>
        <w:t>doznačivana sredstva za dovršetak provedbe višegodišnjih projekata ugovorenih tijekom 2011., 2012. i 2013. godine.</w:t>
      </w:r>
    </w:p>
    <w:p w:rsidR="00D849AA" w:rsidRDefault="00EE6D95">
      <w:pPr>
        <w:pStyle w:val="Naslov7"/>
      </w:pPr>
      <w:r>
        <w:t>Cilj 2. Povećati mobilnost znanstvenika i broj znanstvenih projekata pružanjem usluga Euraxess centra te osiguranjem nacionalne potporne strukture za program EU Obzor 2020. u 14 od 21 programskog područja</w:t>
      </w:r>
    </w:p>
    <w:p w:rsidR="00D849AA" w:rsidRDefault="00EE6D95">
      <w:pPr>
        <w:pStyle w:val="Normal6"/>
      </w:pPr>
      <w:r>
        <w:t xml:space="preserve">U svrhu ukidanja prepreka mobilnosti znanstvenika i stvaranja zajedničkog prostora znanosti i istraživanja, potrebno je organizirati promotivne i informativne aktivnosti te aktivnosti individualnih savjetovanja svim znanstvenicima i znanstvenim institucijama koji prijavljuju projekte na natječaje Europske komisije. Potrebno je i osigurati održivost Euraxess uslužnog centra kao glavne savjetodavne točke domaćim i stranim znanstvenicima. </w:t>
      </w:r>
    </w:p>
    <w:p w:rsidR="00D849AA" w:rsidRDefault="00EE6D95">
      <w:pPr>
        <w:pStyle w:val="Normal6"/>
      </w:pPr>
      <w:r>
        <w:t xml:space="preserve">Agencija za mobilnost i program EU proširila je svoje usluge te je, uz uslužni centar za dolazak stranih znanstvenika u RH, od 2012. godine postala i kontaktni centar za savjetovanje oko prijava na FP 7 natječaj (individualne stipendije Marie Curie te područja Energije i Okoliša). U 2013. godini, Odlukom MZOS-a, Agencija ima zadaću ustrojiti veći dio nacionalne potporne strukture za program Europske unije Obzor 2020. u smislu osiguranja kvalitetnog rada 14 od 21 nacionalne kontakt točke koje informiraju i savjetuju o pojedinim programskim područjima. </w:t>
      </w:r>
    </w:p>
    <w:p w:rsidR="00D849AA" w:rsidRDefault="00EE6D95">
      <w:pPr>
        <w:pStyle w:val="Normal6"/>
      </w:pPr>
      <w:r>
        <w:t>Iz razloga proširenja usluga Agencije za mobilnost i programe EU, a prema odluci nadležnog ministarstva, u 2014. otvara se nova aktivnost Obzor 2020. i mobilnost istraživača.</w:t>
      </w:r>
    </w:p>
    <w:p w:rsidR="00D849AA" w:rsidRDefault="00EE6D95">
      <w:pPr>
        <w:pStyle w:val="Naslov7"/>
      </w:pPr>
      <w:r>
        <w:t>Cilj 3. Povećati visokoškolsku mobilnost studenata i nastavnog osoblja sudjelovanjem u CEEPUS programu i temeljem bilateralnih mobilnosti</w:t>
      </w:r>
    </w:p>
    <w:p w:rsidR="00D849AA" w:rsidRDefault="00EE6D95">
      <w:pPr>
        <w:pStyle w:val="Normal6"/>
      </w:pPr>
      <w:r>
        <w:t xml:space="preserve">U svrhu izgradnje Agencije kao nacionalne točke mobilnosti, MZOS je Agenciji u nadležnost prepustio provedbu visokoškolske mobilnosti studenata i nastavnog osoblja temeljem bilateralnih i multilateralnih sporazuma. Iz tog razloga, u 2012. godini otvorena je aktivnost A 818033 Znanstvena i visokoškolska mobilnost koja obuhvaća raspisivanje natječaja, dodjelu i isplate stipendija korisnicima CEEPUS i bilateralnih stipendija. </w:t>
      </w:r>
    </w:p>
    <w:p w:rsidR="00D849AA" w:rsidRDefault="00EE6D95">
      <w:pPr>
        <w:pStyle w:val="Normal6"/>
      </w:pPr>
      <w:r>
        <w:t>U okviru predloženog proračuna planirane su stavke naknade građanima i kućanstvima (stipendije i putni troškovi odlaska na stipendiju) te manji iznosi za operativne troškove sudjelovanja u multilateralnoj CEEPUS mreži te angažiranja vanjskih stručnjaka za evaluacije pristiglih prijava.</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Pokazatelj učinka</w:t>
            </w:r>
          </w:p>
        </w:tc>
        <w:tc>
          <w:tcPr>
            <w:tcW w:w="1114" w:type="dxa"/>
          </w:tcPr>
          <w:p w:rsidR="00D849AA" w:rsidRDefault="00EE6D95">
            <w:r>
              <w:t>%</w:t>
            </w:r>
          </w:p>
        </w:tc>
        <w:tc>
          <w:tcPr>
            <w:tcW w:w="1114" w:type="dxa"/>
          </w:tcPr>
          <w:p w:rsidR="00D849AA" w:rsidRDefault="00EE6D95">
            <w:r>
              <w:t>95%</w:t>
            </w:r>
          </w:p>
        </w:tc>
        <w:tc>
          <w:tcPr>
            <w:tcW w:w="1486" w:type="dxa"/>
          </w:tcPr>
          <w:p w:rsidR="00D849AA" w:rsidRDefault="00EE6D95">
            <w:r>
              <w:t>95%</w:t>
            </w:r>
          </w:p>
        </w:tc>
        <w:tc>
          <w:tcPr>
            <w:tcW w:w="1486" w:type="dxa"/>
          </w:tcPr>
          <w:p w:rsidR="00D849AA" w:rsidRDefault="00EE6D95">
            <w:r>
              <w:t>95%</w:t>
            </w:r>
          </w:p>
        </w:tc>
        <w:tc>
          <w:tcPr>
            <w:tcW w:w="1486" w:type="dxa"/>
          </w:tcPr>
          <w:p w:rsidR="00D849AA" w:rsidRDefault="00EE6D95">
            <w:r>
              <w:t>95%</w:t>
            </w:r>
          </w:p>
        </w:tc>
      </w:tr>
    </w:tbl>
    <w:p w:rsidR="00D849AA" w:rsidRDefault="00D849AA">
      <w:pPr>
        <w:jc w:val="left"/>
      </w:pPr>
    </w:p>
    <w:p w:rsidR="00D849AA" w:rsidRDefault="00EE6D95">
      <w:pPr>
        <w:pStyle w:val="Naslov7"/>
      </w:pPr>
      <w:r>
        <w:t>Cilj 4. Osigurati održivost provedbe popratnih inicijativa Europske komisije – Europass, Euroguidance, Eurodesk, eTwinning, stručne skupine za ECVET i stručne skupine za Bolonjski proces, informiranja o programima Tempus i Erasmus Mundus</w:t>
      </w:r>
    </w:p>
    <w:p w:rsidR="00D849AA" w:rsidRDefault="00EE6D95">
      <w:pPr>
        <w:pStyle w:val="Normal6"/>
      </w:pPr>
      <w:r>
        <w:t xml:space="preserve">U svrhu uspješne provedbe prije navedenih programa (Programa za cjeloživotno učenje i programa Mladi na djelu odnosno njihovog pravnog sljednika programa Erasmus+ koji </w:t>
      </w:r>
      <w:r>
        <w:lastRenderedPageBreak/>
        <w:t xml:space="preserve">otpočinje 2014. godine) Europska komisija osmislila je i sustav popratnih mreža i inicijativa koje svojim alatima (npr. Europass portfelj dokumenata za olakšavanje mobilnosti, eTwinning Internet portal za međunarodnu suradnju škola, Eurodesk portal za informiranje mladih, skupine stručnjaka za potporu i koordinaciju reformskih procesa u obrazovanju) te programi Tempus i Erasmus Mundus osiguravaju transfer znanja i primjera dobre prakse iz Europske unije u nacionalni sustav obrazovanja i profesionalnog usmjeravanja i obrnuto. Navedene aktivnosti financiraju se dijelom iz sredstava EU, a dijelom je potrebno osigurati sufinanciranje, u prosječnom iznosu od 20% u odnosu na EU financiranje, iz državnog proračuna. </w:t>
      </w:r>
    </w:p>
    <w:p w:rsidR="00D849AA" w:rsidRDefault="00EE6D95">
      <w:pPr>
        <w:pStyle w:val="Normal6"/>
      </w:pPr>
      <w:r>
        <w:t>Navedene popratne mjere prikazane su zasebnim aktivnostima te ne bi trebale predstavljati znatno opterećenje za državni proračun s obzirom da se većina aktivnosti financira iz EU sredstava.</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Pokazatelj učinka</w:t>
            </w:r>
          </w:p>
        </w:tc>
        <w:tc>
          <w:tcPr>
            <w:tcW w:w="1114" w:type="dxa"/>
          </w:tcPr>
          <w:p w:rsidR="00D849AA" w:rsidRDefault="00EE6D95">
            <w:r>
              <w:t>%</w:t>
            </w:r>
          </w:p>
        </w:tc>
        <w:tc>
          <w:tcPr>
            <w:tcW w:w="1114" w:type="dxa"/>
          </w:tcPr>
          <w:p w:rsidR="00D849AA" w:rsidRDefault="00EE6D95">
            <w:r>
              <w:t>95%</w:t>
            </w:r>
          </w:p>
        </w:tc>
        <w:tc>
          <w:tcPr>
            <w:tcW w:w="1486" w:type="dxa"/>
          </w:tcPr>
          <w:p w:rsidR="00D849AA" w:rsidRDefault="00EE6D95">
            <w:r>
              <w:t>90%</w:t>
            </w:r>
          </w:p>
        </w:tc>
        <w:tc>
          <w:tcPr>
            <w:tcW w:w="1486" w:type="dxa"/>
          </w:tcPr>
          <w:p w:rsidR="00D849AA" w:rsidRDefault="00EE6D95">
            <w:r>
              <w:t>90%</w:t>
            </w:r>
          </w:p>
        </w:tc>
        <w:tc>
          <w:tcPr>
            <w:tcW w:w="1486" w:type="dxa"/>
          </w:tcPr>
          <w:p w:rsidR="00D849AA" w:rsidRDefault="00EE6D95">
            <w:r>
              <w:t>90%</w:t>
            </w:r>
          </w:p>
        </w:tc>
      </w:tr>
    </w:tbl>
    <w:p w:rsidR="00D849AA" w:rsidRDefault="00D849AA">
      <w:pPr>
        <w:jc w:val="left"/>
      </w:pPr>
    </w:p>
    <w:p w:rsidR="00D849AA" w:rsidRDefault="00EE6D95">
      <w:pPr>
        <w:pStyle w:val="Naslov5"/>
      </w:pPr>
      <w:r>
        <w:t>Procjena i ishodište potrebnih sredstava za značajnije aktivnosti/projekte</w:t>
      </w:r>
    </w:p>
    <w:p w:rsidR="00D849AA" w:rsidRDefault="00EE6D95">
      <w:pPr>
        <w:pStyle w:val="Naslov3"/>
      </w:pPr>
      <w:r>
        <w:t>45871 Hrvatski mjeriteljski institut</w:t>
      </w:r>
    </w:p>
    <w:p w:rsidR="00D849AA" w:rsidRDefault="00EE6D95">
      <w:pPr>
        <w:pStyle w:val="Naslov4"/>
      </w:pPr>
      <w:r>
        <w:t>Uvod</w:t>
      </w:r>
    </w:p>
    <w:p w:rsidR="00D849AA" w:rsidRDefault="00EE6D95">
      <w:pPr>
        <w:pStyle w:val="Normal5"/>
      </w:pPr>
      <w:r>
        <w:t>Sukladno obavezama koje je Republika hrvatske preuzela prema Europskoj Uniji prilikom zatvaranja pregovaračkog poglavlja 1. Sloboda kretanja roba, Zakonom o izmjenama i dopunama Zakona o mjeriteljstvu (NN 111/07) od 12. listopada 2007. godine propisano je kako Vlada RH za obavljanje stručnih poslova iz područja temeljnog mjeriteljstva može osnovati Hrvatski mjeriteljski institut (HMI). Temeljem navedenog, Vlada RH donijela je, na sjednici od 30. lipnja 2008. godine, Uredbu o osnivanju HMI-a (NN 77/08).</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45871</w:t>
            </w:r>
          </w:p>
        </w:tc>
        <w:tc>
          <w:tcPr>
            <w:tcW w:w="1486" w:type="dxa"/>
          </w:tcPr>
          <w:p w:rsidR="00D849AA" w:rsidRDefault="00EE6D95">
            <w:r>
              <w:t>2.125.000</w:t>
            </w:r>
          </w:p>
        </w:tc>
        <w:tc>
          <w:tcPr>
            <w:tcW w:w="1486" w:type="dxa"/>
          </w:tcPr>
          <w:p w:rsidR="00D849AA" w:rsidRDefault="00EE6D95">
            <w:r>
              <w:t>2.136.552</w:t>
            </w:r>
          </w:p>
        </w:tc>
        <w:tc>
          <w:tcPr>
            <w:tcW w:w="1486" w:type="dxa"/>
          </w:tcPr>
          <w:p w:rsidR="00D849AA" w:rsidRDefault="00EE6D95">
            <w:r>
              <w:t>1.951.512</w:t>
            </w:r>
          </w:p>
        </w:tc>
        <w:tc>
          <w:tcPr>
            <w:tcW w:w="1486" w:type="dxa"/>
          </w:tcPr>
          <w:p w:rsidR="00D849AA" w:rsidRDefault="00EE6D95">
            <w:r>
              <w:t>1.941.856</w:t>
            </w:r>
          </w:p>
        </w:tc>
        <w:tc>
          <w:tcPr>
            <w:tcW w:w="1486" w:type="dxa"/>
          </w:tcPr>
          <w:p w:rsidR="00D849AA" w:rsidRDefault="00EE6D95">
            <w:r>
              <w:t>100,5</w:t>
            </w:r>
          </w:p>
        </w:tc>
      </w:tr>
    </w:tbl>
    <w:p w:rsidR="00D849AA" w:rsidRDefault="00D849AA">
      <w:pPr>
        <w:jc w:val="left"/>
      </w:pPr>
    </w:p>
    <w:p w:rsidR="00D849AA" w:rsidRDefault="00EE6D95">
      <w:pPr>
        <w:pStyle w:val="Naslov6"/>
      </w:pPr>
      <w:r>
        <w:t>A866001 ADMINISTRACIJA I UPRAVLJANJE HRVATSKOG MJERITELJSKOG INSTITUTA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A866001</w:t>
            </w:r>
          </w:p>
        </w:tc>
        <w:tc>
          <w:tcPr>
            <w:tcW w:w="1486" w:type="dxa"/>
          </w:tcPr>
          <w:p w:rsidR="00D849AA" w:rsidRDefault="00EE6D95">
            <w:r>
              <w:t>2.125.000</w:t>
            </w:r>
          </w:p>
        </w:tc>
        <w:tc>
          <w:tcPr>
            <w:tcW w:w="1486" w:type="dxa"/>
          </w:tcPr>
          <w:p w:rsidR="00D849AA" w:rsidRDefault="00EE6D95">
            <w:r>
              <w:t>2.136.552</w:t>
            </w:r>
          </w:p>
        </w:tc>
        <w:tc>
          <w:tcPr>
            <w:tcW w:w="1486" w:type="dxa"/>
          </w:tcPr>
          <w:p w:rsidR="00D849AA" w:rsidRDefault="00EE6D95">
            <w:r>
              <w:t>1.951.512</w:t>
            </w:r>
          </w:p>
        </w:tc>
        <w:tc>
          <w:tcPr>
            <w:tcW w:w="1486" w:type="dxa"/>
          </w:tcPr>
          <w:p w:rsidR="00D849AA" w:rsidRDefault="00EE6D95">
            <w:r>
              <w:t>1.941.856</w:t>
            </w:r>
          </w:p>
        </w:tc>
        <w:tc>
          <w:tcPr>
            <w:tcW w:w="1486" w:type="dxa"/>
          </w:tcPr>
          <w:p w:rsidR="00D849AA" w:rsidRDefault="00EE6D95">
            <w:r>
              <w:t>100,5</w:t>
            </w:r>
          </w:p>
        </w:tc>
      </w:tr>
    </w:tbl>
    <w:p w:rsidR="00D849AA" w:rsidRDefault="00D849AA">
      <w:pPr>
        <w:jc w:val="left"/>
      </w:pPr>
    </w:p>
    <w:p w:rsidR="00D849AA" w:rsidRDefault="00EE6D95">
      <w:pPr>
        <w:pStyle w:val="Normal6"/>
      </w:pPr>
      <w:r>
        <w:t xml:space="preserve">Sredstvima ove aktivnosti financiraju se rashodi za zaposlenike Hrvatskog mjeriteljskog instituta, kao i materijalni troškovi poslovanja, te troškovi koji postoje temeljem preuzetih </w:t>
      </w:r>
      <w:r>
        <w:lastRenderedPageBreak/>
        <w:t>obveza Instituta za državne etalone aktivnosti na razini Republike Hrvatske, kao i članstva u međunarodnim mjeriteljskim organizacijama i udruženjima.</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Povećanje udjela prihoda znanstvenih organizacija od ugovorenih projekata s gospodarskim subjektima, tijelima državne uprave i jedinicama lokalne uprave i samouprave, civilnim sektorom i nevladinim udrugama u ukupnim prihodima</w:t>
            </w:r>
          </w:p>
        </w:tc>
        <w:tc>
          <w:tcPr>
            <w:tcW w:w="1114" w:type="dxa"/>
          </w:tcPr>
          <w:p w:rsidR="00D849AA" w:rsidRDefault="00EE6D95">
            <w:r>
              <w:t>Postotak u ukupnim prihodima (godišnje)</w:t>
            </w:r>
          </w:p>
        </w:tc>
        <w:tc>
          <w:tcPr>
            <w:tcW w:w="1114" w:type="dxa"/>
          </w:tcPr>
          <w:p w:rsidR="00D849AA" w:rsidRDefault="00EE6D95">
            <w:r>
              <w:t>10,53 (2012.)</w:t>
            </w:r>
          </w:p>
        </w:tc>
        <w:tc>
          <w:tcPr>
            <w:tcW w:w="1486" w:type="dxa"/>
          </w:tcPr>
          <w:p w:rsidR="00D849AA" w:rsidRDefault="00EE6D95">
            <w:r>
              <w:t>11</w:t>
            </w:r>
          </w:p>
        </w:tc>
        <w:tc>
          <w:tcPr>
            <w:tcW w:w="1486" w:type="dxa"/>
          </w:tcPr>
          <w:p w:rsidR="00D849AA" w:rsidRDefault="00EE6D95">
            <w:r>
              <w:t>12</w:t>
            </w:r>
          </w:p>
        </w:tc>
        <w:tc>
          <w:tcPr>
            <w:tcW w:w="1486" w:type="dxa"/>
          </w:tcPr>
          <w:p w:rsidR="00D849AA" w:rsidRDefault="00EE6D95">
            <w:r>
              <w:t>13</w:t>
            </w:r>
          </w:p>
        </w:tc>
      </w:tr>
    </w:tbl>
    <w:p w:rsidR="00D849AA" w:rsidRDefault="00D849AA">
      <w:pPr>
        <w:jc w:val="left"/>
      </w:pPr>
    </w:p>
    <w:p w:rsidR="00D849AA" w:rsidRDefault="00EE6D95">
      <w:pPr>
        <w:pStyle w:val="Naslov3"/>
      </w:pPr>
      <w:r>
        <w:t>46173 Agencija za strukovno obrazovanje i obrazovanje odraslih</w:t>
      </w:r>
    </w:p>
    <w:p w:rsidR="00D849AA" w:rsidRDefault="00EE6D95">
      <w:pPr>
        <w:pStyle w:val="Naslov4"/>
      </w:pPr>
      <w:r>
        <w:t>Uvod</w:t>
      </w:r>
    </w:p>
    <w:p w:rsidR="00D849AA" w:rsidRDefault="00EE6D95">
      <w:pPr>
        <w:pStyle w:val="Normal5"/>
      </w:pPr>
      <w:r>
        <w:t>Agencija za strukovno obrazovanje i obrazovanje odraslih ima zadaću planirati i provoditi sve aktivnosti koje pridonose razvoju osiguranja kvalitete sustava strukovnog obrazovanja i sustava obrazovanja odraslih, usklađivati te sustave s potrebama tržišta rada realizirano kroz izradu novih paketa programa učenja (standarda zanimanja, standard kvalifikacija i strukovnih kurikuluma) te kao akreditirano tijelo provoditi programe sufinancirane iz EU fondova.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46173</w:t>
            </w:r>
          </w:p>
        </w:tc>
        <w:tc>
          <w:tcPr>
            <w:tcW w:w="1486" w:type="dxa"/>
          </w:tcPr>
          <w:p w:rsidR="00D849AA" w:rsidRDefault="00EE6D95">
            <w:r>
              <w:t>100.394.049</w:t>
            </w:r>
          </w:p>
        </w:tc>
        <w:tc>
          <w:tcPr>
            <w:tcW w:w="1486" w:type="dxa"/>
          </w:tcPr>
          <w:p w:rsidR="00D849AA" w:rsidRDefault="00EE6D95">
            <w:r>
              <w:t>30.832.989</w:t>
            </w:r>
          </w:p>
        </w:tc>
        <w:tc>
          <w:tcPr>
            <w:tcW w:w="1486" w:type="dxa"/>
          </w:tcPr>
          <w:p w:rsidR="00D849AA" w:rsidRDefault="00EE6D95">
            <w:r>
              <w:t>23.637.941</w:t>
            </w:r>
          </w:p>
        </w:tc>
        <w:tc>
          <w:tcPr>
            <w:tcW w:w="1486" w:type="dxa"/>
          </w:tcPr>
          <w:p w:rsidR="00D849AA" w:rsidRDefault="00EE6D95">
            <w:r>
              <w:t>21.445.788</w:t>
            </w:r>
          </w:p>
        </w:tc>
        <w:tc>
          <w:tcPr>
            <w:tcW w:w="1486" w:type="dxa"/>
          </w:tcPr>
          <w:p w:rsidR="00D849AA" w:rsidRDefault="00EE6D95">
            <w:r>
              <w:t>30,7</w:t>
            </w:r>
          </w:p>
        </w:tc>
      </w:tr>
    </w:tbl>
    <w:p w:rsidR="00D849AA" w:rsidRDefault="00D849AA">
      <w:pPr>
        <w:jc w:val="left"/>
      </w:pPr>
    </w:p>
    <w:p w:rsidR="00D849AA" w:rsidRDefault="00EE6D95">
      <w:pPr>
        <w:pStyle w:val="Naslov4"/>
      </w:pPr>
      <w:r>
        <w:t>OBRAZLOŽENJE PROGRAMA</w:t>
      </w:r>
    </w:p>
    <w:p w:rsidR="00D849AA" w:rsidRDefault="00EE6D95">
      <w:pPr>
        <w:pStyle w:val="Naslov5"/>
      </w:pPr>
      <w:r>
        <w:t>3701 RAZVOJ ODGOJNO OBRAZOVNOG SUSTAVA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3701</w:t>
            </w:r>
          </w:p>
        </w:tc>
        <w:tc>
          <w:tcPr>
            <w:tcW w:w="1486" w:type="dxa"/>
          </w:tcPr>
          <w:p w:rsidR="00D849AA" w:rsidRDefault="00EE6D95">
            <w:r>
              <w:t>100.394.049</w:t>
            </w:r>
          </w:p>
        </w:tc>
        <w:tc>
          <w:tcPr>
            <w:tcW w:w="1486" w:type="dxa"/>
          </w:tcPr>
          <w:p w:rsidR="00D849AA" w:rsidRDefault="00EE6D95">
            <w:r>
              <w:t>30.832.989</w:t>
            </w:r>
          </w:p>
        </w:tc>
        <w:tc>
          <w:tcPr>
            <w:tcW w:w="1486" w:type="dxa"/>
          </w:tcPr>
          <w:p w:rsidR="00D849AA" w:rsidRDefault="00EE6D95">
            <w:r>
              <w:t>23.637.941</w:t>
            </w:r>
          </w:p>
        </w:tc>
        <w:tc>
          <w:tcPr>
            <w:tcW w:w="1486" w:type="dxa"/>
          </w:tcPr>
          <w:p w:rsidR="00D849AA" w:rsidRDefault="00EE6D95">
            <w:r>
              <w:t>21.445.788</w:t>
            </w:r>
          </w:p>
        </w:tc>
        <w:tc>
          <w:tcPr>
            <w:tcW w:w="1486" w:type="dxa"/>
          </w:tcPr>
          <w:p w:rsidR="00D849AA" w:rsidRDefault="00EE6D95">
            <w:r>
              <w:t>30,7</w:t>
            </w:r>
          </w:p>
        </w:tc>
      </w:tr>
    </w:tbl>
    <w:p w:rsidR="00D849AA" w:rsidRDefault="00D849AA">
      <w:pPr>
        <w:jc w:val="left"/>
      </w:pPr>
    </w:p>
    <w:p w:rsidR="00D849AA" w:rsidRDefault="00EE6D95">
      <w:pPr>
        <w:pStyle w:val="Naslov6"/>
      </w:pPr>
      <w:r>
        <w:lastRenderedPageBreak/>
        <w:t>Opis programa</w:t>
      </w:r>
    </w:p>
    <w:p w:rsidR="00D849AA" w:rsidRDefault="00EE6D95">
      <w:r>
        <w:t>Promocija učenja i obrazovanja ima za svrhu senzibiliziranje javnosti za cjeloživotno učenje, promicanje kulture učenja te poticanje osobne motivacije za učenjem i obrazovanjem. Na temelju izravnih obraćanja građanima potiče se veće uključivanje u procese obrazovanja i učenja. Namjera je podizanje svijesti o važnosti ulaganja u cjeloživotno učenje, stjecanja kvalifikacija potrebnih tržištu rada (veća zapošljivost) kao i znanja potrebnih za samoostvarenje, povećanje kvalitete življenja i razvoja aktivnog građanstva, što će u konačnici dovesti do poboljšanja obrazovne strukture stanovništva, trajnog osuvremenjivanja sadržaja i metoda obrazovanja na svim razinama obrazovnog sustava. Važno je osvijestiti i spoznaju o stalnoj brizi kod nositelja obrazovnog sustava te svih koji sufinanciraju spomenute aktivnosti.</w:t>
      </w:r>
    </w:p>
    <w:p w:rsidR="00D849AA" w:rsidRDefault="00EE6D95">
      <w:pPr>
        <w:pStyle w:val="Naslov6"/>
      </w:pPr>
      <w:r>
        <w:t>Zakonske i druge pravne osnove</w:t>
      </w:r>
    </w:p>
    <w:p w:rsidR="00D849AA" w:rsidRDefault="00EE6D95">
      <w:r>
        <w:t xml:space="preserve">Strategija obrazovanja odraslih 2004. </w:t>
      </w:r>
    </w:p>
    <w:p w:rsidR="00D849AA" w:rsidRDefault="00EE6D95">
      <w:r>
        <w:t xml:space="preserve">Zakon o obrazovanju odraslih, 2007.  </w:t>
      </w:r>
    </w:p>
    <w:p w:rsidR="00D849AA" w:rsidRDefault="00EE6D95">
      <w:r>
        <w:t xml:space="preserve">Strateški okvir za razvoj 2006.-2013. (poglavlje II), Cilj 6. Poticanje znanja izvrsnosti i kulture u Strategiji vladinih programa za razdoblje 2014.-2016. </w:t>
      </w:r>
    </w:p>
    <w:p w:rsidR="00D849AA" w:rsidRDefault="00EE6D95">
      <w:r>
        <w:t>Strateški plan Ministarstva znanosti, obrazovanja i sporta za razdoblje 2014. - 2016. godine.</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Cilj 1. Kontinuirano statističko praćenje obrazovanja odraslih vođenjem baze podataka (Andragoški zajednički upisnik podataka).</w:t>
      </w:r>
    </w:p>
    <w:p w:rsidR="00D849AA" w:rsidRDefault="00EE6D95">
      <w:pPr>
        <w:pStyle w:val="Normal6"/>
      </w:pPr>
      <w:r>
        <w:t>Statističko praćenje predstavlja jednu od osnova za definiranje prioriteta razvoja pojedenih segmenta obrazovnoga sustava, pa tako i sustava obrazovanja odraslih. Ostvarenjem ovoga cilja osiguravaju se informacije za tijela državne uprave i mjerodavno ministarstvo o evidenciji i drugim važnim podatcima vezanima za praćenje stanja i razvoj djelatnosti obrazovanja odraslih (ustanove, programi, radnici, polaznici), određivanje kriterija za uspostavu, provedbu i nadzor sustavnoga financiranja obrazovanja odraslih u programskome, investicijskom i materijalnomu poslovanju.</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Povećan broj informacija o sustavu obrazovanja odraslih</w:t>
            </w:r>
          </w:p>
        </w:tc>
        <w:tc>
          <w:tcPr>
            <w:tcW w:w="1114" w:type="dxa"/>
          </w:tcPr>
          <w:p w:rsidR="00D849AA" w:rsidRDefault="00EE6D95">
            <w:r>
              <w:t>Količina unesenih podataka  koji se traže temeljem propisa</w:t>
            </w:r>
          </w:p>
        </w:tc>
        <w:tc>
          <w:tcPr>
            <w:tcW w:w="1114" w:type="dxa"/>
          </w:tcPr>
          <w:p w:rsidR="00D849AA" w:rsidRDefault="00EE6D95">
            <w:r>
              <w:t>55%</w:t>
            </w:r>
          </w:p>
        </w:tc>
        <w:tc>
          <w:tcPr>
            <w:tcW w:w="1486" w:type="dxa"/>
          </w:tcPr>
          <w:p w:rsidR="00D849AA" w:rsidRDefault="00EE6D95">
            <w:r>
              <w:t>70%</w:t>
            </w:r>
          </w:p>
        </w:tc>
        <w:tc>
          <w:tcPr>
            <w:tcW w:w="1486" w:type="dxa"/>
          </w:tcPr>
          <w:p w:rsidR="00D849AA" w:rsidRDefault="00EE6D95">
            <w:r>
              <w:t>80%</w:t>
            </w:r>
          </w:p>
        </w:tc>
        <w:tc>
          <w:tcPr>
            <w:tcW w:w="1486" w:type="dxa"/>
          </w:tcPr>
          <w:p w:rsidR="00D849AA" w:rsidRDefault="00EE6D95">
            <w:r>
              <w:t>85%</w:t>
            </w:r>
          </w:p>
        </w:tc>
      </w:tr>
    </w:tbl>
    <w:p w:rsidR="00D849AA" w:rsidRDefault="00D849AA">
      <w:pPr>
        <w:jc w:val="left"/>
      </w:pPr>
    </w:p>
    <w:p w:rsidR="00D849AA" w:rsidRDefault="00EE6D95">
      <w:pPr>
        <w:pStyle w:val="Naslov7"/>
      </w:pPr>
      <w:r>
        <w:lastRenderedPageBreak/>
        <w:t xml:space="preserve">Cilj 2. Kontinuirano stručno osposobljavanje i usavršavanje zaposlenih u području obrazovanja odraslih  </w:t>
      </w:r>
    </w:p>
    <w:p w:rsidR="00D849AA" w:rsidRDefault="00EE6D95">
      <w:pPr>
        <w:pStyle w:val="Normal6"/>
      </w:pPr>
      <w:r>
        <w:t>Namjera je Agencije, kao i proteklih godina, podizanje kvalitete obrazovnoga procesa kroz stručno osposobljavanje i usavršavanje zaposlenih u sustavu obrazovanja odraslih (ravnatelji ustanova, voditelji obrazovanja i nastavnici).</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94"/>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Povećanje sudjelovanja djelatnika na stručnim usavršavanjima, a time i unaprjeđenje njihovih znanja i vještina</w:t>
            </w:r>
          </w:p>
        </w:tc>
        <w:tc>
          <w:tcPr>
            <w:tcW w:w="1114" w:type="dxa"/>
          </w:tcPr>
          <w:p w:rsidR="00D849AA" w:rsidRDefault="00EE6D95">
            <w:r>
              <w:t>Povećanjem stručnosti djelatnika u sektoru obrazovanja odraslih podiže se kvaliteta cijelog sustava</w:t>
            </w:r>
          </w:p>
        </w:tc>
        <w:tc>
          <w:tcPr>
            <w:tcW w:w="1114" w:type="dxa"/>
          </w:tcPr>
          <w:p w:rsidR="00D849AA" w:rsidRDefault="00EE6D95">
            <w:r>
              <w:t>525</w:t>
            </w:r>
          </w:p>
        </w:tc>
        <w:tc>
          <w:tcPr>
            <w:tcW w:w="1486" w:type="dxa"/>
          </w:tcPr>
          <w:p w:rsidR="00D849AA" w:rsidRDefault="00EE6D95">
            <w:r>
              <w:t>+10%</w:t>
            </w:r>
          </w:p>
        </w:tc>
        <w:tc>
          <w:tcPr>
            <w:tcW w:w="1486" w:type="dxa"/>
          </w:tcPr>
          <w:p w:rsidR="00D849AA" w:rsidRDefault="00EE6D95">
            <w:r>
              <w:t>+12%</w:t>
            </w:r>
          </w:p>
        </w:tc>
        <w:tc>
          <w:tcPr>
            <w:tcW w:w="1486" w:type="dxa"/>
          </w:tcPr>
          <w:p w:rsidR="00D849AA" w:rsidRDefault="00EE6D95">
            <w:r>
              <w:t>+15%</w:t>
            </w:r>
          </w:p>
        </w:tc>
      </w:tr>
    </w:tbl>
    <w:p w:rsidR="00D849AA" w:rsidRDefault="00D849AA">
      <w:pPr>
        <w:jc w:val="left"/>
      </w:pPr>
    </w:p>
    <w:p w:rsidR="00D849AA" w:rsidRDefault="00EE6D95">
      <w:pPr>
        <w:pStyle w:val="Naslov7"/>
      </w:pPr>
      <w:r>
        <w:t xml:space="preserve">Cilj 3. Osiguranje kvalitete rada ustanova za obrazovanje odraslih kroz procjenu programa i stručni nadzor  </w:t>
      </w:r>
    </w:p>
    <w:p w:rsidR="00D849AA" w:rsidRDefault="00EE6D95">
      <w:pPr>
        <w:pStyle w:val="Normal6"/>
      </w:pPr>
      <w:r>
        <w:t xml:space="preserve">Stručnim nadzorom povećava se kvalitete rada ustanova za obrazovanje odraslih, na način da se po obavljenom nadzoru ustanove upoznaje s propustima u organizaciji i provedbi programa obrazovanja odraslih te daju preporuke i vrijeme za poboljšanja koje se od ustanova očekuju. Nadzorom nad stručnim radom ustanova za obrazovanje odraslih provjerava se vođenje propisane andragoške dokumentacije, vođenje propisanih evidencija, izdavanje javnih isprava, način praćenja uspjeha i organiziranje završne provjere, ostvarivanje prava i obveza polaznika, ispunjenosti materijalnih, prostornih i kadrovskih uvjeta za izvođenje programa. </w:t>
      </w:r>
    </w:p>
    <w:p w:rsidR="00D849AA" w:rsidRDefault="00EE6D95">
      <w:pPr>
        <w:pStyle w:val="Normal6"/>
      </w:pPr>
      <w:r>
        <w:t>Agencija daje mišljenje na programe obrazovanja odraslih temeljem stručne i andragoške procjene u svrhu osiguravanja kvalitete i kreiranja programa obrazovanja odraslih namijenjenih potrebama i zahtjevima tržišta rada.</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227"/>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Usklađenost programa sa zakonskim propisima i pravilima struke</w:t>
            </w:r>
          </w:p>
        </w:tc>
        <w:tc>
          <w:tcPr>
            <w:tcW w:w="1114" w:type="dxa"/>
          </w:tcPr>
          <w:p w:rsidR="00D849AA" w:rsidRDefault="00EE6D95">
            <w:r>
              <w:t>Broj zaprimljenih programa na stručnu i andragošku procjenu, a temeljem zahtjeva ustanova za obrazovanje odraslih</w:t>
            </w:r>
          </w:p>
        </w:tc>
        <w:tc>
          <w:tcPr>
            <w:tcW w:w="1114" w:type="dxa"/>
          </w:tcPr>
          <w:p w:rsidR="00D849AA" w:rsidRDefault="00EE6D95">
            <w:r>
              <w:t xml:space="preserve">1581 </w:t>
            </w:r>
          </w:p>
          <w:p w:rsidR="00D849AA" w:rsidRDefault="00EE6D95">
            <w:r>
              <w:t>(1258 do kraja rujna 2013.)</w:t>
            </w:r>
          </w:p>
        </w:tc>
        <w:tc>
          <w:tcPr>
            <w:tcW w:w="1486" w:type="dxa"/>
          </w:tcPr>
          <w:p w:rsidR="00D849AA" w:rsidRDefault="00EE6D95">
            <w:r>
              <w:t>Ovisi o ustanovama</w:t>
            </w:r>
          </w:p>
        </w:tc>
        <w:tc>
          <w:tcPr>
            <w:tcW w:w="1486" w:type="dxa"/>
          </w:tcPr>
          <w:p w:rsidR="00D849AA" w:rsidRDefault="00EE6D95">
            <w:r>
              <w:t>Ovisi o ustanovama</w:t>
            </w:r>
          </w:p>
        </w:tc>
        <w:tc>
          <w:tcPr>
            <w:tcW w:w="1486" w:type="dxa"/>
          </w:tcPr>
          <w:p w:rsidR="00D849AA" w:rsidRDefault="00EE6D95">
            <w:r>
              <w:t>Ovisi o ustanovama</w:t>
            </w:r>
          </w:p>
        </w:tc>
      </w:tr>
      <w:tr w:rsidR="00D849AA">
        <w:trPr>
          <w:jc w:val="center"/>
        </w:trPr>
        <w:tc>
          <w:tcPr>
            <w:tcW w:w="2229" w:type="dxa"/>
          </w:tcPr>
          <w:p w:rsidR="00D849AA" w:rsidRDefault="00EE6D95">
            <w:pPr>
              <w:pStyle w:val="CellColumn"/>
            </w:pPr>
            <w:r>
              <w:lastRenderedPageBreak/>
              <w:t>Veća usklađenost  ustanova sa zakonskim propisima</w:t>
            </w:r>
          </w:p>
        </w:tc>
        <w:tc>
          <w:tcPr>
            <w:tcW w:w="1114" w:type="dxa"/>
          </w:tcPr>
          <w:p w:rsidR="00D849AA" w:rsidRDefault="00EE6D95">
            <w:r>
              <w:t>Broj ustanova prema bazi podataka ASOO (AZUP)</w:t>
            </w:r>
          </w:p>
        </w:tc>
        <w:tc>
          <w:tcPr>
            <w:tcW w:w="1114" w:type="dxa"/>
          </w:tcPr>
          <w:p w:rsidR="00D849AA" w:rsidRDefault="00EE6D95">
            <w:r>
              <w:t>516</w:t>
            </w:r>
          </w:p>
        </w:tc>
        <w:tc>
          <w:tcPr>
            <w:tcW w:w="1486" w:type="dxa"/>
          </w:tcPr>
          <w:p w:rsidR="00D849AA" w:rsidRDefault="00EE6D95">
            <w:r>
              <w:t>Ovisi o obrazovnim potrebama lokalne zajednice</w:t>
            </w:r>
          </w:p>
        </w:tc>
        <w:tc>
          <w:tcPr>
            <w:tcW w:w="1486" w:type="dxa"/>
          </w:tcPr>
          <w:p w:rsidR="00D849AA" w:rsidRDefault="00EE6D95">
            <w:r>
              <w:t>Ovisi o obrazovnim potrebama lokalne zajednice</w:t>
            </w:r>
          </w:p>
        </w:tc>
        <w:tc>
          <w:tcPr>
            <w:tcW w:w="1486" w:type="dxa"/>
          </w:tcPr>
          <w:p w:rsidR="00D849AA" w:rsidRDefault="00EE6D95">
            <w:r>
              <w:t>Ovisi o obrazovnim potrebama lokalne zajednice</w:t>
            </w:r>
          </w:p>
        </w:tc>
      </w:tr>
    </w:tbl>
    <w:p w:rsidR="00D849AA" w:rsidRDefault="00D849AA">
      <w:pPr>
        <w:jc w:val="left"/>
      </w:pPr>
    </w:p>
    <w:p w:rsidR="00D849AA" w:rsidRDefault="00EE6D95">
      <w:pPr>
        <w:pStyle w:val="Naslov5"/>
      </w:pPr>
      <w:r>
        <w:t>Procjena i ishodište potrebnih sredstava za značajnije aktivnosti/projekte</w:t>
      </w:r>
    </w:p>
    <w:p w:rsidR="00D849AA" w:rsidRDefault="00EE6D95">
      <w:pPr>
        <w:pStyle w:val="Naslov6"/>
      </w:pPr>
      <w:r>
        <w:t>A848009 PROMICANJE KULTURE UČENJA: TJEDAN CJELOŽIVOTNOG UČENJA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A848009</w:t>
            </w:r>
          </w:p>
        </w:tc>
        <w:tc>
          <w:tcPr>
            <w:tcW w:w="1486" w:type="dxa"/>
          </w:tcPr>
          <w:p w:rsidR="00D849AA" w:rsidRDefault="00EE6D95">
            <w:r>
              <w:t>214.071</w:t>
            </w:r>
          </w:p>
        </w:tc>
        <w:tc>
          <w:tcPr>
            <w:tcW w:w="1486" w:type="dxa"/>
          </w:tcPr>
          <w:p w:rsidR="00D849AA" w:rsidRDefault="00EE6D95">
            <w:r>
              <w:t>221.830</w:t>
            </w:r>
          </w:p>
        </w:tc>
        <w:tc>
          <w:tcPr>
            <w:tcW w:w="1486" w:type="dxa"/>
          </w:tcPr>
          <w:p w:rsidR="00D849AA" w:rsidRDefault="00EE6D95">
            <w:r>
              <w:t>204.443</w:t>
            </w:r>
          </w:p>
        </w:tc>
        <w:tc>
          <w:tcPr>
            <w:tcW w:w="1486" w:type="dxa"/>
          </w:tcPr>
          <w:p w:rsidR="00D849AA" w:rsidRDefault="00EE6D95">
            <w:r>
              <w:t>203.420</w:t>
            </w:r>
          </w:p>
        </w:tc>
        <w:tc>
          <w:tcPr>
            <w:tcW w:w="1486" w:type="dxa"/>
          </w:tcPr>
          <w:p w:rsidR="00D849AA" w:rsidRDefault="00EE6D95">
            <w:r>
              <w:t>103,6</w:t>
            </w:r>
          </w:p>
        </w:tc>
      </w:tr>
    </w:tbl>
    <w:p w:rsidR="00D849AA" w:rsidRDefault="00D849AA">
      <w:pPr>
        <w:jc w:val="left"/>
      </w:pPr>
    </w:p>
    <w:p w:rsidR="00D849AA" w:rsidRDefault="00EE6D95">
      <w:pPr>
        <w:pStyle w:val="Normal6"/>
      </w:pPr>
      <w:r>
        <w:t xml:space="preserve">U skladu sa Strategijom obrazovanja odraslih te u okviru svoje uloge, kao središnje institucije sustava obrazovanja odraslih, Agencija kontinuirano provodi aktivnosti vezane uz promociju učenja i obrazovanja. U promicanju kulture učenja ključne aktivnosti su obilježavanje Međunarodnoga dana pismenosti (International Literacy Day), koji se, na inicijativu UNESCO-a, već niz godina diljem svijeta obilježava 8. rujna, a radi skretanja pozornosti međunarodne zajednice na status pismenosti i obrazovanja na globalnoj razini. Druga velika aktivnost je organizacija i provedba Tjedna cjeloživotnog učenja koji je, također, UNESCO-va inicijativa, pokrenuta 1999. godine, a svake se godine provodi u brojnim zemljama na svim kontinentima, i to kako bi se senzibilizirala javnost za cjeloživotno učenje. </w:t>
      </w:r>
    </w:p>
    <w:p w:rsidR="00D849AA" w:rsidRDefault="00EE6D95">
      <w:pPr>
        <w:pStyle w:val="Normal6"/>
      </w:pPr>
      <w:r>
        <w:t>Promocija učenja i obrazovanja ima za svrhu senzibiliziranje javnosti za cjeloživotno učenje, promicanje kulture učenja te poticanje osobne motivacije za učenjem i obrazovanjem. Na temelju izravnih obraćanja građanima potiče se veće uključivanje u procese obrazovanja i učenja. Namjera je podizanje svijesti o važnosti ulaganja u cjeloživotno učenje, stjecanja kvalifikacija potrebnih tržištu rada (veća zapošljivost) kao i znanja potrebnih za samoostvarenje, povećanje kvalitete življenja i razvoja aktivnoga građanstva, što u konačnici vodi poboljšanju obrazovne strukture stanovništva, trajnog osuvremenjivanja sadržaja i metoda obrazovanja na svim razinama obrazovnoga sustava.</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Povećanje broja stručnih skupova i radionica radi unaprjeđenja znanja i vještina zaposlenih u sustavu obrazovanja odraslih</w:t>
            </w:r>
          </w:p>
        </w:tc>
        <w:tc>
          <w:tcPr>
            <w:tcW w:w="1114" w:type="dxa"/>
          </w:tcPr>
          <w:p w:rsidR="00D849AA" w:rsidRDefault="00EE6D95">
            <w:r>
              <w:t>Broj stručnih skupova i radionica</w:t>
            </w:r>
          </w:p>
        </w:tc>
        <w:tc>
          <w:tcPr>
            <w:tcW w:w="1114" w:type="dxa"/>
          </w:tcPr>
          <w:p w:rsidR="00D849AA" w:rsidRDefault="00EE6D95">
            <w:r>
              <w:t>23</w:t>
            </w:r>
          </w:p>
        </w:tc>
        <w:tc>
          <w:tcPr>
            <w:tcW w:w="1486" w:type="dxa"/>
          </w:tcPr>
          <w:p w:rsidR="00D849AA" w:rsidRDefault="00EE6D95">
            <w:r>
              <w:t>30</w:t>
            </w:r>
          </w:p>
        </w:tc>
        <w:tc>
          <w:tcPr>
            <w:tcW w:w="1486" w:type="dxa"/>
          </w:tcPr>
          <w:p w:rsidR="00D849AA" w:rsidRDefault="00EE6D95">
            <w:r>
              <w:t>35</w:t>
            </w:r>
          </w:p>
        </w:tc>
        <w:tc>
          <w:tcPr>
            <w:tcW w:w="1486" w:type="dxa"/>
          </w:tcPr>
          <w:p w:rsidR="00D849AA" w:rsidRDefault="00EE6D95">
            <w:r>
              <w:t>40</w:t>
            </w:r>
          </w:p>
        </w:tc>
      </w:tr>
    </w:tbl>
    <w:p w:rsidR="00D849AA" w:rsidRDefault="00D849AA">
      <w:pPr>
        <w:jc w:val="left"/>
      </w:pPr>
    </w:p>
    <w:p w:rsidR="00D849AA" w:rsidRDefault="00EE6D95">
      <w:pPr>
        <w:pStyle w:val="Naslov1"/>
      </w:pPr>
      <w:r>
        <w:lastRenderedPageBreak/>
        <w:t>086 MINISTARSTVO RADA I MIROVINSKOGA SUSTAVA</w:t>
      </w:r>
    </w:p>
    <w:p w:rsidR="00D849AA" w:rsidRDefault="00EE6D95">
      <w:pPr>
        <w:pStyle w:val="Naslov4"/>
      </w:pPr>
      <w:r>
        <w:t>Uvod</w:t>
      </w:r>
    </w:p>
    <w:p w:rsidR="00D849AA" w:rsidRDefault="00EE6D95">
      <w:pPr>
        <w:pStyle w:val="Normal3"/>
      </w:pPr>
      <w:r>
        <w:t xml:space="preserve">Ministarstvo rada i mirovinskoga sustava na jednom mjestu objedinjava sva prava vezana uz zapošljavanje, radne odnose i mirovinsko osiguranje.  </w:t>
      </w:r>
    </w:p>
    <w:p w:rsidR="00D849AA" w:rsidRDefault="00EE6D95">
      <w:pPr>
        <w:pStyle w:val="Normal3"/>
      </w:pPr>
      <w:r>
        <w:t xml:space="preserve">Ministarstvo rada i mirovinskoga sustava izrađuje i predlaže mjere, aktivnosti i strategije u područjima radnih odnosa, tržišta rada i aktivne politike zapošljavanja, zaštite zdravlja i sigurnosti radnika, obveznog i dobrovoljnog mirovinskog i socijalnog osiguranja, socijalnog dijaloga te pripremi i provedbi programa i projekata iz programa Europske unije.  </w:t>
      </w:r>
    </w:p>
    <w:p w:rsidR="00D849AA" w:rsidRDefault="00EE6D95">
      <w:pPr>
        <w:pStyle w:val="Normal3"/>
      </w:pPr>
      <w:r>
        <w:t xml:space="preserve">Važna uloga Ministarstva rada i mirovinskoga sustava vezana je uz podizanje ukupne razine ekonomske aktivnosti stanovništva i potražnje za radom. Putem ostalih institucija na tržištu rada Ministarstvo rada mirovinskoga sustava aktivno sudjeluje u rješavanju problema strukturne i prostorne neusklađenosti između ponude i potražnje za radnom snagom te sustavnog smanjivanja regionalnih nejednakosti u području zapošljavanja.  </w:t>
      </w:r>
    </w:p>
    <w:p w:rsidR="00D849AA" w:rsidRDefault="00EE6D95">
      <w:pPr>
        <w:pStyle w:val="Normal3"/>
      </w:pPr>
      <w:r>
        <w:t xml:space="preserve">Ministarstvo rada i mirovinskoga sustava je odgovorno za sustavno uređenje radnih odnosa i sustava zaštite na radu u Republici Hrvatskoj. Zakonodavnim aktivnostima i tumačenjem važećih zakonskih odredbi rješava probleme s kojima se radnici i poslodavci susreću u praksi i na taj način aktivno utječe na zaštitu prava i njihovo ostvarivanje, ali i na smanjivanje značajnog broja radnih sporova.  </w:t>
      </w:r>
    </w:p>
    <w:p w:rsidR="00D849AA" w:rsidRDefault="00EE6D95">
      <w:pPr>
        <w:pStyle w:val="Normal3"/>
      </w:pPr>
      <w:r>
        <w:t xml:space="preserve">Ministarstvo rada i mirovinskoga sustava nadležno je i za politiku mirovinskog osiguranja u sustavu generacijske solidarnosti i u sustavu utemeljenom na individualnoj kapitaliziranoj štednji. Radi osiguranja socijalne sigurnosti umirovljenika, Ministarstvo rada i mirovinskoga sustava promišlja i predlaže mjere koje će osigurati održivost mirovinskog sustava,kojima će se otkloniti problemi u sustavu te osigurati pravednije ostvarivanja prava. </w:t>
      </w:r>
    </w:p>
    <w:p w:rsidR="00D849AA" w:rsidRDefault="00EE6D95">
      <w:pPr>
        <w:pStyle w:val="Normal3"/>
      </w:pPr>
      <w:r>
        <w:t xml:space="preserve">Ministarstvo rada i mirovinskoga sustava je zajedno s provedbenim tijelima (HZMO) nadležno i za donošenje i reviziju nalaza i mišljenja o invalidnosti.  </w:t>
      </w:r>
    </w:p>
    <w:p w:rsidR="00D849AA" w:rsidRDefault="00EE6D95">
      <w:pPr>
        <w:pStyle w:val="Normal3"/>
      </w:pPr>
      <w:r>
        <w:t xml:space="preserve">Ministarstvo rada i mirovinskoga sustava odgovorno je za upravljanje i provedbu Operativnog programa Razvoj ljudskih potencijala unutar komponente IV programa IPA te pripremu za upravljanje i provedbu Europskog socijalnog fonda. </w:t>
      </w:r>
    </w:p>
    <w:p w:rsidR="00D849AA" w:rsidRDefault="00EE6D95">
      <w:pPr>
        <w:pStyle w:val="Normal3"/>
      </w:pPr>
      <w:r>
        <w:t xml:space="preserve">Ministarstvo rada i mirovinskoga sustava nadležno je i za socijalno partnerstvo i odnose sa sindikatima i udrugama poslodavaca u području radno-pravnih odnosa, tržišta rada i zapošljavanja. </w:t>
      </w:r>
    </w:p>
    <w:p w:rsidR="00E435F5" w:rsidRDefault="00E435F5">
      <w:pPr>
        <w:pStyle w:val="Normal3"/>
      </w:pPr>
    </w:p>
    <w:p w:rsidR="00D849AA" w:rsidRDefault="00EE6D95">
      <w:pPr>
        <w:pStyle w:val="Normal3"/>
      </w:pPr>
      <w:r>
        <w:t xml:space="preserve">Tijela koja obuhvaća Razdjel su:  </w:t>
      </w:r>
    </w:p>
    <w:p w:rsidR="00D849AA" w:rsidRDefault="00EE6D95">
      <w:pPr>
        <w:pStyle w:val="Normal3"/>
      </w:pPr>
      <w:r>
        <w:t>-</w:t>
      </w:r>
      <w:r>
        <w:tab/>
        <w:t xml:space="preserve">08605 Ministarstvo rada i mirovinskoga sustava,  </w:t>
      </w:r>
    </w:p>
    <w:p w:rsidR="00D849AA" w:rsidRDefault="00EE6D95">
      <w:pPr>
        <w:pStyle w:val="Normal3"/>
      </w:pPr>
      <w:r>
        <w:t>-</w:t>
      </w:r>
      <w:r>
        <w:tab/>
        <w:t xml:space="preserve">08620 Hrvatski zavod za mirovinsko osiguranje,  </w:t>
      </w:r>
    </w:p>
    <w:p w:rsidR="00D849AA" w:rsidRDefault="00EE6D95">
      <w:pPr>
        <w:pStyle w:val="Normal3"/>
      </w:pPr>
      <w:r>
        <w:t>-</w:t>
      </w:r>
      <w:r>
        <w:tab/>
        <w:t xml:space="preserve">08625 Hrvatski zavod za zapošljavanje,   </w:t>
      </w:r>
    </w:p>
    <w:p w:rsidR="00D849AA" w:rsidRDefault="00EE6D95">
      <w:pPr>
        <w:pStyle w:val="Normal3"/>
      </w:pPr>
      <w:r>
        <w:t>-</w:t>
      </w:r>
      <w:r>
        <w:tab/>
        <w:t xml:space="preserve">08645 Središnji registar osiguranika, </w:t>
      </w:r>
    </w:p>
    <w:p w:rsidR="00D849AA" w:rsidRDefault="00EE6D95">
      <w:pPr>
        <w:pStyle w:val="Normal3"/>
      </w:pPr>
      <w:r>
        <w:t>-</w:t>
      </w:r>
      <w:r>
        <w:tab/>
        <w:t xml:space="preserve">08630 Fond za profesionalnu rehabilitaciju i zapošljavanje osoba s invaliditetom,   </w:t>
      </w:r>
    </w:p>
    <w:p w:rsidR="00D849AA" w:rsidRDefault="00EE6D95">
      <w:pPr>
        <w:pStyle w:val="Normal3"/>
      </w:pPr>
      <w:r>
        <w:t>-</w:t>
      </w:r>
      <w:r>
        <w:tab/>
        <w:t>08650 Agencija za osiguranje radničkih potraživanja u slučaju</w:t>
      </w:r>
    </w:p>
    <w:p w:rsidR="00E435F5" w:rsidRDefault="00E435F5">
      <w:pPr>
        <w:pStyle w:val="Normal3"/>
      </w:pPr>
    </w:p>
    <w:p w:rsidR="00E435F5" w:rsidRDefault="00E435F5">
      <w:pPr>
        <w:pStyle w:val="Normal3"/>
      </w:pP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08605 Ministarstvo rada i mirovinskoga sustava</w:t>
            </w:r>
          </w:p>
        </w:tc>
        <w:tc>
          <w:tcPr>
            <w:tcW w:w="1486" w:type="dxa"/>
          </w:tcPr>
          <w:p w:rsidR="00D849AA" w:rsidRDefault="00EE6D95">
            <w:r>
              <w:t>48.646.858</w:t>
            </w:r>
          </w:p>
        </w:tc>
        <w:tc>
          <w:tcPr>
            <w:tcW w:w="1486" w:type="dxa"/>
          </w:tcPr>
          <w:p w:rsidR="00D849AA" w:rsidRDefault="00EE6D95">
            <w:r>
              <w:t>422.899.082</w:t>
            </w:r>
          </w:p>
        </w:tc>
        <w:tc>
          <w:tcPr>
            <w:tcW w:w="1486" w:type="dxa"/>
          </w:tcPr>
          <w:p w:rsidR="00D849AA" w:rsidRDefault="00EE6D95">
            <w:r>
              <w:t>447.665.222</w:t>
            </w:r>
          </w:p>
        </w:tc>
        <w:tc>
          <w:tcPr>
            <w:tcW w:w="1486" w:type="dxa"/>
          </w:tcPr>
          <w:p w:rsidR="00D849AA" w:rsidRDefault="00EE6D95">
            <w:r>
              <w:t>400.549.502</w:t>
            </w:r>
          </w:p>
        </w:tc>
        <w:tc>
          <w:tcPr>
            <w:tcW w:w="1486" w:type="dxa"/>
          </w:tcPr>
          <w:p w:rsidR="00D849AA" w:rsidRDefault="00EE6D95">
            <w:r>
              <w:t>869,3</w:t>
            </w:r>
          </w:p>
        </w:tc>
      </w:tr>
      <w:tr w:rsidR="00D849AA">
        <w:trPr>
          <w:jc w:val="center"/>
        </w:trPr>
        <w:tc>
          <w:tcPr>
            <w:tcW w:w="1486" w:type="dxa"/>
          </w:tcPr>
          <w:p w:rsidR="00D849AA" w:rsidRDefault="00EE6D95">
            <w:pPr>
              <w:pStyle w:val="CellColumn"/>
            </w:pPr>
            <w:r>
              <w:t>08620 Hrvatski zavod za mirovinsko osiguranje</w:t>
            </w:r>
          </w:p>
        </w:tc>
        <w:tc>
          <w:tcPr>
            <w:tcW w:w="1486" w:type="dxa"/>
          </w:tcPr>
          <w:p w:rsidR="00D849AA" w:rsidRDefault="00EE6D95">
            <w:r>
              <w:t>36.049.529.826</w:t>
            </w:r>
          </w:p>
        </w:tc>
        <w:tc>
          <w:tcPr>
            <w:tcW w:w="1486" w:type="dxa"/>
          </w:tcPr>
          <w:p w:rsidR="00D849AA" w:rsidRDefault="00EE6D95">
            <w:r>
              <w:t>36.360.823.457</w:t>
            </w:r>
          </w:p>
        </w:tc>
        <w:tc>
          <w:tcPr>
            <w:tcW w:w="1486" w:type="dxa"/>
          </w:tcPr>
          <w:p w:rsidR="00D849AA" w:rsidRDefault="00EE6D95">
            <w:r>
              <w:t>36.614.585.405</w:t>
            </w:r>
          </w:p>
        </w:tc>
        <w:tc>
          <w:tcPr>
            <w:tcW w:w="1486" w:type="dxa"/>
          </w:tcPr>
          <w:p w:rsidR="00D849AA" w:rsidRDefault="00EE6D95">
            <w:r>
              <w:t>37.114.253.528</w:t>
            </w:r>
          </w:p>
        </w:tc>
        <w:tc>
          <w:tcPr>
            <w:tcW w:w="1486" w:type="dxa"/>
          </w:tcPr>
          <w:p w:rsidR="00D849AA" w:rsidRDefault="00EE6D95">
            <w:r>
              <w:t>100,9</w:t>
            </w:r>
          </w:p>
        </w:tc>
      </w:tr>
      <w:tr w:rsidR="00D849AA">
        <w:trPr>
          <w:jc w:val="center"/>
        </w:trPr>
        <w:tc>
          <w:tcPr>
            <w:tcW w:w="1486" w:type="dxa"/>
          </w:tcPr>
          <w:p w:rsidR="00D849AA" w:rsidRDefault="00EE6D95">
            <w:pPr>
              <w:pStyle w:val="CellColumn"/>
            </w:pPr>
            <w:r>
              <w:t>08625 Hrvatski zavod za zapošljavanje</w:t>
            </w:r>
          </w:p>
        </w:tc>
        <w:tc>
          <w:tcPr>
            <w:tcW w:w="1486" w:type="dxa"/>
          </w:tcPr>
          <w:p w:rsidR="00D849AA" w:rsidRDefault="00EE6D95">
            <w:r>
              <w:t>2.117.933.950</w:t>
            </w:r>
          </w:p>
        </w:tc>
        <w:tc>
          <w:tcPr>
            <w:tcW w:w="1486" w:type="dxa"/>
          </w:tcPr>
          <w:p w:rsidR="00D849AA" w:rsidRDefault="00EE6D95">
            <w:r>
              <w:t>2.050.777.491</w:t>
            </w:r>
          </w:p>
        </w:tc>
        <w:tc>
          <w:tcPr>
            <w:tcW w:w="1486" w:type="dxa"/>
          </w:tcPr>
          <w:p w:rsidR="00D849AA" w:rsidRDefault="00EE6D95">
            <w:r>
              <w:t>1.977.313.034</w:t>
            </w:r>
          </w:p>
        </w:tc>
        <w:tc>
          <w:tcPr>
            <w:tcW w:w="1486" w:type="dxa"/>
          </w:tcPr>
          <w:p w:rsidR="00D849AA" w:rsidRDefault="00EE6D95">
            <w:r>
              <w:t>1.910.493.332</w:t>
            </w:r>
          </w:p>
        </w:tc>
        <w:tc>
          <w:tcPr>
            <w:tcW w:w="1486" w:type="dxa"/>
          </w:tcPr>
          <w:p w:rsidR="00D849AA" w:rsidRDefault="00EE6D95">
            <w:r>
              <w:t>96,8</w:t>
            </w:r>
          </w:p>
        </w:tc>
      </w:tr>
      <w:tr w:rsidR="00D849AA">
        <w:trPr>
          <w:jc w:val="center"/>
        </w:trPr>
        <w:tc>
          <w:tcPr>
            <w:tcW w:w="1486" w:type="dxa"/>
          </w:tcPr>
          <w:p w:rsidR="00D849AA" w:rsidRDefault="00EE6D95">
            <w:pPr>
              <w:pStyle w:val="CellColumn"/>
            </w:pPr>
            <w:r>
              <w:t>08630 Fond za profesionalnu rehabilitaciju i zapošljavanje osoba s invaliditetom</w:t>
            </w:r>
          </w:p>
        </w:tc>
        <w:tc>
          <w:tcPr>
            <w:tcW w:w="1486" w:type="dxa"/>
          </w:tcPr>
          <w:p w:rsidR="00D849AA" w:rsidRDefault="00EE6D95">
            <w:r>
              <w:t>53.089.500</w:t>
            </w:r>
          </w:p>
        </w:tc>
        <w:tc>
          <w:tcPr>
            <w:tcW w:w="1486" w:type="dxa"/>
          </w:tcPr>
          <w:p w:rsidR="00D849AA" w:rsidRDefault="00EE6D95">
            <w:r>
              <w:t>53.089.500</w:t>
            </w:r>
          </w:p>
        </w:tc>
        <w:tc>
          <w:tcPr>
            <w:tcW w:w="1486" w:type="dxa"/>
          </w:tcPr>
          <w:p w:rsidR="00D849AA" w:rsidRDefault="00EE6D95">
            <w:r>
              <w:t>53.259.500</w:t>
            </w:r>
          </w:p>
        </w:tc>
        <w:tc>
          <w:tcPr>
            <w:tcW w:w="1486" w:type="dxa"/>
          </w:tcPr>
          <w:p w:rsidR="00D849AA" w:rsidRDefault="00EE6D95">
            <w:r>
              <w:t>54.289.500</w:t>
            </w:r>
          </w:p>
        </w:tc>
        <w:tc>
          <w:tcPr>
            <w:tcW w:w="1486" w:type="dxa"/>
          </w:tcPr>
          <w:p w:rsidR="00D849AA" w:rsidRDefault="00EE6D95">
            <w:r>
              <w:t>100,0</w:t>
            </w:r>
          </w:p>
        </w:tc>
      </w:tr>
      <w:tr w:rsidR="00D849AA">
        <w:trPr>
          <w:jc w:val="center"/>
        </w:trPr>
        <w:tc>
          <w:tcPr>
            <w:tcW w:w="1486" w:type="dxa"/>
          </w:tcPr>
          <w:p w:rsidR="00D849AA" w:rsidRDefault="00EE6D95">
            <w:pPr>
              <w:pStyle w:val="CellColumn"/>
            </w:pPr>
            <w:r>
              <w:t>08645 Središnji registar osiguranika</w:t>
            </w:r>
          </w:p>
        </w:tc>
        <w:tc>
          <w:tcPr>
            <w:tcW w:w="1486" w:type="dxa"/>
          </w:tcPr>
          <w:p w:rsidR="00D849AA" w:rsidRDefault="00EE6D95">
            <w:r>
              <w:t>113.304.907</w:t>
            </w:r>
          </w:p>
        </w:tc>
        <w:tc>
          <w:tcPr>
            <w:tcW w:w="1486" w:type="dxa"/>
          </w:tcPr>
          <w:p w:rsidR="00D849AA" w:rsidRDefault="00EE6D95">
            <w:r>
              <w:t>113.117.000</w:t>
            </w:r>
          </w:p>
        </w:tc>
        <w:tc>
          <w:tcPr>
            <w:tcW w:w="1486" w:type="dxa"/>
          </w:tcPr>
          <w:p w:rsidR="00D849AA" w:rsidRDefault="00EE6D95">
            <w:r>
              <w:t>98.687.000</w:t>
            </w:r>
          </w:p>
        </w:tc>
        <w:tc>
          <w:tcPr>
            <w:tcW w:w="1486" w:type="dxa"/>
          </w:tcPr>
          <w:p w:rsidR="00D849AA" w:rsidRDefault="00EE6D95">
            <w:r>
              <w:t>79.217.000</w:t>
            </w:r>
          </w:p>
        </w:tc>
        <w:tc>
          <w:tcPr>
            <w:tcW w:w="1486" w:type="dxa"/>
          </w:tcPr>
          <w:p w:rsidR="00D849AA" w:rsidRDefault="00EE6D95">
            <w:r>
              <w:t>99,8</w:t>
            </w:r>
          </w:p>
        </w:tc>
      </w:tr>
      <w:tr w:rsidR="00D849AA">
        <w:trPr>
          <w:jc w:val="center"/>
        </w:trPr>
        <w:tc>
          <w:tcPr>
            <w:tcW w:w="1486" w:type="dxa"/>
          </w:tcPr>
          <w:p w:rsidR="00D849AA" w:rsidRDefault="00EE6D95">
            <w:pPr>
              <w:pStyle w:val="CellColumn"/>
            </w:pPr>
            <w:r>
              <w:t>08650 Agencija za osiguranje radničkih potraživanja u slučaju stečaja poslodavca</w:t>
            </w:r>
          </w:p>
        </w:tc>
        <w:tc>
          <w:tcPr>
            <w:tcW w:w="1486" w:type="dxa"/>
          </w:tcPr>
          <w:p w:rsidR="00D849AA" w:rsidRDefault="00EE6D95">
            <w:r>
              <w:t>122.025.434</w:t>
            </w:r>
          </w:p>
        </w:tc>
        <w:tc>
          <w:tcPr>
            <w:tcW w:w="1486" w:type="dxa"/>
          </w:tcPr>
          <w:p w:rsidR="00D849AA" w:rsidRDefault="00EE6D95">
            <w:r>
              <w:t>121.910.500</w:t>
            </w:r>
          </w:p>
        </w:tc>
        <w:tc>
          <w:tcPr>
            <w:tcW w:w="1486" w:type="dxa"/>
          </w:tcPr>
          <w:p w:rsidR="00D849AA" w:rsidRDefault="00EE6D95">
            <w:r>
              <w:t>111.875.800</w:t>
            </w:r>
          </w:p>
        </w:tc>
        <w:tc>
          <w:tcPr>
            <w:tcW w:w="1486" w:type="dxa"/>
          </w:tcPr>
          <w:p w:rsidR="00D849AA" w:rsidRDefault="00EE6D95">
            <w:r>
              <w:t>106.873.600</w:t>
            </w:r>
          </w:p>
        </w:tc>
        <w:tc>
          <w:tcPr>
            <w:tcW w:w="1486" w:type="dxa"/>
          </w:tcPr>
          <w:p w:rsidR="00D849AA" w:rsidRDefault="00EE6D95">
            <w:r>
              <w:t>99,9</w:t>
            </w:r>
          </w:p>
        </w:tc>
      </w:tr>
      <w:tr w:rsidR="00D849AA">
        <w:trPr>
          <w:jc w:val="center"/>
        </w:trPr>
        <w:tc>
          <w:tcPr>
            <w:tcW w:w="1486" w:type="dxa"/>
            <w:shd w:val="clear" w:color="auto" w:fill="B5C0D8"/>
          </w:tcPr>
          <w:p w:rsidR="00D849AA" w:rsidRDefault="00EE6D95">
            <w:pPr>
              <w:pStyle w:val="CellColumn"/>
            </w:pPr>
            <w:r>
              <w:t>Ukupno 086</w:t>
            </w:r>
          </w:p>
        </w:tc>
        <w:tc>
          <w:tcPr>
            <w:tcW w:w="1486" w:type="dxa"/>
            <w:shd w:val="clear" w:color="auto" w:fill="B5C0D8"/>
          </w:tcPr>
          <w:p w:rsidR="00D849AA" w:rsidRDefault="00EE6D95">
            <w:r>
              <w:t>38.504.530.475</w:t>
            </w:r>
          </w:p>
        </w:tc>
        <w:tc>
          <w:tcPr>
            <w:tcW w:w="1486" w:type="dxa"/>
            <w:shd w:val="clear" w:color="auto" w:fill="B5C0D8"/>
          </w:tcPr>
          <w:p w:rsidR="00D849AA" w:rsidRDefault="00EE6D95">
            <w:r>
              <w:t>39.122.617.030</w:t>
            </w:r>
          </w:p>
        </w:tc>
        <w:tc>
          <w:tcPr>
            <w:tcW w:w="1486" w:type="dxa"/>
            <w:shd w:val="clear" w:color="auto" w:fill="B5C0D8"/>
          </w:tcPr>
          <w:p w:rsidR="00D849AA" w:rsidRDefault="00EE6D95">
            <w:r>
              <w:t>39.303.385.961</w:t>
            </w:r>
          </w:p>
        </w:tc>
        <w:tc>
          <w:tcPr>
            <w:tcW w:w="1486" w:type="dxa"/>
            <w:shd w:val="clear" w:color="auto" w:fill="B5C0D8"/>
          </w:tcPr>
          <w:p w:rsidR="00D849AA" w:rsidRDefault="00EE6D95">
            <w:r>
              <w:t>39.665.676.462</w:t>
            </w:r>
          </w:p>
        </w:tc>
        <w:tc>
          <w:tcPr>
            <w:tcW w:w="1486" w:type="dxa"/>
            <w:shd w:val="clear" w:color="auto" w:fill="B5C0D8"/>
          </w:tcPr>
          <w:p w:rsidR="00D849AA" w:rsidRDefault="00EE6D95">
            <w:r>
              <w:t>101,6</w:t>
            </w:r>
          </w:p>
        </w:tc>
      </w:tr>
    </w:tbl>
    <w:p w:rsidR="00D849AA" w:rsidRDefault="00D849AA">
      <w:pPr>
        <w:jc w:val="left"/>
      </w:pPr>
    </w:p>
    <w:p w:rsidR="00D849AA" w:rsidRDefault="00EE6D95">
      <w:pPr>
        <w:pStyle w:val="Naslov2"/>
      </w:pPr>
      <w:r>
        <w:t>08605 Ministarstvo rada i mirovinskoga sustava</w:t>
      </w:r>
    </w:p>
    <w:p w:rsidR="00D849AA" w:rsidRDefault="00EE6D95">
      <w:pPr>
        <w:pStyle w:val="Naslov4"/>
      </w:pPr>
      <w:r>
        <w:t>Uvod</w:t>
      </w:r>
    </w:p>
    <w:p w:rsidR="00D849AA" w:rsidRDefault="00EE6D95">
      <w:pPr>
        <w:pStyle w:val="Normal3"/>
      </w:pPr>
      <w:r>
        <w:t xml:space="preserve">Ministarstvo rada i mirovinskoga sustava obavlja upravne i druge poslove koji se odnose na: politiku zapošljavanja, uređivanje radnih odnosa; tržište rada i aktivnu politiku zapošljavanja; programe radnih prekvalifikacija i povećanja zapošljivosti; sustav i politiku mirovinskog osiguranja, evidenciju nezaposlenosti i pomoć pri zapošljavanju; revizija nalaza i mišljenja o invalidnosti; socijalno partnerstvo i odnose sa sindikatima i udrugama poslodavaca u području radnopravnih odnosa, tržišta rada i zapošljavanja; radnopravni status hrvatskih državljana </w:t>
      </w:r>
      <w:r>
        <w:lastRenderedPageBreak/>
        <w:t xml:space="preserve">zaposlenih u inozemstvu i poslove vezano uz njihov povratak i zapošljavanje u zemlji; radnopravni status stranih državljana zaposlenih u Republici Hrvatskoj; unapređenje sustava zaštite na radu; međunarodnu suradnju na području rada i zapošljavanja. </w:t>
      </w:r>
    </w:p>
    <w:p w:rsidR="00D849AA" w:rsidRDefault="00EE6D95">
      <w:pPr>
        <w:pStyle w:val="Normal3"/>
      </w:pPr>
      <w:r>
        <w:t xml:space="preserve">Sudjeluje u pripremi programa i projekata te provedbi projekata iz programa Europske unije i ostalih oblika međunarodne pomoći. </w:t>
      </w:r>
    </w:p>
    <w:p w:rsidR="00D849AA" w:rsidRDefault="00EE6D95">
      <w:pPr>
        <w:pStyle w:val="Normal3"/>
      </w:pPr>
      <w:r>
        <w:t>Ministarstvo obavlja poslove koji se odnose na sudjelovanje Republike Hrvatske u radu tijela Europske unije u područjima iz njegove nadležnosti</w:t>
      </w:r>
      <w:r w:rsidR="007F25F6">
        <w:t>.</w:t>
      </w:r>
    </w:p>
    <w:p w:rsidR="007F25F6" w:rsidRDefault="007F25F6">
      <w:pPr>
        <w:pStyle w:val="Normal3"/>
      </w:pP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08605</w:t>
            </w:r>
          </w:p>
        </w:tc>
        <w:tc>
          <w:tcPr>
            <w:tcW w:w="1486" w:type="dxa"/>
          </w:tcPr>
          <w:p w:rsidR="00D849AA" w:rsidRDefault="00EE6D95">
            <w:r>
              <w:t>48.646.858</w:t>
            </w:r>
          </w:p>
        </w:tc>
        <w:tc>
          <w:tcPr>
            <w:tcW w:w="1486" w:type="dxa"/>
          </w:tcPr>
          <w:p w:rsidR="00D849AA" w:rsidRDefault="00EE6D95">
            <w:r>
              <w:t>422.899.082</w:t>
            </w:r>
          </w:p>
        </w:tc>
        <w:tc>
          <w:tcPr>
            <w:tcW w:w="1486" w:type="dxa"/>
          </w:tcPr>
          <w:p w:rsidR="00D849AA" w:rsidRDefault="00EE6D95">
            <w:r>
              <w:t>447.665.222</w:t>
            </w:r>
          </w:p>
        </w:tc>
        <w:tc>
          <w:tcPr>
            <w:tcW w:w="1486" w:type="dxa"/>
          </w:tcPr>
          <w:p w:rsidR="00D849AA" w:rsidRDefault="00EE6D95">
            <w:r>
              <w:t>400.549.502</w:t>
            </w:r>
          </w:p>
        </w:tc>
        <w:tc>
          <w:tcPr>
            <w:tcW w:w="1486" w:type="dxa"/>
          </w:tcPr>
          <w:p w:rsidR="00D849AA" w:rsidRDefault="00EE6D95">
            <w:r>
              <w:t>869,3</w:t>
            </w:r>
          </w:p>
        </w:tc>
      </w:tr>
    </w:tbl>
    <w:p w:rsidR="00D849AA" w:rsidRDefault="00D849AA">
      <w:pPr>
        <w:jc w:val="left"/>
      </w:pPr>
    </w:p>
    <w:p w:rsidR="00D849AA" w:rsidRDefault="00EE6D95">
      <w:pPr>
        <w:pStyle w:val="Naslov4"/>
      </w:pPr>
      <w:r>
        <w:t>OBRAZLOŽENJE PROGRAMA</w:t>
      </w:r>
    </w:p>
    <w:p w:rsidR="00D849AA" w:rsidRDefault="00EE6D95">
      <w:pPr>
        <w:pStyle w:val="Naslov5"/>
      </w:pPr>
      <w:r>
        <w:t>4010 JAČANJE SUSTAVA SOCIJALNE SIGURNOSTI</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4010</w:t>
            </w:r>
          </w:p>
        </w:tc>
        <w:tc>
          <w:tcPr>
            <w:tcW w:w="1486" w:type="dxa"/>
          </w:tcPr>
          <w:p w:rsidR="00D849AA" w:rsidRDefault="00EE6D95">
            <w:r>
              <w:t>48.646.858</w:t>
            </w:r>
          </w:p>
        </w:tc>
        <w:tc>
          <w:tcPr>
            <w:tcW w:w="1486" w:type="dxa"/>
          </w:tcPr>
          <w:p w:rsidR="00D849AA" w:rsidRDefault="00EE6D95">
            <w:r>
              <w:t>422.899.082</w:t>
            </w:r>
          </w:p>
        </w:tc>
        <w:tc>
          <w:tcPr>
            <w:tcW w:w="1486" w:type="dxa"/>
          </w:tcPr>
          <w:p w:rsidR="00D849AA" w:rsidRDefault="00EE6D95">
            <w:r>
              <w:t>447.665.222</w:t>
            </w:r>
          </w:p>
        </w:tc>
        <w:tc>
          <w:tcPr>
            <w:tcW w:w="1486" w:type="dxa"/>
          </w:tcPr>
          <w:p w:rsidR="00D849AA" w:rsidRDefault="00EE6D95">
            <w:r>
              <w:t>400.549.502</w:t>
            </w:r>
          </w:p>
        </w:tc>
        <w:tc>
          <w:tcPr>
            <w:tcW w:w="1486" w:type="dxa"/>
          </w:tcPr>
          <w:p w:rsidR="00D849AA" w:rsidRDefault="00EE6D95">
            <w:r>
              <w:t>869,3</w:t>
            </w:r>
          </w:p>
        </w:tc>
      </w:tr>
    </w:tbl>
    <w:p w:rsidR="00D849AA" w:rsidRDefault="00D849AA">
      <w:pPr>
        <w:jc w:val="left"/>
      </w:pPr>
    </w:p>
    <w:p w:rsidR="00D849AA" w:rsidRDefault="00EE6D95">
      <w:pPr>
        <w:pStyle w:val="Naslov6"/>
      </w:pPr>
      <w:r>
        <w:t>Opis programa</w:t>
      </w:r>
    </w:p>
    <w:p w:rsidR="00D849AA" w:rsidRDefault="00EE6D95">
      <w:pPr>
        <w:pStyle w:val="Normal5"/>
      </w:pPr>
      <w:r>
        <w:t xml:space="preserve">Ovim programom vrši se izgradnja administrativne sposobnosti, konsolidacija sustava, procesa i sposobnosti za upravljanje fondovima EU-a, razvijanje institucionalnog kapaciteta za upravljanje i apsorbiranje pretpristupnih i strukturnih fondova EU. </w:t>
      </w:r>
    </w:p>
    <w:p w:rsidR="00D849AA" w:rsidRDefault="00EE6D95">
      <w:pPr>
        <w:pStyle w:val="Normal5"/>
      </w:pPr>
      <w:r>
        <w:t xml:space="preserve">Ovaj program je nastao iz programa 1819 Međunarodna suradnja na području rada i socijalne sigurnosti iz programske klasifikacije za 2010. godinu. </w:t>
      </w:r>
    </w:p>
    <w:p w:rsidR="00D849AA" w:rsidRDefault="00EE6D95">
      <w:pPr>
        <w:pStyle w:val="Normal5"/>
      </w:pPr>
      <w:r>
        <w:t>Odlukom Europske komisije C(2013)6842 od 17.10.2013. odobren je Operativni program „Razvoj ljudskih potencijala“ kojim se Republici hrvatskoj stavljaju na raspolaganje sredstva u ukupnom iznosu od 152.413.106,60 eura EU sredstava za Europski socijalni fond. Sredstva dodijeljena samo za 2013. godinu iznose 68.546.000,00 eura što je 45% od ukupno dodijeljenih sredstva za razdoblje od 2007. – 2013.   Znatno veća dodijeljena sredstva za 2013. godinu koristit će se u proračunskom razdoblju 2014.-2016. te će  omogućit provedbu većeg broja operacija već u 2014. godini što ima za posljedicu planiranje znatno većeg iznosa za provedbu tih operacija u 2014. godini, odnosno u financijskom planu za 2014.-2016. godinu. Cilj provedbe je povećati apsorpciju sredstava Europskog socijalnog fonda sukladno planiranim rokovima provedbe operacija.</w:t>
      </w:r>
    </w:p>
    <w:p w:rsidR="00D849AA" w:rsidRDefault="00EE6D95">
      <w:pPr>
        <w:pStyle w:val="Naslov6"/>
      </w:pPr>
      <w:r>
        <w:t>Zakonske i druge pravne osnove</w:t>
      </w:r>
    </w:p>
    <w:p w:rsidR="00D849AA" w:rsidRDefault="00EE6D95">
      <w:pPr>
        <w:pStyle w:val="Normal5"/>
      </w:pPr>
      <w:r>
        <w:t xml:space="preserve">Uredba o upravljanju programima CARDS, PHARE, ISPA i SAPARD NN 18/2007; </w:t>
      </w:r>
    </w:p>
    <w:p w:rsidR="00D849AA" w:rsidRDefault="00EE6D95">
      <w:pPr>
        <w:pStyle w:val="Normal5"/>
      </w:pPr>
      <w:r>
        <w:t xml:space="preserve">Financijski sporazum između Vlade RH i Komisije Europske unije o Nacionalnom programu za Hrvatsku u sklopu IPA komponente I – Pomoć u tranziciji i izgradnja institucija od 17.studenoga 2008. godine; </w:t>
      </w:r>
    </w:p>
    <w:p w:rsidR="00D849AA" w:rsidRDefault="00EE6D95">
      <w:pPr>
        <w:pStyle w:val="Normal5"/>
      </w:pPr>
      <w:r>
        <w:lastRenderedPageBreak/>
        <w:t xml:space="preserve">Statut Hrvatskog zavoda za mirovinsko osiguranje ("Narodne novine", br. 163/98. i 86/03.) Zakon o posredovanju pri zapošljavanju i pravima za vrijeme nezaposlenosti („Narodne novine“ broj 80/08 i 121/10); </w:t>
      </w:r>
    </w:p>
    <w:p w:rsidR="00D849AA" w:rsidRDefault="00EE6D95">
      <w:pPr>
        <w:pStyle w:val="Normal5"/>
      </w:pPr>
      <w:r>
        <w:t xml:space="preserve">Nacionalni plan za poticanje zapošljavanja za 2011. i 2012. godinu; </w:t>
      </w:r>
    </w:p>
    <w:p w:rsidR="00D849AA" w:rsidRDefault="00EE6D95">
      <w:pPr>
        <w:pStyle w:val="Normal5"/>
      </w:pPr>
      <w:r>
        <w:t xml:space="preserve">Akcijskom planu Desetljeća za uključivanje Roma 2005 – 2015.; </w:t>
      </w:r>
    </w:p>
    <w:p w:rsidR="00D849AA" w:rsidRDefault="00EE6D95">
      <w:pPr>
        <w:pStyle w:val="Normal5"/>
      </w:pPr>
      <w:r>
        <w:t xml:space="preserve">Zakon o uspostavi institucionalnog okvira za korištenje strukturnih instrumenata Europske unije u Republici Hrvatskoj („Narodne novine“, broj 78/2012.) ; </w:t>
      </w:r>
    </w:p>
    <w:p w:rsidR="00D849AA" w:rsidRDefault="00EE6D95">
      <w:pPr>
        <w:pStyle w:val="Normal5"/>
      </w:pPr>
      <w:r>
        <w:t>Uredba o tijelima u sustavu upravljanja i kontrole korištenja strukturnih instrumenata Europske unije u Republici Hrvatskoj („Narodne novine“, broj 97/12)</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Cilj 1. Povećanje iskorištenosti pretpristupnih i strukturnih fondova EU</w:t>
      </w:r>
    </w:p>
    <w:p w:rsidR="00D849AA" w:rsidRDefault="00EE6D95">
      <w:pPr>
        <w:pStyle w:val="Normal6"/>
      </w:pPr>
      <w:r>
        <w:t xml:space="preserve">Cilj je što više iskoristiti dodijeljena sredstva što se planira postići kvalitetnom pripremom projekata, učinkovitom provedbom projekata i kvalitetnom upravljanju dodijeljenim financijskim sredstvima za projekte: </w:t>
      </w:r>
    </w:p>
    <w:p w:rsidR="00D849AA" w:rsidRDefault="00EE6D95">
      <w:pPr>
        <w:pStyle w:val="Normal6"/>
      </w:pPr>
      <w:r>
        <w:t xml:space="preserve">-IPA komponenta I – Jačanje politike i kapaciteta za smanjivanje neprijavljenog rada, -PI EU Razvoj IT infrastrukture kao dijela jačanja administrativnih kapaciteta i izgradnje institucija za provedbu uredbi o koordinaciji sustava socijalne sigurnosti  </w:t>
      </w:r>
    </w:p>
    <w:p w:rsidR="00D849AA" w:rsidRDefault="00EE6D95">
      <w:pPr>
        <w:pStyle w:val="Normal6"/>
      </w:pPr>
      <w:r>
        <w:t xml:space="preserve">- OP Razvoj ljudskih potencijala, Prioritet 1, 4 i 5  </w:t>
      </w:r>
    </w:p>
    <w:p w:rsidR="00D849AA" w:rsidRDefault="00EE6D95">
      <w:pPr>
        <w:pStyle w:val="Normal6"/>
      </w:pPr>
      <w:r>
        <w:t xml:space="preserve">- OP Učinkoviti ljudski resursi </w:t>
      </w:r>
    </w:p>
    <w:p w:rsidR="00D849AA" w:rsidRDefault="00EE6D95">
      <w:pPr>
        <w:pStyle w:val="Normal6"/>
      </w:pPr>
      <w:r>
        <w:t xml:space="preserve">- Fond europske pomoći za najpotrebitije </w:t>
      </w:r>
    </w:p>
    <w:p w:rsidR="00D849AA" w:rsidRDefault="00EE6D95">
      <w:pPr>
        <w:pStyle w:val="Normal6"/>
      </w:pPr>
      <w:r>
        <w:t>- Europski fond za prilagodbu globalizaciji</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6"/>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Pripremljene i provedene operacije/projekti unutar IPA OP RLJP</w:t>
            </w:r>
          </w:p>
        </w:tc>
        <w:tc>
          <w:tcPr>
            <w:tcW w:w="1114" w:type="dxa"/>
          </w:tcPr>
          <w:p w:rsidR="00D849AA" w:rsidRDefault="00EE6D95">
            <w:r>
              <w:t>broj</w:t>
            </w:r>
          </w:p>
        </w:tc>
        <w:tc>
          <w:tcPr>
            <w:tcW w:w="1114" w:type="dxa"/>
          </w:tcPr>
          <w:p w:rsidR="00D849AA" w:rsidRDefault="00EE6D95">
            <w:r>
              <w:t>65</w:t>
            </w:r>
          </w:p>
        </w:tc>
        <w:tc>
          <w:tcPr>
            <w:tcW w:w="1486" w:type="dxa"/>
          </w:tcPr>
          <w:p w:rsidR="00D849AA" w:rsidRDefault="00EE6D95">
            <w:r>
              <w:t>65</w:t>
            </w:r>
          </w:p>
        </w:tc>
        <w:tc>
          <w:tcPr>
            <w:tcW w:w="1486" w:type="dxa"/>
          </w:tcPr>
          <w:p w:rsidR="00D849AA" w:rsidRDefault="00EE6D95">
            <w:r>
              <w:t>65</w:t>
            </w:r>
          </w:p>
        </w:tc>
        <w:tc>
          <w:tcPr>
            <w:tcW w:w="1486" w:type="dxa"/>
          </w:tcPr>
          <w:p w:rsidR="00D849AA" w:rsidRDefault="00EE6D95">
            <w:r>
              <w:t>65</w:t>
            </w:r>
          </w:p>
        </w:tc>
      </w:tr>
      <w:tr w:rsidR="00D849AA">
        <w:trPr>
          <w:jc w:val="center"/>
        </w:trPr>
        <w:tc>
          <w:tcPr>
            <w:tcW w:w="2229" w:type="dxa"/>
          </w:tcPr>
          <w:p w:rsidR="00D849AA" w:rsidRDefault="00EE6D95">
            <w:pPr>
              <w:pStyle w:val="CellColumn"/>
            </w:pPr>
            <w:r>
              <w:t>Pripremljene i provedene operacije/projekti unutar ESF 2013. OP RLJP</w:t>
            </w:r>
          </w:p>
        </w:tc>
        <w:tc>
          <w:tcPr>
            <w:tcW w:w="1114" w:type="dxa"/>
          </w:tcPr>
          <w:p w:rsidR="00D849AA" w:rsidRDefault="00EE6D95">
            <w:r>
              <w:t>broj</w:t>
            </w:r>
          </w:p>
        </w:tc>
        <w:tc>
          <w:tcPr>
            <w:tcW w:w="1114" w:type="dxa"/>
          </w:tcPr>
          <w:p w:rsidR="00D849AA" w:rsidRDefault="00EE6D95">
            <w:r>
              <w:t>0</w:t>
            </w:r>
          </w:p>
        </w:tc>
        <w:tc>
          <w:tcPr>
            <w:tcW w:w="1486" w:type="dxa"/>
          </w:tcPr>
          <w:p w:rsidR="00D849AA" w:rsidRDefault="00EE6D95">
            <w:r>
              <w:t>21</w:t>
            </w:r>
          </w:p>
        </w:tc>
        <w:tc>
          <w:tcPr>
            <w:tcW w:w="1486" w:type="dxa"/>
          </w:tcPr>
          <w:p w:rsidR="00D849AA" w:rsidRDefault="00EE6D95">
            <w:r>
              <w:t>21</w:t>
            </w:r>
          </w:p>
        </w:tc>
        <w:tc>
          <w:tcPr>
            <w:tcW w:w="1486" w:type="dxa"/>
          </w:tcPr>
          <w:p w:rsidR="00D849AA" w:rsidRDefault="00EE6D95">
            <w:r>
              <w:t>21</w:t>
            </w:r>
          </w:p>
        </w:tc>
      </w:tr>
      <w:tr w:rsidR="00D849AA">
        <w:trPr>
          <w:jc w:val="center"/>
        </w:trPr>
        <w:tc>
          <w:tcPr>
            <w:tcW w:w="2229" w:type="dxa"/>
          </w:tcPr>
          <w:p w:rsidR="00D849AA" w:rsidRDefault="00EE6D95">
            <w:pPr>
              <w:pStyle w:val="CellColumn"/>
            </w:pPr>
            <w:r>
              <w:t>Unaprijeđen postojeći sustav praćenja i vrjednovanja</w:t>
            </w:r>
          </w:p>
        </w:tc>
        <w:tc>
          <w:tcPr>
            <w:tcW w:w="1114" w:type="dxa"/>
          </w:tcPr>
          <w:p w:rsidR="00D849AA" w:rsidRDefault="00EE6D95">
            <w:r>
              <w:t>broj</w:t>
            </w:r>
          </w:p>
        </w:tc>
        <w:tc>
          <w:tcPr>
            <w:tcW w:w="1114" w:type="dxa"/>
          </w:tcPr>
          <w:p w:rsidR="00D849AA" w:rsidRDefault="00EE6D95">
            <w:r>
              <w:t>3</w:t>
            </w:r>
          </w:p>
        </w:tc>
        <w:tc>
          <w:tcPr>
            <w:tcW w:w="1486" w:type="dxa"/>
          </w:tcPr>
          <w:p w:rsidR="00D849AA" w:rsidRDefault="00EE6D95">
            <w:r>
              <w:t>5</w:t>
            </w:r>
          </w:p>
        </w:tc>
        <w:tc>
          <w:tcPr>
            <w:tcW w:w="1486" w:type="dxa"/>
          </w:tcPr>
          <w:p w:rsidR="00D849AA" w:rsidRDefault="00EE6D95">
            <w:r>
              <w:t>6</w:t>
            </w:r>
          </w:p>
        </w:tc>
        <w:tc>
          <w:tcPr>
            <w:tcW w:w="1486" w:type="dxa"/>
          </w:tcPr>
          <w:p w:rsidR="00D849AA" w:rsidRDefault="00EE6D95">
            <w:r>
              <w:t>7</w:t>
            </w:r>
          </w:p>
        </w:tc>
      </w:tr>
      <w:tr w:rsidR="00D849AA">
        <w:trPr>
          <w:jc w:val="center"/>
        </w:trPr>
        <w:tc>
          <w:tcPr>
            <w:tcW w:w="2229" w:type="dxa"/>
          </w:tcPr>
          <w:p w:rsidR="00D849AA" w:rsidRDefault="00EE6D95">
            <w:pPr>
              <w:pStyle w:val="CellColumn"/>
            </w:pPr>
            <w:r>
              <w:t>Unaprijeđen postojeći sustav praćenja i vrjednovanja</w:t>
            </w:r>
          </w:p>
        </w:tc>
        <w:tc>
          <w:tcPr>
            <w:tcW w:w="1114" w:type="dxa"/>
          </w:tcPr>
          <w:p w:rsidR="00D849AA" w:rsidRDefault="00EE6D95">
            <w:r>
              <w:t>broj</w:t>
            </w:r>
          </w:p>
        </w:tc>
        <w:tc>
          <w:tcPr>
            <w:tcW w:w="1114" w:type="dxa"/>
          </w:tcPr>
          <w:p w:rsidR="00D849AA" w:rsidRDefault="00EE6D95">
            <w:r>
              <w:t>0</w:t>
            </w:r>
          </w:p>
        </w:tc>
        <w:tc>
          <w:tcPr>
            <w:tcW w:w="1486" w:type="dxa"/>
          </w:tcPr>
          <w:p w:rsidR="00D849AA" w:rsidRDefault="00EE6D95">
            <w:r>
              <w:t>2</w:t>
            </w:r>
          </w:p>
        </w:tc>
        <w:tc>
          <w:tcPr>
            <w:tcW w:w="1486" w:type="dxa"/>
          </w:tcPr>
          <w:p w:rsidR="00D849AA" w:rsidRDefault="00EE6D95">
            <w:r>
              <w:t>3</w:t>
            </w:r>
          </w:p>
        </w:tc>
        <w:tc>
          <w:tcPr>
            <w:tcW w:w="1486" w:type="dxa"/>
          </w:tcPr>
          <w:p w:rsidR="00D849AA" w:rsidRDefault="00EE6D95">
            <w:r>
              <w:t>3</w:t>
            </w:r>
          </w:p>
        </w:tc>
      </w:tr>
      <w:tr w:rsidR="00D849AA">
        <w:trPr>
          <w:jc w:val="center"/>
        </w:trPr>
        <w:tc>
          <w:tcPr>
            <w:tcW w:w="2229" w:type="dxa"/>
          </w:tcPr>
          <w:p w:rsidR="00D849AA" w:rsidRDefault="00EE6D95">
            <w:pPr>
              <w:pStyle w:val="CellColumn"/>
            </w:pPr>
            <w:r>
              <w:lastRenderedPageBreak/>
              <w:t>Iznos ugovorenih sredstava na razini OP RLJP</w:t>
            </w:r>
          </w:p>
        </w:tc>
        <w:tc>
          <w:tcPr>
            <w:tcW w:w="1114" w:type="dxa"/>
          </w:tcPr>
          <w:p w:rsidR="00D849AA" w:rsidRDefault="00EE6D95">
            <w:r>
              <w:t>novčani iznos u EUR</w:t>
            </w:r>
          </w:p>
        </w:tc>
        <w:tc>
          <w:tcPr>
            <w:tcW w:w="1114" w:type="dxa"/>
          </w:tcPr>
          <w:p w:rsidR="00D849AA" w:rsidRDefault="00EE6D95">
            <w:r>
              <w:t>88.422.706</w:t>
            </w:r>
          </w:p>
        </w:tc>
        <w:tc>
          <w:tcPr>
            <w:tcW w:w="1486" w:type="dxa"/>
          </w:tcPr>
          <w:p w:rsidR="00D849AA" w:rsidRDefault="00EE6D95">
            <w:r>
              <w:t>146.069.700</w:t>
            </w:r>
          </w:p>
        </w:tc>
        <w:tc>
          <w:tcPr>
            <w:tcW w:w="1486" w:type="dxa"/>
          </w:tcPr>
          <w:p w:rsidR="00D849AA" w:rsidRDefault="00EE6D95">
            <w:r>
              <w:t>175.081.355</w:t>
            </w:r>
          </w:p>
        </w:tc>
        <w:tc>
          <w:tcPr>
            <w:tcW w:w="1486" w:type="dxa"/>
          </w:tcPr>
          <w:p w:rsidR="00D849AA" w:rsidRDefault="00EE6D95">
            <w:r>
              <w:t>179.309.591</w:t>
            </w:r>
          </w:p>
        </w:tc>
      </w:tr>
      <w:tr w:rsidR="00D849AA">
        <w:trPr>
          <w:jc w:val="center"/>
        </w:trPr>
        <w:tc>
          <w:tcPr>
            <w:tcW w:w="2229" w:type="dxa"/>
          </w:tcPr>
          <w:p w:rsidR="00D849AA" w:rsidRDefault="00EE6D95">
            <w:pPr>
              <w:pStyle w:val="CellColumn"/>
            </w:pPr>
            <w:r>
              <w:t>Iznos ugovorenih sredstava u okviru prioriteta vezanih za zapošljavanje i tržište rada, socijalni dijalog i tehničku pomoć</w:t>
            </w:r>
          </w:p>
        </w:tc>
        <w:tc>
          <w:tcPr>
            <w:tcW w:w="1114" w:type="dxa"/>
          </w:tcPr>
          <w:p w:rsidR="00D849AA" w:rsidRDefault="00EE6D95">
            <w:r>
              <w:t>novčani iznos u EUR</w:t>
            </w:r>
          </w:p>
        </w:tc>
        <w:tc>
          <w:tcPr>
            <w:tcW w:w="1114" w:type="dxa"/>
          </w:tcPr>
          <w:p w:rsidR="00D849AA" w:rsidRDefault="00EE6D95">
            <w:r>
              <w:t>34.734.354</w:t>
            </w:r>
          </w:p>
        </w:tc>
        <w:tc>
          <w:tcPr>
            <w:tcW w:w="1486" w:type="dxa"/>
          </w:tcPr>
          <w:p w:rsidR="00D849AA" w:rsidRDefault="00EE6D95">
            <w:r>
              <w:t>67.502.887</w:t>
            </w:r>
          </w:p>
        </w:tc>
        <w:tc>
          <w:tcPr>
            <w:tcW w:w="1486" w:type="dxa"/>
          </w:tcPr>
          <w:p w:rsidR="00D849AA" w:rsidRDefault="00EE6D95">
            <w:r>
              <w:t>73.708.769</w:t>
            </w:r>
          </w:p>
        </w:tc>
        <w:tc>
          <w:tcPr>
            <w:tcW w:w="1486" w:type="dxa"/>
          </w:tcPr>
          <w:p w:rsidR="00D849AA" w:rsidRDefault="00EE6D95">
            <w:r>
              <w:t>76.061.710</w:t>
            </w:r>
          </w:p>
        </w:tc>
      </w:tr>
      <w:tr w:rsidR="00D849AA">
        <w:trPr>
          <w:jc w:val="center"/>
        </w:trPr>
        <w:tc>
          <w:tcPr>
            <w:tcW w:w="2229" w:type="dxa"/>
          </w:tcPr>
          <w:p w:rsidR="00D849AA" w:rsidRDefault="00EE6D95">
            <w:pPr>
              <w:pStyle w:val="CellColumn"/>
            </w:pPr>
            <w:r>
              <w:t>Iznos certificiranih sredstava na razini OP RLJP</w:t>
            </w:r>
          </w:p>
        </w:tc>
        <w:tc>
          <w:tcPr>
            <w:tcW w:w="1114" w:type="dxa"/>
          </w:tcPr>
          <w:p w:rsidR="00D849AA" w:rsidRDefault="00EE6D95">
            <w:r>
              <w:t>novčani iznos u EUR</w:t>
            </w:r>
          </w:p>
        </w:tc>
        <w:tc>
          <w:tcPr>
            <w:tcW w:w="1114" w:type="dxa"/>
          </w:tcPr>
          <w:p w:rsidR="00D849AA" w:rsidRDefault="00EE6D95">
            <w:r>
              <w:t>46.864.243</w:t>
            </w:r>
          </w:p>
        </w:tc>
        <w:tc>
          <w:tcPr>
            <w:tcW w:w="1486" w:type="dxa"/>
          </w:tcPr>
          <w:p w:rsidR="00D849AA" w:rsidRDefault="00EE6D95">
            <w:r>
              <w:t>65.687.772</w:t>
            </w:r>
          </w:p>
        </w:tc>
        <w:tc>
          <w:tcPr>
            <w:tcW w:w="1486" w:type="dxa"/>
          </w:tcPr>
          <w:p w:rsidR="00D849AA" w:rsidRDefault="00EE6D95">
            <w:r>
              <w:t>46.080.000</w:t>
            </w:r>
          </w:p>
        </w:tc>
        <w:tc>
          <w:tcPr>
            <w:tcW w:w="1486" w:type="dxa"/>
          </w:tcPr>
          <w:p w:rsidR="00D849AA" w:rsidRDefault="00EE6D95">
            <w:r>
              <w:t>179.309.591</w:t>
            </w:r>
          </w:p>
        </w:tc>
      </w:tr>
      <w:tr w:rsidR="00D849AA">
        <w:trPr>
          <w:jc w:val="center"/>
        </w:trPr>
        <w:tc>
          <w:tcPr>
            <w:tcW w:w="2229" w:type="dxa"/>
          </w:tcPr>
          <w:p w:rsidR="00D849AA" w:rsidRDefault="00EE6D95">
            <w:pPr>
              <w:pStyle w:val="CellColumn"/>
            </w:pPr>
            <w:r>
              <w:t>Iznos certificiranih sredstava u okviru prioriteta vezanih za zapošljavanje i tržište rada, socijalni dijalog i tehničku pomoć</w:t>
            </w:r>
          </w:p>
        </w:tc>
        <w:tc>
          <w:tcPr>
            <w:tcW w:w="1114" w:type="dxa"/>
          </w:tcPr>
          <w:p w:rsidR="00D849AA" w:rsidRDefault="00EE6D95">
            <w:r>
              <w:t>novčani iznos u EUR</w:t>
            </w:r>
          </w:p>
        </w:tc>
        <w:tc>
          <w:tcPr>
            <w:tcW w:w="1114" w:type="dxa"/>
          </w:tcPr>
          <w:p w:rsidR="00D849AA" w:rsidRDefault="00EE6D95">
            <w:r>
              <w:t>11.423.809</w:t>
            </w:r>
          </w:p>
        </w:tc>
        <w:tc>
          <w:tcPr>
            <w:tcW w:w="1486" w:type="dxa"/>
          </w:tcPr>
          <w:p w:rsidR="00D849AA" w:rsidRDefault="00EE6D95">
            <w:r>
              <w:t>35.950.000</w:t>
            </w:r>
          </w:p>
        </w:tc>
        <w:tc>
          <w:tcPr>
            <w:tcW w:w="1486" w:type="dxa"/>
          </w:tcPr>
          <w:p w:rsidR="00D849AA" w:rsidRDefault="00EE6D95">
            <w:r>
              <w:t>53.243.200</w:t>
            </w:r>
          </w:p>
        </w:tc>
        <w:tc>
          <w:tcPr>
            <w:tcW w:w="1486" w:type="dxa"/>
          </w:tcPr>
          <w:p w:rsidR="00D849AA" w:rsidRDefault="00EE6D95">
            <w:r>
              <w:t>76.061.710</w:t>
            </w:r>
          </w:p>
        </w:tc>
      </w:tr>
    </w:tbl>
    <w:p w:rsidR="00D849AA" w:rsidRDefault="00D849AA">
      <w:pPr>
        <w:jc w:val="left"/>
      </w:pPr>
    </w:p>
    <w:p w:rsidR="00D849AA" w:rsidRDefault="00EE6D95">
      <w:pPr>
        <w:pStyle w:val="Naslov5"/>
      </w:pPr>
      <w:r>
        <w:t>Procjena i ishodište potrebnih sredstava za značajnije aktivnosti/projekte</w:t>
      </w:r>
    </w:p>
    <w:p w:rsidR="00D849AA" w:rsidRDefault="00EE6D95">
      <w:pPr>
        <w:pStyle w:val="Naslov6"/>
      </w:pPr>
      <w:r>
        <w:t>A854006 ADMINISTRACIJA I UPRAVLJANJE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A854006</w:t>
            </w:r>
          </w:p>
        </w:tc>
        <w:tc>
          <w:tcPr>
            <w:tcW w:w="1486" w:type="dxa"/>
          </w:tcPr>
          <w:p w:rsidR="00D849AA" w:rsidRDefault="00EE6D95">
            <w:r>
              <w:t>34.584.693</w:t>
            </w:r>
          </w:p>
        </w:tc>
        <w:tc>
          <w:tcPr>
            <w:tcW w:w="1486" w:type="dxa"/>
          </w:tcPr>
          <w:p w:rsidR="00D849AA" w:rsidRDefault="00EE6D95">
            <w:r>
              <w:t>66.802.420</w:t>
            </w:r>
          </w:p>
        </w:tc>
        <w:tc>
          <w:tcPr>
            <w:tcW w:w="1486" w:type="dxa"/>
          </w:tcPr>
          <w:p w:rsidR="00D849AA" w:rsidRDefault="00EE6D95">
            <w:r>
              <w:t>67.938.560</w:t>
            </w:r>
          </w:p>
        </w:tc>
        <w:tc>
          <w:tcPr>
            <w:tcW w:w="1486" w:type="dxa"/>
          </w:tcPr>
          <w:p w:rsidR="00D849AA" w:rsidRDefault="00EE6D95">
            <w:r>
              <w:t>68.067.840</w:t>
            </w:r>
          </w:p>
        </w:tc>
        <w:tc>
          <w:tcPr>
            <w:tcW w:w="1486" w:type="dxa"/>
          </w:tcPr>
          <w:p w:rsidR="00D849AA" w:rsidRDefault="00EE6D95">
            <w:r>
              <w:t>193,2</w:t>
            </w:r>
          </w:p>
        </w:tc>
      </w:tr>
    </w:tbl>
    <w:p w:rsidR="00D849AA" w:rsidRDefault="00D849AA">
      <w:pPr>
        <w:jc w:val="left"/>
      </w:pPr>
    </w:p>
    <w:p w:rsidR="00D849AA" w:rsidRDefault="00EE6D95">
      <w:pPr>
        <w:pStyle w:val="Normal6"/>
      </w:pPr>
      <w:r>
        <w:t xml:space="preserve">Ovaj program ima za cilj stvaranje uvjeta državnim službenicima i namještenicima Ministarstva za obavljanje poslova koji su im dani u nadležnosti djelokrug. Nadalje, program je namijenjen za podizanje tehničke opremljenosti s informatičkom opremom na višu razinu i svrsishodnu implementaciju nove opreme, baze podataka i softvera s ciljem učinkovitijeg korištenja istih. </w:t>
      </w:r>
    </w:p>
    <w:p w:rsidR="00D849AA" w:rsidRDefault="00EE6D95">
      <w:pPr>
        <w:pStyle w:val="Normal6"/>
      </w:pPr>
      <w:r>
        <w:t>Sa 01. siječnja 2014. godine ministarstvo preuzima poslove iz djelokruga Državnog inspektorata u području inspekcije rada  i zaštite na radu kao i državne službenike iz Državnog inspektorata.</w:t>
      </w:r>
    </w:p>
    <w:p w:rsidR="00D849AA" w:rsidRDefault="00EE6D95">
      <w:pPr>
        <w:pStyle w:val="Naslov6"/>
      </w:pPr>
      <w:r>
        <w:t>A854015 POVEZIVANJE OBRAZOVANJA I POTREBA NA TRŽIŠTU RADA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A854015</w:t>
            </w:r>
          </w:p>
        </w:tc>
        <w:tc>
          <w:tcPr>
            <w:tcW w:w="1486" w:type="dxa"/>
          </w:tcPr>
          <w:p w:rsidR="00D849AA" w:rsidRDefault="00EE6D95">
            <w:r>
              <w:t>1.000.000</w:t>
            </w:r>
          </w:p>
        </w:tc>
        <w:tc>
          <w:tcPr>
            <w:tcW w:w="1486" w:type="dxa"/>
          </w:tcPr>
          <w:p w:rsidR="00D849AA" w:rsidRDefault="00EE6D95">
            <w:r>
              <w:t>590.000</w:t>
            </w:r>
          </w:p>
        </w:tc>
        <w:tc>
          <w:tcPr>
            <w:tcW w:w="1486" w:type="dxa"/>
          </w:tcPr>
          <w:p w:rsidR="00D849AA" w:rsidRDefault="00EE6D95">
            <w:r>
              <w:t>590.000</w:t>
            </w:r>
          </w:p>
        </w:tc>
        <w:tc>
          <w:tcPr>
            <w:tcW w:w="1486" w:type="dxa"/>
          </w:tcPr>
          <w:p w:rsidR="00D849AA" w:rsidRDefault="00EE6D95">
            <w:r>
              <w:t>590.000</w:t>
            </w:r>
          </w:p>
        </w:tc>
        <w:tc>
          <w:tcPr>
            <w:tcW w:w="1486" w:type="dxa"/>
          </w:tcPr>
          <w:p w:rsidR="00D849AA" w:rsidRDefault="00EE6D95">
            <w:r>
              <w:t>59,0</w:t>
            </w:r>
          </w:p>
        </w:tc>
      </w:tr>
    </w:tbl>
    <w:p w:rsidR="00D849AA" w:rsidRDefault="00D849AA">
      <w:pPr>
        <w:jc w:val="left"/>
      </w:pPr>
    </w:p>
    <w:p w:rsidR="00D849AA" w:rsidRDefault="00EE6D95">
      <w:pPr>
        <w:pStyle w:val="Normal6"/>
      </w:pPr>
      <w:r>
        <w:t xml:space="preserve">Ovaj program ima za cilj  usklađivanje obrazovanja s potrebama tržišta rada kroz djelovanje Hrvatskoga kvalifikacijskog okvira, što će rezultirati povećanjem konkurentnosti gospodarstva. Kako bi se provele sve obveze MRMS-a koje proizlaze iz Zakona o Hrvatskom kvalifikacijskom okviru („Narodne novine“, broj 22/13) i </w:t>
      </w:r>
      <w:r>
        <w:lastRenderedPageBreak/>
        <w:t xml:space="preserve">pripadajućim pravilnikom (u izradi Pravilnik o Registru HKO-a), potrebno je provesti sljedeće aktivnosti:  </w:t>
      </w:r>
    </w:p>
    <w:p w:rsidR="00D849AA" w:rsidRDefault="00EE6D95">
      <w:pPr>
        <w:pStyle w:val="Normal6"/>
      </w:pPr>
      <w:r>
        <w:t xml:space="preserve">1. razvoj sustava kontinuiranog prikupljanja informacija o sadašnjim i budućim potrebama tržišta rada na razini zanimanja i kompetencija (Provedba Ankete o standardu zanimanja, izrada profila sektora i konzultacije sa stručnjacima o budućim potrebama tržišta rada </w:t>
      </w:r>
    </w:p>
    <w:p w:rsidR="00D849AA" w:rsidRDefault="00EE6D95">
      <w:pPr>
        <w:pStyle w:val="Normal6"/>
      </w:pPr>
      <w:r>
        <w:t xml:space="preserve">2. priprema metodologije za analizu rezultata ankete i izvješće o rezultatima </w:t>
      </w:r>
    </w:p>
    <w:p w:rsidR="00D849AA" w:rsidRDefault="00EE6D95">
      <w:pPr>
        <w:pStyle w:val="Normal6"/>
      </w:pPr>
      <w:r>
        <w:t xml:space="preserve">3. izrada Registra ljudskih potencijala (1. faza) </w:t>
      </w:r>
    </w:p>
    <w:p w:rsidR="00D849AA" w:rsidRDefault="00EE6D95">
      <w:pPr>
        <w:pStyle w:val="Normal6"/>
      </w:pPr>
      <w:r>
        <w:t xml:space="preserve">4. istraživanja o zapošljivosti na tržištu rada prema kvalifikacijama </w:t>
      </w:r>
    </w:p>
    <w:p w:rsidR="00D849AA" w:rsidRDefault="00EE6D95">
      <w:pPr>
        <w:pStyle w:val="Normal6"/>
      </w:pPr>
      <w:r>
        <w:t xml:space="preserve">5. razvoj metodoloških podloga za izradu profila sektora </w:t>
      </w:r>
    </w:p>
    <w:p w:rsidR="00D849AA" w:rsidRDefault="00EE6D95">
      <w:pPr>
        <w:pStyle w:val="Normal6"/>
      </w:pPr>
      <w:r>
        <w:t xml:space="preserve">6. objavljivanje (elektronički i papirnato) profila sektora </w:t>
      </w:r>
    </w:p>
    <w:p w:rsidR="00D849AA" w:rsidRDefault="00EE6D95">
      <w:pPr>
        <w:pStyle w:val="Normal6"/>
      </w:pPr>
      <w:r>
        <w:t xml:space="preserve">7. konzultacije sa socijalnim partnerima i dionicima (verificiranje potrebe za standardima zanimanja i prijedlozima za donošenje novih standarda zanimanja te ažuriranje Nacionalne klasifikacije zanimanja u suradnji s HZZ-om) </w:t>
      </w:r>
    </w:p>
    <w:p w:rsidR="00D849AA" w:rsidRDefault="00EE6D95">
      <w:pPr>
        <w:pStyle w:val="Normal6"/>
      </w:pPr>
      <w:r>
        <w:t xml:space="preserve">8. godišnja konferencija dionika u zapošljavanju kao dio medijske kampanje na nacionalnoj razini </w:t>
      </w:r>
    </w:p>
    <w:p w:rsidR="00D849AA" w:rsidRDefault="00EE6D95">
      <w:pPr>
        <w:pStyle w:val="Normal6"/>
      </w:pPr>
      <w:r>
        <w:t xml:space="preserve">9. izrada brošura/letaka/ostalih publikacija vezanih uz procese HKO-a u MRMS-u  </w:t>
      </w:r>
    </w:p>
    <w:p w:rsidR="00D849AA" w:rsidRDefault="00EE6D95">
      <w:pPr>
        <w:pStyle w:val="Normal6"/>
      </w:pPr>
      <w:r>
        <w:t xml:space="preserve">10. izrada vodiča za korištenje dokumenata koji se koriste za verifikaciju SZ (izrada obrazovnog programa za članove SV-a i ostalih korisnika) </w:t>
      </w:r>
    </w:p>
    <w:p w:rsidR="00D849AA" w:rsidRDefault="00EE6D95">
      <w:pPr>
        <w:pStyle w:val="Normal6"/>
      </w:pPr>
      <w:r>
        <w:t xml:space="preserve">11. provođenje redovnih programa osposobljavanja za verifikaciju standarda zanimanja  </w:t>
      </w:r>
    </w:p>
    <w:p w:rsidR="00D849AA" w:rsidRDefault="00EE6D95">
      <w:pPr>
        <w:pStyle w:val="Normal6"/>
      </w:pPr>
      <w:r>
        <w:t xml:space="preserve">12. izrada metodologije za korištenje empirijski utvrđenih popisa kompetencija za definiranje zanimanja </w:t>
      </w:r>
    </w:p>
    <w:p w:rsidR="00D849AA" w:rsidRDefault="00EE6D95">
      <w:pPr>
        <w:pStyle w:val="Normal6"/>
      </w:pPr>
      <w:r>
        <w:t xml:space="preserve">13. ažuriranje i održavanje softvera za upis SZ u Podregistar standarda zanimanja </w:t>
      </w:r>
    </w:p>
    <w:p w:rsidR="00D849AA" w:rsidRDefault="00EE6D95">
      <w:pPr>
        <w:pStyle w:val="Normal6"/>
      </w:pPr>
      <w:r>
        <w:t xml:space="preserve">14. zaprimanje i obrada zahtjeva i upis u Podregistar standarda zanimanja </w:t>
      </w:r>
    </w:p>
    <w:p w:rsidR="00D849AA" w:rsidRDefault="00EE6D95">
      <w:pPr>
        <w:pStyle w:val="Normal6"/>
      </w:pPr>
      <w:r>
        <w:t>15. priprema dokumenata potrebnih za predlagatelje standarda zanimanja i članove sektorskih vijeća.</w:t>
      </w:r>
    </w:p>
    <w:p w:rsidR="00D849AA" w:rsidRDefault="00EE6D95">
      <w:pPr>
        <w:pStyle w:val="Naslov6"/>
      </w:pPr>
      <w:r>
        <w:t>A854016 FOND EUROPSKE POMOĆI ZA NAJPOTREBITIJE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A854016</w:t>
            </w:r>
          </w:p>
        </w:tc>
        <w:tc>
          <w:tcPr>
            <w:tcW w:w="1486" w:type="dxa"/>
          </w:tcPr>
          <w:p w:rsidR="00D849AA" w:rsidRDefault="00EE6D95">
            <w:r>
              <w:t>00</w:t>
            </w:r>
          </w:p>
        </w:tc>
        <w:tc>
          <w:tcPr>
            <w:tcW w:w="1486" w:type="dxa"/>
          </w:tcPr>
          <w:p w:rsidR="00D849AA" w:rsidRDefault="00EE6D95">
            <w:r>
              <w:t>460.000</w:t>
            </w:r>
          </w:p>
        </w:tc>
        <w:tc>
          <w:tcPr>
            <w:tcW w:w="1486" w:type="dxa"/>
          </w:tcPr>
          <w:p w:rsidR="00D849AA" w:rsidRDefault="00EE6D95">
            <w:r>
              <w:t>391.000</w:t>
            </w:r>
          </w:p>
        </w:tc>
        <w:tc>
          <w:tcPr>
            <w:tcW w:w="1486" w:type="dxa"/>
          </w:tcPr>
          <w:p w:rsidR="00D849AA" w:rsidRDefault="00EE6D95">
            <w:r>
              <w:t>391.000</w:t>
            </w:r>
          </w:p>
        </w:tc>
        <w:tc>
          <w:tcPr>
            <w:tcW w:w="1486" w:type="dxa"/>
          </w:tcPr>
          <w:p w:rsidR="00D849AA" w:rsidRDefault="00EE6D95">
            <w:r>
              <w:t>0,0</w:t>
            </w:r>
          </w:p>
        </w:tc>
      </w:tr>
    </w:tbl>
    <w:p w:rsidR="00D849AA" w:rsidRDefault="00D849AA">
      <w:pPr>
        <w:jc w:val="left"/>
      </w:pPr>
    </w:p>
    <w:p w:rsidR="00D849AA" w:rsidRDefault="00EE6D95">
      <w:pPr>
        <w:pStyle w:val="Normal6"/>
      </w:pPr>
      <w:r>
        <w:t>U okviru ove aktivnosti planirana su sredstva za ex-ante evaluaciju  Operativnog programa  Fond europske pomoći za najpotrebitije 2014. – 2020. godine za koji je u postupku donošenje finalne regulative temeljem koje će se u roku od 6 mjeseci izraditi Operativni programa te zajedno sa ex-ante evaluacijom dostaviti tijekom 2014. godine Europskoj komisiji.</w:t>
      </w:r>
    </w:p>
    <w:p w:rsidR="000F7433" w:rsidRDefault="000F7433">
      <w:pPr>
        <w:pStyle w:val="Normal6"/>
      </w:pPr>
    </w:p>
    <w:p w:rsidR="000F7433" w:rsidRDefault="000F7433">
      <w:pPr>
        <w:pStyle w:val="Normal6"/>
      </w:pPr>
    </w:p>
    <w:p w:rsidR="000F7433" w:rsidRDefault="000F7433">
      <w:pPr>
        <w:pStyle w:val="Normal6"/>
      </w:pPr>
    </w:p>
    <w:p w:rsidR="00D849AA" w:rsidRDefault="00EE6D95">
      <w:pPr>
        <w:pStyle w:val="Naslov6"/>
      </w:pPr>
      <w:r>
        <w:lastRenderedPageBreak/>
        <w:t>A854017 IPA I JAČANJE POLITIKE I KAPACITETA ZA SMANJIVANJE NEPRIJAVLJENOG RADA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A854017</w:t>
            </w:r>
          </w:p>
        </w:tc>
        <w:tc>
          <w:tcPr>
            <w:tcW w:w="1486" w:type="dxa"/>
          </w:tcPr>
          <w:p w:rsidR="00D849AA" w:rsidRDefault="00EE6D95">
            <w:r>
              <w:t>00</w:t>
            </w:r>
          </w:p>
        </w:tc>
        <w:tc>
          <w:tcPr>
            <w:tcW w:w="1486" w:type="dxa"/>
          </w:tcPr>
          <w:p w:rsidR="00D849AA" w:rsidRDefault="00EE6D95">
            <w:r>
              <w:t>2.295.000</w:t>
            </w:r>
          </w:p>
        </w:tc>
        <w:tc>
          <w:tcPr>
            <w:tcW w:w="1486" w:type="dxa"/>
          </w:tcPr>
          <w:p w:rsidR="00D849AA" w:rsidRDefault="00EE6D95">
            <w:r>
              <w:t>4.360.000</w:t>
            </w:r>
          </w:p>
        </w:tc>
        <w:tc>
          <w:tcPr>
            <w:tcW w:w="1486" w:type="dxa"/>
          </w:tcPr>
          <w:p w:rsidR="00D849AA" w:rsidRDefault="00EE6D95">
            <w:r>
              <w:t>727.000</w:t>
            </w:r>
          </w:p>
        </w:tc>
        <w:tc>
          <w:tcPr>
            <w:tcW w:w="1486" w:type="dxa"/>
          </w:tcPr>
          <w:p w:rsidR="00D849AA" w:rsidRDefault="00EE6D95">
            <w:r>
              <w:t>0,0</w:t>
            </w:r>
          </w:p>
        </w:tc>
      </w:tr>
    </w:tbl>
    <w:p w:rsidR="00D849AA" w:rsidRDefault="00D849AA">
      <w:pPr>
        <w:jc w:val="left"/>
      </w:pPr>
    </w:p>
    <w:p w:rsidR="00D849AA" w:rsidRDefault="00EE6D95">
      <w:pPr>
        <w:pStyle w:val="Normal6"/>
      </w:pPr>
      <w:r>
        <w:t>Ova aktivnost doprinosi razvoju sveobuhvatne ciljane strategije koja uključuje politiku utemeljenu na poticajima i inspekcijski pristup, unaprjeđenje postojećeg zakonodavnog okvira koji regulira područje neprijavljenog rada i zapošljavanje.  Jačanje suradnje institucija odgovornih za suzbijanje  neprijavljenog rada u Hrvatskoj kao i jačanje administrativnih sposobnosti,  metodologije rada i mehanizama provjere svih korisničkih institucija. Jačanje svijesti hrvatske javnosti o globalnim implikacijama neprijavljenog rada te jačanje „poreznog morala“ u Hrvatskoj. Glavna dobrobit projekta biti će smanjivanje stope neprijavljenog rada te povećanje radnih doprinosa uplaćenih u proračun.</w:t>
      </w:r>
    </w:p>
    <w:p w:rsidR="00D849AA" w:rsidRDefault="00EE6D95">
      <w:pPr>
        <w:pStyle w:val="Naslov6"/>
      </w:pPr>
      <w:r>
        <w:t>A854018 EUROPSKI FOND ZA PRILAGODBU GLOBALIZACIJI</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A854018</w:t>
            </w:r>
          </w:p>
        </w:tc>
        <w:tc>
          <w:tcPr>
            <w:tcW w:w="1486" w:type="dxa"/>
          </w:tcPr>
          <w:p w:rsidR="00D849AA" w:rsidRDefault="00EE6D95">
            <w:r>
              <w:t>00</w:t>
            </w:r>
          </w:p>
        </w:tc>
        <w:tc>
          <w:tcPr>
            <w:tcW w:w="1486" w:type="dxa"/>
          </w:tcPr>
          <w:p w:rsidR="00D849AA" w:rsidRDefault="00EE6D95">
            <w:r>
              <w:t>24.029.662</w:t>
            </w:r>
          </w:p>
        </w:tc>
        <w:tc>
          <w:tcPr>
            <w:tcW w:w="1486" w:type="dxa"/>
          </w:tcPr>
          <w:p w:rsidR="00D849AA" w:rsidRDefault="00EE6D95">
            <w:r>
              <w:t>21.038.000</w:t>
            </w:r>
          </w:p>
        </w:tc>
        <w:tc>
          <w:tcPr>
            <w:tcW w:w="1486" w:type="dxa"/>
          </w:tcPr>
          <w:p w:rsidR="00D849AA" w:rsidRDefault="00EE6D95">
            <w:r>
              <w:t>21.038.000</w:t>
            </w:r>
          </w:p>
        </w:tc>
        <w:tc>
          <w:tcPr>
            <w:tcW w:w="1486" w:type="dxa"/>
          </w:tcPr>
          <w:p w:rsidR="00D849AA" w:rsidRDefault="00EE6D95">
            <w:r>
              <w:t>0,0</w:t>
            </w:r>
          </w:p>
        </w:tc>
      </w:tr>
    </w:tbl>
    <w:p w:rsidR="00D849AA" w:rsidRDefault="00D849AA">
      <w:pPr>
        <w:jc w:val="left"/>
      </w:pPr>
    </w:p>
    <w:p w:rsidR="00D849AA" w:rsidRDefault="00EE6D95">
      <w:pPr>
        <w:pStyle w:val="Normal6"/>
      </w:pPr>
      <w:r>
        <w:t xml:space="preserve">U okviru ove aktivnosti planirana su sredstva za poticanje zapošljavanja radnika koji su izgubili posao uslijed svjetske financijske krize. Cilj je povećati zapošljivost radnika pružanjem pomoći u pronalaženu posla, profesionalnom savjetovanju, pružanju prilagođenog osposobljavanja  i osposobljavanja za druge poslove.  </w:t>
      </w:r>
    </w:p>
    <w:p w:rsidR="00D849AA" w:rsidRDefault="00EE6D95">
      <w:pPr>
        <w:pStyle w:val="Normal6"/>
      </w:pPr>
      <w:r>
        <w:t>Europski fond za prilagodbu globalizaciji uspostavljen je Uredbom Komisije (EZ) br. 1927/2006 od 20.12.2006.  godine.</w:t>
      </w:r>
    </w:p>
    <w:p w:rsidR="00D849AA" w:rsidRDefault="00EE6D95">
      <w:pPr>
        <w:pStyle w:val="Naslov6"/>
      </w:pPr>
      <w:r>
        <w:t>A854019 PI EU RAZVOJ IT INFRASTRUKTURE KAO DIJELA JAČANJA ADMINISTRATIVNIH KAPACITETA I IZGRADNJE INSTITUCIJA ZA PROVEDBU UREDBI O KOORDINACIJI SUSTAVA SOCIJALNE SIGURNOSTI</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A854019</w:t>
            </w:r>
          </w:p>
        </w:tc>
        <w:tc>
          <w:tcPr>
            <w:tcW w:w="1486" w:type="dxa"/>
          </w:tcPr>
          <w:p w:rsidR="00D849AA" w:rsidRDefault="00EE6D95">
            <w:r>
              <w:t>00</w:t>
            </w:r>
          </w:p>
        </w:tc>
        <w:tc>
          <w:tcPr>
            <w:tcW w:w="1486" w:type="dxa"/>
          </w:tcPr>
          <w:p w:rsidR="00D849AA" w:rsidRDefault="00EE6D95">
            <w:r>
              <w:t>2.756.000</w:t>
            </w:r>
          </w:p>
        </w:tc>
        <w:tc>
          <w:tcPr>
            <w:tcW w:w="1486" w:type="dxa"/>
          </w:tcPr>
          <w:p w:rsidR="00D849AA" w:rsidRDefault="00EE6D95">
            <w:r>
              <w:t>3.304.000</w:t>
            </w:r>
          </w:p>
        </w:tc>
        <w:tc>
          <w:tcPr>
            <w:tcW w:w="1486" w:type="dxa"/>
          </w:tcPr>
          <w:p w:rsidR="00D849AA" w:rsidRDefault="00EE6D95">
            <w:r>
              <w:t>2.480.000</w:t>
            </w:r>
          </w:p>
        </w:tc>
        <w:tc>
          <w:tcPr>
            <w:tcW w:w="1486" w:type="dxa"/>
          </w:tcPr>
          <w:p w:rsidR="00D849AA" w:rsidRDefault="00EE6D95">
            <w:r>
              <w:t>0,0</w:t>
            </w:r>
          </w:p>
        </w:tc>
      </w:tr>
    </w:tbl>
    <w:p w:rsidR="00D849AA" w:rsidRDefault="00D849AA">
      <w:pPr>
        <w:jc w:val="left"/>
      </w:pPr>
    </w:p>
    <w:p w:rsidR="00D849AA" w:rsidRDefault="00EE6D95">
      <w:pPr>
        <w:pStyle w:val="Normal6"/>
      </w:pPr>
      <w:r>
        <w:t>U okviru ove aktivnosti razvit će se nekoliko IT struktura koje će omogućiti učinkovitu i kvalitetnu provedbu uredbi koordinacije sustava socijalne sigurnosti EU te pružanje učinkovite usluge orijentirane na korisnika u istom području. Projektom će se provesti odgovarajuća priprema za povezivanje sustava u EESSI sustav na razini EU.</w:t>
      </w:r>
    </w:p>
    <w:p w:rsidR="000F7433" w:rsidRDefault="000F7433">
      <w:pPr>
        <w:pStyle w:val="Normal6"/>
      </w:pPr>
    </w:p>
    <w:p w:rsidR="000F7433" w:rsidRDefault="000F7433">
      <w:pPr>
        <w:pStyle w:val="Normal6"/>
      </w:pPr>
    </w:p>
    <w:p w:rsidR="00D849AA" w:rsidRDefault="00EE6D95">
      <w:pPr>
        <w:pStyle w:val="Naslov6"/>
      </w:pPr>
      <w:r>
        <w:lastRenderedPageBreak/>
        <w:t>T854020 OP RAZVOJ LJUDSKIH POTENCIJALA, PRIORITET 1, 4 I 5</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T854020</w:t>
            </w:r>
          </w:p>
        </w:tc>
        <w:tc>
          <w:tcPr>
            <w:tcW w:w="1486" w:type="dxa"/>
          </w:tcPr>
          <w:p w:rsidR="00D849AA" w:rsidRDefault="00EE6D95">
            <w:r>
              <w:t>00</w:t>
            </w:r>
          </w:p>
        </w:tc>
        <w:tc>
          <w:tcPr>
            <w:tcW w:w="1486" w:type="dxa"/>
          </w:tcPr>
          <w:p w:rsidR="00D849AA" w:rsidRDefault="00EE6D95">
            <w:r>
              <w:t>100.055.000</w:t>
            </w:r>
          </w:p>
        </w:tc>
        <w:tc>
          <w:tcPr>
            <w:tcW w:w="1486" w:type="dxa"/>
          </w:tcPr>
          <w:p w:rsidR="00D849AA" w:rsidRDefault="00EE6D95">
            <w:r>
              <w:t>71.646.662</w:t>
            </w:r>
          </w:p>
        </w:tc>
        <w:tc>
          <w:tcPr>
            <w:tcW w:w="1486" w:type="dxa"/>
          </w:tcPr>
          <w:p w:rsidR="00D849AA" w:rsidRDefault="00EE6D95">
            <w:r>
              <w:t>23.129.000</w:t>
            </w:r>
          </w:p>
        </w:tc>
        <w:tc>
          <w:tcPr>
            <w:tcW w:w="1486" w:type="dxa"/>
          </w:tcPr>
          <w:p w:rsidR="00D849AA" w:rsidRDefault="00EE6D95">
            <w:r>
              <w:t>0,0</w:t>
            </w:r>
          </w:p>
        </w:tc>
      </w:tr>
    </w:tbl>
    <w:p w:rsidR="00D849AA" w:rsidRDefault="00D849AA">
      <w:pPr>
        <w:jc w:val="left"/>
      </w:pPr>
    </w:p>
    <w:p w:rsidR="00D849AA" w:rsidRDefault="00EE6D95">
      <w:pPr>
        <w:pStyle w:val="Normal6"/>
      </w:pPr>
      <w:r>
        <w:t xml:space="preserve">Zakon o uspostavi institucionalnog okvira za korištenje strukturnih instrumenata Europske unije u Republici Hrvatskoj („Narodne novine“, broj 78/2012.) i Uredba o tijelima u sustavu upravljanja i kontrole korištenja strukturnih instrumenata Europske unije u Republici Hrvatskoj („Narodne novine“, broj 97/12) su  temelj planiranja sredstava za provedbu Operativnog programa Razvoj ljudskih potencijala za razdoblje 2014. – 2016. kojim se određuje da sredstva po novoj proceduri za operacije u okviru Prioriteta 1 – Unapređenje pristupa zapošljavanju i održivo uključivanje u tržište rada, Prioriteta 4 – Tehnička pomoć i Prioriteta 5 – Jačanje uloge civilnog društva u svrhu boljeg upravljanja, Mjere 5.1 – Unapređenje socijalnog dijaloga,  planira Ministarstvo rada i mirovinskoga sustava kao upravljačko tijelo, a vezano za funkciju posredničkog tijela razine 1 tj. nadležno ministarstvo. Sredstva za izravne dodjele bespovratnih sredstava u sklopu Prioriteta 4 planira svako tijelo Operativne strukture te time i Ministarstvo rada i mirovinskoga sustava prema proračunu operacije 4.2.13 Izravna dodjela sredstava Operativnoj strukturi kojom se planira financiranje troškova plaća, službenih putovanja, edukacije i ostalih troškova iz Europskog socijalnog fonda. </w:t>
      </w:r>
    </w:p>
    <w:p w:rsidR="00D849AA" w:rsidRDefault="00EE6D95">
      <w:pPr>
        <w:pStyle w:val="Normal6"/>
      </w:pPr>
      <w:r>
        <w:t>U okviru planiranih sredstava za Operativni program Razvoj ljudskih potencijala uključene su IPA operacije koje su započele u IPA-i, operacije koje će započeti nakon 1.07.2013. godine te operacije Europskog socijalnog fonda za alocirana sredstva razdoblja 1.07.- 31.12.2013. godine.</w:t>
      </w:r>
    </w:p>
    <w:p w:rsidR="00D849AA" w:rsidRDefault="00EE6D95">
      <w:pPr>
        <w:pStyle w:val="Naslov6"/>
      </w:pPr>
      <w:r>
        <w:t>T854021 OP UČINKOVITI LJUDSKI RESURSI 2014.-2020.</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T854021</w:t>
            </w:r>
          </w:p>
        </w:tc>
        <w:tc>
          <w:tcPr>
            <w:tcW w:w="1486" w:type="dxa"/>
          </w:tcPr>
          <w:p w:rsidR="00D849AA" w:rsidRDefault="00EE6D95">
            <w:r>
              <w:t>00</w:t>
            </w:r>
          </w:p>
        </w:tc>
        <w:tc>
          <w:tcPr>
            <w:tcW w:w="1486" w:type="dxa"/>
          </w:tcPr>
          <w:p w:rsidR="00D849AA" w:rsidRDefault="00EE6D95">
            <w:r>
              <w:t>223.371.000</w:t>
            </w:r>
          </w:p>
        </w:tc>
        <w:tc>
          <w:tcPr>
            <w:tcW w:w="1486" w:type="dxa"/>
          </w:tcPr>
          <w:p w:rsidR="00D849AA" w:rsidRDefault="00EE6D95">
            <w:r>
              <w:t>275.857.000</w:t>
            </w:r>
          </w:p>
        </w:tc>
        <w:tc>
          <w:tcPr>
            <w:tcW w:w="1486" w:type="dxa"/>
          </w:tcPr>
          <w:p w:rsidR="00D849AA" w:rsidRDefault="00EE6D95">
            <w:r>
              <w:t>281.586.662</w:t>
            </w:r>
          </w:p>
        </w:tc>
        <w:tc>
          <w:tcPr>
            <w:tcW w:w="1486" w:type="dxa"/>
          </w:tcPr>
          <w:p w:rsidR="00D849AA" w:rsidRDefault="00EE6D95">
            <w:r>
              <w:t>0,0</w:t>
            </w:r>
          </w:p>
        </w:tc>
      </w:tr>
    </w:tbl>
    <w:p w:rsidR="00D849AA" w:rsidRDefault="00D849AA">
      <w:pPr>
        <w:jc w:val="left"/>
      </w:pPr>
    </w:p>
    <w:p w:rsidR="00D849AA" w:rsidRDefault="00EE6D95">
      <w:pPr>
        <w:pStyle w:val="Normal6"/>
      </w:pPr>
      <w:r>
        <w:t xml:space="preserve">U okviru ove aktivnosti Ministarstvo rada i mirovinskoga sustava kao upravljačko tijelo  planiralo je sredstva na razini Operativnog programa Učinkoviti ljudski resursi  za alokacije iz razdoblja 2014. -2020. godine. </w:t>
      </w:r>
    </w:p>
    <w:p w:rsidR="00D849AA" w:rsidRDefault="00EE6D95">
      <w:pPr>
        <w:pStyle w:val="Normal6"/>
      </w:pPr>
      <w:r>
        <w:t>Planirana sredstva obuhvaćaju iznose koji se odnose na garanciju za mlade koja će se dodatno koristiti iz Europskog socijalnog fonda za rješavanje problema nezaposlenosti mladih.</w:t>
      </w:r>
    </w:p>
    <w:p w:rsidR="000F7433" w:rsidRDefault="000F7433">
      <w:pPr>
        <w:pStyle w:val="Normal6"/>
      </w:pPr>
    </w:p>
    <w:p w:rsidR="000F7433" w:rsidRDefault="000F7433">
      <w:pPr>
        <w:pStyle w:val="Normal6"/>
      </w:pPr>
    </w:p>
    <w:p w:rsidR="000F7433" w:rsidRDefault="000F7433">
      <w:pPr>
        <w:pStyle w:val="Normal6"/>
      </w:pPr>
    </w:p>
    <w:p w:rsidR="00D849AA" w:rsidRDefault="00EE6D95">
      <w:pPr>
        <w:pStyle w:val="Naslov2"/>
      </w:pPr>
      <w:r>
        <w:lastRenderedPageBreak/>
        <w:t>08620 Hrvatski zavod za mirovinsko osiguranje</w:t>
      </w:r>
    </w:p>
    <w:p w:rsidR="00D849AA" w:rsidRDefault="00EE6D95">
      <w:pPr>
        <w:pStyle w:val="Naslov4"/>
      </w:pPr>
      <w:r>
        <w:t>Uvod</w:t>
      </w:r>
    </w:p>
    <w:p w:rsidR="00D849AA" w:rsidRDefault="00EE6D95">
      <w:pPr>
        <w:pStyle w:val="Normal3"/>
      </w:pPr>
      <w:r>
        <w:t xml:space="preserve">Hrvatski zavod za mirovinsko osiguranje javna je ustanova osnovana Zakonom o mirovinskom osiguranju radi provedbe obveznoga mirovinskog osiguranja na temelju generacijske solidarnosti. U Zavodu prava iz mirovinskog osiguranja ostvaruju radnici, poljoprivrednici, obrtnici i druge osigurane osobe utvrđene Zakonom o mirovinskom osiguranju i drugim propisima. U Zavodu se ostvaruju prava na mirovinu,  profesionalnu rehabilitaciju, novčanu naknadu zbog tjelesnog oštećenja i naknadu putnih troškova u vezi s ostvarivanjem osiguranih prava. Zavod  provodi i postupke ostvarivanja prava na doplatak za djecu. </w:t>
      </w:r>
    </w:p>
    <w:p w:rsidR="00D849AA" w:rsidRDefault="00EE6D95">
      <w:pPr>
        <w:pStyle w:val="Normal3"/>
      </w:pPr>
      <w:r>
        <w:t>Vizija poslovanja Zavoda  je da kao moderna javna ustanova na najvišoj europskoj razini, poštujući najviše standarde ažurnosti i kvalitete te koristeći suvremenu tehnologiju i informatizaciju, pruža osiguranicima cjelovite i kvalitetne usluge u optimalnim rokovima, uz smanjenje ukupnih troškova poslovanja.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08620</w:t>
            </w:r>
          </w:p>
        </w:tc>
        <w:tc>
          <w:tcPr>
            <w:tcW w:w="1486" w:type="dxa"/>
          </w:tcPr>
          <w:p w:rsidR="00D849AA" w:rsidRDefault="00EE6D95">
            <w:r>
              <w:t>36.049.529.826</w:t>
            </w:r>
          </w:p>
        </w:tc>
        <w:tc>
          <w:tcPr>
            <w:tcW w:w="1486" w:type="dxa"/>
          </w:tcPr>
          <w:p w:rsidR="00D849AA" w:rsidRDefault="00EE6D95">
            <w:r>
              <w:t>36.360.823.457</w:t>
            </w:r>
          </w:p>
        </w:tc>
        <w:tc>
          <w:tcPr>
            <w:tcW w:w="1486" w:type="dxa"/>
          </w:tcPr>
          <w:p w:rsidR="00D849AA" w:rsidRDefault="00EE6D95">
            <w:r>
              <w:t>36.614.585.405</w:t>
            </w:r>
          </w:p>
        </w:tc>
        <w:tc>
          <w:tcPr>
            <w:tcW w:w="1486" w:type="dxa"/>
          </w:tcPr>
          <w:p w:rsidR="00D849AA" w:rsidRDefault="00EE6D95">
            <w:r>
              <w:t>37.114.253.528</w:t>
            </w:r>
          </w:p>
        </w:tc>
        <w:tc>
          <w:tcPr>
            <w:tcW w:w="1486" w:type="dxa"/>
          </w:tcPr>
          <w:p w:rsidR="00D849AA" w:rsidRDefault="00EE6D95">
            <w:r>
              <w:t>100,9</w:t>
            </w:r>
          </w:p>
        </w:tc>
      </w:tr>
    </w:tbl>
    <w:p w:rsidR="00D849AA" w:rsidRDefault="00D849AA">
      <w:pPr>
        <w:jc w:val="left"/>
      </w:pPr>
    </w:p>
    <w:p w:rsidR="00D849AA" w:rsidRDefault="00EE6D95">
      <w:pPr>
        <w:pStyle w:val="Naslov4"/>
      </w:pPr>
      <w:r>
        <w:t>OBRAZLOŽENJE PROGRAMA</w:t>
      </w:r>
    </w:p>
    <w:p w:rsidR="00D849AA" w:rsidRDefault="00EE6D95">
      <w:pPr>
        <w:pStyle w:val="Naslov5"/>
      </w:pPr>
      <w:r>
        <w:t>4101 PODRŠKA SUSTAVU MIROVINSKOG OSIGURANJA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4101</w:t>
            </w:r>
          </w:p>
        </w:tc>
        <w:tc>
          <w:tcPr>
            <w:tcW w:w="1486" w:type="dxa"/>
          </w:tcPr>
          <w:p w:rsidR="00D849AA" w:rsidRDefault="00EE6D95">
            <w:r>
              <w:t>387.554.479</w:t>
            </w:r>
          </w:p>
        </w:tc>
        <w:tc>
          <w:tcPr>
            <w:tcW w:w="1486" w:type="dxa"/>
          </w:tcPr>
          <w:p w:rsidR="00D849AA" w:rsidRDefault="00EE6D95">
            <w:r>
              <w:t>412.274.418</w:t>
            </w:r>
          </w:p>
        </w:tc>
        <w:tc>
          <w:tcPr>
            <w:tcW w:w="1486" w:type="dxa"/>
          </w:tcPr>
          <w:p w:rsidR="00D849AA" w:rsidRDefault="00EE6D95">
            <w:r>
              <w:t>387.889.345</w:t>
            </w:r>
          </w:p>
        </w:tc>
        <w:tc>
          <w:tcPr>
            <w:tcW w:w="1486" w:type="dxa"/>
          </w:tcPr>
          <w:p w:rsidR="00D849AA" w:rsidRDefault="00EE6D95">
            <w:r>
              <w:t>392.658.430</w:t>
            </w:r>
          </w:p>
        </w:tc>
        <w:tc>
          <w:tcPr>
            <w:tcW w:w="1486" w:type="dxa"/>
          </w:tcPr>
          <w:p w:rsidR="00D849AA" w:rsidRDefault="00EE6D95">
            <w:r>
              <w:t>106,4</w:t>
            </w:r>
          </w:p>
        </w:tc>
      </w:tr>
    </w:tbl>
    <w:p w:rsidR="00D849AA" w:rsidRDefault="00D849AA">
      <w:pPr>
        <w:jc w:val="left"/>
      </w:pPr>
    </w:p>
    <w:p w:rsidR="00D849AA" w:rsidRDefault="00EE6D95">
      <w:pPr>
        <w:pStyle w:val="Naslov6"/>
      </w:pPr>
      <w:r>
        <w:t>Opis programa</w:t>
      </w:r>
    </w:p>
    <w:p w:rsidR="00D849AA" w:rsidRDefault="00EE6D95">
      <w:pPr>
        <w:pStyle w:val="Normal5"/>
      </w:pPr>
      <w:r>
        <w:t xml:space="preserve">Obavljanje svih stručnih i administrativnih poslova u cilju nesmetanog, racionalnog i uspješnog obavljanja djelatnosti Zavoda i dostupnosti ostvarivanja prava iz mirovinskog osiguranja svim osiguranim osobama. Najznačajniji poslovi koje Zavod obavlja su: </w:t>
      </w:r>
    </w:p>
    <w:p w:rsidR="00D849AA" w:rsidRDefault="00EE6D95">
      <w:pPr>
        <w:pStyle w:val="Normal5"/>
      </w:pPr>
      <w:r>
        <w:t xml:space="preserve">- donošenje općih akata za provedbu mirovinskog osiguranja i drugih općih akata (Statut,    </w:t>
      </w:r>
    </w:p>
    <w:p w:rsidR="00D849AA" w:rsidRDefault="00EE6D95">
      <w:pPr>
        <w:pStyle w:val="Normal5"/>
      </w:pPr>
      <w:r>
        <w:t xml:space="preserve">   pravilnici, poslovnici i odluke, kojima se na opći način uređuje pojedina pitanja u vezi s    </w:t>
      </w:r>
    </w:p>
    <w:p w:rsidR="00D849AA" w:rsidRDefault="00EE6D95">
      <w:pPr>
        <w:pStyle w:val="Normal5"/>
      </w:pPr>
      <w:r>
        <w:t xml:space="preserve">   djelatnošću Zavoda) </w:t>
      </w:r>
    </w:p>
    <w:p w:rsidR="00D849AA" w:rsidRDefault="00EE6D95">
      <w:pPr>
        <w:pStyle w:val="Normal5"/>
      </w:pPr>
      <w:r>
        <w:t xml:space="preserve">- osiguranje zakonitosti ostvarivanja prava i pružanja stručne pomoći osiguranim osobama pri ostvarivanju prava  </w:t>
      </w:r>
    </w:p>
    <w:p w:rsidR="00D849AA" w:rsidRDefault="00EE6D95">
      <w:pPr>
        <w:pStyle w:val="Normal5"/>
      </w:pPr>
      <w:r>
        <w:t xml:space="preserve">- obavljanje poslova u vezi s ostvarivanjem prava zaposlenika, poljoprivrednika, obrtnika i drugih osoba iz mirovinskog osiguranja </w:t>
      </w:r>
    </w:p>
    <w:p w:rsidR="00D849AA" w:rsidRDefault="00EE6D95">
      <w:pPr>
        <w:pStyle w:val="Normal5"/>
      </w:pPr>
      <w:r>
        <w:t xml:space="preserve">- vođenje upravnog postupka u ostvarivanju prava i obveza iz mirovinskog osiguranja </w:t>
      </w:r>
    </w:p>
    <w:p w:rsidR="00D849AA" w:rsidRDefault="00EE6D95">
      <w:pPr>
        <w:pStyle w:val="Normal5"/>
      </w:pPr>
      <w:r>
        <w:t xml:space="preserve">- upravljanje i poslovanje sredstvima za namjene utvrđene Zakonom </w:t>
      </w:r>
    </w:p>
    <w:p w:rsidR="00D849AA" w:rsidRDefault="00EE6D95">
      <w:pPr>
        <w:pStyle w:val="Normal5"/>
      </w:pPr>
      <w:r>
        <w:lastRenderedPageBreak/>
        <w:t xml:space="preserve">- vođenje evidencija o osiguranim osobama, obveznicima uplate doprinosa i drugih davanja i pravima iz mirovinskog osiguranja </w:t>
      </w:r>
    </w:p>
    <w:p w:rsidR="00D849AA" w:rsidRDefault="00EE6D95">
      <w:pPr>
        <w:pStyle w:val="Normal5"/>
      </w:pPr>
      <w:r>
        <w:t xml:space="preserve">- obavljanje poslova statističkih istraživanja u skladu sa zakonom </w:t>
      </w:r>
    </w:p>
    <w:p w:rsidR="00D849AA" w:rsidRDefault="00EE6D95">
      <w:pPr>
        <w:pStyle w:val="Normal5"/>
      </w:pPr>
      <w:r>
        <w:t xml:space="preserve">- provedba politike razvoja i unapređenja mirovinskog osiguranja </w:t>
      </w:r>
    </w:p>
    <w:p w:rsidR="00D849AA" w:rsidRDefault="00EE6D95">
      <w:pPr>
        <w:pStyle w:val="Normal5"/>
      </w:pPr>
      <w:r>
        <w:t xml:space="preserve">- izdavanje stručno-informativnih publikacija o djelatnosti Zavoda </w:t>
      </w:r>
    </w:p>
    <w:p w:rsidR="00D849AA" w:rsidRDefault="00EE6D95">
      <w:pPr>
        <w:pStyle w:val="Normal5"/>
      </w:pPr>
      <w:r>
        <w:t xml:space="preserve">- obavljanje drugih poslova u vezi s provedbom mirovinskog osiguranja </w:t>
      </w:r>
    </w:p>
    <w:p w:rsidR="00D849AA" w:rsidRDefault="00EE6D95">
      <w:pPr>
        <w:pStyle w:val="Normal5"/>
      </w:pPr>
      <w:r>
        <w:t xml:space="preserve">- provođenje Ovršnog zakona </w:t>
      </w:r>
    </w:p>
    <w:p w:rsidR="00D849AA" w:rsidRDefault="00EE6D95">
      <w:pPr>
        <w:pStyle w:val="Normal5"/>
      </w:pPr>
      <w:r>
        <w:t>- izdavanje potvrda korisnicima usluga Zavoda</w:t>
      </w:r>
    </w:p>
    <w:p w:rsidR="00D849AA" w:rsidRDefault="00EE6D95">
      <w:pPr>
        <w:pStyle w:val="Naslov6"/>
      </w:pPr>
      <w:r>
        <w:t>Zakonske i druge pravne osnove</w:t>
      </w:r>
    </w:p>
    <w:p w:rsidR="00D849AA" w:rsidRDefault="00EE6D95">
      <w:pPr>
        <w:pStyle w:val="Normal5"/>
      </w:pPr>
      <w:r>
        <w:t>Statut Hrvatskog zavoda za mirovinsko osiguranje ("Narodne novine", br. 117./12.)</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Cilj 1. Osiguranje provedbe i unapređenje mirovinskog osiguranja generacijske solidarnosti</w:t>
      </w:r>
    </w:p>
    <w:p w:rsidR="00D849AA" w:rsidRDefault="00EE6D95">
      <w:pPr>
        <w:pStyle w:val="Normal6"/>
      </w:pPr>
      <w:r>
        <w:t>Strategija Zavoda u razdoblju 2014. – 2016. je da daljnjom modernizacijom nastavi podizati kvalitetu usluga korisnicima povećanjem ažurnosti i učinkovitosti poslovanja, otvaranje i približavanje Zavoda osiguranicima, korisnicima i javnosti osiguranjem prava pristupa relevantnim informacijama i podacima, postizanje optimalne ažurnosti, potpunosti i točnosti podataka u evidencijama Zavoda, smanjenje troškova poslovanja, unapređenje poslovanja primjenom suvremenih informatičkih rješenja i redizajniranjem poslovnih procesa, upravljanje i razvoj ljudskih potencijala te osiguranje pravilnog, učinkovitog i ekonomičnog raspolaganja proračunskim i drugim sredstvima.</w:t>
      </w:r>
    </w:p>
    <w:p w:rsidR="007F25F6" w:rsidRDefault="007F25F6">
      <w:pPr>
        <w:pStyle w:val="Normal6"/>
      </w:pP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Povećanje postotka  predmeta iz mirovinskog osiguranja okončanih u zakonskom roku</w:t>
            </w:r>
          </w:p>
        </w:tc>
        <w:tc>
          <w:tcPr>
            <w:tcW w:w="1114" w:type="dxa"/>
          </w:tcPr>
          <w:p w:rsidR="00D849AA" w:rsidRDefault="00EE6D95">
            <w:r>
              <w:t>%</w:t>
            </w:r>
          </w:p>
        </w:tc>
        <w:tc>
          <w:tcPr>
            <w:tcW w:w="1114" w:type="dxa"/>
          </w:tcPr>
          <w:p w:rsidR="00D849AA" w:rsidRDefault="00EE6D95">
            <w:r>
              <w:t>67%</w:t>
            </w:r>
          </w:p>
        </w:tc>
        <w:tc>
          <w:tcPr>
            <w:tcW w:w="1486" w:type="dxa"/>
          </w:tcPr>
          <w:p w:rsidR="00D849AA" w:rsidRDefault="00EE6D95">
            <w:r>
              <w:t>69%</w:t>
            </w:r>
          </w:p>
        </w:tc>
        <w:tc>
          <w:tcPr>
            <w:tcW w:w="1486" w:type="dxa"/>
          </w:tcPr>
          <w:p w:rsidR="00D849AA" w:rsidRDefault="00EE6D95">
            <w:r>
              <w:t>72%</w:t>
            </w:r>
          </w:p>
        </w:tc>
        <w:tc>
          <w:tcPr>
            <w:tcW w:w="1486" w:type="dxa"/>
          </w:tcPr>
          <w:p w:rsidR="00D849AA" w:rsidRDefault="00EE6D95">
            <w:r>
              <w:t>75%</w:t>
            </w:r>
          </w:p>
        </w:tc>
      </w:tr>
    </w:tbl>
    <w:p w:rsidR="00D849AA" w:rsidRDefault="00D849AA">
      <w:pPr>
        <w:jc w:val="left"/>
      </w:pPr>
    </w:p>
    <w:p w:rsidR="00D849AA" w:rsidRDefault="00EE6D95">
      <w:pPr>
        <w:pStyle w:val="Naslov5"/>
      </w:pPr>
      <w:r>
        <w:t>Procjena i ishodište potrebnih sredstava za značajnije aktivnosti/projekte</w:t>
      </w:r>
    </w:p>
    <w:p w:rsidR="00D849AA" w:rsidRDefault="00EE6D95">
      <w:pPr>
        <w:pStyle w:val="Naslov6"/>
      </w:pPr>
      <w:r>
        <w:t>A688026 ADMINISTRACIJA I UPRAVLJANJE HRVATSKOG ZAVODA ZA MIROVINSKO OSIGURANJE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A688026</w:t>
            </w:r>
          </w:p>
        </w:tc>
        <w:tc>
          <w:tcPr>
            <w:tcW w:w="1486" w:type="dxa"/>
          </w:tcPr>
          <w:p w:rsidR="00D849AA" w:rsidRDefault="00EE6D95">
            <w:r>
              <w:t>343.981.329</w:t>
            </w:r>
          </w:p>
        </w:tc>
        <w:tc>
          <w:tcPr>
            <w:tcW w:w="1486" w:type="dxa"/>
          </w:tcPr>
          <w:p w:rsidR="00D849AA" w:rsidRDefault="00EE6D95">
            <w:r>
              <w:t>357.088.268</w:t>
            </w:r>
          </w:p>
        </w:tc>
        <w:tc>
          <w:tcPr>
            <w:tcW w:w="1486" w:type="dxa"/>
          </w:tcPr>
          <w:p w:rsidR="00D849AA" w:rsidRDefault="00EE6D95">
            <w:r>
              <w:t>327.516.095</w:t>
            </w:r>
          </w:p>
        </w:tc>
        <w:tc>
          <w:tcPr>
            <w:tcW w:w="1486" w:type="dxa"/>
          </w:tcPr>
          <w:p w:rsidR="00D849AA" w:rsidRDefault="00EE6D95">
            <w:r>
              <w:t>333.670.480</w:t>
            </w:r>
          </w:p>
        </w:tc>
        <w:tc>
          <w:tcPr>
            <w:tcW w:w="1486" w:type="dxa"/>
          </w:tcPr>
          <w:p w:rsidR="00D849AA" w:rsidRDefault="00EE6D95">
            <w:r>
              <w:t>103,8</w:t>
            </w:r>
          </w:p>
        </w:tc>
      </w:tr>
    </w:tbl>
    <w:p w:rsidR="00D849AA" w:rsidRDefault="00D849AA">
      <w:pPr>
        <w:jc w:val="left"/>
      </w:pPr>
    </w:p>
    <w:p w:rsidR="00D849AA" w:rsidRDefault="00EE6D95">
      <w:pPr>
        <w:pStyle w:val="Normal6"/>
      </w:pPr>
      <w:r>
        <w:t xml:space="preserve">U okviru programa 4101 Podrška sustavu mirovinskog osiguranja najznačajnija aktivnost je A688026 Administracija i upravljanje Hrvatskog zavoda za mirovinsko osiguranje koja se sastoji od rashoda za zaposlene i materijalnih rashoda. Rashodi za zaposlene sadrže bruto plaće, ostale rashode za zaposlene i doprinose na plaće. Materijalni rashodi sadrže naknade troškova zaposlenima, rashode za materijal i energiju, rashode za usluge i ostale nespomenute rashode poslovanja. </w:t>
      </w:r>
    </w:p>
    <w:p w:rsidR="00D849AA" w:rsidRDefault="00EE6D95">
      <w:pPr>
        <w:pStyle w:val="Normal6"/>
      </w:pPr>
      <w:r>
        <w:t xml:space="preserve">Radi pravovremenog i pravilnog odlučivanja o pravima iz mirovinskog osiguranja i pravu na doplatak za djecu, te o pravu na mirovinu iz hrvatskog mirovinskog osiguranja primjenom međunarodnih ugovora o socijalnom osiguranju, nastavit će se rad na poslovima i projektima čija će realizacija omogućiti poboljšanje ažurnosti, daljnju automatizaciju i ubrzanje postupka, te skraćivanje rokova za rješavanje o pravima iz mirovinskog osiguranja i doplatka za djecu.  </w:t>
      </w:r>
    </w:p>
    <w:p w:rsidR="00D849AA" w:rsidRDefault="00EE6D95">
      <w:pPr>
        <w:pStyle w:val="Normal6"/>
      </w:pPr>
      <w:r>
        <w:t xml:space="preserve">Nedostatak podataka u matičnoj evidenciji Zavoda o osiguranicima može uzrokovati produljivanje postupka ostvarivanja prava iz mirovinskog osiguranja, zbog čega će se u narednom razdoblju nastaviti poduzimati mjere radi prikupljanja i ažuriranja podataka u evidencijama Zavoda. </w:t>
      </w:r>
    </w:p>
    <w:p w:rsidR="00D849AA" w:rsidRDefault="00EE6D95">
      <w:pPr>
        <w:pStyle w:val="Normal6"/>
      </w:pPr>
      <w:r>
        <w:t xml:space="preserve">Svim osiguranicima i korisnicima omogućen je putem Interneta jednostavan i brz uvid u osobne podatke o stažu, plaći i osnovicama osiguranja, te o stanju predmeta ako su podnijeli zahtjev za ostvarivanje prava iz mirovinskog osiguranja. Ta usluga će se u narednom razdoblju dodatno razvijati. </w:t>
      </w:r>
    </w:p>
    <w:p w:rsidR="00D849AA" w:rsidRDefault="00EE6D95">
      <w:pPr>
        <w:pStyle w:val="Normal6"/>
      </w:pPr>
      <w:r>
        <w:t>Nakon pristupanja RH u članstvo EU 1. srpnja 2013., u razdoblju od 2014. do 2016. i nadalje će se poduzimati aktivnosti u cilju unapređivanja  administrativnog postupka za koordinaciju sustava socijalne sigurnosti unutar EU, što će omogućiti daljnje uključivanje Zavoda u moderni sustav koordinacije socijalne sigurnosti država članica EU u kontekstu razvoja projekta za elektroničku razmjenu podataka i vođenja postupka za priznanje prava na davanja na razini EU (tzv. EESSI).  Zavod će također sudjelovati na sastancima tijela za vezu drugih država članica EU, a prema potrebi i u radu Administrativne komisije za koordinaciju sustava socijalne sigurnosti pri Europskoj komisiji, te u stručnim odborima Administrativne komisije. Zavod će pružati podatke potrebne za tzv. “otvorenu koordinaciju sustava socijalne sigurnosti” i procese vezane uz projekt “Europa 2020”.</w:t>
      </w:r>
    </w:p>
    <w:p w:rsidR="007F25F6" w:rsidRDefault="007F25F6">
      <w:pPr>
        <w:pStyle w:val="Normal6"/>
      </w:pP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61"/>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Povećanje obuhvata podataka u bazi podataka osiguranika</w:t>
            </w:r>
          </w:p>
        </w:tc>
        <w:tc>
          <w:tcPr>
            <w:tcW w:w="1114" w:type="dxa"/>
          </w:tcPr>
          <w:p w:rsidR="00D849AA" w:rsidRDefault="00EE6D95">
            <w:r>
              <w:t>%</w:t>
            </w:r>
          </w:p>
        </w:tc>
        <w:tc>
          <w:tcPr>
            <w:tcW w:w="1114" w:type="dxa"/>
          </w:tcPr>
          <w:p w:rsidR="00D849AA" w:rsidRDefault="00EE6D95">
            <w:r>
              <w:t>95%</w:t>
            </w:r>
          </w:p>
        </w:tc>
        <w:tc>
          <w:tcPr>
            <w:tcW w:w="1486" w:type="dxa"/>
          </w:tcPr>
          <w:p w:rsidR="00D849AA" w:rsidRDefault="00EE6D95">
            <w:r>
              <w:t>95,5%</w:t>
            </w:r>
          </w:p>
        </w:tc>
        <w:tc>
          <w:tcPr>
            <w:tcW w:w="1486" w:type="dxa"/>
          </w:tcPr>
          <w:p w:rsidR="00D849AA" w:rsidRDefault="00EE6D95">
            <w:r>
              <w:t>96%</w:t>
            </w:r>
          </w:p>
        </w:tc>
        <w:tc>
          <w:tcPr>
            <w:tcW w:w="1486" w:type="dxa"/>
          </w:tcPr>
          <w:p w:rsidR="00D849AA" w:rsidRDefault="00EE6D95">
            <w:r>
              <w:t>96,5%</w:t>
            </w:r>
          </w:p>
        </w:tc>
      </w:tr>
      <w:tr w:rsidR="00D849AA">
        <w:trPr>
          <w:jc w:val="center"/>
        </w:trPr>
        <w:tc>
          <w:tcPr>
            <w:tcW w:w="2229" w:type="dxa"/>
          </w:tcPr>
          <w:p w:rsidR="00D849AA" w:rsidRDefault="00EE6D95">
            <w:pPr>
              <w:pStyle w:val="CellColumn"/>
            </w:pPr>
            <w:r>
              <w:t>Unapređenje administrativne strukture za  sudjelovanje u koordinaciji sustava socijalne sigurnosti s državama članicama EU (EESSI)</w:t>
            </w:r>
          </w:p>
        </w:tc>
        <w:tc>
          <w:tcPr>
            <w:tcW w:w="1114" w:type="dxa"/>
          </w:tcPr>
          <w:p w:rsidR="00D849AA" w:rsidRDefault="00EE6D95">
            <w:r>
              <w:t>broj zaposlenika koji su prošli obuku</w:t>
            </w:r>
          </w:p>
        </w:tc>
        <w:tc>
          <w:tcPr>
            <w:tcW w:w="1114" w:type="dxa"/>
          </w:tcPr>
          <w:p w:rsidR="00D849AA" w:rsidRDefault="00EE6D95">
            <w:r>
              <w:t>209</w:t>
            </w:r>
          </w:p>
        </w:tc>
        <w:tc>
          <w:tcPr>
            <w:tcW w:w="1486" w:type="dxa"/>
          </w:tcPr>
          <w:p w:rsidR="00D849AA" w:rsidRDefault="00EE6D95">
            <w:r>
              <w:t>220</w:t>
            </w:r>
          </w:p>
        </w:tc>
        <w:tc>
          <w:tcPr>
            <w:tcW w:w="1486" w:type="dxa"/>
          </w:tcPr>
          <w:p w:rsidR="00D849AA" w:rsidRDefault="00EE6D95">
            <w:r>
              <w:t>250</w:t>
            </w:r>
          </w:p>
        </w:tc>
        <w:tc>
          <w:tcPr>
            <w:tcW w:w="1486" w:type="dxa"/>
          </w:tcPr>
          <w:p w:rsidR="00D849AA" w:rsidRDefault="00EE6D95">
            <w:r>
              <w:t>280</w:t>
            </w:r>
          </w:p>
        </w:tc>
      </w:tr>
    </w:tbl>
    <w:p w:rsidR="00D849AA" w:rsidRDefault="00D849AA">
      <w:pPr>
        <w:jc w:val="left"/>
      </w:pPr>
    </w:p>
    <w:p w:rsidR="00D849AA" w:rsidRDefault="00EE6D95">
      <w:pPr>
        <w:pStyle w:val="Naslov6"/>
      </w:pPr>
      <w:r>
        <w:lastRenderedPageBreak/>
        <w:t>K688056 INFORMATIZACIJA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K688056</w:t>
            </w:r>
          </w:p>
        </w:tc>
        <w:tc>
          <w:tcPr>
            <w:tcW w:w="1486" w:type="dxa"/>
          </w:tcPr>
          <w:p w:rsidR="00D849AA" w:rsidRDefault="00EE6D95">
            <w:r>
              <w:t>39.868.150</w:t>
            </w:r>
          </w:p>
        </w:tc>
        <w:tc>
          <w:tcPr>
            <w:tcW w:w="1486" w:type="dxa"/>
          </w:tcPr>
          <w:p w:rsidR="00D849AA" w:rsidRDefault="00EE6D95">
            <w:r>
              <w:t>50.186.150</w:t>
            </w:r>
          </w:p>
        </w:tc>
        <w:tc>
          <w:tcPr>
            <w:tcW w:w="1486" w:type="dxa"/>
          </w:tcPr>
          <w:p w:rsidR="00D849AA" w:rsidRDefault="00EE6D95">
            <w:r>
              <w:t>48.373.250</w:t>
            </w:r>
          </w:p>
        </w:tc>
        <w:tc>
          <w:tcPr>
            <w:tcW w:w="1486" w:type="dxa"/>
          </w:tcPr>
          <w:p w:rsidR="00D849AA" w:rsidRDefault="00EE6D95">
            <w:r>
              <w:t>46.987.950</w:t>
            </w:r>
          </w:p>
        </w:tc>
        <w:tc>
          <w:tcPr>
            <w:tcW w:w="1486" w:type="dxa"/>
          </w:tcPr>
          <w:p w:rsidR="00D849AA" w:rsidRDefault="00EE6D95">
            <w:r>
              <w:t>125,9</w:t>
            </w:r>
          </w:p>
        </w:tc>
      </w:tr>
    </w:tbl>
    <w:p w:rsidR="00D849AA" w:rsidRDefault="00D849AA">
      <w:pPr>
        <w:jc w:val="left"/>
      </w:pPr>
    </w:p>
    <w:p w:rsidR="00D849AA" w:rsidRDefault="00EE6D95">
      <w:pPr>
        <w:pStyle w:val="Normal6"/>
      </w:pPr>
      <w:r>
        <w:t xml:space="preserve">Kapitalni projekt K688056 Informatizacija sastoji se od usluga tekućeg i investicijskog održavanja informatičke opreme i softvera, licenci i najma softvera, računalnih usluga, računalne opreme te ulaganja u nove računalne programe. </w:t>
      </w:r>
    </w:p>
    <w:p w:rsidR="00D849AA" w:rsidRDefault="00EE6D95">
      <w:pPr>
        <w:pStyle w:val="Normal6"/>
      </w:pPr>
      <w:r>
        <w:t xml:space="preserve">Radi unapređenja poslovanja Zavoda i jednostavnije dostupnosti usluga svim građanima, u Zavodu će se poduzimati niz aktivnosti utvrđenih strateškim dokumentima čije se donošenje očekuje do kraja 2013. Naglasak će se staviti na unapređenje poslovanja primjenom modernih informatičkih rješenja (poslovanje putem Interneta, elektronička razmjena podataka, i dr.).   </w:t>
      </w:r>
    </w:p>
    <w:p w:rsidR="00D849AA" w:rsidRDefault="00EE6D95">
      <w:pPr>
        <w:pStyle w:val="Normal6"/>
      </w:pPr>
      <w:r>
        <w:t xml:space="preserve">U svrhu jednostavnijeg postupka prijave i odjave zaposlenika, jednostavnijeg poslovanja i uštede vremena, nastavit će se raditi na modernizaciji i proširenju funkcionalnosti aplikacije e-mirovinsko. Planira se i zakonski obvezati poslodavce na korištenje usluge e-mirovinsko.  </w:t>
      </w:r>
    </w:p>
    <w:p w:rsidR="00D849AA" w:rsidRDefault="00EE6D95">
      <w:pPr>
        <w:pStyle w:val="Normal6"/>
      </w:pPr>
      <w:r>
        <w:t xml:space="preserve">Također se planira u potpunosti izgraditi informacijsko-komunikacijsku infrastrukturu koja će omogućiti primjenu strategije E-uprave i uključivanje Zavoda u projekt E-građanin. </w:t>
      </w:r>
    </w:p>
    <w:p w:rsidR="00D849AA" w:rsidRDefault="00EE6D95">
      <w:pPr>
        <w:pStyle w:val="Normal6"/>
      </w:pPr>
      <w:r>
        <w:t xml:space="preserve">Mogućnost razmjene podataka s nadležnim ustanovama EU je uvjet za primjenu pravnih propisa EU za koordinaciju sustava socijalne sigurnosti, zbog čega je potrebno u sljedećem razdoblju standardizirati i ažurirati baze podataka koji će se elektronički razmjenjivati, te utvrditi postupke i učinkovit nadzor razmjene podataka. Za elektroničku razmjenu podataka unutar intraneta EU (EESSI sustav) Zavod će u potpunosti biti osposobljen s početkom rada EESSI sustava. </w:t>
      </w:r>
    </w:p>
    <w:p w:rsidR="00D849AA" w:rsidRDefault="00EE6D95">
      <w:pPr>
        <w:pStyle w:val="Normal6"/>
      </w:pPr>
      <w:r>
        <w:t>Također će se nastaviti razvijati projekti u cilju pojednostavljenja i ubrzanja poslovnih procesa Zavoda, a najznačajniji su: Elektronički sustav za upravljanje dokumentacijom (ESUD) u sklopu kojeg se planira uvesti e-spis u sve organizacijske jedinice Zavoda, prelazak s hijerarhijskog na relacijski model baza podataka koji će omogućiti jednostavniji razvoj i održavanje baza podataka i aplikacija u poslovnom sustavu Zavoda, uspostava sustava arhiviranja e-gradiva (elektroničkog arhiva Zavoda u kojem će se pohranjivati e-dokumentacija), izgradnja web servisa koji će omogućiti on-line razmjenu podataka između Zavoda i drugih tijela državne i javne vlasti, provedba propisa EU na području koordinacije sustava mirovinskog osiguranja, doplatka za djecu i određivanja mjerodavnog zakonodavstva te dovršetak potrebne infrastrukture za implementaciju EESSI sustava.</w:t>
      </w:r>
    </w:p>
    <w:p w:rsidR="007F25F6" w:rsidRDefault="007F25F6">
      <w:pPr>
        <w:pStyle w:val="Normal6"/>
      </w:pP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61"/>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 xml:space="preserve">Povećanje udjela  prijava putem usluge e-mirovinsko u ukupnom broju </w:t>
            </w:r>
            <w:r>
              <w:lastRenderedPageBreak/>
              <w:t>zaprimljenih prijava</w:t>
            </w:r>
          </w:p>
        </w:tc>
        <w:tc>
          <w:tcPr>
            <w:tcW w:w="1114" w:type="dxa"/>
          </w:tcPr>
          <w:p w:rsidR="00D849AA" w:rsidRDefault="00EE6D95">
            <w:r>
              <w:lastRenderedPageBreak/>
              <w:t>%</w:t>
            </w:r>
          </w:p>
        </w:tc>
        <w:tc>
          <w:tcPr>
            <w:tcW w:w="1114" w:type="dxa"/>
          </w:tcPr>
          <w:p w:rsidR="00D849AA" w:rsidRDefault="00EE6D95">
            <w:r>
              <w:t>8,7%</w:t>
            </w:r>
          </w:p>
        </w:tc>
        <w:tc>
          <w:tcPr>
            <w:tcW w:w="1486" w:type="dxa"/>
          </w:tcPr>
          <w:p w:rsidR="00D849AA" w:rsidRDefault="00EE6D95">
            <w:r>
              <w:t>85%</w:t>
            </w:r>
          </w:p>
        </w:tc>
        <w:tc>
          <w:tcPr>
            <w:tcW w:w="1486" w:type="dxa"/>
          </w:tcPr>
          <w:p w:rsidR="00D849AA" w:rsidRDefault="00EE6D95">
            <w:r>
              <w:t>90%</w:t>
            </w:r>
          </w:p>
        </w:tc>
        <w:tc>
          <w:tcPr>
            <w:tcW w:w="1486" w:type="dxa"/>
          </w:tcPr>
          <w:p w:rsidR="00D849AA" w:rsidRDefault="00EE6D95">
            <w:r>
              <w:t>95%</w:t>
            </w:r>
          </w:p>
        </w:tc>
      </w:tr>
      <w:tr w:rsidR="00D849AA">
        <w:trPr>
          <w:jc w:val="center"/>
        </w:trPr>
        <w:tc>
          <w:tcPr>
            <w:tcW w:w="2229" w:type="dxa"/>
          </w:tcPr>
          <w:p w:rsidR="00D849AA" w:rsidRDefault="00EE6D95">
            <w:pPr>
              <w:pStyle w:val="CellColumn"/>
            </w:pPr>
            <w:r>
              <w:lastRenderedPageBreak/>
              <w:t>Povećanje broja korisnika  koji imaju pristup osobnim podacima putem interneta</w:t>
            </w:r>
          </w:p>
        </w:tc>
        <w:tc>
          <w:tcPr>
            <w:tcW w:w="1114" w:type="dxa"/>
          </w:tcPr>
          <w:p w:rsidR="00D849AA" w:rsidRDefault="00EE6D95">
            <w:r>
              <w:t>broj (kumulativ)</w:t>
            </w:r>
          </w:p>
        </w:tc>
        <w:tc>
          <w:tcPr>
            <w:tcW w:w="1114" w:type="dxa"/>
          </w:tcPr>
          <w:p w:rsidR="00D849AA" w:rsidRDefault="00EE6D95">
            <w:r>
              <w:t>80000</w:t>
            </w:r>
          </w:p>
        </w:tc>
        <w:tc>
          <w:tcPr>
            <w:tcW w:w="1486" w:type="dxa"/>
          </w:tcPr>
          <w:p w:rsidR="00D849AA" w:rsidRDefault="00EE6D95">
            <w:r>
              <w:t>200000</w:t>
            </w:r>
          </w:p>
        </w:tc>
        <w:tc>
          <w:tcPr>
            <w:tcW w:w="1486" w:type="dxa"/>
          </w:tcPr>
          <w:p w:rsidR="00D849AA" w:rsidRDefault="00EE6D95">
            <w:r>
              <w:t>1500000</w:t>
            </w:r>
          </w:p>
        </w:tc>
        <w:tc>
          <w:tcPr>
            <w:tcW w:w="1486" w:type="dxa"/>
          </w:tcPr>
          <w:p w:rsidR="00D849AA" w:rsidRDefault="00EE6D95">
            <w:r>
              <w:t>1500000</w:t>
            </w:r>
          </w:p>
        </w:tc>
      </w:tr>
      <w:tr w:rsidR="00D849AA">
        <w:trPr>
          <w:jc w:val="center"/>
        </w:trPr>
        <w:tc>
          <w:tcPr>
            <w:tcW w:w="2229" w:type="dxa"/>
          </w:tcPr>
          <w:p w:rsidR="00D849AA" w:rsidRDefault="00EE6D95">
            <w:pPr>
              <w:pStyle w:val="CellColumn"/>
            </w:pPr>
            <w:r>
              <w:t>Izgradnja informatičko komunikacijske infrastrukture za primjenu strategije e-Uprave RH</w:t>
            </w:r>
          </w:p>
        </w:tc>
        <w:tc>
          <w:tcPr>
            <w:tcW w:w="1114" w:type="dxa"/>
          </w:tcPr>
          <w:p w:rsidR="00D849AA" w:rsidRDefault="00EE6D95">
            <w:r>
              <w:t xml:space="preserve">% </w:t>
            </w:r>
          </w:p>
          <w:p w:rsidR="00D849AA" w:rsidRDefault="00EE6D95">
            <w:r>
              <w:t>gotovosti</w:t>
            </w:r>
          </w:p>
        </w:tc>
        <w:tc>
          <w:tcPr>
            <w:tcW w:w="1114" w:type="dxa"/>
          </w:tcPr>
          <w:p w:rsidR="00D849AA" w:rsidRDefault="00EE6D95">
            <w:r>
              <w:t>90%</w:t>
            </w:r>
          </w:p>
        </w:tc>
        <w:tc>
          <w:tcPr>
            <w:tcW w:w="1486" w:type="dxa"/>
          </w:tcPr>
          <w:p w:rsidR="00D849AA" w:rsidRDefault="00EE6D95">
            <w:r>
              <w:t>95%</w:t>
            </w:r>
          </w:p>
        </w:tc>
        <w:tc>
          <w:tcPr>
            <w:tcW w:w="1486" w:type="dxa"/>
          </w:tcPr>
          <w:p w:rsidR="00D849AA" w:rsidRDefault="00EE6D95">
            <w:r>
              <w:t>96%</w:t>
            </w:r>
          </w:p>
        </w:tc>
        <w:tc>
          <w:tcPr>
            <w:tcW w:w="1486" w:type="dxa"/>
          </w:tcPr>
          <w:p w:rsidR="00D849AA" w:rsidRDefault="00EE6D95">
            <w:r>
              <w:t>98%</w:t>
            </w:r>
          </w:p>
        </w:tc>
      </w:tr>
      <w:tr w:rsidR="00D849AA">
        <w:trPr>
          <w:jc w:val="center"/>
        </w:trPr>
        <w:tc>
          <w:tcPr>
            <w:tcW w:w="2229" w:type="dxa"/>
          </w:tcPr>
          <w:p w:rsidR="00D849AA" w:rsidRDefault="00EE6D95">
            <w:pPr>
              <w:pStyle w:val="CellColumn"/>
            </w:pPr>
            <w:r>
              <w:t>Povećanje broja institucija s kojima HZMO razmjenjuje podatke elektroničkim putem</w:t>
            </w:r>
          </w:p>
        </w:tc>
        <w:tc>
          <w:tcPr>
            <w:tcW w:w="1114" w:type="dxa"/>
          </w:tcPr>
          <w:p w:rsidR="00D849AA" w:rsidRDefault="00EE6D95">
            <w:r>
              <w:t>broj institucija (kumulativ)</w:t>
            </w:r>
          </w:p>
        </w:tc>
        <w:tc>
          <w:tcPr>
            <w:tcW w:w="1114" w:type="dxa"/>
          </w:tcPr>
          <w:p w:rsidR="00D849AA" w:rsidRDefault="00EE6D95">
            <w:r>
              <w:t>30</w:t>
            </w:r>
          </w:p>
        </w:tc>
        <w:tc>
          <w:tcPr>
            <w:tcW w:w="1486" w:type="dxa"/>
          </w:tcPr>
          <w:p w:rsidR="00D849AA" w:rsidRDefault="00EE6D95">
            <w:r>
              <w:t>40</w:t>
            </w:r>
          </w:p>
        </w:tc>
        <w:tc>
          <w:tcPr>
            <w:tcW w:w="1486" w:type="dxa"/>
          </w:tcPr>
          <w:p w:rsidR="00D849AA" w:rsidRDefault="00EE6D95">
            <w:r>
              <w:t>50</w:t>
            </w:r>
          </w:p>
        </w:tc>
        <w:tc>
          <w:tcPr>
            <w:tcW w:w="1486" w:type="dxa"/>
          </w:tcPr>
          <w:p w:rsidR="00D849AA" w:rsidRDefault="00EE6D95">
            <w:r>
              <w:t>60</w:t>
            </w:r>
          </w:p>
        </w:tc>
      </w:tr>
    </w:tbl>
    <w:p w:rsidR="00D849AA" w:rsidRDefault="00D849AA">
      <w:pPr>
        <w:jc w:val="left"/>
      </w:pPr>
    </w:p>
    <w:p w:rsidR="000F7433" w:rsidRDefault="000F7433" w:rsidP="000F7433">
      <w:pPr>
        <w:pStyle w:val="Naslov4"/>
      </w:pPr>
      <w:r>
        <w:t>OBRAZLOŽENJE PROGRAMA</w:t>
      </w:r>
    </w:p>
    <w:p w:rsidR="00D849AA" w:rsidRDefault="00EE6D95">
      <w:pPr>
        <w:pStyle w:val="Naslov5"/>
      </w:pPr>
      <w:r>
        <w:t>4102 MIROVINE I MIROVINSKA PRIMANJA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4102</w:t>
            </w:r>
          </w:p>
        </w:tc>
        <w:tc>
          <w:tcPr>
            <w:tcW w:w="1486" w:type="dxa"/>
          </w:tcPr>
          <w:p w:rsidR="00D849AA" w:rsidRDefault="00EE6D95">
            <w:r>
              <w:t>35.661.975.347</w:t>
            </w:r>
          </w:p>
        </w:tc>
        <w:tc>
          <w:tcPr>
            <w:tcW w:w="1486" w:type="dxa"/>
          </w:tcPr>
          <w:p w:rsidR="00D849AA" w:rsidRDefault="00EE6D95">
            <w:r>
              <w:t>35.948.549.039</w:t>
            </w:r>
          </w:p>
        </w:tc>
        <w:tc>
          <w:tcPr>
            <w:tcW w:w="1486" w:type="dxa"/>
          </w:tcPr>
          <w:p w:rsidR="00D849AA" w:rsidRDefault="00EE6D95">
            <w:r>
              <w:t>36.226.696.060</w:t>
            </w:r>
          </w:p>
        </w:tc>
        <w:tc>
          <w:tcPr>
            <w:tcW w:w="1486" w:type="dxa"/>
          </w:tcPr>
          <w:p w:rsidR="00D849AA" w:rsidRDefault="00EE6D95">
            <w:r>
              <w:t>36.721.595.098</w:t>
            </w:r>
          </w:p>
        </w:tc>
        <w:tc>
          <w:tcPr>
            <w:tcW w:w="1486" w:type="dxa"/>
          </w:tcPr>
          <w:p w:rsidR="00D849AA" w:rsidRDefault="00EE6D95">
            <w:r>
              <w:t>100,8</w:t>
            </w:r>
          </w:p>
        </w:tc>
      </w:tr>
    </w:tbl>
    <w:p w:rsidR="00D849AA" w:rsidRDefault="00D849AA">
      <w:pPr>
        <w:jc w:val="left"/>
      </w:pPr>
    </w:p>
    <w:p w:rsidR="00D849AA" w:rsidRDefault="00EE6D95">
      <w:pPr>
        <w:pStyle w:val="Naslov6"/>
      </w:pPr>
      <w:r>
        <w:t>Opis programa</w:t>
      </w:r>
    </w:p>
    <w:p w:rsidR="00D849AA" w:rsidRDefault="00EE6D95">
      <w:pPr>
        <w:pStyle w:val="Normal5"/>
      </w:pPr>
      <w:r>
        <w:t>Program uključuje ukupne rashode za mirovine i mirovinska primanja na osnovu osiguranja i rashode za mirovine stečene pod povoljnijim uvjetima i prema posebnim propisima s uključenim naknadama poštama i bankama vezanim uz isplatu mirovina te osiguranje sredstava za doprinose na temelju individualne kapitalizirane štednje za pojedine kategorije osiguranika.</w:t>
      </w:r>
    </w:p>
    <w:p w:rsidR="00D849AA" w:rsidRDefault="00EE6D95">
      <w:pPr>
        <w:pStyle w:val="Naslov6"/>
      </w:pPr>
      <w:r>
        <w:t>Zakonske i druge pravne osnove</w:t>
      </w:r>
    </w:p>
    <w:p w:rsidR="00D849AA" w:rsidRDefault="00EE6D95">
      <w:pPr>
        <w:pStyle w:val="Normal5"/>
      </w:pPr>
      <w:r>
        <w:t xml:space="preserve">Zakon o mirovinskom osiguranju ("Narodne novine", br. 102/98., 127/00., 59/01., 109/01., 147/02., 117/03., 30/04., 177/04., 92/05., 43/07., 79/07., 35/08., 121/10., 130/10., 61/11., 114/11., 130/11. i 76/12.), Uredba o dopuni Zakona o mirovinskom osiguranju ("Narodne novine", br. 112/13.), Zakon o povećanju mirovina radi otklanjanja razlika u razini mirovina ostvarenih u različitim razdobljima ("Narodne novine", broj 127/00.), Zakon o dodatku na mirovine ostvarene prema Zakonu o mirovinskom osiguranju ("Narodne novine", broj 79/07. i 114/11.) i drugi posebni propisi prema kojima se prava iz mirovinskog osiguranja ostvaruju pod povoljnijim uvjetima i to: Zakon o pravima bivših političkih zatvorenika ("Narodne novine", br. 34/95., 164/98. i 109/01.), Zakon o pravima iz mirovinskog osiguranja djelatnih vojnih osoba, policijskih službenika i ovlaštenih službenih osoba ("Narodne novine", br. 128/99., 16/01., 16/01., 22/02. i 41/08.), Zakon o pravima i dužnostima zastupnika u Hrvatskom državnom saboru ("Narodne novine", br. 55/00., 107/01. 86/09., 91/10., 49/11. i 12/12.), Zakon o pravima hrvatskih branitelja iz Domovinskog rata i članova njihovih obitelji </w:t>
      </w:r>
      <w:r>
        <w:lastRenderedPageBreak/>
        <w:t>("Narodne novine", br. 174/04., 92/05., 107/07., 65/09, 137/09., 146/10., 55/11. i 140/12.), Zakon o Hrvatskoj akademiji znanosti i umjetnosti ("Narodne novine", br. 34/91., 43/96., 150/02. i 65/09.), Zakon o uvjetima za stjecanje prava na starosnu mirovinu radnika profesionalno izloženih azbestu ("Narodne novine", broj 79/07., 149/09. i 139/10.) te međunarodni ugovori o socijalnom osiguranju koje je R. Hrvatska sklopila s drugim državama ili preuzela, npr. Ugovor između Republike Hrvatske i Bosne i Hercegovine o suradnji na području prava stradalnika rata u Bosni i Hercegovini koji su bili pripadnici hrvatskog vijeća obrane i članova njihovih obitelji (HVO) i dr. te Zakon o doprinosima ("Narodne novine", br. 84/08., 152/08., 94/09., 18/11. i 22/12.).</w:t>
      </w:r>
    </w:p>
    <w:p w:rsidR="00D849AA" w:rsidRDefault="00EE6D95">
      <w:pPr>
        <w:pStyle w:val="Naslov5"/>
      </w:pPr>
      <w:r>
        <w:t>Procjena i ishodište potrebnih sredstava za značajnije aktivnosti/projekte</w:t>
      </w:r>
    </w:p>
    <w:p w:rsidR="00D849AA" w:rsidRDefault="00EE6D95">
      <w:pPr>
        <w:pStyle w:val="Naslov6"/>
      </w:pPr>
      <w:r>
        <w:t>A688046 MIROVINE NA TEMELJU OSIGURANJA - STAROSNE MIROVINE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A688046</w:t>
            </w:r>
          </w:p>
        </w:tc>
        <w:tc>
          <w:tcPr>
            <w:tcW w:w="1486" w:type="dxa"/>
          </w:tcPr>
          <w:p w:rsidR="00D849AA" w:rsidRDefault="00EE6D95">
            <w:r>
              <w:t>18.132.024.547</w:t>
            </w:r>
          </w:p>
        </w:tc>
        <w:tc>
          <w:tcPr>
            <w:tcW w:w="1486" w:type="dxa"/>
          </w:tcPr>
          <w:p w:rsidR="00D849AA" w:rsidRDefault="00EE6D95">
            <w:r>
              <w:t>18.614.590.000</w:t>
            </w:r>
          </w:p>
        </w:tc>
        <w:tc>
          <w:tcPr>
            <w:tcW w:w="1486" w:type="dxa"/>
          </w:tcPr>
          <w:p w:rsidR="00D849AA" w:rsidRDefault="00EE6D95">
            <w:r>
              <w:t>18.957.000.000</w:t>
            </w:r>
          </w:p>
        </w:tc>
        <w:tc>
          <w:tcPr>
            <w:tcW w:w="1486" w:type="dxa"/>
          </w:tcPr>
          <w:p w:rsidR="00D849AA" w:rsidRDefault="00EE6D95">
            <w:r>
              <w:t>19.345.000.000</w:t>
            </w:r>
          </w:p>
        </w:tc>
        <w:tc>
          <w:tcPr>
            <w:tcW w:w="1486" w:type="dxa"/>
          </w:tcPr>
          <w:p w:rsidR="00D849AA" w:rsidRDefault="00EE6D95">
            <w:r>
              <w:t>102,7</w:t>
            </w:r>
          </w:p>
        </w:tc>
      </w:tr>
    </w:tbl>
    <w:p w:rsidR="00D849AA" w:rsidRDefault="00D849AA">
      <w:pPr>
        <w:jc w:val="left"/>
      </w:pPr>
    </w:p>
    <w:p w:rsidR="00D849AA" w:rsidRDefault="00EE6D95">
      <w:pPr>
        <w:pStyle w:val="Normal6"/>
      </w:pPr>
      <w:r>
        <w:t xml:space="preserve">U programu 4102 Mirovine i mirovinska primanja najznačajnija je aktivnost A688046 Mirovine na temelju osiguranja - starosne mirovine i čine 52% ukupnih rashoda za mirovine i mirovinska primanja.  </w:t>
      </w:r>
    </w:p>
    <w:p w:rsidR="00D849AA" w:rsidRDefault="00EE6D95">
      <w:pPr>
        <w:pStyle w:val="Normal6"/>
      </w:pPr>
      <w:r>
        <w:t xml:space="preserve">Ova aktivnost odnosi se na isplatu mirovina korisnicima starosne i prijevremene starosne mirovine koji su pravo na mirovinu ostvarili temeljem Zakona o mirovinskom osiguranju.  </w:t>
      </w:r>
    </w:p>
    <w:p w:rsidR="00D849AA" w:rsidRDefault="00EE6D95">
      <w:pPr>
        <w:pStyle w:val="Normal6"/>
      </w:pPr>
      <w:r>
        <w:t>U listopadu 2013. bilo je 653 508  korisnika starosne mirovine sa prosječnom mirovinom od 2.437,95 kn.</w:t>
      </w:r>
    </w:p>
    <w:p w:rsidR="00D849AA" w:rsidRDefault="00EE6D95">
      <w:pPr>
        <w:pStyle w:val="Naslov6"/>
      </w:pPr>
      <w:r>
        <w:t>A688047 MIROVINE NA TEMELJU OSIGURANJA - INVALIDSKE MIROVINE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A688047</w:t>
            </w:r>
          </w:p>
        </w:tc>
        <w:tc>
          <w:tcPr>
            <w:tcW w:w="1486" w:type="dxa"/>
          </w:tcPr>
          <w:p w:rsidR="00D849AA" w:rsidRDefault="00EE6D95">
            <w:r>
              <w:t>5.810.000.000</w:t>
            </w:r>
          </w:p>
        </w:tc>
        <w:tc>
          <w:tcPr>
            <w:tcW w:w="1486" w:type="dxa"/>
          </w:tcPr>
          <w:p w:rsidR="00D849AA" w:rsidRDefault="00EE6D95">
            <w:r>
              <w:t>5.690.985.000</w:t>
            </w:r>
          </w:p>
        </w:tc>
        <w:tc>
          <w:tcPr>
            <w:tcW w:w="1486" w:type="dxa"/>
          </w:tcPr>
          <w:p w:rsidR="00D849AA" w:rsidRDefault="00EE6D95">
            <w:r>
              <w:t>5.731.000.000</w:t>
            </w:r>
          </w:p>
        </w:tc>
        <w:tc>
          <w:tcPr>
            <w:tcW w:w="1486" w:type="dxa"/>
          </w:tcPr>
          <w:p w:rsidR="00D849AA" w:rsidRDefault="00EE6D95">
            <w:r>
              <w:t>5.816.000.000</w:t>
            </w:r>
          </w:p>
        </w:tc>
        <w:tc>
          <w:tcPr>
            <w:tcW w:w="1486" w:type="dxa"/>
          </w:tcPr>
          <w:p w:rsidR="00D849AA" w:rsidRDefault="00EE6D95">
            <w:r>
              <w:t>98,0</w:t>
            </w:r>
          </w:p>
        </w:tc>
      </w:tr>
    </w:tbl>
    <w:p w:rsidR="00D849AA" w:rsidRDefault="00D849AA">
      <w:pPr>
        <w:jc w:val="left"/>
      </w:pPr>
    </w:p>
    <w:p w:rsidR="00D849AA" w:rsidRDefault="00EE6D95">
      <w:pPr>
        <w:pStyle w:val="Normal6"/>
      </w:pPr>
      <w:r>
        <w:t xml:space="preserve">U programu 4102 Mirovine i mirovinska primanja značajna je aktivnost A688047 Mirovine na temelju osiguranja - invalidske mirovine koja čini 16% ukupnih rashoda za mirovine i mirovinska primanja. </w:t>
      </w:r>
    </w:p>
    <w:p w:rsidR="00D849AA" w:rsidRDefault="00EE6D95">
      <w:pPr>
        <w:pStyle w:val="Normal6"/>
      </w:pPr>
      <w:r>
        <w:t>Ova aktivnost odnosi se na isplatu mirovina korisnicima invalidske mirovine temeljem Zakona o mirovinskom osiguranju a kojima je invaliditet nastao zbog bolesti, ozljede izvan rada, ozljede na radu ili profesionalne bolesti. U listopadu 2013. bilo je 239 144 korisnika invalidske mirovine sa prosječnom mirovinom od 1.975,91 kn.</w:t>
      </w:r>
    </w:p>
    <w:p w:rsidR="00D849AA" w:rsidRDefault="00EE6D95">
      <w:pPr>
        <w:pStyle w:val="Naslov6"/>
      </w:pPr>
      <w:r>
        <w:t>A753010 MIROVINE HRVATSKIH BRANITELJA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A753010</w:t>
            </w:r>
          </w:p>
        </w:tc>
        <w:tc>
          <w:tcPr>
            <w:tcW w:w="1486" w:type="dxa"/>
          </w:tcPr>
          <w:p w:rsidR="00D849AA" w:rsidRDefault="00EE6D95">
            <w:r>
              <w:t>4.833.000.000</w:t>
            </w:r>
          </w:p>
        </w:tc>
        <w:tc>
          <w:tcPr>
            <w:tcW w:w="1486" w:type="dxa"/>
          </w:tcPr>
          <w:p w:rsidR="00D849AA" w:rsidRDefault="00EE6D95">
            <w:r>
              <w:t>4.818.000.000</w:t>
            </w:r>
          </w:p>
        </w:tc>
        <w:tc>
          <w:tcPr>
            <w:tcW w:w="1486" w:type="dxa"/>
          </w:tcPr>
          <w:p w:rsidR="00D849AA" w:rsidRDefault="00EE6D95">
            <w:r>
              <w:t>4.787.896.060</w:t>
            </w:r>
          </w:p>
        </w:tc>
        <w:tc>
          <w:tcPr>
            <w:tcW w:w="1486" w:type="dxa"/>
          </w:tcPr>
          <w:p w:rsidR="00D849AA" w:rsidRDefault="00EE6D95">
            <w:r>
              <w:t>4.805.000.000</w:t>
            </w:r>
          </w:p>
        </w:tc>
        <w:tc>
          <w:tcPr>
            <w:tcW w:w="1486" w:type="dxa"/>
          </w:tcPr>
          <w:p w:rsidR="00D849AA" w:rsidRDefault="00EE6D95">
            <w:r>
              <w:t>99,7</w:t>
            </w:r>
          </w:p>
        </w:tc>
      </w:tr>
    </w:tbl>
    <w:p w:rsidR="00D849AA" w:rsidRDefault="00D849AA">
      <w:pPr>
        <w:jc w:val="left"/>
      </w:pPr>
    </w:p>
    <w:p w:rsidR="00D849AA" w:rsidRDefault="00EE6D95">
      <w:pPr>
        <w:pStyle w:val="Normal6"/>
      </w:pPr>
      <w:r>
        <w:lastRenderedPageBreak/>
        <w:t xml:space="preserve">Hrvatski branitelji iz Domovinskog rata i članovi njihovih obitelji ostvaruju prava iz mirovinskog osiguranja na temelju Zakonom o pravima hrvatskih branitelja iz Domovinskog rata i članova njihovih obitelji («Narodne novine», br. 174/04., 92/05., 2/07., 107/07., 65/09. i 137/09. ), koji je u primjeni od 1. siječnja 2005. </w:t>
      </w:r>
    </w:p>
    <w:p w:rsidR="00D849AA" w:rsidRDefault="00EE6D95">
      <w:pPr>
        <w:pStyle w:val="Normal6"/>
      </w:pPr>
      <w:r>
        <w:t xml:space="preserve">Udio rashoda za isplatu mirovina hrvatskih branitelja u ukupnim rashodima za mirovine i mirovinska primanja iznosi oko 13%. </w:t>
      </w:r>
    </w:p>
    <w:p w:rsidR="00D849AA" w:rsidRDefault="00EE6D95">
      <w:pPr>
        <w:pStyle w:val="Normal6"/>
      </w:pPr>
      <w:r>
        <w:t>U listopadu 2013. bilo je 72 500 korisnika ovih mirovina sa prosječnom mirovinom od 5.442,36 kn.</w:t>
      </w:r>
    </w:p>
    <w:p w:rsidR="00D849AA" w:rsidRDefault="00EE6D95">
      <w:pPr>
        <w:pStyle w:val="Naslov2"/>
      </w:pPr>
      <w:r>
        <w:t>08625 Hrvatski zavod za zapošljavanje</w:t>
      </w:r>
    </w:p>
    <w:p w:rsidR="00D849AA" w:rsidRDefault="00EE6D95">
      <w:pPr>
        <w:pStyle w:val="Naslov4"/>
      </w:pPr>
      <w:r>
        <w:t>Uvod</w:t>
      </w:r>
    </w:p>
    <w:p w:rsidR="00D849AA" w:rsidRDefault="00EE6D95">
      <w:pPr>
        <w:pStyle w:val="Normal3"/>
      </w:pPr>
      <w:r>
        <w:t xml:space="preserve">Hrvatski zavod za zapošljavanje je javna ustanova osnovana Zakonom o posredovanju pri zapošljavanju i pravima za vrijeme nezaposlenosti. U okviru svoje djelatnosti Zavod obavlja poslove praćenja, analiziranja i istraživanja gospodarskih, socijalnih i drugih kretanja, zaposlenosti, zapošljavanja i nezaposlenosti, te njihove međusobne utjecaje na temelju čega predlaže mjere za unapređenje zapošljavanja; vodi evidencije o nezaposlenim osobama, posreduje pri zapošljavanju između poslodavaca i osoba koje traže zaposlenje, prati potrebe za radnicima, njihovo zapošljavanje te u tom smislu surađuje s poslodavcima; u suradnji s poslodavcima, obrazovnim ustanovama i drugim pravnim osobama organizira i provodi programe profesionalnog usmjeravanja, obrazovanja te druge oblike aktivne politike zapošljavanja; rješava o pravima po osnovi nezaposlenosti i obavlja mnoge druge poslove. </w:t>
      </w:r>
    </w:p>
    <w:p w:rsidR="00D849AA" w:rsidRDefault="00EE6D95">
      <w:pPr>
        <w:pStyle w:val="Normal3"/>
      </w:pPr>
      <w:r>
        <w:t xml:space="preserve">Temeljem svog analitičko-statističkog i istraživačkog rada, te praćenja kretanja na tržištu rada Zavod daje podloge za donošenje strateških odluka u području rada i zapošljavanja. U skladu s tim temeljna usmjerenja Zavoda su praćenje i povezivanje svih zainteresiranih strana na tržištu rada; orijentiranost na klijente: na prvom mjestu poslodavce i nezaposlene osobe, te ostale tražitelje zaposlenja; orijentiranost na politiku zapošljavanja, a ne samo osiguranje socijalnih – materijalnih i nematerijalnih prava; praćenje svjetskih i europskih trendova modernog tržišta rada uz aktivnu ulogu svakog pojedinaca; otvorenost ka učenju, unaprjeđenju postojećih i usvajanju novih znanja iz područja tržišta rada. </w:t>
      </w:r>
    </w:p>
    <w:p w:rsidR="00D849AA" w:rsidRDefault="00EE6D95">
      <w:pPr>
        <w:pStyle w:val="Normal3"/>
      </w:pPr>
      <w:r>
        <w:t>U uvjetima gospodarske i financijske krize koju prati i porast nezaposlenosti, na aktivnosti Hrvatskoga zavoda za zapošljavanje u slijedećem trogodišnjem razdoblju i na potrebna financijska sredstva za njihovo provođenje značajno će utjecati broj nezaposlenih osoba prijavljenih u evidenciju Zavoda. Iz navedenih razloga ukupno planirani rashodi Zavoda za 2014. godini približno su na razini planiranih sredstava u tekućoj godini. Planiranim sredstvima osigurava se isplata novčanih naknada i drugih prava nezaposlenih osoba radi osiguranja njihove socijalne sigurnosti; provode mjere aktivne politike zapošljavanja s ciljem poticanja zapošljavanja, skraćivanja vremena nezaposlenosti, očuvanja radnih mjesta te podizanja konkurentnosti radne snage i  smanjenja nerazmjera ponude i potražnje na tržištu rada.</w:t>
      </w:r>
    </w:p>
    <w:p w:rsidR="007F25F6" w:rsidRDefault="007F25F6">
      <w:pPr>
        <w:pStyle w:val="Normal3"/>
      </w:pP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08625</w:t>
            </w:r>
          </w:p>
        </w:tc>
        <w:tc>
          <w:tcPr>
            <w:tcW w:w="1486" w:type="dxa"/>
          </w:tcPr>
          <w:p w:rsidR="00D849AA" w:rsidRDefault="00EE6D95">
            <w:r>
              <w:t>2.117.933.950</w:t>
            </w:r>
          </w:p>
        </w:tc>
        <w:tc>
          <w:tcPr>
            <w:tcW w:w="1486" w:type="dxa"/>
          </w:tcPr>
          <w:p w:rsidR="00D849AA" w:rsidRDefault="00EE6D95">
            <w:r>
              <w:t>2.050.777.491</w:t>
            </w:r>
          </w:p>
        </w:tc>
        <w:tc>
          <w:tcPr>
            <w:tcW w:w="1486" w:type="dxa"/>
          </w:tcPr>
          <w:p w:rsidR="00D849AA" w:rsidRDefault="00EE6D95">
            <w:r>
              <w:t>1.977.313.034</w:t>
            </w:r>
          </w:p>
        </w:tc>
        <w:tc>
          <w:tcPr>
            <w:tcW w:w="1486" w:type="dxa"/>
          </w:tcPr>
          <w:p w:rsidR="00D849AA" w:rsidRDefault="00EE6D95">
            <w:r>
              <w:t>1.910.493.332</w:t>
            </w:r>
          </w:p>
        </w:tc>
        <w:tc>
          <w:tcPr>
            <w:tcW w:w="1486" w:type="dxa"/>
          </w:tcPr>
          <w:p w:rsidR="00D849AA" w:rsidRDefault="00EE6D95">
            <w:r>
              <w:t>96,8</w:t>
            </w:r>
          </w:p>
        </w:tc>
      </w:tr>
    </w:tbl>
    <w:p w:rsidR="00D849AA" w:rsidRDefault="00D849AA">
      <w:pPr>
        <w:jc w:val="left"/>
      </w:pPr>
    </w:p>
    <w:p w:rsidR="00D849AA" w:rsidRDefault="00EE6D95">
      <w:pPr>
        <w:pStyle w:val="Naslov4"/>
      </w:pPr>
      <w:r>
        <w:lastRenderedPageBreak/>
        <w:t>OBRAZLOŽENJE PROGRAMA</w:t>
      </w:r>
    </w:p>
    <w:p w:rsidR="00D849AA" w:rsidRDefault="00EE6D95">
      <w:pPr>
        <w:pStyle w:val="Naslov5"/>
      </w:pPr>
      <w:r>
        <w:t>3301 AKTIVNA POLITIKA TRŽIŠTA RADA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3301</w:t>
            </w:r>
          </w:p>
        </w:tc>
        <w:tc>
          <w:tcPr>
            <w:tcW w:w="1486" w:type="dxa"/>
          </w:tcPr>
          <w:p w:rsidR="00D849AA" w:rsidRDefault="00EE6D95">
            <w:r>
              <w:t>840.182.950</w:t>
            </w:r>
          </w:p>
        </w:tc>
        <w:tc>
          <w:tcPr>
            <w:tcW w:w="1486" w:type="dxa"/>
          </w:tcPr>
          <w:p w:rsidR="00D849AA" w:rsidRDefault="00EE6D95">
            <w:r>
              <w:t>839.673.000</w:t>
            </w:r>
          </w:p>
        </w:tc>
        <w:tc>
          <w:tcPr>
            <w:tcW w:w="1486" w:type="dxa"/>
          </w:tcPr>
          <w:p w:rsidR="00D849AA" w:rsidRDefault="00EE6D95">
            <w:r>
              <w:t>763.751.000</w:t>
            </w:r>
          </w:p>
        </w:tc>
        <w:tc>
          <w:tcPr>
            <w:tcW w:w="1486" w:type="dxa"/>
          </w:tcPr>
          <w:p w:rsidR="00D849AA" w:rsidRDefault="00EE6D95">
            <w:r>
              <w:t>812.794.192</w:t>
            </w:r>
          </w:p>
        </w:tc>
        <w:tc>
          <w:tcPr>
            <w:tcW w:w="1486" w:type="dxa"/>
          </w:tcPr>
          <w:p w:rsidR="00D849AA" w:rsidRDefault="00EE6D95">
            <w:r>
              <w:t>99,9</w:t>
            </w:r>
          </w:p>
        </w:tc>
      </w:tr>
    </w:tbl>
    <w:p w:rsidR="00D849AA" w:rsidRDefault="00D849AA">
      <w:pPr>
        <w:jc w:val="left"/>
      </w:pPr>
    </w:p>
    <w:p w:rsidR="00D849AA" w:rsidRDefault="00EE6D95">
      <w:pPr>
        <w:pStyle w:val="Naslov6"/>
      </w:pPr>
      <w:r>
        <w:t>Opis programa</w:t>
      </w:r>
    </w:p>
    <w:p w:rsidR="00D849AA" w:rsidRDefault="00EE6D95">
      <w:pPr>
        <w:pStyle w:val="Normal5"/>
      </w:pPr>
      <w:r>
        <w:t xml:space="preserve">Hrvatski zavod za zapošljavanje, uz druge nadležne pravne osobe, provodi politike zapošljavanja kojima snažno utječe na konkurentnost gospodarstva zemlje. Borba protiv nezaposlenosti i nastavak reformi tržišta rada zahtijeva fokusiranje na poticanje zaposlenosti i aktivnosti koje su usmjerene na skraćivanje razdoblja nezaposlenosti te na kontinuirano podizanje konkurentnosti i zapošljivosti radne snage. </w:t>
      </w:r>
    </w:p>
    <w:p w:rsidR="00D849AA" w:rsidRDefault="00EE6D95">
      <w:pPr>
        <w:pStyle w:val="Normal5"/>
      </w:pPr>
      <w:r>
        <w:t>Mjerama aktivne politike zapošljavanja nastoji se pomoći nezaposlenima da se ponovno zaposle, da uđu u svijet obrazovanja radi stjecanja znanja i vještina potrebnih za tržište rada kako bi se podigla razina njihove zapošljivosti, a zaposlenima da zadrže svoj posao.</w:t>
      </w:r>
    </w:p>
    <w:p w:rsidR="00D849AA" w:rsidRDefault="00EE6D95">
      <w:pPr>
        <w:pStyle w:val="Naslov6"/>
      </w:pPr>
      <w:r>
        <w:t>Zakonske i druge pravne osnove</w:t>
      </w:r>
    </w:p>
    <w:p w:rsidR="00D849AA" w:rsidRDefault="00EE6D95">
      <w:pPr>
        <w:pStyle w:val="Normal5"/>
      </w:pPr>
      <w:r>
        <w:t xml:space="preserve">• Zakon o posredovanju pri zapošljavanju i pravima za vrijeme nezaposlenosti („Narodne novine“ broj 80/08, 121/10, 25/12, 118/12 i 12/13 – pročišćeni tekst); </w:t>
      </w:r>
    </w:p>
    <w:p w:rsidR="00D849AA" w:rsidRDefault="00EE6D95">
      <w:pPr>
        <w:pStyle w:val="Normal5"/>
      </w:pPr>
      <w:r>
        <w:t xml:space="preserve">• Zakon o poticanju zapošljavanja („Narodne novine broj 57/12, 120/12); </w:t>
      </w:r>
    </w:p>
    <w:p w:rsidR="00D849AA" w:rsidRDefault="00EE6D95">
      <w:pPr>
        <w:pStyle w:val="Normal5"/>
      </w:pPr>
      <w:r>
        <w:t>• Akcijskom planu Desetljeća za uključivanje Roma 2005. – 2015.</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Cilj 1. Osigurati pokretljivu i konkurentnu radnu snagu</w:t>
      </w:r>
    </w:p>
    <w:p w:rsidR="00D849AA" w:rsidRDefault="00EE6D95">
      <w:pPr>
        <w:pStyle w:val="Normal6"/>
      </w:pPr>
      <w:r>
        <w:t xml:space="preserve">Konkurentno tržište rada moguće je ostvariti povećanjem sudjelovanja na tržištu rada nezaposlenih, neaktivnih ili osoba koje su dugo izvan svijeta rada, jačanjem njihovih kompetencija te stručnih znanja i vještina potrebnih gospodarstvu. Zapošljavanje kroz javne radove kao i zapošljavanje uz potpore za zapošljavanje omogućuje teže zapošljivim osobama stjecanje radnih vještina kod poslodavca, te omogućuje ostanak u zaposlenosti i nakon perioda sufinanciranja. Stručnim osposobljavanjem za rad bez zasnivanja radnog odnosa omogućuje se mladim osobama stjecanje potrebnog radnog iskustva za zapošljavanje. Obrazovanjem nezaposlenih osoba povećavaju se stručna znanja i vještine, usklađuje ponuda sa potražnjom na lokalnim tržištima rada, a ujedno se osobe pripremaju za razdoblje nakon izlaska iz gospodarske krize. </w:t>
      </w:r>
    </w:p>
    <w:p w:rsidR="00D849AA" w:rsidRDefault="00EE6D95">
      <w:pPr>
        <w:pStyle w:val="Normal6"/>
      </w:pPr>
      <w:r>
        <w:t>Važno je također nastaviti provoditi godišnja istraživanja o budućim potrebama na tržištu rada, razvijati institucije na tržištu rada te lokalna partnerstva kao ključne dionike generiranja mjera politike tržišta rada krojenih prema potrebama lokalnog gospodarstva. Posebno je važno jačati institucije i dionike na tržištu rada kako bi aktivnosti u provedbi mjera politika tržišta rada projektno koncipirati i za to koristili sredstva Europske unije. Ključnu ulogu u jačanju institucije ima trening radnika Zavoda organizirane od strane internih trenera ili vanjskih predavača, razvoj informacijsko komunikacijskog sustava, uvođenje novih procedura rada, ali i suradnja s ostalim dionicima kroz održavanje konferencija, okruglih stolova, seminara te kreiranje zajedničkih projekata.</w:t>
      </w:r>
    </w:p>
    <w:p w:rsidR="00D849AA" w:rsidRDefault="00EE6D95">
      <w:pPr>
        <w:pStyle w:val="Naslov8"/>
        <w:jc w:val="left"/>
      </w:pPr>
      <w:r>
        <w:lastRenderedPageBreak/>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Postotak povećanja zapošljavanja osoba uključenih u mjere tržišta rada 12 mjeseci nakon intervencije</w:t>
            </w:r>
          </w:p>
        </w:tc>
        <w:tc>
          <w:tcPr>
            <w:tcW w:w="1114" w:type="dxa"/>
          </w:tcPr>
          <w:p w:rsidR="00D849AA" w:rsidRDefault="00EE6D95">
            <w:r>
              <w:t>%</w:t>
            </w:r>
          </w:p>
        </w:tc>
        <w:tc>
          <w:tcPr>
            <w:tcW w:w="1114" w:type="dxa"/>
          </w:tcPr>
          <w:p w:rsidR="00D849AA" w:rsidRDefault="00EE6D95">
            <w:r>
              <w:t>30</w:t>
            </w:r>
          </w:p>
        </w:tc>
        <w:tc>
          <w:tcPr>
            <w:tcW w:w="1486" w:type="dxa"/>
          </w:tcPr>
          <w:p w:rsidR="00D849AA" w:rsidRDefault="00EE6D95">
            <w:r>
              <w:t>35</w:t>
            </w:r>
          </w:p>
        </w:tc>
        <w:tc>
          <w:tcPr>
            <w:tcW w:w="1486" w:type="dxa"/>
          </w:tcPr>
          <w:p w:rsidR="00D849AA" w:rsidRDefault="00EE6D95">
            <w:r>
              <w:t>40</w:t>
            </w:r>
          </w:p>
        </w:tc>
        <w:tc>
          <w:tcPr>
            <w:tcW w:w="1486" w:type="dxa"/>
          </w:tcPr>
          <w:p w:rsidR="00D849AA" w:rsidRDefault="00EE6D95">
            <w:r>
              <w:t>50</w:t>
            </w:r>
          </w:p>
        </w:tc>
      </w:tr>
    </w:tbl>
    <w:p w:rsidR="00D849AA" w:rsidRDefault="00D849AA">
      <w:pPr>
        <w:jc w:val="left"/>
      </w:pPr>
    </w:p>
    <w:p w:rsidR="00D849AA" w:rsidRDefault="00EE6D95">
      <w:pPr>
        <w:pStyle w:val="Naslov5"/>
      </w:pPr>
      <w:r>
        <w:t>Procjena i ishodište potrebnih sredstava za značajnije aktivnosti/projekte</w:t>
      </w:r>
    </w:p>
    <w:p w:rsidR="00D849AA" w:rsidRDefault="00EE6D95">
      <w:pPr>
        <w:pStyle w:val="Naslov6"/>
      </w:pPr>
      <w:r>
        <w:t>A689023 AKTIVNA POLITIKA ZAPOŠLJAVANJA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A689023</w:t>
            </w:r>
          </w:p>
        </w:tc>
        <w:tc>
          <w:tcPr>
            <w:tcW w:w="1486" w:type="dxa"/>
          </w:tcPr>
          <w:p w:rsidR="00D849AA" w:rsidRDefault="00EE6D95">
            <w:r>
              <w:t>511.638.767</w:t>
            </w:r>
          </w:p>
        </w:tc>
        <w:tc>
          <w:tcPr>
            <w:tcW w:w="1486" w:type="dxa"/>
          </w:tcPr>
          <w:p w:rsidR="00D849AA" w:rsidRDefault="00EE6D95">
            <w:r>
              <w:t>511.559.000</w:t>
            </w:r>
          </w:p>
        </w:tc>
        <w:tc>
          <w:tcPr>
            <w:tcW w:w="1486" w:type="dxa"/>
          </w:tcPr>
          <w:p w:rsidR="00D849AA" w:rsidRDefault="00EE6D95">
            <w:r>
              <w:t>480.600.000</w:t>
            </w:r>
          </w:p>
        </w:tc>
        <w:tc>
          <w:tcPr>
            <w:tcW w:w="1486" w:type="dxa"/>
          </w:tcPr>
          <w:p w:rsidR="00D849AA" w:rsidRDefault="00EE6D95">
            <w:r>
              <w:t>577.018.192</w:t>
            </w:r>
          </w:p>
        </w:tc>
        <w:tc>
          <w:tcPr>
            <w:tcW w:w="1486" w:type="dxa"/>
          </w:tcPr>
          <w:p w:rsidR="00D849AA" w:rsidRDefault="00EE6D95">
            <w:r>
              <w:t>100,0</w:t>
            </w:r>
          </w:p>
        </w:tc>
      </w:tr>
    </w:tbl>
    <w:p w:rsidR="00D849AA" w:rsidRDefault="00D849AA">
      <w:pPr>
        <w:jc w:val="left"/>
      </w:pPr>
    </w:p>
    <w:p w:rsidR="00D849AA" w:rsidRDefault="00EE6D95">
      <w:pPr>
        <w:pStyle w:val="Normal6"/>
      </w:pPr>
      <w:r>
        <w:t xml:space="preserve">U periodu visoke nezaposlenosti i kada nema dovoljno radnih mjesta na tržištu rada mjere aktivne politike zapošljavanja imaju korektivni faktor koji omogućuje pristup tržištu rada nezaposlenim osobama koje bi bez tih mjera vjerojatno ostale u nezaposlenosti.  </w:t>
      </w:r>
    </w:p>
    <w:p w:rsidR="00D849AA" w:rsidRDefault="00EE6D95">
      <w:pPr>
        <w:pStyle w:val="Normal6"/>
      </w:pPr>
      <w:r>
        <w:t xml:space="preserve">Provođenje aktivnih mjera na tržištu rada usmjeren je u dva pravca – omogućiti lakši pristup zapošljavanju teže zapošljivim osobama te smanjiti nesrazmjer ponude i potražnje za zanimanjima i vještinama na tržištu rada. Poticanjem zapošljavanja kroz dodjelu potpora djeluje se na skupine nezaposlenih i neaktivnih osoba koje zbog svoje razine obrazovanja, nedostataka radnog iskustva, godina života, obiteljskih i socijalnih uvjeta nisu konkurentni, a niti pokretljivi na tržištu rada, te se sufinanciranjem plaće omogućava lakši pristup zapošljavanju, a poslodavcima olakšava zapošljavanje kroz smanjenje troškova rada. Kroz potpore za samozapošljavanje djeluje se izravno na stvaranje novih radnih mjesta, a svaki samozaposleni poduzetnički pothvat u skoroj budućnosti može rezultirati stvaranjem novih radnih mjesta i novim zapošljavanjem, što u dosadašnjem iskustvu provedbe mjere samozapošljavanja nije bila rijetkost. </w:t>
      </w:r>
    </w:p>
    <w:p w:rsidR="00D849AA" w:rsidRDefault="00EE6D95">
      <w:pPr>
        <w:pStyle w:val="Normal6"/>
      </w:pPr>
      <w:r>
        <w:t xml:space="preserve">Osim potpora za zapošljavanje Zavod provodi i mjere za obrazovanje nezaposlenih i stručno osposobljavanje za rad bez zasnivanja radnog odnosa. Cilj ovih mjera je djelovanjem na nezaposlene osobe povećati njihovu zapošljivost te omogućiti stjecanje stručnih znanja i vještina deficitarnih na tržištu rada čime se izravno djeluje na usklađivanje ponude i potražnje na lokalnom tržištu rada </w:t>
      </w:r>
    </w:p>
    <w:p w:rsidR="00D849AA" w:rsidRDefault="00EE6D95">
      <w:pPr>
        <w:pStyle w:val="Normal6"/>
      </w:pPr>
      <w:r>
        <w:t xml:space="preserve">Stručnim osposobljavanjem za rad bez zasnivanja radnog odnosa omogućava se mladim osobama stjecanje potrebnog radnog iskustva za zapošljavanje te stjecanje samostalnosti u radu kao i procjena da li je stečeno zvanje pravi izbor ili trebaju nastaviti školovanje. </w:t>
      </w:r>
    </w:p>
    <w:p w:rsidR="00D849AA" w:rsidRDefault="00EE6D95">
      <w:pPr>
        <w:pStyle w:val="Normal6"/>
      </w:pPr>
      <w:r>
        <w:t xml:space="preserve">Kroz javne radove koji se provode u suradnji sa lokalnom upravom, udrugama civilnog društva i drugih dionika direktno se stvaraju nova radna mjesta koja imaju dvojaku funkciju - utječe se na aktivaciju najteže zapošljivih skupina nezaposlenih osoba i povećanje njihove zapošljivosti, ali i korist za lokalnu zajednicu radi povećanja kvalitete života na lokalnom području.  </w:t>
      </w:r>
    </w:p>
    <w:p w:rsidR="007F25F6" w:rsidRDefault="00EE6D95" w:rsidP="007F25F6">
      <w:pPr>
        <w:pStyle w:val="Normal6"/>
      </w:pPr>
      <w:r>
        <w:lastRenderedPageBreak/>
        <w:t>Potrebna sredstva za financiranje ovih mjera izračunavaju se na bazi broja osoba koje se uključuje u pojedinu mjeru, trajanju mjere te prosječnom trošku.</w:t>
      </w:r>
    </w:p>
    <w:p w:rsidR="007F25F6" w:rsidRDefault="007F25F6" w:rsidP="007F25F6">
      <w:pPr>
        <w:pStyle w:val="Normal6"/>
      </w:pPr>
    </w:p>
    <w:p w:rsidR="007F25F6" w:rsidRPr="007F25F6" w:rsidRDefault="00EE6D95" w:rsidP="007F25F6">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broj osoba zaposlenih ili obrazova</w:t>
            </w:r>
            <w:r w:rsidR="007F25F6">
              <w:t xml:space="preserve">nih uz potpore za zapošljavanje </w:t>
            </w:r>
            <w:r>
              <w:t>i usavršavanje</w:t>
            </w:r>
          </w:p>
        </w:tc>
        <w:tc>
          <w:tcPr>
            <w:tcW w:w="1114" w:type="dxa"/>
          </w:tcPr>
          <w:p w:rsidR="00D849AA" w:rsidRDefault="00EE6D95">
            <w:r>
              <w:t>broj</w:t>
            </w:r>
          </w:p>
        </w:tc>
        <w:tc>
          <w:tcPr>
            <w:tcW w:w="1114" w:type="dxa"/>
          </w:tcPr>
          <w:p w:rsidR="00D849AA" w:rsidRDefault="00EE6D95">
            <w:r>
              <w:t>6344</w:t>
            </w:r>
          </w:p>
        </w:tc>
        <w:tc>
          <w:tcPr>
            <w:tcW w:w="1486" w:type="dxa"/>
          </w:tcPr>
          <w:p w:rsidR="00D849AA" w:rsidRDefault="00EE6D95">
            <w:r>
              <w:t>7900</w:t>
            </w:r>
          </w:p>
        </w:tc>
        <w:tc>
          <w:tcPr>
            <w:tcW w:w="1486" w:type="dxa"/>
          </w:tcPr>
          <w:p w:rsidR="00D849AA" w:rsidRDefault="00EE6D95">
            <w:r>
              <w:t>6800</w:t>
            </w:r>
          </w:p>
        </w:tc>
        <w:tc>
          <w:tcPr>
            <w:tcW w:w="1486" w:type="dxa"/>
          </w:tcPr>
          <w:p w:rsidR="00D849AA" w:rsidRDefault="00EE6D95">
            <w:r>
              <w:t>7800</w:t>
            </w:r>
          </w:p>
        </w:tc>
      </w:tr>
      <w:tr w:rsidR="00D849AA">
        <w:trPr>
          <w:jc w:val="center"/>
        </w:trPr>
        <w:tc>
          <w:tcPr>
            <w:tcW w:w="2229" w:type="dxa"/>
          </w:tcPr>
          <w:p w:rsidR="00D849AA" w:rsidRDefault="00EE6D95">
            <w:pPr>
              <w:pStyle w:val="CellColumn"/>
            </w:pPr>
            <w:r>
              <w:t>broj osoba uključenih u obrazovanje</w:t>
            </w:r>
          </w:p>
        </w:tc>
        <w:tc>
          <w:tcPr>
            <w:tcW w:w="1114" w:type="dxa"/>
          </w:tcPr>
          <w:p w:rsidR="00D849AA" w:rsidRDefault="00EE6D95">
            <w:r>
              <w:t>broj</w:t>
            </w:r>
          </w:p>
        </w:tc>
        <w:tc>
          <w:tcPr>
            <w:tcW w:w="1114" w:type="dxa"/>
          </w:tcPr>
          <w:p w:rsidR="00D849AA" w:rsidRDefault="00EE6D95">
            <w:r>
              <w:t>1303</w:t>
            </w:r>
          </w:p>
        </w:tc>
        <w:tc>
          <w:tcPr>
            <w:tcW w:w="1486" w:type="dxa"/>
          </w:tcPr>
          <w:p w:rsidR="00D849AA" w:rsidRDefault="00EE6D95">
            <w:r>
              <w:t>2000</w:t>
            </w:r>
          </w:p>
        </w:tc>
        <w:tc>
          <w:tcPr>
            <w:tcW w:w="1486" w:type="dxa"/>
          </w:tcPr>
          <w:p w:rsidR="00D849AA" w:rsidRDefault="00EE6D95">
            <w:r>
              <w:t>3000</w:t>
            </w:r>
          </w:p>
        </w:tc>
        <w:tc>
          <w:tcPr>
            <w:tcW w:w="1486" w:type="dxa"/>
          </w:tcPr>
          <w:p w:rsidR="00D849AA" w:rsidRDefault="00EE6D95">
            <w:r>
              <w:t>4000</w:t>
            </w:r>
          </w:p>
        </w:tc>
      </w:tr>
      <w:tr w:rsidR="00D849AA">
        <w:trPr>
          <w:jc w:val="center"/>
        </w:trPr>
        <w:tc>
          <w:tcPr>
            <w:tcW w:w="2229" w:type="dxa"/>
          </w:tcPr>
          <w:p w:rsidR="00D849AA" w:rsidRDefault="00EE6D95">
            <w:pPr>
              <w:pStyle w:val="CellColumn"/>
            </w:pPr>
            <w:r>
              <w:t>broj osoba zaposlenih kroz društveno koristan rad</w:t>
            </w:r>
          </w:p>
        </w:tc>
        <w:tc>
          <w:tcPr>
            <w:tcW w:w="1114" w:type="dxa"/>
          </w:tcPr>
          <w:p w:rsidR="00D849AA" w:rsidRDefault="00EE6D95">
            <w:r>
              <w:t>broj</w:t>
            </w:r>
          </w:p>
        </w:tc>
        <w:tc>
          <w:tcPr>
            <w:tcW w:w="1114" w:type="dxa"/>
          </w:tcPr>
          <w:p w:rsidR="00D849AA" w:rsidRDefault="00EE6D95">
            <w:r>
              <w:t>14168</w:t>
            </w:r>
          </w:p>
        </w:tc>
        <w:tc>
          <w:tcPr>
            <w:tcW w:w="1486" w:type="dxa"/>
          </w:tcPr>
          <w:p w:rsidR="00D849AA" w:rsidRDefault="00EE6D95">
            <w:r>
              <w:t>8845</w:t>
            </w:r>
          </w:p>
        </w:tc>
        <w:tc>
          <w:tcPr>
            <w:tcW w:w="1486" w:type="dxa"/>
          </w:tcPr>
          <w:p w:rsidR="00D849AA" w:rsidRDefault="00EE6D95">
            <w:r>
              <w:t>8000</w:t>
            </w:r>
          </w:p>
        </w:tc>
        <w:tc>
          <w:tcPr>
            <w:tcW w:w="1486" w:type="dxa"/>
          </w:tcPr>
          <w:p w:rsidR="00D849AA" w:rsidRDefault="00EE6D95">
            <w:r>
              <w:t>7000</w:t>
            </w:r>
          </w:p>
        </w:tc>
      </w:tr>
      <w:tr w:rsidR="00D849AA">
        <w:trPr>
          <w:jc w:val="center"/>
        </w:trPr>
        <w:tc>
          <w:tcPr>
            <w:tcW w:w="2229" w:type="dxa"/>
          </w:tcPr>
          <w:p w:rsidR="00D849AA" w:rsidRDefault="00EE6D95">
            <w:pPr>
              <w:pStyle w:val="CellColumn"/>
            </w:pPr>
            <w:r>
              <w:t>broj osoba uključenih u stručno osposobljavanje za rad bez zasnivanja radnog odnosa</w:t>
            </w:r>
          </w:p>
        </w:tc>
        <w:tc>
          <w:tcPr>
            <w:tcW w:w="1114" w:type="dxa"/>
          </w:tcPr>
          <w:p w:rsidR="00D849AA" w:rsidRDefault="00EE6D95">
            <w:r>
              <w:t>broj</w:t>
            </w:r>
          </w:p>
        </w:tc>
        <w:tc>
          <w:tcPr>
            <w:tcW w:w="1114" w:type="dxa"/>
          </w:tcPr>
          <w:p w:rsidR="00D849AA" w:rsidRDefault="00EE6D95">
            <w:r>
              <w:t>13910</w:t>
            </w:r>
          </w:p>
        </w:tc>
        <w:tc>
          <w:tcPr>
            <w:tcW w:w="1486" w:type="dxa"/>
          </w:tcPr>
          <w:p w:rsidR="00D849AA" w:rsidRDefault="00EE6D95">
            <w:r>
              <w:t>10000</w:t>
            </w:r>
          </w:p>
        </w:tc>
        <w:tc>
          <w:tcPr>
            <w:tcW w:w="1486" w:type="dxa"/>
          </w:tcPr>
          <w:p w:rsidR="00D849AA" w:rsidRDefault="00EE6D95">
            <w:r>
              <w:t>7000</w:t>
            </w:r>
          </w:p>
        </w:tc>
        <w:tc>
          <w:tcPr>
            <w:tcW w:w="1486" w:type="dxa"/>
          </w:tcPr>
          <w:p w:rsidR="00D849AA" w:rsidRDefault="00EE6D95">
            <w:r>
              <w:t>6000</w:t>
            </w:r>
          </w:p>
        </w:tc>
      </w:tr>
    </w:tbl>
    <w:p w:rsidR="00D849AA" w:rsidRDefault="00D849AA">
      <w:pPr>
        <w:jc w:val="left"/>
      </w:pPr>
    </w:p>
    <w:p w:rsidR="00D849AA" w:rsidRDefault="00EE6D95">
      <w:pPr>
        <w:pStyle w:val="Naslov6"/>
      </w:pPr>
      <w:r>
        <w:t>T813033 OP RAZVOJ LJUDSKIH POTENCIJALA, PRIORITET 1 I 4</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T813033</w:t>
            </w:r>
          </w:p>
        </w:tc>
        <w:tc>
          <w:tcPr>
            <w:tcW w:w="1486" w:type="dxa"/>
          </w:tcPr>
          <w:p w:rsidR="00D849AA" w:rsidRDefault="00EE6D95">
            <w:r>
              <w:t>00</w:t>
            </w:r>
          </w:p>
        </w:tc>
        <w:tc>
          <w:tcPr>
            <w:tcW w:w="1486" w:type="dxa"/>
          </w:tcPr>
          <w:p w:rsidR="00D849AA" w:rsidRDefault="00EE6D95">
            <w:r>
              <w:t>89.908.000</w:t>
            </w:r>
          </w:p>
        </w:tc>
        <w:tc>
          <w:tcPr>
            <w:tcW w:w="1486" w:type="dxa"/>
          </w:tcPr>
          <w:p w:rsidR="00D849AA" w:rsidRDefault="00EE6D95">
            <w:r>
              <w:t>48.957.000</w:t>
            </w:r>
          </w:p>
        </w:tc>
        <w:tc>
          <w:tcPr>
            <w:tcW w:w="1486" w:type="dxa"/>
          </w:tcPr>
          <w:p w:rsidR="00D849AA" w:rsidRDefault="00EE6D95">
            <w:r>
              <w:t>113.000</w:t>
            </w:r>
          </w:p>
        </w:tc>
        <w:tc>
          <w:tcPr>
            <w:tcW w:w="1486" w:type="dxa"/>
          </w:tcPr>
          <w:p w:rsidR="00D849AA" w:rsidRDefault="00EE6D95">
            <w:r>
              <w:t>0,0</w:t>
            </w:r>
          </w:p>
        </w:tc>
      </w:tr>
    </w:tbl>
    <w:p w:rsidR="00D849AA" w:rsidRDefault="00D849AA">
      <w:pPr>
        <w:jc w:val="left"/>
      </w:pPr>
    </w:p>
    <w:p w:rsidR="00D849AA" w:rsidRDefault="00EE6D95">
      <w:pPr>
        <w:pStyle w:val="Normal6"/>
      </w:pPr>
      <w:r>
        <w:t xml:space="preserve">Operativni program „Razvoj ljudskih potencijala“ predstavlja programski okvir za korištenje sredstava u sektoru zapošljavanja i tržišta rada, obrazovanja, socijalne uključenosti i razvoj civilnog društva u cjelini. Analiza stanja izrađena tijekom pripreme Operativnog programa ukazuje na potrebu intenzivnog rada sa skupinama koje su pogođene visokom nezaposlenošću, usklađivanje obrazovnih programa s potrebama na tržištu rada i promicanje načela cjeloživotnog učenja, kao i na potrebu provedbe posebnih mjera za osobe koje zbog socijalne isključenosti imaju otežan pristup tržištu rada.  </w:t>
      </w:r>
    </w:p>
    <w:p w:rsidR="00D849AA" w:rsidRDefault="00EE6D95">
      <w:pPr>
        <w:pStyle w:val="Normal6"/>
      </w:pPr>
      <w:r>
        <w:t xml:space="preserve">Hrvatski zavod za zapošljavanje će za financiranje aktivnih mjera tržišta rada koristiti sredstva Europske unije, odnosno Instrument pretpristupne pomoći i Europski socijalni fond, financijska perspektiva 2. polovina 2013. godine.  </w:t>
      </w:r>
    </w:p>
    <w:p w:rsidR="00D849AA" w:rsidRDefault="00EE6D95">
      <w:pPr>
        <w:pStyle w:val="Normal6"/>
      </w:pPr>
      <w:r>
        <w:t>Sredstva iz direktnih dodjela usmjerena su na projekte kojima će se financirati mjere poticanja zapošljavanja, samozapošljavanja, obrazovanja, stručnog osposobljavanja za rad te javnih radova s ciljem smanjenja strukturalne i dugotrajne nezaposlenosti, integraciju skupina nezaposlenih koju su u nepovoljnom položaju na tržištu rada, povećanja stope zapošljavanja kroz poduzetništvo i samozapošljavanje.</w:t>
      </w:r>
    </w:p>
    <w:p w:rsidR="007F25F6" w:rsidRDefault="007F25F6">
      <w:pPr>
        <w:pStyle w:val="Normal6"/>
      </w:pPr>
    </w:p>
    <w:p w:rsidR="00D849AA" w:rsidRDefault="00EE6D95">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broj osoba zaposlenih uz potpore za zapošljavanje</w:t>
            </w:r>
          </w:p>
        </w:tc>
        <w:tc>
          <w:tcPr>
            <w:tcW w:w="1114" w:type="dxa"/>
          </w:tcPr>
          <w:p w:rsidR="00D849AA" w:rsidRDefault="00EE6D95">
            <w:r>
              <w:t>broj</w:t>
            </w:r>
          </w:p>
        </w:tc>
        <w:tc>
          <w:tcPr>
            <w:tcW w:w="1114" w:type="dxa"/>
          </w:tcPr>
          <w:p w:rsidR="00D849AA" w:rsidRDefault="00EE6D95">
            <w:r>
              <w:t>0</w:t>
            </w:r>
          </w:p>
        </w:tc>
        <w:tc>
          <w:tcPr>
            <w:tcW w:w="1486" w:type="dxa"/>
          </w:tcPr>
          <w:p w:rsidR="00D849AA" w:rsidRDefault="00EE6D95">
            <w:r>
              <w:t>670</w:t>
            </w:r>
          </w:p>
        </w:tc>
        <w:tc>
          <w:tcPr>
            <w:tcW w:w="1486" w:type="dxa"/>
          </w:tcPr>
          <w:p w:rsidR="00D849AA" w:rsidRDefault="00EE6D95">
            <w:r>
              <w:t>670</w:t>
            </w:r>
          </w:p>
        </w:tc>
        <w:tc>
          <w:tcPr>
            <w:tcW w:w="1486" w:type="dxa"/>
          </w:tcPr>
          <w:p w:rsidR="00D849AA" w:rsidRDefault="00EE6D95">
            <w:r>
              <w:t>0</w:t>
            </w:r>
          </w:p>
        </w:tc>
      </w:tr>
      <w:tr w:rsidR="00D849AA">
        <w:trPr>
          <w:jc w:val="center"/>
        </w:trPr>
        <w:tc>
          <w:tcPr>
            <w:tcW w:w="2229" w:type="dxa"/>
          </w:tcPr>
          <w:p w:rsidR="00D849AA" w:rsidRDefault="00EE6D95">
            <w:pPr>
              <w:pStyle w:val="CellColumn"/>
            </w:pPr>
            <w:r>
              <w:t>broj osoba uključenih u samozapošljavanje</w:t>
            </w:r>
          </w:p>
        </w:tc>
        <w:tc>
          <w:tcPr>
            <w:tcW w:w="1114" w:type="dxa"/>
          </w:tcPr>
          <w:p w:rsidR="00D849AA" w:rsidRDefault="00EE6D95">
            <w:r>
              <w:t>broj</w:t>
            </w:r>
          </w:p>
        </w:tc>
        <w:tc>
          <w:tcPr>
            <w:tcW w:w="1114" w:type="dxa"/>
          </w:tcPr>
          <w:p w:rsidR="00D849AA" w:rsidRDefault="00EE6D95">
            <w:r>
              <w:t>0</w:t>
            </w:r>
          </w:p>
        </w:tc>
        <w:tc>
          <w:tcPr>
            <w:tcW w:w="1486" w:type="dxa"/>
          </w:tcPr>
          <w:p w:rsidR="00D849AA" w:rsidRDefault="00EE6D95">
            <w:r>
              <w:t>450</w:t>
            </w:r>
          </w:p>
        </w:tc>
        <w:tc>
          <w:tcPr>
            <w:tcW w:w="1486" w:type="dxa"/>
          </w:tcPr>
          <w:p w:rsidR="00D849AA" w:rsidRDefault="00EE6D95">
            <w:r>
              <w:t>326</w:t>
            </w:r>
          </w:p>
        </w:tc>
        <w:tc>
          <w:tcPr>
            <w:tcW w:w="1486" w:type="dxa"/>
          </w:tcPr>
          <w:p w:rsidR="00D849AA" w:rsidRDefault="00EE6D95">
            <w:r>
              <w:t>0</w:t>
            </w:r>
          </w:p>
        </w:tc>
      </w:tr>
      <w:tr w:rsidR="00D849AA">
        <w:trPr>
          <w:jc w:val="center"/>
        </w:trPr>
        <w:tc>
          <w:tcPr>
            <w:tcW w:w="2229" w:type="dxa"/>
          </w:tcPr>
          <w:p w:rsidR="00D849AA" w:rsidRDefault="00EE6D95">
            <w:pPr>
              <w:pStyle w:val="CellColumn"/>
            </w:pPr>
            <w:r>
              <w:t>broj osoba zaposlenih kroz društveno koristan rad</w:t>
            </w:r>
          </w:p>
        </w:tc>
        <w:tc>
          <w:tcPr>
            <w:tcW w:w="1114" w:type="dxa"/>
          </w:tcPr>
          <w:p w:rsidR="00D849AA" w:rsidRDefault="00EE6D95">
            <w:r>
              <w:t>broj</w:t>
            </w:r>
          </w:p>
        </w:tc>
        <w:tc>
          <w:tcPr>
            <w:tcW w:w="1114" w:type="dxa"/>
          </w:tcPr>
          <w:p w:rsidR="00D849AA" w:rsidRDefault="00EE6D95">
            <w:r>
              <w:t>0</w:t>
            </w:r>
          </w:p>
        </w:tc>
        <w:tc>
          <w:tcPr>
            <w:tcW w:w="1486" w:type="dxa"/>
          </w:tcPr>
          <w:p w:rsidR="00D849AA" w:rsidRDefault="00EE6D95">
            <w:r>
              <w:t>1000</w:t>
            </w:r>
          </w:p>
        </w:tc>
        <w:tc>
          <w:tcPr>
            <w:tcW w:w="1486" w:type="dxa"/>
          </w:tcPr>
          <w:p w:rsidR="00D849AA" w:rsidRDefault="00EE6D95">
            <w:r>
              <w:t>722</w:t>
            </w:r>
          </w:p>
        </w:tc>
        <w:tc>
          <w:tcPr>
            <w:tcW w:w="1486" w:type="dxa"/>
          </w:tcPr>
          <w:p w:rsidR="00D849AA" w:rsidRDefault="00EE6D95">
            <w:r>
              <w:t>0</w:t>
            </w:r>
          </w:p>
        </w:tc>
      </w:tr>
      <w:tr w:rsidR="00D849AA">
        <w:trPr>
          <w:jc w:val="center"/>
        </w:trPr>
        <w:tc>
          <w:tcPr>
            <w:tcW w:w="2229" w:type="dxa"/>
          </w:tcPr>
          <w:p w:rsidR="00D849AA" w:rsidRDefault="00EE6D95">
            <w:pPr>
              <w:pStyle w:val="CellColumn"/>
            </w:pPr>
            <w:r>
              <w:t>broj osoba uključenih u stručno osposobljavanje za rad bez zasnivanja radnog odnosa</w:t>
            </w:r>
          </w:p>
        </w:tc>
        <w:tc>
          <w:tcPr>
            <w:tcW w:w="1114" w:type="dxa"/>
          </w:tcPr>
          <w:p w:rsidR="00D849AA" w:rsidRDefault="00EE6D95">
            <w:r>
              <w:t>broj</w:t>
            </w:r>
          </w:p>
        </w:tc>
        <w:tc>
          <w:tcPr>
            <w:tcW w:w="1114" w:type="dxa"/>
          </w:tcPr>
          <w:p w:rsidR="00D849AA" w:rsidRDefault="00EE6D95">
            <w:r>
              <w:t>0</w:t>
            </w:r>
          </w:p>
        </w:tc>
        <w:tc>
          <w:tcPr>
            <w:tcW w:w="1486" w:type="dxa"/>
          </w:tcPr>
          <w:p w:rsidR="00D849AA" w:rsidRDefault="00EE6D95">
            <w:r>
              <w:t>200</w:t>
            </w:r>
          </w:p>
        </w:tc>
        <w:tc>
          <w:tcPr>
            <w:tcW w:w="1486" w:type="dxa"/>
          </w:tcPr>
          <w:p w:rsidR="00D849AA" w:rsidRDefault="00EE6D95">
            <w:r>
              <w:t>314</w:t>
            </w:r>
          </w:p>
        </w:tc>
        <w:tc>
          <w:tcPr>
            <w:tcW w:w="1486" w:type="dxa"/>
          </w:tcPr>
          <w:p w:rsidR="00D849AA" w:rsidRDefault="00EE6D95">
            <w:r>
              <w:t>0</w:t>
            </w:r>
          </w:p>
        </w:tc>
      </w:tr>
      <w:tr w:rsidR="00D849AA">
        <w:trPr>
          <w:jc w:val="center"/>
        </w:trPr>
        <w:tc>
          <w:tcPr>
            <w:tcW w:w="2229" w:type="dxa"/>
          </w:tcPr>
          <w:p w:rsidR="00D849AA" w:rsidRDefault="00EE6D95">
            <w:pPr>
              <w:pStyle w:val="CellColumn"/>
            </w:pPr>
            <w:r>
              <w:t>broj osoba uključenih u obrazovanje za zapošljavanje</w:t>
            </w:r>
          </w:p>
        </w:tc>
        <w:tc>
          <w:tcPr>
            <w:tcW w:w="1114" w:type="dxa"/>
          </w:tcPr>
          <w:p w:rsidR="00D849AA" w:rsidRDefault="00EE6D95">
            <w:r>
              <w:t>broj</w:t>
            </w:r>
          </w:p>
        </w:tc>
        <w:tc>
          <w:tcPr>
            <w:tcW w:w="1114" w:type="dxa"/>
          </w:tcPr>
          <w:p w:rsidR="00D849AA" w:rsidRDefault="00EE6D95">
            <w:r>
              <w:t>0</w:t>
            </w:r>
          </w:p>
        </w:tc>
        <w:tc>
          <w:tcPr>
            <w:tcW w:w="1486" w:type="dxa"/>
          </w:tcPr>
          <w:p w:rsidR="00D849AA" w:rsidRDefault="00EE6D95">
            <w:r>
              <w:t>848</w:t>
            </w:r>
          </w:p>
        </w:tc>
        <w:tc>
          <w:tcPr>
            <w:tcW w:w="1486" w:type="dxa"/>
          </w:tcPr>
          <w:p w:rsidR="00D849AA" w:rsidRDefault="00EE6D95">
            <w:r>
              <w:t>1000</w:t>
            </w:r>
          </w:p>
        </w:tc>
        <w:tc>
          <w:tcPr>
            <w:tcW w:w="1486" w:type="dxa"/>
          </w:tcPr>
          <w:p w:rsidR="00D849AA" w:rsidRDefault="00EE6D95">
            <w:r>
              <w:t>0</w:t>
            </w:r>
          </w:p>
        </w:tc>
      </w:tr>
    </w:tbl>
    <w:p w:rsidR="00D849AA" w:rsidRDefault="00D849AA">
      <w:pPr>
        <w:jc w:val="left"/>
      </w:pPr>
    </w:p>
    <w:p w:rsidR="00562CD8" w:rsidRDefault="00562CD8" w:rsidP="00562CD8">
      <w:pPr>
        <w:pStyle w:val="Naslov4"/>
      </w:pPr>
      <w:r>
        <w:t>OBRAZLOŽENJE PROGRAMA</w:t>
      </w:r>
    </w:p>
    <w:p w:rsidR="00D849AA" w:rsidRDefault="00EE6D95">
      <w:pPr>
        <w:pStyle w:val="Naslov5"/>
      </w:pPr>
      <w:r>
        <w:t>4011 MATERIJALNO PRAVNA ZAŠTITA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4011</w:t>
            </w:r>
          </w:p>
        </w:tc>
        <w:tc>
          <w:tcPr>
            <w:tcW w:w="1486" w:type="dxa"/>
          </w:tcPr>
          <w:p w:rsidR="00D849AA" w:rsidRDefault="00EE6D95">
            <w:r>
              <w:t>1.277.751.000</w:t>
            </w:r>
          </w:p>
        </w:tc>
        <w:tc>
          <w:tcPr>
            <w:tcW w:w="1486" w:type="dxa"/>
          </w:tcPr>
          <w:p w:rsidR="00D849AA" w:rsidRDefault="00EE6D95">
            <w:r>
              <w:t>1.211.104.491</w:t>
            </w:r>
          </w:p>
        </w:tc>
        <w:tc>
          <w:tcPr>
            <w:tcW w:w="1486" w:type="dxa"/>
          </w:tcPr>
          <w:p w:rsidR="00D849AA" w:rsidRDefault="00EE6D95">
            <w:r>
              <w:t>1.213.562.034</w:t>
            </w:r>
          </w:p>
        </w:tc>
        <w:tc>
          <w:tcPr>
            <w:tcW w:w="1486" w:type="dxa"/>
          </w:tcPr>
          <w:p w:rsidR="00D849AA" w:rsidRDefault="00EE6D95">
            <w:r>
              <w:t>1.097.699.140</w:t>
            </w:r>
          </w:p>
        </w:tc>
        <w:tc>
          <w:tcPr>
            <w:tcW w:w="1486" w:type="dxa"/>
          </w:tcPr>
          <w:p w:rsidR="00D849AA" w:rsidRDefault="00EE6D95">
            <w:r>
              <w:t>94,8</w:t>
            </w:r>
          </w:p>
        </w:tc>
      </w:tr>
    </w:tbl>
    <w:p w:rsidR="00D849AA" w:rsidRDefault="00D849AA">
      <w:pPr>
        <w:jc w:val="left"/>
      </w:pPr>
    </w:p>
    <w:p w:rsidR="00D849AA" w:rsidRDefault="00EE6D95">
      <w:pPr>
        <w:pStyle w:val="Naslov6"/>
      </w:pPr>
      <w:r>
        <w:t>Opis programa</w:t>
      </w:r>
    </w:p>
    <w:p w:rsidR="00D849AA" w:rsidRDefault="00EE6D95">
      <w:pPr>
        <w:pStyle w:val="Normal5"/>
      </w:pPr>
      <w:r>
        <w:t xml:space="preserve">Nezaposlene osobe ostvaruju prava za vrijeme nezaposlenosti i to: novčanu naknadu, mirovinsko osiguranje, novčanu pomoć i naknadu troškova tijekom obrazovanja te jednokratnu novčanu pomoć i naknadu putnih i selidbenih troškova, obzirom na ispunjenje uvjeta iz Zakona o posredovanju pri zapošljavanju i pravima za vrijeme nezaposlenosti. </w:t>
      </w:r>
    </w:p>
    <w:p w:rsidR="00D849AA" w:rsidRDefault="00EE6D95">
      <w:pPr>
        <w:pStyle w:val="Normal5"/>
      </w:pPr>
      <w:r>
        <w:t>Osiguranjem ovih prava pridonosi se učinkovitom funkcioniranju tržišta rada i stvaranju neophodnih zakonskih temelja za osiguranje dostojnog rada i socijalne sigurnosti.</w:t>
      </w:r>
    </w:p>
    <w:p w:rsidR="00D849AA" w:rsidRDefault="00EE6D95">
      <w:pPr>
        <w:pStyle w:val="Naslov6"/>
      </w:pPr>
      <w:r>
        <w:t>Zakonske i druge pravne osnove</w:t>
      </w:r>
    </w:p>
    <w:p w:rsidR="00D849AA" w:rsidRDefault="00EE6D95">
      <w:pPr>
        <w:pStyle w:val="Normal5"/>
      </w:pPr>
      <w:r>
        <w:t xml:space="preserve">• Zakon o posredovanju pri zapošljavanju i pravima za vrijeme nezaposlenosti („Narodne novine“ broj 80/08, 121/10, 25/12, 118/12 i 12/13 – pročišćeni tekst); </w:t>
      </w:r>
    </w:p>
    <w:p w:rsidR="00D849AA" w:rsidRDefault="00EE6D95">
      <w:pPr>
        <w:pStyle w:val="Normal5"/>
      </w:pPr>
      <w:r>
        <w:t xml:space="preserve">• Zakon o poticanju zapošljavanja („Narodne novine broj 57/12, 120/12); </w:t>
      </w:r>
    </w:p>
    <w:p w:rsidR="00D849AA" w:rsidRDefault="00EE6D95">
      <w:pPr>
        <w:pStyle w:val="Normal5"/>
      </w:pPr>
      <w:r>
        <w:lastRenderedPageBreak/>
        <w:t xml:space="preserve">• Odluka o uvjetima i načinu isplate novčane naknade  u jednokratnom iznosu („Narodne novine“ broj 123/12); </w:t>
      </w:r>
    </w:p>
    <w:p w:rsidR="00D849AA" w:rsidRDefault="00EE6D95">
      <w:pPr>
        <w:pStyle w:val="Normal5"/>
      </w:pPr>
      <w:r>
        <w:t xml:space="preserve">• Odluka o jednokratnoj novčanoj pomoći i naknadi putnih i selidbenih troškova („Narodne novine“ broj 74/09); </w:t>
      </w:r>
    </w:p>
    <w:p w:rsidR="00D849AA" w:rsidRDefault="00EE6D95">
      <w:pPr>
        <w:pStyle w:val="Normal5"/>
      </w:pPr>
      <w:r>
        <w:t xml:space="preserve">• Zakon o doprinosima („Narodne novine“ broj 84/08, 152/08, 94/09, 18/11, 22/11, 144/12); </w:t>
      </w:r>
    </w:p>
    <w:p w:rsidR="00D849AA" w:rsidRDefault="00EE6D95">
      <w:pPr>
        <w:pStyle w:val="Normal5"/>
      </w:pPr>
      <w:r>
        <w:t>• Zakon o mirovinskom osiguranju („Narodne novine“ broj 102/98, 127/00, 59/01, 109/01, 147/02, 117/03, 30/04, 177/04, 92/05, 79/07, 35/08, 40/10, 121/10, 130/10, 139/10, 6/11, 114/11, 76/12).</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Cilj 1. Jačati sustav socijalne sigurnosti nezaposlenih osoba</w:t>
      </w:r>
    </w:p>
    <w:p w:rsidR="00D849AA" w:rsidRDefault="00EE6D95">
      <w:pPr>
        <w:pStyle w:val="Normal6"/>
      </w:pPr>
      <w:r>
        <w:t xml:space="preserve">Prava nezaposlenih osoba uređena su Zakonom o posredovanju i pravima za vrijeme nezaposlenosti koji se naslanja na tzv. radno zakonodavstvo čija je svrha pridonositi učinkovitom funkcioniranju tržišta rada i stvaranju neophodnih zakonskih temelja za osiguranje odgovarajućeg stupnja socijalne sigurnosti nezaposlenih osoba. </w:t>
      </w:r>
    </w:p>
    <w:p w:rsidR="00D849AA" w:rsidRDefault="00EE6D95">
      <w:pPr>
        <w:pStyle w:val="Normal6"/>
      </w:pPr>
      <w:r>
        <w:t>Kako bi se umanjile posljedice nezaposlenosti, posebno uslijed gubitka posla, nužno je osigurati novčanu naknadu za nezaposlene. Novčana naknada je pravo regulirano Zakonom o posredovanju pri zapošljavanju i pravima za vrijeme nezaposlenosti a temelji se na uplati doprinosa za zapošljavanje osoba koje su u radnom odnosu. Visina novčane naknade je vezana za visinu plaće radnika pa tako i za visinu uplaćenih doprinosa, a trajanje za dulji dio vremena provedenog u radu. Nezaposlene osobe kojima radni odnos nije prestao njihovom krivnjom ili sporazumno, a imale su u posljednja 24 mjeseca najmanje 9 mjeseci radnog staža, utvrđuje se pravo na novčanu naknadu. Visina novčane naknade vezana je uz prethodno ostvarene plaće, a smanjuje se s dužinom razdoblja njenog korištenja. Viša naknada u prva tri mjeseca nezaposlenosti štiti nezaposlenu osobu od siromaštva i omogućuje joj duži period za podizanje stupnja svoje zapošljivosti, dok se njenim smanjivanjem u slijedećem periodu nastoji destimulirati dugotrajna nezaposlenost.</w:t>
      </w:r>
    </w:p>
    <w:p w:rsidR="007F25F6" w:rsidRDefault="007F25F6">
      <w:pPr>
        <w:pStyle w:val="Normal6"/>
      </w:pP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Prosječni iznos novčane naknade i novčane pomoći</w:t>
            </w:r>
          </w:p>
        </w:tc>
        <w:tc>
          <w:tcPr>
            <w:tcW w:w="1114" w:type="dxa"/>
          </w:tcPr>
          <w:p w:rsidR="00D849AA" w:rsidRDefault="00EE6D95">
            <w:r>
              <w:t>kn</w:t>
            </w:r>
          </w:p>
        </w:tc>
        <w:tc>
          <w:tcPr>
            <w:tcW w:w="1114" w:type="dxa"/>
          </w:tcPr>
          <w:p w:rsidR="00D849AA" w:rsidRDefault="00EE6D95">
            <w:r>
              <w:t>1.665,98</w:t>
            </w:r>
          </w:p>
        </w:tc>
        <w:tc>
          <w:tcPr>
            <w:tcW w:w="1486" w:type="dxa"/>
          </w:tcPr>
          <w:p w:rsidR="00D849AA" w:rsidRDefault="00EE6D95">
            <w:r>
              <w:t>1.700,00</w:t>
            </w:r>
          </w:p>
        </w:tc>
        <w:tc>
          <w:tcPr>
            <w:tcW w:w="1486" w:type="dxa"/>
          </w:tcPr>
          <w:p w:rsidR="00D849AA" w:rsidRDefault="00EE6D95">
            <w:r>
              <w:t>1.750,00</w:t>
            </w:r>
          </w:p>
        </w:tc>
        <w:tc>
          <w:tcPr>
            <w:tcW w:w="1486" w:type="dxa"/>
          </w:tcPr>
          <w:p w:rsidR="00D849AA" w:rsidRDefault="00EE6D95">
            <w:r>
              <w:t>1.750,00</w:t>
            </w:r>
          </w:p>
        </w:tc>
      </w:tr>
    </w:tbl>
    <w:p w:rsidR="00D849AA" w:rsidRDefault="00D849AA">
      <w:pPr>
        <w:jc w:val="left"/>
      </w:pPr>
    </w:p>
    <w:p w:rsidR="00D849AA" w:rsidRDefault="00EE6D95">
      <w:pPr>
        <w:pStyle w:val="Naslov5"/>
      </w:pPr>
      <w:r>
        <w:t>Procjena i ishodište potrebnih sredstava za značajnije aktivnosti/projekte</w:t>
      </w:r>
    </w:p>
    <w:p w:rsidR="00D849AA" w:rsidRDefault="00EE6D95">
      <w:pPr>
        <w:pStyle w:val="Naslov6"/>
      </w:pPr>
      <w:r>
        <w:t>A689014 NAKNADE NEZAPOSLENIMA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A689014</w:t>
            </w:r>
          </w:p>
        </w:tc>
        <w:tc>
          <w:tcPr>
            <w:tcW w:w="1486" w:type="dxa"/>
          </w:tcPr>
          <w:p w:rsidR="00D849AA" w:rsidRDefault="00EE6D95">
            <w:r>
              <w:t>1.277.751.000</w:t>
            </w:r>
          </w:p>
        </w:tc>
        <w:tc>
          <w:tcPr>
            <w:tcW w:w="1486" w:type="dxa"/>
          </w:tcPr>
          <w:p w:rsidR="00D849AA" w:rsidRDefault="00EE6D95">
            <w:r>
              <w:t>1.211.104.491</w:t>
            </w:r>
          </w:p>
        </w:tc>
        <w:tc>
          <w:tcPr>
            <w:tcW w:w="1486" w:type="dxa"/>
          </w:tcPr>
          <w:p w:rsidR="00D849AA" w:rsidRDefault="00EE6D95">
            <w:r>
              <w:t>1.213.562.034</w:t>
            </w:r>
          </w:p>
        </w:tc>
        <w:tc>
          <w:tcPr>
            <w:tcW w:w="1486" w:type="dxa"/>
          </w:tcPr>
          <w:p w:rsidR="00D849AA" w:rsidRDefault="00EE6D95">
            <w:r>
              <w:t>1.097.699.140</w:t>
            </w:r>
          </w:p>
        </w:tc>
        <w:tc>
          <w:tcPr>
            <w:tcW w:w="1486" w:type="dxa"/>
          </w:tcPr>
          <w:p w:rsidR="00D849AA" w:rsidRDefault="00EE6D95">
            <w:r>
              <w:t>94,8</w:t>
            </w:r>
          </w:p>
        </w:tc>
      </w:tr>
    </w:tbl>
    <w:p w:rsidR="00D849AA" w:rsidRDefault="00D849AA">
      <w:pPr>
        <w:jc w:val="left"/>
      </w:pPr>
    </w:p>
    <w:p w:rsidR="00D849AA" w:rsidRDefault="00EE6D95">
      <w:pPr>
        <w:pStyle w:val="Normal6"/>
      </w:pPr>
      <w:r>
        <w:lastRenderedPageBreak/>
        <w:t xml:space="preserve">Kako bi se umanjile posljedice nezaposlenosti, prvenstveno uslijed gubitka posla nužno je osigurati novčanu naknadu za nezaposlene. Kao što navedeno, visina novčanih naknada vezana je uz prethodno ostvarene plaće, a smanjuje se s dužinom razdoblja njenog korištenja. </w:t>
      </w:r>
    </w:p>
    <w:p w:rsidR="00D849AA" w:rsidRDefault="00EE6D95">
      <w:pPr>
        <w:pStyle w:val="Normal6"/>
      </w:pPr>
      <w:r>
        <w:t xml:space="preserve">Sukladno makroekonomskim projekcijama iz Smjernica ekonomske i fiskalne politike za razdoblje 2014. – 2016., predviđa se da će se u 2014. godini zaustaviti negativni trendovi na tržištu rada, o čemu ovisi planiranje sredstava za naknade nezaposlenima. Izračun potrebnih sredstava za osiguranje prava na novčanu naknadu ovisi o kretanju stope nezaposlenosti, a temelji se na procjeni broja korisnika i procjeni prosječnog iznosa naknada. </w:t>
      </w:r>
    </w:p>
    <w:p w:rsidR="00D849AA" w:rsidRDefault="00EE6D95">
      <w:pPr>
        <w:pStyle w:val="Normal6"/>
      </w:pPr>
      <w:r>
        <w:t>Pored navedenog, nezaposlene osobe se kroz mjere aktivne politike zapošljavanja upućuju u programe stručnog osposobljavanja za rad bez zasnivanja radnog odnosa i aktivnosti obrazovanja za zapošljavanje. Osim financiranja troškova samih programa, polaznicima stručnog osposobljavanja isplaćuje se novčana pomoć u visini neoporezivog dijela studentske stipendije koja je namijenjena za pokrivanje osnovnih troškova prijevoza, toplog obroka i drugog, dok se polaznicima programa obrazovanja isplaćuje novčana pomoć i troškovi prijevoza kako je regulirano Zakonom o posredovanju pri zapošljavanju i pravima za vrijeme nezaposlenosti.</w:t>
      </w:r>
    </w:p>
    <w:p w:rsidR="007F25F6" w:rsidRDefault="007F25F6">
      <w:pPr>
        <w:pStyle w:val="Normal6"/>
      </w:pP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prosječan mjesečni broj osoba koje koriste pravo na novčanu naknadu za vrijeme nezaposlenosti</w:t>
            </w:r>
          </w:p>
        </w:tc>
        <w:tc>
          <w:tcPr>
            <w:tcW w:w="1114" w:type="dxa"/>
          </w:tcPr>
          <w:p w:rsidR="00D849AA" w:rsidRDefault="00EE6D95">
            <w:r>
              <w:t>broj</w:t>
            </w:r>
          </w:p>
        </w:tc>
        <w:tc>
          <w:tcPr>
            <w:tcW w:w="1114" w:type="dxa"/>
          </w:tcPr>
          <w:p w:rsidR="00D849AA" w:rsidRDefault="00EE6D95">
            <w:r>
              <w:t>72.130</w:t>
            </w:r>
          </w:p>
        </w:tc>
        <w:tc>
          <w:tcPr>
            <w:tcW w:w="1486" w:type="dxa"/>
          </w:tcPr>
          <w:p w:rsidR="00D849AA" w:rsidRDefault="00EE6D95">
            <w:r>
              <w:t>70.000</w:t>
            </w:r>
          </w:p>
        </w:tc>
        <w:tc>
          <w:tcPr>
            <w:tcW w:w="1486" w:type="dxa"/>
          </w:tcPr>
          <w:p w:rsidR="00D849AA" w:rsidRDefault="00EE6D95">
            <w:r>
              <w:t>68.000</w:t>
            </w:r>
          </w:p>
        </w:tc>
        <w:tc>
          <w:tcPr>
            <w:tcW w:w="1486" w:type="dxa"/>
          </w:tcPr>
          <w:p w:rsidR="00D849AA" w:rsidRDefault="00EE6D95">
            <w:r>
              <w:t>65.000</w:t>
            </w:r>
          </w:p>
        </w:tc>
      </w:tr>
      <w:tr w:rsidR="00D849AA">
        <w:trPr>
          <w:jc w:val="center"/>
        </w:trPr>
        <w:tc>
          <w:tcPr>
            <w:tcW w:w="2229" w:type="dxa"/>
          </w:tcPr>
          <w:p w:rsidR="00D849AA" w:rsidRDefault="00EE6D95">
            <w:pPr>
              <w:pStyle w:val="CellColumn"/>
            </w:pPr>
            <w:r>
              <w:t>broj korisnika prava na novčanu pomoć za vrijeme obrazovanja na koje ih je uputio HZZ</w:t>
            </w:r>
          </w:p>
        </w:tc>
        <w:tc>
          <w:tcPr>
            <w:tcW w:w="1114" w:type="dxa"/>
          </w:tcPr>
          <w:p w:rsidR="00D849AA" w:rsidRDefault="00EE6D95">
            <w:r>
              <w:t>broj</w:t>
            </w:r>
          </w:p>
        </w:tc>
        <w:tc>
          <w:tcPr>
            <w:tcW w:w="1114" w:type="dxa"/>
          </w:tcPr>
          <w:p w:rsidR="00D849AA" w:rsidRDefault="00EE6D95">
            <w:r>
              <w:t>1.303</w:t>
            </w:r>
          </w:p>
        </w:tc>
        <w:tc>
          <w:tcPr>
            <w:tcW w:w="1486" w:type="dxa"/>
          </w:tcPr>
          <w:p w:rsidR="00D849AA" w:rsidRDefault="00EE6D95">
            <w:r>
              <w:t>2.000</w:t>
            </w:r>
          </w:p>
        </w:tc>
        <w:tc>
          <w:tcPr>
            <w:tcW w:w="1486" w:type="dxa"/>
          </w:tcPr>
          <w:p w:rsidR="00D849AA" w:rsidRDefault="00EE6D95">
            <w:r>
              <w:t>3.000</w:t>
            </w:r>
          </w:p>
        </w:tc>
        <w:tc>
          <w:tcPr>
            <w:tcW w:w="1486" w:type="dxa"/>
          </w:tcPr>
          <w:p w:rsidR="00D849AA" w:rsidRDefault="00EE6D95">
            <w:r>
              <w:t>4.000</w:t>
            </w:r>
          </w:p>
        </w:tc>
      </w:tr>
      <w:tr w:rsidR="00D849AA">
        <w:trPr>
          <w:jc w:val="center"/>
        </w:trPr>
        <w:tc>
          <w:tcPr>
            <w:tcW w:w="2229" w:type="dxa"/>
          </w:tcPr>
          <w:p w:rsidR="00D849AA" w:rsidRDefault="00EE6D95">
            <w:pPr>
              <w:pStyle w:val="CellColumn"/>
            </w:pPr>
            <w:r>
              <w:t>broj osoba uključen u stručno osposobljavanje za rad bez zasnivanja radnog odnosa</w:t>
            </w:r>
          </w:p>
        </w:tc>
        <w:tc>
          <w:tcPr>
            <w:tcW w:w="1114" w:type="dxa"/>
          </w:tcPr>
          <w:p w:rsidR="00D849AA" w:rsidRDefault="00EE6D95">
            <w:r>
              <w:t>broj</w:t>
            </w:r>
          </w:p>
        </w:tc>
        <w:tc>
          <w:tcPr>
            <w:tcW w:w="1114" w:type="dxa"/>
          </w:tcPr>
          <w:p w:rsidR="00D849AA" w:rsidRDefault="00EE6D95">
            <w:r>
              <w:t>13.910</w:t>
            </w:r>
          </w:p>
        </w:tc>
        <w:tc>
          <w:tcPr>
            <w:tcW w:w="1486" w:type="dxa"/>
          </w:tcPr>
          <w:p w:rsidR="00D849AA" w:rsidRDefault="00EE6D95">
            <w:r>
              <w:t>10.000</w:t>
            </w:r>
          </w:p>
        </w:tc>
        <w:tc>
          <w:tcPr>
            <w:tcW w:w="1486" w:type="dxa"/>
          </w:tcPr>
          <w:p w:rsidR="00D849AA" w:rsidRDefault="00EE6D95">
            <w:r>
              <w:t>7.000</w:t>
            </w:r>
          </w:p>
        </w:tc>
        <w:tc>
          <w:tcPr>
            <w:tcW w:w="1486" w:type="dxa"/>
          </w:tcPr>
          <w:p w:rsidR="00D849AA" w:rsidRDefault="00EE6D95">
            <w:r>
              <w:t>6.000</w:t>
            </w:r>
          </w:p>
        </w:tc>
      </w:tr>
    </w:tbl>
    <w:p w:rsidR="00D849AA" w:rsidRDefault="00D849AA">
      <w:pPr>
        <w:jc w:val="left"/>
      </w:pPr>
    </w:p>
    <w:p w:rsidR="00D849AA" w:rsidRDefault="00EE6D95">
      <w:pPr>
        <w:pStyle w:val="Naslov2"/>
      </w:pPr>
      <w:r>
        <w:lastRenderedPageBreak/>
        <w:t>08630 Fond za profesionalnu rehabilitaciju i zapošljavanje osoba s invaliditetom</w:t>
      </w:r>
    </w:p>
    <w:p w:rsidR="00D849AA" w:rsidRDefault="00EE6D95">
      <w:pPr>
        <w:pStyle w:val="Naslov4"/>
      </w:pPr>
      <w:r>
        <w:t>Uvod</w:t>
      </w:r>
    </w:p>
    <w:p w:rsidR="00D849AA" w:rsidRDefault="00EE6D95">
      <w:pPr>
        <w:pStyle w:val="Normal3"/>
      </w:pPr>
      <w:r>
        <w:t xml:space="preserve">U nastupajućem razdoblju Fond za profesionalnu rehabilitaciju i zapošljavanje osoba s invaliditetom kao temeljni cilj ima provođenje aktivne politike zapošljavanja i profesionalne rehabilitacije osoba s invaliditetom.  </w:t>
      </w:r>
    </w:p>
    <w:p w:rsidR="00D849AA" w:rsidRDefault="00EE6D95">
      <w:pPr>
        <w:pStyle w:val="Normal3"/>
      </w:pPr>
      <w:r>
        <w:t xml:space="preserve">Temeljni cilj je u skladu s Nacionalnom strategijom izjednačavanja mogućnosti za osobe s invaliditetom za razdoblje 2007.-2015. godine koju je donijela Vlada Republike Hrvatske (NN 63/07), kojom su utvrđeni osnovni zadaci:  </w:t>
      </w:r>
    </w:p>
    <w:p w:rsidR="00D849AA" w:rsidRDefault="00EE6D95">
      <w:pPr>
        <w:pStyle w:val="Normal3"/>
      </w:pPr>
      <w:r>
        <w:t xml:space="preserve">• provedba primjene postojeće zakonske regulative i aktivne politike u području rehabilitacije i zapošljavanja osoba s invaliditetom,  </w:t>
      </w:r>
    </w:p>
    <w:p w:rsidR="00D849AA" w:rsidRDefault="00EE6D95">
      <w:pPr>
        <w:pStyle w:val="Normal3"/>
      </w:pPr>
      <w:r>
        <w:t xml:space="preserve">• osnivanje regionalnih centara za profesionalnu rehabilitaciju s ciljem omogućavanja pristupa osoba s invaliditetom profesionalnoj rehabilitaciji na području RH i razvoj različitih usluga profesionalne rehabilitacije (kao što su npr. radni centar i virtualna radionica), u cilju učinkovitog provođenja procesa profesionalne rehabilitacije,  </w:t>
      </w:r>
    </w:p>
    <w:p w:rsidR="00D849AA" w:rsidRDefault="00EE6D95">
      <w:pPr>
        <w:pStyle w:val="Normal3"/>
      </w:pPr>
      <w:r>
        <w:t xml:space="preserve">• senzibiliziranje poslodavaca, te poticanje na zapošljavanje osoba s invaliditetom,  </w:t>
      </w:r>
    </w:p>
    <w:p w:rsidR="00D849AA" w:rsidRDefault="00EE6D95">
      <w:pPr>
        <w:pStyle w:val="Normal3"/>
      </w:pPr>
      <w:r>
        <w:t xml:space="preserve">• osiguravanje učinkovitih mjera za poticanje samozapošljavanja i odgovarajućih oblika zapošljavanja,  </w:t>
      </w:r>
    </w:p>
    <w:p w:rsidR="00D849AA" w:rsidRDefault="00EE6D95">
      <w:pPr>
        <w:pStyle w:val="Normal3"/>
      </w:pPr>
      <w:r>
        <w:t xml:space="preserve">• utvrđivanje modela pri zapošljavanju osoba s invaliditetom koje se ne mogu zaposliti na otvorenom tržištu rada bez podrške i osiguravanje mjera provođenja podrške pri zapošljavanju. </w:t>
      </w:r>
    </w:p>
    <w:p w:rsidR="007F25F6" w:rsidRDefault="007F25F6">
      <w:pPr>
        <w:pStyle w:val="Normal3"/>
      </w:pPr>
    </w:p>
    <w:p w:rsidR="00D849AA" w:rsidRDefault="00EE6D95">
      <w:pPr>
        <w:pStyle w:val="Normal3"/>
      </w:pPr>
      <w:r>
        <w:t xml:space="preserve">Napomena: </w:t>
      </w:r>
    </w:p>
    <w:p w:rsidR="00D849AA" w:rsidRDefault="00EE6D95">
      <w:pPr>
        <w:pStyle w:val="Normal3"/>
      </w:pPr>
      <w:r>
        <w:t>Imajući u vidu donošenje novog Zakona o profesionalnoj rehabilitaciji i Zakona o jedinstvenom tijelu vještačenja, za pretpostaviti je da će doći do restrukturiranja rada Fonda iz čega će proizaći nove nadležnosti Fonda (akt</w:t>
      </w:r>
      <w:r w:rsidR="00D37802">
        <w:t>ivnosti i programi).</w:t>
      </w:r>
    </w:p>
    <w:p w:rsidR="007F25F6" w:rsidRDefault="007F25F6">
      <w:pPr>
        <w:pStyle w:val="Normal3"/>
      </w:pP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08630</w:t>
            </w:r>
          </w:p>
        </w:tc>
        <w:tc>
          <w:tcPr>
            <w:tcW w:w="1486" w:type="dxa"/>
          </w:tcPr>
          <w:p w:rsidR="00D849AA" w:rsidRDefault="00EE6D95">
            <w:r>
              <w:t>53.089.500</w:t>
            </w:r>
          </w:p>
        </w:tc>
        <w:tc>
          <w:tcPr>
            <w:tcW w:w="1486" w:type="dxa"/>
          </w:tcPr>
          <w:p w:rsidR="00D849AA" w:rsidRDefault="00EE6D95">
            <w:r>
              <w:t>53.089.500</w:t>
            </w:r>
          </w:p>
        </w:tc>
        <w:tc>
          <w:tcPr>
            <w:tcW w:w="1486" w:type="dxa"/>
          </w:tcPr>
          <w:p w:rsidR="00D849AA" w:rsidRDefault="00EE6D95">
            <w:r>
              <w:t>53.259.500</w:t>
            </w:r>
          </w:p>
        </w:tc>
        <w:tc>
          <w:tcPr>
            <w:tcW w:w="1486" w:type="dxa"/>
          </w:tcPr>
          <w:p w:rsidR="00D849AA" w:rsidRDefault="00EE6D95">
            <w:r>
              <w:t>54.289.500</w:t>
            </w:r>
          </w:p>
        </w:tc>
        <w:tc>
          <w:tcPr>
            <w:tcW w:w="1486" w:type="dxa"/>
          </w:tcPr>
          <w:p w:rsidR="00D849AA" w:rsidRDefault="00EE6D95">
            <w:r>
              <w:t>100,0</w:t>
            </w:r>
          </w:p>
        </w:tc>
      </w:tr>
    </w:tbl>
    <w:p w:rsidR="00D849AA" w:rsidRDefault="00D849AA">
      <w:pPr>
        <w:jc w:val="left"/>
      </w:pPr>
    </w:p>
    <w:p w:rsidR="00D849AA" w:rsidRDefault="00EE6D95">
      <w:pPr>
        <w:pStyle w:val="Naslov4"/>
      </w:pPr>
      <w:r>
        <w:t>OBRAZLOŽENJE PROGRAMA</w:t>
      </w:r>
    </w:p>
    <w:p w:rsidR="00D849AA" w:rsidRDefault="00EE6D95">
      <w:pPr>
        <w:pStyle w:val="Naslov5"/>
      </w:pPr>
      <w:r>
        <w:t>3301 AKTIVNA POLITIKA TRŽIŠTA RADA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3301</w:t>
            </w:r>
          </w:p>
        </w:tc>
        <w:tc>
          <w:tcPr>
            <w:tcW w:w="1486" w:type="dxa"/>
          </w:tcPr>
          <w:p w:rsidR="00D849AA" w:rsidRDefault="00EE6D95">
            <w:r>
              <w:t>53.089.500</w:t>
            </w:r>
          </w:p>
        </w:tc>
        <w:tc>
          <w:tcPr>
            <w:tcW w:w="1486" w:type="dxa"/>
          </w:tcPr>
          <w:p w:rsidR="00D849AA" w:rsidRDefault="00EE6D95">
            <w:r>
              <w:t>53.089.500</w:t>
            </w:r>
          </w:p>
        </w:tc>
        <w:tc>
          <w:tcPr>
            <w:tcW w:w="1486" w:type="dxa"/>
          </w:tcPr>
          <w:p w:rsidR="00D849AA" w:rsidRDefault="00EE6D95">
            <w:r>
              <w:t>53.259.500</w:t>
            </w:r>
          </w:p>
        </w:tc>
        <w:tc>
          <w:tcPr>
            <w:tcW w:w="1486" w:type="dxa"/>
          </w:tcPr>
          <w:p w:rsidR="00D849AA" w:rsidRDefault="00EE6D95">
            <w:r>
              <w:t>54.289.500</w:t>
            </w:r>
          </w:p>
        </w:tc>
        <w:tc>
          <w:tcPr>
            <w:tcW w:w="1486" w:type="dxa"/>
          </w:tcPr>
          <w:p w:rsidR="00D849AA" w:rsidRDefault="00EE6D95">
            <w:r>
              <w:t>100,0</w:t>
            </w:r>
          </w:p>
        </w:tc>
      </w:tr>
    </w:tbl>
    <w:p w:rsidR="00D849AA" w:rsidRDefault="00D849AA">
      <w:pPr>
        <w:jc w:val="left"/>
      </w:pPr>
    </w:p>
    <w:p w:rsidR="00D849AA" w:rsidRDefault="00EE6D95">
      <w:pPr>
        <w:pStyle w:val="Naslov6"/>
      </w:pPr>
      <w:r>
        <w:lastRenderedPageBreak/>
        <w:t>Opis programa</w:t>
      </w:r>
    </w:p>
    <w:p w:rsidR="00D849AA" w:rsidRDefault="00EE6D95">
      <w:pPr>
        <w:pStyle w:val="Normal5"/>
      </w:pPr>
      <w:r>
        <w:t>Ispunjavanje zadaća iz Zakona o profesionalnoj rehabilitaciji i zapošljavanju osoba s invaliditetom, ispunjavanje ciljeva Nacionalne strategije izjednačavanja mogućnosti za osobe s invaliditetom, aktivno sudjelovanje u razvoju učinkovitoga sustava profesionalne rehabilitacije i održivog uključivanja osoba s invaliditetom na otvoreno tržište rada, prilagođenom tržištu rada i potrebama osoba s invaliditetom.</w:t>
      </w:r>
    </w:p>
    <w:p w:rsidR="00D849AA" w:rsidRDefault="00EE6D95">
      <w:pPr>
        <w:pStyle w:val="Naslov6"/>
      </w:pPr>
      <w:r>
        <w:t>Zakonske i druge pravne osnove</w:t>
      </w:r>
    </w:p>
    <w:p w:rsidR="00D849AA" w:rsidRDefault="00EE6D95">
      <w:pPr>
        <w:pStyle w:val="Normal5"/>
      </w:pPr>
      <w:r>
        <w:t xml:space="preserve">Zakon o profesionalnoj rehabilitaciji i zapošljavanju osoba s invaliditetom (NN 143/02, NN 33/05). </w:t>
      </w:r>
    </w:p>
    <w:p w:rsidR="00D849AA" w:rsidRDefault="00EE6D95">
      <w:pPr>
        <w:pStyle w:val="Normal5"/>
      </w:pPr>
      <w:r>
        <w:t xml:space="preserve">Nacionalna strategija izjednačavanja mogućnosti za osobe s invaliditetom za razdoblje 2007.-2015. godine (NN 63/07). </w:t>
      </w:r>
    </w:p>
    <w:p w:rsidR="00D849AA" w:rsidRDefault="00EE6D95">
      <w:pPr>
        <w:pStyle w:val="Normal5"/>
      </w:pPr>
      <w:r>
        <w:t>Odluka o načinu ostvarivanja poticaja pri zapošljavanju osoba s invaliditetom (NN 08/08, 20/09, 96/09, 44/10 i 97/13).</w:t>
      </w:r>
    </w:p>
    <w:p w:rsidR="007F25F6" w:rsidRDefault="007F25F6">
      <w:pPr>
        <w:pStyle w:val="Normal5"/>
      </w:pP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Cilj 1. Opći cilj 1. Uključivanje osoba s invaliditetom na tržište rada</w:t>
      </w:r>
    </w:p>
    <w:p w:rsidR="00D849AA" w:rsidRDefault="00EE6D95">
      <w:pPr>
        <w:pStyle w:val="Normal6"/>
      </w:pPr>
      <w:r>
        <w:t xml:space="preserve">Pravo na rad je jedno od osnovnih ljudskih prava zagarantirano Ustavom i onemogućavanje vršenja tog prava predstavlja njegovo kršenje i diskriminaciju. U uvjetima koji vladaju na hrvatskom tržištu rada, povećane ponude i smanjene potražnje radne snage, osobe s invaliditetom imaju velike teškoće u konkuriranju za slobodna radna mjesta. Proces zapošljavanja je izrazito konkurentan, te je mjere osiguranja konkurentnosti osoba s invaliditetom na otvorenom tržištu rada potrebno poduzimati od trenutka stjecanja invaliditeta. Za uspješno ostvarenje toga cilja potrebno je koordinirano djelovanje svih dijelova društva, različitih sustava (sustava obrazovanja, sustava zdravstva, mirovinskog sustava, sustava zapošljavanja i sustava socijalne skrbi), institucija, udruga i pojedinaca koji djeluju na tržištu rada.  </w:t>
      </w:r>
    </w:p>
    <w:p w:rsidR="00D849AA" w:rsidRDefault="00EE6D95">
      <w:pPr>
        <w:pStyle w:val="Normal6"/>
      </w:pPr>
      <w:r>
        <w:t xml:space="preserve">Još uvijek se ne prepoznaju mogućnosti koje se otvaraju zapošljavanjem osoba s invaliditetom na otvorenom tržištu rada, od kojih je najinteresantnija za poslodavce ekonomska isplativost, kako od rada samih osoba s invaliditetom, tako i od poticaja koje poslodavci za njihovo zapošljavanje ostvaruju putem Fonda.  </w:t>
      </w:r>
    </w:p>
    <w:p w:rsidR="00D849AA" w:rsidRDefault="00EE6D95">
      <w:pPr>
        <w:pStyle w:val="Normal6"/>
      </w:pPr>
      <w:r>
        <w:t xml:space="preserve">Fond kroz svoje aktivnosti kontinuirano radi na omogućavanju i poboljšavanju uvjeta za aktivno uključivanje osoba s invaliditetom na tržište rada.  </w:t>
      </w:r>
    </w:p>
    <w:p w:rsidR="00D849AA" w:rsidRDefault="00EE6D95">
      <w:pPr>
        <w:pStyle w:val="Normal6"/>
      </w:pPr>
      <w:r>
        <w:t>Sukladno Zakonu o profesionalnoj rehabilitaciji i zapošljavanju osoba s invaliditetom i Nacionalnoj strategiji izjednačavanja mogućnosti za osobe s invaliditetom, cilj je zapošljavanje osoba s invaliditetom, prvenstveno na otvorenom tržištu rada, temeljeno na mogućnostima (kompetencijama) osoba s invaliditetom. U situacijama kada se osobe s invaliditetom zbog svoje težine invaliditeta ne mogu uključiti na otvoreno tržište rada, Fond potiče zapošljavanje u posebnim uvjetima.</w:t>
      </w:r>
    </w:p>
    <w:p w:rsidR="007F25F6" w:rsidRDefault="007F25F6">
      <w:pPr>
        <w:pStyle w:val="Normal6"/>
      </w:pPr>
    </w:p>
    <w:p w:rsidR="00562CD8" w:rsidRDefault="00562CD8">
      <w:pPr>
        <w:pStyle w:val="Normal6"/>
      </w:pPr>
    </w:p>
    <w:p w:rsidR="00562CD8" w:rsidRDefault="00562CD8">
      <w:pPr>
        <w:pStyle w:val="Normal6"/>
      </w:pPr>
    </w:p>
    <w:p w:rsidR="00562CD8" w:rsidRDefault="00562CD8">
      <w:pPr>
        <w:pStyle w:val="Normal6"/>
      </w:pPr>
    </w:p>
    <w:p w:rsidR="00562CD8" w:rsidRDefault="00562CD8">
      <w:pPr>
        <w:pStyle w:val="Normal6"/>
      </w:pPr>
    </w:p>
    <w:p w:rsidR="00D849AA" w:rsidRDefault="00EE6D95">
      <w:pPr>
        <w:pStyle w:val="Naslov8"/>
        <w:jc w:val="left"/>
      </w:pPr>
      <w:r>
        <w:lastRenderedPageBreak/>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1.1. Provođenje aktivne politike zapošljavanja OSI na tržištu rada</w:t>
            </w:r>
          </w:p>
        </w:tc>
        <w:tc>
          <w:tcPr>
            <w:tcW w:w="1114" w:type="dxa"/>
          </w:tcPr>
          <w:p w:rsidR="00D849AA" w:rsidRDefault="00EE6D95">
            <w:r>
              <w:t>broj</w:t>
            </w:r>
          </w:p>
        </w:tc>
        <w:tc>
          <w:tcPr>
            <w:tcW w:w="1114" w:type="dxa"/>
          </w:tcPr>
          <w:p w:rsidR="00D849AA" w:rsidRDefault="00EE6D95">
            <w:r>
              <w:t>1297</w:t>
            </w:r>
          </w:p>
        </w:tc>
        <w:tc>
          <w:tcPr>
            <w:tcW w:w="1486" w:type="dxa"/>
          </w:tcPr>
          <w:p w:rsidR="00D849AA" w:rsidRDefault="00EE6D95">
            <w:r>
              <w:t>1400</w:t>
            </w:r>
          </w:p>
        </w:tc>
        <w:tc>
          <w:tcPr>
            <w:tcW w:w="1486" w:type="dxa"/>
          </w:tcPr>
          <w:p w:rsidR="00D849AA" w:rsidRDefault="00EE6D95">
            <w:r>
              <w:t>1500</w:t>
            </w:r>
          </w:p>
        </w:tc>
        <w:tc>
          <w:tcPr>
            <w:tcW w:w="1486" w:type="dxa"/>
          </w:tcPr>
          <w:p w:rsidR="00D849AA" w:rsidRDefault="00EE6D95">
            <w:r>
              <w:t>1600</w:t>
            </w:r>
          </w:p>
        </w:tc>
      </w:tr>
    </w:tbl>
    <w:p w:rsidR="00D849AA" w:rsidRDefault="00D849AA">
      <w:pPr>
        <w:jc w:val="left"/>
      </w:pPr>
    </w:p>
    <w:p w:rsidR="00D849AA" w:rsidRDefault="00EE6D95">
      <w:pPr>
        <w:pStyle w:val="Naslov7"/>
      </w:pPr>
      <w:r>
        <w:t>Cilj 2. Posebni cilj 1.1. Provođenje aktivne politike zapošljavanja osoba s invaliditetom na tržište rada</w:t>
      </w:r>
    </w:p>
    <w:p w:rsidR="00D849AA" w:rsidRDefault="00EE6D95">
      <w:pPr>
        <w:pStyle w:val="Normal6"/>
      </w:pPr>
      <w:r>
        <w:t xml:space="preserve">Osobe s invaliditetom imaju otežan pristup tržištu rada, što je posljedica raznih čimbenika, međutim u ovom trenutku, taj je problem dodatno naglašen u uvjetima gospodarske krize, koja je utjecala na povećanje nezaposlenosti svih skupina, a ne samo osoba s invaliditetom. Upravo povećan broj nezaposlenih dodatno otežava pristup tržištu rada osobama s invaliditetom. Zbog toga je važno da Fond nastavi sa Aktivnom politikom zapošljavanja osoba s invaliditetom, kako bi se tim mjerama omogućilo ravnopravnije sudjelovanje na tržištu rada osobama s invaliditetom.  </w:t>
      </w:r>
    </w:p>
    <w:p w:rsidR="00D849AA" w:rsidRDefault="00EE6D95">
      <w:pPr>
        <w:pStyle w:val="Normal6"/>
      </w:pPr>
      <w:r>
        <w:t>Poticaji koje dodjeljuje Fond namijenjeni su isključivo poslodavcima koji zapošljavaju osobe s invaliditetom. Glavni uvjet za korištenje poticaja Fonda, za poslodavca je sklapanje ugovora o radu s osobom s invaliditetom, čime se direktno i ostvaruje opći cilj Strateškog plana Fonda, a to je uključivanje osoba s invaliditetom na tržište rada.</w:t>
      </w:r>
    </w:p>
    <w:p w:rsidR="00562CD8" w:rsidRDefault="00562CD8">
      <w:pPr>
        <w:pStyle w:val="Normal6"/>
      </w:pP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Broj poslodavaca korisnika poticaja</w:t>
            </w:r>
          </w:p>
        </w:tc>
        <w:tc>
          <w:tcPr>
            <w:tcW w:w="1114" w:type="dxa"/>
          </w:tcPr>
          <w:p w:rsidR="00D849AA" w:rsidRDefault="00EE6D95">
            <w:r>
              <w:t>broj</w:t>
            </w:r>
          </w:p>
        </w:tc>
        <w:tc>
          <w:tcPr>
            <w:tcW w:w="1114" w:type="dxa"/>
          </w:tcPr>
          <w:p w:rsidR="00D849AA" w:rsidRDefault="00EE6D95">
            <w:r>
              <w:t>378</w:t>
            </w:r>
          </w:p>
        </w:tc>
        <w:tc>
          <w:tcPr>
            <w:tcW w:w="1486" w:type="dxa"/>
          </w:tcPr>
          <w:p w:rsidR="00D849AA" w:rsidRDefault="00EE6D95">
            <w:r>
              <w:t>420</w:t>
            </w:r>
          </w:p>
        </w:tc>
        <w:tc>
          <w:tcPr>
            <w:tcW w:w="1486" w:type="dxa"/>
          </w:tcPr>
          <w:p w:rsidR="00D849AA" w:rsidRDefault="00EE6D95">
            <w:r>
              <w:t>450</w:t>
            </w:r>
          </w:p>
        </w:tc>
        <w:tc>
          <w:tcPr>
            <w:tcW w:w="1486" w:type="dxa"/>
          </w:tcPr>
          <w:p w:rsidR="00D849AA" w:rsidRDefault="00EE6D95">
            <w:r>
              <w:t>480</w:t>
            </w:r>
          </w:p>
        </w:tc>
      </w:tr>
      <w:tr w:rsidR="00D849AA">
        <w:trPr>
          <w:jc w:val="center"/>
        </w:trPr>
        <w:tc>
          <w:tcPr>
            <w:tcW w:w="2229" w:type="dxa"/>
          </w:tcPr>
          <w:p w:rsidR="00D849AA" w:rsidRDefault="00EE6D95">
            <w:pPr>
              <w:pStyle w:val="CellColumn"/>
            </w:pPr>
            <w:r>
              <w:t>Broj zaposlenih OSI za koje poslodavci koriste poticaje</w:t>
            </w:r>
          </w:p>
        </w:tc>
        <w:tc>
          <w:tcPr>
            <w:tcW w:w="1114" w:type="dxa"/>
          </w:tcPr>
          <w:p w:rsidR="00D849AA" w:rsidRDefault="00EE6D95">
            <w:r>
              <w:t>broj</w:t>
            </w:r>
          </w:p>
        </w:tc>
        <w:tc>
          <w:tcPr>
            <w:tcW w:w="1114" w:type="dxa"/>
          </w:tcPr>
          <w:p w:rsidR="00D849AA" w:rsidRDefault="00EE6D95">
            <w:r>
              <w:t>1297</w:t>
            </w:r>
          </w:p>
        </w:tc>
        <w:tc>
          <w:tcPr>
            <w:tcW w:w="1486" w:type="dxa"/>
          </w:tcPr>
          <w:p w:rsidR="00D849AA" w:rsidRDefault="00EE6D95">
            <w:r>
              <w:t>1400</w:t>
            </w:r>
          </w:p>
        </w:tc>
        <w:tc>
          <w:tcPr>
            <w:tcW w:w="1486" w:type="dxa"/>
          </w:tcPr>
          <w:p w:rsidR="00D849AA" w:rsidRDefault="00EE6D95">
            <w:r>
              <w:t>1500</w:t>
            </w:r>
          </w:p>
        </w:tc>
        <w:tc>
          <w:tcPr>
            <w:tcW w:w="1486" w:type="dxa"/>
          </w:tcPr>
          <w:p w:rsidR="00D849AA" w:rsidRDefault="00EE6D95">
            <w:r>
              <w:t>1600</w:t>
            </w:r>
          </w:p>
        </w:tc>
      </w:tr>
      <w:tr w:rsidR="00D849AA">
        <w:trPr>
          <w:jc w:val="center"/>
        </w:trPr>
        <w:tc>
          <w:tcPr>
            <w:tcW w:w="2229" w:type="dxa"/>
          </w:tcPr>
          <w:p w:rsidR="00D849AA" w:rsidRDefault="00EE6D95">
            <w:pPr>
              <w:pStyle w:val="CellColumn"/>
            </w:pPr>
            <w:r>
              <w:t>Broj tiskanih materijala za poslodavce</w:t>
            </w:r>
          </w:p>
        </w:tc>
        <w:tc>
          <w:tcPr>
            <w:tcW w:w="1114" w:type="dxa"/>
          </w:tcPr>
          <w:p w:rsidR="00D849AA" w:rsidRDefault="00EE6D95">
            <w:r>
              <w:t>broj</w:t>
            </w:r>
          </w:p>
        </w:tc>
        <w:tc>
          <w:tcPr>
            <w:tcW w:w="1114" w:type="dxa"/>
          </w:tcPr>
          <w:p w:rsidR="00D849AA" w:rsidRDefault="00EE6D95">
            <w:r>
              <w:t>1000</w:t>
            </w:r>
          </w:p>
        </w:tc>
        <w:tc>
          <w:tcPr>
            <w:tcW w:w="1486" w:type="dxa"/>
          </w:tcPr>
          <w:p w:rsidR="00D849AA" w:rsidRDefault="00EE6D95">
            <w:r>
              <w:t>1500</w:t>
            </w:r>
          </w:p>
        </w:tc>
        <w:tc>
          <w:tcPr>
            <w:tcW w:w="1486" w:type="dxa"/>
          </w:tcPr>
          <w:p w:rsidR="00D849AA" w:rsidRDefault="00EE6D95">
            <w:r>
              <w:t>1750</w:t>
            </w:r>
          </w:p>
        </w:tc>
        <w:tc>
          <w:tcPr>
            <w:tcW w:w="1486" w:type="dxa"/>
          </w:tcPr>
          <w:p w:rsidR="00D849AA" w:rsidRDefault="00EE6D95">
            <w:r>
              <w:t>2000</w:t>
            </w:r>
          </w:p>
        </w:tc>
      </w:tr>
      <w:tr w:rsidR="00D849AA">
        <w:trPr>
          <w:jc w:val="center"/>
        </w:trPr>
        <w:tc>
          <w:tcPr>
            <w:tcW w:w="2229" w:type="dxa"/>
          </w:tcPr>
          <w:p w:rsidR="00D849AA" w:rsidRDefault="00EE6D95">
            <w:pPr>
              <w:pStyle w:val="CellColumn"/>
            </w:pPr>
            <w:r>
              <w:t>Broj TV i radio emisija</w:t>
            </w:r>
          </w:p>
        </w:tc>
        <w:tc>
          <w:tcPr>
            <w:tcW w:w="1114" w:type="dxa"/>
          </w:tcPr>
          <w:p w:rsidR="00D849AA" w:rsidRDefault="00EE6D95">
            <w:r>
              <w:t>broj</w:t>
            </w:r>
          </w:p>
        </w:tc>
        <w:tc>
          <w:tcPr>
            <w:tcW w:w="1114" w:type="dxa"/>
          </w:tcPr>
          <w:p w:rsidR="00D849AA" w:rsidRDefault="00EE6D95">
            <w:r>
              <w:t>12</w:t>
            </w:r>
          </w:p>
        </w:tc>
        <w:tc>
          <w:tcPr>
            <w:tcW w:w="1486" w:type="dxa"/>
          </w:tcPr>
          <w:p w:rsidR="00D849AA" w:rsidRDefault="00EE6D95">
            <w:r>
              <w:t>15</w:t>
            </w:r>
          </w:p>
        </w:tc>
        <w:tc>
          <w:tcPr>
            <w:tcW w:w="1486" w:type="dxa"/>
          </w:tcPr>
          <w:p w:rsidR="00D849AA" w:rsidRDefault="00EE6D95">
            <w:r>
              <w:t>17</w:t>
            </w:r>
          </w:p>
        </w:tc>
        <w:tc>
          <w:tcPr>
            <w:tcW w:w="1486" w:type="dxa"/>
          </w:tcPr>
          <w:p w:rsidR="00D849AA" w:rsidRDefault="00EE6D95">
            <w:r>
              <w:t>20</w:t>
            </w:r>
          </w:p>
        </w:tc>
      </w:tr>
      <w:tr w:rsidR="00D849AA">
        <w:trPr>
          <w:jc w:val="center"/>
        </w:trPr>
        <w:tc>
          <w:tcPr>
            <w:tcW w:w="2229" w:type="dxa"/>
          </w:tcPr>
          <w:p w:rsidR="00D849AA" w:rsidRDefault="00EE6D95">
            <w:pPr>
              <w:pStyle w:val="CellColumn"/>
            </w:pPr>
            <w:r>
              <w:t>Broj sudjelovanja na stručnim skupovima</w:t>
            </w:r>
          </w:p>
        </w:tc>
        <w:tc>
          <w:tcPr>
            <w:tcW w:w="1114" w:type="dxa"/>
          </w:tcPr>
          <w:p w:rsidR="00D849AA" w:rsidRDefault="00EE6D95">
            <w:r>
              <w:t>broj</w:t>
            </w:r>
          </w:p>
        </w:tc>
        <w:tc>
          <w:tcPr>
            <w:tcW w:w="1114" w:type="dxa"/>
          </w:tcPr>
          <w:p w:rsidR="00D849AA" w:rsidRDefault="00EE6D95">
            <w:r>
              <w:t>11</w:t>
            </w:r>
          </w:p>
        </w:tc>
        <w:tc>
          <w:tcPr>
            <w:tcW w:w="1486" w:type="dxa"/>
          </w:tcPr>
          <w:p w:rsidR="00D849AA" w:rsidRDefault="00EE6D95">
            <w:r>
              <w:t>13</w:t>
            </w:r>
          </w:p>
        </w:tc>
        <w:tc>
          <w:tcPr>
            <w:tcW w:w="1486" w:type="dxa"/>
          </w:tcPr>
          <w:p w:rsidR="00D849AA" w:rsidRDefault="00EE6D95">
            <w:r>
              <w:t>15</w:t>
            </w:r>
          </w:p>
        </w:tc>
        <w:tc>
          <w:tcPr>
            <w:tcW w:w="1486" w:type="dxa"/>
          </w:tcPr>
          <w:p w:rsidR="00D849AA" w:rsidRDefault="00EE6D95">
            <w:r>
              <w:t>17</w:t>
            </w:r>
          </w:p>
        </w:tc>
      </w:tr>
      <w:tr w:rsidR="00D849AA">
        <w:trPr>
          <w:jc w:val="center"/>
        </w:trPr>
        <w:tc>
          <w:tcPr>
            <w:tcW w:w="2229" w:type="dxa"/>
          </w:tcPr>
          <w:p w:rsidR="00D849AA" w:rsidRDefault="00EE6D95">
            <w:pPr>
              <w:pStyle w:val="CellColumn"/>
            </w:pPr>
            <w:r>
              <w:t>Postotak izvršenih kontrola s obzirom na pristigle zahtjeve</w:t>
            </w:r>
          </w:p>
        </w:tc>
        <w:tc>
          <w:tcPr>
            <w:tcW w:w="1114" w:type="dxa"/>
          </w:tcPr>
          <w:p w:rsidR="00D849AA" w:rsidRDefault="00EE6D95">
            <w:r>
              <w:t>postotak</w:t>
            </w:r>
          </w:p>
        </w:tc>
        <w:tc>
          <w:tcPr>
            <w:tcW w:w="1114" w:type="dxa"/>
          </w:tcPr>
          <w:p w:rsidR="00D849AA" w:rsidRDefault="00EE6D95">
            <w:r>
              <w:t>100</w:t>
            </w:r>
          </w:p>
        </w:tc>
        <w:tc>
          <w:tcPr>
            <w:tcW w:w="1486" w:type="dxa"/>
          </w:tcPr>
          <w:p w:rsidR="00D849AA" w:rsidRDefault="00EE6D95">
            <w:r>
              <w:t>100</w:t>
            </w:r>
          </w:p>
        </w:tc>
        <w:tc>
          <w:tcPr>
            <w:tcW w:w="1486" w:type="dxa"/>
          </w:tcPr>
          <w:p w:rsidR="00D849AA" w:rsidRDefault="00EE6D95">
            <w:r>
              <w:t>100</w:t>
            </w:r>
          </w:p>
        </w:tc>
        <w:tc>
          <w:tcPr>
            <w:tcW w:w="1486" w:type="dxa"/>
          </w:tcPr>
          <w:p w:rsidR="00D849AA" w:rsidRDefault="00EE6D95">
            <w:r>
              <w:t>100</w:t>
            </w:r>
          </w:p>
        </w:tc>
      </w:tr>
    </w:tbl>
    <w:p w:rsidR="00D849AA" w:rsidRDefault="00D849AA">
      <w:pPr>
        <w:jc w:val="left"/>
      </w:pPr>
    </w:p>
    <w:p w:rsidR="00D849AA" w:rsidRDefault="00EE6D95">
      <w:pPr>
        <w:pStyle w:val="Naslov7"/>
      </w:pPr>
      <w:r>
        <w:lastRenderedPageBreak/>
        <w:t>Cilj 3. Posebni cilj 1.2. Unapređenje mjera profesionalne rehabilitacije</w:t>
      </w:r>
    </w:p>
    <w:p w:rsidR="00D849AA" w:rsidRDefault="00EE6D95">
      <w:pPr>
        <w:pStyle w:val="Normal6"/>
      </w:pPr>
      <w:r>
        <w:t xml:space="preserve">Unaprjeđivanjem sustava profesionalne rehabilitacije, poticaji bi se usmjeravali na najteže zapošljive skupine osoba s invaliditetom, koje zaslužuju posebnu pozornost. </w:t>
      </w:r>
    </w:p>
    <w:p w:rsidR="00D849AA" w:rsidRDefault="00EE6D95">
      <w:pPr>
        <w:pStyle w:val="Normal6"/>
      </w:pPr>
      <w:r>
        <w:t xml:space="preserve">Kako bi se to postiglo, potrebno je unaprijediti sustav profesionalne rehabilitacije, na način da se osigura dobra procjena radnih sposobnosti osoba s invaliditetom,  kvalitetno obrazovanje, prekvalifikacija, usavršavanje i stručno osposobljavanje usklađeno sa potrebama tržišta rada, te brža prilagodljivost potrebama tržišta rada. Potrebno je koristiti znanja i iskustva EU kako bi poboljšali status Republike Hrvatske kao članice EU u području profesionalne rehabilitacije.  </w:t>
      </w:r>
    </w:p>
    <w:p w:rsidR="00D849AA" w:rsidRDefault="00EE6D95">
      <w:pPr>
        <w:pStyle w:val="Normal6"/>
      </w:pPr>
      <w:r>
        <w:t xml:space="preserve">Uspoređivanje i analiziranje zakonskih odredbi u profesionalnoj rehabilitaciji </w:t>
      </w:r>
    </w:p>
    <w:p w:rsidR="00D849AA" w:rsidRDefault="00EE6D95">
      <w:pPr>
        <w:pStyle w:val="Normal6"/>
      </w:pPr>
      <w:r>
        <w:t xml:space="preserve">Obzirom na nedostatnu zakonsku regulativu, nedostatak razvijenog modela profesionalne rehabilitacije, te kriterija i mjerila za provođenje profesionalne rehabilitacije, nemoguće ju je provoditi na način kako je to zamišljeno Zakonom. Sukladno navedenim ograničenjima profesionalna rehabilitacija se u Republici Hrvatskoj provodi djelomično ili se uopće ne provodi. Od 2009. godine osnovana je međuresorna radna skupina (u čijem radu aktivno sudjeluje i Fond) za provođenje mjera Nacionalne strategije izjednačavanja mogućnosti za osobe s invaliditetom 2007.-2015., vezano uz utvrđivanje jedinstvene liste oštećenja, jedinstvenog tijela vještačenja i načina provođenja profesionalne rehabilitacije, što će biti temelj za uvođenje odnosno implementaciju modela profesionalne rehabilitacije i uspostavu mreže Centara za profesionalnu rehabilitaciju. </w:t>
      </w:r>
    </w:p>
    <w:p w:rsidR="00D849AA" w:rsidRDefault="00EE6D95">
      <w:pPr>
        <w:pStyle w:val="Normal6"/>
      </w:pPr>
      <w:r>
        <w:t xml:space="preserve">Rezultat rada radne skupine je donošenje novog Zakona profesionalnoj rehabilitaciji i zapošljavanju osoba s invaliditetom i Zakona o jedinstvenom tijelu vještačenja, koji bi trebali stupiti na snagu u 2014. godini.  </w:t>
      </w:r>
    </w:p>
    <w:p w:rsidR="00D849AA" w:rsidRDefault="00EE6D95">
      <w:pPr>
        <w:pStyle w:val="Normal6"/>
      </w:pPr>
      <w:r>
        <w:t xml:space="preserve">Utvrđivanje modela sufinanciranja radnih centara </w:t>
      </w:r>
    </w:p>
    <w:p w:rsidR="00D849AA" w:rsidRDefault="00EE6D95">
      <w:pPr>
        <w:pStyle w:val="Normal6"/>
      </w:pPr>
      <w:r>
        <w:t xml:space="preserve">Radni centar definiran je kao ustanova koja skrbi o osobama s invaliditetom koje se ne mogu zaposliti ili održati zaposlenost u općim ili posebnim uvjetima. Zakonom o profesionalnoj rehabilitaciji i zapošljavanju osoba s invaliditetom je propisano da sredstva za rad radnog centra osiguravaju osnivači radnih centara i Fond. Radi se o znatnim novčanim sredstvima koja se mogu potraživati od Fonda po zakonskoj osnovi, a Zakonom nije detaljno propisano na što se odnose sredstva za rad radnog centra koja osiguravaju osnivač radnih centra i Fond. Nejasno je da li se tu radi o inicijalnim sredstvima za osnivanje radnog centra, ili se radi o sredstvima koja se kontinuirano osiguravaju radnom centru za redovno poslovanje, ili možda kombinacija oba načina financiranja. Također iz ove odredbe nije jasno u kojem omjeru trebaju osnivač radnih centra i Fond sudjelovati u sredstvima. </w:t>
      </w:r>
    </w:p>
    <w:p w:rsidR="00D849AA" w:rsidRDefault="00EE6D95">
      <w:pPr>
        <w:pStyle w:val="Normal6"/>
      </w:pPr>
      <w:r>
        <w:t xml:space="preserve">Fond je od srpnja 2009. godine pokrenuo pilot projekt „Utvrđivanje kriterija i modela za sufinanciranje rada radnog centra od strane Fonda za profesionalnu rehabilitaciju i zapošljavanje osoba s invaliditetom„. Zakonom o profesionalnoj rehabilitaciji predviđeni su oblici i vrste rada osoba s invaliditetom. Osobi s invaliditetom koja se na temelju radnih i općih sposobnosti ne može zaposliti i održati zaposlenje u posebnim radnim  uvjetima kod poslodavaca ili u zaštitnoj radionici, može se osigurati rad u radnom centru. Važno je napomenuti da u Republici Hrvatskoj ne postoji mreža radnih centra zamišljena Zakonom, već postoje tri radna centra u ovom trenutku, koji imaju vrlo male kapacitete i broj korisnika, u odnosu na potrebe osoba s invaliditetom. Izvršenje ovog projekta otvorit će vrata za iznalaženje prikladnog modela osnivanja i sufinanciranja radnih centara u skladu s financijskom situacijom u Republici Hrvatskoj i stvarnim potrebama za korištenje usluga radnog centra, kao i razvijanju daljnjih aktivnosti s ciljem pružanja mogućnosti pripreme za ulazak na tržište rada osobama s invaliditetom.  </w:t>
      </w:r>
    </w:p>
    <w:p w:rsidR="007F25F6" w:rsidRDefault="007F25F6">
      <w:pPr>
        <w:pStyle w:val="Normal6"/>
      </w:pPr>
    </w:p>
    <w:p w:rsidR="00562CD8" w:rsidRDefault="00562CD8">
      <w:pPr>
        <w:pStyle w:val="Normal6"/>
      </w:pPr>
    </w:p>
    <w:p w:rsidR="00D849AA" w:rsidRDefault="00EE6D95">
      <w:pPr>
        <w:pStyle w:val="Normal6"/>
      </w:pPr>
      <w:r>
        <w:lastRenderedPageBreak/>
        <w:t xml:space="preserve">Utvrđivanje modela sufinanciranja virtualnih radionica </w:t>
      </w:r>
    </w:p>
    <w:p w:rsidR="00D849AA" w:rsidRDefault="00EE6D95">
      <w:pPr>
        <w:pStyle w:val="Normal6"/>
      </w:pPr>
      <w:r>
        <w:t xml:space="preserve">Iz sredstava EU u okviru IV komponente IPA programa : Razvoj ljudskih potencijala – Poticanje intenzivnijeg uključivanja osoba s invaliditetom na tržište rada, zaštitna radionica URIHO je uvela model virtualne radionice (vježbeničke tvrtke) za dugotrajno nezaposlene osobe s invaliditetom u kojoj su se osposobljavali korisnici za 3 vrste administrativnih zanimanja. Projekt je završio krajem 2011. godine i istom je potrebno osigurati održivost do trenutka osnivanja centara za profesionalnu rehabilitaciju, kada će virtualna radionica biti jedna od usluga u okviru zakonski propisanih mjera i aktivnosti.  </w:t>
      </w:r>
    </w:p>
    <w:p w:rsidR="00D849AA" w:rsidRDefault="00EE6D95">
      <w:pPr>
        <w:pStyle w:val="Normal6"/>
      </w:pPr>
      <w:r>
        <w:t xml:space="preserve">Izrada standarda i usluga profesionalne rehabilitacije </w:t>
      </w:r>
    </w:p>
    <w:p w:rsidR="00D849AA" w:rsidRDefault="00EE6D95">
      <w:pPr>
        <w:pStyle w:val="Normal6"/>
      </w:pPr>
      <w:r>
        <w:t xml:space="preserve">Projekt  je nastavak na već provedene projekte (Profesionalna rehabilitacija kao metoda integracije osoba s invaliditetom na hrvatskom tržištu rada – suradnja sa BBRZ iz Republike Austrije. Utvrđivanje kriterija i modela za sufinanciranje rada radnog centra – uključene dvije korisničke institucije – URIHO i Udruga za promicanje INKLUZIJE , čiji je cilj bio utvrđivanje jedinstvenog modela profesionalne rehabilitacije za Republiku Hrvatsku. </w:t>
      </w:r>
    </w:p>
    <w:p w:rsidR="007F25F6" w:rsidRDefault="007F25F6">
      <w:pPr>
        <w:pStyle w:val="Normal6"/>
      </w:pPr>
    </w:p>
    <w:p w:rsidR="00D849AA" w:rsidRDefault="00EE6D95">
      <w:pPr>
        <w:pStyle w:val="Normal6"/>
      </w:pPr>
      <w:r>
        <w:t xml:space="preserve">Primjena REHA tehnologija </w:t>
      </w:r>
    </w:p>
    <w:p w:rsidR="00D849AA" w:rsidRDefault="00EE6D95">
      <w:pPr>
        <w:pStyle w:val="Normal6"/>
      </w:pPr>
      <w:r>
        <w:t xml:space="preserve">Rehabilitacijska tehnologija je termin kojim se opisuju naprave, sustavi ili dizajni,  preinačeni ili prilagođeni korisniku, koji omogućavaju pojedincu da obave zadatak koji inače ne bi bili u mogućnosti obaviti, ili pak da olakšaju ili pojačaju sigurnost sa kojom se taj zadatak može obaviti.  Kako u Republici Hrvatskoj ne postoji ciljano formalno obrazovanje za stručnjake rehabilitacijske tehnologije (isto ne postoji niti u zemljama EU), projektne aktivnosti imaju za cilj educirati i osposobiti određeni broj stručnjaka za ovo područje, koristeći znanja i iskustva, prvenstveno organizacije BBRZ iz Republike Austrije. </w:t>
      </w:r>
    </w:p>
    <w:p w:rsidR="00D849AA" w:rsidRDefault="00EE6D95">
      <w:pPr>
        <w:pStyle w:val="Normal6"/>
      </w:pPr>
      <w:r>
        <w:t xml:space="preserve">Edukacija stručnjaka za primjenu modela profesionalne rehabilitacije </w:t>
      </w:r>
    </w:p>
    <w:p w:rsidR="00D849AA" w:rsidRDefault="00EE6D95">
      <w:pPr>
        <w:pStyle w:val="Normal6"/>
      </w:pPr>
      <w:r>
        <w:t>Fond ostvaruje suradnju sa čitavim nizom stručnjaka na izradi učinkovitog modela profesionalne rehabilitacije, koji zahtjeva specifična znanja iz određenih područja, ukazalo se potrebnim dodatno educirati, te podići kompetencije stručnjacima koji će raditi i sada rade u rehabilitaciji osoba s invaliditetom. Neke od predviđenih edukacija su: grupna socioterapija, grupna psihoterapija, psihodrama, realitetna terapija, edukacija IDA/MELBA.</w:t>
      </w:r>
    </w:p>
    <w:p w:rsidR="007F25F6" w:rsidRDefault="007F25F6">
      <w:pPr>
        <w:pStyle w:val="Normal6"/>
      </w:pP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562CD8" w:rsidP="00562CD8">
            <w:pPr>
              <w:pStyle w:val="CellColumn"/>
            </w:pPr>
            <w:r>
              <w:t>Us</w:t>
            </w:r>
            <w:r w:rsidR="00EE6D95">
              <w:t>poređivanje i analiziranje zakonske odredbe o profesionalnoj rehabilitaciji</w:t>
            </w:r>
          </w:p>
        </w:tc>
        <w:tc>
          <w:tcPr>
            <w:tcW w:w="1114" w:type="dxa"/>
          </w:tcPr>
          <w:p w:rsidR="00D849AA" w:rsidRDefault="00EE6D95">
            <w:r>
              <w:t>postotak</w:t>
            </w:r>
          </w:p>
        </w:tc>
        <w:tc>
          <w:tcPr>
            <w:tcW w:w="1114" w:type="dxa"/>
          </w:tcPr>
          <w:p w:rsidR="00D849AA" w:rsidRDefault="00EE6D95">
            <w:r>
              <w:t>80</w:t>
            </w:r>
          </w:p>
        </w:tc>
        <w:tc>
          <w:tcPr>
            <w:tcW w:w="1486" w:type="dxa"/>
          </w:tcPr>
          <w:p w:rsidR="00D849AA" w:rsidRDefault="00EE6D95">
            <w:r>
              <w:t>85</w:t>
            </w:r>
          </w:p>
        </w:tc>
        <w:tc>
          <w:tcPr>
            <w:tcW w:w="1486" w:type="dxa"/>
          </w:tcPr>
          <w:p w:rsidR="00D849AA" w:rsidRDefault="00EE6D95">
            <w:r>
              <w:t>90</w:t>
            </w:r>
          </w:p>
        </w:tc>
        <w:tc>
          <w:tcPr>
            <w:tcW w:w="1486" w:type="dxa"/>
          </w:tcPr>
          <w:p w:rsidR="00D849AA" w:rsidRDefault="00EE6D95">
            <w:r>
              <w:t>95</w:t>
            </w:r>
          </w:p>
        </w:tc>
      </w:tr>
      <w:tr w:rsidR="00D849AA">
        <w:trPr>
          <w:jc w:val="center"/>
        </w:trPr>
        <w:tc>
          <w:tcPr>
            <w:tcW w:w="2229" w:type="dxa"/>
          </w:tcPr>
          <w:p w:rsidR="00D849AA" w:rsidRDefault="00EE6D95">
            <w:pPr>
              <w:pStyle w:val="CellColumn"/>
            </w:pPr>
            <w:r>
              <w:t>Sufinanciranje radnih centara</w:t>
            </w:r>
          </w:p>
        </w:tc>
        <w:tc>
          <w:tcPr>
            <w:tcW w:w="1114" w:type="dxa"/>
          </w:tcPr>
          <w:p w:rsidR="00D849AA" w:rsidRDefault="00EE6D95">
            <w:r>
              <w:t>broj</w:t>
            </w:r>
          </w:p>
        </w:tc>
        <w:tc>
          <w:tcPr>
            <w:tcW w:w="1114" w:type="dxa"/>
          </w:tcPr>
          <w:p w:rsidR="00D849AA" w:rsidRDefault="00EE6D95">
            <w:r>
              <w:t>2</w:t>
            </w:r>
          </w:p>
        </w:tc>
        <w:tc>
          <w:tcPr>
            <w:tcW w:w="1486" w:type="dxa"/>
          </w:tcPr>
          <w:p w:rsidR="00D849AA" w:rsidRDefault="00EE6D95">
            <w:r>
              <w:t>4</w:t>
            </w:r>
          </w:p>
        </w:tc>
        <w:tc>
          <w:tcPr>
            <w:tcW w:w="1486" w:type="dxa"/>
          </w:tcPr>
          <w:p w:rsidR="00D849AA" w:rsidRDefault="00EE6D95">
            <w:r>
              <w:t>-</w:t>
            </w:r>
          </w:p>
        </w:tc>
        <w:tc>
          <w:tcPr>
            <w:tcW w:w="1486" w:type="dxa"/>
          </w:tcPr>
          <w:p w:rsidR="00D849AA" w:rsidRDefault="00EE6D95">
            <w:r>
              <w:t>-</w:t>
            </w:r>
          </w:p>
        </w:tc>
      </w:tr>
      <w:tr w:rsidR="00D849AA">
        <w:trPr>
          <w:jc w:val="center"/>
        </w:trPr>
        <w:tc>
          <w:tcPr>
            <w:tcW w:w="2229" w:type="dxa"/>
          </w:tcPr>
          <w:p w:rsidR="00D849AA" w:rsidRDefault="00EE6D95">
            <w:pPr>
              <w:pStyle w:val="CellColumn"/>
            </w:pPr>
            <w:r>
              <w:t>Sufinanciranje virtualnih radionica</w:t>
            </w:r>
          </w:p>
        </w:tc>
        <w:tc>
          <w:tcPr>
            <w:tcW w:w="1114" w:type="dxa"/>
          </w:tcPr>
          <w:p w:rsidR="00D849AA" w:rsidRDefault="00EE6D95">
            <w:r>
              <w:t>broj</w:t>
            </w:r>
          </w:p>
        </w:tc>
        <w:tc>
          <w:tcPr>
            <w:tcW w:w="1114" w:type="dxa"/>
          </w:tcPr>
          <w:p w:rsidR="00D849AA" w:rsidRDefault="00EE6D95">
            <w:r>
              <w:t>1</w:t>
            </w:r>
          </w:p>
        </w:tc>
        <w:tc>
          <w:tcPr>
            <w:tcW w:w="1486" w:type="dxa"/>
          </w:tcPr>
          <w:p w:rsidR="00D849AA" w:rsidRDefault="00EE6D95">
            <w:r>
              <w:t>4</w:t>
            </w:r>
          </w:p>
        </w:tc>
        <w:tc>
          <w:tcPr>
            <w:tcW w:w="1486" w:type="dxa"/>
          </w:tcPr>
          <w:p w:rsidR="00D849AA" w:rsidRDefault="00EE6D95">
            <w:r>
              <w:t>-</w:t>
            </w:r>
          </w:p>
        </w:tc>
        <w:tc>
          <w:tcPr>
            <w:tcW w:w="1486" w:type="dxa"/>
          </w:tcPr>
          <w:p w:rsidR="00D849AA" w:rsidRDefault="00EE6D95">
            <w:r>
              <w:t>-</w:t>
            </w:r>
          </w:p>
        </w:tc>
      </w:tr>
      <w:tr w:rsidR="00D849AA">
        <w:trPr>
          <w:jc w:val="center"/>
        </w:trPr>
        <w:tc>
          <w:tcPr>
            <w:tcW w:w="2229" w:type="dxa"/>
          </w:tcPr>
          <w:p w:rsidR="00D849AA" w:rsidRDefault="00EE6D95">
            <w:pPr>
              <w:pStyle w:val="CellColumn"/>
            </w:pPr>
            <w:r>
              <w:lastRenderedPageBreak/>
              <w:t>Izrada standarda i usluga profesionalne rehabilitacije</w:t>
            </w:r>
          </w:p>
        </w:tc>
        <w:tc>
          <w:tcPr>
            <w:tcW w:w="1114" w:type="dxa"/>
          </w:tcPr>
          <w:p w:rsidR="00D849AA" w:rsidRDefault="00EE6D95">
            <w:r>
              <w:t>postotak</w:t>
            </w:r>
          </w:p>
        </w:tc>
        <w:tc>
          <w:tcPr>
            <w:tcW w:w="1114" w:type="dxa"/>
          </w:tcPr>
          <w:p w:rsidR="00D849AA" w:rsidRDefault="00EE6D95">
            <w:r>
              <w:t>50</w:t>
            </w:r>
          </w:p>
        </w:tc>
        <w:tc>
          <w:tcPr>
            <w:tcW w:w="1486" w:type="dxa"/>
          </w:tcPr>
          <w:p w:rsidR="00D849AA" w:rsidRDefault="00EE6D95">
            <w:r>
              <w:t>100</w:t>
            </w:r>
          </w:p>
        </w:tc>
        <w:tc>
          <w:tcPr>
            <w:tcW w:w="1486" w:type="dxa"/>
          </w:tcPr>
          <w:p w:rsidR="00D849AA" w:rsidRDefault="00EE6D95">
            <w:r>
              <w:t>-</w:t>
            </w:r>
          </w:p>
        </w:tc>
        <w:tc>
          <w:tcPr>
            <w:tcW w:w="1486" w:type="dxa"/>
          </w:tcPr>
          <w:p w:rsidR="00D849AA" w:rsidRDefault="00EE6D95">
            <w:r>
              <w:t>-</w:t>
            </w:r>
          </w:p>
        </w:tc>
      </w:tr>
      <w:tr w:rsidR="00D849AA">
        <w:trPr>
          <w:jc w:val="center"/>
        </w:trPr>
        <w:tc>
          <w:tcPr>
            <w:tcW w:w="2229" w:type="dxa"/>
          </w:tcPr>
          <w:p w:rsidR="00D849AA" w:rsidRDefault="00EE6D95">
            <w:pPr>
              <w:pStyle w:val="CellColumn"/>
            </w:pPr>
            <w:r>
              <w:t>Primjena REHA tehnologija</w:t>
            </w:r>
          </w:p>
        </w:tc>
        <w:tc>
          <w:tcPr>
            <w:tcW w:w="1114" w:type="dxa"/>
          </w:tcPr>
          <w:p w:rsidR="00D849AA" w:rsidRDefault="00EE6D95">
            <w:r>
              <w:t>postotak</w:t>
            </w:r>
          </w:p>
        </w:tc>
        <w:tc>
          <w:tcPr>
            <w:tcW w:w="1114" w:type="dxa"/>
          </w:tcPr>
          <w:p w:rsidR="00D849AA" w:rsidRDefault="00EE6D95">
            <w:r>
              <w:t>50</w:t>
            </w:r>
          </w:p>
        </w:tc>
        <w:tc>
          <w:tcPr>
            <w:tcW w:w="1486" w:type="dxa"/>
          </w:tcPr>
          <w:p w:rsidR="00D849AA" w:rsidRDefault="00EE6D95">
            <w:r>
              <w:t>60</w:t>
            </w:r>
          </w:p>
        </w:tc>
        <w:tc>
          <w:tcPr>
            <w:tcW w:w="1486" w:type="dxa"/>
          </w:tcPr>
          <w:p w:rsidR="00D849AA" w:rsidRDefault="00EE6D95">
            <w:r>
              <w:t>70</w:t>
            </w:r>
          </w:p>
        </w:tc>
        <w:tc>
          <w:tcPr>
            <w:tcW w:w="1486" w:type="dxa"/>
          </w:tcPr>
          <w:p w:rsidR="00D849AA" w:rsidRDefault="00EE6D95">
            <w:r>
              <w:t>80</w:t>
            </w:r>
          </w:p>
        </w:tc>
      </w:tr>
      <w:tr w:rsidR="00D849AA">
        <w:trPr>
          <w:jc w:val="center"/>
        </w:trPr>
        <w:tc>
          <w:tcPr>
            <w:tcW w:w="2229" w:type="dxa"/>
          </w:tcPr>
          <w:p w:rsidR="00D849AA" w:rsidRDefault="00EE6D95">
            <w:pPr>
              <w:pStyle w:val="CellColumn"/>
            </w:pPr>
            <w:r>
              <w:t>Edukacija stručnjaka za primjenu modela profesionalne rehabilitacije</w:t>
            </w:r>
          </w:p>
        </w:tc>
        <w:tc>
          <w:tcPr>
            <w:tcW w:w="1114" w:type="dxa"/>
          </w:tcPr>
          <w:p w:rsidR="00D849AA" w:rsidRDefault="00EE6D95">
            <w:r>
              <w:t>broj</w:t>
            </w:r>
          </w:p>
        </w:tc>
        <w:tc>
          <w:tcPr>
            <w:tcW w:w="1114" w:type="dxa"/>
          </w:tcPr>
          <w:p w:rsidR="00D849AA" w:rsidRDefault="00EE6D95">
            <w:r>
              <w:t>20</w:t>
            </w:r>
          </w:p>
        </w:tc>
        <w:tc>
          <w:tcPr>
            <w:tcW w:w="1486" w:type="dxa"/>
          </w:tcPr>
          <w:p w:rsidR="00D849AA" w:rsidRDefault="00EE6D95">
            <w:r>
              <w:t>30</w:t>
            </w:r>
          </w:p>
        </w:tc>
        <w:tc>
          <w:tcPr>
            <w:tcW w:w="1486" w:type="dxa"/>
          </w:tcPr>
          <w:p w:rsidR="00D849AA" w:rsidRDefault="00EE6D95">
            <w:r>
              <w:t>40</w:t>
            </w:r>
          </w:p>
        </w:tc>
        <w:tc>
          <w:tcPr>
            <w:tcW w:w="1486" w:type="dxa"/>
          </w:tcPr>
          <w:p w:rsidR="00D849AA" w:rsidRDefault="00EE6D95">
            <w:r>
              <w:t>50</w:t>
            </w:r>
          </w:p>
        </w:tc>
      </w:tr>
    </w:tbl>
    <w:p w:rsidR="00D849AA" w:rsidRDefault="00D849AA">
      <w:pPr>
        <w:jc w:val="left"/>
      </w:pPr>
    </w:p>
    <w:p w:rsidR="00D849AA" w:rsidRDefault="00EE6D95">
      <w:pPr>
        <w:pStyle w:val="Naslov7"/>
      </w:pPr>
      <w:r>
        <w:t>Cilj 4. Posebni cilj 1.3. Jačanje kapaciteta Fonda</w:t>
      </w:r>
    </w:p>
    <w:p w:rsidR="00D849AA" w:rsidRDefault="00EE6D95">
      <w:pPr>
        <w:pStyle w:val="Normal6"/>
      </w:pPr>
      <w:r>
        <w:t>Ukoliko želimo ostvariti sve posebne ciljeve, koji prethode ostvarenju općeg cilj, a to je uključivanje osoba s invaliditetom na tržište rada, nužno je kontinuirano provoditi jačanje kapaciteta u Fondu, što će rezultirati učinkovitijim poslovnim procesom, koji će omogućiti brže i kvalitetnije pružanje usluga krajnjim korisnicima. Također, se kroz ovaj cilj stvaraju uvjeti za kontrolu učinka kvotnog sustava zapošljavanja, te otvaranja mogućnosti zapošljavanja osoba s invaliditetom kod obveznika kvotnog sustava zapošljavanja koji tu obvezu ne izvršavaju.  Za sve navedeno potrebno je dodatno ojačati kapacitete Fonda i to kroz: informatizaciju poslovnih procesa u Fondu, edukaciju zaposlenika i zapošljavanje u svrhu nadzora nad provedbom kvotnog sustava zapošljavanja i stručnog nadzora nad radom centra za profesionalnu rehabilitaciju, integrativnih radionica i zaštitnih radionica.</w:t>
      </w:r>
    </w:p>
    <w:p w:rsidR="007F25F6" w:rsidRDefault="007F25F6">
      <w:pPr>
        <w:pStyle w:val="Naslov8"/>
        <w:jc w:val="left"/>
      </w:pP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Jačanje kapaciteta Fonda</w:t>
            </w:r>
          </w:p>
        </w:tc>
        <w:tc>
          <w:tcPr>
            <w:tcW w:w="1114" w:type="dxa"/>
          </w:tcPr>
          <w:p w:rsidR="00D849AA" w:rsidRDefault="00EE6D95">
            <w:r>
              <w:t>postotak</w:t>
            </w:r>
          </w:p>
        </w:tc>
        <w:tc>
          <w:tcPr>
            <w:tcW w:w="1114" w:type="dxa"/>
          </w:tcPr>
          <w:p w:rsidR="00D849AA" w:rsidRDefault="00EE6D95">
            <w:r>
              <w:t>50</w:t>
            </w:r>
          </w:p>
        </w:tc>
        <w:tc>
          <w:tcPr>
            <w:tcW w:w="1486" w:type="dxa"/>
          </w:tcPr>
          <w:p w:rsidR="00D849AA" w:rsidRDefault="00EE6D95">
            <w:r>
              <w:t>53</w:t>
            </w:r>
          </w:p>
        </w:tc>
        <w:tc>
          <w:tcPr>
            <w:tcW w:w="1486" w:type="dxa"/>
          </w:tcPr>
          <w:p w:rsidR="00D849AA" w:rsidRDefault="00EE6D95">
            <w:r>
              <w:t>77</w:t>
            </w:r>
          </w:p>
        </w:tc>
        <w:tc>
          <w:tcPr>
            <w:tcW w:w="1486" w:type="dxa"/>
          </w:tcPr>
          <w:p w:rsidR="00D849AA" w:rsidRDefault="00EE6D95">
            <w:r>
              <w:t>100</w:t>
            </w:r>
          </w:p>
        </w:tc>
      </w:tr>
    </w:tbl>
    <w:p w:rsidR="00D849AA" w:rsidRDefault="00D849AA">
      <w:pPr>
        <w:jc w:val="left"/>
      </w:pPr>
    </w:p>
    <w:p w:rsidR="00D849AA" w:rsidRDefault="00EE6D95">
      <w:pPr>
        <w:pStyle w:val="Naslov5"/>
      </w:pPr>
      <w:r>
        <w:t>Procjena i ishodište potrebnih sredstava za značajnije aktivnosti/projekte</w:t>
      </w:r>
    </w:p>
    <w:p w:rsidR="00D849AA" w:rsidRDefault="00EE6D95">
      <w:pPr>
        <w:pStyle w:val="Naslov6"/>
      </w:pPr>
      <w:r>
        <w:t>A741003 ADMINISTRACIJA I UPRAVLJANJE FONDA ZA PROFESIONALNU REHABILITACIJU I ZAPOŠLJAVANJE OSOBA S INVALIDITETOM</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A741003</w:t>
            </w:r>
          </w:p>
        </w:tc>
        <w:tc>
          <w:tcPr>
            <w:tcW w:w="1486" w:type="dxa"/>
          </w:tcPr>
          <w:p w:rsidR="00D849AA" w:rsidRDefault="00EE6D95">
            <w:r>
              <w:t>3.710.000</w:t>
            </w:r>
          </w:p>
        </w:tc>
        <w:tc>
          <w:tcPr>
            <w:tcW w:w="1486" w:type="dxa"/>
          </w:tcPr>
          <w:p w:rsidR="00D849AA" w:rsidRDefault="00EE6D95">
            <w:r>
              <w:t>3.741.000</w:t>
            </w:r>
          </w:p>
        </w:tc>
        <w:tc>
          <w:tcPr>
            <w:tcW w:w="1486" w:type="dxa"/>
          </w:tcPr>
          <w:p w:rsidR="00D849AA" w:rsidRDefault="00EE6D95">
            <w:r>
              <w:t>3.746.000</w:t>
            </w:r>
          </w:p>
        </w:tc>
        <w:tc>
          <w:tcPr>
            <w:tcW w:w="1486" w:type="dxa"/>
          </w:tcPr>
          <w:p w:rsidR="00D849AA" w:rsidRDefault="00EE6D95">
            <w:r>
              <w:t>3.731.000</w:t>
            </w:r>
          </w:p>
        </w:tc>
        <w:tc>
          <w:tcPr>
            <w:tcW w:w="1486" w:type="dxa"/>
          </w:tcPr>
          <w:p w:rsidR="00D849AA" w:rsidRDefault="00EE6D95">
            <w:r>
              <w:t>100,8</w:t>
            </w:r>
          </w:p>
        </w:tc>
      </w:tr>
    </w:tbl>
    <w:p w:rsidR="00D849AA" w:rsidRDefault="00D849AA">
      <w:pPr>
        <w:jc w:val="left"/>
      </w:pPr>
    </w:p>
    <w:p w:rsidR="00D849AA" w:rsidRDefault="00EE6D95">
      <w:pPr>
        <w:pStyle w:val="Normal6"/>
      </w:pPr>
      <w:r>
        <w:t xml:space="preserve">U 2014. godini planiraju se sredstva za plaće (konto 31-Rashodi za zaposlene) za ukupno 15 zaposlenih.  </w:t>
      </w:r>
    </w:p>
    <w:p w:rsidR="00D849AA" w:rsidRDefault="00EE6D95">
      <w:pPr>
        <w:pStyle w:val="Normal6"/>
      </w:pPr>
      <w:r>
        <w:t xml:space="preserve">Osigurana sredstva za plaće u Državnom proračunu Republike Hrvatske za 2013. godinu, pokrivaju obveze prema 15 zaposlenika - jedna zaposlenica je na porodiljinom dopustu na </w:t>
      </w:r>
      <w:r>
        <w:lastRenderedPageBreak/>
        <w:t xml:space="preserve">teret zdravstvenog osiguranja i vraća se na posao u ožujku 2014. godine, a na njenom radnom mjestu je zaposlena zamjena.  </w:t>
      </w:r>
    </w:p>
    <w:p w:rsidR="00D849AA" w:rsidRDefault="00EE6D95">
      <w:pPr>
        <w:pStyle w:val="Normal6"/>
      </w:pPr>
      <w:r>
        <w:t xml:space="preserve">Obzirom da Fond mora uspostaviti kontrolu namjenskog trošenja dodijeljenih poticaja poslodavcima, te bazu podataka za područje cijele RH zaposlenih OSI, odnosno nezaposlenih OSI koje primaju naknadu do zaposlenja, te poslodavaca koji zapošljavaju OSI, odnosno poslodavce koji su u zakonskoj obvezi zapošljavanja OSI, moguće je kako se još uvijek ne povećava broj zaposlenih, a što je bilo planirano, da dođe do djelomične realizacije zacrtanih mjera.  </w:t>
      </w:r>
    </w:p>
    <w:p w:rsidR="00D849AA" w:rsidRDefault="00EE6D95">
      <w:pPr>
        <w:pStyle w:val="Normal6"/>
      </w:pPr>
      <w:r>
        <w:t xml:space="preserve">Fond također mora i znatan dio svojih aktivnosti usmjeriti i na uspostavu kontrole kvotnog sustava zapošljavanja OSI (obveza poslodavaca iz javnog sektora, temeljem čl. 10 Zakona o profesionalnoj rehabilitaciji i zapošljavanju osoba s invaliditetom - NN 143/02, 33/05 - na zapošljavanje jedne OSI na svakih 35 zaposlenih, odnosno na sve poslodavce temeljem prijedloga novog Zakona o profesionalnoj rehabilitaciji i zapošljavanju osoba s invaliditetom).  </w:t>
      </w:r>
    </w:p>
    <w:p w:rsidR="00D849AA" w:rsidRDefault="00EE6D95">
      <w:pPr>
        <w:pStyle w:val="Normal6"/>
      </w:pPr>
      <w:r>
        <w:t xml:space="preserve">Naime, svi poslodavci koji su u zakonskoj obvezi zapošljavanja OSI, ako to ne učine, dužni su plaćati Poseban doprinos za zapošljavanje osoba s invaliditetom po stopi od 0,2% - „kazneni doprinos“ (sukladno članku 10.a, stavak 3. postojećeg Zakona o profesionalnoj rehabilitaciji i zapošljavanju osoba s invaliditetom - NN 143/02, 33/05). Trenutno takvu kontrolu u RH ne provodi niti jedna institucija, a obveznici plaćanja prema svojoj savjesti uplaćuju „kazneni doprinos“.  </w:t>
      </w:r>
    </w:p>
    <w:p w:rsidR="00D849AA" w:rsidRDefault="00EE6D95">
      <w:pPr>
        <w:pStyle w:val="Normal6"/>
      </w:pPr>
      <w:r>
        <w:t xml:space="preserve">Neophodno je potrebno uvesti kontrolu obveznika plaćanja i naplate, kako bi se mogli sankcionirati oni koji ne izvršavaju svoju obvezu plaćanja „kaznenog doprinosa“, a samim time bi se uspostavila mogućnost kontrole kvotnog sustava, uslijed čega će doći i do povećanja priliva sredstava u Državni proračun.  </w:t>
      </w:r>
    </w:p>
    <w:p w:rsidR="00D849AA" w:rsidRDefault="00EE6D95">
      <w:pPr>
        <w:pStyle w:val="Normal6"/>
      </w:pPr>
      <w:r>
        <w:t xml:space="preserve">Da bi se ove aktivnosti, od presudne važnosti za daljnji razvoj Fonda, mogle provesti, Fond je u 2011. godini završio drugu fazu informatizacije koja mu omogućava adekvatnu i efikasnu kontrolu pristiglih zahtjeva za poticaje, dok bi se povezivanje Fonda sa nadležnim institucijama u funkciji kontrole kvotnog sustava i on-line podnošenja zahtjeva poslodavaca trebalo u narednim godinama realizirati informatizacijom kompletnog sustava državne uprave, a što je Fond u 2012. i 2013. godini planirao napraviti samostalno kao treću fazu informatizacije, koja je limitiranjem proračuna izostala.  </w:t>
      </w:r>
    </w:p>
    <w:p w:rsidR="00D849AA" w:rsidRDefault="00EE6D95">
      <w:pPr>
        <w:pStyle w:val="Normal6"/>
      </w:pPr>
      <w:r>
        <w:t xml:space="preserve">Planirana sredstva za materijalne rashode (konto 32) u 2014. godini od 1.731.000,00 kuna u usporedbi s planiranim sredstvima iste namjene u 2013. godini su veća za 1,82% zbog neznatnog povećanja troškova za komunalne usluge i intelektualne i osobne usluge.  </w:t>
      </w:r>
    </w:p>
    <w:p w:rsidR="00D849AA" w:rsidRDefault="00EE6D95">
      <w:pPr>
        <w:pStyle w:val="Normal6"/>
      </w:pPr>
      <w:r>
        <w:t>Planirana sredstva za Financijske rashode (konto 34) u 2014. godini od 10.000,00 kuna na istoj su razini kao i sredstva iste namjene u 2013. godini.</w:t>
      </w:r>
    </w:p>
    <w:p w:rsidR="007F25F6" w:rsidRDefault="007F25F6">
      <w:pPr>
        <w:pStyle w:val="Normal6"/>
      </w:pP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31-Rashodi za zaposlene</w:t>
            </w:r>
          </w:p>
        </w:tc>
        <w:tc>
          <w:tcPr>
            <w:tcW w:w="1114" w:type="dxa"/>
          </w:tcPr>
          <w:p w:rsidR="00D849AA" w:rsidRDefault="00EE6D95">
            <w:r>
              <w:t>postotak</w:t>
            </w:r>
          </w:p>
        </w:tc>
        <w:tc>
          <w:tcPr>
            <w:tcW w:w="1114" w:type="dxa"/>
          </w:tcPr>
          <w:p w:rsidR="00D849AA" w:rsidRDefault="00EE6D95">
            <w:r>
              <w:t>100</w:t>
            </w:r>
          </w:p>
        </w:tc>
        <w:tc>
          <w:tcPr>
            <w:tcW w:w="1486" w:type="dxa"/>
          </w:tcPr>
          <w:p w:rsidR="00D849AA" w:rsidRDefault="00EE6D95">
            <w:r>
              <w:t>100</w:t>
            </w:r>
          </w:p>
        </w:tc>
        <w:tc>
          <w:tcPr>
            <w:tcW w:w="1486" w:type="dxa"/>
          </w:tcPr>
          <w:p w:rsidR="00D849AA" w:rsidRDefault="00EE6D95">
            <w:r>
              <w:t>100</w:t>
            </w:r>
          </w:p>
        </w:tc>
        <w:tc>
          <w:tcPr>
            <w:tcW w:w="1486" w:type="dxa"/>
          </w:tcPr>
          <w:p w:rsidR="00D849AA" w:rsidRDefault="00EE6D95">
            <w:r>
              <w:t>100</w:t>
            </w:r>
          </w:p>
        </w:tc>
      </w:tr>
      <w:tr w:rsidR="00D849AA">
        <w:trPr>
          <w:jc w:val="center"/>
        </w:trPr>
        <w:tc>
          <w:tcPr>
            <w:tcW w:w="2229" w:type="dxa"/>
          </w:tcPr>
          <w:p w:rsidR="00D849AA" w:rsidRDefault="00EE6D95">
            <w:pPr>
              <w:pStyle w:val="CellColumn"/>
            </w:pPr>
            <w:r>
              <w:t>32-Materijalni rashodi</w:t>
            </w:r>
          </w:p>
        </w:tc>
        <w:tc>
          <w:tcPr>
            <w:tcW w:w="1114" w:type="dxa"/>
          </w:tcPr>
          <w:p w:rsidR="00D849AA" w:rsidRDefault="00EE6D95">
            <w:r>
              <w:t>postotak</w:t>
            </w:r>
          </w:p>
        </w:tc>
        <w:tc>
          <w:tcPr>
            <w:tcW w:w="1114" w:type="dxa"/>
          </w:tcPr>
          <w:p w:rsidR="00D849AA" w:rsidRDefault="00EE6D95">
            <w:r>
              <w:t>100</w:t>
            </w:r>
          </w:p>
        </w:tc>
        <w:tc>
          <w:tcPr>
            <w:tcW w:w="1486" w:type="dxa"/>
          </w:tcPr>
          <w:p w:rsidR="00D849AA" w:rsidRDefault="00EE6D95">
            <w:r>
              <w:t>100</w:t>
            </w:r>
          </w:p>
        </w:tc>
        <w:tc>
          <w:tcPr>
            <w:tcW w:w="1486" w:type="dxa"/>
          </w:tcPr>
          <w:p w:rsidR="00D849AA" w:rsidRDefault="00EE6D95">
            <w:r>
              <w:t>100</w:t>
            </w:r>
          </w:p>
        </w:tc>
        <w:tc>
          <w:tcPr>
            <w:tcW w:w="1486" w:type="dxa"/>
          </w:tcPr>
          <w:p w:rsidR="00D849AA" w:rsidRDefault="00EE6D95">
            <w:r>
              <w:t>100</w:t>
            </w:r>
          </w:p>
        </w:tc>
      </w:tr>
      <w:tr w:rsidR="00D849AA">
        <w:trPr>
          <w:jc w:val="center"/>
        </w:trPr>
        <w:tc>
          <w:tcPr>
            <w:tcW w:w="2229" w:type="dxa"/>
          </w:tcPr>
          <w:p w:rsidR="00D849AA" w:rsidRDefault="00EE6D95">
            <w:pPr>
              <w:pStyle w:val="CellColumn"/>
            </w:pPr>
            <w:r>
              <w:t>34-Financijski rashodi</w:t>
            </w:r>
          </w:p>
        </w:tc>
        <w:tc>
          <w:tcPr>
            <w:tcW w:w="1114" w:type="dxa"/>
          </w:tcPr>
          <w:p w:rsidR="00D849AA" w:rsidRDefault="00EE6D95">
            <w:r>
              <w:t>postotak</w:t>
            </w:r>
          </w:p>
        </w:tc>
        <w:tc>
          <w:tcPr>
            <w:tcW w:w="1114" w:type="dxa"/>
          </w:tcPr>
          <w:p w:rsidR="00D849AA" w:rsidRDefault="00EE6D95">
            <w:r>
              <w:t>100</w:t>
            </w:r>
          </w:p>
        </w:tc>
        <w:tc>
          <w:tcPr>
            <w:tcW w:w="1486" w:type="dxa"/>
          </w:tcPr>
          <w:p w:rsidR="00D849AA" w:rsidRDefault="00EE6D95">
            <w:r>
              <w:t>100</w:t>
            </w:r>
          </w:p>
        </w:tc>
        <w:tc>
          <w:tcPr>
            <w:tcW w:w="1486" w:type="dxa"/>
          </w:tcPr>
          <w:p w:rsidR="00D849AA" w:rsidRDefault="00EE6D95">
            <w:r>
              <w:t>100</w:t>
            </w:r>
          </w:p>
        </w:tc>
        <w:tc>
          <w:tcPr>
            <w:tcW w:w="1486" w:type="dxa"/>
          </w:tcPr>
          <w:p w:rsidR="00D849AA" w:rsidRDefault="00EE6D95">
            <w:r>
              <w:t>100</w:t>
            </w:r>
          </w:p>
        </w:tc>
      </w:tr>
    </w:tbl>
    <w:p w:rsidR="00D849AA" w:rsidRDefault="00D849AA">
      <w:pPr>
        <w:jc w:val="left"/>
      </w:pPr>
    </w:p>
    <w:p w:rsidR="00D849AA" w:rsidRDefault="00EE6D95">
      <w:pPr>
        <w:pStyle w:val="Naslov6"/>
      </w:pPr>
      <w:r>
        <w:lastRenderedPageBreak/>
        <w:t>A741005 FINANCIRANJE I SUFINANCIRANJE PROGRAMA PROFESIONALNE REHABILITACIJE I ZAPOŠLJAVANJE OSOBA S INVALIDITETOM</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A741005</w:t>
            </w:r>
          </w:p>
        </w:tc>
        <w:tc>
          <w:tcPr>
            <w:tcW w:w="1486" w:type="dxa"/>
          </w:tcPr>
          <w:p w:rsidR="00D849AA" w:rsidRDefault="00EE6D95">
            <w:r>
              <w:t>1.940.000</w:t>
            </w:r>
          </w:p>
        </w:tc>
        <w:tc>
          <w:tcPr>
            <w:tcW w:w="1486" w:type="dxa"/>
          </w:tcPr>
          <w:p w:rsidR="00D849AA" w:rsidRDefault="00EE6D95">
            <w:r>
              <w:t>5.945.000</w:t>
            </w:r>
          </w:p>
        </w:tc>
        <w:tc>
          <w:tcPr>
            <w:tcW w:w="1486" w:type="dxa"/>
          </w:tcPr>
          <w:p w:rsidR="00D849AA" w:rsidRDefault="00EE6D95">
            <w:r>
              <w:t>5.995.000</w:t>
            </w:r>
          </w:p>
        </w:tc>
        <w:tc>
          <w:tcPr>
            <w:tcW w:w="1486" w:type="dxa"/>
          </w:tcPr>
          <w:p w:rsidR="00D849AA" w:rsidRDefault="00EE6D95">
            <w:r>
              <w:t>7.010.000</w:t>
            </w:r>
          </w:p>
        </w:tc>
        <w:tc>
          <w:tcPr>
            <w:tcW w:w="1486" w:type="dxa"/>
          </w:tcPr>
          <w:p w:rsidR="00D849AA" w:rsidRDefault="00EE6D95">
            <w:r>
              <w:t>306,4</w:t>
            </w:r>
          </w:p>
        </w:tc>
      </w:tr>
    </w:tbl>
    <w:p w:rsidR="00D849AA" w:rsidRDefault="00D849AA">
      <w:pPr>
        <w:jc w:val="left"/>
      </w:pPr>
    </w:p>
    <w:p w:rsidR="00D849AA" w:rsidRDefault="00EE6D95">
      <w:pPr>
        <w:pStyle w:val="Normal6"/>
      </w:pPr>
      <w:r>
        <w:t xml:space="preserve">Cilj projekta je da se kroz dvije korisničke institucije koje imaju različite pravne oblike, a već provode djelatnost radnog centra utvrdi model i jasni kriteriji, temeljem kojih će se ubuduće sufinancirati rad radnih centara i ostalih usluga profesionalne rehabilitacije.  </w:t>
      </w:r>
    </w:p>
    <w:p w:rsidR="00D849AA" w:rsidRDefault="00EE6D95">
      <w:pPr>
        <w:pStyle w:val="Normal6"/>
      </w:pPr>
      <w:r>
        <w:t xml:space="preserve">U 2014. godini također se planira nastavak sufinanciranja jedne virtualne radionice, te edukacija određenog broja stručnjaka za primjenu modela profesionalne rehabilitacije, kao i edukacija i osposobljavanje određenog broja stručnjaka na području primjene REHA tehnologija.  </w:t>
      </w:r>
    </w:p>
    <w:p w:rsidR="00D849AA" w:rsidRDefault="00EE6D95">
      <w:pPr>
        <w:pStyle w:val="Normal6"/>
      </w:pPr>
      <w:r>
        <w:t xml:space="preserve">Zakon o profesionalnoj rehabilitaciji i zapošljavanju osoba s invaliditetom (NN 143/02, 33/05) u Članku 6., propisuje mjere i aktivnosti koje obuhvaća proces profesionalne rehabilitacije. Navedeno je 12 mjera i aktivnosti. Svaka od navedenih mjera i aktivnosti zahtjeva standardizaciju kako samog rehabilitacijskog procesa, njegov sadržaj, metode rada, očekivane ciljeve i rezultate, vremensko trajanje, cijenu, tako i osnovne strukovne i organizacijske uvjete u kojima se usluge provode.  </w:t>
      </w:r>
    </w:p>
    <w:p w:rsidR="00D849AA" w:rsidRDefault="00EE6D95">
      <w:pPr>
        <w:pStyle w:val="Normal6"/>
      </w:pPr>
      <w:r>
        <w:t xml:space="preserve">Izrađene standarde i usluge profesionalne rehabilitacije bi primjenjivali centri za profesionalnu rehabilitaciju (koji bi u skoro vrijeme trebali biti osnovani) i isti bi bili osnovni dokument rehabilitacijskog procesa, što bi jamčilo ujednačenu primjenu u cijeloj Republici Hrvatskoj i za sve vrste invalidnosti.  </w:t>
      </w:r>
    </w:p>
    <w:p w:rsidR="00D849AA" w:rsidRDefault="00EE6D95">
      <w:pPr>
        <w:pStyle w:val="Normal6"/>
      </w:pPr>
      <w:r>
        <w:t>Temeljem prijedloga novog Zakona o profesionalnoj rehabilitaciji i zapošljavanju osoba s invaliditetom koji bi trebao stupiti na snagu 01.01.2014. godine, Fond bi na ovoj aktivnosti trebao osigurati sredstva za sufinanciranje stručnog tima u jednom centru za profesionalnu rehabilitaciju, te je zbog istoga povećana potreba za sredstvima na ovoj aktivnosti za 306,44% u odnosu na 2013. godinu. Centri za profesionalnu rehabilitaciju trebali bi postati funkcionalni u siječnju 2015. godine, te bi tada projekti sufinanciranja radnog centra i virtualne radionice trebali biti u sklopu rada novoosnovanih Centara za profesionalnu rehabilitaciju.</w:t>
      </w:r>
    </w:p>
    <w:p w:rsidR="007F25F6" w:rsidRDefault="007F25F6">
      <w:pPr>
        <w:pStyle w:val="Normal6"/>
      </w:pP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Sufinanciranje rada radnog centra</w:t>
            </w:r>
          </w:p>
        </w:tc>
        <w:tc>
          <w:tcPr>
            <w:tcW w:w="1114" w:type="dxa"/>
          </w:tcPr>
          <w:p w:rsidR="00D849AA" w:rsidRDefault="00EE6D95">
            <w:r>
              <w:t>broj</w:t>
            </w:r>
          </w:p>
        </w:tc>
        <w:tc>
          <w:tcPr>
            <w:tcW w:w="1114" w:type="dxa"/>
          </w:tcPr>
          <w:p w:rsidR="00D849AA" w:rsidRDefault="00EE6D95">
            <w:r>
              <w:t>2</w:t>
            </w:r>
          </w:p>
        </w:tc>
        <w:tc>
          <w:tcPr>
            <w:tcW w:w="1486" w:type="dxa"/>
          </w:tcPr>
          <w:p w:rsidR="00D849AA" w:rsidRDefault="00EE6D95">
            <w:r>
              <w:t>4</w:t>
            </w:r>
          </w:p>
        </w:tc>
        <w:tc>
          <w:tcPr>
            <w:tcW w:w="1486" w:type="dxa"/>
          </w:tcPr>
          <w:p w:rsidR="00D849AA" w:rsidRDefault="00EE6D95">
            <w:r>
              <w:t>-</w:t>
            </w:r>
          </w:p>
        </w:tc>
        <w:tc>
          <w:tcPr>
            <w:tcW w:w="1486" w:type="dxa"/>
          </w:tcPr>
          <w:p w:rsidR="00D849AA" w:rsidRDefault="00EE6D95">
            <w:r>
              <w:t>-</w:t>
            </w:r>
          </w:p>
        </w:tc>
      </w:tr>
      <w:tr w:rsidR="00D849AA">
        <w:trPr>
          <w:jc w:val="center"/>
        </w:trPr>
        <w:tc>
          <w:tcPr>
            <w:tcW w:w="2229" w:type="dxa"/>
          </w:tcPr>
          <w:p w:rsidR="00D849AA" w:rsidRDefault="00EE6D95">
            <w:pPr>
              <w:pStyle w:val="CellColumn"/>
            </w:pPr>
            <w:r>
              <w:t>Sufinanciranje rada virtualne radionice</w:t>
            </w:r>
          </w:p>
        </w:tc>
        <w:tc>
          <w:tcPr>
            <w:tcW w:w="1114" w:type="dxa"/>
          </w:tcPr>
          <w:p w:rsidR="00D849AA" w:rsidRDefault="00EE6D95">
            <w:r>
              <w:t>broj</w:t>
            </w:r>
          </w:p>
        </w:tc>
        <w:tc>
          <w:tcPr>
            <w:tcW w:w="1114" w:type="dxa"/>
          </w:tcPr>
          <w:p w:rsidR="00D849AA" w:rsidRDefault="00EE6D95">
            <w:r>
              <w:t>1</w:t>
            </w:r>
          </w:p>
        </w:tc>
        <w:tc>
          <w:tcPr>
            <w:tcW w:w="1486" w:type="dxa"/>
          </w:tcPr>
          <w:p w:rsidR="00D849AA" w:rsidRDefault="00EE6D95">
            <w:r>
              <w:t>4</w:t>
            </w:r>
          </w:p>
        </w:tc>
        <w:tc>
          <w:tcPr>
            <w:tcW w:w="1486" w:type="dxa"/>
          </w:tcPr>
          <w:p w:rsidR="00D849AA" w:rsidRDefault="00EE6D95">
            <w:r>
              <w:t>-</w:t>
            </w:r>
          </w:p>
        </w:tc>
        <w:tc>
          <w:tcPr>
            <w:tcW w:w="1486" w:type="dxa"/>
          </w:tcPr>
          <w:p w:rsidR="00D849AA" w:rsidRDefault="00EE6D95">
            <w:r>
              <w:t>-</w:t>
            </w:r>
          </w:p>
        </w:tc>
      </w:tr>
      <w:tr w:rsidR="00D849AA">
        <w:trPr>
          <w:jc w:val="center"/>
        </w:trPr>
        <w:tc>
          <w:tcPr>
            <w:tcW w:w="2229" w:type="dxa"/>
          </w:tcPr>
          <w:p w:rsidR="00D849AA" w:rsidRDefault="00EE6D95">
            <w:pPr>
              <w:pStyle w:val="CellColumn"/>
            </w:pPr>
            <w:r>
              <w:t xml:space="preserve">Edukacija stručnjaka za primjenu REHA tehnologija i stručnjaka za primjenu modela profesionalne </w:t>
            </w:r>
            <w:r>
              <w:lastRenderedPageBreak/>
              <w:t>rehabilitacije</w:t>
            </w:r>
          </w:p>
        </w:tc>
        <w:tc>
          <w:tcPr>
            <w:tcW w:w="1114" w:type="dxa"/>
          </w:tcPr>
          <w:p w:rsidR="00D849AA" w:rsidRDefault="00EE6D95">
            <w:r>
              <w:lastRenderedPageBreak/>
              <w:t>broj</w:t>
            </w:r>
          </w:p>
        </w:tc>
        <w:tc>
          <w:tcPr>
            <w:tcW w:w="1114" w:type="dxa"/>
          </w:tcPr>
          <w:p w:rsidR="00D849AA" w:rsidRDefault="00EE6D95">
            <w:r>
              <w:t>20</w:t>
            </w:r>
          </w:p>
        </w:tc>
        <w:tc>
          <w:tcPr>
            <w:tcW w:w="1486" w:type="dxa"/>
          </w:tcPr>
          <w:p w:rsidR="00D849AA" w:rsidRDefault="00EE6D95">
            <w:r>
              <w:t>30</w:t>
            </w:r>
          </w:p>
        </w:tc>
        <w:tc>
          <w:tcPr>
            <w:tcW w:w="1486" w:type="dxa"/>
          </w:tcPr>
          <w:p w:rsidR="00D849AA" w:rsidRDefault="00EE6D95">
            <w:r>
              <w:t>40</w:t>
            </w:r>
          </w:p>
        </w:tc>
        <w:tc>
          <w:tcPr>
            <w:tcW w:w="1486" w:type="dxa"/>
          </w:tcPr>
          <w:p w:rsidR="00D849AA" w:rsidRDefault="00EE6D95">
            <w:r>
              <w:t>50</w:t>
            </w:r>
          </w:p>
        </w:tc>
      </w:tr>
      <w:tr w:rsidR="00D849AA">
        <w:trPr>
          <w:jc w:val="center"/>
        </w:trPr>
        <w:tc>
          <w:tcPr>
            <w:tcW w:w="2229" w:type="dxa"/>
          </w:tcPr>
          <w:p w:rsidR="00D849AA" w:rsidRDefault="00EE6D95">
            <w:pPr>
              <w:pStyle w:val="CellColumn"/>
            </w:pPr>
            <w:r>
              <w:lastRenderedPageBreak/>
              <w:t>Sufinanciranje jednog stručnog tima u centru za profesionalnu rehabilitaciju</w:t>
            </w:r>
          </w:p>
        </w:tc>
        <w:tc>
          <w:tcPr>
            <w:tcW w:w="1114" w:type="dxa"/>
          </w:tcPr>
          <w:p w:rsidR="00D849AA" w:rsidRDefault="00EE6D95">
            <w:r>
              <w:t>broj</w:t>
            </w:r>
          </w:p>
        </w:tc>
        <w:tc>
          <w:tcPr>
            <w:tcW w:w="1114" w:type="dxa"/>
          </w:tcPr>
          <w:p w:rsidR="00D849AA" w:rsidRDefault="00EE6D95">
            <w:r>
              <w:t>0</w:t>
            </w:r>
          </w:p>
        </w:tc>
        <w:tc>
          <w:tcPr>
            <w:tcW w:w="1486" w:type="dxa"/>
          </w:tcPr>
          <w:p w:rsidR="00D849AA" w:rsidRDefault="00EE6D95">
            <w:r>
              <w:t>1</w:t>
            </w:r>
          </w:p>
        </w:tc>
        <w:tc>
          <w:tcPr>
            <w:tcW w:w="1486" w:type="dxa"/>
          </w:tcPr>
          <w:p w:rsidR="00D849AA" w:rsidRDefault="00EE6D95">
            <w:r>
              <w:t>1</w:t>
            </w:r>
          </w:p>
        </w:tc>
        <w:tc>
          <w:tcPr>
            <w:tcW w:w="1486" w:type="dxa"/>
          </w:tcPr>
          <w:p w:rsidR="00D849AA" w:rsidRDefault="00EE6D95">
            <w:r>
              <w:t>1</w:t>
            </w:r>
          </w:p>
        </w:tc>
      </w:tr>
    </w:tbl>
    <w:p w:rsidR="00D849AA" w:rsidRDefault="00EE6D95">
      <w:pPr>
        <w:pStyle w:val="Naslov6"/>
      </w:pPr>
      <w:r>
        <w:t>A741006 OLAKŠICE I POTICAJI PRI ZAPOŠLJAVANJU OSOBA S INVALIDITETOM</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A741006</w:t>
            </w:r>
          </w:p>
        </w:tc>
        <w:tc>
          <w:tcPr>
            <w:tcW w:w="1486" w:type="dxa"/>
          </w:tcPr>
          <w:p w:rsidR="00D849AA" w:rsidRDefault="00EE6D95">
            <w:r>
              <w:t>30.390.000</w:t>
            </w:r>
          </w:p>
        </w:tc>
        <w:tc>
          <w:tcPr>
            <w:tcW w:w="1486" w:type="dxa"/>
          </w:tcPr>
          <w:p w:rsidR="00D849AA" w:rsidRDefault="00EE6D95">
            <w:r>
              <w:t>26.100.000</w:t>
            </w:r>
          </w:p>
        </w:tc>
        <w:tc>
          <w:tcPr>
            <w:tcW w:w="1486" w:type="dxa"/>
          </w:tcPr>
          <w:p w:rsidR="00D849AA" w:rsidRDefault="00EE6D95">
            <w:r>
              <w:t>26.150.000</w:t>
            </w:r>
          </w:p>
        </w:tc>
        <w:tc>
          <w:tcPr>
            <w:tcW w:w="1486" w:type="dxa"/>
          </w:tcPr>
          <w:p w:rsidR="00D849AA" w:rsidRDefault="00EE6D95">
            <w:r>
              <w:t>26.200.000</w:t>
            </w:r>
          </w:p>
        </w:tc>
        <w:tc>
          <w:tcPr>
            <w:tcW w:w="1486" w:type="dxa"/>
          </w:tcPr>
          <w:p w:rsidR="00D849AA" w:rsidRDefault="00EE6D95">
            <w:r>
              <w:t>85,9</w:t>
            </w:r>
          </w:p>
        </w:tc>
      </w:tr>
    </w:tbl>
    <w:p w:rsidR="00D849AA" w:rsidRDefault="00D849AA">
      <w:pPr>
        <w:jc w:val="left"/>
      </w:pPr>
    </w:p>
    <w:p w:rsidR="00D849AA" w:rsidRDefault="00EE6D95">
      <w:pPr>
        <w:pStyle w:val="Normal6"/>
      </w:pPr>
      <w:r>
        <w:t>U 2014. godini osnovni cilj je potaknuti što veći broj poslodavaca na otvorenom tržištu rada za novo zapošljavanje osoba s invaliditetom, a što im omogućava korištenje poticaja reguliranih Odlukom o načinu ostvarivanja poticaja pri zapošljavanju osoba s invaliditetom (NN 8/2008, 20/2009, 96/2009, 44/2010 i 97/2013). Smanjenje sredstava je uslijedilo zbog preusmjeravanja istih na aktivnosti vezane uz Financiranje i sufinanciranje programa profesionalne rehabilitacije i zapošljavanja osoba s invaliditetom.</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Broj zaposlenih osoba s invaliditetom za koje poslodavci ostvaruju poticaje</w:t>
            </w:r>
          </w:p>
        </w:tc>
        <w:tc>
          <w:tcPr>
            <w:tcW w:w="1114" w:type="dxa"/>
          </w:tcPr>
          <w:p w:rsidR="00D849AA" w:rsidRDefault="00EE6D95">
            <w:r>
              <w:t>broj</w:t>
            </w:r>
          </w:p>
        </w:tc>
        <w:tc>
          <w:tcPr>
            <w:tcW w:w="1114" w:type="dxa"/>
          </w:tcPr>
          <w:p w:rsidR="00D849AA" w:rsidRDefault="00EE6D95">
            <w:r>
              <w:t>1297</w:t>
            </w:r>
          </w:p>
        </w:tc>
        <w:tc>
          <w:tcPr>
            <w:tcW w:w="1486" w:type="dxa"/>
          </w:tcPr>
          <w:p w:rsidR="00D849AA" w:rsidRDefault="00EE6D95">
            <w:r>
              <w:t>1400</w:t>
            </w:r>
          </w:p>
        </w:tc>
        <w:tc>
          <w:tcPr>
            <w:tcW w:w="1486" w:type="dxa"/>
          </w:tcPr>
          <w:p w:rsidR="00D849AA" w:rsidRDefault="00EE6D95">
            <w:r>
              <w:t>1500</w:t>
            </w:r>
          </w:p>
        </w:tc>
        <w:tc>
          <w:tcPr>
            <w:tcW w:w="1486" w:type="dxa"/>
          </w:tcPr>
          <w:p w:rsidR="00D849AA" w:rsidRDefault="00EE6D95">
            <w:r>
              <w:t>1600</w:t>
            </w:r>
          </w:p>
        </w:tc>
      </w:tr>
    </w:tbl>
    <w:p w:rsidR="00D849AA" w:rsidRDefault="00D849AA">
      <w:pPr>
        <w:jc w:val="left"/>
      </w:pPr>
    </w:p>
    <w:p w:rsidR="00D849AA" w:rsidRDefault="00EE6D95">
      <w:pPr>
        <w:pStyle w:val="Naslov6"/>
      </w:pPr>
      <w:r>
        <w:t>A741007 OSPOSOBLJAVANJE ZA SAMOSTALAN ŽIVOT I RAD</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A741007</w:t>
            </w:r>
          </w:p>
        </w:tc>
        <w:tc>
          <w:tcPr>
            <w:tcW w:w="1486" w:type="dxa"/>
          </w:tcPr>
          <w:p w:rsidR="00D849AA" w:rsidRDefault="00EE6D95">
            <w:r>
              <w:t>16.760.000</w:t>
            </w:r>
          </w:p>
        </w:tc>
        <w:tc>
          <w:tcPr>
            <w:tcW w:w="1486" w:type="dxa"/>
          </w:tcPr>
          <w:p w:rsidR="00D849AA" w:rsidRDefault="00EE6D95">
            <w:r>
              <w:t>17.095.000</w:t>
            </w:r>
          </w:p>
        </w:tc>
        <w:tc>
          <w:tcPr>
            <w:tcW w:w="1486" w:type="dxa"/>
          </w:tcPr>
          <w:p w:rsidR="00D849AA" w:rsidRDefault="00EE6D95">
            <w:r>
              <w:t>17.200.000</w:t>
            </w:r>
          </w:p>
        </w:tc>
        <w:tc>
          <w:tcPr>
            <w:tcW w:w="1486" w:type="dxa"/>
          </w:tcPr>
          <w:p w:rsidR="00D849AA" w:rsidRDefault="00EE6D95">
            <w:r>
              <w:t>17.200.000</w:t>
            </w:r>
          </w:p>
        </w:tc>
        <w:tc>
          <w:tcPr>
            <w:tcW w:w="1486" w:type="dxa"/>
          </w:tcPr>
          <w:p w:rsidR="00D849AA" w:rsidRDefault="00EE6D95">
            <w:r>
              <w:t>102,0</w:t>
            </w:r>
          </w:p>
        </w:tc>
      </w:tr>
    </w:tbl>
    <w:p w:rsidR="00D849AA" w:rsidRDefault="00D849AA">
      <w:pPr>
        <w:jc w:val="left"/>
      </w:pPr>
    </w:p>
    <w:p w:rsidR="00D849AA" w:rsidRDefault="00EE6D95">
      <w:pPr>
        <w:pStyle w:val="Normal6"/>
      </w:pPr>
      <w:r>
        <w:t>Ublažavanje teškog socijalnog stanja nezaposlenih osoba s invaliditetom.</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Broj zaposlenih osoba s invaliditetom za koje poslodavci ostvaruju poticaje</w:t>
            </w:r>
          </w:p>
        </w:tc>
        <w:tc>
          <w:tcPr>
            <w:tcW w:w="1114" w:type="dxa"/>
          </w:tcPr>
          <w:p w:rsidR="00D849AA" w:rsidRDefault="00EE6D95">
            <w:r>
              <w:t>Broj</w:t>
            </w:r>
          </w:p>
        </w:tc>
        <w:tc>
          <w:tcPr>
            <w:tcW w:w="1114" w:type="dxa"/>
          </w:tcPr>
          <w:p w:rsidR="00D849AA" w:rsidRDefault="00EE6D95">
            <w:r>
              <w:t>1297</w:t>
            </w:r>
          </w:p>
        </w:tc>
        <w:tc>
          <w:tcPr>
            <w:tcW w:w="1486" w:type="dxa"/>
          </w:tcPr>
          <w:p w:rsidR="00D849AA" w:rsidRDefault="00EE6D95">
            <w:r>
              <w:t>1400</w:t>
            </w:r>
          </w:p>
        </w:tc>
        <w:tc>
          <w:tcPr>
            <w:tcW w:w="1486" w:type="dxa"/>
          </w:tcPr>
          <w:p w:rsidR="00D849AA" w:rsidRDefault="00EE6D95">
            <w:r>
              <w:t>1500</w:t>
            </w:r>
          </w:p>
        </w:tc>
        <w:tc>
          <w:tcPr>
            <w:tcW w:w="1486" w:type="dxa"/>
          </w:tcPr>
          <w:p w:rsidR="00D849AA" w:rsidRDefault="00EE6D95">
            <w:r>
              <w:t>1600</w:t>
            </w:r>
          </w:p>
        </w:tc>
      </w:tr>
    </w:tbl>
    <w:p w:rsidR="00D849AA" w:rsidRDefault="00EE6D95">
      <w:pPr>
        <w:pStyle w:val="Naslov6"/>
      </w:pPr>
      <w:r>
        <w:lastRenderedPageBreak/>
        <w:t>K741004 OPREMANJE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K741004</w:t>
            </w:r>
          </w:p>
        </w:tc>
        <w:tc>
          <w:tcPr>
            <w:tcW w:w="1486" w:type="dxa"/>
          </w:tcPr>
          <w:p w:rsidR="00D849AA" w:rsidRDefault="00EE6D95">
            <w:r>
              <w:t>120.000</w:t>
            </w:r>
          </w:p>
        </w:tc>
        <w:tc>
          <w:tcPr>
            <w:tcW w:w="1486" w:type="dxa"/>
          </w:tcPr>
          <w:p w:rsidR="00D849AA" w:rsidRDefault="00EE6D95">
            <w:r>
              <w:t>40.000</w:t>
            </w:r>
          </w:p>
        </w:tc>
        <w:tc>
          <w:tcPr>
            <w:tcW w:w="1486" w:type="dxa"/>
          </w:tcPr>
          <w:p w:rsidR="00D849AA" w:rsidRDefault="00EE6D95">
            <w:r>
              <w:t>20.000</w:t>
            </w:r>
          </w:p>
        </w:tc>
        <w:tc>
          <w:tcPr>
            <w:tcW w:w="1486" w:type="dxa"/>
          </w:tcPr>
          <w:p w:rsidR="00D849AA" w:rsidRDefault="00EE6D95">
            <w:r>
              <w:t>20.000</w:t>
            </w:r>
          </w:p>
        </w:tc>
        <w:tc>
          <w:tcPr>
            <w:tcW w:w="1486" w:type="dxa"/>
          </w:tcPr>
          <w:p w:rsidR="00D849AA" w:rsidRDefault="00EE6D95">
            <w:r>
              <w:t>33,3</w:t>
            </w:r>
          </w:p>
        </w:tc>
      </w:tr>
    </w:tbl>
    <w:p w:rsidR="00D849AA" w:rsidRDefault="00D849AA">
      <w:pPr>
        <w:jc w:val="left"/>
      </w:pPr>
    </w:p>
    <w:p w:rsidR="00D849AA" w:rsidRDefault="00EE6D95">
      <w:pPr>
        <w:pStyle w:val="Normal6"/>
      </w:pPr>
      <w:r>
        <w:t>Nabava pojedinih komponenti informatičke opreme za zaposlenike Fonda, kako bi mogli na jedinstvenoj konfiguraciji, raditi na instaliranom informacijskom sustavu, za kontrolu poticaja koji pripadaju poslodavcima za zaposlene osobe s invaliditetom.</w:t>
      </w:r>
    </w:p>
    <w:p w:rsidR="007F25F6" w:rsidRDefault="007F25F6">
      <w:pPr>
        <w:pStyle w:val="Normal6"/>
      </w:pP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Kupovina komponenti</w:t>
            </w:r>
          </w:p>
        </w:tc>
        <w:tc>
          <w:tcPr>
            <w:tcW w:w="1114" w:type="dxa"/>
          </w:tcPr>
          <w:p w:rsidR="00D849AA" w:rsidRDefault="00EE6D95">
            <w:r>
              <w:t>broj</w:t>
            </w:r>
          </w:p>
        </w:tc>
        <w:tc>
          <w:tcPr>
            <w:tcW w:w="1114" w:type="dxa"/>
          </w:tcPr>
          <w:p w:rsidR="00D849AA" w:rsidRDefault="00EE6D95">
            <w:r>
              <w:t>0</w:t>
            </w:r>
          </w:p>
        </w:tc>
        <w:tc>
          <w:tcPr>
            <w:tcW w:w="1486" w:type="dxa"/>
          </w:tcPr>
          <w:p w:rsidR="00D849AA" w:rsidRDefault="00EE6D95">
            <w:r>
              <w:t>15</w:t>
            </w:r>
          </w:p>
        </w:tc>
        <w:tc>
          <w:tcPr>
            <w:tcW w:w="1486" w:type="dxa"/>
          </w:tcPr>
          <w:p w:rsidR="00D849AA" w:rsidRDefault="00EE6D95">
            <w:r>
              <w:t>0</w:t>
            </w:r>
          </w:p>
        </w:tc>
        <w:tc>
          <w:tcPr>
            <w:tcW w:w="1486" w:type="dxa"/>
          </w:tcPr>
          <w:p w:rsidR="00D849AA" w:rsidRDefault="00EE6D95">
            <w:r>
              <w:t>0</w:t>
            </w:r>
          </w:p>
        </w:tc>
      </w:tr>
    </w:tbl>
    <w:p w:rsidR="00D849AA" w:rsidRDefault="00D849AA">
      <w:pPr>
        <w:jc w:val="left"/>
      </w:pPr>
    </w:p>
    <w:p w:rsidR="00D849AA" w:rsidRDefault="00EE6D95">
      <w:pPr>
        <w:pStyle w:val="Naslov6"/>
      </w:pPr>
      <w:r>
        <w:t>K741008 INFORMATIZACIJA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K741008</w:t>
            </w:r>
          </w:p>
        </w:tc>
        <w:tc>
          <w:tcPr>
            <w:tcW w:w="1486" w:type="dxa"/>
          </w:tcPr>
          <w:p w:rsidR="00D849AA" w:rsidRDefault="00EE6D95">
            <w:r>
              <w:t>88.500</w:t>
            </w:r>
          </w:p>
        </w:tc>
        <w:tc>
          <w:tcPr>
            <w:tcW w:w="1486" w:type="dxa"/>
          </w:tcPr>
          <w:p w:rsidR="00D849AA" w:rsidRDefault="00EE6D95">
            <w:r>
              <w:t>128.500</w:t>
            </w:r>
          </w:p>
        </w:tc>
        <w:tc>
          <w:tcPr>
            <w:tcW w:w="1486" w:type="dxa"/>
          </w:tcPr>
          <w:p w:rsidR="00D849AA" w:rsidRDefault="00EE6D95">
            <w:r>
              <w:t>108.500</w:t>
            </w:r>
          </w:p>
        </w:tc>
        <w:tc>
          <w:tcPr>
            <w:tcW w:w="1486" w:type="dxa"/>
          </w:tcPr>
          <w:p w:rsidR="00D849AA" w:rsidRDefault="00EE6D95">
            <w:r>
              <w:t>88.500</w:t>
            </w:r>
          </w:p>
        </w:tc>
        <w:tc>
          <w:tcPr>
            <w:tcW w:w="1486" w:type="dxa"/>
          </w:tcPr>
          <w:p w:rsidR="00D849AA" w:rsidRDefault="00EE6D95">
            <w:r>
              <w:t>145,2</w:t>
            </w:r>
          </w:p>
        </w:tc>
      </w:tr>
    </w:tbl>
    <w:p w:rsidR="00D849AA" w:rsidRDefault="00D849AA">
      <w:pPr>
        <w:jc w:val="left"/>
      </w:pPr>
    </w:p>
    <w:p w:rsidR="00D849AA" w:rsidRDefault="00EE6D95">
      <w:pPr>
        <w:pStyle w:val="Normal6"/>
      </w:pPr>
      <w:r>
        <w:t>Plaćanje licenci File net i SAP na čijoj platformi radi informacijski sustav Fonda. Fond je u 2011. godini završio drugu fazu informatizacije koja mu omogućava adekvatnu i efikasnu kontrolu pristiglih zahtjeva za poticaje, dok bi se povezivanje Fonda sa nadležnim institucijama u funkciji kontrole kvotnog sustava i on-line podnošenja zahtjeva poslodavaca trebalo u narednim godinama realizirati informatizacijom kompletnog sustava državne uprave. Za potrebe uvođenja novog računovodstvenog programa potrebno je osigurati dodatna sredstva kako bi se isti mogao implementirati.</w:t>
      </w:r>
    </w:p>
    <w:p w:rsidR="007F25F6" w:rsidRDefault="007F25F6">
      <w:pPr>
        <w:pStyle w:val="Normal6"/>
      </w:pP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Licence</w:t>
            </w:r>
          </w:p>
        </w:tc>
        <w:tc>
          <w:tcPr>
            <w:tcW w:w="1114" w:type="dxa"/>
          </w:tcPr>
          <w:p w:rsidR="00D849AA" w:rsidRDefault="00EE6D95">
            <w:r>
              <w:t>broj</w:t>
            </w:r>
          </w:p>
        </w:tc>
        <w:tc>
          <w:tcPr>
            <w:tcW w:w="1114" w:type="dxa"/>
          </w:tcPr>
          <w:p w:rsidR="00D849AA" w:rsidRDefault="00EE6D95">
            <w:r>
              <w:t>2</w:t>
            </w:r>
          </w:p>
        </w:tc>
        <w:tc>
          <w:tcPr>
            <w:tcW w:w="1486" w:type="dxa"/>
          </w:tcPr>
          <w:p w:rsidR="00D849AA" w:rsidRDefault="00EE6D95">
            <w:r>
              <w:t>2</w:t>
            </w:r>
          </w:p>
        </w:tc>
        <w:tc>
          <w:tcPr>
            <w:tcW w:w="1486" w:type="dxa"/>
          </w:tcPr>
          <w:p w:rsidR="00D849AA" w:rsidRDefault="00EE6D95">
            <w:r>
              <w:t>2</w:t>
            </w:r>
          </w:p>
        </w:tc>
        <w:tc>
          <w:tcPr>
            <w:tcW w:w="1486" w:type="dxa"/>
          </w:tcPr>
          <w:p w:rsidR="00D849AA" w:rsidRDefault="00EE6D95">
            <w:r>
              <w:t>2</w:t>
            </w:r>
          </w:p>
        </w:tc>
      </w:tr>
      <w:tr w:rsidR="00D849AA">
        <w:trPr>
          <w:jc w:val="center"/>
        </w:trPr>
        <w:tc>
          <w:tcPr>
            <w:tcW w:w="2229" w:type="dxa"/>
          </w:tcPr>
          <w:p w:rsidR="00D849AA" w:rsidRDefault="00EE6D95">
            <w:pPr>
              <w:pStyle w:val="CellColumn"/>
            </w:pPr>
            <w:r>
              <w:t>Informatizacija sustava</w:t>
            </w:r>
          </w:p>
        </w:tc>
        <w:tc>
          <w:tcPr>
            <w:tcW w:w="1114" w:type="dxa"/>
          </w:tcPr>
          <w:p w:rsidR="00D849AA" w:rsidRDefault="00EE6D95">
            <w:r>
              <w:t>postotak</w:t>
            </w:r>
          </w:p>
        </w:tc>
        <w:tc>
          <w:tcPr>
            <w:tcW w:w="1114" w:type="dxa"/>
          </w:tcPr>
          <w:p w:rsidR="00D849AA" w:rsidRDefault="00EE6D95">
            <w:r>
              <w:t>0</w:t>
            </w:r>
          </w:p>
        </w:tc>
        <w:tc>
          <w:tcPr>
            <w:tcW w:w="1486" w:type="dxa"/>
          </w:tcPr>
          <w:p w:rsidR="00D849AA" w:rsidRDefault="00EE6D95">
            <w:r>
              <w:t>100</w:t>
            </w:r>
          </w:p>
        </w:tc>
        <w:tc>
          <w:tcPr>
            <w:tcW w:w="1486" w:type="dxa"/>
          </w:tcPr>
          <w:p w:rsidR="00D849AA" w:rsidRDefault="00EE6D95">
            <w:r>
              <w:t>0</w:t>
            </w:r>
          </w:p>
        </w:tc>
        <w:tc>
          <w:tcPr>
            <w:tcW w:w="1486" w:type="dxa"/>
          </w:tcPr>
          <w:p w:rsidR="00D849AA" w:rsidRDefault="00EE6D95">
            <w:r>
              <w:t>0</w:t>
            </w:r>
          </w:p>
        </w:tc>
      </w:tr>
    </w:tbl>
    <w:p w:rsidR="00D849AA" w:rsidRDefault="00D849AA">
      <w:pPr>
        <w:jc w:val="left"/>
      </w:pPr>
    </w:p>
    <w:p w:rsidR="007F25F6" w:rsidRDefault="007F25F6">
      <w:pPr>
        <w:jc w:val="left"/>
      </w:pPr>
    </w:p>
    <w:p w:rsidR="00D849AA" w:rsidRDefault="00EE6D95">
      <w:pPr>
        <w:pStyle w:val="Naslov6"/>
      </w:pPr>
      <w:r>
        <w:lastRenderedPageBreak/>
        <w:t>K741009 OBNOVA VOZNOG PARKA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K741009</w:t>
            </w:r>
          </w:p>
        </w:tc>
        <w:tc>
          <w:tcPr>
            <w:tcW w:w="1486" w:type="dxa"/>
          </w:tcPr>
          <w:p w:rsidR="00D849AA" w:rsidRDefault="00EE6D95">
            <w:r>
              <w:t>81.000</w:t>
            </w:r>
          </w:p>
        </w:tc>
        <w:tc>
          <w:tcPr>
            <w:tcW w:w="1486" w:type="dxa"/>
          </w:tcPr>
          <w:p w:rsidR="00D849AA" w:rsidRDefault="00EE6D95">
            <w:r>
              <w:t>40.000</w:t>
            </w:r>
          </w:p>
        </w:tc>
        <w:tc>
          <w:tcPr>
            <w:tcW w:w="1486" w:type="dxa"/>
          </w:tcPr>
          <w:p w:rsidR="00D849AA" w:rsidRDefault="00EE6D95">
            <w:r>
              <w:t>40.000</w:t>
            </w:r>
          </w:p>
        </w:tc>
        <w:tc>
          <w:tcPr>
            <w:tcW w:w="1486" w:type="dxa"/>
          </w:tcPr>
          <w:p w:rsidR="00D849AA" w:rsidRDefault="00EE6D95">
            <w:r>
              <w:t>40.000</w:t>
            </w:r>
          </w:p>
        </w:tc>
        <w:tc>
          <w:tcPr>
            <w:tcW w:w="1486" w:type="dxa"/>
          </w:tcPr>
          <w:p w:rsidR="00D849AA" w:rsidRDefault="00EE6D95">
            <w:r>
              <w:t>49,4</w:t>
            </w:r>
          </w:p>
        </w:tc>
      </w:tr>
    </w:tbl>
    <w:p w:rsidR="00D849AA" w:rsidRDefault="00D849AA">
      <w:pPr>
        <w:jc w:val="left"/>
      </w:pPr>
    </w:p>
    <w:p w:rsidR="00D849AA" w:rsidRDefault="00EE6D95">
      <w:pPr>
        <w:pStyle w:val="Normal6"/>
      </w:pPr>
      <w:r>
        <w:t>Povećanje efikasnosti rada zaposlenika Fonda, naročito u dijelu koji se odnosi na kontrolu namjenskog trošenja odobrenih poticaja poslodavcima koji zapošljavaju osobe s invaliditetom. Kako je u 2013. godini proveden natječaj putem objedinjene nabave Središnjeg ureda za javnu nabavu, potrebno je osigurati sredstva za troškove poslovnog najma.</w:t>
      </w:r>
    </w:p>
    <w:p w:rsidR="00D849AA" w:rsidRDefault="00EE6D95">
      <w:pPr>
        <w:pStyle w:val="Naslov2"/>
      </w:pPr>
      <w:r>
        <w:t>08645 Središnji registar osiguranika</w:t>
      </w:r>
    </w:p>
    <w:p w:rsidR="00D849AA" w:rsidRDefault="00EE6D95">
      <w:pPr>
        <w:pStyle w:val="Naslov4"/>
      </w:pPr>
      <w:r>
        <w:t>Uvod</w:t>
      </w:r>
    </w:p>
    <w:p w:rsidR="00D849AA" w:rsidRDefault="00EE6D95">
      <w:pPr>
        <w:pStyle w:val="Normal3"/>
      </w:pPr>
      <w:r>
        <w:t xml:space="preserve">Središnji registar osiguranika (REGOS) osnovan je Uredbom o osnivanju Središnjeg registra osiguranika (Narodne novine, broj 101/99, 83/12). Osnovna zadaća REGOS-a je osmišljavanje, izgradnja i unapređivanje, kako poslovnog, tako i pripadnog informacijskog sustava mirovinskog osiguranja temeljem individualne kapitalizirane štednje te vođenje i održavanje registra po osiguranicima tj. tehnička podrška II. stupu mirovinskog osiguranja. </w:t>
      </w:r>
    </w:p>
    <w:p w:rsidR="00D849AA" w:rsidRDefault="00EE6D95">
      <w:pPr>
        <w:pStyle w:val="Normal3"/>
      </w:pPr>
      <w:r>
        <w:t xml:space="preserve"> U dijelu poslova vezanih uz vođenje Registra te donošenje provedbenih propisa, REGOS ima javne ovlasti. U obavljanju poslova iz djelokruga rada, REGOS primjenjuje suvremena informacijska rješenja potrebna za odvijanje poslovnih procesa, kao i za objedinjavanje i transfer podataka sa svim subjektima u poslovnom okružju, što se osobito očituje u pružanju usluge e-REGOS -elektronsku razmjenu podataka između institucija u poslovnom okružju te omogućavanje uvida u stanje i promet po osobnom računu osiguranika, članu obveznog mirovinskog fonda putem interneta.  </w:t>
      </w:r>
    </w:p>
    <w:p w:rsidR="00D849AA" w:rsidRDefault="00EE6D95">
      <w:pPr>
        <w:pStyle w:val="Normal3"/>
      </w:pPr>
      <w:r>
        <w:t>Poslovi iz djelatnosti REGOS-a obavljaju se u suradnji s našim outsourcing partnerima Financijskom agencijom (FINA) i Agencijom za podršku informacijskim sustavima i informacijskim tehnologijama (APIS IT), a temeljem sklopljenih Ugovora o povjeravanju dijela poslova Središnjeg registra osiguranika s navedenim partnerima.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08645</w:t>
            </w:r>
          </w:p>
        </w:tc>
        <w:tc>
          <w:tcPr>
            <w:tcW w:w="1486" w:type="dxa"/>
          </w:tcPr>
          <w:p w:rsidR="00D849AA" w:rsidRDefault="00EE6D95">
            <w:r>
              <w:t>113.304.907</w:t>
            </w:r>
          </w:p>
        </w:tc>
        <w:tc>
          <w:tcPr>
            <w:tcW w:w="1486" w:type="dxa"/>
          </w:tcPr>
          <w:p w:rsidR="00D849AA" w:rsidRDefault="00EE6D95">
            <w:r>
              <w:t>113.117.000</w:t>
            </w:r>
          </w:p>
        </w:tc>
        <w:tc>
          <w:tcPr>
            <w:tcW w:w="1486" w:type="dxa"/>
          </w:tcPr>
          <w:p w:rsidR="00D849AA" w:rsidRDefault="00EE6D95">
            <w:r>
              <w:t>98.687.000</w:t>
            </w:r>
          </w:p>
        </w:tc>
        <w:tc>
          <w:tcPr>
            <w:tcW w:w="1486" w:type="dxa"/>
          </w:tcPr>
          <w:p w:rsidR="00D849AA" w:rsidRDefault="00EE6D95">
            <w:r>
              <w:t>79.217.000</w:t>
            </w:r>
          </w:p>
        </w:tc>
        <w:tc>
          <w:tcPr>
            <w:tcW w:w="1486" w:type="dxa"/>
          </w:tcPr>
          <w:p w:rsidR="00D849AA" w:rsidRDefault="00EE6D95">
            <w:r>
              <w:t>99,8</w:t>
            </w:r>
          </w:p>
        </w:tc>
      </w:tr>
    </w:tbl>
    <w:p w:rsidR="00D849AA" w:rsidRDefault="00D849AA">
      <w:pPr>
        <w:jc w:val="left"/>
      </w:pPr>
    </w:p>
    <w:p w:rsidR="00D849AA" w:rsidRDefault="00EE6D95">
      <w:pPr>
        <w:pStyle w:val="Naslov4"/>
      </w:pPr>
      <w:r>
        <w:t>OBRAZLOŽENJE PROGRAMA</w:t>
      </w:r>
    </w:p>
    <w:p w:rsidR="00D849AA" w:rsidRDefault="00EE6D95">
      <w:pPr>
        <w:pStyle w:val="Naslov5"/>
      </w:pPr>
      <w:r>
        <w:t>4101 PODRŠKA SUSTAVU MIROVINSKOG OSIGURANJA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4101</w:t>
            </w:r>
          </w:p>
        </w:tc>
        <w:tc>
          <w:tcPr>
            <w:tcW w:w="1486" w:type="dxa"/>
          </w:tcPr>
          <w:p w:rsidR="00D849AA" w:rsidRDefault="00EE6D95">
            <w:r>
              <w:t>113.304.907</w:t>
            </w:r>
          </w:p>
        </w:tc>
        <w:tc>
          <w:tcPr>
            <w:tcW w:w="1486" w:type="dxa"/>
          </w:tcPr>
          <w:p w:rsidR="00D849AA" w:rsidRDefault="00EE6D95">
            <w:r>
              <w:t>113.117.000</w:t>
            </w:r>
          </w:p>
        </w:tc>
        <w:tc>
          <w:tcPr>
            <w:tcW w:w="1486" w:type="dxa"/>
          </w:tcPr>
          <w:p w:rsidR="00D849AA" w:rsidRDefault="00EE6D95">
            <w:r>
              <w:t>98.687.000</w:t>
            </w:r>
          </w:p>
        </w:tc>
        <w:tc>
          <w:tcPr>
            <w:tcW w:w="1486" w:type="dxa"/>
          </w:tcPr>
          <w:p w:rsidR="00D849AA" w:rsidRDefault="00EE6D95">
            <w:r>
              <w:t>79.217.000</w:t>
            </w:r>
          </w:p>
        </w:tc>
        <w:tc>
          <w:tcPr>
            <w:tcW w:w="1486" w:type="dxa"/>
          </w:tcPr>
          <w:p w:rsidR="00D849AA" w:rsidRDefault="00EE6D95">
            <w:r>
              <w:t>99,8</w:t>
            </w:r>
          </w:p>
        </w:tc>
      </w:tr>
    </w:tbl>
    <w:p w:rsidR="00D849AA" w:rsidRDefault="00EE6D95">
      <w:pPr>
        <w:pStyle w:val="Naslov6"/>
      </w:pPr>
      <w:r>
        <w:lastRenderedPageBreak/>
        <w:t>Opis programa</w:t>
      </w:r>
    </w:p>
    <w:p w:rsidR="00D849AA" w:rsidRDefault="00EE6D95">
      <w:pPr>
        <w:pStyle w:val="Normal5"/>
      </w:pPr>
      <w:r>
        <w:t xml:space="preserve">Sve aktivnosti i projekti koje obavlja REGOS dio su programa Podrška sustavu mirovinske reforme nositelj kojega je Ministarstvo rada i mirovinskog sustava.  </w:t>
      </w:r>
    </w:p>
    <w:p w:rsidR="00D849AA" w:rsidRDefault="00EE6D95">
      <w:pPr>
        <w:pStyle w:val="Normal5"/>
      </w:pPr>
      <w:r>
        <w:t>U okviru općeg cilja „dostojna starost“, definiranog strateškim planom Ministarstva rada i mirovinskog sustava, posebni cilj REGOS-a je osiguranje provedbe obveznog kapitaliziranog sustava i unaprjeđenje poslovnih procesa.</w:t>
      </w:r>
    </w:p>
    <w:p w:rsidR="00D849AA" w:rsidRDefault="00EE6D95">
      <w:pPr>
        <w:pStyle w:val="Naslov6"/>
      </w:pPr>
      <w:r>
        <w:t>Zakonske i druge pravne osnove</w:t>
      </w:r>
    </w:p>
    <w:p w:rsidR="00D849AA" w:rsidRDefault="00EE6D95">
      <w:pPr>
        <w:pStyle w:val="Normal5"/>
      </w:pPr>
      <w:r>
        <w:t xml:space="preserve">Osnovni normativni akti koji uređuju djelokrug rada REGOS-a su:   </w:t>
      </w:r>
    </w:p>
    <w:p w:rsidR="00D849AA" w:rsidRDefault="00EE6D95">
      <w:pPr>
        <w:pStyle w:val="Normal5"/>
      </w:pPr>
      <w:r>
        <w:t xml:space="preserve">- Zakon o obveznim i dobrovoljnim mirovinskim fondovima (Narodne novine, broj 49/99, 63/00, 103/03, 177/04, 71/07, 124/10, 114/11, 51A/13), </w:t>
      </w:r>
    </w:p>
    <w:p w:rsidR="00D849AA" w:rsidRDefault="00EE6D95">
      <w:pPr>
        <w:pStyle w:val="Normal5"/>
      </w:pPr>
      <w:r>
        <w:t xml:space="preserve">- Zakon o Hrvatskoj agenciji za nadzor financijskih usluga (Urednički pročišćeni tekst, Narodne novine, broj 140/05, 154/11, 12/12), </w:t>
      </w:r>
    </w:p>
    <w:p w:rsidR="00D849AA" w:rsidRDefault="00EE6D95">
      <w:pPr>
        <w:pStyle w:val="Normal5"/>
      </w:pPr>
      <w:r>
        <w:t xml:space="preserve">- Zakon o prikupljanju podataka po osiguranicima o doprinosima za obvezna mirovinska osiguranja (Narodne novine, broj 177/04, 90/11), </w:t>
      </w:r>
    </w:p>
    <w:p w:rsidR="00D849AA" w:rsidRDefault="00EE6D95">
      <w:pPr>
        <w:pStyle w:val="Normal5"/>
      </w:pPr>
      <w:r>
        <w:t xml:space="preserve">- Zakon o mirovinskim osiguravajućim društvima i isplati mirovina na temelju individualne kapitalizirane štednje (Narodne novine, broj 106/99, 63/00, 107/07, 114/11).  </w:t>
      </w:r>
    </w:p>
    <w:p w:rsidR="00D849AA" w:rsidRDefault="00EE6D95">
      <w:pPr>
        <w:pStyle w:val="Normal5"/>
      </w:pPr>
      <w:r>
        <w:t>- Uredba o osnivanju Središnjeg registra osiguranika (Narodne novine, broj 101/99, 83/12).</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Cilj 1. Osiguranje provedbe obveznog kapitaliziranog sustava i unaprjeđenje poslovnih procesa</w:t>
      </w:r>
    </w:p>
    <w:p w:rsidR="00D849AA" w:rsidRDefault="00EE6D95">
      <w:pPr>
        <w:pStyle w:val="Normal6"/>
      </w:pPr>
      <w:r>
        <w:t xml:space="preserve">Osiguranje provedbe obveznog kapitaliziranog sustava i unapređenje poslovnih procesa obuhvaća poslove vezane uz prijavu/promjenu obveznog mirovinskog fonda, povezivanje podataka iz Obrazaca R-Sm sa pripadajućim uplatama doprinosa za II. stup mirovinskog osiguranja, prosljeđivanje povezanih uplata u obvezne mirovinske fondove i društva, preračun u obračunske jedinice i evidentiranje na osobnim računima osiguranika, zatvaranje osobnih računa i isplata sredstava zakonskim primateljima te istup iz II. stupa. </w:t>
      </w:r>
    </w:p>
    <w:p w:rsidR="00D849AA" w:rsidRDefault="00EE6D95">
      <w:pPr>
        <w:pStyle w:val="Normal6"/>
      </w:pPr>
      <w:r>
        <w:t xml:space="preserve">Analizom postojećeg stanja utvrđeno je da se tehnička podrška mirovinskom osiguranju na temelju individualne kapitalizirane štednje odvija nesmetano, što je rezultiralo sa više od 40 mlrd. kn proslijeđenih u obvezne mirovinske fondove. Povećanjem ukupnog iznosa proslijeđenih sredstava doprinosa temeljem individualne kapitalizirane štednje u obvezne mirovinske fondove povećat će se zadovoljstvo svih sudionika  mirovinskog sustava, što pridonosi ostvarenju općeg cilja. </w:t>
      </w:r>
    </w:p>
    <w:p w:rsidR="00D849AA" w:rsidRDefault="00EE6D95">
      <w:pPr>
        <w:pStyle w:val="Normal6"/>
      </w:pPr>
      <w:r>
        <w:t xml:space="preserve">Ministarstvo rada i mirovinskog sustava pokrenulo je inicijativu za objedinjeno prikupljanje podataka o svim oporezivim i neoporezivim primicima i pripadajućim javnim davanjima. Podaci bi se prikupljali putem jedinstvenog obrasca – Obrazac JOPPD. Obrazac JOPPD zajednički je obrazac REGOS-a i Porezne uprave koji bi se podnosio dnevno (pri svakoj isplati) i to u pravilu u elektroničkom obliku putem sustava e-porezna. Novi jedinstveni  obrazac zamijenio bi slijedeće obrasce: ID, ID-1, IDD, IDD-1, IP i R-Sm. Objedinjenim prikupljanjem podataka o isplati plaće po osiguraniku, uplaćenim javnim davanjima (porezu  na dohodak i prirezu porezu na dohodak, doprinosima za obvezna osiguranja) o svim isplatama  koje poslodavci isplaćuju radnicima po kolektivnom ugovoru i sl. postići će se racionalizacija postojećeg sustava prikupljanja  i obrade podataka, formiranje jedinstvenog registra osiguranika u Središnjem registru osiguranika te uspostava web portala na kojem bi se osiguranicima omogućila provjera da li poslodavac uplaćuje sva javna davanja, što će omogućiti bolju informiranost osiguranika </w:t>
      </w:r>
      <w:r>
        <w:lastRenderedPageBreak/>
        <w:t xml:space="preserve">te transparentnost sustava. U konačnici, objedinjeno prikupljanje podataka treba rezultirati kvalitativnim iskorakom i racionalizacijom troškova za državu i poslodavce, odnosno obveznike podnošenja podataka. </w:t>
      </w:r>
    </w:p>
    <w:p w:rsidR="00D849AA" w:rsidRDefault="00EE6D95">
      <w:pPr>
        <w:pStyle w:val="Normal6"/>
      </w:pPr>
      <w:r>
        <w:t xml:space="preserve">Elektroničko poslovanje pridonosi bržim i kvalitetnijim obradama podataka, a time i točnim i ažurnim podacima u registru koji su nužni za ostvarivanje definiranog općeg cilja. Na ovaj način podaci prikupljeni i obrađeni u jednoj instituciji postaju dostupni drugim institucijama državne ili javne uprave, što dovodi do jačanja javnosti i transparentnosti rada javne administracije, djelotvornosti i zaštite javnog interesa. </w:t>
      </w:r>
    </w:p>
    <w:p w:rsidR="00D849AA" w:rsidRDefault="00EE6D95">
      <w:pPr>
        <w:pStyle w:val="Normal6"/>
      </w:pPr>
      <w:r>
        <w:t xml:space="preserve">Naredno razdoblje bit će obilježeno prilagodbom postojećeg sustava u RH unificiranim procesima iz sustava socijalnog osiguranja Europske unije. Na sjednici, održanoj 20. siječnja 2011., Vlada Republike Hrvatske donijela je Odluku o određivanju Središnjeg registra osiguranika (REGOS) Pristupnom točkom (EU Access Point) za elektroničku razmjenu podataka u području koordinacije sustava socijalne sigurnosti (EESSI - Electronic Exchange of Social Security Information). REGOS će sukladno Odluci obavljati poslove pristupne točke za povezivanje s pristupnim točkama drugih država članica Europske unije za potrebe koordinacije sustava socijalne sigurnosti koja se provodi izravnom primjenom europskih uredbi za koordinaciju sustava socijalne sigurnosti. Cilj EESSI projekta je jačanje zaštite prava na socijalnu sigurnost građana koji se sele diljem Europe te ubrzanje i olakšanje procesa donošenja odluka za stvarni obračun i isplatu socijalnih naknada za ovu kategoriju građana, što se može postići samo kroz osuvremenjivanje i ubrzavanje razmjene informacija između institucija socijalne sigurnosti država članica. Temeljem navedenog, REGOS će obavljati poslove nacionalnog središta za povezivanje s nacionalnim institucijama drugih država članica EU za potrebe koordinacije koja se provodi izravnom primjenom europskih uredbi za koordinaciju sustava socijalne sigurnosti radnika migranata i članova njihovih obitelji. </w:t>
      </w:r>
    </w:p>
    <w:p w:rsidR="007F25F6" w:rsidRDefault="007F25F6">
      <w:pPr>
        <w:pStyle w:val="Normal6"/>
      </w:pPr>
    </w:p>
    <w:p w:rsidR="00D849AA" w:rsidRDefault="00EE6D95">
      <w:pPr>
        <w:pStyle w:val="Normal6"/>
      </w:pPr>
      <w:r>
        <w:t xml:space="preserve">Način ostvarivanja postavljenog cilja </w:t>
      </w:r>
    </w:p>
    <w:p w:rsidR="00D849AA" w:rsidRDefault="00EE6D95">
      <w:pPr>
        <w:pStyle w:val="Normal6"/>
      </w:pPr>
      <w:r>
        <w:t xml:space="preserve">1.1.1. Prosljeđivanje sredstava doprinosa za mirovinsko osiguranje na temelju individualne kapitalizirane štednje u obvezne mirovinske fondove. </w:t>
      </w:r>
    </w:p>
    <w:p w:rsidR="00D849AA" w:rsidRDefault="00EE6D95">
      <w:pPr>
        <w:pStyle w:val="Normal6"/>
      </w:pPr>
      <w:r>
        <w:t xml:space="preserve">Uplate doprinosa za mirovinsko osiguranje na temelju individualne kapitalizirane štednje povezuju se s podacima o zaduženju te se prosljeđuju u obvezne mirovinske fondove i evidentiraju na osobnim računima članova obveznih mirovinskih fondova. </w:t>
      </w:r>
    </w:p>
    <w:p w:rsidR="00D849AA" w:rsidRDefault="00EE6D95">
      <w:pPr>
        <w:pStyle w:val="Normal6"/>
      </w:pPr>
      <w:r>
        <w:t xml:space="preserve">Povećanjem ukupnog iznosa proslijeđenih sredstava  doprinosa temeljem individualne kapitalizirane štednje u obvezne mirovinske fondove povećat će se zadovoljstvo svih sudionika  mirovinskog sustava. </w:t>
      </w:r>
    </w:p>
    <w:p w:rsidR="00D849AA" w:rsidRDefault="00EE6D95">
      <w:pPr>
        <w:pStyle w:val="Normal6"/>
      </w:pPr>
      <w:r>
        <w:t xml:space="preserve">1.1.2. Razvoj i promicanje e-poslovanja </w:t>
      </w:r>
    </w:p>
    <w:p w:rsidR="00D849AA" w:rsidRDefault="00EE6D95">
      <w:pPr>
        <w:pStyle w:val="Normal6"/>
      </w:pPr>
      <w:r>
        <w:t xml:space="preserve">Osiguranici će na brži i jednostavniji način postavljati zahtjeve za dokumentima i dobivati dokumente koji su im potrebni za ostvarivanje prava te će biti bolje informirani. </w:t>
      </w:r>
    </w:p>
    <w:p w:rsidR="00D849AA" w:rsidRDefault="00EE6D95">
      <w:pPr>
        <w:pStyle w:val="Normal6"/>
      </w:pPr>
      <w:r>
        <w:t>Unapređenjem sustava elektroničke komunikacije s osiguranicima, osiguranici će na brži i jednostavniji način postavljati zahtjeve za dokumentima i dobivati dokumente koji su im potrebni radi ostvarivanja prava te  bolje informiranosti. Elektronička razmjena podataka između institucija u okružju olakšava ostvarivanje prava osiguranika.</w:t>
      </w:r>
    </w:p>
    <w:p w:rsidR="007F25F6" w:rsidRDefault="007F25F6">
      <w:pPr>
        <w:pStyle w:val="Normal6"/>
      </w:pPr>
    </w:p>
    <w:p w:rsidR="007F25F6" w:rsidRDefault="007F25F6">
      <w:pPr>
        <w:pStyle w:val="Normal6"/>
      </w:pPr>
    </w:p>
    <w:p w:rsidR="007F25F6" w:rsidRDefault="007F25F6">
      <w:pPr>
        <w:pStyle w:val="Normal6"/>
      </w:pPr>
    </w:p>
    <w:p w:rsidR="007F25F6" w:rsidRDefault="007F25F6">
      <w:pPr>
        <w:pStyle w:val="Normal6"/>
      </w:pPr>
    </w:p>
    <w:p w:rsidR="00562CD8" w:rsidRDefault="00562CD8">
      <w:pPr>
        <w:pStyle w:val="Normal6"/>
      </w:pPr>
    </w:p>
    <w:p w:rsidR="00D849AA" w:rsidRDefault="00EE6D95">
      <w:pPr>
        <w:pStyle w:val="Naslov8"/>
        <w:jc w:val="left"/>
      </w:pPr>
      <w:r>
        <w:lastRenderedPageBreak/>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Porast iznosa doznačenih sredstava doprinosa za mirovinsko osiguranje temeljem individualne kapitalizirane štednje</w:t>
            </w:r>
          </w:p>
        </w:tc>
        <w:tc>
          <w:tcPr>
            <w:tcW w:w="1114" w:type="dxa"/>
          </w:tcPr>
          <w:p w:rsidR="00D849AA" w:rsidRDefault="00EE6D95">
            <w:r>
              <w:t>mlrd</w:t>
            </w:r>
          </w:p>
        </w:tc>
        <w:tc>
          <w:tcPr>
            <w:tcW w:w="1114" w:type="dxa"/>
          </w:tcPr>
          <w:p w:rsidR="00D849AA" w:rsidRDefault="00EE6D95">
            <w:r>
              <w:t>43</w:t>
            </w:r>
          </w:p>
        </w:tc>
        <w:tc>
          <w:tcPr>
            <w:tcW w:w="1486" w:type="dxa"/>
          </w:tcPr>
          <w:p w:rsidR="00D849AA" w:rsidRDefault="00EE6D95">
            <w:r>
              <w:t>3</w:t>
            </w:r>
          </w:p>
        </w:tc>
        <w:tc>
          <w:tcPr>
            <w:tcW w:w="1486" w:type="dxa"/>
          </w:tcPr>
          <w:p w:rsidR="00D849AA" w:rsidRDefault="00EE6D95">
            <w:r>
              <w:t>3</w:t>
            </w:r>
          </w:p>
        </w:tc>
        <w:tc>
          <w:tcPr>
            <w:tcW w:w="1486" w:type="dxa"/>
          </w:tcPr>
          <w:p w:rsidR="00D849AA" w:rsidRDefault="00EE6D95">
            <w:r>
              <w:t>3</w:t>
            </w:r>
          </w:p>
        </w:tc>
      </w:tr>
      <w:tr w:rsidR="00D849AA">
        <w:trPr>
          <w:jc w:val="center"/>
        </w:trPr>
        <w:tc>
          <w:tcPr>
            <w:tcW w:w="2229" w:type="dxa"/>
          </w:tcPr>
          <w:p w:rsidR="00D849AA" w:rsidRDefault="00EE6D95">
            <w:pPr>
              <w:pStyle w:val="CellColumn"/>
            </w:pPr>
            <w:r>
              <w:t>Broj elektroničkih dokumenata</w:t>
            </w:r>
          </w:p>
        </w:tc>
        <w:tc>
          <w:tcPr>
            <w:tcW w:w="1114" w:type="dxa"/>
          </w:tcPr>
          <w:p w:rsidR="00D849AA" w:rsidRDefault="00EE6D95">
            <w:r>
              <w:t>dokument</w:t>
            </w:r>
          </w:p>
        </w:tc>
        <w:tc>
          <w:tcPr>
            <w:tcW w:w="1114" w:type="dxa"/>
          </w:tcPr>
          <w:p w:rsidR="00D849AA" w:rsidRDefault="00EE6D95">
            <w:r>
              <w:t>15.000</w:t>
            </w:r>
          </w:p>
        </w:tc>
        <w:tc>
          <w:tcPr>
            <w:tcW w:w="1486" w:type="dxa"/>
          </w:tcPr>
          <w:p w:rsidR="00D849AA" w:rsidRDefault="00EE6D95">
            <w:r>
              <w:t>1.620.000</w:t>
            </w:r>
          </w:p>
        </w:tc>
        <w:tc>
          <w:tcPr>
            <w:tcW w:w="1486" w:type="dxa"/>
          </w:tcPr>
          <w:p w:rsidR="00D849AA" w:rsidRDefault="00EE6D95">
            <w:r>
              <w:t>1.720.000</w:t>
            </w:r>
          </w:p>
        </w:tc>
        <w:tc>
          <w:tcPr>
            <w:tcW w:w="1486" w:type="dxa"/>
          </w:tcPr>
          <w:p w:rsidR="00D849AA" w:rsidRDefault="00EE6D95">
            <w:r>
              <w:t>1.820.000</w:t>
            </w:r>
          </w:p>
        </w:tc>
      </w:tr>
    </w:tbl>
    <w:p w:rsidR="00D849AA" w:rsidRDefault="00D849AA">
      <w:pPr>
        <w:jc w:val="left"/>
      </w:pPr>
    </w:p>
    <w:p w:rsidR="00D849AA" w:rsidRDefault="00EE6D95">
      <w:pPr>
        <w:pStyle w:val="Naslov5"/>
      </w:pPr>
      <w:r>
        <w:t>Procjena i ishodište potrebnih sredstava za značajnije aktivnosti/projekte</w:t>
      </w:r>
    </w:p>
    <w:p w:rsidR="00D849AA" w:rsidRDefault="00EE6D95">
      <w:pPr>
        <w:pStyle w:val="Naslov6"/>
      </w:pPr>
      <w:r>
        <w:t>A539048 ADMINISTRACIJA I UPRAVLJANJE  SREDIŠNJEG REGISTRA OSIGURANIKA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A539048</w:t>
            </w:r>
          </w:p>
        </w:tc>
        <w:tc>
          <w:tcPr>
            <w:tcW w:w="1486" w:type="dxa"/>
          </w:tcPr>
          <w:p w:rsidR="00D849AA" w:rsidRDefault="00EE6D95">
            <w:r>
              <w:t>8.779.632</w:t>
            </w:r>
          </w:p>
        </w:tc>
        <w:tc>
          <w:tcPr>
            <w:tcW w:w="1486" w:type="dxa"/>
          </w:tcPr>
          <w:p w:rsidR="00D849AA" w:rsidRDefault="00EE6D95">
            <w:r>
              <w:t>8.966.000</w:t>
            </w:r>
          </w:p>
        </w:tc>
        <w:tc>
          <w:tcPr>
            <w:tcW w:w="1486" w:type="dxa"/>
          </w:tcPr>
          <w:p w:rsidR="00D849AA" w:rsidRDefault="00EE6D95">
            <w:r>
              <w:t>9.036.000</w:t>
            </w:r>
          </w:p>
        </w:tc>
        <w:tc>
          <w:tcPr>
            <w:tcW w:w="1486" w:type="dxa"/>
          </w:tcPr>
          <w:p w:rsidR="00D849AA" w:rsidRDefault="00EE6D95">
            <w:r>
              <w:t>9.066.000</w:t>
            </w:r>
          </w:p>
        </w:tc>
        <w:tc>
          <w:tcPr>
            <w:tcW w:w="1486" w:type="dxa"/>
          </w:tcPr>
          <w:p w:rsidR="00D849AA" w:rsidRDefault="00EE6D95">
            <w:r>
              <w:t>102,1</w:t>
            </w:r>
          </w:p>
        </w:tc>
      </w:tr>
    </w:tbl>
    <w:p w:rsidR="00D849AA" w:rsidRDefault="00D849AA">
      <w:pPr>
        <w:jc w:val="left"/>
      </w:pPr>
    </w:p>
    <w:p w:rsidR="00D849AA" w:rsidRDefault="00EE6D95">
      <w:pPr>
        <w:pStyle w:val="Normal6"/>
      </w:pPr>
      <w:r>
        <w:t>Sredstva ove aktivnosti su namijenjena za redovno poslovanje REGOS-a i obuhvaćaju rashode za zaposlene, materijalne rashode, ostale financijske rashode, rashode za nabavu proizvedene imovine i za rashode za dodatna ulaganja za ostalu nefinancijsku imovinu. Planirana sredstva za 2014.g. su veća u odnosu na planirana sredstva za 2013.g. 2,12%.</w:t>
      </w:r>
    </w:p>
    <w:p w:rsidR="00D849AA" w:rsidRDefault="00EE6D95">
      <w:pPr>
        <w:pStyle w:val="Naslov6"/>
      </w:pPr>
      <w:r>
        <w:t>A772002 TEHNIČKA PODRŠKA II STUPU I RAZMJENA PODATAKA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A772002</w:t>
            </w:r>
          </w:p>
        </w:tc>
        <w:tc>
          <w:tcPr>
            <w:tcW w:w="1486" w:type="dxa"/>
          </w:tcPr>
          <w:p w:rsidR="00D849AA" w:rsidRDefault="00EE6D95">
            <w:r>
              <w:t>103.920.275</w:t>
            </w:r>
          </w:p>
        </w:tc>
        <w:tc>
          <w:tcPr>
            <w:tcW w:w="1486" w:type="dxa"/>
          </w:tcPr>
          <w:p w:rsidR="00D849AA" w:rsidRDefault="00EE6D95">
            <w:r>
              <w:t>103.526.000</w:t>
            </w:r>
          </w:p>
        </w:tc>
        <w:tc>
          <w:tcPr>
            <w:tcW w:w="1486" w:type="dxa"/>
          </w:tcPr>
          <w:p w:rsidR="00D849AA" w:rsidRDefault="00EE6D95">
            <w:r>
              <w:t>89.026.000</w:t>
            </w:r>
          </w:p>
        </w:tc>
        <w:tc>
          <w:tcPr>
            <w:tcW w:w="1486" w:type="dxa"/>
          </w:tcPr>
          <w:p w:rsidR="00D849AA" w:rsidRDefault="00EE6D95">
            <w:r>
              <w:t>69.526.000</w:t>
            </w:r>
          </w:p>
        </w:tc>
        <w:tc>
          <w:tcPr>
            <w:tcW w:w="1486" w:type="dxa"/>
          </w:tcPr>
          <w:p w:rsidR="00D849AA" w:rsidRDefault="00EE6D95">
            <w:r>
              <w:t>99,6</w:t>
            </w:r>
          </w:p>
        </w:tc>
      </w:tr>
    </w:tbl>
    <w:p w:rsidR="00D849AA" w:rsidRDefault="00D849AA">
      <w:pPr>
        <w:jc w:val="left"/>
      </w:pPr>
    </w:p>
    <w:p w:rsidR="00D849AA" w:rsidRDefault="00EE6D95">
      <w:pPr>
        <w:pStyle w:val="Normal6"/>
      </w:pPr>
      <w:r>
        <w:t>Najznačajnija aktivnost Tehnička podrška II. stupu mirovinskog osiguranja obuhvaća poslove vezane uz prijavu/promjenu obveznog mirovinskog fonda, povezivanje podataka iz Obrazaca R-Sm sa pripadajućim uplatama doprinosa za II. stup mirovinskog osiguranja, prosljeđivanje povezanih uplata u obvezne mirovinske fondove i društva, preračun u obračunske jedinice i evidentiranje na osobnim računima osiguranika, zatvaranje osobnih računa i isplata sredstava zakonskim primateljima te istup iz II. stupa. Poslovi iz djelatnosti REGOS-a obavljaju se u suradnji s outsourcing partnerima: FINA-om i APIS IT – om temeljem sklopljenih Ugovora o povjeravanju dijela poslova REGOS-a s navedenim partnerima. Ukupno planirana sredstva za obavljanje ovih aktivnosti u 2014. iznose 103.526.000 kuna, a u 2015. i 2016. planirano je smanjenje.</w:t>
      </w:r>
    </w:p>
    <w:p w:rsidR="007F25F6" w:rsidRDefault="007F25F6">
      <w:pPr>
        <w:pStyle w:val="Normal6"/>
      </w:pPr>
    </w:p>
    <w:p w:rsidR="00562CD8" w:rsidRDefault="00562CD8">
      <w:pPr>
        <w:pStyle w:val="Normal6"/>
      </w:pPr>
    </w:p>
    <w:p w:rsidR="00D849AA" w:rsidRDefault="00EE6D95">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Iznos ukupno proslijeđenih sredstava doprinosa temeljem individualne kapitalizirane štednje u obvezne mirovinske fondove</w:t>
            </w:r>
          </w:p>
        </w:tc>
        <w:tc>
          <w:tcPr>
            <w:tcW w:w="1114" w:type="dxa"/>
          </w:tcPr>
          <w:p w:rsidR="00D849AA" w:rsidRDefault="00EE6D95">
            <w:r>
              <w:t>mlrd</w:t>
            </w:r>
          </w:p>
        </w:tc>
        <w:tc>
          <w:tcPr>
            <w:tcW w:w="1114" w:type="dxa"/>
          </w:tcPr>
          <w:p w:rsidR="00D849AA" w:rsidRDefault="00EE6D95">
            <w:r>
              <w:t>43</w:t>
            </w:r>
          </w:p>
        </w:tc>
        <w:tc>
          <w:tcPr>
            <w:tcW w:w="1486" w:type="dxa"/>
          </w:tcPr>
          <w:p w:rsidR="00D849AA" w:rsidRDefault="00EE6D95">
            <w:r>
              <w:t>46</w:t>
            </w:r>
          </w:p>
        </w:tc>
        <w:tc>
          <w:tcPr>
            <w:tcW w:w="1486" w:type="dxa"/>
          </w:tcPr>
          <w:p w:rsidR="00D849AA" w:rsidRDefault="00EE6D95">
            <w:r>
              <w:t>49</w:t>
            </w:r>
          </w:p>
        </w:tc>
        <w:tc>
          <w:tcPr>
            <w:tcW w:w="1486" w:type="dxa"/>
          </w:tcPr>
          <w:p w:rsidR="00D849AA" w:rsidRDefault="00EE6D95">
            <w:r>
              <w:t>52</w:t>
            </w:r>
          </w:p>
        </w:tc>
      </w:tr>
      <w:tr w:rsidR="00D849AA">
        <w:trPr>
          <w:jc w:val="center"/>
        </w:trPr>
        <w:tc>
          <w:tcPr>
            <w:tcW w:w="2229" w:type="dxa"/>
          </w:tcPr>
          <w:p w:rsidR="00D849AA" w:rsidRDefault="00EE6D95">
            <w:pPr>
              <w:pStyle w:val="CellColumn"/>
            </w:pPr>
            <w:r>
              <w:t>Broj registriranih aktivnih korisnika usluge</w:t>
            </w:r>
          </w:p>
        </w:tc>
        <w:tc>
          <w:tcPr>
            <w:tcW w:w="1114" w:type="dxa"/>
          </w:tcPr>
          <w:p w:rsidR="00D849AA" w:rsidRDefault="00EE6D95">
            <w:r>
              <w:t>korisnik usluge</w:t>
            </w:r>
          </w:p>
        </w:tc>
        <w:tc>
          <w:tcPr>
            <w:tcW w:w="1114" w:type="dxa"/>
          </w:tcPr>
          <w:p w:rsidR="00D849AA" w:rsidRDefault="00EE6D95">
            <w:r>
              <w:t>6000</w:t>
            </w:r>
          </w:p>
        </w:tc>
        <w:tc>
          <w:tcPr>
            <w:tcW w:w="1486" w:type="dxa"/>
          </w:tcPr>
          <w:p w:rsidR="00D849AA" w:rsidRDefault="00EE6D95">
            <w:r>
              <w:t>1,6 mil</w:t>
            </w:r>
          </w:p>
        </w:tc>
        <w:tc>
          <w:tcPr>
            <w:tcW w:w="1486" w:type="dxa"/>
          </w:tcPr>
          <w:p w:rsidR="00D849AA" w:rsidRDefault="00EE6D95">
            <w:r>
              <w:t>1,7 mil</w:t>
            </w:r>
          </w:p>
        </w:tc>
        <w:tc>
          <w:tcPr>
            <w:tcW w:w="1486" w:type="dxa"/>
          </w:tcPr>
          <w:p w:rsidR="00D849AA" w:rsidRDefault="00EE6D95">
            <w:r>
              <w:t>1,8 mil</w:t>
            </w:r>
          </w:p>
        </w:tc>
      </w:tr>
      <w:tr w:rsidR="00D849AA">
        <w:trPr>
          <w:jc w:val="center"/>
        </w:trPr>
        <w:tc>
          <w:tcPr>
            <w:tcW w:w="2229" w:type="dxa"/>
          </w:tcPr>
          <w:p w:rsidR="00D849AA" w:rsidRDefault="00EE6D95">
            <w:pPr>
              <w:pStyle w:val="CellColumn"/>
            </w:pPr>
            <w:r>
              <w:t>Porast razmijenjenih paketa podataka</w:t>
            </w:r>
          </w:p>
        </w:tc>
        <w:tc>
          <w:tcPr>
            <w:tcW w:w="1114" w:type="dxa"/>
          </w:tcPr>
          <w:p w:rsidR="00D849AA" w:rsidRDefault="00EE6D95">
            <w:r>
              <w:t>broj paketa</w:t>
            </w:r>
          </w:p>
        </w:tc>
        <w:tc>
          <w:tcPr>
            <w:tcW w:w="1114" w:type="dxa"/>
          </w:tcPr>
          <w:p w:rsidR="00D849AA" w:rsidRDefault="00EE6D95">
            <w:r>
              <w:t>162</w:t>
            </w:r>
          </w:p>
        </w:tc>
        <w:tc>
          <w:tcPr>
            <w:tcW w:w="1486" w:type="dxa"/>
          </w:tcPr>
          <w:p w:rsidR="00D849AA" w:rsidRDefault="00EE6D95">
            <w:r>
              <w:t>200</w:t>
            </w:r>
          </w:p>
        </w:tc>
        <w:tc>
          <w:tcPr>
            <w:tcW w:w="1486" w:type="dxa"/>
          </w:tcPr>
          <w:p w:rsidR="00D849AA" w:rsidRDefault="00EE6D95">
            <w:r>
              <w:t>250</w:t>
            </w:r>
          </w:p>
        </w:tc>
        <w:tc>
          <w:tcPr>
            <w:tcW w:w="1486" w:type="dxa"/>
          </w:tcPr>
          <w:p w:rsidR="00D849AA" w:rsidRDefault="00EE6D95">
            <w:r>
              <w:t>270</w:t>
            </w:r>
          </w:p>
        </w:tc>
      </w:tr>
    </w:tbl>
    <w:p w:rsidR="00D849AA" w:rsidRDefault="00D849AA">
      <w:pPr>
        <w:jc w:val="left"/>
      </w:pPr>
    </w:p>
    <w:p w:rsidR="00D849AA" w:rsidRDefault="00EE6D95">
      <w:pPr>
        <w:pStyle w:val="Naslov2"/>
      </w:pPr>
      <w:r>
        <w:t>08650 Agencija za osiguranje radničkih potraživanja u slučaju stečaja poslodavca</w:t>
      </w:r>
    </w:p>
    <w:p w:rsidR="00D849AA" w:rsidRDefault="00EE6D95">
      <w:pPr>
        <w:pStyle w:val="Naslov4"/>
      </w:pPr>
      <w:r>
        <w:t>Uvod</w:t>
      </w:r>
    </w:p>
    <w:p w:rsidR="00D849AA" w:rsidRDefault="00EE6D95">
      <w:pPr>
        <w:pStyle w:val="Normal3"/>
      </w:pPr>
      <w:r>
        <w:t xml:space="preserve">Agencija za osiguranje radničkih potraživanja u slučaju stečaja poslodavca (u daljnjem tekstu: Agencija) osnovana je Zakonom o osiguranju potraživanja radnika u slučaju stečaja poslodavca (Narodne novine 86/2008; 80/2013, u daljnjem tekstu: Zakon) kao javna ustanova čiji je osnivač Republika Hrvatska. Zakon je usklađen s EU direktivom 80/987/EEC koja je dopunjena Direktivom 2002/74/EC, te ispunjava obveze iz Sporazuma o stabilizaciji i pridruživanju Europskoj uniji. Ovim se Zakonom u pravni poredak Republike Hrvatske prenosi Direktiva 2008/94/EZ Europskoga parlamenta i Vijeća od 22. listopada 2008. o zaštiti zaposlenika u slučaju insolventnosti njihovog poslodavca (SL L 283, 28. 10. 2008.). </w:t>
      </w:r>
    </w:p>
    <w:p w:rsidR="00D849AA" w:rsidRDefault="00EE6D95">
      <w:pPr>
        <w:pStyle w:val="Normal3"/>
      </w:pPr>
      <w:r>
        <w:t xml:space="preserve">Agencija je započela s radom 1. siječnja 2010. godine, a organizacijskom klasifikacijom  u Državnom proračunu je klasificirana kao proračunski korisnik 08650 Razdjela Ministarstva rada i mirovinskoga sustava, Glava: Agencija za osiguranje radničkih potraživanja u slučaju stečaja poslodavca. </w:t>
      </w:r>
    </w:p>
    <w:p w:rsidR="00D849AA" w:rsidRDefault="00EE6D95">
      <w:pPr>
        <w:pStyle w:val="Normal3"/>
      </w:pPr>
      <w:r>
        <w:t xml:space="preserve">Kao prvostupanjsko upravno tijelo, Agencija provodi posebnu zaštitu vjerovničkih potraživanja - materijalnih prava radnika iz radnog odnosa ( pravo na neisplaćenu plaću, naknade plaće, otpremninu i naknadu štete) u slučaju stečaja poslodavca, u dijelu koji odgovara društveno prihvatljivoj minimalnoj razini, obavlja isplatu zaštićenih potraživanja na teret državnog proračuna, te  preuzima procesna prava u stečajnom postupku u visini isplaćenih potraživanja radi povrata sredstava u državni proračun. </w:t>
      </w:r>
    </w:p>
    <w:p w:rsidR="00D849AA" w:rsidRDefault="00EE6D95">
      <w:pPr>
        <w:pStyle w:val="Normal3"/>
      </w:pPr>
      <w:r>
        <w:t xml:space="preserve">Agencija također predstavlja instituciju za razmjenu informacija i aktivnosti s nadležnim garancijskim institucijama država članica Europske unije u slučajevima poslovnih aktivnosti na području dvije ili više država članica, te za ostvarivanje regresnih prava za isplaćena potraživanja radnicima u slučaju stečaja stranog poslodavca. </w:t>
      </w:r>
    </w:p>
    <w:p w:rsidR="00D849AA" w:rsidRDefault="00EE6D95">
      <w:pPr>
        <w:pStyle w:val="Normal3"/>
      </w:pPr>
      <w:r>
        <w:t xml:space="preserve">Opisana djelatnost Agencije utvrđena je odredbom članka 6, a osiguranje sredstava u državnom proračunu utvrđeno je odredbom članka 14. Zakona. </w:t>
      </w:r>
    </w:p>
    <w:p w:rsidR="00D849AA" w:rsidRDefault="00EE6D95">
      <w:pPr>
        <w:pStyle w:val="Normal3"/>
      </w:pPr>
      <w:r>
        <w:lastRenderedPageBreak/>
        <w:t>Prijedlog financijskog plana za 2014. godinu iznosi =121.910.500,00 kn, s projekcijama za 2015. i 2016. godinu u iznosu od =111.875.800,00 kn, odnosno =106.873.600,00 kn, pri čemu se procjene potrebnih sredstava temelje na očekivanom izvršenju financijskog plana za 2013. godinu do kraja proračunske godine i pretpostavkama potrebnih sredstava za funkcionalan rad Agencije, uvažavajući makroekonomske prilike, te mjere štednje i racionalizacije troškova redovnog poslovanja.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08650</w:t>
            </w:r>
          </w:p>
        </w:tc>
        <w:tc>
          <w:tcPr>
            <w:tcW w:w="1486" w:type="dxa"/>
          </w:tcPr>
          <w:p w:rsidR="00D849AA" w:rsidRDefault="00EE6D95">
            <w:r>
              <w:t>122.025.434</w:t>
            </w:r>
          </w:p>
        </w:tc>
        <w:tc>
          <w:tcPr>
            <w:tcW w:w="1486" w:type="dxa"/>
          </w:tcPr>
          <w:p w:rsidR="00D849AA" w:rsidRDefault="00EE6D95">
            <w:r>
              <w:t>121.910.500</w:t>
            </w:r>
          </w:p>
        </w:tc>
        <w:tc>
          <w:tcPr>
            <w:tcW w:w="1486" w:type="dxa"/>
          </w:tcPr>
          <w:p w:rsidR="00D849AA" w:rsidRDefault="00EE6D95">
            <w:r>
              <w:t>111.875.800</w:t>
            </w:r>
          </w:p>
        </w:tc>
        <w:tc>
          <w:tcPr>
            <w:tcW w:w="1486" w:type="dxa"/>
          </w:tcPr>
          <w:p w:rsidR="00D849AA" w:rsidRDefault="00EE6D95">
            <w:r>
              <w:t>106.873.600</w:t>
            </w:r>
          </w:p>
        </w:tc>
        <w:tc>
          <w:tcPr>
            <w:tcW w:w="1486" w:type="dxa"/>
          </w:tcPr>
          <w:p w:rsidR="00D849AA" w:rsidRDefault="00EE6D95">
            <w:r>
              <w:t>99,9</w:t>
            </w:r>
          </w:p>
        </w:tc>
      </w:tr>
    </w:tbl>
    <w:p w:rsidR="00D849AA" w:rsidRDefault="00D849AA">
      <w:pPr>
        <w:jc w:val="left"/>
      </w:pPr>
    </w:p>
    <w:p w:rsidR="00D849AA" w:rsidRDefault="00EE6D95">
      <w:pPr>
        <w:pStyle w:val="Naslov4"/>
      </w:pPr>
      <w:r>
        <w:t>OBRAZLOŽENJE PROGRAMA</w:t>
      </w:r>
    </w:p>
    <w:p w:rsidR="00D849AA" w:rsidRDefault="00EE6D95">
      <w:pPr>
        <w:pStyle w:val="Naslov5"/>
      </w:pPr>
      <w:r>
        <w:t>4011 MATERIJALNO PRAVNA ZAŠTITA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4011</w:t>
            </w:r>
          </w:p>
        </w:tc>
        <w:tc>
          <w:tcPr>
            <w:tcW w:w="1486" w:type="dxa"/>
          </w:tcPr>
          <w:p w:rsidR="00D849AA" w:rsidRDefault="00EE6D95">
            <w:r>
              <w:t>122.025.434</w:t>
            </w:r>
          </w:p>
        </w:tc>
        <w:tc>
          <w:tcPr>
            <w:tcW w:w="1486" w:type="dxa"/>
          </w:tcPr>
          <w:p w:rsidR="00D849AA" w:rsidRDefault="00EE6D95">
            <w:r>
              <w:t>121.910.500</w:t>
            </w:r>
          </w:p>
        </w:tc>
        <w:tc>
          <w:tcPr>
            <w:tcW w:w="1486" w:type="dxa"/>
          </w:tcPr>
          <w:p w:rsidR="00D849AA" w:rsidRDefault="00EE6D95">
            <w:r>
              <w:t>111.875.800</w:t>
            </w:r>
          </w:p>
        </w:tc>
        <w:tc>
          <w:tcPr>
            <w:tcW w:w="1486" w:type="dxa"/>
          </w:tcPr>
          <w:p w:rsidR="00D849AA" w:rsidRDefault="00EE6D95">
            <w:r>
              <w:t>106.873.600</w:t>
            </w:r>
          </w:p>
        </w:tc>
        <w:tc>
          <w:tcPr>
            <w:tcW w:w="1486" w:type="dxa"/>
          </w:tcPr>
          <w:p w:rsidR="00D849AA" w:rsidRDefault="00EE6D95">
            <w:r>
              <w:t>99,9</w:t>
            </w:r>
          </w:p>
        </w:tc>
      </w:tr>
    </w:tbl>
    <w:p w:rsidR="00D849AA" w:rsidRDefault="00D849AA">
      <w:pPr>
        <w:jc w:val="left"/>
      </w:pPr>
    </w:p>
    <w:p w:rsidR="00D849AA" w:rsidRDefault="00EE6D95">
      <w:pPr>
        <w:pStyle w:val="Naslov6"/>
      </w:pPr>
      <w:r>
        <w:t>Opis programa</w:t>
      </w:r>
    </w:p>
    <w:p w:rsidR="00D849AA" w:rsidRDefault="00EE6D95">
      <w:pPr>
        <w:pStyle w:val="Normal5"/>
      </w:pPr>
      <w:r>
        <w:t>Program Materijalno pravna zaštita u dijelu koji se odnosi na Agenciju za osiguranje radničkih potraživanja odnosi se na provođenje Zakona o osiguranju potraživanja radnika u slučaju stečaja poslodavca („Narodne novine“, broj 86/08 i 80/13).</w:t>
      </w:r>
    </w:p>
    <w:p w:rsidR="00D849AA" w:rsidRDefault="00EE6D95">
      <w:pPr>
        <w:pStyle w:val="Naslov6"/>
      </w:pPr>
      <w:r>
        <w:t>Zakonske i druge pravne osnove</w:t>
      </w:r>
    </w:p>
    <w:p w:rsidR="00D849AA" w:rsidRDefault="00EE6D95">
      <w:pPr>
        <w:pStyle w:val="Normal5"/>
      </w:pPr>
      <w:r>
        <w:t xml:space="preserve">Temeljem odredbe članka 3. Zakona, u slučaju stečaja poslodavca radnici ostvaruju pravo na:  </w:t>
      </w:r>
    </w:p>
    <w:p w:rsidR="00D849AA" w:rsidRDefault="00EE6D95">
      <w:pPr>
        <w:pStyle w:val="Normal5"/>
      </w:pPr>
      <w:r>
        <w:t xml:space="preserve">• neisplaćenu plaću za posljednja tri mjeseca prije otvaranja stečaja, odnosno tri mjeseca prije prestanka radnog odnosa ako je isti prestao unutar tri mjeseca prije otvaranja stečaja  -  u visini najviše do visine minimalne plaće u Republici Hrvatskoj, propisane posebnim propisom,  za svaki mjesec proveden na radu u punom radnom vremenu za koji radniku nije isplaćena plaća.  </w:t>
      </w:r>
    </w:p>
    <w:p w:rsidR="00D849AA" w:rsidRDefault="00EE6D95">
      <w:pPr>
        <w:pStyle w:val="Normal5"/>
      </w:pPr>
      <w:r>
        <w:t xml:space="preserve">• neisplaćenu naknadu plaće za bolovanje na teret poslodavca u posljednja tri mjeseca prije otvaranja stečaja, odnosno tri mjeseca prije prestanka radnog odnosa ako je isti prestao unutar tri mjeseca prije otvaranja stečaja  -  u visini najviše do visine minimalne plaće u Republici Hrvatskoj, propisane posebnim propisom, za svaki mjesec za koji radniku nije isplaćena naknada plaće; </w:t>
      </w:r>
    </w:p>
    <w:p w:rsidR="00D849AA" w:rsidRDefault="00EE6D95">
      <w:pPr>
        <w:pStyle w:val="Normal5"/>
      </w:pPr>
      <w:r>
        <w:t xml:space="preserve">• naknadu plaće za neiskorišteni godišnji odmor na koji je radnik stekao pravo u kalendarskoj godini u kojoj je prestao radni odnos, odnosno u kojoj je otvoren stečaj  -  u visini najviše do polovice minimalne plaće u Republici Hrvatskoj, propisane posebnim propisom; </w:t>
      </w:r>
    </w:p>
    <w:p w:rsidR="00D849AA" w:rsidRDefault="00EE6D95">
      <w:pPr>
        <w:pStyle w:val="Normal5"/>
      </w:pPr>
      <w:r>
        <w:t xml:space="preserve">• otpremninu pod uvjetima utvrđenim zakonom  -   u visini polovice najvišeg iznosa zakonom propisane otpremnine; </w:t>
      </w:r>
    </w:p>
    <w:p w:rsidR="00D849AA" w:rsidRDefault="00EE6D95">
      <w:pPr>
        <w:pStyle w:val="Normal5"/>
      </w:pPr>
      <w:r>
        <w:t>• pravomoćno dosuđenu naknadu štete zbog pretrpljene ozljede na radu ili profesionalne bolesti  - najviše do jedne trećine pravomoćno dosuđene naknade štete.</w:t>
      </w:r>
    </w:p>
    <w:p w:rsidR="00D849AA" w:rsidRDefault="00EE6D95">
      <w:pPr>
        <w:pStyle w:val="Naslov6"/>
      </w:pPr>
      <w:r>
        <w:lastRenderedPageBreak/>
        <w:t>Ciljevi provedbe programa u razdoblju 2014.-2016. i pokazatelji uspješnosti kojima će se mjeriti ostvarenje tih ciljeva</w:t>
      </w:r>
    </w:p>
    <w:p w:rsidR="00D849AA" w:rsidRDefault="00EE6D95">
      <w:pPr>
        <w:pStyle w:val="Naslov7"/>
      </w:pPr>
      <w:r>
        <w:t>Cilj 1. Osiguranje socijalnog minimuma radnika nad čijim poslodavcem je otvoren stečajni postupak</w:t>
      </w:r>
    </w:p>
    <w:p w:rsidR="00D849AA" w:rsidRDefault="00EE6D95">
      <w:pPr>
        <w:pStyle w:val="Normal6"/>
      </w:pPr>
      <w:r>
        <w:t>Primjena stečajnih propisa pokazala je da je zbog složenosti i formalnosti stečajnog postupka, kao i zbog koordinacije brojnih stečajnih tijela, otežano i usporeno odvijanje i završetak stečajnog postupka. Zbog toga je i za prijavljena radnička potraživanja nastala do dana otvaranja stečaja vrlo neizvjesno da li će se, kada i u kojoj visini naplatiti, te je potrebno u jednom dijelu posebno ih zaštiti i osigurati njihovu isplatu odmah po utvrđenju, neovisno od pravomoćnosti rješenja u stečajnom postupku.</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Udio isplata temeljem izvršnih prvostupanjskih rješenja u zakonskim rokovima u ukupnom broju isplata - isplate temeljem svih prvostupanjskih rješenja u zakonski propisanim rokovima dovode do ispunjenja cilja</w:t>
            </w:r>
          </w:p>
        </w:tc>
        <w:tc>
          <w:tcPr>
            <w:tcW w:w="1114" w:type="dxa"/>
          </w:tcPr>
          <w:p w:rsidR="00D849AA" w:rsidRDefault="00EE6D95">
            <w:r>
              <w:t>%</w:t>
            </w:r>
          </w:p>
        </w:tc>
        <w:tc>
          <w:tcPr>
            <w:tcW w:w="1114" w:type="dxa"/>
          </w:tcPr>
          <w:p w:rsidR="00D849AA" w:rsidRDefault="00EE6D95">
            <w:r>
              <w:t>99</w:t>
            </w:r>
          </w:p>
        </w:tc>
        <w:tc>
          <w:tcPr>
            <w:tcW w:w="1486" w:type="dxa"/>
          </w:tcPr>
          <w:p w:rsidR="00D849AA" w:rsidRDefault="00EE6D95">
            <w:r>
              <w:t>100</w:t>
            </w:r>
          </w:p>
        </w:tc>
        <w:tc>
          <w:tcPr>
            <w:tcW w:w="1486" w:type="dxa"/>
          </w:tcPr>
          <w:p w:rsidR="00D849AA" w:rsidRDefault="00EE6D95">
            <w:r>
              <w:t>100</w:t>
            </w:r>
          </w:p>
        </w:tc>
        <w:tc>
          <w:tcPr>
            <w:tcW w:w="1486" w:type="dxa"/>
          </w:tcPr>
          <w:p w:rsidR="00D849AA" w:rsidRDefault="00EE6D95">
            <w:r>
              <w:t>100</w:t>
            </w:r>
          </w:p>
        </w:tc>
      </w:tr>
    </w:tbl>
    <w:p w:rsidR="00D849AA" w:rsidRDefault="00D849AA">
      <w:pPr>
        <w:jc w:val="left"/>
      </w:pPr>
    </w:p>
    <w:p w:rsidR="00D849AA" w:rsidRDefault="00EE6D95">
      <w:pPr>
        <w:pStyle w:val="Naslov5"/>
      </w:pPr>
      <w:r>
        <w:t>Procjena i ishodište potrebnih sredstava za značajnije aktivnosti/projekte</w:t>
      </w:r>
    </w:p>
    <w:p w:rsidR="00D849AA" w:rsidRDefault="00EE6D95">
      <w:pPr>
        <w:pStyle w:val="Naslov6"/>
      </w:pPr>
      <w:r>
        <w:t>A837002 OSIGURANJE POTRAŽIVANJA RADNIKA U SLUČAJU STEČAJA POSLODAVCA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A837002</w:t>
            </w:r>
          </w:p>
        </w:tc>
        <w:tc>
          <w:tcPr>
            <w:tcW w:w="1486" w:type="dxa"/>
          </w:tcPr>
          <w:p w:rsidR="00D849AA" w:rsidRDefault="00EE6D95">
            <w:r>
              <w:t>118.814.000</w:t>
            </w:r>
          </w:p>
        </w:tc>
        <w:tc>
          <w:tcPr>
            <w:tcW w:w="1486" w:type="dxa"/>
          </w:tcPr>
          <w:p w:rsidR="00D849AA" w:rsidRDefault="00EE6D95">
            <w:r>
              <w:t>118.554.000</w:t>
            </w:r>
          </w:p>
        </w:tc>
        <w:tc>
          <w:tcPr>
            <w:tcW w:w="1486" w:type="dxa"/>
          </w:tcPr>
          <w:p w:rsidR="00D849AA" w:rsidRDefault="00EE6D95">
            <w:r>
              <w:t>108.693.000</w:t>
            </w:r>
          </w:p>
        </w:tc>
        <w:tc>
          <w:tcPr>
            <w:tcW w:w="1486" w:type="dxa"/>
          </w:tcPr>
          <w:p w:rsidR="00D849AA" w:rsidRDefault="00EE6D95">
            <w:r>
              <w:t>103.684.000</w:t>
            </w:r>
          </w:p>
        </w:tc>
        <w:tc>
          <w:tcPr>
            <w:tcW w:w="1486" w:type="dxa"/>
          </w:tcPr>
          <w:p w:rsidR="00D849AA" w:rsidRDefault="00EE6D95">
            <w:r>
              <w:t>99,8</w:t>
            </w:r>
          </w:p>
        </w:tc>
      </w:tr>
    </w:tbl>
    <w:p w:rsidR="00D849AA" w:rsidRDefault="00D849AA">
      <w:pPr>
        <w:jc w:val="left"/>
      </w:pPr>
    </w:p>
    <w:p w:rsidR="00D849AA" w:rsidRDefault="00EE6D95">
      <w:pPr>
        <w:pStyle w:val="Normal6"/>
      </w:pPr>
      <w:r>
        <w:t>Procjena i prijedlog visine sredstava u 2014. godini za Aktivnost A837002 – Osiguranje potraživanja radnika u slučaju stečaja poslodavca iznosi =</w:t>
      </w:r>
      <w:r w:rsidR="001D483A">
        <w:t xml:space="preserve"> </w:t>
      </w:r>
      <w:r>
        <w:t xml:space="preserve">118.554.000,00 kn, odnosno 97,25% ukupno predloženog financijskog plana Agencije. </w:t>
      </w:r>
    </w:p>
    <w:p w:rsidR="00D849AA" w:rsidRDefault="00EE6D95">
      <w:pPr>
        <w:pStyle w:val="Normal6"/>
      </w:pPr>
      <w:r>
        <w:t>Ishodište procjene je broj i vrijednost zaprimljenih i isplaćenih zahtjeva radnika u razdoblju 01.01. do 30.09.2013.g. U navedenom razdoblju zaprimljeno je 5.157 zahtjeva, a isplaćeno je =</w:t>
      </w:r>
      <w:r w:rsidR="001D483A">
        <w:t xml:space="preserve"> </w:t>
      </w:r>
      <w:r>
        <w:t xml:space="preserve">91.841.520,73 kn za 5.773 zahtjeva radnika iz 118 društava u stečaju. </w:t>
      </w:r>
    </w:p>
    <w:p w:rsidR="00D849AA" w:rsidRDefault="00EE6D95">
      <w:pPr>
        <w:pStyle w:val="Normal6"/>
      </w:pPr>
      <w:r>
        <w:t xml:space="preserve">Potrebno je naglasiti da sredstva za provođenje Zakona ovise o događajima u okruženju, odnosno nemoguće je predvidjeti dinamiku otvaranja stečajnih postupaka pri trgovačkim sudovima, kao ni broj radnika stečajnih dužnika koji će ostvariti prava utvrđena Zakonom. Stoga se i visina i dinamika potrebnih sredstava ne može predvidjeti, što najbolje pokazuje </w:t>
      </w:r>
      <w:r>
        <w:lastRenderedPageBreak/>
        <w:t>podatak da je u prvih devet mjeseci 2012. godine isplaćeno =</w:t>
      </w:r>
      <w:r w:rsidR="00F50B95">
        <w:t xml:space="preserve"> </w:t>
      </w:r>
      <w:r>
        <w:t>40.565.486,78 kn za 2.622 zahtjeva radnika, dok je u istom razdoblju 2013. godine isplaćeno =</w:t>
      </w:r>
      <w:r w:rsidR="00F50B95">
        <w:t xml:space="preserve"> </w:t>
      </w:r>
      <w:r>
        <w:t>91.841.520,73 kn za 5.773 zahtjeva radnika.</w:t>
      </w:r>
    </w:p>
    <w:p w:rsidR="00733ECD" w:rsidRDefault="00733ECD">
      <w:pPr>
        <w:pStyle w:val="Normal6"/>
      </w:pP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Udio ispostavljenih prvostupanjskih rješenja nakon zakonskog roka u ukupno ispostavljenim rješenjima -kvartalno</w:t>
            </w:r>
          </w:p>
        </w:tc>
        <w:tc>
          <w:tcPr>
            <w:tcW w:w="1114" w:type="dxa"/>
          </w:tcPr>
          <w:p w:rsidR="00D849AA" w:rsidRDefault="00EE6D95">
            <w:r>
              <w:t>%</w:t>
            </w:r>
          </w:p>
        </w:tc>
        <w:tc>
          <w:tcPr>
            <w:tcW w:w="1114" w:type="dxa"/>
          </w:tcPr>
          <w:p w:rsidR="00D849AA" w:rsidRDefault="00EE6D95">
            <w:r>
              <w:t>1</w:t>
            </w:r>
          </w:p>
        </w:tc>
        <w:tc>
          <w:tcPr>
            <w:tcW w:w="1486" w:type="dxa"/>
          </w:tcPr>
          <w:p w:rsidR="00D849AA" w:rsidRDefault="00EE6D95">
            <w:r>
              <w:t>0</w:t>
            </w:r>
          </w:p>
        </w:tc>
        <w:tc>
          <w:tcPr>
            <w:tcW w:w="1486" w:type="dxa"/>
          </w:tcPr>
          <w:p w:rsidR="00D849AA" w:rsidRDefault="00EE6D95">
            <w:r>
              <w:t>0</w:t>
            </w:r>
          </w:p>
        </w:tc>
        <w:tc>
          <w:tcPr>
            <w:tcW w:w="1486" w:type="dxa"/>
          </w:tcPr>
          <w:p w:rsidR="00D849AA" w:rsidRDefault="00EE6D95">
            <w:r>
              <w:t>0</w:t>
            </w:r>
          </w:p>
        </w:tc>
      </w:tr>
      <w:tr w:rsidR="00D849AA">
        <w:trPr>
          <w:jc w:val="center"/>
        </w:trPr>
        <w:tc>
          <w:tcPr>
            <w:tcW w:w="2229" w:type="dxa"/>
          </w:tcPr>
          <w:p w:rsidR="00D849AA" w:rsidRDefault="00EE6D95">
            <w:pPr>
              <w:pStyle w:val="CellColumn"/>
            </w:pPr>
            <w:r>
              <w:t>Udio prvostupanjskih rješenja po kojima su pozitivno riješene žalbe u ukupnom broju ispostavljenih rješenja - kvartalno</w:t>
            </w:r>
          </w:p>
        </w:tc>
        <w:tc>
          <w:tcPr>
            <w:tcW w:w="1114" w:type="dxa"/>
          </w:tcPr>
          <w:p w:rsidR="00D849AA" w:rsidRDefault="00EE6D95">
            <w:r>
              <w:t>%</w:t>
            </w:r>
          </w:p>
        </w:tc>
        <w:tc>
          <w:tcPr>
            <w:tcW w:w="1114" w:type="dxa"/>
          </w:tcPr>
          <w:p w:rsidR="00D849AA" w:rsidRDefault="00EE6D95">
            <w:r>
              <w:t>1</w:t>
            </w:r>
          </w:p>
        </w:tc>
        <w:tc>
          <w:tcPr>
            <w:tcW w:w="1486" w:type="dxa"/>
          </w:tcPr>
          <w:p w:rsidR="00D849AA" w:rsidRDefault="00EE6D95">
            <w:r>
              <w:t>1</w:t>
            </w:r>
          </w:p>
        </w:tc>
        <w:tc>
          <w:tcPr>
            <w:tcW w:w="1486" w:type="dxa"/>
          </w:tcPr>
          <w:p w:rsidR="00D849AA" w:rsidRDefault="00EE6D95">
            <w:r>
              <w:t>1</w:t>
            </w:r>
          </w:p>
        </w:tc>
        <w:tc>
          <w:tcPr>
            <w:tcW w:w="1486" w:type="dxa"/>
          </w:tcPr>
          <w:p w:rsidR="00D849AA" w:rsidRDefault="00EE6D95">
            <w:r>
              <w:t>1</w:t>
            </w:r>
          </w:p>
        </w:tc>
      </w:tr>
      <w:tr w:rsidR="00D849AA">
        <w:trPr>
          <w:jc w:val="center"/>
        </w:trPr>
        <w:tc>
          <w:tcPr>
            <w:tcW w:w="2229" w:type="dxa"/>
          </w:tcPr>
          <w:p w:rsidR="00D849AA" w:rsidRDefault="00EE6D95">
            <w:pPr>
              <w:pStyle w:val="CellColumn"/>
            </w:pPr>
            <w:r>
              <w:t xml:space="preserve">Udio isplata </w:t>
            </w:r>
          </w:p>
          <w:p w:rsidR="00D849AA" w:rsidRDefault="00EE6D95">
            <w:pPr>
              <w:pStyle w:val="CellColumn"/>
            </w:pPr>
            <w:r>
              <w:t xml:space="preserve"> temeljem izvršnih </w:t>
            </w:r>
          </w:p>
          <w:p w:rsidR="00D849AA" w:rsidRDefault="00EE6D95">
            <w:pPr>
              <w:pStyle w:val="CellColumn"/>
            </w:pPr>
            <w:r>
              <w:t xml:space="preserve">rješenja nakon </w:t>
            </w:r>
          </w:p>
          <w:p w:rsidR="00D849AA" w:rsidRDefault="00EE6D95">
            <w:pPr>
              <w:pStyle w:val="CellColumn"/>
            </w:pPr>
            <w:r>
              <w:t xml:space="preserve">zakonskog roka u </w:t>
            </w:r>
          </w:p>
          <w:p w:rsidR="00D849AA" w:rsidRDefault="00EE6D95">
            <w:pPr>
              <w:pStyle w:val="CellColumn"/>
            </w:pPr>
            <w:r>
              <w:t>ukupnim isplatama</w:t>
            </w:r>
          </w:p>
        </w:tc>
        <w:tc>
          <w:tcPr>
            <w:tcW w:w="1114" w:type="dxa"/>
          </w:tcPr>
          <w:p w:rsidR="00D849AA" w:rsidRDefault="00EE6D95">
            <w:r>
              <w:t>%</w:t>
            </w:r>
          </w:p>
        </w:tc>
        <w:tc>
          <w:tcPr>
            <w:tcW w:w="1114" w:type="dxa"/>
          </w:tcPr>
          <w:p w:rsidR="00D849AA" w:rsidRDefault="00EE6D95">
            <w:r>
              <w:t>1</w:t>
            </w:r>
          </w:p>
        </w:tc>
        <w:tc>
          <w:tcPr>
            <w:tcW w:w="1486" w:type="dxa"/>
          </w:tcPr>
          <w:p w:rsidR="00D849AA" w:rsidRDefault="00EE6D95">
            <w:r>
              <w:t>0</w:t>
            </w:r>
          </w:p>
        </w:tc>
        <w:tc>
          <w:tcPr>
            <w:tcW w:w="1486" w:type="dxa"/>
          </w:tcPr>
          <w:p w:rsidR="00D849AA" w:rsidRDefault="00EE6D95">
            <w:r>
              <w:t>0</w:t>
            </w:r>
          </w:p>
        </w:tc>
        <w:tc>
          <w:tcPr>
            <w:tcW w:w="1486" w:type="dxa"/>
          </w:tcPr>
          <w:p w:rsidR="00D849AA" w:rsidRDefault="00EE6D95">
            <w:r>
              <w:t>0</w:t>
            </w:r>
          </w:p>
        </w:tc>
      </w:tr>
    </w:tbl>
    <w:p w:rsidR="00D849AA" w:rsidRDefault="00D849AA">
      <w:pPr>
        <w:jc w:val="left"/>
      </w:pPr>
    </w:p>
    <w:p w:rsidR="00D849AA" w:rsidRDefault="00EE6D95">
      <w:pPr>
        <w:pStyle w:val="Naslov1"/>
      </w:pPr>
      <w:r>
        <w:lastRenderedPageBreak/>
        <w:t>090 MINISTARSTVO TURIZMA</w:t>
      </w:r>
    </w:p>
    <w:p w:rsidR="00D849AA" w:rsidRDefault="00EE6D95">
      <w:pPr>
        <w:pStyle w:val="Naslov4"/>
      </w:pPr>
      <w:r>
        <w:t>Uvod</w:t>
      </w:r>
    </w:p>
    <w:p w:rsidR="00D849AA" w:rsidRDefault="00EE6D95">
      <w:pPr>
        <w:pStyle w:val="Normal3"/>
      </w:pPr>
      <w:r>
        <w:t>Ministarstvo turizma obavlja upravne i druge poslove koji se odnose na: turističku politiku Republike Hrvatske, strategiju razvitka hrvatskog turizma; razvoj i investicije u turizmu;razvitak kongresnoga, seoskoga, lovnoga, zdravstvenoga, omladinskoga i drugih selektivnih oblika turizma; unapređivanje i razvoj malog poduzetništva u turizmu i ugostiteljstvu; sanacijske programe u svezi s restrukturiranjem hotelsko-ugostiteljskih tvrtki, praćenje i sudjelovanje u procesu privatizacije; turističku informatiku, promicanje hrvatskog turizma u inozemstvu; sustav turističkih zajednica; turističku i ugostiteljsku statistiku; stanje i pojave na području turističkih i ugostiteljskih usluga; međunarodnu suradnju u svezi s turizmom; djelovanje instrumenata gospodarskog sustava i mjera gospodarske politike na razvoj ponude i pružanje turističkih i ugostiteljskih usluga i poslovanje turističkih i ugostiteljskih gospodarskih subjekata; uvjete obavljanja turističke i ugostiteljske djelatnosti, praćenje i analiziranje kvalitete turističke ponude, turističkih i ugostiteljskih usluga, uvođenje međunarodnih standarda kvalitete ponude smještaja i usluga; kategorizaciju turističkih i ugostiteljskih objekata; unapređivanje turističke i ugostiteljske djelatnosti. Ministarstvo obavlja poslove koji se odnose na sudjelovanje Republike Hrvatske u radu tijela Europske unije u područjima iz njegove nadležnosti, te druge poslove koji su mu stavljeni u nadležnost.</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09005 Ministarstvo turizma</w:t>
            </w:r>
          </w:p>
        </w:tc>
        <w:tc>
          <w:tcPr>
            <w:tcW w:w="1486" w:type="dxa"/>
          </w:tcPr>
          <w:p w:rsidR="00D849AA" w:rsidRDefault="00EE6D95">
            <w:r>
              <w:t>281.275.541</w:t>
            </w:r>
          </w:p>
        </w:tc>
        <w:tc>
          <w:tcPr>
            <w:tcW w:w="1486" w:type="dxa"/>
          </w:tcPr>
          <w:p w:rsidR="00D849AA" w:rsidRDefault="00EE6D95">
            <w:r>
              <w:t>246.755.135</w:t>
            </w:r>
          </w:p>
        </w:tc>
        <w:tc>
          <w:tcPr>
            <w:tcW w:w="1486" w:type="dxa"/>
          </w:tcPr>
          <w:p w:rsidR="00D849AA" w:rsidRDefault="00EE6D95">
            <w:r>
              <w:t>215.452.379</w:t>
            </w:r>
          </w:p>
        </w:tc>
        <w:tc>
          <w:tcPr>
            <w:tcW w:w="1486" w:type="dxa"/>
          </w:tcPr>
          <w:p w:rsidR="00D849AA" w:rsidRDefault="00EE6D95">
            <w:r>
              <w:t>196.964.981</w:t>
            </w:r>
          </w:p>
        </w:tc>
        <w:tc>
          <w:tcPr>
            <w:tcW w:w="1486" w:type="dxa"/>
          </w:tcPr>
          <w:p w:rsidR="00D849AA" w:rsidRDefault="00EE6D95">
            <w:r>
              <w:t>87,7</w:t>
            </w:r>
          </w:p>
        </w:tc>
      </w:tr>
      <w:tr w:rsidR="00D849AA">
        <w:trPr>
          <w:jc w:val="center"/>
        </w:trPr>
        <w:tc>
          <w:tcPr>
            <w:tcW w:w="1486" w:type="dxa"/>
            <w:shd w:val="clear" w:color="auto" w:fill="B5C0D8"/>
          </w:tcPr>
          <w:p w:rsidR="00D849AA" w:rsidRDefault="00EE6D95">
            <w:pPr>
              <w:pStyle w:val="CellColumn"/>
            </w:pPr>
            <w:r>
              <w:t>Ukupno 090</w:t>
            </w:r>
          </w:p>
        </w:tc>
        <w:tc>
          <w:tcPr>
            <w:tcW w:w="1486" w:type="dxa"/>
            <w:shd w:val="clear" w:color="auto" w:fill="B5C0D8"/>
          </w:tcPr>
          <w:p w:rsidR="00D849AA" w:rsidRDefault="00EE6D95">
            <w:r>
              <w:t>281.275.541</w:t>
            </w:r>
          </w:p>
        </w:tc>
        <w:tc>
          <w:tcPr>
            <w:tcW w:w="1486" w:type="dxa"/>
            <w:shd w:val="clear" w:color="auto" w:fill="B5C0D8"/>
          </w:tcPr>
          <w:p w:rsidR="00D849AA" w:rsidRDefault="00EE6D95">
            <w:r>
              <w:t>246.755.135</w:t>
            </w:r>
          </w:p>
        </w:tc>
        <w:tc>
          <w:tcPr>
            <w:tcW w:w="1486" w:type="dxa"/>
            <w:shd w:val="clear" w:color="auto" w:fill="B5C0D8"/>
          </w:tcPr>
          <w:p w:rsidR="00D849AA" w:rsidRDefault="00EE6D95">
            <w:r>
              <w:t>215.452.379</w:t>
            </w:r>
          </w:p>
        </w:tc>
        <w:tc>
          <w:tcPr>
            <w:tcW w:w="1486" w:type="dxa"/>
            <w:shd w:val="clear" w:color="auto" w:fill="B5C0D8"/>
          </w:tcPr>
          <w:p w:rsidR="00D849AA" w:rsidRDefault="00EE6D95">
            <w:r>
              <w:t>196.964.981</w:t>
            </w:r>
          </w:p>
        </w:tc>
        <w:tc>
          <w:tcPr>
            <w:tcW w:w="1486" w:type="dxa"/>
            <w:shd w:val="clear" w:color="auto" w:fill="B5C0D8"/>
          </w:tcPr>
          <w:p w:rsidR="00D849AA" w:rsidRDefault="00EE6D95">
            <w:r>
              <w:t>87,7</w:t>
            </w:r>
          </w:p>
        </w:tc>
      </w:tr>
    </w:tbl>
    <w:p w:rsidR="00D849AA" w:rsidRDefault="00D849AA">
      <w:pPr>
        <w:jc w:val="left"/>
      </w:pPr>
    </w:p>
    <w:p w:rsidR="00D849AA" w:rsidRDefault="00EE6D95">
      <w:pPr>
        <w:pStyle w:val="Naslov2"/>
      </w:pPr>
      <w:r>
        <w:t>09005 Ministarstvo turizma</w:t>
      </w:r>
    </w:p>
    <w:p w:rsidR="00D849AA" w:rsidRDefault="00EE6D95">
      <w:pPr>
        <w:pStyle w:val="Naslov4"/>
      </w:pPr>
      <w:r>
        <w:t>Uvod</w:t>
      </w:r>
    </w:p>
    <w:p w:rsidR="00D849AA" w:rsidRDefault="00EE6D95">
      <w:pPr>
        <w:pStyle w:val="Normal3"/>
      </w:pPr>
      <w:r>
        <w:t xml:space="preserve">Ministarstvo turizma obavlja upravne i druge poslove koji se odnose na: turističku politiku Republike Hrvatske, strategiju razvitka hrvatskog turizma; razvoj i investicije u turizmu;razvitak kongresnoga, seoskoga, lovnoga, zdravstvenoga, omladinskoga i drugih selektivnih oblika turizma; unapređivanje i razvoj malog poduzetništva u turizmu i ugostiteljstvu; sanacijske programe u svezi s restrukturiranjem hotelsko-ugostiteljskih tvrtki, praćenje i sudjelovanje u procesu privatizacije; turističku informatiku, promicanje hrvatskog turizma u inozemstvu; sustav turističkih zajednica; turističku i ugostiteljsku statistiku; stanje i pojave na području turističkih i ugostiteljskih usluga; međunarodnu suradnju u svezi s turizmom; djelovanje instrumenata gospodarskog sustava i mjera gospodarske politike na razvoj ponude i pružanje turističkih i ugostiteljskih usluga i poslovanje turističkih i ugostiteljskih gospodarskih subjekata; uvjete obavljanja turističke i ugostiteljske djelatnosti, praćenje i analiziranje kvalitete turističke ponude, turističkih i ugostiteljskih usluga, uvođenje međunarodnih standarda kvalitete ponude smještaja i usluga; kategorizaciju turističkih i ugostiteljskih objekata; unapređivanje turističke i ugostiteljske djelatnosti.  </w:t>
      </w:r>
    </w:p>
    <w:p w:rsidR="00D849AA" w:rsidRDefault="00EE6D95">
      <w:pPr>
        <w:pStyle w:val="Normal3"/>
      </w:pPr>
      <w:r>
        <w:lastRenderedPageBreak/>
        <w:t>Ministarstvo obavlja poslove koji se odnose na sudjelovanje Republike Hrvatske u radu tijela Europske unije u područjima iz njegove nadležnosti, te druge poslove koji su mu stavljeni u nadležnost.</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09005</w:t>
            </w:r>
          </w:p>
        </w:tc>
        <w:tc>
          <w:tcPr>
            <w:tcW w:w="1486" w:type="dxa"/>
          </w:tcPr>
          <w:p w:rsidR="00D849AA" w:rsidRDefault="00EE6D95">
            <w:r>
              <w:t>281.275.541</w:t>
            </w:r>
          </w:p>
        </w:tc>
        <w:tc>
          <w:tcPr>
            <w:tcW w:w="1486" w:type="dxa"/>
          </w:tcPr>
          <w:p w:rsidR="00D849AA" w:rsidRDefault="00EE6D95">
            <w:r>
              <w:t>246.755.135</w:t>
            </w:r>
          </w:p>
        </w:tc>
        <w:tc>
          <w:tcPr>
            <w:tcW w:w="1486" w:type="dxa"/>
          </w:tcPr>
          <w:p w:rsidR="00D849AA" w:rsidRDefault="00EE6D95">
            <w:r>
              <w:t>215.452.379</w:t>
            </w:r>
          </w:p>
        </w:tc>
        <w:tc>
          <w:tcPr>
            <w:tcW w:w="1486" w:type="dxa"/>
          </w:tcPr>
          <w:p w:rsidR="00D849AA" w:rsidRDefault="00EE6D95">
            <w:r>
              <w:t>196.964.981</w:t>
            </w:r>
          </w:p>
        </w:tc>
        <w:tc>
          <w:tcPr>
            <w:tcW w:w="1486" w:type="dxa"/>
          </w:tcPr>
          <w:p w:rsidR="00D849AA" w:rsidRDefault="00EE6D95">
            <w:r>
              <w:t>87,7</w:t>
            </w:r>
          </w:p>
        </w:tc>
      </w:tr>
    </w:tbl>
    <w:p w:rsidR="00562CD8" w:rsidRDefault="00562CD8">
      <w:pPr>
        <w:pStyle w:val="Naslov6"/>
      </w:pPr>
    </w:p>
    <w:p w:rsidR="00D849AA" w:rsidRDefault="00EE6D95">
      <w:pPr>
        <w:pStyle w:val="Naslov6"/>
      </w:pPr>
      <w:r>
        <w:t>A587014 JAČANJE TURISTIČKOG TRŽIŠTA I LJUDSKIH POTENCIJALA U TURIZMU</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A587014</w:t>
            </w:r>
          </w:p>
        </w:tc>
        <w:tc>
          <w:tcPr>
            <w:tcW w:w="1486" w:type="dxa"/>
          </w:tcPr>
          <w:p w:rsidR="00D849AA" w:rsidRDefault="00EE6D95">
            <w:r>
              <w:t>5.400.000</w:t>
            </w:r>
          </w:p>
        </w:tc>
        <w:tc>
          <w:tcPr>
            <w:tcW w:w="1486" w:type="dxa"/>
          </w:tcPr>
          <w:p w:rsidR="00D849AA" w:rsidRDefault="00EE6D95">
            <w:r>
              <w:t>8.000.000</w:t>
            </w:r>
          </w:p>
        </w:tc>
        <w:tc>
          <w:tcPr>
            <w:tcW w:w="1486" w:type="dxa"/>
          </w:tcPr>
          <w:p w:rsidR="00D849AA" w:rsidRDefault="00EE6D95">
            <w:r>
              <w:t>8.050.000</w:t>
            </w:r>
          </w:p>
        </w:tc>
        <w:tc>
          <w:tcPr>
            <w:tcW w:w="1486" w:type="dxa"/>
          </w:tcPr>
          <w:p w:rsidR="00D849AA" w:rsidRDefault="00EE6D95">
            <w:r>
              <w:t>9.000.000</w:t>
            </w:r>
          </w:p>
        </w:tc>
        <w:tc>
          <w:tcPr>
            <w:tcW w:w="1486" w:type="dxa"/>
          </w:tcPr>
          <w:p w:rsidR="00D849AA" w:rsidRDefault="00EE6D95">
            <w:r>
              <w:t>148,1</w:t>
            </w:r>
          </w:p>
        </w:tc>
      </w:tr>
    </w:tbl>
    <w:p w:rsidR="00D849AA" w:rsidRDefault="00D849AA">
      <w:pPr>
        <w:jc w:val="left"/>
      </w:pPr>
    </w:p>
    <w:p w:rsidR="00D849AA" w:rsidRDefault="00EE6D95">
      <w:pPr>
        <w:pStyle w:val="Normal6"/>
      </w:pPr>
      <w:r>
        <w:t xml:space="preserve">Strategijom razvoj turizma Republike Hrvatske do 2020. Postavljen je glavni cilj razvoja hrvatskog turizma – povećanje njegove atraktivnosti i konkurentnosti, što će rezultirati ulaskom u vodećih 20 turističkih destinacija u svijetu po kriteriju konkurentnosti. </w:t>
      </w:r>
    </w:p>
    <w:p w:rsidR="00D849AA" w:rsidRDefault="00EE6D95">
      <w:pPr>
        <w:pStyle w:val="Normal6"/>
      </w:pPr>
      <w:r>
        <w:t>Da bi se ovaj cilj mogao ostvariti, neophodno je postaviti osnove za jačanje konkurentnosti turističkog proizvoda Hrvatske na svjetskom turističkom tržištu što podrazumijeva: jačanje ljudskih potencijala u turizmu kroz Program  poticanja  obrazovanja  i  obuke  kadrova  u  ugostiteljstvu  i  turizmu kojim se animiraju mladi za zanimanja u turizmu i ugostiteljstvu, utječe na intenziviranje  suradnje između obrazovnog i privatnog sektora kroz stipendije, potiče stručno usavršavanje nastavnog kadra  i uključivanje učenika u  aktivnosti promocije zanimanja; jačanje strukovnih udruga kao predstavnika privatnog  sektora u turizmu i partrnera javnom sektoru u provedbi Strategije; stvaranje osjećaja  sigurnosti  turista  za  vrijeme boravka  u  našoj  zemlji,  bilo  da  se  radi  o  sigurnosti  u  prometu,  u  destinaciji, dostupnosti zdravstvene zaštite ili saznanju o dobroj organizaciji službi spašavanja i pomoći. Večina navedenih aktivnosti usmjerava predviđene korisnike na strukturne fondove EU.</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Povećanje broja educiranih gorskih i drugih vodiča za potreve turističkih agencija( kumulativ)</w:t>
            </w:r>
          </w:p>
        </w:tc>
        <w:tc>
          <w:tcPr>
            <w:tcW w:w="1114" w:type="dxa"/>
          </w:tcPr>
          <w:p w:rsidR="00D849AA" w:rsidRDefault="00EE6D95">
            <w:r>
              <w:t>Broj vodiča</w:t>
            </w:r>
          </w:p>
        </w:tc>
        <w:tc>
          <w:tcPr>
            <w:tcW w:w="1114" w:type="dxa"/>
          </w:tcPr>
          <w:p w:rsidR="00D849AA" w:rsidRDefault="00EE6D95">
            <w:r>
              <w:t>241</w:t>
            </w:r>
          </w:p>
        </w:tc>
        <w:tc>
          <w:tcPr>
            <w:tcW w:w="1486" w:type="dxa"/>
          </w:tcPr>
          <w:p w:rsidR="00D849AA" w:rsidRDefault="00EE6D95">
            <w:r>
              <w:t>250</w:t>
            </w:r>
          </w:p>
        </w:tc>
        <w:tc>
          <w:tcPr>
            <w:tcW w:w="1486" w:type="dxa"/>
          </w:tcPr>
          <w:p w:rsidR="00D849AA" w:rsidRDefault="00EE6D95">
            <w:r>
              <w:t>260</w:t>
            </w:r>
          </w:p>
        </w:tc>
        <w:tc>
          <w:tcPr>
            <w:tcW w:w="1486" w:type="dxa"/>
          </w:tcPr>
          <w:p w:rsidR="00D849AA" w:rsidRDefault="00EE6D95">
            <w:r>
              <w:t>270</w:t>
            </w:r>
          </w:p>
        </w:tc>
      </w:tr>
      <w:tr w:rsidR="00D849AA">
        <w:trPr>
          <w:jc w:val="center"/>
        </w:trPr>
        <w:tc>
          <w:tcPr>
            <w:tcW w:w="2229" w:type="dxa"/>
          </w:tcPr>
          <w:p w:rsidR="00D849AA" w:rsidRDefault="00EE6D95">
            <w:pPr>
              <w:pStyle w:val="CellColumn"/>
            </w:pPr>
            <w:r>
              <w:t>Povećanje broja učenika upisanih u deficitarna zanimanja u ugostiteljstvu i turizmu ( kuhar, konobar)</w:t>
            </w:r>
          </w:p>
        </w:tc>
        <w:tc>
          <w:tcPr>
            <w:tcW w:w="1114" w:type="dxa"/>
          </w:tcPr>
          <w:p w:rsidR="00D849AA" w:rsidRDefault="00EE6D95">
            <w:r>
              <w:t>Broj učenika</w:t>
            </w:r>
          </w:p>
        </w:tc>
        <w:tc>
          <w:tcPr>
            <w:tcW w:w="1114" w:type="dxa"/>
          </w:tcPr>
          <w:p w:rsidR="00D849AA" w:rsidRDefault="00EE6D95">
            <w:r>
              <w:t>2858</w:t>
            </w:r>
          </w:p>
        </w:tc>
        <w:tc>
          <w:tcPr>
            <w:tcW w:w="1486" w:type="dxa"/>
          </w:tcPr>
          <w:p w:rsidR="00D849AA" w:rsidRDefault="00EE6D95">
            <w:r>
              <w:t>2900</w:t>
            </w:r>
          </w:p>
        </w:tc>
        <w:tc>
          <w:tcPr>
            <w:tcW w:w="1486" w:type="dxa"/>
          </w:tcPr>
          <w:p w:rsidR="00D849AA" w:rsidRDefault="00EE6D95">
            <w:r>
              <w:t>3000</w:t>
            </w:r>
          </w:p>
        </w:tc>
        <w:tc>
          <w:tcPr>
            <w:tcW w:w="1486" w:type="dxa"/>
          </w:tcPr>
          <w:p w:rsidR="00D849AA" w:rsidRDefault="00EE6D95">
            <w:r>
              <w:t>3100</w:t>
            </w:r>
          </w:p>
        </w:tc>
      </w:tr>
    </w:tbl>
    <w:p w:rsidR="00D849AA" w:rsidRDefault="00D849AA">
      <w:pPr>
        <w:jc w:val="left"/>
      </w:pPr>
    </w:p>
    <w:p w:rsidR="00D849AA" w:rsidRDefault="00EE6D95">
      <w:pPr>
        <w:pStyle w:val="Naslov6"/>
      </w:pPr>
      <w:r>
        <w:lastRenderedPageBreak/>
        <w:t>A587018 PROGRAMI SUBVENCIONIRANJA KREDITNIH PROGRAMA U TURIZMU</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A587018</w:t>
            </w:r>
          </w:p>
        </w:tc>
        <w:tc>
          <w:tcPr>
            <w:tcW w:w="1486" w:type="dxa"/>
          </w:tcPr>
          <w:p w:rsidR="00D849AA" w:rsidRDefault="00EE6D95">
            <w:r>
              <w:t>49.542.344</w:t>
            </w:r>
          </w:p>
        </w:tc>
        <w:tc>
          <w:tcPr>
            <w:tcW w:w="1486" w:type="dxa"/>
          </w:tcPr>
          <w:p w:rsidR="00D849AA" w:rsidRDefault="00EE6D95">
            <w:r>
              <w:t>46.550.000</w:t>
            </w:r>
          </w:p>
        </w:tc>
        <w:tc>
          <w:tcPr>
            <w:tcW w:w="1486" w:type="dxa"/>
          </w:tcPr>
          <w:p w:rsidR="00D849AA" w:rsidRDefault="00EE6D95">
            <w:r>
              <w:t>41.999.296</w:t>
            </w:r>
          </w:p>
        </w:tc>
        <w:tc>
          <w:tcPr>
            <w:tcW w:w="1486" w:type="dxa"/>
          </w:tcPr>
          <w:p w:rsidR="00D849AA" w:rsidRDefault="00EE6D95">
            <w:r>
              <w:t>36.000.000</w:t>
            </w:r>
          </w:p>
        </w:tc>
        <w:tc>
          <w:tcPr>
            <w:tcW w:w="1486" w:type="dxa"/>
          </w:tcPr>
          <w:p w:rsidR="00D849AA" w:rsidRDefault="00EE6D95">
            <w:r>
              <w:t>94,0</w:t>
            </w:r>
          </w:p>
        </w:tc>
      </w:tr>
    </w:tbl>
    <w:p w:rsidR="00D849AA" w:rsidRDefault="00D849AA">
      <w:pPr>
        <w:jc w:val="left"/>
      </w:pPr>
    </w:p>
    <w:p w:rsidR="00D849AA" w:rsidRDefault="00EE6D95">
      <w:pPr>
        <w:pStyle w:val="Normal6"/>
      </w:pPr>
      <w:r>
        <w:t>Program predstavlja program subvencijoniranja tri kreditna programa poticajnu mjeru gospodarske politike usmjerenu razvoju malog gospodarstva u turizmu, te razvoju seoskog turizma na ruralnim područjima Hrvatske</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Porast udjela smještajnih kapaciteta iz skupine Hoteli i Kampovi i druge vrste ugostiteljskih objekta za smještaj u odnosu na smještajne  kapacitete kategorizirane temeljem Pravilnika  o pružanju usluga u domaćinstvu.</w:t>
            </w:r>
          </w:p>
        </w:tc>
        <w:tc>
          <w:tcPr>
            <w:tcW w:w="1114" w:type="dxa"/>
          </w:tcPr>
          <w:p w:rsidR="00D849AA" w:rsidRDefault="00EE6D95">
            <w:r>
              <w:t>postotak</w:t>
            </w:r>
          </w:p>
        </w:tc>
        <w:tc>
          <w:tcPr>
            <w:tcW w:w="1114" w:type="dxa"/>
          </w:tcPr>
          <w:p w:rsidR="00D849AA" w:rsidRDefault="00EE6D95">
            <w:r>
              <w:t>53%</w:t>
            </w:r>
          </w:p>
        </w:tc>
        <w:tc>
          <w:tcPr>
            <w:tcW w:w="1486" w:type="dxa"/>
          </w:tcPr>
          <w:p w:rsidR="00D849AA" w:rsidRDefault="00EE6D95">
            <w:r>
              <w:t>+1%</w:t>
            </w:r>
          </w:p>
        </w:tc>
        <w:tc>
          <w:tcPr>
            <w:tcW w:w="1486" w:type="dxa"/>
          </w:tcPr>
          <w:p w:rsidR="00D849AA" w:rsidRDefault="00EE6D95">
            <w:r>
              <w:t>+2%</w:t>
            </w:r>
          </w:p>
        </w:tc>
        <w:tc>
          <w:tcPr>
            <w:tcW w:w="1486" w:type="dxa"/>
          </w:tcPr>
          <w:p w:rsidR="00D849AA" w:rsidRDefault="00EE6D95">
            <w:r>
              <w:t>+3%</w:t>
            </w:r>
          </w:p>
        </w:tc>
      </w:tr>
    </w:tbl>
    <w:p w:rsidR="00D849AA" w:rsidRDefault="00D849AA">
      <w:pPr>
        <w:jc w:val="left"/>
      </w:pPr>
    </w:p>
    <w:p w:rsidR="00D849AA" w:rsidRDefault="00EE6D95">
      <w:pPr>
        <w:pStyle w:val="Naslov6"/>
      </w:pPr>
      <w:r>
        <w:t>A587055 KONKURENTNOST TURISTIČKOG GOSPODARSTVA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A587055</w:t>
            </w:r>
          </w:p>
        </w:tc>
        <w:tc>
          <w:tcPr>
            <w:tcW w:w="1486" w:type="dxa"/>
          </w:tcPr>
          <w:p w:rsidR="00D849AA" w:rsidRDefault="00EE6D95">
            <w:r>
              <w:t>00</w:t>
            </w:r>
          </w:p>
        </w:tc>
        <w:tc>
          <w:tcPr>
            <w:tcW w:w="1486" w:type="dxa"/>
          </w:tcPr>
          <w:p w:rsidR="00D849AA" w:rsidRDefault="00EE6D95">
            <w:r>
              <w:t>22.650.000</w:t>
            </w:r>
          </w:p>
        </w:tc>
        <w:tc>
          <w:tcPr>
            <w:tcW w:w="1486" w:type="dxa"/>
          </w:tcPr>
          <w:p w:rsidR="00D849AA" w:rsidRDefault="00EE6D95">
            <w:r>
              <w:t>22.700.000</w:t>
            </w:r>
          </w:p>
        </w:tc>
        <w:tc>
          <w:tcPr>
            <w:tcW w:w="1486" w:type="dxa"/>
          </w:tcPr>
          <w:p w:rsidR="00D849AA" w:rsidRDefault="00EE6D95">
            <w:r>
              <w:t>23.200.000</w:t>
            </w:r>
          </w:p>
        </w:tc>
        <w:tc>
          <w:tcPr>
            <w:tcW w:w="1486" w:type="dxa"/>
          </w:tcPr>
          <w:p w:rsidR="00D849AA" w:rsidRDefault="00EE6D95">
            <w:r>
              <w:t>0,0</w:t>
            </w:r>
          </w:p>
        </w:tc>
      </w:tr>
    </w:tbl>
    <w:p w:rsidR="00D849AA" w:rsidRDefault="00D849AA">
      <w:pPr>
        <w:jc w:val="left"/>
      </w:pPr>
    </w:p>
    <w:p w:rsidR="00D849AA" w:rsidRDefault="00EE6D95">
      <w:pPr>
        <w:pStyle w:val="Normal6"/>
      </w:pPr>
      <w:r>
        <w:t>U skladu sa Strategijom razvoja turizma Republike Hrvatske do 2020. g., Ministarstvo nastavlja programe kojima potiče jačanje konkurentnosti hotelijerskih i ugostiteljskih tvrtki kroz razvoj novih proizvoda održivog turizma, razvoj turizma na turistički nerazvijenim područjima, razvoj kvalitete smještajnih kapaciteta, stvaranje cjelogodišnjih turističkih proizvoda i sadržaja. Cilj je jačanje turizma kao generatora ukupnog razvoja gospodarstva destinacije. Programi su namijenjeni privatnom sektoru.</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 xml:space="preserve">Povećanje prihoda od naplate boravišne pristojbe za općine i </w:t>
            </w:r>
            <w:r>
              <w:lastRenderedPageBreak/>
              <w:t>gradove sa prihodom manjim od 200.000,00 kn.</w:t>
            </w:r>
          </w:p>
        </w:tc>
        <w:tc>
          <w:tcPr>
            <w:tcW w:w="1114" w:type="dxa"/>
          </w:tcPr>
          <w:p w:rsidR="00D849AA" w:rsidRDefault="00EE6D95">
            <w:r>
              <w:lastRenderedPageBreak/>
              <w:t>Iznos</w:t>
            </w:r>
          </w:p>
        </w:tc>
        <w:tc>
          <w:tcPr>
            <w:tcW w:w="1114" w:type="dxa"/>
          </w:tcPr>
          <w:p w:rsidR="00D849AA" w:rsidRDefault="00EE6D95">
            <w:r>
              <w:t>3.487.405</w:t>
            </w:r>
          </w:p>
        </w:tc>
        <w:tc>
          <w:tcPr>
            <w:tcW w:w="1486" w:type="dxa"/>
          </w:tcPr>
          <w:p w:rsidR="00D849AA" w:rsidRDefault="00EE6D95">
            <w:r>
              <w:t>+1%</w:t>
            </w:r>
          </w:p>
        </w:tc>
        <w:tc>
          <w:tcPr>
            <w:tcW w:w="1486" w:type="dxa"/>
          </w:tcPr>
          <w:p w:rsidR="00D849AA" w:rsidRDefault="00EE6D95">
            <w:r>
              <w:t>+2%</w:t>
            </w:r>
          </w:p>
        </w:tc>
        <w:tc>
          <w:tcPr>
            <w:tcW w:w="1486" w:type="dxa"/>
          </w:tcPr>
          <w:p w:rsidR="00D849AA" w:rsidRDefault="00EE6D95">
            <w:r>
              <w:t>+3%</w:t>
            </w:r>
          </w:p>
        </w:tc>
      </w:tr>
      <w:tr w:rsidR="00D849AA">
        <w:trPr>
          <w:jc w:val="center"/>
        </w:trPr>
        <w:tc>
          <w:tcPr>
            <w:tcW w:w="2229" w:type="dxa"/>
          </w:tcPr>
          <w:p w:rsidR="00D849AA" w:rsidRDefault="00EE6D95">
            <w:pPr>
              <w:pStyle w:val="CellColumn"/>
            </w:pPr>
            <w:r>
              <w:lastRenderedPageBreak/>
              <w:t>Prosječno povećanje iskorištenosti smještajnih kapaciteta korisnika potpora (kumulativ</w:t>
            </w:r>
          </w:p>
        </w:tc>
        <w:tc>
          <w:tcPr>
            <w:tcW w:w="1114" w:type="dxa"/>
          </w:tcPr>
          <w:p w:rsidR="00D849AA" w:rsidRDefault="00EE6D95">
            <w:r>
              <w:t>Iznos</w:t>
            </w:r>
          </w:p>
        </w:tc>
        <w:tc>
          <w:tcPr>
            <w:tcW w:w="1114" w:type="dxa"/>
          </w:tcPr>
          <w:p w:rsidR="00D849AA" w:rsidRDefault="00D849AA">
            <w:pPr>
              <w:jc w:val="left"/>
            </w:pPr>
          </w:p>
        </w:tc>
        <w:tc>
          <w:tcPr>
            <w:tcW w:w="1486" w:type="dxa"/>
          </w:tcPr>
          <w:p w:rsidR="00D849AA" w:rsidRDefault="00EE6D95">
            <w:r>
              <w:t>godina početka</w:t>
            </w:r>
          </w:p>
        </w:tc>
        <w:tc>
          <w:tcPr>
            <w:tcW w:w="1486" w:type="dxa"/>
          </w:tcPr>
          <w:p w:rsidR="00D849AA" w:rsidRDefault="00EE6D95">
            <w:r>
              <w:t>+10%</w:t>
            </w:r>
          </w:p>
        </w:tc>
        <w:tc>
          <w:tcPr>
            <w:tcW w:w="1486" w:type="dxa"/>
          </w:tcPr>
          <w:p w:rsidR="00D849AA" w:rsidRDefault="00EE6D95">
            <w:r>
              <w:t>+15%</w:t>
            </w:r>
          </w:p>
        </w:tc>
      </w:tr>
    </w:tbl>
    <w:p w:rsidR="00D849AA" w:rsidRDefault="00D849AA">
      <w:pPr>
        <w:jc w:val="left"/>
      </w:pPr>
    </w:p>
    <w:p w:rsidR="00D849AA" w:rsidRDefault="00EE6D95">
      <w:pPr>
        <w:pStyle w:val="Naslov6"/>
      </w:pPr>
      <w:r>
        <w:t>A761044 FOND ZA TURIZAM</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A761044</w:t>
            </w:r>
          </w:p>
        </w:tc>
        <w:tc>
          <w:tcPr>
            <w:tcW w:w="1486" w:type="dxa"/>
          </w:tcPr>
          <w:p w:rsidR="00D849AA" w:rsidRDefault="00EE6D95">
            <w:r>
              <w:t>78.300.000</w:t>
            </w:r>
          </w:p>
        </w:tc>
        <w:tc>
          <w:tcPr>
            <w:tcW w:w="1486" w:type="dxa"/>
          </w:tcPr>
          <w:p w:rsidR="00D849AA" w:rsidRDefault="00EE6D95">
            <w:r>
              <w:t>40.000.000</w:t>
            </w:r>
          </w:p>
        </w:tc>
        <w:tc>
          <w:tcPr>
            <w:tcW w:w="1486" w:type="dxa"/>
          </w:tcPr>
          <w:p w:rsidR="00D849AA" w:rsidRDefault="00EE6D95">
            <w:r>
              <w:t>25.000.000</w:t>
            </w:r>
          </w:p>
        </w:tc>
        <w:tc>
          <w:tcPr>
            <w:tcW w:w="1486" w:type="dxa"/>
          </w:tcPr>
          <w:p w:rsidR="00D849AA" w:rsidRDefault="00EE6D95">
            <w:r>
              <w:t>25.000.000</w:t>
            </w:r>
          </w:p>
        </w:tc>
        <w:tc>
          <w:tcPr>
            <w:tcW w:w="1486" w:type="dxa"/>
          </w:tcPr>
          <w:p w:rsidR="00D849AA" w:rsidRDefault="00EE6D95">
            <w:r>
              <w:t>51,1</w:t>
            </w:r>
          </w:p>
        </w:tc>
      </w:tr>
    </w:tbl>
    <w:p w:rsidR="00D849AA" w:rsidRDefault="00D849AA">
      <w:pPr>
        <w:jc w:val="left"/>
      </w:pPr>
    </w:p>
    <w:p w:rsidR="00D849AA" w:rsidRDefault="00EE6D95">
      <w:pPr>
        <w:pStyle w:val="Normal6"/>
      </w:pPr>
      <w:r>
        <w:t xml:space="preserve">Program Fond za razvoj turizma temelji se na korištenju sredstava Fonda pribavljenih od naknada za koncesije i prodaje zemljišta, a za namjene i poslove utvrđene Zakonom o turističkom i ostalom građevinskom zemljištu neprocijenjenom u postupku pretvorbe i privatizacije.  </w:t>
      </w:r>
    </w:p>
    <w:p w:rsidR="00D849AA" w:rsidRDefault="00EE6D95">
      <w:pPr>
        <w:pStyle w:val="Normal6"/>
      </w:pPr>
      <w:r>
        <w:t xml:space="preserve">   </w:t>
      </w:r>
    </w:p>
    <w:p w:rsidR="00D849AA" w:rsidRDefault="00EE6D95">
      <w:pPr>
        <w:pStyle w:val="Normal6"/>
      </w:pPr>
      <w:r>
        <w:t xml:space="preserve">Sredstva Fonda koriste se isključivo u svrhu razvoja turističke infrastrukture i očuvanja turističke resursne osnove. Turističkom infrastrukturom smatra se javna infrastruktura u turizmu. Turističkom resursnom osnovom smatraju se (pored turističke javne i poslovne infrastrukture) i turističke atrakcije od kojih neke imaju karakter i turističke infrastrukture kao što su objekti kulturne i povijesne baštine. </w:t>
      </w:r>
    </w:p>
    <w:p w:rsidR="00D849AA" w:rsidRDefault="00EE6D95">
      <w:pPr>
        <w:pStyle w:val="Normal6"/>
      </w:pPr>
      <w:r>
        <w:t xml:space="preserve"> </w:t>
      </w:r>
    </w:p>
    <w:p w:rsidR="00D849AA" w:rsidRDefault="00EE6D95">
      <w:pPr>
        <w:pStyle w:val="Normal6"/>
      </w:pPr>
      <w:r>
        <w:t xml:space="preserve">Javna infrastruktura u turizmu su nekretnine javnih subjekata: gradova/općina, županija i države odnosno njihovih trgovačkih društava, institucija, organizacija u funkciji konkurentnosti turističke ponude kao npr: </w:t>
      </w:r>
    </w:p>
    <w:p w:rsidR="00D849AA" w:rsidRDefault="00EE6D95">
      <w:pPr>
        <w:pStyle w:val="Normal6"/>
      </w:pPr>
      <w:r>
        <w:t>-</w:t>
      </w:r>
      <w:r>
        <w:tab/>
        <w:t xml:space="preserve">višenamjenski centri/dvorane za održavanje kongresa/konvencija, izložbi, koncerata i drugih događanja </w:t>
      </w:r>
    </w:p>
    <w:p w:rsidR="00D849AA" w:rsidRDefault="00EE6D95">
      <w:pPr>
        <w:pStyle w:val="Normal6"/>
      </w:pPr>
      <w:r>
        <w:t>-</w:t>
      </w:r>
      <w:r>
        <w:tab/>
        <w:t xml:space="preserve">javna golf igrališta (bez smještajnih objekata) </w:t>
      </w:r>
    </w:p>
    <w:p w:rsidR="00D849AA" w:rsidRDefault="00EE6D95">
      <w:pPr>
        <w:pStyle w:val="Normal6"/>
      </w:pPr>
      <w:r>
        <w:t>-</w:t>
      </w:r>
      <w:r>
        <w:tab/>
        <w:t xml:space="preserve">objekti športsko-planinskih turističkih odredišta (skijaški: liftovi, vučnice, žičare, staze, sustavi za pravljenje umjetnog snijega i sl.) </w:t>
      </w:r>
    </w:p>
    <w:p w:rsidR="00D849AA" w:rsidRDefault="00EE6D95">
      <w:pPr>
        <w:pStyle w:val="Normal6"/>
      </w:pPr>
      <w:r>
        <w:t>-</w:t>
      </w:r>
      <w:r>
        <w:tab/>
        <w:t xml:space="preserve">objekti termalnih turističkih odredišta: parkovi, trgovi i sl. </w:t>
      </w:r>
    </w:p>
    <w:p w:rsidR="00D849AA" w:rsidRDefault="00EE6D95">
      <w:pPr>
        <w:pStyle w:val="Normal6"/>
      </w:pPr>
      <w:r>
        <w:t>-</w:t>
      </w:r>
      <w:r>
        <w:tab/>
        <w:t xml:space="preserve">objekti devastirane kulturne i povijesne baštine (dvorci, palače, kurije, utvrde, kuće tradicijske arhitekture, spomenici industrijske baštine, kuće tradicijskih zanata itd.)      koji se mogu valorizirati kroz turizam kao objekti javne infrastrukture: muzeji, koncertne dvorane, dvorane za sastanke i/ili izložbe i sl. (mogu se valorizirati i kao objekti poslovne infrastrukture), </w:t>
      </w:r>
    </w:p>
    <w:p w:rsidR="00D849AA" w:rsidRDefault="00EE6D95">
      <w:pPr>
        <w:pStyle w:val="Normal6"/>
      </w:pPr>
      <w:r>
        <w:t>-</w:t>
      </w:r>
      <w:r>
        <w:tab/>
        <w:t xml:space="preserve">objekti izletničke infrastrukture u funkciji valorizacije prirodne baštine: vidikovci, uređene špilje, biciklističke staze, planinske staze, vinske ceste, šumske staze, lovačke staze, poučne staze i druge tematske ceste, putovi i staze (mogu se valorizirati i kao objekti poslovne infrastrukture), </w:t>
      </w:r>
    </w:p>
    <w:p w:rsidR="00D849AA" w:rsidRDefault="00EE6D95">
      <w:pPr>
        <w:pStyle w:val="Normal6"/>
      </w:pPr>
      <w:r>
        <w:lastRenderedPageBreak/>
        <w:t>-</w:t>
      </w:r>
      <w:r>
        <w:tab/>
        <w:t xml:space="preserve">objekti lokalne/komunalne infrastrukture: plaže, informativni centri, parkirališta, garaže i sl. kao dio sadržaja projekta turističke infrastrukture, </w:t>
      </w:r>
    </w:p>
    <w:p w:rsidR="00D849AA" w:rsidRDefault="00EE6D95">
      <w:pPr>
        <w:pStyle w:val="Normal6"/>
      </w:pPr>
      <w:r>
        <w:t>-</w:t>
      </w:r>
      <w:r>
        <w:tab/>
        <w:t>drugi objekti javne infrastrukture</w:t>
      </w:r>
    </w:p>
    <w:p w:rsidR="00D849AA" w:rsidRDefault="00EE6D95">
      <w:pPr>
        <w:pStyle w:val="Naslov6"/>
      </w:pPr>
      <w:r>
        <w:t>A587001 TURISTIČKA PROMIDŽBA REPUBLIKE HRVATSKE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A587001</w:t>
            </w:r>
          </w:p>
        </w:tc>
        <w:tc>
          <w:tcPr>
            <w:tcW w:w="1486" w:type="dxa"/>
          </w:tcPr>
          <w:p w:rsidR="00D849AA" w:rsidRDefault="00EE6D95">
            <w:r>
              <w:t>89.000.000</w:t>
            </w:r>
          </w:p>
        </w:tc>
        <w:tc>
          <w:tcPr>
            <w:tcW w:w="1486" w:type="dxa"/>
          </w:tcPr>
          <w:p w:rsidR="00D849AA" w:rsidRDefault="00EE6D95">
            <w:r>
              <w:t>95.500.000</w:t>
            </w:r>
          </w:p>
        </w:tc>
        <w:tc>
          <w:tcPr>
            <w:tcW w:w="1486" w:type="dxa"/>
          </w:tcPr>
          <w:p w:rsidR="00D849AA" w:rsidRDefault="00EE6D95">
            <w:r>
              <w:t>80.600.000</w:t>
            </w:r>
          </w:p>
        </w:tc>
        <w:tc>
          <w:tcPr>
            <w:tcW w:w="1486" w:type="dxa"/>
          </w:tcPr>
          <w:p w:rsidR="00D849AA" w:rsidRDefault="00EE6D95">
            <w:r>
              <w:t>65.600.000</w:t>
            </w:r>
          </w:p>
        </w:tc>
        <w:tc>
          <w:tcPr>
            <w:tcW w:w="1486" w:type="dxa"/>
          </w:tcPr>
          <w:p w:rsidR="00D849AA" w:rsidRDefault="00EE6D95">
            <w:r>
              <w:t>107,3</w:t>
            </w:r>
          </w:p>
        </w:tc>
      </w:tr>
    </w:tbl>
    <w:p w:rsidR="00D849AA" w:rsidRDefault="00D849AA">
      <w:pPr>
        <w:jc w:val="left"/>
      </w:pPr>
    </w:p>
    <w:p w:rsidR="00D849AA" w:rsidRDefault="00EE6D95">
      <w:pPr>
        <w:pStyle w:val="Normal6"/>
      </w:pPr>
      <w:r>
        <w:t xml:space="preserve">Temeljem programskih smjernica strateških marketing planova Hrvatske turističke zajednice  o potrebi jačanja i promjene strukture ukupnih promotivnih i marketinških aktivnosti na svjetskom turističkom tržištu, aktivnosti se provode kroz mjere promotivnih aktivnosti, a preko Glavnog ureda Hrvatske turističke zajednice. To se odnosi na aktivnosti u komunikaciji vrijednosti: on-line oglašavanja na inozemnim tržištima (Internet oglašavanje, SEO i SEM optimizacija, viralna marketing kampanja, blog putovanja), off-line oglašavanja (tiskovine, TV, brošure, info kolaterali i sl.). Također, u svrhu efikasnije nacionalne promocije turizma u turističkoj pred - i posezoni, te manjim dijelom u glavnoj sezoni, pojačavaju se aktivnosti udruženog oglašavanja programa s organizatorima putovanja (touroperatori i turističke agencije), županijskim i lokalnim turističkim zajednicama, gospodarskim subjektima i strukovnim udrugama. </w:t>
      </w:r>
    </w:p>
    <w:p w:rsidR="00D849AA" w:rsidRDefault="00EE6D95">
      <w:pPr>
        <w:pStyle w:val="Normal6"/>
      </w:pPr>
      <w:r>
        <w:t xml:space="preserve">Istovremeno, pojačat će se aktivnosti vezane uz promociju turizma kroz sport koje će Glavni ured HTZ-a regulirati marketinškim ugovorom s  najvišom sportskom udrugom u Hrvatskoj – Hrvatskim olimpijskim odborom (HOO). Sredstva su namijenjena za sufinanciranje aktivnosti, rada i djelovanja HOO-a prigodom neposredne realizacije sportskih događanja kao kanala promidžbe hrvatskog turizma. </w:t>
      </w:r>
    </w:p>
    <w:p w:rsidR="00D849AA" w:rsidRDefault="00EE6D95">
      <w:pPr>
        <w:pStyle w:val="Normal6"/>
      </w:pPr>
      <w:r>
        <w:t xml:space="preserve">Pored toga, Ministarstvo će poduprijeti marketinške aktivnosti vezane uz održavanje dva najveća sportsko-turistička projekta koja će se održati u RH u 2014. godini: Snježnu kraljicu u Zagrebu i ATP turnir u Umagu. </w:t>
      </w:r>
    </w:p>
    <w:p w:rsidR="00D849AA" w:rsidRDefault="00EE6D95">
      <w:pPr>
        <w:pStyle w:val="Normal6"/>
      </w:pPr>
      <w:r>
        <w:t>U okviru ove aktivnosti Ministarstvo će Glavnom uredu Hrvatske turističke zajednice osigurati dio sredstava za program poticanja turističkih manifestacija. Time se potiče obogaćivanje turističke ponude destinacija, odnosno ukupne hrvatske turističke ponude. Sredstva su namijenjena sufinanciranju aktivnosti i radova na neposrednoj realizaciji turističkih manifestacija, a u cilju stvaranja i promocije turističkih sadržaja i događaja koji predstavljaju motiv dolaska u turističku destinaciju</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6"/>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Porast broja dolazaka stranih turista</w:t>
            </w:r>
          </w:p>
        </w:tc>
        <w:tc>
          <w:tcPr>
            <w:tcW w:w="1114" w:type="dxa"/>
          </w:tcPr>
          <w:p w:rsidR="00D849AA" w:rsidRDefault="00EE6D95">
            <w:r>
              <w:t>Broj dolazaka stranih turista</w:t>
            </w:r>
          </w:p>
        </w:tc>
        <w:tc>
          <w:tcPr>
            <w:tcW w:w="1114" w:type="dxa"/>
          </w:tcPr>
          <w:p w:rsidR="00D849AA" w:rsidRDefault="00EE6D95">
            <w:r>
              <w:t>10.369.000</w:t>
            </w:r>
          </w:p>
        </w:tc>
        <w:tc>
          <w:tcPr>
            <w:tcW w:w="1486" w:type="dxa"/>
          </w:tcPr>
          <w:p w:rsidR="00D849AA" w:rsidRDefault="00EE6D95">
            <w:r>
              <w:t>11.100.000</w:t>
            </w:r>
          </w:p>
        </w:tc>
        <w:tc>
          <w:tcPr>
            <w:tcW w:w="1486" w:type="dxa"/>
          </w:tcPr>
          <w:p w:rsidR="00D849AA" w:rsidRDefault="00EE6D95">
            <w:r>
              <w:t>11.300.000</w:t>
            </w:r>
          </w:p>
        </w:tc>
        <w:tc>
          <w:tcPr>
            <w:tcW w:w="1486" w:type="dxa"/>
          </w:tcPr>
          <w:p w:rsidR="00D849AA" w:rsidRDefault="00EE6D95">
            <w:r>
              <w:t>11.500.000</w:t>
            </w:r>
          </w:p>
        </w:tc>
      </w:tr>
    </w:tbl>
    <w:p w:rsidR="00D849AA" w:rsidRDefault="00D849AA">
      <w:pPr>
        <w:jc w:val="left"/>
      </w:pPr>
    </w:p>
    <w:p w:rsidR="00D849AA" w:rsidRDefault="00EE6D95">
      <w:pPr>
        <w:pStyle w:val="Naslov1"/>
      </w:pPr>
      <w:r>
        <w:lastRenderedPageBreak/>
        <w:t>095 MINISTARSTVO UPRAVE</w:t>
      </w:r>
    </w:p>
    <w:p w:rsidR="00D849AA" w:rsidRDefault="00EE6D95">
      <w:pPr>
        <w:pStyle w:val="Naslov4"/>
      </w:pPr>
      <w:r>
        <w:t>Uvod</w:t>
      </w:r>
    </w:p>
    <w:p w:rsidR="00D849AA" w:rsidRDefault="00EE6D95">
      <w:pPr>
        <w:pStyle w:val="Normal3"/>
      </w:pPr>
      <w:r>
        <w:t xml:space="preserve">Ministarstvo uprave ustrojeno je 2. srpnja 2009. godine, temeljem odredbi Zakona o izmjenama i dopunama Zakona o ustrojstvu i djelokrugu središnjih tijela državne uprave („Narodne novine“, broj 77/2009) i pravni je slijednik Središnjeg državnog ureda za upravu i Središnjeg državnog ureda za e-Hrvatsku. </w:t>
      </w:r>
    </w:p>
    <w:p w:rsidR="00D849AA" w:rsidRDefault="00EE6D95">
      <w:pPr>
        <w:pStyle w:val="Normal3"/>
      </w:pPr>
      <w:r>
        <w:t xml:space="preserve">Na temelju članka 63. stavka 2. Zakona o sustavu državne uprave ("Narodne novine", broj 150/2011) i članka 40. stavka 1. Zakona o ustrojstvu i djelokrugu ministarstava i drugih središnjih tijela državne uprave ("Narodne novine", br. 150/2011 i 22/2012), Vlada Republike Hrvatske je na sjednici održanoj 23. veljače 2012. godine donijela novu Uredbu o unutarnjem ustrojstvu Ministarstva uprave, te su dodatno ojačani upravljački i administrativni kapaciteti ministarstva. </w:t>
      </w:r>
    </w:p>
    <w:p w:rsidR="00D849AA" w:rsidRDefault="00EE6D95">
      <w:pPr>
        <w:pStyle w:val="Normal3"/>
      </w:pPr>
      <w:r>
        <w:t xml:space="preserve">Vizija Ministarstva uprave je: Moderna i korisnički usmjerena javna uprava. </w:t>
      </w:r>
    </w:p>
    <w:p w:rsidR="00D849AA" w:rsidRDefault="00EE6D95">
      <w:pPr>
        <w:pStyle w:val="Normal3"/>
      </w:pPr>
      <w:r>
        <w:t>Misija Ministarstva uprave je trajno unapređenje sustava javne uprave radi osiguranja i zaštite javnog interesa, zakonitog djelovanja i pružanja usluga u ostvarivanju prava građana i gospodarskih subjekata Republike Hrvatske.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09505 Ministarstvo uprave</w:t>
            </w:r>
          </w:p>
        </w:tc>
        <w:tc>
          <w:tcPr>
            <w:tcW w:w="1486" w:type="dxa"/>
          </w:tcPr>
          <w:p w:rsidR="00D849AA" w:rsidRDefault="00EE6D95">
            <w:r>
              <w:t>56.628.187</w:t>
            </w:r>
          </w:p>
        </w:tc>
        <w:tc>
          <w:tcPr>
            <w:tcW w:w="1486" w:type="dxa"/>
          </w:tcPr>
          <w:p w:rsidR="00D849AA" w:rsidRDefault="00EE6D95">
            <w:r>
              <w:t>47.542.791</w:t>
            </w:r>
          </w:p>
        </w:tc>
        <w:tc>
          <w:tcPr>
            <w:tcW w:w="1486" w:type="dxa"/>
          </w:tcPr>
          <w:p w:rsidR="00D849AA" w:rsidRDefault="00EE6D95">
            <w:r>
              <w:t>55.296.396</w:t>
            </w:r>
          </w:p>
        </w:tc>
        <w:tc>
          <w:tcPr>
            <w:tcW w:w="1486" w:type="dxa"/>
          </w:tcPr>
          <w:p w:rsidR="00D849AA" w:rsidRDefault="00EE6D95">
            <w:r>
              <w:t>51.955.865</w:t>
            </w:r>
          </w:p>
        </w:tc>
        <w:tc>
          <w:tcPr>
            <w:tcW w:w="1486" w:type="dxa"/>
          </w:tcPr>
          <w:p w:rsidR="00D849AA" w:rsidRDefault="00EE6D95">
            <w:r>
              <w:t>84,0</w:t>
            </w:r>
          </w:p>
        </w:tc>
      </w:tr>
      <w:tr w:rsidR="00D849AA">
        <w:trPr>
          <w:jc w:val="center"/>
        </w:trPr>
        <w:tc>
          <w:tcPr>
            <w:tcW w:w="1486" w:type="dxa"/>
          </w:tcPr>
          <w:p w:rsidR="00D849AA" w:rsidRDefault="00EE6D95">
            <w:pPr>
              <w:pStyle w:val="CellColumn"/>
            </w:pPr>
            <w:r>
              <w:t>09510 Uredi državne uprave u županijama</w:t>
            </w:r>
          </w:p>
        </w:tc>
        <w:tc>
          <w:tcPr>
            <w:tcW w:w="1486" w:type="dxa"/>
          </w:tcPr>
          <w:p w:rsidR="00D849AA" w:rsidRDefault="00EE6D95">
            <w:r>
              <w:t>295.683.701</w:t>
            </w:r>
          </w:p>
        </w:tc>
        <w:tc>
          <w:tcPr>
            <w:tcW w:w="1486" w:type="dxa"/>
          </w:tcPr>
          <w:p w:rsidR="00D849AA" w:rsidRDefault="00EE6D95">
            <w:r>
              <w:t>303.527.409</w:t>
            </w:r>
          </w:p>
        </w:tc>
        <w:tc>
          <w:tcPr>
            <w:tcW w:w="1486" w:type="dxa"/>
          </w:tcPr>
          <w:p w:rsidR="00D849AA" w:rsidRDefault="00EE6D95">
            <w:r>
              <w:t>324.125.588</w:t>
            </w:r>
          </w:p>
        </w:tc>
        <w:tc>
          <w:tcPr>
            <w:tcW w:w="1486" w:type="dxa"/>
          </w:tcPr>
          <w:p w:rsidR="00D849AA" w:rsidRDefault="00EE6D95">
            <w:r>
              <w:t>332.027.805</w:t>
            </w:r>
          </w:p>
        </w:tc>
        <w:tc>
          <w:tcPr>
            <w:tcW w:w="1486" w:type="dxa"/>
          </w:tcPr>
          <w:p w:rsidR="00D849AA" w:rsidRDefault="00EE6D95">
            <w:r>
              <w:t>102,6</w:t>
            </w:r>
          </w:p>
        </w:tc>
      </w:tr>
      <w:tr w:rsidR="00D849AA">
        <w:trPr>
          <w:jc w:val="center"/>
        </w:trPr>
        <w:tc>
          <w:tcPr>
            <w:tcW w:w="1486" w:type="dxa"/>
          </w:tcPr>
          <w:p w:rsidR="00D849AA" w:rsidRDefault="00EE6D95">
            <w:pPr>
              <w:pStyle w:val="CellColumn"/>
            </w:pPr>
            <w:r>
              <w:t>09515 Državna škola za javnu upravu</w:t>
            </w:r>
          </w:p>
        </w:tc>
        <w:tc>
          <w:tcPr>
            <w:tcW w:w="1486" w:type="dxa"/>
          </w:tcPr>
          <w:p w:rsidR="00D849AA" w:rsidRDefault="00EE6D95">
            <w:r>
              <w:t>4.282.444</w:t>
            </w:r>
          </w:p>
        </w:tc>
        <w:tc>
          <w:tcPr>
            <w:tcW w:w="1486" w:type="dxa"/>
          </w:tcPr>
          <w:p w:rsidR="00D849AA" w:rsidRDefault="00EE6D95">
            <w:r>
              <w:t>6.066.740</w:t>
            </w:r>
          </w:p>
        </w:tc>
        <w:tc>
          <w:tcPr>
            <w:tcW w:w="1486" w:type="dxa"/>
          </w:tcPr>
          <w:p w:rsidR="00D849AA" w:rsidRDefault="00EE6D95">
            <w:r>
              <w:t>5.178.592</w:t>
            </w:r>
          </w:p>
        </w:tc>
        <w:tc>
          <w:tcPr>
            <w:tcW w:w="1486" w:type="dxa"/>
          </w:tcPr>
          <w:p w:rsidR="00D849AA" w:rsidRDefault="00EE6D95">
            <w:r>
              <w:t>5.285.432</w:t>
            </w:r>
          </w:p>
        </w:tc>
        <w:tc>
          <w:tcPr>
            <w:tcW w:w="1486" w:type="dxa"/>
          </w:tcPr>
          <w:p w:rsidR="00D849AA" w:rsidRDefault="00EE6D95">
            <w:r>
              <w:t>141,7</w:t>
            </w:r>
          </w:p>
        </w:tc>
      </w:tr>
      <w:tr w:rsidR="00D849AA">
        <w:trPr>
          <w:jc w:val="center"/>
        </w:trPr>
        <w:tc>
          <w:tcPr>
            <w:tcW w:w="1486" w:type="dxa"/>
            <w:shd w:val="clear" w:color="auto" w:fill="B5C0D8"/>
          </w:tcPr>
          <w:p w:rsidR="00D849AA" w:rsidRDefault="00EE6D95">
            <w:pPr>
              <w:pStyle w:val="CellColumn"/>
            </w:pPr>
            <w:r>
              <w:t>Ukupno 095</w:t>
            </w:r>
          </w:p>
        </w:tc>
        <w:tc>
          <w:tcPr>
            <w:tcW w:w="1486" w:type="dxa"/>
            <w:shd w:val="clear" w:color="auto" w:fill="B5C0D8"/>
          </w:tcPr>
          <w:p w:rsidR="00D849AA" w:rsidRDefault="00EE6D95">
            <w:r>
              <w:t>356.594.332</w:t>
            </w:r>
          </w:p>
        </w:tc>
        <w:tc>
          <w:tcPr>
            <w:tcW w:w="1486" w:type="dxa"/>
            <w:shd w:val="clear" w:color="auto" w:fill="B5C0D8"/>
          </w:tcPr>
          <w:p w:rsidR="00D849AA" w:rsidRDefault="00EE6D95">
            <w:r>
              <w:t>357.136.940</w:t>
            </w:r>
          </w:p>
        </w:tc>
        <w:tc>
          <w:tcPr>
            <w:tcW w:w="1486" w:type="dxa"/>
            <w:shd w:val="clear" w:color="auto" w:fill="B5C0D8"/>
          </w:tcPr>
          <w:p w:rsidR="00D849AA" w:rsidRDefault="00EE6D95">
            <w:r>
              <w:t>384.600.576</w:t>
            </w:r>
          </w:p>
        </w:tc>
        <w:tc>
          <w:tcPr>
            <w:tcW w:w="1486" w:type="dxa"/>
            <w:shd w:val="clear" w:color="auto" w:fill="B5C0D8"/>
          </w:tcPr>
          <w:p w:rsidR="00D849AA" w:rsidRDefault="00EE6D95">
            <w:r>
              <w:t>389.269.102</w:t>
            </w:r>
          </w:p>
        </w:tc>
        <w:tc>
          <w:tcPr>
            <w:tcW w:w="1486" w:type="dxa"/>
            <w:shd w:val="clear" w:color="auto" w:fill="B5C0D8"/>
          </w:tcPr>
          <w:p w:rsidR="00D849AA" w:rsidRDefault="00EE6D95">
            <w:r>
              <w:t>100,2</w:t>
            </w:r>
          </w:p>
        </w:tc>
      </w:tr>
    </w:tbl>
    <w:p w:rsidR="00D849AA" w:rsidRDefault="00D849AA">
      <w:pPr>
        <w:jc w:val="left"/>
      </w:pPr>
    </w:p>
    <w:p w:rsidR="00D849AA" w:rsidRDefault="00EE6D95">
      <w:pPr>
        <w:pStyle w:val="Naslov2"/>
      </w:pPr>
      <w:r>
        <w:t>09505 Ministarstvo uprave</w:t>
      </w:r>
    </w:p>
    <w:p w:rsidR="00D849AA" w:rsidRDefault="00EE6D95">
      <w:pPr>
        <w:pStyle w:val="Naslov4"/>
      </w:pPr>
      <w:r>
        <w:t>Uvod</w:t>
      </w:r>
    </w:p>
    <w:p w:rsidR="00D849AA" w:rsidRDefault="00EE6D95">
      <w:pPr>
        <w:pStyle w:val="Normal3"/>
      </w:pPr>
      <w:r>
        <w:t xml:space="preserve">Ministarstvo uprave je ustrojeno i njegov djelokrug je definiran odredbama Zakona o ustrojstvu i djelokrugu središnjih tijela državne uprave ("Narodne novine", broj 150/11). </w:t>
      </w:r>
    </w:p>
    <w:p w:rsidR="00D849AA" w:rsidRDefault="00EE6D95">
      <w:pPr>
        <w:pStyle w:val="Normal3"/>
      </w:pPr>
      <w:r>
        <w:t xml:space="preserve">Ministarstvo uprave obavlja upravne i stručne poslove koji se odnose na: sustav i ustrojstvo državne uprave i lokalne i područne (regionalne) samouprave; politički i izborni sustav; osobna stanja građana; registraciju političkih stranaka, zaklada, fondacija i drugih evidencija utvrđenih posebnim zakonima; planiranje i nadzor zapošljavanja u državnoj upravi; stručno osposobljavanje i usavršavanje te radno pravni položaj zaposlenih u državnoj upravi i lokalnoj i područnoj (regionalnoj) samoupravi; poticanje znanstvenog i stručnog razvitka državne uprave; poslove </w:t>
      </w:r>
      <w:r>
        <w:lastRenderedPageBreak/>
        <w:t xml:space="preserve">upravnog i inspekcijskog nadzora u svim tijelima državne uprave i lokalne i područne (regionalne) samouprave; upravljanje sredstvima za unapređenje upravne sposobnosti kroz razvoj uslužne kulture u upravi; usmjeravanje reforme i procesa modernizacije u čitavoj upravi; primjenu etičkih načela; praćenje načina korištenja sredstava rada te primjenu suvremenih metoda rada u državnoj upravi, posebno primjenu računalnih i komunikacijskih sustava u radu te uvođenje novih tehnologija u radu ureda državne uprave u županijama; obavljanje poslova za međunarodnu komisiju za građanska stanja (CIEC), ostvarivanje međunarodne suradnje u pitanjima upravnog prava, državne uprave i lokalne samouprave; obavlja i druge poslove opće uprave. </w:t>
      </w:r>
    </w:p>
    <w:p w:rsidR="00D849AA" w:rsidRDefault="00EE6D95">
      <w:pPr>
        <w:pStyle w:val="Normal3"/>
      </w:pPr>
      <w:r>
        <w:t>Ministarstvo obavlja upravne i stručne poslove koji se odnose na razvitak informacijskog sustava državne uprave; uspostavu tehnološke i sigurnosne informatičke infrastrukture u tijelima državne uprave; racionalizaciju uporabe informatičkih resursa u tijelima državne uprave; povezivanje informacijskih sustava tijela državne uprave kroz jedinstvenu informacijsko-komunikacijsku mrežu; donošenje tehničkih i normizacijskih pravila uporabe informatičke opreme u tijelima državne uprave; donošenje stručnih i normativnih podloga za pridruživanje Republike Hrvatske Europskoj uniji u područjima razvitka i primjene informacijsko komunikacijske tehnologije; te obavljanje objedinjene nabave informatičkih resursa za tijela državne uprave. Ministarstvo obavlja i poslove koji se odnose na praćenje i koordinaciju projekata iz područja informacijsko-komunikacijske tehnologije u tijelima državne uprave; sudjelovanje u donošenju i praćenju provedbe zakona i drugih propisa u području primjene informacijsko-komunikacijske tehnologije u Republici Hrvatskoj; promicanje i sustavno unapređivanje izgradnje internetizacijske infrastrukture u Republici Hrvatskoj, javnog pristupanja internetskim uslugama i sadržajima, razvitka primjene informacijske i komunikacijske tehnologije, sustava elektroničke uprave, elektroničkog obrazovanja, elektroničkog zdravstva i elektroničkog poslovanja. Ministarstvo obavlja poslove koji se odnose na sudjelovanje Republike Hrvatske u radu tijela Europske unije u područjima iz njegove nadležnosti. Ministarstvo obavlja i druge poslove koji su mu stavljeni u nadležnost posebnim zakonom.</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09505</w:t>
            </w:r>
          </w:p>
        </w:tc>
        <w:tc>
          <w:tcPr>
            <w:tcW w:w="1486" w:type="dxa"/>
          </w:tcPr>
          <w:p w:rsidR="00D849AA" w:rsidRDefault="00EE6D95">
            <w:r>
              <w:t>56.628.187</w:t>
            </w:r>
          </w:p>
        </w:tc>
        <w:tc>
          <w:tcPr>
            <w:tcW w:w="1486" w:type="dxa"/>
          </w:tcPr>
          <w:p w:rsidR="00D849AA" w:rsidRDefault="00EE6D95">
            <w:r>
              <w:t>47.542.791</w:t>
            </w:r>
          </w:p>
        </w:tc>
        <w:tc>
          <w:tcPr>
            <w:tcW w:w="1486" w:type="dxa"/>
          </w:tcPr>
          <w:p w:rsidR="00D849AA" w:rsidRDefault="00EE6D95">
            <w:r>
              <w:t>55.296.396</w:t>
            </w:r>
          </w:p>
        </w:tc>
        <w:tc>
          <w:tcPr>
            <w:tcW w:w="1486" w:type="dxa"/>
          </w:tcPr>
          <w:p w:rsidR="00D849AA" w:rsidRDefault="00EE6D95">
            <w:r>
              <w:t>51.955.865</w:t>
            </w:r>
          </w:p>
        </w:tc>
        <w:tc>
          <w:tcPr>
            <w:tcW w:w="1486" w:type="dxa"/>
          </w:tcPr>
          <w:p w:rsidR="00D849AA" w:rsidRDefault="00EE6D95">
            <w:r>
              <w:t>84,0</w:t>
            </w:r>
          </w:p>
        </w:tc>
      </w:tr>
    </w:tbl>
    <w:p w:rsidR="00D849AA" w:rsidRDefault="00D849AA">
      <w:pPr>
        <w:jc w:val="left"/>
      </w:pPr>
    </w:p>
    <w:p w:rsidR="00D849AA" w:rsidRDefault="00EE6D95">
      <w:pPr>
        <w:pStyle w:val="Naslov4"/>
      </w:pPr>
      <w:r>
        <w:t>OBRAZLOŽENJE PROGRAMA</w:t>
      </w:r>
    </w:p>
    <w:p w:rsidR="00D849AA" w:rsidRDefault="00EE6D95">
      <w:pPr>
        <w:pStyle w:val="Naslov5"/>
      </w:pPr>
      <w:r>
        <w:t>2401 USTROJSTVO JAVNE UPRAVE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2401</w:t>
            </w:r>
          </w:p>
        </w:tc>
        <w:tc>
          <w:tcPr>
            <w:tcW w:w="1486" w:type="dxa"/>
          </w:tcPr>
          <w:p w:rsidR="00D849AA" w:rsidRDefault="00EE6D95">
            <w:r>
              <w:t>46.906.110</w:t>
            </w:r>
          </w:p>
        </w:tc>
        <w:tc>
          <w:tcPr>
            <w:tcW w:w="1486" w:type="dxa"/>
          </w:tcPr>
          <w:p w:rsidR="00D849AA" w:rsidRDefault="00EE6D95">
            <w:r>
              <w:t>39.939.777</w:t>
            </w:r>
          </w:p>
        </w:tc>
        <w:tc>
          <w:tcPr>
            <w:tcW w:w="1486" w:type="dxa"/>
          </w:tcPr>
          <w:p w:rsidR="00D849AA" w:rsidRDefault="00EE6D95">
            <w:r>
              <w:t>46.296.396</w:t>
            </w:r>
          </w:p>
        </w:tc>
        <w:tc>
          <w:tcPr>
            <w:tcW w:w="1486" w:type="dxa"/>
          </w:tcPr>
          <w:p w:rsidR="00D849AA" w:rsidRDefault="00EE6D95">
            <w:r>
              <w:t>42.259.801</w:t>
            </w:r>
          </w:p>
        </w:tc>
        <w:tc>
          <w:tcPr>
            <w:tcW w:w="1486" w:type="dxa"/>
          </w:tcPr>
          <w:p w:rsidR="00D849AA" w:rsidRDefault="00EE6D95">
            <w:r>
              <w:t>85,1</w:t>
            </w:r>
          </w:p>
        </w:tc>
      </w:tr>
    </w:tbl>
    <w:p w:rsidR="00D849AA" w:rsidRDefault="00D849AA">
      <w:pPr>
        <w:jc w:val="left"/>
      </w:pPr>
    </w:p>
    <w:p w:rsidR="00D849AA" w:rsidRDefault="00EE6D95">
      <w:pPr>
        <w:pStyle w:val="Naslov6"/>
      </w:pPr>
      <w:r>
        <w:t>Opis programa</w:t>
      </w:r>
    </w:p>
    <w:p w:rsidR="00D849AA" w:rsidRDefault="00EE6D95">
      <w:pPr>
        <w:pStyle w:val="Normal5"/>
      </w:pPr>
      <w:r>
        <w:t xml:space="preserve">Javna uprava predstavlja jedno od strateški važnih područja reformi Vlade Republike Hrvatske. Modernizacija javne uprave, njezina puna profesionalizacija te pružanje brzih i pouzdanih javnih usluga sastavni je dio dobrog poduzetničkog okruženja i pretpostavka osiguranja boljeg standarda svih građana. Pored svih upravnih i stručnih poslova koje Ministarstvo obavlja unutar ovog programa najistaknutiji je program izobrazbe državnih službenika. Prijedlog programa izobrazbe državnih službenika u 2014. godini izrađen je </w:t>
      </w:r>
      <w:r>
        <w:lastRenderedPageBreak/>
        <w:t>sukladno obvezama koje proizlaze iz Strategije stručnog osposobljavanja i usavršavanja državnih službenika Vlade Republike Hrvatske (od 6. listopada 2004. godine) i odredaba Zakona o državnim službenicima („Narodne novine“, broj 49/12; 37/13; 38/13), te se njime doprinosi ispunjavanju obveze reforme javne uprave koju je Republika Hrvatska preuzela u okviru Pristupnog partnerstva. Ministarstvo uprave nadležna je državna institucija za provedbu programa reforme javne uprave Vlade Republike Hrvatske. Sukladno Uredbi o oblicima, načinima i uvjetima izobrazbe državnih službenika Ministarstvo uprave u svim tijelima državne uprave provodi procjenu potrebe izobrazbe za sljedeću godinu. U svrhu efikasnog ostvarenja svih ciljeva i zadataka državnih tijela potrebno je planirati ljudske potencijale u državnoj upravi na odgovarajući način te im pružiti mogućnost profesionalnog razvoja koristeći sve moderne alate upravljanja ljudskim potencijalima.</w:t>
      </w:r>
    </w:p>
    <w:p w:rsidR="00D849AA" w:rsidRDefault="00EE6D95">
      <w:pPr>
        <w:pStyle w:val="Naslov6"/>
      </w:pPr>
      <w:r>
        <w:t>Zakonske i druge pravne osnove</w:t>
      </w:r>
    </w:p>
    <w:p w:rsidR="00D849AA" w:rsidRDefault="00EE6D95">
      <w:pPr>
        <w:pStyle w:val="Normal5"/>
      </w:pPr>
      <w:r>
        <w:t xml:space="preserve">Zakon o državnim službenicima („Narodne novine“, broj 49/12; 37/13; 38/13), </w:t>
      </w:r>
    </w:p>
    <w:p w:rsidR="00D849AA" w:rsidRDefault="00EE6D95">
      <w:pPr>
        <w:pStyle w:val="Normal5"/>
      </w:pPr>
      <w:r>
        <w:t xml:space="preserve">Zakon o sustavu državne uprave („Narodne novine“, broj 150/11), </w:t>
      </w:r>
    </w:p>
    <w:p w:rsidR="00D849AA" w:rsidRDefault="00EE6D95">
      <w:pPr>
        <w:pStyle w:val="Normal5"/>
      </w:pPr>
      <w:r>
        <w:t>Zakon o ustrojstvu i djelokrugu ministarstava i drugih središnjih tijela državne uprave („Narodne novine“, broj 150/11; 22/12, 39/13; 125/13).</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Cilj 1. Unaprijediti sustav državne uprave</w:t>
      </w:r>
    </w:p>
    <w:p w:rsidR="00D849AA" w:rsidRDefault="00EE6D95">
      <w:pPr>
        <w:pStyle w:val="Normal6"/>
      </w:pPr>
      <w:r>
        <w:t>Razvoj sustava državne uprave prema novom konceptu koji se temelji na načelima europskog upravljanja javnim poslovima, zahtijeva uspostavu sustava državne uprave koji osigurava transparentnost i otvorenost rada, usmjerenost na korisnike, pristupačnost tijela državne uprave, te uključivanje građana i civilnog društva u oblikovanje javnih politika. Državna uprava treba služiti zadovoljavanju potreba građana i drugih subjekata upravnih usluga, što također pretpostavlja jačanje kvalitete upravnih usluga i uspostavu mehanizama za mjerenje te kvalitete. Razvoj sustava državne uprave prema novom konceptu trebao bi se temeljiti na nizu međuovisnih mjera koje uključuju razvoj modela participacije građana, uvođenje mehanizama ispitivanja zadovoljstva građana upravnim uslugama; diferencijaciju poslova državne uprave (ciklus razrade javnih politika, izrade nacrta propisa i praćenje njihove primjene nasuprot izvršnooperativnim poslovima) i utvrđivanje kriterija za decentraliziranje odnosno dekoncentriranje poslova državne uprave; specijalizaciju tijela državne uprave kroz preraspodjelu djelokruga i funkcija; poboljšanje usklađenosti u radu tijela državne uprave kroz razvoj mehanizama njihove suradnje.</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Donesen Zakon o sustavu državne uprave</w:t>
            </w:r>
          </w:p>
        </w:tc>
        <w:tc>
          <w:tcPr>
            <w:tcW w:w="1114" w:type="dxa"/>
          </w:tcPr>
          <w:p w:rsidR="00D849AA" w:rsidRDefault="00EE6D95">
            <w:r>
              <w:t>broj</w:t>
            </w:r>
          </w:p>
        </w:tc>
        <w:tc>
          <w:tcPr>
            <w:tcW w:w="1114" w:type="dxa"/>
          </w:tcPr>
          <w:p w:rsidR="00D849AA" w:rsidRDefault="00EE6D95">
            <w:r>
              <w:t>0</w:t>
            </w:r>
          </w:p>
        </w:tc>
        <w:tc>
          <w:tcPr>
            <w:tcW w:w="1486" w:type="dxa"/>
          </w:tcPr>
          <w:p w:rsidR="00D849AA" w:rsidRDefault="00EE6D95">
            <w:r>
              <w:t>1</w:t>
            </w:r>
          </w:p>
        </w:tc>
        <w:tc>
          <w:tcPr>
            <w:tcW w:w="1486" w:type="dxa"/>
          </w:tcPr>
          <w:p w:rsidR="00D849AA" w:rsidRDefault="00EE6D95">
            <w:r>
              <w:t>/</w:t>
            </w:r>
          </w:p>
        </w:tc>
        <w:tc>
          <w:tcPr>
            <w:tcW w:w="1486" w:type="dxa"/>
          </w:tcPr>
          <w:p w:rsidR="00D849AA" w:rsidRDefault="00EE6D95">
            <w:r>
              <w:t>/</w:t>
            </w:r>
          </w:p>
        </w:tc>
      </w:tr>
    </w:tbl>
    <w:p w:rsidR="00D849AA" w:rsidRDefault="00D849AA">
      <w:pPr>
        <w:jc w:val="left"/>
      </w:pPr>
    </w:p>
    <w:p w:rsidR="00D849AA" w:rsidRDefault="00EE6D95">
      <w:pPr>
        <w:pStyle w:val="Naslov7"/>
      </w:pPr>
      <w:r>
        <w:t>Cilj 2. Unaprijediti javni sektor</w:t>
      </w:r>
    </w:p>
    <w:p w:rsidR="00D849AA" w:rsidRDefault="00EE6D95">
      <w:pPr>
        <w:pStyle w:val="Normal6"/>
      </w:pPr>
      <w:r>
        <w:t xml:space="preserve">Analizom postojećeg sustava agencija, zavoda, fondova i drugih pravnih osoba s javnim ovlastima, uočene su različitosti u rješavanju pitanja osnivanja, naziva, ustrojstva, tijela </w:t>
      </w:r>
      <w:r>
        <w:lastRenderedPageBreak/>
        <w:t>upravljanja i vođenja poslova, javnosti rada, imovine i financiranja te nadzora nad zakonitošću rada i financijskog poslovanja. Navedene različitosti opterećuju strukturu cjelokupne javne uprave i time doprinose pojavi institucionalne, organizacijske i funkcionalne nepreglednosti. Većina postojećih agencija, zavoda, fondova i drugih pravnih osoba s javnim ovlastima nalazi se u kompromisnom statusu javnih ustanova s obzirom na to da ne postoji jedinstvena normativna osnova kojom bi se na jedinstven način uredio sustav agencija. Donošenjem zakona kojim bi se na sustavan i jednoobrazan način uredila navedena pitanja, regulirat će se značajan dio javne uprave u Republici Hrvatskoj i usmjeriti njezin razvoj prema modernom modelu javne uprave koji karakteriziraju visoki stupanj profesionalizacije, usmjerenost korisnicima i rezultatu, povećana samostalnost i odgovornost u radu, financijska racionalnost, smanjenje političkog utjecaja na operativni rad te povećanje transparentnosti, uz zadržavanje nužne kontrole zakonitosti rada i financijskog poslovanja.</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Donesen zakonski okvir kojim se na jedinstven način uređuje sustav  agencija</w:t>
            </w:r>
          </w:p>
        </w:tc>
        <w:tc>
          <w:tcPr>
            <w:tcW w:w="1114" w:type="dxa"/>
          </w:tcPr>
          <w:p w:rsidR="00D849AA" w:rsidRDefault="00EE6D95">
            <w:r>
              <w:t>broj</w:t>
            </w:r>
          </w:p>
        </w:tc>
        <w:tc>
          <w:tcPr>
            <w:tcW w:w="1114" w:type="dxa"/>
          </w:tcPr>
          <w:p w:rsidR="00D849AA" w:rsidRDefault="00EE6D95">
            <w:r>
              <w:t>0</w:t>
            </w:r>
          </w:p>
        </w:tc>
        <w:tc>
          <w:tcPr>
            <w:tcW w:w="1486" w:type="dxa"/>
          </w:tcPr>
          <w:p w:rsidR="00D849AA" w:rsidRDefault="00EE6D95">
            <w:r>
              <w:t>1</w:t>
            </w:r>
          </w:p>
        </w:tc>
        <w:tc>
          <w:tcPr>
            <w:tcW w:w="1486" w:type="dxa"/>
          </w:tcPr>
          <w:p w:rsidR="00D849AA" w:rsidRDefault="00EE6D95">
            <w:r>
              <w:t>/</w:t>
            </w:r>
          </w:p>
        </w:tc>
        <w:tc>
          <w:tcPr>
            <w:tcW w:w="1486" w:type="dxa"/>
          </w:tcPr>
          <w:p w:rsidR="00D849AA" w:rsidRDefault="00EE6D95">
            <w:r>
              <w:t>/</w:t>
            </w:r>
          </w:p>
        </w:tc>
      </w:tr>
      <w:tr w:rsidR="00D849AA">
        <w:trPr>
          <w:jc w:val="center"/>
        </w:trPr>
        <w:tc>
          <w:tcPr>
            <w:tcW w:w="2229" w:type="dxa"/>
          </w:tcPr>
          <w:p w:rsidR="00D849AA" w:rsidRDefault="00EE6D95">
            <w:pPr>
              <w:pStyle w:val="CellColumn"/>
            </w:pPr>
            <w:r>
              <w:t>Broj agencija, zavoda i drugih pravnih osoba s javnim ovlastima usklađenih s novim zakonskim uređenjem</w:t>
            </w:r>
          </w:p>
        </w:tc>
        <w:tc>
          <w:tcPr>
            <w:tcW w:w="1114" w:type="dxa"/>
          </w:tcPr>
          <w:p w:rsidR="00D849AA" w:rsidRDefault="00EE6D95">
            <w:r>
              <w:t>broj</w:t>
            </w:r>
          </w:p>
        </w:tc>
        <w:tc>
          <w:tcPr>
            <w:tcW w:w="1114" w:type="dxa"/>
          </w:tcPr>
          <w:p w:rsidR="00D849AA" w:rsidRDefault="00EE6D95">
            <w:r>
              <w:t>0</w:t>
            </w:r>
          </w:p>
        </w:tc>
        <w:tc>
          <w:tcPr>
            <w:tcW w:w="1486" w:type="dxa"/>
          </w:tcPr>
          <w:p w:rsidR="00D849AA" w:rsidRDefault="00EE6D95">
            <w:r>
              <w:t>1</w:t>
            </w:r>
          </w:p>
        </w:tc>
        <w:tc>
          <w:tcPr>
            <w:tcW w:w="1486" w:type="dxa"/>
          </w:tcPr>
          <w:p w:rsidR="00D849AA" w:rsidRDefault="00EE6D95">
            <w:r>
              <w:t>/</w:t>
            </w:r>
          </w:p>
        </w:tc>
        <w:tc>
          <w:tcPr>
            <w:tcW w:w="1486" w:type="dxa"/>
          </w:tcPr>
          <w:p w:rsidR="00D849AA" w:rsidRDefault="00EE6D95">
            <w:r>
              <w:t>/</w:t>
            </w:r>
          </w:p>
        </w:tc>
      </w:tr>
      <w:tr w:rsidR="00D849AA">
        <w:trPr>
          <w:jc w:val="center"/>
        </w:trPr>
        <w:tc>
          <w:tcPr>
            <w:tcW w:w="2229" w:type="dxa"/>
          </w:tcPr>
          <w:p w:rsidR="00D849AA" w:rsidRDefault="00EE6D95">
            <w:pPr>
              <w:pStyle w:val="CellColumn"/>
            </w:pPr>
            <w:r>
              <w:t>Izrađena godišnja analiza agencija, zavoda, fondova, centara i drugih pravnih osoba s javnim ovlastima</w:t>
            </w:r>
          </w:p>
        </w:tc>
        <w:tc>
          <w:tcPr>
            <w:tcW w:w="1114" w:type="dxa"/>
          </w:tcPr>
          <w:p w:rsidR="00D849AA" w:rsidRDefault="00EE6D95">
            <w:r>
              <w:t>broj</w:t>
            </w:r>
          </w:p>
        </w:tc>
        <w:tc>
          <w:tcPr>
            <w:tcW w:w="1114" w:type="dxa"/>
          </w:tcPr>
          <w:p w:rsidR="00D849AA" w:rsidRDefault="00EE6D95">
            <w:r>
              <w:t>0</w:t>
            </w:r>
          </w:p>
        </w:tc>
        <w:tc>
          <w:tcPr>
            <w:tcW w:w="1486" w:type="dxa"/>
          </w:tcPr>
          <w:p w:rsidR="00D849AA" w:rsidRDefault="00EE6D95">
            <w:r>
              <w:t>1</w:t>
            </w:r>
          </w:p>
        </w:tc>
        <w:tc>
          <w:tcPr>
            <w:tcW w:w="1486" w:type="dxa"/>
          </w:tcPr>
          <w:p w:rsidR="00D849AA" w:rsidRDefault="00EE6D95">
            <w:r>
              <w:t>/</w:t>
            </w:r>
          </w:p>
        </w:tc>
        <w:tc>
          <w:tcPr>
            <w:tcW w:w="1486" w:type="dxa"/>
          </w:tcPr>
          <w:p w:rsidR="00D849AA" w:rsidRDefault="00EE6D95">
            <w:r>
              <w:t>/</w:t>
            </w:r>
          </w:p>
        </w:tc>
      </w:tr>
      <w:tr w:rsidR="00D849AA">
        <w:trPr>
          <w:jc w:val="center"/>
        </w:trPr>
        <w:tc>
          <w:tcPr>
            <w:tcW w:w="2229" w:type="dxa"/>
          </w:tcPr>
          <w:p w:rsidR="00D849AA" w:rsidRDefault="00EE6D95">
            <w:pPr>
              <w:pStyle w:val="CellColumn"/>
            </w:pPr>
            <w:r>
              <w:t>Izrađene smjernice za  unaprjeđenje u sustavu agencija, zavoda, fondova, centara i drugih pravnih osoba s javnim ovlastima</w:t>
            </w:r>
          </w:p>
        </w:tc>
        <w:tc>
          <w:tcPr>
            <w:tcW w:w="1114" w:type="dxa"/>
          </w:tcPr>
          <w:p w:rsidR="00D849AA" w:rsidRDefault="00EE6D95">
            <w:r>
              <w:t>broj</w:t>
            </w:r>
          </w:p>
        </w:tc>
        <w:tc>
          <w:tcPr>
            <w:tcW w:w="1114" w:type="dxa"/>
          </w:tcPr>
          <w:p w:rsidR="00D849AA" w:rsidRDefault="00EE6D95">
            <w:r>
              <w:t>0</w:t>
            </w:r>
          </w:p>
        </w:tc>
        <w:tc>
          <w:tcPr>
            <w:tcW w:w="1486" w:type="dxa"/>
          </w:tcPr>
          <w:p w:rsidR="00D849AA" w:rsidRDefault="00EE6D95">
            <w:r>
              <w:t>1</w:t>
            </w:r>
          </w:p>
        </w:tc>
        <w:tc>
          <w:tcPr>
            <w:tcW w:w="1486" w:type="dxa"/>
          </w:tcPr>
          <w:p w:rsidR="00D849AA" w:rsidRDefault="00EE6D95">
            <w:r>
              <w:t>/</w:t>
            </w:r>
          </w:p>
        </w:tc>
        <w:tc>
          <w:tcPr>
            <w:tcW w:w="1486" w:type="dxa"/>
          </w:tcPr>
          <w:p w:rsidR="00D849AA" w:rsidRDefault="00EE6D95">
            <w:r>
              <w:t>/</w:t>
            </w:r>
          </w:p>
        </w:tc>
      </w:tr>
    </w:tbl>
    <w:p w:rsidR="00D849AA" w:rsidRDefault="00D849AA">
      <w:pPr>
        <w:jc w:val="left"/>
      </w:pPr>
    </w:p>
    <w:p w:rsidR="00D849AA" w:rsidRDefault="00EE6D95">
      <w:pPr>
        <w:pStyle w:val="Naslov7"/>
      </w:pPr>
      <w:r>
        <w:t>Cilj 3. Unaprijediti sustav lokalne i područne (regionalne) samouprave</w:t>
      </w:r>
    </w:p>
    <w:p w:rsidR="00D849AA" w:rsidRDefault="00EE6D95">
      <w:pPr>
        <w:pStyle w:val="Normal6"/>
      </w:pPr>
      <w:r>
        <w:t xml:space="preserve">Lokalna i područna (regionalna) samouprava ima važnu ulogu u upravljanju, organizaciji i izravnom pružanju javnih usluga građanima. U nastojanju izgradnje djelotvorne, učinkovite i ekonomične javne uprave potrebno je uspostaviti i djelotvoran sustav lokalne i područne (regionalne) samouprave. Jedinice lokalne i područne(regionalne) samouprave trebaju imati administrativne i financijske kapacitete za kvalitetno, učinkovito i samostalno planiranje, financiranje i pružanje usluga iz svojeg zakonom propisanog djelokruga kao i za preuzimanje novih poslova te obavljanje decentraliziranih poslova iz </w:t>
      </w:r>
      <w:r>
        <w:lastRenderedPageBreak/>
        <w:t xml:space="preserve">nadležnosti središnje državne uprave, a njihova tijela trebaju međusobno surađivati i obavljati poslove iz svoga djelokruga u interesu samih jedinica.  </w:t>
      </w:r>
    </w:p>
    <w:p w:rsidR="00D849AA" w:rsidRDefault="00EE6D95">
      <w:pPr>
        <w:pStyle w:val="Normal6"/>
      </w:pPr>
      <w:r>
        <w:t xml:space="preserve">Zakonodavni okvir sustava lokalne i područne (regionalne) samouprave doživio je značajniju transformaciju koncem 2012. godine kada su doneseni novi Zakon o lokalnim izborima („Narodne novine“, br. 144/12) te Zakon o izmjenama i dopunama Zakona o lokalnoj i područnoj (regionalnoj) samoupravi („Narodne novine“, br. 144/12). </w:t>
      </w:r>
    </w:p>
    <w:p w:rsidR="00D849AA" w:rsidRDefault="00EE6D95">
      <w:pPr>
        <w:pStyle w:val="Normal6"/>
      </w:pPr>
      <w:r>
        <w:t xml:space="preserve">Navedene promjene uslijedile su kao posljedica potrebe redefiniranja odnosa predstavničkog i izvršnog tijela kako bi se poboljšali uvjeti njihove međusobne suradnje, u cilju efikasnog obavljanja poslova iz djelokruga jedinica lokalne i područne (regionalne) samouprave, kao i otklanjanja problema nastalih uvođenjem sustava neposrednog izbora općinskog načelnika, gradonačelnika i župana 2007. godine. </w:t>
      </w:r>
    </w:p>
    <w:p w:rsidR="00D849AA" w:rsidRDefault="00EE6D95">
      <w:pPr>
        <w:pStyle w:val="Normal6"/>
      </w:pPr>
      <w:r>
        <w:t xml:space="preserve">Osim navedenog, izborni procesi za lokalne izbore koji su bili uređeni različitim zakonima (Zakonom o izboru članova predstavničkih tijela jedinica lokalne i područne (regionalne) samouprave i Zakonom o izborima općinskih načelnika, gradonačelnika, župana i gradonačelnika Grada Zagreba) sada su uređeni jedinstvenim zakonom, Zakonom o lokalnim izborima. Taj Zakon donesen je u cilju usklađivanja, odnosno ujednačavanja zakonske regulative u pitanjima koja su zajednička za lokalne izbore, te na kvalitetniji i primjereniji način uređivanja pojedinih pitanja koja su značajna za zakonitost i pravilnost provedbe izbora, kao i međusobne odnose tijela jedinica lokalne i područne (regionalne) samouprave. </w:t>
      </w:r>
    </w:p>
    <w:p w:rsidR="00D849AA" w:rsidRDefault="00EE6D95">
      <w:pPr>
        <w:pStyle w:val="Normal6"/>
      </w:pPr>
      <w:r>
        <w:t xml:space="preserve">Potrebno je provesti reformu lokalne samouprave čiji je temeljni cilj ostvarenje racionalnije, kvalitetnije i učinkovitije lokalne samouprave te poboljšanje dostupnosti, brzine, kvalitete i cijene usluga koje jedinice lokalne samouprave pružaju i osiguravaju građanima. Reformom sustava lokalne samouprave potrebno je ojačati administrativne i financijske kapacitete i autonomiju jedinica lokalne i područne (regionalne) samouprave, proširiti poslove iz njihovog samoupravnog djelokruga, ojačati samostalnost jedinica u planiranju, financiranju i pružanju usluga u skladu s načelom supsidijarnosti, stvoriti pretpostavke za delegaciju određenih poslova iz nadležnosti središnje državne uprave na razinu lokalne i područne (regionalne) samouprave, poboljšati suradnju i koordinaciju središnje državne uprave i lokalne i područne (regionalne) samouprave u planiranju i provedbi projekata lokalnog i regionalnog značaja, smanjiti ukupne administrativne troškove lokalne samouprave (smanjenje troškova izbora i funkcioniranja predstavničke i izvršne vlasti, uštede u materijalnim troškovima lokalne administracije, uštede u uslugama), osigurati racionalnije usmjeravanje sredstava potpora središnje države lokalnoj samoupravi te utjecati na jačanje lokalne demokracije i povećano sudjelovanje građana u odlučivanju. </w:t>
      </w:r>
    </w:p>
    <w:p w:rsidR="00D849AA" w:rsidRDefault="00EE6D95">
      <w:pPr>
        <w:pStyle w:val="Normal6"/>
      </w:pPr>
      <w:r>
        <w:t>Reforma obuhvaća tri ključne, jednako važne i međusobno povezane sastavnice: funkcionalnu decentralizaciju, odnosno prijenos ovlasti i nadležnosti sa središnje na niže razine vlasti, fiskalnu decentralizaciju, odnosno prijenos odgovarajućih sredstava za financiranje javnih ovlasti na jedinice lokalne i područne (regionalne) samouprave i teritorijalnu reorganizaciju, odnosno pronalaženje optimalnog teritorijalnog modela organizacije javnih službi. Tijek i sadržaj procesa reforme lokalne i područne (regionalne) samouprave određen je drugim procesima u sustavu javne uprave i širem okruženju, koji su blisko povezani i moraju biti usklađeni s reformom lokane samouprave, pri čemu posebno treba istaknuti reorganizaciju i racionalizaciju tijela središnje državne uprave, i prijenos dijela poslova koje ona obavljaju na razinu vlasti koja je najbliža građanima te decentralizaciju i regionalizaciju određenu drugim sektorskim strateškim dokumentima.</w:t>
      </w:r>
    </w:p>
    <w:p w:rsidR="00562CD8" w:rsidRDefault="00562CD8">
      <w:pPr>
        <w:pStyle w:val="Normal6"/>
      </w:pPr>
    </w:p>
    <w:p w:rsidR="00562CD8" w:rsidRDefault="00562CD8">
      <w:pPr>
        <w:pStyle w:val="Normal6"/>
      </w:pPr>
    </w:p>
    <w:p w:rsidR="00562CD8" w:rsidRDefault="00562CD8">
      <w:pPr>
        <w:pStyle w:val="Normal6"/>
      </w:pPr>
    </w:p>
    <w:p w:rsidR="00D849AA" w:rsidRDefault="00EE6D95">
      <w:pPr>
        <w:pStyle w:val="Naslov8"/>
        <w:jc w:val="left"/>
      </w:pPr>
      <w:r>
        <w:lastRenderedPageBreak/>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Izrađena analiza provedenih redovnih lokalnih izbora 2013. godine te odnosa između predstavničkog i izvršnog tijela</w:t>
            </w:r>
          </w:p>
        </w:tc>
        <w:tc>
          <w:tcPr>
            <w:tcW w:w="1114" w:type="dxa"/>
          </w:tcPr>
          <w:p w:rsidR="00D849AA" w:rsidRDefault="00EE6D95">
            <w:r>
              <w:t>broj</w:t>
            </w:r>
          </w:p>
        </w:tc>
        <w:tc>
          <w:tcPr>
            <w:tcW w:w="1114" w:type="dxa"/>
          </w:tcPr>
          <w:p w:rsidR="00D849AA" w:rsidRDefault="00EE6D95">
            <w:r>
              <w:t>0</w:t>
            </w:r>
          </w:p>
        </w:tc>
        <w:tc>
          <w:tcPr>
            <w:tcW w:w="1486" w:type="dxa"/>
          </w:tcPr>
          <w:p w:rsidR="00D849AA" w:rsidRDefault="00EE6D95">
            <w:r>
              <w:t>1</w:t>
            </w:r>
          </w:p>
        </w:tc>
        <w:tc>
          <w:tcPr>
            <w:tcW w:w="1486" w:type="dxa"/>
          </w:tcPr>
          <w:p w:rsidR="00D849AA" w:rsidRDefault="00EE6D95">
            <w:r>
              <w:t>/</w:t>
            </w:r>
          </w:p>
        </w:tc>
        <w:tc>
          <w:tcPr>
            <w:tcW w:w="1486" w:type="dxa"/>
          </w:tcPr>
          <w:p w:rsidR="00D849AA" w:rsidRDefault="00EE6D95">
            <w:r>
              <w:t>/</w:t>
            </w:r>
          </w:p>
        </w:tc>
      </w:tr>
      <w:tr w:rsidR="00D849AA">
        <w:trPr>
          <w:jc w:val="center"/>
        </w:trPr>
        <w:tc>
          <w:tcPr>
            <w:tcW w:w="2229" w:type="dxa"/>
          </w:tcPr>
          <w:p w:rsidR="00D849AA" w:rsidRDefault="00EE6D95">
            <w:pPr>
              <w:pStyle w:val="CellColumn"/>
            </w:pPr>
            <w:r>
              <w:t>Utvrđen model prijenosa poslova na jedinice lokalne i područne (regionalne) samouprave u skladu s načelom supsidijarnosti koji će osigurati da jedinice lokalne i područne (regionalne) samouprave budu sposobne za kvalitetno funkcioniranje</w:t>
            </w:r>
          </w:p>
        </w:tc>
        <w:tc>
          <w:tcPr>
            <w:tcW w:w="1114" w:type="dxa"/>
          </w:tcPr>
          <w:p w:rsidR="00D849AA" w:rsidRDefault="00EE6D95">
            <w:r>
              <w:t>broj</w:t>
            </w:r>
          </w:p>
        </w:tc>
        <w:tc>
          <w:tcPr>
            <w:tcW w:w="1114" w:type="dxa"/>
          </w:tcPr>
          <w:p w:rsidR="00D849AA" w:rsidRDefault="00EE6D95">
            <w:r>
              <w:t>0</w:t>
            </w:r>
          </w:p>
        </w:tc>
        <w:tc>
          <w:tcPr>
            <w:tcW w:w="1486" w:type="dxa"/>
          </w:tcPr>
          <w:p w:rsidR="00D849AA" w:rsidRDefault="00EE6D95">
            <w:r>
              <w:t>1</w:t>
            </w:r>
          </w:p>
        </w:tc>
        <w:tc>
          <w:tcPr>
            <w:tcW w:w="1486" w:type="dxa"/>
          </w:tcPr>
          <w:p w:rsidR="00D849AA" w:rsidRDefault="00EE6D95">
            <w:r>
              <w:t>/</w:t>
            </w:r>
          </w:p>
        </w:tc>
        <w:tc>
          <w:tcPr>
            <w:tcW w:w="1486" w:type="dxa"/>
          </w:tcPr>
          <w:p w:rsidR="00D849AA" w:rsidRDefault="00EE6D95">
            <w:r>
              <w:t>/</w:t>
            </w:r>
          </w:p>
        </w:tc>
      </w:tr>
      <w:tr w:rsidR="00D849AA">
        <w:trPr>
          <w:jc w:val="center"/>
        </w:trPr>
        <w:tc>
          <w:tcPr>
            <w:tcW w:w="2229" w:type="dxa"/>
          </w:tcPr>
          <w:p w:rsidR="00D849AA" w:rsidRDefault="00EE6D95">
            <w:pPr>
              <w:pStyle w:val="CellColumn"/>
            </w:pPr>
            <w:r>
              <w:t>Izrađena lista posebnih propisa koje je potrebno uskladiti s prijedlogom novog sustava lokalne samouprave</w:t>
            </w:r>
          </w:p>
        </w:tc>
        <w:tc>
          <w:tcPr>
            <w:tcW w:w="1114" w:type="dxa"/>
          </w:tcPr>
          <w:p w:rsidR="00D849AA" w:rsidRDefault="00EE6D95">
            <w:r>
              <w:t>broj</w:t>
            </w:r>
          </w:p>
        </w:tc>
        <w:tc>
          <w:tcPr>
            <w:tcW w:w="1114" w:type="dxa"/>
          </w:tcPr>
          <w:p w:rsidR="00D849AA" w:rsidRDefault="00EE6D95">
            <w:r>
              <w:t>0</w:t>
            </w:r>
          </w:p>
        </w:tc>
        <w:tc>
          <w:tcPr>
            <w:tcW w:w="1486" w:type="dxa"/>
          </w:tcPr>
          <w:p w:rsidR="00D849AA" w:rsidRDefault="00EE6D95">
            <w:r>
              <w:t>1</w:t>
            </w:r>
          </w:p>
        </w:tc>
        <w:tc>
          <w:tcPr>
            <w:tcW w:w="1486" w:type="dxa"/>
          </w:tcPr>
          <w:p w:rsidR="00D849AA" w:rsidRDefault="00EE6D95">
            <w:r>
              <w:t>/</w:t>
            </w:r>
          </w:p>
        </w:tc>
        <w:tc>
          <w:tcPr>
            <w:tcW w:w="1486" w:type="dxa"/>
          </w:tcPr>
          <w:p w:rsidR="00D849AA" w:rsidRDefault="00EE6D95">
            <w:r>
              <w:t>/</w:t>
            </w:r>
          </w:p>
        </w:tc>
      </w:tr>
    </w:tbl>
    <w:p w:rsidR="00D849AA" w:rsidRDefault="00D849AA">
      <w:pPr>
        <w:jc w:val="left"/>
      </w:pPr>
    </w:p>
    <w:p w:rsidR="00D849AA" w:rsidRDefault="00EE6D95">
      <w:pPr>
        <w:pStyle w:val="Naslov7"/>
      </w:pPr>
      <w:r>
        <w:t>Cilj 4. Unaprijediti izborni sustav</w:t>
      </w:r>
    </w:p>
    <w:p w:rsidR="00D849AA" w:rsidRDefault="00EE6D95">
      <w:pPr>
        <w:pStyle w:val="Normal6"/>
      </w:pPr>
      <w:r>
        <w:t xml:space="preserve">Programom Vlade 2011. – 2015. je utvrđeno kako je biračko pravo nacionalnih manjina i izbor predstavnika za Hrvatski sabor potrebno unaprijediti da bi se izbjegla izjašnjavanja i podjele na biračkim mjestima. Također je potrebno pronaći rješenje kojim se neće narušavati tajnost biračkog postupka i glasače pripadnike nacionalnih manjina diskriminirati u biračkom pravu u biračkom postupku. U tu svrhu će se promijeniti način glasovanja pripadnika nacionalnih manjina, uz zadržavanje neposrednoga biranja zastupnika nacionalnih manjina od strane pripadnika nacionalnih manjina i poštivanje njihovih Ustavom i Ustavnim zakonom zajamčenih prava, te prava temeljenih na međunarodnim sporazumima. </w:t>
      </w:r>
    </w:p>
    <w:p w:rsidR="00D849AA" w:rsidRDefault="00EE6D95">
      <w:pPr>
        <w:pStyle w:val="Normal6"/>
      </w:pPr>
      <w:r>
        <w:t xml:space="preserve">Osim toga, nužno je promijeniti sadašnje izborne jedinice. Zakonom o izborima zastupnika u Hrvatski državni sabor iz 1999. normirano je da se izborne jedinice određuju posebnim Zakonom o izbornim jedinicama za izbor zastupnika tako da se broj birača u izbornim jedinicama ne smije razlikovati više od +/– 5 %. Pri njihovom određivanju zakon nalaže da se mora, koliko je to najviše moguće, voditi računa o zakonom utvrđenim područjima županija, gradova i općina u Republici Hrvatskoj. Zakon o izbornim jedinicama za Zastupnički dom Hrvatskog državnog sabora donesen 29. listopada 1999. odredio je područja aktualnih deset velikih izbornih jedinica na teritoriju Republike </w:t>
      </w:r>
      <w:r>
        <w:lastRenderedPageBreak/>
        <w:t xml:space="preserve">Hrvatske u kojima se bira po četrnaest zastupnika, jednu izbornu jedinicu za hrvatske državljane koji imaju prebivalište izvan Republike Hrvatske u kojoj se metodom fiksne kvote bira tri zastupnika što je utvrđeno u Ustavu Republike Hrvatske u zadnjim ustavnim promjenama 2010, te jednu izbornu jedinicu koju čini cjelokupno područje Republike Hrvatske za pripadnike nacionalnih manjina u kojoj se od 2003. bira osam zastupnika. </w:t>
      </w:r>
    </w:p>
    <w:p w:rsidR="00D849AA" w:rsidRDefault="00EE6D95">
      <w:pPr>
        <w:pStyle w:val="Normal6"/>
      </w:pPr>
      <w:r>
        <w:t xml:space="preserve">Izborne jedinice su određene još 1999., a one po naravi podliježu protekom vremena promjenama na što je upozorio i Ustavni sud koji je na sjednici održanoj 8. prosinca 2010. utvrdio Izvješće Hrvatskom saboru o nejednakoj težini glasa u izbornim jedinicama i radi kršenja zakonskog odstupanja +/– 5 % u broju birača između izbornih jedinica. Ustavni sud smatra da bi odstupanja u broju birača između izbornih jedinica mogla postati neprihvatljiva s ustavnopravnog aspekta. Iz to razloga je nužna promjena zakona kojim se uređuju izborne jedinice kako bi se postigla jednaka težina biračkog glasa u svakoj izbornoj jedinici vodeći računa da se te granice što je više moguće podudaraju s administrativnim granicama upravno-teritorijalnih jedinica. </w:t>
      </w:r>
    </w:p>
    <w:p w:rsidR="00D849AA" w:rsidRDefault="00EE6D95">
      <w:pPr>
        <w:pStyle w:val="Normal6"/>
      </w:pPr>
      <w:r>
        <w:t>Nadalje, potrebno je na cjelovit način urediti postupak izbora vijeća i predstavnika manjina. Postupak izbora članova vijeća nacionalnih manjina i predstavnika nacionalnih manjina koji se biraju u jedinicama sukladno odredbama Ustavnog zakona o pravima nacionalnih manjina je uređen Zakonom o izboru članova predstavničkih tijela jedinica lokalne i područne (regionalne) samouprave (Narodne novine, br. 33/01., 10/02., 155/02., 45/03., 43/04., 40/05., 44/05., 109/07. i 24/11.) koji je stupanjem na snagu Zakona o lokalnim izborima (Narodne novine, br. 144/12), ostao na snazi samo u dijelu odgovarajuće primjene na izbore za članove vijeća nacionalnih manjina i predstavnike nacionalnih manjina. Zakonom o lokalnim izborima je propisano kako će se izbor vijeća i predstavnika nacionalnih manjina urediti posebnim zakonom čime bi se izbjeglo miješanje zakonskog uređenja  lokalnih izbora sa izborima za vijeća i predstavnike nacionalnih manjina i neadekvatna analogna primjena.</w:t>
      </w:r>
    </w:p>
    <w:p w:rsidR="00D849AA" w:rsidRDefault="00EE6D95">
      <w:pPr>
        <w:pStyle w:val="Naslov7"/>
      </w:pPr>
      <w:r>
        <w:t>Cilj 5. Unaprijediti sustav upravljanja ljudskim potencijalima</w:t>
      </w:r>
    </w:p>
    <w:p w:rsidR="00D849AA" w:rsidRDefault="00EE6D95">
      <w:pPr>
        <w:pStyle w:val="Normal6"/>
      </w:pPr>
      <w:r>
        <w:t>U svrhu efikasnog ostvarenja svih ciljeva i zadataka državnih tijela potrebno je planirati ljudske potencijale u državnoj upravi na odgovarajući način te im pružiti mogućnost profesionalnog razvoja koristeći sve moderne alate upravljanja ljudskim potencijalima.</w:t>
      </w:r>
    </w:p>
    <w:p w:rsidR="00D849AA" w:rsidRDefault="00EE6D95">
      <w:pPr>
        <w:pStyle w:val="Naslov7"/>
      </w:pPr>
      <w:r>
        <w:t>Cilj 6. Unaprjeđenje kvalitete i učinkovitosti izobrazbe</w:t>
      </w:r>
    </w:p>
    <w:p w:rsidR="00D849AA" w:rsidRDefault="00EE6D95">
      <w:pPr>
        <w:pStyle w:val="Normal6"/>
      </w:pPr>
      <w:r>
        <w:t>Javna uprava dodatno će se unaprijediti kroz razvoj i provedbu programa izobrazbe u skladu s procjenom potreba za izobrazbom sukladno izrađenom kompetencijskom okviru, što će omogućiti sustavno planiranje i provedbu politike izobrazbe javnih službenika razvojem i prilagođavanjem različitih programa izobrazbe koji će pridonijeti razvoju potrebnih generičkih i specifičnih kompetencija neophodnih za stručno obavljanje poslova javne uprave.</w:t>
      </w:r>
    </w:p>
    <w:p w:rsidR="00D849AA" w:rsidRDefault="00EE6D95">
      <w:pPr>
        <w:pStyle w:val="Naslov7"/>
      </w:pPr>
      <w:r>
        <w:t>Cilj 7. Unaprijediti etičke standarde u državnoj službi</w:t>
      </w:r>
    </w:p>
    <w:p w:rsidR="00D849AA" w:rsidRDefault="00EE6D95">
      <w:pPr>
        <w:pStyle w:val="Normal6"/>
      </w:pPr>
      <w:r>
        <w:t>S ciljem stvaranja moderne javne uprave - uprave koja će osigurati pružanje brzih i pouzdanih javnih usluga građanima i drugim strankama, u skladu s najboljom praksom zemalja Europske unije, neophodno je unaprijediti etičke standarde u državnoj službi, što se može postići razvojem integriteta državnih službenika te širenjem svijesti o štetnosti korupcije. U tom smislu odnosno u smislu unaprjeđenja stručnosti i kvalitete u pružanju upravnih usluga, Ministarstvo uprave će u rješavanju pitanja koja se odnose na primjenu etičkih načela u javnoj upravi, u odnosu na osobno ponašanje službenika, mogući sukob interesa, primanje darova i moguće koruptivno i drugo neetičko ponašanje službenika, poduzeti niz aktivnosti kako bi se etički sustav vrijednosti u državnoj službi na svim razinama u Republici Hrvatskoj podigao na najvišu razinu i postigao standarde u zemljama Europske unije.</w:t>
      </w:r>
    </w:p>
    <w:p w:rsidR="00D849AA" w:rsidRDefault="00EE6D95">
      <w:pPr>
        <w:pStyle w:val="Naslov7"/>
      </w:pPr>
      <w:r>
        <w:lastRenderedPageBreak/>
        <w:t>Cilj 8. Učinkovito korištenje instrumenata kohezijske politike i programa EU</w:t>
      </w:r>
    </w:p>
    <w:p w:rsidR="00D849AA" w:rsidRDefault="00EE6D95">
      <w:pPr>
        <w:pStyle w:val="Normal6"/>
      </w:pPr>
      <w:r>
        <w:t xml:space="preserve">Provedba ovog cilja usmjerena je prema učinkovitoj pripremi i aktivnom sudjelovanju Republike Hrvatske u EU kohezijskoj politici kroz njezine instrumente (Europski fond za regionalni razvoj, Europski socijalni fond odnosno Kohezijski fond) te sudjelovanje u ostvarivanju Digitalne agende za Europu kroz programe EU. </w:t>
      </w:r>
    </w:p>
    <w:p w:rsidR="00D849AA" w:rsidRDefault="00EE6D95">
      <w:pPr>
        <w:pStyle w:val="Normal6"/>
      </w:pPr>
      <w:r>
        <w:t>Uspješno korištenje instrumenta kohezijske politike EU te Programa EU doprinijet će učinkovitosti, transparentnosti i odgovornosti javne uprave kroz interoperabilnost sustava u tijelima državne uprave (osuvremenjivanja i reinženjeringa radnih procesa) ispunjavanju cilja unapređenja u pružanju upravnih usluga, uspješno komuniciranje korisnika u sustavu elektroničke uprave te jačanju upravnih kapaciteta državne uprave.</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305"/>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Broj pripremljenih dokumenata vezanih uz instrumenta EU kohezijske politike</w:t>
            </w:r>
          </w:p>
        </w:tc>
        <w:tc>
          <w:tcPr>
            <w:tcW w:w="1114" w:type="dxa"/>
          </w:tcPr>
          <w:p w:rsidR="00D849AA" w:rsidRDefault="00EE6D95">
            <w:r>
              <w:t>broj prihvaćenih dokumenata od strane EK godišnj</w:t>
            </w:r>
          </w:p>
        </w:tc>
        <w:tc>
          <w:tcPr>
            <w:tcW w:w="1114" w:type="dxa"/>
          </w:tcPr>
          <w:p w:rsidR="00D849AA" w:rsidRDefault="00EE6D95">
            <w:r>
              <w:t>0</w:t>
            </w:r>
          </w:p>
        </w:tc>
        <w:tc>
          <w:tcPr>
            <w:tcW w:w="1486" w:type="dxa"/>
          </w:tcPr>
          <w:p w:rsidR="00D849AA" w:rsidRDefault="00EE6D95">
            <w:r>
              <w:t>2</w:t>
            </w:r>
          </w:p>
        </w:tc>
        <w:tc>
          <w:tcPr>
            <w:tcW w:w="1486" w:type="dxa"/>
          </w:tcPr>
          <w:p w:rsidR="00D849AA" w:rsidRDefault="00EE6D95">
            <w:r>
              <w:t>2</w:t>
            </w:r>
          </w:p>
        </w:tc>
        <w:tc>
          <w:tcPr>
            <w:tcW w:w="1486" w:type="dxa"/>
          </w:tcPr>
          <w:p w:rsidR="00D849AA" w:rsidRDefault="00EE6D95">
            <w:r>
              <w:t>/</w:t>
            </w:r>
          </w:p>
        </w:tc>
      </w:tr>
      <w:tr w:rsidR="00D849AA">
        <w:trPr>
          <w:jc w:val="center"/>
        </w:trPr>
        <w:tc>
          <w:tcPr>
            <w:tcW w:w="2229" w:type="dxa"/>
          </w:tcPr>
          <w:p w:rsidR="00D849AA" w:rsidRDefault="00EE6D95">
            <w:pPr>
              <w:pStyle w:val="CellColumn"/>
            </w:pPr>
            <w:r>
              <w:t>Broj pripremljenih projektnih prijedloga</w:t>
            </w:r>
          </w:p>
        </w:tc>
        <w:tc>
          <w:tcPr>
            <w:tcW w:w="1114" w:type="dxa"/>
          </w:tcPr>
          <w:p w:rsidR="00D849AA" w:rsidRDefault="00EE6D95">
            <w:r>
              <w:t>broj pripremljenih projektnih prijedloga godišnje</w:t>
            </w:r>
          </w:p>
        </w:tc>
        <w:tc>
          <w:tcPr>
            <w:tcW w:w="1114" w:type="dxa"/>
          </w:tcPr>
          <w:p w:rsidR="00D849AA" w:rsidRDefault="00EE6D95">
            <w:r>
              <w:t>0</w:t>
            </w:r>
          </w:p>
        </w:tc>
        <w:tc>
          <w:tcPr>
            <w:tcW w:w="1486" w:type="dxa"/>
          </w:tcPr>
          <w:p w:rsidR="00D849AA" w:rsidRDefault="00EE6D95">
            <w:r>
              <w:t>7</w:t>
            </w:r>
          </w:p>
        </w:tc>
        <w:tc>
          <w:tcPr>
            <w:tcW w:w="1486" w:type="dxa"/>
          </w:tcPr>
          <w:p w:rsidR="00D849AA" w:rsidRDefault="00EE6D95">
            <w:r>
              <w:t>9</w:t>
            </w:r>
          </w:p>
        </w:tc>
        <w:tc>
          <w:tcPr>
            <w:tcW w:w="1486" w:type="dxa"/>
          </w:tcPr>
          <w:p w:rsidR="00D849AA" w:rsidRDefault="00EE6D95">
            <w:r>
              <w:t>12</w:t>
            </w:r>
          </w:p>
        </w:tc>
      </w:tr>
      <w:tr w:rsidR="00D849AA">
        <w:trPr>
          <w:jc w:val="center"/>
        </w:trPr>
        <w:tc>
          <w:tcPr>
            <w:tcW w:w="2229" w:type="dxa"/>
          </w:tcPr>
          <w:p w:rsidR="00D849AA" w:rsidRDefault="00EE6D95">
            <w:pPr>
              <w:pStyle w:val="CellColumn"/>
            </w:pPr>
            <w:r>
              <w:t>Broj provednih aktivnosti vidljivosti i informiranja o Programima EU iz nadležnosti MU</w:t>
            </w:r>
          </w:p>
        </w:tc>
        <w:tc>
          <w:tcPr>
            <w:tcW w:w="1114" w:type="dxa"/>
          </w:tcPr>
          <w:p w:rsidR="00D849AA" w:rsidRDefault="00EE6D95">
            <w:r>
              <w:t>broj promotivnih aktivnosti godišnje</w:t>
            </w:r>
          </w:p>
        </w:tc>
        <w:tc>
          <w:tcPr>
            <w:tcW w:w="1114" w:type="dxa"/>
          </w:tcPr>
          <w:p w:rsidR="00D849AA" w:rsidRDefault="00EE6D95">
            <w:r>
              <w:t>0</w:t>
            </w:r>
          </w:p>
        </w:tc>
        <w:tc>
          <w:tcPr>
            <w:tcW w:w="1486" w:type="dxa"/>
          </w:tcPr>
          <w:p w:rsidR="00D849AA" w:rsidRDefault="00EE6D95">
            <w:r>
              <w:t>2</w:t>
            </w:r>
          </w:p>
        </w:tc>
        <w:tc>
          <w:tcPr>
            <w:tcW w:w="1486" w:type="dxa"/>
          </w:tcPr>
          <w:p w:rsidR="00D849AA" w:rsidRDefault="00EE6D95">
            <w:r>
              <w:t>2</w:t>
            </w:r>
          </w:p>
        </w:tc>
        <w:tc>
          <w:tcPr>
            <w:tcW w:w="1486" w:type="dxa"/>
          </w:tcPr>
          <w:p w:rsidR="00D849AA" w:rsidRDefault="00EE6D95">
            <w:r>
              <w:t>2</w:t>
            </w:r>
          </w:p>
        </w:tc>
      </w:tr>
      <w:tr w:rsidR="00D849AA">
        <w:trPr>
          <w:jc w:val="center"/>
        </w:trPr>
        <w:tc>
          <w:tcPr>
            <w:tcW w:w="2229" w:type="dxa"/>
          </w:tcPr>
          <w:p w:rsidR="00D849AA" w:rsidRDefault="00EE6D95">
            <w:pPr>
              <w:pStyle w:val="CellColumn"/>
            </w:pPr>
            <w:r>
              <w:t>broj radnih skupina u programima EU (ISA, CEF...) u kojima sudjeluje MU (RH)</w:t>
            </w:r>
          </w:p>
        </w:tc>
        <w:tc>
          <w:tcPr>
            <w:tcW w:w="1114" w:type="dxa"/>
          </w:tcPr>
          <w:p w:rsidR="00D849AA" w:rsidRDefault="00EE6D95">
            <w:r>
              <w:t>broj radnih skupina</w:t>
            </w:r>
          </w:p>
        </w:tc>
        <w:tc>
          <w:tcPr>
            <w:tcW w:w="1114" w:type="dxa"/>
          </w:tcPr>
          <w:p w:rsidR="00D849AA" w:rsidRDefault="00EE6D95">
            <w:r>
              <w:t>9</w:t>
            </w:r>
          </w:p>
        </w:tc>
        <w:tc>
          <w:tcPr>
            <w:tcW w:w="1486" w:type="dxa"/>
          </w:tcPr>
          <w:p w:rsidR="00D849AA" w:rsidRDefault="00EE6D95">
            <w:r>
              <w:t>10</w:t>
            </w:r>
          </w:p>
        </w:tc>
        <w:tc>
          <w:tcPr>
            <w:tcW w:w="1486" w:type="dxa"/>
          </w:tcPr>
          <w:p w:rsidR="00D849AA" w:rsidRDefault="00EE6D95">
            <w:r>
              <w:t>10</w:t>
            </w:r>
          </w:p>
        </w:tc>
        <w:tc>
          <w:tcPr>
            <w:tcW w:w="1486" w:type="dxa"/>
          </w:tcPr>
          <w:p w:rsidR="00D849AA" w:rsidRDefault="00EE6D95">
            <w:r>
              <w:t>10</w:t>
            </w:r>
          </w:p>
        </w:tc>
      </w:tr>
      <w:tr w:rsidR="00D849AA">
        <w:trPr>
          <w:jc w:val="center"/>
        </w:trPr>
        <w:tc>
          <w:tcPr>
            <w:tcW w:w="2229" w:type="dxa"/>
          </w:tcPr>
          <w:p w:rsidR="00D849AA" w:rsidRDefault="00EE6D95">
            <w:pPr>
              <w:pStyle w:val="CellColumn"/>
            </w:pPr>
            <w:r>
              <w:t>Broj pripremljenih projektnih dokumentacija iz IPA programa</w:t>
            </w:r>
          </w:p>
        </w:tc>
        <w:tc>
          <w:tcPr>
            <w:tcW w:w="1114" w:type="dxa"/>
          </w:tcPr>
          <w:p w:rsidR="00D849AA" w:rsidRDefault="00EE6D95">
            <w:r>
              <w:t>odnos planiranih i pripremljenih i projekata</w:t>
            </w:r>
          </w:p>
        </w:tc>
        <w:tc>
          <w:tcPr>
            <w:tcW w:w="1114" w:type="dxa"/>
          </w:tcPr>
          <w:p w:rsidR="00D849AA" w:rsidRDefault="00EE6D95">
            <w:r>
              <w:t>0%</w:t>
            </w:r>
          </w:p>
        </w:tc>
        <w:tc>
          <w:tcPr>
            <w:tcW w:w="1486" w:type="dxa"/>
          </w:tcPr>
          <w:p w:rsidR="00D849AA" w:rsidRDefault="00EE6D95">
            <w:r>
              <w:t>100%</w:t>
            </w:r>
          </w:p>
        </w:tc>
        <w:tc>
          <w:tcPr>
            <w:tcW w:w="1486" w:type="dxa"/>
          </w:tcPr>
          <w:p w:rsidR="00D849AA" w:rsidRDefault="00EE6D95">
            <w:r>
              <w:t>100%</w:t>
            </w:r>
          </w:p>
        </w:tc>
        <w:tc>
          <w:tcPr>
            <w:tcW w:w="1486" w:type="dxa"/>
          </w:tcPr>
          <w:p w:rsidR="00D849AA" w:rsidRDefault="00EE6D95">
            <w:r>
              <w:t>/</w:t>
            </w:r>
          </w:p>
        </w:tc>
      </w:tr>
      <w:tr w:rsidR="00D849AA">
        <w:trPr>
          <w:jc w:val="center"/>
        </w:trPr>
        <w:tc>
          <w:tcPr>
            <w:tcW w:w="2229" w:type="dxa"/>
          </w:tcPr>
          <w:p w:rsidR="00D849AA" w:rsidRDefault="00EE6D95">
            <w:pPr>
              <w:pStyle w:val="CellColumn"/>
            </w:pPr>
            <w:r>
              <w:t>Broj pripremljenih projekata za korištenje tzv. Transition facility programme</w:t>
            </w:r>
          </w:p>
        </w:tc>
        <w:tc>
          <w:tcPr>
            <w:tcW w:w="1114" w:type="dxa"/>
          </w:tcPr>
          <w:p w:rsidR="00D849AA" w:rsidRDefault="00EE6D95">
            <w:r>
              <w:t>odnos planiranih i pripremljenih i projekata</w:t>
            </w:r>
          </w:p>
        </w:tc>
        <w:tc>
          <w:tcPr>
            <w:tcW w:w="1114" w:type="dxa"/>
          </w:tcPr>
          <w:p w:rsidR="00D849AA" w:rsidRDefault="00EE6D95">
            <w:r>
              <w:t>0%</w:t>
            </w:r>
          </w:p>
        </w:tc>
        <w:tc>
          <w:tcPr>
            <w:tcW w:w="1486" w:type="dxa"/>
          </w:tcPr>
          <w:p w:rsidR="00D849AA" w:rsidRDefault="00EE6D95">
            <w:r>
              <w:t>100%</w:t>
            </w:r>
          </w:p>
        </w:tc>
        <w:tc>
          <w:tcPr>
            <w:tcW w:w="1486" w:type="dxa"/>
          </w:tcPr>
          <w:p w:rsidR="00D849AA" w:rsidRDefault="00EE6D95">
            <w:r>
              <w:t>100%</w:t>
            </w:r>
          </w:p>
        </w:tc>
        <w:tc>
          <w:tcPr>
            <w:tcW w:w="1486" w:type="dxa"/>
          </w:tcPr>
          <w:p w:rsidR="00D849AA" w:rsidRDefault="00EE6D95">
            <w:r>
              <w:t>/</w:t>
            </w:r>
          </w:p>
        </w:tc>
      </w:tr>
      <w:tr w:rsidR="00D849AA">
        <w:trPr>
          <w:jc w:val="center"/>
        </w:trPr>
        <w:tc>
          <w:tcPr>
            <w:tcW w:w="2229" w:type="dxa"/>
          </w:tcPr>
          <w:p w:rsidR="00D849AA" w:rsidRDefault="00EE6D95">
            <w:pPr>
              <w:pStyle w:val="CellColumn"/>
            </w:pPr>
            <w:r>
              <w:t>Broj pripremljenih dokumenata (outputa) vezanih uz IPA projekte</w:t>
            </w:r>
          </w:p>
        </w:tc>
        <w:tc>
          <w:tcPr>
            <w:tcW w:w="1114" w:type="dxa"/>
          </w:tcPr>
          <w:p w:rsidR="00D849AA" w:rsidRDefault="00EE6D95">
            <w:r>
              <w:t>odnos provedenih i planiranih outputa</w:t>
            </w:r>
          </w:p>
        </w:tc>
        <w:tc>
          <w:tcPr>
            <w:tcW w:w="1114" w:type="dxa"/>
          </w:tcPr>
          <w:p w:rsidR="00D849AA" w:rsidRDefault="00EE6D95">
            <w:r>
              <w:t>0%</w:t>
            </w:r>
          </w:p>
        </w:tc>
        <w:tc>
          <w:tcPr>
            <w:tcW w:w="1486" w:type="dxa"/>
          </w:tcPr>
          <w:p w:rsidR="00D849AA" w:rsidRDefault="00EE6D95">
            <w:r>
              <w:t>100%</w:t>
            </w:r>
          </w:p>
        </w:tc>
        <w:tc>
          <w:tcPr>
            <w:tcW w:w="1486" w:type="dxa"/>
          </w:tcPr>
          <w:p w:rsidR="00D849AA" w:rsidRDefault="00EE6D95">
            <w:r>
              <w:t>100%</w:t>
            </w:r>
          </w:p>
        </w:tc>
        <w:tc>
          <w:tcPr>
            <w:tcW w:w="1486" w:type="dxa"/>
          </w:tcPr>
          <w:p w:rsidR="00D849AA" w:rsidRDefault="00EE6D95">
            <w:r>
              <w:t>100%</w:t>
            </w:r>
          </w:p>
        </w:tc>
      </w:tr>
      <w:tr w:rsidR="00D849AA">
        <w:trPr>
          <w:jc w:val="center"/>
        </w:trPr>
        <w:tc>
          <w:tcPr>
            <w:tcW w:w="2229" w:type="dxa"/>
          </w:tcPr>
          <w:p w:rsidR="00D849AA" w:rsidRDefault="00EE6D95">
            <w:pPr>
              <w:pStyle w:val="CellColumn"/>
            </w:pPr>
            <w:r>
              <w:t xml:space="preserve">Broj pripremljenih </w:t>
            </w:r>
            <w:r>
              <w:lastRenderedPageBreak/>
              <w:t>dokumenata (outputa) vezanih uz Transition Facility projekte</w:t>
            </w:r>
          </w:p>
        </w:tc>
        <w:tc>
          <w:tcPr>
            <w:tcW w:w="1114" w:type="dxa"/>
          </w:tcPr>
          <w:p w:rsidR="00D849AA" w:rsidRDefault="00EE6D95">
            <w:r>
              <w:lastRenderedPageBreak/>
              <w:t xml:space="preserve">odnos </w:t>
            </w:r>
            <w:r>
              <w:lastRenderedPageBreak/>
              <w:t>provedenih i planiranih outputa</w:t>
            </w:r>
          </w:p>
        </w:tc>
        <w:tc>
          <w:tcPr>
            <w:tcW w:w="1114" w:type="dxa"/>
          </w:tcPr>
          <w:p w:rsidR="00D849AA" w:rsidRDefault="00EE6D95">
            <w:r>
              <w:lastRenderedPageBreak/>
              <w:t>0%</w:t>
            </w:r>
          </w:p>
        </w:tc>
        <w:tc>
          <w:tcPr>
            <w:tcW w:w="1486" w:type="dxa"/>
          </w:tcPr>
          <w:p w:rsidR="00D849AA" w:rsidRDefault="00EE6D95">
            <w:r>
              <w:t>100%</w:t>
            </w:r>
          </w:p>
        </w:tc>
        <w:tc>
          <w:tcPr>
            <w:tcW w:w="1486" w:type="dxa"/>
          </w:tcPr>
          <w:p w:rsidR="00D849AA" w:rsidRDefault="00EE6D95">
            <w:r>
              <w:t>100%</w:t>
            </w:r>
          </w:p>
        </w:tc>
        <w:tc>
          <w:tcPr>
            <w:tcW w:w="1486" w:type="dxa"/>
          </w:tcPr>
          <w:p w:rsidR="00D849AA" w:rsidRDefault="00EE6D95">
            <w:r>
              <w:t>100%</w:t>
            </w:r>
          </w:p>
        </w:tc>
      </w:tr>
    </w:tbl>
    <w:p w:rsidR="00D849AA" w:rsidRDefault="00D849AA">
      <w:pPr>
        <w:jc w:val="left"/>
      </w:pPr>
    </w:p>
    <w:p w:rsidR="00D849AA" w:rsidRDefault="00EE6D95">
      <w:pPr>
        <w:pStyle w:val="Naslov5"/>
      </w:pPr>
      <w:r>
        <w:t>Procjena i ishodište potrebnih sredstava za značajnije aktivnosti/projekte</w:t>
      </w:r>
    </w:p>
    <w:p w:rsidR="00D849AA" w:rsidRDefault="00EE6D95">
      <w:pPr>
        <w:pStyle w:val="Naslov6"/>
      </w:pPr>
      <w:r>
        <w:t>A830002 STRUČNO OSPOSOBLJAVANJE DRŽAVNIH SLUŽBENIKA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A830002</w:t>
            </w:r>
          </w:p>
        </w:tc>
        <w:tc>
          <w:tcPr>
            <w:tcW w:w="1486" w:type="dxa"/>
          </w:tcPr>
          <w:p w:rsidR="00D849AA" w:rsidRDefault="00EE6D95">
            <w:r>
              <w:t>1.900.000</w:t>
            </w:r>
          </w:p>
        </w:tc>
        <w:tc>
          <w:tcPr>
            <w:tcW w:w="1486" w:type="dxa"/>
          </w:tcPr>
          <w:p w:rsidR="00D849AA" w:rsidRDefault="00EE6D95">
            <w:r>
              <w:t>1.943.700</w:t>
            </w:r>
          </w:p>
        </w:tc>
        <w:tc>
          <w:tcPr>
            <w:tcW w:w="1486" w:type="dxa"/>
          </w:tcPr>
          <w:p w:rsidR="00D849AA" w:rsidRDefault="00EE6D95">
            <w:r>
              <w:t>2.091.421</w:t>
            </w:r>
          </w:p>
        </w:tc>
        <w:tc>
          <w:tcPr>
            <w:tcW w:w="1486" w:type="dxa"/>
          </w:tcPr>
          <w:p w:rsidR="00D849AA" w:rsidRDefault="00EE6D95">
            <w:r>
              <w:t>2.143.706</w:t>
            </w:r>
          </w:p>
        </w:tc>
        <w:tc>
          <w:tcPr>
            <w:tcW w:w="1486" w:type="dxa"/>
          </w:tcPr>
          <w:p w:rsidR="00D849AA" w:rsidRDefault="00EE6D95">
            <w:r>
              <w:t>102,3</w:t>
            </w:r>
          </w:p>
        </w:tc>
      </w:tr>
    </w:tbl>
    <w:p w:rsidR="00D849AA" w:rsidRDefault="00D849AA">
      <w:pPr>
        <w:jc w:val="left"/>
      </w:pPr>
    </w:p>
    <w:p w:rsidR="00D849AA" w:rsidRDefault="00EE6D95">
      <w:pPr>
        <w:pStyle w:val="Normal6"/>
      </w:pPr>
      <w:r>
        <w:t>Radi potrebe trajnog stručnog osposobljavanja i usavršavanja državnih službenika Ministarstvo uprave provodi edukaciju vezano za stručne ispite.</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Razvoj standardne metodologije sadržaja, načina i postupka polaganja licenciranih ispita</w:t>
            </w:r>
          </w:p>
        </w:tc>
        <w:tc>
          <w:tcPr>
            <w:tcW w:w="1114" w:type="dxa"/>
          </w:tcPr>
          <w:p w:rsidR="00D849AA" w:rsidRDefault="00EE6D95">
            <w:r>
              <w:t>broj</w:t>
            </w:r>
          </w:p>
        </w:tc>
        <w:tc>
          <w:tcPr>
            <w:tcW w:w="1114" w:type="dxa"/>
          </w:tcPr>
          <w:p w:rsidR="00D849AA" w:rsidRDefault="00EE6D95">
            <w:r>
              <w:t>0</w:t>
            </w:r>
          </w:p>
        </w:tc>
        <w:tc>
          <w:tcPr>
            <w:tcW w:w="1486" w:type="dxa"/>
          </w:tcPr>
          <w:p w:rsidR="00D849AA" w:rsidRDefault="00EE6D95">
            <w:r>
              <w:t>1</w:t>
            </w:r>
          </w:p>
        </w:tc>
        <w:tc>
          <w:tcPr>
            <w:tcW w:w="1486" w:type="dxa"/>
          </w:tcPr>
          <w:p w:rsidR="00D849AA" w:rsidRDefault="00EE6D95">
            <w:r>
              <w:t>1</w:t>
            </w:r>
          </w:p>
        </w:tc>
        <w:tc>
          <w:tcPr>
            <w:tcW w:w="1486" w:type="dxa"/>
          </w:tcPr>
          <w:p w:rsidR="00D849AA" w:rsidRDefault="00EE6D95">
            <w:r>
              <w:t>1</w:t>
            </w:r>
          </w:p>
        </w:tc>
      </w:tr>
      <w:tr w:rsidR="00D849AA">
        <w:trPr>
          <w:jc w:val="center"/>
        </w:trPr>
        <w:tc>
          <w:tcPr>
            <w:tcW w:w="2229" w:type="dxa"/>
          </w:tcPr>
          <w:p w:rsidR="00D849AA" w:rsidRDefault="00EE6D95">
            <w:pPr>
              <w:pStyle w:val="CellColumn"/>
            </w:pPr>
            <w:r>
              <w:t>Doneseni provedbeni propisi kojima se uređuje postupak, način i uvjeti za polaganje licenciranih ispita</w:t>
            </w:r>
          </w:p>
        </w:tc>
        <w:tc>
          <w:tcPr>
            <w:tcW w:w="1114" w:type="dxa"/>
          </w:tcPr>
          <w:p w:rsidR="00D849AA" w:rsidRDefault="00EE6D95">
            <w:r>
              <w:t>broj</w:t>
            </w:r>
          </w:p>
        </w:tc>
        <w:tc>
          <w:tcPr>
            <w:tcW w:w="1114" w:type="dxa"/>
          </w:tcPr>
          <w:p w:rsidR="00D849AA" w:rsidRDefault="00EE6D95">
            <w:r>
              <w:t>0</w:t>
            </w:r>
          </w:p>
        </w:tc>
        <w:tc>
          <w:tcPr>
            <w:tcW w:w="1486" w:type="dxa"/>
          </w:tcPr>
          <w:p w:rsidR="00D849AA" w:rsidRDefault="00EE6D95">
            <w:r>
              <w:t>1</w:t>
            </w:r>
          </w:p>
        </w:tc>
        <w:tc>
          <w:tcPr>
            <w:tcW w:w="1486" w:type="dxa"/>
          </w:tcPr>
          <w:p w:rsidR="00D849AA" w:rsidRDefault="00EE6D95">
            <w:r>
              <w:t>5</w:t>
            </w:r>
          </w:p>
        </w:tc>
        <w:tc>
          <w:tcPr>
            <w:tcW w:w="1486" w:type="dxa"/>
          </w:tcPr>
          <w:p w:rsidR="00D849AA" w:rsidRDefault="00EE6D95">
            <w:r>
              <w:t>8</w:t>
            </w:r>
          </w:p>
        </w:tc>
      </w:tr>
    </w:tbl>
    <w:p w:rsidR="00D849AA" w:rsidRDefault="00D849AA">
      <w:pPr>
        <w:jc w:val="left"/>
      </w:pPr>
    </w:p>
    <w:p w:rsidR="00D849AA" w:rsidRDefault="00EE6D95">
      <w:pPr>
        <w:pStyle w:val="Naslov6"/>
      </w:pPr>
      <w:r>
        <w:t>A830003 SLUŽBENIČKI SUDOVI</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A830003</w:t>
            </w:r>
          </w:p>
        </w:tc>
        <w:tc>
          <w:tcPr>
            <w:tcW w:w="1486" w:type="dxa"/>
          </w:tcPr>
          <w:p w:rsidR="00D849AA" w:rsidRDefault="00EE6D95">
            <w:r>
              <w:t>700.000</w:t>
            </w:r>
          </w:p>
        </w:tc>
        <w:tc>
          <w:tcPr>
            <w:tcW w:w="1486" w:type="dxa"/>
          </w:tcPr>
          <w:p w:rsidR="00D849AA" w:rsidRDefault="00EE6D95">
            <w:r>
              <w:t>766.100</w:t>
            </w:r>
          </w:p>
        </w:tc>
        <w:tc>
          <w:tcPr>
            <w:tcW w:w="1486" w:type="dxa"/>
          </w:tcPr>
          <w:p w:rsidR="00D849AA" w:rsidRDefault="00EE6D95">
            <w:r>
              <w:t>770.523</w:t>
            </w:r>
          </w:p>
        </w:tc>
        <w:tc>
          <w:tcPr>
            <w:tcW w:w="1486" w:type="dxa"/>
          </w:tcPr>
          <w:p w:rsidR="00D849AA" w:rsidRDefault="00EE6D95">
            <w:r>
              <w:t>789.786</w:t>
            </w:r>
          </w:p>
        </w:tc>
        <w:tc>
          <w:tcPr>
            <w:tcW w:w="1486" w:type="dxa"/>
          </w:tcPr>
          <w:p w:rsidR="00D849AA" w:rsidRDefault="00EE6D95">
            <w:r>
              <w:t>109,4</w:t>
            </w:r>
          </w:p>
        </w:tc>
      </w:tr>
    </w:tbl>
    <w:p w:rsidR="00D849AA" w:rsidRDefault="00D849AA">
      <w:pPr>
        <w:jc w:val="left"/>
      </w:pP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 xml:space="preserve">Broj službenika protiv kojih se vodi disciplinski i kazneni </w:t>
            </w:r>
            <w:r>
              <w:lastRenderedPageBreak/>
              <w:t>postupak  za  djela koja imaju obilježje korupcije</w:t>
            </w:r>
          </w:p>
        </w:tc>
        <w:tc>
          <w:tcPr>
            <w:tcW w:w="1114" w:type="dxa"/>
          </w:tcPr>
          <w:p w:rsidR="00D849AA" w:rsidRDefault="00EE6D95">
            <w:r>
              <w:lastRenderedPageBreak/>
              <w:t>broj</w:t>
            </w:r>
          </w:p>
        </w:tc>
        <w:tc>
          <w:tcPr>
            <w:tcW w:w="1114" w:type="dxa"/>
          </w:tcPr>
          <w:p w:rsidR="00D849AA" w:rsidRDefault="00EE6D95">
            <w:r>
              <w:t>0</w:t>
            </w:r>
          </w:p>
        </w:tc>
        <w:tc>
          <w:tcPr>
            <w:tcW w:w="1486" w:type="dxa"/>
          </w:tcPr>
          <w:p w:rsidR="00D849AA" w:rsidRDefault="00EE6D95">
            <w:r>
              <w:t>1</w:t>
            </w:r>
          </w:p>
        </w:tc>
        <w:tc>
          <w:tcPr>
            <w:tcW w:w="1486" w:type="dxa"/>
          </w:tcPr>
          <w:p w:rsidR="00D849AA" w:rsidRDefault="00EE6D95">
            <w:r>
              <w:t>/</w:t>
            </w:r>
          </w:p>
        </w:tc>
        <w:tc>
          <w:tcPr>
            <w:tcW w:w="1486" w:type="dxa"/>
          </w:tcPr>
          <w:p w:rsidR="00D849AA" w:rsidRDefault="00EE6D95">
            <w:r>
              <w:t>/</w:t>
            </w:r>
          </w:p>
        </w:tc>
      </w:tr>
      <w:tr w:rsidR="00D849AA">
        <w:trPr>
          <w:jc w:val="center"/>
        </w:trPr>
        <w:tc>
          <w:tcPr>
            <w:tcW w:w="2229" w:type="dxa"/>
          </w:tcPr>
          <w:p w:rsidR="00D849AA" w:rsidRDefault="00EE6D95">
            <w:pPr>
              <w:pStyle w:val="CellColumn"/>
            </w:pPr>
            <w:r>
              <w:lastRenderedPageBreak/>
              <w:t>Broj zaprimljenih i riješenih pritužbi na neetičko postupanje službenika</w:t>
            </w:r>
          </w:p>
        </w:tc>
        <w:tc>
          <w:tcPr>
            <w:tcW w:w="1114" w:type="dxa"/>
          </w:tcPr>
          <w:p w:rsidR="00D849AA" w:rsidRDefault="00EE6D95">
            <w:r>
              <w:t>broj</w:t>
            </w:r>
          </w:p>
        </w:tc>
        <w:tc>
          <w:tcPr>
            <w:tcW w:w="1114" w:type="dxa"/>
          </w:tcPr>
          <w:p w:rsidR="00D849AA" w:rsidRDefault="00EE6D95">
            <w:r>
              <w:t>0</w:t>
            </w:r>
          </w:p>
        </w:tc>
        <w:tc>
          <w:tcPr>
            <w:tcW w:w="1486" w:type="dxa"/>
          </w:tcPr>
          <w:p w:rsidR="00D849AA" w:rsidRDefault="00EE6D95">
            <w:r>
              <w:t>1</w:t>
            </w:r>
          </w:p>
        </w:tc>
        <w:tc>
          <w:tcPr>
            <w:tcW w:w="1486" w:type="dxa"/>
          </w:tcPr>
          <w:p w:rsidR="00D849AA" w:rsidRDefault="00EE6D95">
            <w:r>
              <w:t>/</w:t>
            </w:r>
          </w:p>
        </w:tc>
        <w:tc>
          <w:tcPr>
            <w:tcW w:w="1486" w:type="dxa"/>
          </w:tcPr>
          <w:p w:rsidR="00D849AA" w:rsidRDefault="00EE6D95">
            <w:r>
              <w:t>/</w:t>
            </w:r>
          </w:p>
        </w:tc>
      </w:tr>
    </w:tbl>
    <w:p w:rsidR="00D849AA" w:rsidRDefault="00D849AA">
      <w:pPr>
        <w:jc w:val="left"/>
      </w:pPr>
    </w:p>
    <w:p w:rsidR="00D849AA" w:rsidRDefault="00EE6D95">
      <w:pPr>
        <w:pStyle w:val="Naslov6"/>
      </w:pPr>
      <w:r>
        <w:t>A830004 ODBOR ZA DRŽAVNU SLUŽBU</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A830004</w:t>
            </w:r>
          </w:p>
        </w:tc>
        <w:tc>
          <w:tcPr>
            <w:tcW w:w="1486" w:type="dxa"/>
          </w:tcPr>
          <w:p w:rsidR="00D849AA" w:rsidRDefault="00EE6D95">
            <w:r>
              <w:t>1.317.500</w:t>
            </w:r>
          </w:p>
        </w:tc>
        <w:tc>
          <w:tcPr>
            <w:tcW w:w="1486" w:type="dxa"/>
          </w:tcPr>
          <w:p w:rsidR="00D849AA" w:rsidRDefault="00EE6D95">
            <w:r>
              <w:t>1.346.538</w:t>
            </w:r>
          </w:p>
        </w:tc>
        <w:tc>
          <w:tcPr>
            <w:tcW w:w="1486" w:type="dxa"/>
          </w:tcPr>
          <w:p w:rsidR="00D849AA" w:rsidRDefault="00EE6D95">
            <w:r>
              <w:t>1.417.856</w:t>
            </w:r>
          </w:p>
        </w:tc>
        <w:tc>
          <w:tcPr>
            <w:tcW w:w="1486" w:type="dxa"/>
          </w:tcPr>
          <w:p w:rsidR="00D849AA" w:rsidRDefault="00EE6D95">
            <w:r>
              <w:t>1.454.215</w:t>
            </w:r>
          </w:p>
        </w:tc>
        <w:tc>
          <w:tcPr>
            <w:tcW w:w="1486" w:type="dxa"/>
          </w:tcPr>
          <w:p w:rsidR="00D849AA" w:rsidRDefault="00EE6D95">
            <w:r>
              <w:t>102,2</w:t>
            </w:r>
          </w:p>
        </w:tc>
      </w:tr>
    </w:tbl>
    <w:p w:rsidR="00D849AA" w:rsidRDefault="00D849AA">
      <w:pPr>
        <w:jc w:val="left"/>
      </w:pPr>
    </w:p>
    <w:p w:rsidR="00D849AA" w:rsidRDefault="00EE6D95">
      <w:pPr>
        <w:pStyle w:val="Normal6"/>
      </w:pPr>
      <w:r>
        <w:t>Odbor za državnu službu ustrojen prema Uredbi o ustrojstvu i načinu rada Odbora za državnu službu ("Narodne novine", broj 8/06) kao drugostupanjsko tijelo odlučuje o žalbama protiv rješenja o prijamu u državnu službu i rješenja kojima se odlučuje o pravima i obvezama državnih službenika.</w:t>
      </w:r>
    </w:p>
    <w:p w:rsidR="00D849AA" w:rsidRDefault="00EE6D95">
      <w:pPr>
        <w:pStyle w:val="Naslov6"/>
      </w:pPr>
      <w:r>
        <w:t>K830008 INFORMATIZACIJA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K830008</w:t>
            </w:r>
          </w:p>
        </w:tc>
        <w:tc>
          <w:tcPr>
            <w:tcW w:w="1486" w:type="dxa"/>
          </w:tcPr>
          <w:p w:rsidR="00D849AA" w:rsidRDefault="00EE6D95">
            <w:r>
              <w:t>4.315.012</w:t>
            </w:r>
          </w:p>
        </w:tc>
        <w:tc>
          <w:tcPr>
            <w:tcW w:w="1486" w:type="dxa"/>
          </w:tcPr>
          <w:p w:rsidR="00D849AA" w:rsidRDefault="00EE6D95">
            <w:r>
              <w:t>4.593.495</w:t>
            </w:r>
          </w:p>
        </w:tc>
        <w:tc>
          <w:tcPr>
            <w:tcW w:w="1486" w:type="dxa"/>
          </w:tcPr>
          <w:p w:rsidR="00D849AA" w:rsidRDefault="00EE6D95">
            <w:r>
              <w:t>5.860.000</w:t>
            </w:r>
          </w:p>
        </w:tc>
        <w:tc>
          <w:tcPr>
            <w:tcW w:w="1486" w:type="dxa"/>
          </w:tcPr>
          <w:p w:rsidR="00D849AA" w:rsidRDefault="00EE6D95">
            <w:r>
              <w:t>6.370.000</w:t>
            </w:r>
          </w:p>
        </w:tc>
        <w:tc>
          <w:tcPr>
            <w:tcW w:w="1486" w:type="dxa"/>
          </w:tcPr>
          <w:p w:rsidR="00D849AA" w:rsidRDefault="00EE6D95">
            <w:r>
              <w:t>106,4</w:t>
            </w:r>
          </w:p>
        </w:tc>
      </w:tr>
    </w:tbl>
    <w:p w:rsidR="00D849AA" w:rsidRDefault="00D849AA">
      <w:pPr>
        <w:jc w:val="left"/>
      </w:pPr>
    </w:p>
    <w:p w:rsidR="00D849AA" w:rsidRDefault="00EE6D95">
      <w:pPr>
        <w:pStyle w:val="Normal6"/>
      </w:pPr>
      <w:r>
        <w:t xml:space="preserve">Projekt IS OSG pokrenut je 1998. godine. Sustav informatički podržava sustav matičnih knjiga za RH, Registar birača i Knjigu državljana. Tijekom 2013. godine sustav je integriran i moderniziran na način da može pružiti cjelovitu uslugu građanima u cijeloj državi bez obzira na to gdje su im podaci upisani u sustav.  Svih 5 evidencija će se prebaciti na web okruženje uz stvaranje jedinstvene baze podataka. </w:t>
      </w:r>
    </w:p>
    <w:p w:rsidR="00D849AA" w:rsidRDefault="00EE6D95">
      <w:pPr>
        <w:pStyle w:val="Normal6"/>
      </w:pPr>
      <w:r>
        <w:t xml:space="preserve">Cilj projekta IS OSG je pružati građanima usluge na području cijele RH bez obzira na mjesto gdje su upisali podatke.  </w:t>
      </w:r>
    </w:p>
    <w:p w:rsidR="00D849AA" w:rsidRDefault="00EE6D95">
      <w:pPr>
        <w:pStyle w:val="Normal6"/>
      </w:pPr>
      <w:r>
        <w:t xml:space="preserve">Do danas su prebačene 4 evidencije, te još ostaje za prebaciti Maticu rođenih. Time je vidljivo da je gotovo postignut rezultat. </w:t>
      </w:r>
    </w:p>
    <w:p w:rsidR="00D849AA" w:rsidRDefault="00EE6D95">
      <w:pPr>
        <w:pStyle w:val="Normal6"/>
      </w:pPr>
      <w:r>
        <w:t xml:space="preserve">Sustav treba dalje održavati. Dalje treba dorađivati sustav na način da se doradi programsko rješenje s dodatnim zahtjevima: </w:t>
      </w:r>
    </w:p>
    <w:p w:rsidR="00D849AA" w:rsidRDefault="00EE6D95">
      <w:pPr>
        <w:pStyle w:val="Normal6"/>
      </w:pPr>
      <w:r>
        <w:t xml:space="preserve">1. Uspostava nove evidencije državljana EU sa prebivalištem u RH unutar sustava registra birača , </w:t>
      </w:r>
    </w:p>
    <w:p w:rsidR="00D849AA" w:rsidRDefault="00EE6D95">
      <w:pPr>
        <w:pStyle w:val="Normal6"/>
      </w:pPr>
      <w:r>
        <w:t xml:space="preserve">2. Izrada aplikacije za razmjenu XML-ova sa članicama EU, </w:t>
      </w:r>
    </w:p>
    <w:p w:rsidR="00D849AA" w:rsidRDefault="00EE6D95">
      <w:pPr>
        <w:pStyle w:val="Normal6"/>
      </w:pPr>
      <w:r>
        <w:t xml:space="preserve">3. Izrada servisa za razmjenu podataka o promjenama birača sa MUP-om, </w:t>
      </w:r>
    </w:p>
    <w:p w:rsidR="00D849AA" w:rsidRDefault="00EE6D95">
      <w:pPr>
        <w:pStyle w:val="Normal6"/>
      </w:pPr>
      <w:r>
        <w:t xml:space="preserve">4. Povezivanje sa servisom OIB sustava, </w:t>
      </w:r>
    </w:p>
    <w:p w:rsidR="00D849AA" w:rsidRDefault="00EE6D95">
      <w:pPr>
        <w:pStyle w:val="Normal6"/>
      </w:pPr>
      <w:r>
        <w:t xml:space="preserve">5. Razvoj sustava za novu evidenciju životnog partnerstva sa sljedećim funkcionalnostima, </w:t>
      </w:r>
    </w:p>
    <w:p w:rsidR="00D849AA" w:rsidRDefault="00EE6D95">
      <w:pPr>
        <w:pStyle w:val="Normal6"/>
      </w:pPr>
      <w:r>
        <w:t xml:space="preserve">6. Razvoj objedinjenog sustava Matice@web za građane sa sljedećim funkcionalnostima, </w:t>
      </w:r>
    </w:p>
    <w:p w:rsidR="00D849AA" w:rsidRDefault="00EE6D95">
      <w:pPr>
        <w:pStyle w:val="Normal6"/>
      </w:pPr>
      <w:r>
        <w:lastRenderedPageBreak/>
        <w:t xml:space="preserve">7. Razvoj e-izvadka iz matice rođenih sa sljedećim funkcionalnostima, </w:t>
      </w:r>
    </w:p>
    <w:p w:rsidR="00D849AA" w:rsidRDefault="00EE6D95">
      <w:pPr>
        <w:pStyle w:val="Normal6"/>
      </w:pPr>
      <w:r>
        <w:t xml:space="preserve">8. Razvoj servisa prema državnom zavodu za statistiku. </w:t>
      </w:r>
    </w:p>
    <w:p w:rsidR="00D849AA" w:rsidRDefault="00EE6D95">
      <w:pPr>
        <w:pStyle w:val="Normal6"/>
      </w:pPr>
      <w:r>
        <w:t xml:space="preserve">Ministarstvo uprave nadležno je za vođenje sljedećih registra neprofitnih pravnih osoba: </w:t>
      </w:r>
    </w:p>
    <w:p w:rsidR="00D849AA" w:rsidRDefault="00EE6D95">
      <w:pPr>
        <w:pStyle w:val="Normal6"/>
      </w:pPr>
      <w:r>
        <w:t xml:space="preserve">• Registar političkih stranaka Republike Hrvatske, </w:t>
      </w:r>
    </w:p>
    <w:p w:rsidR="00D849AA" w:rsidRDefault="00EE6D95">
      <w:pPr>
        <w:pStyle w:val="Normal6"/>
      </w:pPr>
      <w:r>
        <w:t xml:space="preserve">• Registar stranih udruga u Republici Hrvatskoj, </w:t>
      </w:r>
    </w:p>
    <w:p w:rsidR="00D849AA" w:rsidRDefault="00EE6D95">
      <w:pPr>
        <w:pStyle w:val="Normal6"/>
      </w:pPr>
      <w:r>
        <w:t xml:space="preserve">• Evidencija pravnih osoba Katoličke Crkve u Republici Hrvatskoj, </w:t>
      </w:r>
    </w:p>
    <w:p w:rsidR="00D849AA" w:rsidRDefault="00EE6D95">
      <w:pPr>
        <w:pStyle w:val="Normal6"/>
      </w:pPr>
      <w:r>
        <w:t xml:space="preserve">• Evidencija vjerskih zajednica u Republici Hrvatskoj, </w:t>
      </w:r>
    </w:p>
    <w:p w:rsidR="00D849AA" w:rsidRDefault="00EE6D95">
      <w:pPr>
        <w:pStyle w:val="Normal6"/>
      </w:pPr>
      <w:r>
        <w:t xml:space="preserve">• Registar vijeća, koordinacija vijeća i predstavnika nacionalnih manjina, </w:t>
      </w:r>
    </w:p>
    <w:p w:rsidR="00D849AA" w:rsidRDefault="00EE6D95">
      <w:pPr>
        <w:pStyle w:val="Normal6"/>
      </w:pPr>
      <w:r>
        <w:t xml:space="preserve">• Fundacijska knjiga, </w:t>
      </w:r>
    </w:p>
    <w:p w:rsidR="00D849AA" w:rsidRDefault="00EE6D95">
      <w:pPr>
        <w:pStyle w:val="Normal6"/>
      </w:pPr>
      <w:r>
        <w:t xml:space="preserve">• Upisnik predstavništva stranih zaklada i fundacija u Republici Hrvatskoj, </w:t>
      </w:r>
    </w:p>
    <w:p w:rsidR="00D849AA" w:rsidRDefault="00EE6D95">
      <w:pPr>
        <w:pStyle w:val="Normal6"/>
      </w:pPr>
      <w:r>
        <w:t xml:space="preserve">• Zakladna knjiga. </w:t>
      </w:r>
    </w:p>
    <w:p w:rsidR="00D849AA" w:rsidRDefault="00EE6D95">
      <w:pPr>
        <w:pStyle w:val="Normal6"/>
      </w:pPr>
      <w:r>
        <w:t xml:space="preserve">Registar udruga u Republici Hrvatskoj, jedinstveni je registar u koji se upisuju udruge pri nadležnom tijelu državne uprave, prema mjestu sjedišta udruge. </w:t>
      </w:r>
    </w:p>
    <w:p w:rsidR="00D849AA" w:rsidRDefault="00EE6D95">
      <w:pPr>
        <w:pStyle w:val="Normal6"/>
      </w:pPr>
      <w:r>
        <w:t xml:space="preserve">Cilj je održavati registre kako bi bili operativni i povezani na OIB sustav.  </w:t>
      </w:r>
    </w:p>
    <w:p w:rsidR="00D849AA" w:rsidRDefault="00EE6D95">
      <w:pPr>
        <w:pStyle w:val="Normal6"/>
      </w:pPr>
      <w:r>
        <w:t xml:space="preserve">Tijekom 2013. godine nije bilo ozbiljnijih ispada sustava. U tijeku je prebacivanje OIB čvora iz Ministarstva uprave. </w:t>
      </w:r>
    </w:p>
    <w:p w:rsidR="00D849AA" w:rsidRDefault="00EE6D95">
      <w:pPr>
        <w:pStyle w:val="Normal6"/>
      </w:pPr>
      <w:r>
        <w:t xml:space="preserve">Sustav treba dalje održavati. Dalje treba dorađivati sustav na način da se doradi programsko rješenje s dodatnim zahtjevima: </w:t>
      </w:r>
    </w:p>
    <w:p w:rsidR="00D849AA" w:rsidRDefault="00EE6D95">
      <w:pPr>
        <w:pStyle w:val="Normal6"/>
      </w:pPr>
      <w:r>
        <w:t xml:space="preserve">1. Registar udruga se mora dograditi  sukladno novom Zakonu o udrugama, kada se usvoji i stupi na snagu. </w:t>
      </w:r>
    </w:p>
    <w:p w:rsidR="00D849AA" w:rsidRDefault="00EE6D95">
      <w:pPr>
        <w:pStyle w:val="Normal6"/>
      </w:pPr>
      <w:r>
        <w:t xml:space="preserve">Ministarstvo uprave je pripremilo dokument s pregledom starosti opreme. Ustanovljeno je da je velik dio opreme stariji od 5 godina te da više nema održavanja u slučaju ispada. Stoga ih treba zanoviti. </w:t>
      </w:r>
    </w:p>
    <w:p w:rsidR="00D849AA" w:rsidRDefault="00EE6D95">
      <w:pPr>
        <w:pStyle w:val="Normal6"/>
      </w:pPr>
      <w:r>
        <w:t xml:space="preserve">Ministarstvo uprave je pripremilo novi propis vezan uz upravljanje državnom informacijskom infrastrukturom. </w:t>
      </w:r>
    </w:p>
    <w:p w:rsidR="00D849AA" w:rsidRDefault="00EE6D95">
      <w:pPr>
        <w:pStyle w:val="Normal6"/>
      </w:pPr>
      <w:r>
        <w:t xml:space="preserve">Dio toga je povezivanje registarskog sustava u RH te će u tom kontekstu biti nužno izgraditi registar koji će sadržavati informacije o sadržaju registara te ostalim podacima o registrima javnog sektora.  </w:t>
      </w:r>
    </w:p>
    <w:p w:rsidR="00D849AA" w:rsidRDefault="00EE6D95">
      <w:pPr>
        <w:pStyle w:val="Normal6"/>
      </w:pPr>
      <w:r>
        <w:t>Cilj megaregistra je pripremiti sustav za povezivanje registara, te praćenje povezanosti sustava registara.</w:t>
      </w:r>
    </w:p>
    <w:p w:rsidR="00562CD8" w:rsidRDefault="00562CD8" w:rsidP="00562CD8">
      <w:pPr>
        <w:pStyle w:val="Naslov4"/>
      </w:pPr>
      <w:r>
        <w:t>OBRAZLOŽENJE PROGRAMA</w:t>
      </w:r>
    </w:p>
    <w:p w:rsidR="00D849AA" w:rsidRDefault="00EE6D95">
      <w:pPr>
        <w:pStyle w:val="Naslov5"/>
      </w:pPr>
      <w:r>
        <w:t>2408 INFORMATIZACIJA UPRAVE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2408</w:t>
            </w:r>
          </w:p>
        </w:tc>
        <w:tc>
          <w:tcPr>
            <w:tcW w:w="1486" w:type="dxa"/>
          </w:tcPr>
          <w:p w:rsidR="00D849AA" w:rsidRDefault="00EE6D95">
            <w:r>
              <w:t>7.432.077</w:t>
            </w:r>
          </w:p>
        </w:tc>
        <w:tc>
          <w:tcPr>
            <w:tcW w:w="1486" w:type="dxa"/>
          </w:tcPr>
          <w:p w:rsidR="00D849AA" w:rsidRDefault="00EE6D95">
            <w:r>
              <w:t>7.603.014</w:t>
            </w:r>
          </w:p>
        </w:tc>
        <w:tc>
          <w:tcPr>
            <w:tcW w:w="1486" w:type="dxa"/>
          </w:tcPr>
          <w:p w:rsidR="00D849AA" w:rsidRDefault="00EE6D95">
            <w:r>
              <w:t>9.000.000</w:t>
            </w:r>
          </w:p>
        </w:tc>
        <w:tc>
          <w:tcPr>
            <w:tcW w:w="1486" w:type="dxa"/>
          </w:tcPr>
          <w:p w:rsidR="00D849AA" w:rsidRDefault="00EE6D95">
            <w:r>
              <w:t>9.696.064</w:t>
            </w:r>
          </w:p>
        </w:tc>
        <w:tc>
          <w:tcPr>
            <w:tcW w:w="1486" w:type="dxa"/>
          </w:tcPr>
          <w:p w:rsidR="00D849AA" w:rsidRDefault="00EE6D95">
            <w:r>
              <w:t>102,3</w:t>
            </w:r>
          </w:p>
        </w:tc>
      </w:tr>
    </w:tbl>
    <w:p w:rsidR="00D849AA" w:rsidRDefault="00D849AA">
      <w:pPr>
        <w:jc w:val="left"/>
      </w:pPr>
    </w:p>
    <w:p w:rsidR="00D849AA" w:rsidRDefault="00EE6D95">
      <w:pPr>
        <w:pStyle w:val="Naslov6"/>
      </w:pPr>
      <w:r>
        <w:lastRenderedPageBreak/>
        <w:t>Opis programa</w:t>
      </w:r>
    </w:p>
    <w:p w:rsidR="00D849AA" w:rsidRDefault="00EE6D95">
      <w:pPr>
        <w:pStyle w:val="Normal5"/>
      </w:pPr>
      <w:r>
        <w:t>Glavni su ciljevi unutar ovog programa: uspostavljanje elektroničke uprave kroz jaču koordinaciju tijela državne uprave (Izgradnja umrežene uprave), optimiranje i razvoj računalne i komunikacijske infrastrukture u državnoj upravi – HITRONet.</w:t>
      </w:r>
    </w:p>
    <w:p w:rsidR="00D849AA" w:rsidRDefault="00EE6D95">
      <w:pPr>
        <w:pStyle w:val="Naslov6"/>
      </w:pPr>
      <w:r>
        <w:t>Zakonske i druge pravne osnove</w:t>
      </w:r>
    </w:p>
    <w:p w:rsidR="00D849AA" w:rsidRDefault="00EE6D95">
      <w:pPr>
        <w:pStyle w:val="Normal5"/>
      </w:pPr>
      <w:r>
        <w:t xml:space="preserve">Odluka o osnivanju Povjerenstva za koordinaciju informatizacije javnog sektora, </w:t>
      </w:r>
    </w:p>
    <w:p w:rsidR="00D849AA" w:rsidRDefault="00EE6D95">
      <w:pPr>
        <w:pStyle w:val="Normal5"/>
      </w:pPr>
      <w:r>
        <w:t xml:space="preserve">Program Vlade Republike Hrvatske za mandat 2011-2015., </w:t>
      </w:r>
    </w:p>
    <w:p w:rsidR="00D849AA" w:rsidRDefault="00EE6D95">
      <w:pPr>
        <w:pStyle w:val="Normal5"/>
      </w:pPr>
      <w:r>
        <w:t xml:space="preserve">Odluka o utvrđivanju ciljeva razvoja elektroničke uprave u tijelima državne uprave za razdoblje od 2011. do 2015. godine (klasa: 650-05/11-03/02, urbroj: 5030109-11-1), od 20. listopada 2011. g., </w:t>
      </w:r>
    </w:p>
    <w:p w:rsidR="00D849AA" w:rsidRDefault="00EE6D95">
      <w:pPr>
        <w:pStyle w:val="Normal5"/>
      </w:pPr>
      <w:r>
        <w:t xml:space="preserve">Odluka o uspostavi Hrvatskog okvira za interoperabilnost (Narodne novine 84/2010.), </w:t>
      </w:r>
    </w:p>
    <w:p w:rsidR="00D849AA" w:rsidRDefault="00EE6D95">
      <w:pPr>
        <w:pStyle w:val="Normal5"/>
      </w:pPr>
      <w:r>
        <w:t xml:space="preserve">Odrednice razvitka i uporabe računalnih programa s otvorenim kodom u tijelima državne uprave, </w:t>
      </w:r>
    </w:p>
    <w:p w:rsidR="00D849AA" w:rsidRDefault="00EE6D95">
      <w:pPr>
        <w:pStyle w:val="Normal5"/>
      </w:pPr>
      <w:r>
        <w:t>Zakon o Registru zaposlenih u javnom sektoru (Narodne novine 24/2011).</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Cilj 1. Unaprijediti sustav plaća u javnom sektoru</w:t>
      </w:r>
    </w:p>
    <w:p w:rsidR="00D849AA" w:rsidRDefault="00EE6D95">
      <w:pPr>
        <w:pStyle w:val="Normal6"/>
      </w:pPr>
      <w:r>
        <w:t xml:space="preserve">Registar zaposlenih u javnom sektoru izrađen je radi uspostave kvalitetnog i učinkovitog sustava centraliziranog obračuna placa i upravljanja ljudskim potencijalima. Uspostavljen je centralizirani obračun plaća za sva državna tijela te institucije javnih službi u opsegu Registra. </w:t>
      </w:r>
    </w:p>
    <w:p w:rsidR="00D849AA" w:rsidRDefault="00EE6D95">
      <w:pPr>
        <w:pStyle w:val="Normal6"/>
      </w:pPr>
      <w:r>
        <w:t>Planira se donošenje posebnog zakona kojim će se urediti plaće u javnom sektoru (državna služba i javne službe). Kroz uspostavu jedinstvenog sustava plaća treba uspostaviti pravičnije odnose u plaćama između pojedinih dijelova javnog sektora, jedinstvene kriterije za vrednovanje i nagrađivanje zaposlenih.</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izrađen Zakon o plaćama  u javnom sektoru</w:t>
            </w:r>
          </w:p>
        </w:tc>
        <w:tc>
          <w:tcPr>
            <w:tcW w:w="1114" w:type="dxa"/>
          </w:tcPr>
          <w:p w:rsidR="00D849AA" w:rsidRDefault="00EE6D95">
            <w:r>
              <w:t>broj</w:t>
            </w:r>
          </w:p>
        </w:tc>
        <w:tc>
          <w:tcPr>
            <w:tcW w:w="1114" w:type="dxa"/>
          </w:tcPr>
          <w:p w:rsidR="00D849AA" w:rsidRDefault="00EE6D95">
            <w:r>
              <w:t>0</w:t>
            </w:r>
          </w:p>
        </w:tc>
        <w:tc>
          <w:tcPr>
            <w:tcW w:w="1486" w:type="dxa"/>
          </w:tcPr>
          <w:p w:rsidR="00D849AA" w:rsidRDefault="00EE6D95">
            <w:r>
              <w:t>1</w:t>
            </w:r>
          </w:p>
        </w:tc>
        <w:tc>
          <w:tcPr>
            <w:tcW w:w="1486" w:type="dxa"/>
          </w:tcPr>
          <w:p w:rsidR="00D849AA" w:rsidRDefault="00EE6D95">
            <w:r>
              <w:t>/</w:t>
            </w:r>
          </w:p>
        </w:tc>
        <w:tc>
          <w:tcPr>
            <w:tcW w:w="1486" w:type="dxa"/>
          </w:tcPr>
          <w:p w:rsidR="00D849AA" w:rsidRDefault="00EE6D95">
            <w:r>
              <w:t>/</w:t>
            </w:r>
          </w:p>
        </w:tc>
      </w:tr>
    </w:tbl>
    <w:p w:rsidR="00D849AA" w:rsidRDefault="00D849AA">
      <w:pPr>
        <w:jc w:val="left"/>
      </w:pPr>
    </w:p>
    <w:p w:rsidR="00D849AA" w:rsidRDefault="00EE6D95">
      <w:pPr>
        <w:pStyle w:val="Naslov7"/>
      </w:pPr>
      <w:r>
        <w:t>Cilj 2. Razvoj i standardizacija informacijske i komunikacijske infrastrukture</w:t>
      </w:r>
    </w:p>
    <w:p w:rsidR="00D849AA" w:rsidRDefault="00EE6D95">
      <w:pPr>
        <w:pStyle w:val="Normal6"/>
      </w:pPr>
      <w:r>
        <w:t xml:space="preserve">Unapređenje informacijske i komunikacijske infrastrukture omogućit će da svi dijelovi javne uprave djeluju unutar zaštićene infrastrukture u koju će se integrirati sve mreže u vlasništvu Republike Hrvatske i izgrađene od strane tijela javne uprave. Unutar tako integriranog sustava također će biti moguće dijeliti računalne resurse (hardver, softver, usluge, itd.) te nastaviti informatizaciju javne uprave. Za to je nužna promjena pristupa u ugovaranju i isporuci rješenja u javnoj upravi koja, za razliku od sadašnje situacije, moraju čim više biti temeljena na otvorenim normama, otvorenim specifikacijama i otvorenom kodu. </w:t>
      </w:r>
    </w:p>
    <w:p w:rsidR="00D849AA" w:rsidRDefault="00EE6D95">
      <w:pPr>
        <w:pStyle w:val="Normal6"/>
      </w:pPr>
      <w:r>
        <w:lastRenderedPageBreak/>
        <w:t xml:space="preserve">Gradnja optičke mreže u Hrvatskoj nastavit će se korištenjem već postojećih sagrađenih optičkih mreža velikih državnih tvrtki, koje ih jednim dijelom ne koriste. Tim će se projektom integrirati već sagrađene optičke mreže, a dodatno će se graditi ono što nedostaje za potpunu integraciju, čime će Republika Hrvatska dobiti državnu optičku mrežu na cijelom teritoriju u svom vlasništvu - HITRONet. Na takvoj infrastrukturi uspostavit će se i razvijati suvremene mrežne usluge koje će omogućiti racionalizaciju troškova, veću sigurnost te osigurati fizičku integraciju s mrežama javne uprave Europske unije (nastavkom podrške vezi HITRONet-sTESTA). </w:t>
      </w:r>
    </w:p>
    <w:p w:rsidR="00D849AA" w:rsidRDefault="00EE6D95">
      <w:pPr>
        <w:pStyle w:val="Normal6"/>
      </w:pPr>
      <w:r>
        <w:t xml:space="preserve">Gradnja optičke mreže u gradovima nastavit će se javno-javnim partnerstvom države i lokalnih zajednica. Time će se omogućiti jednostavna integracija u državnu mrežu i korištenje optičke mreže za sve potrebe, a posebice za omogućavanje dostupnosti širokopojasne infrastrukture svim građanima. </w:t>
      </w:r>
    </w:p>
    <w:p w:rsidR="00D849AA" w:rsidRDefault="00EE6D95">
      <w:pPr>
        <w:pStyle w:val="Normal6"/>
      </w:pPr>
      <w:r>
        <w:t xml:space="preserve">Neophodno je sve baze podataka smjestiti u sigurne prostore države i iskoristiti postojeće data centre, kako bi se osigurala koordinacija i potrebna sigurnosna pohrana (backup). </w:t>
      </w:r>
    </w:p>
    <w:p w:rsidR="00D849AA" w:rsidRDefault="00EE6D95">
      <w:pPr>
        <w:pStyle w:val="Normal6"/>
      </w:pPr>
      <w:r>
        <w:t xml:space="preserve">Također je neophodno svu računalnu imovinu u vlasništvu države organizirati kroz jedno virtualno mjesto («oblak javne uprave»), gdje god je to izvedivo, te time smanjiti potrebu za kupovinom novog hadrvera za većinu sastavnica javne uprave. Također je potrebno primijeniti zajedničke metodologije za razvoj i standardizaciju primjene ICT-a u javnoj upravi. </w:t>
      </w:r>
    </w:p>
    <w:p w:rsidR="00D849AA" w:rsidRDefault="00EE6D95">
      <w:pPr>
        <w:pStyle w:val="Normal6"/>
      </w:pPr>
      <w:r>
        <w:t>Uvođenjem programa i softvera otvorenoga koda u državnu upravu započet će se kroz pilote u pojedinim segmentima uvođenje besplatnog softvera, čime bi se osigurala neovisnost javne uprave o vlasnički zaštićenim rješenjima pojedinačnih tvrtki, a time i potaknuo razvoj IT sektora koji bi sve to osiguravao i održavao. Također će se poticati korištenje otvorenih normi čija primjena omogućuje neovisnost razvoja, korištenja i održavanja programskih rješenja o proizvođaču samog rješenja.</w:t>
      </w:r>
    </w:p>
    <w:p w:rsidR="00D849AA" w:rsidRDefault="00EE6D95">
      <w:pPr>
        <w:pStyle w:val="Naslov7"/>
      </w:pPr>
      <w:r>
        <w:t>Cilj 3. Poboljšati dostupnost i kvalitetu elektroničkih usluga i rješenja</w:t>
      </w:r>
    </w:p>
    <w:p w:rsidR="00D849AA" w:rsidRDefault="00EE6D95">
      <w:pPr>
        <w:pStyle w:val="Normal6"/>
      </w:pPr>
      <w:r>
        <w:t xml:space="preserve">Ovaj cilj planiramo ostvariti provedbom analize procesa državne uprave u sklopu koje će se utvrditi mogućnosti i prioriteti razvoja integralnih e-usluga i pripadajućih rješenja. e-Usluge se temelje na podacima koji se vode unutar registara kod tijela javne uprave. Komunikacija s registrima i razmjena podataka u tehnološkom smislu treba se odvijati  temeljem pravno definiranih ovlasti korisnika i pravnom utemeljenošću za dobivanjem informacije na zajedničkoj infrastrukturi javne uprave. To će se omogućiti sigurnim povezivanjem  postojećih baza podataka u državi, čime će se postići nesmetana komunikacija državnih tijela u svim segmentima, kako bi se postiglo stvaranje države bez papire tj. da tijela državne uprave od građana ne traže donošenje ili prenošenje podataka koji već postoje u sustavu državne uprave. </w:t>
      </w:r>
    </w:p>
    <w:p w:rsidR="00D849AA" w:rsidRDefault="00EE6D95">
      <w:pPr>
        <w:pStyle w:val="Normal6"/>
      </w:pPr>
      <w:r>
        <w:t>Naime, do sada nije postojao jasan, zajednički skup pravila prema kojima su se trebali razvijati internetski sustavi i pripadajuće elektroničke usluge (e-usluge) u javnoj upravi. Takva pravila je potrebno donijeti čime će se omogućiti razvoj e-usluga potpuno usmjerenih i prilagođenih potrebama krajnjih korisnika. e-Usluge korisnici ne bi trebali tražiti među stotinama internetskih stranica tijela javne uprave, nego na jedinstvenom mjestu - središnjem državnom portalu, koji je pokrenut kao prvi od projekata u cilju izgradnje jedinstvenih pristupnih točaka javnoj upravi u svim komunikacijskim kanalima (internet, televizija, šalteri).</w:t>
      </w:r>
    </w:p>
    <w:p w:rsidR="00D849AA" w:rsidRDefault="00EE6D95">
      <w:pPr>
        <w:pStyle w:val="Naslov7"/>
      </w:pPr>
      <w:r>
        <w:t>Cilj 4. Unaprijediti sustav podrške za koordinaciju razvoja cjelovitih, integriranih usluga</w:t>
      </w:r>
    </w:p>
    <w:p w:rsidR="00D849AA" w:rsidRDefault="00EE6D95">
      <w:pPr>
        <w:pStyle w:val="Normal6"/>
      </w:pPr>
      <w:r>
        <w:t xml:space="preserve">Prikupljanje dokumenata, dostava podataka te dobivanje dozvola predstavlja velik problem, kako građanima tako i poslovnim subjektima. Prikupljeni dokumenti potrebni su obično drugim tijelima javnog sektora, a ne osobama koje ih prikupljaju. Obzirom da </w:t>
      </w:r>
      <w:r>
        <w:lastRenderedPageBreak/>
        <w:t xml:space="preserve">Zakon o općem upravnom postupku (NN 47/09), kao i Zakon o sustavu državne uprave (NN 150/2011), čl. 82. propisuju da je obveza službenika da sami pribave uvjerenja o činjenicama iz službenih evidencija, pa je nužno povezivati cijeli poslovni proces upravnog postupanja, bez obzira na instituciju te strankama dati cjelovitu i integralnu uslugu. </w:t>
      </w:r>
    </w:p>
    <w:p w:rsidR="00D849AA" w:rsidRDefault="00EE6D95">
      <w:pPr>
        <w:pStyle w:val="Normal6"/>
      </w:pPr>
      <w:r>
        <w:t>Sustavi koji se za tu namjenu razviju moraju biti adekvatno održavani i mora im biti osigurana adekvatna podrška. Naime, dobra praksa u uspostavi cjelovitih i integriranih sustava mora biti primijenjena od strane svih tijela javne uprave. S druge strane, Ministarstvo uprave kao nadležno tijelo za poticanje informatizacije javnog sektora planira na svom primjeru pokazati mogućnosti primjene ICT-a kao podrške smanjenju administrativnih prepreka i razvoju e-uprave. Za ostvarenje tog cilj bit će nužno ujednačiti organizaciju vođenja ICT projekata po tijelima državne uprave koje trebaju voditi obrazovani i kompetentni stručnjaci ustrojstveno smješteni u samostalne ustrojstvene jedinice.</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305"/>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Ustrojstvene jedinice za ICT ustrojene direktno pod čelnikom</w:t>
            </w:r>
          </w:p>
        </w:tc>
        <w:tc>
          <w:tcPr>
            <w:tcW w:w="1114" w:type="dxa"/>
          </w:tcPr>
          <w:p w:rsidR="00D849AA" w:rsidRDefault="00EE6D95">
            <w:r>
              <w:t>Broj tijela u kojima je uspostavljena samostalnost</w:t>
            </w:r>
          </w:p>
        </w:tc>
        <w:tc>
          <w:tcPr>
            <w:tcW w:w="1114" w:type="dxa"/>
          </w:tcPr>
          <w:p w:rsidR="00D849AA" w:rsidRDefault="00EE6D95">
            <w:r>
              <w:t>0%</w:t>
            </w:r>
          </w:p>
        </w:tc>
        <w:tc>
          <w:tcPr>
            <w:tcW w:w="1486" w:type="dxa"/>
          </w:tcPr>
          <w:p w:rsidR="00D849AA" w:rsidRDefault="00EE6D95">
            <w:r>
              <w:t>10%</w:t>
            </w:r>
          </w:p>
        </w:tc>
        <w:tc>
          <w:tcPr>
            <w:tcW w:w="1486" w:type="dxa"/>
          </w:tcPr>
          <w:p w:rsidR="00D849AA" w:rsidRDefault="00EE6D95">
            <w:r>
              <w:t>50%</w:t>
            </w:r>
          </w:p>
        </w:tc>
        <w:tc>
          <w:tcPr>
            <w:tcW w:w="1486" w:type="dxa"/>
          </w:tcPr>
          <w:p w:rsidR="00D849AA" w:rsidRDefault="00EE6D95">
            <w:r>
              <w:t>75%</w:t>
            </w:r>
          </w:p>
        </w:tc>
      </w:tr>
      <w:tr w:rsidR="00D849AA">
        <w:trPr>
          <w:jc w:val="center"/>
        </w:trPr>
        <w:tc>
          <w:tcPr>
            <w:tcW w:w="2229" w:type="dxa"/>
          </w:tcPr>
          <w:p w:rsidR="00D849AA" w:rsidRDefault="00EE6D95">
            <w:pPr>
              <w:pStyle w:val="CellColumn"/>
            </w:pPr>
            <w:r>
              <w:t>Edukacija više ciljnih skupina za ICT</w:t>
            </w:r>
          </w:p>
        </w:tc>
        <w:tc>
          <w:tcPr>
            <w:tcW w:w="1114" w:type="dxa"/>
          </w:tcPr>
          <w:p w:rsidR="00D849AA" w:rsidRDefault="00EE6D95">
            <w:r>
              <w:t>Broj educiranih djelatnika</w:t>
            </w:r>
          </w:p>
        </w:tc>
        <w:tc>
          <w:tcPr>
            <w:tcW w:w="1114" w:type="dxa"/>
          </w:tcPr>
          <w:p w:rsidR="00D849AA" w:rsidRDefault="00EE6D95">
            <w:r>
              <w:t>0%</w:t>
            </w:r>
          </w:p>
        </w:tc>
        <w:tc>
          <w:tcPr>
            <w:tcW w:w="1486" w:type="dxa"/>
          </w:tcPr>
          <w:p w:rsidR="00D849AA" w:rsidRDefault="00EE6D95">
            <w:r>
              <w:t>10%</w:t>
            </w:r>
          </w:p>
        </w:tc>
        <w:tc>
          <w:tcPr>
            <w:tcW w:w="1486" w:type="dxa"/>
          </w:tcPr>
          <w:p w:rsidR="00D849AA" w:rsidRDefault="00EE6D95">
            <w:r>
              <w:t>50%</w:t>
            </w:r>
          </w:p>
        </w:tc>
        <w:tc>
          <w:tcPr>
            <w:tcW w:w="1486" w:type="dxa"/>
          </w:tcPr>
          <w:p w:rsidR="00D849AA" w:rsidRDefault="00EE6D95">
            <w:r>
              <w:t>75%</w:t>
            </w:r>
          </w:p>
        </w:tc>
      </w:tr>
    </w:tbl>
    <w:p w:rsidR="00D849AA" w:rsidRDefault="00D849AA">
      <w:pPr>
        <w:jc w:val="left"/>
      </w:pPr>
    </w:p>
    <w:p w:rsidR="00D849AA" w:rsidRDefault="00EE6D95">
      <w:pPr>
        <w:pStyle w:val="Naslov5"/>
      </w:pPr>
      <w:r>
        <w:t>Procjena i ishodište potrebnih sredstava za značajnije aktivnosti/projekte</w:t>
      </w:r>
    </w:p>
    <w:p w:rsidR="00D849AA" w:rsidRDefault="00EE6D95">
      <w:pPr>
        <w:pStyle w:val="Naslov6"/>
      </w:pPr>
      <w:r>
        <w:t>A677016 ELEKTRONIČKA UPRAVA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A677016</w:t>
            </w:r>
          </w:p>
        </w:tc>
        <w:tc>
          <w:tcPr>
            <w:tcW w:w="1486" w:type="dxa"/>
          </w:tcPr>
          <w:p w:rsidR="00D849AA" w:rsidRDefault="00EE6D95">
            <w:r>
              <w:t>2.926.000</w:t>
            </w:r>
          </w:p>
        </w:tc>
        <w:tc>
          <w:tcPr>
            <w:tcW w:w="1486" w:type="dxa"/>
          </w:tcPr>
          <w:p w:rsidR="00D849AA" w:rsidRDefault="00EE6D95">
            <w:r>
              <w:t>2.993.298</w:t>
            </w:r>
          </w:p>
        </w:tc>
        <w:tc>
          <w:tcPr>
            <w:tcW w:w="1486" w:type="dxa"/>
          </w:tcPr>
          <w:p w:rsidR="00D849AA" w:rsidRDefault="00EE6D95">
            <w:r>
              <w:t>3.500.000</w:t>
            </w:r>
          </w:p>
        </w:tc>
        <w:tc>
          <w:tcPr>
            <w:tcW w:w="1486" w:type="dxa"/>
          </w:tcPr>
          <w:p w:rsidR="00D849AA" w:rsidRDefault="00EE6D95">
            <w:r>
              <w:t>3.896.064</w:t>
            </w:r>
          </w:p>
        </w:tc>
        <w:tc>
          <w:tcPr>
            <w:tcW w:w="1486" w:type="dxa"/>
          </w:tcPr>
          <w:p w:rsidR="00D849AA" w:rsidRDefault="00EE6D95">
            <w:r>
              <w:t>102,3</w:t>
            </w:r>
          </w:p>
        </w:tc>
      </w:tr>
    </w:tbl>
    <w:p w:rsidR="00D849AA" w:rsidRDefault="00D849AA">
      <w:pPr>
        <w:jc w:val="left"/>
      </w:pPr>
    </w:p>
    <w:p w:rsidR="00D849AA" w:rsidRDefault="00EE6D95">
      <w:pPr>
        <w:pStyle w:val="Normal6"/>
      </w:pPr>
      <w:r>
        <w:t>Provedba programa Elektroničke uprave omogućit će racionalizaciju poslovanja tijela državne uprave, uvođenje normi i standarda razvoja informatičkih rješenja koja su ključna za domaće IKT tržište te u konačnici smanjenje administrativnih opterećenja za građane i gospodarske subjekte kao korisnike javnih usluga, stoga je provedba programa jednako značajna za državnu upravu, IKT tržište te krajnje korisnike javnih usluga.</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3"/>
        <w:gridCol w:w="1505"/>
        <w:gridCol w:w="1114"/>
        <w:gridCol w:w="1482"/>
        <w:gridCol w:w="1482"/>
        <w:gridCol w:w="1482"/>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 xml:space="preserve">Unificiranje web sadržaja i sličnih </w:t>
            </w:r>
            <w:r>
              <w:lastRenderedPageBreak/>
              <w:t>sadržaja kroz portal gov.hr Moja uprava</w:t>
            </w:r>
          </w:p>
        </w:tc>
        <w:tc>
          <w:tcPr>
            <w:tcW w:w="1114" w:type="dxa"/>
          </w:tcPr>
          <w:p w:rsidR="00D849AA" w:rsidRDefault="00EE6D95">
            <w:r>
              <w:lastRenderedPageBreak/>
              <w:t xml:space="preserve">Broj tijela na jednistvenom </w:t>
            </w:r>
            <w:r>
              <w:lastRenderedPageBreak/>
              <w:t>rješenju</w:t>
            </w:r>
          </w:p>
        </w:tc>
        <w:tc>
          <w:tcPr>
            <w:tcW w:w="1114" w:type="dxa"/>
          </w:tcPr>
          <w:p w:rsidR="00D849AA" w:rsidRDefault="00EE6D95">
            <w:r>
              <w:lastRenderedPageBreak/>
              <w:t>14</w:t>
            </w:r>
          </w:p>
        </w:tc>
        <w:tc>
          <w:tcPr>
            <w:tcW w:w="1486" w:type="dxa"/>
          </w:tcPr>
          <w:p w:rsidR="00D849AA" w:rsidRDefault="00EE6D95">
            <w:r>
              <w:t>44</w:t>
            </w:r>
          </w:p>
        </w:tc>
        <w:tc>
          <w:tcPr>
            <w:tcW w:w="1486" w:type="dxa"/>
          </w:tcPr>
          <w:p w:rsidR="00D849AA" w:rsidRDefault="00EE6D95">
            <w:r>
              <w:t>44</w:t>
            </w:r>
          </w:p>
        </w:tc>
        <w:tc>
          <w:tcPr>
            <w:tcW w:w="1486" w:type="dxa"/>
          </w:tcPr>
          <w:p w:rsidR="00D849AA" w:rsidRDefault="00EE6D95">
            <w:r>
              <w:t>44</w:t>
            </w:r>
          </w:p>
        </w:tc>
      </w:tr>
      <w:tr w:rsidR="00D849AA">
        <w:trPr>
          <w:jc w:val="center"/>
        </w:trPr>
        <w:tc>
          <w:tcPr>
            <w:tcW w:w="2229" w:type="dxa"/>
          </w:tcPr>
          <w:p w:rsidR="00D849AA" w:rsidRDefault="00EE6D95">
            <w:pPr>
              <w:pStyle w:val="CellColumn"/>
            </w:pPr>
            <w:r>
              <w:lastRenderedPageBreak/>
              <w:t>Broj državnih tjela  koja su proizvela službene obrasce u elektroničkom obliku dostupne građanima</w:t>
            </w:r>
          </w:p>
        </w:tc>
        <w:tc>
          <w:tcPr>
            <w:tcW w:w="1114" w:type="dxa"/>
          </w:tcPr>
          <w:p w:rsidR="00D849AA" w:rsidRDefault="00EE6D95">
            <w:r>
              <w:t>Broj državnih tijela</w:t>
            </w:r>
          </w:p>
        </w:tc>
        <w:tc>
          <w:tcPr>
            <w:tcW w:w="1114" w:type="dxa"/>
          </w:tcPr>
          <w:p w:rsidR="00D849AA" w:rsidRDefault="00EE6D95">
            <w:r>
              <w:t>0</w:t>
            </w:r>
          </w:p>
        </w:tc>
        <w:tc>
          <w:tcPr>
            <w:tcW w:w="1486" w:type="dxa"/>
          </w:tcPr>
          <w:p w:rsidR="00D849AA" w:rsidRDefault="00EE6D95">
            <w:r>
              <w:t>20</w:t>
            </w:r>
          </w:p>
        </w:tc>
        <w:tc>
          <w:tcPr>
            <w:tcW w:w="1486" w:type="dxa"/>
          </w:tcPr>
          <w:p w:rsidR="00D849AA" w:rsidRDefault="00EE6D95">
            <w:r>
              <w:t>32</w:t>
            </w:r>
          </w:p>
        </w:tc>
        <w:tc>
          <w:tcPr>
            <w:tcW w:w="1486" w:type="dxa"/>
          </w:tcPr>
          <w:p w:rsidR="00D849AA" w:rsidRDefault="00EE6D95">
            <w:r>
              <w:t>50</w:t>
            </w:r>
          </w:p>
        </w:tc>
      </w:tr>
      <w:tr w:rsidR="00D849AA">
        <w:trPr>
          <w:jc w:val="center"/>
        </w:trPr>
        <w:tc>
          <w:tcPr>
            <w:tcW w:w="2229" w:type="dxa"/>
          </w:tcPr>
          <w:p w:rsidR="00D849AA" w:rsidRDefault="00EE6D95">
            <w:pPr>
              <w:pStyle w:val="CellColumn"/>
            </w:pPr>
            <w:r>
              <w:t xml:space="preserve">Broj obrazaca u elektroničkom obliku koji su dostupni građanima </w:t>
            </w:r>
          </w:p>
          <w:p w:rsidR="00D849AA" w:rsidRDefault="00EE6D95">
            <w:pPr>
              <w:pStyle w:val="CellColumn"/>
            </w:pPr>
            <w:r>
              <w:t>(analiza prema pojedinačnom TDU)</w:t>
            </w:r>
          </w:p>
        </w:tc>
        <w:tc>
          <w:tcPr>
            <w:tcW w:w="1114" w:type="dxa"/>
          </w:tcPr>
          <w:p w:rsidR="00D849AA" w:rsidRDefault="00EE6D95">
            <w:r>
              <w:t>Broj dostupnih e-obrazaca</w:t>
            </w:r>
          </w:p>
        </w:tc>
        <w:tc>
          <w:tcPr>
            <w:tcW w:w="1114" w:type="dxa"/>
          </w:tcPr>
          <w:p w:rsidR="00D849AA" w:rsidRDefault="00EE6D95">
            <w:r>
              <w:t>0%</w:t>
            </w:r>
          </w:p>
        </w:tc>
        <w:tc>
          <w:tcPr>
            <w:tcW w:w="1486" w:type="dxa"/>
          </w:tcPr>
          <w:p w:rsidR="00D849AA" w:rsidRDefault="00EE6D95">
            <w:r>
              <w:t>50%</w:t>
            </w:r>
          </w:p>
        </w:tc>
        <w:tc>
          <w:tcPr>
            <w:tcW w:w="1486" w:type="dxa"/>
          </w:tcPr>
          <w:p w:rsidR="00D849AA" w:rsidRDefault="00EE6D95">
            <w:r>
              <w:t>60%</w:t>
            </w:r>
          </w:p>
        </w:tc>
        <w:tc>
          <w:tcPr>
            <w:tcW w:w="1486" w:type="dxa"/>
          </w:tcPr>
          <w:p w:rsidR="00D849AA" w:rsidRDefault="00EE6D95">
            <w:r>
              <w:t>70%</w:t>
            </w:r>
          </w:p>
        </w:tc>
      </w:tr>
      <w:tr w:rsidR="00D849AA">
        <w:trPr>
          <w:jc w:val="center"/>
        </w:trPr>
        <w:tc>
          <w:tcPr>
            <w:tcW w:w="2229" w:type="dxa"/>
          </w:tcPr>
          <w:p w:rsidR="00D849AA" w:rsidRDefault="00EE6D95">
            <w:pPr>
              <w:pStyle w:val="CellColumn"/>
            </w:pPr>
            <w:r>
              <w:t>Dodjeljivanje elektroničkih identiteta građanima za pristup elektroničkim uslugama</w:t>
            </w:r>
          </w:p>
        </w:tc>
        <w:tc>
          <w:tcPr>
            <w:tcW w:w="1114" w:type="dxa"/>
          </w:tcPr>
          <w:p w:rsidR="00D849AA" w:rsidRDefault="00EE6D95">
            <w:r>
              <w:t>Broj dodijeljenih elektroničkih identiteta</w:t>
            </w:r>
          </w:p>
        </w:tc>
        <w:tc>
          <w:tcPr>
            <w:tcW w:w="1114" w:type="dxa"/>
          </w:tcPr>
          <w:p w:rsidR="00D849AA" w:rsidRDefault="00EE6D95">
            <w:r>
              <w:t>100</w:t>
            </w:r>
          </w:p>
        </w:tc>
        <w:tc>
          <w:tcPr>
            <w:tcW w:w="1486" w:type="dxa"/>
          </w:tcPr>
          <w:p w:rsidR="00D849AA" w:rsidRDefault="00EE6D95">
            <w:r>
              <w:t>1.000</w:t>
            </w:r>
          </w:p>
        </w:tc>
        <w:tc>
          <w:tcPr>
            <w:tcW w:w="1486" w:type="dxa"/>
          </w:tcPr>
          <w:p w:rsidR="00D849AA" w:rsidRDefault="00EE6D95">
            <w:r>
              <w:t>10.000</w:t>
            </w:r>
          </w:p>
        </w:tc>
        <w:tc>
          <w:tcPr>
            <w:tcW w:w="1486" w:type="dxa"/>
          </w:tcPr>
          <w:p w:rsidR="00D849AA" w:rsidRDefault="00EE6D95">
            <w:r>
              <w:t>25.000</w:t>
            </w:r>
          </w:p>
        </w:tc>
      </w:tr>
      <w:tr w:rsidR="00D849AA">
        <w:trPr>
          <w:jc w:val="center"/>
        </w:trPr>
        <w:tc>
          <w:tcPr>
            <w:tcW w:w="2229" w:type="dxa"/>
          </w:tcPr>
          <w:p w:rsidR="00D849AA" w:rsidRDefault="00EE6D95">
            <w:pPr>
              <w:pStyle w:val="CellColumn"/>
            </w:pPr>
            <w:r>
              <w:t>Tijela državne uprave komuniciraju standardnim sigurnim elektorničkim putem</w:t>
            </w:r>
          </w:p>
        </w:tc>
        <w:tc>
          <w:tcPr>
            <w:tcW w:w="1114" w:type="dxa"/>
          </w:tcPr>
          <w:p w:rsidR="00D849AA" w:rsidRDefault="00EE6D95">
            <w:r>
              <w:t>Broj tijela javne uprave koja koriste elektroničku komunikaciju</w:t>
            </w:r>
          </w:p>
        </w:tc>
        <w:tc>
          <w:tcPr>
            <w:tcW w:w="1114" w:type="dxa"/>
          </w:tcPr>
          <w:p w:rsidR="00D849AA" w:rsidRDefault="00EE6D95">
            <w:r>
              <w:t>1</w:t>
            </w:r>
          </w:p>
        </w:tc>
        <w:tc>
          <w:tcPr>
            <w:tcW w:w="1486" w:type="dxa"/>
          </w:tcPr>
          <w:p w:rsidR="00D849AA" w:rsidRDefault="00EE6D95">
            <w:r>
              <w:t>3</w:t>
            </w:r>
          </w:p>
        </w:tc>
        <w:tc>
          <w:tcPr>
            <w:tcW w:w="1486" w:type="dxa"/>
          </w:tcPr>
          <w:p w:rsidR="00D849AA" w:rsidRDefault="00EE6D95">
            <w:r>
              <w:t>5</w:t>
            </w:r>
          </w:p>
        </w:tc>
        <w:tc>
          <w:tcPr>
            <w:tcW w:w="1486" w:type="dxa"/>
          </w:tcPr>
          <w:p w:rsidR="00D849AA" w:rsidRDefault="00EE6D95">
            <w:r>
              <w:t>9</w:t>
            </w:r>
          </w:p>
        </w:tc>
      </w:tr>
      <w:tr w:rsidR="00D849AA">
        <w:trPr>
          <w:jc w:val="center"/>
        </w:trPr>
        <w:tc>
          <w:tcPr>
            <w:tcW w:w="2229" w:type="dxa"/>
          </w:tcPr>
          <w:p w:rsidR="00D849AA" w:rsidRDefault="00EE6D95">
            <w:pPr>
              <w:pStyle w:val="CellColumn"/>
            </w:pPr>
            <w:r>
              <w:t>Pripremljena Uredba o elektroničkom uredskom poslovanju</w:t>
            </w:r>
          </w:p>
        </w:tc>
        <w:tc>
          <w:tcPr>
            <w:tcW w:w="1114" w:type="dxa"/>
          </w:tcPr>
          <w:p w:rsidR="00D849AA" w:rsidRDefault="00EE6D95">
            <w:r>
              <w:t>Broj uredbi</w:t>
            </w:r>
          </w:p>
        </w:tc>
        <w:tc>
          <w:tcPr>
            <w:tcW w:w="1114" w:type="dxa"/>
          </w:tcPr>
          <w:p w:rsidR="00D849AA" w:rsidRDefault="00EE6D95">
            <w:r>
              <w:t>1</w:t>
            </w:r>
          </w:p>
        </w:tc>
        <w:tc>
          <w:tcPr>
            <w:tcW w:w="1486" w:type="dxa"/>
          </w:tcPr>
          <w:p w:rsidR="00D849AA" w:rsidRDefault="00EE6D95">
            <w:r>
              <w:t>1</w:t>
            </w:r>
          </w:p>
        </w:tc>
        <w:tc>
          <w:tcPr>
            <w:tcW w:w="1486" w:type="dxa"/>
          </w:tcPr>
          <w:p w:rsidR="00D849AA" w:rsidRDefault="00EE6D95">
            <w:r>
              <w:t>1</w:t>
            </w:r>
          </w:p>
        </w:tc>
        <w:tc>
          <w:tcPr>
            <w:tcW w:w="1486" w:type="dxa"/>
          </w:tcPr>
          <w:p w:rsidR="00D849AA" w:rsidRDefault="00EE6D95">
            <w:r>
              <w:t>1</w:t>
            </w:r>
          </w:p>
        </w:tc>
      </w:tr>
      <w:tr w:rsidR="00D849AA">
        <w:trPr>
          <w:jc w:val="center"/>
        </w:trPr>
        <w:tc>
          <w:tcPr>
            <w:tcW w:w="2229" w:type="dxa"/>
          </w:tcPr>
          <w:p w:rsidR="00D849AA" w:rsidRDefault="00EE6D95">
            <w:pPr>
              <w:pStyle w:val="CellColumn"/>
            </w:pPr>
            <w:r>
              <w:t>Uspostavljen središnji sustav elektroničkog uredskog poslovanja</w:t>
            </w:r>
          </w:p>
        </w:tc>
        <w:tc>
          <w:tcPr>
            <w:tcW w:w="1114" w:type="dxa"/>
          </w:tcPr>
          <w:p w:rsidR="00D849AA" w:rsidRDefault="00EE6D95">
            <w:r>
              <w:t>Broj usluga obuhvaćen katalogom</w:t>
            </w:r>
          </w:p>
        </w:tc>
        <w:tc>
          <w:tcPr>
            <w:tcW w:w="1114" w:type="dxa"/>
          </w:tcPr>
          <w:p w:rsidR="00D849AA" w:rsidRDefault="00EE6D95">
            <w:r>
              <w:t>20</w:t>
            </w:r>
          </w:p>
        </w:tc>
        <w:tc>
          <w:tcPr>
            <w:tcW w:w="1486" w:type="dxa"/>
          </w:tcPr>
          <w:p w:rsidR="00D849AA" w:rsidRDefault="00EE6D95">
            <w:r>
              <w:t>30</w:t>
            </w:r>
          </w:p>
        </w:tc>
        <w:tc>
          <w:tcPr>
            <w:tcW w:w="1486" w:type="dxa"/>
          </w:tcPr>
          <w:p w:rsidR="00D849AA" w:rsidRDefault="00EE6D95">
            <w:r>
              <w:t>40</w:t>
            </w:r>
          </w:p>
        </w:tc>
        <w:tc>
          <w:tcPr>
            <w:tcW w:w="1486" w:type="dxa"/>
          </w:tcPr>
          <w:p w:rsidR="00D849AA" w:rsidRDefault="00EE6D95">
            <w:r>
              <w:t>50</w:t>
            </w:r>
          </w:p>
        </w:tc>
      </w:tr>
      <w:tr w:rsidR="00D849AA">
        <w:trPr>
          <w:jc w:val="center"/>
        </w:trPr>
        <w:tc>
          <w:tcPr>
            <w:tcW w:w="2229" w:type="dxa"/>
          </w:tcPr>
          <w:p w:rsidR="00D849AA" w:rsidRDefault="00EE6D95">
            <w:pPr>
              <w:pStyle w:val="CellColumn"/>
            </w:pPr>
            <w:r>
              <w:t>Repozitorij procesa javne uprave koji sadrži pregled procesa standardnih poslova javne uprave</w:t>
            </w:r>
          </w:p>
        </w:tc>
        <w:tc>
          <w:tcPr>
            <w:tcW w:w="1114" w:type="dxa"/>
          </w:tcPr>
          <w:p w:rsidR="00D849AA" w:rsidRDefault="00EE6D95">
            <w:r>
              <w:t>Broj standardnih procesa za koje je pripremljen pregled</w:t>
            </w:r>
          </w:p>
        </w:tc>
        <w:tc>
          <w:tcPr>
            <w:tcW w:w="1114" w:type="dxa"/>
          </w:tcPr>
          <w:p w:rsidR="00D849AA" w:rsidRDefault="00EE6D95">
            <w:r>
              <w:t>1</w:t>
            </w:r>
          </w:p>
        </w:tc>
        <w:tc>
          <w:tcPr>
            <w:tcW w:w="1486" w:type="dxa"/>
          </w:tcPr>
          <w:p w:rsidR="00D849AA" w:rsidRDefault="00EE6D95">
            <w:r>
              <w:t>3</w:t>
            </w:r>
          </w:p>
        </w:tc>
        <w:tc>
          <w:tcPr>
            <w:tcW w:w="1486" w:type="dxa"/>
          </w:tcPr>
          <w:p w:rsidR="00D849AA" w:rsidRDefault="00EE6D95">
            <w:r>
              <w:t>5</w:t>
            </w:r>
          </w:p>
        </w:tc>
        <w:tc>
          <w:tcPr>
            <w:tcW w:w="1486" w:type="dxa"/>
          </w:tcPr>
          <w:p w:rsidR="00D849AA" w:rsidRDefault="00EE6D95">
            <w:r>
              <w:t>7</w:t>
            </w:r>
          </w:p>
        </w:tc>
      </w:tr>
      <w:tr w:rsidR="00D849AA">
        <w:trPr>
          <w:jc w:val="center"/>
        </w:trPr>
        <w:tc>
          <w:tcPr>
            <w:tcW w:w="2229" w:type="dxa"/>
          </w:tcPr>
          <w:p w:rsidR="00D849AA" w:rsidRDefault="00EE6D95">
            <w:pPr>
              <w:pStyle w:val="CellColumn"/>
            </w:pPr>
            <w:r>
              <w:t>Repozitorij procesa javne uprave koji sadrži pregled gotovih e-rješenja</w:t>
            </w:r>
          </w:p>
        </w:tc>
        <w:tc>
          <w:tcPr>
            <w:tcW w:w="1114" w:type="dxa"/>
          </w:tcPr>
          <w:p w:rsidR="00D849AA" w:rsidRDefault="00EE6D95">
            <w:r>
              <w:t>Broj standardnih procesa za koje je pripremljen pregled</w:t>
            </w:r>
          </w:p>
        </w:tc>
        <w:tc>
          <w:tcPr>
            <w:tcW w:w="1114" w:type="dxa"/>
          </w:tcPr>
          <w:p w:rsidR="00D849AA" w:rsidRDefault="00EE6D95">
            <w:r>
              <w:t>1</w:t>
            </w:r>
          </w:p>
        </w:tc>
        <w:tc>
          <w:tcPr>
            <w:tcW w:w="1486" w:type="dxa"/>
          </w:tcPr>
          <w:p w:rsidR="00D849AA" w:rsidRDefault="00EE6D95">
            <w:r>
              <w:t>3</w:t>
            </w:r>
          </w:p>
        </w:tc>
        <w:tc>
          <w:tcPr>
            <w:tcW w:w="1486" w:type="dxa"/>
          </w:tcPr>
          <w:p w:rsidR="00D849AA" w:rsidRDefault="00EE6D95">
            <w:r>
              <w:t>5</w:t>
            </w:r>
          </w:p>
        </w:tc>
        <w:tc>
          <w:tcPr>
            <w:tcW w:w="1486" w:type="dxa"/>
          </w:tcPr>
          <w:p w:rsidR="00D849AA" w:rsidRDefault="00EE6D95">
            <w:r>
              <w:t>7</w:t>
            </w:r>
          </w:p>
        </w:tc>
      </w:tr>
      <w:tr w:rsidR="00D849AA">
        <w:trPr>
          <w:jc w:val="center"/>
        </w:trPr>
        <w:tc>
          <w:tcPr>
            <w:tcW w:w="2229" w:type="dxa"/>
          </w:tcPr>
          <w:p w:rsidR="00D849AA" w:rsidRDefault="00EE6D95">
            <w:pPr>
              <w:pStyle w:val="CellColumn"/>
            </w:pPr>
            <w:r>
              <w:t>Korisnički pretinac</w:t>
            </w:r>
          </w:p>
        </w:tc>
        <w:tc>
          <w:tcPr>
            <w:tcW w:w="1114" w:type="dxa"/>
          </w:tcPr>
          <w:p w:rsidR="00D849AA" w:rsidRDefault="00EE6D95">
            <w:r>
              <w:t>broj korisnika</w:t>
            </w:r>
          </w:p>
        </w:tc>
        <w:tc>
          <w:tcPr>
            <w:tcW w:w="1114" w:type="dxa"/>
          </w:tcPr>
          <w:p w:rsidR="00D849AA" w:rsidRDefault="00EE6D95">
            <w:r>
              <w:t>100</w:t>
            </w:r>
          </w:p>
        </w:tc>
        <w:tc>
          <w:tcPr>
            <w:tcW w:w="1486" w:type="dxa"/>
          </w:tcPr>
          <w:p w:rsidR="00D849AA" w:rsidRDefault="00EE6D95">
            <w:r>
              <w:t>10.000</w:t>
            </w:r>
          </w:p>
        </w:tc>
        <w:tc>
          <w:tcPr>
            <w:tcW w:w="1486" w:type="dxa"/>
          </w:tcPr>
          <w:p w:rsidR="00D849AA" w:rsidRDefault="00EE6D95">
            <w:r>
              <w:t>50.000</w:t>
            </w:r>
          </w:p>
        </w:tc>
        <w:tc>
          <w:tcPr>
            <w:tcW w:w="1486" w:type="dxa"/>
          </w:tcPr>
          <w:p w:rsidR="00D849AA" w:rsidRDefault="00EE6D95">
            <w:r>
              <w:t>70.000</w:t>
            </w:r>
          </w:p>
        </w:tc>
      </w:tr>
      <w:tr w:rsidR="00D849AA">
        <w:trPr>
          <w:jc w:val="center"/>
        </w:trPr>
        <w:tc>
          <w:tcPr>
            <w:tcW w:w="2229" w:type="dxa"/>
          </w:tcPr>
          <w:p w:rsidR="00D849AA" w:rsidRDefault="00EE6D95">
            <w:pPr>
              <w:pStyle w:val="CellColumn"/>
            </w:pPr>
            <w:r>
              <w:t>Uspostavljen sustav za praćenje projekata u javnom sektoru</w:t>
            </w:r>
          </w:p>
        </w:tc>
        <w:tc>
          <w:tcPr>
            <w:tcW w:w="1114" w:type="dxa"/>
          </w:tcPr>
          <w:p w:rsidR="00D849AA" w:rsidRDefault="00EE6D95">
            <w:r>
              <w:t>Postotak uspostavljenosti sustava</w:t>
            </w:r>
          </w:p>
        </w:tc>
        <w:tc>
          <w:tcPr>
            <w:tcW w:w="1114" w:type="dxa"/>
          </w:tcPr>
          <w:p w:rsidR="00D849AA" w:rsidRDefault="00EE6D95">
            <w:r>
              <w:t>0%</w:t>
            </w:r>
          </w:p>
        </w:tc>
        <w:tc>
          <w:tcPr>
            <w:tcW w:w="1486" w:type="dxa"/>
          </w:tcPr>
          <w:p w:rsidR="00D849AA" w:rsidRDefault="00EE6D95">
            <w:r>
              <w:t>0%</w:t>
            </w:r>
          </w:p>
        </w:tc>
        <w:tc>
          <w:tcPr>
            <w:tcW w:w="1486" w:type="dxa"/>
          </w:tcPr>
          <w:p w:rsidR="00D849AA" w:rsidRDefault="00EE6D95">
            <w:r>
              <w:t>100%</w:t>
            </w:r>
          </w:p>
        </w:tc>
        <w:tc>
          <w:tcPr>
            <w:tcW w:w="1486" w:type="dxa"/>
          </w:tcPr>
          <w:p w:rsidR="00D849AA" w:rsidRDefault="00EE6D95">
            <w:r>
              <w:t>100%</w:t>
            </w:r>
          </w:p>
        </w:tc>
      </w:tr>
      <w:tr w:rsidR="00D849AA">
        <w:trPr>
          <w:jc w:val="center"/>
        </w:trPr>
        <w:tc>
          <w:tcPr>
            <w:tcW w:w="2229" w:type="dxa"/>
          </w:tcPr>
          <w:p w:rsidR="00D849AA" w:rsidRDefault="00EE6D95">
            <w:pPr>
              <w:pStyle w:val="CellColumn"/>
            </w:pPr>
            <w:r>
              <w:t>Uspostavljen sustav nadzora nad pokretanjem projekata veće vrijednosti</w:t>
            </w:r>
          </w:p>
        </w:tc>
        <w:tc>
          <w:tcPr>
            <w:tcW w:w="1114" w:type="dxa"/>
          </w:tcPr>
          <w:p w:rsidR="00D849AA" w:rsidRDefault="00EE6D95">
            <w:r>
              <w:t>Uspostavljen sustav</w:t>
            </w:r>
          </w:p>
        </w:tc>
        <w:tc>
          <w:tcPr>
            <w:tcW w:w="1114" w:type="dxa"/>
          </w:tcPr>
          <w:p w:rsidR="00D849AA" w:rsidRDefault="00EE6D95">
            <w:r>
              <w:t>0%</w:t>
            </w:r>
          </w:p>
        </w:tc>
        <w:tc>
          <w:tcPr>
            <w:tcW w:w="1486" w:type="dxa"/>
          </w:tcPr>
          <w:p w:rsidR="00D849AA" w:rsidRDefault="00EE6D95">
            <w:r>
              <w:t>0%</w:t>
            </w:r>
          </w:p>
        </w:tc>
        <w:tc>
          <w:tcPr>
            <w:tcW w:w="1486" w:type="dxa"/>
          </w:tcPr>
          <w:p w:rsidR="00D849AA" w:rsidRDefault="00EE6D95">
            <w:r>
              <w:t>100%</w:t>
            </w:r>
          </w:p>
        </w:tc>
        <w:tc>
          <w:tcPr>
            <w:tcW w:w="1486" w:type="dxa"/>
          </w:tcPr>
          <w:p w:rsidR="00D849AA" w:rsidRDefault="00EE6D95">
            <w:r>
              <w:t>100%</w:t>
            </w:r>
          </w:p>
        </w:tc>
      </w:tr>
    </w:tbl>
    <w:p w:rsidR="00D849AA" w:rsidRDefault="00EE6D95">
      <w:pPr>
        <w:pStyle w:val="Naslov6"/>
      </w:pPr>
      <w:r>
        <w:lastRenderedPageBreak/>
        <w:t>A757012 RAČUNALNO - KOMUNIKACIJSKA MREŽA TIJELA DRŽAVNE UPRAVE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A757012</w:t>
            </w:r>
          </w:p>
        </w:tc>
        <w:tc>
          <w:tcPr>
            <w:tcW w:w="1486" w:type="dxa"/>
          </w:tcPr>
          <w:p w:rsidR="00D849AA" w:rsidRDefault="00EE6D95">
            <w:r>
              <w:t>4.506.077</w:t>
            </w:r>
          </w:p>
        </w:tc>
        <w:tc>
          <w:tcPr>
            <w:tcW w:w="1486" w:type="dxa"/>
          </w:tcPr>
          <w:p w:rsidR="00D849AA" w:rsidRDefault="00EE6D95">
            <w:r>
              <w:t>4.609.716</w:t>
            </w:r>
          </w:p>
        </w:tc>
        <w:tc>
          <w:tcPr>
            <w:tcW w:w="1486" w:type="dxa"/>
          </w:tcPr>
          <w:p w:rsidR="00D849AA" w:rsidRDefault="00EE6D95">
            <w:r>
              <w:t>5.500.000</w:t>
            </w:r>
          </w:p>
        </w:tc>
        <w:tc>
          <w:tcPr>
            <w:tcW w:w="1486" w:type="dxa"/>
          </w:tcPr>
          <w:p w:rsidR="00D849AA" w:rsidRDefault="00EE6D95">
            <w:r>
              <w:t>5.800.000</w:t>
            </w:r>
          </w:p>
        </w:tc>
        <w:tc>
          <w:tcPr>
            <w:tcW w:w="1486" w:type="dxa"/>
          </w:tcPr>
          <w:p w:rsidR="00D849AA" w:rsidRDefault="00EE6D95">
            <w:r>
              <w:t>102,3</w:t>
            </w:r>
          </w:p>
        </w:tc>
      </w:tr>
    </w:tbl>
    <w:p w:rsidR="00D849AA" w:rsidRDefault="00D849AA">
      <w:pPr>
        <w:jc w:val="left"/>
      </w:pPr>
    </w:p>
    <w:p w:rsidR="00D849AA" w:rsidRDefault="00EE6D95">
      <w:pPr>
        <w:pStyle w:val="Normal6"/>
      </w:pPr>
      <w:r>
        <w:t xml:space="preserve">Osnovna svrha Računalno-komunikacijske mreže – HITRONet-a je integriranje državnih informacijskih resursa kroz sigurnu privatnu širokopojasnu infrastrukturu, što obuhvaća povezivanje središnjih i udaljenih lokacija javnopravnih tijela na zajedničku podatkovnu mrežu radi efikasnijeg i jeftinijeg rada tijela državne uprave i razmjene elektroničkih podataka. Projekt je pokrenut Odlukom Vlade RH o uspostavi i pružanju usluga zajedničkih servisa sustava računalno-komunikacijske mreže javnopravnih tijela (Klasa: 650-03/02-011/03, Urbroj: 5030118-02-1, od 28. ožujka 2002. godine). </w:t>
      </w:r>
    </w:p>
    <w:p w:rsidR="00D849AA" w:rsidRDefault="00EE6D95">
      <w:pPr>
        <w:pStyle w:val="Normal6"/>
      </w:pPr>
      <w:r>
        <w:t>Cilj Računalno-komunikacijske mreže tijela državne uprave je optimiran razvoj komunikacijske infrastrukture Računalno-komunikacijska mreža tijela državne uprave – HITRONeta kroz financiranje aktivnosti za osiguravanje redovitog funkcioniranja potreban je najam kapaciteta i usluga za spajanje preko 500 lokacija diljem Republike Hrvatske.</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327"/>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Realizacija sporazuma s trgovačkim društvima u državnom vlasništvu</w:t>
            </w:r>
          </w:p>
        </w:tc>
        <w:tc>
          <w:tcPr>
            <w:tcW w:w="1114" w:type="dxa"/>
          </w:tcPr>
          <w:p w:rsidR="00D849AA" w:rsidRDefault="00EE6D95">
            <w:r>
              <w:t>Broj spojnih čvorova</w:t>
            </w:r>
          </w:p>
        </w:tc>
        <w:tc>
          <w:tcPr>
            <w:tcW w:w="1114" w:type="dxa"/>
          </w:tcPr>
          <w:p w:rsidR="00D849AA" w:rsidRDefault="00EE6D95">
            <w:r>
              <w:t>0</w:t>
            </w:r>
          </w:p>
        </w:tc>
        <w:tc>
          <w:tcPr>
            <w:tcW w:w="1486" w:type="dxa"/>
          </w:tcPr>
          <w:p w:rsidR="00D849AA" w:rsidRDefault="00EE6D95">
            <w:r>
              <w:t>1</w:t>
            </w:r>
          </w:p>
        </w:tc>
        <w:tc>
          <w:tcPr>
            <w:tcW w:w="1486" w:type="dxa"/>
          </w:tcPr>
          <w:p w:rsidR="00D849AA" w:rsidRDefault="00EE6D95">
            <w:r>
              <w:t>2</w:t>
            </w:r>
          </w:p>
        </w:tc>
        <w:tc>
          <w:tcPr>
            <w:tcW w:w="1486" w:type="dxa"/>
          </w:tcPr>
          <w:p w:rsidR="00D849AA" w:rsidRDefault="00EE6D95">
            <w:r>
              <w:t>4</w:t>
            </w:r>
          </w:p>
        </w:tc>
      </w:tr>
      <w:tr w:rsidR="00D849AA">
        <w:trPr>
          <w:jc w:val="center"/>
        </w:trPr>
        <w:tc>
          <w:tcPr>
            <w:tcW w:w="2229" w:type="dxa"/>
          </w:tcPr>
          <w:p w:rsidR="00D849AA" w:rsidRDefault="00EE6D95">
            <w:pPr>
              <w:pStyle w:val="CellColumn"/>
            </w:pPr>
            <w:r>
              <w:t>Javna nabava zajedničkog pristupa internetu</w:t>
            </w:r>
          </w:p>
        </w:tc>
        <w:tc>
          <w:tcPr>
            <w:tcW w:w="1114" w:type="dxa"/>
          </w:tcPr>
          <w:p w:rsidR="00D849AA" w:rsidRDefault="00EE6D95">
            <w:r>
              <w:t>Postotak izvršenih priključivanja</w:t>
            </w:r>
          </w:p>
        </w:tc>
        <w:tc>
          <w:tcPr>
            <w:tcW w:w="1114" w:type="dxa"/>
          </w:tcPr>
          <w:p w:rsidR="00D849AA" w:rsidRDefault="00EE6D95">
            <w:r>
              <w:t>0%</w:t>
            </w:r>
          </w:p>
        </w:tc>
        <w:tc>
          <w:tcPr>
            <w:tcW w:w="1486" w:type="dxa"/>
          </w:tcPr>
          <w:p w:rsidR="00D849AA" w:rsidRDefault="00EE6D95">
            <w:r>
              <w:t>100%</w:t>
            </w:r>
          </w:p>
        </w:tc>
        <w:tc>
          <w:tcPr>
            <w:tcW w:w="1486" w:type="dxa"/>
          </w:tcPr>
          <w:p w:rsidR="00D849AA" w:rsidRDefault="00EE6D95">
            <w:r>
              <w:t>100%</w:t>
            </w:r>
          </w:p>
        </w:tc>
        <w:tc>
          <w:tcPr>
            <w:tcW w:w="1486" w:type="dxa"/>
          </w:tcPr>
          <w:p w:rsidR="00D849AA" w:rsidRDefault="00EE6D95">
            <w:r>
              <w:t>100%</w:t>
            </w:r>
          </w:p>
        </w:tc>
      </w:tr>
      <w:tr w:rsidR="00D849AA">
        <w:trPr>
          <w:jc w:val="center"/>
        </w:trPr>
        <w:tc>
          <w:tcPr>
            <w:tcW w:w="2229" w:type="dxa"/>
          </w:tcPr>
          <w:p w:rsidR="00D849AA" w:rsidRDefault="00EE6D95">
            <w:pPr>
              <w:pStyle w:val="CellColumn"/>
            </w:pPr>
            <w:r>
              <w:t>Javna nabava kapaciteta za podatkovni prijenos</w:t>
            </w:r>
          </w:p>
        </w:tc>
        <w:tc>
          <w:tcPr>
            <w:tcW w:w="1114" w:type="dxa"/>
          </w:tcPr>
          <w:p w:rsidR="00D849AA" w:rsidRDefault="00EE6D95">
            <w:r>
              <w:t>Postotak izvršenih priključivanja</w:t>
            </w:r>
          </w:p>
        </w:tc>
        <w:tc>
          <w:tcPr>
            <w:tcW w:w="1114" w:type="dxa"/>
          </w:tcPr>
          <w:p w:rsidR="00D849AA" w:rsidRDefault="00EE6D95">
            <w:r>
              <w:t>0%</w:t>
            </w:r>
          </w:p>
        </w:tc>
        <w:tc>
          <w:tcPr>
            <w:tcW w:w="1486" w:type="dxa"/>
          </w:tcPr>
          <w:p w:rsidR="00D849AA" w:rsidRDefault="00EE6D95">
            <w:r>
              <w:t>10%</w:t>
            </w:r>
          </w:p>
        </w:tc>
        <w:tc>
          <w:tcPr>
            <w:tcW w:w="1486" w:type="dxa"/>
          </w:tcPr>
          <w:p w:rsidR="00D849AA" w:rsidRDefault="00EE6D95">
            <w:r>
              <w:t>30%</w:t>
            </w:r>
          </w:p>
        </w:tc>
        <w:tc>
          <w:tcPr>
            <w:tcW w:w="1486" w:type="dxa"/>
          </w:tcPr>
          <w:p w:rsidR="00D849AA" w:rsidRDefault="00EE6D95">
            <w:r>
              <w:t>50%</w:t>
            </w:r>
          </w:p>
        </w:tc>
      </w:tr>
      <w:tr w:rsidR="00D849AA">
        <w:trPr>
          <w:jc w:val="center"/>
        </w:trPr>
        <w:tc>
          <w:tcPr>
            <w:tcW w:w="2229" w:type="dxa"/>
          </w:tcPr>
          <w:p w:rsidR="00D849AA" w:rsidRDefault="00EE6D95">
            <w:pPr>
              <w:pStyle w:val="CellColumn"/>
            </w:pPr>
            <w:r>
              <w:t>Javna nabava središnjeg linka za spajanje na javnu govornu mrežu</w:t>
            </w:r>
          </w:p>
        </w:tc>
        <w:tc>
          <w:tcPr>
            <w:tcW w:w="1114" w:type="dxa"/>
          </w:tcPr>
          <w:p w:rsidR="00D849AA" w:rsidRDefault="00EE6D95">
            <w:r>
              <w:t>Postotak izvršenih priključivanja</w:t>
            </w:r>
          </w:p>
        </w:tc>
        <w:tc>
          <w:tcPr>
            <w:tcW w:w="1114" w:type="dxa"/>
          </w:tcPr>
          <w:p w:rsidR="00D849AA" w:rsidRDefault="00EE6D95">
            <w:r>
              <w:t>0%</w:t>
            </w:r>
          </w:p>
        </w:tc>
        <w:tc>
          <w:tcPr>
            <w:tcW w:w="1486" w:type="dxa"/>
          </w:tcPr>
          <w:p w:rsidR="00D849AA" w:rsidRDefault="00EE6D95">
            <w:r>
              <w:t>0%</w:t>
            </w:r>
          </w:p>
        </w:tc>
        <w:tc>
          <w:tcPr>
            <w:tcW w:w="1486" w:type="dxa"/>
          </w:tcPr>
          <w:p w:rsidR="00D849AA" w:rsidRDefault="00EE6D95">
            <w:r>
              <w:t>100%</w:t>
            </w:r>
          </w:p>
        </w:tc>
        <w:tc>
          <w:tcPr>
            <w:tcW w:w="1486" w:type="dxa"/>
          </w:tcPr>
          <w:p w:rsidR="00D849AA" w:rsidRDefault="00EE6D95">
            <w:r>
              <w:t>100%</w:t>
            </w:r>
          </w:p>
        </w:tc>
      </w:tr>
      <w:tr w:rsidR="00D849AA">
        <w:trPr>
          <w:jc w:val="center"/>
        </w:trPr>
        <w:tc>
          <w:tcPr>
            <w:tcW w:w="2229" w:type="dxa"/>
          </w:tcPr>
          <w:p w:rsidR="00D849AA" w:rsidRDefault="00EE6D95">
            <w:pPr>
              <w:pStyle w:val="CellColumn"/>
            </w:pPr>
            <w:r>
              <w:t>Javna nabava komunikacijske opreme</w:t>
            </w:r>
          </w:p>
        </w:tc>
        <w:tc>
          <w:tcPr>
            <w:tcW w:w="1114" w:type="dxa"/>
          </w:tcPr>
          <w:p w:rsidR="00D849AA" w:rsidRDefault="00EE6D95">
            <w:r>
              <w:t>Postotak izvršenosti investicije</w:t>
            </w:r>
          </w:p>
        </w:tc>
        <w:tc>
          <w:tcPr>
            <w:tcW w:w="1114" w:type="dxa"/>
          </w:tcPr>
          <w:p w:rsidR="00D849AA" w:rsidRDefault="00EE6D95">
            <w:r>
              <w:t>0%</w:t>
            </w:r>
          </w:p>
        </w:tc>
        <w:tc>
          <w:tcPr>
            <w:tcW w:w="1486" w:type="dxa"/>
          </w:tcPr>
          <w:p w:rsidR="00D849AA" w:rsidRDefault="00EE6D95">
            <w:r>
              <w:t>5%</w:t>
            </w:r>
          </w:p>
        </w:tc>
        <w:tc>
          <w:tcPr>
            <w:tcW w:w="1486" w:type="dxa"/>
          </w:tcPr>
          <w:p w:rsidR="00D849AA" w:rsidRDefault="00EE6D95">
            <w:r>
              <w:t>10%</w:t>
            </w:r>
          </w:p>
        </w:tc>
        <w:tc>
          <w:tcPr>
            <w:tcW w:w="1486" w:type="dxa"/>
          </w:tcPr>
          <w:p w:rsidR="00D849AA" w:rsidRDefault="00EE6D95">
            <w:r>
              <w:t>15%</w:t>
            </w:r>
          </w:p>
        </w:tc>
      </w:tr>
    </w:tbl>
    <w:p w:rsidR="00D849AA" w:rsidRDefault="00D849AA">
      <w:pPr>
        <w:jc w:val="left"/>
      </w:pPr>
    </w:p>
    <w:p w:rsidR="00D849AA" w:rsidRDefault="00EE6D95">
      <w:pPr>
        <w:pStyle w:val="Naslov2"/>
      </w:pPr>
      <w:r>
        <w:lastRenderedPageBreak/>
        <w:t>09510 Uredi državne uprave u županijama</w:t>
      </w:r>
    </w:p>
    <w:p w:rsidR="00D849AA" w:rsidRDefault="00EE6D95">
      <w:pPr>
        <w:pStyle w:val="Naslov4"/>
      </w:pPr>
      <w:r>
        <w:t>Uvod</w:t>
      </w:r>
    </w:p>
    <w:p w:rsidR="00D849AA" w:rsidRDefault="00EE6D95">
      <w:pPr>
        <w:pStyle w:val="Normal3"/>
      </w:pPr>
      <w:r>
        <w:t xml:space="preserve">Uredi državne uprave obavljaju upravne i druge stručne poslove koji se odnose na: gospodarstvo, društvene djelatnosti, imovinsko-pravne poslove, opću upravu, nadzor nad zakonitošću općih akata predstavničkih tijela jedinica lokalne i područne samouprave, opći i kadrovski poslovi, računovodstveni, administrativni i pomoćno-tehnički poslovi za potrebe ureda. </w:t>
      </w:r>
    </w:p>
    <w:p w:rsidR="00D849AA" w:rsidRDefault="00EE6D95">
      <w:pPr>
        <w:pStyle w:val="Normal3"/>
      </w:pPr>
      <w:r>
        <w:t>U državnom proračunu za 2014. godinu osim za poslovanje ustrojstvenih jedinica Ministarstva, u razdjelu Ministarstva planirana su i sredstva za poslovanje 20 ureda državne uprave u županijama.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09510</w:t>
            </w:r>
          </w:p>
        </w:tc>
        <w:tc>
          <w:tcPr>
            <w:tcW w:w="1486" w:type="dxa"/>
          </w:tcPr>
          <w:p w:rsidR="00D849AA" w:rsidRDefault="00EE6D95">
            <w:r>
              <w:t>295.683.701</w:t>
            </w:r>
          </w:p>
        </w:tc>
        <w:tc>
          <w:tcPr>
            <w:tcW w:w="1486" w:type="dxa"/>
          </w:tcPr>
          <w:p w:rsidR="00D849AA" w:rsidRDefault="00EE6D95">
            <w:r>
              <w:t>303.527.409</w:t>
            </w:r>
          </w:p>
        </w:tc>
        <w:tc>
          <w:tcPr>
            <w:tcW w:w="1486" w:type="dxa"/>
          </w:tcPr>
          <w:p w:rsidR="00D849AA" w:rsidRDefault="00EE6D95">
            <w:r>
              <w:t>324.125.588</w:t>
            </w:r>
          </w:p>
        </w:tc>
        <w:tc>
          <w:tcPr>
            <w:tcW w:w="1486" w:type="dxa"/>
          </w:tcPr>
          <w:p w:rsidR="00D849AA" w:rsidRDefault="00EE6D95">
            <w:r>
              <w:t>332.027.805</w:t>
            </w:r>
          </w:p>
        </w:tc>
        <w:tc>
          <w:tcPr>
            <w:tcW w:w="1486" w:type="dxa"/>
          </w:tcPr>
          <w:p w:rsidR="00D849AA" w:rsidRDefault="00EE6D95">
            <w:r>
              <w:t>102,6</w:t>
            </w:r>
          </w:p>
        </w:tc>
      </w:tr>
    </w:tbl>
    <w:p w:rsidR="00D849AA" w:rsidRDefault="00D849AA">
      <w:pPr>
        <w:jc w:val="left"/>
      </w:pPr>
    </w:p>
    <w:p w:rsidR="00D849AA" w:rsidRDefault="00EE6D95">
      <w:pPr>
        <w:pStyle w:val="Naslov4"/>
      </w:pPr>
      <w:r>
        <w:t>OBRAZLOŽENJE PROGRAMA</w:t>
      </w:r>
    </w:p>
    <w:p w:rsidR="00D849AA" w:rsidRDefault="00EE6D95">
      <w:pPr>
        <w:pStyle w:val="Naslov5"/>
      </w:pPr>
      <w:r>
        <w:t>2402 POSLOVI UREDA DRŽAVNE UPRAVE U ŽUPANIJAMA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2402</w:t>
            </w:r>
          </w:p>
        </w:tc>
        <w:tc>
          <w:tcPr>
            <w:tcW w:w="1486" w:type="dxa"/>
          </w:tcPr>
          <w:p w:rsidR="00D849AA" w:rsidRDefault="00EE6D95">
            <w:r>
              <w:t>295.683.701</w:t>
            </w:r>
          </w:p>
        </w:tc>
        <w:tc>
          <w:tcPr>
            <w:tcW w:w="1486" w:type="dxa"/>
          </w:tcPr>
          <w:p w:rsidR="00D849AA" w:rsidRDefault="00EE6D95">
            <w:r>
              <w:t>303.527.409</w:t>
            </w:r>
          </w:p>
        </w:tc>
        <w:tc>
          <w:tcPr>
            <w:tcW w:w="1486" w:type="dxa"/>
          </w:tcPr>
          <w:p w:rsidR="00D849AA" w:rsidRDefault="00EE6D95">
            <w:r>
              <w:t>324.125.588</w:t>
            </w:r>
          </w:p>
        </w:tc>
        <w:tc>
          <w:tcPr>
            <w:tcW w:w="1486" w:type="dxa"/>
          </w:tcPr>
          <w:p w:rsidR="00D849AA" w:rsidRDefault="00EE6D95">
            <w:r>
              <w:t>332.027.805</w:t>
            </w:r>
          </w:p>
        </w:tc>
        <w:tc>
          <w:tcPr>
            <w:tcW w:w="1486" w:type="dxa"/>
          </w:tcPr>
          <w:p w:rsidR="00D849AA" w:rsidRDefault="00EE6D95">
            <w:r>
              <w:t>102,6</w:t>
            </w:r>
          </w:p>
        </w:tc>
      </w:tr>
    </w:tbl>
    <w:p w:rsidR="00D849AA" w:rsidRDefault="00D849AA">
      <w:pPr>
        <w:jc w:val="left"/>
      </w:pPr>
    </w:p>
    <w:p w:rsidR="00D849AA" w:rsidRDefault="00EE6D95">
      <w:pPr>
        <w:pStyle w:val="Naslov6"/>
      </w:pPr>
      <w:r>
        <w:t>Opis programa</w:t>
      </w:r>
    </w:p>
    <w:p w:rsidR="00D849AA" w:rsidRDefault="00EE6D95">
      <w:pPr>
        <w:pStyle w:val="Normal5"/>
      </w:pPr>
      <w:r>
        <w:t xml:space="preserve">U strateškom razdoblju 2014. - 2016. godine opći cilj Ministarstva uprave i ureda državne uprave u županijama je unaprijediti postojeći i stvoriti učinkovitiji sustav potpore građanima Republike Hrvatske kroz pružanje kvalitetnih, potpunih i brzih upravnih usluga. </w:t>
      </w:r>
    </w:p>
    <w:p w:rsidR="00D849AA" w:rsidRDefault="00EE6D95">
      <w:pPr>
        <w:pStyle w:val="Normal5"/>
      </w:pPr>
      <w:r>
        <w:t xml:space="preserve">Uredima državne uprave u županijama i njihovim ispostavama, ustrojenim zbog obavljanja dekoncentriranih poslova državne uprave, posljednjih je nekoliko godina, donošenjem novih i izmjenama postojećih zakona bitno smanjen opseg poslova. </w:t>
      </w:r>
    </w:p>
    <w:p w:rsidR="00D849AA" w:rsidRDefault="00EE6D95">
      <w:pPr>
        <w:pStyle w:val="Normal5"/>
      </w:pPr>
      <w:r>
        <w:t xml:space="preserve">Centraliziranjem poslova resorna ministarstva su preuzela poslove i službenike Ureda državne uprave što je utjecalo na kvalifikacijsku strukturu u uredima državne uprave, ali i na racionalnost organizacije posla, pogotovo stoga što u obavljanju preuzetih poslova uredi i dalje pružaju značajnu podršku tijelima koja su preuzela poslove. </w:t>
      </w:r>
    </w:p>
    <w:p w:rsidR="00D849AA" w:rsidRDefault="00EE6D95">
      <w:pPr>
        <w:pStyle w:val="Normal5"/>
      </w:pPr>
      <w:r>
        <w:t>Ministarstvo uprave i uredi državne uprave u županijama provode zajednički program u cilju reforme državne uprave.</w:t>
      </w:r>
    </w:p>
    <w:p w:rsidR="00D849AA" w:rsidRDefault="00EE6D95">
      <w:pPr>
        <w:pStyle w:val="Naslov6"/>
      </w:pPr>
      <w:r>
        <w:t>Zakonske i druge pravne osnove</w:t>
      </w:r>
    </w:p>
    <w:p w:rsidR="00D849AA" w:rsidRDefault="00EE6D95">
      <w:pPr>
        <w:pStyle w:val="Normal5"/>
      </w:pPr>
      <w:r>
        <w:t xml:space="preserve">Zakona o državnim službenicima („Narodne novine“, broj 49/12; 37/13; 38/13), </w:t>
      </w:r>
    </w:p>
    <w:p w:rsidR="00D849AA" w:rsidRDefault="00EE6D95">
      <w:pPr>
        <w:pStyle w:val="Normal5"/>
      </w:pPr>
      <w:r>
        <w:t>Zakon o sustavu državne uprave („Narodne novine“, broj 150/11).</w:t>
      </w:r>
    </w:p>
    <w:p w:rsidR="00D849AA" w:rsidRDefault="00EE6D95">
      <w:pPr>
        <w:pStyle w:val="Naslov6"/>
      </w:pPr>
      <w:r>
        <w:lastRenderedPageBreak/>
        <w:t>Ciljevi provedbe programa u razdoblju 2014.-2016. i pokazatelji uspješnosti kojima će se mjeriti ostvarenje tih ciljeva</w:t>
      </w:r>
    </w:p>
    <w:p w:rsidR="00D849AA" w:rsidRDefault="00EE6D95">
      <w:pPr>
        <w:pStyle w:val="Naslov7"/>
      </w:pPr>
      <w:r>
        <w:t>Cilj 1. Olakšati ostvarivanje prava korisnika</w:t>
      </w:r>
    </w:p>
    <w:p w:rsidR="00D849AA" w:rsidRDefault="00EE6D95">
      <w:pPr>
        <w:pStyle w:val="Normal6"/>
      </w:pPr>
      <w:r>
        <w:t>S ciljem poboljšanja dosadašnje prakse pružanja upravnih usluga (jednostavniji postupak i olakšano ostvarivanje prava) i povećanja zadovoljstva građana pruženim upravnim uslugama planira se u sljedećem trogodišnjem razdoblju provesti niz aktivnosti vezanih uz bolju primjenu Zakona o općem upravnom postupku i drugih postupovnih zakona. U Izvješću Europske komisije o napretku Republike Hrvatske za 2011 godinu stoji nastavak procesa usklađivanja ZUP-a s drugim propisima 'Kako bi se omogućila potpuna primjena Zakona o općem upravnom postupku (ZOUP), nastavljen je postupak usklađivanja odgovarajućih sektorskih pravnih akata, s tim da je većinu zakona Hrvatski Sabor usvojio.</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broj izvješća središnjih tijela državne uprave o provedbi Zakona o općem upravnom postupku</w:t>
            </w:r>
          </w:p>
        </w:tc>
        <w:tc>
          <w:tcPr>
            <w:tcW w:w="1114" w:type="dxa"/>
          </w:tcPr>
          <w:p w:rsidR="00D849AA" w:rsidRDefault="00EE6D95">
            <w:r>
              <w:t>broj</w:t>
            </w:r>
          </w:p>
        </w:tc>
        <w:tc>
          <w:tcPr>
            <w:tcW w:w="1114" w:type="dxa"/>
          </w:tcPr>
          <w:p w:rsidR="00D849AA" w:rsidRDefault="00EE6D95">
            <w:r>
              <w:t>0</w:t>
            </w:r>
          </w:p>
        </w:tc>
        <w:tc>
          <w:tcPr>
            <w:tcW w:w="1486" w:type="dxa"/>
          </w:tcPr>
          <w:p w:rsidR="00D849AA" w:rsidRDefault="00EE6D95">
            <w:r>
              <w:t>izrada Metodologije je u tijeku</w:t>
            </w:r>
          </w:p>
        </w:tc>
        <w:tc>
          <w:tcPr>
            <w:tcW w:w="1486" w:type="dxa"/>
          </w:tcPr>
          <w:p w:rsidR="00D849AA" w:rsidRDefault="00EE6D95">
            <w:r>
              <w:t>/</w:t>
            </w:r>
          </w:p>
        </w:tc>
        <w:tc>
          <w:tcPr>
            <w:tcW w:w="1486" w:type="dxa"/>
          </w:tcPr>
          <w:p w:rsidR="00D849AA" w:rsidRDefault="00EE6D95">
            <w:r>
              <w:t>/</w:t>
            </w:r>
          </w:p>
        </w:tc>
      </w:tr>
      <w:tr w:rsidR="00D849AA">
        <w:trPr>
          <w:jc w:val="center"/>
        </w:trPr>
        <w:tc>
          <w:tcPr>
            <w:tcW w:w="2229" w:type="dxa"/>
          </w:tcPr>
          <w:p w:rsidR="00D849AA" w:rsidRDefault="00EE6D95">
            <w:pPr>
              <w:pStyle w:val="CellColumn"/>
            </w:pPr>
            <w:r>
              <w:t>broj usklađenih posebnih zakona sa ZUP-om</w:t>
            </w:r>
          </w:p>
        </w:tc>
        <w:tc>
          <w:tcPr>
            <w:tcW w:w="1114" w:type="dxa"/>
          </w:tcPr>
          <w:p w:rsidR="00D849AA" w:rsidRDefault="00EE6D95">
            <w:r>
              <w:t>broj</w:t>
            </w:r>
          </w:p>
        </w:tc>
        <w:tc>
          <w:tcPr>
            <w:tcW w:w="1114" w:type="dxa"/>
          </w:tcPr>
          <w:p w:rsidR="00D849AA" w:rsidRDefault="00EE6D95">
            <w:r>
              <w:t>0</w:t>
            </w:r>
          </w:p>
        </w:tc>
        <w:tc>
          <w:tcPr>
            <w:tcW w:w="1486" w:type="dxa"/>
          </w:tcPr>
          <w:p w:rsidR="00D849AA" w:rsidRDefault="00EE6D95">
            <w:r>
              <w:t>/</w:t>
            </w:r>
          </w:p>
        </w:tc>
        <w:tc>
          <w:tcPr>
            <w:tcW w:w="1486" w:type="dxa"/>
          </w:tcPr>
          <w:p w:rsidR="00D849AA" w:rsidRDefault="00EE6D95">
            <w:r>
              <w:t>/</w:t>
            </w:r>
          </w:p>
        </w:tc>
        <w:tc>
          <w:tcPr>
            <w:tcW w:w="1486" w:type="dxa"/>
          </w:tcPr>
          <w:p w:rsidR="00D849AA" w:rsidRDefault="00EE6D95">
            <w:r>
              <w:t>/</w:t>
            </w:r>
          </w:p>
        </w:tc>
      </w:tr>
      <w:tr w:rsidR="00D849AA">
        <w:trPr>
          <w:jc w:val="center"/>
        </w:trPr>
        <w:tc>
          <w:tcPr>
            <w:tcW w:w="2229" w:type="dxa"/>
          </w:tcPr>
          <w:p w:rsidR="00D849AA" w:rsidRDefault="00EE6D95">
            <w:pPr>
              <w:pStyle w:val="CellColumn"/>
            </w:pPr>
            <w:r>
              <w:t>broj provedenih aktivnosti kroz projekt IPA 2008 – "Potpora provedbi Zakona o općem upravnom postupku"</w:t>
            </w:r>
          </w:p>
        </w:tc>
        <w:tc>
          <w:tcPr>
            <w:tcW w:w="1114" w:type="dxa"/>
          </w:tcPr>
          <w:p w:rsidR="00D849AA" w:rsidRDefault="00EE6D95">
            <w:r>
              <w:t>broj</w:t>
            </w:r>
          </w:p>
        </w:tc>
        <w:tc>
          <w:tcPr>
            <w:tcW w:w="1114" w:type="dxa"/>
          </w:tcPr>
          <w:p w:rsidR="00D849AA" w:rsidRDefault="00EE6D95">
            <w:r>
              <w:t>0</w:t>
            </w:r>
          </w:p>
        </w:tc>
        <w:tc>
          <w:tcPr>
            <w:tcW w:w="1486" w:type="dxa"/>
          </w:tcPr>
          <w:p w:rsidR="00D849AA" w:rsidRDefault="00EE6D95">
            <w:r>
              <w:t>/</w:t>
            </w:r>
          </w:p>
        </w:tc>
        <w:tc>
          <w:tcPr>
            <w:tcW w:w="1486" w:type="dxa"/>
          </w:tcPr>
          <w:p w:rsidR="00D849AA" w:rsidRDefault="00EE6D95">
            <w:r>
              <w:t>/</w:t>
            </w:r>
          </w:p>
        </w:tc>
        <w:tc>
          <w:tcPr>
            <w:tcW w:w="1486" w:type="dxa"/>
          </w:tcPr>
          <w:p w:rsidR="00D849AA" w:rsidRDefault="00EE6D95">
            <w:r>
              <w:t>/</w:t>
            </w:r>
          </w:p>
        </w:tc>
      </w:tr>
      <w:tr w:rsidR="00D849AA">
        <w:trPr>
          <w:jc w:val="center"/>
        </w:trPr>
        <w:tc>
          <w:tcPr>
            <w:tcW w:w="2229" w:type="dxa"/>
          </w:tcPr>
          <w:p w:rsidR="00D849AA" w:rsidRDefault="00EE6D95">
            <w:pPr>
              <w:pStyle w:val="CellColumn"/>
            </w:pPr>
            <w:r>
              <w:t>Broj organiziranih aktivnosti, broj polaznika</w:t>
            </w:r>
          </w:p>
        </w:tc>
        <w:tc>
          <w:tcPr>
            <w:tcW w:w="1114" w:type="dxa"/>
          </w:tcPr>
          <w:p w:rsidR="00D849AA" w:rsidRDefault="00EE6D95">
            <w:r>
              <w:t>broj</w:t>
            </w:r>
          </w:p>
        </w:tc>
        <w:tc>
          <w:tcPr>
            <w:tcW w:w="1114" w:type="dxa"/>
          </w:tcPr>
          <w:p w:rsidR="00D849AA" w:rsidRDefault="00EE6D95">
            <w:r>
              <w:t>0</w:t>
            </w:r>
          </w:p>
        </w:tc>
        <w:tc>
          <w:tcPr>
            <w:tcW w:w="1486" w:type="dxa"/>
          </w:tcPr>
          <w:p w:rsidR="00D849AA" w:rsidRDefault="00EE6D95">
            <w:r>
              <w:t>1</w:t>
            </w:r>
          </w:p>
        </w:tc>
        <w:tc>
          <w:tcPr>
            <w:tcW w:w="1486" w:type="dxa"/>
          </w:tcPr>
          <w:p w:rsidR="00D849AA" w:rsidRDefault="00EE6D95">
            <w:r>
              <w:t>/</w:t>
            </w:r>
          </w:p>
        </w:tc>
        <w:tc>
          <w:tcPr>
            <w:tcW w:w="1486" w:type="dxa"/>
          </w:tcPr>
          <w:p w:rsidR="00D849AA" w:rsidRDefault="00EE6D95">
            <w:r>
              <w:t>/</w:t>
            </w:r>
          </w:p>
        </w:tc>
      </w:tr>
    </w:tbl>
    <w:p w:rsidR="00D849AA" w:rsidRDefault="00D849AA">
      <w:pPr>
        <w:jc w:val="left"/>
      </w:pPr>
    </w:p>
    <w:p w:rsidR="00D849AA" w:rsidRDefault="00EE6D95">
      <w:pPr>
        <w:pStyle w:val="Naslov5"/>
      </w:pPr>
      <w:r>
        <w:t>Procjena i ishodište potrebnih sredstava za značajnije aktivnosti/projekte</w:t>
      </w:r>
    </w:p>
    <w:p w:rsidR="00D849AA" w:rsidRDefault="00EE6D95">
      <w:pPr>
        <w:pStyle w:val="Naslov6"/>
      </w:pPr>
      <w:r>
        <w:t>A831001 ADMINISTRACIJA I UPRAVLJANJE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A831001</w:t>
            </w:r>
          </w:p>
        </w:tc>
        <w:tc>
          <w:tcPr>
            <w:tcW w:w="1486" w:type="dxa"/>
          </w:tcPr>
          <w:p w:rsidR="00D849AA" w:rsidRDefault="00EE6D95">
            <w:r>
              <w:t>295.000.867</w:t>
            </w:r>
          </w:p>
        </w:tc>
        <w:tc>
          <w:tcPr>
            <w:tcW w:w="1486" w:type="dxa"/>
          </w:tcPr>
          <w:p w:rsidR="00D849AA" w:rsidRDefault="00EE6D95">
            <w:r>
              <w:t>302.055.352</w:t>
            </w:r>
          </w:p>
        </w:tc>
        <w:tc>
          <w:tcPr>
            <w:tcW w:w="1486" w:type="dxa"/>
          </w:tcPr>
          <w:p w:rsidR="00D849AA" w:rsidRDefault="00EE6D95">
            <w:r>
              <w:t>322.058.039</w:t>
            </w:r>
          </w:p>
        </w:tc>
        <w:tc>
          <w:tcPr>
            <w:tcW w:w="1486" w:type="dxa"/>
          </w:tcPr>
          <w:p w:rsidR="00D849AA" w:rsidRDefault="00EE6D95">
            <w:r>
              <w:t>329.801.295</w:t>
            </w:r>
          </w:p>
        </w:tc>
        <w:tc>
          <w:tcPr>
            <w:tcW w:w="1486" w:type="dxa"/>
          </w:tcPr>
          <w:p w:rsidR="00D849AA" w:rsidRDefault="00EE6D95">
            <w:r>
              <w:t>102,4</w:t>
            </w:r>
          </w:p>
        </w:tc>
      </w:tr>
    </w:tbl>
    <w:p w:rsidR="00D849AA" w:rsidRDefault="00D849AA">
      <w:pPr>
        <w:jc w:val="left"/>
      </w:pPr>
    </w:p>
    <w:p w:rsidR="00D849AA" w:rsidRDefault="00EE6D95">
      <w:pPr>
        <w:pStyle w:val="Normal6"/>
      </w:pPr>
      <w:r>
        <w:t>S ciljem daljnjeg pojednostavljenja i povećanja efikasnosti u ovom području pružanja upravnih usluga poduzimat će se potrebne aktivnosti kako bi se građanima omogućilo komuniciranje i realizacija njihovih zahtjeva bez donošenja (fizičkog) različitih izvoda (dokumenata).</w:t>
      </w:r>
    </w:p>
    <w:p w:rsidR="00D849AA" w:rsidRDefault="00EE6D95">
      <w:pPr>
        <w:pStyle w:val="Naslov2"/>
      </w:pPr>
      <w:r>
        <w:lastRenderedPageBreak/>
        <w:t>09515 Državna škola za javnu upravu</w:t>
      </w:r>
    </w:p>
    <w:p w:rsidR="00D849AA" w:rsidRDefault="00EE6D95">
      <w:pPr>
        <w:pStyle w:val="Naslov4"/>
      </w:pPr>
      <w:r>
        <w:t>Uvod</w:t>
      </w:r>
    </w:p>
    <w:p w:rsidR="00D849AA" w:rsidRDefault="00EE6D95">
      <w:pPr>
        <w:pStyle w:val="Normal3"/>
      </w:pPr>
      <w:r>
        <w:t xml:space="preserve">Državna škola ustrojena je na temelju Uredbe o osnivanju Državne škole za javnu upravu, koja je usvojena na sjednici Vlade Republike Hrvatske 03. prosinca 2010. godine i objavljena u Narodnim novinama broj 144 od 22. prosinca 2010. godine. </w:t>
      </w:r>
    </w:p>
    <w:p w:rsidR="00D849AA" w:rsidRDefault="00EE6D95">
      <w:pPr>
        <w:pStyle w:val="Normal3"/>
      </w:pPr>
      <w:r>
        <w:t xml:space="preserve">Tijekom 2012. godine dva su puta usvajane izmjene i dopune Uredbe (NN 62/12 i 112/12).  U listopadu 2012. godine Državnoj školi pripojena je Akademija lokalne demokracije. </w:t>
      </w:r>
    </w:p>
    <w:p w:rsidR="00D849AA" w:rsidRDefault="00EE6D95">
      <w:pPr>
        <w:pStyle w:val="Normal3"/>
      </w:pPr>
      <w:r>
        <w:t xml:space="preserve">Škola je upisana u registar Trgovačkog suda s matičnim brojem subjekta upisa MBS 080751429 na Trgovačkom sudu u Zagrebu 21. siječnja 2011. godine.  </w:t>
      </w:r>
    </w:p>
    <w:p w:rsidR="00D849AA" w:rsidRDefault="00EE6D95">
      <w:pPr>
        <w:pStyle w:val="Normal3"/>
      </w:pPr>
      <w:r>
        <w:t xml:space="preserve">Temeljem odredbi Zakona o ustanovama, Uredbe o osnivanju te usvojenog Statuta, Trgovačkom sudu su prijavljene promjene i dopune u registru te je, sukladno tome, Trgovački sud donio dva nova rješenja: </w:t>
      </w:r>
    </w:p>
    <w:p w:rsidR="00D849AA" w:rsidRDefault="00EE6D95">
      <w:pPr>
        <w:pStyle w:val="Normal3"/>
      </w:pPr>
      <w:r>
        <w:t xml:space="preserve">1. Rješenje o upisu promjene predmeta poslovanja-djelatnosti, izmjeni akta o osnivanju i pripajanju Akademije lokalne demokracije, od 20. ožujka 2013. godine, </w:t>
      </w:r>
    </w:p>
    <w:p w:rsidR="00D849AA" w:rsidRDefault="00EE6D95">
      <w:pPr>
        <w:pStyle w:val="Normal3"/>
      </w:pPr>
      <w:r>
        <w:t xml:space="preserve">2. Rješenje o promjeni poslovne adrese i skraćenom nazivu ustanove, od 04. srpnja 2013. godine. </w:t>
      </w:r>
    </w:p>
    <w:p w:rsidR="00D849AA" w:rsidRDefault="00EE6D95">
      <w:pPr>
        <w:pStyle w:val="Normal3"/>
      </w:pPr>
      <w:r>
        <w:t>Na temelju Uredbe o osnivanju, DŠJU je odgovorna za koordinaciju svih programa usavršavanja u javnoj upravi što znači da Škola ima odgovornost i za programe koje organiziraju i provode i druge institucije. U isto vrijeme, članstvo RH u Europskoj uniji stvorilo je značajnu potrebu za pojedinim EU programima, kako bi se osigurala potrebna razina vještina i kompetencija ključnih službenika s ciljem uspješnog funkcioniranja javne uprave u uvjetima članstva.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09515</w:t>
            </w:r>
          </w:p>
        </w:tc>
        <w:tc>
          <w:tcPr>
            <w:tcW w:w="1486" w:type="dxa"/>
          </w:tcPr>
          <w:p w:rsidR="00D849AA" w:rsidRDefault="00EE6D95">
            <w:r>
              <w:t>4.282.444</w:t>
            </w:r>
          </w:p>
        </w:tc>
        <w:tc>
          <w:tcPr>
            <w:tcW w:w="1486" w:type="dxa"/>
          </w:tcPr>
          <w:p w:rsidR="00D849AA" w:rsidRDefault="00EE6D95">
            <w:r>
              <w:t>6.066.740</w:t>
            </w:r>
          </w:p>
        </w:tc>
        <w:tc>
          <w:tcPr>
            <w:tcW w:w="1486" w:type="dxa"/>
          </w:tcPr>
          <w:p w:rsidR="00D849AA" w:rsidRDefault="00EE6D95">
            <w:r>
              <w:t>5.178.592</w:t>
            </w:r>
          </w:p>
        </w:tc>
        <w:tc>
          <w:tcPr>
            <w:tcW w:w="1486" w:type="dxa"/>
          </w:tcPr>
          <w:p w:rsidR="00D849AA" w:rsidRDefault="00EE6D95">
            <w:r>
              <w:t>5.285.432</w:t>
            </w:r>
          </w:p>
        </w:tc>
        <w:tc>
          <w:tcPr>
            <w:tcW w:w="1486" w:type="dxa"/>
          </w:tcPr>
          <w:p w:rsidR="00D849AA" w:rsidRDefault="00EE6D95">
            <w:r>
              <w:t>141,7</w:t>
            </w:r>
          </w:p>
        </w:tc>
      </w:tr>
    </w:tbl>
    <w:p w:rsidR="00D849AA" w:rsidRDefault="00D849AA">
      <w:pPr>
        <w:jc w:val="left"/>
      </w:pPr>
    </w:p>
    <w:p w:rsidR="00D849AA" w:rsidRDefault="00EE6D95">
      <w:pPr>
        <w:pStyle w:val="Naslov4"/>
      </w:pPr>
      <w:r>
        <w:t>OBRAZLOŽENJE PROGRAMA</w:t>
      </w:r>
    </w:p>
    <w:p w:rsidR="00D849AA" w:rsidRDefault="00EE6D95">
      <w:pPr>
        <w:pStyle w:val="Naslov5"/>
      </w:pPr>
      <w:r>
        <w:t>2401 USTROJSTVO JAVNE UPRAVE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2401</w:t>
            </w:r>
          </w:p>
        </w:tc>
        <w:tc>
          <w:tcPr>
            <w:tcW w:w="1486" w:type="dxa"/>
          </w:tcPr>
          <w:p w:rsidR="00D849AA" w:rsidRDefault="00EE6D95">
            <w:r>
              <w:t>4.282.444</w:t>
            </w:r>
          </w:p>
        </w:tc>
        <w:tc>
          <w:tcPr>
            <w:tcW w:w="1486" w:type="dxa"/>
          </w:tcPr>
          <w:p w:rsidR="00D849AA" w:rsidRDefault="00EE6D95">
            <w:r>
              <w:t>6.066.740</w:t>
            </w:r>
          </w:p>
        </w:tc>
        <w:tc>
          <w:tcPr>
            <w:tcW w:w="1486" w:type="dxa"/>
          </w:tcPr>
          <w:p w:rsidR="00D849AA" w:rsidRDefault="00EE6D95">
            <w:r>
              <w:t>5.178.592</w:t>
            </w:r>
          </w:p>
        </w:tc>
        <w:tc>
          <w:tcPr>
            <w:tcW w:w="1486" w:type="dxa"/>
          </w:tcPr>
          <w:p w:rsidR="00D849AA" w:rsidRDefault="00EE6D95">
            <w:r>
              <w:t>5.285.432</w:t>
            </w:r>
          </w:p>
        </w:tc>
        <w:tc>
          <w:tcPr>
            <w:tcW w:w="1486" w:type="dxa"/>
          </w:tcPr>
          <w:p w:rsidR="00D849AA" w:rsidRDefault="00EE6D95">
            <w:r>
              <w:t>141,7</w:t>
            </w:r>
          </w:p>
        </w:tc>
      </w:tr>
    </w:tbl>
    <w:p w:rsidR="00D849AA" w:rsidRDefault="00D849AA">
      <w:pPr>
        <w:jc w:val="left"/>
      </w:pPr>
    </w:p>
    <w:p w:rsidR="00D849AA" w:rsidRDefault="00EE6D95">
      <w:pPr>
        <w:pStyle w:val="Naslov6"/>
      </w:pPr>
      <w:r>
        <w:t>Opis programa</w:t>
      </w:r>
    </w:p>
    <w:p w:rsidR="00D849AA" w:rsidRDefault="00EE6D95">
      <w:pPr>
        <w:pStyle w:val="Naslov6"/>
      </w:pPr>
      <w:r>
        <w:t>Zakonske i druge pravne osnove</w:t>
      </w:r>
    </w:p>
    <w:p w:rsidR="00D849AA" w:rsidRDefault="00EE6D95">
      <w:pPr>
        <w:pStyle w:val="Normal5"/>
      </w:pPr>
      <w:r>
        <w:t xml:space="preserve">Zakona o ustanovama (»Narodne novine«, br. 76/93, 29/97, 47/99 i 35/2008), </w:t>
      </w:r>
    </w:p>
    <w:p w:rsidR="00D849AA" w:rsidRDefault="00EE6D95">
      <w:pPr>
        <w:pStyle w:val="Normal5"/>
      </w:pPr>
      <w:r>
        <w:t>Zakona o lokalnoj i područnoj (regionalnoj) samoupravi (»Narodne novine«, br. 33/2001, 60/2001, 129/2005, 109/2007, 125/2008, 36/2009 i 150/2011)</w:t>
      </w:r>
    </w:p>
    <w:p w:rsidR="00D849AA" w:rsidRDefault="00EE6D95">
      <w:pPr>
        <w:pStyle w:val="Naslov6"/>
      </w:pPr>
      <w:r>
        <w:lastRenderedPageBreak/>
        <w:t>Ciljevi provedbe programa u razdoblju 2014.-2016. i pokazatelji uspješnosti kojima će se mjeriti ostvarenje tih ciljeva</w:t>
      </w:r>
    </w:p>
    <w:p w:rsidR="00D849AA" w:rsidRDefault="00EE6D95">
      <w:pPr>
        <w:pStyle w:val="Naslov7"/>
      </w:pPr>
      <w:r>
        <w:t>Cilj 1. Razvijati sustav trajne izobrazbe državnih službenika</w:t>
      </w:r>
    </w:p>
    <w:p w:rsidR="00D849AA" w:rsidRDefault="00EE6D95">
      <w:pPr>
        <w:pStyle w:val="Normal6"/>
      </w:pPr>
      <w:r>
        <w:t xml:space="preserve">Državni službenici imaju obvezu trajnog unapređivanja znanja, vještina i sposobnosti potrebnih za obavljanje poslova svog radnog mjesta te sudjelovanja u organiziranim programima izobrazbe na koje ih upućuju državna tijela ili im je pohađanje pojedinih programa izobrazbe odobreno. U ovoj fazi nužno je uvesti strukturirani pristup stručnom usavršavanju i osposobljavanju kako bi se učinkovito iskoristili postojeći kapaciteti za različite oblike obrazovnih aktivnosti, te razvijali novi u skladu s rastućim potrebama organizacija. </w:t>
      </w:r>
    </w:p>
    <w:p w:rsidR="00D849AA" w:rsidRDefault="00EE6D95">
      <w:pPr>
        <w:pStyle w:val="Normal6"/>
      </w:pPr>
      <w:r>
        <w:t xml:space="preserve">Državna škola za javnu upravu je središnje tijelo odgovorno za koordinaciju sustava stručnog osposobljavanja i usavršavanja državnih i javnih službenika, kao i službenika u tijelima lokalne i područne (regionalne) samouprave, s ciljem trajnog podizanja razine i kvalitete njihovih kompetencija. Ciljevi Državne škole su jačanje nacionalnih kapaciteta za osposobljavanje i usavršavanje, poboljšanje informiranosti o mogućnostima usavršavanja, povećanje dostupnosti programa usavršavanja na svim razinama javne uprave te uspostava međunarodne suradnje. Kao centar stručnog usavršavanja u javnoj upravi Državna škola osigurat će razvoj novih programa prema stvarnim potrebama organizacija javne uprave. </w:t>
      </w:r>
    </w:p>
    <w:p w:rsidR="00D849AA" w:rsidRDefault="00EE6D95">
      <w:pPr>
        <w:pStyle w:val="Normal6"/>
      </w:pPr>
      <w:r>
        <w:t xml:space="preserve">Pravovremenost, dostupnost, sveobuhvatnost i točnost informacija o postojećim programima predstavljaju preduvjet za sustavan pristup stručnom usavršavanju. Planirana uspostava središnjeg portala za informiranje o izobrazbi, novog i troškovno učinkovitog načina komunikacije, omogućit će zaposlenicima javne uprave pristup </w:t>
      </w:r>
    </w:p>
    <w:p w:rsidR="00D849AA" w:rsidRDefault="00EE6D95">
      <w:pPr>
        <w:pStyle w:val="Normal6"/>
      </w:pPr>
      <w:r>
        <w:t xml:space="preserve">informacijama o svim relevantnim programima bez obzira na pružatelja i mjesto provedbe. </w:t>
      </w:r>
    </w:p>
    <w:p w:rsidR="00D849AA" w:rsidRDefault="00EE6D95">
      <w:pPr>
        <w:pStyle w:val="Normal6"/>
      </w:pPr>
      <w:r>
        <w:t xml:space="preserve">S obzirom na djelatnost i koordinacijsku ulogu Državne škole u sustavu trajne izobrazbe, za njezino potpuno funkcioniranje potrebno je osigurati sljedeće preduvjete: dostatne financijske resurse, odgovarajuće prostorne kapacitete te zaposlenike odgovarajućih kompetencija. </w:t>
      </w:r>
    </w:p>
    <w:p w:rsidR="00D849AA" w:rsidRDefault="00EE6D95">
      <w:pPr>
        <w:pStyle w:val="Normal6"/>
      </w:pPr>
      <w:r>
        <w:t xml:space="preserve">Državna škola za javnu upravu osnovana je kao središnje tijelo za jačanje nacionalnih kapaciteta u cilju što kvalitetnijeg i učinkovitog zadovoljenja tih potreba. U tom smislu, programe izobrazbe u pravilu organiziraju Državna škola za javnu upravu i posebna ustrojstvena jedinica u središnjem tijelu državne uprave nadležnom za </w:t>
      </w:r>
    </w:p>
    <w:p w:rsidR="00D849AA" w:rsidRDefault="00EE6D95">
      <w:pPr>
        <w:pStyle w:val="Normal6"/>
      </w:pPr>
      <w:r>
        <w:t xml:space="preserve">službeničke odnose sukladno Planu izobrazbe državnih službenika koji na prijedlog središnjeg tijela državne uprave nadležnog za službeničke odnose svake godine donosi Vlada Republike Hrvatske. Posebne programe izobrazbe mogu, pored Državne škole za javnu upravu i posebne ustrojstvene jedinice u središnjem tijelu </w:t>
      </w:r>
    </w:p>
    <w:p w:rsidR="00D849AA" w:rsidRDefault="00EE6D95">
      <w:pPr>
        <w:pStyle w:val="Normal6"/>
      </w:pPr>
      <w:r>
        <w:t xml:space="preserve">državne uprave nadležnom za službeničke odnose, samostalno organizirati resorna središnja tijela državne uprave. </w:t>
      </w:r>
    </w:p>
    <w:p w:rsidR="00D849AA" w:rsidRDefault="00EE6D95">
      <w:pPr>
        <w:pStyle w:val="Normal6"/>
      </w:pPr>
      <w:r>
        <w:t xml:space="preserve">Provedbom izobrazbe državnih službenika potrebno je upravljati (planirati, provoditi, pratiti, nadzirati i vrednovati) korištenjem informatički podržanog očevidnika izobrazbe kao sastavnog dijela Registra zaposlenih u javnom sektoru. S obzirom na neprestanu potrebu podizanja razine stručnosti državnih službenika svih kategorija </w:t>
      </w:r>
    </w:p>
    <w:p w:rsidR="00D849AA" w:rsidRDefault="00EE6D95">
      <w:pPr>
        <w:pStyle w:val="Normal6"/>
      </w:pPr>
      <w:r>
        <w:t xml:space="preserve">koji doprinose učinkovitosti državne uprave te povećanju razine zadovoljstva pružanja usluga krajnjim korisnicima, sustav trajne izobrazbe službenika je neophodan. Dodatno, fluktuacija državnih službenika, pravovremeno odgovaranje na neprestane nove situacije u novim funkcijama u državnim tijelima neophodno je s jedne strane obnavljati, </w:t>
      </w:r>
      <w:r>
        <w:lastRenderedPageBreak/>
        <w:t>nadograđivati te raditi na novim oblicima pružanja usluga na zadovoljstvo krajnjih korisnika.</w:t>
      </w:r>
    </w:p>
    <w:p w:rsidR="00D849AA" w:rsidRDefault="00EE6D95">
      <w:pPr>
        <w:pStyle w:val="Naslov5"/>
      </w:pPr>
      <w:r>
        <w:t>Procjena i ishodište potrebnih sredstava za značajnije aktivnosti/projekte</w:t>
      </w:r>
    </w:p>
    <w:p w:rsidR="00D849AA" w:rsidRDefault="00EE6D95">
      <w:pPr>
        <w:pStyle w:val="Naslov6"/>
      </w:pPr>
      <w:r>
        <w:t>A677018 ADMINISTRACIJA I UPRAVLJANJE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A677018</w:t>
            </w:r>
          </w:p>
        </w:tc>
        <w:tc>
          <w:tcPr>
            <w:tcW w:w="1486" w:type="dxa"/>
          </w:tcPr>
          <w:p w:rsidR="00D849AA" w:rsidRDefault="00EE6D95">
            <w:r>
              <w:t>4.282.444</w:t>
            </w:r>
          </w:p>
        </w:tc>
        <w:tc>
          <w:tcPr>
            <w:tcW w:w="1486" w:type="dxa"/>
          </w:tcPr>
          <w:p w:rsidR="00D849AA" w:rsidRDefault="00EE6D95">
            <w:r>
              <w:t>3.987.740</w:t>
            </w:r>
          </w:p>
        </w:tc>
        <w:tc>
          <w:tcPr>
            <w:tcW w:w="1486" w:type="dxa"/>
          </w:tcPr>
          <w:p w:rsidR="00D849AA" w:rsidRDefault="00EE6D95">
            <w:r>
              <w:t>5.178.592</w:t>
            </w:r>
          </w:p>
        </w:tc>
        <w:tc>
          <w:tcPr>
            <w:tcW w:w="1486" w:type="dxa"/>
          </w:tcPr>
          <w:p w:rsidR="00D849AA" w:rsidRDefault="00EE6D95">
            <w:r>
              <w:t>5.285.432</w:t>
            </w:r>
          </w:p>
        </w:tc>
        <w:tc>
          <w:tcPr>
            <w:tcW w:w="1486" w:type="dxa"/>
          </w:tcPr>
          <w:p w:rsidR="00D849AA" w:rsidRDefault="00EE6D95">
            <w:r>
              <w:t>93,1</w:t>
            </w:r>
          </w:p>
        </w:tc>
      </w:tr>
    </w:tbl>
    <w:p w:rsidR="00D849AA" w:rsidRDefault="00D849AA">
      <w:pPr>
        <w:jc w:val="left"/>
      </w:pPr>
    </w:p>
    <w:p w:rsidR="00D849AA" w:rsidRDefault="00EE6D95">
      <w:pPr>
        <w:pStyle w:val="Normal6"/>
      </w:pPr>
      <w:r>
        <w:t xml:space="preserve">Unutar aktivnosti Škola tijekom 2014. godine planira:  </w:t>
      </w:r>
    </w:p>
    <w:p w:rsidR="00D849AA" w:rsidRDefault="00EE6D95">
      <w:pPr>
        <w:pStyle w:val="Normal6"/>
      </w:pPr>
      <w:r>
        <w:t xml:space="preserve">1. JAČANJE ORGANIZACIJE – jačanje kadrova i razvoj DŠJU </w:t>
      </w:r>
    </w:p>
    <w:p w:rsidR="00D849AA" w:rsidRDefault="00EE6D95">
      <w:pPr>
        <w:pStyle w:val="Normal6"/>
      </w:pPr>
      <w:r>
        <w:t xml:space="preserve">Do sada su aktivnosti i programi Škole, u skladu s postojećim ljudskim, prostornim i organizacijsko-tehničkim kapacitetima, uglavnom bili usmjereni službenicima u državnim tijelima, a značajno povećanje aktivnosti se predviđa za: </w:t>
      </w:r>
    </w:p>
    <w:p w:rsidR="00D849AA" w:rsidRDefault="00EE6D95">
      <w:pPr>
        <w:pStyle w:val="Normal6"/>
      </w:pPr>
      <w:r>
        <w:t xml:space="preserve">   • dužnosnike i službenike na lokalnoj i regionalnoj razini i </w:t>
      </w:r>
    </w:p>
    <w:p w:rsidR="00D849AA" w:rsidRDefault="00EE6D95">
      <w:pPr>
        <w:pStyle w:val="Normal6"/>
      </w:pPr>
      <w:r>
        <w:t xml:space="preserve">   • za službenike u javnim službama.  </w:t>
      </w:r>
    </w:p>
    <w:p w:rsidR="00D849AA" w:rsidRDefault="00EE6D95">
      <w:pPr>
        <w:pStyle w:val="Normal6"/>
      </w:pPr>
      <w:r>
        <w:t xml:space="preserve">Prema Pravilniku o unutarnjem redu, sistematizacija radnih mjesta predviđa 16 zaposlenih. U Školi je trenutno zaposleno 10 službenika. Kako bi se postigla viša razina funkcionalnosti Škole i osiguralo kvalitetno poslovanje, planira se:  </w:t>
      </w:r>
    </w:p>
    <w:p w:rsidR="00D849AA" w:rsidRDefault="00EE6D95">
      <w:pPr>
        <w:pStyle w:val="Normal6"/>
      </w:pPr>
      <w:r>
        <w:t xml:space="preserve">   • redovno zapošljavanje 1 službenika (koordinator programa umjesto službenice koja je otišla) </w:t>
      </w:r>
    </w:p>
    <w:p w:rsidR="00D849AA" w:rsidRDefault="00EE6D95">
      <w:pPr>
        <w:pStyle w:val="Normal6"/>
      </w:pPr>
      <w:r>
        <w:t xml:space="preserve">   • novo zapošljavanje 2 službenika (koordinator programa i pravni stručnjak). </w:t>
      </w:r>
    </w:p>
    <w:p w:rsidR="00D849AA" w:rsidRDefault="00EE6D95">
      <w:pPr>
        <w:pStyle w:val="Normal6"/>
      </w:pPr>
      <w:r>
        <w:t xml:space="preserve">2. UREĐENJE PROSTORA – dodatna ulaganja i održavanje interijera  </w:t>
      </w:r>
    </w:p>
    <w:p w:rsidR="00D849AA" w:rsidRDefault="00EE6D95">
      <w:pPr>
        <w:pStyle w:val="Normal6"/>
      </w:pPr>
      <w:r>
        <w:t xml:space="preserve">Kako su u 2013. godini ostvareni i logistički preduvjeti koje Škola do sada nije imala (vlastiti prostor s 5 dvorana i kapacitetom od 120 polaznika dnevno) materijalni rashodi značajno su povećani u odnosu na prijašnja razdoblja. Prvenstveno se to odnosi na troškove režija i održavanja samog objekta. U 2014. godini potrebno je provesti nekoliko projekata investicijskog održavanja, a prioritet je zamjena električnih instalacija i  stropnih ploča (već su se događali problemi s kratkim spojevima i zapaljenjem instalacija). Potrebno je i izvšiti sanaciju podrumskog dijela kao bi se mogao osigurati kvalitetan prostor za organizaciju arhive, za što se već dobilo upozorenje Hrvatskog državnog arhiva. Također je potrebno osigurati i kvalitetan sustav vatrodojave i zaštite od požara što trenutno ne postoji (kao i sve ostale uvjete koji su pripisani Zakonom o zaštiti na radu). </w:t>
      </w:r>
    </w:p>
    <w:p w:rsidR="00D849AA" w:rsidRDefault="00EE6D95">
      <w:pPr>
        <w:pStyle w:val="Normal6"/>
      </w:pPr>
      <w:r>
        <w:t xml:space="preserve">3. DODATNA OPREMA – ulaganje u back up sustav, exchange mail te računalnu učionicu </w:t>
      </w:r>
    </w:p>
    <w:p w:rsidR="00D849AA" w:rsidRDefault="00EE6D95">
      <w:pPr>
        <w:pStyle w:val="Normal6"/>
      </w:pPr>
      <w:r>
        <w:t xml:space="preserve">U 2013. godini škola je osigurala minimalne uvjete za provođenje treninga i radionica. DŠJU je od 2013. godine u vlastitim prostorima u Medulićevoj 36. Kako raspolaže s kapacitetom od 5 dvorana/učionica iste je potrebno i opremiti kako namještajem tako i računalnom opremom. Trenutno je opremljenost samo djelomična. Također u slučaju zapošljavanja novih djelatnika koji su planirani u 2014. godini, potrebno je opremiti i urede te nabaviti računalnu opremu. Najveći dio opreme je nabavljen donacijom i trenutno predstavlja veliki problem zbog zastarjelosti i čestog kvarenja.  </w:t>
      </w:r>
    </w:p>
    <w:p w:rsidR="00D849AA" w:rsidRDefault="00EE6D95">
      <w:pPr>
        <w:pStyle w:val="Normal6"/>
      </w:pPr>
      <w:r>
        <w:t xml:space="preserve">4. POSLOVNI SOFTWARE – razvoj software-a za učinkovitije poslovanje DŠJU </w:t>
      </w:r>
    </w:p>
    <w:p w:rsidR="00D849AA" w:rsidRDefault="00EE6D95">
      <w:pPr>
        <w:pStyle w:val="Normal6"/>
      </w:pPr>
      <w:r>
        <w:lastRenderedPageBreak/>
        <w:t xml:space="preserve">Povećanje broja aktivnosti (programi i treneri) uzrokuje potrebu nabave programa, koji bi se proširivao u fazama. Program će značajno ubrzati poslovanje te ispunjenje obaveza prema predavačima i polaznicima. Trenutno se značajan dio vremena troši na ručno kopiranje i upisivanje podataka u tablicama. Prednost programa je i mogućnost izrade kvalitetnih izvještaja i analizu podataka, koje Škola do sada nije bila u mogućnosti raditi. Razvojem poslovnog software-a otvara se obveza ulaganja u back up sustav radi sprječavanja gubitka elektronskih podataka.  </w:t>
      </w:r>
    </w:p>
    <w:p w:rsidR="00D849AA" w:rsidRDefault="00EE6D95">
      <w:pPr>
        <w:pStyle w:val="Normal6"/>
      </w:pPr>
      <w:r>
        <w:t xml:space="preserve">5. CILJNA SKUPINA – definiranje ciljne skupine na centralnoj, regionalnoj i lokalnoj razini </w:t>
      </w:r>
    </w:p>
    <w:p w:rsidR="00D849AA" w:rsidRDefault="00EE6D95">
      <w:pPr>
        <w:pStyle w:val="Normal6"/>
      </w:pPr>
      <w:r>
        <w:t xml:space="preserve">S obzirom da je djelatnost Škole stručno osposobljavanje državnih službenika, kao i izabranih dužnosnika i službenika u tijelima lokalne i područne (regionalne) samouprave  te zaposlenih u pravnim osobama s javnim ovlastima, velika pozornost se pridaje upravo kvaliteti i stručnosti trenera/ica koji provode seminare. U tu svrhu Škola je dužna osigurati dostatna sredstva za razvoj novih programa i razvoj trenerske mreže osobito na lokalnoj i regionalnoj razini. Djelatnost Škole treba u velikoj mjeri proširiti na  lokalnu i regionalnu samoupravu kao i provoditi programe stručnog usavršavanja na razini općina, gradova i županija. Osim navedenog, DŠJU je dužna u provedbu svojih programa uključiti i sve zaposlene u javnim  ustanovama, agencijama te pravnim osobama s javnim ovlastima. Čak i kada veliki dio programa provode druge institucije, očekuje se da Škola ima vlastiti portfelj kvalitetnih trening programa za provedbu na centralnoj, regionalnoj i lokalnoj razini. </w:t>
      </w:r>
    </w:p>
    <w:p w:rsidR="00D849AA" w:rsidRDefault="00EE6D95">
      <w:pPr>
        <w:pStyle w:val="Normal6"/>
      </w:pPr>
      <w:r>
        <w:t xml:space="preserve">6. DODATNI PROGRAMI - jačanje koordinacije i razvoj novih programa izobrazbe uspostavom suradnje sa stručnim ustanovama radi učinkovitog sustava osiguravanja kvalitete putem vanjskog vrednovanja.  </w:t>
      </w:r>
    </w:p>
    <w:p w:rsidR="00D849AA" w:rsidRDefault="00EE6D95">
      <w:pPr>
        <w:pStyle w:val="Normal6"/>
      </w:pPr>
      <w:r>
        <w:t xml:space="preserve">Provedba programa i efikasna primjena sveobuhvatnog sustava osiguranja kvalitete, bit će još jedan značajan zadatak za Školu. Važan prioritet za Školu čini koordinacija razvoja novih programa, kako bismo bili sigurni da je na zahtjeve za novim kompetencijama na vrijeme i na odgovarajućoj razini odgovoreno. To će zahtijevati opsežne konzultacije sa svim javnim institucijama i mora se bazirati na kontinuiranoj procjeni potreba za usavršavanjem (PPU). Bitno je da PPU ne mjeri samo trenutne potrebe nego i buduće anticipirane potrebe koje su neophodne za provedbu mjera reformi. Jedno od ključnih pitanja je osigurati usklađivanje ponude s potrebama bez preklapanja u sadržaju i aktivnostima. Budući da su sredstva predviđena za usavršavanje u javnom sektoru uglavnom skromna, potrebno je održavati optimum u planiranju, razvoju i provedbi. </w:t>
      </w:r>
    </w:p>
    <w:p w:rsidR="00D849AA" w:rsidRDefault="00EE6D95">
      <w:pPr>
        <w:pStyle w:val="Normal6"/>
      </w:pPr>
      <w:r>
        <w:t xml:space="preserve">7. RAZVIJANJE I PROVEDBA DODATNIH PROGRAMA – u suradnji s Ministarstvom financija i Ministarstvom gospodarstva razvijati i provoditi će se dodatni programi (Financijsko upravljanje i kontrole i Javna nabava). Kako bi se izbjeglo trošenje proračunskih sredstava na programe koji su obvezni za jedan dio državnih i javnih službenika, u dogovoru s navedenim ministarstvima pokrenuta je i dogovorena suradnja s DŠJU kako bi se osigurali programi stručnog usavršavanja koje trenutno organiziraju privatne konzultantske tvrtke. Škola od 2014. godine planira organizaciju programa iz područja javne nabave te financija. S tim ciljem se očekuje i skoro potpisivanje Sporazuma o suradnji s Ministarstvom financija i Škole. </w:t>
      </w:r>
    </w:p>
    <w:p w:rsidR="00D849AA" w:rsidRDefault="00EE6D95">
      <w:pPr>
        <w:pStyle w:val="Normal6"/>
      </w:pPr>
      <w:r>
        <w:t>8. GAPA PROJEKT – od projekta IPA 2008 „Potpora u primjeni Zakona o općem upravnom postupku“ Škola je u 2014. godini u obvezi preuzeti mrežu trenera za ZUP-Zakon o upravnom postupku i značajno povećati provedbu programa o ZUP-u za sve službenike u javnoj upravi.</w:t>
      </w:r>
    </w:p>
    <w:p w:rsidR="00562CD8" w:rsidRDefault="00562CD8">
      <w:pPr>
        <w:pStyle w:val="Normal6"/>
      </w:pPr>
    </w:p>
    <w:p w:rsidR="00562CD8" w:rsidRDefault="00562CD8">
      <w:pPr>
        <w:pStyle w:val="Normal6"/>
      </w:pPr>
    </w:p>
    <w:p w:rsidR="00562CD8" w:rsidRDefault="00562CD8">
      <w:pPr>
        <w:pStyle w:val="Normal6"/>
      </w:pPr>
    </w:p>
    <w:p w:rsidR="00D849AA" w:rsidRDefault="00EE6D95">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 xml:space="preserve">Broj provedenih programa </w:t>
            </w:r>
          </w:p>
          <w:p w:rsidR="00D849AA" w:rsidRDefault="00EE6D95">
            <w:pPr>
              <w:pStyle w:val="CellColumn"/>
            </w:pPr>
            <w:r>
              <w:t xml:space="preserve"> izobrazbe</w:t>
            </w:r>
          </w:p>
        </w:tc>
        <w:tc>
          <w:tcPr>
            <w:tcW w:w="1114" w:type="dxa"/>
          </w:tcPr>
          <w:p w:rsidR="00D849AA" w:rsidRDefault="00EE6D95">
            <w:r>
              <w:t>broj</w:t>
            </w:r>
          </w:p>
        </w:tc>
        <w:tc>
          <w:tcPr>
            <w:tcW w:w="1114" w:type="dxa"/>
          </w:tcPr>
          <w:p w:rsidR="00D849AA" w:rsidRDefault="00EE6D95">
            <w:r>
              <w:t>0</w:t>
            </w:r>
          </w:p>
        </w:tc>
        <w:tc>
          <w:tcPr>
            <w:tcW w:w="1486" w:type="dxa"/>
          </w:tcPr>
          <w:p w:rsidR="00D849AA" w:rsidRDefault="00EE6D95">
            <w:r>
              <w:t>1</w:t>
            </w:r>
          </w:p>
        </w:tc>
        <w:tc>
          <w:tcPr>
            <w:tcW w:w="1486" w:type="dxa"/>
          </w:tcPr>
          <w:p w:rsidR="00D849AA" w:rsidRDefault="00EE6D95">
            <w:r>
              <w:t>/</w:t>
            </w:r>
          </w:p>
        </w:tc>
        <w:tc>
          <w:tcPr>
            <w:tcW w:w="1486" w:type="dxa"/>
          </w:tcPr>
          <w:p w:rsidR="00D849AA" w:rsidRDefault="00EE6D95">
            <w:r>
              <w:t>/</w:t>
            </w:r>
          </w:p>
        </w:tc>
      </w:tr>
      <w:tr w:rsidR="00D849AA">
        <w:trPr>
          <w:jc w:val="center"/>
        </w:trPr>
        <w:tc>
          <w:tcPr>
            <w:tcW w:w="2229" w:type="dxa"/>
          </w:tcPr>
          <w:p w:rsidR="00D849AA" w:rsidRDefault="00EE6D95">
            <w:pPr>
              <w:pStyle w:val="CellColumn"/>
            </w:pPr>
            <w:r>
              <w:t>Broj službenika koji su pohađali izobrazbu</w:t>
            </w:r>
          </w:p>
        </w:tc>
        <w:tc>
          <w:tcPr>
            <w:tcW w:w="1114" w:type="dxa"/>
          </w:tcPr>
          <w:p w:rsidR="00D849AA" w:rsidRDefault="00EE6D95">
            <w:r>
              <w:t>broj</w:t>
            </w:r>
          </w:p>
        </w:tc>
        <w:tc>
          <w:tcPr>
            <w:tcW w:w="1114" w:type="dxa"/>
          </w:tcPr>
          <w:p w:rsidR="00D849AA" w:rsidRDefault="00EE6D95">
            <w:r>
              <w:t>76</w:t>
            </w:r>
          </w:p>
        </w:tc>
        <w:tc>
          <w:tcPr>
            <w:tcW w:w="1486" w:type="dxa"/>
          </w:tcPr>
          <w:p w:rsidR="00D849AA" w:rsidRDefault="00EE6D95">
            <w:r>
              <w:t>100</w:t>
            </w:r>
          </w:p>
        </w:tc>
        <w:tc>
          <w:tcPr>
            <w:tcW w:w="1486" w:type="dxa"/>
          </w:tcPr>
          <w:p w:rsidR="00D849AA" w:rsidRDefault="00EE6D95">
            <w:r>
              <w:t>150</w:t>
            </w:r>
          </w:p>
        </w:tc>
        <w:tc>
          <w:tcPr>
            <w:tcW w:w="1486" w:type="dxa"/>
          </w:tcPr>
          <w:p w:rsidR="00D849AA" w:rsidRDefault="00EE6D95">
            <w:r>
              <w:t>200</w:t>
            </w:r>
          </w:p>
        </w:tc>
      </w:tr>
    </w:tbl>
    <w:p w:rsidR="00D849AA" w:rsidRDefault="00D849AA">
      <w:pPr>
        <w:jc w:val="left"/>
      </w:pPr>
    </w:p>
    <w:p w:rsidR="00D849AA" w:rsidRDefault="00EE6D95">
      <w:pPr>
        <w:pStyle w:val="Naslov6"/>
      </w:pPr>
      <w:r>
        <w:t>T677020 IPA 2011 JAČANJE KAPACITETA DRŽAVNE ŠKOLE ZA JAVNU UPRAVU</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T677020</w:t>
            </w:r>
          </w:p>
        </w:tc>
        <w:tc>
          <w:tcPr>
            <w:tcW w:w="1486" w:type="dxa"/>
          </w:tcPr>
          <w:p w:rsidR="00D849AA" w:rsidRDefault="00EE6D95">
            <w:r>
              <w:t>00</w:t>
            </w:r>
          </w:p>
        </w:tc>
        <w:tc>
          <w:tcPr>
            <w:tcW w:w="1486" w:type="dxa"/>
          </w:tcPr>
          <w:p w:rsidR="00D849AA" w:rsidRDefault="00EE6D95">
            <w:r>
              <w:t>2.079.000</w:t>
            </w:r>
          </w:p>
        </w:tc>
        <w:tc>
          <w:tcPr>
            <w:tcW w:w="1486" w:type="dxa"/>
          </w:tcPr>
          <w:p w:rsidR="00D849AA" w:rsidRDefault="00EE6D95">
            <w:r>
              <w:t>00</w:t>
            </w:r>
          </w:p>
        </w:tc>
        <w:tc>
          <w:tcPr>
            <w:tcW w:w="1486" w:type="dxa"/>
          </w:tcPr>
          <w:p w:rsidR="00D849AA" w:rsidRDefault="00EE6D95">
            <w:r>
              <w:t>00</w:t>
            </w:r>
          </w:p>
        </w:tc>
        <w:tc>
          <w:tcPr>
            <w:tcW w:w="1486" w:type="dxa"/>
          </w:tcPr>
          <w:p w:rsidR="00D849AA" w:rsidRDefault="00EE6D95">
            <w:r>
              <w:t>0,0</w:t>
            </w:r>
          </w:p>
        </w:tc>
      </w:tr>
    </w:tbl>
    <w:p w:rsidR="00D849AA" w:rsidRDefault="00D849AA">
      <w:pPr>
        <w:jc w:val="left"/>
      </w:pPr>
    </w:p>
    <w:p w:rsidR="00D849AA" w:rsidRDefault="00EE6D95">
      <w:pPr>
        <w:pStyle w:val="Normal6"/>
      </w:pPr>
      <w:r>
        <w:t xml:space="preserve">TWINNING LIGHT PROJEKT – osiguranje sredstava za sufinanciranje </w:t>
      </w:r>
    </w:p>
    <w:p w:rsidR="00D849AA" w:rsidRDefault="00EE6D95">
      <w:pPr>
        <w:pStyle w:val="Normal6"/>
      </w:pPr>
      <w:r>
        <w:t xml:space="preserve">Iznosi na skupini konta 323 Rashodi za usluge, izvoru 51 i izvoru 12, predviđen je za financiranje projekta. Naime, Školi je odobren Twinning light projekt IPA 2011 „Capacity Building of the National School for Public Administration“, s budžetom 250.000,00 EUR, čija se provedba planira u 2014. godini, što podrazumijeva obavezno nacionalno sufinanciranje od 10%. Predviđene aktivnosti u tekućem twinning light projektu će osigurati da DŠJU poveća sposobnost učinkovite koordinacije i  iskorištavanja financijskih sredstava u državnom proračunu te omogućiti DŠJU razviti moderan nastavni plan i program osposobljavanja javnog sektora i mrežu pružatelja usluga osposobljavanja, čime se povećavaju ukupni kapaciteti DŠJU.  </w:t>
      </w:r>
    </w:p>
    <w:p w:rsidR="00D849AA" w:rsidRDefault="00EE6D95">
      <w:pPr>
        <w:pStyle w:val="Normal6"/>
      </w:pPr>
      <w:r>
        <w:t xml:space="preserve">Posebni cilj projekta je jačanje administrativnih i institucionalnih kapaciteta Državne škole za javnu upravu, omogućujući poboljšanje uloge Škole i sveukupne koordinacije kako bi postala provedbeno tijelo za izgradnju kapaciteta i stručnog usavršavanja uz izravnu potporu reformi javne uprave i razvoju ljudskih potencijala. </w:t>
      </w:r>
    </w:p>
    <w:p w:rsidR="00D849AA" w:rsidRDefault="00EE6D95">
      <w:pPr>
        <w:pStyle w:val="Normal6"/>
      </w:pPr>
      <w:r>
        <w:t xml:space="preserve">Zakonska osnova: </w:t>
      </w:r>
    </w:p>
    <w:p w:rsidR="00D849AA" w:rsidRDefault="00EE6D95">
      <w:pPr>
        <w:pStyle w:val="Normal6"/>
      </w:pPr>
      <w:r>
        <w:t>Prijedlog Europske komisije za pripremu i prioritete programskih dokumenta, Uredba o osnivanju Državne škole za javnu upravu (NN 144/10, 62/12 i 112/12).</w:t>
      </w:r>
    </w:p>
    <w:p w:rsidR="00D849AA" w:rsidRDefault="00EE6D95">
      <w:pPr>
        <w:pStyle w:val="Naslov1"/>
      </w:pPr>
      <w:r>
        <w:lastRenderedPageBreak/>
        <w:t>096 MINISTARSTVO ZDRAVLJA</w:t>
      </w:r>
    </w:p>
    <w:p w:rsidR="00D849AA" w:rsidRDefault="00EE6D95">
      <w:pPr>
        <w:pStyle w:val="Naslov4"/>
      </w:pPr>
      <w:r>
        <w:t>Uvod</w:t>
      </w:r>
    </w:p>
    <w:p w:rsidR="00D849AA" w:rsidRDefault="00EE6D95">
      <w:pPr>
        <w:pStyle w:val="Normal3"/>
      </w:pPr>
      <w:r>
        <w:t xml:space="preserve">Zakonom o ustrojstvu i djelokrugu ministarstava i drugih središnjih tijela državne uprave, koji je stupio na snagu 22. prosinca 2011. godine, ustrojeno je Ministarstvo zdravlja. </w:t>
      </w:r>
    </w:p>
    <w:p w:rsidR="00D849AA" w:rsidRDefault="00EE6D95">
      <w:pPr>
        <w:pStyle w:val="Normal3"/>
      </w:pPr>
      <w:r>
        <w:t>Ministarstvo zdravlja obavlja upravne i druge poslove koji se odnose na: sustav zdravstvene zaštite i zdravstvenog osiguranja; praćenje i unapređivanje zdravstvenog stanja i zdravstvenih potreba stanovništva; zaštitu stanovništva od zaraznih i nezaraznih bolesti, ionizirajućih i neionizirajućih zračenja; zaštitu od buke; zdravstvenu ispravnost i higijenu hrane u skladu s posebnim propisom o hrani i predmeta opće uporabe; proizvodnju, promet i potrošnju opojnih droga; korištenje zdravstvenih potencijala; izgradnju i investiranje u zdravstvu; osnivanje zdravstvenih ustanova i privatne prakse; organiziranje stručnih ispita zdravstvenih djelatnika te njihovo specijalističko usavršavanje; priznavanje naziva primarijusa; dodjelu naziva zdravstvenim ustanovama (referentni centar, klinika, klinička bolnica i klinički  bolnički centar); upravni nadzor nad radom Hrvatskog zavoda za zdravstveno osiguranje, Hrvatskoga crvenog križa i komora; zdravstveno-inspekcijski nadzor nad radom zdravstvenih ustanova i zdravstvenih djelatnika te privatnom praksom: registraciju lijekova; farmaceutsko- inspekcijski nadzor nad proizvodnjom i prometom lijekova i medicinskih proizvoda; inspekcijski nadzor nad ustanovama koje obavljaju djelatnosti iz područja prikupljanja krvi i proizvodnje krvnih pripravaka; transplantacije tkiva i stanica te medicinski pomognute oplodnje; službene kontrole zdravstvene ispravnosti, higijene i kakvoće hrane u skladu s posebnim propisom o hrani; sanitarni nadzor nad proizvodnjom, prometom, uporabom i zbrinjavanjem opasnih kemikalija i drugih tvari štetnih po zdravlje ljudi; sanitarni nadzor nad izvorima ionizirajućih i neionizirajućih zračenja; sanitarni nadzor nad osobama i djelatnostima, građevinama, prostorijama, postrojenjima i uređajima koji mogu na bilo koji način štetno utjecati na zdravlje ljudi te sanitarni nadzor u međunarodnom prometu na državnoj granici.</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09605 Ministarstvo zdravlja</w:t>
            </w:r>
          </w:p>
        </w:tc>
        <w:tc>
          <w:tcPr>
            <w:tcW w:w="1486" w:type="dxa"/>
          </w:tcPr>
          <w:p w:rsidR="00D849AA" w:rsidRDefault="00EE6D95">
            <w:r>
              <w:t>790.635.604</w:t>
            </w:r>
          </w:p>
        </w:tc>
        <w:tc>
          <w:tcPr>
            <w:tcW w:w="1486" w:type="dxa"/>
          </w:tcPr>
          <w:p w:rsidR="00D849AA" w:rsidRDefault="00EE6D95">
            <w:r>
              <w:t>820.467.613</w:t>
            </w:r>
          </w:p>
        </w:tc>
        <w:tc>
          <w:tcPr>
            <w:tcW w:w="1486" w:type="dxa"/>
          </w:tcPr>
          <w:p w:rsidR="00D849AA" w:rsidRDefault="00EE6D95">
            <w:r>
              <w:t>799.965.296</w:t>
            </w:r>
          </w:p>
        </w:tc>
        <w:tc>
          <w:tcPr>
            <w:tcW w:w="1486" w:type="dxa"/>
          </w:tcPr>
          <w:p w:rsidR="00D849AA" w:rsidRDefault="00EE6D95">
            <w:r>
              <w:t>805.968.630</w:t>
            </w:r>
          </w:p>
        </w:tc>
        <w:tc>
          <w:tcPr>
            <w:tcW w:w="1486" w:type="dxa"/>
          </w:tcPr>
          <w:p w:rsidR="00D849AA" w:rsidRDefault="00EE6D95">
            <w:r>
              <w:t>103,8</w:t>
            </w:r>
          </w:p>
        </w:tc>
      </w:tr>
      <w:tr w:rsidR="00D849AA">
        <w:trPr>
          <w:jc w:val="center"/>
        </w:trPr>
        <w:tc>
          <w:tcPr>
            <w:tcW w:w="1486" w:type="dxa"/>
          </w:tcPr>
          <w:p w:rsidR="00D849AA" w:rsidRDefault="00EE6D95">
            <w:pPr>
              <w:pStyle w:val="CellColumn"/>
            </w:pPr>
            <w:r>
              <w:t>09615 Hrvatski zavod za zdravstveno osiguranje</w:t>
            </w:r>
          </w:p>
        </w:tc>
        <w:tc>
          <w:tcPr>
            <w:tcW w:w="1486" w:type="dxa"/>
          </w:tcPr>
          <w:p w:rsidR="00D849AA" w:rsidRDefault="00EE6D95">
            <w:r>
              <w:t>20.655.964.000</w:t>
            </w:r>
          </w:p>
        </w:tc>
        <w:tc>
          <w:tcPr>
            <w:tcW w:w="1486" w:type="dxa"/>
          </w:tcPr>
          <w:p w:rsidR="00D849AA" w:rsidRDefault="00EE6D95">
            <w:r>
              <w:t>20.645.665.600</w:t>
            </w:r>
          </w:p>
        </w:tc>
        <w:tc>
          <w:tcPr>
            <w:tcW w:w="1486" w:type="dxa"/>
          </w:tcPr>
          <w:p w:rsidR="00D849AA" w:rsidRDefault="00EE6D95">
            <w:r>
              <w:t>20.682.483.600</w:t>
            </w:r>
          </w:p>
        </w:tc>
        <w:tc>
          <w:tcPr>
            <w:tcW w:w="1486" w:type="dxa"/>
          </w:tcPr>
          <w:p w:rsidR="00D849AA" w:rsidRDefault="00EE6D95">
            <w:r>
              <w:t>20.885.077.540</w:t>
            </w:r>
          </w:p>
        </w:tc>
        <w:tc>
          <w:tcPr>
            <w:tcW w:w="1486" w:type="dxa"/>
          </w:tcPr>
          <w:p w:rsidR="00D849AA" w:rsidRDefault="00EE6D95">
            <w:r>
              <w:t>100,0</w:t>
            </w:r>
          </w:p>
        </w:tc>
      </w:tr>
      <w:tr w:rsidR="00D849AA">
        <w:trPr>
          <w:jc w:val="center"/>
        </w:trPr>
        <w:tc>
          <w:tcPr>
            <w:tcW w:w="1486" w:type="dxa"/>
            <w:shd w:val="clear" w:color="auto" w:fill="B5C0D8"/>
          </w:tcPr>
          <w:p w:rsidR="00D849AA" w:rsidRDefault="00EE6D95">
            <w:pPr>
              <w:pStyle w:val="CellColumn"/>
            </w:pPr>
            <w:r>
              <w:t>Ukupno 096</w:t>
            </w:r>
          </w:p>
        </w:tc>
        <w:tc>
          <w:tcPr>
            <w:tcW w:w="1486" w:type="dxa"/>
            <w:shd w:val="clear" w:color="auto" w:fill="B5C0D8"/>
          </w:tcPr>
          <w:p w:rsidR="00D849AA" w:rsidRDefault="00EE6D95">
            <w:r>
              <w:t>21.446.599.604</w:t>
            </w:r>
          </w:p>
        </w:tc>
        <w:tc>
          <w:tcPr>
            <w:tcW w:w="1486" w:type="dxa"/>
            <w:shd w:val="clear" w:color="auto" w:fill="B5C0D8"/>
          </w:tcPr>
          <w:p w:rsidR="00D849AA" w:rsidRDefault="00EE6D95">
            <w:r>
              <w:t>21.466.133.213</w:t>
            </w:r>
          </w:p>
        </w:tc>
        <w:tc>
          <w:tcPr>
            <w:tcW w:w="1486" w:type="dxa"/>
            <w:shd w:val="clear" w:color="auto" w:fill="B5C0D8"/>
          </w:tcPr>
          <w:p w:rsidR="00D849AA" w:rsidRDefault="00EE6D95">
            <w:r>
              <w:t>21.482.448.896</w:t>
            </w:r>
          </w:p>
        </w:tc>
        <w:tc>
          <w:tcPr>
            <w:tcW w:w="1486" w:type="dxa"/>
            <w:shd w:val="clear" w:color="auto" w:fill="B5C0D8"/>
          </w:tcPr>
          <w:p w:rsidR="00D849AA" w:rsidRDefault="00EE6D95">
            <w:r>
              <w:t>21.691.046.170</w:t>
            </w:r>
          </w:p>
        </w:tc>
        <w:tc>
          <w:tcPr>
            <w:tcW w:w="1486" w:type="dxa"/>
            <w:shd w:val="clear" w:color="auto" w:fill="B5C0D8"/>
          </w:tcPr>
          <w:p w:rsidR="00D849AA" w:rsidRDefault="00EE6D95">
            <w:r>
              <w:t>100,1</w:t>
            </w:r>
          </w:p>
        </w:tc>
      </w:tr>
    </w:tbl>
    <w:p w:rsidR="00D849AA" w:rsidRDefault="00D849AA">
      <w:pPr>
        <w:jc w:val="left"/>
      </w:pPr>
    </w:p>
    <w:p w:rsidR="00D849AA" w:rsidRDefault="00EE6D95">
      <w:pPr>
        <w:pStyle w:val="Naslov2"/>
      </w:pPr>
      <w:r>
        <w:t>09605 Ministarstvo zdravlja</w:t>
      </w:r>
    </w:p>
    <w:p w:rsidR="00D849AA" w:rsidRDefault="00EE6D95">
      <w:pPr>
        <w:pStyle w:val="Naslov4"/>
      </w:pPr>
      <w:r>
        <w:t>Uvod</w:t>
      </w:r>
    </w:p>
    <w:p w:rsidR="00D849AA" w:rsidRDefault="00EE6D95">
      <w:pPr>
        <w:pStyle w:val="Normal3"/>
      </w:pPr>
      <w:r>
        <w:t xml:space="preserve">Primjena znanstveno utemeljenih programa sprečavanja i suzbijanja bolesti te promicanja zdravlja predstavljaju glavne aktivnosti usmjerene zaštiti, očuvanju i unapređenju zdravlja stanovništva. Cilj je unaprijediti zdravstveni sustav tako da se osiguravanjem pravodobnog pristupa </w:t>
      </w:r>
      <w:r>
        <w:lastRenderedPageBreak/>
        <w:t xml:space="preserve">zdravstvenim uslugama zadovolji potrebe građana Republike Hrvatske za kvalitetnom stručno-medicinskom zdravstvenom zaštitom koja obuhvaća sprečavanje bolesti i profesionalnih bolesti, edukaciju o zdravlju, ranom prepoznavanju rizika bolesti te liječenje i rehabilitaciju bolesnih. U cilju zaštite, očuvanja i unapređenja zdravlja, od osobite je važnosti promoviranje zdravih stilova života, razvijanje pravilnih prehrambenih navika, utjecanje na povećanje tjelesnih aktivnosti te ukazivanje na štetnost raznih oblika ovisnosti. Poticanjem razvijanja zdravih stilova života utjecat će se na kvalitetu i dužinu trajanja života, smanjenje pojavnosti kroničnih nezaraznih bolesti kao i nekih sijela malignih oboljenja. Zdravstveno-statistički pokazatelji unapređenje njihova praćenja ukazuje na zdravlje i odstupanje od zdravlja populacije kao osnova za usmjeravanje potrebnih javnozdravstvenih mjera usmjerenih zaštiti, očuvanju i unapređenju zdravlja. U okviru navedenog cilja veliki dio aktivnosti bit će usmjeren na osjetljive dobne skupine, djecu i osobe starije životne dobi te osobe s posebnim potrebama. </w:t>
      </w:r>
    </w:p>
    <w:p w:rsidR="00D849AA" w:rsidRDefault="00EE6D95">
      <w:pPr>
        <w:pStyle w:val="Normal3"/>
      </w:pPr>
      <w:r>
        <w:t>Javnozdravstveni interes ostvaruje se provedbom mjera i postupaka koji su usmjereni na zaštitu zdravlja populacije određenog područja ili cijele države. Zaštita javnozdravstvenog interesa provodi se kvalitetnim radom sanitarne inspekcije, a unapređenjem njezina rada omogućiti će se i dosljednije provođenje zakona i podzakonskih propisa, a time i bolja zaštita zdravlja ljudi sukladno odredbama Zakona o sanitarnoj inspekciji. Nadzorom sanitarne inspekcije na područjima sprečavanja i suzbijanja zaraznih bolesti; proizvodnje i stavljanja na tržište hrane, uključujući i genetski modificiranu hranu i novu hranu te genetski modificirane organizme; proizvodnje i stavljanja na tržište predmeta opće uporabe; proizvodnje i stavljanja na tržište i uporabe opasnih kemikalija; stavljanja na tržište i uporabe biocidnih pripravaka; zaštite od buke i zaštite od ionizirajućeg i neionizirajućeg zračenja - izravno se štiti javnozdravstveni interes.</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09605</w:t>
            </w:r>
          </w:p>
        </w:tc>
        <w:tc>
          <w:tcPr>
            <w:tcW w:w="1486" w:type="dxa"/>
          </w:tcPr>
          <w:p w:rsidR="00D849AA" w:rsidRDefault="00EE6D95">
            <w:r>
              <w:t>790.635.604</w:t>
            </w:r>
          </w:p>
        </w:tc>
        <w:tc>
          <w:tcPr>
            <w:tcW w:w="1486" w:type="dxa"/>
          </w:tcPr>
          <w:p w:rsidR="00D849AA" w:rsidRDefault="00EE6D95">
            <w:r>
              <w:t>820.467.613</w:t>
            </w:r>
          </w:p>
        </w:tc>
        <w:tc>
          <w:tcPr>
            <w:tcW w:w="1486" w:type="dxa"/>
          </w:tcPr>
          <w:p w:rsidR="00D849AA" w:rsidRDefault="00EE6D95">
            <w:r>
              <w:t>799.965.296</w:t>
            </w:r>
          </w:p>
        </w:tc>
        <w:tc>
          <w:tcPr>
            <w:tcW w:w="1486" w:type="dxa"/>
          </w:tcPr>
          <w:p w:rsidR="00D849AA" w:rsidRDefault="00EE6D95">
            <w:r>
              <w:t>805.968.630</w:t>
            </w:r>
          </w:p>
        </w:tc>
        <w:tc>
          <w:tcPr>
            <w:tcW w:w="1486" w:type="dxa"/>
          </w:tcPr>
          <w:p w:rsidR="00D849AA" w:rsidRDefault="00EE6D95">
            <w:r>
              <w:t>103,8</w:t>
            </w:r>
          </w:p>
        </w:tc>
      </w:tr>
    </w:tbl>
    <w:p w:rsidR="00D849AA" w:rsidRDefault="00D849AA">
      <w:pPr>
        <w:jc w:val="left"/>
      </w:pPr>
    </w:p>
    <w:p w:rsidR="00D849AA" w:rsidRDefault="00EE6D95">
      <w:pPr>
        <w:pStyle w:val="Naslov4"/>
      </w:pPr>
      <w:r>
        <w:t>OBRAZLOŽENJE PROGRAMA</w:t>
      </w:r>
    </w:p>
    <w:p w:rsidR="00D849AA" w:rsidRDefault="00EE6D95">
      <w:pPr>
        <w:pStyle w:val="Naslov5"/>
      </w:pPr>
      <w:r>
        <w:t>3601 ZAŠTITA, OČUVANJE I UNAPREĐENJE ZDRAVLJA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3601</w:t>
            </w:r>
          </w:p>
        </w:tc>
        <w:tc>
          <w:tcPr>
            <w:tcW w:w="1486" w:type="dxa"/>
          </w:tcPr>
          <w:p w:rsidR="00D849AA" w:rsidRDefault="00EE6D95">
            <w:r>
              <w:t>119.926.901</w:t>
            </w:r>
          </w:p>
        </w:tc>
        <w:tc>
          <w:tcPr>
            <w:tcW w:w="1486" w:type="dxa"/>
          </w:tcPr>
          <w:p w:rsidR="00D849AA" w:rsidRDefault="00EE6D95">
            <w:r>
              <w:t>130.075.200</w:t>
            </w:r>
          </w:p>
        </w:tc>
        <w:tc>
          <w:tcPr>
            <w:tcW w:w="1486" w:type="dxa"/>
          </w:tcPr>
          <w:p w:rsidR="00D849AA" w:rsidRDefault="00EE6D95">
            <w:r>
              <w:t>111.744.551</w:t>
            </w:r>
          </w:p>
        </w:tc>
        <w:tc>
          <w:tcPr>
            <w:tcW w:w="1486" w:type="dxa"/>
          </w:tcPr>
          <w:p w:rsidR="00D849AA" w:rsidRDefault="00EE6D95">
            <w:r>
              <w:t>112.607.663</w:t>
            </w:r>
          </w:p>
        </w:tc>
        <w:tc>
          <w:tcPr>
            <w:tcW w:w="1486" w:type="dxa"/>
          </w:tcPr>
          <w:p w:rsidR="00D849AA" w:rsidRDefault="00EE6D95">
            <w:r>
              <w:t>108,5</w:t>
            </w:r>
          </w:p>
        </w:tc>
      </w:tr>
    </w:tbl>
    <w:p w:rsidR="00D849AA" w:rsidRDefault="00D849AA">
      <w:pPr>
        <w:jc w:val="left"/>
      </w:pPr>
    </w:p>
    <w:p w:rsidR="00D849AA" w:rsidRDefault="00EE6D95">
      <w:pPr>
        <w:pStyle w:val="Naslov6"/>
      </w:pPr>
      <w:r>
        <w:t>Opis programa</w:t>
      </w:r>
    </w:p>
    <w:p w:rsidR="00D849AA" w:rsidRDefault="00EE6D95">
      <w:pPr>
        <w:pStyle w:val="Normal5"/>
      </w:pPr>
      <w:r>
        <w:t xml:space="preserve">Provedba ovog programa osigurava postizanje općeg cilja 1.1. Zaštita, očuvanje i unapređenje zdravlja te posebnih ciljeva 1.1., 1.2. i 1.3. definiranih u Strateškom planu Ministarstva za razdoblje 2014 .-2016. </w:t>
      </w:r>
    </w:p>
    <w:p w:rsidR="00D849AA" w:rsidRDefault="00EE6D95">
      <w:pPr>
        <w:pStyle w:val="Normal5"/>
      </w:pPr>
      <w:r>
        <w:t>U okviru programa provodi se niz aktivnosti unapređenja zdravstvenog sustava na sve tri razine zdravstvene djelatnosti s ciljem očuvanja i unapređenja zdravlja cjelokupne populacije  i  osiguranja  pravodobnog  pristupa  kvalitetnoj  zdravstvenoj  skrbi  koja uključuje niz aktivnosti na sprječavanju bolesti i  profesionalnih bolesti, edukaciji  o  zdravlju,  ranom  prepoznavanju  rizika  bolesti,  liječenju  i  rehabilitaciji bolesnih.</w:t>
      </w:r>
    </w:p>
    <w:p w:rsidR="00D849AA" w:rsidRDefault="00EE6D95">
      <w:pPr>
        <w:pStyle w:val="Naslov6"/>
      </w:pPr>
      <w:r>
        <w:lastRenderedPageBreak/>
        <w:t>Zakonske i druge pravne osnove</w:t>
      </w:r>
    </w:p>
    <w:p w:rsidR="00D849AA" w:rsidRDefault="00EE6D95">
      <w:pPr>
        <w:pStyle w:val="Normal5"/>
      </w:pPr>
      <w:r>
        <w:t>Nacionalna strategija razvoja zdravstva od 2012. do 2020.g., Zakon o zdravstvenoj zaštiti, Zakon o zdravstvenom osiguranju, Zakon o lijekovima i medicinskim proizvodima, Zakon o zaštiti pučanstva od zaraznih bolesti, Zakon o  medicinski pomognutoj  oplodnji,  Zakon  o  liječništvu, Zakon o ljekarništvu, Zakon o stomatologiji, Zakon o medicinsko-biokemijskoj djelatnosti, Zakon o fizioterapeutskoj djelatnosti, Zakon o  primaljstvu, Zakon o djelatnostima  u  zdravstvu,  Zakon  o krvi  i krvnim pripravcima, Zakon o zaštiti prava pacijenata, Akcijski plan za  usklađivanje zakonodavstva i stvaranje potrebnih  kapaciteta za usvajanje i provedbu pravne   stečevine Europske   Unije,   Zakon   o suzbijanju zlouporabe droga, Nacionalna strategija suzbijanja zloupotrebe droga, Zakon o ograničavanju uporabe duhanskih proizvoda, Zakon o zaštiti osoba s duševnim smetnjama, Zakon o zaštiti i spašavanju, Zakon o potvrđivanju Memoranduma o razumijevanju između Republike Hrvatske i Europske zajednice o sudjelovanju Republike  Hrvatske  u  Drugom programu aktivnosti zajednice u području zdravstva (2008. -  2013.),  Nacionalni plan za suzbijanje  trgovanja  ljudima za razdoblje  2012.- 2015., Zakon  o  zaštiti  na  radu, Nacionalni plan zaštite na radu, Akcijski plan za jačanje nadzora nad duhanom 2013.- 2016., Nacionalni program za kontrolu infekcija povezanih sa zdravstvenom zaštitom 2013.-2017., Nacionalni program za suzbijanje HIV/AIDS-a  2011.- 2015., Nacionalni  program za  kontrolu otpornosti bakterija na antibiotike 2009.- 2014., Zakon o Hrvatskom Crvenom križu, Zakon o udrugama, Nacionalni program  za Rome, Akcijski  plan  desetljeća za  Rome,  Nacionalna strategija  izjednačavanja mogućnosti  za  osobe  s  invaliditetom, Nacionalni  program ranog otkrivanja  raka dojke, Nacionalni program ranog otkrivanja raka debelog crijeva, Nacionalni program  ranog  otkrivanja  raka vrata maternice, Nacionalni  program  prevencije šećerne bolesti.</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Cilj 1. Zaštita,   očuvanje   i   unapređenje   zdravlja</w:t>
      </w:r>
    </w:p>
    <w:p w:rsidR="00D849AA" w:rsidRDefault="00EE6D95">
      <w:pPr>
        <w:pStyle w:val="Normal6"/>
      </w:pPr>
      <w:r>
        <w:t xml:space="preserve">Očuvanje i unapređenje zdravlja cjelokupnog stanovništva, koristeći znanstveno temeljene programe sprečavanja i suzbijanja bolesti te promicanja zdravlja predstavljaju glavne aktivnosti usmjerene zaštiti, očuvanju i unapređenju zdravlja stanovništva. Cilj je unaprijediti zdravstveni sustav tako da osiguravanjem pravodobnog pristupa zdravstvenim uslugama zadovolji potrebe građana Republike Hrvatske za kvalitetnom stručno-medicinskom zdravstvenom zaštitom koja obuhvaća sprječavanje bolesti i profesionalnih bolesti, edukaciju o zdravlju, ranom prepoznavanju rizika bolesti te liječenje i rehabilitaciju bolesnih. U okviru navedenog cilja veliki dio aktivnosti bit će usmjeren na osjetljive dobne skupine, djecu, žene i osobe starije životne dobi, osobe s posebnim potrebama te zaštitu zdravlja radno aktivnog i radno sposobnog stanovništva. </w:t>
      </w:r>
    </w:p>
    <w:p w:rsidR="00D849AA" w:rsidRDefault="00EE6D95">
      <w:pPr>
        <w:pStyle w:val="Normal6"/>
      </w:pPr>
      <w:r>
        <w:t xml:space="preserve">Javnozdravstveni interes ostvaruje se provedbom mjera i postupaka koji su usmjereni na zaštitu zdravlja stanovništva određenog područja ili cijele države u suradnji sa stručnim društvima i udrugama pacijenata. </w:t>
      </w:r>
    </w:p>
    <w:p w:rsidR="00D849AA" w:rsidRDefault="00EE6D95">
      <w:pPr>
        <w:pStyle w:val="Normal6"/>
      </w:pPr>
      <w:r>
        <w:t xml:space="preserve">Značajne aktivnosti odnosit će se na pripremu i provedbu programa i projekata iz programa Europske unije i ostalih oblika međunarodne pomoći, kao i na poslove koji se odnose na sudjelovanje Republike Hrvatske u zajedničkim aktivnostima zaštite zdravlja na razini EU. </w:t>
      </w:r>
    </w:p>
    <w:p w:rsidR="00D849AA" w:rsidRDefault="00EE6D95">
      <w:pPr>
        <w:pStyle w:val="Normal6"/>
      </w:pPr>
      <w:r>
        <w:t xml:space="preserve"> </w:t>
      </w:r>
    </w:p>
    <w:p w:rsidR="00D849AA" w:rsidRDefault="00EE6D95">
      <w:pPr>
        <w:pStyle w:val="Normal6"/>
      </w:pPr>
      <w:r>
        <w:t>*Izviješća za indikator izrađuju se jednom godišnje s odmakom od dvije godine</w:t>
      </w:r>
    </w:p>
    <w:p w:rsidR="00562CD8" w:rsidRDefault="00562CD8">
      <w:pPr>
        <w:pStyle w:val="Normal6"/>
      </w:pPr>
    </w:p>
    <w:p w:rsidR="00562CD8" w:rsidRDefault="00562CD8">
      <w:pPr>
        <w:pStyle w:val="Normal6"/>
      </w:pPr>
    </w:p>
    <w:p w:rsidR="00562CD8" w:rsidRDefault="00562CD8">
      <w:pPr>
        <w:pStyle w:val="Normal6"/>
      </w:pPr>
    </w:p>
    <w:p w:rsidR="00D849AA" w:rsidRDefault="00EE6D95">
      <w:pPr>
        <w:pStyle w:val="Naslov8"/>
        <w:jc w:val="left"/>
      </w:pPr>
      <w:r>
        <w:lastRenderedPageBreak/>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Produljenje očekivanog trajanja života pri rođenju</w:t>
            </w:r>
          </w:p>
        </w:tc>
        <w:tc>
          <w:tcPr>
            <w:tcW w:w="1114" w:type="dxa"/>
          </w:tcPr>
          <w:p w:rsidR="00D849AA" w:rsidRDefault="00EE6D95">
            <w:r>
              <w:t>broj</w:t>
            </w:r>
          </w:p>
        </w:tc>
        <w:tc>
          <w:tcPr>
            <w:tcW w:w="1114" w:type="dxa"/>
          </w:tcPr>
          <w:p w:rsidR="00D849AA" w:rsidRDefault="00EE6D95">
            <w:r>
              <w:t xml:space="preserve">(2011.)* </w:t>
            </w:r>
          </w:p>
          <w:p w:rsidR="00D849AA" w:rsidRDefault="00EE6D95">
            <w:r>
              <w:t>77</w:t>
            </w:r>
          </w:p>
        </w:tc>
        <w:tc>
          <w:tcPr>
            <w:tcW w:w="1486" w:type="dxa"/>
          </w:tcPr>
          <w:p w:rsidR="00D849AA" w:rsidRDefault="00EE6D95">
            <w:r>
              <w:t>77,15 (za 2012. godinu)*</w:t>
            </w:r>
          </w:p>
        </w:tc>
        <w:tc>
          <w:tcPr>
            <w:tcW w:w="1486" w:type="dxa"/>
          </w:tcPr>
          <w:p w:rsidR="00D849AA" w:rsidRDefault="00EE6D95">
            <w:r>
              <w:t>77,30 (za 2013. godinu)*</w:t>
            </w:r>
          </w:p>
        </w:tc>
        <w:tc>
          <w:tcPr>
            <w:tcW w:w="1486" w:type="dxa"/>
          </w:tcPr>
          <w:p w:rsidR="00D849AA" w:rsidRDefault="00EE6D95">
            <w:r>
              <w:t>77,35 (za 2014. godinu)*</w:t>
            </w:r>
          </w:p>
        </w:tc>
      </w:tr>
    </w:tbl>
    <w:p w:rsidR="00D849AA" w:rsidRDefault="00D849AA">
      <w:pPr>
        <w:jc w:val="left"/>
      </w:pPr>
    </w:p>
    <w:p w:rsidR="00D849AA" w:rsidRDefault="00EE6D95">
      <w:pPr>
        <w:pStyle w:val="Naslov5"/>
      </w:pPr>
      <w:r>
        <w:t>Procjena i ishodište potrebnih sredstava za značajnije aktivnosti/projekte</w:t>
      </w:r>
    </w:p>
    <w:p w:rsidR="00D849AA" w:rsidRDefault="00EE6D95">
      <w:pPr>
        <w:pStyle w:val="Naslov6"/>
      </w:pPr>
      <w:r>
        <w:t>A618163 POVEĆANJE BROJA DONATORA I UNAPREĐENJE TRANSPLANTACIJSKOG PROGRAMA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A618163</w:t>
            </w:r>
          </w:p>
        </w:tc>
        <w:tc>
          <w:tcPr>
            <w:tcW w:w="1486" w:type="dxa"/>
          </w:tcPr>
          <w:p w:rsidR="00D849AA" w:rsidRDefault="00EE6D95">
            <w:r>
              <w:t>1.010.000</w:t>
            </w:r>
          </w:p>
        </w:tc>
        <w:tc>
          <w:tcPr>
            <w:tcW w:w="1486" w:type="dxa"/>
          </w:tcPr>
          <w:p w:rsidR="00D849AA" w:rsidRDefault="00EE6D95">
            <w:r>
              <w:t>1.120.000</w:t>
            </w:r>
          </w:p>
        </w:tc>
        <w:tc>
          <w:tcPr>
            <w:tcW w:w="1486" w:type="dxa"/>
          </w:tcPr>
          <w:p w:rsidR="00D849AA" w:rsidRDefault="00EE6D95">
            <w:r>
              <w:t>1.120.000</w:t>
            </w:r>
          </w:p>
        </w:tc>
        <w:tc>
          <w:tcPr>
            <w:tcW w:w="1486" w:type="dxa"/>
          </w:tcPr>
          <w:p w:rsidR="00D849AA" w:rsidRDefault="00EE6D95">
            <w:r>
              <w:t>1.120.000</w:t>
            </w:r>
          </w:p>
        </w:tc>
        <w:tc>
          <w:tcPr>
            <w:tcW w:w="1486" w:type="dxa"/>
          </w:tcPr>
          <w:p w:rsidR="00D849AA" w:rsidRDefault="00EE6D95">
            <w:r>
              <w:t>110,9</w:t>
            </w:r>
          </w:p>
        </w:tc>
      </w:tr>
    </w:tbl>
    <w:p w:rsidR="00D849AA" w:rsidRDefault="00D849AA">
      <w:pPr>
        <w:jc w:val="left"/>
      </w:pPr>
    </w:p>
    <w:p w:rsidR="00D849AA" w:rsidRDefault="00EE6D95">
      <w:pPr>
        <w:pStyle w:val="Normal6"/>
      </w:pPr>
      <w:r>
        <w:t>Aktivnost je usmjerena na provedbu niza akcijskih planova, edukativnih, promidžbenih programa, projekata i aktivnosti te provedbu organizacijskih i drugih mjera u svrhu povećanja broja darivatelja organa i tkiva te unapređenja transplantacijskog programa.</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rsidP="006759BE">
            <w:pPr>
              <w:pStyle w:val="CellColumn"/>
              <w:jc w:val="left"/>
            </w:pPr>
            <w:r>
              <w:t>broj realiziranih donora na milijun stanovnika (stopa)</w:t>
            </w:r>
          </w:p>
        </w:tc>
        <w:tc>
          <w:tcPr>
            <w:tcW w:w="1114" w:type="dxa"/>
          </w:tcPr>
          <w:p w:rsidR="00D849AA" w:rsidRDefault="00EE6D95">
            <w:r>
              <w:t>broj/mil.</w:t>
            </w:r>
          </w:p>
        </w:tc>
        <w:tc>
          <w:tcPr>
            <w:tcW w:w="1114" w:type="dxa"/>
          </w:tcPr>
          <w:p w:rsidR="00D849AA" w:rsidRDefault="00EE6D95">
            <w:r>
              <w:t>20</w:t>
            </w:r>
          </w:p>
        </w:tc>
        <w:tc>
          <w:tcPr>
            <w:tcW w:w="1486" w:type="dxa"/>
          </w:tcPr>
          <w:p w:rsidR="00D849AA" w:rsidRDefault="00EE6D95">
            <w:r>
              <w:t>25</w:t>
            </w:r>
          </w:p>
        </w:tc>
        <w:tc>
          <w:tcPr>
            <w:tcW w:w="1486" w:type="dxa"/>
          </w:tcPr>
          <w:p w:rsidR="00D849AA" w:rsidRDefault="00EE6D95">
            <w:r>
              <w:t>28</w:t>
            </w:r>
          </w:p>
        </w:tc>
        <w:tc>
          <w:tcPr>
            <w:tcW w:w="1486" w:type="dxa"/>
          </w:tcPr>
          <w:p w:rsidR="00D849AA" w:rsidRDefault="00EE6D95">
            <w:r>
              <w:t>30</w:t>
            </w:r>
          </w:p>
        </w:tc>
      </w:tr>
      <w:tr w:rsidR="00D849AA">
        <w:trPr>
          <w:jc w:val="center"/>
        </w:trPr>
        <w:tc>
          <w:tcPr>
            <w:tcW w:w="2229" w:type="dxa"/>
          </w:tcPr>
          <w:p w:rsidR="00D849AA" w:rsidRDefault="00EE6D95" w:rsidP="006759BE">
            <w:pPr>
              <w:pStyle w:val="CellColumn"/>
            </w:pPr>
            <w:r>
              <w:t>broj</w:t>
            </w:r>
            <w:r>
              <w:tab/>
              <w:t xml:space="preserve">izvršenih transplantacija </w:t>
            </w:r>
          </w:p>
          <w:p w:rsidR="00D849AA" w:rsidRDefault="00EE6D95" w:rsidP="006759BE">
            <w:pPr>
              <w:pStyle w:val="CellColumn"/>
            </w:pPr>
            <w:r>
              <w:t>bubrega</w:t>
            </w:r>
            <w:r>
              <w:tab/>
              <w:t>na</w:t>
            </w:r>
            <w:r>
              <w:tab/>
              <w:t>milijun stanovnika (stopa)</w:t>
            </w:r>
          </w:p>
        </w:tc>
        <w:tc>
          <w:tcPr>
            <w:tcW w:w="1114" w:type="dxa"/>
          </w:tcPr>
          <w:p w:rsidR="00D849AA" w:rsidRDefault="00EE6D95">
            <w:r>
              <w:t>broj/mil</w:t>
            </w:r>
          </w:p>
        </w:tc>
        <w:tc>
          <w:tcPr>
            <w:tcW w:w="1114" w:type="dxa"/>
          </w:tcPr>
          <w:p w:rsidR="00D849AA" w:rsidRDefault="00EE6D95">
            <w:r>
              <w:t>38,31</w:t>
            </w:r>
          </w:p>
        </w:tc>
        <w:tc>
          <w:tcPr>
            <w:tcW w:w="1486" w:type="dxa"/>
          </w:tcPr>
          <w:p w:rsidR="00D849AA" w:rsidRDefault="00EE6D95">
            <w:r>
              <w:t>42</w:t>
            </w:r>
          </w:p>
        </w:tc>
        <w:tc>
          <w:tcPr>
            <w:tcW w:w="1486" w:type="dxa"/>
          </w:tcPr>
          <w:p w:rsidR="00D849AA" w:rsidRDefault="00EE6D95">
            <w:r>
              <w:t>43</w:t>
            </w:r>
          </w:p>
        </w:tc>
        <w:tc>
          <w:tcPr>
            <w:tcW w:w="1486" w:type="dxa"/>
          </w:tcPr>
          <w:p w:rsidR="00D849AA" w:rsidRDefault="00EE6D95">
            <w:r>
              <w:t>45</w:t>
            </w:r>
          </w:p>
        </w:tc>
      </w:tr>
    </w:tbl>
    <w:p w:rsidR="00D849AA" w:rsidRDefault="00D849AA">
      <w:pPr>
        <w:jc w:val="left"/>
      </w:pPr>
    </w:p>
    <w:p w:rsidR="00D849AA" w:rsidRDefault="00EE6D95">
      <w:pPr>
        <w:pStyle w:val="Naslov6"/>
      </w:pPr>
      <w:r>
        <w:t>A795006 PREVENCIJA MALIGNIH BOLESTI</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A795006</w:t>
            </w:r>
          </w:p>
        </w:tc>
        <w:tc>
          <w:tcPr>
            <w:tcW w:w="1486" w:type="dxa"/>
          </w:tcPr>
          <w:p w:rsidR="00D849AA" w:rsidRDefault="00EE6D95">
            <w:r>
              <w:t>13.870.000</w:t>
            </w:r>
          </w:p>
        </w:tc>
        <w:tc>
          <w:tcPr>
            <w:tcW w:w="1486" w:type="dxa"/>
          </w:tcPr>
          <w:p w:rsidR="00D849AA" w:rsidRDefault="00EE6D95">
            <w:r>
              <w:t>13.035.000</w:t>
            </w:r>
          </w:p>
        </w:tc>
        <w:tc>
          <w:tcPr>
            <w:tcW w:w="1486" w:type="dxa"/>
          </w:tcPr>
          <w:p w:rsidR="00D849AA" w:rsidRDefault="00EE6D95">
            <w:r>
              <w:t>13.100.000</w:t>
            </w:r>
          </w:p>
        </w:tc>
        <w:tc>
          <w:tcPr>
            <w:tcW w:w="1486" w:type="dxa"/>
          </w:tcPr>
          <w:p w:rsidR="00D849AA" w:rsidRDefault="00EE6D95">
            <w:r>
              <w:t>14.100.000</w:t>
            </w:r>
          </w:p>
        </w:tc>
        <w:tc>
          <w:tcPr>
            <w:tcW w:w="1486" w:type="dxa"/>
          </w:tcPr>
          <w:p w:rsidR="00D849AA" w:rsidRDefault="00EE6D95">
            <w:r>
              <w:t>94,0</w:t>
            </w:r>
          </w:p>
        </w:tc>
      </w:tr>
    </w:tbl>
    <w:p w:rsidR="00D849AA" w:rsidRDefault="00D849AA">
      <w:pPr>
        <w:jc w:val="left"/>
      </w:pPr>
    </w:p>
    <w:p w:rsidR="00D849AA" w:rsidRDefault="00EE6D95">
      <w:pPr>
        <w:pStyle w:val="Normal6"/>
      </w:pPr>
      <w:r>
        <w:t>Provoditi će se aktivnosti  iz Nacionalnih programa ranog otkrivanja malignih bolesti (rak debelog crijeva, rak dojke i rak vrata maternice).</w:t>
      </w:r>
    </w:p>
    <w:p w:rsidR="00D849AA" w:rsidRDefault="00EE6D95">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povećanje odaziva na probir za rak dojke (D), debelog crijeva (DC) i vrata maternice (VM)</w:t>
            </w:r>
          </w:p>
        </w:tc>
        <w:tc>
          <w:tcPr>
            <w:tcW w:w="1114" w:type="dxa"/>
          </w:tcPr>
          <w:p w:rsidR="00D849AA" w:rsidRDefault="00EE6D95">
            <w:r>
              <w:t>udio</w:t>
            </w:r>
          </w:p>
        </w:tc>
        <w:tc>
          <w:tcPr>
            <w:tcW w:w="1114" w:type="dxa"/>
          </w:tcPr>
          <w:p w:rsidR="00D849AA" w:rsidRDefault="00EE6D95">
            <w:r>
              <w:t>58 (D); 20 (DC); 10 (VM)</w:t>
            </w:r>
          </w:p>
        </w:tc>
        <w:tc>
          <w:tcPr>
            <w:tcW w:w="1486" w:type="dxa"/>
          </w:tcPr>
          <w:p w:rsidR="00D849AA" w:rsidRDefault="00EE6D95">
            <w:r>
              <w:t>65 (D); 35 (DC); 50 (VM)</w:t>
            </w:r>
          </w:p>
        </w:tc>
        <w:tc>
          <w:tcPr>
            <w:tcW w:w="1486" w:type="dxa"/>
          </w:tcPr>
          <w:p w:rsidR="00D849AA" w:rsidRDefault="00EE6D95">
            <w:r>
              <w:t>68 (D); 40 (DC); 75 (VM)</w:t>
            </w:r>
          </w:p>
        </w:tc>
        <w:tc>
          <w:tcPr>
            <w:tcW w:w="1486" w:type="dxa"/>
          </w:tcPr>
          <w:p w:rsidR="00D849AA" w:rsidRDefault="00EE6D95">
            <w:r>
              <w:t>70 (D); 45 (DC); 80 (VM)</w:t>
            </w:r>
          </w:p>
        </w:tc>
      </w:tr>
    </w:tbl>
    <w:p w:rsidR="00562CD8" w:rsidRDefault="00562CD8" w:rsidP="00562CD8">
      <w:pPr>
        <w:pStyle w:val="Naslov4"/>
      </w:pPr>
      <w:r>
        <w:t>OBRAZLOŽENJE PROGRAMA</w:t>
      </w:r>
    </w:p>
    <w:p w:rsidR="00D849AA" w:rsidRDefault="00EE6D95">
      <w:pPr>
        <w:pStyle w:val="Naslov5"/>
      </w:pPr>
      <w:r>
        <w:t>3602 INVESTICIJE U ZDRAVSTVENU INFRASTRUKTURU</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3602</w:t>
            </w:r>
          </w:p>
        </w:tc>
        <w:tc>
          <w:tcPr>
            <w:tcW w:w="1486" w:type="dxa"/>
          </w:tcPr>
          <w:p w:rsidR="00D849AA" w:rsidRDefault="00EE6D95">
            <w:r>
              <w:t>522.121.273</w:t>
            </w:r>
          </w:p>
        </w:tc>
        <w:tc>
          <w:tcPr>
            <w:tcW w:w="1486" w:type="dxa"/>
          </w:tcPr>
          <w:p w:rsidR="00D849AA" w:rsidRDefault="00EE6D95">
            <w:r>
              <w:t>541.553.317</w:t>
            </w:r>
          </w:p>
        </w:tc>
        <w:tc>
          <w:tcPr>
            <w:tcW w:w="1486" w:type="dxa"/>
          </w:tcPr>
          <w:p w:rsidR="00D849AA" w:rsidRDefault="00EE6D95">
            <w:r>
              <w:t>542.264.330</w:t>
            </w:r>
          </w:p>
        </w:tc>
        <w:tc>
          <w:tcPr>
            <w:tcW w:w="1486" w:type="dxa"/>
          </w:tcPr>
          <w:p w:rsidR="00D849AA" w:rsidRDefault="00EE6D95">
            <w:r>
              <w:t>547.122.810</w:t>
            </w:r>
          </w:p>
        </w:tc>
        <w:tc>
          <w:tcPr>
            <w:tcW w:w="1486" w:type="dxa"/>
          </w:tcPr>
          <w:p w:rsidR="00D849AA" w:rsidRDefault="00EE6D95">
            <w:r>
              <w:t>103,7</w:t>
            </w:r>
          </w:p>
        </w:tc>
      </w:tr>
    </w:tbl>
    <w:p w:rsidR="00D849AA" w:rsidRDefault="00D849AA">
      <w:pPr>
        <w:jc w:val="left"/>
      </w:pPr>
    </w:p>
    <w:p w:rsidR="00D849AA" w:rsidRDefault="00EE6D95">
      <w:pPr>
        <w:pStyle w:val="Naslov6"/>
      </w:pPr>
      <w:r>
        <w:t>Opis programa</w:t>
      </w:r>
    </w:p>
    <w:p w:rsidR="00D849AA" w:rsidRDefault="00EE6D95">
      <w:pPr>
        <w:pStyle w:val="Normal5"/>
      </w:pPr>
      <w:r>
        <w:t>Provedbom ovog programa ostvaruju se uvjeti za postizanje općeg cilja 1. Zaštita, očuvanje i unapređenje zdravlja te posebnih ciljeva 1.1. i 1.2. definiranih u Strateškom planu Ministarstva zdravlja za razdoblje 2014. -2016.  Ovim programom provode se: aktivnosti unapređenja i podizanja pružanja kvalitete zdravstvenih usluga ulaganjem u izgradnju, adaptaciju, opremanje/zanavljanje medicinsko - tehničke opreme u zdravstvenim ustanovama; aktivnosti razvoja, implementacije i integracije postojećih informacijskih sustava u cjeloviti informacijski sustav zdravstva (e-zdravstvo) te aktivnosti nabave informatičke opreme, odnosno razvoja sustava e-Recept, e-Uputnica i e- Naručivanje.</w:t>
      </w:r>
    </w:p>
    <w:p w:rsidR="00D849AA" w:rsidRDefault="00EE6D95">
      <w:pPr>
        <w:pStyle w:val="Naslov6"/>
      </w:pPr>
      <w:r>
        <w:t>Zakonske i druge pravne osnove</w:t>
      </w:r>
    </w:p>
    <w:p w:rsidR="00D849AA" w:rsidRDefault="00EE6D95">
      <w:pPr>
        <w:pStyle w:val="Normal5"/>
      </w:pPr>
      <w:r>
        <w:t>Nacionalna strategija razvoja zdravstva 2012. - 2020. godine, Zakon o zdravstvenoj zaštiti, Zakon o obveznom zdravstvenom osiguranju, Zakon o sanaciji javnih ustanova, Zakon o potvrđivanju Ugovora o zajmu između RH i  Međunarodne  banke  za obnovu i razvoj  za Projekt  unaprjeđenja hitne medicinske pomoći i investicijskog planiranja u zdravstvu, Zakon o potvrđivanju okvirnog ugovora o zajmu broj: F/P 1576 (2006) W između Razvojne banke Vijeća Europe i Republike Hrvatske za Projekt financiranja zdravstvenih ustanova u Republici Hrvatskoj, Odluka  Vlade  Republike o davanju suglasnosti Ministarstvu za preuzimanje obveza na teret sredstava Državnog proračuna za razdoblje 2011. do 2018. godine za nabavu  medicinske  opreme  za  zdravstvene  ustanove  u Republici Hrvatskoj.</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 xml:space="preserve">Cilj 1. Zaštita,  očuvanje  i  unapređenje  zdravlja </w:t>
      </w:r>
    </w:p>
    <w:p w:rsidR="00D849AA" w:rsidRDefault="00EE6D95">
      <w:pPr>
        <w:pStyle w:val="Normal6"/>
      </w:pPr>
      <w:r>
        <w:t xml:space="preserve">U  cilju  osiguranja  jednake dostupnosti zdravstvene zaštite na sve tri razine zdravstvene djelatnosti provoditi će se aktivnosti na osiguranju svih potrebnih uvjeta za pružanje pravovremene, kvalitetne zdravstvene zaštite vodeći se pritom načelima kontinuiranosti, sveobuhvatnosti, dostupnosti, cjelovitog i specijaliziranog pristupa. </w:t>
      </w:r>
    </w:p>
    <w:p w:rsidR="00D849AA" w:rsidRDefault="00EE6D95">
      <w:pPr>
        <w:pStyle w:val="Normal6"/>
      </w:pPr>
      <w:r>
        <w:lastRenderedPageBreak/>
        <w:t>Ministarstvo zdravlja nastavit će provoditi aktivnosti na unapređenju i podizanju kvalitete zdravstvenih usluga ulaganjem u izgradnju, adaptaciju, opremanje/ zanavljanje medicinsko-tehničke opreme u zdravstvenim ustanovama uz osiguranje odgovarajućih profila zdravstvenih radnika. Medicinskom osoblju omogućit će se obrazovanje i usavršavanje, a posebno će se poticati i odgovarajuće valorizirati izvrsnost, marljivost i odgovornost.</w:t>
      </w:r>
    </w:p>
    <w:p w:rsidR="00D849AA" w:rsidRDefault="00EE6D95">
      <w:pPr>
        <w:pStyle w:val="Naslov5"/>
      </w:pPr>
      <w:r>
        <w:t>Procjena i ishodište potrebnih sredstava za značajnije aktivnosti/projekte</w:t>
      </w:r>
    </w:p>
    <w:p w:rsidR="00D849AA" w:rsidRDefault="00EE6D95">
      <w:pPr>
        <w:pStyle w:val="Naslov6"/>
      </w:pPr>
      <w:r>
        <w:t>K618229 ZANAVLJANJE STARE OPREME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K618229</w:t>
            </w:r>
          </w:p>
        </w:tc>
        <w:tc>
          <w:tcPr>
            <w:tcW w:w="1486" w:type="dxa"/>
          </w:tcPr>
          <w:p w:rsidR="00D849AA" w:rsidRDefault="00EE6D95">
            <w:r>
              <w:t>189.907.300</w:t>
            </w:r>
          </w:p>
        </w:tc>
        <w:tc>
          <w:tcPr>
            <w:tcW w:w="1486" w:type="dxa"/>
          </w:tcPr>
          <w:p w:rsidR="00D849AA" w:rsidRDefault="00EE6D95">
            <w:r>
              <w:t>200.394.000</w:t>
            </w:r>
          </w:p>
        </w:tc>
        <w:tc>
          <w:tcPr>
            <w:tcW w:w="1486" w:type="dxa"/>
          </w:tcPr>
          <w:p w:rsidR="00D849AA" w:rsidRDefault="00EE6D95">
            <w:r>
              <w:t>193.109.030</w:t>
            </w:r>
          </w:p>
        </w:tc>
        <w:tc>
          <w:tcPr>
            <w:tcW w:w="1486" w:type="dxa"/>
          </w:tcPr>
          <w:p w:rsidR="00D849AA" w:rsidRDefault="00EE6D95">
            <w:r>
              <w:t>171.200.800</w:t>
            </w:r>
          </w:p>
        </w:tc>
        <w:tc>
          <w:tcPr>
            <w:tcW w:w="1486" w:type="dxa"/>
          </w:tcPr>
          <w:p w:rsidR="00D849AA" w:rsidRDefault="00EE6D95">
            <w:r>
              <w:t>105,5</w:t>
            </w:r>
          </w:p>
        </w:tc>
      </w:tr>
    </w:tbl>
    <w:p w:rsidR="00D849AA" w:rsidRDefault="00D849AA">
      <w:pPr>
        <w:jc w:val="left"/>
      </w:pPr>
    </w:p>
    <w:p w:rsidR="00D849AA" w:rsidRDefault="00EE6D95">
      <w:pPr>
        <w:pStyle w:val="Normal6"/>
      </w:pPr>
      <w:r>
        <w:t>U okviru ovog projekta izvršit će se plaćanje dospjelih obveza po sklopljenim ugovorima, kao i sklapanje novih ugovora, za zanavljanje stare medicinske opreme temeljem Odluke Vlade  Republike Hrvatske o davanju suglasnosti Ministarstvu za preuzimanje obveza na teret sredstava Državnog proračuna za razdoblje 2011. do 2018. godine za nabavu medicinske opreme za zdravstvene ustanove u Republici Hrvatskoj. Time će se osigurati jednaka dostupnost svih zdravstvenih usluga za sve korisnike zdravstvene zaštite s naglaskom na smanjenju listi čekanja za pojedine dijagnostičke i terapijske postupke.</w:t>
      </w:r>
    </w:p>
    <w:p w:rsidR="00D849AA" w:rsidRDefault="00EE6D95">
      <w:pPr>
        <w:pStyle w:val="Naslov6"/>
      </w:pPr>
      <w:r>
        <w:t>K794007 OBNOVA ZDRAVSTVENE INFRASTRUKTURE - (VE IV)</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K794007</w:t>
            </w:r>
          </w:p>
        </w:tc>
        <w:tc>
          <w:tcPr>
            <w:tcW w:w="1486" w:type="dxa"/>
          </w:tcPr>
          <w:p w:rsidR="00D849AA" w:rsidRDefault="00EE6D95">
            <w:r>
              <w:t>00</w:t>
            </w:r>
          </w:p>
        </w:tc>
        <w:tc>
          <w:tcPr>
            <w:tcW w:w="1486" w:type="dxa"/>
          </w:tcPr>
          <w:p w:rsidR="00D849AA" w:rsidRDefault="00EE6D95">
            <w:r>
              <w:t>12.000.000</w:t>
            </w:r>
          </w:p>
        </w:tc>
        <w:tc>
          <w:tcPr>
            <w:tcW w:w="1486" w:type="dxa"/>
          </w:tcPr>
          <w:p w:rsidR="00D849AA" w:rsidRDefault="00EE6D95">
            <w:r>
              <w:t>100.809.200</w:t>
            </w:r>
          </w:p>
        </w:tc>
        <w:tc>
          <w:tcPr>
            <w:tcW w:w="1486" w:type="dxa"/>
          </w:tcPr>
          <w:p w:rsidR="00D849AA" w:rsidRDefault="00EE6D95">
            <w:r>
              <w:t>53.149.410</w:t>
            </w:r>
          </w:p>
        </w:tc>
        <w:tc>
          <w:tcPr>
            <w:tcW w:w="1486" w:type="dxa"/>
          </w:tcPr>
          <w:p w:rsidR="00D849AA" w:rsidRDefault="00EE6D95">
            <w:r>
              <w:t>0,0</w:t>
            </w:r>
          </w:p>
        </w:tc>
      </w:tr>
    </w:tbl>
    <w:p w:rsidR="00D849AA" w:rsidRDefault="00D849AA">
      <w:pPr>
        <w:jc w:val="left"/>
      </w:pPr>
    </w:p>
    <w:p w:rsidR="00D849AA" w:rsidRDefault="00EE6D95">
      <w:pPr>
        <w:pStyle w:val="Normal6"/>
      </w:pPr>
      <w:r>
        <w:t xml:space="preserve">Razvojna banka Vijeća Europe  najstarija je međunarodna financijska institucija u Europi. Posluje kao multilateralna razvojna banka pod kontrolom 40 zemalja članica (koje su ujedno i članice Vijeća Europe) te u odnosu na Vijeće Europe ima samostalni pravni status i financijsku autonomiju. Ciljevi osnivanja ove institucije bili su rješavanje socijalnih problema izbjeglica, raseljenih osoba i migranata u europskim državama nakon II. svjetskog rata te jačanje socijalne kohezije. </w:t>
      </w:r>
    </w:p>
    <w:p w:rsidR="00D849AA" w:rsidRDefault="00EE6D95">
      <w:pPr>
        <w:pStyle w:val="Normal6"/>
      </w:pPr>
      <w:r>
        <w:t xml:space="preserve">Primitkom Republike Hrvatske u punopravno članstvo Vijeća Europe, 6. studenoga 1996. godine, Republika Hrvatska je stekla pravo da postane članica CEB-a. </w:t>
      </w:r>
    </w:p>
    <w:p w:rsidR="00D849AA" w:rsidRDefault="00EE6D95">
      <w:pPr>
        <w:pStyle w:val="Normal6"/>
      </w:pPr>
      <w:r>
        <w:t xml:space="preserve">CEB je specifična i jedina međunarodna financijska institucija kojoj je glavno područje djelovanja financiranje socijalnih i razvojnih projekata/programa u sljedećim područjima:  </w:t>
      </w:r>
    </w:p>
    <w:p w:rsidR="00D849AA" w:rsidRDefault="00EE6D95">
      <w:pPr>
        <w:pStyle w:val="Normal6"/>
      </w:pPr>
      <w:r>
        <w:t xml:space="preserve">1. jačanje socijalnih integracija (pružanje pomoći izbjeglicama, migrantima i prognanicima, socijalna stanogradnja za osobe s niskim prihodima, kreiranje i očuvanje održivih radnih mjesta, poboljšanje životnih uvjeta u urbanim i ruralnim područjima), </w:t>
      </w:r>
    </w:p>
    <w:p w:rsidR="00D849AA" w:rsidRDefault="00EE6D95">
      <w:pPr>
        <w:pStyle w:val="Normal6"/>
      </w:pPr>
      <w:r>
        <w:t xml:space="preserve">2. upravljanje okolišem (vezano uz prirodne i ekološke katastrofe, zaštitu okoliša te zaštitu i obnovu povijesne i kulturne baštine) </w:t>
      </w:r>
    </w:p>
    <w:p w:rsidR="00D849AA" w:rsidRDefault="00EE6D95">
      <w:pPr>
        <w:pStyle w:val="Normal6"/>
      </w:pPr>
      <w:r>
        <w:t xml:space="preserve">3. podrška javnoj infrastrukturi sa socijalnom namjenom (vezano uz projekte u sektoru zdravstva i obrazovanja, strukovne izobrazbe te infrastrukturu javnih službi na području uprave i pravosuđa).  </w:t>
      </w:r>
    </w:p>
    <w:p w:rsidR="00D849AA" w:rsidRDefault="00EE6D95">
      <w:pPr>
        <w:pStyle w:val="Normal6"/>
      </w:pPr>
      <w:r>
        <w:lastRenderedPageBreak/>
        <w:t xml:space="preserve">Zajmom Razvojne banke Vijeća Europe planira se osigurati dio cjelokupnog budžeta investicija (do 50%) u svrhu reorganizacija ustroja i djelovanja zdravstvenih ustanova kroz funkcionalnu i građevinsku preinaku bolnica i objedinjavanjem izvanbolničke i bolničke djelatnosti hitne medicine.  </w:t>
      </w:r>
    </w:p>
    <w:p w:rsidR="00D849AA" w:rsidRDefault="00EE6D95">
      <w:pPr>
        <w:pStyle w:val="Normal6"/>
      </w:pPr>
      <w:r>
        <w:t xml:space="preserve">Tijekom 2013. godine odobren je projekt u sklopu programa Western Balkan Investment Framework-a, kojim će se izraditi potrebna projektna i tehnička dokumentacija za: Središnji paviljon za Opću bolnicu  „Dr. Ivo Pedišić“, Objedinjeni hitni bolnički prijem za Klinički bolnički centar Split, Spinalni centar za Specijalnu bolnicu Varaždinske toplice, Forenzični odjel za Psihijatrijsku bolnicu Vrapče. </w:t>
      </w:r>
    </w:p>
    <w:p w:rsidR="00D849AA" w:rsidRDefault="00EE6D95">
      <w:pPr>
        <w:pStyle w:val="Normal6"/>
      </w:pPr>
      <w:r>
        <w:t>U tijeku je priprema ugovaranja projekta u sklopu programa Western Balkan Investment Framework-a za pripremu projektne dokumentacije za provedbu četiri navedena investicijska projekta.</w:t>
      </w:r>
    </w:p>
    <w:p w:rsidR="00D849AA" w:rsidRDefault="00EE6D95">
      <w:pPr>
        <w:pStyle w:val="Naslov6"/>
      </w:pPr>
      <w:r>
        <w:t>K797000 IBRD  III ZAJAM - UČEŠĆE RH</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K797000</w:t>
            </w:r>
          </w:p>
        </w:tc>
        <w:tc>
          <w:tcPr>
            <w:tcW w:w="1486" w:type="dxa"/>
          </w:tcPr>
          <w:p w:rsidR="00D849AA" w:rsidRDefault="00EE6D95">
            <w:r>
              <w:t>38.059.910</w:t>
            </w:r>
          </w:p>
        </w:tc>
        <w:tc>
          <w:tcPr>
            <w:tcW w:w="1486" w:type="dxa"/>
          </w:tcPr>
          <w:p w:rsidR="00D849AA" w:rsidRDefault="00EE6D95">
            <w:r>
              <w:t>18.166.000</w:t>
            </w:r>
          </w:p>
        </w:tc>
        <w:tc>
          <w:tcPr>
            <w:tcW w:w="1486" w:type="dxa"/>
          </w:tcPr>
          <w:p w:rsidR="00D849AA" w:rsidRDefault="00EE6D95">
            <w:r>
              <w:t>00</w:t>
            </w:r>
          </w:p>
        </w:tc>
        <w:tc>
          <w:tcPr>
            <w:tcW w:w="1486" w:type="dxa"/>
          </w:tcPr>
          <w:p w:rsidR="00D849AA" w:rsidRDefault="00EE6D95">
            <w:r>
              <w:t>00</w:t>
            </w:r>
          </w:p>
        </w:tc>
        <w:tc>
          <w:tcPr>
            <w:tcW w:w="1486" w:type="dxa"/>
          </w:tcPr>
          <w:p w:rsidR="00D849AA" w:rsidRDefault="00EE6D95">
            <w:r>
              <w:t>47,7</w:t>
            </w:r>
          </w:p>
        </w:tc>
      </w:tr>
    </w:tbl>
    <w:p w:rsidR="00D849AA" w:rsidRDefault="00D849AA">
      <w:pPr>
        <w:jc w:val="left"/>
      </w:pPr>
    </w:p>
    <w:p w:rsidR="00D849AA" w:rsidRDefault="00EE6D95">
      <w:pPr>
        <w:pStyle w:val="Normal6"/>
      </w:pPr>
      <w:r>
        <w:t xml:space="preserve">Zajam   svjetske   banke   za   projekt   unaprjeđenja   hitne   medicinske   pomoći   i investicijskog planiranja u zdravstvu. Ovim projektom planira se: poboljšati učinkovitost sustava hitne medicine; povećati usklađenost u standardima usluga medu županijama; povećati učinkovitost i brzinu reakcije izvanbolničke hitne medicinske pomoći; poboljšati učinkovitost hitnih prijema u ciljanim bolnicama; jačati kapacitete Ministarstva zdravlja za razvijanje i upravljanje projektima od kojih bi se neki mogli financirati fondovima Europske unije; izraditi planove za restrukturiranje zdravstvenih ustanova i razvoj ljudskih resursa. </w:t>
      </w:r>
    </w:p>
    <w:p w:rsidR="00D849AA" w:rsidRDefault="00EE6D95">
      <w:pPr>
        <w:pStyle w:val="Normal6"/>
      </w:pPr>
      <w:r>
        <w:t>Tijekom 2014.  godine očekuje se sklapanje sporazuma o financiranju izgradnje objedinjenog hitnog bolničkog prijema KBC-a Sestre Milosrdnice godine. Krajem 2013. godine, odnosno najkasnije do 31.prosinca 2013. godine očekuje se isporuka opreme (RTG, UZV, respiratorna, kardiološka i razna druga medicinska oprema) za potrebe objedinjenih hitnih bolničkih prijema, kao i isporuka TETRA uređaja, telekomunikacijskog sustava i IT sustava za potrebe hitne medicinske službe. Plaćanja će se, sukladno Ugovoru o zajmu vršiti do 30. travnja 2014. godine. Isto se odnosi i na sklopljene ugovore o izradi masterplana zdravstvenih ustanova, strategije ljudskih resursa, outsourcing/spin off nezdravstvenih usluga, PR kampanju reforme zdravstva, te  treninge osoblja dispečerske HMS, izvanbolničke HMS i osoblja objedinjenih hitnih bolničkih prijema.</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broj županijskih zavoda za hitnu medicinu koji prate indikatore kontrole kvalitete</w:t>
            </w:r>
          </w:p>
        </w:tc>
        <w:tc>
          <w:tcPr>
            <w:tcW w:w="1114" w:type="dxa"/>
          </w:tcPr>
          <w:p w:rsidR="00D849AA" w:rsidRDefault="00EE6D95">
            <w:r>
              <w:t>broj</w:t>
            </w:r>
          </w:p>
        </w:tc>
        <w:tc>
          <w:tcPr>
            <w:tcW w:w="1114" w:type="dxa"/>
          </w:tcPr>
          <w:p w:rsidR="00D849AA" w:rsidRDefault="00EE6D95">
            <w:r>
              <w:t>3</w:t>
            </w:r>
          </w:p>
        </w:tc>
        <w:tc>
          <w:tcPr>
            <w:tcW w:w="1486" w:type="dxa"/>
          </w:tcPr>
          <w:p w:rsidR="00D849AA" w:rsidRDefault="00EE6D95">
            <w:r>
              <w:t>9</w:t>
            </w:r>
          </w:p>
        </w:tc>
        <w:tc>
          <w:tcPr>
            <w:tcW w:w="1486" w:type="dxa"/>
          </w:tcPr>
          <w:p w:rsidR="00D849AA" w:rsidRDefault="00EE6D95">
            <w:r>
              <w:t>21</w:t>
            </w:r>
          </w:p>
        </w:tc>
        <w:tc>
          <w:tcPr>
            <w:tcW w:w="1486" w:type="dxa"/>
          </w:tcPr>
          <w:p w:rsidR="00D849AA" w:rsidRDefault="00EE6D95">
            <w:r>
              <w:t>21</w:t>
            </w:r>
          </w:p>
        </w:tc>
      </w:tr>
      <w:tr w:rsidR="00D849AA">
        <w:trPr>
          <w:jc w:val="center"/>
        </w:trPr>
        <w:tc>
          <w:tcPr>
            <w:tcW w:w="2229" w:type="dxa"/>
          </w:tcPr>
          <w:p w:rsidR="00D849AA" w:rsidRDefault="00EE6D95">
            <w:pPr>
              <w:pStyle w:val="CellColumn"/>
            </w:pPr>
            <w:r>
              <w:t xml:space="preserve">podizanje stručne osposobljenosti </w:t>
            </w:r>
            <w:r>
              <w:lastRenderedPageBreak/>
              <w:t>zdravstvenih radnika za rad u djelatnosti hitne medicine</w:t>
            </w:r>
          </w:p>
        </w:tc>
        <w:tc>
          <w:tcPr>
            <w:tcW w:w="1114" w:type="dxa"/>
          </w:tcPr>
          <w:p w:rsidR="00D849AA" w:rsidRDefault="00EE6D95">
            <w:r>
              <w:lastRenderedPageBreak/>
              <w:t>broj</w:t>
            </w:r>
          </w:p>
        </w:tc>
        <w:tc>
          <w:tcPr>
            <w:tcW w:w="1114" w:type="dxa"/>
          </w:tcPr>
          <w:p w:rsidR="00D849AA" w:rsidRDefault="00EE6D95">
            <w:r>
              <w:t xml:space="preserve">Dr.med. </w:t>
            </w:r>
            <w:r>
              <w:lastRenderedPageBreak/>
              <w:t xml:space="preserve">140 </w:t>
            </w:r>
          </w:p>
          <w:p w:rsidR="00D849AA" w:rsidRDefault="00EE6D95">
            <w:r>
              <w:t xml:space="preserve">Ms-mt 260 </w:t>
            </w:r>
          </w:p>
          <w:p w:rsidR="00D849AA" w:rsidRDefault="00EE6D95">
            <w:r>
              <w:t xml:space="preserve">MPDJ 315 </w:t>
            </w:r>
          </w:p>
          <w:p w:rsidR="00D849AA" w:rsidRDefault="00EE6D95">
            <w:r>
              <w:t>Trijaža OHBP 180</w:t>
            </w:r>
          </w:p>
        </w:tc>
        <w:tc>
          <w:tcPr>
            <w:tcW w:w="1486" w:type="dxa"/>
          </w:tcPr>
          <w:p w:rsidR="00D849AA" w:rsidRDefault="00EE6D95">
            <w:r>
              <w:lastRenderedPageBreak/>
              <w:t xml:space="preserve">Dr. med. 370 </w:t>
            </w:r>
          </w:p>
          <w:p w:rsidR="00D849AA" w:rsidRDefault="00EE6D95">
            <w:r>
              <w:lastRenderedPageBreak/>
              <w:t xml:space="preserve">Ms-mt 555 </w:t>
            </w:r>
          </w:p>
          <w:p w:rsidR="00D849AA" w:rsidRDefault="00EE6D95">
            <w:r>
              <w:t xml:space="preserve">MPDJ 400 </w:t>
            </w:r>
          </w:p>
          <w:p w:rsidR="00D849AA" w:rsidRDefault="00EE6D95">
            <w:r>
              <w:t>Trijaža OHBP 270</w:t>
            </w:r>
          </w:p>
        </w:tc>
        <w:tc>
          <w:tcPr>
            <w:tcW w:w="1486" w:type="dxa"/>
          </w:tcPr>
          <w:p w:rsidR="00D849AA" w:rsidRDefault="00EE6D95">
            <w:r>
              <w:lastRenderedPageBreak/>
              <w:t xml:space="preserve">Dr. med. 480 </w:t>
            </w:r>
            <w:r>
              <w:lastRenderedPageBreak/>
              <w:t xml:space="preserve">Ms-mt 688 </w:t>
            </w:r>
          </w:p>
          <w:p w:rsidR="00D849AA" w:rsidRDefault="00EE6D95">
            <w:r>
              <w:t xml:space="preserve">MPDJ 430 </w:t>
            </w:r>
          </w:p>
          <w:p w:rsidR="00D849AA" w:rsidRDefault="00EE6D95">
            <w:r>
              <w:t>Trijaža OHBP obnova znanja 60</w:t>
            </w:r>
          </w:p>
        </w:tc>
        <w:tc>
          <w:tcPr>
            <w:tcW w:w="1486" w:type="dxa"/>
          </w:tcPr>
          <w:p w:rsidR="00D849AA" w:rsidRDefault="00EE6D95">
            <w:r>
              <w:lastRenderedPageBreak/>
              <w:t xml:space="preserve">Dr.med. 590 </w:t>
            </w:r>
          </w:p>
          <w:p w:rsidR="00D849AA" w:rsidRDefault="00EE6D95">
            <w:r>
              <w:lastRenderedPageBreak/>
              <w:t xml:space="preserve">Ms-mt 823 </w:t>
            </w:r>
          </w:p>
          <w:p w:rsidR="00D849AA" w:rsidRDefault="00EE6D95">
            <w:r>
              <w:t xml:space="preserve">MPDJ relicenciranje 240 </w:t>
            </w:r>
          </w:p>
          <w:p w:rsidR="00D849AA" w:rsidRDefault="00EE6D95">
            <w:r>
              <w:t>Trijaža OHBP obnova znanja 60</w:t>
            </w:r>
          </w:p>
        </w:tc>
      </w:tr>
      <w:tr w:rsidR="00D849AA">
        <w:trPr>
          <w:jc w:val="center"/>
        </w:trPr>
        <w:tc>
          <w:tcPr>
            <w:tcW w:w="2229" w:type="dxa"/>
          </w:tcPr>
          <w:p w:rsidR="00D849AA" w:rsidRDefault="00EE6D95">
            <w:pPr>
              <w:pStyle w:val="CellColumn"/>
            </w:pPr>
            <w:r>
              <w:lastRenderedPageBreak/>
              <w:t>ustrojavanje djelatnosti objedinjenog hitnog bolničkog prijama u akutnim bolničkim zdravstvenim ustanovama</w:t>
            </w:r>
          </w:p>
        </w:tc>
        <w:tc>
          <w:tcPr>
            <w:tcW w:w="1114" w:type="dxa"/>
          </w:tcPr>
          <w:p w:rsidR="00D849AA" w:rsidRDefault="00EE6D95">
            <w:r>
              <w:t>broj</w:t>
            </w:r>
          </w:p>
        </w:tc>
        <w:tc>
          <w:tcPr>
            <w:tcW w:w="1114" w:type="dxa"/>
          </w:tcPr>
          <w:p w:rsidR="00D849AA" w:rsidRDefault="00EE6D95">
            <w:r>
              <w:t>7</w:t>
            </w:r>
          </w:p>
        </w:tc>
        <w:tc>
          <w:tcPr>
            <w:tcW w:w="1486" w:type="dxa"/>
          </w:tcPr>
          <w:p w:rsidR="00D849AA" w:rsidRDefault="00EE6D95">
            <w:r>
              <w:t>15</w:t>
            </w:r>
          </w:p>
        </w:tc>
        <w:tc>
          <w:tcPr>
            <w:tcW w:w="1486" w:type="dxa"/>
          </w:tcPr>
          <w:p w:rsidR="00D849AA" w:rsidRDefault="00EE6D95">
            <w:r>
              <w:t>17</w:t>
            </w:r>
          </w:p>
        </w:tc>
        <w:tc>
          <w:tcPr>
            <w:tcW w:w="1486" w:type="dxa"/>
          </w:tcPr>
          <w:p w:rsidR="00D849AA" w:rsidRDefault="00EE6D95">
            <w:r>
              <w:t>19</w:t>
            </w:r>
          </w:p>
        </w:tc>
      </w:tr>
      <w:tr w:rsidR="00D849AA">
        <w:trPr>
          <w:jc w:val="center"/>
        </w:trPr>
        <w:tc>
          <w:tcPr>
            <w:tcW w:w="2229" w:type="dxa"/>
          </w:tcPr>
          <w:p w:rsidR="00D849AA" w:rsidRDefault="00EE6D95">
            <w:pPr>
              <w:pStyle w:val="CellColumn"/>
            </w:pPr>
            <w:r>
              <w:t>uspostava informacijskog sustava županijskih zavoda za hitnu medicinu za povećanje efikasnosti rada i brzine pružanja usluga</w:t>
            </w:r>
          </w:p>
        </w:tc>
        <w:tc>
          <w:tcPr>
            <w:tcW w:w="1114" w:type="dxa"/>
          </w:tcPr>
          <w:p w:rsidR="00D849AA" w:rsidRDefault="00EE6D95">
            <w:r>
              <w:t>broj</w:t>
            </w:r>
          </w:p>
        </w:tc>
        <w:tc>
          <w:tcPr>
            <w:tcW w:w="1114" w:type="dxa"/>
          </w:tcPr>
          <w:p w:rsidR="00D849AA" w:rsidRDefault="00EE6D95">
            <w:r>
              <w:t>3</w:t>
            </w:r>
          </w:p>
        </w:tc>
        <w:tc>
          <w:tcPr>
            <w:tcW w:w="1486" w:type="dxa"/>
          </w:tcPr>
          <w:p w:rsidR="00D849AA" w:rsidRDefault="00EE6D95">
            <w:r>
              <w:t>9</w:t>
            </w:r>
          </w:p>
        </w:tc>
        <w:tc>
          <w:tcPr>
            <w:tcW w:w="1486" w:type="dxa"/>
          </w:tcPr>
          <w:p w:rsidR="00D849AA" w:rsidRDefault="00EE6D95">
            <w:r>
              <w:t>21</w:t>
            </w:r>
          </w:p>
        </w:tc>
        <w:tc>
          <w:tcPr>
            <w:tcW w:w="1486" w:type="dxa"/>
          </w:tcPr>
          <w:p w:rsidR="00D849AA" w:rsidRDefault="00EE6D95">
            <w:r>
              <w:t>21</w:t>
            </w:r>
          </w:p>
        </w:tc>
      </w:tr>
    </w:tbl>
    <w:p w:rsidR="00D849AA" w:rsidRDefault="00D849AA">
      <w:pPr>
        <w:jc w:val="left"/>
      </w:pPr>
    </w:p>
    <w:p w:rsidR="00D849AA" w:rsidRDefault="00EE6D95">
      <w:pPr>
        <w:pStyle w:val="Naslov6"/>
      </w:pPr>
      <w:r>
        <w:t>K798000 IBRD  III ZAJAM - INOZEMNA KOMPONENTA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K798000</w:t>
            </w:r>
          </w:p>
        </w:tc>
        <w:tc>
          <w:tcPr>
            <w:tcW w:w="1486" w:type="dxa"/>
          </w:tcPr>
          <w:p w:rsidR="00D849AA" w:rsidRDefault="00EE6D95">
            <w:r>
              <w:t>61.812.390</w:t>
            </w:r>
          </w:p>
        </w:tc>
        <w:tc>
          <w:tcPr>
            <w:tcW w:w="1486" w:type="dxa"/>
          </w:tcPr>
          <w:p w:rsidR="00D849AA" w:rsidRDefault="00EE6D95">
            <w:r>
              <w:t>6.532.000</w:t>
            </w:r>
          </w:p>
        </w:tc>
        <w:tc>
          <w:tcPr>
            <w:tcW w:w="1486" w:type="dxa"/>
          </w:tcPr>
          <w:p w:rsidR="00D849AA" w:rsidRDefault="00EE6D95">
            <w:r>
              <w:t>00</w:t>
            </w:r>
          </w:p>
        </w:tc>
        <w:tc>
          <w:tcPr>
            <w:tcW w:w="1486" w:type="dxa"/>
          </w:tcPr>
          <w:p w:rsidR="00D849AA" w:rsidRDefault="00EE6D95">
            <w:r>
              <w:t>00</w:t>
            </w:r>
          </w:p>
        </w:tc>
        <w:tc>
          <w:tcPr>
            <w:tcW w:w="1486" w:type="dxa"/>
          </w:tcPr>
          <w:p w:rsidR="00D849AA" w:rsidRDefault="00EE6D95">
            <w:r>
              <w:t>10,6</w:t>
            </w:r>
          </w:p>
        </w:tc>
      </w:tr>
    </w:tbl>
    <w:p w:rsidR="00D849AA" w:rsidRDefault="00D849AA">
      <w:pPr>
        <w:jc w:val="left"/>
      </w:pPr>
    </w:p>
    <w:p w:rsidR="00D849AA" w:rsidRDefault="00EE6D95">
      <w:pPr>
        <w:pStyle w:val="Naslov5"/>
      </w:pPr>
      <w:r>
        <w:t>3603 SANITARNA INSPEKCIJA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3603</w:t>
            </w:r>
          </w:p>
        </w:tc>
        <w:tc>
          <w:tcPr>
            <w:tcW w:w="1486" w:type="dxa"/>
          </w:tcPr>
          <w:p w:rsidR="00D849AA" w:rsidRDefault="00EE6D95">
            <w:r>
              <w:t>11.804.600</w:t>
            </w:r>
          </w:p>
        </w:tc>
        <w:tc>
          <w:tcPr>
            <w:tcW w:w="1486" w:type="dxa"/>
          </w:tcPr>
          <w:p w:rsidR="00D849AA" w:rsidRDefault="00EE6D95">
            <w:r>
              <w:t>12.558.400</w:t>
            </w:r>
          </w:p>
        </w:tc>
        <w:tc>
          <w:tcPr>
            <w:tcW w:w="1486" w:type="dxa"/>
          </w:tcPr>
          <w:p w:rsidR="00D849AA" w:rsidRDefault="00EE6D95">
            <w:r>
              <w:t>9.678.400</w:t>
            </w:r>
          </w:p>
        </w:tc>
        <w:tc>
          <w:tcPr>
            <w:tcW w:w="1486" w:type="dxa"/>
          </w:tcPr>
          <w:p w:rsidR="00D849AA" w:rsidRDefault="00EE6D95">
            <w:r>
              <w:t>9.293.400</w:t>
            </w:r>
          </w:p>
        </w:tc>
        <w:tc>
          <w:tcPr>
            <w:tcW w:w="1486" w:type="dxa"/>
          </w:tcPr>
          <w:p w:rsidR="00D849AA" w:rsidRDefault="00EE6D95">
            <w:r>
              <w:t>106,4</w:t>
            </w:r>
          </w:p>
        </w:tc>
      </w:tr>
    </w:tbl>
    <w:p w:rsidR="00D849AA" w:rsidRDefault="00D849AA">
      <w:pPr>
        <w:jc w:val="left"/>
      </w:pPr>
    </w:p>
    <w:p w:rsidR="00D849AA" w:rsidRDefault="00EE6D95">
      <w:pPr>
        <w:pStyle w:val="Naslov6"/>
      </w:pPr>
      <w:r>
        <w:t>Opis programa</w:t>
      </w:r>
    </w:p>
    <w:p w:rsidR="00D849AA" w:rsidRDefault="00EE6D95">
      <w:pPr>
        <w:pStyle w:val="Normal5"/>
      </w:pPr>
      <w:r>
        <w:t>Provedbom ovog programa osiguravaju se uvjeti za postizanje općeg cilja 1. Zaštita, očuvanje i unapređenje zdravlja te posebnog cilja 1.3.Zaštita javnozdravstvenog interesa kako su definirani u Strateškom planu Ministarstva zdravlja za razdoblje 2014. – 2016. godine.</w:t>
      </w:r>
    </w:p>
    <w:p w:rsidR="00D849AA" w:rsidRDefault="00EE6D95">
      <w:pPr>
        <w:pStyle w:val="Naslov6"/>
      </w:pPr>
      <w:r>
        <w:t>Zakonske i druge pravne osnove</w:t>
      </w:r>
    </w:p>
    <w:p w:rsidR="00D849AA" w:rsidRDefault="00EE6D95">
      <w:pPr>
        <w:pStyle w:val="Normal5"/>
      </w:pPr>
      <w:r>
        <w:t xml:space="preserve">Zakon o sanitarnoj inspekciji, Zakon o hrani, Zakon o zaštiti pučanstva od zaraznih bolesti, Zakon o GMO, Zakon o radiološkoj i nuklearnoj sigurnosti,  Zakon o zaštiti od neionizirajućeg zračenja, Zakon o zaštiti od buke,  Zakon o kemikalijama, Zakon o provedbi Uredbe (EZ) broj 1907/2006 Europskog parlamenta i Vijeća EZ o registraciji, evaluaciji, </w:t>
      </w:r>
      <w:r>
        <w:lastRenderedPageBreak/>
        <w:t>autorizaciji i ograničavanju kemikalija, Zakon o predmetima opće uporabe, Zakon o biocidnim pripravcima, Zakon o provedbi Uredbe (EZ) br. 648/2004 Europskog parlamenta i Vijeća od 31. ožujka 2004. godine o deterdžentima, Uredba o graničnim prijelazima na kojima se obavlja sanitarni inspekcijski nadzor, Zakon o materijalima i predmetima koji dolaze u neposredan dodir s hranom, Zakon o provedbi Uredbe (EZ) br. 1223/2009 Europskoga parlamenta i Vijeća od 30. studenoga 2009. godine o kozmetičkim proizvodima, Zakon o ograničavanju uporabe duhanskih proizvoda, Zakon o higijeni hrane i mikrobiološkim kriterijima za hranu, Zakon o službenim kontrolama koje se provode sukladno propisima o hrani, hrani za životinje, o zdravlju i dobrobiti životinja, Zakon o provedbi Uredbe (EZ) br. 396/2005 o maksimalnim razinama ostataka pesticida u i na hrani i hrani za životinje biljnog i životinjskog podrijetla, Zakon o vodi za ljudsku potrošnju, Zakon o kontaminantima, Zakon o prehrambenim i zdravstvenim tvrdnjama te hrani obogaćenoj nutrijentima, Zakon o hrani za posebne prehrambene potrebe, Zakon o uvozu hrane i hrane za životinje iz trećih zemalja, Zakon o prehrambenim aditivima, aromama i prehrambenim enzimima, Zakon o provedbi Uredbe (EZ) br. 1946/2003 o prekograničnom prijenosu genetski modificiranih organizama.</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 xml:space="preserve">Cilj 1. Zaštita   javnozdravstvenog   interesa </w:t>
      </w:r>
    </w:p>
    <w:p w:rsidR="00D849AA" w:rsidRDefault="00EE6D95">
      <w:pPr>
        <w:pStyle w:val="Normal6"/>
      </w:pPr>
      <w:r>
        <w:t xml:space="preserve">Sanitarna inspekcija poduzima mjere u cilju zaštite zdravstvene ispravnosti hrane, kontrole zaštite od ionizirajućeg i neionizirajućeg zračenja, kontrole unosa GMO, prekograničnih  transporta  roba,  nadzora  nad  proizvodnjom  i  prometom  predmeta opće uporabe, zaštite od buke, zaštite od štetnog djelovanja  kemikalija i biocidnih pripravaka,  a sve u cilju zaštite i unapređenja zdravlja ljudi. </w:t>
      </w:r>
    </w:p>
    <w:p w:rsidR="00D849AA" w:rsidRDefault="00EE6D95">
      <w:pPr>
        <w:pStyle w:val="Normal6"/>
      </w:pPr>
      <w:r>
        <w:t>Kvalitetnim sustavom edukacije sanitarnih inspektora postiže se zaštita javnozdravstvenog interesa te poboljšanje kvalitete života i zdravlja ljudi. Osnovni preduvjeti za poboljšanje funkcioniranja sustava sanitarne inspekcije sastoje se u osiguranju optimalnog broja sanitarnih inspektora odnosno osiguranju uvjeta u pogledu infrastrukturne podrške cjelokupnom sustavu.</w:t>
      </w:r>
    </w:p>
    <w:p w:rsidR="00D849AA" w:rsidRDefault="00EE6D95">
      <w:pPr>
        <w:pStyle w:val="Naslov5"/>
      </w:pPr>
      <w:r>
        <w:t>Procjena i ishodište potrebnih sredstava za značajnije aktivnosti/projekte</w:t>
      </w:r>
    </w:p>
    <w:p w:rsidR="00D849AA" w:rsidRDefault="00EE6D95">
      <w:pPr>
        <w:pStyle w:val="Naslov6"/>
      </w:pPr>
      <w:r>
        <w:t>A803004 OBAVLJANJE INSPEKCIJSKOG NADZORA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A803004</w:t>
            </w:r>
          </w:p>
        </w:tc>
        <w:tc>
          <w:tcPr>
            <w:tcW w:w="1486" w:type="dxa"/>
          </w:tcPr>
          <w:p w:rsidR="00D849AA" w:rsidRDefault="00EE6D95">
            <w:r>
              <w:t>3.100.000</w:t>
            </w:r>
          </w:p>
        </w:tc>
        <w:tc>
          <w:tcPr>
            <w:tcW w:w="1486" w:type="dxa"/>
          </w:tcPr>
          <w:p w:rsidR="00D849AA" w:rsidRDefault="00EE6D95">
            <w:r>
              <w:t>3.100.000</w:t>
            </w:r>
          </w:p>
        </w:tc>
        <w:tc>
          <w:tcPr>
            <w:tcW w:w="1486" w:type="dxa"/>
          </w:tcPr>
          <w:p w:rsidR="00D849AA" w:rsidRDefault="00EE6D95">
            <w:r>
              <w:t>3.100.000</w:t>
            </w:r>
          </w:p>
        </w:tc>
        <w:tc>
          <w:tcPr>
            <w:tcW w:w="1486" w:type="dxa"/>
          </w:tcPr>
          <w:p w:rsidR="00D849AA" w:rsidRDefault="00EE6D95">
            <w:r>
              <w:t>3.100.000</w:t>
            </w:r>
          </w:p>
        </w:tc>
        <w:tc>
          <w:tcPr>
            <w:tcW w:w="1486" w:type="dxa"/>
          </w:tcPr>
          <w:p w:rsidR="00D849AA" w:rsidRDefault="00EE6D95">
            <w:r>
              <w:t>100,0</w:t>
            </w:r>
          </w:p>
        </w:tc>
      </w:tr>
    </w:tbl>
    <w:p w:rsidR="00D849AA" w:rsidRDefault="00D849AA">
      <w:pPr>
        <w:jc w:val="left"/>
      </w:pPr>
    </w:p>
    <w:p w:rsidR="00D849AA" w:rsidRDefault="00EE6D95">
      <w:pPr>
        <w:pStyle w:val="Normal6"/>
      </w:pPr>
      <w:r>
        <w:t>Ovom aktivnošću osiguravaju se sredstva za uzorkovanje polazeći od nadležnosti sanitarne inspekcije kako je određeno Zakonom o sanitarnoj inspekciji, odnosno drugim zakonima temeljem kojih se provodi sanitarni nadzor u cilju zaštite pučanstva od zaraznih bolesti te zaštite zdravstvene ispravnosti hrane, kontrole zaštite od ionizirajućeg i neionizirajućeg zračenja, kontrole unosa GMO, prekograničnih  transporta  roba,  nadzora  nad  proizvodnjom  i  prometom  predmeta opće uporabe, zaštite od buke, zaštite od štetnog djelovanja kemikalija i biocidnih pripravaka</w:t>
      </w:r>
      <w:r w:rsidR="00562CD8">
        <w:t>.</w:t>
      </w:r>
    </w:p>
    <w:p w:rsidR="00562CD8" w:rsidRDefault="00562CD8">
      <w:pPr>
        <w:pStyle w:val="Normal6"/>
      </w:pPr>
    </w:p>
    <w:p w:rsidR="00562CD8" w:rsidRDefault="00562CD8">
      <w:pPr>
        <w:pStyle w:val="Normal6"/>
      </w:pPr>
    </w:p>
    <w:p w:rsidR="00562CD8" w:rsidRDefault="00562CD8">
      <w:pPr>
        <w:pStyle w:val="Normal6"/>
      </w:pPr>
    </w:p>
    <w:p w:rsidR="00D849AA" w:rsidRDefault="00EE6D95">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broj sanitarnih inspektora koji su sudjelovali na specijalističkim edukacijama</w:t>
            </w:r>
          </w:p>
        </w:tc>
        <w:tc>
          <w:tcPr>
            <w:tcW w:w="1114" w:type="dxa"/>
          </w:tcPr>
          <w:p w:rsidR="00D849AA" w:rsidRDefault="00EE6D95">
            <w:r>
              <w:t>broj</w:t>
            </w:r>
          </w:p>
        </w:tc>
        <w:tc>
          <w:tcPr>
            <w:tcW w:w="1114" w:type="dxa"/>
          </w:tcPr>
          <w:p w:rsidR="00D849AA" w:rsidRDefault="00EE6D95">
            <w:r>
              <w:t>15</w:t>
            </w:r>
          </w:p>
        </w:tc>
        <w:tc>
          <w:tcPr>
            <w:tcW w:w="1486" w:type="dxa"/>
          </w:tcPr>
          <w:p w:rsidR="00D849AA" w:rsidRDefault="00EE6D95">
            <w:r>
              <w:t>30</w:t>
            </w:r>
          </w:p>
        </w:tc>
        <w:tc>
          <w:tcPr>
            <w:tcW w:w="1486" w:type="dxa"/>
          </w:tcPr>
          <w:p w:rsidR="00D849AA" w:rsidRDefault="00EE6D95">
            <w:r>
              <w:t>35</w:t>
            </w:r>
          </w:p>
        </w:tc>
        <w:tc>
          <w:tcPr>
            <w:tcW w:w="1486" w:type="dxa"/>
          </w:tcPr>
          <w:p w:rsidR="00D849AA" w:rsidRDefault="00EE6D95">
            <w:r>
              <w:t>44</w:t>
            </w:r>
          </w:p>
        </w:tc>
      </w:tr>
    </w:tbl>
    <w:p w:rsidR="00D849AA" w:rsidRDefault="00D849AA">
      <w:pPr>
        <w:jc w:val="left"/>
      </w:pPr>
    </w:p>
    <w:p w:rsidR="00562CD8" w:rsidRDefault="00562CD8" w:rsidP="00562CD8">
      <w:pPr>
        <w:pStyle w:val="Naslov4"/>
      </w:pPr>
      <w:r>
        <w:t>OBRAZLOŽENJE PROGRAMA</w:t>
      </w:r>
    </w:p>
    <w:p w:rsidR="00D849AA" w:rsidRDefault="00EE6D95">
      <w:pPr>
        <w:pStyle w:val="Naslov5"/>
      </w:pPr>
      <w:r>
        <w:t>3604 UPRAVLJANJE U SUSTAVU ZDRAVLJA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3604</w:t>
            </w:r>
          </w:p>
        </w:tc>
        <w:tc>
          <w:tcPr>
            <w:tcW w:w="1486" w:type="dxa"/>
          </w:tcPr>
          <w:p w:rsidR="00D849AA" w:rsidRDefault="00EE6D95">
            <w:r>
              <w:t>128.519.930</w:t>
            </w:r>
          </w:p>
        </w:tc>
        <w:tc>
          <w:tcPr>
            <w:tcW w:w="1486" w:type="dxa"/>
          </w:tcPr>
          <w:p w:rsidR="00D849AA" w:rsidRDefault="00EE6D95">
            <w:r>
              <w:t>127.819.396</w:t>
            </w:r>
          </w:p>
        </w:tc>
        <w:tc>
          <w:tcPr>
            <w:tcW w:w="1486" w:type="dxa"/>
          </w:tcPr>
          <w:p w:rsidR="00D849AA" w:rsidRDefault="00EE6D95">
            <w:r>
              <w:t>127.715.215</w:t>
            </w:r>
          </w:p>
        </w:tc>
        <w:tc>
          <w:tcPr>
            <w:tcW w:w="1486" w:type="dxa"/>
          </w:tcPr>
          <w:p w:rsidR="00D849AA" w:rsidRDefault="00EE6D95">
            <w:r>
              <w:t>128.236.357</w:t>
            </w:r>
          </w:p>
        </w:tc>
        <w:tc>
          <w:tcPr>
            <w:tcW w:w="1486" w:type="dxa"/>
          </w:tcPr>
          <w:p w:rsidR="00D849AA" w:rsidRDefault="00EE6D95">
            <w:r>
              <w:t>99,4</w:t>
            </w:r>
          </w:p>
        </w:tc>
      </w:tr>
    </w:tbl>
    <w:p w:rsidR="00D849AA" w:rsidRDefault="00D849AA">
      <w:pPr>
        <w:jc w:val="left"/>
      </w:pPr>
    </w:p>
    <w:p w:rsidR="00D849AA" w:rsidRDefault="00EE6D95">
      <w:pPr>
        <w:pStyle w:val="Naslov6"/>
      </w:pPr>
      <w:r>
        <w:t>Opis programa</w:t>
      </w:r>
    </w:p>
    <w:p w:rsidR="00D849AA" w:rsidRDefault="00EE6D95">
      <w:pPr>
        <w:pStyle w:val="Normal5"/>
      </w:pPr>
      <w:r>
        <w:t>Ministarstvo zdravlja obavlja upravne, stručne i druge poslove koji se odnose na sustav zdravstvene zaštite i zdravstvenog osiguranja.</w:t>
      </w:r>
    </w:p>
    <w:p w:rsidR="00D849AA" w:rsidRDefault="00EE6D95">
      <w:pPr>
        <w:pStyle w:val="Naslov6"/>
      </w:pPr>
      <w:r>
        <w:t>Zakonske i druge pravne osnove</w:t>
      </w:r>
    </w:p>
    <w:p w:rsidR="00D849AA" w:rsidRDefault="00EE6D95">
      <w:pPr>
        <w:pStyle w:val="Normal5"/>
      </w:pPr>
      <w:r>
        <w:t>Uredba o unutarnjem  ustrojstvu Ministarstva zdravlja, Zakon o državnim  službenicima, Kolektivni ugovor za državne službenike i namještenike, Zakon o radu, Zakon o mirovinskom osiguranju, Zakon o rodiljnim i roditeljskim potporama, Zakon o obveznim odnosima, Zakon o zakupu i kupoprodaji poslovnog prostora, Uredba o raspolaganju nekretninama koje se daju na korištenje tijelima državne uprave ili drugim tijelima korisnicima, državnog proračuna, te drugim osobama,  Zakon o potvrđivanju Okvirne konvencije Svjetske Zdravstvene Organizacije o nadzoru nad duhanom, Rezolucija o skali doprinosa za raspodjelu troškova, Memorandum o razumijevanju o budućnosti Zdravstvene mreže Jugoistočne Europe u okviru procesa suradnje u Jugoistočnoj Europi, Međunarodni sporazum o reintegraciji zatečenih osoba prilikom reintegracije Hrvatskog Podunavlja, Zakon o tajnosti podataka, Zakon o kvaliteti zdravstvene zaštite, Zakon o područjima posebne državne skrbi, Ugovor o dušobrižništvu sklopljen između Vlade Republike Hrvatske i Hrvatske biskupske konferencije, Program Vlade Republike Hrvatske, Zakon o zdravstvenoj zaštiti, Pravilnik o ustrojstvu i načinu rada Kriznog stožera, Međunarodni zdravstveni propisi (IHR) usvojeni na 63. Svjetskoj zdravstvenoj skupštini u rujnu 2013. godine, Zakon o zaštiti i spašavanju,  Zakon  o  obrani,  Nacionalni  generički,  integrirani plan  koordiniranog postupanja u zdravstvenim kriznim stanjima, Ustav Republike Hrvatske, Zakon o zaštiti pučanstva od zaraznih bolesti, Regulativa NATO – a, Regulativa EU i Svjetske zdravstvene organizacije, Smjernice za strateško planiranje za slučaj zdravstvenog kriznog stanja, Akcijske kartice – postupci integriranog planiranja odgovora na zdravstvena krizna stanja,  HOPE  i Roterdamska konvencija (UNEP).</w:t>
      </w:r>
    </w:p>
    <w:p w:rsidR="00562CD8" w:rsidRDefault="00562CD8" w:rsidP="00562CD8">
      <w:pPr>
        <w:pStyle w:val="Naslov4"/>
      </w:pPr>
      <w:r>
        <w:lastRenderedPageBreak/>
        <w:t>OBRAZLOŽENJE PROGRAMA</w:t>
      </w:r>
    </w:p>
    <w:p w:rsidR="00D849AA" w:rsidRDefault="00EE6D95">
      <w:pPr>
        <w:pStyle w:val="Naslov5"/>
      </w:pPr>
      <w:r>
        <w:t>3606 ZAŠTITA ZDRAVLJA I SIGURNOST RADNIKA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3606</w:t>
            </w:r>
          </w:p>
        </w:tc>
        <w:tc>
          <w:tcPr>
            <w:tcW w:w="1486" w:type="dxa"/>
          </w:tcPr>
          <w:p w:rsidR="00D849AA" w:rsidRDefault="00EE6D95">
            <w:r>
              <w:t>8.262.900</w:t>
            </w:r>
          </w:p>
        </w:tc>
        <w:tc>
          <w:tcPr>
            <w:tcW w:w="1486" w:type="dxa"/>
          </w:tcPr>
          <w:p w:rsidR="00D849AA" w:rsidRDefault="00EE6D95">
            <w:r>
              <w:t>8.461.300</w:t>
            </w:r>
          </w:p>
        </w:tc>
        <w:tc>
          <w:tcPr>
            <w:tcW w:w="1486" w:type="dxa"/>
          </w:tcPr>
          <w:p w:rsidR="00D849AA" w:rsidRDefault="00EE6D95">
            <w:r>
              <w:t>8.562.800</w:t>
            </w:r>
          </w:p>
        </w:tc>
        <w:tc>
          <w:tcPr>
            <w:tcW w:w="1486" w:type="dxa"/>
          </w:tcPr>
          <w:p w:rsidR="00D849AA" w:rsidRDefault="00EE6D95">
            <w:r>
              <w:t>8.708.400</w:t>
            </w:r>
          </w:p>
        </w:tc>
        <w:tc>
          <w:tcPr>
            <w:tcW w:w="1486" w:type="dxa"/>
          </w:tcPr>
          <w:p w:rsidR="00D849AA" w:rsidRDefault="00EE6D95">
            <w:r>
              <w:t>102,4</w:t>
            </w:r>
          </w:p>
        </w:tc>
      </w:tr>
    </w:tbl>
    <w:p w:rsidR="00D849AA" w:rsidRDefault="00D849AA">
      <w:pPr>
        <w:jc w:val="left"/>
      </w:pPr>
    </w:p>
    <w:p w:rsidR="00D849AA" w:rsidRDefault="00EE6D95">
      <w:pPr>
        <w:pStyle w:val="Naslov6"/>
      </w:pPr>
      <w:r>
        <w:t>Opis programa</w:t>
      </w:r>
    </w:p>
    <w:p w:rsidR="00D849AA" w:rsidRDefault="00EE6D95">
      <w:pPr>
        <w:pStyle w:val="Normal5"/>
      </w:pPr>
      <w:r>
        <w:t>Povećanje kontrole izloženosti štetnim učincima na radnom mjestu, provođenje edukacija radnika, donošenje tehničkih i zdravstvenih smjernica; analiza uzroka pojavnosti profesionalnih bolesti i ozljeda na radu s ciljem smanjenja profesionalnih bolesti i ozljeda na radu.</w:t>
      </w:r>
    </w:p>
    <w:p w:rsidR="00D849AA" w:rsidRDefault="00EE6D95">
      <w:pPr>
        <w:pStyle w:val="Naslov6"/>
      </w:pPr>
      <w:r>
        <w:t>Zakonske i druge pravne osnove</w:t>
      </w:r>
    </w:p>
    <w:p w:rsidR="00D849AA" w:rsidRDefault="00EE6D95">
      <w:pPr>
        <w:pStyle w:val="Normal5"/>
      </w:pPr>
      <w:r>
        <w:t>Zakon o zdravstvenoj zaštiti, Zakon o zaštiti na radu, Nacionalni plan zaštite na radu</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 xml:space="preserve">Cilj 1. Zaštita   javnozdravstvenog   interesa </w:t>
      </w:r>
    </w:p>
    <w:p w:rsidR="00D849AA" w:rsidRDefault="00EE6D95">
      <w:pPr>
        <w:pStyle w:val="Normal6"/>
      </w:pPr>
      <w:r>
        <w:t>Promicati će se stručne spoznaje o primjeni mjera kojima se smanjuje ili sprječava izloženost radnika opasnostima i štetnostima na radnom mjestu. Aktivnosti će prvenstveno biti usmjerene na specijaliste medicine rada, stručnjake u zaštiti na radu, radnike i poslodavce, a sadržajem će obuhvaćati sigurnosne i zdravstvene aspekte zaštite zdravlja radnika.</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Smanjenje broja novih slučajeva profesionalnih bolesti</w:t>
            </w:r>
          </w:p>
        </w:tc>
        <w:tc>
          <w:tcPr>
            <w:tcW w:w="1114" w:type="dxa"/>
          </w:tcPr>
          <w:p w:rsidR="00D849AA" w:rsidRDefault="00EE6D95">
            <w:r>
              <w:t>broj</w:t>
            </w:r>
          </w:p>
        </w:tc>
        <w:tc>
          <w:tcPr>
            <w:tcW w:w="1114" w:type="dxa"/>
          </w:tcPr>
          <w:p w:rsidR="00D849AA" w:rsidRDefault="00EE6D95">
            <w:r>
              <w:t>488</w:t>
            </w:r>
          </w:p>
        </w:tc>
        <w:tc>
          <w:tcPr>
            <w:tcW w:w="1486" w:type="dxa"/>
          </w:tcPr>
          <w:p w:rsidR="00D849AA" w:rsidRDefault="00EE6D95">
            <w:r>
              <w:t>450</w:t>
            </w:r>
          </w:p>
        </w:tc>
        <w:tc>
          <w:tcPr>
            <w:tcW w:w="1486" w:type="dxa"/>
          </w:tcPr>
          <w:p w:rsidR="00D849AA" w:rsidRDefault="00EE6D95">
            <w:r>
              <w:t>430</w:t>
            </w:r>
          </w:p>
        </w:tc>
        <w:tc>
          <w:tcPr>
            <w:tcW w:w="1486" w:type="dxa"/>
          </w:tcPr>
          <w:p w:rsidR="00D849AA" w:rsidRDefault="00EE6D95">
            <w:r>
              <w:t>400</w:t>
            </w:r>
          </w:p>
        </w:tc>
      </w:tr>
    </w:tbl>
    <w:p w:rsidR="00D849AA" w:rsidRDefault="00D849AA">
      <w:pPr>
        <w:jc w:val="left"/>
      </w:pPr>
    </w:p>
    <w:p w:rsidR="00D849AA" w:rsidRDefault="00EE6D95">
      <w:pPr>
        <w:pStyle w:val="Naslov5"/>
      </w:pPr>
      <w:r>
        <w:t>Procjena i ishodište potrebnih sredstava za značajnije aktivnosti/projekte</w:t>
      </w:r>
    </w:p>
    <w:p w:rsidR="00D849AA" w:rsidRDefault="00EE6D95">
      <w:pPr>
        <w:pStyle w:val="Naslov6"/>
      </w:pPr>
      <w:r>
        <w:t>A618210 HRVATSKI ZAVOD ZA ZAŠTITU ZDRAVLJA I SIGURNOSTI NA RADU</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A618210</w:t>
            </w:r>
          </w:p>
        </w:tc>
        <w:tc>
          <w:tcPr>
            <w:tcW w:w="1486" w:type="dxa"/>
          </w:tcPr>
          <w:p w:rsidR="00D849AA" w:rsidRDefault="00EE6D95">
            <w:r>
              <w:t>8.262.900</w:t>
            </w:r>
          </w:p>
        </w:tc>
        <w:tc>
          <w:tcPr>
            <w:tcW w:w="1486" w:type="dxa"/>
          </w:tcPr>
          <w:p w:rsidR="00D849AA" w:rsidRDefault="00EE6D95">
            <w:r>
              <w:t>8.461.300</w:t>
            </w:r>
          </w:p>
        </w:tc>
        <w:tc>
          <w:tcPr>
            <w:tcW w:w="1486" w:type="dxa"/>
          </w:tcPr>
          <w:p w:rsidR="00D849AA" w:rsidRDefault="00EE6D95">
            <w:r>
              <w:t>8.562.800</w:t>
            </w:r>
          </w:p>
        </w:tc>
        <w:tc>
          <w:tcPr>
            <w:tcW w:w="1486" w:type="dxa"/>
          </w:tcPr>
          <w:p w:rsidR="00D849AA" w:rsidRDefault="00EE6D95">
            <w:r>
              <w:t>8.708.400</w:t>
            </w:r>
          </w:p>
        </w:tc>
        <w:tc>
          <w:tcPr>
            <w:tcW w:w="1486" w:type="dxa"/>
          </w:tcPr>
          <w:p w:rsidR="00D849AA" w:rsidRDefault="00EE6D95">
            <w:r>
              <w:t>102,4</w:t>
            </w:r>
          </w:p>
        </w:tc>
      </w:tr>
    </w:tbl>
    <w:p w:rsidR="00D849AA" w:rsidRDefault="00D849AA">
      <w:pPr>
        <w:jc w:val="left"/>
      </w:pPr>
    </w:p>
    <w:p w:rsidR="00D849AA" w:rsidRDefault="00EE6D95">
      <w:pPr>
        <w:pStyle w:val="Normal6"/>
      </w:pPr>
      <w:r>
        <w:lastRenderedPageBreak/>
        <w:t>Povećanje broja informiranih i educiranih dionika u sustavu zaštite zdravlja i sigurnosti na radu, praćenja izloženosti štetnim učincima na radnom mjestu te predlaganje mjera za otklanjanje ili umanjenje rizika za zdravlje radnika i očuvanje radne i životne sposobnosti, donošenje tehničkih i zdravstvenih smjernica i edukacijskog materijala za stručnjake u sustavu zaštite zdravlja i sigurnosti na radu, poslodavce i radnike; analiza uzroka pojavnosti  profesionalnih bolesti i ozljeda na radu s ciljem smanjenja profesionalnih bolesti i ozljeda na radu, predlaganje mjera specifične zdravstvene zaštite.</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uspostava sustava praćenja i zaštite zdravlja radnika radi sprječavanja štetnog utjecaja rada na zdravlje</w:t>
            </w:r>
          </w:p>
        </w:tc>
        <w:tc>
          <w:tcPr>
            <w:tcW w:w="1114" w:type="dxa"/>
          </w:tcPr>
          <w:p w:rsidR="00D849AA" w:rsidRDefault="00EE6D95">
            <w:r>
              <w:t>broj</w:t>
            </w:r>
          </w:p>
        </w:tc>
        <w:tc>
          <w:tcPr>
            <w:tcW w:w="1114" w:type="dxa"/>
          </w:tcPr>
          <w:p w:rsidR="00D849AA" w:rsidRDefault="00EE6D95">
            <w:r>
              <w:t>2 500</w:t>
            </w:r>
          </w:p>
        </w:tc>
        <w:tc>
          <w:tcPr>
            <w:tcW w:w="1486" w:type="dxa"/>
          </w:tcPr>
          <w:p w:rsidR="00D849AA" w:rsidRDefault="00EE6D95">
            <w:r>
              <w:t>3000</w:t>
            </w:r>
          </w:p>
        </w:tc>
        <w:tc>
          <w:tcPr>
            <w:tcW w:w="1486" w:type="dxa"/>
          </w:tcPr>
          <w:p w:rsidR="00D849AA" w:rsidRDefault="00EE6D95">
            <w:r>
              <w:t>4000</w:t>
            </w:r>
          </w:p>
        </w:tc>
        <w:tc>
          <w:tcPr>
            <w:tcW w:w="1486" w:type="dxa"/>
          </w:tcPr>
          <w:p w:rsidR="00D849AA" w:rsidRDefault="00EE6D95">
            <w:r>
              <w:t>4500</w:t>
            </w:r>
          </w:p>
        </w:tc>
      </w:tr>
    </w:tbl>
    <w:p w:rsidR="00D849AA" w:rsidRDefault="00D849AA">
      <w:pPr>
        <w:jc w:val="left"/>
      </w:pPr>
    </w:p>
    <w:p w:rsidR="00D849AA" w:rsidRDefault="00EE6D95">
      <w:pPr>
        <w:pStyle w:val="Naslov2"/>
      </w:pPr>
      <w:r>
        <w:t>09615 Hrvatski zavod za zdravstveno osiguranje</w:t>
      </w:r>
    </w:p>
    <w:p w:rsidR="00D849AA" w:rsidRDefault="00EE6D95">
      <w:pPr>
        <w:pStyle w:val="Naslov4"/>
      </w:pPr>
      <w:r>
        <w:t>Uvod</w:t>
      </w:r>
    </w:p>
    <w:p w:rsidR="00D849AA" w:rsidRDefault="00EE6D95">
      <w:pPr>
        <w:pStyle w:val="Normal3"/>
      </w:pPr>
      <w:r>
        <w:t xml:space="preserve">Hrvatski zavod za zdravstveno osiguranje (Zavod) sa sjedištem u Zagrebu, Margaretska 3, osnovan je radi provođenja tada obveznog zdravstvenog osiguranja, te obavljanja drugih poslova prema Zakonu o obveznom zdravstvenom osiguranju (Zakon), te Zakonu o zdravstvenoj zaštiti.   </w:t>
      </w:r>
    </w:p>
    <w:p w:rsidR="00D849AA" w:rsidRDefault="00EE6D95">
      <w:pPr>
        <w:pStyle w:val="Normal3"/>
      </w:pPr>
      <w:r>
        <w:t xml:space="preserve">Zavod organizira i provodi poslove obveznog zdravstvenog osiguranja u skladu s Zakonom o obveznom zdravstvenom osiguranju, te poslove dopunskog zdravstvenog osiguranja u skladu s Zakonom o dobrovoljnom zdravstvenom osiguranju. </w:t>
      </w:r>
    </w:p>
    <w:p w:rsidR="00D849AA" w:rsidRDefault="00EE6D95">
      <w:pPr>
        <w:pStyle w:val="Normal3"/>
      </w:pPr>
      <w:r>
        <w:t xml:space="preserve">Misija  Zavoda je racionalno ulagati financijska sredstva osiguranika u kvalitetne i efikasne zdravstvene usluge i programe koji će im donijeti prinos u kvaliteti života i produljenju životnog vijeka. </w:t>
      </w:r>
    </w:p>
    <w:p w:rsidR="00D849AA" w:rsidRDefault="00EE6D95">
      <w:pPr>
        <w:pStyle w:val="Normal3"/>
      </w:pPr>
      <w:r>
        <w:t xml:space="preserve">Obveznim zdravstvenim osiguranjem osiguravaju se svim osiguranim osobama Zavoda prava i obveze iz obveznog zdravstvenog osiguranja na načelima uzajamnosti, solidarnosti i jednakosti na način i pod uvjetima utvrđenim  Uredbom (EZ) BR.883/2004 kako je posljednji put izmijenjena Uredbom EU br. 1124/2012 ( propisi Europske unije), Direktivom 2011/24/EU, sukladno sa Zakonom, posebnim zakonom te propisima donesenim na temelju Zakona. </w:t>
      </w:r>
    </w:p>
    <w:p w:rsidR="00D849AA" w:rsidRDefault="00EE6D95">
      <w:pPr>
        <w:pStyle w:val="Normal3"/>
      </w:pPr>
      <w:r>
        <w:t xml:space="preserve">Opseg i prava iz obveznog zdravstvenog osiguranja osigurava se svim osiguranim osobama pod jednakim uvjetima.  </w:t>
      </w:r>
    </w:p>
    <w:p w:rsidR="00D849AA" w:rsidRDefault="00EE6D95">
      <w:pPr>
        <w:pStyle w:val="Normal3"/>
      </w:pPr>
      <w:r>
        <w:t xml:space="preserve">Prema podacima iz baze podataka osiguranika,  prosječan broj osiguranih osoba u razdoblju siječanj-rujan 2013. godine iznosi 4.349.188 osiguranika. </w:t>
      </w:r>
    </w:p>
    <w:p w:rsidR="00D849AA" w:rsidRDefault="00EE6D95">
      <w:pPr>
        <w:pStyle w:val="Normal3"/>
      </w:pPr>
      <w:r>
        <w:t xml:space="preserve">Prava iz obveznog zdravstvenog osiguranja, uključujući i prava za ozljede na radu i profesionalne bolesti, obuhvaćaju: pravo na zdravstvenu zaštitu i pravo na novčane naknade.  </w:t>
      </w:r>
    </w:p>
    <w:p w:rsidR="00D849AA" w:rsidRDefault="00EE6D95">
      <w:pPr>
        <w:pStyle w:val="Normal3"/>
      </w:pPr>
      <w:r>
        <w:t xml:space="preserve">Dopunsko zdravstveno osiguranje koje provodi Zavod je dobrovoljno zdravstveno osiguranje, kojim se osiguranim osobama na obvezno zdravstveno osiguranje osigurava pokriće sudjelovanja u troškovima zdravstvene zaštite iz obveznog zdravstvenog osiguranja iz članka 19.  Zakona o obveznom zdravstvenom osiguranju. </w:t>
      </w:r>
    </w:p>
    <w:p w:rsidR="00D849AA" w:rsidRDefault="00EE6D95">
      <w:pPr>
        <w:pStyle w:val="Normal3"/>
      </w:pPr>
      <w:r>
        <w:lastRenderedPageBreak/>
        <w:t>Limitirani rashodi su utvrđeni po razdjelima Državnog proračuna sukladno Uputama, a Ministarstvo zdravlja je svojim dopisom dodijelilo limite Zavodu, i u skladu s tim je izrađen Prijedlog financijskog plana Zavoda  za 2014.-2016. godinu.</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09615</w:t>
            </w:r>
          </w:p>
        </w:tc>
        <w:tc>
          <w:tcPr>
            <w:tcW w:w="1486" w:type="dxa"/>
          </w:tcPr>
          <w:p w:rsidR="00D849AA" w:rsidRDefault="00EE6D95">
            <w:r>
              <w:t>20.655.964.000</w:t>
            </w:r>
          </w:p>
        </w:tc>
        <w:tc>
          <w:tcPr>
            <w:tcW w:w="1486" w:type="dxa"/>
          </w:tcPr>
          <w:p w:rsidR="00D849AA" w:rsidRDefault="00EE6D95">
            <w:r>
              <w:t>20.645.665.600</w:t>
            </w:r>
          </w:p>
        </w:tc>
        <w:tc>
          <w:tcPr>
            <w:tcW w:w="1486" w:type="dxa"/>
          </w:tcPr>
          <w:p w:rsidR="00D849AA" w:rsidRDefault="00EE6D95">
            <w:r>
              <w:t>20.682.483.600</w:t>
            </w:r>
          </w:p>
        </w:tc>
        <w:tc>
          <w:tcPr>
            <w:tcW w:w="1486" w:type="dxa"/>
          </w:tcPr>
          <w:p w:rsidR="00D849AA" w:rsidRDefault="00EE6D95">
            <w:r>
              <w:t>20.885.077.540</w:t>
            </w:r>
          </w:p>
        </w:tc>
        <w:tc>
          <w:tcPr>
            <w:tcW w:w="1486" w:type="dxa"/>
          </w:tcPr>
          <w:p w:rsidR="00D849AA" w:rsidRDefault="00EE6D95">
            <w:r>
              <w:t>100,0</w:t>
            </w:r>
          </w:p>
        </w:tc>
      </w:tr>
    </w:tbl>
    <w:p w:rsidR="00D849AA" w:rsidRDefault="00D849AA">
      <w:pPr>
        <w:jc w:val="left"/>
      </w:pPr>
    </w:p>
    <w:p w:rsidR="00D849AA" w:rsidRDefault="00EE6D95">
      <w:pPr>
        <w:pStyle w:val="Naslov4"/>
      </w:pPr>
      <w:r>
        <w:t>OBRAZLOŽENJE PROGRAMA</w:t>
      </w:r>
    </w:p>
    <w:p w:rsidR="00D849AA" w:rsidRDefault="00EE6D95">
      <w:pPr>
        <w:pStyle w:val="Naslov5"/>
      </w:pPr>
      <w:r>
        <w:t>3605 SIGURNOST GRAĐANA I PRAVA NA ZDRAVSTVENE USLUGE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3605</w:t>
            </w:r>
          </w:p>
        </w:tc>
        <w:tc>
          <w:tcPr>
            <w:tcW w:w="1486" w:type="dxa"/>
          </w:tcPr>
          <w:p w:rsidR="00D849AA" w:rsidRDefault="00EE6D95">
            <w:r>
              <w:t>20.655.964.000</w:t>
            </w:r>
          </w:p>
        </w:tc>
        <w:tc>
          <w:tcPr>
            <w:tcW w:w="1486" w:type="dxa"/>
          </w:tcPr>
          <w:p w:rsidR="00D849AA" w:rsidRDefault="00EE6D95">
            <w:r>
              <w:t>20.645.665.600</w:t>
            </w:r>
          </w:p>
        </w:tc>
        <w:tc>
          <w:tcPr>
            <w:tcW w:w="1486" w:type="dxa"/>
          </w:tcPr>
          <w:p w:rsidR="00D849AA" w:rsidRDefault="00EE6D95">
            <w:r>
              <w:t>20.682.483.600</w:t>
            </w:r>
          </w:p>
        </w:tc>
        <w:tc>
          <w:tcPr>
            <w:tcW w:w="1486" w:type="dxa"/>
          </w:tcPr>
          <w:p w:rsidR="00D849AA" w:rsidRDefault="00EE6D95">
            <w:r>
              <w:t>20.885.077.540</w:t>
            </w:r>
          </w:p>
        </w:tc>
        <w:tc>
          <w:tcPr>
            <w:tcW w:w="1486" w:type="dxa"/>
          </w:tcPr>
          <w:p w:rsidR="00D849AA" w:rsidRDefault="00EE6D95">
            <w:r>
              <w:t>100,0</w:t>
            </w:r>
          </w:p>
        </w:tc>
      </w:tr>
    </w:tbl>
    <w:p w:rsidR="00D849AA" w:rsidRDefault="00D849AA">
      <w:pPr>
        <w:jc w:val="left"/>
      </w:pPr>
    </w:p>
    <w:p w:rsidR="00D849AA" w:rsidRDefault="00EE6D95">
      <w:pPr>
        <w:pStyle w:val="Naslov6"/>
      </w:pPr>
      <w:r>
        <w:t>Opis programa</w:t>
      </w:r>
    </w:p>
    <w:p w:rsidR="00D849AA" w:rsidRDefault="00EE6D95">
      <w:pPr>
        <w:pStyle w:val="Normal5"/>
      </w:pPr>
      <w:r>
        <w:t xml:space="preserve">Opći cilj ovog programa je osigurati zdravstvenu zaštitu i naknade osiguranim osobama Zavoda, te kroz dopunsko zdravstveno osiguranje osigurati pokriće sudjelovanja u troškovima zdravstvene zaštite.  </w:t>
      </w:r>
    </w:p>
    <w:p w:rsidR="00D849AA" w:rsidRDefault="00EE6D95">
      <w:pPr>
        <w:pStyle w:val="Normal5"/>
      </w:pPr>
      <w:r>
        <w:t xml:space="preserve">Zdravstvena djelatnost obavlja se na primarnoj, sekundarnoj i tercijarnoj razini te na razini zdravstvenih zavoda. </w:t>
      </w:r>
    </w:p>
    <w:p w:rsidR="00D849AA" w:rsidRDefault="00EE6D95">
      <w:pPr>
        <w:pStyle w:val="Normal5"/>
      </w:pPr>
      <w:r>
        <w:t xml:space="preserve">Zdravstvenu zaštitu iz obveznog zdravstvenog osiguranja na primarnoj razini osigurane osobe Zavoda ostvaruju na osnovi slobodnog izbora doktora medicine i doktora dentalne medicine, u pravilu prema mjestu stanovanja, a prema odredbama općih akata Zavoda.  </w:t>
      </w:r>
    </w:p>
    <w:p w:rsidR="00D849AA" w:rsidRDefault="00EE6D95">
      <w:pPr>
        <w:pStyle w:val="Normal5"/>
      </w:pPr>
      <w:r>
        <w:t xml:space="preserve">Zdravstvenu zaštitu iz obveznog zdravstvenog osiguranja na sekundarnoj i tercijarnoj razini osigurane osobe Zavoda ostvaruju osnovom uputnice ugovornog doktora primarne zdravstvene zaštite. </w:t>
      </w:r>
    </w:p>
    <w:p w:rsidR="00D849AA" w:rsidRDefault="00EE6D95">
      <w:pPr>
        <w:pStyle w:val="Normal5"/>
      </w:pPr>
      <w:r>
        <w:t xml:space="preserve">Specijalističko-konzilijarnu zdravstvenu zaštitu osigurana osoba ostvaruje u najbližoj ugovornoj zdravstvenoj ustanovi, odnosno kod najbližeg ugovornog zdravstvenog radnika privatne prakse prema mjestu svog prebivališta, odnosno boravka, koji sa Zavodom ima ugovor i osiguranoj osobi može pružiti zdravstvenu zaštitu, a na osnovi uputnice koju izdaje izabrani doktor primarne zdravstvene zaštite.  </w:t>
      </w:r>
    </w:p>
    <w:p w:rsidR="00D849AA" w:rsidRDefault="00EE6D95">
      <w:pPr>
        <w:pStyle w:val="Normal5"/>
      </w:pPr>
      <w:r>
        <w:t xml:space="preserve">Bolničku zdravstvenu zaštitu osigurana osoba ostvaruje u ugovornim bolničkim ustanovama za liječenje bolesnika od akutnih, sub akutnih i kroničnih bolesti na osnovu izdane uputnice za bolničko liječenje.  </w:t>
      </w:r>
    </w:p>
    <w:p w:rsidR="00D849AA" w:rsidRDefault="00EE6D95">
      <w:pPr>
        <w:pStyle w:val="Normal5"/>
      </w:pPr>
      <w:r>
        <w:t xml:space="preserve">Osigurana osoba u okviru prava na zdravstvenu zaštitu iz obveznog zdravstvenog osiguranja ima pravo na korištenje lijekova koji su utvrđeni Odlukom o utvrđivanju Osnovne liste lijekova Zavoda i Odlukom o utvrđivanju Dopunske liste lijekova Zavoda. Osnovna lista lijekova sadrži medikoekonomski najsvrhovitije lijekove za liječenje svih bolesti. </w:t>
      </w:r>
    </w:p>
    <w:p w:rsidR="00D849AA" w:rsidRDefault="00EE6D95">
      <w:pPr>
        <w:pStyle w:val="Normal5"/>
      </w:pPr>
      <w:r>
        <w:t xml:space="preserve">Pridruživanjem Republike Hrvatske EU, osigurana osoba ima pravo na teret sredstava obveznog zdravstvenog osiguranja koristiti zdravstvenu zaštitu u drugim državama članicama i trećim državama.  </w:t>
      </w:r>
    </w:p>
    <w:p w:rsidR="00D849AA" w:rsidRDefault="00EE6D95">
      <w:pPr>
        <w:pStyle w:val="Normal5"/>
      </w:pPr>
      <w:r>
        <w:lastRenderedPageBreak/>
        <w:t xml:space="preserve">Pravo na naknade obuhvaća naknade za bolovanja koje se isplaćuju pravnim i fizičkim osobama za bolovanja dulja od 42 dana, zatim naknade braniteljima,  odnosno osiguranje sredstava za bolovanje osoba čija nesposobnost za rad je u vezi s bolesti, ozljedom na radu ili ranjavanjem zbog sudjelovanja u Domovinskom ratu. Redovni porodiljni dopust isplaćuje se na teret sredstava Zavoda, a visina naknade iznosi 100% od osnovice za naknadu plaće. </w:t>
      </w:r>
    </w:p>
    <w:p w:rsidR="00D849AA" w:rsidRDefault="00EE6D95">
      <w:pPr>
        <w:pStyle w:val="Normal5"/>
      </w:pPr>
      <w:r>
        <w:t>Najniži mjesečni iznos naknade plaće za puno radno vrijeme iznosi 25% od proračunske osnovice, odnosno 831,50 kn. Najveći mjesečni iznos naknade plaće za puno radno vrijeme kada se isplaćuje na teret sredstava Zavoda je proračunska osnovica uvećana za 28%, odnosno 4.257,28 kn. Visina sredstva za naknade vezane za ozljede na radu i profesionalne bolesti nisu ograničena, i isplaćuju se od prvog dana na teret sredstava Zavoda.</w:t>
      </w:r>
    </w:p>
    <w:p w:rsidR="00D849AA" w:rsidRDefault="00EE6D95">
      <w:pPr>
        <w:pStyle w:val="Naslov6"/>
      </w:pPr>
      <w:r>
        <w:t>Zakonske i druge pravne osnove</w:t>
      </w:r>
    </w:p>
    <w:p w:rsidR="00D849AA" w:rsidRDefault="00EE6D95">
      <w:pPr>
        <w:pStyle w:val="Normal5"/>
      </w:pPr>
      <w:r>
        <w:t>Navedeni opći cilj proizlazi iz Zakona o obveznom zdravstvenom osiguranju i Zakona o dobrovoljnom zdravstvenom osiguranju</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Cilj 1. Osigurati zdravstvenu zaštitu za sve osiguranike HZZO-a</w:t>
      </w:r>
    </w:p>
    <w:p w:rsidR="00D849AA" w:rsidRDefault="00EE6D95">
      <w:pPr>
        <w:pStyle w:val="Normal6"/>
      </w:pPr>
      <w:r>
        <w:t>Pravo na zdravstvenu zaštitu iz obveznog zdravstvenog osiguranja, osigurava se kroz ugovorne odnose sa zdravstvenim ustanovama i privatnim zdravstvenim radnicima kod kojih osigurane osobe Hrvatskog zavoda za zdravstveno osiguranje (HZZO) ostvaruju zdravstvenu zaštitu. U cilju osiguranja dostupnosti i sveobuhvatnosti zdravstvene zaštite cjelokupnog stanovništva nastojat će se osigurati dostatni iznos sredstava uz njihovu pravedniju raspodjelu i kontrolu s ciljem osiguranja jednakih prava u pristupu zdravstvenim uslugama. U cilju povećanja učinkovitosti pružatelja zdravstvenih usluga, uspostavili su se novi modeli ugovaranja zdravstvene zaštite temeljeni na mjerljivim pokazateljima učinkovitosti i kvalitete, kako u primarnoj, tako i u bolničkoj i specijalističko-konzilijarnoj zdravstvenoj zaštiti, čime  se osigurao  kvalitetan skup zdravstvenih usluga, financiran iz doprinosa i proračuna, te jednaka dostupnost svim hrvatskim građanima, a pacijent treba biti u središtu zdravstvenoga sustava.</w:t>
      </w:r>
    </w:p>
    <w:p w:rsidR="00D849AA" w:rsidRDefault="00EE6D95">
      <w:pPr>
        <w:pStyle w:val="Naslov5"/>
      </w:pPr>
      <w:r>
        <w:t>Procjena i ishodište potrebnih sredstava za značajnije aktivnosti/projekte</w:t>
      </w:r>
    </w:p>
    <w:p w:rsidR="00D849AA" w:rsidRDefault="00EE6D95">
      <w:pPr>
        <w:pStyle w:val="Naslov6"/>
      </w:pPr>
      <w:r>
        <w:t>A690014 ADMINISTRACIJA I UPRAVLJANJE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A690014</w:t>
            </w:r>
          </w:p>
        </w:tc>
        <w:tc>
          <w:tcPr>
            <w:tcW w:w="1486" w:type="dxa"/>
          </w:tcPr>
          <w:p w:rsidR="00D849AA" w:rsidRDefault="00EE6D95">
            <w:r>
              <w:t>316.705.300</w:t>
            </w:r>
          </w:p>
        </w:tc>
        <w:tc>
          <w:tcPr>
            <w:tcW w:w="1486" w:type="dxa"/>
          </w:tcPr>
          <w:p w:rsidR="00D849AA" w:rsidRDefault="00EE6D95">
            <w:r>
              <w:t>285.635.270</w:t>
            </w:r>
          </w:p>
        </w:tc>
        <w:tc>
          <w:tcPr>
            <w:tcW w:w="1486" w:type="dxa"/>
          </w:tcPr>
          <w:p w:rsidR="00D849AA" w:rsidRDefault="00EE6D95">
            <w:r>
              <w:t>304.555.410</w:t>
            </w:r>
          </w:p>
        </w:tc>
        <w:tc>
          <w:tcPr>
            <w:tcW w:w="1486" w:type="dxa"/>
          </w:tcPr>
          <w:p w:rsidR="00D849AA" w:rsidRDefault="00EE6D95">
            <w:r>
              <w:t>316.562.900</w:t>
            </w:r>
          </w:p>
        </w:tc>
        <w:tc>
          <w:tcPr>
            <w:tcW w:w="1486" w:type="dxa"/>
          </w:tcPr>
          <w:p w:rsidR="00D849AA" w:rsidRDefault="00EE6D95">
            <w:r>
              <w:t>90,2</w:t>
            </w:r>
          </w:p>
        </w:tc>
      </w:tr>
    </w:tbl>
    <w:p w:rsidR="00D849AA" w:rsidRDefault="00D849AA">
      <w:pPr>
        <w:jc w:val="left"/>
      </w:pPr>
    </w:p>
    <w:p w:rsidR="00D849AA" w:rsidRDefault="00EE6D95">
      <w:pPr>
        <w:pStyle w:val="Normal6"/>
      </w:pPr>
      <w:r>
        <w:t xml:space="preserve">Rashodi za zaposlene planirani su na osnovu broja zaposlenih u Zavodu i njihovim pravima  koja proizlaze iz Zakona o radu i Kolektivnog ugovora za djelatnost zdravstva i zdravstvenog osiguranja, a naknadno korigirana temeljem dopisa Ministarstva zdravlja. </w:t>
      </w:r>
    </w:p>
    <w:p w:rsidR="00D849AA" w:rsidRDefault="00EE6D95">
      <w:pPr>
        <w:pStyle w:val="Normal6"/>
      </w:pPr>
      <w:r>
        <w:t xml:space="preserve">Materijalni rashodi planirani su na osnovi Uputa i potrebnih neophodnih sredstava za funkcioniranje  stručne službe Zavoda, čiji cilj je osiguranje prava iz Zakona za osigurane osobe.  </w:t>
      </w:r>
    </w:p>
    <w:p w:rsidR="00D849AA" w:rsidRDefault="00EE6D95">
      <w:pPr>
        <w:pStyle w:val="Normal6"/>
      </w:pPr>
      <w:r>
        <w:t xml:space="preserve">U Prijedlogu  Financijskog plana Zavoda uvrštene su nove pozicije vezano za Dopunsko zdravstveno osiguranje i to za praćenje administracije i upravljanja dopunskim </w:t>
      </w:r>
      <w:r>
        <w:lastRenderedPageBreak/>
        <w:t>zdravstvenim osiguranjem i za nabavu nefinancijske imovine. Razlog tome je transparentno praćenje rashoda Dopunskog zdravstvenog osiguranja.</w:t>
      </w:r>
    </w:p>
    <w:p w:rsidR="00D849AA" w:rsidRDefault="00EE6D95">
      <w:pPr>
        <w:pStyle w:val="Naslov6"/>
      </w:pPr>
      <w:r>
        <w:t>A690052 PRIPRAVNIČKI STAŽ ZA ZDRAVSTVENE DJELATNIKE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A690052</w:t>
            </w:r>
          </w:p>
        </w:tc>
        <w:tc>
          <w:tcPr>
            <w:tcW w:w="1486" w:type="dxa"/>
          </w:tcPr>
          <w:p w:rsidR="00D849AA" w:rsidRDefault="00EE6D95">
            <w:r>
              <w:t>87.000.000</w:t>
            </w:r>
          </w:p>
        </w:tc>
        <w:tc>
          <w:tcPr>
            <w:tcW w:w="1486" w:type="dxa"/>
          </w:tcPr>
          <w:p w:rsidR="00D849AA" w:rsidRDefault="00EE6D95">
            <w:r>
              <w:t>87.000.000</w:t>
            </w:r>
          </w:p>
        </w:tc>
        <w:tc>
          <w:tcPr>
            <w:tcW w:w="1486" w:type="dxa"/>
          </w:tcPr>
          <w:p w:rsidR="00D849AA" w:rsidRDefault="00EE6D95">
            <w:r>
              <w:t>87.000.000</w:t>
            </w:r>
          </w:p>
        </w:tc>
        <w:tc>
          <w:tcPr>
            <w:tcW w:w="1486" w:type="dxa"/>
          </w:tcPr>
          <w:p w:rsidR="00D849AA" w:rsidRDefault="00EE6D95">
            <w:r>
              <w:t>87.000.000</w:t>
            </w:r>
          </w:p>
        </w:tc>
        <w:tc>
          <w:tcPr>
            <w:tcW w:w="1486" w:type="dxa"/>
          </w:tcPr>
          <w:p w:rsidR="00D849AA" w:rsidRDefault="00EE6D95">
            <w:r>
              <w:t>100,0</w:t>
            </w:r>
          </w:p>
        </w:tc>
      </w:tr>
    </w:tbl>
    <w:p w:rsidR="00D849AA" w:rsidRDefault="00D849AA">
      <w:pPr>
        <w:jc w:val="left"/>
      </w:pPr>
    </w:p>
    <w:p w:rsidR="00D849AA" w:rsidRDefault="00EE6D95">
      <w:pPr>
        <w:pStyle w:val="Normal6"/>
      </w:pPr>
      <w:r>
        <w:t>Odlukom  ministra zdravlja, promijenjen je Pravilnik o pripravničkom stažu za zdravstvene radnike u dijelu da je pripravnički staž smanjen sa 12 mjeseci na 5 mjeseci. Tim izmjenama  osigurati će se pripravnički staž većem broju zdravstvenih radnika, a za ista sredstva. Tako je  u listopadu 2013.g. temeljem natječaja odobren pripravnički staž za 503 doktora medicine.</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broj pripravnika</w:t>
            </w:r>
          </w:p>
        </w:tc>
        <w:tc>
          <w:tcPr>
            <w:tcW w:w="1114" w:type="dxa"/>
          </w:tcPr>
          <w:p w:rsidR="00D849AA" w:rsidRDefault="00EE6D95">
            <w:r>
              <w:t>broj</w:t>
            </w:r>
          </w:p>
        </w:tc>
        <w:tc>
          <w:tcPr>
            <w:tcW w:w="1114" w:type="dxa"/>
          </w:tcPr>
          <w:p w:rsidR="00D849AA" w:rsidRDefault="00EE6D95">
            <w:r>
              <w:t>503</w:t>
            </w:r>
          </w:p>
        </w:tc>
        <w:tc>
          <w:tcPr>
            <w:tcW w:w="1486" w:type="dxa"/>
          </w:tcPr>
          <w:p w:rsidR="00D849AA" w:rsidRDefault="00EE6D95">
            <w:r>
              <w:t>900</w:t>
            </w:r>
          </w:p>
        </w:tc>
        <w:tc>
          <w:tcPr>
            <w:tcW w:w="1486" w:type="dxa"/>
          </w:tcPr>
          <w:p w:rsidR="00D849AA" w:rsidRDefault="00EE6D95">
            <w:r>
              <w:t>950</w:t>
            </w:r>
          </w:p>
        </w:tc>
        <w:tc>
          <w:tcPr>
            <w:tcW w:w="1486" w:type="dxa"/>
          </w:tcPr>
          <w:p w:rsidR="00D849AA" w:rsidRDefault="00EE6D95">
            <w:r>
              <w:t>980</w:t>
            </w:r>
          </w:p>
        </w:tc>
      </w:tr>
    </w:tbl>
    <w:p w:rsidR="00D849AA" w:rsidRDefault="00D849AA">
      <w:pPr>
        <w:jc w:val="left"/>
      </w:pPr>
    </w:p>
    <w:p w:rsidR="00D849AA" w:rsidRDefault="00EE6D95">
      <w:pPr>
        <w:pStyle w:val="Naslov6"/>
      </w:pPr>
      <w:r>
        <w:t>A690073 ZDRAVSTVENA ZAŠTITA DOPUNSKOG OSIGURANJA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A690073</w:t>
            </w:r>
          </w:p>
        </w:tc>
        <w:tc>
          <w:tcPr>
            <w:tcW w:w="1486" w:type="dxa"/>
          </w:tcPr>
          <w:p w:rsidR="00D849AA" w:rsidRDefault="00EE6D95">
            <w:r>
              <w:t>1.406.620.500</w:t>
            </w:r>
          </w:p>
        </w:tc>
        <w:tc>
          <w:tcPr>
            <w:tcW w:w="1486" w:type="dxa"/>
          </w:tcPr>
          <w:p w:rsidR="00D849AA" w:rsidRDefault="00EE6D95">
            <w:r>
              <w:t>1.327.178.000</w:t>
            </w:r>
          </w:p>
        </w:tc>
        <w:tc>
          <w:tcPr>
            <w:tcW w:w="1486" w:type="dxa"/>
          </w:tcPr>
          <w:p w:rsidR="00D849AA" w:rsidRDefault="00EE6D95">
            <w:r>
              <w:t>1.327.178.000</w:t>
            </w:r>
          </w:p>
        </w:tc>
        <w:tc>
          <w:tcPr>
            <w:tcW w:w="1486" w:type="dxa"/>
          </w:tcPr>
          <w:p w:rsidR="00D849AA" w:rsidRDefault="00EE6D95">
            <w:r>
              <w:t>1.327.178.000</w:t>
            </w:r>
          </w:p>
        </w:tc>
        <w:tc>
          <w:tcPr>
            <w:tcW w:w="1486" w:type="dxa"/>
          </w:tcPr>
          <w:p w:rsidR="00D849AA" w:rsidRDefault="00EE6D95">
            <w:r>
              <w:t>94,4</w:t>
            </w:r>
          </w:p>
        </w:tc>
      </w:tr>
    </w:tbl>
    <w:p w:rsidR="00D849AA" w:rsidRDefault="00D849AA">
      <w:pPr>
        <w:jc w:val="left"/>
      </w:pPr>
    </w:p>
    <w:p w:rsidR="00D849AA" w:rsidRDefault="00EE6D95">
      <w:pPr>
        <w:pStyle w:val="Normal6"/>
      </w:pPr>
      <w:r>
        <w:t>Dopunsko zdravstveno osiguranje provodi se sukladno Zakonom o dobrovoljnom zdravstvenom osiguranju. Dopunskim zdravstvenim osiguranjem, osiguranim osobama se osigurava pokriće sudjelovanja u troškovima zdravstvene zaštite iz obveznog zdravstvenog osiguranja iz čl. 19. Zakona o obveznom zdravstvenom osiguranju. Odlukom Upravnog vijeća iz listopada 2013. g. visina police iznosi 70 kn za sve kategorije osiguranika. Sukladno zakonskim propisima, za dio osiguranika u dopunskom zdravstvenom osiguranju, cijenu police nadoknađuje Ministarstvo financija, a ostali sami plaćanju na temelju zaključene police o dopunskom osiguranju. Cilj je povećati broj osiguranika koji sami plaćaju dopunsko osiguranje.</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broj zaključenih polica</w:t>
            </w:r>
          </w:p>
        </w:tc>
        <w:tc>
          <w:tcPr>
            <w:tcW w:w="1114" w:type="dxa"/>
          </w:tcPr>
          <w:p w:rsidR="00D849AA" w:rsidRDefault="00EE6D95">
            <w:r>
              <w:t>broj polica</w:t>
            </w:r>
          </w:p>
        </w:tc>
        <w:tc>
          <w:tcPr>
            <w:tcW w:w="1114" w:type="dxa"/>
          </w:tcPr>
          <w:p w:rsidR="00D849AA" w:rsidRDefault="00EE6D95">
            <w:r>
              <w:t>1.345.705</w:t>
            </w:r>
          </w:p>
        </w:tc>
        <w:tc>
          <w:tcPr>
            <w:tcW w:w="1486" w:type="dxa"/>
          </w:tcPr>
          <w:p w:rsidR="00D849AA" w:rsidRDefault="00EE6D95">
            <w:r>
              <w:t>1.346.800</w:t>
            </w:r>
          </w:p>
        </w:tc>
        <w:tc>
          <w:tcPr>
            <w:tcW w:w="1486" w:type="dxa"/>
          </w:tcPr>
          <w:p w:rsidR="00D849AA" w:rsidRDefault="00EE6D95">
            <w:r>
              <w:t>1.347.500</w:t>
            </w:r>
          </w:p>
        </w:tc>
        <w:tc>
          <w:tcPr>
            <w:tcW w:w="1486" w:type="dxa"/>
          </w:tcPr>
          <w:p w:rsidR="00D849AA" w:rsidRDefault="00EE6D95">
            <w:r>
              <w:t>1.350.000</w:t>
            </w:r>
          </w:p>
        </w:tc>
      </w:tr>
    </w:tbl>
    <w:p w:rsidR="00D849AA" w:rsidRDefault="00D849AA">
      <w:pPr>
        <w:jc w:val="left"/>
      </w:pPr>
    </w:p>
    <w:p w:rsidR="00D849AA" w:rsidRDefault="00EE6D95">
      <w:pPr>
        <w:pStyle w:val="Naslov6"/>
      </w:pPr>
      <w:r>
        <w:lastRenderedPageBreak/>
        <w:t>A812023 ZDRAVSTVENA ZAŠTITA OBVEZNOG ZDRAVSTVENOG OSIGURANJA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A812023</w:t>
            </w:r>
          </w:p>
        </w:tc>
        <w:tc>
          <w:tcPr>
            <w:tcW w:w="1486" w:type="dxa"/>
          </w:tcPr>
          <w:p w:rsidR="00D849AA" w:rsidRDefault="00EE6D95">
            <w:r>
              <w:t>00</w:t>
            </w:r>
          </w:p>
        </w:tc>
        <w:tc>
          <w:tcPr>
            <w:tcW w:w="1486" w:type="dxa"/>
          </w:tcPr>
          <w:p w:rsidR="00D849AA" w:rsidRDefault="00EE6D95">
            <w:r>
              <w:t>16.452.663.146</w:t>
            </w:r>
          </w:p>
        </w:tc>
        <w:tc>
          <w:tcPr>
            <w:tcW w:w="1486" w:type="dxa"/>
          </w:tcPr>
          <w:p w:rsidR="00D849AA" w:rsidRDefault="00EE6D95">
            <w:r>
              <w:t>16.470.561.006</w:t>
            </w:r>
          </w:p>
        </w:tc>
        <w:tc>
          <w:tcPr>
            <w:tcW w:w="1486" w:type="dxa"/>
          </w:tcPr>
          <w:p w:rsidR="00D849AA" w:rsidRDefault="00EE6D95">
            <w:r>
              <w:t>16.661.147.456</w:t>
            </w:r>
          </w:p>
        </w:tc>
        <w:tc>
          <w:tcPr>
            <w:tcW w:w="1486" w:type="dxa"/>
          </w:tcPr>
          <w:p w:rsidR="00D849AA" w:rsidRDefault="00EE6D95">
            <w:r>
              <w:t>0,0</w:t>
            </w:r>
          </w:p>
        </w:tc>
      </w:tr>
    </w:tbl>
    <w:p w:rsidR="00D849AA" w:rsidRDefault="00D849AA">
      <w:pPr>
        <w:jc w:val="left"/>
      </w:pPr>
    </w:p>
    <w:p w:rsidR="00D849AA" w:rsidRDefault="00EE6D95">
      <w:pPr>
        <w:pStyle w:val="Normal6"/>
      </w:pPr>
      <w:r>
        <w:t xml:space="preserve">Zdravstvena zaštita obveznog zdravstvenog osiguranja  u 2014.godini planirana je u iznosu od 16.452.663.146 kn, a osigurava sredstva za provođenje svih oblika zdravstvene zaštite osiguranih osoba Zavoda sukladno zakonskim propisima. Sredstva za 2015.; 2016.godinu planirana su sukladno s Uputama . </w:t>
      </w:r>
    </w:p>
    <w:p w:rsidR="00D849AA" w:rsidRDefault="00EE6D95">
      <w:pPr>
        <w:pStyle w:val="Normal6"/>
      </w:pPr>
      <w:r>
        <w:t xml:space="preserve">Zdravstvena zaštita se provodi na primarnoj, sekundarnoj i tercijarnoj razini. Zakonom o obveznom zdravstvenom osiguranju definira se proces ugovaranja zdravstvene zaštite, iz kojeg proizlaze posebni propisi o ugovaranju zdravstvene zaštite. Primarnu zdravstvenu zaštitu provode domovi zdravlja, privatne prakse u koncesiji, ustanove zdravstvene skrbi, ustanove za zdrav. njegu i rehabilitaciiju i županijski zavodi za javno zdravstvo - oko 4.000 ugovornih subjekata. Lijekovi na recepte izdaju se u ljekarnama i ugovoreno je 185 ljekarničkih ustanova sa 829 ljekarničkih jedinica i 22 ljekarnička depoa, te 255 privatnih ljekarni. Bolnička zdravstvena zaštita ugovara se sa 265 bolnica, a broj postelja po djelatnostima utvrđen je Mrežom javne zdravstvene službe. Specijalističko-konzilijarna zdravstvena zaštita u bolnicama ugovara se s 3.725 ordinacija i dijagnostičkih jedinica, te 2.854 mjesta dnevnih bolnica. Ubuduće se očekujuje veći broj dnevnih zahvata i veći obrtaj pacijenata. Također se ugovaraju i posebni programi, kao što je zbrinjavanje djece ovisne o perenateralnoj prehrani, zatim unapređenje i očuvanje zdravlja pučanstva kroz javnozdravstvene djelatnosti, palijativna skrb, psihološko savjetovalište za roditelje djece s poteškoćama u razvoju, terapija povećanja verbalne komunikacije. Sa bolnicama se također ugovaraju postupci transplatacije s ciljem povećanja broja donora. Nadalje, plaćaju se posebno skupi lijekovi, a radi se o lijekovima za rijetke i teške bolesti te lijekovima za onkološke bolesti. </w:t>
      </w:r>
    </w:p>
    <w:p w:rsidR="00D849AA" w:rsidRDefault="00EE6D95">
      <w:pPr>
        <w:pStyle w:val="Normal6"/>
      </w:pPr>
      <w:r>
        <w:t>Zbog ograničenih sredstava i sve većih potreba, sve aktivnosti vezane uz zdravstvenu zaštitu objedinili smo u jednu, kako bi tijekom godine mogli lakše upravljati financijskim sredstvima, čime bi osigurali bolju likvidnost bez preraspodjela sredstava između aktivnosti tijekom godine.</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prosječni broj dana bolničkog liječenja</w:t>
            </w:r>
          </w:p>
        </w:tc>
        <w:tc>
          <w:tcPr>
            <w:tcW w:w="1114" w:type="dxa"/>
          </w:tcPr>
          <w:p w:rsidR="00D849AA" w:rsidRDefault="00EE6D95">
            <w:r>
              <w:t>broj dana</w:t>
            </w:r>
          </w:p>
        </w:tc>
        <w:tc>
          <w:tcPr>
            <w:tcW w:w="1114" w:type="dxa"/>
          </w:tcPr>
          <w:p w:rsidR="00D849AA" w:rsidRDefault="00EE6D95">
            <w:r>
              <w:t>7,50</w:t>
            </w:r>
          </w:p>
        </w:tc>
        <w:tc>
          <w:tcPr>
            <w:tcW w:w="1486" w:type="dxa"/>
          </w:tcPr>
          <w:p w:rsidR="00D849AA" w:rsidRDefault="00EE6D95">
            <w:r>
              <w:t>7,30</w:t>
            </w:r>
          </w:p>
        </w:tc>
        <w:tc>
          <w:tcPr>
            <w:tcW w:w="1486" w:type="dxa"/>
          </w:tcPr>
          <w:p w:rsidR="00D849AA" w:rsidRDefault="00EE6D95">
            <w:r>
              <w:t>7,26</w:t>
            </w:r>
          </w:p>
        </w:tc>
        <w:tc>
          <w:tcPr>
            <w:tcW w:w="1486" w:type="dxa"/>
          </w:tcPr>
          <w:p w:rsidR="00D849AA" w:rsidRDefault="00EE6D95">
            <w:r>
              <w:t>7,22</w:t>
            </w:r>
          </w:p>
        </w:tc>
      </w:tr>
      <w:tr w:rsidR="00D849AA">
        <w:trPr>
          <w:jc w:val="center"/>
        </w:trPr>
        <w:tc>
          <w:tcPr>
            <w:tcW w:w="2229" w:type="dxa"/>
          </w:tcPr>
          <w:p w:rsidR="00D849AA" w:rsidRDefault="00EE6D95">
            <w:pPr>
              <w:pStyle w:val="CellColumn"/>
            </w:pPr>
            <w:r>
              <w:t>broj mjesta u dnevnim bolnicama</w:t>
            </w:r>
          </w:p>
        </w:tc>
        <w:tc>
          <w:tcPr>
            <w:tcW w:w="1114" w:type="dxa"/>
          </w:tcPr>
          <w:p w:rsidR="00D849AA" w:rsidRDefault="00EE6D95">
            <w:r>
              <w:t>broj mjesta</w:t>
            </w:r>
          </w:p>
        </w:tc>
        <w:tc>
          <w:tcPr>
            <w:tcW w:w="1114" w:type="dxa"/>
          </w:tcPr>
          <w:p w:rsidR="00D849AA" w:rsidRDefault="00EE6D95">
            <w:r>
              <w:t>2854</w:t>
            </w:r>
          </w:p>
        </w:tc>
        <w:tc>
          <w:tcPr>
            <w:tcW w:w="1486" w:type="dxa"/>
          </w:tcPr>
          <w:p w:rsidR="00D849AA" w:rsidRDefault="00EE6D95">
            <w:r>
              <w:t>2872</w:t>
            </w:r>
          </w:p>
        </w:tc>
        <w:tc>
          <w:tcPr>
            <w:tcW w:w="1486" w:type="dxa"/>
          </w:tcPr>
          <w:p w:rsidR="00D849AA" w:rsidRDefault="00EE6D95">
            <w:r>
              <w:t>2885</w:t>
            </w:r>
          </w:p>
        </w:tc>
        <w:tc>
          <w:tcPr>
            <w:tcW w:w="1486" w:type="dxa"/>
          </w:tcPr>
          <w:p w:rsidR="00D849AA" w:rsidRDefault="00EE6D95">
            <w:r>
              <w:t>2890</w:t>
            </w:r>
          </w:p>
        </w:tc>
      </w:tr>
    </w:tbl>
    <w:p w:rsidR="00D849AA" w:rsidRDefault="00D849AA">
      <w:pPr>
        <w:jc w:val="left"/>
      </w:pPr>
    </w:p>
    <w:p w:rsidR="00D849AA" w:rsidRDefault="00EE6D95">
      <w:pPr>
        <w:pStyle w:val="Naslov1"/>
      </w:pPr>
      <w:r>
        <w:lastRenderedPageBreak/>
        <w:t>102 MINISTARSTVO SOCIJALNE POLITIKE I MLADIH</w:t>
      </w:r>
    </w:p>
    <w:p w:rsidR="00D849AA" w:rsidRDefault="00EE6D95">
      <w:pPr>
        <w:pStyle w:val="Naslov4"/>
      </w:pPr>
      <w:r>
        <w:t>Uvod</w:t>
      </w:r>
    </w:p>
    <w:p w:rsidR="00D849AA" w:rsidRDefault="00EE6D95">
      <w:pPr>
        <w:pStyle w:val="Normal3"/>
      </w:pPr>
      <w:r>
        <w:t>Ministarstvo obavlja upravne i stručne poslove savjetovanja koji se odnose na: brak i bračne odnose, te posebnu zaštitu obitelji u kojima su narušeni međusobni odnosi; zaštitu djece čiji roditelji žive odvojeno, zaštitu djece bez odgovarajuće roditeljske skrbi, poticanje odgovornog roditeljstva, uzdržavanja i skrbi o članovima obitelji; poticanje razvoja programa rada u zajednici, razvoja i afirmacije volonterstva i rada udruga građana koje su potpora roditeljima, obitelji, djeci, mladima, osobama s invaliditetom i starijim osobama, te svim socijalno osjetljivim skupinama stanovništva; poticanje i osnivanje savjetovališta za djecu, mlade, roditelje, osobe s invaliditetom, starije osobe i žrtve obiteljskog nasilja te obavljanje stručnog i inspekcijskog nadzora nad njihovim radom; proučavanje i istraživanje suvremenih problema obitelji, djece, mladih, osoba s invaliditetom i starijih osoba, te pružanje preventivno-terapijske pomoći; sudjeluje u pripremi programa i projekata te provedbi projekata iz programa Europske unije i ostalih oblika međunarodne pomoći iz njegove nadležnosti.</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10205 Ministarstvo socijalne politike i mladih</w:t>
            </w:r>
          </w:p>
        </w:tc>
        <w:tc>
          <w:tcPr>
            <w:tcW w:w="1486" w:type="dxa"/>
          </w:tcPr>
          <w:p w:rsidR="00D849AA" w:rsidRDefault="00EE6D95">
            <w:r>
              <w:t>3.300.044.335</w:t>
            </w:r>
          </w:p>
        </w:tc>
        <w:tc>
          <w:tcPr>
            <w:tcW w:w="1486" w:type="dxa"/>
          </w:tcPr>
          <w:p w:rsidR="00D849AA" w:rsidRDefault="00EE6D95">
            <w:r>
              <w:t>3.179.012.764</w:t>
            </w:r>
          </w:p>
        </w:tc>
        <w:tc>
          <w:tcPr>
            <w:tcW w:w="1486" w:type="dxa"/>
          </w:tcPr>
          <w:p w:rsidR="00D849AA" w:rsidRDefault="00EE6D95">
            <w:r>
              <w:t>3.173.532.971</w:t>
            </w:r>
          </w:p>
        </w:tc>
        <w:tc>
          <w:tcPr>
            <w:tcW w:w="1486" w:type="dxa"/>
          </w:tcPr>
          <w:p w:rsidR="00D849AA" w:rsidRDefault="00EE6D95">
            <w:r>
              <w:t>3.163.652.388</w:t>
            </w:r>
          </w:p>
        </w:tc>
        <w:tc>
          <w:tcPr>
            <w:tcW w:w="1486" w:type="dxa"/>
          </w:tcPr>
          <w:p w:rsidR="00D849AA" w:rsidRDefault="00EE6D95">
            <w:r>
              <w:t>96,3</w:t>
            </w:r>
          </w:p>
        </w:tc>
      </w:tr>
      <w:tr w:rsidR="00D849AA">
        <w:trPr>
          <w:jc w:val="center"/>
        </w:trPr>
        <w:tc>
          <w:tcPr>
            <w:tcW w:w="1486" w:type="dxa"/>
          </w:tcPr>
          <w:p w:rsidR="00D849AA" w:rsidRDefault="00EE6D95">
            <w:pPr>
              <w:pStyle w:val="CellColumn"/>
            </w:pPr>
            <w:r>
              <w:t>10208 Proračunski  korisnici u socijalnoj skrbi</w:t>
            </w:r>
          </w:p>
        </w:tc>
        <w:tc>
          <w:tcPr>
            <w:tcW w:w="1486" w:type="dxa"/>
          </w:tcPr>
          <w:p w:rsidR="00D849AA" w:rsidRDefault="00EE6D95">
            <w:r>
              <w:t>2.673.614.970</w:t>
            </w:r>
          </w:p>
        </w:tc>
        <w:tc>
          <w:tcPr>
            <w:tcW w:w="1486" w:type="dxa"/>
          </w:tcPr>
          <w:p w:rsidR="00D849AA" w:rsidRDefault="00EE6D95">
            <w:r>
              <w:t>3.019.347.743</w:t>
            </w:r>
          </w:p>
        </w:tc>
        <w:tc>
          <w:tcPr>
            <w:tcW w:w="1486" w:type="dxa"/>
          </w:tcPr>
          <w:p w:rsidR="00D849AA" w:rsidRDefault="00EE6D95">
            <w:r>
              <w:t>3.121.145.606</w:t>
            </w:r>
          </w:p>
        </w:tc>
        <w:tc>
          <w:tcPr>
            <w:tcW w:w="1486" w:type="dxa"/>
          </w:tcPr>
          <w:p w:rsidR="00D849AA" w:rsidRDefault="00EE6D95">
            <w:r>
              <w:t>3.120.877.057</w:t>
            </w:r>
          </w:p>
        </w:tc>
        <w:tc>
          <w:tcPr>
            <w:tcW w:w="1486" w:type="dxa"/>
          </w:tcPr>
          <w:p w:rsidR="00D849AA" w:rsidRDefault="00EE6D95">
            <w:r>
              <w:t>112,9</w:t>
            </w:r>
          </w:p>
        </w:tc>
      </w:tr>
      <w:tr w:rsidR="00D849AA">
        <w:trPr>
          <w:jc w:val="center"/>
        </w:trPr>
        <w:tc>
          <w:tcPr>
            <w:tcW w:w="1486" w:type="dxa"/>
          </w:tcPr>
          <w:p w:rsidR="00D849AA" w:rsidRDefault="00EE6D95">
            <w:pPr>
              <w:pStyle w:val="CellColumn"/>
            </w:pPr>
            <w:r>
              <w:t>10230 Obiteljski centri</w:t>
            </w:r>
          </w:p>
        </w:tc>
        <w:tc>
          <w:tcPr>
            <w:tcW w:w="1486" w:type="dxa"/>
          </w:tcPr>
          <w:p w:rsidR="00D849AA" w:rsidRDefault="00EE6D95">
            <w:r>
              <w:t>18.946.211</w:t>
            </w:r>
          </w:p>
        </w:tc>
        <w:tc>
          <w:tcPr>
            <w:tcW w:w="1486" w:type="dxa"/>
          </w:tcPr>
          <w:p w:rsidR="00D849AA" w:rsidRDefault="00EE6D95">
            <w:r>
              <w:t>00</w:t>
            </w:r>
          </w:p>
        </w:tc>
        <w:tc>
          <w:tcPr>
            <w:tcW w:w="1486" w:type="dxa"/>
          </w:tcPr>
          <w:p w:rsidR="00D849AA" w:rsidRDefault="00EE6D95">
            <w:r>
              <w:t>00</w:t>
            </w:r>
          </w:p>
        </w:tc>
        <w:tc>
          <w:tcPr>
            <w:tcW w:w="1486" w:type="dxa"/>
          </w:tcPr>
          <w:p w:rsidR="00D849AA" w:rsidRDefault="00EE6D95">
            <w:r>
              <w:t>00</w:t>
            </w:r>
          </w:p>
        </w:tc>
        <w:tc>
          <w:tcPr>
            <w:tcW w:w="1486" w:type="dxa"/>
          </w:tcPr>
          <w:p w:rsidR="00D849AA" w:rsidRDefault="00EE6D95">
            <w:r>
              <w:t>0,0</w:t>
            </w:r>
          </w:p>
        </w:tc>
      </w:tr>
      <w:tr w:rsidR="00D849AA">
        <w:trPr>
          <w:jc w:val="center"/>
        </w:trPr>
        <w:tc>
          <w:tcPr>
            <w:tcW w:w="1486" w:type="dxa"/>
            <w:shd w:val="clear" w:color="auto" w:fill="B5C0D8"/>
          </w:tcPr>
          <w:p w:rsidR="00D849AA" w:rsidRDefault="00EE6D95">
            <w:pPr>
              <w:pStyle w:val="CellColumn"/>
            </w:pPr>
            <w:r>
              <w:t>Ukupno 102</w:t>
            </w:r>
          </w:p>
        </w:tc>
        <w:tc>
          <w:tcPr>
            <w:tcW w:w="1486" w:type="dxa"/>
            <w:shd w:val="clear" w:color="auto" w:fill="B5C0D8"/>
          </w:tcPr>
          <w:p w:rsidR="00D849AA" w:rsidRDefault="00EE6D95">
            <w:r>
              <w:t>5.992.605.516</w:t>
            </w:r>
          </w:p>
        </w:tc>
        <w:tc>
          <w:tcPr>
            <w:tcW w:w="1486" w:type="dxa"/>
            <w:shd w:val="clear" w:color="auto" w:fill="B5C0D8"/>
          </w:tcPr>
          <w:p w:rsidR="00D849AA" w:rsidRDefault="00EE6D95">
            <w:r>
              <w:t>6.198.360.507</w:t>
            </w:r>
          </w:p>
        </w:tc>
        <w:tc>
          <w:tcPr>
            <w:tcW w:w="1486" w:type="dxa"/>
            <w:shd w:val="clear" w:color="auto" w:fill="B5C0D8"/>
          </w:tcPr>
          <w:p w:rsidR="00D849AA" w:rsidRDefault="00EE6D95">
            <w:r>
              <w:t>6.294.678.577</w:t>
            </w:r>
          </w:p>
        </w:tc>
        <w:tc>
          <w:tcPr>
            <w:tcW w:w="1486" w:type="dxa"/>
            <w:shd w:val="clear" w:color="auto" w:fill="B5C0D8"/>
          </w:tcPr>
          <w:p w:rsidR="00D849AA" w:rsidRDefault="00EE6D95">
            <w:r>
              <w:t>6.284.529.445</w:t>
            </w:r>
          </w:p>
        </w:tc>
        <w:tc>
          <w:tcPr>
            <w:tcW w:w="1486" w:type="dxa"/>
            <w:shd w:val="clear" w:color="auto" w:fill="B5C0D8"/>
          </w:tcPr>
          <w:p w:rsidR="00D849AA" w:rsidRDefault="00EE6D95">
            <w:r>
              <w:t>103,4</w:t>
            </w:r>
          </w:p>
        </w:tc>
      </w:tr>
    </w:tbl>
    <w:p w:rsidR="00D849AA" w:rsidRDefault="00D849AA">
      <w:pPr>
        <w:jc w:val="left"/>
      </w:pPr>
    </w:p>
    <w:p w:rsidR="00D849AA" w:rsidRDefault="00EE6D95">
      <w:pPr>
        <w:pStyle w:val="Naslov2"/>
      </w:pPr>
      <w:r>
        <w:t>10205 Ministarstvo socijalne politike i mladih</w:t>
      </w:r>
    </w:p>
    <w:p w:rsidR="00D849AA" w:rsidRDefault="00EE6D95">
      <w:pPr>
        <w:pStyle w:val="Naslov4"/>
      </w:pPr>
      <w:r>
        <w:t>Uvod</w:t>
      </w:r>
    </w:p>
    <w:p w:rsidR="00D849AA" w:rsidRDefault="00EE6D95">
      <w:pPr>
        <w:pStyle w:val="Normal3"/>
      </w:pPr>
      <w:r>
        <w:t xml:space="preserve">Ministarstvo obavlja upravne i druge poslove koji se odnose na: brigu o obitelji, provođenje mjera pronatalitetne populacijske politike, doplatka za djecu, poticanje osnivanja  savjetovališta i usklađivanje njihovih djelovanja, poticanje preventivnih djelovanja radi smanjivanja razvoda brakova i pobačaja, proučavanje i istraživanje suvremenih problema obitelji i mladeži, poduzimanje mjera za jačanje zdravih i skladnih obiteljskih odnosa, posebnu zaštitu obitelji u kojima su narušeni međusobni odnosi, posebice među bračnim partnerima, zaštitu djece čiji roditelji žive odvojeno, zaštitu djece o kojima se roditelji ne brinu, posvojenje, zaštitu djece i mlađih punoljetnika s poremećajima u ponašanju, te djece i odraslih osoba pod skrbništvom, </w:t>
      </w:r>
      <w:r>
        <w:lastRenderedPageBreak/>
        <w:t>prevenciju ovisnosti o drogama, kao i praćenje izvršenja obveza, te postupanje po preuzetim međunarodnim konvencijama o zaštiti interesa i prava djece organizira i sudjeluje u međunarodnim aktivnostima, promiče prava osoba s  invaliditetom, osigurava sredstva za financiranje nedržavnih domova i drugih pravnih i fizičkih osoba na temelju ugovora o međusobnim odnosima, provodi mjere za poboljšanje izvaninstitucionalnih oblika skrbi za osobe s invaliditetom, kao i podizanje kvalitete obiteljskog života osoba s invaliditetom.</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10205</w:t>
            </w:r>
          </w:p>
        </w:tc>
        <w:tc>
          <w:tcPr>
            <w:tcW w:w="1486" w:type="dxa"/>
          </w:tcPr>
          <w:p w:rsidR="00D849AA" w:rsidRDefault="00EE6D95">
            <w:r>
              <w:t>3.300.044.335</w:t>
            </w:r>
          </w:p>
        </w:tc>
        <w:tc>
          <w:tcPr>
            <w:tcW w:w="1486" w:type="dxa"/>
          </w:tcPr>
          <w:p w:rsidR="00D849AA" w:rsidRDefault="00EE6D95">
            <w:r>
              <w:t>3.179.012.764</w:t>
            </w:r>
          </w:p>
        </w:tc>
        <w:tc>
          <w:tcPr>
            <w:tcW w:w="1486" w:type="dxa"/>
          </w:tcPr>
          <w:p w:rsidR="00D849AA" w:rsidRDefault="00EE6D95">
            <w:r>
              <w:t>3.173.532.971</w:t>
            </w:r>
          </w:p>
        </w:tc>
        <w:tc>
          <w:tcPr>
            <w:tcW w:w="1486" w:type="dxa"/>
          </w:tcPr>
          <w:p w:rsidR="00D849AA" w:rsidRDefault="00EE6D95">
            <w:r>
              <w:t>3.163.652.388</w:t>
            </w:r>
          </w:p>
        </w:tc>
        <w:tc>
          <w:tcPr>
            <w:tcW w:w="1486" w:type="dxa"/>
          </w:tcPr>
          <w:p w:rsidR="00D849AA" w:rsidRDefault="00EE6D95">
            <w:r>
              <w:t>96,3</w:t>
            </w:r>
          </w:p>
        </w:tc>
      </w:tr>
    </w:tbl>
    <w:p w:rsidR="00D849AA" w:rsidRDefault="00D849AA">
      <w:pPr>
        <w:jc w:val="left"/>
      </w:pPr>
    </w:p>
    <w:p w:rsidR="00D849AA" w:rsidRDefault="00EE6D95">
      <w:pPr>
        <w:pStyle w:val="Naslov4"/>
      </w:pPr>
      <w:r>
        <w:t>OBRAZLOŽENJE PROGRAMA</w:t>
      </w:r>
    </w:p>
    <w:p w:rsidR="00D849AA" w:rsidRDefault="00EE6D95">
      <w:pPr>
        <w:pStyle w:val="Naslov5"/>
      </w:pPr>
      <w:r>
        <w:t>4002 SKRB ZA SOCIJALNO OSJETLJIVE SKUPINE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4002</w:t>
            </w:r>
          </w:p>
        </w:tc>
        <w:tc>
          <w:tcPr>
            <w:tcW w:w="1486" w:type="dxa"/>
          </w:tcPr>
          <w:p w:rsidR="00D849AA" w:rsidRDefault="00EE6D95">
            <w:r>
              <w:t>302.954.176</w:t>
            </w:r>
          </w:p>
        </w:tc>
        <w:tc>
          <w:tcPr>
            <w:tcW w:w="1486" w:type="dxa"/>
          </w:tcPr>
          <w:p w:rsidR="00D849AA" w:rsidRDefault="00EE6D95">
            <w:r>
              <w:t>304.204.301</w:t>
            </w:r>
          </w:p>
        </w:tc>
        <w:tc>
          <w:tcPr>
            <w:tcW w:w="1486" w:type="dxa"/>
          </w:tcPr>
          <w:p w:rsidR="00D849AA" w:rsidRDefault="00EE6D95">
            <w:r>
              <w:t>290.707.553</w:t>
            </w:r>
          </w:p>
        </w:tc>
        <w:tc>
          <w:tcPr>
            <w:tcW w:w="1486" w:type="dxa"/>
          </w:tcPr>
          <w:p w:rsidR="00D849AA" w:rsidRDefault="00EE6D95">
            <w:r>
              <w:t>292.261.956</w:t>
            </w:r>
          </w:p>
        </w:tc>
        <w:tc>
          <w:tcPr>
            <w:tcW w:w="1486" w:type="dxa"/>
          </w:tcPr>
          <w:p w:rsidR="00D849AA" w:rsidRDefault="00EE6D95">
            <w:r>
              <w:t>100,4</w:t>
            </w:r>
          </w:p>
        </w:tc>
      </w:tr>
    </w:tbl>
    <w:p w:rsidR="00D849AA" w:rsidRDefault="00D849AA">
      <w:pPr>
        <w:jc w:val="left"/>
      </w:pPr>
    </w:p>
    <w:p w:rsidR="00D849AA" w:rsidRDefault="00EE6D95">
      <w:pPr>
        <w:pStyle w:val="Naslov6"/>
      </w:pPr>
      <w:r>
        <w:t>Opis programa</w:t>
      </w:r>
    </w:p>
    <w:p w:rsidR="00D849AA" w:rsidRDefault="00EE6D95">
      <w:pPr>
        <w:pStyle w:val="Normal5"/>
      </w:pPr>
      <w:r>
        <w:t>Cilj  programa je djelovati na stvaranje djelotvornijeg sustava socijalne skrbi usmjerenog prema socijalno najugroženijim građanima, odnosno socijalno osjetljivim skupinama te na suzbijanju siromaštva, socijalne ugroženosti i isključenosti te osiguranje odgovarajuće i dostatne skrbi za djecu i mlade punoljetne osobe bez odgovarajuće roditeljske skrbi, djecu i mladež s poremećajima u ponašanju,  psihički bolesne odrasle osobe,  djecu i odrasle osobe s tjelesnim ili mentalnim oštećenjem, te za starije i nemoćne osobe kao i poticanje sudjelovanja volontera u sustavu socijalne skrbi.</w:t>
      </w:r>
    </w:p>
    <w:p w:rsidR="00D849AA" w:rsidRDefault="00EE6D95">
      <w:pPr>
        <w:pStyle w:val="Naslov6"/>
      </w:pPr>
      <w:r>
        <w:t>Zakonske i druge pravne osnove</w:t>
      </w:r>
    </w:p>
    <w:p w:rsidR="00D849AA" w:rsidRDefault="00EE6D95">
      <w:pPr>
        <w:pStyle w:val="Normal5"/>
      </w:pPr>
      <w:r>
        <w:t>Zakon o volonterstvu, Etički kodeks volontera, Pravilnik o Državnoj nagradi za volontiranje, Pravilnik o sadržaju izvješća o obavljenim uslugama i aktivnostima organizatora volontiranja, Nacionalna strategija stvaranja poticajnog okruženja za razvoj civilnoga društva, Rješenje o imenovanju članova Nacionalnog odbora za razvoj volonterstva, Nacionalni plan za borbu protiv diskriminacije, Smjernice Vijeća Europske unije, preporuke Europske Komisije i UN Volunteers, Zakon o socijalnoj skrbi , Odluka o utvrđivanju mreže domova socijalne skrbi i djelatnosti socijalne skrbi, Pravilnik o vrsti i djelatnosti doma socijalne skrbi, načinu pružanja skrbi izvan vlastite obitelji, uvjetima prostora, opreme i radnika doma socijalne skrbi, terapijske zajednice, vjerske zajednice, udruge i drugih pravnih osoba, te centra za pomoć i njegu u kući, Pravilnik o načinu pružanja usluga obiteljskog doma te uvjetima glede prostora, opreme, stručnih i drugih radnika.</w:t>
      </w:r>
    </w:p>
    <w:p w:rsidR="00D849AA" w:rsidRDefault="00EE6D95">
      <w:pPr>
        <w:pStyle w:val="Naslov6"/>
      </w:pPr>
      <w:r>
        <w:lastRenderedPageBreak/>
        <w:t>Ciljevi provedbe programa u razdoblju 2014.-2016. i pokazatelji uspješnosti kojima će se mjeriti ostvarenje tih ciljeva</w:t>
      </w:r>
    </w:p>
    <w:p w:rsidR="00D849AA" w:rsidRDefault="00EE6D95">
      <w:pPr>
        <w:pStyle w:val="Naslov7"/>
      </w:pPr>
      <w:r>
        <w:t>Cilj 1. Razvoj volonterstva te sustava mjerenja i vrednovanja volonterskog doprinosa</w:t>
      </w:r>
    </w:p>
    <w:p w:rsidR="00D849AA" w:rsidRDefault="00EE6D95">
      <w:pPr>
        <w:pStyle w:val="Normal6"/>
      </w:pPr>
      <w:r>
        <w:t>Ministarstvo je i jedan od provoditelja Nacionalne strategije stvaranja poticajnog okruženja za razvoj civilnog društva, te je zaduženo za stvaranje i poticanje stvaranja modela samopomoći, volonterstva i solidarnosti, prikupljanje podataka o volonterskim aktivnostima, izradu i provođenje programa volontiranja u institucijama.Volontiranje je aktivnost od posebnog interesa za Republiku Hrvatsku koja dovodi do poboljšanja kvalitete života, aktivnog uključivanja osoba u društvena zbivanja te do razvoja humanijeg i ravnopravnijeg demokratskog društva.</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rsidP="00A30DDD">
            <w:pPr>
              <w:pStyle w:val="CellColumn"/>
              <w:jc w:val="left"/>
            </w:pPr>
            <w:r>
              <w:t>Broj i struktura volontera</w:t>
            </w:r>
          </w:p>
        </w:tc>
        <w:tc>
          <w:tcPr>
            <w:tcW w:w="1114" w:type="dxa"/>
          </w:tcPr>
          <w:p w:rsidR="00D849AA" w:rsidRDefault="00EE6D95">
            <w:r>
              <w:t>broj volontera</w:t>
            </w:r>
          </w:p>
        </w:tc>
        <w:tc>
          <w:tcPr>
            <w:tcW w:w="1114" w:type="dxa"/>
          </w:tcPr>
          <w:p w:rsidR="00D849AA" w:rsidRDefault="00EE6D95">
            <w:r>
              <w:t>15.999</w:t>
            </w:r>
          </w:p>
        </w:tc>
        <w:tc>
          <w:tcPr>
            <w:tcW w:w="1486" w:type="dxa"/>
          </w:tcPr>
          <w:p w:rsidR="00D849AA" w:rsidRDefault="00EE6D95">
            <w:r>
              <w:t>19.000</w:t>
            </w:r>
          </w:p>
        </w:tc>
        <w:tc>
          <w:tcPr>
            <w:tcW w:w="1486" w:type="dxa"/>
          </w:tcPr>
          <w:p w:rsidR="00D849AA" w:rsidRDefault="00EE6D95">
            <w:r>
              <w:t>19.500</w:t>
            </w:r>
          </w:p>
        </w:tc>
        <w:tc>
          <w:tcPr>
            <w:tcW w:w="1486" w:type="dxa"/>
          </w:tcPr>
          <w:p w:rsidR="00D849AA" w:rsidRDefault="00EE6D95">
            <w:r>
              <w:t>20.000</w:t>
            </w:r>
          </w:p>
        </w:tc>
      </w:tr>
    </w:tbl>
    <w:p w:rsidR="00D849AA" w:rsidRDefault="00D849AA">
      <w:pPr>
        <w:jc w:val="left"/>
      </w:pPr>
    </w:p>
    <w:p w:rsidR="00D849AA" w:rsidRDefault="00EE6D95">
      <w:pPr>
        <w:pStyle w:val="Naslov5"/>
      </w:pPr>
      <w:r>
        <w:t>Procjena i ishodište potrebnih sredstava za značajnije aktivnosti/projekte</w:t>
      </w:r>
    </w:p>
    <w:p w:rsidR="00D849AA" w:rsidRDefault="00EE6D95">
      <w:pPr>
        <w:pStyle w:val="Naslov6"/>
      </w:pPr>
      <w:r>
        <w:t>A734189 UDRUGE U SOCIJALNOJ SKRBI</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A734189</w:t>
            </w:r>
          </w:p>
        </w:tc>
        <w:tc>
          <w:tcPr>
            <w:tcW w:w="1486" w:type="dxa"/>
          </w:tcPr>
          <w:p w:rsidR="00D849AA" w:rsidRDefault="00EE6D95">
            <w:r>
              <w:t>37.731.227</w:t>
            </w:r>
          </w:p>
        </w:tc>
        <w:tc>
          <w:tcPr>
            <w:tcW w:w="1486" w:type="dxa"/>
          </w:tcPr>
          <w:p w:rsidR="00D849AA" w:rsidRDefault="00EE6D95">
            <w:r>
              <w:t>46.535.013</w:t>
            </w:r>
          </w:p>
        </w:tc>
        <w:tc>
          <w:tcPr>
            <w:tcW w:w="1486" w:type="dxa"/>
          </w:tcPr>
          <w:p w:rsidR="00D849AA" w:rsidRDefault="00EE6D95">
            <w:r>
              <w:t>48.031.735</w:t>
            </w:r>
          </w:p>
        </w:tc>
        <w:tc>
          <w:tcPr>
            <w:tcW w:w="1486" w:type="dxa"/>
          </w:tcPr>
          <w:p w:rsidR="00D849AA" w:rsidRDefault="00EE6D95">
            <w:r>
              <w:t>49.494.041</w:t>
            </w:r>
          </w:p>
        </w:tc>
        <w:tc>
          <w:tcPr>
            <w:tcW w:w="1486" w:type="dxa"/>
          </w:tcPr>
          <w:p w:rsidR="00D849AA" w:rsidRDefault="00EE6D95">
            <w:r>
              <w:t>123,3</w:t>
            </w:r>
          </w:p>
        </w:tc>
      </w:tr>
    </w:tbl>
    <w:p w:rsidR="00D849AA" w:rsidRDefault="00D849AA">
      <w:pPr>
        <w:jc w:val="left"/>
      </w:pPr>
    </w:p>
    <w:p w:rsidR="00D849AA" w:rsidRDefault="00EE6D95">
      <w:pPr>
        <w:pStyle w:val="Normal6"/>
      </w:pPr>
      <w:r>
        <w:t>Razvijanjem  mreže  socijalnih  usluga  u  Hrvatskoj  unaprjeđivati  će okvir za programsku i financijsku potporu razvoja  socijalnih  usluga  koje  pružaju  organizacije  civilnog  društva  prvenstveno putem  javnog  natječaja  za  udruge  pod  nazivom  „Razvoj  i  širenje  mreže  socijalnih usluga koje pružaju organizacije civilnog društva“.  Na taj način udruge će aktivno sudjelovati u procesu izgradnje i jačanja socijalne infrastrukture u lokalnoj zajednici kao i prevenciji socijalne isključenosti socijalno osjetljivih skupina te potpori  procesu  deinstitucionalizacije sustava  socijalne  skrbi. Jedan dio aktivnosti  bit će  usmjeren na poboljšanje kvalitete pruženih usluga te daljnji razvoj kapaciteta udruga uključujući i zapošljavanje i osposobljavanje profesionalaca radi ravnopravnijeg sudjelovanja alternativnih pružatelja usluga u sustavu socijalne skrbi  kao i za korištenje financijskih sredstava iz europskih fondova.</w:t>
      </w:r>
    </w:p>
    <w:p w:rsidR="00562CD8" w:rsidRDefault="00562CD8">
      <w:pPr>
        <w:pStyle w:val="Normal6"/>
      </w:pPr>
    </w:p>
    <w:p w:rsidR="00562CD8" w:rsidRDefault="00562CD8">
      <w:pPr>
        <w:pStyle w:val="Normal6"/>
      </w:pPr>
    </w:p>
    <w:p w:rsidR="00562CD8" w:rsidRDefault="00562CD8">
      <w:pPr>
        <w:pStyle w:val="Normal6"/>
      </w:pPr>
    </w:p>
    <w:p w:rsidR="00562CD8" w:rsidRDefault="00562CD8">
      <w:pPr>
        <w:pStyle w:val="Normal6"/>
      </w:pPr>
    </w:p>
    <w:p w:rsidR="00562CD8" w:rsidRDefault="00562CD8">
      <w:pPr>
        <w:pStyle w:val="Normal6"/>
      </w:pPr>
    </w:p>
    <w:p w:rsidR="00562CD8" w:rsidRDefault="00562CD8">
      <w:pPr>
        <w:pStyle w:val="Normal6"/>
      </w:pPr>
    </w:p>
    <w:p w:rsidR="00D849AA" w:rsidRDefault="00EE6D95">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Broj i vrsta  socijalnih usluga koje pružaju udruge</w:t>
            </w:r>
          </w:p>
        </w:tc>
        <w:tc>
          <w:tcPr>
            <w:tcW w:w="1114" w:type="dxa"/>
          </w:tcPr>
          <w:p w:rsidR="00D849AA" w:rsidRDefault="00EE6D95">
            <w:r>
              <w:t>broj</w:t>
            </w:r>
          </w:p>
        </w:tc>
        <w:tc>
          <w:tcPr>
            <w:tcW w:w="1114" w:type="dxa"/>
          </w:tcPr>
          <w:p w:rsidR="00D849AA" w:rsidRDefault="00EE6D95">
            <w:r>
              <w:t>31</w:t>
            </w:r>
          </w:p>
        </w:tc>
        <w:tc>
          <w:tcPr>
            <w:tcW w:w="1486" w:type="dxa"/>
          </w:tcPr>
          <w:p w:rsidR="00D849AA" w:rsidRDefault="00EE6D95">
            <w:r>
              <w:t>20</w:t>
            </w:r>
          </w:p>
        </w:tc>
        <w:tc>
          <w:tcPr>
            <w:tcW w:w="1486" w:type="dxa"/>
          </w:tcPr>
          <w:p w:rsidR="00D849AA" w:rsidRDefault="00EE6D95">
            <w:r>
              <w:t>20</w:t>
            </w:r>
          </w:p>
        </w:tc>
        <w:tc>
          <w:tcPr>
            <w:tcW w:w="1486" w:type="dxa"/>
          </w:tcPr>
          <w:p w:rsidR="00D849AA" w:rsidRDefault="00EE6D95">
            <w:r>
              <w:t>20</w:t>
            </w:r>
          </w:p>
        </w:tc>
      </w:tr>
      <w:tr w:rsidR="00D849AA">
        <w:trPr>
          <w:jc w:val="center"/>
        </w:trPr>
        <w:tc>
          <w:tcPr>
            <w:tcW w:w="2229" w:type="dxa"/>
          </w:tcPr>
          <w:p w:rsidR="00D849AA" w:rsidRDefault="00EE6D95" w:rsidP="00A30DDD">
            <w:pPr>
              <w:pStyle w:val="CellColumn"/>
              <w:jc w:val="left"/>
            </w:pPr>
            <w:r>
              <w:t>Broj financiranih udruga u području socijalne skrbi</w:t>
            </w:r>
          </w:p>
        </w:tc>
        <w:tc>
          <w:tcPr>
            <w:tcW w:w="1114" w:type="dxa"/>
          </w:tcPr>
          <w:p w:rsidR="00D849AA" w:rsidRDefault="00EE6D95">
            <w:r>
              <w:t>broj</w:t>
            </w:r>
          </w:p>
        </w:tc>
        <w:tc>
          <w:tcPr>
            <w:tcW w:w="1114" w:type="dxa"/>
          </w:tcPr>
          <w:p w:rsidR="00D849AA" w:rsidRDefault="00EE6D95">
            <w:r>
              <w:t>118</w:t>
            </w:r>
          </w:p>
        </w:tc>
        <w:tc>
          <w:tcPr>
            <w:tcW w:w="1486" w:type="dxa"/>
          </w:tcPr>
          <w:p w:rsidR="00D849AA" w:rsidRDefault="00EE6D95">
            <w:r>
              <w:t>118</w:t>
            </w:r>
          </w:p>
        </w:tc>
        <w:tc>
          <w:tcPr>
            <w:tcW w:w="1486" w:type="dxa"/>
          </w:tcPr>
          <w:p w:rsidR="00D849AA" w:rsidRDefault="00EE6D95">
            <w:r>
              <w:t>118</w:t>
            </w:r>
          </w:p>
        </w:tc>
        <w:tc>
          <w:tcPr>
            <w:tcW w:w="1486" w:type="dxa"/>
          </w:tcPr>
          <w:p w:rsidR="00D849AA" w:rsidRDefault="00EE6D95">
            <w:r>
              <w:t>118</w:t>
            </w:r>
          </w:p>
        </w:tc>
      </w:tr>
    </w:tbl>
    <w:p w:rsidR="00D849AA" w:rsidRDefault="00D849AA">
      <w:pPr>
        <w:jc w:val="left"/>
      </w:pPr>
    </w:p>
    <w:p w:rsidR="00D849AA" w:rsidRDefault="00EE6D95">
      <w:pPr>
        <w:pStyle w:val="Naslov6"/>
      </w:pPr>
      <w:r>
        <w:t>A734191 SKRB ZA DJECU, MLADEŽ I ODRASLE OSOBE - DRUGI OSNIVAČI</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A734191</w:t>
            </w:r>
          </w:p>
        </w:tc>
        <w:tc>
          <w:tcPr>
            <w:tcW w:w="1486" w:type="dxa"/>
          </w:tcPr>
          <w:p w:rsidR="00D849AA" w:rsidRDefault="00EE6D95">
            <w:r>
              <w:t>216.781.664</w:t>
            </w:r>
          </w:p>
        </w:tc>
        <w:tc>
          <w:tcPr>
            <w:tcW w:w="1486" w:type="dxa"/>
          </w:tcPr>
          <w:p w:rsidR="00D849AA" w:rsidRDefault="00EE6D95">
            <w:r>
              <w:t>240.682.236</w:t>
            </w:r>
          </w:p>
        </w:tc>
        <w:tc>
          <w:tcPr>
            <w:tcW w:w="1486" w:type="dxa"/>
          </w:tcPr>
          <w:p w:rsidR="00D849AA" w:rsidRDefault="00EE6D95">
            <w:r>
              <w:t>240.568.153</w:t>
            </w:r>
          </w:p>
        </w:tc>
        <w:tc>
          <w:tcPr>
            <w:tcW w:w="1486" w:type="dxa"/>
          </w:tcPr>
          <w:p w:rsidR="00D849AA" w:rsidRDefault="00EE6D95">
            <w:r>
              <w:t>240.623.736</w:t>
            </w:r>
          </w:p>
        </w:tc>
        <w:tc>
          <w:tcPr>
            <w:tcW w:w="1486" w:type="dxa"/>
          </w:tcPr>
          <w:p w:rsidR="00D849AA" w:rsidRDefault="00EE6D95">
            <w:r>
              <w:t>111,0</w:t>
            </w:r>
          </w:p>
        </w:tc>
      </w:tr>
    </w:tbl>
    <w:p w:rsidR="00D849AA" w:rsidRDefault="00D849AA">
      <w:pPr>
        <w:jc w:val="left"/>
      </w:pPr>
    </w:p>
    <w:p w:rsidR="00D849AA" w:rsidRDefault="00EE6D95">
      <w:pPr>
        <w:pStyle w:val="Normal6"/>
      </w:pPr>
      <w:r>
        <w:t>Financiranje socijalnih usluga koje proizlaze iz ugovora o međusobnim odnosima za pružanje socijalnih usluga, sklopljenim sa ustanovama čiji osnivač nije Republika Hrvatska, te drugim  pravnim i fizičkim osobama omogućava se pružanje institucionalnih i/ili izvaninstitucionalnih  usluga djeci bez odgovarajuće roditeljske skrbi, djeci s poremećajima u ponašanju, osobama s tjelesnim i/intelektualnim oštećenjem, osobama s mentalnim oštećenjem, starijim i nemoćnim osobama, žrtvama obiteljskog nasilja, te žrtvama trgovanja ljudima, u svrhu sprečavanja, prepoznavanja i rješavanja problema i poteškoća pojedinaca, obitelji, skupina i zajednica, te poboljšanja kvalitete njihovog života u zajednici.</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Broj razvijenih oblika skrbi koji pridonose uključivanju korisničkih skupina u život zajednice</w:t>
            </w:r>
          </w:p>
        </w:tc>
        <w:tc>
          <w:tcPr>
            <w:tcW w:w="1114" w:type="dxa"/>
          </w:tcPr>
          <w:p w:rsidR="00D849AA" w:rsidRDefault="00EE6D95">
            <w:r>
              <w:t>broj</w:t>
            </w:r>
          </w:p>
        </w:tc>
        <w:tc>
          <w:tcPr>
            <w:tcW w:w="1114" w:type="dxa"/>
          </w:tcPr>
          <w:p w:rsidR="00D849AA" w:rsidRDefault="00EE6D95">
            <w:r>
              <w:t>3</w:t>
            </w:r>
          </w:p>
        </w:tc>
        <w:tc>
          <w:tcPr>
            <w:tcW w:w="1486" w:type="dxa"/>
          </w:tcPr>
          <w:p w:rsidR="00D849AA" w:rsidRDefault="00EE6D95">
            <w:r>
              <w:t>4</w:t>
            </w:r>
          </w:p>
        </w:tc>
        <w:tc>
          <w:tcPr>
            <w:tcW w:w="1486" w:type="dxa"/>
          </w:tcPr>
          <w:p w:rsidR="00D849AA" w:rsidRDefault="00EE6D95">
            <w:r>
              <w:t>5</w:t>
            </w:r>
          </w:p>
        </w:tc>
        <w:tc>
          <w:tcPr>
            <w:tcW w:w="1486" w:type="dxa"/>
          </w:tcPr>
          <w:p w:rsidR="00D849AA" w:rsidRDefault="00EE6D95">
            <w:r>
              <w:t>5</w:t>
            </w:r>
          </w:p>
        </w:tc>
      </w:tr>
    </w:tbl>
    <w:p w:rsidR="00D849AA" w:rsidRDefault="00D849AA">
      <w:pPr>
        <w:jc w:val="left"/>
      </w:pPr>
    </w:p>
    <w:p w:rsidR="00D849AA" w:rsidRDefault="00EE6D95">
      <w:pPr>
        <w:pStyle w:val="Naslov6"/>
      </w:pPr>
      <w:r>
        <w:t>A754006 RAZVOJ VOLONTERSTVA U REPUBLICI HRVATSKOJ</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A754006</w:t>
            </w:r>
          </w:p>
        </w:tc>
        <w:tc>
          <w:tcPr>
            <w:tcW w:w="1486" w:type="dxa"/>
          </w:tcPr>
          <w:p w:rsidR="00D849AA" w:rsidRDefault="00EE6D95">
            <w:r>
              <w:t>1.938.063</w:t>
            </w:r>
          </w:p>
        </w:tc>
        <w:tc>
          <w:tcPr>
            <w:tcW w:w="1486" w:type="dxa"/>
          </w:tcPr>
          <w:p w:rsidR="00D849AA" w:rsidRDefault="00EE6D95">
            <w:r>
              <w:t>2.028.792</w:t>
            </w:r>
          </w:p>
        </w:tc>
        <w:tc>
          <w:tcPr>
            <w:tcW w:w="1486" w:type="dxa"/>
          </w:tcPr>
          <w:p w:rsidR="00D849AA" w:rsidRDefault="00EE6D95">
            <w:r>
              <w:t>2.066.165</w:t>
            </w:r>
          </w:p>
        </w:tc>
        <w:tc>
          <w:tcPr>
            <w:tcW w:w="1486" w:type="dxa"/>
          </w:tcPr>
          <w:p w:rsidR="00D849AA" w:rsidRDefault="00EE6D95">
            <w:r>
              <w:t>2.102.679</w:t>
            </w:r>
          </w:p>
        </w:tc>
        <w:tc>
          <w:tcPr>
            <w:tcW w:w="1486" w:type="dxa"/>
          </w:tcPr>
          <w:p w:rsidR="00D849AA" w:rsidRDefault="00EE6D95">
            <w:r>
              <w:t>104,7</w:t>
            </w:r>
          </w:p>
        </w:tc>
      </w:tr>
    </w:tbl>
    <w:p w:rsidR="00D849AA" w:rsidRDefault="00D849AA">
      <w:pPr>
        <w:jc w:val="left"/>
      </w:pPr>
    </w:p>
    <w:p w:rsidR="00D849AA" w:rsidRDefault="00EE6D95">
      <w:pPr>
        <w:pStyle w:val="Normal6"/>
      </w:pPr>
      <w:r>
        <w:lastRenderedPageBreak/>
        <w:t>Razvoj   volonterstva dovest će do  poboljšanja  kvalitete   života   raznih kategorija korisnika i samih volontera, aktivnog uključivanja u društvena zbivanja te razvoja humanijeg i ravnopravnijeg demokratskog društva. Volonterski rad smanjit će proračunska sredstva u    raznim  uslugama  i    aktivnostima,    pridonijeti uključenju marginaliziranih  i  socijalno  isključenih  skupina,  potaknuti  usvajanje novih znanja i vještina te povećati kompetencije i zapošljavanje, posebice mladih. Većom afirmacijom  volontiranja  mobilizirat će se također  kreativni potencijal skupina  u  predlaganju  inovativnih  rješenja i boljeg iskorištavanja resursa zajednice.</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rsidP="00A30DDD">
            <w:pPr>
              <w:pStyle w:val="CellColumn"/>
              <w:jc w:val="left"/>
            </w:pPr>
            <w:r>
              <w:t>Redovitost održavanja sjednica savjetodavnog tijela Vlade RH te predlaganje i provedba zaključaka i mjera za razvoj volonterstva</w:t>
            </w:r>
          </w:p>
        </w:tc>
        <w:tc>
          <w:tcPr>
            <w:tcW w:w="1114" w:type="dxa"/>
          </w:tcPr>
          <w:p w:rsidR="00D849AA" w:rsidRDefault="00EE6D95">
            <w:r>
              <w:t>broj sjednica</w:t>
            </w:r>
          </w:p>
        </w:tc>
        <w:tc>
          <w:tcPr>
            <w:tcW w:w="1114" w:type="dxa"/>
          </w:tcPr>
          <w:p w:rsidR="00D849AA" w:rsidRDefault="00EE6D95">
            <w:r>
              <w:t>6</w:t>
            </w:r>
          </w:p>
        </w:tc>
        <w:tc>
          <w:tcPr>
            <w:tcW w:w="1486" w:type="dxa"/>
          </w:tcPr>
          <w:p w:rsidR="00D849AA" w:rsidRDefault="00EE6D95">
            <w:r>
              <w:t>6</w:t>
            </w:r>
          </w:p>
        </w:tc>
        <w:tc>
          <w:tcPr>
            <w:tcW w:w="1486" w:type="dxa"/>
          </w:tcPr>
          <w:p w:rsidR="00D849AA" w:rsidRDefault="00EE6D95">
            <w:r>
              <w:t>6</w:t>
            </w:r>
          </w:p>
        </w:tc>
        <w:tc>
          <w:tcPr>
            <w:tcW w:w="1486" w:type="dxa"/>
          </w:tcPr>
          <w:p w:rsidR="00D849AA" w:rsidRDefault="00EE6D95">
            <w:r>
              <w:t>6</w:t>
            </w:r>
          </w:p>
        </w:tc>
      </w:tr>
      <w:tr w:rsidR="00D849AA">
        <w:trPr>
          <w:jc w:val="center"/>
        </w:trPr>
        <w:tc>
          <w:tcPr>
            <w:tcW w:w="2229" w:type="dxa"/>
          </w:tcPr>
          <w:p w:rsidR="00D849AA" w:rsidRDefault="00EE6D95">
            <w:pPr>
              <w:pStyle w:val="CellColumn"/>
            </w:pPr>
            <w:r>
              <w:t>Broj volonterskih centara</w:t>
            </w:r>
          </w:p>
        </w:tc>
        <w:tc>
          <w:tcPr>
            <w:tcW w:w="1114" w:type="dxa"/>
          </w:tcPr>
          <w:p w:rsidR="00D849AA" w:rsidRDefault="00EE6D95">
            <w:r>
              <w:t>broj</w:t>
            </w:r>
          </w:p>
        </w:tc>
        <w:tc>
          <w:tcPr>
            <w:tcW w:w="1114" w:type="dxa"/>
          </w:tcPr>
          <w:p w:rsidR="00D849AA" w:rsidRDefault="00EE6D95">
            <w:r>
              <w:t>8</w:t>
            </w:r>
          </w:p>
        </w:tc>
        <w:tc>
          <w:tcPr>
            <w:tcW w:w="1486" w:type="dxa"/>
          </w:tcPr>
          <w:p w:rsidR="00D849AA" w:rsidRDefault="00EE6D95">
            <w:r>
              <w:t>12</w:t>
            </w:r>
          </w:p>
        </w:tc>
        <w:tc>
          <w:tcPr>
            <w:tcW w:w="1486" w:type="dxa"/>
          </w:tcPr>
          <w:p w:rsidR="00D849AA" w:rsidRDefault="00EE6D95">
            <w:r>
              <w:t>14</w:t>
            </w:r>
          </w:p>
        </w:tc>
        <w:tc>
          <w:tcPr>
            <w:tcW w:w="1486" w:type="dxa"/>
          </w:tcPr>
          <w:p w:rsidR="00D849AA" w:rsidRDefault="00EE6D95">
            <w:r>
              <w:t>15</w:t>
            </w:r>
          </w:p>
        </w:tc>
      </w:tr>
      <w:tr w:rsidR="00D849AA">
        <w:trPr>
          <w:jc w:val="center"/>
        </w:trPr>
        <w:tc>
          <w:tcPr>
            <w:tcW w:w="2229" w:type="dxa"/>
          </w:tcPr>
          <w:p w:rsidR="00D849AA" w:rsidRDefault="00EE6D95">
            <w:pPr>
              <w:pStyle w:val="CellColumn"/>
            </w:pPr>
            <w:r>
              <w:t>Kontinuitet dodjele Državne nagrade za volontiranje i javna prezentacija profila dobitnika nagrade</w:t>
            </w:r>
          </w:p>
        </w:tc>
        <w:tc>
          <w:tcPr>
            <w:tcW w:w="1114" w:type="dxa"/>
          </w:tcPr>
          <w:p w:rsidR="00D849AA" w:rsidRDefault="00EE6D95">
            <w:r>
              <w:t>broj</w:t>
            </w:r>
          </w:p>
        </w:tc>
        <w:tc>
          <w:tcPr>
            <w:tcW w:w="1114" w:type="dxa"/>
          </w:tcPr>
          <w:p w:rsidR="00D849AA" w:rsidRDefault="00EE6D95">
            <w:r>
              <w:t>2</w:t>
            </w:r>
          </w:p>
        </w:tc>
        <w:tc>
          <w:tcPr>
            <w:tcW w:w="1486" w:type="dxa"/>
          </w:tcPr>
          <w:p w:rsidR="00D849AA" w:rsidRDefault="00EE6D95">
            <w:r>
              <w:t>2</w:t>
            </w:r>
          </w:p>
        </w:tc>
        <w:tc>
          <w:tcPr>
            <w:tcW w:w="1486" w:type="dxa"/>
          </w:tcPr>
          <w:p w:rsidR="00D849AA" w:rsidRDefault="00EE6D95">
            <w:r>
              <w:t>2</w:t>
            </w:r>
          </w:p>
        </w:tc>
        <w:tc>
          <w:tcPr>
            <w:tcW w:w="1486" w:type="dxa"/>
          </w:tcPr>
          <w:p w:rsidR="00D849AA" w:rsidRDefault="00EE6D95">
            <w:r>
              <w:t>2</w:t>
            </w:r>
          </w:p>
        </w:tc>
      </w:tr>
      <w:tr w:rsidR="00D849AA">
        <w:trPr>
          <w:jc w:val="center"/>
        </w:trPr>
        <w:tc>
          <w:tcPr>
            <w:tcW w:w="2229" w:type="dxa"/>
          </w:tcPr>
          <w:p w:rsidR="00D849AA" w:rsidRDefault="00EE6D95" w:rsidP="00A30DDD">
            <w:pPr>
              <w:pStyle w:val="CellColumn"/>
              <w:jc w:val="left"/>
            </w:pPr>
            <w:r>
              <w:t>Broj i vrsta organizatora volontiranja</w:t>
            </w:r>
          </w:p>
        </w:tc>
        <w:tc>
          <w:tcPr>
            <w:tcW w:w="1114" w:type="dxa"/>
          </w:tcPr>
          <w:p w:rsidR="00D849AA" w:rsidRDefault="00EE6D95">
            <w:r>
              <w:t>broj</w:t>
            </w:r>
          </w:p>
        </w:tc>
        <w:tc>
          <w:tcPr>
            <w:tcW w:w="1114" w:type="dxa"/>
          </w:tcPr>
          <w:p w:rsidR="00D849AA" w:rsidRDefault="00EE6D95">
            <w:r>
              <w:t>344</w:t>
            </w:r>
          </w:p>
        </w:tc>
        <w:tc>
          <w:tcPr>
            <w:tcW w:w="1486" w:type="dxa"/>
          </w:tcPr>
          <w:p w:rsidR="00D849AA" w:rsidRDefault="00EE6D95">
            <w:r>
              <w:t>400</w:t>
            </w:r>
          </w:p>
        </w:tc>
        <w:tc>
          <w:tcPr>
            <w:tcW w:w="1486" w:type="dxa"/>
          </w:tcPr>
          <w:p w:rsidR="00D849AA" w:rsidRDefault="00EE6D95">
            <w:r>
              <w:t>450</w:t>
            </w:r>
          </w:p>
        </w:tc>
        <w:tc>
          <w:tcPr>
            <w:tcW w:w="1486" w:type="dxa"/>
          </w:tcPr>
          <w:p w:rsidR="00D849AA" w:rsidRDefault="00EE6D95">
            <w:r>
              <w:t>500</w:t>
            </w:r>
          </w:p>
        </w:tc>
      </w:tr>
      <w:tr w:rsidR="00D849AA">
        <w:trPr>
          <w:jc w:val="center"/>
        </w:trPr>
        <w:tc>
          <w:tcPr>
            <w:tcW w:w="2229" w:type="dxa"/>
          </w:tcPr>
          <w:p w:rsidR="00D849AA" w:rsidRDefault="00EE6D95">
            <w:pPr>
              <w:pStyle w:val="CellColumn"/>
            </w:pPr>
            <w:r>
              <w:t>Broj sati volontiranja</w:t>
            </w:r>
          </w:p>
        </w:tc>
        <w:tc>
          <w:tcPr>
            <w:tcW w:w="1114" w:type="dxa"/>
          </w:tcPr>
          <w:p w:rsidR="00D849AA" w:rsidRDefault="00EE6D95">
            <w:r>
              <w:t>broj sati</w:t>
            </w:r>
          </w:p>
        </w:tc>
        <w:tc>
          <w:tcPr>
            <w:tcW w:w="1114" w:type="dxa"/>
          </w:tcPr>
          <w:p w:rsidR="00D849AA" w:rsidRDefault="00EE6D95">
            <w:r>
              <w:t>1.048.659</w:t>
            </w:r>
          </w:p>
        </w:tc>
        <w:tc>
          <w:tcPr>
            <w:tcW w:w="1486" w:type="dxa"/>
          </w:tcPr>
          <w:p w:rsidR="00D849AA" w:rsidRDefault="00EE6D95">
            <w:r>
              <w:t>1.200.000</w:t>
            </w:r>
          </w:p>
        </w:tc>
        <w:tc>
          <w:tcPr>
            <w:tcW w:w="1486" w:type="dxa"/>
          </w:tcPr>
          <w:p w:rsidR="00D849AA" w:rsidRDefault="00EE6D95">
            <w:r>
              <w:t>1.400.000</w:t>
            </w:r>
          </w:p>
        </w:tc>
        <w:tc>
          <w:tcPr>
            <w:tcW w:w="1486" w:type="dxa"/>
          </w:tcPr>
          <w:p w:rsidR="00D849AA" w:rsidRDefault="00EE6D95">
            <w:r>
              <w:t>1.600.000</w:t>
            </w:r>
          </w:p>
        </w:tc>
      </w:tr>
    </w:tbl>
    <w:p w:rsidR="00D849AA" w:rsidRDefault="00D849AA">
      <w:pPr>
        <w:jc w:val="left"/>
      </w:pPr>
    </w:p>
    <w:p w:rsidR="00562CD8" w:rsidRDefault="00562CD8" w:rsidP="00562CD8">
      <w:pPr>
        <w:pStyle w:val="Naslov4"/>
      </w:pPr>
      <w:r>
        <w:t>OBRAZLOŽENJE PROGRAMA</w:t>
      </w:r>
    </w:p>
    <w:p w:rsidR="00D849AA" w:rsidRDefault="00EE6D95">
      <w:pPr>
        <w:pStyle w:val="Naslov5"/>
      </w:pPr>
      <w:r>
        <w:t>4003 PODIZANJE KVALITETE I DOSTUPNOSTI SOCIJALNE SKRBI</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4003</w:t>
            </w:r>
          </w:p>
        </w:tc>
        <w:tc>
          <w:tcPr>
            <w:tcW w:w="1486" w:type="dxa"/>
          </w:tcPr>
          <w:p w:rsidR="00D849AA" w:rsidRDefault="00EE6D95">
            <w:r>
              <w:t>52.471.983</w:t>
            </w:r>
          </w:p>
        </w:tc>
        <w:tc>
          <w:tcPr>
            <w:tcW w:w="1486" w:type="dxa"/>
          </w:tcPr>
          <w:p w:rsidR="00D849AA" w:rsidRDefault="00EE6D95">
            <w:r>
              <w:t>128.175.545</w:t>
            </w:r>
          </w:p>
        </w:tc>
        <w:tc>
          <w:tcPr>
            <w:tcW w:w="1486" w:type="dxa"/>
          </w:tcPr>
          <w:p w:rsidR="00D849AA" w:rsidRDefault="00EE6D95">
            <w:r>
              <w:t>114.912.780</w:t>
            </w:r>
          </w:p>
        </w:tc>
        <w:tc>
          <w:tcPr>
            <w:tcW w:w="1486" w:type="dxa"/>
          </w:tcPr>
          <w:p w:rsidR="00D849AA" w:rsidRDefault="00EE6D95">
            <w:r>
              <w:t>82.828.850</w:t>
            </w:r>
          </w:p>
        </w:tc>
        <w:tc>
          <w:tcPr>
            <w:tcW w:w="1486" w:type="dxa"/>
          </w:tcPr>
          <w:p w:rsidR="00D849AA" w:rsidRDefault="00EE6D95">
            <w:r>
              <w:t>244,3</w:t>
            </w:r>
          </w:p>
        </w:tc>
      </w:tr>
    </w:tbl>
    <w:p w:rsidR="00D849AA" w:rsidRDefault="00D849AA">
      <w:pPr>
        <w:jc w:val="left"/>
      </w:pPr>
    </w:p>
    <w:p w:rsidR="00D849AA" w:rsidRDefault="00EE6D95">
      <w:pPr>
        <w:pStyle w:val="Naslov6"/>
      </w:pPr>
      <w:r>
        <w:t>Opis programa</w:t>
      </w:r>
    </w:p>
    <w:p w:rsidR="00D849AA" w:rsidRDefault="00EE6D95">
      <w:pPr>
        <w:pStyle w:val="Normal5"/>
      </w:pPr>
      <w:r>
        <w:t>Cilj  programa je provedba aktivnosti razvoja ljudskih potencijala te poboljšanje suradnje djelatnika u ustanovama socijalne skrbi s krajnjim korisnicima usluga socijalne skrbi.</w:t>
      </w:r>
    </w:p>
    <w:p w:rsidR="00D849AA" w:rsidRDefault="00EE6D95">
      <w:pPr>
        <w:pStyle w:val="Naslov6"/>
      </w:pPr>
      <w:r>
        <w:lastRenderedPageBreak/>
        <w:t>Zakonske i druge pravne osnove</w:t>
      </w:r>
    </w:p>
    <w:p w:rsidR="00D849AA" w:rsidRDefault="00EE6D95">
      <w:pPr>
        <w:pStyle w:val="Normal5"/>
      </w:pPr>
      <w:r>
        <w:t xml:space="preserve">Zaključak Vlade RH o sudjelovanjima RH u Programima unije, od 26. srpnja 2012. </w:t>
      </w:r>
    </w:p>
    <w:p w:rsidR="00D849AA" w:rsidRDefault="00EE6D95">
      <w:pPr>
        <w:pStyle w:val="Normal5"/>
      </w:pPr>
      <w:r>
        <w:t>Zakon o socijalnoj skrbi</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Cilj 1. Osigurani uvjeti za korištenje fondova Europske unije</w:t>
      </w:r>
    </w:p>
    <w:p w:rsidR="00D849AA" w:rsidRDefault="00EE6D95">
      <w:pPr>
        <w:pStyle w:val="Normal6"/>
      </w:pPr>
      <w:r>
        <w:t>Ministarstvo obavlja stručne poslove vezane uz ispunjenje preuzetih obveza Republike Hrvatske kao članice Europske unije, Vijeća Europe i Ujedinjenih naroda te poslove vezane uz druge međunarodne i regionalne organizacije/inicijative, u području socijalne politike i socijalnog uključivanja. U tom okviru i izvješćuje navedena tijela o aktivnostima iz svoje nadležnosti. Provodi aktivnosti vezane uz programe Unije sukladno nadležnosti utvrđenoj posebnim propisima i aktima s ciljem bolje informiranosti potencijalnih korisnika o mogućnostima korištenja sredstava iz  Programa Unije i doprinosa njihovoj provedbi, kao i aktivnosti bilateralne i multilateralne suradnje te unaprjeđuje odnose s međunarodnim i regionalnim organizacijama/institucijama i institucijama iz djelokruga socijalne politike i socijalnog uključivanja organizacijom i sudjelovanjem na međunarodnim i regionalnim događanjima.</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rsidP="00A30DDD">
            <w:pPr>
              <w:pStyle w:val="CellColumn"/>
              <w:jc w:val="left"/>
            </w:pPr>
            <w:r>
              <w:t>Definirani prioriteti i mjere jačanja socijalne skrbi i socijalnog uključivanja unutar Operativnog programa</w:t>
            </w:r>
          </w:p>
        </w:tc>
        <w:tc>
          <w:tcPr>
            <w:tcW w:w="1114" w:type="dxa"/>
          </w:tcPr>
          <w:p w:rsidR="00D849AA" w:rsidRDefault="00EE6D95">
            <w:r>
              <w:t>broj prioriteta i mjera</w:t>
            </w:r>
          </w:p>
        </w:tc>
        <w:tc>
          <w:tcPr>
            <w:tcW w:w="1114" w:type="dxa"/>
          </w:tcPr>
          <w:p w:rsidR="00D849AA" w:rsidRDefault="00EE6D95">
            <w:r>
              <w:t>3</w:t>
            </w:r>
          </w:p>
        </w:tc>
        <w:tc>
          <w:tcPr>
            <w:tcW w:w="1486" w:type="dxa"/>
          </w:tcPr>
          <w:p w:rsidR="00D849AA" w:rsidRDefault="00EE6D95">
            <w:r>
              <w:t>5</w:t>
            </w:r>
          </w:p>
        </w:tc>
        <w:tc>
          <w:tcPr>
            <w:tcW w:w="1486" w:type="dxa"/>
          </w:tcPr>
          <w:p w:rsidR="00D849AA" w:rsidRDefault="00EE6D95">
            <w:r>
              <w:t>5</w:t>
            </w:r>
          </w:p>
        </w:tc>
        <w:tc>
          <w:tcPr>
            <w:tcW w:w="1486" w:type="dxa"/>
          </w:tcPr>
          <w:p w:rsidR="00D849AA" w:rsidRDefault="00EE6D95">
            <w:r>
              <w:t>5</w:t>
            </w:r>
          </w:p>
        </w:tc>
      </w:tr>
    </w:tbl>
    <w:p w:rsidR="00D849AA" w:rsidRDefault="00D849AA">
      <w:pPr>
        <w:jc w:val="left"/>
      </w:pPr>
    </w:p>
    <w:p w:rsidR="00D849AA" w:rsidRDefault="00EE6D95">
      <w:pPr>
        <w:pStyle w:val="Naslov5"/>
      </w:pPr>
      <w:r>
        <w:t>Procjena i ishodište potrebnih sredstava za značajnije aktivnosti/projekte</w:t>
      </w:r>
    </w:p>
    <w:p w:rsidR="00D849AA" w:rsidRDefault="00EE6D95">
      <w:pPr>
        <w:pStyle w:val="Naslov6"/>
      </w:pPr>
      <w:r>
        <w:t>K792011 OP RAZVOJ LJUDSKIH POTENCIJALA – PRIORITETI 2 I 4</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K792011</w:t>
            </w:r>
          </w:p>
        </w:tc>
        <w:tc>
          <w:tcPr>
            <w:tcW w:w="1486" w:type="dxa"/>
          </w:tcPr>
          <w:p w:rsidR="00D849AA" w:rsidRDefault="00EE6D95">
            <w:r>
              <w:t>00</w:t>
            </w:r>
          </w:p>
        </w:tc>
        <w:tc>
          <w:tcPr>
            <w:tcW w:w="1486" w:type="dxa"/>
          </w:tcPr>
          <w:p w:rsidR="00D849AA" w:rsidRDefault="00EE6D95">
            <w:r>
              <w:t>63.688.494</w:t>
            </w:r>
          </w:p>
        </w:tc>
        <w:tc>
          <w:tcPr>
            <w:tcW w:w="1486" w:type="dxa"/>
          </w:tcPr>
          <w:p w:rsidR="00D849AA" w:rsidRDefault="00EE6D95">
            <w:r>
              <w:t>57.932.605</w:t>
            </w:r>
          </w:p>
        </w:tc>
        <w:tc>
          <w:tcPr>
            <w:tcW w:w="1486" w:type="dxa"/>
          </w:tcPr>
          <w:p w:rsidR="00D849AA" w:rsidRDefault="00EE6D95">
            <w:r>
              <w:t>28.140.045</w:t>
            </w:r>
          </w:p>
        </w:tc>
        <w:tc>
          <w:tcPr>
            <w:tcW w:w="1486" w:type="dxa"/>
          </w:tcPr>
          <w:p w:rsidR="00D849AA" w:rsidRDefault="00EE6D95">
            <w:r>
              <w:t>0,0</w:t>
            </w:r>
          </w:p>
        </w:tc>
      </w:tr>
    </w:tbl>
    <w:p w:rsidR="00D849AA" w:rsidRDefault="00D849AA">
      <w:pPr>
        <w:jc w:val="left"/>
      </w:pPr>
    </w:p>
    <w:p w:rsidR="00D849AA" w:rsidRDefault="00EE6D95">
      <w:pPr>
        <w:pStyle w:val="Normal6"/>
      </w:pPr>
      <w:r>
        <w:t xml:space="preserve">Ministarstvo sudjeluje u izradi višegodišnjih programskih dokumenata kroz proces koordinacije s relevantnim dionicima u području socijalne skrbi i socijalnog uključivanja u cilju  definiranja  prioritetnih područja za financiranje usklađenih sa Nacionalnim strateškim referentnim okvirom i Partnerskim sporazumom.  U tu svrhu priprema bazu prihvatljivih projekata za financiranje kako bi se osiguralo dovoljan broj kvalitetnih projekata koji udovoljavaju ciljevima programskih dokumenata, kao i selekcijskim kriterijima temeljem kojih će biti odobreni za financiranje.  U cilju informiranja javnosti, potencijalnih prijavitelja i nositelja projekata, provodi  javne partnerske konzultacije, pruža pravodobne i relevantne informacije o planiranim i objavljenim natječajima, te </w:t>
      </w:r>
      <w:r>
        <w:lastRenderedPageBreak/>
        <w:t>provodi izobrazbu relevantnih dionika koji sudjeluju u procesu pripreme i upravljanja projektima.</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rsidP="00A30DDD">
            <w:pPr>
              <w:pStyle w:val="CellColumn"/>
              <w:jc w:val="left"/>
            </w:pPr>
            <w:r>
              <w:t>Broj programskih dokumenata</w:t>
            </w:r>
          </w:p>
        </w:tc>
        <w:tc>
          <w:tcPr>
            <w:tcW w:w="1114" w:type="dxa"/>
          </w:tcPr>
          <w:p w:rsidR="00D849AA" w:rsidRDefault="00EE6D95">
            <w:r>
              <w:t>broj</w:t>
            </w:r>
          </w:p>
        </w:tc>
        <w:tc>
          <w:tcPr>
            <w:tcW w:w="1114" w:type="dxa"/>
          </w:tcPr>
          <w:p w:rsidR="00D849AA" w:rsidRDefault="00EE6D95">
            <w:r>
              <w:t>3</w:t>
            </w:r>
          </w:p>
        </w:tc>
        <w:tc>
          <w:tcPr>
            <w:tcW w:w="1486" w:type="dxa"/>
          </w:tcPr>
          <w:p w:rsidR="00D849AA" w:rsidRDefault="00EE6D95">
            <w:r>
              <w:t>5</w:t>
            </w:r>
          </w:p>
        </w:tc>
        <w:tc>
          <w:tcPr>
            <w:tcW w:w="1486" w:type="dxa"/>
          </w:tcPr>
          <w:p w:rsidR="00D849AA" w:rsidRDefault="00EE6D95">
            <w:r>
              <w:t>6</w:t>
            </w:r>
          </w:p>
        </w:tc>
        <w:tc>
          <w:tcPr>
            <w:tcW w:w="1486" w:type="dxa"/>
          </w:tcPr>
          <w:p w:rsidR="00D849AA" w:rsidRDefault="00EE6D95">
            <w:r>
              <w:t>6</w:t>
            </w:r>
          </w:p>
        </w:tc>
      </w:tr>
      <w:tr w:rsidR="00D849AA">
        <w:trPr>
          <w:jc w:val="center"/>
        </w:trPr>
        <w:tc>
          <w:tcPr>
            <w:tcW w:w="2229" w:type="dxa"/>
          </w:tcPr>
          <w:p w:rsidR="00D849AA" w:rsidRDefault="00EE6D95" w:rsidP="00A30DDD">
            <w:pPr>
              <w:pStyle w:val="CellColumn"/>
              <w:jc w:val="left"/>
            </w:pPr>
            <w:r>
              <w:t>Broj izrađenih baza projekata prema tematskim područjima</w:t>
            </w:r>
          </w:p>
        </w:tc>
        <w:tc>
          <w:tcPr>
            <w:tcW w:w="1114" w:type="dxa"/>
          </w:tcPr>
          <w:p w:rsidR="00D849AA" w:rsidRDefault="00EE6D95">
            <w:r>
              <w:t>broj</w:t>
            </w:r>
          </w:p>
        </w:tc>
        <w:tc>
          <w:tcPr>
            <w:tcW w:w="1114" w:type="dxa"/>
          </w:tcPr>
          <w:p w:rsidR="00D849AA" w:rsidRDefault="00EE6D95">
            <w:r>
              <w:t>3</w:t>
            </w:r>
          </w:p>
        </w:tc>
        <w:tc>
          <w:tcPr>
            <w:tcW w:w="1486" w:type="dxa"/>
          </w:tcPr>
          <w:p w:rsidR="00D849AA" w:rsidRDefault="00EE6D95">
            <w:r>
              <w:t>6</w:t>
            </w:r>
          </w:p>
        </w:tc>
        <w:tc>
          <w:tcPr>
            <w:tcW w:w="1486" w:type="dxa"/>
          </w:tcPr>
          <w:p w:rsidR="00D849AA" w:rsidRDefault="00EE6D95">
            <w:r>
              <w:t>6</w:t>
            </w:r>
          </w:p>
        </w:tc>
        <w:tc>
          <w:tcPr>
            <w:tcW w:w="1486" w:type="dxa"/>
          </w:tcPr>
          <w:p w:rsidR="00D849AA" w:rsidRDefault="00EE6D95">
            <w:r>
              <w:t>6</w:t>
            </w:r>
          </w:p>
        </w:tc>
      </w:tr>
      <w:tr w:rsidR="00D849AA">
        <w:trPr>
          <w:jc w:val="center"/>
        </w:trPr>
        <w:tc>
          <w:tcPr>
            <w:tcW w:w="2229" w:type="dxa"/>
          </w:tcPr>
          <w:p w:rsidR="00D849AA" w:rsidRDefault="00EE6D95" w:rsidP="00A30DDD">
            <w:pPr>
              <w:pStyle w:val="CellColumn"/>
              <w:jc w:val="left"/>
            </w:pPr>
            <w:r>
              <w:t>Broj informativnih aktivnosti</w:t>
            </w:r>
          </w:p>
        </w:tc>
        <w:tc>
          <w:tcPr>
            <w:tcW w:w="1114" w:type="dxa"/>
          </w:tcPr>
          <w:p w:rsidR="00D849AA" w:rsidRDefault="00EE6D95">
            <w:r>
              <w:t>broj</w:t>
            </w:r>
          </w:p>
        </w:tc>
        <w:tc>
          <w:tcPr>
            <w:tcW w:w="1114" w:type="dxa"/>
          </w:tcPr>
          <w:p w:rsidR="00D849AA" w:rsidRDefault="00EE6D95">
            <w:r>
              <w:t>100</w:t>
            </w:r>
          </w:p>
        </w:tc>
        <w:tc>
          <w:tcPr>
            <w:tcW w:w="1486" w:type="dxa"/>
          </w:tcPr>
          <w:p w:rsidR="00D849AA" w:rsidRDefault="00EE6D95">
            <w:r>
              <w:t>115</w:t>
            </w:r>
          </w:p>
        </w:tc>
        <w:tc>
          <w:tcPr>
            <w:tcW w:w="1486" w:type="dxa"/>
          </w:tcPr>
          <w:p w:rsidR="00D849AA" w:rsidRDefault="00EE6D95">
            <w:r>
              <w:t>130</w:t>
            </w:r>
          </w:p>
        </w:tc>
        <w:tc>
          <w:tcPr>
            <w:tcW w:w="1486" w:type="dxa"/>
          </w:tcPr>
          <w:p w:rsidR="00D849AA" w:rsidRDefault="00EE6D95">
            <w:r>
              <w:t>145</w:t>
            </w:r>
          </w:p>
        </w:tc>
      </w:tr>
    </w:tbl>
    <w:p w:rsidR="00D849AA" w:rsidRDefault="00D849AA">
      <w:pPr>
        <w:jc w:val="left"/>
      </w:pPr>
    </w:p>
    <w:p w:rsidR="00D849AA" w:rsidRDefault="00EE6D95">
      <w:pPr>
        <w:pStyle w:val="Naslov6"/>
      </w:pPr>
      <w:r>
        <w:t>T788012 PI JAČANJE INSTITUCIONALNIH KAPACITETA U SUSTAVU SOCIJALNE SKRBI U CILJU POBOLJŠANJA CILJANJA SOCIJALNIH NAKNADA I SMANJENJA SIROMAŠTVA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T788012</w:t>
            </w:r>
          </w:p>
        </w:tc>
        <w:tc>
          <w:tcPr>
            <w:tcW w:w="1486" w:type="dxa"/>
          </w:tcPr>
          <w:p w:rsidR="00D849AA" w:rsidRDefault="00EE6D95">
            <w:r>
              <w:t>00</w:t>
            </w:r>
          </w:p>
        </w:tc>
        <w:tc>
          <w:tcPr>
            <w:tcW w:w="1486" w:type="dxa"/>
          </w:tcPr>
          <w:p w:rsidR="00D849AA" w:rsidRDefault="00EE6D95">
            <w:r>
              <w:t>7.800.000</w:t>
            </w:r>
          </w:p>
        </w:tc>
        <w:tc>
          <w:tcPr>
            <w:tcW w:w="1486" w:type="dxa"/>
          </w:tcPr>
          <w:p w:rsidR="00D849AA" w:rsidRDefault="00EE6D95">
            <w:r>
              <w:t>1.950.000</w:t>
            </w:r>
          </w:p>
        </w:tc>
        <w:tc>
          <w:tcPr>
            <w:tcW w:w="1486" w:type="dxa"/>
          </w:tcPr>
          <w:p w:rsidR="00D849AA" w:rsidRDefault="00EE6D95">
            <w:r>
              <w:t>00</w:t>
            </w:r>
          </w:p>
        </w:tc>
        <w:tc>
          <w:tcPr>
            <w:tcW w:w="1486" w:type="dxa"/>
          </w:tcPr>
          <w:p w:rsidR="00D849AA" w:rsidRDefault="00EE6D95">
            <w:r>
              <w:t>0,0</w:t>
            </w:r>
          </w:p>
        </w:tc>
      </w:tr>
    </w:tbl>
    <w:p w:rsidR="00D849AA" w:rsidRDefault="00D849AA">
      <w:pPr>
        <w:jc w:val="left"/>
      </w:pPr>
    </w:p>
    <w:p w:rsidR="00D849AA" w:rsidRDefault="00EE6D95">
      <w:pPr>
        <w:pStyle w:val="Normal6"/>
      </w:pPr>
      <w:r>
        <w:t>Radi zaštite interesa djece i obitelji Ministarstvo će sudjelovanjem u procesima donošenja odluka, provedbom ugovora i konvencija te uspostavljanjem međuresorne i međunarodne suradnje s nadležnim tijelima stvoriti okvir za ispunjavanje preuzetih obveza i u suradnji s nadležnim tijelima i ustanovama u koordinaciji sustava socijalne sigurnosti olakšati slobode kretanja u skladu s europskom pravnom stečevinom i nacionalnim propisima, sukladno svom djelokrugu i nadležnosti. Članstvo u Europskoj uniji dovodi do povećanja broja zahtjeva s međunarodnim elementom, na razini Europske unije i međunarodnih te europskih organizacija donose se novi međunarodni instrumenti radi zaštite ranjivih skupina. Osiguranjem spremnosti na sudjelovanje u međunarodnoj pravnoj zaštiti ranjivih skupina te u tom smislu  će se prioritetno osnažiti administrativne kapacitete, osigurati organizacijske i tehničke uvjete i stvoriti pravne pretpostavke kojima se omogućavai pravovremeno i učinkovito postupanje radi zaštite interesa djece i obitelji. Ujedno, time će omogućiti i uvjeti za daljnje sudjelovanje u širem sustavu koordinacije socijalne sigurnosti te osigurati doprinos Republike Hrvatske u procesu izrade međunarodnih i EU instrumenata.</w:t>
      </w:r>
    </w:p>
    <w:p w:rsidR="00562CD8" w:rsidRDefault="00562CD8">
      <w:pPr>
        <w:pStyle w:val="Normal6"/>
      </w:pPr>
    </w:p>
    <w:p w:rsidR="00562CD8" w:rsidRDefault="00562CD8">
      <w:pPr>
        <w:pStyle w:val="Normal6"/>
      </w:pPr>
    </w:p>
    <w:p w:rsidR="00562CD8" w:rsidRDefault="00562CD8" w:rsidP="00562CD8">
      <w:pPr>
        <w:pStyle w:val="Naslov4"/>
      </w:pPr>
      <w:r>
        <w:lastRenderedPageBreak/>
        <w:t>OBRAZLOŽENJE PROGRAMA</w:t>
      </w:r>
    </w:p>
    <w:p w:rsidR="00D849AA" w:rsidRDefault="00EE6D95">
      <w:pPr>
        <w:pStyle w:val="Naslov5"/>
      </w:pPr>
      <w:r>
        <w:t>4005 SOCIJALNO OSNAŽIVANJE OBITELJI, MLADIH I DJECE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4005</w:t>
            </w:r>
          </w:p>
        </w:tc>
        <w:tc>
          <w:tcPr>
            <w:tcW w:w="1486" w:type="dxa"/>
          </w:tcPr>
          <w:p w:rsidR="00D849AA" w:rsidRDefault="00EE6D95">
            <w:r>
              <w:t>2.880.218.399</w:t>
            </w:r>
          </w:p>
        </w:tc>
        <w:tc>
          <w:tcPr>
            <w:tcW w:w="1486" w:type="dxa"/>
          </w:tcPr>
          <w:p w:rsidR="00D849AA" w:rsidRDefault="00EE6D95">
            <w:r>
              <w:t>2.678.903.277</w:t>
            </w:r>
          </w:p>
        </w:tc>
        <w:tc>
          <w:tcPr>
            <w:tcW w:w="1486" w:type="dxa"/>
          </w:tcPr>
          <w:p w:rsidR="00D849AA" w:rsidRDefault="00EE6D95">
            <w:r>
              <w:t>2.699.266.321</w:t>
            </w:r>
          </w:p>
        </w:tc>
        <w:tc>
          <w:tcPr>
            <w:tcW w:w="1486" w:type="dxa"/>
          </w:tcPr>
          <w:p w:rsidR="00D849AA" w:rsidRDefault="00EE6D95">
            <w:r>
              <w:t>2.719.019.667</w:t>
            </w:r>
          </w:p>
        </w:tc>
        <w:tc>
          <w:tcPr>
            <w:tcW w:w="1486" w:type="dxa"/>
          </w:tcPr>
          <w:p w:rsidR="00D849AA" w:rsidRDefault="00EE6D95">
            <w:r>
              <w:t>93,0</w:t>
            </w:r>
          </w:p>
        </w:tc>
      </w:tr>
    </w:tbl>
    <w:p w:rsidR="00D849AA" w:rsidRDefault="00D849AA">
      <w:pPr>
        <w:jc w:val="left"/>
      </w:pPr>
    </w:p>
    <w:p w:rsidR="00D849AA" w:rsidRDefault="00EE6D95">
      <w:pPr>
        <w:pStyle w:val="Naslov6"/>
      </w:pPr>
      <w:r>
        <w:t>Opis programa</w:t>
      </w:r>
    </w:p>
    <w:p w:rsidR="00D849AA" w:rsidRDefault="00EE6D95">
      <w:pPr>
        <w:pStyle w:val="Normal5"/>
      </w:pPr>
      <w:r>
        <w:t>Promicanjem obiteljskih vrijednosti, brige za djecu, mlade osigurati će se postizanje ravnopravnosti u svim područjima suvremenog društva, radi osnaživanja djece i obitelji, te pružanja usluga i potpora u skladu sa potrebama zajednice razvijat će se i suradnja sa tijelima državne uprave i organizacijama civilnog društva usmjerenih zaštiti, poštivanju i promicanju prava djece i mladih, te pružanje podrške obitelji u svrhu unapređenja kvalitete obiteljskog života, promicanje prava i poboljšanje uvjeta života djece i mladih.</w:t>
      </w:r>
    </w:p>
    <w:p w:rsidR="00D849AA" w:rsidRDefault="00EE6D95">
      <w:pPr>
        <w:pStyle w:val="Naslov6"/>
      </w:pPr>
      <w:r>
        <w:t>Zakonske i druge pravne osnove</w:t>
      </w:r>
    </w:p>
    <w:p w:rsidR="00D849AA" w:rsidRDefault="00EE6D95">
      <w:pPr>
        <w:pStyle w:val="Normal5"/>
      </w:pPr>
      <w:r>
        <w:t>Nacionalni program za mlade od 2014. do 2017. godine, Zakon o mladima, Zakon o savjetima mladih, Obiteljski zakon Zakon o Zakladi „Hrvatska za djecu“, Zakon o nagradi za promicanje prava djeteta, Zakon o udomiteljstvu, Zakon o rodiljnim i roditeljskim potporama, Zakon o doplatku za djecu, Zakon o dadiljama , Zakonu o socijalnoj skrbi, Nacionalni strateški dokument za promicanje i zaštitu prava djece od 2013. do 2020. godine Nacionalna obiteljska politika od 2013. do 2020. godine, Nacionalna strategija suzbijanja zlouporabe droga od za razdoblje od 2012. do 2017. godine, Zaključak Vlade RH o sudjelovanjima RH u Programima unije, Zakon o Agenciji za mobilnost i programe Europske unije, Zaključak Vlade Republike Hrvatske o nadležnostima tijela državne uprave za radne skupine Vijeća Europske unije, Zakon o provedbi Uredbe Vijeća (EZ) br. 4/2009 u području nadležnosti, mjerodavnog prava, priznanja i izvršenja odluka te suradnji u stvarima koje se odnose na obveze uzdržavanja, Zakon o provedbi Uredbe Vijeća (EZ) br. 2201/2003 u području nadležnosti, priznanja i izvršenja sudskih odluka u bračnim sporovima i u stvarima povezanim s roditeljskom skrbi, Zakon o provedbi uredbi Europske unije o koordinaciji sustava socijalne sigurnosti, Zakona o potvrđivanju Konvencije o zaštiti djece i suradnji u vezi s međudržavnim posvojenjem, Zakon o potvrđivanju Konvencije o nadležnosti, mjerodavnom pravu, priznanju, ovrsi i suradnji u odnosu na roditeljsku odgovornost i o mjerama za zaštitu djece, Odluka o objavljivanju mnogostranih međunarodnih ugovora kojih je Republika Hrvatska stranka na temelju notifikacija o sukcesiji (Narodne novine 4/1994) – Konvencija o građansko-pravnim aspektima međunarodno otmice djece, Konvencija o ostvarivanju alimentacijskih zahtjeva u inozemstvu, Konvencija o kontaktima s djecom, Uredba Vijeća (EZ) br. 4/2009 u području nadležnosti, mjerodavnog prava, priznanja i izvršenja odluka te suradnji u stvarima koje se odnose na obveze uzdržavanja, Uredba Vijeća (EZ) br. 2201/2003 u području nadležnosti, priznanja i izvršenja sudskih odluka u bračnim sporovima i u stvarima povezanim s roditeljskom odgovornošću, Uredba (EZ) br.883/2004 Europskog parlamenta i Vijeća o koordinaciji sustava socijalne sigurnosti, Uredba (EZ) br. 987/2009 Europskog parlamenta i Vijeća o utvrđivanju postupka provedbe Uredbe (EZ) br. 883/2004 o koordinaciji sustava socijalne sigurnosti, Uredba (EZ) br. 1231/2010 Europskog parlamenta i Vijeća o proširenju primjene Uredbe (EZ) (883/2004 i Uredbe 8EZ) br. 987/2009 na državljane trećih zemalja koji tim uredbama još nisu obuhvaćeni isključivo na temelju svog državljanstva</w:t>
      </w:r>
    </w:p>
    <w:p w:rsidR="00D849AA" w:rsidRDefault="00EE6D95">
      <w:pPr>
        <w:pStyle w:val="Naslov6"/>
      </w:pPr>
      <w:r>
        <w:lastRenderedPageBreak/>
        <w:t>Ciljevi provedbe programa u razdoblju 2014.-2016. i pokazatelji uspješnosti kojima će se mjeriti ostvarenje tih ciljeva</w:t>
      </w:r>
    </w:p>
    <w:p w:rsidR="00D849AA" w:rsidRDefault="00EE6D95">
      <w:pPr>
        <w:pStyle w:val="Naslov7"/>
      </w:pPr>
      <w:r>
        <w:t>Cilj 1. Jačanje kapaciteta dionika za aktivno sudjelovanje mladih u društvu</w:t>
      </w:r>
    </w:p>
    <w:p w:rsidR="00D849AA" w:rsidRDefault="00EE6D95">
      <w:pPr>
        <w:pStyle w:val="Normal6"/>
      </w:pPr>
      <w:r>
        <w:t>Dosadašnja istraživanja u svijetu i u Hrvatskoj pokazuju kako je prelazak mladih u tzv. svijet odraslih sve složeniji i dugotrajniji. Institucionalizirano obrazovanje traje sve dulje,suvremene tehnološke promjene traže sve kvalificiraniju i fleksibilniju radnu snagu, a gospodarska kretanja ciklički uzrokuju porast nezaposlenosti koja najviše pogađa mlade. Naznačeni procesi rezultiraju i usporenim ulaskom u  tzv. svijet rada, odnosno sporijim socioekonomskim osamostaljivanjem, što mlade prisilno zadržava u ovisnom položaju. Otežano uključivanje u profesionalni rad pridonosi prolongiranju zasnivanja vlastite obitelji, pa tako i u Hrvatskoj, kao i u većini europskih zemalja, mladi prvi brak sklapaju u sve kasnijoj mladenačkoj dobi, a posljedično i sve kasnije dobivaju vlastito potomstvo. Iako su im nakon stjecanja punoljetnosti priznata sva građanska prava, paralelno se zbiva i politička (samo)pasivizacija i potiskivanje mladih od mjesta odlučivanja, tako da njihove probleme i interese u političkoj areni, s više ili manje uspjeha, posreduju stariji. Sve kasnije preuzimanje trajnih društvenih uloga te isključenost ili nedovoljna uključenost mladih u gospodarske, političke i društvene procese za posljedicu ima nedovoljnu društvenu integraciju mlade generacije. Potencijali mladih kao  najvitalnijeg, najfleksibilnijeg i potencijalno najinovativnijeg i najkreativnijeg segmenta suvremenog društva ostaju nedovoljno iskorišteni.</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rsidP="00A30DDD">
            <w:pPr>
              <w:pStyle w:val="CellColumn"/>
              <w:jc w:val="left"/>
            </w:pPr>
            <w:r>
              <w:t>Broj osnovanih i aktivnih gradskih savjeta mladih</w:t>
            </w:r>
          </w:p>
        </w:tc>
        <w:tc>
          <w:tcPr>
            <w:tcW w:w="1114" w:type="dxa"/>
          </w:tcPr>
          <w:p w:rsidR="00D849AA" w:rsidRDefault="00EE6D95">
            <w:r>
              <w:t>broj</w:t>
            </w:r>
          </w:p>
        </w:tc>
        <w:tc>
          <w:tcPr>
            <w:tcW w:w="1114" w:type="dxa"/>
          </w:tcPr>
          <w:p w:rsidR="00D849AA" w:rsidRDefault="00EE6D95">
            <w:r>
              <w:t>98</w:t>
            </w:r>
          </w:p>
        </w:tc>
        <w:tc>
          <w:tcPr>
            <w:tcW w:w="1486" w:type="dxa"/>
          </w:tcPr>
          <w:p w:rsidR="00D849AA" w:rsidRDefault="00EE6D95">
            <w:r>
              <w:t>108</w:t>
            </w:r>
          </w:p>
        </w:tc>
        <w:tc>
          <w:tcPr>
            <w:tcW w:w="1486" w:type="dxa"/>
          </w:tcPr>
          <w:p w:rsidR="00D849AA" w:rsidRDefault="00EE6D95">
            <w:r>
              <w:t>118</w:t>
            </w:r>
          </w:p>
        </w:tc>
        <w:tc>
          <w:tcPr>
            <w:tcW w:w="1486" w:type="dxa"/>
          </w:tcPr>
          <w:p w:rsidR="00D849AA" w:rsidRDefault="00EE6D95">
            <w:r>
              <w:t>127</w:t>
            </w:r>
          </w:p>
        </w:tc>
      </w:tr>
    </w:tbl>
    <w:p w:rsidR="00D849AA" w:rsidRDefault="00D849AA">
      <w:pPr>
        <w:jc w:val="left"/>
      </w:pPr>
    </w:p>
    <w:p w:rsidR="00D849AA" w:rsidRDefault="00EE6D95">
      <w:pPr>
        <w:pStyle w:val="Naslov7"/>
      </w:pPr>
      <w:r>
        <w:t>Cilj 2. Unapređenje, izrada i provedba strateškog i zakonodavnog okvira usmjerenog djeci i obitelji</w:t>
      </w:r>
    </w:p>
    <w:p w:rsidR="00D849AA" w:rsidRDefault="00EE6D95">
      <w:pPr>
        <w:pStyle w:val="Normal6"/>
      </w:pPr>
      <w:r>
        <w:t xml:space="preserve">Poradi učinkovitije primjene postojećih propisa na području prava djece, afirmacije prava obitelji i njezinih članova Ministarstvo će, provođenjem stručnih analiza i istraživanja, pratiti provedbu propisa, što će omogućiti stvaranje pravnih, institucionalnih, organizacijskih i kadrovskih uvjeta za zaštitu obitelji te stvaranje uvjeta za podizanje kvalitete obiteljskog života.  </w:t>
      </w:r>
    </w:p>
    <w:p w:rsidR="00D849AA" w:rsidRDefault="00EE6D95">
      <w:pPr>
        <w:pStyle w:val="Normal6"/>
      </w:pPr>
      <w:r>
        <w:t xml:space="preserve">Za održavanje i razvoj gospodarstva osigurati će se pristup i veća uključenost muškaraca i žena fertilne dobi u tržište rada kao dio opće politike i poticanja ravnopravne raspodjele roditeljskih odgovornosti u usklađivanju poslovnog i obiteljskog života, što podrazumijeva veću stopu uključenosti očeva u skrb o djeci. </w:t>
      </w:r>
    </w:p>
    <w:p w:rsidR="00D849AA" w:rsidRDefault="00EE6D95">
      <w:pPr>
        <w:pStyle w:val="Normal6"/>
      </w:pPr>
      <w:r>
        <w:t>Sustav obiteljskih potpora može značajno pridonijeti osnaživanju obitelji i podizanju kvalitete obiteljskog života kako u pogledu zaustavljanja negativnih demografskih promjena koje se ogledaju kroz starenje stanovništva Hrvatske do izgradnje usluga namijenjenih obitelji s djecom koje roditeljima olakšava izlazak na tržište rada, a djeci osigurava sigurno i poticajno okruženje.</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lastRenderedPageBreak/>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rsidP="003B5502">
            <w:pPr>
              <w:pStyle w:val="CellColumn"/>
              <w:jc w:val="left"/>
            </w:pPr>
            <w:r>
              <w:t>Broj koordinativnih tijela strateških dokumenata jedinica područne (regionalne) samouprave</w:t>
            </w:r>
          </w:p>
        </w:tc>
        <w:tc>
          <w:tcPr>
            <w:tcW w:w="1114" w:type="dxa"/>
          </w:tcPr>
          <w:p w:rsidR="00D849AA" w:rsidRDefault="00EE6D95">
            <w:r>
              <w:t>broj</w:t>
            </w:r>
          </w:p>
        </w:tc>
        <w:tc>
          <w:tcPr>
            <w:tcW w:w="1114" w:type="dxa"/>
          </w:tcPr>
          <w:p w:rsidR="00D849AA" w:rsidRDefault="00EE6D95">
            <w:r>
              <w:t>1</w:t>
            </w:r>
          </w:p>
        </w:tc>
        <w:tc>
          <w:tcPr>
            <w:tcW w:w="1486" w:type="dxa"/>
          </w:tcPr>
          <w:p w:rsidR="00D849AA" w:rsidRDefault="00EE6D95">
            <w:r>
              <w:t>5</w:t>
            </w:r>
          </w:p>
        </w:tc>
        <w:tc>
          <w:tcPr>
            <w:tcW w:w="1486" w:type="dxa"/>
          </w:tcPr>
          <w:p w:rsidR="00D849AA" w:rsidRDefault="00EE6D95">
            <w:r>
              <w:t>10</w:t>
            </w:r>
          </w:p>
        </w:tc>
        <w:tc>
          <w:tcPr>
            <w:tcW w:w="1486" w:type="dxa"/>
          </w:tcPr>
          <w:p w:rsidR="00D849AA" w:rsidRDefault="00EE6D95">
            <w:r>
              <w:t>15</w:t>
            </w:r>
          </w:p>
        </w:tc>
      </w:tr>
    </w:tbl>
    <w:p w:rsidR="00D849AA" w:rsidRDefault="00D849AA">
      <w:pPr>
        <w:jc w:val="left"/>
      </w:pPr>
    </w:p>
    <w:p w:rsidR="00D849AA" w:rsidRDefault="00EE6D95">
      <w:pPr>
        <w:pStyle w:val="Naslov7"/>
      </w:pPr>
      <w:r>
        <w:t>Cilj 3.  Osigurani uvjeti za provedbu politika EU, VE i  drugih međunarodnih inicijativa sukladno nadležnosti</w:t>
      </w:r>
    </w:p>
    <w:p w:rsidR="00D849AA" w:rsidRDefault="00EE6D95">
      <w:pPr>
        <w:pStyle w:val="Normal6"/>
      </w:pPr>
      <w:r>
        <w:t>Aktivnim sudjelovanjem u radu i praćenjem rada pojedinih tijela EU i VE te poduzimanjem raznih aktivnosti vezanih uz programe Unije (Programa Mladi na djelu, Progress i DAPHNE odnosno njihovih pravnih slijednika), Ministarstvo daje nacionalni doprinos kreiranju politika na međunarodnoj razini te postiže bolju informiranost potencijalnih korisnika o mogućnostima korištenja sredstava iz  Programa Unije i daje doprinos njihovoj provedbi.</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Broj aktivnosti kojima se zastupaju interesi i osnažuje status RH na međunarodnoj razini u području socijalne skrbi i socijalnog uključivanja.</w:t>
            </w:r>
          </w:p>
        </w:tc>
        <w:tc>
          <w:tcPr>
            <w:tcW w:w="1114" w:type="dxa"/>
          </w:tcPr>
          <w:p w:rsidR="00D849AA" w:rsidRDefault="00EE6D95">
            <w:r>
              <w:t>broj aktivnosti</w:t>
            </w:r>
          </w:p>
        </w:tc>
        <w:tc>
          <w:tcPr>
            <w:tcW w:w="1114" w:type="dxa"/>
          </w:tcPr>
          <w:p w:rsidR="00D849AA" w:rsidRDefault="00EE6D95">
            <w:r>
              <w:t>38</w:t>
            </w:r>
          </w:p>
        </w:tc>
        <w:tc>
          <w:tcPr>
            <w:tcW w:w="1486" w:type="dxa"/>
          </w:tcPr>
          <w:p w:rsidR="00D849AA" w:rsidRDefault="00EE6D95">
            <w:r>
              <w:t>56</w:t>
            </w:r>
          </w:p>
        </w:tc>
        <w:tc>
          <w:tcPr>
            <w:tcW w:w="1486" w:type="dxa"/>
          </w:tcPr>
          <w:p w:rsidR="00D849AA" w:rsidRDefault="00EE6D95">
            <w:r>
              <w:t>59</w:t>
            </w:r>
          </w:p>
        </w:tc>
        <w:tc>
          <w:tcPr>
            <w:tcW w:w="1486" w:type="dxa"/>
          </w:tcPr>
          <w:p w:rsidR="00D849AA" w:rsidRDefault="00EE6D95">
            <w:r>
              <w:t>61</w:t>
            </w:r>
          </w:p>
        </w:tc>
      </w:tr>
    </w:tbl>
    <w:p w:rsidR="00D849AA" w:rsidRDefault="00D849AA">
      <w:pPr>
        <w:jc w:val="left"/>
      </w:pPr>
    </w:p>
    <w:p w:rsidR="00D849AA" w:rsidRDefault="00EE6D95">
      <w:pPr>
        <w:pStyle w:val="Naslov5"/>
      </w:pPr>
      <w:r>
        <w:t>Procjena i ishodište potrebnih sredstava za značajnije aktivnosti/projekte</w:t>
      </w:r>
    </w:p>
    <w:p w:rsidR="00D849AA" w:rsidRDefault="00EE6D95">
      <w:pPr>
        <w:pStyle w:val="Naslov6"/>
      </w:pPr>
      <w:r>
        <w:t>A558047 POLITIKA ZA MLADE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A558047</w:t>
            </w:r>
          </w:p>
        </w:tc>
        <w:tc>
          <w:tcPr>
            <w:tcW w:w="1486" w:type="dxa"/>
          </w:tcPr>
          <w:p w:rsidR="00D849AA" w:rsidRDefault="00EE6D95">
            <w:r>
              <w:t>3.456.300</w:t>
            </w:r>
          </w:p>
        </w:tc>
        <w:tc>
          <w:tcPr>
            <w:tcW w:w="1486" w:type="dxa"/>
          </w:tcPr>
          <w:p w:rsidR="00D849AA" w:rsidRDefault="00EE6D95">
            <w:r>
              <w:t>8.788.617</w:t>
            </w:r>
          </w:p>
        </w:tc>
        <w:tc>
          <w:tcPr>
            <w:tcW w:w="1486" w:type="dxa"/>
          </w:tcPr>
          <w:p w:rsidR="00D849AA" w:rsidRDefault="00EE6D95">
            <w:r>
              <w:t>8.938.239</w:t>
            </w:r>
          </w:p>
        </w:tc>
        <w:tc>
          <w:tcPr>
            <w:tcW w:w="1486" w:type="dxa"/>
          </w:tcPr>
          <w:p w:rsidR="00D849AA" w:rsidRDefault="00EE6D95">
            <w:r>
              <w:t>9.084.421</w:t>
            </w:r>
          </w:p>
        </w:tc>
        <w:tc>
          <w:tcPr>
            <w:tcW w:w="1486" w:type="dxa"/>
          </w:tcPr>
          <w:p w:rsidR="00D849AA" w:rsidRDefault="00EE6D95">
            <w:r>
              <w:t>254,3</w:t>
            </w:r>
          </w:p>
        </w:tc>
      </w:tr>
    </w:tbl>
    <w:p w:rsidR="00D849AA" w:rsidRDefault="00D849AA">
      <w:pPr>
        <w:jc w:val="left"/>
      </w:pPr>
    </w:p>
    <w:p w:rsidR="00D849AA" w:rsidRDefault="00EE6D95">
      <w:pPr>
        <w:pStyle w:val="Normal6"/>
      </w:pPr>
      <w:r>
        <w:t xml:space="preserve">Izradom prijedloga zakona, strategija i drugih akata, praćenjem provedbe zakona iz svoje nadležnosti, kreiranjem javne politike za mlade, provođenjem mjera sukladno propisima i nacionalnim dokumentima, te provedbom, koordinacijom i praćenjem važećeg nacionalnog dokumenta za mlade, Ministarstvo će ustrajati na promjeni javne svijesti o važnosti aktivnog sudjelovanja mladih, ali i o pravima, aktivnostima, problemima i potrebama mladih. Posebna pozornost usmjerit će se na ostvarivanje suradnje nadležnih državnih tijela, organiziranih i neorganiziranih mladih, jedinica lokalne i područne (regionalne) samouprave te ustanova u radu s mladima. </w:t>
      </w:r>
    </w:p>
    <w:p w:rsidR="00D849AA" w:rsidRDefault="00EE6D95">
      <w:pPr>
        <w:pStyle w:val="Normal6"/>
      </w:pPr>
      <w:r>
        <w:lastRenderedPageBreak/>
        <w:t>Ministarstvo će surađivati s institucijama Europske unije i međunarodnim organizacijama u području razvoja politika za mlade i sudjelovati u njihovom radu te i na taj način stvarati uvjete za sudjelovanje mladih Republike Hrvatske i na europskoj razini.</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14"/>
        <w:gridCol w:w="1527"/>
        <w:gridCol w:w="1113"/>
        <w:gridCol w:w="1478"/>
        <w:gridCol w:w="1478"/>
        <w:gridCol w:w="1478"/>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rsidP="003B5502">
            <w:pPr>
              <w:pStyle w:val="CellColumn"/>
              <w:jc w:val="left"/>
            </w:pPr>
            <w:r>
              <w:t>Smanjenje broja jedinica lokalne i područne (regionalne) samouprave koji ne ispunjavaju zakonsku obvezu osnivanja savjeta mladih</w:t>
            </w:r>
          </w:p>
        </w:tc>
        <w:tc>
          <w:tcPr>
            <w:tcW w:w="1114" w:type="dxa"/>
          </w:tcPr>
          <w:p w:rsidR="00D849AA" w:rsidRDefault="00EE6D95">
            <w:r>
              <w:t>broj savjeta za mlade pri predstavničkim tijelima županija/               gradova/općina</w:t>
            </w:r>
          </w:p>
        </w:tc>
        <w:tc>
          <w:tcPr>
            <w:tcW w:w="1114" w:type="dxa"/>
          </w:tcPr>
          <w:p w:rsidR="00D849AA" w:rsidRDefault="00EE6D95">
            <w:r>
              <w:t>1/74/364</w:t>
            </w:r>
          </w:p>
        </w:tc>
        <w:tc>
          <w:tcPr>
            <w:tcW w:w="1486" w:type="dxa"/>
          </w:tcPr>
          <w:p w:rsidR="00D849AA" w:rsidRDefault="00EE6D95">
            <w:r>
              <w:t>0/67/350</w:t>
            </w:r>
          </w:p>
        </w:tc>
        <w:tc>
          <w:tcPr>
            <w:tcW w:w="1486" w:type="dxa"/>
          </w:tcPr>
          <w:p w:rsidR="00D849AA" w:rsidRDefault="00EE6D95">
            <w:r>
              <w:t>0/50/300</w:t>
            </w:r>
          </w:p>
        </w:tc>
        <w:tc>
          <w:tcPr>
            <w:tcW w:w="1486" w:type="dxa"/>
          </w:tcPr>
          <w:p w:rsidR="00D849AA" w:rsidRDefault="00EE6D95">
            <w:r>
              <w:t>0/40/280</w:t>
            </w:r>
          </w:p>
        </w:tc>
      </w:tr>
      <w:tr w:rsidR="00D849AA">
        <w:trPr>
          <w:jc w:val="center"/>
        </w:trPr>
        <w:tc>
          <w:tcPr>
            <w:tcW w:w="2229" w:type="dxa"/>
          </w:tcPr>
          <w:p w:rsidR="00D849AA" w:rsidRDefault="00EE6D95">
            <w:pPr>
              <w:pStyle w:val="CellColumn"/>
            </w:pPr>
            <w:r>
              <w:t>Broj stručnih analiza, mišljenja i prijedloga vezanih uz postojeće i nove zakonske i podzakonske akte</w:t>
            </w:r>
          </w:p>
        </w:tc>
        <w:tc>
          <w:tcPr>
            <w:tcW w:w="1114" w:type="dxa"/>
          </w:tcPr>
          <w:p w:rsidR="00D849AA" w:rsidRDefault="00EE6D95">
            <w:r>
              <w:t>broj</w:t>
            </w:r>
          </w:p>
        </w:tc>
        <w:tc>
          <w:tcPr>
            <w:tcW w:w="1114" w:type="dxa"/>
          </w:tcPr>
          <w:p w:rsidR="00D849AA" w:rsidRDefault="00EE6D95">
            <w:r>
              <w:t>20</w:t>
            </w:r>
          </w:p>
        </w:tc>
        <w:tc>
          <w:tcPr>
            <w:tcW w:w="1486" w:type="dxa"/>
          </w:tcPr>
          <w:p w:rsidR="00D849AA" w:rsidRDefault="00EE6D95">
            <w:r>
              <w:t>15</w:t>
            </w:r>
          </w:p>
        </w:tc>
        <w:tc>
          <w:tcPr>
            <w:tcW w:w="1486" w:type="dxa"/>
          </w:tcPr>
          <w:p w:rsidR="00D849AA" w:rsidRDefault="00EE6D95">
            <w:r>
              <w:t>10</w:t>
            </w:r>
          </w:p>
        </w:tc>
        <w:tc>
          <w:tcPr>
            <w:tcW w:w="1486" w:type="dxa"/>
          </w:tcPr>
          <w:p w:rsidR="00D849AA" w:rsidRDefault="00EE6D95">
            <w:r>
              <w:t>10</w:t>
            </w:r>
          </w:p>
        </w:tc>
      </w:tr>
      <w:tr w:rsidR="00D849AA">
        <w:trPr>
          <w:jc w:val="center"/>
        </w:trPr>
        <w:tc>
          <w:tcPr>
            <w:tcW w:w="2229" w:type="dxa"/>
          </w:tcPr>
          <w:p w:rsidR="00D849AA" w:rsidRDefault="00EE6D95" w:rsidP="00152705">
            <w:pPr>
              <w:pStyle w:val="CellColumn"/>
              <w:jc w:val="left"/>
            </w:pPr>
            <w:r>
              <w:t>Broj održanih redovnih, izvanrednih i tematskih sjednica Savjeta za mlade Vlade Republike Hrvatske u odnosu na prethodnu godinu</w:t>
            </w:r>
          </w:p>
        </w:tc>
        <w:tc>
          <w:tcPr>
            <w:tcW w:w="1114" w:type="dxa"/>
          </w:tcPr>
          <w:p w:rsidR="00D849AA" w:rsidRDefault="00EE6D95">
            <w:r>
              <w:t>broj</w:t>
            </w:r>
          </w:p>
        </w:tc>
        <w:tc>
          <w:tcPr>
            <w:tcW w:w="1114" w:type="dxa"/>
          </w:tcPr>
          <w:p w:rsidR="00D849AA" w:rsidRDefault="00EE6D95">
            <w:r>
              <w:t>3</w:t>
            </w:r>
          </w:p>
        </w:tc>
        <w:tc>
          <w:tcPr>
            <w:tcW w:w="1486" w:type="dxa"/>
          </w:tcPr>
          <w:p w:rsidR="00D849AA" w:rsidRDefault="00EE6D95">
            <w:r>
              <w:t>4</w:t>
            </w:r>
          </w:p>
        </w:tc>
        <w:tc>
          <w:tcPr>
            <w:tcW w:w="1486" w:type="dxa"/>
          </w:tcPr>
          <w:p w:rsidR="00D849AA" w:rsidRDefault="00EE6D95">
            <w:r>
              <w:t>4</w:t>
            </w:r>
          </w:p>
        </w:tc>
        <w:tc>
          <w:tcPr>
            <w:tcW w:w="1486" w:type="dxa"/>
          </w:tcPr>
          <w:p w:rsidR="00D849AA" w:rsidRDefault="00EE6D95">
            <w:r>
              <w:t>4</w:t>
            </w:r>
          </w:p>
        </w:tc>
      </w:tr>
      <w:tr w:rsidR="00D849AA">
        <w:trPr>
          <w:jc w:val="center"/>
        </w:trPr>
        <w:tc>
          <w:tcPr>
            <w:tcW w:w="2229" w:type="dxa"/>
          </w:tcPr>
          <w:p w:rsidR="00D849AA" w:rsidRDefault="00EE6D95" w:rsidP="00152705">
            <w:pPr>
              <w:pStyle w:val="CellColumn"/>
              <w:jc w:val="left"/>
            </w:pPr>
            <w:r>
              <w:t>Broj provedenih natječajnih postupaka za programe i projekte organiziranim mladima</w:t>
            </w:r>
          </w:p>
        </w:tc>
        <w:tc>
          <w:tcPr>
            <w:tcW w:w="1114" w:type="dxa"/>
          </w:tcPr>
          <w:p w:rsidR="00D849AA" w:rsidRDefault="00EE6D95">
            <w:r>
              <w:t>broj natječaja za programske potpore/            projektne potpore</w:t>
            </w:r>
          </w:p>
        </w:tc>
        <w:tc>
          <w:tcPr>
            <w:tcW w:w="1114" w:type="dxa"/>
          </w:tcPr>
          <w:p w:rsidR="00D849AA" w:rsidRDefault="00EE6D95">
            <w:r>
              <w:t>0/4</w:t>
            </w:r>
          </w:p>
        </w:tc>
        <w:tc>
          <w:tcPr>
            <w:tcW w:w="1486" w:type="dxa"/>
          </w:tcPr>
          <w:p w:rsidR="00D849AA" w:rsidRDefault="00EE6D95">
            <w:r>
              <w:t>0/4</w:t>
            </w:r>
          </w:p>
        </w:tc>
        <w:tc>
          <w:tcPr>
            <w:tcW w:w="1486" w:type="dxa"/>
          </w:tcPr>
          <w:p w:rsidR="00D849AA" w:rsidRDefault="00EE6D95">
            <w:r>
              <w:t>1/2</w:t>
            </w:r>
          </w:p>
        </w:tc>
        <w:tc>
          <w:tcPr>
            <w:tcW w:w="1486" w:type="dxa"/>
          </w:tcPr>
          <w:p w:rsidR="00D849AA" w:rsidRDefault="00EE6D95">
            <w:r>
              <w:t>1/2</w:t>
            </w:r>
          </w:p>
        </w:tc>
      </w:tr>
      <w:tr w:rsidR="00D849AA">
        <w:trPr>
          <w:jc w:val="center"/>
        </w:trPr>
        <w:tc>
          <w:tcPr>
            <w:tcW w:w="2229" w:type="dxa"/>
          </w:tcPr>
          <w:p w:rsidR="00D849AA" w:rsidRDefault="00EE6D95">
            <w:pPr>
              <w:pStyle w:val="CellColumn"/>
            </w:pPr>
            <w:r>
              <w:t>Broj konzultativnih sastanaka, okruglih stolova i konferencija</w:t>
            </w:r>
          </w:p>
        </w:tc>
        <w:tc>
          <w:tcPr>
            <w:tcW w:w="1114" w:type="dxa"/>
          </w:tcPr>
          <w:p w:rsidR="00D849AA" w:rsidRDefault="00EE6D95">
            <w:r>
              <w:t>broj konzultativnih sastanaka/                okruglih stolova/             konferencija</w:t>
            </w:r>
          </w:p>
        </w:tc>
        <w:tc>
          <w:tcPr>
            <w:tcW w:w="1114" w:type="dxa"/>
          </w:tcPr>
          <w:p w:rsidR="00D849AA" w:rsidRDefault="00EE6D95">
            <w:r>
              <w:t>20/3/1</w:t>
            </w:r>
          </w:p>
        </w:tc>
        <w:tc>
          <w:tcPr>
            <w:tcW w:w="1486" w:type="dxa"/>
          </w:tcPr>
          <w:p w:rsidR="00D849AA" w:rsidRDefault="00EE6D95">
            <w:r>
              <w:t>15/2/1</w:t>
            </w:r>
          </w:p>
        </w:tc>
        <w:tc>
          <w:tcPr>
            <w:tcW w:w="1486" w:type="dxa"/>
          </w:tcPr>
          <w:p w:rsidR="00D849AA" w:rsidRDefault="00EE6D95">
            <w:r>
              <w:t>15/1/1</w:t>
            </w:r>
          </w:p>
        </w:tc>
        <w:tc>
          <w:tcPr>
            <w:tcW w:w="1486" w:type="dxa"/>
          </w:tcPr>
          <w:p w:rsidR="00D849AA" w:rsidRDefault="00EE6D95">
            <w:r>
              <w:t>15/1/1</w:t>
            </w:r>
          </w:p>
        </w:tc>
      </w:tr>
      <w:tr w:rsidR="00D849AA">
        <w:trPr>
          <w:jc w:val="center"/>
        </w:trPr>
        <w:tc>
          <w:tcPr>
            <w:tcW w:w="2229" w:type="dxa"/>
          </w:tcPr>
          <w:p w:rsidR="00D849AA" w:rsidRDefault="00EE6D95">
            <w:pPr>
              <w:pStyle w:val="CellColumn"/>
            </w:pPr>
            <w:r>
              <w:t>Broj provedenih akcija i kampanja</w:t>
            </w:r>
          </w:p>
        </w:tc>
        <w:tc>
          <w:tcPr>
            <w:tcW w:w="1114" w:type="dxa"/>
          </w:tcPr>
          <w:p w:rsidR="00D849AA" w:rsidRDefault="00EE6D95">
            <w:r>
              <w:t>broj akcija/kampanja</w:t>
            </w:r>
          </w:p>
        </w:tc>
        <w:tc>
          <w:tcPr>
            <w:tcW w:w="1114" w:type="dxa"/>
          </w:tcPr>
          <w:p w:rsidR="00D849AA" w:rsidRDefault="00EE6D95">
            <w:r>
              <w:t>5/1</w:t>
            </w:r>
          </w:p>
        </w:tc>
        <w:tc>
          <w:tcPr>
            <w:tcW w:w="1486" w:type="dxa"/>
          </w:tcPr>
          <w:p w:rsidR="00D849AA" w:rsidRDefault="00EE6D95">
            <w:r>
              <w:t>4/0</w:t>
            </w:r>
          </w:p>
        </w:tc>
        <w:tc>
          <w:tcPr>
            <w:tcW w:w="1486" w:type="dxa"/>
          </w:tcPr>
          <w:p w:rsidR="00D849AA" w:rsidRDefault="00EE6D95">
            <w:r>
              <w:t>3/0</w:t>
            </w:r>
          </w:p>
        </w:tc>
        <w:tc>
          <w:tcPr>
            <w:tcW w:w="1486" w:type="dxa"/>
          </w:tcPr>
          <w:p w:rsidR="00D849AA" w:rsidRDefault="00EE6D95">
            <w:r>
              <w:t>3/0</w:t>
            </w:r>
          </w:p>
        </w:tc>
      </w:tr>
      <w:tr w:rsidR="00D849AA">
        <w:trPr>
          <w:jc w:val="center"/>
        </w:trPr>
        <w:tc>
          <w:tcPr>
            <w:tcW w:w="2229" w:type="dxa"/>
          </w:tcPr>
          <w:p w:rsidR="00D849AA" w:rsidRDefault="00EE6D95" w:rsidP="00152705">
            <w:pPr>
              <w:pStyle w:val="CellColumn"/>
              <w:jc w:val="left"/>
            </w:pPr>
            <w:r>
              <w:t>Broj različitih promotivnih materijala (letaka, brošura, plakata i sl.)</w:t>
            </w:r>
          </w:p>
        </w:tc>
        <w:tc>
          <w:tcPr>
            <w:tcW w:w="1114" w:type="dxa"/>
          </w:tcPr>
          <w:p w:rsidR="00D849AA" w:rsidRDefault="00EE6D95">
            <w:r>
              <w:t>broj</w:t>
            </w:r>
          </w:p>
        </w:tc>
        <w:tc>
          <w:tcPr>
            <w:tcW w:w="1114" w:type="dxa"/>
          </w:tcPr>
          <w:p w:rsidR="00D849AA" w:rsidRDefault="00EE6D95">
            <w:r>
              <w:t>2</w:t>
            </w:r>
          </w:p>
        </w:tc>
        <w:tc>
          <w:tcPr>
            <w:tcW w:w="1486" w:type="dxa"/>
          </w:tcPr>
          <w:p w:rsidR="00D849AA" w:rsidRDefault="00EE6D95">
            <w:r>
              <w:t>2</w:t>
            </w:r>
          </w:p>
        </w:tc>
        <w:tc>
          <w:tcPr>
            <w:tcW w:w="1486" w:type="dxa"/>
          </w:tcPr>
          <w:p w:rsidR="00D849AA" w:rsidRDefault="00EE6D95">
            <w:r>
              <w:t>2</w:t>
            </w:r>
          </w:p>
        </w:tc>
        <w:tc>
          <w:tcPr>
            <w:tcW w:w="1486" w:type="dxa"/>
          </w:tcPr>
          <w:p w:rsidR="00D849AA" w:rsidRDefault="00EE6D95">
            <w:r>
              <w:t>2</w:t>
            </w:r>
          </w:p>
        </w:tc>
      </w:tr>
      <w:tr w:rsidR="00D849AA">
        <w:trPr>
          <w:jc w:val="center"/>
        </w:trPr>
        <w:tc>
          <w:tcPr>
            <w:tcW w:w="2229" w:type="dxa"/>
          </w:tcPr>
          <w:p w:rsidR="00D849AA" w:rsidRDefault="00EE6D95">
            <w:pPr>
              <w:pStyle w:val="CellColumn"/>
            </w:pPr>
            <w:r>
              <w:t>Povećanje doprinosa međunarodnim inicijativama na području mladih</w:t>
            </w:r>
          </w:p>
        </w:tc>
        <w:tc>
          <w:tcPr>
            <w:tcW w:w="1114" w:type="dxa"/>
          </w:tcPr>
          <w:p w:rsidR="00D849AA" w:rsidRDefault="00EE6D95">
            <w:r>
              <w:t>broj ostvarenih inicijativa</w:t>
            </w:r>
          </w:p>
        </w:tc>
        <w:tc>
          <w:tcPr>
            <w:tcW w:w="1114" w:type="dxa"/>
          </w:tcPr>
          <w:p w:rsidR="00D849AA" w:rsidRDefault="00EE6D95">
            <w:r>
              <w:t>15</w:t>
            </w:r>
          </w:p>
        </w:tc>
        <w:tc>
          <w:tcPr>
            <w:tcW w:w="1486" w:type="dxa"/>
          </w:tcPr>
          <w:p w:rsidR="00D849AA" w:rsidRDefault="00EE6D95">
            <w:r>
              <w:t>16</w:t>
            </w:r>
          </w:p>
        </w:tc>
        <w:tc>
          <w:tcPr>
            <w:tcW w:w="1486" w:type="dxa"/>
          </w:tcPr>
          <w:p w:rsidR="00D849AA" w:rsidRDefault="00EE6D95">
            <w:r>
              <w:t>17</w:t>
            </w:r>
          </w:p>
        </w:tc>
        <w:tc>
          <w:tcPr>
            <w:tcW w:w="1486" w:type="dxa"/>
          </w:tcPr>
          <w:p w:rsidR="00D849AA" w:rsidRDefault="00EE6D95">
            <w:r>
              <w:t>18</w:t>
            </w:r>
          </w:p>
        </w:tc>
      </w:tr>
    </w:tbl>
    <w:p w:rsidR="00D849AA" w:rsidRDefault="00D849AA">
      <w:pPr>
        <w:jc w:val="left"/>
      </w:pPr>
    </w:p>
    <w:p w:rsidR="00D849AA" w:rsidRDefault="00EE6D95">
      <w:pPr>
        <w:pStyle w:val="Naslov6"/>
      </w:pPr>
      <w:r>
        <w:lastRenderedPageBreak/>
        <w:t>A653012 DOPLATAK ZA DJECU</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A653012</w:t>
            </w:r>
          </w:p>
        </w:tc>
        <w:tc>
          <w:tcPr>
            <w:tcW w:w="1486" w:type="dxa"/>
          </w:tcPr>
          <w:p w:rsidR="00D849AA" w:rsidRDefault="00EE6D95">
            <w:r>
              <w:t>1.666.485.299</w:t>
            </w:r>
          </w:p>
        </w:tc>
        <w:tc>
          <w:tcPr>
            <w:tcW w:w="1486" w:type="dxa"/>
          </w:tcPr>
          <w:p w:rsidR="00D849AA" w:rsidRDefault="00EE6D95">
            <w:r>
              <w:t>1.539.350.000</w:t>
            </w:r>
          </w:p>
        </w:tc>
        <w:tc>
          <w:tcPr>
            <w:tcW w:w="1486" w:type="dxa"/>
          </w:tcPr>
          <w:p w:rsidR="00D849AA" w:rsidRDefault="00EE6D95">
            <w:r>
              <w:t>1.561.294.950</w:t>
            </w:r>
          </w:p>
        </w:tc>
        <w:tc>
          <w:tcPr>
            <w:tcW w:w="1486" w:type="dxa"/>
          </w:tcPr>
          <w:p w:rsidR="00D849AA" w:rsidRDefault="00EE6D95">
            <w:r>
              <w:t>1.578.691.450</w:t>
            </w:r>
          </w:p>
        </w:tc>
        <w:tc>
          <w:tcPr>
            <w:tcW w:w="1486" w:type="dxa"/>
          </w:tcPr>
          <w:p w:rsidR="00D849AA" w:rsidRDefault="00EE6D95">
            <w:r>
              <w:t>92,4</w:t>
            </w:r>
          </w:p>
        </w:tc>
      </w:tr>
    </w:tbl>
    <w:p w:rsidR="00D849AA" w:rsidRDefault="00D849AA">
      <w:pPr>
        <w:jc w:val="left"/>
      </w:pPr>
    </w:p>
    <w:p w:rsidR="00D849AA" w:rsidRDefault="00EE6D95">
      <w:pPr>
        <w:pStyle w:val="Normal6"/>
      </w:pPr>
      <w:r>
        <w:t>Doplatak za djecu kao oblik potpore obitelji koji ima značajnu ulogu u prevenciji siromaštva djece, svakako pridonosi osnaživanju obitelji, odnosno, održanju kvaliteti njihova života, pridonosi zaustavljanju pada broja rođene djece, a potom i određenom trendu porasta broja novorođene djece. Posebnu ulogu ima i pronatalitetni dodatak za treće i četvrto dijete u obitelji korisnika prava na doplatak.</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rsidP="001F1BA4">
            <w:pPr>
              <w:pStyle w:val="CellColumn"/>
              <w:jc w:val="left"/>
            </w:pPr>
            <w:r>
              <w:t>Broj korisnika pronatalitetnog dodatka</w:t>
            </w:r>
          </w:p>
        </w:tc>
        <w:tc>
          <w:tcPr>
            <w:tcW w:w="1114" w:type="dxa"/>
          </w:tcPr>
          <w:p w:rsidR="00D849AA" w:rsidRDefault="00EE6D95">
            <w:r>
              <w:t>broj</w:t>
            </w:r>
          </w:p>
        </w:tc>
        <w:tc>
          <w:tcPr>
            <w:tcW w:w="1114" w:type="dxa"/>
          </w:tcPr>
          <w:p w:rsidR="00D849AA" w:rsidRDefault="00EE6D95">
            <w:r>
              <w:t>43.970</w:t>
            </w:r>
          </w:p>
        </w:tc>
        <w:tc>
          <w:tcPr>
            <w:tcW w:w="1486" w:type="dxa"/>
          </w:tcPr>
          <w:p w:rsidR="00D849AA" w:rsidRDefault="00EE6D95">
            <w:r>
              <w:t>43.990</w:t>
            </w:r>
          </w:p>
        </w:tc>
        <w:tc>
          <w:tcPr>
            <w:tcW w:w="1486" w:type="dxa"/>
          </w:tcPr>
          <w:p w:rsidR="00D849AA" w:rsidRDefault="00EE6D95">
            <w:r>
              <w:t>44.010</w:t>
            </w:r>
          </w:p>
        </w:tc>
        <w:tc>
          <w:tcPr>
            <w:tcW w:w="1486" w:type="dxa"/>
          </w:tcPr>
          <w:p w:rsidR="00D849AA" w:rsidRDefault="00EE6D95">
            <w:r>
              <w:t>44.030</w:t>
            </w:r>
          </w:p>
        </w:tc>
      </w:tr>
    </w:tbl>
    <w:p w:rsidR="00D849AA" w:rsidRDefault="00D849AA">
      <w:pPr>
        <w:jc w:val="left"/>
      </w:pPr>
    </w:p>
    <w:p w:rsidR="00D849AA" w:rsidRDefault="00EE6D95">
      <w:pPr>
        <w:pStyle w:val="Naslov6"/>
      </w:pPr>
      <w:r>
        <w:t>A653028 DODATNI PORODILJNI DOPUST I OPREMA ZA NOVOROĐENO DIJETE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A653028</w:t>
            </w:r>
          </w:p>
        </w:tc>
        <w:tc>
          <w:tcPr>
            <w:tcW w:w="1486" w:type="dxa"/>
          </w:tcPr>
          <w:p w:rsidR="00D849AA" w:rsidRDefault="00EE6D95">
            <w:r>
              <w:t>1.173.466.825</w:t>
            </w:r>
          </w:p>
        </w:tc>
        <w:tc>
          <w:tcPr>
            <w:tcW w:w="1486" w:type="dxa"/>
          </w:tcPr>
          <w:p w:rsidR="00D849AA" w:rsidRDefault="00EE6D95">
            <w:r>
              <w:t>1.107.000.000</w:t>
            </w:r>
          </w:p>
        </w:tc>
        <w:tc>
          <w:tcPr>
            <w:tcW w:w="1486" w:type="dxa"/>
          </w:tcPr>
          <w:p w:rsidR="00D849AA" w:rsidRDefault="00EE6D95">
            <w:r>
              <w:t>1.105.500.000</w:t>
            </w:r>
          </w:p>
        </w:tc>
        <w:tc>
          <w:tcPr>
            <w:tcW w:w="1486" w:type="dxa"/>
          </w:tcPr>
          <w:p w:rsidR="00D849AA" w:rsidRDefault="00EE6D95">
            <w:r>
              <w:t>1.107.000.000</w:t>
            </w:r>
          </w:p>
        </w:tc>
        <w:tc>
          <w:tcPr>
            <w:tcW w:w="1486" w:type="dxa"/>
          </w:tcPr>
          <w:p w:rsidR="00D849AA" w:rsidRDefault="00EE6D95">
            <w:r>
              <w:t>94,3</w:t>
            </w:r>
          </w:p>
        </w:tc>
      </w:tr>
    </w:tbl>
    <w:p w:rsidR="00D849AA" w:rsidRDefault="00D849AA">
      <w:pPr>
        <w:jc w:val="left"/>
      </w:pPr>
    </w:p>
    <w:p w:rsidR="00D849AA" w:rsidRDefault="00EE6D95">
      <w:pPr>
        <w:pStyle w:val="Normal6"/>
      </w:pPr>
      <w:r>
        <w:t>Zakon o rodiljnim i roditeljskim potporama omogućava se roditeljima korištenje većeg raspona fleksibilnih oblika roditeljskih dopusta, odnosno povećanjem udjela zaposlenih roditelja korisnika fleksibilnih oblika roditeljskih dopusta stvaraju se predispozicije za kvalitetniju skrb o djeci te podizanje kvalitete života djece u obitelji. Važna činjenica, koja pridonosi osnaživanju obitelji te bržem i lakšem povratku žene na tržište rada, ističe se porast broja očeva koji koriste rodiljni odnosno roditeljski dopust.</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675"/>
        <w:gridCol w:w="1106"/>
        <w:gridCol w:w="1112"/>
        <w:gridCol w:w="1465"/>
        <w:gridCol w:w="1465"/>
        <w:gridCol w:w="1465"/>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rsidP="001F1BA4">
            <w:pPr>
              <w:pStyle w:val="CellColumn"/>
              <w:jc w:val="left"/>
            </w:pPr>
            <w:r>
              <w:t xml:space="preserve">Udio </w:t>
            </w:r>
            <w:r w:rsidR="001F1BA4">
              <w:t>z</w:t>
            </w:r>
            <w:r>
              <w:t>aposlenih/sam</w:t>
            </w:r>
            <w:r w:rsidR="001F1BA4">
              <w:t xml:space="preserve">ozaposlenih roditelja korisnika </w:t>
            </w:r>
            <w:r>
              <w:t>fleksibilnih oblika roditeljskih dopusta u ukupnom broju korisnika prava</w:t>
            </w:r>
          </w:p>
        </w:tc>
        <w:tc>
          <w:tcPr>
            <w:tcW w:w="1114" w:type="dxa"/>
          </w:tcPr>
          <w:p w:rsidR="00D849AA" w:rsidRDefault="00EE6D95">
            <w:r>
              <w:t>%</w:t>
            </w:r>
          </w:p>
        </w:tc>
        <w:tc>
          <w:tcPr>
            <w:tcW w:w="1114" w:type="dxa"/>
          </w:tcPr>
          <w:p w:rsidR="00D849AA" w:rsidRDefault="00EE6D95">
            <w:r>
              <w:t>2</w:t>
            </w:r>
          </w:p>
        </w:tc>
        <w:tc>
          <w:tcPr>
            <w:tcW w:w="1486" w:type="dxa"/>
          </w:tcPr>
          <w:p w:rsidR="00D849AA" w:rsidRDefault="00EE6D95">
            <w:r>
              <w:t>2</w:t>
            </w:r>
          </w:p>
        </w:tc>
        <w:tc>
          <w:tcPr>
            <w:tcW w:w="1486" w:type="dxa"/>
          </w:tcPr>
          <w:p w:rsidR="00D849AA" w:rsidRDefault="00EE6D95">
            <w:r>
              <w:t>2,05</w:t>
            </w:r>
          </w:p>
        </w:tc>
        <w:tc>
          <w:tcPr>
            <w:tcW w:w="1486" w:type="dxa"/>
          </w:tcPr>
          <w:p w:rsidR="00D849AA" w:rsidRDefault="00EE6D95">
            <w:r>
              <w:t>2,05</w:t>
            </w:r>
          </w:p>
        </w:tc>
      </w:tr>
    </w:tbl>
    <w:p w:rsidR="00D849AA" w:rsidRDefault="00D849AA">
      <w:pPr>
        <w:jc w:val="left"/>
      </w:pPr>
    </w:p>
    <w:p w:rsidR="00D849AA" w:rsidRDefault="00EE6D95">
      <w:pPr>
        <w:pStyle w:val="Naslov6"/>
      </w:pPr>
      <w:r>
        <w:lastRenderedPageBreak/>
        <w:t>A788007 MEĐUNARODNA SURADNJA I POSLOVI EU</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A788007</w:t>
            </w:r>
          </w:p>
        </w:tc>
        <w:tc>
          <w:tcPr>
            <w:tcW w:w="1486" w:type="dxa"/>
          </w:tcPr>
          <w:p w:rsidR="00D849AA" w:rsidRDefault="00EE6D95">
            <w:r>
              <w:t>1.514.520</w:t>
            </w:r>
          </w:p>
        </w:tc>
        <w:tc>
          <w:tcPr>
            <w:tcW w:w="1486" w:type="dxa"/>
          </w:tcPr>
          <w:p w:rsidR="00D849AA" w:rsidRDefault="00EE6D95">
            <w:r>
              <w:t>2.695.000</w:t>
            </w:r>
          </w:p>
        </w:tc>
        <w:tc>
          <w:tcPr>
            <w:tcW w:w="1486" w:type="dxa"/>
          </w:tcPr>
          <w:p w:rsidR="00D849AA" w:rsidRDefault="00EE6D95">
            <w:r>
              <w:t>2.697.500</w:t>
            </w:r>
          </w:p>
        </w:tc>
        <w:tc>
          <w:tcPr>
            <w:tcW w:w="1486" w:type="dxa"/>
          </w:tcPr>
          <w:p w:rsidR="00D849AA" w:rsidRDefault="00EE6D95">
            <w:r>
              <w:t>2.859.750</w:t>
            </w:r>
          </w:p>
        </w:tc>
        <w:tc>
          <w:tcPr>
            <w:tcW w:w="1486" w:type="dxa"/>
          </w:tcPr>
          <w:p w:rsidR="00D849AA" w:rsidRDefault="00EE6D95">
            <w:r>
              <w:t>177,9</w:t>
            </w:r>
          </w:p>
        </w:tc>
      </w:tr>
    </w:tbl>
    <w:p w:rsidR="00D849AA" w:rsidRDefault="00D849AA">
      <w:pPr>
        <w:jc w:val="left"/>
      </w:pPr>
    </w:p>
    <w:p w:rsidR="00D849AA" w:rsidRDefault="00EE6D95">
      <w:pPr>
        <w:pStyle w:val="Normal6"/>
      </w:pPr>
      <w:r>
        <w:t>Međunarodnim sudjelovanjem u radu i praćenjem rada pojedinih tijela EU i VE, te na organizaciju međunarodnih skupova i konferencija te za sudjelovanje na međunarodnim događanjima drugih organizatora u cilju osnaživanja međunarodne suradnje i statusa Republike Hrvatske na području socijalne politike i socijalnog uključivanja pri postizanju ciljeva iz zajedničke europske strategije za gospodarski rast Europa 2020. Radi zaštite interesa djece i obitelji Ministarstvo će sudjelovanjem u procesima donošenja odluka, provedbom ugovora i konvencija te uspostavljanjem međuresorne i međunarodne suradnje s nadležnim tijelima stvoriti okvir za ispunjavanje preuzetih obveza i u suradnji s nadležnim tijelima i ustanovama u koordinaciji sustava socijalne sigurnosti olakšati slobode kretanja u skladu s europskom pravnom stečevinom i nacionalnim propisima, sukladno svom djelokrugu i nadležnosti. Članstvo u Europskoj uniji dovodi do povećanja broja zahtjeva s međunarodnim elementom, na razini Europske unije i međunarodnih te europskih organizacija donose se novi međunarodni instrumenti radi zaštite ranjivih skupina. Osiguranjem spremnosti na sudjelovanje u međunarodnoj pravnoj zaštiti ranjivih skupina te u tom smislu Ministarstvo će prioritetno osnažiti administrativne kapacitete, osigurati organizacijske i tehničke uvjete i stvoriti pravne pretpostavke čime će se omogućiti pravovremeno i učinkovito postupanje radi zaštite interesa djece i obitelji. Ujedno, time će omogućiti i uvjeti za daljnje sudjelovanje u širem sustavu koordinacije socijalne sigurnosti te osigurati doprinos Republike Hrvatske u procesu izrade međunarodnih i EU instrumenata.</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573"/>
        <w:gridCol w:w="1372"/>
        <w:gridCol w:w="1107"/>
        <w:gridCol w:w="1412"/>
        <w:gridCol w:w="1412"/>
        <w:gridCol w:w="1412"/>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Sudjelovanje u radu i praćenje rada pojedinih tijela EU i VE</w:t>
            </w:r>
          </w:p>
        </w:tc>
        <w:tc>
          <w:tcPr>
            <w:tcW w:w="1114" w:type="dxa"/>
          </w:tcPr>
          <w:p w:rsidR="00D849AA" w:rsidRDefault="00EE6D95">
            <w:r>
              <w:t>broj sastanaka</w:t>
            </w:r>
          </w:p>
        </w:tc>
        <w:tc>
          <w:tcPr>
            <w:tcW w:w="1114" w:type="dxa"/>
          </w:tcPr>
          <w:p w:rsidR="00D849AA" w:rsidRDefault="00EE6D95">
            <w:r>
              <w:t>30</w:t>
            </w:r>
          </w:p>
        </w:tc>
        <w:tc>
          <w:tcPr>
            <w:tcW w:w="1486" w:type="dxa"/>
          </w:tcPr>
          <w:p w:rsidR="00D849AA" w:rsidRDefault="00EE6D95">
            <w:r>
              <w:t>34</w:t>
            </w:r>
          </w:p>
        </w:tc>
        <w:tc>
          <w:tcPr>
            <w:tcW w:w="1486" w:type="dxa"/>
          </w:tcPr>
          <w:p w:rsidR="00D849AA" w:rsidRDefault="00EE6D95">
            <w:r>
              <w:t>34</w:t>
            </w:r>
          </w:p>
        </w:tc>
        <w:tc>
          <w:tcPr>
            <w:tcW w:w="1486" w:type="dxa"/>
          </w:tcPr>
          <w:p w:rsidR="00D849AA" w:rsidRDefault="00EE6D95">
            <w:r>
              <w:t>34</w:t>
            </w:r>
          </w:p>
        </w:tc>
      </w:tr>
      <w:tr w:rsidR="00D849AA">
        <w:trPr>
          <w:jc w:val="center"/>
        </w:trPr>
        <w:tc>
          <w:tcPr>
            <w:tcW w:w="2229" w:type="dxa"/>
          </w:tcPr>
          <w:p w:rsidR="00D849AA" w:rsidRDefault="00EE6D95" w:rsidP="00152705">
            <w:pPr>
              <w:pStyle w:val="CellColumn"/>
              <w:jc w:val="left"/>
            </w:pPr>
            <w:r>
              <w:t>Poduzete aktivnosti vezane uz programe Unije (odnosno pravne  sljednike postojećih Programa Mladi na djelu, DAPHNE III i PROGRESS). Nadzor nad radom Agencije za mobilnost i programe EU.</w:t>
            </w:r>
          </w:p>
        </w:tc>
        <w:tc>
          <w:tcPr>
            <w:tcW w:w="1114" w:type="dxa"/>
          </w:tcPr>
          <w:p w:rsidR="00D849AA" w:rsidRDefault="00EE6D95">
            <w:r>
              <w:t>broj aktivnosti</w:t>
            </w:r>
          </w:p>
        </w:tc>
        <w:tc>
          <w:tcPr>
            <w:tcW w:w="1114" w:type="dxa"/>
          </w:tcPr>
          <w:p w:rsidR="00D849AA" w:rsidRDefault="00EE6D95">
            <w:r>
              <w:t>1</w:t>
            </w:r>
          </w:p>
        </w:tc>
        <w:tc>
          <w:tcPr>
            <w:tcW w:w="1486" w:type="dxa"/>
          </w:tcPr>
          <w:p w:rsidR="00D849AA" w:rsidRDefault="00EE6D95">
            <w:r>
              <w:t>4</w:t>
            </w:r>
          </w:p>
        </w:tc>
        <w:tc>
          <w:tcPr>
            <w:tcW w:w="1486" w:type="dxa"/>
          </w:tcPr>
          <w:p w:rsidR="00D849AA" w:rsidRDefault="00EE6D95">
            <w:r>
              <w:t>4</w:t>
            </w:r>
          </w:p>
        </w:tc>
        <w:tc>
          <w:tcPr>
            <w:tcW w:w="1486" w:type="dxa"/>
          </w:tcPr>
          <w:p w:rsidR="00D849AA" w:rsidRDefault="00EE6D95">
            <w:r>
              <w:t>4</w:t>
            </w:r>
          </w:p>
        </w:tc>
      </w:tr>
      <w:tr w:rsidR="00D849AA">
        <w:trPr>
          <w:jc w:val="center"/>
        </w:trPr>
        <w:tc>
          <w:tcPr>
            <w:tcW w:w="2229" w:type="dxa"/>
          </w:tcPr>
          <w:p w:rsidR="00D849AA" w:rsidRDefault="00EE6D95" w:rsidP="00152705">
            <w:pPr>
              <w:pStyle w:val="CellColumn"/>
              <w:jc w:val="left"/>
            </w:pPr>
            <w:r>
              <w:t>Izrađena izvješća  o  provedbi nacionalnih strateških dokumenata koji proizlaze iz članstva Republike Hrvatske u Europskoj uniji te stručne podloge za nacionalna stajališta</w:t>
            </w:r>
          </w:p>
        </w:tc>
        <w:tc>
          <w:tcPr>
            <w:tcW w:w="1114" w:type="dxa"/>
          </w:tcPr>
          <w:p w:rsidR="00D849AA" w:rsidRDefault="00EE6D95">
            <w:r>
              <w:t>broj izvješća, stručnih podloga</w:t>
            </w:r>
          </w:p>
        </w:tc>
        <w:tc>
          <w:tcPr>
            <w:tcW w:w="1114" w:type="dxa"/>
          </w:tcPr>
          <w:p w:rsidR="00D849AA" w:rsidRDefault="00EE6D95">
            <w:r>
              <w:t>1</w:t>
            </w:r>
          </w:p>
        </w:tc>
        <w:tc>
          <w:tcPr>
            <w:tcW w:w="1486" w:type="dxa"/>
          </w:tcPr>
          <w:p w:rsidR="00D849AA" w:rsidRDefault="00EE6D95">
            <w:r>
              <w:t>8</w:t>
            </w:r>
          </w:p>
        </w:tc>
        <w:tc>
          <w:tcPr>
            <w:tcW w:w="1486" w:type="dxa"/>
          </w:tcPr>
          <w:p w:rsidR="00D849AA" w:rsidRDefault="00EE6D95">
            <w:r>
              <w:t>10</w:t>
            </w:r>
          </w:p>
        </w:tc>
        <w:tc>
          <w:tcPr>
            <w:tcW w:w="1486" w:type="dxa"/>
          </w:tcPr>
          <w:p w:rsidR="00D849AA" w:rsidRDefault="00EE6D95">
            <w:r>
              <w:t>12</w:t>
            </w:r>
          </w:p>
        </w:tc>
      </w:tr>
      <w:tr w:rsidR="00D849AA">
        <w:trPr>
          <w:jc w:val="center"/>
        </w:trPr>
        <w:tc>
          <w:tcPr>
            <w:tcW w:w="2229" w:type="dxa"/>
          </w:tcPr>
          <w:p w:rsidR="00D849AA" w:rsidRDefault="00EE6D95">
            <w:pPr>
              <w:pStyle w:val="CellColumn"/>
            </w:pPr>
            <w:r>
              <w:lastRenderedPageBreak/>
              <w:t>Ostvarena bilateralna i multilateralna suradnja</w:t>
            </w:r>
          </w:p>
        </w:tc>
        <w:tc>
          <w:tcPr>
            <w:tcW w:w="1114" w:type="dxa"/>
          </w:tcPr>
          <w:p w:rsidR="00D849AA" w:rsidRDefault="00EE6D95">
            <w:r>
              <w:t>broj susreta, sastanaka, inicijativa</w:t>
            </w:r>
          </w:p>
        </w:tc>
        <w:tc>
          <w:tcPr>
            <w:tcW w:w="1114" w:type="dxa"/>
          </w:tcPr>
          <w:p w:rsidR="00D849AA" w:rsidRDefault="00EE6D95">
            <w:r>
              <w:t>2</w:t>
            </w:r>
          </w:p>
        </w:tc>
        <w:tc>
          <w:tcPr>
            <w:tcW w:w="1486" w:type="dxa"/>
          </w:tcPr>
          <w:p w:rsidR="00D849AA" w:rsidRDefault="00EE6D95">
            <w:r>
              <w:t>4</w:t>
            </w:r>
          </w:p>
        </w:tc>
        <w:tc>
          <w:tcPr>
            <w:tcW w:w="1486" w:type="dxa"/>
          </w:tcPr>
          <w:p w:rsidR="00D849AA" w:rsidRDefault="00EE6D95">
            <w:r>
              <w:t>4</w:t>
            </w:r>
          </w:p>
        </w:tc>
        <w:tc>
          <w:tcPr>
            <w:tcW w:w="1486" w:type="dxa"/>
          </w:tcPr>
          <w:p w:rsidR="00D849AA" w:rsidRDefault="00EE6D95">
            <w:r>
              <w:t>4</w:t>
            </w:r>
          </w:p>
        </w:tc>
      </w:tr>
      <w:tr w:rsidR="00D849AA">
        <w:trPr>
          <w:jc w:val="center"/>
        </w:trPr>
        <w:tc>
          <w:tcPr>
            <w:tcW w:w="2229" w:type="dxa"/>
          </w:tcPr>
          <w:p w:rsidR="00D849AA" w:rsidRDefault="00EE6D95">
            <w:pPr>
              <w:pStyle w:val="CellColumn"/>
            </w:pPr>
            <w:r>
              <w:t>Organizirani međunarodni skupovi i konferencije te sudjelovanje na međunarodnim događanjima drugih organizatora</w:t>
            </w:r>
          </w:p>
        </w:tc>
        <w:tc>
          <w:tcPr>
            <w:tcW w:w="1114" w:type="dxa"/>
          </w:tcPr>
          <w:p w:rsidR="00D849AA" w:rsidRDefault="00EE6D95">
            <w:r>
              <w:t>broj međunarodnih događanja</w:t>
            </w:r>
          </w:p>
        </w:tc>
        <w:tc>
          <w:tcPr>
            <w:tcW w:w="1114" w:type="dxa"/>
          </w:tcPr>
          <w:p w:rsidR="00D849AA" w:rsidRDefault="00EE6D95">
            <w:r>
              <w:t>2</w:t>
            </w:r>
          </w:p>
        </w:tc>
        <w:tc>
          <w:tcPr>
            <w:tcW w:w="1486" w:type="dxa"/>
          </w:tcPr>
          <w:p w:rsidR="00D849AA" w:rsidRDefault="00EE6D95">
            <w:r>
              <w:t>4</w:t>
            </w:r>
          </w:p>
        </w:tc>
        <w:tc>
          <w:tcPr>
            <w:tcW w:w="1486" w:type="dxa"/>
          </w:tcPr>
          <w:p w:rsidR="00D849AA" w:rsidRDefault="00EE6D95">
            <w:r>
              <w:t>4</w:t>
            </w:r>
          </w:p>
        </w:tc>
        <w:tc>
          <w:tcPr>
            <w:tcW w:w="1486" w:type="dxa"/>
          </w:tcPr>
          <w:p w:rsidR="00D849AA" w:rsidRDefault="00EE6D95">
            <w:r>
              <w:t>4</w:t>
            </w:r>
          </w:p>
        </w:tc>
      </w:tr>
      <w:tr w:rsidR="00D849AA">
        <w:trPr>
          <w:jc w:val="center"/>
        </w:trPr>
        <w:tc>
          <w:tcPr>
            <w:tcW w:w="2229" w:type="dxa"/>
          </w:tcPr>
          <w:p w:rsidR="00D849AA" w:rsidRDefault="00EE6D95">
            <w:pPr>
              <w:pStyle w:val="CellColumn"/>
            </w:pPr>
            <w:r>
              <w:t>Pravovremeno izvještena relevantna međunarodna i regionalna tijela/organizacije/incijative o aktivnostima iz nadležnosti Ministarstva</w:t>
            </w:r>
          </w:p>
        </w:tc>
        <w:tc>
          <w:tcPr>
            <w:tcW w:w="1114" w:type="dxa"/>
          </w:tcPr>
          <w:p w:rsidR="00D849AA" w:rsidRDefault="00EE6D95">
            <w:r>
              <w:t>broj dokumenata</w:t>
            </w:r>
          </w:p>
        </w:tc>
        <w:tc>
          <w:tcPr>
            <w:tcW w:w="1114" w:type="dxa"/>
          </w:tcPr>
          <w:p w:rsidR="00D849AA" w:rsidRDefault="00EE6D95">
            <w:r>
              <w:t>2</w:t>
            </w:r>
          </w:p>
        </w:tc>
        <w:tc>
          <w:tcPr>
            <w:tcW w:w="1486" w:type="dxa"/>
          </w:tcPr>
          <w:p w:rsidR="00D849AA" w:rsidRDefault="00EE6D95">
            <w:r>
              <w:t>2</w:t>
            </w:r>
          </w:p>
        </w:tc>
        <w:tc>
          <w:tcPr>
            <w:tcW w:w="1486" w:type="dxa"/>
          </w:tcPr>
          <w:p w:rsidR="00D849AA" w:rsidRDefault="00EE6D95">
            <w:r>
              <w:t>3</w:t>
            </w:r>
          </w:p>
        </w:tc>
        <w:tc>
          <w:tcPr>
            <w:tcW w:w="1486" w:type="dxa"/>
          </w:tcPr>
          <w:p w:rsidR="00D849AA" w:rsidRDefault="00EE6D95">
            <w:r>
              <w:t>3</w:t>
            </w:r>
          </w:p>
        </w:tc>
      </w:tr>
    </w:tbl>
    <w:p w:rsidR="00D849AA" w:rsidRDefault="00D849AA">
      <w:pPr>
        <w:jc w:val="left"/>
      </w:pPr>
    </w:p>
    <w:p w:rsidR="00562CD8" w:rsidRDefault="00562CD8" w:rsidP="00562CD8">
      <w:pPr>
        <w:pStyle w:val="Naslov4"/>
      </w:pPr>
      <w:r>
        <w:t>OBRAZLOŽENJE PROGRAMA</w:t>
      </w:r>
    </w:p>
    <w:p w:rsidR="00D849AA" w:rsidRDefault="00EE6D95">
      <w:pPr>
        <w:pStyle w:val="Naslov5"/>
      </w:pPr>
      <w:r>
        <w:t>4006 SOCIJALNO OSNAŽIVANJE OSOBA S INVALIDITETOM</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4006</w:t>
            </w:r>
          </w:p>
        </w:tc>
        <w:tc>
          <w:tcPr>
            <w:tcW w:w="1486" w:type="dxa"/>
          </w:tcPr>
          <w:p w:rsidR="00D849AA" w:rsidRDefault="00EE6D95">
            <w:r>
              <w:t>38.924.182</w:t>
            </w:r>
          </w:p>
        </w:tc>
        <w:tc>
          <w:tcPr>
            <w:tcW w:w="1486" w:type="dxa"/>
          </w:tcPr>
          <w:p w:rsidR="00D849AA" w:rsidRDefault="00EE6D95">
            <w:r>
              <w:t>42.254.041</w:t>
            </w:r>
          </w:p>
        </w:tc>
        <w:tc>
          <w:tcPr>
            <w:tcW w:w="1486" w:type="dxa"/>
          </w:tcPr>
          <w:p w:rsidR="00D849AA" w:rsidRDefault="00EE6D95">
            <w:r>
              <w:t>43.170.717</w:t>
            </w:r>
          </w:p>
        </w:tc>
        <w:tc>
          <w:tcPr>
            <w:tcW w:w="1486" w:type="dxa"/>
          </w:tcPr>
          <w:p w:rsidR="00D849AA" w:rsidRDefault="00EE6D95">
            <w:r>
              <w:t>44.066.315</w:t>
            </w:r>
          </w:p>
        </w:tc>
        <w:tc>
          <w:tcPr>
            <w:tcW w:w="1486" w:type="dxa"/>
          </w:tcPr>
          <w:p w:rsidR="00D849AA" w:rsidRDefault="00EE6D95">
            <w:r>
              <w:t>108,6</w:t>
            </w:r>
          </w:p>
        </w:tc>
      </w:tr>
    </w:tbl>
    <w:p w:rsidR="00D849AA" w:rsidRDefault="00D849AA">
      <w:pPr>
        <w:jc w:val="left"/>
      </w:pPr>
    </w:p>
    <w:p w:rsidR="00D849AA" w:rsidRDefault="00EE6D95">
      <w:pPr>
        <w:pStyle w:val="Naslov6"/>
      </w:pPr>
      <w:r>
        <w:t>Opis programa</w:t>
      </w:r>
    </w:p>
    <w:p w:rsidR="00D849AA" w:rsidRDefault="00EE6D95">
      <w:pPr>
        <w:pStyle w:val="Normal5"/>
      </w:pPr>
      <w:r>
        <w:t>U svrhu učinkovitije integracije osoba s invaliditetom u život zajednice i prevencije  njihove institucionalizacije, a time i jačanjem mogućnosti deinstitucionalizacije, u narednom razdoblju će se i dalje poticati razvoj trajnih izvaninstitucionalnih oblika skrbi i potpora namijenjenih djeci s teškoćama u razvoju, osobama s invaliditetom i njihovim obiteljima. Jedan od trajnih oblika skrbi o osobama s invaliditetom je skrb o osobama s najtežom vrstom i stupnjem invaliditeta kojima će se  i dalje osiguravati uslugu osobne asistencije, a za što je planirano i zakonsko reguliranje ove usluge kojim će se trajno uspostaviti pravni, organizacijski i financijski sustav koji će  jamčiti osobama s najtežom vrstom i stupnjem invaliditeta neovisno življenje. Usluga osobnog asistenta osobama s najtežom vrstom i stupnjem invaliditeta osiguravat će se i  dalje u suradnji s udrugama osoba s invaliditetom putem javnog natječaja koristeći sredstva državnog proračuna i dijela prihoda od igara na sreću kroz trogodišnje programe.  Navedena usluga u 2013. godini osigurana je za 631 korisnika u suradnji sa 78 udruga osoba s invaliditetom u 20 županija u Republici Hrvatskoj, a prednost pri zapošljavanju, u ulozi osobnog asistenta, imaju nezaposlene osobe.</w:t>
      </w:r>
    </w:p>
    <w:p w:rsidR="00D849AA" w:rsidRDefault="00EE6D95">
      <w:pPr>
        <w:pStyle w:val="Naslov6"/>
      </w:pPr>
      <w:r>
        <w:t>Zakonske i druge pravne osnove</w:t>
      </w:r>
    </w:p>
    <w:p w:rsidR="00D849AA" w:rsidRDefault="00EE6D95">
      <w:pPr>
        <w:pStyle w:val="Normal5"/>
      </w:pPr>
      <w:r>
        <w:t>Zakon o potvrđivanju Konvencije o pravima osoba s invaliditetom Ujedinjenih naroda i Fakultativnog protokola uz Konvenciju o pravima osoba s invaliditetom- Nacionalna  strategija izjednačavanja mogućnosti za osobe s invaliditetom od 2007. do 2015. godine</w:t>
      </w:r>
    </w:p>
    <w:p w:rsidR="00D849AA" w:rsidRDefault="00EE6D95">
      <w:pPr>
        <w:pStyle w:val="Naslov6"/>
      </w:pPr>
      <w:r>
        <w:lastRenderedPageBreak/>
        <w:t>Ciljevi provedbe programa u razdoblju 2014.-2016. i pokazatelji uspješnosti kojima će se mjeriti ostvarenje tih ciljeva</w:t>
      </w:r>
    </w:p>
    <w:p w:rsidR="00D849AA" w:rsidRDefault="00EE6D95">
      <w:pPr>
        <w:pStyle w:val="Naslov7"/>
      </w:pPr>
      <w:r>
        <w:t>Cilj 1. Povećati stupanj socijalne uključenosti osoba s invaliditetom</w:t>
      </w:r>
    </w:p>
    <w:p w:rsidR="00D849AA" w:rsidRDefault="00EE6D95">
      <w:pPr>
        <w:pStyle w:val="Normal6"/>
      </w:pPr>
      <w:r>
        <w:t>Ministarstvo posebnu pozornost poklanja podizanju kvalitete života osoba s invaliditetom povećanjem stupnja socijalne  uključenosti osoba s invaliditetom, osiguravajući pružanje usluge osobne asistencije, zatim osiguravanjem usluge tumača znakovnog jezika, osiguravanjem financijske potpore za projekte kojima se razvija mreža socijalnih usluga za djecu s teškoćama u razvoju, mlade i odrasle osobe s invaliditetom te razvijanjem programa podrške obiteljima djece s teškoćama u razvoju, mladima i odraslim osobama s invaliditetom, te uz suradnju s udrugama osoba s invaliditetom i znanstvenim institucijama.</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339"/>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rsidP="00152705">
            <w:pPr>
              <w:pStyle w:val="CellColumn"/>
              <w:jc w:val="left"/>
            </w:pPr>
            <w:r>
              <w:t>Smanjenje broja korisnika na stalnom i tjednom smještaju u promatranoj godini za svaku korisničku skupinu (djeca s teškoćama u razvoju, odrasle osobe s invaliditetom) u usporedbi s prethodnom godinom i povećanje broja korisnika usluge organiziranog stanovanja uz podršku, te razvijena i proširena mreža usluga u zajednici</w:t>
            </w:r>
          </w:p>
        </w:tc>
        <w:tc>
          <w:tcPr>
            <w:tcW w:w="1114" w:type="dxa"/>
          </w:tcPr>
          <w:p w:rsidR="00D849AA" w:rsidRDefault="00EE6D95">
            <w:r>
              <w:t>broj domova uključenih u proces/broj izmještenih korisnika/broj projekata</w:t>
            </w:r>
          </w:p>
        </w:tc>
        <w:tc>
          <w:tcPr>
            <w:tcW w:w="1114" w:type="dxa"/>
          </w:tcPr>
          <w:p w:rsidR="00D849AA" w:rsidRDefault="00EE6D95">
            <w:r>
              <w:t>2/45/240</w:t>
            </w:r>
          </w:p>
        </w:tc>
        <w:tc>
          <w:tcPr>
            <w:tcW w:w="1486" w:type="dxa"/>
          </w:tcPr>
          <w:p w:rsidR="00D849AA" w:rsidRDefault="00EE6D95">
            <w:r>
              <w:t>10/300/260</w:t>
            </w:r>
          </w:p>
        </w:tc>
        <w:tc>
          <w:tcPr>
            <w:tcW w:w="1486" w:type="dxa"/>
          </w:tcPr>
          <w:p w:rsidR="00D849AA" w:rsidRDefault="00EE6D95">
            <w:r>
              <w:t>20/600/290</w:t>
            </w:r>
          </w:p>
        </w:tc>
        <w:tc>
          <w:tcPr>
            <w:tcW w:w="1486" w:type="dxa"/>
          </w:tcPr>
          <w:p w:rsidR="00D849AA" w:rsidRDefault="00EE6D95">
            <w:r>
              <w:t>30/1.480/350</w:t>
            </w:r>
          </w:p>
        </w:tc>
      </w:tr>
    </w:tbl>
    <w:p w:rsidR="00D849AA" w:rsidRDefault="00D849AA">
      <w:pPr>
        <w:jc w:val="left"/>
      </w:pPr>
    </w:p>
    <w:p w:rsidR="00D849AA" w:rsidRDefault="00EE6D95">
      <w:pPr>
        <w:pStyle w:val="Naslov7"/>
      </w:pPr>
      <w:r>
        <w:t xml:space="preserve">Cilj 2. Unapređivanje skrbi o osobama s invaliditetom uspostavljanjem djelotvornije koordinacije, praćenja i vrednovanja provedbe Nacionalne strategije izjednačavanja mogućnosti za osobe s invaliditetom od 2007. do 2015. godine i Konvencije o pravima osoba s invaliditetom UN-a </w:t>
      </w:r>
    </w:p>
    <w:p w:rsidR="00D849AA" w:rsidRDefault="00EE6D95">
      <w:pPr>
        <w:pStyle w:val="Normal6"/>
      </w:pPr>
      <w:r>
        <w:t>Kvalitetnom vertikalnom i horizontalnom koordinacijom provedbe mjera definiranih Nacionalnom strategijom u nadležnosti tijela državne uprave, međuresornom suradnjom i provođenjem mjera na lokalnoj razini, suradnjom s jedinicama lokalne, područne (regionalne) samouprave te organizacijama civilnog društva, kao i dobrim usklađivanjem s drugim politikama koje se bave osobama s invaliditetom, pridonijet će se osiguravanju kvalitetnijih uvjeta života u zajednici za osobe s invaliditetom, što će rezultirati i kvalitetnijim ostvarivanjem navedenog cilja.</w:t>
      </w:r>
    </w:p>
    <w:p w:rsidR="00562CD8" w:rsidRDefault="00562CD8">
      <w:pPr>
        <w:pStyle w:val="Normal6"/>
      </w:pPr>
    </w:p>
    <w:p w:rsidR="00562CD8" w:rsidRDefault="00562CD8">
      <w:pPr>
        <w:pStyle w:val="Normal6"/>
      </w:pPr>
    </w:p>
    <w:p w:rsidR="00D849AA" w:rsidRDefault="00EE6D95">
      <w:pPr>
        <w:pStyle w:val="Naslov8"/>
        <w:jc w:val="left"/>
      </w:pPr>
      <w:r>
        <w:lastRenderedPageBreak/>
        <w:t>Pokazatelji učinka</w:t>
      </w:r>
    </w:p>
    <w:tbl>
      <w:tblPr>
        <w:tblStyle w:val="Reetkatablice"/>
        <w:tblW w:w="0" w:type="auto"/>
        <w:jc w:val="center"/>
        <w:tblLook w:val="04A0" w:firstRow="1" w:lastRow="0" w:firstColumn="1" w:lastColumn="0" w:noHBand="0" w:noVBand="1"/>
      </w:tblPr>
      <w:tblGrid>
        <w:gridCol w:w="2229"/>
        <w:gridCol w:w="1116"/>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Uspostavljena kvalitetna koordinacija provedbom Nacionalne strategije izjednačavanja mogućnosti za osobe  sinvaliditetom od 2007. do 2015. i Konvencije o pravima osoba  s invaliditetom UN-a</w:t>
            </w:r>
          </w:p>
        </w:tc>
        <w:tc>
          <w:tcPr>
            <w:tcW w:w="1114" w:type="dxa"/>
          </w:tcPr>
          <w:p w:rsidR="00D849AA" w:rsidRDefault="00EE6D95">
            <w:r>
              <w:t>postotak uključenih dionika/                     postotak provedenih mjera/            postotak uključenih dionika</w:t>
            </w:r>
          </w:p>
        </w:tc>
        <w:tc>
          <w:tcPr>
            <w:tcW w:w="1114" w:type="dxa"/>
          </w:tcPr>
          <w:p w:rsidR="00D849AA" w:rsidRDefault="00EE6D95">
            <w:r>
              <w:t>50/50/55</w:t>
            </w:r>
          </w:p>
        </w:tc>
        <w:tc>
          <w:tcPr>
            <w:tcW w:w="1486" w:type="dxa"/>
          </w:tcPr>
          <w:p w:rsidR="00D849AA" w:rsidRDefault="00EE6D95">
            <w:r>
              <w:t>80/70/70</w:t>
            </w:r>
          </w:p>
        </w:tc>
        <w:tc>
          <w:tcPr>
            <w:tcW w:w="1486" w:type="dxa"/>
          </w:tcPr>
          <w:p w:rsidR="00D849AA" w:rsidRDefault="00EE6D95">
            <w:r>
              <w:t>85/80/90</w:t>
            </w:r>
          </w:p>
        </w:tc>
        <w:tc>
          <w:tcPr>
            <w:tcW w:w="1486" w:type="dxa"/>
          </w:tcPr>
          <w:p w:rsidR="00D849AA" w:rsidRDefault="00EE6D95">
            <w:r>
              <w:t>90/90/100</w:t>
            </w:r>
          </w:p>
        </w:tc>
      </w:tr>
    </w:tbl>
    <w:p w:rsidR="00D849AA" w:rsidRDefault="00D849AA">
      <w:pPr>
        <w:jc w:val="left"/>
      </w:pPr>
    </w:p>
    <w:p w:rsidR="00D849AA" w:rsidRDefault="00EE6D95">
      <w:pPr>
        <w:pStyle w:val="Naslov5"/>
      </w:pPr>
      <w:r>
        <w:t>Procjena i ishodište potrebnih sredstava za značajnije aktivnosti/projekte</w:t>
      </w:r>
    </w:p>
    <w:p w:rsidR="00D849AA" w:rsidRDefault="00EE6D95">
      <w:pPr>
        <w:pStyle w:val="Naslov6"/>
      </w:pPr>
      <w:r>
        <w:t>A754019 ODOBRAVANJE FINANCIJSKE POTPORE ZA PROGRAME I PROJEKTE USMJERENE DJECI S TEŠKOĆAMA I ODRASLIM OSOBAMA S INVALIDITETOM</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A754019</w:t>
            </w:r>
          </w:p>
        </w:tc>
        <w:tc>
          <w:tcPr>
            <w:tcW w:w="1486" w:type="dxa"/>
          </w:tcPr>
          <w:p w:rsidR="00D849AA" w:rsidRDefault="00EE6D95">
            <w:r>
              <w:t>38.589.052</w:t>
            </w:r>
          </w:p>
        </w:tc>
        <w:tc>
          <w:tcPr>
            <w:tcW w:w="1486" w:type="dxa"/>
          </w:tcPr>
          <w:p w:rsidR="00D849AA" w:rsidRDefault="00EE6D95">
            <w:r>
              <w:t>41.919.041</w:t>
            </w:r>
          </w:p>
        </w:tc>
        <w:tc>
          <w:tcPr>
            <w:tcW w:w="1486" w:type="dxa"/>
          </w:tcPr>
          <w:p w:rsidR="00D849AA" w:rsidRDefault="00EE6D95">
            <w:r>
              <w:t>42.835.717</w:t>
            </w:r>
          </w:p>
        </w:tc>
        <w:tc>
          <w:tcPr>
            <w:tcW w:w="1486" w:type="dxa"/>
          </w:tcPr>
          <w:p w:rsidR="00D849AA" w:rsidRDefault="00EE6D95">
            <w:r>
              <w:t>43.731.315</w:t>
            </w:r>
          </w:p>
        </w:tc>
        <w:tc>
          <w:tcPr>
            <w:tcW w:w="1486" w:type="dxa"/>
          </w:tcPr>
          <w:p w:rsidR="00D849AA" w:rsidRDefault="00EE6D95">
            <w:r>
              <w:t>108,6</w:t>
            </w:r>
          </w:p>
        </w:tc>
      </w:tr>
    </w:tbl>
    <w:p w:rsidR="00D849AA" w:rsidRDefault="00D849AA">
      <w:pPr>
        <w:jc w:val="left"/>
      </w:pPr>
    </w:p>
    <w:p w:rsidR="00D849AA" w:rsidRDefault="00EE6D95">
      <w:pPr>
        <w:pStyle w:val="Normal6"/>
      </w:pPr>
      <w:r>
        <w:t>Jedan od trajnih oblika skrbi o osobama s invaliditetom je skrb o osobama s najtežom vrstom i stupnjem invaliditeta kojima će Ministarstvo i dalje osiguravati uslugu osobne asistencije. Usluga osobnog asistenta osobama s najtežom vrstom i stupnjem invaliditeta osiguravat će se i dalje u suradnji s udrugama osoba s invaliditetom putem javnog natječaja koristeći sredstva Državnog proračuna i dijela prihoda od igara na sreću kroz trogodišnje programe. Navedena usluga u 2013.godini osigurana je za 631 korisnika u suradnji sa 78 udruga osoba s invaliditetom u 20 županija u Republici Hrvatskoj, a prednost pri zapošljavanju, u ulozi osobnog asistenta, imaju nezaposlene osobe. U svrhu socijalne uključenosti osoba s različitim vrstama i stupnjevima oštećenja  Ministarstvo će za Europski Socijalni Fond pripremiti projekte usmjerene na razvoj i širenje mreže socijalnih usluga kao što su usluge osobnog asistenta, tumača/prevoditelja znakovnog jezika i videćeg pratitelja slijepim osobama i druge usluge povezivanjem postojećih nacionalnih resursa i širenjem mreže usluga korištenjem sredstava Državnog proračuna i fondova EU. Osiguravanjem kvalitetnih usluga u zajednici, posebno pri planiranju procesa deinstitucionalizacije ključna je kvalitetna koordinacija i usklađivanje procesa na nacionalnoj i regionalnoj (županijskoj) razini, te koordinacija i usklađivanje procesa razvoja mreže institucionalnih i alternativnih usluga svih pružatelja usluga.</w:t>
      </w:r>
    </w:p>
    <w:p w:rsidR="00562CD8" w:rsidRDefault="00562CD8">
      <w:pPr>
        <w:pStyle w:val="Normal6"/>
      </w:pPr>
    </w:p>
    <w:p w:rsidR="00562CD8" w:rsidRDefault="00562CD8">
      <w:pPr>
        <w:pStyle w:val="Normal6"/>
      </w:pPr>
    </w:p>
    <w:p w:rsidR="00562CD8" w:rsidRDefault="00562CD8">
      <w:pPr>
        <w:pStyle w:val="Normal6"/>
      </w:pPr>
    </w:p>
    <w:p w:rsidR="00562CD8" w:rsidRDefault="00562CD8">
      <w:pPr>
        <w:pStyle w:val="Normal6"/>
      </w:pPr>
    </w:p>
    <w:p w:rsidR="00D849AA" w:rsidRDefault="00EE6D95">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2229"/>
        <w:gridCol w:w="1116"/>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rsidP="009729DD">
            <w:pPr>
              <w:pStyle w:val="CellColumn"/>
              <w:jc w:val="left"/>
            </w:pPr>
            <w:r>
              <w:t>Povećani broj pružatelja usluga i povećani broj korisnika usluge (organizirano stanovanje, osobnih asistenata, tumača znakovnog jezika, videćih pratitelja i sl.) kroz projekte</w:t>
            </w:r>
          </w:p>
        </w:tc>
        <w:tc>
          <w:tcPr>
            <w:tcW w:w="1114" w:type="dxa"/>
          </w:tcPr>
          <w:p w:rsidR="00D849AA" w:rsidRDefault="00EE6D95">
            <w:r>
              <w:t>broj projekata</w:t>
            </w:r>
          </w:p>
        </w:tc>
        <w:tc>
          <w:tcPr>
            <w:tcW w:w="1114" w:type="dxa"/>
          </w:tcPr>
          <w:p w:rsidR="00D849AA" w:rsidRDefault="00EE6D95">
            <w:r>
              <w:t>240</w:t>
            </w:r>
          </w:p>
        </w:tc>
        <w:tc>
          <w:tcPr>
            <w:tcW w:w="1486" w:type="dxa"/>
          </w:tcPr>
          <w:p w:rsidR="00D849AA" w:rsidRDefault="00EE6D95">
            <w:r>
              <w:t>280</w:t>
            </w:r>
          </w:p>
        </w:tc>
        <w:tc>
          <w:tcPr>
            <w:tcW w:w="1486" w:type="dxa"/>
          </w:tcPr>
          <w:p w:rsidR="00D849AA" w:rsidRDefault="00EE6D95">
            <w:r>
              <w:t>290</w:t>
            </w:r>
          </w:p>
        </w:tc>
        <w:tc>
          <w:tcPr>
            <w:tcW w:w="1486" w:type="dxa"/>
          </w:tcPr>
          <w:p w:rsidR="00D849AA" w:rsidRDefault="00EE6D95">
            <w:r>
              <w:t>350</w:t>
            </w:r>
          </w:p>
        </w:tc>
      </w:tr>
      <w:tr w:rsidR="00D849AA">
        <w:trPr>
          <w:jc w:val="center"/>
        </w:trPr>
        <w:tc>
          <w:tcPr>
            <w:tcW w:w="2229" w:type="dxa"/>
          </w:tcPr>
          <w:p w:rsidR="00D849AA" w:rsidRDefault="00EE6D95" w:rsidP="009729DD">
            <w:pPr>
              <w:pStyle w:val="CellColumn"/>
              <w:jc w:val="left"/>
            </w:pPr>
            <w:r>
              <w:t>Udio uključenih nositelja i sunositelja na nacionalnoj, područnoj (regionalnoj) i lokalnoj razini u edukacije vezane uz provedbu, praćenje, vrednovanje i izvještavanje o provedbi mjera Nacionalne strategije te broj donesenih lokalnih strategija</w:t>
            </w:r>
          </w:p>
        </w:tc>
        <w:tc>
          <w:tcPr>
            <w:tcW w:w="1114" w:type="dxa"/>
          </w:tcPr>
          <w:p w:rsidR="00D849AA" w:rsidRDefault="00EE6D95">
            <w:r>
              <w:t>% uključenih dionika</w:t>
            </w:r>
          </w:p>
        </w:tc>
        <w:tc>
          <w:tcPr>
            <w:tcW w:w="1114" w:type="dxa"/>
          </w:tcPr>
          <w:p w:rsidR="00D849AA" w:rsidRDefault="00EE6D95">
            <w:r>
              <w:t>70</w:t>
            </w:r>
          </w:p>
        </w:tc>
        <w:tc>
          <w:tcPr>
            <w:tcW w:w="1486" w:type="dxa"/>
          </w:tcPr>
          <w:p w:rsidR="00D849AA" w:rsidRDefault="00EE6D95">
            <w:r>
              <w:t>80</w:t>
            </w:r>
          </w:p>
        </w:tc>
        <w:tc>
          <w:tcPr>
            <w:tcW w:w="1486" w:type="dxa"/>
          </w:tcPr>
          <w:p w:rsidR="00D849AA" w:rsidRDefault="00EE6D95">
            <w:r>
              <w:t>85</w:t>
            </w:r>
          </w:p>
        </w:tc>
        <w:tc>
          <w:tcPr>
            <w:tcW w:w="1486" w:type="dxa"/>
          </w:tcPr>
          <w:p w:rsidR="00D849AA" w:rsidRDefault="00EE6D95">
            <w:r>
              <w:t>90</w:t>
            </w:r>
          </w:p>
        </w:tc>
      </w:tr>
      <w:tr w:rsidR="00D849AA">
        <w:trPr>
          <w:jc w:val="center"/>
        </w:trPr>
        <w:tc>
          <w:tcPr>
            <w:tcW w:w="2229" w:type="dxa"/>
          </w:tcPr>
          <w:p w:rsidR="00D849AA" w:rsidRDefault="00EE6D95" w:rsidP="009729DD">
            <w:pPr>
              <w:pStyle w:val="CellColumn"/>
              <w:jc w:val="left"/>
            </w:pPr>
            <w:r>
              <w:t>Udio utvrđenog napretka u ostvarivanju ukupnih ciljeva (mjera i prioriteta) i prema potrebi, predloženih revizija ili dopuna pojedinih mjera</w:t>
            </w:r>
          </w:p>
        </w:tc>
        <w:tc>
          <w:tcPr>
            <w:tcW w:w="1114" w:type="dxa"/>
          </w:tcPr>
          <w:p w:rsidR="00D849AA" w:rsidRDefault="00EE6D95">
            <w:r>
              <w:t>% provedenih mjera</w:t>
            </w:r>
          </w:p>
        </w:tc>
        <w:tc>
          <w:tcPr>
            <w:tcW w:w="1114" w:type="dxa"/>
          </w:tcPr>
          <w:p w:rsidR="00D849AA" w:rsidRDefault="00EE6D95">
            <w:r>
              <w:t>50</w:t>
            </w:r>
          </w:p>
        </w:tc>
        <w:tc>
          <w:tcPr>
            <w:tcW w:w="1486" w:type="dxa"/>
          </w:tcPr>
          <w:p w:rsidR="00D849AA" w:rsidRDefault="00EE6D95">
            <w:r>
              <w:t>70</w:t>
            </w:r>
          </w:p>
        </w:tc>
        <w:tc>
          <w:tcPr>
            <w:tcW w:w="1486" w:type="dxa"/>
          </w:tcPr>
          <w:p w:rsidR="00D849AA" w:rsidRDefault="00EE6D95">
            <w:r>
              <w:t>80</w:t>
            </w:r>
          </w:p>
        </w:tc>
        <w:tc>
          <w:tcPr>
            <w:tcW w:w="1486" w:type="dxa"/>
          </w:tcPr>
          <w:p w:rsidR="00D849AA" w:rsidRDefault="00EE6D95">
            <w:r>
              <w:t>90</w:t>
            </w:r>
          </w:p>
        </w:tc>
      </w:tr>
      <w:tr w:rsidR="00D849AA">
        <w:trPr>
          <w:jc w:val="center"/>
        </w:trPr>
        <w:tc>
          <w:tcPr>
            <w:tcW w:w="2229" w:type="dxa"/>
          </w:tcPr>
          <w:p w:rsidR="00D849AA" w:rsidRDefault="00EE6D95" w:rsidP="001F1BA4">
            <w:pPr>
              <w:pStyle w:val="CellColumn"/>
              <w:jc w:val="left"/>
            </w:pPr>
            <w:r>
              <w:t>Ukupan broj sudionika obuke i od toga; udio sudionika nositelja mjera središnjih tijela državne uprave i udio sudionika nositelja mjera</w:t>
            </w:r>
            <w:r w:rsidR="001F1BA4">
              <w:t xml:space="preserve"> na</w:t>
            </w:r>
            <w:r>
              <w:t xml:space="preserve"> županijskoj/lokalnoj razini</w:t>
            </w:r>
          </w:p>
        </w:tc>
        <w:tc>
          <w:tcPr>
            <w:tcW w:w="1114" w:type="dxa"/>
          </w:tcPr>
          <w:p w:rsidR="00D849AA" w:rsidRDefault="00EE6D95">
            <w:r>
              <w:t>% uključenih dionika</w:t>
            </w:r>
          </w:p>
        </w:tc>
        <w:tc>
          <w:tcPr>
            <w:tcW w:w="1114" w:type="dxa"/>
          </w:tcPr>
          <w:p w:rsidR="00D849AA" w:rsidRDefault="00EE6D95">
            <w:r>
              <w:t>55</w:t>
            </w:r>
          </w:p>
        </w:tc>
        <w:tc>
          <w:tcPr>
            <w:tcW w:w="1486" w:type="dxa"/>
          </w:tcPr>
          <w:p w:rsidR="00D849AA" w:rsidRDefault="00EE6D95">
            <w:r>
              <w:t>70</w:t>
            </w:r>
          </w:p>
        </w:tc>
        <w:tc>
          <w:tcPr>
            <w:tcW w:w="1486" w:type="dxa"/>
          </w:tcPr>
          <w:p w:rsidR="00D849AA" w:rsidRDefault="00EE6D95">
            <w:r>
              <w:t>90</w:t>
            </w:r>
          </w:p>
        </w:tc>
        <w:tc>
          <w:tcPr>
            <w:tcW w:w="1486" w:type="dxa"/>
          </w:tcPr>
          <w:p w:rsidR="00D849AA" w:rsidRDefault="00EE6D95">
            <w:r>
              <w:t>100</w:t>
            </w:r>
          </w:p>
        </w:tc>
      </w:tr>
    </w:tbl>
    <w:p w:rsidR="00D849AA" w:rsidRDefault="00D849AA">
      <w:pPr>
        <w:jc w:val="left"/>
      </w:pPr>
    </w:p>
    <w:p w:rsidR="00D849AA" w:rsidRDefault="00EE6D95">
      <w:pPr>
        <w:pStyle w:val="Naslov2"/>
      </w:pPr>
      <w:r>
        <w:lastRenderedPageBreak/>
        <w:t>10208 Proračunski  korisnici u socijalnoj skrbi</w:t>
      </w:r>
    </w:p>
    <w:p w:rsidR="00D849AA" w:rsidRDefault="00EE6D95">
      <w:pPr>
        <w:pStyle w:val="Naslov4"/>
      </w:pPr>
      <w:r>
        <w:t>Uvod</w:t>
      </w:r>
    </w:p>
    <w:p w:rsidR="00D849AA" w:rsidRDefault="00EE6D95">
      <w:pPr>
        <w:pStyle w:val="Normal3"/>
      </w:pPr>
      <w:r>
        <w:t>Sustav socijalne skrbi definiran je Zakonom o socijalnoj skrbi kao temeljnim zakonom kojim se uređuje način obavljanja i financiranja djelatnosti socijalne skrbi, korisnici, prava,  postupak za ostvarivanje tih prava, te druga pitanja od značenja za obavljanje ove djelatnosti. Socijalna skrb je djelatnost kojom se osigurava i ostvaruje pomoć za podmirenje osnovnih životnih potreba socijalno ugroženih, nemoćnih i drugih osoba. Pritom je riječ o potrebama koje ove osobe, zbog nepovoljnih osobnih, gospodarskih, socijalnih i drugih razloga, ne mogu zadovoljiti same ili uz pomoć članova obitelji. Korisnici socijalne skrbi su samci i obitelji koji nemaju dovoljno sredstava za podmirenje osnovnih životnih potreba, dijete s invaliditetom ili psihički bolesno dijete i dijete prema kojem je ili bi trebala biti primijenjena mjera obiteljsko-pravne ili kazneno-pravne zaštite, osoba koja je u nevolji zbog poremećenih odnosa u obitelji ili drugih oblika društveno neprihvatljivog ponašanja, te odrasla osoba kojoj je radi invalidnosti, starosti, psihičke bolesti, trajnih promjena u zdravstvenom stanju, ovisnosti ili drugih razloga potrebna pomoć.</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10208</w:t>
            </w:r>
          </w:p>
        </w:tc>
        <w:tc>
          <w:tcPr>
            <w:tcW w:w="1486" w:type="dxa"/>
          </w:tcPr>
          <w:p w:rsidR="00D849AA" w:rsidRDefault="00EE6D95">
            <w:r>
              <w:t>2.673.614.970</w:t>
            </w:r>
          </w:p>
        </w:tc>
        <w:tc>
          <w:tcPr>
            <w:tcW w:w="1486" w:type="dxa"/>
          </w:tcPr>
          <w:p w:rsidR="00D849AA" w:rsidRDefault="00EE6D95">
            <w:r>
              <w:t>3.019.347.743</w:t>
            </w:r>
          </w:p>
        </w:tc>
        <w:tc>
          <w:tcPr>
            <w:tcW w:w="1486" w:type="dxa"/>
          </w:tcPr>
          <w:p w:rsidR="00D849AA" w:rsidRDefault="00EE6D95">
            <w:r>
              <w:t>3.121.145.606</w:t>
            </w:r>
          </w:p>
        </w:tc>
        <w:tc>
          <w:tcPr>
            <w:tcW w:w="1486" w:type="dxa"/>
          </w:tcPr>
          <w:p w:rsidR="00D849AA" w:rsidRDefault="00EE6D95">
            <w:r>
              <w:t>3.120.877.057</w:t>
            </w:r>
          </w:p>
        </w:tc>
        <w:tc>
          <w:tcPr>
            <w:tcW w:w="1486" w:type="dxa"/>
          </w:tcPr>
          <w:p w:rsidR="00D849AA" w:rsidRDefault="00EE6D95">
            <w:r>
              <w:t>112,9</w:t>
            </w:r>
          </w:p>
        </w:tc>
      </w:tr>
    </w:tbl>
    <w:p w:rsidR="00D849AA" w:rsidRDefault="00D849AA">
      <w:pPr>
        <w:jc w:val="left"/>
      </w:pPr>
    </w:p>
    <w:p w:rsidR="00D849AA" w:rsidRDefault="00EE6D95">
      <w:pPr>
        <w:pStyle w:val="Naslov4"/>
      </w:pPr>
      <w:r>
        <w:t>OBRAZLOŽENJE PROGRAMA</w:t>
      </w:r>
    </w:p>
    <w:p w:rsidR="00D849AA" w:rsidRDefault="00EE6D95">
      <w:pPr>
        <w:pStyle w:val="Naslov5"/>
      </w:pPr>
      <w:r>
        <w:t>4001 SOCIJALNE POMOĆI I NAKNADE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4001</w:t>
            </w:r>
          </w:p>
        </w:tc>
        <w:tc>
          <w:tcPr>
            <w:tcW w:w="1486" w:type="dxa"/>
          </w:tcPr>
          <w:p w:rsidR="00D849AA" w:rsidRDefault="00EE6D95">
            <w:r>
              <w:t>1.812.100.352</w:t>
            </w:r>
          </w:p>
        </w:tc>
        <w:tc>
          <w:tcPr>
            <w:tcW w:w="1486" w:type="dxa"/>
          </w:tcPr>
          <w:p w:rsidR="00D849AA" w:rsidRDefault="00EE6D95">
            <w:r>
              <w:t>2.123.039.832</w:t>
            </w:r>
          </w:p>
        </w:tc>
        <w:tc>
          <w:tcPr>
            <w:tcW w:w="1486" w:type="dxa"/>
          </w:tcPr>
          <w:p w:rsidR="00D849AA" w:rsidRDefault="00EE6D95">
            <w:r>
              <w:t>2.162.940.562</w:t>
            </w:r>
          </w:p>
        </w:tc>
        <w:tc>
          <w:tcPr>
            <w:tcW w:w="1486" w:type="dxa"/>
          </w:tcPr>
          <w:p w:rsidR="00D849AA" w:rsidRDefault="00EE6D95">
            <w:r>
              <w:t>2.168.502.014</w:t>
            </w:r>
          </w:p>
        </w:tc>
        <w:tc>
          <w:tcPr>
            <w:tcW w:w="1486" w:type="dxa"/>
          </w:tcPr>
          <w:p w:rsidR="00D849AA" w:rsidRDefault="00EE6D95">
            <w:r>
              <w:t>117,2</w:t>
            </w:r>
          </w:p>
        </w:tc>
      </w:tr>
    </w:tbl>
    <w:p w:rsidR="00D849AA" w:rsidRDefault="00D849AA">
      <w:pPr>
        <w:jc w:val="left"/>
      </w:pPr>
    </w:p>
    <w:p w:rsidR="00D849AA" w:rsidRDefault="00EE6D95">
      <w:pPr>
        <w:pStyle w:val="Naslov6"/>
      </w:pPr>
      <w:r>
        <w:t>Opis programa</w:t>
      </w:r>
    </w:p>
    <w:p w:rsidR="00D849AA" w:rsidRDefault="00EE6D95">
      <w:pPr>
        <w:pStyle w:val="Normal5"/>
      </w:pPr>
      <w:r>
        <w:t>Ovim programom osiguravaju se sredstava za isplatu prava iz Zakona o socijalnoj skrbi -  pomoć za uzdržavanje, doplatak za pomoć i njegu, osobna invalidnina,pomoć i njega u kuci, pravo na status roditelja njegovatelja, jednokratna pomoć, osobna naknada udomitelju, naknada za smještaj u udomiteljsku obitelj, pravo na privremeno uzdržavanje djece, ostale naknade i pomoći u sklopu kojih se osiguravaju sredstva za smještaj i novčana naknada tražitelja azila, azilanata i stranaca pod privremenom zaštitom.</w:t>
      </w:r>
    </w:p>
    <w:p w:rsidR="00D849AA" w:rsidRDefault="00EE6D95">
      <w:pPr>
        <w:pStyle w:val="Naslov6"/>
      </w:pPr>
      <w:r>
        <w:t>Zakonske i druge pravne osnove</w:t>
      </w:r>
    </w:p>
    <w:p w:rsidR="00D849AA" w:rsidRDefault="00EE6D95">
      <w:pPr>
        <w:pStyle w:val="Normal5"/>
      </w:pPr>
      <w:r>
        <w:t>Zakon o socijalnoj skrbi, Zakon o udomiteljstvu, Obiteljski zakon, Zakon o azilu, te provedbeni propisi.</w:t>
      </w:r>
    </w:p>
    <w:p w:rsidR="00D849AA" w:rsidRDefault="00EE6D95">
      <w:pPr>
        <w:pStyle w:val="Naslov6"/>
      </w:pPr>
      <w:r>
        <w:lastRenderedPageBreak/>
        <w:t>Ciljevi provedbe programa u razdoblju 2014.-2016. i pokazatelji uspješnosti kojima će se mjeriti ostvarenje tih ciljeva</w:t>
      </w:r>
    </w:p>
    <w:p w:rsidR="00D849AA" w:rsidRDefault="00EE6D95">
      <w:pPr>
        <w:pStyle w:val="Naslov7"/>
      </w:pPr>
      <w:r>
        <w:t>Cilj 1. Unaprjeđenje zakonskih regulativa i provedbe propisa u svrhu što učinkovitije zaštite pojedinačnih prava građana</w:t>
      </w:r>
    </w:p>
    <w:p w:rsidR="00D849AA" w:rsidRDefault="00EE6D95">
      <w:pPr>
        <w:pStyle w:val="Normal6"/>
      </w:pPr>
      <w:r>
        <w:t>Sustav socijalne skrbi građanima jamči temeljnu sigurnost u smislu gradnje dovoljno čvrste socijalno-zaštitne mreže koja će biti osjetljiva na opasnosti koje mogu dovesti do socijalnoga, zdravstvenoga ili ekonomskoga propadanja.</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rsidP="001F1BA4">
            <w:pPr>
              <w:pStyle w:val="CellColumn"/>
              <w:jc w:val="left"/>
            </w:pPr>
            <w:r>
              <w:t>Novi Zakon o socijalnoj skrbi i provedbeni propisi - prava iz socijalne skrbi su dobro ciljana i svrsishodna</w:t>
            </w:r>
          </w:p>
        </w:tc>
        <w:tc>
          <w:tcPr>
            <w:tcW w:w="1114" w:type="dxa"/>
          </w:tcPr>
          <w:p w:rsidR="00D849AA" w:rsidRDefault="00EE6D95">
            <w:r>
              <w:t>broj zakona/                                                      propisa</w:t>
            </w:r>
          </w:p>
        </w:tc>
        <w:tc>
          <w:tcPr>
            <w:tcW w:w="1114" w:type="dxa"/>
          </w:tcPr>
          <w:p w:rsidR="00D849AA" w:rsidRDefault="00EE6D95">
            <w:r>
              <w:t>1/20</w:t>
            </w:r>
          </w:p>
        </w:tc>
        <w:tc>
          <w:tcPr>
            <w:tcW w:w="1486" w:type="dxa"/>
          </w:tcPr>
          <w:p w:rsidR="00D849AA" w:rsidRDefault="00EE6D95">
            <w:r>
              <w:t>0/0</w:t>
            </w:r>
          </w:p>
        </w:tc>
        <w:tc>
          <w:tcPr>
            <w:tcW w:w="1486" w:type="dxa"/>
          </w:tcPr>
          <w:p w:rsidR="00D849AA" w:rsidRDefault="00EE6D95">
            <w:r>
              <w:t>0/0</w:t>
            </w:r>
          </w:p>
        </w:tc>
        <w:tc>
          <w:tcPr>
            <w:tcW w:w="1486" w:type="dxa"/>
          </w:tcPr>
          <w:p w:rsidR="00D849AA" w:rsidRDefault="00EE6D95">
            <w:r>
              <w:t>0/0</w:t>
            </w:r>
          </w:p>
        </w:tc>
      </w:tr>
    </w:tbl>
    <w:p w:rsidR="00D849AA" w:rsidRDefault="00D849AA">
      <w:pPr>
        <w:jc w:val="left"/>
      </w:pPr>
    </w:p>
    <w:p w:rsidR="00D849AA" w:rsidRDefault="00EE6D95">
      <w:pPr>
        <w:pStyle w:val="Naslov5"/>
      </w:pPr>
      <w:r>
        <w:t>Procjena i ishodište potrebnih sredstava za značajnije aktivnosti/projekte</w:t>
      </w:r>
    </w:p>
    <w:p w:rsidR="00D849AA" w:rsidRDefault="00EE6D95">
      <w:pPr>
        <w:pStyle w:val="Naslov6"/>
      </w:pPr>
      <w:r>
        <w:t>A799007 ZAJAMČENA MINIMALNA NAKNADA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A799007</w:t>
            </w:r>
          </w:p>
        </w:tc>
        <w:tc>
          <w:tcPr>
            <w:tcW w:w="1486" w:type="dxa"/>
          </w:tcPr>
          <w:p w:rsidR="00D849AA" w:rsidRDefault="00EE6D95">
            <w:r>
              <w:t>00</w:t>
            </w:r>
          </w:p>
        </w:tc>
        <w:tc>
          <w:tcPr>
            <w:tcW w:w="1486" w:type="dxa"/>
          </w:tcPr>
          <w:p w:rsidR="00D849AA" w:rsidRDefault="00EE6D95">
            <w:r>
              <w:t>790.115.562</w:t>
            </w:r>
          </w:p>
        </w:tc>
        <w:tc>
          <w:tcPr>
            <w:tcW w:w="1486" w:type="dxa"/>
          </w:tcPr>
          <w:p w:rsidR="00D849AA" w:rsidRDefault="00EE6D95">
            <w:r>
              <w:t>830.315.562</w:t>
            </w:r>
          </w:p>
        </w:tc>
        <w:tc>
          <w:tcPr>
            <w:tcW w:w="1486" w:type="dxa"/>
          </w:tcPr>
          <w:p w:rsidR="00D849AA" w:rsidRDefault="00EE6D95">
            <w:r>
              <w:t>835.877.014</w:t>
            </w:r>
          </w:p>
        </w:tc>
        <w:tc>
          <w:tcPr>
            <w:tcW w:w="1486" w:type="dxa"/>
          </w:tcPr>
          <w:p w:rsidR="00D849AA" w:rsidRDefault="00EE6D95">
            <w:r>
              <w:t>0,0</w:t>
            </w:r>
          </w:p>
        </w:tc>
      </w:tr>
    </w:tbl>
    <w:p w:rsidR="00D849AA" w:rsidRDefault="00D849AA">
      <w:pPr>
        <w:jc w:val="left"/>
      </w:pPr>
    </w:p>
    <w:p w:rsidR="00D849AA" w:rsidRDefault="00EE6D95">
      <w:pPr>
        <w:pStyle w:val="Normal6"/>
      </w:pPr>
      <w:r>
        <w:t>U području novčanih naknada na primjereniji će se način urediti uvjeti i postupak za ostvarivanje novčane naknade za najranjivije socijalno ugrožene građane. Novim zakonom o socijalnoj skrbi uvodi se institut zajamčene minimalne naknade kao novog oblika novčane naknade koja objedinjuje četiri dosadašnje naknade sa socijalnom komponentom (produženu novčanu naknadu koja je do sada bila uređena Zakonom o posredovanju pri zapošljavanju i pravima za vrijeme nezaposlenosti, pomoć za uzdržavanje koja je bila uređena Zakonom o socijalnoj skrbi, te prava na opskrbnine koje su uređene Zakonom o pravima hrvatskih branitelja iz Domovinskog rata i članova njihovih obitelji  i Zakonom o zaštiti vojnih i civilnih invalida rata.Zajamčena minimalna naknada je pravo na novčani iznos kojim se osigurava zadovoljavanje osnovnih životnih potreba samca ili kućanstva bez prihoda ili s nedostatnim prihodima za uzdržavanje).</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rsidP="001F1BA4">
            <w:pPr>
              <w:pStyle w:val="CellColumn"/>
              <w:jc w:val="left"/>
            </w:pPr>
            <w:r>
              <w:t xml:space="preserve">Provedena analiza podataka o korisnicima i pravima iz sustava socijalne </w:t>
            </w:r>
            <w:r>
              <w:lastRenderedPageBreak/>
              <w:t>skrbi</w:t>
            </w:r>
          </w:p>
        </w:tc>
        <w:tc>
          <w:tcPr>
            <w:tcW w:w="1114" w:type="dxa"/>
          </w:tcPr>
          <w:p w:rsidR="00D849AA" w:rsidRDefault="00EE6D95">
            <w:r>
              <w:lastRenderedPageBreak/>
              <w:t>broj</w:t>
            </w:r>
          </w:p>
        </w:tc>
        <w:tc>
          <w:tcPr>
            <w:tcW w:w="1114" w:type="dxa"/>
          </w:tcPr>
          <w:p w:rsidR="00D849AA" w:rsidRDefault="00EE6D95">
            <w:r>
              <w:t>0</w:t>
            </w:r>
          </w:p>
        </w:tc>
        <w:tc>
          <w:tcPr>
            <w:tcW w:w="1486" w:type="dxa"/>
          </w:tcPr>
          <w:p w:rsidR="00D849AA" w:rsidRDefault="00EE6D95">
            <w:r>
              <w:t>1</w:t>
            </w:r>
          </w:p>
        </w:tc>
        <w:tc>
          <w:tcPr>
            <w:tcW w:w="1486" w:type="dxa"/>
          </w:tcPr>
          <w:p w:rsidR="00D849AA" w:rsidRDefault="00EE6D95">
            <w:r>
              <w:t>2</w:t>
            </w:r>
          </w:p>
        </w:tc>
        <w:tc>
          <w:tcPr>
            <w:tcW w:w="1486" w:type="dxa"/>
          </w:tcPr>
          <w:p w:rsidR="00D849AA" w:rsidRDefault="00EE6D95">
            <w:r>
              <w:t>3</w:t>
            </w:r>
          </w:p>
        </w:tc>
      </w:tr>
      <w:tr w:rsidR="00D849AA">
        <w:trPr>
          <w:jc w:val="center"/>
        </w:trPr>
        <w:tc>
          <w:tcPr>
            <w:tcW w:w="2229" w:type="dxa"/>
          </w:tcPr>
          <w:p w:rsidR="00D849AA" w:rsidRDefault="00EE6D95" w:rsidP="001F1BA4">
            <w:pPr>
              <w:pStyle w:val="CellColumn"/>
              <w:jc w:val="left"/>
            </w:pPr>
            <w:r>
              <w:lastRenderedPageBreak/>
              <w:t>Novi Zakon o socijalnoj skrbi i provedbeni propisi - prava iz socijalne skrbi su dobro ciljana i svrsishodna</w:t>
            </w:r>
          </w:p>
        </w:tc>
        <w:tc>
          <w:tcPr>
            <w:tcW w:w="1114" w:type="dxa"/>
          </w:tcPr>
          <w:p w:rsidR="00D849AA" w:rsidRDefault="00EE6D95">
            <w:r>
              <w:t>broj zakona/ propisa</w:t>
            </w:r>
          </w:p>
        </w:tc>
        <w:tc>
          <w:tcPr>
            <w:tcW w:w="1114" w:type="dxa"/>
          </w:tcPr>
          <w:p w:rsidR="00D849AA" w:rsidRDefault="00EE6D95">
            <w:r>
              <w:t>1/20</w:t>
            </w:r>
          </w:p>
        </w:tc>
        <w:tc>
          <w:tcPr>
            <w:tcW w:w="1486" w:type="dxa"/>
          </w:tcPr>
          <w:p w:rsidR="00D849AA" w:rsidRDefault="00EE6D95">
            <w:r>
              <w:t>0/0</w:t>
            </w:r>
          </w:p>
        </w:tc>
        <w:tc>
          <w:tcPr>
            <w:tcW w:w="1486" w:type="dxa"/>
          </w:tcPr>
          <w:p w:rsidR="00D849AA" w:rsidRDefault="00EE6D95">
            <w:r>
              <w:t>0/0</w:t>
            </w:r>
          </w:p>
        </w:tc>
        <w:tc>
          <w:tcPr>
            <w:tcW w:w="1486" w:type="dxa"/>
          </w:tcPr>
          <w:p w:rsidR="00D849AA" w:rsidRDefault="00EE6D95">
            <w:r>
              <w:t>0/0</w:t>
            </w:r>
          </w:p>
        </w:tc>
      </w:tr>
    </w:tbl>
    <w:p w:rsidR="00D849AA" w:rsidRDefault="00D849AA">
      <w:pPr>
        <w:jc w:val="left"/>
      </w:pPr>
    </w:p>
    <w:p w:rsidR="00562CD8" w:rsidRDefault="00562CD8" w:rsidP="00562CD8">
      <w:pPr>
        <w:pStyle w:val="Naslov4"/>
      </w:pPr>
      <w:r>
        <w:t>OBRAZLOŽENJE PROGRAMA</w:t>
      </w:r>
    </w:p>
    <w:p w:rsidR="00D849AA" w:rsidRDefault="00EE6D95">
      <w:pPr>
        <w:pStyle w:val="Naslov5"/>
      </w:pPr>
      <w:r>
        <w:t>4002 SKRB ZA SOCIJALNO OSJETLJIVE SKUPINE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4002</w:t>
            </w:r>
          </w:p>
        </w:tc>
        <w:tc>
          <w:tcPr>
            <w:tcW w:w="1486" w:type="dxa"/>
          </w:tcPr>
          <w:p w:rsidR="00D849AA" w:rsidRDefault="00EE6D95">
            <w:r>
              <w:t>831.986.518</w:t>
            </w:r>
          </w:p>
        </w:tc>
        <w:tc>
          <w:tcPr>
            <w:tcW w:w="1486" w:type="dxa"/>
          </w:tcPr>
          <w:p w:rsidR="00D849AA" w:rsidRDefault="00EE6D95">
            <w:r>
              <w:t>864.327.911</w:t>
            </w:r>
          </w:p>
        </w:tc>
        <w:tc>
          <w:tcPr>
            <w:tcW w:w="1486" w:type="dxa"/>
          </w:tcPr>
          <w:p w:rsidR="00D849AA" w:rsidRDefault="00EE6D95">
            <w:r>
              <w:t>908.009.944</w:t>
            </w:r>
          </w:p>
        </w:tc>
        <w:tc>
          <w:tcPr>
            <w:tcW w:w="1486" w:type="dxa"/>
          </w:tcPr>
          <w:p w:rsidR="00D849AA" w:rsidRDefault="00EE6D95">
            <w:r>
              <w:t>915.194.543</w:t>
            </w:r>
          </w:p>
        </w:tc>
        <w:tc>
          <w:tcPr>
            <w:tcW w:w="1486" w:type="dxa"/>
          </w:tcPr>
          <w:p w:rsidR="00D849AA" w:rsidRDefault="00EE6D95">
            <w:r>
              <w:t>103,9</w:t>
            </w:r>
          </w:p>
        </w:tc>
      </w:tr>
    </w:tbl>
    <w:p w:rsidR="00D849AA" w:rsidRDefault="00D849AA">
      <w:pPr>
        <w:jc w:val="left"/>
      </w:pPr>
    </w:p>
    <w:p w:rsidR="00D849AA" w:rsidRDefault="00EE6D95">
      <w:pPr>
        <w:pStyle w:val="Naslov6"/>
      </w:pPr>
      <w:r>
        <w:t>Opis programa</w:t>
      </w:r>
    </w:p>
    <w:p w:rsidR="00D849AA" w:rsidRDefault="00EE6D95">
      <w:pPr>
        <w:pStyle w:val="Normal5"/>
      </w:pPr>
      <w:r>
        <w:t>Cilj je ovog programa djelovati na stvaranje djelotvornijeg sustava socijalne skrbi usmjerenog prema socijalno najugroženijim građanima, odnosno socijalno osjetljivim skupinama te na suzbijanju siromaštva, socijalne ugroženosti i isključenosti te osiguranje odgovarajuće i dostatne skrbi za djecu i mlade punoljetne osobe bez odgovarajuće roditeljske skrbi, za djecu i mladež s poremećajima u ponašanju, za psihički bolesne odrasle osobe, za djecu i odrasle osobe s tjelesnim ili mentalnim oštećenjem, te za starije i nemoćne osobe.</w:t>
      </w:r>
    </w:p>
    <w:p w:rsidR="00D849AA" w:rsidRDefault="00EE6D95">
      <w:pPr>
        <w:pStyle w:val="Naslov6"/>
      </w:pPr>
      <w:r>
        <w:t>Zakonske i druge pravne osnove</w:t>
      </w:r>
    </w:p>
    <w:p w:rsidR="00D849AA" w:rsidRDefault="00EE6D95">
      <w:pPr>
        <w:pStyle w:val="Normal5"/>
      </w:pPr>
      <w:r>
        <w:t>Zakon o socijalnoj skrbi</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Cilj 1. Povećanje djelotvornosti rada centara za socijalnu skrb</w:t>
      </w:r>
    </w:p>
    <w:p w:rsidR="00D849AA" w:rsidRDefault="00EE6D95">
      <w:pPr>
        <w:pStyle w:val="Normal6"/>
      </w:pPr>
      <w:r>
        <w:t>Sustavnom edukacijom stručnih radnika i osiguravanjem supervizije psihosocijalnog rada stručnim radnicima će se omogućiti kontinuirani osobni i profesionalni rast i razvoj u cilju kvalitetnijeg stručnog rada s korisnicima, dok će se informatizacijom sustava socijalne skrbi i njezinim umrežavanjem s drugim sustavima preko sustava osobnog identifikacijskog broja (OIB-a) u svrhu razmjene podataka, postići smanjenje administrativnih troškova kao i pojednostavljivanje samog postupka ostvarivanja prava - uspostava „ureda sve na jednom mjestu“.</w:t>
      </w:r>
    </w:p>
    <w:p w:rsidR="00562CD8" w:rsidRDefault="00562CD8">
      <w:pPr>
        <w:pStyle w:val="Normal6"/>
      </w:pPr>
    </w:p>
    <w:p w:rsidR="00562CD8" w:rsidRDefault="00562CD8">
      <w:pPr>
        <w:pStyle w:val="Normal6"/>
      </w:pPr>
    </w:p>
    <w:p w:rsidR="00562CD8" w:rsidRDefault="00562CD8">
      <w:pPr>
        <w:pStyle w:val="Normal6"/>
      </w:pPr>
    </w:p>
    <w:p w:rsidR="00562CD8" w:rsidRDefault="00562CD8">
      <w:pPr>
        <w:pStyle w:val="Normal6"/>
      </w:pPr>
    </w:p>
    <w:p w:rsidR="00562CD8" w:rsidRDefault="00562CD8">
      <w:pPr>
        <w:pStyle w:val="Normal6"/>
      </w:pPr>
    </w:p>
    <w:p w:rsidR="00D849AA" w:rsidRDefault="00EE6D95">
      <w:pPr>
        <w:pStyle w:val="Naslov8"/>
        <w:jc w:val="left"/>
      </w:pPr>
      <w:r>
        <w:lastRenderedPageBreak/>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rsidP="001F1BA4">
            <w:pPr>
              <w:pStyle w:val="CellColumn"/>
              <w:jc w:val="left"/>
            </w:pPr>
            <w:r>
              <w:t>Zaposleni stručni radnici u centrima za socijalnu skrb u skladu s Pravilnikom glede prostora, opreme, stručnih i drugih radnika centara za socijalnu skrb</w:t>
            </w:r>
          </w:p>
        </w:tc>
        <w:tc>
          <w:tcPr>
            <w:tcW w:w="1114" w:type="dxa"/>
          </w:tcPr>
          <w:p w:rsidR="00D849AA" w:rsidRDefault="00EE6D95">
            <w:r>
              <w:t>broj</w:t>
            </w:r>
          </w:p>
        </w:tc>
        <w:tc>
          <w:tcPr>
            <w:tcW w:w="1114" w:type="dxa"/>
          </w:tcPr>
          <w:p w:rsidR="00D849AA" w:rsidRDefault="00EE6D95">
            <w:r>
              <w:t>220</w:t>
            </w:r>
          </w:p>
        </w:tc>
        <w:tc>
          <w:tcPr>
            <w:tcW w:w="1486" w:type="dxa"/>
          </w:tcPr>
          <w:p w:rsidR="00D849AA" w:rsidRDefault="00EE6D95">
            <w:r>
              <w:t>260</w:t>
            </w:r>
          </w:p>
        </w:tc>
        <w:tc>
          <w:tcPr>
            <w:tcW w:w="1486" w:type="dxa"/>
          </w:tcPr>
          <w:p w:rsidR="00D849AA" w:rsidRDefault="00EE6D95">
            <w:r>
              <w:t>300</w:t>
            </w:r>
          </w:p>
        </w:tc>
        <w:tc>
          <w:tcPr>
            <w:tcW w:w="1486" w:type="dxa"/>
          </w:tcPr>
          <w:p w:rsidR="00D849AA" w:rsidRDefault="00EE6D95">
            <w:r>
              <w:t>420</w:t>
            </w:r>
          </w:p>
        </w:tc>
      </w:tr>
      <w:tr w:rsidR="00D849AA">
        <w:trPr>
          <w:jc w:val="center"/>
        </w:trPr>
        <w:tc>
          <w:tcPr>
            <w:tcW w:w="2229" w:type="dxa"/>
          </w:tcPr>
          <w:p w:rsidR="00D849AA" w:rsidRDefault="00EE6D95">
            <w:pPr>
              <w:pStyle w:val="CellColumn"/>
            </w:pPr>
            <w:r>
              <w:t>Stručni radnici sustavno se educiraju</w:t>
            </w:r>
          </w:p>
        </w:tc>
        <w:tc>
          <w:tcPr>
            <w:tcW w:w="1114" w:type="dxa"/>
          </w:tcPr>
          <w:p w:rsidR="00D849AA" w:rsidRDefault="00EE6D95">
            <w:r>
              <w:t>broj</w:t>
            </w:r>
          </w:p>
        </w:tc>
        <w:tc>
          <w:tcPr>
            <w:tcW w:w="1114" w:type="dxa"/>
          </w:tcPr>
          <w:p w:rsidR="00D849AA" w:rsidRDefault="00EE6D95">
            <w:r>
              <w:t>5</w:t>
            </w:r>
          </w:p>
        </w:tc>
        <w:tc>
          <w:tcPr>
            <w:tcW w:w="1486" w:type="dxa"/>
          </w:tcPr>
          <w:p w:rsidR="00D849AA" w:rsidRDefault="00EE6D95">
            <w:r>
              <w:t>10</w:t>
            </w:r>
          </w:p>
        </w:tc>
        <w:tc>
          <w:tcPr>
            <w:tcW w:w="1486" w:type="dxa"/>
          </w:tcPr>
          <w:p w:rsidR="00D849AA" w:rsidRDefault="00EE6D95">
            <w:r>
              <w:t>15</w:t>
            </w:r>
          </w:p>
        </w:tc>
        <w:tc>
          <w:tcPr>
            <w:tcW w:w="1486" w:type="dxa"/>
          </w:tcPr>
          <w:p w:rsidR="00D849AA" w:rsidRDefault="00EE6D95">
            <w:r>
              <w:t>20</w:t>
            </w:r>
          </w:p>
        </w:tc>
      </w:tr>
    </w:tbl>
    <w:p w:rsidR="00D849AA" w:rsidRDefault="00D849AA">
      <w:pPr>
        <w:jc w:val="left"/>
      </w:pPr>
    </w:p>
    <w:p w:rsidR="00D849AA" w:rsidRDefault="00EE6D95">
      <w:pPr>
        <w:pStyle w:val="Naslov5"/>
      </w:pPr>
      <w:r>
        <w:t>Procjena i ishodište potrebnih sredstava za značajnije aktivnosti/projekte</w:t>
      </w:r>
    </w:p>
    <w:p w:rsidR="00D849AA" w:rsidRDefault="00EE6D95">
      <w:pPr>
        <w:pStyle w:val="Naslov6"/>
      </w:pPr>
      <w:r>
        <w:t>A734161 CENTRI ZA SOCIJALNU SKRB</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A734161</w:t>
            </w:r>
          </w:p>
        </w:tc>
        <w:tc>
          <w:tcPr>
            <w:tcW w:w="1486" w:type="dxa"/>
          </w:tcPr>
          <w:p w:rsidR="00D849AA" w:rsidRDefault="00EE6D95">
            <w:r>
              <w:t>226.871.938</w:t>
            </w:r>
          </w:p>
        </w:tc>
        <w:tc>
          <w:tcPr>
            <w:tcW w:w="1486" w:type="dxa"/>
          </w:tcPr>
          <w:p w:rsidR="00D849AA" w:rsidRDefault="00EE6D95">
            <w:r>
              <w:t>236.238.129</w:t>
            </w:r>
          </w:p>
        </w:tc>
        <w:tc>
          <w:tcPr>
            <w:tcW w:w="1486" w:type="dxa"/>
          </w:tcPr>
          <w:p w:rsidR="00D849AA" w:rsidRDefault="00EE6D95">
            <w:r>
              <w:t>253.580.460</w:t>
            </w:r>
          </w:p>
        </w:tc>
        <w:tc>
          <w:tcPr>
            <w:tcW w:w="1486" w:type="dxa"/>
          </w:tcPr>
          <w:p w:rsidR="00D849AA" w:rsidRDefault="00EE6D95">
            <w:r>
              <w:t>257.964.730</w:t>
            </w:r>
          </w:p>
        </w:tc>
        <w:tc>
          <w:tcPr>
            <w:tcW w:w="1486" w:type="dxa"/>
          </w:tcPr>
          <w:p w:rsidR="00D849AA" w:rsidRDefault="00EE6D95">
            <w:r>
              <w:t>104,1</w:t>
            </w:r>
          </w:p>
        </w:tc>
      </w:tr>
    </w:tbl>
    <w:p w:rsidR="00D849AA" w:rsidRDefault="00D849AA">
      <w:pPr>
        <w:jc w:val="left"/>
      </w:pPr>
    </w:p>
    <w:p w:rsidR="00D849AA" w:rsidRDefault="00EE6D95">
      <w:pPr>
        <w:pStyle w:val="Normal6"/>
      </w:pPr>
      <w:r>
        <w:t>Centri za socijalnu skrb su javne ustanove s javnim ovlastima čiji djelokrug rada je definiran prvenstveno odredbama Zakona o socijalnoj skrbi te niza drugih zakona što im daje preko 140 javnih ovlasti po kojima postupaju u postupcima ostvarivanja statusno-pravnih i drugih pitanja građana i time su osnovni provoditelji socijalne skrbi u području usluga i naknada.</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Novi stručni radnici u  centrima za socijalnu skrb</w:t>
            </w:r>
          </w:p>
        </w:tc>
        <w:tc>
          <w:tcPr>
            <w:tcW w:w="1114" w:type="dxa"/>
          </w:tcPr>
          <w:p w:rsidR="00D849AA" w:rsidRDefault="00EE6D95">
            <w:r>
              <w:t>broj</w:t>
            </w:r>
          </w:p>
        </w:tc>
        <w:tc>
          <w:tcPr>
            <w:tcW w:w="1114" w:type="dxa"/>
          </w:tcPr>
          <w:p w:rsidR="00D849AA" w:rsidRDefault="00EE6D95">
            <w:r>
              <w:t>220</w:t>
            </w:r>
          </w:p>
        </w:tc>
        <w:tc>
          <w:tcPr>
            <w:tcW w:w="1486" w:type="dxa"/>
          </w:tcPr>
          <w:p w:rsidR="00D849AA" w:rsidRDefault="00EE6D95">
            <w:r>
              <w:t>260</w:t>
            </w:r>
          </w:p>
        </w:tc>
        <w:tc>
          <w:tcPr>
            <w:tcW w:w="1486" w:type="dxa"/>
          </w:tcPr>
          <w:p w:rsidR="00D849AA" w:rsidRDefault="00EE6D95">
            <w:r>
              <w:t>300</w:t>
            </w:r>
          </w:p>
        </w:tc>
        <w:tc>
          <w:tcPr>
            <w:tcW w:w="1486" w:type="dxa"/>
          </w:tcPr>
          <w:p w:rsidR="00D849AA" w:rsidRDefault="00EE6D95">
            <w:r>
              <w:t>420</w:t>
            </w:r>
          </w:p>
        </w:tc>
      </w:tr>
      <w:tr w:rsidR="00D849AA">
        <w:trPr>
          <w:jc w:val="center"/>
        </w:trPr>
        <w:tc>
          <w:tcPr>
            <w:tcW w:w="2229" w:type="dxa"/>
          </w:tcPr>
          <w:p w:rsidR="00D849AA" w:rsidRDefault="00EE6D95">
            <w:pPr>
              <w:pStyle w:val="CellColumn"/>
            </w:pPr>
            <w:r>
              <w:t>Broj organiziranih edukacija za stručne radnike centara za socijalnu skrb</w:t>
            </w:r>
          </w:p>
        </w:tc>
        <w:tc>
          <w:tcPr>
            <w:tcW w:w="1114" w:type="dxa"/>
          </w:tcPr>
          <w:p w:rsidR="00D849AA" w:rsidRDefault="00EE6D95">
            <w:r>
              <w:t>broj</w:t>
            </w:r>
          </w:p>
        </w:tc>
        <w:tc>
          <w:tcPr>
            <w:tcW w:w="1114" w:type="dxa"/>
          </w:tcPr>
          <w:p w:rsidR="00D849AA" w:rsidRDefault="00EE6D95">
            <w:r>
              <w:t>5</w:t>
            </w:r>
          </w:p>
        </w:tc>
        <w:tc>
          <w:tcPr>
            <w:tcW w:w="1486" w:type="dxa"/>
          </w:tcPr>
          <w:p w:rsidR="00D849AA" w:rsidRDefault="00EE6D95">
            <w:r>
              <w:t>10</w:t>
            </w:r>
          </w:p>
        </w:tc>
        <w:tc>
          <w:tcPr>
            <w:tcW w:w="1486" w:type="dxa"/>
          </w:tcPr>
          <w:p w:rsidR="00D849AA" w:rsidRDefault="00EE6D95">
            <w:r>
              <w:t>15</w:t>
            </w:r>
          </w:p>
        </w:tc>
        <w:tc>
          <w:tcPr>
            <w:tcW w:w="1486" w:type="dxa"/>
          </w:tcPr>
          <w:p w:rsidR="00D849AA" w:rsidRDefault="00EE6D95">
            <w:r>
              <w:t>20</w:t>
            </w:r>
          </w:p>
        </w:tc>
      </w:tr>
    </w:tbl>
    <w:p w:rsidR="00D849AA" w:rsidRDefault="00D849AA">
      <w:pPr>
        <w:jc w:val="left"/>
      </w:pPr>
    </w:p>
    <w:p w:rsidR="00562CD8" w:rsidRDefault="00562CD8">
      <w:pPr>
        <w:jc w:val="left"/>
      </w:pPr>
    </w:p>
    <w:p w:rsidR="00562CD8" w:rsidRDefault="00562CD8" w:rsidP="00562CD8">
      <w:pPr>
        <w:pStyle w:val="Naslov4"/>
      </w:pPr>
      <w:r>
        <w:lastRenderedPageBreak/>
        <w:t>OBRAZLOŽENJE PROGRAMA</w:t>
      </w:r>
    </w:p>
    <w:p w:rsidR="00D849AA" w:rsidRDefault="00EE6D95">
      <w:pPr>
        <w:pStyle w:val="Naslov5"/>
      </w:pPr>
      <w:r>
        <w:t>4003 PODIZANJE KVALITETE I DOSTUPNOSTI SOCIJALNE SKRBI</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4003</w:t>
            </w:r>
          </w:p>
        </w:tc>
        <w:tc>
          <w:tcPr>
            <w:tcW w:w="1486" w:type="dxa"/>
          </w:tcPr>
          <w:p w:rsidR="00D849AA" w:rsidRDefault="00EE6D95">
            <w:r>
              <w:t>29.528.100</w:t>
            </w:r>
          </w:p>
        </w:tc>
        <w:tc>
          <w:tcPr>
            <w:tcW w:w="1486" w:type="dxa"/>
          </w:tcPr>
          <w:p w:rsidR="00D849AA" w:rsidRDefault="00EE6D95">
            <w:r>
              <w:t>31.980.000</w:t>
            </w:r>
          </w:p>
        </w:tc>
        <w:tc>
          <w:tcPr>
            <w:tcW w:w="1486" w:type="dxa"/>
          </w:tcPr>
          <w:p w:rsidR="00D849AA" w:rsidRDefault="00EE6D95">
            <w:r>
              <w:t>50.195.100</w:t>
            </w:r>
          </w:p>
        </w:tc>
        <w:tc>
          <w:tcPr>
            <w:tcW w:w="1486" w:type="dxa"/>
          </w:tcPr>
          <w:p w:rsidR="00D849AA" w:rsidRDefault="00EE6D95">
            <w:r>
              <w:t>37.180.500</w:t>
            </w:r>
          </w:p>
        </w:tc>
        <w:tc>
          <w:tcPr>
            <w:tcW w:w="1486" w:type="dxa"/>
          </w:tcPr>
          <w:p w:rsidR="00D849AA" w:rsidRDefault="00EE6D95">
            <w:r>
              <w:t>108,3</w:t>
            </w:r>
          </w:p>
        </w:tc>
      </w:tr>
    </w:tbl>
    <w:p w:rsidR="00D849AA" w:rsidRDefault="00D849AA">
      <w:pPr>
        <w:jc w:val="left"/>
      </w:pPr>
    </w:p>
    <w:p w:rsidR="00D849AA" w:rsidRDefault="00EE6D95">
      <w:pPr>
        <w:pStyle w:val="Naslov6"/>
      </w:pPr>
      <w:r>
        <w:t>Opis programa</w:t>
      </w:r>
    </w:p>
    <w:p w:rsidR="00D849AA" w:rsidRDefault="00EE6D95">
      <w:pPr>
        <w:pStyle w:val="Normal5"/>
      </w:pPr>
      <w:r>
        <w:t>Ovim programom provodit će se aktivnosti stvaranja boljih uvjeta života za sve kategorije korisnika sto razumijeva razvoj ljudskih potencijala, informatičko umrežavanje sustava, te poboljšanje infrastrukture u ustanovama socijalne skrbi, čime se stvara temelj za podizanje standarda kvalitete i dostupnosti socijalne skrbi prema krajnjem korisniku.</w:t>
      </w:r>
    </w:p>
    <w:p w:rsidR="00D849AA" w:rsidRDefault="00EE6D95">
      <w:pPr>
        <w:pStyle w:val="Naslov6"/>
      </w:pPr>
      <w:r>
        <w:t>Zakonske i druge pravne osnove</w:t>
      </w:r>
    </w:p>
    <w:p w:rsidR="00D849AA" w:rsidRDefault="00EE6D95">
      <w:pPr>
        <w:pStyle w:val="Normal5"/>
      </w:pPr>
      <w:r>
        <w:t>Zakon o socijalnoj skrbi</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Cilj 1. Povećanje djelotvornosti rada centara za socijalnu skrb</w:t>
      </w:r>
    </w:p>
    <w:p w:rsidR="00D849AA" w:rsidRDefault="00EE6D95">
      <w:pPr>
        <w:pStyle w:val="Normal6"/>
      </w:pPr>
      <w:r>
        <w:t>U cilju povećanja djelotvornosti rada centara za socijalnu skrb, a u vezi s tim kvalitetnog pružanja socijalnih usluga i naknada osigurati će se sredstva za opremanje  centara za socijalnu skrb i njihovih podružnica kao i kadrovsku popunjenost  s ciljem jačanja stručnih kapaciteta i podizanja kvalitete pružanja usluga korisnicima kako bi se unaprijedila djelatnost socijalne skrbi sukladno standardima kvalitete u ustanovama socijalne skrbi.</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Osigurano informatičko umrežavanje sustava socijalne skrbi</w:t>
            </w:r>
          </w:p>
        </w:tc>
        <w:tc>
          <w:tcPr>
            <w:tcW w:w="1114" w:type="dxa"/>
          </w:tcPr>
          <w:p w:rsidR="00D849AA" w:rsidRDefault="00EE6D95">
            <w:r>
              <w:t>broj</w:t>
            </w:r>
          </w:p>
        </w:tc>
        <w:tc>
          <w:tcPr>
            <w:tcW w:w="1114" w:type="dxa"/>
          </w:tcPr>
          <w:p w:rsidR="00D849AA" w:rsidRDefault="00EE6D95">
            <w:r>
              <w:t>32</w:t>
            </w:r>
          </w:p>
        </w:tc>
        <w:tc>
          <w:tcPr>
            <w:tcW w:w="1486" w:type="dxa"/>
          </w:tcPr>
          <w:p w:rsidR="00D849AA" w:rsidRDefault="00EE6D95">
            <w:r>
              <w:t>118</w:t>
            </w:r>
          </w:p>
        </w:tc>
        <w:tc>
          <w:tcPr>
            <w:tcW w:w="1486" w:type="dxa"/>
          </w:tcPr>
          <w:p w:rsidR="00D849AA" w:rsidRDefault="00EE6D95">
            <w:r>
              <w:t>0</w:t>
            </w:r>
          </w:p>
        </w:tc>
        <w:tc>
          <w:tcPr>
            <w:tcW w:w="1486" w:type="dxa"/>
          </w:tcPr>
          <w:p w:rsidR="00D849AA" w:rsidRDefault="00EE6D95">
            <w:r>
              <w:t>0</w:t>
            </w:r>
          </w:p>
        </w:tc>
      </w:tr>
      <w:tr w:rsidR="00D849AA">
        <w:trPr>
          <w:jc w:val="center"/>
        </w:trPr>
        <w:tc>
          <w:tcPr>
            <w:tcW w:w="2229" w:type="dxa"/>
          </w:tcPr>
          <w:p w:rsidR="00D849AA" w:rsidRDefault="00EE6D95">
            <w:pPr>
              <w:pStyle w:val="CellColumn"/>
            </w:pPr>
            <w:r>
              <w:t>Poboljšani prostorni uvjeti u centrima za socijalnu skrb</w:t>
            </w:r>
          </w:p>
        </w:tc>
        <w:tc>
          <w:tcPr>
            <w:tcW w:w="1114" w:type="dxa"/>
          </w:tcPr>
          <w:p w:rsidR="00D849AA" w:rsidRDefault="00EE6D95">
            <w:r>
              <w:t>broj</w:t>
            </w:r>
          </w:p>
        </w:tc>
        <w:tc>
          <w:tcPr>
            <w:tcW w:w="1114" w:type="dxa"/>
          </w:tcPr>
          <w:p w:rsidR="00D849AA" w:rsidRDefault="00EE6D95">
            <w:r>
              <w:t>36</w:t>
            </w:r>
          </w:p>
        </w:tc>
        <w:tc>
          <w:tcPr>
            <w:tcW w:w="1486" w:type="dxa"/>
          </w:tcPr>
          <w:p w:rsidR="00D849AA" w:rsidRDefault="00EE6D95">
            <w:r>
              <w:t>26</w:t>
            </w:r>
          </w:p>
        </w:tc>
        <w:tc>
          <w:tcPr>
            <w:tcW w:w="1486" w:type="dxa"/>
          </w:tcPr>
          <w:p w:rsidR="00D849AA" w:rsidRDefault="00EE6D95">
            <w:r>
              <w:t>16</w:t>
            </w:r>
          </w:p>
        </w:tc>
        <w:tc>
          <w:tcPr>
            <w:tcW w:w="1486" w:type="dxa"/>
          </w:tcPr>
          <w:p w:rsidR="00D849AA" w:rsidRDefault="00EE6D95">
            <w:r>
              <w:t>0</w:t>
            </w:r>
          </w:p>
        </w:tc>
      </w:tr>
    </w:tbl>
    <w:p w:rsidR="00D849AA" w:rsidRDefault="00D849AA">
      <w:pPr>
        <w:jc w:val="left"/>
      </w:pPr>
    </w:p>
    <w:p w:rsidR="00D849AA" w:rsidRDefault="00EE6D95">
      <w:pPr>
        <w:pStyle w:val="Naslov5"/>
      </w:pPr>
      <w:r>
        <w:lastRenderedPageBreak/>
        <w:t>Procjena i ishodište potrebnih sredstava za značajnije aktivnosti/projekte</w:t>
      </w:r>
    </w:p>
    <w:p w:rsidR="00D849AA" w:rsidRDefault="00EE6D95">
      <w:pPr>
        <w:pStyle w:val="Naslov6"/>
      </w:pPr>
      <w:r>
        <w:t>K618388 NABAVA OPREME MANJE VRIJEDNOSTI U SUSTAVU SOCIJALNE SKRBI</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K618388</w:t>
            </w:r>
          </w:p>
        </w:tc>
        <w:tc>
          <w:tcPr>
            <w:tcW w:w="1486" w:type="dxa"/>
          </w:tcPr>
          <w:p w:rsidR="00D849AA" w:rsidRDefault="00EE6D95">
            <w:r>
              <w:t>1.000.000</w:t>
            </w:r>
          </w:p>
        </w:tc>
        <w:tc>
          <w:tcPr>
            <w:tcW w:w="1486" w:type="dxa"/>
          </w:tcPr>
          <w:p w:rsidR="00D849AA" w:rsidRDefault="00EE6D95">
            <w:r>
              <w:t>3.300.000</w:t>
            </w:r>
          </w:p>
        </w:tc>
        <w:tc>
          <w:tcPr>
            <w:tcW w:w="1486" w:type="dxa"/>
          </w:tcPr>
          <w:p w:rsidR="00D849AA" w:rsidRDefault="00EE6D95">
            <w:r>
              <w:t>3.300.000</w:t>
            </w:r>
          </w:p>
        </w:tc>
        <w:tc>
          <w:tcPr>
            <w:tcW w:w="1486" w:type="dxa"/>
          </w:tcPr>
          <w:p w:rsidR="00D849AA" w:rsidRDefault="00EE6D95">
            <w:r>
              <w:t>3.300.000</w:t>
            </w:r>
          </w:p>
        </w:tc>
        <w:tc>
          <w:tcPr>
            <w:tcW w:w="1486" w:type="dxa"/>
          </w:tcPr>
          <w:p w:rsidR="00D849AA" w:rsidRDefault="00EE6D95">
            <w:r>
              <w:t>330,0</w:t>
            </w:r>
          </w:p>
        </w:tc>
      </w:tr>
    </w:tbl>
    <w:p w:rsidR="00D849AA" w:rsidRDefault="00D849AA">
      <w:pPr>
        <w:jc w:val="left"/>
      </w:pPr>
    </w:p>
    <w:p w:rsidR="00D849AA" w:rsidRDefault="00EE6D95">
      <w:pPr>
        <w:pStyle w:val="Normal6"/>
      </w:pPr>
      <w:r>
        <w:t>Ministarstvo će poduzimati aktivnosti u svrhu izgradnje, rekonstrukcije, adaptacije i opremanja ustanova socijalne skrbi, čime će se pridonijeti podizanju kvalitete življenja korisnika, a time i sveukupnoj kvaliteti pružanja usluga iz sustava socijalne skrbi.</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Poboljšani prostorni uvjeti u centrima za socijalnu skrb</w:t>
            </w:r>
          </w:p>
        </w:tc>
        <w:tc>
          <w:tcPr>
            <w:tcW w:w="1114" w:type="dxa"/>
          </w:tcPr>
          <w:p w:rsidR="00D849AA" w:rsidRDefault="00EE6D95">
            <w:r>
              <w:t>broj</w:t>
            </w:r>
          </w:p>
        </w:tc>
        <w:tc>
          <w:tcPr>
            <w:tcW w:w="1114" w:type="dxa"/>
          </w:tcPr>
          <w:p w:rsidR="00D849AA" w:rsidRDefault="00EE6D95">
            <w:r>
              <w:t>36</w:t>
            </w:r>
          </w:p>
        </w:tc>
        <w:tc>
          <w:tcPr>
            <w:tcW w:w="1486" w:type="dxa"/>
          </w:tcPr>
          <w:p w:rsidR="00D849AA" w:rsidRDefault="00EE6D95">
            <w:r>
              <w:t>26</w:t>
            </w:r>
          </w:p>
        </w:tc>
        <w:tc>
          <w:tcPr>
            <w:tcW w:w="1486" w:type="dxa"/>
          </w:tcPr>
          <w:p w:rsidR="00D849AA" w:rsidRDefault="00EE6D95">
            <w:r>
              <w:t>16</w:t>
            </w:r>
          </w:p>
        </w:tc>
        <w:tc>
          <w:tcPr>
            <w:tcW w:w="1486" w:type="dxa"/>
          </w:tcPr>
          <w:p w:rsidR="00D849AA" w:rsidRDefault="00EE6D95">
            <w:r>
              <w:t>0</w:t>
            </w:r>
          </w:p>
        </w:tc>
      </w:tr>
    </w:tbl>
    <w:p w:rsidR="00D849AA" w:rsidRDefault="00D849AA">
      <w:pPr>
        <w:jc w:val="left"/>
      </w:pPr>
    </w:p>
    <w:p w:rsidR="00D849AA" w:rsidRDefault="00EE6D95">
      <w:pPr>
        <w:pStyle w:val="Naslov6"/>
      </w:pPr>
      <w:r>
        <w:t>K788006 INFORMATIZACIJA I ODRŽAVANJE SUSTAVA SOCIJALNE SKRBI</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K788006</w:t>
            </w:r>
          </w:p>
        </w:tc>
        <w:tc>
          <w:tcPr>
            <w:tcW w:w="1486" w:type="dxa"/>
          </w:tcPr>
          <w:p w:rsidR="00D849AA" w:rsidRDefault="00EE6D95">
            <w:r>
              <w:t>4.600.000</w:t>
            </w:r>
          </w:p>
        </w:tc>
        <w:tc>
          <w:tcPr>
            <w:tcW w:w="1486" w:type="dxa"/>
          </w:tcPr>
          <w:p w:rsidR="00D849AA" w:rsidRDefault="00EE6D95">
            <w:r>
              <w:t>10.000.000</w:t>
            </w:r>
          </w:p>
        </w:tc>
        <w:tc>
          <w:tcPr>
            <w:tcW w:w="1486" w:type="dxa"/>
          </w:tcPr>
          <w:p w:rsidR="00D849AA" w:rsidRDefault="00EE6D95">
            <w:r>
              <w:t>10.000.000</w:t>
            </w:r>
          </w:p>
        </w:tc>
        <w:tc>
          <w:tcPr>
            <w:tcW w:w="1486" w:type="dxa"/>
          </w:tcPr>
          <w:p w:rsidR="00D849AA" w:rsidRDefault="00EE6D95">
            <w:r>
              <w:t>10.000.000</w:t>
            </w:r>
          </w:p>
        </w:tc>
        <w:tc>
          <w:tcPr>
            <w:tcW w:w="1486" w:type="dxa"/>
          </w:tcPr>
          <w:p w:rsidR="00D849AA" w:rsidRDefault="00EE6D95">
            <w:r>
              <w:t>217,4</w:t>
            </w:r>
          </w:p>
        </w:tc>
      </w:tr>
    </w:tbl>
    <w:p w:rsidR="00D849AA" w:rsidRDefault="00D849AA">
      <w:pPr>
        <w:jc w:val="left"/>
      </w:pPr>
    </w:p>
    <w:p w:rsidR="00D849AA" w:rsidRDefault="00EE6D95">
      <w:pPr>
        <w:pStyle w:val="Normal6"/>
      </w:pPr>
      <w:r>
        <w:t>Osiguravanjem informatičkog umrežavanja sustava i razmjene podataka s drugim sustavima radi lakšeg ostvarivanja prava, te usklađivanje statistike socijalne skrbi sa službenom statistikom u svrhu osiguranja kvalitetnih podloga za izradu analiza na kojima će se bazirati razvoj sustava socijalne skrbi.</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Osigurano informatičko umrežavanje sustava socijalne skrbi</w:t>
            </w:r>
          </w:p>
        </w:tc>
        <w:tc>
          <w:tcPr>
            <w:tcW w:w="1114" w:type="dxa"/>
          </w:tcPr>
          <w:p w:rsidR="00D849AA" w:rsidRDefault="00EE6D95">
            <w:r>
              <w:t>broj centara</w:t>
            </w:r>
          </w:p>
        </w:tc>
        <w:tc>
          <w:tcPr>
            <w:tcW w:w="1114" w:type="dxa"/>
          </w:tcPr>
          <w:p w:rsidR="00D849AA" w:rsidRDefault="00EE6D95">
            <w:r>
              <w:t>32</w:t>
            </w:r>
          </w:p>
        </w:tc>
        <w:tc>
          <w:tcPr>
            <w:tcW w:w="1486" w:type="dxa"/>
          </w:tcPr>
          <w:p w:rsidR="00D849AA" w:rsidRDefault="00EE6D95">
            <w:r>
              <w:t>118</w:t>
            </w:r>
          </w:p>
        </w:tc>
        <w:tc>
          <w:tcPr>
            <w:tcW w:w="1486" w:type="dxa"/>
          </w:tcPr>
          <w:p w:rsidR="00D849AA" w:rsidRDefault="00EE6D95">
            <w:r>
              <w:t>0</w:t>
            </w:r>
          </w:p>
        </w:tc>
        <w:tc>
          <w:tcPr>
            <w:tcW w:w="1486" w:type="dxa"/>
          </w:tcPr>
          <w:p w:rsidR="00D849AA" w:rsidRDefault="00EE6D95">
            <w:r>
              <w:t>0</w:t>
            </w:r>
          </w:p>
        </w:tc>
      </w:tr>
    </w:tbl>
    <w:p w:rsidR="00D849AA" w:rsidRDefault="00D849AA">
      <w:pPr>
        <w:jc w:val="left"/>
      </w:pPr>
    </w:p>
    <w:p w:rsidR="00D849AA" w:rsidRDefault="00EE6D95">
      <w:pPr>
        <w:pStyle w:val="Naslov1"/>
      </w:pPr>
      <w:r>
        <w:lastRenderedPageBreak/>
        <w:t>106 HRVATSKA AKADEMIJA ZNANOSTI I UMJETNOSTI</w:t>
      </w:r>
    </w:p>
    <w:p w:rsidR="00D849AA" w:rsidRDefault="00EE6D95">
      <w:pPr>
        <w:pStyle w:val="Naslov4"/>
      </w:pPr>
      <w:r>
        <w:t>Uvod</w:t>
      </w:r>
    </w:p>
    <w:p w:rsidR="00D849AA" w:rsidRDefault="00EE6D95">
      <w:pPr>
        <w:pStyle w:val="Normal3"/>
      </w:pPr>
      <w:r>
        <w:t>Hrvatska akademija znanosti i umjetnosti kao najviša znanstvena i umjetnička ustanova u Republici Hrvatskoj potiče i organizira znanstveni rad i zalaže se za primjenu postignutih rezultata, razvija umjetničku i kulturnu djelatnost i brine se o hrvatskoj kulturnoj baštini i njezinoj afirmaciji u zemlji i svijetu, objavljuje rezultate znanstvenih istraživanja i umjetničkog stvaralaštva, te daje prijedloge i mišljenja za unapređenje znanosti i umjetnosti na prodručjima koja su od osobite važnosti za Republiku Hrvatsku. Znanstveni i umjetnički rad Akademije organiziran je u 9 razreda, 18 znanstvenoistraživačkih jedinica u Zagrebu i izvan njega i 16 znanstvenih vijeća. U svrhu daljnjeg promicanja znanstvenog i umjetničkog rada Hrvatska akademija planira u narednom razdoblju proširiti svoju aktivnost na nove znanstvenoistraživačke jedinice van Zagreba. Nadalje, planira proširiti dosadašnju suradnju s drugim akademijama znanosti i umjetnosti u svijetu, svučilištima, znanstvenim, kulturnim i drugim ustanovama, te znanstvenicima i umjetnicima iz zemlje i inozemstva.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10605 Hrvatska akademija znanosti i umjetnosti</w:t>
            </w:r>
          </w:p>
        </w:tc>
        <w:tc>
          <w:tcPr>
            <w:tcW w:w="1486" w:type="dxa"/>
          </w:tcPr>
          <w:p w:rsidR="00D849AA" w:rsidRDefault="00EE6D95">
            <w:r>
              <w:t>52.200.000</w:t>
            </w:r>
          </w:p>
        </w:tc>
        <w:tc>
          <w:tcPr>
            <w:tcW w:w="1486" w:type="dxa"/>
          </w:tcPr>
          <w:p w:rsidR="00D849AA" w:rsidRDefault="00EE6D95">
            <w:r>
              <w:t>53.305.584</w:t>
            </w:r>
          </w:p>
        </w:tc>
        <w:tc>
          <w:tcPr>
            <w:tcW w:w="1486" w:type="dxa"/>
          </w:tcPr>
          <w:p w:rsidR="00D849AA" w:rsidRDefault="00EE6D95">
            <w:r>
              <w:t>54.118.244</w:t>
            </w:r>
          </w:p>
        </w:tc>
        <w:tc>
          <w:tcPr>
            <w:tcW w:w="1486" w:type="dxa"/>
          </w:tcPr>
          <w:p w:rsidR="00D849AA" w:rsidRDefault="00EE6D95">
            <w:r>
              <w:t>54.837.906</w:t>
            </w:r>
          </w:p>
        </w:tc>
        <w:tc>
          <w:tcPr>
            <w:tcW w:w="1486" w:type="dxa"/>
          </w:tcPr>
          <w:p w:rsidR="00D849AA" w:rsidRDefault="00EE6D95">
            <w:r>
              <w:t>102,1</w:t>
            </w:r>
          </w:p>
        </w:tc>
      </w:tr>
      <w:tr w:rsidR="00D849AA">
        <w:trPr>
          <w:jc w:val="center"/>
        </w:trPr>
        <w:tc>
          <w:tcPr>
            <w:tcW w:w="1486" w:type="dxa"/>
            <w:shd w:val="clear" w:color="auto" w:fill="B5C0D8"/>
          </w:tcPr>
          <w:p w:rsidR="00D849AA" w:rsidRDefault="00EE6D95">
            <w:pPr>
              <w:pStyle w:val="CellColumn"/>
            </w:pPr>
            <w:r>
              <w:t>Ukupno 106</w:t>
            </w:r>
          </w:p>
        </w:tc>
        <w:tc>
          <w:tcPr>
            <w:tcW w:w="1486" w:type="dxa"/>
            <w:shd w:val="clear" w:color="auto" w:fill="B5C0D8"/>
          </w:tcPr>
          <w:p w:rsidR="00D849AA" w:rsidRDefault="00EE6D95">
            <w:r>
              <w:t>52.200.000</w:t>
            </w:r>
          </w:p>
        </w:tc>
        <w:tc>
          <w:tcPr>
            <w:tcW w:w="1486" w:type="dxa"/>
            <w:shd w:val="clear" w:color="auto" w:fill="B5C0D8"/>
          </w:tcPr>
          <w:p w:rsidR="00D849AA" w:rsidRDefault="00EE6D95">
            <w:r>
              <w:t>53.305.584</w:t>
            </w:r>
          </w:p>
        </w:tc>
        <w:tc>
          <w:tcPr>
            <w:tcW w:w="1486" w:type="dxa"/>
            <w:shd w:val="clear" w:color="auto" w:fill="B5C0D8"/>
          </w:tcPr>
          <w:p w:rsidR="00D849AA" w:rsidRDefault="00EE6D95">
            <w:r>
              <w:t>54.118.244</w:t>
            </w:r>
          </w:p>
        </w:tc>
        <w:tc>
          <w:tcPr>
            <w:tcW w:w="1486" w:type="dxa"/>
            <w:shd w:val="clear" w:color="auto" w:fill="B5C0D8"/>
          </w:tcPr>
          <w:p w:rsidR="00D849AA" w:rsidRDefault="00EE6D95">
            <w:r>
              <w:t>54.837.906</w:t>
            </w:r>
          </w:p>
        </w:tc>
        <w:tc>
          <w:tcPr>
            <w:tcW w:w="1486" w:type="dxa"/>
            <w:shd w:val="clear" w:color="auto" w:fill="B5C0D8"/>
          </w:tcPr>
          <w:p w:rsidR="00D849AA" w:rsidRDefault="00EE6D95">
            <w:r>
              <w:t>102,1</w:t>
            </w:r>
          </w:p>
        </w:tc>
      </w:tr>
    </w:tbl>
    <w:p w:rsidR="00D849AA" w:rsidRDefault="00D849AA">
      <w:pPr>
        <w:jc w:val="left"/>
      </w:pPr>
    </w:p>
    <w:p w:rsidR="00D849AA" w:rsidRDefault="00EE6D95">
      <w:pPr>
        <w:pStyle w:val="Naslov2"/>
      </w:pPr>
      <w:r>
        <w:t>10605 Hrvatska akademija znanosti i umjetnosti</w:t>
      </w:r>
    </w:p>
    <w:p w:rsidR="00D849AA" w:rsidRDefault="00EE6D95">
      <w:pPr>
        <w:pStyle w:val="Naslov4"/>
      </w:pPr>
      <w:r>
        <w:t>Uvod</w:t>
      </w:r>
    </w:p>
    <w:p w:rsidR="00D849AA" w:rsidRDefault="00EE6D95">
      <w:pPr>
        <w:pStyle w:val="Normal3"/>
      </w:pPr>
      <w:r>
        <w:t xml:space="preserve">Hrvatska akademija znanosti i umjetnosti kao najviša znanstvena i umjetnička ustanova u Republici Hrvatskoj potiče i organizira znanstveni rad i zalaže se za primjenu postignutih rezultata, razvija umjetničku i kulturnu djelatnost i brine se o hrvatskoj kulturnoj baštini i njezinoj afirmaciji u zemlji i svijetu, objavljuje rezultate znanstvenih istraživanja i umjetničkog stvaralaštva, te daje prijedloge i mišljenja za unapređenje znanosti i umjetnosti na prodručjima koja su od osobite važnosti za Republiku Hrvatsku. </w:t>
      </w:r>
    </w:p>
    <w:p w:rsidR="00D849AA" w:rsidRDefault="00EE6D95">
      <w:pPr>
        <w:pStyle w:val="Normal3"/>
      </w:pPr>
      <w:r>
        <w:t xml:space="preserve">Znanstveni i umjetnički rad Akademije organiziran je u 9 razreda, 18 znanstvenoistraživačkih jedinica u Zagrebu i izvan njega i 16 znanstvenih vijeća. </w:t>
      </w:r>
    </w:p>
    <w:p w:rsidR="00D849AA" w:rsidRDefault="00EE6D95">
      <w:pPr>
        <w:pStyle w:val="Normal3"/>
      </w:pPr>
      <w:r>
        <w:t xml:space="preserve">U svrhu daljnjeg promicanja znanstvenog i umjetničkog rada Hrvatska akademija planira u narednom razdoblju proširiti svoju aktivnost na nove znanstvenoistraživačke jedinice van Zagreba. </w:t>
      </w:r>
    </w:p>
    <w:p w:rsidR="00D849AA" w:rsidRDefault="00EE6D95">
      <w:pPr>
        <w:pStyle w:val="Normal3"/>
      </w:pPr>
      <w:r>
        <w:t>Nadalje, planira proširiti dosadašnju suradnju s drugim akademijama znanosti i umjetnosti u svijetu, svučilištima, znanstvenim, kulturnim i drugim ustanovama, te znanstvenicima i umjetnicima iz zemlje i inozemstva.</w:t>
      </w:r>
    </w:p>
    <w:p w:rsidR="00562CD8" w:rsidRDefault="00562CD8">
      <w:pPr>
        <w:pStyle w:val="Normal3"/>
      </w:pP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10605</w:t>
            </w:r>
          </w:p>
        </w:tc>
        <w:tc>
          <w:tcPr>
            <w:tcW w:w="1486" w:type="dxa"/>
          </w:tcPr>
          <w:p w:rsidR="00D849AA" w:rsidRDefault="00EE6D95">
            <w:r>
              <w:t>52.200.000</w:t>
            </w:r>
          </w:p>
        </w:tc>
        <w:tc>
          <w:tcPr>
            <w:tcW w:w="1486" w:type="dxa"/>
          </w:tcPr>
          <w:p w:rsidR="00D849AA" w:rsidRDefault="00EE6D95">
            <w:r>
              <w:t>53.305.584</w:t>
            </w:r>
          </w:p>
        </w:tc>
        <w:tc>
          <w:tcPr>
            <w:tcW w:w="1486" w:type="dxa"/>
          </w:tcPr>
          <w:p w:rsidR="00D849AA" w:rsidRDefault="00EE6D95">
            <w:r>
              <w:t>54.118.244</w:t>
            </w:r>
          </w:p>
        </w:tc>
        <w:tc>
          <w:tcPr>
            <w:tcW w:w="1486" w:type="dxa"/>
          </w:tcPr>
          <w:p w:rsidR="00D849AA" w:rsidRDefault="00EE6D95">
            <w:r>
              <w:t>54.837.906</w:t>
            </w:r>
          </w:p>
        </w:tc>
        <w:tc>
          <w:tcPr>
            <w:tcW w:w="1486" w:type="dxa"/>
          </w:tcPr>
          <w:p w:rsidR="00D849AA" w:rsidRDefault="00EE6D95">
            <w:r>
              <w:t>102,1</w:t>
            </w:r>
          </w:p>
        </w:tc>
      </w:tr>
    </w:tbl>
    <w:p w:rsidR="00D849AA" w:rsidRDefault="00D849AA">
      <w:pPr>
        <w:jc w:val="left"/>
      </w:pPr>
    </w:p>
    <w:p w:rsidR="00D849AA" w:rsidRDefault="00EE6D95">
      <w:pPr>
        <w:pStyle w:val="Naslov4"/>
      </w:pPr>
      <w:r>
        <w:t>OBRAZLOŽENJE PROGRAMA</w:t>
      </w:r>
    </w:p>
    <w:p w:rsidR="00D849AA" w:rsidRDefault="00EE6D95">
      <w:pPr>
        <w:pStyle w:val="Naslov5"/>
      </w:pPr>
      <w:r>
        <w:t>3909 OČUVANJE KULTURNE BAŠTINE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3909</w:t>
            </w:r>
          </w:p>
        </w:tc>
        <w:tc>
          <w:tcPr>
            <w:tcW w:w="1486" w:type="dxa"/>
          </w:tcPr>
          <w:p w:rsidR="00D849AA" w:rsidRDefault="00EE6D95">
            <w:r>
              <w:t>52.200.000</w:t>
            </w:r>
          </w:p>
        </w:tc>
        <w:tc>
          <w:tcPr>
            <w:tcW w:w="1486" w:type="dxa"/>
          </w:tcPr>
          <w:p w:rsidR="00D849AA" w:rsidRDefault="00EE6D95">
            <w:r>
              <w:t>53.305.584</w:t>
            </w:r>
          </w:p>
        </w:tc>
        <w:tc>
          <w:tcPr>
            <w:tcW w:w="1486" w:type="dxa"/>
          </w:tcPr>
          <w:p w:rsidR="00D849AA" w:rsidRDefault="00EE6D95">
            <w:r>
              <w:t>54.118.244</w:t>
            </w:r>
          </w:p>
        </w:tc>
        <w:tc>
          <w:tcPr>
            <w:tcW w:w="1486" w:type="dxa"/>
          </w:tcPr>
          <w:p w:rsidR="00D849AA" w:rsidRDefault="00EE6D95">
            <w:r>
              <w:t>54.837.906</w:t>
            </w:r>
          </w:p>
        </w:tc>
        <w:tc>
          <w:tcPr>
            <w:tcW w:w="1486" w:type="dxa"/>
          </w:tcPr>
          <w:p w:rsidR="00D849AA" w:rsidRDefault="00EE6D95">
            <w:r>
              <w:t>102,1</w:t>
            </w:r>
          </w:p>
        </w:tc>
      </w:tr>
    </w:tbl>
    <w:p w:rsidR="00D849AA" w:rsidRDefault="00D849AA">
      <w:pPr>
        <w:jc w:val="left"/>
      </w:pPr>
    </w:p>
    <w:p w:rsidR="00D849AA" w:rsidRDefault="00EE6D95">
      <w:pPr>
        <w:pStyle w:val="Naslov6"/>
      </w:pPr>
      <w:r>
        <w:t>Opis programa</w:t>
      </w:r>
    </w:p>
    <w:p w:rsidR="00D849AA" w:rsidRDefault="00EE6D95">
      <w:pPr>
        <w:pStyle w:val="Normal5"/>
      </w:pPr>
      <w:r>
        <w:t xml:space="preserve">Poticanje, organiziranje, razvijanje znanstvenog rada , umjetničke i kulturne djelatnosti, te zalaganje za primjenu postignutih rezultata u zemlji i inozemstvu glavni je zadatak Akademije. </w:t>
      </w:r>
    </w:p>
    <w:p w:rsidR="00D849AA" w:rsidRDefault="00EE6D95">
      <w:pPr>
        <w:pStyle w:val="Normal5"/>
      </w:pPr>
      <w:r>
        <w:t xml:space="preserve">Znanstvenoistražiavački i umjetnički rad organiziran je preko akademijinih razreda i njihovih znanstvenih vijeća i odbora, koji su ujedno inicijatori i nositelji programa, te znanstvenoistraživačkih i umjetničkih jedinica koje su, u pravilu u nadležnosti pojedinih razreda, a preko kojih se izvršava  veći dio zadanih programa. </w:t>
      </w:r>
    </w:p>
    <w:p w:rsidR="00D849AA" w:rsidRDefault="00EE6D95">
      <w:pPr>
        <w:pStyle w:val="Normal5"/>
      </w:pPr>
      <w:r>
        <w:t xml:space="preserve">Znanstvenoistraživačkim i umjetničkim radom u okviru ostvarenja programa obuhvaćene su znanstvene discipline iz područja društvenih, matematičkih, fizičkih i kemijskih znanosti, prirodnih znanosti (biološke i geološke), medicinskih znanosti, filoloških znanosti i književnosti, zatim likovnih umjetnosti, galzbene umjetnosti i muzikologije, te tehničke znanosti. </w:t>
      </w:r>
    </w:p>
    <w:p w:rsidR="00D849AA" w:rsidRDefault="00EE6D95">
      <w:pPr>
        <w:pStyle w:val="Normal5"/>
      </w:pPr>
      <w:r>
        <w:t xml:space="preserve">Predstavljanje odnosno prezentiranje postignutih rezultata znanstvenoistraživačkog i umjetničkog rada obuhvaća sve faze znanstvenoistraživačkog rada i provodi se kroz organizaciju znanstvenih skupova (domaćih i inozemnih), te stručnim i temetskim predavanjima, izdavanjem knjiga, zbornika radova., stručnih časopisa te obajavljivanjem članaka u domaćim i inozemnim publikacijama. </w:t>
      </w:r>
    </w:p>
    <w:p w:rsidR="00D849AA" w:rsidRDefault="00EE6D95">
      <w:pPr>
        <w:pStyle w:val="Normal5"/>
      </w:pPr>
      <w:r>
        <w:t>Sudjelovanjem članova Akademije u međunarodnim projektima te u bilateralnoj razmjeni doprinosi se predstavljanju postignutih rezultata u svjetskim okvirima.</w:t>
      </w:r>
    </w:p>
    <w:p w:rsidR="00D849AA" w:rsidRDefault="00EE6D95">
      <w:pPr>
        <w:pStyle w:val="Naslov6"/>
      </w:pPr>
      <w:r>
        <w:t>Zakonske i druge pravne osnove</w:t>
      </w:r>
    </w:p>
    <w:p w:rsidR="00D849AA" w:rsidRDefault="00EE6D95">
      <w:pPr>
        <w:pStyle w:val="Normal5"/>
      </w:pPr>
      <w:r>
        <w:t>Djelatnost Hrvatske akademije znanosti i umjetnosti utvrđena je Zakonom o Hrvatskoj akademiji znanosti i umjetnosti ("Narodne Novine" broj:34/91.,43/96.,159/02. i 65/09.) i Statutom Hrvatske akademije znanosti i umjetnosti.</w:t>
      </w:r>
    </w:p>
    <w:p w:rsidR="00D849AA" w:rsidRDefault="00EE6D95">
      <w:pPr>
        <w:pStyle w:val="Naslov6"/>
      </w:pPr>
      <w:r>
        <w:lastRenderedPageBreak/>
        <w:t>Ciljevi provedbe programa u razdoblju 2014.-2016. i pokazatelji uspješnosti kojima će se mjeriti ostvarenje tih ciljeva</w:t>
      </w:r>
    </w:p>
    <w:p w:rsidR="00D849AA" w:rsidRDefault="00EE6D95">
      <w:pPr>
        <w:pStyle w:val="Naslov7"/>
      </w:pPr>
      <w:r>
        <w:t>Cilj 1. Razvoj znanosti i umjetnosti</w:t>
      </w:r>
    </w:p>
    <w:p w:rsidR="00D849AA" w:rsidRDefault="00EE6D95">
      <w:pPr>
        <w:pStyle w:val="Normal6"/>
      </w:pPr>
      <w:r>
        <w:t xml:space="preserve">Hrvatska akademija znanosti i umjetnosti u razdoblju od 2014. - 2016. i nadalje će provoditi svoje aktivnosti na poticanju i organiziranju znanstvenog rada, zalagati se za primjenu postignutih rezultata rada, razvijati umjetničku i kulturnu djelatatnost, te se brinuti o hrvatskoj kulturnoj i graditeljskoj baštini, te njezinoj afirmaciji u zemlji i  svijetu. </w:t>
      </w:r>
    </w:p>
    <w:p w:rsidR="00D849AA" w:rsidRDefault="00EE6D95">
      <w:pPr>
        <w:pStyle w:val="Normal6"/>
      </w:pPr>
      <w:r>
        <w:t xml:space="preserve">Hrvatska akademija objavljivati će rezultate znanstvenih istraživanja i umjetničkog stvaralaštva putem vlastite nakladničke djelatnosti, kroz organizaciju znanstvenih skupova, simpozija, seminara i tematskih izložbi, davati mišljenja i prijedloge za unapređenje znanosti i umjetnosti koja su od osobite važnosti za Republiku Hrvatsku. </w:t>
      </w:r>
    </w:p>
    <w:p w:rsidR="00D849AA" w:rsidRDefault="00EE6D95">
      <w:pPr>
        <w:pStyle w:val="Normal6"/>
      </w:pPr>
      <w:r>
        <w:t xml:space="preserve">U cilju promicaranja i prezentiranje postignutih razultata znanastvenoistraživačkog i umjetničkog rada planira se održati cca 92 znanstvena skupa, 35 stručnih predavanja istaknutih domaćih i inozemnih znanstvenika, 45 predstavljanja knjiga, te oko 70 temetskih izložbi. </w:t>
      </w:r>
    </w:p>
    <w:p w:rsidR="00D849AA" w:rsidRDefault="00EE6D95">
      <w:pPr>
        <w:pStyle w:val="Normal6"/>
      </w:pPr>
      <w:r>
        <w:t xml:space="preserve">U okviru vlastite nakladničke djelatnosti planira se izdati 65 knjiga, 18 zbornika radova, 15 svezaka stručnih časopisa, 20 kataloga izložbi, 5 bibliografija, te sudjelovati kao suizdavač za oko 30 knjiga. </w:t>
      </w:r>
    </w:p>
    <w:p w:rsidR="00D849AA" w:rsidRDefault="00EE6D95">
      <w:pPr>
        <w:pStyle w:val="Normal6"/>
      </w:pPr>
      <w:r>
        <w:t xml:space="preserve">U narednom razdoblju nastojati će se aktvinim uključivanjem što većeg broja znanstvenoistraživačkih jedinica  putem financiranja projekata kroz Hrvatsku Zakladu za znanost obuhvatiti što veći broj znanstvenih disciplina.  </w:t>
      </w:r>
    </w:p>
    <w:p w:rsidR="00D849AA" w:rsidRDefault="00EE6D95">
      <w:pPr>
        <w:pStyle w:val="Normal6"/>
      </w:pPr>
      <w:r>
        <w:t>Suradnjom sa drugim srodnim znanstvenim ustanovama i institucijama u zemlji i inozemstvu aktivno će se raditi na pripremi projekata za apliciranje sredstava  iz Europskih fondova.</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495"/>
        <w:gridCol w:w="1114"/>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 xml:space="preserve">Povećanje broja  </w:t>
            </w:r>
          </w:p>
          <w:p w:rsidR="00D849AA" w:rsidRDefault="00EE6D95">
            <w:pPr>
              <w:pStyle w:val="CellColumn"/>
            </w:pPr>
            <w:r>
              <w:t>znanstvenih disciplina koje su obuhvaćene znanstvenoistražaivačkim i umjetničkim radom</w:t>
            </w:r>
          </w:p>
        </w:tc>
        <w:tc>
          <w:tcPr>
            <w:tcW w:w="1114" w:type="dxa"/>
          </w:tcPr>
          <w:p w:rsidR="00D849AA" w:rsidRDefault="00EE6D95">
            <w:r>
              <w:t>Broj</w:t>
            </w:r>
          </w:p>
        </w:tc>
        <w:tc>
          <w:tcPr>
            <w:tcW w:w="1114" w:type="dxa"/>
          </w:tcPr>
          <w:p w:rsidR="00D849AA" w:rsidRDefault="00EE6D95">
            <w:r>
              <w:t>32</w:t>
            </w:r>
          </w:p>
        </w:tc>
        <w:tc>
          <w:tcPr>
            <w:tcW w:w="1486" w:type="dxa"/>
          </w:tcPr>
          <w:p w:rsidR="00D849AA" w:rsidRDefault="00EE6D95">
            <w:r>
              <w:t>38</w:t>
            </w:r>
          </w:p>
        </w:tc>
        <w:tc>
          <w:tcPr>
            <w:tcW w:w="1486" w:type="dxa"/>
          </w:tcPr>
          <w:p w:rsidR="00D849AA" w:rsidRDefault="00EE6D95">
            <w:r>
              <w:t>42</w:t>
            </w:r>
          </w:p>
        </w:tc>
        <w:tc>
          <w:tcPr>
            <w:tcW w:w="1486" w:type="dxa"/>
          </w:tcPr>
          <w:p w:rsidR="00D849AA" w:rsidRDefault="00EE6D95">
            <w:r>
              <w:t>42</w:t>
            </w:r>
          </w:p>
        </w:tc>
      </w:tr>
    </w:tbl>
    <w:p w:rsidR="00D849AA" w:rsidRDefault="00D849AA">
      <w:pPr>
        <w:jc w:val="left"/>
      </w:pPr>
    </w:p>
    <w:p w:rsidR="00D849AA" w:rsidRDefault="00EE6D95">
      <w:pPr>
        <w:pStyle w:val="Naslov5"/>
      </w:pPr>
      <w:r>
        <w:t>Procjena i ishodište potrebnih sredstava za značajnije aktivnosti/projekte</w:t>
      </w:r>
    </w:p>
    <w:p w:rsidR="00D849AA" w:rsidRDefault="00EE6D95">
      <w:pPr>
        <w:pStyle w:val="Naslov6"/>
      </w:pPr>
      <w:r>
        <w:t>A586000 ADMINISTRACIJA I UPRAVLJANJE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A586000</w:t>
            </w:r>
          </w:p>
        </w:tc>
        <w:tc>
          <w:tcPr>
            <w:tcW w:w="1486" w:type="dxa"/>
          </w:tcPr>
          <w:p w:rsidR="00D849AA" w:rsidRDefault="00EE6D95">
            <w:r>
              <w:t>51.625.000</w:t>
            </w:r>
          </w:p>
        </w:tc>
        <w:tc>
          <w:tcPr>
            <w:tcW w:w="1486" w:type="dxa"/>
          </w:tcPr>
          <w:p w:rsidR="00D849AA" w:rsidRDefault="00EE6D95">
            <w:r>
              <w:t>52.710.584</w:t>
            </w:r>
          </w:p>
        </w:tc>
        <w:tc>
          <w:tcPr>
            <w:tcW w:w="1486" w:type="dxa"/>
          </w:tcPr>
          <w:p w:rsidR="00D849AA" w:rsidRDefault="00EE6D95">
            <w:r>
              <w:t>53.480.244</w:t>
            </w:r>
          </w:p>
        </w:tc>
        <w:tc>
          <w:tcPr>
            <w:tcW w:w="1486" w:type="dxa"/>
          </w:tcPr>
          <w:p w:rsidR="00D849AA" w:rsidRDefault="00EE6D95">
            <w:r>
              <w:t>54.199.906</w:t>
            </w:r>
          </w:p>
        </w:tc>
        <w:tc>
          <w:tcPr>
            <w:tcW w:w="1486" w:type="dxa"/>
          </w:tcPr>
          <w:p w:rsidR="00D849AA" w:rsidRDefault="00EE6D95">
            <w:r>
              <w:t>102,1</w:t>
            </w:r>
          </w:p>
        </w:tc>
      </w:tr>
    </w:tbl>
    <w:p w:rsidR="00D849AA" w:rsidRDefault="00D849AA">
      <w:pPr>
        <w:jc w:val="left"/>
      </w:pPr>
    </w:p>
    <w:p w:rsidR="00D849AA" w:rsidRDefault="00EE6D95">
      <w:pPr>
        <w:pStyle w:val="Normal6"/>
      </w:pPr>
      <w:r>
        <w:t xml:space="preserve">Sredstva planirana u okviru te aktivnosti tijekom razdoblja od 2014. - 2016. koristiti će se za obavljanje redovne djelatnosti Akademije. </w:t>
      </w:r>
    </w:p>
    <w:p w:rsidR="00D849AA" w:rsidRDefault="00EE6D95">
      <w:pPr>
        <w:pStyle w:val="Normal6"/>
      </w:pPr>
      <w:r>
        <w:lastRenderedPageBreak/>
        <w:t xml:space="preserve">Ta aktivnost uključuje sredstva za rashode za zaposlene, tj. siplatu plaća i pripadajućih materijalnih prava zaposlenika Akademije, zatim sredstva za isplatu stalnih mjesečnih nagrada redovitim članovima Akademije. </w:t>
      </w:r>
    </w:p>
    <w:p w:rsidR="00D849AA" w:rsidRDefault="00EE6D95">
      <w:pPr>
        <w:pStyle w:val="Normal6"/>
      </w:pPr>
      <w:r>
        <w:t xml:space="preserve">Sredstva za materijalne rashode uključuju naknade troškova zaposlenima, rashode za tekuće i investicijsko održavanje, uredski materijal, energiju, usluge i sve ostale tekuće izdatke redovnog poslovanja. </w:t>
      </w:r>
    </w:p>
    <w:p w:rsidR="00D849AA" w:rsidRDefault="00EE6D95">
      <w:pPr>
        <w:pStyle w:val="Normal6"/>
      </w:pPr>
      <w:r>
        <w:t xml:space="preserve">Rad Hrvatske akademije znanosti i umjetnosti u narednom razdoblju odvijati će se putem 40 ustrojbenih jedinica, od čega 14 jedinica izvan Zagreba i 26 jedinica u gradu Zagrebu koje su smještene na 10 lokacija. </w:t>
      </w:r>
    </w:p>
    <w:p w:rsidR="00D849AA" w:rsidRDefault="00EE6D95">
      <w:pPr>
        <w:pStyle w:val="Normal6"/>
      </w:pPr>
      <w:r>
        <w:t xml:space="preserve">U Akademijinim ustrojbenim jedinicama namjerava se zadržati postojeći broj zaposlenih. </w:t>
      </w:r>
    </w:p>
    <w:p w:rsidR="00D849AA" w:rsidRDefault="00EE6D95">
      <w:pPr>
        <w:pStyle w:val="Normal6"/>
      </w:pPr>
      <w:r>
        <w:t>Broj redovitih članova Akademije kojima pripada pravo na isplatu stalnih mjesečnih nagrada kretati će se u okviru zakonom propisanog broja od 160.</w:t>
      </w:r>
    </w:p>
    <w:p w:rsidR="00D849AA" w:rsidRDefault="00EE6D95">
      <w:pPr>
        <w:pStyle w:val="Naslov6"/>
      </w:pPr>
      <w:r>
        <w:t>A586003 OSNOVNA DJELATNOST ZAKLADE HAZU</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A586003</w:t>
            </w:r>
          </w:p>
        </w:tc>
        <w:tc>
          <w:tcPr>
            <w:tcW w:w="1486" w:type="dxa"/>
          </w:tcPr>
          <w:p w:rsidR="00D849AA" w:rsidRDefault="00EE6D95">
            <w:r>
              <w:t>200.000</w:t>
            </w:r>
          </w:p>
        </w:tc>
        <w:tc>
          <w:tcPr>
            <w:tcW w:w="1486" w:type="dxa"/>
          </w:tcPr>
          <w:p w:rsidR="00D849AA" w:rsidRDefault="00EE6D95">
            <w:r>
              <w:t>200.000</w:t>
            </w:r>
          </w:p>
        </w:tc>
        <w:tc>
          <w:tcPr>
            <w:tcW w:w="1486" w:type="dxa"/>
          </w:tcPr>
          <w:p w:rsidR="00D849AA" w:rsidRDefault="00EE6D95">
            <w:r>
              <w:t>200.000</w:t>
            </w:r>
          </w:p>
        </w:tc>
        <w:tc>
          <w:tcPr>
            <w:tcW w:w="1486" w:type="dxa"/>
          </w:tcPr>
          <w:p w:rsidR="00D849AA" w:rsidRDefault="00EE6D95">
            <w:r>
              <w:t>200.000</w:t>
            </w:r>
          </w:p>
        </w:tc>
        <w:tc>
          <w:tcPr>
            <w:tcW w:w="1486" w:type="dxa"/>
          </w:tcPr>
          <w:p w:rsidR="00D849AA" w:rsidRDefault="00EE6D95">
            <w:r>
              <w:t>100,0</w:t>
            </w:r>
          </w:p>
        </w:tc>
      </w:tr>
    </w:tbl>
    <w:p w:rsidR="00D849AA" w:rsidRDefault="00D849AA">
      <w:pPr>
        <w:jc w:val="left"/>
      </w:pPr>
    </w:p>
    <w:p w:rsidR="00D849AA" w:rsidRDefault="00EE6D95">
      <w:pPr>
        <w:pStyle w:val="Normal6"/>
      </w:pPr>
      <w:r>
        <w:t xml:space="preserve">Zaklada Hrvatske akademije znanosti i umjetnosti osnovana je 1993. s ciljem unapređenja kulture, umjetnosti, znannosti i odgoja, kao bitnih čimbenika duhovnog, gospodarskog, političkog i sveopćeg napretka. </w:t>
      </w:r>
    </w:p>
    <w:p w:rsidR="00D849AA" w:rsidRDefault="00EE6D95">
      <w:pPr>
        <w:pStyle w:val="Normal6"/>
      </w:pPr>
      <w:r>
        <w:t xml:space="preserve">Sredstvima Zaklade u narednom razdoblju i nadalje se planira kroz sufinanciranje, pomoći unapređenju znanstvenog i umjetničkog rada, organizacija i  pojedinaca na cca 180 različitih projekata. </w:t>
      </w:r>
    </w:p>
    <w:p w:rsidR="00D849AA" w:rsidRDefault="00EE6D95">
      <w:pPr>
        <w:pStyle w:val="Normal6"/>
      </w:pPr>
      <w:r>
        <w:t>Sredstva se dodjeljuju putem javnog natječaja na kojem mogu sudjelovati svi zaninteresira građani udruge, razne organizacije i slično.</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Broj projekata kojima se potpomaže znanstveni i umetnički rad organizacija i pojedinaca</w:t>
            </w:r>
          </w:p>
        </w:tc>
        <w:tc>
          <w:tcPr>
            <w:tcW w:w="1114" w:type="dxa"/>
          </w:tcPr>
          <w:p w:rsidR="00D849AA" w:rsidRDefault="00EE6D95">
            <w:r>
              <w:t>Broj</w:t>
            </w:r>
          </w:p>
        </w:tc>
        <w:tc>
          <w:tcPr>
            <w:tcW w:w="1114" w:type="dxa"/>
          </w:tcPr>
          <w:p w:rsidR="00D849AA" w:rsidRDefault="00EE6D95">
            <w:r>
              <w:t>127</w:t>
            </w:r>
          </w:p>
        </w:tc>
        <w:tc>
          <w:tcPr>
            <w:tcW w:w="1486" w:type="dxa"/>
          </w:tcPr>
          <w:p w:rsidR="00D849AA" w:rsidRDefault="00EE6D95">
            <w:r>
              <w:t>105</w:t>
            </w:r>
          </w:p>
        </w:tc>
        <w:tc>
          <w:tcPr>
            <w:tcW w:w="1486" w:type="dxa"/>
          </w:tcPr>
          <w:p w:rsidR="00D849AA" w:rsidRDefault="00EE6D95">
            <w:r>
              <w:t>110</w:t>
            </w:r>
          </w:p>
        </w:tc>
        <w:tc>
          <w:tcPr>
            <w:tcW w:w="1486" w:type="dxa"/>
          </w:tcPr>
          <w:p w:rsidR="00D849AA" w:rsidRDefault="00EE6D95">
            <w:r>
              <w:t>120</w:t>
            </w:r>
          </w:p>
        </w:tc>
      </w:tr>
    </w:tbl>
    <w:p w:rsidR="00D849AA" w:rsidRDefault="00D849AA">
      <w:pPr>
        <w:jc w:val="left"/>
      </w:pPr>
    </w:p>
    <w:p w:rsidR="00D849AA" w:rsidRDefault="00EE6D95">
      <w:pPr>
        <w:pStyle w:val="Naslov6"/>
      </w:pPr>
      <w:r>
        <w:t>A586018 TISAK KNJIGA, BROŠURA I KATALOGA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A586018</w:t>
            </w:r>
          </w:p>
        </w:tc>
        <w:tc>
          <w:tcPr>
            <w:tcW w:w="1486" w:type="dxa"/>
          </w:tcPr>
          <w:p w:rsidR="00D849AA" w:rsidRDefault="00EE6D95">
            <w:r>
              <w:t>100.000</w:t>
            </w:r>
          </w:p>
        </w:tc>
        <w:tc>
          <w:tcPr>
            <w:tcW w:w="1486" w:type="dxa"/>
          </w:tcPr>
          <w:p w:rsidR="00D849AA" w:rsidRDefault="00EE6D95">
            <w:r>
              <w:t>105.000</w:t>
            </w:r>
          </w:p>
        </w:tc>
        <w:tc>
          <w:tcPr>
            <w:tcW w:w="1486" w:type="dxa"/>
          </w:tcPr>
          <w:p w:rsidR="00D849AA" w:rsidRDefault="00EE6D95">
            <w:r>
              <w:t>110.000</w:t>
            </w:r>
          </w:p>
        </w:tc>
        <w:tc>
          <w:tcPr>
            <w:tcW w:w="1486" w:type="dxa"/>
          </w:tcPr>
          <w:p w:rsidR="00D849AA" w:rsidRDefault="00EE6D95">
            <w:r>
              <w:t>110.000</w:t>
            </w:r>
          </w:p>
        </w:tc>
        <w:tc>
          <w:tcPr>
            <w:tcW w:w="1486" w:type="dxa"/>
          </w:tcPr>
          <w:p w:rsidR="00D849AA" w:rsidRDefault="00EE6D95">
            <w:r>
              <w:t>105,0</w:t>
            </w:r>
          </w:p>
        </w:tc>
      </w:tr>
    </w:tbl>
    <w:p w:rsidR="00D849AA" w:rsidRDefault="00D849AA">
      <w:pPr>
        <w:jc w:val="left"/>
      </w:pPr>
    </w:p>
    <w:p w:rsidR="00D849AA" w:rsidRDefault="00EE6D95">
      <w:pPr>
        <w:pStyle w:val="Normal6"/>
      </w:pPr>
      <w:r>
        <w:lastRenderedPageBreak/>
        <w:t>Hrvatska akademija znanosti i umjetnosti u okviru svoje nakladničke djelatnosti kao izdavač ili suizdavač izdaje knjige, zbornike radova, stručne časopise i druge publikacija u svrhu promocije i prezentacije postignutih rezultata znanstvenoistraživakog i umjetničkog rada.</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Broj izdanih stručnih knjiga</w:t>
            </w:r>
          </w:p>
        </w:tc>
        <w:tc>
          <w:tcPr>
            <w:tcW w:w="1114" w:type="dxa"/>
          </w:tcPr>
          <w:p w:rsidR="00D849AA" w:rsidRDefault="00EE6D95">
            <w:r>
              <w:t>Broj</w:t>
            </w:r>
          </w:p>
        </w:tc>
        <w:tc>
          <w:tcPr>
            <w:tcW w:w="1114" w:type="dxa"/>
          </w:tcPr>
          <w:p w:rsidR="00D849AA" w:rsidRDefault="00EE6D95">
            <w:r>
              <w:t>20</w:t>
            </w:r>
          </w:p>
        </w:tc>
        <w:tc>
          <w:tcPr>
            <w:tcW w:w="1486" w:type="dxa"/>
          </w:tcPr>
          <w:p w:rsidR="00D849AA" w:rsidRDefault="00EE6D95">
            <w:r>
              <w:t>15</w:t>
            </w:r>
          </w:p>
        </w:tc>
        <w:tc>
          <w:tcPr>
            <w:tcW w:w="1486" w:type="dxa"/>
          </w:tcPr>
          <w:p w:rsidR="00D849AA" w:rsidRDefault="00EE6D95">
            <w:r>
              <w:t>20</w:t>
            </w:r>
          </w:p>
        </w:tc>
        <w:tc>
          <w:tcPr>
            <w:tcW w:w="1486" w:type="dxa"/>
          </w:tcPr>
          <w:p w:rsidR="00D849AA" w:rsidRDefault="00EE6D95">
            <w:r>
              <w:t>22</w:t>
            </w:r>
          </w:p>
        </w:tc>
      </w:tr>
      <w:tr w:rsidR="00D849AA">
        <w:trPr>
          <w:jc w:val="center"/>
        </w:trPr>
        <w:tc>
          <w:tcPr>
            <w:tcW w:w="2229" w:type="dxa"/>
          </w:tcPr>
          <w:p w:rsidR="00D849AA" w:rsidRDefault="00EE6D95">
            <w:pPr>
              <w:pStyle w:val="CellColumn"/>
            </w:pPr>
            <w:r>
              <w:t>Broj izdanih zbornika radova</w:t>
            </w:r>
          </w:p>
        </w:tc>
        <w:tc>
          <w:tcPr>
            <w:tcW w:w="1114" w:type="dxa"/>
          </w:tcPr>
          <w:p w:rsidR="00D849AA" w:rsidRDefault="00EE6D95">
            <w:r>
              <w:t>Broj</w:t>
            </w:r>
          </w:p>
        </w:tc>
        <w:tc>
          <w:tcPr>
            <w:tcW w:w="1114" w:type="dxa"/>
          </w:tcPr>
          <w:p w:rsidR="00D849AA" w:rsidRDefault="00EE6D95">
            <w:r>
              <w:t>10</w:t>
            </w:r>
          </w:p>
        </w:tc>
        <w:tc>
          <w:tcPr>
            <w:tcW w:w="1486" w:type="dxa"/>
          </w:tcPr>
          <w:p w:rsidR="00D849AA" w:rsidRDefault="00EE6D95">
            <w:r>
              <w:t>8</w:t>
            </w:r>
          </w:p>
        </w:tc>
        <w:tc>
          <w:tcPr>
            <w:tcW w:w="1486" w:type="dxa"/>
          </w:tcPr>
          <w:p w:rsidR="00D849AA" w:rsidRDefault="00EE6D95">
            <w:r>
              <w:t>9</w:t>
            </w:r>
          </w:p>
        </w:tc>
        <w:tc>
          <w:tcPr>
            <w:tcW w:w="1486" w:type="dxa"/>
          </w:tcPr>
          <w:p w:rsidR="00D849AA" w:rsidRDefault="00EE6D95">
            <w:r>
              <w:t>9</w:t>
            </w:r>
          </w:p>
        </w:tc>
      </w:tr>
      <w:tr w:rsidR="00D849AA">
        <w:trPr>
          <w:jc w:val="center"/>
        </w:trPr>
        <w:tc>
          <w:tcPr>
            <w:tcW w:w="2229" w:type="dxa"/>
          </w:tcPr>
          <w:p w:rsidR="00D849AA" w:rsidRDefault="00EE6D95">
            <w:pPr>
              <w:pStyle w:val="CellColumn"/>
            </w:pPr>
            <w:r>
              <w:t>Broj izdanih svezaka časopisa</w:t>
            </w:r>
          </w:p>
        </w:tc>
        <w:tc>
          <w:tcPr>
            <w:tcW w:w="1114" w:type="dxa"/>
          </w:tcPr>
          <w:p w:rsidR="00D849AA" w:rsidRDefault="00EE6D95">
            <w:r>
              <w:t>Broj</w:t>
            </w:r>
          </w:p>
        </w:tc>
        <w:tc>
          <w:tcPr>
            <w:tcW w:w="1114" w:type="dxa"/>
          </w:tcPr>
          <w:p w:rsidR="00D849AA" w:rsidRDefault="00EE6D95">
            <w:r>
              <w:t>19</w:t>
            </w:r>
          </w:p>
        </w:tc>
        <w:tc>
          <w:tcPr>
            <w:tcW w:w="1486" w:type="dxa"/>
          </w:tcPr>
          <w:p w:rsidR="00D849AA" w:rsidRDefault="00EE6D95">
            <w:r>
              <w:t>16</w:t>
            </w:r>
          </w:p>
        </w:tc>
        <w:tc>
          <w:tcPr>
            <w:tcW w:w="1486" w:type="dxa"/>
          </w:tcPr>
          <w:p w:rsidR="00D849AA" w:rsidRDefault="00EE6D95">
            <w:r>
              <w:t>16</w:t>
            </w:r>
          </w:p>
        </w:tc>
        <w:tc>
          <w:tcPr>
            <w:tcW w:w="1486" w:type="dxa"/>
          </w:tcPr>
          <w:p w:rsidR="00D849AA" w:rsidRDefault="00EE6D95">
            <w:r>
              <w:t>16</w:t>
            </w:r>
          </w:p>
        </w:tc>
      </w:tr>
    </w:tbl>
    <w:p w:rsidR="00D849AA" w:rsidRDefault="00D849AA">
      <w:pPr>
        <w:jc w:val="left"/>
      </w:pPr>
    </w:p>
    <w:p w:rsidR="00D849AA" w:rsidRDefault="00EE6D95">
      <w:pPr>
        <w:pStyle w:val="Naslov6"/>
      </w:pPr>
      <w:r>
        <w:t>A586039 MEĐUNARODNA SURADNJA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A586039</w:t>
            </w:r>
          </w:p>
        </w:tc>
        <w:tc>
          <w:tcPr>
            <w:tcW w:w="1486" w:type="dxa"/>
          </w:tcPr>
          <w:p w:rsidR="00D849AA" w:rsidRDefault="00EE6D95">
            <w:r>
              <w:t>130.000</w:t>
            </w:r>
          </w:p>
        </w:tc>
        <w:tc>
          <w:tcPr>
            <w:tcW w:w="1486" w:type="dxa"/>
          </w:tcPr>
          <w:p w:rsidR="00D849AA" w:rsidRDefault="00EE6D95">
            <w:r>
              <w:t>100.000</w:t>
            </w:r>
          </w:p>
        </w:tc>
        <w:tc>
          <w:tcPr>
            <w:tcW w:w="1486" w:type="dxa"/>
          </w:tcPr>
          <w:p w:rsidR="00D849AA" w:rsidRDefault="00EE6D95">
            <w:r>
              <w:t>100.000</w:t>
            </w:r>
          </w:p>
        </w:tc>
        <w:tc>
          <w:tcPr>
            <w:tcW w:w="1486" w:type="dxa"/>
          </w:tcPr>
          <w:p w:rsidR="00D849AA" w:rsidRDefault="00EE6D95">
            <w:r>
              <w:t>100.000</w:t>
            </w:r>
          </w:p>
        </w:tc>
        <w:tc>
          <w:tcPr>
            <w:tcW w:w="1486" w:type="dxa"/>
          </w:tcPr>
          <w:p w:rsidR="00D849AA" w:rsidRDefault="00EE6D95">
            <w:r>
              <w:t>76,9</w:t>
            </w:r>
          </w:p>
        </w:tc>
      </w:tr>
    </w:tbl>
    <w:p w:rsidR="00D849AA" w:rsidRDefault="00D849AA">
      <w:pPr>
        <w:jc w:val="left"/>
      </w:pPr>
    </w:p>
    <w:p w:rsidR="00D849AA" w:rsidRDefault="00EE6D95">
      <w:pPr>
        <w:pStyle w:val="Normal6"/>
      </w:pPr>
      <w:r>
        <w:t xml:space="preserve">Razvijanje međnarodne znanstvene suradnje jedan je od bitnih ciljeva i zadataka Akademije. </w:t>
      </w:r>
    </w:p>
    <w:p w:rsidR="00D849AA" w:rsidRDefault="00EE6D95">
      <w:pPr>
        <w:pStyle w:val="Normal6"/>
      </w:pPr>
      <w:r>
        <w:t xml:space="preserve">Do sada je potpisano više od 28 Sporazuma o međunarodnoj suradnji, te će se i dalje raditi na sklapanju novih Sporazuma. </w:t>
      </w:r>
    </w:p>
    <w:p w:rsidR="00D849AA" w:rsidRDefault="00EE6D95">
      <w:pPr>
        <w:pStyle w:val="Normal6"/>
      </w:pPr>
      <w:r>
        <w:t xml:space="preserve">U narednom razdoblju očekuje se dovršetak pregovora i sklapanje sporazuma o srudanji s Izraelskom akademijom prirodnih i humanističkih znanaosti. </w:t>
      </w:r>
    </w:p>
    <w:p w:rsidR="00D849AA" w:rsidRDefault="00EE6D95">
      <w:pPr>
        <w:pStyle w:val="Normal6"/>
      </w:pPr>
      <w:r>
        <w:t>Članstvom Hrvatske akademije u brojnim međunarodnim znanstvenim organizacijama kao što su ESF (Europska znanstvena zaklada), IAP (Inter Academy Panel- globalna mreža svjetskih akademija znanosti), IAMP (InterAcademy Medical Panel -globalna mreža akademija znanosti i medicine), ICSU 8International Council for Science -međunarodna nevaldina organizacija s ciljem promocije međunarodnih znanstvenih aktivnosti u svim područjima znanosti), UAI (Unio International Academies - promocija međunanrodne suradnje na području filologije, arheologije, povijesti, političkih i društvenih znanosti), ALLEA (all-Europen Academies - promocija, razmjena ifnoramcija i iskustva između akademija, te teži izvrsnosti u znanosti, viskoim etičkim standardima i neovisnosti od političkih, komercijalnih i ideoloških interesa) omogućuje se hrvatskim znanstvenicima uključivanje u međunarodne projekte.</w:t>
      </w:r>
    </w:p>
    <w:p w:rsidR="00AE2853" w:rsidRDefault="00AE2853">
      <w:pPr>
        <w:pStyle w:val="Normal6"/>
      </w:pPr>
    </w:p>
    <w:p w:rsidR="00AE2853" w:rsidRDefault="00AE2853">
      <w:pPr>
        <w:pStyle w:val="Normal6"/>
      </w:pPr>
    </w:p>
    <w:p w:rsidR="00AE2853" w:rsidRDefault="00AE2853">
      <w:pPr>
        <w:pStyle w:val="Normal6"/>
      </w:pPr>
    </w:p>
    <w:p w:rsidR="00AE2853" w:rsidRDefault="00AE2853">
      <w:pPr>
        <w:pStyle w:val="Normal6"/>
      </w:pPr>
    </w:p>
    <w:p w:rsidR="00AE2853" w:rsidRDefault="00AE2853">
      <w:pPr>
        <w:pStyle w:val="Normal6"/>
      </w:pPr>
    </w:p>
    <w:p w:rsidR="00D849AA" w:rsidRDefault="00EE6D95">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Broj akademijinih znanstvenika koji su uključeni u međunarodne projekte</w:t>
            </w:r>
          </w:p>
        </w:tc>
        <w:tc>
          <w:tcPr>
            <w:tcW w:w="1114" w:type="dxa"/>
          </w:tcPr>
          <w:p w:rsidR="00D849AA" w:rsidRDefault="00EE6D95">
            <w:r>
              <w:t>Broj</w:t>
            </w:r>
          </w:p>
        </w:tc>
        <w:tc>
          <w:tcPr>
            <w:tcW w:w="1114" w:type="dxa"/>
          </w:tcPr>
          <w:p w:rsidR="00D849AA" w:rsidRDefault="00EE6D95">
            <w:r>
              <w:t>21</w:t>
            </w:r>
          </w:p>
        </w:tc>
        <w:tc>
          <w:tcPr>
            <w:tcW w:w="1486" w:type="dxa"/>
          </w:tcPr>
          <w:p w:rsidR="00D849AA" w:rsidRDefault="00EE6D95">
            <w:r>
              <w:t>15</w:t>
            </w:r>
          </w:p>
        </w:tc>
        <w:tc>
          <w:tcPr>
            <w:tcW w:w="1486" w:type="dxa"/>
          </w:tcPr>
          <w:p w:rsidR="00D849AA" w:rsidRDefault="00EE6D95">
            <w:r>
              <w:t>18</w:t>
            </w:r>
          </w:p>
        </w:tc>
        <w:tc>
          <w:tcPr>
            <w:tcW w:w="1486" w:type="dxa"/>
          </w:tcPr>
          <w:p w:rsidR="00D849AA" w:rsidRDefault="00EE6D95">
            <w:r>
              <w:t>20</w:t>
            </w:r>
          </w:p>
        </w:tc>
      </w:tr>
      <w:tr w:rsidR="00D849AA">
        <w:trPr>
          <w:jc w:val="center"/>
        </w:trPr>
        <w:tc>
          <w:tcPr>
            <w:tcW w:w="2229" w:type="dxa"/>
          </w:tcPr>
          <w:p w:rsidR="00D849AA" w:rsidRDefault="00EE6D95">
            <w:pPr>
              <w:pStyle w:val="CellColumn"/>
            </w:pPr>
            <w:r>
              <w:t>Broj znanstvenika koji sudjeluju u različitim oblicima međunarodne suradnje</w:t>
            </w:r>
          </w:p>
        </w:tc>
        <w:tc>
          <w:tcPr>
            <w:tcW w:w="1114" w:type="dxa"/>
          </w:tcPr>
          <w:p w:rsidR="00D849AA" w:rsidRDefault="00EE6D95">
            <w:r>
              <w:t>Broj</w:t>
            </w:r>
          </w:p>
        </w:tc>
        <w:tc>
          <w:tcPr>
            <w:tcW w:w="1114" w:type="dxa"/>
          </w:tcPr>
          <w:p w:rsidR="00D849AA" w:rsidRDefault="00EE6D95">
            <w:r>
              <w:t>28</w:t>
            </w:r>
          </w:p>
        </w:tc>
        <w:tc>
          <w:tcPr>
            <w:tcW w:w="1486" w:type="dxa"/>
          </w:tcPr>
          <w:p w:rsidR="00D849AA" w:rsidRDefault="00EE6D95">
            <w:r>
              <w:t>20</w:t>
            </w:r>
          </w:p>
        </w:tc>
        <w:tc>
          <w:tcPr>
            <w:tcW w:w="1486" w:type="dxa"/>
          </w:tcPr>
          <w:p w:rsidR="00D849AA" w:rsidRDefault="00EE6D95">
            <w:r>
              <w:t>24</w:t>
            </w:r>
          </w:p>
        </w:tc>
        <w:tc>
          <w:tcPr>
            <w:tcW w:w="1486" w:type="dxa"/>
          </w:tcPr>
          <w:p w:rsidR="00D849AA" w:rsidRDefault="00EE6D95">
            <w:r>
              <w:t>24</w:t>
            </w:r>
          </w:p>
        </w:tc>
      </w:tr>
      <w:tr w:rsidR="00D849AA">
        <w:trPr>
          <w:jc w:val="center"/>
        </w:trPr>
        <w:tc>
          <w:tcPr>
            <w:tcW w:w="2229" w:type="dxa"/>
          </w:tcPr>
          <w:p w:rsidR="00D849AA" w:rsidRDefault="00EE6D95">
            <w:pPr>
              <w:pStyle w:val="CellColumn"/>
            </w:pPr>
            <w:r>
              <w:t>Broj potpisanih sporazuma s drugim akademijama</w:t>
            </w:r>
          </w:p>
        </w:tc>
        <w:tc>
          <w:tcPr>
            <w:tcW w:w="1114" w:type="dxa"/>
          </w:tcPr>
          <w:p w:rsidR="00D849AA" w:rsidRDefault="00EE6D95">
            <w:r>
              <w:t>Broj</w:t>
            </w:r>
          </w:p>
        </w:tc>
        <w:tc>
          <w:tcPr>
            <w:tcW w:w="1114" w:type="dxa"/>
          </w:tcPr>
          <w:p w:rsidR="00D849AA" w:rsidRDefault="00EE6D95">
            <w:r>
              <w:t>23</w:t>
            </w:r>
          </w:p>
        </w:tc>
        <w:tc>
          <w:tcPr>
            <w:tcW w:w="1486" w:type="dxa"/>
          </w:tcPr>
          <w:p w:rsidR="00D849AA" w:rsidRDefault="00EE6D95">
            <w:r>
              <w:t>23</w:t>
            </w:r>
          </w:p>
        </w:tc>
        <w:tc>
          <w:tcPr>
            <w:tcW w:w="1486" w:type="dxa"/>
          </w:tcPr>
          <w:p w:rsidR="00D849AA" w:rsidRDefault="00EE6D95">
            <w:r>
              <w:t>23</w:t>
            </w:r>
          </w:p>
        </w:tc>
        <w:tc>
          <w:tcPr>
            <w:tcW w:w="1486" w:type="dxa"/>
          </w:tcPr>
          <w:p w:rsidR="00D849AA" w:rsidRDefault="00EE6D95">
            <w:r>
              <w:t>23</w:t>
            </w:r>
          </w:p>
        </w:tc>
      </w:tr>
    </w:tbl>
    <w:p w:rsidR="00D849AA" w:rsidRDefault="00D849AA">
      <w:pPr>
        <w:jc w:val="left"/>
      </w:pPr>
    </w:p>
    <w:p w:rsidR="00D849AA" w:rsidRDefault="00EE6D95">
      <w:pPr>
        <w:pStyle w:val="Naslov6"/>
      </w:pPr>
      <w:r>
        <w:t>A586043 DIGITALIZACIJA ARHIVSKE GRAĐE HAZU</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A586043</w:t>
            </w:r>
          </w:p>
        </w:tc>
        <w:tc>
          <w:tcPr>
            <w:tcW w:w="1486" w:type="dxa"/>
          </w:tcPr>
          <w:p w:rsidR="00D849AA" w:rsidRDefault="00EE6D95">
            <w:r>
              <w:t>00</w:t>
            </w:r>
          </w:p>
        </w:tc>
        <w:tc>
          <w:tcPr>
            <w:tcW w:w="1486" w:type="dxa"/>
          </w:tcPr>
          <w:p w:rsidR="00D849AA" w:rsidRDefault="00EE6D95">
            <w:r>
              <w:t>20.000</w:t>
            </w:r>
          </w:p>
        </w:tc>
        <w:tc>
          <w:tcPr>
            <w:tcW w:w="1486" w:type="dxa"/>
          </w:tcPr>
          <w:p w:rsidR="00D849AA" w:rsidRDefault="00EE6D95">
            <w:r>
              <w:t>20.000</w:t>
            </w:r>
          </w:p>
        </w:tc>
        <w:tc>
          <w:tcPr>
            <w:tcW w:w="1486" w:type="dxa"/>
          </w:tcPr>
          <w:p w:rsidR="00D849AA" w:rsidRDefault="00EE6D95">
            <w:r>
              <w:t>20.000</w:t>
            </w:r>
          </w:p>
        </w:tc>
        <w:tc>
          <w:tcPr>
            <w:tcW w:w="1486" w:type="dxa"/>
          </w:tcPr>
          <w:p w:rsidR="00D849AA" w:rsidRDefault="00EE6D95">
            <w:r>
              <w:t>0,0</w:t>
            </w:r>
          </w:p>
        </w:tc>
      </w:tr>
    </w:tbl>
    <w:p w:rsidR="00D849AA" w:rsidRDefault="00D849AA">
      <w:pPr>
        <w:jc w:val="left"/>
      </w:pPr>
    </w:p>
    <w:p w:rsidR="00D849AA" w:rsidRDefault="00EE6D95">
      <w:pPr>
        <w:pStyle w:val="Normal6"/>
      </w:pPr>
      <w:r>
        <w:t xml:space="preserve">Digitalizacija arhivske građe HAZU višegodišnji je projekt koji je započeo još 2009. sredstvima Akademije i sredstvima potpore od strane Ministarstva kulture i gradskog Ureda za kulturu grada Zagreba. </w:t>
      </w:r>
    </w:p>
    <w:p w:rsidR="00D849AA" w:rsidRDefault="00EE6D95">
      <w:pPr>
        <w:pStyle w:val="Normal6"/>
      </w:pPr>
      <w:r>
        <w:t xml:space="preserve">Digitalna zbirka Hrvatske akademije znanosti i umjetnosti osnovana je kako bi djelovala kao jedinstven digitalni repozitorij koji će na jednom mrežnom mjestu predstaviti Akademijine znanstvene i umjetničke zbirke (Akademijina </w:t>
      </w:r>
    </w:p>
    <w:p w:rsidR="00D849AA" w:rsidRDefault="00EE6D95">
      <w:pPr>
        <w:pStyle w:val="Normal6"/>
      </w:pPr>
      <w:r>
        <w:t xml:space="preserve">monografska izdanja, časopisi, nakladnički nizovi, rijetke i stare knjige, zbirke </w:t>
      </w:r>
    </w:p>
    <w:p w:rsidR="00D849AA" w:rsidRDefault="00EE6D95">
      <w:pPr>
        <w:pStyle w:val="Normal6"/>
      </w:pPr>
      <w:r>
        <w:t xml:space="preserve">kataloga likovnih izložbi i slično), te im omogućiti slobodan mrežni pristup i </w:t>
      </w:r>
    </w:p>
    <w:p w:rsidR="00D849AA" w:rsidRDefault="00EE6D95">
      <w:pPr>
        <w:pStyle w:val="Normal6"/>
      </w:pPr>
      <w:r>
        <w:t xml:space="preserve">suvremen standardiziran razvoj tehničke podrške. </w:t>
      </w:r>
    </w:p>
    <w:p w:rsidR="00D849AA" w:rsidRDefault="00EE6D95">
      <w:pPr>
        <w:pStyle w:val="Normal6"/>
      </w:pPr>
      <w:r>
        <w:t xml:space="preserve">Knjižnica HAZU se je u veljači 2013 zajedno s još 32 srodne institucije uključila u projekt "eCloud" - Europeana Cloud, čime je ostvarena mogućnost da se digitalna zbirka HAZU uključi u najveću europsku digitalnu knjižnicu. </w:t>
      </w:r>
    </w:p>
    <w:p w:rsidR="00D849AA" w:rsidRDefault="00EE6D95">
      <w:pPr>
        <w:pStyle w:val="Normal6"/>
      </w:pPr>
      <w:r>
        <w:t>Tijekom razdoblja i nadalje će se raditi u okviru raspoloživih sredstava na nastavku projekta digitalizacije, te održavanju potojećeg digitalnog repozitorija.</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Broj digitaliziranih stranica</w:t>
            </w:r>
          </w:p>
        </w:tc>
        <w:tc>
          <w:tcPr>
            <w:tcW w:w="1114" w:type="dxa"/>
          </w:tcPr>
          <w:p w:rsidR="00D849AA" w:rsidRDefault="00EE6D95">
            <w:r>
              <w:t>Broj</w:t>
            </w:r>
          </w:p>
        </w:tc>
        <w:tc>
          <w:tcPr>
            <w:tcW w:w="1114" w:type="dxa"/>
          </w:tcPr>
          <w:p w:rsidR="00D849AA" w:rsidRDefault="00EE6D95">
            <w:r>
              <w:t>250000</w:t>
            </w:r>
          </w:p>
        </w:tc>
        <w:tc>
          <w:tcPr>
            <w:tcW w:w="1486" w:type="dxa"/>
          </w:tcPr>
          <w:p w:rsidR="00D849AA" w:rsidRDefault="00EE6D95">
            <w:r>
              <w:t>500000</w:t>
            </w:r>
          </w:p>
        </w:tc>
        <w:tc>
          <w:tcPr>
            <w:tcW w:w="1486" w:type="dxa"/>
          </w:tcPr>
          <w:p w:rsidR="00D849AA" w:rsidRDefault="00EE6D95">
            <w:r>
              <w:t>100000</w:t>
            </w:r>
          </w:p>
        </w:tc>
        <w:tc>
          <w:tcPr>
            <w:tcW w:w="1486" w:type="dxa"/>
          </w:tcPr>
          <w:p w:rsidR="00D849AA" w:rsidRDefault="00EE6D95">
            <w:r>
              <w:t>100000</w:t>
            </w:r>
          </w:p>
        </w:tc>
      </w:tr>
    </w:tbl>
    <w:p w:rsidR="00D849AA" w:rsidRDefault="00EE6D95">
      <w:pPr>
        <w:pStyle w:val="Naslov6"/>
      </w:pPr>
      <w:r>
        <w:lastRenderedPageBreak/>
        <w:t>K586005 POPUNJAVANJE KNJIŽNOG FONDA BIBLIOTEKA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K586005</w:t>
            </w:r>
          </w:p>
        </w:tc>
        <w:tc>
          <w:tcPr>
            <w:tcW w:w="1486" w:type="dxa"/>
          </w:tcPr>
          <w:p w:rsidR="00D849AA" w:rsidRDefault="00EE6D95">
            <w:r>
              <w:t>25.000</w:t>
            </w:r>
          </w:p>
        </w:tc>
        <w:tc>
          <w:tcPr>
            <w:tcW w:w="1486" w:type="dxa"/>
          </w:tcPr>
          <w:p w:rsidR="00D849AA" w:rsidRDefault="00EE6D95">
            <w:r>
              <w:t>30.000</w:t>
            </w:r>
          </w:p>
        </w:tc>
        <w:tc>
          <w:tcPr>
            <w:tcW w:w="1486" w:type="dxa"/>
          </w:tcPr>
          <w:p w:rsidR="00D849AA" w:rsidRDefault="00EE6D95">
            <w:r>
              <w:t>40.000</w:t>
            </w:r>
          </w:p>
        </w:tc>
        <w:tc>
          <w:tcPr>
            <w:tcW w:w="1486" w:type="dxa"/>
          </w:tcPr>
          <w:p w:rsidR="00D849AA" w:rsidRDefault="00EE6D95">
            <w:r>
              <w:t>40.000</w:t>
            </w:r>
          </w:p>
        </w:tc>
        <w:tc>
          <w:tcPr>
            <w:tcW w:w="1486" w:type="dxa"/>
          </w:tcPr>
          <w:p w:rsidR="00D849AA" w:rsidRDefault="00EE6D95">
            <w:r>
              <w:t>120,0</w:t>
            </w:r>
          </w:p>
        </w:tc>
      </w:tr>
    </w:tbl>
    <w:p w:rsidR="00D849AA" w:rsidRDefault="00D849AA">
      <w:pPr>
        <w:jc w:val="left"/>
      </w:pPr>
    </w:p>
    <w:p w:rsidR="00D849AA" w:rsidRDefault="00EE6D95">
      <w:pPr>
        <w:pStyle w:val="Normal6"/>
      </w:pPr>
      <w:r>
        <w:t xml:space="preserve">Prikupljanje i obrada akademijinih izdanja i nadalje će biti jedna od glavnih zadaća Knjižnice. </w:t>
      </w:r>
    </w:p>
    <w:p w:rsidR="00D849AA" w:rsidRDefault="00EE6D95">
      <w:pPr>
        <w:pStyle w:val="Normal6"/>
      </w:pPr>
      <w:r>
        <w:t xml:space="preserve">Redovito će se raditi analitička katalogizacija novih akademijinih izdanje. </w:t>
      </w:r>
    </w:p>
    <w:p w:rsidR="00D849AA" w:rsidRDefault="00EE6D95">
      <w:pPr>
        <w:pStyle w:val="Normal6"/>
      </w:pPr>
      <w:r>
        <w:t xml:space="preserve">Nastaviti će se sustavna kupovina izdanja iz hrvatske povijesti, znanosti i kulture za osnovni fond i zbirku priručnika u okviru raspoloživih sredstava. </w:t>
      </w:r>
    </w:p>
    <w:p w:rsidR="00D849AA" w:rsidRDefault="00EE6D95">
      <w:pPr>
        <w:pStyle w:val="Normal6"/>
      </w:pPr>
      <w:r>
        <w:t xml:space="preserve">Knjižnica će pretplatom dobivati 87 tekućih časopisa, od kojih su 48 stani naslovi, te 3 elektroničke baze podataka. </w:t>
      </w:r>
    </w:p>
    <w:p w:rsidR="00D849AA" w:rsidRDefault="00EE6D95">
      <w:pPr>
        <w:pStyle w:val="Normal6"/>
      </w:pPr>
      <w:r>
        <w:t>Nedostatk sredstava za kupovinu novih izdanja pokušat će se nadoknaditi putem razmjene akademijinih izdanja s drugim srodnim institucijama i ustanovama.</w:t>
      </w:r>
    </w:p>
    <w:p w:rsidR="00D849AA" w:rsidRDefault="00EE6D95">
      <w:pPr>
        <w:pStyle w:val="Naslov6"/>
      </w:pPr>
      <w:r>
        <w:t>K586025 INFORMATIZACIJA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K586025</w:t>
            </w:r>
          </w:p>
        </w:tc>
        <w:tc>
          <w:tcPr>
            <w:tcW w:w="1486" w:type="dxa"/>
          </w:tcPr>
          <w:p w:rsidR="00D849AA" w:rsidRDefault="00EE6D95">
            <w:r>
              <w:t>40.000</w:t>
            </w:r>
          </w:p>
        </w:tc>
        <w:tc>
          <w:tcPr>
            <w:tcW w:w="1486" w:type="dxa"/>
          </w:tcPr>
          <w:p w:rsidR="00D849AA" w:rsidRDefault="00EE6D95">
            <w:r>
              <w:t>60.000</w:t>
            </w:r>
          </w:p>
        </w:tc>
        <w:tc>
          <w:tcPr>
            <w:tcW w:w="1486" w:type="dxa"/>
          </w:tcPr>
          <w:p w:rsidR="00D849AA" w:rsidRDefault="00EE6D95">
            <w:r>
              <w:t>70.000</w:t>
            </w:r>
          </w:p>
        </w:tc>
        <w:tc>
          <w:tcPr>
            <w:tcW w:w="1486" w:type="dxa"/>
          </w:tcPr>
          <w:p w:rsidR="00D849AA" w:rsidRDefault="00EE6D95">
            <w:r>
              <w:t>70.000</w:t>
            </w:r>
          </w:p>
        </w:tc>
        <w:tc>
          <w:tcPr>
            <w:tcW w:w="1486" w:type="dxa"/>
          </w:tcPr>
          <w:p w:rsidR="00D849AA" w:rsidRDefault="00EE6D95">
            <w:r>
              <w:t>150,0</w:t>
            </w:r>
          </w:p>
        </w:tc>
      </w:tr>
    </w:tbl>
    <w:p w:rsidR="00D849AA" w:rsidRDefault="00D849AA">
      <w:pPr>
        <w:jc w:val="left"/>
      </w:pPr>
    </w:p>
    <w:p w:rsidR="00D849AA" w:rsidRDefault="00EE6D95">
      <w:pPr>
        <w:pStyle w:val="Normal6"/>
      </w:pPr>
      <w:r>
        <w:t>Sredstva predviđena u okviru te aktivnosti utrošiti će se tijekom razdoblja za nabavku nove informatičke opreme kojom će se zamjeniti postojeća  dotrajala informatička oprema u skladu s unaprijed utvđenim prioritetnim potrebana u odnosu na ograničena sredstva.</w:t>
      </w:r>
    </w:p>
    <w:p w:rsidR="00D849AA" w:rsidRDefault="00EE6D95">
      <w:pPr>
        <w:pStyle w:val="Naslov6"/>
      </w:pPr>
      <w:r>
        <w:t>T586007 NAKLADNIČKI  PROJEKT "HRVATSKA I EUROPA"- PROMICANJE HRVATSKE POVIJESNE I KULTURNE BAŠTINE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T586007</w:t>
            </w:r>
          </w:p>
        </w:tc>
        <w:tc>
          <w:tcPr>
            <w:tcW w:w="1486" w:type="dxa"/>
          </w:tcPr>
          <w:p w:rsidR="00D849AA" w:rsidRDefault="00EE6D95">
            <w:r>
              <w:t>50.000</w:t>
            </w:r>
          </w:p>
        </w:tc>
        <w:tc>
          <w:tcPr>
            <w:tcW w:w="1486" w:type="dxa"/>
          </w:tcPr>
          <w:p w:rsidR="00D849AA" w:rsidRDefault="00EE6D95">
            <w:r>
              <w:t>50.000</w:t>
            </w:r>
          </w:p>
        </w:tc>
        <w:tc>
          <w:tcPr>
            <w:tcW w:w="1486" w:type="dxa"/>
          </w:tcPr>
          <w:p w:rsidR="00D849AA" w:rsidRDefault="00EE6D95">
            <w:r>
              <w:t>58.000</w:t>
            </w:r>
          </w:p>
        </w:tc>
        <w:tc>
          <w:tcPr>
            <w:tcW w:w="1486" w:type="dxa"/>
          </w:tcPr>
          <w:p w:rsidR="00D849AA" w:rsidRDefault="00EE6D95">
            <w:r>
              <w:t>58.000</w:t>
            </w:r>
          </w:p>
        </w:tc>
        <w:tc>
          <w:tcPr>
            <w:tcW w:w="1486" w:type="dxa"/>
          </w:tcPr>
          <w:p w:rsidR="00D849AA" w:rsidRDefault="00EE6D95">
            <w:r>
              <w:t>100,0</w:t>
            </w:r>
          </w:p>
        </w:tc>
      </w:tr>
    </w:tbl>
    <w:p w:rsidR="00D849AA" w:rsidRDefault="00D849AA">
      <w:pPr>
        <w:jc w:val="left"/>
      </w:pPr>
    </w:p>
    <w:p w:rsidR="00D849AA" w:rsidRDefault="00EE6D95">
      <w:pPr>
        <w:pStyle w:val="Normal6"/>
      </w:pPr>
      <w:r>
        <w:t xml:space="preserve">Nakladnički projekt "Hrvatska i Europa" je višegodišnji projekt kojemje cilj primicanje hrvatske kulture, znanosti i umjetnosti u Europi razmjenom edicije na engleskom i francuskom jeziku s inozemnim znanstvenim, kulturnim i umjetničkim ustanovama.  </w:t>
      </w:r>
    </w:p>
    <w:p w:rsidR="00D849AA" w:rsidRDefault="00EE6D95">
      <w:pPr>
        <w:pStyle w:val="Normal6"/>
      </w:pPr>
      <w:r>
        <w:t xml:space="preserve">Edicija se sastoji od pet svezaka kroz koje se obrađuje htavtska kulturna i povijesna baština od VII.stoljeća do kraja XX.stoljeća. </w:t>
      </w:r>
    </w:p>
    <w:p w:rsidR="00D849AA" w:rsidRDefault="00EE6D95">
      <w:pPr>
        <w:pStyle w:val="Normal6"/>
      </w:pPr>
      <w:r>
        <w:t xml:space="preserve">Svaki od tih svezaka tiskat će se na tri jezika i  to hrvatski, engleski i francuski. </w:t>
      </w:r>
    </w:p>
    <w:p w:rsidR="00D849AA" w:rsidRDefault="00EE6D95">
      <w:pPr>
        <w:pStyle w:val="Normal6"/>
      </w:pPr>
      <w:r>
        <w:t>Do sada je tiskano 4. sveska na hrvatskom jeziku i 3 sveska na engleskom i francuskom jeziku. Za dovršetak tog projekta potrebno je tiskati još 5. svezak na hrvatskom, te 4. i 5. svezak na engleskom i francuskom.</w:t>
      </w:r>
    </w:p>
    <w:p w:rsidR="00AE2853" w:rsidRDefault="00AE2853">
      <w:pPr>
        <w:pStyle w:val="Normal6"/>
      </w:pPr>
    </w:p>
    <w:p w:rsidR="00AE2853" w:rsidRDefault="00AE2853">
      <w:pPr>
        <w:pStyle w:val="Normal6"/>
      </w:pPr>
    </w:p>
    <w:p w:rsidR="00D849AA" w:rsidRDefault="00EE6D95">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Broj svezaka edicije</w:t>
            </w:r>
          </w:p>
        </w:tc>
        <w:tc>
          <w:tcPr>
            <w:tcW w:w="1114" w:type="dxa"/>
          </w:tcPr>
          <w:p w:rsidR="00D849AA" w:rsidRDefault="00EE6D95">
            <w:r>
              <w:t>Broj</w:t>
            </w:r>
          </w:p>
        </w:tc>
        <w:tc>
          <w:tcPr>
            <w:tcW w:w="1114" w:type="dxa"/>
          </w:tcPr>
          <w:p w:rsidR="00D849AA" w:rsidRDefault="00EE6D95">
            <w:r>
              <w:t>10</w:t>
            </w:r>
          </w:p>
        </w:tc>
        <w:tc>
          <w:tcPr>
            <w:tcW w:w="1486" w:type="dxa"/>
          </w:tcPr>
          <w:p w:rsidR="00D849AA" w:rsidRDefault="00EE6D95">
            <w:r>
              <w:t>1</w:t>
            </w:r>
          </w:p>
        </w:tc>
        <w:tc>
          <w:tcPr>
            <w:tcW w:w="1486" w:type="dxa"/>
          </w:tcPr>
          <w:p w:rsidR="00D849AA" w:rsidRDefault="00EE6D95">
            <w:r>
              <w:t>1</w:t>
            </w:r>
          </w:p>
        </w:tc>
        <w:tc>
          <w:tcPr>
            <w:tcW w:w="1486" w:type="dxa"/>
          </w:tcPr>
          <w:p w:rsidR="00D849AA" w:rsidRDefault="00EE6D95">
            <w:r>
              <w:t>1</w:t>
            </w:r>
          </w:p>
        </w:tc>
      </w:tr>
    </w:tbl>
    <w:p w:rsidR="00D849AA" w:rsidRDefault="00D849AA">
      <w:pPr>
        <w:jc w:val="left"/>
      </w:pPr>
    </w:p>
    <w:p w:rsidR="00D849AA" w:rsidRDefault="00EE6D95">
      <w:pPr>
        <w:pStyle w:val="Naslov6"/>
      </w:pPr>
      <w:r>
        <w:t>T586037 SURADNJA NA PROJEKTIMA EUROPSKE ZNANSTVENE ZAKLADE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T586037</w:t>
            </w:r>
          </w:p>
        </w:tc>
        <w:tc>
          <w:tcPr>
            <w:tcW w:w="1486" w:type="dxa"/>
          </w:tcPr>
          <w:p w:rsidR="00D849AA" w:rsidRDefault="00EE6D95">
            <w:r>
              <w:t>30.000</w:t>
            </w:r>
          </w:p>
        </w:tc>
        <w:tc>
          <w:tcPr>
            <w:tcW w:w="1486" w:type="dxa"/>
          </w:tcPr>
          <w:p w:rsidR="00D849AA" w:rsidRDefault="00EE6D95">
            <w:r>
              <w:t>30.000</w:t>
            </w:r>
          </w:p>
        </w:tc>
        <w:tc>
          <w:tcPr>
            <w:tcW w:w="1486" w:type="dxa"/>
          </w:tcPr>
          <w:p w:rsidR="00D849AA" w:rsidRDefault="00EE6D95">
            <w:r>
              <w:t>40.000</w:t>
            </w:r>
          </w:p>
        </w:tc>
        <w:tc>
          <w:tcPr>
            <w:tcW w:w="1486" w:type="dxa"/>
          </w:tcPr>
          <w:p w:rsidR="00D849AA" w:rsidRDefault="00EE6D95">
            <w:r>
              <w:t>40.000</w:t>
            </w:r>
          </w:p>
        </w:tc>
        <w:tc>
          <w:tcPr>
            <w:tcW w:w="1486" w:type="dxa"/>
          </w:tcPr>
          <w:p w:rsidR="00D849AA" w:rsidRDefault="00EE6D95">
            <w:r>
              <w:t>100,0</w:t>
            </w:r>
          </w:p>
        </w:tc>
      </w:tr>
    </w:tbl>
    <w:p w:rsidR="00D849AA" w:rsidRDefault="00D849AA">
      <w:pPr>
        <w:jc w:val="left"/>
      </w:pPr>
    </w:p>
    <w:p w:rsidR="00D849AA" w:rsidRDefault="00EE6D95">
      <w:pPr>
        <w:pStyle w:val="Normal6"/>
      </w:pPr>
      <w:r>
        <w:t xml:space="preserve">Sredstva planiranau okviru ove aktivnosti omogučavaju predstavnicima Akademije sudjelovanje u radu međunarodnih znanstvenih organizacija kojih je Akademija član. </w:t>
      </w:r>
    </w:p>
    <w:p w:rsidR="00D849AA" w:rsidRDefault="00EE6D95">
      <w:pPr>
        <w:pStyle w:val="Normal6"/>
      </w:pPr>
      <w:r>
        <w:t>U narednom razdoblju pratiti će se sve promjene u toj znanstvenoj organizaciji i mogućnost uključivanja Akademije u novu organizaciju pod nazivom "SCience Europe".</w:t>
      </w:r>
    </w:p>
    <w:p w:rsidR="00D849AA" w:rsidRDefault="00EE6D95">
      <w:pPr>
        <w:pStyle w:val="Naslov1"/>
      </w:pPr>
      <w:r>
        <w:lastRenderedPageBreak/>
        <w:t>110 MINISTARSTVO PRAVOSUĐA</w:t>
      </w:r>
    </w:p>
    <w:p w:rsidR="00D849AA" w:rsidRDefault="00EE6D95">
      <w:pPr>
        <w:pStyle w:val="Naslov4"/>
      </w:pPr>
      <w:r>
        <w:t>Uvod</w:t>
      </w:r>
    </w:p>
    <w:p w:rsidR="00D849AA" w:rsidRDefault="00EE6D95">
      <w:pPr>
        <w:pStyle w:val="Normal3"/>
      </w:pPr>
      <w:r>
        <w:t xml:space="preserve">Razdjelom 110 – Ministarstvo pravosuđa obuhvaćeno je 18 proračunskih glava i to: 05 - Ministarstvo pravosuđa, 06 - Pravosudna akademija, 10 - Zatvori i kaznionice, 15 - Vrhovni sud Republike Hrvatske, 20 - Visoki trgovački sud Republike Hrvatske, 25 - Visoki upravni sud Republike Hrvatske, 27 -Upravni sudovi, 30 – Državno odvjetništvo Republike Hrvatske, 35 - Državno odvjetničko vijeće, 36 - Državno sudbeno vijeće, 40 - Visoki prekršajni sud Republike Hrvatske, 45 - Županijski sudovi, 50 - Trgovački sudovi, 55 - Županijska državna odvjetništva, 65 - općinski sudovi, 70 - Općinska državna odvjetništva, 75 - Prekršajni sudovi, 91 - Ured za suzbijanje korupcije i organiziranog kriminaliteta.   </w:t>
      </w:r>
    </w:p>
    <w:p w:rsidR="00D849AA" w:rsidRDefault="00EE6D95">
      <w:pPr>
        <w:pStyle w:val="Normal3"/>
      </w:pPr>
      <w:r>
        <w:t xml:space="preserve">Razdjel 110 obuhvaća 234 proračunska korisnika od čega 207 pravosudnih tijela i 23 zatvorske institucije.   </w:t>
      </w:r>
    </w:p>
    <w:p w:rsidR="00D849AA" w:rsidRDefault="00EE6D95">
      <w:pPr>
        <w:pStyle w:val="Normal3"/>
      </w:pPr>
      <w:r>
        <w:t xml:space="preserve">Ministarstvo pravosuđa i sva pravosudna i kaznena tijela djeluju u cilju osiguranja neovisnog i učinkovitog pravosuđa i pravne sigurnosti građana, predlaganja i provedbe propisa koji podupiru vladavinu prava, te osiguranja humanih uvjeta i zaštite ljudskog dostojanstva osoba na izvršavanju kazne zatvora, mjere pritvora i odgojnih mjera. Ministarstvo pravosuđa nastoji pridonijeti stvaranju pravednog društva u kojem će pred pravosudnim tijelima svi koji se istima obrate u razumnom roku ostvariti učinkovitu zaštitu svojih prava.Strategijom programa Vlade Republike Hrvatske utvrđen je opći cilj „Jačanje pravne države i vladavine prava“, što načelno znači jačanje i razvoj ustavnih i zakonskih kategorija koje čine pravnu osnovu bitnu za razvoj demokracije.   </w:t>
      </w:r>
    </w:p>
    <w:p w:rsidR="00D849AA" w:rsidRDefault="00EE6D95">
      <w:pPr>
        <w:pStyle w:val="Normal3"/>
      </w:pPr>
      <w:r>
        <w:t>Reformom pravosuđa poboljšat će se i ubrzati rad svih pravosudnih tijela u Republici Hrvatskoj teuspostaviti vladavina prava jačanjem učinkovitosti i ažurnosti pravosuđa, većom pravnomsigurnošću građana, te učinkovitošću u progonu kriminala i korupcije. Među prioritetna područja ubraja se osiguranje neovisnosti i nepristranosti, poboljšanje raspoloživosti besplatne pravne pomoći, promicanje alternativnih načina rješavanja sporova, smanjenje broja neriješenih predmeta i ubrzanje sudskih postupaka te unaprjeđenje zatvorskog sustava.</w:t>
      </w:r>
    </w:p>
    <w:tbl>
      <w:tblPr>
        <w:tblStyle w:val="Reetkatablice"/>
        <w:tblW w:w="0" w:type="auto"/>
        <w:jc w:val="center"/>
        <w:tblLook w:val="04A0" w:firstRow="1" w:lastRow="0" w:firstColumn="1" w:lastColumn="0" w:noHBand="0" w:noVBand="1"/>
      </w:tblPr>
      <w:tblGrid>
        <w:gridCol w:w="1963"/>
        <w:gridCol w:w="1471"/>
        <w:gridCol w:w="1470"/>
        <w:gridCol w:w="1470"/>
        <w:gridCol w:w="1470"/>
        <w:gridCol w:w="1444"/>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11005 Ministarstvo pravosuđa</w:t>
            </w:r>
          </w:p>
        </w:tc>
        <w:tc>
          <w:tcPr>
            <w:tcW w:w="1486" w:type="dxa"/>
          </w:tcPr>
          <w:p w:rsidR="00D849AA" w:rsidRDefault="00EE6D95">
            <w:r>
              <w:t>357.291.532</w:t>
            </w:r>
          </w:p>
        </w:tc>
        <w:tc>
          <w:tcPr>
            <w:tcW w:w="1486" w:type="dxa"/>
          </w:tcPr>
          <w:p w:rsidR="00D849AA" w:rsidRDefault="00EE6D95">
            <w:r>
              <w:t>453.368.599</w:t>
            </w:r>
          </w:p>
        </w:tc>
        <w:tc>
          <w:tcPr>
            <w:tcW w:w="1486" w:type="dxa"/>
          </w:tcPr>
          <w:p w:rsidR="00D849AA" w:rsidRDefault="00EE6D95">
            <w:r>
              <w:t>400.717.403</w:t>
            </w:r>
          </w:p>
        </w:tc>
        <w:tc>
          <w:tcPr>
            <w:tcW w:w="1486" w:type="dxa"/>
          </w:tcPr>
          <w:p w:rsidR="00D849AA" w:rsidRDefault="00EE6D95">
            <w:r>
              <w:t>380.329.907</w:t>
            </w:r>
          </w:p>
        </w:tc>
        <w:tc>
          <w:tcPr>
            <w:tcW w:w="1486" w:type="dxa"/>
          </w:tcPr>
          <w:p w:rsidR="00D849AA" w:rsidRDefault="00EE6D95">
            <w:r>
              <w:t>126,9</w:t>
            </w:r>
          </w:p>
        </w:tc>
      </w:tr>
      <w:tr w:rsidR="00D849AA">
        <w:trPr>
          <w:jc w:val="center"/>
        </w:trPr>
        <w:tc>
          <w:tcPr>
            <w:tcW w:w="1486" w:type="dxa"/>
          </w:tcPr>
          <w:p w:rsidR="00D849AA" w:rsidRDefault="00EE6D95">
            <w:pPr>
              <w:pStyle w:val="CellColumn"/>
            </w:pPr>
            <w:r>
              <w:t>11006 Pravosudna akademija</w:t>
            </w:r>
          </w:p>
        </w:tc>
        <w:tc>
          <w:tcPr>
            <w:tcW w:w="1486" w:type="dxa"/>
          </w:tcPr>
          <w:p w:rsidR="00D849AA" w:rsidRDefault="00EE6D95">
            <w:r>
              <w:t>11.485.000</w:t>
            </w:r>
          </w:p>
        </w:tc>
        <w:tc>
          <w:tcPr>
            <w:tcW w:w="1486" w:type="dxa"/>
          </w:tcPr>
          <w:p w:rsidR="00D849AA" w:rsidRDefault="00EE6D95">
            <w:r>
              <w:t>6.418.300</w:t>
            </w:r>
          </w:p>
        </w:tc>
        <w:tc>
          <w:tcPr>
            <w:tcW w:w="1486" w:type="dxa"/>
          </w:tcPr>
          <w:p w:rsidR="00D849AA" w:rsidRDefault="00EE6D95">
            <w:r>
              <w:t>5.604.500</w:t>
            </w:r>
          </w:p>
        </w:tc>
        <w:tc>
          <w:tcPr>
            <w:tcW w:w="1486" w:type="dxa"/>
          </w:tcPr>
          <w:p w:rsidR="00D849AA" w:rsidRDefault="00EE6D95">
            <w:r>
              <w:t>5.615.700</w:t>
            </w:r>
          </w:p>
        </w:tc>
        <w:tc>
          <w:tcPr>
            <w:tcW w:w="1486" w:type="dxa"/>
          </w:tcPr>
          <w:p w:rsidR="00D849AA" w:rsidRDefault="00EE6D95">
            <w:r>
              <w:t>55,9</w:t>
            </w:r>
          </w:p>
        </w:tc>
      </w:tr>
      <w:tr w:rsidR="00D849AA">
        <w:trPr>
          <w:jc w:val="center"/>
        </w:trPr>
        <w:tc>
          <w:tcPr>
            <w:tcW w:w="1486" w:type="dxa"/>
          </w:tcPr>
          <w:p w:rsidR="00D849AA" w:rsidRDefault="00EE6D95">
            <w:pPr>
              <w:pStyle w:val="CellColumn"/>
            </w:pPr>
            <w:r>
              <w:t>11010 Zatvori i kaznionice</w:t>
            </w:r>
          </w:p>
        </w:tc>
        <w:tc>
          <w:tcPr>
            <w:tcW w:w="1486" w:type="dxa"/>
          </w:tcPr>
          <w:p w:rsidR="00D849AA" w:rsidRDefault="00EE6D95">
            <w:r>
              <w:t>454.513.045</w:t>
            </w:r>
          </w:p>
        </w:tc>
        <w:tc>
          <w:tcPr>
            <w:tcW w:w="1486" w:type="dxa"/>
          </w:tcPr>
          <w:p w:rsidR="00D849AA" w:rsidRDefault="00EE6D95">
            <w:r>
              <w:t>486.179.900</w:t>
            </w:r>
          </w:p>
        </w:tc>
        <w:tc>
          <w:tcPr>
            <w:tcW w:w="1486" w:type="dxa"/>
          </w:tcPr>
          <w:p w:rsidR="00D849AA" w:rsidRDefault="00EE6D95">
            <w:r>
              <w:t>488.710.270</w:t>
            </w:r>
          </w:p>
        </w:tc>
        <w:tc>
          <w:tcPr>
            <w:tcW w:w="1486" w:type="dxa"/>
          </w:tcPr>
          <w:p w:rsidR="00D849AA" w:rsidRDefault="00EE6D95">
            <w:r>
              <w:t>494.578.510</w:t>
            </w:r>
          </w:p>
        </w:tc>
        <w:tc>
          <w:tcPr>
            <w:tcW w:w="1486" w:type="dxa"/>
          </w:tcPr>
          <w:p w:rsidR="00D849AA" w:rsidRDefault="00EE6D95">
            <w:r>
              <w:t>107,0</w:t>
            </w:r>
          </w:p>
        </w:tc>
      </w:tr>
      <w:tr w:rsidR="00D849AA">
        <w:trPr>
          <w:jc w:val="center"/>
        </w:trPr>
        <w:tc>
          <w:tcPr>
            <w:tcW w:w="1486" w:type="dxa"/>
          </w:tcPr>
          <w:p w:rsidR="00D849AA" w:rsidRDefault="00EE6D95">
            <w:pPr>
              <w:pStyle w:val="CellColumn"/>
            </w:pPr>
            <w:r>
              <w:t>11015 Vrhovni sud Republike Hrvatske</w:t>
            </w:r>
          </w:p>
        </w:tc>
        <w:tc>
          <w:tcPr>
            <w:tcW w:w="1486" w:type="dxa"/>
          </w:tcPr>
          <w:p w:rsidR="00D849AA" w:rsidRDefault="00EE6D95">
            <w:r>
              <w:t>28.871.000</w:t>
            </w:r>
          </w:p>
        </w:tc>
        <w:tc>
          <w:tcPr>
            <w:tcW w:w="1486" w:type="dxa"/>
          </w:tcPr>
          <w:p w:rsidR="00D849AA" w:rsidRDefault="00EE6D95">
            <w:r>
              <w:t>28.816.000</w:t>
            </w:r>
          </w:p>
        </w:tc>
        <w:tc>
          <w:tcPr>
            <w:tcW w:w="1486" w:type="dxa"/>
          </w:tcPr>
          <w:p w:rsidR="00D849AA" w:rsidRDefault="00EE6D95">
            <w:r>
              <w:t>30.219.000</w:t>
            </w:r>
          </w:p>
        </w:tc>
        <w:tc>
          <w:tcPr>
            <w:tcW w:w="1486" w:type="dxa"/>
          </w:tcPr>
          <w:p w:rsidR="00D849AA" w:rsidRDefault="00EE6D95">
            <w:r>
              <w:t>30.304.000</w:t>
            </w:r>
          </w:p>
        </w:tc>
        <w:tc>
          <w:tcPr>
            <w:tcW w:w="1486" w:type="dxa"/>
          </w:tcPr>
          <w:p w:rsidR="00D849AA" w:rsidRDefault="00EE6D95">
            <w:r>
              <w:t>99,8</w:t>
            </w:r>
          </w:p>
        </w:tc>
      </w:tr>
      <w:tr w:rsidR="00D849AA">
        <w:trPr>
          <w:jc w:val="center"/>
        </w:trPr>
        <w:tc>
          <w:tcPr>
            <w:tcW w:w="1486" w:type="dxa"/>
          </w:tcPr>
          <w:p w:rsidR="00D849AA" w:rsidRDefault="00EE6D95">
            <w:pPr>
              <w:pStyle w:val="CellColumn"/>
            </w:pPr>
            <w:r>
              <w:t>11020 Visoki trgovački sud Republike Hrvatske</w:t>
            </w:r>
          </w:p>
        </w:tc>
        <w:tc>
          <w:tcPr>
            <w:tcW w:w="1486" w:type="dxa"/>
          </w:tcPr>
          <w:p w:rsidR="00D849AA" w:rsidRDefault="00EE6D95">
            <w:r>
              <w:t>19.838.800</w:t>
            </w:r>
          </w:p>
        </w:tc>
        <w:tc>
          <w:tcPr>
            <w:tcW w:w="1486" w:type="dxa"/>
          </w:tcPr>
          <w:p w:rsidR="00D849AA" w:rsidRDefault="00EE6D95">
            <w:r>
              <w:t>19.922.300</w:t>
            </w:r>
          </w:p>
        </w:tc>
        <w:tc>
          <w:tcPr>
            <w:tcW w:w="1486" w:type="dxa"/>
          </w:tcPr>
          <w:p w:rsidR="00D849AA" w:rsidRDefault="00EE6D95">
            <w:r>
              <w:t>20.317.100</w:t>
            </w:r>
          </w:p>
        </w:tc>
        <w:tc>
          <w:tcPr>
            <w:tcW w:w="1486" w:type="dxa"/>
          </w:tcPr>
          <w:p w:rsidR="00D849AA" w:rsidRDefault="00EE6D95">
            <w:r>
              <w:t>20.695.100</w:t>
            </w:r>
          </w:p>
        </w:tc>
        <w:tc>
          <w:tcPr>
            <w:tcW w:w="1486" w:type="dxa"/>
          </w:tcPr>
          <w:p w:rsidR="00D849AA" w:rsidRDefault="00EE6D95">
            <w:r>
              <w:t>100,4</w:t>
            </w:r>
          </w:p>
        </w:tc>
      </w:tr>
      <w:tr w:rsidR="00D849AA">
        <w:trPr>
          <w:jc w:val="center"/>
        </w:trPr>
        <w:tc>
          <w:tcPr>
            <w:tcW w:w="1486" w:type="dxa"/>
          </w:tcPr>
          <w:p w:rsidR="00D849AA" w:rsidRDefault="00EE6D95">
            <w:pPr>
              <w:pStyle w:val="CellColumn"/>
            </w:pPr>
            <w:r>
              <w:t>11025 Visoki upravni sud Republike Hrvatske</w:t>
            </w:r>
          </w:p>
        </w:tc>
        <w:tc>
          <w:tcPr>
            <w:tcW w:w="1486" w:type="dxa"/>
          </w:tcPr>
          <w:p w:rsidR="00D849AA" w:rsidRDefault="00EE6D95">
            <w:r>
              <w:t>23.412.000</w:t>
            </w:r>
          </w:p>
        </w:tc>
        <w:tc>
          <w:tcPr>
            <w:tcW w:w="1486" w:type="dxa"/>
          </w:tcPr>
          <w:p w:rsidR="00D849AA" w:rsidRDefault="00EE6D95">
            <w:r>
              <w:t>20.632.200</w:t>
            </w:r>
          </w:p>
        </w:tc>
        <w:tc>
          <w:tcPr>
            <w:tcW w:w="1486" w:type="dxa"/>
          </w:tcPr>
          <w:p w:rsidR="00D849AA" w:rsidRDefault="00EE6D95">
            <w:r>
              <w:t>21.202.230</w:t>
            </w:r>
          </w:p>
        </w:tc>
        <w:tc>
          <w:tcPr>
            <w:tcW w:w="1486" w:type="dxa"/>
          </w:tcPr>
          <w:p w:rsidR="00D849AA" w:rsidRDefault="00EE6D95">
            <w:r>
              <w:t>21.818.900</w:t>
            </w:r>
          </w:p>
        </w:tc>
        <w:tc>
          <w:tcPr>
            <w:tcW w:w="1486" w:type="dxa"/>
          </w:tcPr>
          <w:p w:rsidR="00D849AA" w:rsidRDefault="00EE6D95">
            <w:r>
              <w:t>88,1</w:t>
            </w:r>
          </w:p>
        </w:tc>
      </w:tr>
      <w:tr w:rsidR="00D849AA">
        <w:trPr>
          <w:jc w:val="center"/>
        </w:trPr>
        <w:tc>
          <w:tcPr>
            <w:tcW w:w="1486" w:type="dxa"/>
          </w:tcPr>
          <w:p w:rsidR="00D849AA" w:rsidRDefault="00EE6D95">
            <w:pPr>
              <w:pStyle w:val="CellColumn"/>
            </w:pPr>
            <w:r>
              <w:t xml:space="preserve">11027 Upravni </w:t>
            </w:r>
            <w:r>
              <w:lastRenderedPageBreak/>
              <w:t>sudovi</w:t>
            </w:r>
          </w:p>
        </w:tc>
        <w:tc>
          <w:tcPr>
            <w:tcW w:w="1486" w:type="dxa"/>
          </w:tcPr>
          <w:p w:rsidR="00D849AA" w:rsidRDefault="00EE6D95">
            <w:r>
              <w:lastRenderedPageBreak/>
              <w:t>17.736.500</w:t>
            </w:r>
          </w:p>
        </w:tc>
        <w:tc>
          <w:tcPr>
            <w:tcW w:w="1486" w:type="dxa"/>
          </w:tcPr>
          <w:p w:rsidR="00D849AA" w:rsidRDefault="00EE6D95">
            <w:r>
              <w:t>18.140.100</w:t>
            </w:r>
          </w:p>
        </w:tc>
        <w:tc>
          <w:tcPr>
            <w:tcW w:w="1486" w:type="dxa"/>
          </w:tcPr>
          <w:p w:rsidR="00D849AA" w:rsidRDefault="00EE6D95">
            <w:r>
              <w:t>18.045.600</w:t>
            </w:r>
          </w:p>
        </w:tc>
        <w:tc>
          <w:tcPr>
            <w:tcW w:w="1486" w:type="dxa"/>
          </w:tcPr>
          <w:p w:rsidR="00D849AA" w:rsidRDefault="00EE6D95">
            <w:r>
              <w:t>18.089.900</w:t>
            </w:r>
          </w:p>
        </w:tc>
        <w:tc>
          <w:tcPr>
            <w:tcW w:w="1486" w:type="dxa"/>
          </w:tcPr>
          <w:p w:rsidR="00D849AA" w:rsidRDefault="00EE6D95">
            <w:r>
              <w:t>102,3</w:t>
            </w:r>
          </w:p>
        </w:tc>
      </w:tr>
      <w:tr w:rsidR="00D849AA">
        <w:trPr>
          <w:jc w:val="center"/>
        </w:trPr>
        <w:tc>
          <w:tcPr>
            <w:tcW w:w="1486" w:type="dxa"/>
          </w:tcPr>
          <w:p w:rsidR="00D849AA" w:rsidRDefault="00EE6D95">
            <w:pPr>
              <w:pStyle w:val="CellColumn"/>
            </w:pPr>
            <w:r>
              <w:lastRenderedPageBreak/>
              <w:t>11030 Državno odvjetništvo Republike Hrvatske</w:t>
            </w:r>
          </w:p>
        </w:tc>
        <w:tc>
          <w:tcPr>
            <w:tcW w:w="1486" w:type="dxa"/>
          </w:tcPr>
          <w:p w:rsidR="00D849AA" w:rsidRDefault="00EE6D95">
            <w:r>
              <w:t>19.250.800</w:t>
            </w:r>
          </w:p>
        </w:tc>
        <w:tc>
          <w:tcPr>
            <w:tcW w:w="1486" w:type="dxa"/>
          </w:tcPr>
          <w:p w:rsidR="00D849AA" w:rsidRDefault="00EE6D95">
            <w:r>
              <w:t>26.356.200</w:t>
            </w:r>
          </w:p>
        </w:tc>
        <w:tc>
          <w:tcPr>
            <w:tcW w:w="1486" w:type="dxa"/>
          </w:tcPr>
          <w:p w:rsidR="00D849AA" w:rsidRDefault="00EE6D95">
            <w:r>
              <w:t>26.715.500</w:t>
            </w:r>
          </w:p>
        </w:tc>
        <w:tc>
          <w:tcPr>
            <w:tcW w:w="1486" w:type="dxa"/>
          </w:tcPr>
          <w:p w:rsidR="00D849AA" w:rsidRDefault="00EE6D95">
            <w:r>
              <w:t>22.761.400</w:t>
            </w:r>
          </w:p>
        </w:tc>
        <w:tc>
          <w:tcPr>
            <w:tcW w:w="1486" w:type="dxa"/>
          </w:tcPr>
          <w:p w:rsidR="00D849AA" w:rsidRDefault="00EE6D95">
            <w:r>
              <w:t>136,9</w:t>
            </w:r>
          </w:p>
        </w:tc>
      </w:tr>
      <w:tr w:rsidR="00D849AA">
        <w:trPr>
          <w:jc w:val="center"/>
        </w:trPr>
        <w:tc>
          <w:tcPr>
            <w:tcW w:w="1486" w:type="dxa"/>
          </w:tcPr>
          <w:p w:rsidR="00D849AA" w:rsidRDefault="00EE6D95">
            <w:pPr>
              <w:pStyle w:val="CellColumn"/>
            </w:pPr>
            <w:r>
              <w:t>11035 Državnoodvjetničko vijeće</w:t>
            </w:r>
          </w:p>
        </w:tc>
        <w:tc>
          <w:tcPr>
            <w:tcW w:w="1486" w:type="dxa"/>
          </w:tcPr>
          <w:p w:rsidR="00D849AA" w:rsidRDefault="00EE6D95">
            <w:r>
              <w:t>1.962.900</w:t>
            </w:r>
          </w:p>
        </w:tc>
        <w:tc>
          <w:tcPr>
            <w:tcW w:w="1486" w:type="dxa"/>
          </w:tcPr>
          <w:p w:rsidR="00D849AA" w:rsidRDefault="00EE6D95">
            <w:r>
              <w:t>1.567.300</w:t>
            </w:r>
          </w:p>
        </w:tc>
        <w:tc>
          <w:tcPr>
            <w:tcW w:w="1486" w:type="dxa"/>
          </w:tcPr>
          <w:p w:rsidR="00D849AA" w:rsidRDefault="00EE6D95">
            <w:r>
              <w:t>1.576.400</w:t>
            </w:r>
          </w:p>
        </w:tc>
        <w:tc>
          <w:tcPr>
            <w:tcW w:w="1486" w:type="dxa"/>
          </w:tcPr>
          <w:p w:rsidR="00D849AA" w:rsidRDefault="00EE6D95">
            <w:r>
              <w:t>1.613.800</w:t>
            </w:r>
          </w:p>
        </w:tc>
        <w:tc>
          <w:tcPr>
            <w:tcW w:w="1486" w:type="dxa"/>
          </w:tcPr>
          <w:p w:rsidR="00D849AA" w:rsidRDefault="00EE6D95">
            <w:r>
              <w:t>79,8</w:t>
            </w:r>
          </w:p>
        </w:tc>
      </w:tr>
      <w:tr w:rsidR="00D849AA">
        <w:trPr>
          <w:jc w:val="center"/>
        </w:trPr>
        <w:tc>
          <w:tcPr>
            <w:tcW w:w="1486" w:type="dxa"/>
          </w:tcPr>
          <w:p w:rsidR="00D849AA" w:rsidRDefault="00EE6D95">
            <w:pPr>
              <w:pStyle w:val="CellColumn"/>
            </w:pPr>
            <w:r>
              <w:t>11036 Državno sudbeno vijeće</w:t>
            </w:r>
          </w:p>
        </w:tc>
        <w:tc>
          <w:tcPr>
            <w:tcW w:w="1486" w:type="dxa"/>
          </w:tcPr>
          <w:p w:rsidR="00D849AA" w:rsidRDefault="00EE6D95">
            <w:r>
              <w:t>2.153.280</w:t>
            </w:r>
          </w:p>
        </w:tc>
        <w:tc>
          <w:tcPr>
            <w:tcW w:w="1486" w:type="dxa"/>
          </w:tcPr>
          <w:p w:rsidR="00D849AA" w:rsidRDefault="00EE6D95">
            <w:r>
              <w:t>1.822.700</w:t>
            </w:r>
          </w:p>
        </w:tc>
        <w:tc>
          <w:tcPr>
            <w:tcW w:w="1486" w:type="dxa"/>
          </w:tcPr>
          <w:p w:rsidR="00D849AA" w:rsidRDefault="00EE6D95">
            <w:r>
              <w:t>1.874.700</w:t>
            </w:r>
          </w:p>
        </w:tc>
        <w:tc>
          <w:tcPr>
            <w:tcW w:w="1486" w:type="dxa"/>
          </w:tcPr>
          <w:p w:rsidR="00D849AA" w:rsidRDefault="00EE6D95">
            <w:r>
              <w:t>1.903.700</w:t>
            </w:r>
          </w:p>
        </w:tc>
        <w:tc>
          <w:tcPr>
            <w:tcW w:w="1486" w:type="dxa"/>
          </w:tcPr>
          <w:p w:rsidR="00D849AA" w:rsidRDefault="00EE6D95">
            <w:r>
              <w:t>84,6</w:t>
            </w:r>
          </w:p>
        </w:tc>
      </w:tr>
      <w:tr w:rsidR="00D849AA">
        <w:trPr>
          <w:jc w:val="center"/>
        </w:trPr>
        <w:tc>
          <w:tcPr>
            <w:tcW w:w="1486" w:type="dxa"/>
          </w:tcPr>
          <w:p w:rsidR="00D849AA" w:rsidRDefault="00EE6D95">
            <w:pPr>
              <w:pStyle w:val="CellColumn"/>
            </w:pPr>
            <w:r>
              <w:t>11040 Visoki prekršajni sud Republike Hrvatske</w:t>
            </w:r>
          </w:p>
        </w:tc>
        <w:tc>
          <w:tcPr>
            <w:tcW w:w="1486" w:type="dxa"/>
          </w:tcPr>
          <w:p w:rsidR="00D849AA" w:rsidRDefault="00EE6D95">
            <w:r>
              <w:t>22.724.000</w:t>
            </w:r>
          </w:p>
        </w:tc>
        <w:tc>
          <w:tcPr>
            <w:tcW w:w="1486" w:type="dxa"/>
          </w:tcPr>
          <w:p w:rsidR="00D849AA" w:rsidRDefault="00EE6D95">
            <w:r>
              <w:t>22.997.000</w:t>
            </w:r>
          </w:p>
        </w:tc>
        <w:tc>
          <w:tcPr>
            <w:tcW w:w="1486" w:type="dxa"/>
          </w:tcPr>
          <w:p w:rsidR="00D849AA" w:rsidRDefault="00EE6D95">
            <w:r>
              <w:t>23.067.000</w:t>
            </w:r>
          </w:p>
        </w:tc>
        <w:tc>
          <w:tcPr>
            <w:tcW w:w="1486" w:type="dxa"/>
          </w:tcPr>
          <w:p w:rsidR="00D849AA" w:rsidRDefault="00EE6D95">
            <w:r>
              <w:t>23.089.200</w:t>
            </w:r>
          </w:p>
        </w:tc>
        <w:tc>
          <w:tcPr>
            <w:tcW w:w="1486" w:type="dxa"/>
          </w:tcPr>
          <w:p w:rsidR="00D849AA" w:rsidRDefault="00EE6D95">
            <w:r>
              <w:t>101,2</w:t>
            </w:r>
          </w:p>
        </w:tc>
      </w:tr>
      <w:tr w:rsidR="00D849AA">
        <w:trPr>
          <w:jc w:val="center"/>
        </w:trPr>
        <w:tc>
          <w:tcPr>
            <w:tcW w:w="1486" w:type="dxa"/>
          </w:tcPr>
          <w:p w:rsidR="00D849AA" w:rsidRDefault="00EE6D95">
            <w:pPr>
              <w:pStyle w:val="CellColumn"/>
            </w:pPr>
            <w:r>
              <w:t>11045 Županijski sudovi</w:t>
            </w:r>
          </w:p>
        </w:tc>
        <w:tc>
          <w:tcPr>
            <w:tcW w:w="1486" w:type="dxa"/>
          </w:tcPr>
          <w:p w:rsidR="00D849AA" w:rsidRDefault="00EE6D95">
            <w:r>
              <w:t>253.482.000</w:t>
            </w:r>
          </w:p>
        </w:tc>
        <w:tc>
          <w:tcPr>
            <w:tcW w:w="1486" w:type="dxa"/>
          </w:tcPr>
          <w:p w:rsidR="00D849AA" w:rsidRDefault="00EE6D95">
            <w:r>
              <w:t>262.053.000</w:t>
            </w:r>
          </w:p>
        </w:tc>
        <w:tc>
          <w:tcPr>
            <w:tcW w:w="1486" w:type="dxa"/>
          </w:tcPr>
          <w:p w:rsidR="00D849AA" w:rsidRDefault="00EE6D95">
            <w:r>
              <w:t>266.439.000</w:t>
            </w:r>
          </w:p>
        </w:tc>
        <w:tc>
          <w:tcPr>
            <w:tcW w:w="1486" w:type="dxa"/>
          </w:tcPr>
          <w:p w:rsidR="00D849AA" w:rsidRDefault="00EE6D95">
            <w:r>
              <w:t>256.138.000</w:t>
            </w:r>
          </w:p>
        </w:tc>
        <w:tc>
          <w:tcPr>
            <w:tcW w:w="1486" w:type="dxa"/>
          </w:tcPr>
          <w:p w:rsidR="00D849AA" w:rsidRDefault="00EE6D95">
            <w:r>
              <w:t>103,4</w:t>
            </w:r>
          </w:p>
        </w:tc>
      </w:tr>
      <w:tr w:rsidR="00D849AA">
        <w:trPr>
          <w:jc w:val="center"/>
        </w:trPr>
        <w:tc>
          <w:tcPr>
            <w:tcW w:w="1486" w:type="dxa"/>
          </w:tcPr>
          <w:p w:rsidR="00D849AA" w:rsidRDefault="00EE6D95">
            <w:pPr>
              <w:pStyle w:val="CellColumn"/>
            </w:pPr>
            <w:r>
              <w:t>11050 Trgovački sudovi</w:t>
            </w:r>
          </w:p>
        </w:tc>
        <w:tc>
          <w:tcPr>
            <w:tcW w:w="1486" w:type="dxa"/>
          </w:tcPr>
          <w:p w:rsidR="00D849AA" w:rsidRDefault="00EE6D95">
            <w:r>
              <w:t>81.354.500</w:t>
            </w:r>
          </w:p>
        </w:tc>
        <w:tc>
          <w:tcPr>
            <w:tcW w:w="1486" w:type="dxa"/>
          </w:tcPr>
          <w:p w:rsidR="00D849AA" w:rsidRDefault="00EE6D95">
            <w:r>
              <w:t>85.180.000</w:t>
            </w:r>
          </w:p>
        </w:tc>
        <w:tc>
          <w:tcPr>
            <w:tcW w:w="1486" w:type="dxa"/>
          </w:tcPr>
          <w:p w:rsidR="00D849AA" w:rsidRDefault="00EE6D95">
            <w:r>
              <w:t>85.203.350</w:t>
            </w:r>
          </w:p>
        </w:tc>
        <w:tc>
          <w:tcPr>
            <w:tcW w:w="1486" w:type="dxa"/>
          </w:tcPr>
          <w:p w:rsidR="00D849AA" w:rsidRDefault="00EE6D95">
            <w:r>
              <w:t>85.496.350</w:t>
            </w:r>
          </w:p>
        </w:tc>
        <w:tc>
          <w:tcPr>
            <w:tcW w:w="1486" w:type="dxa"/>
          </w:tcPr>
          <w:p w:rsidR="00D849AA" w:rsidRDefault="00EE6D95">
            <w:r>
              <w:t>104,7</w:t>
            </w:r>
          </w:p>
        </w:tc>
      </w:tr>
      <w:tr w:rsidR="00D849AA">
        <w:trPr>
          <w:jc w:val="center"/>
        </w:trPr>
        <w:tc>
          <w:tcPr>
            <w:tcW w:w="1486" w:type="dxa"/>
          </w:tcPr>
          <w:p w:rsidR="00D849AA" w:rsidRDefault="00EE6D95">
            <w:pPr>
              <w:pStyle w:val="CellColumn"/>
            </w:pPr>
            <w:r>
              <w:t>11055 Županijska državna odvjetništva</w:t>
            </w:r>
          </w:p>
        </w:tc>
        <w:tc>
          <w:tcPr>
            <w:tcW w:w="1486" w:type="dxa"/>
          </w:tcPr>
          <w:p w:rsidR="00D849AA" w:rsidRDefault="00EE6D95">
            <w:r>
              <w:t>87.765.000</w:t>
            </w:r>
          </w:p>
        </w:tc>
        <w:tc>
          <w:tcPr>
            <w:tcW w:w="1486" w:type="dxa"/>
          </w:tcPr>
          <w:p w:rsidR="00D849AA" w:rsidRDefault="00EE6D95">
            <w:r>
              <w:t>85.655.000</w:t>
            </w:r>
          </w:p>
        </w:tc>
        <w:tc>
          <w:tcPr>
            <w:tcW w:w="1486" w:type="dxa"/>
          </w:tcPr>
          <w:p w:rsidR="00D849AA" w:rsidRDefault="00EE6D95">
            <w:r>
              <w:t>88.484.000</w:t>
            </w:r>
          </w:p>
        </w:tc>
        <w:tc>
          <w:tcPr>
            <w:tcW w:w="1486" w:type="dxa"/>
          </w:tcPr>
          <w:p w:rsidR="00D849AA" w:rsidRDefault="00EE6D95">
            <w:r>
              <w:t>86.829.000</w:t>
            </w:r>
          </w:p>
        </w:tc>
        <w:tc>
          <w:tcPr>
            <w:tcW w:w="1486" w:type="dxa"/>
          </w:tcPr>
          <w:p w:rsidR="00D849AA" w:rsidRDefault="00EE6D95">
            <w:r>
              <w:t>97,6</w:t>
            </w:r>
          </w:p>
        </w:tc>
      </w:tr>
      <w:tr w:rsidR="00D849AA">
        <w:trPr>
          <w:jc w:val="center"/>
        </w:trPr>
        <w:tc>
          <w:tcPr>
            <w:tcW w:w="1486" w:type="dxa"/>
          </w:tcPr>
          <w:p w:rsidR="00D849AA" w:rsidRDefault="00EE6D95">
            <w:pPr>
              <w:pStyle w:val="CellColumn"/>
            </w:pPr>
            <w:r>
              <w:t>11065 Općinski sudovi</w:t>
            </w:r>
          </w:p>
        </w:tc>
        <w:tc>
          <w:tcPr>
            <w:tcW w:w="1486" w:type="dxa"/>
          </w:tcPr>
          <w:p w:rsidR="00D849AA" w:rsidRDefault="00EE6D95">
            <w:r>
              <w:t>604.354.000</w:t>
            </w:r>
          </w:p>
        </w:tc>
        <w:tc>
          <w:tcPr>
            <w:tcW w:w="1486" w:type="dxa"/>
          </w:tcPr>
          <w:p w:rsidR="00D849AA" w:rsidRDefault="00EE6D95">
            <w:r>
              <w:t>597.500.700</w:t>
            </w:r>
          </w:p>
        </w:tc>
        <w:tc>
          <w:tcPr>
            <w:tcW w:w="1486" w:type="dxa"/>
          </w:tcPr>
          <w:p w:rsidR="00D849AA" w:rsidRDefault="00EE6D95">
            <w:r>
              <w:t>618.452.680</w:t>
            </w:r>
          </w:p>
        </w:tc>
        <w:tc>
          <w:tcPr>
            <w:tcW w:w="1486" w:type="dxa"/>
          </w:tcPr>
          <w:p w:rsidR="00D849AA" w:rsidRDefault="00EE6D95">
            <w:r>
              <w:t>610.654.850</w:t>
            </w:r>
          </w:p>
        </w:tc>
        <w:tc>
          <w:tcPr>
            <w:tcW w:w="1486" w:type="dxa"/>
          </w:tcPr>
          <w:p w:rsidR="00D849AA" w:rsidRDefault="00EE6D95">
            <w:r>
              <w:t>98,9</w:t>
            </w:r>
          </w:p>
        </w:tc>
      </w:tr>
      <w:tr w:rsidR="00D849AA">
        <w:trPr>
          <w:jc w:val="center"/>
        </w:trPr>
        <w:tc>
          <w:tcPr>
            <w:tcW w:w="1486" w:type="dxa"/>
          </w:tcPr>
          <w:p w:rsidR="00D849AA" w:rsidRDefault="00EE6D95">
            <w:pPr>
              <w:pStyle w:val="CellColumn"/>
            </w:pPr>
            <w:r>
              <w:t>11070 Općinska državna odvjetništva</w:t>
            </w:r>
          </w:p>
        </w:tc>
        <w:tc>
          <w:tcPr>
            <w:tcW w:w="1486" w:type="dxa"/>
          </w:tcPr>
          <w:p w:rsidR="00D849AA" w:rsidRDefault="00EE6D95">
            <w:r>
              <w:t>164.197.000</w:t>
            </w:r>
          </w:p>
        </w:tc>
        <w:tc>
          <w:tcPr>
            <w:tcW w:w="1486" w:type="dxa"/>
          </w:tcPr>
          <w:p w:rsidR="00D849AA" w:rsidRDefault="00EE6D95">
            <w:r>
              <w:t>166.304.300</w:t>
            </w:r>
          </w:p>
        </w:tc>
        <w:tc>
          <w:tcPr>
            <w:tcW w:w="1486" w:type="dxa"/>
          </w:tcPr>
          <w:p w:rsidR="00D849AA" w:rsidRDefault="00EE6D95">
            <w:r>
              <w:t>169.949.300</w:t>
            </w:r>
          </w:p>
        </w:tc>
        <w:tc>
          <w:tcPr>
            <w:tcW w:w="1486" w:type="dxa"/>
          </w:tcPr>
          <w:p w:rsidR="00D849AA" w:rsidRDefault="00EE6D95">
            <w:r>
              <w:t>169.843.400</w:t>
            </w:r>
          </w:p>
        </w:tc>
        <w:tc>
          <w:tcPr>
            <w:tcW w:w="1486" w:type="dxa"/>
          </w:tcPr>
          <w:p w:rsidR="00D849AA" w:rsidRDefault="00EE6D95">
            <w:r>
              <w:t>101,3</w:t>
            </w:r>
          </w:p>
        </w:tc>
      </w:tr>
      <w:tr w:rsidR="00D849AA">
        <w:trPr>
          <w:jc w:val="center"/>
        </w:trPr>
        <w:tc>
          <w:tcPr>
            <w:tcW w:w="1486" w:type="dxa"/>
          </w:tcPr>
          <w:p w:rsidR="00D849AA" w:rsidRDefault="00EE6D95">
            <w:pPr>
              <w:pStyle w:val="CellColumn"/>
            </w:pPr>
            <w:r>
              <w:t>11075 Prekršajni sudovi</w:t>
            </w:r>
          </w:p>
        </w:tc>
        <w:tc>
          <w:tcPr>
            <w:tcW w:w="1486" w:type="dxa"/>
          </w:tcPr>
          <w:p w:rsidR="00D849AA" w:rsidRDefault="00EE6D95">
            <w:r>
              <w:t>199.386.610</w:t>
            </w:r>
          </w:p>
        </w:tc>
        <w:tc>
          <w:tcPr>
            <w:tcW w:w="1486" w:type="dxa"/>
          </w:tcPr>
          <w:p w:rsidR="00D849AA" w:rsidRDefault="00EE6D95">
            <w:r>
              <w:t>195.130.300</w:t>
            </w:r>
          </w:p>
        </w:tc>
        <w:tc>
          <w:tcPr>
            <w:tcW w:w="1486" w:type="dxa"/>
          </w:tcPr>
          <w:p w:rsidR="00D849AA" w:rsidRDefault="00EE6D95">
            <w:r>
              <w:t>197.020.300</w:t>
            </w:r>
          </w:p>
        </w:tc>
        <w:tc>
          <w:tcPr>
            <w:tcW w:w="1486" w:type="dxa"/>
          </w:tcPr>
          <w:p w:rsidR="00D849AA" w:rsidRDefault="00EE6D95">
            <w:r>
              <w:t>199.418.300</w:t>
            </w:r>
          </w:p>
        </w:tc>
        <w:tc>
          <w:tcPr>
            <w:tcW w:w="1486" w:type="dxa"/>
          </w:tcPr>
          <w:p w:rsidR="00D849AA" w:rsidRDefault="00EE6D95">
            <w:r>
              <w:t>97,9</w:t>
            </w:r>
          </w:p>
        </w:tc>
      </w:tr>
      <w:tr w:rsidR="00D849AA">
        <w:trPr>
          <w:jc w:val="center"/>
        </w:trPr>
        <w:tc>
          <w:tcPr>
            <w:tcW w:w="1486" w:type="dxa"/>
          </w:tcPr>
          <w:p w:rsidR="00D849AA" w:rsidRDefault="00EE6D95">
            <w:pPr>
              <w:pStyle w:val="CellColumn"/>
            </w:pPr>
            <w:r>
              <w:t>11091 Ured za suzbijanje korupcije i organiziranog kriminaliteta</w:t>
            </w:r>
          </w:p>
        </w:tc>
        <w:tc>
          <w:tcPr>
            <w:tcW w:w="1486" w:type="dxa"/>
          </w:tcPr>
          <w:p w:rsidR="00D849AA" w:rsidRDefault="00EE6D95">
            <w:r>
              <w:t>21.298.250</w:t>
            </w:r>
          </w:p>
        </w:tc>
        <w:tc>
          <w:tcPr>
            <w:tcW w:w="1486" w:type="dxa"/>
          </w:tcPr>
          <w:p w:rsidR="00D849AA" w:rsidRDefault="00EE6D95">
            <w:r>
              <w:t>20.602.750</w:t>
            </w:r>
          </w:p>
        </w:tc>
        <w:tc>
          <w:tcPr>
            <w:tcW w:w="1486" w:type="dxa"/>
          </w:tcPr>
          <w:p w:rsidR="00D849AA" w:rsidRDefault="00EE6D95">
            <w:r>
              <w:t>21.355.350</w:t>
            </w:r>
          </w:p>
        </w:tc>
        <w:tc>
          <w:tcPr>
            <w:tcW w:w="1486" w:type="dxa"/>
          </w:tcPr>
          <w:p w:rsidR="00D849AA" w:rsidRDefault="00EE6D95">
            <w:r>
              <w:t>21.440.160</w:t>
            </w:r>
          </w:p>
        </w:tc>
        <w:tc>
          <w:tcPr>
            <w:tcW w:w="1486" w:type="dxa"/>
          </w:tcPr>
          <w:p w:rsidR="00D849AA" w:rsidRDefault="00EE6D95">
            <w:r>
              <w:t>96,7</w:t>
            </w:r>
          </w:p>
        </w:tc>
      </w:tr>
      <w:tr w:rsidR="00D849AA">
        <w:trPr>
          <w:jc w:val="center"/>
        </w:trPr>
        <w:tc>
          <w:tcPr>
            <w:tcW w:w="1486" w:type="dxa"/>
            <w:shd w:val="clear" w:color="auto" w:fill="B5C0D8"/>
          </w:tcPr>
          <w:p w:rsidR="00D849AA" w:rsidRDefault="00EE6D95">
            <w:pPr>
              <w:pStyle w:val="CellColumn"/>
            </w:pPr>
            <w:r>
              <w:t>Ukupno 110</w:t>
            </w:r>
          </w:p>
        </w:tc>
        <w:tc>
          <w:tcPr>
            <w:tcW w:w="1486" w:type="dxa"/>
            <w:shd w:val="clear" w:color="auto" w:fill="B5C0D8"/>
          </w:tcPr>
          <w:p w:rsidR="00D849AA" w:rsidRDefault="00EE6D95">
            <w:r>
              <w:t>2.371.076.217</w:t>
            </w:r>
          </w:p>
        </w:tc>
        <w:tc>
          <w:tcPr>
            <w:tcW w:w="1486" w:type="dxa"/>
            <w:shd w:val="clear" w:color="auto" w:fill="B5C0D8"/>
          </w:tcPr>
          <w:p w:rsidR="00D849AA" w:rsidRDefault="00EE6D95">
            <w:r>
              <w:t>2.498.646.649</w:t>
            </w:r>
          </w:p>
        </w:tc>
        <w:tc>
          <w:tcPr>
            <w:tcW w:w="1486" w:type="dxa"/>
            <w:shd w:val="clear" w:color="auto" w:fill="B5C0D8"/>
          </w:tcPr>
          <w:p w:rsidR="00D849AA" w:rsidRDefault="00EE6D95">
            <w:r>
              <w:t>2.484.953.683</w:t>
            </w:r>
          </w:p>
        </w:tc>
        <w:tc>
          <w:tcPr>
            <w:tcW w:w="1486" w:type="dxa"/>
            <w:shd w:val="clear" w:color="auto" w:fill="B5C0D8"/>
          </w:tcPr>
          <w:p w:rsidR="00D849AA" w:rsidRDefault="00EE6D95">
            <w:r>
              <w:t>2.450.620.177</w:t>
            </w:r>
          </w:p>
        </w:tc>
        <w:tc>
          <w:tcPr>
            <w:tcW w:w="1486" w:type="dxa"/>
            <w:shd w:val="clear" w:color="auto" w:fill="B5C0D8"/>
          </w:tcPr>
          <w:p w:rsidR="00D849AA" w:rsidRDefault="00EE6D95">
            <w:r>
              <w:t>105,4</w:t>
            </w:r>
          </w:p>
        </w:tc>
      </w:tr>
    </w:tbl>
    <w:p w:rsidR="00D849AA" w:rsidRDefault="00D849AA">
      <w:pPr>
        <w:jc w:val="left"/>
      </w:pPr>
    </w:p>
    <w:p w:rsidR="00D849AA" w:rsidRDefault="00EE6D95">
      <w:pPr>
        <w:pStyle w:val="Naslov2"/>
      </w:pPr>
      <w:r>
        <w:t>11005 Ministarstvo pravosuđa</w:t>
      </w:r>
    </w:p>
    <w:p w:rsidR="00D849AA" w:rsidRDefault="00EE6D95">
      <w:pPr>
        <w:pStyle w:val="Naslov4"/>
      </w:pPr>
      <w:r>
        <w:t>Uvod</w:t>
      </w:r>
    </w:p>
    <w:p w:rsidR="00D849AA" w:rsidRDefault="00EE6D95">
      <w:pPr>
        <w:pStyle w:val="Normal3"/>
      </w:pPr>
      <w:r>
        <w:t xml:space="preserve">Ministarstvo pravosuđa obavlja upravne i druge poslove koji se odnose na: područje građanskoga, kaznenog i trgovačkog prava te upravnog sudovanja; ustrojstvo i rad te stručno osposobljavanje i usavršavanje sudaca, državnih odvjetnika i službenika u sudovima, državnim odvjetništvima, tijelima nadležnim za vođenje prekršajnog postupka i tijelima koja izvršavaju kaznene prekršajne sankcije, zatim upravne i druge poslove u javnom bilježništvu i odvjetništvu; sudske i </w:t>
      </w:r>
      <w:r>
        <w:lastRenderedPageBreak/>
        <w:t xml:space="preserve">javnobilježničke pristojbe; međunarodnu pravnu pomoć i druge oblike pravne pomoći; izvršavanje kaznenih i prekršajnih sankcija, pomilovanja i uvjetne otpuste te informatizaciju pravosuđa.  </w:t>
      </w:r>
    </w:p>
    <w:p w:rsidR="00D849AA" w:rsidRDefault="00EE6D95">
      <w:pPr>
        <w:pStyle w:val="Normal3"/>
      </w:pPr>
      <w:r>
        <w:t xml:space="preserve">Ministarstvo također obavlja nadzor nad obavljanjem poslova uprave u tijelima sudbene vlasti, državnom odvjetništvu i tijelima za vođenje prekršajnog postupka te kaznenim tijelima, a obavlja upravne i druge poslove koji se odnose na: pravo vlasništva; imovinskopravne poslove u vezi s izvlaštenjem i drugim ograničenjima vlasništva; imovinskopravne poslove glede građevinskoga, poljoprivrednog i šumskog zemljišta, komasaciju, promet zemljišta i zgrada te dio agrarnih operacija koji nisu u djelokrugu drugog tijela državne uprave; imovinu stranih državljana, poslove naknade za imovinu oduzetu za vrijeme jugoslavenske komunističke vladavine koji nisu u djelokrugu drugog tijela državne uprave, te poslove koji se odnose na sukcesiju imovine, prava i obveza bivše SFRJ.  </w:t>
      </w:r>
    </w:p>
    <w:p w:rsidR="00D849AA" w:rsidRDefault="00EE6D95">
      <w:pPr>
        <w:pStyle w:val="Normal3"/>
      </w:pPr>
      <w:r>
        <w:t xml:space="preserve">Ministarstvo obavlja upravne i stručne poslove u vezi sa suradnjom Vlade Republike Hrvatske s međunarodnim kaznenim sudovima te poslove u svezi sa zaštitom ljudskih prava i prava nacionalnih manjina.  </w:t>
      </w:r>
    </w:p>
    <w:p w:rsidR="00D849AA" w:rsidRDefault="00EE6D95">
      <w:pPr>
        <w:pStyle w:val="Normal3"/>
      </w:pPr>
      <w:r>
        <w:t xml:space="preserve">Ministarstvo obavlja poslove koji se odnose na sudjelovanje Republike Hrvatske u radu tijela Europske unije u područjima iz njegove nadležnosti.  </w:t>
      </w:r>
    </w:p>
    <w:p w:rsidR="00D849AA" w:rsidRDefault="00EE6D95">
      <w:pPr>
        <w:pStyle w:val="Normal3"/>
      </w:pPr>
      <w:r>
        <w:t>Ministarstvo obavlja i druge poslove koji su mu stavljeni u nadležnost posebnim zakonom.</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11005</w:t>
            </w:r>
          </w:p>
        </w:tc>
        <w:tc>
          <w:tcPr>
            <w:tcW w:w="1486" w:type="dxa"/>
          </w:tcPr>
          <w:p w:rsidR="00D849AA" w:rsidRDefault="00EE6D95">
            <w:r>
              <w:t>357.291.532</w:t>
            </w:r>
          </w:p>
        </w:tc>
        <w:tc>
          <w:tcPr>
            <w:tcW w:w="1486" w:type="dxa"/>
          </w:tcPr>
          <w:p w:rsidR="00D849AA" w:rsidRDefault="00EE6D95">
            <w:r>
              <w:t>453.368.599</w:t>
            </w:r>
          </w:p>
        </w:tc>
        <w:tc>
          <w:tcPr>
            <w:tcW w:w="1486" w:type="dxa"/>
          </w:tcPr>
          <w:p w:rsidR="00D849AA" w:rsidRDefault="00EE6D95">
            <w:r>
              <w:t>400.717.403</w:t>
            </w:r>
          </w:p>
        </w:tc>
        <w:tc>
          <w:tcPr>
            <w:tcW w:w="1486" w:type="dxa"/>
          </w:tcPr>
          <w:p w:rsidR="00D849AA" w:rsidRDefault="00EE6D95">
            <w:r>
              <w:t>380.329.907</w:t>
            </w:r>
          </w:p>
        </w:tc>
        <w:tc>
          <w:tcPr>
            <w:tcW w:w="1486" w:type="dxa"/>
          </w:tcPr>
          <w:p w:rsidR="00D849AA" w:rsidRDefault="00EE6D95">
            <w:r>
              <w:t>126,9</w:t>
            </w:r>
          </w:p>
        </w:tc>
      </w:tr>
    </w:tbl>
    <w:p w:rsidR="00D849AA" w:rsidRDefault="00D849AA">
      <w:pPr>
        <w:jc w:val="left"/>
      </w:pPr>
    </w:p>
    <w:p w:rsidR="00D849AA" w:rsidRDefault="00EE6D95">
      <w:pPr>
        <w:pStyle w:val="Naslov4"/>
      </w:pPr>
      <w:r>
        <w:t>OBRAZLOŽENJE PROGRAMA</w:t>
      </w:r>
    </w:p>
    <w:p w:rsidR="00D849AA" w:rsidRDefault="00EE6D95">
      <w:pPr>
        <w:pStyle w:val="Naslov5"/>
      </w:pPr>
      <w:r>
        <w:t>2801 KOORDINACIJA I UPRAVLJANJE PRAVOSUĐA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2801</w:t>
            </w:r>
          </w:p>
        </w:tc>
        <w:tc>
          <w:tcPr>
            <w:tcW w:w="1486" w:type="dxa"/>
          </w:tcPr>
          <w:p w:rsidR="00D849AA" w:rsidRDefault="00EE6D95">
            <w:r>
              <w:t>128.046.785</w:t>
            </w:r>
          </w:p>
        </w:tc>
        <w:tc>
          <w:tcPr>
            <w:tcW w:w="1486" w:type="dxa"/>
          </w:tcPr>
          <w:p w:rsidR="00D849AA" w:rsidRDefault="00EE6D95">
            <w:r>
              <w:t>145.544.079</w:t>
            </w:r>
          </w:p>
        </w:tc>
        <w:tc>
          <w:tcPr>
            <w:tcW w:w="1486" w:type="dxa"/>
          </w:tcPr>
          <w:p w:rsidR="00D849AA" w:rsidRDefault="00EE6D95">
            <w:r>
              <w:t>138.182.783</w:t>
            </w:r>
          </w:p>
        </w:tc>
        <w:tc>
          <w:tcPr>
            <w:tcW w:w="1486" w:type="dxa"/>
          </w:tcPr>
          <w:p w:rsidR="00D849AA" w:rsidRDefault="00EE6D95">
            <w:r>
              <w:t>125.295.577</w:t>
            </w:r>
          </w:p>
        </w:tc>
        <w:tc>
          <w:tcPr>
            <w:tcW w:w="1486" w:type="dxa"/>
          </w:tcPr>
          <w:p w:rsidR="00D849AA" w:rsidRDefault="00EE6D95">
            <w:r>
              <w:t>113,7</w:t>
            </w:r>
          </w:p>
        </w:tc>
      </w:tr>
    </w:tbl>
    <w:p w:rsidR="00D849AA" w:rsidRDefault="00D849AA">
      <w:pPr>
        <w:jc w:val="left"/>
      </w:pPr>
    </w:p>
    <w:p w:rsidR="00D849AA" w:rsidRDefault="00EE6D95">
      <w:pPr>
        <w:pStyle w:val="Naslov6"/>
      </w:pPr>
      <w:r>
        <w:t>Opis programa</w:t>
      </w:r>
    </w:p>
    <w:p w:rsidR="00D849AA" w:rsidRDefault="00EE6D95">
      <w:pPr>
        <w:pStyle w:val="Normal5"/>
      </w:pPr>
      <w:r>
        <w:t xml:space="preserve">Program provodi Glava 05 – Ministarstvo pravosuđa. Važnije aktivnosti unutar programa su:  </w:t>
      </w:r>
    </w:p>
    <w:p w:rsidR="00D849AA" w:rsidRDefault="00EE6D95">
      <w:pPr>
        <w:pStyle w:val="Normal5"/>
      </w:pPr>
      <w:r>
        <w:t>Administracija i upravljanje Ministarstva, Suradnja s Međunarodnim sudom i međunarodnim kaznenim sudovima.</w:t>
      </w:r>
    </w:p>
    <w:p w:rsidR="00D849AA" w:rsidRDefault="00EE6D95">
      <w:pPr>
        <w:pStyle w:val="Naslov6"/>
      </w:pPr>
      <w:r>
        <w:t>Zakonske i druge pravne osnove</w:t>
      </w:r>
    </w:p>
    <w:p w:rsidR="00D849AA" w:rsidRDefault="00EE6D95">
      <w:pPr>
        <w:pStyle w:val="Normal5"/>
      </w:pPr>
      <w:r>
        <w:t>Zakon o ustrojstvu i djelokrugu ministarstava i drugih središnjih tijela državne uprave (NN 150/11, 22/12, 39/13, 125/13).</w:t>
      </w:r>
    </w:p>
    <w:p w:rsidR="00D849AA" w:rsidRDefault="00EE6D95">
      <w:pPr>
        <w:pStyle w:val="Naslov6"/>
      </w:pPr>
      <w:r>
        <w:lastRenderedPageBreak/>
        <w:t>Ciljevi provedbe programa u razdoblju 2014.-2016. i pokazatelji uspješnosti kojima će se mjeriti ostvarenje tih ciljeva</w:t>
      </w:r>
    </w:p>
    <w:p w:rsidR="00D849AA" w:rsidRDefault="00EE6D95">
      <w:pPr>
        <w:pStyle w:val="Naslov7"/>
      </w:pPr>
      <w:r>
        <w:t xml:space="preserve">Cilj 1. Osigurati redovan rad Ministarstva i sustava pravosudnih i kaznenih tijela </w:t>
      </w:r>
    </w:p>
    <w:p w:rsidR="00D849AA" w:rsidRDefault="00EE6D95">
      <w:pPr>
        <w:pStyle w:val="Normal6"/>
      </w:pPr>
      <w:r>
        <w:t>Osigurati uvjete za učinkovit i uspješan rad sudova, državnih odvjetništava i zatvorskog sustava, osigurati uspješnu suradnju s međunarodnim kaznenim sudovima, predlaganje propisa koji podupiru vladavinu prava te provođenje drugih aktivnosti iz djelokruga Ministarstva.</w:t>
      </w:r>
    </w:p>
    <w:p w:rsidR="00D849AA" w:rsidRDefault="00EE6D95">
      <w:pPr>
        <w:pStyle w:val="Naslov7"/>
      </w:pPr>
      <w:r>
        <w:t xml:space="preserve">Cilj 2. Povećanje broja riješenih predmeta međunarodne pravne pomoći </w:t>
      </w:r>
    </w:p>
    <w:p w:rsidR="00D849AA" w:rsidRDefault="00EE6D95">
      <w:pPr>
        <w:pStyle w:val="Normal6"/>
      </w:pPr>
      <w:r>
        <w:t>Smanjenje zaostataka u rješavanju predmeta međunarodne pravne pomoći (upiti o pravu, izručenja, transferi).</w:t>
      </w:r>
    </w:p>
    <w:p w:rsidR="00D849AA" w:rsidRDefault="00EE6D95">
      <w:pPr>
        <w:pStyle w:val="Naslov5"/>
      </w:pPr>
      <w:r>
        <w:t>Procjena i ishodište potrebnih sredstava za značajnije aktivnosti/projekte</w:t>
      </w:r>
    </w:p>
    <w:p w:rsidR="00D849AA" w:rsidRDefault="00EE6D95">
      <w:pPr>
        <w:pStyle w:val="Naslov6"/>
      </w:pPr>
      <w:r>
        <w:t>A629000 ADMINISTRACIJA I UPRAVLJANJE MINISTARSTVA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A629000</w:t>
            </w:r>
          </w:p>
        </w:tc>
        <w:tc>
          <w:tcPr>
            <w:tcW w:w="1486" w:type="dxa"/>
          </w:tcPr>
          <w:p w:rsidR="00D849AA" w:rsidRDefault="00EE6D95">
            <w:r>
              <w:t>98.197.585</w:t>
            </w:r>
          </w:p>
        </w:tc>
        <w:tc>
          <w:tcPr>
            <w:tcW w:w="1486" w:type="dxa"/>
          </w:tcPr>
          <w:p w:rsidR="00D849AA" w:rsidRDefault="00EE6D95">
            <w:r>
              <w:t>115.911.979</w:t>
            </w:r>
          </w:p>
        </w:tc>
        <w:tc>
          <w:tcPr>
            <w:tcW w:w="1486" w:type="dxa"/>
          </w:tcPr>
          <w:p w:rsidR="00D849AA" w:rsidRDefault="00EE6D95">
            <w:r>
              <w:t>114.975.083</w:t>
            </w:r>
          </w:p>
        </w:tc>
        <w:tc>
          <w:tcPr>
            <w:tcW w:w="1486" w:type="dxa"/>
          </w:tcPr>
          <w:p w:rsidR="00D849AA" w:rsidRDefault="00EE6D95">
            <w:r>
              <w:t>114.075.577</w:t>
            </w:r>
          </w:p>
        </w:tc>
        <w:tc>
          <w:tcPr>
            <w:tcW w:w="1486" w:type="dxa"/>
          </w:tcPr>
          <w:p w:rsidR="00D849AA" w:rsidRDefault="00EE6D95">
            <w:r>
              <w:t>118,0</w:t>
            </w:r>
          </w:p>
        </w:tc>
      </w:tr>
    </w:tbl>
    <w:p w:rsidR="00D849AA" w:rsidRDefault="00D849AA">
      <w:pPr>
        <w:jc w:val="left"/>
      </w:pPr>
    </w:p>
    <w:p w:rsidR="00D849AA" w:rsidRDefault="00EE6D95">
      <w:pPr>
        <w:pStyle w:val="Normal6"/>
      </w:pPr>
      <w:r>
        <w:t>Administracija i upravljanje Ministarstva je aktivnost putem koje je osiguran redovan rad Ministarstva pravosuđa. U okviru ove aktivnosti organizirano je djelovanje međunarodne pravne pomoći, sudjelovanje predstavnika Republike Hrvatske u projektima koji imaju za cilj aktivno predstavljanje Republike Hrvatske u međunarodnim institucijama, inicijativama i ostalim međunarodnim tijelima iz područja pravosuđa kojih je Republika Hrvatska punopravna članica, sudjelovanje u radu stručnih odbora i pododbora Vijeća Europe te raznih komisija UN-a. Kroz aktivnost se ostvaruje i cilj ispunjenja financijskih obveza koje proizlaze na temelju članstva Republike Hrvatske u pojedinim međunarodnim organizacijama, odnosno njihovim radnim grupama.</w:t>
      </w:r>
    </w:p>
    <w:p w:rsidR="00D849AA" w:rsidRDefault="00EE6D95">
      <w:pPr>
        <w:pStyle w:val="Naslov6"/>
      </w:pPr>
      <w:r>
        <w:t>A629172 ZASTUPANJE PRED MEĐUNARODNIM SUDOM I MEĐUNARODNIM KAZNENIM SUDOVIMA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A629172</w:t>
            </w:r>
          </w:p>
        </w:tc>
        <w:tc>
          <w:tcPr>
            <w:tcW w:w="1486" w:type="dxa"/>
          </w:tcPr>
          <w:p w:rsidR="00D849AA" w:rsidRDefault="00EE6D95">
            <w:r>
              <w:t>5.200.000</w:t>
            </w:r>
          </w:p>
        </w:tc>
        <w:tc>
          <w:tcPr>
            <w:tcW w:w="1486" w:type="dxa"/>
          </w:tcPr>
          <w:p w:rsidR="00D849AA" w:rsidRDefault="00EE6D95">
            <w:r>
              <w:t>7.050.000</w:t>
            </w:r>
          </w:p>
        </w:tc>
        <w:tc>
          <w:tcPr>
            <w:tcW w:w="1486" w:type="dxa"/>
          </w:tcPr>
          <w:p w:rsidR="00D849AA" w:rsidRDefault="00EE6D95">
            <w:r>
              <w:t>6.250.000</w:t>
            </w:r>
          </w:p>
        </w:tc>
        <w:tc>
          <w:tcPr>
            <w:tcW w:w="1486" w:type="dxa"/>
          </w:tcPr>
          <w:p w:rsidR="00D849AA" w:rsidRDefault="00EE6D95">
            <w:r>
              <w:t>6.250.000</w:t>
            </w:r>
          </w:p>
        </w:tc>
        <w:tc>
          <w:tcPr>
            <w:tcW w:w="1486" w:type="dxa"/>
          </w:tcPr>
          <w:p w:rsidR="00D849AA" w:rsidRDefault="00EE6D95">
            <w:r>
              <w:t>135,6</w:t>
            </w:r>
          </w:p>
        </w:tc>
      </w:tr>
    </w:tbl>
    <w:p w:rsidR="00D849AA" w:rsidRDefault="00D849AA">
      <w:pPr>
        <w:jc w:val="left"/>
      </w:pPr>
    </w:p>
    <w:p w:rsidR="00D849AA" w:rsidRDefault="00EE6D95">
      <w:pPr>
        <w:pStyle w:val="Normal6"/>
      </w:pPr>
      <w:r>
        <w:t>Navedenom aktivnosti podmiruju se troškovi inozemnih i domaćih odvjetnika temeljem ugovora koje je sklopila Vlada RH. Nadalje, podmiruju se i troškovi vođenja spora povodom tužbe RH protiv Srbije zbog povreda odredbi Konvencije o genocidu pred međunarodnim sudom pravde budući da je formiran tim koji radi na meritumu tužbe.</w:t>
      </w:r>
    </w:p>
    <w:p w:rsidR="00AE2853" w:rsidRDefault="00AE2853">
      <w:pPr>
        <w:pStyle w:val="Normal6"/>
      </w:pPr>
    </w:p>
    <w:p w:rsidR="00AE2853" w:rsidRDefault="00AE2853">
      <w:pPr>
        <w:pStyle w:val="Normal6"/>
      </w:pPr>
    </w:p>
    <w:p w:rsidR="00D849AA" w:rsidRDefault="00EE6D95">
      <w:pPr>
        <w:pStyle w:val="Naslov6"/>
      </w:pPr>
      <w:r>
        <w:lastRenderedPageBreak/>
        <w:t>A629245 PROVOĐENJE SUKCESIJE BIVŠE SFRJ</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A629245</w:t>
            </w:r>
          </w:p>
        </w:tc>
        <w:tc>
          <w:tcPr>
            <w:tcW w:w="1486" w:type="dxa"/>
          </w:tcPr>
          <w:p w:rsidR="00D849AA" w:rsidRDefault="00EE6D95">
            <w:r>
              <w:t>1.000.000</w:t>
            </w:r>
          </w:p>
        </w:tc>
        <w:tc>
          <w:tcPr>
            <w:tcW w:w="1486" w:type="dxa"/>
          </w:tcPr>
          <w:p w:rsidR="00D849AA" w:rsidRDefault="00EE6D95">
            <w:r>
              <w:t>200.000</w:t>
            </w:r>
          </w:p>
        </w:tc>
        <w:tc>
          <w:tcPr>
            <w:tcW w:w="1486" w:type="dxa"/>
          </w:tcPr>
          <w:p w:rsidR="00D849AA" w:rsidRDefault="00EE6D95">
            <w:r>
              <w:t>200.000</w:t>
            </w:r>
          </w:p>
        </w:tc>
        <w:tc>
          <w:tcPr>
            <w:tcW w:w="1486" w:type="dxa"/>
          </w:tcPr>
          <w:p w:rsidR="00D849AA" w:rsidRDefault="00EE6D95">
            <w:r>
              <w:t>200.000</w:t>
            </w:r>
          </w:p>
        </w:tc>
        <w:tc>
          <w:tcPr>
            <w:tcW w:w="1486" w:type="dxa"/>
          </w:tcPr>
          <w:p w:rsidR="00D849AA" w:rsidRDefault="00EE6D95">
            <w:r>
              <w:t>20,0</w:t>
            </w:r>
          </w:p>
        </w:tc>
      </w:tr>
    </w:tbl>
    <w:p w:rsidR="00D849AA" w:rsidRDefault="00D849AA">
      <w:pPr>
        <w:jc w:val="left"/>
      </w:pPr>
    </w:p>
    <w:p w:rsidR="00D849AA" w:rsidRDefault="00EE6D95">
      <w:pPr>
        <w:pStyle w:val="Normal6"/>
      </w:pPr>
      <w:r>
        <w:t>Navedenom aktivnošću i mjerama planirano je angažiranje ekonomskih i drugih stručnjaka, odnosno računovođa, knjigovođa i revizora, čiji bi zadatak bio utvrđivanje metodologije izračuna ukupnih vrijednosti nekretnina u bivšem društvenom vlasništvu pravnih osoba sa područja Republike Srbije i Crne Gore, kao i cjelokupnog potraživanja RH prema Republici Srbiji i Crnoj Gori, u cilju priprema za početak pregovora o rješavanju imovinsko-pravnih odnosa sa Republikom Srbijom te otvaranje ponovnih pregovora o rješavanju imovinsko-pravnih odnosa sa Bosnom i Hercegovinom.</w:t>
      </w:r>
    </w:p>
    <w:p w:rsidR="00AE2853" w:rsidRDefault="00AE2853" w:rsidP="00AE2853">
      <w:pPr>
        <w:pStyle w:val="Naslov4"/>
      </w:pPr>
      <w:r>
        <w:t>OBRAZLOŽENJE PROGRAMA</w:t>
      </w:r>
    </w:p>
    <w:p w:rsidR="00D849AA" w:rsidRDefault="00EE6D95">
      <w:pPr>
        <w:pStyle w:val="Naslov5"/>
      </w:pPr>
      <w:r>
        <w:t>2803 VOĐENJE SUDSKIH POSTUPAKA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2803</w:t>
            </w:r>
          </w:p>
        </w:tc>
        <w:tc>
          <w:tcPr>
            <w:tcW w:w="1486" w:type="dxa"/>
          </w:tcPr>
          <w:p w:rsidR="00D849AA" w:rsidRDefault="00EE6D95">
            <w:r>
              <w:t>45.792.600</w:t>
            </w:r>
          </w:p>
        </w:tc>
        <w:tc>
          <w:tcPr>
            <w:tcW w:w="1486" w:type="dxa"/>
          </w:tcPr>
          <w:p w:rsidR="00D849AA" w:rsidRDefault="00EE6D95">
            <w:r>
              <w:t>38.538.000</w:t>
            </w:r>
          </w:p>
        </w:tc>
        <w:tc>
          <w:tcPr>
            <w:tcW w:w="1486" w:type="dxa"/>
          </w:tcPr>
          <w:p w:rsidR="00D849AA" w:rsidRDefault="00EE6D95">
            <w:r>
              <w:t>18.563.000</w:t>
            </w:r>
          </w:p>
        </w:tc>
        <w:tc>
          <w:tcPr>
            <w:tcW w:w="1486" w:type="dxa"/>
          </w:tcPr>
          <w:p w:rsidR="00D849AA" w:rsidRDefault="00EE6D95">
            <w:r>
              <w:t>10.043.000</w:t>
            </w:r>
          </w:p>
        </w:tc>
        <w:tc>
          <w:tcPr>
            <w:tcW w:w="1486" w:type="dxa"/>
          </w:tcPr>
          <w:p w:rsidR="00D849AA" w:rsidRDefault="00EE6D95">
            <w:r>
              <w:t>84,2</w:t>
            </w:r>
          </w:p>
        </w:tc>
      </w:tr>
    </w:tbl>
    <w:p w:rsidR="00D849AA" w:rsidRDefault="00D849AA">
      <w:pPr>
        <w:jc w:val="left"/>
      </w:pPr>
    </w:p>
    <w:p w:rsidR="00D849AA" w:rsidRDefault="00EE6D95">
      <w:pPr>
        <w:pStyle w:val="Naslov6"/>
      </w:pPr>
      <w:r>
        <w:t>Opis programa</w:t>
      </w:r>
    </w:p>
    <w:p w:rsidR="00D849AA" w:rsidRDefault="00EE6D95">
      <w:pPr>
        <w:pStyle w:val="Normal5"/>
      </w:pPr>
      <w:r>
        <w:t>Prema Ustavu Republike Hrvatske nositelji sudbene vlasti su sudovi. U okviru svojih ustavnih zadaća i Zakonom o sudovima utvrđenih nadležnosti u Republici Hrvatskoj sudske postupke vode slijedeći sudovi: Vrhovni sud RH, Visoki trgovački sud RH, Visoki prekršajni sud RH, Visoki upravni sud RH, upravni sudovi, županijski sudovi, trgovački sudovi, općinski sudovi i prekršajni sudovi. U Državnom proračunu Republike Hrvatske „Program Vođenje sudskih postupaka“ obuhvaća vođenje sudskih postupaka iz nadležnosti Vrhovnog suda Republike Hrvatske, Visokog trgovačkog suda RH, Visokog upravnog suda RH, upravnih sudova, Visokog prekršajnog suda Republike Hrvatske, županijskih sudova, trgovačkih sudova, općinskih sudova i prekršajnih sudova.</w:t>
      </w:r>
    </w:p>
    <w:p w:rsidR="00D849AA" w:rsidRDefault="00EE6D95">
      <w:pPr>
        <w:pStyle w:val="Naslov6"/>
      </w:pPr>
      <w:r>
        <w:t>Zakonske i druge pravne osnove</w:t>
      </w:r>
    </w:p>
    <w:p w:rsidR="00D849AA" w:rsidRDefault="00EE6D95">
      <w:pPr>
        <w:pStyle w:val="Normal5"/>
      </w:pPr>
      <w:r>
        <w:t>Zakon o sudovima („Narodne novine“, broj 150/05, 16/07, 113/08, 153/09 i 116/10, 130/11, 28/13) i Zakon o područjima i sjedištima sudova („Narodne novine“, broj 85/08, 144/10, 84/11).</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Cilj 1. Povećanje učinkovitosti rada sudova</w:t>
      </w:r>
    </w:p>
    <w:p w:rsidR="00D849AA" w:rsidRDefault="00EE6D95">
      <w:pPr>
        <w:pStyle w:val="Normal6"/>
      </w:pPr>
      <w:r>
        <w:t xml:space="preserve">U cilju povećanja učinkovitosti rada sudova i smanjenja broja neriješenih predmeta u okviru Reforme pravosuđa poduzete su mnoge aktivnosti. Kao jedna od mjera koja se trajno poduzima u cilju smanjenja broja neriješenih predmeta je delegiranje sudskih predmeta sa više opterećenih sudova na sudove s manjim prilivom i manjom  </w:t>
      </w:r>
    </w:p>
    <w:p w:rsidR="00D849AA" w:rsidRDefault="00EE6D95">
      <w:pPr>
        <w:pStyle w:val="Normal6"/>
      </w:pPr>
      <w:r>
        <w:lastRenderedPageBreak/>
        <w:t xml:space="preserve">opterećenošću sudskim predmetima. Izmjenama Zakona o Državnom sudbenom vijeću omogućen je privremeni raspored sudaca iz sudova koji su manje radno opterećeni u sudove u kojima je zbog povećanog priliva predmeta i ukupnog broja predmeta u radu postoji dodatna potreba za imenovanjem sudaca kao i privremeno upućivanje sudaca na rad u viši sud u svojstvu višeg sudskog savjetnika odnosno radi izrade nacrta sudskih odluka i obavljanja drugih poslova. Velik pomak učinjen je u racionalizaciji prevelikog broja sudova i državnih odvjetništava. U prvom krugu racionalizacije mreže sudova i državnih odvjetništava broj općinskih sudova smanjen je sa 108 na njih 67, broj prekršajnih sudova sa 114 na njih 63, dok je broj općinskih državnih odvjetništava smanjen sa 71 na njih 55. U drugom krugu racionalizacije broj županijskih sudova smanjen je sa 21 na njih 15, broj županijskih državnih odvjetništava smanjen je sa 20 na njih 15 te broj trgovačkih sudova sa 13 na njih 7. U trećem krugu racionalizacije smanjen je broj općinskih državnih odvjetništava sa 55 na njih 33, a u cilju povećanja učinkovitosti u kaznenom sudovanju smanjen je broj općinskih sudova koji postupaju u kaznenim predmetima na 34 suda.  </w:t>
      </w:r>
    </w:p>
    <w:p w:rsidR="00D849AA" w:rsidRDefault="00EE6D95">
      <w:pPr>
        <w:pStyle w:val="Normal6"/>
      </w:pPr>
      <w:r>
        <w:t xml:space="preserve">Ministarstvo pravosuđa kontinuirano prati i bilježi učinke racionalizacije i već su sadavidljivi pozitivni učinci, poput bolje organizacije rada sudova te službenika i namještenika, ravnomjernije opterećenosti sudaca predmetima i mogućnosti njihove specijalizacije, većom fleksibilnosti u radu suda, bržeg rješavanja neriješenih predmeta te  </w:t>
      </w:r>
    </w:p>
    <w:p w:rsidR="00D849AA" w:rsidRDefault="00EE6D95">
      <w:pPr>
        <w:pStyle w:val="Normal6"/>
      </w:pPr>
      <w:r>
        <w:t xml:space="preserve">financijskih ušteda.  </w:t>
      </w:r>
    </w:p>
    <w:p w:rsidR="00D849AA" w:rsidRDefault="00EE6D95">
      <w:pPr>
        <w:pStyle w:val="Normal6"/>
      </w:pPr>
      <w:r>
        <w:t>Projekt sređivanja zemljišnih knjiga i katastra u RH i prijepisa podataka iz ručno vođene zemljišne knjige u EOP zemljišnu knjigu i druge mjere uključujući i pojačani nadzor zemljišnoknjižnih odjela od strane Ministarstva pravosuđa, doprinijeli su daljnjem smanjenju broja neriješenih zemljišnoknjižnih predmeta, čiji je broj u 2013. godini u odnosu na prethodnu godinu smanjen gotovo za 24% odnosno sa 65.182 na 49.588 predmeta.</w:t>
      </w:r>
    </w:p>
    <w:p w:rsidR="00D849AA" w:rsidRDefault="00EE6D95">
      <w:pPr>
        <w:pStyle w:val="Naslov5"/>
      </w:pPr>
      <w:r>
        <w:t>Procjena i ishodište potrebnih sredstava za značajnije aktivnosti/projekte</w:t>
      </w:r>
    </w:p>
    <w:p w:rsidR="00D849AA" w:rsidRDefault="00EE6D95">
      <w:pPr>
        <w:pStyle w:val="Naslov6"/>
      </w:pPr>
      <w:r>
        <w:t>A576241 PODRŠKA SVJEDOCIMA I ŽRTVAMA KAZNENIH DJELA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A576241</w:t>
            </w:r>
          </w:p>
        </w:tc>
        <w:tc>
          <w:tcPr>
            <w:tcW w:w="1486" w:type="dxa"/>
          </w:tcPr>
          <w:p w:rsidR="00D849AA" w:rsidRDefault="00EE6D95">
            <w:r>
              <w:t>105.000</w:t>
            </w:r>
          </w:p>
        </w:tc>
        <w:tc>
          <w:tcPr>
            <w:tcW w:w="1486" w:type="dxa"/>
          </w:tcPr>
          <w:p w:rsidR="00D849AA" w:rsidRDefault="00EE6D95">
            <w:r>
              <w:t>1.203.000</w:t>
            </w:r>
          </w:p>
        </w:tc>
        <w:tc>
          <w:tcPr>
            <w:tcW w:w="1486" w:type="dxa"/>
          </w:tcPr>
          <w:p w:rsidR="00D849AA" w:rsidRDefault="00EE6D95">
            <w:r>
              <w:t>1.203.000</w:t>
            </w:r>
          </w:p>
        </w:tc>
        <w:tc>
          <w:tcPr>
            <w:tcW w:w="1486" w:type="dxa"/>
          </w:tcPr>
          <w:p w:rsidR="00D849AA" w:rsidRDefault="00EE6D95">
            <w:r>
              <w:t>1.203.000</w:t>
            </w:r>
          </w:p>
        </w:tc>
        <w:tc>
          <w:tcPr>
            <w:tcW w:w="1486" w:type="dxa"/>
          </w:tcPr>
          <w:p w:rsidR="00D849AA" w:rsidRDefault="00EE6D95">
            <w:r>
              <w:t>1145,7</w:t>
            </w:r>
          </w:p>
        </w:tc>
      </w:tr>
    </w:tbl>
    <w:p w:rsidR="00D849AA" w:rsidRDefault="00D849AA">
      <w:pPr>
        <w:jc w:val="left"/>
      </w:pPr>
    </w:p>
    <w:p w:rsidR="00D849AA" w:rsidRDefault="00EE6D95">
      <w:pPr>
        <w:pStyle w:val="Normal6"/>
      </w:pPr>
      <w:r>
        <w:t xml:space="preserve">Od 01. svibnja 2008. godine započeli su s radom Odjeli za organiziranje i pružanje podrške svjedocima i žrtvama kao rezultat zajedničkog pilot projekta Ministarstva pravosuđa i Programa Ujedinjenih naroda za razvoj.  </w:t>
      </w:r>
    </w:p>
    <w:p w:rsidR="00D849AA" w:rsidRDefault="00EE6D95">
      <w:pPr>
        <w:pStyle w:val="Normal6"/>
      </w:pPr>
      <w:r>
        <w:t xml:space="preserve">Osnovne zadaće Odjela su:  </w:t>
      </w:r>
    </w:p>
    <w:p w:rsidR="00D849AA" w:rsidRDefault="00EE6D95">
      <w:pPr>
        <w:pStyle w:val="Normal6"/>
      </w:pPr>
      <w:r>
        <w:t xml:space="preserve">-Pružanje emocionalne podrške svjedocima/oštećenicima prije, tijekom i nakon sudskog postupka,  </w:t>
      </w:r>
    </w:p>
    <w:p w:rsidR="00D849AA" w:rsidRDefault="00EE6D95">
      <w:pPr>
        <w:pStyle w:val="Normal6"/>
      </w:pPr>
      <w:r>
        <w:t xml:space="preserve">-Pružanje praktičnih informacija svjedocima, oštećenicima i članovima njihovih obitelji,  </w:t>
      </w:r>
    </w:p>
    <w:p w:rsidR="00D849AA" w:rsidRDefault="00EE6D95">
      <w:pPr>
        <w:pStyle w:val="Normal6"/>
      </w:pPr>
      <w:r>
        <w:t xml:space="preserve">-Standardizacija postupaka/postupanja s oštećenicima i svjedocima,  </w:t>
      </w:r>
    </w:p>
    <w:p w:rsidR="00D849AA" w:rsidRDefault="00EE6D95">
      <w:pPr>
        <w:pStyle w:val="Normal6"/>
      </w:pPr>
      <w:r>
        <w:t xml:space="preserve">-Odabir, edukacija i koordinacija rada volontera koji pružaju podršku,  </w:t>
      </w:r>
    </w:p>
    <w:p w:rsidR="00D849AA" w:rsidRDefault="00EE6D95">
      <w:pPr>
        <w:pStyle w:val="Normal6"/>
      </w:pPr>
      <w:r>
        <w:t>Kroz ovu aktivnost obavlja se koordinacija rada Odjela za organiziranje i pružanje podrške svjedocima i žrtvama.</w:t>
      </w:r>
    </w:p>
    <w:p w:rsidR="00D849AA" w:rsidRDefault="00EE6D95">
      <w:pPr>
        <w:pStyle w:val="Naslov6"/>
      </w:pPr>
      <w:r>
        <w:lastRenderedPageBreak/>
        <w:t>A630020 NAKNADA TROŠKOVA NASTALIH USTUPANJEM PREDMETA DRUGOM STVARNO NADLEŽNOM SUDU, PARNIČNI I DRUGI TROŠKOVI</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A630020</w:t>
            </w:r>
          </w:p>
        </w:tc>
        <w:tc>
          <w:tcPr>
            <w:tcW w:w="1486" w:type="dxa"/>
          </w:tcPr>
          <w:p w:rsidR="00D849AA" w:rsidRDefault="00EE6D95">
            <w:r>
              <w:t>1.424.000</w:t>
            </w:r>
          </w:p>
        </w:tc>
        <w:tc>
          <w:tcPr>
            <w:tcW w:w="1486" w:type="dxa"/>
          </w:tcPr>
          <w:p w:rsidR="00D849AA" w:rsidRDefault="00EE6D95">
            <w:r>
              <w:t>1.500.000</w:t>
            </w:r>
          </w:p>
        </w:tc>
        <w:tc>
          <w:tcPr>
            <w:tcW w:w="1486" w:type="dxa"/>
          </w:tcPr>
          <w:p w:rsidR="00D849AA" w:rsidRDefault="00EE6D95">
            <w:r>
              <w:t>1.000.000</w:t>
            </w:r>
          </w:p>
        </w:tc>
        <w:tc>
          <w:tcPr>
            <w:tcW w:w="1486" w:type="dxa"/>
          </w:tcPr>
          <w:p w:rsidR="00D849AA" w:rsidRDefault="00EE6D95">
            <w:r>
              <w:t>1.000.000</w:t>
            </w:r>
          </w:p>
        </w:tc>
        <w:tc>
          <w:tcPr>
            <w:tcW w:w="1486" w:type="dxa"/>
          </w:tcPr>
          <w:p w:rsidR="00D849AA" w:rsidRDefault="00EE6D95">
            <w:r>
              <w:t>105,3</w:t>
            </w:r>
          </w:p>
        </w:tc>
      </w:tr>
    </w:tbl>
    <w:p w:rsidR="00D849AA" w:rsidRDefault="00D849AA">
      <w:pPr>
        <w:jc w:val="left"/>
      </w:pPr>
    </w:p>
    <w:p w:rsidR="00D849AA" w:rsidRDefault="00EE6D95">
      <w:pPr>
        <w:pStyle w:val="Normal6"/>
      </w:pPr>
      <w:r>
        <w:t>Presjednik Vrhovnog suda RH može odrediti da u pojedinoj vrsti predmeta postupa drugi stvarno i mjesno nadležan sud, ako sud koji je po zakonu stvrano i mjesno nadležan zbog velikog broja predmeta u radu ne može u razumnom roku odlučiti u predmetu. U slučaju ustupanja predmeta drugom sudu, stranke i njihovi punomoćnici imaju pravo na naknadu troškova prijevoza sredstvima javnog prijevoza. Odvjetnicima pripada pravo na naknadu troškova javnog prijevoza i naknadu troškova izbivanja iz pisarnice zbog putovanja ali najduže tri sata. (članak 11. Zakona o sudovima)</w:t>
      </w:r>
    </w:p>
    <w:p w:rsidR="00D849AA" w:rsidRDefault="00EE6D95">
      <w:pPr>
        <w:pStyle w:val="Naslov6"/>
      </w:pPr>
      <w:r>
        <w:t>A630065 PSIHOSOCIJALNI TRETMAN U KAZNENOM I PREKRŠAJNOM POSTUPKU</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A630065</w:t>
            </w:r>
          </w:p>
        </w:tc>
        <w:tc>
          <w:tcPr>
            <w:tcW w:w="1486" w:type="dxa"/>
          </w:tcPr>
          <w:p w:rsidR="00D849AA" w:rsidRDefault="00EE6D95">
            <w:r>
              <w:t>569.000</w:t>
            </w:r>
          </w:p>
        </w:tc>
        <w:tc>
          <w:tcPr>
            <w:tcW w:w="1486" w:type="dxa"/>
          </w:tcPr>
          <w:p w:rsidR="00D849AA" w:rsidRDefault="00EE6D95">
            <w:r>
              <w:t>1.500.000</w:t>
            </w:r>
          </w:p>
        </w:tc>
        <w:tc>
          <w:tcPr>
            <w:tcW w:w="1486" w:type="dxa"/>
          </w:tcPr>
          <w:p w:rsidR="00D849AA" w:rsidRDefault="00EE6D95">
            <w:r>
              <w:t>1.500.000</w:t>
            </w:r>
          </w:p>
        </w:tc>
        <w:tc>
          <w:tcPr>
            <w:tcW w:w="1486" w:type="dxa"/>
          </w:tcPr>
          <w:p w:rsidR="00D849AA" w:rsidRDefault="00EE6D95">
            <w:r>
              <w:t>1.500.000</w:t>
            </w:r>
          </w:p>
        </w:tc>
        <w:tc>
          <w:tcPr>
            <w:tcW w:w="1486" w:type="dxa"/>
          </w:tcPr>
          <w:p w:rsidR="00D849AA" w:rsidRDefault="00EE6D95">
            <w:r>
              <w:t>263,6</w:t>
            </w:r>
          </w:p>
        </w:tc>
      </w:tr>
    </w:tbl>
    <w:p w:rsidR="00D849AA" w:rsidRDefault="00D849AA">
      <w:pPr>
        <w:jc w:val="left"/>
      </w:pPr>
    </w:p>
    <w:p w:rsidR="00D849AA" w:rsidRDefault="00EE6D95">
      <w:pPr>
        <w:pStyle w:val="Normal6"/>
      </w:pPr>
      <w:r>
        <w:t>Psihosocijalni tretman počinitelja nasilja u obitelji sudska je zaštitna mjera čiji je osnovni cilj trenutno zaustavljanje i sprječavanje nasilničkog ponašanja u obitelji. To se postiže uključivanjem počinitelja nasilja u strukturirani kognitivno bihevioralni tretman. Ova zaštitna mjera provodi se kod pravnih ili fizičkih osoba s kojima je Ministarstvo pravosuđa sklopilo ugovor o međusobnim odnosima za pružanje te usluge. Isplate naknada provoditeljima psihosocijalnih tretmana provode se putem ove aktivnosti.</w:t>
      </w:r>
    </w:p>
    <w:p w:rsidR="00D849AA" w:rsidRDefault="00EE6D95">
      <w:pPr>
        <w:pStyle w:val="Naslov6"/>
      </w:pPr>
      <w:r>
        <w:t>A630104 POVREDE PRAVA NA SUĐENJE U RAZUMNOM ROKU</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A630104</w:t>
            </w:r>
          </w:p>
        </w:tc>
        <w:tc>
          <w:tcPr>
            <w:tcW w:w="1486" w:type="dxa"/>
          </w:tcPr>
          <w:p w:rsidR="00D849AA" w:rsidRDefault="00EE6D95">
            <w:r>
              <w:t>21.931.600</w:t>
            </w:r>
          </w:p>
        </w:tc>
        <w:tc>
          <w:tcPr>
            <w:tcW w:w="1486" w:type="dxa"/>
          </w:tcPr>
          <w:p w:rsidR="00D849AA" w:rsidRDefault="00EE6D95">
            <w:r>
              <w:t>12.000.000</w:t>
            </w:r>
          </w:p>
        </w:tc>
        <w:tc>
          <w:tcPr>
            <w:tcW w:w="1486" w:type="dxa"/>
          </w:tcPr>
          <w:p w:rsidR="00D849AA" w:rsidRDefault="00EE6D95">
            <w:r>
              <w:t>5.000.000</w:t>
            </w:r>
          </w:p>
        </w:tc>
        <w:tc>
          <w:tcPr>
            <w:tcW w:w="1486" w:type="dxa"/>
          </w:tcPr>
          <w:p w:rsidR="00D849AA" w:rsidRDefault="00EE6D95">
            <w:r>
              <w:t>3.000.000</w:t>
            </w:r>
          </w:p>
        </w:tc>
        <w:tc>
          <w:tcPr>
            <w:tcW w:w="1486" w:type="dxa"/>
          </w:tcPr>
          <w:p w:rsidR="00D849AA" w:rsidRDefault="00EE6D95">
            <w:r>
              <w:t>54,7</w:t>
            </w:r>
          </w:p>
        </w:tc>
      </w:tr>
    </w:tbl>
    <w:p w:rsidR="00D849AA" w:rsidRDefault="00D849AA">
      <w:pPr>
        <w:jc w:val="left"/>
      </w:pPr>
    </w:p>
    <w:p w:rsidR="00D849AA" w:rsidRDefault="00EE6D95">
      <w:pPr>
        <w:pStyle w:val="Normal6"/>
      </w:pPr>
      <w:r>
        <w:t xml:space="preserve">Stranka u sudskom postupku koja smatra da nadležni sud nije odlučio u razumnom roku o njezinu pravu ili obvezi ili o sumnji ili optužbi za kažnjivo djelo, može neposredno višem sudu uputiti zahtjev za zaštitu prava na suđenje u razumnom roku.  </w:t>
      </w:r>
    </w:p>
    <w:p w:rsidR="00D849AA" w:rsidRDefault="00EE6D95">
      <w:pPr>
        <w:pStyle w:val="Normal6"/>
      </w:pPr>
      <w:r>
        <w:t xml:space="preserve">Ako viši sud utvrdi da je zahtjev podnositelja osnovan, odredit će rok u kojem sud pred kojim je postupak u tijeku mora odlučiti o pravu ili obvezi ili o sumnji ili optužbi za kažnjivo djelo podnositelja zahtjeva te odrediti primjerenu naknadu koja pripada podnositelju zbog povrede njegova prava na suđenje u razumnom roku.  </w:t>
      </w:r>
    </w:p>
    <w:p w:rsidR="00D849AA" w:rsidRDefault="00EE6D95">
      <w:pPr>
        <w:pStyle w:val="Normal6"/>
      </w:pPr>
      <w:r>
        <w:t>Naknada se isplaćuje iz državnog proračuna u roku tri mjeseca od dana podnošenja zahtjeva stranke za njezinu isplatu.</w:t>
      </w:r>
    </w:p>
    <w:p w:rsidR="00AE2853" w:rsidRDefault="00AE2853">
      <w:pPr>
        <w:pStyle w:val="Normal6"/>
      </w:pPr>
    </w:p>
    <w:p w:rsidR="00D849AA" w:rsidRDefault="00EE6D95">
      <w:pPr>
        <w:pStyle w:val="Naslov6"/>
      </w:pPr>
      <w:r>
        <w:lastRenderedPageBreak/>
        <w:t>K630100 IPA I 2010 - JAČANJE UČINKOVITOSTI PRAVOSUĐA U RH</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K630100</w:t>
            </w:r>
          </w:p>
        </w:tc>
        <w:tc>
          <w:tcPr>
            <w:tcW w:w="1486" w:type="dxa"/>
          </w:tcPr>
          <w:p w:rsidR="00D849AA" w:rsidRDefault="00EE6D95">
            <w:r>
              <w:t>16.101.000</w:t>
            </w:r>
          </w:p>
        </w:tc>
        <w:tc>
          <w:tcPr>
            <w:tcW w:w="1486" w:type="dxa"/>
          </w:tcPr>
          <w:p w:rsidR="00D849AA" w:rsidRDefault="00EE6D95">
            <w:r>
              <w:t>15.630.000</w:t>
            </w:r>
          </w:p>
        </w:tc>
        <w:tc>
          <w:tcPr>
            <w:tcW w:w="1486" w:type="dxa"/>
          </w:tcPr>
          <w:p w:rsidR="00D849AA" w:rsidRDefault="00EE6D95">
            <w:r>
              <w:t>890.000</w:t>
            </w:r>
          </w:p>
        </w:tc>
        <w:tc>
          <w:tcPr>
            <w:tcW w:w="1486" w:type="dxa"/>
          </w:tcPr>
          <w:p w:rsidR="00D849AA" w:rsidRDefault="00EE6D95">
            <w:r>
              <w:t>00</w:t>
            </w:r>
          </w:p>
        </w:tc>
        <w:tc>
          <w:tcPr>
            <w:tcW w:w="1486" w:type="dxa"/>
          </w:tcPr>
          <w:p w:rsidR="00D849AA" w:rsidRDefault="00EE6D95">
            <w:r>
              <w:t>97,1</w:t>
            </w:r>
          </w:p>
        </w:tc>
      </w:tr>
    </w:tbl>
    <w:p w:rsidR="00D849AA" w:rsidRDefault="00D849AA">
      <w:pPr>
        <w:jc w:val="left"/>
      </w:pPr>
    </w:p>
    <w:p w:rsidR="00D849AA" w:rsidRDefault="00EE6D95">
      <w:pPr>
        <w:pStyle w:val="Normal6"/>
      </w:pPr>
      <w:r>
        <w:t>Podrška procesu racionalizacije; analiza statusa sudskih referenata i preporuke za poboljšanje tog statusa; razvoj efikasnog sustava sudske dostave; uspostava sustava snimanja sudskih rasprava i edukacija korištenja novog sustava; pravosudna suradnja u građanskim, trgovačkim i kaznenim stvarima; opremanje odabranih sudnica potrebnom opremom za snimanje sudskih rasprava.</w:t>
      </w:r>
    </w:p>
    <w:p w:rsidR="00D849AA" w:rsidRDefault="00EE6D95">
      <w:pPr>
        <w:pStyle w:val="Naslov6"/>
      </w:pPr>
      <w:r>
        <w:t>K630101 IPA I 2010 - POBOLJŠANJE SUSTAVA OVRHE U RH</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K630101</w:t>
            </w:r>
          </w:p>
        </w:tc>
        <w:tc>
          <w:tcPr>
            <w:tcW w:w="1486" w:type="dxa"/>
          </w:tcPr>
          <w:p w:rsidR="00D849AA" w:rsidRDefault="00EE6D95">
            <w:r>
              <w:t>5.641.000</w:t>
            </w:r>
          </w:p>
        </w:tc>
        <w:tc>
          <w:tcPr>
            <w:tcW w:w="1486" w:type="dxa"/>
          </w:tcPr>
          <w:p w:rsidR="00D849AA" w:rsidRDefault="00EE6D95">
            <w:r>
              <w:t>5.560.000</w:t>
            </w:r>
          </w:p>
        </w:tc>
        <w:tc>
          <w:tcPr>
            <w:tcW w:w="1486" w:type="dxa"/>
          </w:tcPr>
          <w:p w:rsidR="00D849AA" w:rsidRDefault="00EE6D95">
            <w:r>
              <w:t>2.700.000</w:t>
            </w:r>
          </w:p>
        </w:tc>
        <w:tc>
          <w:tcPr>
            <w:tcW w:w="1486" w:type="dxa"/>
          </w:tcPr>
          <w:p w:rsidR="00D849AA" w:rsidRDefault="00EE6D95">
            <w:r>
              <w:t>2.700.000</w:t>
            </w:r>
          </w:p>
        </w:tc>
        <w:tc>
          <w:tcPr>
            <w:tcW w:w="1486" w:type="dxa"/>
          </w:tcPr>
          <w:p w:rsidR="00D849AA" w:rsidRDefault="00EE6D95">
            <w:r>
              <w:t>98,6</w:t>
            </w:r>
          </w:p>
        </w:tc>
      </w:tr>
    </w:tbl>
    <w:p w:rsidR="00D849AA" w:rsidRDefault="00D849AA">
      <w:pPr>
        <w:jc w:val="left"/>
      </w:pPr>
    </w:p>
    <w:p w:rsidR="00D849AA" w:rsidRDefault="00EE6D95">
      <w:pPr>
        <w:pStyle w:val="Normal6"/>
      </w:pPr>
      <w:r>
        <w:t>Jačanje ovršnog sustava s ciljem smanjenja zaostataka sudskih predmeta.</w:t>
      </w:r>
    </w:p>
    <w:p w:rsidR="00AE2853" w:rsidRDefault="00AE2853">
      <w:pPr>
        <w:pStyle w:val="Normal6"/>
      </w:pPr>
    </w:p>
    <w:p w:rsidR="00AE2853" w:rsidRDefault="00AE2853" w:rsidP="00AE2853">
      <w:pPr>
        <w:pStyle w:val="Naslov4"/>
      </w:pPr>
      <w:r>
        <w:t>OBRAZLOŽENJE PROGRAMA</w:t>
      </w:r>
    </w:p>
    <w:p w:rsidR="00D849AA" w:rsidRDefault="00EE6D95">
      <w:pPr>
        <w:pStyle w:val="Naslov5"/>
      </w:pPr>
      <w:r>
        <w:t>2804 EDUKACIJA I INFORMIRANJE U PRAVOSUDNOM SUSTAVU</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2804</w:t>
            </w:r>
          </w:p>
        </w:tc>
        <w:tc>
          <w:tcPr>
            <w:tcW w:w="1486" w:type="dxa"/>
          </w:tcPr>
          <w:p w:rsidR="00D849AA" w:rsidRDefault="00EE6D95">
            <w:r>
              <w:t>5.968.000</w:t>
            </w:r>
          </w:p>
        </w:tc>
        <w:tc>
          <w:tcPr>
            <w:tcW w:w="1486" w:type="dxa"/>
          </w:tcPr>
          <w:p w:rsidR="00D849AA" w:rsidRDefault="00EE6D95">
            <w:r>
              <w:t>2.295.000</w:t>
            </w:r>
          </w:p>
        </w:tc>
        <w:tc>
          <w:tcPr>
            <w:tcW w:w="1486" w:type="dxa"/>
          </w:tcPr>
          <w:p w:rsidR="00D849AA" w:rsidRDefault="00EE6D95">
            <w:r>
              <w:t>3.250.000</w:t>
            </w:r>
          </w:p>
        </w:tc>
        <w:tc>
          <w:tcPr>
            <w:tcW w:w="1486" w:type="dxa"/>
          </w:tcPr>
          <w:p w:rsidR="00D849AA" w:rsidRDefault="00EE6D95">
            <w:r>
              <w:t>2.235.000</w:t>
            </w:r>
          </w:p>
        </w:tc>
        <w:tc>
          <w:tcPr>
            <w:tcW w:w="1486" w:type="dxa"/>
          </w:tcPr>
          <w:p w:rsidR="00D849AA" w:rsidRDefault="00EE6D95">
            <w:r>
              <w:t>38,4</w:t>
            </w:r>
          </w:p>
        </w:tc>
      </w:tr>
    </w:tbl>
    <w:p w:rsidR="00D849AA" w:rsidRDefault="00D849AA">
      <w:pPr>
        <w:jc w:val="left"/>
      </w:pPr>
    </w:p>
    <w:p w:rsidR="00D849AA" w:rsidRDefault="00EE6D95">
      <w:pPr>
        <w:pStyle w:val="Naslov6"/>
      </w:pPr>
      <w:r>
        <w:t>Opis programa</w:t>
      </w:r>
    </w:p>
    <w:p w:rsidR="00D849AA" w:rsidRDefault="00EE6D95">
      <w:pPr>
        <w:pStyle w:val="Normal5"/>
      </w:pPr>
      <w:r>
        <w:t xml:space="preserve">Program edukacije i informiranja u pravosudnom sustavu provodi se najvećim dijelom kroz aktivnosti Pravosudne akademije putem  </w:t>
      </w:r>
    </w:p>
    <w:p w:rsidR="00D849AA" w:rsidRDefault="00EE6D95">
      <w:pPr>
        <w:pStyle w:val="Normal5"/>
      </w:pPr>
      <w:r>
        <w:t xml:space="preserve">- kontinuiranog usavršavanja sudaca i državnih odvjetnika provedbom programa specijaliziranog i stručnog usavršavanja.  </w:t>
      </w:r>
    </w:p>
    <w:p w:rsidR="00D849AA" w:rsidRDefault="00EE6D95">
      <w:pPr>
        <w:pStyle w:val="Normal5"/>
      </w:pPr>
      <w:r>
        <w:t xml:space="preserve">- provođenja radionica za buduće voditelje aktivnosti stručnog usavršavanja sudaca i državnih odvjetnika,  </w:t>
      </w:r>
    </w:p>
    <w:p w:rsidR="00D849AA" w:rsidRDefault="00EE6D95">
      <w:pPr>
        <w:pStyle w:val="Normal5"/>
      </w:pPr>
      <w:r>
        <w:t xml:space="preserve">- upoznavanja vježbenika s određenim pravnim institutima, te primjene stečenog znanja u rješavanju hipotetskih primjera i prerađenih primjera iz prakse u svrhu pripreme za polaganje pravosudnog ispita i za primjenu znanja u praksi,  </w:t>
      </w:r>
    </w:p>
    <w:p w:rsidR="00D849AA" w:rsidRDefault="00EE6D95">
      <w:pPr>
        <w:pStyle w:val="Normal5"/>
      </w:pPr>
      <w:r>
        <w:t>- stjecanja vještina za rješavanje praktičnih poslova iz djelokruga rada sudova i državnog odvjetništva i dr.</w:t>
      </w:r>
    </w:p>
    <w:p w:rsidR="00D849AA" w:rsidRDefault="00EE6D95">
      <w:pPr>
        <w:pStyle w:val="Naslov6"/>
      </w:pPr>
      <w:r>
        <w:lastRenderedPageBreak/>
        <w:t>Zakonske i druge pravne osnove</w:t>
      </w:r>
    </w:p>
    <w:p w:rsidR="00D849AA" w:rsidRDefault="00EE6D95">
      <w:pPr>
        <w:pStyle w:val="Normal5"/>
      </w:pPr>
      <w:r>
        <w:t>Zakon o Pravosudnoj akademiji („Narodne novine“ broj 153/09, 127/10).</w:t>
      </w:r>
    </w:p>
    <w:p w:rsidR="00D849AA" w:rsidRDefault="00EE6D95">
      <w:pPr>
        <w:pStyle w:val="Naslov5"/>
      </w:pPr>
      <w:r>
        <w:t>Procjena i ishodište potrebnih sredstava za značajnije aktivnosti/projekte</w:t>
      </w:r>
    </w:p>
    <w:p w:rsidR="00D849AA" w:rsidRDefault="00EE6D95">
      <w:pPr>
        <w:pStyle w:val="Naslov6"/>
      </w:pPr>
      <w:r>
        <w:t>K630098 IPA I 2009 - PROFESIONALNI RAZVITAK SUDSKIH SAVJETNIKA I BUDUĆIH SUDACA I DRŽAVNIH ODVJETNIKA KROZ USPOSTAVU SAMOODRŽIVOG SUSTAVA IZOBRAZBE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K630098</w:t>
            </w:r>
          </w:p>
        </w:tc>
        <w:tc>
          <w:tcPr>
            <w:tcW w:w="1486" w:type="dxa"/>
          </w:tcPr>
          <w:p w:rsidR="00D849AA" w:rsidRDefault="00EE6D95">
            <w:r>
              <w:t>4.133.000</w:t>
            </w:r>
          </w:p>
        </w:tc>
        <w:tc>
          <w:tcPr>
            <w:tcW w:w="1486" w:type="dxa"/>
          </w:tcPr>
          <w:p w:rsidR="00D849AA" w:rsidRDefault="00EE6D95">
            <w:r>
              <w:t>790.000</w:t>
            </w:r>
          </w:p>
        </w:tc>
        <w:tc>
          <w:tcPr>
            <w:tcW w:w="1486" w:type="dxa"/>
          </w:tcPr>
          <w:p w:rsidR="00D849AA" w:rsidRDefault="00EE6D95">
            <w:r>
              <w:t>00</w:t>
            </w:r>
          </w:p>
        </w:tc>
        <w:tc>
          <w:tcPr>
            <w:tcW w:w="1486" w:type="dxa"/>
          </w:tcPr>
          <w:p w:rsidR="00D849AA" w:rsidRDefault="00EE6D95">
            <w:r>
              <w:t>00</w:t>
            </w:r>
          </w:p>
        </w:tc>
        <w:tc>
          <w:tcPr>
            <w:tcW w:w="1486" w:type="dxa"/>
          </w:tcPr>
          <w:p w:rsidR="00D849AA" w:rsidRDefault="00EE6D95">
            <w:r>
              <w:t>19,1</w:t>
            </w:r>
          </w:p>
        </w:tc>
      </w:tr>
    </w:tbl>
    <w:p w:rsidR="00D849AA" w:rsidRDefault="00D849AA">
      <w:pPr>
        <w:jc w:val="left"/>
      </w:pPr>
    </w:p>
    <w:p w:rsidR="00D849AA" w:rsidRDefault="00EE6D95">
      <w:pPr>
        <w:pStyle w:val="Normal6"/>
      </w:pPr>
      <w:r>
        <w:t>Analiza postojećeg i definiranje novog statusa sudskih savjetnika; procjena potrebe za usavršavanjem i razvoj strategije za cjeloživotnim učenjem sudskih savjetnika; provedba "treninga za trenere"; provedba treninga za sudske savjetnike; provedba pilot projekta E-učenja (metodologije cjeloživotnog obrazovanja sudskih savjetnika); jačanje postojećeg načina treninga kandidata za buduće suce i sudske savjetnike; opremanje Pravosudne akademije.</w:t>
      </w:r>
    </w:p>
    <w:p w:rsidR="00D849AA" w:rsidRDefault="00EE6D95">
      <w:pPr>
        <w:pStyle w:val="Naslov6"/>
      </w:pPr>
      <w:r>
        <w:t>T544054 IPA I 2011 FFRAC-JAČANJE RADA PRAVOSUDNE AKADEMIJE U PODRUČJU PRIMJENE VJEŠTAČENJA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T544054</w:t>
            </w:r>
          </w:p>
        </w:tc>
        <w:tc>
          <w:tcPr>
            <w:tcW w:w="1486" w:type="dxa"/>
          </w:tcPr>
          <w:p w:rsidR="00D849AA" w:rsidRDefault="00EE6D95">
            <w:r>
              <w:t>1.459.000</w:t>
            </w:r>
          </w:p>
        </w:tc>
        <w:tc>
          <w:tcPr>
            <w:tcW w:w="1486" w:type="dxa"/>
          </w:tcPr>
          <w:p w:rsidR="00D849AA" w:rsidRDefault="00EE6D95">
            <w:r>
              <w:t>1.450.000</w:t>
            </w:r>
          </w:p>
        </w:tc>
        <w:tc>
          <w:tcPr>
            <w:tcW w:w="1486" w:type="dxa"/>
          </w:tcPr>
          <w:p w:rsidR="00D849AA" w:rsidRDefault="00EE6D95">
            <w:r>
              <w:t>00</w:t>
            </w:r>
          </w:p>
        </w:tc>
        <w:tc>
          <w:tcPr>
            <w:tcW w:w="1486" w:type="dxa"/>
          </w:tcPr>
          <w:p w:rsidR="00D849AA" w:rsidRDefault="00EE6D95">
            <w:r>
              <w:t>00</w:t>
            </w:r>
          </w:p>
        </w:tc>
        <w:tc>
          <w:tcPr>
            <w:tcW w:w="1486" w:type="dxa"/>
          </w:tcPr>
          <w:p w:rsidR="00D849AA" w:rsidRDefault="00EE6D95">
            <w:r>
              <w:t>99,4</w:t>
            </w:r>
          </w:p>
        </w:tc>
      </w:tr>
    </w:tbl>
    <w:p w:rsidR="00D849AA" w:rsidRDefault="00D849AA">
      <w:pPr>
        <w:jc w:val="left"/>
      </w:pPr>
    </w:p>
    <w:p w:rsidR="00D849AA" w:rsidRDefault="00EE6D95">
      <w:pPr>
        <w:pStyle w:val="Normal6"/>
      </w:pPr>
      <w:r>
        <w:t>Jačanje rada Pravosudne akademije kroz razvoj nastavnog plana i programa i pružanje treninga za trenere, suce i državne odvjetnike na odabranim područjima vještačenja.</w:t>
      </w:r>
    </w:p>
    <w:p w:rsidR="00AE2853" w:rsidRDefault="00AE2853">
      <w:pPr>
        <w:pStyle w:val="Normal6"/>
      </w:pPr>
    </w:p>
    <w:p w:rsidR="00AE2853" w:rsidRDefault="00AE2853" w:rsidP="00AE2853">
      <w:pPr>
        <w:pStyle w:val="Naslov4"/>
      </w:pPr>
      <w:r>
        <w:t>OBRAZLOŽENJE PROGRAMA</w:t>
      </w:r>
    </w:p>
    <w:p w:rsidR="00D849AA" w:rsidRDefault="00EE6D95">
      <w:pPr>
        <w:pStyle w:val="Naslov5"/>
      </w:pPr>
      <w:r>
        <w:t>2805 RACIONALIZACIJA MREŽE PRAVOSUDNIH TIJELA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2805</w:t>
            </w:r>
          </w:p>
        </w:tc>
        <w:tc>
          <w:tcPr>
            <w:tcW w:w="1486" w:type="dxa"/>
          </w:tcPr>
          <w:p w:rsidR="00D849AA" w:rsidRDefault="00EE6D95">
            <w:r>
              <w:t>16.559.000</w:t>
            </w:r>
          </w:p>
        </w:tc>
        <w:tc>
          <w:tcPr>
            <w:tcW w:w="1486" w:type="dxa"/>
          </w:tcPr>
          <w:p w:rsidR="00D849AA" w:rsidRDefault="00EE6D95">
            <w:r>
              <w:t>20.882.000</w:t>
            </w:r>
          </w:p>
        </w:tc>
        <w:tc>
          <w:tcPr>
            <w:tcW w:w="1486" w:type="dxa"/>
          </w:tcPr>
          <w:p w:rsidR="00D849AA" w:rsidRDefault="00EE6D95">
            <w:r>
              <w:t>21.346.000</w:t>
            </w:r>
          </w:p>
        </w:tc>
        <w:tc>
          <w:tcPr>
            <w:tcW w:w="1486" w:type="dxa"/>
          </w:tcPr>
          <w:p w:rsidR="00D849AA" w:rsidRDefault="00EE6D95">
            <w:r>
              <w:t>19.970.000</w:t>
            </w:r>
          </w:p>
        </w:tc>
        <w:tc>
          <w:tcPr>
            <w:tcW w:w="1486" w:type="dxa"/>
          </w:tcPr>
          <w:p w:rsidR="00D849AA" w:rsidRDefault="00EE6D95">
            <w:r>
              <w:t>126,1</w:t>
            </w:r>
          </w:p>
        </w:tc>
      </w:tr>
    </w:tbl>
    <w:p w:rsidR="00D849AA" w:rsidRDefault="00D849AA">
      <w:pPr>
        <w:jc w:val="left"/>
      </w:pPr>
    </w:p>
    <w:p w:rsidR="00D849AA" w:rsidRDefault="00EE6D95">
      <w:pPr>
        <w:pStyle w:val="Naslov6"/>
      </w:pPr>
      <w:r>
        <w:t>Opis programa</w:t>
      </w:r>
    </w:p>
    <w:p w:rsidR="00D849AA" w:rsidRDefault="00EE6D95">
      <w:pPr>
        <w:pStyle w:val="Normal5"/>
      </w:pPr>
      <w:r>
        <w:t>U okviru programa nalaze se projekti adaptacije, rekonstrukcije i opremanja sudskih zgrada kako bi se ispunili uvjeti za fizičko spajanje sudova.</w:t>
      </w:r>
    </w:p>
    <w:p w:rsidR="00D849AA" w:rsidRDefault="00EE6D95">
      <w:pPr>
        <w:pStyle w:val="Naslov6"/>
      </w:pPr>
      <w:r>
        <w:lastRenderedPageBreak/>
        <w:t>Zakonske i druge pravne osnove</w:t>
      </w:r>
    </w:p>
    <w:p w:rsidR="00D849AA" w:rsidRDefault="00EE6D95">
      <w:pPr>
        <w:pStyle w:val="Normal5"/>
      </w:pPr>
      <w:r>
        <w:t xml:space="preserve">Zakon o sudovima („Narodne novine“, broj 150/05, 16/07, 113/08, 153/09, 116/10, 27/11, 130/11 i 28/13) i Zakon o područjima i sjedištima sudova („Narodne novine“, broj 144/10 i 84/11),Pravilnik o utvrđivanju rokova za osiguranje radnih, prostornih, tehničkih i drugih uvjeta u sjedištima sudova nastalih spajanjem od 25. rujna 2008. godine i Pravilnik o utvrđivanju rokova za osiguranje radnih, prostornih, tehničkih i drugih uvjeta u sjedištima državnih odvjetništava nastalih spajanjem od 24. prosinca 2008. godine, Sporazum o financiranju između Vlade Republike Hrvatske i Europske komisije u vezi s Nacionalnim programom za Hrvatsku u okviru programa IPA – komponenta Pomoć u tranziciji i jačanje institucija za </w:t>
      </w:r>
    </w:p>
    <w:p w:rsidR="00D849AA" w:rsidRDefault="00EE6D95">
      <w:pPr>
        <w:pStyle w:val="Normal5"/>
      </w:pPr>
      <w:r>
        <w:t>2011. godinu - 3. dio</w:t>
      </w:r>
    </w:p>
    <w:p w:rsidR="00D849AA" w:rsidRDefault="00EE6D95">
      <w:pPr>
        <w:pStyle w:val="Naslov5"/>
      </w:pPr>
      <w:r>
        <w:t>Procjena i ishodište potrebnih sredstava za značajnije aktivnosti/projekte</w:t>
      </w:r>
    </w:p>
    <w:p w:rsidR="00D849AA" w:rsidRDefault="00EE6D95">
      <w:pPr>
        <w:pStyle w:val="Naslov6"/>
      </w:pPr>
      <w:r>
        <w:t>K544055 IPA I 2011 - PODRŠKA RACIONALIZACIJI SUDOVA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K544055</w:t>
            </w:r>
          </w:p>
        </w:tc>
        <w:tc>
          <w:tcPr>
            <w:tcW w:w="1486" w:type="dxa"/>
          </w:tcPr>
          <w:p w:rsidR="00D849AA" w:rsidRDefault="00EE6D95">
            <w:r>
              <w:t>8.544.000</w:t>
            </w:r>
          </w:p>
        </w:tc>
        <w:tc>
          <w:tcPr>
            <w:tcW w:w="1486" w:type="dxa"/>
          </w:tcPr>
          <w:p w:rsidR="00D849AA" w:rsidRDefault="00EE6D95">
            <w:r>
              <w:t>16.211.000</w:t>
            </w:r>
          </w:p>
        </w:tc>
        <w:tc>
          <w:tcPr>
            <w:tcW w:w="1486" w:type="dxa"/>
          </w:tcPr>
          <w:p w:rsidR="00D849AA" w:rsidRDefault="00EE6D95">
            <w:r>
              <w:t>20.276.000</w:t>
            </w:r>
          </w:p>
        </w:tc>
        <w:tc>
          <w:tcPr>
            <w:tcW w:w="1486" w:type="dxa"/>
          </w:tcPr>
          <w:p w:rsidR="00D849AA" w:rsidRDefault="00EE6D95">
            <w:r>
              <w:t>19.650.000</w:t>
            </w:r>
          </w:p>
        </w:tc>
        <w:tc>
          <w:tcPr>
            <w:tcW w:w="1486" w:type="dxa"/>
          </w:tcPr>
          <w:p w:rsidR="00D849AA" w:rsidRDefault="00EE6D95">
            <w:r>
              <w:t>189,7</w:t>
            </w:r>
          </w:p>
        </w:tc>
      </w:tr>
    </w:tbl>
    <w:p w:rsidR="00D849AA" w:rsidRDefault="00D849AA">
      <w:pPr>
        <w:jc w:val="left"/>
      </w:pPr>
    </w:p>
    <w:p w:rsidR="00D849AA" w:rsidRDefault="00EE6D95">
      <w:pPr>
        <w:pStyle w:val="Normal6"/>
      </w:pPr>
      <w:r>
        <w:t>Povećanje učinkovitosti sudova kroz poboljšanje radnih uvjeta i konsolidaciju mreže sudova (renoviranje 5 zgrada sudova u Osijeku, Sisku, Valpovu, Benkovcu i Ivanić Gradu, u kojima će biti smješteno 2 županijska suda, 5 općinskih sudova, 2 općinska državna odvjetništva i 1 prekršajni sud).</w:t>
      </w:r>
    </w:p>
    <w:p w:rsidR="00D849AA" w:rsidRDefault="00EE6D95">
      <w:pPr>
        <w:pStyle w:val="Naslov6"/>
      </w:pPr>
      <w:r>
        <w:t>K630035 OPĆINSKI SUD U METKOVIĆU</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K630035</w:t>
            </w:r>
          </w:p>
        </w:tc>
        <w:tc>
          <w:tcPr>
            <w:tcW w:w="1486" w:type="dxa"/>
          </w:tcPr>
          <w:p w:rsidR="00D849AA" w:rsidRDefault="00EE6D95">
            <w:r>
              <w:t>6.561.000</w:t>
            </w:r>
          </w:p>
        </w:tc>
        <w:tc>
          <w:tcPr>
            <w:tcW w:w="1486" w:type="dxa"/>
          </w:tcPr>
          <w:p w:rsidR="00D849AA" w:rsidRDefault="00EE6D95">
            <w:r>
              <w:t>4.000.000</w:t>
            </w:r>
          </w:p>
        </w:tc>
        <w:tc>
          <w:tcPr>
            <w:tcW w:w="1486" w:type="dxa"/>
          </w:tcPr>
          <w:p w:rsidR="00D849AA" w:rsidRDefault="00EE6D95">
            <w:r>
              <w:t>00</w:t>
            </w:r>
          </w:p>
        </w:tc>
        <w:tc>
          <w:tcPr>
            <w:tcW w:w="1486" w:type="dxa"/>
          </w:tcPr>
          <w:p w:rsidR="00D849AA" w:rsidRDefault="00EE6D95">
            <w:r>
              <w:t>00</w:t>
            </w:r>
          </w:p>
        </w:tc>
        <w:tc>
          <w:tcPr>
            <w:tcW w:w="1486" w:type="dxa"/>
          </w:tcPr>
          <w:p w:rsidR="00D849AA" w:rsidRDefault="00EE6D95">
            <w:r>
              <w:t>61,0</w:t>
            </w:r>
          </w:p>
        </w:tc>
      </w:tr>
    </w:tbl>
    <w:p w:rsidR="00D849AA" w:rsidRDefault="00D849AA">
      <w:pPr>
        <w:jc w:val="left"/>
      </w:pPr>
    </w:p>
    <w:p w:rsidR="00D849AA" w:rsidRDefault="00EE6D95">
      <w:pPr>
        <w:pStyle w:val="Normal6"/>
      </w:pPr>
      <w:r>
        <w:t>Projektom su obuhvaćeni radovi na adaptaciji zgrade Općinskog suda u Metkoviću.</w:t>
      </w:r>
    </w:p>
    <w:p w:rsidR="00D849AA" w:rsidRDefault="00EE6D95">
      <w:pPr>
        <w:pStyle w:val="Naslov6"/>
      </w:pPr>
      <w:r>
        <w:t>K630109 ŽUPANIJSKI SUD U BJELOVARU (ADAPTACIJA I OPREMANJE ZGRADE) - REFORMA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K630109</w:t>
            </w:r>
          </w:p>
        </w:tc>
        <w:tc>
          <w:tcPr>
            <w:tcW w:w="1486" w:type="dxa"/>
          </w:tcPr>
          <w:p w:rsidR="00D849AA" w:rsidRDefault="00EE6D95">
            <w:r>
              <w:t>1.000</w:t>
            </w:r>
          </w:p>
        </w:tc>
        <w:tc>
          <w:tcPr>
            <w:tcW w:w="1486" w:type="dxa"/>
          </w:tcPr>
          <w:p w:rsidR="00D849AA" w:rsidRDefault="00EE6D95">
            <w:r>
              <w:t>00</w:t>
            </w:r>
          </w:p>
        </w:tc>
        <w:tc>
          <w:tcPr>
            <w:tcW w:w="1486" w:type="dxa"/>
          </w:tcPr>
          <w:p w:rsidR="00D849AA" w:rsidRDefault="00EE6D95">
            <w:r>
              <w:t>750.000</w:t>
            </w:r>
          </w:p>
        </w:tc>
        <w:tc>
          <w:tcPr>
            <w:tcW w:w="1486" w:type="dxa"/>
          </w:tcPr>
          <w:p w:rsidR="00D849AA" w:rsidRDefault="00EE6D95">
            <w:r>
              <w:t>00</w:t>
            </w:r>
          </w:p>
        </w:tc>
        <w:tc>
          <w:tcPr>
            <w:tcW w:w="1486" w:type="dxa"/>
          </w:tcPr>
          <w:p w:rsidR="00D849AA" w:rsidRDefault="00EE6D95">
            <w:r>
              <w:t>0,0</w:t>
            </w:r>
          </w:p>
        </w:tc>
      </w:tr>
    </w:tbl>
    <w:p w:rsidR="00D849AA" w:rsidRDefault="00D849AA">
      <w:pPr>
        <w:jc w:val="left"/>
      </w:pPr>
    </w:p>
    <w:p w:rsidR="00D849AA" w:rsidRDefault="00EE6D95">
      <w:pPr>
        <w:pStyle w:val="Normal6"/>
      </w:pPr>
      <w:r>
        <w:t>Projektom je obuhvaćena sanacija krova zgrade Županijskog suda u Bjelovaru.</w:t>
      </w:r>
    </w:p>
    <w:p w:rsidR="00AE2853" w:rsidRDefault="00AE2853">
      <w:pPr>
        <w:pStyle w:val="Normal6"/>
      </w:pPr>
    </w:p>
    <w:p w:rsidR="00AE2853" w:rsidRDefault="00AE2853">
      <w:pPr>
        <w:pStyle w:val="Normal6"/>
      </w:pPr>
    </w:p>
    <w:p w:rsidR="00AE2853" w:rsidRDefault="00AE2853" w:rsidP="00AE2853">
      <w:pPr>
        <w:pStyle w:val="Naslov4"/>
      </w:pPr>
      <w:r>
        <w:lastRenderedPageBreak/>
        <w:t>OBRAZLOŽENJE PROGRAMA</w:t>
      </w:r>
    </w:p>
    <w:p w:rsidR="00D849AA" w:rsidRDefault="00EE6D95">
      <w:pPr>
        <w:pStyle w:val="Naslov5"/>
      </w:pPr>
      <w:r>
        <w:t>2806 IZGRADNJA, OBNOVA, ODRŽAVANJE I OPREMANJE ZGRADA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2806</w:t>
            </w:r>
          </w:p>
        </w:tc>
        <w:tc>
          <w:tcPr>
            <w:tcW w:w="1486" w:type="dxa"/>
          </w:tcPr>
          <w:p w:rsidR="00D849AA" w:rsidRDefault="00EE6D95">
            <w:r>
              <w:t>44.137.691</w:t>
            </w:r>
          </w:p>
        </w:tc>
        <w:tc>
          <w:tcPr>
            <w:tcW w:w="1486" w:type="dxa"/>
          </w:tcPr>
          <w:p w:rsidR="00D849AA" w:rsidRDefault="00EE6D95">
            <w:r>
              <w:t>65.526.000</w:t>
            </w:r>
          </w:p>
        </w:tc>
        <w:tc>
          <w:tcPr>
            <w:tcW w:w="1486" w:type="dxa"/>
          </w:tcPr>
          <w:p w:rsidR="00D849AA" w:rsidRDefault="00EE6D95">
            <w:r>
              <w:t>59.947.500</w:t>
            </w:r>
          </w:p>
        </w:tc>
        <w:tc>
          <w:tcPr>
            <w:tcW w:w="1486" w:type="dxa"/>
          </w:tcPr>
          <w:p w:rsidR="00D849AA" w:rsidRDefault="00EE6D95">
            <w:r>
              <w:t>127.092.470</w:t>
            </w:r>
          </w:p>
        </w:tc>
        <w:tc>
          <w:tcPr>
            <w:tcW w:w="1486" w:type="dxa"/>
          </w:tcPr>
          <w:p w:rsidR="00D849AA" w:rsidRDefault="00EE6D95">
            <w:r>
              <w:t>148,4</w:t>
            </w:r>
          </w:p>
        </w:tc>
      </w:tr>
    </w:tbl>
    <w:p w:rsidR="00D849AA" w:rsidRDefault="00D849AA">
      <w:pPr>
        <w:jc w:val="left"/>
      </w:pPr>
    </w:p>
    <w:p w:rsidR="00D849AA" w:rsidRDefault="00EE6D95">
      <w:pPr>
        <w:pStyle w:val="Naslov6"/>
      </w:pPr>
      <w:r>
        <w:t>Opis programa</w:t>
      </w:r>
    </w:p>
    <w:p w:rsidR="00D849AA" w:rsidRDefault="00EE6D95">
      <w:pPr>
        <w:pStyle w:val="Normal5"/>
      </w:pPr>
      <w:r>
        <w:t>Programom su obuhvaćena kapitalna ulaganja u izgradnju, obnovu, kupnju i održavanje zgrada pravosudnog i zatvorskog sustava, ulaganja u uređenje i opremanje pravosudnih i kaznenih tijela u cilju poboljšanja uvjeta rada pravosudnih i kaznenih tijela.</w:t>
      </w:r>
    </w:p>
    <w:p w:rsidR="00D849AA" w:rsidRDefault="00EE6D95">
      <w:pPr>
        <w:pStyle w:val="Naslov6"/>
      </w:pPr>
      <w:r>
        <w:t>Zakonske i druge pravne osnove</w:t>
      </w:r>
    </w:p>
    <w:p w:rsidR="00D849AA" w:rsidRDefault="00EE6D95">
      <w:pPr>
        <w:pStyle w:val="Normal5"/>
      </w:pPr>
      <w:r>
        <w:t xml:space="preserve">Zakon o sudovima („Narodne novine“, broj 150/05, 16/07, 113/08, 153/09, 116/10, 27/11, 130/11 i 28/13) i Zakon o područjima i sjedištima sudova („Narodne novine“, broj 144/10 i 84/11), Zakon o izvršavanju kazne zatvora – pročišćeni tekst („Narodne novine“ broj NN 128/99, 55/00, 59/00, 129/00, 59/01, 67/01, 11/02, 190/03, 76/07, 27/08, 83/09, 18/11, 48/11, 125/11, 56/13), Zakon o izvršenju sankcija izrečenih za kaznena djela, privredne prijestupe i prekršaje („Narodne </w:t>
      </w:r>
    </w:p>
    <w:p w:rsidR="00D849AA" w:rsidRDefault="00EE6D95">
      <w:pPr>
        <w:pStyle w:val="Normal5"/>
      </w:pPr>
      <w:r>
        <w:t>novine“ broj 21/74, 39/74, 58/88, 19/90, 66/93 i 73/00), Pravilnik o kućnom redu u zatvorima za izvršavanje pritvora („Narodne novine“ broj 135/99, 141/09).</w:t>
      </w:r>
    </w:p>
    <w:p w:rsidR="00D849AA" w:rsidRDefault="00EE6D95">
      <w:pPr>
        <w:pStyle w:val="Naslov5"/>
      </w:pPr>
      <w:r>
        <w:t>Procjena i ishodište potrebnih sredstava za značajnije aktivnosti/projekte</w:t>
      </w:r>
    </w:p>
    <w:p w:rsidR="00D849AA" w:rsidRDefault="00EE6D95">
      <w:pPr>
        <w:pStyle w:val="Naslov6"/>
      </w:pPr>
      <w:r>
        <w:t>K403826 ŽUPANIJSKI SUD U ZADRU (SANACIJA I ADAPTACIJA ZGRADE)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K403826</w:t>
            </w:r>
          </w:p>
        </w:tc>
        <w:tc>
          <w:tcPr>
            <w:tcW w:w="1486" w:type="dxa"/>
          </w:tcPr>
          <w:p w:rsidR="00D849AA" w:rsidRDefault="00EE6D95">
            <w:r>
              <w:t>00</w:t>
            </w:r>
          </w:p>
        </w:tc>
        <w:tc>
          <w:tcPr>
            <w:tcW w:w="1486" w:type="dxa"/>
          </w:tcPr>
          <w:p w:rsidR="00D849AA" w:rsidRDefault="00EE6D95">
            <w:r>
              <w:t>450.000</w:t>
            </w:r>
          </w:p>
        </w:tc>
        <w:tc>
          <w:tcPr>
            <w:tcW w:w="1486" w:type="dxa"/>
          </w:tcPr>
          <w:p w:rsidR="00D849AA" w:rsidRDefault="00EE6D95">
            <w:r>
              <w:t>1.000.000</w:t>
            </w:r>
          </w:p>
        </w:tc>
        <w:tc>
          <w:tcPr>
            <w:tcW w:w="1486" w:type="dxa"/>
          </w:tcPr>
          <w:p w:rsidR="00D849AA" w:rsidRDefault="00EE6D95">
            <w:r>
              <w:t>00</w:t>
            </w:r>
          </w:p>
        </w:tc>
        <w:tc>
          <w:tcPr>
            <w:tcW w:w="1486" w:type="dxa"/>
          </w:tcPr>
          <w:p w:rsidR="00D849AA" w:rsidRDefault="00EE6D95">
            <w:r>
              <w:t>0,0</w:t>
            </w:r>
          </w:p>
        </w:tc>
      </w:tr>
    </w:tbl>
    <w:p w:rsidR="00D849AA" w:rsidRDefault="00D849AA">
      <w:pPr>
        <w:jc w:val="left"/>
      </w:pPr>
    </w:p>
    <w:p w:rsidR="00D849AA" w:rsidRDefault="00EE6D95">
      <w:pPr>
        <w:pStyle w:val="Normal6"/>
      </w:pPr>
      <w:r>
        <w:t>Sanacija krova zgrade Županijskog suda u Zadru.</w:t>
      </w:r>
    </w:p>
    <w:p w:rsidR="00D849AA" w:rsidRDefault="00EE6D95">
      <w:pPr>
        <w:pStyle w:val="Naslov6"/>
      </w:pPr>
      <w:r>
        <w:t>K403883 KAZNIONICA U GLINI (IZGRADNJA, SANACIJA I OPREMANJE ZGRADA)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K403883</w:t>
            </w:r>
          </w:p>
        </w:tc>
        <w:tc>
          <w:tcPr>
            <w:tcW w:w="1486" w:type="dxa"/>
          </w:tcPr>
          <w:p w:rsidR="00D849AA" w:rsidRDefault="00EE6D95">
            <w:r>
              <w:t>400.000</w:t>
            </w:r>
          </w:p>
        </w:tc>
        <w:tc>
          <w:tcPr>
            <w:tcW w:w="1486" w:type="dxa"/>
          </w:tcPr>
          <w:p w:rsidR="00D849AA" w:rsidRDefault="00EE6D95">
            <w:r>
              <w:t>400.000</w:t>
            </w:r>
          </w:p>
        </w:tc>
        <w:tc>
          <w:tcPr>
            <w:tcW w:w="1486" w:type="dxa"/>
          </w:tcPr>
          <w:p w:rsidR="00D849AA" w:rsidRDefault="00EE6D95">
            <w:r>
              <w:t>00</w:t>
            </w:r>
          </w:p>
        </w:tc>
        <w:tc>
          <w:tcPr>
            <w:tcW w:w="1486" w:type="dxa"/>
          </w:tcPr>
          <w:p w:rsidR="00D849AA" w:rsidRDefault="00EE6D95">
            <w:r>
              <w:t>00</w:t>
            </w:r>
          </w:p>
        </w:tc>
        <w:tc>
          <w:tcPr>
            <w:tcW w:w="1486" w:type="dxa"/>
          </w:tcPr>
          <w:p w:rsidR="00D849AA" w:rsidRDefault="00EE6D95">
            <w:r>
              <w:t>100,0</w:t>
            </w:r>
          </w:p>
        </w:tc>
      </w:tr>
    </w:tbl>
    <w:p w:rsidR="00D849AA" w:rsidRDefault="00D849AA">
      <w:pPr>
        <w:jc w:val="left"/>
      </w:pPr>
    </w:p>
    <w:p w:rsidR="00D849AA" w:rsidRDefault="00EE6D95">
      <w:pPr>
        <w:pStyle w:val="Normal6"/>
      </w:pPr>
      <w:r>
        <w:t>Uređenje i opremanje prostorija kaznionice za potrebe Odjela dentalne medicine.</w:t>
      </w:r>
    </w:p>
    <w:p w:rsidR="00AE2853" w:rsidRDefault="00AE2853">
      <w:pPr>
        <w:pStyle w:val="Normal6"/>
      </w:pPr>
    </w:p>
    <w:p w:rsidR="00D849AA" w:rsidRDefault="00EE6D95">
      <w:pPr>
        <w:pStyle w:val="Naslov6"/>
      </w:pPr>
      <w:r>
        <w:lastRenderedPageBreak/>
        <w:t>K544035 ENERGETSKI PREGLED ZGRADA I CERTIFIKACIJA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K544035</w:t>
            </w:r>
          </w:p>
        </w:tc>
        <w:tc>
          <w:tcPr>
            <w:tcW w:w="1486" w:type="dxa"/>
          </w:tcPr>
          <w:p w:rsidR="00D849AA" w:rsidRDefault="00EE6D95">
            <w:r>
              <w:t>500.000</w:t>
            </w:r>
          </w:p>
        </w:tc>
        <w:tc>
          <w:tcPr>
            <w:tcW w:w="1486" w:type="dxa"/>
          </w:tcPr>
          <w:p w:rsidR="00D849AA" w:rsidRDefault="00EE6D95">
            <w:r>
              <w:t>300.000</w:t>
            </w:r>
          </w:p>
        </w:tc>
        <w:tc>
          <w:tcPr>
            <w:tcW w:w="1486" w:type="dxa"/>
          </w:tcPr>
          <w:p w:rsidR="00D849AA" w:rsidRDefault="00EE6D95">
            <w:r>
              <w:t>300.000</w:t>
            </w:r>
          </w:p>
        </w:tc>
        <w:tc>
          <w:tcPr>
            <w:tcW w:w="1486" w:type="dxa"/>
          </w:tcPr>
          <w:p w:rsidR="00D849AA" w:rsidRDefault="00EE6D95">
            <w:r>
              <w:t>1.661.880</w:t>
            </w:r>
          </w:p>
        </w:tc>
        <w:tc>
          <w:tcPr>
            <w:tcW w:w="1486" w:type="dxa"/>
          </w:tcPr>
          <w:p w:rsidR="00D849AA" w:rsidRDefault="00EE6D95">
            <w:r>
              <w:t>60,0</w:t>
            </w:r>
          </w:p>
        </w:tc>
      </w:tr>
    </w:tbl>
    <w:p w:rsidR="00D849AA" w:rsidRDefault="00D849AA">
      <w:pPr>
        <w:jc w:val="left"/>
      </w:pPr>
    </w:p>
    <w:p w:rsidR="00D849AA" w:rsidRDefault="00EE6D95">
      <w:pPr>
        <w:pStyle w:val="Normal6"/>
      </w:pPr>
      <w:r>
        <w:t>Prema Zakonu o učinkovitom korištenju energije u neposrednoj potrošnji i Pravilniku o energetskim pregledima građevina potrebno je za zgrade veće od 1000 m2 koje koristi javni sektor za obavljanje svoje djelatnosti provesti energetske preglede i certifikacije.</w:t>
      </w:r>
    </w:p>
    <w:p w:rsidR="00D849AA" w:rsidRDefault="00EE6D95">
      <w:pPr>
        <w:pStyle w:val="Naslov6"/>
      </w:pPr>
      <w:r>
        <w:t>K544038 OPĆINSKO DRŽAVNO ODVJETNIŠTVO U ČAKOVCU</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K544038</w:t>
            </w:r>
          </w:p>
        </w:tc>
        <w:tc>
          <w:tcPr>
            <w:tcW w:w="1486" w:type="dxa"/>
          </w:tcPr>
          <w:p w:rsidR="00D849AA" w:rsidRDefault="00EE6D95">
            <w:r>
              <w:t>1.500.000</w:t>
            </w:r>
          </w:p>
        </w:tc>
        <w:tc>
          <w:tcPr>
            <w:tcW w:w="1486" w:type="dxa"/>
          </w:tcPr>
          <w:p w:rsidR="00D849AA" w:rsidRDefault="00EE6D95">
            <w:r>
              <w:t>150.000</w:t>
            </w:r>
          </w:p>
        </w:tc>
        <w:tc>
          <w:tcPr>
            <w:tcW w:w="1486" w:type="dxa"/>
          </w:tcPr>
          <w:p w:rsidR="00D849AA" w:rsidRDefault="00EE6D95">
            <w:r>
              <w:t>500.000</w:t>
            </w:r>
          </w:p>
        </w:tc>
        <w:tc>
          <w:tcPr>
            <w:tcW w:w="1486" w:type="dxa"/>
          </w:tcPr>
          <w:p w:rsidR="00D849AA" w:rsidRDefault="00EE6D95">
            <w:r>
              <w:t>00</w:t>
            </w:r>
          </w:p>
        </w:tc>
        <w:tc>
          <w:tcPr>
            <w:tcW w:w="1486" w:type="dxa"/>
          </w:tcPr>
          <w:p w:rsidR="00D849AA" w:rsidRDefault="00EE6D95">
            <w:r>
              <w:t>10,0</w:t>
            </w:r>
          </w:p>
        </w:tc>
      </w:tr>
    </w:tbl>
    <w:p w:rsidR="00D849AA" w:rsidRDefault="00D849AA">
      <w:pPr>
        <w:jc w:val="left"/>
      </w:pPr>
    </w:p>
    <w:p w:rsidR="00D849AA" w:rsidRDefault="00EE6D95">
      <w:pPr>
        <w:pStyle w:val="Normal6"/>
      </w:pPr>
      <w:r>
        <w:t>Adaptacija dijela zgrade Općinskog odvjetništva u Čakovcu.</w:t>
      </w:r>
    </w:p>
    <w:p w:rsidR="00D849AA" w:rsidRDefault="00EE6D95">
      <w:pPr>
        <w:pStyle w:val="Naslov6"/>
      </w:pPr>
      <w:r>
        <w:t>K544040 ŽUPANIJSKO DRŽAVNO ODVJETNIŠTVO U OSIJEKU</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K544040</w:t>
            </w:r>
          </w:p>
        </w:tc>
        <w:tc>
          <w:tcPr>
            <w:tcW w:w="1486" w:type="dxa"/>
          </w:tcPr>
          <w:p w:rsidR="00D849AA" w:rsidRDefault="00EE6D95">
            <w:r>
              <w:t>75.000</w:t>
            </w:r>
          </w:p>
        </w:tc>
        <w:tc>
          <w:tcPr>
            <w:tcW w:w="1486" w:type="dxa"/>
          </w:tcPr>
          <w:p w:rsidR="00D849AA" w:rsidRDefault="00EE6D95">
            <w:r>
              <w:t>30.000</w:t>
            </w:r>
          </w:p>
        </w:tc>
        <w:tc>
          <w:tcPr>
            <w:tcW w:w="1486" w:type="dxa"/>
          </w:tcPr>
          <w:p w:rsidR="00D849AA" w:rsidRDefault="00EE6D95">
            <w:r>
              <w:t>30.000</w:t>
            </w:r>
          </w:p>
        </w:tc>
        <w:tc>
          <w:tcPr>
            <w:tcW w:w="1486" w:type="dxa"/>
          </w:tcPr>
          <w:p w:rsidR="00D849AA" w:rsidRDefault="00EE6D95">
            <w:r>
              <w:t>30.000</w:t>
            </w:r>
          </w:p>
        </w:tc>
        <w:tc>
          <w:tcPr>
            <w:tcW w:w="1486" w:type="dxa"/>
          </w:tcPr>
          <w:p w:rsidR="00D849AA" w:rsidRDefault="00EE6D95">
            <w:r>
              <w:t>40,0</w:t>
            </w:r>
          </w:p>
        </w:tc>
      </w:tr>
    </w:tbl>
    <w:p w:rsidR="00D849AA" w:rsidRDefault="00D849AA">
      <w:pPr>
        <w:jc w:val="left"/>
      </w:pPr>
    </w:p>
    <w:p w:rsidR="00D849AA" w:rsidRDefault="00EE6D95">
      <w:pPr>
        <w:pStyle w:val="Normal6"/>
      </w:pPr>
      <w:r>
        <w:t>Projekt obuhvaća rekonstrukciju potkrovlja postojećeg objekta kako bi se dobio dodatni radni prostor.</w:t>
      </w:r>
    </w:p>
    <w:p w:rsidR="00D849AA" w:rsidRDefault="00EE6D95">
      <w:pPr>
        <w:pStyle w:val="Naslov6"/>
      </w:pPr>
      <w:r>
        <w:t>K544042 ZATVORSKA BOLNICA U ZAGREBU-IZGRADNJA LIFTA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K544042</w:t>
            </w:r>
          </w:p>
        </w:tc>
        <w:tc>
          <w:tcPr>
            <w:tcW w:w="1486" w:type="dxa"/>
          </w:tcPr>
          <w:p w:rsidR="00D849AA" w:rsidRDefault="00EE6D95">
            <w:r>
              <w:t>600.000</w:t>
            </w:r>
          </w:p>
        </w:tc>
        <w:tc>
          <w:tcPr>
            <w:tcW w:w="1486" w:type="dxa"/>
          </w:tcPr>
          <w:p w:rsidR="00D849AA" w:rsidRDefault="00EE6D95">
            <w:r>
              <w:t>820.000</w:t>
            </w:r>
          </w:p>
        </w:tc>
        <w:tc>
          <w:tcPr>
            <w:tcW w:w="1486" w:type="dxa"/>
          </w:tcPr>
          <w:p w:rsidR="00D849AA" w:rsidRDefault="00EE6D95">
            <w:r>
              <w:t>00</w:t>
            </w:r>
          </w:p>
        </w:tc>
        <w:tc>
          <w:tcPr>
            <w:tcW w:w="1486" w:type="dxa"/>
          </w:tcPr>
          <w:p w:rsidR="00D849AA" w:rsidRDefault="00EE6D95">
            <w:r>
              <w:t>00</w:t>
            </w:r>
          </w:p>
        </w:tc>
        <w:tc>
          <w:tcPr>
            <w:tcW w:w="1486" w:type="dxa"/>
          </w:tcPr>
          <w:p w:rsidR="00D849AA" w:rsidRDefault="00EE6D95">
            <w:r>
              <w:t>136,7</w:t>
            </w:r>
          </w:p>
        </w:tc>
      </w:tr>
    </w:tbl>
    <w:p w:rsidR="00D849AA" w:rsidRDefault="00D849AA">
      <w:pPr>
        <w:jc w:val="left"/>
      </w:pPr>
    </w:p>
    <w:p w:rsidR="00D849AA" w:rsidRDefault="00EE6D95">
      <w:pPr>
        <w:pStyle w:val="Normal6"/>
      </w:pPr>
      <w:r>
        <w:t>Izgradnja lifta u Zatvorskoj bolnici radi poboljšanja uvjeta izdržavanja kazne osobama s poteškoćama u kretanju.</w:t>
      </w:r>
    </w:p>
    <w:p w:rsidR="00D849AA" w:rsidRDefault="00EE6D95">
      <w:pPr>
        <w:pStyle w:val="Naslov6"/>
      </w:pPr>
      <w:r>
        <w:t>K544043 ŽUPANIJSKI SUD U RIJECI</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K544043</w:t>
            </w:r>
          </w:p>
        </w:tc>
        <w:tc>
          <w:tcPr>
            <w:tcW w:w="1486" w:type="dxa"/>
          </w:tcPr>
          <w:p w:rsidR="00D849AA" w:rsidRDefault="00EE6D95">
            <w:r>
              <w:t>1.800.000</w:t>
            </w:r>
          </w:p>
        </w:tc>
        <w:tc>
          <w:tcPr>
            <w:tcW w:w="1486" w:type="dxa"/>
          </w:tcPr>
          <w:p w:rsidR="00D849AA" w:rsidRDefault="00EE6D95">
            <w:r>
              <w:t>550.000</w:t>
            </w:r>
          </w:p>
        </w:tc>
        <w:tc>
          <w:tcPr>
            <w:tcW w:w="1486" w:type="dxa"/>
          </w:tcPr>
          <w:p w:rsidR="00D849AA" w:rsidRDefault="00EE6D95">
            <w:r>
              <w:t>150.000</w:t>
            </w:r>
          </w:p>
        </w:tc>
        <w:tc>
          <w:tcPr>
            <w:tcW w:w="1486" w:type="dxa"/>
          </w:tcPr>
          <w:p w:rsidR="00D849AA" w:rsidRDefault="00EE6D95">
            <w:r>
              <w:t>00</w:t>
            </w:r>
          </w:p>
        </w:tc>
        <w:tc>
          <w:tcPr>
            <w:tcW w:w="1486" w:type="dxa"/>
          </w:tcPr>
          <w:p w:rsidR="00D849AA" w:rsidRDefault="00EE6D95">
            <w:r>
              <w:t>30,6</w:t>
            </w:r>
          </w:p>
        </w:tc>
      </w:tr>
    </w:tbl>
    <w:p w:rsidR="00D849AA" w:rsidRDefault="00D849AA">
      <w:pPr>
        <w:jc w:val="left"/>
      </w:pPr>
    </w:p>
    <w:p w:rsidR="00D849AA" w:rsidRDefault="00EE6D95">
      <w:pPr>
        <w:pStyle w:val="Normal6"/>
      </w:pPr>
      <w:r>
        <w:t>Izgradnja sustava grijanja i hlađenja u zgradi Županijskog suda u Rijeci.</w:t>
      </w:r>
    </w:p>
    <w:p w:rsidR="00D849AA" w:rsidRDefault="00EE6D95">
      <w:pPr>
        <w:pStyle w:val="Naslov6"/>
      </w:pPr>
      <w:r>
        <w:lastRenderedPageBreak/>
        <w:t>K544046 ŽUPANIJSKI SUD U PULI</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K544046</w:t>
            </w:r>
          </w:p>
        </w:tc>
        <w:tc>
          <w:tcPr>
            <w:tcW w:w="1486" w:type="dxa"/>
          </w:tcPr>
          <w:p w:rsidR="00D849AA" w:rsidRDefault="00EE6D95">
            <w:r>
              <w:t>1.000</w:t>
            </w:r>
          </w:p>
        </w:tc>
        <w:tc>
          <w:tcPr>
            <w:tcW w:w="1486" w:type="dxa"/>
          </w:tcPr>
          <w:p w:rsidR="00D849AA" w:rsidRDefault="00EE6D95">
            <w:r>
              <w:t>00</w:t>
            </w:r>
          </w:p>
        </w:tc>
        <w:tc>
          <w:tcPr>
            <w:tcW w:w="1486" w:type="dxa"/>
          </w:tcPr>
          <w:p w:rsidR="00D849AA" w:rsidRDefault="00EE6D95">
            <w:r>
              <w:t>1.250.000</w:t>
            </w:r>
          </w:p>
        </w:tc>
        <w:tc>
          <w:tcPr>
            <w:tcW w:w="1486" w:type="dxa"/>
          </w:tcPr>
          <w:p w:rsidR="00D849AA" w:rsidRDefault="00EE6D95">
            <w:r>
              <w:t>00</w:t>
            </w:r>
          </w:p>
        </w:tc>
        <w:tc>
          <w:tcPr>
            <w:tcW w:w="1486" w:type="dxa"/>
          </w:tcPr>
          <w:p w:rsidR="00D849AA" w:rsidRDefault="00EE6D95">
            <w:r>
              <w:t>0,0</w:t>
            </w:r>
          </w:p>
        </w:tc>
      </w:tr>
    </w:tbl>
    <w:p w:rsidR="00D849AA" w:rsidRDefault="00D849AA">
      <w:pPr>
        <w:jc w:val="left"/>
      </w:pPr>
    </w:p>
    <w:p w:rsidR="00D849AA" w:rsidRDefault="00EE6D95">
      <w:pPr>
        <w:pStyle w:val="Normal6"/>
      </w:pPr>
      <w:r>
        <w:t>Sanacija krova zgrade Županijskog suda u Puli.</w:t>
      </w:r>
    </w:p>
    <w:p w:rsidR="00D849AA" w:rsidRDefault="00EE6D95">
      <w:pPr>
        <w:pStyle w:val="Naslov6"/>
      </w:pPr>
      <w:r>
        <w:t>K544047 ŽUPANIJSKI SUD U ZAGREBU</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K544047</w:t>
            </w:r>
          </w:p>
        </w:tc>
        <w:tc>
          <w:tcPr>
            <w:tcW w:w="1486" w:type="dxa"/>
          </w:tcPr>
          <w:p w:rsidR="00D849AA" w:rsidRDefault="00EE6D95">
            <w:r>
              <w:t>90.000</w:t>
            </w:r>
          </w:p>
        </w:tc>
        <w:tc>
          <w:tcPr>
            <w:tcW w:w="1486" w:type="dxa"/>
          </w:tcPr>
          <w:p w:rsidR="00D849AA" w:rsidRDefault="00EE6D95">
            <w:r>
              <w:t>600.000</w:t>
            </w:r>
          </w:p>
        </w:tc>
        <w:tc>
          <w:tcPr>
            <w:tcW w:w="1486" w:type="dxa"/>
          </w:tcPr>
          <w:p w:rsidR="00D849AA" w:rsidRDefault="00EE6D95">
            <w:r>
              <w:t>00</w:t>
            </w:r>
          </w:p>
        </w:tc>
        <w:tc>
          <w:tcPr>
            <w:tcW w:w="1486" w:type="dxa"/>
          </w:tcPr>
          <w:p w:rsidR="00D849AA" w:rsidRDefault="00EE6D95">
            <w:r>
              <w:t>00</w:t>
            </w:r>
          </w:p>
        </w:tc>
        <w:tc>
          <w:tcPr>
            <w:tcW w:w="1486" w:type="dxa"/>
          </w:tcPr>
          <w:p w:rsidR="00D849AA" w:rsidRDefault="00EE6D95">
            <w:r>
              <w:t>666,7</w:t>
            </w:r>
          </w:p>
        </w:tc>
      </w:tr>
    </w:tbl>
    <w:p w:rsidR="00D849AA" w:rsidRDefault="00D849AA">
      <w:pPr>
        <w:jc w:val="left"/>
      </w:pPr>
    </w:p>
    <w:p w:rsidR="00D849AA" w:rsidRDefault="00EE6D95">
      <w:pPr>
        <w:pStyle w:val="Normal6"/>
      </w:pPr>
      <w:r>
        <w:t>Projektom je obuhvaćena rekonstrukcija zgrade Županijskog suda u Zagrebu radi osiguranja dodatnog prostora za rad.</w:t>
      </w:r>
    </w:p>
    <w:p w:rsidR="00D849AA" w:rsidRDefault="00EE6D95">
      <w:pPr>
        <w:pStyle w:val="Naslov6"/>
      </w:pPr>
      <w:r>
        <w:t>K544052 PRISTUPAČNOST ZGRADAMA PRAVOSUDNIH TIJELA RH</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K544052</w:t>
            </w:r>
          </w:p>
        </w:tc>
        <w:tc>
          <w:tcPr>
            <w:tcW w:w="1486" w:type="dxa"/>
          </w:tcPr>
          <w:p w:rsidR="00D849AA" w:rsidRDefault="00EE6D95">
            <w:r>
              <w:t>2.000.000</w:t>
            </w:r>
          </w:p>
        </w:tc>
        <w:tc>
          <w:tcPr>
            <w:tcW w:w="1486" w:type="dxa"/>
          </w:tcPr>
          <w:p w:rsidR="00D849AA" w:rsidRDefault="00EE6D95">
            <w:r>
              <w:t>1.000.000</w:t>
            </w:r>
          </w:p>
        </w:tc>
        <w:tc>
          <w:tcPr>
            <w:tcW w:w="1486" w:type="dxa"/>
          </w:tcPr>
          <w:p w:rsidR="00D849AA" w:rsidRDefault="00EE6D95">
            <w:r>
              <w:t>1.000.000</w:t>
            </w:r>
          </w:p>
        </w:tc>
        <w:tc>
          <w:tcPr>
            <w:tcW w:w="1486" w:type="dxa"/>
          </w:tcPr>
          <w:p w:rsidR="00D849AA" w:rsidRDefault="00EE6D95">
            <w:r>
              <w:t>1.000.000</w:t>
            </w:r>
          </w:p>
        </w:tc>
        <w:tc>
          <w:tcPr>
            <w:tcW w:w="1486" w:type="dxa"/>
          </w:tcPr>
          <w:p w:rsidR="00D849AA" w:rsidRDefault="00EE6D95">
            <w:r>
              <w:t>50,0</w:t>
            </w:r>
          </w:p>
        </w:tc>
      </w:tr>
    </w:tbl>
    <w:p w:rsidR="00D849AA" w:rsidRDefault="00D849AA">
      <w:pPr>
        <w:jc w:val="left"/>
      </w:pPr>
    </w:p>
    <w:p w:rsidR="00D849AA" w:rsidRDefault="00EE6D95">
      <w:pPr>
        <w:pStyle w:val="Normal6"/>
      </w:pPr>
      <w:r>
        <w:t>Izvođenje rampi, dizala, platformi i toaletnih prostora za osobe smanjene pokretljivosti.</w:t>
      </w:r>
    </w:p>
    <w:p w:rsidR="00D849AA" w:rsidRDefault="00EE6D95">
      <w:pPr>
        <w:pStyle w:val="Naslov6"/>
      </w:pPr>
      <w:r>
        <w:t>K544058 ZATVOR U RIJECI - UREĐENJE KOTLOVNICE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K544058</w:t>
            </w:r>
          </w:p>
        </w:tc>
        <w:tc>
          <w:tcPr>
            <w:tcW w:w="1486" w:type="dxa"/>
          </w:tcPr>
          <w:p w:rsidR="00D849AA" w:rsidRDefault="00EE6D95">
            <w:r>
              <w:t>1.300.000</w:t>
            </w:r>
          </w:p>
        </w:tc>
        <w:tc>
          <w:tcPr>
            <w:tcW w:w="1486" w:type="dxa"/>
          </w:tcPr>
          <w:p w:rsidR="00D849AA" w:rsidRDefault="00EE6D95">
            <w:r>
              <w:t>130.000</w:t>
            </w:r>
          </w:p>
        </w:tc>
        <w:tc>
          <w:tcPr>
            <w:tcW w:w="1486" w:type="dxa"/>
          </w:tcPr>
          <w:p w:rsidR="00D849AA" w:rsidRDefault="00EE6D95">
            <w:r>
              <w:t>1.460.000</w:t>
            </w:r>
          </w:p>
        </w:tc>
        <w:tc>
          <w:tcPr>
            <w:tcW w:w="1486" w:type="dxa"/>
          </w:tcPr>
          <w:p w:rsidR="00D849AA" w:rsidRDefault="00EE6D95">
            <w:r>
              <w:t>00</w:t>
            </w:r>
          </w:p>
        </w:tc>
        <w:tc>
          <w:tcPr>
            <w:tcW w:w="1486" w:type="dxa"/>
          </w:tcPr>
          <w:p w:rsidR="00D849AA" w:rsidRDefault="00EE6D95">
            <w:r>
              <w:t>10,0</w:t>
            </w:r>
          </w:p>
        </w:tc>
      </w:tr>
    </w:tbl>
    <w:p w:rsidR="00D849AA" w:rsidRDefault="00D849AA">
      <w:pPr>
        <w:jc w:val="left"/>
      </w:pPr>
    </w:p>
    <w:p w:rsidR="00D849AA" w:rsidRDefault="00EE6D95">
      <w:pPr>
        <w:pStyle w:val="Normal6"/>
      </w:pPr>
      <w:r>
        <w:t>Projektom je obuhvaćena zamjena zastarjelih i poluispravnih kotlova za zagrijavanje.</w:t>
      </w:r>
    </w:p>
    <w:p w:rsidR="00D849AA" w:rsidRDefault="00EE6D95">
      <w:pPr>
        <w:pStyle w:val="Naslov6"/>
      </w:pPr>
      <w:r>
        <w:t>K544059 KAZNIONICA U LIPOVICI - POPOVAČI (UREĐENJE KROVIŠTA)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K544059</w:t>
            </w:r>
          </w:p>
        </w:tc>
        <w:tc>
          <w:tcPr>
            <w:tcW w:w="1486" w:type="dxa"/>
          </w:tcPr>
          <w:p w:rsidR="00D849AA" w:rsidRDefault="00EE6D95">
            <w:r>
              <w:t>310.000</w:t>
            </w:r>
          </w:p>
        </w:tc>
        <w:tc>
          <w:tcPr>
            <w:tcW w:w="1486" w:type="dxa"/>
          </w:tcPr>
          <w:p w:rsidR="00D849AA" w:rsidRDefault="00EE6D95">
            <w:r>
              <w:t>315.000</w:t>
            </w:r>
          </w:p>
        </w:tc>
        <w:tc>
          <w:tcPr>
            <w:tcW w:w="1486" w:type="dxa"/>
          </w:tcPr>
          <w:p w:rsidR="00D849AA" w:rsidRDefault="00EE6D95">
            <w:r>
              <w:t>00</w:t>
            </w:r>
          </w:p>
        </w:tc>
        <w:tc>
          <w:tcPr>
            <w:tcW w:w="1486" w:type="dxa"/>
          </w:tcPr>
          <w:p w:rsidR="00D849AA" w:rsidRDefault="00EE6D95">
            <w:r>
              <w:t>00</w:t>
            </w:r>
          </w:p>
        </w:tc>
        <w:tc>
          <w:tcPr>
            <w:tcW w:w="1486" w:type="dxa"/>
          </w:tcPr>
          <w:p w:rsidR="00D849AA" w:rsidRDefault="00EE6D95">
            <w:r>
              <w:t>101,6</w:t>
            </w:r>
          </w:p>
        </w:tc>
      </w:tr>
    </w:tbl>
    <w:p w:rsidR="00D849AA" w:rsidRDefault="00D849AA">
      <w:pPr>
        <w:jc w:val="left"/>
      </w:pPr>
    </w:p>
    <w:p w:rsidR="00D849AA" w:rsidRDefault="00EE6D95">
      <w:pPr>
        <w:pStyle w:val="Normal6"/>
      </w:pPr>
      <w:r>
        <w:t>Projekt obuhvaća zamjenu pokrova krovišta i saniranje mjesta curenja čime se utječe i na energetska svojstva objekta.</w:t>
      </w:r>
    </w:p>
    <w:p w:rsidR="00AE2853" w:rsidRDefault="00AE2853">
      <w:pPr>
        <w:pStyle w:val="Normal6"/>
      </w:pPr>
    </w:p>
    <w:p w:rsidR="00D849AA" w:rsidRDefault="00EE6D95">
      <w:pPr>
        <w:pStyle w:val="Naslov6"/>
      </w:pPr>
      <w:r>
        <w:lastRenderedPageBreak/>
        <w:t>K544060 KAZNIONICA U VALTURI - OTKUP ZEMLJIŠTA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K544060</w:t>
            </w:r>
          </w:p>
        </w:tc>
        <w:tc>
          <w:tcPr>
            <w:tcW w:w="1486" w:type="dxa"/>
          </w:tcPr>
          <w:p w:rsidR="00D849AA" w:rsidRDefault="00EE6D95">
            <w:r>
              <w:t>600.000</w:t>
            </w:r>
          </w:p>
        </w:tc>
        <w:tc>
          <w:tcPr>
            <w:tcW w:w="1486" w:type="dxa"/>
          </w:tcPr>
          <w:p w:rsidR="00D849AA" w:rsidRDefault="00EE6D95">
            <w:r>
              <w:t>500.000</w:t>
            </w:r>
          </w:p>
        </w:tc>
        <w:tc>
          <w:tcPr>
            <w:tcW w:w="1486" w:type="dxa"/>
          </w:tcPr>
          <w:p w:rsidR="00D849AA" w:rsidRDefault="00EE6D95">
            <w:r>
              <w:t>1.000.000</w:t>
            </w:r>
          </w:p>
        </w:tc>
        <w:tc>
          <w:tcPr>
            <w:tcW w:w="1486" w:type="dxa"/>
          </w:tcPr>
          <w:p w:rsidR="00D849AA" w:rsidRDefault="00EE6D95">
            <w:r>
              <w:t>00</w:t>
            </w:r>
          </w:p>
        </w:tc>
        <w:tc>
          <w:tcPr>
            <w:tcW w:w="1486" w:type="dxa"/>
          </w:tcPr>
          <w:p w:rsidR="00D849AA" w:rsidRDefault="00EE6D95">
            <w:r>
              <w:t>83,3</w:t>
            </w:r>
          </w:p>
        </w:tc>
      </w:tr>
    </w:tbl>
    <w:p w:rsidR="00D849AA" w:rsidRDefault="00D849AA">
      <w:pPr>
        <w:jc w:val="left"/>
      </w:pPr>
    </w:p>
    <w:p w:rsidR="00D849AA" w:rsidRDefault="00EE6D95">
      <w:pPr>
        <w:pStyle w:val="Normal6"/>
      </w:pPr>
      <w:r>
        <w:t>Projektom se omogućava daljnja eksploatacija kamenoloma u Valturi.</w:t>
      </w:r>
    </w:p>
    <w:p w:rsidR="00D849AA" w:rsidRDefault="00EE6D95">
      <w:pPr>
        <w:pStyle w:val="Naslov6"/>
      </w:pPr>
      <w:r>
        <w:t>K544061 KAZNIONICA U VALTURI - BIOPLINSKO POSTROJENJE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K544061</w:t>
            </w:r>
          </w:p>
        </w:tc>
        <w:tc>
          <w:tcPr>
            <w:tcW w:w="1486" w:type="dxa"/>
          </w:tcPr>
          <w:p w:rsidR="00D849AA" w:rsidRDefault="00EE6D95">
            <w:r>
              <w:t>2.000.000</w:t>
            </w:r>
          </w:p>
        </w:tc>
        <w:tc>
          <w:tcPr>
            <w:tcW w:w="1486" w:type="dxa"/>
          </w:tcPr>
          <w:p w:rsidR="00D849AA" w:rsidRDefault="00EE6D95">
            <w:r>
              <w:t>1.160.000</w:t>
            </w:r>
          </w:p>
        </w:tc>
        <w:tc>
          <w:tcPr>
            <w:tcW w:w="1486" w:type="dxa"/>
          </w:tcPr>
          <w:p w:rsidR="00D849AA" w:rsidRDefault="00EE6D95">
            <w:r>
              <w:t>8.550.000</w:t>
            </w:r>
          </w:p>
        </w:tc>
        <w:tc>
          <w:tcPr>
            <w:tcW w:w="1486" w:type="dxa"/>
          </w:tcPr>
          <w:p w:rsidR="00D849AA" w:rsidRDefault="00EE6D95">
            <w:r>
              <w:t>00</w:t>
            </w:r>
          </w:p>
        </w:tc>
        <w:tc>
          <w:tcPr>
            <w:tcW w:w="1486" w:type="dxa"/>
          </w:tcPr>
          <w:p w:rsidR="00D849AA" w:rsidRDefault="00EE6D95">
            <w:r>
              <w:t>58,0</w:t>
            </w:r>
          </w:p>
        </w:tc>
      </w:tr>
    </w:tbl>
    <w:p w:rsidR="00D849AA" w:rsidRDefault="00D849AA">
      <w:pPr>
        <w:jc w:val="left"/>
      </w:pPr>
    </w:p>
    <w:p w:rsidR="00D849AA" w:rsidRDefault="00EE6D95">
      <w:pPr>
        <w:pStyle w:val="Normal6"/>
      </w:pPr>
      <w:r>
        <w:t>Izgradnja bioplinskog postrojenja radi proizvodnje energije zbrinjavanjem otpada.</w:t>
      </w:r>
    </w:p>
    <w:p w:rsidR="00D849AA" w:rsidRDefault="00EE6D95">
      <w:pPr>
        <w:pStyle w:val="Naslov6"/>
      </w:pPr>
      <w:r>
        <w:t>K544065 ZATVOR U GOSPIĆU - UREĐENJE KOTLOVNICE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K544065</w:t>
            </w:r>
          </w:p>
        </w:tc>
        <w:tc>
          <w:tcPr>
            <w:tcW w:w="1486" w:type="dxa"/>
          </w:tcPr>
          <w:p w:rsidR="00D849AA" w:rsidRDefault="00EE6D95">
            <w:r>
              <w:t>1.000.000</w:t>
            </w:r>
          </w:p>
        </w:tc>
        <w:tc>
          <w:tcPr>
            <w:tcW w:w="1486" w:type="dxa"/>
          </w:tcPr>
          <w:p w:rsidR="00D849AA" w:rsidRDefault="00EE6D95">
            <w:r>
              <w:t>1.100.000</w:t>
            </w:r>
          </w:p>
        </w:tc>
        <w:tc>
          <w:tcPr>
            <w:tcW w:w="1486" w:type="dxa"/>
          </w:tcPr>
          <w:p w:rsidR="00D849AA" w:rsidRDefault="00EE6D95">
            <w:r>
              <w:t>00</w:t>
            </w:r>
          </w:p>
        </w:tc>
        <w:tc>
          <w:tcPr>
            <w:tcW w:w="1486" w:type="dxa"/>
          </w:tcPr>
          <w:p w:rsidR="00D849AA" w:rsidRDefault="00EE6D95">
            <w:r>
              <w:t>00</w:t>
            </w:r>
          </w:p>
        </w:tc>
        <w:tc>
          <w:tcPr>
            <w:tcW w:w="1486" w:type="dxa"/>
          </w:tcPr>
          <w:p w:rsidR="00D849AA" w:rsidRDefault="00EE6D95">
            <w:r>
              <w:t>110,0</w:t>
            </w:r>
          </w:p>
        </w:tc>
      </w:tr>
    </w:tbl>
    <w:p w:rsidR="00D849AA" w:rsidRDefault="00D849AA">
      <w:pPr>
        <w:jc w:val="left"/>
      </w:pPr>
    </w:p>
    <w:p w:rsidR="00D849AA" w:rsidRDefault="00EE6D95">
      <w:pPr>
        <w:pStyle w:val="Normal6"/>
      </w:pPr>
      <w:r>
        <w:t>Projektom je obuhvaćena zamjena zastarjelih i poluispravnih kotlova za zagrijavanje.</w:t>
      </w:r>
    </w:p>
    <w:p w:rsidR="00D849AA" w:rsidRDefault="00EE6D95">
      <w:pPr>
        <w:pStyle w:val="Naslov6"/>
      </w:pPr>
      <w:r>
        <w:t>K544067 TRGOVAČKI SUD U ZAGREBU - UREĐENJE POTKROVLJA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K544067</w:t>
            </w:r>
          </w:p>
        </w:tc>
        <w:tc>
          <w:tcPr>
            <w:tcW w:w="1486" w:type="dxa"/>
          </w:tcPr>
          <w:p w:rsidR="00D849AA" w:rsidRDefault="00EE6D95">
            <w:r>
              <w:t>150.000</w:t>
            </w:r>
          </w:p>
        </w:tc>
        <w:tc>
          <w:tcPr>
            <w:tcW w:w="1486" w:type="dxa"/>
          </w:tcPr>
          <w:p w:rsidR="00D849AA" w:rsidRDefault="00EE6D95">
            <w:r>
              <w:t>200.000</w:t>
            </w:r>
          </w:p>
        </w:tc>
        <w:tc>
          <w:tcPr>
            <w:tcW w:w="1486" w:type="dxa"/>
          </w:tcPr>
          <w:p w:rsidR="00D849AA" w:rsidRDefault="00EE6D95">
            <w:r>
              <w:t>00</w:t>
            </w:r>
          </w:p>
        </w:tc>
        <w:tc>
          <w:tcPr>
            <w:tcW w:w="1486" w:type="dxa"/>
          </w:tcPr>
          <w:p w:rsidR="00D849AA" w:rsidRDefault="00EE6D95">
            <w:r>
              <w:t>00</w:t>
            </w:r>
          </w:p>
        </w:tc>
        <w:tc>
          <w:tcPr>
            <w:tcW w:w="1486" w:type="dxa"/>
          </w:tcPr>
          <w:p w:rsidR="00D849AA" w:rsidRDefault="00EE6D95">
            <w:r>
              <w:t>133,3</w:t>
            </w:r>
          </w:p>
        </w:tc>
      </w:tr>
    </w:tbl>
    <w:p w:rsidR="00D849AA" w:rsidRDefault="00D849AA">
      <w:pPr>
        <w:jc w:val="left"/>
      </w:pPr>
    </w:p>
    <w:p w:rsidR="00D849AA" w:rsidRDefault="00EE6D95">
      <w:pPr>
        <w:pStyle w:val="Normal6"/>
      </w:pPr>
      <w:r>
        <w:t>Uređenje potkrovlja zgrade Trgovačkog suda u Zagrebu u poslovni prostor.</w:t>
      </w:r>
    </w:p>
    <w:p w:rsidR="00D849AA" w:rsidRDefault="00EE6D95">
      <w:pPr>
        <w:pStyle w:val="Naslov6"/>
      </w:pPr>
      <w:r>
        <w:t>K544070 KAZNIONICA U LEPOGLAVI-UREĐENJE KOTLOVNICE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K544070</w:t>
            </w:r>
          </w:p>
        </w:tc>
        <w:tc>
          <w:tcPr>
            <w:tcW w:w="1486" w:type="dxa"/>
          </w:tcPr>
          <w:p w:rsidR="00D849AA" w:rsidRDefault="00EE6D95">
            <w:r>
              <w:t>00</w:t>
            </w:r>
          </w:p>
        </w:tc>
        <w:tc>
          <w:tcPr>
            <w:tcW w:w="1486" w:type="dxa"/>
          </w:tcPr>
          <w:p w:rsidR="00D849AA" w:rsidRDefault="00EE6D95">
            <w:r>
              <w:t>150.000</w:t>
            </w:r>
          </w:p>
        </w:tc>
        <w:tc>
          <w:tcPr>
            <w:tcW w:w="1486" w:type="dxa"/>
          </w:tcPr>
          <w:p w:rsidR="00D849AA" w:rsidRDefault="00EE6D95">
            <w:r>
              <w:t>2.580.000</w:t>
            </w:r>
          </w:p>
        </w:tc>
        <w:tc>
          <w:tcPr>
            <w:tcW w:w="1486" w:type="dxa"/>
          </w:tcPr>
          <w:p w:rsidR="00D849AA" w:rsidRDefault="00EE6D95">
            <w:r>
              <w:t>00</w:t>
            </w:r>
          </w:p>
        </w:tc>
        <w:tc>
          <w:tcPr>
            <w:tcW w:w="1486" w:type="dxa"/>
          </w:tcPr>
          <w:p w:rsidR="00D849AA" w:rsidRDefault="00EE6D95">
            <w:r>
              <w:t>0,0</w:t>
            </w:r>
          </w:p>
        </w:tc>
      </w:tr>
    </w:tbl>
    <w:p w:rsidR="00D849AA" w:rsidRDefault="00D849AA">
      <w:pPr>
        <w:jc w:val="left"/>
      </w:pPr>
    </w:p>
    <w:p w:rsidR="00D849AA" w:rsidRDefault="00EE6D95">
      <w:pPr>
        <w:pStyle w:val="Normal6"/>
      </w:pPr>
      <w:r>
        <w:t>Projektom su obuhvaćeni radovi u kotlovnici i pripadnom energetskom sustavu.</w:t>
      </w:r>
    </w:p>
    <w:p w:rsidR="00D849AA" w:rsidRDefault="00EE6D95">
      <w:pPr>
        <w:pStyle w:val="Naslov6"/>
      </w:pPr>
      <w:r>
        <w:t>K544071 KAZNIONICA U LEPOGLAVI-POPRAVAK SILOSA ZA PILJEVINU</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K544071</w:t>
            </w:r>
          </w:p>
        </w:tc>
        <w:tc>
          <w:tcPr>
            <w:tcW w:w="1486" w:type="dxa"/>
          </w:tcPr>
          <w:p w:rsidR="00D849AA" w:rsidRDefault="00EE6D95">
            <w:r>
              <w:t>00</w:t>
            </w:r>
          </w:p>
        </w:tc>
        <w:tc>
          <w:tcPr>
            <w:tcW w:w="1486" w:type="dxa"/>
          </w:tcPr>
          <w:p w:rsidR="00D849AA" w:rsidRDefault="00EE6D95">
            <w:r>
              <w:t>100.000</w:t>
            </w:r>
          </w:p>
        </w:tc>
        <w:tc>
          <w:tcPr>
            <w:tcW w:w="1486" w:type="dxa"/>
          </w:tcPr>
          <w:p w:rsidR="00D849AA" w:rsidRDefault="00EE6D95">
            <w:r>
              <w:t>00</w:t>
            </w:r>
          </w:p>
        </w:tc>
        <w:tc>
          <w:tcPr>
            <w:tcW w:w="1486" w:type="dxa"/>
          </w:tcPr>
          <w:p w:rsidR="00D849AA" w:rsidRDefault="00EE6D95">
            <w:r>
              <w:t>00</w:t>
            </w:r>
          </w:p>
        </w:tc>
        <w:tc>
          <w:tcPr>
            <w:tcW w:w="1486" w:type="dxa"/>
          </w:tcPr>
          <w:p w:rsidR="00D849AA" w:rsidRDefault="00EE6D95">
            <w:r>
              <w:t>0,0</w:t>
            </w:r>
          </w:p>
        </w:tc>
      </w:tr>
    </w:tbl>
    <w:p w:rsidR="00D849AA" w:rsidRDefault="00D849AA">
      <w:pPr>
        <w:jc w:val="left"/>
      </w:pPr>
    </w:p>
    <w:p w:rsidR="00D849AA" w:rsidRDefault="00EE6D95">
      <w:pPr>
        <w:pStyle w:val="Normal6"/>
      </w:pPr>
      <w:r>
        <w:t>Projektom su obuhvaćeni radovi na popravku silosa u kome se odlaže piljevina kao nusprodukt drvne industrije.</w:t>
      </w:r>
    </w:p>
    <w:p w:rsidR="00D849AA" w:rsidRDefault="00EE6D95">
      <w:pPr>
        <w:pStyle w:val="Naslov6"/>
      </w:pPr>
      <w:r>
        <w:t>K544076 ZATVOR U BJELOVARU (ADAPTACIJA I UREĐENJE)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K544076</w:t>
            </w:r>
          </w:p>
        </w:tc>
        <w:tc>
          <w:tcPr>
            <w:tcW w:w="1486" w:type="dxa"/>
          </w:tcPr>
          <w:p w:rsidR="00D849AA" w:rsidRDefault="00EE6D95">
            <w:r>
              <w:t>00</w:t>
            </w:r>
          </w:p>
        </w:tc>
        <w:tc>
          <w:tcPr>
            <w:tcW w:w="1486" w:type="dxa"/>
          </w:tcPr>
          <w:p w:rsidR="00D849AA" w:rsidRDefault="00EE6D95">
            <w:r>
              <w:t>150.000</w:t>
            </w:r>
          </w:p>
        </w:tc>
        <w:tc>
          <w:tcPr>
            <w:tcW w:w="1486" w:type="dxa"/>
          </w:tcPr>
          <w:p w:rsidR="00D849AA" w:rsidRDefault="00EE6D95">
            <w:r>
              <w:t>00</w:t>
            </w:r>
          </w:p>
        </w:tc>
        <w:tc>
          <w:tcPr>
            <w:tcW w:w="1486" w:type="dxa"/>
          </w:tcPr>
          <w:p w:rsidR="00D849AA" w:rsidRDefault="00EE6D95">
            <w:r>
              <w:t>00</w:t>
            </w:r>
          </w:p>
        </w:tc>
        <w:tc>
          <w:tcPr>
            <w:tcW w:w="1486" w:type="dxa"/>
          </w:tcPr>
          <w:p w:rsidR="00D849AA" w:rsidRDefault="00EE6D95">
            <w:r>
              <w:t>0,0</w:t>
            </w:r>
          </w:p>
        </w:tc>
      </w:tr>
    </w:tbl>
    <w:p w:rsidR="00D849AA" w:rsidRDefault="00D849AA">
      <w:pPr>
        <w:jc w:val="left"/>
      </w:pPr>
    </w:p>
    <w:p w:rsidR="00D849AA" w:rsidRDefault="00EE6D95">
      <w:pPr>
        <w:pStyle w:val="Normal6"/>
      </w:pPr>
      <w:r>
        <w:t>Radovi na uređenju kata zgrade radi povećanja smještajnih kapaciteta za11 mjesta.</w:t>
      </w:r>
    </w:p>
    <w:p w:rsidR="00D849AA" w:rsidRDefault="00EE6D95">
      <w:pPr>
        <w:pStyle w:val="Naslov6"/>
      </w:pPr>
      <w:r>
        <w:t>K544077 ZATVOR U PULI-UREĐENJE KOTLOVNICE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K544077</w:t>
            </w:r>
          </w:p>
        </w:tc>
        <w:tc>
          <w:tcPr>
            <w:tcW w:w="1486" w:type="dxa"/>
          </w:tcPr>
          <w:p w:rsidR="00D849AA" w:rsidRDefault="00EE6D95">
            <w:r>
              <w:t>00</w:t>
            </w:r>
          </w:p>
        </w:tc>
        <w:tc>
          <w:tcPr>
            <w:tcW w:w="1486" w:type="dxa"/>
          </w:tcPr>
          <w:p w:rsidR="00D849AA" w:rsidRDefault="00EE6D95">
            <w:r>
              <w:t>60.000</w:t>
            </w:r>
          </w:p>
        </w:tc>
        <w:tc>
          <w:tcPr>
            <w:tcW w:w="1486" w:type="dxa"/>
          </w:tcPr>
          <w:p w:rsidR="00D849AA" w:rsidRDefault="00EE6D95">
            <w:r>
              <w:t>1.540.000</w:t>
            </w:r>
          </w:p>
        </w:tc>
        <w:tc>
          <w:tcPr>
            <w:tcW w:w="1486" w:type="dxa"/>
          </w:tcPr>
          <w:p w:rsidR="00D849AA" w:rsidRDefault="00EE6D95">
            <w:r>
              <w:t>00</w:t>
            </w:r>
          </w:p>
        </w:tc>
        <w:tc>
          <w:tcPr>
            <w:tcW w:w="1486" w:type="dxa"/>
          </w:tcPr>
          <w:p w:rsidR="00D849AA" w:rsidRDefault="00EE6D95">
            <w:r>
              <w:t>0,0</w:t>
            </w:r>
          </w:p>
        </w:tc>
      </w:tr>
    </w:tbl>
    <w:p w:rsidR="00D849AA" w:rsidRDefault="00D849AA">
      <w:pPr>
        <w:jc w:val="left"/>
      </w:pPr>
    </w:p>
    <w:p w:rsidR="00D849AA" w:rsidRDefault="00EE6D95">
      <w:pPr>
        <w:pStyle w:val="Normal6"/>
      </w:pPr>
      <w:r>
        <w:t>Projektom je obuhvaćena zamjena zastarjelih i poluispravnih kotlova za zagrijavanje.</w:t>
      </w:r>
    </w:p>
    <w:p w:rsidR="00D849AA" w:rsidRDefault="00EE6D95">
      <w:pPr>
        <w:pStyle w:val="Naslov6"/>
      </w:pPr>
      <w:r>
        <w:t>K544078 ZATVOR U SISKU- UREĐENJE KROVIŠTA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K544078</w:t>
            </w:r>
          </w:p>
        </w:tc>
        <w:tc>
          <w:tcPr>
            <w:tcW w:w="1486" w:type="dxa"/>
          </w:tcPr>
          <w:p w:rsidR="00D849AA" w:rsidRDefault="00EE6D95">
            <w:r>
              <w:t>00</w:t>
            </w:r>
          </w:p>
        </w:tc>
        <w:tc>
          <w:tcPr>
            <w:tcW w:w="1486" w:type="dxa"/>
          </w:tcPr>
          <w:p w:rsidR="00D849AA" w:rsidRDefault="00EE6D95">
            <w:r>
              <w:t>120.000</w:t>
            </w:r>
          </w:p>
        </w:tc>
        <w:tc>
          <w:tcPr>
            <w:tcW w:w="1486" w:type="dxa"/>
          </w:tcPr>
          <w:p w:rsidR="00D849AA" w:rsidRDefault="00EE6D95">
            <w:r>
              <w:t>170.000</w:t>
            </w:r>
          </w:p>
        </w:tc>
        <w:tc>
          <w:tcPr>
            <w:tcW w:w="1486" w:type="dxa"/>
          </w:tcPr>
          <w:p w:rsidR="00D849AA" w:rsidRDefault="00EE6D95">
            <w:r>
              <w:t>00</w:t>
            </w:r>
          </w:p>
        </w:tc>
        <w:tc>
          <w:tcPr>
            <w:tcW w:w="1486" w:type="dxa"/>
          </w:tcPr>
          <w:p w:rsidR="00D849AA" w:rsidRDefault="00EE6D95">
            <w:r>
              <w:t>0,0</w:t>
            </w:r>
          </w:p>
        </w:tc>
      </w:tr>
    </w:tbl>
    <w:p w:rsidR="00D849AA" w:rsidRDefault="00D849AA">
      <w:pPr>
        <w:jc w:val="left"/>
      </w:pPr>
    </w:p>
    <w:p w:rsidR="00D849AA" w:rsidRDefault="00EE6D95">
      <w:pPr>
        <w:pStyle w:val="Normal6"/>
      </w:pPr>
      <w:r>
        <w:t>Projektom je obuhvaćena zamjena krovnih ploča od salonita.</w:t>
      </w:r>
    </w:p>
    <w:p w:rsidR="00D849AA" w:rsidRDefault="00EE6D95">
      <w:pPr>
        <w:pStyle w:val="Naslov6"/>
      </w:pPr>
      <w:r>
        <w:t>K544079 ZATVOR U ZADRU (SANACIJA I ADAPTACIJA)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K544079</w:t>
            </w:r>
          </w:p>
        </w:tc>
        <w:tc>
          <w:tcPr>
            <w:tcW w:w="1486" w:type="dxa"/>
          </w:tcPr>
          <w:p w:rsidR="00D849AA" w:rsidRDefault="00EE6D95">
            <w:r>
              <w:t>00</w:t>
            </w:r>
          </w:p>
        </w:tc>
        <w:tc>
          <w:tcPr>
            <w:tcW w:w="1486" w:type="dxa"/>
          </w:tcPr>
          <w:p w:rsidR="00D849AA" w:rsidRDefault="00EE6D95">
            <w:r>
              <w:t>100.000</w:t>
            </w:r>
          </w:p>
        </w:tc>
        <w:tc>
          <w:tcPr>
            <w:tcW w:w="1486" w:type="dxa"/>
          </w:tcPr>
          <w:p w:rsidR="00D849AA" w:rsidRDefault="00EE6D95">
            <w:r>
              <w:t>1.860.000</w:t>
            </w:r>
          </w:p>
        </w:tc>
        <w:tc>
          <w:tcPr>
            <w:tcW w:w="1486" w:type="dxa"/>
          </w:tcPr>
          <w:p w:rsidR="00D849AA" w:rsidRDefault="00EE6D95">
            <w:r>
              <w:t>00</w:t>
            </w:r>
          </w:p>
        </w:tc>
        <w:tc>
          <w:tcPr>
            <w:tcW w:w="1486" w:type="dxa"/>
          </w:tcPr>
          <w:p w:rsidR="00D849AA" w:rsidRDefault="00EE6D95">
            <w:r>
              <w:t>0,0</w:t>
            </w:r>
          </w:p>
        </w:tc>
      </w:tr>
    </w:tbl>
    <w:p w:rsidR="00D849AA" w:rsidRDefault="00D849AA">
      <w:pPr>
        <w:jc w:val="left"/>
      </w:pPr>
    </w:p>
    <w:p w:rsidR="00D849AA" w:rsidRDefault="00EE6D95">
      <w:pPr>
        <w:pStyle w:val="Normal6"/>
      </w:pPr>
      <w:r>
        <w:t>Projektom je obuhvaćeno uređenje kata i sanacija starih instalacija.</w:t>
      </w:r>
    </w:p>
    <w:p w:rsidR="00D849AA" w:rsidRDefault="00EE6D95">
      <w:pPr>
        <w:pStyle w:val="Naslov6"/>
      </w:pPr>
      <w:r>
        <w:t>K544080 ŽUPANIJSKI SUD U VARAŽDINU (REK.ZGRADE)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K544080</w:t>
            </w:r>
          </w:p>
        </w:tc>
        <w:tc>
          <w:tcPr>
            <w:tcW w:w="1486" w:type="dxa"/>
          </w:tcPr>
          <w:p w:rsidR="00D849AA" w:rsidRDefault="00EE6D95">
            <w:r>
              <w:t>00</w:t>
            </w:r>
          </w:p>
        </w:tc>
        <w:tc>
          <w:tcPr>
            <w:tcW w:w="1486" w:type="dxa"/>
          </w:tcPr>
          <w:p w:rsidR="00D849AA" w:rsidRDefault="00EE6D95">
            <w:r>
              <w:t>500.000</w:t>
            </w:r>
          </w:p>
        </w:tc>
        <w:tc>
          <w:tcPr>
            <w:tcW w:w="1486" w:type="dxa"/>
          </w:tcPr>
          <w:p w:rsidR="00D849AA" w:rsidRDefault="00EE6D95">
            <w:r>
              <w:t>1.500.000</w:t>
            </w:r>
          </w:p>
        </w:tc>
        <w:tc>
          <w:tcPr>
            <w:tcW w:w="1486" w:type="dxa"/>
          </w:tcPr>
          <w:p w:rsidR="00D849AA" w:rsidRDefault="00EE6D95">
            <w:r>
              <w:t>00</w:t>
            </w:r>
          </w:p>
        </w:tc>
        <w:tc>
          <w:tcPr>
            <w:tcW w:w="1486" w:type="dxa"/>
          </w:tcPr>
          <w:p w:rsidR="00D849AA" w:rsidRDefault="00EE6D95">
            <w:r>
              <w:t>0,0</w:t>
            </w:r>
          </w:p>
        </w:tc>
      </w:tr>
    </w:tbl>
    <w:p w:rsidR="00D849AA" w:rsidRDefault="00D849AA">
      <w:pPr>
        <w:jc w:val="left"/>
      </w:pPr>
    </w:p>
    <w:p w:rsidR="00D849AA" w:rsidRDefault="00EE6D95">
      <w:pPr>
        <w:pStyle w:val="Normal6"/>
      </w:pPr>
      <w:r>
        <w:t>Projekt rekonstrukcije zgrade Županijskog suda u Varaždinu.</w:t>
      </w:r>
    </w:p>
    <w:p w:rsidR="00D849AA" w:rsidRDefault="00EE6D95">
      <w:pPr>
        <w:pStyle w:val="Naslov6"/>
      </w:pPr>
      <w:r>
        <w:lastRenderedPageBreak/>
        <w:t>K629022 UREĐENJE I OPREMANJE PRAVOSUDNIH TIJELA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K629022</w:t>
            </w:r>
          </w:p>
        </w:tc>
        <w:tc>
          <w:tcPr>
            <w:tcW w:w="1486" w:type="dxa"/>
          </w:tcPr>
          <w:p w:rsidR="00D849AA" w:rsidRDefault="00EE6D95">
            <w:r>
              <w:t>1.000.000</w:t>
            </w:r>
          </w:p>
        </w:tc>
        <w:tc>
          <w:tcPr>
            <w:tcW w:w="1486" w:type="dxa"/>
          </w:tcPr>
          <w:p w:rsidR="00D849AA" w:rsidRDefault="00EE6D95">
            <w:r>
              <w:t>1.100.000</w:t>
            </w:r>
          </w:p>
        </w:tc>
        <w:tc>
          <w:tcPr>
            <w:tcW w:w="1486" w:type="dxa"/>
          </w:tcPr>
          <w:p w:rsidR="00D849AA" w:rsidRDefault="00EE6D95">
            <w:r>
              <w:t>1.100.000</w:t>
            </w:r>
          </w:p>
        </w:tc>
        <w:tc>
          <w:tcPr>
            <w:tcW w:w="1486" w:type="dxa"/>
          </w:tcPr>
          <w:p w:rsidR="00D849AA" w:rsidRDefault="00EE6D95">
            <w:r>
              <w:t>1.100.000</w:t>
            </w:r>
          </w:p>
        </w:tc>
        <w:tc>
          <w:tcPr>
            <w:tcW w:w="1486" w:type="dxa"/>
          </w:tcPr>
          <w:p w:rsidR="00D849AA" w:rsidRDefault="00EE6D95">
            <w:r>
              <w:t>110,0</w:t>
            </w:r>
          </w:p>
        </w:tc>
      </w:tr>
    </w:tbl>
    <w:p w:rsidR="00D849AA" w:rsidRDefault="00D849AA">
      <w:pPr>
        <w:jc w:val="left"/>
      </w:pPr>
    </w:p>
    <w:p w:rsidR="00D849AA" w:rsidRDefault="00EE6D95">
      <w:pPr>
        <w:pStyle w:val="Normal6"/>
      </w:pPr>
      <w:r>
        <w:t>Projekt se odnosi na nabavu uredskog namještaja, uredske opreme, ostale uredske opreme, komunikacijske opreme i opreme za održavanje i zaštitu u svrhu uređenja i opremanja poslovnih prostora pravosudnih tijela.</w:t>
      </w:r>
    </w:p>
    <w:p w:rsidR="00D849AA" w:rsidRDefault="00EE6D95">
      <w:pPr>
        <w:pStyle w:val="Naslov6"/>
      </w:pPr>
      <w:r>
        <w:t>K629023 UREĐENJE I OPREMANJE KAZNENIH TIJELA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K629023</w:t>
            </w:r>
          </w:p>
        </w:tc>
        <w:tc>
          <w:tcPr>
            <w:tcW w:w="1486" w:type="dxa"/>
          </w:tcPr>
          <w:p w:rsidR="00D849AA" w:rsidRDefault="00EE6D95">
            <w:r>
              <w:t>496.000</w:t>
            </w:r>
          </w:p>
        </w:tc>
        <w:tc>
          <w:tcPr>
            <w:tcW w:w="1486" w:type="dxa"/>
          </w:tcPr>
          <w:p w:rsidR="00D849AA" w:rsidRDefault="00EE6D95">
            <w:r>
              <w:t>496.000</w:t>
            </w:r>
          </w:p>
        </w:tc>
        <w:tc>
          <w:tcPr>
            <w:tcW w:w="1486" w:type="dxa"/>
          </w:tcPr>
          <w:p w:rsidR="00D849AA" w:rsidRDefault="00EE6D95">
            <w:r>
              <w:t>496.000</w:t>
            </w:r>
          </w:p>
        </w:tc>
        <w:tc>
          <w:tcPr>
            <w:tcW w:w="1486" w:type="dxa"/>
          </w:tcPr>
          <w:p w:rsidR="00D849AA" w:rsidRDefault="00EE6D95">
            <w:r>
              <w:t>496.000</w:t>
            </w:r>
          </w:p>
        </w:tc>
        <w:tc>
          <w:tcPr>
            <w:tcW w:w="1486" w:type="dxa"/>
          </w:tcPr>
          <w:p w:rsidR="00D849AA" w:rsidRDefault="00EE6D95">
            <w:r>
              <w:t>100,0</w:t>
            </w:r>
          </w:p>
        </w:tc>
      </w:tr>
    </w:tbl>
    <w:p w:rsidR="00D849AA" w:rsidRDefault="00D849AA">
      <w:pPr>
        <w:jc w:val="left"/>
      </w:pPr>
    </w:p>
    <w:p w:rsidR="00D849AA" w:rsidRDefault="00EE6D95">
      <w:pPr>
        <w:pStyle w:val="Normal6"/>
      </w:pPr>
      <w:r>
        <w:t>Projekt se odnosi na nabavu uredskog namještaja, uredske opreme, ostale uredske opreme, komunikacijske opreme i opreme za održavanje i zaštitu u svrhu uređenja i opremanja kaznionica i zatvora.</w:t>
      </w:r>
    </w:p>
    <w:p w:rsidR="00D849AA" w:rsidRDefault="00EE6D95">
      <w:pPr>
        <w:pStyle w:val="Naslov6"/>
      </w:pPr>
      <w:r>
        <w:t>K629181 OBNOVA VOZNOG PARKA ZATVORSKOG I PROBACIJSKOG SUSTAVA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K629181</w:t>
            </w:r>
          </w:p>
        </w:tc>
        <w:tc>
          <w:tcPr>
            <w:tcW w:w="1486" w:type="dxa"/>
          </w:tcPr>
          <w:p w:rsidR="00D849AA" w:rsidRDefault="00EE6D95">
            <w:r>
              <w:t>5.450.000</w:t>
            </w:r>
          </w:p>
        </w:tc>
        <w:tc>
          <w:tcPr>
            <w:tcW w:w="1486" w:type="dxa"/>
          </w:tcPr>
          <w:p w:rsidR="00D849AA" w:rsidRDefault="00EE6D95">
            <w:r>
              <w:t>8.400.000</w:t>
            </w:r>
          </w:p>
        </w:tc>
        <w:tc>
          <w:tcPr>
            <w:tcW w:w="1486" w:type="dxa"/>
          </w:tcPr>
          <w:p w:rsidR="00D849AA" w:rsidRDefault="00EE6D95">
            <w:r>
              <w:t>7.350.000</w:t>
            </w:r>
          </w:p>
        </w:tc>
        <w:tc>
          <w:tcPr>
            <w:tcW w:w="1486" w:type="dxa"/>
          </w:tcPr>
          <w:p w:rsidR="00D849AA" w:rsidRDefault="00EE6D95">
            <w:r>
              <w:t>7.350.000</w:t>
            </w:r>
          </w:p>
        </w:tc>
        <w:tc>
          <w:tcPr>
            <w:tcW w:w="1486" w:type="dxa"/>
          </w:tcPr>
          <w:p w:rsidR="00D849AA" w:rsidRDefault="00EE6D95">
            <w:r>
              <w:t>154,1</w:t>
            </w:r>
          </w:p>
        </w:tc>
      </w:tr>
    </w:tbl>
    <w:p w:rsidR="00D849AA" w:rsidRDefault="00D849AA">
      <w:pPr>
        <w:jc w:val="left"/>
      </w:pPr>
    </w:p>
    <w:p w:rsidR="00D849AA" w:rsidRDefault="00EE6D95">
      <w:pPr>
        <w:pStyle w:val="Normal6"/>
      </w:pPr>
      <w:r>
        <w:t>Projektom je obuhvaćeno financiranje nabave vozila za potrebe zatvorskog sustava i sustava probacije putem leasinga.</w:t>
      </w:r>
    </w:p>
    <w:p w:rsidR="00D849AA" w:rsidRDefault="00EE6D95">
      <w:pPr>
        <w:pStyle w:val="Naslov6"/>
      </w:pPr>
      <w:r>
        <w:t>K629234 OBNOVA VOZNOG PARKA MINISTARSTVA PRAVOSUĐA I PRAVOSUDNIH TIJELA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K629234</w:t>
            </w:r>
          </w:p>
        </w:tc>
        <w:tc>
          <w:tcPr>
            <w:tcW w:w="1486" w:type="dxa"/>
          </w:tcPr>
          <w:p w:rsidR="00D849AA" w:rsidRDefault="00EE6D95">
            <w:r>
              <w:t>1.600.000</w:t>
            </w:r>
          </w:p>
        </w:tc>
        <w:tc>
          <w:tcPr>
            <w:tcW w:w="1486" w:type="dxa"/>
          </w:tcPr>
          <w:p w:rsidR="00D849AA" w:rsidRDefault="00EE6D95">
            <w:r>
              <w:t>3.180.000</w:t>
            </w:r>
          </w:p>
        </w:tc>
        <w:tc>
          <w:tcPr>
            <w:tcW w:w="1486" w:type="dxa"/>
          </w:tcPr>
          <w:p w:rsidR="00D849AA" w:rsidRDefault="00EE6D95">
            <w:r>
              <w:t>3.700.000</w:t>
            </w:r>
          </w:p>
        </w:tc>
        <w:tc>
          <w:tcPr>
            <w:tcW w:w="1486" w:type="dxa"/>
          </w:tcPr>
          <w:p w:rsidR="00D849AA" w:rsidRDefault="00EE6D95">
            <w:r>
              <w:t>900.000</w:t>
            </w:r>
          </w:p>
        </w:tc>
        <w:tc>
          <w:tcPr>
            <w:tcW w:w="1486" w:type="dxa"/>
          </w:tcPr>
          <w:p w:rsidR="00D849AA" w:rsidRDefault="00EE6D95">
            <w:r>
              <w:t>198,8</w:t>
            </w:r>
          </w:p>
        </w:tc>
      </w:tr>
    </w:tbl>
    <w:p w:rsidR="00D849AA" w:rsidRDefault="00D849AA">
      <w:pPr>
        <w:jc w:val="left"/>
      </w:pPr>
    </w:p>
    <w:p w:rsidR="00D849AA" w:rsidRDefault="00EE6D95">
      <w:pPr>
        <w:pStyle w:val="Normal6"/>
      </w:pPr>
      <w:r>
        <w:t>Projektom je obuhvaćena nabava vozila za potrebe Ministarstva i pravosudnih tijela.</w:t>
      </w:r>
    </w:p>
    <w:p w:rsidR="00D849AA" w:rsidRDefault="00EE6D95">
      <w:pPr>
        <w:pStyle w:val="Naslov6"/>
      </w:pPr>
      <w:r>
        <w:t>K629239 HITNE INTERVENCIJE NA ZGRADAMA ZATVORSKOG SUSTAVA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K629239</w:t>
            </w:r>
          </w:p>
        </w:tc>
        <w:tc>
          <w:tcPr>
            <w:tcW w:w="1486" w:type="dxa"/>
          </w:tcPr>
          <w:p w:rsidR="00D849AA" w:rsidRDefault="00EE6D95">
            <w:r>
              <w:t>999.691</w:t>
            </w:r>
          </w:p>
        </w:tc>
        <w:tc>
          <w:tcPr>
            <w:tcW w:w="1486" w:type="dxa"/>
          </w:tcPr>
          <w:p w:rsidR="00D849AA" w:rsidRDefault="00EE6D95">
            <w:r>
              <w:t>1.200.000</w:t>
            </w:r>
          </w:p>
        </w:tc>
        <w:tc>
          <w:tcPr>
            <w:tcW w:w="1486" w:type="dxa"/>
          </w:tcPr>
          <w:p w:rsidR="00D849AA" w:rsidRDefault="00EE6D95">
            <w:r>
              <w:t>1.250.000</w:t>
            </w:r>
          </w:p>
        </w:tc>
        <w:tc>
          <w:tcPr>
            <w:tcW w:w="1486" w:type="dxa"/>
          </w:tcPr>
          <w:p w:rsidR="00D849AA" w:rsidRDefault="00EE6D95">
            <w:r>
              <w:t>1.350.000</w:t>
            </w:r>
          </w:p>
        </w:tc>
        <w:tc>
          <w:tcPr>
            <w:tcW w:w="1486" w:type="dxa"/>
          </w:tcPr>
          <w:p w:rsidR="00D849AA" w:rsidRDefault="00EE6D95">
            <w:r>
              <w:t>120,0</w:t>
            </w:r>
          </w:p>
        </w:tc>
      </w:tr>
    </w:tbl>
    <w:p w:rsidR="00D849AA" w:rsidRDefault="00D849AA">
      <w:pPr>
        <w:jc w:val="left"/>
      </w:pPr>
    </w:p>
    <w:p w:rsidR="00D849AA" w:rsidRDefault="00EE6D95">
      <w:pPr>
        <w:pStyle w:val="Normal6"/>
      </w:pPr>
      <w:r>
        <w:lastRenderedPageBreak/>
        <w:t>Projektom su obuhvaćene adaptacije i sanacije zgrada zatvorskog sustava kako bi se osigurali primjereniji uvjeti smještaja.</w:t>
      </w:r>
    </w:p>
    <w:p w:rsidR="00D849AA" w:rsidRDefault="00EE6D95">
      <w:pPr>
        <w:pStyle w:val="Naslov6"/>
      </w:pPr>
      <w:r>
        <w:t>K629243 HITNE INTERVENCIJE NA ZGRADAMA PRAVOSUDNIH TIJELA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K629243</w:t>
            </w:r>
          </w:p>
        </w:tc>
        <w:tc>
          <w:tcPr>
            <w:tcW w:w="1486" w:type="dxa"/>
          </w:tcPr>
          <w:p w:rsidR="00D849AA" w:rsidRDefault="00EE6D95">
            <w:r>
              <w:t>2.500.000</w:t>
            </w:r>
          </w:p>
        </w:tc>
        <w:tc>
          <w:tcPr>
            <w:tcW w:w="1486" w:type="dxa"/>
          </w:tcPr>
          <w:p w:rsidR="00D849AA" w:rsidRDefault="00EE6D95">
            <w:r>
              <w:t>3.000.000</w:t>
            </w:r>
          </w:p>
        </w:tc>
        <w:tc>
          <w:tcPr>
            <w:tcW w:w="1486" w:type="dxa"/>
          </w:tcPr>
          <w:p w:rsidR="00D849AA" w:rsidRDefault="00EE6D95">
            <w:r>
              <w:t>2.750.000</w:t>
            </w:r>
          </w:p>
        </w:tc>
        <w:tc>
          <w:tcPr>
            <w:tcW w:w="1486" w:type="dxa"/>
          </w:tcPr>
          <w:p w:rsidR="00D849AA" w:rsidRDefault="00EE6D95">
            <w:r>
              <w:t>2.550.000</w:t>
            </w:r>
          </w:p>
        </w:tc>
        <w:tc>
          <w:tcPr>
            <w:tcW w:w="1486" w:type="dxa"/>
          </w:tcPr>
          <w:p w:rsidR="00D849AA" w:rsidRDefault="00EE6D95">
            <w:r>
              <w:t>120,0</w:t>
            </w:r>
          </w:p>
        </w:tc>
      </w:tr>
    </w:tbl>
    <w:p w:rsidR="00D849AA" w:rsidRDefault="00D849AA">
      <w:pPr>
        <w:jc w:val="left"/>
      </w:pPr>
    </w:p>
    <w:p w:rsidR="00D849AA" w:rsidRDefault="00EE6D95">
      <w:pPr>
        <w:pStyle w:val="Normal6"/>
      </w:pPr>
      <w:r>
        <w:t>Projektom su obuhvaćeni radovi na nužnim sanacijama, adaptacijama i investicijska održavanja zgrada pravosudnih tijela kako bi se osigurali primjereniji radni uvjeti.</w:t>
      </w:r>
    </w:p>
    <w:p w:rsidR="00D849AA" w:rsidRDefault="00EE6D95">
      <w:pPr>
        <w:pStyle w:val="Naslov6"/>
      </w:pPr>
      <w:r>
        <w:t>K630103 UREĐENJE I OPREMANJE MINISTARSTVA PRAVOSUĐA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K630103</w:t>
            </w:r>
          </w:p>
        </w:tc>
        <w:tc>
          <w:tcPr>
            <w:tcW w:w="1486" w:type="dxa"/>
          </w:tcPr>
          <w:p w:rsidR="00D849AA" w:rsidRDefault="00EE6D95">
            <w:r>
              <w:t>2.294.000</w:t>
            </w:r>
          </w:p>
        </w:tc>
        <w:tc>
          <w:tcPr>
            <w:tcW w:w="1486" w:type="dxa"/>
          </w:tcPr>
          <w:p w:rsidR="00D849AA" w:rsidRDefault="00EE6D95">
            <w:r>
              <w:t>365.000</w:t>
            </w:r>
          </w:p>
        </w:tc>
        <w:tc>
          <w:tcPr>
            <w:tcW w:w="1486" w:type="dxa"/>
          </w:tcPr>
          <w:p w:rsidR="00D849AA" w:rsidRDefault="00EE6D95">
            <w:r>
              <w:t>610.000</w:t>
            </w:r>
          </w:p>
        </w:tc>
        <w:tc>
          <w:tcPr>
            <w:tcW w:w="1486" w:type="dxa"/>
          </w:tcPr>
          <w:p w:rsidR="00D849AA" w:rsidRDefault="00EE6D95">
            <w:r>
              <w:t>510.000</w:t>
            </w:r>
          </w:p>
        </w:tc>
        <w:tc>
          <w:tcPr>
            <w:tcW w:w="1486" w:type="dxa"/>
          </w:tcPr>
          <w:p w:rsidR="00D849AA" w:rsidRDefault="00EE6D95">
            <w:r>
              <w:t>15,9</w:t>
            </w:r>
          </w:p>
        </w:tc>
      </w:tr>
    </w:tbl>
    <w:p w:rsidR="00D849AA" w:rsidRDefault="00D849AA">
      <w:pPr>
        <w:jc w:val="left"/>
      </w:pPr>
    </w:p>
    <w:p w:rsidR="00D849AA" w:rsidRDefault="00EE6D95">
      <w:pPr>
        <w:pStyle w:val="Normal6"/>
      </w:pPr>
      <w:r>
        <w:t>Projekt se odnosi na nabavu uredskog namještaja, uredske opreme, ostale uredske opreme, komunikacijske opreme i opreme za održavanje i zaštitu u svrhu uređenja i opremanja Ministarstva pravosuđa.</w:t>
      </w:r>
    </w:p>
    <w:p w:rsidR="00AE2853" w:rsidRDefault="00AE2853">
      <w:pPr>
        <w:pStyle w:val="Normal6"/>
      </w:pPr>
    </w:p>
    <w:p w:rsidR="00AE2853" w:rsidRDefault="00AE2853" w:rsidP="00AE2853">
      <w:pPr>
        <w:pStyle w:val="Naslov4"/>
      </w:pPr>
      <w:r>
        <w:t>OBRAZLOŽENJE PROGRAMA</w:t>
      </w:r>
    </w:p>
    <w:p w:rsidR="00D849AA" w:rsidRDefault="00EE6D95">
      <w:pPr>
        <w:pStyle w:val="Naslov5"/>
      </w:pPr>
      <w:r>
        <w:t>2807 INFORMATIZACIJA , MODERNIZACIJA I ODRŽAVANJE INFORMACIJSKOG SUSTAVA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2807</w:t>
            </w:r>
          </w:p>
        </w:tc>
        <w:tc>
          <w:tcPr>
            <w:tcW w:w="1486" w:type="dxa"/>
          </w:tcPr>
          <w:p w:rsidR="00D849AA" w:rsidRDefault="00EE6D95">
            <w:r>
              <w:t>66.788.078</w:t>
            </w:r>
          </w:p>
        </w:tc>
        <w:tc>
          <w:tcPr>
            <w:tcW w:w="1486" w:type="dxa"/>
          </w:tcPr>
          <w:p w:rsidR="00D849AA" w:rsidRDefault="00EE6D95">
            <w:r>
              <w:t>101.950.520</w:t>
            </w:r>
          </w:p>
        </w:tc>
        <w:tc>
          <w:tcPr>
            <w:tcW w:w="1486" w:type="dxa"/>
          </w:tcPr>
          <w:p w:rsidR="00D849AA" w:rsidRDefault="00EE6D95">
            <w:r>
              <w:t>105.303.120</w:t>
            </w:r>
          </w:p>
        </w:tc>
        <w:tc>
          <w:tcPr>
            <w:tcW w:w="1486" w:type="dxa"/>
          </w:tcPr>
          <w:p w:rsidR="00D849AA" w:rsidRDefault="00EE6D95">
            <w:r>
              <w:t>60.939.860</w:t>
            </w:r>
          </w:p>
        </w:tc>
        <w:tc>
          <w:tcPr>
            <w:tcW w:w="1486" w:type="dxa"/>
          </w:tcPr>
          <w:p w:rsidR="00D849AA" w:rsidRDefault="00EE6D95">
            <w:r>
              <w:t>152,6</w:t>
            </w:r>
          </w:p>
        </w:tc>
      </w:tr>
    </w:tbl>
    <w:p w:rsidR="00D849AA" w:rsidRDefault="00D849AA">
      <w:pPr>
        <w:jc w:val="left"/>
      </w:pPr>
    </w:p>
    <w:p w:rsidR="00D849AA" w:rsidRDefault="00EE6D95">
      <w:pPr>
        <w:pStyle w:val="Naslov6"/>
      </w:pPr>
      <w:r>
        <w:t>Opis programa</w:t>
      </w:r>
    </w:p>
    <w:p w:rsidR="00D849AA" w:rsidRDefault="00EE6D95">
      <w:pPr>
        <w:pStyle w:val="Normal5"/>
      </w:pPr>
      <w:r>
        <w:t>Program obuhvaća projekte u svrhu informatizacije Ministarstva, pravosudnih i kaznenih tijela kroz planiranje, izgradnju i održavanje informatičke infrastrukture kao i nadogradnju informacijskog sustava u skladu sa zakonskim promjenama i potrebama korisnika. Informatizacija pravosuđa je kontinuirani proces uvođenja, održavanja i unapređenja informatičkih rješenja za elektroničko poslovanje u sudovima, državnim odvjetništvima, zatvorskom sustavu i samom Ministarstvu pravosuđa.</w:t>
      </w:r>
    </w:p>
    <w:p w:rsidR="00D849AA" w:rsidRDefault="00EE6D95">
      <w:pPr>
        <w:pStyle w:val="Naslov6"/>
      </w:pPr>
      <w:r>
        <w:t>Zakonske i druge pravne osnove</w:t>
      </w:r>
    </w:p>
    <w:p w:rsidR="00D849AA" w:rsidRDefault="00EE6D95">
      <w:pPr>
        <w:pStyle w:val="Normal5"/>
      </w:pPr>
      <w:r>
        <w:t xml:space="preserve">Zakon o sudovima, Zakon o sudskom registru, Zakon o besplatnoj pravnoj pomoći, Zakon o zemljišnim knjigama, Kazneni zakon, Prekršajni zakon, Zakon o pravnim posljedicama osude, kaznenoj evidenciji i rehabilitaciji, Zakon o kaznenom postupku, Zakon o izvršavanju kazne </w:t>
      </w:r>
      <w:r>
        <w:lastRenderedPageBreak/>
        <w:t>zatvora, Zakon o probaciji, Zakon o sustavu državne uprave i drugi povezani zakoni i propisi iz nadležnosti pravosuđa RH.</w:t>
      </w:r>
    </w:p>
    <w:p w:rsidR="00D849AA" w:rsidRDefault="00EE6D95">
      <w:pPr>
        <w:pStyle w:val="Naslov5"/>
      </w:pPr>
      <w:r>
        <w:t>Procjena i ishodište potrebnih sredstava za značajnije aktivnosti/projekte</w:t>
      </w:r>
    </w:p>
    <w:p w:rsidR="00D849AA" w:rsidRDefault="00EE6D95">
      <w:pPr>
        <w:pStyle w:val="Naslov6"/>
      </w:pPr>
      <w:r>
        <w:t>K629169 RAZVOJ I ODRŽAVANJE PRAVOSUDNOG INFORMACIJSKOG SUSTAVA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K629169</w:t>
            </w:r>
          </w:p>
        </w:tc>
        <w:tc>
          <w:tcPr>
            <w:tcW w:w="1486" w:type="dxa"/>
          </w:tcPr>
          <w:p w:rsidR="00D849AA" w:rsidRDefault="00EE6D95">
            <w:r>
              <w:t>18.486.340</w:t>
            </w:r>
          </w:p>
        </w:tc>
        <w:tc>
          <w:tcPr>
            <w:tcW w:w="1486" w:type="dxa"/>
          </w:tcPr>
          <w:p w:rsidR="00D849AA" w:rsidRDefault="00EE6D95">
            <w:r>
              <w:t>60.800.520</w:t>
            </w:r>
          </w:p>
        </w:tc>
        <w:tc>
          <w:tcPr>
            <w:tcW w:w="1486" w:type="dxa"/>
          </w:tcPr>
          <w:p w:rsidR="00D849AA" w:rsidRDefault="00EE6D95">
            <w:r>
              <w:t>55.048.120</w:t>
            </w:r>
          </w:p>
        </w:tc>
        <w:tc>
          <w:tcPr>
            <w:tcW w:w="1486" w:type="dxa"/>
          </w:tcPr>
          <w:p w:rsidR="00D849AA" w:rsidRDefault="00EE6D95">
            <w:r>
              <w:t>58.074.860</w:t>
            </w:r>
          </w:p>
        </w:tc>
        <w:tc>
          <w:tcPr>
            <w:tcW w:w="1486" w:type="dxa"/>
          </w:tcPr>
          <w:p w:rsidR="00D849AA" w:rsidRDefault="00EE6D95">
            <w:r>
              <w:t>328,9</w:t>
            </w:r>
          </w:p>
        </w:tc>
      </w:tr>
    </w:tbl>
    <w:p w:rsidR="00D849AA" w:rsidRDefault="00D849AA">
      <w:pPr>
        <w:jc w:val="left"/>
      </w:pPr>
    </w:p>
    <w:p w:rsidR="00D849AA" w:rsidRDefault="00EE6D95">
      <w:pPr>
        <w:pStyle w:val="Normal6"/>
      </w:pPr>
      <w:r>
        <w:t>Razvoj i održavanje informacijskih sustava u nadležnosti Ministarstva pravosuđa, sudova i Državnog odvjetništva RH.</w:t>
      </w:r>
    </w:p>
    <w:p w:rsidR="00D849AA" w:rsidRDefault="00EE6D95">
      <w:pPr>
        <w:pStyle w:val="Naslov6"/>
      </w:pPr>
      <w:r>
        <w:t>T544050 IPA I 2010 RAZVOJ INFORMATIČKOG SUSTAVA ZA MEĐUNARODNU PRAVNU POMOĆ</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T544050</w:t>
            </w:r>
          </w:p>
        </w:tc>
        <w:tc>
          <w:tcPr>
            <w:tcW w:w="1486" w:type="dxa"/>
          </w:tcPr>
          <w:p w:rsidR="00D849AA" w:rsidRDefault="00EE6D95">
            <w:r>
              <w:t>1.546.000</w:t>
            </w:r>
          </w:p>
        </w:tc>
        <w:tc>
          <w:tcPr>
            <w:tcW w:w="1486" w:type="dxa"/>
          </w:tcPr>
          <w:p w:rsidR="00D849AA" w:rsidRDefault="00EE6D95">
            <w:r>
              <w:t>815.000</w:t>
            </w:r>
          </w:p>
        </w:tc>
        <w:tc>
          <w:tcPr>
            <w:tcW w:w="1486" w:type="dxa"/>
          </w:tcPr>
          <w:p w:rsidR="00D849AA" w:rsidRDefault="00EE6D95">
            <w:r>
              <w:t>00</w:t>
            </w:r>
          </w:p>
        </w:tc>
        <w:tc>
          <w:tcPr>
            <w:tcW w:w="1486" w:type="dxa"/>
          </w:tcPr>
          <w:p w:rsidR="00D849AA" w:rsidRDefault="00EE6D95">
            <w:r>
              <w:t>00</w:t>
            </w:r>
          </w:p>
        </w:tc>
        <w:tc>
          <w:tcPr>
            <w:tcW w:w="1486" w:type="dxa"/>
          </w:tcPr>
          <w:p w:rsidR="00D849AA" w:rsidRDefault="00EE6D95">
            <w:r>
              <w:t>52,7</w:t>
            </w:r>
          </w:p>
        </w:tc>
      </w:tr>
    </w:tbl>
    <w:p w:rsidR="00D849AA" w:rsidRDefault="00D849AA">
      <w:pPr>
        <w:jc w:val="left"/>
      </w:pPr>
    </w:p>
    <w:p w:rsidR="00D849AA" w:rsidRDefault="00EE6D95">
      <w:pPr>
        <w:pStyle w:val="Normal6"/>
      </w:pPr>
      <w:r>
        <w:t>Povećanje efikasnosti Sektora za međunarodnu pravnu pomoć (MPP) kroz podržavanje poslovnih procesa tj. praćenje predmeta uz podršku informatičke tehnologije.</w:t>
      </w:r>
    </w:p>
    <w:p w:rsidR="00D849AA" w:rsidRDefault="00EE6D95">
      <w:pPr>
        <w:pStyle w:val="Naslov6"/>
      </w:pPr>
      <w:r>
        <w:t>T630080 IPA 2008 (FPP RAC) - RAZVOJ INFORMACIJSKOG PODSUSTAVA ZA ZAJEDNIČKI INFORMACIJSKI SUSTAV U ZEMLJIŠNOKNJIŽNOM SEKTORU</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T630080</w:t>
            </w:r>
          </w:p>
        </w:tc>
        <w:tc>
          <w:tcPr>
            <w:tcW w:w="1486" w:type="dxa"/>
          </w:tcPr>
          <w:p w:rsidR="00D849AA" w:rsidRDefault="00EE6D95">
            <w:r>
              <w:t>1.708.000</w:t>
            </w:r>
          </w:p>
        </w:tc>
        <w:tc>
          <w:tcPr>
            <w:tcW w:w="1486" w:type="dxa"/>
          </w:tcPr>
          <w:p w:rsidR="00D849AA" w:rsidRDefault="00EE6D95">
            <w:r>
              <w:t>1.690.000</w:t>
            </w:r>
          </w:p>
        </w:tc>
        <w:tc>
          <w:tcPr>
            <w:tcW w:w="1486" w:type="dxa"/>
          </w:tcPr>
          <w:p w:rsidR="00D849AA" w:rsidRDefault="00EE6D95">
            <w:r>
              <w:t>00</w:t>
            </w:r>
          </w:p>
        </w:tc>
        <w:tc>
          <w:tcPr>
            <w:tcW w:w="1486" w:type="dxa"/>
          </w:tcPr>
          <w:p w:rsidR="00D849AA" w:rsidRDefault="00EE6D95">
            <w:r>
              <w:t>00</w:t>
            </w:r>
          </w:p>
        </w:tc>
        <w:tc>
          <w:tcPr>
            <w:tcW w:w="1486" w:type="dxa"/>
          </w:tcPr>
          <w:p w:rsidR="00D849AA" w:rsidRDefault="00EE6D95">
            <w:r>
              <w:t>98,9</w:t>
            </w:r>
          </w:p>
        </w:tc>
      </w:tr>
    </w:tbl>
    <w:p w:rsidR="00D849AA" w:rsidRDefault="00D849AA">
      <w:pPr>
        <w:jc w:val="left"/>
      </w:pPr>
    </w:p>
    <w:p w:rsidR="00D849AA" w:rsidRDefault="00EE6D95">
      <w:pPr>
        <w:pStyle w:val="Normal6"/>
      </w:pPr>
      <w:r>
        <w:t>Razvoj “One stop shop” podsustava u zemljišnoknjižnom sustavu (pružanje informacija zainteresiranim stranama i vanjskim korisnicima), konsolidacija zemljišnoknjižnih podataka u digitalnom obliku te provođenje edukacije za Zajednički Informacijski Sustav (ZIS) i “One stop shop”.</w:t>
      </w:r>
    </w:p>
    <w:p w:rsidR="00AE2853" w:rsidRDefault="00AE2853">
      <w:pPr>
        <w:pStyle w:val="Normal6"/>
      </w:pPr>
    </w:p>
    <w:p w:rsidR="00AE2853" w:rsidRDefault="00AE2853">
      <w:pPr>
        <w:pStyle w:val="Normal6"/>
      </w:pPr>
    </w:p>
    <w:p w:rsidR="00AE2853" w:rsidRDefault="00AE2853">
      <w:pPr>
        <w:pStyle w:val="Normal6"/>
      </w:pPr>
    </w:p>
    <w:p w:rsidR="00AE2853" w:rsidRDefault="00AE2853" w:rsidP="00AE2853">
      <w:pPr>
        <w:pStyle w:val="Naslov4"/>
      </w:pPr>
      <w:r>
        <w:lastRenderedPageBreak/>
        <w:t>OBRAZLOŽENJE PROGRAMA</w:t>
      </w:r>
    </w:p>
    <w:p w:rsidR="00D849AA" w:rsidRDefault="00EE6D95">
      <w:pPr>
        <w:pStyle w:val="Naslov5"/>
      </w:pPr>
      <w:r>
        <w:t>2808 POTPORA PRAVOSUDNOM SUSTAVU - ZAJAM IBRD</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2808</w:t>
            </w:r>
          </w:p>
        </w:tc>
        <w:tc>
          <w:tcPr>
            <w:tcW w:w="1486" w:type="dxa"/>
          </w:tcPr>
          <w:p w:rsidR="00D849AA" w:rsidRDefault="00EE6D95">
            <w:r>
              <w:t>19.315.463</w:t>
            </w:r>
          </w:p>
        </w:tc>
        <w:tc>
          <w:tcPr>
            <w:tcW w:w="1486" w:type="dxa"/>
          </w:tcPr>
          <w:p w:rsidR="00D849AA" w:rsidRDefault="00EE6D95">
            <w:r>
              <w:t>50.255.000</w:t>
            </w:r>
          </w:p>
        </w:tc>
        <w:tc>
          <w:tcPr>
            <w:tcW w:w="1486" w:type="dxa"/>
          </w:tcPr>
          <w:p w:rsidR="00D849AA" w:rsidRDefault="00EE6D95">
            <w:r>
              <w:t>16.850.000</w:t>
            </w:r>
          </w:p>
        </w:tc>
        <w:tc>
          <w:tcPr>
            <w:tcW w:w="1486" w:type="dxa"/>
          </w:tcPr>
          <w:p w:rsidR="00D849AA" w:rsidRDefault="00EE6D95">
            <w:r>
              <w:t>00</w:t>
            </w:r>
          </w:p>
        </w:tc>
        <w:tc>
          <w:tcPr>
            <w:tcW w:w="1486" w:type="dxa"/>
          </w:tcPr>
          <w:p w:rsidR="00D849AA" w:rsidRDefault="00EE6D95">
            <w:r>
              <w:t>260,2</w:t>
            </w:r>
          </w:p>
        </w:tc>
      </w:tr>
    </w:tbl>
    <w:p w:rsidR="00D849AA" w:rsidRDefault="00D849AA">
      <w:pPr>
        <w:jc w:val="left"/>
      </w:pPr>
    </w:p>
    <w:p w:rsidR="00D849AA" w:rsidRDefault="00EE6D95">
      <w:pPr>
        <w:pStyle w:val="Naslov6"/>
      </w:pPr>
      <w:r>
        <w:t>Opis programa</w:t>
      </w:r>
    </w:p>
    <w:p w:rsidR="00D849AA" w:rsidRDefault="00EE6D95">
      <w:pPr>
        <w:pStyle w:val="Normal5"/>
      </w:pPr>
      <w:r>
        <w:t xml:space="preserve">Projekt potpore pravosudnom sektoru (JSSP) provodi se kao inter-sektorski i interdisciplinarni program s ciljem ubrzavanja i omogućavanja ostvarenja čitavog niza ciljeva određenih Strategijom reforme pravosuđa i Akcijskim planom za njezinu provedbu. </w:t>
      </w:r>
    </w:p>
    <w:p w:rsidR="00D849AA" w:rsidRDefault="00EE6D95">
      <w:pPr>
        <w:pStyle w:val="Normal5"/>
      </w:pPr>
      <w:r>
        <w:t xml:space="preserve">Ciljevi koji se žele postići provedbom programa su: </w:t>
      </w:r>
    </w:p>
    <w:p w:rsidR="00D849AA" w:rsidRDefault="00EE6D95">
      <w:pPr>
        <w:pStyle w:val="Normal5"/>
      </w:pPr>
      <w:r>
        <w:t xml:space="preserve">-racionalizacija mreže sudova i mreže državnih odvjetništava, </w:t>
      </w:r>
    </w:p>
    <w:p w:rsidR="00D849AA" w:rsidRDefault="00EE6D95">
      <w:pPr>
        <w:pStyle w:val="Normal5"/>
      </w:pPr>
      <w:r>
        <w:t xml:space="preserve">-ubrzavanje i racionalizacija sudskih i državno odvjetničkih postupaka, te posljedično smanjivanje zaostataka, </w:t>
      </w:r>
    </w:p>
    <w:p w:rsidR="00D849AA" w:rsidRDefault="00EE6D95">
      <w:pPr>
        <w:pStyle w:val="Normal5"/>
      </w:pPr>
      <w:r>
        <w:t xml:space="preserve">-jačanje transparentnosti u djelovanju sudova i državnih odvjetništava te jačanje antikoruptivnih mehanizama, </w:t>
      </w:r>
    </w:p>
    <w:p w:rsidR="00D849AA" w:rsidRDefault="00EE6D95">
      <w:pPr>
        <w:pStyle w:val="Normal5"/>
      </w:pPr>
      <w:r>
        <w:t xml:space="preserve">-smanjenje „dojma“ o korumpiranosti pravosudnog sustava. </w:t>
      </w:r>
    </w:p>
    <w:p w:rsidR="00D849AA" w:rsidRDefault="00EE6D95">
      <w:pPr>
        <w:pStyle w:val="Normal5"/>
      </w:pPr>
      <w:r>
        <w:t xml:space="preserve">Ostvarenje navedenih ciljeva imat će izravne ekonomske i financijske učinke poput rješavanja većeg broja predmeta u kraćem vremenu i uz manji trošak, izravnih ušteda u režijskim troškovima pravosudnog sustava, racionalnom planiranju budućih investicija u pravosudnom sustavu, učinkovitoj naplati potraživanja, a u konačnici pružanju bolje usluge korisnicima kroz jačanje učinkovitosti i ažurnosti pravosuđa i jačanje pravne sigurnosti. </w:t>
      </w:r>
    </w:p>
    <w:p w:rsidR="00D849AA" w:rsidRDefault="00EE6D95">
      <w:pPr>
        <w:pStyle w:val="Normal5"/>
      </w:pPr>
      <w:r>
        <w:t>Sredinom 2013. godine Projekt je restrukturiran kako u sadržaju, tako i u ukupnom iznosu predviđenom za provedbu. Time je zajamska komponenta smanjena s 26,0 mil EUR na 17.0 mil EUR; a proračunska s 1,7.0 mil EUR na 1,0 mil EUR.</w:t>
      </w:r>
    </w:p>
    <w:p w:rsidR="00D849AA" w:rsidRDefault="00EE6D95">
      <w:pPr>
        <w:pStyle w:val="Naslov6"/>
      </w:pPr>
      <w:r>
        <w:t>Zakonske i druge pravne osnove</w:t>
      </w:r>
    </w:p>
    <w:p w:rsidR="00D849AA" w:rsidRDefault="00EE6D95">
      <w:pPr>
        <w:pStyle w:val="Normal5"/>
      </w:pPr>
      <w:r>
        <w:t>Projekt se provodi na temelju Ugovora o zajmu za Projekt potpore pravosudnom sektoru potpisanog između Republike Hrvatske i međunarodne banke za obnovu i razvoj (Svjetske banke), te Zakona o potvrđivanju Ugovora o zajmu (Međunarodni ugovori NN /10). Ugovor o zajmu stupio je na snagu 12. srpnja 2010. godine. Pored toga projekt predstavlja izravan nastavak i/ili dovršetak niza prethodnih projekata vođenih u sklopu CARDS (2002, 2003, 2004) i PHARE (2006) programa i komplementaran je IPA programima (planiranim ili u tijeku).</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 xml:space="preserve">Cilj 1. Izgradnja/rekonstrukcija i opremanje 4 zgrade pravosudnih tijela. </w:t>
      </w:r>
    </w:p>
    <w:p w:rsidR="00D849AA" w:rsidRDefault="00EE6D95">
      <w:pPr>
        <w:pStyle w:val="Normal6"/>
      </w:pPr>
      <w:r>
        <w:t xml:space="preserve">Stvaranje prostornih uvjeta za provedbu Zakona o područjima i sjedištima sudova i Zakona o područjima i sjedištima državnih odvjetništava, odnosno primjerenih prostornih uvjeta pravosudnih tijela (OS Split, OS Karlovac, ŽS Karlovac, DORH/USKOK, ODO </w:t>
      </w:r>
      <w:r>
        <w:lastRenderedPageBreak/>
        <w:t>Pula, ŽDO Pula, ŽS Pula, OS Pula). Ujedno će se razraditi za sada nepostojeći standardi u pristupu izgradnji i opremanju pravosudnih objekata u RH.</w:t>
      </w:r>
    </w:p>
    <w:p w:rsidR="00D849AA" w:rsidRDefault="00EE6D95">
      <w:pPr>
        <w:pStyle w:val="Naslov7"/>
      </w:pPr>
      <w:r>
        <w:t xml:space="preserve">Cilj 2. Daljnja informatizacija poslovnih procesa u pravosudnom sustavu. </w:t>
      </w:r>
    </w:p>
    <w:p w:rsidR="00D849AA" w:rsidRDefault="00EE6D95">
      <w:pPr>
        <w:pStyle w:val="Normal6"/>
      </w:pPr>
      <w:r>
        <w:t>Nadogradnja i daljnje uvođenje ICMS sustava (sudovi) i CTS sustava (državna odvjetništva), informatizacija zatvorskog sustava, elektroničko povezivanje baza podataka, daljnja izgradnja LAN mreže (prekršajni sudovi, državna odvjetništva, sudovi), nabava osnovne računalne opreme i dr.</w:t>
      </w:r>
    </w:p>
    <w:p w:rsidR="00D849AA" w:rsidRDefault="00EE6D95">
      <w:pPr>
        <w:pStyle w:val="Naslov7"/>
      </w:pPr>
      <w:r>
        <w:t>Cilj 3. Unapređenje upravljanja sudovima i državnim odvjetništvima.</w:t>
      </w:r>
    </w:p>
    <w:p w:rsidR="00D849AA" w:rsidRDefault="00EE6D95">
      <w:pPr>
        <w:pStyle w:val="Normal6"/>
      </w:pPr>
      <w:r>
        <w:t xml:space="preserve">Unapređenje upravljanja sudovima i državnim odvjetništvima provodi se kroz uvođenje suvremenih pristupa i metoda upravljanja i odgovornosti za rezultate svih spomenutih pravosudnih tijela. Detekcija i uklanjanje „uskih grla“ koja doprinose trajanju i ne efikasnosti u postupanju u sudovima i državnim odvjetništvima. Sve navedeno u svjetlu </w:t>
      </w:r>
    </w:p>
    <w:p w:rsidR="00D849AA" w:rsidRDefault="00EE6D95">
      <w:pPr>
        <w:pStyle w:val="Normal6"/>
      </w:pPr>
      <w:r>
        <w:t>novih poslovnih postupaka i tehnologija uz naglasak na praktičnu edukaciju.</w:t>
      </w:r>
    </w:p>
    <w:p w:rsidR="00D849AA" w:rsidRDefault="00EE6D95">
      <w:pPr>
        <w:pStyle w:val="Naslov7"/>
      </w:pPr>
      <w:r>
        <w:t>Cilj 4. Jačanje upravljačkih sposobnosti Ministarstva pravosuđa.</w:t>
      </w:r>
    </w:p>
    <w:p w:rsidR="00D849AA" w:rsidRDefault="00EE6D95">
      <w:pPr>
        <w:pStyle w:val="Normal6"/>
      </w:pPr>
      <w:r>
        <w:t>Uključuje prelazak na IT poslovanje, edukaciju o vrstama i brojnosti podataka koji se mogu dobiti iz novouvedenih sustava, jačanje analitičkih funkcija Ministarstva, unapređenje financijskog poslovanja, izradu dugoročnog strateškog pristupa kapitalnim investicijama i dr.</w:t>
      </w:r>
    </w:p>
    <w:p w:rsidR="00D849AA" w:rsidRDefault="00EE6D95">
      <w:pPr>
        <w:pStyle w:val="Naslov5"/>
      </w:pPr>
      <w:r>
        <w:t>Procjena i ishodište potrebnih sredstava za značajnije aktivnosti/projekte</w:t>
      </w:r>
    </w:p>
    <w:p w:rsidR="00D849AA" w:rsidRDefault="00EE6D95">
      <w:pPr>
        <w:pStyle w:val="Naslov6"/>
      </w:pPr>
      <w:r>
        <w:t>K629259 DRŽAVNO ODVJETNIŠTVO REPUBLIKE HRVATSKE (DOGRADNJA ZGRADE) - IBRD 78880</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K629259</w:t>
            </w:r>
          </w:p>
        </w:tc>
        <w:tc>
          <w:tcPr>
            <w:tcW w:w="1486" w:type="dxa"/>
          </w:tcPr>
          <w:p w:rsidR="00D849AA" w:rsidRDefault="00EE6D95">
            <w:r>
              <w:t>1.884.000</w:t>
            </w:r>
          </w:p>
        </w:tc>
        <w:tc>
          <w:tcPr>
            <w:tcW w:w="1486" w:type="dxa"/>
          </w:tcPr>
          <w:p w:rsidR="00D849AA" w:rsidRDefault="00EE6D95">
            <w:r>
              <w:t>740.000</w:t>
            </w:r>
          </w:p>
        </w:tc>
        <w:tc>
          <w:tcPr>
            <w:tcW w:w="1486" w:type="dxa"/>
          </w:tcPr>
          <w:p w:rsidR="00D849AA" w:rsidRDefault="00EE6D95">
            <w:r>
              <w:t>00</w:t>
            </w:r>
          </w:p>
        </w:tc>
        <w:tc>
          <w:tcPr>
            <w:tcW w:w="1486" w:type="dxa"/>
          </w:tcPr>
          <w:p w:rsidR="00D849AA" w:rsidRDefault="00EE6D95">
            <w:r>
              <w:t>00</w:t>
            </w:r>
          </w:p>
        </w:tc>
        <w:tc>
          <w:tcPr>
            <w:tcW w:w="1486" w:type="dxa"/>
          </w:tcPr>
          <w:p w:rsidR="00D849AA" w:rsidRDefault="00EE6D95">
            <w:r>
              <w:t>39,3</w:t>
            </w:r>
          </w:p>
        </w:tc>
      </w:tr>
    </w:tbl>
    <w:p w:rsidR="00D849AA" w:rsidRDefault="00D849AA">
      <w:pPr>
        <w:jc w:val="left"/>
      </w:pPr>
    </w:p>
    <w:p w:rsidR="00D849AA" w:rsidRDefault="00EE6D95">
      <w:pPr>
        <w:pStyle w:val="Normal6"/>
      </w:pPr>
      <w:r>
        <w:t>Dogradnja i rekonstrukcija te opremanje zgrade Državnog odvjetništva RH u Zagrebu, Gajeva 30 a. Građevinsko-obrtnički radovi, usluge stručnog i obračunskog nadzora, usluge koordinatora I i II.</w:t>
      </w:r>
    </w:p>
    <w:p w:rsidR="00D849AA" w:rsidRDefault="00EE6D95">
      <w:pPr>
        <w:pStyle w:val="Naslov6"/>
      </w:pPr>
      <w:r>
        <w:t>K630026 OPĆINSKO DRŽAVNO ODVJETNIŠTVO U PULI (ADAPTACIJA ZGRADE) - IBRD 78880</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K630026</w:t>
            </w:r>
          </w:p>
        </w:tc>
        <w:tc>
          <w:tcPr>
            <w:tcW w:w="1486" w:type="dxa"/>
          </w:tcPr>
          <w:p w:rsidR="00D849AA" w:rsidRDefault="00EE6D95">
            <w:r>
              <w:t>5.798.000</w:t>
            </w:r>
          </w:p>
        </w:tc>
        <w:tc>
          <w:tcPr>
            <w:tcW w:w="1486" w:type="dxa"/>
          </w:tcPr>
          <w:p w:rsidR="00D849AA" w:rsidRDefault="00EE6D95">
            <w:r>
              <w:t>12.130.000</w:t>
            </w:r>
          </w:p>
        </w:tc>
        <w:tc>
          <w:tcPr>
            <w:tcW w:w="1486" w:type="dxa"/>
          </w:tcPr>
          <w:p w:rsidR="00D849AA" w:rsidRDefault="00EE6D95">
            <w:r>
              <w:t>00</w:t>
            </w:r>
          </w:p>
        </w:tc>
        <w:tc>
          <w:tcPr>
            <w:tcW w:w="1486" w:type="dxa"/>
          </w:tcPr>
          <w:p w:rsidR="00D849AA" w:rsidRDefault="00EE6D95">
            <w:r>
              <w:t>00</w:t>
            </w:r>
          </w:p>
        </w:tc>
        <w:tc>
          <w:tcPr>
            <w:tcW w:w="1486" w:type="dxa"/>
          </w:tcPr>
          <w:p w:rsidR="00D849AA" w:rsidRDefault="00EE6D95">
            <w:r>
              <w:t>209,2</w:t>
            </w:r>
          </w:p>
        </w:tc>
      </w:tr>
    </w:tbl>
    <w:p w:rsidR="00D849AA" w:rsidRDefault="00D849AA">
      <w:pPr>
        <w:jc w:val="left"/>
      </w:pPr>
    </w:p>
    <w:p w:rsidR="00D849AA" w:rsidRDefault="00EE6D95">
      <w:pPr>
        <w:pStyle w:val="Normal6"/>
      </w:pPr>
      <w:r>
        <w:t xml:space="preserve">Dogradnja i rekonstrukcija zgrade ex.vojarne „Istarskih brigada” u Puli, za potrebe ŽDO Pula, ODO Pula, ZK odjela OS u Puli. Građevinsko-obrtnički radovi, usluge stručnog i obračunskog nadzora, usluge koordinatora I i II.  </w:t>
      </w:r>
    </w:p>
    <w:p w:rsidR="00D849AA" w:rsidRDefault="00EE6D95">
      <w:pPr>
        <w:pStyle w:val="Normal6"/>
      </w:pPr>
      <w:r>
        <w:lastRenderedPageBreak/>
        <w:t>Osiguranje smještaja arhivske građe u skladu sa svom važećom regulativom te omogućavanje optimalnih uvjeta za komunikaciju sa strankama, zaštite od buke, gubitaka topline i zaštite od požara.</w:t>
      </w:r>
    </w:p>
    <w:p w:rsidR="00D849AA" w:rsidRDefault="00EE6D95">
      <w:pPr>
        <w:pStyle w:val="Naslov6"/>
      </w:pPr>
      <w:r>
        <w:t>K630088 INFORMATIZACIJA PRAVOSUDNOG SUSTAVA-IBRD 78880</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K630088</w:t>
            </w:r>
          </w:p>
        </w:tc>
        <w:tc>
          <w:tcPr>
            <w:tcW w:w="1486" w:type="dxa"/>
          </w:tcPr>
          <w:p w:rsidR="00D849AA" w:rsidRDefault="00EE6D95">
            <w:r>
              <w:t>1.650.563</w:t>
            </w:r>
          </w:p>
        </w:tc>
        <w:tc>
          <w:tcPr>
            <w:tcW w:w="1486" w:type="dxa"/>
          </w:tcPr>
          <w:p w:rsidR="00D849AA" w:rsidRDefault="00EE6D95">
            <w:r>
              <w:t>27.270.000</w:t>
            </w:r>
          </w:p>
        </w:tc>
        <w:tc>
          <w:tcPr>
            <w:tcW w:w="1486" w:type="dxa"/>
          </w:tcPr>
          <w:p w:rsidR="00D849AA" w:rsidRDefault="00EE6D95">
            <w:r>
              <w:t>4.175.000</w:t>
            </w:r>
          </w:p>
        </w:tc>
        <w:tc>
          <w:tcPr>
            <w:tcW w:w="1486" w:type="dxa"/>
          </w:tcPr>
          <w:p w:rsidR="00D849AA" w:rsidRDefault="00EE6D95">
            <w:r>
              <w:t>00</w:t>
            </w:r>
          </w:p>
        </w:tc>
        <w:tc>
          <w:tcPr>
            <w:tcW w:w="1486" w:type="dxa"/>
          </w:tcPr>
          <w:p w:rsidR="00D849AA" w:rsidRDefault="00EE6D95">
            <w:r>
              <w:t>1652,2</w:t>
            </w:r>
          </w:p>
        </w:tc>
      </w:tr>
    </w:tbl>
    <w:p w:rsidR="00D849AA" w:rsidRDefault="00D849AA">
      <w:pPr>
        <w:jc w:val="left"/>
      </w:pPr>
    </w:p>
    <w:p w:rsidR="00D849AA" w:rsidRDefault="00EE6D95">
      <w:pPr>
        <w:pStyle w:val="Normal6"/>
      </w:pPr>
      <w:r>
        <w:t>Povezivanje baza podataka i IT sustava unutar pravosuđa. Nabava i instalacija sustava za upravljanje IT opremom u pravosuđu.</w:t>
      </w:r>
    </w:p>
    <w:p w:rsidR="00D849AA" w:rsidRDefault="00EE6D95">
      <w:pPr>
        <w:pStyle w:val="Naslov6"/>
      </w:pPr>
      <w:r>
        <w:t>T630087 ADMINISTRACIJA I UPRAVLJANJE ZAJMOM - IBRD 78880</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T630087</w:t>
            </w:r>
          </w:p>
        </w:tc>
        <w:tc>
          <w:tcPr>
            <w:tcW w:w="1486" w:type="dxa"/>
          </w:tcPr>
          <w:p w:rsidR="00D849AA" w:rsidRDefault="00EE6D95">
            <w:r>
              <w:t>2.270.000</w:t>
            </w:r>
          </w:p>
        </w:tc>
        <w:tc>
          <w:tcPr>
            <w:tcW w:w="1486" w:type="dxa"/>
          </w:tcPr>
          <w:p w:rsidR="00D849AA" w:rsidRDefault="00EE6D95">
            <w:r>
              <w:t>1.035.000</w:t>
            </w:r>
          </w:p>
        </w:tc>
        <w:tc>
          <w:tcPr>
            <w:tcW w:w="1486" w:type="dxa"/>
          </w:tcPr>
          <w:p w:rsidR="00D849AA" w:rsidRDefault="00EE6D95">
            <w:r>
              <w:t>455.000</w:t>
            </w:r>
          </w:p>
        </w:tc>
        <w:tc>
          <w:tcPr>
            <w:tcW w:w="1486" w:type="dxa"/>
          </w:tcPr>
          <w:p w:rsidR="00D849AA" w:rsidRDefault="00EE6D95">
            <w:r>
              <w:t>00</w:t>
            </w:r>
          </w:p>
        </w:tc>
        <w:tc>
          <w:tcPr>
            <w:tcW w:w="1486" w:type="dxa"/>
          </w:tcPr>
          <w:p w:rsidR="00D849AA" w:rsidRDefault="00EE6D95">
            <w:r>
              <w:t>45,6</w:t>
            </w:r>
          </w:p>
        </w:tc>
      </w:tr>
    </w:tbl>
    <w:p w:rsidR="00D849AA" w:rsidRDefault="00D849AA">
      <w:pPr>
        <w:jc w:val="left"/>
      </w:pPr>
    </w:p>
    <w:p w:rsidR="00D849AA" w:rsidRDefault="00EE6D95">
      <w:pPr>
        <w:pStyle w:val="Normal6"/>
      </w:pPr>
      <w:r>
        <w:t>Ovom aktivnošću obuhvaćeni su poslovi pripreme specifikacija i natječajne dokumentacije, provedba natječajnih postupaka prema pravilima Svjetske banke kao i ugovaranje i nadzor nad provedbom ugovorenih aktivnosti.</w:t>
      </w:r>
    </w:p>
    <w:p w:rsidR="00D849AA" w:rsidRDefault="00EE6D95">
      <w:pPr>
        <w:pStyle w:val="Naslov6"/>
      </w:pPr>
      <w:r>
        <w:t>T630091 JAČANJE UPRAVLJAČKIH SPOSOBNOSTI U MINISTARSTVU PRAVOSUĐA  - IBRD 78880</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T630091</w:t>
            </w:r>
          </w:p>
        </w:tc>
        <w:tc>
          <w:tcPr>
            <w:tcW w:w="1486" w:type="dxa"/>
          </w:tcPr>
          <w:p w:rsidR="00D849AA" w:rsidRDefault="00EE6D95">
            <w:r>
              <w:t>457.900</w:t>
            </w:r>
          </w:p>
        </w:tc>
        <w:tc>
          <w:tcPr>
            <w:tcW w:w="1486" w:type="dxa"/>
          </w:tcPr>
          <w:p w:rsidR="00D849AA" w:rsidRDefault="00EE6D95">
            <w:r>
              <w:t>8.630.000</w:t>
            </w:r>
          </w:p>
        </w:tc>
        <w:tc>
          <w:tcPr>
            <w:tcW w:w="1486" w:type="dxa"/>
          </w:tcPr>
          <w:p w:rsidR="00D849AA" w:rsidRDefault="00EE6D95">
            <w:r>
              <w:t>12.220.000</w:t>
            </w:r>
          </w:p>
        </w:tc>
        <w:tc>
          <w:tcPr>
            <w:tcW w:w="1486" w:type="dxa"/>
          </w:tcPr>
          <w:p w:rsidR="00D849AA" w:rsidRDefault="00EE6D95">
            <w:r>
              <w:t>00</w:t>
            </w:r>
          </w:p>
        </w:tc>
        <w:tc>
          <w:tcPr>
            <w:tcW w:w="1486" w:type="dxa"/>
          </w:tcPr>
          <w:p w:rsidR="00D849AA" w:rsidRDefault="00EE6D95">
            <w:r>
              <w:t>1884,7</w:t>
            </w:r>
          </w:p>
        </w:tc>
      </w:tr>
    </w:tbl>
    <w:p w:rsidR="00D849AA" w:rsidRDefault="00D849AA">
      <w:pPr>
        <w:jc w:val="left"/>
      </w:pPr>
    </w:p>
    <w:p w:rsidR="00D849AA" w:rsidRDefault="00EE6D95">
      <w:pPr>
        <w:pStyle w:val="Normal6"/>
      </w:pPr>
      <w:r>
        <w:t>Jačanje upravljačkih sposobnosti i učinkovitosti Ministarstva pravosuđa u cilju boljeg upravljanja pravosudnim sustavom, opremom i nekretninama te proračunskim sredstvima. Analize, preporuke i edukacija.</w:t>
      </w:r>
    </w:p>
    <w:p w:rsidR="00AE2853" w:rsidRDefault="00AE2853">
      <w:pPr>
        <w:pStyle w:val="Normal6"/>
      </w:pPr>
    </w:p>
    <w:p w:rsidR="00AE2853" w:rsidRDefault="00AE2853" w:rsidP="00AE2853">
      <w:pPr>
        <w:pStyle w:val="Naslov4"/>
      </w:pPr>
      <w:r>
        <w:t>OBRAZLOŽENJE PROGRAMA</w:t>
      </w:r>
    </w:p>
    <w:p w:rsidR="00D849AA" w:rsidRDefault="00EE6D95">
      <w:pPr>
        <w:pStyle w:val="Naslov5"/>
      </w:pPr>
      <w:r>
        <w:t>2809 UPRAVLJANJE ZATVORSKIM I PROBACIJSKIM SUSTAVOM</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2809</w:t>
            </w:r>
          </w:p>
        </w:tc>
        <w:tc>
          <w:tcPr>
            <w:tcW w:w="1486" w:type="dxa"/>
          </w:tcPr>
          <w:p w:rsidR="00D849AA" w:rsidRDefault="00EE6D95">
            <w:r>
              <w:t>13.918.315</w:t>
            </w:r>
          </w:p>
        </w:tc>
        <w:tc>
          <w:tcPr>
            <w:tcW w:w="1486" w:type="dxa"/>
          </w:tcPr>
          <w:p w:rsidR="00D849AA" w:rsidRDefault="00EE6D95">
            <w:r>
              <w:t>12.002.000</w:t>
            </w:r>
          </w:p>
        </w:tc>
        <w:tc>
          <w:tcPr>
            <w:tcW w:w="1486" w:type="dxa"/>
          </w:tcPr>
          <w:p w:rsidR="00D849AA" w:rsidRDefault="00EE6D95">
            <w:r>
              <w:t>18.969.000</w:t>
            </w:r>
          </w:p>
        </w:tc>
        <w:tc>
          <w:tcPr>
            <w:tcW w:w="1486" w:type="dxa"/>
          </w:tcPr>
          <w:p w:rsidR="00D849AA" w:rsidRDefault="00EE6D95">
            <w:r>
              <w:t>25.218.000</w:t>
            </w:r>
          </w:p>
        </w:tc>
        <w:tc>
          <w:tcPr>
            <w:tcW w:w="1486" w:type="dxa"/>
          </w:tcPr>
          <w:p w:rsidR="00D849AA" w:rsidRDefault="00EE6D95">
            <w:r>
              <w:t>86,2</w:t>
            </w:r>
          </w:p>
        </w:tc>
      </w:tr>
    </w:tbl>
    <w:p w:rsidR="00D849AA" w:rsidRDefault="00D849AA">
      <w:pPr>
        <w:jc w:val="left"/>
      </w:pPr>
    </w:p>
    <w:p w:rsidR="00D849AA" w:rsidRDefault="00EE6D95">
      <w:pPr>
        <w:pStyle w:val="Naslov6"/>
      </w:pPr>
      <w:r>
        <w:lastRenderedPageBreak/>
        <w:t>Opis programa</w:t>
      </w:r>
    </w:p>
    <w:p w:rsidR="00D849AA" w:rsidRDefault="00EE6D95">
      <w:pPr>
        <w:pStyle w:val="Normal5"/>
      </w:pPr>
      <w:r>
        <w:t xml:space="preserve">Program obuhvaća izvršavanje kazne zatvora i mjera pritvora i odgojne mjere, provedbu propisa u odnosu na smještaj, prehranu, rublje, odjeću, posteljinu, liječenje, rad, izobrazbu i slobodne aktivnosti zatvorenika i maloljetnika te ostale djelatnosti vezane za redovno funkcioniranje zatvorskog sustava, provedbu propisa u odnosu na službene odore, opremu i službene isprave, provođenje preventivnih zdravstvenih pregleda i cijepljenja, izvršavanje sudskih presuda prema osuđenima na rad za opće dobro na slobodi i uvjetnu osudu sa zaštitnim nadzorom. U cilju daljnjeg unapređenja zatvorskog sustava reformske mjere su bile fokusirane na jačanje zakonodavnog i institucionalnog okvira, edukaciju zatvorskog osoblja radi podizanja razine stručnosti i sigurnosti zatvorskog sustava, izobrazbu zatvorenika i posebne programe, cjelovitu implementaciju zatvorskog informatizacijskog sustava te izgradnju objekata za smještaj zatvorenika. </w:t>
      </w:r>
    </w:p>
    <w:p w:rsidR="00D849AA" w:rsidRDefault="00EE6D95">
      <w:pPr>
        <w:pStyle w:val="Normal5"/>
      </w:pPr>
      <w:r>
        <w:t>Zakonom o probaciji, kao novina u području izvršenja kaznenih sankcija, uspostavljen je probacijski sustav. Cilj ovog sustava je osuvremenjivanje kaznenopravnog sustava u Republici Hrvatskoj i smanjenje prenapučenosti ustanova za izvršenje kazni zatvora. U Ministarstvu pravosuđa osnovana je posebna ustrojstvena jedinica za probaciju, a u njenom sastavu sastavu djeluje i 12 probacijskih ureda u većim hrvatskim gradovima. Ovo područje reformi, pored učinkovitosti pravosuđa, zahtijeva najveća kapitalna ulaganja koja Republika Hrvatska poduzima u skladu s mogućnostima i prioritetima.</w:t>
      </w:r>
    </w:p>
    <w:p w:rsidR="00D849AA" w:rsidRDefault="00EE6D95">
      <w:pPr>
        <w:pStyle w:val="Naslov6"/>
      </w:pPr>
      <w:r>
        <w:t>Zakonske i druge pravne osnove</w:t>
      </w:r>
    </w:p>
    <w:p w:rsidR="00D849AA" w:rsidRDefault="00EE6D95">
      <w:pPr>
        <w:pStyle w:val="Normal5"/>
      </w:pPr>
      <w:r>
        <w:t>Zakon o izvršavanju kazne zatvora (Pročišćeni tekst – „Narodne novine“ broj 128/99, 55/00, 59/00, 129/00, 59/01, 67/01, 11/02, 190/03, 76/07, 27/08, 83/09, 18/11, 48/11, 125/11 i 56/13), Zakon o izvršavanju sankcija izrečenih maloljetnicima za kaznena djela i prekršaje („Narodne novine“ broj 153/09 i 133/12), Zakon o kaznenom postupku („Narodne novine“ broj 152/08, 76/09, 80/11, 121/11, 91/12, 143/12 i 56/13), Pravilnik o standardima smještaja i prehrane zatvorenika („Narodne novine“ broj 92/02), Pravilnik o rublju, odjeći, obući i posteljini za zatvorenike („Narodne novine“ broj 61/02) i Pravilnik o kućnom redu u zatvorima za izvršavanje pritvora („Narodne novine“ broj 135/99 i 141/09), te Zakon o probaciji („Narodne novine“ broj 153/09 i 143/12).</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 xml:space="preserve">Cilj 1. . Podizanje razine životnih uvjeta i zaštite ljudskog dostojanstva zatvorenika i maloljetnika na izvršavanju kazne zatvora, mjere pritvora i odgojne mjere. </w:t>
      </w:r>
    </w:p>
    <w:p w:rsidR="00D849AA" w:rsidRDefault="00EE6D95">
      <w:pPr>
        <w:pStyle w:val="Normal6"/>
      </w:pPr>
      <w:r>
        <w:t>Podizanje razine životnih uvjeta i zaštite ljudskog dostojanstva zatvorenika i maloljetnika na izvršavanju kazne zatvora, mjere pritvora i odgojne mjere. Navedeni cilj će provesti podizanjem uspješnosti provedbe pojedinačnih programa izvršavanja kazne zatvora, odgojne mjere pritvora u odnosu na zatvorenike, pritvorenike i maloljetnike.</w:t>
      </w:r>
    </w:p>
    <w:p w:rsidR="00D849AA" w:rsidRDefault="00EE6D95">
      <w:pPr>
        <w:pStyle w:val="Naslov5"/>
      </w:pPr>
      <w:r>
        <w:t>Procjena i ishodište potrebnih sredstava za značajnije aktivnosti/projekte</w:t>
      </w:r>
    </w:p>
    <w:p w:rsidR="00D849AA" w:rsidRDefault="00EE6D95">
      <w:pPr>
        <w:pStyle w:val="Naslov6"/>
      </w:pPr>
      <w:r>
        <w:t>A629012 ZATVORENICI</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A629012</w:t>
            </w:r>
          </w:p>
        </w:tc>
        <w:tc>
          <w:tcPr>
            <w:tcW w:w="1486" w:type="dxa"/>
          </w:tcPr>
          <w:p w:rsidR="00D849AA" w:rsidRDefault="00EE6D95">
            <w:r>
              <w:t>2.480.000</w:t>
            </w:r>
          </w:p>
        </w:tc>
        <w:tc>
          <w:tcPr>
            <w:tcW w:w="1486" w:type="dxa"/>
          </w:tcPr>
          <w:p w:rsidR="00D849AA" w:rsidRDefault="00EE6D95">
            <w:r>
              <w:t>2.320.000</w:t>
            </w:r>
          </w:p>
        </w:tc>
        <w:tc>
          <w:tcPr>
            <w:tcW w:w="1486" w:type="dxa"/>
          </w:tcPr>
          <w:p w:rsidR="00D849AA" w:rsidRDefault="00EE6D95">
            <w:r>
              <w:t>2.744.000</w:t>
            </w:r>
          </w:p>
        </w:tc>
        <w:tc>
          <w:tcPr>
            <w:tcW w:w="1486" w:type="dxa"/>
          </w:tcPr>
          <w:p w:rsidR="00D849AA" w:rsidRDefault="00EE6D95">
            <w:r>
              <w:t>2.796.000</w:t>
            </w:r>
          </w:p>
        </w:tc>
        <w:tc>
          <w:tcPr>
            <w:tcW w:w="1486" w:type="dxa"/>
          </w:tcPr>
          <w:p w:rsidR="00D849AA" w:rsidRDefault="00EE6D95">
            <w:r>
              <w:t>93,5</w:t>
            </w:r>
          </w:p>
        </w:tc>
      </w:tr>
    </w:tbl>
    <w:p w:rsidR="00D849AA" w:rsidRDefault="00D849AA">
      <w:pPr>
        <w:jc w:val="left"/>
      </w:pPr>
    </w:p>
    <w:p w:rsidR="00D849AA" w:rsidRDefault="00EE6D95">
      <w:pPr>
        <w:pStyle w:val="Normal6"/>
      </w:pPr>
      <w:r>
        <w:lastRenderedPageBreak/>
        <w:t>Aktivnost obuhvaća provedbu propisa u odnosu na smještaj, prehranu, rublje, odjeću, obuću, posteljinu, higijenski pribor, prehranu, slobodne aktivnosti, liječenje i izobrazbu zatvorenika i maloljetnika, čime se postiže jačanje zaštite ljudskih prava.</w:t>
      </w:r>
    </w:p>
    <w:p w:rsidR="00D849AA" w:rsidRDefault="00EE6D95">
      <w:pPr>
        <w:pStyle w:val="Naslov6"/>
      </w:pPr>
      <w:r>
        <w:t>A630018 DJELATNOST OVLAŠTENIH SLUŽBENIH OSOBA UPRAVE ZA ZATVORSKI SUSTAV</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A630018</w:t>
            </w:r>
          </w:p>
        </w:tc>
        <w:tc>
          <w:tcPr>
            <w:tcW w:w="1486" w:type="dxa"/>
          </w:tcPr>
          <w:p w:rsidR="00D849AA" w:rsidRDefault="00EE6D95">
            <w:r>
              <w:t>2.940.000</w:t>
            </w:r>
          </w:p>
        </w:tc>
        <w:tc>
          <w:tcPr>
            <w:tcW w:w="1486" w:type="dxa"/>
          </w:tcPr>
          <w:p w:rsidR="00D849AA" w:rsidRDefault="00EE6D95">
            <w:r>
              <w:t>1.747.000</w:t>
            </w:r>
          </w:p>
        </w:tc>
        <w:tc>
          <w:tcPr>
            <w:tcW w:w="1486" w:type="dxa"/>
          </w:tcPr>
          <w:p w:rsidR="00D849AA" w:rsidRDefault="00EE6D95">
            <w:r>
              <w:t>2.663.000</w:t>
            </w:r>
          </w:p>
        </w:tc>
        <w:tc>
          <w:tcPr>
            <w:tcW w:w="1486" w:type="dxa"/>
          </w:tcPr>
          <w:p w:rsidR="00D849AA" w:rsidRDefault="00EE6D95">
            <w:r>
              <w:t>3.315.000</w:t>
            </w:r>
          </w:p>
        </w:tc>
        <w:tc>
          <w:tcPr>
            <w:tcW w:w="1486" w:type="dxa"/>
          </w:tcPr>
          <w:p w:rsidR="00D849AA" w:rsidRDefault="00EE6D95">
            <w:r>
              <w:t>59,4</w:t>
            </w:r>
          </w:p>
        </w:tc>
      </w:tr>
    </w:tbl>
    <w:p w:rsidR="00D849AA" w:rsidRDefault="00D849AA">
      <w:pPr>
        <w:jc w:val="left"/>
      </w:pPr>
    </w:p>
    <w:p w:rsidR="00D849AA" w:rsidRDefault="00EE6D95">
      <w:pPr>
        <w:pStyle w:val="Normal6"/>
      </w:pPr>
      <w:r>
        <w:t>Aktivnost obuhvaća provedbu propisa u odnosu na službene odore, opremu i službene isprave, provođenje preventivnih zdravstvenih pregleda i cijepljenja ovlaštenih službenih osoba.</w:t>
      </w:r>
    </w:p>
    <w:p w:rsidR="00D849AA" w:rsidRDefault="00EE6D95">
      <w:pPr>
        <w:pStyle w:val="Naslov6"/>
      </w:pPr>
      <w:r>
        <w:t>A630079 SUSTAV ZA PROBACIJU U RH</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A630079</w:t>
            </w:r>
          </w:p>
        </w:tc>
        <w:tc>
          <w:tcPr>
            <w:tcW w:w="1486" w:type="dxa"/>
          </w:tcPr>
          <w:p w:rsidR="00D849AA" w:rsidRDefault="00EE6D95">
            <w:r>
              <w:t>940.000</w:t>
            </w:r>
          </w:p>
        </w:tc>
        <w:tc>
          <w:tcPr>
            <w:tcW w:w="1486" w:type="dxa"/>
          </w:tcPr>
          <w:p w:rsidR="00D849AA" w:rsidRDefault="00EE6D95">
            <w:r>
              <w:t>920.000</w:t>
            </w:r>
          </w:p>
        </w:tc>
        <w:tc>
          <w:tcPr>
            <w:tcW w:w="1486" w:type="dxa"/>
          </w:tcPr>
          <w:p w:rsidR="00D849AA" w:rsidRDefault="00EE6D95">
            <w:r>
              <w:t>920.000</w:t>
            </w:r>
          </w:p>
        </w:tc>
        <w:tc>
          <w:tcPr>
            <w:tcW w:w="1486" w:type="dxa"/>
          </w:tcPr>
          <w:p w:rsidR="00D849AA" w:rsidRDefault="00EE6D95">
            <w:r>
              <w:t>920.000</w:t>
            </w:r>
          </w:p>
        </w:tc>
        <w:tc>
          <w:tcPr>
            <w:tcW w:w="1486" w:type="dxa"/>
          </w:tcPr>
          <w:p w:rsidR="00D849AA" w:rsidRDefault="00EE6D95">
            <w:r>
              <w:t>97,9</w:t>
            </w:r>
          </w:p>
        </w:tc>
      </w:tr>
    </w:tbl>
    <w:p w:rsidR="00D849AA" w:rsidRDefault="00D849AA">
      <w:pPr>
        <w:jc w:val="left"/>
      </w:pPr>
    </w:p>
    <w:p w:rsidR="00D849AA" w:rsidRDefault="00EE6D95">
      <w:pPr>
        <w:pStyle w:val="Normal6"/>
      </w:pPr>
      <w:r>
        <w:t>Probacijski sustav obuhvaća odlučivanje o kaznenom progonu, određivanje mjera osiguranja prisutnosti okrivljenika i drugih mjera opreza, izbor vrsta kaznenopravnih sankcija i izvršavanje kaznenopravnih sankcija izrečenih počinitelju kaznenog djela. Probacijski poslovi su i sudjelovanje u organiziranju podrške i pomoći žrtvi i oštećeniku, obitelji žrtve te obitelji počinitelja kaznenog djela.</w:t>
      </w:r>
    </w:p>
    <w:p w:rsidR="00D849AA" w:rsidRDefault="00EE6D95">
      <w:pPr>
        <w:pStyle w:val="Naslov6"/>
      </w:pPr>
      <w:r>
        <w:t>K630072 IPA 2008 - RAZVOJ PROBACIJSKOG SUSTAVA U RH</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K630072</w:t>
            </w:r>
          </w:p>
        </w:tc>
        <w:tc>
          <w:tcPr>
            <w:tcW w:w="1486" w:type="dxa"/>
          </w:tcPr>
          <w:p w:rsidR="00D849AA" w:rsidRDefault="00EE6D95">
            <w:r>
              <w:t>5.704.315</w:t>
            </w:r>
          </w:p>
        </w:tc>
        <w:tc>
          <w:tcPr>
            <w:tcW w:w="1486" w:type="dxa"/>
          </w:tcPr>
          <w:p w:rsidR="00D849AA" w:rsidRDefault="00EE6D95">
            <w:r>
              <w:t>920.000</w:t>
            </w:r>
          </w:p>
        </w:tc>
        <w:tc>
          <w:tcPr>
            <w:tcW w:w="1486" w:type="dxa"/>
          </w:tcPr>
          <w:p w:rsidR="00D849AA" w:rsidRDefault="00EE6D95">
            <w:r>
              <w:t>00</w:t>
            </w:r>
          </w:p>
        </w:tc>
        <w:tc>
          <w:tcPr>
            <w:tcW w:w="1486" w:type="dxa"/>
          </w:tcPr>
          <w:p w:rsidR="00D849AA" w:rsidRDefault="00EE6D95">
            <w:r>
              <w:t>00</w:t>
            </w:r>
          </w:p>
        </w:tc>
        <w:tc>
          <w:tcPr>
            <w:tcW w:w="1486" w:type="dxa"/>
          </w:tcPr>
          <w:p w:rsidR="00D849AA" w:rsidRDefault="00EE6D95">
            <w:r>
              <w:t>16,1</w:t>
            </w:r>
          </w:p>
        </w:tc>
      </w:tr>
    </w:tbl>
    <w:p w:rsidR="00D849AA" w:rsidRDefault="00D849AA">
      <w:pPr>
        <w:jc w:val="left"/>
      </w:pPr>
    </w:p>
    <w:p w:rsidR="00D849AA" w:rsidRDefault="00EE6D95">
      <w:pPr>
        <w:pStyle w:val="Normal6"/>
      </w:pPr>
      <w:r>
        <w:t>Institucionalno jačanje i jačanje kapaciteta Sektora za probaciju, izrada instrumenta za procjenu rizika i potreba počinitelja, izrada i primjena nacionalnog registra za potrebe probacijske službe i središnjeg IT sustava za podržavanje poslovnih procesa probacije te nabava potrebne IT opreme za probacijski sustav.</w:t>
      </w:r>
    </w:p>
    <w:p w:rsidR="00AE2853" w:rsidRDefault="00AE2853">
      <w:pPr>
        <w:pStyle w:val="Normal6"/>
      </w:pPr>
    </w:p>
    <w:p w:rsidR="00AE2853" w:rsidRDefault="00AE2853" w:rsidP="00AE2853">
      <w:pPr>
        <w:pStyle w:val="Naslov4"/>
      </w:pPr>
      <w:r>
        <w:t>OBRAZLOŽENJE PROGRAMA</w:t>
      </w:r>
    </w:p>
    <w:p w:rsidR="00D849AA" w:rsidRDefault="00EE6D95">
      <w:pPr>
        <w:pStyle w:val="Naslov5"/>
      </w:pPr>
      <w:r>
        <w:t>2810 SUZBIJANJE KORUPCIJE I ORGANIZIRANOG KRIMINALITETA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2810</w:t>
            </w:r>
          </w:p>
        </w:tc>
        <w:tc>
          <w:tcPr>
            <w:tcW w:w="1486" w:type="dxa"/>
          </w:tcPr>
          <w:p w:rsidR="00D849AA" w:rsidRDefault="00EE6D95">
            <w:r>
              <w:t>3.598.600</w:t>
            </w:r>
          </w:p>
        </w:tc>
        <w:tc>
          <w:tcPr>
            <w:tcW w:w="1486" w:type="dxa"/>
          </w:tcPr>
          <w:p w:rsidR="00D849AA" w:rsidRDefault="00EE6D95">
            <w:r>
              <w:t>76.000</w:t>
            </w:r>
          </w:p>
        </w:tc>
        <w:tc>
          <w:tcPr>
            <w:tcW w:w="1486" w:type="dxa"/>
          </w:tcPr>
          <w:p w:rsidR="00D849AA" w:rsidRDefault="00EE6D95">
            <w:r>
              <w:t>76.000</w:t>
            </w:r>
          </w:p>
        </w:tc>
        <w:tc>
          <w:tcPr>
            <w:tcW w:w="1486" w:type="dxa"/>
          </w:tcPr>
          <w:p w:rsidR="00D849AA" w:rsidRDefault="00EE6D95">
            <w:r>
              <w:t>76.000</w:t>
            </w:r>
          </w:p>
        </w:tc>
        <w:tc>
          <w:tcPr>
            <w:tcW w:w="1486" w:type="dxa"/>
          </w:tcPr>
          <w:p w:rsidR="00D849AA" w:rsidRDefault="00EE6D95">
            <w:r>
              <w:t>2,1</w:t>
            </w:r>
          </w:p>
        </w:tc>
      </w:tr>
    </w:tbl>
    <w:p w:rsidR="00D849AA" w:rsidRDefault="00EE6D95">
      <w:pPr>
        <w:pStyle w:val="Naslov6"/>
      </w:pPr>
      <w:r>
        <w:lastRenderedPageBreak/>
        <w:t>Opis programa</w:t>
      </w:r>
    </w:p>
    <w:p w:rsidR="00D849AA" w:rsidRDefault="00EE6D95">
      <w:pPr>
        <w:pStyle w:val="Normal5"/>
      </w:pPr>
      <w:r>
        <w:t xml:space="preserve">Osnovna zadaća programa je progon počinitelja kaznenih djela Organiziranog kriminaliteta i korupcije, a pored toga ona je i preventivna, te edukativna antikorupcijska aktivnost s ciljem suzbijanja kriminalnih pojava, podizanja javne svijesti o opasnostima korupcije, potrebi njenog suzbijanja, te provedba drugih aktivnosti predviđenih Nacionalnim programom za </w:t>
      </w:r>
    </w:p>
    <w:p w:rsidR="00D849AA" w:rsidRDefault="00EE6D95">
      <w:pPr>
        <w:pStyle w:val="Normal5"/>
      </w:pPr>
      <w:r>
        <w:t xml:space="preserve">borbu protiv korupcije.Da bi se ostvarili ciljevi u suzbijanju korupcije i ostvarivanju Nacionalnog programa posebna </w:t>
      </w:r>
    </w:p>
    <w:p w:rsidR="00D849AA" w:rsidRDefault="00EE6D95">
      <w:pPr>
        <w:pStyle w:val="Normal5"/>
      </w:pPr>
      <w:r>
        <w:t>pažnja usmjerena je na slučajeve velikih zlouporaba od strane službenih osoba, a u svezi organiziranog kriminala na otkrivanje i procesuiranje transnacionalnog organiziranog kriminaliteta.</w:t>
      </w:r>
    </w:p>
    <w:p w:rsidR="00D849AA" w:rsidRDefault="00EE6D95">
      <w:pPr>
        <w:pStyle w:val="Naslov6"/>
      </w:pPr>
      <w:r>
        <w:t>Zakonske i druge pravne osnove</w:t>
      </w:r>
    </w:p>
    <w:p w:rsidR="00D849AA" w:rsidRDefault="00EE6D95">
      <w:pPr>
        <w:pStyle w:val="Normal5"/>
      </w:pPr>
      <w:r>
        <w:t>Zakon o Uredu za suzbijanje korupcije i organiziranog kriminaliteta („Narodne novine" 76/09, 116/10, 57/11 i 136/12), Zakon o državnom odvjetništvu („Narodne novine" broj 76/09, 153/09,  116/10, 145/10, 57/11, 130/11 i 72/13) i Zakon o kaznenom postupku („Narodne novine" broj 152/08,  76/09, 80/11, 121/11, 143/12 i 56/13).</w:t>
      </w:r>
    </w:p>
    <w:p w:rsidR="00D849AA" w:rsidRDefault="00EE6D95">
      <w:pPr>
        <w:pStyle w:val="Naslov5"/>
      </w:pPr>
      <w:r>
        <w:t>Procjena i ishodište potrebnih sredstava za značajnije aktivnosti/projekte</w:t>
      </w:r>
    </w:p>
    <w:p w:rsidR="00D849AA" w:rsidRDefault="00EE6D95">
      <w:pPr>
        <w:pStyle w:val="Naslov6"/>
      </w:pPr>
      <w:r>
        <w:t>A629258 ANTIKORUPCIJSKA STRATEGIJA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A629258</w:t>
            </w:r>
          </w:p>
        </w:tc>
        <w:tc>
          <w:tcPr>
            <w:tcW w:w="1486" w:type="dxa"/>
          </w:tcPr>
          <w:p w:rsidR="00D849AA" w:rsidRDefault="00EE6D95">
            <w:r>
              <w:t>187.600</w:t>
            </w:r>
          </w:p>
        </w:tc>
        <w:tc>
          <w:tcPr>
            <w:tcW w:w="1486" w:type="dxa"/>
          </w:tcPr>
          <w:p w:rsidR="00D849AA" w:rsidRDefault="00EE6D95">
            <w:r>
              <w:t>50.000</w:t>
            </w:r>
          </w:p>
        </w:tc>
        <w:tc>
          <w:tcPr>
            <w:tcW w:w="1486" w:type="dxa"/>
          </w:tcPr>
          <w:p w:rsidR="00D849AA" w:rsidRDefault="00EE6D95">
            <w:r>
              <w:t>50.000</w:t>
            </w:r>
          </w:p>
        </w:tc>
        <w:tc>
          <w:tcPr>
            <w:tcW w:w="1486" w:type="dxa"/>
          </w:tcPr>
          <w:p w:rsidR="00D849AA" w:rsidRDefault="00EE6D95">
            <w:r>
              <w:t>50.000</w:t>
            </w:r>
          </w:p>
        </w:tc>
        <w:tc>
          <w:tcPr>
            <w:tcW w:w="1486" w:type="dxa"/>
          </w:tcPr>
          <w:p w:rsidR="00D849AA" w:rsidRDefault="00EE6D95">
            <w:r>
              <w:t>26,6</w:t>
            </w:r>
          </w:p>
        </w:tc>
      </w:tr>
    </w:tbl>
    <w:p w:rsidR="00D849AA" w:rsidRDefault="00D849AA">
      <w:pPr>
        <w:jc w:val="left"/>
      </w:pPr>
    </w:p>
    <w:p w:rsidR="00D849AA" w:rsidRDefault="00EE6D95">
      <w:pPr>
        <w:pStyle w:val="Normal6"/>
      </w:pPr>
      <w:r>
        <w:t>Putem ove aktivnosti uspostavlja se i promiče suradnja nositelja provedbe mjera suzbijanja korupcije. Aktivnost obuhvaća izradu godišnjih izvješća o provedbi mjera nacionalnih, strateških i provedbenih dokumenat  suradnju s Nacionalnim vije ćem za p raćenje provedbe Strategije suzbijanje korupcije, poticanje primjene europskih i drugih me đunarod nih politika suzbijanja korupcije te praćenje i provedbu preporuka Skupine država protiv korupcije (GRECO), Kroz ovu aktivnost organizira se sudjelovanje u aktivnostima koje proizilaze iz primjene Konvencije Ujedinjenih naroda protiv korupcije, Kaznenopravne konvencije Vij e ć a Europe o korupciji i njezi og Dodatnog protokola te G ra đa nskop ravne konvenc:je V ij e ća Europe o korupciji, obavljaju se  poslovi izrade promotivnih letaka i brošura; uspostavlja i unaprjeđuje  suradnja s organizacijama civilnog društva u cilju trajnog savjetovanja između organizacija civilnog društva i nositelja mjera nacionalnih strateških i provedbenih dokumenata, prikupljaju se i analiziraju  podatci o provedbi Strategije suzbijanja k rupcije; obavIjaju poslovi izrade mjera za pripadaj u će akcijske planove; izrađuju posebna i zvješća o zakonodavnom okviru i trendovima suzbijanja korupcije sa statističkim podacima za pojavne oblike korupcije, provodi istraživanje o rasprostranjenosti i uzrocima korupcije, te se prikupljaju, analiziraju i objavljaju svi važni podatci vezani uz suzbijanje korupcije.</w:t>
      </w:r>
    </w:p>
    <w:p w:rsidR="00AE2853" w:rsidRDefault="00AE2853">
      <w:pPr>
        <w:pStyle w:val="Normal6"/>
      </w:pPr>
    </w:p>
    <w:p w:rsidR="00AE2853" w:rsidRDefault="00AE2853">
      <w:pPr>
        <w:pStyle w:val="Normal6"/>
      </w:pPr>
    </w:p>
    <w:p w:rsidR="00AE2853" w:rsidRDefault="00AE2853">
      <w:pPr>
        <w:pStyle w:val="Normal6"/>
      </w:pPr>
    </w:p>
    <w:p w:rsidR="00AE2853" w:rsidRDefault="00AE2853" w:rsidP="00AE2853">
      <w:pPr>
        <w:pStyle w:val="Naslov4"/>
      </w:pPr>
      <w:r>
        <w:lastRenderedPageBreak/>
        <w:t>OBRAZLOŽENJE PROGRAMA</w:t>
      </w:r>
    </w:p>
    <w:p w:rsidR="00D849AA" w:rsidRDefault="00EE6D95">
      <w:pPr>
        <w:pStyle w:val="Naslov5"/>
      </w:pPr>
      <w:r>
        <w:t>2811 LJUDSKA PRAVA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2811</w:t>
            </w:r>
          </w:p>
        </w:tc>
        <w:tc>
          <w:tcPr>
            <w:tcW w:w="1486" w:type="dxa"/>
          </w:tcPr>
          <w:p w:rsidR="00D849AA" w:rsidRDefault="00EE6D95">
            <w:r>
              <w:t>2.167.000</w:t>
            </w:r>
          </w:p>
        </w:tc>
        <w:tc>
          <w:tcPr>
            <w:tcW w:w="1486" w:type="dxa"/>
          </w:tcPr>
          <w:p w:rsidR="00D849AA" w:rsidRDefault="00EE6D95">
            <w:r>
              <w:t>4.030.000</w:t>
            </w:r>
          </w:p>
        </w:tc>
        <w:tc>
          <w:tcPr>
            <w:tcW w:w="1486" w:type="dxa"/>
          </w:tcPr>
          <w:p w:rsidR="00D849AA" w:rsidRDefault="00EE6D95">
            <w:r>
              <w:t>3.030.000</w:t>
            </w:r>
          </w:p>
        </w:tc>
        <w:tc>
          <w:tcPr>
            <w:tcW w:w="1486" w:type="dxa"/>
          </w:tcPr>
          <w:p w:rsidR="00D849AA" w:rsidRDefault="00EE6D95">
            <w:r>
              <w:t>5.030.000</w:t>
            </w:r>
          </w:p>
        </w:tc>
        <w:tc>
          <w:tcPr>
            <w:tcW w:w="1486" w:type="dxa"/>
          </w:tcPr>
          <w:p w:rsidR="00D849AA" w:rsidRDefault="00EE6D95">
            <w:r>
              <w:t>186,0</w:t>
            </w:r>
          </w:p>
        </w:tc>
      </w:tr>
    </w:tbl>
    <w:p w:rsidR="00D849AA" w:rsidRDefault="00D849AA">
      <w:pPr>
        <w:jc w:val="left"/>
      </w:pPr>
    </w:p>
    <w:p w:rsidR="00D849AA" w:rsidRDefault="00EE6D95">
      <w:pPr>
        <w:pStyle w:val="Naslov6"/>
      </w:pPr>
      <w:r>
        <w:t>Opis programa</w:t>
      </w:r>
    </w:p>
    <w:p w:rsidR="00D849AA" w:rsidRDefault="00EE6D95">
      <w:pPr>
        <w:pStyle w:val="Normal5"/>
      </w:pPr>
      <w:r>
        <w:t>Programom su obuhvaćene aktivnosti usklađivanja zakonodavstva iz djelokruga Ministarstva pravosuđa s međunarodnim dokumentima iz područja zaštite ljudskih prava i prava nacionalnih manjina, kontinuirano izvještavanje o provedbi Ustavnog zakona o pravima nacionalnih manjina, Akcijskog plana za provedbu Ustavnog zakona o pravima nacionalnih manjina, Nacionalnog plana za borbu protiv diskriminacije, UN Konvencije o uklanjanju svih oblika diskriminacije žena, Međunarodnog pakta o građanskim i političkim pravima, kao i niza drugih nacionalnih strategija i planova.</w:t>
      </w:r>
    </w:p>
    <w:p w:rsidR="00D849AA" w:rsidRDefault="00EE6D95">
      <w:pPr>
        <w:pStyle w:val="Naslov6"/>
      </w:pPr>
      <w:r>
        <w:t>Zakonske i druge pravne osnove</w:t>
      </w:r>
    </w:p>
    <w:p w:rsidR="00D849AA" w:rsidRDefault="00EE6D95">
      <w:pPr>
        <w:pStyle w:val="Normal5"/>
      </w:pPr>
      <w:r>
        <w:t>Provedba međunarodnih ugovora koji se odnose na ostvarivanje i zaštitu ljudskih prava i prava nacionalnih manjina u području pravosuđa te provedba Ustavnog zakona o pravima nacionalnih manjina, Zakona o uporabi jezika i pisma nacionalnih manjina u Republici Hrvatskoj te Zakona o suzbijanju diskriminacije.</w:t>
      </w:r>
    </w:p>
    <w:p w:rsidR="00D849AA" w:rsidRDefault="00EE6D95">
      <w:pPr>
        <w:pStyle w:val="Naslov5"/>
      </w:pPr>
      <w:r>
        <w:t>Procjena i ishodište potrebnih sredstava za značajnije aktivnosti/projekte</w:t>
      </w:r>
    </w:p>
    <w:p w:rsidR="00D849AA" w:rsidRDefault="00EE6D95">
      <w:pPr>
        <w:pStyle w:val="Naslov6"/>
      </w:pPr>
      <w:r>
        <w:t>A630048 BESPLATNA PRAVNA POMOĆ</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A630048</w:t>
            </w:r>
          </w:p>
        </w:tc>
        <w:tc>
          <w:tcPr>
            <w:tcW w:w="1486" w:type="dxa"/>
          </w:tcPr>
          <w:p w:rsidR="00D849AA" w:rsidRDefault="00EE6D95">
            <w:r>
              <w:t>1.800.000</w:t>
            </w:r>
          </w:p>
        </w:tc>
        <w:tc>
          <w:tcPr>
            <w:tcW w:w="1486" w:type="dxa"/>
          </w:tcPr>
          <w:p w:rsidR="00D849AA" w:rsidRDefault="00EE6D95">
            <w:r>
              <w:t>4.020.000</w:t>
            </w:r>
          </w:p>
        </w:tc>
        <w:tc>
          <w:tcPr>
            <w:tcW w:w="1486" w:type="dxa"/>
          </w:tcPr>
          <w:p w:rsidR="00D849AA" w:rsidRDefault="00EE6D95">
            <w:r>
              <w:t>3.020.000</w:t>
            </w:r>
          </w:p>
        </w:tc>
        <w:tc>
          <w:tcPr>
            <w:tcW w:w="1486" w:type="dxa"/>
          </w:tcPr>
          <w:p w:rsidR="00D849AA" w:rsidRDefault="00EE6D95">
            <w:r>
              <w:t>5.020.000</w:t>
            </w:r>
          </w:p>
        </w:tc>
        <w:tc>
          <w:tcPr>
            <w:tcW w:w="1486" w:type="dxa"/>
          </w:tcPr>
          <w:p w:rsidR="00D849AA" w:rsidRDefault="00EE6D95">
            <w:r>
              <w:t>223,3</w:t>
            </w:r>
          </w:p>
        </w:tc>
      </w:tr>
    </w:tbl>
    <w:p w:rsidR="00D849AA" w:rsidRDefault="00D849AA">
      <w:pPr>
        <w:jc w:val="left"/>
      </w:pPr>
    </w:p>
    <w:p w:rsidR="00D849AA" w:rsidRDefault="00EE6D95">
      <w:pPr>
        <w:pStyle w:val="Normal6"/>
      </w:pPr>
      <w:r>
        <w:t xml:space="preserve">Sustav besplatne pravne pomoći u potpunosti je funkcionalan na cijelom teritoriju Republike Hrvatske. Uspostavom cjelovitog sustava učinjen je velik iskorak u pravcu osiguravanja prava na pristup sudu, a ujedno su u tom dijelu pravnog sustava ugrađene odredbe važećeg acquisa Europske Unije. Ministarstvo pravosuđa prati primjenu ovog Zakona te se sustav kontinuirano unapređuje sukladno uočenim nedostacima. Iskustva ostalih država koje imaju uspostavljen sustav su da se od početka primjene sustava besplatne pravne pomoći progresivno povećavao broj korisnika besplatne pravne pomoći </w:t>
      </w:r>
    </w:p>
    <w:p w:rsidR="00D849AA" w:rsidRDefault="00EE6D95">
      <w:pPr>
        <w:pStyle w:val="Normal6"/>
      </w:pPr>
      <w:r>
        <w:t>svake godine za 50 do 70%, te se sustav stabilizirao nakon 5. godina provedbe Zakona.</w:t>
      </w:r>
    </w:p>
    <w:p w:rsidR="00AE2853" w:rsidRDefault="00AE2853">
      <w:pPr>
        <w:pStyle w:val="Normal6"/>
      </w:pPr>
    </w:p>
    <w:p w:rsidR="00AE2853" w:rsidRDefault="00AE2853">
      <w:pPr>
        <w:pStyle w:val="Normal6"/>
      </w:pPr>
    </w:p>
    <w:p w:rsidR="00AE2853" w:rsidRDefault="00AE2853">
      <w:pPr>
        <w:pStyle w:val="Normal6"/>
      </w:pPr>
    </w:p>
    <w:p w:rsidR="00AE2853" w:rsidRDefault="00AE2853" w:rsidP="00AE2853">
      <w:pPr>
        <w:pStyle w:val="Naslov4"/>
      </w:pPr>
      <w:r>
        <w:lastRenderedPageBreak/>
        <w:t>OBRAZLOŽENJE PROGRAMA</w:t>
      </w:r>
    </w:p>
    <w:p w:rsidR="00D849AA" w:rsidRDefault="00EE6D95">
      <w:pPr>
        <w:pStyle w:val="Naslov5"/>
      </w:pPr>
      <w:r>
        <w:t>2815 ZEMLJIŠNE KNJIGE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2815</w:t>
            </w:r>
          </w:p>
        </w:tc>
        <w:tc>
          <w:tcPr>
            <w:tcW w:w="1486" w:type="dxa"/>
          </w:tcPr>
          <w:p w:rsidR="00D849AA" w:rsidRDefault="00EE6D95">
            <w:r>
              <w:t>11.000.000</w:t>
            </w:r>
          </w:p>
        </w:tc>
        <w:tc>
          <w:tcPr>
            <w:tcW w:w="1486" w:type="dxa"/>
          </w:tcPr>
          <w:p w:rsidR="00D849AA" w:rsidRDefault="00EE6D95">
            <w:r>
              <w:t>12.270.000</w:t>
            </w:r>
          </w:p>
        </w:tc>
        <w:tc>
          <w:tcPr>
            <w:tcW w:w="1486" w:type="dxa"/>
          </w:tcPr>
          <w:p w:rsidR="00D849AA" w:rsidRDefault="00EE6D95">
            <w:r>
              <w:t>15.200.000</w:t>
            </w:r>
          </w:p>
        </w:tc>
        <w:tc>
          <w:tcPr>
            <w:tcW w:w="1486" w:type="dxa"/>
          </w:tcPr>
          <w:p w:rsidR="00D849AA" w:rsidRDefault="00EE6D95">
            <w:r>
              <w:t>4.430.000</w:t>
            </w:r>
          </w:p>
        </w:tc>
        <w:tc>
          <w:tcPr>
            <w:tcW w:w="1486" w:type="dxa"/>
          </w:tcPr>
          <w:p w:rsidR="00D849AA" w:rsidRDefault="00EE6D95">
            <w:r>
              <w:t>111,5</w:t>
            </w:r>
          </w:p>
        </w:tc>
      </w:tr>
    </w:tbl>
    <w:p w:rsidR="00D849AA" w:rsidRDefault="00D849AA">
      <w:pPr>
        <w:jc w:val="left"/>
      </w:pPr>
    </w:p>
    <w:p w:rsidR="00D849AA" w:rsidRDefault="00EE6D95">
      <w:pPr>
        <w:pStyle w:val="Naslov6"/>
      </w:pPr>
      <w:r>
        <w:t>Opis programa</w:t>
      </w:r>
    </w:p>
    <w:p w:rsidR="00D849AA" w:rsidRDefault="00EE6D95">
      <w:pPr>
        <w:pStyle w:val="Normal5"/>
      </w:pPr>
      <w:r>
        <w:t>Program Zemljišne knjige dio je Nacionalnog programa reforme zemljišne administracije „Uređena zemlja“ koji je pokrenut još 2003. godine kako bi se poboljšale državne usluge sa stajališta učinkovitosti, transparentnosti i troška u svrhu razvoja učinkovitog tržišta nekretnina. U okviru programa financirati će se aktivnosti predviđene akcijskim planovima jačanja sustava pravosuđa i osigurati kontinuitet reforme zemljišne administracije kao jedne od prioritetnih reformi u Republici Hrvatskoj. Ugovoreni iznos zajma za novi projekt iznosi 16,5 milijuna eura u razdoblju od 15. studenoga 2011. godine do 31. listopada 2015. godine. Učešće RH u provedbi projekta planirano je u visini od 1,9 milijuna eura tako da ukupna vrijednost projekta iznosi 18,4  milijuna eura.</w:t>
      </w:r>
    </w:p>
    <w:p w:rsidR="00D849AA" w:rsidRDefault="00EE6D95">
      <w:pPr>
        <w:pStyle w:val="Naslov6"/>
      </w:pPr>
      <w:r>
        <w:t>Zakonske i druge pravne osnove</w:t>
      </w:r>
    </w:p>
    <w:p w:rsidR="00D849AA" w:rsidRDefault="00EE6D95">
      <w:pPr>
        <w:pStyle w:val="Normal5"/>
      </w:pPr>
      <w:r>
        <w:t>Zaključak Vlade RH Klasa: 940-10/10-02/06 o Planu i programu mjera provedbe brisanja društvenog vlasništva i uknjižbe vlasništva Republike Hrvatske u zemljišne knjige, Zakon o vlasništvu i drugim stvarnim pravima („Narodne novine“ broj 91/96, 68/98, 137/99, 22/00, 73/00, 114/01, 79/06, 141/06, 146/08, 38/09, 153/09 i 143/12), Zakon o zemljišnim knjigama („Narodne novine“ broj 91/96, 68/98, 137/99, 114/01, 100/04, 107/07, 152/08, 55/13 i 60/13).</w:t>
      </w:r>
    </w:p>
    <w:p w:rsidR="00D849AA" w:rsidRDefault="00EE6D95">
      <w:pPr>
        <w:pStyle w:val="Naslov5"/>
      </w:pPr>
      <w:r>
        <w:t>Procjena i ishodište potrebnih sredstava za značajnije aktivnosti/projekte</w:t>
      </w:r>
    </w:p>
    <w:p w:rsidR="00D849AA" w:rsidRDefault="00EE6D95">
      <w:pPr>
        <w:pStyle w:val="Naslov6"/>
      </w:pPr>
      <w:r>
        <w:t>K544028 PROJEKT IMPLEMENTACIJE INTEGRIRANOG SUSTAVA ZEMLJIŠNE ADMINISTRACIJE, IBRD ZAJAM 8086-HR</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K544028</w:t>
            </w:r>
          </w:p>
        </w:tc>
        <w:tc>
          <w:tcPr>
            <w:tcW w:w="1486" w:type="dxa"/>
          </w:tcPr>
          <w:p w:rsidR="00D849AA" w:rsidRDefault="00EE6D95">
            <w:r>
              <w:t>5.000.000</w:t>
            </w:r>
          </w:p>
        </w:tc>
        <w:tc>
          <w:tcPr>
            <w:tcW w:w="1486" w:type="dxa"/>
          </w:tcPr>
          <w:p w:rsidR="00D849AA" w:rsidRDefault="00EE6D95">
            <w:r>
              <w:t>12.270.000</w:t>
            </w:r>
          </w:p>
        </w:tc>
        <w:tc>
          <w:tcPr>
            <w:tcW w:w="1486" w:type="dxa"/>
          </w:tcPr>
          <w:p w:rsidR="00D849AA" w:rsidRDefault="00EE6D95">
            <w:r>
              <w:t>15.200.000</w:t>
            </w:r>
          </w:p>
        </w:tc>
        <w:tc>
          <w:tcPr>
            <w:tcW w:w="1486" w:type="dxa"/>
          </w:tcPr>
          <w:p w:rsidR="00D849AA" w:rsidRDefault="00EE6D95">
            <w:r>
              <w:t>4.430.000</w:t>
            </w:r>
          </w:p>
        </w:tc>
        <w:tc>
          <w:tcPr>
            <w:tcW w:w="1486" w:type="dxa"/>
          </w:tcPr>
          <w:p w:rsidR="00D849AA" w:rsidRDefault="00EE6D95">
            <w:r>
              <w:t>245,4</w:t>
            </w:r>
          </w:p>
        </w:tc>
      </w:tr>
    </w:tbl>
    <w:p w:rsidR="00D849AA" w:rsidRDefault="00D849AA">
      <w:pPr>
        <w:jc w:val="left"/>
      </w:pPr>
    </w:p>
    <w:p w:rsidR="00D849AA" w:rsidRDefault="00EE6D95">
      <w:pPr>
        <w:pStyle w:val="Normal6"/>
      </w:pPr>
      <w:r>
        <w:t xml:space="preserve">Projekt predstavlja nastavak Projekta sređivanja zemljišnih knjiga i katastra koji je uspješno proveden u razdoblju od 2003. do 2010. godine te će se u okviru njega financirati aktivnosti predviđene akcijskim planovima jačanja sustava pravosuđa i osigurati kontinuitet reforme zemljišne administracije kao jedne od prioritetnih reformi u Republici Hrvatskoj. Ugovoreni iznos zajma za novi projekt iznosi 16,5 milijuna eura u razdoblju od 15. studenoga 2011. godine do 31. listopada 2015. godine. Učešće RH u provedbi projekta planirano je u visini od 1,9 milijuna eura tako da ukupna vrijednost projekta iznosi 18,4 milijuna eura. </w:t>
      </w:r>
    </w:p>
    <w:p w:rsidR="00D849AA" w:rsidRDefault="00EE6D95">
      <w:pPr>
        <w:pStyle w:val="Normal6"/>
      </w:pPr>
      <w:r>
        <w:t xml:space="preserve">Dostignuti su sljedeći ciljevi projekta: </w:t>
      </w:r>
    </w:p>
    <w:p w:rsidR="00D849AA" w:rsidRDefault="00EE6D95">
      <w:pPr>
        <w:pStyle w:val="Normal6"/>
      </w:pPr>
      <w:r>
        <w:t xml:space="preserve">-  prijepis ručno vođenih zemljišnih knjiga u digitalni oblik završen je u svih 109 z.k. odjela općinskih sudova. </w:t>
      </w:r>
    </w:p>
    <w:p w:rsidR="00D849AA" w:rsidRDefault="00EE6D95">
      <w:pPr>
        <w:pStyle w:val="Normal6"/>
      </w:pPr>
      <w:r>
        <w:lastRenderedPageBreak/>
        <w:t xml:space="preserve">- broj zemljišnoknjižnih (z.k.) predmeta u radu smanjen je od kolovoza 2004. do rujna 2013. s 359.500 na oko 49.588   </w:t>
      </w:r>
    </w:p>
    <w:p w:rsidR="00D849AA" w:rsidRDefault="00EE6D95">
      <w:pPr>
        <w:pStyle w:val="Normal6"/>
      </w:pPr>
      <w:r>
        <w:t xml:space="preserve">- 62 sudska povjerenstava radilo na usklađenju i obnovi podataka u katastru i zemljišnoj knjizi, </w:t>
      </w:r>
    </w:p>
    <w:p w:rsidR="00D849AA" w:rsidRDefault="00EE6D95">
      <w:pPr>
        <w:pStyle w:val="Normal6"/>
      </w:pPr>
      <w:r>
        <w:t xml:space="preserve">- zemljišnoknjižni odjeli općinskih sudova i uredi i ispostave katastara opremljeni su modernom računalnom opremom </w:t>
      </w:r>
    </w:p>
    <w:p w:rsidR="00D849AA" w:rsidRDefault="00EE6D95">
      <w:pPr>
        <w:pStyle w:val="Normal6"/>
      </w:pPr>
      <w:r>
        <w:t xml:space="preserve">- provedba ugovora za uspostavu Zajedničkog informacijskog sustava zemljišnih knjiga i katastra (ZIS). Isporučeni sustav u produkcijskom radu u 7 zemljišnoknjižnih odjela (10 do kraja 2013.) i 3 katastarska ureda. </w:t>
      </w:r>
    </w:p>
    <w:p w:rsidR="00D849AA" w:rsidRDefault="00EE6D95">
      <w:pPr>
        <w:pStyle w:val="Normal6"/>
      </w:pPr>
      <w:r>
        <w:t xml:space="preserve">- programima izobrazbe obuhvaćeno je kroz 557 aktivnosti 10.300 službenika općinskih sudova i katastra, odnosno pravnika i geodeta iz prakse čime je ostvareno efikasno usvajanja novih propisa, ujednačenje prakse i značajno ubrzanje obavljanja poslova. </w:t>
      </w:r>
    </w:p>
    <w:p w:rsidR="00D849AA" w:rsidRDefault="00EE6D95">
      <w:pPr>
        <w:pStyle w:val="Normal6"/>
      </w:pPr>
      <w:r>
        <w:t xml:space="preserve">- provedena kampanja informiranja javnosti važnosti i načinu registracije nekretnina u Hrvatskoj. </w:t>
      </w:r>
    </w:p>
    <w:p w:rsidR="00D849AA" w:rsidRDefault="00EE6D95">
      <w:pPr>
        <w:pStyle w:val="Normal6"/>
      </w:pPr>
      <w:r>
        <w:t xml:space="preserve">- uspostavljen je web-preglednik zemljišnih knjiga (www.pravosudje.hr) koji je od uspostave u svibnju 2007. godine posjetilo više od 184 mil. korisnika </w:t>
      </w:r>
    </w:p>
    <w:p w:rsidR="00D849AA" w:rsidRDefault="00EE6D95">
      <w:pPr>
        <w:pStyle w:val="Normal6"/>
      </w:pPr>
      <w:r>
        <w:t xml:space="preserve">- pilot projekt pružanja pravne pomoći građanima slabijeg imovinskog statusa </w:t>
      </w:r>
    </w:p>
    <w:p w:rsidR="00D849AA" w:rsidRDefault="00EE6D95">
      <w:pPr>
        <w:pStyle w:val="Normal6"/>
      </w:pPr>
      <w:r>
        <w:t xml:space="preserve">- građevinskim radovima preuređeno je 19 z.k. odjela. </w:t>
      </w:r>
    </w:p>
    <w:p w:rsidR="00D849AA" w:rsidRDefault="00EE6D95">
      <w:pPr>
        <w:pStyle w:val="Normal6"/>
      </w:pPr>
      <w:r>
        <w:t xml:space="preserve">Planirane aktivnosti u 2014. godini: </w:t>
      </w:r>
    </w:p>
    <w:p w:rsidR="00D849AA" w:rsidRDefault="00EE6D95">
      <w:pPr>
        <w:pStyle w:val="Normal6"/>
      </w:pPr>
      <w:r>
        <w:t xml:space="preserve">Sredstvima Projekta, sukladno Ugovoru o zajmu, financirat će se nabava roba i savjetničkih usluga za: </w:t>
      </w:r>
    </w:p>
    <w:p w:rsidR="00D849AA" w:rsidRDefault="00EE6D95">
      <w:pPr>
        <w:pStyle w:val="Normal6"/>
      </w:pPr>
      <w:r>
        <w:t xml:space="preserve">- nakon provedene tehničke revizije kvalitete ZIS-a, širenje sustava (roll-out) ZIS-a na daljnje lokacije, uključujući upravljanje ZIS-om, obuku i migraciju podataka te računalnu opremu.  </w:t>
      </w:r>
    </w:p>
    <w:p w:rsidR="00D849AA" w:rsidRDefault="00EE6D95">
      <w:pPr>
        <w:pStyle w:val="Normal6"/>
      </w:pPr>
      <w:r>
        <w:t xml:space="preserve">- razvoj dodatnih funkcionalnosti ZIS-a i provedbu Strategije MP za upravljanje dokumentima i digitalna arhiva za zemljišne knjiga.  </w:t>
      </w:r>
    </w:p>
    <w:p w:rsidR="00D849AA" w:rsidRDefault="00EE6D95">
      <w:pPr>
        <w:pStyle w:val="Normal6"/>
      </w:pPr>
      <w:r>
        <w:t xml:space="preserve">- provedbu Projekta, uključujući nabavu, financijsko upravljanje, isplatu te praćenje i ocjenu. </w:t>
      </w:r>
    </w:p>
    <w:p w:rsidR="00D849AA" w:rsidRDefault="00EE6D95">
      <w:pPr>
        <w:pStyle w:val="Normal6"/>
      </w:pPr>
      <w:r>
        <w:t>- provedba edukacije djelatnika MP</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 xml:space="preserve">broj ZK odjela na </w:t>
            </w:r>
          </w:p>
          <w:p w:rsidR="00D849AA" w:rsidRDefault="00EE6D95">
            <w:pPr>
              <w:pStyle w:val="CellColumn"/>
            </w:pPr>
            <w:r>
              <w:t xml:space="preserve">kojima je </w:t>
            </w:r>
          </w:p>
          <w:p w:rsidR="00D849AA" w:rsidRDefault="00EE6D95">
            <w:pPr>
              <w:pStyle w:val="CellColumn"/>
            </w:pPr>
            <w:r>
              <w:t>implementiran ZIS</w:t>
            </w:r>
          </w:p>
        </w:tc>
        <w:tc>
          <w:tcPr>
            <w:tcW w:w="1114" w:type="dxa"/>
          </w:tcPr>
          <w:p w:rsidR="00D849AA" w:rsidRDefault="00EE6D95">
            <w:r>
              <w:t>broj</w:t>
            </w:r>
          </w:p>
        </w:tc>
        <w:tc>
          <w:tcPr>
            <w:tcW w:w="1114" w:type="dxa"/>
          </w:tcPr>
          <w:p w:rsidR="00D849AA" w:rsidRDefault="00EE6D95">
            <w:r>
              <w:t>10</w:t>
            </w:r>
          </w:p>
        </w:tc>
        <w:tc>
          <w:tcPr>
            <w:tcW w:w="1486" w:type="dxa"/>
          </w:tcPr>
          <w:p w:rsidR="00D849AA" w:rsidRDefault="00EE6D95">
            <w:r>
              <w:t>30</w:t>
            </w:r>
          </w:p>
        </w:tc>
        <w:tc>
          <w:tcPr>
            <w:tcW w:w="1486" w:type="dxa"/>
          </w:tcPr>
          <w:p w:rsidR="00D849AA" w:rsidRDefault="00EE6D95">
            <w:r>
              <w:t>69</w:t>
            </w:r>
          </w:p>
        </w:tc>
        <w:tc>
          <w:tcPr>
            <w:tcW w:w="1486" w:type="dxa"/>
          </w:tcPr>
          <w:p w:rsidR="00D849AA" w:rsidRDefault="00EE6D95">
            <w:r>
              <w:t>69</w:t>
            </w:r>
          </w:p>
        </w:tc>
      </w:tr>
    </w:tbl>
    <w:p w:rsidR="00D849AA" w:rsidRDefault="00D849AA">
      <w:pPr>
        <w:jc w:val="left"/>
      </w:pPr>
    </w:p>
    <w:p w:rsidR="00D849AA" w:rsidRDefault="00EE6D95">
      <w:pPr>
        <w:pStyle w:val="Naslov2"/>
      </w:pPr>
      <w:r>
        <w:lastRenderedPageBreak/>
        <w:t>11006 Pravosudna akademija</w:t>
      </w:r>
    </w:p>
    <w:p w:rsidR="00D849AA" w:rsidRDefault="00EE6D95">
      <w:pPr>
        <w:pStyle w:val="Naslov4"/>
      </w:pPr>
      <w:r>
        <w:t>Uvod</w:t>
      </w:r>
    </w:p>
    <w:p w:rsidR="00D849AA" w:rsidRDefault="00EE6D95">
      <w:pPr>
        <w:pStyle w:val="Normal3"/>
      </w:pPr>
      <w:r>
        <w:t>Pravosudna akademija je od 1. siječnja 2010. javna ustanova kojoj je jedan od ciljeva omogućiti uvjete za provedbu inicijalnih programa za vježbenike u pravosudnim tijelima i za kandidate za suce i zamjenike državnih odvjetnika (program Državna škola za pravosudne dužnosnike), te omogućiti stalno stručno usavršavanje sudaca i zamjenika državnih odvjetnika.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11006</w:t>
            </w:r>
          </w:p>
        </w:tc>
        <w:tc>
          <w:tcPr>
            <w:tcW w:w="1486" w:type="dxa"/>
          </w:tcPr>
          <w:p w:rsidR="00D849AA" w:rsidRDefault="00EE6D95">
            <w:r>
              <w:t>11.485.000</w:t>
            </w:r>
          </w:p>
        </w:tc>
        <w:tc>
          <w:tcPr>
            <w:tcW w:w="1486" w:type="dxa"/>
          </w:tcPr>
          <w:p w:rsidR="00D849AA" w:rsidRDefault="00EE6D95">
            <w:r>
              <w:t>6.418.300</w:t>
            </w:r>
          </w:p>
        </w:tc>
        <w:tc>
          <w:tcPr>
            <w:tcW w:w="1486" w:type="dxa"/>
          </w:tcPr>
          <w:p w:rsidR="00D849AA" w:rsidRDefault="00EE6D95">
            <w:r>
              <w:t>5.604.500</w:t>
            </w:r>
          </w:p>
        </w:tc>
        <w:tc>
          <w:tcPr>
            <w:tcW w:w="1486" w:type="dxa"/>
          </w:tcPr>
          <w:p w:rsidR="00D849AA" w:rsidRDefault="00EE6D95">
            <w:r>
              <w:t>5.615.700</w:t>
            </w:r>
          </w:p>
        </w:tc>
        <w:tc>
          <w:tcPr>
            <w:tcW w:w="1486" w:type="dxa"/>
          </w:tcPr>
          <w:p w:rsidR="00D849AA" w:rsidRDefault="00EE6D95">
            <w:r>
              <w:t>55,9</w:t>
            </w:r>
          </w:p>
        </w:tc>
      </w:tr>
    </w:tbl>
    <w:p w:rsidR="00D849AA" w:rsidRDefault="00D849AA">
      <w:pPr>
        <w:jc w:val="left"/>
      </w:pPr>
    </w:p>
    <w:p w:rsidR="00D849AA" w:rsidRDefault="00EE6D95">
      <w:pPr>
        <w:pStyle w:val="Naslov4"/>
      </w:pPr>
      <w:r>
        <w:t>OBRAZLOŽENJE PROGRAMA</w:t>
      </w:r>
    </w:p>
    <w:p w:rsidR="00D849AA" w:rsidRDefault="00EE6D95">
      <w:pPr>
        <w:pStyle w:val="Naslov5"/>
      </w:pPr>
      <w:r>
        <w:t>2804 EDUKACIJA I INFORMIRANJE U PRAVOSUDNOM SUSTAVU</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2804</w:t>
            </w:r>
          </w:p>
        </w:tc>
        <w:tc>
          <w:tcPr>
            <w:tcW w:w="1486" w:type="dxa"/>
          </w:tcPr>
          <w:p w:rsidR="00D849AA" w:rsidRDefault="00EE6D95">
            <w:r>
              <w:t>11.485.000</w:t>
            </w:r>
          </w:p>
        </w:tc>
        <w:tc>
          <w:tcPr>
            <w:tcW w:w="1486" w:type="dxa"/>
          </w:tcPr>
          <w:p w:rsidR="00D849AA" w:rsidRDefault="00EE6D95">
            <w:r>
              <w:t>6.418.300</w:t>
            </w:r>
          </w:p>
        </w:tc>
        <w:tc>
          <w:tcPr>
            <w:tcW w:w="1486" w:type="dxa"/>
          </w:tcPr>
          <w:p w:rsidR="00D849AA" w:rsidRDefault="00EE6D95">
            <w:r>
              <w:t>5.604.500</w:t>
            </w:r>
          </w:p>
        </w:tc>
        <w:tc>
          <w:tcPr>
            <w:tcW w:w="1486" w:type="dxa"/>
          </w:tcPr>
          <w:p w:rsidR="00D849AA" w:rsidRDefault="00EE6D95">
            <w:r>
              <w:t>5.615.700</w:t>
            </w:r>
          </w:p>
        </w:tc>
        <w:tc>
          <w:tcPr>
            <w:tcW w:w="1486" w:type="dxa"/>
          </w:tcPr>
          <w:p w:rsidR="00D849AA" w:rsidRDefault="00EE6D95">
            <w:r>
              <w:t>55,9</w:t>
            </w:r>
          </w:p>
        </w:tc>
      </w:tr>
    </w:tbl>
    <w:p w:rsidR="00D849AA" w:rsidRDefault="00D849AA">
      <w:pPr>
        <w:jc w:val="left"/>
      </w:pPr>
    </w:p>
    <w:p w:rsidR="00D849AA" w:rsidRDefault="00EE6D95">
      <w:pPr>
        <w:pStyle w:val="Naslov6"/>
      </w:pPr>
      <w:r>
        <w:t>Opis programa</w:t>
      </w:r>
    </w:p>
    <w:p w:rsidR="00D849AA" w:rsidRDefault="00EE6D95">
      <w:pPr>
        <w:pStyle w:val="Normal5"/>
      </w:pPr>
      <w:r>
        <w:t xml:space="preserve">Program edukacije i informiranja u pravosudnom sustavu provodi se najvećim dijelom kroz aktivnosti Pravosudne akademije putem kontinuiranog usavršavanja sudaca i državnih odvjetnika provedbom programa specijaliziranog i stručnog usavršavanja,provođenja radionica za buduće voditelje aktivnosti stručnog usavršavanja sudaca i državnih odvjetnika, </w:t>
      </w:r>
    </w:p>
    <w:p w:rsidR="00D849AA" w:rsidRDefault="00EE6D95">
      <w:pPr>
        <w:pStyle w:val="Normal5"/>
      </w:pPr>
      <w:r>
        <w:t>upoznavanja vježbenika s određenim pravnim institutima te primjene stečenog znanja u rješavanju hipotetskih primjera i prerađenih primjera iz prakse u svrhu pripreme za polaganje pravosudnog ispita i za primjenu znanja u praksi, stjecanja vještina za rješavanje praktičnih poslova iz djelokruga rada sudova i Državnog odvjetništva i dr.</w:t>
      </w:r>
    </w:p>
    <w:p w:rsidR="00D849AA" w:rsidRDefault="00EE6D95">
      <w:pPr>
        <w:pStyle w:val="Naslov6"/>
      </w:pPr>
      <w:r>
        <w:t>Zakonske i druge pravne osnove</w:t>
      </w:r>
    </w:p>
    <w:p w:rsidR="00D849AA" w:rsidRDefault="00EE6D95">
      <w:pPr>
        <w:pStyle w:val="Normal5"/>
      </w:pPr>
      <w:r>
        <w:t>Zakon o Pravosudnoj akademiji („Narodne novine“ broj 153/09 i 127/10).</w:t>
      </w:r>
    </w:p>
    <w:p w:rsidR="00D849AA" w:rsidRDefault="00EE6D95">
      <w:pPr>
        <w:pStyle w:val="Naslov5"/>
      </w:pPr>
      <w:r>
        <w:t>Procjena i ishodište potrebnih sredstava za značajnije aktivnosti/projekte</w:t>
      </w:r>
    </w:p>
    <w:p w:rsidR="00D849AA" w:rsidRDefault="00EE6D95">
      <w:pPr>
        <w:pStyle w:val="Naslov6"/>
      </w:pPr>
      <w:r>
        <w:t>A629024 STRUČNO USAVRŠAVANJE PRAVOSUDNIH DUŽNOSNIKA I SAVJETNIKA U PRAVOSUDNIM TIJELIMA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A629024</w:t>
            </w:r>
          </w:p>
        </w:tc>
        <w:tc>
          <w:tcPr>
            <w:tcW w:w="1486" w:type="dxa"/>
          </w:tcPr>
          <w:p w:rsidR="00D849AA" w:rsidRDefault="00EE6D95">
            <w:r>
              <w:t>2.062.000</w:t>
            </w:r>
          </w:p>
        </w:tc>
        <w:tc>
          <w:tcPr>
            <w:tcW w:w="1486" w:type="dxa"/>
          </w:tcPr>
          <w:p w:rsidR="00D849AA" w:rsidRDefault="00EE6D95">
            <w:r>
              <w:t>1.057.000</w:t>
            </w:r>
          </w:p>
        </w:tc>
        <w:tc>
          <w:tcPr>
            <w:tcW w:w="1486" w:type="dxa"/>
          </w:tcPr>
          <w:p w:rsidR="00D849AA" w:rsidRDefault="00EE6D95">
            <w:r>
              <w:t>1.058.000</w:t>
            </w:r>
          </w:p>
        </w:tc>
        <w:tc>
          <w:tcPr>
            <w:tcW w:w="1486" w:type="dxa"/>
          </w:tcPr>
          <w:p w:rsidR="00D849AA" w:rsidRDefault="00EE6D95">
            <w:r>
              <w:t>1.059.000</w:t>
            </w:r>
          </w:p>
        </w:tc>
        <w:tc>
          <w:tcPr>
            <w:tcW w:w="1486" w:type="dxa"/>
          </w:tcPr>
          <w:p w:rsidR="00D849AA" w:rsidRDefault="00EE6D95">
            <w:r>
              <w:t>51,3</w:t>
            </w:r>
          </w:p>
        </w:tc>
      </w:tr>
    </w:tbl>
    <w:p w:rsidR="00D849AA" w:rsidRDefault="00D849AA">
      <w:pPr>
        <w:jc w:val="left"/>
      </w:pPr>
    </w:p>
    <w:p w:rsidR="00D849AA" w:rsidRDefault="00EE6D95">
      <w:pPr>
        <w:pStyle w:val="Normal6"/>
      </w:pPr>
      <w:r>
        <w:lastRenderedPageBreak/>
        <w:t>Cjeloživotno stručno usavršavanje sudaca, državnih odvjetnika, odnosno njihovih zamjenika te sudskih i državnoodvjetničkih savjetnika na zakonu je utemeljeno pravo i obveza svakog od njih i kao takvo jedno od mjerila ocjenjivanja njihovog godišnjeg rada. Ono predstavlja i uvjet za napredovanje pravosudnih dužnosnika. Program stručnog usavršavanja pravosudnih dužnosnika i savjetnika u pravosudnim tijelima podijeljen je u tri kategorije: prvu čine osnovne grane prava (građansko pravo, kazneno pravo, trgovačko pravo, prekršajno pravo, upravno pravo te europsko pravo), drugu standardi u obavljanju profesije pravosudnih dužnosnika (etika i deontologija profesije pravosudnog dužnosnika), dok treću kategoriju čini razvoj vještina (informatička edukacija, obuka voditelja radionica, usavršavanje mentora itd.). Unutar te podjele, osim standardnih radionica usmjerenih na problematiku s kojom se susreće većina sudaca/sutkinja i državnih odvjetnika, odnosno njihovih zamjenika, organiziramo i specijalističke radionice usmjerene usko specijaliziranom području prava. Obrazovne aktivnosti utvrđene navedenim programom provode se najčešće u obliku radionica za skupine od dvadesetak polaznika, s interaktivnim pristupom i naglaskom na aktivnoj ulozi sudionika. Manji broj aktivnosti provodi se u obliku okruglih stolova te seminara i konferencija koje su namijenjene većem broju polaznika, s naglaskom na ex cathedra pristup. Voditelji obrazovnih aktivnosti su za to osposobljeni suci i državni odvjetnici, odnosno njihovi zamjenici, te sveučilišni nastavnici, ali i drugi stručnjaci raznih profesija. Za svaku temu</w:t>
      </w:r>
      <w:r w:rsidR="00AD0345">
        <w:t xml:space="preserve"> </w:t>
      </w:r>
      <w:r>
        <w:t>razvijaju se obrazovni materijali u obliku priručnika za voditelje, odnosno priručnika za polaznike, u čijoj izradi sudjeluju istaknuti pravosudni dužnosnici, profesori pravnih fakulteta te stručnjaci iz drugih područja. Program stručnog usavršavanja pravosudnih dužnosnika i savjetnika u pravosudnim tijelima za svaku kalendarsku godinu donosi Programsko vijeće Pravosudne akademije. Nositelj, vrsta, način prijavljivanja za sudjelovanje u pojedinim vrstama stručnog usavršavanja, trajanje i vrednovanje stalnog stručnog usavršavanja pravosudnih dužnosnika/-ica propisano je Pravilnikom o pristupu stručnom usavršavanju („Narodne novine“ broj 124/10 i 112/11).</w:t>
      </w:r>
    </w:p>
    <w:p w:rsidR="00D849AA" w:rsidRDefault="00EE6D95">
      <w:pPr>
        <w:pStyle w:val="Naslov6"/>
      </w:pPr>
      <w:r>
        <w:t>A630051 IZBOR I OBUKA VJEŽBENIKA U PRAVOSUDNIM TIJELIMA RH</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A630051</w:t>
            </w:r>
          </w:p>
        </w:tc>
        <w:tc>
          <w:tcPr>
            <w:tcW w:w="1486" w:type="dxa"/>
          </w:tcPr>
          <w:p w:rsidR="00D849AA" w:rsidRDefault="00EE6D95">
            <w:r>
              <w:t>2.114.000</w:t>
            </w:r>
          </w:p>
        </w:tc>
        <w:tc>
          <w:tcPr>
            <w:tcW w:w="1486" w:type="dxa"/>
          </w:tcPr>
          <w:p w:rsidR="00D849AA" w:rsidRDefault="00EE6D95">
            <w:r>
              <w:t>71.000</w:t>
            </w:r>
          </w:p>
        </w:tc>
        <w:tc>
          <w:tcPr>
            <w:tcW w:w="1486" w:type="dxa"/>
          </w:tcPr>
          <w:p w:rsidR="00D849AA" w:rsidRDefault="00EE6D95">
            <w:r>
              <w:t>123.000</w:t>
            </w:r>
          </w:p>
        </w:tc>
        <w:tc>
          <w:tcPr>
            <w:tcW w:w="1486" w:type="dxa"/>
          </w:tcPr>
          <w:p w:rsidR="00D849AA" w:rsidRDefault="00EE6D95">
            <w:r>
              <w:t>123.000</w:t>
            </w:r>
          </w:p>
        </w:tc>
        <w:tc>
          <w:tcPr>
            <w:tcW w:w="1486" w:type="dxa"/>
          </w:tcPr>
          <w:p w:rsidR="00D849AA" w:rsidRDefault="00EE6D95">
            <w:r>
              <w:t>3,4</w:t>
            </w:r>
          </w:p>
        </w:tc>
      </w:tr>
    </w:tbl>
    <w:p w:rsidR="00D849AA" w:rsidRDefault="00D849AA">
      <w:pPr>
        <w:jc w:val="left"/>
      </w:pPr>
    </w:p>
    <w:p w:rsidR="00D849AA" w:rsidRDefault="00EE6D95">
      <w:pPr>
        <w:pStyle w:val="Normal6"/>
      </w:pPr>
      <w:r>
        <w:t>Programom su obuhvaćeni vježbenici u pravosudnim tijelima (sudački i državnoodvjetnički vježbenici). Postupak odabira vježbenika i vježbenica provodi se putem javnog natječaja koji raspisuje Ministarstvo pravosuđa. Natječaj se objavljuje u Narodnim novinama i na web stranici Ministarstva pravosuđa. Raspisuje se na osnovu iskazanih potreba pravosudnih tijela iz cijele Hrvatske. Vježbenička obuka traje dvije godine. Sastoji se od praktičnog i teorijskog dijela. Praktični dio vježbenici obavljaju uzmentorsko praćenje u pravosudnim tijelima, a teorijski dio u sklopu radionica u Pravosudnoj akademiji.Teorijska obuka se provodi kroz radionice, istovremeno u pet regionalnih centara Pravosudne akademije ( Zagreb, Split, Rijeka, Osijek i Varaždin). Cilj obuke je stjecanje vještina za rješavanje praktičnih poslova iz djelokruga rada sudova i državnog odvjetništva te priprema vježbenika za pravosudni ispit. Voditelji radionica su suci i zamjenici državnih odvjetnika koje određuje Programsko vijeće Pravosudne akademije. Tijekom 2013. godine Pravosudna akademija nije provodila aktivnosti inicijalnog treninga budući nije bilo natječaja za vježbenike u pravosudnim tijelima. U 2014. godini očekuje se provedba 60 radionica inicijalnog treninga za vježbenike u pravosudnim tijelima.</w:t>
      </w:r>
    </w:p>
    <w:p w:rsidR="00D849AA" w:rsidRDefault="00EE6D95">
      <w:pPr>
        <w:pStyle w:val="Naslov6"/>
      </w:pPr>
      <w:r>
        <w:lastRenderedPageBreak/>
        <w:t>A844001 ADMINISTRACIJA I UPRAVLJANJE PRAVOSUDNE AKADEMIJE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A844001</w:t>
            </w:r>
          </w:p>
        </w:tc>
        <w:tc>
          <w:tcPr>
            <w:tcW w:w="1486" w:type="dxa"/>
          </w:tcPr>
          <w:p w:rsidR="00D849AA" w:rsidRDefault="00EE6D95">
            <w:r>
              <w:t>5.896.800</w:t>
            </w:r>
          </w:p>
        </w:tc>
        <w:tc>
          <w:tcPr>
            <w:tcW w:w="1486" w:type="dxa"/>
          </w:tcPr>
          <w:p w:rsidR="00D849AA" w:rsidRDefault="00EE6D95">
            <w:r>
              <w:t>4.473.300</w:t>
            </w:r>
          </w:p>
        </w:tc>
        <w:tc>
          <w:tcPr>
            <w:tcW w:w="1486" w:type="dxa"/>
          </w:tcPr>
          <w:p w:rsidR="00D849AA" w:rsidRDefault="00EE6D95">
            <w:r>
              <w:t>3.548.500</w:t>
            </w:r>
          </w:p>
        </w:tc>
        <w:tc>
          <w:tcPr>
            <w:tcW w:w="1486" w:type="dxa"/>
          </w:tcPr>
          <w:p w:rsidR="00D849AA" w:rsidRDefault="00EE6D95">
            <w:r>
              <w:t>3.551.600</w:t>
            </w:r>
          </w:p>
        </w:tc>
        <w:tc>
          <w:tcPr>
            <w:tcW w:w="1486" w:type="dxa"/>
          </w:tcPr>
          <w:p w:rsidR="00D849AA" w:rsidRDefault="00EE6D95">
            <w:r>
              <w:t>75,8</w:t>
            </w:r>
          </w:p>
        </w:tc>
      </w:tr>
    </w:tbl>
    <w:p w:rsidR="00D849AA" w:rsidRDefault="00D849AA">
      <w:pPr>
        <w:jc w:val="left"/>
      </w:pPr>
    </w:p>
    <w:p w:rsidR="00D849AA" w:rsidRDefault="00EE6D95">
      <w:pPr>
        <w:pStyle w:val="Normal6"/>
      </w:pPr>
      <w:r>
        <w:t>Administracija i upravljanje je aktivnost putem koje je osiguran redovan rad Pravosudne akademije.</w:t>
      </w:r>
    </w:p>
    <w:p w:rsidR="00D849AA" w:rsidRDefault="00EE6D95">
      <w:pPr>
        <w:pStyle w:val="Naslov6"/>
      </w:pPr>
      <w:r>
        <w:t>A844002 DRŽAVNA ŠKOLA ZA PRAVOSUDNE DUŽNOSNIKE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A844002</w:t>
            </w:r>
          </w:p>
        </w:tc>
        <w:tc>
          <w:tcPr>
            <w:tcW w:w="1486" w:type="dxa"/>
          </w:tcPr>
          <w:p w:rsidR="00D849AA" w:rsidRDefault="00EE6D95">
            <w:r>
              <w:t>1.412.200</w:t>
            </w:r>
          </w:p>
        </w:tc>
        <w:tc>
          <w:tcPr>
            <w:tcW w:w="1486" w:type="dxa"/>
          </w:tcPr>
          <w:p w:rsidR="00D849AA" w:rsidRDefault="00EE6D95">
            <w:r>
              <w:t>817.000</w:t>
            </w:r>
          </w:p>
        </w:tc>
        <w:tc>
          <w:tcPr>
            <w:tcW w:w="1486" w:type="dxa"/>
          </w:tcPr>
          <w:p w:rsidR="00D849AA" w:rsidRDefault="00EE6D95">
            <w:r>
              <w:t>875.000</w:t>
            </w:r>
          </w:p>
        </w:tc>
        <w:tc>
          <w:tcPr>
            <w:tcW w:w="1486" w:type="dxa"/>
          </w:tcPr>
          <w:p w:rsidR="00D849AA" w:rsidRDefault="00EE6D95">
            <w:r>
              <w:t>882.100</w:t>
            </w:r>
          </w:p>
        </w:tc>
        <w:tc>
          <w:tcPr>
            <w:tcW w:w="1486" w:type="dxa"/>
          </w:tcPr>
          <w:p w:rsidR="00D849AA" w:rsidRDefault="00EE6D95">
            <w:r>
              <w:t>57,8</w:t>
            </w:r>
          </w:p>
        </w:tc>
      </w:tr>
    </w:tbl>
    <w:p w:rsidR="00D849AA" w:rsidRDefault="00D849AA">
      <w:pPr>
        <w:jc w:val="left"/>
      </w:pPr>
    </w:p>
    <w:p w:rsidR="00D849AA" w:rsidRDefault="00EE6D95">
      <w:pPr>
        <w:pStyle w:val="Normal6"/>
      </w:pPr>
      <w:r>
        <w:t>Državna škola za pravosudne dužnosnike (dalje u tekstu: Državna škola) je ustrojstvena jedinica u sastavu Pravosudne akademije. U Državnu školu se upisuju kandidati za suce ili zamjenike državnog odvjetnika i to za općinske, prekršajne, trgovačke i upravne sudove, te općinska državna odvjetništva. Stručno usavršavanje za pravosudne dužnosnike traje dvije godine, a sastoji se od teorijskoga dijela i stručnih radionica koje se provode u Državnoj školi te praktičnog dijela koji se provodi na sudu i državnom odvjetništvu, a prema potrebi i u državnim tijelima. Obaveze polaznika Državne škole su prisustvovanje stručnim radionicama (20 radionica godišnje) te izrada četiri obrazložene odluke presuda/rješenje/optužnica) mjesečno, u svakom mjesecu praktičnog dijela stručnog usavršavanja koje polaznik provede u pojedinom pravosudnom tijelu. U 2014. planira se provedba radionica za 75  kandidata za pravosudne dužnosnike.</w:t>
      </w:r>
    </w:p>
    <w:p w:rsidR="00D849AA" w:rsidRDefault="00EE6D95">
      <w:pPr>
        <w:pStyle w:val="Naslov2"/>
      </w:pPr>
      <w:r>
        <w:t>11010 Zatvori i kaznionice</w:t>
      </w:r>
    </w:p>
    <w:p w:rsidR="00D849AA" w:rsidRDefault="00EE6D95">
      <w:pPr>
        <w:pStyle w:val="Naslov4"/>
      </w:pPr>
      <w:r>
        <w:t>Uvod</w:t>
      </w:r>
    </w:p>
    <w:p w:rsidR="00D849AA" w:rsidRDefault="00EE6D95">
      <w:pPr>
        <w:pStyle w:val="Normal3"/>
      </w:pPr>
      <w:r>
        <w:t>Kazna zatvora u Republici Hrvatskoj izvršava se kroz 23 institucije zatvora, kaznionica i odgojnih zavoda. Zakonom o izvršavanju kazne zatvora propisani su standardi smještaja zatvorenika. Broj zatvorenika je u stalnom porastu. Takva tendencija rasta broja osoba u zatvorskim institucijama traži nužno povećanje smještajnih kapaciteta.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11010</w:t>
            </w:r>
          </w:p>
        </w:tc>
        <w:tc>
          <w:tcPr>
            <w:tcW w:w="1486" w:type="dxa"/>
          </w:tcPr>
          <w:p w:rsidR="00D849AA" w:rsidRDefault="00EE6D95">
            <w:r>
              <w:t>454.513.045</w:t>
            </w:r>
          </w:p>
        </w:tc>
        <w:tc>
          <w:tcPr>
            <w:tcW w:w="1486" w:type="dxa"/>
          </w:tcPr>
          <w:p w:rsidR="00D849AA" w:rsidRDefault="00EE6D95">
            <w:r>
              <w:t>486.179.900</w:t>
            </w:r>
          </w:p>
        </w:tc>
        <w:tc>
          <w:tcPr>
            <w:tcW w:w="1486" w:type="dxa"/>
          </w:tcPr>
          <w:p w:rsidR="00D849AA" w:rsidRDefault="00EE6D95">
            <w:r>
              <w:t>488.710.270</w:t>
            </w:r>
          </w:p>
        </w:tc>
        <w:tc>
          <w:tcPr>
            <w:tcW w:w="1486" w:type="dxa"/>
          </w:tcPr>
          <w:p w:rsidR="00D849AA" w:rsidRDefault="00EE6D95">
            <w:r>
              <w:t>494.578.510</w:t>
            </w:r>
          </w:p>
        </w:tc>
        <w:tc>
          <w:tcPr>
            <w:tcW w:w="1486" w:type="dxa"/>
          </w:tcPr>
          <w:p w:rsidR="00D849AA" w:rsidRDefault="00EE6D95">
            <w:r>
              <w:t>107,0</w:t>
            </w:r>
          </w:p>
        </w:tc>
      </w:tr>
    </w:tbl>
    <w:p w:rsidR="00D849AA" w:rsidRDefault="00D849AA">
      <w:pPr>
        <w:jc w:val="left"/>
      </w:pPr>
    </w:p>
    <w:p w:rsidR="00AE2853" w:rsidRDefault="00AE2853">
      <w:pPr>
        <w:jc w:val="left"/>
      </w:pPr>
    </w:p>
    <w:p w:rsidR="00D849AA" w:rsidRDefault="00EE6D95">
      <w:pPr>
        <w:pStyle w:val="Naslov4"/>
      </w:pPr>
      <w:r>
        <w:lastRenderedPageBreak/>
        <w:t>OBRAZLOŽENJE PROGRAMA</w:t>
      </w:r>
    </w:p>
    <w:p w:rsidR="00D849AA" w:rsidRDefault="00EE6D95">
      <w:pPr>
        <w:pStyle w:val="Naslov5"/>
      </w:pPr>
      <w:r>
        <w:t>2809 UPRAVLJANJE ZATVORSKIM I PROBACIJSKIM SUSTAVOM</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2809</w:t>
            </w:r>
          </w:p>
        </w:tc>
        <w:tc>
          <w:tcPr>
            <w:tcW w:w="1486" w:type="dxa"/>
          </w:tcPr>
          <w:p w:rsidR="00D849AA" w:rsidRDefault="00EE6D95">
            <w:r>
              <w:t>454.513.045</w:t>
            </w:r>
          </w:p>
        </w:tc>
        <w:tc>
          <w:tcPr>
            <w:tcW w:w="1486" w:type="dxa"/>
          </w:tcPr>
          <w:p w:rsidR="00D849AA" w:rsidRDefault="00EE6D95">
            <w:r>
              <w:t>486.179.900</w:t>
            </w:r>
          </w:p>
        </w:tc>
        <w:tc>
          <w:tcPr>
            <w:tcW w:w="1486" w:type="dxa"/>
          </w:tcPr>
          <w:p w:rsidR="00D849AA" w:rsidRDefault="00EE6D95">
            <w:r>
              <w:t>488.710.270</w:t>
            </w:r>
          </w:p>
        </w:tc>
        <w:tc>
          <w:tcPr>
            <w:tcW w:w="1486" w:type="dxa"/>
          </w:tcPr>
          <w:p w:rsidR="00D849AA" w:rsidRDefault="00EE6D95">
            <w:r>
              <w:t>494.578.510</w:t>
            </w:r>
          </w:p>
        </w:tc>
        <w:tc>
          <w:tcPr>
            <w:tcW w:w="1486" w:type="dxa"/>
          </w:tcPr>
          <w:p w:rsidR="00D849AA" w:rsidRDefault="00EE6D95">
            <w:r>
              <w:t>107,0</w:t>
            </w:r>
          </w:p>
        </w:tc>
      </w:tr>
    </w:tbl>
    <w:p w:rsidR="00D849AA" w:rsidRDefault="00D849AA">
      <w:pPr>
        <w:jc w:val="left"/>
      </w:pPr>
    </w:p>
    <w:p w:rsidR="00D849AA" w:rsidRDefault="00EE6D95">
      <w:pPr>
        <w:pStyle w:val="Naslov6"/>
      </w:pPr>
      <w:r>
        <w:t>Opis programa</w:t>
      </w:r>
    </w:p>
    <w:p w:rsidR="00D849AA" w:rsidRDefault="00EE6D95">
      <w:pPr>
        <w:pStyle w:val="Normal5"/>
      </w:pPr>
      <w:r>
        <w:t xml:space="preserve">Program obuhvaća izvršavanje kazne zatvora i mjera pritvora i odgojne mjere, provedbu propisa u odnosu na smještaj, prehranu, rublje, odjeću, posteljinu, liječenje, rad, izobrazbu i slobodne aktivnosti zatvorenika i maloljetnika te ostale djelatnosti vezane za redovno funkcioniranje zatvorskog sustava, provedbu propisa u odnosu na službene odore, opremu i službene isprave, provođenje preventivnih zdravstvenih pregleda i cijepljenja, izvršavanje sudskih presuda prema osuđenima na rad za opće dobro na slobodi uvjetnu osudu sa zaštitnim nadzorom. U cilju daljnjeg unapređenja zatvorskog sustava reformske mjere su bile fokusirane na jačanje zakonodavnog i institucionalnog okvira, edukaciju zatvorskog osoblja radi podizanja razine stručnosti i sigurnosti zatvorskog sustava, izobrazbu zatvorenika i posebne programe, cjelovitu implementaciju zatvorskog informatizacijskog sustava te izgradnju objekata za smještaj zatvorenika. </w:t>
      </w:r>
    </w:p>
    <w:p w:rsidR="00D849AA" w:rsidRDefault="00EE6D95">
      <w:pPr>
        <w:pStyle w:val="Normal5"/>
      </w:pPr>
      <w:r>
        <w:t>Zakonom o probaciji, kao novina u području izvršenja kaznenih sankcija, uspostavljen je probacijski sustav. Cilj ovog sustava je osuvremenjivanje kaznenopravnog sustava u Republici Hrvatskoj i smanjenje prenapučenosti ustanova za izvršenje kazni zatvora. U Ministarstvu pravosuđa osnovana je posebna ustrojstvena jedinica za probaciju, a u njenom sastavu sastavu djeluje i 12 probacijskih ureda u većim hrvatskim gradovima. Ovo područje reformi, pored učinkovitosti pravosuđa, zahtijeva najveća kapitalna ulaganja koja Republika Hrvatska poduzima u skladu s mogućnostima i prioritetima.</w:t>
      </w:r>
    </w:p>
    <w:p w:rsidR="00D849AA" w:rsidRDefault="00EE6D95">
      <w:pPr>
        <w:pStyle w:val="Naslov6"/>
      </w:pPr>
      <w:r>
        <w:t>Zakonske i druge pravne osnove</w:t>
      </w:r>
    </w:p>
    <w:p w:rsidR="00D849AA" w:rsidRDefault="00EE6D95">
      <w:pPr>
        <w:pStyle w:val="Normal5"/>
      </w:pPr>
      <w:r>
        <w:t>Zakon o izvršavanju kazne zatvora (Pročišćeni tekst – „Narodne novine“ broj 128/99, 55/00, 59/00, 129/00, 59/01, 67/01, 11/02, 190/03, 76/07, 27/08, 83/09, 18/11, 48/11, 125/11 i 56/13), Zakon o izvršavanju sankcija izrečenih maloljetnicima za kaznena djela i prekršaje („Narodne novine“ broj 153/09 i 133/12), Zakon o kaznenom postupku („Narodne novine“ broj 152/08, 76/09, 80/11, 121/11, 91/12, 143/12 i 56/13), Pravilnik o standardima smještaja i prehrane zatvorenika („Narodne novine“ broj 92/02) i Pravilnik o rublju, odjeći, obući i posteljini za zatvorenike („Narodne novine“ broj 61/02) i Pravilnik o kućnom redu u zatvorima za izvršavanje pritvora („Narodne novine“ broj 135/99 i 141/09).</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 xml:space="preserve">Cilj 1. Podizanje razine životnih uvjeta i zaštite ljudskog dostojanstva zatvorenika i maloljetnika na izvršavanju kazne zatvora, mjere pritvora i odgojne mjere. </w:t>
      </w:r>
    </w:p>
    <w:p w:rsidR="00D849AA" w:rsidRDefault="00EE6D95">
      <w:pPr>
        <w:pStyle w:val="Normal6"/>
      </w:pPr>
      <w:r>
        <w:t>Navedeni cilj će se provesti podizanjem uspješnosti provedbe pojedinačnih programa izvršavanja kazne zatvora, Odgojne mjere pritvora u odnosu na zatvorenike, pritvorenike i maloljetnike.</w:t>
      </w:r>
    </w:p>
    <w:p w:rsidR="00D849AA" w:rsidRDefault="00EE6D95">
      <w:pPr>
        <w:pStyle w:val="Naslov5"/>
      </w:pPr>
      <w:r>
        <w:lastRenderedPageBreak/>
        <w:t>Procjena i ishodište potrebnih sredstava za značajnije aktivnosti/projekte</w:t>
      </w:r>
    </w:p>
    <w:p w:rsidR="00D849AA" w:rsidRDefault="00EE6D95">
      <w:pPr>
        <w:pStyle w:val="Naslov6"/>
      </w:pPr>
      <w:r>
        <w:t>A630000 IZVRŠAVANJE KAZNE ZATVORA, MJERE PRITVORA I ODGOJNE MJERE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A630000</w:t>
            </w:r>
          </w:p>
        </w:tc>
        <w:tc>
          <w:tcPr>
            <w:tcW w:w="1486" w:type="dxa"/>
          </w:tcPr>
          <w:p w:rsidR="00D849AA" w:rsidRDefault="00EE6D95">
            <w:r>
              <w:t>453.962.565</w:t>
            </w:r>
          </w:p>
        </w:tc>
        <w:tc>
          <w:tcPr>
            <w:tcW w:w="1486" w:type="dxa"/>
          </w:tcPr>
          <w:p w:rsidR="00D849AA" w:rsidRDefault="00EE6D95">
            <w:r>
              <w:t>485.916.800</w:t>
            </w:r>
          </w:p>
        </w:tc>
        <w:tc>
          <w:tcPr>
            <w:tcW w:w="1486" w:type="dxa"/>
          </w:tcPr>
          <w:p w:rsidR="00D849AA" w:rsidRDefault="00EE6D95">
            <w:r>
              <w:t>488.426.070</w:t>
            </w:r>
          </w:p>
        </w:tc>
        <w:tc>
          <w:tcPr>
            <w:tcW w:w="1486" w:type="dxa"/>
          </w:tcPr>
          <w:p w:rsidR="00D849AA" w:rsidRDefault="00EE6D95">
            <w:r>
              <w:t>494.283.810</w:t>
            </w:r>
          </w:p>
        </w:tc>
        <w:tc>
          <w:tcPr>
            <w:tcW w:w="1486" w:type="dxa"/>
          </w:tcPr>
          <w:p w:rsidR="00D849AA" w:rsidRDefault="00EE6D95">
            <w:r>
              <w:t>107,0</w:t>
            </w:r>
          </w:p>
        </w:tc>
      </w:tr>
    </w:tbl>
    <w:p w:rsidR="00D849AA" w:rsidRDefault="00D849AA">
      <w:pPr>
        <w:jc w:val="left"/>
      </w:pPr>
    </w:p>
    <w:p w:rsidR="00D849AA" w:rsidRDefault="00EE6D95">
      <w:pPr>
        <w:pStyle w:val="Normal6"/>
      </w:pPr>
      <w:r>
        <w:t>Izvršavanje kazne zatvora i mjera pritvora i odgojne mjere, provedba propisa u odnosu na smještaj, prehranu, rublje, odjeću, posteljinu, liječenje, rad, izobrazbu i slobodne aktivnosti zatvorenika i maloljetnika, te ostale djelatnosti vezane za redovno funkcioniranje zatvorskog sustava, provedba propisa u odnosu na službene odore, opremu i službene isprave, provođenje preventivnih zdravstvenih pregleda i cijepljenja, rad komisije u kaznionicama i zatvorima radi uvjetnog otpusta zatvorenika s izdržavanja kazne prije njezina isteka, izvršavanje sudskih presuda prema osuđenima na rad za opće dobro na slobodi i uvjetnu osudu sa zaštitnim nadzorom.</w:t>
      </w:r>
    </w:p>
    <w:p w:rsidR="00D849AA" w:rsidRDefault="00EE6D95">
      <w:pPr>
        <w:pStyle w:val="Naslov6"/>
      </w:pPr>
      <w:r>
        <w:t>A630012 CENTAR ZA IZOBRAZBU ZAPOSLENIKA U ZATVORSKOM SUSTAVU</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A630012</w:t>
            </w:r>
          </w:p>
        </w:tc>
        <w:tc>
          <w:tcPr>
            <w:tcW w:w="1486" w:type="dxa"/>
          </w:tcPr>
          <w:p w:rsidR="00D849AA" w:rsidRDefault="00EE6D95">
            <w:r>
              <w:t>550.480</w:t>
            </w:r>
          </w:p>
        </w:tc>
        <w:tc>
          <w:tcPr>
            <w:tcW w:w="1486" w:type="dxa"/>
          </w:tcPr>
          <w:p w:rsidR="00D849AA" w:rsidRDefault="00EE6D95">
            <w:r>
              <w:t>263.100</w:t>
            </w:r>
          </w:p>
        </w:tc>
        <w:tc>
          <w:tcPr>
            <w:tcW w:w="1486" w:type="dxa"/>
          </w:tcPr>
          <w:p w:rsidR="00D849AA" w:rsidRDefault="00EE6D95">
            <w:r>
              <w:t>284.200</w:t>
            </w:r>
          </w:p>
        </w:tc>
        <w:tc>
          <w:tcPr>
            <w:tcW w:w="1486" w:type="dxa"/>
          </w:tcPr>
          <w:p w:rsidR="00D849AA" w:rsidRDefault="00EE6D95">
            <w:r>
              <w:t>294.700</w:t>
            </w:r>
          </w:p>
        </w:tc>
        <w:tc>
          <w:tcPr>
            <w:tcW w:w="1486" w:type="dxa"/>
          </w:tcPr>
          <w:p w:rsidR="00D849AA" w:rsidRDefault="00EE6D95">
            <w:r>
              <w:t>47,8</w:t>
            </w:r>
          </w:p>
        </w:tc>
      </w:tr>
    </w:tbl>
    <w:p w:rsidR="00D849AA" w:rsidRDefault="00D849AA">
      <w:pPr>
        <w:jc w:val="left"/>
      </w:pPr>
    </w:p>
    <w:p w:rsidR="00D849AA" w:rsidRDefault="00EE6D95">
      <w:pPr>
        <w:pStyle w:val="Normal6"/>
      </w:pPr>
      <w:r>
        <w:t>Kroz aktivnost se provode uvodni tečajevi za novoprimljene službenike, temeljni tečajevi službenika pravosudne policije i dopunski tečajevi za sve ovlaštene službene osobe radi stjecanja dodatnih specijalističkih znanja. Provođenjem izobrazbe utječe se na jačanje zaštite ljudskih prava, suzbijanje korupcije i organiziranog kriminaliteta te unapređenje sposobnosti i poboljšanje kvalitete javnih službi i uprave.</w:t>
      </w:r>
    </w:p>
    <w:p w:rsidR="00D849AA" w:rsidRDefault="00EE6D95">
      <w:pPr>
        <w:pStyle w:val="Naslov2"/>
      </w:pPr>
      <w:r>
        <w:t>11015 Vrhovni sud Republike Hrvatske</w:t>
      </w:r>
    </w:p>
    <w:p w:rsidR="00D849AA" w:rsidRDefault="00EE6D95">
      <w:pPr>
        <w:pStyle w:val="Naslov4"/>
      </w:pPr>
      <w:r>
        <w:t>Uvod</w:t>
      </w:r>
    </w:p>
    <w:p w:rsidR="00D849AA" w:rsidRDefault="00EE6D95">
      <w:pPr>
        <w:pStyle w:val="Normal3"/>
      </w:pPr>
      <w:r>
        <w:t>Sudbenu vlast u Republici Hrvatskoj obavljaju sudovi samostalno i neovisno. Sudovi sude na temelju Ustava i Zakona, međunarodnih ugovora i drugih važećih izvora prava. Najviši sud u Republici Hrvatskoj je Vrhovni sud Republike Hrvatske koji ima Ustavom i zakonom određenu dužnost: osigurava jedinstvenu primjenu prava i ravnopravnost svih u njegovoj primjeni, odlučuje o izvanrednim pravnim lijekovima protiv pravomoćnih odluka sudova u Republici Hrvatskoj i o redovnim pravnim lijekovima kad je to propisano posebnim zakonom, rješava o sukobu nadležnosti kad je to propisano posebnim zakonom, razmatra aktualna pitanja sudske prakse, analizira potrebe za stručnim usavršavanjem sudaca, savjetnika i sudskih vježbenika. Kao redovni sud Vrhovni sud Republike Hrvatske kao najviše tijelo sudske uprave nadzire rad nižih sudova u Republici Hrvatskoj.</w:t>
      </w:r>
    </w:p>
    <w:p w:rsidR="00AE2853" w:rsidRDefault="00AE2853">
      <w:pPr>
        <w:pStyle w:val="Normal3"/>
      </w:pPr>
    </w:p>
    <w:p w:rsidR="00AE2853" w:rsidRDefault="00AE2853">
      <w:pPr>
        <w:pStyle w:val="Normal3"/>
      </w:pP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11015</w:t>
            </w:r>
          </w:p>
        </w:tc>
        <w:tc>
          <w:tcPr>
            <w:tcW w:w="1486" w:type="dxa"/>
          </w:tcPr>
          <w:p w:rsidR="00D849AA" w:rsidRDefault="00EE6D95">
            <w:r>
              <w:t>28.871.000</w:t>
            </w:r>
          </w:p>
        </w:tc>
        <w:tc>
          <w:tcPr>
            <w:tcW w:w="1486" w:type="dxa"/>
          </w:tcPr>
          <w:p w:rsidR="00D849AA" w:rsidRDefault="00EE6D95">
            <w:r>
              <w:t>28.816.000</w:t>
            </w:r>
          </w:p>
        </w:tc>
        <w:tc>
          <w:tcPr>
            <w:tcW w:w="1486" w:type="dxa"/>
          </w:tcPr>
          <w:p w:rsidR="00D849AA" w:rsidRDefault="00EE6D95">
            <w:r>
              <w:t>30.219.000</w:t>
            </w:r>
          </w:p>
        </w:tc>
        <w:tc>
          <w:tcPr>
            <w:tcW w:w="1486" w:type="dxa"/>
          </w:tcPr>
          <w:p w:rsidR="00D849AA" w:rsidRDefault="00EE6D95">
            <w:r>
              <w:t>30.304.000</w:t>
            </w:r>
          </w:p>
        </w:tc>
        <w:tc>
          <w:tcPr>
            <w:tcW w:w="1486" w:type="dxa"/>
          </w:tcPr>
          <w:p w:rsidR="00D849AA" w:rsidRDefault="00EE6D95">
            <w:r>
              <w:t>99,8</w:t>
            </w:r>
          </w:p>
        </w:tc>
      </w:tr>
    </w:tbl>
    <w:p w:rsidR="00D849AA" w:rsidRDefault="00D849AA">
      <w:pPr>
        <w:jc w:val="left"/>
      </w:pPr>
    </w:p>
    <w:p w:rsidR="00D849AA" w:rsidRDefault="00EE6D95">
      <w:pPr>
        <w:pStyle w:val="Naslov4"/>
      </w:pPr>
      <w:r>
        <w:t>OBRAZLOŽENJE PROGRAMA</w:t>
      </w:r>
    </w:p>
    <w:p w:rsidR="00D849AA" w:rsidRDefault="00EE6D95">
      <w:pPr>
        <w:pStyle w:val="Naslov5"/>
      </w:pPr>
      <w:r>
        <w:t>2803 VOĐENJE SUDSKIH POSTUPAKA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2803</w:t>
            </w:r>
          </w:p>
        </w:tc>
        <w:tc>
          <w:tcPr>
            <w:tcW w:w="1486" w:type="dxa"/>
          </w:tcPr>
          <w:p w:rsidR="00D849AA" w:rsidRDefault="00EE6D95">
            <w:r>
              <w:t>28.871.000</w:t>
            </w:r>
          </w:p>
        </w:tc>
        <w:tc>
          <w:tcPr>
            <w:tcW w:w="1486" w:type="dxa"/>
          </w:tcPr>
          <w:p w:rsidR="00D849AA" w:rsidRDefault="00EE6D95">
            <w:r>
              <w:t>28.816.000</w:t>
            </w:r>
          </w:p>
        </w:tc>
        <w:tc>
          <w:tcPr>
            <w:tcW w:w="1486" w:type="dxa"/>
          </w:tcPr>
          <w:p w:rsidR="00D849AA" w:rsidRDefault="00EE6D95">
            <w:r>
              <w:t>30.219.000</w:t>
            </w:r>
          </w:p>
        </w:tc>
        <w:tc>
          <w:tcPr>
            <w:tcW w:w="1486" w:type="dxa"/>
          </w:tcPr>
          <w:p w:rsidR="00D849AA" w:rsidRDefault="00EE6D95">
            <w:r>
              <w:t>30.304.000</w:t>
            </w:r>
          </w:p>
        </w:tc>
        <w:tc>
          <w:tcPr>
            <w:tcW w:w="1486" w:type="dxa"/>
          </w:tcPr>
          <w:p w:rsidR="00D849AA" w:rsidRDefault="00EE6D95">
            <w:r>
              <w:t>99,8</w:t>
            </w:r>
          </w:p>
        </w:tc>
      </w:tr>
    </w:tbl>
    <w:p w:rsidR="00D849AA" w:rsidRDefault="00D849AA">
      <w:pPr>
        <w:jc w:val="left"/>
      </w:pPr>
    </w:p>
    <w:p w:rsidR="00D849AA" w:rsidRDefault="00EE6D95">
      <w:pPr>
        <w:pStyle w:val="Naslov6"/>
      </w:pPr>
      <w:r>
        <w:t>Opis programa</w:t>
      </w:r>
    </w:p>
    <w:p w:rsidR="00D849AA" w:rsidRDefault="00EE6D95">
      <w:pPr>
        <w:pStyle w:val="Normal5"/>
      </w:pPr>
      <w:r>
        <w:t>Prema Ustavu Republike Hrvatske nositelji sudbene vlasti su sudovi. U okviru svojih ustavnih zadaća i Zakonom o sudovima utvrđenih nadležnosti u Republici Hrvatskoj sudske postupke vode slijedeći sudovi: Vrhovni sud RH, Visoki trgovački sud RH, Visoki prekršajni sud RH, Visoki upravni sud RH, upravni sudovi, županijski sudovi, trgovački sudovi, općinski sudovi i prekršajni sudovi. U Državnom proračunu Republike Hrvatske „Program vođenje sudskih postupaka“obuhvaća vođenje sudskih postupaka iz nadležnosti Vrhovnog suda Republike Hrvatske, Visokog trgovačkog suda RH, Visokog upravnog suda Republike Hrvatske, Visokog prekršajnog suda Republike Hrvatske, županijskih sudova, upravnih sudova, trgovačkih sudova, općinskih sudova i prekršajnih sudova.</w:t>
      </w:r>
    </w:p>
    <w:p w:rsidR="00D849AA" w:rsidRDefault="00EE6D95">
      <w:pPr>
        <w:pStyle w:val="Naslov6"/>
      </w:pPr>
      <w:r>
        <w:t>Zakonske i druge pravne osnove</w:t>
      </w:r>
    </w:p>
    <w:p w:rsidR="00D849AA" w:rsidRDefault="00EE6D95">
      <w:pPr>
        <w:pStyle w:val="Normal5"/>
      </w:pPr>
      <w:r>
        <w:t>Zakon o sudovima („Narodne novine“, broj 150/05, 16/07, 113/08, 153/09 i 116/10, 122/10, 27/11, 130/11 i 28/13) i Zakon o područjima i sjedištima sudova („Narodne novine“, broj 3/94, 104/97, 59/01, 121/05, 85/08, 144/10 i 84/11).</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 xml:space="preserve">Cilj 1. Jedinstvena primjena zakona i ravnopravnost građana te jednakost svih pred zakonom. </w:t>
      </w:r>
    </w:p>
    <w:p w:rsidR="00D849AA" w:rsidRDefault="00EE6D95">
      <w:pPr>
        <w:pStyle w:val="Normal6"/>
      </w:pPr>
      <w:r>
        <w:t>Osigurati jedinstvenu primjenu zakona i ravnopravnost građana te jednakost svih pred zakonom.</w:t>
      </w:r>
    </w:p>
    <w:p w:rsidR="00D849AA" w:rsidRDefault="00EE6D95">
      <w:pPr>
        <w:pStyle w:val="Naslov5"/>
      </w:pPr>
      <w:r>
        <w:t>Procjena i ishodište potrebnih sredstava za značajnije aktivnosti/projekte</w:t>
      </w:r>
    </w:p>
    <w:p w:rsidR="00D849AA" w:rsidRDefault="00EE6D95">
      <w:pPr>
        <w:pStyle w:val="Naslov6"/>
      </w:pPr>
      <w:r>
        <w:t>A631000 VOĐENJE SUDSKIH POSTUPAKA IZ NADLEŽNOSTI VRHOVNOG SUDA RH</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A631000</w:t>
            </w:r>
          </w:p>
        </w:tc>
        <w:tc>
          <w:tcPr>
            <w:tcW w:w="1486" w:type="dxa"/>
          </w:tcPr>
          <w:p w:rsidR="00D849AA" w:rsidRDefault="00EE6D95">
            <w:r>
              <w:t>28.381.000</w:t>
            </w:r>
          </w:p>
        </w:tc>
        <w:tc>
          <w:tcPr>
            <w:tcW w:w="1486" w:type="dxa"/>
          </w:tcPr>
          <w:p w:rsidR="00D849AA" w:rsidRDefault="00EE6D95">
            <w:r>
              <w:t>28.198.000</w:t>
            </w:r>
          </w:p>
        </w:tc>
        <w:tc>
          <w:tcPr>
            <w:tcW w:w="1486" w:type="dxa"/>
          </w:tcPr>
          <w:p w:rsidR="00D849AA" w:rsidRDefault="00EE6D95">
            <w:r>
              <w:t>29.601.000</w:t>
            </w:r>
          </w:p>
        </w:tc>
        <w:tc>
          <w:tcPr>
            <w:tcW w:w="1486" w:type="dxa"/>
          </w:tcPr>
          <w:p w:rsidR="00D849AA" w:rsidRDefault="00EE6D95">
            <w:r>
              <w:t>29.684.000</w:t>
            </w:r>
          </w:p>
        </w:tc>
        <w:tc>
          <w:tcPr>
            <w:tcW w:w="1486" w:type="dxa"/>
          </w:tcPr>
          <w:p w:rsidR="00D849AA" w:rsidRDefault="00EE6D95">
            <w:r>
              <w:t>99,4</w:t>
            </w:r>
          </w:p>
        </w:tc>
      </w:tr>
    </w:tbl>
    <w:p w:rsidR="00D849AA" w:rsidRDefault="00D849AA">
      <w:pPr>
        <w:jc w:val="left"/>
      </w:pPr>
    </w:p>
    <w:p w:rsidR="00D849AA" w:rsidRDefault="00EE6D95">
      <w:pPr>
        <w:pStyle w:val="Normal6"/>
      </w:pPr>
      <w:r>
        <w:t xml:space="preserve">Vrhovni sud Republike Hrvatske štiti Ustavom i zakonom utvrđeni pravni poredak iosigurava jedinstvenu primjenu zakona, ravnopravnost svih pred zakonom što se provodi kroz vođenje sudskih postupaka i donošenje sudskih odluka iz područja građanskog, trgovačkog i upravnog prava te kaznenog i prekršajnog prava kao i razmatranje aktualnih pitanja sudske prakse i utvrđivanje općih pravnih stajališta. Posebni cilj sudaca Vrhovnog suda Republike Hrvatske i sudskih savjetnika i sudskih službenika je povećati ažurnost u radu i smanjiti broj neriješenih sudskih predmeta rješavanjem svake godine određenog broja sudskih predmeta propisanog Okvirnim mjerilima za rad sudova te posebno predmeta starijih od 10 godina. </w:t>
      </w:r>
    </w:p>
    <w:p w:rsidR="00D849AA" w:rsidRDefault="00EE6D95">
      <w:pPr>
        <w:pStyle w:val="Normal6"/>
      </w:pPr>
      <w:r>
        <w:t>Posebni cilj je Vrhovnog suda Republike Hrvatske je i utvrditi opća pravna stajališta u aktualnim sudskih predmetima iz aktualnih društvenih odnosa i što prije učiniti ih dostupnim nižim sudovima.</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 xml:space="preserve">Smanjenje zaostataka </w:t>
            </w:r>
          </w:p>
          <w:p w:rsidR="00D849AA" w:rsidRDefault="00EE6D95">
            <w:pPr>
              <w:pStyle w:val="CellColumn"/>
            </w:pPr>
            <w:r>
              <w:t>neriješenih predmeta</w:t>
            </w:r>
          </w:p>
        </w:tc>
        <w:tc>
          <w:tcPr>
            <w:tcW w:w="1114" w:type="dxa"/>
          </w:tcPr>
          <w:p w:rsidR="00D849AA" w:rsidRDefault="00EE6D95">
            <w:r>
              <w:t>broj</w:t>
            </w:r>
          </w:p>
        </w:tc>
        <w:tc>
          <w:tcPr>
            <w:tcW w:w="1114" w:type="dxa"/>
          </w:tcPr>
          <w:p w:rsidR="00D849AA" w:rsidRDefault="00EE6D95">
            <w:r>
              <w:t>13034</w:t>
            </w:r>
          </w:p>
        </w:tc>
        <w:tc>
          <w:tcPr>
            <w:tcW w:w="1486" w:type="dxa"/>
          </w:tcPr>
          <w:p w:rsidR="00D849AA" w:rsidRDefault="00EE6D95">
            <w:r>
              <w:t>12000</w:t>
            </w:r>
          </w:p>
        </w:tc>
        <w:tc>
          <w:tcPr>
            <w:tcW w:w="1486" w:type="dxa"/>
          </w:tcPr>
          <w:p w:rsidR="00D849AA" w:rsidRDefault="00EE6D95">
            <w:r>
              <w:t>11000</w:t>
            </w:r>
          </w:p>
        </w:tc>
        <w:tc>
          <w:tcPr>
            <w:tcW w:w="1486" w:type="dxa"/>
          </w:tcPr>
          <w:p w:rsidR="00D849AA" w:rsidRDefault="00EE6D95">
            <w:r>
              <w:t>10000</w:t>
            </w:r>
          </w:p>
        </w:tc>
      </w:tr>
    </w:tbl>
    <w:p w:rsidR="00D849AA" w:rsidRDefault="00D849AA">
      <w:pPr>
        <w:jc w:val="left"/>
      </w:pPr>
    </w:p>
    <w:p w:rsidR="00D849AA" w:rsidRDefault="00EE6D95">
      <w:pPr>
        <w:pStyle w:val="Naslov6"/>
      </w:pPr>
      <w:r>
        <w:t>A631001 MEĐUNARODNA SURADNJA VRHOVNOG SUDA RH</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A631001</w:t>
            </w:r>
          </w:p>
        </w:tc>
        <w:tc>
          <w:tcPr>
            <w:tcW w:w="1486" w:type="dxa"/>
          </w:tcPr>
          <w:p w:rsidR="00D849AA" w:rsidRDefault="00EE6D95">
            <w:r>
              <w:t>75.000</w:t>
            </w:r>
          </w:p>
        </w:tc>
        <w:tc>
          <w:tcPr>
            <w:tcW w:w="1486" w:type="dxa"/>
          </w:tcPr>
          <w:p w:rsidR="00D849AA" w:rsidRDefault="00EE6D95">
            <w:r>
              <w:t>125.000</w:t>
            </w:r>
          </w:p>
        </w:tc>
        <w:tc>
          <w:tcPr>
            <w:tcW w:w="1486" w:type="dxa"/>
          </w:tcPr>
          <w:p w:rsidR="00D849AA" w:rsidRDefault="00EE6D95">
            <w:r>
              <w:t>125.000</w:t>
            </w:r>
          </w:p>
        </w:tc>
        <w:tc>
          <w:tcPr>
            <w:tcW w:w="1486" w:type="dxa"/>
          </w:tcPr>
          <w:p w:rsidR="00D849AA" w:rsidRDefault="00EE6D95">
            <w:r>
              <w:t>125.000</w:t>
            </w:r>
          </w:p>
        </w:tc>
        <w:tc>
          <w:tcPr>
            <w:tcW w:w="1486" w:type="dxa"/>
          </w:tcPr>
          <w:p w:rsidR="00D849AA" w:rsidRDefault="00EE6D95">
            <w:r>
              <w:t>166,7</w:t>
            </w:r>
          </w:p>
        </w:tc>
      </w:tr>
    </w:tbl>
    <w:p w:rsidR="00D849AA" w:rsidRDefault="00D849AA">
      <w:pPr>
        <w:jc w:val="left"/>
      </w:pPr>
    </w:p>
    <w:p w:rsidR="00D849AA" w:rsidRDefault="00EE6D95">
      <w:pPr>
        <w:pStyle w:val="Normal6"/>
      </w:pPr>
      <w:r>
        <w:t>Razmjena iskustva u organizaciji, djelovanju i učinkovitosti sudbene vlasti i rada sudova u Republici Hrvatskoj provodi se kroz međudržavnu i međunarodnu suradnju predsjednika i sudaca Vrhovnog suda Republike Hrvatske s drugim najvišim sudovima u Europskoj uniji i izvan EU u drugim državama.</w:t>
      </w:r>
    </w:p>
    <w:p w:rsidR="00D849AA" w:rsidRDefault="00EE6D95">
      <w:pPr>
        <w:pStyle w:val="Naslov6"/>
      </w:pPr>
      <w:r>
        <w:t>A631012 INFORMATIZACIJA I ODRŽAVANJE INFORMACIJSKOG SUSTAVA VRHOVNOG SUDA RH</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A631012</w:t>
            </w:r>
          </w:p>
        </w:tc>
        <w:tc>
          <w:tcPr>
            <w:tcW w:w="1486" w:type="dxa"/>
          </w:tcPr>
          <w:p w:rsidR="00D849AA" w:rsidRDefault="00EE6D95">
            <w:r>
              <w:t>415.000</w:t>
            </w:r>
          </w:p>
        </w:tc>
        <w:tc>
          <w:tcPr>
            <w:tcW w:w="1486" w:type="dxa"/>
          </w:tcPr>
          <w:p w:rsidR="00D849AA" w:rsidRDefault="00EE6D95">
            <w:r>
              <w:t>493.000</w:t>
            </w:r>
          </w:p>
        </w:tc>
        <w:tc>
          <w:tcPr>
            <w:tcW w:w="1486" w:type="dxa"/>
          </w:tcPr>
          <w:p w:rsidR="00D849AA" w:rsidRDefault="00EE6D95">
            <w:r>
              <w:t>493.000</w:t>
            </w:r>
          </w:p>
        </w:tc>
        <w:tc>
          <w:tcPr>
            <w:tcW w:w="1486" w:type="dxa"/>
          </w:tcPr>
          <w:p w:rsidR="00D849AA" w:rsidRDefault="00EE6D95">
            <w:r>
              <w:t>495.000</w:t>
            </w:r>
          </w:p>
        </w:tc>
        <w:tc>
          <w:tcPr>
            <w:tcW w:w="1486" w:type="dxa"/>
          </w:tcPr>
          <w:p w:rsidR="00D849AA" w:rsidRDefault="00EE6D95">
            <w:r>
              <w:t>118,8</w:t>
            </w:r>
          </w:p>
        </w:tc>
      </w:tr>
    </w:tbl>
    <w:p w:rsidR="00D849AA" w:rsidRDefault="00D849AA">
      <w:pPr>
        <w:jc w:val="left"/>
      </w:pPr>
    </w:p>
    <w:p w:rsidR="00D849AA" w:rsidRDefault="00EE6D95">
      <w:pPr>
        <w:pStyle w:val="Normal6"/>
      </w:pPr>
      <w:r>
        <w:t>Aktivnost obuhvaća održavanje  informacijskog sustava objavljivanja sudskih odluka i sudske prakse (baze podataka sudskih odluka), unos tekućih podataka u bazu i anonimizaciju podataka, stručnu obuku djelatnika, redizajniranje Web stranice Vrhovnog suda na Internetu: aplikacija "javni web" i uvođenje , razvoj i održavanje informacijskog sustava:  aplikacija za statističko praćenje  ("Ustroj i kadrovi") i evidenciju predmeta "Uskok" i "Ratni zločin" i "Razumni rok".</w:t>
      </w:r>
    </w:p>
    <w:p w:rsidR="00D849AA" w:rsidRDefault="00EE6D95">
      <w:pPr>
        <w:pStyle w:val="Naslov2"/>
      </w:pPr>
      <w:r>
        <w:lastRenderedPageBreak/>
        <w:t>11020 Visoki trgovački sud Republike Hrvatske</w:t>
      </w:r>
    </w:p>
    <w:p w:rsidR="00D849AA" w:rsidRDefault="00EE6D95">
      <w:pPr>
        <w:pStyle w:val="Naslov4"/>
      </w:pPr>
      <w:r>
        <w:t>Uvod</w:t>
      </w:r>
    </w:p>
    <w:p w:rsidR="00D849AA" w:rsidRDefault="00EE6D95">
      <w:pPr>
        <w:pStyle w:val="Normal3"/>
      </w:pPr>
      <w:r>
        <w:t>Ustroj, djelokrug i nadležnost Visokog trgovačkog suda Republike Hrvatske propisan je Zakonom o sudovima („Narodne novine“ broj 150/05, 16/07, 113/08, 153/09, 116/10, 122/10, 27/11, 130/11 i 28/13) te odredbama drugih propisa, a ustanovljen je za područje Republike Hrvatske sa sjedištem u Zagrebu. Visoki trgovački sud Republike Hrvatske odlučuje o žalbama protiv odluka trgovačkih sudova donesenih u prvom stupnju, o sukobu mjesne nadležnosti između trgovačkih sudova i obavlja druge poslove određene Zakonom.</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11020</w:t>
            </w:r>
          </w:p>
        </w:tc>
        <w:tc>
          <w:tcPr>
            <w:tcW w:w="1486" w:type="dxa"/>
          </w:tcPr>
          <w:p w:rsidR="00D849AA" w:rsidRDefault="00EE6D95">
            <w:r>
              <w:t>19.838.800</w:t>
            </w:r>
          </w:p>
        </w:tc>
        <w:tc>
          <w:tcPr>
            <w:tcW w:w="1486" w:type="dxa"/>
          </w:tcPr>
          <w:p w:rsidR="00D849AA" w:rsidRDefault="00EE6D95">
            <w:r>
              <w:t>19.922.300</w:t>
            </w:r>
          </w:p>
        </w:tc>
        <w:tc>
          <w:tcPr>
            <w:tcW w:w="1486" w:type="dxa"/>
          </w:tcPr>
          <w:p w:rsidR="00D849AA" w:rsidRDefault="00EE6D95">
            <w:r>
              <w:t>20.317.100</w:t>
            </w:r>
          </w:p>
        </w:tc>
        <w:tc>
          <w:tcPr>
            <w:tcW w:w="1486" w:type="dxa"/>
          </w:tcPr>
          <w:p w:rsidR="00D849AA" w:rsidRDefault="00EE6D95">
            <w:r>
              <w:t>20.695.100</w:t>
            </w:r>
          </w:p>
        </w:tc>
        <w:tc>
          <w:tcPr>
            <w:tcW w:w="1486" w:type="dxa"/>
          </w:tcPr>
          <w:p w:rsidR="00D849AA" w:rsidRDefault="00EE6D95">
            <w:r>
              <w:t>100,4</w:t>
            </w:r>
          </w:p>
        </w:tc>
      </w:tr>
    </w:tbl>
    <w:p w:rsidR="00D849AA" w:rsidRDefault="00D849AA">
      <w:pPr>
        <w:jc w:val="left"/>
      </w:pPr>
    </w:p>
    <w:p w:rsidR="00D849AA" w:rsidRDefault="00EE6D95">
      <w:pPr>
        <w:pStyle w:val="Naslov4"/>
      </w:pPr>
      <w:r>
        <w:t>OBRAZLOŽENJE PROGRAMA</w:t>
      </w:r>
    </w:p>
    <w:p w:rsidR="00D849AA" w:rsidRDefault="00EE6D95">
      <w:pPr>
        <w:pStyle w:val="Naslov5"/>
      </w:pPr>
      <w:r>
        <w:t>2803 VOĐENJE SUDSKIH POSTUPAKA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2803</w:t>
            </w:r>
          </w:p>
        </w:tc>
        <w:tc>
          <w:tcPr>
            <w:tcW w:w="1486" w:type="dxa"/>
          </w:tcPr>
          <w:p w:rsidR="00D849AA" w:rsidRDefault="00EE6D95">
            <w:r>
              <w:t>19.778.800</w:t>
            </w:r>
          </w:p>
        </w:tc>
        <w:tc>
          <w:tcPr>
            <w:tcW w:w="1486" w:type="dxa"/>
          </w:tcPr>
          <w:p w:rsidR="00D849AA" w:rsidRDefault="00EE6D95">
            <w:r>
              <w:t>19.837.300</w:t>
            </w:r>
          </w:p>
        </w:tc>
        <w:tc>
          <w:tcPr>
            <w:tcW w:w="1486" w:type="dxa"/>
          </w:tcPr>
          <w:p w:rsidR="00D849AA" w:rsidRDefault="00EE6D95">
            <w:r>
              <w:t>20.187.100</w:t>
            </w:r>
          </w:p>
        </w:tc>
        <w:tc>
          <w:tcPr>
            <w:tcW w:w="1486" w:type="dxa"/>
          </w:tcPr>
          <w:p w:rsidR="00D849AA" w:rsidRDefault="00EE6D95">
            <w:r>
              <w:t>20.565.100</w:t>
            </w:r>
          </w:p>
        </w:tc>
        <w:tc>
          <w:tcPr>
            <w:tcW w:w="1486" w:type="dxa"/>
          </w:tcPr>
          <w:p w:rsidR="00D849AA" w:rsidRDefault="00EE6D95">
            <w:r>
              <w:t>100,3</w:t>
            </w:r>
          </w:p>
        </w:tc>
      </w:tr>
    </w:tbl>
    <w:p w:rsidR="00D849AA" w:rsidRDefault="00D849AA">
      <w:pPr>
        <w:jc w:val="left"/>
      </w:pPr>
    </w:p>
    <w:p w:rsidR="00D849AA" w:rsidRDefault="00EE6D95">
      <w:pPr>
        <w:pStyle w:val="Naslov6"/>
      </w:pPr>
      <w:r>
        <w:t>Opis programa</w:t>
      </w:r>
    </w:p>
    <w:p w:rsidR="00D849AA" w:rsidRDefault="00EE6D95">
      <w:pPr>
        <w:pStyle w:val="Normal5"/>
      </w:pPr>
      <w:r>
        <w:t>Prema Ustavu Republike Hrvatske nositelji sudbene vlasti su sudovi. U okviru svojih ustavnih zadaća i Zakonom o sudovima utvrđenih nadležnosti u Republici Hrvatskoj sudske postupke vode slijedeći sudovi: Vrhovni sud RH, Visoki trgovački sud RH, Visoki upravni sud RH,Visoki prekršajni sud RH, upravni sudovi ,županijski sudovi, trgovački sudovi, općinski sudovi i prekršajni sudovi. U Državnom proračunu Republike Hrvatske „Program vođenje sudskih postupaka“ obuhvaća vođenje sudskih postupaka iz nadležnosti Vrhovnog suda Republike Hrvatske, Visokog trgovačkog suda RH, Visokog upravnog suda Republike Hrvatske, Visokog prekršajnog suda Republike Hrvatske, upravnih sudova, županijskih sudova, trgovačkih sudova, općinskih sudova i prekršajnih sudova.</w:t>
      </w:r>
    </w:p>
    <w:p w:rsidR="00D849AA" w:rsidRDefault="00EE6D95">
      <w:pPr>
        <w:pStyle w:val="Naslov6"/>
      </w:pPr>
      <w:r>
        <w:t>Zakonske i druge pravne osnove</w:t>
      </w:r>
    </w:p>
    <w:p w:rsidR="00D849AA" w:rsidRDefault="00EE6D95">
      <w:pPr>
        <w:pStyle w:val="Normal5"/>
      </w:pPr>
      <w:r>
        <w:t>Zakon o sudovima („Narodne novine“, broj 150/05, 16/07, 113/08, 153/09, 116/10, 122/10, 27/11, 130/11 i 28/13) i Zakon o područjima i sjedištima sudova („Narodne novine“, broj 3/94, 104/97, 59/01, 121/05, 85/08, 144/10 i 84/11).</w:t>
      </w:r>
    </w:p>
    <w:p w:rsidR="00D849AA" w:rsidRDefault="00EE6D95">
      <w:pPr>
        <w:pStyle w:val="Naslov6"/>
      </w:pPr>
      <w:r>
        <w:lastRenderedPageBreak/>
        <w:t>Ciljevi provedbe programa u razdoblju 2014.-2016. i pokazatelji uspješnosti kojima će se mjeriti ostvarenje tih ciljeva</w:t>
      </w:r>
    </w:p>
    <w:p w:rsidR="00D849AA" w:rsidRDefault="00EE6D95">
      <w:pPr>
        <w:pStyle w:val="Naslov7"/>
      </w:pPr>
      <w:r>
        <w:t xml:space="preserve">Cilj 1. Jedinstvena primjena zakona i ravnopravnost građana te jednakost svih pred zakonom </w:t>
      </w:r>
    </w:p>
    <w:p w:rsidR="00D849AA" w:rsidRDefault="00EE6D95">
      <w:pPr>
        <w:pStyle w:val="Normal6"/>
      </w:pPr>
      <w:r>
        <w:t>Osiguranje jedinstvene primjene zakona i ravnopravnost građana te jednakost svih pred zakonom.</w:t>
      </w:r>
    </w:p>
    <w:p w:rsidR="00D849AA" w:rsidRDefault="00EE6D95">
      <w:pPr>
        <w:pStyle w:val="Naslov5"/>
      </w:pPr>
      <w:r>
        <w:t>Procjena i ishodište potrebnih sredstava za značajnije aktivnosti/projekte</w:t>
      </w:r>
    </w:p>
    <w:p w:rsidR="00D849AA" w:rsidRDefault="00EE6D95">
      <w:pPr>
        <w:pStyle w:val="Naslov6"/>
      </w:pPr>
      <w:r>
        <w:t>A632000 VOĐENJE SUDSKIH POSTUPAKA IZ NADLEŽNOSTI VISOKOG TRGOVAČKOG SUDA RH</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A632000</w:t>
            </w:r>
          </w:p>
        </w:tc>
        <w:tc>
          <w:tcPr>
            <w:tcW w:w="1486" w:type="dxa"/>
          </w:tcPr>
          <w:p w:rsidR="00D849AA" w:rsidRDefault="00EE6D95">
            <w:r>
              <w:t>19.778.800</w:t>
            </w:r>
          </w:p>
        </w:tc>
        <w:tc>
          <w:tcPr>
            <w:tcW w:w="1486" w:type="dxa"/>
          </w:tcPr>
          <w:p w:rsidR="00D849AA" w:rsidRDefault="00EE6D95">
            <w:r>
              <w:t>19.837.300</w:t>
            </w:r>
          </w:p>
        </w:tc>
        <w:tc>
          <w:tcPr>
            <w:tcW w:w="1486" w:type="dxa"/>
          </w:tcPr>
          <w:p w:rsidR="00D849AA" w:rsidRDefault="00EE6D95">
            <w:r>
              <w:t>20.187.100</w:t>
            </w:r>
          </w:p>
        </w:tc>
        <w:tc>
          <w:tcPr>
            <w:tcW w:w="1486" w:type="dxa"/>
          </w:tcPr>
          <w:p w:rsidR="00D849AA" w:rsidRDefault="00EE6D95">
            <w:r>
              <w:t>20.565.100</w:t>
            </w:r>
          </w:p>
        </w:tc>
        <w:tc>
          <w:tcPr>
            <w:tcW w:w="1486" w:type="dxa"/>
          </w:tcPr>
          <w:p w:rsidR="00D849AA" w:rsidRDefault="00EE6D95">
            <w:r>
              <w:t>100,3</w:t>
            </w:r>
          </w:p>
        </w:tc>
      </w:tr>
    </w:tbl>
    <w:p w:rsidR="00D849AA" w:rsidRDefault="00D849AA">
      <w:pPr>
        <w:jc w:val="left"/>
      </w:pPr>
    </w:p>
    <w:p w:rsidR="00D849AA" w:rsidRDefault="00EE6D95">
      <w:pPr>
        <w:pStyle w:val="Normal6"/>
      </w:pPr>
      <w:r>
        <w:t>Aktivnošću Vođenje sudskih postupaka iz nadležnosti Visokog trgovačkog suda RH osigurava se redovan rad Visokog trgovačkog suda RH.</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 xml:space="preserve">Smanjenje zaostataka </w:t>
            </w:r>
          </w:p>
          <w:p w:rsidR="00D849AA" w:rsidRDefault="00EE6D95">
            <w:pPr>
              <w:pStyle w:val="CellColumn"/>
            </w:pPr>
            <w:r>
              <w:t>neriješenih predmeta</w:t>
            </w:r>
          </w:p>
        </w:tc>
        <w:tc>
          <w:tcPr>
            <w:tcW w:w="1114" w:type="dxa"/>
          </w:tcPr>
          <w:p w:rsidR="00D849AA" w:rsidRDefault="00EE6D95">
            <w:r>
              <w:t>broj</w:t>
            </w:r>
          </w:p>
        </w:tc>
        <w:tc>
          <w:tcPr>
            <w:tcW w:w="1114" w:type="dxa"/>
          </w:tcPr>
          <w:p w:rsidR="00D849AA" w:rsidRDefault="00EE6D95">
            <w:r>
              <w:t>15906</w:t>
            </w:r>
          </w:p>
        </w:tc>
        <w:tc>
          <w:tcPr>
            <w:tcW w:w="1486" w:type="dxa"/>
          </w:tcPr>
          <w:p w:rsidR="00D849AA" w:rsidRDefault="00EE6D95">
            <w:r>
              <w:t>21000</w:t>
            </w:r>
          </w:p>
        </w:tc>
        <w:tc>
          <w:tcPr>
            <w:tcW w:w="1486" w:type="dxa"/>
          </w:tcPr>
          <w:p w:rsidR="00D849AA" w:rsidRDefault="00EE6D95">
            <w:r>
              <w:t>17000</w:t>
            </w:r>
          </w:p>
        </w:tc>
        <w:tc>
          <w:tcPr>
            <w:tcW w:w="1486" w:type="dxa"/>
          </w:tcPr>
          <w:p w:rsidR="00D849AA" w:rsidRDefault="00EE6D95">
            <w:r>
              <w:t>15000</w:t>
            </w:r>
          </w:p>
        </w:tc>
      </w:tr>
    </w:tbl>
    <w:p w:rsidR="00D849AA" w:rsidRDefault="00D849AA">
      <w:pPr>
        <w:jc w:val="left"/>
      </w:pPr>
    </w:p>
    <w:p w:rsidR="00AE2853" w:rsidRDefault="00AE2853" w:rsidP="00AE2853">
      <w:pPr>
        <w:pStyle w:val="Naslov4"/>
      </w:pPr>
      <w:r>
        <w:t>OBRAZLOŽENJE PROGRAMA</w:t>
      </w:r>
    </w:p>
    <w:p w:rsidR="00D849AA" w:rsidRDefault="00EE6D95">
      <w:pPr>
        <w:pStyle w:val="Naslov5"/>
      </w:pPr>
      <w:r>
        <w:t>2804 EDUKACIJA I INFORMIRANJE U PRAVOSUDNOM SUSTAVU</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2804</w:t>
            </w:r>
          </w:p>
        </w:tc>
        <w:tc>
          <w:tcPr>
            <w:tcW w:w="1486" w:type="dxa"/>
          </w:tcPr>
          <w:p w:rsidR="00D849AA" w:rsidRDefault="00EE6D95">
            <w:r>
              <w:t>60.000</w:t>
            </w:r>
          </w:p>
        </w:tc>
        <w:tc>
          <w:tcPr>
            <w:tcW w:w="1486" w:type="dxa"/>
          </w:tcPr>
          <w:p w:rsidR="00D849AA" w:rsidRDefault="00EE6D95">
            <w:r>
              <w:t>85.000</w:t>
            </w:r>
          </w:p>
        </w:tc>
        <w:tc>
          <w:tcPr>
            <w:tcW w:w="1486" w:type="dxa"/>
          </w:tcPr>
          <w:p w:rsidR="00D849AA" w:rsidRDefault="00EE6D95">
            <w:r>
              <w:t>130.000</w:t>
            </w:r>
          </w:p>
        </w:tc>
        <w:tc>
          <w:tcPr>
            <w:tcW w:w="1486" w:type="dxa"/>
          </w:tcPr>
          <w:p w:rsidR="00D849AA" w:rsidRDefault="00EE6D95">
            <w:r>
              <w:t>130.000</w:t>
            </w:r>
          </w:p>
        </w:tc>
        <w:tc>
          <w:tcPr>
            <w:tcW w:w="1486" w:type="dxa"/>
          </w:tcPr>
          <w:p w:rsidR="00D849AA" w:rsidRDefault="00EE6D95">
            <w:r>
              <w:t>141,7</w:t>
            </w:r>
          </w:p>
        </w:tc>
      </w:tr>
    </w:tbl>
    <w:p w:rsidR="00D849AA" w:rsidRDefault="00D849AA">
      <w:pPr>
        <w:jc w:val="left"/>
      </w:pPr>
    </w:p>
    <w:p w:rsidR="00D849AA" w:rsidRDefault="00EE6D95">
      <w:pPr>
        <w:pStyle w:val="Naslov6"/>
      </w:pPr>
      <w:r>
        <w:t>Opis programa</w:t>
      </w:r>
    </w:p>
    <w:p w:rsidR="00D849AA" w:rsidRDefault="00EE6D95">
      <w:pPr>
        <w:pStyle w:val="Normal5"/>
      </w:pPr>
      <w:r>
        <w:t>Programom se provodi kontinuirana edukacija za suce, državne odvjetnike, sudačke i Državno odvjetničke savjetnike i službenike i namještenike Ministarstva.</w:t>
      </w:r>
    </w:p>
    <w:p w:rsidR="00D849AA" w:rsidRDefault="00EE6D95">
      <w:pPr>
        <w:pStyle w:val="Naslov6"/>
      </w:pPr>
      <w:r>
        <w:t>Zakonske i druge pravne osnove</w:t>
      </w:r>
    </w:p>
    <w:p w:rsidR="00D849AA" w:rsidRDefault="00EE6D95">
      <w:pPr>
        <w:pStyle w:val="Normal5"/>
      </w:pPr>
      <w:r>
        <w:t xml:space="preserve">Zakon o državnim službenicima i namještenicima (NN 92/05, 142/06, 77/07, 107/07, 27/08, 34/11, 49/11, 150/11, 34/12, 49/12, 37/13, 38/13); Zakon o sudovima (NN 150/05, 16/07, 113/08, 153/09, 116/10, 122/10, 27/11, 57/11, 130/11 i 28/13); Zakon o državnom </w:t>
      </w:r>
      <w:r>
        <w:lastRenderedPageBreak/>
        <w:t>odvjetništvu (NN 76/09, 153/09, 116/10, 145/10, 57/11, 130/11 i 72/13); Pravilnik o izobrazbi zaposlenika u kaznionicama i zatvorima Uprave za zatvorski sustav Ministarstva pravosuđa (NN 81/02 i 55/05).</w:t>
      </w:r>
    </w:p>
    <w:p w:rsidR="00D849AA" w:rsidRDefault="00EE6D95">
      <w:pPr>
        <w:pStyle w:val="Naslov5"/>
      </w:pPr>
      <w:r>
        <w:t>Procjena i ishodište potrebnih sredstava za značajnije aktivnosti/projekte</w:t>
      </w:r>
    </w:p>
    <w:p w:rsidR="00D849AA" w:rsidRDefault="00EE6D95">
      <w:pPr>
        <w:pStyle w:val="Naslov6"/>
      </w:pPr>
      <w:r>
        <w:t>A632001 SAVJETOVANJA I SEMINARI IZ NADLEŽNOSTI VISOKOG TRGOVAČKOG SUDA RH</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A632001</w:t>
            </w:r>
          </w:p>
        </w:tc>
        <w:tc>
          <w:tcPr>
            <w:tcW w:w="1486" w:type="dxa"/>
          </w:tcPr>
          <w:p w:rsidR="00D849AA" w:rsidRDefault="00EE6D95">
            <w:r>
              <w:t>60.000</w:t>
            </w:r>
          </w:p>
        </w:tc>
        <w:tc>
          <w:tcPr>
            <w:tcW w:w="1486" w:type="dxa"/>
          </w:tcPr>
          <w:p w:rsidR="00D849AA" w:rsidRDefault="00EE6D95">
            <w:r>
              <w:t>85.000</w:t>
            </w:r>
          </w:p>
        </w:tc>
        <w:tc>
          <w:tcPr>
            <w:tcW w:w="1486" w:type="dxa"/>
          </w:tcPr>
          <w:p w:rsidR="00D849AA" w:rsidRDefault="00EE6D95">
            <w:r>
              <w:t>130.000</w:t>
            </w:r>
          </w:p>
        </w:tc>
        <w:tc>
          <w:tcPr>
            <w:tcW w:w="1486" w:type="dxa"/>
          </w:tcPr>
          <w:p w:rsidR="00D849AA" w:rsidRDefault="00EE6D95">
            <w:r>
              <w:t>130.000</w:t>
            </w:r>
          </w:p>
        </w:tc>
        <w:tc>
          <w:tcPr>
            <w:tcW w:w="1486" w:type="dxa"/>
          </w:tcPr>
          <w:p w:rsidR="00D849AA" w:rsidRDefault="00EE6D95">
            <w:r>
              <w:t>141,7</w:t>
            </w:r>
          </w:p>
        </w:tc>
      </w:tr>
    </w:tbl>
    <w:p w:rsidR="00D849AA" w:rsidRDefault="00D849AA">
      <w:pPr>
        <w:jc w:val="left"/>
      </w:pPr>
    </w:p>
    <w:p w:rsidR="00D849AA" w:rsidRDefault="00EE6D95">
      <w:pPr>
        <w:pStyle w:val="Normal6"/>
      </w:pPr>
      <w:r>
        <w:t>U okviru ove aktivnosti provodi se organizacija savjetovanja i seminara za suce i sudske savjetnike trgovačkih sudova u RH. Aktivnost obuhvaća pripremu radnog materijala, organizaciju okruglih stolova i radionica s različitom tematikom iz djelokruga rada trgovačkih sudova i Visokog trgovačkog suda RH.</w:t>
      </w:r>
    </w:p>
    <w:p w:rsidR="00D849AA" w:rsidRDefault="00EE6D95">
      <w:pPr>
        <w:pStyle w:val="Naslov2"/>
      </w:pPr>
      <w:r>
        <w:t>11025 Visoki upravni sud Republike Hrvatske</w:t>
      </w:r>
    </w:p>
    <w:p w:rsidR="00D849AA" w:rsidRDefault="00EE6D95">
      <w:pPr>
        <w:pStyle w:val="Naslov4"/>
      </w:pPr>
      <w:r>
        <w:t>Uvod</w:t>
      </w:r>
    </w:p>
    <w:p w:rsidR="00D849AA" w:rsidRDefault="00EE6D95">
      <w:pPr>
        <w:pStyle w:val="Normal3"/>
      </w:pPr>
      <w:r>
        <w:t>Visoki upravni sud Republike Hrvatske odlučuje o tužbama protiv konačnih upravnih akata (upravni sporovi) temeljem Zakona o upravnim sporovima i Zakona o općem upravnom postupku.</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11025</w:t>
            </w:r>
          </w:p>
        </w:tc>
        <w:tc>
          <w:tcPr>
            <w:tcW w:w="1486" w:type="dxa"/>
          </w:tcPr>
          <w:p w:rsidR="00D849AA" w:rsidRDefault="00EE6D95">
            <w:r>
              <w:t>23.412.000</w:t>
            </w:r>
          </w:p>
        </w:tc>
        <w:tc>
          <w:tcPr>
            <w:tcW w:w="1486" w:type="dxa"/>
          </w:tcPr>
          <w:p w:rsidR="00D849AA" w:rsidRDefault="00EE6D95">
            <w:r>
              <w:t>20.632.200</w:t>
            </w:r>
          </w:p>
        </w:tc>
        <w:tc>
          <w:tcPr>
            <w:tcW w:w="1486" w:type="dxa"/>
          </w:tcPr>
          <w:p w:rsidR="00D849AA" w:rsidRDefault="00EE6D95">
            <w:r>
              <w:t>21.202.230</w:t>
            </w:r>
          </w:p>
        </w:tc>
        <w:tc>
          <w:tcPr>
            <w:tcW w:w="1486" w:type="dxa"/>
          </w:tcPr>
          <w:p w:rsidR="00D849AA" w:rsidRDefault="00EE6D95">
            <w:r>
              <w:t>21.818.900</w:t>
            </w:r>
          </w:p>
        </w:tc>
        <w:tc>
          <w:tcPr>
            <w:tcW w:w="1486" w:type="dxa"/>
          </w:tcPr>
          <w:p w:rsidR="00D849AA" w:rsidRDefault="00EE6D95">
            <w:r>
              <w:t>88,1</w:t>
            </w:r>
          </w:p>
        </w:tc>
      </w:tr>
    </w:tbl>
    <w:p w:rsidR="00D849AA" w:rsidRDefault="00D849AA">
      <w:pPr>
        <w:jc w:val="left"/>
      </w:pPr>
    </w:p>
    <w:p w:rsidR="00D849AA" w:rsidRDefault="00EE6D95">
      <w:pPr>
        <w:pStyle w:val="Naslov4"/>
      </w:pPr>
      <w:r>
        <w:t>OBRAZLOŽENJE PROGRAMA</w:t>
      </w:r>
    </w:p>
    <w:p w:rsidR="00D849AA" w:rsidRDefault="00EE6D95">
      <w:pPr>
        <w:pStyle w:val="Naslov5"/>
      </w:pPr>
      <w:r>
        <w:t>2803 VOĐENJE SUDSKIH POSTUPAKA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2803</w:t>
            </w:r>
          </w:p>
        </w:tc>
        <w:tc>
          <w:tcPr>
            <w:tcW w:w="1486" w:type="dxa"/>
          </w:tcPr>
          <w:p w:rsidR="00D849AA" w:rsidRDefault="00EE6D95">
            <w:r>
              <w:t>23.412.000</w:t>
            </w:r>
          </w:p>
        </w:tc>
        <w:tc>
          <w:tcPr>
            <w:tcW w:w="1486" w:type="dxa"/>
          </w:tcPr>
          <w:p w:rsidR="00D849AA" w:rsidRDefault="00EE6D95">
            <w:r>
              <w:t>20.632.200</w:t>
            </w:r>
          </w:p>
        </w:tc>
        <w:tc>
          <w:tcPr>
            <w:tcW w:w="1486" w:type="dxa"/>
          </w:tcPr>
          <w:p w:rsidR="00D849AA" w:rsidRDefault="00EE6D95">
            <w:r>
              <w:t>21.202.230</w:t>
            </w:r>
          </w:p>
        </w:tc>
        <w:tc>
          <w:tcPr>
            <w:tcW w:w="1486" w:type="dxa"/>
          </w:tcPr>
          <w:p w:rsidR="00D849AA" w:rsidRDefault="00EE6D95">
            <w:r>
              <w:t>21.818.900</w:t>
            </w:r>
          </w:p>
        </w:tc>
        <w:tc>
          <w:tcPr>
            <w:tcW w:w="1486" w:type="dxa"/>
          </w:tcPr>
          <w:p w:rsidR="00D849AA" w:rsidRDefault="00EE6D95">
            <w:r>
              <w:t>88,1</w:t>
            </w:r>
          </w:p>
        </w:tc>
      </w:tr>
    </w:tbl>
    <w:p w:rsidR="00D849AA" w:rsidRDefault="00D849AA">
      <w:pPr>
        <w:jc w:val="left"/>
      </w:pPr>
    </w:p>
    <w:p w:rsidR="00D849AA" w:rsidRDefault="00EE6D95">
      <w:pPr>
        <w:pStyle w:val="Naslov6"/>
      </w:pPr>
      <w:r>
        <w:t>Opis programa</w:t>
      </w:r>
    </w:p>
    <w:p w:rsidR="00D849AA" w:rsidRDefault="00EE6D95">
      <w:pPr>
        <w:pStyle w:val="Normal5"/>
      </w:pPr>
      <w:r>
        <w:t xml:space="preserve">Prema Ustavu Republike Hrvatske nositelji sudbene vlasti su sudovi. U okviru svojih ustavnih zadaća i Zakonom o sudovima utvrđenih nadležnosti u Republici Hrvatskoj sudske postupke vode slijedeći sudovi: Vrhovni sud RH, Visoki trgovački sud RH, Visoki upravni sud RH,Visoki prekršajni sud RH, upravni sudovi , županijski sudovi, trgovački sudovi, općinski sudovi i prekršajni sudovi. U Državnom proračunu Republike Hrvatske „Program vođenje </w:t>
      </w:r>
      <w:r>
        <w:lastRenderedPageBreak/>
        <w:t>sudskih postupaka“ obuhvaća vođenje sudskih postupaka iz nadležnosti Vrhovnog suda Republike Hrvatske, Visokog trgovačkog suda RH, Visokog upravnog suda Republike Hrvatske, Visokog prekršajnog suda Republike Hrvatske, upravnih sudova, županijskih sudova, trgovačkih sudova, općinskih sudova i prekršajnih sudova.</w:t>
      </w:r>
    </w:p>
    <w:p w:rsidR="00D849AA" w:rsidRDefault="00EE6D95">
      <w:pPr>
        <w:pStyle w:val="Naslov6"/>
      </w:pPr>
      <w:r>
        <w:t>Zakonske i druge pravne osnove</w:t>
      </w:r>
    </w:p>
    <w:p w:rsidR="00D849AA" w:rsidRDefault="00EE6D95">
      <w:pPr>
        <w:pStyle w:val="Normal5"/>
      </w:pPr>
      <w:r>
        <w:t>Zakon o sudovima („Narodne novine“, broj 150/05, 16/07, 113/08, 153/09, 116/10, 122/10, 27/11, 130/11 i 28/13) i Zakon o područjima i sjedištima sudova („Narodne novine“, broj 3/94, 104/97, 59/01, 121/05, 85/08, 144/10 i 84/11).</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 xml:space="preserve">Cilj 1. Jedinstvena primjena zakona i ravnopravnost građana te jednakost svih pred zakonom </w:t>
      </w:r>
    </w:p>
    <w:p w:rsidR="00D849AA" w:rsidRDefault="00EE6D95">
      <w:pPr>
        <w:pStyle w:val="Normal6"/>
      </w:pPr>
      <w:r>
        <w:t>Osiguranje jedinstvene primjene zakona i ravnopravnost građana te jednakost svih pred zakonom.</w:t>
      </w:r>
    </w:p>
    <w:p w:rsidR="00D849AA" w:rsidRDefault="00EE6D95">
      <w:pPr>
        <w:pStyle w:val="Naslov5"/>
      </w:pPr>
      <w:r>
        <w:t>Procjena i ishodište potrebnih sredstava za značajnije aktivnosti/projekte</w:t>
      </w:r>
    </w:p>
    <w:p w:rsidR="00D849AA" w:rsidRDefault="00EE6D95">
      <w:pPr>
        <w:pStyle w:val="Naslov6"/>
      </w:pPr>
      <w:r>
        <w:t>A633000 VOĐENJE SUDSKIH POSTUPAKA IZ NADLEŽNOSTI VISOKOG UPRAVNOG SUDA RH</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A633000</w:t>
            </w:r>
          </w:p>
        </w:tc>
        <w:tc>
          <w:tcPr>
            <w:tcW w:w="1486" w:type="dxa"/>
          </w:tcPr>
          <w:p w:rsidR="00D849AA" w:rsidRDefault="00EE6D95">
            <w:r>
              <w:t>23.412.000</w:t>
            </w:r>
          </w:p>
        </w:tc>
        <w:tc>
          <w:tcPr>
            <w:tcW w:w="1486" w:type="dxa"/>
          </w:tcPr>
          <w:p w:rsidR="00D849AA" w:rsidRDefault="00EE6D95">
            <w:r>
              <w:t>20.632.200</w:t>
            </w:r>
          </w:p>
        </w:tc>
        <w:tc>
          <w:tcPr>
            <w:tcW w:w="1486" w:type="dxa"/>
          </w:tcPr>
          <w:p w:rsidR="00D849AA" w:rsidRDefault="00EE6D95">
            <w:r>
              <w:t>21.202.230</w:t>
            </w:r>
          </w:p>
        </w:tc>
        <w:tc>
          <w:tcPr>
            <w:tcW w:w="1486" w:type="dxa"/>
          </w:tcPr>
          <w:p w:rsidR="00D849AA" w:rsidRDefault="00EE6D95">
            <w:r>
              <w:t>21.818.900</w:t>
            </w:r>
          </w:p>
        </w:tc>
        <w:tc>
          <w:tcPr>
            <w:tcW w:w="1486" w:type="dxa"/>
          </w:tcPr>
          <w:p w:rsidR="00D849AA" w:rsidRDefault="00EE6D95">
            <w:r>
              <w:t>88,1</w:t>
            </w:r>
          </w:p>
        </w:tc>
      </w:tr>
    </w:tbl>
    <w:p w:rsidR="00D849AA" w:rsidRDefault="00D849AA">
      <w:pPr>
        <w:jc w:val="left"/>
      </w:pPr>
    </w:p>
    <w:p w:rsidR="00D849AA" w:rsidRDefault="00EE6D95">
      <w:pPr>
        <w:pStyle w:val="Normal6"/>
      </w:pPr>
      <w:r>
        <w:t>Ovom aktivnošću osigurava se redovan rad Visokog upravnog suda Republike Hrvatske.</w:t>
      </w:r>
    </w:p>
    <w:p w:rsidR="00AE2853" w:rsidRDefault="00AE2853">
      <w:pPr>
        <w:pStyle w:val="Normal6"/>
      </w:pP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 xml:space="preserve">Smanjenje zaostataka </w:t>
            </w:r>
          </w:p>
          <w:p w:rsidR="00D849AA" w:rsidRDefault="00EE6D95">
            <w:pPr>
              <w:pStyle w:val="CellColumn"/>
            </w:pPr>
            <w:r>
              <w:t>neriješenih predmeta</w:t>
            </w:r>
          </w:p>
        </w:tc>
        <w:tc>
          <w:tcPr>
            <w:tcW w:w="1114" w:type="dxa"/>
          </w:tcPr>
          <w:p w:rsidR="00D849AA" w:rsidRDefault="00EE6D95">
            <w:r>
              <w:t>broj</w:t>
            </w:r>
          </w:p>
        </w:tc>
        <w:tc>
          <w:tcPr>
            <w:tcW w:w="1114" w:type="dxa"/>
          </w:tcPr>
          <w:p w:rsidR="00D849AA" w:rsidRDefault="00EE6D95">
            <w:r>
              <w:t>18625</w:t>
            </w:r>
          </w:p>
        </w:tc>
        <w:tc>
          <w:tcPr>
            <w:tcW w:w="1486" w:type="dxa"/>
          </w:tcPr>
          <w:p w:rsidR="00D849AA" w:rsidRDefault="00EE6D95">
            <w:r>
              <w:t>14720</w:t>
            </w:r>
          </w:p>
        </w:tc>
        <w:tc>
          <w:tcPr>
            <w:tcW w:w="1486" w:type="dxa"/>
          </w:tcPr>
          <w:p w:rsidR="00D849AA" w:rsidRDefault="00EE6D95">
            <w:r>
              <w:t>8500</w:t>
            </w:r>
          </w:p>
        </w:tc>
        <w:tc>
          <w:tcPr>
            <w:tcW w:w="1486" w:type="dxa"/>
          </w:tcPr>
          <w:p w:rsidR="00D849AA" w:rsidRDefault="00EE6D95">
            <w:r>
              <w:t>2100</w:t>
            </w:r>
          </w:p>
        </w:tc>
      </w:tr>
    </w:tbl>
    <w:p w:rsidR="00D849AA" w:rsidRDefault="00D849AA">
      <w:pPr>
        <w:jc w:val="left"/>
      </w:pPr>
    </w:p>
    <w:p w:rsidR="00D849AA" w:rsidRDefault="00EE6D95">
      <w:pPr>
        <w:pStyle w:val="Naslov2"/>
      </w:pPr>
      <w:r>
        <w:t>11027 Upravni sudovi</w:t>
      </w:r>
    </w:p>
    <w:p w:rsidR="00D849AA" w:rsidRDefault="00EE6D95">
      <w:pPr>
        <w:pStyle w:val="Naslov4"/>
      </w:pPr>
      <w:r>
        <w:t>Uvod</w:t>
      </w:r>
    </w:p>
    <w:p w:rsidR="00D849AA" w:rsidRDefault="00EE6D95">
      <w:pPr>
        <w:pStyle w:val="Normal3"/>
      </w:pPr>
      <w:r>
        <w:t>Upravni sudovi započeli su sa radom 01.01.2012. godine temeljem Zakona o upravnim sporovima radi uspostave sustava dvostupanjskog upravnog sudovanja u Republici Hrvatskoj u svrhu osiguranja pune jurisdikcije Visokog upravnog suda RH i usklađivanja s pravnim standardima Europske unije u zaštiti ljudskih prava i temeljnih sloboda.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11027</w:t>
            </w:r>
          </w:p>
        </w:tc>
        <w:tc>
          <w:tcPr>
            <w:tcW w:w="1486" w:type="dxa"/>
          </w:tcPr>
          <w:p w:rsidR="00D849AA" w:rsidRDefault="00EE6D95">
            <w:r>
              <w:t>17.736.500</w:t>
            </w:r>
          </w:p>
        </w:tc>
        <w:tc>
          <w:tcPr>
            <w:tcW w:w="1486" w:type="dxa"/>
          </w:tcPr>
          <w:p w:rsidR="00D849AA" w:rsidRDefault="00EE6D95">
            <w:r>
              <w:t>18.140.100</w:t>
            </w:r>
          </w:p>
        </w:tc>
        <w:tc>
          <w:tcPr>
            <w:tcW w:w="1486" w:type="dxa"/>
          </w:tcPr>
          <w:p w:rsidR="00D849AA" w:rsidRDefault="00EE6D95">
            <w:r>
              <w:t>18.045.600</w:t>
            </w:r>
          </w:p>
        </w:tc>
        <w:tc>
          <w:tcPr>
            <w:tcW w:w="1486" w:type="dxa"/>
          </w:tcPr>
          <w:p w:rsidR="00D849AA" w:rsidRDefault="00EE6D95">
            <w:r>
              <w:t>18.089.900</w:t>
            </w:r>
          </w:p>
        </w:tc>
        <w:tc>
          <w:tcPr>
            <w:tcW w:w="1486" w:type="dxa"/>
          </w:tcPr>
          <w:p w:rsidR="00D849AA" w:rsidRDefault="00EE6D95">
            <w:r>
              <w:t>102,3</w:t>
            </w:r>
          </w:p>
        </w:tc>
      </w:tr>
    </w:tbl>
    <w:p w:rsidR="00D849AA" w:rsidRDefault="00D849AA">
      <w:pPr>
        <w:jc w:val="left"/>
      </w:pPr>
    </w:p>
    <w:p w:rsidR="00D849AA" w:rsidRDefault="00EE6D95">
      <w:pPr>
        <w:pStyle w:val="Naslov4"/>
      </w:pPr>
      <w:r>
        <w:t>OBRAZLOŽENJE PROGRAMA</w:t>
      </w:r>
    </w:p>
    <w:p w:rsidR="00D849AA" w:rsidRDefault="00EE6D95">
      <w:pPr>
        <w:pStyle w:val="Naslov5"/>
      </w:pPr>
      <w:r>
        <w:t>2803 VOĐENJE SUDSKIH POSTUPAKA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2803</w:t>
            </w:r>
          </w:p>
        </w:tc>
        <w:tc>
          <w:tcPr>
            <w:tcW w:w="1486" w:type="dxa"/>
          </w:tcPr>
          <w:p w:rsidR="00D849AA" w:rsidRDefault="00EE6D95">
            <w:r>
              <w:t>17.736.500</w:t>
            </w:r>
          </w:p>
        </w:tc>
        <w:tc>
          <w:tcPr>
            <w:tcW w:w="1486" w:type="dxa"/>
          </w:tcPr>
          <w:p w:rsidR="00D849AA" w:rsidRDefault="00EE6D95">
            <w:r>
              <w:t>18.140.100</w:t>
            </w:r>
          </w:p>
        </w:tc>
        <w:tc>
          <w:tcPr>
            <w:tcW w:w="1486" w:type="dxa"/>
          </w:tcPr>
          <w:p w:rsidR="00D849AA" w:rsidRDefault="00EE6D95">
            <w:r>
              <w:t>18.045.600</w:t>
            </w:r>
          </w:p>
        </w:tc>
        <w:tc>
          <w:tcPr>
            <w:tcW w:w="1486" w:type="dxa"/>
          </w:tcPr>
          <w:p w:rsidR="00D849AA" w:rsidRDefault="00EE6D95">
            <w:r>
              <w:t>18.089.900</w:t>
            </w:r>
          </w:p>
        </w:tc>
        <w:tc>
          <w:tcPr>
            <w:tcW w:w="1486" w:type="dxa"/>
          </w:tcPr>
          <w:p w:rsidR="00D849AA" w:rsidRDefault="00EE6D95">
            <w:r>
              <w:t>102,3</w:t>
            </w:r>
          </w:p>
        </w:tc>
      </w:tr>
    </w:tbl>
    <w:p w:rsidR="00D849AA" w:rsidRDefault="00D849AA">
      <w:pPr>
        <w:jc w:val="left"/>
      </w:pPr>
    </w:p>
    <w:p w:rsidR="00D849AA" w:rsidRDefault="00EE6D95">
      <w:pPr>
        <w:pStyle w:val="Naslov6"/>
      </w:pPr>
      <w:r>
        <w:t>Opis programa</w:t>
      </w:r>
    </w:p>
    <w:p w:rsidR="00D849AA" w:rsidRDefault="00EE6D95">
      <w:pPr>
        <w:pStyle w:val="Normal5"/>
      </w:pPr>
      <w:r>
        <w:t>Prema Ustavu Republike Hrvatske nositelji sudbene vlasti su sudovi. U okviru svojih ustavnih zadaća i Zakonom o sudovima utvrđenih nadležnosti u Republici Hrvatskoj sudske postupke vode slijedeći sudovi: Vrhovni sud RH, Visoki trgovački sud RH, Visoki upravni sud RH,Visoki prekršajni sud RH, upravni sudovi , županijski sudovi, trgovački sudovi, općinski sudovi i prekršajni sudovi. U Državnom proračunu Republike Hrvatske „Program vođenje sudskih postupaka“ obuhvaća vođenje sudskih postupaka iz nadležnosti Vrhovnog suda Republike Hrvatske, Visokog trgovačkog suda RH, Visokog upravnog suda Republike Hrvatske, Visokog prekršajnog suda Republike Hrvatske, upravnih sudova, županijskih sudova, trgovačkih sudova, općinskih sudova i prekršajnih sudova.</w:t>
      </w:r>
    </w:p>
    <w:p w:rsidR="00D849AA" w:rsidRDefault="00EE6D95">
      <w:pPr>
        <w:pStyle w:val="Naslov6"/>
      </w:pPr>
      <w:r>
        <w:t>Zakonske i druge pravne osnove</w:t>
      </w:r>
    </w:p>
    <w:p w:rsidR="00D849AA" w:rsidRDefault="00EE6D95">
      <w:pPr>
        <w:pStyle w:val="Normal5"/>
      </w:pPr>
      <w:r>
        <w:t>Zakon o sudovima („Narodne novine“, broj 150/05, 16/07, 113/08, 153/09, 116/10, 122/10, 27/11, 130/11 i 28/13) i Zakon o područjima i sjedištima sudova („Narodne novine“, broj 3/94, 104/97, 59/01, 121/05, 85/08, 144/10 i 84/11).</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 xml:space="preserve">Cilj 1. Jedinstvena primjena zakona i ravnopravnost građana te jednakost svih pred zakonom </w:t>
      </w:r>
    </w:p>
    <w:p w:rsidR="00D849AA" w:rsidRDefault="00EE6D95">
      <w:pPr>
        <w:pStyle w:val="Normal6"/>
      </w:pPr>
      <w:r>
        <w:t>Osiguranje jedinstvene primjene zakona i ravnopravnost građana te jednakost svih pred zakonom.</w:t>
      </w:r>
    </w:p>
    <w:p w:rsidR="00D849AA" w:rsidRDefault="00EE6D95">
      <w:pPr>
        <w:pStyle w:val="Naslov5"/>
      </w:pPr>
      <w:r>
        <w:t>Procjena i ishodište potrebnih sredstava za značajnije aktivnosti/projekte</w:t>
      </w:r>
    </w:p>
    <w:p w:rsidR="00D849AA" w:rsidRDefault="00EE6D95">
      <w:pPr>
        <w:pStyle w:val="Naslov6"/>
      </w:pPr>
      <w:r>
        <w:t>A851001 VOĐENJE SUDSKIH POSTUPAKA IZ NADLEŽNOSTI UPRAVNIH SUDOVA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A851001</w:t>
            </w:r>
          </w:p>
        </w:tc>
        <w:tc>
          <w:tcPr>
            <w:tcW w:w="1486" w:type="dxa"/>
          </w:tcPr>
          <w:p w:rsidR="00D849AA" w:rsidRDefault="00EE6D95">
            <w:r>
              <w:t>17.736.500</w:t>
            </w:r>
          </w:p>
        </w:tc>
        <w:tc>
          <w:tcPr>
            <w:tcW w:w="1486" w:type="dxa"/>
          </w:tcPr>
          <w:p w:rsidR="00D849AA" w:rsidRDefault="00EE6D95">
            <w:r>
              <w:t>18.140.100</w:t>
            </w:r>
          </w:p>
        </w:tc>
        <w:tc>
          <w:tcPr>
            <w:tcW w:w="1486" w:type="dxa"/>
          </w:tcPr>
          <w:p w:rsidR="00D849AA" w:rsidRDefault="00EE6D95">
            <w:r>
              <w:t>18.045.600</w:t>
            </w:r>
          </w:p>
        </w:tc>
        <w:tc>
          <w:tcPr>
            <w:tcW w:w="1486" w:type="dxa"/>
          </w:tcPr>
          <w:p w:rsidR="00D849AA" w:rsidRDefault="00EE6D95">
            <w:r>
              <w:t>18.089.900</w:t>
            </w:r>
          </w:p>
        </w:tc>
        <w:tc>
          <w:tcPr>
            <w:tcW w:w="1486" w:type="dxa"/>
          </w:tcPr>
          <w:p w:rsidR="00D849AA" w:rsidRDefault="00EE6D95">
            <w:r>
              <w:t>102,3</w:t>
            </w:r>
          </w:p>
        </w:tc>
      </w:tr>
    </w:tbl>
    <w:p w:rsidR="00D849AA" w:rsidRDefault="00EE6D95">
      <w:pPr>
        <w:pStyle w:val="Normal6"/>
      </w:pPr>
      <w:r>
        <w:lastRenderedPageBreak/>
        <w:t>Ovom aktivnošću osigurava se redovan rad upravnih sudova.</w:t>
      </w:r>
    </w:p>
    <w:p w:rsidR="00D849AA" w:rsidRDefault="00EE6D95">
      <w:pPr>
        <w:pStyle w:val="Naslov2"/>
      </w:pPr>
      <w:r>
        <w:t>11030 Državno odvjetništvo Republike Hrvatske</w:t>
      </w:r>
    </w:p>
    <w:p w:rsidR="00D849AA" w:rsidRDefault="00EE6D95">
      <w:pPr>
        <w:pStyle w:val="Naslov4"/>
      </w:pPr>
      <w:r>
        <w:t>Uvod</w:t>
      </w:r>
    </w:p>
    <w:p w:rsidR="00D849AA" w:rsidRDefault="00EE6D95">
      <w:pPr>
        <w:pStyle w:val="Normal3"/>
      </w:pPr>
      <w:r>
        <w:t>Državno odvjetništvo Republike Hrvatske zastupa Republiku Hrvatsku, poduzima pravne radnje iz svoje nadležnosti radi zaštite Ustava i zakonitosti pred Ustavnim sudom Republike Hrvatske, poduzima radnje iz svoje nadležnosti pred Vrhovnim sudom Republike Hrvatske, Visokim upravnim sudom Republike Hrvatske, Visokim trgovačkim sudom Republike Hrvatske, Visokim prekršajnim sudom Republike Hrvatske, međunarodnim te stranim sudskim i drugim tijelima. Državno odvjetništvo Republike Hrvatske na čelu s Glavnim državnim odvjetnikom vodi nadzor nad radom cjelokupne državnoodvjetničke organizacije, a posebice skrbi o urednom i pravodobnom obavljanju poslova u državnom odvjetništvu, obavlja poslove u svezi s predstavkama i pritužbama na rad Državnog odvjetništva, skrbi o stručnom usavršavanju državnih odvjetnika, zamjenika državnih odvjetnika, savjetnika, vježbenika i drugih službenika i namještenika u državnom odvjetništvu, vodi statistiku te obavlja i druge poslove propisane Zakonom i Pravilnikom o unutarnjem poslovanju državnih odvjetništava.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11030</w:t>
            </w:r>
          </w:p>
        </w:tc>
        <w:tc>
          <w:tcPr>
            <w:tcW w:w="1486" w:type="dxa"/>
          </w:tcPr>
          <w:p w:rsidR="00D849AA" w:rsidRDefault="00EE6D95">
            <w:r>
              <w:t>19.250.800</w:t>
            </w:r>
          </w:p>
        </w:tc>
        <w:tc>
          <w:tcPr>
            <w:tcW w:w="1486" w:type="dxa"/>
          </w:tcPr>
          <w:p w:rsidR="00D849AA" w:rsidRDefault="00EE6D95">
            <w:r>
              <w:t>26.356.200</w:t>
            </w:r>
          </w:p>
        </w:tc>
        <w:tc>
          <w:tcPr>
            <w:tcW w:w="1486" w:type="dxa"/>
          </w:tcPr>
          <w:p w:rsidR="00D849AA" w:rsidRDefault="00EE6D95">
            <w:r>
              <w:t>26.715.500</w:t>
            </w:r>
          </w:p>
        </w:tc>
        <w:tc>
          <w:tcPr>
            <w:tcW w:w="1486" w:type="dxa"/>
          </w:tcPr>
          <w:p w:rsidR="00D849AA" w:rsidRDefault="00EE6D95">
            <w:r>
              <w:t>22.761.400</w:t>
            </w:r>
          </w:p>
        </w:tc>
        <w:tc>
          <w:tcPr>
            <w:tcW w:w="1486" w:type="dxa"/>
          </w:tcPr>
          <w:p w:rsidR="00D849AA" w:rsidRDefault="00EE6D95">
            <w:r>
              <w:t>136,9</w:t>
            </w:r>
          </w:p>
        </w:tc>
      </w:tr>
    </w:tbl>
    <w:p w:rsidR="00D849AA" w:rsidRDefault="00D849AA">
      <w:pPr>
        <w:jc w:val="left"/>
      </w:pPr>
    </w:p>
    <w:p w:rsidR="00D849AA" w:rsidRDefault="00EE6D95">
      <w:pPr>
        <w:pStyle w:val="Naslov4"/>
      </w:pPr>
      <w:r>
        <w:t>OBRAZLOŽENJE PROGRAMA</w:t>
      </w:r>
    </w:p>
    <w:p w:rsidR="00D849AA" w:rsidRDefault="00EE6D95">
      <w:pPr>
        <w:pStyle w:val="Naslov5"/>
      </w:pPr>
      <w:r>
        <w:t>2812 DJELOVANJE DRŽAVNIH ODVJETNIŠTAVA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2812</w:t>
            </w:r>
          </w:p>
        </w:tc>
        <w:tc>
          <w:tcPr>
            <w:tcW w:w="1486" w:type="dxa"/>
          </w:tcPr>
          <w:p w:rsidR="00D849AA" w:rsidRDefault="00EE6D95">
            <w:r>
              <w:t>19.250.800</w:t>
            </w:r>
          </w:p>
        </w:tc>
        <w:tc>
          <w:tcPr>
            <w:tcW w:w="1486" w:type="dxa"/>
          </w:tcPr>
          <w:p w:rsidR="00D849AA" w:rsidRDefault="00EE6D95">
            <w:r>
              <w:t>26.356.200</w:t>
            </w:r>
          </w:p>
        </w:tc>
        <w:tc>
          <w:tcPr>
            <w:tcW w:w="1486" w:type="dxa"/>
          </w:tcPr>
          <w:p w:rsidR="00D849AA" w:rsidRDefault="00EE6D95">
            <w:r>
              <w:t>26.715.500</w:t>
            </w:r>
          </w:p>
        </w:tc>
        <w:tc>
          <w:tcPr>
            <w:tcW w:w="1486" w:type="dxa"/>
          </w:tcPr>
          <w:p w:rsidR="00D849AA" w:rsidRDefault="00EE6D95">
            <w:r>
              <w:t>22.761.400</w:t>
            </w:r>
          </w:p>
        </w:tc>
        <w:tc>
          <w:tcPr>
            <w:tcW w:w="1486" w:type="dxa"/>
          </w:tcPr>
          <w:p w:rsidR="00D849AA" w:rsidRDefault="00EE6D95">
            <w:r>
              <w:t>136,9</w:t>
            </w:r>
          </w:p>
        </w:tc>
      </w:tr>
    </w:tbl>
    <w:p w:rsidR="00D849AA" w:rsidRDefault="00D849AA">
      <w:pPr>
        <w:jc w:val="left"/>
      </w:pPr>
    </w:p>
    <w:p w:rsidR="00D849AA" w:rsidRDefault="00EE6D95">
      <w:pPr>
        <w:pStyle w:val="Naslov6"/>
      </w:pPr>
      <w:r>
        <w:t>Opis programa</w:t>
      </w:r>
    </w:p>
    <w:p w:rsidR="00D849AA" w:rsidRDefault="00EE6D95">
      <w:pPr>
        <w:pStyle w:val="Normal5"/>
      </w:pPr>
      <w:r>
        <w:t>Državno odvjetništvo Republike Hrvatske zastupa Republiku Hrvatsku, poduzima pravne radnje iz svoje nadležnosti radi zaštite Ustava i zakonitosti pred Ustavnim sudom Republike Hrvatske, poduzima radnje iz svoje nadležnosti pred Vrhovnim sudom Republike Hrvatske, Visokim upravnim sudom Republike Hrvatske, Visokim trgovačkim sudom Republike Hrvatske, Visokim prekršajnim sudom Republike Hrvatske, međunarodnim te stranim sudskim i drugim tijelima.</w:t>
      </w:r>
    </w:p>
    <w:p w:rsidR="00D849AA" w:rsidRDefault="00EE6D95">
      <w:pPr>
        <w:pStyle w:val="Naslov6"/>
      </w:pPr>
      <w:r>
        <w:t>Zakonske i druge pravne osnove</w:t>
      </w:r>
    </w:p>
    <w:p w:rsidR="00D849AA" w:rsidRDefault="00EE6D95">
      <w:pPr>
        <w:pStyle w:val="Normal5"/>
      </w:pPr>
      <w:r>
        <w:t>Zakon o državnom odvjetništvu (NN 76/09, 153/09, 116/10, 145/10, 57/11, 130/11 i 72/13), Zakon o područjima i sjedištima državnih odvjetništava (NN 146/08, 144/10, 84/11 i 130/11) i Zakon o USKOK-u (NN 76/09, 116/10, 57/11 i 136/12).</w:t>
      </w:r>
    </w:p>
    <w:p w:rsidR="00D849AA" w:rsidRDefault="00EE6D95">
      <w:pPr>
        <w:pStyle w:val="Naslov6"/>
      </w:pPr>
      <w:r>
        <w:lastRenderedPageBreak/>
        <w:t>Ciljevi provedbe programa u razdoblju 2014.-2016. i pokazatelji uspješnosti kojima će se mjeriti ostvarenje tih ciljeva</w:t>
      </w:r>
    </w:p>
    <w:p w:rsidR="00D849AA" w:rsidRDefault="00EE6D95">
      <w:pPr>
        <w:pStyle w:val="Naslov7"/>
      </w:pPr>
      <w:r>
        <w:t xml:space="preserve">Cilj 1. Jedinstvena primjena zakona i ravnopravnost građana te jednakost svih pred zakonom </w:t>
      </w:r>
    </w:p>
    <w:p w:rsidR="00D849AA" w:rsidRDefault="00EE6D95">
      <w:pPr>
        <w:pStyle w:val="Normal6"/>
      </w:pPr>
      <w:r>
        <w:t>Osiguranje jedinstvene primjene zakona i ravnopravnost građana te jednakost svih pred zakonom.</w:t>
      </w:r>
    </w:p>
    <w:p w:rsidR="00D849AA" w:rsidRDefault="00EE6D95">
      <w:pPr>
        <w:pStyle w:val="Naslov5"/>
      </w:pPr>
      <w:r>
        <w:t>Procjena i ishodište potrebnih sredstava za značajnije aktivnosti/projekte</w:t>
      </w:r>
    </w:p>
    <w:p w:rsidR="00D849AA" w:rsidRDefault="00EE6D95">
      <w:pPr>
        <w:pStyle w:val="Naslov6"/>
      </w:pPr>
      <w:r>
        <w:t>A629262 SURADNJA REPUBLIKE HRVATSKE I EUROJUST-A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A629262</w:t>
            </w:r>
          </w:p>
        </w:tc>
        <w:tc>
          <w:tcPr>
            <w:tcW w:w="1486" w:type="dxa"/>
          </w:tcPr>
          <w:p w:rsidR="00D849AA" w:rsidRDefault="00EE6D95">
            <w:r>
              <w:t>471.100</w:t>
            </w:r>
          </w:p>
        </w:tc>
        <w:tc>
          <w:tcPr>
            <w:tcW w:w="1486" w:type="dxa"/>
          </w:tcPr>
          <w:p w:rsidR="00D849AA" w:rsidRDefault="00EE6D95">
            <w:r>
              <w:t>471.100</w:t>
            </w:r>
          </w:p>
        </w:tc>
        <w:tc>
          <w:tcPr>
            <w:tcW w:w="1486" w:type="dxa"/>
          </w:tcPr>
          <w:p w:rsidR="00D849AA" w:rsidRDefault="00EE6D95">
            <w:r>
              <w:t>472.300</w:t>
            </w:r>
          </w:p>
        </w:tc>
        <w:tc>
          <w:tcPr>
            <w:tcW w:w="1486" w:type="dxa"/>
          </w:tcPr>
          <w:p w:rsidR="00D849AA" w:rsidRDefault="00EE6D95">
            <w:r>
              <w:t>480.900</w:t>
            </w:r>
          </w:p>
        </w:tc>
        <w:tc>
          <w:tcPr>
            <w:tcW w:w="1486" w:type="dxa"/>
          </w:tcPr>
          <w:p w:rsidR="00D849AA" w:rsidRDefault="00EE6D95">
            <w:r>
              <w:t>100,0</w:t>
            </w:r>
          </w:p>
        </w:tc>
      </w:tr>
    </w:tbl>
    <w:p w:rsidR="00D849AA" w:rsidRDefault="00D849AA">
      <w:pPr>
        <w:jc w:val="left"/>
      </w:pPr>
    </w:p>
    <w:p w:rsidR="00D849AA" w:rsidRDefault="00EE6D95">
      <w:pPr>
        <w:pStyle w:val="Normal6"/>
      </w:pPr>
      <w:r>
        <w:t xml:space="preserve">Sporazum o jačanju suradnje između Hrvatske i Eurojusta, potpisan je 9. studenog 2007. godine. Eurojust je tijelo Europske Unije, osnovano Odlukom Vijeća Europske Unije 28. veljače 2002. godine u čijem radu sudjeluju predstavnici država članica Europske Unije u provedbi istrage i progona ozbiljnog prekograničnog i organiziranog kriminala, kao i za unapređenje postupaka pružanja složenijih oblika međunarodne pravne pomoći u kaznenim stvarima i za ubrzanje postupaka izručenja. Eurojust je ovlašten s trećim državama sklapati sporazume o suradnji kojima se uređuju pitanja međusobne suradnje iz </w:t>
      </w:r>
    </w:p>
    <w:p w:rsidR="00D849AA" w:rsidRDefault="00EE6D95">
      <w:pPr>
        <w:pStyle w:val="Normal6"/>
      </w:pPr>
      <w:r>
        <w:t>nadležnosti Eurojusta, što obuhvaća i mogućnost za te države imenovanje svog nacionalnog predstavnika (časnika za vezu) pri Eurojustu sa sjedištem u Den Hagu. Ovom aktivnošću podmiruju se troškovi slanja časnika za vezu s Eurojustom.</w:t>
      </w:r>
    </w:p>
    <w:p w:rsidR="00D849AA" w:rsidRDefault="00EE6D95">
      <w:pPr>
        <w:pStyle w:val="Naslov6"/>
      </w:pPr>
      <w:r>
        <w:t>A634000 PROGON POČINITELJA KAZNENIH DJELA, ZAŠTITA IMOVINE RH I PODNOŠENJE PRAVNIH SREDSTAVA ZA ZAŠTITU ZAKONITOSTI</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A634000</w:t>
            </w:r>
          </w:p>
        </w:tc>
        <w:tc>
          <w:tcPr>
            <w:tcW w:w="1486" w:type="dxa"/>
          </w:tcPr>
          <w:p w:rsidR="00D849AA" w:rsidRDefault="00EE6D95">
            <w:r>
              <w:t>16.534.000</w:t>
            </w:r>
          </w:p>
        </w:tc>
        <w:tc>
          <w:tcPr>
            <w:tcW w:w="1486" w:type="dxa"/>
          </w:tcPr>
          <w:p w:rsidR="00D849AA" w:rsidRDefault="00EE6D95">
            <w:r>
              <w:t>16.482.000</w:t>
            </w:r>
          </w:p>
        </w:tc>
        <w:tc>
          <w:tcPr>
            <w:tcW w:w="1486" w:type="dxa"/>
          </w:tcPr>
          <w:p w:rsidR="00D849AA" w:rsidRDefault="00EE6D95">
            <w:r>
              <w:t>16.757.500</w:t>
            </w:r>
          </w:p>
        </w:tc>
        <w:tc>
          <w:tcPr>
            <w:tcW w:w="1486" w:type="dxa"/>
          </w:tcPr>
          <w:p w:rsidR="00D849AA" w:rsidRDefault="00EE6D95">
            <w:r>
              <w:t>16.790.500</w:t>
            </w:r>
          </w:p>
        </w:tc>
        <w:tc>
          <w:tcPr>
            <w:tcW w:w="1486" w:type="dxa"/>
          </w:tcPr>
          <w:p w:rsidR="00D849AA" w:rsidRDefault="00EE6D95">
            <w:r>
              <w:t>99,7</w:t>
            </w:r>
          </w:p>
        </w:tc>
      </w:tr>
    </w:tbl>
    <w:p w:rsidR="00D849AA" w:rsidRDefault="00D849AA">
      <w:pPr>
        <w:jc w:val="left"/>
      </w:pPr>
    </w:p>
    <w:p w:rsidR="00D849AA" w:rsidRDefault="00EE6D95">
      <w:pPr>
        <w:pStyle w:val="Normal6"/>
      </w:pPr>
      <w:r>
        <w:t>Prema Zakonu o državnom odvjetništvu (NN 76/09, 153/09, 116/10, 145/10, 57/11, 130/11 i 72/13), državno odvjetništvo je samostalno i neovisno pravosudno tijelo ovlašteno i dužno postupati protiv počinitelja kaznenih djela i drugih kažnjivih djela, poduzimati pravne radnje radi zaštite imovine Republike Hrvatske te podnositi pravna sredstva za zaštitu Ustava i zakona. Ovom aktivnošću osiguravaju se potrebna sredstva za redovan rad Državnog odvjetništva Republike Hrvatske.</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 xml:space="preserve">Smanjenje zaostataka </w:t>
            </w:r>
          </w:p>
          <w:p w:rsidR="00D849AA" w:rsidRDefault="00EE6D95">
            <w:pPr>
              <w:pStyle w:val="CellColumn"/>
            </w:pPr>
            <w:r>
              <w:t>neriješenih predmeta</w:t>
            </w:r>
          </w:p>
        </w:tc>
        <w:tc>
          <w:tcPr>
            <w:tcW w:w="1114" w:type="dxa"/>
          </w:tcPr>
          <w:p w:rsidR="00D849AA" w:rsidRDefault="00EE6D95">
            <w:r>
              <w:t>broj</w:t>
            </w:r>
          </w:p>
        </w:tc>
        <w:tc>
          <w:tcPr>
            <w:tcW w:w="1114" w:type="dxa"/>
          </w:tcPr>
          <w:p w:rsidR="00D849AA" w:rsidRDefault="00EE6D95">
            <w:r>
              <w:t>1100</w:t>
            </w:r>
          </w:p>
        </w:tc>
        <w:tc>
          <w:tcPr>
            <w:tcW w:w="1486" w:type="dxa"/>
          </w:tcPr>
          <w:p w:rsidR="00D849AA" w:rsidRDefault="00EE6D95">
            <w:r>
              <w:t>1050</w:t>
            </w:r>
          </w:p>
        </w:tc>
        <w:tc>
          <w:tcPr>
            <w:tcW w:w="1486" w:type="dxa"/>
          </w:tcPr>
          <w:p w:rsidR="00D849AA" w:rsidRDefault="00EE6D95">
            <w:r>
              <w:t>1050</w:t>
            </w:r>
          </w:p>
        </w:tc>
        <w:tc>
          <w:tcPr>
            <w:tcW w:w="1486" w:type="dxa"/>
          </w:tcPr>
          <w:p w:rsidR="00D849AA" w:rsidRDefault="00EE6D95">
            <w:r>
              <w:t>1050</w:t>
            </w:r>
          </w:p>
        </w:tc>
      </w:tr>
    </w:tbl>
    <w:p w:rsidR="00D849AA" w:rsidRDefault="00EE6D95">
      <w:pPr>
        <w:pStyle w:val="Naslov6"/>
      </w:pPr>
      <w:r>
        <w:lastRenderedPageBreak/>
        <w:t>A634002 MEĐUNARODNA SURADNJA DRŽAVNIH ODVJETNIŠTAVA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A634002</w:t>
            </w:r>
          </w:p>
        </w:tc>
        <w:tc>
          <w:tcPr>
            <w:tcW w:w="1486" w:type="dxa"/>
          </w:tcPr>
          <w:p w:rsidR="00D849AA" w:rsidRDefault="00EE6D95">
            <w:r>
              <w:t>268.800</w:t>
            </w:r>
          </w:p>
        </w:tc>
        <w:tc>
          <w:tcPr>
            <w:tcW w:w="1486" w:type="dxa"/>
          </w:tcPr>
          <w:p w:rsidR="00D849AA" w:rsidRDefault="00EE6D95">
            <w:r>
              <w:t>197.800</w:t>
            </w:r>
          </w:p>
        </w:tc>
        <w:tc>
          <w:tcPr>
            <w:tcW w:w="1486" w:type="dxa"/>
          </w:tcPr>
          <w:p w:rsidR="00D849AA" w:rsidRDefault="00EE6D95">
            <w:r>
              <w:t>268.800</w:t>
            </w:r>
          </w:p>
        </w:tc>
        <w:tc>
          <w:tcPr>
            <w:tcW w:w="1486" w:type="dxa"/>
          </w:tcPr>
          <w:p w:rsidR="00D849AA" w:rsidRDefault="00EE6D95">
            <w:r>
              <w:t>270.000</w:t>
            </w:r>
          </w:p>
        </w:tc>
        <w:tc>
          <w:tcPr>
            <w:tcW w:w="1486" w:type="dxa"/>
          </w:tcPr>
          <w:p w:rsidR="00D849AA" w:rsidRDefault="00EE6D95">
            <w:r>
              <w:t>73,6</w:t>
            </w:r>
          </w:p>
        </w:tc>
      </w:tr>
    </w:tbl>
    <w:p w:rsidR="00D849AA" w:rsidRDefault="00D849AA">
      <w:pPr>
        <w:jc w:val="left"/>
      </w:pPr>
    </w:p>
    <w:p w:rsidR="00D849AA" w:rsidRDefault="00EE6D95">
      <w:pPr>
        <w:pStyle w:val="Normal6"/>
      </w:pPr>
      <w:r>
        <w:t>Aktivnost se odnosi na suradnju Državnog odvjetništva RH s drugim državnim odvjetništvima kako u regiji, unutar Europe  i izvan Europe, a sve u cilju stvaranja uvjeta za učinkovitiju međunarodnu suradnju i pravnu pomoć.</w:t>
      </w:r>
    </w:p>
    <w:p w:rsidR="00D849AA" w:rsidRDefault="00EE6D95">
      <w:pPr>
        <w:pStyle w:val="Naslov6"/>
      </w:pPr>
      <w:r>
        <w:t>A634012 UNAPREĐENJE I PRAĆENJE REZULTATA RADA IZ NADLEŽNOSTI DRŽAVNIH ODVJETNIŠTAVA NA SVIM RAZINAMA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A634012</w:t>
            </w:r>
          </w:p>
        </w:tc>
        <w:tc>
          <w:tcPr>
            <w:tcW w:w="1486" w:type="dxa"/>
          </w:tcPr>
          <w:p w:rsidR="00D849AA" w:rsidRDefault="00EE6D95">
            <w:r>
              <w:t>199.300</w:t>
            </w:r>
          </w:p>
        </w:tc>
        <w:tc>
          <w:tcPr>
            <w:tcW w:w="1486" w:type="dxa"/>
          </w:tcPr>
          <w:p w:rsidR="00D849AA" w:rsidRDefault="00EE6D95">
            <w:r>
              <w:t>187.700</w:t>
            </w:r>
          </w:p>
        </w:tc>
        <w:tc>
          <w:tcPr>
            <w:tcW w:w="1486" w:type="dxa"/>
          </w:tcPr>
          <w:p w:rsidR="00D849AA" w:rsidRDefault="00EE6D95">
            <w:r>
              <w:t>199.300</w:t>
            </w:r>
          </w:p>
        </w:tc>
        <w:tc>
          <w:tcPr>
            <w:tcW w:w="1486" w:type="dxa"/>
          </w:tcPr>
          <w:p w:rsidR="00D849AA" w:rsidRDefault="00EE6D95">
            <w:r>
              <w:t>202.200</w:t>
            </w:r>
          </w:p>
        </w:tc>
        <w:tc>
          <w:tcPr>
            <w:tcW w:w="1486" w:type="dxa"/>
          </w:tcPr>
          <w:p w:rsidR="00D849AA" w:rsidRDefault="00EE6D95">
            <w:r>
              <w:t>94,2</w:t>
            </w:r>
          </w:p>
        </w:tc>
      </w:tr>
    </w:tbl>
    <w:p w:rsidR="00D849AA" w:rsidRDefault="00D849AA">
      <w:pPr>
        <w:jc w:val="left"/>
      </w:pPr>
    </w:p>
    <w:p w:rsidR="00D849AA" w:rsidRDefault="00EE6D95">
      <w:pPr>
        <w:pStyle w:val="Normal6"/>
      </w:pPr>
      <w:r>
        <w:t>Nadzor nad radom državnog odvjetništva, kao i nadzor nad radom nižih državnih odvjetništava bitan je za ostvarivanje ovlasti i dužnosti državnog odvjetnika. Nadzor se odvija kroz statističko praćenje rada, praćenje pojedinih predmeta, preglede i davanje primjedbi u vezi uočenih nedostataka prilikom rada na drugostupanjskim predmetima. U okviru nadzorne djelatnosti Državno odvjetništvo RH vrši preglede rada županijskih državnih odvjetništava. Svrha pregleda je kontrola ažurnosti i kvalitete rada kako državnog odvjetništva kao cjeline, tako i državnog odvjetnika i svakog pojedinog zamjenika. Nadzorna, ali i instruktivna djelatnost vršena je i kroz rad na drugostupanjskim predmetima ili povodom pritužbi stranaka. Pored neposrednog uvida u predmete i rad državnih odvjetnika na poslovima državnoodvjetničke uprave Državno odvjetništvo Republike Hrvatske mjesečno kroz statističke pokazatelje prati rad županijskih i općinskih državnih odvjetništava kako u kaznenim tako i građanskim predmetima i na taj način ima stalni uvid u opterećenja, ažurnosti kvalitetu rada državnih odvjetništava. Županijska i općinska državna odvjetništva prate rad i opterećenost svakog pojedinog zamjenika i savjetnika. Stalnim praćenjem rada državnih odvjetništava riješeni su zaostaci u kaznenim odjelima i državna odvjetništva su u dijelu u kojem trajanje kaznenog postupka zavisi od njih ažurna.</w:t>
      </w:r>
    </w:p>
    <w:p w:rsidR="00D849AA" w:rsidRDefault="00EE6D95">
      <w:pPr>
        <w:pStyle w:val="Naslov6"/>
      </w:pPr>
      <w:r>
        <w:t>A634013 ZASTUPANJE REPUBLIKE HRVATSKE U INOZEMSTVU</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A634013</w:t>
            </w:r>
          </w:p>
        </w:tc>
        <w:tc>
          <w:tcPr>
            <w:tcW w:w="1486" w:type="dxa"/>
          </w:tcPr>
          <w:p w:rsidR="00D849AA" w:rsidRDefault="00EE6D95">
            <w:r>
              <w:t>1.777.600</w:t>
            </w:r>
          </w:p>
        </w:tc>
        <w:tc>
          <w:tcPr>
            <w:tcW w:w="1486" w:type="dxa"/>
          </w:tcPr>
          <w:p w:rsidR="00D849AA" w:rsidRDefault="00EE6D95">
            <w:r>
              <w:t>9.017.600</w:t>
            </w:r>
          </w:p>
        </w:tc>
        <w:tc>
          <w:tcPr>
            <w:tcW w:w="1486" w:type="dxa"/>
          </w:tcPr>
          <w:p w:rsidR="00D849AA" w:rsidRDefault="00EE6D95">
            <w:r>
              <w:t>9.017.600</w:t>
            </w:r>
          </w:p>
        </w:tc>
        <w:tc>
          <w:tcPr>
            <w:tcW w:w="1486" w:type="dxa"/>
          </w:tcPr>
          <w:p w:rsidR="00D849AA" w:rsidRDefault="00EE6D95">
            <w:r>
              <w:t>5.017.800</w:t>
            </w:r>
          </w:p>
        </w:tc>
        <w:tc>
          <w:tcPr>
            <w:tcW w:w="1486" w:type="dxa"/>
          </w:tcPr>
          <w:p w:rsidR="00D849AA" w:rsidRDefault="00EE6D95">
            <w:r>
              <w:t>507,3</w:t>
            </w:r>
          </w:p>
        </w:tc>
      </w:tr>
    </w:tbl>
    <w:p w:rsidR="00D849AA" w:rsidRDefault="00D849AA">
      <w:pPr>
        <w:jc w:val="left"/>
      </w:pPr>
    </w:p>
    <w:p w:rsidR="00D849AA" w:rsidRDefault="00EE6D95">
      <w:pPr>
        <w:pStyle w:val="Normal6"/>
      </w:pPr>
      <w:r>
        <w:t>Na temelju čl. 19. st. 1. Zakona o državnim odvjetništvima Državno odvjetništvo RH zastupa Republiku Hrvatsku u imovinskim sporovima pred inozemnim sudovima, ustanovama i drugim tijelima. U postupcima koji se vode u inozemstvu i u kojima je isključena mogućnost zastupanja po DORH-u, Glavni državni odvjetnik RH uz suglasnost Vlade RH ovlašćuje za zastupanje odgovarajućeg inozemnog stručnjaka, a što je u pravilu odvjetnik iz zemlje u kojoj se vodi postupak.</w:t>
      </w:r>
    </w:p>
    <w:p w:rsidR="00D849AA" w:rsidRDefault="00EE6D95">
      <w:pPr>
        <w:pStyle w:val="Naslov2"/>
      </w:pPr>
      <w:r>
        <w:lastRenderedPageBreak/>
        <w:t>11035 Državnoodvjetničko vijeće</w:t>
      </w:r>
    </w:p>
    <w:p w:rsidR="00D849AA" w:rsidRDefault="00EE6D95">
      <w:pPr>
        <w:pStyle w:val="Naslov4"/>
      </w:pPr>
      <w:r>
        <w:t>Uvod</w:t>
      </w:r>
    </w:p>
    <w:p w:rsidR="00D849AA" w:rsidRDefault="00EE6D95">
      <w:pPr>
        <w:pStyle w:val="Normal3"/>
      </w:pPr>
      <w:r>
        <w:t>Državno odvjetničko vijeće imenuje državne odvjetnike i zamjenike državnih odvjetnika, vodi postupke i odlučuje o stegovnoj odgovornosti državnih odvjetnika i zamjenika državnih odvjetnika, odlučuje o razrješenju državnih odvjetnika i zamjenika državnih odvjetnika, odlučuje o davanju odobrenja za pokretanje kaznenih postupaka protiv državnih odvjetnika i zamjenika državnih odvjetnika, odlučuje o privremenim udaljenjima državnih odvjetnika i zamjenika državnih odvjetnika od obnašanja dužnosti, kao i obavljanje drugih poslova u skladu sa Zakonom.</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11035</w:t>
            </w:r>
          </w:p>
        </w:tc>
        <w:tc>
          <w:tcPr>
            <w:tcW w:w="1486" w:type="dxa"/>
          </w:tcPr>
          <w:p w:rsidR="00D849AA" w:rsidRDefault="00EE6D95">
            <w:r>
              <w:t>1.962.900</w:t>
            </w:r>
          </w:p>
        </w:tc>
        <w:tc>
          <w:tcPr>
            <w:tcW w:w="1486" w:type="dxa"/>
          </w:tcPr>
          <w:p w:rsidR="00D849AA" w:rsidRDefault="00EE6D95">
            <w:r>
              <w:t>1.567.300</w:t>
            </w:r>
          </w:p>
        </w:tc>
        <w:tc>
          <w:tcPr>
            <w:tcW w:w="1486" w:type="dxa"/>
          </w:tcPr>
          <w:p w:rsidR="00D849AA" w:rsidRDefault="00EE6D95">
            <w:r>
              <w:t>1.576.400</w:t>
            </w:r>
          </w:p>
        </w:tc>
        <w:tc>
          <w:tcPr>
            <w:tcW w:w="1486" w:type="dxa"/>
          </w:tcPr>
          <w:p w:rsidR="00D849AA" w:rsidRDefault="00EE6D95">
            <w:r>
              <w:t>1.613.800</w:t>
            </w:r>
          </w:p>
        </w:tc>
        <w:tc>
          <w:tcPr>
            <w:tcW w:w="1486" w:type="dxa"/>
          </w:tcPr>
          <w:p w:rsidR="00D849AA" w:rsidRDefault="00EE6D95">
            <w:r>
              <w:t>79,8</w:t>
            </w:r>
          </w:p>
        </w:tc>
      </w:tr>
    </w:tbl>
    <w:p w:rsidR="00D849AA" w:rsidRDefault="00D849AA">
      <w:pPr>
        <w:jc w:val="left"/>
      </w:pPr>
    </w:p>
    <w:p w:rsidR="00D849AA" w:rsidRDefault="00EE6D95">
      <w:pPr>
        <w:pStyle w:val="Naslov4"/>
      </w:pPr>
      <w:r>
        <w:t>OBRAZLOŽENJE PROGRAMA</w:t>
      </w:r>
    </w:p>
    <w:p w:rsidR="00D849AA" w:rsidRDefault="00EE6D95">
      <w:pPr>
        <w:pStyle w:val="Naslov5"/>
      </w:pPr>
      <w:r>
        <w:t>2802 IMENOVANJA PRAVOSUDNIH DUŽNOSNIKA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2802</w:t>
            </w:r>
          </w:p>
        </w:tc>
        <w:tc>
          <w:tcPr>
            <w:tcW w:w="1486" w:type="dxa"/>
          </w:tcPr>
          <w:p w:rsidR="00D849AA" w:rsidRDefault="00EE6D95">
            <w:r>
              <w:t>1.962.900</w:t>
            </w:r>
          </w:p>
        </w:tc>
        <w:tc>
          <w:tcPr>
            <w:tcW w:w="1486" w:type="dxa"/>
          </w:tcPr>
          <w:p w:rsidR="00D849AA" w:rsidRDefault="00EE6D95">
            <w:r>
              <w:t>1.567.300</w:t>
            </w:r>
          </w:p>
        </w:tc>
        <w:tc>
          <w:tcPr>
            <w:tcW w:w="1486" w:type="dxa"/>
          </w:tcPr>
          <w:p w:rsidR="00D849AA" w:rsidRDefault="00EE6D95">
            <w:r>
              <w:t>1.576.400</w:t>
            </w:r>
          </w:p>
        </w:tc>
        <w:tc>
          <w:tcPr>
            <w:tcW w:w="1486" w:type="dxa"/>
          </w:tcPr>
          <w:p w:rsidR="00D849AA" w:rsidRDefault="00EE6D95">
            <w:r>
              <w:t>1.613.800</w:t>
            </w:r>
          </w:p>
        </w:tc>
        <w:tc>
          <w:tcPr>
            <w:tcW w:w="1486" w:type="dxa"/>
          </w:tcPr>
          <w:p w:rsidR="00D849AA" w:rsidRDefault="00EE6D95">
            <w:r>
              <w:t>79,8</w:t>
            </w:r>
          </w:p>
        </w:tc>
      </w:tr>
    </w:tbl>
    <w:p w:rsidR="00D849AA" w:rsidRDefault="00D849AA">
      <w:pPr>
        <w:jc w:val="left"/>
      </w:pPr>
    </w:p>
    <w:p w:rsidR="00D849AA" w:rsidRDefault="00EE6D95">
      <w:pPr>
        <w:pStyle w:val="Naslov6"/>
      </w:pPr>
      <w:r>
        <w:t>Opis programa</w:t>
      </w:r>
    </w:p>
    <w:p w:rsidR="00D849AA" w:rsidRDefault="00EE6D95">
      <w:pPr>
        <w:pStyle w:val="Normal5"/>
      </w:pPr>
      <w:r>
        <w:t>Program Imenovanja pravosudnih dužnosnika provodi se preko Državnog sudbenog vijeća i Državnog odvjetničkog vijeća što obuhvaća: imenovanja Pravosudnih dužnosnika, vođenje postupaka i odlučivanje o stegovnoj odgovornosti Pravosudnih dužnosnika, odlučivanja o razrješenju pravosudnih dužnosnika, odlučivanja o davanju odobrenja za pokretanje kaznenih postupaka protiv pravosudnih dužnosnika, odlučivanja o privremenim udaljenjima pravosudnih dužnosnika od obnašanja dužnosti, kao i obavljanje drugih poslova u skladu sa Zakonom. Važnije aktivnosti unutar programa su Državno sudbeno vijeće i Državno odvjetničko vijeće.</w:t>
      </w:r>
    </w:p>
    <w:p w:rsidR="00D849AA" w:rsidRDefault="00EE6D95">
      <w:pPr>
        <w:pStyle w:val="Naslov6"/>
      </w:pPr>
      <w:r>
        <w:t>Zakonske i druge pravne osnove</w:t>
      </w:r>
    </w:p>
    <w:p w:rsidR="00D849AA" w:rsidRDefault="00EE6D95">
      <w:pPr>
        <w:pStyle w:val="Normal5"/>
      </w:pPr>
      <w:r>
        <w:t>Zakon o Državnom sudbenom vijeću („Narodne novine“ broj 116/10, 57/11, 130/11 i 28/13) i Zakon o državnom odvjetništvu („Narodne novine“ 76/09, 153/09, 116/10, 145/10, 57/11, 130/11 i 72/13).</w:t>
      </w:r>
    </w:p>
    <w:p w:rsidR="00AE2853" w:rsidRDefault="00AE2853">
      <w:pPr>
        <w:pStyle w:val="Normal5"/>
      </w:pPr>
    </w:p>
    <w:p w:rsidR="00AE2853" w:rsidRDefault="00AE2853">
      <w:pPr>
        <w:pStyle w:val="Normal5"/>
      </w:pPr>
    </w:p>
    <w:p w:rsidR="00D849AA" w:rsidRDefault="00AE2853">
      <w:pPr>
        <w:pStyle w:val="Naslov5"/>
      </w:pPr>
      <w:r>
        <w:lastRenderedPageBreak/>
        <w:t>P</w:t>
      </w:r>
      <w:r w:rsidR="00EE6D95">
        <w:t>rocjena i ishodište potrebnih sredstava za značajnije aktivnosti/projekte</w:t>
      </w:r>
    </w:p>
    <w:p w:rsidR="00D849AA" w:rsidRDefault="00EE6D95">
      <w:pPr>
        <w:pStyle w:val="Naslov6"/>
      </w:pPr>
      <w:r>
        <w:t>A858001 DRŽAVNO ODVJETNIČKO VIJEĆE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A858001</w:t>
            </w:r>
          </w:p>
        </w:tc>
        <w:tc>
          <w:tcPr>
            <w:tcW w:w="1486" w:type="dxa"/>
          </w:tcPr>
          <w:p w:rsidR="00D849AA" w:rsidRDefault="00EE6D95">
            <w:r>
              <w:t>1.962.900</w:t>
            </w:r>
          </w:p>
        </w:tc>
        <w:tc>
          <w:tcPr>
            <w:tcW w:w="1486" w:type="dxa"/>
          </w:tcPr>
          <w:p w:rsidR="00D849AA" w:rsidRDefault="00EE6D95">
            <w:r>
              <w:t>1.567.300</w:t>
            </w:r>
          </w:p>
        </w:tc>
        <w:tc>
          <w:tcPr>
            <w:tcW w:w="1486" w:type="dxa"/>
          </w:tcPr>
          <w:p w:rsidR="00D849AA" w:rsidRDefault="00EE6D95">
            <w:r>
              <w:t>1.576.400</w:t>
            </w:r>
          </w:p>
        </w:tc>
        <w:tc>
          <w:tcPr>
            <w:tcW w:w="1486" w:type="dxa"/>
          </w:tcPr>
          <w:p w:rsidR="00D849AA" w:rsidRDefault="00EE6D95">
            <w:r>
              <w:t>1.613.800</w:t>
            </w:r>
          </w:p>
        </w:tc>
        <w:tc>
          <w:tcPr>
            <w:tcW w:w="1486" w:type="dxa"/>
          </w:tcPr>
          <w:p w:rsidR="00D849AA" w:rsidRDefault="00EE6D95">
            <w:r>
              <w:t>79,8</w:t>
            </w:r>
          </w:p>
        </w:tc>
      </w:tr>
    </w:tbl>
    <w:p w:rsidR="00D849AA" w:rsidRDefault="00D849AA">
      <w:pPr>
        <w:jc w:val="left"/>
      </w:pPr>
    </w:p>
    <w:p w:rsidR="00D849AA" w:rsidRDefault="00EE6D95">
      <w:pPr>
        <w:pStyle w:val="Normal6"/>
      </w:pPr>
      <w:r>
        <w:t>Ovom aktivnošću osigurava se redovan rad Državno odvjetničkog vijeća.</w:t>
      </w:r>
    </w:p>
    <w:p w:rsidR="00D849AA" w:rsidRDefault="00EE6D95">
      <w:pPr>
        <w:pStyle w:val="Naslov2"/>
      </w:pPr>
      <w:r>
        <w:t>11036 Državno sudbeno vijeće</w:t>
      </w:r>
    </w:p>
    <w:p w:rsidR="00D849AA" w:rsidRDefault="00EE6D95">
      <w:pPr>
        <w:pStyle w:val="Naslov4"/>
      </w:pPr>
      <w:r>
        <w:t>Uvod</w:t>
      </w:r>
    </w:p>
    <w:p w:rsidR="00D849AA" w:rsidRDefault="00EE6D95">
      <w:pPr>
        <w:pStyle w:val="Normal3"/>
      </w:pPr>
      <w:r>
        <w:t>Državno sudbeno vijeće imenuje suce, vodi postupke i odlučuje o stegovnoj odgovornosti sudaca, odlučuje o razrješenju sudaca,odlučuje o davanju odobrenja za pokretanje kaznenih postupaka protiv sudaca,odlučuje o privremenim udaljenjima sudaca od obnašanja dužnosti, kao i obavljanje drugih poslova u skladu sa Zakonom.</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11036</w:t>
            </w:r>
          </w:p>
        </w:tc>
        <w:tc>
          <w:tcPr>
            <w:tcW w:w="1486" w:type="dxa"/>
          </w:tcPr>
          <w:p w:rsidR="00D849AA" w:rsidRDefault="00EE6D95">
            <w:r>
              <w:t>2.153.280</w:t>
            </w:r>
          </w:p>
        </w:tc>
        <w:tc>
          <w:tcPr>
            <w:tcW w:w="1486" w:type="dxa"/>
          </w:tcPr>
          <w:p w:rsidR="00D849AA" w:rsidRDefault="00EE6D95">
            <w:r>
              <w:t>1.822.700</w:t>
            </w:r>
          </w:p>
        </w:tc>
        <w:tc>
          <w:tcPr>
            <w:tcW w:w="1486" w:type="dxa"/>
          </w:tcPr>
          <w:p w:rsidR="00D849AA" w:rsidRDefault="00EE6D95">
            <w:r>
              <w:t>1.874.700</w:t>
            </w:r>
          </w:p>
        </w:tc>
        <w:tc>
          <w:tcPr>
            <w:tcW w:w="1486" w:type="dxa"/>
          </w:tcPr>
          <w:p w:rsidR="00D849AA" w:rsidRDefault="00EE6D95">
            <w:r>
              <w:t>1.903.700</w:t>
            </w:r>
          </w:p>
        </w:tc>
        <w:tc>
          <w:tcPr>
            <w:tcW w:w="1486" w:type="dxa"/>
          </w:tcPr>
          <w:p w:rsidR="00D849AA" w:rsidRDefault="00EE6D95">
            <w:r>
              <w:t>84,6</w:t>
            </w:r>
          </w:p>
        </w:tc>
      </w:tr>
    </w:tbl>
    <w:p w:rsidR="00D849AA" w:rsidRDefault="00D849AA">
      <w:pPr>
        <w:jc w:val="left"/>
      </w:pPr>
    </w:p>
    <w:p w:rsidR="00D849AA" w:rsidRDefault="00EE6D95">
      <w:pPr>
        <w:pStyle w:val="Naslov4"/>
      </w:pPr>
      <w:r>
        <w:t>OBRAZLOŽENJE PROGRAMA</w:t>
      </w:r>
    </w:p>
    <w:p w:rsidR="00D849AA" w:rsidRDefault="00EE6D95">
      <w:pPr>
        <w:pStyle w:val="Naslov5"/>
      </w:pPr>
      <w:r>
        <w:t>2802 IMENOVANJA PRAVOSUDNIH DUŽNOSNIKA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2802</w:t>
            </w:r>
          </w:p>
        </w:tc>
        <w:tc>
          <w:tcPr>
            <w:tcW w:w="1486" w:type="dxa"/>
          </w:tcPr>
          <w:p w:rsidR="00D849AA" w:rsidRDefault="00EE6D95">
            <w:r>
              <w:t>2.153.280</w:t>
            </w:r>
          </w:p>
        </w:tc>
        <w:tc>
          <w:tcPr>
            <w:tcW w:w="1486" w:type="dxa"/>
          </w:tcPr>
          <w:p w:rsidR="00D849AA" w:rsidRDefault="00EE6D95">
            <w:r>
              <w:t>1.822.700</w:t>
            </w:r>
          </w:p>
        </w:tc>
        <w:tc>
          <w:tcPr>
            <w:tcW w:w="1486" w:type="dxa"/>
          </w:tcPr>
          <w:p w:rsidR="00D849AA" w:rsidRDefault="00EE6D95">
            <w:r>
              <w:t>1.874.700</w:t>
            </w:r>
          </w:p>
        </w:tc>
        <w:tc>
          <w:tcPr>
            <w:tcW w:w="1486" w:type="dxa"/>
          </w:tcPr>
          <w:p w:rsidR="00D849AA" w:rsidRDefault="00EE6D95">
            <w:r>
              <w:t>1.903.700</w:t>
            </w:r>
          </w:p>
        </w:tc>
        <w:tc>
          <w:tcPr>
            <w:tcW w:w="1486" w:type="dxa"/>
          </w:tcPr>
          <w:p w:rsidR="00D849AA" w:rsidRDefault="00EE6D95">
            <w:r>
              <w:t>84,6</w:t>
            </w:r>
          </w:p>
        </w:tc>
      </w:tr>
    </w:tbl>
    <w:p w:rsidR="00D849AA" w:rsidRDefault="00D849AA">
      <w:pPr>
        <w:jc w:val="left"/>
      </w:pPr>
    </w:p>
    <w:p w:rsidR="00D849AA" w:rsidRDefault="00EE6D95">
      <w:pPr>
        <w:pStyle w:val="Naslov6"/>
      </w:pPr>
      <w:r>
        <w:t>Opis programa</w:t>
      </w:r>
    </w:p>
    <w:p w:rsidR="00D849AA" w:rsidRDefault="00EE6D95">
      <w:pPr>
        <w:pStyle w:val="Normal5"/>
      </w:pPr>
      <w:r>
        <w:t>Program Imenovanja pravosudnih dužnosnika provodi se preko Državnog sudbenog vijeća i Državnog odvjetničkog vijeća što obuhvaća: imenovanja Pravosudnih dužnosnika, vođenje postupaka i odlučivanje o stegovnoj odgovornosti Pravosudnih dužnosnika, odlučivanja o razrješenju pravosudnih dužnosnika, odlučivanja o davanju odobrenja za pokretanje kaznenih postupaka protiv pravosudnih dužnosnika, odlučivanja o privremenim udaljenjima pravosudnih dužnosnika od obnašanja  užnosti  kao i obavljanje drugih poslova u skladu sa Zakonom. Važnije aktivnosti unutar programa su Državno sudbeno vijeće i Državno odvjetničko vijeće.</w:t>
      </w:r>
    </w:p>
    <w:p w:rsidR="00D849AA" w:rsidRDefault="00EE6D95">
      <w:pPr>
        <w:pStyle w:val="Naslov6"/>
      </w:pPr>
      <w:r>
        <w:lastRenderedPageBreak/>
        <w:t>Zakonske i druge pravne osnove</w:t>
      </w:r>
    </w:p>
    <w:p w:rsidR="00D849AA" w:rsidRDefault="00EE6D95">
      <w:pPr>
        <w:pStyle w:val="Normal5"/>
      </w:pPr>
      <w:r>
        <w:t>Zakon o Državnom sudbenom vijeću („Narodne novine“ broj 116/10, 57/11, 130/11 i 28/13) i Zakon o državnom odvjetništvu („Narodne novine“ 76/09, 153/09, 116/10, 145/10, 57/11, 130/11 i 72/13).</w:t>
      </w:r>
    </w:p>
    <w:p w:rsidR="00D849AA" w:rsidRDefault="00EE6D95">
      <w:pPr>
        <w:pStyle w:val="Naslov5"/>
      </w:pPr>
      <w:r>
        <w:t>Procjena i ishodište potrebnih sredstava za značajnije aktivnosti/projekte</w:t>
      </w:r>
    </w:p>
    <w:p w:rsidR="00D849AA" w:rsidRDefault="00EE6D95">
      <w:pPr>
        <w:pStyle w:val="Naslov6"/>
      </w:pPr>
      <w:r>
        <w:t>A859001 DRŽAVNO SUDBENO VIJEĆE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A859001</w:t>
            </w:r>
          </w:p>
        </w:tc>
        <w:tc>
          <w:tcPr>
            <w:tcW w:w="1486" w:type="dxa"/>
          </w:tcPr>
          <w:p w:rsidR="00D849AA" w:rsidRDefault="00EE6D95">
            <w:r>
              <w:t>2.153.280</w:t>
            </w:r>
          </w:p>
        </w:tc>
        <w:tc>
          <w:tcPr>
            <w:tcW w:w="1486" w:type="dxa"/>
          </w:tcPr>
          <w:p w:rsidR="00D849AA" w:rsidRDefault="00EE6D95">
            <w:r>
              <w:t>1.822.700</w:t>
            </w:r>
          </w:p>
        </w:tc>
        <w:tc>
          <w:tcPr>
            <w:tcW w:w="1486" w:type="dxa"/>
          </w:tcPr>
          <w:p w:rsidR="00D849AA" w:rsidRDefault="00EE6D95">
            <w:r>
              <w:t>1.874.700</w:t>
            </w:r>
          </w:p>
        </w:tc>
        <w:tc>
          <w:tcPr>
            <w:tcW w:w="1486" w:type="dxa"/>
          </w:tcPr>
          <w:p w:rsidR="00D849AA" w:rsidRDefault="00EE6D95">
            <w:r>
              <w:t>1.903.700</w:t>
            </w:r>
          </w:p>
        </w:tc>
        <w:tc>
          <w:tcPr>
            <w:tcW w:w="1486" w:type="dxa"/>
          </w:tcPr>
          <w:p w:rsidR="00D849AA" w:rsidRDefault="00EE6D95">
            <w:r>
              <w:t>84,6</w:t>
            </w:r>
          </w:p>
        </w:tc>
      </w:tr>
    </w:tbl>
    <w:p w:rsidR="00D849AA" w:rsidRDefault="00D849AA">
      <w:pPr>
        <w:jc w:val="left"/>
      </w:pPr>
    </w:p>
    <w:p w:rsidR="00D849AA" w:rsidRDefault="00EE6D95">
      <w:pPr>
        <w:pStyle w:val="Normal6"/>
      </w:pPr>
      <w:r>
        <w:t>Ovom aktivnošću osigurava se redovan rad Državnog sudbenog vijeća.</w:t>
      </w:r>
    </w:p>
    <w:p w:rsidR="00D849AA" w:rsidRDefault="00EE6D95">
      <w:pPr>
        <w:pStyle w:val="Naslov2"/>
      </w:pPr>
      <w:r>
        <w:t>11040 Visoki prekršajni sud Republike Hrvatske</w:t>
      </w:r>
    </w:p>
    <w:p w:rsidR="00D849AA" w:rsidRDefault="00EE6D95">
      <w:pPr>
        <w:pStyle w:val="Naslov4"/>
      </w:pPr>
      <w:r>
        <w:t>Uvod</w:t>
      </w:r>
    </w:p>
    <w:p w:rsidR="00D849AA" w:rsidRDefault="00EE6D95">
      <w:pPr>
        <w:pStyle w:val="Normal3"/>
      </w:pPr>
      <w:r>
        <w:t>Visoki prekršajni sud Republike Hrvatske je uspostavljen temeljem Zakona o sudovima i Zakona o prekršajima kao specijalizirani sud za područje Republike Hrvatske sa sjedištem u Zagrebu. Visoki prekršajni sud odlučuje o žalbama protiv prvostupanjskih rješenja o prekršaju koja su donijeli sudovi i upravna tijela, kao i o žalbama protiv drugih rješenja sudova i upravnih tijela kada je to propisano Zakonom, osim ako posebnim zakonom nije određena nadležnost nekoga drugog suda; rješava sukob nadležnosti između sudova; odlučuje o zahtjevima za izuzećem predsjednika sudova; odlučuje o zahtjevima za izvanredno ublažavanje kazne i o zahtjevima za izvanredno preispitivanje pravomoćnih rješenja o prekršaju te obavlja druge poslove određene Zakonom.</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11040</w:t>
            </w:r>
          </w:p>
        </w:tc>
        <w:tc>
          <w:tcPr>
            <w:tcW w:w="1486" w:type="dxa"/>
          </w:tcPr>
          <w:p w:rsidR="00D849AA" w:rsidRDefault="00EE6D95">
            <w:r>
              <w:t>22.724.000</w:t>
            </w:r>
          </w:p>
        </w:tc>
        <w:tc>
          <w:tcPr>
            <w:tcW w:w="1486" w:type="dxa"/>
          </w:tcPr>
          <w:p w:rsidR="00D849AA" w:rsidRDefault="00EE6D95">
            <w:r>
              <w:t>22.997.000</w:t>
            </w:r>
          </w:p>
        </w:tc>
        <w:tc>
          <w:tcPr>
            <w:tcW w:w="1486" w:type="dxa"/>
          </w:tcPr>
          <w:p w:rsidR="00D849AA" w:rsidRDefault="00EE6D95">
            <w:r>
              <w:t>23.067.000</w:t>
            </w:r>
          </w:p>
        </w:tc>
        <w:tc>
          <w:tcPr>
            <w:tcW w:w="1486" w:type="dxa"/>
          </w:tcPr>
          <w:p w:rsidR="00D849AA" w:rsidRDefault="00EE6D95">
            <w:r>
              <w:t>23.089.200</w:t>
            </w:r>
          </w:p>
        </w:tc>
        <w:tc>
          <w:tcPr>
            <w:tcW w:w="1486" w:type="dxa"/>
          </w:tcPr>
          <w:p w:rsidR="00D849AA" w:rsidRDefault="00EE6D95">
            <w:r>
              <w:t>101,2</w:t>
            </w:r>
          </w:p>
        </w:tc>
      </w:tr>
    </w:tbl>
    <w:p w:rsidR="00D849AA" w:rsidRDefault="00D849AA">
      <w:pPr>
        <w:jc w:val="left"/>
      </w:pPr>
    </w:p>
    <w:p w:rsidR="00D849AA" w:rsidRDefault="00EE6D95">
      <w:pPr>
        <w:pStyle w:val="Naslov4"/>
      </w:pPr>
      <w:r>
        <w:t>OBRAZLOŽENJE PROGRAMA</w:t>
      </w:r>
    </w:p>
    <w:p w:rsidR="00D849AA" w:rsidRDefault="00EE6D95">
      <w:pPr>
        <w:pStyle w:val="Naslov5"/>
      </w:pPr>
      <w:r>
        <w:t>2803 VOĐENJE SUDSKIH POSTUPAKA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2803</w:t>
            </w:r>
          </w:p>
        </w:tc>
        <w:tc>
          <w:tcPr>
            <w:tcW w:w="1486" w:type="dxa"/>
          </w:tcPr>
          <w:p w:rsidR="00D849AA" w:rsidRDefault="00EE6D95">
            <w:r>
              <w:t>22.724.000</w:t>
            </w:r>
          </w:p>
        </w:tc>
        <w:tc>
          <w:tcPr>
            <w:tcW w:w="1486" w:type="dxa"/>
          </w:tcPr>
          <w:p w:rsidR="00D849AA" w:rsidRDefault="00EE6D95">
            <w:r>
              <w:t>22.997.000</w:t>
            </w:r>
          </w:p>
        </w:tc>
        <w:tc>
          <w:tcPr>
            <w:tcW w:w="1486" w:type="dxa"/>
          </w:tcPr>
          <w:p w:rsidR="00D849AA" w:rsidRDefault="00EE6D95">
            <w:r>
              <w:t>23.067.000</w:t>
            </w:r>
          </w:p>
        </w:tc>
        <w:tc>
          <w:tcPr>
            <w:tcW w:w="1486" w:type="dxa"/>
          </w:tcPr>
          <w:p w:rsidR="00D849AA" w:rsidRDefault="00EE6D95">
            <w:r>
              <w:t>23.089.200</w:t>
            </w:r>
          </w:p>
        </w:tc>
        <w:tc>
          <w:tcPr>
            <w:tcW w:w="1486" w:type="dxa"/>
          </w:tcPr>
          <w:p w:rsidR="00D849AA" w:rsidRDefault="00EE6D95">
            <w:r>
              <w:t>101,2</w:t>
            </w:r>
          </w:p>
        </w:tc>
      </w:tr>
    </w:tbl>
    <w:p w:rsidR="00D849AA" w:rsidRDefault="00D849AA">
      <w:pPr>
        <w:jc w:val="left"/>
      </w:pPr>
    </w:p>
    <w:p w:rsidR="00D849AA" w:rsidRDefault="00EE6D95">
      <w:pPr>
        <w:pStyle w:val="Naslov6"/>
      </w:pPr>
      <w:r>
        <w:lastRenderedPageBreak/>
        <w:t>Opis programa</w:t>
      </w:r>
    </w:p>
    <w:p w:rsidR="00D849AA" w:rsidRDefault="00EE6D95">
      <w:pPr>
        <w:pStyle w:val="Normal5"/>
      </w:pPr>
      <w:r>
        <w:t>Prema Ustavu Republike Hrvatske nositelji sudbene vlasti su sudovi. U okviru svojih ustavnih zadaća i Zakonom o sudovima utvrđenih nadležnosti u Republici Hrvatskoj sudske postupke vode slijedeći sudovi: Vrhovni sud RH, Visoki trgovački sud RH, Visoki upravni sud RH,Visoki prekršajni sud RH, upravni sudovi , županijski sudovi, trgovački sudovi, općinski sudovi i prekršajni sudovi. U Državnom proračunu Republike Hrvatske „Program vođenje sudskih postupaka“ obuhvaća vođenje sudskih postupaka iz nadležnosti Vrhovnog suda Republike Hrvatske, Visokog trgovačkog suda RH, Visokog upravnog suda Republike Hrvatske, Visokog prekršajnog suda Republike Hrvatske, upravnih sudova, županijskih sudova, trgovačkih sudova, općinskih sudova i prekršajnih sudova.</w:t>
      </w:r>
    </w:p>
    <w:p w:rsidR="00D849AA" w:rsidRDefault="00EE6D95">
      <w:pPr>
        <w:pStyle w:val="Naslov6"/>
      </w:pPr>
      <w:r>
        <w:t>Zakonske i druge pravne osnove</w:t>
      </w:r>
    </w:p>
    <w:p w:rsidR="00D849AA" w:rsidRDefault="00EE6D95">
      <w:pPr>
        <w:pStyle w:val="Normal5"/>
      </w:pPr>
      <w:r>
        <w:t>Zakon o sudovima („Narodne novine“, broj 150/05, 16/07, 113/08, 153/09, 116/10, 122/10, 27/11, 130/11 i 28/13) i Zakon o područjima i sjedištima sudova („Narodne novine“, broj 3/94, 104/97, 59/01, 121/05, 85/08, 144/10 i 84/11).</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 xml:space="preserve">Cilj 1. Jedinstvena primjena zakona i ravnopravnost građana te jednakost svih pred zakonom </w:t>
      </w:r>
    </w:p>
    <w:p w:rsidR="00D849AA" w:rsidRDefault="00EE6D95">
      <w:pPr>
        <w:pStyle w:val="Normal6"/>
      </w:pPr>
      <w:r>
        <w:t>Osiguranje jedinstvene primjene zakona i ravnopravnost građana te jednakost svih pred zakonom.</w:t>
      </w:r>
    </w:p>
    <w:p w:rsidR="00D849AA" w:rsidRDefault="00EE6D95">
      <w:pPr>
        <w:pStyle w:val="Naslov5"/>
      </w:pPr>
      <w:r>
        <w:t>Procjena i ishodište potrebnih sredstava za značajnije aktivnosti/projekte</w:t>
      </w:r>
    </w:p>
    <w:p w:rsidR="00D849AA" w:rsidRDefault="00EE6D95">
      <w:pPr>
        <w:pStyle w:val="Naslov6"/>
      </w:pPr>
      <w:r>
        <w:t>A637000 VOĐENJE SUDSKIH POSTUPAKA IZ NADLEŽNOSTI VISOKOG PREKRŠAJNOG SUDA RH</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A637000</w:t>
            </w:r>
          </w:p>
        </w:tc>
        <w:tc>
          <w:tcPr>
            <w:tcW w:w="1486" w:type="dxa"/>
          </w:tcPr>
          <w:p w:rsidR="00D849AA" w:rsidRDefault="00EE6D95">
            <w:r>
              <w:t>22.724.000</w:t>
            </w:r>
          </w:p>
        </w:tc>
        <w:tc>
          <w:tcPr>
            <w:tcW w:w="1486" w:type="dxa"/>
          </w:tcPr>
          <w:p w:rsidR="00D849AA" w:rsidRDefault="00EE6D95">
            <w:r>
              <w:t>22.997.000</w:t>
            </w:r>
          </w:p>
        </w:tc>
        <w:tc>
          <w:tcPr>
            <w:tcW w:w="1486" w:type="dxa"/>
          </w:tcPr>
          <w:p w:rsidR="00D849AA" w:rsidRDefault="00EE6D95">
            <w:r>
              <w:t>23.067.000</w:t>
            </w:r>
          </w:p>
        </w:tc>
        <w:tc>
          <w:tcPr>
            <w:tcW w:w="1486" w:type="dxa"/>
          </w:tcPr>
          <w:p w:rsidR="00D849AA" w:rsidRDefault="00EE6D95">
            <w:r>
              <w:t>23.089.200</w:t>
            </w:r>
          </w:p>
        </w:tc>
        <w:tc>
          <w:tcPr>
            <w:tcW w:w="1486" w:type="dxa"/>
          </w:tcPr>
          <w:p w:rsidR="00D849AA" w:rsidRDefault="00EE6D95">
            <w:r>
              <w:t>101,2</w:t>
            </w:r>
          </w:p>
        </w:tc>
      </w:tr>
    </w:tbl>
    <w:p w:rsidR="00D849AA" w:rsidRDefault="00D849AA">
      <w:pPr>
        <w:jc w:val="left"/>
      </w:pPr>
    </w:p>
    <w:p w:rsidR="00D849AA" w:rsidRDefault="00EE6D95">
      <w:pPr>
        <w:pStyle w:val="Normal6"/>
      </w:pPr>
      <w:r>
        <w:t xml:space="preserve">Visoki prekršajni sud Republike Hrvatske je uspostavljen temeljem Zakona o sudovima i Zakona o prekršajima kao specijalizirani sud za područje RH sa sjedištem u Zagrebu. Ovom aktivnošću osigurava se redovan rad Visokog prekršajnog suda Republike Hrvatske. U planiranom razdoblju nastavit će se daljnja edukacija sudaca i sudskih službenika radi </w:t>
      </w:r>
    </w:p>
    <w:p w:rsidR="00D849AA" w:rsidRDefault="00EE6D95">
      <w:pPr>
        <w:pStyle w:val="Normal6"/>
      </w:pPr>
      <w:r>
        <w:t>postizanja vrhunske stručne osposobljenosti na poslovima suđenja i sudskog poslovanja.</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 xml:space="preserve">Smanjenje zaostataka </w:t>
            </w:r>
          </w:p>
          <w:p w:rsidR="00D849AA" w:rsidRDefault="00EE6D95">
            <w:pPr>
              <w:pStyle w:val="CellColumn"/>
            </w:pPr>
            <w:r>
              <w:t>neriješenih predmeta</w:t>
            </w:r>
          </w:p>
        </w:tc>
        <w:tc>
          <w:tcPr>
            <w:tcW w:w="1114" w:type="dxa"/>
          </w:tcPr>
          <w:p w:rsidR="00D849AA" w:rsidRDefault="00EE6D95">
            <w:r>
              <w:t>broj</w:t>
            </w:r>
          </w:p>
        </w:tc>
        <w:tc>
          <w:tcPr>
            <w:tcW w:w="1114" w:type="dxa"/>
          </w:tcPr>
          <w:p w:rsidR="00D849AA" w:rsidRDefault="00EE6D95">
            <w:r>
              <w:t>61282</w:t>
            </w:r>
          </w:p>
        </w:tc>
        <w:tc>
          <w:tcPr>
            <w:tcW w:w="1486" w:type="dxa"/>
          </w:tcPr>
          <w:p w:rsidR="00D849AA" w:rsidRDefault="00EE6D95">
            <w:r>
              <w:t>60980</w:t>
            </w:r>
          </w:p>
        </w:tc>
        <w:tc>
          <w:tcPr>
            <w:tcW w:w="1486" w:type="dxa"/>
          </w:tcPr>
          <w:p w:rsidR="00D849AA" w:rsidRDefault="00EE6D95">
            <w:r>
              <w:t>59930</w:t>
            </w:r>
          </w:p>
        </w:tc>
        <w:tc>
          <w:tcPr>
            <w:tcW w:w="1486" w:type="dxa"/>
          </w:tcPr>
          <w:p w:rsidR="00D849AA" w:rsidRDefault="00EE6D95">
            <w:r>
              <w:t>57700</w:t>
            </w:r>
          </w:p>
        </w:tc>
      </w:tr>
    </w:tbl>
    <w:p w:rsidR="00D849AA" w:rsidRDefault="00D849AA">
      <w:pPr>
        <w:jc w:val="left"/>
      </w:pPr>
    </w:p>
    <w:p w:rsidR="00D849AA" w:rsidRDefault="00EE6D95">
      <w:pPr>
        <w:pStyle w:val="Naslov2"/>
      </w:pPr>
      <w:r>
        <w:lastRenderedPageBreak/>
        <w:t>11045 Županijski sudovi</w:t>
      </w:r>
    </w:p>
    <w:p w:rsidR="00D849AA" w:rsidRDefault="00EE6D95">
      <w:pPr>
        <w:pStyle w:val="Naslov4"/>
      </w:pPr>
      <w:r>
        <w:t>Uvod</w:t>
      </w:r>
    </w:p>
    <w:p w:rsidR="00D849AA" w:rsidRDefault="00EE6D95">
      <w:pPr>
        <w:pStyle w:val="Normal3"/>
      </w:pPr>
      <w:r>
        <w:t xml:space="preserve">Glava 11045 – Županijski sudovi obuhvaća 15 Županijskih sudova čiji je djelokrug rada propisan Zakonom o sudovima, te drugim zakonima i programima, a ustrojavaju se kao redovni sudovi za područje jedne ili više županija. Županijski sudovi su nadležni za drugostupanjski sudski postupak nakon odluke Općinskog suda ali i za zaštitu od nezakonitih radnji i odluka donesenih od strane službenih osoba i tijela državne vlasti, odnosno nezakonitih radnji i odluke odgovornih osoba u </w:t>
      </w:r>
    </w:p>
    <w:p w:rsidR="00D849AA" w:rsidRDefault="00EE6D95">
      <w:pPr>
        <w:pStyle w:val="Normal3"/>
      </w:pPr>
      <w:r>
        <w:t>trgovačkom društvu u prvom stupnju.</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11045</w:t>
            </w:r>
          </w:p>
        </w:tc>
        <w:tc>
          <w:tcPr>
            <w:tcW w:w="1486" w:type="dxa"/>
          </w:tcPr>
          <w:p w:rsidR="00D849AA" w:rsidRDefault="00EE6D95">
            <w:r>
              <w:t>253.482.000</w:t>
            </w:r>
          </w:p>
        </w:tc>
        <w:tc>
          <w:tcPr>
            <w:tcW w:w="1486" w:type="dxa"/>
          </w:tcPr>
          <w:p w:rsidR="00D849AA" w:rsidRDefault="00EE6D95">
            <w:r>
              <w:t>262.053.000</w:t>
            </w:r>
          </w:p>
        </w:tc>
        <w:tc>
          <w:tcPr>
            <w:tcW w:w="1486" w:type="dxa"/>
          </w:tcPr>
          <w:p w:rsidR="00D849AA" w:rsidRDefault="00EE6D95">
            <w:r>
              <w:t>266.439.000</w:t>
            </w:r>
          </w:p>
        </w:tc>
        <w:tc>
          <w:tcPr>
            <w:tcW w:w="1486" w:type="dxa"/>
          </w:tcPr>
          <w:p w:rsidR="00D849AA" w:rsidRDefault="00EE6D95">
            <w:r>
              <w:t>256.138.000</w:t>
            </w:r>
          </w:p>
        </w:tc>
        <w:tc>
          <w:tcPr>
            <w:tcW w:w="1486" w:type="dxa"/>
          </w:tcPr>
          <w:p w:rsidR="00D849AA" w:rsidRDefault="00EE6D95">
            <w:r>
              <w:t>103,4</w:t>
            </w:r>
          </w:p>
        </w:tc>
      </w:tr>
    </w:tbl>
    <w:p w:rsidR="00D849AA" w:rsidRDefault="00D849AA">
      <w:pPr>
        <w:jc w:val="left"/>
      </w:pPr>
    </w:p>
    <w:p w:rsidR="00D849AA" w:rsidRDefault="00EE6D95">
      <w:pPr>
        <w:pStyle w:val="Naslov4"/>
      </w:pPr>
      <w:r>
        <w:t>OBRAZLOŽENJE PROGRAMA</w:t>
      </w:r>
    </w:p>
    <w:p w:rsidR="00D849AA" w:rsidRDefault="00EE6D95">
      <w:pPr>
        <w:pStyle w:val="Naslov5"/>
      </w:pPr>
      <w:r>
        <w:t>2803 VOĐENJE SUDSKIH POSTUPAKA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2803</w:t>
            </w:r>
          </w:p>
        </w:tc>
        <w:tc>
          <w:tcPr>
            <w:tcW w:w="1486" w:type="dxa"/>
          </w:tcPr>
          <w:p w:rsidR="00D849AA" w:rsidRDefault="00EE6D95">
            <w:r>
              <w:t>253.482.000</w:t>
            </w:r>
          </w:p>
        </w:tc>
        <w:tc>
          <w:tcPr>
            <w:tcW w:w="1486" w:type="dxa"/>
          </w:tcPr>
          <w:p w:rsidR="00D849AA" w:rsidRDefault="00EE6D95">
            <w:r>
              <w:t>262.053.000</w:t>
            </w:r>
          </w:p>
        </w:tc>
        <w:tc>
          <w:tcPr>
            <w:tcW w:w="1486" w:type="dxa"/>
          </w:tcPr>
          <w:p w:rsidR="00D849AA" w:rsidRDefault="00EE6D95">
            <w:r>
              <w:t>266.439.000</w:t>
            </w:r>
          </w:p>
        </w:tc>
        <w:tc>
          <w:tcPr>
            <w:tcW w:w="1486" w:type="dxa"/>
          </w:tcPr>
          <w:p w:rsidR="00D849AA" w:rsidRDefault="00EE6D95">
            <w:r>
              <w:t>256.138.000</w:t>
            </w:r>
          </w:p>
        </w:tc>
        <w:tc>
          <w:tcPr>
            <w:tcW w:w="1486" w:type="dxa"/>
          </w:tcPr>
          <w:p w:rsidR="00D849AA" w:rsidRDefault="00EE6D95">
            <w:r>
              <w:t>103,4</w:t>
            </w:r>
          </w:p>
        </w:tc>
      </w:tr>
    </w:tbl>
    <w:p w:rsidR="00D849AA" w:rsidRDefault="00D849AA">
      <w:pPr>
        <w:jc w:val="left"/>
      </w:pPr>
    </w:p>
    <w:p w:rsidR="00D849AA" w:rsidRDefault="00EE6D95">
      <w:pPr>
        <w:pStyle w:val="Naslov6"/>
      </w:pPr>
      <w:r>
        <w:t>Opis programa</w:t>
      </w:r>
    </w:p>
    <w:p w:rsidR="00D849AA" w:rsidRDefault="00EE6D95">
      <w:pPr>
        <w:pStyle w:val="Normal5"/>
      </w:pPr>
      <w:r>
        <w:t>Prema Ustavu Republike Hrvatske nositelji sudbene vlasti su sudovi. U okviru svojih ustavnih zadaća i Zakonom o sudovima utvrđenih nadležnosti u Republici Hrvatskoj sudske postupke vode slijedeći sudovi: Vrhovni sud RH, Visoki trgovački sud RH, Visoki upravni sud RH,Visoki prekršajni sud RH, upravni sudovi , županijski sudovi, trgovački sudovi, općinski sudovi i prekršajni sudovi. U Državnom proračunu Republike Hrvatske „Program vođenje sudskih postupaka“ obuhvaća vođenje sudskih postupaka iz nadležnosti Vrhovnog suda Republike Hrvatske, Visokog trgovačkog suda RH, Visokog upravnog suda Republike Hrvatske, Visokog prekršajnog suda Republike Hrvatske, upravnih sudova, županijskih sudova, trgovačkih sudova, općinskih sudova i prekršajnih sudova.</w:t>
      </w:r>
    </w:p>
    <w:p w:rsidR="00D849AA" w:rsidRDefault="00EE6D95">
      <w:pPr>
        <w:pStyle w:val="Naslov6"/>
      </w:pPr>
      <w:r>
        <w:t>Zakonske i druge pravne osnove</w:t>
      </w:r>
    </w:p>
    <w:p w:rsidR="00D849AA" w:rsidRDefault="00EE6D95">
      <w:pPr>
        <w:pStyle w:val="Normal5"/>
      </w:pPr>
      <w:r>
        <w:t>Zakon o sudovima („Narodne novine“, broj 150/05, 16/07, 113/08, 153/09, 116/10, 122/10, 27/11, 130/11 i 28/13) i Zakon o područjima i sjedištima sudova („Narodne novine“, broj 3/94, 104/97, 59/01, 121/05, 85/08, 144/10 i 84/11).</w:t>
      </w:r>
    </w:p>
    <w:p w:rsidR="00D849AA" w:rsidRDefault="00EE6D95">
      <w:pPr>
        <w:pStyle w:val="Naslov6"/>
      </w:pPr>
      <w:r>
        <w:lastRenderedPageBreak/>
        <w:t>Ciljevi provedbe programa u razdoblju 2014.-2016. i pokazatelji uspješnosti kojima će se mjeriti ostvarenje tih ciljeva</w:t>
      </w:r>
    </w:p>
    <w:p w:rsidR="00D849AA" w:rsidRDefault="00EE6D95">
      <w:pPr>
        <w:pStyle w:val="Naslov7"/>
      </w:pPr>
      <w:r>
        <w:t xml:space="preserve">Cilj 1. Jedinstvena primjena zakona i ravnopravnost građana te jednakost svih pred zakonom </w:t>
      </w:r>
    </w:p>
    <w:p w:rsidR="00D849AA" w:rsidRDefault="00EE6D95">
      <w:pPr>
        <w:pStyle w:val="Normal6"/>
      </w:pPr>
      <w:r>
        <w:t>Osiguranje jedinstvene primjene zakona i ravnopravnost građana te jednakost svih pred zakonom.</w:t>
      </w:r>
    </w:p>
    <w:p w:rsidR="00D849AA" w:rsidRDefault="00EE6D95">
      <w:pPr>
        <w:pStyle w:val="Naslov5"/>
      </w:pPr>
      <w:r>
        <w:t>Procjena i ishodište potrebnih sredstava za značajnije aktivnosti/projekte</w:t>
      </w:r>
    </w:p>
    <w:p w:rsidR="00D849AA" w:rsidRDefault="00EE6D95">
      <w:pPr>
        <w:pStyle w:val="Naslov6"/>
      </w:pPr>
      <w:r>
        <w:t>A638000 VOĐENJE SUDSKIH POSTUPAKA IZ NADLEŽNOSTI ŽUPANIJSKIH SUDOVA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A638000</w:t>
            </w:r>
          </w:p>
        </w:tc>
        <w:tc>
          <w:tcPr>
            <w:tcW w:w="1486" w:type="dxa"/>
          </w:tcPr>
          <w:p w:rsidR="00D849AA" w:rsidRDefault="00EE6D95">
            <w:r>
              <w:t>253.482.000</w:t>
            </w:r>
          </w:p>
        </w:tc>
        <w:tc>
          <w:tcPr>
            <w:tcW w:w="1486" w:type="dxa"/>
          </w:tcPr>
          <w:p w:rsidR="00D849AA" w:rsidRDefault="00EE6D95">
            <w:r>
              <w:t>262.053.000</w:t>
            </w:r>
          </w:p>
        </w:tc>
        <w:tc>
          <w:tcPr>
            <w:tcW w:w="1486" w:type="dxa"/>
          </w:tcPr>
          <w:p w:rsidR="00D849AA" w:rsidRDefault="00EE6D95">
            <w:r>
              <w:t>266.439.000</w:t>
            </w:r>
          </w:p>
        </w:tc>
        <w:tc>
          <w:tcPr>
            <w:tcW w:w="1486" w:type="dxa"/>
          </w:tcPr>
          <w:p w:rsidR="00D849AA" w:rsidRDefault="00EE6D95">
            <w:r>
              <w:t>256.138.000</w:t>
            </w:r>
          </w:p>
        </w:tc>
        <w:tc>
          <w:tcPr>
            <w:tcW w:w="1486" w:type="dxa"/>
          </w:tcPr>
          <w:p w:rsidR="00D849AA" w:rsidRDefault="00EE6D95">
            <w:r>
              <w:t>103,4</w:t>
            </w:r>
          </w:p>
        </w:tc>
      </w:tr>
    </w:tbl>
    <w:p w:rsidR="00D849AA" w:rsidRDefault="00D849AA">
      <w:pPr>
        <w:jc w:val="left"/>
      </w:pPr>
    </w:p>
    <w:p w:rsidR="00D849AA" w:rsidRDefault="00EE6D95">
      <w:pPr>
        <w:pStyle w:val="Normal6"/>
      </w:pPr>
      <w:r>
        <w:t xml:space="preserve">Županijski sudovi su nadležni za drugostupanjski sudski postupak nakon odluke Općinskog suda ali i za zaštitu od nezakonitih radnji i odluka donesenih od strane službenih osoba i tijela državne vlasti, odnosno nezakonitih radnji i odluke odgovornih </w:t>
      </w:r>
    </w:p>
    <w:p w:rsidR="00D849AA" w:rsidRDefault="00EE6D95">
      <w:pPr>
        <w:pStyle w:val="Normal6"/>
      </w:pPr>
      <w:r>
        <w:t>osoba u trgovačkom društvu u prvom stupnju. Ovom aktivnošću osiguravaju se sredstva za redovan rad Županijskih sudova.</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 xml:space="preserve">Smanjenje zaostataka </w:t>
            </w:r>
          </w:p>
          <w:p w:rsidR="00D849AA" w:rsidRDefault="00EE6D95">
            <w:pPr>
              <w:pStyle w:val="CellColumn"/>
            </w:pPr>
            <w:r>
              <w:t>neriješenih predmeta</w:t>
            </w:r>
          </w:p>
        </w:tc>
        <w:tc>
          <w:tcPr>
            <w:tcW w:w="1114" w:type="dxa"/>
          </w:tcPr>
          <w:p w:rsidR="00D849AA" w:rsidRDefault="00EE6D95">
            <w:r>
              <w:t>broj</w:t>
            </w:r>
          </w:p>
        </w:tc>
        <w:tc>
          <w:tcPr>
            <w:tcW w:w="1114" w:type="dxa"/>
          </w:tcPr>
          <w:p w:rsidR="00D849AA" w:rsidRDefault="00EE6D95">
            <w:r>
              <w:t>65809</w:t>
            </w:r>
          </w:p>
        </w:tc>
        <w:tc>
          <w:tcPr>
            <w:tcW w:w="1486" w:type="dxa"/>
          </w:tcPr>
          <w:p w:rsidR="00D849AA" w:rsidRDefault="00EE6D95">
            <w:r>
              <w:t>63835</w:t>
            </w:r>
          </w:p>
        </w:tc>
        <w:tc>
          <w:tcPr>
            <w:tcW w:w="1486" w:type="dxa"/>
          </w:tcPr>
          <w:p w:rsidR="00D849AA" w:rsidRDefault="00EE6D95">
            <w:r>
              <w:t>63506</w:t>
            </w:r>
          </w:p>
        </w:tc>
        <w:tc>
          <w:tcPr>
            <w:tcW w:w="1486" w:type="dxa"/>
          </w:tcPr>
          <w:p w:rsidR="00D849AA" w:rsidRDefault="00EE6D95">
            <w:r>
              <w:t>63005</w:t>
            </w:r>
          </w:p>
        </w:tc>
      </w:tr>
    </w:tbl>
    <w:p w:rsidR="00D849AA" w:rsidRDefault="00D849AA">
      <w:pPr>
        <w:jc w:val="left"/>
      </w:pPr>
    </w:p>
    <w:p w:rsidR="00D849AA" w:rsidRDefault="00EE6D95">
      <w:pPr>
        <w:pStyle w:val="Naslov2"/>
      </w:pPr>
      <w:r>
        <w:t>11050 Trgovački sudovi</w:t>
      </w:r>
    </w:p>
    <w:p w:rsidR="00D849AA" w:rsidRDefault="00EE6D95">
      <w:pPr>
        <w:pStyle w:val="Naslov4"/>
      </w:pPr>
      <w:r>
        <w:t>Uvod</w:t>
      </w:r>
    </w:p>
    <w:p w:rsidR="00D849AA" w:rsidRDefault="00EE6D95">
      <w:pPr>
        <w:pStyle w:val="Normal3"/>
      </w:pPr>
      <w:r>
        <w:t>Glava 11050 – Trgovački sudovi obuhvaća 7 trgovačkih sudova čija je stvarna nadležnost određena Zakonom o sudovima, a mjesna nadležnost trgovačkih sudova određena je Zakonom o područjima i sjedištima sudova i drugim zakonima, Zakonom o parničnom postupku, Zakonom o sudskom registru, Stečajnim zakonom i odredbama Ovršnog zakona. Trgovački sudovi u izvanparničnom postupku obavljaju sljedeće poslove: postupaju u registarskim stvarima i vode sudske registre; odlučuju o prijedlozima u svezi s osnivanjem, rada i prestanka trgovačkog društva; određuju i provode ovrhu odluka koje su donijeli, kao i sporove koji nastanu u tijeku i povodom ovrha tih odluka, a provođenje ovrhe na nenovčanim sredstvima ovršenika mogu povjeriti općinskom sudu; provode postupak priznanja i ovrhe inozemnih sudskih odluka kao i arbitražnih odluka u trgovačkim sporovima te odlučuju o prijedlozima za otvaranje stečajnog postupka i provode stečajne postupke.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11050</w:t>
            </w:r>
          </w:p>
        </w:tc>
        <w:tc>
          <w:tcPr>
            <w:tcW w:w="1486" w:type="dxa"/>
          </w:tcPr>
          <w:p w:rsidR="00D849AA" w:rsidRDefault="00EE6D95">
            <w:r>
              <w:t>81.354.500</w:t>
            </w:r>
          </w:p>
        </w:tc>
        <w:tc>
          <w:tcPr>
            <w:tcW w:w="1486" w:type="dxa"/>
          </w:tcPr>
          <w:p w:rsidR="00D849AA" w:rsidRDefault="00EE6D95">
            <w:r>
              <w:t>85.180.000</w:t>
            </w:r>
          </w:p>
        </w:tc>
        <w:tc>
          <w:tcPr>
            <w:tcW w:w="1486" w:type="dxa"/>
          </w:tcPr>
          <w:p w:rsidR="00D849AA" w:rsidRDefault="00EE6D95">
            <w:r>
              <w:t>85.203.350</w:t>
            </w:r>
          </w:p>
        </w:tc>
        <w:tc>
          <w:tcPr>
            <w:tcW w:w="1486" w:type="dxa"/>
          </w:tcPr>
          <w:p w:rsidR="00D849AA" w:rsidRDefault="00EE6D95">
            <w:r>
              <w:t>85.496.350</w:t>
            </w:r>
          </w:p>
        </w:tc>
        <w:tc>
          <w:tcPr>
            <w:tcW w:w="1486" w:type="dxa"/>
          </w:tcPr>
          <w:p w:rsidR="00D849AA" w:rsidRDefault="00EE6D95">
            <w:r>
              <w:t>104,7</w:t>
            </w:r>
          </w:p>
        </w:tc>
      </w:tr>
    </w:tbl>
    <w:p w:rsidR="00D849AA" w:rsidRDefault="00D849AA">
      <w:pPr>
        <w:jc w:val="left"/>
      </w:pPr>
    </w:p>
    <w:p w:rsidR="00D849AA" w:rsidRDefault="00EE6D95">
      <w:pPr>
        <w:pStyle w:val="Naslov4"/>
      </w:pPr>
      <w:r>
        <w:t>OBRAZLOŽENJE PROGRAMA</w:t>
      </w:r>
    </w:p>
    <w:p w:rsidR="00D849AA" w:rsidRDefault="00EE6D95">
      <w:pPr>
        <w:pStyle w:val="Naslov5"/>
      </w:pPr>
      <w:r>
        <w:t>2803 VOĐENJE SUDSKIH POSTUPAKA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2803</w:t>
            </w:r>
          </w:p>
        </w:tc>
        <w:tc>
          <w:tcPr>
            <w:tcW w:w="1486" w:type="dxa"/>
          </w:tcPr>
          <w:p w:rsidR="00D849AA" w:rsidRDefault="00EE6D95">
            <w:r>
              <w:t>81.354.500</w:t>
            </w:r>
          </w:p>
        </w:tc>
        <w:tc>
          <w:tcPr>
            <w:tcW w:w="1486" w:type="dxa"/>
          </w:tcPr>
          <w:p w:rsidR="00D849AA" w:rsidRDefault="00EE6D95">
            <w:r>
              <w:t>85.180.000</w:t>
            </w:r>
          </w:p>
        </w:tc>
        <w:tc>
          <w:tcPr>
            <w:tcW w:w="1486" w:type="dxa"/>
          </w:tcPr>
          <w:p w:rsidR="00D849AA" w:rsidRDefault="00EE6D95">
            <w:r>
              <w:t>85.203.350</w:t>
            </w:r>
          </w:p>
        </w:tc>
        <w:tc>
          <w:tcPr>
            <w:tcW w:w="1486" w:type="dxa"/>
          </w:tcPr>
          <w:p w:rsidR="00D849AA" w:rsidRDefault="00EE6D95">
            <w:r>
              <w:t>85.496.350</w:t>
            </w:r>
          </w:p>
        </w:tc>
        <w:tc>
          <w:tcPr>
            <w:tcW w:w="1486" w:type="dxa"/>
          </w:tcPr>
          <w:p w:rsidR="00D849AA" w:rsidRDefault="00EE6D95">
            <w:r>
              <w:t>104,7</w:t>
            </w:r>
          </w:p>
        </w:tc>
      </w:tr>
    </w:tbl>
    <w:p w:rsidR="00D849AA" w:rsidRDefault="00D849AA">
      <w:pPr>
        <w:jc w:val="left"/>
      </w:pPr>
    </w:p>
    <w:p w:rsidR="00D849AA" w:rsidRDefault="00EE6D95">
      <w:pPr>
        <w:pStyle w:val="Naslov6"/>
      </w:pPr>
      <w:r>
        <w:t>Opis programa</w:t>
      </w:r>
    </w:p>
    <w:p w:rsidR="00D849AA" w:rsidRDefault="00EE6D95">
      <w:pPr>
        <w:pStyle w:val="Normal5"/>
      </w:pPr>
      <w:r>
        <w:t>Prema Ustavu Republike Hrvatske nositelji sudbene vlasti su sudovi. U okviru svojih ustavnih zadaća i Zakonom o sudovima utvrđenih nadležnosti u Republici Hrvatskoj sudske postupke vode slijedeći sudovi: Vrhovni sud RH, Visoki trgovački sud RH, Visoki upravni sud RH,Visoki prekršajni sud RH, upravni sudovi , županijski sudovi, trgovački sudovi, općinski sudovi i prekršajni sudovi. U Državnom proračunu Republike Hrvatske „Program vođenje sudskih postupaka“ obuhvaća vođenje sudskih postupaka iz nadležnosti Vrhovnog suda Republike Hrvatske, Visokog trgovačkog suda RH, Visokog upravnog suda Republike Hrvatske, Visokog prekršajnog suda Republike Hrvatske, upravnih sudova, županijskih sudova, trgovačkih sudova, općinskih sudova i prekršajnih sudova.</w:t>
      </w:r>
    </w:p>
    <w:p w:rsidR="00D849AA" w:rsidRDefault="00EE6D95">
      <w:pPr>
        <w:pStyle w:val="Naslov6"/>
      </w:pPr>
      <w:r>
        <w:t>Zakonske i druge pravne osnove</w:t>
      </w:r>
    </w:p>
    <w:p w:rsidR="00D849AA" w:rsidRDefault="00EE6D95">
      <w:pPr>
        <w:pStyle w:val="Normal5"/>
      </w:pPr>
      <w:r>
        <w:t>Zakon o sudovima („Narodne novine“, broj 150/05, 16/07, 113/08, 153/09, 116/10, 122/10, 27/11, 130/11 i 28/13) i Zakon o područjima i sjedištima sudova („Narodne novine“, broj 3/94, 104/97, 59/01, 121/05, 85/08, 144/10 i 84/11).</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 xml:space="preserve">Cilj 1. Jedinstvena primjena zakona i ravnopravnost građana te jednakost svih pred zakonom </w:t>
      </w:r>
    </w:p>
    <w:p w:rsidR="00D849AA" w:rsidRDefault="00EE6D95">
      <w:pPr>
        <w:pStyle w:val="Normal6"/>
      </w:pPr>
      <w:r>
        <w:t>Osiguranje jedinstvene primjene zakona i ravnopravnost građana te jednakost svih pred zakonom.</w:t>
      </w:r>
    </w:p>
    <w:p w:rsidR="00D849AA" w:rsidRDefault="00EE6D95">
      <w:pPr>
        <w:pStyle w:val="Naslov5"/>
      </w:pPr>
      <w:r>
        <w:t>Procjena i ishodište potrebnih sredstava za značajnije aktivnosti/projekte</w:t>
      </w:r>
    </w:p>
    <w:p w:rsidR="00D849AA" w:rsidRDefault="00EE6D95">
      <w:pPr>
        <w:pStyle w:val="Naslov6"/>
      </w:pPr>
      <w:r>
        <w:t>A639000 VOĐENJE SUDSKIH POSTUPAKA IZ NADLEŽNOSTI TRGOVAČKIH SUDOVA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A639000</w:t>
            </w:r>
          </w:p>
        </w:tc>
        <w:tc>
          <w:tcPr>
            <w:tcW w:w="1486" w:type="dxa"/>
          </w:tcPr>
          <w:p w:rsidR="00D849AA" w:rsidRDefault="00EE6D95">
            <w:r>
              <w:t>81.354.500</w:t>
            </w:r>
          </w:p>
        </w:tc>
        <w:tc>
          <w:tcPr>
            <w:tcW w:w="1486" w:type="dxa"/>
          </w:tcPr>
          <w:p w:rsidR="00D849AA" w:rsidRDefault="00EE6D95">
            <w:r>
              <w:t>85.180.000</w:t>
            </w:r>
          </w:p>
        </w:tc>
        <w:tc>
          <w:tcPr>
            <w:tcW w:w="1486" w:type="dxa"/>
          </w:tcPr>
          <w:p w:rsidR="00D849AA" w:rsidRDefault="00EE6D95">
            <w:r>
              <w:t>85.203.350</w:t>
            </w:r>
          </w:p>
        </w:tc>
        <w:tc>
          <w:tcPr>
            <w:tcW w:w="1486" w:type="dxa"/>
          </w:tcPr>
          <w:p w:rsidR="00D849AA" w:rsidRDefault="00EE6D95">
            <w:r>
              <w:t>85.496.350</w:t>
            </w:r>
          </w:p>
        </w:tc>
        <w:tc>
          <w:tcPr>
            <w:tcW w:w="1486" w:type="dxa"/>
          </w:tcPr>
          <w:p w:rsidR="00D849AA" w:rsidRDefault="00EE6D95">
            <w:r>
              <w:t>104,7</w:t>
            </w:r>
          </w:p>
        </w:tc>
      </w:tr>
    </w:tbl>
    <w:p w:rsidR="00D849AA" w:rsidRDefault="00D849AA">
      <w:pPr>
        <w:jc w:val="left"/>
      </w:pPr>
    </w:p>
    <w:p w:rsidR="00D849AA" w:rsidRDefault="00EE6D95">
      <w:pPr>
        <w:pStyle w:val="Normal6"/>
      </w:pPr>
      <w:r>
        <w:t>Trgovački sudovi u izvanparničnom postupku obavljaju slijedeće poslove: postupaju u registarskim stvarima i vode sudske registre, odlučuju o prijedlozima u svezi s osnivanjem, radom i prestankom trgovačkog društva, određuju i provode ovrhe sukladno odlukama koje su donijeli, kao i sporove koji nastanu u tijeku i povodom ovrha, provode postupak priznanja i ovrhe inozemnih sudskih odluka kao i arbitražnih odluka u trgovačkim sporovima te odlučuju o prijedlozima za otvaranje stečajnog postupka i provode stečajne postupke. Ovom aktivnošću osiguravaju se sredstva za redovan rad Trgovačkih sudova.</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 xml:space="preserve">Smanjenje zaostataka </w:t>
            </w:r>
          </w:p>
          <w:p w:rsidR="00D849AA" w:rsidRDefault="00EE6D95">
            <w:pPr>
              <w:pStyle w:val="CellColumn"/>
            </w:pPr>
            <w:r>
              <w:t>neriješenih predmeta</w:t>
            </w:r>
          </w:p>
        </w:tc>
        <w:tc>
          <w:tcPr>
            <w:tcW w:w="1114" w:type="dxa"/>
          </w:tcPr>
          <w:p w:rsidR="00D849AA" w:rsidRDefault="00EE6D95">
            <w:r>
              <w:t>broj</w:t>
            </w:r>
          </w:p>
        </w:tc>
        <w:tc>
          <w:tcPr>
            <w:tcW w:w="1114" w:type="dxa"/>
          </w:tcPr>
          <w:p w:rsidR="00D849AA" w:rsidRDefault="00EE6D95">
            <w:r>
              <w:t>46989</w:t>
            </w:r>
          </w:p>
        </w:tc>
        <w:tc>
          <w:tcPr>
            <w:tcW w:w="1486" w:type="dxa"/>
          </w:tcPr>
          <w:p w:rsidR="00D849AA" w:rsidRDefault="00EE6D95">
            <w:r>
              <w:t>46400</w:t>
            </w:r>
          </w:p>
        </w:tc>
        <w:tc>
          <w:tcPr>
            <w:tcW w:w="1486" w:type="dxa"/>
          </w:tcPr>
          <w:p w:rsidR="00D849AA" w:rsidRDefault="00EE6D95">
            <w:r>
              <w:t>46000</w:t>
            </w:r>
          </w:p>
        </w:tc>
        <w:tc>
          <w:tcPr>
            <w:tcW w:w="1486" w:type="dxa"/>
          </w:tcPr>
          <w:p w:rsidR="00D849AA" w:rsidRDefault="00EE6D95">
            <w:r>
              <w:t>45500</w:t>
            </w:r>
          </w:p>
        </w:tc>
      </w:tr>
    </w:tbl>
    <w:p w:rsidR="00D849AA" w:rsidRDefault="00D849AA">
      <w:pPr>
        <w:jc w:val="left"/>
      </w:pPr>
    </w:p>
    <w:p w:rsidR="00D849AA" w:rsidRDefault="00EE6D95">
      <w:pPr>
        <w:pStyle w:val="Naslov2"/>
      </w:pPr>
      <w:r>
        <w:t>11055 Županijska državna odvjetništva</w:t>
      </w:r>
    </w:p>
    <w:p w:rsidR="00D849AA" w:rsidRDefault="00EE6D95">
      <w:pPr>
        <w:pStyle w:val="Naslov4"/>
      </w:pPr>
      <w:r>
        <w:t>Uvod</w:t>
      </w:r>
    </w:p>
    <w:p w:rsidR="00D849AA" w:rsidRDefault="00EE6D95">
      <w:pPr>
        <w:pStyle w:val="Normal3"/>
      </w:pPr>
      <w:r>
        <w:t>Glava 11055 – Županijska državna odvjetništva obuhvaća 15 županijskih državnih odvjetništava koja su samostalna i neovisna pravosudna tijela ovlaštena i dužna postupati protiv počinitelja kaznenih djela i drugih kažnjivih djela, poduzimati pravne radnje radi zaštite imovine Republike Hrvatske te podnositi pravna sredstva za zaštitu Ustava i Zakona.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11055</w:t>
            </w:r>
          </w:p>
        </w:tc>
        <w:tc>
          <w:tcPr>
            <w:tcW w:w="1486" w:type="dxa"/>
          </w:tcPr>
          <w:p w:rsidR="00D849AA" w:rsidRDefault="00EE6D95">
            <w:r>
              <w:t>87.765.000</w:t>
            </w:r>
          </w:p>
        </w:tc>
        <w:tc>
          <w:tcPr>
            <w:tcW w:w="1486" w:type="dxa"/>
          </w:tcPr>
          <w:p w:rsidR="00D849AA" w:rsidRDefault="00EE6D95">
            <w:r>
              <w:t>85.655.000</w:t>
            </w:r>
          </w:p>
        </w:tc>
        <w:tc>
          <w:tcPr>
            <w:tcW w:w="1486" w:type="dxa"/>
          </w:tcPr>
          <w:p w:rsidR="00D849AA" w:rsidRDefault="00EE6D95">
            <w:r>
              <w:t>88.484.000</w:t>
            </w:r>
          </w:p>
        </w:tc>
        <w:tc>
          <w:tcPr>
            <w:tcW w:w="1486" w:type="dxa"/>
          </w:tcPr>
          <w:p w:rsidR="00D849AA" w:rsidRDefault="00EE6D95">
            <w:r>
              <w:t>86.829.000</w:t>
            </w:r>
          </w:p>
        </w:tc>
        <w:tc>
          <w:tcPr>
            <w:tcW w:w="1486" w:type="dxa"/>
          </w:tcPr>
          <w:p w:rsidR="00D849AA" w:rsidRDefault="00EE6D95">
            <w:r>
              <w:t>97,6</w:t>
            </w:r>
          </w:p>
        </w:tc>
      </w:tr>
    </w:tbl>
    <w:p w:rsidR="00D849AA" w:rsidRDefault="00D849AA">
      <w:pPr>
        <w:jc w:val="left"/>
      </w:pPr>
    </w:p>
    <w:p w:rsidR="00D849AA" w:rsidRDefault="00EE6D95">
      <w:pPr>
        <w:pStyle w:val="Naslov4"/>
      </w:pPr>
      <w:r>
        <w:t>OBRAZLOŽENJE PROGRAMA</w:t>
      </w:r>
    </w:p>
    <w:p w:rsidR="00D849AA" w:rsidRDefault="00EE6D95">
      <w:pPr>
        <w:pStyle w:val="Naslov5"/>
      </w:pPr>
      <w:r>
        <w:t>2812 DJELOVANJE DRŽAVNIH ODVJETNIŠTAVA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2812</w:t>
            </w:r>
          </w:p>
        </w:tc>
        <w:tc>
          <w:tcPr>
            <w:tcW w:w="1486" w:type="dxa"/>
          </w:tcPr>
          <w:p w:rsidR="00D849AA" w:rsidRDefault="00EE6D95">
            <w:r>
              <w:t>87.765.000</w:t>
            </w:r>
          </w:p>
        </w:tc>
        <w:tc>
          <w:tcPr>
            <w:tcW w:w="1486" w:type="dxa"/>
          </w:tcPr>
          <w:p w:rsidR="00D849AA" w:rsidRDefault="00EE6D95">
            <w:r>
              <w:t>85.655.000</w:t>
            </w:r>
          </w:p>
        </w:tc>
        <w:tc>
          <w:tcPr>
            <w:tcW w:w="1486" w:type="dxa"/>
          </w:tcPr>
          <w:p w:rsidR="00D849AA" w:rsidRDefault="00EE6D95">
            <w:r>
              <w:t>88.484.000</w:t>
            </w:r>
          </w:p>
        </w:tc>
        <w:tc>
          <w:tcPr>
            <w:tcW w:w="1486" w:type="dxa"/>
          </w:tcPr>
          <w:p w:rsidR="00D849AA" w:rsidRDefault="00EE6D95">
            <w:r>
              <w:t>86.829.000</w:t>
            </w:r>
          </w:p>
        </w:tc>
        <w:tc>
          <w:tcPr>
            <w:tcW w:w="1486" w:type="dxa"/>
          </w:tcPr>
          <w:p w:rsidR="00D849AA" w:rsidRDefault="00EE6D95">
            <w:r>
              <w:t>97,6</w:t>
            </w:r>
          </w:p>
        </w:tc>
      </w:tr>
    </w:tbl>
    <w:p w:rsidR="00D849AA" w:rsidRDefault="00D849AA">
      <w:pPr>
        <w:jc w:val="left"/>
      </w:pPr>
    </w:p>
    <w:p w:rsidR="00D849AA" w:rsidRDefault="00EE6D95">
      <w:pPr>
        <w:pStyle w:val="Naslov6"/>
      </w:pPr>
      <w:r>
        <w:t>Opis programa</w:t>
      </w:r>
    </w:p>
    <w:p w:rsidR="00D849AA" w:rsidRDefault="00EE6D95">
      <w:pPr>
        <w:pStyle w:val="Normal5"/>
      </w:pPr>
      <w:r>
        <w:t xml:space="preserve">Prema Zakonu o državnom odvjetništvu (NN 76/09, 153/09, 116/10, 145/10, 57/11, 130/11 i 72/13), državna odvjetništva su samostalna i neovisna pravosudna tijela ovlaštena i dužna </w:t>
      </w:r>
      <w:r>
        <w:lastRenderedPageBreak/>
        <w:t>postupati protiv počinitelja kaznenih djela i drugih kažnjivih djela, poduzimati pravne radnje radi zaštite imovine Republike Hrvatske te podnositi pravna sredstva za zaštitu Ustava i zakona. Prema Zakonu o državnom odvjetništvu, državna odvjetništva ostvaruju svoju zadaću sukladno utvrđenoj nadležnosti u općinskim i županijskim državnim odvjetništvima i Državnom odvjetništvu RH.</w:t>
      </w:r>
    </w:p>
    <w:p w:rsidR="00D849AA" w:rsidRDefault="00EE6D95">
      <w:pPr>
        <w:pStyle w:val="Naslov6"/>
      </w:pPr>
      <w:r>
        <w:t>Zakonske i druge pravne osnove</w:t>
      </w:r>
    </w:p>
    <w:p w:rsidR="00D849AA" w:rsidRDefault="00EE6D95">
      <w:pPr>
        <w:pStyle w:val="Normal5"/>
      </w:pPr>
      <w:r>
        <w:t>Zakon o Državnom sudbenom vijeću („Narodne novine“ broj 58/93, 49/99 i 129/00, 116/10, 57/11, 130/11 i 28/13), Zakon o državnom odvjetništvu („Narodne novine“ broj 76/09, 153/09, 116/10, 145/10, 57/11, 130/11 i 72/13), Zakon o područjima i sjedištima državnih odvjetništava („Narodne novine“ broj 146/08, 144/10, 84/11 i 130/11) i Zakon o USKOK-u (NN 76/09, 116/10 i 57/11).</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 xml:space="preserve">Cilj 1. Jedinstvena primjena zakona i ravnopravnost građana te jednakost svih pred zakonom </w:t>
      </w:r>
    </w:p>
    <w:p w:rsidR="00D849AA" w:rsidRDefault="00EE6D95">
      <w:pPr>
        <w:pStyle w:val="Normal6"/>
      </w:pPr>
      <w:r>
        <w:t>Osiguranje jedinstvene primjene zakona i ravnopravnost građana te jednakost svih pred zakonom.</w:t>
      </w:r>
    </w:p>
    <w:p w:rsidR="00D849AA" w:rsidRDefault="00EE6D95">
      <w:pPr>
        <w:pStyle w:val="Naslov5"/>
      </w:pPr>
      <w:r>
        <w:t>Procjena i ishodište potrebnih sredstava za značajnije aktivnosti/projekte</w:t>
      </w:r>
    </w:p>
    <w:p w:rsidR="00D849AA" w:rsidRDefault="00EE6D95">
      <w:pPr>
        <w:pStyle w:val="Naslov6"/>
      </w:pPr>
      <w:r>
        <w:t>A640000 PROGON POČINITELJA KAZNENIH I KAŽNJIVIH DJELA I ZAŠTITA IMOVINE RH PRED ŽUPANIJSKIM SUDOVIMA I UPRAVNIM TIJELIMA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A640000</w:t>
            </w:r>
          </w:p>
        </w:tc>
        <w:tc>
          <w:tcPr>
            <w:tcW w:w="1486" w:type="dxa"/>
          </w:tcPr>
          <w:p w:rsidR="00D849AA" w:rsidRDefault="00EE6D95">
            <w:r>
              <w:t>87.765.000</w:t>
            </w:r>
          </w:p>
        </w:tc>
        <w:tc>
          <w:tcPr>
            <w:tcW w:w="1486" w:type="dxa"/>
          </w:tcPr>
          <w:p w:rsidR="00D849AA" w:rsidRDefault="00EE6D95">
            <w:r>
              <w:t>85.655.000</w:t>
            </w:r>
          </w:p>
        </w:tc>
        <w:tc>
          <w:tcPr>
            <w:tcW w:w="1486" w:type="dxa"/>
          </w:tcPr>
          <w:p w:rsidR="00D849AA" w:rsidRDefault="00EE6D95">
            <w:r>
              <w:t>88.484.000</w:t>
            </w:r>
          </w:p>
        </w:tc>
        <w:tc>
          <w:tcPr>
            <w:tcW w:w="1486" w:type="dxa"/>
          </w:tcPr>
          <w:p w:rsidR="00D849AA" w:rsidRDefault="00EE6D95">
            <w:r>
              <w:t>86.829.000</w:t>
            </w:r>
          </w:p>
        </w:tc>
        <w:tc>
          <w:tcPr>
            <w:tcW w:w="1486" w:type="dxa"/>
          </w:tcPr>
          <w:p w:rsidR="00D849AA" w:rsidRDefault="00EE6D95">
            <w:r>
              <w:t>97,6</w:t>
            </w:r>
          </w:p>
        </w:tc>
      </w:tr>
    </w:tbl>
    <w:p w:rsidR="00D849AA" w:rsidRDefault="00D849AA">
      <w:pPr>
        <w:jc w:val="left"/>
      </w:pPr>
    </w:p>
    <w:p w:rsidR="00D849AA" w:rsidRDefault="00EE6D95">
      <w:pPr>
        <w:pStyle w:val="Normal6"/>
      </w:pPr>
      <w:r>
        <w:t>Ovom aktivnošću osiguravaju se sredstva za redovan rad Županijskih državnih odvjetništava.</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 xml:space="preserve">Smanjenje zaostataka </w:t>
            </w:r>
          </w:p>
          <w:p w:rsidR="00D849AA" w:rsidRDefault="00EE6D95">
            <w:pPr>
              <w:pStyle w:val="CellColumn"/>
            </w:pPr>
            <w:r>
              <w:t>neriješenih predmeta</w:t>
            </w:r>
          </w:p>
        </w:tc>
        <w:tc>
          <w:tcPr>
            <w:tcW w:w="1114" w:type="dxa"/>
          </w:tcPr>
          <w:p w:rsidR="00D849AA" w:rsidRDefault="00EE6D95">
            <w:r>
              <w:t>broj</w:t>
            </w:r>
          </w:p>
        </w:tc>
        <w:tc>
          <w:tcPr>
            <w:tcW w:w="1114" w:type="dxa"/>
          </w:tcPr>
          <w:p w:rsidR="00D849AA" w:rsidRDefault="00EE6D95">
            <w:r>
              <w:t>440</w:t>
            </w:r>
          </w:p>
        </w:tc>
        <w:tc>
          <w:tcPr>
            <w:tcW w:w="1486" w:type="dxa"/>
          </w:tcPr>
          <w:p w:rsidR="00D849AA" w:rsidRDefault="00EE6D95">
            <w:r>
              <w:t>430</w:t>
            </w:r>
          </w:p>
        </w:tc>
        <w:tc>
          <w:tcPr>
            <w:tcW w:w="1486" w:type="dxa"/>
          </w:tcPr>
          <w:p w:rsidR="00D849AA" w:rsidRDefault="00EE6D95">
            <w:r>
              <w:t>420</w:t>
            </w:r>
          </w:p>
        </w:tc>
        <w:tc>
          <w:tcPr>
            <w:tcW w:w="1486" w:type="dxa"/>
          </w:tcPr>
          <w:p w:rsidR="00D849AA" w:rsidRDefault="00EE6D95">
            <w:r>
              <w:t>420</w:t>
            </w:r>
          </w:p>
        </w:tc>
      </w:tr>
    </w:tbl>
    <w:p w:rsidR="00D849AA" w:rsidRDefault="00D849AA">
      <w:pPr>
        <w:jc w:val="left"/>
      </w:pPr>
    </w:p>
    <w:p w:rsidR="00D849AA" w:rsidRDefault="00EE6D95">
      <w:pPr>
        <w:pStyle w:val="Naslov2"/>
      </w:pPr>
      <w:r>
        <w:lastRenderedPageBreak/>
        <w:t>11065 Općinski sudovi</w:t>
      </w:r>
    </w:p>
    <w:p w:rsidR="00D849AA" w:rsidRDefault="00EE6D95">
      <w:pPr>
        <w:pStyle w:val="Naslov4"/>
      </w:pPr>
      <w:r>
        <w:t>Uvod</w:t>
      </w:r>
    </w:p>
    <w:p w:rsidR="00D849AA" w:rsidRDefault="00EE6D95">
      <w:pPr>
        <w:pStyle w:val="Normal3"/>
      </w:pPr>
      <w:r>
        <w:t xml:space="preserve">Glava 11065 – Općinski sudovi obuhvaća 67 općinskih sudova koji su osnovani temeljem Zakona o sudovima i Zakona o područjima i sjedištima sudova. Pored nadležnosti propisane drugim zakonima, općinski sudovi rješavaju: izvanparnične i ovršne predmete ako rješavanje tih stvari nije povjereno drugom sudu; ostavinske predmete, zemljišnoknjižne predmete i vode zemljišne knjige; o priznanju i ovrsi odluka stranih sudova te obavljaju poslove međunarodne pravne pomoći </w:t>
      </w:r>
    </w:p>
    <w:p w:rsidR="00D849AA" w:rsidRDefault="00EE6D95">
      <w:pPr>
        <w:pStyle w:val="Normal3"/>
      </w:pPr>
      <w:r>
        <w:t>u postupcima iz svoje nadležnosti. Općinski sudovi rješavaju u svim predmetima Zakona o sudovima koji nisu stavljeni u djelokrug nekoga drugog suda ili javnog bilježnika. U kaznenim predmetima protiv vojnih osoba, vojnih službenika i vojnih namještenika u službi u oružanim snagama za kaznena djela u obavljanju službe, za kaznena djela iz nadležnosti općinskih sudova  sude općinski sudovi s potpunom nadležnošću.</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11065</w:t>
            </w:r>
          </w:p>
        </w:tc>
        <w:tc>
          <w:tcPr>
            <w:tcW w:w="1486" w:type="dxa"/>
          </w:tcPr>
          <w:p w:rsidR="00D849AA" w:rsidRDefault="00EE6D95">
            <w:r>
              <w:t>604.354.000</w:t>
            </w:r>
          </w:p>
        </w:tc>
        <w:tc>
          <w:tcPr>
            <w:tcW w:w="1486" w:type="dxa"/>
          </w:tcPr>
          <w:p w:rsidR="00D849AA" w:rsidRDefault="00EE6D95">
            <w:r>
              <w:t>597.500.700</w:t>
            </w:r>
          </w:p>
        </w:tc>
        <w:tc>
          <w:tcPr>
            <w:tcW w:w="1486" w:type="dxa"/>
          </w:tcPr>
          <w:p w:rsidR="00D849AA" w:rsidRDefault="00EE6D95">
            <w:r>
              <w:t>618.452.680</w:t>
            </w:r>
          </w:p>
        </w:tc>
        <w:tc>
          <w:tcPr>
            <w:tcW w:w="1486" w:type="dxa"/>
          </w:tcPr>
          <w:p w:rsidR="00D849AA" w:rsidRDefault="00EE6D95">
            <w:r>
              <w:t>610.654.850</w:t>
            </w:r>
          </w:p>
        </w:tc>
        <w:tc>
          <w:tcPr>
            <w:tcW w:w="1486" w:type="dxa"/>
          </w:tcPr>
          <w:p w:rsidR="00D849AA" w:rsidRDefault="00EE6D95">
            <w:r>
              <w:t>98,9</w:t>
            </w:r>
          </w:p>
        </w:tc>
      </w:tr>
    </w:tbl>
    <w:p w:rsidR="00D849AA" w:rsidRDefault="00D849AA">
      <w:pPr>
        <w:jc w:val="left"/>
      </w:pPr>
    </w:p>
    <w:p w:rsidR="00D849AA" w:rsidRDefault="00EE6D95">
      <w:pPr>
        <w:pStyle w:val="Naslov4"/>
      </w:pPr>
      <w:r>
        <w:t>OBRAZLOŽENJE PROGRAMA</w:t>
      </w:r>
    </w:p>
    <w:p w:rsidR="00D849AA" w:rsidRDefault="00EE6D95">
      <w:pPr>
        <w:pStyle w:val="Naslov5"/>
      </w:pPr>
      <w:r>
        <w:t>2803 VOĐENJE SUDSKIH POSTUPAKA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2803</w:t>
            </w:r>
          </w:p>
        </w:tc>
        <w:tc>
          <w:tcPr>
            <w:tcW w:w="1486" w:type="dxa"/>
          </w:tcPr>
          <w:p w:rsidR="00D849AA" w:rsidRDefault="00EE6D95">
            <w:r>
              <w:t>604.354.000</w:t>
            </w:r>
          </w:p>
        </w:tc>
        <w:tc>
          <w:tcPr>
            <w:tcW w:w="1486" w:type="dxa"/>
          </w:tcPr>
          <w:p w:rsidR="00D849AA" w:rsidRDefault="00EE6D95">
            <w:r>
              <w:t>597.500.700</w:t>
            </w:r>
          </w:p>
        </w:tc>
        <w:tc>
          <w:tcPr>
            <w:tcW w:w="1486" w:type="dxa"/>
          </w:tcPr>
          <w:p w:rsidR="00D849AA" w:rsidRDefault="00EE6D95">
            <w:r>
              <w:t>618.452.680</w:t>
            </w:r>
          </w:p>
        </w:tc>
        <w:tc>
          <w:tcPr>
            <w:tcW w:w="1486" w:type="dxa"/>
          </w:tcPr>
          <w:p w:rsidR="00D849AA" w:rsidRDefault="00EE6D95">
            <w:r>
              <w:t>610.654.850</w:t>
            </w:r>
          </w:p>
        </w:tc>
        <w:tc>
          <w:tcPr>
            <w:tcW w:w="1486" w:type="dxa"/>
          </w:tcPr>
          <w:p w:rsidR="00D849AA" w:rsidRDefault="00EE6D95">
            <w:r>
              <w:t>98,9</w:t>
            </w:r>
          </w:p>
        </w:tc>
      </w:tr>
    </w:tbl>
    <w:p w:rsidR="00D849AA" w:rsidRDefault="00D849AA">
      <w:pPr>
        <w:jc w:val="left"/>
      </w:pPr>
    </w:p>
    <w:p w:rsidR="00D849AA" w:rsidRDefault="00EE6D95">
      <w:pPr>
        <w:pStyle w:val="Naslov6"/>
      </w:pPr>
      <w:r>
        <w:t>Opis programa</w:t>
      </w:r>
    </w:p>
    <w:p w:rsidR="00D849AA" w:rsidRDefault="00EE6D95">
      <w:pPr>
        <w:pStyle w:val="Normal5"/>
      </w:pPr>
      <w:r>
        <w:t>Prema Ustavu Republike Hrvatske nositelji sudbene vlasti su sudovi. U okviru svojih ustavnih zadaća i Zakonom o sudovima utvrđenih nadležnosti u Republici Hrvatskoj sudske postupke vode slijedeći sudovi: Vrhovni sud RH, Visoki trgovački sud RH, Visoki upravni sud RH,Visoki prekršajni sud RH, upravni sudovi , županijski sudovi, trgovački sudovi, općinski sudovi i prekršajni sudovi. U Državnom proračunu Republike Hrvatske „Program vođenje sudskih postupaka“ obuhvaća vođenje sudskih postupaka iz nadležnosti Vrhovnog suda Republike Hrvatske, Visokog trgovačkog suda RH, Visokog upravnog suda Republike Hrvatske, Visokog prekršajnog suda Republike Hrvatske, upravnih sudova, županijskih sudova, trgovačkih sudova, općinskih sudova i prekršajnih sudova.</w:t>
      </w:r>
    </w:p>
    <w:p w:rsidR="00D849AA" w:rsidRDefault="00EE6D95">
      <w:pPr>
        <w:pStyle w:val="Naslov6"/>
      </w:pPr>
      <w:r>
        <w:t>Zakonske i druge pravne osnove</w:t>
      </w:r>
    </w:p>
    <w:p w:rsidR="00D849AA" w:rsidRDefault="00EE6D95">
      <w:pPr>
        <w:pStyle w:val="Normal5"/>
      </w:pPr>
      <w:r>
        <w:t>Zakon o sudovima („Narodne novine“, broj 150/05, 16/07, 113/08, 153/09, 116/10, 122/10, 27/11, 130/11 i 28/13) i Zakon o područjima i sjedištima sudova („Narodne novine“, broj 3/94, 104/97, 59/01, 121/05, 85/08, 144/10 i 84/11).</w:t>
      </w:r>
    </w:p>
    <w:p w:rsidR="00D849AA" w:rsidRDefault="00EE6D95">
      <w:pPr>
        <w:pStyle w:val="Naslov6"/>
      </w:pPr>
      <w:r>
        <w:lastRenderedPageBreak/>
        <w:t>Ciljevi provedbe programa u razdoblju 2014.-2016. i pokazatelji uspješnosti kojima će se mjeriti ostvarenje tih ciljeva</w:t>
      </w:r>
    </w:p>
    <w:p w:rsidR="00D849AA" w:rsidRDefault="00EE6D95">
      <w:pPr>
        <w:pStyle w:val="Naslov7"/>
      </w:pPr>
      <w:r>
        <w:t xml:space="preserve">Cilj 1. Jedinstvena primjena zakona i ravnopravnost građana te jednakost svih pred zakonom </w:t>
      </w:r>
    </w:p>
    <w:p w:rsidR="00D849AA" w:rsidRDefault="00EE6D95">
      <w:pPr>
        <w:pStyle w:val="Normal6"/>
      </w:pPr>
      <w:r>
        <w:t>Osiguranje jedinstvene primjene zakona i ravnopravnost građana te jednakost svih pred zakonom.</w:t>
      </w:r>
    </w:p>
    <w:p w:rsidR="00D849AA" w:rsidRDefault="00EE6D95">
      <w:pPr>
        <w:pStyle w:val="Naslov5"/>
      </w:pPr>
      <w:r>
        <w:t>Procjena i ishodište potrebnih sredstava za značajnije aktivnosti/projekte</w:t>
      </w:r>
    </w:p>
    <w:p w:rsidR="00D849AA" w:rsidRDefault="00EE6D95">
      <w:pPr>
        <w:pStyle w:val="Naslov6"/>
      </w:pPr>
      <w:r>
        <w:t>A641000 VOĐENJE SUDSKIH POSTUPAKA IZ NADLEŽNOSTI OPĆINSKIH SUDOVA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A641000</w:t>
            </w:r>
          </w:p>
        </w:tc>
        <w:tc>
          <w:tcPr>
            <w:tcW w:w="1486" w:type="dxa"/>
          </w:tcPr>
          <w:p w:rsidR="00D849AA" w:rsidRDefault="00EE6D95">
            <w:r>
              <w:t>604.354.000</w:t>
            </w:r>
          </w:p>
        </w:tc>
        <w:tc>
          <w:tcPr>
            <w:tcW w:w="1486" w:type="dxa"/>
          </w:tcPr>
          <w:p w:rsidR="00D849AA" w:rsidRDefault="00EE6D95">
            <w:r>
              <w:t>597.500.700</w:t>
            </w:r>
          </w:p>
        </w:tc>
        <w:tc>
          <w:tcPr>
            <w:tcW w:w="1486" w:type="dxa"/>
          </w:tcPr>
          <w:p w:rsidR="00D849AA" w:rsidRDefault="00EE6D95">
            <w:r>
              <w:t>618.452.680</w:t>
            </w:r>
          </w:p>
        </w:tc>
        <w:tc>
          <w:tcPr>
            <w:tcW w:w="1486" w:type="dxa"/>
          </w:tcPr>
          <w:p w:rsidR="00D849AA" w:rsidRDefault="00EE6D95">
            <w:r>
              <w:t>610.654.850</w:t>
            </w:r>
          </w:p>
        </w:tc>
        <w:tc>
          <w:tcPr>
            <w:tcW w:w="1486" w:type="dxa"/>
          </w:tcPr>
          <w:p w:rsidR="00D849AA" w:rsidRDefault="00EE6D95">
            <w:r>
              <w:t>98,9</w:t>
            </w:r>
          </w:p>
        </w:tc>
      </w:tr>
    </w:tbl>
    <w:p w:rsidR="00D849AA" w:rsidRDefault="00D849AA">
      <w:pPr>
        <w:jc w:val="left"/>
      </w:pPr>
    </w:p>
    <w:p w:rsidR="00D849AA" w:rsidRDefault="00EE6D95">
      <w:pPr>
        <w:pStyle w:val="Normal6"/>
      </w:pPr>
      <w:r>
        <w:t>Ovom aktivnošću osiguravaju se sredstva za redovan rad Općinskih sudova.</w:t>
      </w:r>
    </w:p>
    <w:p w:rsidR="00AE2853" w:rsidRDefault="00AE2853">
      <w:pPr>
        <w:pStyle w:val="Normal6"/>
      </w:pP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 xml:space="preserve">Smanjenje zaostataka </w:t>
            </w:r>
          </w:p>
          <w:p w:rsidR="00D849AA" w:rsidRDefault="00EE6D95">
            <w:pPr>
              <w:pStyle w:val="CellColumn"/>
            </w:pPr>
            <w:r>
              <w:t>neriješenih predmeta</w:t>
            </w:r>
          </w:p>
        </w:tc>
        <w:tc>
          <w:tcPr>
            <w:tcW w:w="1114" w:type="dxa"/>
          </w:tcPr>
          <w:p w:rsidR="00D849AA" w:rsidRDefault="00EE6D95">
            <w:r>
              <w:t>broj</w:t>
            </w:r>
          </w:p>
        </w:tc>
        <w:tc>
          <w:tcPr>
            <w:tcW w:w="1114" w:type="dxa"/>
          </w:tcPr>
          <w:p w:rsidR="00D849AA" w:rsidRDefault="00EE6D95">
            <w:r>
              <w:t>404166</w:t>
            </w:r>
          </w:p>
        </w:tc>
        <w:tc>
          <w:tcPr>
            <w:tcW w:w="1486" w:type="dxa"/>
          </w:tcPr>
          <w:p w:rsidR="00D849AA" w:rsidRDefault="00EE6D95">
            <w:r>
              <w:t>392042</w:t>
            </w:r>
          </w:p>
        </w:tc>
        <w:tc>
          <w:tcPr>
            <w:tcW w:w="1486" w:type="dxa"/>
          </w:tcPr>
          <w:p w:rsidR="00D849AA" w:rsidRDefault="00EE6D95">
            <w:r>
              <w:t>390021</w:t>
            </w:r>
          </w:p>
        </w:tc>
        <w:tc>
          <w:tcPr>
            <w:tcW w:w="1486" w:type="dxa"/>
          </w:tcPr>
          <w:p w:rsidR="00D849AA" w:rsidRDefault="00EE6D95">
            <w:r>
              <w:t>388150</w:t>
            </w:r>
          </w:p>
        </w:tc>
      </w:tr>
    </w:tbl>
    <w:p w:rsidR="00D849AA" w:rsidRDefault="00D849AA">
      <w:pPr>
        <w:jc w:val="left"/>
      </w:pPr>
    </w:p>
    <w:p w:rsidR="00D849AA" w:rsidRDefault="00EE6D95">
      <w:pPr>
        <w:pStyle w:val="Naslov2"/>
      </w:pPr>
      <w:r>
        <w:t>11070 Općinska državna odvjetništva</w:t>
      </w:r>
    </w:p>
    <w:p w:rsidR="00D849AA" w:rsidRDefault="00EE6D95">
      <w:pPr>
        <w:pStyle w:val="Naslov4"/>
      </w:pPr>
      <w:r>
        <w:t>Uvod</w:t>
      </w:r>
    </w:p>
    <w:p w:rsidR="00D849AA" w:rsidRDefault="00EE6D95">
      <w:pPr>
        <w:pStyle w:val="Normal3"/>
      </w:pPr>
      <w:r>
        <w:t>Glava 11070 – Općinska državna odvjetništva - obuhvaća 33 općinska državna odvjetništva koja su osnovana temeljem Zakona o odvjetništvu. Općinska državna odvjetništva su samostalna i neovisna pravosudna tijela ovlaštena i dužna postupati protiv počinitelja kaznenih djela i drugih kažnjivih djela, poduzimati pravne radnje radi zaštite imovine Republike Hrvatske te podnositi pravna sredstva za zaštitu Ustava i Zakona.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11070</w:t>
            </w:r>
          </w:p>
        </w:tc>
        <w:tc>
          <w:tcPr>
            <w:tcW w:w="1486" w:type="dxa"/>
          </w:tcPr>
          <w:p w:rsidR="00D849AA" w:rsidRDefault="00EE6D95">
            <w:r>
              <w:t>164.197.000</w:t>
            </w:r>
          </w:p>
        </w:tc>
        <w:tc>
          <w:tcPr>
            <w:tcW w:w="1486" w:type="dxa"/>
          </w:tcPr>
          <w:p w:rsidR="00D849AA" w:rsidRDefault="00EE6D95">
            <w:r>
              <w:t>166.304.300</w:t>
            </w:r>
          </w:p>
        </w:tc>
        <w:tc>
          <w:tcPr>
            <w:tcW w:w="1486" w:type="dxa"/>
          </w:tcPr>
          <w:p w:rsidR="00D849AA" w:rsidRDefault="00EE6D95">
            <w:r>
              <w:t>169.949.300</w:t>
            </w:r>
          </w:p>
        </w:tc>
        <w:tc>
          <w:tcPr>
            <w:tcW w:w="1486" w:type="dxa"/>
          </w:tcPr>
          <w:p w:rsidR="00D849AA" w:rsidRDefault="00EE6D95">
            <w:r>
              <w:t>169.843.400</w:t>
            </w:r>
          </w:p>
        </w:tc>
        <w:tc>
          <w:tcPr>
            <w:tcW w:w="1486" w:type="dxa"/>
          </w:tcPr>
          <w:p w:rsidR="00D849AA" w:rsidRDefault="00EE6D95">
            <w:r>
              <w:t>101,3</w:t>
            </w:r>
          </w:p>
        </w:tc>
      </w:tr>
    </w:tbl>
    <w:p w:rsidR="00D849AA" w:rsidRDefault="00D849AA">
      <w:pPr>
        <w:jc w:val="left"/>
      </w:pPr>
    </w:p>
    <w:p w:rsidR="00D849AA" w:rsidRDefault="00EE6D95">
      <w:pPr>
        <w:pStyle w:val="Naslov4"/>
      </w:pPr>
      <w:r>
        <w:lastRenderedPageBreak/>
        <w:t>OBRAZLOŽENJE PROGRAMA</w:t>
      </w:r>
    </w:p>
    <w:p w:rsidR="00D849AA" w:rsidRDefault="00EE6D95">
      <w:pPr>
        <w:pStyle w:val="Naslov5"/>
      </w:pPr>
      <w:r>
        <w:t>2812 DJELOVANJE DRŽAVNIH ODVJETNIŠTAVA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2812</w:t>
            </w:r>
          </w:p>
        </w:tc>
        <w:tc>
          <w:tcPr>
            <w:tcW w:w="1486" w:type="dxa"/>
          </w:tcPr>
          <w:p w:rsidR="00D849AA" w:rsidRDefault="00EE6D95">
            <w:r>
              <w:t>164.197.000</w:t>
            </w:r>
          </w:p>
        </w:tc>
        <w:tc>
          <w:tcPr>
            <w:tcW w:w="1486" w:type="dxa"/>
          </w:tcPr>
          <w:p w:rsidR="00D849AA" w:rsidRDefault="00EE6D95">
            <w:r>
              <w:t>166.304.300</w:t>
            </w:r>
          </w:p>
        </w:tc>
        <w:tc>
          <w:tcPr>
            <w:tcW w:w="1486" w:type="dxa"/>
          </w:tcPr>
          <w:p w:rsidR="00D849AA" w:rsidRDefault="00EE6D95">
            <w:r>
              <w:t>169.949.300</w:t>
            </w:r>
          </w:p>
        </w:tc>
        <w:tc>
          <w:tcPr>
            <w:tcW w:w="1486" w:type="dxa"/>
          </w:tcPr>
          <w:p w:rsidR="00D849AA" w:rsidRDefault="00EE6D95">
            <w:r>
              <w:t>169.843.400</w:t>
            </w:r>
          </w:p>
        </w:tc>
        <w:tc>
          <w:tcPr>
            <w:tcW w:w="1486" w:type="dxa"/>
          </w:tcPr>
          <w:p w:rsidR="00D849AA" w:rsidRDefault="00EE6D95">
            <w:r>
              <w:t>101,3</w:t>
            </w:r>
          </w:p>
        </w:tc>
      </w:tr>
    </w:tbl>
    <w:p w:rsidR="00D849AA" w:rsidRDefault="00D849AA">
      <w:pPr>
        <w:jc w:val="left"/>
      </w:pPr>
    </w:p>
    <w:p w:rsidR="00D849AA" w:rsidRDefault="00EE6D95">
      <w:pPr>
        <w:pStyle w:val="Naslov6"/>
      </w:pPr>
      <w:r>
        <w:t>Opis programa</w:t>
      </w:r>
    </w:p>
    <w:p w:rsidR="00D849AA" w:rsidRDefault="00EE6D95">
      <w:pPr>
        <w:pStyle w:val="Normal5"/>
      </w:pPr>
      <w:r>
        <w:t xml:space="preserve">Prema Zakonu o državnom odvjetništvu („Narodne novine“ 76/09, 153/09, 116/10, 145/10, 57/11, 130/11 i 72/13), </w:t>
      </w:r>
    </w:p>
    <w:p w:rsidR="00D849AA" w:rsidRDefault="00EE6D95">
      <w:pPr>
        <w:pStyle w:val="Normal5"/>
      </w:pPr>
      <w:r>
        <w:t xml:space="preserve">državna odvjetništva su samostalna i neovisna pravosudna tijela ovlaštena i dužna postupati protiv počinitelja kaznenih djela i drugih kažnjivih djela, poduzimati pravne radnje radi zaštite imovine Republike Hrvatske te podnositi pravna sredstva za zaštitu Ustava i zakona. Prema Zakonu o državnom odvjetništvu, državna odvjetništva ostvaruju svoju zadaću sukladno </w:t>
      </w:r>
    </w:p>
    <w:p w:rsidR="00D849AA" w:rsidRDefault="00EE6D95">
      <w:pPr>
        <w:pStyle w:val="Normal5"/>
      </w:pPr>
      <w:r>
        <w:t>utvrđenoj nadležnosti u općinskim i županijskim državnim odvjetništvima i Državnom odvjetništvu RH.</w:t>
      </w:r>
    </w:p>
    <w:p w:rsidR="00D849AA" w:rsidRDefault="00EE6D95">
      <w:pPr>
        <w:pStyle w:val="Naslov6"/>
      </w:pPr>
      <w:r>
        <w:t>Zakonske i druge pravne osnove</w:t>
      </w:r>
    </w:p>
    <w:p w:rsidR="00D849AA" w:rsidRDefault="00EE6D95">
      <w:pPr>
        <w:pStyle w:val="Normal5"/>
      </w:pPr>
      <w:r>
        <w:t>Zakon o državnom odvjetništvu (NN 76/09, 153/09, 116/10, 145/10, 57/11, 130/11 i 72/13), Zakon o područjima i sjedištima državnih odvjetništava (NN 146/08, 144/10, 84/11 i 130/11) i Zakon o USKOK-u (NN 76/09, 116/10, 57/11 i 136/12).</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 xml:space="preserve">Cilj 1. Jedinstvena primjena zakona i ravnopravnost građana te jednakost svih pred zakonom </w:t>
      </w:r>
    </w:p>
    <w:p w:rsidR="00D849AA" w:rsidRDefault="00EE6D95">
      <w:pPr>
        <w:pStyle w:val="Normal6"/>
      </w:pPr>
      <w:r>
        <w:t>Osiguranje jedinstvene primjene zakona i ravnopravnost građana te jednakost svih pred zakonom.</w:t>
      </w:r>
    </w:p>
    <w:p w:rsidR="00D849AA" w:rsidRDefault="00EE6D95">
      <w:pPr>
        <w:pStyle w:val="Naslov5"/>
      </w:pPr>
      <w:r>
        <w:t>Procjena i ishodište potrebnih sredstava za značajnije aktivnosti/projekte</w:t>
      </w:r>
    </w:p>
    <w:p w:rsidR="00D849AA" w:rsidRDefault="00EE6D95">
      <w:pPr>
        <w:pStyle w:val="Naslov6"/>
      </w:pPr>
      <w:r>
        <w:t>A642000 PROGON POČINITELJA KAZNENIH I KAŽNJIVIH DJELA I ZAŠTITA IMOVINE RH PRED NADLEŽNIM SUDOVIMA I TIJELIMA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A642000</w:t>
            </w:r>
          </w:p>
        </w:tc>
        <w:tc>
          <w:tcPr>
            <w:tcW w:w="1486" w:type="dxa"/>
          </w:tcPr>
          <w:p w:rsidR="00D849AA" w:rsidRDefault="00EE6D95">
            <w:r>
              <w:t>164.197.000</w:t>
            </w:r>
          </w:p>
        </w:tc>
        <w:tc>
          <w:tcPr>
            <w:tcW w:w="1486" w:type="dxa"/>
          </w:tcPr>
          <w:p w:rsidR="00D849AA" w:rsidRDefault="00EE6D95">
            <w:r>
              <w:t>166.304.300</w:t>
            </w:r>
          </w:p>
        </w:tc>
        <w:tc>
          <w:tcPr>
            <w:tcW w:w="1486" w:type="dxa"/>
          </w:tcPr>
          <w:p w:rsidR="00D849AA" w:rsidRDefault="00EE6D95">
            <w:r>
              <w:t>169.949.300</w:t>
            </w:r>
          </w:p>
        </w:tc>
        <w:tc>
          <w:tcPr>
            <w:tcW w:w="1486" w:type="dxa"/>
          </w:tcPr>
          <w:p w:rsidR="00D849AA" w:rsidRDefault="00EE6D95">
            <w:r>
              <w:t>169.843.400</w:t>
            </w:r>
          </w:p>
        </w:tc>
        <w:tc>
          <w:tcPr>
            <w:tcW w:w="1486" w:type="dxa"/>
          </w:tcPr>
          <w:p w:rsidR="00D849AA" w:rsidRDefault="00EE6D95">
            <w:r>
              <w:t>101,3</w:t>
            </w:r>
          </w:p>
        </w:tc>
      </w:tr>
    </w:tbl>
    <w:p w:rsidR="00D849AA" w:rsidRDefault="00D849AA">
      <w:pPr>
        <w:jc w:val="left"/>
      </w:pPr>
    </w:p>
    <w:p w:rsidR="00D849AA" w:rsidRDefault="00EE6D95">
      <w:pPr>
        <w:pStyle w:val="Normal6"/>
      </w:pPr>
      <w:r>
        <w:t>Općinska državna odvjetništva osnovana su temeljem Zakona o odvjetništvu. Općinska državna odvjetništva su samostalna i neovisna pravosudna tijela ovlaštena i dužna postupati protiv počinitelja kaznenih djela i drugih kažnjivih djela, poduzimati pravne radnje radi zaštite imovine Republike Hrvatske te podnositi pravna sredstva za zaštitu Ustava i Zakona. Ovom aktivnošću osiguravaju se sredstva za redovan rad Općinskih državnih odvjetništava.</w:t>
      </w:r>
    </w:p>
    <w:p w:rsidR="00D849AA" w:rsidRDefault="00EE6D95">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 xml:space="preserve">Smanjenje zaostataka </w:t>
            </w:r>
          </w:p>
          <w:p w:rsidR="00D849AA" w:rsidRDefault="00EE6D95">
            <w:pPr>
              <w:pStyle w:val="CellColumn"/>
            </w:pPr>
            <w:r>
              <w:t>neriješenih predmeta</w:t>
            </w:r>
          </w:p>
        </w:tc>
        <w:tc>
          <w:tcPr>
            <w:tcW w:w="1114" w:type="dxa"/>
          </w:tcPr>
          <w:p w:rsidR="00D849AA" w:rsidRDefault="00EE6D95">
            <w:r>
              <w:t>broj</w:t>
            </w:r>
          </w:p>
        </w:tc>
        <w:tc>
          <w:tcPr>
            <w:tcW w:w="1114" w:type="dxa"/>
          </w:tcPr>
          <w:p w:rsidR="00D849AA" w:rsidRDefault="00EE6D95">
            <w:r>
              <w:t>8100</w:t>
            </w:r>
          </w:p>
        </w:tc>
        <w:tc>
          <w:tcPr>
            <w:tcW w:w="1486" w:type="dxa"/>
          </w:tcPr>
          <w:p w:rsidR="00D849AA" w:rsidRDefault="00EE6D95">
            <w:r>
              <w:t>8050</w:t>
            </w:r>
          </w:p>
        </w:tc>
        <w:tc>
          <w:tcPr>
            <w:tcW w:w="1486" w:type="dxa"/>
          </w:tcPr>
          <w:p w:rsidR="00D849AA" w:rsidRDefault="00EE6D95">
            <w:r>
              <w:t>8000</w:t>
            </w:r>
          </w:p>
        </w:tc>
        <w:tc>
          <w:tcPr>
            <w:tcW w:w="1486" w:type="dxa"/>
          </w:tcPr>
          <w:p w:rsidR="00D849AA" w:rsidRDefault="00EE6D95">
            <w:r>
              <w:t>8000</w:t>
            </w:r>
          </w:p>
        </w:tc>
      </w:tr>
    </w:tbl>
    <w:p w:rsidR="00D849AA" w:rsidRDefault="00D849AA">
      <w:pPr>
        <w:jc w:val="left"/>
      </w:pPr>
    </w:p>
    <w:p w:rsidR="00D849AA" w:rsidRDefault="00EE6D95">
      <w:pPr>
        <w:pStyle w:val="Naslov2"/>
      </w:pPr>
      <w:r>
        <w:t>11075 Prekršajni sudovi</w:t>
      </w:r>
    </w:p>
    <w:p w:rsidR="00D849AA" w:rsidRDefault="00EE6D95">
      <w:pPr>
        <w:pStyle w:val="Naslov4"/>
      </w:pPr>
      <w:r>
        <w:t>Uvod</w:t>
      </w:r>
    </w:p>
    <w:p w:rsidR="00D849AA" w:rsidRDefault="00EE6D95">
      <w:pPr>
        <w:pStyle w:val="Normal3"/>
      </w:pPr>
      <w:r>
        <w:t xml:space="preserve">Glava 11075 – Prekršajni sudovi - obuhvaća 61 prekršajni sud koji su osnovani temeljem Zakona o sudovima i Zakona o prekršajima. Prekršajni sudovi sude u prvom stupnju o prekršajima, osim ako za vođenje prekršajnog postupka zakonom nije propisana stvarna nadležnost drugog tijela. U drugom stupnju sudovi odlučuju o žalbama na odluke koje donose suci radi pripremanja i vođenja postupka, ako zakonom nije određena nadležnost Visokoga prekršajnog suda. Prekršajni sudovi </w:t>
      </w:r>
    </w:p>
    <w:p w:rsidR="00D849AA" w:rsidRDefault="00EE6D95">
      <w:pPr>
        <w:pStyle w:val="Normal3"/>
      </w:pPr>
      <w:r>
        <w:t>obavljaju poslove međunarodne pravne pomoći u postupcima iz svoje nadležnosti, te druge poslove određene zakonom. Zakonom se može odrediti jedan prekršajni sud koji će odlučivati u određenoj vrsti predmeta iz djelokruga prekršajnog suda s područja više prekršajnih sudova.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11075</w:t>
            </w:r>
          </w:p>
        </w:tc>
        <w:tc>
          <w:tcPr>
            <w:tcW w:w="1486" w:type="dxa"/>
          </w:tcPr>
          <w:p w:rsidR="00D849AA" w:rsidRDefault="00EE6D95">
            <w:r>
              <w:t>199.386.610</w:t>
            </w:r>
          </w:p>
        </w:tc>
        <w:tc>
          <w:tcPr>
            <w:tcW w:w="1486" w:type="dxa"/>
          </w:tcPr>
          <w:p w:rsidR="00D849AA" w:rsidRDefault="00EE6D95">
            <w:r>
              <w:t>195.130.300</w:t>
            </w:r>
          </w:p>
        </w:tc>
        <w:tc>
          <w:tcPr>
            <w:tcW w:w="1486" w:type="dxa"/>
          </w:tcPr>
          <w:p w:rsidR="00D849AA" w:rsidRDefault="00EE6D95">
            <w:r>
              <w:t>197.020.300</w:t>
            </w:r>
          </w:p>
        </w:tc>
        <w:tc>
          <w:tcPr>
            <w:tcW w:w="1486" w:type="dxa"/>
          </w:tcPr>
          <w:p w:rsidR="00D849AA" w:rsidRDefault="00EE6D95">
            <w:r>
              <w:t>199.418.300</w:t>
            </w:r>
          </w:p>
        </w:tc>
        <w:tc>
          <w:tcPr>
            <w:tcW w:w="1486" w:type="dxa"/>
          </w:tcPr>
          <w:p w:rsidR="00D849AA" w:rsidRDefault="00EE6D95">
            <w:r>
              <w:t>97,9</w:t>
            </w:r>
          </w:p>
        </w:tc>
      </w:tr>
    </w:tbl>
    <w:p w:rsidR="00D849AA" w:rsidRDefault="00D849AA">
      <w:pPr>
        <w:jc w:val="left"/>
      </w:pPr>
    </w:p>
    <w:p w:rsidR="00D849AA" w:rsidRDefault="00EE6D95">
      <w:pPr>
        <w:pStyle w:val="Naslov4"/>
      </w:pPr>
      <w:r>
        <w:t>OBRAZLOŽENJE PROGRAMA</w:t>
      </w:r>
    </w:p>
    <w:p w:rsidR="00D849AA" w:rsidRDefault="00EE6D95">
      <w:pPr>
        <w:pStyle w:val="Naslov5"/>
      </w:pPr>
      <w:r>
        <w:t>2803 VOĐENJE SUDSKIH POSTUPAKA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2803</w:t>
            </w:r>
          </w:p>
        </w:tc>
        <w:tc>
          <w:tcPr>
            <w:tcW w:w="1486" w:type="dxa"/>
          </w:tcPr>
          <w:p w:rsidR="00D849AA" w:rsidRDefault="00EE6D95">
            <w:r>
              <w:t>199.386.610</w:t>
            </w:r>
          </w:p>
        </w:tc>
        <w:tc>
          <w:tcPr>
            <w:tcW w:w="1486" w:type="dxa"/>
          </w:tcPr>
          <w:p w:rsidR="00D849AA" w:rsidRDefault="00EE6D95">
            <w:r>
              <w:t>195.130.300</w:t>
            </w:r>
          </w:p>
        </w:tc>
        <w:tc>
          <w:tcPr>
            <w:tcW w:w="1486" w:type="dxa"/>
          </w:tcPr>
          <w:p w:rsidR="00D849AA" w:rsidRDefault="00EE6D95">
            <w:r>
              <w:t>197.020.300</w:t>
            </w:r>
          </w:p>
        </w:tc>
        <w:tc>
          <w:tcPr>
            <w:tcW w:w="1486" w:type="dxa"/>
          </w:tcPr>
          <w:p w:rsidR="00D849AA" w:rsidRDefault="00EE6D95">
            <w:r>
              <w:t>199.418.300</w:t>
            </w:r>
          </w:p>
        </w:tc>
        <w:tc>
          <w:tcPr>
            <w:tcW w:w="1486" w:type="dxa"/>
          </w:tcPr>
          <w:p w:rsidR="00D849AA" w:rsidRDefault="00EE6D95">
            <w:r>
              <w:t>97,9</w:t>
            </w:r>
          </w:p>
        </w:tc>
      </w:tr>
    </w:tbl>
    <w:p w:rsidR="00D849AA" w:rsidRDefault="00D849AA">
      <w:pPr>
        <w:jc w:val="left"/>
      </w:pPr>
    </w:p>
    <w:p w:rsidR="00D849AA" w:rsidRDefault="00EE6D95">
      <w:pPr>
        <w:pStyle w:val="Naslov6"/>
      </w:pPr>
      <w:r>
        <w:t>Opis programa</w:t>
      </w:r>
    </w:p>
    <w:p w:rsidR="00D849AA" w:rsidRDefault="00EE6D95">
      <w:pPr>
        <w:pStyle w:val="Normal5"/>
      </w:pPr>
      <w:r>
        <w:t xml:space="preserve">Prema Ustavu Republike Hrvatske nositelji sudbene vlasti su sudovi. U okviru svojih ustavnih zadaća i Zakonom o sudovima utvrđenih nadležnosti u Republici Hrvatskoj sudske postupke vode slijedeći sudovi: Vrhovni sud RH, Visoki trgovački sud RH, Visoki upravni sud RH,Visoki prekršajni sud RH, upravni sudovi , županijski sudovi, trgovački sudovi, općinski sudovi i prekršajni sudovi. U Državnom proračunu Republike Hrvatske „Program vođenje sudskih postupaka“ obuhvaća vođenje sudskih postupaka iz nadležnosti Vrhovnog suda Republike Hrvatske, Visokog trgovačkog suda RH, Visokog upravnog suda Republike </w:t>
      </w:r>
      <w:r>
        <w:lastRenderedPageBreak/>
        <w:t>Hrvatske, Visokog prekršajnog suda Republike Hrvatske, upravnih sudova, županijskih sudova, trgovačkih sudova, općinskih sudova i prekršajnih sudova.</w:t>
      </w:r>
    </w:p>
    <w:p w:rsidR="00D849AA" w:rsidRDefault="00EE6D95">
      <w:pPr>
        <w:pStyle w:val="Naslov6"/>
      </w:pPr>
      <w:r>
        <w:t>Zakonske i druge pravne osnove</w:t>
      </w:r>
    </w:p>
    <w:p w:rsidR="00D849AA" w:rsidRDefault="00EE6D95">
      <w:pPr>
        <w:pStyle w:val="Normal5"/>
      </w:pPr>
      <w:r>
        <w:t>Zakon o sudovima („Narodne novine“, broj 150/05, 16/07, 113/08, 153/09, 116/10, 122/10, 27/11, 130/11 i 28/13), Zakon o područjima i sjedištima sudova („Narodne novine“, broj 3/94, 104/97, 59/01, 121/05, 85/08, 144/10 i 84/11) i Zakon o područjima i sjedištima prekršajnih sudova ("Narodne novine broj 36/98 i 137/09).</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 xml:space="preserve">Cilj 1. Jedinstvena primjena zakona i ravnopravnost građana te jednakost svih pred zakonom </w:t>
      </w:r>
    </w:p>
    <w:p w:rsidR="00D849AA" w:rsidRDefault="00EE6D95">
      <w:pPr>
        <w:pStyle w:val="Normal6"/>
      </w:pPr>
      <w:r>
        <w:t>Osiguranje jedinstvene primjene zakona i ravnopravnost građana te jednakost svih pred zakonom.</w:t>
      </w:r>
    </w:p>
    <w:p w:rsidR="00D849AA" w:rsidRDefault="00EE6D95">
      <w:pPr>
        <w:pStyle w:val="Naslov5"/>
      </w:pPr>
      <w:r>
        <w:t>Procjena i ishodište potrebnih sredstava za značajnije aktivnosti/projekte</w:t>
      </w:r>
    </w:p>
    <w:p w:rsidR="00D849AA" w:rsidRDefault="00EE6D95">
      <w:pPr>
        <w:pStyle w:val="Naslov6"/>
      </w:pPr>
      <w:r>
        <w:t>A643000 VOĐENJE SUDSKIH POSTUPAKA IZ NADLEŽNOSTI PREKRŠAJNIH SUDOVA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A643000</w:t>
            </w:r>
          </w:p>
        </w:tc>
        <w:tc>
          <w:tcPr>
            <w:tcW w:w="1486" w:type="dxa"/>
          </w:tcPr>
          <w:p w:rsidR="00D849AA" w:rsidRDefault="00EE6D95">
            <w:r>
              <w:t>199.386.610</w:t>
            </w:r>
          </w:p>
        </w:tc>
        <w:tc>
          <w:tcPr>
            <w:tcW w:w="1486" w:type="dxa"/>
          </w:tcPr>
          <w:p w:rsidR="00D849AA" w:rsidRDefault="00EE6D95">
            <w:r>
              <w:t>195.130.300</w:t>
            </w:r>
          </w:p>
        </w:tc>
        <w:tc>
          <w:tcPr>
            <w:tcW w:w="1486" w:type="dxa"/>
          </w:tcPr>
          <w:p w:rsidR="00D849AA" w:rsidRDefault="00EE6D95">
            <w:r>
              <w:t>197.020.300</w:t>
            </w:r>
          </w:p>
        </w:tc>
        <w:tc>
          <w:tcPr>
            <w:tcW w:w="1486" w:type="dxa"/>
          </w:tcPr>
          <w:p w:rsidR="00D849AA" w:rsidRDefault="00EE6D95">
            <w:r>
              <w:t>199.418.300</w:t>
            </w:r>
          </w:p>
        </w:tc>
        <w:tc>
          <w:tcPr>
            <w:tcW w:w="1486" w:type="dxa"/>
          </w:tcPr>
          <w:p w:rsidR="00D849AA" w:rsidRDefault="00EE6D95">
            <w:r>
              <w:t>97,9</w:t>
            </w:r>
          </w:p>
        </w:tc>
      </w:tr>
    </w:tbl>
    <w:p w:rsidR="00D849AA" w:rsidRDefault="00D849AA">
      <w:pPr>
        <w:jc w:val="left"/>
      </w:pPr>
    </w:p>
    <w:p w:rsidR="00D849AA" w:rsidRDefault="00EE6D95">
      <w:pPr>
        <w:pStyle w:val="Normal6"/>
      </w:pPr>
      <w:r>
        <w:t>Ovom aktivnošću osiguravaju se sredstva za redovan rad Prekršajnih sudova.</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 xml:space="preserve">Smanjenje zaostataka </w:t>
            </w:r>
          </w:p>
          <w:p w:rsidR="00D849AA" w:rsidRDefault="00EE6D95">
            <w:pPr>
              <w:pStyle w:val="CellColumn"/>
            </w:pPr>
            <w:r>
              <w:t>neriješenih predmeta</w:t>
            </w:r>
          </w:p>
        </w:tc>
        <w:tc>
          <w:tcPr>
            <w:tcW w:w="1114" w:type="dxa"/>
          </w:tcPr>
          <w:p w:rsidR="00D849AA" w:rsidRDefault="00EE6D95">
            <w:r>
              <w:t>broj</w:t>
            </w:r>
          </w:p>
        </w:tc>
        <w:tc>
          <w:tcPr>
            <w:tcW w:w="1114" w:type="dxa"/>
          </w:tcPr>
          <w:p w:rsidR="00D849AA" w:rsidRDefault="00EE6D95">
            <w:r>
              <w:t>163280</w:t>
            </w:r>
          </w:p>
        </w:tc>
        <w:tc>
          <w:tcPr>
            <w:tcW w:w="1486" w:type="dxa"/>
          </w:tcPr>
          <w:p w:rsidR="00D849AA" w:rsidRDefault="00EE6D95">
            <w:r>
              <w:t>162500</w:t>
            </w:r>
          </w:p>
        </w:tc>
        <w:tc>
          <w:tcPr>
            <w:tcW w:w="1486" w:type="dxa"/>
          </w:tcPr>
          <w:p w:rsidR="00D849AA" w:rsidRDefault="00EE6D95">
            <w:r>
              <w:t>161700</w:t>
            </w:r>
          </w:p>
        </w:tc>
        <w:tc>
          <w:tcPr>
            <w:tcW w:w="1486" w:type="dxa"/>
          </w:tcPr>
          <w:p w:rsidR="00D849AA" w:rsidRDefault="00EE6D95">
            <w:r>
              <w:t>160800</w:t>
            </w:r>
          </w:p>
        </w:tc>
      </w:tr>
    </w:tbl>
    <w:p w:rsidR="00D849AA" w:rsidRDefault="00D849AA">
      <w:pPr>
        <w:jc w:val="left"/>
      </w:pPr>
    </w:p>
    <w:p w:rsidR="00D849AA" w:rsidRDefault="00EE6D95">
      <w:pPr>
        <w:pStyle w:val="Naslov2"/>
      </w:pPr>
      <w:r>
        <w:t>11091 Ured za suzbijanje korupcije i organiziranog kriminaliteta</w:t>
      </w:r>
    </w:p>
    <w:p w:rsidR="00D849AA" w:rsidRDefault="00EE6D95">
      <w:pPr>
        <w:pStyle w:val="Naslov4"/>
      </w:pPr>
      <w:r>
        <w:t>Uvod</w:t>
      </w:r>
    </w:p>
    <w:p w:rsidR="00D849AA" w:rsidRDefault="00EE6D95">
      <w:pPr>
        <w:pStyle w:val="Normal3"/>
      </w:pPr>
      <w:r>
        <w:t>Nadležnost Ureda za suzbijanje korupcije i organiziranog kriminaliteta propisana je Zakonom o Uredu za suzbijanje korupcije organiziranog kriminaliteta. USKOK se bavi suzbijanjem korupcije i organiziranog kriminaliteta. U svim ostalim slučajevima nadležna su državna odvjetništva.</w:t>
      </w:r>
    </w:p>
    <w:p w:rsidR="00AE2853" w:rsidRDefault="00AE2853">
      <w:pPr>
        <w:pStyle w:val="Normal3"/>
      </w:pP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11091</w:t>
            </w:r>
          </w:p>
        </w:tc>
        <w:tc>
          <w:tcPr>
            <w:tcW w:w="1486" w:type="dxa"/>
          </w:tcPr>
          <w:p w:rsidR="00D849AA" w:rsidRDefault="00EE6D95">
            <w:r>
              <w:t>21.298.250</w:t>
            </w:r>
          </w:p>
        </w:tc>
        <w:tc>
          <w:tcPr>
            <w:tcW w:w="1486" w:type="dxa"/>
          </w:tcPr>
          <w:p w:rsidR="00D849AA" w:rsidRDefault="00EE6D95">
            <w:r>
              <w:t>20.602.750</w:t>
            </w:r>
          </w:p>
        </w:tc>
        <w:tc>
          <w:tcPr>
            <w:tcW w:w="1486" w:type="dxa"/>
          </w:tcPr>
          <w:p w:rsidR="00D849AA" w:rsidRDefault="00EE6D95">
            <w:r>
              <w:t>21.355.350</w:t>
            </w:r>
          </w:p>
        </w:tc>
        <w:tc>
          <w:tcPr>
            <w:tcW w:w="1486" w:type="dxa"/>
          </w:tcPr>
          <w:p w:rsidR="00D849AA" w:rsidRDefault="00EE6D95">
            <w:r>
              <w:t>21.440.160</w:t>
            </w:r>
          </w:p>
        </w:tc>
        <w:tc>
          <w:tcPr>
            <w:tcW w:w="1486" w:type="dxa"/>
          </w:tcPr>
          <w:p w:rsidR="00D849AA" w:rsidRDefault="00EE6D95">
            <w:r>
              <w:t>96,7</w:t>
            </w:r>
          </w:p>
        </w:tc>
      </w:tr>
    </w:tbl>
    <w:p w:rsidR="00D849AA" w:rsidRDefault="00D849AA">
      <w:pPr>
        <w:jc w:val="left"/>
      </w:pPr>
    </w:p>
    <w:p w:rsidR="00D849AA" w:rsidRDefault="00EE6D95">
      <w:pPr>
        <w:pStyle w:val="Naslov4"/>
      </w:pPr>
      <w:r>
        <w:t>OBRAZLOŽENJE PROGRAMA</w:t>
      </w:r>
    </w:p>
    <w:p w:rsidR="00D849AA" w:rsidRDefault="00EE6D95">
      <w:pPr>
        <w:pStyle w:val="Naslov5"/>
      </w:pPr>
      <w:r>
        <w:t>2810 SUZBIJANJE KORUPCIJE I ORGANIZIRANOG KRIMINALITETA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2810</w:t>
            </w:r>
          </w:p>
        </w:tc>
        <w:tc>
          <w:tcPr>
            <w:tcW w:w="1486" w:type="dxa"/>
          </w:tcPr>
          <w:p w:rsidR="00D849AA" w:rsidRDefault="00EE6D95">
            <w:r>
              <w:t>21.298.250</w:t>
            </w:r>
          </w:p>
        </w:tc>
        <w:tc>
          <w:tcPr>
            <w:tcW w:w="1486" w:type="dxa"/>
          </w:tcPr>
          <w:p w:rsidR="00D849AA" w:rsidRDefault="00EE6D95">
            <w:r>
              <w:t>20.602.750</w:t>
            </w:r>
          </w:p>
        </w:tc>
        <w:tc>
          <w:tcPr>
            <w:tcW w:w="1486" w:type="dxa"/>
          </w:tcPr>
          <w:p w:rsidR="00D849AA" w:rsidRDefault="00EE6D95">
            <w:r>
              <w:t>21.355.350</w:t>
            </w:r>
          </w:p>
        </w:tc>
        <w:tc>
          <w:tcPr>
            <w:tcW w:w="1486" w:type="dxa"/>
          </w:tcPr>
          <w:p w:rsidR="00D849AA" w:rsidRDefault="00EE6D95">
            <w:r>
              <w:t>21.440.160</w:t>
            </w:r>
          </w:p>
        </w:tc>
        <w:tc>
          <w:tcPr>
            <w:tcW w:w="1486" w:type="dxa"/>
          </w:tcPr>
          <w:p w:rsidR="00D849AA" w:rsidRDefault="00EE6D95">
            <w:r>
              <w:t>96,7</w:t>
            </w:r>
          </w:p>
        </w:tc>
      </w:tr>
    </w:tbl>
    <w:p w:rsidR="00D849AA" w:rsidRDefault="00D849AA">
      <w:pPr>
        <w:jc w:val="left"/>
      </w:pPr>
    </w:p>
    <w:p w:rsidR="00D849AA" w:rsidRDefault="00EE6D95">
      <w:pPr>
        <w:pStyle w:val="Naslov6"/>
      </w:pPr>
      <w:r>
        <w:t>Opis programa</w:t>
      </w:r>
    </w:p>
    <w:p w:rsidR="00D849AA" w:rsidRDefault="00EE6D95">
      <w:pPr>
        <w:pStyle w:val="Normal5"/>
      </w:pPr>
      <w:r>
        <w:t xml:space="preserve">Osnovna zadaća programa je progon počinitelja kaznenih djela organiziranog kriminaliteta i korupcije, a pored toga ona je i preventivna, te edukativna antikorupcijska aktivnost s ciljem suzbijanja kriminalnih pojava, podizanja javne svijesti o opasnostima korupcije, potrebi njenog suzbijanja, te provedba drugih aktivnosti predviđenih Nacionalnim programom za </w:t>
      </w:r>
    </w:p>
    <w:p w:rsidR="00D849AA" w:rsidRDefault="00EE6D95">
      <w:pPr>
        <w:pStyle w:val="Normal5"/>
      </w:pPr>
      <w:r>
        <w:t>borbu protiv korupcije.</w:t>
      </w:r>
    </w:p>
    <w:p w:rsidR="00D849AA" w:rsidRDefault="00EE6D95">
      <w:pPr>
        <w:pStyle w:val="Naslov6"/>
      </w:pPr>
      <w:r>
        <w:t>Zakonske i druge pravne osnove</w:t>
      </w:r>
    </w:p>
    <w:p w:rsidR="00D849AA" w:rsidRDefault="00EE6D95">
      <w:pPr>
        <w:pStyle w:val="Normal5"/>
      </w:pPr>
      <w:r>
        <w:t>Zakon o Uredu za suzbijanje korupcije i organiziranog kriminaliteta („Narodne novine" 76/09, 116/10 i 57/11), Zakon o državnom odvjetništvu („Narodne novine" broj 76/09, 153/09, 116/10, 145/10, 57/11, 130/11 i 72/13) i Zakon o kaznenom postupku („Narodne novine“ broj 152/08, 76/09, 80/11, 121/11, 91/12, 143/12 i 56/13)</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 xml:space="preserve">Cilj 1. Otkrivanje i suzbijanje pojavnih oblika organiziranog kriminaliteta i korupcije </w:t>
      </w:r>
    </w:p>
    <w:p w:rsidR="00D849AA" w:rsidRDefault="00EE6D95">
      <w:pPr>
        <w:pStyle w:val="Normal6"/>
      </w:pPr>
      <w:r>
        <w:t xml:space="preserve">Ciljevi provedbe programa Suzbijanje korupcije i organiziranog kriminaliteta u razdoblju 2014. – 2016. godine su pored permanentnog rada, progon i procesuiranje počinitelja najtežih oblika kaznenih djela korupcije i organiziranog kriminaliteta i otkrivanje te suzbijanje pojavnih oblika organiziranog kriminaliteta i korupcije, prikupljanje podataka o </w:t>
      </w:r>
    </w:p>
    <w:p w:rsidR="00D849AA" w:rsidRDefault="00EE6D95">
      <w:pPr>
        <w:pStyle w:val="Normal6"/>
      </w:pPr>
      <w:r>
        <w:t>pojavama korupcije i organiziranog kriminaliteta, te poticanje i usmjeravanje suradnje između državnih tijela u cilju otkrivanja pojava korupcije i organiziranog kriminaliteta. Da bi se ostvarili ciljevi u suzbijanju korupcije i ostvarivanju Nacionalnog programa posebna pažnja usmjerena je na slučajeve korupcije na najvišoj razini, dakle, velikih zlouporaba od strane službenih osoba, a u svezi organiziranog kriminala na otkrivanje i procesuiranje transnacionalnog organiziranog kriminala.</w:t>
      </w:r>
    </w:p>
    <w:p w:rsidR="00D849AA" w:rsidRDefault="00EE6D95">
      <w:pPr>
        <w:pStyle w:val="Naslov5"/>
      </w:pPr>
      <w:r>
        <w:lastRenderedPageBreak/>
        <w:t>Procjena i ishodište potrebnih sredstava za značajnije aktivnosti/projekte</w:t>
      </w:r>
    </w:p>
    <w:p w:rsidR="00D849AA" w:rsidRDefault="00EE6D95">
      <w:pPr>
        <w:pStyle w:val="Naslov6"/>
      </w:pPr>
      <w:r>
        <w:t>A678000 SUZBIJANJE KORUPCIJE I ORGANIZIRANOG KRIMINALITETA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A678000</w:t>
            </w:r>
          </w:p>
        </w:tc>
        <w:tc>
          <w:tcPr>
            <w:tcW w:w="1486" w:type="dxa"/>
          </w:tcPr>
          <w:p w:rsidR="00D849AA" w:rsidRDefault="00EE6D95">
            <w:r>
              <w:t>21.099.550</w:t>
            </w:r>
          </w:p>
        </w:tc>
        <w:tc>
          <w:tcPr>
            <w:tcW w:w="1486" w:type="dxa"/>
          </w:tcPr>
          <w:p w:rsidR="00D849AA" w:rsidRDefault="00EE6D95">
            <w:r>
              <w:t>20.403.550</w:t>
            </w:r>
          </w:p>
        </w:tc>
        <w:tc>
          <w:tcPr>
            <w:tcW w:w="1486" w:type="dxa"/>
          </w:tcPr>
          <w:p w:rsidR="00D849AA" w:rsidRDefault="00EE6D95">
            <w:r>
              <w:t>21.156.150</w:t>
            </w:r>
          </w:p>
        </w:tc>
        <w:tc>
          <w:tcPr>
            <w:tcW w:w="1486" w:type="dxa"/>
          </w:tcPr>
          <w:p w:rsidR="00D849AA" w:rsidRDefault="00EE6D95">
            <w:r>
              <w:t>21.237.860</w:t>
            </w:r>
          </w:p>
        </w:tc>
        <w:tc>
          <w:tcPr>
            <w:tcW w:w="1486" w:type="dxa"/>
          </w:tcPr>
          <w:p w:rsidR="00D849AA" w:rsidRDefault="00EE6D95">
            <w:r>
              <w:t>96,7</w:t>
            </w:r>
          </w:p>
        </w:tc>
      </w:tr>
    </w:tbl>
    <w:p w:rsidR="00D849AA" w:rsidRDefault="00D849AA">
      <w:pPr>
        <w:jc w:val="left"/>
      </w:pPr>
    </w:p>
    <w:p w:rsidR="00D849AA" w:rsidRDefault="00EE6D95">
      <w:pPr>
        <w:pStyle w:val="Normal6"/>
      </w:pPr>
      <w:r>
        <w:t xml:space="preserve">Ured za suzbijanje korupcije i organiziranog kriminaliteta (USKOK) osnovan je 2001. godine kao specijalizirano tijelo u sastavu državnog odvjetništva s ciljem što učinkovitijeg i efikasnijeg suprotstavljanja korupciji i organiziranom kriminalu. </w:t>
      </w:r>
    </w:p>
    <w:p w:rsidR="00D849AA" w:rsidRDefault="00EE6D95">
      <w:pPr>
        <w:pStyle w:val="Normal6"/>
      </w:pPr>
      <w:r>
        <w:t>Od osnivanja do danas USKOK je dobio veće zakonske ovlasti. Kadrovski se kontinuirano osnažuje, djelatnici prolaze različite edukativne programe u zemlji i inozemstvu. U tijeku je informatizacija koja će, uz ostalo, spajanjem s bazama podataka ostalih tijela u državnoj upravi Uredu uvelike olakšati rad. Nadležnost Ureda za suzbijanje korupcije i organiziranog kriminaliteta propisana je Zakonom o Uredu za suzbijanje korupcije i organiziranog kriminaliteta. USKOK se bavi suzbijanjem korupcije i organiziranog kriminaliteta. U svim ostalim slučajevima nadležna su državna odvjetništva.</w:t>
      </w:r>
    </w:p>
    <w:p w:rsidR="00D849AA" w:rsidRDefault="00EE6D95">
      <w:pPr>
        <w:pStyle w:val="Naslov6"/>
      </w:pPr>
      <w:r>
        <w:t>A678008 MEĐUNARODNA SURADNJA NA SUZBIJANJU ORGANIZIRANOG KRIMINALITETA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A678008</w:t>
            </w:r>
          </w:p>
        </w:tc>
        <w:tc>
          <w:tcPr>
            <w:tcW w:w="1486" w:type="dxa"/>
          </w:tcPr>
          <w:p w:rsidR="00D849AA" w:rsidRDefault="00EE6D95">
            <w:r>
              <w:t>140.500</w:t>
            </w:r>
          </w:p>
        </w:tc>
        <w:tc>
          <w:tcPr>
            <w:tcW w:w="1486" w:type="dxa"/>
          </w:tcPr>
          <w:p w:rsidR="00D849AA" w:rsidRDefault="00EE6D95">
            <w:r>
              <w:t>141.000</w:t>
            </w:r>
          </w:p>
        </w:tc>
        <w:tc>
          <w:tcPr>
            <w:tcW w:w="1486" w:type="dxa"/>
          </w:tcPr>
          <w:p w:rsidR="00D849AA" w:rsidRDefault="00EE6D95">
            <w:r>
              <w:t>141.000</w:t>
            </w:r>
          </w:p>
        </w:tc>
        <w:tc>
          <w:tcPr>
            <w:tcW w:w="1486" w:type="dxa"/>
          </w:tcPr>
          <w:p w:rsidR="00D849AA" w:rsidRDefault="00EE6D95">
            <w:r>
              <w:t>143.000</w:t>
            </w:r>
          </w:p>
        </w:tc>
        <w:tc>
          <w:tcPr>
            <w:tcW w:w="1486" w:type="dxa"/>
          </w:tcPr>
          <w:p w:rsidR="00D849AA" w:rsidRDefault="00EE6D95">
            <w:r>
              <w:t>100,4</w:t>
            </w:r>
          </w:p>
        </w:tc>
      </w:tr>
    </w:tbl>
    <w:p w:rsidR="00D849AA" w:rsidRDefault="00D849AA">
      <w:pPr>
        <w:jc w:val="left"/>
      </w:pPr>
    </w:p>
    <w:p w:rsidR="00D849AA" w:rsidRDefault="00EE6D95">
      <w:pPr>
        <w:pStyle w:val="Normal6"/>
      </w:pPr>
      <w:r>
        <w:t xml:space="preserve">Aktivnost se odnosi na suradnju Ureda za suzbijanje korupcije i organiziranog kriminaliteta s državnim odvjetništvima iz regije, unutar Europe i izvan Europe, kao i različitim međunarodnim organizacijama, a sve u cilju stvaranja uvjeta za učinkovitiju međunarodnu suradnju i pravnu pomoć, te suzbijanje pojavnih oblika transgraničnog kriminala. Izazovi zajedničkog rada s tijelima drugih država dio su poslova prilagođavanja novim uvjetima u kojima radi Ured za suzbijanje korupcije i organiziranog kriminaliteta. Radi se o pravnoj pomoći u predistražnoj fazi kaznenog postupka, u pravilu se </w:t>
      </w:r>
    </w:p>
    <w:p w:rsidR="00D849AA" w:rsidRDefault="00EE6D95">
      <w:pPr>
        <w:pStyle w:val="Normal6"/>
      </w:pPr>
      <w:r>
        <w:t>razmjenjuju informacije te dostupna dokumentacija, a karakterizira je iznimno visok stupanj neposrednosti u komunikaciji.</w:t>
      </w:r>
    </w:p>
    <w:p w:rsidR="00D849AA" w:rsidRDefault="00EE6D95">
      <w:pPr>
        <w:pStyle w:val="Naslov1"/>
      </w:pPr>
      <w:r>
        <w:lastRenderedPageBreak/>
        <w:t>120 URED PUČKOG PRAVOBRANITELJA</w:t>
      </w:r>
    </w:p>
    <w:p w:rsidR="00D849AA" w:rsidRDefault="00EE6D95">
      <w:pPr>
        <w:pStyle w:val="Naslov4"/>
      </w:pPr>
      <w:r>
        <w:t>Uvod</w:t>
      </w:r>
    </w:p>
    <w:p w:rsidR="00D849AA" w:rsidRDefault="00EE6D95">
      <w:pPr>
        <w:pStyle w:val="Normal3"/>
      </w:pPr>
      <w:r>
        <w:t xml:space="preserve">Pučki pravobranitelj je opunomoćenik Hrvatskoga sabora za promicanje i zaštitu ljudskih prava i sloboda utvrđenih Ustavom, zakonima i međunarodnim pravnim aktima o ljudskim pravima i slobodama koje je prihvatila Republika Hrvatska.  </w:t>
      </w:r>
    </w:p>
    <w:p w:rsidR="00D849AA" w:rsidRDefault="00EE6D95">
      <w:pPr>
        <w:pStyle w:val="Normal3"/>
      </w:pPr>
      <w:r>
        <w:t xml:space="preserve">Prema Zakonu o pučkom pravobranitelju, pučki pravobranitelj i posebni pravobranitelji dužni su međusobno surađivati u području promicanja i zaštite ljudskih prava, te će tijekom 2014. godine sklopiti Sporazum o međuinstitucionalnoj suradnji. </w:t>
      </w:r>
    </w:p>
    <w:p w:rsidR="00D849AA" w:rsidRDefault="00EE6D95">
      <w:pPr>
        <w:pStyle w:val="Normal3"/>
      </w:pPr>
      <w:r>
        <w:t xml:space="preserve">Prema preporuci Međunarodnog koordinacijskog odbora za nacionalne institucije Ujedinjenih naroda da se Uredu pučke pravobraniteljice omogući osnivanje područnih ureda, u 2014. godini predviđeno je osnivanje tri područna ureda, po jedan u Osijeku, Rijeci i Splitu. </w:t>
      </w:r>
    </w:p>
    <w:p w:rsidR="00D849AA" w:rsidRDefault="00EE6D95">
      <w:pPr>
        <w:pStyle w:val="Normal3"/>
      </w:pPr>
      <w:r>
        <w:t xml:space="preserve">Krajem 2013. godine pučka pravobraniteljica će imenovati Savjet za ljudska prava pučkog pravobranitelja koji je savjetodavno tijelo koje razmatra i predlaže strateške smjernice u području promicanja ljudskih prava i sloboda, osigurava kontinuiranu suradnju u području ljudskih prava i sloboda između pučkog pravobranitelja, civilnog društva, akademske zajednice i medija te razmatra druga pitanja od značaja za rad pučkog pravobranitelja u području promicanja ljudskih prava i sloboda.  </w:t>
      </w:r>
    </w:p>
    <w:p w:rsidR="00D849AA" w:rsidRDefault="00EE6D95">
      <w:pPr>
        <w:pStyle w:val="Normal3"/>
      </w:pPr>
      <w:r>
        <w:t>U 2014. godini Ured pučke pravobraniteljice trebao bi raditi na novoj adresi Trg hrvatskih velikana 6. Naime, Agencija za upravljanje državnom imovinom donijela je 27. svibnja 2013. godine Odluku o dodjeli na korištenje  poslovnih prostora kojom se Uredu pučke pravobraniteljice dodjeljuje na korištenje poslovni prostor na navedenoj adresi. Da bi se dodijeljeni prostor mogao koristiti, potrebno je minimalno bojanje zidova barem dijela dodijeljenog prostora.</w:t>
      </w:r>
    </w:p>
    <w:tbl>
      <w:tblPr>
        <w:tblStyle w:val="Reetkatablice"/>
        <w:tblW w:w="0" w:type="auto"/>
        <w:jc w:val="center"/>
        <w:tblLook w:val="04A0" w:firstRow="1" w:lastRow="0" w:firstColumn="1" w:lastColumn="0" w:noHBand="0" w:noVBand="1"/>
      </w:tblPr>
      <w:tblGrid>
        <w:gridCol w:w="1528"/>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12005 Ured pučkog pravobranitelja</w:t>
            </w:r>
          </w:p>
        </w:tc>
        <w:tc>
          <w:tcPr>
            <w:tcW w:w="1486" w:type="dxa"/>
          </w:tcPr>
          <w:p w:rsidR="00D849AA" w:rsidRDefault="00EE6D95">
            <w:r>
              <w:t>8.948.988</w:t>
            </w:r>
          </w:p>
        </w:tc>
        <w:tc>
          <w:tcPr>
            <w:tcW w:w="1486" w:type="dxa"/>
          </w:tcPr>
          <w:p w:rsidR="00D849AA" w:rsidRDefault="00EE6D95">
            <w:r>
              <w:t>8.553.683</w:t>
            </w:r>
          </w:p>
        </w:tc>
        <w:tc>
          <w:tcPr>
            <w:tcW w:w="1486" w:type="dxa"/>
          </w:tcPr>
          <w:p w:rsidR="00D849AA" w:rsidRDefault="00EE6D95">
            <w:r>
              <w:t>8.997.453</w:t>
            </w:r>
          </w:p>
        </w:tc>
        <w:tc>
          <w:tcPr>
            <w:tcW w:w="1486" w:type="dxa"/>
          </w:tcPr>
          <w:p w:rsidR="00D849AA" w:rsidRDefault="00EE6D95">
            <w:r>
              <w:t>9.374.650</w:t>
            </w:r>
          </w:p>
        </w:tc>
        <w:tc>
          <w:tcPr>
            <w:tcW w:w="1486" w:type="dxa"/>
          </w:tcPr>
          <w:p w:rsidR="00D849AA" w:rsidRDefault="00EE6D95">
            <w:r>
              <w:t>95,6</w:t>
            </w:r>
          </w:p>
        </w:tc>
      </w:tr>
      <w:tr w:rsidR="00D849AA">
        <w:trPr>
          <w:jc w:val="center"/>
        </w:trPr>
        <w:tc>
          <w:tcPr>
            <w:tcW w:w="1486" w:type="dxa"/>
            <w:shd w:val="clear" w:color="auto" w:fill="B5C0D8"/>
          </w:tcPr>
          <w:p w:rsidR="00D849AA" w:rsidRDefault="00EE6D95">
            <w:pPr>
              <w:pStyle w:val="CellColumn"/>
            </w:pPr>
            <w:r>
              <w:t>Ukupno 120</w:t>
            </w:r>
          </w:p>
        </w:tc>
        <w:tc>
          <w:tcPr>
            <w:tcW w:w="1486" w:type="dxa"/>
            <w:shd w:val="clear" w:color="auto" w:fill="B5C0D8"/>
          </w:tcPr>
          <w:p w:rsidR="00D849AA" w:rsidRDefault="00EE6D95">
            <w:r>
              <w:t>8.948.988</w:t>
            </w:r>
          </w:p>
        </w:tc>
        <w:tc>
          <w:tcPr>
            <w:tcW w:w="1486" w:type="dxa"/>
            <w:shd w:val="clear" w:color="auto" w:fill="B5C0D8"/>
          </w:tcPr>
          <w:p w:rsidR="00D849AA" w:rsidRDefault="00EE6D95">
            <w:r>
              <w:t>8.553.683</w:t>
            </w:r>
          </w:p>
        </w:tc>
        <w:tc>
          <w:tcPr>
            <w:tcW w:w="1486" w:type="dxa"/>
            <w:shd w:val="clear" w:color="auto" w:fill="B5C0D8"/>
          </w:tcPr>
          <w:p w:rsidR="00D849AA" w:rsidRDefault="00EE6D95">
            <w:r>
              <w:t>8.997.453</w:t>
            </w:r>
          </w:p>
        </w:tc>
        <w:tc>
          <w:tcPr>
            <w:tcW w:w="1486" w:type="dxa"/>
            <w:shd w:val="clear" w:color="auto" w:fill="B5C0D8"/>
          </w:tcPr>
          <w:p w:rsidR="00D849AA" w:rsidRDefault="00EE6D95">
            <w:r>
              <w:t>9.374.650</w:t>
            </w:r>
          </w:p>
        </w:tc>
        <w:tc>
          <w:tcPr>
            <w:tcW w:w="1486" w:type="dxa"/>
            <w:shd w:val="clear" w:color="auto" w:fill="B5C0D8"/>
          </w:tcPr>
          <w:p w:rsidR="00D849AA" w:rsidRDefault="00EE6D95">
            <w:r>
              <w:t>95,6</w:t>
            </w:r>
          </w:p>
        </w:tc>
      </w:tr>
    </w:tbl>
    <w:p w:rsidR="00D849AA" w:rsidRDefault="00D849AA">
      <w:pPr>
        <w:jc w:val="left"/>
      </w:pPr>
    </w:p>
    <w:p w:rsidR="00D849AA" w:rsidRDefault="00EE6D95">
      <w:pPr>
        <w:pStyle w:val="Naslov2"/>
      </w:pPr>
      <w:r>
        <w:t>12005 Ured pučkog pravobranitelja</w:t>
      </w:r>
    </w:p>
    <w:p w:rsidR="00D849AA" w:rsidRDefault="00EE6D95">
      <w:pPr>
        <w:pStyle w:val="Naslov4"/>
      </w:pPr>
      <w:r>
        <w:t>Uvod</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12005</w:t>
            </w:r>
          </w:p>
        </w:tc>
        <w:tc>
          <w:tcPr>
            <w:tcW w:w="1486" w:type="dxa"/>
          </w:tcPr>
          <w:p w:rsidR="00D849AA" w:rsidRDefault="00EE6D95">
            <w:r>
              <w:t>8.948.988</w:t>
            </w:r>
          </w:p>
        </w:tc>
        <w:tc>
          <w:tcPr>
            <w:tcW w:w="1486" w:type="dxa"/>
          </w:tcPr>
          <w:p w:rsidR="00D849AA" w:rsidRDefault="00EE6D95">
            <w:r>
              <w:t>8.553.683</w:t>
            </w:r>
          </w:p>
        </w:tc>
        <w:tc>
          <w:tcPr>
            <w:tcW w:w="1486" w:type="dxa"/>
          </w:tcPr>
          <w:p w:rsidR="00D849AA" w:rsidRDefault="00EE6D95">
            <w:r>
              <w:t>8.997.453</w:t>
            </w:r>
          </w:p>
        </w:tc>
        <w:tc>
          <w:tcPr>
            <w:tcW w:w="1486" w:type="dxa"/>
          </w:tcPr>
          <w:p w:rsidR="00D849AA" w:rsidRDefault="00EE6D95">
            <w:r>
              <w:t>9.374.650</w:t>
            </w:r>
          </w:p>
        </w:tc>
        <w:tc>
          <w:tcPr>
            <w:tcW w:w="1486" w:type="dxa"/>
          </w:tcPr>
          <w:p w:rsidR="00D849AA" w:rsidRDefault="00EE6D95">
            <w:r>
              <w:t>95,6</w:t>
            </w:r>
          </w:p>
        </w:tc>
      </w:tr>
    </w:tbl>
    <w:p w:rsidR="00D849AA" w:rsidRDefault="00D849AA">
      <w:pPr>
        <w:jc w:val="left"/>
      </w:pPr>
    </w:p>
    <w:p w:rsidR="00D849AA" w:rsidRDefault="00EE6D95">
      <w:pPr>
        <w:pStyle w:val="Naslov4"/>
      </w:pPr>
      <w:r>
        <w:lastRenderedPageBreak/>
        <w:t>OBRAZLOŽENJE PROGRAMA</w:t>
      </w:r>
    </w:p>
    <w:p w:rsidR="00D849AA" w:rsidRDefault="00EE6D95">
      <w:pPr>
        <w:pStyle w:val="Naslov5"/>
      </w:pPr>
      <w:r>
        <w:t>2115 ZAŠTITA I PROMICANJE LJUDSKIH PRAVA I SUZBIJANJE DISKRIMINACIJE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2115</w:t>
            </w:r>
          </w:p>
        </w:tc>
        <w:tc>
          <w:tcPr>
            <w:tcW w:w="1486" w:type="dxa"/>
          </w:tcPr>
          <w:p w:rsidR="00D849AA" w:rsidRDefault="00EE6D95">
            <w:r>
              <w:t>8.948.988</w:t>
            </w:r>
          </w:p>
        </w:tc>
        <w:tc>
          <w:tcPr>
            <w:tcW w:w="1486" w:type="dxa"/>
          </w:tcPr>
          <w:p w:rsidR="00D849AA" w:rsidRDefault="00EE6D95">
            <w:r>
              <w:t>8.553.683</w:t>
            </w:r>
          </w:p>
        </w:tc>
        <w:tc>
          <w:tcPr>
            <w:tcW w:w="1486" w:type="dxa"/>
          </w:tcPr>
          <w:p w:rsidR="00D849AA" w:rsidRDefault="00EE6D95">
            <w:r>
              <w:t>8.997.453</w:t>
            </w:r>
          </w:p>
        </w:tc>
        <w:tc>
          <w:tcPr>
            <w:tcW w:w="1486" w:type="dxa"/>
          </w:tcPr>
          <w:p w:rsidR="00D849AA" w:rsidRDefault="00EE6D95">
            <w:r>
              <w:t>9.374.650</w:t>
            </w:r>
          </w:p>
        </w:tc>
        <w:tc>
          <w:tcPr>
            <w:tcW w:w="1486" w:type="dxa"/>
          </w:tcPr>
          <w:p w:rsidR="00D849AA" w:rsidRDefault="00EE6D95">
            <w:r>
              <w:t>95,6</w:t>
            </w:r>
          </w:p>
        </w:tc>
      </w:tr>
    </w:tbl>
    <w:p w:rsidR="00D849AA" w:rsidRDefault="00D849AA">
      <w:pPr>
        <w:jc w:val="left"/>
      </w:pPr>
    </w:p>
    <w:p w:rsidR="00D849AA" w:rsidRDefault="00EE6D95">
      <w:pPr>
        <w:pStyle w:val="Naslov6"/>
      </w:pPr>
      <w:r>
        <w:t>Opis programa</w:t>
      </w:r>
    </w:p>
    <w:p w:rsidR="00D849AA" w:rsidRDefault="00EE6D95">
      <w:pPr>
        <w:pStyle w:val="Normal5"/>
      </w:pPr>
      <w:r>
        <w:t xml:space="preserve">Pučki pravobranitelj promiče i štiti ljudska prava i slobode te vladavinu prava razmatrajući pritužbe o postojanju nezakonitosti i nepravilnosti u radu državnih tijela, tijela jedinica lokalne i područne (regionalne) samouprave i pravnih osoba s javnim ovlastima, a u skladu s posebnim zakonima razmatra i pritužbe koje se odnose na rad pravnih i fizičkih osoba. </w:t>
      </w:r>
    </w:p>
    <w:p w:rsidR="00D849AA" w:rsidRDefault="00EE6D95">
      <w:pPr>
        <w:pStyle w:val="Normal5"/>
      </w:pPr>
      <w:r>
        <w:t xml:space="preserve">U području promicanja ljudskih prava i sloboda pučki pravobranitelj prati stanje i ukazuje na potrebu njihove zaštite i provodi aktivnosti prema što većoj otvorenosti prema medijima, a time i prema široj javnosti. Aktivno potiče i održava suradnju s organizacijama civilnog društva, međunarodnim organizacijama i znanstvenoistraživačkim institucijama.  </w:t>
      </w:r>
    </w:p>
    <w:p w:rsidR="00D849AA" w:rsidRDefault="00EE6D95">
      <w:pPr>
        <w:pStyle w:val="Normal5"/>
      </w:pPr>
      <w:r>
        <w:t xml:space="preserve">U svom radu, Pučki pravobranitelj prati i usklađenost zakona i drugih propisa s odredbama Ustava Republike Hrvatske i međunarodnim pravnim aktima koji su dio unutarnjeg pravnog poretka Republike Hrvatske. </w:t>
      </w:r>
    </w:p>
    <w:p w:rsidR="00D849AA" w:rsidRDefault="00EE6D95">
      <w:pPr>
        <w:pStyle w:val="Normal5"/>
      </w:pPr>
      <w:r>
        <w:t>Kao samostalno i neovisno tijelo, pučki pravobranitelj je središnje tijelo za suzbijanje diskriminacije te osigurava provođenje Zakona o nacionalnom preventivnom mehanizmu za sprečavanje mučenja i drugih okrutnih, neljudskih ili ponižavajućih postupaka ili kažnjavanja.</w:t>
      </w:r>
    </w:p>
    <w:p w:rsidR="00D849AA" w:rsidRDefault="00EE6D95">
      <w:pPr>
        <w:pStyle w:val="Naslov6"/>
      </w:pPr>
      <w:r>
        <w:t>Zakonske i druge pravne osnove</w:t>
      </w:r>
    </w:p>
    <w:p w:rsidR="00D849AA" w:rsidRDefault="00EE6D95">
      <w:pPr>
        <w:pStyle w:val="Normal5"/>
      </w:pPr>
      <w:r>
        <w:t xml:space="preserve">1. Zakon o pučkom pravobranitelju (Narodne novine br. 76/12) </w:t>
      </w:r>
    </w:p>
    <w:p w:rsidR="00D849AA" w:rsidRDefault="00EE6D95">
      <w:pPr>
        <w:pStyle w:val="Normal5"/>
      </w:pPr>
      <w:r>
        <w:t xml:space="preserve">2. Zakon o suzbijanju diskriminacije (Narodne novine br. 85/08, 112/12) </w:t>
      </w:r>
    </w:p>
    <w:p w:rsidR="00D849AA" w:rsidRDefault="00EE6D95">
      <w:pPr>
        <w:pStyle w:val="Normal5"/>
      </w:pPr>
      <w:r>
        <w:t xml:space="preserve">3. Zakon o nacionalnom preventivnom mehanizmu za sprečavanje mučenja i drugih okrutnih, neljudskih ili ponižavajućih     postupaka ili kažnjavanja (Narodne novine br. 18/11) </w:t>
      </w:r>
    </w:p>
    <w:p w:rsidR="00D849AA" w:rsidRDefault="00EE6D95">
      <w:pPr>
        <w:pStyle w:val="Normal5"/>
      </w:pPr>
      <w:r>
        <w:t xml:space="preserve">4. Pravilnik o postupku imenovanja i načinu rada predstavnika udruga i predstavnika akademske zajednice u Nacionalnom preventivnom mehanizmu za sprečavanje mučenja i drugih okrutnih, neljudskih ili ponižavajućih postupaka ili kažnjavanja (Narodne novine br. 22/12 </w:t>
      </w:r>
    </w:p>
    <w:p w:rsidR="00D849AA" w:rsidRDefault="00EE6D95">
      <w:pPr>
        <w:pStyle w:val="Normal5"/>
      </w:pPr>
      <w:r>
        <w:t>5. Poslovnik pučkog pravobranitelja (Narodne novine br. 99/13)</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Cilj 1. Zaštita ljudskih prava u skladu s Ustavom Republike Hrvatske, mađunarodnim pravnim aktima i zakonima</w:t>
      </w:r>
    </w:p>
    <w:p w:rsidR="00D849AA" w:rsidRDefault="00EE6D95">
      <w:pPr>
        <w:pStyle w:val="Normal6"/>
      </w:pPr>
      <w:r>
        <w:t xml:space="preserve">Pučki pravobranitelj zaštitu i promicanje ljudskih prava u skladu s Ustavom RH, međunarodnim pravnim aktima i zakonima provodi kroz četiri posebna cilja: </w:t>
      </w:r>
    </w:p>
    <w:p w:rsidR="00D849AA" w:rsidRDefault="00EE6D95">
      <w:pPr>
        <w:pStyle w:val="Normal6"/>
      </w:pPr>
      <w:r>
        <w:t xml:space="preserve"> </w:t>
      </w:r>
    </w:p>
    <w:p w:rsidR="00D849AA" w:rsidRDefault="00EE6D95">
      <w:pPr>
        <w:pStyle w:val="Normal6"/>
      </w:pPr>
      <w:r>
        <w:lastRenderedPageBreak/>
        <w:t>1.</w:t>
      </w:r>
      <w:r>
        <w:tab/>
        <w:t xml:space="preserve">Zaštita ljudskih prava i temeljnih sloboda te primjenu načela vladavine prava, </w:t>
      </w:r>
    </w:p>
    <w:p w:rsidR="00D849AA" w:rsidRDefault="00EE6D95">
      <w:pPr>
        <w:pStyle w:val="Normal6"/>
      </w:pPr>
      <w:r>
        <w:t>2.</w:t>
      </w:r>
      <w:r>
        <w:tab/>
        <w:t xml:space="preserve">Suzbijanje diskriminacije i promicanje jednakog postupanja, </w:t>
      </w:r>
    </w:p>
    <w:p w:rsidR="00D849AA" w:rsidRDefault="00EE6D95">
      <w:pPr>
        <w:pStyle w:val="Normal6"/>
      </w:pPr>
      <w:r>
        <w:t>3.</w:t>
      </w:r>
      <w:r>
        <w:tab/>
        <w:t xml:space="preserve">Jačanje zaštite ljudskih prava osoba lišenih slobode, </w:t>
      </w:r>
    </w:p>
    <w:p w:rsidR="00D849AA" w:rsidRDefault="00EE6D95">
      <w:pPr>
        <w:pStyle w:val="Normal6"/>
      </w:pPr>
      <w:r>
        <w:t>4.</w:t>
      </w:r>
      <w:r>
        <w:tab/>
        <w:t>Jačanje vidljivosti i prepoznatljivosti institucije te suradnje na svim razinama.</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250"/>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Povećan udio usvojenih prijedloga, preporuka, mišljenja i upozorenja u pojedinačnim slučajevima zaštite ljudskih prava</w:t>
            </w:r>
          </w:p>
        </w:tc>
        <w:tc>
          <w:tcPr>
            <w:tcW w:w="1114" w:type="dxa"/>
          </w:tcPr>
          <w:p w:rsidR="00D849AA" w:rsidRDefault="00EE6D95">
            <w:r>
              <w:t>%</w:t>
            </w:r>
          </w:p>
        </w:tc>
        <w:tc>
          <w:tcPr>
            <w:tcW w:w="1114" w:type="dxa"/>
          </w:tcPr>
          <w:p w:rsidR="00D849AA" w:rsidRDefault="00EE6D95">
            <w:r>
              <w:t>Do sada nije bilo praćenja broja prihvaćenih preporuka (izdanih je bilo 247)</w:t>
            </w:r>
          </w:p>
        </w:tc>
        <w:tc>
          <w:tcPr>
            <w:tcW w:w="1486" w:type="dxa"/>
          </w:tcPr>
          <w:p w:rsidR="00D849AA" w:rsidRDefault="00EE6D95">
            <w:r>
              <w:t>60% prihvaćenih preporuka</w:t>
            </w:r>
          </w:p>
        </w:tc>
        <w:tc>
          <w:tcPr>
            <w:tcW w:w="1486" w:type="dxa"/>
          </w:tcPr>
          <w:p w:rsidR="00D849AA" w:rsidRDefault="00EE6D95">
            <w:r>
              <w:t>70% prihvaćenih preporuka</w:t>
            </w:r>
          </w:p>
        </w:tc>
        <w:tc>
          <w:tcPr>
            <w:tcW w:w="1486" w:type="dxa"/>
          </w:tcPr>
          <w:p w:rsidR="00D849AA" w:rsidRDefault="00EE6D95">
            <w:r>
              <w:t>70% prihvaćenih preporuka</w:t>
            </w:r>
          </w:p>
        </w:tc>
      </w:tr>
      <w:tr w:rsidR="00D849AA">
        <w:trPr>
          <w:jc w:val="center"/>
        </w:trPr>
        <w:tc>
          <w:tcPr>
            <w:tcW w:w="2229" w:type="dxa"/>
          </w:tcPr>
          <w:p w:rsidR="00D849AA" w:rsidRDefault="00EE6D95">
            <w:pPr>
              <w:pStyle w:val="CellColumn"/>
            </w:pPr>
            <w:r>
              <w:t>Povećan broj pritužbi na diskriminaciju</w:t>
            </w:r>
          </w:p>
        </w:tc>
        <w:tc>
          <w:tcPr>
            <w:tcW w:w="1114" w:type="dxa"/>
          </w:tcPr>
          <w:p w:rsidR="00D849AA" w:rsidRDefault="00EE6D95">
            <w:r>
              <w:t>broj</w:t>
            </w:r>
          </w:p>
        </w:tc>
        <w:tc>
          <w:tcPr>
            <w:tcW w:w="1114" w:type="dxa"/>
          </w:tcPr>
          <w:p w:rsidR="00D849AA" w:rsidRDefault="00EE6D95">
            <w:r>
              <w:t>200</w:t>
            </w:r>
          </w:p>
        </w:tc>
        <w:tc>
          <w:tcPr>
            <w:tcW w:w="1486" w:type="dxa"/>
          </w:tcPr>
          <w:p w:rsidR="00D849AA" w:rsidRDefault="00EE6D95">
            <w:r>
              <w:t>220</w:t>
            </w:r>
          </w:p>
        </w:tc>
        <w:tc>
          <w:tcPr>
            <w:tcW w:w="1486" w:type="dxa"/>
          </w:tcPr>
          <w:p w:rsidR="00D849AA" w:rsidRDefault="00EE6D95">
            <w:r>
              <w:t>230</w:t>
            </w:r>
          </w:p>
        </w:tc>
        <w:tc>
          <w:tcPr>
            <w:tcW w:w="1486" w:type="dxa"/>
          </w:tcPr>
          <w:p w:rsidR="00D849AA" w:rsidRDefault="00EE6D95">
            <w:r>
              <w:t>230</w:t>
            </w:r>
          </w:p>
        </w:tc>
      </w:tr>
      <w:tr w:rsidR="00D849AA">
        <w:trPr>
          <w:jc w:val="center"/>
        </w:trPr>
        <w:tc>
          <w:tcPr>
            <w:tcW w:w="2229" w:type="dxa"/>
          </w:tcPr>
          <w:p w:rsidR="00D849AA" w:rsidRDefault="00EE6D95">
            <w:pPr>
              <w:pStyle w:val="CellColumn"/>
            </w:pPr>
            <w:r>
              <w:t>Broj postupanja javnopravnih tijela u skladu s preporukama, mišljenjima, prijedlozima i upozorenjima</w:t>
            </w:r>
          </w:p>
        </w:tc>
        <w:tc>
          <w:tcPr>
            <w:tcW w:w="1114" w:type="dxa"/>
          </w:tcPr>
          <w:p w:rsidR="00D849AA" w:rsidRDefault="00EE6D95">
            <w:r>
              <w:t>broj</w:t>
            </w:r>
          </w:p>
        </w:tc>
        <w:tc>
          <w:tcPr>
            <w:tcW w:w="1114" w:type="dxa"/>
          </w:tcPr>
          <w:p w:rsidR="00D849AA" w:rsidRDefault="00EE6D95">
            <w:r>
              <w:t>0</w:t>
            </w:r>
          </w:p>
        </w:tc>
        <w:tc>
          <w:tcPr>
            <w:tcW w:w="1486" w:type="dxa"/>
          </w:tcPr>
          <w:p w:rsidR="00D849AA" w:rsidRDefault="00EE6D95">
            <w:r>
              <w:t>5</w:t>
            </w:r>
          </w:p>
        </w:tc>
        <w:tc>
          <w:tcPr>
            <w:tcW w:w="1486" w:type="dxa"/>
          </w:tcPr>
          <w:p w:rsidR="00D849AA" w:rsidRDefault="00EE6D95">
            <w:r>
              <w:t>6</w:t>
            </w:r>
          </w:p>
        </w:tc>
        <w:tc>
          <w:tcPr>
            <w:tcW w:w="1486" w:type="dxa"/>
          </w:tcPr>
          <w:p w:rsidR="00D849AA" w:rsidRDefault="00EE6D95">
            <w:r>
              <w:t>8</w:t>
            </w:r>
          </w:p>
        </w:tc>
      </w:tr>
      <w:tr w:rsidR="00D849AA">
        <w:trPr>
          <w:jc w:val="center"/>
        </w:trPr>
        <w:tc>
          <w:tcPr>
            <w:tcW w:w="2229" w:type="dxa"/>
          </w:tcPr>
          <w:p w:rsidR="00D849AA" w:rsidRDefault="00EE6D95">
            <w:pPr>
              <w:pStyle w:val="CellColumn"/>
            </w:pPr>
            <w:r>
              <w:t>Povećan broj  posjeta na službenim web stranicama Pučkog pravobranitelja, te povećan broj upita i pritužbi pučkoj pravobraniteljici iz svih hrvatskih regija (očekuje se samo u prve dvije godine mandata pravobraniteljice)</w:t>
            </w:r>
          </w:p>
        </w:tc>
        <w:tc>
          <w:tcPr>
            <w:tcW w:w="1114" w:type="dxa"/>
          </w:tcPr>
          <w:p w:rsidR="00D849AA" w:rsidRDefault="00EE6D95">
            <w:r>
              <w:t>broj</w:t>
            </w:r>
          </w:p>
        </w:tc>
        <w:tc>
          <w:tcPr>
            <w:tcW w:w="1114" w:type="dxa"/>
          </w:tcPr>
          <w:p w:rsidR="00D849AA" w:rsidRDefault="00EE6D95">
            <w:r>
              <w:t>U 2012. Godini: 52,226 ulazaka pojedinačnih korisnika na službene stranice Ureda;  Ukupno 1849 pritužbi građana</w:t>
            </w:r>
          </w:p>
        </w:tc>
        <w:tc>
          <w:tcPr>
            <w:tcW w:w="1486" w:type="dxa"/>
          </w:tcPr>
          <w:p w:rsidR="00D849AA" w:rsidRDefault="00EE6D95">
            <w:r>
              <w:t xml:space="preserve">55000; </w:t>
            </w:r>
          </w:p>
          <w:p w:rsidR="00D849AA" w:rsidRDefault="00EE6D95">
            <w:r>
              <w:t xml:space="preserve"> 2400</w:t>
            </w:r>
          </w:p>
        </w:tc>
        <w:tc>
          <w:tcPr>
            <w:tcW w:w="1486" w:type="dxa"/>
          </w:tcPr>
          <w:p w:rsidR="00D849AA" w:rsidRDefault="00EE6D95">
            <w:r>
              <w:t xml:space="preserve">60000; </w:t>
            </w:r>
          </w:p>
          <w:p w:rsidR="00D849AA" w:rsidRDefault="00EE6D95">
            <w:r>
              <w:t xml:space="preserve"> 2500</w:t>
            </w:r>
          </w:p>
        </w:tc>
        <w:tc>
          <w:tcPr>
            <w:tcW w:w="1486" w:type="dxa"/>
          </w:tcPr>
          <w:p w:rsidR="00D849AA" w:rsidRDefault="00EE6D95">
            <w:r>
              <w:t xml:space="preserve">60000;  </w:t>
            </w:r>
          </w:p>
          <w:p w:rsidR="00D849AA" w:rsidRDefault="00EE6D95">
            <w:r>
              <w:t>2500</w:t>
            </w:r>
          </w:p>
        </w:tc>
      </w:tr>
    </w:tbl>
    <w:p w:rsidR="00D849AA" w:rsidRDefault="00D849AA">
      <w:pPr>
        <w:jc w:val="left"/>
      </w:pPr>
    </w:p>
    <w:p w:rsidR="00D849AA" w:rsidRDefault="00EE6D95">
      <w:pPr>
        <w:pStyle w:val="Naslov5"/>
      </w:pPr>
      <w:r>
        <w:t>Procjena i ishodište potrebnih sredstava za značajnije aktivnosti/projekte</w:t>
      </w:r>
    </w:p>
    <w:p w:rsidR="00D849AA" w:rsidRDefault="00EE6D95">
      <w:pPr>
        <w:pStyle w:val="Naslov6"/>
      </w:pPr>
      <w:r>
        <w:t>A649000 ADMINISTRACIJA I UPRAVLJANJE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A649000</w:t>
            </w:r>
          </w:p>
        </w:tc>
        <w:tc>
          <w:tcPr>
            <w:tcW w:w="1486" w:type="dxa"/>
          </w:tcPr>
          <w:p w:rsidR="00D849AA" w:rsidRDefault="00EE6D95">
            <w:r>
              <w:t>8.216.748</w:t>
            </w:r>
          </w:p>
        </w:tc>
        <w:tc>
          <w:tcPr>
            <w:tcW w:w="1486" w:type="dxa"/>
          </w:tcPr>
          <w:p w:rsidR="00D849AA" w:rsidRDefault="00EE6D95">
            <w:r>
              <w:t>8.369.683</w:t>
            </w:r>
          </w:p>
        </w:tc>
        <w:tc>
          <w:tcPr>
            <w:tcW w:w="1486" w:type="dxa"/>
          </w:tcPr>
          <w:p w:rsidR="00D849AA" w:rsidRDefault="00EE6D95">
            <w:r>
              <w:t>8.813.453</w:t>
            </w:r>
          </w:p>
        </w:tc>
        <w:tc>
          <w:tcPr>
            <w:tcW w:w="1486" w:type="dxa"/>
          </w:tcPr>
          <w:p w:rsidR="00D849AA" w:rsidRDefault="00EE6D95">
            <w:r>
              <w:t>9.190.650</w:t>
            </w:r>
          </w:p>
        </w:tc>
        <w:tc>
          <w:tcPr>
            <w:tcW w:w="1486" w:type="dxa"/>
          </w:tcPr>
          <w:p w:rsidR="00D849AA" w:rsidRDefault="00EE6D95">
            <w:r>
              <w:t>101,9</w:t>
            </w:r>
          </w:p>
        </w:tc>
      </w:tr>
    </w:tbl>
    <w:p w:rsidR="00D849AA" w:rsidRDefault="00D849AA">
      <w:pPr>
        <w:jc w:val="left"/>
      </w:pPr>
    </w:p>
    <w:p w:rsidR="00D849AA" w:rsidRDefault="00EE6D95">
      <w:pPr>
        <w:pStyle w:val="Normal6"/>
      </w:pPr>
      <w:r>
        <w:lastRenderedPageBreak/>
        <w:t xml:space="preserve">Zaštita ljudskih prava i sloboda osnovna je i neposredna nadležnost pučke pravobraniteljice , a provodi je prvenstveno razmatranjem pritužbi građana o postojanju nezakonitosti i nepravilnosti u radu javnopravnih tijela. Isto tako, Ured razmatra i povrede prava građana na vlastitu inicijativu kada smatra da je pojavnost ili područje znakovito za zaštitu prava većeg broja građana ili neku posebno štetnu pojavnost u radu javnopravnih tijela. </w:t>
      </w:r>
    </w:p>
    <w:p w:rsidR="00D849AA" w:rsidRDefault="00EE6D95">
      <w:pPr>
        <w:pStyle w:val="Normal6"/>
      </w:pPr>
      <w:r>
        <w:t xml:space="preserve">Radi što veće dostupnosti Ureda pučke pravobraniteljice građanima, planira se otvaranje područnih ureda u Osijeku, Rijeci i Splitu. Otvaranje područnih ureda pučke pravobraniteljice također je preporučio i Međunarodni koordinacijski odbor za nacionalne institucije Ujedinjenih naroda. </w:t>
      </w:r>
    </w:p>
    <w:p w:rsidR="00D849AA" w:rsidRDefault="00EE6D95">
      <w:pPr>
        <w:pStyle w:val="Normal6"/>
      </w:pPr>
      <w:r>
        <w:t xml:space="preserve">Ured pučke pravobraniteljice je središnje tijelo za suzbijanje diskriminacije. Zakonom o suzbijanju diskriminacije zabranjena je diskriminacija temeljem 17 osnova. Osim rada na pritužbama građana, pučki pravobranitelj, ukoliko je sudski postupak u tijeku, može se pridružiti kao umješač u parnicu, na strani tužitelja.  </w:t>
      </w:r>
    </w:p>
    <w:p w:rsidR="00D849AA" w:rsidRDefault="00EE6D95">
      <w:pPr>
        <w:pStyle w:val="Normal6"/>
      </w:pPr>
      <w:r>
        <w:t xml:space="preserve">Zakonom o suzbijanju diskriminacije propisana je suradnja s organizacijama civilnoga društva, sindikatima, vjerskim i manjinskim zajednicama. </w:t>
      </w:r>
    </w:p>
    <w:p w:rsidR="00D849AA" w:rsidRDefault="00EE6D95">
      <w:pPr>
        <w:pStyle w:val="Normal6"/>
      </w:pPr>
      <w:r>
        <w:t>Novim Zakonom o pučkom pravobranitelju iz 2012. godine, naglašena je i potreba za promicanjem ljudskih prava i sloboda te je pojačana aktivnost na povećanju prepoznatljivosti institucije pučkog pravobranitelja i suradnja na svim razinama.</w:t>
      </w:r>
    </w:p>
    <w:p w:rsidR="00D849AA" w:rsidRDefault="00EE6D95">
      <w:pPr>
        <w:pStyle w:val="Naslov6"/>
      </w:pPr>
      <w:r>
        <w:t>A649004 MEĐUNARODNA SURADNJA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A649004</w:t>
            </w:r>
          </w:p>
        </w:tc>
        <w:tc>
          <w:tcPr>
            <w:tcW w:w="1486" w:type="dxa"/>
          </w:tcPr>
          <w:p w:rsidR="00D849AA" w:rsidRDefault="00EE6D95">
            <w:r>
              <w:t>51.000</w:t>
            </w:r>
          </w:p>
        </w:tc>
        <w:tc>
          <w:tcPr>
            <w:tcW w:w="1486" w:type="dxa"/>
          </w:tcPr>
          <w:p w:rsidR="00D849AA" w:rsidRDefault="00EE6D95">
            <w:r>
              <w:t>73.000</w:t>
            </w:r>
          </w:p>
        </w:tc>
        <w:tc>
          <w:tcPr>
            <w:tcW w:w="1486" w:type="dxa"/>
          </w:tcPr>
          <w:p w:rsidR="00D849AA" w:rsidRDefault="00EE6D95">
            <w:r>
              <w:t>73.000</w:t>
            </w:r>
          </w:p>
        </w:tc>
        <w:tc>
          <w:tcPr>
            <w:tcW w:w="1486" w:type="dxa"/>
          </w:tcPr>
          <w:p w:rsidR="00D849AA" w:rsidRDefault="00EE6D95">
            <w:r>
              <w:t>73.000</w:t>
            </w:r>
          </w:p>
        </w:tc>
        <w:tc>
          <w:tcPr>
            <w:tcW w:w="1486" w:type="dxa"/>
          </w:tcPr>
          <w:p w:rsidR="00D849AA" w:rsidRDefault="00EE6D95">
            <w:r>
              <w:t>143,1</w:t>
            </w:r>
          </w:p>
        </w:tc>
      </w:tr>
    </w:tbl>
    <w:p w:rsidR="00D849AA" w:rsidRDefault="00D849AA">
      <w:pPr>
        <w:jc w:val="left"/>
      </w:pPr>
    </w:p>
    <w:p w:rsidR="00D849AA" w:rsidRDefault="00EE6D95">
      <w:pPr>
        <w:pStyle w:val="Normal6"/>
      </w:pPr>
      <w:r>
        <w:t xml:space="preserve">Međunarodni koordinacijski odbor za nacionalne institucije, koji djeluje pri Uredu Visoke povjerenice za ljudska prava UN-a iz Ženeve, u srpnju 2013. potvrdio je pučkom pravobranitelju „status A“ što je najviši status kojeg se dodjeljuje instituciji za zaštitu ljudskih prava koja zadovoljava kriterije iz tzv. "Pariških načela". Ova akreditacija podliježe reviziji svakih pet godina.  </w:t>
      </w:r>
    </w:p>
    <w:p w:rsidR="00D849AA" w:rsidRDefault="00EE6D95">
      <w:pPr>
        <w:pStyle w:val="Normal6"/>
      </w:pPr>
      <w:r>
        <w:t>Ured pučke pravobraniteljice član je Međunarodnog instituta ombudsmana, Udruženja mediteranskih ombudsmana, te Europske mreže tijela za suzbijanje diskriminacije i promicanje jednakosti (EQUINET). Aktivna je suradnja i s drugim međunarodnim organizacijama i institucijama na području zaštite ljudskih prava.</w:t>
      </w:r>
    </w:p>
    <w:p w:rsidR="00D849AA" w:rsidRDefault="00EE6D95">
      <w:pPr>
        <w:pStyle w:val="Naslov6"/>
      </w:pPr>
      <w:r>
        <w:t>A649014 NACIONALNI PREVENTIVNI MEHANIZAM</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A649014</w:t>
            </w:r>
          </w:p>
        </w:tc>
        <w:tc>
          <w:tcPr>
            <w:tcW w:w="1486" w:type="dxa"/>
          </w:tcPr>
          <w:p w:rsidR="00D849AA" w:rsidRDefault="00EE6D95">
            <w:r>
              <w:t>212.000</w:t>
            </w:r>
          </w:p>
        </w:tc>
        <w:tc>
          <w:tcPr>
            <w:tcW w:w="1486" w:type="dxa"/>
          </w:tcPr>
          <w:p w:rsidR="00D849AA" w:rsidRDefault="00EE6D95">
            <w:r>
              <w:t>111.000</w:t>
            </w:r>
          </w:p>
        </w:tc>
        <w:tc>
          <w:tcPr>
            <w:tcW w:w="1486" w:type="dxa"/>
          </w:tcPr>
          <w:p w:rsidR="00D849AA" w:rsidRDefault="00EE6D95">
            <w:r>
              <w:t>111.000</w:t>
            </w:r>
          </w:p>
        </w:tc>
        <w:tc>
          <w:tcPr>
            <w:tcW w:w="1486" w:type="dxa"/>
          </w:tcPr>
          <w:p w:rsidR="00D849AA" w:rsidRDefault="00EE6D95">
            <w:r>
              <w:t>111.000</w:t>
            </w:r>
          </w:p>
        </w:tc>
        <w:tc>
          <w:tcPr>
            <w:tcW w:w="1486" w:type="dxa"/>
          </w:tcPr>
          <w:p w:rsidR="00D849AA" w:rsidRDefault="00EE6D95">
            <w:r>
              <w:t>52,4</w:t>
            </w:r>
          </w:p>
        </w:tc>
      </w:tr>
    </w:tbl>
    <w:p w:rsidR="00D849AA" w:rsidRDefault="00D849AA">
      <w:pPr>
        <w:jc w:val="left"/>
      </w:pPr>
    </w:p>
    <w:p w:rsidR="00D849AA" w:rsidRDefault="00EE6D95">
      <w:pPr>
        <w:pStyle w:val="Normal6"/>
      </w:pPr>
      <w:r>
        <w:t xml:space="preserve">Prema Zakonu o nacionalnom preventivnom mehanizmu za sprečavanje mučenja i drugih  </w:t>
      </w:r>
    </w:p>
    <w:p w:rsidR="00D849AA" w:rsidRDefault="00EE6D95">
      <w:pPr>
        <w:pStyle w:val="Normal6"/>
      </w:pPr>
      <w:r>
        <w:t xml:space="preserve">okrutnih, neljudskih ili ponižavajućih postupaka ili kažnjavanja, poslove NPM-a obavlja pučki pravobranitelj, a uz službenike Ureda pučke pravobraniteljice, sudjeluju dva predstavnika akademske zajednice i dva predstavnika udruga registriranih za obavljanje djelatnosti iz područja zaštite ljudskih prava.   </w:t>
      </w:r>
    </w:p>
    <w:p w:rsidR="00D849AA" w:rsidRDefault="00EE6D95">
      <w:pPr>
        <w:pStyle w:val="Normal6"/>
      </w:pPr>
      <w:r>
        <w:lastRenderedPageBreak/>
        <w:t xml:space="preserve">Najvažniji posao NPM su redoviti obilasci mjesta u kojima se nalaze ili bi se mogle nalaziti osobe lišene slobode, radi jačanja njihove zaštite od mučenja i drugih okrutnih, neljudskih ili ponižavajućih postupaka ili kažnjavanja te davanje preporuka tijelima ili ustanovama, koje su dužne u roku koji odredi pučki pravobranitelj, slijedom njih poduzeti mjere i o tome bez odgađanja obavijestiti pučkog pravobranitelj. </w:t>
      </w:r>
    </w:p>
    <w:p w:rsidR="00D849AA" w:rsidRDefault="00EE6D95">
      <w:pPr>
        <w:pStyle w:val="Normal6"/>
      </w:pPr>
      <w:r>
        <w:t xml:space="preserve">NPM je relativno novi mehanizam zaštite ljudskih prava (godišnje izvješće za 2012. godinu bilo je prvo koje je pučka pravobraniteljica podnosila Hrvatskom saboru) te je stoga djelovanje Ureda, osim redovitih obilazaka, usmjereno i na podizanje razine informiranosti o ulozi NPM-a, prvenstveno osoba lišenih slobode. </w:t>
      </w:r>
    </w:p>
    <w:p w:rsidR="00D849AA" w:rsidRDefault="00EE6D95">
      <w:pPr>
        <w:pStyle w:val="Normal6"/>
      </w:pPr>
      <w:r>
        <w:t>Treba spomenuti i da se prema ocjeni Europskog odbora za sprečavanje mučenja i neljudskog ili ponižavajućeg postupanja ili kažnjavanja (CPT), ekipiranost Ureda pučke pravobraniteljice ocjenjuje nedostatnim. CPT podsjeća na preporuku Pododbora za sprečavanje mučenja (SPT) sukladno kojoj je u slučajevima kada tijelo koje obavlja poslove NPM-a obavlja i druge poslove, nužno ustrojiti odvojenu organizacijsku jedinicu za obavljanje poslova NPM-a, koja će imati samostalnu službu i proračun. Za poslove NPM-a predviđena je posebna aktivnost u proračunu Ureda, ali je potrebno osigurati zamjenika pučke pravobraniteljice za poslove nacionalnog preventivnog mehanizma.</w:t>
      </w:r>
    </w:p>
    <w:p w:rsidR="00D849AA" w:rsidRDefault="00EE6D95">
      <w:pPr>
        <w:pStyle w:val="Naslov1"/>
      </w:pPr>
      <w:r>
        <w:lastRenderedPageBreak/>
        <w:t>121 PRAVOBRANITELJ ZA DJECU</w:t>
      </w:r>
    </w:p>
    <w:p w:rsidR="00D849AA" w:rsidRDefault="00EE6D95">
      <w:pPr>
        <w:pStyle w:val="Naslov4"/>
      </w:pPr>
      <w:r>
        <w:t>Uvod</w:t>
      </w:r>
    </w:p>
    <w:p w:rsidR="00D849AA" w:rsidRDefault="00EE6D95">
      <w:pPr>
        <w:pStyle w:val="Normal3"/>
      </w:pPr>
      <w:r>
        <w:t>Institucija Pravobranitelja za djecu Republike Hrvatske, neovisna je nacionalna institucija za zaštitu i promicanje prava i interesa djece u Republici Hrvatskoj. Pravobranitelja za djecu i njegove zamjenike imenuje Hrvatski sabor na razdoblje od 8 godina. U svom je radu prema zakonskim odredbama, neovisan, samostalan i odgovoran isključivo Hrvatskom saboru. Sukladno Zakonu o pravobranitelju za djecu (NN 96/03), on štiti, prati i promiče prava i interese djece, a ovlašten je upozoravati, predlagati i davati preporuke. Osim toga, Pravobranitelj za djecu surađuje s djecom, potiče ih na izjašnjavanje i uvažava njihovo mišljenje, inicira i sudjeluje u javnim aktivnostima usmjerenim na poboljšanje položaja djece te predlaže mjere za povećanje utjecaja djece u društvu. Pravobranitelj za djecu ima Službu za opće poslove i Službu za stručne poslove, a djeluje u Zagrebu te u tri regionalna Ureda u Splitu, Rijeci i Osijeku. Ured ima 19 zaposlenih.</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12105 Pravobranitelj za djecu</w:t>
            </w:r>
          </w:p>
        </w:tc>
        <w:tc>
          <w:tcPr>
            <w:tcW w:w="1486" w:type="dxa"/>
          </w:tcPr>
          <w:p w:rsidR="00D849AA" w:rsidRDefault="00EE6D95">
            <w:r>
              <w:t>5.330.888</w:t>
            </w:r>
          </w:p>
        </w:tc>
        <w:tc>
          <w:tcPr>
            <w:tcW w:w="1486" w:type="dxa"/>
          </w:tcPr>
          <w:p w:rsidR="00D849AA" w:rsidRDefault="00EE6D95">
            <w:r>
              <w:t>5.290.862</w:t>
            </w:r>
          </w:p>
        </w:tc>
        <w:tc>
          <w:tcPr>
            <w:tcW w:w="1486" w:type="dxa"/>
          </w:tcPr>
          <w:p w:rsidR="00D849AA" w:rsidRDefault="00EE6D95">
            <w:r>
              <w:t>5.302.900</w:t>
            </w:r>
          </w:p>
        </w:tc>
        <w:tc>
          <w:tcPr>
            <w:tcW w:w="1486" w:type="dxa"/>
          </w:tcPr>
          <w:p w:rsidR="00D849AA" w:rsidRDefault="00EE6D95">
            <w:r>
              <w:t>5.505.465</w:t>
            </w:r>
          </w:p>
        </w:tc>
        <w:tc>
          <w:tcPr>
            <w:tcW w:w="1486" w:type="dxa"/>
          </w:tcPr>
          <w:p w:rsidR="00D849AA" w:rsidRDefault="00EE6D95">
            <w:r>
              <w:t>99,2</w:t>
            </w:r>
          </w:p>
        </w:tc>
      </w:tr>
      <w:tr w:rsidR="00D849AA">
        <w:trPr>
          <w:jc w:val="center"/>
        </w:trPr>
        <w:tc>
          <w:tcPr>
            <w:tcW w:w="1486" w:type="dxa"/>
            <w:shd w:val="clear" w:color="auto" w:fill="B5C0D8"/>
          </w:tcPr>
          <w:p w:rsidR="00D849AA" w:rsidRDefault="00EE6D95">
            <w:pPr>
              <w:pStyle w:val="CellColumn"/>
            </w:pPr>
            <w:r>
              <w:t>Ukupno 121</w:t>
            </w:r>
          </w:p>
        </w:tc>
        <w:tc>
          <w:tcPr>
            <w:tcW w:w="1486" w:type="dxa"/>
            <w:shd w:val="clear" w:color="auto" w:fill="B5C0D8"/>
          </w:tcPr>
          <w:p w:rsidR="00D849AA" w:rsidRDefault="00EE6D95">
            <w:r>
              <w:t>5.330.888</w:t>
            </w:r>
          </w:p>
        </w:tc>
        <w:tc>
          <w:tcPr>
            <w:tcW w:w="1486" w:type="dxa"/>
            <w:shd w:val="clear" w:color="auto" w:fill="B5C0D8"/>
          </w:tcPr>
          <w:p w:rsidR="00D849AA" w:rsidRDefault="00EE6D95">
            <w:r>
              <w:t>5.290.862</w:t>
            </w:r>
          </w:p>
        </w:tc>
        <w:tc>
          <w:tcPr>
            <w:tcW w:w="1486" w:type="dxa"/>
            <w:shd w:val="clear" w:color="auto" w:fill="B5C0D8"/>
          </w:tcPr>
          <w:p w:rsidR="00D849AA" w:rsidRDefault="00EE6D95">
            <w:r>
              <w:t>5.302.900</w:t>
            </w:r>
          </w:p>
        </w:tc>
        <w:tc>
          <w:tcPr>
            <w:tcW w:w="1486" w:type="dxa"/>
            <w:shd w:val="clear" w:color="auto" w:fill="B5C0D8"/>
          </w:tcPr>
          <w:p w:rsidR="00D849AA" w:rsidRDefault="00EE6D95">
            <w:r>
              <w:t>5.505.465</w:t>
            </w:r>
          </w:p>
        </w:tc>
        <w:tc>
          <w:tcPr>
            <w:tcW w:w="1486" w:type="dxa"/>
            <w:shd w:val="clear" w:color="auto" w:fill="B5C0D8"/>
          </w:tcPr>
          <w:p w:rsidR="00D849AA" w:rsidRDefault="00EE6D95">
            <w:r>
              <w:t>99,2</w:t>
            </w:r>
          </w:p>
        </w:tc>
      </w:tr>
    </w:tbl>
    <w:p w:rsidR="00D849AA" w:rsidRDefault="00D849AA">
      <w:pPr>
        <w:jc w:val="left"/>
      </w:pPr>
    </w:p>
    <w:p w:rsidR="00D849AA" w:rsidRDefault="00EE6D95">
      <w:pPr>
        <w:pStyle w:val="Naslov2"/>
      </w:pPr>
      <w:r>
        <w:t>12105 Pravobranitelj za djecu</w:t>
      </w:r>
    </w:p>
    <w:p w:rsidR="00D849AA" w:rsidRDefault="00EE6D95">
      <w:pPr>
        <w:pStyle w:val="Naslov4"/>
      </w:pPr>
      <w:r>
        <w:t>Uvod</w:t>
      </w:r>
    </w:p>
    <w:p w:rsidR="00D849AA" w:rsidRDefault="00EE6D95">
      <w:pPr>
        <w:pStyle w:val="Normal3"/>
      </w:pPr>
      <w:r>
        <w:t xml:space="preserve">Najznačajniji poslovi i zadaci Ureda pravobranitelja za djecu su ostvarivanje općih i posebnih ciljeva odnosno ostvarivanje najboljeg interesa i unapređenje pravnog i društvenog položaja djece, koje će se postići afirmacijom djece kao subjekata i nositelja prava, djelotvornim javnim politikama, poboljšanjem zakonodavstva te učinkovitim funkcioniranjem svih društvenih sustava, uključujući obitelji. Unapređenje zdravstvenih prava djece i zdravih stilova života, unapređenje prava na sigurnost djece i njihovu zaštitu od nasilja, poštovanje prava djece na život uz roditelje i roditeljsku skrb, unapređenje obrazovnih prava djece, unapređenje prava djece na kvalitetnu skrb izvan vlastite obitelji, poštovanje pravosudno-zaštitnih prava djece. Ured pravobraniteljice za djecu planira izvršiti navedene zadatke i obveze u okviru potprograma A739000 Zaštita, praćenje i promicanje prava djece prema projekciji   prijedloga financijskog plana za razdoblje 2014.-2016. kroz račune ekonomske klasifikacije, koji odgovaraju računima Računskog plana za proračunsko računovodstvo, razreda 3 - 8 i njima pripadajućim podskupinama, odjeljcima i osnovnim računima. Prijedlog financijskog plana za 2014.-2016. godinu u okvirima je utvrđenih limita ukupnih rashoda po razdjelima Državnog proračuna u iznosu od 5.290.862,00 kuna. Ukupni rashodi za zaposlene manji su u odnosu na 2013. g za 0,03% (1.038,00 kn.), dio tih rashoda koji se odnose na bruto plaće manji je za 0,38% (11.865,54 kn), doprinosi na plaće za 0,46% (2.200,00) dok su ostali rashodi za zaposlene (JN, darovi za djecu, otpremnine),  uvećani u odnosu na 2013.g. za 111,86%  (13.200,00 kn.) prema pravima iz KU. </w:t>
      </w:r>
    </w:p>
    <w:p w:rsidR="00D849AA" w:rsidRDefault="00EE6D95">
      <w:pPr>
        <w:pStyle w:val="Normal3"/>
      </w:pPr>
      <w:r>
        <w:t xml:space="preserve"> Materijalni rashodi na skupini računa 32 smanjeni su za 5,42% (92.600,00 kn) u odnosu na plan iz 2013.g, što je zapravo, rezultat završetka većeg dijela planiranih radova na uređenju prostora za Malu kuću dječjih prava u 2013.g., dok su istovremeno na skupini računa 42 u 2014.g. planirana  sredstva za opremanje i namještanje istog prostora, a koja na poziciji u 2013.g.nisu bila planirana. </w:t>
      </w:r>
      <w:r>
        <w:lastRenderedPageBreak/>
        <w:t xml:space="preserve">U 2014. godini na skupini računa planirani rashodi za nabavu proizvedene dugotrajne imovine sudjelujemo s povećanjem od 170% u odnosu na prošlu godinu, a radi potrebe nabave računalne opreme,  dijelom za Malu kuću dječjih prava,  a dijelom za obnovu dotrajale postojeće opreme </w:t>
      </w:r>
    </w:p>
    <w:p w:rsidR="00D849AA" w:rsidRDefault="00EE6D95">
      <w:pPr>
        <w:pStyle w:val="Normal3"/>
      </w:pPr>
      <w:r>
        <w:t>Aktivnost K739003 Obnova voznog parka novi su izdaci u 2014.g.  potrebni za nabavu službenog automobila (zamjena dotrajalog automobila novim) putem Carinske uprave, i to radi osiguranja potrebnih sredstava  za plaćanje poreza.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12105</w:t>
            </w:r>
          </w:p>
        </w:tc>
        <w:tc>
          <w:tcPr>
            <w:tcW w:w="1486" w:type="dxa"/>
          </w:tcPr>
          <w:p w:rsidR="00D849AA" w:rsidRDefault="00EE6D95">
            <w:r>
              <w:t>5.330.888</w:t>
            </w:r>
          </w:p>
        </w:tc>
        <w:tc>
          <w:tcPr>
            <w:tcW w:w="1486" w:type="dxa"/>
          </w:tcPr>
          <w:p w:rsidR="00D849AA" w:rsidRDefault="00EE6D95">
            <w:r>
              <w:t>5.290.862</w:t>
            </w:r>
          </w:p>
        </w:tc>
        <w:tc>
          <w:tcPr>
            <w:tcW w:w="1486" w:type="dxa"/>
          </w:tcPr>
          <w:p w:rsidR="00D849AA" w:rsidRDefault="00EE6D95">
            <w:r>
              <w:t>5.302.900</w:t>
            </w:r>
          </w:p>
        </w:tc>
        <w:tc>
          <w:tcPr>
            <w:tcW w:w="1486" w:type="dxa"/>
          </w:tcPr>
          <w:p w:rsidR="00D849AA" w:rsidRDefault="00EE6D95">
            <w:r>
              <w:t>5.505.465</w:t>
            </w:r>
          </w:p>
        </w:tc>
        <w:tc>
          <w:tcPr>
            <w:tcW w:w="1486" w:type="dxa"/>
          </w:tcPr>
          <w:p w:rsidR="00D849AA" w:rsidRDefault="00EE6D95">
            <w:r>
              <w:t>99,2</w:t>
            </w:r>
          </w:p>
        </w:tc>
      </w:tr>
    </w:tbl>
    <w:p w:rsidR="00D849AA" w:rsidRDefault="00D849AA">
      <w:pPr>
        <w:jc w:val="left"/>
      </w:pPr>
    </w:p>
    <w:p w:rsidR="00D849AA" w:rsidRDefault="00EE6D95">
      <w:pPr>
        <w:pStyle w:val="Naslov4"/>
      </w:pPr>
      <w:r>
        <w:t>OBRAZLOŽENJE PROGRAMA</w:t>
      </w:r>
    </w:p>
    <w:p w:rsidR="00D849AA" w:rsidRDefault="00EE6D95">
      <w:pPr>
        <w:pStyle w:val="Naslov5"/>
      </w:pPr>
      <w:r>
        <w:t>2116 ZAŠTITA I PROMICANJE PRAVA DJECE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2116</w:t>
            </w:r>
          </w:p>
        </w:tc>
        <w:tc>
          <w:tcPr>
            <w:tcW w:w="1486" w:type="dxa"/>
          </w:tcPr>
          <w:p w:rsidR="00D849AA" w:rsidRDefault="00EE6D95">
            <w:r>
              <w:t>5.330.888</w:t>
            </w:r>
          </w:p>
        </w:tc>
        <w:tc>
          <w:tcPr>
            <w:tcW w:w="1486" w:type="dxa"/>
          </w:tcPr>
          <w:p w:rsidR="00D849AA" w:rsidRDefault="00EE6D95">
            <w:r>
              <w:t>5.290.862</w:t>
            </w:r>
          </w:p>
        </w:tc>
        <w:tc>
          <w:tcPr>
            <w:tcW w:w="1486" w:type="dxa"/>
          </w:tcPr>
          <w:p w:rsidR="00D849AA" w:rsidRDefault="00EE6D95">
            <w:r>
              <w:t>5.302.900</w:t>
            </w:r>
          </w:p>
        </w:tc>
        <w:tc>
          <w:tcPr>
            <w:tcW w:w="1486" w:type="dxa"/>
          </w:tcPr>
          <w:p w:rsidR="00D849AA" w:rsidRDefault="00EE6D95">
            <w:r>
              <w:t>5.505.465</w:t>
            </w:r>
          </w:p>
        </w:tc>
        <w:tc>
          <w:tcPr>
            <w:tcW w:w="1486" w:type="dxa"/>
          </w:tcPr>
          <w:p w:rsidR="00D849AA" w:rsidRDefault="00EE6D95">
            <w:r>
              <w:t>99,2</w:t>
            </w:r>
          </w:p>
        </w:tc>
      </w:tr>
    </w:tbl>
    <w:p w:rsidR="00D849AA" w:rsidRDefault="00D849AA">
      <w:pPr>
        <w:jc w:val="left"/>
      </w:pPr>
    </w:p>
    <w:p w:rsidR="00D849AA" w:rsidRDefault="00EE6D95">
      <w:pPr>
        <w:pStyle w:val="Naslov6"/>
      </w:pPr>
      <w:r>
        <w:t>Opis programa</w:t>
      </w:r>
    </w:p>
    <w:p w:rsidR="00D849AA" w:rsidRDefault="00EE6D95">
      <w:pPr>
        <w:pStyle w:val="Normal5"/>
      </w:pPr>
      <w:r>
        <w:t xml:space="preserve">Glavni program Pravobranitelja za djecu „Zaštita, praćenje i promicanje ljudskih prava i temeljnih sloboda djece“ ostvarivat će se kroz podprogram A739000 Zaštita, praćenje i promicanje prava djece za što smo izradili prijedlog plana za slijedeće trogodišnje razdoblje. Povećanje razine zaštite sve djece u Republici Hrvatskoj, ostvarivanje njihovih prava u svim područjima života i unapređenje njihova položaja u društvu, neovisno i samostalno, držeći se načela pravičnosti i morala, štititi, pratiti i promicati prava i interese djece.Najbolji interes i unapređenje pravnog i društvenog položaja djece ostvarit će se afirmacijom djece kao subjekata i nositelja prava, djelotvornim javnim politikama, poboljšanjem zakonodavstva te učinkovitim funkcioniranjem svih društvenih sustava, uključujući obitelji. Djelotvorne javne politike usmjerene ostvarenju najboljeg interesa djece, usklađeno funkcioniranje sustava, unapređenje zakonodavstva donošenjem novih, izmjenom postojećih propisa i njihovom dosljednom i djelotvornom primjenom, omogućit će bolju zaštitu djece, bolje uvjete njihova odrastanja i njihovo aktivnije i sadržajno sudjelovanje i utjecaj u društvu u svim segmentima života – obitelji, obrazovanju, socijalnoj skrbi, zdravstvu i drugima. Ured pravobraniteljice za djecu osobitu pažnju će posvećivati zaštiti pojedinačnih prava i interesa djece kroz neposredne mjere u odnosu na dijete, i to kroz obavljanje stručnih poslova u vezi s podnescima i usmenim poticajima upućenim Uredu te kroz stjecanje uvida u način ostvarivanja brige o djeci smještenoj izvan obitelji (aktivnosti usmjerene na terenski rad u smislu obilazaka različitih odgojnih, obrazovnih, socijalnih, rehabilitacijskih i odgojnih institucija). Uključivanje pravobraniteljice u konkretnim pojedinačnim slučajevima, omogućuje uvid u način ostvarivanja zaštite dječjih prava i ne utječe na samostalnost u rješavanju nadležnih tijela, budući je temeljni posao Ureda pravobraniteljice za djecu da prati sva područja života i prava djece, sagledava cjelinu, procjenjuje može li se bolje postupati u zaštiti djece, ukazuje na nepravilnosti i potiče nadležne na aktivnost, te predlaže aktivnosti proizašle iz cjelovitog pogleda i pregleda. Poduzimanjem mjera tako će se smanjiti štetna djelovanja koja ugrožavaju prava i interese djece. Pravobranitelj za djecu će nadalje općim inicijativama i promicanjem </w:t>
      </w:r>
      <w:r>
        <w:lastRenderedPageBreak/>
        <w:t>prava djece kroz proaktivno, preventivno i dugoročno djelovanje koje obuhvaća veći broj djece i predstavlja važan dio sveobuhvatnog djelovanja i zaštite djece, poticati unapređenje pravnog i društvenog položaja djece te ojačati ulogu dječjeg pravobranitelja i povećati ulaganja i izdvajanja za dio socijalnog sustava koji se bavi djecom i obiteljima. Izuzetno važnim smatramo ostvarivanje utjecaja kroz aktivnosti usmjerene promicanju prava djece, praćenje usklađenosti zakona i drugih propisa s odredbama Konvencije o pravima djeteta  i sudjelovanje na saborskim odborima u predlaganju izmjena i dopuna zakona; kroz praćenje primjene propisa i dokumenata te praćenje provedbe strategija i planova te s tim u vezi davanje preporuka i prijedloga mjerodavnim tijelima; kroz  međuinstitucionalnu suradnju u ulozi medijatora i moderatora bolje zaštite prava djece, kao i kroz međunarodnu i bilateralnu suradnju radi razmjene informacija i promocije prava djece.</w:t>
      </w:r>
    </w:p>
    <w:p w:rsidR="00D849AA" w:rsidRDefault="00EE6D95">
      <w:pPr>
        <w:pStyle w:val="Naslov6"/>
      </w:pPr>
      <w:r>
        <w:t>Zakonske i druge pravne osnove</w:t>
      </w:r>
    </w:p>
    <w:p w:rsidR="00D849AA" w:rsidRDefault="00EE6D95">
      <w:pPr>
        <w:pStyle w:val="Normal5"/>
      </w:pPr>
      <w:r>
        <w:t>Pravna osnova za provođenje programa je Zakon o pravobranitelju za djecu te drugi propisi kojima se štite, prate i promiču prava i interesi djece, osobito Konvencija Ujedinjenih naroda o pravima djeteta, nacionalni propisi te Izvješća o radu Pravobranitelja za djecu.</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Cilj 1. Ostvarenje najboljih interesa djece  u RH</w:t>
      </w:r>
    </w:p>
    <w:p w:rsidR="00D849AA" w:rsidRDefault="00EE6D95">
      <w:pPr>
        <w:pStyle w:val="Normal6"/>
      </w:pPr>
      <w:r>
        <w:t xml:space="preserve">Opći cilj programa je: Ostvarenje najboljih interesa djece kroz povećanje njihove zaštite te unapređivanje njihovog pravnog i društvenog položaja u Republici Hrvatskoj. </w:t>
      </w:r>
    </w:p>
    <w:p w:rsidR="00D849AA" w:rsidRDefault="00EE6D95">
      <w:pPr>
        <w:pStyle w:val="Normal6"/>
      </w:pPr>
      <w:r>
        <w:t xml:space="preserve">Posebni ciljevi su: </w:t>
      </w:r>
    </w:p>
    <w:p w:rsidR="00D849AA" w:rsidRDefault="00EE6D95">
      <w:pPr>
        <w:pStyle w:val="Normal6"/>
      </w:pPr>
      <w:r>
        <w:t xml:space="preserve">1.1.Jačanje zaštite pojedinačnih prava i interesa djece koji se ostvaruje kroz obrađivanje pojedinačnih pritužbi i izrađivanje upozorenja, prijedloga i preporuka za poduzimanje mjera za sprječavanje štetnih djelovanja koja ugrožavaju prava i interese djece te uvidom u način ostvarivanja brige o djeci smještenoj izvan obitelji, kao i promocijom prava djece na sudjelovanje u društvu. </w:t>
      </w:r>
    </w:p>
    <w:p w:rsidR="00D849AA" w:rsidRDefault="00EE6D95">
      <w:pPr>
        <w:pStyle w:val="Normal6"/>
      </w:pPr>
      <w:r>
        <w:t xml:space="preserve">1.2 Unapređenje pravnog i društvenog položaja djece koji se ostvaruje praćenjem usklađenosti zakona i drugih propisa s odredbama Konvencije o pravima djeteta, aktivnostima usmjerenim promicanju prava djece, međuinstitucionalnom i međunarodnom suradnjom te promocijom udomiteljstva i deinstitucionalizacije. </w:t>
      </w:r>
    </w:p>
    <w:p w:rsidR="00D849AA" w:rsidRDefault="00EE6D95">
      <w:pPr>
        <w:pStyle w:val="Normal6"/>
      </w:pPr>
      <w:r>
        <w:t xml:space="preserve">Pokazatelji rezultata posebnog cilja: 1.1 Jačanje zaštite pojedinačnih prava i interesa djece su broj izrađenih upozorenja, prijedloga, broj obiđenih obrazovnih, odgojnih,rehabilitacijskih, ustanova socijalne skrbi, kaznenih i zdravstvenih ustanova te broj organiziranih susreta i razgovora s djecom predstavnicima Vijeća za djecu, Vijeća učenika i Vijeća korisnika.  Pokazatelj učinka je: postotak prihvaćenih upozorenja, prijedloga i preporuka. </w:t>
      </w:r>
    </w:p>
    <w:p w:rsidR="00D849AA" w:rsidRDefault="00EE6D95">
      <w:pPr>
        <w:pStyle w:val="Normal6"/>
      </w:pPr>
      <w:r>
        <w:t xml:space="preserve">Pokazatelj rezultata posebnog cilja: 1.2 Unapređenje pravnog i društvenog položaja djece su:broj izrađenih mišljenja i prijedloga na zakonske i podzakonske propise,broj poticaja za izradu prijedloga izmjena i dopuna zakona, broj upozorenja, prijedloga i preporuka nadležnim tijelima i institucijama, broj konzultativnih sastanaka s djecom, broj obilježavanja tematskih događaja, broj tiskanih promotivnih letaka i zbornika, broj održanih sastanaka s tijelima javne vlasti, ustanovama, nevladinim i strukovnim udrugama i broj održanih susreta s predstavnicima europske i regionalne mreže pravobranitelja za djecu i svjetskih organizacija za prava djece, kao i broj  održanih susreta i sastanaka s predstavnicima domova, lokalne zajednice, CZSS i škola Pokazatelj učinka je: postotak prihvaćenih upozorenja, prijedloga i preporuka sveobuhvatne zaštite djece, jačanje dječjeg pravobranitelja i povećanje ulaganja i izdvajanja za dio socijalnog sustava koji se bavi </w:t>
      </w:r>
      <w:r>
        <w:lastRenderedPageBreak/>
        <w:t>djecom i obiteljima. Poduzimanjem navedenih mjera će se smanjiti štetna djelovanja koja ugrožavaju prava i interese djece.</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Postotak prihvaćenih upozorenja, prijedloga i preporuka na godišnjoj razini</w:t>
            </w:r>
          </w:p>
        </w:tc>
        <w:tc>
          <w:tcPr>
            <w:tcW w:w="1114" w:type="dxa"/>
          </w:tcPr>
          <w:p w:rsidR="00D849AA" w:rsidRDefault="00EE6D95">
            <w:r>
              <w:t>%</w:t>
            </w:r>
          </w:p>
        </w:tc>
        <w:tc>
          <w:tcPr>
            <w:tcW w:w="1114" w:type="dxa"/>
          </w:tcPr>
          <w:p w:rsidR="00D849AA" w:rsidRDefault="00EE6D95">
            <w:r>
              <w:t>0</w:t>
            </w:r>
          </w:p>
        </w:tc>
        <w:tc>
          <w:tcPr>
            <w:tcW w:w="1486" w:type="dxa"/>
          </w:tcPr>
          <w:p w:rsidR="00D849AA" w:rsidRDefault="00EE6D95">
            <w:r>
              <w:t>32</w:t>
            </w:r>
          </w:p>
        </w:tc>
        <w:tc>
          <w:tcPr>
            <w:tcW w:w="1486" w:type="dxa"/>
          </w:tcPr>
          <w:p w:rsidR="00D849AA" w:rsidRDefault="00EE6D95">
            <w:r>
              <w:t>32</w:t>
            </w:r>
          </w:p>
        </w:tc>
        <w:tc>
          <w:tcPr>
            <w:tcW w:w="1486" w:type="dxa"/>
          </w:tcPr>
          <w:p w:rsidR="00D849AA" w:rsidRDefault="00EE6D95">
            <w:r>
              <w:t>32</w:t>
            </w:r>
          </w:p>
        </w:tc>
      </w:tr>
      <w:tr w:rsidR="00D849AA">
        <w:trPr>
          <w:jc w:val="center"/>
        </w:trPr>
        <w:tc>
          <w:tcPr>
            <w:tcW w:w="2229" w:type="dxa"/>
          </w:tcPr>
          <w:p w:rsidR="00D849AA" w:rsidRDefault="00EE6D95">
            <w:pPr>
              <w:pStyle w:val="CellColumn"/>
            </w:pPr>
            <w:r>
              <w:t>Postotak prihvaćenih upozorenja, prijedloga i preporuka sveobuhvatne zaštite na godišnjoj razini</w:t>
            </w:r>
          </w:p>
        </w:tc>
        <w:tc>
          <w:tcPr>
            <w:tcW w:w="1114" w:type="dxa"/>
          </w:tcPr>
          <w:p w:rsidR="00D849AA" w:rsidRDefault="00EE6D95">
            <w:r>
              <w:t>%</w:t>
            </w:r>
          </w:p>
        </w:tc>
        <w:tc>
          <w:tcPr>
            <w:tcW w:w="1114" w:type="dxa"/>
          </w:tcPr>
          <w:p w:rsidR="00D849AA" w:rsidRDefault="00EE6D95">
            <w:r>
              <w:t>0</w:t>
            </w:r>
          </w:p>
        </w:tc>
        <w:tc>
          <w:tcPr>
            <w:tcW w:w="1486" w:type="dxa"/>
          </w:tcPr>
          <w:p w:rsidR="00D849AA" w:rsidRDefault="00EE6D95">
            <w:r>
              <w:t>32</w:t>
            </w:r>
          </w:p>
        </w:tc>
        <w:tc>
          <w:tcPr>
            <w:tcW w:w="1486" w:type="dxa"/>
          </w:tcPr>
          <w:p w:rsidR="00D849AA" w:rsidRDefault="00EE6D95">
            <w:r>
              <w:t>32</w:t>
            </w:r>
          </w:p>
        </w:tc>
        <w:tc>
          <w:tcPr>
            <w:tcW w:w="1486" w:type="dxa"/>
          </w:tcPr>
          <w:p w:rsidR="00D849AA" w:rsidRDefault="00EE6D95">
            <w:r>
              <w:t>32</w:t>
            </w:r>
          </w:p>
        </w:tc>
      </w:tr>
    </w:tbl>
    <w:p w:rsidR="00D849AA" w:rsidRDefault="00D849AA">
      <w:pPr>
        <w:jc w:val="left"/>
      </w:pPr>
    </w:p>
    <w:p w:rsidR="00D849AA" w:rsidRDefault="00EE6D95">
      <w:pPr>
        <w:pStyle w:val="Naslov5"/>
      </w:pPr>
      <w:r>
        <w:t>Procjena i ishodište potrebnih sredstava za značajnije aktivnosti/projekte</w:t>
      </w:r>
    </w:p>
    <w:p w:rsidR="00D849AA" w:rsidRDefault="00EE6D95">
      <w:pPr>
        <w:pStyle w:val="Naslov6"/>
      </w:pPr>
      <w:r>
        <w:t>A739000 ZAŠTITA, PRAĆENJE I PROMICANJE PRAVA DJECE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A739000</w:t>
            </w:r>
          </w:p>
        </w:tc>
        <w:tc>
          <w:tcPr>
            <w:tcW w:w="1486" w:type="dxa"/>
          </w:tcPr>
          <w:p w:rsidR="00D849AA" w:rsidRDefault="00EE6D95">
            <w:r>
              <w:t>5.320.888</w:t>
            </w:r>
          </w:p>
        </w:tc>
        <w:tc>
          <w:tcPr>
            <w:tcW w:w="1486" w:type="dxa"/>
          </w:tcPr>
          <w:p w:rsidR="00D849AA" w:rsidRDefault="00EE6D95">
            <w:r>
              <w:t>5.223.862</w:t>
            </w:r>
          </w:p>
        </w:tc>
        <w:tc>
          <w:tcPr>
            <w:tcW w:w="1486" w:type="dxa"/>
          </w:tcPr>
          <w:p w:rsidR="00D849AA" w:rsidRDefault="00EE6D95">
            <w:r>
              <w:t>5.277.900</w:t>
            </w:r>
          </w:p>
        </w:tc>
        <w:tc>
          <w:tcPr>
            <w:tcW w:w="1486" w:type="dxa"/>
          </w:tcPr>
          <w:p w:rsidR="00D849AA" w:rsidRDefault="00EE6D95">
            <w:r>
              <w:t>5.475.465</w:t>
            </w:r>
          </w:p>
        </w:tc>
        <w:tc>
          <w:tcPr>
            <w:tcW w:w="1486" w:type="dxa"/>
          </w:tcPr>
          <w:p w:rsidR="00D849AA" w:rsidRDefault="00EE6D95">
            <w:r>
              <w:t>98,2</w:t>
            </w:r>
          </w:p>
        </w:tc>
      </w:tr>
    </w:tbl>
    <w:p w:rsidR="00D849AA" w:rsidRDefault="00D849AA">
      <w:pPr>
        <w:jc w:val="left"/>
      </w:pPr>
    </w:p>
    <w:p w:rsidR="00D849AA" w:rsidRDefault="00EE6D95">
      <w:pPr>
        <w:pStyle w:val="Naslov6"/>
      </w:pPr>
      <w:r>
        <w:t>K739001 INFORMATIZACIJA UREDA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K739001</w:t>
            </w:r>
          </w:p>
        </w:tc>
        <w:tc>
          <w:tcPr>
            <w:tcW w:w="1486" w:type="dxa"/>
          </w:tcPr>
          <w:p w:rsidR="00D849AA" w:rsidRDefault="00EE6D95">
            <w:r>
              <w:t>10.000</w:t>
            </w:r>
          </w:p>
        </w:tc>
        <w:tc>
          <w:tcPr>
            <w:tcW w:w="1486" w:type="dxa"/>
          </w:tcPr>
          <w:p w:rsidR="00D849AA" w:rsidRDefault="00EE6D95">
            <w:r>
              <w:t>27.000</w:t>
            </w:r>
          </w:p>
        </w:tc>
        <w:tc>
          <w:tcPr>
            <w:tcW w:w="1486" w:type="dxa"/>
          </w:tcPr>
          <w:p w:rsidR="00D849AA" w:rsidRDefault="00EE6D95">
            <w:r>
              <w:t>25.000</w:t>
            </w:r>
          </w:p>
        </w:tc>
        <w:tc>
          <w:tcPr>
            <w:tcW w:w="1486" w:type="dxa"/>
          </w:tcPr>
          <w:p w:rsidR="00D849AA" w:rsidRDefault="00EE6D95">
            <w:r>
              <w:t>30.000</w:t>
            </w:r>
          </w:p>
        </w:tc>
        <w:tc>
          <w:tcPr>
            <w:tcW w:w="1486" w:type="dxa"/>
          </w:tcPr>
          <w:p w:rsidR="00D849AA" w:rsidRDefault="00EE6D95">
            <w:r>
              <w:t>270,0</w:t>
            </w:r>
          </w:p>
        </w:tc>
      </w:tr>
    </w:tbl>
    <w:p w:rsidR="00D849AA" w:rsidRDefault="00D849AA">
      <w:pPr>
        <w:jc w:val="left"/>
      </w:pPr>
    </w:p>
    <w:p w:rsidR="00D849AA" w:rsidRDefault="00EE6D95">
      <w:pPr>
        <w:pStyle w:val="Normal6"/>
      </w:pPr>
      <w:r>
        <w:t>Sredstva potrebna za zanavljanje računalne opreme, kontinuirano,  za 19 zaposlenih, te za opremanje novo uređenog prostora "Mala kuća dječjih prava".</w:t>
      </w:r>
    </w:p>
    <w:p w:rsidR="00D849AA" w:rsidRDefault="00EE6D95">
      <w:pPr>
        <w:pStyle w:val="Naslov6"/>
      </w:pPr>
      <w:r>
        <w:t>K739003 OBNOVA VOZNOG PARKA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K739003</w:t>
            </w:r>
          </w:p>
        </w:tc>
        <w:tc>
          <w:tcPr>
            <w:tcW w:w="1486" w:type="dxa"/>
          </w:tcPr>
          <w:p w:rsidR="00D849AA" w:rsidRDefault="00EE6D95">
            <w:r>
              <w:t>00</w:t>
            </w:r>
          </w:p>
        </w:tc>
        <w:tc>
          <w:tcPr>
            <w:tcW w:w="1486" w:type="dxa"/>
          </w:tcPr>
          <w:p w:rsidR="00D849AA" w:rsidRDefault="00EE6D95">
            <w:r>
              <w:t>40.000</w:t>
            </w:r>
          </w:p>
        </w:tc>
        <w:tc>
          <w:tcPr>
            <w:tcW w:w="1486" w:type="dxa"/>
          </w:tcPr>
          <w:p w:rsidR="00D849AA" w:rsidRDefault="00EE6D95">
            <w:r>
              <w:t>00</w:t>
            </w:r>
          </w:p>
        </w:tc>
        <w:tc>
          <w:tcPr>
            <w:tcW w:w="1486" w:type="dxa"/>
          </w:tcPr>
          <w:p w:rsidR="00D849AA" w:rsidRDefault="00EE6D95">
            <w:r>
              <w:t>00</w:t>
            </w:r>
          </w:p>
        </w:tc>
        <w:tc>
          <w:tcPr>
            <w:tcW w:w="1486" w:type="dxa"/>
          </w:tcPr>
          <w:p w:rsidR="00D849AA" w:rsidRDefault="00EE6D95">
            <w:r>
              <w:t>0,0</w:t>
            </w:r>
          </w:p>
        </w:tc>
      </w:tr>
    </w:tbl>
    <w:p w:rsidR="00D849AA" w:rsidRDefault="00D849AA">
      <w:pPr>
        <w:jc w:val="left"/>
      </w:pPr>
    </w:p>
    <w:p w:rsidR="00D849AA" w:rsidRDefault="00EE6D95">
      <w:pPr>
        <w:pStyle w:val="Normal6"/>
      </w:pPr>
      <w:r>
        <w:t>Sredstva potrebna za nabavu službenog automobila (zamjena dotrajalog automobila novim) putem Carinske uprave, i to radi osiguranja  potrebnih sredstava za plaćanje poreza.</w:t>
      </w:r>
    </w:p>
    <w:p w:rsidR="00D849AA" w:rsidRDefault="00EE6D95">
      <w:pPr>
        <w:pStyle w:val="Naslov1"/>
      </w:pPr>
      <w:r>
        <w:lastRenderedPageBreak/>
        <w:t>122 PRAVOBRANITELJ/ICA ZA RAVNOPRAVNOST SPOLOVA</w:t>
      </w:r>
    </w:p>
    <w:p w:rsidR="00D849AA" w:rsidRDefault="00EE6D95">
      <w:pPr>
        <w:pStyle w:val="Naslov4"/>
      </w:pPr>
      <w:r>
        <w:t>Uvod</w:t>
      </w:r>
    </w:p>
    <w:p w:rsidR="00D849AA" w:rsidRDefault="00EE6D95">
      <w:pPr>
        <w:pStyle w:val="Normal3"/>
      </w:pPr>
      <w:r>
        <w:t>Pravobranitelj/ica za ravnopravnost spolova je neovisno tijelo nadležno za suzbijanje diskriminacije u području ravnopravnosti spolova.  Aktualna pravobraniteljica za ravnopravnost spolova imenovana je 28.10.2011. godine odlukom Hrvatskoga sabora i ima mandat u trajanju od 8 godina.</w:t>
      </w:r>
    </w:p>
    <w:tbl>
      <w:tblPr>
        <w:tblStyle w:val="Reetkatablice"/>
        <w:tblW w:w="0" w:type="auto"/>
        <w:jc w:val="center"/>
        <w:tblLook w:val="04A0" w:firstRow="1" w:lastRow="0" w:firstColumn="1" w:lastColumn="0" w:noHBand="0" w:noVBand="1"/>
      </w:tblPr>
      <w:tblGrid>
        <w:gridCol w:w="1751"/>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12205 Pravobranitelj/ica za ravnopravnost spolova</w:t>
            </w:r>
          </w:p>
        </w:tc>
        <w:tc>
          <w:tcPr>
            <w:tcW w:w="1486" w:type="dxa"/>
          </w:tcPr>
          <w:p w:rsidR="00D849AA" w:rsidRDefault="00EE6D95">
            <w:r>
              <w:t>2.644.062</w:t>
            </w:r>
          </w:p>
        </w:tc>
        <w:tc>
          <w:tcPr>
            <w:tcW w:w="1486" w:type="dxa"/>
          </w:tcPr>
          <w:p w:rsidR="00D849AA" w:rsidRDefault="00EE6D95">
            <w:r>
              <w:t>2.655.312</w:t>
            </w:r>
          </w:p>
        </w:tc>
        <w:tc>
          <w:tcPr>
            <w:tcW w:w="1486" w:type="dxa"/>
          </w:tcPr>
          <w:p w:rsidR="00D849AA" w:rsidRDefault="00EE6D95">
            <w:r>
              <w:t>2.852.829</w:t>
            </w:r>
          </w:p>
        </w:tc>
        <w:tc>
          <w:tcPr>
            <w:tcW w:w="1486" w:type="dxa"/>
          </w:tcPr>
          <w:p w:rsidR="00D849AA" w:rsidRDefault="00EE6D95">
            <w:r>
              <w:t>2.990.446</w:t>
            </w:r>
          </w:p>
        </w:tc>
        <w:tc>
          <w:tcPr>
            <w:tcW w:w="1486" w:type="dxa"/>
          </w:tcPr>
          <w:p w:rsidR="00D849AA" w:rsidRDefault="00EE6D95">
            <w:r>
              <w:t>100,4</w:t>
            </w:r>
          </w:p>
        </w:tc>
      </w:tr>
      <w:tr w:rsidR="00D849AA">
        <w:trPr>
          <w:jc w:val="center"/>
        </w:trPr>
        <w:tc>
          <w:tcPr>
            <w:tcW w:w="1486" w:type="dxa"/>
            <w:shd w:val="clear" w:color="auto" w:fill="B5C0D8"/>
          </w:tcPr>
          <w:p w:rsidR="00D849AA" w:rsidRDefault="00EE6D95">
            <w:pPr>
              <w:pStyle w:val="CellColumn"/>
            </w:pPr>
            <w:r>
              <w:t>Ukupno 122</w:t>
            </w:r>
          </w:p>
        </w:tc>
        <w:tc>
          <w:tcPr>
            <w:tcW w:w="1486" w:type="dxa"/>
            <w:shd w:val="clear" w:color="auto" w:fill="B5C0D8"/>
          </w:tcPr>
          <w:p w:rsidR="00D849AA" w:rsidRDefault="00EE6D95">
            <w:r>
              <w:t>2.644.062</w:t>
            </w:r>
          </w:p>
        </w:tc>
        <w:tc>
          <w:tcPr>
            <w:tcW w:w="1486" w:type="dxa"/>
            <w:shd w:val="clear" w:color="auto" w:fill="B5C0D8"/>
          </w:tcPr>
          <w:p w:rsidR="00D849AA" w:rsidRDefault="00EE6D95">
            <w:r>
              <w:t>2.655.312</w:t>
            </w:r>
          </w:p>
        </w:tc>
        <w:tc>
          <w:tcPr>
            <w:tcW w:w="1486" w:type="dxa"/>
            <w:shd w:val="clear" w:color="auto" w:fill="B5C0D8"/>
          </w:tcPr>
          <w:p w:rsidR="00D849AA" w:rsidRDefault="00EE6D95">
            <w:r>
              <w:t>2.852.829</w:t>
            </w:r>
          </w:p>
        </w:tc>
        <w:tc>
          <w:tcPr>
            <w:tcW w:w="1486" w:type="dxa"/>
            <w:shd w:val="clear" w:color="auto" w:fill="B5C0D8"/>
          </w:tcPr>
          <w:p w:rsidR="00D849AA" w:rsidRDefault="00EE6D95">
            <w:r>
              <w:t>2.990.446</w:t>
            </w:r>
          </w:p>
        </w:tc>
        <w:tc>
          <w:tcPr>
            <w:tcW w:w="1486" w:type="dxa"/>
            <w:shd w:val="clear" w:color="auto" w:fill="B5C0D8"/>
          </w:tcPr>
          <w:p w:rsidR="00D849AA" w:rsidRDefault="00EE6D95">
            <w:r>
              <w:t>100,4</w:t>
            </w:r>
          </w:p>
        </w:tc>
      </w:tr>
    </w:tbl>
    <w:p w:rsidR="00D849AA" w:rsidRDefault="00D849AA">
      <w:pPr>
        <w:jc w:val="left"/>
      </w:pPr>
    </w:p>
    <w:p w:rsidR="00AE2853" w:rsidRDefault="00AE2853" w:rsidP="00AE2853">
      <w:pPr>
        <w:pStyle w:val="Naslov4"/>
      </w:pPr>
      <w:r>
        <w:t>OBRAZLOŽENJE PROGRAMA</w:t>
      </w:r>
    </w:p>
    <w:p w:rsidR="00D849AA" w:rsidRDefault="00EE6D95">
      <w:pPr>
        <w:pStyle w:val="Naslov5"/>
      </w:pPr>
      <w:r>
        <w:t>2117 ZAŠTITA I PROMICANJE RAVNOPRAVNOSTI SPOLOVA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2117</w:t>
            </w:r>
          </w:p>
        </w:tc>
        <w:tc>
          <w:tcPr>
            <w:tcW w:w="1486" w:type="dxa"/>
          </w:tcPr>
          <w:p w:rsidR="00D849AA" w:rsidRDefault="00EE6D95">
            <w:r>
              <w:t>2.644.062</w:t>
            </w:r>
          </w:p>
        </w:tc>
        <w:tc>
          <w:tcPr>
            <w:tcW w:w="1486" w:type="dxa"/>
          </w:tcPr>
          <w:p w:rsidR="00D849AA" w:rsidRDefault="00EE6D95">
            <w:r>
              <w:t>2.655.312</w:t>
            </w:r>
          </w:p>
        </w:tc>
        <w:tc>
          <w:tcPr>
            <w:tcW w:w="1486" w:type="dxa"/>
          </w:tcPr>
          <w:p w:rsidR="00D849AA" w:rsidRDefault="00EE6D95">
            <w:r>
              <w:t>2.852.829</w:t>
            </w:r>
          </w:p>
        </w:tc>
        <w:tc>
          <w:tcPr>
            <w:tcW w:w="1486" w:type="dxa"/>
          </w:tcPr>
          <w:p w:rsidR="00D849AA" w:rsidRDefault="00EE6D95">
            <w:r>
              <w:t>2.990.446</w:t>
            </w:r>
          </w:p>
        </w:tc>
        <w:tc>
          <w:tcPr>
            <w:tcW w:w="1486" w:type="dxa"/>
          </w:tcPr>
          <w:p w:rsidR="00D849AA" w:rsidRDefault="00EE6D95">
            <w:r>
              <w:t>100,4</w:t>
            </w:r>
          </w:p>
        </w:tc>
      </w:tr>
    </w:tbl>
    <w:p w:rsidR="00D849AA" w:rsidRDefault="00D849AA">
      <w:pPr>
        <w:jc w:val="left"/>
      </w:pPr>
    </w:p>
    <w:p w:rsidR="00D849AA" w:rsidRDefault="00EE6D95">
      <w:pPr>
        <w:pStyle w:val="Naslov6"/>
      </w:pPr>
      <w:r>
        <w:t>Opis programa</w:t>
      </w:r>
    </w:p>
    <w:p w:rsidR="00D849AA" w:rsidRDefault="00EE6D95">
      <w:pPr>
        <w:pStyle w:val="Normal5"/>
      </w:pPr>
      <w:r>
        <w:t xml:space="preserve">Opća osnova za zaštiu i promicanje ravnopravnosti spolova ugrađena je u temeljne vrednote ustavnog poretka Republike Hrvatske, a pravobraniteljica za ravnopravnost spolova jedan je od institucionalnih mehanizama za osiguranje njegove provedbe.  </w:t>
      </w:r>
    </w:p>
    <w:p w:rsidR="00D849AA" w:rsidRDefault="00EE6D95">
      <w:pPr>
        <w:pStyle w:val="Normal5"/>
      </w:pPr>
      <w:r>
        <w:t xml:space="preserve">Pravobraniteljica razmatra slučajeve kršenja načela ravnopravnosti spolova i slučajeve diskriminacije prema pojedincima/kama ili grupama ljudi počinjena od tijela državne uprave, tijela jedinica lokalne i područne (regionalne) samouprave i drugih tijela s javnim ovlastima, odnosno zaposlenih u tim tijelima, kao i od strane drugih pravnih i fizičkih osoba. Pravobraniteljica promiče ravnopravnost spolova zalažući se da žene i muškarci budu jednako prisutni u svim područjima javnog i privatnog života, da imaju jednak status, jednake mogućnosti za ostvarivanje svojih prava, kao i jednaku korist od ostvarenih rezultata.  </w:t>
      </w:r>
    </w:p>
    <w:p w:rsidR="00D849AA" w:rsidRDefault="00EE6D95">
      <w:pPr>
        <w:pStyle w:val="Normal5"/>
      </w:pPr>
      <w:r>
        <w:t xml:space="preserve">Opći cilj programa rada pravobraniteljice je jačanje zaštite građana i građanki od diskriminacije na temelju spola i promicanje ravnopravnosti spolova. </w:t>
      </w:r>
    </w:p>
    <w:p w:rsidR="00D849AA" w:rsidRDefault="00EE6D95">
      <w:pPr>
        <w:pStyle w:val="Normal5"/>
      </w:pPr>
      <w:r>
        <w:t xml:space="preserve">Zaštita i promicanje ravnopravnosti spolova i druga postupanja pravobraniteljice povezana su  s više općih, odnosno posebnih ciljeva utvrđenih Strategijom Vladinih programa za razdoblje 2013.-2015., i to: Opći cilj 2. Optimalno ozračje za razvoj konkuretnoga gospodarstva, posebni cilj 2.1. Razvoj poslovne i investicijske klime, poticanje industrijskog razvitka i </w:t>
      </w:r>
      <w:r>
        <w:lastRenderedPageBreak/>
        <w:t>jačanje konkuretnosti gospodarskih subjekata; Opći cilj 3. Ravnomjerni regionalni razvoj, posebni cilj 3.3. Poboljšanje uvjeta života na ruralnom prostoru; Opći cilj 4. Jačanje socijalne pravednosti, posebni cilj 4.1. Poboljšanje kvalitete života socijalno osjetljivih skupina osiguranjem minimalnog životnog standarda najugroženijeg dijela stanovništva primjerenim zadovoljavanjem potreba; posebni cilj 4.2. Zaštita prava djece i mladih te podrška obitelji; poseban cilj 4.4. Postizanje održivosti sustava mirovinskog osiguranja u uvjetima starenja stanovništva; Opći cilj 6. Poticanje znanja, izvrsnosti i kulture, posebni cilj 6.1. Održiva kvaliteta obrazovnog sustava i razvoj sporta.</w:t>
      </w:r>
    </w:p>
    <w:p w:rsidR="00D849AA" w:rsidRDefault="00EE6D95">
      <w:pPr>
        <w:pStyle w:val="Naslov6"/>
      </w:pPr>
      <w:r>
        <w:t>Zakonske i druge pravne osnove</w:t>
      </w:r>
    </w:p>
    <w:p w:rsidR="00D849AA" w:rsidRDefault="00EE6D95">
      <w:pPr>
        <w:pStyle w:val="Normal5"/>
      </w:pPr>
      <w:r>
        <w:t xml:space="preserve">Pravobraniteljica za ravnopravnost spolova obavlja poslove neovisnog tijela nadležnog za suzbijanje diskriminacije u području ravnopravnosti spolova koja osim toga što prati provedbu Zakona o ravnopravnosti spolova (NN, broj 82/2008), prati i provedbu svih drugih propisa koji se tiču ravnopravnosti spolova. Pored toga, odredbe Zakona o ravnopravnosti spolova ne smiju se tumačiti niti primjenjivati na način koji bi ograničio ili umanjio sadržaj jamstva o ravnopravnosti spolova koja izviru iz općih pravila međunarodnog prava, pravne stečevine Europske zajednice, Konvencije Ujedninjenih naroda o uklanjanju svih oblika diskriminacije žena, Ugovorima UN-a o građanskim i političkim pravima odnosno ekonomskim, socijalnim i kulturnim pravima te Europske konvencije za zaštitu ljudskih prava i temeljnih sloboda. </w:t>
      </w:r>
    </w:p>
    <w:p w:rsidR="00D849AA" w:rsidRDefault="00EE6D95">
      <w:pPr>
        <w:pStyle w:val="Normal5"/>
      </w:pPr>
      <w:r>
        <w:t>Pravobraniteljica za ravnopravnost spolova ima određene ovlasti i obveze i temeljem Zakona o suzbijanju diskriminacije (NN, broj 85/08).</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Cilj 1. Zaštita građana i građanki od diskriminacije na području ravnopravnosti spolova</w:t>
      </w:r>
    </w:p>
    <w:p w:rsidR="00D849AA" w:rsidRDefault="00EE6D95">
      <w:pPr>
        <w:pStyle w:val="Normal6"/>
      </w:pPr>
      <w:r>
        <w:t xml:space="preserve">Pravobraniteljica štiti građane i građanki od diskriminacije na području ravnopravnosti spolova ispitujući njihove pritužbe, a nakon utvrđenja diskriminacije po osnovama za koje je nadležna, pravobraniteljica izdaje upozorenja, preporuke i prijedloge. U pojedimim slučajevima pravobraniteljica postupa samoinicijativno. Rad i angažiranost pravobraniteljice usmjerena su prema uspostavljanju stvarne ravnopravnosti spolova.    </w:t>
      </w:r>
    </w:p>
    <w:p w:rsidR="00D849AA" w:rsidRDefault="00EE6D95">
      <w:pPr>
        <w:pStyle w:val="Normal6"/>
      </w:pPr>
      <w:r>
        <w:t xml:space="preserve">Pravobraniteljica djeluje na svim razinama državne uprave i na području svih jednica lokalne i područne (regionalne) samouprave, prati rad drugih institucionalnih mehanizama nadležnih za osiguranje provedbe Zakona o ravnopravnosti spolova, prati provedbu medijskih programskih koncepata i rad političkih stranaka.  </w:t>
      </w:r>
    </w:p>
    <w:p w:rsidR="00D849AA" w:rsidRDefault="00EE6D95">
      <w:pPr>
        <w:pStyle w:val="Normal6"/>
      </w:pPr>
      <w:r>
        <w:t>Tijekom 2012. godine ukupno je uputila 298 pismenih prijedloga, 133 upozorenja i 132 preporuke i inicirala podnošenje 2 kaznene prijave, a strankama je pružila obavijest o pravima i obvezama u 275 slučajeva. Tijekom 2012. godine nastavila je pratiti 6 započetih sudskih postupaka u koje se umiješala 2011. godine i umiješala se u 2 nova sudska postupka.</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 xml:space="preserve">Pravobraniteljica ukazuje Hrvatskome saboru i široj javnosti na područja u kojima se diskriminacija po </w:t>
            </w:r>
            <w:r>
              <w:lastRenderedPageBreak/>
              <w:t>spolu i drugim osnovama javlja u našem društvu</w:t>
            </w:r>
          </w:p>
        </w:tc>
        <w:tc>
          <w:tcPr>
            <w:tcW w:w="1114" w:type="dxa"/>
          </w:tcPr>
          <w:p w:rsidR="00D849AA" w:rsidRDefault="00EE6D95">
            <w:r>
              <w:lastRenderedPageBreak/>
              <w:t>broj</w:t>
            </w:r>
          </w:p>
        </w:tc>
        <w:tc>
          <w:tcPr>
            <w:tcW w:w="1114" w:type="dxa"/>
          </w:tcPr>
          <w:p w:rsidR="00D849AA" w:rsidRDefault="00EE6D95">
            <w:r>
              <w:t>368</w:t>
            </w:r>
          </w:p>
        </w:tc>
        <w:tc>
          <w:tcPr>
            <w:tcW w:w="1486" w:type="dxa"/>
          </w:tcPr>
          <w:p w:rsidR="00D849AA" w:rsidRDefault="00EE6D95">
            <w:r>
              <w:t>370</w:t>
            </w:r>
          </w:p>
        </w:tc>
        <w:tc>
          <w:tcPr>
            <w:tcW w:w="1486" w:type="dxa"/>
          </w:tcPr>
          <w:p w:rsidR="00D849AA" w:rsidRDefault="00EE6D95">
            <w:r>
              <w:t>380</w:t>
            </w:r>
          </w:p>
        </w:tc>
        <w:tc>
          <w:tcPr>
            <w:tcW w:w="1486" w:type="dxa"/>
          </w:tcPr>
          <w:p w:rsidR="00D849AA" w:rsidRDefault="00EE6D95">
            <w:r>
              <w:t>390</w:t>
            </w:r>
          </w:p>
        </w:tc>
      </w:tr>
      <w:tr w:rsidR="00D849AA">
        <w:trPr>
          <w:jc w:val="center"/>
        </w:trPr>
        <w:tc>
          <w:tcPr>
            <w:tcW w:w="2229" w:type="dxa"/>
          </w:tcPr>
          <w:p w:rsidR="00D849AA" w:rsidRDefault="00EE6D95">
            <w:pPr>
              <w:pStyle w:val="CellColumn"/>
            </w:pPr>
            <w:r>
              <w:lastRenderedPageBreak/>
              <w:t>Podrška građanima u sudskim postupcima</w:t>
            </w:r>
          </w:p>
        </w:tc>
        <w:tc>
          <w:tcPr>
            <w:tcW w:w="1114" w:type="dxa"/>
          </w:tcPr>
          <w:p w:rsidR="00D849AA" w:rsidRDefault="00EE6D95">
            <w:r>
              <w:t>broj</w:t>
            </w:r>
          </w:p>
        </w:tc>
        <w:tc>
          <w:tcPr>
            <w:tcW w:w="1114" w:type="dxa"/>
          </w:tcPr>
          <w:p w:rsidR="00D849AA" w:rsidRDefault="00EE6D95">
            <w:r>
              <w:t>8</w:t>
            </w:r>
          </w:p>
        </w:tc>
        <w:tc>
          <w:tcPr>
            <w:tcW w:w="1486" w:type="dxa"/>
          </w:tcPr>
          <w:p w:rsidR="00D849AA" w:rsidRDefault="00EE6D95">
            <w:r>
              <w:t>2</w:t>
            </w:r>
          </w:p>
        </w:tc>
        <w:tc>
          <w:tcPr>
            <w:tcW w:w="1486" w:type="dxa"/>
          </w:tcPr>
          <w:p w:rsidR="00D849AA" w:rsidRDefault="00EE6D95">
            <w:r>
              <w:t>3</w:t>
            </w:r>
          </w:p>
        </w:tc>
        <w:tc>
          <w:tcPr>
            <w:tcW w:w="1486" w:type="dxa"/>
          </w:tcPr>
          <w:p w:rsidR="00D849AA" w:rsidRDefault="00EE6D95">
            <w:r>
              <w:t>3</w:t>
            </w:r>
          </w:p>
        </w:tc>
      </w:tr>
      <w:tr w:rsidR="00D849AA">
        <w:trPr>
          <w:jc w:val="center"/>
        </w:trPr>
        <w:tc>
          <w:tcPr>
            <w:tcW w:w="2229" w:type="dxa"/>
          </w:tcPr>
          <w:p w:rsidR="00D849AA" w:rsidRDefault="00EE6D95">
            <w:pPr>
              <w:pStyle w:val="CellColumn"/>
            </w:pPr>
            <w:r>
              <w:t>Postupci mirenja</w:t>
            </w:r>
          </w:p>
        </w:tc>
        <w:tc>
          <w:tcPr>
            <w:tcW w:w="1114" w:type="dxa"/>
          </w:tcPr>
          <w:p w:rsidR="00D849AA" w:rsidRDefault="00EE6D95">
            <w:r>
              <w:t>broj</w:t>
            </w:r>
          </w:p>
        </w:tc>
        <w:tc>
          <w:tcPr>
            <w:tcW w:w="1114" w:type="dxa"/>
          </w:tcPr>
          <w:p w:rsidR="00D849AA" w:rsidRDefault="00EE6D95">
            <w:r>
              <w:t>o</w:t>
            </w:r>
          </w:p>
        </w:tc>
        <w:tc>
          <w:tcPr>
            <w:tcW w:w="1486" w:type="dxa"/>
          </w:tcPr>
          <w:p w:rsidR="00D849AA" w:rsidRDefault="00EE6D95">
            <w:r>
              <w:t>1</w:t>
            </w:r>
          </w:p>
        </w:tc>
        <w:tc>
          <w:tcPr>
            <w:tcW w:w="1486" w:type="dxa"/>
          </w:tcPr>
          <w:p w:rsidR="00D849AA" w:rsidRDefault="00EE6D95">
            <w:r>
              <w:t>2</w:t>
            </w:r>
          </w:p>
        </w:tc>
        <w:tc>
          <w:tcPr>
            <w:tcW w:w="1486" w:type="dxa"/>
          </w:tcPr>
          <w:p w:rsidR="00D849AA" w:rsidRDefault="00EE6D95">
            <w:r>
              <w:t>2</w:t>
            </w:r>
          </w:p>
        </w:tc>
      </w:tr>
    </w:tbl>
    <w:p w:rsidR="00D849AA" w:rsidRDefault="00D849AA">
      <w:pPr>
        <w:jc w:val="left"/>
      </w:pPr>
    </w:p>
    <w:p w:rsidR="00D849AA" w:rsidRDefault="00EE6D95">
      <w:pPr>
        <w:pStyle w:val="Naslov7"/>
      </w:pPr>
      <w:r>
        <w:t>Cilj 2. Promicanje ravnopravnosti spolova</w:t>
      </w:r>
    </w:p>
    <w:p w:rsidR="00D849AA" w:rsidRDefault="00EE6D95">
      <w:pPr>
        <w:pStyle w:val="Normal6"/>
      </w:pPr>
      <w:r>
        <w:t>Promicanje ravnopravnosti spolova ima za svrhu podizanje svijesti šire javnosti o ravnopravnosti spolova kao jednoj od temeljnih vrijednosti ustavnog poretka Republike Hrvatske i uvjeta  za brži ekonomski razvoj i socijalni prosperitet društva. Stoga, pravobraniteljica ovim programom želi provesti neovisna istraživanja radi ukazivanja Hrvatskom saboru na diskriminaciju temeljem spola u pojedinim područjima života i rada. Odredbe Zakona o ravnopravnosti spolova daju ovlasti pravobraniteljici da nakon što utvrdi u pojedinom slučaju povredu načela ravnopravnosti spolova zbog neusklađenosti sa zakonom,  predloži pokretanje izmjene takvog propisa. U dosadašnjem radu po pojedinačnim pritužbama pravobraniteljica je ustanovila kako odredbe pojedinih zakona ili njihova primjena izravno diskriminira pripadnike/ce izvanbračnih zajednica i žene te neizravno diskriminiraju žene (poput Zakona o porezu na dohodak, Zakona o porezu na promet nekretnina, ...), dok je tijekom 2012. godine  inicirala izmjenu Prekršajnog zakona i izmjenu čl. 129. Poslovnika Hrvatskog sabora.  Realizacija navedenih ciljeva dugoročno pozitivno utiče na razvoj i stanje društva u cjelini.</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Na temelju interpretacije rezultata neovisnih istraživanja pravobraniteljica ukazuje Hrvatskome saboru na diskriminaciju po spolu, gdje i na koji način se pojavljuje te daje preporuku u vezi njegove prevencije.</w:t>
            </w:r>
          </w:p>
        </w:tc>
        <w:tc>
          <w:tcPr>
            <w:tcW w:w="1114" w:type="dxa"/>
          </w:tcPr>
          <w:p w:rsidR="00D849AA" w:rsidRDefault="00EE6D95">
            <w:r>
              <w:t>broj</w:t>
            </w:r>
          </w:p>
        </w:tc>
        <w:tc>
          <w:tcPr>
            <w:tcW w:w="1114" w:type="dxa"/>
          </w:tcPr>
          <w:p w:rsidR="00D849AA" w:rsidRDefault="00EE6D95">
            <w:r>
              <w:t>7</w:t>
            </w:r>
          </w:p>
        </w:tc>
        <w:tc>
          <w:tcPr>
            <w:tcW w:w="1486" w:type="dxa"/>
          </w:tcPr>
          <w:p w:rsidR="00D849AA" w:rsidRDefault="00EE6D95">
            <w:r>
              <w:t>5</w:t>
            </w:r>
          </w:p>
        </w:tc>
        <w:tc>
          <w:tcPr>
            <w:tcW w:w="1486" w:type="dxa"/>
          </w:tcPr>
          <w:p w:rsidR="00D849AA" w:rsidRDefault="00EE6D95">
            <w:r>
              <w:t>5</w:t>
            </w:r>
          </w:p>
        </w:tc>
        <w:tc>
          <w:tcPr>
            <w:tcW w:w="1486" w:type="dxa"/>
          </w:tcPr>
          <w:p w:rsidR="00D849AA" w:rsidRDefault="00EE6D95">
            <w:r>
              <w:t>5</w:t>
            </w:r>
          </w:p>
        </w:tc>
      </w:tr>
      <w:tr w:rsidR="00D849AA">
        <w:trPr>
          <w:jc w:val="center"/>
        </w:trPr>
        <w:tc>
          <w:tcPr>
            <w:tcW w:w="2229" w:type="dxa"/>
          </w:tcPr>
          <w:p w:rsidR="00D849AA" w:rsidRDefault="00EE6D95">
            <w:pPr>
              <w:pStyle w:val="CellColumn"/>
            </w:pPr>
            <w:r>
              <w:t>Na temelju analize zakonskih prijedloga i drugih propisa ukazuje Hrvatskome saboru na bolju i učinkovitiju zaštitu građana od diskriminacije</w:t>
            </w:r>
          </w:p>
        </w:tc>
        <w:tc>
          <w:tcPr>
            <w:tcW w:w="1114" w:type="dxa"/>
          </w:tcPr>
          <w:p w:rsidR="00D849AA" w:rsidRDefault="00EE6D95">
            <w:r>
              <w:t>broj</w:t>
            </w:r>
          </w:p>
        </w:tc>
        <w:tc>
          <w:tcPr>
            <w:tcW w:w="1114" w:type="dxa"/>
          </w:tcPr>
          <w:p w:rsidR="00D849AA" w:rsidRDefault="00EE6D95">
            <w:r>
              <w:t>7</w:t>
            </w:r>
          </w:p>
        </w:tc>
        <w:tc>
          <w:tcPr>
            <w:tcW w:w="1486" w:type="dxa"/>
          </w:tcPr>
          <w:p w:rsidR="00D849AA" w:rsidRDefault="00EE6D95">
            <w:r>
              <w:t>5</w:t>
            </w:r>
          </w:p>
        </w:tc>
        <w:tc>
          <w:tcPr>
            <w:tcW w:w="1486" w:type="dxa"/>
          </w:tcPr>
          <w:p w:rsidR="00D849AA" w:rsidRDefault="00EE6D95">
            <w:r>
              <w:t>5</w:t>
            </w:r>
          </w:p>
        </w:tc>
        <w:tc>
          <w:tcPr>
            <w:tcW w:w="1486" w:type="dxa"/>
          </w:tcPr>
          <w:p w:rsidR="00D849AA" w:rsidRDefault="00EE6D95">
            <w:r>
              <w:t>5</w:t>
            </w:r>
          </w:p>
        </w:tc>
      </w:tr>
      <w:tr w:rsidR="00D849AA">
        <w:trPr>
          <w:jc w:val="center"/>
        </w:trPr>
        <w:tc>
          <w:tcPr>
            <w:tcW w:w="2229" w:type="dxa"/>
          </w:tcPr>
          <w:p w:rsidR="00D849AA" w:rsidRDefault="00EE6D95">
            <w:pPr>
              <w:pStyle w:val="CellColumn"/>
            </w:pPr>
            <w:r>
              <w:t xml:space="preserve">Sudjelovanjem u provedbi projekata financiranim uz sredstava EU, kao </w:t>
            </w:r>
            <w:r>
              <w:lastRenderedPageBreak/>
              <w:t>nositeljica ili partnerica, direktno promiče ravnopravnost spolova.</w:t>
            </w:r>
          </w:p>
        </w:tc>
        <w:tc>
          <w:tcPr>
            <w:tcW w:w="1114" w:type="dxa"/>
          </w:tcPr>
          <w:p w:rsidR="00D849AA" w:rsidRDefault="00EE6D95">
            <w:r>
              <w:lastRenderedPageBreak/>
              <w:t>broj</w:t>
            </w:r>
          </w:p>
        </w:tc>
        <w:tc>
          <w:tcPr>
            <w:tcW w:w="1114" w:type="dxa"/>
          </w:tcPr>
          <w:p w:rsidR="00D849AA" w:rsidRDefault="00EE6D95">
            <w:r>
              <w:t>2</w:t>
            </w:r>
          </w:p>
        </w:tc>
        <w:tc>
          <w:tcPr>
            <w:tcW w:w="1486" w:type="dxa"/>
          </w:tcPr>
          <w:p w:rsidR="00D849AA" w:rsidRDefault="00EE6D95">
            <w:r>
              <w:t>2</w:t>
            </w:r>
          </w:p>
        </w:tc>
        <w:tc>
          <w:tcPr>
            <w:tcW w:w="1486" w:type="dxa"/>
          </w:tcPr>
          <w:p w:rsidR="00D849AA" w:rsidRDefault="00EE6D95">
            <w:r>
              <w:t>2</w:t>
            </w:r>
          </w:p>
        </w:tc>
        <w:tc>
          <w:tcPr>
            <w:tcW w:w="1486" w:type="dxa"/>
          </w:tcPr>
          <w:p w:rsidR="00D849AA" w:rsidRDefault="00EE6D95">
            <w:r>
              <w:t>2</w:t>
            </w:r>
          </w:p>
        </w:tc>
      </w:tr>
    </w:tbl>
    <w:p w:rsidR="00D849AA" w:rsidRDefault="00D849AA">
      <w:pPr>
        <w:jc w:val="left"/>
      </w:pPr>
    </w:p>
    <w:p w:rsidR="00D849AA" w:rsidRDefault="00EE6D95">
      <w:pPr>
        <w:pStyle w:val="Naslov7"/>
      </w:pPr>
      <w:r>
        <w:t>Cilj 3. Učinkovita provedba zakona i drugih propisa</w:t>
      </w:r>
    </w:p>
    <w:p w:rsidR="00D849AA" w:rsidRDefault="00EE6D95">
      <w:pPr>
        <w:pStyle w:val="Normal6"/>
      </w:pPr>
      <w:r>
        <w:t xml:space="preserve">Zalažući se za učinkovitu provedbu zakona i drugih propisa vezanih uz ravnopravnost spolova pravobraniteljica teži poboljšanju položaju žena u političkom, socijalnom, gospodarskom, kulturnom i javnom životu. </w:t>
      </w:r>
    </w:p>
    <w:p w:rsidR="00D849AA" w:rsidRDefault="00EE6D95">
      <w:pPr>
        <w:pStyle w:val="Normal6"/>
      </w:pPr>
      <w:r>
        <w:t>Jedan od preduvjeta za izgradnju antidiskriminirajućih rodnih stavova u društvu je i uklanjanje stereotipa: (1) uvođenjem rodno osvještenog odgoja i obrazovanja u obrazovni sustav počevši od predškolskog do završno  cjeloživotnog učenja; (2) osnaživanjem medija u uklanjanju rodnog stereotipa u medijskom prostoru, osobito seksizma koji ide direktno na štetu žena; (3) u sferi politike žene su i dalje podzastupljen spol, nedovoljnog su uključene na kandidacijskim listama pa su posljedično u odnosu na muškarce manje i lošije pozicionirane na političkim funkcijama; (4) u sferi gospodarskog života preslikava se trend iz političke sfere, žene su u lošijoj poziciji u odnosu na muškarce, manje zu zastupljene na upravljačkim funkcijama i  u vlasničkim odnosima.</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Praćenje provedbe mjera javnih politika/strategija</w:t>
            </w:r>
          </w:p>
        </w:tc>
        <w:tc>
          <w:tcPr>
            <w:tcW w:w="1114" w:type="dxa"/>
          </w:tcPr>
          <w:p w:rsidR="00D849AA" w:rsidRDefault="00EE6D95">
            <w:r>
              <w:t>broj</w:t>
            </w:r>
          </w:p>
        </w:tc>
        <w:tc>
          <w:tcPr>
            <w:tcW w:w="1114" w:type="dxa"/>
          </w:tcPr>
          <w:p w:rsidR="00D849AA" w:rsidRDefault="00EE6D95">
            <w:r>
              <w:t>4</w:t>
            </w:r>
          </w:p>
        </w:tc>
        <w:tc>
          <w:tcPr>
            <w:tcW w:w="1486" w:type="dxa"/>
          </w:tcPr>
          <w:p w:rsidR="00D849AA" w:rsidRDefault="00EE6D95">
            <w:r>
              <w:t>4</w:t>
            </w:r>
          </w:p>
        </w:tc>
        <w:tc>
          <w:tcPr>
            <w:tcW w:w="1486" w:type="dxa"/>
          </w:tcPr>
          <w:p w:rsidR="00D849AA" w:rsidRDefault="00EE6D95">
            <w:r>
              <w:t>4</w:t>
            </w:r>
          </w:p>
        </w:tc>
        <w:tc>
          <w:tcPr>
            <w:tcW w:w="1486" w:type="dxa"/>
          </w:tcPr>
          <w:p w:rsidR="00D849AA" w:rsidRDefault="00EE6D95">
            <w:r>
              <w:t>4</w:t>
            </w:r>
          </w:p>
        </w:tc>
      </w:tr>
      <w:tr w:rsidR="00D849AA">
        <w:trPr>
          <w:jc w:val="center"/>
        </w:trPr>
        <w:tc>
          <w:tcPr>
            <w:tcW w:w="2229" w:type="dxa"/>
          </w:tcPr>
          <w:p w:rsidR="00D849AA" w:rsidRDefault="00EE6D95">
            <w:pPr>
              <w:pStyle w:val="CellColumn"/>
            </w:pPr>
            <w:r>
              <w:t>Suradnja s institucionalnim mehanizmima koji osiguravaju provedbu Zakona o ravnopravnosti spolova na lokalnoj razini</w:t>
            </w:r>
          </w:p>
        </w:tc>
        <w:tc>
          <w:tcPr>
            <w:tcW w:w="1114" w:type="dxa"/>
          </w:tcPr>
          <w:p w:rsidR="00D849AA" w:rsidRDefault="00EE6D95">
            <w:r>
              <w:t>broj</w:t>
            </w:r>
          </w:p>
        </w:tc>
        <w:tc>
          <w:tcPr>
            <w:tcW w:w="1114" w:type="dxa"/>
          </w:tcPr>
          <w:p w:rsidR="00D849AA" w:rsidRDefault="00EE6D95">
            <w:r>
              <w:t>13</w:t>
            </w:r>
          </w:p>
        </w:tc>
        <w:tc>
          <w:tcPr>
            <w:tcW w:w="1486" w:type="dxa"/>
          </w:tcPr>
          <w:p w:rsidR="00D849AA" w:rsidRDefault="00EE6D95">
            <w:r>
              <w:t>10</w:t>
            </w:r>
          </w:p>
        </w:tc>
        <w:tc>
          <w:tcPr>
            <w:tcW w:w="1486" w:type="dxa"/>
          </w:tcPr>
          <w:p w:rsidR="00D849AA" w:rsidRDefault="00EE6D95">
            <w:r>
              <w:t>10</w:t>
            </w:r>
          </w:p>
        </w:tc>
        <w:tc>
          <w:tcPr>
            <w:tcW w:w="1486" w:type="dxa"/>
          </w:tcPr>
          <w:p w:rsidR="00D849AA" w:rsidRDefault="00EE6D95">
            <w:r>
              <w:t>10</w:t>
            </w:r>
          </w:p>
        </w:tc>
      </w:tr>
      <w:tr w:rsidR="00D849AA">
        <w:trPr>
          <w:jc w:val="center"/>
        </w:trPr>
        <w:tc>
          <w:tcPr>
            <w:tcW w:w="2229" w:type="dxa"/>
          </w:tcPr>
          <w:p w:rsidR="00D849AA" w:rsidRDefault="00EE6D95">
            <w:pPr>
              <w:pStyle w:val="CellColumn"/>
            </w:pPr>
            <w:r>
              <w:t>Suradnja sa drugim institucionalnim mehanizmima za provedbu zakona o ravnopravnosti spolova na nacionalnoj razini, udrugama i drugim osobama</w:t>
            </w:r>
          </w:p>
        </w:tc>
        <w:tc>
          <w:tcPr>
            <w:tcW w:w="1114" w:type="dxa"/>
          </w:tcPr>
          <w:p w:rsidR="00D849AA" w:rsidRDefault="00EE6D95">
            <w:r>
              <w:t>broj</w:t>
            </w:r>
          </w:p>
        </w:tc>
        <w:tc>
          <w:tcPr>
            <w:tcW w:w="1114" w:type="dxa"/>
          </w:tcPr>
          <w:p w:rsidR="00D849AA" w:rsidRDefault="00EE6D95">
            <w:r>
              <w:t>42</w:t>
            </w:r>
          </w:p>
        </w:tc>
        <w:tc>
          <w:tcPr>
            <w:tcW w:w="1486" w:type="dxa"/>
          </w:tcPr>
          <w:p w:rsidR="00D849AA" w:rsidRDefault="00EE6D95">
            <w:r>
              <w:t>30</w:t>
            </w:r>
          </w:p>
        </w:tc>
        <w:tc>
          <w:tcPr>
            <w:tcW w:w="1486" w:type="dxa"/>
          </w:tcPr>
          <w:p w:rsidR="00D849AA" w:rsidRDefault="00EE6D95">
            <w:r>
              <w:t>30</w:t>
            </w:r>
          </w:p>
        </w:tc>
        <w:tc>
          <w:tcPr>
            <w:tcW w:w="1486" w:type="dxa"/>
          </w:tcPr>
          <w:p w:rsidR="00D849AA" w:rsidRDefault="00EE6D95">
            <w:r>
              <w:t>30</w:t>
            </w:r>
          </w:p>
        </w:tc>
      </w:tr>
      <w:tr w:rsidR="00D849AA">
        <w:trPr>
          <w:jc w:val="center"/>
        </w:trPr>
        <w:tc>
          <w:tcPr>
            <w:tcW w:w="2229" w:type="dxa"/>
          </w:tcPr>
          <w:p w:rsidR="00D849AA" w:rsidRDefault="00EE6D95">
            <w:pPr>
              <w:pStyle w:val="CellColumn"/>
            </w:pPr>
            <w:r>
              <w:t xml:space="preserve">Pravobraniteljica održava predavanja/radionice u programima izobrazbe o ravnopravnosti </w:t>
            </w:r>
            <w:r>
              <w:lastRenderedPageBreak/>
              <w:t>spolova</w:t>
            </w:r>
          </w:p>
        </w:tc>
        <w:tc>
          <w:tcPr>
            <w:tcW w:w="1114" w:type="dxa"/>
          </w:tcPr>
          <w:p w:rsidR="00D849AA" w:rsidRDefault="00EE6D95">
            <w:r>
              <w:lastRenderedPageBreak/>
              <w:t>broj</w:t>
            </w:r>
          </w:p>
        </w:tc>
        <w:tc>
          <w:tcPr>
            <w:tcW w:w="1114" w:type="dxa"/>
          </w:tcPr>
          <w:p w:rsidR="00D849AA" w:rsidRDefault="00EE6D95">
            <w:r>
              <w:t>21</w:t>
            </w:r>
          </w:p>
        </w:tc>
        <w:tc>
          <w:tcPr>
            <w:tcW w:w="1486" w:type="dxa"/>
          </w:tcPr>
          <w:p w:rsidR="00D849AA" w:rsidRDefault="00EE6D95">
            <w:r>
              <w:t>6</w:t>
            </w:r>
          </w:p>
        </w:tc>
        <w:tc>
          <w:tcPr>
            <w:tcW w:w="1486" w:type="dxa"/>
          </w:tcPr>
          <w:p w:rsidR="00D849AA" w:rsidRDefault="00EE6D95">
            <w:r>
              <w:t>6</w:t>
            </w:r>
          </w:p>
        </w:tc>
        <w:tc>
          <w:tcPr>
            <w:tcW w:w="1486" w:type="dxa"/>
          </w:tcPr>
          <w:p w:rsidR="00D849AA" w:rsidRDefault="00EE6D95">
            <w:r>
              <w:t>6</w:t>
            </w:r>
          </w:p>
        </w:tc>
      </w:tr>
    </w:tbl>
    <w:p w:rsidR="00D849AA" w:rsidRDefault="00D849AA">
      <w:pPr>
        <w:jc w:val="left"/>
      </w:pPr>
    </w:p>
    <w:p w:rsidR="00D849AA" w:rsidRDefault="00EE6D95">
      <w:pPr>
        <w:pStyle w:val="Naslov1"/>
      </w:pPr>
      <w:r>
        <w:lastRenderedPageBreak/>
        <w:t>123 PRAVOBRANITELJ ZA OSOBE S INVALIDITETOM</w:t>
      </w:r>
    </w:p>
    <w:p w:rsidR="00D849AA" w:rsidRDefault="00EE6D95">
      <w:pPr>
        <w:pStyle w:val="Naslov4"/>
      </w:pPr>
      <w:r>
        <w:t>Uvod</w:t>
      </w:r>
    </w:p>
    <w:p w:rsidR="00D849AA" w:rsidRDefault="00EE6D95">
      <w:pPr>
        <w:pStyle w:val="Normal3"/>
      </w:pPr>
      <w:r>
        <w:t>Djelokrug rada Ureda uređen je člancima 6. – 15. Zakona iz kojih proizlazi da pravobranitelj za osobe s invaliditetom: prati usklađenost Zakona i drugih propisa u Republici Hrvatskoj koji se odnose na zaštitu prava i interesa osoba s invaliditetom s odredbama Ustava Republike Hrvatske i međunarodnih dokumenata koji se odnose na zaštitu njihovih prava i interesa; prati izvršavanje obveza Republike Hrvatske koje proizlaze iz tih međunarodnih dokumenata; prati primjenu politika, nacionalnih strategija i programa Republike Hrvatske koji se odnose na zaštitu prava i interesa osoba s invaliditetom; predlaže poduzimanje mjera za poboljšanje njihova položaja nadležnim tijelima državne uprave, tijelima lokalne i područne (regionalne) samouprave, pravnim i fizičkim osobama te zahtijeva izvješća o poduzetim mjerama; skrbi o zaštiti ljudskih prava i temeljnih sloboda osoba s invaliditetom na način da im pruža savjetodavnu pomoć; surađuje s udrugama osoba s invaliditetom i sudjeluje u postupku izrade Nacrta prijedloga propisa; skrbi o suzbijanju svih oblika diskriminacije zbog invaliditeta; razmatra slučajeve povrede prava osoba s invaliditetom i o njima izvještava javnost (te poduzima radnje u svrhu njihova sprečavanja); zalaže se za zaštitu i promicanje prava i interesa osoba s invaliditetom; ostvaruje pristup u prostorije i uvid u način ostvarivanja brige o osobama s invaliditetom; predlaže poduzimanje mjera za izgradnju cjelovitog sustava zaštite i promicanja prava i interesa osoba s invaliditetom.</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12305 Pravobranitelj za osobe s invaliditetom</w:t>
            </w:r>
          </w:p>
        </w:tc>
        <w:tc>
          <w:tcPr>
            <w:tcW w:w="1486" w:type="dxa"/>
          </w:tcPr>
          <w:p w:rsidR="00D849AA" w:rsidRDefault="00EE6D95">
            <w:r>
              <w:t>2.970.849</w:t>
            </w:r>
          </w:p>
        </w:tc>
        <w:tc>
          <w:tcPr>
            <w:tcW w:w="1486" w:type="dxa"/>
          </w:tcPr>
          <w:p w:rsidR="00D849AA" w:rsidRDefault="00EE6D95">
            <w:r>
              <w:t>3.143.252</w:t>
            </w:r>
          </w:p>
        </w:tc>
        <w:tc>
          <w:tcPr>
            <w:tcW w:w="1486" w:type="dxa"/>
          </w:tcPr>
          <w:p w:rsidR="00D849AA" w:rsidRDefault="00EE6D95">
            <w:r>
              <w:t>3.206.140</w:t>
            </w:r>
          </w:p>
        </w:tc>
        <w:tc>
          <w:tcPr>
            <w:tcW w:w="1486" w:type="dxa"/>
          </w:tcPr>
          <w:p w:rsidR="00D849AA" w:rsidRDefault="00EE6D95">
            <w:r>
              <w:t>3.245.633</w:t>
            </w:r>
          </w:p>
        </w:tc>
        <w:tc>
          <w:tcPr>
            <w:tcW w:w="1486" w:type="dxa"/>
          </w:tcPr>
          <w:p w:rsidR="00D849AA" w:rsidRDefault="00EE6D95">
            <w:r>
              <w:t>105,8</w:t>
            </w:r>
          </w:p>
        </w:tc>
      </w:tr>
      <w:tr w:rsidR="00D849AA">
        <w:trPr>
          <w:jc w:val="center"/>
        </w:trPr>
        <w:tc>
          <w:tcPr>
            <w:tcW w:w="1486" w:type="dxa"/>
            <w:shd w:val="clear" w:color="auto" w:fill="B5C0D8"/>
          </w:tcPr>
          <w:p w:rsidR="00D849AA" w:rsidRDefault="00EE6D95">
            <w:pPr>
              <w:pStyle w:val="CellColumn"/>
            </w:pPr>
            <w:r>
              <w:t>Ukupno 123</w:t>
            </w:r>
          </w:p>
        </w:tc>
        <w:tc>
          <w:tcPr>
            <w:tcW w:w="1486" w:type="dxa"/>
            <w:shd w:val="clear" w:color="auto" w:fill="B5C0D8"/>
          </w:tcPr>
          <w:p w:rsidR="00D849AA" w:rsidRDefault="00EE6D95">
            <w:r>
              <w:t>2.970.849</w:t>
            </w:r>
          </w:p>
        </w:tc>
        <w:tc>
          <w:tcPr>
            <w:tcW w:w="1486" w:type="dxa"/>
            <w:shd w:val="clear" w:color="auto" w:fill="B5C0D8"/>
          </w:tcPr>
          <w:p w:rsidR="00D849AA" w:rsidRDefault="00EE6D95">
            <w:r>
              <w:t>3.143.252</w:t>
            </w:r>
          </w:p>
        </w:tc>
        <w:tc>
          <w:tcPr>
            <w:tcW w:w="1486" w:type="dxa"/>
            <w:shd w:val="clear" w:color="auto" w:fill="B5C0D8"/>
          </w:tcPr>
          <w:p w:rsidR="00D849AA" w:rsidRDefault="00EE6D95">
            <w:r>
              <w:t>3.206.140</w:t>
            </w:r>
          </w:p>
        </w:tc>
        <w:tc>
          <w:tcPr>
            <w:tcW w:w="1486" w:type="dxa"/>
            <w:shd w:val="clear" w:color="auto" w:fill="B5C0D8"/>
          </w:tcPr>
          <w:p w:rsidR="00D849AA" w:rsidRDefault="00EE6D95">
            <w:r>
              <w:t>3.245.633</w:t>
            </w:r>
          </w:p>
        </w:tc>
        <w:tc>
          <w:tcPr>
            <w:tcW w:w="1486" w:type="dxa"/>
            <w:shd w:val="clear" w:color="auto" w:fill="B5C0D8"/>
          </w:tcPr>
          <w:p w:rsidR="00D849AA" w:rsidRDefault="00EE6D95">
            <w:r>
              <w:t>105,8</w:t>
            </w:r>
          </w:p>
        </w:tc>
      </w:tr>
    </w:tbl>
    <w:p w:rsidR="00D849AA" w:rsidRDefault="00D849AA">
      <w:pPr>
        <w:jc w:val="left"/>
      </w:pPr>
    </w:p>
    <w:p w:rsidR="00D849AA" w:rsidRDefault="00EE6D95">
      <w:pPr>
        <w:pStyle w:val="Naslov2"/>
      </w:pPr>
      <w:r>
        <w:t>12305 Pravobranitelj za osobe s invaliditetom</w:t>
      </w:r>
    </w:p>
    <w:p w:rsidR="00D849AA" w:rsidRDefault="00EE6D95">
      <w:pPr>
        <w:pStyle w:val="Naslov4"/>
      </w:pPr>
      <w:r>
        <w:t>Uvod</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12305</w:t>
            </w:r>
          </w:p>
        </w:tc>
        <w:tc>
          <w:tcPr>
            <w:tcW w:w="1486" w:type="dxa"/>
          </w:tcPr>
          <w:p w:rsidR="00D849AA" w:rsidRDefault="00EE6D95">
            <w:r>
              <w:t>2.970.849</w:t>
            </w:r>
          </w:p>
        </w:tc>
        <w:tc>
          <w:tcPr>
            <w:tcW w:w="1486" w:type="dxa"/>
          </w:tcPr>
          <w:p w:rsidR="00D849AA" w:rsidRDefault="00EE6D95">
            <w:r>
              <w:t>3.143.252</w:t>
            </w:r>
          </w:p>
        </w:tc>
        <w:tc>
          <w:tcPr>
            <w:tcW w:w="1486" w:type="dxa"/>
          </w:tcPr>
          <w:p w:rsidR="00D849AA" w:rsidRDefault="00EE6D95">
            <w:r>
              <w:t>3.206.140</w:t>
            </w:r>
          </w:p>
        </w:tc>
        <w:tc>
          <w:tcPr>
            <w:tcW w:w="1486" w:type="dxa"/>
          </w:tcPr>
          <w:p w:rsidR="00D849AA" w:rsidRDefault="00EE6D95">
            <w:r>
              <w:t>3.245.633</w:t>
            </w:r>
          </w:p>
        </w:tc>
        <w:tc>
          <w:tcPr>
            <w:tcW w:w="1486" w:type="dxa"/>
          </w:tcPr>
          <w:p w:rsidR="00D849AA" w:rsidRDefault="00EE6D95">
            <w:r>
              <w:t>105,8</w:t>
            </w:r>
          </w:p>
        </w:tc>
      </w:tr>
    </w:tbl>
    <w:p w:rsidR="00D849AA" w:rsidRDefault="00D849AA">
      <w:pPr>
        <w:jc w:val="left"/>
      </w:pPr>
    </w:p>
    <w:p w:rsidR="00D849AA" w:rsidRDefault="00EE6D95">
      <w:pPr>
        <w:pStyle w:val="Naslov4"/>
      </w:pPr>
      <w:r>
        <w:lastRenderedPageBreak/>
        <w:t>OBRAZLOŽENJE PROGRAMA</w:t>
      </w:r>
    </w:p>
    <w:p w:rsidR="00D849AA" w:rsidRDefault="00EE6D95">
      <w:pPr>
        <w:pStyle w:val="Naslov5"/>
      </w:pPr>
      <w:r>
        <w:t>2118 ZAŠTITA I PROMICANJE PRAVA I INTERESA OSOBA S INVALIDITETOM</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2118</w:t>
            </w:r>
          </w:p>
        </w:tc>
        <w:tc>
          <w:tcPr>
            <w:tcW w:w="1486" w:type="dxa"/>
          </w:tcPr>
          <w:p w:rsidR="00D849AA" w:rsidRDefault="00EE6D95">
            <w:r>
              <w:t>2.970.849</w:t>
            </w:r>
          </w:p>
        </w:tc>
        <w:tc>
          <w:tcPr>
            <w:tcW w:w="1486" w:type="dxa"/>
          </w:tcPr>
          <w:p w:rsidR="00D849AA" w:rsidRDefault="00EE6D95">
            <w:r>
              <w:t>3.143.252</w:t>
            </w:r>
          </w:p>
        </w:tc>
        <w:tc>
          <w:tcPr>
            <w:tcW w:w="1486" w:type="dxa"/>
          </w:tcPr>
          <w:p w:rsidR="00D849AA" w:rsidRDefault="00EE6D95">
            <w:r>
              <w:t>3.206.140</w:t>
            </w:r>
          </w:p>
        </w:tc>
        <w:tc>
          <w:tcPr>
            <w:tcW w:w="1486" w:type="dxa"/>
          </w:tcPr>
          <w:p w:rsidR="00D849AA" w:rsidRDefault="00EE6D95">
            <w:r>
              <w:t>3.245.633</w:t>
            </w:r>
          </w:p>
        </w:tc>
        <w:tc>
          <w:tcPr>
            <w:tcW w:w="1486" w:type="dxa"/>
          </w:tcPr>
          <w:p w:rsidR="00D849AA" w:rsidRDefault="00EE6D95">
            <w:r>
              <w:t>105,8</w:t>
            </w:r>
          </w:p>
        </w:tc>
      </w:tr>
    </w:tbl>
    <w:p w:rsidR="00D849AA" w:rsidRDefault="00D849AA">
      <w:pPr>
        <w:jc w:val="left"/>
      </w:pPr>
    </w:p>
    <w:p w:rsidR="00D849AA" w:rsidRDefault="00EE6D95">
      <w:pPr>
        <w:pStyle w:val="Naslov6"/>
      </w:pPr>
      <w:r>
        <w:t>Opis programa</w:t>
      </w:r>
    </w:p>
    <w:p w:rsidR="00D849AA" w:rsidRDefault="00EE6D95">
      <w:pPr>
        <w:pStyle w:val="Normal5"/>
      </w:pPr>
      <w:r>
        <w:t>Opći cilj strateškog plana za 2014. -2016. godinu je zaštita ljudskih prava osoba s invaliditetom podjednako u svim područjima Republike Hrvatske jer su uočene su velike razlike u položaju osoba s invaliditetom ovisno o području u kojem žive. Razlika je uočljiva kod osoba s invaliditetom koje žive u većim urbanim sredinama u odnosu na one koji žive u manjim, odnosno ruralnim područjima udaljenima od većih gradskih centara. Zbog velike razlike u dostupnosti usluga, informiranju te ostvarivanju određenih prava, cilj Ureda je u sljedećem trogodišnjem razdoblju doprijeti do osoba s invaliditetom u svim područjima RH jednako i poticati ravnomjeran razvoj resursa koji doprinose većoj uključenosti i sigurnosti te na taj način pridonijeti izjednačavanju zaštite prava osoba s invaliditetom neovisno na kojem području žive. Ostvarenje programa ostvarivat će se kroz posebne ciljeve: doprinosa ostvarenju zakonskih prava osoba s invaliditetom, unapređenja informiranosti osoba s invaliditetom o njihovim pravima i načinima njihova ostvarivanja, te doprinos većoj informiranosti institucija i društva u cjelini o pitanjima osoba s invaliditetom.</w:t>
      </w:r>
    </w:p>
    <w:p w:rsidR="00D849AA" w:rsidRDefault="00EE6D95">
      <w:pPr>
        <w:pStyle w:val="Naslov6"/>
      </w:pPr>
      <w:r>
        <w:t>Zakonske i druge pravne osnove</w:t>
      </w:r>
    </w:p>
    <w:p w:rsidR="00D849AA" w:rsidRDefault="00EE6D95">
      <w:pPr>
        <w:pStyle w:val="Normal5"/>
      </w:pPr>
      <w:r>
        <w:t>Djelokrug rada Ureda pravobraniteljice za osobe s invaliditetom je propisan Zakonom o pravobranitelju za osobe s invaliditetom (Narodne novine,br.107/07.) U skladu s Nacionalnom strategijom izjednačavanja mogućnosti za osobe s invaliditetom od 2007. godine do 2015. godine, koju je donio Sabor Republike Hrvatske (Narodne novine, br.63/07.), te Konvencijom o pravima osoba s invaliditetom koja je stupila na snagu 03. svibnja 2008. Pravobranitelj za osobe s invaliditetom nadležan je i za suzbijanje diskriminacije na osnovi invaliditeta sukladno Zakonu o suzbijanju diskriminacije („Narodne novine“, br. 85/08., 112/12.).</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Cilj 1. Doprinos ostvarenju zakonskih prava osoba s invaliditetom</w:t>
      </w:r>
    </w:p>
    <w:p w:rsidR="00D849AA" w:rsidRDefault="00EE6D95">
      <w:pPr>
        <w:pStyle w:val="Normal6"/>
      </w:pPr>
      <w:r>
        <w:t>Unatoč brojnim međunarodnim i nacionalnim dokumentima i propisima kojima se štite i promiču prava osoba s invaliditetom, uočava se nedosljednost u njihovoj primjeni. Stoga je zadaća Ureda pratiti, doprinositi i inzistirati na primjeni prava i poštivanju donesenih dokumenata te njihovoj provedbi. Budući da se učinkovitom provedbom mjera ostvaruje zaštita ljudskih prava osoba s invaliditetom, Ured je na temelju pritužbi uočio da su neujednačena postupanja u odnosu na zakonsku regulativu najčešća u područjima socijalne zaštite, pristupačnosti, zdravstvene zaštite, rada i zapošljavanja i mirovinskog osiguranja. U navedenim sustavima su u tijeku reforme kojima je cilj približiti usluge krajnjim korisnicima, u ovom slučaju osobama s invaliditetom te će se Ured u sljedećem trogodišnjem razdoblju zalagati za ujednačenu primjenu propisa i za ona zakonska rješenja koja su u interesu osoba s invaliditetom.</w:t>
      </w:r>
    </w:p>
    <w:p w:rsidR="00D849AA" w:rsidRDefault="00EE6D95">
      <w:pPr>
        <w:pStyle w:val="Naslov8"/>
        <w:jc w:val="left"/>
      </w:pPr>
      <w:r>
        <w:lastRenderedPageBreak/>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Broj danih očitovanja – mišljenja Ureda na prijedloge nacrta propisa nadležnih institucija</w:t>
            </w:r>
          </w:p>
        </w:tc>
        <w:tc>
          <w:tcPr>
            <w:tcW w:w="1114" w:type="dxa"/>
          </w:tcPr>
          <w:p w:rsidR="00D849AA" w:rsidRDefault="00EE6D95">
            <w:r>
              <w:t>Broj</w:t>
            </w:r>
          </w:p>
        </w:tc>
        <w:tc>
          <w:tcPr>
            <w:tcW w:w="1114" w:type="dxa"/>
          </w:tcPr>
          <w:p w:rsidR="00D849AA" w:rsidRDefault="00EE6D95">
            <w:r>
              <w:t>22</w:t>
            </w:r>
          </w:p>
        </w:tc>
        <w:tc>
          <w:tcPr>
            <w:tcW w:w="1486" w:type="dxa"/>
          </w:tcPr>
          <w:p w:rsidR="00D849AA" w:rsidRDefault="00EE6D95">
            <w:r>
              <w:t>23</w:t>
            </w:r>
          </w:p>
        </w:tc>
        <w:tc>
          <w:tcPr>
            <w:tcW w:w="1486" w:type="dxa"/>
          </w:tcPr>
          <w:p w:rsidR="00D849AA" w:rsidRDefault="00EE6D95">
            <w:r>
              <w:t>23</w:t>
            </w:r>
          </w:p>
        </w:tc>
        <w:tc>
          <w:tcPr>
            <w:tcW w:w="1486" w:type="dxa"/>
          </w:tcPr>
          <w:p w:rsidR="00D849AA" w:rsidRDefault="00EE6D95">
            <w:r>
              <w:t>23</w:t>
            </w:r>
          </w:p>
        </w:tc>
      </w:tr>
      <w:tr w:rsidR="00D849AA">
        <w:trPr>
          <w:jc w:val="center"/>
        </w:trPr>
        <w:tc>
          <w:tcPr>
            <w:tcW w:w="2229" w:type="dxa"/>
          </w:tcPr>
          <w:p w:rsidR="00D849AA" w:rsidRDefault="00EE6D95">
            <w:pPr>
              <w:pStyle w:val="CellColumn"/>
            </w:pPr>
            <w:r>
              <w:t>Broj sudjelovanja u radu odbora</w:t>
            </w:r>
          </w:p>
        </w:tc>
        <w:tc>
          <w:tcPr>
            <w:tcW w:w="1114" w:type="dxa"/>
          </w:tcPr>
          <w:p w:rsidR="00D849AA" w:rsidRDefault="00EE6D95">
            <w:r>
              <w:t>Broj</w:t>
            </w:r>
          </w:p>
        </w:tc>
        <w:tc>
          <w:tcPr>
            <w:tcW w:w="1114" w:type="dxa"/>
          </w:tcPr>
          <w:p w:rsidR="00D849AA" w:rsidRDefault="00EE6D95">
            <w:r>
              <w:t>22</w:t>
            </w:r>
          </w:p>
        </w:tc>
        <w:tc>
          <w:tcPr>
            <w:tcW w:w="1486" w:type="dxa"/>
          </w:tcPr>
          <w:p w:rsidR="00D849AA" w:rsidRDefault="00EE6D95">
            <w:r>
              <w:t>23</w:t>
            </w:r>
          </w:p>
        </w:tc>
        <w:tc>
          <w:tcPr>
            <w:tcW w:w="1486" w:type="dxa"/>
          </w:tcPr>
          <w:p w:rsidR="00D849AA" w:rsidRDefault="00EE6D95">
            <w:r>
              <w:t>23</w:t>
            </w:r>
          </w:p>
        </w:tc>
        <w:tc>
          <w:tcPr>
            <w:tcW w:w="1486" w:type="dxa"/>
          </w:tcPr>
          <w:p w:rsidR="00D849AA" w:rsidRDefault="00EE6D95">
            <w:r>
              <w:t>23</w:t>
            </w:r>
          </w:p>
        </w:tc>
      </w:tr>
      <w:tr w:rsidR="00D849AA">
        <w:trPr>
          <w:jc w:val="center"/>
        </w:trPr>
        <w:tc>
          <w:tcPr>
            <w:tcW w:w="2229" w:type="dxa"/>
          </w:tcPr>
          <w:p w:rsidR="00D849AA" w:rsidRDefault="00EE6D95">
            <w:pPr>
              <w:pStyle w:val="CellColumn"/>
            </w:pPr>
            <w:r>
              <w:t>Broj zaprimljenih pritužbi građana</w:t>
            </w:r>
          </w:p>
        </w:tc>
        <w:tc>
          <w:tcPr>
            <w:tcW w:w="1114" w:type="dxa"/>
          </w:tcPr>
          <w:p w:rsidR="00D849AA" w:rsidRDefault="00EE6D95">
            <w:r>
              <w:t>Broj</w:t>
            </w:r>
          </w:p>
        </w:tc>
        <w:tc>
          <w:tcPr>
            <w:tcW w:w="1114" w:type="dxa"/>
          </w:tcPr>
          <w:p w:rsidR="00D849AA" w:rsidRDefault="00EE6D95">
            <w:r>
              <w:t>951</w:t>
            </w:r>
          </w:p>
        </w:tc>
        <w:tc>
          <w:tcPr>
            <w:tcW w:w="1486" w:type="dxa"/>
          </w:tcPr>
          <w:p w:rsidR="00D849AA" w:rsidRDefault="00EE6D95">
            <w:r>
              <w:t>980</w:t>
            </w:r>
          </w:p>
        </w:tc>
        <w:tc>
          <w:tcPr>
            <w:tcW w:w="1486" w:type="dxa"/>
          </w:tcPr>
          <w:p w:rsidR="00D849AA" w:rsidRDefault="00EE6D95">
            <w:r>
              <w:t>1000</w:t>
            </w:r>
          </w:p>
        </w:tc>
        <w:tc>
          <w:tcPr>
            <w:tcW w:w="1486" w:type="dxa"/>
          </w:tcPr>
          <w:p w:rsidR="00D849AA" w:rsidRDefault="00EE6D95">
            <w:r>
              <w:t>1000</w:t>
            </w:r>
          </w:p>
        </w:tc>
      </w:tr>
      <w:tr w:rsidR="00D849AA">
        <w:trPr>
          <w:jc w:val="center"/>
        </w:trPr>
        <w:tc>
          <w:tcPr>
            <w:tcW w:w="2229" w:type="dxa"/>
          </w:tcPr>
          <w:p w:rsidR="00D849AA" w:rsidRDefault="00EE6D95">
            <w:pPr>
              <w:pStyle w:val="CellColumn"/>
            </w:pPr>
            <w:r>
              <w:t>Broj postupanja po predstavkama OSI upućenih POSI</w:t>
            </w:r>
          </w:p>
        </w:tc>
        <w:tc>
          <w:tcPr>
            <w:tcW w:w="1114" w:type="dxa"/>
          </w:tcPr>
          <w:p w:rsidR="00D849AA" w:rsidRDefault="00EE6D95">
            <w:r>
              <w:t>Broj</w:t>
            </w:r>
          </w:p>
        </w:tc>
        <w:tc>
          <w:tcPr>
            <w:tcW w:w="1114" w:type="dxa"/>
          </w:tcPr>
          <w:p w:rsidR="00D849AA" w:rsidRDefault="00EE6D95">
            <w:r>
              <w:t>1261</w:t>
            </w:r>
          </w:p>
        </w:tc>
        <w:tc>
          <w:tcPr>
            <w:tcW w:w="1486" w:type="dxa"/>
          </w:tcPr>
          <w:p w:rsidR="00D849AA" w:rsidRDefault="00EE6D95">
            <w:r>
              <w:t>1280</w:t>
            </w:r>
          </w:p>
        </w:tc>
        <w:tc>
          <w:tcPr>
            <w:tcW w:w="1486" w:type="dxa"/>
          </w:tcPr>
          <w:p w:rsidR="00D849AA" w:rsidRDefault="00EE6D95">
            <w:r>
              <w:t>1290</w:t>
            </w:r>
          </w:p>
        </w:tc>
        <w:tc>
          <w:tcPr>
            <w:tcW w:w="1486" w:type="dxa"/>
          </w:tcPr>
          <w:p w:rsidR="00D849AA" w:rsidRDefault="00EE6D95">
            <w:r>
              <w:t>1290</w:t>
            </w:r>
          </w:p>
        </w:tc>
      </w:tr>
      <w:tr w:rsidR="00D849AA">
        <w:trPr>
          <w:jc w:val="center"/>
        </w:trPr>
        <w:tc>
          <w:tcPr>
            <w:tcW w:w="2229" w:type="dxa"/>
          </w:tcPr>
          <w:p w:rsidR="00D849AA" w:rsidRDefault="00EE6D95">
            <w:pPr>
              <w:pStyle w:val="CellColumn"/>
            </w:pPr>
            <w:r>
              <w:t>Broj poslanih preporuka nadležnim tijelima i institucijama</w:t>
            </w:r>
          </w:p>
        </w:tc>
        <w:tc>
          <w:tcPr>
            <w:tcW w:w="1114" w:type="dxa"/>
          </w:tcPr>
          <w:p w:rsidR="00D849AA" w:rsidRDefault="00EE6D95">
            <w:r>
              <w:t>Broj</w:t>
            </w:r>
          </w:p>
        </w:tc>
        <w:tc>
          <w:tcPr>
            <w:tcW w:w="1114" w:type="dxa"/>
          </w:tcPr>
          <w:p w:rsidR="00D849AA" w:rsidRDefault="00EE6D95">
            <w:r>
              <w:t>256</w:t>
            </w:r>
          </w:p>
        </w:tc>
        <w:tc>
          <w:tcPr>
            <w:tcW w:w="1486" w:type="dxa"/>
          </w:tcPr>
          <w:p w:rsidR="00D849AA" w:rsidRDefault="00EE6D95">
            <w:r>
              <w:t>270</w:t>
            </w:r>
          </w:p>
        </w:tc>
        <w:tc>
          <w:tcPr>
            <w:tcW w:w="1486" w:type="dxa"/>
          </w:tcPr>
          <w:p w:rsidR="00D849AA" w:rsidRDefault="00EE6D95">
            <w:r>
              <w:t>270</w:t>
            </w:r>
          </w:p>
        </w:tc>
        <w:tc>
          <w:tcPr>
            <w:tcW w:w="1486" w:type="dxa"/>
          </w:tcPr>
          <w:p w:rsidR="00D849AA" w:rsidRDefault="00EE6D95">
            <w:r>
              <w:t>270</w:t>
            </w:r>
          </w:p>
        </w:tc>
      </w:tr>
      <w:tr w:rsidR="00D849AA">
        <w:trPr>
          <w:jc w:val="center"/>
        </w:trPr>
        <w:tc>
          <w:tcPr>
            <w:tcW w:w="2229" w:type="dxa"/>
          </w:tcPr>
          <w:p w:rsidR="00D849AA" w:rsidRDefault="00EE6D95">
            <w:pPr>
              <w:pStyle w:val="CellColumn"/>
            </w:pPr>
            <w:r>
              <w:t>Broj predloženih izmjena zakonskih i podzakonskih akata</w:t>
            </w:r>
          </w:p>
        </w:tc>
        <w:tc>
          <w:tcPr>
            <w:tcW w:w="1114" w:type="dxa"/>
          </w:tcPr>
          <w:p w:rsidR="00D849AA" w:rsidRDefault="00EE6D95">
            <w:r>
              <w:t>Broj</w:t>
            </w:r>
          </w:p>
        </w:tc>
        <w:tc>
          <w:tcPr>
            <w:tcW w:w="1114" w:type="dxa"/>
          </w:tcPr>
          <w:p w:rsidR="00D849AA" w:rsidRDefault="00EE6D95">
            <w:r>
              <w:t>31</w:t>
            </w:r>
          </w:p>
        </w:tc>
        <w:tc>
          <w:tcPr>
            <w:tcW w:w="1486" w:type="dxa"/>
          </w:tcPr>
          <w:p w:rsidR="00D849AA" w:rsidRDefault="00EE6D95">
            <w:r>
              <w:t>31</w:t>
            </w:r>
          </w:p>
        </w:tc>
        <w:tc>
          <w:tcPr>
            <w:tcW w:w="1486" w:type="dxa"/>
          </w:tcPr>
          <w:p w:rsidR="00D849AA" w:rsidRDefault="00EE6D95">
            <w:r>
              <w:t>25</w:t>
            </w:r>
          </w:p>
        </w:tc>
        <w:tc>
          <w:tcPr>
            <w:tcW w:w="1486" w:type="dxa"/>
          </w:tcPr>
          <w:p w:rsidR="00D849AA" w:rsidRDefault="00EE6D95">
            <w:r>
              <w:t>25</w:t>
            </w:r>
          </w:p>
        </w:tc>
      </w:tr>
      <w:tr w:rsidR="00D849AA">
        <w:trPr>
          <w:jc w:val="center"/>
        </w:trPr>
        <w:tc>
          <w:tcPr>
            <w:tcW w:w="2229" w:type="dxa"/>
          </w:tcPr>
          <w:p w:rsidR="00D849AA" w:rsidRDefault="00EE6D95">
            <w:pPr>
              <w:pStyle w:val="CellColumn"/>
            </w:pPr>
            <w:r>
              <w:t>Postotak pritužbi na diskriminaciju</w:t>
            </w:r>
          </w:p>
        </w:tc>
        <w:tc>
          <w:tcPr>
            <w:tcW w:w="1114" w:type="dxa"/>
          </w:tcPr>
          <w:p w:rsidR="00D849AA" w:rsidRDefault="00EE6D95">
            <w:r>
              <w:t>Postotak</w:t>
            </w:r>
          </w:p>
        </w:tc>
        <w:tc>
          <w:tcPr>
            <w:tcW w:w="1114" w:type="dxa"/>
          </w:tcPr>
          <w:p w:rsidR="00D849AA" w:rsidRDefault="00EE6D95">
            <w:r>
              <w:t>0%</w:t>
            </w:r>
          </w:p>
        </w:tc>
        <w:tc>
          <w:tcPr>
            <w:tcW w:w="1486" w:type="dxa"/>
          </w:tcPr>
          <w:p w:rsidR="00D849AA" w:rsidRDefault="00EE6D95">
            <w:r>
              <w:t>12%</w:t>
            </w:r>
          </w:p>
        </w:tc>
        <w:tc>
          <w:tcPr>
            <w:tcW w:w="1486" w:type="dxa"/>
          </w:tcPr>
          <w:p w:rsidR="00D849AA" w:rsidRDefault="00EE6D95">
            <w:r>
              <w:t>12%</w:t>
            </w:r>
          </w:p>
        </w:tc>
        <w:tc>
          <w:tcPr>
            <w:tcW w:w="1486" w:type="dxa"/>
          </w:tcPr>
          <w:p w:rsidR="00D849AA" w:rsidRDefault="00EE6D95">
            <w:r>
              <w:t>10%</w:t>
            </w:r>
          </w:p>
        </w:tc>
      </w:tr>
    </w:tbl>
    <w:p w:rsidR="00D849AA" w:rsidRDefault="00D849AA">
      <w:pPr>
        <w:jc w:val="left"/>
      </w:pPr>
    </w:p>
    <w:p w:rsidR="00D849AA" w:rsidRDefault="00EE6D95">
      <w:pPr>
        <w:pStyle w:val="Naslov7"/>
      </w:pPr>
      <w:r>
        <w:t xml:space="preserve">Cilj 2. Unapređenje informiranosti osoba s invaliditetom o njihovim pravima i načinima njihova ostvarivanja </w:t>
      </w:r>
    </w:p>
    <w:p w:rsidR="00D849AA" w:rsidRDefault="00EE6D95">
      <w:pPr>
        <w:pStyle w:val="Normal6"/>
      </w:pPr>
      <w:r>
        <w:t>Ukoliko su osobe s invaliditetom preko svojih saveza i udruga osoba s invaliditetom, nadležnih tijela na državnoj, regionalnoj i lokalnoj razini te putem nazočnosti na raznim događanjima informirane o svojim pravima i načinima njihova ostvarivanja, povećava se mogućnost za njihovo aktivnije uključivanje u društvo. Trenutno se osobe s invaliditetom najviše pritužuju da nisu informirane o svojim pravima iz različitih sustava ili im je otežano saznavanje o učestalim promjenama zakona i pravilnika koji uređuju područja od značaja za osobe s invaliditetom. Unatoč velikoj aktivnosti civilnog društva i nadležnih institucija na području informiranja osoba s invaliditetom, nameće se zaključak da načini na koji se to informiranje vrši ne daju željene rezultate pa bi trebalo razmisliti o učinkovitijim načinima.</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 xml:space="preserve">Broj sudjelovanja na događanjima i skupovima u </w:t>
            </w:r>
            <w:r>
              <w:lastRenderedPageBreak/>
              <w:t>organizaciji institucija</w:t>
            </w:r>
          </w:p>
        </w:tc>
        <w:tc>
          <w:tcPr>
            <w:tcW w:w="1114" w:type="dxa"/>
          </w:tcPr>
          <w:p w:rsidR="00D849AA" w:rsidRDefault="00EE6D95">
            <w:r>
              <w:lastRenderedPageBreak/>
              <w:t>Broj</w:t>
            </w:r>
          </w:p>
        </w:tc>
        <w:tc>
          <w:tcPr>
            <w:tcW w:w="1114" w:type="dxa"/>
          </w:tcPr>
          <w:p w:rsidR="00D849AA" w:rsidRDefault="00EE6D95">
            <w:r>
              <w:t>15</w:t>
            </w:r>
          </w:p>
        </w:tc>
        <w:tc>
          <w:tcPr>
            <w:tcW w:w="1486" w:type="dxa"/>
          </w:tcPr>
          <w:p w:rsidR="00D849AA" w:rsidRDefault="00EE6D95">
            <w:r>
              <w:t>15</w:t>
            </w:r>
          </w:p>
        </w:tc>
        <w:tc>
          <w:tcPr>
            <w:tcW w:w="1486" w:type="dxa"/>
          </w:tcPr>
          <w:p w:rsidR="00D849AA" w:rsidRDefault="00EE6D95">
            <w:r>
              <w:t>15</w:t>
            </w:r>
          </w:p>
        </w:tc>
        <w:tc>
          <w:tcPr>
            <w:tcW w:w="1486" w:type="dxa"/>
          </w:tcPr>
          <w:p w:rsidR="00D849AA" w:rsidRDefault="00EE6D95">
            <w:r>
              <w:t>15</w:t>
            </w:r>
          </w:p>
        </w:tc>
      </w:tr>
      <w:tr w:rsidR="00D849AA">
        <w:trPr>
          <w:jc w:val="center"/>
        </w:trPr>
        <w:tc>
          <w:tcPr>
            <w:tcW w:w="2229" w:type="dxa"/>
          </w:tcPr>
          <w:p w:rsidR="00D849AA" w:rsidRDefault="00EE6D95">
            <w:pPr>
              <w:pStyle w:val="CellColumn"/>
            </w:pPr>
            <w:r>
              <w:lastRenderedPageBreak/>
              <w:t>Broj posjeta web stranici Ureda</w:t>
            </w:r>
          </w:p>
        </w:tc>
        <w:tc>
          <w:tcPr>
            <w:tcW w:w="1114" w:type="dxa"/>
          </w:tcPr>
          <w:p w:rsidR="00D849AA" w:rsidRDefault="00EE6D95">
            <w:r>
              <w:t>Broj/dan</w:t>
            </w:r>
          </w:p>
        </w:tc>
        <w:tc>
          <w:tcPr>
            <w:tcW w:w="1114" w:type="dxa"/>
          </w:tcPr>
          <w:p w:rsidR="00D849AA" w:rsidRDefault="00EE6D95">
            <w:r>
              <w:t>750</w:t>
            </w:r>
          </w:p>
        </w:tc>
        <w:tc>
          <w:tcPr>
            <w:tcW w:w="1486" w:type="dxa"/>
          </w:tcPr>
          <w:p w:rsidR="00D849AA" w:rsidRDefault="00EE6D95">
            <w:r>
              <w:t>800</w:t>
            </w:r>
          </w:p>
        </w:tc>
        <w:tc>
          <w:tcPr>
            <w:tcW w:w="1486" w:type="dxa"/>
          </w:tcPr>
          <w:p w:rsidR="00D849AA" w:rsidRDefault="00EE6D95">
            <w:r>
              <w:t>800</w:t>
            </w:r>
          </w:p>
        </w:tc>
        <w:tc>
          <w:tcPr>
            <w:tcW w:w="1486" w:type="dxa"/>
          </w:tcPr>
          <w:p w:rsidR="00D849AA" w:rsidRDefault="00EE6D95">
            <w:r>
              <w:t>800</w:t>
            </w:r>
          </w:p>
        </w:tc>
      </w:tr>
      <w:tr w:rsidR="00D849AA">
        <w:trPr>
          <w:jc w:val="center"/>
        </w:trPr>
        <w:tc>
          <w:tcPr>
            <w:tcW w:w="2229" w:type="dxa"/>
          </w:tcPr>
          <w:p w:rsidR="00D849AA" w:rsidRDefault="00EE6D95">
            <w:pPr>
              <w:pStyle w:val="CellColumn"/>
            </w:pPr>
            <w:r>
              <w:t>Broj tiskanih publikacija</w:t>
            </w:r>
          </w:p>
        </w:tc>
        <w:tc>
          <w:tcPr>
            <w:tcW w:w="1114" w:type="dxa"/>
          </w:tcPr>
          <w:p w:rsidR="00D849AA" w:rsidRDefault="00EE6D95">
            <w:r>
              <w:t>Broj</w:t>
            </w:r>
          </w:p>
        </w:tc>
        <w:tc>
          <w:tcPr>
            <w:tcW w:w="1114" w:type="dxa"/>
          </w:tcPr>
          <w:p w:rsidR="00D849AA" w:rsidRDefault="00EE6D95">
            <w:r>
              <w:t>2</w:t>
            </w:r>
          </w:p>
        </w:tc>
        <w:tc>
          <w:tcPr>
            <w:tcW w:w="1486" w:type="dxa"/>
          </w:tcPr>
          <w:p w:rsidR="00D849AA" w:rsidRDefault="00EE6D95">
            <w:r>
              <w:t>2</w:t>
            </w:r>
          </w:p>
        </w:tc>
        <w:tc>
          <w:tcPr>
            <w:tcW w:w="1486" w:type="dxa"/>
          </w:tcPr>
          <w:p w:rsidR="00D849AA" w:rsidRDefault="00EE6D95">
            <w:r>
              <w:t>2</w:t>
            </w:r>
          </w:p>
        </w:tc>
        <w:tc>
          <w:tcPr>
            <w:tcW w:w="1486" w:type="dxa"/>
          </w:tcPr>
          <w:p w:rsidR="00D849AA" w:rsidRDefault="00EE6D95">
            <w:r>
              <w:t>2</w:t>
            </w:r>
          </w:p>
        </w:tc>
      </w:tr>
      <w:tr w:rsidR="00D849AA">
        <w:trPr>
          <w:jc w:val="center"/>
        </w:trPr>
        <w:tc>
          <w:tcPr>
            <w:tcW w:w="2229" w:type="dxa"/>
          </w:tcPr>
          <w:p w:rsidR="00D849AA" w:rsidRDefault="00EE6D95">
            <w:pPr>
              <w:pStyle w:val="CellColumn"/>
            </w:pPr>
            <w:r>
              <w:t>Broj ostvarenih uvida u  ustanovama i institucijama</w:t>
            </w:r>
          </w:p>
        </w:tc>
        <w:tc>
          <w:tcPr>
            <w:tcW w:w="1114" w:type="dxa"/>
          </w:tcPr>
          <w:p w:rsidR="00D849AA" w:rsidRDefault="00EE6D95">
            <w:r>
              <w:t>Broj</w:t>
            </w:r>
          </w:p>
        </w:tc>
        <w:tc>
          <w:tcPr>
            <w:tcW w:w="1114" w:type="dxa"/>
          </w:tcPr>
          <w:p w:rsidR="00D849AA" w:rsidRDefault="00EE6D95">
            <w:r>
              <w:t>34</w:t>
            </w:r>
          </w:p>
        </w:tc>
        <w:tc>
          <w:tcPr>
            <w:tcW w:w="1486" w:type="dxa"/>
          </w:tcPr>
          <w:p w:rsidR="00D849AA" w:rsidRDefault="00EE6D95">
            <w:r>
              <w:t>34</w:t>
            </w:r>
          </w:p>
        </w:tc>
        <w:tc>
          <w:tcPr>
            <w:tcW w:w="1486" w:type="dxa"/>
          </w:tcPr>
          <w:p w:rsidR="00D849AA" w:rsidRDefault="00EE6D95">
            <w:r>
              <w:t>34</w:t>
            </w:r>
          </w:p>
        </w:tc>
        <w:tc>
          <w:tcPr>
            <w:tcW w:w="1486" w:type="dxa"/>
          </w:tcPr>
          <w:p w:rsidR="00D849AA" w:rsidRDefault="00EE6D95">
            <w:r>
              <w:t>34</w:t>
            </w:r>
          </w:p>
        </w:tc>
      </w:tr>
      <w:tr w:rsidR="00D849AA">
        <w:trPr>
          <w:jc w:val="center"/>
        </w:trPr>
        <w:tc>
          <w:tcPr>
            <w:tcW w:w="2229" w:type="dxa"/>
          </w:tcPr>
          <w:p w:rsidR="00D849AA" w:rsidRDefault="00EE6D95">
            <w:pPr>
              <w:pStyle w:val="CellColumn"/>
            </w:pPr>
            <w:r>
              <w:t>Broj sudjelovanja na događanjima i skupovima u organizaciji osoba s invaliditetom</w:t>
            </w:r>
          </w:p>
        </w:tc>
        <w:tc>
          <w:tcPr>
            <w:tcW w:w="1114" w:type="dxa"/>
          </w:tcPr>
          <w:p w:rsidR="00D849AA" w:rsidRDefault="00EE6D95">
            <w:r>
              <w:t>Broj</w:t>
            </w:r>
          </w:p>
        </w:tc>
        <w:tc>
          <w:tcPr>
            <w:tcW w:w="1114" w:type="dxa"/>
          </w:tcPr>
          <w:p w:rsidR="00D849AA" w:rsidRDefault="00EE6D95">
            <w:r>
              <w:t>45</w:t>
            </w:r>
          </w:p>
        </w:tc>
        <w:tc>
          <w:tcPr>
            <w:tcW w:w="1486" w:type="dxa"/>
          </w:tcPr>
          <w:p w:rsidR="00D849AA" w:rsidRDefault="00EE6D95">
            <w:r>
              <w:t>50</w:t>
            </w:r>
          </w:p>
        </w:tc>
        <w:tc>
          <w:tcPr>
            <w:tcW w:w="1486" w:type="dxa"/>
          </w:tcPr>
          <w:p w:rsidR="00D849AA" w:rsidRDefault="00EE6D95">
            <w:r>
              <w:t>50</w:t>
            </w:r>
          </w:p>
        </w:tc>
        <w:tc>
          <w:tcPr>
            <w:tcW w:w="1486" w:type="dxa"/>
          </w:tcPr>
          <w:p w:rsidR="00D849AA" w:rsidRDefault="00EE6D95">
            <w:r>
              <w:t>55</w:t>
            </w:r>
          </w:p>
        </w:tc>
      </w:tr>
    </w:tbl>
    <w:p w:rsidR="00D849AA" w:rsidRDefault="00D849AA">
      <w:pPr>
        <w:jc w:val="left"/>
      </w:pPr>
    </w:p>
    <w:p w:rsidR="00D849AA" w:rsidRDefault="00EE6D95">
      <w:pPr>
        <w:pStyle w:val="Naslov7"/>
      </w:pPr>
      <w:r>
        <w:t>Cilj 3. Doprinos većoj informiranosti institucija i društva u cjelini o pitanjima osoba s invaliditetom</w:t>
      </w:r>
    </w:p>
    <w:p w:rsidR="00D849AA" w:rsidRDefault="00EE6D95">
      <w:pPr>
        <w:pStyle w:val="Normal6"/>
      </w:pPr>
      <w:r>
        <w:t>Ukoliko su nadležne institucije za pitanja osoba s invaliditetom kao i društvo u cjelini informirane o potrebama osoba s invaliditetom i načinima njihova rješavanja stvoren je preduvjet da se prava osoba s invaliditetom izjednače na području cijele Hrvatske. Prisutna je nejednakost u postupanju u pojedinim područnim službama i neadekvatan pristup osobama s invaliditetom. Ured će u sljedećem trogodišnjem razdoblju poticati sve dionike na ujednačavanje prakse, educiranje djelatnika koji rade s osobama s invaliditetom i širenje pozitivnih praksi kako iz stranih zemalja tako i između različitih regija u Hrvatskoj.</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Broj uspostavljenih međunarodnih kontakata</w:t>
            </w:r>
          </w:p>
        </w:tc>
        <w:tc>
          <w:tcPr>
            <w:tcW w:w="1114" w:type="dxa"/>
          </w:tcPr>
          <w:p w:rsidR="00D849AA" w:rsidRDefault="00EE6D95">
            <w:r>
              <w:t>Broj</w:t>
            </w:r>
          </w:p>
        </w:tc>
        <w:tc>
          <w:tcPr>
            <w:tcW w:w="1114" w:type="dxa"/>
          </w:tcPr>
          <w:p w:rsidR="00D849AA" w:rsidRDefault="00EE6D95">
            <w:r>
              <w:t>30</w:t>
            </w:r>
          </w:p>
        </w:tc>
        <w:tc>
          <w:tcPr>
            <w:tcW w:w="1486" w:type="dxa"/>
          </w:tcPr>
          <w:p w:rsidR="00D849AA" w:rsidRDefault="00EE6D95">
            <w:r>
              <w:t>30</w:t>
            </w:r>
          </w:p>
        </w:tc>
        <w:tc>
          <w:tcPr>
            <w:tcW w:w="1486" w:type="dxa"/>
          </w:tcPr>
          <w:p w:rsidR="00D849AA" w:rsidRDefault="00EE6D95">
            <w:r>
              <w:t>30</w:t>
            </w:r>
          </w:p>
        </w:tc>
        <w:tc>
          <w:tcPr>
            <w:tcW w:w="1486" w:type="dxa"/>
          </w:tcPr>
          <w:p w:rsidR="00D849AA" w:rsidRDefault="00EE6D95">
            <w:r>
              <w:t>32</w:t>
            </w:r>
          </w:p>
        </w:tc>
      </w:tr>
      <w:tr w:rsidR="00D849AA">
        <w:trPr>
          <w:jc w:val="center"/>
        </w:trPr>
        <w:tc>
          <w:tcPr>
            <w:tcW w:w="2229" w:type="dxa"/>
          </w:tcPr>
          <w:p w:rsidR="00D849AA" w:rsidRDefault="00EE6D95">
            <w:pPr>
              <w:pStyle w:val="CellColumn"/>
            </w:pPr>
            <w:r>
              <w:t>Postotak zaprimljenih predstavki</w:t>
            </w:r>
          </w:p>
        </w:tc>
        <w:tc>
          <w:tcPr>
            <w:tcW w:w="1114" w:type="dxa"/>
          </w:tcPr>
          <w:p w:rsidR="00D849AA" w:rsidRDefault="00EE6D95">
            <w:r>
              <w:t>Postotak</w:t>
            </w:r>
          </w:p>
        </w:tc>
        <w:tc>
          <w:tcPr>
            <w:tcW w:w="1114" w:type="dxa"/>
          </w:tcPr>
          <w:p w:rsidR="00D849AA" w:rsidRDefault="00EE6D95">
            <w:r>
              <w:t>0</w:t>
            </w:r>
          </w:p>
        </w:tc>
        <w:tc>
          <w:tcPr>
            <w:tcW w:w="1486" w:type="dxa"/>
          </w:tcPr>
          <w:p w:rsidR="00D849AA" w:rsidRDefault="00EE6D95">
            <w:r>
              <w:t>10%</w:t>
            </w:r>
          </w:p>
        </w:tc>
        <w:tc>
          <w:tcPr>
            <w:tcW w:w="1486" w:type="dxa"/>
          </w:tcPr>
          <w:p w:rsidR="00D849AA" w:rsidRDefault="00EE6D95">
            <w:r>
              <w:t>12%</w:t>
            </w:r>
          </w:p>
        </w:tc>
        <w:tc>
          <w:tcPr>
            <w:tcW w:w="1486" w:type="dxa"/>
          </w:tcPr>
          <w:p w:rsidR="00D849AA" w:rsidRDefault="00EE6D95">
            <w:r>
              <w:t>12%</w:t>
            </w:r>
          </w:p>
        </w:tc>
      </w:tr>
      <w:tr w:rsidR="00D849AA">
        <w:trPr>
          <w:jc w:val="center"/>
        </w:trPr>
        <w:tc>
          <w:tcPr>
            <w:tcW w:w="2229" w:type="dxa"/>
          </w:tcPr>
          <w:p w:rsidR="00D849AA" w:rsidRDefault="00EE6D95">
            <w:pPr>
              <w:pStyle w:val="CellColumn"/>
            </w:pPr>
            <w:r>
              <w:t>Broj medijskih napisa o OSI i njihovim pitanjima</w:t>
            </w:r>
          </w:p>
        </w:tc>
        <w:tc>
          <w:tcPr>
            <w:tcW w:w="1114" w:type="dxa"/>
          </w:tcPr>
          <w:p w:rsidR="00D849AA" w:rsidRDefault="00EE6D95">
            <w:r>
              <w:t>Broj/dan</w:t>
            </w:r>
          </w:p>
        </w:tc>
        <w:tc>
          <w:tcPr>
            <w:tcW w:w="1114" w:type="dxa"/>
          </w:tcPr>
          <w:p w:rsidR="00D849AA" w:rsidRDefault="00EE6D95">
            <w:r>
              <w:t>15</w:t>
            </w:r>
          </w:p>
        </w:tc>
        <w:tc>
          <w:tcPr>
            <w:tcW w:w="1486" w:type="dxa"/>
          </w:tcPr>
          <w:p w:rsidR="00D849AA" w:rsidRDefault="00EE6D95">
            <w:r>
              <w:t>15</w:t>
            </w:r>
          </w:p>
        </w:tc>
        <w:tc>
          <w:tcPr>
            <w:tcW w:w="1486" w:type="dxa"/>
          </w:tcPr>
          <w:p w:rsidR="00D849AA" w:rsidRDefault="00EE6D95">
            <w:r>
              <w:t>15</w:t>
            </w:r>
          </w:p>
        </w:tc>
        <w:tc>
          <w:tcPr>
            <w:tcW w:w="1486" w:type="dxa"/>
          </w:tcPr>
          <w:p w:rsidR="00D849AA" w:rsidRDefault="00EE6D95">
            <w:r>
              <w:t>15</w:t>
            </w:r>
          </w:p>
        </w:tc>
      </w:tr>
      <w:tr w:rsidR="00D849AA">
        <w:trPr>
          <w:jc w:val="center"/>
        </w:trPr>
        <w:tc>
          <w:tcPr>
            <w:tcW w:w="2229" w:type="dxa"/>
          </w:tcPr>
          <w:p w:rsidR="00D849AA" w:rsidRDefault="00EE6D95">
            <w:pPr>
              <w:pStyle w:val="CellColumn"/>
            </w:pPr>
            <w:r>
              <w:t>Broj sudjelovanja pravobraniteljice i djelatnika Ureda u medijima</w:t>
            </w:r>
          </w:p>
        </w:tc>
        <w:tc>
          <w:tcPr>
            <w:tcW w:w="1114" w:type="dxa"/>
          </w:tcPr>
          <w:p w:rsidR="00D849AA" w:rsidRDefault="00EE6D95">
            <w:r>
              <w:t>Broj</w:t>
            </w:r>
          </w:p>
        </w:tc>
        <w:tc>
          <w:tcPr>
            <w:tcW w:w="1114" w:type="dxa"/>
          </w:tcPr>
          <w:p w:rsidR="00D849AA" w:rsidRDefault="00EE6D95">
            <w:r>
              <w:t>76</w:t>
            </w:r>
          </w:p>
        </w:tc>
        <w:tc>
          <w:tcPr>
            <w:tcW w:w="1486" w:type="dxa"/>
          </w:tcPr>
          <w:p w:rsidR="00D849AA" w:rsidRDefault="00EE6D95">
            <w:r>
              <w:t>76</w:t>
            </w:r>
          </w:p>
        </w:tc>
        <w:tc>
          <w:tcPr>
            <w:tcW w:w="1486" w:type="dxa"/>
          </w:tcPr>
          <w:p w:rsidR="00D849AA" w:rsidRDefault="00EE6D95">
            <w:r>
              <w:t>76</w:t>
            </w:r>
          </w:p>
        </w:tc>
        <w:tc>
          <w:tcPr>
            <w:tcW w:w="1486" w:type="dxa"/>
          </w:tcPr>
          <w:p w:rsidR="00D849AA" w:rsidRDefault="00EE6D95">
            <w:r>
              <w:t>76</w:t>
            </w:r>
          </w:p>
        </w:tc>
      </w:tr>
      <w:tr w:rsidR="00D849AA">
        <w:trPr>
          <w:jc w:val="center"/>
        </w:trPr>
        <w:tc>
          <w:tcPr>
            <w:tcW w:w="2229" w:type="dxa"/>
          </w:tcPr>
          <w:p w:rsidR="00D849AA" w:rsidRDefault="00EE6D95">
            <w:pPr>
              <w:pStyle w:val="CellColumn"/>
            </w:pPr>
            <w:r>
              <w:t>Broj reakcija na medijske napise</w:t>
            </w:r>
          </w:p>
        </w:tc>
        <w:tc>
          <w:tcPr>
            <w:tcW w:w="1114" w:type="dxa"/>
          </w:tcPr>
          <w:p w:rsidR="00D849AA" w:rsidRDefault="00EE6D95">
            <w:r>
              <w:t>Broj</w:t>
            </w:r>
          </w:p>
        </w:tc>
        <w:tc>
          <w:tcPr>
            <w:tcW w:w="1114" w:type="dxa"/>
          </w:tcPr>
          <w:p w:rsidR="00D849AA" w:rsidRDefault="00EE6D95">
            <w:r>
              <w:t>32</w:t>
            </w:r>
          </w:p>
        </w:tc>
        <w:tc>
          <w:tcPr>
            <w:tcW w:w="1486" w:type="dxa"/>
          </w:tcPr>
          <w:p w:rsidR="00D849AA" w:rsidRDefault="00EE6D95">
            <w:r>
              <w:t>32</w:t>
            </w:r>
          </w:p>
        </w:tc>
        <w:tc>
          <w:tcPr>
            <w:tcW w:w="1486" w:type="dxa"/>
          </w:tcPr>
          <w:p w:rsidR="00D849AA" w:rsidRDefault="00EE6D95">
            <w:r>
              <w:t>32</w:t>
            </w:r>
          </w:p>
        </w:tc>
        <w:tc>
          <w:tcPr>
            <w:tcW w:w="1486" w:type="dxa"/>
          </w:tcPr>
          <w:p w:rsidR="00D849AA" w:rsidRDefault="00EE6D95">
            <w:r>
              <w:t>32</w:t>
            </w:r>
          </w:p>
        </w:tc>
      </w:tr>
      <w:tr w:rsidR="00D849AA">
        <w:trPr>
          <w:jc w:val="center"/>
        </w:trPr>
        <w:tc>
          <w:tcPr>
            <w:tcW w:w="2229" w:type="dxa"/>
          </w:tcPr>
          <w:p w:rsidR="00D849AA" w:rsidRDefault="00EE6D95">
            <w:pPr>
              <w:pStyle w:val="CellColumn"/>
            </w:pPr>
            <w:r>
              <w:t xml:space="preserve">Broj skupova </w:t>
            </w:r>
            <w:r>
              <w:lastRenderedPageBreak/>
              <w:t>organiziranih s TDU, TJLP(R)S i PIFO</w:t>
            </w:r>
          </w:p>
        </w:tc>
        <w:tc>
          <w:tcPr>
            <w:tcW w:w="1114" w:type="dxa"/>
          </w:tcPr>
          <w:p w:rsidR="00D849AA" w:rsidRDefault="00EE6D95">
            <w:r>
              <w:lastRenderedPageBreak/>
              <w:t>Broj</w:t>
            </w:r>
          </w:p>
        </w:tc>
        <w:tc>
          <w:tcPr>
            <w:tcW w:w="1114" w:type="dxa"/>
          </w:tcPr>
          <w:p w:rsidR="00D849AA" w:rsidRDefault="00EE6D95">
            <w:r>
              <w:t>33</w:t>
            </w:r>
          </w:p>
        </w:tc>
        <w:tc>
          <w:tcPr>
            <w:tcW w:w="1486" w:type="dxa"/>
          </w:tcPr>
          <w:p w:rsidR="00D849AA" w:rsidRDefault="00EE6D95">
            <w:r>
              <w:t>35</w:t>
            </w:r>
          </w:p>
        </w:tc>
        <w:tc>
          <w:tcPr>
            <w:tcW w:w="1486" w:type="dxa"/>
          </w:tcPr>
          <w:p w:rsidR="00D849AA" w:rsidRDefault="00EE6D95">
            <w:r>
              <w:t>35</w:t>
            </w:r>
          </w:p>
        </w:tc>
        <w:tc>
          <w:tcPr>
            <w:tcW w:w="1486" w:type="dxa"/>
          </w:tcPr>
          <w:p w:rsidR="00D849AA" w:rsidRDefault="00EE6D95">
            <w:r>
              <w:t>35</w:t>
            </w:r>
          </w:p>
        </w:tc>
      </w:tr>
    </w:tbl>
    <w:p w:rsidR="00D849AA" w:rsidRDefault="00D849AA">
      <w:pPr>
        <w:jc w:val="left"/>
      </w:pPr>
    </w:p>
    <w:p w:rsidR="00D849AA" w:rsidRDefault="00EE6D95">
      <w:pPr>
        <w:pStyle w:val="Naslov5"/>
      </w:pPr>
      <w:r>
        <w:t>Procjena i ishodište potrebnih sredstava za značajnije aktivnosti/projekte</w:t>
      </w:r>
    </w:p>
    <w:p w:rsidR="00D849AA" w:rsidRDefault="00EE6D95">
      <w:pPr>
        <w:pStyle w:val="Naslov6"/>
      </w:pPr>
      <w:r>
        <w:t>A826001 ADMINISTRACIJA I UPRAVLJANJE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A826001</w:t>
            </w:r>
          </w:p>
        </w:tc>
        <w:tc>
          <w:tcPr>
            <w:tcW w:w="1486" w:type="dxa"/>
          </w:tcPr>
          <w:p w:rsidR="00D849AA" w:rsidRDefault="00EE6D95">
            <w:r>
              <w:t>2.949.049</w:t>
            </w:r>
          </w:p>
        </w:tc>
        <w:tc>
          <w:tcPr>
            <w:tcW w:w="1486" w:type="dxa"/>
          </w:tcPr>
          <w:p w:rsidR="00D849AA" w:rsidRDefault="00EE6D95">
            <w:r>
              <w:t>3.094.252</w:t>
            </w:r>
          </w:p>
        </w:tc>
        <w:tc>
          <w:tcPr>
            <w:tcW w:w="1486" w:type="dxa"/>
          </w:tcPr>
          <w:p w:rsidR="00D849AA" w:rsidRDefault="00EE6D95">
            <w:r>
              <w:t>3.179.140</w:t>
            </w:r>
          </w:p>
        </w:tc>
        <w:tc>
          <w:tcPr>
            <w:tcW w:w="1486" w:type="dxa"/>
          </w:tcPr>
          <w:p w:rsidR="00D849AA" w:rsidRDefault="00EE6D95">
            <w:r>
              <w:t>3.218.633</w:t>
            </w:r>
          </w:p>
        </w:tc>
        <w:tc>
          <w:tcPr>
            <w:tcW w:w="1486" w:type="dxa"/>
          </w:tcPr>
          <w:p w:rsidR="00D849AA" w:rsidRDefault="00EE6D95">
            <w:r>
              <w:t>104,9</w:t>
            </w:r>
          </w:p>
        </w:tc>
      </w:tr>
    </w:tbl>
    <w:p w:rsidR="00D849AA" w:rsidRDefault="00D849AA">
      <w:pPr>
        <w:jc w:val="left"/>
      </w:pPr>
    </w:p>
    <w:p w:rsidR="00D849AA" w:rsidRDefault="00EE6D95">
      <w:pPr>
        <w:pStyle w:val="Normal6"/>
      </w:pPr>
      <w:r>
        <w:t>Sredstva vezana za Administraciju i upravljanje u 2014. godini utrošit će se najvećim dijelom za plaće s obzirom na to da je  tijekom 2013. godine mijenjan Pravilnik o unutarnjem redu, a  sukladno kojem su u 2014. godini planirana nova radna mjesta. Također značajniji rashodi vežu se za usluge. Naime, kao rezultat kupnje programa uredskog poslovanja, u nadolazećim razdobljima povećavaju i troškovi vezani za održavanje istog.  Već početkom 2013. godine došlo je do poskupljenja energetskih troškova za poslovni prostor u kojem Ured obavlja svoju djelatnost i zbog kojeg će rashodi vazani za tu vrstu troškova biti dodatno povećani u 2014. godini. Značajnu stavku predstavljaju i  Intelektualne i osobne usluge koje omogućavaju plaćanje asistenata pravobraniteljice, a koja kao osoba s najtežim stupnjem invaliditeta mora imati pomoć pri obavljanju poslova u Uredu i izvan njega.</w:t>
      </w:r>
    </w:p>
    <w:p w:rsidR="00D849AA" w:rsidRDefault="00EE6D95">
      <w:pPr>
        <w:pStyle w:val="Naslov6"/>
      </w:pPr>
      <w:r>
        <w:t>K826002 OPREMANJE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K826002</w:t>
            </w:r>
          </w:p>
        </w:tc>
        <w:tc>
          <w:tcPr>
            <w:tcW w:w="1486" w:type="dxa"/>
          </w:tcPr>
          <w:p w:rsidR="00D849AA" w:rsidRDefault="00EE6D95">
            <w:r>
              <w:t>21.800</w:t>
            </w:r>
          </w:p>
        </w:tc>
        <w:tc>
          <w:tcPr>
            <w:tcW w:w="1486" w:type="dxa"/>
          </w:tcPr>
          <w:p w:rsidR="00D849AA" w:rsidRDefault="00EE6D95">
            <w:r>
              <w:t>49.000</w:t>
            </w:r>
          </w:p>
        </w:tc>
        <w:tc>
          <w:tcPr>
            <w:tcW w:w="1486" w:type="dxa"/>
          </w:tcPr>
          <w:p w:rsidR="00D849AA" w:rsidRDefault="00EE6D95">
            <w:r>
              <w:t>27.000</w:t>
            </w:r>
          </w:p>
        </w:tc>
        <w:tc>
          <w:tcPr>
            <w:tcW w:w="1486" w:type="dxa"/>
          </w:tcPr>
          <w:p w:rsidR="00D849AA" w:rsidRDefault="00EE6D95">
            <w:r>
              <w:t>27.000</w:t>
            </w:r>
          </w:p>
        </w:tc>
        <w:tc>
          <w:tcPr>
            <w:tcW w:w="1486" w:type="dxa"/>
          </w:tcPr>
          <w:p w:rsidR="00D849AA" w:rsidRDefault="00EE6D95">
            <w:r>
              <w:t>224,8</w:t>
            </w:r>
          </w:p>
        </w:tc>
      </w:tr>
    </w:tbl>
    <w:p w:rsidR="00D849AA" w:rsidRDefault="00D849AA">
      <w:pPr>
        <w:jc w:val="left"/>
      </w:pPr>
    </w:p>
    <w:p w:rsidR="00D849AA" w:rsidRDefault="00EE6D95">
      <w:pPr>
        <w:pStyle w:val="Normal6"/>
      </w:pPr>
      <w:r>
        <w:t>U 2014. godini  planirani rashodi na aktivnosti Opremanje odnose se u najvećem dijelu na kupnju licenci (koje su potrebne kako bi se unaprijedilo funkcioniranje informatičkog sustava u kojem Ured obavlja svoju djelatnost) i kupnju ostalih dijelova programa za uredsko poslovanje, kako bi stavili program u potpunosti u funkciju.Ostatak sredstava utrošit će se na kupnju uredske opreme.</w:t>
      </w:r>
    </w:p>
    <w:p w:rsidR="00D849AA" w:rsidRDefault="00EE6D95">
      <w:pPr>
        <w:pStyle w:val="Naslov1"/>
      </w:pPr>
      <w:r>
        <w:lastRenderedPageBreak/>
        <w:t>160 DRŽAVNI ZAVOD ZA STATISTIKU</w:t>
      </w:r>
    </w:p>
    <w:p w:rsidR="00D849AA" w:rsidRDefault="00EE6D95">
      <w:pPr>
        <w:pStyle w:val="Naslov4"/>
      </w:pPr>
      <w:r>
        <w:t>Uvod</w:t>
      </w:r>
    </w:p>
    <w:p w:rsidR="00D849AA" w:rsidRDefault="00EE6D95">
      <w:pPr>
        <w:pStyle w:val="Normal3"/>
      </w:pPr>
      <w:r>
        <w:t xml:space="preserve">Državni zavod za statistiku (u daljnjem tekstu: Zavod) je državna upravna organizacija, glavni nositelj, diseminator i koordinator sustava službene statistike Republike Hrvatske i glavni predstavnik nacionalnog statističkog sustava pred europskim i međunarodnim tijelima nadležnim za statistiku. </w:t>
      </w:r>
    </w:p>
    <w:p w:rsidR="00D849AA" w:rsidRDefault="00EE6D95">
      <w:pPr>
        <w:pStyle w:val="Normal3"/>
      </w:pPr>
      <w:r>
        <w:t>Službena statistika je neophodan element javnog informacijskog sustava društva potreban za funkcioniranje demokratskog društva kao i temelj za donošenje odluka od strane mjerodavnih tijela. Službena statistika pruža, na nepristranoj osnovi, državi, gospodarstvu i javnosti podatke o gospodarskom, demografskom, socijalnom i ekološkom stanju, djelatnostima ili događajima koji se mogu mjeriti statističkim metodama, te osigurava ispunjavanje međunarodnih obveza Republike Hrvatske koje se odnose na razmjenu statističkih podataka s drugim državama i međunarodnim organizacijama. Svrha službene statistike je proizvodnja i diseminacija reprezentativnih i mjerodavnih statističkih podataka u skladu s temeljnim načelima službene statistike. Pri Zavodu je ustrojen Statistički savjet kao savjetodavno i stručno tijelo za strategijska pitanja službene statistike, te osiguranja utjecaja korisnika, znanosti i šire javnosti na Program statističkih aktivnosti Republike Hrvatske.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16005 Državni zavod za statistiku</w:t>
            </w:r>
          </w:p>
        </w:tc>
        <w:tc>
          <w:tcPr>
            <w:tcW w:w="1486" w:type="dxa"/>
          </w:tcPr>
          <w:p w:rsidR="00D849AA" w:rsidRDefault="00EE6D95">
            <w:r>
              <w:t>98.763.134</w:t>
            </w:r>
          </w:p>
        </w:tc>
        <w:tc>
          <w:tcPr>
            <w:tcW w:w="1486" w:type="dxa"/>
          </w:tcPr>
          <w:p w:rsidR="00D849AA" w:rsidRDefault="00EE6D95">
            <w:r>
              <w:t>107.780.090</w:t>
            </w:r>
          </w:p>
        </w:tc>
        <w:tc>
          <w:tcPr>
            <w:tcW w:w="1486" w:type="dxa"/>
          </w:tcPr>
          <w:p w:rsidR="00D849AA" w:rsidRDefault="00EE6D95">
            <w:r>
              <w:t>106.425.397</w:t>
            </w:r>
          </w:p>
        </w:tc>
        <w:tc>
          <w:tcPr>
            <w:tcW w:w="1486" w:type="dxa"/>
          </w:tcPr>
          <w:p w:rsidR="00D849AA" w:rsidRDefault="00EE6D95">
            <w:r>
              <w:t>100.567.607</w:t>
            </w:r>
          </w:p>
        </w:tc>
        <w:tc>
          <w:tcPr>
            <w:tcW w:w="1486" w:type="dxa"/>
          </w:tcPr>
          <w:p w:rsidR="00D849AA" w:rsidRDefault="00EE6D95">
            <w:r>
              <w:t>109,1</w:t>
            </w:r>
          </w:p>
        </w:tc>
      </w:tr>
      <w:tr w:rsidR="00D849AA">
        <w:trPr>
          <w:jc w:val="center"/>
        </w:trPr>
        <w:tc>
          <w:tcPr>
            <w:tcW w:w="1486" w:type="dxa"/>
            <w:shd w:val="clear" w:color="auto" w:fill="B5C0D8"/>
          </w:tcPr>
          <w:p w:rsidR="00D849AA" w:rsidRDefault="00EE6D95">
            <w:pPr>
              <w:pStyle w:val="CellColumn"/>
            </w:pPr>
            <w:r>
              <w:t>Ukupno 160</w:t>
            </w:r>
          </w:p>
        </w:tc>
        <w:tc>
          <w:tcPr>
            <w:tcW w:w="1486" w:type="dxa"/>
            <w:shd w:val="clear" w:color="auto" w:fill="B5C0D8"/>
          </w:tcPr>
          <w:p w:rsidR="00D849AA" w:rsidRDefault="00EE6D95">
            <w:r>
              <w:t>98.763.134</w:t>
            </w:r>
          </w:p>
        </w:tc>
        <w:tc>
          <w:tcPr>
            <w:tcW w:w="1486" w:type="dxa"/>
            <w:shd w:val="clear" w:color="auto" w:fill="B5C0D8"/>
          </w:tcPr>
          <w:p w:rsidR="00D849AA" w:rsidRDefault="00EE6D95">
            <w:r>
              <w:t>107.780.090</w:t>
            </w:r>
          </w:p>
        </w:tc>
        <w:tc>
          <w:tcPr>
            <w:tcW w:w="1486" w:type="dxa"/>
            <w:shd w:val="clear" w:color="auto" w:fill="B5C0D8"/>
          </w:tcPr>
          <w:p w:rsidR="00D849AA" w:rsidRDefault="00EE6D95">
            <w:r>
              <w:t>106.425.397</w:t>
            </w:r>
          </w:p>
        </w:tc>
        <w:tc>
          <w:tcPr>
            <w:tcW w:w="1486" w:type="dxa"/>
            <w:shd w:val="clear" w:color="auto" w:fill="B5C0D8"/>
          </w:tcPr>
          <w:p w:rsidR="00D849AA" w:rsidRDefault="00EE6D95">
            <w:r>
              <w:t>100.567.607</w:t>
            </w:r>
          </w:p>
        </w:tc>
        <w:tc>
          <w:tcPr>
            <w:tcW w:w="1486" w:type="dxa"/>
            <w:shd w:val="clear" w:color="auto" w:fill="B5C0D8"/>
          </w:tcPr>
          <w:p w:rsidR="00D849AA" w:rsidRDefault="00EE6D95">
            <w:r>
              <w:t>109,1</w:t>
            </w:r>
          </w:p>
        </w:tc>
      </w:tr>
    </w:tbl>
    <w:p w:rsidR="00D849AA" w:rsidRDefault="00D849AA">
      <w:pPr>
        <w:jc w:val="left"/>
      </w:pPr>
    </w:p>
    <w:p w:rsidR="00D849AA" w:rsidRDefault="00EE6D95">
      <w:pPr>
        <w:pStyle w:val="Naslov2"/>
      </w:pPr>
      <w:r>
        <w:t>16005 Državni zavod za statistiku</w:t>
      </w:r>
    </w:p>
    <w:p w:rsidR="00D849AA" w:rsidRDefault="00EE6D95">
      <w:pPr>
        <w:pStyle w:val="Naslov4"/>
      </w:pPr>
      <w:r>
        <w:t>Uvod</w:t>
      </w:r>
    </w:p>
    <w:p w:rsidR="00D849AA" w:rsidRDefault="00EE6D95">
      <w:pPr>
        <w:pStyle w:val="Normal3"/>
      </w:pPr>
      <w:r>
        <w:t xml:space="preserve">Zavod obavlja poslove službene statistike na temelju Zakona o službenoj statistici, prijedloga Programa statističkih aktivnosti Republike Hrvatske 2013.-2017. i godišnjih provedbenih planova statističkih aktivnosti RH. </w:t>
      </w:r>
    </w:p>
    <w:p w:rsidR="00D849AA" w:rsidRDefault="00EE6D95">
      <w:pPr>
        <w:pStyle w:val="Normal3"/>
      </w:pPr>
      <w:r>
        <w:t>Zavod ulaže velike napore radi unapređenja uspješnosti poslovanja i nastoji stvoriti što je moguće svestraniji program kako bi zadovoljio potrebe usporedivosti s europskim standardima i zahtjeve korisnika. Ulaskom Hrvatske u Europsku uniju, osim nacionalnih razvojnih ciljeva, Republika Hrvatska ulaže napore i u ostvarenje zajedničkih strateških ciljeva Europske unije, što je dodatni izazov u smislu kvalitete i strukturnih obilježja statističkih podataka. Zavod će nadalje kontinuirano provoditi usklađivanje sa zahtjevima statističkog sustava Europske unije u pogledu brojnosti statističkih pokazatelja, rokova objavljivanja i primijenjene metodologije.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16005</w:t>
            </w:r>
          </w:p>
        </w:tc>
        <w:tc>
          <w:tcPr>
            <w:tcW w:w="1486" w:type="dxa"/>
          </w:tcPr>
          <w:p w:rsidR="00D849AA" w:rsidRDefault="00EE6D95">
            <w:r>
              <w:t>98.763.134</w:t>
            </w:r>
          </w:p>
        </w:tc>
        <w:tc>
          <w:tcPr>
            <w:tcW w:w="1486" w:type="dxa"/>
          </w:tcPr>
          <w:p w:rsidR="00D849AA" w:rsidRDefault="00EE6D95">
            <w:r>
              <w:t>107.780.090</w:t>
            </w:r>
          </w:p>
        </w:tc>
        <w:tc>
          <w:tcPr>
            <w:tcW w:w="1486" w:type="dxa"/>
          </w:tcPr>
          <w:p w:rsidR="00D849AA" w:rsidRDefault="00EE6D95">
            <w:r>
              <w:t>106.425.397</w:t>
            </w:r>
          </w:p>
        </w:tc>
        <w:tc>
          <w:tcPr>
            <w:tcW w:w="1486" w:type="dxa"/>
          </w:tcPr>
          <w:p w:rsidR="00D849AA" w:rsidRDefault="00EE6D95">
            <w:r>
              <w:t>100.567.607</w:t>
            </w:r>
          </w:p>
        </w:tc>
        <w:tc>
          <w:tcPr>
            <w:tcW w:w="1486" w:type="dxa"/>
          </w:tcPr>
          <w:p w:rsidR="00D849AA" w:rsidRDefault="00EE6D95">
            <w:r>
              <w:t>109,1</w:t>
            </w:r>
          </w:p>
        </w:tc>
      </w:tr>
    </w:tbl>
    <w:p w:rsidR="00D849AA" w:rsidRDefault="00D849AA">
      <w:pPr>
        <w:jc w:val="left"/>
      </w:pPr>
    </w:p>
    <w:p w:rsidR="00D849AA" w:rsidRDefault="00EE6D95">
      <w:pPr>
        <w:pStyle w:val="Naslov4"/>
      </w:pPr>
      <w:r>
        <w:lastRenderedPageBreak/>
        <w:t>OBRAZLOŽENJE PROGRAMA</w:t>
      </w:r>
    </w:p>
    <w:p w:rsidR="00D849AA" w:rsidRDefault="00EE6D95">
      <w:pPr>
        <w:pStyle w:val="Naslov5"/>
      </w:pPr>
      <w:r>
        <w:t>2405 STATISTIČKE USLUGE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2405</w:t>
            </w:r>
          </w:p>
        </w:tc>
        <w:tc>
          <w:tcPr>
            <w:tcW w:w="1486" w:type="dxa"/>
          </w:tcPr>
          <w:p w:rsidR="00D849AA" w:rsidRDefault="00EE6D95">
            <w:r>
              <w:t>98.763.134</w:t>
            </w:r>
          </w:p>
        </w:tc>
        <w:tc>
          <w:tcPr>
            <w:tcW w:w="1486" w:type="dxa"/>
          </w:tcPr>
          <w:p w:rsidR="00D849AA" w:rsidRDefault="00EE6D95">
            <w:r>
              <w:t>107.780.090</w:t>
            </w:r>
          </w:p>
        </w:tc>
        <w:tc>
          <w:tcPr>
            <w:tcW w:w="1486" w:type="dxa"/>
          </w:tcPr>
          <w:p w:rsidR="00D849AA" w:rsidRDefault="00EE6D95">
            <w:r>
              <w:t>106.425.397</w:t>
            </w:r>
          </w:p>
        </w:tc>
        <w:tc>
          <w:tcPr>
            <w:tcW w:w="1486" w:type="dxa"/>
          </w:tcPr>
          <w:p w:rsidR="00D849AA" w:rsidRDefault="00EE6D95">
            <w:r>
              <w:t>100.567.607</w:t>
            </w:r>
          </w:p>
        </w:tc>
        <w:tc>
          <w:tcPr>
            <w:tcW w:w="1486" w:type="dxa"/>
          </w:tcPr>
          <w:p w:rsidR="00D849AA" w:rsidRDefault="00EE6D95">
            <w:r>
              <w:t>109,1</w:t>
            </w:r>
          </w:p>
        </w:tc>
      </w:tr>
    </w:tbl>
    <w:p w:rsidR="00D849AA" w:rsidRDefault="00D849AA">
      <w:pPr>
        <w:jc w:val="left"/>
      </w:pPr>
    </w:p>
    <w:p w:rsidR="00D849AA" w:rsidRDefault="00EE6D95">
      <w:pPr>
        <w:pStyle w:val="Naslov6"/>
      </w:pPr>
      <w:r>
        <w:t>Opis programa</w:t>
      </w:r>
    </w:p>
    <w:p w:rsidR="00D849AA" w:rsidRDefault="00EE6D95">
      <w:pPr>
        <w:pStyle w:val="Normal5"/>
      </w:pPr>
      <w:r>
        <w:t xml:space="preserve">Program 2405-Statističke usluge obuhvaća 20 Aktivnosti/Kapitalnih projekata i 8 EU projekata. </w:t>
      </w:r>
    </w:p>
    <w:p w:rsidR="00D849AA" w:rsidRDefault="00EE6D95">
      <w:pPr>
        <w:pStyle w:val="Normal5"/>
      </w:pPr>
      <w:r>
        <w:t xml:space="preserve">Temeljna statistička načela na osnovi kojih se razvija, proizvodi i diseminira službena statistika Republike Hrvatske definirana su Zakonom o službenoj statistici i ona su: stručna neovisnost, nepristranost, objektivnost, pouzdanost, statistička povjerljivost i isplativost. Dosljednom primjenom temeljnih načela službene statistike povećat će se kvaliteta statističkih podataka i usklađenost hrvatskog statističkog sustava s europskim zahtjevima. </w:t>
      </w:r>
    </w:p>
    <w:p w:rsidR="00D849AA" w:rsidRDefault="00EE6D95">
      <w:pPr>
        <w:pStyle w:val="Normal5"/>
      </w:pPr>
      <w:r>
        <w:t xml:space="preserve">Osim temeljnih statističkih načela u razvoju proizvodnje i diseminacije službene statistike potrebno je primjenjivati i načela iz Kodeksa prakse europske statistike koja se odnose na institucionalno okruženje, statističke proizvodne procese i statističke rezultate te kriterije kvalitete definirane Zakonom o službenoj statistici usklađeno s Uredbom o europskoj statistici 223/2009. </w:t>
      </w:r>
    </w:p>
    <w:p w:rsidR="00D849AA" w:rsidRDefault="00EE6D95">
      <w:pPr>
        <w:pStyle w:val="Normal5"/>
      </w:pPr>
      <w:r>
        <w:t xml:space="preserve">Glavne zadaće, određene pravnim okvirom hrvatskoga statističkog sustava, jesu: </w:t>
      </w:r>
    </w:p>
    <w:p w:rsidR="00D849AA" w:rsidRDefault="00EE6D95">
      <w:pPr>
        <w:pStyle w:val="Normal5"/>
      </w:pPr>
      <w:r>
        <w:t xml:space="preserve">- Prikupljanje, obrada i diseminacija statističkih podataka </w:t>
      </w:r>
    </w:p>
    <w:p w:rsidR="00D849AA" w:rsidRDefault="00EE6D95">
      <w:pPr>
        <w:pStyle w:val="Normal5"/>
      </w:pPr>
      <w:r>
        <w:t xml:space="preserve">Primarna zadaća je prikupljanje i obrada statističkih podataka te izrada i diseminacija statističkih pokazatelja o društvenom i gospodarskom stanju i kretanjima u Republici Hrvatskoj, uključujući pripreme za početak izrade analitičkih komentara i projekcija za javnu uporabu. </w:t>
      </w:r>
    </w:p>
    <w:p w:rsidR="00D849AA" w:rsidRDefault="00EE6D95">
      <w:pPr>
        <w:pStyle w:val="Normal5"/>
      </w:pPr>
      <w:r>
        <w:t xml:space="preserve">- Čuvanje stručne neovisnosti  hrvatskoga statističkog sustava </w:t>
      </w:r>
    </w:p>
    <w:p w:rsidR="00D849AA" w:rsidRDefault="00EE6D95">
      <w:pPr>
        <w:pStyle w:val="Normal5"/>
      </w:pPr>
      <w:r>
        <w:t xml:space="preserve">Pojam stručne neovisnosti podrazumijeva potpunu samostalnost u stručnim pitanjima kako bi se osigurao potpuno ravnopravan položaj svih sudionika u hrvatskome statističkom sustavu. To se odnosi i na nositelje statističkih aktivnosti i na davatelje podataka i na korisnike. </w:t>
      </w:r>
    </w:p>
    <w:p w:rsidR="00D849AA" w:rsidRDefault="00EE6D95">
      <w:pPr>
        <w:pStyle w:val="Normal5"/>
      </w:pPr>
      <w:r>
        <w:t xml:space="preserve">- Povećanje povjerenja javnosti u službenu statistiku </w:t>
      </w:r>
    </w:p>
    <w:p w:rsidR="00D849AA" w:rsidRDefault="00EE6D95">
      <w:pPr>
        <w:pStyle w:val="Normal5"/>
      </w:pPr>
      <w:r>
        <w:t xml:space="preserve">Za relevantnost podataka statističkog sustava bitno je da javnost percipira, razumije i ima pozitivno iskustvo s načinom na koji nositelji službene statistike štite povjerljivost prikupljenih podataka, s brigom o kvaliteti i pravovremenosti objavljivanja statističkih podataka te o razumljivosti i dostupnosti metodoloških obrazloženja. Iz povećanog povjerenja u službenu statistiku povećava se i spremnost izvještajnih jedinica da točnije opišu mjerene pojave, na osnovi čega raste i kvaliteta tih podataka. </w:t>
      </w:r>
    </w:p>
    <w:p w:rsidR="00D849AA" w:rsidRDefault="00EE6D95">
      <w:pPr>
        <w:pStyle w:val="Normal5"/>
      </w:pPr>
      <w:r>
        <w:t xml:space="preserve">- Međunarodna suradnja </w:t>
      </w:r>
    </w:p>
    <w:p w:rsidR="00D849AA" w:rsidRDefault="00EE6D95">
      <w:pPr>
        <w:pStyle w:val="Normal5"/>
      </w:pPr>
      <w:r>
        <w:t xml:space="preserve">Poseban naglasak je na suradnji s članicama EU, u okvirima procesa europskih integracija, te na suradnji s međunarodnim organizacijama poput UN-a, Svjetske banke, Međunarodnoga monetarnog fonda i Svjetske zdravstvene organizacije. Svrha suradnje s međunarodnim organizacijama odnosno bilateralne suradnje s pojedinim zemljama jest udovoljavanje međunarodnim obvezama Republike Hrvatske, ali i komplementarno podupiranje razvoja </w:t>
      </w:r>
      <w:r>
        <w:lastRenderedPageBreak/>
        <w:t>hrvatskoga statističkog sustava, koji takvom harmonizacijom osigurava međunarodnu usporedivost statističkih podataka.</w:t>
      </w:r>
    </w:p>
    <w:p w:rsidR="00D849AA" w:rsidRDefault="00EE6D95">
      <w:pPr>
        <w:pStyle w:val="Naslov6"/>
      </w:pPr>
      <w:r>
        <w:t>Zakonske i druge pravne osnove</w:t>
      </w:r>
    </w:p>
    <w:p w:rsidR="00D849AA" w:rsidRDefault="00EE6D95">
      <w:pPr>
        <w:pStyle w:val="Normal5"/>
      </w:pPr>
      <w:r>
        <w:t xml:space="preserve">- Zakon o službenoj statistici (NN, br.103/03., 75/09. i 59/12.) </w:t>
      </w:r>
    </w:p>
    <w:p w:rsidR="00D849AA" w:rsidRDefault="00EE6D95">
      <w:pPr>
        <w:pStyle w:val="Normal5"/>
      </w:pPr>
      <w:r>
        <w:t xml:space="preserve">- Zakon o popisu stanovništva, kućanstava i stanova u Republici Hrvatskoj 2011. (NN,  br.92/10.)  </w:t>
      </w:r>
    </w:p>
    <w:p w:rsidR="00D849AA" w:rsidRDefault="00EE6D95">
      <w:pPr>
        <w:pStyle w:val="Normal5"/>
      </w:pPr>
      <w:r>
        <w:t xml:space="preserve">- Strateški dokumenti službene statistike Republike Hrvatske i operativni godišnji planovi statističkih aktivnosti Republike Hrvatske  </w:t>
      </w:r>
    </w:p>
    <w:p w:rsidR="00D849AA" w:rsidRDefault="00EE6D95">
      <w:pPr>
        <w:pStyle w:val="Normal5"/>
      </w:pPr>
      <w:r>
        <w:t xml:space="preserve">- Operativni plan provedbe Programa e-Hrvatska za odgovarajuće godine </w:t>
      </w:r>
    </w:p>
    <w:p w:rsidR="00D849AA" w:rsidRDefault="00EE6D95">
      <w:pPr>
        <w:pStyle w:val="Normal5"/>
      </w:pPr>
      <w:r>
        <w:t>- Strateški plan Državnog zavoda za statistiku za razdoblje 2014.-2016.</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Cilj 1. Učinkovita organizacija hrvatskog sustava službene statistike</w:t>
      </w:r>
    </w:p>
    <w:p w:rsidR="00D849AA" w:rsidRDefault="00EE6D95">
      <w:pPr>
        <w:pStyle w:val="Normal6"/>
      </w:pPr>
      <w:r>
        <w:t xml:space="preserve">Razvoj sustava službene statistike složen je proces koji zahtijeva stalnu suradnju s korisnicima, davateljima podataka i drugim nositeljima službene statistike te izvještajnim jedinicama, uz sustavno praćenje i primjenjivanje međunarodnih standarda. Održivost i razvoj sustava službene statistike Republike Hrvatske postiže se pravodobnim i kontinuiranim osiguravanjem i razvojem ljudskih potencijala putem kontinuirane izobrazbe, uspostavljanja pozitivne organizacijske kulture te unapređenja organizacije rada postizanjem razvoja, proizvodnje i diseminacije službene statistike u skladu s korisničkim potrebama i zahtjevima. Polazeći od načela financijske racionalnosti, poštovat će se ograničenja vezana za raspoloživost financijskih izvora osiguranih u državnom proračunu RH kako bi se u skladu s mogućnostima uvodila nova statistička istraživanja. </w:t>
      </w:r>
    </w:p>
    <w:p w:rsidR="00D849AA" w:rsidRDefault="00EE6D95">
      <w:pPr>
        <w:pStyle w:val="Normal6"/>
      </w:pPr>
      <w:r>
        <w:t xml:space="preserve">Zavod je glavni nositelj, diseminator i koordinator sustava službene statistike RH i glavni predstavnik nacionalnoga statističkog sustava pred europskim i međunarodnim tijelima nadležnima za statistiku. </w:t>
      </w:r>
    </w:p>
    <w:p w:rsidR="00D849AA" w:rsidRDefault="00EE6D95">
      <w:pPr>
        <w:pStyle w:val="Normal6"/>
      </w:pPr>
      <w:r>
        <w:t xml:space="preserve">Koordinacijska uloga Zavoda pravno je regulirana Zakonom o službenoj statistici, a ostvaruje se izradom strateških dokumenata službene statistike u suradnji s drugim nositeljima službene statistike, radom Statističkog savjeta RH te suradnjom i razmjenom podataka s posjednicima administrativnih izvora podataka. U sljedećem trogodišnjem razdoblju namjera je povećati udio statističkih istraživanja koja se temelje na administrativnim izvorima. </w:t>
      </w:r>
    </w:p>
    <w:p w:rsidR="00D849AA" w:rsidRDefault="00EE6D95">
      <w:pPr>
        <w:pStyle w:val="Normal6"/>
      </w:pPr>
      <w:r>
        <w:t xml:space="preserve">Povećanje učinkovitosti provedbe statističkih istraživanja postići će se ustrojavanjem i uporabom statističkih i administrativnih registara te unapređenjem svih faza provedbe: prikupljanja, obrade i diseminacije podataka službene statistike. Nužno je sustav prikupljanja, obrade i objave podataka temeljiti na najboljim praksama koje primjenjuju najrazvijeniji statistički sustavi EU te uvoditi tehnološka unapređenja koja će pojednostaviti zahtjeve prema izvještajnim jedinicama te povećavati fleksibilnost statističkog sustava i njegovu prilagodbu novim zahtjevima vodeći računa o tome da se ne povećava opterećenje za izvještajne jedinice. Uvođenjem novih tehnologija omogućuje se pristup korisnika širem skupu podataka na jednostavan i troškovno učinkovit način vodeći računa o razvitku tehnologija kojima se štiti povjerljivost podataka. </w:t>
      </w:r>
    </w:p>
    <w:p w:rsidR="00D849AA" w:rsidRDefault="00EE6D95">
      <w:pPr>
        <w:pStyle w:val="Normal6"/>
      </w:pPr>
      <w:r>
        <w:t xml:space="preserve">Za održivost i razvoj sustava službene statistike nužno je pravodobno i kontinuirano osiguravanje i razvoj ljudskih potencijala u smjeru povećanja stručnih znanja, vještina i sposobnosti u obavljanju poslova i zadataka iz djelokruga DZS-a. Osim toga, daljnjim znanstvenim i stručnim osposobljavanjem zaposlenika osigurat će se potrebna struktura </w:t>
      </w:r>
      <w:r>
        <w:lastRenderedPageBreak/>
        <w:t>kompetentna ne samo za operativno izvršavanje ustaljenih poslova i zadataka nego i za unapređenje i razvoj postojećih i novih statističkih područja i istraživanja.</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Smanjenjem opterećenosti davatelja podataka i statistike povećat će se zadovoljstvo svih sudionika u provedbi istraživanja</w:t>
            </w:r>
          </w:p>
        </w:tc>
        <w:tc>
          <w:tcPr>
            <w:tcW w:w="1114" w:type="dxa"/>
          </w:tcPr>
          <w:p w:rsidR="00D849AA" w:rsidRDefault="00EE6D95">
            <w:r>
              <w:t>%</w:t>
            </w:r>
          </w:p>
        </w:tc>
        <w:tc>
          <w:tcPr>
            <w:tcW w:w="1114" w:type="dxa"/>
          </w:tcPr>
          <w:p w:rsidR="00D849AA" w:rsidRDefault="00EE6D95">
            <w:r>
              <w:t>25</w:t>
            </w:r>
          </w:p>
        </w:tc>
        <w:tc>
          <w:tcPr>
            <w:tcW w:w="1486" w:type="dxa"/>
          </w:tcPr>
          <w:p w:rsidR="00D849AA" w:rsidRDefault="00EE6D95">
            <w:r>
              <w:t>30</w:t>
            </w:r>
          </w:p>
        </w:tc>
        <w:tc>
          <w:tcPr>
            <w:tcW w:w="1486" w:type="dxa"/>
          </w:tcPr>
          <w:p w:rsidR="00D849AA" w:rsidRDefault="00EE6D95">
            <w:r>
              <w:t>35</w:t>
            </w:r>
          </w:p>
        </w:tc>
        <w:tc>
          <w:tcPr>
            <w:tcW w:w="1486" w:type="dxa"/>
          </w:tcPr>
          <w:p w:rsidR="00D849AA" w:rsidRDefault="00EE6D95">
            <w:r>
              <w:t>40</w:t>
            </w:r>
          </w:p>
        </w:tc>
      </w:tr>
    </w:tbl>
    <w:p w:rsidR="00D849AA" w:rsidRDefault="00D849AA">
      <w:pPr>
        <w:jc w:val="left"/>
      </w:pPr>
    </w:p>
    <w:p w:rsidR="00D849AA" w:rsidRDefault="00EE6D95">
      <w:pPr>
        <w:pStyle w:val="Naslov7"/>
      </w:pPr>
      <w:r>
        <w:t>Cilj 2. Unaprijediti diseminaciju i kvalitetu odnosa s korisnicima</w:t>
      </w:r>
    </w:p>
    <w:p w:rsidR="00D849AA" w:rsidRDefault="00EE6D95">
      <w:pPr>
        <w:pStyle w:val="Normal6"/>
      </w:pPr>
      <w:r>
        <w:t xml:space="preserve">Jedna od dužnosti  Zavoda jest učinkovita i pravodobna priprema i diseminacija kvalitetnih statističkih pokazatelja koji korisnicima osiguravaju pouzdan izvor za donošenje odluka i usklađivanje svojih stavova na temelju činjenica. Dosad je naglasak bio na harmonizaciji proizvodnje službene statistike sa standardima EU-a, koja je u velikoj mjeri ispunjena te su se time stvorili preduvjeti za stavljanje fokusa na unapređenje diseminacije i kvalitete odnosa s korisnicima. </w:t>
      </w:r>
    </w:p>
    <w:p w:rsidR="00D849AA" w:rsidRDefault="00EE6D95">
      <w:pPr>
        <w:pStyle w:val="Normal6"/>
      </w:pPr>
      <w:r>
        <w:t xml:space="preserve">Budući da su potrebe korisnika najvažnije za daljnji razvoj sustava, rad mora biti usmjeren na zadovoljavanje tih potreba, što se ostvaruje zajedničkim dogovorom korisnika i nositelja službene statistike te izgradnjom odnosa s korisnicima. </w:t>
      </w:r>
    </w:p>
    <w:p w:rsidR="00D849AA" w:rsidRDefault="00EE6D95">
      <w:pPr>
        <w:pStyle w:val="Normal6"/>
      </w:pPr>
      <w:r>
        <w:t>Unapređenje diseminacije i kvalitete odnosa s korisnicima obuhvaća široki spektar mogućnosti koje se koriste u zemljama EU-a. Kako bi se u doglednoj budućnosti približili dobroj praksi zemalja EU-a, potrebno je stvoriti dobre temelje s mogućnošću sustavne nadogradnje. Načini ostvarenja ovoga cilja za navedeno razdoblje obuhvaćaju razvoj sustava praćenja upotrebe službene statistike provedbom istraživanja i praćenjem dobivenih rezultata. Tako će se osigurati podaci o obilježjima korisnika, intenzitetu/učestalosti korištenja pojedinih statistika, kvaliteti usluga koje se pružaju korisnicima te njihovu zadovoljstvu tim uslugama. Kvalitetan odnos s korisnicima izgradit će se i njihovom edukacijom, čime će se povećati njihov broj, reorganizacijom internetskih stranica poboljšati imidž Zavoda.  Ispunjavanjem navedenog cilja stvorit će se preduvjeti za kapitalne projekte u budućnosti, poput provedbe Sustava za upravljanje odnosima s korisnicima (CRM), radi zadržavanja kvalitetnih odnosa s korisnicima.</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Porast indeksa zadovoljstva korisnika</w:t>
            </w:r>
          </w:p>
        </w:tc>
        <w:tc>
          <w:tcPr>
            <w:tcW w:w="1114" w:type="dxa"/>
          </w:tcPr>
          <w:p w:rsidR="00D849AA" w:rsidRDefault="00EE6D95">
            <w:r>
              <w:t>%</w:t>
            </w:r>
          </w:p>
        </w:tc>
        <w:tc>
          <w:tcPr>
            <w:tcW w:w="1114" w:type="dxa"/>
          </w:tcPr>
          <w:p w:rsidR="00D849AA" w:rsidRDefault="00EE6D95">
            <w:r>
              <w:t>15</w:t>
            </w:r>
          </w:p>
        </w:tc>
        <w:tc>
          <w:tcPr>
            <w:tcW w:w="1486" w:type="dxa"/>
          </w:tcPr>
          <w:p w:rsidR="00D849AA" w:rsidRDefault="00EE6D95">
            <w:r>
              <w:t>20</w:t>
            </w:r>
          </w:p>
        </w:tc>
        <w:tc>
          <w:tcPr>
            <w:tcW w:w="1486" w:type="dxa"/>
          </w:tcPr>
          <w:p w:rsidR="00D849AA" w:rsidRDefault="00EE6D95">
            <w:r>
              <w:t>25</w:t>
            </w:r>
          </w:p>
        </w:tc>
        <w:tc>
          <w:tcPr>
            <w:tcW w:w="1486" w:type="dxa"/>
          </w:tcPr>
          <w:p w:rsidR="00D849AA" w:rsidRDefault="00EE6D95">
            <w:r>
              <w:t>30</w:t>
            </w:r>
          </w:p>
        </w:tc>
      </w:tr>
    </w:tbl>
    <w:p w:rsidR="00D849AA" w:rsidRDefault="00D849AA">
      <w:pPr>
        <w:jc w:val="left"/>
      </w:pPr>
    </w:p>
    <w:p w:rsidR="00D849AA" w:rsidRDefault="00EE6D95">
      <w:pPr>
        <w:pStyle w:val="Naslov5"/>
      </w:pPr>
      <w:r>
        <w:lastRenderedPageBreak/>
        <w:t>Procjena i ishodište potrebnih sredstava za značajnije aktivnosti/projekte</w:t>
      </w:r>
    </w:p>
    <w:p w:rsidR="00D849AA" w:rsidRDefault="00EE6D95">
      <w:pPr>
        <w:pStyle w:val="Naslov6"/>
      </w:pPr>
      <w:r>
        <w:t>A658038 ADMINISTRACIJA I UPRAVLJANJE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A658038</w:t>
            </w:r>
          </w:p>
        </w:tc>
        <w:tc>
          <w:tcPr>
            <w:tcW w:w="1486" w:type="dxa"/>
          </w:tcPr>
          <w:p w:rsidR="00D849AA" w:rsidRDefault="00EE6D95">
            <w:r>
              <w:t>67.057.322</w:t>
            </w:r>
          </w:p>
        </w:tc>
        <w:tc>
          <w:tcPr>
            <w:tcW w:w="1486" w:type="dxa"/>
          </w:tcPr>
          <w:p w:rsidR="00D849AA" w:rsidRDefault="00EE6D95">
            <w:r>
              <w:t>69.259.475</w:t>
            </w:r>
          </w:p>
        </w:tc>
        <w:tc>
          <w:tcPr>
            <w:tcW w:w="1486" w:type="dxa"/>
          </w:tcPr>
          <w:p w:rsidR="00D849AA" w:rsidRDefault="00EE6D95">
            <w:r>
              <w:t>71.054.480</w:t>
            </w:r>
          </w:p>
        </w:tc>
        <w:tc>
          <w:tcPr>
            <w:tcW w:w="1486" w:type="dxa"/>
          </w:tcPr>
          <w:p w:rsidR="00D849AA" w:rsidRDefault="00EE6D95">
            <w:r>
              <w:t>73.811.371</w:t>
            </w:r>
          </w:p>
        </w:tc>
        <w:tc>
          <w:tcPr>
            <w:tcW w:w="1486" w:type="dxa"/>
          </w:tcPr>
          <w:p w:rsidR="00D849AA" w:rsidRDefault="00EE6D95">
            <w:r>
              <w:t>103,3</w:t>
            </w:r>
          </w:p>
        </w:tc>
      </w:tr>
    </w:tbl>
    <w:p w:rsidR="00D849AA" w:rsidRDefault="00D849AA">
      <w:pPr>
        <w:jc w:val="left"/>
      </w:pPr>
    </w:p>
    <w:p w:rsidR="00D849AA" w:rsidRDefault="00EE6D95">
      <w:pPr>
        <w:pStyle w:val="Normal6"/>
      </w:pPr>
      <w:r>
        <w:t xml:space="preserve">Administracija i upravljanje osigurava obavljanje funkcionalne djelatnosti Zavoda u cilju harmonizacije statističkog sustava RH s pravnom stečevinom EU, obavljanje poslovanja na pravilan, ekonomičan, učinkovit i djelotvoran način, usklađenost poslovanja sa zakonima, propisima i planovima, zaštita imovine i drugih resursa, pravodobno financijsko izvješćivanje i praćenje rezultata poslovanja. U okviru navedene aktivnosti planirani su rashodi za plaće, doprinose na plaću i ostali rashodi za sve zaposlene u skladu sa unutarnjim ustrojstvom Zavoda, materijalni rashodi potrebni za uredno i redovno obavljanje poslova i zadataka prema programu statističkih istraživanja RH i rashodi za nabavu neproizvedene i proizvedene dugotrajne imovine. </w:t>
      </w:r>
    </w:p>
    <w:p w:rsidR="00D849AA" w:rsidRDefault="00EE6D95">
      <w:pPr>
        <w:pStyle w:val="Normal6"/>
      </w:pPr>
      <w:r>
        <w:t>Za provođenje ove aktivnosti u 2014. godini potrebno je osigurati 69.259.475 kuna. Od ukupnog iznosa na ovoj aktivnosti udio rashoda za zaposlene iznosi 81% odnosno 55.897.122 kn. Povećanje ukupnog planiranog iznosa na aktivnosti u odnosu na 2013. godinu najvećim dijelom proizlazi iz rashoda za osobe na stručnom osposobljavanju bez zasnivanja radnog odnosa, koji nisu bili planirani u 2013. godini.</w:t>
      </w:r>
    </w:p>
    <w:p w:rsidR="00D849AA" w:rsidRDefault="00EE6D95">
      <w:pPr>
        <w:pStyle w:val="Naslov6"/>
      </w:pPr>
      <w:r>
        <w:t>A658063 PROCJENA BILJNE PROIZVODNJE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A658063</w:t>
            </w:r>
          </w:p>
        </w:tc>
        <w:tc>
          <w:tcPr>
            <w:tcW w:w="1486" w:type="dxa"/>
          </w:tcPr>
          <w:p w:rsidR="00D849AA" w:rsidRDefault="00EE6D95">
            <w:r>
              <w:t>1.350.000</w:t>
            </w:r>
          </w:p>
        </w:tc>
        <w:tc>
          <w:tcPr>
            <w:tcW w:w="1486" w:type="dxa"/>
          </w:tcPr>
          <w:p w:rsidR="00D849AA" w:rsidRDefault="00EE6D95">
            <w:r>
              <w:t>1.307.913</w:t>
            </w:r>
          </w:p>
        </w:tc>
        <w:tc>
          <w:tcPr>
            <w:tcW w:w="1486" w:type="dxa"/>
          </w:tcPr>
          <w:p w:rsidR="00D849AA" w:rsidRDefault="00EE6D95">
            <w:r>
              <w:t>1.478.228</w:t>
            </w:r>
          </w:p>
        </w:tc>
        <w:tc>
          <w:tcPr>
            <w:tcW w:w="1486" w:type="dxa"/>
          </w:tcPr>
          <w:p w:rsidR="00D849AA" w:rsidRDefault="00EE6D95">
            <w:r>
              <w:t>1.400.000</w:t>
            </w:r>
          </w:p>
        </w:tc>
        <w:tc>
          <w:tcPr>
            <w:tcW w:w="1486" w:type="dxa"/>
          </w:tcPr>
          <w:p w:rsidR="00D849AA" w:rsidRDefault="00EE6D95">
            <w:r>
              <w:t>96,9</w:t>
            </w:r>
          </w:p>
        </w:tc>
      </w:tr>
    </w:tbl>
    <w:p w:rsidR="00D849AA" w:rsidRDefault="00D849AA">
      <w:pPr>
        <w:jc w:val="left"/>
      </w:pPr>
    </w:p>
    <w:p w:rsidR="00D849AA" w:rsidRDefault="00EE6D95">
      <w:pPr>
        <w:pStyle w:val="Normal6"/>
      </w:pPr>
      <w:r>
        <w:t xml:space="preserve">Anketom se prikupljaju podaci o površinama i prirodima na obiteljskim poljoprivrednim gospodarstvima, a rashodi se odnose na intelektualne i osobne usluge (vanjski suradnici- anketari).  </w:t>
      </w:r>
    </w:p>
    <w:p w:rsidR="00D849AA" w:rsidRDefault="00EE6D95">
      <w:pPr>
        <w:pStyle w:val="Normal6"/>
      </w:pPr>
      <w:r>
        <w:t>U 2014. došlo je do blagog smanjenja planiranih sredstava u odnosu na 2013. Ishodište za izračun potrebnih financijskih sredstava je veličina uzorka (broj kućanstava obuhvaćenih anketom) i prosječna bruto naknada anketaru.</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Postotak uspješno anketiranih kućanstava</w:t>
            </w:r>
          </w:p>
        </w:tc>
        <w:tc>
          <w:tcPr>
            <w:tcW w:w="1114" w:type="dxa"/>
          </w:tcPr>
          <w:p w:rsidR="00D849AA" w:rsidRDefault="00EE6D95">
            <w:r>
              <w:t>%</w:t>
            </w:r>
          </w:p>
        </w:tc>
        <w:tc>
          <w:tcPr>
            <w:tcW w:w="1114" w:type="dxa"/>
          </w:tcPr>
          <w:p w:rsidR="00D849AA" w:rsidRDefault="00EE6D95">
            <w:r>
              <w:t>78</w:t>
            </w:r>
          </w:p>
        </w:tc>
        <w:tc>
          <w:tcPr>
            <w:tcW w:w="1486" w:type="dxa"/>
          </w:tcPr>
          <w:p w:rsidR="00D849AA" w:rsidRDefault="00EE6D95">
            <w:r>
              <w:t>80</w:t>
            </w:r>
          </w:p>
        </w:tc>
        <w:tc>
          <w:tcPr>
            <w:tcW w:w="1486" w:type="dxa"/>
          </w:tcPr>
          <w:p w:rsidR="00D849AA" w:rsidRDefault="00EE6D95">
            <w:r>
              <w:t>85</w:t>
            </w:r>
          </w:p>
        </w:tc>
        <w:tc>
          <w:tcPr>
            <w:tcW w:w="1486" w:type="dxa"/>
          </w:tcPr>
          <w:p w:rsidR="00D849AA" w:rsidRDefault="00EE6D95">
            <w:r>
              <w:t>88</w:t>
            </w:r>
          </w:p>
        </w:tc>
      </w:tr>
      <w:tr w:rsidR="00D849AA">
        <w:trPr>
          <w:jc w:val="center"/>
        </w:trPr>
        <w:tc>
          <w:tcPr>
            <w:tcW w:w="2229" w:type="dxa"/>
          </w:tcPr>
          <w:p w:rsidR="00D849AA" w:rsidRDefault="00EE6D95">
            <w:pPr>
              <w:pStyle w:val="CellColumn"/>
            </w:pPr>
            <w:r>
              <w:t>Smanjena stopa neodgovora</w:t>
            </w:r>
          </w:p>
        </w:tc>
        <w:tc>
          <w:tcPr>
            <w:tcW w:w="1114" w:type="dxa"/>
          </w:tcPr>
          <w:p w:rsidR="00D849AA" w:rsidRDefault="00EE6D95">
            <w:r>
              <w:t>%</w:t>
            </w:r>
          </w:p>
        </w:tc>
        <w:tc>
          <w:tcPr>
            <w:tcW w:w="1114" w:type="dxa"/>
          </w:tcPr>
          <w:p w:rsidR="00D849AA" w:rsidRDefault="00EE6D95">
            <w:r>
              <w:t>22</w:t>
            </w:r>
          </w:p>
        </w:tc>
        <w:tc>
          <w:tcPr>
            <w:tcW w:w="1486" w:type="dxa"/>
          </w:tcPr>
          <w:p w:rsidR="00D849AA" w:rsidRDefault="00EE6D95">
            <w:r>
              <w:t>20</w:t>
            </w:r>
          </w:p>
        </w:tc>
        <w:tc>
          <w:tcPr>
            <w:tcW w:w="1486" w:type="dxa"/>
          </w:tcPr>
          <w:p w:rsidR="00D849AA" w:rsidRDefault="00EE6D95">
            <w:r>
              <w:t>15</w:t>
            </w:r>
          </w:p>
        </w:tc>
        <w:tc>
          <w:tcPr>
            <w:tcW w:w="1486" w:type="dxa"/>
          </w:tcPr>
          <w:p w:rsidR="00D849AA" w:rsidRDefault="00EE6D95">
            <w:r>
              <w:t>12</w:t>
            </w:r>
          </w:p>
        </w:tc>
      </w:tr>
    </w:tbl>
    <w:p w:rsidR="00D849AA" w:rsidRDefault="00D849AA">
      <w:pPr>
        <w:jc w:val="left"/>
      </w:pPr>
    </w:p>
    <w:p w:rsidR="00D849AA" w:rsidRDefault="00EE6D95">
      <w:pPr>
        <w:pStyle w:val="Naslov6"/>
      </w:pPr>
      <w:r>
        <w:lastRenderedPageBreak/>
        <w:t>A658069 STATISTIKA GRAĐEVINARSTVA I STANOVANJA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A658069</w:t>
            </w:r>
          </w:p>
        </w:tc>
        <w:tc>
          <w:tcPr>
            <w:tcW w:w="1486" w:type="dxa"/>
          </w:tcPr>
          <w:p w:rsidR="00D849AA" w:rsidRDefault="00EE6D95">
            <w:r>
              <w:t>600.000</w:t>
            </w:r>
          </w:p>
        </w:tc>
        <w:tc>
          <w:tcPr>
            <w:tcW w:w="1486" w:type="dxa"/>
          </w:tcPr>
          <w:p w:rsidR="00D849AA" w:rsidRDefault="00EE6D95">
            <w:r>
              <w:t>550.000</w:t>
            </w:r>
          </w:p>
        </w:tc>
        <w:tc>
          <w:tcPr>
            <w:tcW w:w="1486" w:type="dxa"/>
          </w:tcPr>
          <w:p w:rsidR="00D849AA" w:rsidRDefault="00EE6D95">
            <w:r>
              <w:t>719.111</w:t>
            </w:r>
          </w:p>
        </w:tc>
        <w:tc>
          <w:tcPr>
            <w:tcW w:w="1486" w:type="dxa"/>
          </w:tcPr>
          <w:p w:rsidR="00D849AA" w:rsidRDefault="00EE6D95">
            <w:r>
              <w:t>650.000</w:t>
            </w:r>
          </w:p>
        </w:tc>
        <w:tc>
          <w:tcPr>
            <w:tcW w:w="1486" w:type="dxa"/>
          </w:tcPr>
          <w:p w:rsidR="00D849AA" w:rsidRDefault="00EE6D95">
            <w:r>
              <w:t>91,7</w:t>
            </w:r>
          </w:p>
        </w:tc>
      </w:tr>
    </w:tbl>
    <w:p w:rsidR="00D849AA" w:rsidRDefault="00D849AA">
      <w:pPr>
        <w:jc w:val="left"/>
      </w:pPr>
    </w:p>
    <w:p w:rsidR="00D849AA" w:rsidRDefault="00EE6D95">
      <w:pPr>
        <w:pStyle w:val="Normal6"/>
      </w:pPr>
      <w:r>
        <w:t>Cilj ove aktivnosti u trogodišnjem razdoblju 2014. - 2016. izvršiti godišnji popis završenih zgrada i stanova. Godišnji izvještaj o završenim zgradama i stanovima (obrazac GRAĐ-10) provodi se metodom popisivanja. Glavni cilj ovog istraživanja je dobivanje podataka o završenim zgradama i stanovima u izvještajnoj godini. Kako o toj pojavi nema cjelovitog administrativnog ili nekog drugog izvora podataka iz kojeg bi DZS mogao preuzimati podatke o završenim zgradama i stanovima, podaci se prikupljaju popisom završenih zgrada na području svake županije i Grada Zagreba. Osnova za popis su podaci o izdanim odobrenjima za građenje zgrada. Na temelju tih odobrenja (u proteklim godinama i u tekućoj) popisivači potkraj godine obilaze teren kako bi ustanovili koje su od tih zgrada završene u izvještajnoj godini. Zbog specifičnosti posla popisivači trebaju biti stručne osobe u tijelima graditeljstva koje rade na izdavanju akata kojima se odobrava građenje te koje su dobro upoznate s teritorijalnim ustrojem svoje županije odnosno granicama područja gradova, općina i naselja. Ovaj način prikupljanja podataka zahtjeva znatna materijalna sredstva, koja su za 2014. planirana u iznosu od 550.000,00 kn, za 2015. u iznosu od 719.111,00 kn i za 2016. u iznosu od 650.000,00 kn. Cjelokupni iznos ovih sredstava predviđen je za isplatu naknada sudionicima popisa u županijama i Gradu Zagrebu</w:t>
      </w:r>
    </w:p>
    <w:p w:rsidR="00D849AA" w:rsidRDefault="00EE6D95">
      <w:pPr>
        <w:pStyle w:val="Naslov6"/>
      </w:pPr>
      <w:r>
        <w:t>A658107 STATISTIKA TRŽIŠTA RADA I ANKETA O RADNOJ SNAZI</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A658107</w:t>
            </w:r>
          </w:p>
        </w:tc>
        <w:tc>
          <w:tcPr>
            <w:tcW w:w="1486" w:type="dxa"/>
          </w:tcPr>
          <w:p w:rsidR="00D849AA" w:rsidRDefault="00EE6D95">
            <w:r>
              <w:t>610.000</w:t>
            </w:r>
          </w:p>
        </w:tc>
        <w:tc>
          <w:tcPr>
            <w:tcW w:w="1486" w:type="dxa"/>
          </w:tcPr>
          <w:p w:rsidR="00D849AA" w:rsidRDefault="00EE6D95">
            <w:r>
              <w:t>640.000</w:t>
            </w:r>
          </w:p>
        </w:tc>
        <w:tc>
          <w:tcPr>
            <w:tcW w:w="1486" w:type="dxa"/>
          </w:tcPr>
          <w:p w:rsidR="00D849AA" w:rsidRDefault="00EE6D95">
            <w:r>
              <w:t>820.000</w:t>
            </w:r>
          </w:p>
        </w:tc>
        <w:tc>
          <w:tcPr>
            <w:tcW w:w="1486" w:type="dxa"/>
          </w:tcPr>
          <w:p w:rsidR="00D849AA" w:rsidRDefault="00EE6D95">
            <w:r>
              <w:t>760.000</w:t>
            </w:r>
          </w:p>
        </w:tc>
        <w:tc>
          <w:tcPr>
            <w:tcW w:w="1486" w:type="dxa"/>
          </w:tcPr>
          <w:p w:rsidR="00D849AA" w:rsidRDefault="00EE6D95">
            <w:r>
              <w:t>104,9</w:t>
            </w:r>
          </w:p>
        </w:tc>
      </w:tr>
    </w:tbl>
    <w:p w:rsidR="00D849AA" w:rsidRDefault="00D849AA">
      <w:pPr>
        <w:jc w:val="left"/>
      </w:pPr>
    </w:p>
    <w:p w:rsidR="00D849AA" w:rsidRDefault="00EE6D95">
      <w:pPr>
        <w:pStyle w:val="Normal6"/>
      </w:pPr>
      <w:r>
        <w:t xml:space="preserve">Anketom o radnoj snazi prikupljamo podatke o ekonomski aktivnom stanovništvu ili o radnoj snazi u Hrvatskoj prema preporukama Međunarodne organizacije rada (International Labour Organisation – ILO). Radnu snagu čine sve osobe koje rade ili traže posao radi stjecanja sredstava za život. Stoga su glavne kategorije koje se istražuju ukupna zaposlenost, nezaposlenost te demografske, obrazovne, socio-ekonomske i druge karakteristike pojedinaca koji se nalaze u svakoj od pojedinih skupina. </w:t>
      </w:r>
    </w:p>
    <w:p w:rsidR="00D849AA" w:rsidRDefault="00EE6D95">
      <w:pPr>
        <w:pStyle w:val="Normal6"/>
      </w:pPr>
      <w:r>
        <w:t xml:space="preserve">Glavni je cilj ankete dobiti uvid u ponašanje pojedinih skupina na tržištu rada na način koji omogućuje primjenu modernih metoda analize s bilo kojeg znanstvenog područja: ekonomije, sociologije, psihologije i drugih. Jedan je od glavnih ciljeva ankete da se pri definiranju ukupne zaposlenosti i nezaposlenosti primjene međunarodni standardi kako bi se te kategorije mogle uspoređivati s istovjetnim kategorijama u drugim zemljama, osobito europskim zemljama. Anketa se i u postupcima izbora uzorka i pri definiranju upitnika oslanja na preporuke Međunarodne organizacije rada. </w:t>
      </w:r>
    </w:p>
    <w:p w:rsidR="00D849AA" w:rsidRDefault="00EE6D95">
      <w:pPr>
        <w:pStyle w:val="Normal6"/>
      </w:pPr>
      <w:r>
        <w:t>Planirani rashodi odnose se na intelektualne i osobne usluge (vanjski suradnici - anketari).</w:t>
      </w:r>
    </w:p>
    <w:p w:rsidR="000B4BC0" w:rsidRDefault="000B4BC0">
      <w:pPr>
        <w:pStyle w:val="Normal6"/>
      </w:pPr>
    </w:p>
    <w:p w:rsidR="000B4BC0" w:rsidRDefault="000B4BC0">
      <w:pPr>
        <w:pStyle w:val="Normal6"/>
      </w:pPr>
    </w:p>
    <w:p w:rsidR="000B4BC0" w:rsidRDefault="000B4BC0">
      <w:pPr>
        <w:pStyle w:val="Normal6"/>
      </w:pPr>
    </w:p>
    <w:p w:rsidR="000B4BC0" w:rsidRDefault="000B4BC0">
      <w:pPr>
        <w:pStyle w:val="Normal6"/>
      </w:pPr>
    </w:p>
    <w:p w:rsidR="00D849AA" w:rsidRDefault="00EE6D95">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Postotak uspješno anketiranih kućanstava</w:t>
            </w:r>
          </w:p>
        </w:tc>
        <w:tc>
          <w:tcPr>
            <w:tcW w:w="1114" w:type="dxa"/>
          </w:tcPr>
          <w:p w:rsidR="00D849AA" w:rsidRDefault="00EE6D95">
            <w:r>
              <w:t>%</w:t>
            </w:r>
          </w:p>
        </w:tc>
        <w:tc>
          <w:tcPr>
            <w:tcW w:w="1114" w:type="dxa"/>
          </w:tcPr>
          <w:p w:rsidR="00D849AA" w:rsidRDefault="00EE6D95">
            <w:r>
              <w:t>50</w:t>
            </w:r>
          </w:p>
        </w:tc>
        <w:tc>
          <w:tcPr>
            <w:tcW w:w="1486" w:type="dxa"/>
          </w:tcPr>
          <w:p w:rsidR="00D849AA" w:rsidRDefault="00EE6D95">
            <w:r>
              <w:t>65</w:t>
            </w:r>
          </w:p>
        </w:tc>
        <w:tc>
          <w:tcPr>
            <w:tcW w:w="1486" w:type="dxa"/>
          </w:tcPr>
          <w:p w:rsidR="00D849AA" w:rsidRDefault="00EE6D95">
            <w:r>
              <w:t>75</w:t>
            </w:r>
          </w:p>
        </w:tc>
        <w:tc>
          <w:tcPr>
            <w:tcW w:w="1486" w:type="dxa"/>
          </w:tcPr>
          <w:p w:rsidR="00D849AA" w:rsidRDefault="00EE6D95">
            <w:r>
              <w:t>80</w:t>
            </w:r>
          </w:p>
        </w:tc>
      </w:tr>
      <w:tr w:rsidR="00D849AA">
        <w:trPr>
          <w:jc w:val="center"/>
        </w:trPr>
        <w:tc>
          <w:tcPr>
            <w:tcW w:w="2229" w:type="dxa"/>
          </w:tcPr>
          <w:p w:rsidR="00D849AA" w:rsidRDefault="00EE6D95">
            <w:pPr>
              <w:pStyle w:val="CellColumn"/>
            </w:pPr>
            <w:r>
              <w:t>Smanjiti stopu neodgovora</w:t>
            </w:r>
          </w:p>
        </w:tc>
        <w:tc>
          <w:tcPr>
            <w:tcW w:w="1114" w:type="dxa"/>
          </w:tcPr>
          <w:p w:rsidR="00D849AA" w:rsidRDefault="00EE6D95">
            <w:r>
              <w:t>%</w:t>
            </w:r>
          </w:p>
        </w:tc>
        <w:tc>
          <w:tcPr>
            <w:tcW w:w="1114" w:type="dxa"/>
          </w:tcPr>
          <w:p w:rsidR="00D849AA" w:rsidRDefault="00EE6D95">
            <w:r>
              <w:t>50</w:t>
            </w:r>
          </w:p>
        </w:tc>
        <w:tc>
          <w:tcPr>
            <w:tcW w:w="1486" w:type="dxa"/>
          </w:tcPr>
          <w:p w:rsidR="00D849AA" w:rsidRDefault="00EE6D95">
            <w:r>
              <w:t>35</w:t>
            </w:r>
          </w:p>
        </w:tc>
        <w:tc>
          <w:tcPr>
            <w:tcW w:w="1486" w:type="dxa"/>
          </w:tcPr>
          <w:p w:rsidR="00D849AA" w:rsidRDefault="00EE6D95">
            <w:r>
              <w:t>25</w:t>
            </w:r>
          </w:p>
        </w:tc>
        <w:tc>
          <w:tcPr>
            <w:tcW w:w="1486" w:type="dxa"/>
          </w:tcPr>
          <w:p w:rsidR="00D849AA" w:rsidRDefault="00EE6D95">
            <w:r>
              <w:t>20</w:t>
            </w:r>
          </w:p>
        </w:tc>
      </w:tr>
    </w:tbl>
    <w:p w:rsidR="00D849AA" w:rsidRDefault="00D849AA">
      <w:pPr>
        <w:jc w:val="left"/>
      </w:pPr>
    </w:p>
    <w:p w:rsidR="00D849AA" w:rsidRDefault="00EE6D95">
      <w:pPr>
        <w:pStyle w:val="Naslov6"/>
      </w:pPr>
      <w:r>
        <w:t>A658109 ANKETA O POTROŠNJI KUĆANSTAVA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A658109</w:t>
            </w:r>
          </w:p>
        </w:tc>
        <w:tc>
          <w:tcPr>
            <w:tcW w:w="1486" w:type="dxa"/>
          </w:tcPr>
          <w:p w:rsidR="00D849AA" w:rsidRDefault="00EE6D95">
            <w:r>
              <w:t>00</w:t>
            </w:r>
          </w:p>
        </w:tc>
        <w:tc>
          <w:tcPr>
            <w:tcW w:w="1486" w:type="dxa"/>
          </w:tcPr>
          <w:p w:rsidR="00D849AA" w:rsidRDefault="00EE6D95">
            <w:r>
              <w:t>938.441</w:t>
            </w:r>
          </w:p>
        </w:tc>
        <w:tc>
          <w:tcPr>
            <w:tcW w:w="1486" w:type="dxa"/>
          </w:tcPr>
          <w:p w:rsidR="00D849AA" w:rsidRDefault="00EE6D95">
            <w:r>
              <w:t>60.000</w:t>
            </w:r>
          </w:p>
        </w:tc>
        <w:tc>
          <w:tcPr>
            <w:tcW w:w="1486" w:type="dxa"/>
          </w:tcPr>
          <w:p w:rsidR="00D849AA" w:rsidRDefault="00EE6D95">
            <w:r>
              <w:t>1.045.000</w:t>
            </w:r>
          </w:p>
        </w:tc>
        <w:tc>
          <w:tcPr>
            <w:tcW w:w="1486" w:type="dxa"/>
          </w:tcPr>
          <w:p w:rsidR="00D849AA" w:rsidRDefault="00EE6D95">
            <w:r>
              <w:t>0,0</w:t>
            </w:r>
          </w:p>
        </w:tc>
      </w:tr>
    </w:tbl>
    <w:p w:rsidR="00D849AA" w:rsidRDefault="00D849AA">
      <w:pPr>
        <w:jc w:val="left"/>
      </w:pPr>
    </w:p>
    <w:p w:rsidR="00D849AA" w:rsidRDefault="00EE6D95">
      <w:pPr>
        <w:pStyle w:val="Normal6"/>
      </w:pPr>
      <w:r>
        <w:t xml:space="preserve">Anketa se provodi svake dvije godine, a njome se prikupljaju podaci o visini i strukturi izdataka za potrošnju kućanstava prema namjeni i društveno-ekonomskim karakteristikama kućanstava, a rashodi se odnose na intelektualne i osobne usluge (vanjski suradnici - fizičke osobe).  </w:t>
      </w:r>
    </w:p>
    <w:p w:rsidR="00D849AA" w:rsidRDefault="00EE6D95">
      <w:pPr>
        <w:pStyle w:val="Normal6"/>
      </w:pPr>
      <w:r>
        <w:t>Ishodište za izračun potrebnih financijskih sredstava je veličina uzorka (broj kućanstava obuhvaćenih anketom) i prosječna bruto naknada anketaru.</w:t>
      </w:r>
    </w:p>
    <w:p w:rsidR="00D849AA" w:rsidRDefault="00EE6D95">
      <w:pPr>
        <w:pStyle w:val="Naslov6"/>
      </w:pPr>
      <w:r>
        <w:t>A658117 ANKETA O DOHOTKU STANOVNIŠTVA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A658117</w:t>
            </w:r>
          </w:p>
        </w:tc>
        <w:tc>
          <w:tcPr>
            <w:tcW w:w="1486" w:type="dxa"/>
          </w:tcPr>
          <w:p w:rsidR="00D849AA" w:rsidRDefault="00EE6D95">
            <w:r>
              <w:t>600.000</w:t>
            </w:r>
          </w:p>
        </w:tc>
        <w:tc>
          <w:tcPr>
            <w:tcW w:w="1486" w:type="dxa"/>
          </w:tcPr>
          <w:p w:rsidR="00D849AA" w:rsidRDefault="00EE6D95">
            <w:r>
              <w:t>640.000</w:t>
            </w:r>
          </w:p>
        </w:tc>
        <w:tc>
          <w:tcPr>
            <w:tcW w:w="1486" w:type="dxa"/>
          </w:tcPr>
          <w:p w:rsidR="00D849AA" w:rsidRDefault="00EE6D95">
            <w:r>
              <w:t>800.000</w:t>
            </w:r>
          </w:p>
        </w:tc>
        <w:tc>
          <w:tcPr>
            <w:tcW w:w="1486" w:type="dxa"/>
          </w:tcPr>
          <w:p w:rsidR="00D849AA" w:rsidRDefault="00EE6D95">
            <w:r>
              <w:t>740.000</w:t>
            </w:r>
          </w:p>
        </w:tc>
        <w:tc>
          <w:tcPr>
            <w:tcW w:w="1486" w:type="dxa"/>
          </w:tcPr>
          <w:p w:rsidR="00D849AA" w:rsidRDefault="00EE6D95">
            <w:r>
              <w:t>106,7</w:t>
            </w:r>
          </w:p>
        </w:tc>
      </w:tr>
    </w:tbl>
    <w:p w:rsidR="00D849AA" w:rsidRDefault="00D849AA">
      <w:pPr>
        <w:jc w:val="left"/>
      </w:pPr>
    </w:p>
    <w:p w:rsidR="00D849AA" w:rsidRDefault="00EE6D95">
      <w:pPr>
        <w:pStyle w:val="Normal6"/>
      </w:pPr>
      <w:r>
        <w:t xml:space="preserve">Anketa o dohotku stanovništva osigurava podatke temeljem kojih se dobivaju pokazatelji relativnog siromaštva, pokazatelji ekonomskih nejednakosti u društvu te drugi socijalni pokazatelji. Istraživanje se provodi prema metodologiji Eurostat-a, a rezultati istraživanja se iskazuju prema osnovnim demografskim, ekonomskim i socijalnim karakteristikama članova kućanstva (sastav kućanstava, uvjeti i troškovi stanovanja, raspoloživost trajnim dobrima i financijska situacija kućanstava, podaci o bruto i neto dohotku te različitim monetarnim i nemonetarnim primanjima članova kućanstava, podaci o ekonomskoj aktivnosti, obrazovnom statusu, brizi o vlastitom zdravlju te brizi o djeci i podaci o ostalim aspektima životnih uvjeta kućanstava). </w:t>
      </w:r>
    </w:p>
    <w:p w:rsidR="00D849AA" w:rsidRDefault="00EE6D95">
      <w:pPr>
        <w:pStyle w:val="Normal6"/>
      </w:pPr>
      <w:r>
        <w:t>Planirani rashodi odnose se na intelektualne i osobne usluge (vanjski suradnici - anketari).</w:t>
      </w:r>
    </w:p>
    <w:p w:rsidR="000B4BC0" w:rsidRDefault="000B4BC0">
      <w:pPr>
        <w:pStyle w:val="Normal6"/>
      </w:pPr>
    </w:p>
    <w:p w:rsidR="000B4BC0" w:rsidRDefault="000B4BC0">
      <w:pPr>
        <w:pStyle w:val="Normal6"/>
      </w:pPr>
    </w:p>
    <w:p w:rsidR="000B4BC0" w:rsidRDefault="000B4BC0">
      <w:pPr>
        <w:pStyle w:val="Normal6"/>
      </w:pPr>
    </w:p>
    <w:p w:rsidR="000B4BC0" w:rsidRDefault="000B4BC0">
      <w:pPr>
        <w:pStyle w:val="Normal6"/>
      </w:pPr>
    </w:p>
    <w:p w:rsidR="00D849AA" w:rsidRDefault="00EE6D95">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Postotak uspješno anketiranih kućanstava</w:t>
            </w:r>
          </w:p>
        </w:tc>
        <w:tc>
          <w:tcPr>
            <w:tcW w:w="1114" w:type="dxa"/>
          </w:tcPr>
          <w:p w:rsidR="00D849AA" w:rsidRDefault="00EE6D95">
            <w:r>
              <w:t>%</w:t>
            </w:r>
          </w:p>
        </w:tc>
        <w:tc>
          <w:tcPr>
            <w:tcW w:w="1114" w:type="dxa"/>
          </w:tcPr>
          <w:p w:rsidR="00D849AA" w:rsidRDefault="00EE6D95">
            <w:r>
              <w:t>50</w:t>
            </w:r>
          </w:p>
        </w:tc>
        <w:tc>
          <w:tcPr>
            <w:tcW w:w="1486" w:type="dxa"/>
          </w:tcPr>
          <w:p w:rsidR="00D849AA" w:rsidRDefault="00EE6D95">
            <w:r>
              <w:t>65</w:t>
            </w:r>
          </w:p>
        </w:tc>
        <w:tc>
          <w:tcPr>
            <w:tcW w:w="1486" w:type="dxa"/>
          </w:tcPr>
          <w:p w:rsidR="00D849AA" w:rsidRDefault="00EE6D95">
            <w:r>
              <w:t>70</w:t>
            </w:r>
          </w:p>
        </w:tc>
        <w:tc>
          <w:tcPr>
            <w:tcW w:w="1486" w:type="dxa"/>
          </w:tcPr>
          <w:p w:rsidR="00D849AA" w:rsidRDefault="00EE6D95">
            <w:r>
              <w:t>75</w:t>
            </w:r>
          </w:p>
        </w:tc>
      </w:tr>
      <w:tr w:rsidR="00D849AA">
        <w:trPr>
          <w:jc w:val="center"/>
        </w:trPr>
        <w:tc>
          <w:tcPr>
            <w:tcW w:w="2229" w:type="dxa"/>
          </w:tcPr>
          <w:p w:rsidR="00D849AA" w:rsidRDefault="00EE6D95">
            <w:pPr>
              <w:pStyle w:val="CellColumn"/>
            </w:pPr>
            <w:r>
              <w:t>Smanjiti stopu neodgovora</w:t>
            </w:r>
          </w:p>
        </w:tc>
        <w:tc>
          <w:tcPr>
            <w:tcW w:w="1114" w:type="dxa"/>
          </w:tcPr>
          <w:p w:rsidR="00D849AA" w:rsidRDefault="00EE6D95">
            <w:r>
              <w:t>%</w:t>
            </w:r>
          </w:p>
        </w:tc>
        <w:tc>
          <w:tcPr>
            <w:tcW w:w="1114" w:type="dxa"/>
          </w:tcPr>
          <w:p w:rsidR="00D849AA" w:rsidRDefault="00EE6D95">
            <w:r>
              <w:t>50</w:t>
            </w:r>
          </w:p>
        </w:tc>
        <w:tc>
          <w:tcPr>
            <w:tcW w:w="1486" w:type="dxa"/>
          </w:tcPr>
          <w:p w:rsidR="00D849AA" w:rsidRDefault="00EE6D95">
            <w:r>
              <w:t>35</w:t>
            </w:r>
          </w:p>
        </w:tc>
        <w:tc>
          <w:tcPr>
            <w:tcW w:w="1486" w:type="dxa"/>
          </w:tcPr>
          <w:p w:rsidR="00D849AA" w:rsidRDefault="00EE6D95">
            <w:r>
              <w:t>30</w:t>
            </w:r>
          </w:p>
        </w:tc>
        <w:tc>
          <w:tcPr>
            <w:tcW w:w="1486" w:type="dxa"/>
          </w:tcPr>
          <w:p w:rsidR="00D849AA" w:rsidRDefault="00EE6D95">
            <w:r>
              <w:t>30</w:t>
            </w:r>
          </w:p>
        </w:tc>
      </w:tr>
    </w:tbl>
    <w:p w:rsidR="00D849AA" w:rsidRDefault="00D849AA">
      <w:pPr>
        <w:jc w:val="left"/>
      </w:pPr>
    </w:p>
    <w:p w:rsidR="00D849AA" w:rsidRDefault="00EE6D95">
      <w:pPr>
        <w:pStyle w:val="Naslov6"/>
      </w:pPr>
      <w:r>
        <w:t>K658035 INFORMATIZACIJA ZAVODA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K658035</w:t>
            </w:r>
          </w:p>
        </w:tc>
        <w:tc>
          <w:tcPr>
            <w:tcW w:w="1486" w:type="dxa"/>
          </w:tcPr>
          <w:p w:rsidR="00D849AA" w:rsidRDefault="00EE6D95">
            <w:r>
              <w:t>6.440.060</w:t>
            </w:r>
          </w:p>
        </w:tc>
        <w:tc>
          <w:tcPr>
            <w:tcW w:w="1486" w:type="dxa"/>
          </w:tcPr>
          <w:p w:rsidR="00D849AA" w:rsidRDefault="00EE6D95">
            <w:r>
              <w:t>8.037.636</w:t>
            </w:r>
          </w:p>
        </w:tc>
        <w:tc>
          <w:tcPr>
            <w:tcW w:w="1486" w:type="dxa"/>
          </w:tcPr>
          <w:p w:rsidR="00D849AA" w:rsidRDefault="00EE6D95">
            <w:r>
              <w:t>7.098.925</w:t>
            </w:r>
          </w:p>
        </w:tc>
        <w:tc>
          <w:tcPr>
            <w:tcW w:w="1486" w:type="dxa"/>
          </w:tcPr>
          <w:p w:rsidR="00D849AA" w:rsidRDefault="00EE6D95">
            <w:r>
              <w:t>7.826.825</w:t>
            </w:r>
          </w:p>
        </w:tc>
        <w:tc>
          <w:tcPr>
            <w:tcW w:w="1486" w:type="dxa"/>
          </w:tcPr>
          <w:p w:rsidR="00D849AA" w:rsidRDefault="00EE6D95">
            <w:r>
              <w:t>124,8</w:t>
            </w:r>
          </w:p>
        </w:tc>
      </w:tr>
    </w:tbl>
    <w:p w:rsidR="00D849AA" w:rsidRDefault="00D849AA">
      <w:pPr>
        <w:jc w:val="left"/>
      </w:pPr>
    </w:p>
    <w:p w:rsidR="00D849AA" w:rsidRDefault="00EE6D95">
      <w:pPr>
        <w:pStyle w:val="Normal6"/>
      </w:pPr>
      <w:r>
        <w:t>U okviru kapitalnog projekta planirane su usluge tekućeg i investicijskog održavanja aplikacija, sklopovske i programske opreme, informatičke i komunikacijske opreme, zatim usluge najma licenci te rashodi za nabavu licenci, informatičke i komunikacijske opreme te računalnih programa.</w:t>
      </w:r>
    </w:p>
    <w:p w:rsidR="00D849AA" w:rsidRDefault="00EE6D95">
      <w:pPr>
        <w:pStyle w:val="Naslov6"/>
      </w:pPr>
      <w:r>
        <w:t>T658143 IPA I 2012 VIŠEKORISNIČKI PROGRAM ZA STATISTIKU</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T658143</w:t>
            </w:r>
          </w:p>
        </w:tc>
        <w:tc>
          <w:tcPr>
            <w:tcW w:w="1486" w:type="dxa"/>
          </w:tcPr>
          <w:p w:rsidR="00D849AA" w:rsidRDefault="00EE6D95">
            <w:r>
              <w:t>00</w:t>
            </w:r>
          </w:p>
        </w:tc>
        <w:tc>
          <w:tcPr>
            <w:tcW w:w="1486" w:type="dxa"/>
          </w:tcPr>
          <w:p w:rsidR="00D849AA" w:rsidRDefault="00EE6D95">
            <w:r>
              <w:t>2.730.897</w:t>
            </w:r>
          </w:p>
        </w:tc>
        <w:tc>
          <w:tcPr>
            <w:tcW w:w="1486" w:type="dxa"/>
          </w:tcPr>
          <w:p w:rsidR="00D849AA" w:rsidRDefault="00EE6D95">
            <w:r>
              <w:t>3.723.290</w:t>
            </w:r>
          </w:p>
        </w:tc>
        <w:tc>
          <w:tcPr>
            <w:tcW w:w="1486" w:type="dxa"/>
          </w:tcPr>
          <w:p w:rsidR="00D849AA" w:rsidRDefault="00EE6D95">
            <w:r>
              <w:t>266.600</w:t>
            </w:r>
          </w:p>
        </w:tc>
        <w:tc>
          <w:tcPr>
            <w:tcW w:w="1486" w:type="dxa"/>
          </w:tcPr>
          <w:p w:rsidR="00D849AA" w:rsidRDefault="00EE6D95">
            <w:r>
              <w:t>0,0</w:t>
            </w:r>
          </w:p>
        </w:tc>
      </w:tr>
    </w:tbl>
    <w:p w:rsidR="00D849AA" w:rsidRDefault="00D849AA">
      <w:pPr>
        <w:jc w:val="left"/>
      </w:pPr>
    </w:p>
    <w:p w:rsidR="00D849AA" w:rsidRDefault="00EE6D95">
      <w:pPr>
        <w:pStyle w:val="Normal6"/>
      </w:pPr>
      <w:r>
        <w:t>Zavod je 30. listopada 2013. sklopio darovni ugovor „IPA 2012 višekorisnički program za statistiku“ s Europskom komisijom–Eurostatom. Cilj darovnice je unapređenje integracije sustava službene statistike Republike Hrvatske u Europski statistički sustav, izgradnja kapaciteta Zavoda i povećanje stupnja usklađenosti službene statistike sa statističkim standardima EU. Ugovorenim sredstvima darovnice Zavod će provesti niz statističkih i drugih aktivnosti sukladno odredbama darovnog ugovora u razdoblju od 1. siječnja 2014. do 30. studenog 2015.</w:t>
      </w:r>
    </w:p>
    <w:p w:rsidR="00D849AA" w:rsidRDefault="00EE6D95">
      <w:pPr>
        <w:pStyle w:val="Naslov1"/>
      </w:pPr>
      <w:r>
        <w:lastRenderedPageBreak/>
        <w:t>185 DRŽAVNI URED ZA REVIZIJU</w:t>
      </w:r>
    </w:p>
    <w:p w:rsidR="00D849AA" w:rsidRDefault="00EE6D95">
      <w:pPr>
        <w:pStyle w:val="Naslov4"/>
      </w:pPr>
      <w:r>
        <w:t>Uvod</w:t>
      </w:r>
    </w:p>
    <w:p w:rsidR="00D849AA" w:rsidRDefault="00EE6D95" w:rsidP="00AE2853">
      <w:pPr>
        <w:pStyle w:val="Normal3"/>
      </w:pPr>
      <w:r>
        <w:t>Državni ured za reviziju je osnovan kao samostalno i neovisno državno tijelo. Uz odredbe o</w:t>
      </w:r>
      <w:r w:rsidR="00AE2853">
        <w:t xml:space="preserve"> </w:t>
      </w:r>
      <w:r>
        <w:t xml:space="preserve">osnivanju, statusu i ustrojstvu Državnog ureda za reviziju, zakonom su utvrđeni subjekti revizije i sredstava koja podliježu reviziji (nadležnost), način rada i izvješćivanje, te suradnja s drugim tijelima državne vlasti. </w:t>
      </w:r>
    </w:p>
    <w:p w:rsidR="00D849AA" w:rsidRDefault="00EE6D95">
      <w:pPr>
        <w:pStyle w:val="Normal3"/>
      </w:pPr>
      <w:r>
        <w:t xml:space="preserve">Nadležnost Ureda obuhvaća reviziju: </w:t>
      </w:r>
    </w:p>
    <w:p w:rsidR="00D849AA" w:rsidRDefault="00EE6D95">
      <w:pPr>
        <w:pStyle w:val="Normal3"/>
      </w:pPr>
      <w:r>
        <w:t xml:space="preserve">-državnih prihoda i rashoda </w:t>
      </w:r>
    </w:p>
    <w:p w:rsidR="00D849AA" w:rsidRDefault="00EE6D95">
      <w:pPr>
        <w:pStyle w:val="Normal3"/>
      </w:pPr>
      <w:r>
        <w:t xml:space="preserve">-financijskih izvještaja i financijskih transakcija: </w:t>
      </w:r>
    </w:p>
    <w:p w:rsidR="00D849AA" w:rsidRDefault="00EE6D95">
      <w:pPr>
        <w:pStyle w:val="Normal3"/>
      </w:pPr>
      <w:r>
        <w:t xml:space="preserve">-jedinica državnog sektora, </w:t>
      </w:r>
    </w:p>
    <w:p w:rsidR="00D849AA" w:rsidRDefault="00EE6D95">
      <w:pPr>
        <w:pStyle w:val="Normal3"/>
      </w:pPr>
      <w:r>
        <w:t xml:space="preserve">-jedinica lokalne i područne (regionalne) samouprave, </w:t>
      </w:r>
    </w:p>
    <w:p w:rsidR="00D849AA" w:rsidRDefault="00EE6D95">
      <w:pPr>
        <w:pStyle w:val="Normal3"/>
      </w:pPr>
      <w:r>
        <w:t xml:space="preserve">-pravnih osoba koje se djelomično ili u cijelosti financiraju iz proračuna, </w:t>
      </w:r>
    </w:p>
    <w:p w:rsidR="00D849AA" w:rsidRDefault="00EE6D95">
      <w:pPr>
        <w:pStyle w:val="Normal3"/>
      </w:pPr>
      <w:r>
        <w:t xml:space="preserve">-javnih poduzeća, društava i drugih pravnih osoba u kojima Republika Hrvatska, odnosno </w:t>
      </w:r>
    </w:p>
    <w:p w:rsidR="00D849AA" w:rsidRDefault="00EE6D95">
      <w:pPr>
        <w:pStyle w:val="Normal3"/>
      </w:pPr>
      <w:r>
        <w:t xml:space="preserve">lokalne jedinice imaju većinsko vlasništvo nad dionicama odnosno udjelima, te </w:t>
      </w:r>
    </w:p>
    <w:p w:rsidR="00D849AA" w:rsidRDefault="00EE6D95">
      <w:pPr>
        <w:pStyle w:val="Normal3"/>
      </w:pPr>
      <w:r>
        <w:t xml:space="preserve">-korištenja sredstava Europske unije i drugih međunarodnih organizacija ili institucija za </w:t>
      </w:r>
    </w:p>
    <w:p w:rsidR="00D849AA" w:rsidRDefault="00EE6D95">
      <w:pPr>
        <w:pStyle w:val="Normal3"/>
      </w:pPr>
      <w:r>
        <w:t xml:space="preserve">financiranje javnih potreba. </w:t>
      </w:r>
    </w:p>
    <w:p w:rsidR="00D849AA" w:rsidRDefault="00EE6D95">
      <w:pPr>
        <w:pStyle w:val="Normal3"/>
      </w:pPr>
      <w:r>
        <w:t>Prema odredbama Zakona o Državnom uredu za reviziju (Narodne novine 80/11), revizija</w:t>
      </w:r>
      <w:r w:rsidR="00AE2853">
        <w:t xml:space="preserve"> </w:t>
      </w:r>
      <w:r>
        <w:t>izvještaja o izvršenju državnog proračuna se obavlja svake godine, a revizije drugih subjekata</w:t>
      </w:r>
      <w:r w:rsidR="00AE2853">
        <w:t xml:space="preserve"> </w:t>
      </w:r>
      <w:r>
        <w:t>se obavljaju prema godišnjem programu i planu rada, kojeg donosi glavni državni revizor na</w:t>
      </w:r>
      <w:r w:rsidR="00AE2853">
        <w:t xml:space="preserve"> </w:t>
      </w:r>
      <w:r>
        <w:t xml:space="preserve">temelju zakonom propisanih kriterija. </w:t>
      </w:r>
    </w:p>
    <w:p w:rsidR="00D849AA" w:rsidRDefault="00EE6D95">
      <w:pPr>
        <w:pStyle w:val="Normal3"/>
      </w:pPr>
      <w:r>
        <w:t>Nadležnost i obujam poslova Državnog ureda za reviziju, prošireni su donošenjem Zakona o</w:t>
      </w:r>
      <w:r w:rsidR="00AE2853">
        <w:t xml:space="preserve"> </w:t>
      </w:r>
      <w:r>
        <w:t>financiranju političkih aktivnosti i izborne promidžbe. Prema odredbama spomenutog Zakona,</w:t>
      </w:r>
      <w:r w:rsidR="00AE2853">
        <w:t xml:space="preserve"> </w:t>
      </w:r>
      <w:r>
        <w:t xml:space="preserve">Ured je nadležan za provedbu revizije godišnjeg </w:t>
      </w:r>
      <w:r w:rsidR="00AE2853">
        <w:t>f</w:t>
      </w:r>
      <w:r>
        <w:t>inancijskog poslovanja i godišnjih financijskih izvještaja političkih stranaka, nezavisnih</w:t>
      </w:r>
      <w:r w:rsidR="00AE2853">
        <w:t xml:space="preserve"> </w:t>
      </w:r>
      <w:r>
        <w:t>zastupnika, zastupnika nacionalnih manjina i nezavisnih članova predstavničkih tijela jedinica</w:t>
      </w:r>
      <w:r w:rsidR="00AE2853">
        <w:t xml:space="preserve"> </w:t>
      </w:r>
      <w:r>
        <w:t xml:space="preserve">lokalne i područne (regionalne) samouprave. </w:t>
      </w:r>
    </w:p>
    <w:p w:rsidR="00D849AA" w:rsidRDefault="00EE6D95">
      <w:pPr>
        <w:pStyle w:val="Normal3"/>
      </w:pPr>
      <w:r>
        <w:t>Postupci i način obavljanja revizije se odvijaju u skladu s odredbama Zakona o Državnom</w:t>
      </w:r>
      <w:r w:rsidR="00AE2853">
        <w:t xml:space="preserve"> </w:t>
      </w:r>
      <w:r>
        <w:t>uredu za reviziju, a prema načelima i pravilima INTOSAI revizijskih standarda (međunarodni</w:t>
      </w:r>
      <w:r w:rsidR="00AE2853">
        <w:t xml:space="preserve"> </w:t>
      </w:r>
      <w:r>
        <w:t>standardi vrhovnih revizijskih institucija koji su preuzeti kao dio međunarodnog prava s</w:t>
      </w:r>
      <w:r w:rsidR="00AE2853">
        <w:t xml:space="preserve"> </w:t>
      </w:r>
      <w:r>
        <w:t>obveznom primjenom), unutarnjim normativnim aktima i procedurama, te pravilima struke uz</w:t>
      </w:r>
      <w:r w:rsidR="00AE2853">
        <w:t xml:space="preserve"> </w:t>
      </w:r>
      <w:r>
        <w:t xml:space="preserve">poštivanje Kodeksa profesionalne etike državnih revizora. </w:t>
      </w:r>
    </w:p>
    <w:p w:rsidR="00D849AA" w:rsidRDefault="00EE6D95">
      <w:pPr>
        <w:pStyle w:val="Normal3"/>
      </w:pPr>
      <w:r>
        <w:t>U skladu sa zakonskim ovlastima, Državni ured za reviziju je donio Strateški plan za</w:t>
      </w:r>
      <w:r w:rsidR="00AE2853">
        <w:t xml:space="preserve"> </w:t>
      </w:r>
      <w:r>
        <w:t>razdoblje 2013.-2017., koji je temelj i smjerokaz rada i daljnjeg razvoja vrhovne revizijske</w:t>
      </w:r>
      <w:r w:rsidR="00AE2853">
        <w:t xml:space="preserve"> </w:t>
      </w:r>
      <w:r>
        <w:t>institucije, s osnovnom misijom da svojim radom usmjerenim na reviziju subjekata koji</w:t>
      </w:r>
      <w:r w:rsidR="00AE2853">
        <w:t xml:space="preserve"> </w:t>
      </w:r>
      <w:r>
        <w:t>upravljaju javnom imovinom i drugih pravnih osoba određenih Zakonom o Državnom uredu</w:t>
      </w:r>
      <w:r w:rsidR="00AE2853">
        <w:t xml:space="preserve"> </w:t>
      </w:r>
      <w:r>
        <w:t>za reviziju, pridonese jačanju zakonitosti, učinkovitosti i djelotvornosti na području javnih</w:t>
      </w:r>
      <w:r w:rsidR="00AE2853">
        <w:t xml:space="preserve"> </w:t>
      </w:r>
      <w:r>
        <w:t>financija i upravljanju javnom imovinom.</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18505 Državni ured za reviziju</w:t>
            </w:r>
          </w:p>
        </w:tc>
        <w:tc>
          <w:tcPr>
            <w:tcW w:w="1486" w:type="dxa"/>
          </w:tcPr>
          <w:p w:rsidR="00D849AA" w:rsidRDefault="00EE6D95">
            <w:r>
              <w:t>53.529.618</w:t>
            </w:r>
          </w:p>
        </w:tc>
        <w:tc>
          <w:tcPr>
            <w:tcW w:w="1486" w:type="dxa"/>
          </w:tcPr>
          <w:p w:rsidR="00D849AA" w:rsidRDefault="00EE6D95">
            <w:r>
              <w:t>52.959.979</w:t>
            </w:r>
          </w:p>
        </w:tc>
        <w:tc>
          <w:tcPr>
            <w:tcW w:w="1486" w:type="dxa"/>
          </w:tcPr>
          <w:p w:rsidR="00D849AA" w:rsidRDefault="00EE6D95">
            <w:r>
              <w:t>56.891.500</w:t>
            </w:r>
          </w:p>
        </w:tc>
        <w:tc>
          <w:tcPr>
            <w:tcW w:w="1486" w:type="dxa"/>
          </w:tcPr>
          <w:p w:rsidR="00D849AA" w:rsidRDefault="00EE6D95">
            <w:r>
              <w:t>57.313.000</w:t>
            </w:r>
          </w:p>
        </w:tc>
        <w:tc>
          <w:tcPr>
            <w:tcW w:w="1486" w:type="dxa"/>
          </w:tcPr>
          <w:p w:rsidR="00D849AA" w:rsidRDefault="00EE6D95">
            <w:r>
              <w:t>98,9</w:t>
            </w:r>
          </w:p>
        </w:tc>
      </w:tr>
      <w:tr w:rsidR="00D849AA">
        <w:trPr>
          <w:jc w:val="center"/>
        </w:trPr>
        <w:tc>
          <w:tcPr>
            <w:tcW w:w="1486" w:type="dxa"/>
            <w:shd w:val="clear" w:color="auto" w:fill="B5C0D8"/>
          </w:tcPr>
          <w:p w:rsidR="00D849AA" w:rsidRDefault="00EE6D95">
            <w:pPr>
              <w:pStyle w:val="CellColumn"/>
            </w:pPr>
            <w:r>
              <w:t>Ukupno 185</w:t>
            </w:r>
          </w:p>
        </w:tc>
        <w:tc>
          <w:tcPr>
            <w:tcW w:w="1486" w:type="dxa"/>
            <w:shd w:val="clear" w:color="auto" w:fill="B5C0D8"/>
          </w:tcPr>
          <w:p w:rsidR="00D849AA" w:rsidRDefault="00EE6D95">
            <w:r>
              <w:t>53.529.618</w:t>
            </w:r>
          </w:p>
        </w:tc>
        <w:tc>
          <w:tcPr>
            <w:tcW w:w="1486" w:type="dxa"/>
            <w:shd w:val="clear" w:color="auto" w:fill="B5C0D8"/>
          </w:tcPr>
          <w:p w:rsidR="00D849AA" w:rsidRDefault="00EE6D95">
            <w:r>
              <w:t>52.959.979</w:t>
            </w:r>
          </w:p>
        </w:tc>
        <w:tc>
          <w:tcPr>
            <w:tcW w:w="1486" w:type="dxa"/>
            <w:shd w:val="clear" w:color="auto" w:fill="B5C0D8"/>
          </w:tcPr>
          <w:p w:rsidR="00D849AA" w:rsidRDefault="00EE6D95">
            <w:r>
              <w:t>56.891.500</w:t>
            </w:r>
          </w:p>
        </w:tc>
        <w:tc>
          <w:tcPr>
            <w:tcW w:w="1486" w:type="dxa"/>
            <w:shd w:val="clear" w:color="auto" w:fill="B5C0D8"/>
          </w:tcPr>
          <w:p w:rsidR="00D849AA" w:rsidRDefault="00EE6D95">
            <w:r>
              <w:t>57.313.000</w:t>
            </w:r>
          </w:p>
        </w:tc>
        <w:tc>
          <w:tcPr>
            <w:tcW w:w="1486" w:type="dxa"/>
            <w:shd w:val="clear" w:color="auto" w:fill="B5C0D8"/>
          </w:tcPr>
          <w:p w:rsidR="00D849AA" w:rsidRDefault="00EE6D95">
            <w:r>
              <w:t>98,9</w:t>
            </w:r>
          </w:p>
        </w:tc>
      </w:tr>
    </w:tbl>
    <w:p w:rsidR="00D849AA" w:rsidRDefault="00EE6D95">
      <w:pPr>
        <w:pStyle w:val="Naslov2"/>
      </w:pPr>
      <w:r>
        <w:lastRenderedPageBreak/>
        <w:t>18505 Državni ured za reviziju</w:t>
      </w:r>
    </w:p>
    <w:p w:rsidR="00D849AA" w:rsidRDefault="00EE6D95">
      <w:pPr>
        <w:pStyle w:val="Naslov4"/>
      </w:pPr>
      <w:r>
        <w:t>Uvod</w:t>
      </w:r>
    </w:p>
    <w:p w:rsidR="00D849AA" w:rsidRDefault="00EE6D95">
      <w:pPr>
        <w:pStyle w:val="Normal3"/>
      </w:pPr>
      <w:r>
        <w:t>Državni ured za reviziju je osnovan kao samostalno i neovisno državno tijelo.</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18505</w:t>
            </w:r>
          </w:p>
        </w:tc>
        <w:tc>
          <w:tcPr>
            <w:tcW w:w="1486" w:type="dxa"/>
          </w:tcPr>
          <w:p w:rsidR="00D849AA" w:rsidRDefault="00EE6D95">
            <w:r>
              <w:t>53.529.618</w:t>
            </w:r>
          </w:p>
        </w:tc>
        <w:tc>
          <w:tcPr>
            <w:tcW w:w="1486" w:type="dxa"/>
          </w:tcPr>
          <w:p w:rsidR="00D849AA" w:rsidRDefault="00EE6D95">
            <w:r>
              <w:t>52.959.979</w:t>
            </w:r>
          </w:p>
        </w:tc>
        <w:tc>
          <w:tcPr>
            <w:tcW w:w="1486" w:type="dxa"/>
          </w:tcPr>
          <w:p w:rsidR="00D849AA" w:rsidRDefault="00EE6D95">
            <w:r>
              <w:t>56.891.500</w:t>
            </w:r>
          </w:p>
        </w:tc>
        <w:tc>
          <w:tcPr>
            <w:tcW w:w="1486" w:type="dxa"/>
          </w:tcPr>
          <w:p w:rsidR="00D849AA" w:rsidRDefault="00EE6D95">
            <w:r>
              <w:t>57.313.000</w:t>
            </w:r>
          </w:p>
        </w:tc>
        <w:tc>
          <w:tcPr>
            <w:tcW w:w="1486" w:type="dxa"/>
          </w:tcPr>
          <w:p w:rsidR="00D849AA" w:rsidRDefault="00EE6D95">
            <w:r>
              <w:t>98,9</w:t>
            </w:r>
          </w:p>
        </w:tc>
      </w:tr>
    </w:tbl>
    <w:p w:rsidR="00D849AA" w:rsidRDefault="00D849AA">
      <w:pPr>
        <w:jc w:val="left"/>
      </w:pPr>
    </w:p>
    <w:p w:rsidR="00D849AA" w:rsidRDefault="00EE6D95">
      <w:pPr>
        <w:pStyle w:val="Naslov4"/>
      </w:pPr>
      <w:r>
        <w:t>OBRAZLOŽENJE PROGRAMA</w:t>
      </w:r>
    </w:p>
    <w:p w:rsidR="00D849AA" w:rsidRDefault="00EE6D95">
      <w:pPr>
        <w:pStyle w:val="Naslov5"/>
      </w:pPr>
      <w:r>
        <w:t>2208 DJELOVANJE DRŽAVNOG UREDA ZA REVIZIJU</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2208</w:t>
            </w:r>
          </w:p>
        </w:tc>
        <w:tc>
          <w:tcPr>
            <w:tcW w:w="1486" w:type="dxa"/>
          </w:tcPr>
          <w:p w:rsidR="00D849AA" w:rsidRDefault="00EE6D95">
            <w:r>
              <w:t>53.529.618</w:t>
            </w:r>
          </w:p>
        </w:tc>
        <w:tc>
          <w:tcPr>
            <w:tcW w:w="1486" w:type="dxa"/>
          </w:tcPr>
          <w:p w:rsidR="00D849AA" w:rsidRDefault="00EE6D95">
            <w:r>
              <w:t>52.959.979</w:t>
            </w:r>
          </w:p>
        </w:tc>
        <w:tc>
          <w:tcPr>
            <w:tcW w:w="1486" w:type="dxa"/>
          </w:tcPr>
          <w:p w:rsidR="00D849AA" w:rsidRDefault="00EE6D95">
            <w:r>
              <w:t>56.891.500</w:t>
            </w:r>
          </w:p>
        </w:tc>
        <w:tc>
          <w:tcPr>
            <w:tcW w:w="1486" w:type="dxa"/>
          </w:tcPr>
          <w:p w:rsidR="00D849AA" w:rsidRDefault="00EE6D95">
            <w:r>
              <w:t>57.313.000</w:t>
            </w:r>
          </w:p>
        </w:tc>
        <w:tc>
          <w:tcPr>
            <w:tcW w:w="1486" w:type="dxa"/>
          </w:tcPr>
          <w:p w:rsidR="00D849AA" w:rsidRDefault="00EE6D95">
            <w:r>
              <w:t>98,9</w:t>
            </w:r>
          </w:p>
        </w:tc>
      </w:tr>
    </w:tbl>
    <w:p w:rsidR="00D849AA" w:rsidRDefault="00D849AA">
      <w:pPr>
        <w:jc w:val="left"/>
      </w:pPr>
    </w:p>
    <w:p w:rsidR="00D849AA" w:rsidRDefault="00EE6D95">
      <w:pPr>
        <w:pStyle w:val="Naslov6"/>
      </w:pPr>
      <w:r>
        <w:t>Opis programa</w:t>
      </w:r>
    </w:p>
    <w:p w:rsidR="00D849AA" w:rsidRDefault="00EE6D95">
      <w:pPr>
        <w:pStyle w:val="Normal5"/>
      </w:pPr>
      <w:r>
        <w:t xml:space="preserve">Prema odredbama članka 54. Ustava Republike Hrvatske, Državni ured za reviziju je najviša revizijska institucija Republike Hrvatske, koja je samostalna i neovisna o svome radu. Državni ured za reviziju je osnovan kao vrhovno, samostalno i neovisno tijelo državne vlasti za reviziju državnih prihoda i rashoda, primitaka i izdataka, reviziju financijskih izvještaja i financijskih transakcija jedinica državnog sektora, jedinice lokalne i područne (regionalne) samouprave, pravnih osoba koje se djelomice ili u cijelosti financiraju iz proračuna, javnih poduzeća, društva i drugih pravnih osoba u </w:t>
      </w:r>
    </w:p>
    <w:p w:rsidR="00D849AA" w:rsidRDefault="00EE6D95">
      <w:pPr>
        <w:pStyle w:val="Normal5"/>
      </w:pPr>
      <w:r>
        <w:t xml:space="preserve">kojima Republika Hrvatska, odnosno jedinice lokalne i područne (regionalne) samouprave imaju većinsko vlasništvo nad dionicama, odnosno udjelima, te korištenje sredstava Europske unije i drugih međunarodnih organizacija ili institucija za financiranje javnih potreba. </w:t>
      </w:r>
    </w:p>
    <w:p w:rsidR="00D849AA" w:rsidRDefault="00EE6D95">
      <w:pPr>
        <w:pStyle w:val="Normal5"/>
      </w:pPr>
      <w:r>
        <w:t xml:space="preserve">Donošenjem Zakona o financiranju političkih aktivnosti i izborne promidžbe, u nadležnosti Državnog ureda za reviziju su i poslovi revizije godišnjeg financijskog poslovanja i godišnjih financijskih izvještaja političkih stranaka, nezavisnih zastupnika, zastupnika nacionalnih manjina i nezavisnih članova predstavničkih tijela jedinica lokalne i područne (regionalne) samouprave. Za obavljanje navedenih revizija, s obzirom na veliki broj političkih stranaka, nezavisnih </w:t>
      </w:r>
    </w:p>
    <w:p w:rsidR="00D849AA" w:rsidRDefault="00EE6D95">
      <w:pPr>
        <w:pStyle w:val="Normal5"/>
      </w:pPr>
      <w:r>
        <w:t xml:space="preserve">zastupnika, nezavisnih članova predstavničkih tijela jedinica lokalne i područne (regionalne) samouprave, osnovan je poseban odjel u koji su raspoređeni najstručniji državni revizori, pa je za obavljanje drugih obveznih revizija iz nadležnosti Državnog ureda za reviziju tijekom protekle dvije godine bilo potrebno povećati broj zaposlenika. </w:t>
      </w:r>
    </w:p>
    <w:p w:rsidR="00D849AA" w:rsidRDefault="00EE6D95">
      <w:pPr>
        <w:pStyle w:val="Normal5"/>
      </w:pPr>
      <w:r>
        <w:t xml:space="preserve">Prema načinu provedbe postupaka revizije, Državni ured za reviziju u okviru svojih ovlaštenja obavlja: </w:t>
      </w:r>
    </w:p>
    <w:p w:rsidR="00D849AA" w:rsidRDefault="00EE6D95">
      <w:pPr>
        <w:pStyle w:val="Normal5"/>
      </w:pPr>
      <w:r>
        <w:lastRenderedPageBreak/>
        <w:t xml:space="preserve">- ispitivanje dokumenata, isprava, izvješća, sustava unutarnje kontrole unutarnje revizije, računovodstvenih i financijskih postupaka te drugih evidencija radi utvrđivanja objektivnosti i istinitosti financijskih aktivnosti, </w:t>
      </w:r>
    </w:p>
    <w:p w:rsidR="00D849AA" w:rsidRDefault="00EE6D95">
      <w:pPr>
        <w:pStyle w:val="Normal5"/>
      </w:pPr>
      <w:r>
        <w:t xml:space="preserve">- ispitivanje financijskih transakcija koje predstavljaju državne prihode i rashode u smislu zakonskog korištenja sredstava, </w:t>
      </w:r>
    </w:p>
    <w:p w:rsidR="00D849AA" w:rsidRDefault="00EE6D95">
      <w:pPr>
        <w:pStyle w:val="Normal5"/>
      </w:pPr>
      <w:r>
        <w:t xml:space="preserve">- davanje ocjene o djelotvornosti i ekonomičnosti obavljanja djelatnosti, te ocjene o učinkovitosti ostvarenja iz određenih programa. </w:t>
      </w:r>
    </w:p>
    <w:p w:rsidR="00D849AA" w:rsidRDefault="00EE6D95">
      <w:pPr>
        <w:pStyle w:val="Normal5"/>
      </w:pPr>
      <w:r>
        <w:t xml:space="preserve">Svoju djelatnost Državni ured za reviziju ostvaruje u okviru jednog programa 2208 - Djelovanje Državnog ureda za reviziju. Glavni program realizira se kroz tri podprograma: </w:t>
      </w:r>
    </w:p>
    <w:p w:rsidR="00D849AA" w:rsidRDefault="00EE6D95">
      <w:pPr>
        <w:pStyle w:val="Normal5"/>
      </w:pPr>
      <w:r>
        <w:t xml:space="preserve">A65000 Administracija i upravljanje, </w:t>
      </w:r>
    </w:p>
    <w:p w:rsidR="00D849AA" w:rsidRDefault="00EE6D95">
      <w:pPr>
        <w:pStyle w:val="Normal5"/>
      </w:pPr>
      <w:r>
        <w:t xml:space="preserve">K665001 Informatizacija i </w:t>
      </w:r>
    </w:p>
    <w:p w:rsidR="00D849AA" w:rsidRDefault="00EE6D95">
      <w:pPr>
        <w:pStyle w:val="Normal5"/>
      </w:pPr>
      <w:r>
        <w:t>K665002 Obnova voznog parka.</w:t>
      </w:r>
    </w:p>
    <w:p w:rsidR="00D849AA" w:rsidRDefault="00EE6D95">
      <w:pPr>
        <w:pStyle w:val="Naslov6"/>
      </w:pPr>
      <w:r>
        <w:t>Zakonske i druge pravne osnove</w:t>
      </w:r>
    </w:p>
    <w:p w:rsidR="00D849AA" w:rsidRDefault="00EE6D95">
      <w:pPr>
        <w:pStyle w:val="Normal5"/>
      </w:pPr>
      <w:r>
        <w:t xml:space="preserve">- Zakon o Državnom uredu za reviziju (NN 80/11), </w:t>
      </w:r>
    </w:p>
    <w:p w:rsidR="00D849AA" w:rsidRDefault="00EE6D95">
      <w:pPr>
        <w:pStyle w:val="Normal5"/>
      </w:pPr>
      <w:r>
        <w:t xml:space="preserve">- Zakon o financiranju političkih aktivnosti i izborne promidžbe (NN 24/11, 61/11, 27/13), </w:t>
      </w:r>
    </w:p>
    <w:p w:rsidR="00D849AA" w:rsidRDefault="00EE6D95">
      <w:pPr>
        <w:pStyle w:val="Normal5"/>
      </w:pPr>
      <w:r>
        <w:t xml:space="preserve">- Zakon o lokalnim izborima (NN 144/12), </w:t>
      </w:r>
    </w:p>
    <w:p w:rsidR="00D849AA" w:rsidRDefault="00EE6D95">
      <w:pPr>
        <w:pStyle w:val="Normal5"/>
      </w:pPr>
      <w:r>
        <w:t xml:space="preserve">- Okviri revizijskih standarda međunarodne organizacije vrhovnih revizijskih institucija-ISSAI (NN 146/11), </w:t>
      </w:r>
    </w:p>
    <w:p w:rsidR="00D849AA" w:rsidRDefault="00EE6D95">
      <w:pPr>
        <w:pStyle w:val="Normal5"/>
      </w:pPr>
      <w:r>
        <w:t>- Upute za izradu prijedloga državnog proračuna Republike Hrvatske za razdoblje 2014.-2016.</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Cilj 1. Jačanje institucionalnog okvira</w:t>
      </w:r>
    </w:p>
    <w:p w:rsidR="00D849AA" w:rsidRDefault="00EE6D95">
      <w:pPr>
        <w:pStyle w:val="Normal6"/>
      </w:pPr>
      <w:r>
        <w:t xml:space="preserve">U okviru ovog cilja planira se usklađenje internih akata i pravlia Državnog ureda za reviziju s odredbama Zakona o Državnom uredu za reviziju i drugim propisima. Sukladno tome postavljeni su sljedeći podciljevi: </w:t>
      </w:r>
    </w:p>
    <w:p w:rsidR="00D849AA" w:rsidRDefault="00EE6D95">
      <w:pPr>
        <w:pStyle w:val="Normal6"/>
      </w:pPr>
      <w:r>
        <w:t xml:space="preserve">- izraditi nove i/ili ažurirati postojeće propise: donijeti unutarnji normativni akt kojim bi se reguliralo ocjenjivanje, nagrađivanje i discipliniranje zaposlenika, ažurirati Pravilnik o zaštiti i obradi arhivskog gradiva u dijelu koji se odnosi na čuvanje dokumentacije koja nije vezana za utvrđene nepravilnosti, donijeti unutarnji normativni akt za jačanje sustva zaštite informacija, </w:t>
      </w:r>
    </w:p>
    <w:p w:rsidR="00D849AA" w:rsidRDefault="00EE6D95">
      <w:pPr>
        <w:pStyle w:val="Normal6"/>
      </w:pPr>
      <w:r>
        <w:t xml:space="preserve">- ažurirati postojeće strategije: Komunikacijsku, Strategiju informiranja, Kadrovsku, IT strategiju, Strategiju revidiranja EU fondova, </w:t>
      </w:r>
    </w:p>
    <w:p w:rsidR="00D849AA" w:rsidRDefault="00EE6D95">
      <w:pPr>
        <w:pStyle w:val="Normal6"/>
      </w:pPr>
      <w:r>
        <w:t xml:space="preserve">- usklađivanje smjernica i priručnika za rad s razvojem ISSAI standarda, </w:t>
      </w:r>
    </w:p>
    <w:p w:rsidR="00D849AA" w:rsidRDefault="00EE6D95">
      <w:pPr>
        <w:pStyle w:val="Normal6"/>
      </w:pPr>
      <w:r>
        <w:t xml:space="preserve">- ažurirati poslovni model Ureda i procedure rada, </w:t>
      </w:r>
    </w:p>
    <w:p w:rsidR="00D849AA" w:rsidRDefault="00EE6D95">
      <w:pPr>
        <w:pStyle w:val="Normal6"/>
      </w:pPr>
      <w:r>
        <w:t xml:space="preserve">- ustrojiti registre: subjekata revizije, nepravilnosti i šifrarnik za dokumentaciju. </w:t>
      </w:r>
    </w:p>
    <w:p w:rsidR="00D849AA" w:rsidRDefault="00EE6D95">
      <w:pPr>
        <w:pStyle w:val="Normal6"/>
      </w:pPr>
      <w:r>
        <w:t>U okviru ovog cilja potrebno je u cilju povećanja financijske neovisnosti Ureda kao dugoročnog cilja institucije, inicirati izmjenu relevantnih zakona i propisa, u smislu postizanja da Hrvatski sabor izravno zahtjeva u proračunu osiguranje sredstava Ureda, kao i da se sredstva za rad Ureda u Državnom proračunu osiguraju u jednom iznosu, a da raspored i namjena budu u isključivoj nadležnosti Ureda, te u cilju očuvanja funkcionalne neovisnosti Ureda inicirati izmjenu članka 206. Zakona o kaznenom postupku.</w:t>
      </w:r>
    </w:p>
    <w:p w:rsidR="00D849AA" w:rsidRDefault="00EE6D95">
      <w:pPr>
        <w:pStyle w:val="Naslov7"/>
      </w:pPr>
      <w:r>
        <w:lastRenderedPageBreak/>
        <w:t>Cilj 2. Ojačati kapacitet Ureda</w:t>
      </w:r>
    </w:p>
    <w:p w:rsidR="00D849AA" w:rsidRDefault="00EE6D95">
      <w:pPr>
        <w:pStyle w:val="Normal6"/>
      </w:pPr>
      <w:r>
        <w:t xml:space="preserve">Da bi se ojačali kapaciteti Ureda potrebno je unaprijediti kadrovsku politiku i razviti politiku zapošljavanja u skladu s razvojem struke i razvojnim promjenama u okruženju, razviti unutarnji sustav ocjenjivanja i nagrađivanja zaposlenika, unaprijediti sustav edukacije kadrova, posebno u području korištenja IT tehnologije, financijskih revizija i revizija učinkovitosti te poslovne etike i EU politika. </w:t>
      </w:r>
    </w:p>
    <w:p w:rsidR="00D849AA" w:rsidRDefault="00EE6D95">
      <w:pPr>
        <w:pStyle w:val="Normal6"/>
      </w:pPr>
      <w:r>
        <w:t>Također potrebno je unaprijediti sustav zaštite informacija i podataka te sustav unutarnje i vanjske komunikacije.</w:t>
      </w:r>
    </w:p>
    <w:p w:rsidR="00D849AA" w:rsidRDefault="00EE6D95">
      <w:pPr>
        <w:pStyle w:val="Naslov7"/>
      </w:pPr>
      <w:r>
        <w:t>Cilj 3. Usklađivanje metodologije i načina rada Ureda  s ISSAI standardima</w:t>
      </w:r>
    </w:p>
    <w:p w:rsidR="00D849AA" w:rsidRDefault="00EE6D95">
      <w:pPr>
        <w:pStyle w:val="Normal6"/>
      </w:pPr>
      <w:r>
        <w:t xml:space="preserve">U ostvarivanju ovog cilja potrebno je jasno definirati vrste revizija u skladu s ISSAI standardima te kontinuirano razvijati i usklađivati metodologiju i način rada u svim vrstama revizija i svim fazama (godišnje planiranje, planiranje pojedinačnih revizija, provedbi, izvješćivanju i praćenju učinjenog po preporukama). </w:t>
      </w:r>
    </w:p>
    <w:p w:rsidR="00D849AA" w:rsidRDefault="00EE6D95">
      <w:pPr>
        <w:pStyle w:val="Normal6"/>
      </w:pPr>
      <w:r>
        <w:t>Potrebno je također precizirati pravila i postupke za donošenje mišljenja, razviti sustav višegodišnjeg programiranja revizija te sustavno povećavati broj revizija učinkovitosti i revizija zaštite okoliša.</w:t>
      </w:r>
    </w:p>
    <w:p w:rsidR="00D849AA" w:rsidRDefault="00EE6D95">
      <w:pPr>
        <w:pStyle w:val="Naslov7"/>
      </w:pPr>
      <w:r>
        <w:t>Cilj 4. Unapređenje unutarnje organizacije rada</w:t>
      </w:r>
    </w:p>
    <w:p w:rsidR="00D849AA" w:rsidRDefault="00EE6D95">
      <w:pPr>
        <w:pStyle w:val="Normal6"/>
      </w:pPr>
      <w:r>
        <w:t>Uspostavljanjem fleksibilne organizacijske strukture omogućit će se jednostavno i brzo raspoređivanje kadrova i prilagođavanje razvojnim potrebama i promjenama u okruženju. Za brže postizanje tog cilja potrebno je osnovati Odjel za metodologiju kako bi se kontinuirano pratili suvremeni pravci razvoja struke i sukladno tome prilagođavali poslovni modeli i organizacija ureda. Potrebno je isto tako ojačati Odjel za međunarodne odnose u skladu s proširenjem međunarodne suradnje.</w:t>
      </w:r>
    </w:p>
    <w:p w:rsidR="00D849AA" w:rsidRDefault="00EE6D95">
      <w:pPr>
        <w:pStyle w:val="Naslov7"/>
      </w:pPr>
      <w:r>
        <w:t xml:space="preserve">Cilj 5. Utvrđivanje kriterija i načina ocjene učinaka Ureda </w:t>
      </w:r>
    </w:p>
    <w:p w:rsidR="00D849AA" w:rsidRDefault="00EE6D95">
      <w:pPr>
        <w:pStyle w:val="Normal6"/>
      </w:pPr>
      <w:r>
        <w:t>U okviru ovog cilja potrebno je uspostaviti sustav ocjenjivanja učinkovitosti Ureda-utvrditi kriterije i usvojiti smjernice koje će pomoći u vrednovanju ostvarivanja učinaka Ureda. Potrebno je uspostaviti i sustav vanjskog ocjenjivanja Ureda te sustav ocjenjivanja etičnosti Ureda te etičnosti državnih revizora čime bi se potignuli najviši standardi u radu Ureda.</w:t>
      </w:r>
    </w:p>
    <w:p w:rsidR="00D849AA" w:rsidRDefault="00EE6D95">
      <w:pPr>
        <w:pStyle w:val="Naslov5"/>
      </w:pPr>
      <w:r>
        <w:t>Procjena i ishodište potrebnih sredstava za značajnije aktivnosti/projekte</w:t>
      </w:r>
    </w:p>
    <w:p w:rsidR="00D849AA" w:rsidRDefault="00EE6D95">
      <w:pPr>
        <w:pStyle w:val="Naslov6"/>
      </w:pPr>
      <w:r>
        <w:t>A665000 ADMINISTRACIJA I UPRAVLJANJE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A665000</w:t>
            </w:r>
          </w:p>
        </w:tc>
        <w:tc>
          <w:tcPr>
            <w:tcW w:w="1486" w:type="dxa"/>
          </w:tcPr>
          <w:p w:rsidR="00D849AA" w:rsidRDefault="00EE6D95">
            <w:r>
              <w:t>52.729.178</w:t>
            </w:r>
          </w:p>
        </w:tc>
        <w:tc>
          <w:tcPr>
            <w:tcW w:w="1486" w:type="dxa"/>
          </w:tcPr>
          <w:p w:rsidR="00D849AA" w:rsidRDefault="00EE6D95">
            <w:r>
              <w:t>50.959.979</w:t>
            </w:r>
          </w:p>
        </w:tc>
        <w:tc>
          <w:tcPr>
            <w:tcW w:w="1486" w:type="dxa"/>
          </w:tcPr>
          <w:p w:rsidR="00D849AA" w:rsidRDefault="00EE6D95">
            <w:r>
              <w:t>54.891.500</w:t>
            </w:r>
          </w:p>
        </w:tc>
        <w:tc>
          <w:tcPr>
            <w:tcW w:w="1486" w:type="dxa"/>
          </w:tcPr>
          <w:p w:rsidR="00D849AA" w:rsidRDefault="00EE6D95">
            <w:r>
              <w:t>55.313.000</w:t>
            </w:r>
          </w:p>
        </w:tc>
        <w:tc>
          <w:tcPr>
            <w:tcW w:w="1486" w:type="dxa"/>
          </w:tcPr>
          <w:p w:rsidR="00D849AA" w:rsidRDefault="00EE6D95">
            <w:r>
              <w:t>96,6</w:t>
            </w:r>
          </w:p>
        </w:tc>
      </w:tr>
    </w:tbl>
    <w:p w:rsidR="00D849AA" w:rsidRDefault="00D849AA">
      <w:pPr>
        <w:jc w:val="left"/>
      </w:pPr>
    </w:p>
    <w:p w:rsidR="00D849AA" w:rsidRDefault="00EE6D95">
      <w:pPr>
        <w:pStyle w:val="Normal6"/>
      </w:pPr>
      <w:r>
        <w:t xml:space="preserve">U ukupno planiranim sredstvima Ureda, podprogram A665000 Administracija i upravljanje sudjeluje s 96,2% i unutar tog podprograma planirani su rashodi za zaposlene u iznosu 43.939.979,00 kn, rashodi za materijal i energiju 3.776.000,00 kn, rashodi za usluge 2.770.000,00 kn te ostali rashodi 474.000,00 kn. </w:t>
      </w:r>
    </w:p>
    <w:p w:rsidR="00D849AA" w:rsidRDefault="00EE6D95">
      <w:pPr>
        <w:pStyle w:val="Normal6"/>
      </w:pPr>
      <w:r>
        <w:t xml:space="preserve">Rashodi za zaposlene planirani su prema osnovici za obračun plaća i koeficijentima utvrđenim Zakonom o plaćama ovlaštenih državnih revizora i Uredbom o nazivima radnih mjesta i koeficijentima složenosti poslova u državnoj službi. </w:t>
      </w:r>
    </w:p>
    <w:p w:rsidR="00D849AA" w:rsidRDefault="00EE6D95">
      <w:pPr>
        <w:pStyle w:val="Normal6"/>
      </w:pPr>
      <w:r>
        <w:lastRenderedPageBreak/>
        <w:t>Materijalni i svi ostali rashodi planirani su sukladno potrebama za redovno poslovanje Ureda.</w:t>
      </w:r>
    </w:p>
    <w:p w:rsidR="00D849AA" w:rsidRDefault="00EE6D95">
      <w:pPr>
        <w:pStyle w:val="Naslov6"/>
      </w:pPr>
      <w:r>
        <w:t>K665001 INFORMATIZACIJA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K665001</w:t>
            </w:r>
          </w:p>
        </w:tc>
        <w:tc>
          <w:tcPr>
            <w:tcW w:w="1486" w:type="dxa"/>
          </w:tcPr>
          <w:p w:rsidR="00D849AA" w:rsidRDefault="00EE6D95">
            <w:r>
              <w:t>800.440</w:t>
            </w:r>
          </w:p>
        </w:tc>
        <w:tc>
          <w:tcPr>
            <w:tcW w:w="1486" w:type="dxa"/>
          </w:tcPr>
          <w:p w:rsidR="00D849AA" w:rsidRDefault="00EE6D95">
            <w:r>
              <w:t>1.000.000</w:t>
            </w:r>
          </w:p>
        </w:tc>
        <w:tc>
          <w:tcPr>
            <w:tcW w:w="1486" w:type="dxa"/>
          </w:tcPr>
          <w:p w:rsidR="00D849AA" w:rsidRDefault="00EE6D95">
            <w:r>
              <w:t>1.000.000</w:t>
            </w:r>
          </w:p>
        </w:tc>
        <w:tc>
          <w:tcPr>
            <w:tcW w:w="1486" w:type="dxa"/>
          </w:tcPr>
          <w:p w:rsidR="00D849AA" w:rsidRDefault="00EE6D95">
            <w:r>
              <w:t>1.000.000</w:t>
            </w:r>
          </w:p>
        </w:tc>
        <w:tc>
          <w:tcPr>
            <w:tcW w:w="1486" w:type="dxa"/>
          </w:tcPr>
          <w:p w:rsidR="00D849AA" w:rsidRDefault="00EE6D95">
            <w:r>
              <w:t>124,9</w:t>
            </w:r>
          </w:p>
        </w:tc>
      </w:tr>
    </w:tbl>
    <w:p w:rsidR="00D849AA" w:rsidRDefault="00D849AA">
      <w:pPr>
        <w:jc w:val="left"/>
      </w:pPr>
    </w:p>
    <w:p w:rsidR="00D849AA" w:rsidRDefault="00EE6D95">
      <w:pPr>
        <w:pStyle w:val="Normal6"/>
      </w:pPr>
      <w:r>
        <w:t xml:space="preserve">U podprogramu K665001-Informatizacija, planirana su sredstva za obnovu informatičke opreme Državnog ureda za reviziju, čime se nastavlja zamjena opreme dobivene 2005. godine od Europske unije u okviru provedbe Twinning projekta "Jačanje vanjskog nadzora nad izvršenjem proračuna. Ovaj podprogram vezan je uz ostvarivanje jednog od ciljeva Strateškog plana Ureda za razdoblje 2013.-2017.- Jačanje kapaciteta. </w:t>
      </w:r>
    </w:p>
    <w:p w:rsidR="00D849AA" w:rsidRDefault="00EE6D95">
      <w:pPr>
        <w:pStyle w:val="Normal6"/>
      </w:pPr>
      <w:r>
        <w:t>Za nabavu opreme planiran je iznos od 600.000,00 kn, a za zakup licenci 400.000,00 kn.</w:t>
      </w:r>
    </w:p>
    <w:p w:rsidR="00D849AA" w:rsidRDefault="00EE6D95">
      <w:pPr>
        <w:pStyle w:val="Naslov1"/>
      </w:pPr>
      <w:r>
        <w:lastRenderedPageBreak/>
        <w:t>196 DRŽAVNA KOMISIJA ZA KONTROLU POSTUPAKA JAVNE NABAVE</w:t>
      </w:r>
    </w:p>
    <w:p w:rsidR="00D849AA" w:rsidRDefault="00EE6D95">
      <w:pPr>
        <w:pStyle w:val="Naslov4"/>
      </w:pPr>
      <w:r>
        <w:t>Uvod</w:t>
      </w:r>
    </w:p>
    <w:p w:rsidR="00D849AA" w:rsidRDefault="00EE6D95">
      <w:pPr>
        <w:pStyle w:val="Normal3"/>
      </w:pPr>
      <w:r>
        <w:t xml:space="preserve">Državna komisija za kontrolu postupaka javne nabave (u daljnjem tekstu Državna komisija) samostalno je i neovisno državno tijelo nadležno za rješavanje o žalbama u postupcima javne nabave, davanja koncesija i odabira privatnog partnera u projektima javno-privatnog partnerstva. Državna komisija u žalbenom postupku odlučuje o zakonitosti postupaka, radnji, propuštanja radnji i odluka kao pojedinačnih akata u navedenim postupcima, te o drugim zahtjevima koje su u postupku pravne zaštite ovlaštene postaviti stranke postupaka. Državna komisija podnosi optužene prijedloge za prekršaje propisane Zakonom o Državnoj komisiji i drugim propisima koji uređuju područje javne nabave. Za svoj rad Državna komisija odgovara Hrvatskom saboru te je obvezna jednom godišnje podnijeti Hrvatskom saboru izvješće o svom radu. </w:t>
      </w:r>
    </w:p>
    <w:p w:rsidR="00D849AA" w:rsidRDefault="00EE6D95">
      <w:pPr>
        <w:pStyle w:val="Normal3"/>
      </w:pPr>
      <w:r>
        <w:t xml:space="preserve">Novim Zakonom o Državnoj komisiji (Narodne novine 18/13, 127/13) propisano je da Državna komisija ima devet članova od kojih je jedan predsjednik, dva zamjenika predsjednika, te šest članova, a koji donose odluke u tri vijeća. Državna komisija donosi odluke na sjednicama vijeća, s tim da članovi Državne komisije ne mogu biti suzdržani od glasovanja. Pojedinim vijećem predsjedava predsjednik Državne komisije, odnosno jedan od zamjenika predsjednika. Od ukupno 32 zaposlenika Državna komisija, od listopada 2013. godine, ima šest članova od kojih je jedan predsjednik, dva zamjenika predsjednika, a koje imenuje ih Hrvatski sabor na prijedlog Vlade republike Hrvatske. Unutarnje ustrojstvo, organizacija, način rada i druga pitanja od značenja za rad Državne komisije uređuje se Uredbom o unutarnjem ustrojstvu Državne komisije za kontrolu postupaka javne nabave, koju je donijela Vlada Republike Hrvatske ("Narodne novine", broj 84/13). </w:t>
      </w:r>
    </w:p>
    <w:p w:rsidR="00D849AA" w:rsidRDefault="00EE6D95">
      <w:pPr>
        <w:pStyle w:val="Normal3"/>
      </w:pPr>
      <w:r>
        <w:t>Sukladno organizacijskoj klasifikaciji Državna komisija je razdjel oznake 195, glava 05.</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19605 Državna komisija za kontrolu postupaka javne nabave</w:t>
            </w:r>
          </w:p>
        </w:tc>
        <w:tc>
          <w:tcPr>
            <w:tcW w:w="1486" w:type="dxa"/>
          </w:tcPr>
          <w:p w:rsidR="00D849AA" w:rsidRDefault="00EE6D95">
            <w:r>
              <w:t>7.831.143</w:t>
            </w:r>
          </w:p>
        </w:tc>
        <w:tc>
          <w:tcPr>
            <w:tcW w:w="1486" w:type="dxa"/>
          </w:tcPr>
          <w:p w:rsidR="00D849AA" w:rsidRDefault="00EE6D95">
            <w:r>
              <w:t>8.802.012</w:t>
            </w:r>
          </w:p>
        </w:tc>
        <w:tc>
          <w:tcPr>
            <w:tcW w:w="1486" w:type="dxa"/>
          </w:tcPr>
          <w:p w:rsidR="00D849AA" w:rsidRDefault="00EE6D95">
            <w:r>
              <w:t>10.027.223</w:t>
            </w:r>
          </w:p>
        </w:tc>
        <w:tc>
          <w:tcPr>
            <w:tcW w:w="1486" w:type="dxa"/>
          </w:tcPr>
          <w:p w:rsidR="00D849AA" w:rsidRDefault="00EE6D95">
            <w:r>
              <w:t>10.371.443</w:t>
            </w:r>
          </w:p>
        </w:tc>
        <w:tc>
          <w:tcPr>
            <w:tcW w:w="1486" w:type="dxa"/>
          </w:tcPr>
          <w:p w:rsidR="00D849AA" w:rsidRDefault="00EE6D95">
            <w:r>
              <w:t>112,4</w:t>
            </w:r>
          </w:p>
        </w:tc>
      </w:tr>
      <w:tr w:rsidR="00D849AA">
        <w:trPr>
          <w:jc w:val="center"/>
        </w:trPr>
        <w:tc>
          <w:tcPr>
            <w:tcW w:w="1486" w:type="dxa"/>
            <w:shd w:val="clear" w:color="auto" w:fill="B5C0D8"/>
          </w:tcPr>
          <w:p w:rsidR="00D849AA" w:rsidRDefault="00EE6D95">
            <w:pPr>
              <w:pStyle w:val="CellColumn"/>
            </w:pPr>
            <w:r>
              <w:t>Ukupno 196</w:t>
            </w:r>
          </w:p>
        </w:tc>
        <w:tc>
          <w:tcPr>
            <w:tcW w:w="1486" w:type="dxa"/>
            <w:shd w:val="clear" w:color="auto" w:fill="B5C0D8"/>
          </w:tcPr>
          <w:p w:rsidR="00D849AA" w:rsidRDefault="00EE6D95">
            <w:r>
              <w:t>7.831.143</w:t>
            </w:r>
          </w:p>
        </w:tc>
        <w:tc>
          <w:tcPr>
            <w:tcW w:w="1486" w:type="dxa"/>
            <w:shd w:val="clear" w:color="auto" w:fill="B5C0D8"/>
          </w:tcPr>
          <w:p w:rsidR="00D849AA" w:rsidRDefault="00EE6D95">
            <w:r>
              <w:t>8.802.012</w:t>
            </w:r>
          </w:p>
        </w:tc>
        <w:tc>
          <w:tcPr>
            <w:tcW w:w="1486" w:type="dxa"/>
            <w:shd w:val="clear" w:color="auto" w:fill="B5C0D8"/>
          </w:tcPr>
          <w:p w:rsidR="00D849AA" w:rsidRDefault="00EE6D95">
            <w:r>
              <w:t>10.027.223</w:t>
            </w:r>
          </w:p>
        </w:tc>
        <w:tc>
          <w:tcPr>
            <w:tcW w:w="1486" w:type="dxa"/>
            <w:shd w:val="clear" w:color="auto" w:fill="B5C0D8"/>
          </w:tcPr>
          <w:p w:rsidR="00D849AA" w:rsidRDefault="00EE6D95">
            <w:r>
              <w:t>10.371.443</w:t>
            </w:r>
          </w:p>
        </w:tc>
        <w:tc>
          <w:tcPr>
            <w:tcW w:w="1486" w:type="dxa"/>
            <w:shd w:val="clear" w:color="auto" w:fill="B5C0D8"/>
          </w:tcPr>
          <w:p w:rsidR="00D849AA" w:rsidRDefault="00EE6D95">
            <w:r>
              <w:t>112,4</w:t>
            </w:r>
          </w:p>
        </w:tc>
      </w:tr>
    </w:tbl>
    <w:p w:rsidR="00D849AA" w:rsidRDefault="00D849AA">
      <w:pPr>
        <w:jc w:val="left"/>
      </w:pPr>
    </w:p>
    <w:p w:rsidR="00D849AA" w:rsidRDefault="00EE6D95">
      <w:pPr>
        <w:pStyle w:val="Naslov2"/>
      </w:pPr>
      <w:r>
        <w:t>19605 Državna komisija za kontrolu postupaka javne nabave</w:t>
      </w:r>
    </w:p>
    <w:p w:rsidR="00D849AA" w:rsidRDefault="00EE6D95">
      <w:pPr>
        <w:pStyle w:val="Naslov4"/>
      </w:pPr>
      <w:r>
        <w:t>Uvod</w:t>
      </w:r>
    </w:p>
    <w:p w:rsidR="00D849AA" w:rsidRDefault="00EE6D95">
      <w:pPr>
        <w:pStyle w:val="Normal3"/>
      </w:pPr>
      <w:r>
        <w:t>Sukladno organiz</w:t>
      </w:r>
      <w:bookmarkStart w:id="0" w:name="_GoBack"/>
      <w:bookmarkEnd w:id="0"/>
      <w:r>
        <w:t xml:space="preserve">acijskoj klasifikaciji Državna komisija je razdjel oznake 195, glava 05. Državna komisija ima jedan program 2209 - Kontrola postupaka javne nabave, jednu aktivnost A744000- Kontrola postupaka javne nabave i dva kapitalna projekta: K744001- Opremanje uredskog prostora i K744002- Informatizacija. Ukupan plan za 2014. godinu iznosi 8.802.012 kuna, a od tog </w:t>
      </w:r>
      <w:r>
        <w:lastRenderedPageBreak/>
        <w:t xml:space="preserve">iznosa za plaće je planirano 6.588.114  kuna, za materijalne troškove 2.091.898 kuna i za kapitalne izdatke 122.000 kuna. </w:t>
      </w:r>
    </w:p>
    <w:p w:rsidR="00D849AA" w:rsidRDefault="00EE6D95">
      <w:pPr>
        <w:pStyle w:val="Normal3"/>
      </w:pPr>
      <w:r>
        <w:t>Za napomenuti je da sredstva planirana za plaće nisu dostatna za plaće članova Državne komisije sukladno novom Zakonu o Državnoj komisiji ("Narodne novine", broj 18/13, 127/13) stoga je istaknut zahtjev za dodatnim potrebama u 2014. godinu. Također,  planirana sredstva ukupnih rashoda bez rashoda za zaposlene za 2014. ne prate povećanje rashoda za zaposlene. Za 2014. godinu sredstva za materijalne troškove veća su za 48.755 kuna od planiranih sredstava za 2013. godinu u kojoj su uložene značajne uštede kako bi se tekuća godina privela kraju, posebno na službenim putovanjima i stručnom usavršavanju.</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19605</w:t>
            </w:r>
          </w:p>
        </w:tc>
        <w:tc>
          <w:tcPr>
            <w:tcW w:w="1486" w:type="dxa"/>
          </w:tcPr>
          <w:p w:rsidR="00D849AA" w:rsidRDefault="00EE6D95">
            <w:r>
              <w:t>7.831.143</w:t>
            </w:r>
          </w:p>
        </w:tc>
        <w:tc>
          <w:tcPr>
            <w:tcW w:w="1486" w:type="dxa"/>
          </w:tcPr>
          <w:p w:rsidR="00D849AA" w:rsidRDefault="00EE6D95">
            <w:r>
              <w:t>8.802.012</w:t>
            </w:r>
          </w:p>
        </w:tc>
        <w:tc>
          <w:tcPr>
            <w:tcW w:w="1486" w:type="dxa"/>
          </w:tcPr>
          <w:p w:rsidR="00D849AA" w:rsidRDefault="00EE6D95">
            <w:r>
              <w:t>10.027.223</w:t>
            </w:r>
          </w:p>
        </w:tc>
        <w:tc>
          <w:tcPr>
            <w:tcW w:w="1486" w:type="dxa"/>
          </w:tcPr>
          <w:p w:rsidR="00D849AA" w:rsidRDefault="00EE6D95">
            <w:r>
              <w:t>10.371.443</w:t>
            </w:r>
          </w:p>
        </w:tc>
        <w:tc>
          <w:tcPr>
            <w:tcW w:w="1486" w:type="dxa"/>
          </w:tcPr>
          <w:p w:rsidR="00D849AA" w:rsidRDefault="00EE6D95">
            <w:r>
              <w:t>112,4</w:t>
            </w:r>
          </w:p>
        </w:tc>
      </w:tr>
    </w:tbl>
    <w:p w:rsidR="00D849AA" w:rsidRDefault="00D849AA">
      <w:pPr>
        <w:jc w:val="left"/>
      </w:pPr>
    </w:p>
    <w:p w:rsidR="00D849AA" w:rsidRDefault="00EE6D95">
      <w:pPr>
        <w:pStyle w:val="Naslov4"/>
      </w:pPr>
      <w:r>
        <w:t>OBRAZLOŽENJE PROGRAMA</w:t>
      </w:r>
    </w:p>
    <w:p w:rsidR="00D849AA" w:rsidRDefault="00EE6D95">
      <w:pPr>
        <w:pStyle w:val="Naslov5"/>
      </w:pPr>
      <w:r>
        <w:t>2209 KONTROLA POSTUPAKA JAVNE NABAVE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2209</w:t>
            </w:r>
          </w:p>
        </w:tc>
        <w:tc>
          <w:tcPr>
            <w:tcW w:w="1486" w:type="dxa"/>
          </w:tcPr>
          <w:p w:rsidR="00D849AA" w:rsidRDefault="00EE6D95">
            <w:r>
              <w:t>7.831.143</w:t>
            </w:r>
          </w:p>
        </w:tc>
        <w:tc>
          <w:tcPr>
            <w:tcW w:w="1486" w:type="dxa"/>
          </w:tcPr>
          <w:p w:rsidR="00D849AA" w:rsidRDefault="00EE6D95">
            <w:r>
              <w:t>8.802.012</w:t>
            </w:r>
          </w:p>
        </w:tc>
        <w:tc>
          <w:tcPr>
            <w:tcW w:w="1486" w:type="dxa"/>
          </w:tcPr>
          <w:p w:rsidR="00D849AA" w:rsidRDefault="00EE6D95">
            <w:r>
              <w:t>10.027.223</w:t>
            </w:r>
          </w:p>
        </w:tc>
        <w:tc>
          <w:tcPr>
            <w:tcW w:w="1486" w:type="dxa"/>
          </w:tcPr>
          <w:p w:rsidR="00D849AA" w:rsidRDefault="00EE6D95">
            <w:r>
              <w:t>10.371.443</w:t>
            </w:r>
          </w:p>
        </w:tc>
        <w:tc>
          <w:tcPr>
            <w:tcW w:w="1486" w:type="dxa"/>
          </w:tcPr>
          <w:p w:rsidR="00D849AA" w:rsidRDefault="00EE6D95">
            <w:r>
              <w:t>112,4</w:t>
            </w:r>
          </w:p>
        </w:tc>
      </w:tr>
    </w:tbl>
    <w:p w:rsidR="00D849AA" w:rsidRDefault="00D849AA">
      <w:pPr>
        <w:jc w:val="left"/>
      </w:pPr>
    </w:p>
    <w:p w:rsidR="00D849AA" w:rsidRDefault="00EE6D95">
      <w:pPr>
        <w:pStyle w:val="Naslov6"/>
      </w:pPr>
      <w:r>
        <w:t>Opis programa</w:t>
      </w:r>
    </w:p>
    <w:p w:rsidR="00D849AA" w:rsidRDefault="00EE6D95">
      <w:pPr>
        <w:pStyle w:val="Normal5"/>
      </w:pPr>
      <w:r>
        <w:t>Državna komisija ima jedan program 2209 - Kontrola postupaka javne nabave, jednu aktivnost A744000 - Kontrola postupaka javne nabave i dva kapitalna projekta: K744001- Opremanje uredskog prostora i K744002- Informatizacija. Ukupan plan za 2014. godinu iznosi 8.802.012 kuna, a od tog iznosa za plaće je planirano 6.588.114 kuna, za materijalne troškove 2.091.898 kuna i za kapitalne izdatke 122.000 kuna.</w:t>
      </w:r>
    </w:p>
    <w:p w:rsidR="00D849AA" w:rsidRDefault="00EE6D95">
      <w:pPr>
        <w:pStyle w:val="Naslov6"/>
      </w:pPr>
      <w:r>
        <w:t>Zakonske i druge pravne osnove</w:t>
      </w:r>
    </w:p>
    <w:p w:rsidR="00D849AA" w:rsidRDefault="00EE6D95">
      <w:pPr>
        <w:pStyle w:val="Normal5"/>
      </w:pPr>
      <w:r>
        <w:t xml:space="preserve">Zakon o Državnoj komisiji za kontrolu postupaka javne nabave ("Narodne novine", broj 18/13, 127/13) </w:t>
      </w:r>
    </w:p>
    <w:p w:rsidR="00D849AA" w:rsidRDefault="00EE6D95">
      <w:pPr>
        <w:pStyle w:val="Normal5"/>
      </w:pPr>
      <w:r>
        <w:t xml:space="preserve">Zakon o javnoj nabavi ("Narodne novine", broj 90/11, 83/13) </w:t>
      </w:r>
    </w:p>
    <w:p w:rsidR="00D849AA" w:rsidRDefault="00EE6D95">
      <w:pPr>
        <w:pStyle w:val="Normal5"/>
      </w:pPr>
      <w:r>
        <w:t xml:space="preserve">Zakon o koncesijama ("Narodne novine", broj  143/12)               </w:t>
      </w:r>
    </w:p>
    <w:p w:rsidR="00D849AA" w:rsidRDefault="00EE6D95">
      <w:pPr>
        <w:pStyle w:val="Normal5"/>
      </w:pPr>
      <w:r>
        <w:t>Zakon o javno-privatnom partnerstvu ("Narodne novine", broj 78/12)</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Cilj 1. Ažurno rješavanje žalbenih postupaka u zakonom propisanom roku na kvalitetan i transparentan način</w:t>
      </w:r>
    </w:p>
    <w:p w:rsidR="00D849AA" w:rsidRDefault="00EE6D95">
      <w:pPr>
        <w:pStyle w:val="Normal6"/>
      </w:pPr>
      <w:r>
        <w:t>U 2012. godini Državna komisija je zaprimila 1.728 žalbenih predmeta. Tijekom 2012. godine doneseno je ukupno 1.867 odluka. Polazna vrijednost (riješeni predmeti u odnosu na zaprimljene za 2013. godinu) u ovom trenutku iznosi cca 90%.</w:t>
      </w:r>
    </w:p>
    <w:p w:rsidR="00D849AA" w:rsidRDefault="00EE6D95">
      <w:pPr>
        <w:pStyle w:val="Naslov8"/>
        <w:jc w:val="left"/>
      </w:pPr>
      <w:r>
        <w:lastRenderedPageBreak/>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Ažurno rješavanje žalbenih predmeta u zakonom propisanom roku na kvalitetan i transparentan način</w:t>
            </w:r>
          </w:p>
        </w:tc>
        <w:tc>
          <w:tcPr>
            <w:tcW w:w="1114" w:type="dxa"/>
          </w:tcPr>
          <w:p w:rsidR="00D849AA" w:rsidRDefault="00EE6D95">
            <w:r>
              <w:t>%</w:t>
            </w:r>
          </w:p>
        </w:tc>
        <w:tc>
          <w:tcPr>
            <w:tcW w:w="1114" w:type="dxa"/>
          </w:tcPr>
          <w:p w:rsidR="00D849AA" w:rsidRDefault="00EE6D95">
            <w:r>
              <w:t>90%</w:t>
            </w:r>
          </w:p>
        </w:tc>
        <w:tc>
          <w:tcPr>
            <w:tcW w:w="1486" w:type="dxa"/>
          </w:tcPr>
          <w:p w:rsidR="00D849AA" w:rsidRDefault="00EE6D95">
            <w:r>
              <w:t>91%</w:t>
            </w:r>
          </w:p>
        </w:tc>
        <w:tc>
          <w:tcPr>
            <w:tcW w:w="1486" w:type="dxa"/>
          </w:tcPr>
          <w:p w:rsidR="00D849AA" w:rsidRDefault="00EE6D95">
            <w:r>
              <w:t>92%</w:t>
            </w:r>
          </w:p>
        </w:tc>
        <w:tc>
          <w:tcPr>
            <w:tcW w:w="1486" w:type="dxa"/>
          </w:tcPr>
          <w:p w:rsidR="00D849AA" w:rsidRDefault="00EE6D95">
            <w:r>
              <w:t>92%</w:t>
            </w:r>
          </w:p>
        </w:tc>
      </w:tr>
    </w:tbl>
    <w:p w:rsidR="00D849AA" w:rsidRDefault="00D849AA">
      <w:pPr>
        <w:jc w:val="left"/>
      </w:pPr>
    </w:p>
    <w:p w:rsidR="00D849AA" w:rsidRDefault="00EE6D95">
      <w:pPr>
        <w:pStyle w:val="Naslov7"/>
      </w:pPr>
      <w:r>
        <w:t>Cilj 2. Jačanje kapaciteta Državne komisije</w:t>
      </w:r>
    </w:p>
    <w:p w:rsidR="00D849AA" w:rsidRDefault="00EE6D95">
      <w:pPr>
        <w:pStyle w:val="Normal6"/>
      </w:pPr>
      <w:r>
        <w:t>Sukladno odredbama važećeg Zakona o javnoj nabavi ("Narodne novine", broj 90/11, 83/13), koji je stupio na snagu 1. siječnja 2012. godine, nadležnost Državne komisije proširuje se i na kontrolu ugovora o javnoj nabavi, a kao posljedica pristupanja EU, a nakon pristupanja Republike Hrvatske u članstvo EU, Državna komisija u nadležnost dobiva i pravnu zaštitu u postupcima financiranima iz Kohezijskog i strukturnih fondova.</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Popunjavanje kapaciteta</w:t>
            </w:r>
          </w:p>
        </w:tc>
        <w:tc>
          <w:tcPr>
            <w:tcW w:w="1114" w:type="dxa"/>
          </w:tcPr>
          <w:p w:rsidR="00D849AA" w:rsidRDefault="00EE6D95">
            <w:r>
              <w:t>%</w:t>
            </w:r>
          </w:p>
        </w:tc>
        <w:tc>
          <w:tcPr>
            <w:tcW w:w="1114" w:type="dxa"/>
          </w:tcPr>
          <w:p w:rsidR="00D849AA" w:rsidRDefault="00EE6D95">
            <w:r>
              <w:t>70%</w:t>
            </w:r>
          </w:p>
        </w:tc>
        <w:tc>
          <w:tcPr>
            <w:tcW w:w="1486" w:type="dxa"/>
          </w:tcPr>
          <w:p w:rsidR="00D849AA" w:rsidRDefault="00EE6D95">
            <w:r>
              <w:t>79%</w:t>
            </w:r>
          </w:p>
        </w:tc>
        <w:tc>
          <w:tcPr>
            <w:tcW w:w="1486" w:type="dxa"/>
          </w:tcPr>
          <w:p w:rsidR="00D849AA" w:rsidRDefault="00EE6D95">
            <w:r>
              <w:t>80%</w:t>
            </w:r>
          </w:p>
        </w:tc>
        <w:tc>
          <w:tcPr>
            <w:tcW w:w="1486" w:type="dxa"/>
          </w:tcPr>
          <w:p w:rsidR="00D849AA" w:rsidRDefault="00EE6D95">
            <w:r>
              <w:t>85%</w:t>
            </w:r>
          </w:p>
        </w:tc>
      </w:tr>
    </w:tbl>
    <w:p w:rsidR="00D849AA" w:rsidRDefault="00D849AA">
      <w:pPr>
        <w:jc w:val="left"/>
      </w:pPr>
    </w:p>
    <w:p w:rsidR="00D849AA" w:rsidRDefault="00EE6D95">
      <w:pPr>
        <w:pStyle w:val="Naslov7"/>
      </w:pPr>
      <w:r>
        <w:t>Cilj 3. Unaprjeđenje internet stranice i razvoj pravne prakse u području javne nabave, davanja koncesija i javno-privatnog partnerstva</w:t>
      </w:r>
    </w:p>
    <w:p w:rsidR="00D849AA" w:rsidRDefault="00EE6D95">
      <w:pPr>
        <w:pStyle w:val="Normal6"/>
      </w:pPr>
      <w:r>
        <w:t xml:space="preserve">Sve Odluke Državne komisije u žalbenim predmetima objavljuju se na internetskoj stranici na adresi www.dkom.hr. </w:t>
      </w:r>
    </w:p>
    <w:p w:rsidR="00D849AA" w:rsidRDefault="00EE6D95">
      <w:pPr>
        <w:pStyle w:val="Normal6"/>
      </w:pPr>
      <w:r>
        <w:t>Prema odredbama Zakona o javnoj nabavi ("Narodne novine", broj 90/11, 83/13) dostava odluka Državne komisije u postupcima pravne zaštite vrši se javno objavom putem internetske stranice Državne komisije.</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Unaprjeđenje internet stranice i razvoj pravne prakse</w:t>
            </w:r>
          </w:p>
        </w:tc>
        <w:tc>
          <w:tcPr>
            <w:tcW w:w="1114" w:type="dxa"/>
          </w:tcPr>
          <w:p w:rsidR="00D849AA" w:rsidRDefault="00EE6D95">
            <w:r>
              <w:t>%</w:t>
            </w:r>
          </w:p>
        </w:tc>
        <w:tc>
          <w:tcPr>
            <w:tcW w:w="1114" w:type="dxa"/>
          </w:tcPr>
          <w:p w:rsidR="00D849AA" w:rsidRDefault="00EE6D95">
            <w:r>
              <w:t>100%</w:t>
            </w:r>
          </w:p>
        </w:tc>
        <w:tc>
          <w:tcPr>
            <w:tcW w:w="1486" w:type="dxa"/>
          </w:tcPr>
          <w:p w:rsidR="00D849AA" w:rsidRDefault="00EE6D95">
            <w:r>
              <w:t>100%</w:t>
            </w:r>
          </w:p>
        </w:tc>
        <w:tc>
          <w:tcPr>
            <w:tcW w:w="1486" w:type="dxa"/>
          </w:tcPr>
          <w:p w:rsidR="00D849AA" w:rsidRDefault="00EE6D95">
            <w:r>
              <w:t>100%</w:t>
            </w:r>
          </w:p>
        </w:tc>
        <w:tc>
          <w:tcPr>
            <w:tcW w:w="1486" w:type="dxa"/>
          </w:tcPr>
          <w:p w:rsidR="00D849AA" w:rsidRDefault="00EE6D95">
            <w:r>
              <w:t>100%</w:t>
            </w:r>
          </w:p>
        </w:tc>
      </w:tr>
    </w:tbl>
    <w:p w:rsidR="00D849AA" w:rsidRDefault="00D849AA">
      <w:pPr>
        <w:jc w:val="left"/>
      </w:pPr>
    </w:p>
    <w:p w:rsidR="00D849AA" w:rsidRDefault="00EE6D95">
      <w:pPr>
        <w:pStyle w:val="Naslov7"/>
      </w:pPr>
      <w:r>
        <w:lastRenderedPageBreak/>
        <w:t>Cilj 4. Edukacija sudionika javne nabave</w:t>
      </w:r>
    </w:p>
    <w:p w:rsidR="00D849AA" w:rsidRDefault="00EE6D95">
      <w:pPr>
        <w:pStyle w:val="Normal6"/>
      </w:pPr>
      <w:r>
        <w:t>Državna komisija predstavlja instituciju u kojoj se razvija praksa javne nabave, te koncesija u Republici Hrvatskoj. Stoga, Državna komisija osim svoje osnovne djelatnosti, a to je rješavanje žalbi, ima i edukativnu zadaću. Povećanje razine ukupnog stručnog znanja u javnoj nabavi dovodi do unaprjeđenja i učinkovitije pravne zašite u postupcima javne nabave, davanja koncesija i odabira privatnog partnera u projektima javno-privatnog partnerstva.</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Edukacija sudjelovanjem na stručnim skupovima</w:t>
            </w:r>
          </w:p>
        </w:tc>
        <w:tc>
          <w:tcPr>
            <w:tcW w:w="1114" w:type="dxa"/>
          </w:tcPr>
          <w:p w:rsidR="00D849AA" w:rsidRDefault="00EE6D95">
            <w:r>
              <w:t>%</w:t>
            </w:r>
          </w:p>
        </w:tc>
        <w:tc>
          <w:tcPr>
            <w:tcW w:w="1114" w:type="dxa"/>
          </w:tcPr>
          <w:p w:rsidR="00D849AA" w:rsidRDefault="00EE6D95">
            <w:r>
              <w:t>75%</w:t>
            </w:r>
          </w:p>
        </w:tc>
        <w:tc>
          <w:tcPr>
            <w:tcW w:w="1486" w:type="dxa"/>
          </w:tcPr>
          <w:p w:rsidR="00D849AA" w:rsidRDefault="00EE6D95">
            <w:r>
              <w:t>77%</w:t>
            </w:r>
          </w:p>
        </w:tc>
        <w:tc>
          <w:tcPr>
            <w:tcW w:w="1486" w:type="dxa"/>
          </w:tcPr>
          <w:p w:rsidR="00D849AA" w:rsidRDefault="00EE6D95">
            <w:r>
              <w:t>78%</w:t>
            </w:r>
          </w:p>
        </w:tc>
        <w:tc>
          <w:tcPr>
            <w:tcW w:w="1486" w:type="dxa"/>
          </w:tcPr>
          <w:p w:rsidR="00D849AA" w:rsidRDefault="00EE6D95">
            <w:r>
              <w:t>78%</w:t>
            </w:r>
          </w:p>
        </w:tc>
      </w:tr>
    </w:tbl>
    <w:p w:rsidR="00D849AA" w:rsidRDefault="00D849AA">
      <w:pPr>
        <w:jc w:val="left"/>
      </w:pPr>
    </w:p>
    <w:p w:rsidR="00D849AA" w:rsidRDefault="00EE6D95">
      <w:pPr>
        <w:pStyle w:val="Naslov7"/>
      </w:pPr>
      <w:r>
        <w:t>Cilj 5. Sudjelovanje u izradi zakonskih i podzakonskih propisa</w:t>
      </w:r>
    </w:p>
    <w:p w:rsidR="00D849AA" w:rsidRDefault="00EE6D95">
      <w:pPr>
        <w:pStyle w:val="Normal6"/>
      </w:pPr>
      <w:r>
        <w:t>Cilj je aktivno sudjelovanje članova i stručnih savjetnika u procesu nastanka zakonskih i podzakonskih tekstova vezanih za javne nabave, koncesije i javno-privatno partnerstvo, a u svrhu razvijanja cjelokupnog sustava javnih nabava. Stoga Državna komisija dostavlja mišljenja nadležnim institucijama prilikom izrade zakona koji normiraju sustav javne nabave.</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Sudjelovanje u izradi zakonskih i podzakonskih propisa</w:t>
            </w:r>
          </w:p>
        </w:tc>
        <w:tc>
          <w:tcPr>
            <w:tcW w:w="1114" w:type="dxa"/>
          </w:tcPr>
          <w:p w:rsidR="00D849AA" w:rsidRDefault="00EE6D95">
            <w:r>
              <w:t>%</w:t>
            </w:r>
          </w:p>
        </w:tc>
        <w:tc>
          <w:tcPr>
            <w:tcW w:w="1114" w:type="dxa"/>
          </w:tcPr>
          <w:p w:rsidR="00D849AA" w:rsidRDefault="00EE6D95">
            <w:r>
              <w:t>100%</w:t>
            </w:r>
          </w:p>
        </w:tc>
        <w:tc>
          <w:tcPr>
            <w:tcW w:w="1486" w:type="dxa"/>
          </w:tcPr>
          <w:p w:rsidR="00D849AA" w:rsidRDefault="00EE6D95">
            <w:r>
              <w:t>100%</w:t>
            </w:r>
          </w:p>
        </w:tc>
        <w:tc>
          <w:tcPr>
            <w:tcW w:w="1486" w:type="dxa"/>
          </w:tcPr>
          <w:p w:rsidR="00D849AA" w:rsidRDefault="00EE6D95">
            <w:r>
              <w:t>100%</w:t>
            </w:r>
          </w:p>
        </w:tc>
        <w:tc>
          <w:tcPr>
            <w:tcW w:w="1486" w:type="dxa"/>
          </w:tcPr>
          <w:p w:rsidR="00D849AA" w:rsidRDefault="00EE6D95">
            <w:r>
              <w:t>100%</w:t>
            </w:r>
          </w:p>
        </w:tc>
      </w:tr>
    </w:tbl>
    <w:p w:rsidR="00D849AA" w:rsidRDefault="00D849AA">
      <w:pPr>
        <w:jc w:val="left"/>
      </w:pPr>
    </w:p>
    <w:p w:rsidR="00D849AA" w:rsidRDefault="00EE6D95">
      <w:pPr>
        <w:pStyle w:val="Naslov7"/>
      </w:pPr>
      <w:r>
        <w:t>Cilj 6. Javnost rada Državne komisije</w:t>
      </w:r>
    </w:p>
    <w:p w:rsidR="00D849AA" w:rsidRDefault="00EE6D95">
      <w:pPr>
        <w:pStyle w:val="Normal6"/>
      </w:pPr>
      <w:r>
        <w:t>Objavom Upisnika upravnih predmeta i svih odluka na internetskoj stranici Državne komisije, Državna komisija svoj rad, ali i rad sudionika u postupcima javne nabave čini dostupnim javnosti.</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Javnost rada DKOM-a</w:t>
            </w:r>
          </w:p>
        </w:tc>
        <w:tc>
          <w:tcPr>
            <w:tcW w:w="1114" w:type="dxa"/>
          </w:tcPr>
          <w:p w:rsidR="00D849AA" w:rsidRDefault="00EE6D95">
            <w:r>
              <w:t>% (god)</w:t>
            </w:r>
          </w:p>
        </w:tc>
        <w:tc>
          <w:tcPr>
            <w:tcW w:w="1114" w:type="dxa"/>
          </w:tcPr>
          <w:p w:rsidR="00D849AA" w:rsidRDefault="00EE6D95">
            <w:r>
              <w:t>100%</w:t>
            </w:r>
          </w:p>
        </w:tc>
        <w:tc>
          <w:tcPr>
            <w:tcW w:w="1486" w:type="dxa"/>
          </w:tcPr>
          <w:p w:rsidR="00D849AA" w:rsidRDefault="00EE6D95">
            <w:r>
              <w:t>100%</w:t>
            </w:r>
          </w:p>
        </w:tc>
        <w:tc>
          <w:tcPr>
            <w:tcW w:w="1486" w:type="dxa"/>
          </w:tcPr>
          <w:p w:rsidR="00D849AA" w:rsidRDefault="00EE6D95">
            <w:r>
              <w:t>100%</w:t>
            </w:r>
          </w:p>
        </w:tc>
        <w:tc>
          <w:tcPr>
            <w:tcW w:w="1486" w:type="dxa"/>
          </w:tcPr>
          <w:p w:rsidR="00D849AA" w:rsidRDefault="00EE6D95">
            <w:r>
              <w:t>100%</w:t>
            </w:r>
          </w:p>
        </w:tc>
      </w:tr>
    </w:tbl>
    <w:p w:rsidR="00D849AA" w:rsidRDefault="00D849AA">
      <w:pPr>
        <w:jc w:val="left"/>
      </w:pPr>
    </w:p>
    <w:p w:rsidR="00D849AA" w:rsidRDefault="00EE6D95">
      <w:pPr>
        <w:pStyle w:val="Naslov7"/>
      </w:pPr>
      <w:r>
        <w:lastRenderedPageBreak/>
        <w:t>Cilj 7. Suradnja s tijelima nadležnima za provođenje Strategije suzbijanja korupcije</w:t>
      </w:r>
    </w:p>
    <w:p w:rsidR="00D849AA" w:rsidRDefault="00EE6D95">
      <w:pPr>
        <w:pStyle w:val="Normal6"/>
      </w:pPr>
      <w:r>
        <w:t>Odgovarajući i učinkovit institucionalni okvir od presudne je važnosti za uspješno suzbijanje korupcije.</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Suradnja s tijelima nadležnim za provođenje Strategije suzbijanja korupciije</w:t>
            </w:r>
          </w:p>
        </w:tc>
        <w:tc>
          <w:tcPr>
            <w:tcW w:w="1114" w:type="dxa"/>
          </w:tcPr>
          <w:p w:rsidR="00D849AA" w:rsidRDefault="00EE6D95">
            <w:r>
              <w:t>% (kvartalno)</w:t>
            </w:r>
          </w:p>
        </w:tc>
        <w:tc>
          <w:tcPr>
            <w:tcW w:w="1114" w:type="dxa"/>
          </w:tcPr>
          <w:p w:rsidR="00D849AA" w:rsidRDefault="00EE6D95">
            <w:r>
              <w:t>100%</w:t>
            </w:r>
          </w:p>
        </w:tc>
        <w:tc>
          <w:tcPr>
            <w:tcW w:w="1486" w:type="dxa"/>
          </w:tcPr>
          <w:p w:rsidR="00D849AA" w:rsidRDefault="00EE6D95">
            <w:r>
              <w:t>100%</w:t>
            </w:r>
          </w:p>
        </w:tc>
        <w:tc>
          <w:tcPr>
            <w:tcW w:w="1486" w:type="dxa"/>
          </w:tcPr>
          <w:p w:rsidR="00D849AA" w:rsidRDefault="00EE6D95">
            <w:r>
              <w:t>100%</w:t>
            </w:r>
          </w:p>
        </w:tc>
        <w:tc>
          <w:tcPr>
            <w:tcW w:w="1486" w:type="dxa"/>
          </w:tcPr>
          <w:p w:rsidR="00D849AA" w:rsidRDefault="00EE6D95">
            <w:r>
              <w:t>100%</w:t>
            </w:r>
          </w:p>
        </w:tc>
      </w:tr>
    </w:tbl>
    <w:p w:rsidR="00D849AA" w:rsidRDefault="00D849AA">
      <w:pPr>
        <w:jc w:val="left"/>
      </w:pPr>
    </w:p>
    <w:p w:rsidR="00D849AA" w:rsidRDefault="00EE6D95">
      <w:pPr>
        <w:pStyle w:val="Naslov5"/>
      </w:pPr>
      <w:r>
        <w:t>Procjena i ishodište potrebnih sredstava za značajnije aktivnosti/projekte</w:t>
      </w:r>
    </w:p>
    <w:p w:rsidR="00D849AA" w:rsidRDefault="00EE6D95">
      <w:pPr>
        <w:pStyle w:val="Naslov6"/>
      </w:pPr>
      <w:r>
        <w:t>A744000 KONTROLA POSTUPAKA JAVNE NABAVE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A744000</w:t>
            </w:r>
          </w:p>
        </w:tc>
        <w:tc>
          <w:tcPr>
            <w:tcW w:w="1486" w:type="dxa"/>
          </w:tcPr>
          <w:p w:rsidR="00D849AA" w:rsidRDefault="00EE6D95">
            <w:r>
              <w:t>7.723.143</w:t>
            </w:r>
          </w:p>
        </w:tc>
        <w:tc>
          <w:tcPr>
            <w:tcW w:w="1486" w:type="dxa"/>
          </w:tcPr>
          <w:p w:rsidR="00D849AA" w:rsidRDefault="00EE6D95">
            <w:r>
              <w:t>8.680.012</w:t>
            </w:r>
          </w:p>
        </w:tc>
        <w:tc>
          <w:tcPr>
            <w:tcW w:w="1486" w:type="dxa"/>
          </w:tcPr>
          <w:p w:rsidR="00D849AA" w:rsidRDefault="00EE6D95">
            <w:r>
              <w:t>9.905.223</w:t>
            </w:r>
          </w:p>
        </w:tc>
        <w:tc>
          <w:tcPr>
            <w:tcW w:w="1486" w:type="dxa"/>
          </w:tcPr>
          <w:p w:rsidR="00D849AA" w:rsidRDefault="00EE6D95">
            <w:r>
              <w:t>10.229.139</w:t>
            </w:r>
          </w:p>
        </w:tc>
        <w:tc>
          <w:tcPr>
            <w:tcW w:w="1486" w:type="dxa"/>
          </w:tcPr>
          <w:p w:rsidR="00D849AA" w:rsidRDefault="00EE6D95">
            <w:r>
              <w:t>112,4</w:t>
            </w:r>
          </w:p>
        </w:tc>
      </w:tr>
    </w:tbl>
    <w:p w:rsidR="00D849AA" w:rsidRDefault="00D849AA">
      <w:pPr>
        <w:jc w:val="left"/>
      </w:pPr>
    </w:p>
    <w:p w:rsidR="00D849AA" w:rsidRDefault="00EE6D95">
      <w:pPr>
        <w:pStyle w:val="Normal6"/>
      </w:pPr>
      <w:r>
        <w:t>Državna komisija ima jednu aktivnost A - 744000 - Kontrola postupaka javne nabave na kojoj je planirano 8.680.012 kun  od čega je za plaće planirano 6.588.114 kuna, a za materijalne troškove 2.091.898 kuna.</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Riješenost predmeta  u odnosu na zaprimljene predmete</w:t>
            </w:r>
          </w:p>
        </w:tc>
        <w:tc>
          <w:tcPr>
            <w:tcW w:w="1114" w:type="dxa"/>
          </w:tcPr>
          <w:p w:rsidR="00D849AA" w:rsidRDefault="00EE6D95">
            <w:r>
              <w:t>%</w:t>
            </w:r>
          </w:p>
        </w:tc>
        <w:tc>
          <w:tcPr>
            <w:tcW w:w="1114" w:type="dxa"/>
          </w:tcPr>
          <w:p w:rsidR="00D849AA" w:rsidRDefault="00EE6D95">
            <w:r>
              <w:t>90</w:t>
            </w:r>
          </w:p>
        </w:tc>
        <w:tc>
          <w:tcPr>
            <w:tcW w:w="1486" w:type="dxa"/>
          </w:tcPr>
          <w:p w:rsidR="00D849AA" w:rsidRDefault="00EE6D95">
            <w:r>
              <w:t>91%</w:t>
            </w:r>
          </w:p>
        </w:tc>
        <w:tc>
          <w:tcPr>
            <w:tcW w:w="1486" w:type="dxa"/>
          </w:tcPr>
          <w:p w:rsidR="00D849AA" w:rsidRDefault="00EE6D95">
            <w:r>
              <w:t>92%</w:t>
            </w:r>
          </w:p>
        </w:tc>
        <w:tc>
          <w:tcPr>
            <w:tcW w:w="1486" w:type="dxa"/>
          </w:tcPr>
          <w:p w:rsidR="00D849AA" w:rsidRDefault="00EE6D95">
            <w:r>
              <w:t>92%</w:t>
            </w:r>
          </w:p>
        </w:tc>
      </w:tr>
    </w:tbl>
    <w:p w:rsidR="00D849AA" w:rsidRDefault="00D849AA">
      <w:pPr>
        <w:jc w:val="left"/>
      </w:pPr>
    </w:p>
    <w:p w:rsidR="00D849AA" w:rsidRDefault="00EE6D95">
      <w:pPr>
        <w:pStyle w:val="Naslov6"/>
      </w:pPr>
      <w:r>
        <w:t>K744001 OPREMANJE UREDSKOG PROSTORA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K744001</w:t>
            </w:r>
          </w:p>
        </w:tc>
        <w:tc>
          <w:tcPr>
            <w:tcW w:w="1486" w:type="dxa"/>
          </w:tcPr>
          <w:p w:rsidR="00D849AA" w:rsidRDefault="00EE6D95">
            <w:r>
              <w:t>8.310</w:t>
            </w:r>
          </w:p>
        </w:tc>
        <w:tc>
          <w:tcPr>
            <w:tcW w:w="1486" w:type="dxa"/>
          </w:tcPr>
          <w:p w:rsidR="00D849AA" w:rsidRDefault="00EE6D95">
            <w:r>
              <w:t>9.390</w:t>
            </w:r>
          </w:p>
        </w:tc>
        <w:tc>
          <w:tcPr>
            <w:tcW w:w="1486" w:type="dxa"/>
          </w:tcPr>
          <w:p w:rsidR="00D849AA" w:rsidRDefault="00EE6D95">
            <w:r>
              <w:t>9.390</w:t>
            </w:r>
          </w:p>
        </w:tc>
        <w:tc>
          <w:tcPr>
            <w:tcW w:w="1486" w:type="dxa"/>
          </w:tcPr>
          <w:p w:rsidR="00D849AA" w:rsidRDefault="00EE6D95">
            <w:r>
              <w:t>10.210</w:t>
            </w:r>
          </w:p>
        </w:tc>
        <w:tc>
          <w:tcPr>
            <w:tcW w:w="1486" w:type="dxa"/>
          </w:tcPr>
          <w:p w:rsidR="00D849AA" w:rsidRDefault="00EE6D95">
            <w:r>
              <w:t>113,0</w:t>
            </w:r>
          </w:p>
        </w:tc>
      </w:tr>
    </w:tbl>
    <w:p w:rsidR="00D849AA" w:rsidRDefault="00D849AA">
      <w:pPr>
        <w:jc w:val="left"/>
      </w:pPr>
    </w:p>
    <w:p w:rsidR="00D849AA" w:rsidRDefault="00EE6D95">
      <w:pPr>
        <w:pStyle w:val="Normal6"/>
      </w:pPr>
      <w:r>
        <w:t>Državna komisija za kontrolu postupaka javne nabave na kapitalnom projektu K - 744001 - Opremanje uredskog prostora, planirala je  sredstva za nabavu uredskog namještaja za novozaposlene članove komisije.</w:t>
      </w:r>
    </w:p>
    <w:p w:rsidR="00D849AA" w:rsidRDefault="00EE6D95">
      <w:pPr>
        <w:pStyle w:val="Naslov6"/>
      </w:pPr>
      <w:r>
        <w:lastRenderedPageBreak/>
        <w:t>K744002 INFORMATIZACIJA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K744002</w:t>
            </w:r>
          </w:p>
        </w:tc>
        <w:tc>
          <w:tcPr>
            <w:tcW w:w="1486" w:type="dxa"/>
          </w:tcPr>
          <w:p w:rsidR="00D849AA" w:rsidRDefault="00EE6D95">
            <w:r>
              <w:t>99.690</w:t>
            </w:r>
          </w:p>
        </w:tc>
        <w:tc>
          <w:tcPr>
            <w:tcW w:w="1486" w:type="dxa"/>
          </w:tcPr>
          <w:p w:rsidR="00D849AA" w:rsidRDefault="00EE6D95">
            <w:r>
              <w:t>112.610</w:t>
            </w:r>
          </w:p>
        </w:tc>
        <w:tc>
          <w:tcPr>
            <w:tcW w:w="1486" w:type="dxa"/>
          </w:tcPr>
          <w:p w:rsidR="00D849AA" w:rsidRDefault="00EE6D95">
            <w:r>
              <w:t>112.610</w:t>
            </w:r>
          </w:p>
        </w:tc>
        <w:tc>
          <w:tcPr>
            <w:tcW w:w="1486" w:type="dxa"/>
          </w:tcPr>
          <w:p w:rsidR="00D849AA" w:rsidRDefault="00EE6D95">
            <w:r>
              <w:t>132.094</w:t>
            </w:r>
          </w:p>
        </w:tc>
        <w:tc>
          <w:tcPr>
            <w:tcW w:w="1486" w:type="dxa"/>
          </w:tcPr>
          <w:p w:rsidR="00D849AA" w:rsidRDefault="00EE6D95">
            <w:r>
              <w:t>113,0</w:t>
            </w:r>
          </w:p>
        </w:tc>
      </w:tr>
    </w:tbl>
    <w:p w:rsidR="00D849AA" w:rsidRDefault="00D849AA">
      <w:pPr>
        <w:jc w:val="left"/>
      </w:pPr>
    </w:p>
    <w:p w:rsidR="00D849AA" w:rsidRDefault="00EE6D95">
      <w:pPr>
        <w:pStyle w:val="Normal6"/>
      </w:pPr>
      <w:r>
        <w:t>Državna komisija za kontrolu postupaka javne nabave na kapitalnom projektu K744002- Informatizacija, planirala je sredstva na nabavu informatičke opreme za članove komisije koji bi prema novom Zakonu o Državnoj komisiji trebali biti zaposleni u 2014. godini.</w:t>
      </w:r>
    </w:p>
    <w:p w:rsidR="00D849AA" w:rsidRDefault="00EE6D95">
      <w:pPr>
        <w:pStyle w:val="Naslov1"/>
      </w:pPr>
      <w:r>
        <w:lastRenderedPageBreak/>
        <w:t>250 AGENCIJA ZA ZAŠTITU OSOBNIH PODATAKA</w:t>
      </w:r>
    </w:p>
    <w:p w:rsidR="00D849AA" w:rsidRDefault="00EE6D95">
      <w:pPr>
        <w:pStyle w:val="Naslov4"/>
      </w:pPr>
      <w:r>
        <w:t>Uvod</w:t>
      </w:r>
    </w:p>
    <w:p w:rsidR="00D849AA" w:rsidRDefault="00EE6D95">
      <w:pPr>
        <w:pStyle w:val="Normal3"/>
      </w:pPr>
      <w:r>
        <w:t xml:space="preserve">Zakon o zaštiti osobnih podataka (Narodne novine br. 103/03., 118/06., 41/08) je temeljni propis koji uređuje zaštitu osobnih podataka fizičkih osoba, te nadzor nad prikupljanjem, obradom i korištenjem osobnih podataka u Republici Hrvatskoj. Zakonom je utvrđeno osnivanje Agencije za zaštitu osobnih podataka kao samostalne pravne osobe odgovorne Hrvatskom saboru, koja dio svojih poslova i zadataka obavlja kao javne ovlasti. Agencija za zaštitu osobnih podataka počela je s radom krajem 2004. godine. Danas u Agenciji radi 29 ljudi. </w:t>
      </w:r>
    </w:p>
    <w:p w:rsidR="00D849AA" w:rsidRDefault="00EE6D95" w:rsidP="00AE2853">
      <w:pPr>
        <w:pStyle w:val="Normal3"/>
      </w:pPr>
      <w:r>
        <w:t xml:space="preserve">Otpočinjanjem procesa pridruživanja Europskoj uniji započelo je i usklađivanje naše legislative s odredbama EU u području zaštite osobnih podataka. Republika Hrvatska je potpisala Konvenciju 108 o zaštiti osoba glede automatizirane obrade osobnih podataka i Dodatni protokol uz Konvenciju 108 u vezi nadzornih tijela i međunarodne razmjene podataka. Konvencija i Dodatni protokol stupili su na snagu 1. listopada 2005. godine i čine dio sustava propisa o zaštiti osobnih podataka. </w:t>
      </w:r>
    </w:p>
    <w:p w:rsidR="00D849AA" w:rsidRDefault="00EE6D95">
      <w:pPr>
        <w:pStyle w:val="Normal3"/>
      </w:pPr>
      <w:r>
        <w:t xml:space="preserve">Agencija za zaštitu osobnih podataka u narednom razdoblju osigurava nadzor nad voditeljima zbirki osobnih podataka, usklađuje propis RH s Direktivom EU, provodi edukacije dizanje svijesti građana o potrebi zaštite osobnih podataka, implementacija ISO 27001 standarda u prikupljanju, obradi i prijenosu osobnih podataka i suradnja s državnim tijelima na području zaštite privatnosti. </w:t>
      </w:r>
    </w:p>
    <w:p w:rsidR="00D849AA" w:rsidRDefault="00EE6D95">
      <w:pPr>
        <w:pStyle w:val="Normal3"/>
      </w:pPr>
      <w:r>
        <w:t>Sredstva za rad Agencije za zaštitu osobnih podataka planirana su u Državnom proračunu RH u okviru odobrenih limita za navedeni period. Opravdanost prijedloga financijskog plana proizlazi iz navedenih poslova i zadataka Agencije točnije Agencija će povećati napore da zaštita privatnosti (zaštita osobnih podataka) kao jedno od temeljnih ljudskih prava postane opće prihvaćeno načelo rada svih koji prikupljaju, obrađuju i prenose osobne podatke, povećati nadzor nad provođenjem propisa o zaštiti osobnih podataka te omogućiti ostvarivanje tog prava svakom pojedincu u RH, pratiti razvoj na tom području predlagati mjere za unapređenje zaštite osobnih podataka i osigurati efikasno provođenje Zakona o zaštiti osobnih podataka.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25005 Agencija za zaštitu osobnih podataka</w:t>
            </w:r>
          </w:p>
        </w:tc>
        <w:tc>
          <w:tcPr>
            <w:tcW w:w="1486" w:type="dxa"/>
          </w:tcPr>
          <w:p w:rsidR="00D849AA" w:rsidRDefault="00EE6D95">
            <w:r>
              <w:t>5.482.847</w:t>
            </w:r>
          </w:p>
        </w:tc>
        <w:tc>
          <w:tcPr>
            <w:tcW w:w="1486" w:type="dxa"/>
          </w:tcPr>
          <w:p w:rsidR="00D849AA" w:rsidRDefault="00EE6D95">
            <w:r>
              <w:t>5.757.816</w:t>
            </w:r>
          </w:p>
        </w:tc>
        <w:tc>
          <w:tcPr>
            <w:tcW w:w="1486" w:type="dxa"/>
          </w:tcPr>
          <w:p w:rsidR="00D849AA" w:rsidRDefault="00EE6D95">
            <w:r>
              <w:t>6.094.630</w:t>
            </w:r>
          </w:p>
        </w:tc>
        <w:tc>
          <w:tcPr>
            <w:tcW w:w="1486" w:type="dxa"/>
          </w:tcPr>
          <w:p w:rsidR="00D849AA" w:rsidRDefault="00EE6D95">
            <w:r>
              <w:t>5.967.363</w:t>
            </w:r>
          </w:p>
        </w:tc>
        <w:tc>
          <w:tcPr>
            <w:tcW w:w="1486" w:type="dxa"/>
          </w:tcPr>
          <w:p w:rsidR="00D849AA" w:rsidRDefault="00EE6D95">
            <w:r>
              <w:t>105,0</w:t>
            </w:r>
          </w:p>
        </w:tc>
      </w:tr>
      <w:tr w:rsidR="00D849AA">
        <w:trPr>
          <w:jc w:val="center"/>
        </w:trPr>
        <w:tc>
          <w:tcPr>
            <w:tcW w:w="1486" w:type="dxa"/>
            <w:shd w:val="clear" w:color="auto" w:fill="B5C0D8"/>
          </w:tcPr>
          <w:p w:rsidR="00D849AA" w:rsidRDefault="00EE6D95">
            <w:pPr>
              <w:pStyle w:val="CellColumn"/>
            </w:pPr>
            <w:r>
              <w:t>Ukupno 250</w:t>
            </w:r>
          </w:p>
        </w:tc>
        <w:tc>
          <w:tcPr>
            <w:tcW w:w="1486" w:type="dxa"/>
            <w:shd w:val="clear" w:color="auto" w:fill="B5C0D8"/>
          </w:tcPr>
          <w:p w:rsidR="00D849AA" w:rsidRDefault="00EE6D95">
            <w:r>
              <w:t>5.482.847</w:t>
            </w:r>
          </w:p>
        </w:tc>
        <w:tc>
          <w:tcPr>
            <w:tcW w:w="1486" w:type="dxa"/>
            <w:shd w:val="clear" w:color="auto" w:fill="B5C0D8"/>
          </w:tcPr>
          <w:p w:rsidR="00D849AA" w:rsidRDefault="00EE6D95">
            <w:r>
              <w:t>5.757.816</w:t>
            </w:r>
          </w:p>
        </w:tc>
        <w:tc>
          <w:tcPr>
            <w:tcW w:w="1486" w:type="dxa"/>
            <w:shd w:val="clear" w:color="auto" w:fill="B5C0D8"/>
          </w:tcPr>
          <w:p w:rsidR="00D849AA" w:rsidRDefault="00EE6D95">
            <w:r>
              <w:t>6.094.630</w:t>
            </w:r>
          </w:p>
        </w:tc>
        <w:tc>
          <w:tcPr>
            <w:tcW w:w="1486" w:type="dxa"/>
            <w:shd w:val="clear" w:color="auto" w:fill="B5C0D8"/>
          </w:tcPr>
          <w:p w:rsidR="00D849AA" w:rsidRDefault="00EE6D95">
            <w:r>
              <w:t>5.967.363</w:t>
            </w:r>
          </w:p>
        </w:tc>
        <w:tc>
          <w:tcPr>
            <w:tcW w:w="1486" w:type="dxa"/>
            <w:shd w:val="clear" w:color="auto" w:fill="B5C0D8"/>
          </w:tcPr>
          <w:p w:rsidR="00D849AA" w:rsidRDefault="00EE6D95">
            <w:r>
              <w:t>105,0</w:t>
            </w:r>
          </w:p>
        </w:tc>
      </w:tr>
    </w:tbl>
    <w:p w:rsidR="00D849AA" w:rsidRDefault="00D849AA">
      <w:pPr>
        <w:jc w:val="left"/>
      </w:pPr>
    </w:p>
    <w:p w:rsidR="00AE2853" w:rsidRDefault="00AE2853" w:rsidP="00AE2853">
      <w:pPr>
        <w:pStyle w:val="Naslov4"/>
      </w:pPr>
      <w:r>
        <w:t>OBRAZLOŽENJE PROGRAMA</w:t>
      </w:r>
    </w:p>
    <w:p w:rsidR="00D849AA" w:rsidRDefault="00EE6D95">
      <w:pPr>
        <w:pStyle w:val="Naslov5"/>
      </w:pPr>
      <w:r>
        <w:t>2814 ZAŠTITA OSOBNIH PODATAKA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2814</w:t>
            </w:r>
          </w:p>
        </w:tc>
        <w:tc>
          <w:tcPr>
            <w:tcW w:w="1486" w:type="dxa"/>
          </w:tcPr>
          <w:p w:rsidR="00D849AA" w:rsidRDefault="00EE6D95">
            <w:r>
              <w:t>5.482.847</w:t>
            </w:r>
          </w:p>
        </w:tc>
        <w:tc>
          <w:tcPr>
            <w:tcW w:w="1486" w:type="dxa"/>
          </w:tcPr>
          <w:p w:rsidR="00D849AA" w:rsidRDefault="00EE6D95">
            <w:r>
              <w:t>5.757.816</w:t>
            </w:r>
          </w:p>
        </w:tc>
        <w:tc>
          <w:tcPr>
            <w:tcW w:w="1486" w:type="dxa"/>
          </w:tcPr>
          <w:p w:rsidR="00D849AA" w:rsidRDefault="00EE6D95">
            <w:r>
              <w:t>6.094.630</w:t>
            </w:r>
          </w:p>
        </w:tc>
        <w:tc>
          <w:tcPr>
            <w:tcW w:w="1486" w:type="dxa"/>
          </w:tcPr>
          <w:p w:rsidR="00D849AA" w:rsidRDefault="00EE6D95">
            <w:r>
              <w:t>5.967.363</w:t>
            </w:r>
          </w:p>
        </w:tc>
        <w:tc>
          <w:tcPr>
            <w:tcW w:w="1486" w:type="dxa"/>
          </w:tcPr>
          <w:p w:rsidR="00D849AA" w:rsidRDefault="00EE6D95">
            <w:r>
              <w:t>105,0</w:t>
            </w:r>
          </w:p>
        </w:tc>
      </w:tr>
    </w:tbl>
    <w:p w:rsidR="00D849AA" w:rsidRDefault="00EE6D95">
      <w:pPr>
        <w:pStyle w:val="Naslov6"/>
      </w:pPr>
      <w:r>
        <w:lastRenderedPageBreak/>
        <w:t>Opis programa</w:t>
      </w:r>
    </w:p>
    <w:p w:rsidR="00D849AA" w:rsidRDefault="00EE6D95">
      <w:pPr>
        <w:pStyle w:val="Normal5"/>
      </w:pPr>
      <w:r>
        <w:t xml:space="preserve">Efikasno provođenje zaštite osobnih podataka omogućit će zaštitu privatnosti sukladno zakonima i propisima Republike Hrvatske, međunarodnim konvencijama i ugovorima, te Direktivi 95/46 Europske unije. </w:t>
      </w:r>
    </w:p>
    <w:p w:rsidR="00D849AA" w:rsidRDefault="00EE6D95">
      <w:pPr>
        <w:pStyle w:val="Normal5"/>
      </w:pPr>
      <w:r>
        <w:t xml:space="preserve">Donošenjem Zakona o izmjenama i dopunama Zakona o zaštiti osobnih podataka („Narodne novine“ 130/11 od 16.11.2011. godine),  koji je stupio na snagu 24. studenog 2011. godine Zakon o zaštiti osobnih podataka  u potpunosti je usklađen sa Direktivom 95/46/EZ. Kako bi se postiglo efikasno provođenje zaštite osobnih podataka potrebno je unaprijediti nadzornu i savjetodavnu ulogu Agencije.  </w:t>
      </w:r>
    </w:p>
    <w:p w:rsidR="00D849AA" w:rsidRDefault="00EE6D95">
      <w:pPr>
        <w:pStyle w:val="Normal5"/>
      </w:pPr>
      <w:r>
        <w:t xml:space="preserve">Istovremeno treba poboljšati IT infrastrukturu Agencije i poslovnih procesa, te implementirati međunarodni standard za informacijsku sigurnost ISO 27001. Iskustva koja se ovom implementacijom budu stekla, uz već provedene edukacije o informacijskoj sigurnosti, bit će temelj izrade nadzornih postupaka i mjerila za provjeru stupnja poduzetih organizacijskih, kadrovskih i tehničkih mjera zaštite osobnih podataka kod voditelja zbirki osobnih podataka, posebno onih mjera koje su propisane Uredbom o načinu pohranjivanja i posebnim mjerama tehničke zaštite posebnih kategorija osobnih podataka (NN 139/04). </w:t>
      </w:r>
    </w:p>
    <w:p w:rsidR="00D849AA" w:rsidRDefault="00EE6D95">
      <w:pPr>
        <w:pStyle w:val="Normal5"/>
      </w:pPr>
      <w:r>
        <w:t xml:space="preserve">Nadalje, potrebno je provesti dizanje svijesti građana o potrebi i važnosti zaštite privatnosti kao temeljnog ljudskog prava. Zakon o zaštiti osobnih podataka, koji je stupio na snagu 26. lipnja 2003. godine, još uvijek je nedovoljno poznat za većinu građana, a to se isto odnosi i na veći broj poslovnih subjekata koji bi kao voditelji zbirki osobnih podataka svakako trebali znati za obveze koje za njih iz Zakona proizlaze. Nepoznavanje zakonskih obveza očituje se između ostalog i u neprovođenju svih potrebnih oblika mjera zaštite osobnih podataka koje vode, a i u tome što je izuzetno mali broj voditelja dostavilo evidencije o zbirkama osobnih podataka u Središnji registar kojeg po Zakonu vodi Agencija za zaštitu osobnih podataka. </w:t>
      </w:r>
    </w:p>
    <w:p w:rsidR="00D849AA" w:rsidRDefault="00EE6D95">
      <w:pPr>
        <w:pStyle w:val="Normal5"/>
      </w:pPr>
      <w:r>
        <w:t xml:space="preserve">Sukladno tome, potrebno je osigurati učinkovitu suradnju i s drugim državnim i međunarodnim tijelima. </w:t>
      </w:r>
    </w:p>
    <w:p w:rsidR="00D849AA" w:rsidRDefault="00EE6D95">
      <w:pPr>
        <w:pStyle w:val="Normal5"/>
      </w:pPr>
      <w:r>
        <w:t xml:space="preserve">Iz Izvješća Europske komisije o napretku Republike Hrvatske za 2011. navodi se da su Izmjene Zakona usvojene, te su Izmjene  uvele jasnije postupke i rokove za pristup informacijama i nadzor nad primjenom Zakona od strane Agencije za zaštitu osobnih podataka. Također se navodi da se posebna pažnja treba posvetiti jačanju Agencije za zaštitu osobnih podataka i osigurati osobe koje su obučene i sposobne donositi odluke u svim slučajevima uključujući i gdje su informacije klasificirane. </w:t>
      </w:r>
    </w:p>
    <w:p w:rsidR="00D849AA" w:rsidRDefault="00EE6D95">
      <w:pPr>
        <w:pStyle w:val="Normal5"/>
      </w:pPr>
      <w:r>
        <w:t xml:space="preserve">Nadalje, potrebno je provesti dizanje svijesti korisnika prava na pristup informacijama  o potrebi i važnosti ostvarivanja prava na pristup informacijama kao temeljnog ljudskog prava. Zakon o pravu na pristup informacijama nedovoljno je poznat za većinu korisnika prava na informacije, a što je Agencije i naglasila u Izvješću o provedbi Zakona o pravu na pristup informacijama za 2011. godinu. Zakon o izmjenama i dopunama Zakona o pravu na pristup proširio je krug obveznika primjene Zakona, koji kao tijela javne vlasti imaju obvezu rješavati zahtjeve korisnika za pristup informacijama kao i obvezu da omoguće pristup zatraženoj informaciji, odnosno da objavljuje informacije kada za to i ne postoji poseban zahtjev već takvo objavljivanje predstavlja njihovu obvezu određenu zakonom ili drugim općim propisom, koji bi trebali znati za obveze koje za njih iz Zakona proizlaze.  </w:t>
      </w:r>
    </w:p>
    <w:p w:rsidR="00D849AA" w:rsidRDefault="00EE6D95">
      <w:pPr>
        <w:pStyle w:val="Normal5"/>
      </w:pPr>
      <w:r>
        <w:t xml:space="preserve">Sukladno tome, potrebno je osigurati učinkovitu suradnju i s drugim državnim i međunarodnim tijelima, te tijelima  jedinica lokalne i područne (regionalne) samouprave, pravnim osobama s javnim ovlastima i drugim osobama na koje su prenesene javne ovlasti, pravnim osobama čiji su programi ili djelovanje zakonom utvrđeni kao javni interes te se u cijelosti ili djelomično financiraju iz državnog proračuna ili iz proračuna jedinica lokalne i područne (regionalne) samouprave, kao i trgovačkim društvima u kojima Republika Hrvatska i jedinice lokalne i područne (regionalne) samouprave imaju zasebno ili zajedno većinsko vlasništvo. </w:t>
      </w:r>
    </w:p>
    <w:p w:rsidR="00D849AA" w:rsidRDefault="00EE6D95">
      <w:pPr>
        <w:pStyle w:val="Normal5"/>
      </w:pPr>
      <w:r>
        <w:lastRenderedPageBreak/>
        <w:t xml:space="preserve">Također, potrebno je osigurati učinkovitu suradnju i s drugim međunarodnim tijelima koji se bave zaštitom prava na pristup informacijama.  </w:t>
      </w:r>
    </w:p>
    <w:p w:rsidR="00D849AA" w:rsidRDefault="00EE6D95">
      <w:pPr>
        <w:pStyle w:val="Normal5"/>
      </w:pPr>
      <w:r>
        <w:t xml:space="preserve">Navedeni opći cilj proizlazi iz Izvješća Europske komisije o napretku Republike Hrvatske za 2009. godinu, kao i Pristupnog partnerstva Europskog vijeća za Hrvatsku iz 2008. godine, u dijelu koji se u oba dokumenta odnosi na Poglavlje 23: Pravosuđe i temeljna ljudska prava. </w:t>
      </w:r>
    </w:p>
    <w:p w:rsidR="00D849AA" w:rsidRDefault="00EE6D95">
      <w:pPr>
        <w:pStyle w:val="Normal5"/>
      </w:pPr>
      <w:r>
        <w:t>Zakonom o pravu na pristup informacijama („Narodne novine“, broj 25/13) kao neovisno tijelo za zaštitu prava na pristup informacijama utemeljena je institucija Povjerenika za informiranje (čl. 35., st. 1). Povjerenik ima Ured kao svoju stručnu službu (čl. 39., st.1.). Odlukom Hrvatskog sabora 25. listopada 2013. izabrana je prva povjerenica za informiranje, čime su ostvareni uvjeti za početak rada Povjerenika, a ranije nadležnosti Agencije za zaštitu osobnih podataka u svezi sa zaštitom prava na pristup informacijama prešle su u nadležnost Povjerenika. Odluka je objavljena u „Narodne novine“, broj 131/13 od 30.10.2013. Ured Povjerenika za informiranje je  preuzeo i  četiri zaposlenika  od Agencije za zaštitu osobnih podataka i srazmjerno broju zaposlenih izvršena ja i preraspodjela plana proračuna za 2014. godinu.</w:t>
      </w:r>
    </w:p>
    <w:p w:rsidR="00D849AA" w:rsidRDefault="00EE6D95">
      <w:pPr>
        <w:pStyle w:val="Naslov6"/>
      </w:pPr>
      <w:r>
        <w:t>Zakonske i druge pravne osnove</w:t>
      </w:r>
    </w:p>
    <w:p w:rsidR="00D849AA" w:rsidRDefault="00EE6D95">
      <w:pPr>
        <w:pStyle w:val="Normal5"/>
      </w:pPr>
      <w:r>
        <w:t xml:space="preserve">Zakon o zaštiti osobnih podataka (NN br. 103/03), </w:t>
      </w:r>
    </w:p>
    <w:p w:rsidR="00D849AA" w:rsidRDefault="00EE6D95">
      <w:pPr>
        <w:pStyle w:val="Normal5"/>
      </w:pPr>
      <w:r>
        <w:t xml:space="preserve">Zakon o dopuni Zakona o zaštiti osobnih podataka (NN br. 118/06 ), </w:t>
      </w:r>
    </w:p>
    <w:p w:rsidR="00D849AA" w:rsidRDefault="00EE6D95">
      <w:pPr>
        <w:pStyle w:val="Normal5"/>
      </w:pPr>
      <w:r>
        <w:t xml:space="preserve">Zakon o izmjenama i dopunama Zakona o zaštiti osobnih podataka (NN br.41/08).- </w:t>
      </w:r>
    </w:p>
    <w:p w:rsidR="00D849AA" w:rsidRDefault="00EE6D95">
      <w:pPr>
        <w:pStyle w:val="Normal5"/>
      </w:pPr>
      <w:r>
        <w:t xml:space="preserve">RH je ratificirala konvenciju Vijeća Europe (Zaštita osoba glede automatizirane obrade osobnih podataka - Konvencija 108) čime je ista postala dio zakonodavnog okvira zaštite osobnih podataka </w:t>
      </w:r>
    </w:p>
    <w:p w:rsidR="00D849AA" w:rsidRDefault="00EE6D95">
      <w:pPr>
        <w:pStyle w:val="Normal5"/>
      </w:pPr>
      <w:r>
        <w:t>Zakon o pravu na pristup informacijama ( NN 123/10)</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 xml:space="preserve">Cilj 1. Efikasno provođenje zaštite osobnih podataka </w:t>
      </w:r>
    </w:p>
    <w:p w:rsidR="00D849AA" w:rsidRDefault="00EE6D95">
      <w:pPr>
        <w:pStyle w:val="Normal6"/>
      </w:pPr>
      <w:r>
        <w:t xml:space="preserve">Zakon o zaštiti osobnih podataka Republike Hrvatske u temeljnim pitanjima je usklađen s pravnom stečevinom Europske unije, što je realizirano kroz nekoliko izmjena i dopuna, uključujući zadnje izmjene i dopune iz 2011.godine. Tijekom 2012.godine je Agencija izradila Nacrt izmjena i dopuna Uredbe o načinu vođenja i obrascu evidencije o zbirkama osobnih podataka, te usklailaa s izmijenjenim i dopunjenim Zakonom o zaštiti osobnih podataka.   </w:t>
      </w:r>
    </w:p>
    <w:p w:rsidR="00D849AA" w:rsidRDefault="00EE6D95">
      <w:pPr>
        <w:pStyle w:val="Normal6"/>
      </w:pPr>
      <w:r>
        <w:t xml:space="preserve">Također, tijekom nastupajućeg perioda  bit će potrebno pripremiti i uskladiti podzakonski akt koji će omogućiti jednostavnije dostavljanje i izmjenu evidencija o zbirkama osobnih podataka.  </w:t>
      </w:r>
    </w:p>
    <w:p w:rsidR="00D849AA" w:rsidRDefault="00EE6D95">
      <w:pPr>
        <w:pStyle w:val="Normal6"/>
      </w:pPr>
      <w:r>
        <w:t xml:space="preserve">Agencija će unaprjeđivati nadzorne aktivnosti i praksu provođenja nadzora nad voditeljima zbirki osobnih podataka čime će osiguravati efikasnije provođenje Zakona i podzakonskih propisa o zaštiti osobnih podataka. </w:t>
      </w:r>
    </w:p>
    <w:p w:rsidR="00D849AA" w:rsidRDefault="00EE6D95">
      <w:pPr>
        <w:pStyle w:val="Normal6"/>
      </w:pPr>
      <w:r>
        <w:t xml:space="preserve">Budući se obrada osobnih podataka u suvremenim uvjetima odvija često pomoću informacijskih i komunikacijskih tehnologija, nužno je poznavati propise, mjere i postupke informacijske sigurnosti za zaštitu osobnih podataka. Agencija će, kao i do sada, svoje nadzorne aktivnosti provoditi dvojako: sa pravnog i sa informatičkog stajališta.  </w:t>
      </w:r>
    </w:p>
    <w:p w:rsidR="00D849AA" w:rsidRDefault="00EE6D95">
      <w:pPr>
        <w:pStyle w:val="Normal6"/>
      </w:pPr>
      <w:r>
        <w:t>Slijedom toga bit će potrebno izraditi nadzorne postupke koje pored pravnog nadzora uključuju i nadzor komponente informacijske sigurnosti pri prikupljanju, obradi i prijenosu osobnih podataka.</w:t>
      </w:r>
    </w:p>
    <w:p w:rsidR="00D849AA" w:rsidRDefault="00EE6D95">
      <w:pPr>
        <w:pStyle w:val="Naslov8"/>
        <w:jc w:val="left"/>
      </w:pPr>
      <w:r>
        <w:lastRenderedPageBreak/>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Usklađenje Zakona o zaštiti osobnih podataka i podzakonskih uredbi</w:t>
            </w:r>
          </w:p>
        </w:tc>
        <w:tc>
          <w:tcPr>
            <w:tcW w:w="1114" w:type="dxa"/>
          </w:tcPr>
          <w:p w:rsidR="00D849AA" w:rsidRDefault="00EE6D95">
            <w:r>
              <w:t xml:space="preserve">"% </w:t>
            </w:r>
          </w:p>
          <w:p w:rsidR="00D849AA" w:rsidRDefault="00EE6D95">
            <w:r>
              <w:t>(kumul.)"</w:t>
            </w:r>
          </w:p>
        </w:tc>
        <w:tc>
          <w:tcPr>
            <w:tcW w:w="1114" w:type="dxa"/>
          </w:tcPr>
          <w:p w:rsidR="00D849AA" w:rsidRDefault="00EE6D95">
            <w:r>
              <w:t>60%</w:t>
            </w:r>
          </w:p>
        </w:tc>
        <w:tc>
          <w:tcPr>
            <w:tcW w:w="1486" w:type="dxa"/>
          </w:tcPr>
          <w:p w:rsidR="00D849AA" w:rsidRDefault="00EE6D95">
            <w:r>
              <w:t>100%</w:t>
            </w:r>
          </w:p>
        </w:tc>
        <w:tc>
          <w:tcPr>
            <w:tcW w:w="1486" w:type="dxa"/>
          </w:tcPr>
          <w:p w:rsidR="00D849AA" w:rsidRDefault="00EE6D95">
            <w:r>
              <w:t>100%</w:t>
            </w:r>
          </w:p>
        </w:tc>
        <w:tc>
          <w:tcPr>
            <w:tcW w:w="1486" w:type="dxa"/>
          </w:tcPr>
          <w:p w:rsidR="00D849AA" w:rsidRDefault="00EE6D95">
            <w:r>
              <w:t>100%</w:t>
            </w:r>
          </w:p>
        </w:tc>
      </w:tr>
      <w:tr w:rsidR="00D849AA">
        <w:trPr>
          <w:jc w:val="center"/>
        </w:trPr>
        <w:tc>
          <w:tcPr>
            <w:tcW w:w="2229" w:type="dxa"/>
          </w:tcPr>
          <w:p w:rsidR="00D849AA" w:rsidRDefault="00EE6D95">
            <w:pPr>
              <w:pStyle w:val="CellColumn"/>
            </w:pPr>
            <w:r>
              <w:t>Provođenje nadzora i nadzornih aktivnosti temeljem Pravilnika o provođenju nadzora i nadzornih aktivnosti</w:t>
            </w:r>
          </w:p>
        </w:tc>
        <w:tc>
          <w:tcPr>
            <w:tcW w:w="1114" w:type="dxa"/>
          </w:tcPr>
          <w:p w:rsidR="00D849AA" w:rsidRDefault="00EE6D95">
            <w:r>
              <w:t xml:space="preserve">"% </w:t>
            </w:r>
          </w:p>
          <w:p w:rsidR="00D849AA" w:rsidRDefault="00EE6D95">
            <w:r>
              <w:t>(kumul.)"</w:t>
            </w:r>
          </w:p>
        </w:tc>
        <w:tc>
          <w:tcPr>
            <w:tcW w:w="1114" w:type="dxa"/>
          </w:tcPr>
          <w:p w:rsidR="00D849AA" w:rsidRDefault="00EE6D95">
            <w:r>
              <w:t>70%</w:t>
            </w:r>
          </w:p>
        </w:tc>
        <w:tc>
          <w:tcPr>
            <w:tcW w:w="1486" w:type="dxa"/>
          </w:tcPr>
          <w:p w:rsidR="00D849AA" w:rsidRDefault="00EE6D95">
            <w:r>
              <w:t>100%</w:t>
            </w:r>
          </w:p>
        </w:tc>
        <w:tc>
          <w:tcPr>
            <w:tcW w:w="1486" w:type="dxa"/>
          </w:tcPr>
          <w:p w:rsidR="00D849AA" w:rsidRDefault="00EE6D95">
            <w:r>
              <w:t>100%</w:t>
            </w:r>
          </w:p>
        </w:tc>
        <w:tc>
          <w:tcPr>
            <w:tcW w:w="1486" w:type="dxa"/>
          </w:tcPr>
          <w:p w:rsidR="00D849AA" w:rsidRDefault="00EE6D95">
            <w:r>
              <w:t>100%</w:t>
            </w:r>
          </w:p>
        </w:tc>
      </w:tr>
      <w:tr w:rsidR="00D849AA">
        <w:trPr>
          <w:jc w:val="center"/>
        </w:trPr>
        <w:tc>
          <w:tcPr>
            <w:tcW w:w="2229" w:type="dxa"/>
          </w:tcPr>
          <w:p w:rsidR="00D849AA" w:rsidRDefault="00EE6D95">
            <w:pPr>
              <w:pStyle w:val="CellColumn"/>
            </w:pPr>
            <w:r>
              <w:t>Kontinuirana realizacija planiranog broja nadzora i nadzora po prijavi nad voditeljima zbirki</w:t>
            </w:r>
          </w:p>
        </w:tc>
        <w:tc>
          <w:tcPr>
            <w:tcW w:w="1114" w:type="dxa"/>
          </w:tcPr>
          <w:p w:rsidR="00D849AA" w:rsidRDefault="00EE6D95">
            <w:r>
              <w:t xml:space="preserve">"broj </w:t>
            </w:r>
          </w:p>
          <w:p w:rsidR="00D849AA" w:rsidRDefault="00EE6D95">
            <w:r>
              <w:t>(kumul.)"</w:t>
            </w:r>
          </w:p>
        </w:tc>
        <w:tc>
          <w:tcPr>
            <w:tcW w:w="1114" w:type="dxa"/>
          </w:tcPr>
          <w:p w:rsidR="00D849AA" w:rsidRDefault="00EE6D95">
            <w:r>
              <w:t>0</w:t>
            </w:r>
          </w:p>
        </w:tc>
        <w:tc>
          <w:tcPr>
            <w:tcW w:w="1486" w:type="dxa"/>
          </w:tcPr>
          <w:p w:rsidR="00D849AA" w:rsidRDefault="00EE6D95">
            <w:r>
              <w:t>150</w:t>
            </w:r>
          </w:p>
        </w:tc>
        <w:tc>
          <w:tcPr>
            <w:tcW w:w="1486" w:type="dxa"/>
          </w:tcPr>
          <w:p w:rsidR="00D849AA" w:rsidRDefault="00EE6D95">
            <w:r>
              <w:t>220</w:t>
            </w:r>
          </w:p>
        </w:tc>
        <w:tc>
          <w:tcPr>
            <w:tcW w:w="1486" w:type="dxa"/>
          </w:tcPr>
          <w:p w:rsidR="00D849AA" w:rsidRDefault="00EE6D95">
            <w:r>
              <w:t>220</w:t>
            </w:r>
          </w:p>
        </w:tc>
      </w:tr>
      <w:tr w:rsidR="00D849AA">
        <w:trPr>
          <w:jc w:val="center"/>
        </w:trPr>
        <w:tc>
          <w:tcPr>
            <w:tcW w:w="2229" w:type="dxa"/>
          </w:tcPr>
          <w:p w:rsidR="00D849AA" w:rsidRDefault="00EE6D95">
            <w:pPr>
              <w:pStyle w:val="CellColumn"/>
            </w:pPr>
            <w:r>
              <w:t>Kontinuirano održavanje seminara i radionica za voditelje zbirki osobnih podataka, službenike za zaštitu osobnih podataka i građane</w:t>
            </w:r>
          </w:p>
        </w:tc>
        <w:tc>
          <w:tcPr>
            <w:tcW w:w="1114" w:type="dxa"/>
          </w:tcPr>
          <w:p w:rsidR="00D849AA" w:rsidRDefault="00EE6D95">
            <w:r>
              <w:t xml:space="preserve">"broj </w:t>
            </w:r>
          </w:p>
          <w:p w:rsidR="00D849AA" w:rsidRDefault="00EE6D95">
            <w:r>
              <w:t>(kumul.)"</w:t>
            </w:r>
          </w:p>
        </w:tc>
        <w:tc>
          <w:tcPr>
            <w:tcW w:w="1114" w:type="dxa"/>
          </w:tcPr>
          <w:p w:rsidR="00D849AA" w:rsidRDefault="00EE6D95">
            <w:r>
              <w:t>0</w:t>
            </w:r>
          </w:p>
        </w:tc>
        <w:tc>
          <w:tcPr>
            <w:tcW w:w="1486" w:type="dxa"/>
          </w:tcPr>
          <w:p w:rsidR="00D849AA" w:rsidRDefault="00EE6D95">
            <w:r>
              <w:t>16</w:t>
            </w:r>
          </w:p>
        </w:tc>
        <w:tc>
          <w:tcPr>
            <w:tcW w:w="1486" w:type="dxa"/>
          </w:tcPr>
          <w:p w:rsidR="00D849AA" w:rsidRDefault="00EE6D95">
            <w:r>
              <w:t>24</w:t>
            </w:r>
          </w:p>
        </w:tc>
        <w:tc>
          <w:tcPr>
            <w:tcW w:w="1486" w:type="dxa"/>
          </w:tcPr>
          <w:p w:rsidR="00D849AA" w:rsidRDefault="00EE6D95">
            <w:r>
              <w:t>24</w:t>
            </w:r>
          </w:p>
        </w:tc>
      </w:tr>
    </w:tbl>
    <w:p w:rsidR="00D849AA" w:rsidRDefault="00D849AA">
      <w:pPr>
        <w:jc w:val="left"/>
      </w:pPr>
    </w:p>
    <w:p w:rsidR="00D849AA" w:rsidRDefault="00EE6D95">
      <w:pPr>
        <w:pStyle w:val="Naslov5"/>
      </w:pPr>
      <w:r>
        <w:t>Procjena i ishodište potrebnih sredstava za značajnije aktivnosti/projekte</w:t>
      </w:r>
    </w:p>
    <w:p w:rsidR="00D849AA" w:rsidRDefault="00EE6D95">
      <w:pPr>
        <w:pStyle w:val="Naslov6"/>
      </w:pPr>
      <w:r>
        <w:t>A765000 ADMINISTRACIJA I UPRAVLJANJE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A765000</w:t>
            </w:r>
          </w:p>
        </w:tc>
        <w:tc>
          <w:tcPr>
            <w:tcW w:w="1486" w:type="dxa"/>
          </w:tcPr>
          <w:p w:rsidR="00D849AA" w:rsidRDefault="00EE6D95">
            <w:r>
              <w:t>5.474.847</w:t>
            </w:r>
          </w:p>
        </w:tc>
        <w:tc>
          <w:tcPr>
            <w:tcW w:w="1486" w:type="dxa"/>
          </w:tcPr>
          <w:p w:rsidR="00D849AA" w:rsidRDefault="00EE6D95">
            <w:r>
              <w:t>5.414.587</w:t>
            </w:r>
          </w:p>
        </w:tc>
        <w:tc>
          <w:tcPr>
            <w:tcW w:w="1486" w:type="dxa"/>
          </w:tcPr>
          <w:p w:rsidR="00D849AA" w:rsidRDefault="00EE6D95">
            <w:r>
              <w:t>5.751.460</w:t>
            </w:r>
          </w:p>
        </w:tc>
        <w:tc>
          <w:tcPr>
            <w:tcW w:w="1486" w:type="dxa"/>
          </w:tcPr>
          <w:p w:rsidR="00D849AA" w:rsidRDefault="00EE6D95">
            <w:r>
              <w:t>5.784.250</w:t>
            </w:r>
          </w:p>
        </w:tc>
        <w:tc>
          <w:tcPr>
            <w:tcW w:w="1486" w:type="dxa"/>
          </w:tcPr>
          <w:p w:rsidR="00D849AA" w:rsidRDefault="00EE6D95">
            <w:r>
              <w:t>98,9</w:t>
            </w:r>
          </w:p>
        </w:tc>
      </w:tr>
    </w:tbl>
    <w:p w:rsidR="00D849AA" w:rsidRDefault="00D849AA">
      <w:pPr>
        <w:jc w:val="left"/>
      </w:pPr>
    </w:p>
    <w:p w:rsidR="00D849AA" w:rsidRDefault="00EE6D95">
      <w:pPr>
        <w:pStyle w:val="Normal6"/>
      </w:pPr>
      <w:r>
        <w:t xml:space="preserve">Zakon o zaštiti osobnih podataka Republike Hrvatske u temeljnim pitanjima je usklađen s pravnom stečevinom Europske unije, što je realizirano kroz nekoliko izmjena i dopuna, uključujući zadnje izmjene i dopune iz 2011.godine. Agencija je izradila Nacrt izmjena i dopuna Uredbe o načinu vođenja i obrascu evidencije o zbirkama osobnih podataka, koja će biti usklađena s izmijenjenim i dopunjenim Zakonom o zaštiti osobnih podataka.   </w:t>
      </w:r>
    </w:p>
    <w:p w:rsidR="00D849AA" w:rsidRDefault="00EE6D95">
      <w:pPr>
        <w:pStyle w:val="Normal6"/>
      </w:pPr>
      <w:r>
        <w:t xml:space="preserve">Također, tijekom nastupajućeg perioda  bit će potrebno pripremiti i uskladiti podzakonski akt koji će omogućiti jednostavnije dostavljanje i izmjenu evidencija o zbirkama osobnih podataka.  </w:t>
      </w:r>
    </w:p>
    <w:p w:rsidR="00D849AA" w:rsidRDefault="00EE6D95">
      <w:pPr>
        <w:pStyle w:val="Normal6"/>
      </w:pPr>
      <w:r>
        <w:t xml:space="preserve">Agencija će unaprjeđivati nadzorne aktivnosti i praksu provođenja nadzora nad voditeljima zbirki osobnih podataka čime će osiguravati efikasnije provođenje Zakona i podzakonskih propisa o zaštiti osobnih podataka. </w:t>
      </w:r>
    </w:p>
    <w:p w:rsidR="00D849AA" w:rsidRDefault="00EE6D95">
      <w:pPr>
        <w:pStyle w:val="Normal6"/>
      </w:pPr>
      <w:r>
        <w:lastRenderedPageBreak/>
        <w:t xml:space="preserve">Budući se obrada osobnih podataka u suvremenim uvjetima odvija često pomoću informacijskih i komunikacijskih tehnologija, nužno je poznavati propise, mjere i postupke informacijske sigurnosti za zaštitu osobnih podataka. Agencija će, kao i do sada, svoje nadzorne aktivnosti provoditi dvojako: sa pravnog i sa informatičkog stajališta.  </w:t>
      </w:r>
    </w:p>
    <w:p w:rsidR="00D849AA" w:rsidRDefault="00EE6D95">
      <w:pPr>
        <w:pStyle w:val="Normal6"/>
      </w:pPr>
      <w:r>
        <w:t xml:space="preserve">Slijedom toga bit će potrebno izraditi nadzorne postupke koje pored pravnog nadzora uključuju i nadzor komponente informacijske sigurnosti pri prikupljanju, obradi i prijenosu osobnih podataka.Kontinuiranom  analizom stanja zaštite osobnih podataka u Republici Hrvatskoj Agencija stječe cjelovit uvid i stvara preduvjete za potpuno usklađenje nacionalnog pravnog okvira iz područja zaštite osobnih podataka s pravnom stečevinom EU. Nadzor nad voditeljima zbirki osobnih podataka podrazumijeva prije svega dobro poznavanje pravnog okvira djelovanja svakog voditelja, odnosno svake grupacije voditelja zbirki osobnih podataka. Pored toga, potrebno je dobro poznavanje načina postupanja sa osobnim podacima – od prikupljanja, obrade i pohranjivanja, do svih mogućih načina prijenosa osobnih podataka koristeći se suvremenim informacijskim i komunikacijskim tehnologijama.  </w:t>
      </w:r>
    </w:p>
    <w:p w:rsidR="00D849AA" w:rsidRDefault="00EE6D95">
      <w:pPr>
        <w:pStyle w:val="Normal6"/>
      </w:pPr>
      <w:r>
        <w:t xml:space="preserve">U dosadašnjem radu u nadzornim aktivnostima Agencija je nadzorne postupke gradila i razvijala kroz praksu, ali isto tako slijedom prakse koju je usvajala od tijela i organizacija za zaštitu osobnih podataka u drugim državama članicama EU.  </w:t>
      </w:r>
    </w:p>
    <w:p w:rsidR="00D849AA" w:rsidRDefault="00EE6D95">
      <w:pPr>
        <w:pStyle w:val="Normal6"/>
      </w:pPr>
      <w:r>
        <w:t xml:space="preserve">Nakon 9 godina rada i stjecanja vlastitih postupaka i vještina obavljanja nadzora kroz praksu, pred Agencijom je zadatak izraditi detaljan pregled i analizu metodologija nadzora temeljem vlastite prakse izvršenih nadzornih aktivnosti i usporedbom naše prakse sa praksom u drugim državama članicama EU, s ciljem stvaranja preduvjeta za razvijanje vlastite metodologije nadzora sukladne postojećem pravnom okviru u Republici Hrvatskoj i u uvjetima suvremenih informacijskih i komunikacijskih tehnologija. </w:t>
      </w:r>
    </w:p>
    <w:p w:rsidR="00D849AA" w:rsidRDefault="00EE6D95">
      <w:pPr>
        <w:pStyle w:val="Normal6"/>
      </w:pPr>
      <w:r>
        <w:t xml:space="preserve">Pravilnikom o provođenju nadzora i nadzornih aktivnosti bit će određena optimalna i prihvatljiva praksa i metodologija nadzora koja će se primjenjivati kroz planirane nadzore kao redovnu aktivnost, a isto tako i kroz dva pilot projekta u sektorima telekomunikacija i zdravstva kojim će se stručne službe Agencije koje rade na poslovima nadzora pripremiti i osposobiti za nadzorne aktivnosti u novim uvjetima.  </w:t>
      </w:r>
    </w:p>
    <w:p w:rsidR="00D849AA" w:rsidRDefault="00EE6D95">
      <w:pPr>
        <w:pStyle w:val="Normal6"/>
      </w:pPr>
      <w:r>
        <w:t xml:space="preserve">Agencija će sudjelovati u aktivnostima vezano za usklađivanje Zakona o kreditnim institucijama (NN br. 117/08, 74/09 i 153/09 dalje u tekstu: ZOKI) radi usklađivanja istog s Direktivom o kapitalnim zahtjevima (tzv. CRD IV) koja bi se u EU trebala početi primjenjivati početkom slijedeće godine. Agencija će naročito skrenuti pozornost na odredbe o bankovnoj tajni (čl. 168. - 170. ZOKI-ja)  koje se ne mogu smatrati dijelom pravne stečevine EU. </w:t>
      </w:r>
    </w:p>
    <w:p w:rsidR="00D849AA" w:rsidRDefault="00EE6D95">
      <w:pPr>
        <w:pStyle w:val="Normal6"/>
      </w:pPr>
      <w:r>
        <w:t xml:space="preserve">Sukladno članku 99. stavak 5. Zakona o elektroničkim komunikacijama (NN 73/08 i 90/11) Agencija će nadzirati mjere koje u provedbi odredaba ovog članka poduzimaju operatori javno dostupnih elektroničkih komunikacijskih usluga, te s tim u vezi davati preporuke o najboljoj praksi odnosno na razinu sigurnosti koje te mjere moraju ostvariti. </w:t>
      </w:r>
    </w:p>
    <w:p w:rsidR="00D849AA" w:rsidRDefault="00EE6D95">
      <w:pPr>
        <w:pStyle w:val="Normal6"/>
      </w:pPr>
      <w:r>
        <w:t xml:space="preserve">Prema Zakonu o zaštiti osobnih podataka svaki voditelj zbirki osobnih podataka obvezan je uspostaviti i voditi evidenciju (skup temeljnih informacija) o svakoj zbirci osobnih podataka. Evidencije o zbirkama podataka dostavljaju se Agenciji za zaštitu osobnih podataka i objedinjavaju se u Središnjem registru kojeg vodi Agencija.  </w:t>
      </w:r>
    </w:p>
    <w:p w:rsidR="00D849AA" w:rsidRDefault="00EE6D95">
      <w:pPr>
        <w:pStyle w:val="Normal6"/>
      </w:pPr>
      <w:r>
        <w:t xml:space="preserve">Agencija će kroz organizirane oblike edukacije (seminare i radionice) upoznati voditelje širom Hrvatske s obvezama koje proizlaze iz Zakona i načine na koje se obveze glede dostavljanja evidencija izvršavaju. </w:t>
      </w:r>
    </w:p>
    <w:p w:rsidR="00D849AA" w:rsidRDefault="00EE6D95">
      <w:pPr>
        <w:pStyle w:val="Normal6"/>
      </w:pPr>
      <w:r>
        <w:t>Sukladno s tim, zadaća je Agencije pružati savjetodavnu pomoć i educirati službenike za zaštitu osobnih podataka za uspješno obavjanje njihovih zadaća propisanih  Zakonom, kroz različite oblike suradnje i edukacije.</w:t>
      </w:r>
    </w:p>
    <w:p w:rsidR="00AE2853" w:rsidRDefault="00AE2853">
      <w:pPr>
        <w:pStyle w:val="Normal6"/>
      </w:pPr>
    </w:p>
    <w:p w:rsidR="00D849AA" w:rsidRDefault="00EE6D95">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rsidRPr="00AE2853">
        <w:trPr>
          <w:jc w:val="center"/>
        </w:trPr>
        <w:tc>
          <w:tcPr>
            <w:tcW w:w="2229" w:type="dxa"/>
            <w:shd w:val="clear" w:color="auto" w:fill="B5C0D8"/>
          </w:tcPr>
          <w:p w:rsidR="00D849AA" w:rsidRPr="00AE2853" w:rsidRDefault="00EE6D95">
            <w:pPr>
              <w:rPr>
                <w:rFonts w:ascii="Arial" w:hAnsi="Arial" w:cs="Arial"/>
              </w:rPr>
            </w:pPr>
            <w:r w:rsidRPr="00AE2853">
              <w:rPr>
                <w:rFonts w:ascii="Arial" w:hAnsi="Arial" w:cs="Arial"/>
              </w:rPr>
              <w:t>Pokazatelj rezultata</w:t>
            </w:r>
          </w:p>
        </w:tc>
        <w:tc>
          <w:tcPr>
            <w:tcW w:w="1114" w:type="dxa"/>
            <w:shd w:val="clear" w:color="auto" w:fill="B5C0D8"/>
          </w:tcPr>
          <w:p w:rsidR="00D849AA" w:rsidRPr="00AE2853" w:rsidRDefault="00EE6D95">
            <w:pPr>
              <w:pStyle w:val="CellHeader"/>
            </w:pPr>
            <w:r w:rsidRPr="00AE2853">
              <w:t>Jedinica</w:t>
            </w:r>
          </w:p>
        </w:tc>
        <w:tc>
          <w:tcPr>
            <w:tcW w:w="1114" w:type="dxa"/>
            <w:shd w:val="clear" w:color="auto" w:fill="B5C0D8"/>
          </w:tcPr>
          <w:p w:rsidR="00D849AA" w:rsidRPr="00AE2853" w:rsidRDefault="00EE6D95">
            <w:pPr>
              <w:pStyle w:val="CellHeader"/>
            </w:pPr>
            <w:r w:rsidRPr="00AE2853">
              <w:t>Polazna vrijednost</w:t>
            </w:r>
          </w:p>
        </w:tc>
        <w:tc>
          <w:tcPr>
            <w:tcW w:w="1486" w:type="dxa"/>
            <w:shd w:val="clear" w:color="auto" w:fill="B5C0D8"/>
          </w:tcPr>
          <w:p w:rsidR="00D849AA" w:rsidRPr="00AE2853" w:rsidRDefault="00EE6D95">
            <w:pPr>
              <w:pStyle w:val="CellHeader"/>
            </w:pPr>
            <w:r w:rsidRPr="00AE2853">
              <w:t>Ciljana vrijednost (2014.)</w:t>
            </w:r>
          </w:p>
        </w:tc>
        <w:tc>
          <w:tcPr>
            <w:tcW w:w="1486" w:type="dxa"/>
            <w:shd w:val="clear" w:color="auto" w:fill="B5C0D8"/>
          </w:tcPr>
          <w:p w:rsidR="00D849AA" w:rsidRPr="00AE2853" w:rsidRDefault="00EE6D95">
            <w:pPr>
              <w:pStyle w:val="CellHeader"/>
            </w:pPr>
            <w:r w:rsidRPr="00AE2853">
              <w:t>Ciljana vrijednost (2015.)</w:t>
            </w:r>
          </w:p>
        </w:tc>
        <w:tc>
          <w:tcPr>
            <w:tcW w:w="1486" w:type="dxa"/>
            <w:shd w:val="clear" w:color="auto" w:fill="B5C0D8"/>
          </w:tcPr>
          <w:p w:rsidR="00D849AA" w:rsidRPr="00AE2853" w:rsidRDefault="00EE6D95">
            <w:pPr>
              <w:pStyle w:val="CellHeader"/>
            </w:pPr>
            <w:r w:rsidRPr="00AE2853">
              <w:t>Ciljana vrijednost (2016.)</w:t>
            </w:r>
          </w:p>
        </w:tc>
      </w:tr>
      <w:tr w:rsidR="00D849AA" w:rsidRPr="00AE2853">
        <w:trPr>
          <w:jc w:val="center"/>
        </w:trPr>
        <w:tc>
          <w:tcPr>
            <w:tcW w:w="2229" w:type="dxa"/>
          </w:tcPr>
          <w:p w:rsidR="00D849AA" w:rsidRPr="00AE2853" w:rsidRDefault="00EE6D95">
            <w:pPr>
              <w:pStyle w:val="CellColumn"/>
            </w:pPr>
            <w:r w:rsidRPr="00AE2853">
              <w:t>Postotak provedenih nadzora u odnosu na planirani broj i broj prijavljenih povreda prava</w:t>
            </w:r>
          </w:p>
        </w:tc>
        <w:tc>
          <w:tcPr>
            <w:tcW w:w="1114" w:type="dxa"/>
          </w:tcPr>
          <w:p w:rsidR="00D849AA" w:rsidRPr="00AE2853" w:rsidRDefault="00EE6D95">
            <w:pPr>
              <w:rPr>
                <w:rFonts w:ascii="Arial" w:hAnsi="Arial" w:cs="Arial"/>
              </w:rPr>
            </w:pPr>
            <w:r w:rsidRPr="00AE2853">
              <w:rPr>
                <w:rFonts w:ascii="Arial" w:hAnsi="Arial" w:cs="Arial"/>
              </w:rPr>
              <w:t xml:space="preserve">% </w:t>
            </w:r>
          </w:p>
          <w:p w:rsidR="00D849AA" w:rsidRPr="00AE2853" w:rsidRDefault="00EE6D95">
            <w:pPr>
              <w:rPr>
                <w:rFonts w:ascii="Arial" w:hAnsi="Arial" w:cs="Arial"/>
              </w:rPr>
            </w:pPr>
            <w:r w:rsidRPr="00AE2853">
              <w:rPr>
                <w:rFonts w:ascii="Arial" w:hAnsi="Arial" w:cs="Arial"/>
              </w:rPr>
              <w:t>(god.)</w:t>
            </w:r>
          </w:p>
        </w:tc>
        <w:tc>
          <w:tcPr>
            <w:tcW w:w="1114" w:type="dxa"/>
          </w:tcPr>
          <w:p w:rsidR="00D849AA" w:rsidRPr="00AE2853" w:rsidRDefault="00EE6D95">
            <w:pPr>
              <w:rPr>
                <w:rFonts w:ascii="Arial" w:hAnsi="Arial" w:cs="Arial"/>
              </w:rPr>
            </w:pPr>
            <w:r w:rsidRPr="00AE2853">
              <w:rPr>
                <w:rFonts w:ascii="Arial" w:hAnsi="Arial" w:cs="Arial"/>
              </w:rPr>
              <w:t>100%</w:t>
            </w:r>
          </w:p>
        </w:tc>
        <w:tc>
          <w:tcPr>
            <w:tcW w:w="1486" w:type="dxa"/>
          </w:tcPr>
          <w:p w:rsidR="00D849AA" w:rsidRPr="00AE2853" w:rsidRDefault="00EE6D95">
            <w:pPr>
              <w:rPr>
                <w:rFonts w:ascii="Arial" w:hAnsi="Arial" w:cs="Arial"/>
              </w:rPr>
            </w:pPr>
            <w:r w:rsidRPr="00AE2853">
              <w:rPr>
                <w:rFonts w:ascii="Arial" w:hAnsi="Arial" w:cs="Arial"/>
              </w:rPr>
              <w:t>100%</w:t>
            </w:r>
          </w:p>
        </w:tc>
        <w:tc>
          <w:tcPr>
            <w:tcW w:w="1486" w:type="dxa"/>
          </w:tcPr>
          <w:p w:rsidR="00D849AA" w:rsidRPr="00AE2853" w:rsidRDefault="00EE6D95">
            <w:pPr>
              <w:rPr>
                <w:rFonts w:ascii="Arial" w:hAnsi="Arial" w:cs="Arial"/>
              </w:rPr>
            </w:pPr>
            <w:r w:rsidRPr="00AE2853">
              <w:rPr>
                <w:rFonts w:ascii="Arial" w:hAnsi="Arial" w:cs="Arial"/>
              </w:rPr>
              <w:t>100%</w:t>
            </w:r>
          </w:p>
        </w:tc>
        <w:tc>
          <w:tcPr>
            <w:tcW w:w="1486" w:type="dxa"/>
          </w:tcPr>
          <w:p w:rsidR="00D849AA" w:rsidRPr="00AE2853" w:rsidRDefault="00EE6D95">
            <w:pPr>
              <w:rPr>
                <w:rFonts w:ascii="Arial" w:hAnsi="Arial" w:cs="Arial"/>
              </w:rPr>
            </w:pPr>
            <w:r w:rsidRPr="00AE2853">
              <w:rPr>
                <w:rFonts w:ascii="Arial" w:hAnsi="Arial" w:cs="Arial"/>
              </w:rPr>
              <w:t>100%</w:t>
            </w:r>
          </w:p>
        </w:tc>
      </w:tr>
    </w:tbl>
    <w:p w:rsidR="00D849AA" w:rsidRPr="00AE2853" w:rsidRDefault="00D849AA">
      <w:pPr>
        <w:jc w:val="left"/>
        <w:rPr>
          <w:rFonts w:ascii="Arial" w:hAnsi="Arial" w:cs="Arial"/>
        </w:rPr>
      </w:pPr>
    </w:p>
    <w:p w:rsidR="00D849AA" w:rsidRDefault="00EE6D95">
      <w:pPr>
        <w:pStyle w:val="Naslov6"/>
      </w:pPr>
      <w:r>
        <w:t>K765001 OPREMANJE AGENCIJE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rsidRPr="00AE2853">
        <w:trPr>
          <w:jc w:val="center"/>
        </w:trPr>
        <w:tc>
          <w:tcPr>
            <w:tcW w:w="1486" w:type="dxa"/>
            <w:shd w:val="clear" w:color="auto" w:fill="B5C0D8"/>
          </w:tcPr>
          <w:p w:rsidR="00D849AA" w:rsidRPr="00AE2853" w:rsidRDefault="00EE6D95">
            <w:pPr>
              <w:pStyle w:val="CellHeader"/>
            </w:pPr>
            <w:r w:rsidRPr="00AE2853">
              <w:t>Naziv aktivnosti</w:t>
            </w:r>
          </w:p>
        </w:tc>
        <w:tc>
          <w:tcPr>
            <w:tcW w:w="1486" w:type="dxa"/>
            <w:shd w:val="clear" w:color="auto" w:fill="B5C0D8"/>
          </w:tcPr>
          <w:p w:rsidR="00D849AA" w:rsidRPr="00AE2853" w:rsidRDefault="00EE6D95">
            <w:pPr>
              <w:pStyle w:val="CellHeader"/>
            </w:pPr>
            <w:r w:rsidRPr="00AE2853">
              <w:t>Plan 2013.</w:t>
            </w:r>
          </w:p>
        </w:tc>
        <w:tc>
          <w:tcPr>
            <w:tcW w:w="1486" w:type="dxa"/>
            <w:shd w:val="clear" w:color="auto" w:fill="B5C0D8"/>
          </w:tcPr>
          <w:p w:rsidR="00D849AA" w:rsidRPr="00AE2853" w:rsidRDefault="00EE6D95">
            <w:pPr>
              <w:pStyle w:val="CellHeader"/>
            </w:pPr>
            <w:r w:rsidRPr="00AE2853">
              <w:t>Plan 2014.</w:t>
            </w:r>
          </w:p>
        </w:tc>
        <w:tc>
          <w:tcPr>
            <w:tcW w:w="1486" w:type="dxa"/>
            <w:shd w:val="clear" w:color="auto" w:fill="B5C0D8"/>
          </w:tcPr>
          <w:p w:rsidR="00D849AA" w:rsidRPr="00AE2853" w:rsidRDefault="00EE6D95">
            <w:pPr>
              <w:pStyle w:val="CellHeader"/>
            </w:pPr>
            <w:r w:rsidRPr="00AE2853">
              <w:t>Plan 2015.</w:t>
            </w:r>
          </w:p>
        </w:tc>
        <w:tc>
          <w:tcPr>
            <w:tcW w:w="1486" w:type="dxa"/>
            <w:shd w:val="clear" w:color="auto" w:fill="B5C0D8"/>
          </w:tcPr>
          <w:p w:rsidR="00D849AA" w:rsidRPr="00AE2853" w:rsidRDefault="00EE6D95">
            <w:pPr>
              <w:pStyle w:val="CellHeader"/>
            </w:pPr>
            <w:r w:rsidRPr="00AE2853">
              <w:t>Plan 2016.</w:t>
            </w:r>
          </w:p>
        </w:tc>
        <w:tc>
          <w:tcPr>
            <w:tcW w:w="1486" w:type="dxa"/>
            <w:shd w:val="clear" w:color="auto" w:fill="B5C0D8"/>
          </w:tcPr>
          <w:p w:rsidR="00D849AA" w:rsidRPr="00AE2853" w:rsidRDefault="00EE6D95">
            <w:pPr>
              <w:pStyle w:val="CellHeader"/>
            </w:pPr>
            <w:r w:rsidRPr="00AE2853">
              <w:t>Indeks 2014/2013</w:t>
            </w:r>
          </w:p>
        </w:tc>
      </w:tr>
      <w:tr w:rsidR="00D849AA" w:rsidRPr="00AE2853">
        <w:trPr>
          <w:jc w:val="center"/>
        </w:trPr>
        <w:tc>
          <w:tcPr>
            <w:tcW w:w="1486" w:type="dxa"/>
          </w:tcPr>
          <w:p w:rsidR="00D849AA" w:rsidRPr="00AE2853" w:rsidRDefault="00EE6D95">
            <w:pPr>
              <w:pStyle w:val="CellColumn"/>
            </w:pPr>
            <w:r w:rsidRPr="00AE2853">
              <w:t>K765001</w:t>
            </w:r>
          </w:p>
        </w:tc>
        <w:tc>
          <w:tcPr>
            <w:tcW w:w="1486" w:type="dxa"/>
          </w:tcPr>
          <w:p w:rsidR="00D849AA" w:rsidRPr="00AE2853" w:rsidRDefault="00EE6D95">
            <w:pPr>
              <w:rPr>
                <w:rFonts w:ascii="Arial" w:hAnsi="Arial" w:cs="Arial"/>
              </w:rPr>
            </w:pPr>
            <w:r w:rsidRPr="00AE2853">
              <w:rPr>
                <w:rFonts w:ascii="Arial" w:hAnsi="Arial" w:cs="Arial"/>
              </w:rPr>
              <w:t>8.000</w:t>
            </w:r>
          </w:p>
        </w:tc>
        <w:tc>
          <w:tcPr>
            <w:tcW w:w="1486" w:type="dxa"/>
          </w:tcPr>
          <w:p w:rsidR="00D849AA" w:rsidRPr="00AE2853" w:rsidRDefault="00EE6D95">
            <w:pPr>
              <w:rPr>
                <w:rFonts w:ascii="Arial" w:hAnsi="Arial" w:cs="Arial"/>
              </w:rPr>
            </w:pPr>
            <w:r w:rsidRPr="00AE2853">
              <w:rPr>
                <w:rFonts w:ascii="Arial" w:hAnsi="Arial" w:cs="Arial"/>
              </w:rPr>
              <w:t>343.229</w:t>
            </w:r>
          </w:p>
        </w:tc>
        <w:tc>
          <w:tcPr>
            <w:tcW w:w="1486" w:type="dxa"/>
          </w:tcPr>
          <w:p w:rsidR="00D849AA" w:rsidRPr="00AE2853" w:rsidRDefault="00EE6D95">
            <w:pPr>
              <w:rPr>
                <w:rFonts w:ascii="Arial" w:hAnsi="Arial" w:cs="Arial"/>
              </w:rPr>
            </w:pPr>
            <w:r w:rsidRPr="00AE2853">
              <w:rPr>
                <w:rFonts w:ascii="Arial" w:hAnsi="Arial" w:cs="Arial"/>
              </w:rPr>
              <w:t>343.170</w:t>
            </w:r>
          </w:p>
        </w:tc>
        <w:tc>
          <w:tcPr>
            <w:tcW w:w="1486" w:type="dxa"/>
          </w:tcPr>
          <w:p w:rsidR="00D849AA" w:rsidRPr="00AE2853" w:rsidRDefault="00EE6D95">
            <w:pPr>
              <w:rPr>
                <w:rFonts w:ascii="Arial" w:hAnsi="Arial" w:cs="Arial"/>
              </w:rPr>
            </w:pPr>
            <w:r w:rsidRPr="00AE2853">
              <w:rPr>
                <w:rFonts w:ascii="Arial" w:hAnsi="Arial" w:cs="Arial"/>
              </w:rPr>
              <w:t>183.113</w:t>
            </w:r>
          </w:p>
        </w:tc>
        <w:tc>
          <w:tcPr>
            <w:tcW w:w="1486" w:type="dxa"/>
          </w:tcPr>
          <w:p w:rsidR="00D849AA" w:rsidRPr="00AE2853" w:rsidRDefault="00EE6D95">
            <w:pPr>
              <w:rPr>
                <w:rFonts w:ascii="Arial" w:hAnsi="Arial" w:cs="Arial"/>
              </w:rPr>
            </w:pPr>
            <w:r w:rsidRPr="00AE2853">
              <w:rPr>
                <w:rFonts w:ascii="Arial" w:hAnsi="Arial" w:cs="Arial"/>
              </w:rPr>
              <w:t>4290,4</w:t>
            </w:r>
          </w:p>
        </w:tc>
      </w:tr>
    </w:tbl>
    <w:p w:rsidR="00D849AA" w:rsidRPr="00AE2853" w:rsidRDefault="00D849AA">
      <w:pPr>
        <w:jc w:val="left"/>
        <w:rPr>
          <w:rFonts w:ascii="Arial" w:hAnsi="Arial" w:cs="Arial"/>
        </w:rPr>
      </w:pPr>
    </w:p>
    <w:p w:rsidR="00D849AA" w:rsidRDefault="00EE6D95">
      <w:pPr>
        <w:pStyle w:val="Normal6"/>
      </w:pPr>
      <w:r>
        <w:t>Agencija za zaštitu osobnih podataka dodijeljena financijska sredstva utrošiti će na nabavu dijela uredskog namještaja, informatičke i komunikacijske opreme te kupnju jednog novog službenog autotmobila za potrebe nadzora zaštite osobnih podataka na teritoriju RH.</w:t>
      </w:r>
    </w:p>
    <w:p w:rsidR="00D849AA" w:rsidRDefault="00EE6D95">
      <w:pPr>
        <w:pStyle w:val="Naslov1"/>
      </w:pPr>
      <w:r>
        <w:lastRenderedPageBreak/>
        <w:t>256 DRŽAVNI ZAVOD ZA RADIOLOŠKU I NUKLEARNU SIGURNOST</w:t>
      </w:r>
    </w:p>
    <w:p w:rsidR="00D849AA" w:rsidRDefault="00EE6D95">
      <w:pPr>
        <w:pStyle w:val="Naslov4"/>
      </w:pPr>
      <w:r>
        <w:t>Uvod</w:t>
      </w:r>
    </w:p>
    <w:p w:rsidR="00D849AA" w:rsidRDefault="00EE6D95">
      <w:pPr>
        <w:pStyle w:val="Normal3"/>
      </w:pPr>
      <w:r>
        <w:t>Državni zavod za radiološku i nuklearnu sigurnost odobrava obavljanje nuklearne djelatnosti, djelatnosti s izvorima ionizirajućeg zračenja, nabavu, uvoz, izvoz, prijevoz i provoz te uporabu izvora ionizirajućeg zračenja; provodi nezavisne analize sigurnosti i izdaje rješenja i suglasnosti za smještaj, projektiranje, gradnju, uporabu te razgradnju objekta u kojem će se obavljati nuklearna djelatnost; sudjeluje u postupku izdavanja lokacijske dozvole, građevinske dozvole, dozvole za uklanjanje i postupku izdavanja uporabne dozvole za građevine u kojima su smješteni izvori ionizirajućeg zračenja ili se obavlja djelatnost s izvorima ionizirajućeg zračenja u skladu s posebnim propisom; ovlašćuje i nadzire stručni rad ovlaštenih stručnih tehničkih servisa i ovlaštenih izvršitelja za nuklearnu sigurnost; organizira i nadzire, a po potrebi i provodi ispitivanja prisutnosti vrste i jakosti ionizirajućeg zračenja u okolišu, hrani i hrani za životinje, lijekovima i predmetima opće uporabe u redovitim uvjetima te u slučaju sumnje na izvanredni događaj; vodi očevidnike o dozvolama, suglasnostima, rješenjima i potvrdama, koje izdaje u okviru svojih ovlasti, te vodi i nadzire očevidnike o izvorima ionizirajućeg zračenja, nositeljima odobrenja za obavljanje djelatnosti s izvorima ionizirajućeg zračenja i nuklearne djelatnosti, korisnicima, izloženim radnicima, stupnju ozračenosti izloženih radnika te stupnju ozračenosti osoba izloženih medicinskom ozračenju i drugih osoba; obavlja inspekcijski nadzor nad provedbom odredbi Zakona o radiološkoj i nuklearnoj sigurnosti (NN 28/10) (dalje u tekstu: Zakon) i propisa donesenih na temelju Zakona; izrađuje stručne podloge za nastavne programe i planove za redovito i dopunsko obrazovanje te obnovu znanja iz područja zaštite od ionizirajućeg zračenja; osigurava stručnu pomoć za provođenje državnog plana i programa postupaka u slučaju nuklearne nesreće i izvanrednog događaja vezanih uz izvore ionizirajućeg zračenja; obavješćuje sredstva javnog informiranja, nadležna tijela, organizacije, udruge i međunarodne institucije o izvanrednim događajima vezanim uz izvore ionizirajućeg zračenja; osigurava stručnu pomoć i suradnju u poslovima suzbijanja nedozvoljenog prometa nuklearnog i drugog radioaktivnog materijala tijelima državne uprave nadležnim za te poslove; prati stanje sigurnosti nuklearnih elektrana u regiji i provodi procjenu opasnosti od mogućih nuklearnih nesreća u njima, a osobito za Nuklearnu elektranu Krško u Sloveniji i Nuklearnu elektranu Paks u Mađarskoj; daje dozimetrijske procjene izlaganja ionizirajućem zračenju izloženih radnika, stanovništva od medicinskog ozračenja te od izlaganja ionizirajućem zračenju od radionuklida iz okoliša; provodi obveze koje je Republika Hrvatska preuzela prema međunarodnim konvencijama, ugovorima i sporazumima, a odnose se na zaštitu od ionizirajućeg zračenja, nuklearnu sigurnost i primjenu mjera zaštite u svrhu neširenja nuklearnog oružja; surađuje s međunarodnim i domaćim organizacijama i društvima s područja zaštite od ionizirajućeg zračenja i nuklearne sigurnosti te imenuje svoje stručne predstavnike koji sudjeluju u radu tih organizacija i društava ili prate njihov rad; koordinira poslove tehničke suradnje s Međunarodnom agencijom za atomsku energiju za sve sudionike iz Republike Hrvatske; potiče i podupire znanstveni i razvojnoistraživački rad, potiče stručna statistička i druga istraživanja u skladu sa zahtjevima i potrebama razvoja nuklearne sigurnosti i zaštite od ionizirajućeg zračenja u Republici Hrvatskoj; izdaje upute za provođenje međunarodnih preporuka i normi u području zaštite od ionizirajućeg zračenja i nuklearne sigurnosti te oblikuje standarde i metode u praćenju stanja zaštite od ionizirajućeg zračenja te obavlja i druge poslove iz svoje nadležnosti na temelju Zakona, propisa donesenih na temelju Zakona i drugih propisa.</w:t>
      </w:r>
    </w:p>
    <w:p w:rsidR="00AE2853" w:rsidRDefault="00AE2853">
      <w:pPr>
        <w:pStyle w:val="Normal3"/>
      </w:pPr>
    </w:p>
    <w:p w:rsidR="00AE2853" w:rsidRDefault="00AE2853">
      <w:pPr>
        <w:pStyle w:val="Normal3"/>
      </w:pPr>
    </w:p>
    <w:p w:rsidR="00AE2853" w:rsidRDefault="00AE2853">
      <w:pPr>
        <w:pStyle w:val="Normal3"/>
      </w:pPr>
    </w:p>
    <w:p w:rsidR="00AE2853" w:rsidRDefault="00AE2853">
      <w:pPr>
        <w:pStyle w:val="Normal3"/>
      </w:pP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25605 Državni zavod za radiološku i nuklearnu sigurnost</w:t>
            </w:r>
          </w:p>
        </w:tc>
        <w:tc>
          <w:tcPr>
            <w:tcW w:w="1486" w:type="dxa"/>
          </w:tcPr>
          <w:p w:rsidR="00D849AA" w:rsidRDefault="00EE6D95">
            <w:r>
              <w:t>17.311.540</w:t>
            </w:r>
          </w:p>
        </w:tc>
        <w:tc>
          <w:tcPr>
            <w:tcW w:w="1486" w:type="dxa"/>
          </w:tcPr>
          <w:p w:rsidR="00D849AA" w:rsidRDefault="00EE6D95">
            <w:r>
              <w:t>17.678.725</w:t>
            </w:r>
          </w:p>
        </w:tc>
        <w:tc>
          <w:tcPr>
            <w:tcW w:w="1486" w:type="dxa"/>
          </w:tcPr>
          <w:p w:rsidR="00D849AA" w:rsidRDefault="00EE6D95">
            <w:r>
              <w:t>15.997.712</w:t>
            </w:r>
          </w:p>
        </w:tc>
        <w:tc>
          <w:tcPr>
            <w:tcW w:w="1486" w:type="dxa"/>
          </w:tcPr>
          <w:p w:rsidR="00D849AA" w:rsidRDefault="00EE6D95">
            <w:r>
              <w:t>13.087.244</w:t>
            </w:r>
          </w:p>
        </w:tc>
        <w:tc>
          <w:tcPr>
            <w:tcW w:w="1486" w:type="dxa"/>
          </w:tcPr>
          <w:p w:rsidR="00D849AA" w:rsidRDefault="00EE6D95">
            <w:r>
              <w:t>102,1</w:t>
            </w:r>
          </w:p>
        </w:tc>
      </w:tr>
      <w:tr w:rsidR="00D849AA">
        <w:trPr>
          <w:jc w:val="center"/>
        </w:trPr>
        <w:tc>
          <w:tcPr>
            <w:tcW w:w="1486" w:type="dxa"/>
            <w:shd w:val="clear" w:color="auto" w:fill="B5C0D8"/>
          </w:tcPr>
          <w:p w:rsidR="00D849AA" w:rsidRDefault="00EE6D95">
            <w:pPr>
              <w:pStyle w:val="CellColumn"/>
            </w:pPr>
            <w:r>
              <w:t>Ukupno 256</w:t>
            </w:r>
          </w:p>
        </w:tc>
        <w:tc>
          <w:tcPr>
            <w:tcW w:w="1486" w:type="dxa"/>
            <w:shd w:val="clear" w:color="auto" w:fill="B5C0D8"/>
          </w:tcPr>
          <w:p w:rsidR="00D849AA" w:rsidRDefault="00EE6D95">
            <w:r>
              <w:t>17.311.540</w:t>
            </w:r>
          </w:p>
        </w:tc>
        <w:tc>
          <w:tcPr>
            <w:tcW w:w="1486" w:type="dxa"/>
            <w:shd w:val="clear" w:color="auto" w:fill="B5C0D8"/>
          </w:tcPr>
          <w:p w:rsidR="00D849AA" w:rsidRDefault="00EE6D95">
            <w:r>
              <w:t>17.678.725</w:t>
            </w:r>
          </w:p>
        </w:tc>
        <w:tc>
          <w:tcPr>
            <w:tcW w:w="1486" w:type="dxa"/>
            <w:shd w:val="clear" w:color="auto" w:fill="B5C0D8"/>
          </w:tcPr>
          <w:p w:rsidR="00D849AA" w:rsidRDefault="00EE6D95">
            <w:r>
              <w:t>15.997.712</w:t>
            </w:r>
          </w:p>
        </w:tc>
        <w:tc>
          <w:tcPr>
            <w:tcW w:w="1486" w:type="dxa"/>
            <w:shd w:val="clear" w:color="auto" w:fill="B5C0D8"/>
          </w:tcPr>
          <w:p w:rsidR="00D849AA" w:rsidRDefault="00EE6D95">
            <w:r>
              <w:t>13.087.244</w:t>
            </w:r>
          </w:p>
        </w:tc>
        <w:tc>
          <w:tcPr>
            <w:tcW w:w="1486" w:type="dxa"/>
            <w:shd w:val="clear" w:color="auto" w:fill="B5C0D8"/>
          </w:tcPr>
          <w:p w:rsidR="00D849AA" w:rsidRDefault="00EE6D95">
            <w:r>
              <w:t>102,1</w:t>
            </w:r>
          </w:p>
        </w:tc>
      </w:tr>
    </w:tbl>
    <w:p w:rsidR="00D849AA" w:rsidRDefault="00D849AA">
      <w:pPr>
        <w:jc w:val="left"/>
      </w:pPr>
    </w:p>
    <w:p w:rsidR="00D849AA" w:rsidRDefault="00EE6D95">
      <w:pPr>
        <w:pStyle w:val="Naslov2"/>
      </w:pPr>
      <w:r>
        <w:t>25605 Državni zavod za radiološku i nuklearnu sigurnost</w:t>
      </w:r>
    </w:p>
    <w:p w:rsidR="00D849AA" w:rsidRDefault="00EE6D95">
      <w:pPr>
        <w:pStyle w:val="Naslov4"/>
      </w:pPr>
      <w:r>
        <w:t>Uvod</w:t>
      </w:r>
    </w:p>
    <w:p w:rsidR="00D849AA" w:rsidRDefault="00EE6D95">
      <w:pPr>
        <w:pStyle w:val="Normal3"/>
      </w:pPr>
      <w:r>
        <w:t xml:space="preserve">Državni zavod za radiološku i nuklearnu sigurnost odobrava obavljanje nuklearne djelatnosti, djelatnosti s izvorima ionizirajućeg zračenja, nabavu, uvoz, izvoz, prijevoz i provoz te uporabu izvora ionizirajućeg zračenja; provodi nezavisne analize sigurnosti i izdaje rješenja i suglasnosti za smještaj, projektiranje, gradnju, uporabu te razgradnju objekta u kojem će se obavljati nuklearna djelatnost; sudjeluje u postupku izdavanja lokacijske dozvole, građevinske dozvole, dozvole za uklanjanje i postupku izdavanja uporabne dozvole za građevine u kojima su smješteni izvori ionizirajućeg zračenja ili se obavlja djelatnost s izvorima ionizirajućeg zračenja u skladu s posebnim propisom; ovlašćuje i nadzire stručni rad ovlaštenih stručnih tehničkih servisa i ovlaštenih izvršitelja za nuklearnu sigurnost; organizira i nadzire, a po potrebi i provodi ispitivanja prisutnosti vrste i jakosti ionizirajućeg zračenja u okolišu, hrani i hrani za životinje, lijekovima i predmetima opće uporabe u redovitim uvjetima te u slučaju sumnje na izvanredni događaj; vodi očevidnike o dozvolama, suglasnostima, rješenjima i potvrdama, koje izdaje u okviru svojih ovlasti, te vodi i nadzire očevidnike o izvorima ionizirajućeg zračenja, nositeljima odobrenja za obavljanje djelatnosti s izvorima ionizirajućeg zračenja i nuklearne djelatnosti, korisnicima, izloženim radnicima, stupnju ozračenosti izloženih radnika te stupnju ozračenosti osoba izloženih medicinskom ozračenju i drugih osoba; obavlja inspekcijski nadzor nad provedbom odredbi Zakona o radiološkoj i nuklearnoj sigurnosti (NN 28/10) (dalje u tekstu: Zakon) i propisa donesenih na temelju Zakona; izrađuje stručne podloge za nastavne programe i planove za redovito i dopunsko obrazovanje te obnovu znanja iz područja zaštite od ionizirajućeg zračenja; osigurava stručnu pomoć za provođenje državnog plana i programa postupaka u slučaju nuklearne nesreće i izvanrednog događaja vezanih uz izvore ionizirajućeg zračenja; obavješćuje sredstva javnog informiranja, nadležna tijela, organizacije, udruge i međunarodne institucije o izvanrednim događajima vezanim uz izvore ionizirajućeg zračenja; osigurava stručnu pomoć i suradnju u poslovima suzbijanja nedozvoljenog prometa nuklearnog i drugog radioaktivnog materijala tijelima državne uprave nadležnim za te poslove; prati stanje sigurnosti nuklearnih elektrana u regiji i provodi procjenu opasnosti od mogućih nuklearnih nesreća u njima, a osobito za Nuklearnu elektranu Krško u Sloveniji i Nuklearnu elektranu Paks u Mađarskoj; daje dozimetrijske procjene izlaganja ionizirajućem zračenju izloženih radnika, stanovništva od medicinskog ozračenja te od izlaganja ionizirajućem zračenju od radionuklida iz okoliša; provodi obveze koje je Republika Hrvatska preuzela prema međunarodnim konvencijama, ugovorima i sporazumima, a odnose se na zaštitu od ionizirajućeg zračenja, nuklearnu sigurnost i primjenu mjera zaštite u svrhu neširenja nuklearnog oružja; surađuje s međunarodnim i domaćim organizacijama i društvima s područja zaštite od ionizirajućeg zračenja i nuklearne sigurnosti te imenuje svoje stručne predstavnike koji sudjeluju u radu tih organizacija i društava ili prate njihov rad; koordinira poslove tehničke suradnje s Međunarodnom agencijom za atomsku energiju za sve sudionike iz Republike Hrvatske; potiče i podupire znanstveni i razvojnoistraživački rad, potiče stručna statistička i druga </w:t>
      </w:r>
      <w:r>
        <w:lastRenderedPageBreak/>
        <w:t>istraživanja u skladu sa zahtjevima i potrebama razvoja nuklearne sigurnosti i zaštite od ionizirajućeg zračenja u Republici Hrvatskoj; izdaje upute za provođenje međunarodnih preporuka i normi u području zaštite od ionizirajućeg zračenja i nuklearne sigurnosti te oblikuje standarde i metode u praćenju stanja zaštite od ionizirajućeg zračenja te obavlja i druge poslove iz svoje nadležnosti na temelju Zakona, propisa donesenih na temelju Zakona i drugih propisa.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AE2853" w:rsidRDefault="00D849AA">
            <w:pPr>
              <w:pStyle w:val="CellHeader"/>
            </w:pPr>
          </w:p>
        </w:tc>
        <w:tc>
          <w:tcPr>
            <w:tcW w:w="1486" w:type="dxa"/>
            <w:shd w:val="clear" w:color="auto" w:fill="B5C0D8"/>
          </w:tcPr>
          <w:p w:rsidR="00D849AA" w:rsidRPr="00AE2853" w:rsidRDefault="00EE6D95">
            <w:pPr>
              <w:pStyle w:val="CellHeader"/>
            </w:pPr>
            <w:r w:rsidRPr="00AE2853">
              <w:t>Plan 2013.</w:t>
            </w:r>
          </w:p>
        </w:tc>
        <w:tc>
          <w:tcPr>
            <w:tcW w:w="1486" w:type="dxa"/>
            <w:shd w:val="clear" w:color="auto" w:fill="B5C0D8"/>
          </w:tcPr>
          <w:p w:rsidR="00D849AA" w:rsidRPr="00AE2853" w:rsidRDefault="00EE6D95">
            <w:pPr>
              <w:pStyle w:val="CellHeader"/>
            </w:pPr>
            <w:r w:rsidRPr="00AE2853">
              <w:t>Plan 2014.</w:t>
            </w:r>
          </w:p>
        </w:tc>
        <w:tc>
          <w:tcPr>
            <w:tcW w:w="1486" w:type="dxa"/>
            <w:shd w:val="clear" w:color="auto" w:fill="B5C0D8"/>
          </w:tcPr>
          <w:p w:rsidR="00D849AA" w:rsidRPr="00AE2853" w:rsidRDefault="00EE6D95">
            <w:pPr>
              <w:pStyle w:val="CellHeader"/>
            </w:pPr>
            <w:r w:rsidRPr="00AE2853">
              <w:t>Plan 2015.</w:t>
            </w:r>
          </w:p>
        </w:tc>
        <w:tc>
          <w:tcPr>
            <w:tcW w:w="1486" w:type="dxa"/>
            <w:shd w:val="clear" w:color="auto" w:fill="B5C0D8"/>
          </w:tcPr>
          <w:p w:rsidR="00D849AA" w:rsidRPr="00AE2853" w:rsidRDefault="00EE6D95">
            <w:pPr>
              <w:pStyle w:val="CellHeader"/>
            </w:pPr>
            <w:r w:rsidRPr="00AE2853">
              <w:t>Plan 2016.</w:t>
            </w:r>
          </w:p>
        </w:tc>
        <w:tc>
          <w:tcPr>
            <w:tcW w:w="1486" w:type="dxa"/>
            <w:shd w:val="clear" w:color="auto" w:fill="B5C0D8"/>
          </w:tcPr>
          <w:p w:rsidR="00D849AA" w:rsidRPr="00AE2853" w:rsidRDefault="00EE6D95">
            <w:pPr>
              <w:pStyle w:val="CellHeader"/>
            </w:pPr>
            <w:r w:rsidRPr="00AE2853">
              <w:t>Indeks 2014/2013</w:t>
            </w:r>
          </w:p>
        </w:tc>
      </w:tr>
      <w:tr w:rsidR="00D849AA">
        <w:trPr>
          <w:jc w:val="center"/>
        </w:trPr>
        <w:tc>
          <w:tcPr>
            <w:tcW w:w="1486" w:type="dxa"/>
          </w:tcPr>
          <w:p w:rsidR="00D849AA" w:rsidRPr="00AE2853" w:rsidRDefault="00EE6D95">
            <w:pPr>
              <w:pStyle w:val="CellColumn"/>
            </w:pPr>
            <w:r w:rsidRPr="00AE2853">
              <w:t>25605</w:t>
            </w:r>
          </w:p>
        </w:tc>
        <w:tc>
          <w:tcPr>
            <w:tcW w:w="1486" w:type="dxa"/>
          </w:tcPr>
          <w:p w:rsidR="00D849AA" w:rsidRPr="00AE2853" w:rsidRDefault="00EE6D95">
            <w:pPr>
              <w:rPr>
                <w:rFonts w:ascii="Arial" w:hAnsi="Arial" w:cs="Arial"/>
              </w:rPr>
            </w:pPr>
            <w:r w:rsidRPr="00AE2853">
              <w:rPr>
                <w:rFonts w:ascii="Arial" w:hAnsi="Arial" w:cs="Arial"/>
              </w:rPr>
              <w:t>17.311.540</w:t>
            </w:r>
          </w:p>
        </w:tc>
        <w:tc>
          <w:tcPr>
            <w:tcW w:w="1486" w:type="dxa"/>
          </w:tcPr>
          <w:p w:rsidR="00D849AA" w:rsidRPr="00AE2853" w:rsidRDefault="00EE6D95">
            <w:pPr>
              <w:rPr>
                <w:rFonts w:ascii="Arial" w:hAnsi="Arial" w:cs="Arial"/>
              </w:rPr>
            </w:pPr>
            <w:r w:rsidRPr="00AE2853">
              <w:rPr>
                <w:rFonts w:ascii="Arial" w:hAnsi="Arial" w:cs="Arial"/>
              </w:rPr>
              <w:t>17.678.725</w:t>
            </w:r>
          </w:p>
        </w:tc>
        <w:tc>
          <w:tcPr>
            <w:tcW w:w="1486" w:type="dxa"/>
          </w:tcPr>
          <w:p w:rsidR="00D849AA" w:rsidRPr="00AE2853" w:rsidRDefault="00EE6D95">
            <w:pPr>
              <w:rPr>
                <w:rFonts w:ascii="Arial" w:hAnsi="Arial" w:cs="Arial"/>
              </w:rPr>
            </w:pPr>
            <w:r w:rsidRPr="00AE2853">
              <w:rPr>
                <w:rFonts w:ascii="Arial" w:hAnsi="Arial" w:cs="Arial"/>
              </w:rPr>
              <w:t>15.997.712</w:t>
            </w:r>
          </w:p>
        </w:tc>
        <w:tc>
          <w:tcPr>
            <w:tcW w:w="1486" w:type="dxa"/>
          </w:tcPr>
          <w:p w:rsidR="00D849AA" w:rsidRPr="00AE2853" w:rsidRDefault="00EE6D95">
            <w:pPr>
              <w:rPr>
                <w:rFonts w:ascii="Arial" w:hAnsi="Arial" w:cs="Arial"/>
              </w:rPr>
            </w:pPr>
            <w:r w:rsidRPr="00AE2853">
              <w:rPr>
                <w:rFonts w:ascii="Arial" w:hAnsi="Arial" w:cs="Arial"/>
              </w:rPr>
              <w:t>13.087.244</w:t>
            </w:r>
          </w:p>
        </w:tc>
        <w:tc>
          <w:tcPr>
            <w:tcW w:w="1486" w:type="dxa"/>
          </w:tcPr>
          <w:p w:rsidR="00D849AA" w:rsidRPr="00AE2853" w:rsidRDefault="00EE6D95">
            <w:pPr>
              <w:rPr>
                <w:rFonts w:ascii="Arial" w:hAnsi="Arial" w:cs="Arial"/>
              </w:rPr>
            </w:pPr>
            <w:r w:rsidRPr="00AE2853">
              <w:rPr>
                <w:rFonts w:ascii="Arial" w:hAnsi="Arial" w:cs="Arial"/>
              </w:rPr>
              <w:t>102,1</w:t>
            </w:r>
          </w:p>
        </w:tc>
      </w:tr>
    </w:tbl>
    <w:p w:rsidR="00D849AA" w:rsidRDefault="00D849AA">
      <w:pPr>
        <w:jc w:val="left"/>
      </w:pPr>
    </w:p>
    <w:p w:rsidR="00D849AA" w:rsidRDefault="00EE6D95">
      <w:pPr>
        <w:pStyle w:val="Naslov4"/>
      </w:pPr>
      <w:r>
        <w:t>OBRAZLOŽENJE PROGRAMA</w:t>
      </w:r>
    </w:p>
    <w:p w:rsidR="00D849AA" w:rsidRDefault="00EE6D95">
      <w:pPr>
        <w:pStyle w:val="Naslov5"/>
      </w:pPr>
      <w:r>
        <w:t>3608 RADIOLOŠKA I NUKLEARNA SIGURNOST</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3608</w:t>
            </w:r>
          </w:p>
        </w:tc>
        <w:tc>
          <w:tcPr>
            <w:tcW w:w="1486" w:type="dxa"/>
          </w:tcPr>
          <w:p w:rsidR="00D849AA" w:rsidRDefault="00EE6D95">
            <w:r>
              <w:t>17.311.540</w:t>
            </w:r>
          </w:p>
        </w:tc>
        <w:tc>
          <w:tcPr>
            <w:tcW w:w="1486" w:type="dxa"/>
          </w:tcPr>
          <w:p w:rsidR="00D849AA" w:rsidRDefault="00EE6D95">
            <w:r>
              <w:t>17.678.725</w:t>
            </w:r>
          </w:p>
        </w:tc>
        <w:tc>
          <w:tcPr>
            <w:tcW w:w="1486" w:type="dxa"/>
          </w:tcPr>
          <w:p w:rsidR="00D849AA" w:rsidRDefault="00EE6D95">
            <w:r>
              <w:t>15.997.712</w:t>
            </w:r>
          </w:p>
        </w:tc>
        <w:tc>
          <w:tcPr>
            <w:tcW w:w="1486" w:type="dxa"/>
          </w:tcPr>
          <w:p w:rsidR="00D849AA" w:rsidRDefault="00EE6D95">
            <w:r>
              <w:t>13.087.244</w:t>
            </w:r>
          </w:p>
        </w:tc>
        <w:tc>
          <w:tcPr>
            <w:tcW w:w="1486" w:type="dxa"/>
          </w:tcPr>
          <w:p w:rsidR="00D849AA" w:rsidRDefault="00EE6D95">
            <w:r>
              <w:t>102,1</w:t>
            </w:r>
          </w:p>
        </w:tc>
      </w:tr>
    </w:tbl>
    <w:p w:rsidR="00D849AA" w:rsidRDefault="00D849AA">
      <w:pPr>
        <w:jc w:val="left"/>
      </w:pPr>
    </w:p>
    <w:p w:rsidR="00D849AA" w:rsidRDefault="00EE6D95">
      <w:pPr>
        <w:pStyle w:val="Naslov6"/>
      </w:pPr>
      <w:r>
        <w:t>Opis programa</w:t>
      </w:r>
    </w:p>
    <w:p w:rsidR="00D849AA" w:rsidRDefault="00EE6D95">
      <w:pPr>
        <w:pStyle w:val="Normal5"/>
      </w:pPr>
      <w:r>
        <w:t>Jačanje radiološke i nuklearne sigurnosti u Republici Hrvatskoj.</w:t>
      </w:r>
    </w:p>
    <w:p w:rsidR="00D849AA" w:rsidRDefault="00EE6D95">
      <w:pPr>
        <w:pStyle w:val="Naslov6"/>
      </w:pPr>
      <w:r>
        <w:t>Zakonske i druge pravne osnove</w:t>
      </w:r>
    </w:p>
    <w:p w:rsidR="00D849AA" w:rsidRDefault="00EE6D95">
      <w:pPr>
        <w:pStyle w:val="Normal5"/>
      </w:pPr>
      <w:r>
        <w:t xml:space="preserve">1. Zakon o radiološkoj i nuklearnoj sigurnosti (NN 28/10)   </w:t>
      </w:r>
    </w:p>
    <w:p w:rsidR="00D849AA" w:rsidRDefault="00EE6D95">
      <w:pPr>
        <w:pStyle w:val="Normal5"/>
      </w:pPr>
      <w:r>
        <w:t xml:space="preserve">Pravilnik o službenoj iskaznici i znački inspektora za radiološku i nuklearnu sigurnost (NN 28/11)   </w:t>
      </w:r>
    </w:p>
    <w:p w:rsidR="00D849AA" w:rsidRDefault="00EE6D95">
      <w:pPr>
        <w:pStyle w:val="Normal5"/>
      </w:pPr>
      <w:r>
        <w:t xml:space="preserve">Pravilnik o obrazovanju potrebnom za rukovanje izvorima ionizirajućeg zračenja i primjenu mjera zaštite od ionizirajućeg zračenja (NN 63/11)   </w:t>
      </w:r>
    </w:p>
    <w:p w:rsidR="00D849AA" w:rsidRDefault="00EE6D95">
      <w:pPr>
        <w:pStyle w:val="Normal5"/>
      </w:pPr>
      <w:r>
        <w:t xml:space="preserve">Pravilnik o ovlašćivanju stručnih tehničkih servisa za obavljanje stručnih poslova zaštite od ionizirajućeg zračenja (NN 72/11)   </w:t>
      </w:r>
    </w:p>
    <w:p w:rsidR="00D849AA" w:rsidRDefault="00EE6D95">
      <w:pPr>
        <w:pStyle w:val="Normal5"/>
      </w:pPr>
      <w:r>
        <w:t xml:space="preserve">Pravilnik o fizičkom osiguranju radioaktivnih izvora, nuklearnog materijala i nuklearnih objekata (NN 38/12)   </w:t>
      </w:r>
    </w:p>
    <w:p w:rsidR="00D849AA" w:rsidRDefault="00EE6D95">
      <w:pPr>
        <w:pStyle w:val="Normal5"/>
      </w:pPr>
      <w:r>
        <w:t xml:space="preserve">Pravilnik o mjerenju osobnog ozračenja, ispitivanju izvora ionizirajućeg zračenja i uvjeta rada te o izvješćima i očevidnicima (NN 41/12)   </w:t>
      </w:r>
    </w:p>
    <w:p w:rsidR="00D849AA" w:rsidRDefault="00EE6D95">
      <w:pPr>
        <w:pStyle w:val="Normal5"/>
      </w:pPr>
      <w:r>
        <w:t xml:space="preserve">Pravilnik o odobrenjima i dozvolama za uporabu i promet izvora ionizirajućeg zračenja (NN 71/12)   </w:t>
      </w:r>
    </w:p>
    <w:p w:rsidR="00D849AA" w:rsidRDefault="00EE6D95">
      <w:pPr>
        <w:pStyle w:val="Normal5"/>
      </w:pPr>
      <w:r>
        <w:t xml:space="preserve">Pravilnik o granicama izlaganja ionizirajućem zračenju te o uvjetima izlaganja u posebnim okolnostima i za provedbe intervencija u izvanrednom događaju (NN 125/06)   </w:t>
      </w:r>
    </w:p>
    <w:p w:rsidR="00D849AA" w:rsidRDefault="00EE6D95">
      <w:pPr>
        <w:pStyle w:val="Normal5"/>
      </w:pPr>
      <w:r>
        <w:t xml:space="preserve">Pravilnik o uvjetima i mjerama zaštite od ionizirajućeg zračenja za obavljanje djelatnosti s rendgenskim uređajima, akceleratorima i drugim uređajima koji proizvode ionizirajuće zračenje (NN 125/06)   </w:t>
      </w:r>
    </w:p>
    <w:p w:rsidR="00D849AA" w:rsidRDefault="00EE6D95">
      <w:pPr>
        <w:pStyle w:val="Normal5"/>
      </w:pPr>
      <w:r>
        <w:t xml:space="preserve">Pravilnik o uvjetima i mjerama zaštite od ionizirajućeg zračenja za obavljanje djelatnosti s radioaktivnim izvorima (NN 125/06)   </w:t>
      </w:r>
    </w:p>
    <w:p w:rsidR="00D849AA" w:rsidRDefault="00EE6D95">
      <w:pPr>
        <w:pStyle w:val="Normal5"/>
      </w:pPr>
      <w:r>
        <w:lastRenderedPageBreak/>
        <w:t xml:space="preserve">Pravilnik o zdravstvenim uvjetima kojima moraju udovoljavati izloženi radnici, učestalosti pregleda te sadržaju, načinu i rokovima čuvanja podataka o tim pregledima (NN 111/07)   </w:t>
      </w:r>
    </w:p>
    <w:p w:rsidR="00D849AA" w:rsidRDefault="00EE6D95">
      <w:pPr>
        <w:pStyle w:val="Normal5"/>
      </w:pPr>
      <w:r>
        <w:t xml:space="preserve">Pravilnik o uvjetima, načinu, mjestima te rokovima sustavnog ispitivanja i praćenja vrste i aktivnosti radioaktivnih tvari u zraku, tlu, moru, rijekama, jezerima, podzemnim vodama, krutim i tekućim oborinama, vodi za piće, hrani i predmetima opće uporabe te stambenim i radnim prostorijama (NN 60/08)   </w:t>
      </w:r>
    </w:p>
    <w:p w:rsidR="00D849AA" w:rsidRDefault="00EE6D95">
      <w:pPr>
        <w:pStyle w:val="Normal5"/>
      </w:pPr>
      <w:r>
        <w:t xml:space="preserve">Pravilnik o uvjetima za primjenu izvora ionizirajućeg zračenja u medicini i stomatologiji (NN 125/06)   </w:t>
      </w:r>
    </w:p>
    <w:p w:rsidR="00D849AA" w:rsidRDefault="00EE6D95">
      <w:pPr>
        <w:pStyle w:val="Normal5"/>
      </w:pPr>
      <w:r>
        <w:t xml:space="preserve">Pravilnik o načinu i postupku nadzora prilikom uvoza ili izvoza materijala za koji postoji opravdana sumnja da je onečišćen radionuklidima ili sadrži radioaktivne izvore (NN 114/07)   </w:t>
      </w:r>
    </w:p>
    <w:p w:rsidR="00D849AA" w:rsidRDefault="00EE6D95">
      <w:pPr>
        <w:pStyle w:val="Normal5"/>
      </w:pPr>
      <w:r>
        <w:t xml:space="preserve">Pravilnik o načinu uklanjanja radioaktivnog onečišćenja, zbrinjavanja radioaktivnog izvora, odnosno poduzimanja svih drugih prijeko potrebnih mjera radi smanjenja štete za ljude i okoliš ili uklanjanja daljnjih rizika, opasnosti ili šteta (NN 53/08)   </w:t>
      </w:r>
    </w:p>
    <w:p w:rsidR="00D849AA" w:rsidRDefault="00EE6D95">
      <w:pPr>
        <w:pStyle w:val="Normal5"/>
      </w:pPr>
      <w:r>
        <w:t xml:space="preserve">Pravilnik o uvjetima za projektiranje, gradnju te uklanjanje građevina u kojima su smješteni izvori ionizirajućeg zračenja ili se obavljaju djelatnosti s izvorima ionizirajućeg zračenja (NN 99/08)   </w:t>
      </w:r>
    </w:p>
    <w:p w:rsidR="00D849AA" w:rsidRDefault="00EE6D95">
      <w:pPr>
        <w:pStyle w:val="Normal5"/>
      </w:pPr>
      <w:r>
        <w:t xml:space="preserve">Pravilnik o visini naknada, vrstama i visini dodatnih troškova te načinu plaćanja za poslove koje obavlja državni zavod za zaštitu od zračenja (NN 89/09)   </w:t>
      </w:r>
    </w:p>
    <w:p w:rsidR="00D849AA" w:rsidRDefault="00EE6D95">
      <w:pPr>
        <w:pStyle w:val="Normal5"/>
      </w:pPr>
      <w:r>
        <w:t xml:space="preserve">Uredba o uvjetima te načinu zbrinjavanja radioaktivnog otpada, iskorištenih zatvorenih radioaktivnih izvora i izvora ionizirajućeg zračenja koji se ne namjeravaju dalje koristiti (NN 44/08)   </w:t>
      </w:r>
    </w:p>
    <w:p w:rsidR="00D849AA" w:rsidRDefault="00EE6D95">
      <w:pPr>
        <w:pStyle w:val="Normal5"/>
      </w:pPr>
      <w:r>
        <w:t xml:space="preserve">Uredba o mjerama zaštite od ionizirajućeg zračenja te intervencija u slučaju izvanrednog događaja (NN 102/12)  </w:t>
      </w:r>
    </w:p>
    <w:p w:rsidR="00D849AA" w:rsidRDefault="00EE6D95">
      <w:pPr>
        <w:pStyle w:val="Normal5"/>
      </w:pPr>
      <w:r>
        <w:t xml:space="preserve">2. Zakon o prijevozu opasnih tvari (NN 79/07)   </w:t>
      </w:r>
    </w:p>
    <w:p w:rsidR="00D849AA" w:rsidRDefault="00EE6D95">
      <w:pPr>
        <w:pStyle w:val="Normal5"/>
      </w:pPr>
      <w:r>
        <w:t>3.Uredba o određivanju robe koja se uvozi i izvozi na temelju dozvola (NN 77/10, 146/11, 25/12</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Cilj 1. Upotreba i upravljanje izvorima ionizirajućeg zračenja na siguran način</w:t>
      </w:r>
    </w:p>
    <w:p w:rsidR="00D849AA" w:rsidRDefault="00EE6D95">
      <w:pPr>
        <w:pStyle w:val="Normal6"/>
      </w:pPr>
      <w:r>
        <w:t xml:space="preserve">Sigurnost pri upotrebi izvora zračenja postiže se kroz redovne aktivnosti Državnog zavoda za radiološku i nuklearnu sigurnost, ovlaštenih stručnih tehničkih servisa i drugih sudionika propisane Zakonom o radiološkoj i nuklearnoj sigurnosti (NN 28/10) (dalje u tekstu: Zakon), a posebno kroz dozimetrijski nadzor, redovne preglede izvora, kontrolu kvalitete uređaja te vođenje ažurnih i dostupnih evidencija. Poseban značaj ima podizanje svijesti o mogućim opasnostima i odgovarajuća izobrazba osoba čiji posao je vezan uz uporabu izvora ionizirajućeg zračenja, odnosno koje se školuju za takve poslove. Zakonodavstvo i, sukladno tome, sam sustav razvijani su imajući u vidu odredbe sadržane u EU direktivama i preporuke Međunarodne agencije za atomsku energiju (IAEA). Zakon je usklađen s primjenjivim direktivama. Kako bi se osiguralo racionalnije korištenje resursa, Zakonom je osnovan Državni zavod za radiološku i nuklearnu sigurnost, koji je temeljem članka 106. tog zakona preuzeo resurse Državnog zavoda za zaštitu od zračenja i Državnog zavoda za nuklearnu sigurnost. Za inspekcijski nadzor nad odredbama zakona kojim do osnivanja Državnog zavoda za radiološku i nuklearnu sigurnost bila regulirana zaštita od ionizirajućeg zračenja bila je zadužena sanitarna inspekcija ministarstva nadležnog za zdravlje, dok je Zakonom za to zadužen Državni zavod za radiološku i nuklearnu sigurnost. Zbog toga će u narednom periodu jedan od prioriteta biti nastavak </w:t>
      </w:r>
      <w:r>
        <w:lastRenderedPageBreak/>
        <w:t>jačanja kapaciteta za provođenje inspekcijskog nadzora te ukupno poboljšavanje sustava izdavanja dozvola i evidencija te njihovo povezivanje kako bi se osigurao učinkovit nadzor nad izvorima tijekom njihovog cijelog životnog ciklusa.</w:t>
      </w:r>
    </w:p>
    <w:p w:rsidR="00D849AA" w:rsidRDefault="00EE6D95">
      <w:pPr>
        <w:pStyle w:val="Naslov7"/>
      </w:pPr>
      <w:r>
        <w:t>Cilj 2. Razvoj sustava za provođenje preporuka, normi i standarda u području radiološke i nuklearne sigurnosti i razvoj stručnih kapaciteta za primjenu</w:t>
      </w:r>
    </w:p>
    <w:p w:rsidR="00D849AA" w:rsidRDefault="00EE6D95">
      <w:pPr>
        <w:pStyle w:val="Normal6"/>
      </w:pPr>
      <w:r>
        <w:t xml:space="preserve">Jedan od bitnih koraka u uspostavi primjerene razine radiološke i nuklearne sigurnosti sukladno preporukama Međunarodne agencije za atomsku energiju (IAEA) i zahtjevima EU (EURATOM) predstavlja razvoj sustava za provođenje preporuka, normi i standarda u području radiološke i nuklearne sigurnosti te razvoj stručnih kapaciteta za njihovu primjenu. To obuhvaća prilagodbu i preuzimanje niza stručnih dokumenata, različitog zakonodavnog statusa, koji su osnova za učinkovitu uspostavu radiološke i nuklearne regulatorne infrastrukture. Aktivnosti koje je potrebno poduzeti u svrhu ostvarivanja tog statusa su: usvajanje osnovnih sigurnosnih standarda, te usvajanje tehničkih </w:t>
      </w:r>
    </w:p>
    <w:p w:rsidR="00D849AA" w:rsidRDefault="00EE6D95">
      <w:pPr>
        <w:pStyle w:val="Normal6"/>
      </w:pPr>
      <w:r>
        <w:t>dokumenata kojima se u detalje propisuje potreban sustav radiološke i nuklearne sigurnosti. Za provedbu i osiguranje zadovoljavajuće razine radiološke i nuklearne sigurnosti, pored kvalitetnog zakonodavnog okvira odizrazite je važnosti i razvijanje adekvatnih stručnih kapaciteta. U narednom trogodišnjem razdoblju planira se osigurati potrebne stručne kapacitete unutar regulatornog tijela s ciljem dostizanja sposobnosti neovisnog ispunjavanja zakonodavnih obveza, te istovremeno raditi i na razvoju stručnih kapaciteta u tehničkim potpornim organizacijama koje predstavljaju produženu ruku regulatornog tijela i koje po potrebi regulatorno tijelo ovlašćuje za provedbu određenih visokostručnih poslova. Također, kako bi se osigurala izvrsnost i stalno unapređenje usluga, a sukladno smjernicama Vlade za povećanjem učinkovitosti i kvalitete državne uprave, Državni zavod za radiološku i nuklearnu sigurnost će provesti pripremne radnje potrebne za uvođenje sustava osiguranja kvalitete. To znači, uspostavljanje sustava koji će omogućiti da se na sustavan način prepoznaju i stave pod kontrolu svi procesi koji utječu na kvalitetu usluga. Sukladno Zakonu o informacijskoj sigurnosti (NN 79/07) i Uredbi o mjerama informacijske sigurnosti (NN 46/08), te pripadajućim Pravilnicima, obvezno je uvođenje i primjena Sustava upravljanja informacijskom sigurnošću (ISMS). U planu je i uvođenje sustava informacijske sigurnosti prema modelu ISO 27001:2005. Certifikacija ISMS kod ovlaštene certifikacijske kuće nije u planu za naredno trogodišnje razdoblje.</w:t>
      </w:r>
    </w:p>
    <w:p w:rsidR="00D849AA" w:rsidRDefault="00EE6D95">
      <w:pPr>
        <w:pStyle w:val="Naslov7"/>
      </w:pPr>
      <w:r>
        <w:t>Cilj 3. Unapređenje sustava pripravnosti i odgovora u slučaju izvanrednog događaja te jačanje potpore nadležnim tijelima u sprječavanju nedozvoljenog prometa nuklearnim i drugim radioaktivnim materijalom</w:t>
      </w:r>
    </w:p>
    <w:p w:rsidR="00D849AA" w:rsidRDefault="00EE6D95">
      <w:pPr>
        <w:pStyle w:val="Normal6"/>
      </w:pPr>
      <w:r>
        <w:t xml:space="preserve">Obavljanje djelatnosti s izvorima ionizirajućeg zračenja i nuklearnih djelatnosti može prouzročiti izvanredni događaj odnosno dovesti do okolnosti koje više nisu pod nadzorom, a čija je posljedica izlaganje povišenom ozračenju izloženih radnika, stanovništva ili radioaktivno onečišćenje okoliša. Izvanredni događaji mogu nastati kao rezultat kvarova ili uslijed ljudskih grešaka ali mogu biti prouzročeni vanjskim utjecajima kao što su potres, poplava, ekstremni meteorološki uvjeti ili pak </w:t>
      </w:r>
    </w:p>
    <w:p w:rsidR="00D849AA" w:rsidRDefault="00EE6D95">
      <w:pPr>
        <w:pStyle w:val="Normal6"/>
      </w:pPr>
      <w:r>
        <w:t xml:space="preserve">teroristički napad. Mogu biti manjeg opsega poput gubitka radioaktivnog izvora ili opsega koji ima karakter katastrofe kao što bi bila teška nesreća u nuklearnoj elektrani. </w:t>
      </w:r>
    </w:p>
    <w:p w:rsidR="00D849AA" w:rsidRDefault="00EE6D95">
      <w:pPr>
        <w:pStyle w:val="Normal6"/>
      </w:pPr>
      <w:r>
        <w:t>Da bi se ostvario opći cilj jačanja radiološke i nuklearne sigurnosti mora biti uspostavljen efikasan sustav pripravnosti na izvanredni događaj, dakle sustav sprječavanja okolnosti koje mogu dovesti do izvanrednog događaja kao i sustav odgovora na izvanredni događaj odnosno sustav koji će štetne posljedice ionizirajućeg zračenja na ljude i okoliš svesti na minimum.</w:t>
      </w:r>
    </w:p>
    <w:p w:rsidR="00D849AA" w:rsidRDefault="00EE6D95">
      <w:pPr>
        <w:pStyle w:val="Naslov5"/>
      </w:pPr>
      <w:r>
        <w:lastRenderedPageBreak/>
        <w:t>Procjena i ishodište potrebnih sredstava za značajnije aktivnosti/projekte</w:t>
      </w:r>
    </w:p>
    <w:p w:rsidR="00D849AA" w:rsidRDefault="00EE6D95">
      <w:pPr>
        <w:pStyle w:val="Naslov6"/>
      </w:pPr>
      <w:r>
        <w:t>A849003 SUSTAVNO ISPITIVANJE IONIZIRAJUĆIH ZRAČENJA TE VRSTA I AKTIVNOSTI RADIOAKTIVNIH TVARI U OKOLIŠU</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A849003</w:t>
            </w:r>
          </w:p>
        </w:tc>
        <w:tc>
          <w:tcPr>
            <w:tcW w:w="1486" w:type="dxa"/>
          </w:tcPr>
          <w:p w:rsidR="00D849AA" w:rsidRDefault="00EE6D95">
            <w:r>
              <w:t>949.958</w:t>
            </w:r>
          </w:p>
        </w:tc>
        <w:tc>
          <w:tcPr>
            <w:tcW w:w="1486" w:type="dxa"/>
          </w:tcPr>
          <w:p w:rsidR="00D849AA" w:rsidRDefault="00EE6D95">
            <w:r>
              <w:t>800.000</w:t>
            </w:r>
          </w:p>
        </w:tc>
        <w:tc>
          <w:tcPr>
            <w:tcW w:w="1486" w:type="dxa"/>
          </w:tcPr>
          <w:p w:rsidR="00D849AA" w:rsidRDefault="00EE6D95">
            <w:r>
              <w:t>1.049.958</w:t>
            </w:r>
          </w:p>
        </w:tc>
        <w:tc>
          <w:tcPr>
            <w:tcW w:w="1486" w:type="dxa"/>
          </w:tcPr>
          <w:p w:rsidR="00D849AA" w:rsidRDefault="00EE6D95">
            <w:r>
              <w:t>1.049.958</w:t>
            </w:r>
          </w:p>
        </w:tc>
        <w:tc>
          <w:tcPr>
            <w:tcW w:w="1486" w:type="dxa"/>
          </w:tcPr>
          <w:p w:rsidR="00D849AA" w:rsidRDefault="00EE6D95">
            <w:r>
              <w:t>84,2</w:t>
            </w:r>
          </w:p>
        </w:tc>
      </w:tr>
    </w:tbl>
    <w:p w:rsidR="00D849AA" w:rsidRDefault="00D849AA">
      <w:pPr>
        <w:jc w:val="left"/>
      </w:pPr>
    </w:p>
    <w:p w:rsidR="00D849AA" w:rsidRDefault="00EE6D95">
      <w:pPr>
        <w:pStyle w:val="Normal6"/>
      </w:pPr>
      <w:r>
        <w:t>Sustavno praćenje radioaktivnosti u okolišu se u Republici Hrvatskoj provodi dugi niz godina, tako da uglavnom postoje potrebni resursi i dugogodišnji nizovi podataka. Državni zavod za radiološku i nuklearnu sigurnost će održati kontinuitet praćenja radioaktivnosti u okolišu, stambenim i radnim prostorijama te vršiti procjenu izloženosti stanovništva u cjelini i uspostaviti sustav (IT infrastrukturu) za pohranu, obradu i prezentaciju prikupljenih podataka čime će se unaprijediti dostupnost podacima. Analizom postojećih podataka i usporedbom s drugim pokazateljima, provjerit će njihovu kvalitetu i relevantnost te osigurati prikladan prikaz podataka.</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 xml:space="preserve">Izvješće o stanju radioaktivnosti u okolišu te stambenim i </w:t>
            </w:r>
          </w:p>
          <w:p w:rsidR="00D849AA" w:rsidRDefault="00EE6D95">
            <w:pPr>
              <w:pStyle w:val="CellColumn"/>
            </w:pPr>
            <w:r>
              <w:t xml:space="preserve">radnim prostorijama s </w:t>
            </w:r>
          </w:p>
          <w:p w:rsidR="00D849AA" w:rsidRDefault="00EE6D95">
            <w:pPr>
              <w:pStyle w:val="CellColumn"/>
            </w:pPr>
            <w:r>
              <w:t xml:space="preserve">procjenom ozračenja </w:t>
            </w:r>
          </w:p>
          <w:p w:rsidR="00D849AA" w:rsidRDefault="00EE6D95">
            <w:pPr>
              <w:pStyle w:val="CellColumn"/>
            </w:pPr>
            <w:r>
              <w:t>stanovništva</w:t>
            </w:r>
          </w:p>
        </w:tc>
        <w:tc>
          <w:tcPr>
            <w:tcW w:w="1114" w:type="dxa"/>
          </w:tcPr>
          <w:p w:rsidR="00D849AA" w:rsidRDefault="00EE6D95">
            <w:r>
              <w:t>%</w:t>
            </w:r>
          </w:p>
        </w:tc>
        <w:tc>
          <w:tcPr>
            <w:tcW w:w="1114" w:type="dxa"/>
          </w:tcPr>
          <w:p w:rsidR="00D849AA" w:rsidRDefault="00EE6D95">
            <w:r>
              <w:t>66</w:t>
            </w:r>
          </w:p>
        </w:tc>
        <w:tc>
          <w:tcPr>
            <w:tcW w:w="1486" w:type="dxa"/>
          </w:tcPr>
          <w:p w:rsidR="00D849AA" w:rsidRDefault="00EE6D95">
            <w:r>
              <w:t>100</w:t>
            </w:r>
          </w:p>
        </w:tc>
        <w:tc>
          <w:tcPr>
            <w:tcW w:w="1486" w:type="dxa"/>
          </w:tcPr>
          <w:p w:rsidR="00D849AA" w:rsidRDefault="00EE6D95">
            <w:r>
              <w:t>100</w:t>
            </w:r>
          </w:p>
        </w:tc>
        <w:tc>
          <w:tcPr>
            <w:tcW w:w="1486" w:type="dxa"/>
          </w:tcPr>
          <w:p w:rsidR="00D849AA" w:rsidRDefault="00EE6D95">
            <w:r>
              <w:t>100</w:t>
            </w:r>
          </w:p>
        </w:tc>
      </w:tr>
      <w:tr w:rsidR="00D849AA">
        <w:trPr>
          <w:jc w:val="center"/>
        </w:trPr>
        <w:tc>
          <w:tcPr>
            <w:tcW w:w="2229" w:type="dxa"/>
          </w:tcPr>
          <w:p w:rsidR="00D849AA" w:rsidRDefault="00EE6D95">
            <w:pPr>
              <w:pStyle w:val="CellColumn"/>
            </w:pPr>
            <w:r>
              <w:t>Uspostavljen sustav (IT infrastrukture) za pohranu, obradu i prezentaciju prikupljenih podataka</w:t>
            </w:r>
          </w:p>
        </w:tc>
        <w:tc>
          <w:tcPr>
            <w:tcW w:w="1114" w:type="dxa"/>
          </w:tcPr>
          <w:p w:rsidR="00D849AA" w:rsidRDefault="00EE6D95">
            <w:r>
              <w:t>%</w:t>
            </w:r>
          </w:p>
        </w:tc>
        <w:tc>
          <w:tcPr>
            <w:tcW w:w="1114" w:type="dxa"/>
          </w:tcPr>
          <w:p w:rsidR="00D849AA" w:rsidRDefault="00EE6D95">
            <w:r>
              <w:t>0</w:t>
            </w:r>
          </w:p>
        </w:tc>
        <w:tc>
          <w:tcPr>
            <w:tcW w:w="1486" w:type="dxa"/>
          </w:tcPr>
          <w:p w:rsidR="00D849AA" w:rsidRDefault="00EE6D95">
            <w:r>
              <w:t>50</w:t>
            </w:r>
          </w:p>
        </w:tc>
        <w:tc>
          <w:tcPr>
            <w:tcW w:w="1486" w:type="dxa"/>
          </w:tcPr>
          <w:p w:rsidR="00D849AA" w:rsidRDefault="00EE6D95">
            <w:r>
              <w:t>70</w:t>
            </w:r>
          </w:p>
        </w:tc>
        <w:tc>
          <w:tcPr>
            <w:tcW w:w="1486" w:type="dxa"/>
          </w:tcPr>
          <w:p w:rsidR="00D849AA" w:rsidRDefault="00EE6D95">
            <w:r>
              <w:t>90</w:t>
            </w:r>
          </w:p>
        </w:tc>
      </w:tr>
      <w:tr w:rsidR="00D849AA">
        <w:trPr>
          <w:jc w:val="center"/>
        </w:trPr>
        <w:tc>
          <w:tcPr>
            <w:tcW w:w="2229" w:type="dxa"/>
          </w:tcPr>
          <w:p w:rsidR="00D849AA" w:rsidRDefault="00EE6D95">
            <w:pPr>
              <w:pStyle w:val="CellColumn"/>
            </w:pPr>
            <w:r>
              <w:t>Identificirana radna mjesta i područja obzirom na izloženost prirodnim izvorima ionizirajućeg zračenja.</w:t>
            </w:r>
          </w:p>
        </w:tc>
        <w:tc>
          <w:tcPr>
            <w:tcW w:w="1114" w:type="dxa"/>
          </w:tcPr>
          <w:p w:rsidR="00D849AA" w:rsidRDefault="00EE6D95">
            <w:r>
              <w:t>%</w:t>
            </w:r>
          </w:p>
        </w:tc>
        <w:tc>
          <w:tcPr>
            <w:tcW w:w="1114" w:type="dxa"/>
          </w:tcPr>
          <w:p w:rsidR="00D849AA" w:rsidRDefault="00EE6D95">
            <w:r>
              <w:t>0</w:t>
            </w:r>
          </w:p>
        </w:tc>
        <w:tc>
          <w:tcPr>
            <w:tcW w:w="1486" w:type="dxa"/>
          </w:tcPr>
          <w:p w:rsidR="00D849AA" w:rsidRDefault="00EE6D95">
            <w:r>
              <w:t>10</w:t>
            </w:r>
          </w:p>
        </w:tc>
        <w:tc>
          <w:tcPr>
            <w:tcW w:w="1486" w:type="dxa"/>
          </w:tcPr>
          <w:p w:rsidR="00D849AA" w:rsidRDefault="00EE6D95">
            <w:r>
              <w:t>50</w:t>
            </w:r>
          </w:p>
        </w:tc>
        <w:tc>
          <w:tcPr>
            <w:tcW w:w="1486" w:type="dxa"/>
          </w:tcPr>
          <w:p w:rsidR="00D849AA" w:rsidRDefault="00EE6D95">
            <w:r>
              <w:t>80</w:t>
            </w:r>
          </w:p>
        </w:tc>
      </w:tr>
    </w:tbl>
    <w:p w:rsidR="00D849AA" w:rsidRDefault="00D849AA">
      <w:pPr>
        <w:jc w:val="left"/>
      </w:pPr>
    </w:p>
    <w:p w:rsidR="00D849AA" w:rsidRDefault="00EE6D95">
      <w:pPr>
        <w:pStyle w:val="Naslov6"/>
      </w:pPr>
      <w:r>
        <w:t>A849020 ADMINISTRACIJA I UPRAVLJANJE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A849020</w:t>
            </w:r>
          </w:p>
        </w:tc>
        <w:tc>
          <w:tcPr>
            <w:tcW w:w="1486" w:type="dxa"/>
          </w:tcPr>
          <w:p w:rsidR="00D849AA" w:rsidRDefault="00EE6D95">
            <w:r>
              <w:t>8.188.537</w:t>
            </w:r>
          </w:p>
        </w:tc>
        <w:tc>
          <w:tcPr>
            <w:tcW w:w="1486" w:type="dxa"/>
          </w:tcPr>
          <w:p w:rsidR="00D849AA" w:rsidRDefault="00EE6D95">
            <w:r>
              <w:t>7.255.847</w:t>
            </w:r>
          </w:p>
        </w:tc>
        <w:tc>
          <w:tcPr>
            <w:tcW w:w="1486" w:type="dxa"/>
          </w:tcPr>
          <w:p w:rsidR="00D849AA" w:rsidRDefault="00EE6D95">
            <w:r>
              <w:t>8.044.603</w:t>
            </w:r>
          </w:p>
        </w:tc>
        <w:tc>
          <w:tcPr>
            <w:tcW w:w="1486" w:type="dxa"/>
          </w:tcPr>
          <w:p w:rsidR="00D849AA" w:rsidRDefault="00EE6D95">
            <w:r>
              <w:t>8.273.346</w:t>
            </w:r>
          </w:p>
        </w:tc>
        <w:tc>
          <w:tcPr>
            <w:tcW w:w="1486" w:type="dxa"/>
          </w:tcPr>
          <w:p w:rsidR="00D849AA" w:rsidRDefault="00EE6D95">
            <w:r>
              <w:t>88,6</w:t>
            </w:r>
          </w:p>
        </w:tc>
      </w:tr>
    </w:tbl>
    <w:p w:rsidR="00D849AA" w:rsidRDefault="00D849AA">
      <w:pPr>
        <w:jc w:val="left"/>
      </w:pPr>
    </w:p>
    <w:p w:rsidR="00D849AA" w:rsidRDefault="00EE6D95">
      <w:pPr>
        <w:pStyle w:val="Normal6"/>
      </w:pPr>
      <w:r>
        <w:lastRenderedPageBreak/>
        <w:t>U Državnom zavodu za radiološku i nuklearnu sigurnost je trenutno popunjeno 20 radnih mjesta (1 dužnosnik i 19 službenika). Predviđena sredstva uključuju postepeno jačanje administrativnih kapaciteta u narednom trogodišnjem periodu. U RH je potrebno dosegnuti međunarodno priznatu razinu organiziranosti za provođenje inspekcijskog nadzora nad svim radioaktivnim i nuklearnim materijalom, izvornim i posebnim fisibilnim materijalima te posebno projektiranom opremom i nenuklearnim materijalima vezanim uz korištenje nuklearne energije i tehnologije, koja se temelji na Sporazumu o primjeni garancija i Dodatnom protokolu uz taj sporazum, a sve u vezi s Ugovorom o neširenju nuklearnog oružja te Uputama Grupe nuklearnih dobavljača i Konvenciji o fizičkoj zaštiti nuklearnog materijala. Da bi se to moglo ostvariti potrebno je voditi evidencije o radioaktivnom i nuklearnom materijalu te posebnoj opremi, provoditi inspekciju korisnika radioaktivnog i nuklearnog materijala te posebne opreme i posebnu pozornost obratiti na otkrivanje nedozvoljenog korištenja radioaktivnih i nuklearnih materijala te posebne opreme. U tu svrhu DZRNS će kroz sljedeće tri godine razviti ljudske i tehničke kapacitete za provođenje inspekcijskog nadzora kroz edukaciju inspektora i standardizaciju mjerenja potrebnih za obavljanje inspekcijskog nadzora te izradu programskog rješenja za praćenje učinka inspekcijskog nadzora. Kako bi se osigurala zadovoljavajuća učinkovitost inspekcijskog nadzora tokom dužeg vremena, Državni zavod za radiološku i nuklearnu sigurnost će izraditi Strategiju razvoja i jačanja inspekcijskog nadzora koja će se redovito revidirati na temelju postavljenih i ostvarenih ciljeva.</w:t>
      </w:r>
    </w:p>
    <w:p w:rsidR="00D849AA" w:rsidRDefault="00EE6D95">
      <w:pPr>
        <w:pStyle w:val="Naslov6"/>
      </w:pPr>
      <w:r>
        <w:t>A849021 SUSTAV PRIPRAVNOSTI U SLUČAJU IZVANREDNOG DOGAĐAJA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A849021</w:t>
            </w:r>
          </w:p>
        </w:tc>
        <w:tc>
          <w:tcPr>
            <w:tcW w:w="1486" w:type="dxa"/>
          </w:tcPr>
          <w:p w:rsidR="00D849AA" w:rsidRDefault="00EE6D95">
            <w:r>
              <w:t>738.200</w:t>
            </w:r>
          </w:p>
        </w:tc>
        <w:tc>
          <w:tcPr>
            <w:tcW w:w="1486" w:type="dxa"/>
          </w:tcPr>
          <w:p w:rsidR="00D849AA" w:rsidRDefault="00EE6D95">
            <w:r>
              <w:t>510.000</w:t>
            </w:r>
          </w:p>
        </w:tc>
        <w:tc>
          <w:tcPr>
            <w:tcW w:w="1486" w:type="dxa"/>
          </w:tcPr>
          <w:p w:rsidR="00D849AA" w:rsidRDefault="00EE6D95">
            <w:r>
              <w:t>970.000</w:t>
            </w:r>
          </w:p>
        </w:tc>
        <w:tc>
          <w:tcPr>
            <w:tcW w:w="1486" w:type="dxa"/>
          </w:tcPr>
          <w:p w:rsidR="00D849AA" w:rsidRDefault="00EE6D95">
            <w:r>
              <w:t>990.000</w:t>
            </w:r>
          </w:p>
        </w:tc>
        <w:tc>
          <w:tcPr>
            <w:tcW w:w="1486" w:type="dxa"/>
          </w:tcPr>
          <w:p w:rsidR="00D849AA" w:rsidRDefault="00EE6D95">
            <w:r>
              <w:t>69,1</w:t>
            </w:r>
          </w:p>
        </w:tc>
      </w:tr>
    </w:tbl>
    <w:p w:rsidR="00D849AA" w:rsidRDefault="00D849AA">
      <w:pPr>
        <w:jc w:val="left"/>
      </w:pPr>
    </w:p>
    <w:p w:rsidR="00D849AA" w:rsidRDefault="00EE6D95">
      <w:pPr>
        <w:pStyle w:val="Normal6"/>
      </w:pPr>
      <w:r>
        <w:t xml:space="preserve">Da bi se ostvario opći cilj jačanja radiološke i nuklearne sigurnosti mora biti uspostavljen efikasan sustav pripravnosti na izvanredni događaj, dakle sustav sprječavanja okolnosti koje mogu dovesti do izvanrednog događaja kao i sustav odgovora na izvanredni događaj odnosno sustav koji će štetne posljedice ionizirajućeg zračenja na ljude i okoliš svesti na minimum. U izvanrednom događaju trenutno se postupa prema odredbama Uredbe o mjerama zaštite od ionizirajućeg zračenja te intervencija u slučaju izvanrednoga događaja (dalje u tekstu: Uredba). Državni zavod za radiološku i nuklearnu sigurnost zadužen je za praćenje provedbe Uredbe i prema potrebi predlaže mjere unapređenja. Da bi sustav bio učinkovit, mora se provesti niz aktivnosti koje uključuju procjenu ugroze, izradu planova i programa mjera za slučaj izvanrednog događaja za pojedinog nositelja odobrenja, izradu standardnih operativnih postupaka i uputa te provjeru osposobljenosti sudionika. U narednom trogodišnjem razdoblju planira se stvoriti uvjete za provjeru sustava, odnosno za održavanje pokaznih vježbi. Sustav pravodobnog upozoravanja na nuklearnu nesreću (SPUNN) omogućuje alarmiranje u slučaju povišene razine radioaktivnosti u okolišu. U 2009. g. je zastarjeli sustav mjernih postaja kroz EU PHARE 2005 projekt u potpunosti zamijenjen novim sustavom od 25 novih mjernih postaja, raspoređenih po čitavom teritoriju RH, sa centralnom jedinicom za prikupljanje, analiziranje i pohranjivanje podataka u DZRNS-u. Prikupljeni mjerni podaci kontinuirano se razmjenjuju u europskom sustavu razmjene podataka (EURDEP) te direktno s Republikom Slovenijom i Mađarskom, a dostupni su i javnosti putem web portala. U narednom periodu Državni zavod za radiološku i nuklearnu sigurnost će osigurati visoku raspoloživost sustava. Tehničko održavanje obavljat će ovlašteni vanjski stručnjaci te će se provesti odgovarajuća obuka službenika Državnog zavoda za radiološku i nuklearnu sigurnost za rukovanje novim softverom SPUNN SCADA. U narednom periodu proširit će se mreža mjernih stanica sukladno međunarodnim preporukama i kriterijima prema financijskim </w:t>
      </w:r>
      <w:r>
        <w:lastRenderedPageBreak/>
        <w:t>mogućnostima. Državni zavod za radiološku i nuklearnu sigurnost raspolaže uređajima za mjerenje ionizirajućeg zračenja i identifikaciju izvora ionizirajućeg zračenja nabavljenom uglavnom iz donacija Međunarodne agencije za atomsku energiju i Ministarstva energetike SAD-a. Radi se o sofisticiranim uređajima koje je potrebno redovito održavati i umjeravati stoga se u narednom trogodišnjem razdoblju planiraju sredstva za održavanje i umjeravanje navedene opreme. Sadašnji alati koji se koriste za procjenu rizika od izvanrednog događaja te izradu stručnih podloga za donošenje odluka i postupanje su djelomično zastarjeli pa ih je potrebno osuvremeniti. U sljedećem trogodišnjem razdoblju će se osuvremeniti postojeći alat InteRAS, verificirati meteorološki parametri u sustavu RODOS te uvesti nova verzija RODOS sustava i JRODOS. Za postojeće kadrove se planira obnova znanja za korištenje potpornih sustava poput SPUNN-a i RODOS-a, INES ljestvice, sustava za međunarodnu razmjenu podataka ECURIE i USIE, kao i procedura i postupaka u izvanrednom događaju. Navedeno će se provesti vlastitim resursima ili sudjelovanjem na seminarima, tečajevima, vježbama i radionicama koje organizira IAEA ili EU. Planira se i aktivno sudjelovanje u međunarodnim vježbama po pozivu od strane IAEA ili EU.</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rsidP="00AE2853">
            <w:pPr>
              <w:pStyle w:val="CellColumn"/>
            </w:pPr>
            <w:r>
              <w:t>izrađeni prateći</w:t>
            </w:r>
            <w:r w:rsidR="00AE2853">
              <w:t xml:space="preserve"> </w:t>
            </w:r>
            <w:r>
              <w:t>dokumenti (SOP-ovi i upute)</w:t>
            </w:r>
          </w:p>
        </w:tc>
        <w:tc>
          <w:tcPr>
            <w:tcW w:w="1114" w:type="dxa"/>
          </w:tcPr>
          <w:p w:rsidR="00D849AA" w:rsidRDefault="00EE6D95">
            <w:r>
              <w:t>%</w:t>
            </w:r>
          </w:p>
        </w:tc>
        <w:tc>
          <w:tcPr>
            <w:tcW w:w="1114" w:type="dxa"/>
          </w:tcPr>
          <w:p w:rsidR="00D849AA" w:rsidRDefault="00EE6D95">
            <w:r>
              <w:t>30</w:t>
            </w:r>
          </w:p>
        </w:tc>
        <w:tc>
          <w:tcPr>
            <w:tcW w:w="1486" w:type="dxa"/>
          </w:tcPr>
          <w:p w:rsidR="00D849AA" w:rsidRDefault="00EE6D95">
            <w:r>
              <w:t>50</w:t>
            </w:r>
          </w:p>
        </w:tc>
        <w:tc>
          <w:tcPr>
            <w:tcW w:w="1486" w:type="dxa"/>
          </w:tcPr>
          <w:p w:rsidR="00D849AA" w:rsidRDefault="00EE6D95">
            <w:r>
              <w:t>80</w:t>
            </w:r>
          </w:p>
        </w:tc>
        <w:tc>
          <w:tcPr>
            <w:tcW w:w="1486" w:type="dxa"/>
          </w:tcPr>
          <w:p w:rsidR="00D849AA" w:rsidRDefault="00EE6D95">
            <w:r>
              <w:t>100</w:t>
            </w:r>
          </w:p>
        </w:tc>
      </w:tr>
      <w:tr w:rsidR="00D849AA">
        <w:trPr>
          <w:jc w:val="center"/>
        </w:trPr>
        <w:tc>
          <w:tcPr>
            <w:tcW w:w="2229" w:type="dxa"/>
          </w:tcPr>
          <w:p w:rsidR="00D849AA" w:rsidRDefault="00EE6D95" w:rsidP="00D35BD1">
            <w:pPr>
              <w:pStyle w:val="CellColumn"/>
            </w:pPr>
            <w:r>
              <w:t>izrađene procjene</w:t>
            </w:r>
            <w:r w:rsidR="00D35BD1">
              <w:t xml:space="preserve"> </w:t>
            </w:r>
            <w:r>
              <w:t>ugroze te planovi i programi mjera za slučaj izvanrednog događaja za pojedinog</w:t>
            </w:r>
            <w:r w:rsidR="00D35BD1">
              <w:t xml:space="preserve"> </w:t>
            </w:r>
            <w:r>
              <w:t>nositelja odobrenja</w:t>
            </w:r>
          </w:p>
        </w:tc>
        <w:tc>
          <w:tcPr>
            <w:tcW w:w="1114" w:type="dxa"/>
          </w:tcPr>
          <w:p w:rsidR="00D849AA" w:rsidRDefault="00EE6D95">
            <w:r>
              <w:t>%</w:t>
            </w:r>
          </w:p>
        </w:tc>
        <w:tc>
          <w:tcPr>
            <w:tcW w:w="1114" w:type="dxa"/>
          </w:tcPr>
          <w:p w:rsidR="00D849AA" w:rsidRDefault="00EE6D95">
            <w:r>
              <w:t>50</w:t>
            </w:r>
          </w:p>
        </w:tc>
        <w:tc>
          <w:tcPr>
            <w:tcW w:w="1486" w:type="dxa"/>
          </w:tcPr>
          <w:p w:rsidR="00D849AA" w:rsidRDefault="00EE6D95">
            <w:r>
              <w:t>80</w:t>
            </w:r>
          </w:p>
        </w:tc>
        <w:tc>
          <w:tcPr>
            <w:tcW w:w="1486" w:type="dxa"/>
          </w:tcPr>
          <w:p w:rsidR="00D849AA" w:rsidRDefault="00EE6D95">
            <w:r>
              <w:t>100</w:t>
            </w:r>
          </w:p>
        </w:tc>
        <w:tc>
          <w:tcPr>
            <w:tcW w:w="1486" w:type="dxa"/>
          </w:tcPr>
          <w:p w:rsidR="00D849AA" w:rsidRDefault="00EE6D95">
            <w:r>
              <w:t>100</w:t>
            </w:r>
          </w:p>
        </w:tc>
      </w:tr>
      <w:tr w:rsidR="00D849AA">
        <w:trPr>
          <w:jc w:val="center"/>
        </w:trPr>
        <w:tc>
          <w:tcPr>
            <w:tcW w:w="2229" w:type="dxa"/>
          </w:tcPr>
          <w:p w:rsidR="00D849AA" w:rsidRDefault="00EE6D95">
            <w:pPr>
              <w:pStyle w:val="CellColumn"/>
            </w:pPr>
            <w:r>
              <w:t xml:space="preserve">osigurano održavanje </w:t>
            </w:r>
          </w:p>
          <w:p w:rsidR="00D849AA" w:rsidRDefault="00EE6D95">
            <w:pPr>
              <w:pStyle w:val="CellColumn"/>
            </w:pPr>
            <w:r>
              <w:t>sustava SPUNN</w:t>
            </w:r>
          </w:p>
        </w:tc>
        <w:tc>
          <w:tcPr>
            <w:tcW w:w="1114" w:type="dxa"/>
          </w:tcPr>
          <w:p w:rsidR="00D849AA" w:rsidRDefault="00EE6D95">
            <w:r>
              <w:t>%</w:t>
            </w:r>
          </w:p>
        </w:tc>
        <w:tc>
          <w:tcPr>
            <w:tcW w:w="1114" w:type="dxa"/>
          </w:tcPr>
          <w:p w:rsidR="00D849AA" w:rsidRDefault="00EE6D95">
            <w:r>
              <w:t>50</w:t>
            </w:r>
          </w:p>
        </w:tc>
        <w:tc>
          <w:tcPr>
            <w:tcW w:w="1486" w:type="dxa"/>
          </w:tcPr>
          <w:p w:rsidR="00D849AA" w:rsidRDefault="00EE6D95">
            <w:r>
              <w:t>70</w:t>
            </w:r>
          </w:p>
        </w:tc>
        <w:tc>
          <w:tcPr>
            <w:tcW w:w="1486" w:type="dxa"/>
          </w:tcPr>
          <w:p w:rsidR="00D849AA" w:rsidRDefault="00EE6D95">
            <w:r>
              <w:t>90</w:t>
            </w:r>
          </w:p>
        </w:tc>
        <w:tc>
          <w:tcPr>
            <w:tcW w:w="1486" w:type="dxa"/>
          </w:tcPr>
          <w:p w:rsidR="00D849AA" w:rsidRDefault="00EE6D95">
            <w:r>
              <w:t>100</w:t>
            </w:r>
          </w:p>
        </w:tc>
      </w:tr>
      <w:tr w:rsidR="00D849AA">
        <w:trPr>
          <w:jc w:val="center"/>
        </w:trPr>
        <w:tc>
          <w:tcPr>
            <w:tcW w:w="2229" w:type="dxa"/>
          </w:tcPr>
          <w:p w:rsidR="00D849AA" w:rsidRDefault="00EE6D95">
            <w:pPr>
              <w:pStyle w:val="CellColumn"/>
            </w:pPr>
            <w:r>
              <w:t xml:space="preserve">svi alati za procjenu </w:t>
            </w:r>
          </w:p>
          <w:p w:rsidR="00D849AA" w:rsidRDefault="00EE6D95">
            <w:pPr>
              <w:pStyle w:val="CellColumn"/>
            </w:pPr>
            <w:r>
              <w:t>rizika u funkciji</w:t>
            </w:r>
          </w:p>
        </w:tc>
        <w:tc>
          <w:tcPr>
            <w:tcW w:w="1114" w:type="dxa"/>
          </w:tcPr>
          <w:p w:rsidR="00D849AA" w:rsidRDefault="00EE6D95">
            <w:r>
              <w:t>%</w:t>
            </w:r>
          </w:p>
        </w:tc>
        <w:tc>
          <w:tcPr>
            <w:tcW w:w="1114" w:type="dxa"/>
          </w:tcPr>
          <w:p w:rsidR="00D849AA" w:rsidRDefault="00EE6D95">
            <w:r>
              <w:t>50</w:t>
            </w:r>
          </w:p>
        </w:tc>
        <w:tc>
          <w:tcPr>
            <w:tcW w:w="1486" w:type="dxa"/>
          </w:tcPr>
          <w:p w:rsidR="00D849AA" w:rsidRDefault="00EE6D95">
            <w:r>
              <w:t>70</w:t>
            </w:r>
          </w:p>
        </w:tc>
        <w:tc>
          <w:tcPr>
            <w:tcW w:w="1486" w:type="dxa"/>
          </w:tcPr>
          <w:p w:rsidR="00D849AA" w:rsidRDefault="00EE6D95">
            <w:r>
              <w:t>90</w:t>
            </w:r>
          </w:p>
        </w:tc>
        <w:tc>
          <w:tcPr>
            <w:tcW w:w="1486" w:type="dxa"/>
          </w:tcPr>
          <w:p w:rsidR="00D849AA" w:rsidRDefault="00EE6D95">
            <w:r>
              <w:t>100</w:t>
            </w:r>
          </w:p>
        </w:tc>
      </w:tr>
    </w:tbl>
    <w:p w:rsidR="00D849AA" w:rsidRDefault="00D849AA">
      <w:pPr>
        <w:jc w:val="left"/>
      </w:pPr>
    </w:p>
    <w:p w:rsidR="00D849AA" w:rsidRDefault="00EE6D95">
      <w:pPr>
        <w:pStyle w:val="Naslov6"/>
      </w:pPr>
      <w:r>
        <w:t>A849022 SURADNJA U OKVIRU MEĐUNARODNIH SPORAZUMA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A849022</w:t>
            </w:r>
          </w:p>
        </w:tc>
        <w:tc>
          <w:tcPr>
            <w:tcW w:w="1486" w:type="dxa"/>
          </w:tcPr>
          <w:p w:rsidR="00D849AA" w:rsidRDefault="00EE6D95">
            <w:r>
              <w:t>90.000</w:t>
            </w:r>
          </w:p>
        </w:tc>
        <w:tc>
          <w:tcPr>
            <w:tcW w:w="1486" w:type="dxa"/>
          </w:tcPr>
          <w:p w:rsidR="00D849AA" w:rsidRDefault="00EE6D95">
            <w:r>
              <w:t>70.000</w:t>
            </w:r>
          </w:p>
        </w:tc>
        <w:tc>
          <w:tcPr>
            <w:tcW w:w="1486" w:type="dxa"/>
          </w:tcPr>
          <w:p w:rsidR="00D849AA" w:rsidRDefault="00EE6D95">
            <w:r>
              <w:t>220.000</w:t>
            </w:r>
          </w:p>
        </w:tc>
        <w:tc>
          <w:tcPr>
            <w:tcW w:w="1486" w:type="dxa"/>
          </w:tcPr>
          <w:p w:rsidR="00D849AA" w:rsidRDefault="00EE6D95">
            <w:r>
              <w:t>130.000</w:t>
            </w:r>
          </w:p>
        </w:tc>
        <w:tc>
          <w:tcPr>
            <w:tcW w:w="1486" w:type="dxa"/>
          </w:tcPr>
          <w:p w:rsidR="00D849AA" w:rsidRDefault="00EE6D95">
            <w:r>
              <w:t>77,8</w:t>
            </w:r>
          </w:p>
        </w:tc>
      </w:tr>
    </w:tbl>
    <w:p w:rsidR="00D849AA" w:rsidRDefault="00D849AA">
      <w:pPr>
        <w:jc w:val="left"/>
      </w:pPr>
    </w:p>
    <w:p w:rsidR="00D849AA" w:rsidRDefault="00EE6D95">
      <w:pPr>
        <w:pStyle w:val="Normal6"/>
      </w:pPr>
      <w:r>
        <w:t xml:space="preserve">Državni zavod za radiološku i nuklearnu sigurnost (dalje u tekstu: DZRNS) provodi i koordinira provođenje obveza koje je Republika Hrvatska preuzela prema međunarodnim konvencijama i sporazumima, a odnose se na zaštitu od ionizirajućeg zračenja i nuklearnu sigurnost. U 2013. godini predstavnici DZRNS-a pripremili su Nacionalno izvješće o primjeni obveza iz Konvencije o nuklearnoj sigurnosti, koje će u 2014. godini biti prezentirano. DZRNS također provodi i koordinira provođenje obveza koje je Republika </w:t>
      </w:r>
      <w:r>
        <w:lastRenderedPageBreak/>
        <w:t>Hrvatska preuzela prema bilateralnim sporazumima, a odnose se na zaštitu od ionizirajućeg zračenja i nuklearnu sigurnost te surađuje s regulatornim tijelima drugih zemalja nadležnim za poslove s tih područja. U 2014. godini planira se održavanje redovnih sastanaka s regulatornim tijelima iz Slovenije i Mađarske te sudjelovanje u provedbi unapređenja radiološke i nuklearne sigurnosti na razini EU sudjelovanjem predstavnika DZRNS u radu odbora i radnih skupina Europske komisije i Vijeća EU. Otvorenost i transparentnost rada DZRNS-a postiže se informiranjem javnosti o radu Državnog zavoda za radiološku i nuklearnu sigurnost putem web stranice DZRNS i provođenjem posebnih projekata.</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 xml:space="preserve">Broj izrađenih i prezentiranih </w:t>
            </w:r>
          </w:p>
          <w:p w:rsidR="00D849AA" w:rsidRDefault="00EE6D95">
            <w:pPr>
              <w:pStyle w:val="CellColumn"/>
            </w:pPr>
            <w:r>
              <w:t xml:space="preserve">nacionalnih izvješća o </w:t>
            </w:r>
          </w:p>
          <w:p w:rsidR="00D849AA" w:rsidRDefault="00EE6D95">
            <w:pPr>
              <w:pStyle w:val="CellColumn"/>
            </w:pPr>
            <w:r>
              <w:t xml:space="preserve">provođenju pojedinih </w:t>
            </w:r>
          </w:p>
          <w:p w:rsidR="00D849AA" w:rsidRDefault="00EE6D95">
            <w:pPr>
              <w:pStyle w:val="CellColumn"/>
            </w:pPr>
            <w:r>
              <w:t>konvencija na godinu</w:t>
            </w:r>
          </w:p>
        </w:tc>
        <w:tc>
          <w:tcPr>
            <w:tcW w:w="1114" w:type="dxa"/>
          </w:tcPr>
          <w:p w:rsidR="00D849AA" w:rsidRDefault="00EE6D95">
            <w:r>
              <w:t>broj</w:t>
            </w:r>
          </w:p>
        </w:tc>
        <w:tc>
          <w:tcPr>
            <w:tcW w:w="1114" w:type="dxa"/>
          </w:tcPr>
          <w:p w:rsidR="00D849AA" w:rsidRDefault="00EE6D95">
            <w:r>
              <w:t>1</w:t>
            </w:r>
          </w:p>
        </w:tc>
        <w:tc>
          <w:tcPr>
            <w:tcW w:w="1486" w:type="dxa"/>
          </w:tcPr>
          <w:p w:rsidR="00D849AA" w:rsidRDefault="00EE6D95">
            <w:r>
              <w:t>1</w:t>
            </w:r>
          </w:p>
        </w:tc>
        <w:tc>
          <w:tcPr>
            <w:tcW w:w="1486" w:type="dxa"/>
          </w:tcPr>
          <w:p w:rsidR="00D849AA" w:rsidRDefault="00EE6D95">
            <w:r>
              <w:t>1</w:t>
            </w:r>
          </w:p>
        </w:tc>
        <w:tc>
          <w:tcPr>
            <w:tcW w:w="1486" w:type="dxa"/>
          </w:tcPr>
          <w:p w:rsidR="00D849AA" w:rsidRDefault="00EE6D95">
            <w:r>
              <w:t>1</w:t>
            </w:r>
          </w:p>
        </w:tc>
      </w:tr>
      <w:tr w:rsidR="00D849AA">
        <w:trPr>
          <w:jc w:val="center"/>
        </w:trPr>
        <w:tc>
          <w:tcPr>
            <w:tcW w:w="2229" w:type="dxa"/>
          </w:tcPr>
          <w:p w:rsidR="00D849AA" w:rsidRDefault="00EE6D95">
            <w:pPr>
              <w:pStyle w:val="CellColumn"/>
            </w:pPr>
            <w:r>
              <w:t xml:space="preserve">Broj sastanaka vezano </w:t>
            </w:r>
          </w:p>
          <w:p w:rsidR="00D849AA" w:rsidRDefault="00EE6D95">
            <w:pPr>
              <w:pStyle w:val="CellColumn"/>
            </w:pPr>
            <w:r>
              <w:t xml:space="preserve">uz bilateralne </w:t>
            </w:r>
          </w:p>
          <w:p w:rsidR="00D849AA" w:rsidRDefault="00EE6D95">
            <w:pPr>
              <w:pStyle w:val="CellColumn"/>
            </w:pPr>
            <w:r>
              <w:t xml:space="preserve">sporazume s područja </w:t>
            </w:r>
          </w:p>
          <w:p w:rsidR="00D849AA" w:rsidRDefault="00EE6D95">
            <w:pPr>
              <w:pStyle w:val="CellColumn"/>
            </w:pPr>
            <w:r>
              <w:t xml:space="preserve">radiološke i nuklearne </w:t>
            </w:r>
          </w:p>
          <w:p w:rsidR="00D849AA" w:rsidRDefault="00EE6D95">
            <w:pPr>
              <w:pStyle w:val="CellColumn"/>
            </w:pPr>
            <w:r>
              <w:t>sigurnosti na godinu</w:t>
            </w:r>
          </w:p>
        </w:tc>
        <w:tc>
          <w:tcPr>
            <w:tcW w:w="1114" w:type="dxa"/>
          </w:tcPr>
          <w:p w:rsidR="00D849AA" w:rsidRDefault="00EE6D95">
            <w:r>
              <w:t>Broj</w:t>
            </w:r>
          </w:p>
        </w:tc>
        <w:tc>
          <w:tcPr>
            <w:tcW w:w="1114" w:type="dxa"/>
          </w:tcPr>
          <w:p w:rsidR="00D849AA" w:rsidRDefault="00EE6D95">
            <w:r>
              <w:t>0</w:t>
            </w:r>
          </w:p>
        </w:tc>
        <w:tc>
          <w:tcPr>
            <w:tcW w:w="1486" w:type="dxa"/>
          </w:tcPr>
          <w:p w:rsidR="00D849AA" w:rsidRDefault="00EE6D95">
            <w:r>
              <w:t>2</w:t>
            </w:r>
          </w:p>
        </w:tc>
        <w:tc>
          <w:tcPr>
            <w:tcW w:w="1486" w:type="dxa"/>
          </w:tcPr>
          <w:p w:rsidR="00D849AA" w:rsidRDefault="00EE6D95">
            <w:r>
              <w:t>2</w:t>
            </w:r>
          </w:p>
        </w:tc>
        <w:tc>
          <w:tcPr>
            <w:tcW w:w="1486" w:type="dxa"/>
          </w:tcPr>
          <w:p w:rsidR="00D849AA" w:rsidRDefault="00EE6D95">
            <w:r>
              <w:t>2</w:t>
            </w:r>
          </w:p>
        </w:tc>
      </w:tr>
      <w:tr w:rsidR="00D849AA">
        <w:trPr>
          <w:jc w:val="center"/>
        </w:trPr>
        <w:tc>
          <w:tcPr>
            <w:tcW w:w="2229" w:type="dxa"/>
          </w:tcPr>
          <w:p w:rsidR="00D849AA" w:rsidRDefault="00EE6D95">
            <w:pPr>
              <w:pStyle w:val="CellColumn"/>
            </w:pPr>
            <w:r>
              <w:t xml:space="preserve">Broj dostavljenih </w:t>
            </w:r>
          </w:p>
          <w:p w:rsidR="00D849AA" w:rsidRDefault="00EE6D95">
            <w:pPr>
              <w:pStyle w:val="CellColumn"/>
            </w:pPr>
            <w:r>
              <w:t xml:space="preserve">obavijesti o tehničkoj </w:t>
            </w:r>
          </w:p>
          <w:p w:rsidR="00D849AA" w:rsidRDefault="00EE6D95">
            <w:pPr>
              <w:pStyle w:val="CellColumn"/>
            </w:pPr>
            <w:r>
              <w:t xml:space="preserve">suradnji s IAEA svim </w:t>
            </w:r>
          </w:p>
          <w:p w:rsidR="00D849AA" w:rsidRDefault="00EE6D95">
            <w:pPr>
              <w:pStyle w:val="CellColumn"/>
            </w:pPr>
            <w:r>
              <w:t xml:space="preserve">sudionicima iz RH i </w:t>
            </w:r>
          </w:p>
          <w:p w:rsidR="00D849AA" w:rsidRDefault="00EE6D95">
            <w:pPr>
              <w:pStyle w:val="CellColumn"/>
            </w:pPr>
            <w:r>
              <w:t xml:space="preserve">prijava kandidata na </w:t>
            </w:r>
          </w:p>
          <w:p w:rsidR="00D849AA" w:rsidRDefault="00EE6D95">
            <w:pPr>
              <w:pStyle w:val="CellColumn"/>
            </w:pPr>
            <w:r>
              <w:t>godinu</w:t>
            </w:r>
          </w:p>
        </w:tc>
        <w:tc>
          <w:tcPr>
            <w:tcW w:w="1114" w:type="dxa"/>
          </w:tcPr>
          <w:p w:rsidR="00D849AA" w:rsidRDefault="00EE6D95">
            <w:r>
              <w:t>Broj</w:t>
            </w:r>
          </w:p>
        </w:tc>
        <w:tc>
          <w:tcPr>
            <w:tcW w:w="1114" w:type="dxa"/>
          </w:tcPr>
          <w:p w:rsidR="00D849AA" w:rsidRDefault="00EE6D95">
            <w:r>
              <w:t>150</w:t>
            </w:r>
          </w:p>
        </w:tc>
        <w:tc>
          <w:tcPr>
            <w:tcW w:w="1486" w:type="dxa"/>
          </w:tcPr>
          <w:p w:rsidR="00D849AA" w:rsidRDefault="00EE6D95">
            <w:r>
              <w:t>160</w:t>
            </w:r>
          </w:p>
        </w:tc>
        <w:tc>
          <w:tcPr>
            <w:tcW w:w="1486" w:type="dxa"/>
          </w:tcPr>
          <w:p w:rsidR="00D849AA" w:rsidRDefault="00EE6D95">
            <w:r>
              <w:t>170</w:t>
            </w:r>
          </w:p>
        </w:tc>
        <w:tc>
          <w:tcPr>
            <w:tcW w:w="1486" w:type="dxa"/>
          </w:tcPr>
          <w:p w:rsidR="00D849AA" w:rsidRDefault="00EE6D95">
            <w:r>
              <w:t>180</w:t>
            </w:r>
          </w:p>
        </w:tc>
      </w:tr>
      <w:tr w:rsidR="00D849AA">
        <w:trPr>
          <w:jc w:val="center"/>
        </w:trPr>
        <w:tc>
          <w:tcPr>
            <w:tcW w:w="2229" w:type="dxa"/>
          </w:tcPr>
          <w:p w:rsidR="00D849AA" w:rsidRDefault="00EE6D95">
            <w:pPr>
              <w:pStyle w:val="CellColumn"/>
            </w:pPr>
            <w:r>
              <w:t xml:space="preserve">Broj učeničkih likovnih </w:t>
            </w:r>
          </w:p>
          <w:p w:rsidR="00D849AA" w:rsidRDefault="00EE6D95">
            <w:pPr>
              <w:pStyle w:val="CellColumn"/>
            </w:pPr>
            <w:r>
              <w:t xml:space="preserve">radova u projektu izrade kalendara u </w:t>
            </w:r>
          </w:p>
          <w:p w:rsidR="00D849AA" w:rsidRDefault="00EE6D95">
            <w:pPr>
              <w:pStyle w:val="CellColumn"/>
            </w:pPr>
            <w:r>
              <w:t xml:space="preserve">svrhu upoznavanja </w:t>
            </w:r>
          </w:p>
          <w:p w:rsidR="00D849AA" w:rsidRDefault="00EE6D95">
            <w:pPr>
              <w:pStyle w:val="CellColumn"/>
            </w:pPr>
            <w:r>
              <w:t xml:space="preserve">javnosti s </w:t>
            </w:r>
          </w:p>
          <w:p w:rsidR="00D849AA" w:rsidRDefault="00EE6D95">
            <w:pPr>
              <w:pStyle w:val="CellColumn"/>
            </w:pPr>
            <w:r>
              <w:t xml:space="preserve">pripravnošću u </w:t>
            </w:r>
          </w:p>
          <w:p w:rsidR="00D849AA" w:rsidRDefault="00EE6D95">
            <w:pPr>
              <w:pStyle w:val="CellColumn"/>
            </w:pPr>
            <w:r>
              <w:t xml:space="preserve">Republici Hrvatskoj za </w:t>
            </w:r>
          </w:p>
          <w:p w:rsidR="00D849AA" w:rsidRDefault="00EE6D95">
            <w:pPr>
              <w:pStyle w:val="CellColumn"/>
            </w:pPr>
            <w:r>
              <w:t xml:space="preserve">slučaj nuklearne </w:t>
            </w:r>
          </w:p>
          <w:p w:rsidR="00D849AA" w:rsidRDefault="00EE6D95">
            <w:pPr>
              <w:pStyle w:val="CellColumn"/>
            </w:pPr>
            <w:r>
              <w:t>nesreće</w:t>
            </w:r>
          </w:p>
        </w:tc>
        <w:tc>
          <w:tcPr>
            <w:tcW w:w="1114" w:type="dxa"/>
          </w:tcPr>
          <w:p w:rsidR="00D849AA" w:rsidRDefault="00EE6D95">
            <w:r>
              <w:t>Broj</w:t>
            </w:r>
          </w:p>
        </w:tc>
        <w:tc>
          <w:tcPr>
            <w:tcW w:w="1114" w:type="dxa"/>
          </w:tcPr>
          <w:p w:rsidR="00D849AA" w:rsidRDefault="00EE6D95">
            <w:r>
              <w:t>135</w:t>
            </w:r>
          </w:p>
        </w:tc>
        <w:tc>
          <w:tcPr>
            <w:tcW w:w="1486" w:type="dxa"/>
          </w:tcPr>
          <w:p w:rsidR="00D849AA" w:rsidRDefault="00EE6D95">
            <w:r>
              <w:t>140</w:t>
            </w:r>
          </w:p>
        </w:tc>
        <w:tc>
          <w:tcPr>
            <w:tcW w:w="1486" w:type="dxa"/>
          </w:tcPr>
          <w:p w:rsidR="00D849AA" w:rsidRDefault="00EE6D95">
            <w:r>
              <w:t>150</w:t>
            </w:r>
          </w:p>
        </w:tc>
        <w:tc>
          <w:tcPr>
            <w:tcW w:w="1486" w:type="dxa"/>
          </w:tcPr>
          <w:p w:rsidR="00D849AA" w:rsidRDefault="00EE6D95">
            <w:r>
              <w:t>160</w:t>
            </w:r>
          </w:p>
        </w:tc>
      </w:tr>
    </w:tbl>
    <w:p w:rsidR="00D849AA" w:rsidRDefault="00D849AA">
      <w:pPr>
        <w:jc w:val="left"/>
      </w:pPr>
    </w:p>
    <w:p w:rsidR="00D849AA" w:rsidRDefault="00EE6D95">
      <w:pPr>
        <w:pStyle w:val="Naslov6"/>
      </w:pPr>
      <w:r>
        <w:lastRenderedPageBreak/>
        <w:t>A849024 STRATEGIJA RADIOLOŠKE I NUKLEARNE SIGURNOSTI</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A849024</w:t>
            </w:r>
          </w:p>
        </w:tc>
        <w:tc>
          <w:tcPr>
            <w:tcW w:w="1486" w:type="dxa"/>
          </w:tcPr>
          <w:p w:rsidR="00D849AA" w:rsidRDefault="00EE6D95">
            <w:r>
              <w:t>728.000</w:t>
            </w:r>
          </w:p>
        </w:tc>
        <w:tc>
          <w:tcPr>
            <w:tcW w:w="1486" w:type="dxa"/>
          </w:tcPr>
          <w:p w:rsidR="00D849AA" w:rsidRDefault="00EE6D95">
            <w:r>
              <w:t>858.000</w:t>
            </w:r>
          </w:p>
        </w:tc>
        <w:tc>
          <w:tcPr>
            <w:tcW w:w="1486" w:type="dxa"/>
          </w:tcPr>
          <w:p w:rsidR="00D849AA" w:rsidRDefault="00EE6D95">
            <w:r>
              <w:t>1.329.773</w:t>
            </w:r>
          </w:p>
        </w:tc>
        <w:tc>
          <w:tcPr>
            <w:tcW w:w="1486" w:type="dxa"/>
          </w:tcPr>
          <w:p w:rsidR="00D849AA" w:rsidRDefault="00EE6D95">
            <w:r>
              <w:t>1.311.284</w:t>
            </w:r>
          </w:p>
        </w:tc>
        <w:tc>
          <w:tcPr>
            <w:tcW w:w="1486" w:type="dxa"/>
          </w:tcPr>
          <w:p w:rsidR="00D849AA" w:rsidRDefault="00EE6D95">
            <w:r>
              <w:t>117,8</w:t>
            </w:r>
          </w:p>
        </w:tc>
      </w:tr>
    </w:tbl>
    <w:p w:rsidR="00D849AA" w:rsidRDefault="00D849AA">
      <w:pPr>
        <w:jc w:val="left"/>
      </w:pPr>
    </w:p>
    <w:p w:rsidR="00D849AA" w:rsidRDefault="00EE6D95">
      <w:pPr>
        <w:pStyle w:val="Normal6"/>
      </w:pPr>
      <w:r>
        <w:t xml:space="preserve">Sigurnost pri upotrebi izvora ionizirajućeg zračenja postiže se kroz redovne aktivnosti Državnog zavoda za radiološku i nuklearnu sigurnost, ovlaštenih stručnih tehničkih servisa i drugih sudionika propisane zakonom, a posebno kroz dozimetrijski nadzor, redovne preglede izvora, kontrolu kvalitete uređaja te vođenje ažurnih i dostupnih evidencija. Poseban značaj ima podizanje svijesti o mogućim opasnostima i odgovarajuća izobrazba osoba čiji posao je vezan uz uporabu izvora ionizirajućeg zračenja, odnosno koje se školuju za takve poslove. Zakonodavstvo i, sukladno tome, sam sustav su razvijani imajući u vidu preporuke Međunarodne agencije za atomsku energiju (IAEA) i odredbe sadržane u EU direktivama. Zakon o radiološkoj i nuklearnoj sigurnosti (NN 28/10) (dalje u tekstu: Zakon)  usklađen je s primjenjivim direktivama. Kako bi se osiguralo racionalnije korištenje resursa, Zakonom je osnovan Državni zavod za radiološku i nuklearnu sigurnost, koji je temeljem članka 106. preuzeo resurse Državnog zavoda za zaštitu od zračenja i Državnog zavoda za nuklearnu sigurnost. . Za inspekcijski nadzor nad odredbama zakona kojim do osnivanja Državnog zavoda za radiološku i nuklearnu sigurnost bila regulirana zaštita od ionizirajućeg račenja bila je zadužena sanitarna inspekcija ministarstva nadležnog za zdravlje, dok je Zakonom za to zadužen Državni zavod za radiološku i nuklearnu sigurnost. Zbog toga će u narednom periodu jedan od prioriteta biti jačanje kapaciteta za provođenje inspekcijskog nadzora te ukupno poboljšavanje sustava izdavanja dozvola i evidencija te njihovo povezivanje kako bi se osigurao učinkovit nadzor nad izvorima tijekom cijelog životnog ciklusa. </w:t>
      </w:r>
    </w:p>
    <w:p w:rsidR="00D849AA" w:rsidRDefault="00EE6D95">
      <w:pPr>
        <w:pStyle w:val="Normal6"/>
      </w:pPr>
      <w:r>
        <w:t xml:space="preserve">Prema istraživanjima provedenim širom svijeta, izlaganje pacijenata prilikom dijagnostičkih i terapijskih postupaka uporabom izvora ionizirajućeg zračenja daje daleko najveći doprinos kolektivnoj dozi stanovništva. Podaci koje je objavila Međunarodna agencija za atomsku energiju (IAEA) pokazuju da je doprinos u pojedinim zemljama i do 97%. Kroz osiguravanje odgovarajuće kvalitete uređaja koji se koriste za obavljanje dijagnostičkih i terapijskih postupaka u medicini smanjuje se ozračenje pacijenata i izloženih radnika,a time i rizik po njihovo zdravlje. Državni zavod za radiološku i nuklearnu sigurnost će tijekom sljedeće tri godine u suradnji s priznatim stručnjacima iz područja radioterapije nastaviti s izradom uputa, priručnika i smjernica potrebnih zdravstvenim ustanovama za uspostavljanje programa kontrole kvalitete, odnosno provedbe kontrole kvalitete izvora ionizirajućeg zračenja koji se koriste za terapiju u medicini i objaviti ih na način da budu dostupne javnosti. U slučaju medicinskog ozračenja ne primjenjuje se načelo ograničenja ozračenja, već se pri provođenju dijagnostičkih postupaka uporabom izvora ionizirajućeg zračenja, uz poštivanje načela opravdanosti i optimizacije, treba voditi i preporučenim vrijednostima doza za pojedine postupke. Državni zavod za radiološku i nuklearnu sigurnost će u sljedeće tri godine u suradnji s priznatim stručnjacima izraditi preporučene vrijednosti za pojedine dijagnostičke postupke s naglaskom na postupke u dijagnostičkoj radiologiji. Ova obveza Državnog zavoda za radiološku i nuklearnu sigurnost proizlazi iz odredbi članka 4. stavka 2. Council Directive 97/43/Euratom of 30 June 1997 on Health Protection of Individuals Against the Dangers of Ionizing Radiation in Relation to Medical Exposure. Prema odredbi članka 12. Council Directive 97/43/Euratom of 30 June 1997 on Health Protection of Individuals Against the Dangers of Ionizing Radiation in Relation to Medical Exposure, Državni zavod za radiološku i nuklearnu sigurnost će u suradnji s istaknutim stručnjacima iz ovoga područja izraditi raspodjelu procjene pojedinačnih doza od medicinskog ozračenja za stanovništvo te ih objaviti na način da budu dostupne javnosti. DZRNS će </w:t>
      </w:r>
      <w:r>
        <w:lastRenderedPageBreak/>
        <w:t>tijekom ovog trogodišnjeg razdoblja izraditi preporučene efektivne doze za izložene radnike, ovisno o vrsti izvora u području izloženosti kojeg rade i vrsti posla/postupka za koju se izvor ionizirajućeg zračenja koristi. Ovime bi se u potpunosti uskladili s odredbom sadržanom u članku 7. Council Directive 96/29/Euratom of 13 May 1996 Laying Down Basic Safety Standards for the Protection of The Health of Workers and the General Public Against the Dangers Arising from Ionizing Radiation. Upotreba i upravljanje izvorima ionizirajućeg zračenja na siguran način osigurava se primjenom odredbi zakona i podzakonskih akata, a nadzire putem inspekcije za radiološku i nuklearnu sigurnost. Jedan od bitnih koraka u uspostavi primjerene razine radiološke i nuklearne sigurnosti sukladno preporukama Međunarodne agencije za atomsku energiju (IAEA) i zahtjevima EU (EURATOM) predstavlja razvoj sustava za provođenje preporuka, normi i standarda u području radiološke i nuklearne sigurnosti te razvoj stručnih kapaciteta za njihovu primjenu. To obuhvaća prilagodbu i preuzimanje niza stručnih dokumenata, različitog zakonodavnog statusa, koji su osnova za učinkovitu uspostavu radiološke i nuklearne regulatorne infrastrukture. Aktivnosti koje je potrebno poduzeti u svrhu ostvarivanja tog statusa su: usvajanje osnovnih sigurnosnih standarda, te usvajanje tehničkih dokumenata kojima se u detalje propisuje potreban sustav radiološke i nuklearne sigurnosti. Za provedbu i osiguranje zadovoljavajuće razine radiološke i nuklearne sigurnosti, pored kvalitetnog zakonodavnog okvira od izrazite je važnosti i razvijanje adekvatnih stručnih kapaciteta. U narednom trogodišnjem razdoblju planira se osigurati potrebne stručne kapacitete unutar Državnog zavoda za radiološku i nuklearnu sigurnost s ciljem dostizanja sposobnosti neovisnog ispunjavanja zakonodavnih obveza te istovremeno raditi i na razvoju stručnih kapaciteta u tehničkim potpornim organizacijama koje predstavljaju produženu ruku regulatornog tijela i koje po potrebi regulatorno tijelo ovlašćuje za provedbu određenih visokostručnih poslova. Također, kako bi se osigurala izvrsnost i stalno unapređenje usluga, a sukladno smjernicama Vlade za povećanjem učinkovitosti i kvalitete državne uprave, Državni zavod za radiološku i nuklearnu sigurnost će provesti pripremne radnje potrebne za uvođenje sustava osiguranja kvalitete. To znači uspostavljanje sustava koji će omogućiti da se na sustavan način prepoznaju i stave pod kontrolu svi procesi koji utječu na kvalitetu usluga. Sukladno Zakonu o informacijskoj sigurnosti (NN 79/07) i Uredbi o mjerama informacijske sigurnosti (NN 46/08), te pripadajućim pravilnicima, obvezno je uvođenje i primjena Sustava upravljanja informacijskom sigurnošću (ISMS). U planu je i uvođenje sustava informacijske sigurnosti prema modelu ISO 27001:2005. Certifikacija ISMS kod ovlaštene certifikacijske kuće nije u planu za naredno trogodišnje razdoblje. Državni zavod za radiološku i nuklearnu sigurnost će u razdoblju od 3 godine provesti samoprocjenu (self-assesment) regulatorne infrastrukture za područje radiološke i nuklearne sigurnosti u skladu s metodologijom IAEA, s planiranim početkom u prvoj polovici 2014. godine. Cilj je izgraditi sustav u skladu sa standardima i preporukama IAEA te međunarodnim normama. Rezultat samoprocjene bit će izvješća sa evidentiranim nedostacima u regulatornoj strukturi Državnog zavoda za radiološku i nuklearnu sigurnost u odnosu na potrebe propisane sigurnosnim standardima IAEA i međunarodnim standardima te preporuke i akcijski plan za potrebne aktivnosti. Sukladno Zakonu o informacijskoj sigurnosti i Uredbi o mjerama informacijske sigurnosti, Državni zavod za radiološku i nuklearnu sigurnost će provesti procjenu rizika i utvrditi nedostatke u sustavu informacijske sigurnosti te sukladno nalazima provesti radnje potrebne za uvođenje Sustava informacijske sigurnosti. Cjelokupan postupak te priprema potrebne dokumentacije, uključujući potrebnu tehničko-tehnološku nadogradnji i obučavanje djelatnika planira se provesti do kraja planskog razdoblja. U narednom planskom razdoblju predviđena je izrada stručnih podloga na osnovu međunarodnih preporuka, normi i standarda, a u svrhu donošenja potrebnih pravilnika i uputa za provedbu istih.</w:t>
      </w:r>
    </w:p>
    <w:p w:rsidR="00D35BD1" w:rsidRDefault="00D35BD1">
      <w:pPr>
        <w:pStyle w:val="Normal6"/>
      </w:pPr>
    </w:p>
    <w:p w:rsidR="00D35BD1" w:rsidRDefault="00D35BD1">
      <w:pPr>
        <w:pStyle w:val="Normal6"/>
      </w:pPr>
    </w:p>
    <w:p w:rsidR="00D849AA" w:rsidRDefault="00EE6D95">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Uspostavljeni programi kontrole kvalitete i provođenje kontrole kvalitete u zdravstvenim ustanovama koje provode dijagnostičke i terapijske postupke uporabom izvora ionizirajućeg zračenja</w:t>
            </w:r>
          </w:p>
        </w:tc>
        <w:tc>
          <w:tcPr>
            <w:tcW w:w="1114" w:type="dxa"/>
          </w:tcPr>
          <w:p w:rsidR="00D849AA" w:rsidRDefault="00EE6D95">
            <w:r>
              <w:t>%</w:t>
            </w:r>
          </w:p>
        </w:tc>
        <w:tc>
          <w:tcPr>
            <w:tcW w:w="1114" w:type="dxa"/>
          </w:tcPr>
          <w:p w:rsidR="00D849AA" w:rsidRDefault="00EE6D95">
            <w:r>
              <w:t>0</w:t>
            </w:r>
          </w:p>
        </w:tc>
        <w:tc>
          <w:tcPr>
            <w:tcW w:w="1486" w:type="dxa"/>
          </w:tcPr>
          <w:p w:rsidR="00D849AA" w:rsidRDefault="00EE6D95">
            <w:r>
              <w:t>0</w:t>
            </w:r>
          </w:p>
        </w:tc>
        <w:tc>
          <w:tcPr>
            <w:tcW w:w="1486" w:type="dxa"/>
          </w:tcPr>
          <w:p w:rsidR="00D849AA" w:rsidRDefault="00EE6D95">
            <w:r>
              <w:t>10</w:t>
            </w:r>
          </w:p>
        </w:tc>
        <w:tc>
          <w:tcPr>
            <w:tcW w:w="1486" w:type="dxa"/>
          </w:tcPr>
          <w:p w:rsidR="00D849AA" w:rsidRDefault="00EE6D95">
            <w:r>
              <w:t>20</w:t>
            </w:r>
          </w:p>
        </w:tc>
      </w:tr>
      <w:tr w:rsidR="00D849AA">
        <w:trPr>
          <w:jc w:val="center"/>
        </w:trPr>
        <w:tc>
          <w:tcPr>
            <w:tcW w:w="2229" w:type="dxa"/>
          </w:tcPr>
          <w:p w:rsidR="00D849AA" w:rsidRDefault="00EE6D95">
            <w:pPr>
              <w:pStyle w:val="CellColumn"/>
            </w:pPr>
            <w:r>
              <w:t xml:space="preserve">Izrađene preporučene vrijednosti doza za pojedine dijagnostičke postupke i raspodjela procjenjenih </w:t>
            </w:r>
          </w:p>
          <w:p w:rsidR="00D849AA" w:rsidRDefault="00EE6D95">
            <w:pPr>
              <w:pStyle w:val="CellColumn"/>
            </w:pPr>
            <w:r>
              <w:t>pojedinačnih doza od medicinskog ozračenja</w:t>
            </w:r>
          </w:p>
        </w:tc>
        <w:tc>
          <w:tcPr>
            <w:tcW w:w="1114" w:type="dxa"/>
          </w:tcPr>
          <w:p w:rsidR="00D849AA" w:rsidRDefault="00EE6D95">
            <w:r>
              <w:t>%</w:t>
            </w:r>
          </w:p>
        </w:tc>
        <w:tc>
          <w:tcPr>
            <w:tcW w:w="1114" w:type="dxa"/>
          </w:tcPr>
          <w:p w:rsidR="00D849AA" w:rsidRDefault="00EE6D95">
            <w:r>
              <w:t>5</w:t>
            </w:r>
          </w:p>
        </w:tc>
        <w:tc>
          <w:tcPr>
            <w:tcW w:w="1486" w:type="dxa"/>
          </w:tcPr>
          <w:p w:rsidR="00D849AA" w:rsidRDefault="00EE6D95">
            <w:r>
              <w:t>20</w:t>
            </w:r>
          </w:p>
        </w:tc>
        <w:tc>
          <w:tcPr>
            <w:tcW w:w="1486" w:type="dxa"/>
          </w:tcPr>
          <w:p w:rsidR="00D849AA" w:rsidRDefault="00EE6D95">
            <w:r>
              <w:t>25</w:t>
            </w:r>
          </w:p>
        </w:tc>
        <w:tc>
          <w:tcPr>
            <w:tcW w:w="1486" w:type="dxa"/>
          </w:tcPr>
          <w:p w:rsidR="00D849AA" w:rsidRDefault="00EE6D95">
            <w:r>
              <w:t>40</w:t>
            </w:r>
          </w:p>
        </w:tc>
      </w:tr>
      <w:tr w:rsidR="00D849AA">
        <w:trPr>
          <w:jc w:val="center"/>
        </w:trPr>
        <w:tc>
          <w:tcPr>
            <w:tcW w:w="2229" w:type="dxa"/>
          </w:tcPr>
          <w:p w:rsidR="00D849AA" w:rsidRDefault="00EE6D95">
            <w:pPr>
              <w:pStyle w:val="CellColumn"/>
            </w:pPr>
            <w:r>
              <w:t>Izrađene preporučene efektivne doze za izložene radnike</w:t>
            </w:r>
          </w:p>
        </w:tc>
        <w:tc>
          <w:tcPr>
            <w:tcW w:w="1114" w:type="dxa"/>
          </w:tcPr>
          <w:p w:rsidR="00D849AA" w:rsidRDefault="00EE6D95">
            <w:r>
              <w:t>%</w:t>
            </w:r>
          </w:p>
        </w:tc>
        <w:tc>
          <w:tcPr>
            <w:tcW w:w="1114" w:type="dxa"/>
          </w:tcPr>
          <w:p w:rsidR="00D849AA" w:rsidRDefault="00EE6D95">
            <w:r>
              <w:t>0</w:t>
            </w:r>
          </w:p>
        </w:tc>
        <w:tc>
          <w:tcPr>
            <w:tcW w:w="1486" w:type="dxa"/>
          </w:tcPr>
          <w:p w:rsidR="00D849AA" w:rsidRDefault="00EE6D95">
            <w:r>
              <w:t>10</w:t>
            </w:r>
          </w:p>
        </w:tc>
        <w:tc>
          <w:tcPr>
            <w:tcW w:w="1486" w:type="dxa"/>
          </w:tcPr>
          <w:p w:rsidR="00D849AA" w:rsidRDefault="00EE6D95">
            <w:r>
              <w:t>30</w:t>
            </w:r>
          </w:p>
        </w:tc>
        <w:tc>
          <w:tcPr>
            <w:tcW w:w="1486" w:type="dxa"/>
          </w:tcPr>
          <w:p w:rsidR="00D849AA" w:rsidRDefault="00EE6D95">
            <w:r>
              <w:t>50</w:t>
            </w:r>
          </w:p>
        </w:tc>
      </w:tr>
      <w:tr w:rsidR="00D849AA">
        <w:trPr>
          <w:jc w:val="center"/>
        </w:trPr>
        <w:tc>
          <w:tcPr>
            <w:tcW w:w="2229" w:type="dxa"/>
          </w:tcPr>
          <w:p w:rsidR="00D849AA" w:rsidRDefault="00EE6D95">
            <w:pPr>
              <w:pStyle w:val="CellColumn"/>
            </w:pPr>
            <w:r>
              <w:t>Izrađena programska podrška izdavanju odobrenja i dozvola, kao i načinu vođenja evidencija o njima te njihovog povezivanju</w:t>
            </w:r>
          </w:p>
        </w:tc>
        <w:tc>
          <w:tcPr>
            <w:tcW w:w="1114" w:type="dxa"/>
          </w:tcPr>
          <w:p w:rsidR="00D849AA" w:rsidRDefault="00EE6D95">
            <w:r>
              <w:t>%</w:t>
            </w:r>
          </w:p>
        </w:tc>
        <w:tc>
          <w:tcPr>
            <w:tcW w:w="1114" w:type="dxa"/>
          </w:tcPr>
          <w:p w:rsidR="00D849AA" w:rsidRDefault="00EE6D95">
            <w:r>
              <w:t>20</w:t>
            </w:r>
          </w:p>
        </w:tc>
        <w:tc>
          <w:tcPr>
            <w:tcW w:w="1486" w:type="dxa"/>
          </w:tcPr>
          <w:p w:rsidR="00D849AA" w:rsidRDefault="00EE6D95">
            <w:r>
              <w:t>50</w:t>
            </w:r>
          </w:p>
        </w:tc>
        <w:tc>
          <w:tcPr>
            <w:tcW w:w="1486" w:type="dxa"/>
          </w:tcPr>
          <w:p w:rsidR="00D849AA" w:rsidRDefault="00EE6D95">
            <w:r>
              <w:t>80</w:t>
            </w:r>
          </w:p>
        </w:tc>
        <w:tc>
          <w:tcPr>
            <w:tcW w:w="1486" w:type="dxa"/>
          </w:tcPr>
          <w:p w:rsidR="00D849AA" w:rsidRDefault="00EE6D95">
            <w:r>
              <w:t>100</w:t>
            </w:r>
          </w:p>
        </w:tc>
      </w:tr>
      <w:tr w:rsidR="00D849AA">
        <w:trPr>
          <w:jc w:val="center"/>
        </w:trPr>
        <w:tc>
          <w:tcPr>
            <w:tcW w:w="2229" w:type="dxa"/>
          </w:tcPr>
          <w:p w:rsidR="00D849AA" w:rsidRDefault="00EE6D95">
            <w:pPr>
              <w:pStyle w:val="CellColumn"/>
            </w:pPr>
            <w:r>
              <w:t>Podaci u središnjem registru usklađeni sa stvarnim stanjem</w:t>
            </w:r>
          </w:p>
        </w:tc>
        <w:tc>
          <w:tcPr>
            <w:tcW w:w="1114" w:type="dxa"/>
          </w:tcPr>
          <w:p w:rsidR="00D849AA" w:rsidRDefault="00EE6D95">
            <w:r>
              <w:t>%</w:t>
            </w:r>
          </w:p>
        </w:tc>
        <w:tc>
          <w:tcPr>
            <w:tcW w:w="1114" w:type="dxa"/>
          </w:tcPr>
          <w:p w:rsidR="00D849AA" w:rsidRDefault="00EE6D95">
            <w:r>
              <w:t>60</w:t>
            </w:r>
          </w:p>
        </w:tc>
        <w:tc>
          <w:tcPr>
            <w:tcW w:w="1486" w:type="dxa"/>
          </w:tcPr>
          <w:p w:rsidR="00D849AA" w:rsidRDefault="00EE6D95">
            <w:r>
              <w:t>70</w:t>
            </w:r>
          </w:p>
        </w:tc>
        <w:tc>
          <w:tcPr>
            <w:tcW w:w="1486" w:type="dxa"/>
          </w:tcPr>
          <w:p w:rsidR="00D849AA" w:rsidRDefault="00EE6D95">
            <w:r>
              <w:t>90</w:t>
            </w:r>
          </w:p>
        </w:tc>
        <w:tc>
          <w:tcPr>
            <w:tcW w:w="1486" w:type="dxa"/>
          </w:tcPr>
          <w:p w:rsidR="00D849AA" w:rsidRDefault="00EE6D95">
            <w:r>
              <w:t>100</w:t>
            </w:r>
          </w:p>
        </w:tc>
      </w:tr>
      <w:tr w:rsidR="00D849AA">
        <w:trPr>
          <w:jc w:val="center"/>
        </w:trPr>
        <w:tc>
          <w:tcPr>
            <w:tcW w:w="2229" w:type="dxa"/>
          </w:tcPr>
          <w:p w:rsidR="00D849AA" w:rsidRDefault="00EE6D95">
            <w:pPr>
              <w:pStyle w:val="CellColumn"/>
            </w:pPr>
            <w:r>
              <w:t>Izrađena programska podrška za izradu izvješća o ispitivanju izvora ionizirajućeg zračenja te prostorija i radnog okoliša u kojem se koriste ili čuvaju otvoreni radioaktivni izvori</w:t>
            </w:r>
          </w:p>
        </w:tc>
        <w:tc>
          <w:tcPr>
            <w:tcW w:w="1114" w:type="dxa"/>
          </w:tcPr>
          <w:p w:rsidR="00D849AA" w:rsidRDefault="00EE6D95">
            <w:r>
              <w:t>%</w:t>
            </w:r>
          </w:p>
        </w:tc>
        <w:tc>
          <w:tcPr>
            <w:tcW w:w="1114" w:type="dxa"/>
          </w:tcPr>
          <w:p w:rsidR="00D849AA" w:rsidRDefault="00EE6D95">
            <w:r>
              <w:t>40</w:t>
            </w:r>
          </w:p>
        </w:tc>
        <w:tc>
          <w:tcPr>
            <w:tcW w:w="1486" w:type="dxa"/>
          </w:tcPr>
          <w:p w:rsidR="00D849AA" w:rsidRDefault="00EE6D95">
            <w:r>
              <w:t>80</w:t>
            </w:r>
          </w:p>
        </w:tc>
        <w:tc>
          <w:tcPr>
            <w:tcW w:w="1486" w:type="dxa"/>
          </w:tcPr>
          <w:p w:rsidR="00D849AA" w:rsidRDefault="00EE6D95">
            <w:r>
              <w:t>100</w:t>
            </w:r>
          </w:p>
        </w:tc>
        <w:tc>
          <w:tcPr>
            <w:tcW w:w="1486" w:type="dxa"/>
          </w:tcPr>
          <w:p w:rsidR="00D849AA" w:rsidRDefault="00EE6D95">
            <w:r>
              <w:t>100</w:t>
            </w:r>
          </w:p>
        </w:tc>
      </w:tr>
      <w:tr w:rsidR="00D849AA">
        <w:trPr>
          <w:jc w:val="center"/>
        </w:trPr>
        <w:tc>
          <w:tcPr>
            <w:tcW w:w="2229" w:type="dxa"/>
          </w:tcPr>
          <w:p w:rsidR="00D849AA" w:rsidRDefault="00EE6D95">
            <w:pPr>
              <w:pStyle w:val="CellColumn"/>
            </w:pPr>
            <w:r>
              <w:t>Izrađena programska podrška za unos podataka o zdravstvenoj sposobnosti izloženih radnika</w:t>
            </w:r>
          </w:p>
        </w:tc>
        <w:tc>
          <w:tcPr>
            <w:tcW w:w="1114" w:type="dxa"/>
          </w:tcPr>
          <w:p w:rsidR="00D849AA" w:rsidRDefault="00EE6D95">
            <w:r>
              <w:t>%</w:t>
            </w:r>
          </w:p>
        </w:tc>
        <w:tc>
          <w:tcPr>
            <w:tcW w:w="1114" w:type="dxa"/>
          </w:tcPr>
          <w:p w:rsidR="00D849AA" w:rsidRDefault="00EE6D95">
            <w:r>
              <w:t>10</w:t>
            </w:r>
          </w:p>
        </w:tc>
        <w:tc>
          <w:tcPr>
            <w:tcW w:w="1486" w:type="dxa"/>
          </w:tcPr>
          <w:p w:rsidR="00D849AA" w:rsidRDefault="00EE6D95">
            <w:r>
              <w:t>60</w:t>
            </w:r>
          </w:p>
        </w:tc>
        <w:tc>
          <w:tcPr>
            <w:tcW w:w="1486" w:type="dxa"/>
          </w:tcPr>
          <w:p w:rsidR="00D849AA" w:rsidRDefault="00EE6D95">
            <w:r>
              <w:t>80</w:t>
            </w:r>
          </w:p>
        </w:tc>
        <w:tc>
          <w:tcPr>
            <w:tcW w:w="1486" w:type="dxa"/>
          </w:tcPr>
          <w:p w:rsidR="00D849AA" w:rsidRDefault="00EE6D95">
            <w:r>
              <w:t>100</w:t>
            </w:r>
          </w:p>
        </w:tc>
      </w:tr>
    </w:tbl>
    <w:p w:rsidR="00D849AA" w:rsidRDefault="00EE6D95">
      <w:pPr>
        <w:pStyle w:val="Naslov6"/>
      </w:pPr>
      <w:r>
        <w:lastRenderedPageBreak/>
        <w:t>A849025 IPA 2008 JAČANJE ADMINISTRATIVNIH KAPACITETA DRŽAVNOG ZAVODA ZA RADIOLOŠKU I NUKLEARNU SIGURNOST</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A849025</w:t>
            </w:r>
          </w:p>
        </w:tc>
        <w:tc>
          <w:tcPr>
            <w:tcW w:w="1486" w:type="dxa"/>
          </w:tcPr>
          <w:p w:rsidR="00D849AA" w:rsidRDefault="00EE6D95">
            <w:r>
              <w:t>1.271.760</w:t>
            </w:r>
          </w:p>
        </w:tc>
        <w:tc>
          <w:tcPr>
            <w:tcW w:w="1486" w:type="dxa"/>
          </w:tcPr>
          <w:p w:rsidR="00D849AA" w:rsidRDefault="00EE6D95">
            <w:r>
              <w:t>321.000</w:t>
            </w:r>
          </w:p>
        </w:tc>
        <w:tc>
          <w:tcPr>
            <w:tcW w:w="1486" w:type="dxa"/>
          </w:tcPr>
          <w:p w:rsidR="00D849AA" w:rsidRDefault="00EE6D95">
            <w:r>
              <w:t>00</w:t>
            </w:r>
          </w:p>
        </w:tc>
        <w:tc>
          <w:tcPr>
            <w:tcW w:w="1486" w:type="dxa"/>
          </w:tcPr>
          <w:p w:rsidR="00D849AA" w:rsidRDefault="00EE6D95">
            <w:r>
              <w:t>00</w:t>
            </w:r>
          </w:p>
        </w:tc>
        <w:tc>
          <w:tcPr>
            <w:tcW w:w="1486" w:type="dxa"/>
          </w:tcPr>
          <w:p w:rsidR="00D849AA" w:rsidRDefault="00EE6D95">
            <w:r>
              <w:t>25,2</w:t>
            </w:r>
          </w:p>
        </w:tc>
      </w:tr>
    </w:tbl>
    <w:p w:rsidR="00D849AA" w:rsidRDefault="00D849AA">
      <w:pPr>
        <w:jc w:val="left"/>
      </w:pPr>
    </w:p>
    <w:p w:rsidR="00D849AA" w:rsidRDefault="00EE6D95">
      <w:pPr>
        <w:pStyle w:val="Normal6"/>
      </w:pPr>
      <w:r>
        <w:t>Državni zavod za radiološku i nuklearnu sigurnost provodi aktivnosti u okviru pristupanja Republike Hrvatske Europskoj uniji koje se odnose na zaštitu od ionizirajućeg zračenja i nuklearnu sigurnost. U okviru poglavlja 15. Energetika, mjerilo br. 4 odnosilo se na jačanje administrativnih kapaciteta regulatornog tijela za radiološku i nuklearnu sigurnost, a DZRNS je pripremio dokumente koji su se tražili kao dokaz o zadovoljavanju uvjeta iz tog mjerila. U sklopu ovog projekta planiraju se razviti kapaciteti za inspekciju nuklearnog materijala i stručne poslove vezane uz razgradnju nuklearnih elektrana, zbrinjavanja radioaktivnog otpada i istrošenog nuklearnog goriva.</w:t>
      </w:r>
    </w:p>
    <w:p w:rsidR="00D849AA" w:rsidRDefault="00EE6D95">
      <w:pPr>
        <w:pStyle w:val="Naslov6"/>
      </w:pPr>
      <w:r>
        <w:t>A849028 USPOSTAVLJANJE SREDIŠNJEG SKLADIŠTA RADIOAKTIVNOG OTPADA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A849028</w:t>
            </w:r>
          </w:p>
        </w:tc>
        <w:tc>
          <w:tcPr>
            <w:tcW w:w="1486" w:type="dxa"/>
          </w:tcPr>
          <w:p w:rsidR="00D849AA" w:rsidRDefault="00EE6D95">
            <w:r>
              <w:t>00</w:t>
            </w:r>
          </w:p>
        </w:tc>
        <w:tc>
          <w:tcPr>
            <w:tcW w:w="1486" w:type="dxa"/>
          </w:tcPr>
          <w:p w:rsidR="00D849AA" w:rsidRDefault="00EE6D95">
            <w:r>
              <w:t>50.000</w:t>
            </w:r>
          </w:p>
        </w:tc>
        <w:tc>
          <w:tcPr>
            <w:tcW w:w="1486" w:type="dxa"/>
          </w:tcPr>
          <w:p w:rsidR="00D849AA" w:rsidRDefault="00EE6D95">
            <w:r>
              <w:t>3.500.000</w:t>
            </w:r>
          </w:p>
        </w:tc>
        <w:tc>
          <w:tcPr>
            <w:tcW w:w="1486" w:type="dxa"/>
          </w:tcPr>
          <w:p w:rsidR="00D849AA" w:rsidRDefault="00EE6D95">
            <w:r>
              <w:t>653.278</w:t>
            </w:r>
          </w:p>
        </w:tc>
        <w:tc>
          <w:tcPr>
            <w:tcW w:w="1486" w:type="dxa"/>
          </w:tcPr>
          <w:p w:rsidR="00D849AA" w:rsidRDefault="00EE6D95">
            <w:r>
              <w:t>0,0</w:t>
            </w:r>
          </w:p>
        </w:tc>
      </w:tr>
    </w:tbl>
    <w:p w:rsidR="00D849AA" w:rsidRDefault="00D849AA">
      <w:pPr>
        <w:jc w:val="left"/>
      </w:pPr>
    </w:p>
    <w:p w:rsidR="00D849AA" w:rsidRDefault="00EE6D95">
      <w:pPr>
        <w:pStyle w:val="Normal6"/>
      </w:pPr>
      <w:r>
        <w:t>U Republici Hrvatskoj izvori ionizirajućih zračenja koriste se dugi niz u godina u području medicine, industrije i istraživačkih djelatnosti.  Obzirom da Republika Hrvatska nema uređeno pitanje središnjeg skladištenja radioaktivnog otpada, a što predstavlja sigurnosni rizik za zdravlje ljudi i okoliš, predviđeno je preuzimanje obveze uspostave i pogona takvog objekta od strane Državnog zavoda za radiološku i nuklearnu sigurnost. Postrojenje i siguran pogon ovakvog objekta predstavlja i civilizacijsku tekovinu i osnovu infrastrukture sigurne primjene izvora ionizirajućeg zračenja u medicini, znanosti i industriji. Također, ovo pitanje određeno je i Direktivom Vijeća br. 2011/70/Euratom od 19. srpnja 2011. o uspostavi okvira Zajednice za odgovorno i sigurno zbrinjavanje istrošenog goriva i radioaktivnog otpada (SL L 199, 2.8.2011.). Unutar planskog razdoblja predviđeno je određivanje i uspostavljanje centralnog skladišta za radioaktivni otpad porijeklom iz Republike Hrvatske, kao i stvaranje regulatornog okvira i stručnih kapaciteta za sigurno postupanje sa svim vrstama radioaktivnog otpada.</w:t>
      </w:r>
    </w:p>
    <w:p w:rsidR="00D35BD1" w:rsidRDefault="00D35BD1">
      <w:pPr>
        <w:pStyle w:val="Normal6"/>
      </w:pPr>
    </w:p>
    <w:p w:rsidR="00D35BD1" w:rsidRDefault="00D35BD1">
      <w:pPr>
        <w:pStyle w:val="Normal6"/>
      </w:pPr>
    </w:p>
    <w:p w:rsidR="00D35BD1" w:rsidRDefault="00D35BD1">
      <w:pPr>
        <w:pStyle w:val="Normal6"/>
      </w:pPr>
    </w:p>
    <w:p w:rsidR="00D35BD1" w:rsidRDefault="00D35BD1">
      <w:pPr>
        <w:pStyle w:val="Normal6"/>
      </w:pPr>
    </w:p>
    <w:p w:rsidR="00D35BD1" w:rsidRDefault="00D35BD1">
      <w:pPr>
        <w:pStyle w:val="Normal6"/>
      </w:pPr>
    </w:p>
    <w:p w:rsidR="00D35BD1" w:rsidRDefault="00D35BD1">
      <w:pPr>
        <w:pStyle w:val="Normal6"/>
      </w:pPr>
    </w:p>
    <w:p w:rsidR="00D35BD1" w:rsidRDefault="00D35BD1">
      <w:pPr>
        <w:pStyle w:val="Normal6"/>
      </w:pPr>
    </w:p>
    <w:p w:rsidR="00D35BD1" w:rsidRDefault="00D35BD1">
      <w:pPr>
        <w:pStyle w:val="Normal6"/>
      </w:pPr>
    </w:p>
    <w:p w:rsidR="00D35BD1" w:rsidRDefault="00D35BD1">
      <w:pPr>
        <w:pStyle w:val="Normal6"/>
      </w:pPr>
    </w:p>
    <w:p w:rsidR="00D35BD1" w:rsidRDefault="00D35BD1">
      <w:pPr>
        <w:pStyle w:val="Normal6"/>
      </w:pPr>
    </w:p>
    <w:p w:rsidR="00D849AA" w:rsidRDefault="00EE6D95">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Uspostava i siguran pogon središnjeg skladišta radioaktivnog otpada</w:t>
            </w:r>
          </w:p>
        </w:tc>
        <w:tc>
          <w:tcPr>
            <w:tcW w:w="1114" w:type="dxa"/>
          </w:tcPr>
          <w:p w:rsidR="00D849AA" w:rsidRDefault="00EE6D95">
            <w:r>
              <w:t>%</w:t>
            </w:r>
          </w:p>
        </w:tc>
        <w:tc>
          <w:tcPr>
            <w:tcW w:w="1114" w:type="dxa"/>
          </w:tcPr>
          <w:p w:rsidR="00D849AA" w:rsidRDefault="00EE6D95">
            <w:r>
              <w:t>0</w:t>
            </w:r>
          </w:p>
        </w:tc>
        <w:tc>
          <w:tcPr>
            <w:tcW w:w="1486" w:type="dxa"/>
          </w:tcPr>
          <w:p w:rsidR="00D849AA" w:rsidRDefault="00EE6D95">
            <w:r>
              <w:t>50</w:t>
            </w:r>
          </w:p>
        </w:tc>
        <w:tc>
          <w:tcPr>
            <w:tcW w:w="1486" w:type="dxa"/>
          </w:tcPr>
          <w:p w:rsidR="00D849AA" w:rsidRDefault="00EE6D95">
            <w:r>
              <w:t>100</w:t>
            </w:r>
          </w:p>
        </w:tc>
        <w:tc>
          <w:tcPr>
            <w:tcW w:w="1486" w:type="dxa"/>
          </w:tcPr>
          <w:p w:rsidR="00D849AA" w:rsidRDefault="00EE6D95">
            <w:r>
              <w:t>100</w:t>
            </w:r>
          </w:p>
        </w:tc>
      </w:tr>
      <w:tr w:rsidR="00D849AA">
        <w:trPr>
          <w:jc w:val="center"/>
        </w:trPr>
        <w:tc>
          <w:tcPr>
            <w:tcW w:w="2229" w:type="dxa"/>
          </w:tcPr>
          <w:p w:rsidR="00D849AA" w:rsidRDefault="00EE6D95">
            <w:pPr>
              <w:pStyle w:val="CellColumn"/>
            </w:pPr>
            <w:r>
              <w:t>Obučavanje minimalno 2 zaposlenika za poslove iz područja zbrinjavanja radioaktivnog otpada</w:t>
            </w:r>
          </w:p>
        </w:tc>
        <w:tc>
          <w:tcPr>
            <w:tcW w:w="1114" w:type="dxa"/>
          </w:tcPr>
          <w:p w:rsidR="00D849AA" w:rsidRDefault="00EE6D95">
            <w:r>
              <w:t>broj</w:t>
            </w:r>
          </w:p>
        </w:tc>
        <w:tc>
          <w:tcPr>
            <w:tcW w:w="1114" w:type="dxa"/>
          </w:tcPr>
          <w:p w:rsidR="00D849AA" w:rsidRDefault="00EE6D95">
            <w:r>
              <w:t>0</w:t>
            </w:r>
          </w:p>
        </w:tc>
        <w:tc>
          <w:tcPr>
            <w:tcW w:w="1486" w:type="dxa"/>
          </w:tcPr>
          <w:p w:rsidR="00D849AA" w:rsidRDefault="00EE6D95">
            <w:r>
              <w:t>1</w:t>
            </w:r>
          </w:p>
        </w:tc>
        <w:tc>
          <w:tcPr>
            <w:tcW w:w="1486" w:type="dxa"/>
          </w:tcPr>
          <w:p w:rsidR="00D849AA" w:rsidRDefault="00EE6D95">
            <w:r>
              <w:t>2</w:t>
            </w:r>
          </w:p>
        </w:tc>
        <w:tc>
          <w:tcPr>
            <w:tcW w:w="1486" w:type="dxa"/>
          </w:tcPr>
          <w:p w:rsidR="00D849AA" w:rsidRDefault="00EE6D95">
            <w:r>
              <w:t>2</w:t>
            </w:r>
          </w:p>
        </w:tc>
      </w:tr>
    </w:tbl>
    <w:p w:rsidR="00D849AA" w:rsidRDefault="00D849AA">
      <w:pPr>
        <w:jc w:val="left"/>
      </w:pPr>
    </w:p>
    <w:p w:rsidR="00D849AA" w:rsidRDefault="00EE6D95">
      <w:pPr>
        <w:pStyle w:val="Naslov6"/>
      </w:pPr>
      <w:r>
        <w:t>K849008 ZAŠTITA OD ZRAČENJA PRILIKOM MEDICINSKOG OZRAČIVANJA IPA 2008</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K849008</w:t>
            </w:r>
          </w:p>
        </w:tc>
        <w:tc>
          <w:tcPr>
            <w:tcW w:w="1486" w:type="dxa"/>
          </w:tcPr>
          <w:p w:rsidR="00D849AA" w:rsidRDefault="00EE6D95">
            <w:r>
              <w:t>2.437.791</w:t>
            </w:r>
          </w:p>
        </w:tc>
        <w:tc>
          <w:tcPr>
            <w:tcW w:w="1486" w:type="dxa"/>
          </w:tcPr>
          <w:p w:rsidR="00D849AA" w:rsidRDefault="00EE6D95">
            <w:r>
              <w:t>1.442.000</w:t>
            </w:r>
          </w:p>
        </w:tc>
        <w:tc>
          <w:tcPr>
            <w:tcW w:w="1486" w:type="dxa"/>
          </w:tcPr>
          <w:p w:rsidR="00D849AA" w:rsidRDefault="00EE6D95">
            <w:r>
              <w:t>00</w:t>
            </w:r>
          </w:p>
        </w:tc>
        <w:tc>
          <w:tcPr>
            <w:tcW w:w="1486" w:type="dxa"/>
          </w:tcPr>
          <w:p w:rsidR="00D849AA" w:rsidRDefault="00EE6D95">
            <w:r>
              <w:t>00</w:t>
            </w:r>
          </w:p>
        </w:tc>
        <w:tc>
          <w:tcPr>
            <w:tcW w:w="1486" w:type="dxa"/>
          </w:tcPr>
          <w:p w:rsidR="00D849AA" w:rsidRDefault="00EE6D95">
            <w:r>
              <w:t>59,2</w:t>
            </w:r>
          </w:p>
        </w:tc>
      </w:tr>
    </w:tbl>
    <w:p w:rsidR="00D849AA" w:rsidRDefault="00D849AA">
      <w:pPr>
        <w:jc w:val="left"/>
      </w:pPr>
    </w:p>
    <w:p w:rsidR="00D849AA" w:rsidRDefault="00EE6D95">
      <w:pPr>
        <w:pStyle w:val="Normal6"/>
      </w:pPr>
      <w:r>
        <w:t xml:space="preserve">Vezano uz kontrolu kvalitete u radiološkoj dijagnostici, u tijeku je IPA 2008 projekt “Health Protection in Relation to Medical Exposure”. Cilj projekta je postići usklađenost s općim principima i osnovnim mjerama zaštite ljudi od opasnosti ionizirajućeg zračenja kod dijagnostičkih postupaka u medicini u procesu implementacije relevantnog zakonodavstva EU, a ostvarit će se kroz izgradnju </w:t>
      </w:r>
    </w:p>
    <w:p w:rsidR="00D849AA" w:rsidRDefault="00EE6D95">
      <w:pPr>
        <w:pStyle w:val="Normal6"/>
      </w:pPr>
      <w:r>
        <w:t xml:space="preserve">kapaciteta relevantnih tijela državne uprave, javnih zdravstvenih ustanova i ovlaštenih stručnih tehničkih servisa za procjenu doze od medicinskog ozračenja i ispravnu primjenu principa opravdanosti i optimalizacije. Projekt je ugovoren u rujnu 2012. godine, a trebao bi završiti u svibnju 2014. godine. Osnovni rezultati uključuju izradu, promociju i implementaciju programa osiguranja kvalitete, nabavku opreme potrebne za provođenje kontrole kvalitete za javne zdravstvene ustanove, </w:t>
      </w:r>
    </w:p>
    <w:p w:rsidR="00D849AA" w:rsidRDefault="00EE6D95">
      <w:pPr>
        <w:pStyle w:val="Normal6"/>
      </w:pPr>
      <w:r>
        <w:t>informiranje i jačanje svijesti javnosti, procjenu doza pacijenata te poredbena ispitivanja među ovlaštenim stručnim tehničkim servisima koji provode mjerenje osobnog ozračenja.</w:t>
      </w:r>
    </w:p>
    <w:p w:rsidR="00D849AA" w:rsidRDefault="00EE6D95">
      <w:pPr>
        <w:pStyle w:val="Naslov6"/>
      </w:pPr>
      <w:r>
        <w:t>K849023 INFORMATIZACIJA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K849023</w:t>
            </w:r>
          </w:p>
        </w:tc>
        <w:tc>
          <w:tcPr>
            <w:tcW w:w="1486" w:type="dxa"/>
          </w:tcPr>
          <w:p w:rsidR="00D849AA" w:rsidRDefault="00EE6D95">
            <w:r>
              <w:t>532.174</w:t>
            </w:r>
          </w:p>
        </w:tc>
        <w:tc>
          <w:tcPr>
            <w:tcW w:w="1486" w:type="dxa"/>
          </w:tcPr>
          <w:p w:rsidR="00D849AA" w:rsidRDefault="00EE6D95">
            <w:r>
              <w:t>477.378</w:t>
            </w:r>
          </w:p>
        </w:tc>
        <w:tc>
          <w:tcPr>
            <w:tcW w:w="1486" w:type="dxa"/>
          </w:tcPr>
          <w:p w:rsidR="00D849AA" w:rsidRDefault="00EE6D95">
            <w:r>
              <w:t>669.378</w:t>
            </w:r>
          </w:p>
        </w:tc>
        <w:tc>
          <w:tcPr>
            <w:tcW w:w="1486" w:type="dxa"/>
          </w:tcPr>
          <w:p w:rsidR="00D849AA" w:rsidRDefault="00EE6D95">
            <w:r>
              <w:t>679.378</w:t>
            </w:r>
          </w:p>
        </w:tc>
        <w:tc>
          <w:tcPr>
            <w:tcW w:w="1486" w:type="dxa"/>
          </w:tcPr>
          <w:p w:rsidR="00D849AA" w:rsidRDefault="00EE6D95">
            <w:r>
              <w:t>89,7</w:t>
            </w:r>
          </w:p>
        </w:tc>
      </w:tr>
    </w:tbl>
    <w:p w:rsidR="00D849AA" w:rsidRDefault="00D849AA">
      <w:pPr>
        <w:jc w:val="left"/>
      </w:pPr>
    </w:p>
    <w:p w:rsidR="00D849AA" w:rsidRDefault="00EE6D95">
      <w:pPr>
        <w:pStyle w:val="Normal6"/>
      </w:pPr>
      <w:r>
        <w:t xml:space="preserve">Tijekom 2014.  dovršit će se obnova i konsolidacija poslovnog informacijskog sustava te migracija baza podataka i formi  na nove verzije.  Unaprijedit će se programska podrška u sustavu ispitivanja izvora ionizirajućeg zračenja i u sustavu provjere zdravstvene sposobnosti izloženih radnika. Provest će se detaljna analiza svih komponenti IS vezano </w:t>
      </w:r>
      <w:r>
        <w:lastRenderedPageBreak/>
        <w:t>uz informacijsku sigurnost te provesti potrebne korektivne mjere. Potrebno je također osigurati sredstva za održavanje licenci za baze podataka i specifične aplikativne programe te nabavku osobnih računala s potrebnim licencama. Obzirom na tehničku složenost potpornih sustava i sustava za praćenje radioaktivnosti u okolišu te veći broj različitih ekspertnih programa čiju funkcionalnost treba osigurati i redovno provjeravati, nužno je osigurati i sredstva za odgovarajuću stručnu podršku.</w:t>
      </w:r>
    </w:p>
    <w:p w:rsidR="00D849AA" w:rsidRDefault="00EE6D95">
      <w:pPr>
        <w:pStyle w:val="Naslov6"/>
      </w:pPr>
      <w:r>
        <w:t>K849026 IPA 2011 UNAPREĐENJE SUSTAVA PRIPRAVNOSTI U RH</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K849026</w:t>
            </w:r>
          </w:p>
        </w:tc>
        <w:tc>
          <w:tcPr>
            <w:tcW w:w="1486" w:type="dxa"/>
          </w:tcPr>
          <w:p w:rsidR="00D849AA" w:rsidRDefault="00EE6D95">
            <w:r>
              <w:t>862.982</w:t>
            </w:r>
          </w:p>
        </w:tc>
        <w:tc>
          <w:tcPr>
            <w:tcW w:w="1486" w:type="dxa"/>
          </w:tcPr>
          <w:p w:rsidR="00D849AA" w:rsidRDefault="00EE6D95">
            <w:r>
              <w:t>2.809.000</w:t>
            </w:r>
          </w:p>
        </w:tc>
        <w:tc>
          <w:tcPr>
            <w:tcW w:w="1486" w:type="dxa"/>
          </w:tcPr>
          <w:p w:rsidR="00D849AA" w:rsidRDefault="00EE6D95">
            <w:r>
              <w:t>00</w:t>
            </w:r>
          </w:p>
        </w:tc>
        <w:tc>
          <w:tcPr>
            <w:tcW w:w="1486" w:type="dxa"/>
          </w:tcPr>
          <w:p w:rsidR="00D849AA" w:rsidRDefault="00EE6D95">
            <w:r>
              <w:t>00</w:t>
            </w:r>
          </w:p>
        </w:tc>
        <w:tc>
          <w:tcPr>
            <w:tcW w:w="1486" w:type="dxa"/>
          </w:tcPr>
          <w:p w:rsidR="00D849AA" w:rsidRDefault="00EE6D95">
            <w:r>
              <w:t>325,5</w:t>
            </w:r>
          </w:p>
        </w:tc>
      </w:tr>
    </w:tbl>
    <w:p w:rsidR="00D849AA" w:rsidRDefault="00D849AA">
      <w:pPr>
        <w:jc w:val="left"/>
      </w:pPr>
    </w:p>
    <w:p w:rsidR="00D849AA" w:rsidRDefault="00EE6D95">
      <w:pPr>
        <w:pStyle w:val="Normal6"/>
      </w:pPr>
      <w:r>
        <w:t>Sukladno financijskom sporazumu kojeg je Republika Hrvatska potpisala 5. lipnja 2012. godine, DZRNS je u obvezi provoditi projekt Upgrading of emergency preparedness system in the Republic of Croatia. Kroz projekt će se revidirati postojeći dokumenti te izraditi oni koji budu nedostajali, nabaviti određena količina zaštitne opreme i opreme za dekontaminaciju, provesti vježba ograničenog opsega te pripremiti nacionalna vježba po scenariju nuklearne nesreće u Nuklearnoj elektrani Krško.</w:t>
      </w:r>
    </w:p>
    <w:p w:rsidR="00D849AA" w:rsidRDefault="00EE6D95">
      <w:pPr>
        <w:pStyle w:val="Naslov6"/>
      </w:pPr>
      <w:r>
        <w:t>K849027 IPA 2011 UNAPREĐENJE SUSTAVA PRAĆENJA RADIOAKTIVNOSTI U OKOLIŠU</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K849027</w:t>
            </w:r>
          </w:p>
        </w:tc>
        <w:tc>
          <w:tcPr>
            <w:tcW w:w="1486" w:type="dxa"/>
          </w:tcPr>
          <w:p w:rsidR="00D849AA" w:rsidRDefault="00EE6D95">
            <w:r>
              <w:t>1.421.738</w:t>
            </w:r>
          </w:p>
        </w:tc>
        <w:tc>
          <w:tcPr>
            <w:tcW w:w="1486" w:type="dxa"/>
          </w:tcPr>
          <w:p w:rsidR="00D849AA" w:rsidRDefault="00EE6D95">
            <w:r>
              <w:t>3.085.500</w:t>
            </w:r>
          </w:p>
        </w:tc>
        <w:tc>
          <w:tcPr>
            <w:tcW w:w="1486" w:type="dxa"/>
          </w:tcPr>
          <w:p w:rsidR="00D849AA" w:rsidRDefault="00EE6D95">
            <w:r>
              <w:t>214.000</w:t>
            </w:r>
          </w:p>
        </w:tc>
        <w:tc>
          <w:tcPr>
            <w:tcW w:w="1486" w:type="dxa"/>
          </w:tcPr>
          <w:p w:rsidR="00D849AA" w:rsidRDefault="00EE6D95">
            <w:r>
              <w:t>00</w:t>
            </w:r>
          </w:p>
        </w:tc>
        <w:tc>
          <w:tcPr>
            <w:tcW w:w="1486" w:type="dxa"/>
          </w:tcPr>
          <w:p w:rsidR="00D849AA" w:rsidRDefault="00EE6D95">
            <w:r>
              <w:t>217,0</w:t>
            </w:r>
          </w:p>
        </w:tc>
      </w:tr>
    </w:tbl>
    <w:p w:rsidR="00D849AA" w:rsidRDefault="00D849AA">
      <w:pPr>
        <w:jc w:val="left"/>
      </w:pPr>
    </w:p>
    <w:p w:rsidR="00D849AA" w:rsidRDefault="00EE6D95">
      <w:pPr>
        <w:pStyle w:val="Normal6"/>
      </w:pPr>
      <w:r>
        <w:t>Sukladno financijskom sporazumu kojeg je Republika Hrvatska potpisala 5. lipnja 2012. godine, DZRNS je u obvezi provoditi projekt Upgrading the systems for the onand off-line monitoring of radioactivity in the environment in Croatia in regular and emergency situations. Njime će se postojeći sustav on-line monitoringa okoliša upotpuniti kao i nabavkom dodatne laboratorijske opreme za off-line monitoring te jednog pokretnog sustava za mejrenje ionizirajućeg zračenja (u vozilu).</w:t>
      </w:r>
    </w:p>
    <w:p w:rsidR="00D849AA" w:rsidRDefault="00EE6D95">
      <w:pPr>
        <w:pStyle w:val="Naslov1"/>
      </w:pPr>
      <w:r>
        <w:lastRenderedPageBreak/>
        <w:t>257 AGENCIJA ZA REGULACIJU TRŽIŠTA ŽELJEZNIČKIH USLUGA</w:t>
      </w:r>
    </w:p>
    <w:p w:rsidR="00D849AA" w:rsidRDefault="00EE6D95">
      <w:pPr>
        <w:pStyle w:val="Naslov4"/>
      </w:pPr>
      <w:r>
        <w:t>Uvod</w:t>
      </w:r>
    </w:p>
    <w:p w:rsidR="00D849AA" w:rsidRDefault="00EE6D95">
      <w:pPr>
        <w:pStyle w:val="Normal3"/>
      </w:pPr>
      <w:r>
        <w:t>Agencija za regulaciju tržišta željezničkih usluga (dalje: Agencija ili ARTZU) osnovana je Zakonom o Agenciji za regulaciju tržišta željezničkih usluga (NN br. 79/07, 75/09 i 61/11, dalje: Zakon o Agenciji) kao samostalna i neovisna javna ustanova, radi osiguravanja preglednog i nepristranog obavljanja djelatnosti željezničkog prijevoza i osiguravanja otvorenog i nediskriminirajućeg ponašanja između upravitelja infrastrukture i željezničkih prijevoznika.  Djelatnost Agencije čine poslovi rješavanja o žalbama željezničkih prijevoznika na odluke upravitelja infrastrukture, nadzor nad pregovorima upravitelja infrastrukture i željezničkog prijevoznika, nadzor kvalitete pružanja željezničkih usluga željezničkog prijevoznika, davanje prethodne suglasnosti na imenovanje i razrješenje članova upravljačkog tijela upravitelja infrastrukture, analizu i praćenje stanja konkurentnosti na tržištu željezničkih usluga te poslovi kojim se uređuju prava i obveze putnika u željezničkom prijevozu,  na način kako je definirano Uredbom (EZ) br. 1371/2007 Europskog parlamenta i vijeća o pravima i obvezama putnika u željezničkom prometu i Zakona o željeznici (NN 94/13). Djelatnost Agencije od posebnog je interesa za Republiku Hrvatsku, a poslove iz svoje djelatnosti Agencija obavlja kao javnu ovlast. Agencija je za svoj rad odgovorna Hrvatskom saboru.</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25705 Agencija za regulaciju tržišta željezničkih usluga</w:t>
            </w:r>
          </w:p>
        </w:tc>
        <w:tc>
          <w:tcPr>
            <w:tcW w:w="1486" w:type="dxa"/>
          </w:tcPr>
          <w:p w:rsidR="00D849AA" w:rsidRDefault="00EE6D95">
            <w:r>
              <w:t>2.525.169</w:t>
            </w:r>
          </w:p>
        </w:tc>
        <w:tc>
          <w:tcPr>
            <w:tcW w:w="1486" w:type="dxa"/>
          </w:tcPr>
          <w:p w:rsidR="00D849AA" w:rsidRDefault="00EE6D95">
            <w:r>
              <w:t>3.003.437</w:t>
            </w:r>
          </w:p>
        </w:tc>
        <w:tc>
          <w:tcPr>
            <w:tcW w:w="1486" w:type="dxa"/>
          </w:tcPr>
          <w:p w:rsidR="00D849AA" w:rsidRDefault="00EE6D95">
            <w:r>
              <w:t>3.576.181</w:t>
            </w:r>
          </w:p>
        </w:tc>
        <w:tc>
          <w:tcPr>
            <w:tcW w:w="1486" w:type="dxa"/>
          </w:tcPr>
          <w:p w:rsidR="00D849AA" w:rsidRDefault="00EE6D95">
            <w:r>
              <w:t>3.591.616</w:t>
            </w:r>
          </w:p>
        </w:tc>
        <w:tc>
          <w:tcPr>
            <w:tcW w:w="1486" w:type="dxa"/>
          </w:tcPr>
          <w:p w:rsidR="00D849AA" w:rsidRDefault="00EE6D95">
            <w:r>
              <w:t>118,9</w:t>
            </w:r>
          </w:p>
        </w:tc>
      </w:tr>
      <w:tr w:rsidR="00D849AA">
        <w:trPr>
          <w:jc w:val="center"/>
        </w:trPr>
        <w:tc>
          <w:tcPr>
            <w:tcW w:w="1486" w:type="dxa"/>
            <w:shd w:val="clear" w:color="auto" w:fill="B5C0D8"/>
          </w:tcPr>
          <w:p w:rsidR="00D849AA" w:rsidRDefault="00EE6D95">
            <w:pPr>
              <w:pStyle w:val="CellColumn"/>
            </w:pPr>
            <w:r>
              <w:t>Ukupno 257</w:t>
            </w:r>
          </w:p>
        </w:tc>
        <w:tc>
          <w:tcPr>
            <w:tcW w:w="1486" w:type="dxa"/>
            <w:shd w:val="clear" w:color="auto" w:fill="B5C0D8"/>
          </w:tcPr>
          <w:p w:rsidR="00D849AA" w:rsidRDefault="00EE6D95">
            <w:r>
              <w:t>2.525.169</w:t>
            </w:r>
          </w:p>
        </w:tc>
        <w:tc>
          <w:tcPr>
            <w:tcW w:w="1486" w:type="dxa"/>
            <w:shd w:val="clear" w:color="auto" w:fill="B5C0D8"/>
          </w:tcPr>
          <w:p w:rsidR="00D849AA" w:rsidRDefault="00EE6D95">
            <w:r>
              <w:t>3.003.437</w:t>
            </w:r>
          </w:p>
        </w:tc>
        <w:tc>
          <w:tcPr>
            <w:tcW w:w="1486" w:type="dxa"/>
            <w:shd w:val="clear" w:color="auto" w:fill="B5C0D8"/>
          </w:tcPr>
          <w:p w:rsidR="00D849AA" w:rsidRDefault="00EE6D95">
            <w:r>
              <w:t>3.576.181</w:t>
            </w:r>
          </w:p>
        </w:tc>
        <w:tc>
          <w:tcPr>
            <w:tcW w:w="1486" w:type="dxa"/>
            <w:shd w:val="clear" w:color="auto" w:fill="B5C0D8"/>
          </w:tcPr>
          <w:p w:rsidR="00D849AA" w:rsidRDefault="00EE6D95">
            <w:r>
              <w:t>3.591.616</w:t>
            </w:r>
          </w:p>
        </w:tc>
        <w:tc>
          <w:tcPr>
            <w:tcW w:w="1486" w:type="dxa"/>
            <w:shd w:val="clear" w:color="auto" w:fill="B5C0D8"/>
          </w:tcPr>
          <w:p w:rsidR="00D849AA" w:rsidRDefault="00EE6D95">
            <w:r>
              <w:t>118,9</w:t>
            </w:r>
          </w:p>
        </w:tc>
      </w:tr>
    </w:tbl>
    <w:p w:rsidR="00D849AA" w:rsidRDefault="00D849AA">
      <w:pPr>
        <w:jc w:val="left"/>
      </w:pPr>
    </w:p>
    <w:p w:rsidR="00D849AA" w:rsidRDefault="00EE6D95">
      <w:pPr>
        <w:pStyle w:val="Naslov4"/>
      </w:pPr>
      <w:r>
        <w:t>OBRAZLOŽENJE PROGRAMA</w:t>
      </w:r>
    </w:p>
    <w:p w:rsidR="00D849AA" w:rsidRDefault="00EE6D95">
      <w:pPr>
        <w:pStyle w:val="Naslov5"/>
      </w:pPr>
      <w:r>
        <w:t>3108 REGULACIJA TRŽIŠTA ŽELJEZNIČKIH USLUGA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3108</w:t>
            </w:r>
          </w:p>
        </w:tc>
        <w:tc>
          <w:tcPr>
            <w:tcW w:w="1486" w:type="dxa"/>
          </w:tcPr>
          <w:p w:rsidR="00D849AA" w:rsidRDefault="00EE6D95">
            <w:r>
              <w:t>2.525.169</w:t>
            </w:r>
          </w:p>
        </w:tc>
        <w:tc>
          <w:tcPr>
            <w:tcW w:w="1486" w:type="dxa"/>
          </w:tcPr>
          <w:p w:rsidR="00D849AA" w:rsidRDefault="00EE6D95">
            <w:r>
              <w:t>3.003.437</w:t>
            </w:r>
          </w:p>
        </w:tc>
        <w:tc>
          <w:tcPr>
            <w:tcW w:w="1486" w:type="dxa"/>
          </w:tcPr>
          <w:p w:rsidR="00D849AA" w:rsidRDefault="00EE6D95">
            <w:r>
              <w:t>3.576.181</w:t>
            </w:r>
          </w:p>
        </w:tc>
        <w:tc>
          <w:tcPr>
            <w:tcW w:w="1486" w:type="dxa"/>
          </w:tcPr>
          <w:p w:rsidR="00D849AA" w:rsidRDefault="00EE6D95">
            <w:r>
              <w:t>3.591.616</w:t>
            </w:r>
          </w:p>
        </w:tc>
        <w:tc>
          <w:tcPr>
            <w:tcW w:w="1486" w:type="dxa"/>
          </w:tcPr>
          <w:p w:rsidR="00D849AA" w:rsidRDefault="00EE6D95">
            <w:r>
              <w:t>118,9</w:t>
            </w:r>
          </w:p>
        </w:tc>
      </w:tr>
    </w:tbl>
    <w:p w:rsidR="00D849AA" w:rsidRDefault="00D849AA">
      <w:pPr>
        <w:jc w:val="left"/>
      </w:pPr>
    </w:p>
    <w:p w:rsidR="00D849AA" w:rsidRDefault="00EE6D95">
      <w:pPr>
        <w:pStyle w:val="Naslov6"/>
      </w:pPr>
      <w:r>
        <w:t>Opis programa</w:t>
      </w:r>
    </w:p>
    <w:p w:rsidR="00D849AA" w:rsidRDefault="00EE6D95">
      <w:pPr>
        <w:pStyle w:val="Normal5"/>
      </w:pPr>
      <w:r>
        <w:t xml:space="preserve">Program obuhvaća poslove rješavanja žalbi željezničkih prijevoznika na odluke upravitelja infrastrukture, nadzor nad pregovorima upravitelja infrastrukture i željezničkog prijevoznika, nadzor kvalitete pružanja željezničkih usluga željezničkog prijevoznika, davanje prethodne suglasnosti na imenovanje i razrješenje članova upravljačkog tijela upravitelja infrastrukture, analizu i praćenje stanja konkurentnosti na tržištu željezničkih usluga te poslovi vezano uz </w:t>
      </w:r>
      <w:r>
        <w:lastRenderedPageBreak/>
        <w:t>provedbu Uredbe br. 1371/2007, a u vezi s člankom 62. Zakona o željeznici, te pružanje pravne zaštite putnicima.</w:t>
      </w:r>
    </w:p>
    <w:p w:rsidR="00D849AA" w:rsidRDefault="00EE6D95">
      <w:pPr>
        <w:pStyle w:val="Naslov6"/>
      </w:pPr>
      <w:r>
        <w:t>Zakonske i druge pravne osnove</w:t>
      </w:r>
    </w:p>
    <w:p w:rsidR="00D849AA" w:rsidRDefault="00EE6D95">
      <w:pPr>
        <w:pStyle w:val="Normal5"/>
      </w:pPr>
      <w:r>
        <w:t xml:space="preserve">- Zakon o željeznici (NN br. 123/03, 30/04, 79/07, 75/09 i 94/13), </w:t>
      </w:r>
    </w:p>
    <w:p w:rsidR="00D849AA" w:rsidRDefault="00EE6D95">
      <w:pPr>
        <w:pStyle w:val="Normal5"/>
      </w:pPr>
      <w:r>
        <w:t xml:space="preserve">- Zakon o Agenciji za regulaciju tržišta željezničkih usluga (NN br. 79/07, 75/09 i 61/11), </w:t>
      </w:r>
    </w:p>
    <w:p w:rsidR="00D849AA" w:rsidRDefault="00EE6D95">
      <w:pPr>
        <w:pStyle w:val="Normal5"/>
      </w:pPr>
      <w:r>
        <w:t>- Uredba (EZ) br. 1371/2007 Europskog parlamenta i vijeća o pravima i obvezama putnika u željezničkom prometu.</w:t>
      </w:r>
    </w:p>
    <w:p w:rsidR="00D849AA" w:rsidRDefault="00EE6D95">
      <w:pPr>
        <w:pStyle w:val="Naslov6"/>
      </w:pPr>
      <w:r>
        <w:t>Ciljevi provedbe programa u razdoblju 2014.-2016. i pokazatelji uspješnosti kojima će se mjeriti ostvarenje tih ciljeva</w:t>
      </w:r>
    </w:p>
    <w:p w:rsidR="00D849AA" w:rsidRDefault="00EE6D95">
      <w:pPr>
        <w:pStyle w:val="Naslov7"/>
      </w:pPr>
      <w:r>
        <w:t>Cilj 1. Osiguravanje preglednog i nepristranog obavljanja djelatnosti željezničkog prijevoza i otvorenog i nediskriminirajućeg odnosa između subjekata željezničkog tržišta</w:t>
      </w:r>
    </w:p>
    <w:p w:rsidR="00D849AA" w:rsidRDefault="00EE6D95">
      <w:pPr>
        <w:pStyle w:val="Normal6"/>
      </w:pPr>
      <w:r>
        <w:t xml:space="preserve">Ostvarenje općeg cilja osigurava se kroz ispunjavanje svakog posebnog cilja, kroz načine ostvarenja i pokazatelje uspješnosti. </w:t>
      </w:r>
    </w:p>
    <w:p w:rsidR="00D849AA" w:rsidRDefault="00EE6D95">
      <w:pPr>
        <w:pStyle w:val="Normal6"/>
      </w:pPr>
      <w:r>
        <w:t xml:space="preserve">Opći cilj će se ostvariti ispunjavanjem posebnih ciljeva, a koji su:  </w:t>
      </w:r>
    </w:p>
    <w:p w:rsidR="00D849AA" w:rsidRDefault="00EE6D95">
      <w:pPr>
        <w:pStyle w:val="Normal6"/>
      </w:pPr>
      <w:r>
        <w:t xml:space="preserve">1.nadzor tržišta željezničkih usluga </w:t>
      </w:r>
    </w:p>
    <w:p w:rsidR="00D849AA" w:rsidRDefault="00EE6D95">
      <w:pPr>
        <w:pStyle w:val="Normal6"/>
      </w:pPr>
      <w:r>
        <w:t xml:space="preserve">2.rješavanje sporova </w:t>
      </w:r>
    </w:p>
    <w:p w:rsidR="00D849AA" w:rsidRDefault="00EE6D95">
      <w:pPr>
        <w:pStyle w:val="Normal6"/>
      </w:pPr>
      <w:r>
        <w:t xml:space="preserve">3.jačanje organizacijskih i administrativnih kapaciteta </w:t>
      </w:r>
    </w:p>
    <w:p w:rsidR="00D849AA" w:rsidRDefault="00EE6D95">
      <w:pPr>
        <w:pStyle w:val="Normal6"/>
      </w:pPr>
      <w:r>
        <w:t xml:space="preserve">4.suradnja kao oblik usklađivanja postupanja iz temeljne nadležnosti </w:t>
      </w:r>
    </w:p>
    <w:p w:rsidR="00D849AA" w:rsidRDefault="00EE6D95">
      <w:pPr>
        <w:pStyle w:val="Normal6"/>
      </w:pPr>
      <w:r>
        <w:t xml:space="preserve">ARTZU će nastaviti aktivno surađivati i razmjenjivati iskustva na području regulacije tržišta željezničkih usluga te nastojati primjenjivati najbolja rješenja primjerena razvoju željezničkih usluga na hrvatskom tržištu. Isto tako nastavit će se intenzivna suradnja sa sudionicima tržišta željezničkih usluga rješavanjem njihovih zahtjeva, održavanjem javnih rasprava o odlukama bitnim za razvoj tržišta, zajedničkih sastanaka, radnih grupa i seminara a što će dovesti do ostvarenja posebnog cilja suradnje kao oblika usklađivanja postupanja iz temeljne nadležnosti. </w:t>
      </w:r>
    </w:p>
    <w:p w:rsidR="00D849AA" w:rsidRDefault="00EE6D95">
      <w:pPr>
        <w:pStyle w:val="Normal6"/>
      </w:pPr>
      <w:r>
        <w:t>Aktivno sudjelovanje u radu Europske mreže regulatornih tijela i Grupe neovisnih regulatora željezničkih usluga (IRG Rail) dovest će do ostvarenja postavljenog cilja kroz definiranje i usvajanje najboljih iskustava i razvijanja zajedničke metodologije, a sve u cilju ostvarenja preglednog i nepristranog obavljanja djelatnosti željezničkog prijevoza, te otvorenog i nediskriminirajućeg odnosa između subjekata željezničkog tržišta.</w:t>
      </w:r>
    </w:p>
    <w:p w:rsidR="00D849AA" w:rsidRDefault="00EE6D95">
      <w:pPr>
        <w:pStyle w:val="Naslov5"/>
      </w:pPr>
      <w:r>
        <w:t>Procjena i ishodište potrebnih sredstava za značajnije aktivnosti/projekte</w:t>
      </w:r>
    </w:p>
    <w:p w:rsidR="00D849AA" w:rsidRDefault="00EE6D95">
      <w:pPr>
        <w:pStyle w:val="Naslov6"/>
      </w:pPr>
      <w:r>
        <w:t>A856001 ADMINISTRACIJA I UPRAVLJANJE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A856001</w:t>
            </w:r>
          </w:p>
        </w:tc>
        <w:tc>
          <w:tcPr>
            <w:tcW w:w="1486" w:type="dxa"/>
          </w:tcPr>
          <w:p w:rsidR="00D849AA" w:rsidRDefault="00EE6D95">
            <w:r>
              <w:t>2.525.169</w:t>
            </w:r>
          </w:p>
        </w:tc>
        <w:tc>
          <w:tcPr>
            <w:tcW w:w="1486" w:type="dxa"/>
          </w:tcPr>
          <w:p w:rsidR="00D849AA" w:rsidRDefault="00EE6D95">
            <w:r>
              <w:t>3.003.437</w:t>
            </w:r>
          </w:p>
        </w:tc>
        <w:tc>
          <w:tcPr>
            <w:tcW w:w="1486" w:type="dxa"/>
          </w:tcPr>
          <w:p w:rsidR="00D849AA" w:rsidRDefault="00EE6D95">
            <w:r>
              <w:t>3.576.181</w:t>
            </w:r>
          </w:p>
        </w:tc>
        <w:tc>
          <w:tcPr>
            <w:tcW w:w="1486" w:type="dxa"/>
          </w:tcPr>
          <w:p w:rsidR="00D849AA" w:rsidRDefault="00EE6D95">
            <w:r>
              <w:t>3.591.616</w:t>
            </w:r>
          </w:p>
        </w:tc>
        <w:tc>
          <w:tcPr>
            <w:tcW w:w="1486" w:type="dxa"/>
          </w:tcPr>
          <w:p w:rsidR="00D849AA" w:rsidRDefault="00EE6D95">
            <w:r>
              <w:t>118,9</w:t>
            </w:r>
          </w:p>
        </w:tc>
      </w:tr>
    </w:tbl>
    <w:p w:rsidR="00D849AA" w:rsidRDefault="00D849AA">
      <w:pPr>
        <w:jc w:val="left"/>
      </w:pPr>
    </w:p>
    <w:p w:rsidR="00D849AA" w:rsidRDefault="00EE6D95">
      <w:pPr>
        <w:pStyle w:val="Normal6"/>
      </w:pPr>
      <w:r>
        <w:t xml:space="preserve">Za provedbu zakonom propisanih zadaća osiguravaju se sredstva u državnom proračunu. Aktivnost se nastavlja na aktivnost A839001 ADMINISTRACIJA I UPRAVLJANJE AGENCIJE ZA REGULACIJU TRŽIŠTA ŽELJEZNIČKIH USLUGA u razdjelu/glavi 06551 Agencije u prometu i infrastrukturi. Financijski najznačajnija aktivnost odnosi se na </w:t>
      </w:r>
      <w:r>
        <w:lastRenderedPageBreak/>
        <w:t>pokriće troškova zaposlenika i materijalnih troškova. U to se uključuje podmirivanje troškova plaća za redovan rad, stručno usavršavanje zaposlenika, službena putovanja dok su kod materijalnih troškova zastupljene potrebe financiranja osposobljavanja i održavanja uredskog prostora, opreme i komunikacijskih uređaja.</w:t>
      </w:r>
    </w:p>
    <w:p w:rsidR="00D849AA" w:rsidRDefault="00EE6D95">
      <w:pPr>
        <w:pStyle w:val="Naslov8"/>
        <w:jc w:val="left"/>
      </w:pPr>
      <w:r>
        <w:t>Pokazatelji rezultata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rezultata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Stupanj osposobljenosti zaposlenika posebnim znanjima</w:t>
            </w:r>
          </w:p>
        </w:tc>
        <w:tc>
          <w:tcPr>
            <w:tcW w:w="1114" w:type="dxa"/>
          </w:tcPr>
          <w:p w:rsidR="00D849AA" w:rsidRDefault="00EE6D95">
            <w:r>
              <w:t>%</w:t>
            </w:r>
          </w:p>
        </w:tc>
        <w:tc>
          <w:tcPr>
            <w:tcW w:w="1114" w:type="dxa"/>
          </w:tcPr>
          <w:p w:rsidR="00D849AA" w:rsidRDefault="00EE6D95">
            <w:r>
              <w:t>50</w:t>
            </w:r>
          </w:p>
        </w:tc>
        <w:tc>
          <w:tcPr>
            <w:tcW w:w="1486" w:type="dxa"/>
          </w:tcPr>
          <w:p w:rsidR="00D849AA" w:rsidRDefault="00EE6D95">
            <w:r>
              <w:t>85</w:t>
            </w:r>
          </w:p>
        </w:tc>
        <w:tc>
          <w:tcPr>
            <w:tcW w:w="1486" w:type="dxa"/>
          </w:tcPr>
          <w:p w:rsidR="00D849AA" w:rsidRDefault="00EE6D95">
            <w:r>
              <w:t>90</w:t>
            </w:r>
          </w:p>
        </w:tc>
        <w:tc>
          <w:tcPr>
            <w:tcW w:w="1486" w:type="dxa"/>
          </w:tcPr>
          <w:p w:rsidR="00D849AA" w:rsidRDefault="00EE6D95">
            <w:r>
              <w:t>90</w:t>
            </w:r>
          </w:p>
        </w:tc>
      </w:tr>
    </w:tbl>
    <w:p w:rsidR="00D849AA" w:rsidRDefault="00D849AA">
      <w:pPr>
        <w:jc w:val="left"/>
      </w:pPr>
    </w:p>
    <w:p w:rsidR="00D849AA" w:rsidRDefault="00EE6D95">
      <w:pPr>
        <w:pStyle w:val="Naslov1"/>
      </w:pPr>
      <w:r>
        <w:lastRenderedPageBreak/>
        <w:t>258 POVJERENIK ZA INFORMIRANJE</w:t>
      </w:r>
    </w:p>
    <w:p w:rsidR="00D849AA" w:rsidRDefault="00EE6D95">
      <w:pPr>
        <w:pStyle w:val="Naslov4"/>
      </w:pPr>
      <w:r>
        <w:t>Uvod</w:t>
      </w:r>
    </w:p>
    <w:p w:rsidR="00D849AA" w:rsidRDefault="00EE6D95">
      <w:pPr>
        <w:pStyle w:val="Normal3"/>
      </w:pPr>
      <w:r>
        <w:t xml:space="preserve">Pravo na pristup informacijama je temeljno ljudsko pravo koje se štiti Ustavom Republike Hrvatske (čl. 38., st. 4), Europskom konvencijom o ljudskim pravima i slobodama, Konvencijom o pristupu informacijama, međunarodnim ugovorima i Zakonom o pravu na pristup informacijama („Narodne novine“, broj 25/13) koji je usklađen s propisima Europske unije – Direktivom 2003/98/EZ Europskog parlamenta i Vijeća od 17. studenog 2003. o ponovnoj uporabi informacija javnog sektora, te Uredbom  1049/2001 Europskog parlamenta i Vijeća od 30. svibnja 2001. o javnom pristupu dokumentima Europskog parlamenta, Vijeća i Komisije. </w:t>
      </w:r>
    </w:p>
    <w:p w:rsidR="00D849AA" w:rsidRDefault="00EE6D95">
      <w:pPr>
        <w:pStyle w:val="Normal3"/>
      </w:pPr>
      <w:r>
        <w:t xml:space="preserve">Od 02.01.2011. godine, a sukladno članku 21. Zakona o izmjenama i dopunama Zakona o pravu na pristup informacijama („Narodne novine“, broj 144/10.) Agencija za zaštitu osobnih podataka obavljala je poslove neovisnog tijela za zaštitu prava na pristup informacijama, a također i poslove drugostupanjskog tijela u rješavanju žalbi temeljem navedenog  Zakona. </w:t>
      </w:r>
    </w:p>
    <w:p w:rsidR="00D849AA" w:rsidRDefault="00EE6D95">
      <w:pPr>
        <w:pStyle w:val="Normal3"/>
      </w:pPr>
      <w:r>
        <w:t xml:space="preserve">Zakonom o pravu na pristup informacijama („Narodne novine“, broj 25/13) kao neovisno tijelo za zaštitu prava na pristup informacijama utemeljena je institucija Povjerenika za informiranje (čl. 35., st. 1). Povjerenik ima Ured kao svoju stručnu službu (čl. 39., st.1.). Odlukom Hrvatskog sabora 25. listopada 2013. izabrana je prva povjerenica za informiranje, čime su ostvareni uvjeti za početak rada Povjerenika, a ranije nadležnosti Agencije za zaštitu osobnih podataka u svezi sa zaštitom prava na pristup informacijama prešle su u nadležnost Povjerenika. Odluka je objavljena u „Narodne novine“, broj 131/13 od 30.10.2013.   </w:t>
      </w:r>
    </w:p>
    <w:p w:rsidR="00D849AA" w:rsidRDefault="00EE6D95">
      <w:pPr>
        <w:pStyle w:val="Normal3"/>
      </w:pPr>
      <w:r>
        <w:t>Zakonom o pravu na pristup informacijama („Narodne novine“, broj 25/13) usklađeni su standardi i načela zaštite s europskim standardima te preuzeta pravna stečevina u pogledu prava na ponovnu uporabu informacijama, čime je su ostvarene zakonske pretpostavke za poboljšanje stanja sukladno primjedbama iz ranijih Izvješća Europske komisije o napretku Republike Hrvatske koje su kao nužne navodile jasnije definiranje rokova i postupaka za pristup informacijama te proaktivnu objavu informacija, širenje kruga obveznika, jasnije uređen nadzor nad primjenom Zakona, potrebu provedbe aktivnosti na podizanju svijesti o važnosti prava na pristup informacijama te prava građana u tom smislu, kao i jačanje usavršavanja i edukacije službenika za informiranje u tijelima javne vlasti (v. Izvješće za 2011.), a isti su zadaci utvrđeni i u ranijim Izvješćima o provedbi Zakona o pravu na pristup informacijama 2011. Agencije za zaštitu osobnih podataka.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25805 Povjerenik za informiranje</w:t>
            </w:r>
          </w:p>
        </w:tc>
        <w:tc>
          <w:tcPr>
            <w:tcW w:w="1486" w:type="dxa"/>
          </w:tcPr>
          <w:p w:rsidR="00D849AA" w:rsidRDefault="00EE6D95">
            <w:r>
              <w:t>00</w:t>
            </w:r>
          </w:p>
        </w:tc>
        <w:tc>
          <w:tcPr>
            <w:tcW w:w="1486" w:type="dxa"/>
          </w:tcPr>
          <w:p w:rsidR="00D849AA" w:rsidRDefault="00EE6D95">
            <w:r>
              <w:t>1.389.669</w:t>
            </w:r>
          </w:p>
        </w:tc>
        <w:tc>
          <w:tcPr>
            <w:tcW w:w="1486" w:type="dxa"/>
          </w:tcPr>
          <w:p w:rsidR="00D849AA" w:rsidRDefault="00EE6D95">
            <w:r>
              <w:t>1.134.698</w:t>
            </w:r>
          </w:p>
        </w:tc>
        <w:tc>
          <w:tcPr>
            <w:tcW w:w="1486" w:type="dxa"/>
          </w:tcPr>
          <w:p w:rsidR="00D849AA" w:rsidRDefault="00EE6D95">
            <w:r>
              <w:t>1.356.530</w:t>
            </w:r>
          </w:p>
        </w:tc>
        <w:tc>
          <w:tcPr>
            <w:tcW w:w="1486" w:type="dxa"/>
          </w:tcPr>
          <w:p w:rsidR="00D849AA" w:rsidRDefault="00EE6D95">
            <w:r>
              <w:t>0,0</w:t>
            </w:r>
          </w:p>
        </w:tc>
      </w:tr>
      <w:tr w:rsidR="00D849AA">
        <w:trPr>
          <w:jc w:val="center"/>
        </w:trPr>
        <w:tc>
          <w:tcPr>
            <w:tcW w:w="1486" w:type="dxa"/>
            <w:shd w:val="clear" w:color="auto" w:fill="B5C0D8"/>
          </w:tcPr>
          <w:p w:rsidR="00D849AA" w:rsidRDefault="00EE6D95">
            <w:pPr>
              <w:pStyle w:val="CellColumn"/>
            </w:pPr>
            <w:r>
              <w:t>Ukupno 258</w:t>
            </w:r>
          </w:p>
        </w:tc>
        <w:tc>
          <w:tcPr>
            <w:tcW w:w="1486" w:type="dxa"/>
            <w:shd w:val="clear" w:color="auto" w:fill="B5C0D8"/>
          </w:tcPr>
          <w:p w:rsidR="00D849AA" w:rsidRDefault="00EE6D95">
            <w:r>
              <w:t>00</w:t>
            </w:r>
          </w:p>
        </w:tc>
        <w:tc>
          <w:tcPr>
            <w:tcW w:w="1486" w:type="dxa"/>
            <w:shd w:val="clear" w:color="auto" w:fill="B5C0D8"/>
          </w:tcPr>
          <w:p w:rsidR="00D849AA" w:rsidRDefault="00EE6D95">
            <w:r>
              <w:t>1.389.669</w:t>
            </w:r>
          </w:p>
        </w:tc>
        <w:tc>
          <w:tcPr>
            <w:tcW w:w="1486" w:type="dxa"/>
            <w:shd w:val="clear" w:color="auto" w:fill="B5C0D8"/>
          </w:tcPr>
          <w:p w:rsidR="00D849AA" w:rsidRDefault="00EE6D95">
            <w:r>
              <w:t>1.134.698</w:t>
            </w:r>
          </w:p>
        </w:tc>
        <w:tc>
          <w:tcPr>
            <w:tcW w:w="1486" w:type="dxa"/>
            <w:shd w:val="clear" w:color="auto" w:fill="B5C0D8"/>
          </w:tcPr>
          <w:p w:rsidR="00D849AA" w:rsidRDefault="00EE6D95">
            <w:r>
              <w:t>1.356.530</w:t>
            </w:r>
          </w:p>
        </w:tc>
        <w:tc>
          <w:tcPr>
            <w:tcW w:w="1486" w:type="dxa"/>
            <w:shd w:val="clear" w:color="auto" w:fill="B5C0D8"/>
          </w:tcPr>
          <w:p w:rsidR="00D849AA" w:rsidRDefault="00EE6D95">
            <w:r>
              <w:t>0,0</w:t>
            </w:r>
          </w:p>
        </w:tc>
      </w:tr>
    </w:tbl>
    <w:p w:rsidR="00D849AA" w:rsidRDefault="00D849AA">
      <w:pPr>
        <w:jc w:val="left"/>
      </w:pPr>
    </w:p>
    <w:p w:rsidR="00D35BD1" w:rsidRDefault="00D35BD1">
      <w:pPr>
        <w:jc w:val="left"/>
      </w:pPr>
    </w:p>
    <w:p w:rsidR="00D35BD1" w:rsidRDefault="00D35BD1" w:rsidP="00D35BD1">
      <w:pPr>
        <w:pStyle w:val="Naslov4"/>
      </w:pPr>
      <w:r>
        <w:lastRenderedPageBreak/>
        <w:t>OBRAZLOŽENJE PROGRAMA</w:t>
      </w:r>
    </w:p>
    <w:p w:rsidR="00D849AA" w:rsidRDefault="00EE6D95">
      <w:pPr>
        <w:pStyle w:val="Naslov5"/>
      </w:pPr>
      <w:r>
        <w:t>2121 ZAŠTITA I PROMICANJE PRAVA NA PRISTUP INFORMACIJAMA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D849AA">
            <w:pPr>
              <w:pStyle w:val="CellHeader"/>
            </w:pP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2121</w:t>
            </w:r>
          </w:p>
        </w:tc>
        <w:tc>
          <w:tcPr>
            <w:tcW w:w="1486" w:type="dxa"/>
          </w:tcPr>
          <w:p w:rsidR="00D849AA" w:rsidRDefault="00EE6D95">
            <w:r>
              <w:t>00</w:t>
            </w:r>
          </w:p>
        </w:tc>
        <w:tc>
          <w:tcPr>
            <w:tcW w:w="1486" w:type="dxa"/>
          </w:tcPr>
          <w:p w:rsidR="00D849AA" w:rsidRDefault="00EE6D95">
            <w:r>
              <w:t>1.389.669</w:t>
            </w:r>
          </w:p>
        </w:tc>
        <w:tc>
          <w:tcPr>
            <w:tcW w:w="1486" w:type="dxa"/>
          </w:tcPr>
          <w:p w:rsidR="00D849AA" w:rsidRDefault="00EE6D95">
            <w:r>
              <w:t>1.134.698</w:t>
            </w:r>
          </w:p>
        </w:tc>
        <w:tc>
          <w:tcPr>
            <w:tcW w:w="1486" w:type="dxa"/>
          </w:tcPr>
          <w:p w:rsidR="00D849AA" w:rsidRDefault="00EE6D95">
            <w:r>
              <w:t>1.356.530</w:t>
            </w:r>
          </w:p>
        </w:tc>
        <w:tc>
          <w:tcPr>
            <w:tcW w:w="1486" w:type="dxa"/>
          </w:tcPr>
          <w:p w:rsidR="00D849AA" w:rsidRDefault="00EE6D95">
            <w:r>
              <w:t>0,0</w:t>
            </w:r>
          </w:p>
        </w:tc>
      </w:tr>
    </w:tbl>
    <w:p w:rsidR="00D849AA" w:rsidRDefault="00D849AA">
      <w:pPr>
        <w:jc w:val="left"/>
      </w:pPr>
    </w:p>
    <w:p w:rsidR="00D849AA" w:rsidRDefault="00EE6D95">
      <w:pPr>
        <w:pStyle w:val="Naslov6"/>
      </w:pPr>
      <w:r>
        <w:t>Opis programa</w:t>
      </w:r>
    </w:p>
    <w:p w:rsidR="00D849AA" w:rsidRDefault="00EE6D95">
      <w:pPr>
        <w:pStyle w:val="Normal5"/>
      </w:pPr>
      <w:r>
        <w:t xml:space="preserve">Pravo na pristup informacijama kojima raspolažu tijela javne vlasti jedno je od temeljnih ljudskih prava, koje osim Ustava Republike Hrvatske propisuju i pravo Europske unije, Europska konvencija o ljudskim pravima i temeljnim slobodama, Konvencija  o pristupu informacijama, te međunarodni ugovori. Zakon o pravu na pristup informacijama usklađen je s  Direktivom 2003/98/EZ Europskog parlamenta i Vijeća od 17. studenog 2003. o ponovnoj uporabi informacija javnog sektora, te Uredbom  1049/2001 Europskog parlamenta i Vijeća od 30. svibnja 2001. o javnom pristupu dokumentima Europskog parlamenta, Vijeća i Komisije. </w:t>
      </w:r>
    </w:p>
    <w:p w:rsidR="00D849AA" w:rsidRDefault="00EE6D95">
      <w:pPr>
        <w:pStyle w:val="Normal5"/>
      </w:pPr>
      <w:r>
        <w:t xml:space="preserve"> </w:t>
      </w:r>
    </w:p>
    <w:p w:rsidR="00D849AA" w:rsidRDefault="00EE6D95">
      <w:pPr>
        <w:pStyle w:val="Normal5"/>
      </w:pPr>
      <w:r>
        <w:t xml:space="preserve">Zakonom o pravu na pristup informacijama („Narodne novine“, 25/2013) propisano je da nadzor nad provođenjem Zakona provodi Povjerenik za informiranje kao neovisno tijelo za zaštitu prava na pristup informacijama. Povjerenik za informiranje sukladno čl. 35., st.3. obavlja poslove drugostupanjskog tijela u rješavanju žalbi o ostvarivanju prava na pristup informacijama i prava na ponovnu uporabu informacija; obavlja nadzor i provodi inspekcijski nadzor nad provedbom Zakona; prati provedbu Zakona i propisa koji uređuju pravo na pristup informacijama te izvješćuje javnost o njihovoj provedbi; predlaže tijelima javne vlasti poduzimanje mjera radi unapređivanja ostvarivanja prava na pristup informacijama, uređenog ovim Zakonom; informira javnost o ostvarivanju prava korisnika na pristup informacijama;  predlaže mjere za stručno osposobljavanje i usavršavanje službenika za informiranje u tijelima javne vlasti i upoznavanje s njihovim obvezama u vezi s primjenom ovog Zakona; inicira donošenje ili izmjene propisa radi provedbe i unapređenja prava na pristup informacijama; podnosi Hrvatskom saboru izvješće o provedbi ovog Zakona i druga izvješća kad ocijeni da je to potrebno; sudjeluje u radu radnih tijela Hrvatskog sabora i prisustvuje sjednicama Hrvatskog sabora kad su na dnevnom redu pitanja iz njegova djelokruga; podnosi optužni prijedlog i izdaje prekršajni nalog za utvrđene prekršaje. </w:t>
      </w:r>
    </w:p>
    <w:p w:rsidR="00D849AA" w:rsidRDefault="00EE6D95">
      <w:pPr>
        <w:pStyle w:val="Normal5"/>
      </w:pPr>
      <w:r>
        <w:t xml:space="preserve"> </w:t>
      </w:r>
    </w:p>
    <w:p w:rsidR="00D849AA" w:rsidRDefault="00EE6D95">
      <w:pPr>
        <w:pStyle w:val="Normal5"/>
      </w:pPr>
      <w:r>
        <w:t>Osnovni zadaci Povjerenika odnose se na provedbu drugostupanjskog postupka u predmetima prava na pristup informacijama, inspekcijski nadzor, nadzor nad provedbom zakona, uspostavljanje međunarodne suradnje i suradnje s tijelima Europske unije  te domaće stručne suradnje i suradnje s tijelima javne vlasti, informiranje javnosti i promicanje prava na pristup informacijama, predlaganje mjera i programa za usavršavanje u području prava na pristup informacijama, analitičke poslove usmjerene na praćenje provedbe Zakona te izvješćivanje Hrvatskog sabora i javnosti o provedbi Zakona i poštivanju prava na pristup informacijama.</w:t>
      </w:r>
    </w:p>
    <w:p w:rsidR="00D849AA" w:rsidRDefault="00EE6D95">
      <w:pPr>
        <w:pStyle w:val="Naslov6"/>
      </w:pPr>
      <w:r>
        <w:t>Zakonske i druge pravne osnove</w:t>
      </w:r>
    </w:p>
    <w:p w:rsidR="00D849AA" w:rsidRDefault="00EE6D95">
      <w:pPr>
        <w:pStyle w:val="Normal5"/>
      </w:pPr>
      <w:r>
        <w:t>Zakon o pravu na pristup informacijama NN 25/13.</w:t>
      </w:r>
    </w:p>
    <w:p w:rsidR="00D849AA" w:rsidRDefault="00EE6D95">
      <w:pPr>
        <w:pStyle w:val="Naslov6"/>
      </w:pPr>
      <w:r>
        <w:lastRenderedPageBreak/>
        <w:t>Ciljevi provedbe programa u razdoblju 2014.-2016. i pokazatelji uspješnosti kojima će se mjeriti ostvarenje tih ciljeva</w:t>
      </w:r>
    </w:p>
    <w:p w:rsidR="00D849AA" w:rsidRDefault="00EE6D95">
      <w:pPr>
        <w:pStyle w:val="Naslov7"/>
      </w:pPr>
      <w:r>
        <w:t xml:space="preserve">Cilj 1.  Osiguranje efikasne provedbe Zakona o pravu na pristup informacijama  provedbom žalbenog postupka te nadzora i inspekcijskog nadzora  </w:t>
      </w:r>
    </w:p>
    <w:p w:rsidR="00D849AA" w:rsidRDefault="00EE6D95">
      <w:pPr>
        <w:pStyle w:val="Normal6"/>
      </w:pPr>
      <w:r>
        <w:t xml:space="preserve">U okviru osiguravanja efikasne provedbe Zakona o pravu na pristup informacijama Povjerenik za informiranje osigurat će nesmetano provedbu  drugostupanjskog postupka povodom žalbi na odbijanje tijela javne vlasti za pristup informacijama i ponovne uporabe informacija.  </w:t>
      </w:r>
    </w:p>
    <w:p w:rsidR="00D849AA" w:rsidRDefault="00EE6D95">
      <w:pPr>
        <w:pStyle w:val="Normal6"/>
      </w:pPr>
      <w:r>
        <w:t xml:space="preserve">U okviru nadzorne uloge, potrebno je ustrojiti inspekcijski nadzor u okviru kojega se utvrđuje poštuju li tijela javne vlasti obveze propisane Zakonom u pogledu proaktivne objave informacija iz čl. 10., imenovanja službenika za informiranje, vođenja službenog upisnika, dostavljanja izvješća i dr. obveza propisanih čl. 45. Zakona.  </w:t>
      </w:r>
    </w:p>
    <w:p w:rsidR="00D849AA" w:rsidRDefault="00EE6D95">
      <w:pPr>
        <w:pStyle w:val="Normal6"/>
      </w:pPr>
      <w:r>
        <w:t xml:space="preserve">Povjerenik će utvrditi Kriterije za određivanje visine naknade i način naplate naknade materijalnih troškova nastalih tijelu javne vlasti prilikom davanja informacija sukladno čl. 19., st.3. Zakona. U svrhu provedbe Zakona, Povjerenik je dužan voditi evidenciju o svim odobrenim isključivim pravima na ponovnu uporabu informacija (čl. 19., st.3.). </w:t>
      </w:r>
    </w:p>
    <w:p w:rsidR="00D849AA" w:rsidRDefault="00EE6D95">
      <w:pPr>
        <w:pStyle w:val="Normal6"/>
      </w:pPr>
      <w:r>
        <w:t xml:space="preserve">Ukupne rezultate nadzora nad provedbom Zakona zajedno s prijedlogom mjera za poboljšanje  Povjerenik će obuhvatiti u godišnjem izvješću kojeg upućuje Hrvatskom saboru, te, u pogledu pojedinih slučajeva ili grupe slučajeva, informirajući javnost putem sredstava javnog priopćavanja odnosno vlastite mrežne stranice.  </w:t>
      </w:r>
    </w:p>
    <w:p w:rsidR="00D849AA" w:rsidRDefault="00EE6D95">
      <w:pPr>
        <w:pStyle w:val="Normal6"/>
      </w:pPr>
      <w:r>
        <w:t>Povjerenik se nalazi na samom početku ustrojavanja Ureda, te se očekuje da će biti potrebno osigurati dodatna sredstva za angažiranje inspektora u svrhu provedbe inspekcijskog nadzora kao i osiguravanja provedbe odredbi koje se odnose na ponovnu uporabu informacija.  Povjerenik treba izgraditi dobru praksu, u skladu s praksom sličnih tijela u državama članicama EU te samoj Europskoj uniji.</w:t>
      </w:r>
    </w:p>
    <w:p w:rsidR="00D849AA" w:rsidRDefault="00EE6D95">
      <w:pPr>
        <w:pStyle w:val="Naslov8"/>
        <w:jc w:val="left"/>
      </w:pPr>
      <w:r>
        <w:t>Pokazatelji učinka</w:t>
      </w:r>
    </w:p>
    <w:tbl>
      <w:tblPr>
        <w:tblStyle w:val="Reetkatablice"/>
        <w:tblW w:w="0" w:type="auto"/>
        <w:jc w:val="center"/>
        <w:tblLook w:val="04A0" w:firstRow="1" w:lastRow="0" w:firstColumn="1" w:lastColumn="0" w:noHBand="0" w:noVBand="1"/>
      </w:tblPr>
      <w:tblGrid>
        <w:gridCol w:w="2229"/>
        <w:gridCol w:w="1239"/>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Postotak  rješavanja predmeta u  drugostupanjskom  postupku u zakonskim  rokovima</w:t>
            </w:r>
          </w:p>
        </w:tc>
        <w:tc>
          <w:tcPr>
            <w:tcW w:w="1114" w:type="dxa"/>
          </w:tcPr>
          <w:p w:rsidR="00D849AA" w:rsidRDefault="00EE6D95">
            <w:r>
              <w:t xml:space="preserve">% </w:t>
            </w:r>
          </w:p>
          <w:p w:rsidR="00D849AA" w:rsidRDefault="00EE6D95">
            <w:r>
              <w:t>(god.)</w:t>
            </w:r>
          </w:p>
        </w:tc>
        <w:tc>
          <w:tcPr>
            <w:tcW w:w="1114" w:type="dxa"/>
          </w:tcPr>
          <w:p w:rsidR="00D849AA" w:rsidRDefault="00EE6D95">
            <w:r>
              <w:t>80%</w:t>
            </w:r>
          </w:p>
        </w:tc>
        <w:tc>
          <w:tcPr>
            <w:tcW w:w="1486" w:type="dxa"/>
          </w:tcPr>
          <w:p w:rsidR="00D849AA" w:rsidRDefault="00EE6D95">
            <w:r>
              <w:t>85%</w:t>
            </w:r>
          </w:p>
        </w:tc>
        <w:tc>
          <w:tcPr>
            <w:tcW w:w="1486" w:type="dxa"/>
          </w:tcPr>
          <w:p w:rsidR="00D849AA" w:rsidRDefault="00EE6D95">
            <w:r>
              <w:t>90%</w:t>
            </w:r>
          </w:p>
        </w:tc>
        <w:tc>
          <w:tcPr>
            <w:tcW w:w="1486" w:type="dxa"/>
          </w:tcPr>
          <w:p w:rsidR="00D849AA" w:rsidRDefault="00EE6D95">
            <w:r>
              <w:t>95%</w:t>
            </w:r>
          </w:p>
        </w:tc>
      </w:tr>
      <w:tr w:rsidR="00D849AA">
        <w:trPr>
          <w:jc w:val="center"/>
        </w:trPr>
        <w:tc>
          <w:tcPr>
            <w:tcW w:w="2229" w:type="dxa"/>
          </w:tcPr>
          <w:p w:rsidR="00D849AA" w:rsidRDefault="00EE6D95">
            <w:pPr>
              <w:pStyle w:val="CellColumn"/>
            </w:pPr>
            <w:r>
              <w:t>Broj provedenih inspekcijskih nadzora</w:t>
            </w:r>
          </w:p>
        </w:tc>
        <w:tc>
          <w:tcPr>
            <w:tcW w:w="1114" w:type="dxa"/>
          </w:tcPr>
          <w:p w:rsidR="00D849AA" w:rsidRDefault="00EE6D95">
            <w:r>
              <w:t>broj</w:t>
            </w:r>
          </w:p>
        </w:tc>
        <w:tc>
          <w:tcPr>
            <w:tcW w:w="1114" w:type="dxa"/>
          </w:tcPr>
          <w:p w:rsidR="00D849AA" w:rsidRDefault="00EE6D95">
            <w:r>
              <w:t>0</w:t>
            </w:r>
          </w:p>
        </w:tc>
        <w:tc>
          <w:tcPr>
            <w:tcW w:w="1486" w:type="dxa"/>
          </w:tcPr>
          <w:p w:rsidR="00D849AA" w:rsidRDefault="00EE6D95">
            <w:r>
              <w:t>25</w:t>
            </w:r>
          </w:p>
        </w:tc>
        <w:tc>
          <w:tcPr>
            <w:tcW w:w="1486" w:type="dxa"/>
          </w:tcPr>
          <w:p w:rsidR="00D849AA" w:rsidRDefault="00EE6D95">
            <w:r>
              <w:t>75</w:t>
            </w:r>
          </w:p>
        </w:tc>
        <w:tc>
          <w:tcPr>
            <w:tcW w:w="1486" w:type="dxa"/>
          </w:tcPr>
          <w:p w:rsidR="00D849AA" w:rsidRDefault="00EE6D95">
            <w:r>
              <w:t>150</w:t>
            </w:r>
          </w:p>
        </w:tc>
      </w:tr>
      <w:tr w:rsidR="00D849AA">
        <w:trPr>
          <w:jc w:val="center"/>
        </w:trPr>
        <w:tc>
          <w:tcPr>
            <w:tcW w:w="2229" w:type="dxa"/>
          </w:tcPr>
          <w:p w:rsidR="00D849AA" w:rsidRDefault="00EE6D95">
            <w:pPr>
              <w:pStyle w:val="CellColumn"/>
            </w:pPr>
            <w:r>
              <w:t>Izrada i podnošenje godišnjeg izvješća o provedbi Zakona o pravu na  pristup informacijama</w:t>
            </w:r>
          </w:p>
        </w:tc>
        <w:tc>
          <w:tcPr>
            <w:tcW w:w="1114" w:type="dxa"/>
          </w:tcPr>
          <w:p w:rsidR="00D849AA" w:rsidRDefault="00EE6D95">
            <w:r>
              <w:t>broj</w:t>
            </w:r>
          </w:p>
        </w:tc>
        <w:tc>
          <w:tcPr>
            <w:tcW w:w="1114" w:type="dxa"/>
          </w:tcPr>
          <w:p w:rsidR="00D849AA" w:rsidRDefault="00EE6D95">
            <w:r>
              <w:t>1</w:t>
            </w:r>
          </w:p>
        </w:tc>
        <w:tc>
          <w:tcPr>
            <w:tcW w:w="1486" w:type="dxa"/>
          </w:tcPr>
          <w:p w:rsidR="00D849AA" w:rsidRDefault="00EE6D95">
            <w:r>
              <w:t>1</w:t>
            </w:r>
          </w:p>
        </w:tc>
        <w:tc>
          <w:tcPr>
            <w:tcW w:w="1486" w:type="dxa"/>
          </w:tcPr>
          <w:p w:rsidR="00D849AA" w:rsidRDefault="00EE6D95">
            <w:r>
              <w:t>1</w:t>
            </w:r>
          </w:p>
        </w:tc>
        <w:tc>
          <w:tcPr>
            <w:tcW w:w="1486" w:type="dxa"/>
          </w:tcPr>
          <w:p w:rsidR="00D849AA" w:rsidRDefault="00EE6D95">
            <w:r>
              <w:t>1</w:t>
            </w:r>
          </w:p>
        </w:tc>
      </w:tr>
      <w:tr w:rsidR="00D849AA">
        <w:trPr>
          <w:jc w:val="center"/>
        </w:trPr>
        <w:tc>
          <w:tcPr>
            <w:tcW w:w="2229" w:type="dxa"/>
          </w:tcPr>
          <w:p w:rsidR="00D849AA" w:rsidRDefault="00EE6D95">
            <w:pPr>
              <w:pStyle w:val="CellColumn"/>
            </w:pPr>
            <w:r>
              <w:t xml:space="preserve">Utvrditi Kriterije za određivanje visine naknade i način naplate naknade materijalnih troškova </w:t>
            </w:r>
            <w:r>
              <w:lastRenderedPageBreak/>
              <w:t>nastalih tijelu javne vlasti prilikom davanja informacija</w:t>
            </w:r>
          </w:p>
        </w:tc>
        <w:tc>
          <w:tcPr>
            <w:tcW w:w="1114" w:type="dxa"/>
          </w:tcPr>
          <w:p w:rsidR="00D849AA" w:rsidRDefault="00EE6D95">
            <w:r>
              <w:lastRenderedPageBreak/>
              <w:t>broj</w:t>
            </w:r>
          </w:p>
        </w:tc>
        <w:tc>
          <w:tcPr>
            <w:tcW w:w="1114" w:type="dxa"/>
          </w:tcPr>
          <w:p w:rsidR="00D849AA" w:rsidRDefault="00EE6D95">
            <w:r>
              <w:t>0</w:t>
            </w:r>
          </w:p>
        </w:tc>
        <w:tc>
          <w:tcPr>
            <w:tcW w:w="1486" w:type="dxa"/>
          </w:tcPr>
          <w:p w:rsidR="00D849AA" w:rsidRDefault="00EE6D95">
            <w:r>
              <w:t>1</w:t>
            </w:r>
          </w:p>
        </w:tc>
        <w:tc>
          <w:tcPr>
            <w:tcW w:w="1486" w:type="dxa"/>
          </w:tcPr>
          <w:p w:rsidR="00D849AA" w:rsidRDefault="00EE6D95">
            <w:r>
              <w:t>0</w:t>
            </w:r>
          </w:p>
        </w:tc>
        <w:tc>
          <w:tcPr>
            <w:tcW w:w="1486" w:type="dxa"/>
          </w:tcPr>
          <w:p w:rsidR="00D849AA" w:rsidRDefault="00EE6D95">
            <w:r>
              <w:t>0</w:t>
            </w:r>
          </w:p>
        </w:tc>
      </w:tr>
      <w:tr w:rsidR="00D849AA">
        <w:trPr>
          <w:jc w:val="center"/>
        </w:trPr>
        <w:tc>
          <w:tcPr>
            <w:tcW w:w="2229" w:type="dxa"/>
          </w:tcPr>
          <w:p w:rsidR="00D849AA" w:rsidRDefault="00EE6D95">
            <w:pPr>
              <w:pStyle w:val="CellColumn"/>
            </w:pPr>
            <w:r>
              <w:lastRenderedPageBreak/>
              <w:t>Potpuna i objavljena evidencija o svim odobrenim isključivim pravima na ponovnu uporabu informacija</w:t>
            </w:r>
          </w:p>
        </w:tc>
        <w:tc>
          <w:tcPr>
            <w:tcW w:w="1114" w:type="dxa"/>
          </w:tcPr>
          <w:p w:rsidR="00D849AA" w:rsidRDefault="00EE6D95">
            <w:r>
              <w:t>kontinuirano</w:t>
            </w:r>
          </w:p>
        </w:tc>
        <w:tc>
          <w:tcPr>
            <w:tcW w:w="1114" w:type="dxa"/>
          </w:tcPr>
          <w:p w:rsidR="00D849AA" w:rsidRDefault="00D849AA">
            <w:pPr>
              <w:jc w:val="left"/>
            </w:pPr>
          </w:p>
        </w:tc>
        <w:tc>
          <w:tcPr>
            <w:tcW w:w="1486" w:type="dxa"/>
          </w:tcPr>
          <w:p w:rsidR="00D849AA" w:rsidRDefault="00D849AA">
            <w:pPr>
              <w:jc w:val="left"/>
            </w:pPr>
          </w:p>
        </w:tc>
        <w:tc>
          <w:tcPr>
            <w:tcW w:w="1486" w:type="dxa"/>
          </w:tcPr>
          <w:p w:rsidR="00D849AA" w:rsidRDefault="00D849AA">
            <w:pPr>
              <w:jc w:val="left"/>
            </w:pPr>
          </w:p>
        </w:tc>
        <w:tc>
          <w:tcPr>
            <w:tcW w:w="1486" w:type="dxa"/>
          </w:tcPr>
          <w:p w:rsidR="00D849AA" w:rsidRDefault="00D849AA">
            <w:pPr>
              <w:jc w:val="left"/>
            </w:pPr>
          </w:p>
        </w:tc>
      </w:tr>
      <w:tr w:rsidR="00D849AA">
        <w:trPr>
          <w:jc w:val="center"/>
        </w:trPr>
        <w:tc>
          <w:tcPr>
            <w:tcW w:w="2229" w:type="dxa"/>
          </w:tcPr>
          <w:p w:rsidR="00D849AA" w:rsidRDefault="00EE6D95">
            <w:pPr>
              <w:pStyle w:val="CellColumn"/>
            </w:pPr>
            <w:r>
              <w:t>Postotak dostavljenih</w:t>
            </w:r>
            <w:r w:rsidR="00D35BD1">
              <w:t xml:space="preserve"> godišnji</w:t>
            </w:r>
            <w:r>
              <w:t>h</w:t>
            </w:r>
            <w:r w:rsidR="00D35BD1">
              <w:t xml:space="preserve"> </w:t>
            </w:r>
            <w:r>
              <w:t>izvješća tijela javne vlasti</w:t>
            </w:r>
          </w:p>
        </w:tc>
        <w:tc>
          <w:tcPr>
            <w:tcW w:w="1114" w:type="dxa"/>
          </w:tcPr>
          <w:p w:rsidR="00D849AA" w:rsidRDefault="00EE6D95">
            <w:r>
              <w:t>kumul.</w:t>
            </w:r>
          </w:p>
        </w:tc>
        <w:tc>
          <w:tcPr>
            <w:tcW w:w="1114" w:type="dxa"/>
          </w:tcPr>
          <w:p w:rsidR="00D849AA" w:rsidRDefault="00EE6D95">
            <w:r>
              <w:t>50%</w:t>
            </w:r>
          </w:p>
        </w:tc>
        <w:tc>
          <w:tcPr>
            <w:tcW w:w="1486" w:type="dxa"/>
          </w:tcPr>
          <w:p w:rsidR="00D849AA" w:rsidRDefault="00EE6D95">
            <w:r>
              <w:t>60%</w:t>
            </w:r>
          </w:p>
        </w:tc>
        <w:tc>
          <w:tcPr>
            <w:tcW w:w="1486" w:type="dxa"/>
          </w:tcPr>
          <w:p w:rsidR="00D849AA" w:rsidRDefault="00EE6D95">
            <w:r>
              <w:t>75%</w:t>
            </w:r>
          </w:p>
        </w:tc>
        <w:tc>
          <w:tcPr>
            <w:tcW w:w="1486" w:type="dxa"/>
          </w:tcPr>
          <w:p w:rsidR="00D849AA" w:rsidRDefault="00EE6D95">
            <w:r>
              <w:t>90%</w:t>
            </w:r>
          </w:p>
        </w:tc>
      </w:tr>
    </w:tbl>
    <w:p w:rsidR="00D849AA" w:rsidRDefault="00D849AA">
      <w:pPr>
        <w:jc w:val="left"/>
      </w:pPr>
    </w:p>
    <w:p w:rsidR="00D849AA" w:rsidRDefault="00EE6D95">
      <w:pPr>
        <w:pStyle w:val="Naslov7"/>
      </w:pPr>
      <w:r>
        <w:t xml:space="preserve">Cilj 2.  Promocija prava na pristup informacijama i edukacija u pogledu prava na pristup informacijama </w:t>
      </w:r>
    </w:p>
    <w:p w:rsidR="00D849AA" w:rsidRDefault="00EE6D95">
      <w:pPr>
        <w:pStyle w:val="Normal6"/>
      </w:pPr>
      <w:r>
        <w:t xml:space="preserve">Krug obveznika prava na pristup informacijama Zakonom je proširen i jasno utvrđen u odnosu na stanje prema prethodnoj regulaciji (čl. 5.). S obzirom na obveze koje sukladno Zakonu o pravu na pristup informacijama proizlaze za tijela javne vlasti, kao što su objava informacija propisana čl. 10. odnosno informiranje javnosti o pojedinim aktivnostima i dokumentima propisano čl. 12., provedba savjetovanja sa zainteresiranom javnošću (čl. 11.) imenovanje službenika za informiranje (čl. 13.), vođenje službenog upisnika (čl. 14.), provedba  prvostupanjskog postupka i provedba testa razmjernosti i javnog interesa (glave V. i VI. Zakona) te podnošenje izvješća Povjereniku o ostvarivanju prava na pristup informacijama, zadatak povjerenika je predložiti način i programe stručnog osposobljavanja službenika za informiranje u tijelima javne o načinu provedbe Zakona (čl. 35.. st.3., al.6.) te sudjelovati u provedbi istih. Posebna pažnja posvetit će se edukaciji u pogledu ponovne uporabe informacija, kako za službenike za informiranje, tako i za službenika Ureda Povjerenika, s obzirom da se radi o materiji kojom se preuzima pravna stečevina EU (Direktiva 2003/98/EZ Europskog parlamenta i Vijeća od 17. studenog 2003. o ponovnoj uporabi informacija javnog sektora), te da to pitanje ranije nije bilo uređeno hrvatskim propisima.  </w:t>
      </w:r>
    </w:p>
    <w:p w:rsidR="00D849AA" w:rsidRDefault="00EE6D95">
      <w:pPr>
        <w:pStyle w:val="Normal6"/>
      </w:pPr>
      <w:r>
        <w:t xml:space="preserve">Sukladno čl. 35.. st.3., al. 3. i al.5. Povjerenik izvješćuje javnost o provedbi Zakona te na odgovarajuće načine informira javnost o ostvarivanju prava korisnika na pristup informacijama, u što su uključeni mrežna stranica, savjetovanja, medijski istupi itd.  </w:t>
      </w:r>
    </w:p>
    <w:p w:rsidR="00D849AA" w:rsidRDefault="00EE6D95">
      <w:pPr>
        <w:pStyle w:val="Normal6"/>
      </w:pPr>
      <w:r>
        <w:t xml:space="preserve">Povjerenik će radi osiguravanja provedbe Zakona surađuje s Ministarstvom uprave, Državnom školom za javnu upravu, Uredom za udruge Vlade RH,Digitalnim informacijsko-komunikacijskim uredom Vlade i drugim tijelima, kao i stručnom javnošću i udrugama civilnog društva. Povjerenik ostvaruje i suradnju s drugim tijelima, posebno sa institucijama nadležnim za pravo na pristup informacijama u drugim zemljama, tijelima EU i sl. </w:t>
      </w:r>
    </w:p>
    <w:p w:rsidR="00D849AA" w:rsidRDefault="00EE6D95">
      <w:pPr>
        <w:pStyle w:val="Normal6"/>
      </w:pPr>
      <w:r>
        <w:t>Zadatak je Povjerenika izraditi adekvatnu metodologiju za praćenje provedbe prava na pristup informacijama te istu primjenjivati putem analitičko-stručnih postupaka.</w:t>
      </w:r>
    </w:p>
    <w:p w:rsidR="00D35BD1" w:rsidRDefault="00D35BD1">
      <w:pPr>
        <w:pStyle w:val="Normal6"/>
      </w:pPr>
    </w:p>
    <w:p w:rsidR="00D35BD1" w:rsidRDefault="00D35BD1">
      <w:pPr>
        <w:pStyle w:val="Normal6"/>
      </w:pPr>
    </w:p>
    <w:p w:rsidR="00D35BD1" w:rsidRDefault="00D35BD1">
      <w:pPr>
        <w:pStyle w:val="Normal6"/>
      </w:pPr>
    </w:p>
    <w:p w:rsidR="00D35BD1" w:rsidRDefault="00D35BD1">
      <w:pPr>
        <w:pStyle w:val="Normal6"/>
      </w:pPr>
    </w:p>
    <w:p w:rsidR="00D35BD1" w:rsidRDefault="00D35BD1">
      <w:pPr>
        <w:pStyle w:val="Normal6"/>
      </w:pPr>
    </w:p>
    <w:p w:rsidR="00D35BD1" w:rsidRDefault="00D35BD1">
      <w:pPr>
        <w:pStyle w:val="Normal6"/>
      </w:pPr>
    </w:p>
    <w:p w:rsidR="00D849AA" w:rsidRDefault="00EE6D95">
      <w:pPr>
        <w:pStyle w:val="Naslov8"/>
        <w:jc w:val="left"/>
      </w:pPr>
      <w:r>
        <w:lastRenderedPageBreak/>
        <w:t>Pokazatelji učinka</w:t>
      </w:r>
    </w:p>
    <w:tbl>
      <w:tblPr>
        <w:tblStyle w:val="Reetkatablice"/>
        <w:tblW w:w="0" w:type="auto"/>
        <w:jc w:val="center"/>
        <w:tblLook w:val="04A0" w:firstRow="1" w:lastRow="0" w:firstColumn="1" w:lastColumn="0" w:noHBand="0" w:noVBand="1"/>
      </w:tblPr>
      <w:tblGrid>
        <w:gridCol w:w="2229"/>
        <w:gridCol w:w="1114"/>
        <w:gridCol w:w="1114"/>
        <w:gridCol w:w="1486"/>
        <w:gridCol w:w="1486"/>
        <w:gridCol w:w="1486"/>
      </w:tblGrid>
      <w:tr w:rsidR="00D849AA">
        <w:trPr>
          <w:jc w:val="center"/>
        </w:trPr>
        <w:tc>
          <w:tcPr>
            <w:tcW w:w="2229" w:type="dxa"/>
            <w:shd w:val="clear" w:color="auto" w:fill="B5C0D8"/>
          </w:tcPr>
          <w:p w:rsidR="00D849AA" w:rsidRDefault="00EE6D95">
            <w:r>
              <w:t>Pokazatelj učinka</w:t>
            </w:r>
          </w:p>
        </w:tc>
        <w:tc>
          <w:tcPr>
            <w:tcW w:w="1114" w:type="dxa"/>
            <w:shd w:val="clear" w:color="auto" w:fill="B5C0D8"/>
          </w:tcPr>
          <w:p w:rsidR="00D849AA" w:rsidRDefault="00EE6D95">
            <w:pPr>
              <w:pStyle w:val="CellHeader"/>
            </w:pPr>
            <w:r>
              <w:t>Jedinica</w:t>
            </w:r>
          </w:p>
        </w:tc>
        <w:tc>
          <w:tcPr>
            <w:tcW w:w="1114" w:type="dxa"/>
            <w:shd w:val="clear" w:color="auto" w:fill="B5C0D8"/>
          </w:tcPr>
          <w:p w:rsidR="00D849AA" w:rsidRDefault="00EE6D95">
            <w:pPr>
              <w:pStyle w:val="CellHeader"/>
            </w:pPr>
            <w:r>
              <w:t>Polazna vrijednost</w:t>
            </w:r>
          </w:p>
        </w:tc>
        <w:tc>
          <w:tcPr>
            <w:tcW w:w="1486" w:type="dxa"/>
            <w:shd w:val="clear" w:color="auto" w:fill="B5C0D8"/>
          </w:tcPr>
          <w:p w:rsidR="00D849AA" w:rsidRDefault="00EE6D95">
            <w:pPr>
              <w:pStyle w:val="CellHeader"/>
            </w:pPr>
            <w:r>
              <w:t>Ciljana vrijednost (2014.)</w:t>
            </w:r>
          </w:p>
        </w:tc>
        <w:tc>
          <w:tcPr>
            <w:tcW w:w="1486" w:type="dxa"/>
            <w:shd w:val="clear" w:color="auto" w:fill="B5C0D8"/>
          </w:tcPr>
          <w:p w:rsidR="00D849AA" w:rsidRDefault="00EE6D95">
            <w:pPr>
              <w:pStyle w:val="CellHeader"/>
            </w:pPr>
            <w:r>
              <w:t>Ciljana vrijednost (2015.)</w:t>
            </w:r>
          </w:p>
        </w:tc>
        <w:tc>
          <w:tcPr>
            <w:tcW w:w="1486" w:type="dxa"/>
            <w:shd w:val="clear" w:color="auto" w:fill="B5C0D8"/>
          </w:tcPr>
          <w:p w:rsidR="00D849AA" w:rsidRDefault="00EE6D95">
            <w:pPr>
              <w:pStyle w:val="CellHeader"/>
            </w:pPr>
            <w:r>
              <w:t>Ciljana vrijednost (2016.)</w:t>
            </w:r>
          </w:p>
        </w:tc>
      </w:tr>
      <w:tr w:rsidR="00D849AA">
        <w:trPr>
          <w:jc w:val="center"/>
        </w:trPr>
        <w:tc>
          <w:tcPr>
            <w:tcW w:w="2229" w:type="dxa"/>
          </w:tcPr>
          <w:p w:rsidR="00D849AA" w:rsidRDefault="00EE6D95">
            <w:pPr>
              <w:pStyle w:val="CellColumn"/>
            </w:pPr>
            <w:r>
              <w:t>Održavanje seminara i  radionica za tijela  javne vlasti o primjeni  Zakona o pravu na  pristup informacijama</w:t>
            </w:r>
          </w:p>
        </w:tc>
        <w:tc>
          <w:tcPr>
            <w:tcW w:w="1114" w:type="dxa"/>
          </w:tcPr>
          <w:p w:rsidR="00D849AA" w:rsidRDefault="00EE6D95">
            <w:r>
              <w:t>broj</w:t>
            </w:r>
          </w:p>
        </w:tc>
        <w:tc>
          <w:tcPr>
            <w:tcW w:w="1114" w:type="dxa"/>
          </w:tcPr>
          <w:p w:rsidR="00D849AA" w:rsidRDefault="00EE6D95">
            <w:r>
              <w:t>6</w:t>
            </w:r>
          </w:p>
        </w:tc>
        <w:tc>
          <w:tcPr>
            <w:tcW w:w="1486" w:type="dxa"/>
          </w:tcPr>
          <w:p w:rsidR="00D849AA" w:rsidRDefault="00EE6D95">
            <w:r>
              <w:t>12</w:t>
            </w:r>
          </w:p>
        </w:tc>
        <w:tc>
          <w:tcPr>
            <w:tcW w:w="1486" w:type="dxa"/>
          </w:tcPr>
          <w:p w:rsidR="00D849AA" w:rsidRDefault="00EE6D95">
            <w:r>
              <w:t>12</w:t>
            </w:r>
          </w:p>
        </w:tc>
        <w:tc>
          <w:tcPr>
            <w:tcW w:w="1486" w:type="dxa"/>
          </w:tcPr>
          <w:p w:rsidR="00D849AA" w:rsidRDefault="00EE6D95">
            <w:r>
              <w:t>12</w:t>
            </w:r>
          </w:p>
        </w:tc>
      </w:tr>
      <w:tr w:rsidR="00D849AA">
        <w:trPr>
          <w:jc w:val="center"/>
        </w:trPr>
        <w:tc>
          <w:tcPr>
            <w:tcW w:w="2229" w:type="dxa"/>
          </w:tcPr>
          <w:p w:rsidR="00D849AA" w:rsidRDefault="00EE6D95">
            <w:pPr>
              <w:pStyle w:val="CellColumn"/>
            </w:pPr>
            <w:r>
              <w:t>Izrada metodologije za praćenje provedbe Zakona o pravu na pristup informacijama</w:t>
            </w:r>
          </w:p>
        </w:tc>
        <w:tc>
          <w:tcPr>
            <w:tcW w:w="1114" w:type="dxa"/>
          </w:tcPr>
          <w:p w:rsidR="00D849AA" w:rsidRDefault="00EE6D95">
            <w:r>
              <w:t>broj</w:t>
            </w:r>
          </w:p>
        </w:tc>
        <w:tc>
          <w:tcPr>
            <w:tcW w:w="1114" w:type="dxa"/>
          </w:tcPr>
          <w:p w:rsidR="00D849AA" w:rsidRDefault="00EE6D95">
            <w:r>
              <w:t>1</w:t>
            </w:r>
          </w:p>
        </w:tc>
        <w:tc>
          <w:tcPr>
            <w:tcW w:w="1486" w:type="dxa"/>
          </w:tcPr>
          <w:p w:rsidR="00D849AA" w:rsidRDefault="00EE6D95">
            <w:r>
              <w:t>1</w:t>
            </w:r>
          </w:p>
        </w:tc>
        <w:tc>
          <w:tcPr>
            <w:tcW w:w="1486" w:type="dxa"/>
          </w:tcPr>
          <w:p w:rsidR="00D849AA" w:rsidRDefault="00EE6D95">
            <w:r>
              <w:t>1</w:t>
            </w:r>
          </w:p>
        </w:tc>
        <w:tc>
          <w:tcPr>
            <w:tcW w:w="1486" w:type="dxa"/>
          </w:tcPr>
          <w:p w:rsidR="00D849AA" w:rsidRDefault="00EE6D95">
            <w:r>
              <w:t>1</w:t>
            </w:r>
          </w:p>
        </w:tc>
      </w:tr>
      <w:tr w:rsidR="00D849AA">
        <w:trPr>
          <w:jc w:val="center"/>
        </w:trPr>
        <w:tc>
          <w:tcPr>
            <w:tcW w:w="2229" w:type="dxa"/>
          </w:tcPr>
          <w:p w:rsidR="00D849AA" w:rsidRDefault="00EE6D95">
            <w:pPr>
              <w:pStyle w:val="CellColumn"/>
            </w:pPr>
            <w:r>
              <w:t>Izrada smjernica za proaktivnu objavu informacija</w:t>
            </w:r>
          </w:p>
        </w:tc>
        <w:tc>
          <w:tcPr>
            <w:tcW w:w="1114" w:type="dxa"/>
          </w:tcPr>
          <w:p w:rsidR="00D849AA" w:rsidRDefault="00EE6D95">
            <w:r>
              <w:t>broj</w:t>
            </w:r>
          </w:p>
        </w:tc>
        <w:tc>
          <w:tcPr>
            <w:tcW w:w="1114" w:type="dxa"/>
          </w:tcPr>
          <w:p w:rsidR="00D849AA" w:rsidRDefault="00EE6D95">
            <w:r>
              <w:t>0</w:t>
            </w:r>
          </w:p>
        </w:tc>
        <w:tc>
          <w:tcPr>
            <w:tcW w:w="1486" w:type="dxa"/>
          </w:tcPr>
          <w:p w:rsidR="00D849AA" w:rsidRDefault="00EE6D95">
            <w:r>
              <w:t>3</w:t>
            </w:r>
          </w:p>
        </w:tc>
        <w:tc>
          <w:tcPr>
            <w:tcW w:w="1486" w:type="dxa"/>
          </w:tcPr>
          <w:p w:rsidR="00D849AA" w:rsidRDefault="00EE6D95">
            <w:r>
              <w:t>3</w:t>
            </w:r>
          </w:p>
        </w:tc>
        <w:tc>
          <w:tcPr>
            <w:tcW w:w="1486" w:type="dxa"/>
          </w:tcPr>
          <w:p w:rsidR="00D849AA" w:rsidRDefault="00EE6D95">
            <w:r>
              <w:t>3</w:t>
            </w:r>
          </w:p>
        </w:tc>
      </w:tr>
      <w:tr w:rsidR="00D849AA">
        <w:trPr>
          <w:jc w:val="center"/>
        </w:trPr>
        <w:tc>
          <w:tcPr>
            <w:tcW w:w="2229" w:type="dxa"/>
          </w:tcPr>
          <w:p w:rsidR="00D849AA" w:rsidRDefault="00EE6D95" w:rsidP="00D35BD1">
            <w:pPr>
              <w:pStyle w:val="CellColumn"/>
            </w:pPr>
            <w:r>
              <w:t>Izrada mrežne stranice i redovito održavanje</w:t>
            </w:r>
          </w:p>
        </w:tc>
        <w:tc>
          <w:tcPr>
            <w:tcW w:w="1114" w:type="dxa"/>
          </w:tcPr>
          <w:p w:rsidR="00D849AA" w:rsidRDefault="00EE6D95">
            <w:r>
              <w:t>broj</w:t>
            </w:r>
          </w:p>
        </w:tc>
        <w:tc>
          <w:tcPr>
            <w:tcW w:w="1114" w:type="dxa"/>
          </w:tcPr>
          <w:p w:rsidR="00D849AA" w:rsidRDefault="00EE6D95">
            <w:r>
              <w:t>0</w:t>
            </w:r>
          </w:p>
        </w:tc>
        <w:tc>
          <w:tcPr>
            <w:tcW w:w="1486" w:type="dxa"/>
          </w:tcPr>
          <w:p w:rsidR="00D849AA" w:rsidRDefault="00EE6D95">
            <w:r>
              <w:t>1</w:t>
            </w:r>
          </w:p>
        </w:tc>
        <w:tc>
          <w:tcPr>
            <w:tcW w:w="1486" w:type="dxa"/>
          </w:tcPr>
          <w:p w:rsidR="00D849AA" w:rsidRDefault="00EE6D95">
            <w:r>
              <w:t>1</w:t>
            </w:r>
          </w:p>
        </w:tc>
        <w:tc>
          <w:tcPr>
            <w:tcW w:w="1486" w:type="dxa"/>
          </w:tcPr>
          <w:p w:rsidR="00D849AA" w:rsidRDefault="00EE6D95">
            <w:r>
              <w:t>1</w:t>
            </w:r>
          </w:p>
        </w:tc>
      </w:tr>
    </w:tbl>
    <w:p w:rsidR="00D849AA" w:rsidRDefault="00D849AA">
      <w:pPr>
        <w:jc w:val="left"/>
      </w:pPr>
    </w:p>
    <w:p w:rsidR="00D849AA" w:rsidRDefault="00EE6D95">
      <w:pPr>
        <w:pStyle w:val="Naslov5"/>
      </w:pPr>
      <w:r>
        <w:t>Procjena i ishodište potrebnih sredstava za značajnije aktivnosti/projekte</w:t>
      </w:r>
    </w:p>
    <w:p w:rsidR="00D849AA" w:rsidRDefault="00EE6D95">
      <w:pPr>
        <w:pStyle w:val="Naslov6"/>
      </w:pPr>
      <w:r>
        <w:t>A874001 ADMINISTRACIJA I UPRAVLJANJE</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Default="00EE6D95">
            <w:pPr>
              <w:pStyle w:val="CellHeader"/>
            </w:pPr>
            <w:r>
              <w:t>Naziv aktivnosti</w:t>
            </w:r>
          </w:p>
        </w:tc>
        <w:tc>
          <w:tcPr>
            <w:tcW w:w="1486" w:type="dxa"/>
            <w:shd w:val="clear" w:color="auto" w:fill="B5C0D8"/>
          </w:tcPr>
          <w:p w:rsidR="00D849AA" w:rsidRDefault="00EE6D95">
            <w:pPr>
              <w:pStyle w:val="CellHeader"/>
            </w:pPr>
            <w:r>
              <w:t>Plan 2013.</w:t>
            </w:r>
          </w:p>
        </w:tc>
        <w:tc>
          <w:tcPr>
            <w:tcW w:w="1486" w:type="dxa"/>
            <w:shd w:val="clear" w:color="auto" w:fill="B5C0D8"/>
          </w:tcPr>
          <w:p w:rsidR="00D849AA" w:rsidRDefault="00EE6D95">
            <w:pPr>
              <w:pStyle w:val="CellHeader"/>
            </w:pPr>
            <w:r>
              <w:t>Plan 2014.</w:t>
            </w:r>
          </w:p>
        </w:tc>
        <w:tc>
          <w:tcPr>
            <w:tcW w:w="1486" w:type="dxa"/>
            <w:shd w:val="clear" w:color="auto" w:fill="B5C0D8"/>
          </w:tcPr>
          <w:p w:rsidR="00D849AA" w:rsidRDefault="00EE6D95">
            <w:pPr>
              <w:pStyle w:val="CellHeader"/>
            </w:pPr>
            <w:r>
              <w:t>Plan 2015.</w:t>
            </w:r>
          </w:p>
        </w:tc>
        <w:tc>
          <w:tcPr>
            <w:tcW w:w="1486" w:type="dxa"/>
            <w:shd w:val="clear" w:color="auto" w:fill="B5C0D8"/>
          </w:tcPr>
          <w:p w:rsidR="00D849AA" w:rsidRDefault="00EE6D95">
            <w:pPr>
              <w:pStyle w:val="CellHeader"/>
            </w:pPr>
            <w:r>
              <w:t>Plan 2016.</w:t>
            </w:r>
          </w:p>
        </w:tc>
        <w:tc>
          <w:tcPr>
            <w:tcW w:w="1486" w:type="dxa"/>
            <w:shd w:val="clear" w:color="auto" w:fill="B5C0D8"/>
          </w:tcPr>
          <w:p w:rsidR="00D849AA" w:rsidRDefault="00EE6D95">
            <w:pPr>
              <w:pStyle w:val="CellHeader"/>
            </w:pPr>
            <w:r>
              <w:t>Indeks 2014/2013</w:t>
            </w:r>
          </w:p>
        </w:tc>
      </w:tr>
      <w:tr w:rsidR="00D849AA">
        <w:trPr>
          <w:jc w:val="center"/>
        </w:trPr>
        <w:tc>
          <w:tcPr>
            <w:tcW w:w="1486" w:type="dxa"/>
          </w:tcPr>
          <w:p w:rsidR="00D849AA" w:rsidRDefault="00EE6D95">
            <w:pPr>
              <w:pStyle w:val="CellColumn"/>
            </w:pPr>
            <w:r>
              <w:t>A874001</w:t>
            </w:r>
          </w:p>
        </w:tc>
        <w:tc>
          <w:tcPr>
            <w:tcW w:w="1486" w:type="dxa"/>
          </w:tcPr>
          <w:p w:rsidR="00D849AA" w:rsidRDefault="00EE6D95">
            <w:r>
              <w:t>00</w:t>
            </w:r>
          </w:p>
        </w:tc>
        <w:tc>
          <w:tcPr>
            <w:tcW w:w="1486" w:type="dxa"/>
          </w:tcPr>
          <w:p w:rsidR="00D849AA" w:rsidRDefault="00EE6D95">
            <w:r>
              <w:t>1.352.755</w:t>
            </w:r>
          </w:p>
        </w:tc>
        <w:tc>
          <w:tcPr>
            <w:tcW w:w="1486" w:type="dxa"/>
          </w:tcPr>
          <w:p w:rsidR="00D849AA" w:rsidRDefault="00EE6D95">
            <w:r>
              <w:t>1.100.583</w:t>
            </w:r>
          </w:p>
        </w:tc>
        <w:tc>
          <w:tcPr>
            <w:tcW w:w="1486" w:type="dxa"/>
          </w:tcPr>
          <w:p w:rsidR="00D849AA" w:rsidRDefault="00EE6D95">
            <w:r>
              <w:t>1.318.643</w:t>
            </w:r>
          </w:p>
        </w:tc>
        <w:tc>
          <w:tcPr>
            <w:tcW w:w="1486" w:type="dxa"/>
          </w:tcPr>
          <w:p w:rsidR="00D849AA" w:rsidRDefault="00EE6D95">
            <w:r>
              <w:t>0,0</w:t>
            </w:r>
          </w:p>
        </w:tc>
      </w:tr>
    </w:tbl>
    <w:p w:rsidR="00D849AA" w:rsidRDefault="00D849AA">
      <w:pPr>
        <w:jc w:val="left"/>
      </w:pPr>
    </w:p>
    <w:p w:rsidR="001A0201" w:rsidRDefault="00EE6D95">
      <w:pPr>
        <w:pStyle w:val="Normal6"/>
      </w:pPr>
      <w:r>
        <w:t xml:space="preserve">Povjerenik za informiranje odredit će način rada i ustroj Ureda Poslovnikom te Pravilnikom o unutarnjem redu kojima će utvrditi ustrojstvene jedinice, radna mjesta te način rada.  </w:t>
      </w:r>
    </w:p>
    <w:p w:rsidR="001A0201" w:rsidRDefault="001A0201" w:rsidP="001A0201">
      <w:pPr>
        <w:pStyle w:val="Normal6"/>
      </w:pPr>
      <w:r>
        <w:t>S obzirom da od četiri zaposlenika koji su preuzeti od Agencije za zaštitu osobnih podataka, tri zaposlenika rade na poslovima drugostupanjskog postupka, a jedan na poslovima poslovnog tajništva bit će potrebno u sljedećem razdoblju zaposliti nove službenike odgovarajuće struke, budući da se očekuje povećani broj žalbi s obzirom na veći krug obveznika primjene propisa.</w:t>
      </w:r>
    </w:p>
    <w:p w:rsidR="001A0201" w:rsidRDefault="001A0201">
      <w:pPr>
        <w:pStyle w:val="Normal6"/>
      </w:pPr>
    </w:p>
    <w:p w:rsidR="00D849AA" w:rsidRDefault="00EE6D95">
      <w:pPr>
        <w:pStyle w:val="Normal6"/>
      </w:pPr>
      <w:r>
        <w:t xml:space="preserve"> </w:t>
      </w:r>
    </w:p>
    <w:p w:rsidR="00D35BD1" w:rsidRDefault="00D35BD1">
      <w:pPr>
        <w:pStyle w:val="Normal6"/>
      </w:pPr>
    </w:p>
    <w:p w:rsidR="00D35BD1" w:rsidRDefault="00D35BD1">
      <w:pPr>
        <w:pStyle w:val="Normal6"/>
      </w:pPr>
    </w:p>
    <w:p w:rsidR="00D35BD1" w:rsidRDefault="00D35BD1">
      <w:pPr>
        <w:pStyle w:val="Normal6"/>
      </w:pPr>
    </w:p>
    <w:p w:rsidR="00D35BD1" w:rsidRDefault="00D35BD1">
      <w:pPr>
        <w:pStyle w:val="Normal6"/>
      </w:pPr>
    </w:p>
    <w:p w:rsidR="00D35BD1" w:rsidRDefault="00D35BD1">
      <w:pPr>
        <w:pStyle w:val="Normal6"/>
      </w:pPr>
    </w:p>
    <w:p w:rsidR="00D849AA" w:rsidRDefault="00EE6D95">
      <w:pPr>
        <w:pStyle w:val="Naslov8"/>
        <w:jc w:val="left"/>
      </w:pPr>
      <w:r>
        <w:lastRenderedPageBreak/>
        <w:t>Pokazatelji rezultata</w:t>
      </w:r>
    </w:p>
    <w:tbl>
      <w:tblPr>
        <w:tblStyle w:val="Reetkatablice"/>
        <w:tblW w:w="0" w:type="auto"/>
        <w:jc w:val="center"/>
        <w:tblLook w:val="04A0" w:firstRow="1" w:lastRow="0" w:firstColumn="1" w:lastColumn="0" w:noHBand="0" w:noVBand="1"/>
      </w:tblPr>
      <w:tblGrid>
        <w:gridCol w:w="2229"/>
        <w:gridCol w:w="1173"/>
        <w:gridCol w:w="1114"/>
        <w:gridCol w:w="1486"/>
        <w:gridCol w:w="1486"/>
        <w:gridCol w:w="1486"/>
      </w:tblGrid>
      <w:tr w:rsidR="00D849AA">
        <w:trPr>
          <w:jc w:val="center"/>
        </w:trPr>
        <w:tc>
          <w:tcPr>
            <w:tcW w:w="2229" w:type="dxa"/>
            <w:shd w:val="clear" w:color="auto" w:fill="B5C0D8"/>
          </w:tcPr>
          <w:p w:rsidR="00D849AA" w:rsidRPr="00D35BD1" w:rsidRDefault="00EE6D95">
            <w:pPr>
              <w:rPr>
                <w:rFonts w:ascii="Arial" w:hAnsi="Arial" w:cs="Arial"/>
              </w:rPr>
            </w:pPr>
            <w:r w:rsidRPr="00D35BD1">
              <w:rPr>
                <w:rFonts w:ascii="Arial" w:hAnsi="Arial" w:cs="Arial"/>
              </w:rPr>
              <w:t>Pokazatelj rezultata</w:t>
            </w:r>
          </w:p>
        </w:tc>
        <w:tc>
          <w:tcPr>
            <w:tcW w:w="1114" w:type="dxa"/>
            <w:shd w:val="clear" w:color="auto" w:fill="B5C0D8"/>
          </w:tcPr>
          <w:p w:rsidR="00D849AA" w:rsidRPr="00D35BD1" w:rsidRDefault="00EE6D95">
            <w:pPr>
              <w:pStyle w:val="CellHeader"/>
            </w:pPr>
            <w:r w:rsidRPr="00D35BD1">
              <w:t>Jedinica</w:t>
            </w:r>
          </w:p>
        </w:tc>
        <w:tc>
          <w:tcPr>
            <w:tcW w:w="1114" w:type="dxa"/>
            <w:shd w:val="clear" w:color="auto" w:fill="B5C0D8"/>
          </w:tcPr>
          <w:p w:rsidR="00D849AA" w:rsidRPr="00D35BD1" w:rsidRDefault="00EE6D95">
            <w:pPr>
              <w:pStyle w:val="CellHeader"/>
            </w:pPr>
            <w:r w:rsidRPr="00D35BD1">
              <w:t>Polazna vrijednost</w:t>
            </w:r>
          </w:p>
        </w:tc>
        <w:tc>
          <w:tcPr>
            <w:tcW w:w="1486" w:type="dxa"/>
            <w:shd w:val="clear" w:color="auto" w:fill="B5C0D8"/>
          </w:tcPr>
          <w:p w:rsidR="00D849AA" w:rsidRPr="00D35BD1" w:rsidRDefault="00EE6D95">
            <w:pPr>
              <w:pStyle w:val="CellHeader"/>
            </w:pPr>
            <w:r w:rsidRPr="00D35BD1">
              <w:t>Ciljana vrijednost (2014.)</w:t>
            </w:r>
          </w:p>
        </w:tc>
        <w:tc>
          <w:tcPr>
            <w:tcW w:w="1486" w:type="dxa"/>
            <w:shd w:val="clear" w:color="auto" w:fill="B5C0D8"/>
          </w:tcPr>
          <w:p w:rsidR="00D849AA" w:rsidRPr="00D35BD1" w:rsidRDefault="00EE6D95">
            <w:pPr>
              <w:pStyle w:val="CellHeader"/>
            </w:pPr>
            <w:r w:rsidRPr="00D35BD1">
              <w:t>Ciljana vrijednost (2015.)</w:t>
            </w:r>
          </w:p>
        </w:tc>
        <w:tc>
          <w:tcPr>
            <w:tcW w:w="1486" w:type="dxa"/>
            <w:shd w:val="clear" w:color="auto" w:fill="B5C0D8"/>
          </w:tcPr>
          <w:p w:rsidR="00D849AA" w:rsidRPr="00D35BD1" w:rsidRDefault="00EE6D95">
            <w:pPr>
              <w:pStyle w:val="CellHeader"/>
            </w:pPr>
            <w:r w:rsidRPr="00D35BD1">
              <w:t>Ciljana vrijednost (2016.)</w:t>
            </w:r>
          </w:p>
        </w:tc>
      </w:tr>
      <w:tr w:rsidR="00D849AA">
        <w:trPr>
          <w:jc w:val="center"/>
        </w:trPr>
        <w:tc>
          <w:tcPr>
            <w:tcW w:w="2229" w:type="dxa"/>
          </w:tcPr>
          <w:p w:rsidR="00D849AA" w:rsidRPr="00D35BD1" w:rsidRDefault="00EE6D95">
            <w:pPr>
              <w:pStyle w:val="CellColumn"/>
            </w:pPr>
            <w:r w:rsidRPr="00D35BD1">
              <w:t xml:space="preserve">Ustrojavanje Ureda usvajanjem Poslovnika i Pravilnika o unutarnjem redu.  </w:t>
            </w:r>
          </w:p>
          <w:p w:rsidR="00D849AA" w:rsidRPr="00D35BD1" w:rsidRDefault="00EE6D95">
            <w:pPr>
              <w:pStyle w:val="CellColumn"/>
            </w:pPr>
            <w:r w:rsidRPr="00D35BD1">
              <w:t>Donošenje rješenja o rasporedu na radna mjesta.</w:t>
            </w:r>
          </w:p>
        </w:tc>
        <w:tc>
          <w:tcPr>
            <w:tcW w:w="1114" w:type="dxa"/>
          </w:tcPr>
          <w:p w:rsidR="00D849AA" w:rsidRPr="00D35BD1" w:rsidRDefault="00EE6D95">
            <w:pPr>
              <w:rPr>
                <w:rFonts w:ascii="Arial" w:hAnsi="Arial" w:cs="Arial"/>
              </w:rPr>
            </w:pPr>
            <w:r w:rsidRPr="00D35BD1">
              <w:rPr>
                <w:rFonts w:ascii="Arial" w:hAnsi="Arial" w:cs="Arial"/>
              </w:rPr>
              <w:t>broj zaposlenih</w:t>
            </w:r>
          </w:p>
        </w:tc>
        <w:tc>
          <w:tcPr>
            <w:tcW w:w="1114" w:type="dxa"/>
          </w:tcPr>
          <w:p w:rsidR="00D849AA" w:rsidRPr="00D35BD1" w:rsidRDefault="00EE6D95">
            <w:pPr>
              <w:rPr>
                <w:rFonts w:ascii="Arial" w:hAnsi="Arial" w:cs="Arial"/>
              </w:rPr>
            </w:pPr>
            <w:r w:rsidRPr="00D35BD1">
              <w:rPr>
                <w:rFonts w:ascii="Arial" w:hAnsi="Arial" w:cs="Arial"/>
              </w:rPr>
              <w:t>4</w:t>
            </w:r>
          </w:p>
        </w:tc>
        <w:tc>
          <w:tcPr>
            <w:tcW w:w="1486" w:type="dxa"/>
          </w:tcPr>
          <w:p w:rsidR="00D849AA" w:rsidRPr="00D35BD1" w:rsidRDefault="00EE6D95">
            <w:pPr>
              <w:rPr>
                <w:rFonts w:ascii="Arial" w:hAnsi="Arial" w:cs="Arial"/>
              </w:rPr>
            </w:pPr>
            <w:r w:rsidRPr="00D35BD1">
              <w:rPr>
                <w:rFonts w:ascii="Arial" w:hAnsi="Arial" w:cs="Arial"/>
              </w:rPr>
              <w:t>4</w:t>
            </w:r>
          </w:p>
        </w:tc>
        <w:tc>
          <w:tcPr>
            <w:tcW w:w="1486" w:type="dxa"/>
          </w:tcPr>
          <w:p w:rsidR="00D849AA" w:rsidRPr="00D35BD1" w:rsidRDefault="00EE6D95">
            <w:pPr>
              <w:rPr>
                <w:rFonts w:ascii="Arial" w:hAnsi="Arial" w:cs="Arial"/>
              </w:rPr>
            </w:pPr>
            <w:r w:rsidRPr="00D35BD1">
              <w:rPr>
                <w:rFonts w:ascii="Arial" w:hAnsi="Arial" w:cs="Arial"/>
              </w:rPr>
              <w:t>3</w:t>
            </w:r>
          </w:p>
        </w:tc>
        <w:tc>
          <w:tcPr>
            <w:tcW w:w="1486" w:type="dxa"/>
          </w:tcPr>
          <w:p w:rsidR="00D849AA" w:rsidRPr="00D35BD1" w:rsidRDefault="00EE6D95">
            <w:pPr>
              <w:rPr>
                <w:rFonts w:ascii="Arial" w:hAnsi="Arial" w:cs="Arial"/>
              </w:rPr>
            </w:pPr>
            <w:r w:rsidRPr="00D35BD1">
              <w:rPr>
                <w:rFonts w:ascii="Arial" w:hAnsi="Arial" w:cs="Arial"/>
              </w:rPr>
              <w:t>2</w:t>
            </w:r>
          </w:p>
        </w:tc>
      </w:tr>
    </w:tbl>
    <w:p w:rsidR="00D849AA" w:rsidRDefault="00D849AA">
      <w:pPr>
        <w:jc w:val="left"/>
      </w:pPr>
    </w:p>
    <w:p w:rsidR="00D849AA" w:rsidRDefault="00EE6D95">
      <w:pPr>
        <w:pStyle w:val="Naslov6"/>
      </w:pPr>
      <w:r>
        <w:t>K874004 INFORMATIZACIJA</w:t>
      </w:r>
    </w:p>
    <w:tbl>
      <w:tblPr>
        <w:tblStyle w:val="Reetkatablice"/>
        <w:tblW w:w="0" w:type="auto"/>
        <w:jc w:val="center"/>
        <w:tblLook w:val="04A0" w:firstRow="1" w:lastRow="0" w:firstColumn="1" w:lastColumn="0" w:noHBand="0" w:noVBand="1"/>
      </w:tblPr>
      <w:tblGrid>
        <w:gridCol w:w="1486"/>
        <w:gridCol w:w="1486"/>
        <w:gridCol w:w="1486"/>
        <w:gridCol w:w="1486"/>
        <w:gridCol w:w="1486"/>
        <w:gridCol w:w="1486"/>
      </w:tblGrid>
      <w:tr w:rsidR="00D849AA">
        <w:trPr>
          <w:jc w:val="center"/>
        </w:trPr>
        <w:tc>
          <w:tcPr>
            <w:tcW w:w="1486" w:type="dxa"/>
            <w:shd w:val="clear" w:color="auto" w:fill="B5C0D8"/>
          </w:tcPr>
          <w:p w:rsidR="00D849AA" w:rsidRPr="00D35BD1" w:rsidRDefault="00EE6D95">
            <w:pPr>
              <w:pStyle w:val="CellHeader"/>
            </w:pPr>
            <w:r w:rsidRPr="00D35BD1">
              <w:t>Naziv aktivnosti</w:t>
            </w:r>
          </w:p>
        </w:tc>
        <w:tc>
          <w:tcPr>
            <w:tcW w:w="1486" w:type="dxa"/>
            <w:shd w:val="clear" w:color="auto" w:fill="B5C0D8"/>
          </w:tcPr>
          <w:p w:rsidR="00D849AA" w:rsidRPr="00D35BD1" w:rsidRDefault="00EE6D95">
            <w:pPr>
              <w:pStyle w:val="CellHeader"/>
            </w:pPr>
            <w:r w:rsidRPr="00D35BD1">
              <w:t>Plan 2013.</w:t>
            </w:r>
          </w:p>
        </w:tc>
        <w:tc>
          <w:tcPr>
            <w:tcW w:w="1486" w:type="dxa"/>
            <w:shd w:val="clear" w:color="auto" w:fill="B5C0D8"/>
          </w:tcPr>
          <w:p w:rsidR="00D849AA" w:rsidRPr="00D35BD1" w:rsidRDefault="00EE6D95">
            <w:pPr>
              <w:pStyle w:val="CellHeader"/>
            </w:pPr>
            <w:r w:rsidRPr="00D35BD1">
              <w:t>Plan 2014.</w:t>
            </w:r>
          </w:p>
        </w:tc>
        <w:tc>
          <w:tcPr>
            <w:tcW w:w="1486" w:type="dxa"/>
            <w:shd w:val="clear" w:color="auto" w:fill="B5C0D8"/>
          </w:tcPr>
          <w:p w:rsidR="00D849AA" w:rsidRPr="00D35BD1" w:rsidRDefault="00EE6D95">
            <w:pPr>
              <w:pStyle w:val="CellHeader"/>
            </w:pPr>
            <w:r w:rsidRPr="00D35BD1">
              <w:t>Plan 2015.</w:t>
            </w:r>
          </w:p>
        </w:tc>
        <w:tc>
          <w:tcPr>
            <w:tcW w:w="1486" w:type="dxa"/>
            <w:shd w:val="clear" w:color="auto" w:fill="B5C0D8"/>
          </w:tcPr>
          <w:p w:rsidR="00D849AA" w:rsidRPr="00D35BD1" w:rsidRDefault="00EE6D95">
            <w:pPr>
              <w:pStyle w:val="CellHeader"/>
            </w:pPr>
            <w:r w:rsidRPr="00D35BD1">
              <w:t>Plan 2016.</w:t>
            </w:r>
          </w:p>
        </w:tc>
        <w:tc>
          <w:tcPr>
            <w:tcW w:w="1486" w:type="dxa"/>
            <w:shd w:val="clear" w:color="auto" w:fill="B5C0D8"/>
          </w:tcPr>
          <w:p w:rsidR="00D849AA" w:rsidRPr="00D35BD1" w:rsidRDefault="00EE6D95">
            <w:pPr>
              <w:pStyle w:val="CellHeader"/>
            </w:pPr>
            <w:r w:rsidRPr="00D35BD1">
              <w:t>Indeks 2014/2013</w:t>
            </w:r>
          </w:p>
        </w:tc>
      </w:tr>
      <w:tr w:rsidR="00D849AA">
        <w:trPr>
          <w:jc w:val="center"/>
        </w:trPr>
        <w:tc>
          <w:tcPr>
            <w:tcW w:w="1486" w:type="dxa"/>
          </w:tcPr>
          <w:p w:rsidR="00D849AA" w:rsidRPr="00D35BD1" w:rsidRDefault="00EE6D95">
            <w:pPr>
              <w:pStyle w:val="CellColumn"/>
            </w:pPr>
            <w:r w:rsidRPr="00D35BD1">
              <w:t>K874004</w:t>
            </w:r>
          </w:p>
        </w:tc>
        <w:tc>
          <w:tcPr>
            <w:tcW w:w="1486" w:type="dxa"/>
          </w:tcPr>
          <w:p w:rsidR="00D849AA" w:rsidRPr="00D35BD1" w:rsidRDefault="00EE6D95">
            <w:pPr>
              <w:rPr>
                <w:rFonts w:ascii="Arial" w:hAnsi="Arial" w:cs="Arial"/>
              </w:rPr>
            </w:pPr>
            <w:r w:rsidRPr="00D35BD1">
              <w:rPr>
                <w:rFonts w:ascii="Arial" w:hAnsi="Arial" w:cs="Arial"/>
              </w:rPr>
              <w:t>00</w:t>
            </w:r>
          </w:p>
        </w:tc>
        <w:tc>
          <w:tcPr>
            <w:tcW w:w="1486" w:type="dxa"/>
          </w:tcPr>
          <w:p w:rsidR="00D849AA" w:rsidRPr="00D35BD1" w:rsidRDefault="00EE6D95">
            <w:pPr>
              <w:rPr>
                <w:rFonts w:ascii="Arial" w:hAnsi="Arial" w:cs="Arial"/>
              </w:rPr>
            </w:pPr>
            <w:r w:rsidRPr="00D35BD1">
              <w:rPr>
                <w:rFonts w:ascii="Arial" w:hAnsi="Arial" w:cs="Arial"/>
              </w:rPr>
              <w:t>36.914</w:t>
            </w:r>
          </w:p>
        </w:tc>
        <w:tc>
          <w:tcPr>
            <w:tcW w:w="1486" w:type="dxa"/>
          </w:tcPr>
          <w:p w:rsidR="00D849AA" w:rsidRPr="00D35BD1" w:rsidRDefault="00EE6D95">
            <w:pPr>
              <w:rPr>
                <w:rFonts w:ascii="Arial" w:hAnsi="Arial" w:cs="Arial"/>
              </w:rPr>
            </w:pPr>
            <w:r w:rsidRPr="00D35BD1">
              <w:rPr>
                <w:rFonts w:ascii="Arial" w:hAnsi="Arial" w:cs="Arial"/>
              </w:rPr>
              <w:t>34.115</w:t>
            </w:r>
          </w:p>
        </w:tc>
        <w:tc>
          <w:tcPr>
            <w:tcW w:w="1486" w:type="dxa"/>
          </w:tcPr>
          <w:p w:rsidR="00D849AA" w:rsidRPr="00D35BD1" w:rsidRDefault="00EE6D95">
            <w:pPr>
              <w:rPr>
                <w:rFonts w:ascii="Arial" w:hAnsi="Arial" w:cs="Arial"/>
              </w:rPr>
            </w:pPr>
            <w:r w:rsidRPr="00D35BD1">
              <w:rPr>
                <w:rFonts w:ascii="Arial" w:hAnsi="Arial" w:cs="Arial"/>
              </w:rPr>
              <w:t>37.887</w:t>
            </w:r>
          </w:p>
        </w:tc>
        <w:tc>
          <w:tcPr>
            <w:tcW w:w="1486" w:type="dxa"/>
          </w:tcPr>
          <w:p w:rsidR="00D849AA" w:rsidRPr="00D35BD1" w:rsidRDefault="00EE6D95">
            <w:pPr>
              <w:rPr>
                <w:rFonts w:ascii="Arial" w:hAnsi="Arial" w:cs="Arial"/>
              </w:rPr>
            </w:pPr>
            <w:r w:rsidRPr="00D35BD1">
              <w:rPr>
                <w:rFonts w:ascii="Arial" w:hAnsi="Arial" w:cs="Arial"/>
              </w:rPr>
              <w:t>0,0</w:t>
            </w:r>
          </w:p>
        </w:tc>
      </w:tr>
    </w:tbl>
    <w:p w:rsidR="00D849AA" w:rsidRDefault="00D849AA">
      <w:pPr>
        <w:jc w:val="left"/>
      </w:pPr>
    </w:p>
    <w:p w:rsidR="00D849AA" w:rsidRDefault="00EE6D95">
      <w:pPr>
        <w:pStyle w:val="Normal6"/>
      </w:pPr>
      <w:r>
        <w:t xml:space="preserve">Ured Povjerenika za informiranje kao novo osnovano tijelo javne vlasti utrošiti će dodijeljena financijska sredstva za nabavu informatičke i  komunikacijske opreme, licenci, informatičkih programa i namještaja.   </w:t>
      </w:r>
    </w:p>
    <w:p w:rsidR="00D849AA" w:rsidRDefault="00EE6D95">
      <w:pPr>
        <w:pStyle w:val="Normal6"/>
      </w:pPr>
      <w:r>
        <w:t>Zbog potrebe novozaposlenih djelatnika Ured Povjerenika za informiranje će se najkasnije u 2015. godini morati preselitu u veći poslovni prostor.</w:t>
      </w:r>
    </w:p>
    <w:sectPr w:rsidR="00D849AA">
      <w:foot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2853" w:rsidRDefault="00AE2853" w:rsidP="00F352E6">
      <w:pPr>
        <w:spacing w:before="0" w:after="0"/>
      </w:pPr>
      <w:r>
        <w:separator/>
      </w:r>
    </w:p>
  </w:endnote>
  <w:endnote w:type="continuationSeparator" w:id="0">
    <w:p w:rsidR="00AE2853" w:rsidRDefault="00AE2853" w:rsidP="00F352E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6082392"/>
      <w:docPartObj>
        <w:docPartGallery w:val="Page Numbers (Bottom of Page)"/>
        <w:docPartUnique/>
      </w:docPartObj>
    </w:sdtPr>
    <w:sdtContent>
      <w:p w:rsidR="00AE2853" w:rsidRDefault="00AE2853">
        <w:pPr>
          <w:pStyle w:val="Podnoje"/>
          <w:jc w:val="center"/>
        </w:pPr>
        <w:r>
          <w:fldChar w:fldCharType="begin"/>
        </w:r>
        <w:r>
          <w:instrText>PAGE   \* MERGEFORMAT</w:instrText>
        </w:r>
        <w:r>
          <w:fldChar w:fldCharType="separate"/>
        </w:r>
        <w:r w:rsidR="0068491D">
          <w:rPr>
            <w:noProof/>
          </w:rPr>
          <w:t>1003</w:t>
        </w:r>
        <w:r>
          <w:fldChar w:fldCharType="end"/>
        </w:r>
      </w:p>
    </w:sdtContent>
  </w:sdt>
  <w:p w:rsidR="00AE2853" w:rsidRDefault="00AE2853">
    <w:pPr>
      <w:pStyle w:val="Podnoj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2853" w:rsidRDefault="00AE2853" w:rsidP="00F352E6">
      <w:pPr>
        <w:spacing w:before="0" w:after="0"/>
      </w:pPr>
      <w:r>
        <w:separator/>
      </w:r>
    </w:p>
  </w:footnote>
  <w:footnote w:type="continuationSeparator" w:id="0">
    <w:p w:rsidR="00AE2853" w:rsidRDefault="00AE2853" w:rsidP="00F352E6">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2"/>
  </w:compat>
  <w:rsids>
    <w:rsidRoot w:val="00480C76"/>
    <w:rsid w:val="000B4BC0"/>
    <w:rsid w:val="000E4589"/>
    <w:rsid w:val="000F7433"/>
    <w:rsid w:val="00152705"/>
    <w:rsid w:val="00190154"/>
    <w:rsid w:val="001A0148"/>
    <w:rsid w:val="001A0201"/>
    <w:rsid w:val="001D483A"/>
    <w:rsid w:val="001F1BA4"/>
    <w:rsid w:val="00221AEF"/>
    <w:rsid w:val="00281201"/>
    <w:rsid w:val="002A2E03"/>
    <w:rsid w:val="002A3D3D"/>
    <w:rsid w:val="002B0D33"/>
    <w:rsid w:val="002D2284"/>
    <w:rsid w:val="00311AA1"/>
    <w:rsid w:val="00337A23"/>
    <w:rsid w:val="00386953"/>
    <w:rsid w:val="003B5502"/>
    <w:rsid w:val="00406D37"/>
    <w:rsid w:val="00461569"/>
    <w:rsid w:val="00480C76"/>
    <w:rsid w:val="004D6DC3"/>
    <w:rsid w:val="00535A65"/>
    <w:rsid w:val="00562CD8"/>
    <w:rsid w:val="00575FBE"/>
    <w:rsid w:val="005E43AC"/>
    <w:rsid w:val="005F2AE2"/>
    <w:rsid w:val="006065CF"/>
    <w:rsid w:val="00622A3F"/>
    <w:rsid w:val="00660766"/>
    <w:rsid w:val="0067431F"/>
    <w:rsid w:val="006759BE"/>
    <w:rsid w:val="0068491D"/>
    <w:rsid w:val="006B1EA0"/>
    <w:rsid w:val="006C117C"/>
    <w:rsid w:val="006F73DC"/>
    <w:rsid w:val="00700E6F"/>
    <w:rsid w:val="00724B93"/>
    <w:rsid w:val="00733ECD"/>
    <w:rsid w:val="00745B2F"/>
    <w:rsid w:val="007665AA"/>
    <w:rsid w:val="00774652"/>
    <w:rsid w:val="0078277B"/>
    <w:rsid w:val="0079664A"/>
    <w:rsid w:val="007B4611"/>
    <w:rsid w:val="007C564B"/>
    <w:rsid w:val="007E73AB"/>
    <w:rsid w:val="007F0A5D"/>
    <w:rsid w:val="007F25F6"/>
    <w:rsid w:val="00807829"/>
    <w:rsid w:val="00847495"/>
    <w:rsid w:val="00851AC6"/>
    <w:rsid w:val="009359F2"/>
    <w:rsid w:val="00950B90"/>
    <w:rsid w:val="00951E4F"/>
    <w:rsid w:val="009558C9"/>
    <w:rsid w:val="009729DD"/>
    <w:rsid w:val="009B5B8A"/>
    <w:rsid w:val="009E71DD"/>
    <w:rsid w:val="00A021A2"/>
    <w:rsid w:val="00A202BD"/>
    <w:rsid w:val="00A30DDD"/>
    <w:rsid w:val="00A5008D"/>
    <w:rsid w:val="00A8412B"/>
    <w:rsid w:val="00AA0B4F"/>
    <w:rsid w:val="00AB4EDD"/>
    <w:rsid w:val="00AD0345"/>
    <w:rsid w:val="00AE2853"/>
    <w:rsid w:val="00B151E0"/>
    <w:rsid w:val="00B515E1"/>
    <w:rsid w:val="00B81876"/>
    <w:rsid w:val="00BF0142"/>
    <w:rsid w:val="00C211A8"/>
    <w:rsid w:val="00C664CD"/>
    <w:rsid w:val="00C7470A"/>
    <w:rsid w:val="00CA5742"/>
    <w:rsid w:val="00CC4FF4"/>
    <w:rsid w:val="00CF2970"/>
    <w:rsid w:val="00D35BD1"/>
    <w:rsid w:val="00D37802"/>
    <w:rsid w:val="00D61DA2"/>
    <w:rsid w:val="00D849AA"/>
    <w:rsid w:val="00DE6ACB"/>
    <w:rsid w:val="00E000A0"/>
    <w:rsid w:val="00E2075F"/>
    <w:rsid w:val="00E20D6C"/>
    <w:rsid w:val="00E25AD5"/>
    <w:rsid w:val="00E435F5"/>
    <w:rsid w:val="00E85C61"/>
    <w:rsid w:val="00EE6D95"/>
    <w:rsid w:val="00EF65FE"/>
    <w:rsid w:val="00F352E6"/>
    <w:rsid w:val="00F37627"/>
    <w:rsid w:val="00F50B95"/>
    <w:rsid w:val="00F60D82"/>
    <w:rsid w:val="00F64340"/>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0C76"/>
    <w:pPr>
      <w:overflowPunct w:val="0"/>
      <w:autoSpaceDE w:val="0"/>
      <w:autoSpaceDN w:val="0"/>
      <w:adjustRightInd w:val="0"/>
      <w:spacing w:before="120" w:after="120" w:line="240" w:lineRule="auto"/>
      <w:jc w:val="both"/>
      <w:textAlignment w:val="baseline"/>
    </w:pPr>
    <w:rPr>
      <w:rFonts w:ascii="Times New Roman" w:eastAsia="Times New Roman" w:hAnsi="Times New Roman" w:cs="Times New Roman"/>
      <w:szCs w:val="20"/>
    </w:rPr>
  </w:style>
  <w:style w:type="paragraph" w:styleId="Naslov1">
    <w:name w:val="heading 1"/>
    <w:basedOn w:val="Normal"/>
    <w:next w:val="Normal"/>
    <w:link w:val="Naslov1Char"/>
    <w:qFormat/>
    <w:rsid w:val="00480C76"/>
    <w:pPr>
      <w:keepNext/>
      <w:keepLines/>
      <w:pageBreakBefore/>
      <w:pBdr>
        <w:top w:val="single" w:sz="4" w:space="1" w:color="auto"/>
        <w:bottom w:val="single" w:sz="4" w:space="1" w:color="auto"/>
      </w:pBdr>
      <w:shd w:val="clear" w:color="auto" w:fill="E6E6E6"/>
      <w:ind w:left="658" w:hanging="658"/>
      <w:jc w:val="left"/>
      <w:outlineLvl w:val="0"/>
    </w:pPr>
    <w:rPr>
      <w:b/>
      <w:spacing w:val="20"/>
      <w:sz w:val="32"/>
      <w:szCs w:val="32"/>
    </w:rPr>
  </w:style>
  <w:style w:type="paragraph" w:styleId="Naslov2">
    <w:name w:val="heading 2"/>
    <w:basedOn w:val="Normal"/>
    <w:next w:val="Normal"/>
    <w:link w:val="Naslov2Char"/>
    <w:qFormat/>
    <w:rsid w:val="00480C76"/>
    <w:pPr>
      <w:keepNext/>
      <w:pBdr>
        <w:top w:val="single" w:sz="4" w:space="1" w:color="auto"/>
        <w:bottom w:val="single" w:sz="4" w:space="1" w:color="auto"/>
      </w:pBdr>
      <w:shd w:val="clear" w:color="auto" w:fill="E6E6E6"/>
      <w:spacing w:before="360"/>
      <w:ind w:left="1134" w:hanging="953"/>
      <w:jc w:val="left"/>
      <w:outlineLvl w:val="1"/>
    </w:pPr>
    <w:rPr>
      <w:b/>
      <w:spacing w:val="20"/>
      <w:sz w:val="30"/>
      <w:szCs w:val="30"/>
    </w:rPr>
  </w:style>
  <w:style w:type="paragraph" w:styleId="Naslov3">
    <w:name w:val="heading 3"/>
    <w:basedOn w:val="Normal"/>
    <w:next w:val="Normal"/>
    <w:link w:val="Naslov3Char"/>
    <w:qFormat/>
    <w:rsid w:val="00480C76"/>
    <w:pPr>
      <w:keepNext/>
      <w:keepLines/>
      <w:shd w:val="clear" w:color="auto" w:fill="E6E6E6"/>
      <w:overflowPunct/>
      <w:autoSpaceDE/>
      <w:autoSpaceDN/>
      <w:adjustRightInd/>
      <w:spacing w:line="288" w:lineRule="auto"/>
      <w:ind w:left="2340" w:hanging="1983"/>
      <w:jc w:val="left"/>
      <w:textAlignment w:val="auto"/>
      <w:outlineLvl w:val="2"/>
    </w:pPr>
    <w:rPr>
      <w:rFonts w:cs="Arial"/>
      <w:b/>
      <w:iCs/>
      <w:spacing w:val="20"/>
      <w:sz w:val="28"/>
      <w:szCs w:val="28"/>
    </w:rPr>
  </w:style>
  <w:style w:type="paragraph" w:styleId="Naslov4">
    <w:name w:val="heading 4"/>
    <w:basedOn w:val="Normal"/>
    <w:next w:val="Normal"/>
    <w:link w:val="Naslov4Char"/>
    <w:qFormat/>
    <w:rsid w:val="00480C76"/>
    <w:pPr>
      <w:keepNext/>
      <w:keepLines/>
      <w:pBdr>
        <w:top w:val="single" w:sz="4" w:space="1" w:color="auto"/>
        <w:bottom w:val="single" w:sz="4" w:space="1" w:color="auto"/>
      </w:pBdr>
      <w:overflowPunct/>
      <w:autoSpaceDE/>
      <w:autoSpaceDN/>
      <w:adjustRightInd/>
      <w:spacing w:before="360"/>
      <w:ind w:left="658" w:hanging="301"/>
      <w:jc w:val="left"/>
      <w:textAlignment w:val="auto"/>
      <w:outlineLvl w:val="3"/>
    </w:pPr>
    <w:rPr>
      <w:b/>
      <w:bCs/>
      <w:sz w:val="28"/>
      <w:szCs w:val="28"/>
    </w:rPr>
  </w:style>
  <w:style w:type="paragraph" w:styleId="Naslov5">
    <w:name w:val="heading 5"/>
    <w:basedOn w:val="Normal"/>
    <w:next w:val="Normal"/>
    <w:link w:val="Naslov5Char"/>
    <w:qFormat/>
    <w:rsid w:val="00480C76"/>
    <w:pPr>
      <w:keepNext/>
      <w:keepLines/>
      <w:spacing w:before="360"/>
      <w:ind w:left="975" w:hanging="618"/>
      <w:jc w:val="left"/>
      <w:outlineLvl w:val="4"/>
    </w:pPr>
    <w:rPr>
      <w:b/>
      <w:sz w:val="26"/>
      <w:szCs w:val="26"/>
    </w:rPr>
  </w:style>
  <w:style w:type="paragraph" w:styleId="Naslov6">
    <w:name w:val="heading 6"/>
    <w:basedOn w:val="Normal"/>
    <w:next w:val="Normal"/>
    <w:link w:val="Naslov6Char"/>
    <w:qFormat/>
    <w:rsid w:val="00480C76"/>
    <w:pPr>
      <w:keepNext/>
      <w:spacing w:before="240" w:after="0"/>
      <w:ind w:left="539"/>
      <w:jc w:val="left"/>
      <w:outlineLvl w:val="5"/>
    </w:pPr>
    <w:rPr>
      <w:b/>
      <w:sz w:val="24"/>
      <w:szCs w:val="24"/>
    </w:rPr>
  </w:style>
  <w:style w:type="paragraph" w:styleId="Naslov7">
    <w:name w:val="heading 7"/>
    <w:basedOn w:val="Normal"/>
    <w:next w:val="Normal"/>
    <w:link w:val="Naslov7Char"/>
    <w:qFormat/>
    <w:rsid w:val="00480C76"/>
    <w:pPr>
      <w:keepNext/>
      <w:spacing w:before="240" w:after="0"/>
      <w:ind w:left="1582" w:hanging="862"/>
      <w:jc w:val="left"/>
      <w:outlineLvl w:val="6"/>
    </w:pPr>
    <w:rPr>
      <w:b/>
      <w:spacing w:val="24"/>
      <w:szCs w:val="22"/>
    </w:rPr>
  </w:style>
  <w:style w:type="paragraph" w:styleId="Naslov8">
    <w:name w:val="heading 8"/>
    <w:basedOn w:val="Normal6"/>
    <w:next w:val="Normal"/>
    <w:link w:val="Naslov8Char"/>
    <w:uiPriority w:val="9"/>
    <w:unhideWhenUsed/>
    <w:qFormat/>
    <w:rsid w:val="00386953"/>
    <w:pPr>
      <w:outlineLvl w:val="7"/>
    </w:pPr>
    <w:rPr>
      <w:b/>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rsid w:val="00480C76"/>
    <w:rPr>
      <w:rFonts w:ascii="Times New Roman" w:eastAsia="Times New Roman" w:hAnsi="Times New Roman" w:cs="Times New Roman"/>
      <w:b/>
      <w:spacing w:val="20"/>
      <w:sz w:val="32"/>
      <w:szCs w:val="32"/>
      <w:shd w:val="clear" w:color="auto" w:fill="E6E6E6"/>
      <w:lang w:val="sl-SI"/>
    </w:rPr>
  </w:style>
  <w:style w:type="character" w:customStyle="1" w:styleId="Naslov2Char">
    <w:name w:val="Naslov 2 Char"/>
    <w:basedOn w:val="Zadanifontodlomka"/>
    <w:link w:val="Naslov2"/>
    <w:rsid w:val="00480C76"/>
    <w:rPr>
      <w:rFonts w:ascii="Times New Roman" w:eastAsia="Times New Roman" w:hAnsi="Times New Roman" w:cs="Times New Roman"/>
      <w:b/>
      <w:spacing w:val="20"/>
      <w:sz w:val="30"/>
      <w:szCs w:val="30"/>
      <w:shd w:val="clear" w:color="auto" w:fill="E6E6E6"/>
      <w:lang w:val="sl-SI"/>
    </w:rPr>
  </w:style>
  <w:style w:type="character" w:customStyle="1" w:styleId="Naslov3Char">
    <w:name w:val="Naslov 3 Char"/>
    <w:basedOn w:val="Zadanifontodlomka"/>
    <w:link w:val="Naslov3"/>
    <w:rsid w:val="00480C76"/>
    <w:rPr>
      <w:rFonts w:ascii="Times New Roman" w:eastAsia="Times New Roman" w:hAnsi="Times New Roman" w:cs="Arial"/>
      <w:b/>
      <w:iCs/>
      <w:spacing w:val="20"/>
      <w:sz w:val="28"/>
      <w:szCs w:val="28"/>
      <w:shd w:val="clear" w:color="auto" w:fill="E6E6E6"/>
      <w:lang w:val="sl-SI"/>
    </w:rPr>
  </w:style>
  <w:style w:type="character" w:customStyle="1" w:styleId="Naslov4Char">
    <w:name w:val="Naslov 4 Char"/>
    <w:basedOn w:val="Zadanifontodlomka"/>
    <w:link w:val="Naslov4"/>
    <w:rsid w:val="00480C76"/>
    <w:rPr>
      <w:rFonts w:ascii="Times New Roman" w:eastAsia="Times New Roman" w:hAnsi="Times New Roman" w:cs="Times New Roman"/>
      <w:b/>
      <w:bCs/>
      <w:sz w:val="28"/>
      <w:szCs w:val="28"/>
      <w:lang w:val="sl-SI"/>
    </w:rPr>
  </w:style>
  <w:style w:type="character" w:customStyle="1" w:styleId="Naslov5Char">
    <w:name w:val="Naslov 5 Char"/>
    <w:basedOn w:val="Zadanifontodlomka"/>
    <w:link w:val="Naslov5"/>
    <w:rsid w:val="00480C76"/>
    <w:rPr>
      <w:rFonts w:ascii="Times New Roman" w:eastAsia="Times New Roman" w:hAnsi="Times New Roman" w:cs="Times New Roman"/>
      <w:b/>
      <w:sz w:val="26"/>
      <w:szCs w:val="26"/>
      <w:lang w:val="sl-SI"/>
    </w:rPr>
  </w:style>
  <w:style w:type="character" w:customStyle="1" w:styleId="Naslov6Char">
    <w:name w:val="Naslov 6 Char"/>
    <w:basedOn w:val="Zadanifontodlomka"/>
    <w:link w:val="Naslov6"/>
    <w:rsid w:val="00480C76"/>
    <w:rPr>
      <w:rFonts w:ascii="Times New Roman" w:eastAsia="Times New Roman" w:hAnsi="Times New Roman" w:cs="Times New Roman"/>
      <w:b/>
      <w:sz w:val="24"/>
      <w:szCs w:val="24"/>
      <w:lang w:val="sl-SI"/>
    </w:rPr>
  </w:style>
  <w:style w:type="character" w:customStyle="1" w:styleId="Naslov7Char">
    <w:name w:val="Naslov 7 Char"/>
    <w:basedOn w:val="Zadanifontodlomka"/>
    <w:link w:val="Naslov7"/>
    <w:rsid w:val="00480C76"/>
    <w:rPr>
      <w:rFonts w:ascii="Times New Roman" w:eastAsia="Times New Roman" w:hAnsi="Times New Roman" w:cs="Times New Roman"/>
      <w:b/>
      <w:spacing w:val="24"/>
      <w:lang w:val="sl-SI"/>
    </w:rPr>
  </w:style>
  <w:style w:type="paragraph" w:customStyle="1" w:styleId="KAZALO">
    <w:name w:val="KAZALO"/>
    <w:basedOn w:val="Normal"/>
    <w:rsid w:val="00480C76"/>
    <w:pPr>
      <w:keepNext/>
      <w:spacing w:after="240"/>
      <w:jc w:val="center"/>
    </w:pPr>
    <w:rPr>
      <w:b/>
      <w:bCs/>
      <w:sz w:val="32"/>
      <w:szCs w:val="32"/>
    </w:rPr>
  </w:style>
  <w:style w:type="paragraph" w:styleId="Zaglavlje">
    <w:name w:val="header"/>
    <w:basedOn w:val="Normal"/>
    <w:link w:val="ZaglavljeChar"/>
    <w:semiHidden/>
    <w:rsid w:val="00480C76"/>
    <w:pPr>
      <w:pBdr>
        <w:bottom w:val="single" w:sz="4" w:space="1" w:color="auto"/>
      </w:pBdr>
      <w:tabs>
        <w:tab w:val="center" w:pos="4536"/>
        <w:tab w:val="right" w:pos="9072"/>
      </w:tabs>
    </w:pPr>
    <w:rPr>
      <w:sz w:val="16"/>
    </w:rPr>
  </w:style>
  <w:style w:type="character" w:customStyle="1" w:styleId="ZaglavljeChar">
    <w:name w:val="Zaglavlje Char"/>
    <w:basedOn w:val="Zadanifontodlomka"/>
    <w:link w:val="Zaglavlje"/>
    <w:semiHidden/>
    <w:rsid w:val="00480C76"/>
    <w:rPr>
      <w:rFonts w:ascii="Times New Roman" w:eastAsia="Times New Roman" w:hAnsi="Times New Roman" w:cs="Times New Roman"/>
      <w:sz w:val="16"/>
      <w:szCs w:val="20"/>
      <w:lang w:val="sl-SI"/>
    </w:rPr>
  </w:style>
  <w:style w:type="paragraph" w:styleId="Podnoje">
    <w:name w:val="footer"/>
    <w:basedOn w:val="Normal"/>
    <w:link w:val="PodnojeChar"/>
    <w:uiPriority w:val="99"/>
    <w:rsid w:val="00480C76"/>
    <w:pPr>
      <w:pBdr>
        <w:top w:val="single" w:sz="4" w:space="1" w:color="auto"/>
      </w:pBdr>
      <w:tabs>
        <w:tab w:val="right" w:pos="9540"/>
      </w:tabs>
      <w:ind w:right="-21"/>
      <w:jc w:val="left"/>
    </w:pPr>
    <w:rPr>
      <w:sz w:val="20"/>
    </w:rPr>
  </w:style>
  <w:style w:type="character" w:customStyle="1" w:styleId="PodnojeChar">
    <w:name w:val="Podnožje Char"/>
    <w:basedOn w:val="Zadanifontodlomka"/>
    <w:link w:val="Podnoje"/>
    <w:uiPriority w:val="99"/>
    <w:rsid w:val="00480C76"/>
    <w:rPr>
      <w:rFonts w:ascii="Times New Roman" w:eastAsia="Times New Roman" w:hAnsi="Times New Roman" w:cs="Times New Roman"/>
      <w:sz w:val="20"/>
      <w:szCs w:val="20"/>
      <w:lang w:val="sl-SI"/>
    </w:rPr>
  </w:style>
  <w:style w:type="character" w:styleId="Brojstranice">
    <w:name w:val="page number"/>
    <w:basedOn w:val="Zadanifontodlomka"/>
    <w:semiHidden/>
    <w:rsid w:val="00480C76"/>
  </w:style>
  <w:style w:type="paragraph" w:customStyle="1" w:styleId="Normal3">
    <w:name w:val="Normal 3"/>
    <w:basedOn w:val="Normal"/>
    <w:link w:val="Normal3Char"/>
    <w:rsid w:val="00480C76"/>
    <w:pPr>
      <w:ind w:left="360"/>
    </w:pPr>
  </w:style>
  <w:style w:type="paragraph" w:customStyle="1" w:styleId="Normal4">
    <w:name w:val="Normal 4"/>
    <w:basedOn w:val="Normal"/>
    <w:link w:val="Normal4Char"/>
    <w:rsid w:val="00480C76"/>
    <w:pPr>
      <w:ind w:left="540"/>
    </w:pPr>
  </w:style>
  <w:style w:type="paragraph" w:customStyle="1" w:styleId="Normal5">
    <w:name w:val="Normal 5"/>
    <w:basedOn w:val="Normal"/>
    <w:link w:val="Normal5Char"/>
    <w:rsid w:val="00480C76"/>
    <w:pPr>
      <w:ind w:left="720"/>
    </w:pPr>
  </w:style>
  <w:style w:type="paragraph" w:customStyle="1" w:styleId="Normal6">
    <w:name w:val="Normal 6"/>
    <w:basedOn w:val="Normal"/>
    <w:link w:val="Normal6Char"/>
    <w:rsid w:val="00480C76"/>
    <w:pPr>
      <w:ind w:left="1080"/>
    </w:pPr>
  </w:style>
  <w:style w:type="character" w:customStyle="1" w:styleId="Normal3Char">
    <w:name w:val="Normal 3 Char"/>
    <w:basedOn w:val="Zadanifontodlomka"/>
    <w:link w:val="Normal3"/>
    <w:rsid w:val="00480C76"/>
    <w:rPr>
      <w:rFonts w:ascii="Times New Roman" w:eastAsia="Times New Roman" w:hAnsi="Times New Roman" w:cs="Times New Roman"/>
      <w:szCs w:val="20"/>
      <w:lang w:val="sl-SI"/>
    </w:rPr>
  </w:style>
  <w:style w:type="character" w:customStyle="1" w:styleId="Normal5Char">
    <w:name w:val="Normal 5 Char"/>
    <w:basedOn w:val="Zadanifontodlomka"/>
    <w:link w:val="Normal5"/>
    <w:rsid w:val="00480C76"/>
    <w:rPr>
      <w:rFonts w:ascii="Times New Roman" w:eastAsia="Times New Roman" w:hAnsi="Times New Roman" w:cs="Times New Roman"/>
      <w:szCs w:val="20"/>
      <w:lang w:val="sl-SI"/>
    </w:rPr>
  </w:style>
  <w:style w:type="character" w:customStyle="1" w:styleId="Normal4Char">
    <w:name w:val="Normal 4 Char"/>
    <w:basedOn w:val="Zadanifontodlomka"/>
    <w:link w:val="Normal4"/>
    <w:rsid w:val="00480C76"/>
    <w:rPr>
      <w:rFonts w:ascii="Times New Roman" w:eastAsia="Times New Roman" w:hAnsi="Times New Roman" w:cs="Times New Roman"/>
      <w:szCs w:val="20"/>
      <w:lang w:val="sl-SI"/>
    </w:rPr>
  </w:style>
  <w:style w:type="character" w:styleId="Istaknuto">
    <w:name w:val="Emphasis"/>
    <w:basedOn w:val="Zadanifontodlomka"/>
    <w:qFormat/>
    <w:rsid w:val="00480C76"/>
    <w:rPr>
      <w:b/>
      <w:bCs/>
      <w:i w:val="0"/>
      <w:iCs w:val="0"/>
    </w:rPr>
  </w:style>
  <w:style w:type="character" w:styleId="Naglaeno">
    <w:name w:val="Strong"/>
    <w:basedOn w:val="Zadanifontodlomka"/>
    <w:qFormat/>
    <w:rsid w:val="00480C76"/>
    <w:rPr>
      <w:b/>
      <w:bCs/>
    </w:rPr>
  </w:style>
  <w:style w:type="character" w:styleId="Hiperveza">
    <w:name w:val="Hyperlink"/>
    <w:basedOn w:val="Zadanifontodlomka"/>
    <w:rsid w:val="00480C76"/>
    <w:rPr>
      <w:color w:val="0000FF"/>
      <w:u w:val="single"/>
    </w:rPr>
  </w:style>
  <w:style w:type="table" w:styleId="Reetkatablice">
    <w:name w:val="Table Grid"/>
    <w:basedOn w:val="Obinatablica"/>
    <w:rsid w:val="00480C76"/>
    <w:pPr>
      <w:spacing w:after="0" w:line="240" w:lineRule="auto"/>
    </w:pPr>
    <w:rPr>
      <w:rFonts w:ascii="Times New Roman" w:eastAsia="Times New Roman" w:hAnsi="Times New Roman" w:cs="Times New Roman"/>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6Char">
    <w:name w:val="Normal 6 Char"/>
    <w:basedOn w:val="Zadanifontodlomka"/>
    <w:link w:val="Normal6"/>
    <w:rsid w:val="00480C76"/>
    <w:rPr>
      <w:rFonts w:ascii="Times New Roman" w:eastAsia="Times New Roman" w:hAnsi="Times New Roman" w:cs="Times New Roman"/>
      <w:szCs w:val="20"/>
      <w:lang w:val="sl-SI"/>
    </w:rPr>
  </w:style>
  <w:style w:type="paragraph" w:customStyle="1" w:styleId="CellHeader">
    <w:name w:val="CellHeader"/>
    <w:basedOn w:val="Normal"/>
    <w:qFormat/>
    <w:rsid w:val="00480C76"/>
    <w:rPr>
      <w:rFonts w:ascii="Arial" w:hAnsi="Arial" w:cs="Arial"/>
      <w:bCs/>
      <w:sz w:val="20"/>
      <w:szCs w:val="22"/>
      <w:lang w:eastAsia="hr-HR"/>
    </w:rPr>
  </w:style>
  <w:style w:type="paragraph" w:customStyle="1" w:styleId="CellColumn">
    <w:name w:val="CellColumn"/>
    <w:basedOn w:val="CellHeader"/>
    <w:qFormat/>
    <w:rsid w:val="00480C76"/>
  </w:style>
  <w:style w:type="character" w:customStyle="1" w:styleId="Naslov8Char">
    <w:name w:val="Naslov 8 Char"/>
    <w:basedOn w:val="Zadanifontodlomka"/>
    <w:link w:val="Naslov8"/>
    <w:uiPriority w:val="9"/>
    <w:rsid w:val="00386953"/>
    <w:rPr>
      <w:rFonts w:ascii="Times New Roman" w:eastAsia="Times New Roman" w:hAnsi="Times New Roman" w:cs="Times New Roman"/>
      <w:b/>
      <w:szCs w:val="20"/>
      <w:lang w:val="sl-SI"/>
    </w:rPr>
  </w:style>
  <w:style w:type="table" w:customStyle="1" w:styleId="Reetkatablice1">
    <w:name w:val="Rešetka tablice1"/>
    <w:basedOn w:val="Obinatablica"/>
    <w:next w:val="Reetkatablice"/>
    <w:rsid w:val="00535A65"/>
    <w:pPr>
      <w:spacing w:after="0" w:line="240" w:lineRule="auto"/>
    </w:pPr>
    <w:rPr>
      <w:rFonts w:ascii="Times New Roman" w:eastAsia="Times New Roman" w:hAnsi="Times New Roman" w:cs="Times New Roman"/>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balonia">
    <w:name w:val="Balloon Text"/>
    <w:basedOn w:val="Normal"/>
    <w:link w:val="TekstbaloniaChar"/>
    <w:uiPriority w:val="99"/>
    <w:semiHidden/>
    <w:unhideWhenUsed/>
    <w:rsid w:val="00951E4F"/>
    <w:pPr>
      <w:spacing w:before="0" w:after="0"/>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951E4F"/>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9B40AE-C470-40E0-BE53-868AD41691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395</TotalTime>
  <Pages>1038</Pages>
  <Words>372263</Words>
  <Characters>2121901</Characters>
  <Application>Microsoft Office Word</Application>
  <DocSecurity>0</DocSecurity>
  <Lines>17682</Lines>
  <Paragraphs>4978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2489186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Marko Knežević</dc:creator>
  <cp:lastModifiedBy>mfkor</cp:lastModifiedBy>
  <cp:revision>67</cp:revision>
  <cp:lastPrinted>2013-11-13T22:36:00Z</cp:lastPrinted>
  <dcterms:created xsi:type="dcterms:W3CDTF">2010-09-13T09:45:00Z</dcterms:created>
  <dcterms:modified xsi:type="dcterms:W3CDTF">2013-11-13T22:59:00Z</dcterms:modified>
</cp:coreProperties>
</file>